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C45B" w14:textId="023C49B0" w:rsidR="00F06E14" w:rsidRPr="00E162C4" w:rsidRDefault="004867C2" w:rsidP="00A51D1A">
      <w:pPr>
        <w:pStyle w:val="Reporttitle"/>
      </w:pPr>
      <w:r>
        <w:t>Review of e</w:t>
      </w:r>
      <w:r w:rsidR="008A2F9C">
        <w:t>lectromagnetic compatibility (EMC)</w:t>
      </w:r>
      <w:r>
        <w:t xml:space="preserve"> rules</w:t>
      </w:r>
    </w:p>
    <w:p w14:paraId="78E2C2BB" w14:textId="06D364DD" w:rsidR="00F06E14" w:rsidRPr="00E162C4" w:rsidRDefault="00770B3F" w:rsidP="00F06E14">
      <w:pPr>
        <w:pStyle w:val="Reportsubtitle"/>
      </w:pPr>
      <w:r w:rsidRPr="00E162C4">
        <w:t xml:space="preserve">Consultation </w:t>
      </w:r>
      <w:r w:rsidR="008A2F9C">
        <w:t>paper</w:t>
      </w:r>
    </w:p>
    <w:p w14:paraId="2E5568D6" w14:textId="142F42C0" w:rsidR="00C97736" w:rsidRPr="00E162C4" w:rsidRDefault="00E4247B"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NOVEMBER </w:t>
      </w:r>
      <w:r w:rsidR="00BD4421" w:rsidRPr="00E162C4">
        <w:t>20</w:t>
      </w:r>
      <w:r w:rsidR="008E0428" w:rsidRPr="00E162C4">
        <w:t>2</w:t>
      </w:r>
      <w:r w:rsidR="008500E5">
        <w:t>3</w:t>
      </w:r>
    </w:p>
    <w:p w14:paraId="1DA3989C" w14:textId="77777777" w:rsidR="0005011A" w:rsidRPr="00E162C4" w:rsidRDefault="0005011A" w:rsidP="00FC07B9">
      <w:pPr>
        <w:pStyle w:val="ACMACorporateAddressHeader"/>
      </w:pPr>
      <w:r w:rsidRPr="00E162C4">
        <w:lastRenderedPageBreak/>
        <w:t>Canberra</w:t>
      </w:r>
    </w:p>
    <w:p w14:paraId="28225B5C"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4917A539" w14:textId="77777777" w:rsidR="0005011A" w:rsidRPr="00E162C4" w:rsidRDefault="0005011A" w:rsidP="00FC07B9">
      <w:pPr>
        <w:pStyle w:val="ACMACorporateAddresses"/>
      </w:pPr>
      <w:r w:rsidRPr="00E162C4">
        <w:t>PO Box 78</w:t>
      </w:r>
      <w:r w:rsidRPr="00E162C4">
        <w:br/>
        <w:t>Belconnen ACT 2616</w:t>
      </w:r>
    </w:p>
    <w:p w14:paraId="2B2A5C84"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132C0182" w14:textId="77777777" w:rsidR="0005011A" w:rsidRPr="00E162C4" w:rsidRDefault="0005011A" w:rsidP="00FC07B9">
      <w:pPr>
        <w:pStyle w:val="ACMACorporateAddressHeader"/>
      </w:pPr>
      <w:r w:rsidRPr="00E162C4">
        <w:t>Melbourne</w:t>
      </w:r>
    </w:p>
    <w:p w14:paraId="1A428BA1"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05F36A32"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663DB74F"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68AE45E9" w14:textId="77777777" w:rsidR="0005011A" w:rsidRPr="00E162C4" w:rsidRDefault="0005011A" w:rsidP="00FC07B9">
      <w:pPr>
        <w:pStyle w:val="ACMACorporateAddressHeader"/>
      </w:pPr>
      <w:r w:rsidRPr="00E162C4">
        <w:t>Sydney</w:t>
      </w:r>
    </w:p>
    <w:p w14:paraId="00BCF149"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6B8137BD"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57442CAB"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6D728DC9" w14:textId="77777777" w:rsidR="00140318" w:rsidRPr="00E162C4" w:rsidRDefault="00140318" w:rsidP="00FC07B9">
      <w:pPr>
        <w:pStyle w:val="ACMACopyrightHeader"/>
      </w:pPr>
      <w:r w:rsidRPr="00E162C4">
        <w:t>Copyright notice</w:t>
      </w:r>
    </w:p>
    <w:p w14:paraId="5EB646E9" w14:textId="77777777" w:rsidR="00140318" w:rsidRPr="00E162C4" w:rsidRDefault="00623FF9" w:rsidP="00623FF9">
      <w:pPr>
        <w:pStyle w:val="ACMACClogo"/>
      </w:pPr>
      <w:r w:rsidRPr="00E162C4">
        <w:rPr>
          <w:noProof/>
        </w:rPr>
        <w:drawing>
          <wp:inline distT="0" distB="0" distL="0" distR="0" wp14:anchorId="5BE29397" wp14:editId="1E44EFA2">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1CB5242" w14:textId="77777777" w:rsidR="00AA2DE5" w:rsidRPr="00E162C4" w:rsidRDefault="006D39D0" w:rsidP="00AA2DE5">
      <w:pPr>
        <w:pStyle w:val="ACMACorporateAddresses"/>
        <w:rPr>
          <w:rStyle w:val="Hyperlink"/>
        </w:rPr>
      </w:pPr>
      <w:hyperlink r:id="rId13" w:history="1">
        <w:r w:rsidR="00AA2DE5" w:rsidRPr="00E162C4">
          <w:rPr>
            <w:rStyle w:val="Hyperlink"/>
          </w:rPr>
          <w:t>https://creativecommons.org/licenses/by/4.0/</w:t>
        </w:r>
      </w:hyperlink>
    </w:p>
    <w:p w14:paraId="401F59E3" w14:textId="77777777" w:rsidR="00AA2DE5" w:rsidRPr="00E162C4" w:rsidRDefault="00AA2DE5" w:rsidP="00AA2DE5">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0DC81DE1"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8500E5">
        <w:t>3</w:t>
      </w:r>
      <w:r w:rsidRPr="00E162C4">
        <w:t>.</w:t>
      </w:r>
    </w:p>
    <w:p w14:paraId="512EEDFF" w14:textId="77777777" w:rsidR="00AA2DE5" w:rsidRPr="00E162C4" w:rsidRDefault="00AA2DE5" w:rsidP="00AA2DE5">
      <w:pPr>
        <w:pStyle w:val="ACMACorporateAddresses"/>
      </w:pPr>
      <w:r w:rsidRPr="00E162C4">
        <w:t>All other rights are reserved.</w:t>
      </w:r>
    </w:p>
    <w:p w14:paraId="106D1E64"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5339222" w14:textId="77777777" w:rsidR="00AA2DE5" w:rsidRPr="00E162C4" w:rsidRDefault="00AA2DE5" w:rsidP="00AA2DE5">
      <w:pPr>
        <w:pStyle w:val="ACMACorporateAddresses"/>
      </w:pPr>
      <w:r w:rsidRPr="00E162C4">
        <w:t>Written enquiries may be sent to:</w:t>
      </w:r>
    </w:p>
    <w:p w14:paraId="6679F7D8"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7025FCF9" w14:textId="77777777" w:rsidR="00D16FE3" w:rsidRPr="00E162C4" w:rsidRDefault="00D16FE3" w:rsidP="00D16FE3">
      <w:pPr>
        <w:pStyle w:val="ACMACorporateAddresses"/>
        <w:rPr>
          <w:rStyle w:val="Hyperlink"/>
        </w:rPr>
      </w:pPr>
    </w:p>
    <w:p w14:paraId="7C66BEAF"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45AD89FD" w14:textId="1E96A8EC" w:rsidR="006D39D0"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49912266" w:history="1">
        <w:r w:rsidR="006D39D0" w:rsidRPr="00274FCE">
          <w:rPr>
            <w:rStyle w:val="Hyperlink"/>
          </w:rPr>
          <w:t>Executive summary</w:t>
        </w:r>
        <w:r w:rsidR="006D39D0">
          <w:rPr>
            <w:webHidden/>
          </w:rPr>
          <w:tab/>
        </w:r>
        <w:r w:rsidR="006D39D0">
          <w:rPr>
            <w:webHidden/>
          </w:rPr>
          <w:fldChar w:fldCharType="begin"/>
        </w:r>
        <w:r w:rsidR="006D39D0">
          <w:rPr>
            <w:webHidden/>
          </w:rPr>
          <w:instrText xml:space="preserve"> PAGEREF _Toc149912266 \h </w:instrText>
        </w:r>
        <w:r w:rsidR="006D39D0">
          <w:rPr>
            <w:webHidden/>
          </w:rPr>
        </w:r>
        <w:r w:rsidR="006D39D0">
          <w:rPr>
            <w:webHidden/>
          </w:rPr>
          <w:fldChar w:fldCharType="separate"/>
        </w:r>
        <w:r w:rsidR="006D39D0">
          <w:rPr>
            <w:webHidden/>
          </w:rPr>
          <w:t>1</w:t>
        </w:r>
        <w:r w:rsidR="006D39D0">
          <w:rPr>
            <w:webHidden/>
          </w:rPr>
          <w:fldChar w:fldCharType="end"/>
        </w:r>
      </w:hyperlink>
    </w:p>
    <w:p w14:paraId="2D938B39" w14:textId="762F6151" w:rsidR="006D39D0" w:rsidRDefault="006D39D0">
      <w:pPr>
        <w:pStyle w:val="TOC1"/>
        <w:rPr>
          <w:rFonts w:asciiTheme="minorHAnsi" w:eastAsiaTheme="minorEastAsia" w:hAnsiTheme="minorHAnsi" w:cstheme="minorBidi"/>
          <w:b w:val="0"/>
          <w:spacing w:val="0"/>
          <w:sz w:val="22"/>
          <w:szCs w:val="22"/>
        </w:rPr>
      </w:pPr>
      <w:hyperlink w:anchor="_Toc149912267" w:history="1">
        <w:r w:rsidRPr="00274FCE">
          <w:rPr>
            <w:rStyle w:val="Hyperlink"/>
          </w:rPr>
          <w:t>Background</w:t>
        </w:r>
        <w:r>
          <w:rPr>
            <w:webHidden/>
          </w:rPr>
          <w:tab/>
        </w:r>
        <w:r>
          <w:rPr>
            <w:webHidden/>
          </w:rPr>
          <w:fldChar w:fldCharType="begin"/>
        </w:r>
        <w:r>
          <w:rPr>
            <w:webHidden/>
          </w:rPr>
          <w:instrText xml:space="preserve"> PAGEREF _Toc149912267 \h </w:instrText>
        </w:r>
        <w:r>
          <w:rPr>
            <w:webHidden/>
          </w:rPr>
        </w:r>
        <w:r>
          <w:rPr>
            <w:webHidden/>
          </w:rPr>
          <w:fldChar w:fldCharType="separate"/>
        </w:r>
        <w:r>
          <w:rPr>
            <w:webHidden/>
          </w:rPr>
          <w:t>2</w:t>
        </w:r>
        <w:r>
          <w:rPr>
            <w:webHidden/>
          </w:rPr>
          <w:fldChar w:fldCharType="end"/>
        </w:r>
      </w:hyperlink>
    </w:p>
    <w:p w14:paraId="1050DB28" w14:textId="0E35E258" w:rsidR="006D39D0" w:rsidRDefault="006D39D0">
      <w:pPr>
        <w:pStyle w:val="TOC2"/>
        <w:rPr>
          <w:rFonts w:asciiTheme="minorHAnsi" w:eastAsiaTheme="minorEastAsia" w:hAnsiTheme="minorHAnsi" w:cstheme="minorBidi"/>
          <w:spacing w:val="0"/>
          <w:sz w:val="22"/>
          <w:szCs w:val="22"/>
        </w:rPr>
      </w:pPr>
      <w:hyperlink w:anchor="_Toc149912268" w:history="1">
        <w:r w:rsidRPr="00274FCE">
          <w:rPr>
            <w:rStyle w:val="Hyperlink"/>
          </w:rPr>
          <w:t>Recent changes</w:t>
        </w:r>
        <w:r>
          <w:rPr>
            <w:webHidden/>
          </w:rPr>
          <w:tab/>
        </w:r>
        <w:r>
          <w:rPr>
            <w:webHidden/>
          </w:rPr>
          <w:fldChar w:fldCharType="begin"/>
        </w:r>
        <w:r>
          <w:rPr>
            <w:webHidden/>
          </w:rPr>
          <w:instrText xml:space="preserve"> PAGEREF _Toc149912268 \h </w:instrText>
        </w:r>
        <w:r>
          <w:rPr>
            <w:webHidden/>
          </w:rPr>
        </w:r>
        <w:r>
          <w:rPr>
            <w:webHidden/>
          </w:rPr>
          <w:fldChar w:fldCharType="separate"/>
        </w:r>
        <w:r>
          <w:rPr>
            <w:webHidden/>
          </w:rPr>
          <w:t>2</w:t>
        </w:r>
        <w:r>
          <w:rPr>
            <w:webHidden/>
          </w:rPr>
          <w:fldChar w:fldCharType="end"/>
        </w:r>
      </w:hyperlink>
    </w:p>
    <w:p w14:paraId="08F45205" w14:textId="4F4E434C" w:rsidR="006D39D0" w:rsidRDefault="006D39D0">
      <w:pPr>
        <w:pStyle w:val="TOC2"/>
        <w:rPr>
          <w:rFonts w:asciiTheme="minorHAnsi" w:eastAsiaTheme="minorEastAsia" w:hAnsiTheme="minorHAnsi" w:cstheme="minorBidi"/>
          <w:spacing w:val="0"/>
          <w:sz w:val="22"/>
          <w:szCs w:val="22"/>
        </w:rPr>
      </w:pPr>
      <w:hyperlink w:anchor="_Toc149912269" w:history="1">
        <w:r w:rsidRPr="00274FCE">
          <w:rPr>
            <w:rStyle w:val="Hyperlink"/>
          </w:rPr>
          <w:t>Stage 3 – Proposed future changes</w:t>
        </w:r>
        <w:r>
          <w:rPr>
            <w:webHidden/>
          </w:rPr>
          <w:tab/>
        </w:r>
        <w:r>
          <w:rPr>
            <w:webHidden/>
          </w:rPr>
          <w:fldChar w:fldCharType="begin"/>
        </w:r>
        <w:r>
          <w:rPr>
            <w:webHidden/>
          </w:rPr>
          <w:instrText xml:space="preserve"> PAGEREF _Toc149912269 \h </w:instrText>
        </w:r>
        <w:r>
          <w:rPr>
            <w:webHidden/>
          </w:rPr>
        </w:r>
        <w:r>
          <w:rPr>
            <w:webHidden/>
          </w:rPr>
          <w:fldChar w:fldCharType="separate"/>
        </w:r>
        <w:r>
          <w:rPr>
            <w:webHidden/>
          </w:rPr>
          <w:t>3</w:t>
        </w:r>
        <w:r>
          <w:rPr>
            <w:webHidden/>
          </w:rPr>
          <w:fldChar w:fldCharType="end"/>
        </w:r>
      </w:hyperlink>
    </w:p>
    <w:p w14:paraId="1FFB3E0B" w14:textId="366B1AA5" w:rsidR="006D39D0" w:rsidRDefault="006D39D0">
      <w:pPr>
        <w:pStyle w:val="TOC2"/>
        <w:rPr>
          <w:rFonts w:asciiTheme="minorHAnsi" w:eastAsiaTheme="minorEastAsia" w:hAnsiTheme="minorHAnsi" w:cstheme="minorBidi"/>
          <w:spacing w:val="0"/>
          <w:sz w:val="22"/>
          <w:szCs w:val="22"/>
        </w:rPr>
      </w:pPr>
      <w:hyperlink w:anchor="_Toc149912270" w:history="1">
        <w:r w:rsidRPr="00274FCE">
          <w:rPr>
            <w:rStyle w:val="Hyperlink"/>
          </w:rPr>
          <w:t>Existing regulatory framework</w:t>
        </w:r>
        <w:r>
          <w:rPr>
            <w:webHidden/>
          </w:rPr>
          <w:tab/>
        </w:r>
        <w:r>
          <w:rPr>
            <w:webHidden/>
          </w:rPr>
          <w:fldChar w:fldCharType="begin"/>
        </w:r>
        <w:r>
          <w:rPr>
            <w:webHidden/>
          </w:rPr>
          <w:instrText xml:space="preserve"> PAGEREF _Toc149912270 \h </w:instrText>
        </w:r>
        <w:r>
          <w:rPr>
            <w:webHidden/>
          </w:rPr>
        </w:r>
        <w:r>
          <w:rPr>
            <w:webHidden/>
          </w:rPr>
          <w:fldChar w:fldCharType="separate"/>
        </w:r>
        <w:r>
          <w:rPr>
            <w:webHidden/>
          </w:rPr>
          <w:t>3</w:t>
        </w:r>
        <w:r>
          <w:rPr>
            <w:webHidden/>
          </w:rPr>
          <w:fldChar w:fldCharType="end"/>
        </w:r>
      </w:hyperlink>
    </w:p>
    <w:p w14:paraId="0487F6A1" w14:textId="0FA9AC49" w:rsidR="006D39D0" w:rsidRDefault="006D39D0">
      <w:pPr>
        <w:pStyle w:val="TOC2"/>
        <w:rPr>
          <w:rFonts w:asciiTheme="minorHAnsi" w:eastAsiaTheme="minorEastAsia" w:hAnsiTheme="minorHAnsi" w:cstheme="minorBidi"/>
          <w:spacing w:val="0"/>
          <w:sz w:val="22"/>
          <w:szCs w:val="22"/>
        </w:rPr>
      </w:pPr>
      <w:hyperlink w:anchor="_Toc149912271" w:history="1">
        <w:r w:rsidRPr="00274FCE">
          <w:rPr>
            <w:rStyle w:val="Hyperlink"/>
          </w:rPr>
          <w:t>EMC standard</w:t>
        </w:r>
        <w:r>
          <w:rPr>
            <w:webHidden/>
          </w:rPr>
          <w:tab/>
        </w:r>
        <w:r>
          <w:rPr>
            <w:webHidden/>
          </w:rPr>
          <w:fldChar w:fldCharType="begin"/>
        </w:r>
        <w:r>
          <w:rPr>
            <w:webHidden/>
          </w:rPr>
          <w:instrText xml:space="preserve"> PAGEREF _Toc149912271 \h </w:instrText>
        </w:r>
        <w:r>
          <w:rPr>
            <w:webHidden/>
          </w:rPr>
        </w:r>
        <w:r>
          <w:rPr>
            <w:webHidden/>
          </w:rPr>
          <w:fldChar w:fldCharType="separate"/>
        </w:r>
        <w:r>
          <w:rPr>
            <w:webHidden/>
          </w:rPr>
          <w:t>5</w:t>
        </w:r>
        <w:r>
          <w:rPr>
            <w:webHidden/>
          </w:rPr>
          <w:fldChar w:fldCharType="end"/>
        </w:r>
      </w:hyperlink>
    </w:p>
    <w:p w14:paraId="6F0D2EAA" w14:textId="72C874FD" w:rsidR="006D39D0" w:rsidRDefault="006D39D0">
      <w:pPr>
        <w:pStyle w:val="TOC2"/>
        <w:rPr>
          <w:rFonts w:asciiTheme="minorHAnsi" w:eastAsiaTheme="minorEastAsia" w:hAnsiTheme="minorHAnsi" w:cstheme="minorBidi"/>
          <w:spacing w:val="0"/>
          <w:sz w:val="22"/>
          <w:szCs w:val="22"/>
        </w:rPr>
      </w:pPr>
      <w:hyperlink w:anchor="_Toc149912272" w:history="1">
        <w:r w:rsidRPr="00274FCE">
          <w:rPr>
            <w:rStyle w:val="Hyperlink"/>
          </w:rPr>
          <w:t>EMC labelling notice</w:t>
        </w:r>
        <w:r>
          <w:rPr>
            <w:webHidden/>
          </w:rPr>
          <w:tab/>
        </w:r>
        <w:r>
          <w:rPr>
            <w:webHidden/>
          </w:rPr>
          <w:fldChar w:fldCharType="begin"/>
        </w:r>
        <w:r>
          <w:rPr>
            <w:webHidden/>
          </w:rPr>
          <w:instrText xml:space="preserve"> PAGEREF _Toc149912272 \h </w:instrText>
        </w:r>
        <w:r>
          <w:rPr>
            <w:webHidden/>
          </w:rPr>
        </w:r>
        <w:r>
          <w:rPr>
            <w:webHidden/>
          </w:rPr>
          <w:fldChar w:fldCharType="separate"/>
        </w:r>
        <w:r>
          <w:rPr>
            <w:webHidden/>
          </w:rPr>
          <w:t>5</w:t>
        </w:r>
        <w:r>
          <w:rPr>
            <w:webHidden/>
          </w:rPr>
          <w:fldChar w:fldCharType="end"/>
        </w:r>
      </w:hyperlink>
    </w:p>
    <w:p w14:paraId="67C42817" w14:textId="61A8C24C" w:rsidR="006D39D0" w:rsidRDefault="006D39D0">
      <w:pPr>
        <w:pStyle w:val="TOC1"/>
        <w:rPr>
          <w:rFonts w:asciiTheme="minorHAnsi" w:eastAsiaTheme="minorEastAsia" w:hAnsiTheme="minorHAnsi" w:cstheme="minorBidi"/>
          <w:b w:val="0"/>
          <w:spacing w:val="0"/>
          <w:sz w:val="22"/>
          <w:szCs w:val="22"/>
        </w:rPr>
      </w:pPr>
      <w:hyperlink w:anchor="_Toc149912273" w:history="1">
        <w:r w:rsidRPr="00274FCE">
          <w:rPr>
            <w:rStyle w:val="Hyperlink"/>
          </w:rPr>
          <w:t>Issues for comment</w:t>
        </w:r>
        <w:r>
          <w:rPr>
            <w:webHidden/>
          </w:rPr>
          <w:tab/>
        </w:r>
        <w:r>
          <w:rPr>
            <w:webHidden/>
          </w:rPr>
          <w:fldChar w:fldCharType="begin"/>
        </w:r>
        <w:r>
          <w:rPr>
            <w:webHidden/>
          </w:rPr>
          <w:instrText xml:space="preserve"> PAGEREF _Toc149912273 \h </w:instrText>
        </w:r>
        <w:r>
          <w:rPr>
            <w:webHidden/>
          </w:rPr>
        </w:r>
        <w:r>
          <w:rPr>
            <w:webHidden/>
          </w:rPr>
          <w:fldChar w:fldCharType="separate"/>
        </w:r>
        <w:r>
          <w:rPr>
            <w:webHidden/>
          </w:rPr>
          <w:t>8</w:t>
        </w:r>
        <w:r>
          <w:rPr>
            <w:webHidden/>
          </w:rPr>
          <w:fldChar w:fldCharType="end"/>
        </w:r>
      </w:hyperlink>
    </w:p>
    <w:p w14:paraId="6B42EFC4" w14:textId="4A8B0FC3" w:rsidR="006D39D0" w:rsidRDefault="006D39D0">
      <w:pPr>
        <w:pStyle w:val="TOC2"/>
        <w:rPr>
          <w:rFonts w:asciiTheme="minorHAnsi" w:eastAsiaTheme="minorEastAsia" w:hAnsiTheme="minorHAnsi" w:cstheme="minorBidi"/>
          <w:spacing w:val="0"/>
          <w:sz w:val="22"/>
          <w:szCs w:val="22"/>
        </w:rPr>
      </w:pPr>
      <w:hyperlink w:anchor="_Toc149912274" w:history="1">
        <w:r w:rsidRPr="00274FCE">
          <w:rPr>
            <w:rStyle w:val="Hyperlink"/>
          </w:rPr>
          <w:t>Expanding the current list of recognised EMC harmonised standards</w:t>
        </w:r>
        <w:r>
          <w:rPr>
            <w:webHidden/>
          </w:rPr>
          <w:tab/>
        </w:r>
        <w:r>
          <w:rPr>
            <w:webHidden/>
          </w:rPr>
          <w:fldChar w:fldCharType="begin"/>
        </w:r>
        <w:r>
          <w:rPr>
            <w:webHidden/>
          </w:rPr>
          <w:instrText xml:space="preserve"> PAGEREF _Toc149912274 \h </w:instrText>
        </w:r>
        <w:r>
          <w:rPr>
            <w:webHidden/>
          </w:rPr>
        </w:r>
        <w:r>
          <w:rPr>
            <w:webHidden/>
          </w:rPr>
          <w:fldChar w:fldCharType="separate"/>
        </w:r>
        <w:r>
          <w:rPr>
            <w:webHidden/>
          </w:rPr>
          <w:t>8</w:t>
        </w:r>
        <w:r>
          <w:rPr>
            <w:webHidden/>
          </w:rPr>
          <w:fldChar w:fldCharType="end"/>
        </w:r>
      </w:hyperlink>
    </w:p>
    <w:p w14:paraId="01F52440" w14:textId="2350F726" w:rsidR="006D39D0" w:rsidRDefault="006D39D0">
      <w:pPr>
        <w:pStyle w:val="TOC2"/>
        <w:rPr>
          <w:rFonts w:asciiTheme="minorHAnsi" w:eastAsiaTheme="minorEastAsia" w:hAnsiTheme="minorHAnsi" w:cstheme="minorBidi"/>
          <w:spacing w:val="0"/>
          <w:sz w:val="22"/>
          <w:szCs w:val="22"/>
        </w:rPr>
      </w:pPr>
      <w:hyperlink w:anchor="_Toc149912275" w:history="1">
        <w:r w:rsidRPr="00274FCE">
          <w:rPr>
            <w:rStyle w:val="Hyperlink"/>
          </w:rPr>
          <w:t xml:space="preserve">Assessing whether current EMC arrangements effectively allow for advances in technology – particularly for vehicles (including </w:t>
        </w:r>
        <w:r>
          <w:rPr>
            <w:rStyle w:val="Hyperlink"/>
          </w:rPr>
          <w:br/>
        </w:r>
        <w:r w:rsidRPr="00274FCE">
          <w:rPr>
            <w:rStyle w:val="Hyperlink"/>
          </w:rPr>
          <w:t>electric vehicles)</w:t>
        </w:r>
        <w:r>
          <w:rPr>
            <w:webHidden/>
          </w:rPr>
          <w:tab/>
        </w:r>
        <w:r>
          <w:rPr>
            <w:webHidden/>
          </w:rPr>
          <w:fldChar w:fldCharType="begin"/>
        </w:r>
        <w:r>
          <w:rPr>
            <w:webHidden/>
          </w:rPr>
          <w:instrText xml:space="preserve"> PAGEREF _Toc149912275 \h </w:instrText>
        </w:r>
        <w:r>
          <w:rPr>
            <w:webHidden/>
          </w:rPr>
        </w:r>
        <w:r>
          <w:rPr>
            <w:webHidden/>
          </w:rPr>
          <w:fldChar w:fldCharType="separate"/>
        </w:r>
        <w:r>
          <w:rPr>
            <w:webHidden/>
          </w:rPr>
          <w:t>9</w:t>
        </w:r>
        <w:r>
          <w:rPr>
            <w:webHidden/>
          </w:rPr>
          <w:fldChar w:fldCharType="end"/>
        </w:r>
      </w:hyperlink>
    </w:p>
    <w:p w14:paraId="347C4A0C" w14:textId="1DEC3E3C" w:rsidR="006D39D0" w:rsidRDefault="006D39D0">
      <w:pPr>
        <w:pStyle w:val="TOC2"/>
        <w:rPr>
          <w:rFonts w:asciiTheme="minorHAnsi" w:eastAsiaTheme="minorEastAsia" w:hAnsiTheme="minorHAnsi" w:cstheme="minorBidi"/>
          <w:spacing w:val="0"/>
          <w:sz w:val="22"/>
          <w:szCs w:val="22"/>
        </w:rPr>
      </w:pPr>
      <w:hyperlink w:anchor="_Toc149912276" w:history="1">
        <w:r w:rsidRPr="00274FCE">
          <w:rPr>
            <w:rStyle w:val="Hyperlink"/>
          </w:rPr>
          <w:t>Ensuring our categorisation of devices appropriately reflects the harms associated with the risk of interference</w:t>
        </w:r>
        <w:r>
          <w:rPr>
            <w:webHidden/>
          </w:rPr>
          <w:tab/>
        </w:r>
        <w:r>
          <w:rPr>
            <w:webHidden/>
          </w:rPr>
          <w:fldChar w:fldCharType="begin"/>
        </w:r>
        <w:r>
          <w:rPr>
            <w:webHidden/>
          </w:rPr>
          <w:instrText xml:space="preserve"> PAGEREF _Toc149912276 \h </w:instrText>
        </w:r>
        <w:r>
          <w:rPr>
            <w:webHidden/>
          </w:rPr>
        </w:r>
        <w:r>
          <w:rPr>
            <w:webHidden/>
          </w:rPr>
          <w:fldChar w:fldCharType="separate"/>
        </w:r>
        <w:r>
          <w:rPr>
            <w:webHidden/>
          </w:rPr>
          <w:t>13</w:t>
        </w:r>
        <w:r>
          <w:rPr>
            <w:webHidden/>
          </w:rPr>
          <w:fldChar w:fldCharType="end"/>
        </w:r>
      </w:hyperlink>
    </w:p>
    <w:p w14:paraId="1F317AF1" w14:textId="21FB58A1" w:rsidR="006D39D0" w:rsidRDefault="006D39D0">
      <w:pPr>
        <w:pStyle w:val="TOC1"/>
        <w:rPr>
          <w:rFonts w:asciiTheme="minorHAnsi" w:eastAsiaTheme="minorEastAsia" w:hAnsiTheme="minorHAnsi" w:cstheme="minorBidi"/>
          <w:b w:val="0"/>
          <w:spacing w:val="0"/>
          <w:sz w:val="22"/>
          <w:szCs w:val="22"/>
        </w:rPr>
      </w:pPr>
      <w:hyperlink w:anchor="_Toc149912277" w:history="1">
        <w:r w:rsidRPr="00274FCE">
          <w:rPr>
            <w:rStyle w:val="Hyperlink"/>
          </w:rPr>
          <w:t>Invitation to comment</w:t>
        </w:r>
        <w:r>
          <w:rPr>
            <w:webHidden/>
          </w:rPr>
          <w:tab/>
        </w:r>
        <w:r>
          <w:rPr>
            <w:webHidden/>
          </w:rPr>
          <w:fldChar w:fldCharType="begin"/>
        </w:r>
        <w:r>
          <w:rPr>
            <w:webHidden/>
          </w:rPr>
          <w:instrText xml:space="preserve"> PAGEREF _Toc149912277 \h </w:instrText>
        </w:r>
        <w:r>
          <w:rPr>
            <w:webHidden/>
          </w:rPr>
        </w:r>
        <w:r>
          <w:rPr>
            <w:webHidden/>
          </w:rPr>
          <w:fldChar w:fldCharType="separate"/>
        </w:r>
        <w:r>
          <w:rPr>
            <w:webHidden/>
          </w:rPr>
          <w:t>19</w:t>
        </w:r>
        <w:r>
          <w:rPr>
            <w:webHidden/>
          </w:rPr>
          <w:fldChar w:fldCharType="end"/>
        </w:r>
      </w:hyperlink>
    </w:p>
    <w:p w14:paraId="48462C18" w14:textId="2DB5F6AC" w:rsidR="006D39D0" w:rsidRDefault="006D39D0">
      <w:pPr>
        <w:pStyle w:val="TOC2"/>
        <w:rPr>
          <w:rFonts w:asciiTheme="minorHAnsi" w:eastAsiaTheme="minorEastAsia" w:hAnsiTheme="minorHAnsi" w:cstheme="minorBidi"/>
          <w:spacing w:val="0"/>
          <w:sz w:val="22"/>
          <w:szCs w:val="22"/>
        </w:rPr>
      </w:pPr>
      <w:hyperlink w:anchor="_Toc149912278" w:history="1">
        <w:r w:rsidRPr="00274FCE">
          <w:rPr>
            <w:rStyle w:val="Hyperlink"/>
          </w:rPr>
          <w:t>Making a submission</w:t>
        </w:r>
        <w:r>
          <w:rPr>
            <w:webHidden/>
          </w:rPr>
          <w:tab/>
        </w:r>
        <w:r>
          <w:rPr>
            <w:webHidden/>
          </w:rPr>
          <w:fldChar w:fldCharType="begin"/>
        </w:r>
        <w:r>
          <w:rPr>
            <w:webHidden/>
          </w:rPr>
          <w:instrText xml:space="preserve"> PAGEREF _Toc149912278 \h </w:instrText>
        </w:r>
        <w:r>
          <w:rPr>
            <w:webHidden/>
          </w:rPr>
        </w:r>
        <w:r>
          <w:rPr>
            <w:webHidden/>
          </w:rPr>
          <w:fldChar w:fldCharType="separate"/>
        </w:r>
        <w:r>
          <w:rPr>
            <w:webHidden/>
          </w:rPr>
          <w:t>19</w:t>
        </w:r>
        <w:r>
          <w:rPr>
            <w:webHidden/>
          </w:rPr>
          <w:fldChar w:fldCharType="end"/>
        </w:r>
      </w:hyperlink>
    </w:p>
    <w:p w14:paraId="47166591" w14:textId="78622F49" w:rsidR="006D39D0" w:rsidRDefault="006D39D0">
      <w:pPr>
        <w:pStyle w:val="TOC1"/>
        <w:rPr>
          <w:rFonts w:asciiTheme="minorHAnsi" w:eastAsiaTheme="minorEastAsia" w:hAnsiTheme="minorHAnsi" w:cstheme="minorBidi"/>
          <w:b w:val="0"/>
          <w:spacing w:val="0"/>
          <w:sz w:val="22"/>
          <w:szCs w:val="22"/>
        </w:rPr>
      </w:pPr>
      <w:hyperlink w:anchor="_Toc149912279" w:history="1">
        <w:r w:rsidRPr="00274FCE">
          <w:rPr>
            <w:rStyle w:val="Hyperlink"/>
          </w:rPr>
          <w:t>Appendix A: Proposal to recognise EMC standards under European Directive 2014/30/EU</w:t>
        </w:r>
        <w:r>
          <w:rPr>
            <w:webHidden/>
          </w:rPr>
          <w:tab/>
        </w:r>
        <w:r>
          <w:rPr>
            <w:webHidden/>
          </w:rPr>
          <w:fldChar w:fldCharType="begin"/>
        </w:r>
        <w:r>
          <w:rPr>
            <w:webHidden/>
          </w:rPr>
          <w:instrText xml:space="preserve"> PAGEREF _Toc149912279 \h </w:instrText>
        </w:r>
        <w:r>
          <w:rPr>
            <w:webHidden/>
          </w:rPr>
        </w:r>
        <w:r>
          <w:rPr>
            <w:webHidden/>
          </w:rPr>
          <w:fldChar w:fldCharType="separate"/>
        </w:r>
        <w:r>
          <w:rPr>
            <w:webHidden/>
          </w:rPr>
          <w:t>20</w:t>
        </w:r>
        <w:r>
          <w:rPr>
            <w:webHidden/>
          </w:rPr>
          <w:fldChar w:fldCharType="end"/>
        </w:r>
      </w:hyperlink>
    </w:p>
    <w:p w14:paraId="41434524" w14:textId="47766016" w:rsidR="006D39D0" w:rsidRDefault="006D39D0">
      <w:pPr>
        <w:pStyle w:val="TOC1"/>
        <w:rPr>
          <w:rFonts w:asciiTheme="minorHAnsi" w:eastAsiaTheme="minorEastAsia" w:hAnsiTheme="minorHAnsi" w:cstheme="minorBidi"/>
          <w:b w:val="0"/>
          <w:spacing w:val="0"/>
          <w:sz w:val="22"/>
          <w:szCs w:val="22"/>
        </w:rPr>
      </w:pPr>
      <w:hyperlink w:anchor="_Toc149912280" w:history="1">
        <w:r w:rsidRPr="00274FCE">
          <w:rPr>
            <w:rStyle w:val="Hyperlink"/>
          </w:rPr>
          <w:t>Appendix B: Comparison of Australian and New Zealand EMC device categories</w:t>
        </w:r>
        <w:r>
          <w:rPr>
            <w:webHidden/>
          </w:rPr>
          <w:tab/>
        </w:r>
        <w:r>
          <w:rPr>
            <w:webHidden/>
          </w:rPr>
          <w:fldChar w:fldCharType="begin"/>
        </w:r>
        <w:r>
          <w:rPr>
            <w:webHidden/>
          </w:rPr>
          <w:instrText xml:space="preserve"> PAGEREF _Toc149912280 \h </w:instrText>
        </w:r>
        <w:r>
          <w:rPr>
            <w:webHidden/>
          </w:rPr>
        </w:r>
        <w:r>
          <w:rPr>
            <w:webHidden/>
          </w:rPr>
          <w:fldChar w:fldCharType="separate"/>
        </w:r>
        <w:r>
          <w:rPr>
            <w:webHidden/>
          </w:rPr>
          <w:t>25</w:t>
        </w:r>
        <w:r>
          <w:rPr>
            <w:webHidden/>
          </w:rPr>
          <w:fldChar w:fldCharType="end"/>
        </w:r>
      </w:hyperlink>
    </w:p>
    <w:p w14:paraId="022A8E1F" w14:textId="4CC04B45"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091E5B98" w14:textId="5676DCFB" w:rsidR="005A020C" w:rsidRDefault="009D6C71" w:rsidP="004D11B5">
      <w:pPr>
        <w:pStyle w:val="Heading1"/>
      </w:pPr>
      <w:bookmarkStart w:id="0" w:name="_Toc149912266"/>
      <w:r w:rsidRPr="00E162C4">
        <w:lastRenderedPageBreak/>
        <w:t>Executive sum</w:t>
      </w:r>
      <w:bookmarkStart w:id="1" w:name="_Toc433122125"/>
      <w:r w:rsidR="005A020C">
        <w:t>mary</w:t>
      </w:r>
      <w:bookmarkEnd w:id="0"/>
    </w:p>
    <w:p w14:paraId="12B51DC0" w14:textId="1FB6862C" w:rsidR="0014715E" w:rsidRDefault="00D6635D" w:rsidP="00465B24">
      <w:pPr>
        <w:pStyle w:val="Paragraph"/>
      </w:pPr>
      <w:r w:rsidRPr="00465B24">
        <w:t xml:space="preserve">The ACMA is </w:t>
      </w:r>
      <w:r w:rsidR="008F13DF" w:rsidRPr="00465B24">
        <w:t>consulting on</w:t>
      </w:r>
      <w:r w:rsidRPr="00465B24">
        <w:t xml:space="preserve"> </w:t>
      </w:r>
      <w:r w:rsidR="003F0995" w:rsidRPr="00465B24">
        <w:t xml:space="preserve">the </w:t>
      </w:r>
      <w:r w:rsidR="00B95C78" w:rsidRPr="00465B24">
        <w:t xml:space="preserve">effectiveness of </w:t>
      </w:r>
      <w:r w:rsidR="000440D5" w:rsidRPr="003E5BD7">
        <w:t xml:space="preserve">its regulatory arrangements for the </w:t>
      </w:r>
      <w:r w:rsidR="00164077" w:rsidRPr="00465B24">
        <w:t>electromagnetic compatibility (EMC)</w:t>
      </w:r>
      <w:r w:rsidR="000440D5" w:rsidRPr="00465B24">
        <w:t xml:space="preserve"> </w:t>
      </w:r>
      <w:r w:rsidR="000440D5" w:rsidRPr="003E5BD7">
        <w:t xml:space="preserve">of equipment under the </w:t>
      </w:r>
      <w:hyperlink r:id="rId24" w:history="1">
        <w:r w:rsidR="000440D5" w:rsidRPr="003E5BD7">
          <w:rPr>
            <w:rStyle w:val="Hyperlink"/>
            <w:i/>
            <w:iCs/>
          </w:rPr>
          <w:t>Radiocommunications Act 1992</w:t>
        </w:r>
      </w:hyperlink>
      <w:r w:rsidR="000440D5" w:rsidRPr="003E5BD7">
        <w:t xml:space="preserve"> (the Act).</w:t>
      </w:r>
      <w:r w:rsidR="00CA449E" w:rsidRPr="003E5BD7">
        <w:t xml:space="preserve"> We have identified areas for regulatory improvement, and we seek views on our proposed approach. </w:t>
      </w:r>
      <w:r w:rsidR="00DD4E67">
        <w:t xml:space="preserve"> </w:t>
      </w:r>
    </w:p>
    <w:p w14:paraId="08ACBD50" w14:textId="13659DAB" w:rsidR="0051496C" w:rsidRDefault="008229BC" w:rsidP="00B36745">
      <w:pPr>
        <w:pStyle w:val="Paragraphbeforelist"/>
      </w:pPr>
      <w:r>
        <w:t>T</w:t>
      </w:r>
      <w:r w:rsidR="0051496C">
        <w:t xml:space="preserve">he ACMA </w:t>
      </w:r>
      <w:r w:rsidR="000A28F6">
        <w:t xml:space="preserve">regulates </w:t>
      </w:r>
      <w:r w:rsidR="0051496C">
        <w:t xml:space="preserve">EMC </w:t>
      </w:r>
      <w:r w:rsidR="000A28F6">
        <w:t>t</w:t>
      </w:r>
      <w:r w:rsidR="0051496C">
        <w:t xml:space="preserve">o help contain the risk of: </w:t>
      </w:r>
    </w:p>
    <w:p w14:paraId="65E74F59" w14:textId="77777777" w:rsidR="0051496C" w:rsidRPr="00E162C4" w:rsidRDefault="0051496C" w:rsidP="00B36745">
      <w:pPr>
        <w:pStyle w:val="Bulletlevel1"/>
      </w:pPr>
      <w:r>
        <w:t xml:space="preserve">interference to radiocommunications </w:t>
      </w:r>
    </w:p>
    <w:p w14:paraId="75DBE664" w14:textId="77777777" w:rsidR="0051496C" w:rsidRPr="00E162C4" w:rsidRDefault="0051496C" w:rsidP="00B36745">
      <w:pPr>
        <w:pStyle w:val="Bulletlevel1last"/>
      </w:pPr>
      <w:r>
        <w:t>interference to any uses or functions of equipment.</w:t>
      </w:r>
    </w:p>
    <w:p w14:paraId="6C4BF90A" w14:textId="77777777" w:rsidR="0009109D" w:rsidRDefault="0051496C" w:rsidP="00B36745">
      <w:pPr>
        <w:pStyle w:val="Paragraphbeforelist"/>
      </w:pPr>
      <w:r>
        <w:t>The EMC regulatory arrangements apply to an extensive range of equipment including, but not limited to</w:t>
      </w:r>
      <w:r w:rsidR="0009109D">
        <w:t>:</w:t>
      </w:r>
    </w:p>
    <w:p w14:paraId="00404BFD" w14:textId="71ECD99A" w:rsidR="0009109D" w:rsidRDefault="0051496C" w:rsidP="0009109D">
      <w:pPr>
        <w:pStyle w:val="Bulletlevel1"/>
      </w:pPr>
      <w:r>
        <w:t>products with internal combustion engines (such as chainsaws, motorcycles, cars, lawn mowers)</w:t>
      </w:r>
    </w:p>
    <w:p w14:paraId="35ACAA3E" w14:textId="2664E0E8" w:rsidR="0009109D" w:rsidRDefault="0051496C" w:rsidP="0009109D">
      <w:pPr>
        <w:pStyle w:val="Bulletlevel1"/>
      </w:pPr>
      <w:r>
        <w:t>household appliances (refrigerators, dishwashers, microwave ovens)</w:t>
      </w:r>
    </w:p>
    <w:p w14:paraId="4BFD4F37" w14:textId="0714F6C8" w:rsidR="0009109D" w:rsidRDefault="0051496C" w:rsidP="0009109D">
      <w:pPr>
        <w:pStyle w:val="Bulletlevel1"/>
      </w:pPr>
      <w:r>
        <w:t>electronic toys</w:t>
      </w:r>
    </w:p>
    <w:p w14:paraId="258AB330" w14:textId="4A4C099B" w:rsidR="0009109D" w:rsidRDefault="0051496C" w:rsidP="0009109D">
      <w:pPr>
        <w:pStyle w:val="Bulletlevel1"/>
      </w:pPr>
      <w:r>
        <w:t>lighting equipment</w:t>
      </w:r>
    </w:p>
    <w:p w14:paraId="49430812" w14:textId="62196CED" w:rsidR="0051496C" w:rsidRDefault="0051496C" w:rsidP="00B36745">
      <w:pPr>
        <w:pStyle w:val="Bulletlevel1last"/>
      </w:pPr>
      <w:r>
        <w:t>information technology equipment</w:t>
      </w:r>
      <w:r w:rsidR="000A28F6">
        <w:t xml:space="preserve"> (personal computers, laptops, monitors, keyboards, printers, servers, </w:t>
      </w:r>
      <w:r w:rsidR="00F21A95">
        <w:t xml:space="preserve">hard </w:t>
      </w:r>
      <w:r w:rsidR="000A28F6">
        <w:t>drives, network equipment)</w:t>
      </w:r>
      <w:r>
        <w:t>.</w:t>
      </w:r>
    </w:p>
    <w:p w14:paraId="388C031F" w14:textId="707E2979" w:rsidR="00621239" w:rsidRPr="008B7354" w:rsidRDefault="00A47FAC" w:rsidP="00594960">
      <w:pPr>
        <w:rPr>
          <w:szCs w:val="20"/>
        </w:rPr>
      </w:pPr>
      <w:r>
        <w:rPr>
          <w:rFonts w:cs="Arial"/>
          <w:color w:val="000000" w:themeColor="text1"/>
          <w:szCs w:val="20"/>
        </w:rPr>
        <w:t>We are</w:t>
      </w:r>
      <w:r w:rsidR="00594960" w:rsidRPr="008B7354">
        <w:rPr>
          <w:rFonts w:cs="Arial"/>
          <w:color w:val="000000" w:themeColor="text1"/>
          <w:szCs w:val="20"/>
        </w:rPr>
        <w:t xml:space="preserve"> </w:t>
      </w:r>
      <w:r w:rsidR="00621239" w:rsidRPr="008B7354">
        <w:rPr>
          <w:rFonts w:cs="Arial"/>
          <w:color w:val="000000" w:themeColor="text1"/>
          <w:szCs w:val="20"/>
        </w:rPr>
        <w:t>seeking views</w:t>
      </w:r>
      <w:r w:rsidR="00594960" w:rsidRPr="008B7354">
        <w:rPr>
          <w:rFonts w:cs="Arial"/>
          <w:color w:val="000000" w:themeColor="text1"/>
          <w:szCs w:val="20"/>
        </w:rPr>
        <w:t xml:space="preserve"> o</w:t>
      </w:r>
      <w:r w:rsidR="007A508F">
        <w:rPr>
          <w:rFonts w:cs="Arial"/>
          <w:color w:val="000000" w:themeColor="text1"/>
          <w:szCs w:val="20"/>
        </w:rPr>
        <w:t>n</w:t>
      </w:r>
      <w:r w:rsidR="00594960" w:rsidRPr="008B7354">
        <w:rPr>
          <w:rFonts w:cs="Arial"/>
          <w:color w:val="000000" w:themeColor="text1"/>
          <w:szCs w:val="20"/>
        </w:rPr>
        <w:t xml:space="preserve"> our EMC regulatory </w:t>
      </w:r>
      <w:r w:rsidR="00F5156F" w:rsidRPr="008B7354">
        <w:rPr>
          <w:rFonts w:cs="Arial"/>
          <w:color w:val="000000" w:themeColor="text1"/>
          <w:szCs w:val="20"/>
        </w:rPr>
        <w:t>arrangements</w:t>
      </w:r>
      <w:r w:rsidR="00594960" w:rsidRPr="008B7354">
        <w:rPr>
          <w:rFonts w:cs="Arial"/>
          <w:color w:val="000000" w:themeColor="text1"/>
          <w:szCs w:val="20"/>
        </w:rPr>
        <w:t xml:space="preserve"> to ensure </w:t>
      </w:r>
      <w:r w:rsidR="007A508F">
        <w:rPr>
          <w:rFonts w:cs="Arial"/>
          <w:color w:val="000000" w:themeColor="text1"/>
          <w:szCs w:val="20"/>
        </w:rPr>
        <w:t xml:space="preserve">they remain </w:t>
      </w:r>
      <w:r w:rsidR="007E47E6">
        <w:rPr>
          <w:rFonts w:cs="Arial"/>
          <w:color w:val="000000" w:themeColor="text1"/>
          <w:szCs w:val="20"/>
        </w:rPr>
        <w:t>effective</w:t>
      </w:r>
      <w:r w:rsidR="00594960" w:rsidRPr="008B7354">
        <w:rPr>
          <w:rFonts w:cs="Arial"/>
          <w:color w:val="000000" w:themeColor="text1"/>
          <w:szCs w:val="20"/>
        </w:rPr>
        <w:t xml:space="preserve"> for </w:t>
      </w:r>
      <w:r w:rsidR="004F3409">
        <w:rPr>
          <w:rFonts w:cs="Arial"/>
          <w:color w:val="000000" w:themeColor="text1"/>
          <w:szCs w:val="20"/>
        </w:rPr>
        <w:t>both the</w:t>
      </w:r>
      <w:r w:rsidR="00FA0290">
        <w:rPr>
          <w:rFonts w:cs="Arial"/>
          <w:color w:val="000000" w:themeColor="text1"/>
          <w:szCs w:val="20"/>
        </w:rPr>
        <w:t xml:space="preserve"> current electromagnetic environment</w:t>
      </w:r>
      <w:r w:rsidR="0076145C">
        <w:rPr>
          <w:rFonts w:cs="Arial"/>
          <w:color w:val="000000" w:themeColor="text1"/>
          <w:szCs w:val="20"/>
        </w:rPr>
        <w:t xml:space="preserve"> as well as </w:t>
      </w:r>
      <w:r w:rsidR="00D73F85">
        <w:rPr>
          <w:rFonts w:cs="Arial"/>
          <w:color w:val="000000" w:themeColor="text1"/>
          <w:szCs w:val="20"/>
        </w:rPr>
        <w:t xml:space="preserve">being </w:t>
      </w:r>
      <w:r w:rsidR="004F3409">
        <w:rPr>
          <w:rFonts w:cs="Arial"/>
          <w:color w:val="000000" w:themeColor="text1"/>
          <w:szCs w:val="20"/>
        </w:rPr>
        <w:t xml:space="preserve">durable enough to </w:t>
      </w:r>
      <w:r w:rsidR="003C6C3E">
        <w:rPr>
          <w:rFonts w:cs="Arial"/>
          <w:color w:val="000000" w:themeColor="text1"/>
          <w:szCs w:val="20"/>
        </w:rPr>
        <w:t>accommodate anticipated future developments</w:t>
      </w:r>
      <w:r w:rsidR="007E47E6">
        <w:rPr>
          <w:rFonts w:cs="Arial"/>
          <w:color w:val="000000" w:themeColor="text1"/>
          <w:szCs w:val="20"/>
        </w:rPr>
        <w:t>.</w:t>
      </w:r>
      <w:r w:rsidR="007E47E6" w:rsidRPr="008B7354">
        <w:rPr>
          <w:rFonts w:cs="Arial"/>
          <w:color w:val="000000" w:themeColor="text1"/>
          <w:szCs w:val="20"/>
        </w:rPr>
        <w:t xml:space="preserve"> </w:t>
      </w:r>
      <w:r w:rsidR="004806CC">
        <w:rPr>
          <w:rFonts w:cs="Arial"/>
          <w:color w:val="000000" w:themeColor="text1"/>
          <w:szCs w:val="20"/>
        </w:rPr>
        <w:t xml:space="preserve">We seek </w:t>
      </w:r>
      <w:r w:rsidR="007E47E6">
        <w:rPr>
          <w:rFonts w:cs="Arial"/>
          <w:color w:val="000000" w:themeColor="text1"/>
          <w:szCs w:val="20"/>
        </w:rPr>
        <w:t>to</w:t>
      </w:r>
      <w:r w:rsidR="00621239" w:rsidRPr="008B7354">
        <w:rPr>
          <w:rFonts w:cs="Arial"/>
          <w:color w:val="000000" w:themeColor="text1"/>
          <w:szCs w:val="20"/>
        </w:rPr>
        <w:t xml:space="preserve"> </w:t>
      </w:r>
      <w:r w:rsidR="007E47E6">
        <w:rPr>
          <w:rFonts w:cs="Arial"/>
          <w:color w:val="000000" w:themeColor="text1"/>
          <w:szCs w:val="20"/>
        </w:rPr>
        <w:t xml:space="preserve">balance the need to </w:t>
      </w:r>
      <w:r w:rsidR="007E47E6" w:rsidRPr="008B7354">
        <w:rPr>
          <w:rFonts w:cs="Arial"/>
          <w:color w:val="000000" w:themeColor="text1"/>
          <w:szCs w:val="20"/>
        </w:rPr>
        <w:t>provid</w:t>
      </w:r>
      <w:r w:rsidR="007E47E6">
        <w:rPr>
          <w:rFonts w:cs="Arial"/>
          <w:color w:val="000000" w:themeColor="text1"/>
          <w:szCs w:val="20"/>
        </w:rPr>
        <w:t>e</w:t>
      </w:r>
      <w:r w:rsidR="007E47E6" w:rsidRPr="008B7354">
        <w:rPr>
          <w:rFonts w:cs="Arial"/>
          <w:color w:val="000000" w:themeColor="text1"/>
          <w:szCs w:val="20"/>
        </w:rPr>
        <w:t xml:space="preserve"> </w:t>
      </w:r>
      <w:r w:rsidR="00621239" w:rsidRPr="008B7354">
        <w:rPr>
          <w:szCs w:val="20"/>
        </w:rPr>
        <w:t>suppliers with flexibility in achieving compliance with relevant technical requirements</w:t>
      </w:r>
      <w:r w:rsidR="00FA0290">
        <w:rPr>
          <w:szCs w:val="20"/>
        </w:rPr>
        <w:t>,</w:t>
      </w:r>
      <w:r w:rsidR="00621239" w:rsidRPr="008B7354">
        <w:rPr>
          <w:szCs w:val="20"/>
        </w:rPr>
        <w:t xml:space="preserve"> while minimising the risks of </w:t>
      </w:r>
      <w:r w:rsidR="001C50DD" w:rsidRPr="008B7354">
        <w:rPr>
          <w:szCs w:val="20"/>
        </w:rPr>
        <w:t xml:space="preserve">electromagnetic </w:t>
      </w:r>
      <w:r w:rsidR="00303077">
        <w:rPr>
          <w:szCs w:val="20"/>
        </w:rPr>
        <w:t>interference</w:t>
      </w:r>
      <w:r w:rsidR="001C50DD" w:rsidRPr="008B7354">
        <w:rPr>
          <w:szCs w:val="20"/>
        </w:rPr>
        <w:t>.</w:t>
      </w:r>
    </w:p>
    <w:p w14:paraId="7E2B7AE0" w14:textId="6D73A0EF" w:rsidR="00C05AD1" w:rsidRDefault="0009103E" w:rsidP="00B36745">
      <w:pPr>
        <w:pStyle w:val="Paragraphbeforelist"/>
      </w:pPr>
      <w:r>
        <w:t>The paper identifies several potential areas of reform including</w:t>
      </w:r>
      <w:r w:rsidR="00C05AD1">
        <w:t>:</w:t>
      </w:r>
    </w:p>
    <w:p w14:paraId="36D43009" w14:textId="0474B657" w:rsidR="008229BC" w:rsidRPr="00B60A81" w:rsidRDefault="00C05AD1" w:rsidP="00B36745">
      <w:pPr>
        <w:pStyle w:val="Bulletlevel1"/>
      </w:pPr>
      <w:r w:rsidRPr="00B60A81">
        <w:t xml:space="preserve">expanding the </w:t>
      </w:r>
      <w:r>
        <w:t xml:space="preserve">current list </w:t>
      </w:r>
      <w:r w:rsidRPr="00B60A81">
        <w:t xml:space="preserve">of industry standards that may be used to demonstrate </w:t>
      </w:r>
      <w:proofErr w:type="gramStart"/>
      <w:r w:rsidRPr="00B60A81">
        <w:t>compliance</w:t>
      </w:r>
      <w:proofErr w:type="gramEnd"/>
      <w:r>
        <w:t xml:space="preserve"> </w:t>
      </w:r>
      <w:r w:rsidR="0009103E">
        <w:t xml:space="preserve"> </w:t>
      </w:r>
    </w:p>
    <w:p w14:paraId="1F226B99" w14:textId="37565EE0" w:rsidR="00612773" w:rsidRPr="0057047C" w:rsidRDefault="00612773" w:rsidP="00B36745">
      <w:pPr>
        <w:pStyle w:val="Bulletlevel1"/>
      </w:pPr>
      <w:r>
        <w:t>assessing whether the current arrangements effectively mitigate the potential risks associated with advance</w:t>
      </w:r>
      <w:r w:rsidR="00C9144A">
        <w:t>s</w:t>
      </w:r>
      <w:r>
        <w:t xml:space="preserve"> in vehicles including the proliferation of electric vehicles and their associated </w:t>
      </w:r>
      <w:proofErr w:type="gramStart"/>
      <w:r>
        <w:t>equipment</w:t>
      </w:r>
      <w:proofErr w:type="gramEnd"/>
      <w:r>
        <w:t xml:space="preserve"> </w:t>
      </w:r>
    </w:p>
    <w:p w14:paraId="6A0E1BA5" w14:textId="74826AF9" w:rsidR="00C05AD1" w:rsidRDefault="00C05AD1" w:rsidP="00B36745">
      <w:pPr>
        <w:pStyle w:val="Bulletlevel1last"/>
      </w:pPr>
      <w:r w:rsidRPr="00B60A81">
        <w:t xml:space="preserve">amending the current categorisation of low, medium and </w:t>
      </w:r>
      <w:r w:rsidR="00EF5748">
        <w:t>high-risk</w:t>
      </w:r>
      <w:r>
        <w:t xml:space="preserve"> devices</w:t>
      </w:r>
      <w:r w:rsidR="00135BDB">
        <w:t xml:space="preserve"> to ensure our regulation accurate</w:t>
      </w:r>
      <w:r w:rsidR="005D5C23">
        <w:t>ly</w:t>
      </w:r>
      <w:r w:rsidR="00135BDB">
        <w:t xml:space="preserve"> reflects the </w:t>
      </w:r>
      <w:r w:rsidR="00C9144A">
        <w:t xml:space="preserve">degree of potential </w:t>
      </w:r>
      <w:r w:rsidR="00135BDB">
        <w:t>harm associated with particular devices</w:t>
      </w:r>
      <w:r w:rsidR="00612773">
        <w:t>.</w:t>
      </w:r>
    </w:p>
    <w:p w14:paraId="09759488" w14:textId="3394647C" w:rsidR="00C9144A" w:rsidRDefault="004D11B5" w:rsidP="00B36745">
      <w:pPr>
        <w:pStyle w:val="Paragraphbeforelist"/>
      </w:pPr>
      <w:r>
        <w:t>F</w:t>
      </w:r>
      <w:r w:rsidR="00017B5D" w:rsidRPr="00B54B30">
        <w:t xml:space="preserve">eedback from this process will inform </w:t>
      </w:r>
      <w:r w:rsidR="00A47FAC">
        <w:t>our</w:t>
      </w:r>
      <w:r w:rsidR="00B54B30" w:rsidRPr="00B54B30">
        <w:t xml:space="preserve"> approach</w:t>
      </w:r>
      <w:r w:rsidR="00B54B30">
        <w:t xml:space="preserve"> </w:t>
      </w:r>
      <w:r w:rsidR="00943817">
        <w:t>when</w:t>
      </w:r>
      <w:r w:rsidR="00F43B99">
        <w:t xml:space="preserve"> </w:t>
      </w:r>
      <w:r w:rsidR="0009109D">
        <w:t>we</w:t>
      </w:r>
      <w:r w:rsidR="00F43B99">
        <w:t xml:space="preserve"> undertake further consultation </w:t>
      </w:r>
      <w:r w:rsidR="00562D30">
        <w:t>next year</w:t>
      </w:r>
      <w:r w:rsidR="00C9144A">
        <w:t xml:space="preserve"> on specific proposals to update the regulation by:</w:t>
      </w:r>
    </w:p>
    <w:p w14:paraId="3CBEDEC8" w14:textId="3B36DFF3" w:rsidR="00C9144A" w:rsidRDefault="00C9144A" w:rsidP="004D11B5">
      <w:pPr>
        <w:pStyle w:val="Bulletlevel1"/>
      </w:pPr>
      <w:r>
        <w:t>repealing the</w:t>
      </w:r>
      <w:r w:rsidR="00BA6DFB">
        <w:t xml:space="preserve"> </w:t>
      </w:r>
      <w:hyperlink r:id="rId25" w:history="1">
        <w:r w:rsidR="00562D30" w:rsidRPr="00B36745">
          <w:rPr>
            <w:rStyle w:val="Hyperlink"/>
          </w:rPr>
          <w:t>Radiocommunications (Electromagnetic Compatibility) Standard 2017</w:t>
        </w:r>
      </w:hyperlink>
      <w:r w:rsidR="00562D30" w:rsidRPr="00562D30">
        <w:t xml:space="preserve"> (the EMC standard)</w:t>
      </w:r>
      <w:r w:rsidR="00562D30">
        <w:t xml:space="preserve"> </w:t>
      </w:r>
      <w:r w:rsidR="007C3A21">
        <w:t xml:space="preserve">and </w:t>
      </w:r>
      <w:hyperlink r:id="rId26" w:history="1">
        <w:r w:rsidR="00562D30" w:rsidRPr="00B36745">
          <w:rPr>
            <w:rStyle w:val="Hyperlink"/>
          </w:rPr>
          <w:t>Radiocommunications Labelling (Electromagnetic Compatibility) Notice 2017</w:t>
        </w:r>
      </w:hyperlink>
      <w:r w:rsidR="00562D30" w:rsidRPr="00562D30">
        <w:t xml:space="preserve"> (the EMC labelling notice)</w:t>
      </w:r>
      <w:r>
        <w:t xml:space="preserve"> </w:t>
      </w:r>
    </w:p>
    <w:p w14:paraId="2ACDA6EE" w14:textId="32B6A682" w:rsidR="00951178" w:rsidRPr="00C9144A" w:rsidRDefault="00C9144A" w:rsidP="004D11B5">
      <w:pPr>
        <w:pStyle w:val="Bulletlevel2"/>
      </w:pPr>
      <w:r>
        <w:t xml:space="preserve">including new EMC regulation </w:t>
      </w:r>
      <w:r w:rsidR="007C3A21">
        <w:t xml:space="preserve">in the </w:t>
      </w:r>
      <w:hyperlink r:id="rId27" w:history="1">
        <w:r w:rsidR="00562D30" w:rsidRPr="00B36745">
          <w:rPr>
            <w:rStyle w:val="Hyperlink"/>
          </w:rPr>
          <w:t>Radiocommunications Equipment (General) Rules 2021</w:t>
        </w:r>
      </w:hyperlink>
      <w:r w:rsidR="00562D30" w:rsidRPr="00465B24">
        <w:rPr>
          <w:i/>
        </w:rPr>
        <w:t xml:space="preserve"> </w:t>
      </w:r>
      <w:r w:rsidR="00562D30" w:rsidRPr="00562D30">
        <w:t>(General Equipment Rules)</w:t>
      </w:r>
      <w:r w:rsidR="00562D30">
        <w:t>.</w:t>
      </w:r>
    </w:p>
    <w:p w14:paraId="6EE2EE72" w14:textId="2B430725" w:rsidR="00951178" w:rsidRPr="00E162C4" w:rsidRDefault="00951178" w:rsidP="00951178">
      <w:pPr>
        <w:pStyle w:val="Heading1"/>
      </w:pPr>
      <w:bookmarkStart w:id="2" w:name="_Toc149912267"/>
      <w:r>
        <w:lastRenderedPageBreak/>
        <w:t>Background</w:t>
      </w:r>
      <w:bookmarkEnd w:id="2"/>
    </w:p>
    <w:p w14:paraId="1757421F" w14:textId="107AD710" w:rsidR="00E96BE2" w:rsidRDefault="00E96BE2" w:rsidP="00E96BE2">
      <w:pPr>
        <w:pStyle w:val="Heading2"/>
      </w:pPr>
      <w:bookmarkStart w:id="3" w:name="_Toc149912268"/>
      <w:r>
        <w:t>Recent changes</w:t>
      </w:r>
      <w:bookmarkEnd w:id="3"/>
      <w:r w:rsidR="008D0C27">
        <w:t xml:space="preserve"> </w:t>
      </w:r>
    </w:p>
    <w:p w14:paraId="5F5065E3" w14:textId="49BCEA75" w:rsidR="00E96BE2" w:rsidRDefault="00E96BE2" w:rsidP="00E96BE2">
      <w:pPr>
        <w:pStyle w:val="Paragraph"/>
      </w:pPr>
      <w:r>
        <w:t xml:space="preserve">The </w:t>
      </w:r>
      <w:r w:rsidRPr="00C0622A">
        <w:rPr>
          <w:szCs w:val="20"/>
        </w:rPr>
        <w:t xml:space="preserve">Act was amended </w:t>
      </w:r>
      <w:r>
        <w:rPr>
          <w:szCs w:val="20"/>
        </w:rPr>
        <w:t xml:space="preserve">in 2021 </w:t>
      </w:r>
      <w:r w:rsidRPr="00C0622A">
        <w:rPr>
          <w:szCs w:val="20"/>
        </w:rPr>
        <w:t xml:space="preserve">by the </w:t>
      </w:r>
      <w:hyperlink r:id="rId28" w:history="1">
        <w:r w:rsidRPr="00B36745">
          <w:rPr>
            <w:rStyle w:val="Hyperlink"/>
            <w:szCs w:val="20"/>
          </w:rPr>
          <w:t>Radiocommunications Legislation Amendment (Reform and Modernisation) Act 2020</w:t>
        </w:r>
      </w:hyperlink>
      <w:r w:rsidRPr="009401D2">
        <w:rPr>
          <w:szCs w:val="20"/>
        </w:rPr>
        <w:t xml:space="preserve"> (the Modernisation Act).</w:t>
      </w:r>
      <w:r w:rsidRPr="009401D2" w:rsidDel="005F26A5">
        <w:rPr>
          <w:szCs w:val="20"/>
        </w:rPr>
        <w:t xml:space="preserve"> </w:t>
      </w:r>
    </w:p>
    <w:p w14:paraId="2A61984C" w14:textId="5A523E7B" w:rsidR="00E96BE2" w:rsidRPr="00C0622A" w:rsidRDefault="00E96BE2" w:rsidP="00E96BE2">
      <w:pPr>
        <w:pStyle w:val="Paragraph"/>
        <w:rPr>
          <w:szCs w:val="20"/>
        </w:rPr>
      </w:pPr>
      <w:r w:rsidRPr="00C0622A">
        <w:rPr>
          <w:szCs w:val="20"/>
        </w:rPr>
        <w:t xml:space="preserve">The </w:t>
      </w:r>
      <w:r>
        <w:rPr>
          <w:szCs w:val="20"/>
        </w:rPr>
        <w:t>Modernisation</w:t>
      </w:r>
      <w:r w:rsidRPr="00C0622A">
        <w:rPr>
          <w:szCs w:val="20"/>
        </w:rPr>
        <w:t xml:space="preserve"> Act introduced the power for </w:t>
      </w:r>
      <w:r w:rsidRPr="009401D2">
        <w:rPr>
          <w:szCs w:val="20"/>
        </w:rPr>
        <w:t>the ACMA</w:t>
      </w:r>
      <w:r w:rsidRPr="00C0622A">
        <w:rPr>
          <w:szCs w:val="20"/>
        </w:rPr>
        <w:t xml:space="preserve"> to make equipment rules under subsection 156(1) of the Act. </w:t>
      </w:r>
    </w:p>
    <w:p w14:paraId="7D1C657C" w14:textId="7CAF72BD" w:rsidR="00E96BE2" w:rsidRPr="00C0622A" w:rsidRDefault="00E96BE2" w:rsidP="00B36745">
      <w:pPr>
        <w:pStyle w:val="Paragraphbeforelist"/>
      </w:pPr>
      <w:r w:rsidRPr="00C0622A">
        <w:t xml:space="preserve">Items 42 and 44 of Schedule 4 to the </w:t>
      </w:r>
      <w:r>
        <w:t xml:space="preserve">Modernisation Act </w:t>
      </w:r>
      <w:r w:rsidRPr="00C0622A">
        <w:t>pr</w:t>
      </w:r>
      <w:r>
        <w:t>escribe</w:t>
      </w:r>
      <w:r w:rsidRPr="00C0622A">
        <w:t xml:space="preserve"> transitional arrangements to save the following </w:t>
      </w:r>
      <w:r>
        <w:t>EMC</w:t>
      </w:r>
      <w:r w:rsidRPr="00C0622A">
        <w:t xml:space="preserve"> legislative instruments</w:t>
      </w:r>
      <w:r>
        <w:t xml:space="preserve"> as if they had been made as equipment rules</w:t>
      </w:r>
      <w:r w:rsidRPr="00C0622A">
        <w:t>:</w:t>
      </w:r>
    </w:p>
    <w:p w14:paraId="456E49FF" w14:textId="178F3878" w:rsidR="00E96BE2" w:rsidRPr="00C0622A" w:rsidRDefault="00E96BE2" w:rsidP="0009109D">
      <w:pPr>
        <w:pStyle w:val="Bulletlevel1"/>
      </w:pPr>
      <w:bookmarkStart w:id="4" w:name="_Hlk148339753"/>
      <w:r>
        <w:t xml:space="preserve">the </w:t>
      </w:r>
      <w:r w:rsidRPr="00C0622A">
        <w:t>EMC standard</w:t>
      </w:r>
    </w:p>
    <w:p w14:paraId="33199088" w14:textId="2E2BB70C" w:rsidR="00E96BE2" w:rsidRPr="00C0622A" w:rsidRDefault="00E96BE2" w:rsidP="00B36745">
      <w:pPr>
        <w:pStyle w:val="Bulletlevel1last"/>
      </w:pPr>
      <w:bookmarkStart w:id="5" w:name="_Hlk148339807"/>
      <w:bookmarkEnd w:id="4"/>
      <w:r>
        <w:t xml:space="preserve">the </w:t>
      </w:r>
      <w:r w:rsidRPr="00C0622A">
        <w:t>EMC labelling notice</w:t>
      </w:r>
      <w:bookmarkEnd w:id="5"/>
      <w:r w:rsidR="00B36745">
        <w:t>.</w:t>
      </w:r>
    </w:p>
    <w:p w14:paraId="76CA8386" w14:textId="77777777" w:rsidR="00E96BE2" w:rsidRDefault="00E96BE2" w:rsidP="00B36745">
      <w:pPr>
        <w:pStyle w:val="Paragraphbeforelist"/>
      </w:pPr>
      <w:r>
        <w:t>Subsection 156(3) of the Act specifies that the equipment rules must be directed towards achieving specified objectives, which may include, but are not limited to, the following EMC-related objectives:</w:t>
      </w:r>
    </w:p>
    <w:p w14:paraId="5224AEE1" w14:textId="77777777" w:rsidR="00E96BE2" w:rsidRPr="0009109D" w:rsidRDefault="00E96BE2" w:rsidP="0009109D">
      <w:pPr>
        <w:pStyle w:val="Bulletlevel1"/>
      </w:pPr>
      <w:r w:rsidRPr="0009109D">
        <w:t>ensuring the electromagnetic compatibility of equipment</w:t>
      </w:r>
    </w:p>
    <w:p w14:paraId="6455C9AC" w14:textId="77777777" w:rsidR="00E96BE2" w:rsidRPr="0009109D" w:rsidRDefault="00E96BE2" w:rsidP="0009109D">
      <w:pPr>
        <w:pStyle w:val="Bulletlevel1"/>
      </w:pPr>
      <w:r w:rsidRPr="0009109D">
        <w:t xml:space="preserve">containing interference to radiocommunications </w:t>
      </w:r>
    </w:p>
    <w:p w14:paraId="4A26C6D1" w14:textId="433A49BD" w:rsidR="00E96BE2" w:rsidRDefault="00E96BE2" w:rsidP="00B36745">
      <w:pPr>
        <w:pStyle w:val="Bulletlevel1last"/>
      </w:pPr>
      <w:r>
        <w:t>containing interference to any uses or functions of equipment</w:t>
      </w:r>
      <w:r w:rsidR="003B6A07">
        <w:t>.</w:t>
      </w:r>
    </w:p>
    <w:p w14:paraId="068AB5BB" w14:textId="77777777" w:rsidR="00E96BE2" w:rsidRDefault="00E96BE2" w:rsidP="00E96BE2">
      <w:pPr>
        <w:pStyle w:val="Paragraph"/>
      </w:pPr>
      <w:r>
        <w:t>Section 158 of the Act also sets out that the equipment rules may prescribe standards for equipment, which may require equipment to have particular design features or to meet particular performance requirements.</w:t>
      </w:r>
    </w:p>
    <w:p w14:paraId="63C058DB" w14:textId="5E1A039A" w:rsidR="00E96BE2" w:rsidRDefault="00E96BE2" w:rsidP="00E96BE2">
      <w:pPr>
        <w:pStyle w:val="Paragraph"/>
      </w:pPr>
      <w:r>
        <w:t>Section 159 of the Act sets out that the equipment rules may impose obligations or prohibitions in relat</w:t>
      </w:r>
      <w:r w:rsidR="008D0C27">
        <w:t>ion</w:t>
      </w:r>
      <w:r>
        <w:t xml:space="preserve"> to equipment</w:t>
      </w:r>
      <w:r w:rsidR="0009109D">
        <w:t>. S</w:t>
      </w:r>
      <w:r>
        <w:t>ection 160 provides that a person to whom a prohibition or obligation applies must comply with that prohibition or obligation, subject to the penalties set out in that section.</w:t>
      </w:r>
    </w:p>
    <w:p w14:paraId="651DBA66" w14:textId="27090649" w:rsidR="00E96BE2" w:rsidRDefault="00E96BE2" w:rsidP="00E96BE2">
      <w:pPr>
        <w:pStyle w:val="Paragraph"/>
      </w:pPr>
      <w:r>
        <w:t xml:space="preserve">In May 2021, </w:t>
      </w:r>
      <w:r w:rsidR="0009109D">
        <w:t>we</w:t>
      </w:r>
      <w:r>
        <w:t xml:space="preserve"> made the </w:t>
      </w:r>
      <w:bookmarkStart w:id="6" w:name="_Hlk148339873"/>
      <w:r w:rsidRPr="007044FD">
        <w:t xml:space="preserve">General Equipment Rules </w:t>
      </w:r>
      <w:bookmarkEnd w:id="6"/>
      <w:r>
        <w:t>under the Act. The General Equipment Rules commenced in June 2021.</w:t>
      </w:r>
    </w:p>
    <w:p w14:paraId="4084CA06" w14:textId="40E8F981" w:rsidR="00E96BE2" w:rsidRDefault="00E96BE2" w:rsidP="00E96BE2">
      <w:pPr>
        <w:pStyle w:val="Paragraph"/>
      </w:pPr>
      <w:r w:rsidRPr="0028663D">
        <w:rPr>
          <w:szCs w:val="20"/>
        </w:rPr>
        <w:t xml:space="preserve">Since making the General Equipment Rules, </w:t>
      </w:r>
      <w:r>
        <w:rPr>
          <w:iCs/>
          <w:szCs w:val="20"/>
        </w:rPr>
        <w:t xml:space="preserve">we have </w:t>
      </w:r>
      <w:r w:rsidRPr="0028663D">
        <w:rPr>
          <w:szCs w:val="20"/>
        </w:rPr>
        <w:t xml:space="preserve">been undertaking a staged program to reform and modernise our radiocommunications equipment regulation. </w:t>
      </w:r>
      <w:r>
        <w:t xml:space="preserve">We envisage the General Equipment Rules will become a </w:t>
      </w:r>
      <w:r w:rsidR="0009109D">
        <w:t>‘</w:t>
      </w:r>
      <w:r>
        <w:t>one-stop shop</w:t>
      </w:r>
      <w:r w:rsidR="0009109D">
        <w:t>’</w:t>
      </w:r>
      <w:r>
        <w:t xml:space="preserve"> for radiocommunications equipment regulation.</w:t>
      </w:r>
    </w:p>
    <w:p w14:paraId="710BDFF8" w14:textId="72B26EDB" w:rsidR="00973988" w:rsidRDefault="00973988" w:rsidP="00B36745">
      <w:pPr>
        <w:pStyle w:val="Tableheading"/>
      </w:pPr>
      <w:r>
        <w:lastRenderedPageBreak/>
        <w:t>S</w:t>
      </w:r>
      <w:r w:rsidRPr="0028663D">
        <w:t>taged program to reform and modernise radiocommunications equipment regulation</w:t>
      </w:r>
      <w:r>
        <w:t xml:space="preserve">. </w:t>
      </w:r>
    </w:p>
    <w:tbl>
      <w:tblPr>
        <w:tblStyle w:val="ACMAtablestyle"/>
        <w:tblW w:w="8075" w:type="dxa"/>
        <w:tblLook w:val="04A0" w:firstRow="1" w:lastRow="0" w:firstColumn="1" w:lastColumn="0" w:noHBand="0" w:noVBand="1"/>
      </w:tblPr>
      <w:tblGrid>
        <w:gridCol w:w="1413"/>
        <w:gridCol w:w="4819"/>
        <w:gridCol w:w="1843"/>
      </w:tblGrid>
      <w:tr w:rsidR="0009109D" w:rsidRPr="0009109D" w14:paraId="05C15EB7" w14:textId="77777777" w:rsidTr="0009109D">
        <w:trPr>
          <w:cnfStyle w:val="100000000000" w:firstRow="1" w:lastRow="0" w:firstColumn="0" w:lastColumn="0" w:oddVBand="0" w:evenVBand="0" w:oddHBand="0" w:evenHBand="0" w:firstRowFirstColumn="0" w:firstRowLastColumn="0" w:lastRowFirstColumn="0" w:lastRowLastColumn="0"/>
        </w:trPr>
        <w:tc>
          <w:tcPr>
            <w:tcW w:w="1413" w:type="dxa"/>
          </w:tcPr>
          <w:p w14:paraId="41472265" w14:textId="77777777" w:rsidR="00E96BE2" w:rsidRPr="00B36745" w:rsidRDefault="00E96BE2" w:rsidP="00B36745">
            <w:pPr>
              <w:pStyle w:val="Paragraph"/>
              <w:keepNext/>
              <w:keepLines/>
              <w:rPr>
                <w:b/>
                <w:szCs w:val="20"/>
              </w:rPr>
            </w:pPr>
            <w:r w:rsidRPr="00B36745">
              <w:rPr>
                <w:b/>
                <w:szCs w:val="20"/>
              </w:rPr>
              <w:t>Project stage</w:t>
            </w:r>
          </w:p>
        </w:tc>
        <w:tc>
          <w:tcPr>
            <w:tcW w:w="4819" w:type="dxa"/>
          </w:tcPr>
          <w:p w14:paraId="60FF4AD7" w14:textId="77777777" w:rsidR="00E96BE2" w:rsidRPr="00B36745" w:rsidRDefault="00E96BE2" w:rsidP="00B36745">
            <w:pPr>
              <w:pStyle w:val="Paragraph"/>
              <w:keepNext/>
              <w:keepLines/>
              <w:rPr>
                <w:b/>
                <w:szCs w:val="20"/>
              </w:rPr>
            </w:pPr>
            <w:r w:rsidRPr="00B36745">
              <w:rPr>
                <w:b/>
                <w:szCs w:val="20"/>
              </w:rPr>
              <w:t>Technical standard(s) and labelling notice(s) incorporated in the General Equipment Rules</w:t>
            </w:r>
          </w:p>
        </w:tc>
        <w:tc>
          <w:tcPr>
            <w:tcW w:w="1843" w:type="dxa"/>
          </w:tcPr>
          <w:p w14:paraId="3CE70541" w14:textId="27F6F09A" w:rsidR="00E96BE2" w:rsidRPr="00B36745" w:rsidRDefault="00E96BE2" w:rsidP="00B36745">
            <w:pPr>
              <w:pStyle w:val="Paragraph"/>
              <w:keepNext/>
              <w:keepLines/>
              <w:rPr>
                <w:b/>
                <w:szCs w:val="20"/>
              </w:rPr>
            </w:pPr>
            <w:r w:rsidRPr="00B36745">
              <w:rPr>
                <w:b/>
                <w:szCs w:val="20"/>
              </w:rPr>
              <w:t>Timeframe</w:t>
            </w:r>
          </w:p>
        </w:tc>
      </w:tr>
      <w:tr w:rsidR="00E96BE2" w14:paraId="6F13E36E" w14:textId="77777777" w:rsidTr="0064266A">
        <w:trPr>
          <w:cnfStyle w:val="000000100000" w:firstRow="0" w:lastRow="0" w:firstColumn="0" w:lastColumn="0" w:oddVBand="0" w:evenVBand="0" w:oddHBand="1" w:evenHBand="0" w:firstRowFirstColumn="0" w:firstRowLastColumn="0" w:lastRowFirstColumn="0" w:lastRowLastColumn="0"/>
        </w:trPr>
        <w:tc>
          <w:tcPr>
            <w:tcW w:w="0" w:type="dxa"/>
          </w:tcPr>
          <w:p w14:paraId="665B4C9F" w14:textId="77777777" w:rsidR="00E96BE2" w:rsidRPr="00B36745" w:rsidRDefault="00E96BE2" w:rsidP="00B36745">
            <w:pPr>
              <w:pStyle w:val="Paragraph"/>
              <w:keepNext/>
              <w:keepLines/>
              <w:rPr>
                <w:szCs w:val="20"/>
              </w:rPr>
            </w:pPr>
            <w:r w:rsidRPr="00B36745">
              <w:rPr>
                <w:szCs w:val="20"/>
              </w:rPr>
              <w:t>Stage 1</w:t>
            </w:r>
          </w:p>
        </w:tc>
        <w:tc>
          <w:tcPr>
            <w:tcW w:w="0" w:type="dxa"/>
          </w:tcPr>
          <w:p w14:paraId="57976E2A" w14:textId="77777777" w:rsidR="00E96BE2" w:rsidRPr="00B36745" w:rsidRDefault="00E96BE2" w:rsidP="00B36745">
            <w:pPr>
              <w:pStyle w:val="Paragraph"/>
              <w:keepNext/>
              <w:keepLines/>
              <w:rPr>
                <w:szCs w:val="20"/>
              </w:rPr>
            </w:pPr>
            <w:r w:rsidRPr="00B36745">
              <w:rPr>
                <w:szCs w:val="20"/>
              </w:rPr>
              <w:t>Radiocommunications (Electromagnetic Radiation – Human Exposure) Standard 2014</w:t>
            </w:r>
            <w:r w:rsidRPr="00B36745">
              <w:rPr>
                <w:i/>
                <w:iCs/>
                <w:szCs w:val="20"/>
              </w:rPr>
              <w:t xml:space="preserve"> </w:t>
            </w:r>
            <w:r w:rsidRPr="00B36745">
              <w:rPr>
                <w:szCs w:val="20"/>
              </w:rPr>
              <w:t>and Radiocommunications</w:t>
            </w:r>
            <w:r w:rsidRPr="00B36745">
              <w:rPr>
                <w:i/>
                <w:iCs/>
                <w:szCs w:val="20"/>
              </w:rPr>
              <w:t xml:space="preserve"> </w:t>
            </w:r>
            <w:r w:rsidRPr="00B36745">
              <w:rPr>
                <w:szCs w:val="20"/>
              </w:rPr>
              <w:t>(Compliance Labelling – Electromagnetic Radiation) Notice 2014</w:t>
            </w:r>
          </w:p>
        </w:tc>
        <w:tc>
          <w:tcPr>
            <w:tcW w:w="0" w:type="dxa"/>
          </w:tcPr>
          <w:p w14:paraId="676A2B81" w14:textId="77777777" w:rsidR="00E96BE2" w:rsidRPr="00B36745" w:rsidRDefault="00E96BE2" w:rsidP="00B36745">
            <w:pPr>
              <w:pStyle w:val="Paragraph"/>
              <w:keepNext/>
              <w:keepLines/>
              <w:rPr>
                <w:szCs w:val="20"/>
              </w:rPr>
            </w:pPr>
            <w:r w:rsidRPr="00B36745">
              <w:rPr>
                <w:szCs w:val="20"/>
              </w:rPr>
              <w:t>Completed in November 2021</w:t>
            </w:r>
          </w:p>
        </w:tc>
      </w:tr>
      <w:tr w:rsidR="00E96BE2" w14:paraId="39F6A3A9" w14:textId="77777777" w:rsidTr="0064266A">
        <w:trPr>
          <w:cnfStyle w:val="000000010000" w:firstRow="0" w:lastRow="0" w:firstColumn="0" w:lastColumn="0" w:oddVBand="0" w:evenVBand="0" w:oddHBand="0" w:evenHBand="1" w:firstRowFirstColumn="0" w:firstRowLastColumn="0" w:lastRowFirstColumn="0" w:lastRowLastColumn="0"/>
        </w:trPr>
        <w:tc>
          <w:tcPr>
            <w:tcW w:w="0" w:type="dxa"/>
          </w:tcPr>
          <w:p w14:paraId="6908DE8E" w14:textId="77777777" w:rsidR="00E96BE2" w:rsidRPr="00B36745" w:rsidRDefault="00E96BE2" w:rsidP="00B36745">
            <w:pPr>
              <w:pStyle w:val="Paragraph"/>
              <w:keepNext/>
              <w:keepLines/>
              <w:rPr>
                <w:szCs w:val="20"/>
              </w:rPr>
            </w:pPr>
            <w:r w:rsidRPr="00B36745">
              <w:rPr>
                <w:szCs w:val="20"/>
              </w:rPr>
              <w:t>Stage 2</w:t>
            </w:r>
          </w:p>
        </w:tc>
        <w:tc>
          <w:tcPr>
            <w:tcW w:w="0" w:type="dxa"/>
          </w:tcPr>
          <w:p w14:paraId="144EE77F" w14:textId="77777777" w:rsidR="00E96BE2" w:rsidRPr="00B36745" w:rsidRDefault="00E96BE2" w:rsidP="00B36745">
            <w:pPr>
              <w:pStyle w:val="Paragraph"/>
              <w:keepNext/>
              <w:keepLines/>
              <w:rPr>
                <w:szCs w:val="20"/>
              </w:rPr>
            </w:pPr>
            <w:r w:rsidRPr="00B36745">
              <w:rPr>
                <w:szCs w:val="20"/>
              </w:rPr>
              <w:t>13 radiocommunications mandatory technical standards and the Radiocommunications (Compliance Labelling – Devices) Notice 2014</w:t>
            </w:r>
          </w:p>
        </w:tc>
        <w:tc>
          <w:tcPr>
            <w:tcW w:w="0" w:type="dxa"/>
          </w:tcPr>
          <w:p w14:paraId="3213BAEB" w14:textId="77777777" w:rsidR="00E96BE2" w:rsidRPr="00B36745" w:rsidRDefault="00E96BE2" w:rsidP="00B36745">
            <w:pPr>
              <w:pStyle w:val="Paragraph"/>
              <w:keepNext/>
              <w:keepLines/>
              <w:rPr>
                <w:szCs w:val="20"/>
              </w:rPr>
            </w:pPr>
            <w:r w:rsidRPr="00B36745">
              <w:rPr>
                <w:szCs w:val="20"/>
              </w:rPr>
              <w:t>Completed in February 2023</w:t>
            </w:r>
          </w:p>
        </w:tc>
      </w:tr>
      <w:tr w:rsidR="00E96BE2" w14:paraId="67DF53FF" w14:textId="77777777" w:rsidTr="0064266A">
        <w:trPr>
          <w:cnfStyle w:val="000000100000" w:firstRow="0" w:lastRow="0" w:firstColumn="0" w:lastColumn="0" w:oddVBand="0" w:evenVBand="0" w:oddHBand="1" w:evenHBand="0" w:firstRowFirstColumn="0" w:firstRowLastColumn="0" w:lastRowFirstColumn="0" w:lastRowLastColumn="0"/>
        </w:trPr>
        <w:tc>
          <w:tcPr>
            <w:tcW w:w="0" w:type="dxa"/>
          </w:tcPr>
          <w:p w14:paraId="45F15F83" w14:textId="77777777" w:rsidR="00E96BE2" w:rsidRPr="00B36745" w:rsidRDefault="00E96BE2" w:rsidP="00B36745">
            <w:pPr>
              <w:pStyle w:val="Paragraph"/>
              <w:keepNext/>
              <w:keepLines/>
              <w:rPr>
                <w:szCs w:val="20"/>
              </w:rPr>
            </w:pPr>
            <w:r w:rsidRPr="00B36745">
              <w:rPr>
                <w:szCs w:val="20"/>
              </w:rPr>
              <w:t xml:space="preserve">Stage 3 </w:t>
            </w:r>
          </w:p>
        </w:tc>
        <w:tc>
          <w:tcPr>
            <w:tcW w:w="0" w:type="dxa"/>
          </w:tcPr>
          <w:p w14:paraId="57EA0B9D" w14:textId="77777777" w:rsidR="00E96BE2" w:rsidRPr="00B36745" w:rsidRDefault="00E96BE2" w:rsidP="00B36745">
            <w:pPr>
              <w:pStyle w:val="Paragraph"/>
              <w:keepNext/>
              <w:keepLines/>
              <w:rPr>
                <w:szCs w:val="20"/>
              </w:rPr>
            </w:pPr>
            <w:r w:rsidRPr="00B36745">
              <w:rPr>
                <w:szCs w:val="20"/>
              </w:rPr>
              <w:t>Consideration of the Radiocommunications (Electromagnetic Compatibility) Standard 2017 and Radiocommunications Labelling (Electromagnetic Compatibility) Notice 2017</w:t>
            </w:r>
          </w:p>
        </w:tc>
        <w:tc>
          <w:tcPr>
            <w:tcW w:w="0" w:type="dxa"/>
          </w:tcPr>
          <w:p w14:paraId="48CC7CDF" w14:textId="77777777" w:rsidR="00E96BE2" w:rsidRPr="00B36745" w:rsidRDefault="00E96BE2" w:rsidP="00B36745">
            <w:pPr>
              <w:pStyle w:val="Paragraph"/>
              <w:keepNext/>
              <w:keepLines/>
              <w:rPr>
                <w:szCs w:val="20"/>
              </w:rPr>
            </w:pPr>
            <w:r w:rsidRPr="00B36745">
              <w:rPr>
                <w:szCs w:val="20"/>
              </w:rPr>
              <w:t>Consultation to commence in Q4 2023</w:t>
            </w:r>
          </w:p>
        </w:tc>
      </w:tr>
    </w:tbl>
    <w:p w14:paraId="7DA6476F" w14:textId="77777777" w:rsidR="00E96BE2" w:rsidRDefault="00E96BE2" w:rsidP="00B36745">
      <w:pPr>
        <w:pStyle w:val="Paragraph"/>
        <w:keepNext/>
        <w:keepLines/>
      </w:pPr>
      <w:r w:rsidRPr="0028663D" w:rsidDel="00DD71D8">
        <w:rPr>
          <w:szCs w:val="20"/>
        </w:rPr>
        <w:t xml:space="preserve"> </w:t>
      </w:r>
    </w:p>
    <w:p w14:paraId="3905E6BB" w14:textId="2EC4A982" w:rsidR="006C5A52" w:rsidRDefault="006C5A52" w:rsidP="005C2944">
      <w:pPr>
        <w:pStyle w:val="Heading2"/>
      </w:pPr>
      <w:bookmarkStart w:id="7" w:name="_Toc149912269"/>
      <w:r>
        <w:t xml:space="preserve">Stage 3 – Proposed </w:t>
      </w:r>
      <w:r w:rsidR="00B10685">
        <w:t>future</w:t>
      </w:r>
      <w:r>
        <w:t xml:space="preserve"> </w:t>
      </w:r>
      <w:proofErr w:type="gramStart"/>
      <w:r>
        <w:t>changes</w:t>
      </w:r>
      <w:bookmarkEnd w:id="7"/>
      <w:proofErr w:type="gramEnd"/>
    </w:p>
    <w:p w14:paraId="1CF0FABA" w14:textId="18A3C5C1" w:rsidR="00E96BE2" w:rsidRPr="00E96BE2" w:rsidRDefault="00E96BE2" w:rsidP="005C2944">
      <w:pPr>
        <w:pStyle w:val="Paragraph"/>
      </w:pPr>
      <w:r>
        <w:t xml:space="preserve">We are now at </w:t>
      </w:r>
      <w:r w:rsidR="006C5A52">
        <w:t>S</w:t>
      </w:r>
      <w:r>
        <w:t xml:space="preserve">tage </w:t>
      </w:r>
      <w:r w:rsidR="006C5A52">
        <w:t xml:space="preserve">3 of </w:t>
      </w:r>
      <w:r>
        <w:t xml:space="preserve">the </w:t>
      </w:r>
      <w:r w:rsidR="006C5A52">
        <w:t>reform program and are</w:t>
      </w:r>
      <w:r>
        <w:t xml:space="preserve"> reviewing the EMC standard and EMC labelling notice</w:t>
      </w:r>
      <w:r w:rsidR="0009109D">
        <w:t>,</w:t>
      </w:r>
      <w:r>
        <w:t xml:space="preserve"> and considering the incorporation of the relevant requirements into the General Equipment Rules. As part of this process, we want to ensure that the EMC regulatory arrangements are operating effectively</w:t>
      </w:r>
      <w:r w:rsidR="00E92B1E">
        <w:t xml:space="preserve"> and are commensurate with the potential harms</w:t>
      </w:r>
      <w:r>
        <w:t>.</w:t>
      </w:r>
    </w:p>
    <w:p w14:paraId="71B65227" w14:textId="7340C876" w:rsidR="00E96BE2" w:rsidRDefault="00E96BE2" w:rsidP="00E96BE2">
      <w:pPr>
        <w:pStyle w:val="Heading2"/>
      </w:pPr>
      <w:bookmarkStart w:id="8" w:name="_Toc149912270"/>
      <w:r>
        <w:t>Existing regulatory framework</w:t>
      </w:r>
      <w:bookmarkEnd w:id="8"/>
    </w:p>
    <w:p w14:paraId="7A7AA417" w14:textId="75FF5344" w:rsidR="00E96BE2" w:rsidRDefault="00E96BE2" w:rsidP="00E96BE2">
      <w:pPr>
        <w:pStyle w:val="Paragraph"/>
      </w:pPr>
      <w:r>
        <w:t>The ACMA’s EMC regulatory arrangements are currently set out in the Act, the General Equipment Rules, the EMC standard and the EMC labelling notice.</w:t>
      </w:r>
      <w:r w:rsidRPr="00FB3176">
        <w:t xml:space="preserve"> </w:t>
      </w:r>
      <w:r w:rsidR="0009109D">
        <w:t>Our</w:t>
      </w:r>
      <w:r>
        <w:t xml:space="preserve"> EMC regulatory arrangements</w:t>
      </w:r>
      <w:r w:rsidRPr="00FA0290">
        <w:t xml:space="preserve"> </w:t>
      </w:r>
      <w:r>
        <w:t>broadly capture any product</w:t>
      </w:r>
      <w:r w:rsidR="0009109D">
        <w:t xml:space="preserve"> –</w:t>
      </w:r>
      <w:r>
        <w:t xml:space="preserve"> irrespective of its use or function or the purpose of its design</w:t>
      </w:r>
      <w:r w:rsidR="0009109D">
        <w:t xml:space="preserve"> –</w:t>
      </w:r>
      <w:r>
        <w:t xml:space="preserve"> that is </w:t>
      </w:r>
      <w:r w:rsidRPr="0051496C">
        <w:t>capable of</w:t>
      </w:r>
      <w:r>
        <w:t xml:space="preserve"> a </w:t>
      </w:r>
      <w:r w:rsidRPr="0051496C">
        <w:t>radio emission</w:t>
      </w:r>
      <w:r>
        <w:t>, whether or not the radio emission was intended.</w:t>
      </w:r>
    </w:p>
    <w:p w14:paraId="4DF6055C" w14:textId="77777777" w:rsidR="00E96BE2" w:rsidRDefault="00E96BE2" w:rsidP="00B36745">
      <w:pPr>
        <w:pStyle w:val="Paragraphbeforelist"/>
      </w:pPr>
      <w:r>
        <w:t>Part 3 of the General Equipment Rules sets out prohibitions and obligations related to:</w:t>
      </w:r>
    </w:p>
    <w:p w14:paraId="72386FC3" w14:textId="77777777" w:rsidR="00E96BE2" w:rsidRPr="00422F05" w:rsidRDefault="00E96BE2" w:rsidP="00422F05">
      <w:pPr>
        <w:pStyle w:val="Bulletlevel1"/>
      </w:pPr>
      <w:r w:rsidRPr="00422F05">
        <w:t xml:space="preserve">causing a </w:t>
      </w:r>
      <w:r w:rsidRPr="00B36745">
        <w:t>radio emission</w:t>
      </w:r>
      <w:r w:rsidRPr="00422F05">
        <w:t xml:space="preserve"> to be made by a </w:t>
      </w:r>
      <w:r w:rsidRPr="00B36745">
        <w:t xml:space="preserve">transmitter </w:t>
      </w:r>
      <w:r w:rsidRPr="00422F05">
        <w:t xml:space="preserve">that does not comply with the EMC </w:t>
      </w:r>
      <w:proofErr w:type="gramStart"/>
      <w:r w:rsidRPr="00422F05">
        <w:t>standard</w:t>
      </w:r>
      <w:proofErr w:type="gramEnd"/>
    </w:p>
    <w:p w14:paraId="7A2487C5" w14:textId="77777777" w:rsidR="00E96BE2" w:rsidRPr="00422F05" w:rsidRDefault="00E96BE2" w:rsidP="00422F05">
      <w:pPr>
        <w:pStyle w:val="Bulletlevel1"/>
      </w:pPr>
      <w:r w:rsidRPr="00422F05">
        <w:t xml:space="preserve">possessing a device that does not comply with the EMC </w:t>
      </w:r>
      <w:proofErr w:type="gramStart"/>
      <w:r w:rsidRPr="00422F05">
        <w:t>standard</w:t>
      </w:r>
      <w:proofErr w:type="gramEnd"/>
    </w:p>
    <w:p w14:paraId="66797B30" w14:textId="77777777" w:rsidR="00E96BE2" w:rsidRDefault="00E96BE2" w:rsidP="00422F05">
      <w:pPr>
        <w:pStyle w:val="Bulletlevel1last"/>
      </w:pPr>
      <w:r>
        <w:t xml:space="preserve">supplying a device that does not comply with the EMC standard. </w:t>
      </w:r>
    </w:p>
    <w:p w14:paraId="5D77CC8F" w14:textId="77777777" w:rsidR="00E96BE2" w:rsidRDefault="00E96BE2" w:rsidP="00B36745">
      <w:pPr>
        <w:pStyle w:val="Paragraphbeforelist"/>
      </w:pPr>
      <w:r>
        <w:t>Section 8 of the Act defines ‘radio emission’ and ‘transmitter’ as follows:</w:t>
      </w:r>
    </w:p>
    <w:p w14:paraId="57EF67E8" w14:textId="77777777" w:rsidR="00E96BE2" w:rsidRPr="00B36745" w:rsidRDefault="00E96BE2" w:rsidP="00B36745">
      <w:pPr>
        <w:pStyle w:val="Bulletlevel1"/>
        <w:numPr>
          <w:ilvl w:val="0"/>
          <w:numId w:val="0"/>
        </w:numPr>
        <w:ind w:left="567"/>
        <w:rPr>
          <w:sz w:val="18"/>
          <w:szCs w:val="18"/>
        </w:rPr>
      </w:pPr>
      <w:r w:rsidRPr="00B36745">
        <w:rPr>
          <w:sz w:val="18"/>
          <w:szCs w:val="18"/>
        </w:rPr>
        <w:t>8  Definitions of radio emission and transmitter</w:t>
      </w:r>
    </w:p>
    <w:p w14:paraId="167226F2" w14:textId="77777777" w:rsidR="00E96BE2" w:rsidRPr="00B36745" w:rsidRDefault="00E96BE2" w:rsidP="00B36745">
      <w:pPr>
        <w:pStyle w:val="Bulletlevel1"/>
        <w:numPr>
          <w:ilvl w:val="0"/>
          <w:numId w:val="0"/>
        </w:numPr>
        <w:ind w:left="567"/>
        <w:rPr>
          <w:sz w:val="18"/>
          <w:szCs w:val="18"/>
        </w:rPr>
      </w:pPr>
      <w:r w:rsidRPr="00B36745">
        <w:rPr>
          <w:sz w:val="18"/>
          <w:szCs w:val="18"/>
        </w:rPr>
        <w:t>(1)  For the purposes of this Act, a </w:t>
      </w:r>
      <w:r w:rsidRPr="00B36745">
        <w:rPr>
          <w:b/>
          <w:bCs/>
          <w:i/>
          <w:iCs/>
          <w:sz w:val="18"/>
          <w:szCs w:val="18"/>
        </w:rPr>
        <w:t>radio emission</w:t>
      </w:r>
      <w:r w:rsidRPr="00B36745">
        <w:rPr>
          <w:sz w:val="18"/>
          <w:szCs w:val="18"/>
        </w:rPr>
        <w:t> is any emission of electromagnetic energy of frequencies less than 420 terahertz without continuous artificial guide, whether or not any person intended the emission to occur.</w:t>
      </w:r>
    </w:p>
    <w:p w14:paraId="344CC877" w14:textId="77777777" w:rsidR="00E96BE2" w:rsidRPr="00B36745" w:rsidRDefault="00E96BE2" w:rsidP="00B36745">
      <w:pPr>
        <w:pStyle w:val="Bulletlevel1"/>
        <w:keepNext/>
        <w:keepLines/>
        <w:numPr>
          <w:ilvl w:val="0"/>
          <w:numId w:val="0"/>
        </w:numPr>
        <w:ind w:left="567"/>
        <w:rPr>
          <w:sz w:val="18"/>
          <w:szCs w:val="18"/>
        </w:rPr>
      </w:pPr>
      <w:r w:rsidRPr="00B36745">
        <w:rPr>
          <w:sz w:val="18"/>
          <w:szCs w:val="18"/>
        </w:rPr>
        <w:lastRenderedPageBreak/>
        <w:t>(2)  For the purposes of this Act, a </w:t>
      </w:r>
      <w:r w:rsidRPr="00B36745">
        <w:rPr>
          <w:b/>
          <w:bCs/>
          <w:i/>
          <w:iCs/>
          <w:sz w:val="18"/>
          <w:szCs w:val="18"/>
        </w:rPr>
        <w:t>transmitter</w:t>
      </w:r>
      <w:r w:rsidRPr="00B36745">
        <w:rPr>
          <w:sz w:val="18"/>
          <w:szCs w:val="18"/>
        </w:rPr>
        <w:t> is:</w:t>
      </w:r>
    </w:p>
    <w:p w14:paraId="00B339B4" w14:textId="77777777" w:rsidR="00E96BE2" w:rsidRPr="00B36745" w:rsidRDefault="00E96BE2" w:rsidP="00B36745">
      <w:pPr>
        <w:pStyle w:val="Bulletlevel1"/>
        <w:keepNext/>
        <w:keepLines/>
        <w:numPr>
          <w:ilvl w:val="0"/>
          <w:numId w:val="0"/>
        </w:numPr>
        <w:ind w:left="567"/>
        <w:rPr>
          <w:sz w:val="18"/>
          <w:szCs w:val="18"/>
        </w:rPr>
      </w:pPr>
      <w:r w:rsidRPr="00B36745">
        <w:rPr>
          <w:sz w:val="18"/>
          <w:szCs w:val="18"/>
        </w:rPr>
        <w:t>(a)  anything designed or intended for radio emission; or</w:t>
      </w:r>
    </w:p>
    <w:p w14:paraId="76B951E7" w14:textId="77777777" w:rsidR="00E96BE2" w:rsidRPr="00B36745" w:rsidRDefault="00E96BE2" w:rsidP="00B36745">
      <w:pPr>
        <w:pStyle w:val="Bulletlevel1last"/>
        <w:keepNext/>
        <w:keepLines/>
        <w:numPr>
          <w:ilvl w:val="0"/>
          <w:numId w:val="0"/>
        </w:numPr>
        <w:ind w:left="567"/>
        <w:rPr>
          <w:sz w:val="18"/>
          <w:szCs w:val="18"/>
        </w:rPr>
      </w:pPr>
      <w:r w:rsidRPr="00B36745">
        <w:rPr>
          <w:sz w:val="18"/>
          <w:szCs w:val="18"/>
        </w:rPr>
        <w:t>(b)  any other thing, irrespective of its use or function or the purpose of its design, that is capable of radio emission.</w:t>
      </w:r>
    </w:p>
    <w:p w14:paraId="3E880EDE" w14:textId="0CD94B9C" w:rsidR="00E96BE2" w:rsidRDefault="00E96BE2" w:rsidP="00E96BE2">
      <w:pPr>
        <w:pStyle w:val="Paragraph"/>
      </w:pPr>
      <w:r>
        <w:t xml:space="preserve">The prohibitions in Part 3 of the General Equipment Rules do not apply if a person holds a relevant permit issued under the General Equipment Rules, </w:t>
      </w:r>
      <w:r w:rsidR="003B6A07">
        <w:t xml:space="preserve">if </w:t>
      </w:r>
      <w:r>
        <w:t>constitutional limi</w:t>
      </w:r>
      <w:r w:rsidR="00952EAE">
        <w:t>tations</w:t>
      </w:r>
      <w:r>
        <w:t xml:space="preserve"> apply, or</w:t>
      </w:r>
      <w:r w:rsidR="003B6A07">
        <w:t xml:space="preserve"> if</w:t>
      </w:r>
      <w:r>
        <w:t xml:space="preserve"> an exemption applies. </w:t>
      </w:r>
    </w:p>
    <w:p w14:paraId="04AF3B16" w14:textId="171BF277" w:rsidR="00E96BE2" w:rsidRDefault="00E96BE2" w:rsidP="00E96BE2">
      <w:pPr>
        <w:pStyle w:val="Paragraph"/>
      </w:pPr>
      <w:r>
        <w:t xml:space="preserve">Part 5 of the General Equipment Rules sets out prohibitions and obligations related to non-compliance with labelling requirements, including the requirements of the EMC labelling notice. The prohibitions and obligations in Part 5 do not apply if a person holds a relevant permit issued under the General Equipment Rules, </w:t>
      </w:r>
      <w:r w:rsidR="00952EAE">
        <w:t xml:space="preserve">if </w:t>
      </w:r>
      <w:r>
        <w:t>constitutional limit</w:t>
      </w:r>
      <w:r w:rsidR="00952EAE">
        <w:t>ations</w:t>
      </w:r>
      <w:r>
        <w:t xml:space="preserve"> apply, or </w:t>
      </w:r>
      <w:r w:rsidR="00952EAE">
        <w:t>if</w:t>
      </w:r>
      <w:r>
        <w:t xml:space="preserve"> an exemption applies.</w:t>
      </w:r>
    </w:p>
    <w:p w14:paraId="517A65B3" w14:textId="05D18DE5" w:rsidR="00E96BE2" w:rsidRDefault="00E96BE2" w:rsidP="00E96BE2">
      <w:pPr>
        <w:pStyle w:val="Paragraph"/>
      </w:pPr>
      <w:r>
        <w:t xml:space="preserve">Part 7 of the General Equipment Rules provides for the ACMA to issue a permit to a person, allowing them to </w:t>
      </w:r>
      <w:r w:rsidR="00952EAE">
        <w:t xml:space="preserve">do an </w:t>
      </w:r>
      <w:r>
        <w:t>act that is otherwise prohibited by the General Equipment Rules, or not to comply with an obligation that is otherwise required by the General Equipment Rules.</w:t>
      </w:r>
    </w:p>
    <w:p w14:paraId="5F9C7265" w14:textId="77777777" w:rsidR="00E96BE2" w:rsidRDefault="00E96BE2" w:rsidP="00E96BE2">
      <w:pPr>
        <w:pStyle w:val="Paragraph"/>
        <w:spacing w:after="80"/>
      </w:pPr>
      <w:r>
        <w:t>Part 8 of the General Equipment Rules provides exemptions to our EMC equipment regulation in relation to:</w:t>
      </w:r>
    </w:p>
    <w:p w14:paraId="0FDD7BE3" w14:textId="77777777" w:rsidR="00E96BE2" w:rsidRDefault="00E96BE2" w:rsidP="00E96BE2">
      <w:pPr>
        <w:pStyle w:val="Bulletlevel1"/>
      </w:pPr>
      <w:r>
        <w:t>emergency transmission</w:t>
      </w:r>
    </w:p>
    <w:p w14:paraId="3EE67C38" w14:textId="77777777" w:rsidR="00E96BE2" w:rsidRDefault="00E96BE2" w:rsidP="00E96BE2">
      <w:pPr>
        <w:pStyle w:val="Bulletlevel1"/>
      </w:pPr>
      <w:r>
        <w:t xml:space="preserve">possession or supply for use solely outside </w:t>
      </w:r>
      <w:proofErr w:type="gramStart"/>
      <w:r>
        <w:t>Australia</w:t>
      </w:r>
      <w:proofErr w:type="gramEnd"/>
    </w:p>
    <w:p w14:paraId="2B38587F" w14:textId="77777777" w:rsidR="00E96BE2" w:rsidRDefault="00E96BE2" w:rsidP="00E96BE2">
      <w:pPr>
        <w:pStyle w:val="Bulletlevel1"/>
      </w:pPr>
      <w:r>
        <w:t xml:space="preserve">supply for modification so that the device complies with all applicable </w:t>
      </w:r>
      <w:proofErr w:type="gramStart"/>
      <w:r>
        <w:t>standards</w:t>
      </w:r>
      <w:proofErr w:type="gramEnd"/>
    </w:p>
    <w:p w14:paraId="2BA7C60C" w14:textId="77777777" w:rsidR="00E96BE2" w:rsidRDefault="00E96BE2" w:rsidP="00E96BE2">
      <w:pPr>
        <w:pStyle w:val="Bulletlevel1"/>
      </w:pPr>
      <w:r>
        <w:t>supply for re-export</w:t>
      </w:r>
    </w:p>
    <w:p w14:paraId="5E657FE4" w14:textId="77777777" w:rsidR="00E96BE2" w:rsidRDefault="00E96BE2" w:rsidP="00E96BE2">
      <w:pPr>
        <w:pStyle w:val="Bulletlevel1last"/>
      </w:pPr>
      <w:r>
        <w:t>labelling rules for equipment imported from New Zealand.</w:t>
      </w:r>
    </w:p>
    <w:p w14:paraId="76E83D3E" w14:textId="26317B40" w:rsidR="00E96BE2" w:rsidRDefault="00E96BE2" w:rsidP="00E96BE2">
      <w:pPr>
        <w:pStyle w:val="Paragraph"/>
        <w:spacing w:after="80"/>
      </w:pPr>
      <w:r>
        <w:t xml:space="preserve">The EMC regulatory arrangements also </w:t>
      </w:r>
      <w:r w:rsidR="00EB288E">
        <w:t>exempt</w:t>
      </w:r>
      <w:r>
        <w:t>:</w:t>
      </w:r>
    </w:p>
    <w:p w14:paraId="4682778C" w14:textId="77777777" w:rsidR="00E96BE2" w:rsidRDefault="00E96BE2" w:rsidP="00E96BE2">
      <w:pPr>
        <w:pStyle w:val="Bulletlevel1"/>
      </w:pPr>
      <w:r>
        <w:t>devices listed in Schedule 2 to the EMC labelling notice from compliance with the EMC standard and the EMC labelling notice</w:t>
      </w:r>
      <w:r>
        <w:rPr>
          <w:rStyle w:val="FootnoteReference"/>
        </w:rPr>
        <w:footnoteReference w:id="2"/>
      </w:r>
    </w:p>
    <w:p w14:paraId="163111CD" w14:textId="55845370" w:rsidR="00E96BE2" w:rsidRDefault="00E96BE2" w:rsidP="00B36745">
      <w:pPr>
        <w:pStyle w:val="Bulletlevel1last"/>
      </w:pPr>
      <w:r>
        <w:t>suppliers who import devices from New Zealand that comply with New Zealand labelling legislation</w:t>
      </w:r>
      <w:r w:rsidRPr="00C43B0F">
        <w:t xml:space="preserve"> from EMC labelling and record keeping r</w:t>
      </w:r>
      <w:r>
        <w:t>equirements</w:t>
      </w:r>
      <w:r w:rsidR="00422F05">
        <w:t>.</w:t>
      </w:r>
      <w:r>
        <w:rPr>
          <w:rStyle w:val="FootnoteReference"/>
          <w:szCs w:val="20"/>
        </w:rPr>
        <w:footnoteReference w:id="3"/>
      </w:r>
      <w:r>
        <w:t xml:space="preserve"> </w:t>
      </w:r>
    </w:p>
    <w:p w14:paraId="53A666AB" w14:textId="77777777" w:rsidR="00422F05" w:rsidRDefault="00E96BE2" w:rsidP="00B36745">
      <w:pPr>
        <w:pStyle w:val="Paragraphbeforelist"/>
      </w:pPr>
      <w:r>
        <w:t>Division 4 of Part 1.4 of the Act also provides for certain matters to which the Act does not apply, including in relation to</w:t>
      </w:r>
      <w:r w:rsidR="00422F05">
        <w:t>:</w:t>
      </w:r>
    </w:p>
    <w:p w14:paraId="3A39C26C" w14:textId="5081D2DB" w:rsidR="00422F05" w:rsidRDefault="00E96BE2" w:rsidP="00422F05">
      <w:pPr>
        <w:pStyle w:val="Bulletlevel1"/>
      </w:pPr>
      <w:r>
        <w:t>foreign space objects, vessels and aircraft</w:t>
      </w:r>
    </w:p>
    <w:p w14:paraId="774FE0DE" w14:textId="1F82F194" w:rsidR="00422F05" w:rsidRDefault="00E96BE2" w:rsidP="00422F05">
      <w:pPr>
        <w:pStyle w:val="Bulletlevel1"/>
      </w:pPr>
      <w:r>
        <w:t>defence research and intelligence</w:t>
      </w:r>
    </w:p>
    <w:p w14:paraId="29C75841" w14:textId="7D7A8252" w:rsidR="00422F05" w:rsidRDefault="00E96BE2" w:rsidP="00422F05">
      <w:pPr>
        <w:pStyle w:val="Bulletlevel1"/>
      </w:pPr>
      <w:r>
        <w:t>special defence undertakings</w:t>
      </w:r>
    </w:p>
    <w:p w14:paraId="73D3BE56" w14:textId="5FE66F89" w:rsidR="00422F05" w:rsidRDefault="00E96BE2" w:rsidP="00422F05">
      <w:pPr>
        <w:pStyle w:val="Bulletlevel1"/>
      </w:pPr>
      <w:r>
        <w:t>defence, law enforcement and emergency personnel</w:t>
      </w:r>
    </w:p>
    <w:p w14:paraId="023B6A27" w14:textId="2651BC67" w:rsidR="00E96BE2" w:rsidRPr="00E96BE2" w:rsidRDefault="00E96BE2" w:rsidP="00B36745">
      <w:pPr>
        <w:pStyle w:val="Bulletlevel1"/>
      </w:pPr>
      <w:r>
        <w:t>uses of devices by the ACMA.</w:t>
      </w:r>
    </w:p>
    <w:p w14:paraId="542EBE44" w14:textId="688CF261" w:rsidR="00951178" w:rsidRPr="00E162C4" w:rsidRDefault="00951178" w:rsidP="00B36745">
      <w:pPr>
        <w:pStyle w:val="Heading2"/>
        <w:keepLines/>
      </w:pPr>
      <w:bookmarkStart w:id="9" w:name="_Toc149912271"/>
      <w:r>
        <w:lastRenderedPageBreak/>
        <w:t>EMC standard</w:t>
      </w:r>
      <w:bookmarkEnd w:id="9"/>
    </w:p>
    <w:p w14:paraId="4026A195" w14:textId="28B588E5" w:rsidR="00ED3A54" w:rsidRDefault="00ED3A54" w:rsidP="00B36745">
      <w:pPr>
        <w:pStyle w:val="Paragraph"/>
        <w:keepNext/>
        <w:keepLines/>
      </w:pPr>
      <w:r w:rsidRPr="00D11691">
        <w:t xml:space="preserve">The </w:t>
      </w:r>
      <w:r w:rsidR="00213C05">
        <w:t xml:space="preserve">EMC standard is the </w:t>
      </w:r>
      <w:r w:rsidR="003404D2">
        <w:t>instrument</w:t>
      </w:r>
      <w:r w:rsidR="00213C05">
        <w:t xml:space="preserve"> made by the ACMA</w:t>
      </w:r>
      <w:r w:rsidR="00220D6F">
        <w:t xml:space="preserve"> </w:t>
      </w:r>
      <w:r w:rsidR="00D645B9">
        <w:t xml:space="preserve">that </w:t>
      </w:r>
      <w:r w:rsidR="006523AF">
        <w:t xml:space="preserve">prescribes the </w:t>
      </w:r>
      <w:r w:rsidR="00220D6F">
        <w:t xml:space="preserve">electromagnetic compatibility </w:t>
      </w:r>
      <w:r w:rsidR="006523AF">
        <w:t>performance requirements for a device</w:t>
      </w:r>
      <w:r w:rsidR="00213C05">
        <w:t xml:space="preserve">. </w:t>
      </w:r>
    </w:p>
    <w:p w14:paraId="0F791BD0" w14:textId="57518BFC" w:rsidR="00951178" w:rsidRDefault="00213C05" w:rsidP="00B36745">
      <w:pPr>
        <w:pStyle w:val="Paragraph"/>
        <w:keepNext/>
        <w:keepLines/>
      </w:pPr>
      <w:r>
        <w:t xml:space="preserve">The EMC </w:t>
      </w:r>
      <w:r w:rsidR="00951178">
        <w:t>standard applies to a device manufactured in Australia</w:t>
      </w:r>
      <w:r w:rsidR="00B14663">
        <w:t>,</w:t>
      </w:r>
      <w:r w:rsidR="00951178">
        <w:t xml:space="preserve"> or imported into Australia</w:t>
      </w:r>
      <w:r w:rsidR="00B14663">
        <w:t>,</w:t>
      </w:r>
      <w:r w:rsidR="00951178">
        <w:t xml:space="preserve"> for supply</w:t>
      </w:r>
      <w:r w:rsidR="00B14663">
        <w:t>,</w:t>
      </w:r>
      <w:r w:rsidR="00951178">
        <w:t xml:space="preserve"> unless </w:t>
      </w:r>
      <w:r w:rsidR="00D645B9">
        <w:t>it</w:t>
      </w:r>
      <w:r w:rsidR="00951178">
        <w:t xml:space="preserve"> is mentioned in Schedule 2 to the EMC labelling notice</w:t>
      </w:r>
      <w:r>
        <w:t>.</w:t>
      </w:r>
      <w:r>
        <w:rPr>
          <w:rStyle w:val="FootnoteReference"/>
        </w:rPr>
        <w:footnoteReference w:id="4"/>
      </w:r>
    </w:p>
    <w:p w14:paraId="189DF2F9" w14:textId="612C7DBE" w:rsidR="00951178" w:rsidRDefault="00951178" w:rsidP="00B36745">
      <w:pPr>
        <w:pStyle w:val="Paragraph"/>
        <w:keepNext/>
        <w:keepLines/>
      </w:pPr>
      <w:r>
        <w:t>Section 1</w:t>
      </w:r>
      <w:r w:rsidR="00E6566B">
        <w:t>0</w:t>
      </w:r>
      <w:r>
        <w:t xml:space="preserve"> </w:t>
      </w:r>
      <w:r w:rsidR="00E6566B">
        <w:t xml:space="preserve">of the EMC standard </w:t>
      </w:r>
      <w:r>
        <w:t>requires a device to comply with an ‘applicable industry standard’ as in force on the day the device was manufactured in Australia</w:t>
      </w:r>
      <w:r w:rsidR="00D645B9">
        <w:t>,</w:t>
      </w:r>
      <w:r>
        <w:t xml:space="preserve"> or the day the device was imported in</w:t>
      </w:r>
      <w:r w:rsidR="007C3005">
        <w:t>to</w:t>
      </w:r>
      <w:r>
        <w:t xml:space="preserve"> Australia. </w:t>
      </w:r>
    </w:p>
    <w:p w14:paraId="68360FE2" w14:textId="40D25288" w:rsidR="00ED3A54" w:rsidRDefault="00951178" w:rsidP="00B36745">
      <w:pPr>
        <w:pStyle w:val="Paragraph"/>
        <w:keepNext/>
        <w:keepLines/>
      </w:pPr>
      <w:r>
        <w:t>The ‘applicable industry standard’ is determined with reference to the ‘list of standards’.</w:t>
      </w:r>
      <w:r>
        <w:rPr>
          <w:rStyle w:val="FootnoteReference"/>
        </w:rPr>
        <w:footnoteReference w:id="5"/>
      </w:r>
      <w:r w:rsidR="00ED3A54">
        <w:t xml:space="preserve"> </w:t>
      </w:r>
    </w:p>
    <w:p w14:paraId="0F3F93CC" w14:textId="7946684B" w:rsidR="00951178" w:rsidRDefault="00951178" w:rsidP="00B36745">
      <w:pPr>
        <w:pStyle w:val="Paragraphbeforelist"/>
      </w:pPr>
      <w:r>
        <w:t xml:space="preserve">Subsection 6(2) </w:t>
      </w:r>
      <w:r w:rsidR="00F3544F">
        <w:t xml:space="preserve">of the EMC standard </w:t>
      </w:r>
      <w:r>
        <w:t>defines the ‘list of standards’ as follows:</w:t>
      </w:r>
    </w:p>
    <w:p w14:paraId="1515BAD3" w14:textId="77777777" w:rsidR="00951178" w:rsidRPr="00B36745" w:rsidRDefault="00951178" w:rsidP="00951178">
      <w:pPr>
        <w:pStyle w:val="Paragraph"/>
        <w:spacing w:after="80"/>
        <w:ind w:left="567"/>
        <w:rPr>
          <w:sz w:val="18"/>
          <w:szCs w:val="18"/>
        </w:rPr>
      </w:pPr>
      <w:r w:rsidRPr="00B36745">
        <w:rPr>
          <w:sz w:val="18"/>
          <w:szCs w:val="18"/>
        </w:rPr>
        <w:t>(2)  The </w:t>
      </w:r>
      <w:r w:rsidRPr="00B36745">
        <w:rPr>
          <w:b/>
          <w:bCs/>
          <w:i/>
          <w:iCs/>
          <w:sz w:val="18"/>
          <w:szCs w:val="18"/>
        </w:rPr>
        <w:t>list of standards</w:t>
      </w:r>
      <w:r w:rsidRPr="00B36745">
        <w:rPr>
          <w:sz w:val="18"/>
          <w:szCs w:val="18"/>
        </w:rPr>
        <w:t> is the list, in existence from time to time, that comprises each document that meets the following criteria:</w:t>
      </w:r>
    </w:p>
    <w:p w14:paraId="7DACEF97" w14:textId="77777777" w:rsidR="00951178" w:rsidRPr="00B36745" w:rsidRDefault="00951178" w:rsidP="00951178">
      <w:pPr>
        <w:pStyle w:val="Paragraph"/>
        <w:spacing w:after="80"/>
        <w:ind w:left="851"/>
        <w:rPr>
          <w:sz w:val="18"/>
          <w:szCs w:val="18"/>
        </w:rPr>
      </w:pPr>
      <w:r w:rsidRPr="00B36745">
        <w:rPr>
          <w:sz w:val="18"/>
          <w:szCs w:val="18"/>
        </w:rPr>
        <w:t>(a)  the title of the document is in a list published on the web address </w:t>
      </w:r>
      <w:hyperlink r:id="rId29" w:history="1">
        <w:r w:rsidRPr="00B36745">
          <w:rPr>
            <w:rStyle w:val="Hyperlink"/>
            <w:color w:val="0F569E"/>
            <w:sz w:val="18"/>
            <w:szCs w:val="18"/>
            <w:shd w:val="clear" w:color="auto" w:fill="FFFFFF"/>
          </w:rPr>
          <w:t>http://www.acma.gov.au/standards/emc</w:t>
        </w:r>
      </w:hyperlink>
      <w:r w:rsidRPr="00B36745">
        <w:rPr>
          <w:sz w:val="18"/>
          <w:szCs w:val="18"/>
        </w:rPr>
        <w:t>;</w:t>
      </w:r>
    </w:p>
    <w:p w14:paraId="6E7063DF" w14:textId="77777777" w:rsidR="00951178" w:rsidRPr="00B36745" w:rsidRDefault="00951178" w:rsidP="00951178">
      <w:pPr>
        <w:pStyle w:val="Paragraph"/>
        <w:spacing w:after="80"/>
        <w:ind w:left="851"/>
        <w:rPr>
          <w:sz w:val="18"/>
          <w:szCs w:val="18"/>
        </w:rPr>
      </w:pPr>
      <w:r w:rsidRPr="00B36745">
        <w:rPr>
          <w:sz w:val="18"/>
          <w:szCs w:val="18"/>
        </w:rPr>
        <w:t xml:space="preserve">(b)  the document consists of, or </w:t>
      </w:r>
      <w:proofErr w:type="gramStart"/>
      <w:r w:rsidRPr="00B36745">
        <w:rPr>
          <w:sz w:val="18"/>
          <w:szCs w:val="18"/>
        </w:rPr>
        <w:t>includes,</w:t>
      </w:r>
      <w:proofErr w:type="gramEnd"/>
      <w:r w:rsidRPr="00B36745">
        <w:rPr>
          <w:sz w:val="18"/>
          <w:szCs w:val="18"/>
        </w:rPr>
        <w:t xml:space="preserve"> requirements that are necessary or convenient for the following purposes:</w:t>
      </w:r>
    </w:p>
    <w:p w14:paraId="68B45121" w14:textId="77777777" w:rsidR="00951178" w:rsidRPr="00B36745" w:rsidRDefault="00951178" w:rsidP="00951178">
      <w:pPr>
        <w:pStyle w:val="Paragraph"/>
        <w:spacing w:after="80"/>
        <w:ind w:left="1134"/>
        <w:rPr>
          <w:sz w:val="18"/>
          <w:szCs w:val="18"/>
        </w:rPr>
      </w:pPr>
      <w:r w:rsidRPr="00B36745">
        <w:rPr>
          <w:sz w:val="18"/>
          <w:szCs w:val="18"/>
        </w:rPr>
        <w:t>(i)  containing interference to radiocommunications;</w:t>
      </w:r>
    </w:p>
    <w:p w14:paraId="68994736" w14:textId="77777777" w:rsidR="00951178" w:rsidRPr="00B36745" w:rsidRDefault="00951178" w:rsidP="00951178">
      <w:pPr>
        <w:pStyle w:val="Paragraph"/>
        <w:spacing w:after="80"/>
        <w:ind w:left="1134"/>
        <w:rPr>
          <w:sz w:val="18"/>
          <w:szCs w:val="18"/>
        </w:rPr>
      </w:pPr>
      <w:r w:rsidRPr="00B36745">
        <w:rPr>
          <w:sz w:val="18"/>
          <w:szCs w:val="18"/>
        </w:rPr>
        <w:t>(ii)  containing interference to any uses or functions of devices; and</w:t>
      </w:r>
    </w:p>
    <w:p w14:paraId="5B4DD5DB" w14:textId="77777777" w:rsidR="00951178" w:rsidRPr="00B36745" w:rsidRDefault="00951178" w:rsidP="00951178">
      <w:pPr>
        <w:pStyle w:val="Paragraph"/>
        <w:spacing w:after="80"/>
        <w:ind w:left="851"/>
        <w:rPr>
          <w:sz w:val="18"/>
          <w:szCs w:val="18"/>
        </w:rPr>
      </w:pPr>
      <w:r w:rsidRPr="00B36745">
        <w:rPr>
          <w:sz w:val="18"/>
          <w:szCs w:val="18"/>
        </w:rPr>
        <w:t>(c)  the document was created by:</w:t>
      </w:r>
    </w:p>
    <w:p w14:paraId="54121A55" w14:textId="77777777" w:rsidR="00951178" w:rsidRPr="00B36745" w:rsidRDefault="00951178" w:rsidP="00951178">
      <w:pPr>
        <w:pStyle w:val="Paragraph"/>
        <w:spacing w:after="80"/>
        <w:ind w:left="1134"/>
        <w:rPr>
          <w:sz w:val="18"/>
          <w:szCs w:val="18"/>
        </w:rPr>
      </w:pPr>
      <w:r w:rsidRPr="00B36745">
        <w:rPr>
          <w:sz w:val="18"/>
          <w:szCs w:val="18"/>
        </w:rPr>
        <w:t>(i)  Standards Australia;</w:t>
      </w:r>
    </w:p>
    <w:p w14:paraId="55891EAC" w14:textId="77777777" w:rsidR="00951178" w:rsidRPr="00B36745" w:rsidRDefault="00951178" w:rsidP="00951178">
      <w:pPr>
        <w:pStyle w:val="Paragraph"/>
        <w:spacing w:after="80"/>
        <w:ind w:left="1134"/>
        <w:rPr>
          <w:sz w:val="18"/>
          <w:szCs w:val="18"/>
        </w:rPr>
      </w:pPr>
      <w:r w:rsidRPr="00B36745">
        <w:rPr>
          <w:sz w:val="18"/>
          <w:szCs w:val="18"/>
        </w:rPr>
        <w:t>(ii)  International Electrotechnical Commission;</w:t>
      </w:r>
    </w:p>
    <w:p w14:paraId="086A86A0" w14:textId="77777777" w:rsidR="00951178" w:rsidRPr="00B36745" w:rsidRDefault="00951178" w:rsidP="00951178">
      <w:pPr>
        <w:pStyle w:val="Paragraph"/>
        <w:spacing w:after="80"/>
        <w:ind w:left="1134"/>
        <w:rPr>
          <w:sz w:val="18"/>
          <w:szCs w:val="18"/>
        </w:rPr>
      </w:pPr>
      <w:r w:rsidRPr="00B36745">
        <w:rPr>
          <w:sz w:val="18"/>
          <w:szCs w:val="18"/>
        </w:rPr>
        <w:t>(iii)  European Committee for Electrotechnical Standardization;</w:t>
      </w:r>
    </w:p>
    <w:p w14:paraId="79BB6F4E" w14:textId="77777777" w:rsidR="00951178" w:rsidRPr="00B36745" w:rsidRDefault="00951178" w:rsidP="00951178">
      <w:pPr>
        <w:pStyle w:val="Paragraph"/>
        <w:spacing w:after="80"/>
        <w:ind w:left="1134"/>
        <w:rPr>
          <w:sz w:val="18"/>
          <w:szCs w:val="18"/>
        </w:rPr>
      </w:pPr>
      <w:r w:rsidRPr="00B36745">
        <w:rPr>
          <w:sz w:val="18"/>
          <w:szCs w:val="18"/>
        </w:rPr>
        <w:t>(iv) European Committee for Standardization;</w:t>
      </w:r>
    </w:p>
    <w:p w14:paraId="26A9F29B" w14:textId="77777777" w:rsidR="00951178" w:rsidRPr="00B36745" w:rsidRDefault="00951178" w:rsidP="00951178">
      <w:pPr>
        <w:pStyle w:val="Paragraph"/>
        <w:spacing w:after="80"/>
        <w:ind w:left="1134"/>
        <w:rPr>
          <w:sz w:val="18"/>
          <w:szCs w:val="18"/>
        </w:rPr>
      </w:pPr>
      <w:r w:rsidRPr="00B36745">
        <w:rPr>
          <w:sz w:val="18"/>
          <w:szCs w:val="18"/>
        </w:rPr>
        <w:t>(v) European Telecommunications Standards Institute; or</w:t>
      </w:r>
    </w:p>
    <w:p w14:paraId="60CCF41B" w14:textId="77777777" w:rsidR="00951178" w:rsidRPr="00B36745" w:rsidRDefault="00951178" w:rsidP="00951178">
      <w:pPr>
        <w:pStyle w:val="Paragraph"/>
        <w:ind w:left="1134"/>
        <w:rPr>
          <w:sz w:val="18"/>
          <w:szCs w:val="18"/>
        </w:rPr>
      </w:pPr>
      <w:r w:rsidRPr="00B36745">
        <w:rPr>
          <w:sz w:val="18"/>
          <w:szCs w:val="18"/>
        </w:rPr>
        <w:t>(vi)  another standards development organisation.</w:t>
      </w:r>
    </w:p>
    <w:p w14:paraId="5579F305" w14:textId="3A4303B5" w:rsidR="007A7734" w:rsidRDefault="007A7734" w:rsidP="00B36745">
      <w:pPr>
        <w:pStyle w:val="Paragraphbeforelist"/>
      </w:pPr>
      <w:r>
        <w:t>Subsection 8(1) sets out that s</w:t>
      </w:r>
      <w:r w:rsidR="00951178">
        <w:t xml:space="preserve">uppliers are </w:t>
      </w:r>
      <w:r w:rsidR="00402D94">
        <w:t xml:space="preserve">free to choose to </w:t>
      </w:r>
      <w:r w:rsidR="00B32642">
        <w:t>comply</w:t>
      </w:r>
      <w:r w:rsidR="00402D94">
        <w:t xml:space="preserve"> with</w:t>
      </w:r>
      <w:r>
        <w:t>:</w:t>
      </w:r>
    </w:p>
    <w:p w14:paraId="649130BD" w14:textId="7B8B046E" w:rsidR="007A7734" w:rsidRDefault="00402D94" w:rsidP="007A7734">
      <w:pPr>
        <w:pStyle w:val="Bulletlevel1"/>
      </w:pPr>
      <w:r>
        <w:t xml:space="preserve">any of the applicable industry documents in Part 2 </w:t>
      </w:r>
      <w:r w:rsidR="007A7734">
        <w:t>of the list of standards</w:t>
      </w:r>
      <w:r>
        <w:t xml:space="preserve"> </w:t>
      </w:r>
    </w:p>
    <w:p w14:paraId="4318D94A" w14:textId="25EFAA5D" w:rsidR="00402D94" w:rsidRDefault="00402D94" w:rsidP="007A7734">
      <w:pPr>
        <w:pStyle w:val="Bulletlevel1last"/>
      </w:pPr>
      <w:r>
        <w:t xml:space="preserve">if the device does not fall under </w:t>
      </w:r>
      <w:r w:rsidR="005F4B3B">
        <w:t>Part 2 of the list of standards</w:t>
      </w:r>
      <w:r>
        <w:t>, one of the generic industry documents listed in Part 1</w:t>
      </w:r>
      <w:r w:rsidR="005F4B3B">
        <w:t xml:space="preserve"> of the list of standards</w:t>
      </w:r>
      <w:r>
        <w:t>.</w:t>
      </w:r>
    </w:p>
    <w:p w14:paraId="6958E2F2" w14:textId="5EEE17E9" w:rsidR="00951178" w:rsidRPr="00E162C4" w:rsidRDefault="00951178" w:rsidP="00951178">
      <w:pPr>
        <w:pStyle w:val="Heading2"/>
      </w:pPr>
      <w:bookmarkStart w:id="10" w:name="_Toc149912272"/>
      <w:r>
        <w:t>EMC labelling notice</w:t>
      </w:r>
      <w:bookmarkEnd w:id="10"/>
    </w:p>
    <w:p w14:paraId="01BF5A58" w14:textId="632D76CC" w:rsidR="00D4431C" w:rsidRDefault="00D07EBE" w:rsidP="002214F0">
      <w:pPr>
        <w:pStyle w:val="Paragraphbeforelist"/>
      </w:pPr>
      <w:r>
        <w:t xml:space="preserve">The EMC labelling </w:t>
      </w:r>
      <w:r w:rsidR="004C4A77" w:rsidRPr="004C4A77">
        <w:t>notice applies to a device</w:t>
      </w:r>
      <w:r w:rsidR="00D4431C">
        <w:t>:</w:t>
      </w:r>
    </w:p>
    <w:p w14:paraId="694FE607" w14:textId="383A2AD4" w:rsidR="00D4431C" w:rsidRDefault="00A27AC0" w:rsidP="00D4431C">
      <w:pPr>
        <w:pStyle w:val="Bulletlevel1"/>
      </w:pPr>
      <w:r>
        <w:t xml:space="preserve">that </w:t>
      </w:r>
      <w:r w:rsidR="004C4A77" w:rsidRPr="004C4A77">
        <w:t>is manu</w:t>
      </w:r>
      <w:r w:rsidR="004C4A77">
        <w:t xml:space="preserve">factured in Australia, or imported into Australia, for supply </w:t>
      </w:r>
      <w:r w:rsidR="00D645B9">
        <w:br/>
      </w:r>
      <w:r w:rsidR="004C4A77">
        <w:t xml:space="preserve">in </w:t>
      </w:r>
      <w:proofErr w:type="gramStart"/>
      <w:r w:rsidR="004C4A77">
        <w:t>Australia</w:t>
      </w:r>
      <w:proofErr w:type="gramEnd"/>
    </w:p>
    <w:p w14:paraId="3F90EC2D" w14:textId="19D836A9" w:rsidR="008D58CE" w:rsidRDefault="00A27AC0" w:rsidP="00D4431C">
      <w:pPr>
        <w:pStyle w:val="Bulletlevel1"/>
        <w:spacing w:after="240"/>
      </w:pPr>
      <w:r>
        <w:t xml:space="preserve">to which </w:t>
      </w:r>
      <w:r w:rsidR="0037373A">
        <w:t>the EMC standard</w:t>
      </w:r>
      <w:r>
        <w:t xml:space="preserve"> applies</w:t>
      </w:r>
      <w:r w:rsidR="0037373A">
        <w:t>.</w:t>
      </w:r>
      <w:r w:rsidR="00D07EBE" w:rsidRPr="00D4431C">
        <w:rPr>
          <w:vertAlign w:val="superscript"/>
        </w:rPr>
        <w:footnoteReference w:id="6"/>
      </w:r>
    </w:p>
    <w:p w14:paraId="445B2284" w14:textId="2D31CB36" w:rsidR="00283D44" w:rsidRDefault="00283D44" w:rsidP="004C4A77">
      <w:pPr>
        <w:pStyle w:val="Paragraph"/>
      </w:pPr>
      <w:r>
        <w:t xml:space="preserve">The EMC labelling notice </w:t>
      </w:r>
      <w:r w:rsidR="00B7589D">
        <w:t xml:space="preserve">assigns </w:t>
      </w:r>
      <w:r>
        <w:t xml:space="preserve">devices </w:t>
      </w:r>
      <w:r w:rsidR="00B7589D">
        <w:t xml:space="preserve">to one of </w:t>
      </w:r>
      <w:r w:rsidR="00D645B9">
        <w:t xml:space="preserve">3 </w:t>
      </w:r>
      <w:r w:rsidR="00281C62">
        <w:t>compliance levels</w:t>
      </w:r>
      <w:r>
        <w:t xml:space="preserve">: </w:t>
      </w:r>
      <w:r w:rsidR="00EF5748">
        <w:t>low-risk</w:t>
      </w:r>
      <w:r>
        <w:t xml:space="preserve"> device, </w:t>
      </w:r>
      <w:r w:rsidR="00EF5748">
        <w:t>medium-risk</w:t>
      </w:r>
      <w:r>
        <w:t xml:space="preserve"> device and </w:t>
      </w:r>
      <w:r w:rsidR="00EF5748">
        <w:t>high-risk</w:t>
      </w:r>
      <w:r>
        <w:t xml:space="preserve"> device.</w:t>
      </w:r>
    </w:p>
    <w:p w14:paraId="2DE60661" w14:textId="3FDD7E99" w:rsidR="00283D44" w:rsidRDefault="00EF5748" w:rsidP="004C4A77">
      <w:pPr>
        <w:pStyle w:val="Paragraph"/>
      </w:pPr>
      <w:r>
        <w:rPr>
          <w:b/>
          <w:bCs/>
        </w:rPr>
        <w:lastRenderedPageBreak/>
        <w:t>Low-risk</w:t>
      </w:r>
      <w:r w:rsidR="00283D44" w:rsidRPr="00283D44">
        <w:rPr>
          <w:b/>
          <w:bCs/>
        </w:rPr>
        <w:t xml:space="preserve"> device</w:t>
      </w:r>
      <w:r w:rsidR="00D645B9">
        <w:rPr>
          <w:b/>
          <w:bCs/>
        </w:rPr>
        <w:t>:</w:t>
      </w:r>
      <w:r w:rsidR="00283D44">
        <w:t xml:space="preserve"> a device that is neither a </w:t>
      </w:r>
      <w:r>
        <w:t>medium-risk</w:t>
      </w:r>
      <w:r w:rsidR="00283D44">
        <w:t xml:space="preserve"> device or </w:t>
      </w:r>
      <w:r>
        <w:t>high-risk</w:t>
      </w:r>
      <w:r w:rsidR="00283D44">
        <w:t xml:space="preserve"> device.</w:t>
      </w:r>
      <w:r w:rsidR="00283D44">
        <w:rPr>
          <w:rStyle w:val="FootnoteReference"/>
        </w:rPr>
        <w:footnoteReference w:id="7"/>
      </w:r>
      <w:r w:rsidR="00283D44">
        <w:t xml:space="preserve"> This include</w:t>
      </w:r>
      <w:r w:rsidR="00B7589D">
        <w:t>s</w:t>
      </w:r>
      <w:r w:rsidR="00283D44">
        <w:t xml:space="preserve"> a ‘battery-powered device’, which is a device not capable of being connected, directly or indirectly, to an external power supply</w:t>
      </w:r>
      <w:r w:rsidR="00D645B9">
        <w:t>.</w:t>
      </w:r>
      <w:r w:rsidR="00283D44">
        <w:rPr>
          <w:rStyle w:val="FootnoteReference"/>
        </w:rPr>
        <w:footnoteReference w:id="8"/>
      </w:r>
    </w:p>
    <w:p w14:paraId="15431932" w14:textId="751E0830" w:rsidR="00283D44" w:rsidRDefault="00EF5748" w:rsidP="002214F0">
      <w:pPr>
        <w:pStyle w:val="Paragraphbeforelist"/>
      </w:pPr>
      <w:r>
        <w:rPr>
          <w:b/>
          <w:bCs/>
        </w:rPr>
        <w:t>Medium-risk</w:t>
      </w:r>
      <w:r w:rsidR="00283D44" w:rsidRPr="00283D44">
        <w:rPr>
          <w:b/>
          <w:bCs/>
        </w:rPr>
        <w:t xml:space="preserve"> device</w:t>
      </w:r>
      <w:r w:rsidR="00D645B9">
        <w:rPr>
          <w:b/>
          <w:bCs/>
        </w:rPr>
        <w:t>:</w:t>
      </w:r>
      <w:r w:rsidR="00283D44">
        <w:t xml:space="preserve"> a device that is not a </w:t>
      </w:r>
      <w:r>
        <w:t>high-risk</w:t>
      </w:r>
      <w:r w:rsidR="00283D44">
        <w:t xml:space="preserve"> device and contains one or more of the following:</w:t>
      </w:r>
    </w:p>
    <w:p w14:paraId="6426A9B7" w14:textId="042026A3" w:rsidR="00283D44" w:rsidRDefault="00283D44" w:rsidP="00283D44">
      <w:pPr>
        <w:pStyle w:val="Bulletlevel1"/>
      </w:pPr>
      <w:r>
        <w:t>switch mode power supply</w:t>
      </w:r>
    </w:p>
    <w:p w14:paraId="6076F0A3" w14:textId="6ED6006C" w:rsidR="00283D44" w:rsidRDefault="00283D44" w:rsidP="00283D44">
      <w:pPr>
        <w:pStyle w:val="Bulletlevel1"/>
      </w:pPr>
      <w:r>
        <w:t xml:space="preserve">transistor switching </w:t>
      </w:r>
      <w:proofErr w:type="gramStart"/>
      <w:r>
        <w:t>circuit</w:t>
      </w:r>
      <w:proofErr w:type="gramEnd"/>
    </w:p>
    <w:p w14:paraId="22DB34C2" w14:textId="20DD35A5" w:rsidR="00283D44" w:rsidRDefault="00283D44" w:rsidP="00283D44">
      <w:pPr>
        <w:pStyle w:val="Bulletlevel1"/>
      </w:pPr>
      <w:r>
        <w:t>a microprocessor</w:t>
      </w:r>
    </w:p>
    <w:p w14:paraId="615FC56B" w14:textId="172F909A" w:rsidR="00283D44" w:rsidRDefault="00283D44" w:rsidP="00283D44">
      <w:pPr>
        <w:pStyle w:val="Bulletlevel1"/>
      </w:pPr>
      <w:r>
        <w:t>a commutator</w:t>
      </w:r>
    </w:p>
    <w:p w14:paraId="3FBC4B4E" w14:textId="46FD0F84" w:rsidR="00283D44" w:rsidRDefault="00283D44" w:rsidP="00283D44">
      <w:pPr>
        <w:pStyle w:val="Bulletlevel1"/>
      </w:pPr>
      <w:r>
        <w:t>a slip-ring motor</w:t>
      </w:r>
    </w:p>
    <w:p w14:paraId="75492220" w14:textId="73CCF028" w:rsidR="00283D44" w:rsidRDefault="00283D44" w:rsidP="00283D44">
      <w:pPr>
        <w:pStyle w:val="Bulletlevel1"/>
        <w:spacing w:after="240"/>
      </w:pPr>
      <w:r>
        <w:t>an electronic device operating in a switching mode or a non-linear mode.</w:t>
      </w:r>
      <w:r>
        <w:rPr>
          <w:rStyle w:val="FootnoteReference"/>
        </w:rPr>
        <w:footnoteReference w:id="9"/>
      </w:r>
    </w:p>
    <w:p w14:paraId="75EEB4E1" w14:textId="13228293" w:rsidR="00283D44" w:rsidRDefault="00EF5748" w:rsidP="004C4A77">
      <w:pPr>
        <w:pStyle w:val="Paragraph"/>
      </w:pPr>
      <w:r>
        <w:rPr>
          <w:b/>
          <w:bCs/>
        </w:rPr>
        <w:t>High-risk</w:t>
      </w:r>
      <w:r w:rsidR="00283D44" w:rsidRPr="00EE0D84">
        <w:rPr>
          <w:b/>
          <w:bCs/>
        </w:rPr>
        <w:t xml:space="preserve"> device</w:t>
      </w:r>
      <w:r w:rsidR="00283D44">
        <w:t xml:space="preserve"> means a device described as ‘Group 2 ISM equipment’ in AS/NZS CISPR 11:2011.</w:t>
      </w:r>
      <w:r w:rsidR="00283D44">
        <w:rPr>
          <w:rStyle w:val="FootnoteReference"/>
        </w:rPr>
        <w:footnoteReference w:id="10"/>
      </w:r>
    </w:p>
    <w:p w14:paraId="65EB517E" w14:textId="534BD758" w:rsidR="009B5CB7" w:rsidRDefault="00AD6D4F" w:rsidP="009B5CB7">
      <w:pPr>
        <w:pStyle w:val="Paragraph"/>
      </w:pPr>
      <w:r>
        <w:t xml:space="preserve">The </w:t>
      </w:r>
      <w:r w:rsidR="009B5CB7">
        <w:t xml:space="preserve">compliance record keeping rules and labelling rules for devices </w:t>
      </w:r>
      <w:r>
        <w:t xml:space="preserve">are </w:t>
      </w:r>
      <w:r w:rsidR="009B5CB7">
        <w:t>based on</w:t>
      </w:r>
      <w:r w:rsidR="00281C62">
        <w:t xml:space="preserve"> </w:t>
      </w:r>
      <w:r w:rsidR="006F005F">
        <w:t xml:space="preserve">each device’s </w:t>
      </w:r>
      <w:r w:rsidR="00281C62">
        <w:t>compliance level</w:t>
      </w:r>
      <w:r w:rsidR="006F005F">
        <w:t>,</w:t>
      </w:r>
      <w:r w:rsidR="009B5CB7">
        <w:t xml:space="preserve"> as set out in Table </w:t>
      </w:r>
      <w:r w:rsidR="00103D6C">
        <w:t>2</w:t>
      </w:r>
      <w:r w:rsidR="009B5CB7">
        <w:t>.</w:t>
      </w:r>
      <w:r w:rsidR="00F94549">
        <w:t xml:space="preserve"> Under section 4.3 of the EMC labelling notice, suppliers are </w:t>
      </w:r>
      <w:r w:rsidR="006F005F">
        <w:t xml:space="preserve">required </w:t>
      </w:r>
      <w:r w:rsidR="00F94549">
        <w:t xml:space="preserve">to prepare a description of the device and meet the relevant compliance level for the device. </w:t>
      </w:r>
    </w:p>
    <w:p w14:paraId="0FA2484F" w14:textId="414AB458" w:rsidR="009B5CB7" w:rsidRPr="00E162C4" w:rsidRDefault="009B5CB7" w:rsidP="009B5CB7">
      <w:pPr>
        <w:pStyle w:val="Tableheading"/>
      </w:pPr>
      <w:r>
        <w:t>EMC compliance levels</w:t>
      </w:r>
    </w:p>
    <w:tbl>
      <w:tblPr>
        <w:tblStyle w:val="ACMAtablestyle"/>
        <w:tblW w:w="8500" w:type="dxa"/>
        <w:tblLayout w:type="fixed"/>
        <w:tblLook w:val="01E0" w:firstRow="1" w:lastRow="1" w:firstColumn="1" w:lastColumn="1" w:noHBand="0" w:noVBand="0"/>
        <w:tblCaption w:val="Table title to go here"/>
        <w:tblDescription w:val="Table description to go here"/>
      </w:tblPr>
      <w:tblGrid>
        <w:gridCol w:w="1980"/>
        <w:gridCol w:w="1559"/>
        <w:gridCol w:w="4961"/>
      </w:tblGrid>
      <w:tr w:rsidR="009B5CB7" w:rsidRPr="00E162C4" w14:paraId="2FF27EF6" w14:textId="77777777" w:rsidTr="003E5BD7">
        <w:trPr>
          <w:cnfStyle w:val="100000000000" w:firstRow="1" w:lastRow="0" w:firstColumn="0" w:lastColumn="0" w:oddVBand="0" w:evenVBand="0" w:oddHBand="0" w:evenHBand="0" w:firstRowFirstColumn="0" w:firstRowLastColumn="0" w:lastRowFirstColumn="0" w:lastRowLastColumn="0"/>
        </w:trPr>
        <w:tc>
          <w:tcPr>
            <w:tcW w:w="1980" w:type="dxa"/>
          </w:tcPr>
          <w:p w14:paraId="5FBCCA00" w14:textId="77777777" w:rsidR="009B5CB7" w:rsidRPr="00E162C4" w:rsidRDefault="009B5CB7" w:rsidP="006A4313">
            <w:pPr>
              <w:pStyle w:val="Tableheaderrow"/>
            </w:pPr>
            <w:r>
              <w:t>Compliance level</w:t>
            </w:r>
          </w:p>
        </w:tc>
        <w:tc>
          <w:tcPr>
            <w:tcW w:w="1559" w:type="dxa"/>
          </w:tcPr>
          <w:p w14:paraId="689E50E4" w14:textId="77777777" w:rsidR="009B5CB7" w:rsidRPr="00E162C4" w:rsidRDefault="009B5CB7" w:rsidP="006A4313">
            <w:pPr>
              <w:pStyle w:val="Tableheaderrow"/>
            </w:pPr>
            <w:r>
              <w:t xml:space="preserve">Labelling </w:t>
            </w:r>
          </w:p>
        </w:tc>
        <w:tc>
          <w:tcPr>
            <w:tcW w:w="4961" w:type="dxa"/>
          </w:tcPr>
          <w:p w14:paraId="1C923470" w14:textId="290D32C9" w:rsidR="009B5CB7" w:rsidRPr="00A85C35" w:rsidRDefault="00D72071" w:rsidP="006A4313">
            <w:pPr>
              <w:pStyle w:val="Tableheaderrow"/>
            </w:pPr>
            <w:r>
              <w:t>Requirements</w:t>
            </w:r>
          </w:p>
        </w:tc>
      </w:tr>
      <w:tr w:rsidR="009B5CB7" w:rsidRPr="00E162C4" w14:paraId="3279F5FA" w14:textId="77777777" w:rsidTr="003E5BD7">
        <w:trPr>
          <w:cnfStyle w:val="000000100000" w:firstRow="0" w:lastRow="0" w:firstColumn="0" w:lastColumn="0" w:oddVBand="0" w:evenVBand="0" w:oddHBand="1" w:evenHBand="0" w:firstRowFirstColumn="0" w:firstRowLastColumn="0" w:lastRowFirstColumn="0" w:lastRowLastColumn="0"/>
        </w:trPr>
        <w:tc>
          <w:tcPr>
            <w:tcW w:w="1980" w:type="dxa"/>
            <w:shd w:val="clear" w:color="auto" w:fill="auto"/>
          </w:tcPr>
          <w:p w14:paraId="088310EB" w14:textId="32782AAC" w:rsidR="009B5CB7" w:rsidRPr="00E162C4" w:rsidRDefault="00EF5748" w:rsidP="006A4313">
            <w:pPr>
              <w:pStyle w:val="TableBody"/>
            </w:pPr>
            <w:r>
              <w:rPr>
                <w:b/>
                <w:bCs/>
              </w:rPr>
              <w:t>Low-risk</w:t>
            </w:r>
            <w:r w:rsidR="009B5CB7" w:rsidRPr="002214F0">
              <w:rPr>
                <w:b/>
                <w:bCs/>
              </w:rPr>
              <w:t xml:space="preserve"> device</w:t>
            </w:r>
            <w:r w:rsidR="00973988">
              <w:rPr>
                <w:b/>
                <w:bCs/>
              </w:rPr>
              <w:t>:</w:t>
            </w:r>
            <w:r w:rsidR="007B612E">
              <w:t xml:space="preserve"> EMC </w:t>
            </w:r>
            <w:r w:rsidR="009B5CB7">
              <w:t>compliance level 1</w:t>
            </w:r>
            <w:r w:rsidR="007B612E">
              <w:rPr>
                <w:rStyle w:val="FootnoteReference"/>
              </w:rPr>
              <w:footnoteReference w:id="11"/>
            </w:r>
          </w:p>
        </w:tc>
        <w:tc>
          <w:tcPr>
            <w:tcW w:w="1559" w:type="dxa"/>
            <w:shd w:val="clear" w:color="auto" w:fill="auto"/>
          </w:tcPr>
          <w:p w14:paraId="272CAFC2" w14:textId="6A64A8C6" w:rsidR="009B5CB7" w:rsidRPr="00E162C4" w:rsidRDefault="009B5CB7" w:rsidP="006A4313">
            <w:pPr>
              <w:pStyle w:val="TableBody"/>
            </w:pPr>
            <w:r>
              <w:t>Voluntary</w:t>
            </w:r>
            <w:r w:rsidR="00CC3437">
              <w:rPr>
                <w:rStyle w:val="FootnoteReference"/>
              </w:rPr>
              <w:footnoteReference w:id="12"/>
            </w:r>
          </w:p>
        </w:tc>
        <w:tc>
          <w:tcPr>
            <w:tcW w:w="4961" w:type="dxa"/>
            <w:shd w:val="clear" w:color="auto" w:fill="auto"/>
          </w:tcPr>
          <w:p w14:paraId="070FBD16" w14:textId="1A6295BF" w:rsidR="00FA4BE7" w:rsidRDefault="00FA4BE7" w:rsidP="002214F0">
            <w:pPr>
              <w:pStyle w:val="Paragraphbeforelist"/>
            </w:pPr>
            <w:r>
              <w:t>If no compliance label, then a supplier must:</w:t>
            </w:r>
          </w:p>
          <w:p w14:paraId="6C461FDA" w14:textId="1D457165" w:rsidR="00AD1BD5" w:rsidRDefault="00471EF1" w:rsidP="00AD1BD5">
            <w:pPr>
              <w:pStyle w:val="ListBullet"/>
            </w:pPr>
            <w:r>
              <w:t>obtain a</w:t>
            </w:r>
            <w:r w:rsidR="00AD1BD5">
              <w:t xml:space="preserve"> description of the </w:t>
            </w:r>
            <w:proofErr w:type="gramStart"/>
            <w:r w:rsidR="00AD1BD5">
              <w:t>device</w:t>
            </w:r>
            <w:proofErr w:type="gramEnd"/>
          </w:p>
          <w:p w14:paraId="785F7BA4" w14:textId="14CFAAE0" w:rsidR="009B5CB7" w:rsidRDefault="00AD1BD5" w:rsidP="00675E29">
            <w:pPr>
              <w:pStyle w:val="ListBullet"/>
            </w:pPr>
            <w:r>
              <w:t>register on the national database as a responsible supplier</w:t>
            </w:r>
            <w:r w:rsidR="00973988">
              <w:t>.</w:t>
            </w:r>
            <w:r>
              <w:t xml:space="preserve"> </w:t>
            </w:r>
          </w:p>
          <w:p w14:paraId="10876512" w14:textId="77777777" w:rsidR="00FA4BE7" w:rsidRDefault="00FA4BE7" w:rsidP="00FA4BE7">
            <w:pPr>
              <w:pStyle w:val="TableBody"/>
            </w:pPr>
          </w:p>
          <w:p w14:paraId="65AC861E" w14:textId="1883BA1B" w:rsidR="009B5CB7" w:rsidRDefault="009B5CB7" w:rsidP="002214F0">
            <w:pPr>
              <w:pStyle w:val="Paragraphbeforelist"/>
            </w:pPr>
            <w:r>
              <w:t>If the device has a compliance label, then a supplier must:</w:t>
            </w:r>
          </w:p>
          <w:p w14:paraId="26A21EA4" w14:textId="72A39D67" w:rsidR="009B5CB7" w:rsidRDefault="009B5CB7" w:rsidP="00D8701C">
            <w:pPr>
              <w:pStyle w:val="ListBullet"/>
            </w:pPr>
            <w:r>
              <w:t xml:space="preserve">obtain a description of the </w:t>
            </w:r>
            <w:proofErr w:type="gramStart"/>
            <w:r>
              <w:t>device</w:t>
            </w:r>
            <w:proofErr w:type="gramEnd"/>
          </w:p>
          <w:p w14:paraId="347E4914" w14:textId="504A04AA" w:rsidR="009B5CB7" w:rsidRDefault="009B5CB7" w:rsidP="00D8701C">
            <w:pPr>
              <w:pStyle w:val="ListBullet"/>
            </w:pPr>
            <w:r>
              <w:t xml:space="preserve">register on the national database as a responsible </w:t>
            </w:r>
            <w:proofErr w:type="gramStart"/>
            <w:r>
              <w:t>supplier</w:t>
            </w:r>
            <w:proofErr w:type="gramEnd"/>
          </w:p>
          <w:p w14:paraId="36A47B5F" w14:textId="77777777" w:rsidR="00FA4BE7" w:rsidRDefault="009B5CB7" w:rsidP="00675E29">
            <w:pPr>
              <w:pStyle w:val="ListBullet"/>
            </w:pPr>
            <w:r>
              <w:t>sign the Declaration of Conformity</w:t>
            </w:r>
            <w:r w:rsidR="00FA4BE7">
              <w:t xml:space="preserve"> </w:t>
            </w:r>
          </w:p>
          <w:p w14:paraId="6BC65363" w14:textId="5D1F561F" w:rsidR="009B5CB7" w:rsidRPr="00E162C4" w:rsidRDefault="00FA4BE7" w:rsidP="00D8701C">
            <w:pPr>
              <w:pStyle w:val="ListBullet"/>
            </w:pPr>
            <w:r>
              <w:t>provide explanatory documentation to minimise the possibility that the device is installed or operated incorrectly so it does not comply with the applicable standard</w:t>
            </w:r>
            <w:r w:rsidR="00132C3B">
              <w:t xml:space="preserve"> (where applicable)</w:t>
            </w:r>
            <w:r w:rsidR="00973988">
              <w:t>.</w:t>
            </w:r>
          </w:p>
        </w:tc>
      </w:tr>
      <w:tr w:rsidR="009B5CB7" w:rsidRPr="00E162C4" w14:paraId="764BC9FD" w14:textId="77777777" w:rsidTr="003E5BD7">
        <w:trPr>
          <w:cnfStyle w:val="000000010000" w:firstRow="0" w:lastRow="0" w:firstColumn="0" w:lastColumn="0" w:oddVBand="0" w:evenVBand="0" w:oddHBand="0" w:evenHBand="1" w:firstRowFirstColumn="0" w:firstRowLastColumn="0" w:lastRowFirstColumn="0" w:lastRowLastColumn="0"/>
        </w:trPr>
        <w:tc>
          <w:tcPr>
            <w:tcW w:w="1980" w:type="dxa"/>
          </w:tcPr>
          <w:p w14:paraId="67353D00" w14:textId="050D4AA4" w:rsidR="009B5CB7" w:rsidRPr="00E162C4" w:rsidRDefault="00EF5748" w:rsidP="006A4313">
            <w:pPr>
              <w:pStyle w:val="TableBody"/>
            </w:pPr>
            <w:r>
              <w:rPr>
                <w:b/>
                <w:bCs/>
              </w:rPr>
              <w:lastRenderedPageBreak/>
              <w:t>Medium-risk</w:t>
            </w:r>
            <w:r w:rsidR="009B5CB7" w:rsidRPr="002214F0">
              <w:rPr>
                <w:b/>
                <w:bCs/>
              </w:rPr>
              <w:t xml:space="preserve"> device</w:t>
            </w:r>
            <w:r w:rsidR="00973988">
              <w:rPr>
                <w:b/>
                <w:bCs/>
              </w:rPr>
              <w:t>:</w:t>
            </w:r>
            <w:r w:rsidR="00973988">
              <w:t xml:space="preserve"> </w:t>
            </w:r>
            <w:r w:rsidR="007B612E">
              <w:t xml:space="preserve">EMC </w:t>
            </w:r>
            <w:r w:rsidR="009B5CB7">
              <w:t>compliance level 2</w:t>
            </w:r>
            <w:r w:rsidR="007B612E">
              <w:rPr>
                <w:rStyle w:val="FootnoteReference"/>
              </w:rPr>
              <w:footnoteReference w:id="13"/>
            </w:r>
          </w:p>
        </w:tc>
        <w:tc>
          <w:tcPr>
            <w:tcW w:w="1559" w:type="dxa"/>
          </w:tcPr>
          <w:p w14:paraId="00721BDF" w14:textId="77777777" w:rsidR="009B5CB7" w:rsidRPr="00E162C4" w:rsidRDefault="009B5CB7" w:rsidP="006A4313">
            <w:pPr>
              <w:pStyle w:val="TableBody"/>
            </w:pPr>
            <w:r>
              <w:t>Mandatory</w:t>
            </w:r>
          </w:p>
        </w:tc>
        <w:tc>
          <w:tcPr>
            <w:tcW w:w="4961" w:type="dxa"/>
          </w:tcPr>
          <w:p w14:paraId="34A3D895" w14:textId="77777777" w:rsidR="009B5CB7" w:rsidRDefault="009B5CB7" w:rsidP="006A4313">
            <w:pPr>
              <w:pStyle w:val="TableBody"/>
            </w:pPr>
            <w:r>
              <w:t>A supplier must:</w:t>
            </w:r>
          </w:p>
          <w:p w14:paraId="0CB8AA2B" w14:textId="475B49E0" w:rsidR="009B5CB7" w:rsidRDefault="009B5CB7" w:rsidP="006A4313">
            <w:pPr>
              <w:pStyle w:val="ListBullet"/>
            </w:pPr>
            <w:r>
              <w:t xml:space="preserve">obtain </w:t>
            </w:r>
            <w:r w:rsidR="00471EF1">
              <w:t xml:space="preserve">a </w:t>
            </w:r>
            <w:r>
              <w:t xml:space="preserve">description of the </w:t>
            </w:r>
            <w:proofErr w:type="gramStart"/>
            <w:r>
              <w:t>device</w:t>
            </w:r>
            <w:proofErr w:type="gramEnd"/>
          </w:p>
          <w:p w14:paraId="2364F107" w14:textId="100FE2EA" w:rsidR="009B5CB7" w:rsidRDefault="009B5CB7" w:rsidP="006A4313">
            <w:pPr>
              <w:pStyle w:val="ListBullet"/>
            </w:pPr>
            <w:r>
              <w:t>obtain a</w:t>
            </w:r>
            <w:r w:rsidR="008E2409">
              <w:t>n</w:t>
            </w:r>
            <w:r>
              <w:t xml:space="preserve"> EMC test report </w:t>
            </w:r>
            <w:r w:rsidR="00C07339">
              <w:t>in relation</w:t>
            </w:r>
            <w:r w:rsidR="00E24419">
              <w:t xml:space="preserve"> </w:t>
            </w:r>
            <w:r>
              <w:t>to the applicable industry standard</w:t>
            </w:r>
            <w:r w:rsidR="00C07339">
              <w:t>,</w:t>
            </w:r>
            <w:r>
              <w:t xml:space="preserve"> or a technical construction </w:t>
            </w:r>
            <w:proofErr w:type="gramStart"/>
            <w:r>
              <w:t>file</w:t>
            </w:r>
            <w:proofErr w:type="gramEnd"/>
          </w:p>
          <w:p w14:paraId="727F5A9E" w14:textId="77777777" w:rsidR="009B5CB7" w:rsidRDefault="009B5CB7" w:rsidP="006A4313">
            <w:pPr>
              <w:pStyle w:val="ListBullet"/>
            </w:pPr>
            <w:r>
              <w:t xml:space="preserve">register on the national database as a responsible </w:t>
            </w:r>
            <w:proofErr w:type="gramStart"/>
            <w:r>
              <w:t>supplier</w:t>
            </w:r>
            <w:proofErr w:type="gramEnd"/>
          </w:p>
          <w:p w14:paraId="31A15F63" w14:textId="77777777" w:rsidR="00AD1BD5" w:rsidRDefault="00D74E8C">
            <w:pPr>
              <w:pStyle w:val="ListBullet"/>
            </w:pPr>
            <w:r>
              <w:t xml:space="preserve">complete and </w:t>
            </w:r>
            <w:r w:rsidR="009B5CB7">
              <w:t xml:space="preserve">sign </w:t>
            </w:r>
            <w:r>
              <w:t>a</w:t>
            </w:r>
            <w:r w:rsidR="009B5CB7">
              <w:t xml:space="preserve"> Declaration of Conformity</w:t>
            </w:r>
          </w:p>
          <w:p w14:paraId="1AC44305" w14:textId="4E924C51" w:rsidR="00FA4BE7" w:rsidRPr="00E162C4" w:rsidRDefault="00FA4BE7" w:rsidP="00675E29">
            <w:pPr>
              <w:pStyle w:val="ListBullet"/>
            </w:pPr>
            <w:r>
              <w:t xml:space="preserve">provide explanatory documentation to minimise the possibility that the device is installed or operated incorrectly so it does not comply with the applicable standard </w:t>
            </w:r>
            <w:r w:rsidR="00132C3B">
              <w:t>(where applicable)</w:t>
            </w:r>
          </w:p>
        </w:tc>
      </w:tr>
      <w:tr w:rsidR="009B5CB7" w:rsidRPr="00E162C4" w14:paraId="02AC3549" w14:textId="77777777" w:rsidTr="003E5BD7">
        <w:trPr>
          <w:cnfStyle w:val="000000100000" w:firstRow="0" w:lastRow="0" w:firstColumn="0" w:lastColumn="0" w:oddVBand="0" w:evenVBand="0" w:oddHBand="1" w:evenHBand="0" w:firstRowFirstColumn="0" w:firstRowLastColumn="0" w:lastRowFirstColumn="0" w:lastRowLastColumn="0"/>
        </w:trPr>
        <w:tc>
          <w:tcPr>
            <w:tcW w:w="1980" w:type="dxa"/>
            <w:shd w:val="clear" w:color="auto" w:fill="auto"/>
          </w:tcPr>
          <w:p w14:paraId="578B1959" w14:textId="1EC1B329" w:rsidR="009B5CB7" w:rsidRPr="00E162C4" w:rsidRDefault="00EF5748" w:rsidP="006A4313">
            <w:pPr>
              <w:pStyle w:val="TableBody"/>
            </w:pPr>
            <w:r>
              <w:rPr>
                <w:b/>
                <w:bCs/>
              </w:rPr>
              <w:t>High-risk</w:t>
            </w:r>
            <w:r w:rsidR="009B5CB7" w:rsidRPr="002214F0">
              <w:rPr>
                <w:b/>
                <w:bCs/>
              </w:rPr>
              <w:t xml:space="preserve"> device</w:t>
            </w:r>
            <w:r w:rsidR="00973988">
              <w:rPr>
                <w:b/>
                <w:bCs/>
              </w:rPr>
              <w:t>:</w:t>
            </w:r>
            <w:r w:rsidR="007B612E">
              <w:t xml:space="preserve"> EMC </w:t>
            </w:r>
            <w:r w:rsidR="009B5CB7">
              <w:t>compliance level 3</w:t>
            </w:r>
            <w:r w:rsidR="007B612E">
              <w:rPr>
                <w:rStyle w:val="FootnoteReference"/>
              </w:rPr>
              <w:footnoteReference w:id="14"/>
            </w:r>
          </w:p>
        </w:tc>
        <w:tc>
          <w:tcPr>
            <w:tcW w:w="1559" w:type="dxa"/>
            <w:shd w:val="clear" w:color="auto" w:fill="auto"/>
          </w:tcPr>
          <w:p w14:paraId="0E584600" w14:textId="77777777" w:rsidR="009B5CB7" w:rsidRPr="00E162C4" w:rsidRDefault="009B5CB7" w:rsidP="006A4313">
            <w:pPr>
              <w:pStyle w:val="TableBody"/>
            </w:pPr>
            <w:r>
              <w:t>Mandatory</w:t>
            </w:r>
          </w:p>
        </w:tc>
        <w:tc>
          <w:tcPr>
            <w:tcW w:w="4961" w:type="dxa"/>
            <w:shd w:val="clear" w:color="auto" w:fill="auto"/>
          </w:tcPr>
          <w:p w14:paraId="6B82193B" w14:textId="77777777" w:rsidR="009B5CB7" w:rsidRDefault="009B5CB7" w:rsidP="006A4313">
            <w:pPr>
              <w:pStyle w:val="TableBody"/>
            </w:pPr>
            <w:r>
              <w:t>A supplier must:</w:t>
            </w:r>
          </w:p>
          <w:p w14:paraId="790EE537" w14:textId="789DFAD3" w:rsidR="009B5CB7" w:rsidRDefault="009B5CB7" w:rsidP="006A4313">
            <w:pPr>
              <w:pStyle w:val="ListBullet"/>
            </w:pPr>
            <w:r>
              <w:t xml:space="preserve">obtain </w:t>
            </w:r>
            <w:r w:rsidR="00471EF1">
              <w:t xml:space="preserve">a </w:t>
            </w:r>
            <w:r>
              <w:t xml:space="preserve">description of the </w:t>
            </w:r>
            <w:proofErr w:type="gramStart"/>
            <w:r>
              <w:t>device</w:t>
            </w:r>
            <w:proofErr w:type="gramEnd"/>
          </w:p>
          <w:p w14:paraId="4B7C67B1" w14:textId="1E830BDA" w:rsidR="009B5CB7" w:rsidRDefault="009B5CB7" w:rsidP="006A4313">
            <w:pPr>
              <w:pStyle w:val="ListBullet"/>
            </w:pPr>
            <w:r>
              <w:t>obtain an accredited test report from an accredited testing laboratory</w:t>
            </w:r>
            <w:r w:rsidR="00E24419">
              <w:t xml:space="preserve"> in relation to the applicable industry standard, or a technical construction </w:t>
            </w:r>
            <w:proofErr w:type="gramStart"/>
            <w:r w:rsidR="00E24419">
              <w:t>f</w:t>
            </w:r>
            <w:r w:rsidR="00AA008C">
              <w:t>ile</w:t>
            </w:r>
            <w:proofErr w:type="gramEnd"/>
          </w:p>
          <w:p w14:paraId="7EA2BCC0" w14:textId="77777777" w:rsidR="009B5CB7" w:rsidRDefault="009B5CB7" w:rsidP="006A4313">
            <w:pPr>
              <w:pStyle w:val="ListBullet"/>
            </w:pPr>
            <w:r>
              <w:t xml:space="preserve">register on the national database as a responsible </w:t>
            </w:r>
            <w:proofErr w:type="gramStart"/>
            <w:r>
              <w:t>supplier</w:t>
            </w:r>
            <w:proofErr w:type="gramEnd"/>
          </w:p>
          <w:p w14:paraId="70FBBACC" w14:textId="77777777" w:rsidR="00AA008C" w:rsidRDefault="00D74E8C">
            <w:pPr>
              <w:pStyle w:val="ListBullet"/>
            </w:pPr>
            <w:r>
              <w:t xml:space="preserve">complete and </w:t>
            </w:r>
            <w:r w:rsidR="009B5CB7">
              <w:t xml:space="preserve">sign </w:t>
            </w:r>
            <w:r>
              <w:t>a</w:t>
            </w:r>
            <w:r w:rsidR="009B5CB7">
              <w:t xml:space="preserve"> Declaration of Conformity</w:t>
            </w:r>
          </w:p>
          <w:p w14:paraId="44300E95" w14:textId="6840D5CA" w:rsidR="00FA4BE7" w:rsidRPr="00E162C4" w:rsidRDefault="00FA4BE7" w:rsidP="00675E29">
            <w:pPr>
              <w:pStyle w:val="ListBullet"/>
            </w:pPr>
            <w:r>
              <w:t>provide explanatory documentation to minimise the possibility that the device is installed or operated incorrectly so it does not comply with the applicable standard</w:t>
            </w:r>
            <w:r w:rsidR="00132C3B">
              <w:t xml:space="preserve"> (where applicable)</w:t>
            </w:r>
          </w:p>
        </w:tc>
      </w:tr>
    </w:tbl>
    <w:p w14:paraId="4EB83E4F" w14:textId="58ABB866" w:rsidR="00D3449B" w:rsidRDefault="00D3449B" w:rsidP="004C4A77">
      <w:pPr>
        <w:pStyle w:val="Paragraph"/>
      </w:pPr>
    </w:p>
    <w:p w14:paraId="012B72E8" w14:textId="668AB231" w:rsidR="00715722" w:rsidRPr="00E162C4" w:rsidRDefault="00715722" w:rsidP="00715722">
      <w:pPr>
        <w:pStyle w:val="Heading1"/>
      </w:pPr>
      <w:bookmarkStart w:id="11" w:name="_Toc149912273"/>
      <w:r w:rsidRPr="00E162C4">
        <w:lastRenderedPageBreak/>
        <w:t>Issues for comment</w:t>
      </w:r>
      <w:bookmarkEnd w:id="1"/>
      <w:bookmarkEnd w:id="11"/>
    </w:p>
    <w:p w14:paraId="30F6A099" w14:textId="5F52BA7E" w:rsidR="002E5250" w:rsidRDefault="00A47FAC" w:rsidP="009A021C">
      <w:pPr>
        <w:pStyle w:val="Paragraphbeforelist"/>
      </w:pPr>
      <w:r>
        <w:t>We</w:t>
      </w:r>
      <w:r w:rsidR="002E5250">
        <w:t xml:space="preserve"> </w:t>
      </w:r>
      <w:r w:rsidR="001C50DD">
        <w:t>welcome comments on issues relevant to EMC equipment regulation. We are particularly interested in views on the questions outlined below</w:t>
      </w:r>
      <w:r w:rsidR="001A47D6">
        <w:t>:</w:t>
      </w:r>
    </w:p>
    <w:p w14:paraId="63A2C9D5" w14:textId="5F8D70DB" w:rsidR="003A78A5" w:rsidRDefault="008D68DB" w:rsidP="003A78A5">
      <w:pPr>
        <w:pStyle w:val="Bulletlevel1"/>
      </w:pPr>
      <w:r>
        <w:rPr>
          <w:b/>
          <w:bCs/>
        </w:rPr>
        <w:t>Question</w:t>
      </w:r>
      <w:r w:rsidRPr="00EE378E">
        <w:rPr>
          <w:b/>
          <w:bCs/>
        </w:rPr>
        <w:t xml:space="preserve"> </w:t>
      </w:r>
      <w:r w:rsidR="003A78A5">
        <w:rPr>
          <w:b/>
          <w:bCs/>
        </w:rPr>
        <w:t>1</w:t>
      </w:r>
      <w:r w:rsidR="003A78A5" w:rsidRPr="00EE378E">
        <w:rPr>
          <w:b/>
          <w:bCs/>
        </w:rPr>
        <w:t>.</w:t>
      </w:r>
      <w:r w:rsidR="003A78A5">
        <w:t xml:space="preserve"> We are </w:t>
      </w:r>
      <w:r w:rsidR="00273F2C">
        <w:t>proposing to</w:t>
      </w:r>
      <w:r w:rsidR="003A78A5">
        <w:t xml:space="preserve"> expand the </w:t>
      </w:r>
      <w:r w:rsidR="0038601A">
        <w:t xml:space="preserve">range of EMC standards that may be used by suppliers to demonstrate compliance. </w:t>
      </w:r>
      <w:r w:rsidR="005A2E70">
        <w:t xml:space="preserve">This is anticipated to reduce barriers to trade, compliance costs and time to market. </w:t>
      </w:r>
      <w:r w:rsidR="003A78A5">
        <w:t>Do you have any comments on the proposal to reference all the EMC harmonised standards for emission under Directive 2014/30/EU in the ACMA’s EMC regulatory arrangements</w:t>
      </w:r>
      <w:r w:rsidR="003A78A5" w:rsidRPr="00FA0290">
        <w:t>?</w:t>
      </w:r>
      <w:r w:rsidR="003A78A5">
        <w:t xml:space="preserve"> </w:t>
      </w:r>
    </w:p>
    <w:p w14:paraId="54EB41D0" w14:textId="47DCFB2B" w:rsidR="001A47D6" w:rsidRDefault="008D68DB" w:rsidP="00EE378E">
      <w:pPr>
        <w:pStyle w:val="Bulletlevel1"/>
      </w:pPr>
      <w:r>
        <w:rPr>
          <w:b/>
          <w:bCs/>
        </w:rPr>
        <w:t>Question</w:t>
      </w:r>
      <w:r w:rsidDel="008D68DB">
        <w:rPr>
          <w:b/>
          <w:bCs/>
        </w:rPr>
        <w:t xml:space="preserve"> </w:t>
      </w:r>
      <w:r w:rsidR="005F72C9" w:rsidRPr="00EE378E">
        <w:rPr>
          <w:b/>
          <w:bCs/>
        </w:rPr>
        <w:t>2.</w:t>
      </w:r>
      <w:r w:rsidR="005F72C9">
        <w:t xml:space="preserve"> </w:t>
      </w:r>
      <w:r w:rsidR="0052473B">
        <w:t xml:space="preserve">Modern vehicles are increasingly embedded </w:t>
      </w:r>
      <w:r w:rsidR="00ED510E">
        <w:t xml:space="preserve">with </w:t>
      </w:r>
      <w:r w:rsidR="0052473B">
        <w:t xml:space="preserve">and reliant on advanced electronic and safety systems. </w:t>
      </w:r>
      <w:r w:rsidR="007D38B7">
        <w:t>Do you have any comments on</w:t>
      </w:r>
      <w:r w:rsidR="007B4694">
        <w:t xml:space="preserve"> whether</w:t>
      </w:r>
      <w:r w:rsidR="007D38B7">
        <w:t xml:space="preserve"> the </w:t>
      </w:r>
      <w:r w:rsidR="001A47D6">
        <w:t xml:space="preserve">current EMC </w:t>
      </w:r>
      <w:r w:rsidR="003066CB">
        <w:t xml:space="preserve">regulatory </w:t>
      </w:r>
      <w:r w:rsidR="001A47D6">
        <w:t>arrangements for managing EMC risks for vehicles</w:t>
      </w:r>
      <w:r w:rsidR="007B4694">
        <w:t>,</w:t>
      </w:r>
      <w:r w:rsidR="001A47D6">
        <w:t xml:space="preserve"> including electric vehicles</w:t>
      </w:r>
      <w:r w:rsidR="007B4694">
        <w:t>, are</w:t>
      </w:r>
      <w:r w:rsidR="001A47D6">
        <w:t xml:space="preserve"> effective?</w:t>
      </w:r>
    </w:p>
    <w:p w14:paraId="224373BA" w14:textId="724B6527" w:rsidR="00DA3DB2" w:rsidRPr="00E162C4" w:rsidRDefault="008D68DB" w:rsidP="00DA3DB2">
      <w:pPr>
        <w:pStyle w:val="ListBullet"/>
      </w:pPr>
      <w:r>
        <w:rPr>
          <w:b/>
          <w:bCs/>
        </w:rPr>
        <w:t>Question</w:t>
      </w:r>
      <w:r w:rsidRPr="00ED510E" w:rsidDel="008D68DB">
        <w:rPr>
          <w:b/>
          <w:bCs/>
        </w:rPr>
        <w:t xml:space="preserve"> </w:t>
      </w:r>
      <w:r w:rsidR="00DA3DB2" w:rsidRPr="00ED510E">
        <w:rPr>
          <w:b/>
          <w:bCs/>
        </w:rPr>
        <w:t>3.</w:t>
      </w:r>
      <w:r w:rsidR="00DA3DB2">
        <w:t xml:space="preserve"> Do you have any comments on </w:t>
      </w:r>
      <w:r w:rsidR="00275B2F">
        <w:t>the options to exclude</w:t>
      </w:r>
      <w:r w:rsidR="00DA3DB2">
        <w:t xml:space="preserve"> specified low-powered inductive power transfer devices such as </w:t>
      </w:r>
      <w:r w:rsidR="00275B2F">
        <w:t>wireless</w:t>
      </w:r>
      <w:r w:rsidR="00DA3DB2">
        <w:t xml:space="preserve"> chargers for phones, electronic wearables and electric toothbrushes from the definition of a </w:t>
      </w:r>
      <w:r w:rsidR="00EF5748">
        <w:t>high-risk</w:t>
      </w:r>
      <w:r w:rsidR="00DA3DB2">
        <w:t xml:space="preserve"> device?</w:t>
      </w:r>
    </w:p>
    <w:p w14:paraId="6114925A" w14:textId="0296C3E3" w:rsidR="001A47D6" w:rsidRDefault="008D68DB" w:rsidP="00EE378E">
      <w:pPr>
        <w:pStyle w:val="Bulletlevel1"/>
      </w:pPr>
      <w:r>
        <w:rPr>
          <w:b/>
          <w:bCs/>
        </w:rPr>
        <w:t>Question</w:t>
      </w:r>
      <w:r w:rsidDel="008D68DB">
        <w:rPr>
          <w:b/>
          <w:bCs/>
        </w:rPr>
        <w:t xml:space="preserve"> </w:t>
      </w:r>
      <w:r w:rsidR="00991E30">
        <w:rPr>
          <w:b/>
          <w:bCs/>
        </w:rPr>
        <w:t>4</w:t>
      </w:r>
      <w:r w:rsidR="005F72C9" w:rsidRPr="00EE378E">
        <w:rPr>
          <w:b/>
          <w:bCs/>
        </w:rPr>
        <w:t>.</w:t>
      </w:r>
      <w:r w:rsidR="005F72C9">
        <w:t xml:space="preserve"> </w:t>
      </w:r>
      <w:r w:rsidR="001A47D6">
        <w:t xml:space="preserve">Do you have any comments on our proposal to lower the </w:t>
      </w:r>
      <w:r w:rsidR="00EB7980">
        <w:t>compliance level</w:t>
      </w:r>
      <w:r w:rsidR="001A47D6">
        <w:t xml:space="preserve"> of certain household devices? Are there any other devices that we have not identified, where we should consider lowering the compliance level due to their low risk of causing interference? If so, please specify the types of devices and why their compliance level should be changed, including any common characteristics that </w:t>
      </w:r>
      <w:r w:rsidR="00EB288E">
        <w:t>cause</w:t>
      </w:r>
      <w:r w:rsidR="001A47D6">
        <w:t xml:space="preserve"> these devices </w:t>
      </w:r>
      <w:r w:rsidR="00EB288E">
        <w:t xml:space="preserve">to </w:t>
      </w:r>
      <w:r w:rsidR="00911C03">
        <w:t>pos</w:t>
      </w:r>
      <w:r w:rsidR="00EB288E">
        <w:t xml:space="preserve">e </w:t>
      </w:r>
      <w:r w:rsidR="001A47D6">
        <w:t>a low risk of interference.</w:t>
      </w:r>
    </w:p>
    <w:p w14:paraId="4BA8F4B6" w14:textId="625EBA43" w:rsidR="00DA3DB2" w:rsidRDefault="008D68DB" w:rsidP="00EE378E">
      <w:pPr>
        <w:pStyle w:val="Bulletlevel1"/>
      </w:pPr>
      <w:r>
        <w:rPr>
          <w:b/>
          <w:bCs/>
        </w:rPr>
        <w:t>Question</w:t>
      </w:r>
      <w:r w:rsidDel="008D68DB">
        <w:rPr>
          <w:b/>
          <w:bCs/>
        </w:rPr>
        <w:t xml:space="preserve"> </w:t>
      </w:r>
      <w:r w:rsidR="00DA3DB2">
        <w:rPr>
          <w:b/>
          <w:bCs/>
        </w:rPr>
        <w:t>5.</w:t>
      </w:r>
      <w:r w:rsidR="00DA3DB2">
        <w:t xml:space="preserve"> Do you have</w:t>
      </w:r>
      <w:r w:rsidR="00DA3DB2" w:rsidRPr="00DA3DB2">
        <w:t xml:space="preserve"> </w:t>
      </w:r>
      <w:r w:rsidR="00DA3DB2">
        <w:t xml:space="preserve">any comments on </w:t>
      </w:r>
      <w:r w:rsidR="00C9309A">
        <w:t xml:space="preserve">the </w:t>
      </w:r>
      <w:r w:rsidR="00A76FB9">
        <w:t xml:space="preserve">categorisation of </w:t>
      </w:r>
      <w:r w:rsidR="00DA3DB2">
        <w:t>battery-powered devices</w:t>
      </w:r>
      <w:r w:rsidR="00A76FB9">
        <w:t xml:space="preserve"> as </w:t>
      </w:r>
      <w:r w:rsidR="00EF5748">
        <w:t>low-risk</w:t>
      </w:r>
      <w:r w:rsidR="00A76FB9">
        <w:t xml:space="preserve"> devices</w:t>
      </w:r>
      <w:r w:rsidR="00DA3DB2">
        <w:t>?</w:t>
      </w:r>
    </w:p>
    <w:p w14:paraId="3D3E012B" w14:textId="4214C3C8" w:rsidR="00A51DA3" w:rsidRPr="00B279D2" w:rsidRDefault="00A51DA3" w:rsidP="00B279D2">
      <w:pPr>
        <w:pStyle w:val="Heading2"/>
      </w:pPr>
      <w:bookmarkStart w:id="12" w:name="_Toc149912274"/>
      <w:r w:rsidRPr="00B279D2">
        <w:t>E</w:t>
      </w:r>
      <w:r w:rsidR="008445CF" w:rsidRPr="00B279D2">
        <w:t>xpanding</w:t>
      </w:r>
      <w:r w:rsidR="00F352F5" w:rsidRPr="00B279D2">
        <w:t xml:space="preserve"> the current list of recognised E</w:t>
      </w:r>
      <w:r w:rsidRPr="00B279D2">
        <w:t>MC harmonised standards</w:t>
      </w:r>
      <w:bookmarkEnd w:id="12"/>
      <w:r w:rsidRPr="00B279D2">
        <w:t xml:space="preserve"> </w:t>
      </w:r>
    </w:p>
    <w:p w14:paraId="249BB313" w14:textId="77777777" w:rsidR="00A51DA3" w:rsidRPr="00A51DA3" w:rsidRDefault="00A51DA3" w:rsidP="00A51DA3">
      <w:pPr>
        <w:rPr>
          <w:rFonts w:cs="Arial"/>
        </w:rPr>
      </w:pPr>
      <w:r w:rsidRPr="00A51DA3">
        <w:rPr>
          <w:rFonts w:cs="Arial"/>
        </w:rPr>
        <w:t>The ACMA’s list of EMC standards largely references international documents such as European (EN) and the Comité International Spécial des Pertubations Radioélectriques (CISPR)</w:t>
      </w:r>
      <w:r w:rsidRPr="00A51DA3" w:rsidDel="00B04F8D">
        <w:rPr>
          <w:rFonts w:cs="Arial"/>
        </w:rPr>
        <w:t xml:space="preserve"> </w:t>
      </w:r>
      <w:r w:rsidRPr="00A51DA3">
        <w:rPr>
          <w:rFonts w:cs="Arial"/>
        </w:rPr>
        <w:t xml:space="preserve">standards. </w:t>
      </w:r>
    </w:p>
    <w:p w14:paraId="04319D7F" w14:textId="48C9F4CE" w:rsidR="00A51DA3" w:rsidRPr="00A51DA3" w:rsidRDefault="00A51DA3" w:rsidP="00A51DA3">
      <w:pPr>
        <w:rPr>
          <w:rFonts w:cs="Arial"/>
        </w:rPr>
      </w:pPr>
      <w:r w:rsidRPr="00A51DA3">
        <w:rPr>
          <w:rFonts w:cs="Arial"/>
        </w:rPr>
        <w:t xml:space="preserve">Most of the EN documents included in </w:t>
      </w:r>
      <w:r w:rsidR="00EC5195">
        <w:rPr>
          <w:rFonts w:cs="Arial"/>
        </w:rPr>
        <w:t>our</w:t>
      </w:r>
      <w:r w:rsidRPr="00A51DA3">
        <w:rPr>
          <w:rFonts w:cs="Arial"/>
        </w:rPr>
        <w:t xml:space="preserve"> list of standards are EMC harmonised standards</w:t>
      </w:r>
      <w:r w:rsidRPr="00A51DA3">
        <w:rPr>
          <w:rFonts w:cs="Arial"/>
          <w:vertAlign w:val="superscript"/>
        </w:rPr>
        <w:footnoteReference w:id="15"/>
      </w:r>
      <w:r w:rsidRPr="00A51DA3">
        <w:rPr>
          <w:rFonts w:cs="Arial"/>
        </w:rPr>
        <w:t xml:space="preserve"> under Directive 2014/30/EU (the European Directive). A notable difference is that the ACMA’s list of EMC standards does not include all of the EMC harmonised standards for emission.</w:t>
      </w:r>
      <w:r w:rsidRPr="00A51DA3">
        <w:rPr>
          <w:rFonts w:cs="Arial"/>
          <w:vertAlign w:val="superscript"/>
        </w:rPr>
        <w:footnoteReference w:id="16"/>
      </w:r>
    </w:p>
    <w:p w14:paraId="7E73D073" w14:textId="06C167D8" w:rsidR="00A51DA3" w:rsidRPr="00A51DA3" w:rsidRDefault="00A51DA3" w:rsidP="00A51DA3">
      <w:pPr>
        <w:spacing w:after="80"/>
        <w:rPr>
          <w:rFonts w:cs="Arial"/>
        </w:rPr>
      </w:pPr>
      <w:r w:rsidRPr="00A51DA3">
        <w:rPr>
          <w:rFonts w:cs="Arial"/>
        </w:rPr>
        <w:t xml:space="preserve">We are considering whether to expand </w:t>
      </w:r>
      <w:r w:rsidR="00EC5195">
        <w:rPr>
          <w:rFonts w:cs="Arial"/>
        </w:rPr>
        <w:t>our</w:t>
      </w:r>
      <w:r w:rsidRPr="00A51DA3">
        <w:rPr>
          <w:rFonts w:cs="Arial"/>
        </w:rPr>
        <w:t xml:space="preserve"> current list of EMC standards to include all of the EMC harmonised standards for emission under the European Directive. </w:t>
      </w:r>
    </w:p>
    <w:p w14:paraId="3C10B846" w14:textId="77777777" w:rsidR="00A51DA3" w:rsidRPr="00A51DA3" w:rsidRDefault="00A51DA3" w:rsidP="002214F0">
      <w:pPr>
        <w:pStyle w:val="Paragraphbeforelist"/>
        <w:keepNext/>
        <w:keepLines/>
      </w:pPr>
      <w:r w:rsidRPr="00A51DA3">
        <w:lastRenderedPageBreak/>
        <w:t>Under our current EMC regulatory arrangements, a device is expected to comply with:</w:t>
      </w:r>
    </w:p>
    <w:p w14:paraId="687A2FDE" w14:textId="44B97740" w:rsidR="00A51DA3" w:rsidRPr="00F5025C" w:rsidRDefault="00A51DA3" w:rsidP="002214F0">
      <w:pPr>
        <w:pStyle w:val="Bulletlevel1"/>
        <w:keepNext/>
        <w:keepLines/>
      </w:pPr>
      <w:r w:rsidRPr="00116829">
        <w:t>a standard in Part 2 of the ACMA’s list of standards that is applicable to</w:t>
      </w:r>
      <w:r w:rsidR="00EB288E">
        <w:t xml:space="preserve"> the</w:t>
      </w:r>
      <w:r w:rsidRPr="00116829">
        <w:t xml:space="preserve"> device (if any)</w:t>
      </w:r>
    </w:p>
    <w:p w14:paraId="328B3AB4" w14:textId="77777777" w:rsidR="00A51DA3" w:rsidRPr="00F5025C" w:rsidRDefault="00A51DA3" w:rsidP="002214F0">
      <w:pPr>
        <w:pStyle w:val="Bulletlevel1"/>
        <w:keepNext/>
        <w:keepLines/>
      </w:pPr>
      <w:r w:rsidRPr="00116829">
        <w:t>one of the generic standards in Part 1 of the ACMA’s list of standards if there is no applicable standard in Part 2</w:t>
      </w:r>
      <w:r w:rsidRPr="000960C9">
        <w:t>.</w:t>
      </w:r>
      <w:r w:rsidRPr="000960C9">
        <w:rPr>
          <w:vertAlign w:val="superscript"/>
        </w:rPr>
        <w:footnoteReference w:id="17"/>
      </w:r>
      <w:r w:rsidRPr="001614B8">
        <w:t xml:space="preserve"> </w:t>
      </w:r>
    </w:p>
    <w:p w14:paraId="2257EA2D" w14:textId="1A20AB6B" w:rsidR="00A51DA3" w:rsidRPr="00A51DA3" w:rsidRDefault="00A51DA3" w:rsidP="00A51DA3">
      <w:pPr>
        <w:spacing w:before="240" w:line="240" w:lineRule="auto"/>
      </w:pPr>
      <w:r w:rsidRPr="00A51DA3">
        <w:t>Therefore, a supplier wh</w:t>
      </w:r>
      <w:r w:rsidR="00FB1DB0">
        <w:t>o</w:t>
      </w:r>
      <w:r w:rsidRPr="00A51DA3">
        <w:t xml:space="preserve"> has tested their device against an EMC harmonised standard for emission </w:t>
      </w:r>
      <w:r w:rsidR="00EC5195">
        <w:t>that</w:t>
      </w:r>
      <w:r w:rsidR="00EC5195" w:rsidRPr="00A51DA3">
        <w:t xml:space="preserve"> </w:t>
      </w:r>
      <w:r w:rsidRPr="00A51DA3">
        <w:t>is currently not recognised would need to re-test their device against one of the standards in the ACMA’s list of standards, and ensure the device complies with that standard, to meet Australian requirements.</w:t>
      </w:r>
    </w:p>
    <w:p w14:paraId="21BF9192" w14:textId="77777777" w:rsidR="00A51DA3" w:rsidRPr="00A51DA3" w:rsidRDefault="00A51DA3" w:rsidP="00A51DA3">
      <w:pPr>
        <w:spacing w:after="80"/>
        <w:rPr>
          <w:rFonts w:cs="Arial"/>
        </w:rPr>
      </w:pPr>
      <w:r w:rsidRPr="00A51DA3">
        <w:rPr>
          <w:rFonts w:cs="Arial"/>
        </w:rPr>
        <w:t xml:space="preserve">Our proposal to expand the arrangements to include all EMC harmonised standards for emission is </w:t>
      </w:r>
      <w:r w:rsidRPr="00A51DA3" w:rsidDel="005D1715">
        <w:rPr>
          <w:rFonts w:cs="Arial"/>
        </w:rPr>
        <w:t>intended</w:t>
      </w:r>
      <w:r w:rsidRPr="00A51DA3">
        <w:rPr>
          <w:rFonts w:cs="Arial"/>
        </w:rPr>
        <w:t xml:space="preserve"> to simplify the regulatory arrangements for suppliers and to provide the following benefits: </w:t>
      </w:r>
    </w:p>
    <w:p w14:paraId="4D4063FB" w14:textId="77777777" w:rsidR="00A51DA3" w:rsidRPr="00F5025C" w:rsidRDefault="00A51DA3" w:rsidP="008E360D">
      <w:pPr>
        <w:pStyle w:val="Bulletlevel1"/>
      </w:pPr>
      <w:r w:rsidRPr="00116829">
        <w:t xml:space="preserve">greater range of standards to use to show </w:t>
      </w:r>
      <w:proofErr w:type="gramStart"/>
      <w:r w:rsidRPr="00116829">
        <w:t>compliance</w:t>
      </w:r>
      <w:proofErr w:type="gramEnd"/>
      <w:r w:rsidRPr="00116829">
        <w:t xml:space="preserve"> </w:t>
      </w:r>
    </w:p>
    <w:p w14:paraId="3A487B23" w14:textId="77777777" w:rsidR="00A51DA3" w:rsidRPr="00F5025C" w:rsidRDefault="00A51DA3" w:rsidP="008E360D">
      <w:pPr>
        <w:pStyle w:val="Bulletlevel1"/>
      </w:pPr>
      <w:r w:rsidRPr="00116829">
        <w:t>reduction in barriers to trade</w:t>
      </w:r>
    </w:p>
    <w:p w14:paraId="09A8B739" w14:textId="77777777" w:rsidR="00A51DA3" w:rsidRPr="00F5025C" w:rsidRDefault="00A51DA3" w:rsidP="008E360D">
      <w:pPr>
        <w:pStyle w:val="Bulletlevel1"/>
      </w:pPr>
      <w:r w:rsidRPr="00116829">
        <w:t>reduction in compliance costs</w:t>
      </w:r>
    </w:p>
    <w:p w14:paraId="2889C074" w14:textId="77777777" w:rsidR="00A51DA3" w:rsidRPr="00F5025C" w:rsidRDefault="00A51DA3" w:rsidP="008E360D">
      <w:pPr>
        <w:pStyle w:val="Bulletlevel1"/>
      </w:pPr>
      <w:r w:rsidRPr="00116829">
        <w:t>reduction in time to market.</w:t>
      </w:r>
    </w:p>
    <w:p w14:paraId="22FA8B43" w14:textId="653C3B11" w:rsidR="00A51DA3" w:rsidRPr="00A51DA3" w:rsidRDefault="00A51DA3" w:rsidP="00A51DA3">
      <w:pPr>
        <w:spacing w:before="240" w:line="240" w:lineRule="auto"/>
      </w:pPr>
      <w:r w:rsidRPr="00A51DA3">
        <w:t xml:space="preserve">We are seeking views on our proposal to recognise all the EMC harmonised standards for emission under the European Directive. </w:t>
      </w:r>
    </w:p>
    <w:p w14:paraId="69E71BAE" w14:textId="582AE5F8" w:rsidR="00F74CB2" w:rsidRPr="00A51DA3" w:rsidRDefault="006D39D0" w:rsidP="00A51DA3">
      <w:pPr>
        <w:spacing w:before="240" w:line="240" w:lineRule="auto"/>
      </w:pPr>
      <w:hyperlink w:anchor="_Appendix_A:_Proposal" w:history="1">
        <w:r w:rsidR="00F74CB2" w:rsidRPr="00103D6C">
          <w:rPr>
            <w:rStyle w:val="Hyperlink"/>
          </w:rPr>
          <w:t>Appendix A</w:t>
        </w:r>
      </w:hyperlink>
      <w:r w:rsidR="00F74CB2">
        <w:t xml:space="preserve"> provides a list of the EMC harmonised standards for emissions in the European Directive that are </w:t>
      </w:r>
      <w:r w:rsidR="003851C8">
        <w:t>proposed to be recognised</w:t>
      </w:r>
      <w:r w:rsidR="004F3409">
        <w:t xml:space="preserve"> by the ACMA</w:t>
      </w:r>
      <w:r w:rsidR="003851C8">
        <w:t>.</w:t>
      </w:r>
    </w:p>
    <w:p w14:paraId="356DC52C" w14:textId="7037ECEA" w:rsidR="00A51DA3" w:rsidRPr="00A51DA3" w:rsidRDefault="008D68DB" w:rsidP="00A51DA3">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outlineLvl w:val="2"/>
        <w:rPr>
          <w:rFonts w:cs="Arial"/>
          <w:b/>
          <w:bCs/>
          <w:szCs w:val="26"/>
        </w:rPr>
      </w:pPr>
      <w:r>
        <w:rPr>
          <w:b/>
          <w:bCs/>
        </w:rPr>
        <w:t>Question</w:t>
      </w:r>
      <w:r w:rsidDel="008D68DB">
        <w:rPr>
          <w:rFonts w:cs="Arial"/>
          <w:b/>
          <w:bCs/>
          <w:szCs w:val="26"/>
        </w:rPr>
        <w:t xml:space="preserve"> </w:t>
      </w:r>
      <w:r w:rsidR="00E12ED5">
        <w:rPr>
          <w:rFonts w:cs="Arial"/>
          <w:b/>
          <w:bCs/>
          <w:szCs w:val="26"/>
        </w:rPr>
        <w:t>1</w:t>
      </w:r>
    </w:p>
    <w:p w14:paraId="4F31F530" w14:textId="7701F2EF" w:rsidR="00A51DA3" w:rsidRPr="00A51DA3" w:rsidRDefault="00A51DA3" w:rsidP="00A51DA3">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sidRPr="00A51DA3">
        <w:rPr>
          <w:rFonts w:cs="Arial"/>
        </w:rPr>
        <w:t xml:space="preserve">Do you have any comments on </w:t>
      </w:r>
      <w:r w:rsidR="00C9309A">
        <w:rPr>
          <w:rFonts w:cs="Arial"/>
        </w:rPr>
        <w:t>our</w:t>
      </w:r>
      <w:r w:rsidRPr="00A51DA3">
        <w:rPr>
          <w:rFonts w:cs="Arial"/>
        </w:rPr>
        <w:t xml:space="preserve"> proposal to reference all the EMC harmonised standards for emission under Directive 2014/30/EU in the ACMA’s EMC regulatory arrangements</w:t>
      </w:r>
      <w:r w:rsidR="003851C8">
        <w:rPr>
          <w:rFonts w:cs="Arial"/>
        </w:rPr>
        <w:t xml:space="preserve"> as indicated in Appendix A</w:t>
      </w:r>
      <w:r w:rsidRPr="00A51DA3">
        <w:rPr>
          <w:rFonts w:cs="Arial"/>
        </w:rPr>
        <w:t>?</w:t>
      </w:r>
    </w:p>
    <w:p w14:paraId="408E04F2" w14:textId="77777777" w:rsidR="001A47D6" w:rsidRDefault="001A47D6" w:rsidP="00A54B47">
      <w:pPr>
        <w:pStyle w:val="Bulletlevel1"/>
        <w:numPr>
          <w:ilvl w:val="0"/>
          <w:numId w:val="0"/>
        </w:numPr>
        <w:spacing w:after="240"/>
      </w:pPr>
    </w:p>
    <w:p w14:paraId="43444112" w14:textId="2C88BE3A" w:rsidR="000242AD" w:rsidRDefault="00C312DB" w:rsidP="00A54B47">
      <w:pPr>
        <w:pStyle w:val="Heading2"/>
      </w:pPr>
      <w:bookmarkStart w:id="13" w:name="_Toc149912275"/>
      <w:r>
        <w:t xml:space="preserve">Assessing whether current </w:t>
      </w:r>
      <w:r w:rsidR="001A47D6">
        <w:t>EMC arrangements</w:t>
      </w:r>
      <w:r>
        <w:t xml:space="preserve"> effectively allow for advance</w:t>
      </w:r>
      <w:r w:rsidR="004420E0">
        <w:t>s</w:t>
      </w:r>
      <w:r>
        <w:t xml:space="preserve"> in technology</w:t>
      </w:r>
      <w:r w:rsidR="00EC5195">
        <w:t xml:space="preserve"> –</w:t>
      </w:r>
      <w:r>
        <w:t xml:space="preserve"> particularly</w:t>
      </w:r>
      <w:r w:rsidR="001A47D6">
        <w:t xml:space="preserve"> for vehicles </w:t>
      </w:r>
      <w:r>
        <w:t>(</w:t>
      </w:r>
      <w:r w:rsidR="001A47D6">
        <w:t>including electric vehicles</w:t>
      </w:r>
      <w:r>
        <w:t>)</w:t>
      </w:r>
      <w:bookmarkEnd w:id="13"/>
    </w:p>
    <w:p w14:paraId="27611A2D" w14:textId="4F08B002" w:rsidR="00830A37" w:rsidRDefault="00830A37" w:rsidP="008031B4">
      <w:pPr>
        <w:pStyle w:val="Paragraph"/>
      </w:pPr>
      <w:r>
        <w:t>T</w:t>
      </w:r>
      <w:r w:rsidR="00400FD7">
        <w:t xml:space="preserve">he EMC </w:t>
      </w:r>
      <w:r w:rsidR="0099488F">
        <w:t xml:space="preserve">arrangements for </w:t>
      </w:r>
      <w:r w:rsidR="00400FD7">
        <w:t>vehicles ha</w:t>
      </w:r>
      <w:r w:rsidR="00F13222">
        <w:t>ve</w:t>
      </w:r>
      <w:r w:rsidR="00400FD7">
        <w:t xml:space="preserve"> been identified as an area of interest</w:t>
      </w:r>
      <w:r w:rsidR="00205EE0">
        <w:t>,</w:t>
      </w:r>
      <w:r w:rsidR="00400FD7">
        <w:t xml:space="preserve"> given </w:t>
      </w:r>
      <w:r w:rsidR="000242AD">
        <w:t xml:space="preserve">recent technological advancements mean that many </w:t>
      </w:r>
      <w:r w:rsidR="0099488F">
        <w:t xml:space="preserve">vehicles </w:t>
      </w:r>
      <w:r w:rsidR="000242AD">
        <w:t>are</w:t>
      </w:r>
      <w:r w:rsidR="004B6453">
        <w:t xml:space="preserve"> increasingly</w:t>
      </w:r>
      <w:r w:rsidR="0099488F">
        <w:t xml:space="preserve"> embedded with radiocommunications transmitters, electronics and electrical systems such as </w:t>
      </w:r>
      <w:r>
        <w:t xml:space="preserve">sensors, radar, lidar, </w:t>
      </w:r>
      <w:r w:rsidR="00400FD7">
        <w:t xml:space="preserve">electronic control units, </w:t>
      </w:r>
      <w:r>
        <w:t>microprocessors</w:t>
      </w:r>
      <w:r w:rsidR="00400FD7">
        <w:t xml:space="preserve"> </w:t>
      </w:r>
      <w:r>
        <w:t xml:space="preserve">and </w:t>
      </w:r>
      <w:r w:rsidR="00EC5195">
        <w:t>v</w:t>
      </w:r>
      <w:r>
        <w:t>ehicle-to-</w:t>
      </w:r>
      <w:r w:rsidR="00EC5195">
        <w:t>e</w:t>
      </w:r>
      <w:r>
        <w:t>verything (V2</w:t>
      </w:r>
      <w:r w:rsidR="00400FD7">
        <w:t>X</w:t>
      </w:r>
      <w:r>
        <w:t>) technology.</w:t>
      </w:r>
      <w:r>
        <w:rPr>
          <w:rStyle w:val="FootnoteReference"/>
        </w:rPr>
        <w:footnoteReference w:id="18"/>
      </w:r>
    </w:p>
    <w:p w14:paraId="5E691CBD" w14:textId="6BBF7ECC" w:rsidR="003F4CC4" w:rsidRDefault="00400FD7" w:rsidP="008031B4">
      <w:pPr>
        <w:pStyle w:val="Paragraph"/>
      </w:pPr>
      <w:r>
        <w:t>In Australia, the Federal Chamber of Automotive Industries (FCAI) is the peak industry association for suppliers of light vehicles including category L and M vehicles and some category N vehicles.</w:t>
      </w:r>
      <w:r w:rsidR="008A0B15">
        <w:t xml:space="preserve"> </w:t>
      </w:r>
    </w:p>
    <w:p w14:paraId="1318C339" w14:textId="1B552EFF" w:rsidR="00EC5195" w:rsidRDefault="009D30D0" w:rsidP="008031B4">
      <w:pPr>
        <w:pStyle w:val="Paragraph"/>
      </w:pPr>
      <w:r w:rsidRPr="002214F0">
        <w:rPr>
          <w:b/>
          <w:bCs/>
        </w:rPr>
        <w:t>Category L vehicles</w:t>
      </w:r>
      <w:r>
        <w:t xml:space="preserve"> cover a variety of vehicles including, but not limited to, motorcycles, mopeds, </w:t>
      </w:r>
      <w:r w:rsidR="00902243">
        <w:t xml:space="preserve">scooters, </w:t>
      </w:r>
      <w:r>
        <w:t>off-road, utility, all</w:t>
      </w:r>
      <w:r w:rsidR="00EC5195">
        <w:t>-</w:t>
      </w:r>
      <w:r>
        <w:t>terrain, personal watercraft and snowmobiles.</w:t>
      </w:r>
      <w:r w:rsidR="008A0B15">
        <w:rPr>
          <w:rStyle w:val="FootnoteReference"/>
        </w:rPr>
        <w:footnoteReference w:id="19"/>
      </w:r>
      <w:r>
        <w:t xml:space="preserve"> </w:t>
      </w:r>
    </w:p>
    <w:p w14:paraId="5FEC936A" w14:textId="36262A14" w:rsidR="00EC5195" w:rsidRDefault="008031B4" w:rsidP="008031B4">
      <w:pPr>
        <w:pStyle w:val="Paragraph"/>
      </w:pPr>
      <w:r w:rsidRPr="002214F0">
        <w:rPr>
          <w:b/>
          <w:bCs/>
        </w:rPr>
        <w:lastRenderedPageBreak/>
        <w:t>Category M vehicles</w:t>
      </w:r>
      <w:r>
        <w:t xml:space="preserve"> </w:t>
      </w:r>
      <w:r w:rsidR="008A0B15">
        <w:t xml:space="preserve">are vehicles </w:t>
      </w:r>
      <w:r w:rsidR="00D52644">
        <w:t xml:space="preserve">with at least </w:t>
      </w:r>
      <w:r w:rsidR="00EC5195">
        <w:t xml:space="preserve">4 </w:t>
      </w:r>
      <w:r w:rsidR="00D52644">
        <w:t xml:space="preserve">wheels </w:t>
      </w:r>
      <w:r>
        <w:t>used</w:t>
      </w:r>
      <w:r w:rsidR="008A0B15">
        <w:t xml:space="preserve"> for the carriage of passengers and are the most common category of vehicles used</w:t>
      </w:r>
      <w:r>
        <w:t xml:space="preserve"> by the Australian community</w:t>
      </w:r>
      <w:r w:rsidR="00285C18">
        <w:t>,</w:t>
      </w:r>
      <w:r>
        <w:t xml:space="preserve"> </w:t>
      </w:r>
      <w:r w:rsidR="00596E8A">
        <w:t>including</w:t>
      </w:r>
      <w:r>
        <w:t xml:space="preserve"> cars, tax</w:t>
      </w:r>
      <w:r w:rsidR="00734310">
        <w:t>is</w:t>
      </w:r>
      <w:r w:rsidR="00400FD7">
        <w:t>,</w:t>
      </w:r>
      <w:r>
        <w:t xml:space="preserve"> </w:t>
      </w:r>
      <w:r w:rsidR="0031194A">
        <w:t xml:space="preserve">passenger vans, </w:t>
      </w:r>
      <w:r>
        <w:t>and buses.</w:t>
      </w:r>
      <w:r w:rsidR="008A0B15">
        <w:rPr>
          <w:rStyle w:val="FootnoteReference"/>
        </w:rPr>
        <w:footnoteReference w:id="20"/>
      </w:r>
      <w:r>
        <w:t xml:space="preserve"> </w:t>
      </w:r>
    </w:p>
    <w:p w14:paraId="34191719" w14:textId="1DCD16B3" w:rsidR="008031B4" w:rsidRDefault="008031B4" w:rsidP="008031B4">
      <w:pPr>
        <w:pStyle w:val="Paragraph"/>
      </w:pPr>
      <w:r w:rsidRPr="002214F0">
        <w:rPr>
          <w:b/>
          <w:bCs/>
        </w:rPr>
        <w:t>Category N vehicles</w:t>
      </w:r>
      <w:r>
        <w:t xml:space="preserve"> cover </w:t>
      </w:r>
      <w:r w:rsidR="002F2088">
        <w:t xml:space="preserve">both </w:t>
      </w:r>
      <w:r>
        <w:t>light</w:t>
      </w:r>
      <w:r w:rsidR="002F2088">
        <w:t xml:space="preserve"> and heavy</w:t>
      </w:r>
      <w:r>
        <w:t xml:space="preserve"> commercial vehicles </w:t>
      </w:r>
      <w:r w:rsidR="00400FD7">
        <w:t>used for the carriage of goods</w:t>
      </w:r>
      <w:r w:rsidR="002E360F">
        <w:t>,</w:t>
      </w:r>
      <w:r w:rsidR="00400FD7">
        <w:t xml:space="preserve"> </w:t>
      </w:r>
      <w:r>
        <w:t>such as vans and trucks.</w:t>
      </w:r>
      <w:r w:rsidR="008A0B15">
        <w:rPr>
          <w:rStyle w:val="FootnoteReference"/>
        </w:rPr>
        <w:footnoteReference w:id="21"/>
      </w:r>
      <w:r w:rsidR="00902243">
        <w:t xml:space="preserve"> </w:t>
      </w:r>
    </w:p>
    <w:p w14:paraId="567C9FAE" w14:textId="76A9C35D" w:rsidR="00937DB5" w:rsidRDefault="00937DB5" w:rsidP="004E04D5">
      <w:pPr>
        <w:pStyle w:val="Paragraph"/>
      </w:pPr>
      <w:r>
        <w:t xml:space="preserve">According to the FCAI, its members </w:t>
      </w:r>
      <w:r w:rsidR="00BB73D9">
        <w:t>make up</w:t>
      </w:r>
      <w:r>
        <w:t xml:space="preserve"> around 99% of suppliers of light vehicles in Australia.</w:t>
      </w:r>
    </w:p>
    <w:p w14:paraId="77E4A90A" w14:textId="31022DDE" w:rsidR="00B71243" w:rsidRDefault="00950630" w:rsidP="002214F0">
      <w:pPr>
        <w:pStyle w:val="Paragraphbeforelist"/>
      </w:pPr>
      <w:r>
        <w:t>C</w:t>
      </w:r>
      <w:r w:rsidR="000C0B62">
        <w:t>lause 13 of Schedule 2 to the EMC labelling notice</w:t>
      </w:r>
      <w:r>
        <w:t xml:space="preserve"> sets out the following </w:t>
      </w:r>
      <w:r w:rsidR="00850007">
        <w:t xml:space="preserve">exclusion for </w:t>
      </w:r>
      <w:r>
        <w:t>FCAI members</w:t>
      </w:r>
      <w:r w:rsidR="00F06776">
        <w:t>:</w:t>
      </w:r>
    </w:p>
    <w:p w14:paraId="6B1967F2" w14:textId="77777777" w:rsidR="00F06776" w:rsidRPr="002214F0" w:rsidRDefault="00F06776" w:rsidP="00F06776">
      <w:pPr>
        <w:pStyle w:val="Bulletlevel1"/>
        <w:numPr>
          <w:ilvl w:val="0"/>
          <w:numId w:val="0"/>
        </w:numPr>
        <w:ind w:left="295"/>
        <w:rPr>
          <w:sz w:val="18"/>
          <w:szCs w:val="18"/>
        </w:rPr>
      </w:pPr>
      <w:r w:rsidRPr="000377E7">
        <w:t> </w:t>
      </w:r>
      <w:r w:rsidRPr="002214F0">
        <w:rPr>
          <w:sz w:val="18"/>
          <w:szCs w:val="18"/>
        </w:rPr>
        <w:t>13  A vehicle or machine that:</w:t>
      </w:r>
    </w:p>
    <w:p w14:paraId="48B59784" w14:textId="77777777" w:rsidR="00F06776" w:rsidRPr="002214F0" w:rsidRDefault="00F06776" w:rsidP="00F06776">
      <w:pPr>
        <w:pStyle w:val="Bulletlevel1"/>
        <w:numPr>
          <w:ilvl w:val="0"/>
          <w:numId w:val="0"/>
        </w:numPr>
        <w:ind w:left="567"/>
        <w:rPr>
          <w:sz w:val="18"/>
          <w:szCs w:val="18"/>
        </w:rPr>
      </w:pPr>
      <w:r w:rsidRPr="002214F0">
        <w:rPr>
          <w:sz w:val="18"/>
          <w:szCs w:val="18"/>
        </w:rPr>
        <w:t>(a)  is supplied by an organisation that is a member of:</w:t>
      </w:r>
    </w:p>
    <w:p w14:paraId="330AE0BE" w14:textId="440CB723" w:rsidR="00EC467B" w:rsidRPr="002214F0" w:rsidRDefault="00EC467B" w:rsidP="00F06776">
      <w:pPr>
        <w:pStyle w:val="Bulletlevel1"/>
        <w:numPr>
          <w:ilvl w:val="0"/>
          <w:numId w:val="0"/>
        </w:numPr>
        <w:ind w:left="567"/>
        <w:rPr>
          <w:sz w:val="18"/>
          <w:szCs w:val="18"/>
        </w:rPr>
      </w:pPr>
      <w:r w:rsidRPr="002214F0">
        <w:rPr>
          <w:sz w:val="18"/>
          <w:szCs w:val="18"/>
        </w:rPr>
        <w:t>…</w:t>
      </w:r>
    </w:p>
    <w:p w14:paraId="1B81E5DF" w14:textId="42C0B219" w:rsidR="00F06776" w:rsidRPr="002214F0" w:rsidRDefault="00F06776" w:rsidP="00F06776">
      <w:pPr>
        <w:pStyle w:val="Bulletlevel1"/>
        <w:numPr>
          <w:ilvl w:val="0"/>
          <w:numId w:val="0"/>
        </w:numPr>
        <w:ind w:left="851"/>
        <w:rPr>
          <w:sz w:val="18"/>
          <w:szCs w:val="18"/>
        </w:rPr>
      </w:pPr>
      <w:r w:rsidRPr="002214F0">
        <w:rPr>
          <w:sz w:val="18"/>
          <w:szCs w:val="18"/>
        </w:rPr>
        <w:t>(ii)  the FCAI;</w:t>
      </w:r>
    </w:p>
    <w:p w14:paraId="31EF6DF8" w14:textId="58EDA5F3" w:rsidR="00EC467B" w:rsidRPr="002214F0" w:rsidRDefault="00EC467B" w:rsidP="00367FD7">
      <w:pPr>
        <w:pStyle w:val="Bulletlevel1"/>
        <w:numPr>
          <w:ilvl w:val="0"/>
          <w:numId w:val="0"/>
        </w:numPr>
        <w:ind w:left="579" w:hanging="12"/>
        <w:rPr>
          <w:sz w:val="18"/>
          <w:szCs w:val="18"/>
        </w:rPr>
      </w:pPr>
      <w:r w:rsidRPr="002214F0">
        <w:rPr>
          <w:sz w:val="18"/>
          <w:szCs w:val="18"/>
        </w:rPr>
        <w:t>… and</w:t>
      </w:r>
    </w:p>
    <w:p w14:paraId="05459C09" w14:textId="77777777" w:rsidR="00F06776" w:rsidRPr="002214F0" w:rsidRDefault="00F06776" w:rsidP="00F06776">
      <w:pPr>
        <w:pStyle w:val="Bulletlevel1"/>
        <w:numPr>
          <w:ilvl w:val="0"/>
          <w:numId w:val="0"/>
        </w:numPr>
        <w:ind w:left="567"/>
        <w:rPr>
          <w:sz w:val="18"/>
          <w:szCs w:val="18"/>
        </w:rPr>
      </w:pPr>
      <w:r w:rsidRPr="002214F0">
        <w:rPr>
          <w:sz w:val="18"/>
          <w:szCs w:val="18"/>
        </w:rPr>
        <w:t>(b)  is compliant with all broadband and narrowband emission standards and requirements as specified in:</w:t>
      </w:r>
    </w:p>
    <w:p w14:paraId="2A4D5B48" w14:textId="77777777" w:rsidR="00EC467B" w:rsidRPr="002214F0" w:rsidRDefault="00EC467B" w:rsidP="000163A8">
      <w:pPr>
        <w:pStyle w:val="Bulletlevel1"/>
        <w:numPr>
          <w:ilvl w:val="0"/>
          <w:numId w:val="0"/>
        </w:numPr>
        <w:spacing w:after="240"/>
        <w:ind w:left="851"/>
        <w:rPr>
          <w:sz w:val="18"/>
          <w:szCs w:val="18"/>
        </w:rPr>
      </w:pPr>
      <w:r w:rsidRPr="002214F0">
        <w:rPr>
          <w:sz w:val="18"/>
          <w:szCs w:val="18"/>
        </w:rPr>
        <w:t>…</w:t>
      </w:r>
    </w:p>
    <w:p w14:paraId="7E6DFD03" w14:textId="270F206E" w:rsidR="00EC467B" w:rsidRPr="00FC4B4F" w:rsidRDefault="00F06776" w:rsidP="00EC467B">
      <w:pPr>
        <w:pStyle w:val="Bulletlevel1"/>
        <w:numPr>
          <w:ilvl w:val="0"/>
          <w:numId w:val="0"/>
        </w:numPr>
        <w:spacing w:after="240"/>
        <w:ind w:left="851"/>
      </w:pPr>
      <w:r w:rsidRPr="002214F0">
        <w:rPr>
          <w:sz w:val="18"/>
          <w:szCs w:val="18"/>
        </w:rPr>
        <w:t>(ii)  if the organisation is a member of the FCAI – the FCAI code, ‘Voluntary Code of Practice for Electromagnetic Compatibility (EMC) of Motor Vehicles’</w:t>
      </w:r>
      <w:r w:rsidR="0090177E" w:rsidRPr="002214F0">
        <w:rPr>
          <w:rStyle w:val="FootnoteReference"/>
          <w:sz w:val="18"/>
          <w:szCs w:val="18"/>
        </w:rPr>
        <w:footnoteReference w:id="22"/>
      </w:r>
      <w:r w:rsidRPr="002214F0">
        <w:rPr>
          <w:sz w:val="18"/>
          <w:szCs w:val="18"/>
        </w:rPr>
        <w:t>;</w:t>
      </w:r>
      <w:r w:rsidRPr="00FC4B4F">
        <w:t xml:space="preserve"> </w:t>
      </w:r>
    </w:p>
    <w:p w14:paraId="6E82511B" w14:textId="7AFB16D2" w:rsidR="00EF1BEC" w:rsidRDefault="008D6F26" w:rsidP="00A756A0">
      <w:pPr>
        <w:pStyle w:val="Paragraph"/>
      </w:pPr>
      <w:r>
        <w:t>The effect of clause 13 of Schedule 2</w:t>
      </w:r>
      <w:r w:rsidR="00950630">
        <w:t xml:space="preserve"> to the EMC labelling notice</w:t>
      </w:r>
      <w:r>
        <w:t xml:space="preserve"> is to </w:t>
      </w:r>
      <w:r w:rsidR="00850007">
        <w:t xml:space="preserve">exclude </w:t>
      </w:r>
      <w:r w:rsidR="000C0B62">
        <w:t xml:space="preserve">FCAI members from complying with the ACMA’s EMC </w:t>
      </w:r>
      <w:r w:rsidR="00F9705E">
        <w:t>r</w:t>
      </w:r>
      <w:r w:rsidR="009A0975">
        <w:t>egulatory arrangements</w:t>
      </w:r>
      <w:r>
        <w:t xml:space="preserve"> if they comply</w:t>
      </w:r>
      <w:r w:rsidR="000C0B62">
        <w:t xml:space="preserve"> with the FCAI</w:t>
      </w:r>
      <w:r w:rsidR="0090177E">
        <w:t xml:space="preserve"> code</w:t>
      </w:r>
      <w:r w:rsidR="000C0B62">
        <w:t>.</w:t>
      </w:r>
      <w:r w:rsidR="00285B39" w:rsidRPr="000960C9">
        <w:rPr>
          <w:rStyle w:val="FootnoteReference"/>
        </w:rPr>
        <w:footnoteReference w:id="23"/>
      </w:r>
      <w:r w:rsidR="000C0B62">
        <w:t xml:space="preserve"> The FCAI advises that all its members are expected to comply with the FCAI </w:t>
      </w:r>
      <w:r w:rsidR="0090177E">
        <w:t>c</w:t>
      </w:r>
      <w:r w:rsidR="000C0B62">
        <w:t>ode.</w:t>
      </w:r>
    </w:p>
    <w:p w14:paraId="14C279DC" w14:textId="5052545E" w:rsidR="007F4901" w:rsidRPr="00FA0290" w:rsidRDefault="007F4901" w:rsidP="00A756A0">
      <w:pPr>
        <w:pStyle w:val="Paragraph"/>
      </w:pPr>
      <w:r>
        <w:t xml:space="preserve">Subclause 5.2 of </w:t>
      </w:r>
      <w:r w:rsidR="002535C5">
        <w:t xml:space="preserve">the FCAI code </w:t>
      </w:r>
      <w:r>
        <w:t xml:space="preserve">allows suppliers of </w:t>
      </w:r>
      <w:r w:rsidR="002535C5" w:rsidRPr="00FA0290">
        <w:t>category L vehicles</w:t>
      </w:r>
      <w:r w:rsidR="00EF1BEC">
        <w:t xml:space="preserve"> to </w:t>
      </w:r>
      <w:r w:rsidR="002535C5" w:rsidRPr="00FA0290">
        <w:t>choose to comply with either CISPR 12</w:t>
      </w:r>
      <w:r w:rsidR="00911959">
        <w:rPr>
          <w:rStyle w:val="FootnoteReference"/>
        </w:rPr>
        <w:footnoteReference w:id="24"/>
      </w:r>
      <w:r w:rsidR="00465445">
        <w:t xml:space="preserve"> </w:t>
      </w:r>
      <w:r w:rsidR="00963126">
        <w:t>which only applies to emissions</w:t>
      </w:r>
      <w:r w:rsidR="002535C5" w:rsidRPr="00FA0290">
        <w:t xml:space="preserve"> or UN ECE R10.</w:t>
      </w:r>
      <w:r w:rsidR="002535C5" w:rsidRPr="00FA0290">
        <w:rPr>
          <w:rStyle w:val="FootnoteReference"/>
        </w:rPr>
        <w:footnoteReference w:id="25"/>
      </w:r>
      <w:r w:rsidR="002535C5" w:rsidRPr="00FA0290">
        <w:t xml:space="preserve"> </w:t>
      </w:r>
      <w:r w:rsidR="002535C5">
        <w:t>UN ECE R10 is</w:t>
      </w:r>
      <w:r w:rsidR="000C0B62">
        <w:t xml:space="preserve"> </w:t>
      </w:r>
      <w:r w:rsidR="0071332A">
        <w:t xml:space="preserve">the United Nations Economic Commission for Europe’s </w:t>
      </w:r>
      <w:r w:rsidR="00EC5195">
        <w:t>‘</w:t>
      </w:r>
      <w:r w:rsidR="0071332A" w:rsidRPr="002214F0">
        <w:rPr>
          <w:iCs/>
        </w:rPr>
        <w:t xml:space="preserve">Regulation 10 </w:t>
      </w:r>
      <w:r w:rsidR="00086849" w:rsidRPr="002214F0">
        <w:rPr>
          <w:iCs/>
        </w:rPr>
        <w:t>–</w:t>
      </w:r>
      <w:r w:rsidR="0071332A" w:rsidRPr="002214F0">
        <w:rPr>
          <w:iCs/>
        </w:rPr>
        <w:t xml:space="preserve"> Uniform provisions concerning the Approval of Vehicles with regard to Electromagnetic Compatibility</w:t>
      </w:r>
      <w:r w:rsidR="00EC5195">
        <w:rPr>
          <w:iCs/>
        </w:rPr>
        <w:t>’</w:t>
      </w:r>
      <w:r w:rsidR="00086849">
        <w:rPr>
          <w:i/>
          <w:iCs/>
        </w:rPr>
        <w:t>,</w:t>
      </w:r>
      <w:r w:rsidR="00C8042F">
        <w:t xml:space="preserve"> and includes immunity, emissions, harmonics and flicker requirements</w:t>
      </w:r>
      <w:r w:rsidR="00EC5195">
        <w:t>.</w:t>
      </w:r>
      <w:r w:rsidR="0071332A">
        <w:rPr>
          <w:rStyle w:val="FootnoteReference"/>
        </w:rPr>
        <w:footnoteReference w:id="26"/>
      </w:r>
      <w:r w:rsidR="00473102">
        <w:t xml:space="preserve"> </w:t>
      </w:r>
      <w:r w:rsidR="00C8042F">
        <w:t>U</w:t>
      </w:r>
      <w:r w:rsidR="00473102">
        <w:t xml:space="preserve">nder the EMC regulatory arrangements, </w:t>
      </w:r>
      <w:r w:rsidR="00C8042F">
        <w:t xml:space="preserve">a supplier or manufacturer is </w:t>
      </w:r>
      <w:r w:rsidR="00473102">
        <w:t>only require</w:t>
      </w:r>
      <w:r w:rsidR="00C8042F">
        <w:t>d to demonstrate</w:t>
      </w:r>
      <w:r w:rsidR="00473102">
        <w:t xml:space="preserve"> compliance with </w:t>
      </w:r>
      <w:r w:rsidR="00C8042F">
        <w:t xml:space="preserve">the </w:t>
      </w:r>
      <w:r w:rsidR="00473102">
        <w:t>emission</w:t>
      </w:r>
      <w:r w:rsidR="00C8042F">
        <w:t xml:space="preserve"> requirement</w:t>
      </w:r>
      <w:r w:rsidR="00473102">
        <w:t>s</w:t>
      </w:r>
      <w:r w:rsidR="00C8042F">
        <w:t xml:space="preserve"> specified in</w:t>
      </w:r>
      <w:r w:rsidR="00B1714F">
        <w:t xml:space="preserve"> </w:t>
      </w:r>
      <w:r w:rsidR="00F01563">
        <w:t>one</w:t>
      </w:r>
      <w:r w:rsidR="00B54CE0">
        <w:t xml:space="preserve"> </w:t>
      </w:r>
      <w:r w:rsidR="00B1714F">
        <w:t>of</w:t>
      </w:r>
      <w:r w:rsidR="00C8042F">
        <w:t xml:space="preserve"> the applicable standards</w:t>
      </w:r>
      <w:r w:rsidR="00EC5195">
        <w:t>.</w:t>
      </w:r>
      <w:r w:rsidR="00B1714F">
        <w:rPr>
          <w:rStyle w:val="FootnoteReference"/>
        </w:rPr>
        <w:footnoteReference w:id="27"/>
      </w:r>
      <w:r w:rsidR="00473102">
        <w:t xml:space="preserve"> </w:t>
      </w:r>
    </w:p>
    <w:p w14:paraId="4A64C7BC" w14:textId="017B88D2" w:rsidR="000C0B62" w:rsidRDefault="000C0B62" w:rsidP="00A756A0">
      <w:pPr>
        <w:pStyle w:val="Paragraph"/>
      </w:pPr>
      <w:r w:rsidRPr="00FA0290">
        <w:t xml:space="preserve">Subclause 5.1 of the FCAI </w:t>
      </w:r>
      <w:r w:rsidR="0090177E" w:rsidRPr="00FA0290">
        <w:t>c</w:t>
      </w:r>
      <w:r w:rsidRPr="00FA0290">
        <w:t>ode requires</w:t>
      </w:r>
      <w:r w:rsidR="00C8042F">
        <w:t xml:space="preserve"> suppliers of</w:t>
      </w:r>
      <w:r w:rsidRPr="00FA0290">
        <w:t xml:space="preserve"> all category M and N vehicles to</w:t>
      </w:r>
      <w:r w:rsidR="00C8042F">
        <w:t xml:space="preserve"> fully</w:t>
      </w:r>
      <w:r w:rsidRPr="00FA0290">
        <w:t xml:space="preserve"> comply with </w:t>
      </w:r>
      <w:r w:rsidR="0071332A" w:rsidRPr="00FA0290">
        <w:t xml:space="preserve">UN </w:t>
      </w:r>
      <w:r w:rsidRPr="00FA0290">
        <w:t>ECE R10</w:t>
      </w:r>
      <w:r w:rsidR="00A7476D">
        <w:t>, including</w:t>
      </w:r>
      <w:r w:rsidR="00C8042F">
        <w:t xml:space="preserve"> the</w:t>
      </w:r>
      <w:r w:rsidR="00C80A62">
        <w:t xml:space="preserve"> </w:t>
      </w:r>
      <w:r w:rsidR="00A7476D">
        <w:t>emission</w:t>
      </w:r>
      <w:r w:rsidR="00C80A62">
        <w:t>,</w:t>
      </w:r>
      <w:r w:rsidR="00A7476D">
        <w:t xml:space="preserve"> immunity </w:t>
      </w:r>
      <w:r w:rsidR="00C80A62">
        <w:t>harmonics and flicker</w:t>
      </w:r>
      <w:r w:rsidR="00963126">
        <w:t xml:space="preserve"> requirements</w:t>
      </w:r>
      <w:r w:rsidRPr="00FA0290">
        <w:t>.</w:t>
      </w:r>
      <w:r w:rsidR="00C8042F">
        <w:t xml:space="preserve"> The FCAI code does not contemplate compliance with</w:t>
      </w:r>
      <w:r w:rsidR="00D57254">
        <w:t xml:space="preserve"> any other applicable standard for category M and N vehicles.</w:t>
      </w:r>
      <w:r w:rsidR="00C8042F">
        <w:t xml:space="preserve"> </w:t>
      </w:r>
      <w:r w:rsidR="0084276F">
        <w:t xml:space="preserve">This is a higher compliance threshold </w:t>
      </w:r>
      <w:r w:rsidR="00E229B4">
        <w:t xml:space="preserve">than </w:t>
      </w:r>
      <w:r w:rsidR="007320A8">
        <w:t xml:space="preserve">the ACMA’s regulatory arrangements, </w:t>
      </w:r>
      <w:r w:rsidR="00A7476D">
        <w:t xml:space="preserve">which only apply in relation to the </w:t>
      </w:r>
      <w:r w:rsidR="00A7476D">
        <w:lastRenderedPageBreak/>
        <w:t>emission requirements of UN ECE R10</w:t>
      </w:r>
      <w:r w:rsidR="00B1714F">
        <w:t>, CISPR 12, AS/NZS CISPR 12</w:t>
      </w:r>
      <w:r w:rsidR="00911959">
        <w:rPr>
          <w:rStyle w:val="FootnoteReference"/>
        </w:rPr>
        <w:footnoteReference w:id="28"/>
      </w:r>
      <w:r w:rsidR="00911959">
        <w:t xml:space="preserve"> </w:t>
      </w:r>
      <w:r w:rsidR="00B1714F">
        <w:t>and EN 55012</w:t>
      </w:r>
      <w:r w:rsidR="00CE382B">
        <w:t>.</w:t>
      </w:r>
      <w:r w:rsidR="00911959">
        <w:rPr>
          <w:rStyle w:val="FootnoteReference"/>
        </w:rPr>
        <w:footnoteReference w:id="29"/>
      </w:r>
      <w:r w:rsidR="00B54CE0">
        <w:t xml:space="preserve"> </w:t>
      </w:r>
    </w:p>
    <w:p w14:paraId="2BC1F9D4" w14:textId="5E81F13D" w:rsidR="00B71243" w:rsidRDefault="000C0B62" w:rsidP="000C72CB">
      <w:pPr>
        <w:pStyle w:val="Paragraph"/>
      </w:pPr>
      <w:r>
        <w:t xml:space="preserve">If a supplier of </w:t>
      </w:r>
      <w:r w:rsidR="000C72CB">
        <w:t xml:space="preserve">a </w:t>
      </w:r>
      <w:r>
        <w:t xml:space="preserve">category </w:t>
      </w:r>
      <w:r w:rsidR="00EF1BEC">
        <w:t xml:space="preserve">L, </w:t>
      </w:r>
      <w:r>
        <w:t xml:space="preserve">M or N </w:t>
      </w:r>
      <w:r w:rsidR="00E65951">
        <w:t xml:space="preserve">vehicle </w:t>
      </w:r>
      <w:r>
        <w:t>is not a</w:t>
      </w:r>
      <w:r w:rsidR="004420E0">
        <w:t>n</w:t>
      </w:r>
      <w:r>
        <w:t xml:space="preserve"> FCAI member or their product does not comply with the FCAI </w:t>
      </w:r>
      <w:r w:rsidR="0090177E">
        <w:t>c</w:t>
      </w:r>
      <w:r>
        <w:t>ode</w:t>
      </w:r>
      <w:r w:rsidR="00F55541">
        <w:t>,</w:t>
      </w:r>
      <w:r>
        <w:t xml:space="preserve"> then the EMC standard and EMC labelling notice </w:t>
      </w:r>
      <w:r w:rsidR="000C72CB">
        <w:t xml:space="preserve">will apply. In this case, the </w:t>
      </w:r>
      <w:r w:rsidR="0028543F">
        <w:t xml:space="preserve">supplier may choose to comply </w:t>
      </w:r>
      <w:r w:rsidR="00B71243">
        <w:t xml:space="preserve">with UN ECE R10 </w:t>
      </w:r>
      <w:r w:rsidR="00C20FC5">
        <w:t>(</w:t>
      </w:r>
      <w:r w:rsidR="00B71243">
        <w:t>excluding the provisions related to immunity, harmonics and flicker</w:t>
      </w:r>
      <w:r w:rsidR="00C20FC5">
        <w:t>)</w:t>
      </w:r>
      <w:r w:rsidR="00171454">
        <w:t xml:space="preserve">, </w:t>
      </w:r>
      <w:r w:rsidR="0028543F">
        <w:t>CISPR 12</w:t>
      </w:r>
      <w:r w:rsidR="00171454">
        <w:t>, AS/NZS CISPR 12 or EN 55012</w:t>
      </w:r>
      <w:r w:rsidR="004E04D5">
        <w:t>.</w:t>
      </w:r>
      <w:r w:rsidR="00D3402B">
        <w:rPr>
          <w:rStyle w:val="FootnoteReference"/>
        </w:rPr>
        <w:footnoteReference w:id="30"/>
      </w:r>
    </w:p>
    <w:p w14:paraId="63D851C6" w14:textId="77777777" w:rsidR="00CE382B" w:rsidRDefault="000C72CB" w:rsidP="00A756A0">
      <w:pPr>
        <w:pStyle w:val="Paragraph"/>
      </w:pPr>
      <w:r>
        <w:t xml:space="preserve">Therefore, while the FCAI </w:t>
      </w:r>
      <w:r w:rsidR="0090177E">
        <w:t>c</w:t>
      </w:r>
      <w:r>
        <w:t xml:space="preserve">ode requires full compliance with UN ECE R10, the ACMA’s EMC </w:t>
      </w:r>
      <w:r w:rsidR="00575254">
        <w:t>regulatory arrangements</w:t>
      </w:r>
      <w:r>
        <w:t xml:space="preserve"> do not require a supplier to </w:t>
      </w:r>
      <w:r w:rsidR="008A236B">
        <w:t>comply</w:t>
      </w:r>
      <w:r>
        <w:t xml:space="preserve"> with the immunity, harmonics, and flicker provisions in UN ECE R10.</w:t>
      </w:r>
      <w:r w:rsidR="006F71B7">
        <w:t xml:space="preserve"> We note that the majority of category M or N light vehicles supplied in Australia are likely to fully comply with UN ECE R10</w:t>
      </w:r>
      <w:r w:rsidR="00CE382B">
        <w:t>,</w:t>
      </w:r>
      <w:r w:rsidR="006F71B7">
        <w:t xml:space="preserve"> as most suppliers are FCAI members. </w:t>
      </w:r>
      <w:r w:rsidR="007320A8">
        <w:t xml:space="preserve">However, there is a question as to whether the </w:t>
      </w:r>
      <w:r w:rsidR="00FB1DB0">
        <w:t xml:space="preserve">current </w:t>
      </w:r>
      <w:r w:rsidR="007320A8">
        <w:t xml:space="preserve">EMC regulations should be expanded to capture immunity for vehicles, making the </w:t>
      </w:r>
      <w:r w:rsidR="00FB1DB0">
        <w:t>Australian</w:t>
      </w:r>
      <w:r w:rsidR="008A236B">
        <w:t xml:space="preserve"> requirements </w:t>
      </w:r>
      <w:r w:rsidR="007320A8">
        <w:t>the same as the FCAI requirements.</w:t>
      </w:r>
    </w:p>
    <w:p w14:paraId="59C9CDBC" w14:textId="186F793C" w:rsidR="00EC7A47" w:rsidRDefault="00CE382B" w:rsidP="002214F0">
      <w:pPr>
        <w:pStyle w:val="Tableheading"/>
      </w:pPr>
      <w:r>
        <w:t xml:space="preserve">Vehicle compliance </w:t>
      </w:r>
      <w:r w:rsidR="007320A8">
        <w:t xml:space="preserve"> </w:t>
      </w:r>
    </w:p>
    <w:tbl>
      <w:tblPr>
        <w:tblStyle w:val="ACMAtablestyle"/>
        <w:tblW w:w="7933" w:type="dxa"/>
        <w:tblLook w:val="04A0" w:firstRow="1" w:lastRow="0" w:firstColumn="1" w:lastColumn="0" w:noHBand="0" w:noVBand="1"/>
      </w:tblPr>
      <w:tblGrid>
        <w:gridCol w:w="1815"/>
        <w:gridCol w:w="3059"/>
        <w:gridCol w:w="3059"/>
      </w:tblGrid>
      <w:tr w:rsidR="00484B34" w14:paraId="60E1B47C" w14:textId="77777777" w:rsidTr="002214F0">
        <w:trPr>
          <w:cnfStyle w:val="100000000000" w:firstRow="1" w:lastRow="0" w:firstColumn="0" w:lastColumn="0" w:oddVBand="0" w:evenVBand="0" w:oddHBand="0" w:evenHBand="0" w:firstRowFirstColumn="0" w:firstRowLastColumn="0" w:lastRowFirstColumn="0" w:lastRowLastColumn="0"/>
        </w:trPr>
        <w:tc>
          <w:tcPr>
            <w:tcW w:w="0" w:type="dxa"/>
          </w:tcPr>
          <w:p w14:paraId="0A4324CA" w14:textId="77777777" w:rsidR="00484B34" w:rsidRPr="004E04D5" w:rsidRDefault="00484B34" w:rsidP="009F01E2">
            <w:pPr>
              <w:pStyle w:val="Paragraph"/>
              <w:rPr>
                <w:b/>
                <w:bCs/>
              </w:rPr>
            </w:pPr>
            <w:r w:rsidRPr="004E04D5">
              <w:rPr>
                <w:b/>
                <w:bCs/>
              </w:rPr>
              <w:t>Vehicle type</w:t>
            </w:r>
          </w:p>
        </w:tc>
        <w:tc>
          <w:tcPr>
            <w:tcW w:w="0" w:type="dxa"/>
          </w:tcPr>
          <w:p w14:paraId="4CE715D9" w14:textId="77777777" w:rsidR="00484B34" w:rsidRPr="004E04D5" w:rsidRDefault="00484B34" w:rsidP="009F01E2">
            <w:pPr>
              <w:pStyle w:val="Paragraph"/>
              <w:rPr>
                <w:b/>
                <w:bCs/>
              </w:rPr>
            </w:pPr>
            <w:r w:rsidRPr="004E04D5">
              <w:rPr>
                <w:b/>
                <w:bCs/>
              </w:rPr>
              <w:t>ACMA</w:t>
            </w:r>
          </w:p>
        </w:tc>
        <w:tc>
          <w:tcPr>
            <w:tcW w:w="0" w:type="dxa"/>
          </w:tcPr>
          <w:p w14:paraId="583E1613" w14:textId="77777777" w:rsidR="00484B34" w:rsidRPr="004E04D5" w:rsidRDefault="00484B34" w:rsidP="009F01E2">
            <w:pPr>
              <w:pStyle w:val="Paragraph"/>
              <w:rPr>
                <w:b/>
                <w:bCs/>
              </w:rPr>
            </w:pPr>
            <w:r w:rsidRPr="004E04D5">
              <w:rPr>
                <w:b/>
                <w:bCs/>
              </w:rPr>
              <w:t>FCAI</w:t>
            </w:r>
          </w:p>
        </w:tc>
      </w:tr>
      <w:tr w:rsidR="00484B34" w14:paraId="463B3286" w14:textId="77777777" w:rsidTr="002214F0">
        <w:trPr>
          <w:cnfStyle w:val="000000100000" w:firstRow="0" w:lastRow="0" w:firstColumn="0" w:lastColumn="0" w:oddVBand="0" w:evenVBand="0" w:oddHBand="1" w:evenHBand="0" w:firstRowFirstColumn="0" w:firstRowLastColumn="0" w:lastRowFirstColumn="0" w:lastRowLastColumn="0"/>
        </w:trPr>
        <w:tc>
          <w:tcPr>
            <w:tcW w:w="0" w:type="dxa"/>
          </w:tcPr>
          <w:p w14:paraId="4DD5F43A" w14:textId="77777777" w:rsidR="00484B34" w:rsidRDefault="00484B34" w:rsidP="009F01E2">
            <w:pPr>
              <w:pStyle w:val="Paragraph"/>
            </w:pPr>
            <w:r>
              <w:t>Category L</w:t>
            </w:r>
          </w:p>
        </w:tc>
        <w:tc>
          <w:tcPr>
            <w:tcW w:w="0" w:type="dxa"/>
          </w:tcPr>
          <w:p w14:paraId="24074697" w14:textId="77777777" w:rsidR="00484B34" w:rsidRDefault="00484B34" w:rsidP="002214F0">
            <w:pPr>
              <w:pStyle w:val="Bulletlevel1"/>
            </w:pPr>
            <w:r>
              <w:t>UN ECE R10 (no immunity)</w:t>
            </w:r>
          </w:p>
          <w:p w14:paraId="462BC973" w14:textId="7609CD02" w:rsidR="00484B34" w:rsidRDefault="00484B34" w:rsidP="002214F0">
            <w:pPr>
              <w:pStyle w:val="Bulletlevel1"/>
            </w:pPr>
            <w:r>
              <w:t>CISPR 12 or AS/NZS</w:t>
            </w:r>
            <w:r w:rsidR="00C80A62">
              <w:t xml:space="preserve"> </w:t>
            </w:r>
            <w:r>
              <w:t>CISPR 12 or EN 55012</w:t>
            </w:r>
          </w:p>
        </w:tc>
        <w:tc>
          <w:tcPr>
            <w:tcW w:w="0" w:type="dxa"/>
          </w:tcPr>
          <w:p w14:paraId="18DC1C44" w14:textId="77777777" w:rsidR="00484B34" w:rsidRDefault="00484B34" w:rsidP="002214F0">
            <w:pPr>
              <w:pStyle w:val="Bulletlevel1"/>
            </w:pPr>
            <w:r>
              <w:t>UN ECE R10 (with immunity)</w:t>
            </w:r>
          </w:p>
          <w:p w14:paraId="4F352E39" w14:textId="6C595E4C" w:rsidR="00484B34" w:rsidRDefault="00484B34" w:rsidP="002214F0">
            <w:pPr>
              <w:pStyle w:val="Bulletlevel1"/>
            </w:pPr>
            <w:r>
              <w:t>CISPR 12</w:t>
            </w:r>
          </w:p>
        </w:tc>
      </w:tr>
      <w:tr w:rsidR="00484B34" w14:paraId="41D97137" w14:textId="77777777" w:rsidTr="002214F0">
        <w:trPr>
          <w:cnfStyle w:val="000000010000" w:firstRow="0" w:lastRow="0" w:firstColumn="0" w:lastColumn="0" w:oddVBand="0" w:evenVBand="0" w:oddHBand="0" w:evenHBand="1" w:firstRowFirstColumn="0" w:firstRowLastColumn="0" w:lastRowFirstColumn="0" w:lastRowLastColumn="0"/>
        </w:trPr>
        <w:tc>
          <w:tcPr>
            <w:tcW w:w="0" w:type="dxa"/>
          </w:tcPr>
          <w:p w14:paraId="680E1525" w14:textId="77777777" w:rsidR="00484B34" w:rsidRDefault="00484B34" w:rsidP="009F01E2">
            <w:pPr>
              <w:pStyle w:val="Paragraph"/>
            </w:pPr>
            <w:r>
              <w:t>Category M</w:t>
            </w:r>
          </w:p>
        </w:tc>
        <w:tc>
          <w:tcPr>
            <w:tcW w:w="0" w:type="dxa"/>
          </w:tcPr>
          <w:p w14:paraId="7F4E1DCE" w14:textId="77777777" w:rsidR="00484B34" w:rsidRPr="00D025DE" w:rsidRDefault="00484B34" w:rsidP="002214F0">
            <w:pPr>
              <w:pStyle w:val="Bulletlevel1"/>
            </w:pPr>
            <w:r w:rsidRPr="00D025DE">
              <w:t>UN ECE R10 (no immunity)</w:t>
            </w:r>
          </w:p>
          <w:p w14:paraId="72DA6138" w14:textId="77777777" w:rsidR="00484B34" w:rsidRDefault="00484B34" w:rsidP="002214F0">
            <w:pPr>
              <w:pStyle w:val="Bulletlevel1"/>
            </w:pPr>
            <w:r w:rsidRPr="00D025DE">
              <w:t>CISPR 12 or AS/NZS CISPR 12 or EN 55012</w:t>
            </w:r>
          </w:p>
        </w:tc>
        <w:tc>
          <w:tcPr>
            <w:tcW w:w="0" w:type="dxa"/>
          </w:tcPr>
          <w:p w14:paraId="3ED08513" w14:textId="77777777" w:rsidR="00484B34" w:rsidRPr="00126F01" w:rsidRDefault="00484B34" w:rsidP="002214F0">
            <w:pPr>
              <w:pStyle w:val="Bulletlevel1"/>
            </w:pPr>
            <w:r w:rsidRPr="00126F01">
              <w:t>UN ECE R10 (</w:t>
            </w:r>
            <w:r>
              <w:t xml:space="preserve">with </w:t>
            </w:r>
            <w:r w:rsidRPr="00126F01">
              <w:t>immunity)</w:t>
            </w:r>
          </w:p>
          <w:p w14:paraId="608DFAC0" w14:textId="77777777" w:rsidR="00484B34" w:rsidRDefault="00484B34" w:rsidP="002214F0">
            <w:pPr>
              <w:pStyle w:val="Bulletlevel1"/>
              <w:numPr>
                <w:ilvl w:val="0"/>
                <w:numId w:val="0"/>
              </w:numPr>
              <w:ind w:left="579"/>
            </w:pPr>
          </w:p>
        </w:tc>
      </w:tr>
      <w:tr w:rsidR="00484B34" w14:paraId="36650F38" w14:textId="77777777" w:rsidTr="002214F0">
        <w:trPr>
          <w:cnfStyle w:val="000000100000" w:firstRow="0" w:lastRow="0" w:firstColumn="0" w:lastColumn="0" w:oddVBand="0" w:evenVBand="0" w:oddHBand="1" w:evenHBand="0" w:firstRowFirstColumn="0" w:firstRowLastColumn="0" w:lastRowFirstColumn="0" w:lastRowLastColumn="0"/>
        </w:trPr>
        <w:tc>
          <w:tcPr>
            <w:tcW w:w="0" w:type="dxa"/>
          </w:tcPr>
          <w:p w14:paraId="4DD9202C" w14:textId="77777777" w:rsidR="00484B34" w:rsidRDefault="00484B34" w:rsidP="009F01E2">
            <w:pPr>
              <w:pStyle w:val="Paragraph"/>
            </w:pPr>
            <w:r>
              <w:t>Category N</w:t>
            </w:r>
          </w:p>
        </w:tc>
        <w:tc>
          <w:tcPr>
            <w:tcW w:w="0" w:type="dxa"/>
          </w:tcPr>
          <w:p w14:paraId="1DB425FB" w14:textId="77777777" w:rsidR="00484B34" w:rsidRPr="00D025DE" w:rsidRDefault="00484B34" w:rsidP="002214F0">
            <w:pPr>
              <w:pStyle w:val="Bulletlevel1"/>
            </w:pPr>
            <w:r w:rsidRPr="00D025DE">
              <w:t>UN ECE R10 (no immunity)</w:t>
            </w:r>
          </w:p>
          <w:p w14:paraId="2321DA8A" w14:textId="77777777" w:rsidR="00484B34" w:rsidRDefault="00484B34" w:rsidP="002214F0">
            <w:pPr>
              <w:pStyle w:val="Bulletlevel1"/>
            </w:pPr>
            <w:r w:rsidRPr="00D025DE">
              <w:t>CISPR 12 or AS/NZS CISPR 12 or EN 55012</w:t>
            </w:r>
          </w:p>
        </w:tc>
        <w:tc>
          <w:tcPr>
            <w:tcW w:w="0" w:type="dxa"/>
          </w:tcPr>
          <w:p w14:paraId="64C99721" w14:textId="77777777" w:rsidR="00484B34" w:rsidRPr="00126F01" w:rsidRDefault="00484B34" w:rsidP="002214F0">
            <w:pPr>
              <w:pStyle w:val="Bulletlevel1"/>
            </w:pPr>
            <w:r w:rsidRPr="00126F01">
              <w:t>UN ECE R10 (</w:t>
            </w:r>
            <w:r>
              <w:t xml:space="preserve">with </w:t>
            </w:r>
            <w:r w:rsidRPr="00126F01">
              <w:t>immunity)</w:t>
            </w:r>
          </w:p>
          <w:p w14:paraId="24B7B344" w14:textId="77777777" w:rsidR="00484B34" w:rsidRDefault="00484B34" w:rsidP="002214F0">
            <w:pPr>
              <w:pStyle w:val="Bulletlevel1"/>
              <w:numPr>
                <w:ilvl w:val="0"/>
                <w:numId w:val="0"/>
              </w:numPr>
              <w:ind w:left="579"/>
            </w:pPr>
          </w:p>
        </w:tc>
      </w:tr>
    </w:tbl>
    <w:p w14:paraId="19942624" w14:textId="77777777" w:rsidR="00484B34" w:rsidRDefault="00484B34" w:rsidP="006F39D0">
      <w:pPr>
        <w:pStyle w:val="Paragraph"/>
      </w:pPr>
    </w:p>
    <w:p w14:paraId="6E5E5A43" w14:textId="4BA2C42E" w:rsidR="000C72CB" w:rsidRDefault="00051BCF" w:rsidP="00A756A0">
      <w:pPr>
        <w:pStyle w:val="Paragraph"/>
      </w:pPr>
      <w:r>
        <w:t>Under the EMC labelling notice and EMC standard,</w:t>
      </w:r>
      <w:r w:rsidR="009C35B7">
        <w:t xml:space="preserve"> </w:t>
      </w:r>
      <w:r w:rsidR="00676C4A">
        <w:t xml:space="preserve">members of </w:t>
      </w:r>
      <w:r w:rsidR="00417796">
        <w:t>the Truck Industry Council (TIC), the Construction &amp; Mining Equipment Industry Group (CMEIG) and the Tractor &amp; Machinery Association of Australia (TMA)</w:t>
      </w:r>
      <w:r w:rsidR="00676C4A">
        <w:t xml:space="preserve"> </w:t>
      </w:r>
      <w:r w:rsidR="00B40796">
        <w:t xml:space="preserve">who comply with </w:t>
      </w:r>
      <w:r w:rsidR="00E421B3">
        <w:t>their codes of practice for EMC</w:t>
      </w:r>
      <w:r>
        <w:t xml:space="preserve"> are exempt from the EMC labelling notice and EMC standard</w:t>
      </w:r>
      <w:r w:rsidR="00B40796">
        <w:t xml:space="preserve">. </w:t>
      </w:r>
      <w:r w:rsidR="0025397D">
        <w:t xml:space="preserve">In comparison </w:t>
      </w:r>
      <w:r w:rsidR="00991D8C">
        <w:t xml:space="preserve">to </w:t>
      </w:r>
      <w:r w:rsidR="0025397D">
        <w:t>the FCAI code,</w:t>
      </w:r>
      <w:r w:rsidR="00E421B3">
        <w:t xml:space="preserve"> the codes of practices </w:t>
      </w:r>
      <w:r w:rsidR="00F35DEA">
        <w:t>f</w:t>
      </w:r>
      <w:r w:rsidR="007E157B">
        <w:t>or</w:t>
      </w:r>
      <w:r w:rsidR="00F35DEA">
        <w:t xml:space="preserve"> EMC </w:t>
      </w:r>
      <w:r w:rsidR="00E421B3">
        <w:t>by TIC</w:t>
      </w:r>
      <w:r w:rsidR="00D70738">
        <w:t>,</w:t>
      </w:r>
      <w:r w:rsidR="00E421B3">
        <w:t xml:space="preserve"> CMEIG</w:t>
      </w:r>
      <w:r w:rsidR="00D70738">
        <w:t xml:space="preserve"> and TMA</w:t>
      </w:r>
      <w:r w:rsidR="00B14846">
        <w:t xml:space="preserve"> correspond with the ACMA’s EMC r</w:t>
      </w:r>
      <w:r w:rsidR="00A81C42">
        <w:t>egulatory arrangements</w:t>
      </w:r>
      <w:r w:rsidR="00B14846">
        <w:t xml:space="preserve"> by only requiring compliance with UN ECE R10 </w:t>
      </w:r>
      <w:r w:rsidR="000B6594">
        <w:t>in relation to emissions</w:t>
      </w:r>
      <w:r w:rsidR="001A0236">
        <w:t>.</w:t>
      </w:r>
      <w:r w:rsidR="00E421B3">
        <w:rPr>
          <w:rStyle w:val="FootnoteReference"/>
        </w:rPr>
        <w:footnoteReference w:id="31"/>
      </w:r>
      <w:r w:rsidR="0025397D">
        <w:t xml:space="preserve"> However</w:t>
      </w:r>
      <w:r w:rsidR="000B6594">
        <w:t>,</w:t>
      </w:r>
      <w:r w:rsidR="0025397D">
        <w:t xml:space="preserve"> recent amendments to UN ECE R10 mean that it now applies to more categories of vehicles th</w:t>
      </w:r>
      <w:r w:rsidR="00991D8C">
        <w:t>a</w:t>
      </w:r>
      <w:r w:rsidR="0025397D">
        <w:t xml:space="preserve">n it had </w:t>
      </w:r>
      <w:r w:rsidR="0025397D">
        <w:lastRenderedPageBreak/>
        <w:t>previously which may mean over time</w:t>
      </w:r>
      <w:r w:rsidR="009C35B7">
        <w:t xml:space="preserve"> that</w:t>
      </w:r>
      <w:r w:rsidR="0025397D">
        <w:t xml:space="preserve"> TIC, CMEIG and TMA also look to adopt </w:t>
      </w:r>
      <w:r w:rsidR="000B6594">
        <w:t>UN ECE R10’s</w:t>
      </w:r>
      <w:r w:rsidR="0025397D">
        <w:t xml:space="preserve"> immunity requirements as part of their individual codes of practice. </w:t>
      </w:r>
    </w:p>
    <w:p w14:paraId="58DA9AB8" w14:textId="5037ECB0" w:rsidR="002C0099" w:rsidRDefault="002971CE" w:rsidP="00A756A0">
      <w:pPr>
        <w:pStyle w:val="Paragraph"/>
      </w:pPr>
      <w:r>
        <w:t>While the</w:t>
      </w:r>
      <w:r w:rsidR="002C0099">
        <w:t xml:space="preserve"> UN ECE R10 is part of a global regulatory framework to harmonise vehicle regulation</w:t>
      </w:r>
      <w:r w:rsidR="00AB4DA0">
        <w:t>,</w:t>
      </w:r>
      <w:r>
        <w:t xml:space="preserve"> not all countries </w:t>
      </w:r>
      <w:r w:rsidR="00484B34">
        <w:t xml:space="preserve">are party to the agreement </w:t>
      </w:r>
      <w:r w:rsidR="00AB4DA0">
        <w:t>(for example,</w:t>
      </w:r>
      <w:r w:rsidR="00484B34">
        <w:t xml:space="preserve"> </w:t>
      </w:r>
      <w:r w:rsidR="006D3D0D">
        <w:t>USA</w:t>
      </w:r>
      <w:r w:rsidR="00267345">
        <w:t xml:space="preserve"> and </w:t>
      </w:r>
      <w:r w:rsidR="006D3D0D">
        <w:t>Canada</w:t>
      </w:r>
      <w:r w:rsidR="00AB4DA0">
        <w:t>)</w:t>
      </w:r>
      <w:r>
        <w:t>.</w:t>
      </w:r>
      <w:r>
        <w:rPr>
          <w:rStyle w:val="FootnoteReference"/>
        </w:rPr>
        <w:footnoteReference w:id="32"/>
      </w:r>
      <w:r>
        <w:t xml:space="preserve"> </w:t>
      </w:r>
      <w:r w:rsidR="00FB1DB0">
        <w:t>S</w:t>
      </w:r>
      <w:r w:rsidR="00A31451">
        <w:t>imilar to Australia, New Zealand</w:t>
      </w:r>
      <w:r>
        <w:t xml:space="preserve"> only mandates the emission requirements of </w:t>
      </w:r>
      <w:r w:rsidR="002C0099">
        <w:t>UN ECE R10.</w:t>
      </w:r>
      <w:r w:rsidR="000505D2">
        <w:rPr>
          <w:rStyle w:val="FootnoteReference"/>
        </w:rPr>
        <w:footnoteReference w:id="33"/>
      </w:r>
    </w:p>
    <w:p w14:paraId="3205C1F0" w14:textId="1BC6D2DA" w:rsidR="005322F1" w:rsidRDefault="00CE382B" w:rsidP="00A756A0">
      <w:pPr>
        <w:pStyle w:val="Paragraph"/>
      </w:pPr>
      <w:r>
        <w:t>We</w:t>
      </w:r>
      <w:r w:rsidR="00830416">
        <w:t xml:space="preserve"> could continue to mandate </w:t>
      </w:r>
      <w:r w:rsidR="005275DE">
        <w:t xml:space="preserve">only </w:t>
      </w:r>
      <w:r w:rsidR="00830416">
        <w:t>the emission requirements in UN ECE R10</w:t>
      </w:r>
      <w:r w:rsidR="00E84DBC">
        <w:t>,</w:t>
      </w:r>
      <w:r w:rsidR="00830416">
        <w:t xml:space="preserve"> given </w:t>
      </w:r>
      <w:r w:rsidR="005275DE">
        <w:t xml:space="preserve">current industry practice </w:t>
      </w:r>
      <w:r w:rsidR="00D574EF">
        <w:t>where</w:t>
      </w:r>
      <w:r w:rsidR="005275DE">
        <w:t xml:space="preserve"> the majority of light vehicle suppliers comply with immunity requirements as </w:t>
      </w:r>
      <w:r w:rsidR="00E84DBC">
        <w:t xml:space="preserve">a result of their </w:t>
      </w:r>
      <w:r w:rsidR="005275DE">
        <w:t>FCAI members</w:t>
      </w:r>
      <w:r w:rsidR="00E84DBC">
        <w:t>hip</w:t>
      </w:r>
      <w:r w:rsidR="005275DE">
        <w:t xml:space="preserve">. </w:t>
      </w:r>
    </w:p>
    <w:p w14:paraId="3AF8993B" w14:textId="3593A6B9" w:rsidR="00F56597" w:rsidRDefault="005275DE" w:rsidP="00A756A0">
      <w:pPr>
        <w:pStyle w:val="Paragraph"/>
      </w:pPr>
      <w:r>
        <w:t xml:space="preserve">However, there may be </w:t>
      </w:r>
      <w:r w:rsidRPr="00FA0290">
        <w:t>benefit</w:t>
      </w:r>
      <w:r w:rsidR="0025397D">
        <w:t>s</w:t>
      </w:r>
      <w:r>
        <w:t xml:space="preserve"> in the ACMA requiring compliance with </w:t>
      </w:r>
      <w:r w:rsidR="00FE6E80">
        <w:t xml:space="preserve">both the emission and the immunity requirements of </w:t>
      </w:r>
      <w:r>
        <w:t>UN ECE R10 to harmonise our EMC arrangements with the global regulatory framework and the FCA</w:t>
      </w:r>
      <w:r w:rsidR="004C0EC9">
        <w:t>I code</w:t>
      </w:r>
      <w:r w:rsidR="005322F1">
        <w:t>. International harmonisation is consistent with Australia’s obligations as a member of the World Trade Organisation.</w:t>
      </w:r>
      <w:r w:rsidR="005322F1">
        <w:rPr>
          <w:rStyle w:val="FootnoteReference"/>
        </w:rPr>
        <w:footnoteReference w:id="34"/>
      </w:r>
      <w:r w:rsidR="005322F1">
        <w:t xml:space="preserve"> </w:t>
      </w:r>
      <w:r w:rsidR="004C0EC9">
        <w:t>A</w:t>
      </w:r>
      <w:r w:rsidR="005322F1">
        <w:t xml:space="preserve">s vehicles become more sophisticated, there is an increase in other </w:t>
      </w:r>
      <w:r w:rsidR="00CE382B">
        <w:t>UN</w:t>
      </w:r>
      <w:r w:rsidR="005322F1">
        <w:t xml:space="preserve"> </w:t>
      </w:r>
      <w:r w:rsidR="006C185E">
        <w:t>r</w:t>
      </w:r>
      <w:r w:rsidR="005322F1">
        <w:t>egulation</w:t>
      </w:r>
      <w:r w:rsidR="006C185E">
        <w:t>s</w:t>
      </w:r>
      <w:r w:rsidR="005322F1">
        <w:t xml:space="preserve"> cross referencing UN ECE R10</w:t>
      </w:r>
      <w:r w:rsidR="00641D88">
        <w:t>,</w:t>
      </w:r>
      <w:r w:rsidR="00AE4DEB">
        <w:t xml:space="preserve"> which means that there is an increasing i</w:t>
      </w:r>
      <w:r w:rsidR="006056A4">
        <w:t xml:space="preserve">nternational expectation that vehicles comply with </w:t>
      </w:r>
      <w:r w:rsidR="00DB4E33">
        <w:t xml:space="preserve">both the immunity and emission requirements of </w:t>
      </w:r>
      <w:r w:rsidR="006056A4">
        <w:t>UN ECE R10</w:t>
      </w:r>
      <w:r w:rsidR="004C0EC9">
        <w:t>.</w:t>
      </w:r>
    </w:p>
    <w:p w14:paraId="37125DC9" w14:textId="378D6EAE" w:rsidR="00344F50" w:rsidRPr="00E162C4" w:rsidRDefault="00344F50" w:rsidP="00344F50">
      <w:pPr>
        <w:pStyle w:val="Heading3"/>
      </w:pPr>
      <w:r>
        <w:t>Electric vehicles</w:t>
      </w:r>
    </w:p>
    <w:p w14:paraId="0E24823C" w14:textId="7DD9C1C2" w:rsidR="006B6CEB" w:rsidRDefault="0018750E" w:rsidP="0037048E">
      <w:pPr>
        <w:pStyle w:val="Paragraph"/>
      </w:pPr>
      <w:r>
        <w:t>‘E</w:t>
      </w:r>
      <w:r w:rsidR="0010008D">
        <w:t>lectric vehicles</w:t>
      </w:r>
      <w:r>
        <w:t>’ generally refer to a subset of category</w:t>
      </w:r>
      <w:r w:rsidR="0010008D">
        <w:t xml:space="preserve"> M vehicles</w:t>
      </w:r>
      <w:r w:rsidR="00CE382B">
        <w:t>;</w:t>
      </w:r>
      <w:r>
        <w:t xml:space="preserve"> i.e.</w:t>
      </w:r>
      <w:r w:rsidR="00CE382B">
        <w:t>,</w:t>
      </w:r>
      <w:r>
        <w:t xml:space="preserve"> </w:t>
      </w:r>
      <w:r w:rsidR="00EC5195">
        <w:t>4-</w:t>
      </w:r>
      <w:r>
        <w:t>wheel cars used to carry passengers.</w:t>
      </w:r>
      <w:r>
        <w:rPr>
          <w:rStyle w:val="FootnoteReference"/>
        </w:rPr>
        <w:footnoteReference w:id="35"/>
      </w:r>
      <w:r w:rsidR="0010008D">
        <w:t xml:space="preserve"> </w:t>
      </w:r>
      <w:r w:rsidR="005F7476">
        <w:t xml:space="preserve">The </w:t>
      </w:r>
      <w:r w:rsidR="005A21FC">
        <w:t xml:space="preserve">uptake of </w:t>
      </w:r>
      <w:r w:rsidR="005F7476">
        <w:t>electric vehicles is growing in Australia</w:t>
      </w:r>
      <w:r w:rsidR="005F7476" w:rsidRPr="0037048E">
        <w:rPr>
          <w:vertAlign w:val="superscript"/>
        </w:rPr>
        <w:footnoteReference w:id="36"/>
      </w:r>
      <w:r w:rsidR="005A21FC">
        <w:t xml:space="preserve"> with the demand being</w:t>
      </w:r>
      <w:r w:rsidR="00FD2C5A">
        <w:t xml:space="preserve"> </w:t>
      </w:r>
      <w:r w:rsidR="005A21FC">
        <w:t>supported by the Australian Government’s National Electric Vehicle Strategy</w:t>
      </w:r>
      <w:r w:rsidR="00CE382B">
        <w:t>.</w:t>
      </w:r>
      <w:r w:rsidR="005A21FC" w:rsidRPr="0037048E">
        <w:rPr>
          <w:vertAlign w:val="superscript"/>
        </w:rPr>
        <w:footnoteReference w:id="37"/>
      </w:r>
      <w:r w:rsidR="00FD2C5A">
        <w:t xml:space="preserve"> While EMC is important for all vehicles, there is</w:t>
      </w:r>
      <w:r w:rsidR="0037048E">
        <w:t xml:space="preserve"> concern that electrical vehicles may generate higher levels of electromagnetic interference and may be particularly s</w:t>
      </w:r>
      <w:r w:rsidR="00FD2C5A">
        <w:t>usceptible to electromagnetic disturbances</w:t>
      </w:r>
      <w:r w:rsidR="0037048E">
        <w:t>.</w:t>
      </w:r>
    </w:p>
    <w:p w14:paraId="2CEDC462" w14:textId="5E408025" w:rsidR="00CB6F52" w:rsidRDefault="00B24F07" w:rsidP="0037048E">
      <w:pPr>
        <w:pStyle w:val="Paragraph"/>
      </w:pPr>
      <w:r>
        <w:t>T</w:t>
      </w:r>
      <w:r w:rsidR="0037048E">
        <w:t xml:space="preserve">he </w:t>
      </w:r>
      <w:r>
        <w:t>EMC regulatory arrangements currently set limits on the emissions from electric vehicles</w:t>
      </w:r>
      <w:r w:rsidR="004A5098">
        <w:t>,</w:t>
      </w:r>
      <w:r>
        <w:t xml:space="preserve"> there</w:t>
      </w:r>
      <w:r w:rsidR="004A5098">
        <w:t>by</w:t>
      </w:r>
      <w:r>
        <w:t xml:space="preserve"> minimising the risk of interference caused by electric vehicles</w:t>
      </w:r>
      <w:r w:rsidR="00CB6F52">
        <w:t xml:space="preserve">. However, as noted above, the EMC </w:t>
      </w:r>
      <w:r w:rsidR="004A5098">
        <w:t xml:space="preserve">regulatory arrangements </w:t>
      </w:r>
      <w:r w:rsidR="009375A6">
        <w:t>do not</w:t>
      </w:r>
      <w:r w:rsidR="009375A6" w:rsidRPr="00FA0290">
        <w:t xml:space="preserve"> </w:t>
      </w:r>
      <w:r w:rsidR="00CB6F52">
        <w:t xml:space="preserve">currently cover </w:t>
      </w:r>
      <w:r w:rsidR="00523802">
        <w:t>the vehicle’s immunity to electromagnetic disturbance</w:t>
      </w:r>
      <w:r w:rsidR="00A71323">
        <w:t>.</w:t>
      </w:r>
      <w:r w:rsidR="00CB6F52">
        <w:t xml:space="preserve"> </w:t>
      </w:r>
      <w:r w:rsidR="00DF3ADB">
        <w:t>Therefore</w:t>
      </w:r>
      <w:r w:rsidR="00A476F7">
        <w:t>,</w:t>
      </w:r>
      <w:r w:rsidR="00DF3ADB">
        <w:t xml:space="preserve"> the current EMC </w:t>
      </w:r>
      <w:r w:rsidR="004A5098">
        <w:t xml:space="preserve">regulatory arrangements </w:t>
      </w:r>
      <w:r w:rsidR="00DF3ADB">
        <w:t xml:space="preserve">may not be sufficient to mitigate the risk of electromagnetic disturbances to electric vehicles. </w:t>
      </w:r>
    </w:p>
    <w:p w14:paraId="25214464" w14:textId="599FB314" w:rsidR="0037048E" w:rsidRDefault="009375A6" w:rsidP="0037048E">
      <w:pPr>
        <w:pStyle w:val="Paragraph"/>
      </w:pPr>
      <w:r>
        <w:t xml:space="preserve">We are </w:t>
      </w:r>
      <w:r w:rsidR="001E0D99">
        <w:t>interested in</w:t>
      </w:r>
      <w:r w:rsidR="00A71323">
        <w:t xml:space="preserve"> whether </w:t>
      </w:r>
      <w:r w:rsidR="001E0D99">
        <w:t xml:space="preserve">our </w:t>
      </w:r>
      <w:r w:rsidR="0005656C">
        <w:t>current</w:t>
      </w:r>
      <w:r w:rsidR="00A71323">
        <w:t xml:space="preserve"> framework</w:t>
      </w:r>
      <w:r w:rsidR="001E0D99">
        <w:t xml:space="preserve"> sufficiently covers the </w:t>
      </w:r>
      <w:r w:rsidR="0005656C">
        <w:t xml:space="preserve">EMC </w:t>
      </w:r>
      <w:r w:rsidR="001E0D99">
        <w:t>risk to electric vehicles</w:t>
      </w:r>
      <w:r w:rsidR="00A71323">
        <w:t>.</w:t>
      </w:r>
      <w:r w:rsidR="001E0D99">
        <w:t xml:space="preserve"> We note that the majority of electric vehicles supplied in Australia are likely to fully comply with UN ECE R10</w:t>
      </w:r>
      <w:r w:rsidR="00CE382B">
        <w:t>,</w:t>
      </w:r>
      <w:r w:rsidR="001E0D99">
        <w:t xml:space="preserve"> given 99% of suppliers are FCAI members and </w:t>
      </w:r>
      <w:r w:rsidR="00235087">
        <w:t xml:space="preserve">are </w:t>
      </w:r>
      <w:r w:rsidR="001E0D99">
        <w:t xml:space="preserve">therefore required to comply with the FCAI </w:t>
      </w:r>
      <w:r w:rsidR="0090177E">
        <w:t>c</w:t>
      </w:r>
      <w:r w:rsidR="001E0D99">
        <w:t>ode.</w:t>
      </w:r>
    </w:p>
    <w:p w14:paraId="770A4A19" w14:textId="35A8FC42" w:rsidR="00BC6EEC" w:rsidRPr="008E360D" w:rsidRDefault="001D7D0F" w:rsidP="002214F0">
      <w:pPr>
        <w:pStyle w:val="Heading3"/>
      </w:pPr>
      <w:r>
        <w:t>Electric vehicle charg</w:t>
      </w:r>
      <w:r w:rsidR="009905B2">
        <w:t xml:space="preserve">ing </w:t>
      </w:r>
      <w:proofErr w:type="gramStart"/>
      <w:r w:rsidR="009905B2">
        <w:t>stations</w:t>
      </w:r>
      <w:proofErr w:type="gramEnd"/>
    </w:p>
    <w:p w14:paraId="44A4EDD5" w14:textId="032056FF" w:rsidR="000C2887" w:rsidRDefault="00BC6EEC" w:rsidP="0037048E">
      <w:pPr>
        <w:pStyle w:val="Paragraph"/>
      </w:pPr>
      <w:r>
        <w:t xml:space="preserve">In addition to emission limits on electric vehicles, </w:t>
      </w:r>
      <w:r w:rsidR="004548CA">
        <w:t>our</w:t>
      </w:r>
      <w:r>
        <w:t xml:space="preserve"> EMC arrangements also limit th</w:t>
      </w:r>
      <w:r w:rsidR="008D4E2F">
        <w:t xml:space="preserve">e emission from </w:t>
      </w:r>
      <w:r w:rsidR="000C2887">
        <w:t>the</w:t>
      </w:r>
      <w:r w:rsidR="004022DB">
        <w:t>ir</w:t>
      </w:r>
      <w:r w:rsidR="000C2887">
        <w:t xml:space="preserve"> associated</w:t>
      </w:r>
      <w:r w:rsidR="003C6B4D">
        <w:t xml:space="preserve"> chargers.</w:t>
      </w:r>
      <w:r w:rsidR="008D4E2F">
        <w:t xml:space="preserve"> </w:t>
      </w:r>
      <w:r w:rsidR="008268B4">
        <w:t>We note</w:t>
      </w:r>
      <w:r w:rsidR="009C35B7">
        <w:t>,</w:t>
      </w:r>
      <w:r w:rsidR="008268B4">
        <w:t xml:space="preserve"> however</w:t>
      </w:r>
      <w:r w:rsidR="009C35B7">
        <w:t>,</w:t>
      </w:r>
      <w:r w:rsidR="008268B4">
        <w:t xml:space="preserve"> that w</w:t>
      </w:r>
      <w:r w:rsidR="001D7D0F">
        <w:t xml:space="preserve">hile </w:t>
      </w:r>
      <w:r w:rsidR="004548CA">
        <w:t>our</w:t>
      </w:r>
      <w:r w:rsidR="008268B4">
        <w:t xml:space="preserve"> </w:t>
      </w:r>
      <w:r w:rsidR="001D7D0F">
        <w:t>arrangements cover the</w:t>
      </w:r>
      <w:r w:rsidR="008268B4">
        <w:t xml:space="preserve"> emissions from individual charg</w:t>
      </w:r>
      <w:r w:rsidR="004022DB">
        <w:t>ers</w:t>
      </w:r>
      <w:r w:rsidR="008268B4">
        <w:t>, the</w:t>
      </w:r>
      <w:r w:rsidR="009D43B9">
        <w:t xml:space="preserve">re is currently </w:t>
      </w:r>
      <w:r w:rsidR="00050E65">
        <w:t xml:space="preserve">no mechanism </w:t>
      </w:r>
      <w:r w:rsidR="000C2887">
        <w:t>to manage</w:t>
      </w:r>
      <w:r w:rsidR="008268B4">
        <w:t xml:space="preserve"> the potential </w:t>
      </w:r>
      <w:r w:rsidR="009F2584">
        <w:t xml:space="preserve">for </w:t>
      </w:r>
      <w:r w:rsidR="000C2887">
        <w:t>cumulative emissions from multiple chargers</w:t>
      </w:r>
      <w:r w:rsidR="004022DB">
        <w:t xml:space="preserve"> in </w:t>
      </w:r>
      <w:r w:rsidR="004022DB">
        <w:lastRenderedPageBreak/>
        <w:t>proximity to each other. This scenario may occur a</w:t>
      </w:r>
      <w:r w:rsidR="000C2887">
        <w:t xml:space="preserve">s </w:t>
      </w:r>
      <w:r w:rsidR="009F2584">
        <w:t>the proliferation of</w:t>
      </w:r>
      <w:r w:rsidR="000C2887">
        <w:t xml:space="preserve"> charging equipment </w:t>
      </w:r>
      <w:r w:rsidR="009F2584">
        <w:t xml:space="preserve">increases </w:t>
      </w:r>
      <w:r w:rsidR="004022DB">
        <w:t>in response to the growth in electric vehicle</w:t>
      </w:r>
      <w:r w:rsidR="009F2584">
        <w:t>s</w:t>
      </w:r>
      <w:r w:rsidR="004022DB">
        <w:t xml:space="preserve">. </w:t>
      </w:r>
    </w:p>
    <w:p w14:paraId="7D5E410E" w14:textId="0AB618FB" w:rsidR="00BC6EEC" w:rsidRDefault="004022DB" w:rsidP="0037048E">
      <w:pPr>
        <w:pStyle w:val="Paragraph"/>
      </w:pPr>
      <w:r>
        <w:t xml:space="preserve">We understand that there are </w:t>
      </w:r>
      <w:r w:rsidR="001B48AA">
        <w:t>studies being undertaken internationally on how to best mitigate th</w:t>
      </w:r>
      <w:r w:rsidR="009F2584">
        <w:t>is</w:t>
      </w:r>
      <w:r w:rsidR="001B48AA">
        <w:t xml:space="preserve"> potential </w:t>
      </w:r>
      <w:r w:rsidR="009F2584">
        <w:t>issue</w:t>
      </w:r>
      <w:r w:rsidR="001B48AA">
        <w:t xml:space="preserve"> and will monitor the progress of these studies to assess whether there are</w:t>
      </w:r>
      <w:r w:rsidR="008B765E">
        <w:t xml:space="preserve"> any regulatory</w:t>
      </w:r>
      <w:r w:rsidR="001B48AA">
        <w:t xml:space="preserve"> implications for Australia.</w:t>
      </w:r>
      <w:r w:rsidR="00116829">
        <w:rPr>
          <w:rStyle w:val="FootnoteReference"/>
        </w:rPr>
        <w:footnoteReference w:id="38"/>
      </w:r>
      <w:r w:rsidR="001B48AA">
        <w:t xml:space="preserve"> </w:t>
      </w:r>
      <w:r w:rsidR="001D7D0F">
        <w:t xml:space="preserve"> </w:t>
      </w:r>
      <w:r w:rsidR="00BC6EEC">
        <w:t xml:space="preserve"> </w:t>
      </w:r>
    </w:p>
    <w:p w14:paraId="20742C35" w14:textId="06E90C56" w:rsidR="001A47D6" w:rsidRPr="00E162C4" w:rsidRDefault="008D68DB" w:rsidP="001A47D6">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rsidRPr="002214F0">
        <w:t>Question</w:t>
      </w:r>
      <w:r w:rsidDel="008D68DB">
        <w:t xml:space="preserve"> </w:t>
      </w:r>
      <w:r w:rsidR="001A47D6">
        <w:t>2</w:t>
      </w:r>
    </w:p>
    <w:p w14:paraId="23D0AE98" w14:textId="6C70DCE7" w:rsidR="001A47D6" w:rsidRPr="00E162C4" w:rsidRDefault="009375A6" w:rsidP="001A47D6">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Do you have any comments on </w:t>
      </w:r>
      <w:r w:rsidR="00853998">
        <w:t xml:space="preserve">whether </w:t>
      </w:r>
      <w:r>
        <w:t>the ACMA’s</w:t>
      </w:r>
      <w:r w:rsidRPr="00FA0290">
        <w:t xml:space="preserve"> current EMC </w:t>
      </w:r>
      <w:r w:rsidR="00853998">
        <w:t xml:space="preserve">regulatory </w:t>
      </w:r>
      <w:r w:rsidRPr="00FA0290">
        <w:t>arrangements for managing EMC risks for vehicles</w:t>
      </w:r>
      <w:r w:rsidR="00853998">
        <w:t>,</w:t>
      </w:r>
      <w:r w:rsidRPr="00FA0290">
        <w:t xml:space="preserve"> including electric vehicles</w:t>
      </w:r>
      <w:r w:rsidR="00853998">
        <w:t>,</w:t>
      </w:r>
      <w:r w:rsidRPr="00FA0290">
        <w:t xml:space="preserve"> </w:t>
      </w:r>
      <w:r w:rsidR="004548CA">
        <w:br/>
      </w:r>
      <w:r w:rsidR="00853998">
        <w:t xml:space="preserve">are </w:t>
      </w:r>
      <w:r w:rsidRPr="00FA0290">
        <w:t xml:space="preserve">effective? </w:t>
      </w:r>
    </w:p>
    <w:p w14:paraId="76975CAD" w14:textId="77777777" w:rsidR="001A47D6" w:rsidRPr="00B102C8" w:rsidRDefault="001A47D6" w:rsidP="004E04D5">
      <w:pPr>
        <w:pStyle w:val="ListBullet2"/>
        <w:numPr>
          <w:ilvl w:val="0"/>
          <w:numId w:val="0"/>
        </w:numPr>
        <w:spacing w:before="240" w:after="240" w:line="240" w:lineRule="auto"/>
      </w:pPr>
    </w:p>
    <w:p w14:paraId="35870D3C" w14:textId="1FD15D16" w:rsidR="0005656C" w:rsidRDefault="00D132FA" w:rsidP="00E44D2A">
      <w:pPr>
        <w:pStyle w:val="Heading2"/>
      </w:pPr>
      <w:bookmarkStart w:id="14" w:name="_Toc149912276"/>
      <w:r>
        <w:t>Ensuring our c</w:t>
      </w:r>
      <w:r w:rsidR="00E64592">
        <w:t>ategorisation of</w:t>
      </w:r>
      <w:r w:rsidR="00E15ACB" w:rsidDel="00E64592">
        <w:t xml:space="preserve"> </w:t>
      </w:r>
      <w:r w:rsidR="00E15ACB">
        <w:t>devices</w:t>
      </w:r>
      <w:r w:rsidR="00612773">
        <w:t xml:space="preserve"> appropriately reflects the harms associated with </w:t>
      </w:r>
      <w:r>
        <w:t xml:space="preserve">the risk of </w:t>
      </w:r>
      <w:proofErr w:type="gramStart"/>
      <w:r>
        <w:t>interference</w:t>
      </w:r>
      <w:bookmarkEnd w:id="14"/>
      <w:proofErr w:type="gramEnd"/>
    </w:p>
    <w:p w14:paraId="58DDF270" w14:textId="3FB80E56" w:rsidR="00A40E93" w:rsidRDefault="00612773" w:rsidP="006B5BD9">
      <w:pPr>
        <w:pStyle w:val="ListBullet2"/>
        <w:numPr>
          <w:ilvl w:val="0"/>
          <w:numId w:val="0"/>
        </w:numPr>
        <w:spacing w:before="240" w:after="240" w:line="240" w:lineRule="auto"/>
      </w:pPr>
      <w:r>
        <w:t>W</w:t>
      </w:r>
      <w:r w:rsidR="00A40E93">
        <w:t xml:space="preserve">e </w:t>
      </w:r>
      <w:r>
        <w:t xml:space="preserve">are </w:t>
      </w:r>
      <w:r w:rsidR="00A40E93">
        <w:t>consider</w:t>
      </w:r>
      <w:r>
        <w:t>ing</w:t>
      </w:r>
      <w:r w:rsidR="00A40E93">
        <w:t xml:space="preserve"> whether our current categorisation of devices </w:t>
      </w:r>
      <w:r w:rsidR="00986448">
        <w:t xml:space="preserve">properly </w:t>
      </w:r>
      <w:r w:rsidR="00A40E93">
        <w:t>re</w:t>
      </w:r>
      <w:r>
        <w:t xml:space="preserve">flects </w:t>
      </w:r>
      <w:r w:rsidR="00A40E93">
        <w:t>the</w:t>
      </w:r>
      <w:r w:rsidR="008750D1">
        <w:t>ir</w:t>
      </w:r>
      <w:r w:rsidR="00A40E93">
        <w:t xml:space="preserve"> risk of </w:t>
      </w:r>
      <w:r w:rsidR="008750D1">
        <w:t>causing</w:t>
      </w:r>
      <w:r w:rsidR="00A40E93" w:rsidDel="00612773">
        <w:t xml:space="preserve"> </w:t>
      </w:r>
      <w:r w:rsidR="00A40E93">
        <w:t>interference</w:t>
      </w:r>
      <w:r w:rsidR="0057047C">
        <w:t>.</w:t>
      </w:r>
    </w:p>
    <w:p w14:paraId="7E4FC10A" w14:textId="30347F86" w:rsidR="00E74CD7" w:rsidRDefault="00681F88" w:rsidP="00E74CD7">
      <w:pPr>
        <w:pStyle w:val="ListBullet2"/>
        <w:numPr>
          <w:ilvl w:val="0"/>
          <w:numId w:val="0"/>
        </w:numPr>
        <w:spacing w:before="240" w:after="240" w:line="240" w:lineRule="auto"/>
      </w:pPr>
      <w:r>
        <w:t xml:space="preserve">The compliance level of a device relates to its potential to cause interference to radiocommunications or to the use or function of another device. The EMC labelling notice prescribes </w:t>
      </w:r>
      <w:r w:rsidR="00EC5195">
        <w:t xml:space="preserve">3 </w:t>
      </w:r>
      <w:r>
        <w:t xml:space="preserve">compliance levels and requires suppliers to </w:t>
      </w:r>
      <w:r w:rsidR="00CF7A1C">
        <w:t>label</w:t>
      </w:r>
      <w:r>
        <w:t xml:space="preserve"> their devices depending on the applicable compliance level</w:t>
      </w:r>
      <w:r w:rsidR="00311EF8">
        <w:t>.</w:t>
      </w:r>
      <w:r>
        <w:rPr>
          <w:rStyle w:val="FootnoteReference"/>
        </w:rPr>
        <w:footnoteReference w:id="39"/>
      </w:r>
      <w:r>
        <w:t xml:space="preserve"> </w:t>
      </w:r>
    </w:p>
    <w:p w14:paraId="4290EADF" w14:textId="77777777" w:rsidR="004611F3" w:rsidRDefault="000C5DDD" w:rsidP="002214F0">
      <w:pPr>
        <w:pStyle w:val="Paragraphbeforelist"/>
      </w:pPr>
      <w:r>
        <w:t>The ACMA’s device categories are defined by</w:t>
      </w:r>
      <w:r w:rsidR="004611F3">
        <w:t>:</w:t>
      </w:r>
    </w:p>
    <w:p w14:paraId="19FC74E0" w14:textId="319498F6" w:rsidR="00735C29" w:rsidRDefault="000C5DDD" w:rsidP="008750D1">
      <w:pPr>
        <w:pStyle w:val="Bulletlevel1"/>
      </w:pPr>
      <w:r>
        <w:t>the type of device (</w:t>
      </w:r>
      <w:r w:rsidR="0091376D">
        <w:t xml:space="preserve">e.g., </w:t>
      </w:r>
      <w:r>
        <w:t xml:space="preserve">Group 2 industrial, scientific, medical (ISM) equipment and battery-powered devices) </w:t>
      </w:r>
    </w:p>
    <w:p w14:paraId="4DD22B37" w14:textId="7777A6F7" w:rsidR="00074767" w:rsidRDefault="000C5DDD" w:rsidP="008750D1">
      <w:pPr>
        <w:pStyle w:val="Bulletlevel1"/>
      </w:pPr>
      <w:r>
        <w:t>th</w:t>
      </w:r>
      <w:r w:rsidR="0043122F">
        <w:t xml:space="preserve">e </w:t>
      </w:r>
      <w:r>
        <w:t>components in a device.</w:t>
      </w:r>
    </w:p>
    <w:p w14:paraId="0E5E76B9" w14:textId="062BE20E" w:rsidR="00074767" w:rsidRDefault="00074767" w:rsidP="00074767">
      <w:pPr>
        <w:pStyle w:val="ListBullet2"/>
        <w:numPr>
          <w:ilvl w:val="0"/>
          <w:numId w:val="0"/>
        </w:numPr>
        <w:spacing w:before="240" w:after="240" w:line="240" w:lineRule="auto"/>
      </w:pPr>
      <w:r>
        <w:t>Internationally, the ACMA’s device categories are closely aligned with New Zealand’s EMC regulatory arrangements.</w:t>
      </w:r>
      <w:r>
        <w:rPr>
          <w:rStyle w:val="FootnoteReference"/>
        </w:rPr>
        <w:footnoteReference w:id="40"/>
      </w:r>
      <w:r>
        <w:t xml:space="preserve"> </w:t>
      </w:r>
      <w:r w:rsidR="00735C29">
        <w:t xml:space="preserve">A comparison of Australian and New Zealand device categories is provided in </w:t>
      </w:r>
      <w:hyperlink w:anchor="_Appendix_B:_Comparison" w:history="1">
        <w:r w:rsidR="00735C29" w:rsidRPr="002214F0">
          <w:rPr>
            <w:rStyle w:val="Hyperlink"/>
            <w:bCs/>
          </w:rPr>
          <w:t>Appendix B</w:t>
        </w:r>
      </w:hyperlink>
      <w:r w:rsidR="00735C29">
        <w:t>.</w:t>
      </w:r>
      <w:r>
        <w:t xml:space="preserve"> </w:t>
      </w:r>
    </w:p>
    <w:p w14:paraId="539E9F14" w14:textId="2CBCDC7A" w:rsidR="00074767" w:rsidRDefault="006D5D06" w:rsidP="00074767">
      <w:pPr>
        <w:pStyle w:val="ListBullet2"/>
        <w:numPr>
          <w:ilvl w:val="0"/>
          <w:numId w:val="0"/>
        </w:numPr>
        <w:spacing w:before="240" w:after="240" w:line="240" w:lineRule="auto"/>
      </w:pPr>
      <w:r>
        <w:t xml:space="preserve">In </w:t>
      </w:r>
      <w:r w:rsidR="00C30088">
        <w:t>contras</w:t>
      </w:r>
      <w:r w:rsidR="0052780B">
        <w:t>t</w:t>
      </w:r>
      <w:r w:rsidR="0043122F">
        <w:t>,</w:t>
      </w:r>
      <w:r w:rsidR="00C30088">
        <w:t xml:space="preserve"> in </w:t>
      </w:r>
      <w:r>
        <w:t xml:space="preserve">the USA the </w:t>
      </w:r>
      <w:r>
        <w:rPr>
          <w:szCs w:val="20"/>
        </w:rPr>
        <w:t xml:space="preserve">Federal Communications Commission (FCC) </w:t>
      </w:r>
      <w:r w:rsidR="0052780B">
        <w:rPr>
          <w:szCs w:val="20"/>
        </w:rPr>
        <w:t>sets out the compliance requirements (known as ‘equipment authori</w:t>
      </w:r>
      <w:r w:rsidR="00681F88">
        <w:rPr>
          <w:szCs w:val="20"/>
        </w:rPr>
        <w:t>s</w:t>
      </w:r>
      <w:r w:rsidR="0052780B">
        <w:rPr>
          <w:szCs w:val="20"/>
        </w:rPr>
        <w:t xml:space="preserve">ation’) based on whether a device is an </w:t>
      </w:r>
      <w:r>
        <w:rPr>
          <w:szCs w:val="20"/>
        </w:rPr>
        <w:t xml:space="preserve">intentional, unintentional </w:t>
      </w:r>
      <w:r w:rsidR="0052780B">
        <w:rPr>
          <w:szCs w:val="20"/>
        </w:rPr>
        <w:t>or</w:t>
      </w:r>
      <w:r>
        <w:rPr>
          <w:szCs w:val="20"/>
        </w:rPr>
        <w:t xml:space="preserve"> incidental radiator.</w:t>
      </w:r>
      <w:r>
        <w:rPr>
          <w:rStyle w:val="FootnoteReference"/>
          <w:szCs w:val="20"/>
        </w:rPr>
        <w:footnoteReference w:id="41"/>
      </w:r>
      <w:r>
        <w:rPr>
          <w:szCs w:val="20"/>
        </w:rPr>
        <w:t xml:space="preserve"> The</w:t>
      </w:r>
      <w:r w:rsidR="0052780B">
        <w:rPr>
          <w:szCs w:val="20"/>
        </w:rPr>
        <w:t xml:space="preserve"> FCC sub-categorises unintentional radiators by the type of devic</w:t>
      </w:r>
      <w:r w:rsidR="00E167D2">
        <w:rPr>
          <w:szCs w:val="20"/>
        </w:rPr>
        <w:t>e and provides different compliance authori</w:t>
      </w:r>
      <w:r w:rsidR="00681F88">
        <w:rPr>
          <w:szCs w:val="20"/>
        </w:rPr>
        <w:t>s</w:t>
      </w:r>
      <w:r w:rsidR="00E167D2">
        <w:rPr>
          <w:szCs w:val="20"/>
        </w:rPr>
        <w:t>ation requirements depending on the type of device</w:t>
      </w:r>
      <w:r>
        <w:rPr>
          <w:szCs w:val="20"/>
        </w:rPr>
        <w:t>.</w:t>
      </w:r>
      <w:r>
        <w:rPr>
          <w:rStyle w:val="FootnoteReference"/>
          <w:szCs w:val="20"/>
        </w:rPr>
        <w:footnoteReference w:id="42"/>
      </w:r>
      <w:r w:rsidR="0052780B">
        <w:rPr>
          <w:szCs w:val="20"/>
        </w:rPr>
        <w:t xml:space="preserve"> </w:t>
      </w:r>
    </w:p>
    <w:p w14:paraId="75F9A72F" w14:textId="665A6CB3" w:rsidR="0015748A" w:rsidRDefault="0015748A" w:rsidP="000C5DDD">
      <w:pPr>
        <w:pStyle w:val="ListBullet2"/>
        <w:numPr>
          <w:ilvl w:val="0"/>
          <w:numId w:val="0"/>
        </w:numPr>
        <w:spacing w:before="240" w:after="240" w:line="240" w:lineRule="auto"/>
      </w:pPr>
      <w:r>
        <w:rPr>
          <w:szCs w:val="20"/>
        </w:rPr>
        <w:t>In Europe, equipment is categorised as ‘apparatus’ or ‘fixed installation’.</w:t>
      </w:r>
      <w:r w:rsidR="006E2488">
        <w:rPr>
          <w:rStyle w:val="FootnoteReference"/>
          <w:szCs w:val="20"/>
        </w:rPr>
        <w:footnoteReference w:id="43"/>
      </w:r>
      <w:r>
        <w:rPr>
          <w:szCs w:val="20"/>
        </w:rPr>
        <w:t xml:space="preserve"> </w:t>
      </w:r>
      <w:r w:rsidR="0043122F">
        <w:rPr>
          <w:szCs w:val="20"/>
        </w:rPr>
        <w:t>Fixed installation</w:t>
      </w:r>
      <w:r w:rsidR="00B005FA">
        <w:rPr>
          <w:szCs w:val="20"/>
        </w:rPr>
        <w:t xml:space="preserve"> is</w:t>
      </w:r>
      <w:r w:rsidR="0043122F">
        <w:rPr>
          <w:szCs w:val="20"/>
        </w:rPr>
        <w:t xml:space="preserve"> exempt from</w:t>
      </w:r>
      <w:r w:rsidR="0052780B">
        <w:rPr>
          <w:szCs w:val="20"/>
        </w:rPr>
        <w:t xml:space="preserve"> the</w:t>
      </w:r>
      <w:r w:rsidR="0043122F">
        <w:rPr>
          <w:szCs w:val="20"/>
        </w:rPr>
        <w:t xml:space="preserve"> compliance requirements for labelling (CE marking), </w:t>
      </w:r>
      <w:r w:rsidR="0043122F">
        <w:rPr>
          <w:szCs w:val="20"/>
        </w:rPr>
        <w:lastRenderedPageBreak/>
        <w:t xml:space="preserve">making a Declaration of Conformity or for formal EMC assessment. </w:t>
      </w:r>
      <w:r>
        <w:rPr>
          <w:szCs w:val="20"/>
        </w:rPr>
        <w:t>The compliance requirements (known as ‘conformity assessment procedures’) for apparatus</w:t>
      </w:r>
      <w:r w:rsidR="00986448">
        <w:rPr>
          <w:szCs w:val="20"/>
        </w:rPr>
        <w:t>es</w:t>
      </w:r>
      <w:r>
        <w:rPr>
          <w:szCs w:val="20"/>
        </w:rPr>
        <w:t xml:space="preserve"> are determined based on whether a harmonised standard applies fully, partly or does not apply</w:t>
      </w:r>
      <w:r w:rsidR="00DA7DBC">
        <w:rPr>
          <w:szCs w:val="20"/>
        </w:rPr>
        <w:t xml:space="preserve"> to the apparatus</w:t>
      </w:r>
      <w:r>
        <w:rPr>
          <w:szCs w:val="20"/>
        </w:rPr>
        <w:t>.</w:t>
      </w:r>
    </w:p>
    <w:p w14:paraId="4F626055" w14:textId="3C840BA2" w:rsidR="00F353A0" w:rsidRDefault="000C5DDD" w:rsidP="002214F0">
      <w:pPr>
        <w:pStyle w:val="Paragraphbeforelist"/>
      </w:pPr>
      <w:r>
        <w:t>While methods</w:t>
      </w:r>
      <w:r w:rsidR="00F91593">
        <w:t xml:space="preserve"> for </w:t>
      </w:r>
      <w:r w:rsidR="00F353A0">
        <w:t xml:space="preserve">device </w:t>
      </w:r>
      <w:r w:rsidR="00F91593">
        <w:t>categorisation</w:t>
      </w:r>
      <w:r>
        <w:t xml:space="preserve"> vary between countries, </w:t>
      </w:r>
      <w:r w:rsidR="00F353A0">
        <w:t xml:space="preserve">there are common </w:t>
      </w:r>
      <w:r w:rsidR="00E167D2">
        <w:t>concepts that can be observed:</w:t>
      </w:r>
    </w:p>
    <w:p w14:paraId="24F2F656" w14:textId="6462F641" w:rsidR="00F353A0" w:rsidRDefault="009E3953" w:rsidP="00601396">
      <w:pPr>
        <w:pStyle w:val="Bulletlevel1"/>
      </w:pPr>
      <w:r>
        <w:t>D</w:t>
      </w:r>
      <w:r w:rsidR="004D22F7">
        <w:t>ifferent</w:t>
      </w:r>
      <w:r w:rsidR="00F353A0">
        <w:t xml:space="preserve"> compliance requirement</w:t>
      </w:r>
      <w:r w:rsidR="00610665">
        <w:t>s nee</w:t>
      </w:r>
      <w:r w:rsidR="00E167D2">
        <w:t xml:space="preserve">d to be set </w:t>
      </w:r>
      <w:r w:rsidR="004D22F7">
        <w:t xml:space="preserve">for devices </w:t>
      </w:r>
      <w:r w:rsidR="008E1E27">
        <w:t>to address the</w:t>
      </w:r>
      <w:r w:rsidR="004D22F7">
        <w:t xml:space="preserve"> different</w:t>
      </w:r>
      <w:r w:rsidR="008E1E27">
        <w:t xml:space="preserve"> risk</w:t>
      </w:r>
      <w:r w:rsidR="004D22F7">
        <w:t>s</w:t>
      </w:r>
      <w:r w:rsidR="008E1E27">
        <w:t xml:space="preserve"> of </w:t>
      </w:r>
      <w:r w:rsidR="004D22F7">
        <w:t xml:space="preserve">electromagnetic </w:t>
      </w:r>
      <w:r w:rsidR="008E1E27">
        <w:t>interference. Generally, the higher the risk</w:t>
      </w:r>
      <w:r>
        <w:t>,</w:t>
      </w:r>
      <w:r w:rsidR="008E1E27">
        <w:t xml:space="preserve"> the higher </w:t>
      </w:r>
      <w:r w:rsidR="00601396">
        <w:t xml:space="preserve">the </w:t>
      </w:r>
      <w:r w:rsidR="008E1E27">
        <w:t>compliance requirement</w:t>
      </w:r>
      <w:r w:rsidR="004D22F7">
        <w:t>s</w:t>
      </w:r>
      <w:r w:rsidR="008E1E27">
        <w:t>.</w:t>
      </w:r>
    </w:p>
    <w:p w14:paraId="3E206C30" w14:textId="438E15D2" w:rsidR="00F353A0" w:rsidRDefault="009E3953" w:rsidP="00601396">
      <w:pPr>
        <w:pStyle w:val="Bulletlevel1"/>
        <w:spacing w:after="240"/>
      </w:pPr>
      <w:r>
        <w:t>E</w:t>
      </w:r>
      <w:r w:rsidR="00F353A0">
        <w:t>xemptions to compliance requirements for certain types of devices</w:t>
      </w:r>
      <w:r w:rsidR="00610665">
        <w:t xml:space="preserve"> may </w:t>
      </w:r>
      <w:r>
        <w:br/>
      </w:r>
      <w:r w:rsidR="00610665">
        <w:t xml:space="preserve">be </w:t>
      </w:r>
      <w:r w:rsidR="0091376D">
        <w:t>granted</w:t>
      </w:r>
      <w:r w:rsidR="00B5071B">
        <w:t>.</w:t>
      </w:r>
    </w:p>
    <w:p w14:paraId="1D3415F1" w14:textId="3B0CC161" w:rsidR="00DF6A6D" w:rsidRPr="00DF6A6D" w:rsidRDefault="00DF6A6D" w:rsidP="001D6168">
      <w:pPr>
        <w:pStyle w:val="Heading3"/>
      </w:pPr>
      <w:r w:rsidRPr="00DF6A6D">
        <w:t>History of ACMA’s current approach</w:t>
      </w:r>
    </w:p>
    <w:p w14:paraId="056BB877" w14:textId="7F9ED3F3" w:rsidR="00643CC3" w:rsidRDefault="00A40E93" w:rsidP="002214F0">
      <w:pPr>
        <w:pStyle w:val="ListBullet2"/>
        <w:numPr>
          <w:ilvl w:val="0"/>
          <w:numId w:val="0"/>
        </w:numPr>
        <w:spacing w:before="60" w:after="240" w:line="240" w:lineRule="auto"/>
      </w:pPr>
      <w:r w:rsidRPr="006B5BD9">
        <w:t xml:space="preserve">For over 20 years the ACMA </w:t>
      </w:r>
      <w:r w:rsidR="00986448">
        <w:t>(</w:t>
      </w:r>
      <w:r w:rsidRPr="006B5BD9">
        <w:t>and our predecessor, the Australian Communications Authority</w:t>
      </w:r>
      <w:r w:rsidR="00986448">
        <w:t>)</w:t>
      </w:r>
      <w:r w:rsidRPr="006B5BD9">
        <w:t xml:space="preserve"> ha</w:t>
      </w:r>
      <w:r w:rsidR="00986448">
        <w:t>s</w:t>
      </w:r>
      <w:r w:rsidRPr="006B5BD9">
        <w:t xml:space="preserve"> categorised devices </w:t>
      </w:r>
      <w:r w:rsidR="008B22EF" w:rsidRPr="006B5BD9">
        <w:t>as</w:t>
      </w:r>
      <w:r w:rsidR="00912FAE">
        <w:t>:</w:t>
      </w:r>
      <w:r w:rsidR="008B22EF" w:rsidRPr="006B5BD9">
        <w:t xml:space="preserve"> </w:t>
      </w:r>
      <w:r w:rsidR="00EF5748">
        <w:t>low-risk</w:t>
      </w:r>
      <w:r w:rsidR="008B22EF">
        <w:t xml:space="preserve">, </w:t>
      </w:r>
      <w:r w:rsidR="00EF5748">
        <w:t>medium-risk</w:t>
      </w:r>
      <w:r w:rsidR="008B22EF">
        <w:t xml:space="preserve"> and </w:t>
      </w:r>
      <w:r w:rsidR="00EF5748">
        <w:t>high-risk</w:t>
      </w:r>
      <w:r w:rsidR="006802BF">
        <w:t xml:space="preserve">. </w:t>
      </w:r>
    </w:p>
    <w:p w14:paraId="678BA5DD" w14:textId="42DF6FDA" w:rsidR="00A40E93" w:rsidRDefault="00643CC3" w:rsidP="006802BF">
      <w:pPr>
        <w:pStyle w:val="ListBullet2"/>
        <w:numPr>
          <w:ilvl w:val="0"/>
          <w:numId w:val="0"/>
        </w:numPr>
        <w:spacing w:before="240" w:after="240" w:line="240" w:lineRule="auto"/>
      </w:pPr>
      <w:r>
        <w:t>O</w:t>
      </w:r>
      <w:r w:rsidR="00176BB9">
        <w:t xml:space="preserve">ur </w:t>
      </w:r>
      <w:r w:rsidR="00A40E93">
        <w:t xml:space="preserve">approach </w:t>
      </w:r>
      <w:r w:rsidR="00466A68">
        <w:t>to</w:t>
      </w:r>
      <w:r w:rsidR="00912FAE">
        <w:t xml:space="preserve"> defining the device categories </w:t>
      </w:r>
      <w:r w:rsidR="00DF6A6D">
        <w:t>has changed over time.</w:t>
      </w:r>
      <w:r w:rsidR="00A40E93">
        <w:t xml:space="preserve"> Prior to November 2009, the ACMA’s approach was to define </w:t>
      </w:r>
      <w:r w:rsidR="00EF5748">
        <w:t>low-risk</w:t>
      </w:r>
      <w:r w:rsidR="00A40E93">
        <w:t xml:space="preserve"> device and </w:t>
      </w:r>
      <w:r w:rsidR="00EF5748">
        <w:t>high-risk</w:t>
      </w:r>
      <w:r w:rsidR="00A40E93">
        <w:t xml:space="preserve"> device</w:t>
      </w:r>
      <w:r w:rsidR="006331C3">
        <w:t xml:space="preserve">, and all other devices were a </w:t>
      </w:r>
      <w:r w:rsidR="00EF5748">
        <w:t>medium-risk</w:t>
      </w:r>
      <w:r w:rsidR="00A40E93">
        <w:t xml:space="preserve"> device.</w:t>
      </w:r>
      <w:r w:rsidR="00A40E93" w:rsidRPr="000C3EEE">
        <w:rPr>
          <w:vertAlign w:val="superscript"/>
        </w:rPr>
        <w:footnoteReference w:id="44"/>
      </w:r>
      <w:r w:rsidR="00A40E93">
        <w:rPr>
          <w:vertAlign w:val="superscript"/>
        </w:rPr>
        <w:t xml:space="preserve"> </w:t>
      </w:r>
      <w:r w:rsidR="00A40E93">
        <w:t xml:space="preserve">In practice, this meant that the majority of devices </w:t>
      </w:r>
      <w:r w:rsidR="00176BB9">
        <w:t xml:space="preserve">(approximately 80%) </w:t>
      </w:r>
      <w:r w:rsidR="00A40E93">
        <w:t xml:space="preserve">fell within the </w:t>
      </w:r>
      <w:r w:rsidR="00EF5748">
        <w:t>medium-risk</w:t>
      </w:r>
      <w:r w:rsidR="00A40E93">
        <w:t xml:space="preserve"> category and </w:t>
      </w:r>
      <w:r w:rsidR="009C06E0">
        <w:t xml:space="preserve">most </w:t>
      </w:r>
      <w:r w:rsidR="00A40E93">
        <w:t xml:space="preserve">suppliers were required to test, label and keep compliance records. </w:t>
      </w:r>
    </w:p>
    <w:p w14:paraId="47E51E12" w14:textId="695192F9" w:rsidR="00176BB9" w:rsidRDefault="00176BB9" w:rsidP="003E5BD7">
      <w:pPr>
        <w:pStyle w:val="ListBullet2"/>
        <w:numPr>
          <w:ilvl w:val="0"/>
          <w:numId w:val="0"/>
        </w:numPr>
        <w:spacing w:before="240" w:line="240" w:lineRule="auto"/>
        <w:rPr>
          <w:szCs w:val="20"/>
        </w:rPr>
      </w:pPr>
      <w:r>
        <w:t xml:space="preserve">In November 2008, the ACMA’s </w:t>
      </w:r>
      <w:r w:rsidR="00B7071E">
        <w:t>t</w:t>
      </w:r>
      <w:r>
        <w:t xml:space="preserve">echnical </w:t>
      </w:r>
      <w:r w:rsidR="00B7071E">
        <w:t>w</w:t>
      </w:r>
      <w:r>
        <w:t xml:space="preserve">orking </w:t>
      </w:r>
      <w:r w:rsidR="00B7071E">
        <w:t>g</w:t>
      </w:r>
      <w:r>
        <w:t>roup</w:t>
      </w:r>
      <w:r w:rsidR="00565A74">
        <w:t>,</w:t>
      </w:r>
      <w:r>
        <w:t xml:space="preserve"> which included industry participants</w:t>
      </w:r>
      <w:r w:rsidR="00565A74">
        <w:t>,</w:t>
      </w:r>
      <w:r>
        <w:t xml:space="preserve"> met to consider issues relating to the operation and application of the </w:t>
      </w:r>
      <w:r>
        <w:rPr>
          <w:szCs w:val="20"/>
        </w:rPr>
        <w:t xml:space="preserve">Radiocommunications Labelling (Electromagnetic Compatibility) Notice 2008 (EMC Labelling Notice 2008). As a result of </w:t>
      </w:r>
      <w:r w:rsidR="00B7071E">
        <w:rPr>
          <w:szCs w:val="20"/>
        </w:rPr>
        <w:t>the</w:t>
      </w:r>
      <w:r>
        <w:rPr>
          <w:szCs w:val="20"/>
        </w:rPr>
        <w:t xml:space="preserve"> meeting, the following changes to EMC Labelling Notice 2008 were proposed: </w:t>
      </w:r>
    </w:p>
    <w:p w14:paraId="306E9CA2" w14:textId="01E21807" w:rsidR="00176BB9" w:rsidRPr="00176BB9" w:rsidRDefault="00EF5748" w:rsidP="003E5BD7">
      <w:pPr>
        <w:pStyle w:val="Bulletlevel1"/>
      </w:pPr>
      <w:r>
        <w:rPr>
          <w:b/>
          <w:bCs/>
        </w:rPr>
        <w:t>Low-risk</w:t>
      </w:r>
      <w:r w:rsidR="00176BB9" w:rsidRPr="003E5BD7">
        <w:rPr>
          <w:b/>
          <w:bCs/>
        </w:rPr>
        <w:t xml:space="preserve"> devices</w:t>
      </w:r>
      <w:bookmarkStart w:id="15" w:name="OLE_LINK1"/>
      <w:bookmarkStart w:id="16" w:name="OLE_LINK2"/>
      <w:r w:rsidR="00176BB9" w:rsidRPr="003E5BD7">
        <w:rPr>
          <w:b/>
          <w:bCs/>
        </w:rPr>
        <w:t xml:space="preserve"> </w:t>
      </w:r>
      <w:r w:rsidR="00986448">
        <w:t>would</w:t>
      </w:r>
      <w:r w:rsidR="00986448" w:rsidRPr="00176BB9">
        <w:t xml:space="preserve"> </w:t>
      </w:r>
      <w:r w:rsidR="00176BB9" w:rsidRPr="00176BB9">
        <w:t>be</w:t>
      </w:r>
      <w:bookmarkEnd w:id="15"/>
      <w:bookmarkEnd w:id="16"/>
      <w:r w:rsidR="00176BB9" w:rsidRPr="003E5BD7">
        <w:t xml:space="preserve"> those devices that </w:t>
      </w:r>
      <w:r w:rsidR="00986448">
        <w:t>were</w:t>
      </w:r>
      <w:r w:rsidR="00176BB9" w:rsidRPr="003E5BD7">
        <w:t xml:space="preserve"> not </w:t>
      </w:r>
      <w:r>
        <w:t>medium-risk</w:t>
      </w:r>
      <w:r w:rsidR="00176BB9" w:rsidRPr="003E5BD7">
        <w:t xml:space="preserve"> or </w:t>
      </w:r>
      <w:r>
        <w:t>high-risk</w:t>
      </w:r>
      <w:r w:rsidR="00176BB9" w:rsidRPr="003E5BD7">
        <w:t xml:space="preserve"> devices, and </w:t>
      </w:r>
      <w:r w:rsidR="00986448">
        <w:t xml:space="preserve">would </w:t>
      </w:r>
      <w:r w:rsidR="00176BB9" w:rsidRPr="003E5BD7">
        <w:t xml:space="preserve">include all devices that </w:t>
      </w:r>
      <w:r w:rsidR="00986448">
        <w:t>were</w:t>
      </w:r>
      <w:r w:rsidR="00176BB9" w:rsidRPr="003E5BD7">
        <w:t xml:space="preserve"> </w:t>
      </w:r>
      <w:r w:rsidR="00176BB9" w:rsidRPr="003E5BD7">
        <w:rPr>
          <w:b/>
          <w:bCs/>
        </w:rPr>
        <w:t>battery</w:t>
      </w:r>
      <w:r w:rsidR="00B7071E">
        <w:rPr>
          <w:b/>
          <w:bCs/>
        </w:rPr>
        <w:t>-</w:t>
      </w:r>
      <w:r w:rsidR="00176BB9" w:rsidRPr="003E5BD7">
        <w:rPr>
          <w:b/>
          <w:bCs/>
        </w:rPr>
        <w:t>powered devices</w:t>
      </w:r>
      <w:r w:rsidR="00176BB9" w:rsidRPr="003E5BD7">
        <w:t xml:space="preserve"> (and </w:t>
      </w:r>
      <w:r w:rsidR="00986448">
        <w:t xml:space="preserve">could </w:t>
      </w:r>
      <w:r w:rsidR="00986448" w:rsidRPr="003E5BD7">
        <w:t xml:space="preserve">not </w:t>
      </w:r>
      <w:r w:rsidR="00176BB9" w:rsidRPr="003E5BD7">
        <w:t>connect to the electrical mains supply</w:t>
      </w:r>
      <w:r w:rsidR="00B7071E">
        <w:t>,</w:t>
      </w:r>
      <w:r w:rsidR="00176BB9" w:rsidRPr="003E5BD7">
        <w:t xml:space="preserve"> either directly </w:t>
      </w:r>
      <w:r w:rsidR="00B7071E">
        <w:br/>
      </w:r>
      <w:r w:rsidR="00176BB9" w:rsidRPr="003E5BD7">
        <w:t>or indirectly).</w:t>
      </w:r>
    </w:p>
    <w:p w14:paraId="1E7BD2FD" w14:textId="44E66ABA" w:rsidR="00176BB9" w:rsidRPr="00176BB9" w:rsidRDefault="00EF5748" w:rsidP="003E5BD7">
      <w:pPr>
        <w:pStyle w:val="Bulletlevel1"/>
      </w:pPr>
      <w:r>
        <w:rPr>
          <w:b/>
          <w:bCs/>
        </w:rPr>
        <w:t>Medium-risk</w:t>
      </w:r>
      <w:r w:rsidR="00176BB9" w:rsidRPr="003E5BD7">
        <w:rPr>
          <w:b/>
          <w:bCs/>
        </w:rPr>
        <w:t xml:space="preserve"> devices</w:t>
      </w:r>
      <w:r w:rsidR="00176BB9" w:rsidRPr="00176BB9">
        <w:t xml:space="preserve"> </w:t>
      </w:r>
      <w:r w:rsidR="00911C03">
        <w:t>would</w:t>
      </w:r>
      <w:r w:rsidR="00176BB9" w:rsidRPr="00176BB9">
        <w:t xml:space="preserve"> be</w:t>
      </w:r>
      <w:r w:rsidR="00176BB9" w:rsidRPr="003E5BD7">
        <w:t xml:space="preserve"> those devices that </w:t>
      </w:r>
      <w:r w:rsidR="00911C03">
        <w:t>were</w:t>
      </w:r>
      <w:r w:rsidR="00176BB9" w:rsidRPr="003E5BD7">
        <w:t xml:space="preserve"> not battery</w:t>
      </w:r>
      <w:r w:rsidR="00B7071E">
        <w:t>-</w:t>
      </w:r>
      <w:r w:rsidR="00176BB9" w:rsidRPr="003E5BD7">
        <w:t>powered devices and contain</w:t>
      </w:r>
      <w:r w:rsidR="00911C03">
        <w:t>ed</w:t>
      </w:r>
      <w:r w:rsidR="00176BB9" w:rsidRPr="003E5BD7">
        <w:t xml:space="preserve"> switch mode power supplies, transistor switching circuits, microprocessors, commutator or slip-ring motors, or electronic devices operating in a switching or non-linear mode.</w:t>
      </w:r>
    </w:p>
    <w:p w14:paraId="0F59E91D" w14:textId="7A4C1940" w:rsidR="00176BB9" w:rsidRPr="00176BB9" w:rsidRDefault="00EF5748" w:rsidP="003E5BD7">
      <w:pPr>
        <w:pStyle w:val="Bulletlevel1"/>
      </w:pPr>
      <w:r>
        <w:rPr>
          <w:b/>
          <w:bCs/>
        </w:rPr>
        <w:t>High-risk</w:t>
      </w:r>
      <w:r w:rsidR="00176BB9" w:rsidRPr="003E5BD7">
        <w:rPr>
          <w:b/>
          <w:bCs/>
        </w:rPr>
        <w:t xml:space="preserve"> devices</w:t>
      </w:r>
      <w:r w:rsidR="00176BB9" w:rsidRPr="00176BB9">
        <w:t xml:space="preserve"> </w:t>
      </w:r>
      <w:r w:rsidR="00911C03">
        <w:t>would</w:t>
      </w:r>
      <w:r w:rsidR="00176BB9" w:rsidRPr="00176BB9">
        <w:t xml:space="preserve"> remain</w:t>
      </w:r>
      <w:r w:rsidR="00176BB9" w:rsidRPr="003E5BD7">
        <w:t xml:space="preserve"> those devices defined as Group 2 Industrial, Scientific and Medical (ISM) equipment in AS/NZS CISPR 11:2004</w:t>
      </w:r>
      <w:r w:rsidR="00B7071E">
        <w:t>.</w:t>
      </w:r>
      <w:r w:rsidR="004F2135">
        <w:rPr>
          <w:rStyle w:val="FootnoteReference"/>
        </w:rPr>
        <w:footnoteReference w:id="45"/>
      </w:r>
    </w:p>
    <w:p w14:paraId="62CA37A9" w14:textId="56176BA6" w:rsidR="00D71B29" w:rsidRPr="00D71B29" w:rsidRDefault="00A40E93" w:rsidP="009237FC">
      <w:pPr>
        <w:pStyle w:val="ListBullet2"/>
        <w:numPr>
          <w:ilvl w:val="0"/>
          <w:numId w:val="0"/>
        </w:numPr>
        <w:spacing w:before="240" w:after="240" w:line="240" w:lineRule="auto"/>
        <w:rPr>
          <w:rFonts w:cs="Arial"/>
          <w:color w:val="000000"/>
          <w:szCs w:val="20"/>
          <w:shd w:val="clear" w:color="auto" w:fill="FFFFFF"/>
        </w:rPr>
      </w:pPr>
      <w:r>
        <w:t xml:space="preserve">In November 2009, </w:t>
      </w:r>
      <w:r w:rsidR="00B7071E">
        <w:t>we</w:t>
      </w:r>
      <w:r>
        <w:t xml:space="preserve"> amended the </w:t>
      </w:r>
      <w:r w:rsidR="009237FC">
        <w:t>EMC Labelling Notice 2008</w:t>
      </w:r>
      <w:r w:rsidRPr="001C438E">
        <w:t xml:space="preserve"> to </w:t>
      </w:r>
      <w:r w:rsidR="009237FC">
        <w:t>revise</w:t>
      </w:r>
      <w:r w:rsidRPr="001C438E">
        <w:t xml:space="preserve"> our approach</w:t>
      </w:r>
      <w:r w:rsidR="009237FC">
        <w:t xml:space="preserve"> as per the proposed changes.</w:t>
      </w:r>
      <w:r w:rsidRPr="000C3EEE">
        <w:rPr>
          <w:vertAlign w:val="superscript"/>
        </w:rPr>
        <w:footnoteReference w:id="46"/>
      </w:r>
      <w:r w:rsidR="00D71B29">
        <w:t xml:space="preserve"> </w:t>
      </w:r>
      <w:r w:rsidR="00B86D3A">
        <w:rPr>
          <w:rFonts w:cs="Arial"/>
          <w:color w:val="000000"/>
          <w:szCs w:val="20"/>
          <w:shd w:val="clear" w:color="auto" w:fill="FFFFFF"/>
        </w:rPr>
        <w:t>At the time, t</w:t>
      </w:r>
      <w:r w:rsidR="009237FC">
        <w:rPr>
          <w:rFonts w:cs="Arial"/>
          <w:color w:val="000000"/>
          <w:szCs w:val="20"/>
          <w:shd w:val="clear" w:color="auto" w:fill="FFFFFF"/>
        </w:rPr>
        <w:t>he ACMA expected the changes to relax the administrative burden (i.e.</w:t>
      </w:r>
      <w:r w:rsidR="00B7071E">
        <w:rPr>
          <w:rFonts w:cs="Arial"/>
          <w:color w:val="000000"/>
          <w:szCs w:val="20"/>
          <w:shd w:val="clear" w:color="auto" w:fill="FFFFFF"/>
        </w:rPr>
        <w:t>,</w:t>
      </w:r>
      <w:r w:rsidR="009237FC">
        <w:rPr>
          <w:rFonts w:cs="Arial"/>
          <w:color w:val="000000"/>
          <w:szCs w:val="20"/>
          <w:shd w:val="clear" w:color="auto" w:fill="FFFFFF"/>
        </w:rPr>
        <w:t xml:space="preserve"> labelling and record</w:t>
      </w:r>
      <w:r w:rsidR="00B7071E">
        <w:rPr>
          <w:rFonts w:cs="Arial"/>
          <w:color w:val="000000"/>
          <w:szCs w:val="20"/>
          <w:shd w:val="clear" w:color="auto" w:fill="FFFFFF"/>
        </w:rPr>
        <w:t>-</w:t>
      </w:r>
      <w:r w:rsidR="009237FC">
        <w:rPr>
          <w:rFonts w:cs="Arial"/>
          <w:color w:val="000000"/>
          <w:szCs w:val="20"/>
          <w:shd w:val="clear" w:color="auto" w:fill="FFFFFF"/>
        </w:rPr>
        <w:t xml:space="preserve">keeping) on equipment suppliers as the default category for EMC devices would be </w:t>
      </w:r>
      <w:proofErr w:type="gramStart"/>
      <w:r w:rsidR="00EF5748">
        <w:rPr>
          <w:rFonts w:cs="Arial"/>
          <w:color w:val="000000"/>
          <w:szCs w:val="20"/>
          <w:shd w:val="clear" w:color="auto" w:fill="FFFFFF"/>
        </w:rPr>
        <w:t>low-risk</w:t>
      </w:r>
      <w:proofErr w:type="gramEnd"/>
      <w:r w:rsidR="009237FC">
        <w:rPr>
          <w:rFonts w:cs="Arial"/>
          <w:color w:val="000000"/>
          <w:szCs w:val="20"/>
          <w:shd w:val="clear" w:color="auto" w:fill="FFFFFF"/>
        </w:rPr>
        <w:t>.</w:t>
      </w:r>
      <w:r w:rsidR="009237FC">
        <w:rPr>
          <w:rStyle w:val="FootnoteReference"/>
          <w:rFonts w:cs="Arial"/>
          <w:color w:val="000000"/>
          <w:szCs w:val="20"/>
          <w:shd w:val="clear" w:color="auto" w:fill="FFFFFF"/>
        </w:rPr>
        <w:footnoteReference w:id="47"/>
      </w:r>
      <w:r w:rsidR="009237FC">
        <w:rPr>
          <w:rFonts w:cs="Arial"/>
          <w:color w:val="000000"/>
          <w:szCs w:val="20"/>
          <w:shd w:val="clear" w:color="auto" w:fill="FFFFFF"/>
        </w:rPr>
        <w:t> </w:t>
      </w:r>
    </w:p>
    <w:p w14:paraId="176C0778" w14:textId="47E79C12" w:rsidR="000A5097" w:rsidRDefault="00361AF7" w:rsidP="000A5097">
      <w:pPr>
        <w:pStyle w:val="ListBullet2"/>
        <w:numPr>
          <w:ilvl w:val="0"/>
          <w:numId w:val="0"/>
        </w:numPr>
        <w:spacing w:before="240" w:after="240" w:line="240" w:lineRule="auto"/>
      </w:pPr>
      <w:r>
        <w:t>Defining</w:t>
      </w:r>
      <w:r w:rsidR="000A5097">
        <w:t xml:space="preserve"> battery</w:t>
      </w:r>
      <w:r w:rsidR="00B7071E">
        <w:t>-</w:t>
      </w:r>
      <w:r w:rsidR="000A5097">
        <w:t xml:space="preserve">powered devices </w:t>
      </w:r>
      <w:r>
        <w:t>as</w:t>
      </w:r>
      <w:r w:rsidR="000A5097">
        <w:t xml:space="preserve"> </w:t>
      </w:r>
      <w:r w:rsidR="00EF5748">
        <w:t>low-risk</w:t>
      </w:r>
      <w:r w:rsidR="000A5097">
        <w:t xml:space="preserve"> </w:t>
      </w:r>
      <w:r>
        <w:t>devices</w:t>
      </w:r>
      <w:r w:rsidR="000A5097">
        <w:t xml:space="preserve"> also had the effect of </w:t>
      </w:r>
      <w:r w:rsidR="006414CC">
        <w:t xml:space="preserve">providing </w:t>
      </w:r>
      <w:r w:rsidR="000A5097">
        <w:t xml:space="preserve">suppliers </w:t>
      </w:r>
      <w:r w:rsidR="006414CC">
        <w:t>with a choice as to whether</w:t>
      </w:r>
      <w:r w:rsidR="000A5097">
        <w:t xml:space="preserve"> to label the device and make a Declaration of Conformity. This approach further aligned Australia’s EMC regulatory arrangements </w:t>
      </w:r>
      <w:r w:rsidR="000A5097">
        <w:lastRenderedPageBreak/>
        <w:t>with the New Zealand EMC regulations, consistent with our obligations under the Trans-Tasman Mutual Recognition Agreement (TTMRA).</w:t>
      </w:r>
    </w:p>
    <w:p w14:paraId="0C5DA39F" w14:textId="59CF8E48" w:rsidR="009237FC" w:rsidRPr="00790E56" w:rsidRDefault="00D62687" w:rsidP="009237FC">
      <w:pPr>
        <w:pStyle w:val="ListBullet2"/>
        <w:numPr>
          <w:ilvl w:val="0"/>
          <w:numId w:val="0"/>
        </w:numPr>
        <w:spacing w:before="240" w:after="240" w:line="240" w:lineRule="auto"/>
        <w:rPr>
          <w:vertAlign w:val="superscript"/>
        </w:rPr>
      </w:pPr>
      <w:r>
        <w:t>We</w:t>
      </w:r>
      <w:r w:rsidR="00565A74" w:rsidRPr="00AA09CC">
        <w:rPr>
          <w:rFonts w:cs="Arial"/>
        </w:rPr>
        <w:t xml:space="preserve"> </w:t>
      </w:r>
      <w:r w:rsidR="009237FC" w:rsidRPr="00565A74">
        <w:t>continue</w:t>
      </w:r>
      <w:r w:rsidR="009237FC">
        <w:t xml:space="preserve"> to </w:t>
      </w:r>
      <w:r w:rsidR="0078269A">
        <w:t xml:space="preserve">define device categories </w:t>
      </w:r>
      <w:r w:rsidR="00565A74">
        <w:t>in the current EMC labelling notice</w:t>
      </w:r>
      <w:r w:rsidR="00780584">
        <w:t xml:space="preserve"> using</w:t>
      </w:r>
      <w:r w:rsidR="009237FC">
        <w:t xml:space="preserve"> </w:t>
      </w:r>
      <w:r w:rsidR="0078269A">
        <w:t xml:space="preserve">the approach proposed in the 2008 </w:t>
      </w:r>
      <w:r>
        <w:rPr>
          <w:szCs w:val="20"/>
        </w:rPr>
        <w:t>t</w:t>
      </w:r>
      <w:r w:rsidR="0078269A">
        <w:rPr>
          <w:szCs w:val="20"/>
        </w:rPr>
        <w:t xml:space="preserve">echnical </w:t>
      </w:r>
      <w:r>
        <w:rPr>
          <w:szCs w:val="20"/>
        </w:rPr>
        <w:t>w</w:t>
      </w:r>
      <w:r w:rsidR="0078269A">
        <w:rPr>
          <w:szCs w:val="20"/>
        </w:rPr>
        <w:t xml:space="preserve">ork </w:t>
      </w:r>
      <w:r>
        <w:rPr>
          <w:szCs w:val="20"/>
        </w:rPr>
        <w:t>g</w:t>
      </w:r>
      <w:r w:rsidR="0078269A">
        <w:rPr>
          <w:szCs w:val="20"/>
        </w:rPr>
        <w:t>roup meeting</w:t>
      </w:r>
      <w:r w:rsidR="009237FC">
        <w:t>.</w:t>
      </w:r>
      <w:r w:rsidR="009237FC">
        <w:rPr>
          <w:rStyle w:val="FootnoteReference"/>
        </w:rPr>
        <w:footnoteReference w:id="48"/>
      </w:r>
    </w:p>
    <w:p w14:paraId="34385836" w14:textId="77777777" w:rsidR="00DF6A6D" w:rsidRDefault="00DF6A6D" w:rsidP="003D0A2B">
      <w:pPr>
        <w:pStyle w:val="Heading3"/>
      </w:pPr>
      <w:r w:rsidRPr="00643CC3">
        <w:t>Review of device categories</w:t>
      </w:r>
    </w:p>
    <w:p w14:paraId="29988F65" w14:textId="50A86FE2" w:rsidR="006B0D03" w:rsidRDefault="009804F3" w:rsidP="002214F0">
      <w:pPr>
        <w:pStyle w:val="ListBullet2"/>
        <w:numPr>
          <w:ilvl w:val="0"/>
          <w:numId w:val="0"/>
        </w:numPr>
        <w:spacing w:before="60" w:after="240" w:line="240" w:lineRule="auto"/>
      </w:pPr>
      <w:r w:rsidRPr="004B197C">
        <w:t xml:space="preserve">We </w:t>
      </w:r>
      <w:r w:rsidR="00EB3A45">
        <w:t>have</w:t>
      </w:r>
      <w:r w:rsidRPr="004B197C">
        <w:t xml:space="preserve"> reviewed our current EMC device categories </w:t>
      </w:r>
      <w:r w:rsidR="00565A74">
        <w:t xml:space="preserve">of </w:t>
      </w:r>
      <w:r w:rsidR="00EF5748">
        <w:t>high-risk</w:t>
      </w:r>
      <w:r w:rsidR="00565A74">
        <w:t xml:space="preserve"> device, </w:t>
      </w:r>
      <w:r w:rsidR="00EF5748">
        <w:t>medium-risk</w:t>
      </w:r>
      <w:r w:rsidR="00565A74">
        <w:t xml:space="preserve"> device, </w:t>
      </w:r>
      <w:r w:rsidR="00EF5748">
        <w:t>low-risk</w:t>
      </w:r>
      <w:r w:rsidR="00565A74">
        <w:t xml:space="preserve"> device and battery-powered device </w:t>
      </w:r>
      <w:r w:rsidR="00635696">
        <w:t xml:space="preserve">and identified areas of </w:t>
      </w:r>
      <w:r w:rsidR="00911C03">
        <w:t xml:space="preserve">potential </w:t>
      </w:r>
      <w:r w:rsidR="00635696">
        <w:t xml:space="preserve">improvement to </w:t>
      </w:r>
      <w:r>
        <w:t>better align device categorisation with the risks associated with the respective categories.</w:t>
      </w:r>
      <w:r w:rsidR="00635696">
        <w:t xml:space="preserve"> </w:t>
      </w:r>
      <w:r w:rsidR="00565A74">
        <w:t xml:space="preserve"> </w:t>
      </w:r>
    </w:p>
    <w:p w14:paraId="4C2EB506" w14:textId="183DA084" w:rsidR="007927E7" w:rsidRPr="003D0A2B" w:rsidRDefault="00EF5748" w:rsidP="002214F0">
      <w:pPr>
        <w:pStyle w:val="Heading4"/>
      </w:pPr>
      <w:r>
        <w:t>High-risk</w:t>
      </w:r>
      <w:r w:rsidR="007927E7" w:rsidRPr="003D0A2B">
        <w:t xml:space="preserve"> device</w:t>
      </w:r>
    </w:p>
    <w:p w14:paraId="5C2CC68E" w14:textId="30527543" w:rsidR="004322B0" w:rsidRDefault="00473D5B" w:rsidP="002214F0">
      <w:pPr>
        <w:pStyle w:val="ListBullet2"/>
        <w:numPr>
          <w:ilvl w:val="0"/>
          <w:numId w:val="0"/>
        </w:numPr>
        <w:spacing w:before="60" w:after="240" w:line="240" w:lineRule="auto"/>
      </w:pPr>
      <w:r w:rsidRPr="004B197C">
        <w:t xml:space="preserve">A </w:t>
      </w:r>
      <w:r w:rsidR="00EF5748">
        <w:t>high-risk</w:t>
      </w:r>
      <w:r w:rsidRPr="004B197C">
        <w:t xml:space="preserve"> device</w:t>
      </w:r>
      <w:r w:rsidR="00C07FD4" w:rsidRPr="004B197C">
        <w:t xml:space="preserve"> </w:t>
      </w:r>
      <w:r w:rsidR="00484FE4">
        <w:t xml:space="preserve">covers </w:t>
      </w:r>
      <w:r w:rsidR="00273B2B" w:rsidRPr="004B197C">
        <w:t xml:space="preserve">Group 2 </w:t>
      </w:r>
      <w:r w:rsidRPr="004B197C">
        <w:t>I</w:t>
      </w:r>
      <w:r w:rsidR="00273B2B" w:rsidRPr="004B197C">
        <w:t xml:space="preserve">SM equipment </w:t>
      </w:r>
      <w:r w:rsidR="00C07FD4" w:rsidRPr="004B197C">
        <w:t>as defined in AS/NZS CISPR 11:2011</w:t>
      </w:r>
      <w:r w:rsidR="007B0F2E">
        <w:t xml:space="preserve"> (CISPR 11)</w:t>
      </w:r>
      <w:r w:rsidR="00C07FD4" w:rsidRPr="004B197C">
        <w:t xml:space="preserve">. This </w:t>
      </w:r>
      <w:r w:rsidR="00273B2B" w:rsidRPr="004B197C">
        <w:t>has the effect of requiring suppliers</w:t>
      </w:r>
      <w:r w:rsidR="00C07FD4" w:rsidRPr="004B197C">
        <w:t xml:space="preserve"> of Group 2 ISM equipment</w:t>
      </w:r>
      <w:r w:rsidR="00273B2B" w:rsidRPr="004B197C">
        <w:t xml:space="preserve"> to obtain accredited test reports</w:t>
      </w:r>
      <w:r w:rsidR="00484FE4">
        <w:t xml:space="preserve"> </w:t>
      </w:r>
      <w:r w:rsidR="00273B2B" w:rsidRPr="004B197C">
        <w:t>to demonstrate compliance with the applicable EMC standard.</w:t>
      </w:r>
      <w:r w:rsidR="00273B2B" w:rsidRPr="004B197C">
        <w:rPr>
          <w:rStyle w:val="FootnoteReference"/>
        </w:rPr>
        <w:footnoteReference w:id="49"/>
      </w:r>
      <w:r w:rsidR="00484FE4">
        <w:t xml:space="preserve"> </w:t>
      </w:r>
    </w:p>
    <w:p w14:paraId="501F78D1" w14:textId="27083BE9" w:rsidR="000A048C" w:rsidRPr="004B197C" w:rsidRDefault="000A048C" w:rsidP="00643CC3">
      <w:pPr>
        <w:pStyle w:val="ListBullet2"/>
        <w:numPr>
          <w:ilvl w:val="0"/>
          <w:numId w:val="0"/>
        </w:numPr>
        <w:spacing w:before="240" w:after="240" w:line="240" w:lineRule="auto"/>
      </w:pPr>
      <w:r>
        <w:t>Group 2 ISM equipment contains all ISM RF equipment in which radio-frequency energy is intentionally generated and used in the form of electromagnetic radiation, inductive and/or capacitive coupling, for the treatment of material, for inspection/analysis purposes, or for the transfer of electromagnetic energy.</w:t>
      </w:r>
    </w:p>
    <w:p w14:paraId="4695CB59" w14:textId="1A092014" w:rsidR="00466A68" w:rsidRDefault="00C07FD4" w:rsidP="00C07FD4">
      <w:pPr>
        <w:pStyle w:val="ListBullet2"/>
        <w:numPr>
          <w:ilvl w:val="0"/>
          <w:numId w:val="0"/>
        </w:numPr>
        <w:spacing w:before="240" w:after="240" w:line="240" w:lineRule="auto"/>
      </w:pPr>
      <w:r w:rsidRPr="004B197C">
        <w:t>Examples of G</w:t>
      </w:r>
      <w:r w:rsidR="00466A68" w:rsidRPr="004B197C">
        <w:t xml:space="preserve">roup 2 </w:t>
      </w:r>
      <w:r w:rsidRPr="004B197C">
        <w:t>ISM equipment include microwave-powered UV irradiating apparatus</w:t>
      </w:r>
      <w:r w:rsidR="00911C03">
        <w:t>es</w:t>
      </w:r>
      <w:r w:rsidRPr="004B197C">
        <w:t>, industrial inducti</w:t>
      </w:r>
      <w:r w:rsidR="006650D3">
        <w:t>on</w:t>
      </w:r>
      <w:r w:rsidRPr="004B197C">
        <w:t xml:space="preserve"> heating equipment operating at frequencies above </w:t>
      </w:r>
      <w:r w:rsidR="00F07738">
        <w:br/>
      </w:r>
      <w:r w:rsidRPr="004B197C">
        <w:t>9 kHz, microwave ovens, medical electrical equipment</w:t>
      </w:r>
      <w:r w:rsidR="000069A5">
        <w:t xml:space="preserve">, </w:t>
      </w:r>
      <w:r w:rsidRPr="004B197C">
        <w:t>electric welding equipment</w:t>
      </w:r>
      <w:r w:rsidR="000069A5">
        <w:t xml:space="preserve"> and </w:t>
      </w:r>
      <w:r w:rsidR="000069A5" w:rsidRPr="004B197C">
        <w:t>inductive power transfer/charging equipment</w:t>
      </w:r>
      <w:r w:rsidR="000069A5">
        <w:t>.</w:t>
      </w:r>
    </w:p>
    <w:p w14:paraId="6F3C936F" w14:textId="27310ECB" w:rsidR="000069A5" w:rsidRDefault="000069A5" w:rsidP="000069A5">
      <w:pPr>
        <w:pStyle w:val="ListBullet2"/>
        <w:numPr>
          <w:ilvl w:val="0"/>
          <w:numId w:val="0"/>
        </w:numPr>
        <w:spacing w:before="240" w:after="240" w:line="240" w:lineRule="auto"/>
      </w:pPr>
      <w:r>
        <w:t>Inductive power transfer is now widely used in range of devices</w:t>
      </w:r>
      <w:r w:rsidR="00CA0404">
        <w:t xml:space="preserve"> </w:t>
      </w:r>
      <w:r w:rsidR="00E557CA">
        <w:t>such as</w:t>
      </w:r>
      <w:r>
        <w:t xml:space="preserve"> </w:t>
      </w:r>
      <w:r w:rsidR="003E711C">
        <w:t xml:space="preserve">wireless </w:t>
      </w:r>
      <w:r>
        <w:t>chargers for phones, electronic wearables and electric toothbrushes</w:t>
      </w:r>
      <w:r w:rsidR="00CA0404">
        <w:t xml:space="preserve">, induction cooktops, </w:t>
      </w:r>
      <w:r w:rsidR="004841D8">
        <w:t>implantable medical devices,</w:t>
      </w:r>
      <w:r w:rsidR="00E557CA">
        <w:t xml:space="preserve"> </w:t>
      </w:r>
      <w:r>
        <w:t xml:space="preserve">electric vehicles and electric </w:t>
      </w:r>
      <w:proofErr w:type="gramStart"/>
      <w:r>
        <w:t>vehicle</w:t>
      </w:r>
      <w:proofErr w:type="gramEnd"/>
      <w:r>
        <w:t xml:space="preserve"> (EV) charging stations</w:t>
      </w:r>
      <w:r w:rsidR="00E557CA">
        <w:t>.</w:t>
      </w:r>
    </w:p>
    <w:p w14:paraId="6360443E" w14:textId="02F0600D" w:rsidR="00560A01" w:rsidRDefault="000A048C" w:rsidP="00DF6A6D">
      <w:pPr>
        <w:pStyle w:val="ListBullet2"/>
        <w:numPr>
          <w:ilvl w:val="0"/>
          <w:numId w:val="0"/>
        </w:numPr>
        <w:spacing w:before="240" w:after="240" w:line="240" w:lineRule="auto"/>
      </w:pPr>
      <w:r>
        <w:t xml:space="preserve">Typically, inductive power transfer </w:t>
      </w:r>
      <w:r w:rsidR="00D74299">
        <w:t xml:space="preserve">devices </w:t>
      </w:r>
      <w:r>
        <w:t xml:space="preserve">would be scoped under Group 2 ISM equipment and therefore fall under the category of a </w:t>
      </w:r>
      <w:r w:rsidR="00EF5748">
        <w:t>high-risk</w:t>
      </w:r>
      <w:r>
        <w:t xml:space="preserve"> device. </w:t>
      </w:r>
      <w:r w:rsidR="00560A01">
        <w:t xml:space="preserve">We are concerned that certain low-powered inductive power transfer devices do not carry a </w:t>
      </w:r>
      <w:r w:rsidR="00A234DE">
        <w:t>high</w:t>
      </w:r>
      <w:r w:rsidR="00EF5748">
        <w:t xml:space="preserve"> </w:t>
      </w:r>
      <w:r w:rsidR="00A234DE">
        <w:t>risk</w:t>
      </w:r>
      <w:r w:rsidR="00560A01">
        <w:t xml:space="preserve"> of interference, and are therefore inappropriately scoped as a </w:t>
      </w:r>
      <w:r w:rsidR="00EF5748">
        <w:t>high-risk</w:t>
      </w:r>
      <w:r w:rsidR="00560A01">
        <w:t xml:space="preserve"> device. For example, w</w:t>
      </w:r>
      <w:r w:rsidR="003E711C">
        <w:t>ireless</w:t>
      </w:r>
      <w:r w:rsidR="00CC2B76">
        <w:t xml:space="preserve"> chargers for phones, electronic wearables and electric toothbrushes are unlikely to pose a high risk of interference</w:t>
      </w:r>
      <w:r w:rsidR="00A75AF9">
        <w:t xml:space="preserve"> due to t</w:t>
      </w:r>
      <w:r w:rsidR="001361E4">
        <w:t>heir low power</w:t>
      </w:r>
      <w:r w:rsidR="00CC2B76">
        <w:t xml:space="preserve">. </w:t>
      </w:r>
    </w:p>
    <w:p w14:paraId="49EB0707" w14:textId="165667A2" w:rsidR="00560A01" w:rsidRDefault="00560A01" w:rsidP="00DF6A6D">
      <w:pPr>
        <w:pStyle w:val="ListBullet2"/>
        <w:numPr>
          <w:ilvl w:val="0"/>
          <w:numId w:val="0"/>
        </w:numPr>
        <w:spacing w:before="240" w:after="240" w:line="240" w:lineRule="auto"/>
      </w:pPr>
      <w:r>
        <w:t xml:space="preserve">We consider there are </w:t>
      </w:r>
      <w:r w:rsidR="00EC5195">
        <w:t xml:space="preserve">2 </w:t>
      </w:r>
      <w:r>
        <w:t>options for potentially narrowing</w:t>
      </w:r>
      <w:r w:rsidR="00CC2B76">
        <w:t xml:space="preserve"> the scope of </w:t>
      </w:r>
      <w:r>
        <w:t xml:space="preserve">a </w:t>
      </w:r>
      <w:r w:rsidR="00EF5748">
        <w:t>high-risk</w:t>
      </w:r>
      <w:r>
        <w:t xml:space="preserve"> device to ensure low-powered inductive power transfer devices are not included</w:t>
      </w:r>
      <w:r w:rsidR="00860370">
        <w:t xml:space="preserve"> in the definition of a </w:t>
      </w:r>
      <w:r w:rsidR="00EF5748">
        <w:t>high-risk</w:t>
      </w:r>
      <w:r w:rsidR="00860370">
        <w:t xml:space="preserve"> device</w:t>
      </w:r>
      <w:r>
        <w:t>.</w:t>
      </w:r>
    </w:p>
    <w:p w14:paraId="4FE25E26" w14:textId="2568AC71" w:rsidR="00560A01" w:rsidRDefault="00560A01" w:rsidP="00DF6A6D">
      <w:pPr>
        <w:pStyle w:val="ListBullet2"/>
        <w:numPr>
          <w:ilvl w:val="0"/>
          <w:numId w:val="0"/>
        </w:numPr>
        <w:spacing w:before="240" w:after="240" w:line="240" w:lineRule="auto"/>
      </w:pPr>
      <w:r>
        <w:t xml:space="preserve">Firstly, </w:t>
      </w:r>
      <w:r w:rsidR="00D410C5">
        <w:t xml:space="preserve">this could be done by </w:t>
      </w:r>
      <w:r>
        <w:t xml:space="preserve">proposing to adopt the latest version of </w:t>
      </w:r>
      <w:r w:rsidR="00257FE6">
        <w:t xml:space="preserve">AS </w:t>
      </w:r>
      <w:r>
        <w:t xml:space="preserve">CISPR 11 when the relevant EMC requirements are incorporated into the General Equipment Rules. The latest version of </w:t>
      </w:r>
      <w:r w:rsidR="00257FE6">
        <w:t xml:space="preserve">AS </w:t>
      </w:r>
      <w:r>
        <w:t xml:space="preserve">CISPR 11 includes a note that allows devices which are captured by another applicable EMC industry standard </w:t>
      </w:r>
      <w:r w:rsidR="00952DB4">
        <w:t>to</w:t>
      </w:r>
      <w:r>
        <w:t xml:space="preserve"> be excluded from the </w:t>
      </w:r>
      <w:r w:rsidR="00CC2B76">
        <w:t xml:space="preserve">Group </w:t>
      </w:r>
      <w:r w:rsidR="00EB3A45">
        <w:t xml:space="preserve">2 </w:t>
      </w:r>
      <w:r w:rsidR="00CC2B76">
        <w:t xml:space="preserve">ISM equipment and </w:t>
      </w:r>
      <w:r>
        <w:t>therefore would not be considered a</w:t>
      </w:r>
      <w:r w:rsidR="00A234DE">
        <w:t>s</w:t>
      </w:r>
      <w:r>
        <w:t xml:space="preserve"> </w:t>
      </w:r>
      <w:r w:rsidR="00EF5748">
        <w:t>high-risk</w:t>
      </w:r>
      <w:r>
        <w:t xml:space="preserve"> device</w:t>
      </w:r>
      <w:r w:rsidR="00911C03">
        <w:t>s</w:t>
      </w:r>
      <w:r>
        <w:t xml:space="preserve">. </w:t>
      </w:r>
    </w:p>
    <w:p w14:paraId="78B65A14" w14:textId="59D33C66" w:rsidR="00560A01" w:rsidRDefault="00D410C5" w:rsidP="00DF6A6D">
      <w:pPr>
        <w:pStyle w:val="ListBullet2"/>
        <w:numPr>
          <w:ilvl w:val="0"/>
          <w:numId w:val="0"/>
        </w:numPr>
        <w:spacing w:before="240" w:after="240" w:line="240" w:lineRule="auto"/>
      </w:pPr>
      <w:r>
        <w:t xml:space="preserve">Alternatively, we could </w:t>
      </w:r>
      <w:r w:rsidR="00560A01">
        <w:t xml:space="preserve">specifically exclude low-powered inductive power transfer devices from the definition of </w:t>
      </w:r>
      <w:r w:rsidR="00EF5748">
        <w:t>high-risk</w:t>
      </w:r>
      <w:r w:rsidR="00560A01">
        <w:t xml:space="preserve"> device</w:t>
      </w:r>
      <w:r w:rsidR="003D0A2B">
        <w:t xml:space="preserve"> in our EMC regulation</w:t>
      </w:r>
      <w:r w:rsidR="00560A01">
        <w:t>.</w:t>
      </w:r>
      <w:r>
        <w:t xml:space="preserve"> This may be beneficial as it provides greater clarity to suppliers who have an interest in how our EMC regulatory arrangements apply to these kinds of devices. </w:t>
      </w:r>
    </w:p>
    <w:p w14:paraId="39D0AD66" w14:textId="5D99C876" w:rsidR="00224C29" w:rsidRDefault="00D410C5" w:rsidP="00E74057">
      <w:pPr>
        <w:pStyle w:val="ListBullet2"/>
        <w:numPr>
          <w:ilvl w:val="0"/>
          <w:numId w:val="0"/>
        </w:numPr>
        <w:spacing w:before="240" w:after="240" w:line="240" w:lineRule="auto"/>
      </w:pPr>
      <w:r>
        <w:lastRenderedPageBreak/>
        <w:t xml:space="preserve">We consider one </w:t>
      </w:r>
      <w:r w:rsidR="003637B1">
        <w:t xml:space="preserve">or both </w:t>
      </w:r>
      <w:r>
        <w:t>of the options to exclude low-powered inductive power transfer devices is necessary, as improvements in technology mean that t</w:t>
      </w:r>
      <w:r w:rsidR="00CC2B76">
        <w:t xml:space="preserve">hese devices </w:t>
      </w:r>
      <w:r w:rsidR="00D76A81">
        <w:t xml:space="preserve">should </w:t>
      </w:r>
      <w:r>
        <w:t xml:space="preserve">no longer </w:t>
      </w:r>
      <w:r w:rsidR="00D76A81">
        <w:t xml:space="preserve">be considered </w:t>
      </w:r>
      <w:r w:rsidR="00EF5748">
        <w:t>high-risk</w:t>
      </w:r>
      <w:r w:rsidR="00D76A81">
        <w:t xml:space="preserve"> devices of the sort which the </w:t>
      </w:r>
      <w:r w:rsidR="00CC2B76">
        <w:t xml:space="preserve">Group </w:t>
      </w:r>
      <w:r w:rsidR="00EB3A45">
        <w:t xml:space="preserve">2 </w:t>
      </w:r>
      <w:r w:rsidR="00CC2B76">
        <w:t xml:space="preserve">ISM equipment </w:t>
      </w:r>
      <w:r w:rsidR="00D76A81">
        <w:t xml:space="preserve">definition </w:t>
      </w:r>
      <w:r>
        <w:t xml:space="preserve">was directed at capturing </w:t>
      </w:r>
      <w:r w:rsidR="00D76A81">
        <w:t>(i.e.</w:t>
      </w:r>
      <w:r w:rsidR="00F07738">
        <w:t>,</w:t>
      </w:r>
      <w:r w:rsidR="00D76A81">
        <w:t xml:space="preserve"> </w:t>
      </w:r>
      <w:r>
        <w:t>high-powered industrial applications</w:t>
      </w:r>
      <w:r w:rsidR="00D76A81">
        <w:t>)</w:t>
      </w:r>
      <w:r>
        <w:t xml:space="preserve">. </w:t>
      </w:r>
      <w:r w:rsidR="004E156E">
        <w:t>By excluding</w:t>
      </w:r>
      <w:r>
        <w:t xml:space="preserve"> low-powered inductive power transfer devices </w:t>
      </w:r>
      <w:r w:rsidR="004E156E">
        <w:t xml:space="preserve">from </w:t>
      </w:r>
      <w:r w:rsidR="00D76A81">
        <w:t>the</w:t>
      </w:r>
      <w:r w:rsidR="004E156E">
        <w:t xml:space="preserve"> </w:t>
      </w:r>
      <w:r w:rsidR="00EF5748">
        <w:t>high-risk</w:t>
      </w:r>
      <w:r w:rsidR="004E156E">
        <w:t xml:space="preserve"> device</w:t>
      </w:r>
      <w:r w:rsidR="00D76A81">
        <w:t xml:space="preserve"> category</w:t>
      </w:r>
      <w:r w:rsidR="004E156E">
        <w:t xml:space="preserve">, they are likely to be classified as a </w:t>
      </w:r>
      <w:r w:rsidR="00EF5748">
        <w:t>medium-risk</w:t>
      </w:r>
      <w:r w:rsidR="004E156E">
        <w:t xml:space="preserve"> device. This will</w:t>
      </w:r>
      <w:r>
        <w:t xml:space="preserve"> reduce compliance costs for suppliers</w:t>
      </w:r>
      <w:r w:rsidR="004E156E">
        <w:t xml:space="preserve"> as </w:t>
      </w:r>
      <w:r w:rsidR="00BC0E53">
        <w:t xml:space="preserve">while they will still have to provide a test report for compliance, it </w:t>
      </w:r>
      <w:r w:rsidR="004E156E">
        <w:t xml:space="preserve">will no longer </w:t>
      </w:r>
      <w:r w:rsidR="00BC0E53">
        <w:t xml:space="preserve">need to be </w:t>
      </w:r>
      <w:r w:rsidR="004E156E">
        <w:t>an accredited test report.</w:t>
      </w:r>
      <w:r>
        <w:t xml:space="preserve"> </w:t>
      </w:r>
    </w:p>
    <w:p w14:paraId="1D9C2A61" w14:textId="208A17C4" w:rsidR="00E12ED5" w:rsidRPr="00E162C4" w:rsidRDefault="008D68DB" w:rsidP="00E12ED5">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rsidRPr="00834BEC">
        <w:t>Question</w:t>
      </w:r>
      <w:r w:rsidDel="008D68DB">
        <w:t xml:space="preserve"> </w:t>
      </w:r>
      <w:r w:rsidR="00E12ED5">
        <w:t>3</w:t>
      </w:r>
    </w:p>
    <w:p w14:paraId="0B128B01" w14:textId="64B20B2E" w:rsidR="00E12ED5" w:rsidRPr="00E162C4" w:rsidRDefault="00E12ED5" w:rsidP="00E12ED5">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Do you have any comments on </w:t>
      </w:r>
      <w:r w:rsidR="007E066C">
        <w:t>the options to exclude</w:t>
      </w:r>
      <w:r>
        <w:t xml:space="preserve"> specified low-powered inductive power transfer devices such </w:t>
      </w:r>
      <w:r w:rsidR="00EB0CC5">
        <w:t>as</w:t>
      </w:r>
      <w:r w:rsidR="00224C29">
        <w:t xml:space="preserve"> </w:t>
      </w:r>
      <w:r w:rsidR="001A023A">
        <w:t>wireless</w:t>
      </w:r>
      <w:r>
        <w:t xml:space="preserve"> chargers for phones, electronic wearables and electric toothbrushes from the definition of a </w:t>
      </w:r>
      <w:r w:rsidR="00EF5748">
        <w:t>high-risk</w:t>
      </w:r>
      <w:r>
        <w:t xml:space="preserve"> device?</w:t>
      </w:r>
    </w:p>
    <w:p w14:paraId="56F80DC8" w14:textId="08D8BB52" w:rsidR="0094566C" w:rsidRDefault="0094566C" w:rsidP="007927E7">
      <w:pPr>
        <w:pStyle w:val="Heading3"/>
        <w:rPr>
          <w:i/>
          <w:iCs/>
        </w:rPr>
      </w:pPr>
    </w:p>
    <w:p w14:paraId="41013885" w14:textId="3E45255D" w:rsidR="007927E7" w:rsidRPr="006F4FBB" w:rsidRDefault="00EF5748" w:rsidP="007927E7">
      <w:pPr>
        <w:pStyle w:val="Heading3"/>
        <w:rPr>
          <w:i/>
          <w:iCs/>
        </w:rPr>
      </w:pPr>
      <w:r>
        <w:rPr>
          <w:i/>
          <w:iCs/>
        </w:rPr>
        <w:t>Medium-risk</w:t>
      </w:r>
      <w:r w:rsidR="007927E7" w:rsidRPr="006F4FBB">
        <w:rPr>
          <w:i/>
          <w:iCs/>
        </w:rPr>
        <w:t xml:space="preserve"> device</w:t>
      </w:r>
    </w:p>
    <w:p w14:paraId="4A27C37F" w14:textId="77797301" w:rsidR="007927E7" w:rsidRDefault="00455DA5" w:rsidP="007927E7">
      <w:pPr>
        <w:pStyle w:val="Paragraph"/>
        <w:spacing w:after="80"/>
        <w:rPr>
          <w:szCs w:val="20"/>
        </w:rPr>
      </w:pPr>
      <w:r>
        <w:rPr>
          <w:szCs w:val="20"/>
        </w:rPr>
        <w:t xml:space="preserve">A </w:t>
      </w:r>
      <w:r w:rsidR="00EF5748">
        <w:rPr>
          <w:szCs w:val="20"/>
        </w:rPr>
        <w:t>medium-risk</w:t>
      </w:r>
      <w:r>
        <w:rPr>
          <w:szCs w:val="20"/>
        </w:rPr>
        <w:t xml:space="preserve"> device is defined by whether it contains </w:t>
      </w:r>
      <w:r w:rsidR="007927E7">
        <w:rPr>
          <w:szCs w:val="20"/>
        </w:rPr>
        <w:t>one or more of the following components</w:t>
      </w:r>
      <w:r>
        <w:rPr>
          <w:szCs w:val="20"/>
        </w:rPr>
        <w:t xml:space="preserve"> </w:t>
      </w:r>
      <w:r w:rsidR="007927E7">
        <w:rPr>
          <w:szCs w:val="20"/>
        </w:rPr>
        <w:t xml:space="preserve">(provided it is not captured by </w:t>
      </w:r>
      <w:r w:rsidR="00911C03">
        <w:rPr>
          <w:szCs w:val="20"/>
        </w:rPr>
        <w:t xml:space="preserve">the </w:t>
      </w:r>
      <w:r w:rsidR="007927E7">
        <w:rPr>
          <w:szCs w:val="20"/>
        </w:rPr>
        <w:t>definition</w:t>
      </w:r>
      <w:r w:rsidR="00911C03">
        <w:rPr>
          <w:szCs w:val="20"/>
        </w:rPr>
        <w:t>s</w:t>
      </w:r>
      <w:r w:rsidR="007927E7">
        <w:rPr>
          <w:szCs w:val="20"/>
        </w:rPr>
        <w:t xml:space="preserve"> of a </w:t>
      </w:r>
      <w:r w:rsidR="00EF5748">
        <w:rPr>
          <w:szCs w:val="20"/>
        </w:rPr>
        <w:t>high-risk</w:t>
      </w:r>
      <w:r w:rsidR="007927E7">
        <w:rPr>
          <w:szCs w:val="20"/>
        </w:rPr>
        <w:t xml:space="preserve"> device or battery-powered device):</w:t>
      </w:r>
    </w:p>
    <w:p w14:paraId="7283C3FD" w14:textId="77777777" w:rsidR="007927E7" w:rsidRPr="00B102C8" w:rsidRDefault="007927E7" w:rsidP="007927E7">
      <w:pPr>
        <w:pStyle w:val="Bulletlevel1"/>
      </w:pPr>
      <w:r>
        <w:t>a switch mode power supply</w:t>
      </w:r>
    </w:p>
    <w:p w14:paraId="4402AD7B" w14:textId="77777777" w:rsidR="007927E7" w:rsidRDefault="007927E7" w:rsidP="007927E7">
      <w:pPr>
        <w:pStyle w:val="Bulletlevel1"/>
      </w:pPr>
      <w:r>
        <w:t xml:space="preserve">a transistor switching </w:t>
      </w:r>
      <w:proofErr w:type="gramStart"/>
      <w:r>
        <w:t>circuit</w:t>
      </w:r>
      <w:proofErr w:type="gramEnd"/>
    </w:p>
    <w:p w14:paraId="35C6292B" w14:textId="77777777" w:rsidR="007927E7" w:rsidRDefault="007927E7" w:rsidP="007927E7">
      <w:pPr>
        <w:pStyle w:val="Bulletlevel1"/>
      </w:pPr>
      <w:r>
        <w:t>a microprocessor</w:t>
      </w:r>
    </w:p>
    <w:p w14:paraId="0E26162A" w14:textId="77777777" w:rsidR="007927E7" w:rsidRDefault="007927E7" w:rsidP="007927E7">
      <w:pPr>
        <w:pStyle w:val="Bulletlevel1"/>
      </w:pPr>
      <w:r>
        <w:t>a commutator</w:t>
      </w:r>
    </w:p>
    <w:p w14:paraId="662CFDEE" w14:textId="77777777" w:rsidR="007927E7" w:rsidRDefault="007927E7" w:rsidP="007927E7">
      <w:pPr>
        <w:pStyle w:val="Bulletlevel1"/>
      </w:pPr>
      <w:r>
        <w:t>a slip-ring motor</w:t>
      </w:r>
    </w:p>
    <w:p w14:paraId="671687E6" w14:textId="7603983D" w:rsidR="007927E7" w:rsidRDefault="007927E7" w:rsidP="007927E7">
      <w:pPr>
        <w:pStyle w:val="Bulletlevel1"/>
        <w:spacing w:after="240"/>
      </w:pPr>
      <w:r>
        <w:t>an electronic device operating in a switching mode or a non-linear mode</w:t>
      </w:r>
      <w:r w:rsidR="00F07738">
        <w:t>.</w:t>
      </w:r>
      <w:r w:rsidR="00403A6D">
        <w:rPr>
          <w:rStyle w:val="FootnoteReference"/>
        </w:rPr>
        <w:footnoteReference w:id="50"/>
      </w:r>
    </w:p>
    <w:p w14:paraId="666866BB" w14:textId="2590BF4A" w:rsidR="000609A8" w:rsidRDefault="00C2491D" w:rsidP="000609A8">
      <w:pPr>
        <w:pStyle w:val="Paragraph"/>
        <w:rPr>
          <w:szCs w:val="20"/>
        </w:rPr>
      </w:pPr>
      <w:r>
        <w:t xml:space="preserve">During the 2008 ACMA </w:t>
      </w:r>
      <w:r w:rsidR="00F07738">
        <w:t>t</w:t>
      </w:r>
      <w:r>
        <w:t xml:space="preserve">echnical </w:t>
      </w:r>
      <w:r w:rsidR="00F07738">
        <w:t>w</w:t>
      </w:r>
      <w:r>
        <w:t xml:space="preserve">orking </w:t>
      </w:r>
      <w:r w:rsidR="00F07738">
        <w:t>g</w:t>
      </w:r>
      <w:r>
        <w:t>roup meeting, the majority of participants a</w:t>
      </w:r>
      <w:r w:rsidR="00043EA0">
        <w:t>greed</w:t>
      </w:r>
      <w:r>
        <w:t xml:space="preserve"> that </w:t>
      </w:r>
      <w:r>
        <w:rPr>
          <w:szCs w:val="20"/>
        </w:rPr>
        <w:t>d</w:t>
      </w:r>
      <w:r w:rsidR="007927E7">
        <w:rPr>
          <w:szCs w:val="20"/>
        </w:rPr>
        <w:t>evices containing any of the above</w:t>
      </w:r>
      <w:r>
        <w:rPr>
          <w:szCs w:val="20"/>
        </w:rPr>
        <w:t xml:space="preserve"> minimum</w:t>
      </w:r>
      <w:r w:rsidR="007927E7">
        <w:rPr>
          <w:szCs w:val="20"/>
        </w:rPr>
        <w:t xml:space="preserve"> components </w:t>
      </w:r>
      <w:r w:rsidR="00361AF7">
        <w:rPr>
          <w:szCs w:val="20"/>
        </w:rPr>
        <w:t>should be categorised as</w:t>
      </w:r>
      <w:r w:rsidR="007927E7">
        <w:rPr>
          <w:szCs w:val="20"/>
        </w:rPr>
        <w:t xml:space="preserve"> </w:t>
      </w:r>
      <w:proofErr w:type="gramStart"/>
      <w:r w:rsidR="00EF5748">
        <w:rPr>
          <w:szCs w:val="20"/>
        </w:rPr>
        <w:t>medium-risk</w:t>
      </w:r>
      <w:proofErr w:type="gramEnd"/>
      <w:r w:rsidR="007927E7">
        <w:rPr>
          <w:szCs w:val="20"/>
        </w:rPr>
        <w:t xml:space="preserve">. </w:t>
      </w:r>
    </w:p>
    <w:p w14:paraId="5A3655C9" w14:textId="2671F253" w:rsidR="005A67B7" w:rsidRDefault="000609A8" w:rsidP="008F499F">
      <w:pPr>
        <w:pStyle w:val="Paragraph"/>
        <w:rPr>
          <w:szCs w:val="20"/>
        </w:rPr>
      </w:pPr>
      <w:r>
        <w:t xml:space="preserve">We have considered whether the definition of </w:t>
      </w:r>
      <w:r w:rsidR="00EF5748">
        <w:t>medium-risk</w:t>
      </w:r>
      <w:r>
        <w:t xml:space="preserve"> device </w:t>
      </w:r>
      <w:r w:rsidR="00EB0CC5">
        <w:t xml:space="preserve">accurately reflects </w:t>
      </w:r>
      <w:r>
        <w:t xml:space="preserve">the risk of interference of devices associated with this category, </w:t>
      </w:r>
      <w:r w:rsidR="00EB0CC5">
        <w:t xml:space="preserve">specifically </w:t>
      </w:r>
      <w:r>
        <w:t>noting technological developments over the last 15 years.</w:t>
      </w:r>
      <w:r w:rsidR="00224C29">
        <w:t xml:space="preserve"> </w:t>
      </w:r>
      <w:r w:rsidR="00074767">
        <w:rPr>
          <w:szCs w:val="20"/>
        </w:rPr>
        <w:t xml:space="preserve">For example, </w:t>
      </w:r>
      <w:r w:rsidR="00EB476B">
        <w:rPr>
          <w:szCs w:val="20"/>
        </w:rPr>
        <w:t>the</w:t>
      </w:r>
      <w:r w:rsidR="007927E7">
        <w:rPr>
          <w:szCs w:val="20"/>
        </w:rPr>
        <w:t xml:space="preserve"> ma</w:t>
      </w:r>
      <w:r w:rsidR="00670A01">
        <w:rPr>
          <w:szCs w:val="20"/>
        </w:rPr>
        <w:t>jority of devices</w:t>
      </w:r>
      <w:r w:rsidR="007927E7">
        <w:rPr>
          <w:szCs w:val="20"/>
        </w:rPr>
        <w:t xml:space="preserve"> now contain microprocessors to increase their efficiency and effectiveness.</w:t>
      </w:r>
      <w:r w:rsidR="00234406">
        <w:rPr>
          <w:szCs w:val="20"/>
        </w:rPr>
        <w:t xml:space="preserve"> In practice, this means more devices are now c</w:t>
      </w:r>
      <w:r w:rsidR="00EE1F42">
        <w:rPr>
          <w:szCs w:val="20"/>
        </w:rPr>
        <w:t>ategorised</w:t>
      </w:r>
      <w:r w:rsidR="008D6F61">
        <w:rPr>
          <w:szCs w:val="20"/>
        </w:rPr>
        <w:t xml:space="preserve"> as</w:t>
      </w:r>
      <w:r w:rsidR="00234406">
        <w:rPr>
          <w:szCs w:val="20"/>
        </w:rPr>
        <w:t xml:space="preserve"> </w:t>
      </w:r>
      <w:proofErr w:type="gramStart"/>
      <w:r w:rsidR="00EF5748">
        <w:rPr>
          <w:szCs w:val="20"/>
        </w:rPr>
        <w:t>medium-risk</w:t>
      </w:r>
      <w:proofErr w:type="gramEnd"/>
      <w:r w:rsidR="00234406">
        <w:rPr>
          <w:szCs w:val="20"/>
        </w:rPr>
        <w:t xml:space="preserve"> </w:t>
      </w:r>
      <w:r w:rsidR="00EE1F42">
        <w:rPr>
          <w:szCs w:val="20"/>
        </w:rPr>
        <w:t>because they</w:t>
      </w:r>
      <w:r w:rsidR="00074767">
        <w:rPr>
          <w:szCs w:val="20"/>
        </w:rPr>
        <w:t xml:space="preserve"> include</w:t>
      </w:r>
      <w:r w:rsidR="00EE1F42">
        <w:rPr>
          <w:szCs w:val="20"/>
        </w:rPr>
        <w:t xml:space="preserve"> </w:t>
      </w:r>
      <w:r w:rsidR="00074767">
        <w:rPr>
          <w:szCs w:val="20"/>
        </w:rPr>
        <w:t xml:space="preserve">a </w:t>
      </w:r>
      <w:r w:rsidR="00EE1F42">
        <w:rPr>
          <w:szCs w:val="20"/>
        </w:rPr>
        <w:t>microprocessor</w:t>
      </w:r>
      <w:r w:rsidR="00817F1A">
        <w:rPr>
          <w:szCs w:val="20"/>
        </w:rPr>
        <w:t>,</w:t>
      </w:r>
      <w:r w:rsidR="00EE1F42">
        <w:rPr>
          <w:szCs w:val="20"/>
        </w:rPr>
        <w:t xml:space="preserve"> although this may not appropriately reflect the</w:t>
      </w:r>
      <w:r w:rsidR="00074767">
        <w:rPr>
          <w:szCs w:val="20"/>
        </w:rPr>
        <w:t xml:space="preserve"> device’s</w:t>
      </w:r>
      <w:r w:rsidR="00EE1F42">
        <w:rPr>
          <w:szCs w:val="20"/>
        </w:rPr>
        <w:t xml:space="preserve"> risk of </w:t>
      </w:r>
      <w:r w:rsidR="00074767">
        <w:rPr>
          <w:szCs w:val="20"/>
        </w:rPr>
        <w:t xml:space="preserve">electromagnetic </w:t>
      </w:r>
      <w:r w:rsidR="00EE1F42">
        <w:rPr>
          <w:szCs w:val="20"/>
        </w:rPr>
        <w:t>interference.</w:t>
      </w:r>
    </w:p>
    <w:p w14:paraId="0A138871" w14:textId="10ACF0B5" w:rsidR="005A67B7" w:rsidRDefault="008D6F61" w:rsidP="00F23D90">
      <w:pPr>
        <w:pStyle w:val="Paragraph"/>
      </w:pPr>
      <w:r>
        <w:rPr>
          <w:szCs w:val="20"/>
        </w:rPr>
        <w:t xml:space="preserve">We note that it </w:t>
      </w:r>
      <w:r w:rsidR="005A67B7">
        <w:rPr>
          <w:szCs w:val="20"/>
        </w:rPr>
        <w:t>would seem unlikely that a household toaster would pose the same risk of electromagnetic interference as a motor vehicle</w:t>
      </w:r>
      <w:r w:rsidR="00817F1A">
        <w:rPr>
          <w:szCs w:val="20"/>
        </w:rPr>
        <w:t>,</w:t>
      </w:r>
      <w:r w:rsidR="005A67B7">
        <w:rPr>
          <w:szCs w:val="20"/>
        </w:rPr>
        <w:t xml:space="preserve"> although both fall under the </w:t>
      </w:r>
      <w:r w:rsidR="00EF5748">
        <w:rPr>
          <w:szCs w:val="20"/>
        </w:rPr>
        <w:t>medium-risk</w:t>
      </w:r>
      <w:r w:rsidR="005A67B7">
        <w:rPr>
          <w:szCs w:val="20"/>
        </w:rPr>
        <w:t xml:space="preserve"> device category as they contain microprocessors. </w:t>
      </w:r>
      <w:r w:rsidR="005F2B4C">
        <w:rPr>
          <w:szCs w:val="20"/>
        </w:rPr>
        <w:t xml:space="preserve">We also note that the </w:t>
      </w:r>
      <w:r w:rsidR="0094166B">
        <w:rPr>
          <w:szCs w:val="20"/>
        </w:rPr>
        <w:t xml:space="preserve">potential </w:t>
      </w:r>
      <w:r w:rsidR="001A023A">
        <w:rPr>
          <w:szCs w:val="20"/>
        </w:rPr>
        <w:t>spread</w:t>
      </w:r>
      <w:r w:rsidR="005F2B4C">
        <w:rPr>
          <w:szCs w:val="20"/>
        </w:rPr>
        <w:t xml:space="preserve"> </w:t>
      </w:r>
      <w:r w:rsidR="00573733">
        <w:rPr>
          <w:szCs w:val="20"/>
        </w:rPr>
        <w:t>of interference between a</w:t>
      </w:r>
      <w:r w:rsidR="005A67B7">
        <w:rPr>
          <w:szCs w:val="20"/>
        </w:rPr>
        <w:t xml:space="preserve"> household toaster </w:t>
      </w:r>
      <w:r w:rsidR="00573733">
        <w:rPr>
          <w:szCs w:val="20"/>
        </w:rPr>
        <w:t xml:space="preserve">and motor vehicle is </w:t>
      </w:r>
      <w:r w:rsidR="00174449">
        <w:rPr>
          <w:szCs w:val="20"/>
        </w:rPr>
        <w:t xml:space="preserve">likely to be </w:t>
      </w:r>
      <w:r w:rsidR="00573733">
        <w:rPr>
          <w:szCs w:val="20"/>
        </w:rPr>
        <w:t>different</w:t>
      </w:r>
      <w:r w:rsidR="00817F1A">
        <w:rPr>
          <w:szCs w:val="20"/>
        </w:rPr>
        <w:t>,</w:t>
      </w:r>
      <w:r w:rsidR="00573733">
        <w:rPr>
          <w:szCs w:val="20"/>
        </w:rPr>
        <w:t xml:space="preserve"> given the toaster </w:t>
      </w:r>
      <w:r w:rsidR="005A67B7" w:rsidRPr="005A67B7">
        <w:t>is expected to be placed in a stationary position in a kitchen</w:t>
      </w:r>
      <w:r w:rsidR="00817F1A">
        <w:t>,</w:t>
      </w:r>
      <w:r w:rsidR="00573733">
        <w:t xml:space="preserve"> w</w:t>
      </w:r>
      <w:r w:rsidR="005A67B7">
        <w:t xml:space="preserve">hile a motor vehicle </w:t>
      </w:r>
      <w:r w:rsidR="00AA772F">
        <w:t xml:space="preserve">is </w:t>
      </w:r>
      <w:r w:rsidR="00573733">
        <w:t>m</w:t>
      </w:r>
      <w:r w:rsidR="00AA772F">
        <w:t>obile.</w:t>
      </w:r>
    </w:p>
    <w:p w14:paraId="362DAE94" w14:textId="395BA323" w:rsidR="00EC57C0" w:rsidRDefault="00EC57C0" w:rsidP="008F499F">
      <w:pPr>
        <w:pStyle w:val="Paragraph"/>
      </w:pPr>
      <w:r>
        <w:t xml:space="preserve">We are considering </w:t>
      </w:r>
      <w:r w:rsidR="006414CC">
        <w:t xml:space="preserve">amending </w:t>
      </w:r>
      <w:r>
        <w:t xml:space="preserve">the definition of a </w:t>
      </w:r>
      <w:r w:rsidR="00EF5748">
        <w:t>medium-risk</w:t>
      </w:r>
      <w:r>
        <w:t xml:space="preserve"> device to better reflect the risk of electromagnetic interference associated with </w:t>
      </w:r>
      <w:r w:rsidR="00EB0CC5">
        <w:t>certain</w:t>
      </w:r>
      <w:r w:rsidR="00F1434D">
        <w:t xml:space="preserve"> </w:t>
      </w:r>
      <w:r>
        <w:t>device</w:t>
      </w:r>
      <w:r w:rsidR="00EB0CC5">
        <w:t>s</w:t>
      </w:r>
      <w:r>
        <w:t xml:space="preserve"> </w:t>
      </w:r>
      <w:r w:rsidR="00EB0CC5">
        <w:t>categorised by this</w:t>
      </w:r>
      <w:r>
        <w:t xml:space="preserve"> compliance level.</w:t>
      </w:r>
      <w:r w:rsidR="00F1434D">
        <w:t xml:space="preserve"> The </w:t>
      </w:r>
      <w:r w:rsidR="006414CC">
        <w:t>amendment will exclude certain</w:t>
      </w:r>
      <w:r w:rsidR="00F1434D">
        <w:t xml:space="preserve"> types of devices</w:t>
      </w:r>
      <w:r w:rsidR="0009789F">
        <w:t>;</w:t>
      </w:r>
      <w:r w:rsidR="00F1434D">
        <w:t xml:space="preserve"> similar to the</w:t>
      </w:r>
      <w:r w:rsidR="006414CC">
        <w:t xml:space="preserve"> exclusion of</w:t>
      </w:r>
      <w:r w:rsidR="00F1434D">
        <w:t xml:space="preserve"> battery-powered device</w:t>
      </w:r>
      <w:r w:rsidR="006414CC">
        <w:t>s</w:t>
      </w:r>
      <w:r w:rsidR="00F1434D">
        <w:t xml:space="preserve"> that currently exists.</w:t>
      </w:r>
    </w:p>
    <w:p w14:paraId="118F3990" w14:textId="62245F0F" w:rsidR="00EC57C0" w:rsidRDefault="00F1434D" w:rsidP="008F499F">
      <w:pPr>
        <w:pStyle w:val="Paragraph"/>
      </w:pPr>
      <w:r>
        <w:lastRenderedPageBreak/>
        <w:t>In particular, we are</w:t>
      </w:r>
      <w:r w:rsidR="00EC57C0">
        <w:t xml:space="preserve"> considering whether common household devices</w:t>
      </w:r>
      <w:r w:rsidR="002936D6">
        <w:t>, such as toasters, vacuum cleaners, kettles</w:t>
      </w:r>
      <w:r w:rsidR="0009789F">
        <w:t>,</w:t>
      </w:r>
      <w:r w:rsidR="002936D6">
        <w:t xml:space="preserve"> etc</w:t>
      </w:r>
      <w:r w:rsidR="0009789F">
        <w:t>,</w:t>
      </w:r>
      <w:r w:rsidR="00EC57C0">
        <w:t xml:space="preserve"> could be</w:t>
      </w:r>
      <w:r w:rsidR="002936D6">
        <w:t xml:space="preserve"> excluded from the definition of a </w:t>
      </w:r>
      <w:r w:rsidR="00EF5748">
        <w:t>medium-risk</w:t>
      </w:r>
      <w:r w:rsidR="002936D6">
        <w:t xml:space="preserve"> device, because</w:t>
      </w:r>
      <w:r w:rsidR="00EC57C0">
        <w:t xml:space="preserve"> </w:t>
      </w:r>
      <w:r w:rsidR="002936D6">
        <w:t>they</w:t>
      </w:r>
      <w:r w:rsidR="00EC57C0">
        <w:t xml:space="preserve"> pose a low</w:t>
      </w:r>
      <w:r w:rsidR="00EF5748">
        <w:t xml:space="preserve"> </w:t>
      </w:r>
      <w:r w:rsidR="00EC57C0">
        <w:t>risk of interference.</w:t>
      </w:r>
    </w:p>
    <w:p w14:paraId="3E9FFBF7" w14:textId="12298CFF" w:rsidR="00EC57C0" w:rsidRDefault="00EC57C0" w:rsidP="008F499F">
      <w:pPr>
        <w:pStyle w:val="Paragraph"/>
        <w:rPr>
          <w:szCs w:val="20"/>
        </w:rPr>
      </w:pPr>
      <w:r>
        <w:rPr>
          <w:szCs w:val="20"/>
        </w:rPr>
        <w:t>In the USA, the FCC has exempted specified devices from its equipment authorisation procedures</w:t>
      </w:r>
      <w:r w:rsidR="00DB4615">
        <w:rPr>
          <w:szCs w:val="20"/>
        </w:rPr>
        <w:t>;</w:t>
      </w:r>
      <w:r>
        <w:rPr>
          <w:rStyle w:val="FootnoteReference"/>
          <w:szCs w:val="20"/>
        </w:rPr>
        <w:footnoteReference w:id="51"/>
      </w:r>
      <w:r>
        <w:rPr>
          <w:szCs w:val="20"/>
        </w:rPr>
        <w:t xml:space="preserve"> such devices are exempt from demonstrating compliance with EMC requirements</w:t>
      </w:r>
      <w:r w:rsidR="00DB4615">
        <w:rPr>
          <w:szCs w:val="20"/>
        </w:rPr>
        <w:t>.</w:t>
      </w:r>
      <w:r>
        <w:rPr>
          <w:rStyle w:val="FootnoteReference"/>
          <w:szCs w:val="20"/>
        </w:rPr>
        <w:footnoteReference w:id="52"/>
      </w:r>
      <w:r>
        <w:rPr>
          <w:szCs w:val="20"/>
        </w:rPr>
        <w:t xml:space="preserve"> However, if an exempt device causes interference, the operator must </w:t>
      </w:r>
      <w:r w:rsidRPr="00F22B9C">
        <w:t>cease operation upon notification from the FCC.</w:t>
      </w:r>
    </w:p>
    <w:p w14:paraId="1A92047B" w14:textId="5F12BDCB" w:rsidR="00EC57C0" w:rsidRPr="00B102C8" w:rsidRDefault="00EC57C0" w:rsidP="008F499F">
      <w:pPr>
        <w:pStyle w:val="Paragraph"/>
      </w:pPr>
      <w:r>
        <w:rPr>
          <w:szCs w:val="20"/>
        </w:rPr>
        <w:t xml:space="preserve">We note that the FCC’s exempted devices include </w:t>
      </w:r>
      <w:r>
        <w:t>household devices that are designed to heat, cool or move something by converting electrical energy into heat or motion. Examples of these devices include vacuum cleaners, kettles, toasters, air conditioners and clothes dryers. The devices are intended to be used exclusively in a household environment for basic housekeeping.</w:t>
      </w:r>
    </w:p>
    <w:p w14:paraId="6EC29CAD" w14:textId="7913B177" w:rsidR="00EC57C0" w:rsidRDefault="00EC57C0" w:rsidP="00F22B9C">
      <w:pPr>
        <w:pStyle w:val="Paragraph"/>
      </w:pPr>
      <w:r>
        <w:t xml:space="preserve">We are seeking </w:t>
      </w:r>
      <w:r w:rsidR="00F51BF3">
        <w:t>views</w:t>
      </w:r>
      <w:r>
        <w:t xml:space="preserve"> on our proposal to lower the compliance level for common household devices.</w:t>
      </w:r>
    </w:p>
    <w:p w14:paraId="3B018951" w14:textId="7B038620" w:rsidR="00EC57C0" w:rsidRDefault="00EC57C0" w:rsidP="00F22B9C">
      <w:pPr>
        <w:pStyle w:val="Paragraph"/>
      </w:pPr>
      <w:r>
        <w:t xml:space="preserve">If we lower the compliance level for some </w:t>
      </w:r>
      <w:r w:rsidR="00EF5748">
        <w:t>medium-risk</w:t>
      </w:r>
      <w:r>
        <w:t xml:space="preserve"> devices to that of a </w:t>
      </w:r>
      <w:r w:rsidR="00EF5748">
        <w:t>low-risk</w:t>
      </w:r>
      <w:r>
        <w:t xml:space="preserve"> device, the devices would still be required to comply with an </w:t>
      </w:r>
      <w:r w:rsidR="0094166B">
        <w:t>applicable</w:t>
      </w:r>
      <w:r>
        <w:t xml:space="preserve"> EMC </w:t>
      </w:r>
      <w:r w:rsidR="0094166B">
        <w:t>industry</w:t>
      </w:r>
      <w:r>
        <w:t xml:space="preserve"> standard. However, compliance labelling would be </w:t>
      </w:r>
      <w:proofErr w:type="gramStart"/>
      <w:r>
        <w:t>voluntary</w:t>
      </w:r>
      <w:proofErr w:type="gramEnd"/>
      <w:r>
        <w:t xml:space="preserve"> and the supplier’s administrative burden would be reduced.</w:t>
      </w:r>
    </w:p>
    <w:p w14:paraId="44FDB4A1" w14:textId="597A0FA9" w:rsidR="00EC57C0" w:rsidRDefault="00EC57C0" w:rsidP="00F22B9C">
      <w:pPr>
        <w:pStyle w:val="Paragraph"/>
      </w:pPr>
      <w:r>
        <w:t>We note that if the devices contain radiocommunications transmitters such as Bluetooth or Wi-Fi modules</w:t>
      </w:r>
      <w:r w:rsidR="00DB4615">
        <w:t>,</w:t>
      </w:r>
      <w:r>
        <w:t xml:space="preserve"> or have telecommunications capabilities, then the devices would need to comply with the </w:t>
      </w:r>
      <w:r w:rsidR="00DB4615">
        <w:t xml:space="preserve">ACMA’s </w:t>
      </w:r>
      <w:r>
        <w:t>respective electromagnetic energy (EME)</w:t>
      </w:r>
      <w:r w:rsidRPr="00FA0290">
        <w:t>,</w:t>
      </w:r>
      <w:r>
        <w:t xml:space="preserve"> radiocommunications and telecommunications regulatory arrangements, to the relevant compliance level.</w:t>
      </w:r>
    </w:p>
    <w:p w14:paraId="540753E9" w14:textId="3AB7ADB9" w:rsidR="00EC57C0" w:rsidRDefault="00EC57C0" w:rsidP="00EC57C0">
      <w:pPr>
        <w:pStyle w:val="Paragraph"/>
      </w:pPr>
      <w:r>
        <w:t xml:space="preserve">Additionally, devices may need to comply with any applicable electrical safety rules and compliance labelling arrangements under the Electrical Equipment Safety System (EESS), which is separate to </w:t>
      </w:r>
      <w:r w:rsidR="00DB4615">
        <w:t>our</w:t>
      </w:r>
      <w:r>
        <w:t xml:space="preserve"> regulatory arrangements.</w:t>
      </w:r>
    </w:p>
    <w:p w14:paraId="67ED4FDF" w14:textId="33905831" w:rsidR="00E12ED5" w:rsidRPr="00E162C4" w:rsidRDefault="008D68DB" w:rsidP="00E12ED5">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rsidRPr="00834BEC">
        <w:t>Question</w:t>
      </w:r>
      <w:r w:rsidDel="008D68DB">
        <w:t xml:space="preserve"> </w:t>
      </w:r>
      <w:r w:rsidR="00E12ED5">
        <w:t>4</w:t>
      </w:r>
    </w:p>
    <w:p w14:paraId="161DFFCC" w14:textId="12AD0135" w:rsidR="00E12ED5" w:rsidRPr="00E162C4" w:rsidRDefault="00E12ED5" w:rsidP="00E12ED5">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Do you have any comments on our proposal to lower the compliance level of certain household devices</w:t>
      </w:r>
      <w:r w:rsidR="0094166B">
        <w:t xml:space="preserve"> from medium</w:t>
      </w:r>
      <w:r w:rsidR="00EF5748">
        <w:t>-</w:t>
      </w:r>
      <w:r w:rsidR="0094166B">
        <w:t xml:space="preserve">risk to </w:t>
      </w:r>
      <w:r w:rsidR="00EF5748">
        <w:t>low-risk</w:t>
      </w:r>
      <w:r>
        <w:t>? Are there any other devices that we have not identified, where we should consider lowering the compliance level due to their low</w:t>
      </w:r>
      <w:r w:rsidR="00EF5748">
        <w:t xml:space="preserve"> </w:t>
      </w:r>
      <w:r>
        <w:t xml:space="preserve">risk of causing interference? If so, please specify the types of devices and why their compliance level should be changed, including any common characteristics that </w:t>
      </w:r>
      <w:r w:rsidR="00911C03">
        <w:t xml:space="preserve">cause </w:t>
      </w:r>
      <w:r>
        <w:t>these devices</w:t>
      </w:r>
      <w:r w:rsidR="00911C03">
        <w:t xml:space="preserve"> to pose</w:t>
      </w:r>
      <w:r>
        <w:t xml:space="preserve"> a low</w:t>
      </w:r>
      <w:r w:rsidR="00EF5748">
        <w:t xml:space="preserve"> </w:t>
      </w:r>
      <w:r>
        <w:t>risk of interference.</w:t>
      </w:r>
    </w:p>
    <w:p w14:paraId="3C1BB7F7" w14:textId="4D77C061" w:rsidR="00EB476B" w:rsidRPr="006F4FBB" w:rsidRDefault="00EF5748" w:rsidP="00103D6C">
      <w:pPr>
        <w:pStyle w:val="Heading4"/>
      </w:pPr>
      <w:r>
        <w:t>Low-risk</w:t>
      </w:r>
      <w:r w:rsidR="00EB476B" w:rsidRPr="006F4FBB">
        <w:t xml:space="preserve"> device</w:t>
      </w:r>
      <w:r w:rsidR="00EB476B">
        <w:t xml:space="preserve"> and battery-powered device</w:t>
      </w:r>
    </w:p>
    <w:p w14:paraId="441A9F6A" w14:textId="2733D658" w:rsidR="00FC37D5" w:rsidRDefault="00EB476B" w:rsidP="00103D6C">
      <w:pPr>
        <w:pStyle w:val="ListBullet2"/>
        <w:numPr>
          <w:ilvl w:val="0"/>
          <w:numId w:val="0"/>
        </w:numPr>
        <w:spacing w:before="60" w:after="240" w:line="240" w:lineRule="auto"/>
      </w:pPr>
      <w:r>
        <w:t xml:space="preserve">A </w:t>
      </w:r>
      <w:r w:rsidR="00EF5748">
        <w:t>low-risk</w:t>
      </w:r>
      <w:r>
        <w:t xml:space="preserve"> device captures all devices that are not a </w:t>
      </w:r>
      <w:r w:rsidR="00EF5748">
        <w:t>medium-risk</w:t>
      </w:r>
      <w:r>
        <w:t xml:space="preserve"> device or a </w:t>
      </w:r>
      <w:r w:rsidR="00EF5748">
        <w:t>high-risk</w:t>
      </w:r>
      <w:r>
        <w:t xml:space="preserve"> device, including a battery-powered device.</w:t>
      </w:r>
      <w:r>
        <w:rPr>
          <w:rStyle w:val="FootnoteReference"/>
        </w:rPr>
        <w:footnoteReference w:id="53"/>
      </w:r>
      <w:r w:rsidR="00F95063">
        <w:t xml:space="preserve"> </w:t>
      </w:r>
    </w:p>
    <w:p w14:paraId="42E698CB" w14:textId="3061EA07" w:rsidR="00F14D1A" w:rsidRDefault="00F95063" w:rsidP="00EB476B">
      <w:pPr>
        <w:pStyle w:val="ListBullet2"/>
        <w:numPr>
          <w:ilvl w:val="0"/>
          <w:numId w:val="0"/>
        </w:numPr>
        <w:spacing w:before="240" w:after="240" w:line="240" w:lineRule="auto"/>
      </w:pPr>
      <w:r>
        <w:t>A battery-powered device is a device not capable of being connected, directly or indirectly, to an external power supply.</w:t>
      </w:r>
      <w:r w:rsidR="00FC37D5">
        <w:rPr>
          <w:rStyle w:val="FootnoteReference"/>
        </w:rPr>
        <w:footnoteReference w:id="54"/>
      </w:r>
      <w:r>
        <w:t xml:space="preserve"> </w:t>
      </w:r>
    </w:p>
    <w:p w14:paraId="1B994A52" w14:textId="67212427" w:rsidR="007642AC" w:rsidRDefault="00BB0665" w:rsidP="00BB0665">
      <w:pPr>
        <w:pStyle w:val="ListBullet2"/>
        <w:numPr>
          <w:ilvl w:val="0"/>
          <w:numId w:val="0"/>
        </w:numPr>
        <w:spacing w:before="240" w:after="240" w:line="240" w:lineRule="auto"/>
      </w:pPr>
      <w:r>
        <w:t xml:space="preserve">Devices </w:t>
      </w:r>
      <w:r w:rsidR="0022432D">
        <w:t xml:space="preserve">with </w:t>
      </w:r>
      <w:r w:rsidR="0022432D" w:rsidRPr="00103D6C">
        <w:rPr>
          <w:iCs/>
        </w:rPr>
        <w:t>removable</w:t>
      </w:r>
      <w:r w:rsidR="0022432D">
        <w:t xml:space="preserve"> batteries, including rechargeable batteries that are recharged using an external battery</w:t>
      </w:r>
      <w:r w:rsidR="00781AB3">
        <w:t xml:space="preserve"> charger</w:t>
      </w:r>
      <w:r w:rsidR="0022432D">
        <w:t xml:space="preserve">, would fall under the definition of a battery-powered device and therefore be considered a </w:t>
      </w:r>
      <w:r w:rsidR="00EF5748">
        <w:t>low-risk</w:t>
      </w:r>
      <w:r w:rsidR="0022432D">
        <w:t xml:space="preserve"> device. </w:t>
      </w:r>
      <w:r w:rsidR="007642AC">
        <w:t xml:space="preserve">For example, this includes </w:t>
      </w:r>
      <w:r w:rsidR="007642AC">
        <w:lastRenderedPageBreak/>
        <w:t xml:space="preserve">cordless lawn mowers where the rechargeable battery is removed from the lawn mower during charging and the lawn mower </w:t>
      </w:r>
      <w:r w:rsidR="00641002">
        <w:t>is not directly</w:t>
      </w:r>
      <w:r w:rsidR="007642AC">
        <w:t xml:space="preserve"> connected to an external power supply.</w:t>
      </w:r>
    </w:p>
    <w:p w14:paraId="31859E1D" w14:textId="448BFBFF" w:rsidR="00BB0665" w:rsidRDefault="00BB0665" w:rsidP="00BB0665">
      <w:pPr>
        <w:pStyle w:val="ListBullet2"/>
        <w:numPr>
          <w:ilvl w:val="0"/>
          <w:numId w:val="0"/>
        </w:numPr>
        <w:spacing w:before="240" w:after="240" w:line="240" w:lineRule="auto"/>
      </w:pPr>
      <w:r>
        <w:t xml:space="preserve">Devices that can be charged </w:t>
      </w:r>
      <w:r w:rsidR="00EE4AC0">
        <w:t xml:space="preserve">by connecting </w:t>
      </w:r>
      <w:r>
        <w:t xml:space="preserve">directly or indirectly to an external power supply such as a laptop charged by AC adapter or phone via a wireless charger would </w:t>
      </w:r>
      <w:r w:rsidRPr="00103D6C">
        <w:rPr>
          <w:bCs/>
        </w:rPr>
        <w:t>not</w:t>
      </w:r>
      <w:r>
        <w:t xml:space="preserve"> be included in the definition of a battery-powered device.</w:t>
      </w:r>
    </w:p>
    <w:p w14:paraId="3893A25E" w14:textId="074CA4D4" w:rsidR="00F14D1A" w:rsidRDefault="00357F29" w:rsidP="00F14D1A">
      <w:pPr>
        <w:pStyle w:val="ListBullet2"/>
        <w:numPr>
          <w:ilvl w:val="0"/>
          <w:numId w:val="0"/>
        </w:numPr>
        <w:spacing w:before="240" w:after="240" w:line="240" w:lineRule="auto"/>
      </w:pPr>
      <w:r>
        <w:t xml:space="preserve">Battery-powered devices are categorised as </w:t>
      </w:r>
      <w:r w:rsidR="00EF5748">
        <w:t>low-risk</w:t>
      </w:r>
      <w:r>
        <w:t xml:space="preserve"> devices</w:t>
      </w:r>
      <w:r w:rsidR="007855B4">
        <w:t>,</w:t>
      </w:r>
      <w:r>
        <w:t xml:space="preserve"> as the</w:t>
      </w:r>
      <w:r w:rsidR="007855B4">
        <w:t>y</w:t>
      </w:r>
      <w:r>
        <w:t xml:space="preserve"> are only capable of operating for the duration of the battery</w:t>
      </w:r>
      <w:r w:rsidR="00732759">
        <w:t xml:space="preserve"> life</w:t>
      </w:r>
      <w:r>
        <w:t>.</w:t>
      </w:r>
      <w:r w:rsidR="00F14D1A">
        <w:t xml:space="preserve"> The effect is to allow the supplier to choose whether or not to apply a label on the battery-powered device.</w:t>
      </w:r>
    </w:p>
    <w:p w14:paraId="36A4450C" w14:textId="649390DC" w:rsidR="006740CA" w:rsidRDefault="006740CA" w:rsidP="00EB476B">
      <w:pPr>
        <w:pStyle w:val="ListBullet2"/>
        <w:numPr>
          <w:ilvl w:val="0"/>
          <w:numId w:val="0"/>
        </w:numPr>
        <w:spacing w:before="240" w:after="240" w:line="240" w:lineRule="auto"/>
      </w:pPr>
      <w:r>
        <w:t>However, the risk of electromagnetic interference from battery-powered devices may now</w:t>
      </w:r>
      <w:r w:rsidR="00D601AD">
        <w:t xml:space="preserve"> vary</w:t>
      </w:r>
      <w:r>
        <w:t xml:space="preserve"> significantly</w:t>
      </w:r>
      <w:r w:rsidR="007855B4">
        <w:t>,</w:t>
      </w:r>
      <w:r>
        <w:t xml:space="preserve"> depending on the battery technology.</w:t>
      </w:r>
    </w:p>
    <w:p w14:paraId="25EDAC13" w14:textId="68D95898" w:rsidR="00281427" w:rsidRDefault="008B190A" w:rsidP="00EB476B">
      <w:pPr>
        <w:pStyle w:val="ListBullet2"/>
        <w:numPr>
          <w:ilvl w:val="0"/>
          <w:numId w:val="0"/>
        </w:numPr>
        <w:spacing w:before="240" w:after="240" w:line="240" w:lineRule="auto"/>
      </w:pPr>
      <w:r>
        <w:t xml:space="preserve">Advances in battery technologies have resulted in </w:t>
      </w:r>
      <w:r w:rsidR="00F902E1">
        <w:t xml:space="preserve">the use of </w:t>
      </w:r>
      <w:r w:rsidR="005E03ED">
        <w:t xml:space="preserve">new elements </w:t>
      </w:r>
      <w:r>
        <w:t>beyond the traditional lead-acid and nickel-cadmium batteries</w:t>
      </w:r>
      <w:r w:rsidR="005E03ED">
        <w:t xml:space="preserve"> and </w:t>
      </w:r>
      <w:r w:rsidR="00F902E1">
        <w:t xml:space="preserve">use of </w:t>
      </w:r>
      <w:r w:rsidR="005E03ED">
        <w:t>a greater array of batteries</w:t>
      </w:r>
      <w:r>
        <w:t>. Modern batteries include lithium-ion batteries and solar</w:t>
      </w:r>
      <w:r w:rsidR="00FD4984">
        <w:t>-</w:t>
      </w:r>
      <w:r>
        <w:t>powered batteries</w:t>
      </w:r>
      <w:r w:rsidR="00FD4984">
        <w:t>,</w:t>
      </w:r>
      <w:r>
        <w:t xml:space="preserve"> </w:t>
      </w:r>
      <w:r w:rsidR="00451178">
        <w:t xml:space="preserve">while </w:t>
      </w:r>
      <w:r>
        <w:t>emerging technologies such as solid-state</w:t>
      </w:r>
      <w:r w:rsidR="00451178">
        <w:t xml:space="preserve"> batteries and </w:t>
      </w:r>
      <w:r>
        <w:t>lithium-sul</w:t>
      </w:r>
      <w:r w:rsidR="00911C03">
        <w:t>ph</w:t>
      </w:r>
      <w:r>
        <w:t>ur</w:t>
      </w:r>
      <w:r w:rsidR="00451178">
        <w:t xml:space="preserve"> </w:t>
      </w:r>
      <w:r w:rsidR="00FD4984">
        <w:br/>
      </w:r>
      <w:r w:rsidR="00451178">
        <w:t>batteries are being developed to power electric vehicles</w:t>
      </w:r>
      <w:r w:rsidR="00F14D1A">
        <w:t xml:space="preserve">, aircraft, trains, phones </w:t>
      </w:r>
      <w:r w:rsidR="00FD4984">
        <w:br/>
      </w:r>
      <w:r w:rsidR="00F14D1A">
        <w:t>and electronic devices.</w:t>
      </w:r>
    </w:p>
    <w:p w14:paraId="0E765C3F" w14:textId="548BCE79" w:rsidR="00281427" w:rsidRDefault="002F3E2E" w:rsidP="00EB476B">
      <w:pPr>
        <w:pStyle w:val="ListBullet2"/>
        <w:numPr>
          <w:ilvl w:val="0"/>
          <w:numId w:val="0"/>
        </w:numPr>
        <w:spacing w:before="240" w:after="240" w:line="240" w:lineRule="auto"/>
      </w:pPr>
      <w:r>
        <w:t xml:space="preserve">A toy car powered by AA batteries (which would typically </w:t>
      </w:r>
      <w:r w:rsidR="009A1A92">
        <w:t>be</w:t>
      </w:r>
      <w:r w:rsidR="009A1A92" w:rsidDel="00732759">
        <w:t xml:space="preserve"> </w:t>
      </w:r>
      <w:r w:rsidR="00732759">
        <w:t>alkaline</w:t>
      </w:r>
      <w:r>
        <w:t xml:space="preserve"> or nickel-cadmium batteries) is likely to pose a low</w:t>
      </w:r>
      <w:r w:rsidR="00FA5250">
        <w:t>-</w:t>
      </w:r>
      <w:r>
        <w:t xml:space="preserve">risk of interference. On the </w:t>
      </w:r>
      <w:r w:rsidR="0059362C">
        <w:t>other</w:t>
      </w:r>
      <w:r>
        <w:t xml:space="preserve"> hand,</w:t>
      </w:r>
      <w:r w:rsidR="006740CA">
        <w:t xml:space="preserve"> the risk of electromagnetic interference may </w:t>
      </w:r>
      <w:r w:rsidR="00377A8E">
        <w:t>be higher if a modern battery is used to operate a high-powered device</w:t>
      </w:r>
      <w:r w:rsidR="00987179">
        <w:t>.</w:t>
      </w:r>
    </w:p>
    <w:p w14:paraId="55BFAEE2" w14:textId="6EF116C0" w:rsidR="00CB1A46" w:rsidRDefault="005C7478" w:rsidP="00026AB6">
      <w:pPr>
        <w:pStyle w:val="ListBullet2"/>
        <w:numPr>
          <w:ilvl w:val="0"/>
          <w:numId w:val="0"/>
        </w:numPr>
        <w:spacing w:before="240" w:after="240" w:line="240" w:lineRule="auto"/>
      </w:pPr>
      <w:r>
        <w:t xml:space="preserve">Subsection 1.8(2) of the EMC labelling notice prescribes that a battery-powered device is not a </w:t>
      </w:r>
      <w:r w:rsidR="00EF5748">
        <w:t>medium-risk</w:t>
      </w:r>
      <w:r>
        <w:t xml:space="preserve"> device unless </w:t>
      </w:r>
      <w:r w:rsidR="00E5470A">
        <w:t>we have</w:t>
      </w:r>
      <w:r>
        <w:t xml:space="preserve"> declared the device to be a </w:t>
      </w:r>
      <w:r w:rsidR="00EF5748">
        <w:t>medium-risk</w:t>
      </w:r>
      <w:r>
        <w:t xml:space="preserve"> device under </w:t>
      </w:r>
      <w:r w:rsidR="00C40157">
        <w:t>subsection (</w:t>
      </w:r>
      <w:r>
        <w:t xml:space="preserve">3). A battery-powered device is currently defined as a device that is not capable of being connected, directly or indirectly, to an external power supply. </w:t>
      </w:r>
      <w:r w:rsidR="00CB1A46">
        <w:t xml:space="preserve">It is our understanding that the </w:t>
      </w:r>
      <w:r w:rsidR="00F902E1">
        <w:t>classification of battery</w:t>
      </w:r>
      <w:r w:rsidR="00E5470A">
        <w:t>-</w:t>
      </w:r>
      <w:r w:rsidR="00F902E1">
        <w:t>powered devices as low risk</w:t>
      </w:r>
      <w:r w:rsidR="00CB1A46">
        <w:t xml:space="preserve"> is still sought by industry and continues to be an effective mechanism to </w:t>
      </w:r>
      <w:r w:rsidR="00F902E1">
        <w:t xml:space="preserve">reflect </w:t>
      </w:r>
      <w:r w:rsidR="00CB1A46">
        <w:t xml:space="preserve">the risk </w:t>
      </w:r>
      <w:r w:rsidR="00F902E1">
        <w:t>profile</w:t>
      </w:r>
      <w:r w:rsidR="0002158B">
        <w:t xml:space="preserve"> </w:t>
      </w:r>
      <w:r w:rsidR="00CB1A46">
        <w:t>of certain battery-powered devices. However, we are concerned with the proliferation of battery-powered equipment</w:t>
      </w:r>
      <w:r w:rsidR="00657E53">
        <w:t xml:space="preserve"> and are considering</w:t>
      </w:r>
      <w:r w:rsidR="00CB1A46">
        <w:t xml:space="preserve"> whether the current wording </w:t>
      </w:r>
      <w:r w:rsidR="00D1057C">
        <w:t xml:space="preserve">excluding battery-powered devices from the definition of a </w:t>
      </w:r>
      <w:r w:rsidR="00EF5748">
        <w:t>medium-risk</w:t>
      </w:r>
      <w:r w:rsidR="00D1057C">
        <w:t xml:space="preserve"> device </w:t>
      </w:r>
      <w:r w:rsidR="00CB1A46">
        <w:t xml:space="preserve">is too broad. </w:t>
      </w:r>
    </w:p>
    <w:p w14:paraId="366E19BB" w14:textId="4DD6D26F" w:rsidR="00D71B29" w:rsidRDefault="00967BFA" w:rsidP="00987179">
      <w:pPr>
        <w:pStyle w:val="Bulletlevel1"/>
        <w:numPr>
          <w:ilvl w:val="0"/>
          <w:numId w:val="0"/>
        </w:numPr>
        <w:spacing w:after="240"/>
      </w:pPr>
      <w:r>
        <w:t xml:space="preserve">We are seeking </w:t>
      </w:r>
      <w:r w:rsidR="00F902E1">
        <w:t>views</w:t>
      </w:r>
      <w:r>
        <w:t xml:space="preserve"> on whether the </w:t>
      </w:r>
      <w:r w:rsidR="00850007">
        <w:t xml:space="preserve">current </w:t>
      </w:r>
      <w:r w:rsidR="00850007" w:rsidRPr="003E5BD7">
        <w:t>categorisation</w:t>
      </w:r>
      <w:r w:rsidR="00850007">
        <w:rPr>
          <w:b/>
          <w:bCs/>
        </w:rPr>
        <w:t xml:space="preserve"> </w:t>
      </w:r>
      <w:r w:rsidR="00850007">
        <w:t>of</w:t>
      </w:r>
      <w:r>
        <w:t xml:space="preserve"> battery-powered </w:t>
      </w:r>
      <w:r w:rsidR="00850007">
        <w:t>devices</w:t>
      </w:r>
      <w:r w:rsidR="0088585A">
        <w:t xml:space="preserve"> as </w:t>
      </w:r>
      <w:r w:rsidR="00EF5748">
        <w:t>low-risk</w:t>
      </w:r>
      <w:r w:rsidR="0088585A">
        <w:t xml:space="preserve"> devices remains appropriate. We consider that some battery-powered devices may carry an increased risk of interference, and therefore may be more appropriately classified as medium or </w:t>
      </w:r>
      <w:r w:rsidR="00EF5748">
        <w:t>high-risk</w:t>
      </w:r>
      <w:r w:rsidR="0088585A">
        <w:t xml:space="preserve"> devices.</w:t>
      </w:r>
      <w:r w:rsidR="00ED7CB1">
        <w:t xml:space="preserve"> </w:t>
      </w:r>
      <w:r w:rsidR="00987179">
        <w:t xml:space="preserve">We note that </w:t>
      </w:r>
      <w:r w:rsidR="002F4FD5">
        <w:t>any</w:t>
      </w:r>
      <w:r w:rsidR="00970218">
        <w:t xml:space="preserve"> change</w:t>
      </w:r>
      <w:r w:rsidR="002F4FD5">
        <w:t xml:space="preserve"> to </w:t>
      </w:r>
      <w:r w:rsidR="0088585A">
        <w:t xml:space="preserve">the classification of </w:t>
      </w:r>
      <w:r w:rsidR="002F4FD5">
        <w:t xml:space="preserve">battery-powered </w:t>
      </w:r>
      <w:r w:rsidR="0088585A">
        <w:t xml:space="preserve">devices </w:t>
      </w:r>
      <w:r w:rsidR="00911C03">
        <w:t xml:space="preserve">may </w:t>
      </w:r>
      <w:r w:rsidR="00970218">
        <w:t>introduce a point of difference between Australia and New Zealand</w:t>
      </w:r>
      <w:r w:rsidR="0088585A">
        <w:t xml:space="preserve"> in relation to these devices</w:t>
      </w:r>
      <w:r w:rsidR="00970218">
        <w:t>.</w:t>
      </w:r>
    </w:p>
    <w:p w14:paraId="4505AA7D" w14:textId="7B9B7E80" w:rsidR="001A47D6" w:rsidRPr="00E162C4" w:rsidRDefault="008D68DB" w:rsidP="001A47D6">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rsidRPr="00834BEC">
        <w:t>Question</w:t>
      </w:r>
      <w:r w:rsidDel="008D68DB">
        <w:t xml:space="preserve"> </w:t>
      </w:r>
      <w:r w:rsidR="00E12ED5">
        <w:t>5</w:t>
      </w:r>
    </w:p>
    <w:p w14:paraId="1A35CEC1" w14:textId="6578B63A" w:rsidR="001A47D6" w:rsidRDefault="001A47D6" w:rsidP="00103D6C">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Do you have any comments on </w:t>
      </w:r>
      <w:r w:rsidR="00026AB6">
        <w:t xml:space="preserve">the </w:t>
      </w:r>
      <w:r w:rsidR="000A469D">
        <w:t xml:space="preserve">categorisation of </w:t>
      </w:r>
      <w:r w:rsidR="00026AB6">
        <w:t xml:space="preserve">battery-powered </w:t>
      </w:r>
      <w:r w:rsidR="000A469D">
        <w:t xml:space="preserve">devices as </w:t>
      </w:r>
      <w:r w:rsidR="00A234DE">
        <w:br/>
      </w:r>
      <w:r w:rsidR="00EF5748">
        <w:t>low-risk</w:t>
      </w:r>
      <w:r w:rsidR="000A469D">
        <w:t xml:space="preserve"> devices</w:t>
      </w:r>
      <w:r w:rsidR="00026AB6">
        <w:t>?</w:t>
      </w:r>
    </w:p>
    <w:p w14:paraId="37FAED9C" w14:textId="77777777" w:rsidR="006C1631" w:rsidRPr="00E162C4" w:rsidRDefault="006C1631" w:rsidP="006C1631">
      <w:pPr>
        <w:pStyle w:val="Heading1"/>
      </w:pPr>
      <w:bookmarkStart w:id="17" w:name="_Toc149912277"/>
      <w:r w:rsidRPr="00E162C4">
        <w:lastRenderedPageBreak/>
        <w:t xml:space="preserve">Invitation to </w:t>
      </w:r>
      <w:proofErr w:type="gramStart"/>
      <w:r w:rsidRPr="00E162C4">
        <w:t>comment</w:t>
      </w:r>
      <w:bookmarkEnd w:id="17"/>
      <w:proofErr w:type="gramEnd"/>
    </w:p>
    <w:p w14:paraId="307A5CE1" w14:textId="77777777" w:rsidR="006C1631" w:rsidRPr="00E162C4" w:rsidRDefault="006C1631" w:rsidP="006C1631">
      <w:pPr>
        <w:pStyle w:val="Heading2"/>
      </w:pPr>
      <w:bookmarkStart w:id="18" w:name="_Toc433122131"/>
      <w:bookmarkStart w:id="19" w:name="_Toc348105637"/>
      <w:bookmarkStart w:id="20" w:name="_Toc300909556"/>
      <w:bookmarkStart w:id="21" w:name="_Toc298924673"/>
      <w:bookmarkStart w:id="22" w:name="_Toc348105638"/>
      <w:bookmarkStart w:id="23" w:name="_Toc300909557"/>
      <w:bookmarkStart w:id="24" w:name="_Toc298924674"/>
      <w:bookmarkStart w:id="25" w:name="_Toc274296357"/>
      <w:bookmarkStart w:id="26" w:name="_Toc149912278"/>
      <w:r w:rsidRPr="00E162C4">
        <w:t>Making a submission</w:t>
      </w:r>
      <w:bookmarkEnd w:id="18"/>
      <w:bookmarkEnd w:id="19"/>
      <w:bookmarkEnd w:id="20"/>
      <w:bookmarkEnd w:id="21"/>
      <w:bookmarkEnd w:id="26"/>
    </w:p>
    <w:p w14:paraId="6149EA18" w14:textId="14FE7E7A" w:rsidR="006C1631" w:rsidRPr="00E162C4" w:rsidRDefault="006C5FD4" w:rsidP="006C1631">
      <w:r w:rsidRPr="00E162C4">
        <w:t>We</w:t>
      </w:r>
      <w:r w:rsidR="006C1631" w:rsidRPr="00E162C4">
        <w:t xml:space="preserve"> invite comments on the issues set out in this </w:t>
      </w:r>
      <w:r w:rsidR="000B0A61">
        <w:t>consultation</w:t>
      </w:r>
      <w:r w:rsidR="000B0A61" w:rsidRPr="00E162C4">
        <w:t xml:space="preserve"> </w:t>
      </w:r>
      <w:r w:rsidR="006C1631" w:rsidRPr="00E162C4">
        <w:t xml:space="preserve">paper. </w:t>
      </w:r>
    </w:p>
    <w:p w14:paraId="6BA68A0F" w14:textId="77777777" w:rsidR="0070133D" w:rsidRPr="00E162C4" w:rsidRDefault="006D39D0" w:rsidP="0070133D">
      <w:pPr>
        <w:pStyle w:val="Bulletlevel1"/>
      </w:pPr>
      <w:hyperlink r:id="rId30" w:history="1">
        <w:r w:rsidR="0070133D" w:rsidRPr="00E162C4">
          <w:rPr>
            <w:rStyle w:val="Hyperlink"/>
          </w:rPr>
          <w:t>Online submissions</w:t>
        </w:r>
      </w:hyperlink>
      <w:r w:rsidR="0070133D" w:rsidRPr="00E162C4">
        <w:t xml:space="preserve"> can be made by uploading a document. Submissions in</w:t>
      </w:r>
      <w:r w:rsidR="00396DC2" w:rsidRPr="00E162C4">
        <w:t xml:space="preserve"> PDF, </w:t>
      </w:r>
      <w:r w:rsidR="0070133D" w:rsidRPr="00E162C4">
        <w:t>Microsoft Word or Rich Text Format are preferred.</w:t>
      </w:r>
    </w:p>
    <w:p w14:paraId="6F0B5E81" w14:textId="77777777" w:rsidR="006C1631" w:rsidRPr="00E162C4" w:rsidRDefault="006C1631" w:rsidP="0070133D">
      <w:pPr>
        <w:pStyle w:val="Bulletlevel1"/>
      </w:pPr>
      <w:r w:rsidRPr="00E162C4">
        <w:t xml:space="preserve">Submissions by post can be sent to: </w:t>
      </w:r>
    </w:p>
    <w:p w14:paraId="22355AD9" w14:textId="77777777" w:rsidR="006C1631" w:rsidRPr="00AD470F" w:rsidRDefault="006C1631" w:rsidP="006C1631">
      <w:pPr>
        <w:tabs>
          <w:tab w:val="num" w:pos="295"/>
        </w:tabs>
        <w:spacing w:after="0"/>
        <w:ind w:left="295"/>
        <w:rPr>
          <w:szCs w:val="20"/>
        </w:rPr>
      </w:pPr>
      <w:r w:rsidRPr="00AD470F">
        <w:rPr>
          <w:szCs w:val="20"/>
        </w:rPr>
        <w:t>The Manager</w:t>
      </w:r>
    </w:p>
    <w:p w14:paraId="73EB0488" w14:textId="119E2E07" w:rsidR="006C1631" w:rsidRPr="00AD470F" w:rsidRDefault="00AD470F" w:rsidP="006C1631">
      <w:pPr>
        <w:spacing w:after="0"/>
        <w:ind w:left="295"/>
        <w:rPr>
          <w:szCs w:val="20"/>
        </w:rPr>
      </w:pPr>
      <w:r w:rsidRPr="00AD470F">
        <w:rPr>
          <w:szCs w:val="20"/>
        </w:rPr>
        <w:t>Infrastructure and Equipment Safeguards Section</w:t>
      </w:r>
    </w:p>
    <w:p w14:paraId="1A19BD1C" w14:textId="77777777" w:rsidR="006C1631" w:rsidRPr="00AD470F" w:rsidRDefault="006C1631" w:rsidP="006C1631">
      <w:pPr>
        <w:spacing w:after="0"/>
        <w:ind w:left="295"/>
        <w:rPr>
          <w:szCs w:val="20"/>
        </w:rPr>
      </w:pPr>
      <w:r w:rsidRPr="00AD470F">
        <w:rPr>
          <w:szCs w:val="20"/>
        </w:rPr>
        <w:t>Australian Communications and Media Authority</w:t>
      </w:r>
    </w:p>
    <w:p w14:paraId="5BA56320" w14:textId="77777777" w:rsidR="00AD470F" w:rsidRPr="004F0496" w:rsidRDefault="00AD470F" w:rsidP="00AD470F">
      <w:pPr>
        <w:spacing w:after="0"/>
        <w:ind w:left="295"/>
        <w:rPr>
          <w:szCs w:val="20"/>
        </w:rPr>
      </w:pPr>
      <w:r w:rsidRPr="00AD470F">
        <w:rPr>
          <w:szCs w:val="20"/>
        </w:rPr>
        <w:t>PO Box 13112 Law Courts</w:t>
      </w:r>
    </w:p>
    <w:p w14:paraId="72D8A29B" w14:textId="77777777" w:rsidR="00AD470F" w:rsidRPr="00E162C4" w:rsidRDefault="00AD470F" w:rsidP="00AD470F">
      <w:pPr>
        <w:ind w:left="295"/>
        <w:rPr>
          <w:szCs w:val="20"/>
        </w:rPr>
      </w:pPr>
      <w:r>
        <w:rPr>
          <w:szCs w:val="20"/>
        </w:rPr>
        <w:t>Melbourne Victoria 8010</w:t>
      </w:r>
    </w:p>
    <w:p w14:paraId="30A9D558" w14:textId="499F4A52" w:rsidR="006C1631" w:rsidRPr="00F65AFB" w:rsidRDefault="006C1631" w:rsidP="006C1631">
      <w:pPr>
        <w:rPr>
          <w:b/>
        </w:rPr>
      </w:pPr>
      <w:r w:rsidRPr="00E162C4">
        <w:t xml:space="preserve">The closing date for submissions is </w:t>
      </w:r>
      <w:r w:rsidRPr="00103D6C">
        <w:rPr>
          <w:b/>
          <w:bCs/>
        </w:rPr>
        <w:t>COB,</w:t>
      </w:r>
      <w:r w:rsidRPr="00E162C4">
        <w:t xml:space="preserve"> </w:t>
      </w:r>
      <w:r w:rsidR="008D68DB">
        <w:rPr>
          <w:b/>
        </w:rPr>
        <w:t>Wednesday 20</w:t>
      </w:r>
      <w:r w:rsidR="00AD470F" w:rsidRPr="00F65AFB">
        <w:rPr>
          <w:b/>
        </w:rPr>
        <w:t xml:space="preserve"> December 2023</w:t>
      </w:r>
      <w:r w:rsidRPr="00E162C4">
        <w:t>.</w:t>
      </w:r>
    </w:p>
    <w:p w14:paraId="7E6A5D78" w14:textId="24C1316B" w:rsidR="006C1631" w:rsidRPr="00E162C4" w:rsidRDefault="006C1631" w:rsidP="006C1631">
      <w:pPr>
        <w:rPr>
          <w:szCs w:val="20"/>
        </w:rPr>
      </w:pPr>
      <w:r w:rsidRPr="00E162C4">
        <w:t xml:space="preserve">Consultation enquiries can be </w:t>
      </w:r>
      <w:r w:rsidRPr="00AD470F">
        <w:t xml:space="preserve">emailed </w:t>
      </w:r>
      <w:r w:rsidRPr="00AD470F">
        <w:rPr>
          <w:szCs w:val="20"/>
        </w:rPr>
        <w:t xml:space="preserve">to </w:t>
      </w:r>
      <w:hyperlink r:id="rId31" w:history="1">
        <w:r w:rsidR="00AD470F" w:rsidRPr="00AD470F">
          <w:rPr>
            <w:rStyle w:val="Hyperlink"/>
            <w:szCs w:val="20"/>
          </w:rPr>
          <w:t>techreg@acma.gov.au</w:t>
        </w:r>
      </w:hyperlink>
      <w:r w:rsidRPr="00AD470F">
        <w:rPr>
          <w:szCs w:val="20"/>
        </w:rPr>
        <w:t>.</w:t>
      </w:r>
    </w:p>
    <w:p w14:paraId="5190AFE4" w14:textId="77777777" w:rsidR="006C1631" w:rsidRPr="00E162C4" w:rsidRDefault="006C1631" w:rsidP="005B2F0D">
      <w:pPr>
        <w:pStyle w:val="Heading4"/>
      </w:pPr>
      <w:bookmarkStart w:id="27" w:name="_Toc348105639"/>
      <w:bookmarkStart w:id="28" w:name="_Toc300909558"/>
      <w:bookmarkStart w:id="29" w:name="_Hlk59627494"/>
      <w:bookmarkEnd w:id="22"/>
      <w:bookmarkEnd w:id="23"/>
      <w:r w:rsidRPr="00E162C4">
        <w:t>Publication of submissions</w:t>
      </w:r>
      <w:bookmarkEnd w:id="24"/>
      <w:bookmarkEnd w:id="25"/>
      <w:bookmarkEnd w:id="27"/>
      <w:bookmarkEnd w:id="28"/>
    </w:p>
    <w:p w14:paraId="36B89BDD" w14:textId="77777777" w:rsidR="006C1631" w:rsidRPr="00E162C4" w:rsidRDefault="006C5FD4" w:rsidP="006C1631">
      <w:bookmarkStart w:id="30" w:name="_Toc348105640"/>
      <w:bookmarkStart w:id="31" w:name="_Toc300909559"/>
      <w:bookmarkStart w:id="32" w:name="_Toc265246234"/>
      <w:r w:rsidRPr="00E162C4">
        <w:t>We</w:t>
      </w:r>
      <w:r w:rsidR="006C1631" w:rsidRPr="00E162C4">
        <w:t xml:space="preserve"> publish submissions on our website</w:t>
      </w:r>
      <w:r w:rsidR="006C1631" w:rsidRPr="00E162C4">
        <w:rPr>
          <w:rFonts w:cs="Arial"/>
        </w:rPr>
        <w:t>, including personal information (such as names and contact details)</w:t>
      </w:r>
      <w:r w:rsidR="006C1631" w:rsidRPr="00E162C4">
        <w:t xml:space="preserve">, except for information that you have claimed (and we have accepted) is confidential. </w:t>
      </w:r>
    </w:p>
    <w:p w14:paraId="6340458D" w14:textId="77777777" w:rsidR="006C1631" w:rsidRPr="00E162C4" w:rsidRDefault="006C1631" w:rsidP="006C1631">
      <w:r w:rsidRPr="00E162C4">
        <w:t>Confidential information will not be published or otherwise released unless required or authorised by law.</w:t>
      </w:r>
    </w:p>
    <w:p w14:paraId="33B90B04" w14:textId="77777777" w:rsidR="006C1631" w:rsidRPr="00E162C4" w:rsidRDefault="006C1631" w:rsidP="005B2F0D">
      <w:pPr>
        <w:pStyle w:val="Heading4"/>
      </w:pPr>
      <w:r w:rsidRPr="00E162C4">
        <w:t>Privacy</w:t>
      </w:r>
    </w:p>
    <w:p w14:paraId="5CE8554B" w14:textId="77777777" w:rsidR="006C1631" w:rsidRPr="00E162C4" w:rsidRDefault="00E21056" w:rsidP="005B2F0D">
      <w:pPr>
        <w:pStyle w:val="Paragraph"/>
      </w:pPr>
      <w:r w:rsidRPr="00E162C4">
        <w:t>View</w:t>
      </w:r>
      <w:r w:rsidR="006C1631" w:rsidRPr="00E162C4">
        <w:t xml:space="preserve"> information about </w:t>
      </w:r>
      <w:r w:rsidRPr="00E162C4">
        <w:t xml:space="preserve">our policy on the </w:t>
      </w:r>
      <w:hyperlink r:id="rId32" w:history="1">
        <w:r w:rsidRPr="00E162C4">
          <w:rPr>
            <w:rStyle w:val="Hyperlink"/>
          </w:rPr>
          <w:t>publication of submissions</w:t>
        </w:r>
      </w:hyperlink>
      <w:r w:rsidRPr="00E162C4">
        <w:t xml:space="preserve">, including </w:t>
      </w:r>
      <w:r w:rsidR="006C1631" w:rsidRPr="00E162C4">
        <w:t>collection of personal information during consultation and how we handle that information</w:t>
      </w:r>
      <w:r w:rsidRPr="00E162C4">
        <w:t>.</w:t>
      </w:r>
    </w:p>
    <w:bookmarkEnd w:id="30"/>
    <w:bookmarkEnd w:id="31"/>
    <w:bookmarkEnd w:id="32"/>
    <w:p w14:paraId="581D0AF7" w14:textId="77777777" w:rsidR="00A4193E" w:rsidRPr="00E162C4" w:rsidRDefault="006C1631" w:rsidP="005B2F0D">
      <w:pPr>
        <w:pStyle w:val="Paragraph"/>
      </w:pPr>
      <w:r w:rsidRPr="00E162C4">
        <w:t xml:space="preserve">Information on the </w:t>
      </w:r>
      <w:r w:rsidRPr="00E162C4">
        <w:rPr>
          <w:i/>
        </w:rPr>
        <w:t>Privacy Act 1988</w:t>
      </w:r>
      <w:r w:rsidR="006A4CCA" w:rsidRPr="00E162C4">
        <w:rPr>
          <w:i/>
        </w:rPr>
        <w:t xml:space="preserve">, </w:t>
      </w:r>
      <w:r w:rsidRPr="00E162C4">
        <w:t xml:space="preserve">how to access or correct personal information, how to make a privacy complaint and how we will deal with </w:t>
      </w:r>
      <w:r w:rsidR="006C5FD4" w:rsidRPr="00E162C4">
        <w:t xml:space="preserve">any </w:t>
      </w:r>
      <w:r w:rsidRPr="00E162C4">
        <w:t>complaint</w:t>
      </w:r>
      <w:r w:rsidR="006C5FD4" w:rsidRPr="00E162C4">
        <w:t>s</w:t>
      </w:r>
      <w:r w:rsidR="00BB6335" w:rsidRPr="00E162C4">
        <w:t>,</w:t>
      </w:r>
      <w:r w:rsidR="00CF0BFE" w:rsidRPr="00E162C4">
        <w:t xml:space="preserve"> </w:t>
      </w:r>
      <w:r w:rsidRPr="00E162C4">
        <w:t xml:space="preserve">is available </w:t>
      </w:r>
      <w:r w:rsidR="00E21056" w:rsidRPr="00E162C4">
        <w:t xml:space="preserve">in our </w:t>
      </w:r>
      <w:hyperlink r:id="rId33" w:history="1">
        <w:r w:rsidR="00E21056" w:rsidRPr="00E162C4">
          <w:rPr>
            <w:rStyle w:val="Hyperlink"/>
          </w:rPr>
          <w:t>privacy policy</w:t>
        </w:r>
      </w:hyperlink>
      <w:r w:rsidRPr="00E162C4">
        <w:t>.</w:t>
      </w:r>
      <w:r w:rsidR="00A4193E" w:rsidRPr="00E162C4">
        <w:t xml:space="preserve"> </w:t>
      </w:r>
    </w:p>
    <w:bookmarkEnd w:id="29"/>
    <w:p w14:paraId="71D03733" w14:textId="33807DED" w:rsidR="00A73ED4" w:rsidRDefault="00A73ED4" w:rsidP="00851F3F"/>
    <w:p w14:paraId="636BB999" w14:textId="77777777" w:rsidR="00A73ED4" w:rsidRDefault="00A73ED4">
      <w:pPr>
        <w:spacing w:after="0" w:line="240" w:lineRule="auto"/>
      </w:pPr>
      <w:r>
        <w:br w:type="page"/>
      </w:r>
    </w:p>
    <w:p w14:paraId="4F6E175D" w14:textId="54B9E3B3" w:rsidR="001C6883" w:rsidRPr="00410C42" w:rsidRDefault="00A73ED4" w:rsidP="00410C42">
      <w:pPr>
        <w:pStyle w:val="Heading1"/>
        <w:rPr>
          <w:szCs w:val="53"/>
        </w:rPr>
      </w:pPr>
      <w:bookmarkStart w:id="33" w:name="_Appendix_A:_Proposal"/>
      <w:bookmarkStart w:id="34" w:name="_Toc149912279"/>
      <w:bookmarkEnd w:id="33"/>
      <w:r w:rsidRPr="00F416ED">
        <w:rPr>
          <w:bCs w:val="0"/>
          <w:szCs w:val="53"/>
        </w:rPr>
        <w:lastRenderedPageBreak/>
        <w:t>Appendix A</w:t>
      </w:r>
      <w:r w:rsidR="00F416ED">
        <w:rPr>
          <w:bCs w:val="0"/>
          <w:szCs w:val="53"/>
        </w:rPr>
        <w:t>: Proposal to recognise EMC standards under European Directive 2014/30/</w:t>
      </w:r>
      <w:proofErr w:type="gramStart"/>
      <w:r w:rsidR="00F416ED">
        <w:rPr>
          <w:bCs w:val="0"/>
          <w:szCs w:val="53"/>
        </w:rPr>
        <w:t>EU</w:t>
      </w:r>
      <w:bookmarkEnd w:id="34"/>
      <w:proofErr w:type="gramEnd"/>
      <w:r w:rsidR="001C6883" w:rsidRPr="00410C42">
        <w:rPr>
          <w:szCs w:val="53"/>
        </w:rPr>
        <w:t xml:space="preserve"> </w:t>
      </w:r>
    </w:p>
    <w:p w14:paraId="5DAA57FA" w14:textId="77777777" w:rsidR="00F77301" w:rsidRPr="00F77301" w:rsidRDefault="00F77301" w:rsidP="003E5BD7">
      <w:pPr>
        <w:spacing w:after="160" w:line="259" w:lineRule="auto"/>
        <w:jc w:val="center"/>
        <w:rPr>
          <w:rFonts w:ascii="Calibri" w:eastAsia="Calibri" w:hAnsi="Calibri"/>
          <w:sz w:val="22"/>
          <w:szCs w:val="22"/>
          <w:lang w:eastAsia="en-US"/>
        </w:rPr>
      </w:pPr>
      <w:r w:rsidRPr="00F77301">
        <w:rPr>
          <w:rFonts w:ascii="Calibri" w:eastAsia="Calibri" w:hAnsi="Calibri"/>
          <w:noProof/>
          <w:sz w:val="22"/>
          <w:szCs w:val="22"/>
          <w:lang w:eastAsia="en-US"/>
        </w:rPr>
        <mc:AlternateContent>
          <mc:Choice Requires="wps">
            <w:drawing>
              <wp:anchor distT="0" distB="0" distL="114300" distR="114300" simplePos="0" relativeHeight="251658241" behindDoc="0" locked="0" layoutInCell="1" allowOverlap="1" wp14:anchorId="76448D49" wp14:editId="2F4712B2">
                <wp:simplePos x="0" y="0"/>
                <wp:positionH relativeFrom="margin">
                  <wp:posOffset>2388870</wp:posOffset>
                </wp:positionH>
                <wp:positionV relativeFrom="paragraph">
                  <wp:posOffset>243950</wp:posOffset>
                </wp:positionV>
                <wp:extent cx="836295" cy="604300"/>
                <wp:effectExtent l="0" t="0" r="20955" b="247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6295" cy="604300"/>
                        </a:xfrm>
                        <a:prstGeom prst="rect">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wps:spPr>
                      <wps:txbx>
                        <w:txbxContent>
                          <w:p w14:paraId="799745E6" w14:textId="77777777" w:rsidR="00F77301" w:rsidRPr="003E5BD7" w:rsidRDefault="00F77301" w:rsidP="00F77301">
                            <w:pPr>
                              <w:jc w:val="center"/>
                              <w:rPr>
                                <w:rFonts w:cs="Arial"/>
                                <w:b/>
                                <w:color w:val="000000"/>
                                <w:sz w:val="18"/>
                                <w:szCs w:val="18"/>
                              </w:rPr>
                            </w:pPr>
                            <w:r w:rsidRPr="003E5BD7">
                              <w:rPr>
                                <w:rFonts w:cs="Arial"/>
                                <w:b/>
                                <w:color w:val="000000"/>
                                <w:sz w:val="18"/>
                                <w:szCs w:val="18"/>
                              </w:rPr>
                              <w:t>Currently recognised by ACMA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48D49" id="Rectangle 2" o:spid="_x0000_s1026" alt="&quot;&quot;" style="position:absolute;left:0;text-align:left;margin-left:188.1pt;margin-top:19.2pt;width:65.85pt;height:47.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" fillcolor="#fde9d9 [665]" strokecolor="#fde9d9 [665]" strokeweight="1pt">
                <v:textbox>
                  <w:txbxContent>
                    <w:p w14:paraId="799745E6" w14:textId="77777777" w:rsidR="00F77301" w:rsidRPr="003E5BD7" w:rsidRDefault="00F77301" w:rsidP="00F77301">
                      <w:pPr>
                        <w:jc w:val="center"/>
                        <w:rPr>
                          <w:rFonts w:cs="Arial"/>
                          <w:b/>
                          <w:color w:val="000000"/>
                          <w:sz w:val="18"/>
                          <w:szCs w:val="18"/>
                        </w:rPr>
                      </w:pPr>
                      <w:r w:rsidRPr="003E5BD7">
                        <w:rPr>
                          <w:rFonts w:cs="Arial"/>
                          <w:b/>
                          <w:color w:val="000000"/>
                          <w:sz w:val="18"/>
                          <w:szCs w:val="18"/>
                        </w:rPr>
                        <w:t>Currently recognised by ACMA</w:t>
                      </w:r>
                    </w:p>
                  </w:txbxContent>
                </v:textbox>
                <w10:wrap anchorx="margin"/>
              </v:rect>
            </w:pict>
          </mc:Fallback>
        </mc:AlternateContent>
      </w:r>
      <w:r w:rsidRPr="00F77301">
        <w:rPr>
          <w:rFonts w:ascii="Calibri" w:eastAsia="Calibri" w:hAnsi="Calibri"/>
          <w:noProof/>
          <w:sz w:val="22"/>
          <w:szCs w:val="22"/>
          <w:lang w:eastAsia="en-US"/>
        </w:rPr>
        <mc:AlternateContent>
          <mc:Choice Requires="wps">
            <w:drawing>
              <wp:anchor distT="0" distB="0" distL="114300" distR="114300" simplePos="0" relativeHeight="251658240" behindDoc="0" locked="0" layoutInCell="1" allowOverlap="1" wp14:anchorId="71DDF8BF" wp14:editId="54A514B3">
                <wp:simplePos x="0" y="0"/>
                <wp:positionH relativeFrom="column">
                  <wp:posOffset>1132564</wp:posOffset>
                </wp:positionH>
                <wp:positionV relativeFrom="paragraph">
                  <wp:posOffset>251901</wp:posOffset>
                </wp:positionV>
                <wp:extent cx="810883" cy="620201"/>
                <wp:effectExtent l="0" t="0" r="27940" b="279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0883" cy="620201"/>
                        </a:xfrm>
                        <a:prstGeom prst="rect">
                          <a:avLst/>
                        </a:prstGeom>
                        <a:solidFill>
                          <a:schemeClr val="accent4">
                            <a:lumMod val="20000"/>
                            <a:lumOff val="80000"/>
                          </a:schemeClr>
                        </a:solidFill>
                        <a:ln w="12700" cap="flat" cmpd="sng" algn="ctr">
                          <a:solidFill>
                            <a:schemeClr val="accent4">
                              <a:lumMod val="20000"/>
                              <a:lumOff val="80000"/>
                            </a:schemeClr>
                          </a:solidFill>
                          <a:prstDash val="solid"/>
                          <a:miter lim="800000"/>
                        </a:ln>
                        <a:effectLst/>
                      </wps:spPr>
                      <wps:txbx>
                        <w:txbxContent>
                          <w:p w14:paraId="68FAD3AB" w14:textId="77777777" w:rsidR="00F77301" w:rsidRPr="00F77301" w:rsidRDefault="00F77301" w:rsidP="00F77301">
                            <w:pPr>
                              <w:jc w:val="center"/>
                              <w:rPr>
                                <w:b/>
                                <w:bCs/>
                                <w:color w:val="000000"/>
                                <w:sz w:val="18"/>
                                <w:szCs w:val="18"/>
                              </w:rPr>
                            </w:pPr>
                            <w:r w:rsidRPr="00F77301">
                              <w:rPr>
                                <w:b/>
                                <w:bCs/>
                                <w:color w:val="000000"/>
                                <w:sz w:val="18"/>
                                <w:szCs w:val="18"/>
                              </w:rPr>
                              <w:t>Proposal to recognise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DF8BF" id="Rectangle 6" o:spid="_x0000_s1027" alt="&quot;&quot;" style="position:absolute;left:0;text-align:left;margin-left:89.2pt;margin-top:19.85pt;width:63.85pt;height:4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" fillcolor="#e5dfec [663]" strokecolor="#e5dfec [663]" strokeweight="1pt">
                <v:textbox>
                  <w:txbxContent>
                    <w:p w14:paraId="68FAD3AB" w14:textId="77777777" w:rsidR="00F77301" w:rsidRPr="00F77301" w:rsidRDefault="00F77301" w:rsidP="00F77301">
                      <w:pPr>
                        <w:jc w:val="center"/>
                        <w:rPr>
                          <w:b/>
                          <w:bCs/>
                          <w:color w:val="000000"/>
                          <w:sz w:val="18"/>
                          <w:szCs w:val="18"/>
                        </w:rPr>
                      </w:pPr>
                      <w:r w:rsidRPr="00F77301">
                        <w:rPr>
                          <w:b/>
                          <w:bCs/>
                          <w:color w:val="000000"/>
                          <w:sz w:val="18"/>
                          <w:szCs w:val="18"/>
                        </w:rPr>
                        <w:t>Proposal to recognise</w:t>
                      </w:r>
                    </w:p>
                  </w:txbxContent>
                </v:textbox>
              </v:rect>
            </w:pict>
          </mc:Fallback>
        </mc:AlternateContent>
      </w:r>
    </w:p>
    <w:p w14:paraId="549C643D" w14:textId="77777777" w:rsidR="00F77301" w:rsidRPr="00F77301" w:rsidRDefault="00F77301" w:rsidP="00F77301">
      <w:pPr>
        <w:spacing w:after="160" w:line="259" w:lineRule="auto"/>
        <w:rPr>
          <w:rFonts w:ascii="Calibri" w:eastAsia="Calibri" w:hAnsi="Calibri"/>
          <w:sz w:val="22"/>
          <w:szCs w:val="22"/>
          <w:lang w:eastAsia="en-US"/>
        </w:rPr>
      </w:pPr>
    </w:p>
    <w:p w14:paraId="0EBE5C58" w14:textId="77777777" w:rsidR="00F77301" w:rsidRPr="00F77301" w:rsidRDefault="00F77301" w:rsidP="00F77301">
      <w:pPr>
        <w:spacing w:after="160" w:line="259" w:lineRule="auto"/>
        <w:rPr>
          <w:rFonts w:ascii="Calibri" w:eastAsia="Calibri" w:hAnsi="Calibri"/>
          <w:sz w:val="22"/>
          <w:szCs w:val="22"/>
          <w:lang w:eastAsia="en-US"/>
        </w:rPr>
      </w:pPr>
      <w:r w:rsidRPr="00F77301">
        <w:rPr>
          <w:rFonts w:ascii="Calibri" w:eastAsia="Calibri" w:hAnsi="Calibri"/>
          <w:sz w:val="22"/>
          <w:szCs w:val="22"/>
          <w:lang w:eastAsia="en-US"/>
        </w:rPr>
        <w:tab/>
      </w:r>
      <w:r w:rsidRPr="00F77301">
        <w:rPr>
          <w:rFonts w:ascii="Calibri" w:eastAsia="Calibri" w:hAnsi="Calibri"/>
          <w:sz w:val="22"/>
          <w:szCs w:val="22"/>
          <w:lang w:eastAsia="en-US"/>
        </w:rPr>
        <w:tab/>
      </w:r>
    </w:p>
    <w:p w14:paraId="37E949D3" w14:textId="77777777" w:rsidR="00F77301" w:rsidRPr="00F77301" w:rsidRDefault="00F77301" w:rsidP="00F77301">
      <w:pPr>
        <w:spacing w:after="160" w:line="259" w:lineRule="auto"/>
        <w:rPr>
          <w:rFonts w:ascii="Calibri" w:eastAsia="Calibri" w:hAnsi="Calibri"/>
          <w:sz w:val="22"/>
          <w:szCs w:val="22"/>
          <w:lang w:eastAsia="en-US"/>
        </w:rPr>
      </w:pPr>
    </w:p>
    <w:tbl>
      <w:tblPr>
        <w:tblStyle w:val="TableGrid3"/>
        <w:tblW w:w="8375" w:type="dxa"/>
        <w:tblInd w:w="-5" w:type="dxa"/>
        <w:tblLook w:val="04A0" w:firstRow="1" w:lastRow="0" w:firstColumn="1" w:lastColumn="0" w:noHBand="0" w:noVBand="1"/>
      </w:tblPr>
      <w:tblGrid>
        <w:gridCol w:w="548"/>
        <w:gridCol w:w="2209"/>
        <w:gridCol w:w="5618"/>
      </w:tblGrid>
      <w:tr w:rsidR="00A21257" w:rsidRPr="00AA3768" w14:paraId="6BFD7C74" w14:textId="77777777" w:rsidTr="00103D6C">
        <w:tc>
          <w:tcPr>
            <w:tcW w:w="548" w:type="dxa"/>
            <w:shd w:val="clear" w:color="auto" w:fill="E5DFEC" w:themeFill="accent4" w:themeFillTint="33"/>
          </w:tcPr>
          <w:p w14:paraId="6455CC1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w:t>
            </w:r>
          </w:p>
        </w:tc>
        <w:tc>
          <w:tcPr>
            <w:tcW w:w="2209" w:type="dxa"/>
            <w:shd w:val="clear" w:color="auto" w:fill="E5DFEC" w:themeFill="accent4" w:themeFillTint="33"/>
          </w:tcPr>
          <w:p w14:paraId="4A83D85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617</w:t>
            </w:r>
          </w:p>
        </w:tc>
        <w:tc>
          <w:tcPr>
            <w:tcW w:w="5618" w:type="dxa"/>
            <w:shd w:val="clear" w:color="auto" w:fill="E5DFEC" w:themeFill="accent4" w:themeFillTint="33"/>
          </w:tcPr>
          <w:p w14:paraId="3F10363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Continuous handling equipment and systems -Safety and EMC requirements for the equipment for the storage of bulk materials in silos, bunkers, bins and hoppers</w:t>
            </w:r>
          </w:p>
        </w:tc>
      </w:tr>
      <w:tr w:rsidR="00A21257" w:rsidRPr="00AA3768" w14:paraId="7F1C137C" w14:textId="77777777" w:rsidTr="00103D6C">
        <w:tc>
          <w:tcPr>
            <w:tcW w:w="548" w:type="dxa"/>
            <w:shd w:val="clear" w:color="auto" w:fill="E5DFEC" w:themeFill="accent4" w:themeFillTint="33"/>
          </w:tcPr>
          <w:p w14:paraId="769C541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2</w:t>
            </w:r>
          </w:p>
        </w:tc>
        <w:tc>
          <w:tcPr>
            <w:tcW w:w="2209" w:type="dxa"/>
            <w:shd w:val="clear" w:color="auto" w:fill="E5DFEC" w:themeFill="accent4" w:themeFillTint="33"/>
          </w:tcPr>
          <w:p w14:paraId="6653E4F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618</w:t>
            </w:r>
          </w:p>
        </w:tc>
        <w:tc>
          <w:tcPr>
            <w:tcW w:w="5618" w:type="dxa"/>
            <w:shd w:val="clear" w:color="auto" w:fill="E5DFEC" w:themeFill="accent4" w:themeFillTint="33"/>
          </w:tcPr>
          <w:p w14:paraId="5BEBC61C" w14:textId="62C36135" w:rsidR="00AA3768" w:rsidRPr="00AA3768" w:rsidRDefault="00AA3768" w:rsidP="00A9582E">
            <w:pPr>
              <w:spacing w:after="0" w:line="240" w:lineRule="auto"/>
              <w:rPr>
                <w:rFonts w:ascii="Calibri" w:hAnsi="Calibri"/>
                <w:sz w:val="16"/>
                <w:szCs w:val="16"/>
              </w:rPr>
            </w:pPr>
            <w:r w:rsidRPr="00AA3768">
              <w:rPr>
                <w:rFonts w:ascii="Calibri" w:hAnsi="Calibri"/>
                <w:sz w:val="16"/>
                <w:szCs w:val="16"/>
              </w:rPr>
              <w:t>Continuous handling equipment and systems -Safety and EMC requirements for equipment</w:t>
            </w:r>
            <w:r w:rsidR="00A9582E">
              <w:rPr>
                <w:rFonts w:ascii="Calibri" w:hAnsi="Calibri"/>
                <w:sz w:val="16"/>
                <w:szCs w:val="16"/>
              </w:rPr>
              <w:t xml:space="preserve"> </w:t>
            </w:r>
            <w:r w:rsidRPr="00AA3768">
              <w:rPr>
                <w:rFonts w:ascii="Calibri" w:hAnsi="Calibri"/>
                <w:sz w:val="16"/>
                <w:szCs w:val="16"/>
              </w:rPr>
              <w:t>for mechanical handling of bulk materials except fixed belt conveyors</w:t>
            </w:r>
          </w:p>
        </w:tc>
      </w:tr>
      <w:tr w:rsidR="00A21257" w:rsidRPr="00AA3768" w14:paraId="63968444" w14:textId="77777777" w:rsidTr="00103D6C">
        <w:tc>
          <w:tcPr>
            <w:tcW w:w="548" w:type="dxa"/>
            <w:shd w:val="clear" w:color="auto" w:fill="E5DFEC" w:themeFill="accent4" w:themeFillTint="33"/>
          </w:tcPr>
          <w:p w14:paraId="73246AC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3</w:t>
            </w:r>
          </w:p>
        </w:tc>
        <w:tc>
          <w:tcPr>
            <w:tcW w:w="2209" w:type="dxa"/>
            <w:shd w:val="clear" w:color="auto" w:fill="E5DFEC" w:themeFill="accent4" w:themeFillTint="33"/>
          </w:tcPr>
          <w:p w14:paraId="5721B33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620</w:t>
            </w:r>
          </w:p>
        </w:tc>
        <w:tc>
          <w:tcPr>
            <w:tcW w:w="5618" w:type="dxa"/>
            <w:shd w:val="clear" w:color="auto" w:fill="E5DFEC" w:themeFill="accent4" w:themeFillTint="33"/>
          </w:tcPr>
          <w:p w14:paraId="5BD05D42" w14:textId="44233EA6" w:rsidR="00AA3768" w:rsidRPr="00AA3768" w:rsidRDefault="00AA3768" w:rsidP="00A9582E">
            <w:pPr>
              <w:spacing w:after="0" w:line="240" w:lineRule="auto"/>
              <w:rPr>
                <w:rFonts w:ascii="Calibri" w:hAnsi="Calibri"/>
                <w:sz w:val="16"/>
                <w:szCs w:val="16"/>
              </w:rPr>
            </w:pPr>
            <w:r w:rsidRPr="00AA3768">
              <w:rPr>
                <w:rFonts w:ascii="Calibri" w:hAnsi="Calibri"/>
                <w:sz w:val="16"/>
                <w:szCs w:val="16"/>
              </w:rPr>
              <w:t>Continuous handling equipment and systems - Safety and EMC requirements for fixed belt</w:t>
            </w:r>
            <w:r w:rsidR="00A9582E">
              <w:rPr>
                <w:rFonts w:ascii="Calibri" w:hAnsi="Calibri"/>
                <w:sz w:val="16"/>
                <w:szCs w:val="16"/>
              </w:rPr>
              <w:t xml:space="preserve"> </w:t>
            </w:r>
            <w:r w:rsidRPr="00AA3768">
              <w:rPr>
                <w:rFonts w:ascii="Calibri" w:hAnsi="Calibri"/>
                <w:sz w:val="16"/>
                <w:szCs w:val="16"/>
              </w:rPr>
              <w:t>conveyors for bulk materials</w:t>
            </w:r>
          </w:p>
        </w:tc>
      </w:tr>
      <w:tr w:rsidR="00A21257" w:rsidRPr="00AA3768" w14:paraId="77B9DBC7" w14:textId="77777777" w:rsidTr="00103D6C">
        <w:tc>
          <w:tcPr>
            <w:tcW w:w="548" w:type="dxa"/>
            <w:shd w:val="clear" w:color="auto" w:fill="E5DFEC" w:themeFill="accent4" w:themeFillTint="33"/>
          </w:tcPr>
          <w:p w14:paraId="205D15F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4</w:t>
            </w:r>
          </w:p>
        </w:tc>
        <w:tc>
          <w:tcPr>
            <w:tcW w:w="2209" w:type="dxa"/>
            <w:shd w:val="clear" w:color="auto" w:fill="E5DFEC" w:themeFill="accent4" w:themeFillTint="33"/>
          </w:tcPr>
          <w:p w14:paraId="2E21A3B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1155</w:t>
            </w:r>
          </w:p>
        </w:tc>
        <w:tc>
          <w:tcPr>
            <w:tcW w:w="5618" w:type="dxa"/>
            <w:shd w:val="clear" w:color="auto" w:fill="E5DFEC" w:themeFill="accent4" w:themeFillTint="33"/>
          </w:tcPr>
          <w:p w14:paraId="5B917EC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Building hardware - Electrically powered hold-open devices for swing doors - Requirements and test methods</w:t>
            </w:r>
          </w:p>
        </w:tc>
      </w:tr>
      <w:tr w:rsidR="00A21257" w:rsidRPr="00AA3768" w14:paraId="02C860E5" w14:textId="77777777" w:rsidTr="00103D6C">
        <w:tc>
          <w:tcPr>
            <w:tcW w:w="548" w:type="dxa"/>
            <w:shd w:val="clear" w:color="auto" w:fill="E5DFEC" w:themeFill="accent4" w:themeFillTint="33"/>
          </w:tcPr>
          <w:p w14:paraId="30315DA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5</w:t>
            </w:r>
          </w:p>
        </w:tc>
        <w:tc>
          <w:tcPr>
            <w:tcW w:w="2209" w:type="dxa"/>
            <w:shd w:val="clear" w:color="auto" w:fill="E5DFEC" w:themeFill="accent4" w:themeFillTint="33"/>
          </w:tcPr>
          <w:p w14:paraId="70E37D6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12015</w:t>
            </w:r>
          </w:p>
        </w:tc>
        <w:tc>
          <w:tcPr>
            <w:tcW w:w="5618" w:type="dxa"/>
            <w:shd w:val="clear" w:color="auto" w:fill="E5DFEC" w:themeFill="accent4" w:themeFillTint="33"/>
          </w:tcPr>
          <w:p w14:paraId="624EC42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Electromagnetic compatibility – Product family standard for lifts, escalators and moving walks - Emission</w:t>
            </w:r>
          </w:p>
        </w:tc>
      </w:tr>
      <w:tr w:rsidR="00A21257" w:rsidRPr="00AA3768" w14:paraId="3E2811C8" w14:textId="77777777" w:rsidTr="00103D6C">
        <w:tc>
          <w:tcPr>
            <w:tcW w:w="548" w:type="dxa"/>
            <w:shd w:val="clear" w:color="auto" w:fill="E5DFEC" w:themeFill="accent4" w:themeFillTint="33"/>
          </w:tcPr>
          <w:p w14:paraId="5C39D84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6</w:t>
            </w:r>
          </w:p>
        </w:tc>
        <w:tc>
          <w:tcPr>
            <w:tcW w:w="2209" w:type="dxa"/>
            <w:shd w:val="clear" w:color="auto" w:fill="E5DFEC" w:themeFill="accent4" w:themeFillTint="33"/>
          </w:tcPr>
          <w:p w14:paraId="322BFB23"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12895</w:t>
            </w:r>
          </w:p>
        </w:tc>
        <w:tc>
          <w:tcPr>
            <w:tcW w:w="5618" w:type="dxa"/>
            <w:shd w:val="clear" w:color="auto" w:fill="E5DFEC" w:themeFill="accent4" w:themeFillTint="33"/>
          </w:tcPr>
          <w:p w14:paraId="5C4E2D2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Industrial trucks – Electromagnetic compatibility</w:t>
            </w:r>
          </w:p>
        </w:tc>
      </w:tr>
      <w:tr w:rsidR="00A21257" w:rsidRPr="00AA3768" w14:paraId="72487C65" w14:textId="77777777" w:rsidTr="00103D6C">
        <w:tc>
          <w:tcPr>
            <w:tcW w:w="548" w:type="dxa"/>
            <w:shd w:val="clear" w:color="auto" w:fill="E5DFEC" w:themeFill="accent4" w:themeFillTint="33"/>
          </w:tcPr>
          <w:p w14:paraId="223EF7DB"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7</w:t>
            </w:r>
          </w:p>
        </w:tc>
        <w:tc>
          <w:tcPr>
            <w:tcW w:w="2209" w:type="dxa"/>
            <w:shd w:val="clear" w:color="auto" w:fill="E5DFEC" w:themeFill="accent4" w:themeFillTint="33"/>
          </w:tcPr>
          <w:p w14:paraId="64B749F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13241-1</w:t>
            </w:r>
          </w:p>
        </w:tc>
        <w:tc>
          <w:tcPr>
            <w:tcW w:w="5618" w:type="dxa"/>
            <w:shd w:val="clear" w:color="auto" w:fill="E5DFEC" w:themeFill="accent4" w:themeFillTint="33"/>
          </w:tcPr>
          <w:p w14:paraId="669EB9B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Industrial, commercial and garage doors and gates - Product standard - Part 1: Products without fire resistance or smoke control characteristics</w:t>
            </w:r>
          </w:p>
        </w:tc>
      </w:tr>
      <w:tr w:rsidR="00A21257" w:rsidRPr="00AA3768" w14:paraId="367AD78F" w14:textId="77777777" w:rsidTr="00103D6C">
        <w:tc>
          <w:tcPr>
            <w:tcW w:w="548" w:type="dxa"/>
            <w:shd w:val="clear" w:color="auto" w:fill="FDE9D9" w:themeFill="accent6" w:themeFillTint="33"/>
          </w:tcPr>
          <w:p w14:paraId="61D92EB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8</w:t>
            </w:r>
          </w:p>
        </w:tc>
        <w:tc>
          <w:tcPr>
            <w:tcW w:w="2209" w:type="dxa"/>
            <w:shd w:val="clear" w:color="auto" w:fill="FDE9D9" w:themeFill="accent6" w:themeFillTint="33"/>
          </w:tcPr>
          <w:p w14:paraId="63E3193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ISO 13766-1</w:t>
            </w:r>
          </w:p>
        </w:tc>
        <w:tc>
          <w:tcPr>
            <w:tcW w:w="5618" w:type="dxa"/>
            <w:shd w:val="clear" w:color="auto" w:fill="FDE9D9" w:themeFill="accent6" w:themeFillTint="33"/>
          </w:tcPr>
          <w:p w14:paraId="1A4A7BC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Earth-moving and building construction machinery - Electromagnetic compatibility (EMC) of machines with internal electrical power supply - Part 1: General EMC requirements under typical electromagnetic environmental conditions (ISO 13766-1:2018)</w:t>
            </w:r>
          </w:p>
        </w:tc>
      </w:tr>
      <w:tr w:rsidR="00A21257" w:rsidRPr="00AA3768" w14:paraId="6AAF177F" w14:textId="77777777" w:rsidTr="00103D6C">
        <w:tc>
          <w:tcPr>
            <w:tcW w:w="548" w:type="dxa"/>
            <w:shd w:val="clear" w:color="auto" w:fill="E5DFEC" w:themeFill="accent4" w:themeFillTint="33"/>
          </w:tcPr>
          <w:p w14:paraId="21AC5C1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9</w:t>
            </w:r>
          </w:p>
        </w:tc>
        <w:tc>
          <w:tcPr>
            <w:tcW w:w="2209" w:type="dxa"/>
            <w:shd w:val="clear" w:color="auto" w:fill="E5DFEC" w:themeFill="accent4" w:themeFillTint="33"/>
          </w:tcPr>
          <w:p w14:paraId="6C56DC90"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14010</w:t>
            </w:r>
          </w:p>
        </w:tc>
        <w:tc>
          <w:tcPr>
            <w:tcW w:w="5618" w:type="dxa"/>
            <w:shd w:val="clear" w:color="auto" w:fill="E5DFEC" w:themeFill="accent4" w:themeFillTint="33"/>
          </w:tcPr>
          <w:p w14:paraId="5B586F3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Safety of machinery - Equipment for power driven parking of motor vehicles - Safety and EMC requirements for design, manufacturing, erection and commissioning stages</w:t>
            </w:r>
          </w:p>
        </w:tc>
      </w:tr>
      <w:tr w:rsidR="00A21257" w:rsidRPr="00AA3768" w14:paraId="761D7FD1" w14:textId="77777777" w:rsidTr="00103D6C">
        <w:tc>
          <w:tcPr>
            <w:tcW w:w="548" w:type="dxa"/>
            <w:shd w:val="clear" w:color="auto" w:fill="FDE9D9" w:themeFill="accent6" w:themeFillTint="33"/>
          </w:tcPr>
          <w:p w14:paraId="5A255BC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10</w:t>
            </w:r>
          </w:p>
        </w:tc>
        <w:tc>
          <w:tcPr>
            <w:tcW w:w="2209" w:type="dxa"/>
            <w:shd w:val="clear" w:color="auto" w:fill="FDE9D9" w:themeFill="accent6" w:themeFillTint="33"/>
          </w:tcPr>
          <w:p w14:paraId="663E7F5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ISO 14982</w:t>
            </w:r>
          </w:p>
        </w:tc>
        <w:tc>
          <w:tcPr>
            <w:tcW w:w="5618" w:type="dxa"/>
            <w:shd w:val="clear" w:color="auto" w:fill="FDE9D9" w:themeFill="accent6" w:themeFillTint="33"/>
          </w:tcPr>
          <w:p w14:paraId="06A8003B"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Agricultural and forestry machinery - Electromagnetic compatibility - Test methods and acceptance criteria (ISO 14982:1998)</w:t>
            </w:r>
          </w:p>
        </w:tc>
      </w:tr>
      <w:tr w:rsidR="00A21257" w:rsidRPr="00AA3768" w14:paraId="2286C718" w14:textId="77777777" w:rsidTr="00103D6C">
        <w:tc>
          <w:tcPr>
            <w:tcW w:w="548" w:type="dxa"/>
            <w:shd w:val="clear" w:color="auto" w:fill="E5DFEC" w:themeFill="accent4" w:themeFillTint="33"/>
          </w:tcPr>
          <w:p w14:paraId="64BD717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11</w:t>
            </w:r>
          </w:p>
        </w:tc>
        <w:tc>
          <w:tcPr>
            <w:tcW w:w="2209" w:type="dxa"/>
            <w:shd w:val="clear" w:color="auto" w:fill="E5DFEC" w:themeFill="accent4" w:themeFillTint="33"/>
          </w:tcPr>
          <w:p w14:paraId="52B66B2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16361</w:t>
            </w:r>
          </w:p>
        </w:tc>
        <w:tc>
          <w:tcPr>
            <w:tcW w:w="5618" w:type="dxa"/>
            <w:shd w:val="clear" w:color="auto" w:fill="E5DFEC" w:themeFill="accent4" w:themeFillTint="33"/>
          </w:tcPr>
          <w:p w14:paraId="3B395BE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Power operated pedestrian doors – Product standard, performance characteristics - Pedestrian doorsets, other than swing type, initially designed for installation with power operation</w:t>
            </w:r>
          </w:p>
        </w:tc>
      </w:tr>
      <w:tr w:rsidR="00A21257" w:rsidRPr="00AA3768" w14:paraId="06495F58" w14:textId="77777777" w:rsidTr="00103D6C">
        <w:tc>
          <w:tcPr>
            <w:tcW w:w="548" w:type="dxa"/>
            <w:shd w:val="clear" w:color="auto" w:fill="FDE9D9" w:themeFill="accent6" w:themeFillTint="33"/>
          </w:tcPr>
          <w:p w14:paraId="27909CF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12</w:t>
            </w:r>
          </w:p>
        </w:tc>
        <w:tc>
          <w:tcPr>
            <w:tcW w:w="2209" w:type="dxa"/>
            <w:shd w:val="clear" w:color="auto" w:fill="FDE9D9" w:themeFill="accent6" w:themeFillTint="33"/>
          </w:tcPr>
          <w:p w14:paraId="71E280E0"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50065-1</w:t>
            </w:r>
          </w:p>
        </w:tc>
        <w:tc>
          <w:tcPr>
            <w:tcW w:w="5618" w:type="dxa"/>
            <w:shd w:val="clear" w:color="auto" w:fill="FDE9D9" w:themeFill="accent6" w:themeFillTint="33"/>
          </w:tcPr>
          <w:p w14:paraId="197706B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Signalling on low-voltage electrical installations in the frequency range 3 kHz to 148,5 kHz - Part 1: General requirements, frequency bands and electromagnetic disturbances</w:t>
            </w:r>
          </w:p>
        </w:tc>
      </w:tr>
      <w:tr w:rsidR="00A21257" w:rsidRPr="00AA3768" w14:paraId="736DB452" w14:textId="77777777" w:rsidTr="00103D6C">
        <w:tc>
          <w:tcPr>
            <w:tcW w:w="548" w:type="dxa"/>
            <w:shd w:val="clear" w:color="auto" w:fill="FDE9D9" w:themeFill="accent6" w:themeFillTint="33"/>
          </w:tcPr>
          <w:p w14:paraId="47DB63A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13</w:t>
            </w:r>
          </w:p>
        </w:tc>
        <w:tc>
          <w:tcPr>
            <w:tcW w:w="2209" w:type="dxa"/>
            <w:shd w:val="clear" w:color="auto" w:fill="FDE9D9" w:themeFill="accent6" w:themeFillTint="33"/>
          </w:tcPr>
          <w:p w14:paraId="468B99D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50083-2</w:t>
            </w:r>
          </w:p>
        </w:tc>
        <w:tc>
          <w:tcPr>
            <w:tcW w:w="5618" w:type="dxa"/>
            <w:shd w:val="clear" w:color="auto" w:fill="FDE9D9" w:themeFill="accent6" w:themeFillTint="33"/>
          </w:tcPr>
          <w:p w14:paraId="749AD86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Cable networks for television signals, sound signals and interactive services - Part 2: Electromagnetic compatibility for equipment</w:t>
            </w:r>
          </w:p>
        </w:tc>
      </w:tr>
      <w:tr w:rsidR="00A21257" w:rsidRPr="00AA3768" w14:paraId="06DB7EB3" w14:textId="77777777" w:rsidTr="00103D6C">
        <w:tc>
          <w:tcPr>
            <w:tcW w:w="548" w:type="dxa"/>
            <w:shd w:val="clear" w:color="auto" w:fill="E5DFEC" w:themeFill="accent4" w:themeFillTint="33"/>
          </w:tcPr>
          <w:p w14:paraId="52ABAF30"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14</w:t>
            </w:r>
          </w:p>
        </w:tc>
        <w:tc>
          <w:tcPr>
            <w:tcW w:w="2209" w:type="dxa"/>
            <w:shd w:val="clear" w:color="auto" w:fill="E5DFEC" w:themeFill="accent4" w:themeFillTint="33"/>
          </w:tcPr>
          <w:p w14:paraId="1F6CB8F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50121-1</w:t>
            </w:r>
          </w:p>
        </w:tc>
        <w:tc>
          <w:tcPr>
            <w:tcW w:w="5618" w:type="dxa"/>
            <w:shd w:val="clear" w:color="auto" w:fill="E5DFEC" w:themeFill="accent4" w:themeFillTint="33"/>
          </w:tcPr>
          <w:p w14:paraId="29002D6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Railway applications – Electromagnetic compatibility - Part 1: General</w:t>
            </w:r>
          </w:p>
        </w:tc>
      </w:tr>
      <w:tr w:rsidR="00A21257" w:rsidRPr="00AA3768" w14:paraId="75C6642A" w14:textId="77777777" w:rsidTr="00103D6C">
        <w:tc>
          <w:tcPr>
            <w:tcW w:w="548" w:type="dxa"/>
            <w:shd w:val="clear" w:color="auto" w:fill="E5DFEC" w:themeFill="accent4" w:themeFillTint="33"/>
          </w:tcPr>
          <w:p w14:paraId="2D98532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15</w:t>
            </w:r>
          </w:p>
        </w:tc>
        <w:tc>
          <w:tcPr>
            <w:tcW w:w="2209" w:type="dxa"/>
            <w:shd w:val="clear" w:color="auto" w:fill="E5DFEC" w:themeFill="accent4" w:themeFillTint="33"/>
          </w:tcPr>
          <w:p w14:paraId="47BB970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50121-2</w:t>
            </w:r>
          </w:p>
        </w:tc>
        <w:tc>
          <w:tcPr>
            <w:tcW w:w="5618" w:type="dxa"/>
            <w:shd w:val="clear" w:color="auto" w:fill="E5DFEC" w:themeFill="accent4" w:themeFillTint="33"/>
          </w:tcPr>
          <w:p w14:paraId="029DAB6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Railway applications – Electromagnetic compatibility - Part 2: Emission of the whole railway system to the outside world</w:t>
            </w:r>
          </w:p>
        </w:tc>
      </w:tr>
      <w:tr w:rsidR="00A21257" w:rsidRPr="00AA3768" w14:paraId="43551C03" w14:textId="77777777" w:rsidTr="00103D6C">
        <w:tc>
          <w:tcPr>
            <w:tcW w:w="548" w:type="dxa"/>
            <w:shd w:val="clear" w:color="auto" w:fill="E5DFEC" w:themeFill="accent4" w:themeFillTint="33"/>
          </w:tcPr>
          <w:p w14:paraId="56FD8ADB"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16</w:t>
            </w:r>
          </w:p>
        </w:tc>
        <w:tc>
          <w:tcPr>
            <w:tcW w:w="2209" w:type="dxa"/>
            <w:shd w:val="clear" w:color="auto" w:fill="E5DFEC" w:themeFill="accent4" w:themeFillTint="33"/>
          </w:tcPr>
          <w:p w14:paraId="57C4DE2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50121-3-1</w:t>
            </w:r>
          </w:p>
        </w:tc>
        <w:tc>
          <w:tcPr>
            <w:tcW w:w="5618" w:type="dxa"/>
            <w:shd w:val="clear" w:color="auto" w:fill="E5DFEC" w:themeFill="accent4" w:themeFillTint="33"/>
          </w:tcPr>
          <w:p w14:paraId="45B4C778" w14:textId="1AAB3D0A" w:rsidR="00AA3768" w:rsidRPr="00AA3768" w:rsidRDefault="00AA3768" w:rsidP="00A9582E">
            <w:pPr>
              <w:spacing w:after="0" w:line="240" w:lineRule="auto"/>
              <w:rPr>
                <w:rFonts w:ascii="Calibri" w:hAnsi="Calibri"/>
                <w:sz w:val="16"/>
                <w:szCs w:val="16"/>
              </w:rPr>
            </w:pPr>
            <w:r w:rsidRPr="00AA3768">
              <w:rPr>
                <w:rFonts w:ascii="Calibri" w:hAnsi="Calibri"/>
                <w:sz w:val="16"/>
                <w:szCs w:val="16"/>
              </w:rPr>
              <w:t xml:space="preserve">Railway applications – Electromagnetic compatibility - Part 3-1: Rolling stock </w:t>
            </w:r>
            <w:r w:rsidR="00A9582E">
              <w:rPr>
                <w:rFonts w:ascii="Calibri" w:hAnsi="Calibri"/>
                <w:sz w:val="16"/>
                <w:szCs w:val="16"/>
              </w:rPr>
              <w:t>–</w:t>
            </w:r>
            <w:r w:rsidRPr="00AA3768">
              <w:rPr>
                <w:rFonts w:ascii="Calibri" w:hAnsi="Calibri"/>
                <w:sz w:val="16"/>
                <w:szCs w:val="16"/>
              </w:rPr>
              <w:t xml:space="preserve"> Train</w:t>
            </w:r>
            <w:r w:rsidR="00A9582E">
              <w:rPr>
                <w:rFonts w:ascii="Calibri" w:hAnsi="Calibri"/>
                <w:sz w:val="16"/>
                <w:szCs w:val="16"/>
              </w:rPr>
              <w:t xml:space="preserve"> </w:t>
            </w:r>
            <w:r w:rsidRPr="00AA3768">
              <w:rPr>
                <w:rFonts w:ascii="Calibri" w:hAnsi="Calibri"/>
                <w:sz w:val="16"/>
                <w:szCs w:val="16"/>
              </w:rPr>
              <w:t>and complete vehicle</w:t>
            </w:r>
          </w:p>
        </w:tc>
      </w:tr>
      <w:tr w:rsidR="00A21257" w:rsidRPr="00AA3768" w14:paraId="7F2ECF8C" w14:textId="77777777" w:rsidTr="00103D6C">
        <w:tc>
          <w:tcPr>
            <w:tcW w:w="548" w:type="dxa"/>
            <w:shd w:val="clear" w:color="auto" w:fill="E5DFEC" w:themeFill="accent4" w:themeFillTint="33"/>
          </w:tcPr>
          <w:p w14:paraId="33207BA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17</w:t>
            </w:r>
          </w:p>
        </w:tc>
        <w:tc>
          <w:tcPr>
            <w:tcW w:w="2209" w:type="dxa"/>
            <w:shd w:val="clear" w:color="auto" w:fill="E5DFEC" w:themeFill="accent4" w:themeFillTint="33"/>
          </w:tcPr>
          <w:p w14:paraId="00338F7B" w14:textId="77777777" w:rsidR="00AA3768" w:rsidRPr="00F64CC0" w:rsidRDefault="00AA3768" w:rsidP="00AA3768">
            <w:pPr>
              <w:spacing w:after="0" w:line="240" w:lineRule="auto"/>
              <w:rPr>
                <w:rFonts w:ascii="Calibri" w:hAnsi="Calibri"/>
                <w:sz w:val="16"/>
                <w:szCs w:val="16"/>
              </w:rPr>
            </w:pPr>
            <w:r w:rsidRPr="00F64CC0">
              <w:rPr>
                <w:rFonts w:ascii="Calibri" w:hAnsi="Calibri"/>
                <w:sz w:val="16"/>
                <w:szCs w:val="16"/>
              </w:rPr>
              <w:t>EN 50121-3-2</w:t>
            </w:r>
          </w:p>
        </w:tc>
        <w:tc>
          <w:tcPr>
            <w:tcW w:w="5618" w:type="dxa"/>
            <w:shd w:val="clear" w:color="auto" w:fill="E5DFEC" w:themeFill="accent4" w:themeFillTint="33"/>
          </w:tcPr>
          <w:p w14:paraId="551419CE" w14:textId="77777777" w:rsidR="00AA3768" w:rsidRPr="00F64CC0" w:rsidRDefault="00AA3768" w:rsidP="00AA3768">
            <w:pPr>
              <w:spacing w:after="0" w:line="240" w:lineRule="auto"/>
              <w:rPr>
                <w:rFonts w:ascii="Calibri" w:hAnsi="Calibri"/>
                <w:sz w:val="16"/>
                <w:szCs w:val="16"/>
              </w:rPr>
            </w:pPr>
            <w:r w:rsidRPr="003E5BD7">
              <w:rPr>
                <w:rFonts w:ascii="Calibri" w:hAnsi="Calibri"/>
                <w:sz w:val="16"/>
                <w:szCs w:val="16"/>
                <w:shd w:val="clear" w:color="auto" w:fill="E5DFEC" w:themeFill="accent4" w:themeFillTint="33"/>
              </w:rPr>
              <w:t>Railway</w:t>
            </w:r>
            <w:r w:rsidRPr="00F64CC0">
              <w:rPr>
                <w:rFonts w:ascii="Calibri" w:hAnsi="Calibri"/>
                <w:sz w:val="16"/>
                <w:szCs w:val="16"/>
              </w:rPr>
              <w:t xml:space="preserve"> applications – Electromagnetic compatibility - Part 3-2: Rolling stock - Apparatus</w:t>
            </w:r>
          </w:p>
        </w:tc>
      </w:tr>
      <w:tr w:rsidR="00A21257" w:rsidRPr="00AA3768" w14:paraId="1BA26CFC" w14:textId="77777777" w:rsidTr="00103D6C">
        <w:tc>
          <w:tcPr>
            <w:tcW w:w="548" w:type="dxa"/>
            <w:shd w:val="clear" w:color="auto" w:fill="E5DFEC" w:themeFill="accent4" w:themeFillTint="33"/>
          </w:tcPr>
          <w:p w14:paraId="41DD22A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18</w:t>
            </w:r>
          </w:p>
        </w:tc>
        <w:tc>
          <w:tcPr>
            <w:tcW w:w="2209" w:type="dxa"/>
            <w:shd w:val="clear" w:color="auto" w:fill="E5DFEC" w:themeFill="accent4" w:themeFillTint="33"/>
          </w:tcPr>
          <w:p w14:paraId="5B88013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50121-4</w:t>
            </w:r>
          </w:p>
        </w:tc>
        <w:tc>
          <w:tcPr>
            <w:tcW w:w="5618" w:type="dxa"/>
            <w:shd w:val="clear" w:color="auto" w:fill="E5DFEC" w:themeFill="accent4" w:themeFillTint="33"/>
          </w:tcPr>
          <w:p w14:paraId="0BA387E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Railway applications – Electromagnetic compatibility - Part 4: Emission and immunity of the signalling and telecommunications apparatus</w:t>
            </w:r>
          </w:p>
        </w:tc>
      </w:tr>
      <w:tr w:rsidR="00A21257" w:rsidRPr="00AA3768" w14:paraId="40797824" w14:textId="77777777" w:rsidTr="00103D6C">
        <w:tc>
          <w:tcPr>
            <w:tcW w:w="548" w:type="dxa"/>
            <w:shd w:val="clear" w:color="auto" w:fill="E5DFEC" w:themeFill="accent4" w:themeFillTint="33"/>
          </w:tcPr>
          <w:p w14:paraId="413BC9E0"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19</w:t>
            </w:r>
          </w:p>
        </w:tc>
        <w:tc>
          <w:tcPr>
            <w:tcW w:w="2209" w:type="dxa"/>
            <w:shd w:val="clear" w:color="auto" w:fill="E5DFEC" w:themeFill="accent4" w:themeFillTint="33"/>
          </w:tcPr>
          <w:p w14:paraId="2DBC776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50121-5</w:t>
            </w:r>
          </w:p>
        </w:tc>
        <w:tc>
          <w:tcPr>
            <w:tcW w:w="5618" w:type="dxa"/>
            <w:shd w:val="clear" w:color="auto" w:fill="E5DFEC" w:themeFill="accent4" w:themeFillTint="33"/>
          </w:tcPr>
          <w:p w14:paraId="0411F891" w14:textId="2F370715" w:rsidR="00AA3768" w:rsidRPr="00AA3768" w:rsidRDefault="00AA3768" w:rsidP="00A9582E">
            <w:pPr>
              <w:spacing w:after="0" w:line="240" w:lineRule="auto"/>
              <w:rPr>
                <w:rFonts w:ascii="Calibri" w:hAnsi="Calibri"/>
                <w:sz w:val="16"/>
                <w:szCs w:val="16"/>
              </w:rPr>
            </w:pPr>
            <w:r w:rsidRPr="00AA3768">
              <w:rPr>
                <w:rFonts w:ascii="Calibri" w:hAnsi="Calibri"/>
                <w:sz w:val="16"/>
                <w:szCs w:val="16"/>
              </w:rPr>
              <w:t>Railway applications – Electromagnetic compatibility - Part 5: Emission and immunity</w:t>
            </w:r>
            <w:r w:rsidR="00A9582E">
              <w:rPr>
                <w:rFonts w:ascii="Calibri" w:hAnsi="Calibri"/>
                <w:sz w:val="16"/>
                <w:szCs w:val="16"/>
              </w:rPr>
              <w:t xml:space="preserve"> </w:t>
            </w:r>
            <w:r w:rsidRPr="00AA3768">
              <w:rPr>
                <w:rFonts w:ascii="Calibri" w:hAnsi="Calibri"/>
                <w:sz w:val="16"/>
                <w:szCs w:val="16"/>
              </w:rPr>
              <w:t>of fixed power supply installations and apparatus</w:t>
            </w:r>
          </w:p>
        </w:tc>
      </w:tr>
      <w:tr w:rsidR="00A21257" w:rsidRPr="00AA3768" w14:paraId="5167339C" w14:textId="77777777" w:rsidTr="00103D6C">
        <w:tc>
          <w:tcPr>
            <w:tcW w:w="548" w:type="dxa"/>
            <w:shd w:val="clear" w:color="auto" w:fill="FDE9D9" w:themeFill="accent6" w:themeFillTint="33"/>
          </w:tcPr>
          <w:p w14:paraId="0F02D00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20</w:t>
            </w:r>
          </w:p>
        </w:tc>
        <w:tc>
          <w:tcPr>
            <w:tcW w:w="2209" w:type="dxa"/>
            <w:shd w:val="clear" w:color="auto" w:fill="FDE9D9" w:themeFill="accent6" w:themeFillTint="33"/>
          </w:tcPr>
          <w:p w14:paraId="79F352F0"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50148</w:t>
            </w:r>
          </w:p>
        </w:tc>
        <w:tc>
          <w:tcPr>
            <w:tcW w:w="5618" w:type="dxa"/>
            <w:shd w:val="clear" w:color="auto" w:fill="FDE9D9" w:themeFill="accent6" w:themeFillTint="33"/>
          </w:tcPr>
          <w:p w14:paraId="06C1BC73"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Electronic taximeters</w:t>
            </w:r>
          </w:p>
        </w:tc>
      </w:tr>
      <w:tr w:rsidR="00A21257" w:rsidRPr="00AA3768" w14:paraId="1AFFE600" w14:textId="77777777" w:rsidTr="00103D6C">
        <w:tc>
          <w:tcPr>
            <w:tcW w:w="548" w:type="dxa"/>
            <w:shd w:val="clear" w:color="auto" w:fill="FDE9D9" w:themeFill="accent6" w:themeFillTint="33"/>
          </w:tcPr>
          <w:p w14:paraId="7F33CB7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21</w:t>
            </w:r>
          </w:p>
        </w:tc>
        <w:tc>
          <w:tcPr>
            <w:tcW w:w="2209" w:type="dxa"/>
            <w:shd w:val="clear" w:color="auto" w:fill="FDE9D9" w:themeFill="accent6" w:themeFillTint="33"/>
          </w:tcPr>
          <w:p w14:paraId="0111DF1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50270</w:t>
            </w:r>
          </w:p>
        </w:tc>
        <w:tc>
          <w:tcPr>
            <w:tcW w:w="5618" w:type="dxa"/>
            <w:shd w:val="clear" w:color="auto" w:fill="FDE9D9" w:themeFill="accent6" w:themeFillTint="33"/>
          </w:tcPr>
          <w:p w14:paraId="25A7374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Electromagnetic compatibility – Electrical apparatus for the detection and measurement of combustible gases, toxic gases or oxygen</w:t>
            </w:r>
          </w:p>
        </w:tc>
      </w:tr>
      <w:tr w:rsidR="00A21257" w:rsidRPr="00AA3768" w14:paraId="00323B06" w14:textId="77777777" w:rsidTr="00103D6C">
        <w:tc>
          <w:tcPr>
            <w:tcW w:w="548" w:type="dxa"/>
            <w:shd w:val="clear" w:color="auto" w:fill="E5DFEC" w:themeFill="accent4" w:themeFillTint="33"/>
          </w:tcPr>
          <w:p w14:paraId="6627591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22</w:t>
            </w:r>
          </w:p>
        </w:tc>
        <w:tc>
          <w:tcPr>
            <w:tcW w:w="2209" w:type="dxa"/>
            <w:shd w:val="clear" w:color="auto" w:fill="E5DFEC" w:themeFill="accent4" w:themeFillTint="33"/>
          </w:tcPr>
          <w:p w14:paraId="0E929E3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50293</w:t>
            </w:r>
          </w:p>
        </w:tc>
        <w:tc>
          <w:tcPr>
            <w:tcW w:w="5618" w:type="dxa"/>
            <w:shd w:val="clear" w:color="auto" w:fill="E5DFEC" w:themeFill="accent4" w:themeFillTint="33"/>
          </w:tcPr>
          <w:p w14:paraId="29CB882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Road traffic signal systems – Electromagnetic compatibility</w:t>
            </w:r>
          </w:p>
        </w:tc>
      </w:tr>
      <w:tr w:rsidR="00A21257" w:rsidRPr="00AA3768" w14:paraId="3F23955F" w14:textId="77777777" w:rsidTr="00103D6C">
        <w:tc>
          <w:tcPr>
            <w:tcW w:w="548" w:type="dxa"/>
            <w:shd w:val="clear" w:color="auto" w:fill="E5DFEC" w:themeFill="accent4" w:themeFillTint="33"/>
          </w:tcPr>
          <w:p w14:paraId="220F114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23</w:t>
            </w:r>
          </w:p>
        </w:tc>
        <w:tc>
          <w:tcPr>
            <w:tcW w:w="2209" w:type="dxa"/>
            <w:shd w:val="clear" w:color="auto" w:fill="E5DFEC" w:themeFill="accent4" w:themeFillTint="33"/>
          </w:tcPr>
          <w:p w14:paraId="371677D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50370-1</w:t>
            </w:r>
          </w:p>
        </w:tc>
        <w:tc>
          <w:tcPr>
            <w:tcW w:w="5618" w:type="dxa"/>
            <w:shd w:val="clear" w:color="auto" w:fill="E5DFEC" w:themeFill="accent4" w:themeFillTint="33"/>
          </w:tcPr>
          <w:p w14:paraId="7400009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Electromagnetic compatibility (EMC) -Product family standard for machine tools - Part 1: Emission</w:t>
            </w:r>
          </w:p>
        </w:tc>
      </w:tr>
      <w:tr w:rsidR="00A21257" w:rsidRPr="00AA3768" w14:paraId="0CE0E7A9" w14:textId="77777777" w:rsidTr="00103D6C">
        <w:tc>
          <w:tcPr>
            <w:tcW w:w="548" w:type="dxa"/>
            <w:shd w:val="clear" w:color="auto" w:fill="E5DFEC" w:themeFill="accent4" w:themeFillTint="33"/>
          </w:tcPr>
          <w:p w14:paraId="5326225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lastRenderedPageBreak/>
              <w:t>24</w:t>
            </w:r>
          </w:p>
        </w:tc>
        <w:tc>
          <w:tcPr>
            <w:tcW w:w="2209" w:type="dxa"/>
            <w:shd w:val="clear" w:color="auto" w:fill="E5DFEC" w:themeFill="accent4" w:themeFillTint="33"/>
          </w:tcPr>
          <w:p w14:paraId="79016D93"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50428</w:t>
            </w:r>
          </w:p>
        </w:tc>
        <w:tc>
          <w:tcPr>
            <w:tcW w:w="5618" w:type="dxa"/>
            <w:shd w:val="clear" w:color="auto" w:fill="E5DFEC" w:themeFill="accent4" w:themeFillTint="33"/>
          </w:tcPr>
          <w:p w14:paraId="46D5A32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Switches for household and similar fixed electrical installations - Collateral standard - Switches and related accessories for use in home and building electronic systems (HBES)</w:t>
            </w:r>
          </w:p>
        </w:tc>
      </w:tr>
      <w:tr w:rsidR="00A21257" w:rsidRPr="00AA3768" w14:paraId="7BA332AF" w14:textId="77777777" w:rsidTr="00103D6C">
        <w:tc>
          <w:tcPr>
            <w:tcW w:w="548" w:type="dxa"/>
            <w:shd w:val="clear" w:color="auto" w:fill="E5DFEC" w:themeFill="accent4" w:themeFillTint="33"/>
          </w:tcPr>
          <w:p w14:paraId="2B2405B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25</w:t>
            </w:r>
          </w:p>
        </w:tc>
        <w:tc>
          <w:tcPr>
            <w:tcW w:w="2209" w:type="dxa"/>
            <w:shd w:val="clear" w:color="auto" w:fill="E5DFEC" w:themeFill="accent4" w:themeFillTint="33"/>
          </w:tcPr>
          <w:p w14:paraId="1FFC876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50470-1</w:t>
            </w:r>
          </w:p>
        </w:tc>
        <w:tc>
          <w:tcPr>
            <w:tcW w:w="5618" w:type="dxa"/>
            <w:shd w:val="clear" w:color="auto" w:fill="E5DFEC" w:themeFill="accent4" w:themeFillTint="33"/>
          </w:tcPr>
          <w:p w14:paraId="35E3B4F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Electricity metering equipment (a.c.) - Part 1: General requirements, tests and test conditions - Metering equipment (class indexes A, B and C)</w:t>
            </w:r>
          </w:p>
        </w:tc>
      </w:tr>
      <w:tr w:rsidR="00A21257" w:rsidRPr="00AA3768" w14:paraId="5540D652" w14:textId="77777777" w:rsidTr="00103D6C">
        <w:tc>
          <w:tcPr>
            <w:tcW w:w="548" w:type="dxa"/>
            <w:shd w:val="clear" w:color="auto" w:fill="E5DFEC" w:themeFill="accent4" w:themeFillTint="33"/>
          </w:tcPr>
          <w:p w14:paraId="3EDC6F8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26</w:t>
            </w:r>
          </w:p>
        </w:tc>
        <w:tc>
          <w:tcPr>
            <w:tcW w:w="2209" w:type="dxa"/>
            <w:shd w:val="clear" w:color="auto" w:fill="E5DFEC" w:themeFill="accent4" w:themeFillTint="33"/>
          </w:tcPr>
          <w:p w14:paraId="29AFE6A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50490</w:t>
            </w:r>
          </w:p>
        </w:tc>
        <w:tc>
          <w:tcPr>
            <w:tcW w:w="5618" w:type="dxa"/>
            <w:shd w:val="clear" w:color="auto" w:fill="E5DFEC" w:themeFill="accent4" w:themeFillTint="33"/>
          </w:tcPr>
          <w:p w14:paraId="5C30BFF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Electrical installations for lighting and beaconing of aerodromes – Technical requirements for aeronautical ground lighting control and monitoring systems - Units for selective switching and monitoring of individual lamps</w:t>
            </w:r>
          </w:p>
        </w:tc>
      </w:tr>
      <w:tr w:rsidR="00A21257" w:rsidRPr="00AA3768" w14:paraId="4FEBD2A8" w14:textId="77777777" w:rsidTr="00103D6C">
        <w:tc>
          <w:tcPr>
            <w:tcW w:w="548" w:type="dxa"/>
            <w:shd w:val="clear" w:color="auto" w:fill="E5DFEC" w:themeFill="accent4" w:themeFillTint="33"/>
          </w:tcPr>
          <w:p w14:paraId="336AEA1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27</w:t>
            </w:r>
          </w:p>
        </w:tc>
        <w:tc>
          <w:tcPr>
            <w:tcW w:w="2209" w:type="dxa"/>
            <w:shd w:val="clear" w:color="auto" w:fill="E5DFEC" w:themeFill="accent4" w:themeFillTint="33"/>
          </w:tcPr>
          <w:p w14:paraId="27A3808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50491-5-1</w:t>
            </w:r>
          </w:p>
        </w:tc>
        <w:tc>
          <w:tcPr>
            <w:tcW w:w="5618" w:type="dxa"/>
            <w:shd w:val="clear" w:color="auto" w:fill="E5DFEC" w:themeFill="accent4" w:themeFillTint="33"/>
          </w:tcPr>
          <w:p w14:paraId="46874EE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General requirements for Home and Building Electronic Systems (HBES) and Building Automation and Control Systems (BACS) - Part 5-1: EMC requirements, conditions and test set-up</w:t>
            </w:r>
          </w:p>
        </w:tc>
      </w:tr>
      <w:tr w:rsidR="00A21257" w:rsidRPr="00AA3768" w14:paraId="239CF1D6" w14:textId="77777777" w:rsidTr="00103D6C">
        <w:tc>
          <w:tcPr>
            <w:tcW w:w="548" w:type="dxa"/>
            <w:shd w:val="clear" w:color="auto" w:fill="E5DFEC" w:themeFill="accent4" w:themeFillTint="33"/>
          </w:tcPr>
          <w:p w14:paraId="24FD5AD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28</w:t>
            </w:r>
          </w:p>
        </w:tc>
        <w:tc>
          <w:tcPr>
            <w:tcW w:w="2209" w:type="dxa"/>
            <w:shd w:val="clear" w:color="auto" w:fill="E5DFEC" w:themeFill="accent4" w:themeFillTint="33"/>
          </w:tcPr>
          <w:p w14:paraId="26929B7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50491-5-2</w:t>
            </w:r>
          </w:p>
        </w:tc>
        <w:tc>
          <w:tcPr>
            <w:tcW w:w="5618" w:type="dxa"/>
            <w:shd w:val="clear" w:color="auto" w:fill="E5DFEC" w:themeFill="accent4" w:themeFillTint="33"/>
          </w:tcPr>
          <w:p w14:paraId="48C0B2EC" w14:textId="5FA87D1A" w:rsidR="00AA3768" w:rsidRPr="00AA3768" w:rsidRDefault="00AA3768" w:rsidP="00A9582E">
            <w:pPr>
              <w:spacing w:after="0" w:line="240" w:lineRule="auto"/>
              <w:rPr>
                <w:rFonts w:ascii="Calibri" w:hAnsi="Calibri"/>
                <w:sz w:val="16"/>
                <w:szCs w:val="16"/>
              </w:rPr>
            </w:pPr>
            <w:r w:rsidRPr="00AA3768">
              <w:rPr>
                <w:rFonts w:ascii="Calibri" w:hAnsi="Calibri"/>
                <w:sz w:val="16"/>
                <w:szCs w:val="16"/>
              </w:rPr>
              <w:t>General requirements for Home and Building</w:t>
            </w:r>
            <w:r w:rsidR="00A9582E">
              <w:rPr>
                <w:rFonts w:ascii="Calibri" w:hAnsi="Calibri"/>
                <w:sz w:val="16"/>
                <w:szCs w:val="16"/>
              </w:rPr>
              <w:t xml:space="preserve"> </w:t>
            </w:r>
            <w:r w:rsidRPr="00AA3768">
              <w:rPr>
                <w:rFonts w:ascii="Calibri" w:hAnsi="Calibri"/>
                <w:sz w:val="16"/>
                <w:szCs w:val="16"/>
              </w:rPr>
              <w:t>Electronic Systems (HBES) and Building Automation and Control Systems (BACS) - Part 5-2: EMC requirements for HBES/BACS used in residential, commercial and light industry environment</w:t>
            </w:r>
          </w:p>
        </w:tc>
      </w:tr>
      <w:tr w:rsidR="00A21257" w:rsidRPr="00AA3768" w14:paraId="34612BC8" w14:textId="77777777" w:rsidTr="00103D6C">
        <w:tc>
          <w:tcPr>
            <w:tcW w:w="548" w:type="dxa"/>
            <w:shd w:val="clear" w:color="auto" w:fill="E5DFEC" w:themeFill="accent4" w:themeFillTint="33"/>
          </w:tcPr>
          <w:p w14:paraId="56F65A0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29</w:t>
            </w:r>
          </w:p>
        </w:tc>
        <w:tc>
          <w:tcPr>
            <w:tcW w:w="2209" w:type="dxa"/>
            <w:shd w:val="clear" w:color="auto" w:fill="E5DFEC" w:themeFill="accent4" w:themeFillTint="33"/>
          </w:tcPr>
          <w:p w14:paraId="43E7F29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50491-5-3</w:t>
            </w:r>
          </w:p>
        </w:tc>
        <w:tc>
          <w:tcPr>
            <w:tcW w:w="5618" w:type="dxa"/>
            <w:shd w:val="clear" w:color="auto" w:fill="E5DFEC" w:themeFill="accent4" w:themeFillTint="33"/>
          </w:tcPr>
          <w:p w14:paraId="3451777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General requirements for Home and Building Electronic Systems (HBES) and Building Automation and Control Systems (BACS) - Part 5-3: EMC requirements for HBES/BACS used in industry environment</w:t>
            </w:r>
          </w:p>
        </w:tc>
      </w:tr>
      <w:tr w:rsidR="00A21257" w:rsidRPr="00AA3768" w14:paraId="11E27401" w14:textId="77777777" w:rsidTr="00103D6C">
        <w:tc>
          <w:tcPr>
            <w:tcW w:w="548" w:type="dxa"/>
            <w:shd w:val="clear" w:color="auto" w:fill="E5DFEC" w:themeFill="accent4" w:themeFillTint="33"/>
          </w:tcPr>
          <w:p w14:paraId="0ED974C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30</w:t>
            </w:r>
          </w:p>
        </w:tc>
        <w:tc>
          <w:tcPr>
            <w:tcW w:w="2209" w:type="dxa"/>
            <w:shd w:val="clear" w:color="auto" w:fill="E5DFEC" w:themeFill="accent4" w:themeFillTint="33"/>
          </w:tcPr>
          <w:p w14:paraId="4762611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50498</w:t>
            </w:r>
          </w:p>
        </w:tc>
        <w:tc>
          <w:tcPr>
            <w:tcW w:w="5618" w:type="dxa"/>
            <w:shd w:val="clear" w:color="auto" w:fill="E5DFEC" w:themeFill="accent4" w:themeFillTint="33"/>
          </w:tcPr>
          <w:p w14:paraId="24349FC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Electromagnetic compatibility (EMC) - Product family standard for aftermarket electronic equipment in vehicles</w:t>
            </w:r>
          </w:p>
        </w:tc>
      </w:tr>
      <w:tr w:rsidR="00A21257" w:rsidRPr="00AA3768" w14:paraId="28FE6671" w14:textId="77777777" w:rsidTr="00103D6C">
        <w:tc>
          <w:tcPr>
            <w:tcW w:w="548" w:type="dxa"/>
            <w:shd w:val="clear" w:color="auto" w:fill="E5DFEC" w:themeFill="accent4" w:themeFillTint="33"/>
          </w:tcPr>
          <w:p w14:paraId="3789149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31</w:t>
            </w:r>
          </w:p>
        </w:tc>
        <w:tc>
          <w:tcPr>
            <w:tcW w:w="2209" w:type="dxa"/>
            <w:shd w:val="clear" w:color="auto" w:fill="E5DFEC" w:themeFill="accent4" w:themeFillTint="33"/>
          </w:tcPr>
          <w:p w14:paraId="20E8CB7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50512</w:t>
            </w:r>
          </w:p>
        </w:tc>
        <w:tc>
          <w:tcPr>
            <w:tcW w:w="5618" w:type="dxa"/>
            <w:shd w:val="clear" w:color="auto" w:fill="E5DFEC" w:themeFill="accent4" w:themeFillTint="33"/>
          </w:tcPr>
          <w:p w14:paraId="1DD2547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Electrical installations for lighting and beaconing of aerodromes - Advanced Visual Docking Guidance Systems (A-VDGS)</w:t>
            </w:r>
          </w:p>
        </w:tc>
      </w:tr>
      <w:tr w:rsidR="00A21257" w:rsidRPr="00AA3768" w14:paraId="2872930D" w14:textId="77777777" w:rsidTr="00103D6C">
        <w:tc>
          <w:tcPr>
            <w:tcW w:w="548" w:type="dxa"/>
            <w:shd w:val="clear" w:color="auto" w:fill="E5DFEC" w:themeFill="accent4" w:themeFillTint="33"/>
          </w:tcPr>
          <w:p w14:paraId="42ACCC6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32</w:t>
            </w:r>
          </w:p>
        </w:tc>
        <w:tc>
          <w:tcPr>
            <w:tcW w:w="2209" w:type="dxa"/>
            <w:shd w:val="clear" w:color="auto" w:fill="E5DFEC" w:themeFill="accent4" w:themeFillTint="33"/>
          </w:tcPr>
          <w:p w14:paraId="7A2A4C9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50529-1</w:t>
            </w:r>
          </w:p>
        </w:tc>
        <w:tc>
          <w:tcPr>
            <w:tcW w:w="5618" w:type="dxa"/>
            <w:shd w:val="clear" w:color="auto" w:fill="E5DFEC" w:themeFill="accent4" w:themeFillTint="33"/>
          </w:tcPr>
          <w:p w14:paraId="2B9FB1BE" w14:textId="30CE5433" w:rsidR="00AA3768" w:rsidRPr="00AA3768" w:rsidRDefault="00AA3768" w:rsidP="00C53278">
            <w:pPr>
              <w:spacing w:after="0" w:line="240" w:lineRule="auto"/>
              <w:rPr>
                <w:rFonts w:ascii="Calibri" w:hAnsi="Calibri"/>
                <w:sz w:val="16"/>
                <w:szCs w:val="16"/>
              </w:rPr>
            </w:pPr>
            <w:r w:rsidRPr="00AA3768">
              <w:rPr>
                <w:rFonts w:ascii="Calibri" w:hAnsi="Calibri"/>
                <w:sz w:val="16"/>
                <w:szCs w:val="16"/>
              </w:rPr>
              <w:t>EMC Network Standard - Part 1: Wire-line telecommunications networks using telephone</w:t>
            </w:r>
            <w:r w:rsidR="00C53278">
              <w:rPr>
                <w:rFonts w:ascii="Calibri" w:hAnsi="Calibri"/>
                <w:sz w:val="16"/>
                <w:szCs w:val="16"/>
              </w:rPr>
              <w:t xml:space="preserve"> </w:t>
            </w:r>
            <w:r w:rsidRPr="00AA3768">
              <w:rPr>
                <w:rFonts w:ascii="Calibri" w:hAnsi="Calibri"/>
                <w:sz w:val="16"/>
                <w:szCs w:val="16"/>
              </w:rPr>
              <w:t>wires</w:t>
            </w:r>
          </w:p>
        </w:tc>
      </w:tr>
      <w:tr w:rsidR="00A21257" w:rsidRPr="00AA3768" w14:paraId="78EAE106" w14:textId="77777777" w:rsidTr="00103D6C">
        <w:tc>
          <w:tcPr>
            <w:tcW w:w="548" w:type="dxa"/>
            <w:shd w:val="clear" w:color="auto" w:fill="E5DFEC" w:themeFill="accent4" w:themeFillTint="33"/>
          </w:tcPr>
          <w:p w14:paraId="4E80291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33</w:t>
            </w:r>
          </w:p>
        </w:tc>
        <w:tc>
          <w:tcPr>
            <w:tcW w:w="2209" w:type="dxa"/>
            <w:shd w:val="clear" w:color="auto" w:fill="E5DFEC" w:themeFill="accent4" w:themeFillTint="33"/>
          </w:tcPr>
          <w:p w14:paraId="25B47F1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50529-2</w:t>
            </w:r>
          </w:p>
        </w:tc>
        <w:tc>
          <w:tcPr>
            <w:tcW w:w="5618" w:type="dxa"/>
            <w:shd w:val="clear" w:color="auto" w:fill="E5DFEC" w:themeFill="accent4" w:themeFillTint="33"/>
          </w:tcPr>
          <w:p w14:paraId="187C703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EMC Network Standard - Part 2: Wire-line telecommunications networks using coaxial cables</w:t>
            </w:r>
          </w:p>
        </w:tc>
      </w:tr>
      <w:tr w:rsidR="00A21257" w:rsidRPr="00AA3768" w14:paraId="1411B0E1" w14:textId="77777777" w:rsidTr="00103D6C">
        <w:tc>
          <w:tcPr>
            <w:tcW w:w="548" w:type="dxa"/>
            <w:shd w:val="clear" w:color="auto" w:fill="E5DFEC" w:themeFill="accent4" w:themeFillTint="33"/>
          </w:tcPr>
          <w:p w14:paraId="65C78F9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34</w:t>
            </w:r>
          </w:p>
        </w:tc>
        <w:tc>
          <w:tcPr>
            <w:tcW w:w="2209" w:type="dxa"/>
            <w:shd w:val="clear" w:color="auto" w:fill="E5DFEC" w:themeFill="accent4" w:themeFillTint="33"/>
          </w:tcPr>
          <w:p w14:paraId="33DCDA7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50550</w:t>
            </w:r>
          </w:p>
        </w:tc>
        <w:tc>
          <w:tcPr>
            <w:tcW w:w="5618" w:type="dxa"/>
            <w:shd w:val="clear" w:color="auto" w:fill="E5DFEC" w:themeFill="accent4" w:themeFillTint="33"/>
          </w:tcPr>
          <w:p w14:paraId="3AB6DB8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Power frequency overvoltage protective device for household and similar applications (POP)</w:t>
            </w:r>
          </w:p>
        </w:tc>
      </w:tr>
      <w:tr w:rsidR="00A21257" w:rsidRPr="00AA3768" w14:paraId="44A63F0D" w14:textId="77777777" w:rsidTr="00103D6C">
        <w:tc>
          <w:tcPr>
            <w:tcW w:w="548" w:type="dxa"/>
            <w:shd w:val="clear" w:color="auto" w:fill="E5DFEC" w:themeFill="accent4" w:themeFillTint="33"/>
          </w:tcPr>
          <w:p w14:paraId="05BB567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35</w:t>
            </w:r>
          </w:p>
        </w:tc>
        <w:tc>
          <w:tcPr>
            <w:tcW w:w="2209" w:type="dxa"/>
            <w:shd w:val="clear" w:color="auto" w:fill="E5DFEC" w:themeFill="accent4" w:themeFillTint="33"/>
          </w:tcPr>
          <w:p w14:paraId="7EF206C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50557</w:t>
            </w:r>
          </w:p>
        </w:tc>
        <w:tc>
          <w:tcPr>
            <w:tcW w:w="5618" w:type="dxa"/>
            <w:shd w:val="clear" w:color="auto" w:fill="E5DFEC" w:themeFill="accent4" w:themeFillTint="33"/>
          </w:tcPr>
          <w:p w14:paraId="25FBB6F3"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Requirements for automatic reclosing devices (ARDs) for circuit breakers-RCBOs-RCCBs for household and similar uses</w:t>
            </w:r>
          </w:p>
        </w:tc>
      </w:tr>
      <w:tr w:rsidR="00A21257" w:rsidRPr="00AA3768" w14:paraId="6F71B4E3" w14:textId="77777777" w:rsidTr="00103D6C">
        <w:tc>
          <w:tcPr>
            <w:tcW w:w="548" w:type="dxa"/>
            <w:shd w:val="clear" w:color="auto" w:fill="FDE9D9" w:themeFill="accent6" w:themeFillTint="33"/>
          </w:tcPr>
          <w:p w14:paraId="38CDA71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36</w:t>
            </w:r>
          </w:p>
        </w:tc>
        <w:tc>
          <w:tcPr>
            <w:tcW w:w="2209" w:type="dxa"/>
            <w:shd w:val="clear" w:color="auto" w:fill="FDE9D9" w:themeFill="accent6" w:themeFillTint="33"/>
          </w:tcPr>
          <w:p w14:paraId="4490279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50561-1</w:t>
            </w:r>
          </w:p>
          <w:p w14:paraId="694BF74A" w14:textId="6F80BE65" w:rsidR="00AA3768" w:rsidRPr="00AA3768" w:rsidRDefault="00AA3768" w:rsidP="00AA3768">
            <w:pPr>
              <w:spacing w:after="0" w:line="240" w:lineRule="auto"/>
              <w:rPr>
                <w:rFonts w:ascii="Calibri" w:hAnsi="Calibri"/>
                <w:sz w:val="16"/>
                <w:szCs w:val="16"/>
              </w:rPr>
            </w:pPr>
          </w:p>
        </w:tc>
        <w:tc>
          <w:tcPr>
            <w:tcW w:w="5618" w:type="dxa"/>
            <w:shd w:val="clear" w:color="auto" w:fill="FDE9D9" w:themeFill="accent6" w:themeFillTint="33"/>
          </w:tcPr>
          <w:p w14:paraId="0EE48291" w14:textId="18D79556" w:rsidR="00AA3768" w:rsidRPr="00AA3768" w:rsidRDefault="00AA3768" w:rsidP="00C53278">
            <w:pPr>
              <w:spacing w:after="0" w:line="240" w:lineRule="auto"/>
              <w:rPr>
                <w:rFonts w:ascii="Calibri" w:hAnsi="Calibri"/>
                <w:sz w:val="16"/>
                <w:szCs w:val="16"/>
              </w:rPr>
            </w:pPr>
            <w:r w:rsidRPr="00AA3768">
              <w:rPr>
                <w:rFonts w:ascii="Calibri" w:hAnsi="Calibri"/>
                <w:sz w:val="16"/>
                <w:szCs w:val="16"/>
              </w:rPr>
              <w:t>Power line communication apparatus used in low-voltage installations - Radio disturbance</w:t>
            </w:r>
            <w:r w:rsidR="00C53278">
              <w:rPr>
                <w:rFonts w:ascii="Calibri" w:hAnsi="Calibri"/>
                <w:sz w:val="16"/>
                <w:szCs w:val="16"/>
              </w:rPr>
              <w:t xml:space="preserve"> </w:t>
            </w:r>
            <w:r w:rsidRPr="00AA3768">
              <w:rPr>
                <w:rFonts w:ascii="Calibri" w:hAnsi="Calibri"/>
                <w:sz w:val="16"/>
                <w:szCs w:val="16"/>
              </w:rPr>
              <w:t>characteristics - Limits and methods of measurement - Part 1: Apparatus for in-home use</w:t>
            </w:r>
          </w:p>
        </w:tc>
      </w:tr>
      <w:tr w:rsidR="00A21257" w:rsidRPr="00AA3768" w14:paraId="7DF82C22" w14:textId="77777777" w:rsidTr="00103D6C">
        <w:tc>
          <w:tcPr>
            <w:tcW w:w="548" w:type="dxa"/>
            <w:shd w:val="clear" w:color="auto" w:fill="FDE9D9" w:themeFill="accent6" w:themeFillTint="33"/>
          </w:tcPr>
          <w:p w14:paraId="78355BD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37</w:t>
            </w:r>
          </w:p>
        </w:tc>
        <w:tc>
          <w:tcPr>
            <w:tcW w:w="2209" w:type="dxa"/>
            <w:shd w:val="clear" w:color="auto" w:fill="FDE9D9" w:themeFill="accent6" w:themeFillTint="33"/>
          </w:tcPr>
          <w:p w14:paraId="3211AFE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55011</w:t>
            </w:r>
          </w:p>
        </w:tc>
        <w:tc>
          <w:tcPr>
            <w:tcW w:w="5618" w:type="dxa"/>
            <w:shd w:val="clear" w:color="auto" w:fill="FDE9D9" w:themeFill="accent6" w:themeFillTint="33"/>
          </w:tcPr>
          <w:p w14:paraId="6B963EE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Industrial, scientific and medical equipment - Radio-frequency disturbance characteristics - Limits and methods of measurement</w:t>
            </w:r>
          </w:p>
        </w:tc>
      </w:tr>
      <w:tr w:rsidR="00A21257" w:rsidRPr="00AA3768" w14:paraId="03EB53CA" w14:textId="77777777" w:rsidTr="00103D6C">
        <w:tc>
          <w:tcPr>
            <w:tcW w:w="548" w:type="dxa"/>
            <w:shd w:val="clear" w:color="auto" w:fill="FDE9D9" w:themeFill="accent6" w:themeFillTint="33"/>
          </w:tcPr>
          <w:p w14:paraId="34C21D3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38</w:t>
            </w:r>
          </w:p>
        </w:tc>
        <w:tc>
          <w:tcPr>
            <w:tcW w:w="2209" w:type="dxa"/>
            <w:shd w:val="clear" w:color="auto" w:fill="FDE9D9" w:themeFill="accent6" w:themeFillTint="33"/>
          </w:tcPr>
          <w:p w14:paraId="15E8CE5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55012</w:t>
            </w:r>
          </w:p>
        </w:tc>
        <w:tc>
          <w:tcPr>
            <w:tcW w:w="5618" w:type="dxa"/>
            <w:shd w:val="clear" w:color="auto" w:fill="FDE9D9" w:themeFill="accent6" w:themeFillTint="33"/>
          </w:tcPr>
          <w:p w14:paraId="1F40618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Vehicles, boats and internal combustion engines - Radio disturbance characteristics - Limits and methods of measurement for the protection of off-board receivers</w:t>
            </w:r>
          </w:p>
        </w:tc>
      </w:tr>
      <w:tr w:rsidR="00A21257" w:rsidRPr="00AA3768" w14:paraId="783DB916" w14:textId="77777777" w:rsidTr="00103D6C">
        <w:tc>
          <w:tcPr>
            <w:tcW w:w="548" w:type="dxa"/>
            <w:shd w:val="clear" w:color="auto" w:fill="FDE9D9" w:themeFill="accent6" w:themeFillTint="33"/>
          </w:tcPr>
          <w:p w14:paraId="75FA1FA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39</w:t>
            </w:r>
          </w:p>
        </w:tc>
        <w:tc>
          <w:tcPr>
            <w:tcW w:w="2209" w:type="dxa"/>
            <w:shd w:val="clear" w:color="auto" w:fill="FDE9D9" w:themeFill="accent6" w:themeFillTint="33"/>
          </w:tcPr>
          <w:p w14:paraId="179C6CF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55014-1</w:t>
            </w:r>
          </w:p>
          <w:p w14:paraId="670DBF02" w14:textId="77777777" w:rsidR="00AA3768" w:rsidRPr="00AA3768" w:rsidRDefault="00AA3768" w:rsidP="00AA3768">
            <w:pPr>
              <w:spacing w:after="0" w:line="240" w:lineRule="auto"/>
              <w:rPr>
                <w:rFonts w:ascii="Calibri" w:hAnsi="Calibri"/>
                <w:sz w:val="16"/>
                <w:szCs w:val="16"/>
              </w:rPr>
            </w:pPr>
          </w:p>
        </w:tc>
        <w:tc>
          <w:tcPr>
            <w:tcW w:w="5618" w:type="dxa"/>
            <w:shd w:val="clear" w:color="auto" w:fill="FDE9D9" w:themeFill="accent6" w:themeFillTint="33"/>
          </w:tcPr>
          <w:p w14:paraId="1565AA2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Electromagnetic compatibility – Requirements for household appliances, electric tools and similar apparatus - Part 1: Emission</w:t>
            </w:r>
          </w:p>
        </w:tc>
      </w:tr>
      <w:tr w:rsidR="00A21257" w:rsidRPr="00AA3768" w14:paraId="14B75C6B" w14:textId="77777777" w:rsidTr="00103D6C">
        <w:trPr>
          <w:trHeight w:val="460"/>
        </w:trPr>
        <w:tc>
          <w:tcPr>
            <w:tcW w:w="548" w:type="dxa"/>
            <w:shd w:val="clear" w:color="auto" w:fill="FDE9D9" w:themeFill="accent6" w:themeFillTint="33"/>
          </w:tcPr>
          <w:p w14:paraId="72F28B2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40</w:t>
            </w:r>
          </w:p>
        </w:tc>
        <w:tc>
          <w:tcPr>
            <w:tcW w:w="2209" w:type="dxa"/>
            <w:shd w:val="clear" w:color="auto" w:fill="FDE9D9" w:themeFill="accent6" w:themeFillTint="33"/>
          </w:tcPr>
          <w:p w14:paraId="5DD17BA2" w14:textId="700E6FB0"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 xml:space="preserve">EN </w:t>
            </w:r>
            <w:r w:rsidR="00A7057E">
              <w:rPr>
                <w:rFonts w:ascii="Calibri" w:hAnsi="Calibri"/>
                <w:sz w:val="16"/>
                <w:szCs w:val="16"/>
              </w:rPr>
              <w:t xml:space="preserve">IEC </w:t>
            </w:r>
            <w:r w:rsidRPr="00AA3768">
              <w:rPr>
                <w:rFonts w:ascii="Calibri" w:hAnsi="Calibri"/>
                <w:sz w:val="16"/>
                <w:szCs w:val="16"/>
              </w:rPr>
              <w:t>55015</w:t>
            </w:r>
          </w:p>
        </w:tc>
        <w:tc>
          <w:tcPr>
            <w:tcW w:w="5618" w:type="dxa"/>
            <w:shd w:val="clear" w:color="auto" w:fill="FDE9D9" w:themeFill="accent6" w:themeFillTint="33"/>
          </w:tcPr>
          <w:p w14:paraId="4880EAA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Limits and methods of measurement of radio disturbance characteristics of electrical lighting and similar equipment</w:t>
            </w:r>
          </w:p>
        </w:tc>
      </w:tr>
      <w:tr w:rsidR="00A21257" w:rsidRPr="00AA3768" w14:paraId="003E4E31" w14:textId="77777777" w:rsidTr="00103D6C">
        <w:tc>
          <w:tcPr>
            <w:tcW w:w="548" w:type="dxa"/>
            <w:shd w:val="clear" w:color="auto" w:fill="FDE9D9" w:themeFill="accent6" w:themeFillTint="33"/>
          </w:tcPr>
          <w:p w14:paraId="5961347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41</w:t>
            </w:r>
          </w:p>
        </w:tc>
        <w:tc>
          <w:tcPr>
            <w:tcW w:w="2209" w:type="dxa"/>
            <w:shd w:val="clear" w:color="auto" w:fill="FDE9D9" w:themeFill="accent6" w:themeFillTint="33"/>
          </w:tcPr>
          <w:p w14:paraId="01275B0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55032</w:t>
            </w:r>
          </w:p>
        </w:tc>
        <w:tc>
          <w:tcPr>
            <w:tcW w:w="5618" w:type="dxa"/>
            <w:shd w:val="clear" w:color="auto" w:fill="FDE9D9" w:themeFill="accent6" w:themeFillTint="33"/>
          </w:tcPr>
          <w:p w14:paraId="5DDCF20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Electromagnetic compatibility of multimedia equipment - Emission requirements</w:t>
            </w:r>
          </w:p>
        </w:tc>
      </w:tr>
      <w:tr w:rsidR="00A21257" w:rsidRPr="00AA3768" w14:paraId="128E1751" w14:textId="77777777" w:rsidTr="00103D6C">
        <w:tc>
          <w:tcPr>
            <w:tcW w:w="548" w:type="dxa"/>
            <w:shd w:val="clear" w:color="auto" w:fill="E5DFEC" w:themeFill="accent4" w:themeFillTint="33"/>
          </w:tcPr>
          <w:p w14:paraId="714A639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42</w:t>
            </w:r>
          </w:p>
        </w:tc>
        <w:tc>
          <w:tcPr>
            <w:tcW w:w="2209" w:type="dxa"/>
            <w:shd w:val="clear" w:color="auto" w:fill="E5DFEC" w:themeFill="accent4" w:themeFillTint="33"/>
          </w:tcPr>
          <w:p w14:paraId="4DDBCE7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55103-1</w:t>
            </w:r>
          </w:p>
        </w:tc>
        <w:tc>
          <w:tcPr>
            <w:tcW w:w="5618" w:type="dxa"/>
            <w:shd w:val="clear" w:color="auto" w:fill="E5DFEC" w:themeFill="accent4" w:themeFillTint="33"/>
          </w:tcPr>
          <w:p w14:paraId="048C39B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Electromagnetic compatibility – Product family standard for audio, video, audio-visual and entertainment lighting control apparatus for professional use - Part 1: Emissions</w:t>
            </w:r>
          </w:p>
        </w:tc>
      </w:tr>
      <w:tr w:rsidR="00A21257" w:rsidRPr="00AA3768" w14:paraId="47933288" w14:textId="77777777" w:rsidTr="00103D6C">
        <w:tc>
          <w:tcPr>
            <w:tcW w:w="548" w:type="dxa"/>
            <w:shd w:val="clear" w:color="auto" w:fill="E5DFEC" w:themeFill="accent4" w:themeFillTint="33"/>
          </w:tcPr>
          <w:p w14:paraId="702133F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43</w:t>
            </w:r>
          </w:p>
        </w:tc>
        <w:tc>
          <w:tcPr>
            <w:tcW w:w="2209" w:type="dxa"/>
            <w:shd w:val="clear" w:color="auto" w:fill="E5DFEC" w:themeFill="accent4" w:themeFillTint="33"/>
          </w:tcPr>
          <w:p w14:paraId="44D4B8F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60034-1</w:t>
            </w:r>
          </w:p>
        </w:tc>
        <w:tc>
          <w:tcPr>
            <w:tcW w:w="5618" w:type="dxa"/>
            <w:shd w:val="clear" w:color="auto" w:fill="E5DFEC" w:themeFill="accent4" w:themeFillTint="33"/>
          </w:tcPr>
          <w:p w14:paraId="2FC8DB5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Rotating electrical machines - Part 1: Rating and performance</w:t>
            </w:r>
          </w:p>
        </w:tc>
      </w:tr>
      <w:tr w:rsidR="00A21257" w:rsidRPr="00AA3768" w14:paraId="0412FE05" w14:textId="77777777" w:rsidTr="00103D6C">
        <w:tc>
          <w:tcPr>
            <w:tcW w:w="548" w:type="dxa"/>
            <w:shd w:val="clear" w:color="auto" w:fill="FDE9D9" w:themeFill="accent6" w:themeFillTint="33"/>
          </w:tcPr>
          <w:p w14:paraId="75065F6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44</w:t>
            </w:r>
          </w:p>
        </w:tc>
        <w:tc>
          <w:tcPr>
            <w:tcW w:w="2209" w:type="dxa"/>
            <w:shd w:val="clear" w:color="auto" w:fill="FDE9D9" w:themeFill="accent6" w:themeFillTint="33"/>
          </w:tcPr>
          <w:p w14:paraId="1086BDA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60204-31</w:t>
            </w:r>
          </w:p>
        </w:tc>
        <w:tc>
          <w:tcPr>
            <w:tcW w:w="5618" w:type="dxa"/>
            <w:shd w:val="clear" w:color="auto" w:fill="FDE9D9" w:themeFill="accent6" w:themeFillTint="33"/>
          </w:tcPr>
          <w:p w14:paraId="1C264AD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Safety of machinery - Electrical equipment of machines - Part 31: Particular safety and EMC requirements for sewing machines, units and systems</w:t>
            </w:r>
          </w:p>
        </w:tc>
      </w:tr>
      <w:tr w:rsidR="00A21257" w:rsidRPr="00AA3768" w14:paraId="0157DF5C" w14:textId="77777777" w:rsidTr="00103D6C">
        <w:tc>
          <w:tcPr>
            <w:tcW w:w="548" w:type="dxa"/>
            <w:shd w:val="clear" w:color="auto" w:fill="FDE9D9" w:themeFill="accent6" w:themeFillTint="33"/>
          </w:tcPr>
          <w:p w14:paraId="67A7B15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45</w:t>
            </w:r>
          </w:p>
        </w:tc>
        <w:tc>
          <w:tcPr>
            <w:tcW w:w="2209" w:type="dxa"/>
            <w:shd w:val="clear" w:color="auto" w:fill="FDE9D9" w:themeFill="accent6" w:themeFillTint="33"/>
          </w:tcPr>
          <w:p w14:paraId="274B91A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60255-26</w:t>
            </w:r>
          </w:p>
          <w:p w14:paraId="191E8F5A" w14:textId="77777777" w:rsidR="00AA3768" w:rsidRPr="00AA3768" w:rsidRDefault="00AA3768" w:rsidP="00AA3768">
            <w:pPr>
              <w:spacing w:after="0" w:line="240" w:lineRule="auto"/>
              <w:rPr>
                <w:rFonts w:ascii="Calibri" w:hAnsi="Calibri"/>
                <w:sz w:val="16"/>
                <w:szCs w:val="16"/>
              </w:rPr>
            </w:pPr>
          </w:p>
        </w:tc>
        <w:tc>
          <w:tcPr>
            <w:tcW w:w="5618" w:type="dxa"/>
            <w:shd w:val="clear" w:color="auto" w:fill="FDE9D9" w:themeFill="accent6" w:themeFillTint="33"/>
          </w:tcPr>
          <w:p w14:paraId="541694D0" w14:textId="094A2C30" w:rsidR="00AA3768" w:rsidRPr="00AA3768" w:rsidRDefault="00AA3768" w:rsidP="00C53278">
            <w:pPr>
              <w:spacing w:after="0" w:line="240" w:lineRule="auto"/>
              <w:rPr>
                <w:rFonts w:ascii="Calibri" w:hAnsi="Calibri"/>
                <w:sz w:val="16"/>
                <w:szCs w:val="16"/>
              </w:rPr>
            </w:pPr>
            <w:r w:rsidRPr="00AA3768">
              <w:rPr>
                <w:rFonts w:ascii="Calibri" w:hAnsi="Calibri"/>
                <w:sz w:val="16"/>
                <w:szCs w:val="16"/>
              </w:rPr>
              <w:t>Measuring relays and protection equipment - Part 26: Electromagnetic compatibility</w:t>
            </w:r>
            <w:r w:rsidR="00C53278">
              <w:rPr>
                <w:rFonts w:ascii="Calibri" w:hAnsi="Calibri"/>
                <w:sz w:val="16"/>
                <w:szCs w:val="16"/>
              </w:rPr>
              <w:t xml:space="preserve"> </w:t>
            </w:r>
            <w:r w:rsidRPr="00AA3768">
              <w:rPr>
                <w:rFonts w:ascii="Calibri" w:hAnsi="Calibri"/>
                <w:sz w:val="16"/>
                <w:szCs w:val="16"/>
              </w:rPr>
              <w:t>requirements</w:t>
            </w:r>
          </w:p>
        </w:tc>
      </w:tr>
      <w:tr w:rsidR="00A21257" w:rsidRPr="00AA3768" w14:paraId="1ACE1F2B" w14:textId="77777777" w:rsidTr="00103D6C">
        <w:tc>
          <w:tcPr>
            <w:tcW w:w="548" w:type="dxa"/>
            <w:shd w:val="clear" w:color="auto" w:fill="FDE9D9" w:themeFill="accent6" w:themeFillTint="33"/>
          </w:tcPr>
          <w:p w14:paraId="23208033"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46</w:t>
            </w:r>
          </w:p>
        </w:tc>
        <w:tc>
          <w:tcPr>
            <w:tcW w:w="2209" w:type="dxa"/>
            <w:shd w:val="clear" w:color="auto" w:fill="FDE9D9" w:themeFill="accent6" w:themeFillTint="33"/>
          </w:tcPr>
          <w:p w14:paraId="30E2EBB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60669-2-1</w:t>
            </w:r>
          </w:p>
          <w:p w14:paraId="0C797987" w14:textId="77777777" w:rsidR="00AA3768" w:rsidRPr="00AA3768" w:rsidRDefault="00AA3768" w:rsidP="00AA3768">
            <w:pPr>
              <w:spacing w:after="0" w:line="240" w:lineRule="auto"/>
              <w:rPr>
                <w:rFonts w:ascii="Calibri" w:hAnsi="Calibri"/>
                <w:sz w:val="16"/>
                <w:szCs w:val="16"/>
              </w:rPr>
            </w:pPr>
          </w:p>
        </w:tc>
        <w:tc>
          <w:tcPr>
            <w:tcW w:w="5618" w:type="dxa"/>
            <w:shd w:val="clear" w:color="auto" w:fill="FDE9D9" w:themeFill="accent6" w:themeFillTint="33"/>
          </w:tcPr>
          <w:p w14:paraId="2B37E80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Switches for household and similar fixed electrical installations - Part 2-1: Particular requirements - Electronic switches</w:t>
            </w:r>
          </w:p>
        </w:tc>
      </w:tr>
      <w:tr w:rsidR="00A21257" w:rsidRPr="00AA3768" w14:paraId="70C462C7" w14:textId="77777777" w:rsidTr="00103D6C">
        <w:tc>
          <w:tcPr>
            <w:tcW w:w="548" w:type="dxa"/>
            <w:shd w:val="clear" w:color="auto" w:fill="FDE9D9" w:themeFill="accent6" w:themeFillTint="33"/>
          </w:tcPr>
          <w:p w14:paraId="708E67A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47</w:t>
            </w:r>
          </w:p>
        </w:tc>
        <w:tc>
          <w:tcPr>
            <w:tcW w:w="2209" w:type="dxa"/>
            <w:shd w:val="clear" w:color="auto" w:fill="FDE9D9" w:themeFill="accent6" w:themeFillTint="33"/>
          </w:tcPr>
          <w:p w14:paraId="222C897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60730-1</w:t>
            </w:r>
          </w:p>
        </w:tc>
        <w:tc>
          <w:tcPr>
            <w:tcW w:w="5618" w:type="dxa"/>
            <w:shd w:val="clear" w:color="auto" w:fill="FDE9D9" w:themeFill="accent6" w:themeFillTint="33"/>
          </w:tcPr>
          <w:p w14:paraId="21A2773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Automatic electrical controls for household and similar use - Part 1: General requirements</w:t>
            </w:r>
          </w:p>
        </w:tc>
      </w:tr>
      <w:tr w:rsidR="00A21257" w:rsidRPr="00AA3768" w14:paraId="134805C8" w14:textId="77777777" w:rsidTr="00103D6C">
        <w:tc>
          <w:tcPr>
            <w:tcW w:w="548" w:type="dxa"/>
            <w:shd w:val="clear" w:color="auto" w:fill="FDE9D9" w:themeFill="accent6" w:themeFillTint="33"/>
          </w:tcPr>
          <w:p w14:paraId="390E586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48</w:t>
            </w:r>
          </w:p>
        </w:tc>
        <w:tc>
          <w:tcPr>
            <w:tcW w:w="2209" w:type="dxa"/>
            <w:shd w:val="clear" w:color="auto" w:fill="FDE9D9" w:themeFill="accent6" w:themeFillTint="33"/>
          </w:tcPr>
          <w:p w14:paraId="7662B88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60730-2-5</w:t>
            </w:r>
          </w:p>
        </w:tc>
        <w:tc>
          <w:tcPr>
            <w:tcW w:w="5618" w:type="dxa"/>
            <w:shd w:val="clear" w:color="auto" w:fill="FDE9D9" w:themeFill="accent6" w:themeFillTint="33"/>
          </w:tcPr>
          <w:p w14:paraId="444E84C3"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Automatic electrical controls for household and similar use - Part 2-5: Particular requirements for automatic electrical burner control systems</w:t>
            </w:r>
          </w:p>
        </w:tc>
      </w:tr>
      <w:tr w:rsidR="00A21257" w:rsidRPr="00AA3768" w14:paraId="0607AC54" w14:textId="77777777" w:rsidTr="00103D6C">
        <w:tc>
          <w:tcPr>
            <w:tcW w:w="548" w:type="dxa"/>
            <w:shd w:val="clear" w:color="auto" w:fill="FDE9D9" w:themeFill="accent6" w:themeFillTint="33"/>
          </w:tcPr>
          <w:p w14:paraId="4D12946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49</w:t>
            </w:r>
          </w:p>
        </w:tc>
        <w:tc>
          <w:tcPr>
            <w:tcW w:w="2209" w:type="dxa"/>
            <w:shd w:val="clear" w:color="auto" w:fill="FDE9D9" w:themeFill="accent6" w:themeFillTint="33"/>
          </w:tcPr>
          <w:p w14:paraId="5CD54AC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60730-2-6</w:t>
            </w:r>
          </w:p>
        </w:tc>
        <w:tc>
          <w:tcPr>
            <w:tcW w:w="5618" w:type="dxa"/>
            <w:shd w:val="clear" w:color="auto" w:fill="FDE9D9" w:themeFill="accent6" w:themeFillTint="33"/>
          </w:tcPr>
          <w:p w14:paraId="7DA38A90"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Automatic electrical controls for household and similar use - Part 2-6: Particular requirements for automatic electrical pressure sensing controls including mechanical requirements</w:t>
            </w:r>
          </w:p>
        </w:tc>
      </w:tr>
      <w:tr w:rsidR="00A21257" w:rsidRPr="00AA3768" w14:paraId="176F124D" w14:textId="77777777" w:rsidTr="00103D6C">
        <w:tc>
          <w:tcPr>
            <w:tcW w:w="548" w:type="dxa"/>
            <w:shd w:val="clear" w:color="auto" w:fill="FDE9D9" w:themeFill="accent6" w:themeFillTint="33"/>
          </w:tcPr>
          <w:p w14:paraId="6F6AC94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50</w:t>
            </w:r>
          </w:p>
        </w:tc>
        <w:tc>
          <w:tcPr>
            <w:tcW w:w="2209" w:type="dxa"/>
            <w:shd w:val="clear" w:color="auto" w:fill="FDE9D9" w:themeFill="accent6" w:themeFillTint="33"/>
          </w:tcPr>
          <w:p w14:paraId="6EB8ED4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60730-2-7</w:t>
            </w:r>
          </w:p>
        </w:tc>
        <w:tc>
          <w:tcPr>
            <w:tcW w:w="5618" w:type="dxa"/>
            <w:shd w:val="clear" w:color="auto" w:fill="FDE9D9" w:themeFill="accent6" w:themeFillTint="33"/>
          </w:tcPr>
          <w:p w14:paraId="4772BAA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Automatic electrical controls for household and similar use - Part 2-7: Particular requirements for timers and time switches</w:t>
            </w:r>
          </w:p>
        </w:tc>
      </w:tr>
      <w:tr w:rsidR="00A21257" w:rsidRPr="00AA3768" w14:paraId="1BEAE30B" w14:textId="77777777" w:rsidTr="00103D6C">
        <w:tc>
          <w:tcPr>
            <w:tcW w:w="548" w:type="dxa"/>
            <w:shd w:val="clear" w:color="auto" w:fill="FDE9D9" w:themeFill="accent6" w:themeFillTint="33"/>
          </w:tcPr>
          <w:p w14:paraId="1B1DDCF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51</w:t>
            </w:r>
          </w:p>
        </w:tc>
        <w:tc>
          <w:tcPr>
            <w:tcW w:w="2209" w:type="dxa"/>
            <w:shd w:val="clear" w:color="auto" w:fill="FDE9D9" w:themeFill="accent6" w:themeFillTint="33"/>
          </w:tcPr>
          <w:p w14:paraId="63B2535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60730-2-8</w:t>
            </w:r>
          </w:p>
        </w:tc>
        <w:tc>
          <w:tcPr>
            <w:tcW w:w="5618" w:type="dxa"/>
            <w:shd w:val="clear" w:color="auto" w:fill="FDE9D9" w:themeFill="accent6" w:themeFillTint="33"/>
          </w:tcPr>
          <w:p w14:paraId="4B33C3C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Automatic electrical controls for household and similar use - Part 2-8: Particular requirements for electrically operated water valves, including mechanical requirements</w:t>
            </w:r>
          </w:p>
        </w:tc>
      </w:tr>
      <w:tr w:rsidR="00A21257" w:rsidRPr="00AA3768" w14:paraId="0F00E3C6" w14:textId="77777777" w:rsidTr="00103D6C">
        <w:tc>
          <w:tcPr>
            <w:tcW w:w="548" w:type="dxa"/>
            <w:shd w:val="clear" w:color="auto" w:fill="FDE9D9" w:themeFill="accent6" w:themeFillTint="33"/>
          </w:tcPr>
          <w:p w14:paraId="1D14DB7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52</w:t>
            </w:r>
          </w:p>
        </w:tc>
        <w:tc>
          <w:tcPr>
            <w:tcW w:w="2209" w:type="dxa"/>
            <w:shd w:val="clear" w:color="auto" w:fill="FDE9D9" w:themeFill="accent6" w:themeFillTint="33"/>
          </w:tcPr>
          <w:p w14:paraId="4435109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60730-2-9</w:t>
            </w:r>
          </w:p>
        </w:tc>
        <w:tc>
          <w:tcPr>
            <w:tcW w:w="5618" w:type="dxa"/>
            <w:shd w:val="clear" w:color="auto" w:fill="FDE9D9" w:themeFill="accent6" w:themeFillTint="33"/>
          </w:tcPr>
          <w:p w14:paraId="42CB5EC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Automatic electrical controls for household and similar use - Part 2-9: Particular requirements for temperature sensing controls</w:t>
            </w:r>
          </w:p>
        </w:tc>
      </w:tr>
      <w:tr w:rsidR="00A21257" w:rsidRPr="00AA3768" w14:paraId="607AEA07" w14:textId="77777777" w:rsidTr="00103D6C">
        <w:tc>
          <w:tcPr>
            <w:tcW w:w="548" w:type="dxa"/>
            <w:shd w:val="clear" w:color="auto" w:fill="FDE9D9" w:themeFill="accent6" w:themeFillTint="33"/>
          </w:tcPr>
          <w:p w14:paraId="302EDBB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53</w:t>
            </w:r>
          </w:p>
        </w:tc>
        <w:tc>
          <w:tcPr>
            <w:tcW w:w="2209" w:type="dxa"/>
            <w:shd w:val="clear" w:color="auto" w:fill="FDE9D9" w:themeFill="accent6" w:themeFillTint="33"/>
          </w:tcPr>
          <w:p w14:paraId="10B03C4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60730-2-14</w:t>
            </w:r>
          </w:p>
        </w:tc>
        <w:tc>
          <w:tcPr>
            <w:tcW w:w="5618" w:type="dxa"/>
            <w:shd w:val="clear" w:color="auto" w:fill="FDE9D9" w:themeFill="accent6" w:themeFillTint="33"/>
          </w:tcPr>
          <w:p w14:paraId="54050AC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Automatic electrical controls for household and similar use - Part 2-14: Particular requirements for electric actuators</w:t>
            </w:r>
          </w:p>
        </w:tc>
      </w:tr>
      <w:tr w:rsidR="00A21257" w:rsidRPr="00AA3768" w14:paraId="6F4AD17A" w14:textId="77777777" w:rsidTr="00103D6C">
        <w:tc>
          <w:tcPr>
            <w:tcW w:w="548" w:type="dxa"/>
            <w:shd w:val="clear" w:color="auto" w:fill="FDE9D9" w:themeFill="accent6" w:themeFillTint="33"/>
          </w:tcPr>
          <w:p w14:paraId="6670ECC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lastRenderedPageBreak/>
              <w:t>54</w:t>
            </w:r>
          </w:p>
        </w:tc>
        <w:tc>
          <w:tcPr>
            <w:tcW w:w="2209" w:type="dxa"/>
            <w:shd w:val="clear" w:color="auto" w:fill="FDE9D9" w:themeFill="accent6" w:themeFillTint="33"/>
          </w:tcPr>
          <w:p w14:paraId="153961A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60730-2-15</w:t>
            </w:r>
          </w:p>
        </w:tc>
        <w:tc>
          <w:tcPr>
            <w:tcW w:w="5618" w:type="dxa"/>
            <w:shd w:val="clear" w:color="auto" w:fill="FDE9D9" w:themeFill="accent6" w:themeFillTint="33"/>
          </w:tcPr>
          <w:p w14:paraId="5563C35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Automatic electrical controls for household and similar use - Part 2-15: Particular requirements for automatic electrical air flow, water flow and water level sensing controls</w:t>
            </w:r>
          </w:p>
        </w:tc>
      </w:tr>
      <w:tr w:rsidR="00A21257" w:rsidRPr="00AA3768" w14:paraId="6B333088" w14:textId="77777777" w:rsidTr="00103D6C">
        <w:tc>
          <w:tcPr>
            <w:tcW w:w="548" w:type="dxa"/>
            <w:shd w:val="clear" w:color="auto" w:fill="FDE9D9" w:themeFill="accent6" w:themeFillTint="33"/>
          </w:tcPr>
          <w:p w14:paraId="2453177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55</w:t>
            </w:r>
          </w:p>
        </w:tc>
        <w:tc>
          <w:tcPr>
            <w:tcW w:w="2209" w:type="dxa"/>
            <w:shd w:val="clear" w:color="auto" w:fill="FDE9D9" w:themeFill="accent6" w:themeFillTint="33"/>
          </w:tcPr>
          <w:p w14:paraId="22B87B5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60870-2-1</w:t>
            </w:r>
          </w:p>
        </w:tc>
        <w:tc>
          <w:tcPr>
            <w:tcW w:w="5618" w:type="dxa"/>
            <w:shd w:val="clear" w:color="auto" w:fill="FDE9D9" w:themeFill="accent6" w:themeFillTint="33"/>
          </w:tcPr>
          <w:p w14:paraId="251329B1" w14:textId="00FA97A9" w:rsidR="00AA3768" w:rsidRPr="00AA3768" w:rsidRDefault="00AA3768" w:rsidP="00C53278">
            <w:pPr>
              <w:spacing w:after="0" w:line="240" w:lineRule="auto"/>
              <w:rPr>
                <w:rFonts w:ascii="Calibri" w:hAnsi="Calibri"/>
                <w:sz w:val="16"/>
                <w:szCs w:val="16"/>
              </w:rPr>
            </w:pPr>
            <w:r w:rsidRPr="00AA3768">
              <w:rPr>
                <w:rFonts w:ascii="Calibri" w:hAnsi="Calibri"/>
                <w:sz w:val="16"/>
                <w:szCs w:val="16"/>
              </w:rPr>
              <w:t>Telecontrol equipment and systems - Part 2: Operating conditions - Section 1: Power</w:t>
            </w:r>
            <w:r w:rsidR="00C53278">
              <w:rPr>
                <w:rFonts w:ascii="Calibri" w:hAnsi="Calibri"/>
                <w:sz w:val="16"/>
                <w:szCs w:val="16"/>
              </w:rPr>
              <w:t xml:space="preserve"> </w:t>
            </w:r>
            <w:r w:rsidRPr="00AA3768">
              <w:rPr>
                <w:rFonts w:ascii="Calibri" w:hAnsi="Calibri"/>
                <w:sz w:val="16"/>
                <w:szCs w:val="16"/>
              </w:rPr>
              <w:t>supply and electromagnetic compatibility</w:t>
            </w:r>
          </w:p>
        </w:tc>
      </w:tr>
      <w:tr w:rsidR="00A21257" w:rsidRPr="00AA3768" w14:paraId="2C004C82" w14:textId="77777777" w:rsidTr="00103D6C">
        <w:tc>
          <w:tcPr>
            <w:tcW w:w="548" w:type="dxa"/>
            <w:shd w:val="clear" w:color="auto" w:fill="FDE9D9" w:themeFill="accent6" w:themeFillTint="33"/>
          </w:tcPr>
          <w:p w14:paraId="25D9CB5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56</w:t>
            </w:r>
          </w:p>
        </w:tc>
        <w:tc>
          <w:tcPr>
            <w:tcW w:w="2209" w:type="dxa"/>
            <w:shd w:val="clear" w:color="auto" w:fill="FDE9D9" w:themeFill="accent6" w:themeFillTint="33"/>
          </w:tcPr>
          <w:p w14:paraId="2F59AA4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60945</w:t>
            </w:r>
          </w:p>
        </w:tc>
        <w:tc>
          <w:tcPr>
            <w:tcW w:w="5618" w:type="dxa"/>
            <w:shd w:val="clear" w:color="auto" w:fill="FDE9D9" w:themeFill="accent6" w:themeFillTint="33"/>
          </w:tcPr>
          <w:p w14:paraId="1DE66D6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Maritime navigation and radiocommunication equipment and systems – General requirements - Methods of testing and required test results</w:t>
            </w:r>
          </w:p>
        </w:tc>
      </w:tr>
      <w:tr w:rsidR="00A21257" w:rsidRPr="00AA3768" w14:paraId="506D85D1" w14:textId="77777777" w:rsidTr="00103D6C">
        <w:tc>
          <w:tcPr>
            <w:tcW w:w="548" w:type="dxa"/>
            <w:shd w:val="clear" w:color="auto" w:fill="FDE9D9" w:themeFill="accent6" w:themeFillTint="33"/>
          </w:tcPr>
          <w:p w14:paraId="2283D84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57</w:t>
            </w:r>
          </w:p>
        </w:tc>
        <w:tc>
          <w:tcPr>
            <w:tcW w:w="2209" w:type="dxa"/>
            <w:shd w:val="clear" w:color="auto" w:fill="FDE9D9" w:themeFill="accent6" w:themeFillTint="33"/>
          </w:tcPr>
          <w:p w14:paraId="370C75A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60947-1</w:t>
            </w:r>
          </w:p>
        </w:tc>
        <w:tc>
          <w:tcPr>
            <w:tcW w:w="5618" w:type="dxa"/>
            <w:shd w:val="clear" w:color="auto" w:fill="FDE9D9" w:themeFill="accent6" w:themeFillTint="33"/>
          </w:tcPr>
          <w:p w14:paraId="740A766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Part 1: General rules</w:t>
            </w:r>
          </w:p>
        </w:tc>
      </w:tr>
      <w:tr w:rsidR="00A21257" w:rsidRPr="00AA3768" w14:paraId="1DAEED75" w14:textId="77777777" w:rsidTr="00103D6C">
        <w:tc>
          <w:tcPr>
            <w:tcW w:w="548" w:type="dxa"/>
            <w:shd w:val="clear" w:color="auto" w:fill="FDE9D9" w:themeFill="accent6" w:themeFillTint="33"/>
          </w:tcPr>
          <w:p w14:paraId="14B37D8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58</w:t>
            </w:r>
          </w:p>
        </w:tc>
        <w:tc>
          <w:tcPr>
            <w:tcW w:w="2209" w:type="dxa"/>
            <w:shd w:val="clear" w:color="auto" w:fill="FDE9D9" w:themeFill="accent6" w:themeFillTint="33"/>
          </w:tcPr>
          <w:p w14:paraId="44E2FB9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60947-2</w:t>
            </w:r>
          </w:p>
        </w:tc>
        <w:tc>
          <w:tcPr>
            <w:tcW w:w="5618" w:type="dxa"/>
            <w:shd w:val="clear" w:color="auto" w:fill="FDE9D9" w:themeFill="accent6" w:themeFillTint="33"/>
          </w:tcPr>
          <w:p w14:paraId="52DA59A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Part 2: Circuit-breakers</w:t>
            </w:r>
          </w:p>
        </w:tc>
      </w:tr>
      <w:tr w:rsidR="00A21257" w:rsidRPr="00AA3768" w14:paraId="24C6A6B8" w14:textId="77777777" w:rsidTr="00103D6C">
        <w:tc>
          <w:tcPr>
            <w:tcW w:w="548" w:type="dxa"/>
            <w:shd w:val="clear" w:color="auto" w:fill="FDE9D9" w:themeFill="accent6" w:themeFillTint="33"/>
          </w:tcPr>
          <w:p w14:paraId="5AD8706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59</w:t>
            </w:r>
          </w:p>
        </w:tc>
        <w:tc>
          <w:tcPr>
            <w:tcW w:w="2209" w:type="dxa"/>
            <w:shd w:val="clear" w:color="auto" w:fill="FDE9D9" w:themeFill="accent6" w:themeFillTint="33"/>
          </w:tcPr>
          <w:p w14:paraId="3C5D038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IEC 60947-3</w:t>
            </w:r>
          </w:p>
        </w:tc>
        <w:tc>
          <w:tcPr>
            <w:tcW w:w="5618" w:type="dxa"/>
            <w:shd w:val="clear" w:color="auto" w:fill="FDE9D9" w:themeFill="accent6" w:themeFillTint="33"/>
          </w:tcPr>
          <w:p w14:paraId="575CF8E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Part 3: Switches, disconnectors, switch disconnectors and fuse-combination units</w:t>
            </w:r>
          </w:p>
        </w:tc>
      </w:tr>
      <w:tr w:rsidR="00A21257" w:rsidRPr="00AA3768" w14:paraId="10D1D4DB" w14:textId="77777777" w:rsidTr="00103D6C">
        <w:tc>
          <w:tcPr>
            <w:tcW w:w="548" w:type="dxa"/>
            <w:shd w:val="clear" w:color="auto" w:fill="FDE9D9" w:themeFill="accent6" w:themeFillTint="33"/>
          </w:tcPr>
          <w:p w14:paraId="73F695A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60</w:t>
            </w:r>
          </w:p>
        </w:tc>
        <w:tc>
          <w:tcPr>
            <w:tcW w:w="2209" w:type="dxa"/>
            <w:shd w:val="clear" w:color="auto" w:fill="FDE9D9" w:themeFill="accent6" w:themeFillTint="33"/>
          </w:tcPr>
          <w:p w14:paraId="55D89D2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60947-4-1</w:t>
            </w:r>
          </w:p>
        </w:tc>
        <w:tc>
          <w:tcPr>
            <w:tcW w:w="5618" w:type="dxa"/>
            <w:shd w:val="clear" w:color="auto" w:fill="FDE9D9" w:themeFill="accent6" w:themeFillTint="33"/>
          </w:tcPr>
          <w:p w14:paraId="7210FD4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Part 4-1: Contactors and motor-starters - Electromechanical contactors and motorstarters</w:t>
            </w:r>
          </w:p>
        </w:tc>
      </w:tr>
      <w:tr w:rsidR="00A21257" w:rsidRPr="00AA3768" w14:paraId="0DA26F28" w14:textId="77777777" w:rsidTr="00103D6C">
        <w:tc>
          <w:tcPr>
            <w:tcW w:w="548" w:type="dxa"/>
            <w:shd w:val="clear" w:color="auto" w:fill="FDE9D9" w:themeFill="accent6" w:themeFillTint="33"/>
          </w:tcPr>
          <w:p w14:paraId="5CDF886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61</w:t>
            </w:r>
          </w:p>
        </w:tc>
        <w:tc>
          <w:tcPr>
            <w:tcW w:w="2209" w:type="dxa"/>
            <w:shd w:val="clear" w:color="auto" w:fill="FDE9D9" w:themeFill="accent6" w:themeFillTint="33"/>
          </w:tcPr>
          <w:p w14:paraId="0681F0FB"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IEC 60947-4-1</w:t>
            </w:r>
          </w:p>
        </w:tc>
        <w:tc>
          <w:tcPr>
            <w:tcW w:w="5618" w:type="dxa"/>
            <w:shd w:val="clear" w:color="auto" w:fill="FDE9D9" w:themeFill="accent6" w:themeFillTint="33"/>
          </w:tcPr>
          <w:p w14:paraId="42067AD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Part 4-1: Contactors and motor-starters - Electromechanical contactors and motorstarters</w:t>
            </w:r>
          </w:p>
        </w:tc>
      </w:tr>
      <w:tr w:rsidR="00A21257" w:rsidRPr="00AA3768" w14:paraId="6A795CB3" w14:textId="77777777" w:rsidTr="00103D6C">
        <w:tc>
          <w:tcPr>
            <w:tcW w:w="548" w:type="dxa"/>
            <w:shd w:val="clear" w:color="auto" w:fill="FDE9D9" w:themeFill="accent6" w:themeFillTint="33"/>
          </w:tcPr>
          <w:p w14:paraId="2B8F131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62</w:t>
            </w:r>
          </w:p>
        </w:tc>
        <w:tc>
          <w:tcPr>
            <w:tcW w:w="2209" w:type="dxa"/>
            <w:shd w:val="clear" w:color="auto" w:fill="FDE9D9" w:themeFill="accent6" w:themeFillTint="33"/>
          </w:tcPr>
          <w:p w14:paraId="2ADC571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60947-4-2</w:t>
            </w:r>
          </w:p>
        </w:tc>
        <w:tc>
          <w:tcPr>
            <w:tcW w:w="5618" w:type="dxa"/>
            <w:shd w:val="clear" w:color="auto" w:fill="FDE9D9" w:themeFill="accent6" w:themeFillTint="33"/>
          </w:tcPr>
          <w:p w14:paraId="1092CAC3" w14:textId="3F8D87AB" w:rsidR="00AA3768" w:rsidRPr="00AA3768" w:rsidRDefault="00AA3768" w:rsidP="003D49F4">
            <w:pPr>
              <w:spacing w:after="0" w:line="240" w:lineRule="auto"/>
              <w:rPr>
                <w:rFonts w:ascii="Calibri" w:hAnsi="Calibri"/>
                <w:sz w:val="16"/>
                <w:szCs w:val="16"/>
              </w:rPr>
            </w:pPr>
            <w:r w:rsidRPr="00AA3768">
              <w:rPr>
                <w:rFonts w:ascii="Calibri" w:hAnsi="Calibri"/>
                <w:sz w:val="16"/>
                <w:szCs w:val="16"/>
              </w:rPr>
              <w:t xml:space="preserve">Low-voltage switchgear and controlgear - Part 4-2: Contactors and motor-starters </w:t>
            </w:r>
            <w:r w:rsidR="003D49F4">
              <w:rPr>
                <w:rFonts w:ascii="Calibri" w:hAnsi="Calibri"/>
                <w:sz w:val="16"/>
                <w:szCs w:val="16"/>
              </w:rPr>
              <w:t>–</w:t>
            </w:r>
            <w:r w:rsidRPr="00AA3768">
              <w:rPr>
                <w:rFonts w:ascii="Calibri" w:hAnsi="Calibri"/>
                <w:sz w:val="16"/>
                <w:szCs w:val="16"/>
              </w:rPr>
              <w:t xml:space="preserve"> AC</w:t>
            </w:r>
            <w:r w:rsidR="003D49F4">
              <w:rPr>
                <w:rFonts w:ascii="Calibri" w:hAnsi="Calibri"/>
                <w:sz w:val="16"/>
                <w:szCs w:val="16"/>
              </w:rPr>
              <w:t xml:space="preserve"> </w:t>
            </w:r>
            <w:r w:rsidRPr="00AA3768">
              <w:rPr>
                <w:rFonts w:ascii="Calibri" w:hAnsi="Calibri"/>
                <w:sz w:val="16"/>
                <w:szCs w:val="16"/>
              </w:rPr>
              <w:t>semiconductor motor controllers and starters</w:t>
            </w:r>
          </w:p>
        </w:tc>
      </w:tr>
      <w:tr w:rsidR="00A21257" w:rsidRPr="00AA3768" w14:paraId="1DED2009" w14:textId="77777777" w:rsidTr="00103D6C">
        <w:tc>
          <w:tcPr>
            <w:tcW w:w="548" w:type="dxa"/>
            <w:shd w:val="clear" w:color="auto" w:fill="FDE9D9" w:themeFill="accent6" w:themeFillTint="33"/>
          </w:tcPr>
          <w:p w14:paraId="4CE6324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63</w:t>
            </w:r>
          </w:p>
        </w:tc>
        <w:tc>
          <w:tcPr>
            <w:tcW w:w="2209" w:type="dxa"/>
            <w:shd w:val="clear" w:color="auto" w:fill="FDE9D9" w:themeFill="accent6" w:themeFillTint="33"/>
          </w:tcPr>
          <w:p w14:paraId="3623427B"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60947-4-3</w:t>
            </w:r>
          </w:p>
        </w:tc>
        <w:tc>
          <w:tcPr>
            <w:tcW w:w="5618" w:type="dxa"/>
            <w:shd w:val="clear" w:color="auto" w:fill="FDE9D9" w:themeFill="accent6" w:themeFillTint="33"/>
          </w:tcPr>
          <w:p w14:paraId="5F215CAC" w14:textId="45581149" w:rsidR="00AA3768" w:rsidRPr="00AA3768" w:rsidRDefault="00AA3768" w:rsidP="003D49F4">
            <w:pPr>
              <w:spacing w:after="0" w:line="240" w:lineRule="auto"/>
              <w:rPr>
                <w:rFonts w:ascii="Calibri" w:hAnsi="Calibri"/>
                <w:sz w:val="16"/>
                <w:szCs w:val="16"/>
              </w:rPr>
            </w:pPr>
            <w:r w:rsidRPr="00AA3768">
              <w:rPr>
                <w:rFonts w:ascii="Calibri" w:hAnsi="Calibri"/>
                <w:sz w:val="16"/>
                <w:szCs w:val="16"/>
              </w:rPr>
              <w:t xml:space="preserve">Low-voltage switchgear and controlgear - Part 4-3: Contactors and motor-starters </w:t>
            </w:r>
            <w:r w:rsidR="003D49F4">
              <w:rPr>
                <w:rFonts w:ascii="Calibri" w:hAnsi="Calibri"/>
                <w:sz w:val="16"/>
                <w:szCs w:val="16"/>
              </w:rPr>
              <w:t>–</w:t>
            </w:r>
            <w:r w:rsidRPr="00AA3768">
              <w:rPr>
                <w:rFonts w:ascii="Calibri" w:hAnsi="Calibri"/>
                <w:sz w:val="16"/>
                <w:szCs w:val="16"/>
              </w:rPr>
              <w:t xml:space="preserve"> AC</w:t>
            </w:r>
            <w:r w:rsidR="003D49F4">
              <w:rPr>
                <w:rFonts w:ascii="Calibri" w:hAnsi="Calibri"/>
                <w:sz w:val="16"/>
                <w:szCs w:val="16"/>
              </w:rPr>
              <w:t xml:space="preserve"> </w:t>
            </w:r>
            <w:r w:rsidRPr="00AA3768">
              <w:rPr>
                <w:rFonts w:ascii="Calibri" w:hAnsi="Calibri"/>
                <w:sz w:val="16"/>
                <w:szCs w:val="16"/>
              </w:rPr>
              <w:t>semiconductor controllers and contactors for non-motor loads</w:t>
            </w:r>
          </w:p>
        </w:tc>
      </w:tr>
      <w:tr w:rsidR="00A21257" w:rsidRPr="00AA3768" w14:paraId="2E7233E8" w14:textId="77777777" w:rsidTr="00103D6C">
        <w:tc>
          <w:tcPr>
            <w:tcW w:w="548" w:type="dxa"/>
            <w:shd w:val="clear" w:color="auto" w:fill="FDE9D9" w:themeFill="accent6" w:themeFillTint="33"/>
          </w:tcPr>
          <w:p w14:paraId="2CF2B2D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64</w:t>
            </w:r>
          </w:p>
        </w:tc>
        <w:tc>
          <w:tcPr>
            <w:tcW w:w="2209" w:type="dxa"/>
            <w:shd w:val="clear" w:color="auto" w:fill="FDE9D9" w:themeFill="accent6" w:themeFillTint="33"/>
          </w:tcPr>
          <w:p w14:paraId="75C2C29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60947-5-1</w:t>
            </w:r>
          </w:p>
        </w:tc>
        <w:tc>
          <w:tcPr>
            <w:tcW w:w="5618" w:type="dxa"/>
            <w:shd w:val="clear" w:color="auto" w:fill="FDE9D9" w:themeFill="accent6" w:themeFillTint="33"/>
          </w:tcPr>
          <w:p w14:paraId="4BAFB2FB"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Part 5-1: Control circuit devices and switching elements – Electromechanical control circuit devices</w:t>
            </w:r>
          </w:p>
        </w:tc>
      </w:tr>
      <w:tr w:rsidR="00A21257" w:rsidRPr="00AA3768" w14:paraId="30E18F75" w14:textId="77777777" w:rsidTr="00103D6C">
        <w:tc>
          <w:tcPr>
            <w:tcW w:w="548" w:type="dxa"/>
            <w:shd w:val="clear" w:color="auto" w:fill="FDE9D9" w:themeFill="accent6" w:themeFillTint="33"/>
          </w:tcPr>
          <w:p w14:paraId="6E3E144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65</w:t>
            </w:r>
          </w:p>
        </w:tc>
        <w:tc>
          <w:tcPr>
            <w:tcW w:w="2209" w:type="dxa"/>
            <w:shd w:val="clear" w:color="auto" w:fill="FDE9D9" w:themeFill="accent6" w:themeFillTint="33"/>
          </w:tcPr>
          <w:p w14:paraId="5E9C250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60947-5-2</w:t>
            </w:r>
          </w:p>
        </w:tc>
        <w:tc>
          <w:tcPr>
            <w:tcW w:w="5618" w:type="dxa"/>
            <w:shd w:val="clear" w:color="auto" w:fill="FDE9D9" w:themeFill="accent6" w:themeFillTint="33"/>
          </w:tcPr>
          <w:p w14:paraId="274583E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Part 5-2: Control circuit devices and switching elements - Proximity switches</w:t>
            </w:r>
          </w:p>
        </w:tc>
      </w:tr>
      <w:tr w:rsidR="00A21257" w:rsidRPr="00AA3768" w14:paraId="689D1128" w14:textId="77777777" w:rsidTr="00103D6C">
        <w:tc>
          <w:tcPr>
            <w:tcW w:w="548" w:type="dxa"/>
            <w:shd w:val="clear" w:color="auto" w:fill="FDE9D9" w:themeFill="accent6" w:themeFillTint="33"/>
          </w:tcPr>
          <w:p w14:paraId="584935D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66</w:t>
            </w:r>
          </w:p>
        </w:tc>
        <w:tc>
          <w:tcPr>
            <w:tcW w:w="2209" w:type="dxa"/>
            <w:shd w:val="clear" w:color="auto" w:fill="FDE9D9" w:themeFill="accent6" w:themeFillTint="33"/>
          </w:tcPr>
          <w:p w14:paraId="0BA498F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60947-5-3</w:t>
            </w:r>
          </w:p>
        </w:tc>
        <w:tc>
          <w:tcPr>
            <w:tcW w:w="5618" w:type="dxa"/>
            <w:shd w:val="clear" w:color="auto" w:fill="FDE9D9" w:themeFill="accent6" w:themeFillTint="33"/>
          </w:tcPr>
          <w:p w14:paraId="448CCCE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Part 5-3: Control circuit devices and switching elements - Requirements for proximity devices with defined behaviour under fault conditions (PDF)</w:t>
            </w:r>
          </w:p>
        </w:tc>
      </w:tr>
      <w:tr w:rsidR="00A21257" w:rsidRPr="00AA3768" w14:paraId="579861A9" w14:textId="77777777" w:rsidTr="00103D6C">
        <w:tc>
          <w:tcPr>
            <w:tcW w:w="548" w:type="dxa"/>
            <w:shd w:val="clear" w:color="auto" w:fill="FDE9D9" w:themeFill="accent6" w:themeFillTint="33"/>
          </w:tcPr>
          <w:p w14:paraId="6CA80C90"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67</w:t>
            </w:r>
          </w:p>
        </w:tc>
        <w:tc>
          <w:tcPr>
            <w:tcW w:w="2209" w:type="dxa"/>
            <w:shd w:val="clear" w:color="auto" w:fill="FDE9D9" w:themeFill="accent6" w:themeFillTint="33"/>
          </w:tcPr>
          <w:p w14:paraId="05F6D2C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60947-5-6</w:t>
            </w:r>
          </w:p>
        </w:tc>
        <w:tc>
          <w:tcPr>
            <w:tcW w:w="5618" w:type="dxa"/>
            <w:shd w:val="clear" w:color="auto" w:fill="FDE9D9" w:themeFill="accent6" w:themeFillTint="33"/>
          </w:tcPr>
          <w:p w14:paraId="69009D1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Part 5-6: Control circuit devices and switching elements - DC interface for proximity sensors and switching amplifiers (NAMUR)</w:t>
            </w:r>
          </w:p>
        </w:tc>
      </w:tr>
      <w:tr w:rsidR="00A21257" w:rsidRPr="00AA3768" w14:paraId="3A8E4DA1" w14:textId="77777777" w:rsidTr="00103D6C">
        <w:tc>
          <w:tcPr>
            <w:tcW w:w="548" w:type="dxa"/>
            <w:shd w:val="clear" w:color="auto" w:fill="E5DFEC" w:themeFill="accent4" w:themeFillTint="33"/>
          </w:tcPr>
          <w:p w14:paraId="0BE7817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68</w:t>
            </w:r>
          </w:p>
        </w:tc>
        <w:tc>
          <w:tcPr>
            <w:tcW w:w="2209" w:type="dxa"/>
            <w:shd w:val="clear" w:color="auto" w:fill="E5DFEC" w:themeFill="accent4" w:themeFillTint="33"/>
          </w:tcPr>
          <w:p w14:paraId="4B5E696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60947-5-7</w:t>
            </w:r>
          </w:p>
        </w:tc>
        <w:tc>
          <w:tcPr>
            <w:tcW w:w="5618" w:type="dxa"/>
            <w:shd w:val="clear" w:color="auto" w:fill="E5DFEC" w:themeFill="accent4" w:themeFillTint="33"/>
          </w:tcPr>
          <w:p w14:paraId="7FFD7C1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Part 5-7: Control circuit devices and switching elements - Requirements for proximity devices with analogue output</w:t>
            </w:r>
          </w:p>
        </w:tc>
      </w:tr>
      <w:tr w:rsidR="00A21257" w:rsidRPr="00AA3768" w14:paraId="63487D5B" w14:textId="77777777" w:rsidTr="00103D6C">
        <w:tc>
          <w:tcPr>
            <w:tcW w:w="548" w:type="dxa"/>
            <w:shd w:val="clear" w:color="auto" w:fill="E5DFEC" w:themeFill="accent4" w:themeFillTint="33"/>
          </w:tcPr>
          <w:p w14:paraId="0044FA3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69</w:t>
            </w:r>
          </w:p>
        </w:tc>
        <w:tc>
          <w:tcPr>
            <w:tcW w:w="2209" w:type="dxa"/>
            <w:shd w:val="clear" w:color="auto" w:fill="E5DFEC" w:themeFill="accent4" w:themeFillTint="33"/>
          </w:tcPr>
          <w:p w14:paraId="7140234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60947-5-9</w:t>
            </w:r>
          </w:p>
        </w:tc>
        <w:tc>
          <w:tcPr>
            <w:tcW w:w="5618" w:type="dxa"/>
            <w:shd w:val="clear" w:color="auto" w:fill="E5DFEC" w:themeFill="accent4" w:themeFillTint="33"/>
          </w:tcPr>
          <w:p w14:paraId="4496ABC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Part 5-9: Control circuit devices and switching elements - Flow rate switches</w:t>
            </w:r>
          </w:p>
        </w:tc>
      </w:tr>
      <w:tr w:rsidR="00A21257" w:rsidRPr="00AA3768" w14:paraId="3D96724F" w14:textId="77777777" w:rsidTr="00103D6C">
        <w:tc>
          <w:tcPr>
            <w:tcW w:w="548" w:type="dxa"/>
            <w:shd w:val="clear" w:color="auto" w:fill="FDE9D9" w:themeFill="accent6" w:themeFillTint="33"/>
          </w:tcPr>
          <w:p w14:paraId="6EFDEF43"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70</w:t>
            </w:r>
          </w:p>
        </w:tc>
        <w:tc>
          <w:tcPr>
            <w:tcW w:w="2209" w:type="dxa"/>
            <w:shd w:val="clear" w:color="auto" w:fill="FDE9D9" w:themeFill="accent6" w:themeFillTint="33"/>
          </w:tcPr>
          <w:p w14:paraId="1ED0CA10"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60947-6-1</w:t>
            </w:r>
          </w:p>
        </w:tc>
        <w:tc>
          <w:tcPr>
            <w:tcW w:w="5618" w:type="dxa"/>
            <w:shd w:val="clear" w:color="auto" w:fill="FDE9D9" w:themeFill="accent6" w:themeFillTint="33"/>
          </w:tcPr>
          <w:p w14:paraId="4AE490D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Part 6-1: Multiple function equipment - Transfer switching equipment</w:t>
            </w:r>
          </w:p>
        </w:tc>
      </w:tr>
      <w:tr w:rsidR="00A21257" w:rsidRPr="00AA3768" w14:paraId="06C3B592" w14:textId="77777777" w:rsidTr="00103D6C">
        <w:tc>
          <w:tcPr>
            <w:tcW w:w="548" w:type="dxa"/>
            <w:shd w:val="clear" w:color="auto" w:fill="FDE9D9" w:themeFill="accent6" w:themeFillTint="33"/>
          </w:tcPr>
          <w:p w14:paraId="4FAC1C7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71</w:t>
            </w:r>
          </w:p>
        </w:tc>
        <w:tc>
          <w:tcPr>
            <w:tcW w:w="2209" w:type="dxa"/>
            <w:shd w:val="clear" w:color="auto" w:fill="FDE9D9" w:themeFill="accent6" w:themeFillTint="33"/>
          </w:tcPr>
          <w:p w14:paraId="18CDAE7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60947-6-2</w:t>
            </w:r>
          </w:p>
        </w:tc>
        <w:tc>
          <w:tcPr>
            <w:tcW w:w="5618" w:type="dxa"/>
            <w:shd w:val="clear" w:color="auto" w:fill="FDE9D9" w:themeFill="accent6" w:themeFillTint="33"/>
          </w:tcPr>
          <w:p w14:paraId="25AA066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Part 6-2: Multiple function equipment - Control and protective switching devices (or equipment) (CPS)</w:t>
            </w:r>
          </w:p>
        </w:tc>
      </w:tr>
      <w:tr w:rsidR="00A21257" w:rsidRPr="00AA3768" w14:paraId="29181BD4" w14:textId="77777777" w:rsidTr="00103D6C">
        <w:tc>
          <w:tcPr>
            <w:tcW w:w="548" w:type="dxa"/>
            <w:shd w:val="clear" w:color="auto" w:fill="E5DFEC" w:themeFill="accent4" w:themeFillTint="33"/>
          </w:tcPr>
          <w:p w14:paraId="1D195EF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72</w:t>
            </w:r>
          </w:p>
        </w:tc>
        <w:tc>
          <w:tcPr>
            <w:tcW w:w="2209" w:type="dxa"/>
            <w:shd w:val="clear" w:color="auto" w:fill="E5DFEC" w:themeFill="accent4" w:themeFillTint="33"/>
          </w:tcPr>
          <w:p w14:paraId="715CAA5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60947-8</w:t>
            </w:r>
          </w:p>
        </w:tc>
        <w:tc>
          <w:tcPr>
            <w:tcW w:w="5618" w:type="dxa"/>
            <w:shd w:val="clear" w:color="auto" w:fill="E5DFEC" w:themeFill="accent4" w:themeFillTint="33"/>
          </w:tcPr>
          <w:p w14:paraId="0AFF43B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-Part 8: Control units for built-in thermal</w:t>
            </w:r>
          </w:p>
          <w:p w14:paraId="7DD680C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protection (PTC) for rotating electrical machine</w:t>
            </w:r>
          </w:p>
        </w:tc>
      </w:tr>
      <w:tr w:rsidR="00A21257" w:rsidRPr="00AA3768" w14:paraId="1EBCEA48" w14:textId="77777777" w:rsidTr="00103D6C">
        <w:tc>
          <w:tcPr>
            <w:tcW w:w="548" w:type="dxa"/>
            <w:shd w:val="clear" w:color="auto" w:fill="E5DFEC" w:themeFill="accent4" w:themeFillTint="33"/>
          </w:tcPr>
          <w:p w14:paraId="1CF0687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73</w:t>
            </w:r>
          </w:p>
        </w:tc>
        <w:tc>
          <w:tcPr>
            <w:tcW w:w="2209" w:type="dxa"/>
            <w:shd w:val="clear" w:color="auto" w:fill="E5DFEC" w:themeFill="accent4" w:themeFillTint="33"/>
          </w:tcPr>
          <w:p w14:paraId="4DE4458B"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IEC 60947-9-1</w:t>
            </w:r>
          </w:p>
        </w:tc>
        <w:tc>
          <w:tcPr>
            <w:tcW w:w="5618" w:type="dxa"/>
            <w:shd w:val="clear" w:color="auto" w:fill="E5DFEC" w:themeFill="accent4" w:themeFillTint="33"/>
          </w:tcPr>
          <w:p w14:paraId="494CB4B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Part 9-1: Active arc-fault mitigation systems - Arc quenching devices</w:t>
            </w:r>
          </w:p>
        </w:tc>
      </w:tr>
      <w:tr w:rsidR="00A21257" w:rsidRPr="00AA3768" w14:paraId="4FA722E8" w14:textId="77777777" w:rsidTr="00103D6C">
        <w:tc>
          <w:tcPr>
            <w:tcW w:w="548" w:type="dxa"/>
            <w:shd w:val="clear" w:color="auto" w:fill="FDE9D9" w:themeFill="accent6" w:themeFillTint="33"/>
          </w:tcPr>
          <w:p w14:paraId="507488E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74</w:t>
            </w:r>
          </w:p>
        </w:tc>
        <w:tc>
          <w:tcPr>
            <w:tcW w:w="2209" w:type="dxa"/>
            <w:shd w:val="clear" w:color="auto" w:fill="FDE9D9" w:themeFill="accent6" w:themeFillTint="33"/>
          </w:tcPr>
          <w:p w14:paraId="21B5AB7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60974-10</w:t>
            </w:r>
          </w:p>
        </w:tc>
        <w:tc>
          <w:tcPr>
            <w:tcW w:w="5618" w:type="dxa"/>
            <w:shd w:val="clear" w:color="auto" w:fill="FDE9D9" w:themeFill="accent6" w:themeFillTint="33"/>
          </w:tcPr>
          <w:p w14:paraId="5180A783"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Arc welding equipment - Part 10: Electromagnetic compatibility (EMC) requirements</w:t>
            </w:r>
          </w:p>
        </w:tc>
      </w:tr>
      <w:tr w:rsidR="00A21257" w:rsidRPr="00AA3768" w14:paraId="0579662A" w14:textId="77777777" w:rsidTr="00103D6C">
        <w:tc>
          <w:tcPr>
            <w:tcW w:w="548" w:type="dxa"/>
            <w:shd w:val="clear" w:color="auto" w:fill="FDE9D9" w:themeFill="accent6" w:themeFillTint="33"/>
          </w:tcPr>
          <w:p w14:paraId="59F301B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75</w:t>
            </w:r>
          </w:p>
        </w:tc>
        <w:tc>
          <w:tcPr>
            <w:tcW w:w="2209" w:type="dxa"/>
            <w:shd w:val="clear" w:color="auto" w:fill="FDE9D9" w:themeFill="accent6" w:themeFillTint="33"/>
          </w:tcPr>
          <w:p w14:paraId="5A957E6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61000-6-3</w:t>
            </w:r>
          </w:p>
        </w:tc>
        <w:tc>
          <w:tcPr>
            <w:tcW w:w="5618" w:type="dxa"/>
            <w:shd w:val="clear" w:color="auto" w:fill="FDE9D9" w:themeFill="accent6" w:themeFillTint="33"/>
          </w:tcPr>
          <w:p w14:paraId="341E323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Electromagnetic compatibility (EMC) – Part 6-3: Generic standards - Emission standard for residential, commercial and light industrial environments</w:t>
            </w:r>
          </w:p>
        </w:tc>
      </w:tr>
      <w:tr w:rsidR="00A21257" w:rsidRPr="00AA3768" w14:paraId="43C68F1B" w14:textId="77777777" w:rsidTr="00103D6C">
        <w:tc>
          <w:tcPr>
            <w:tcW w:w="548" w:type="dxa"/>
            <w:shd w:val="clear" w:color="auto" w:fill="FDE9D9" w:themeFill="accent6" w:themeFillTint="33"/>
          </w:tcPr>
          <w:p w14:paraId="1D51083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76</w:t>
            </w:r>
          </w:p>
        </w:tc>
        <w:tc>
          <w:tcPr>
            <w:tcW w:w="2209" w:type="dxa"/>
            <w:shd w:val="clear" w:color="auto" w:fill="FDE9D9" w:themeFill="accent6" w:themeFillTint="33"/>
          </w:tcPr>
          <w:p w14:paraId="48B5E1B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61000-6-4</w:t>
            </w:r>
          </w:p>
        </w:tc>
        <w:tc>
          <w:tcPr>
            <w:tcW w:w="5618" w:type="dxa"/>
            <w:shd w:val="clear" w:color="auto" w:fill="FDE9D9" w:themeFill="accent6" w:themeFillTint="33"/>
          </w:tcPr>
          <w:p w14:paraId="04A1870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Electromagnetic compatibility (EMC) – Part 6-4: Generic standards - Emission standard for industrial environments</w:t>
            </w:r>
          </w:p>
        </w:tc>
      </w:tr>
      <w:tr w:rsidR="00A21257" w:rsidRPr="00AA3768" w14:paraId="26D7B585" w14:textId="77777777" w:rsidTr="00103D6C">
        <w:tc>
          <w:tcPr>
            <w:tcW w:w="548" w:type="dxa"/>
            <w:shd w:val="clear" w:color="auto" w:fill="FDE9D9" w:themeFill="accent6" w:themeFillTint="33"/>
          </w:tcPr>
          <w:p w14:paraId="336CDE0B"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77</w:t>
            </w:r>
          </w:p>
        </w:tc>
        <w:tc>
          <w:tcPr>
            <w:tcW w:w="2209" w:type="dxa"/>
            <w:shd w:val="clear" w:color="auto" w:fill="FDE9D9" w:themeFill="accent6" w:themeFillTint="33"/>
          </w:tcPr>
          <w:p w14:paraId="728F20A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61008-1</w:t>
            </w:r>
          </w:p>
        </w:tc>
        <w:tc>
          <w:tcPr>
            <w:tcW w:w="5618" w:type="dxa"/>
            <w:shd w:val="clear" w:color="auto" w:fill="FDE9D9" w:themeFill="accent6" w:themeFillTint="33"/>
          </w:tcPr>
          <w:p w14:paraId="77E4FD5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Residual current operated circuit-breakers without integral overcurrent protection for household and similar uses (RCCB's) - Part 1: General rules</w:t>
            </w:r>
          </w:p>
        </w:tc>
      </w:tr>
      <w:tr w:rsidR="00A21257" w:rsidRPr="00AA3768" w14:paraId="380EF70F" w14:textId="77777777" w:rsidTr="00103D6C">
        <w:tc>
          <w:tcPr>
            <w:tcW w:w="548" w:type="dxa"/>
            <w:shd w:val="clear" w:color="auto" w:fill="E5DFEC" w:themeFill="accent4" w:themeFillTint="33"/>
          </w:tcPr>
          <w:p w14:paraId="3C5B6AB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78</w:t>
            </w:r>
          </w:p>
        </w:tc>
        <w:tc>
          <w:tcPr>
            <w:tcW w:w="2209" w:type="dxa"/>
            <w:shd w:val="clear" w:color="auto" w:fill="E5DFEC" w:themeFill="accent4" w:themeFillTint="33"/>
          </w:tcPr>
          <w:p w14:paraId="1A1A89B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61009-1</w:t>
            </w:r>
          </w:p>
        </w:tc>
        <w:tc>
          <w:tcPr>
            <w:tcW w:w="5618" w:type="dxa"/>
            <w:shd w:val="clear" w:color="auto" w:fill="E5DFEC" w:themeFill="accent4" w:themeFillTint="33"/>
          </w:tcPr>
          <w:p w14:paraId="0721D5A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Residual current operated circuit-breakers with integral overcurrent protection for household and similar uses (RCBOs) - Part 1: General rules</w:t>
            </w:r>
          </w:p>
        </w:tc>
      </w:tr>
      <w:tr w:rsidR="00A21257" w:rsidRPr="00AA3768" w14:paraId="7DE986E7" w14:textId="77777777" w:rsidTr="00103D6C">
        <w:tc>
          <w:tcPr>
            <w:tcW w:w="548" w:type="dxa"/>
            <w:shd w:val="clear" w:color="auto" w:fill="E5DFEC" w:themeFill="accent4" w:themeFillTint="33"/>
          </w:tcPr>
          <w:p w14:paraId="3128D08B"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79</w:t>
            </w:r>
          </w:p>
        </w:tc>
        <w:tc>
          <w:tcPr>
            <w:tcW w:w="2209" w:type="dxa"/>
            <w:shd w:val="clear" w:color="auto" w:fill="E5DFEC" w:themeFill="accent4" w:themeFillTint="33"/>
          </w:tcPr>
          <w:p w14:paraId="05D5330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IEC 61058-1</w:t>
            </w:r>
          </w:p>
        </w:tc>
        <w:tc>
          <w:tcPr>
            <w:tcW w:w="5618" w:type="dxa"/>
            <w:shd w:val="clear" w:color="auto" w:fill="E5DFEC" w:themeFill="accent4" w:themeFillTint="33"/>
          </w:tcPr>
          <w:p w14:paraId="5F132E7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Switches for appliances - Part 1: General requirements</w:t>
            </w:r>
          </w:p>
        </w:tc>
      </w:tr>
      <w:tr w:rsidR="00A21257" w:rsidRPr="00AA3768" w14:paraId="40032837" w14:textId="77777777" w:rsidTr="00103D6C">
        <w:tc>
          <w:tcPr>
            <w:tcW w:w="548" w:type="dxa"/>
            <w:shd w:val="clear" w:color="auto" w:fill="E5DFEC" w:themeFill="accent4" w:themeFillTint="33"/>
          </w:tcPr>
          <w:p w14:paraId="02E954AB"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80</w:t>
            </w:r>
          </w:p>
        </w:tc>
        <w:tc>
          <w:tcPr>
            <w:tcW w:w="2209" w:type="dxa"/>
            <w:shd w:val="clear" w:color="auto" w:fill="E5DFEC" w:themeFill="accent4" w:themeFillTint="33"/>
          </w:tcPr>
          <w:p w14:paraId="4C61C44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61131-2</w:t>
            </w:r>
          </w:p>
        </w:tc>
        <w:tc>
          <w:tcPr>
            <w:tcW w:w="5618" w:type="dxa"/>
            <w:shd w:val="clear" w:color="auto" w:fill="E5DFEC" w:themeFill="accent4" w:themeFillTint="33"/>
          </w:tcPr>
          <w:p w14:paraId="5DB33B9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Programmable controllers - Part 2: Equipment requirements and tests</w:t>
            </w:r>
          </w:p>
        </w:tc>
      </w:tr>
      <w:tr w:rsidR="00A21257" w:rsidRPr="00AA3768" w14:paraId="7703049E" w14:textId="77777777" w:rsidTr="00103D6C">
        <w:tc>
          <w:tcPr>
            <w:tcW w:w="548" w:type="dxa"/>
            <w:shd w:val="clear" w:color="auto" w:fill="E5DFEC" w:themeFill="accent4" w:themeFillTint="33"/>
          </w:tcPr>
          <w:p w14:paraId="542A9D9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81</w:t>
            </w:r>
          </w:p>
        </w:tc>
        <w:tc>
          <w:tcPr>
            <w:tcW w:w="2209" w:type="dxa"/>
            <w:shd w:val="clear" w:color="auto" w:fill="E5DFEC" w:themeFill="accent4" w:themeFillTint="33"/>
          </w:tcPr>
          <w:p w14:paraId="01EBD0D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61204-3</w:t>
            </w:r>
          </w:p>
        </w:tc>
        <w:tc>
          <w:tcPr>
            <w:tcW w:w="5618" w:type="dxa"/>
            <w:shd w:val="clear" w:color="auto" w:fill="E5DFEC" w:themeFill="accent4" w:themeFillTint="33"/>
          </w:tcPr>
          <w:p w14:paraId="4EB7AA0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 voltage power supplies, d.c. output – Part 3: Electromagnetic compatibility (EMC)</w:t>
            </w:r>
          </w:p>
        </w:tc>
      </w:tr>
      <w:tr w:rsidR="00A21257" w:rsidRPr="00AA3768" w14:paraId="1C6F0231" w14:textId="77777777" w:rsidTr="00103D6C">
        <w:tc>
          <w:tcPr>
            <w:tcW w:w="548" w:type="dxa"/>
            <w:shd w:val="clear" w:color="auto" w:fill="FDE9D9" w:themeFill="accent6" w:themeFillTint="33"/>
          </w:tcPr>
          <w:p w14:paraId="49D52113"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82</w:t>
            </w:r>
          </w:p>
        </w:tc>
        <w:tc>
          <w:tcPr>
            <w:tcW w:w="2209" w:type="dxa"/>
            <w:shd w:val="clear" w:color="auto" w:fill="FDE9D9" w:themeFill="accent6" w:themeFillTint="33"/>
          </w:tcPr>
          <w:p w14:paraId="1062C38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61326-1</w:t>
            </w:r>
          </w:p>
        </w:tc>
        <w:tc>
          <w:tcPr>
            <w:tcW w:w="5618" w:type="dxa"/>
            <w:shd w:val="clear" w:color="auto" w:fill="FDE9D9" w:themeFill="accent6" w:themeFillTint="33"/>
          </w:tcPr>
          <w:p w14:paraId="37F3BB8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Electrical equipment for measurement, control and laboratory use – EMC requirements - Part 1: General requirement</w:t>
            </w:r>
          </w:p>
        </w:tc>
      </w:tr>
      <w:tr w:rsidR="00A21257" w:rsidRPr="00AA3768" w14:paraId="5B6E8DB1" w14:textId="77777777" w:rsidTr="00103D6C">
        <w:tc>
          <w:tcPr>
            <w:tcW w:w="548" w:type="dxa"/>
            <w:shd w:val="clear" w:color="auto" w:fill="E5DFEC" w:themeFill="accent4" w:themeFillTint="33"/>
          </w:tcPr>
          <w:p w14:paraId="69B3CFD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83</w:t>
            </w:r>
          </w:p>
        </w:tc>
        <w:tc>
          <w:tcPr>
            <w:tcW w:w="2209" w:type="dxa"/>
            <w:shd w:val="clear" w:color="auto" w:fill="E5DFEC" w:themeFill="accent4" w:themeFillTint="33"/>
          </w:tcPr>
          <w:p w14:paraId="3239543B"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61326-2-1</w:t>
            </w:r>
          </w:p>
        </w:tc>
        <w:tc>
          <w:tcPr>
            <w:tcW w:w="5618" w:type="dxa"/>
            <w:shd w:val="clear" w:color="auto" w:fill="E5DFEC" w:themeFill="accent4" w:themeFillTint="33"/>
          </w:tcPr>
          <w:p w14:paraId="175CBA94" w14:textId="55DA9874" w:rsidR="00AA3768" w:rsidRPr="00AA3768" w:rsidRDefault="00AA3768" w:rsidP="00A9582E">
            <w:pPr>
              <w:spacing w:after="0" w:line="240" w:lineRule="auto"/>
              <w:rPr>
                <w:rFonts w:ascii="Calibri" w:hAnsi="Calibri"/>
                <w:sz w:val="16"/>
                <w:szCs w:val="16"/>
              </w:rPr>
            </w:pPr>
            <w:r w:rsidRPr="00AA3768">
              <w:rPr>
                <w:rFonts w:ascii="Calibri" w:hAnsi="Calibri"/>
                <w:sz w:val="16"/>
                <w:szCs w:val="16"/>
              </w:rPr>
              <w:t>Electrical equipment for measurement, control and laboratory use – EMC requirements - Part 2-1: Particular requirements - Test configurations, operational conditions and performance</w:t>
            </w:r>
            <w:r w:rsidR="00A9582E">
              <w:rPr>
                <w:rFonts w:ascii="Calibri" w:hAnsi="Calibri"/>
                <w:sz w:val="16"/>
                <w:szCs w:val="16"/>
              </w:rPr>
              <w:t xml:space="preserve"> </w:t>
            </w:r>
            <w:r w:rsidRPr="00AA3768">
              <w:rPr>
                <w:rFonts w:ascii="Calibri" w:hAnsi="Calibri"/>
                <w:sz w:val="16"/>
                <w:szCs w:val="16"/>
              </w:rPr>
              <w:t>criteria for sensitive test and measurement equipment for EMC unprotected applications</w:t>
            </w:r>
          </w:p>
        </w:tc>
      </w:tr>
      <w:tr w:rsidR="00A21257" w:rsidRPr="00AA3768" w14:paraId="06674F40" w14:textId="77777777" w:rsidTr="00103D6C">
        <w:tc>
          <w:tcPr>
            <w:tcW w:w="548" w:type="dxa"/>
            <w:shd w:val="clear" w:color="auto" w:fill="E5DFEC" w:themeFill="accent4" w:themeFillTint="33"/>
          </w:tcPr>
          <w:p w14:paraId="3B3E958B"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84</w:t>
            </w:r>
          </w:p>
        </w:tc>
        <w:tc>
          <w:tcPr>
            <w:tcW w:w="2209" w:type="dxa"/>
            <w:shd w:val="clear" w:color="auto" w:fill="E5DFEC" w:themeFill="accent4" w:themeFillTint="33"/>
          </w:tcPr>
          <w:p w14:paraId="6AFBD1F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61326-2-2</w:t>
            </w:r>
          </w:p>
        </w:tc>
        <w:tc>
          <w:tcPr>
            <w:tcW w:w="5618" w:type="dxa"/>
            <w:shd w:val="clear" w:color="auto" w:fill="E5DFEC" w:themeFill="accent4" w:themeFillTint="33"/>
          </w:tcPr>
          <w:p w14:paraId="30674FA6" w14:textId="6D0D49C9" w:rsidR="00AA3768" w:rsidRPr="00AA3768" w:rsidRDefault="00AA3768" w:rsidP="00A9582E">
            <w:pPr>
              <w:spacing w:after="0" w:line="240" w:lineRule="auto"/>
              <w:rPr>
                <w:rFonts w:ascii="Calibri" w:hAnsi="Calibri"/>
                <w:sz w:val="16"/>
                <w:szCs w:val="16"/>
              </w:rPr>
            </w:pPr>
            <w:r w:rsidRPr="00AA3768">
              <w:rPr>
                <w:rFonts w:ascii="Calibri" w:hAnsi="Calibri"/>
                <w:sz w:val="16"/>
                <w:szCs w:val="16"/>
              </w:rPr>
              <w:t>Electrical equipment for measurement, control and laboratory use – EMC requirements - Part 2-2: Particular requirements - Test configurations, operational conditions and performance</w:t>
            </w:r>
            <w:r w:rsidR="00A9582E">
              <w:rPr>
                <w:rFonts w:ascii="Calibri" w:hAnsi="Calibri"/>
                <w:sz w:val="16"/>
                <w:szCs w:val="16"/>
              </w:rPr>
              <w:t xml:space="preserve"> </w:t>
            </w:r>
            <w:r w:rsidRPr="00AA3768">
              <w:rPr>
                <w:rFonts w:ascii="Calibri" w:hAnsi="Calibri"/>
                <w:sz w:val="16"/>
                <w:szCs w:val="16"/>
              </w:rPr>
              <w:t>criteria for portable test, measuring and monitoring equipment used in low-voltage distribution systems</w:t>
            </w:r>
          </w:p>
        </w:tc>
      </w:tr>
      <w:tr w:rsidR="00A21257" w:rsidRPr="00AA3768" w14:paraId="521EA0AD" w14:textId="77777777" w:rsidTr="00103D6C">
        <w:tc>
          <w:tcPr>
            <w:tcW w:w="548" w:type="dxa"/>
            <w:shd w:val="clear" w:color="auto" w:fill="E5DFEC" w:themeFill="accent4" w:themeFillTint="33"/>
          </w:tcPr>
          <w:p w14:paraId="445809B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85</w:t>
            </w:r>
          </w:p>
        </w:tc>
        <w:tc>
          <w:tcPr>
            <w:tcW w:w="2209" w:type="dxa"/>
            <w:shd w:val="clear" w:color="auto" w:fill="E5DFEC" w:themeFill="accent4" w:themeFillTint="33"/>
          </w:tcPr>
          <w:p w14:paraId="0079858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61326-2-3</w:t>
            </w:r>
          </w:p>
        </w:tc>
        <w:tc>
          <w:tcPr>
            <w:tcW w:w="5618" w:type="dxa"/>
            <w:shd w:val="clear" w:color="auto" w:fill="E5DFEC" w:themeFill="accent4" w:themeFillTint="33"/>
          </w:tcPr>
          <w:p w14:paraId="5105446B"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 xml:space="preserve">Electrical equipment for measurement, control and laboratory use – EMC requirements - Part 2-3: Particular requirements - Test configuration, operational </w:t>
            </w:r>
            <w:r w:rsidRPr="00AA3768">
              <w:rPr>
                <w:rFonts w:ascii="Calibri" w:hAnsi="Calibri"/>
                <w:sz w:val="16"/>
                <w:szCs w:val="16"/>
              </w:rPr>
              <w:lastRenderedPageBreak/>
              <w:t>conditions and performance criteria for transducers with integrated or remote signal conditioning</w:t>
            </w:r>
          </w:p>
        </w:tc>
      </w:tr>
      <w:tr w:rsidR="00A21257" w:rsidRPr="00AA3768" w14:paraId="25DF4642" w14:textId="77777777" w:rsidTr="00103D6C">
        <w:tc>
          <w:tcPr>
            <w:tcW w:w="548" w:type="dxa"/>
            <w:shd w:val="clear" w:color="auto" w:fill="E5DFEC" w:themeFill="accent4" w:themeFillTint="33"/>
          </w:tcPr>
          <w:p w14:paraId="7C06F00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lastRenderedPageBreak/>
              <w:t>86</w:t>
            </w:r>
          </w:p>
        </w:tc>
        <w:tc>
          <w:tcPr>
            <w:tcW w:w="2209" w:type="dxa"/>
            <w:shd w:val="clear" w:color="auto" w:fill="E5DFEC" w:themeFill="accent4" w:themeFillTint="33"/>
          </w:tcPr>
          <w:p w14:paraId="31340F7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61326-2-4</w:t>
            </w:r>
          </w:p>
        </w:tc>
        <w:tc>
          <w:tcPr>
            <w:tcW w:w="5618" w:type="dxa"/>
            <w:shd w:val="clear" w:color="auto" w:fill="E5DFEC" w:themeFill="accent4" w:themeFillTint="33"/>
          </w:tcPr>
          <w:p w14:paraId="3541517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Electrical equipment for measurement, control and laboratory use - EMC requirements - Part 2-4: Particular requirements - Test configurations, operational conditions and performance criteria for insulation monitoring devices according to IEC 61557-8 and for equipment for insulation fault location according to IEC 61557-9</w:t>
            </w:r>
          </w:p>
        </w:tc>
      </w:tr>
      <w:tr w:rsidR="00A21257" w:rsidRPr="00AA3768" w14:paraId="1EBF27A4" w14:textId="77777777" w:rsidTr="00103D6C">
        <w:tc>
          <w:tcPr>
            <w:tcW w:w="548" w:type="dxa"/>
            <w:shd w:val="clear" w:color="auto" w:fill="E5DFEC" w:themeFill="accent4" w:themeFillTint="33"/>
          </w:tcPr>
          <w:p w14:paraId="0197076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87</w:t>
            </w:r>
          </w:p>
        </w:tc>
        <w:tc>
          <w:tcPr>
            <w:tcW w:w="2209" w:type="dxa"/>
            <w:shd w:val="clear" w:color="auto" w:fill="E5DFEC" w:themeFill="accent4" w:themeFillTint="33"/>
          </w:tcPr>
          <w:p w14:paraId="1A03C17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61326-2-5</w:t>
            </w:r>
          </w:p>
        </w:tc>
        <w:tc>
          <w:tcPr>
            <w:tcW w:w="5618" w:type="dxa"/>
            <w:shd w:val="clear" w:color="auto" w:fill="E5DFEC" w:themeFill="accent4" w:themeFillTint="33"/>
          </w:tcPr>
          <w:p w14:paraId="1D213A1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Electrical equipment for measurement, control and laboratory use - EMC requirements - Part 2-5: Particular requirements - Test configurations, operational conditions and performance criteria for devices with field bus interfaces according to IEC 61784-1</w:t>
            </w:r>
          </w:p>
        </w:tc>
      </w:tr>
      <w:tr w:rsidR="00A21257" w:rsidRPr="00AA3768" w14:paraId="7D0B1F19" w14:textId="77777777" w:rsidTr="00103D6C">
        <w:tc>
          <w:tcPr>
            <w:tcW w:w="548" w:type="dxa"/>
            <w:shd w:val="clear" w:color="auto" w:fill="FDE9D9" w:themeFill="accent6" w:themeFillTint="33"/>
          </w:tcPr>
          <w:p w14:paraId="26608A2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88</w:t>
            </w:r>
          </w:p>
        </w:tc>
        <w:tc>
          <w:tcPr>
            <w:tcW w:w="2209" w:type="dxa"/>
            <w:shd w:val="clear" w:color="auto" w:fill="FDE9D9" w:themeFill="accent6" w:themeFillTint="33"/>
          </w:tcPr>
          <w:p w14:paraId="60A07B2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61439-1</w:t>
            </w:r>
          </w:p>
        </w:tc>
        <w:tc>
          <w:tcPr>
            <w:tcW w:w="5618" w:type="dxa"/>
            <w:shd w:val="clear" w:color="auto" w:fill="FDE9D9" w:themeFill="accent6" w:themeFillTint="33"/>
          </w:tcPr>
          <w:p w14:paraId="07A26BB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assemblies - Part 1: General rules</w:t>
            </w:r>
          </w:p>
        </w:tc>
      </w:tr>
      <w:tr w:rsidR="00A21257" w:rsidRPr="00AA3768" w14:paraId="7DD25B0E" w14:textId="77777777" w:rsidTr="00103D6C">
        <w:tc>
          <w:tcPr>
            <w:tcW w:w="548" w:type="dxa"/>
            <w:shd w:val="clear" w:color="auto" w:fill="E5DFEC" w:themeFill="accent4" w:themeFillTint="33"/>
          </w:tcPr>
          <w:p w14:paraId="2EB4F73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89</w:t>
            </w:r>
          </w:p>
        </w:tc>
        <w:tc>
          <w:tcPr>
            <w:tcW w:w="2209" w:type="dxa"/>
            <w:shd w:val="clear" w:color="auto" w:fill="E5DFEC" w:themeFill="accent4" w:themeFillTint="33"/>
          </w:tcPr>
          <w:p w14:paraId="6F7C0F6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61439-2</w:t>
            </w:r>
          </w:p>
        </w:tc>
        <w:tc>
          <w:tcPr>
            <w:tcW w:w="5618" w:type="dxa"/>
            <w:shd w:val="clear" w:color="auto" w:fill="E5DFEC" w:themeFill="accent4" w:themeFillTint="33"/>
          </w:tcPr>
          <w:p w14:paraId="0567E53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assemblies - Part 2: Power switchgear and controlgear assemblies</w:t>
            </w:r>
          </w:p>
        </w:tc>
      </w:tr>
      <w:tr w:rsidR="00A21257" w:rsidRPr="00AA3768" w14:paraId="5FD12E72" w14:textId="77777777" w:rsidTr="00103D6C">
        <w:tc>
          <w:tcPr>
            <w:tcW w:w="548" w:type="dxa"/>
            <w:shd w:val="clear" w:color="auto" w:fill="E5DFEC" w:themeFill="accent4" w:themeFillTint="33"/>
          </w:tcPr>
          <w:p w14:paraId="09FC18A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90</w:t>
            </w:r>
          </w:p>
        </w:tc>
        <w:tc>
          <w:tcPr>
            <w:tcW w:w="2209" w:type="dxa"/>
            <w:shd w:val="clear" w:color="auto" w:fill="E5DFEC" w:themeFill="accent4" w:themeFillTint="33"/>
          </w:tcPr>
          <w:p w14:paraId="2749ABB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61439-3</w:t>
            </w:r>
          </w:p>
        </w:tc>
        <w:tc>
          <w:tcPr>
            <w:tcW w:w="5618" w:type="dxa"/>
            <w:shd w:val="clear" w:color="auto" w:fill="E5DFEC" w:themeFill="accent4" w:themeFillTint="33"/>
          </w:tcPr>
          <w:p w14:paraId="504E1D9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assemblies - Part 3: Distribution boards intended to be operated by ordinary persons (DBO)</w:t>
            </w:r>
          </w:p>
        </w:tc>
      </w:tr>
      <w:tr w:rsidR="00A21257" w:rsidRPr="00AA3768" w14:paraId="296E84BB" w14:textId="77777777" w:rsidTr="00103D6C">
        <w:tc>
          <w:tcPr>
            <w:tcW w:w="548" w:type="dxa"/>
            <w:shd w:val="clear" w:color="auto" w:fill="E5DFEC" w:themeFill="accent4" w:themeFillTint="33"/>
          </w:tcPr>
          <w:p w14:paraId="76EFC56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91</w:t>
            </w:r>
          </w:p>
        </w:tc>
        <w:tc>
          <w:tcPr>
            <w:tcW w:w="2209" w:type="dxa"/>
            <w:shd w:val="clear" w:color="auto" w:fill="E5DFEC" w:themeFill="accent4" w:themeFillTint="33"/>
          </w:tcPr>
          <w:p w14:paraId="6774A8C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61439-4</w:t>
            </w:r>
          </w:p>
        </w:tc>
        <w:tc>
          <w:tcPr>
            <w:tcW w:w="5618" w:type="dxa"/>
            <w:shd w:val="clear" w:color="auto" w:fill="E5DFEC" w:themeFill="accent4" w:themeFillTint="33"/>
          </w:tcPr>
          <w:p w14:paraId="017CBD1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assemblies - Part 4: Particular requirements for assemblies for construction sites (ACS)</w:t>
            </w:r>
          </w:p>
        </w:tc>
      </w:tr>
      <w:tr w:rsidR="00A21257" w:rsidRPr="00AA3768" w14:paraId="49FB53DF" w14:textId="77777777" w:rsidTr="00103D6C">
        <w:tc>
          <w:tcPr>
            <w:tcW w:w="548" w:type="dxa"/>
            <w:shd w:val="clear" w:color="auto" w:fill="E5DFEC" w:themeFill="accent4" w:themeFillTint="33"/>
          </w:tcPr>
          <w:p w14:paraId="0FE6B2F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92</w:t>
            </w:r>
          </w:p>
        </w:tc>
        <w:tc>
          <w:tcPr>
            <w:tcW w:w="2209" w:type="dxa"/>
            <w:shd w:val="clear" w:color="auto" w:fill="E5DFEC" w:themeFill="accent4" w:themeFillTint="33"/>
          </w:tcPr>
          <w:p w14:paraId="206C28C0"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61439-5</w:t>
            </w:r>
          </w:p>
        </w:tc>
        <w:tc>
          <w:tcPr>
            <w:tcW w:w="5618" w:type="dxa"/>
            <w:shd w:val="clear" w:color="auto" w:fill="E5DFEC" w:themeFill="accent4" w:themeFillTint="33"/>
          </w:tcPr>
          <w:p w14:paraId="7064115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assemblies - Part 5: Assemblies for power distribution in public networks</w:t>
            </w:r>
          </w:p>
        </w:tc>
      </w:tr>
      <w:tr w:rsidR="00A21257" w:rsidRPr="00AA3768" w14:paraId="1DFF2A24" w14:textId="77777777" w:rsidTr="00103D6C">
        <w:tc>
          <w:tcPr>
            <w:tcW w:w="548" w:type="dxa"/>
            <w:shd w:val="clear" w:color="auto" w:fill="E5DFEC" w:themeFill="accent4" w:themeFillTint="33"/>
          </w:tcPr>
          <w:p w14:paraId="49CD78E3"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93</w:t>
            </w:r>
          </w:p>
        </w:tc>
        <w:tc>
          <w:tcPr>
            <w:tcW w:w="2209" w:type="dxa"/>
            <w:shd w:val="clear" w:color="auto" w:fill="E5DFEC" w:themeFill="accent4" w:themeFillTint="33"/>
          </w:tcPr>
          <w:p w14:paraId="6AA3855D"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61439-6</w:t>
            </w:r>
          </w:p>
        </w:tc>
        <w:tc>
          <w:tcPr>
            <w:tcW w:w="5618" w:type="dxa"/>
            <w:shd w:val="clear" w:color="auto" w:fill="E5DFEC" w:themeFill="accent4" w:themeFillTint="33"/>
          </w:tcPr>
          <w:p w14:paraId="1E40260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assemblies - Part 6: Busbar trunking systems (busways)</w:t>
            </w:r>
          </w:p>
        </w:tc>
      </w:tr>
      <w:tr w:rsidR="00A21257" w:rsidRPr="00AA3768" w14:paraId="27B9D4E9" w14:textId="77777777" w:rsidTr="00103D6C">
        <w:tc>
          <w:tcPr>
            <w:tcW w:w="548" w:type="dxa"/>
            <w:shd w:val="clear" w:color="auto" w:fill="FDE9D9" w:themeFill="accent6" w:themeFillTint="33"/>
          </w:tcPr>
          <w:p w14:paraId="610073E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94</w:t>
            </w:r>
          </w:p>
        </w:tc>
        <w:tc>
          <w:tcPr>
            <w:tcW w:w="2209" w:type="dxa"/>
            <w:shd w:val="clear" w:color="auto" w:fill="FDE9D9" w:themeFill="accent6" w:themeFillTint="33"/>
          </w:tcPr>
          <w:p w14:paraId="696A5F8B" w14:textId="77777777" w:rsidR="00AA3768" w:rsidRPr="001F1271" w:rsidRDefault="00AA3768" w:rsidP="00AA3768">
            <w:pPr>
              <w:spacing w:after="0" w:line="240" w:lineRule="auto"/>
              <w:rPr>
                <w:rFonts w:ascii="Calibri" w:hAnsi="Calibri"/>
                <w:sz w:val="16"/>
                <w:szCs w:val="16"/>
              </w:rPr>
            </w:pPr>
            <w:r w:rsidRPr="001F1271">
              <w:rPr>
                <w:rFonts w:ascii="Calibri" w:hAnsi="Calibri"/>
                <w:sz w:val="16"/>
                <w:szCs w:val="16"/>
              </w:rPr>
              <w:t>EN 61543</w:t>
            </w:r>
          </w:p>
        </w:tc>
        <w:tc>
          <w:tcPr>
            <w:tcW w:w="5618" w:type="dxa"/>
            <w:shd w:val="clear" w:color="auto" w:fill="FDE9D9" w:themeFill="accent6" w:themeFillTint="33"/>
          </w:tcPr>
          <w:p w14:paraId="30E04B69" w14:textId="77777777" w:rsidR="00AA3768" w:rsidRPr="001F1271" w:rsidRDefault="00AA3768" w:rsidP="00AA3768">
            <w:pPr>
              <w:spacing w:after="0" w:line="240" w:lineRule="auto"/>
              <w:rPr>
                <w:rFonts w:ascii="Calibri" w:hAnsi="Calibri"/>
                <w:sz w:val="16"/>
                <w:szCs w:val="16"/>
              </w:rPr>
            </w:pPr>
            <w:r w:rsidRPr="001F1271">
              <w:rPr>
                <w:rFonts w:ascii="Calibri" w:hAnsi="Calibri"/>
                <w:sz w:val="16"/>
                <w:szCs w:val="16"/>
              </w:rPr>
              <w:t>Residual current-operated protective devices (RCDs) for household and similar use - Electromagnetic compatibility</w:t>
            </w:r>
          </w:p>
        </w:tc>
      </w:tr>
      <w:tr w:rsidR="00A21257" w:rsidRPr="00AA3768" w14:paraId="0A9BBD11" w14:textId="77777777" w:rsidTr="00103D6C">
        <w:tc>
          <w:tcPr>
            <w:tcW w:w="548" w:type="dxa"/>
            <w:shd w:val="clear" w:color="auto" w:fill="E5DFEC" w:themeFill="accent4" w:themeFillTint="33"/>
          </w:tcPr>
          <w:p w14:paraId="1F29B95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95</w:t>
            </w:r>
          </w:p>
        </w:tc>
        <w:tc>
          <w:tcPr>
            <w:tcW w:w="2209" w:type="dxa"/>
            <w:shd w:val="clear" w:color="auto" w:fill="E5DFEC" w:themeFill="accent4" w:themeFillTint="33"/>
          </w:tcPr>
          <w:p w14:paraId="1EB868D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61557-12</w:t>
            </w:r>
          </w:p>
        </w:tc>
        <w:tc>
          <w:tcPr>
            <w:tcW w:w="5618" w:type="dxa"/>
            <w:shd w:val="clear" w:color="auto" w:fill="E5DFEC" w:themeFill="accent4" w:themeFillTint="33"/>
          </w:tcPr>
          <w:p w14:paraId="239AF452" w14:textId="31D49F21"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Electrical safety in low voltage distribution systems up to 1 000 V a.c. and 1 500 V d.c. - Equipment for testing, measuring or monitoring of protective measures - Part 12: Performance measuring and monitoring devices (PMD</w:t>
            </w:r>
            <w:r w:rsidR="00A9582E">
              <w:rPr>
                <w:rFonts w:ascii="Calibri" w:hAnsi="Calibri"/>
                <w:sz w:val="16"/>
                <w:szCs w:val="16"/>
              </w:rPr>
              <w:t>)</w:t>
            </w:r>
          </w:p>
        </w:tc>
      </w:tr>
      <w:tr w:rsidR="00A21257" w:rsidRPr="00AA3768" w14:paraId="2CDD711D" w14:textId="77777777" w:rsidTr="00103D6C">
        <w:tc>
          <w:tcPr>
            <w:tcW w:w="548" w:type="dxa"/>
            <w:shd w:val="clear" w:color="auto" w:fill="FDE9D9" w:themeFill="accent6" w:themeFillTint="33"/>
          </w:tcPr>
          <w:p w14:paraId="13B0EF6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96</w:t>
            </w:r>
          </w:p>
        </w:tc>
        <w:tc>
          <w:tcPr>
            <w:tcW w:w="2209" w:type="dxa"/>
            <w:shd w:val="clear" w:color="auto" w:fill="FDE9D9" w:themeFill="accent6" w:themeFillTint="33"/>
          </w:tcPr>
          <w:p w14:paraId="05DCD4B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61800-3</w:t>
            </w:r>
          </w:p>
        </w:tc>
        <w:tc>
          <w:tcPr>
            <w:tcW w:w="5618" w:type="dxa"/>
            <w:shd w:val="clear" w:color="auto" w:fill="FDE9D9" w:themeFill="accent6" w:themeFillTint="33"/>
          </w:tcPr>
          <w:p w14:paraId="03D8BD2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Adjustable speed electrical power drive systems - Part 3: EMC requirements and specific test methods</w:t>
            </w:r>
          </w:p>
        </w:tc>
      </w:tr>
      <w:tr w:rsidR="00A21257" w:rsidRPr="00AA3768" w14:paraId="05419743" w14:textId="77777777" w:rsidTr="00103D6C">
        <w:tc>
          <w:tcPr>
            <w:tcW w:w="548" w:type="dxa"/>
            <w:shd w:val="clear" w:color="auto" w:fill="FDE9D9" w:themeFill="accent6" w:themeFillTint="33"/>
          </w:tcPr>
          <w:p w14:paraId="4649273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97</w:t>
            </w:r>
          </w:p>
        </w:tc>
        <w:tc>
          <w:tcPr>
            <w:tcW w:w="2209" w:type="dxa"/>
            <w:shd w:val="clear" w:color="auto" w:fill="FDE9D9" w:themeFill="accent6" w:themeFillTint="33"/>
          </w:tcPr>
          <w:p w14:paraId="7F738130"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61812-1</w:t>
            </w:r>
          </w:p>
        </w:tc>
        <w:tc>
          <w:tcPr>
            <w:tcW w:w="5618" w:type="dxa"/>
            <w:shd w:val="clear" w:color="auto" w:fill="FDE9D9" w:themeFill="accent6" w:themeFillTint="33"/>
          </w:tcPr>
          <w:p w14:paraId="0D2FFE7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Time relays for industrial and residential use - Part 1: Requirements and tests</w:t>
            </w:r>
          </w:p>
        </w:tc>
      </w:tr>
      <w:tr w:rsidR="00A21257" w:rsidRPr="00AA3768" w14:paraId="656A5669" w14:textId="77777777" w:rsidTr="00103D6C">
        <w:tc>
          <w:tcPr>
            <w:tcW w:w="548" w:type="dxa"/>
            <w:shd w:val="clear" w:color="auto" w:fill="E5DFEC" w:themeFill="accent4" w:themeFillTint="33"/>
          </w:tcPr>
          <w:p w14:paraId="4054A72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98</w:t>
            </w:r>
          </w:p>
        </w:tc>
        <w:tc>
          <w:tcPr>
            <w:tcW w:w="2209" w:type="dxa"/>
            <w:shd w:val="clear" w:color="auto" w:fill="E5DFEC" w:themeFill="accent4" w:themeFillTint="33"/>
          </w:tcPr>
          <w:p w14:paraId="0A9C62E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62020</w:t>
            </w:r>
          </w:p>
        </w:tc>
        <w:tc>
          <w:tcPr>
            <w:tcW w:w="5618" w:type="dxa"/>
            <w:shd w:val="clear" w:color="auto" w:fill="E5DFEC" w:themeFill="accent4" w:themeFillTint="33"/>
          </w:tcPr>
          <w:p w14:paraId="2C8AD71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Electrical accessories - Residual current monitors for household and similar uses (RCMs)</w:t>
            </w:r>
          </w:p>
        </w:tc>
      </w:tr>
      <w:tr w:rsidR="00A21257" w:rsidRPr="00AA3768" w14:paraId="1E3B39DE" w14:textId="77777777" w:rsidTr="00103D6C">
        <w:tc>
          <w:tcPr>
            <w:tcW w:w="548" w:type="dxa"/>
            <w:shd w:val="clear" w:color="auto" w:fill="E5DFEC" w:themeFill="accent4" w:themeFillTint="33"/>
          </w:tcPr>
          <w:p w14:paraId="3B81D7C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99</w:t>
            </w:r>
          </w:p>
        </w:tc>
        <w:tc>
          <w:tcPr>
            <w:tcW w:w="2209" w:type="dxa"/>
            <w:shd w:val="clear" w:color="auto" w:fill="E5DFEC" w:themeFill="accent4" w:themeFillTint="33"/>
          </w:tcPr>
          <w:p w14:paraId="7F40D59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62026-1</w:t>
            </w:r>
          </w:p>
        </w:tc>
        <w:tc>
          <w:tcPr>
            <w:tcW w:w="5618" w:type="dxa"/>
            <w:shd w:val="clear" w:color="auto" w:fill="E5DFEC" w:themeFill="accent4" w:themeFillTint="33"/>
          </w:tcPr>
          <w:p w14:paraId="7550222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Controller-device interfaces (CDIs) - Part 1: General rules</w:t>
            </w:r>
          </w:p>
        </w:tc>
      </w:tr>
      <w:tr w:rsidR="00A21257" w:rsidRPr="00AA3768" w14:paraId="1D6D185C" w14:textId="77777777" w:rsidTr="00103D6C">
        <w:tc>
          <w:tcPr>
            <w:tcW w:w="548" w:type="dxa"/>
            <w:shd w:val="clear" w:color="auto" w:fill="E5DFEC" w:themeFill="accent4" w:themeFillTint="33"/>
          </w:tcPr>
          <w:p w14:paraId="6127AB53"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100</w:t>
            </w:r>
          </w:p>
        </w:tc>
        <w:tc>
          <w:tcPr>
            <w:tcW w:w="2209" w:type="dxa"/>
            <w:shd w:val="clear" w:color="auto" w:fill="E5DFEC" w:themeFill="accent4" w:themeFillTint="33"/>
          </w:tcPr>
          <w:p w14:paraId="49E4796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62026-2</w:t>
            </w:r>
          </w:p>
        </w:tc>
        <w:tc>
          <w:tcPr>
            <w:tcW w:w="5618" w:type="dxa"/>
            <w:shd w:val="clear" w:color="auto" w:fill="E5DFEC" w:themeFill="accent4" w:themeFillTint="33"/>
          </w:tcPr>
          <w:p w14:paraId="5D122D9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Controller-device interfaces (CDIs) - Part 2: Actuator sensor interface (AS-i)</w:t>
            </w:r>
          </w:p>
        </w:tc>
      </w:tr>
      <w:tr w:rsidR="00A21257" w:rsidRPr="00AA3768" w14:paraId="372BCAB2" w14:textId="77777777" w:rsidTr="00103D6C">
        <w:tc>
          <w:tcPr>
            <w:tcW w:w="548" w:type="dxa"/>
            <w:shd w:val="clear" w:color="auto" w:fill="E5DFEC" w:themeFill="accent4" w:themeFillTint="33"/>
          </w:tcPr>
          <w:p w14:paraId="7D4C54F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101</w:t>
            </w:r>
          </w:p>
        </w:tc>
        <w:tc>
          <w:tcPr>
            <w:tcW w:w="2209" w:type="dxa"/>
            <w:shd w:val="clear" w:color="auto" w:fill="E5DFEC" w:themeFill="accent4" w:themeFillTint="33"/>
          </w:tcPr>
          <w:p w14:paraId="746475D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62026-3</w:t>
            </w:r>
          </w:p>
        </w:tc>
        <w:tc>
          <w:tcPr>
            <w:tcW w:w="5618" w:type="dxa"/>
            <w:shd w:val="clear" w:color="auto" w:fill="E5DFEC" w:themeFill="accent4" w:themeFillTint="33"/>
          </w:tcPr>
          <w:p w14:paraId="4D0AECD0"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Controller-device interfaces (CDIs) - Part 3: DeviceNet</w:t>
            </w:r>
          </w:p>
        </w:tc>
      </w:tr>
      <w:tr w:rsidR="00A21257" w:rsidRPr="00AA3768" w14:paraId="0425F68C" w14:textId="77777777" w:rsidTr="00103D6C">
        <w:tc>
          <w:tcPr>
            <w:tcW w:w="548" w:type="dxa"/>
            <w:shd w:val="clear" w:color="auto" w:fill="E5DFEC" w:themeFill="accent4" w:themeFillTint="33"/>
          </w:tcPr>
          <w:p w14:paraId="260BCE0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102</w:t>
            </w:r>
          </w:p>
        </w:tc>
        <w:tc>
          <w:tcPr>
            <w:tcW w:w="2209" w:type="dxa"/>
            <w:shd w:val="clear" w:color="auto" w:fill="E5DFEC" w:themeFill="accent4" w:themeFillTint="33"/>
          </w:tcPr>
          <w:p w14:paraId="2DECBC30"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62026-7</w:t>
            </w:r>
          </w:p>
        </w:tc>
        <w:tc>
          <w:tcPr>
            <w:tcW w:w="5618" w:type="dxa"/>
            <w:shd w:val="clear" w:color="auto" w:fill="E5DFEC" w:themeFill="accent4" w:themeFillTint="33"/>
          </w:tcPr>
          <w:p w14:paraId="6DFC53C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Low-voltage switchgear and controlgear - Controller-device interfaces (CDIs) - Part 7: CompoNet</w:t>
            </w:r>
          </w:p>
        </w:tc>
      </w:tr>
      <w:tr w:rsidR="00A21257" w:rsidRPr="00AA3768" w14:paraId="11D8ED57" w14:textId="77777777" w:rsidTr="00103D6C">
        <w:tc>
          <w:tcPr>
            <w:tcW w:w="548" w:type="dxa"/>
            <w:shd w:val="clear" w:color="auto" w:fill="FDE9D9" w:themeFill="accent6" w:themeFillTint="33"/>
          </w:tcPr>
          <w:p w14:paraId="3F700DD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103</w:t>
            </w:r>
          </w:p>
        </w:tc>
        <w:tc>
          <w:tcPr>
            <w:tcW w:w="2209" w:type="dxa"/>
            <w:shd w:val="clear" w:color="auto" w:fill="FDE9D9" w:themeFill="accent6" w:themeFillTint="33"/>
          </w:tcPr>
          <w:p w14:paraId="48CF8E5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62040-2</w:t>
            </w:r>
          </w:p>
        </w:tc>
        <w:tc>
          <w:tcPr>
            <w:tcW w:w="5618" w:type="dxa"/>
            <w:shd w:val="clear" w:color="auto" w:fill="FDE9D9" w:themeFill="accent6" w:themeFillTint="33"/>
          </w:tcPr>
          <w:p w14:paraId="5D94003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Uninterruptible power systems (UPS) - Part 2: Electromagnetic compatibility (EMC) requirements</w:t>
            </w:r>
          </w:p>
        </w:tc>
      </w:tr>
      <w:tr w:rsidR="00A21257" w:rsidRPr="00AA3768" w14:paraId="70293CEC" w14:textId="77777777" w:rsidTr="00103D6C">
        <w:tc>
          <w:tcPr>
            <w:tcW w:w="548" w:type="dxa"/>
            <w:shd w:val="clear" w:color="auto" w:fill="E5DFEC" w:themeFill="accent4" w:themeFillTint="33"/>
          </w:tcPr>
          <w:p w14:paraId="4A15CE4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104</w:t>
            </w:r>
          </w:p>
        </w:tc>
        <w:tc>
          <w:tcPr>
            <w:tcW w:w="2209" w:type="dxa"/>
            <w:shd w:val="clear" w:color="auto" w:fill="E5DFEC" w:themeFill="accent4" w:themeFillTint="33"/>
          </w:tcPr>
          <w:p w14:paraId="4197C2C0"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62052-11</w:t>
            </w:r>
          </w:p>
        </w:tc>
        <w:tc>
          <w:tcPr>
            <w:tcW w:w="5618" w:type="dxa"/>
            <w:shd w:val="clear" w:color="auto" w:fill="E5DFEC" w:themeFill="accent4" w:themeFillTint="33"/>
          </w:tcPr>
          <w:p w14:paraId="76171FBB"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Electricity metering equipment (AC) - General requirements, tests and test conditions - Part 11: Metering equipment</w:t>
            </w:r>
          </w:p>
        </w:tc>
      </w:tr>
      <w:tr w:rsidR="00A21257" w:rsidRPr="00AA3768" w14:paraId="023641E4" w14:textId="77777777" w:rsidTr="00103D6C">
        <w:tc>
          <w:tcPr>
            <w:tcW w:w="548" w:type="dxa"/>
            <w:shd w:val="clear" w:color="auto" w:fill="E5DFEC" w:themeFill="accent4" w:themeFillTint="33"/>
          </w:tcPr>
          <w:p w14:paraId="79130A7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105</w:t>
            </w:r>
          </w:p>
        </w:tc>
        <w:tc>
          <w:tcPr>
            <w:tcW w:w="2209" w:type="dxa"/>
            <w:shd w:val="clear" w:color="auto" w:fill="E5DFEC" w:themeFill="accent4" w:themeFillTint="33"/>
          </w:tcPr>
          <w:p w14:paraId="6A856440"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62052-21</w:t>
            </w:r>
          </w:p>
        </w:tc>
        <w:tc>
          <w:tcPr>
            <w:tcW w:w="5618" w:type="dxa"/>
            <w:shd w:val="clear" w:color="auto" w:fill="E5DFEC" w:themeFill="accent4" w:themeFillTint="33"/>
          </w:tcPr>
          <w:p w14:paraId="1A63D02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Electricity metering equipment (a.c.) - General requirements, tests and test conditions - Part 21: Tariff and load control equipment</w:t>
            </w:r>
          </w:p>
        </w:tc>
      </w:tr>
      <w:tr w:rsidR="00A21257" w:rsidRPr="00AA3768" w14:paraId="3BAC559E" w14:textId="77777777" w:rsidTr="00103D6C">
        <w:tc>
          <w:tcPr>
            <w:tcW w:w="548" w:type="dxa"/>
            <w:shd w:val="clear" w:color="auto" w:fill="E5DFEC" w:themeFill="accent4" w:themeFillTint="33"/>
          </w:tcPr>
          <w:p w14:paraId="768A7EB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106</w:t>
            </w:r>
          </w:p>
        </w:tc>
        <w:tc>
          <w:tcPr>
            <w:tcW w:w="2209" w:type="dxa"/>
            <w:shd w:val="clear" w:color="auto" w:fill="E5DFEC" w:themeFill="accent4" w:themeFillTint="33"/>
          </w:tcPr>
          <w:p w14:paraId="3A2D6B10"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62053-11</w:t>
            </w:r>
          </w:p>
        </w:tc>
        <w:tc>
          <w:tcPr>
            <w:tcW w:w="5618" w:type="dxa"/>
            <w:shd w:val="clear" w:color="auto" w:fill="E5DFEC" w:themeFill="accent4" w:themeFillTint="33"/>
          </w:tcPr>
          <w:p w14:paraId="7B71112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Electricity metering equipment (a.c.) - Particular requirements - Part 11: Electromechanical meters for active energy (classes 0,5, 1 and 2)</w:t>
            </w:r>
          </w:p>
        </w:tc>
      </w:tr>
      <w:tr w:rsidR="00A21257" w:rsidRPr="00AA3768" w14:paraId="12CB8EDC" w14:textId="77777777" w:rsidTr="00103D6C">
        <w:tc>
          <w:tcPr>
            <w:tcW w:w="548" w:type="dxa"/>
            <w:shd w:val="clear" w:color="auto" w:fill="FDE9D9" w:themeFill="accent6" w:themeFillTint="33"/>
          </w:tcPr>
          <w:p w14:paraId="5D5D74D3"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107</w:t>
            </w:r>
          </w:p>
        </w:tc>
        <w:tc>
          <w:tcPr>
            <w:tcW w:w="2209" w:type="dxa"/>
            <w:shd w:val="clear" w:color="auto" w:fill="FDE9D9" w:themeFill="accent6" w:themeFillTint="33"/>
          </w:tcPr>
          <w:p w14:paraId="6557A81A" w14:textId="3A5502F4"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 xml:space="preserve">EN </w:t>
            </w:r>
            <w:r w:rsidR="00C53278">
              <w:rPr>
                <w:rFonts w:ascii="Calibri" w:hAnsi="Calibri"/>
                <w:sz w:val="16"/>
                <w:szCs w:val="16"/>
              </w:rPr>
              <w:t xml:space="preserve">IEC </w:t>
            </w:r>
            <w:r w:rsidRPr="00AA3768">
              <w:rPr>
                <w:rFonts w:ascii="Calibri" w:hAnsi="Calibri"/>
                <w:sz w:val="16"/>
                <w:szCs w:val="16"/>
              </w:rPr>
              <w:t>62053-21</w:t>
            </w:r>
          </w:p>
        </w:tc>
        <w:tc>
          <w:tcPr>
            <w:tcW w:w="5618" w:type="dxa"/>
            <w:shd w:val="clear" w:color="auto" w:fill="FDE9D9" w:themeFill="accent6" w:themeFillTint="33"/>
          </w:tcPr>
          <w:p w14:paraId="6ED8EB6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Electricity metering equipment - Particular requirements - Part 21: Static meters for AC active energy (classes 0,5, 1 and 2)</w:t>
            </w:r>
          </w:p>
        </w:tc>
      </w:tr>
      <w:tr w:rsidR="00A21257" w:rsidRPr="00AA3768" w14:paraId="7B8E087D" w14:textId="77777777" w:rsidTr="00103D6C">
        <w:tc>
          <w:tcPr>
            <w:tcW w:w="548" w:type="dxa"/>
            <w:shd w:val="clear" w:color="auto" w:fill="FDE9D9" w:themeFill="accent6" w:themeFillTint="33"/>
          </w:tcPr>
          <w:p w14:paraId="2634497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108</w:t>
            </w:r>
          </w:p>
        </w:tc>
        <w:tc>
          <w:tcPr>
            <w:tcW w:w="2209" w:type="dxa"/>
            <w:shd w:val="clear" w:color="auto" w:fill="FDE9D9" w:themeFill="accent6" w:themeFillTint="33"/>
          </w:tcPr>
          <w:p w14:paraId="3EF429C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IEC 62053-22</w:t>
            </w:r>
          </w:p>
        </w:tc>
        <w:tc>
          <w:tcPr>
            <w:tcW w:w="5618" w:type="dxa"/>
            <w:shd w:val="clear" w:color="auto" w:fill="FDE9D9" w:themeFill="accent6" w:themeFillTint="33"/>
          </w:tcPr>
          <w:p w14:paraId="37F2E02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Electricity metering equipment - Particular requirements - Part 22: Static meters for AC active energy (classes 0,1S, 0,2S and 0,5S)</w:t>
            </w:r>
          </w:p>
        </w:tc>
      </w:tr>
      <w:tr w:rsidR="00A21257" w:rsidRPr="00AA3768" w14:paraId="3E4B625C" w14:textId="77777777" w:rsidTr="00103D6C">
        <w:tc>
          <w:tcPr>
            <w:tcW w:w="548" w:type="dxa"/>
            <w:shd w:val="clear" w:color="auto" w:fill="FDE9D9" w:themeFill="accent6" w:themeFillTint="33"/>
          </w:tcPr>
          <w:p w14:paraId="12E898D3"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109</w:t>
            </w:r>
          </w:p>
        </w:tc>
        <w:tc>
          <w:tcPr>
            <w:tcW w:w="2209" w:type="dxa"/>
            <w:shd w:val="clear" w:color="auto" w:fill="FDE9D9" w:themeFill="accent6" w:themeFillTint="33"/>
          </w:tcPr>
          <w:p w14:paraId="003BA26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IEC 62053-23</w:t>
            </w:r>
          </w:p>
        </w:tc>
        <w:tc>
          <w:tcPr>
            <w:tcW w:w="5618" w:type="dxa"/>
            <w:shd w:val="clear" w:color="auto" w:fill="FDE9D9" w:themeFill="accent6" w:themeFillTint="33"/>
          </w:tcPr>
          <w:p w14:paraId="0AD23BC3"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Electricity metering equipment - Particular requirements - Part 23: Static meters for reactive energy (classes 2 and 3)</w:t>
            </w:r>
          </w:p>
        </w:tc>
      </w:tr>
      <w:tr w:rsidR="00A21257" w:rsidRPr="00AA3768" w14:paraId="66C19C94" w14:textId="77777777" w:rsidTr="00103D6C">
        <w:tc>
          <w:tcPr>
            <w:tcW w:w="548" w:type="dxa"/>
            <w:shd w:val="clear" w:color="auto" w:fill="E5DFEC" w:themeFill="accent4" w:themeFillTint="33"/>
          </w:tcPr>
          <w:p w14:paraId="6D09465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110</w:t>
            </w:r>
          </w:p>
        </w:tc>
        <w:tc>
          <w:tcPr>
            <w:tcW w:w="2209" w:type="dxa"/>
            <w:shd w:val="clear" w:color="auto" w:fill="E5DFEC" w:themeFill="accent4" w:themeFillTint="33"/>
          </w:tcPr>
          <w:p w14:paraId="17DB795B"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IEC 62053-24</w:t>
            </w:r>
          </w:p>
        </w:tc>
        <w:tc>
          <w:tcPr>
            <w:tcW w:w="5618" w:type="dxa"/>
            <w:shd w:val="clear" w:color="auto" w:fill="E5DFEC" w:themeFill="accent4" w:themeFillTint="33"/>
          </w:tcPr>
          <w:p w14:paraId="59CB4923"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Electricity metering equipment - Particular requirements - Part 24: Static meters for fundamental component reactive energy (classes 0,5S, 1S, 1, 2 and 3)</w:t>
            </w:r>
          </w:p>
        </w:tc>
      </w:tr>
      <w:tr w:rsidR="00A21257" w:rsidRPr="00AA3768" w14:paraId="5D5F21D4" w14:textId="77777777" w:rsidTr="00103D6C">
        <w:tc>
          <w:tcPr>
            <w:tcW w:w="548" w:type="dxa"/>
            <w:shd w:val="clear" w:color="auto" w:fill="FDE9D9" w:themeFill="accent6" w:themeFillTint="33"/>
          </w:tcPr>
          <w:p w14:paraId="2CA0C3F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111</w:t>
            </w:r>
          </w:p>
        </w:tc>
        <w:tc>
          <w:tcPr>
            <w:tcW w:w="2209" w:type="dxa"/>
            <w:shd w:val="clear" w:color="auto" w:fill="FDE9D9" w:themeFill="accent6" w:themeFillTint="33"/>
          </w:tcPr>
          <w:p w14:paraId="2E89B6CA"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62054-11</w:t>
            </w:r>
          </w:p>
        </w:tc>
        <w:tc>
          <w:tcPr>
            <w:tcW w:w="5618" w:type="dxa"/>
            <w:shd w:val="clear" w:color="auto" w:fill="FDE9D9" w:themeFill="accent6" w:themeFillTint="33"/>
          </w:tcPr>
          <w:p w14:paraId="74362CBC"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Electricity metering (a.c.) - Tariff and load control - Part 11: Particular requirements for electronic ripple control receivers</w:t>
            </w:r>
          </w:p>
        </w:tc>
      </w:tr>
      <w:tr w:rsidR="00A21257" w:rsidRPr="00AA3768" w14:paraId="2CFD9FC4" w14:textId="77777777" w:rsidTr="00103D6C">
        <w:tc>
          <w:tcPr>
            <w:tcW w:w="548" w:type="dxa"/>
            <w:tcBorders>
              <w:bottom w:val="single" w:sz="4" w:space="0" w:color="auto"/>
            </w:tcBorders>
            <w:shd w:val="clear" w:color="auto" w:fill="FDE9D9" w:themeFill="accent6" w:themeFillTint="33"/>
          </w:tcPr>
          <w:p w14:paraId="25A1B3D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112</w:t>
            </w:r>
          </w:p>
        </w:tc>
        <w:tc>
          <w:tcPr>
            <w:tcW w:w="2209" w:type="dxa"/>
            <w:tcBorders>
              <w:bottom w:val="single" w:sz="4" w:space="0" w:color="auto"/>
            </w:tcBorders>
            <w:shd w:val="clear" w:color="auto" w:fill="FDE9D9" w:themeFill="accent6" w:themeFillTint="33"/>
          </w:tcPr>
          <w:p w14:paraId="477CC8D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62054-21</w:t>
            </w:r>
          </w:p>
        </w:tc>
        <w:tc>
          <w:tcPr>
            <w:tcW w:w="5618" w:type="dxa"/>
            <w:tcBorders>
              <w:bottom w:val="single" w:sz="4" w:space="0" w:color="auto"/>
            </w:tcBorders>
            <w:shd w:val="clear" w:color="auto" w:fill="FDE9D9" w:themeFill="accent6" w:themeFillTint="33"/>
          </w:tcPr>
          <w:p w14:paraId="1931F7D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Electricity metering (a.c.) - Tariff and load control - Part 21: Particular requirements for time switches</w:t>
            </w:r>
          </w:p>
        </w:tc>
      </w:tr>
      <w:tr w:rsidR="00A21257" w:rsidRPr="00AA3768" w14:paraId="2362B2D7" w14:textId="77777777" w:rsidTr="00103D6C">
        <w:tc>
          <w:tcPr>
            <w:tcW w:w="548" w:type="dxa"/>
            <w:shd w:val="clear" w:color="auto" w:fill="E5DFEC" w:themeFill="accent4" w:themeFillTint="33"/>
          </w:tcPr>
          <w:p w14:paraId="18E6DF9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113</w:t>
            </w:r>
          </w:p>
        </w:tc>
        <w:tc>
          <w:tcPr>
            <w:tcW w:w="2209" w:type="dxa"/>
            <w:shd w:val="clear" w:color="auto" w:fill="E5DFEC" w:themeFill="accent4" w:themeFillTint="33"/>
          </w:tcPr>
          <w:p w14:paraId="6C1BB4C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62135-2</w:t>
            </w:r>
          </w:p>
        </w:tc>
        <w:tc>
          <w:tcPr>
            <w:tcW w:w="5618" w:type="dxa"/>
            <w:shd w:val="clear" w:color="auto" w:fill="E5DFEC" w:themeFill="accent4" w:themeFillTint="33"/>
          </w:tcPr>
          <w:p w14:paraId="7DF4620E"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Resistance welding equipment - Part 2: Electromagnetic compatibility (EMC) requirements</w:t>
            </w:r>
          </w:p>
        </w:tc>
      </w:tr>
      <w:tr w:rsidR="00A21257" w:rsidRPr="00AA3768" w14:paraId="13D2B81B" w14:textId="77777777" w:rsidTr="00103D6C">
        <w:tc>
          <w:tcPr>
            <w:tcW w:w="548" w:type="dxa"/>
            <w:shd w:val="clear" w:color="auto" w:fill="E5DFEC" w:themeFill="accent4" w:themeFillTint="33"/>
          </w:tcPr>
          <w:p w14:paraId="1C73B06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114</w:t>
            </w:r>
          </w:p>
        </w:tc>
        <w:tc>
          <w:tcPr>
            <w:tcW w:w="2209" w:type="dxa"/>
            <w:shd w:val="clear" w:color="auto" w:fill="E5DFEC" w:themeFill="accent4" w:themeFillTint="33"/>
          </w:tcPr>
          <w:p w14:paraId="1D43588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62310-2</w:t>
            </w:r>
          </w:p>
        </w:tc>
        <w:tc>
          <w:tcPr>
            <w:tcW w:w="5618" w:type="dxa"/>
            <w:shd w:val="clear" w:color="auto" w:fill="E5DFEC" w:themeFill="accent4" w:themeFillTint="33"/>
          </w:tcPr>
          <w:p w14:paraId="3BA714B8"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Static transfer systems (STS) - Part 2: Electromagnetic compatibility (EMC) requirements</w:t>
            </w:r>
          </w:p>
        </w:tc>
      </w:tr>
      <w:tr w:rsidR="00A21257" w:rsidRPr="00AA3768" w14:paraId="7A004019" w14:textId="77777777" w:rsidTr="00103D6C">
        <w:tc>
          <w:tcPr>
            <w:tcW w:w="548" w:type="dxa"/>
            <w:shd w:val="clear" w:color="auto" w:fill="E5DFEC" w:themeFill="accent4" w:themeFillTint="33"/>
          </w:tcPr>
          <w:p w14:paraId="15ED8E7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115</w:t>
            </w:r>
          </w:p>
        </w:tc>
        <w:tc>
          <w:tcPr>
            <w:tcW w:w="2209" w:type="dxa"/>
            <w:shd w:val="clear" w:color="auto" w:fill="E5DFEC" w:themeFill="accent4" w:themeFillTint="33"/>
          </w:tcPr>
          <w:p w14:paraId="557E6C73"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62423</w:t>
            </w:r>
          </w:p>
        </w:tc>
        <w:tc>
          <w:tcPr>
            <w:tcW w:w="5618" w:type="dxa"/>
            <w:shd w:val="clear" w:color="auto" w:fill="E5DFEC" w:themeFill="accent4" w:themeFillTint="33"/>
          </w:tcPr>
          <w:p w14:paraId="6E136B1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Type F and type B residual current operated circuit-breakers with and without integral overcurrent protection for household and similar uses</w:t>
            </w:r>
          </w:p>
        </w:tc>
      </w:tr>
      <w:tr w:rsidR="00A21257" w:rsidRPr="00AA3768" w14:paraId="294552A3" w14:textId="77777777" w:rsidTr="00103D6C">
        <w:tc>
          <w:tcPr>
            <w:tcW w:w="548" w:type="dxa"/>
            <w:shd w:val="clear" w:color="auto" w:fill="E5DFEC" w:themeFill="accent4" w:themeFillTint="33"/>
          </w:tcPr>
          <w:p w14:paraId="76A7EAE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116</w:t>
            </w:r>
          </w:p>
        </w:tc>
        <w:tc>
          <w:tcPr>
            <w:tcW w:w="2209" w:type="dxa"/>
            <w:shd w:val="clear" w:color="auto" w:fill="E5DFEC" w:themeFill="accent4" w:themeFillTint="33"/>
          </w:tcPr>
          <w:p w14:paraId="22EB887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62586-1</w:t>
            </w:r>
          </w:p>
        </w:tc>
        <w:tc>
          <w:tcPr>
            <w:tcW w:w="5618" w:type="dxa"/>
            <w:shd w:val="clear" w:color="auto" w:fill="E5DFEC" w:themeFill="accent4" w:themeFillTint="33"/>
          </w:tcPr>
          <w:p w14:paraId="40DE3FE0"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Power quality measurement in power supply systems - Part 1: Power quality instruments (PQI)</w:t>
            </w:r>
          </w:p>
        </w:tc>
      </w:tr>
      <w:tr w:rsidR="00A21257" w:rsidRPr="00AA3768" w14:paraId="45D2ED5F" w14:textId="77777777" w:rsidTr="00103D6C">
        <w:tc>
          <w:tcPr>
            <w:tcW w:w="548" w:type="dxa"/>
            <w:shd w:val="clear" w:color="auto" w:fill="E5DFEC" w:themeFill="accent4" w:themeFillTint="33"/>
          </w:tcPr>
          <w:p w14:paraId="637FFE0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lastRenderedPageBreak/>
              <w:t>117</w:t>
            </w:r>
          </w:p>
        </w:tc>
        <w:tc>
          <w:tcPr>
            <w:tcW w:w="2209" w:type="dxa"/>
            <w:shd w:val="clear" w:color="auto" w:fill="E5DFEC" w:themeFill="accent4" w:themeFillTint="33"/>
          </w:tcPr>
          <w:p w14:paraId="4040F89B"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62586-2</w:t>
            </w:r>
          </w:p>
        </w:tc>
        <w:tc>
          <w:tcPr>
            <w:tcW w:w="5618" w:type="dxa"/>
            <w:shd w:val="clear" w:color="auto" w:fill="E5DFEC" w:themeFill="accent4" w:themeFillTint="33"/>
          </w:tcPr>
          <w:p w14:paraId="178E36A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Power quality measurement in power supply systems - Part 2: Functional tests and uncertainty requirements</w:t>
            </w:r>
          </w:p>
        </w:tc>
      </w:tr>
      <w:tr w:rsidR="00A21257" w:rsidRPr="00AA3768" w14:paraId="54275316" w14:textId="77777777" w:rsidTr="00103D6C">
        <w:tc>
          <w:tcPr>
            <w:tcW w:w="548" w:type="dxa"/>
            <w:shd w:val="clear" w:color="auto" w:fill="E5DFEC" w:themeFill="accent4" w:themeFillTint="33"/>
          </w:tcPr>
          <w:p w14:paraId="47E92D67"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118</w:t>
            </w:r>
          </w:p>
        </w:tc>
        <w:tc>
          <w:tcPr>
            <w:tcW w:w="2209" w:type="dxa"/>
            <w:shd w:val="clear" w:color="auto" w:fill="E5DFEC" w:themeFill="accent4" w:themeFillTint="33"/>
          </w:tcPr>
          <w:p w14:paraId="577FA4BB"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62606</w:t>
            </w:r>
          </w:p>
        </w:tc>
        <w:tc>
          <w:tcPr>
            <w:tcW w:w="5618" w:type="dxa"/>
            <w:shd w:val="clear" w:color="auto" w:fill="E5DFEC" w:themeFill="accent4" w:themeFillTint="33"/>
          </w:tcPr>
          <w:p w14:paraId="56DF6B6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General requirements for arc fault detection devices</w:t>
            </w:r>
          </w:p>
        </w:tc>
      </w:tr>
      <w:tr w:rsidR="00A21257" w:rsidRPr="00AA3768" w14:paraId="2D1645CA" w14:textId="77777777" w:rsidTr="00103D6C">
        <w:tc>
          <w:tcPr>
            <w:tcW w:w="548" w:type="dxa"/>
            <w:shd w:val="clear" w:color="auto" w:fill="E5DFEC" w:themeFill="accent4" w:themeFillTint="33"/>
          </w:tcPr>
          <w:p w14:paraId="03AB4D96"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119</w:t>
            </w:r>
          </w:p>
        </w:tc>
        <w:tc>
          <w:tcPr>
            <w:tcW w:w="2209" w:type="dxa"/>
            <w:shd w:val="clear" w:color="auto" w:fill="E5DFEC" w:themeFill="accent4" w:themeFillTint="33"/>
          </w:tcPr>
          <w:p w14:paraId="5DCC17C2"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63024</w:t>
            </w:r>
          </w:p>
        </w:tc>
        <w:tc>
          <w:tcPr>
            <w:tcW w:w="5618" w:type="dxa"/>
            <w:shd w:val="clear" w:color="auto" w:fill="E5DFEC" w:themeFill="accent4" w:themeFillTint="33"/>
          </w:tcPr>
          <w:p w14:paraId="79B84404"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Requirements for automatic reclosing devices (ARDs) for circuit-breakers, RCBOs and RCCBs for household and similar uses</w:t>
            </w:r>
          </w:p>
        </w:tc>
      </w:tr>
      <w:tr w:rsidR="00A21257" w:rsidRPr="00AA3768" w14:paraId="00689785" w14:textId="77777777" w:rsidTr="00103D6C">
        <w:tc>
          <w:tcPr>
            <w:tcW w:w="548" w:type="dxa"/>
            <w:shd w:val="clear" w:color="auto" w:fill="FDE9D9" w:themeFill="accent6" w:themeFillTint="33"/>
          </w:tcPr>
          <w:p w14:paraId="4A80256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120</w:t>
            </w:r>
          </w:p>
        </w:tc>
        <w:tc>
          <w:tcPr>
            <w:tcW w:w="2209" w:type="dxa"/>
            <w:shd w:val="clear" w:color="auto" w:fill="FDE9D9" w:themeFill="accent6" w:themeFillTint="33"/>
          </w:tcPr>
          <w:p w14:paraId="3128DF01"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 xml:space="preserve">EN 300 386 </w:t>
            </w:r>
          </w:p>
        </w:tc>
        <w:tc>
          <w:tcPr>
            <w:tcW w:w="5618" w:type="dxa"/>
            <w:shd w:val="clear" w:color="auto" w:fill="FDE9D9" w:themeFill="accent6" w:themeFillTint="33"/>
          </w:tcPr>
          <w:p w14:paraId="07FFEE60"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Electromagnetic compatibility and Radio spectrum Matters (ERM); Telecommunication network equipment; ElectroMagnetic Compatibility (EMC) requirements</w:t>
            </w:r>
          </w:p>
        </w:tc>
      </w:tr>
      <w:tr w:rsidR="00A21257" w:rsidRPr="00AA3768" w14:paraId="0C2C5B67" w14:textId="77777777" w:rsidTr="00103D6C">
        <w:tc>
          <w:tcPr>
            <w:tcW w:w="548" w:type="dxa"/>
            <w:shd w:val="clear" w:color="auto" w:fill="E5DFEC" w:themeFill="accent4" w:themeFillTint="33"/>
          </w:tcPr>
          <w:p w14:paraId="47897719"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121</w:t>
            </w:r>
          </w:p>
        </w:tc>
        <w:tc>
          <w:tcPr>
            <w:tcW w:w="2209" w:type="dxa"/>
            <w:shd w:val="clear" w:color="auto" w:fill="E5DFEC" w:themeFill="accent4" w:themeFillTint="33"/>
          </w:tcPr>
          <w:p w14:paraId="7FAAD33F"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EN 301 489-1</w:t>
            </w:r>
          </w:p>
        </w:tc>
        <w:tc>
          <w:tcPr>
            <w:tcW w:w="5618" w:type="dxa"/>
            <w:shd w:val="clear" w:color="auto" w:fill="E5DFEC" w:themeFill="accent4" w:themeFillTint="33"/>
          </w:tcPr>
          <w:p w14:paraId="577705F5" w14:textId="77777777" w:rsidR="00AA3768" w:rsidRPr="00AA3768" w:rsidRDefault="00AA3768" w:rsidP="00AA3768">
            <w:pPr>
              <w:spacing w:after="0" w:line="240" w:lineRule="auto"/>
              <w:rPr>
                <w:rFonts w:ascii="Calibri" w:hAnsi="Calibri"/>
                <w:sz w:val="16"/>
                <w:szCs w:val="16"/>
              </w:rPr>
            </w:pPr>
            <w:r w:rsidRPr="00AA3768">
              <w:rPr>
                <w:rFonts w:ascii="Calibri" w:hAnsi="Calibri"/>
                <w:sz w:val="16"/>
                <w:szCs w:val="16"/>
              </w:rPr>
              <w:t>Electromagnetic compatibility and Radio spectrum Matters (ERM); ElectroMagnetic Compatibility (EMC) standard for radio equipment and services; Part 1: Common technical requirements</w:t>
            </w:r>
          </w:p>
        </w:tc>
      </w:tr>
    </w:tbl>
    <w:p w14:paraId="4479EEF7" w14:textId="0B1E927A" w:rsidR="00FF3C69" w:rsidRDefault="00FF3C69" w:rsidP="00F77301">
      <w:pPr>
        <w:rPr>
          <w:b/>
        </w:rPr>
      </w:pPr>
    </w:p>
    <w:p w14:paraId="2EE5F88A" w14:textId="1B4A3F28" w:rsidR="00735C29" w:rsidRDefault="00735C29" w:rsidP="00F77301">
      <w:pPr>
        <w:rPr>
          <w:b/>
        </w:rPr>
      </w:pPr>
    </w:p>
    <w:p w14:paraId="0A659263" w14:textId="1A0D6014" w:rsidR="00735C29" w:rsidRDefault="00735C29" w:rsidP="00F77301">
      <w:pPr>
        <w:rPr>
          <w:b/>
        </w:rPr>
      </w:pPr>
    </w:p>
    <w:p w14:paraId="0E2B9B96" w14:textId="0C6AB2BB" w:rsidR="00735C29" w:rsidRDefault="00735C29" w:rsidP="00F77301">
      <w:pPr>
        <w:rPr>
          <w:b/>
        </w:rPr>
      </w:pPr>
    </w:p>
    <w:p w14:paraId="61525DDB" w14:textId="77777777" w:rsidR="00735C29" w:rsidRDefault="00735C29" w:rsidP="00F77301">
      <w:pPr>
        <w:rPr>
          <w:b/>
        </w:rPr>
      </w:pPr>
    </w:p>
    <w:p w14:paraId="22E30AA3" w14:textId="246424A4" w:rsidR="00735C29" w:rsidRDefault="00735C29" w:rsidP="00F77301">
      <w:pPr>
        <w:rPr>
          <w:b/>
        </w:rPr>
      </w:pPr>
    </w:p>
    <w:p w14:paraId="30DE5F1A" w14:textId="2527CD95" w:rsidR="00735C29" w:rsidRDefault="00735C29" w:rsidP="00F77301">
      <w:pPr>
        <w:rPr>
          <w:b/>
        </w:rPr>
      </w:pPr>
    </w:p>
    <w:p w14:paraId="0306A21A" w14:textId="7CACE44F" w:rsidR="00735C29" w:rsidRDefault="00735C29" w:rsidP="00F77301">
      <w:pPr>
        <w:rPr>
          <w:b/>
        </w:rPr>
      </w:pPr>
    </w:p>
    <w:p w14:paraId="0FBF9BFE" w14:textId="04FE86DC" w:rsidR="00735C29" w:rsidRDefault="00735C29" w:rsidP="00F77301">
      <w:pPr>
        <w:rPr>
          <w:b/>
        </w:rPr>
      </w:pPr>
    </w:p>
    <w:p w14:paraId="33886084" w14:textId="11EB8372" w:rsidR="00735C29" w:rsidRDefault="00735C29" w:rsidP="00F77301">
      <w:pPr>
        <w:rPr>
          <w:b/>
        </w:rPr>
      </w:pPr>
    </w:p>
    <w:p w14:paraId="7E4CB944" w14:textId="7CD72ADE" w:rsidR="00735C29" w:rsidRPr="0092400C" w:rsidRDefault="00735C29" w:rsidP="00735C29">
      <w:pPr>
        <w:pStyle w:val="Heading1"/>
        <w:rPr>
          <w:bCs w:val="0"/>
          <w:szCs w:val="53"/>
        </w:rPr>
      </w:pPr>
      <w:bookmarkStart w:id="35" w:name="_Appendix_B:_Comparison"/>
      <w:bookmarkStart w:id="36" w:name="_Toc149912280"/>
      <w:bookmarkEnd w:id="35"/>
      <w:r w:rsidRPr="00F416ED">
        <w:rPr>
          <w:bCs w:val="0"/>
          <w:szCs w:val="53"/>
        </w:rPr>
        <w:lastRenderedPageBreak/>
        <w:t xml:space="preserve">Appendix </w:t>
      </w:r>
      <w:r>
        <w:rPr>
          <w:bCs w:val="0"/>
          <w:szCs w:val="53"/>
        </w:rPr>
        <w:t>B: Comparison of Australian and New Zealand EMC device categories</w:t>
      </w:r>
      <w:bookmarkEnd w:id="36"/>
      <w:r w:rsidRPr="0092400C">
        <w:rPr>
          <w:bCs w:val="0"/>
          <w:szCs w:val="53"/>
        </w:rPr>
        <w:t xml:space="preserve"> </w:t>
      </w:r>
    </w:p>
    <w:tbl>
      <w:tblPr>
        <w:tblStyle w:val="TableGrid"/>
        <w:tblW w:w="0" w:type="auto"/>
        <w:tblLook w:val="04A0" w:firstRow="1" w:lastRow="0" w:firstColumn="1" w:lastColumn="0" w:noHBand="0" w:noVBand="1"/>
      </w:tblPr>
      <w:tblGrid>
        <w:gridCol w:w="3830"/>
        <w:gridCol w:w="3831"/>
      </w:tblGrid>
      <w:tr w:rsidR="00103D6C" w:rsidRPr="00103D6C" w14:paraId="563C4105" w14:textId="77777777" w:rsidTr="00103D6C">
        <w:tc>
          <w:tcPr>
            <w:tcW w:w="3830" w:type="dxa"/>
            <w:shd w:val="clear" w:color="auto" w:fill="595959" w:themeFill="text1" w:themeFillTint="A6"/>
          </w:tcPr>
          <w:p w14:paraId="710258D9" w14:textId="77777777" w:rsidR="00735C29" w:rsidRPr="00103D6C" w:rsidRDefault="00735C29" w:rsidP="0092400C">
            <w:pPr>
              <w:pStyle w:val="ListBullet2"/>
              <w:numPr>
                <w:ilvl w:val="0"/>
                <w:numId w:val="0"/>
              </w:numPr>
              <w:spacing w:before="120" w:after="120" w:line="240" w:lineRule="auto"/>
              <w:rPr>
                <w:b/>
                <w:bCs/>
                <w:color w:val="FFFFFF" w:themeColor="background1"/>
              </w:rPr>
            </w:pPr>
            <w:r w:rsidRPr="00103D6C">
              <w:rPr>
                <w:b/>
                <w:bCs/>
                <w:color w:val="FFFFFF" w:themeColor="background1"/>
              </w:rPr>
              <w:t>Australia</w:t>
            </w:r>
          </w:p>
        </w:tc>
        <w:tc>
          <w:tcPr>
            <w:tcW w:w="3831" w:type="dxa"/>
            <w:shd w:val="clear" w:color="auto" w:fill="595959" w:themeFill="text1" w:themeFillTint="A6"/>
          </w:tcPr>
          <w:p w14:paraId="021762F7" w14:textId="77777777" w:rsidR="00735C29" w:rsidRPr="00103D6C" w:rsidRDefault="00735C29" w:rsidP="0092400C">
            <w:pPr>
              <w:pStyle w:val="ListBullet2"/>
              <w:numPr>
                <w:ilvl w:val="0"/>
                <w:numId w:val="0"/>
              </w:numPr>
              <w:spacing w:before="120" w:after="120" w:line="240" w:lineRule="auto"/>
              <w:rPr>
                <w:b/>
                <w:bCs/>
                <w:color w:val="FFFFFF" w:themeColor="background1"/>
              </w:rPr>
            </w:pPr>
            <w:r w:rsidRPr="00103D6C">
              <w:rPr>
                <w:b/>
                <w:bCs/>
                <w:color w:val="FFFFFF" w:themeColor="background1"/>
              </w:rPr>
              <w:t>New Zealand</w:t>
            </w:r>
          </w:p>
        </w:tc>
      </w:tr>
      <w:tr w:rsidR="00735C29" w:rsidRPr="00040E98" w14:paraId="4A8A0622" w14:textId="77777777" w:rsidTr="00103D6C">
        <w:trPr>
          <w:trHeight w:val="295"/>
        </w:trPr>
        <w:tc>
          <w:tcPr>
            <w:tcW w:w="3830" w:type="dxa"/>
            <w:shd w:val="clear" w:color="auto" w:fill="D9D9D9" w:themeFill="background1" w:themeFillShade="D9"/>
          </w:tcPr>
          <w:p w14:paraId="60974BDC" w14:textId="2BB00B70" w:rsidR="00735C29" w:rsidRPr="00040E98" w:rsidRDefault="00EF5748" w:rsidP="0092400C">
            <w:pPr>
              <w:pStyle w:val="ListBullet2"/>
              <w:numPr>
                <w:ilvl w:val="0"/>
                <w:numId w:val="0"/>
              </w:numPr>
              <w:spacing w:before="120" w:after="120" w:line="240" w:lineRule="auto"/>
              <w:rPr>
                <w:b/>
                <w:bCs/>
              </w:rPr>
            </w:pPr>
            <w:r>
              <w:rPr>
                <w:b/>
                <w:bCs/>
              </w:rPr>
              <w:t>High-risk</w:t>
            </w:r>
            <w:r w:rsidR="00735C29" w:rsidRPr="00040E98">
              <w:rPr>
                <w:b/>
                <w:bCs/>
              </w:rPr>
              <w:t xml:space="preserve"> device</w:t>
            </w:r>
          </w:p>
        </w:tc>
        <w:tc>
          <w:tcPr>
            <w:tcW w:w="3831" w:type="dxa"/>
            <w:shd w:val="clear" w:color="auto" w:fill="D9D9D9" w:themeFill="background1" w:themeFillShade="D9"/>
          </w:tcPr>
          <w:p w14:paraId="27462F1C" w14:textId="77777777" w:rsidR="00735C29" w:rsidRPr="00040E98" w:rsidRDefault="00735C29" w:rsidP="0092400C">
            <w:pPr>
              <w:pStyle w:val="ListBullet2"/>
              <w:numPr>
                <w:ilvl w:val="0"/>
                <w:numId w:val="0"/>
              </w:numPr>
              <w:spacing w:before="120" w:after="120" w:line="240" w:lineRule="auto"/>
              <w:rPr>
                <w:b/>
                <w:bCs/>
              </w:rPr>
            </w:pPr>
            <w:r w:rsidRPr="00040E98">
              <w:rPr>
                <w:b/>
                <w:bCs/>
              </w:rPr>
              <w:t>Level of conformity 3 product</w:t>
            </w:r>
          </w:p>
        </w:tc>
      </w:tr>
      <w:tr w:rsidR="00735C29" w14:paraId="1F9B2B58" w14:textId="77777777" w:rsidTr="00103D6C">
        <w:trPr>
          <w:trHeight w:val="705"/>
        </w:trPr>
        <w:tc>
          <w:tcPr>
            <w:tcW w:w="3830" w:type="dxa"/>
          </w:tcPr>
          <w:p w14:paraId="2C1A32B3" w14:textId="77777777" w:rsidR="00735C29" w:rsidRDefault="00735C29" w:rsidP="0092400C">
            <w:pPr>
              <w:pStyle w:val="ListBullet2"/>
              <w:numPr>
                <w:ilvl w:val="0"/>
                <w:numId w:val="0"/>
              </w:numPr>
              <w:spacing w:before="120" w:after="120" w:line="240" w:lineRule="auto"/>
            </w:pPr>
            <w:r>
              <w:t>Group 2 ISM equipment as defined in AS/NZS CISPR 11:2011</w:t>
            </w:r>
          </w:p>
        </w:tc>
        <w:tc>
          <w:tcPr>
            <w:tcW w:w="3831" w:type="dxa"/>
          </w:tcPr>
          <w:p w14:paraId="0417C988" w14:textId="77777777" w:rsidR="00735C29" w:rsidRDefault="00735C29" w:rsidP="0092400C">
            <w:pPr>
              <w:pStyle w:val="ListBullet2"/>
              <w:numPr>
                <w:ilvl w:val="0"/>
                <w:numId w:val="0"/>
              </w:numPr>
              <w:spacing w:before="120" w:after="120" w:line="240" w:lineRule="auto"/>
            </w:pPr>
            <w:r>
              <w:t>Group 2 ISM equipment as defined in AS/NZS CISPR 11</w:t>
            </w:r>
          </w:p>
        </w:tc>
      </w:tr>
      <w:tr w:rsidR="00735C29" w:rsidRPr="00040E98" w14:paraId="0E284C43" w14:textId="77777777" w:rsidTr="00103D6C">
        <w:trPr>
          <w:trHeight w:val="508"/>
        </w:trPr>
        <w:tc>
          <w:tcPr>
            <w:tcW w:w="3830" w:type="dxa"/>
            <w:shd w:val="clear" w:color="auto" w:fill="D9D9D9" w:themeFill="background1" w:themeFillShade="D9"/>
          </w:tcPr>
          <w:p w14:paraId="1EDA86A5" w14:textId="2C1C1C4F" w:rsidR="00735C29" w:rsidRPr="00040E98" w:rsidRDefault="00EF5748" w:rsidP="0092400C">
            <w:pPr>
              <w:pStyle w:val="ListBullet2"/>
              <w:numPr>
                <w:ilvl w:val="0"/>
                <w:numId w:val="0"/>
              </w:numPr>
              <w:spacing w:before="120" w:after="120" w:line="240" w:lineRule="auto"/>
              <w:rPr>
                <w:b/>
                <w:bCs/>
              </w:rPr>
            </w:pPr>
            <w:r>
              <w:rPr>
                <w:b/>
                <w:bCs/>
              </w:rPr>
              <w:t>Medium-risk</w:t>
            </w:r>
            <w:r w:rsidR="00735C29" w:rsidRPr="00040E98">
              <w:rPr>
                <w:b/>
                <w:bCs/>
              </w:rPr>
              <w:t xml:space="preserve"> device</w:t>
            </w:r>
          </w:p>
        </w:tc>
        <w:tc>
          <w:tcPr>
            <w:tcW w:w="3831" w:type="dxa"/>
            <w:shd w:val="clear" w:color="auto" w:fill="D9D9D9" w:themeFill="background1" w:themeFillShade="D9"/>
          </w:tcPr>
          <w:p w14:paraId="406C19D8" w14:textId="77777777" w:rsidR="00735C29" w:rsidRPr="00040E98" w:rsidRDefault="00735C29" w:rsidP="0092400C">
            <w:pPr>
              <w:pStyle w:val="ListBullet2"/>
              <w:numPr>
                <w:ilvl w:val="0"/>
                <w:numId w:val="0"/>
              </w:numPr>
              <w:spacing w:before="120" w:after="120" w:line="240" w:lineRule="auto"/>
              <w:rPr>
                <w:b/>
                <w:bCs/>
              </w:rPr>
            </w:pPr>
            <w:r w:rsidRPr="00040E98">
              <w:rPr>
                <w:b/>
                <w:bCs/>
              </w:rPr>
              <w:t>Level of conformity 2 product</w:t>
            </w:r>
          </w:p>
        </w:tc>
      </w:tr>
      <w:tr w:rsidR="00735C29" w14:paraId="158BF901" w14:textId="77777777" w:rsidTr="00103D6C">
        <w:trPr>
          <w:trHeight w:val="1125"/>
        </w:trPr>
        <w:tc>
          <w:tcPr>
            <w:tcW w:w="3830" w:type="dxa"/>
            <w:tcBorders>
              <w:bottom w:val="nil"/>
            </w:tcBorders>
            <w:shd w:val="clear" w:color="auto" w:fill="auto"/>
          </w:tcPr>
          <w:p w14:paraId="3B02632F" w14:textId="77777777" w:rsidR="00735C29" w:rsidRDefault="00735C29" w:rsidP="0092400C">
            <w:pPr>
              <w:pStyle w:val="ListBullet2"/>
              <w:numPr>
                <w:ilvl w:val="0"/>
                <w:numId w:val="0"/>
              </w:numPr>
              <w:spacing w:before="120" w:after="120" w:line="240" w:lineRule="auto"/>
            </w:pPr>
            <w:r>
              <w:t>A device that contains:</w:t>
            </w:r>
          </w:p>
          <w:p w14:paraId="65A3C86E" w14:textId="7EF30A32" w:rsidR="00735C29" w:rsidRDefault="007F743B" w:rsidP="003E5BD7">
            <w:pPr>
              <w:pStyle w:val="Bulletlevel1"/>
            </w:pPr>
            <w:r>
              <w:t>s</w:t>
            </w:r>
            <w:r w:rsidR="00735C29">
              <w:t>witch mode power supply</w:t>
            </w:r>
          </w:p>
          <w:p w14:paraId="574D134E" w14:textId="4CDB1B45" w:rsidR="00735C29" w:rsidRDefault="007F743B" w:rsidP="003E5BD7">
            <w:pPr>
              <w:pStyle w:val="Bulletlevel1"/>
            </w:pPr>
            <w:r>
              <w:t>t</w:t>
            </w:r>
            <w:r w:rsidR="00735C29">
              <w:t xml:space="preserve">ransistor switching </w:t>
            </w:r>
            <w:proofErr w:type="gramStart"/>
            <w:r w:rsidR="00735C29">
              <w:t>circuit</w:t>
            </w:r>
            <w:proofErr w:type="gramEnd"/>
          </w:p>
          <w:p w14:paraId="42EA6E07" w14:textId="0CB210B1" w:rsidR="00735C29" w:rsidRDefault="007F743B" w:rsidP="003E5BD7">
            <w:pPr>
              <w:pStyle w:val="Bulletlevel1"/>
            </w:pPr>
            <w:r>
              <w:t>m</w:t>
            </w:r>
            <w:r w:rsidR="00735C29">
              <w:t>icroprocessor</w:t>
            </w:r>
          </w:p>
          <w:p w14:paraId="368BE274" w14:textId="26371BFC" w:rsidR="00735C29" w:rsidRDefault="007F743B" w:rsidP="003E5BD7">
            <w:pPr>
              <w:pStyle w:val="Bulletlevel1"/>
            </w:pPr>
            <w:r>
              <w:t>c</w:t>
            </w:r>
            <w:r w:rsidR="00735C29">
              <w:t>ommutator</w:t>
            </w:r>
          </w:p>
          <w:p w14:paraId="2F7B42CD" w14:textId="2B39698A" w:rsidR="00735C29" w:rsidRDefault="007F743B" w:rsidP="003E5BD7">
            <w:pPr>
              <w:pStyle w:val="Bulletlevel1"/>
            </w:pPr>
            <w:r>
              <w:t>s</w:t>
            </w:r>
            <w:r w:rsidR="00735C29">
              <w:t>lip-ring motor</w:t>
            </w:r>
          </w:p>
          <w:p w14:paraId="26BE70F7" w14:textId="5492A88D" w:rsidR="00735C29" w:rsidRDefault="007F743B" w:rsidP="003E5BD7">
            <w:pPr>
              <w:pStyle w:val="Bulletlevel1"/>
            </w:pPr>
            <w:r>
              <w:t>e</w:t>
            </w:r>
            <w:r w:rsidR="00735C29">
              <w:t>lectronic device operating in a switching mode or a non-linear mode</w:t>
            </w:r>
            <w:r>
              <w:t>.</w:t>
            </w:r>
          </w:p>
        </w:tc>
        <w:tc>
          <w:tcPr>
            <w:tcW w:w="3831" w:type="dxa"/>
            <w:vMerge w:val="restart"/>
            <w:shd w:val="clear" w:color="auto" w:fill="auto"/>
          </w:tcPr>
          <w:p w14:paraId="730079EF" w14:textId="77777777" w:rsidR="00735C29" w:rsidRDefault="00735C29" w:rsidP="003E5BD7">
            <w:pPr>
              <w:pStyle w:val="Bulletlevel1"/>
              <w:numPr>
                <w:ilvl w:val="0"/>
                <w:numId w:val="0"/>
              </w:numPr>
            </w:pPr>
            <w:r>
              <w:t>A product that is:</w:t>
            </w:r>
          </w:p>
          <w:p w14:paraId="7452CD97" w14:textId="195905C3" w:rsidR="00735C29" w:rsidRDefault="007F743B" w:rsidP="003E5BD7">
            <w:pPr>
              <w:pStyle w:val="Bulletlevel1"/>
            </w:pPr>
            <w:r>
              <w:t>a</w:t>
            </w:r>
            <w:r w:rsidR="00735C29">
              <w:t xml:space="preserve"> microprocessor or other clocked digital device</w:t>
            </w:r>
          </w:p>
          <w:p w14:paraId="27A61F28" w14:textId="073EC9D5" w:rsidR="00735C29" w:rsidRDefault="007F743B" w:rsidP="003E5BD7">
            <w:pPr>
              <w:pStyle w:val="Bulletlevel1"/>
            </w:pPr>
            <w:r>
              <w:t>a</w:t>
            </w:r>
            <w:r w:rsidR="00735C29">
              <w:t xml:space="preserve"> radio frequency oscillator</w:t>
            </w:r>
          </w:p>
          <w:p w14:paraId="2B05FA67" w14:textId="0ED1A881" w:rsidR="00735C29" w:rsidRDefault="007F743B" w:rsidP="003E5BD7">
            <w:pPr>
              <w:pStyle w:val="Bulletlevel1"/>
            </w:pPr>
            <w:r>
              <w:t>a</w:t>
            </w:r>
            <w:r w:rsidR="00735C29">
              <w:t xml:space="preserve"> commutator or slip-ring motor</w:t>
            </w:r>
          </w:p>
          <w:p w14:paraId="1F641617" w14:textId="1C3A1237" w:rsidR="00735C29" w:rsidRDefault="007F743B" w:rsidP="003E5BD7">
            <w:pPr>
              <w:pStyle w:val="Bulletlevel1"/>
            </w:pPr>
            <w:r>
              <w:t>a</w:t>
            </w:r>
            <w:r w:rsidR="00735C29">
              <w:t>rc welding equipment</w:t>
            </w:r>
          </w:p>
          <w:p w14:paraId="5DB02D92" w14:textId="7AD9880A" w:rsidR="00735C29" w:rsidRDefault="007F743B" w:rsidP="003E5BD7">
            <w:pPr>
              <w:pStyle w:val="Bulletlevel1"/>
            </w:pPr>
            <w:r>
              <w:t>l</w:t>
            </w:r>
            <w:r w:rsidR="00735C29">
              <w:t>ighting ballast</w:t>
            </w:r>
          </w:p>
          <w:p w14:paraId="4AD1233D" w14:textId="0644F374" w:rsidR="00735C29" w:rsidRDefault="007F743B" w:rsidP="0092400C">
            <w:pPr>
              <w:pStyle w:val="Bulletlevel1"/>
            </w:pPr>
            <w:r>
              <w:t>e</w:t>
            </w:r>
            <w:r w:rsidR="00735C29">
              <w:t>lectronic devices operating in a switching or non-linear mode such as a switched-mode power suppliers, lighting dimmers, electronic transformers, and motor speed controllers</w:t>
            </w:r>
            <w:r>
              <w:t>.</w:t>
            </w:r>
          </w:p>
          <w:p w14:paraId="5441B5E6" w14:textId="1E3C5A85" w:rsidR="00735C29" w:rsidRDefault="00735C29" w:rsidP="0092400C">
            <w:pPr>
              <w:pStyle w:val="ListBullet2"/>
              <w:numPr>
                <w:ilvl w:val="0"/>
                <w:numId w:val="0"/>
              </w:numPr>
              <w:spacing w:before="120" w:after="120" w:line="240" w:lineRule="auto"/>
            </w:pPr>
            <w:r>
              <w:t>The product is exempt from the requirement to be the subject of a compliance folder or to be labelled if it is:</w:t>
            </w:r>
          </w:p>
          <w:p w14:paraId="77EC111E" w14:textId="0C696EB2" w:rsidR="00735C29" w:rsidRDefault="007F743B" w:rsidP="003E5BD7">
            <w:pPr>
              <w:pStyle w:val="Bulletlevel1"/>
            </w:pPr>
            <w:r>
              <w:t>s</w:t>
            </w:r>
            <w:r w:rsidR="00735C29">
              <w:t xml:space="preserve">upplied in a total quantity of no more than 10 per </w:t>
            </w:r>
            <w:proofErr w:type="gramStart"/>
            <w:r w:rsidR="00735C29">
              <w:t>annum</w:t>
            </w:r>
            <w:proofErr w:type="gramEnd"/>
          </w:p>
          <w:p w14:paraId="3659A090" w14:textId="7797B501" w:rsidR="00735C29" w:rsidRDefault="007F743B" w:rsidP="003E5BD7">
            <w:pPr>
              <w:pStyle w:val="Bulletlevel1"/>
            </w:pPr>
            <w:r>
              <w:t>b</w:t>
            </w:r>
            <w:r w:rsidR="00735C29">
              <w:t>attery</w:t>
            </w:r>
            <w:r>
              <w:t>-</w:t>
            </w:r>
            <w:r w:rsidR="00735C29">
              <w:t>powered</w:t>
            </w:r>
          </w:p>
          <w:p w14:paraId="2771871C" w14:textId="1207EF5C" w:rsidR="00735C29" w:rsidRDefault="007F743B" w:rsidP="003E5BD7">
            <w:pPr>
              <w:pStyle w:val="Bulletlevel1"/>
            </w:pPr>
            <w:r>
              <w:t>a</w:t>
            </w:r>
            <w:r w:rsidR="00735C29">
              <w:t xml:space="preserve"> prototype for demonstration purposes</w:t>
            </w:r>
          </w:p>
          <w:p w14:paraId="49590BFF" w14:textId="557669F9" w:rsidR="00735C29" w:rsidRDefault="007F743B" w:rsidP="0092400C">
            <w:pPr>
              <w:pStyle w:val="Bulletlevel1"/>
            </w:pPr>
            <w:r>
              <w:t>a</w:t>
            </w:r>
            <w:r w:rsidR="00735C29">
              <w:t xml:space="preserve"> fixed installation, including telecommunications network </w:t>
            </w:r>
            <w:r>
              <w:t>(</w:t>
            </w:r>
            <w:r w:rsidR="00735C29">
              <w:t>TNE</w:t>
            </w:r>
            <w:r>
              <w:t>).</w:t>
            </w:r>
          </w:p>
          <w:p w14:paraId="782E12C5" w14:textId="4EDBA97C" w:rsidR="00735C29" w:rsidRDefault="00735C29" w:rsidP="0092400C">
            <w:pPr>
              <w:pStyle w:val="Bulletlevel1"/>
              <w:numPr>
                <w:ilvl w:val="0"/>
                <w:numId w:val="0"/>
              </w:numPr>
            </w:pPr>
            <w:r>
              <w:t>Group 1 ISM equipment as defined in AS/NZS CISPR 11</w:t>
            </w:r>
            <w:r w:rsidR="007F743B">
              <w:t>.</w:t>
            </w:r>
          </w:p>
          <w:p w14:paraId="1A93074E" w14:textId="3EEF3F82" w:rsidR="00735C29" w:rsidRDefault="00735C29" w:rsidP="003E5BD7">
            <w:pPr>
              <w:pStyle w:val="Bulletlevel1"/>
              <w:ind w:left="0"/>
            </w:pPr>
            <w:r>
              <w:t>Telecommunications terminal equipment (TTE) designed for installation in customer premises</w:t>
            </w:r>
            <w:r w:rsidR="007F743B">
              <w:t>.</w:t>
            </w:r>
          </w:p>
        </w:tc>
      </w:tr>
      <w:tr w:rsidR="00735C29" w14:paraId="6A76013D" w14:textId="77777777" w:rsidTr="00103D6C">
        <w:trPr>
          <w:trHeight w:val="1613"/>
        </w:trPr>
        <w:tc>
          <w:tcPr>
            <w:tcW w:w="3830" w:type="dxa"/>
            <w:tcBorders>
              <w:top w:val="nil"/>
              <w:bottom w:val="single" w:sz="4" w:space="0" w:color="auto"/>
            </w:tcBorders>
            <w:shd w:val="clear" w:color="auto" w:fill="auto"/>
          </w:tcPr>
          <w:p w14:paraId="35DC61A6" w14:textId="5F378282" w:rsidR="00735C29" w:rsidRDefault="00735C29" w:rsidP="0092400C">
            <w:pPr>
              <w:pStyle w:val="ListBullet2"/>
              <w:numPr>
                <w:ilvl w:val="0"/>
                <w:numId w:val="0"/>
              </w:numPr>
              <w:spacing w:before="120" w:after="120" w:line="240" w:lineRule="auto"/>
            </w:pPr>
            <w:r>
              <w:t xml:space="preserve">A battery-powered device that contains the above minimum components is exempted from the </w:t>
            </w:r>
            <w:r w:rsidR="00EF5748">
              <w:t>medium-risk</w:t>
            </w:r>
            <w:r>
              <w:t xml:space="preserve"> device category </w:t>
            </w:r>
          </w:p>
        </w:tc>
        <w:tc>
          <w:tcPr>
            <w:tcW w:w="3831" w:type="dxa"/>
            <w:vMerge/>
            <w:tcBorders>
              <w:bottom w:val="single" w:sz="4" w:space="0" w:color="auto"/>
            </w:tcBorders>
            <w:shd w:val="clear" w:color="auto" w:fill="auto"/>
          </w:tcPr>
          <w:p w14:paraId="629ADF51" w14:textId="77777777" w:rsidR="00735C29" w:rsidRDefault="00735C29" w:rsidP="003E5BD7">
            <w:pPr>
              <w:pStyle w:val="Bulletlevel1"/>
              <w:ind w:left="0"/>
            </w:pPr>
          </w:p>
        </w:tc>
      </w:tr>
      <w:tr w:rsidR="00735C29" w:rsidRPr="00040E98" w14:paraId="2D9C6F91" w14:textId="77777777" w:rsidTr="00103D6C">
        <w:trPr>
          <w:trHeight w:val="508"/>
        </w:trPr>
        <w:tc>
          <w:tcPr>
            <w:tcW w:w="3830" w:type="dxa"/>
            <w:shd w:val="clear" w:color="auto" w:fill="D9D9D9" w:themeFill="background1" w:themeFillShade="D9"/>
          </w:tcPr>
          <w:p w14:paraId="4C1A60B1" w14:textId="395BBC0A" w:rsidR="00735C29" w:rsidRPr="00040E98" w:rsidRDefault="00EF5748" w:rsidP="00EF5748">
            <w:pPr>
              <w:pStyle w:val="ListBullet2"/>
              <w:keepNext/>
              <w:keepLines/>
              <w:numPr>
                <w:ilvl w:val="0"/>
                <w:numId w:val="0"/>
              </w:numPr>
              <w:spacing w:before="120" w:after="120" w:line="240" w:lineRule="auto"/>
              <w:rPr>
                <w:b/>
                <w:bCs/>
              </w:rPr>
            </w:pPr>
            <w:r>
              <w:rPr>
                <w:b/>
                <w:bCs/>
              </w:rPr>
              <w:lastRenderedPageBreak/>
              <w:t>Low-risk</w:t>
            </w:r>
            <w:r w:rsidR="00735C29" w:rsidRPr="00040E98">
              <w:rPr>
                <w:b/>
                <w:bCs/>
              </w:rPr>
              <w:t xml:space="preserve"> device </w:t>
            </w:r>
          </w:p>
        </w:tc>
        <w:tc>
          <w:tcPr>
            <w:tcW w:w="3831" w:type="dxa"/>
            <w:shd w:val="clear" w:color="auto" w:fill="D9D9D9" w:themeFill="background1" w:themeFillShade="D9"/>
          </w:tcPr>
          <w:p w14:paraId="2AFC56D8" w14:textId="77777777" w:rsidR="00735C29" w:rsidRPr="00040E98" w:rsidRDefault="00735C29" w:rsidP="00EF5748">
            <w:pPr>
              <w:pStyle w:val="ListBullet2"/>
              <w:keepNext/>
              <w:keepLines/>
              <w:numPr>
                <w:ilvl w:val="0"/>
                <w:numId w:val="0"/>
              </w:numPr>
              <w:spacing w:before="120" w:after="120" w:line="240" w:lineRule="auto"/>
              <w:rPr>
                <w:b/>
                <w:bCs/>
              </w:rPr>
            </w:pPr>
            <w:r w:rsidRPr="00040E98">
              <w:rPr>
                <w:b/>
                <w:bCs/>
              </w:rPr>
              <w:t xml:space="preserve">Level of conformity 1 product </w:t>
            </w:r>
          </w:p>
        </w:tc>
      </w:tr>
      <w:tr w:rsidR="00735C29" w14:paraId="299496C3" w14:textId="77777777" w:rsidTr="00103D6C">
        <w:trPr>
          <w:trHeight w:val="1125"/>
        </w:trPr>
        <w:tc>
          <w:tcPr>
            <w:tcW w:w="3830" w:type="dxa"/>
          </w:tcPr>
          <w:p w14:paraId="6570D202" w14:textId="0070D488" w:rsidR="00735C29" w:rsidRDefault="00735C29" w:rsidP="00EF5748">
            <w:pPr>
              <w:pStyle w:val="ListBullet2"/>
              <w:keepNext/>
              <w:keepLines/>
              <w:numPr>
                <w:ilvl w:val="0"/>
                <w:numId w:val="0"/>
              </w:numPr>
              <w:spacing w:before="120" w:after="120" w:line="240" w:lineRule="auto"/>
            </w:pPr>
            <w:r>
              <w:t xml:space="preserve">A device that is neither a </w:t>
            </w:r>
            <w:r w:rsidR="00EF5748">
              <w:t>medium-risk</w:t>
            </w:r>
            <w:r>
              <w:t xml:space="preserve"> device or a </w:t>
            </w:r>
            <w:r w:rsidR="00EF5748">
              <w:t>high-risk</w:t>
            </w:r>
            <w:r>
              <w:t xml:space="preserve"> device (includes a battery-powered device)</w:t>
            </w:r>
          </w:p>
        </w:tc>
        <w:tc>
          <w:tcPr>
            <w:tcW w:w="3831" w:type="dxa"/>
          </w:tcPr>
          <w:p w14:paraId="343589BE" w14:textId="04E4E96D" w:rsidR="00735C29" w:rsidRDefault="00735C29" w:rsidP="00EF5748">
            <w:pPr>
              <w:pStyle w:val="ListBullet2"/>
              <w:keepNext/>
              <w:keepLines/>
              <w:numPr>
                <w:ilvl w:val="0"/>
                <w:numId w:val="0"/>
              </w:numPr>
              <w:spacing w:before="120" w:after="120" w:line="240" w:lineRule="auto"/>
            </w:pPr>
            <w:r>
              <w:t>Product which is not a product which level of conformity 2 or level of conformity 3 applies</w:t>
            </w:r>
            <w:r w:rsidR="009024F3">
              <w:t>.</w:t>
            </w:r>
          </w:p>
          <w:p w14:paraId="04F210E6" w14:textId="77777777" w:rsidR="00735C29" w:rsidRDefault="00735C29" w:rsidP="00EF5748">
            <w:pPr>
              <w:pStyle w:val="Paragraphbeforelist"/>
              <w:keepNext/>
              <w:keepLines/>
            </w:pPr>
            <w:r>
              <w:t>Products include those that are, or only incorporate:</w:t>
            </w:r>
          </w:p>
          <w:p w14:paraId="557EF6FC" w14:textId="448CD84C" w:rsidR="00735C29" w:rsidRDefault="009024F3" w:rsidP="00EF5748">
            <w:pPr>
              <w:pStyle w:val="Bulletlevel1"/>
              <w:keepNext/>
              <w:keepLines/>
            </w:pPr>
            <w:proofErr w:type="gramStart"/>
            <w:r>
              <w:t>m</w:t>
            </w:r>
            <w:r w:rsidR="00735C29">
              <w:t>anually</w:t>
            </w:r>
            <w:r>
              <w:t>-</w:t>
            </w:r>
            <w:r w:rsidR="00735C29">
              <w:t>operated</w:t>
            </w:r>
            <w:proofErr w:type="gramEnd"/>
            <w:r w:rsidR="00735C29">
              <w:t xml:space="preserve"> switches or simple relays</w:t>
            </w:r>
          </w:p>
          <w:p w14:paraId="02D5FA91" w14:textId="6A52A3EA" w:rsidR="00735C29" w:rsidRDefault="009024F3" w:rsidP="00EF5748">
            <w:pPr>
              <w:pStyle w:val="Bulletlevel1"/>
              <w:keepNext/>
              <w:keepLines/>
            </w:pPr>
            <w:r>
              <w:t>b</w:t>
            </w:r>
            <w:r w:rsidR="00735C29">
              <w:t>rushless squirrel cage induction motors</w:t>
            </w:r>
          </w:p>
          <w:p w14:paraId="65FA380F" w14:textId="7F672CB5" w:rsidR="00735C29" w:rsidRDefault="009024F3" w:rsidP="00EF5748">
            <w:pPr>
              <w:pStyle w:val="Bulletlevel1"/>
              <w:keepNext/>
              <w:keepLines/>
            </w:pPr>
            <w:r>
              <w:t>w</w:t>
            </w:r>
            <w:r w:rsidR="00735C29">
              <w:t>ire-wound, mains frequency transformers</w:t>
            </w:r>
          </w:p>
          <w:p w14:paraId="4B4577CF" w14:textId="342B20C1" w:rsidR="00735C29" w:rsidRDefault="009024F3" w:rsidP="00EF5748">
            <w:pPr>
              <w:pStyle w:val="Bulletlevel1"/>
              <w:keepNext/>
              <w:keepLines/>
            </w:pPr>
            <w:r>
              <w:t>r</w:t>
            </w:r>
            <w:r w:rsidR="00735C29">
              <w:t>ectifier diodes</w:t>
            </w:r>
          </w:p>
          <w:p w14:paraId="4312214E" w14:textId="75944F79" w:rsidR="00735C29" w:rsidRDefault="009024F3" w:rsidP="00EF5748">
            <w:pPr>
              <w:pStyle w:val="Bulletlevel1"/>
              <w:keepNext/>
              <w:keepLines/>
            </w:pPr>
            <w:r>
              <w:t>r</w:t>
            </w:r>
            <w:r w:rsidR="00735C29">
              <w:t>esistive heating elements</w:t>
            </w:r>
            <w:r>
              <w:t>.</w:t>
            </w:r>
          </w:p>
        </w:tc>
      </w:tr>
    </w:tbl>
    <w:p w14:paraId="131E5793" w14:textId="77777777" w:rsidR="00FF3C69" w:rsidRPr="00F91593" w:rsidRDefault="00FF3C69" w:rsidP="00103D6C">
      <w:pPr>
        <w:keepNext/>
        <w:keepLines/>
        <w:rPr>
          <w:b/>
        </w:rPr>
      </w:pPr>
    </w:p>
    <w:sectPr w:rsidR="00FF3C69" w:rsidRPr="00F91593" w:rsidSect="00C77380">
      <w:headerReference w:type="even" r:id="rId34"/>
      <w:headerReference w:type="default" r:id="rId35"/>
      <w:footerReference w:type="even" r:id="rId36"/>
      <w:footerReference w:type="default" r:id="rId37"/>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99B6" w14:textId="77777777" w:rsidR="00CD57A0" w:rsidRDefault="00CD57A0">
      <w:r>
        <w:separator/>
      </w:r>
    </w:p>
  </w:endnote>
  <w:endnote w:type="continuationSeparator" w:id="0">
    <w:p w14:paraId="591180D9" w14:textId="77777777" w:rsidR="00CD57A0" w:rsidRDefault="00CD57A0">
      <w:r>
        <w:continuationSeparator/>
      </w:r>
    </w:p>
  </w:endnote>
  <w:endnote w:type="continuationNotice" w:id="1">
    <w:p w14:paraId="151D4CC2" w14:textId="77777777" w:rsidR="00CD57A0" w:rsidRDefault="00CD5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E693" w14:textId="77777777" w:rsidR="005E250B" w:rsidRDefault="005E250B" w:rsidP="005E250B">
    <w:pPr>
      <w:pStyle w:val="Footer"/>
      <w:jc w:val="right"/>
    </w:pPr>
    <w:r w:rsidRPr="005E250B">
      <w:rPr>
        <w:noProof/>
        <w:vertAlign w:val="subscript"/>
      </w:rPr>
      <w:drawing>
        <wp:inline distT="0" distB="0" distL="0" distR="0" wp14:anchorId="391BBFDE" wp14:editId="789C6829">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BC68"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3C56"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0852"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68850183"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B40B"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3650F25F"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ACAF"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68F7A61D"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BE9E"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57981D9"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9B63"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17DC06FA"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2EC9" w14:textId="77777777" w:rsidR="00CD57A0" w:rsidRDefault="00CD57A0" w:rsidP="00EA0969">
      <w:pPr>
        <w:spacing w:after="0"/>
      </w:pPr>
      <w:r>
        <w:separator/>
      </w:r>
    </w:p>
  </w:footnote>
  <w:footnote w:type="continuationSeparator" w:id="0">
    <w:p w14:paraId="6843FEAC" w14:textId="77777777" w:rsidR="00CD57A0" w:rsidRDefault="00CD57A0">
      <w:r>
        <w:continuationSeparator/>
      </w:r>
    </w:p>
  </w:footnote>
  <w:footnote w:type="continuationNotice" w:id="1">
    <w:p w14:paraId="4625CBB0" w14:textId="77777777" w:rsidR="00CD57A0" w:rsidRDefault="00CD57A0">
      <w:pPr>
        <w:spacing w:after="0" w:line="240" w:lineRule="auto"/>
      </w:pPr>
    </w:p>
  </w:footnote>
  <w:footnote w:id="2">
    <w:p w14:paraId="041B70C0" w14:textId="31A24010" w:rsidR="00E96BE2" w:rsidRDefault="00E96BE2" w:rsidP="00E96BE2">
      <w:pPr>
        <w:pStyle w:val="FootnoteText"/>
      </w:pPr>
      <w:r>
        <w:rPr>
          <w:rStyle w:val="FootnoteReference"/>
        </w:rPr>
        <w:footnoteRef/>
      </w:r>
      <w:r>
        <w:t xml:space="preserve"> Section 9 of the EMC standard and section 2.2 of the EMC labelling notice</w:t>
      </w:r>
      <w:r w:rsidR="00D645B9">
        <w:t>.</w:t>
      </w:r>
    </w:p>
  </w:footnote>
  <w:footnote w:id="3">
    <w:p w14:paraId="4A4827D9" w14:textId="5E4A1884" w:rsidR="00E96BE2" w:rsidRDefault="00E96BE2" w:rsidP="00E96BE2">
      <w:pPr>
        <w:pStyle w:val="FootnoteText"/>
      </w:pPr>
      <w:r>
        <w:rPr>
          <w:rStyle w:val="FootnoteReference"/>
        </w:rPr>
        <w:footnoteRef/>
      </w:r>
      <w:r>
        <w:t xml:space="preserve"> Section 2.3 of the EMC labelling notice</w:t>
      </w:r>
      <w:r w:rsidR="00D645B9">
        <w:t>.</w:t>
      </w:r>
    </w:p>
  </w:footnote>
  <w:footnote w:id="4">
    <w:p w14:paraId="02A62A87" w14:textId="5D953A42" w:rsidR="00213C05" w:rsidRDefault="00213C05">
      <w:pPr>
        <w:pStyle w:val="FootnoteText"/>
      </w:pPr>
      <w:r>
        <w:rPr>
          <w:rStyle w:val="FootnoteReference"/>
        </w:rPr>
        <w:footnoteRef/>
      </w:r>
      <w:r>
        <w:t xml:space="preserve"> Section 9 of the EMC standard</w:t>
      </w:r>
      <w:r w:rsidR="00D645B9">
        <w:t>.</w:t>
      </w:r>
    </w:p>
  </w:footnote>
  <w:footnote w:id="5">
    <w:p w14:paraId="2701F8F8" w14:textId="4DEF557D" w:rsidR="00951178" w:rsidRDefault="00951178">
      <w:pPr>
        <w:pStyle w:val="FootnoteText"/>
      </w:pPr>
      <w:r>
        <w:rPr>
          <w:rStyle w:val="FootnoteReference"/>
        </w:rPr>
        <w:footnoteRef/>
      </w:r>
      <w:r>
        <w:t xml:space="preserve"> Section 8 of the EMC standard</w:t>
      </w:r>
      <w:r w:rsidR="00973988">
        <w:t>.</w:t>
      </w:r>
    </w:p>
  </w:footnote>
  <w:footnote w:id="6">
    <w:p w14:paraId="2F103E6B" w14:textId="3AFC5BD9" w:rsidR="00D07EBE" w:rsidRDefault="00D07EBE">
      <w:pPr>
        <w:pStyle w:val="FootnoteText"/>
      </w:pPr>
      <w:r>
        <w:rPr>
          <w:rStyle w:val="FootnoteReference"/>
        </w:rPr>
        <w:footnoteRef/>
      </w:r>
      <w:r>
        <w:t xml:space="preserve"> Section 2.1 of the EMC labelling notice</w:t>
      </w:r>
      <w:r w:rsidR="00973988">
        <w:t>.</w:t>
      </w:r>
    </w:p>
  </w:footnote>
  <w:footnote w:id="7">
    <w:p w14:paraId="0BF5EDA6" w14:textId="5071BEFB" w:rsidR="00283D44" w:rsidRDefault="00283D44">
      <w:pPr>
        <w:pStyle w:val="FootnoteText"/>
      </w:pPr>
      <w:r>
        <w:rPr>
          <w:rStyle w:val="FootnoteReference"/>
        </w:rPr>
        <w:footnoteRef/>
      </w:r>
      <w:r>
        <w:t xml:space="preserve"> </w:t>
      </w:r>
      <w:r>
        <w:rPr>
          <w:szCs w:val="24"/>
        </w:rPr>
        <w:t>Subsection 1.5(1) of the EMC labelling notice</w:t>
      </w:r>
      <w:r w:rsidR="00973988">
        <w:rPr>
          <w:szCs w:val="24"/>
        </w:rPr>
        <w:t>.</w:t>
      </w:r>
    </w:p>
  </w:footnote>
  <w:footnote w:id="8">
    <w:p w14:paraId="79AB2E2D" w14:textId="632933EE" w:rsidR="00283D44" w:rsidRDefault="00283D44">
      <w:pPr>
        <w:pStyle w:val="FootnoteText"/>
      </w:pPr>
      <w:r>
        <w:rPr>
          <w:rStyle w:val="FootnoteReference"/>
        </w:rPr>
        <w:footnoteRef/>
      </w:r>
      <w:r>
        <w:t xml:space="preserve"> </w:t>
      </w:r>
      <w:r w:rsidR="0004031B">
        <w:t xml:space="preserve">‘Battery-powered device’ is defined in subsection 1.5(1) of the EMC labelling notice. </w:t>
      </w:r>
      <w:r w:rsidR="006523AF">
        <w:t xml:space="preserve">Subsection 1.8(2) of the EMC labelling </w:t>
      </w:r>
      <w:r w:rsidR="0004031B">
        <w:t xml:space="preserve">notice </w:t>
      </w:r>
      <w:r w:rsidR="006523AF">
        <w:t xml:space="preserve">sets out that a ‘battery-powered device’ is not a </w:t>
      </w:r>
      <w:r w:rsidR="00EF5748">
        <w:t>medium-risk</w:t>
      </w:r>
      <w:r w:rsidR="006523AF">
        <w:t xml:space="preserve"> device unless the ACMA has declared the device to be a </w:t>
      </w:r>
      <w:r w:rsidR="00EF5748">
        <w:t>medium-risk</w:t>
      </w:r>
      <w:r w:rsidR="006523AF">
        <w:t xml:space="preserve"> device under subsection (3). The ACMA has not made any declarations under subsection 1.8(3) of the EMC labelling notice.</w:t>
      </w:r>
    </w:p>
  </w:footnote>
  <w:footnote w:id="9">
    <w:p w14:paraId="18261B8E" w14:textId="1832D9CE" w:rsidR="00283D44" w:rsidRDefault="00283D44">
      <w:pPr>
        <w:pStyle w:val="FootnoteText"/>
      </w:pPr>
      <w:r>
        <w:rPr>
          <w:rStyle w:val="FootnoteReference"/>
        </w:rPr>
        <w:footnoteRef/>
      </w:r>
      <w:r>
        <w:t xml:space="preserve"> Section 1.8 of the EMC labelling notice</w:t>
      </w:r>
      <w:r w:rsidR="00A234DE">
        <w:t>.</w:t>
      </w:r>
    </w:p>
  </w:footnote>
  <w:footnote w:id="10">
    <w:p w14:paraId="40BCED41" w14:textId="7D100D14" w:rsidR="00283D44" w:rsidRDefault="00283D44">
      <w:pPr>
        <w:pStyle w:val="FootnoteText"/>
      </w:pPr>
      <w:r>
        <w:rPr>
          <w:rStyle w:val="FootnoteReference"/>
        </w:rPr>
        <w:footnoteRef/>
      </w:r>
      <w:r>
        <w:t xml:space="preserve"> </w:t>
      </w:r>
      <w:r w:rsidR="00EE0D84">
        <w:rPr>
          <w:szCs w:val="24"/>
        </w:rPr>
        <w:t>Subsection 1.5(1) of the EMC labelling notice</w:t>
      </w:r>
      <w:r w:rsidR="00A234DE">
        <w:rPr>
          <w:szCs w:val="24"/>
        </w:rPr>
        <w:t>.</w:t>
      </w:r>
    </w:p>
  </w:footnote>
  <w:footnote w:id="11">
    <w:p w14:paraId="1057EBE8" w14:textId="33E9B44F" w:rsidR="007B612E" w:rsidRDefault="007B612E" w:rsidP="007B612E">
      <w:pPr>
        <w:pStyle w:val="FootnoteText"/>
      </w:pPr>
      <w:r>
        <w:rPr>
          <w:rStyle w:val="FootnoteReference"/>
        </w:rPr>
        <w:footnoteRef/>
      </w:r>
      <w:r>
        <w:t xml:space="preserve"> </w:t>
      </w:r>
      <w:r>
        <w:rPr>
          <w:szCs w:val="24"/>
        </w:rPr>
        <w:t xml:space="preserve">Section 4.4 of the EMC labelling notice sets out that a </w:t>
      </w:r>
      <w:r w:rsidR="00EF5748">
        <w:rPr>
          <w:szCs w:val="24"/>
        </w:rPr>
        <w:t>low-risk</w:t>
      </w:r>
      <w:r>
        <w:rPr>
          <w:szCs w:val="24"/>
        </w:rPr>
        <w:t xml:space="preserve"> device is EMC compliance level 1.</w:t>
      </w:r>
    </w:p>
  </w:footnote>
  <w:footnote w:id="12">
    <w:p w14:paraId="32AB97A9" w14:textId="2953E8DA" w:rsidR="00CC3437" w:rsidRDefault="00CC3437">
      <w:pPr>
        <w:pStyle w:val="FootnoteText"/>
      </w:pPr>
      <w:r>
        <w:rPr>
          <w:rStyle w:val="FootnoteReference"/>
        </w:rPr>
        <w:footnoteRef/>
      </w:r>
      <w:r>
        <w:t xml:space="preserve"> Sections 3.1 and 3.2 of the EMC labelling notice</w:t>
      </w:r>
      <w:r w:rsidR="00A234DE">
        <w:t>.</w:t>
      </w:r>
    </w:p>
  </w:footnote>
  <w:footnote w:id="13">
    <w:p w14:paraId="5A11C1A6" w14:textId="03BD6A39" w:rsidR="007B612E" w:rsidRDefault="007B612E">
      <w:pPr>
        <w:pStyle w:val="FootnoteText"/>
      </w:pPr>
      <w:r>
        <w:rPr>
          <w:rStyle w:val="FootnoteReference"/>
        </w:rPr>
        <w:footnoteRef/>
      </w:r>
      <w:r>
        <w:t xml:space="preserve"> </w:t>
      </w:r>
      <w:r w:rsidR="00283D44">
        <w:t>Section</w:t>
      </w:r>
      <w:r>
        <w:t xml:space="preserve"> 4.5 of the EMC labelling notice sets out that a </w:t>
      </w:r>
      <w:r w:rsidR="00EF5748">
        <w:t>medium-risk</w:t>
      </w:r>
      <w:r>
        <w:t xml:space="preserve"> device is EMC compliance level 2.</w:t>
      </w:r>
    </w:p>
  </w:footnote>
  <w:footnote w:id="14">
    <w:p w14:paraId="7935BA22" w14:textId="0544E966" w:rsidR="007B612E" w:rsidRDefault="007B612E">
      <w:pPr>
        <w:pStyle w:val="FootnoteText"/>
      </w:pPr>
      <w:r>
        <w:rPr>
          <w:rStyle w:val="FootnoteReference"/>
        </w:rPr>
        <w:footnoteRef/>
      </w:r>
      <w:r>
        <w:t xml:space="preserve"> Section 4.6 of the EMC labelling notice sets out that a high risk device is EMC compliance level 3.</w:t>
      </w:r>
    </w:p>
  </w:footnote>
  <w:footnote w:id="15">
    <w:p w14:paraId="448C4371" w14:textId="77777777" w:rsidR="00A51DA3" w:rsidRDefault="00A51DA3" w:rsidP="00A51DA3">
      <w:pPr>
        <w:pStyle w:val="FootnoteText"/>
      </w:pPr>
      <w:r>
        <w:rPr>
          <w:rStyle w:val="FootnoteReference"/>
        </w:rPr>
        <w:footnoteRef/>
      </w:r>
      <w:r>
        <w:t xml:space="preserve"> A harmonised standard is a European standard commissioned by the European Commission and developed by a recognised European Standards Organisation such as the European Committee for Standardization (CEN), the European Committee for Electrotechnical Standardization (CENELEC) or the European Telecommunications Standards Institute (ETSI). A harmonised standard must be published in the Official Journal of the European Union (OJEU).</w:t>
      </w:r>
    </w:p>
  </w:footnote>
  <w:footnote w:id="16">
    <w:p w14:paraId="54041CD1" w14:textId="77777777" w:rsidR="00A51DA3" w:rsidRDefault="00A51DA3" w:rsidP="00A51DA3">
      <w:pPr>
        <w:pStyle w:val="FootnoteText"/>
      </w:pPr>
      <w:r>
        <w:rPr>
          <w:rStyle w:val="FootnoteReference"/>
        </w:rPr>
        <w:footnoteRef/>
      </w:r>
      <w:r>
        <w:t xml:space="preserve"> A summary list of EMC harmonised standards under Directive 2014/30/EU can be found on the European Commission webpage: </w:t>
      </w:r>
      <w:hyperlink r:id="rId1" w:history="1">
        <w:r w:rsidRPr="00F77D8D">
          <w:rPr>
            <w:rStyle w:val="Hyperlink"/>
          </w:rPr>
          <w:t>https://ec.europa.eu/docsroom/documents/51315</w:t>
        </w:r>
      </w:hyperlink>
      <w:r>
        <w:t xml:space="preserve"> </w:t>
      </w:r>
    </w:p>
  </w:footnote>
  <w:footnote w:id="17">
    <w:p w14:paraId="3CD264CE" w14:textId="5B52408E" w:rsidR="00A51DA3" w:rsidRDefault="00A51DA3" w:rsidP="00A51DA3">
      <w:pPr>
        <w:pStyle w:val="FootnoteText"/>
      </w:pPr>
      <w:r>
        <w:rPr>
          <w:rStyle w:val="FootnoteReference"/>
        </w:rPr>
        <w:footnoteRef/>
      </w:r>
      <w:r>
        <w:t xml:space="preserve"> Subsection 8(1) of the EMC standard</w:t>
      </w:r>
      <w:r w:rsidR="000960C9">
        <w:t>.</w:t>
      </w:r>
      <w:r>
        <w:t xml:space="preserve"> </w:t>
      </w:r>
    </w:p>
  </w:footnote>
  <w:footnote w:id="18">
    <w:p w14:paraId="2B15763A" w14:textId="525E43C8" w:rsidR="00830A37" w:rsidRDefault="00830A37">
      <w:pPr>
        <w:pStyle w:val="FootnoteText"/>
      </w:pPr>
      <w:r>
        <w:rPr>
          <w:rStyle w:val="FootnoteReference"/>
        </w:rPr>
        <w:footnoteRef/>
      </w:r>
      <w:r>
        <w:t xml:space="preserve"> Davis, Tony (24 February 2023), ‘</w:t>
      </w:r>
      <w:hyperlink r:id="rId2" w:history="1">
        <w:r w:rsidRPr="00400FD7">
          <w:rPr>
            <w:rStyle w:val="Hyperlink"/>
          </w:rPr>
          <w:t>Eight big changes coming to EVs</w:t>
        </w:r>
      </w:hyperlink>
      <w:r>
        <w:t xml:space="preserve">’, </w:t>
      </w:r>
      <w:r w:rsidRPr="00881231">
        <w:rPr>
          <w:i/>
          <w:iCs/>
        </w:rPr>
        <w:t>Financial Review</w:t>
      </w:r>
      <w:r w:rsidR="00EC5195" w:rsidRPr="00103D6C">
        <w:t>,</w:t>
      </w:r>
      <w:r>
        <w:t xml:space="preserve"> accessed online 23 August 2023.</w:t>
      </w:r>
    </w:p>
  </w:footnote>
  <w:footnote w:id="19">
    <w:p w14:paraId="75DB1C83" w14:textId="74EFA233" w:rsidR="008A0B15" w:rsidRDefault="008A0B15">
      <w:pPr>
        <w:pStyle w:val="FootnoteText"/>
      </w:pPr>
      <w:r>
        <w:rPr>
          <w:rStyle w:val="FootnoteReference"/>
        </w:rPr>
        <w:footnoteRef/>
      </w:r>
      <w:r>
        <w:t xml:space="preserve"> </w:t>
      </w:r>
      <w:hyperlink r:id="rId3" w:history="1">
        <w:r w:rsidRPr="008A0B15">
          <w:rPr>
            <w:rStyle w:val="Hyperlink"/>
          </w:rPr>
          <w:t>Consolidated Resolution on the Construction of Vehicles (R.E.3) Revision 7</w:t>
        </w:r>
      </w:hyperlink>
      <w:r w:rsidR="00EC5195" w:rsidRPr="00103D6C">
        <w:rPr>
          <w:rStyle w:val="Hyperlink"/>
          <w:color w:val="auto"/>
          <w:u w:val="none"/>
        </w:rPr>
        <w:t>.</w:t>
      </w:r>
    </w:p>
  </w:footnote>
  <w:footnote w:id="20">
    <w:p w14:paraId="7B06D1FD" w14:textId="4B049A93" w:rsidR="008A0B15" w:rsidRDefault="008A0B15">
      <w:pPr>
        <w:pStyle w:val="FootnoteText"/>
      </w:pPr>
      <w:r>
        <w:rPr>
          <w:rStyle w:val="FootnoteReference"/>
        </w:rPr>
        <w:footnoteRef/>
      </w:r>
      <w:r>
        <w:t xml:space="preserve"> Ibid.</w:t>
      </w:r>
    </w:p>
  </w:footnote>
  <w:footnote w:id="21">
    <w:p w14:paraId="00983B9F" w14:textId="1244A11A" w:rsidR="008A0B15" w:rsidRDefault="008A0B15">
      <w:pPr>
        <w:pStyle w:val="FootnoteText"/>
      </w:pPr>
      <w:r>
        <w:rPr>
          <w:rStyle w:val="FootnoteReference"/>
        </w:rPr>
        <w:footnoteRef/>
      </w:r>
      <w:r>
        <w:t xml:space="preserve"> Ibid.</w:t>
      </w:r>
    </w:p>
  </w:footnote>
  <w:footnote w:id="22">
    <w:p w14:paraId="48C25044" w14:textId="3FBAA3A1" w:rsidR="0090177E" w:rsidRDefault="0090177E">
      <w:pPr>
        <w:pStyle w:val="FootnoteText"/>
      </w:pPr>
      <w:r>
        <w:rPr>
          <w:rStyle w:val="FootnoteReference"/>
        </w:rPr>
        <w:footnoteRef/>
      </w:r>
      <w:r>
        <w:t xml:space="preserve"> </w:t>
      </w:r>
      <w:hyperlink r:id="rId4" w:history="1">
        <w:r w:rsidRPr="00016C49">
          <w:rPr>
            <w:rStyle w:val="Hyperlink"/>
          </w:rPr>
          <w:t>https://www.fcai.com.au/news/codes-of-practice/view/publication/116</w:t>
        </w:r>
      </w:hyperlink>
      <w:r w:rsidR="00EC5195">
        <w:t>.</w:t>
      </w:r>
    </w:p>
  </w:footnote>
  <w:footnote w:id="23">
    <w:p w14:paraId="1F4EE74A" w14:textId="0A479F90" w:rsidR="00285B39" w:rsidRDefault="00285B39">
      <w:pPr>
        <w:pStyle w:val="FootnoteText"/>
      </w:pPr>
      <w:r>
        <w:rPr>
          <w:rStyle w:val="FootnoteReference"/>
        </w:rPr>
        <w:footnoteRef/>
      </w:r>
      <w:r>
        <w:t xml:space="preserve"> </w:t>
      </w:r>
      <w:r w:rsidR="00F9705E">
        <w:t>Section 9 of the EMC standard and section 2.2 of the EMC labelling notice</w:t>
      </w:r>
      <w:r w:rsidR="00EC5195">
        <w:t>.</w:t>
      </w:r>
    </w:p>
  </w:footnote>
  <w:footnote w:id="24">
    <w:p w14:paraId="6D8FA5E2" w14:textId="76242C74" w:rsidR="00911959" w:rsidRDefault="00911959">
      <w:pPr>
        <w:pStyle w:val="FootnoteText"/>
      </w:pPr>
      <w:r>
        <w:rPr>
          <w:rStyle w:val="FootnoteReference"/>
        </w:rPr>
        <w:footnoteRef/>
      </w:r>
      <w:r>
        <w:t xml:space="preserve"> </w:t>
      </w:r>
      <w:r w:rsidRPr="00911959">
        <w:rPr>
          <w:i/>
          <w:iCs/>
        </w:rPr>
        <w:t>CISPR 12 Vehicles, boats and internal combustion engines</w:t>
      </w:r>
      <w:r w:rsidR="00EC5195">
        <w:rPr>
          <w:i/>
          <w:iCs/>
        </w:rPr>
        <w:t xml:space="preserve">: </w:t>
      </w:r>
      <w:r w:rsidRPr="00911959">
        <w:rPr>
          <w:i/>
          <w:iCs/>
        </w:rPr>
        <w:t>Radio disturbance characteristics – Limits and methods of measurement for the protection of off-board receivers</w:t>
      </w:r>
      <w:r w:rsidR="00EC5195">
        <w:rPr>
          <w:i/>
          <w:iCs/>
        </w:rPr>
        <w:t>.</w:t>
      </w:r>
    </w:p>
  </w:footnote>
  <w:footnote w:id="25">
    <w:p w14:paraId="729E6DDD" w14:textId="09F7B852" w:rsidR="002535C5" w:rsidRDefault="002535C5" w:rsidP="002535C5">
      <w:pPr>
        <w:pStyle w:val="FootnoteText"/>
      </w:pPr>
      <w:r>
        <w:rPr>
          <w:rStyle w:val="FootnoteReference"/>
        </w:rPr>
        <w:footnoteRef/>
      </w:r>
      <w:r>
        <w:t xml:space="preserve"> CISPR 12 does not cover immunity but UN ECE R10 does.</w:t>
      </w:r>
    </w:p>
  </w:footnote>
  <w:footnote w:id="26">
    <w:p w14:paraId="73DAF25E" w14:textId="77777777" w:rsidR="0071332A" w:rsidRDefault="0071332A" w:rsidP="0071332A">
      <w:pPr>
        <w:pStyle w:val="FootnoteText"/>
      </w:pPr>
      <w:r>
        <w:rPr>
          <w:rStyle w:val="FootnoteReference"/>
        </w:rPr>
        <w:footnoteRef/>
      </w:r>
      <w:r>
        <w:t xml:space="preserve"> </w:t>
      </w:r>
      <w:hyperlink r:id="rId5" w:history="1">
        <w:r>
          <w:rPr>
            <w:rStyle w:val="Hyperlink"/>
          </w:rPr>
          <w:t>Addenda to the 1958 Agreement (Regulations 0-20) | UNECE</w:t>
        </w:r>
      </w:hyperlink>
    </w:p>
  </w:footnote>
  <w:footnote w:id="27">
    <w:p w14:paraId="40CCFF00" w14:textId="6055F04C" w:rsidR="00B1714F" w:rsidRDefault="00B1714F">
      <w:pPr>
        <w:pStyle w:val="FootnoteText"/>
      </w:pPr>
      <w:r>
        <w:rPr>
          <w:rStyle w:val="FootnoteReference"/>
        </w:rPr>
        <w:footnoteRef/>
      </w:r>
      <w:r>
        <w:t xml:space="preserve"> The applicable standards are UNE ECE R10, CISPR 12, AS/NZS CISPR 12, EN 55012.</w:t>
      </w:r>
    </w:p>
  </w:footnote>
  <w:footnote w:id="28">
    <w:p w14:paraId="79727CCD" w14:textId="64CA5D97" w:rsidR="00911959" w:rsidRDefault="00911959">
      <w:pPr>
        <w:pStyle w:val="FootnoteText"/>
      </w:pPr>
      <w:r>
        <w:rPr>
          <w:rStyle w:val="FootnoteReference"/>
        </w:rPr>
        <w:footnoteRef/>
      </w:r>
      <w:r>
        <w:t xml:space="preserve"> </w:t>
      </w:r>
      <w:r w:rsidRPr="00911959">
        <w:rPr>
          <w:i/>
          <w:iCs/>
        </w:rPr>
        <w:t>AS/NZS CISPR 12 Vehicles, boats and internal combustion engines</w:t>
      </w:r>
      <w:r w:rsidR="00CE382B">
        <w:rPr>
          <w:i/>
          <w:iCs/>
        </w:rPr>
        <w:t>:</w:t>
      </w:r>
      <w:r w:rsidRPr="00911959">
        <w:rPr>
          <w:i/>
          <w:iCs/>
        </w:rPr>
        <w:t xml:space="preserve"> Radio disturbance characteristics – Limits and methods of measurement for the protection of off-board receivers</w:t>
      </w:r>
      <w:r w:rsidR="00CE382B">
        <w:rPr>
          <w:i/>
          <w:iCs/>
        </w:rPr>
        <w:t>.</w:t>
      </w:r>
    </w:p>
  </w:footnote>
  <w:footnote w:id="29">
    <w:p w14:paraId="2AAD13C7" w14:textId="1491E8C5" w:rsidR="00911959" w:rsidRDefault="00911959">
      <w:pPr>
        <w:pStyle w:val="FootnoteText"/>
      </w:pPr>
      <w:r>
        <w:rPr>
          <w:rStyle w:val="FootnoteReference"/>
        </w:rPr>
        <w:footnoteRef/>
      </w:r>
      <w:r>
        <w:t xml:space="preserve"> </w:t>
      </w:r>
      <w:r w:rsidRPr="00911959">
        <w:rPr>
          <w:i/>
          <w:iCs/>
        </w:rPr>
        <w:t>EN 55012 Vehicles, Boats and internal combustion engines – Radio disturbance characteristic – Limits and methods of measurement for the protection of off-board receivers</w:t>
      </w:r>
      <w:r w:rsidR="00CE382B">
        <w:rPr>
          <w:i/>
          <w:iCs/>
        </w:rPr>
        <w:t>.</w:t>
      </w:r>
    </w:p>
  </w:footnote>
  <w:footnote w:id="30">
    <w:p w14:paraId="345F98F7" w14:textId="4E465D44" w:rsidR="00D3402B" w:rsidRDefault="00D3402B">
      <w:pPr>
        <w:pStyle w:val="FootnoteText"/>
      </w:pPr>
      <w:r w:rsidRPr="00675E29">
        <w:rPr>
          <w:rStyle w:val="FootnoteReference"/>
        </w:rPr>
        <w:footnoteRef/>
      </w:r>
      <w:r w:rsidRPr="00675E29">
        <w:t xml:space="preserve"> CISPR 12</w:t>
      </w:r>
      <w:r w:rsidR="00171454" w:rsidRPr="00675E29">
        <w:t xml:space="preserve">, </w:t>
      </w:r>
      <w:r w:rsidRPr="00675E29">
        <w:t xml:space="preserve">AS/NZS CISPR 12 </w:t>
      </w:r>
      <w:r w:rsidR="00171454" w:rsidRPr="00675E29">
        <w:t>and</w:t>
      </w:r>
      <w:r w:rsidRPr="00675E29">
        <w:t xml:space="preserve"> EN55012</w:t>
      </w:r>
      <w:r w:rsidR="00171454" w:rsidRPr="00675E29">
        <w:t xml:space="preserve"> </w:t>
      </w:r>
      <w:r w:rsidRPr="00675E29">
        <w:t>do not contain immunity requirements</w:t>
      </w:r>
      <w:r>
        <w:t>.</w:t>
      </w:r>
    </w:p>
  </w:footnote>
  <w:footnote w:id="31">
    <w:p w14:paraId="003893AC" w14:textId="4D84A30E" w:rsidR="00E421B3" w:rsidRDefault="00E421B3">
      <w:pPr>
        <w:pStyle w:val="FootnoteText"/>
      </w:pPr>
      <w:r>
        <w:rPr>
          <w:rStyle w:val="FootnoteReference"/>
        </w:rPr>
        <w:footnoteRef/>
      </w:r>
      <w:r>
        <w:t xml:space="preserve"> </w:t>
      </w:r>
      <w:hyperlink r:id="rId6" w:history="1">
        <w:r w:rsidR="00ED08DB" w:rsidRPr="00CE382B">
          <w:rPr>
            <w:rStyle w:val="Hyperlink"/>
          </w:rPr>
          <w:t>TIC Code of Practice for EMC of heavy vehicles</w:t>
        </w:r>
      </w:hyperlink>
      <w:r w:rsidR="00ED08DB">
        <w:t xml:space="preserve">; </w:t>
      </w:r>
      <w:hyperlink r:id="rId7" w:history="1">
        <w:r w:rsidR="00ED08DB" w:rsidRPr="00CE382B">
          <w:rPr>
            <w:rStyle w:val="Hyperlink"/>
          </w:rPr>
          <w:t>CMEIG</w:t>
        </w:r>
        <w:r w:rsidR="00D70738" w:rsidRPr="00CE382B">
          <w:rPr>
            <w:rStyle w:val="Hyperlink"/>
          </w:rPr>
          <w:t xml:space="preserve"> and TMA</w:t>
        </w:r>
        <w:r w:rsidR="00ED08DB" w:rsidRPr="00CE382B">
          <w:rPr>
            <w:rStyle w:val="Hyperlink"/>
          </w:rPr>
          <w:t xml:space="preserve"> Code of Practice for EMC of machinery</w:t>
        </w:r>
      </w:hyperlink>
      <w:r w:rsidR="00CE382B">
        <w:rPr>
          <w:rStyle w:val="Hyperlink"/>
        </w:rPr>
        <w:t>.</w:t>
      </w:r>
      <w:r w:rsidR="00ED08DB">
        <w:t xml:space="preserve">   </w:t>
      </w:r>
    </w:p>
  </w:footnote>
  <w:footnote w:id="32">
    <w:p w14:paraId="11BB966F" w14:textId="0D8C8034" w:rsidR="002971CE" w:rsidRDefault="002971CE" w:rsidP="002971CE">
      <w:pPr>
        <w:pStyle w:val="FootnoteText"/>
      </w:pPr>
      <w:r>
        <w:rPr>
          <w:rStyle w:val="FootnoteReference"/>
        </w:rPr>
        <w:footnoteRef/>
      </w:r>
      <w:r>
        <w:t xml:space="preserve"> We note that Canada and the </w:t>
      </w:r>
      <w:r w:rsidR="00762752">
        <w:t>USA</w:t>
      </w:r>
      <w:r>
        <w:t xml:space="preserve"> do not apply UN ECE R10 as they are not parties to </w:t>
      </w:r>
      <w:hyperlink r:id="rId8" w:history="1">
        <w:r w:rsidR="004548CA">
          <w:rPr>
            <w:rStyle w:val="Hyperlink"/>
          </w:rPr>
          <w:t>the 1</w:t>
        </w:r>
        <w:r w:rsidRPr="00A31451">
          <w:rPr>
            <w:rStyle w:val="Hyperlink"/>
          </w:rPr>
          <w:t xml:space="preserve">958 </w:t>
        </w:r>
        <w:r w:rsidR="004548CA">
          <w:rPr>
            <w:rStyle w:val="Hyperlink"/>
          </w:rPr>
          <w:t>a</w:t>
        </w:r>
        <w:r w:rsidRPr="00A31451">
          <w:rPr>
            <w:rStyle w:val="Hyperlink"/>
          </w:rPr>
          <w:t>greement to h</w:t>
        </w:r>
        <w:r w:rsidR="00A31451" w:rsidRPr="00A31451">
          <w:rPr>
            <w:rStyle w:val="Hyperlink"/>
          </w:rPr>
          <w:t>armonise vehicle regulation</w:t>
        </w:r>
      </w:hyperlink>
      <w:r w:rsidR="00A31451">
        <w:t>.</w:t>
      </w:r>
    </w:p>
  </w:footnote>
  <w:footnote w:id="33">
    <w:p w14:paraId="2899BAFA" w14:textId="01B46869" w:rsidR="000505D2" w:rsidRDefault="000505D2">
      <w:pPr>
        <w:pStyle w:val="FootnoteText"/>
      </w:pPr>
      <w:r>
        <w:rPr>
          <w:rStyle w:val="FootnoteReference"/>
        </w:rPr>
        <w:footnoteRef/>
      </w:r>
      <w:r w:rsidR="00A31451">
        <w:t xml:space="preserve"> Subsection 5(d) of </w:t>
      </w:r>
      <w:hyperlink r:id="rId9" w:history="1">
        <w:r w:rsidR="00A31451" w:rsidRPr="00A31451">
          <w:rPr>
            <w:rStyle w:val="Hyperlink"/>
          </w:rPr>
          <w:t>Radiocommunications (EMC Standards) Notice 2015 (NZ)</w:t>
        </w:r>
      </w:hyperlink>
      <w:r w:rsidR="004548CA" w:rsidRPr="00103D6C">
        <w:rPr>
          <w:rStyle w:val="Hyperlink"/>
          <w:color w:val="auto"/>
          <w:u w:val="none"/>
        </w:rPr>
        <w:t>.</w:t>
      </w:r>
    </w:p>
  </w:footnote>
  <w:footnote w:id="34">
    <w:p w14:paraId="6430CF6E" w14:textId="10D2CDCF" w:rsidR="005322F1" w:rsidRDefault="005322F1">
      <w:pPr>
        <w:pStyle w:val="FootnoteText"/>
      </w:pPr>
      <w:r>
        <w:rPr>
          <w:rStyle w:val="FootnoteReference"/>
        </w:rPr>
        <w:footnoteRef/>
      </w:r>
      <w:r>
        <w:t xml:space="preserve"> The </w:t>
      </w:r>
      <w:hyperlink r:id="rId10" w:history="1">
        <w:r w:rsidRPr="004C0EC9">
          <w:rPr>
            <w:rStyle w:val="Hyperlink"/>
          </w:rPr>
          <w:t>Technical Barriers to Trade Agreement</w:t>
        </w:r>
      </w:hyperlink>
      <w:r w:rsidR="004C0EC9">
        <w:t xml:space="preserve"> sets out obligations to use international standards unless they would be ineffective or inappropriate.</w:t>
      </w:r>
    </w:p>
  </w:footnote>
  <w:footnote w:id="35">
    <w:p w14:paraId="0DE66FF2" w14:textId="600A08B7" w:rsidR="0018750E" w:rsidRDefault="0018750E" w:rsidP="0018750E">
      <w:pPr>
        <w:pStyle w:val="FootnoteText"/>
      </w:pPr>
      <w:r>
        <w:rPr>
          <w:rStyle w:val="FootnoteReference"/>
        </w:rPr>
        <w:footnoteRef/>
      </w:r>
      <w:r>
        <w:t xml:space="preserve"> </w:t>
      </w:r>
      <w:r w:rsidR="008D7F1F">
        <w:t xml:space="preserve">Electric vehicles may include other categories of vehicles such as </w:t>
      </w:r>
      <w:r>
        <w:t>e-bikes and e-scooters</w:t>
      </w:r>
      <w:r w:rsidR="008D7F1F">
        <w:t xml:space="preserve"> (Category L) and </w:t>
      </w:r>
      <w:r w:rsidR="00F5393C">
        <w:t xml:space="preserve">electric </w:t>
      </w:r>
      <w:r w:rsidR="008D7F1F">
        <w:t>agricultural machinery (Categor</w:t>
      </w:r>
      <w:r w:rsidR="00572075">
        <w:t>y</w:t>
      </w:r>
      <w:r w:rsidR="008D7F1F">
        <w:t xml:space="preserve"> T, R</w:t>
      </w:r>
      <w:r w:rsidR="00BE26B8">
        <w:t xml:space="preserve"> or</w:t>
      </w:r>
      <w:r w:rsidR="008D7F1F">
        <w:t xml:space="preserve"> S)</w:t>
      </w:r>
      <w:r>
        <w:t>.</w:t>
      </w:r>
    </w:p>
  </w:footnote>
  <w:footnote w:id="36">
    <w:p w14:paraId="7C68E22E" w14:textId="57FFC51D" w:rsidR="005F7476" w:rsidRDefault="005F7476">
      <w:pPr>
        <w:pStyle w:val="FootnoteText"/>
      </w:pPr>
      <w:r>
        <w:rPr>
          <w:rStyle w:val="FootnoteReference"/>
        </w:rPr>
        <w:footnoteRef/>
      </w:r>
      <w:r>
        <w:t xml:space="preserve"> Chung, Laura (7 February 2023), ‘</w:t>
      </w:r>
      <w:hyperlink r:id="rId11" w:history="1">
        <w:r w:rsidRPr="00400FD7">
          <w:rPr>
            <w:rStyle w:val="Hyperlink"/>
          </w:rPr>
          <w:t>Five charts that explain how the Australian electric vehicle industry is booming</w:t>
        </w:r>
      </w:hyperlink>
      <w:r>
        <w:t xml:space="preserve">’, </w:t>
      </w:r>
      <w:r w:rsidRPr="005F7476">
        <w:rPr>
          <w:i/>
          <w:iCs/>
        </w:rPr>
        <w:t>The Sydney Morning Herald</w:t>
      </w:r>
      <w:r>
        <w:t xml:space="preserve">, accessed online 16 August 2023. </w:t>
      </w:r>
    </w:p>
  </w:footnote>
  <w:footnote w:id="37">
    <w:p w14:paraId="1A29134C" w14:textId="11073DCB" w:rsidR="005A21FC" w:rsidRDefault="005A21FC">
      <w:pPr>
        <w:pStyle w:val="FootnoteText"/>
      </w:pPr>
      <w:r>
        <w:rPr>
          <w:rStyle w:val="FootnoteReference"/>
        </w:rPr>
        <w:footnoteRef/>
      </w:r>
      <w:r>
        <w:t xml:space="preserve"> </w:t>
      </w:r>
      <w:r w:rsidR="00E30900">
        <w:t>DCCEEW (</w:t>
      </w:r>
      <w:r>
        <w:t>Department of Climate Change, Energy, the Environment and Water</w:t>
      </w:r>
      <w:r w:rsidR="00E30900">
        <w:t xml:space="preserve">) (2023) </w:t>
      </w:r>
      <w:hyperlink r:id="rId12" w:history="1">
        <w:r w:rsidR="00E30900" w:rsidRPr="00E30900">
          <w:rPr>
            <w:rStyle w:val="Hyperlink"/>
          </w:rPr>
          <w:t>National Electric Vehicle Strategy</w:t>
        </w:r>
      </w:hyperlink>
      <w:r w:rsidR="00E30900">
        <w:t>, D</w:t>
      </w:r>
      <w:r w:rsidR="00E30900" w:rsidRPr="00E30900">
        <w:t>CCEEW, accessed online 23 August 2023.</w:t>
      </w:r>
    </w:p>
  </w:footnote>
  <w:footnote w:id="38">
    <w:p w14:paraId="5EBE7CD6" w14:textId="012A89B8" w:rsidR="00116829" w:rsidRDefault="00116829">
      <w:pPr>
        <w:pStyle w:val="FootnoteText"/>
      </w:pPr>
      <w:r>
        <w:rPr>
          <w:rStyle w:val="FootnoteReference"/>
        </w:rPr>
        <w:footnoteRef/>
      </w:r>
      <w:r>
        <w:t xml:space="preserve"> </w:t>
      </w:r>
      <w:r w:rsidR="00A916F9">
        <w:t xml:space="preserve">European Commission (2021), </w:t>
      </w:r>
      <w:r w:rsidR="00A916F9" w:rsidRPr="00E44D2A">
        <w:rPr>
          <w:i/>
        </w:rPr>
        <w:t>Study on the Evaluation of the Electromagneti</w:t>
      </w:r>
      <w:r w:rsidR="00A916F9">
        <w:rPr>
          <w:i/>
          <w:iCs/>
        </w:rPr>
        <w:t>c</w:t>
      </w:r>
      <w:r w:rsidR="00A916F9" w:rsidRPr="00E44D2A">
        <w:rPr>
          <w:i/>
        </w:rPr>
        <w:t xml:space="preserve"> Compatibility Directive 2014/30/EU (EMCD)</w:t>
      </w:r>
      <w:r w:rsidR="00A916F9">
        <w:t>, Publications Office of the European Union website, accessed 9 June 2023. The European Commission recently considered the general issue of the cumulative effects of multiple products in close proximity</w:t>
      </w:r>
      <w:r w:rsidR="004E3A86">
        <w:t xml:space="preserve"> as part of a study evaluating the European Directive;</w:t>
      </w:r>
      <w:r w:rsidR="00A916F9">
        <w:t xml:space="preserve"> noting th</w:t>
      </w:r>
      <w:r w:rsidR="004E3A86">
        <w:t>e study</w:t>
      </w:r>
      <w:r w:rsidR="00A916F9">
        <w:t xml:space="preserve"> did not specifically examine the issue of cumulative emissions from electric vehicle chargers. The </w:t>
      </w:r>
      <w:r w:rsidR="004E3A86">
        <w:t>s</w:t>
      </w:r>
      <w:r w:rsidR="00554AD2">
        <w:t>tudy</w:t>
      </w:r>
      <w:r w:rsidR="00A916F9">
        <w:t xml:space="preserve"> noted that a possible solution is to the change the limit values included in harmonised standards to ensure consideration of the likely close proximity of other electrical apparatus.</w:t>
      </w:r>
    </w:p>
  </w:footnote>
  <w:footnote w:id="39">
    <w:p w14:paraId="6A2AE08C" w14:textId="315774F3" w:rsidR="00681F88" w:rsidRDefault="00681F88">
      <w:pPr>
        <w:pStyle w:val="FootnoteText"/>
      </w:pPr>
      <w:r>
        <w:rPr>
          <w:rStyle w:val="FootnoteReference"/>
        </w:rPr>
        <w:footnoteRef/>
      </w:r>
      <w:r>
        <w:t xml:space="preserve"> If the device is a </w:t>
      </w:r>
      <w:r w:rsidR="00EF5748">
        <w:t>low-risk</w:t>
      </w:r>
      <w:r>
        <w:t xml:space="preserve"> device and complies with the applicable standard, the supplier of the device can choose whether or not to apply a compliance label (section 3.2 of the EMC labelling notice). </w:t>
      </w:r>
    </w:p>
  </w:footnote>
  <w:footnote w:id="40">
    <w:p w14:paraId="5E7F13B8" w14:textId="6C2215B7" w:rsidR="00074767" w:rsidRDefault="00074767" w:rsidP="00074767">
      <w:pPr>
        <w:pStyle w:val="FootnoteText"/>
      </w:pPr>
      <w:r>
        <w:rPr>
          <w:rStyle w:val="FootnoteReference"/>
        </w:rPr>
        <w:footnoteRef/>
      </w:r>
      <w:r>
        <w:t xml:space="preserve"> </w:t>
      </w:r>
      <w:hyperlink r:id="rId13" w:history="1">
        <w:r w:rsidRPr="00244689">
          <w:rPr>
            <w:rStyle w:val="Hyperlink"/>
          </w:rPr>
          <w:t>New Zealand Radiocommunications (EMC Standards) Notice 2015</w:t>
        </w:r>
      </w:hyperlink>
      <w:r w:rsidR="009E3953" w:rsidRPr="00103D6C">
        <w:rPr>
          <w:rStyle w:val="Hyperlink"/>
          <w:color w:val="auto"/>
          <w:u w:val="none"/>
        </w:rPr>
        <w:t>.</w:t>
      </w:r>
    </w:p>
  </w:footnote>
  <w:footnote w:id="41">
    <w:p w14:paraId="5A543AA3" w14:textId="20930BCA" w:rsidR="006D5D06" w:rsidRDefault="006D5D06">
      <w:pPr>
        <w:pStyle w:val="FootnoteText"/>
      </w:pPr>
      <w:r>
        <w:rPr>
          <w:rStyle w:val="FootnoteReference"/>
        </w:rPr>
        <w:footnoteRef/>
      </w:r>
      <w:r>
        <w:t xml:space="preserve"> FCC 47 CFR 15.1(a)</w:t>
      </w:r>
      <w:r w:rsidR="009E3953">
        <w:t>.</w:t>
      </w:r>
    </w:p>
  </w:footnote>
  <w:footnote w:id="42">
    <w:p w14:paraId="42C62D8B" w14:textId="2C0B9E26" w:rsidR="006D5D06" w:rsidRDefault="006D5D06">
      <w:pPr>
        <w:pStyle w:val="FootnoteText"/>
      </w:pPr>
      <w:r>
        <w:rPr>
          <w:rStyle w:val="FootnoteReference"/>
        </w:rPr>
        <w:footnoteRef/>
      </w:r>
      <w:r>
        <w:t xml:space="preserve"> </w:t>
      </w:r>
      <w:r w:rsidR="00E211AD">
        <w:t>FCC 47 CFR 15.101</w:t>
      </w:r>
      <w:r w:rsidR="009E3953">
        <w:t>.</w:t>
      </w:r>
    </w:p>
  </w:footnote>
  <w:footnote w:id="43">
    <w:p w14:paraId="53C0E9C6" w14:textId="0A845F78" w:rsidR="006E2488" w:rsidRDefault="006E2488">
      <w:pPr>
        <w:pStyle w:val="FootnoteText"/>
      </w:pPr>
      <w:r>
        <w:rPr>
          <w:rStyle w:val="FootnoteReference"/>
        </w:rPr>
        <w:footnoteRef/>
      </w:r>
      <w:r>
        <w:t xml:space="preserve"> Article 3 of the Directive 2014/30/EU</w:t>
      </w:r>
      <w:r w:rsidR="009E3953">
        <w:t>.</w:t>
      </w:r>
    </w:p>
  </w:footnote>
  <w:footnote w:id="44">
    <w:p w14:paraId="5265901E" w14:textId="77777777" w:rsidR="00A40E93" w:rsidRDefault="00A40E93" w:rsidP="00A40E93">
      <w:pPr>
        <w:pStyle w:val="FootnoteText"/>
      </w:pPr>
      <w:r>
        <w:rPr>
          <w:rStyle w:val="FootnoteReference"/>
        </w:rPr>
        <w:footnoteRef/>
      </w:r>
      <w:r>
        <w:t xml:space="preserve"> See the </w:t>
      </w:r>
      <w:r>
        <w:rPr>
          <w:szCs w:val="20"/>
        </w:rPr>
        <w:t>Radiocommunications Labelling (Electromagnetic Compatibility) Notice 2008 prior to its amendment in November 2009 and the</w:t>
      </w:r>
      <w:r>
        <w:t xml:space="preserve"> Radiocommunications (Compliance Labelling – Incidental Emissions) Notice 2001.</w:t>
      </w:r>
    </w:p>
  </w:footnote>
  <w:footnote w:id="45">
    <w:p w14:paraId="65D4C691" w14:textId="0FA3F48A" w:rsidR="004F2135" w:rsidRDefault="004F2135">
      <w:pPr>
        <w:pStyle w:val="FootnoteText"/>
      </w:pPr>
      <w:r>
        <w:rPr>
          <w:rStyle w:val="FootnoteReference"/>
        </w:rPr>
        <w:footnoteRef/>
      </w:r>
      <w:r>
        <w:t xml:space="preserve"> </w:t>
      </w:r>
      <w:r w:rsidR="00806D9A" w:rsidRPr="004A7653">
        <w:rPr>
          <w:i/>
          <w:iCs/>
        </w:rPr>
        <w:t>AS/NZS CISPR 11:2004 Industrial, scientific and medical equipment - Radio-frequency disturbance characteristics - Limits and methods of measurement</w:t>
      </w:r>
      <w:r w:rsidR="00B7071E" w:rsidRPr="004A7653">
        <w:rPr>
          <w:i/>
          <w:iCs/>
        </w:rPr>
        <w:t>.</w:t>
      </w:r>
    </w:p>
  </w:footnote>
  <w:footnote w:id="46">
    <w:p w14:paraId="1D56B4BA" w14:textId="0FC202B4" w:rsidR="00A40E93" w:rsidRDefault="00A40E93" w:rsidP="00A40E93">
      <w:pPr>
        <w:pStyle w:val="FootnoteText"/>
      </w:pPr>
      <w:r>
        <w:rPr>
          <w:rStyle w:val="FootnoteReference"/>
        </w:rPr>
        <w:footnoteRef/>
      </w:r>
      <w:r>
        <w:t xml:space="preserve"> Radiocommunications Labelling (Electromagnetic Compatibility) Amendment Notice 2009 (No.1)</w:t>
      </w:r>
      <w:r w:rsidR="00B7071E">
        <w:t>.</w:t>
      </w:r>
    </w:p>
  </w:footnote>
  <w:footnote w:id="47">
    <w:p w14:paraId="5710C842" w14:textId="1B65E2D9" w:rsidR="009237FC" w:rsidRDefault="009237FC" w:rsidP="009237FC">
      <w:pPr>
        <w:pStyle w:val="FootnoteText"/>
      </w:pPr>
      <w:r>
        <w:rPr>
          <w:rStyle w:val="FootnoteReference"/>
        </w:rPr>
        <w:footnoteRef/>
      </w:r>
      <w:r>
        <w:t xml:space="preserve"> Explanatory Statement to the </w:t>
      </w:r>
      <w:r w:rsidRPr="000C3EEE">
        <w:t>Radiocommunications Labelling (Electromagnetic Compatibility) Amendment Notice 2009 (No. 1)</w:t>
      </w:r>
      <w:r w:rsidR="00B7071E">
        <w:t>.</w:t>
      </w:r>
      <w:r>
        <w:rPr>
          <w:rFonts w:cs="Arial"/>
          <w:i/>
          <w:iCs/>
          <w:color w:val="000000"/>
          <w:sz w:val="20"/>
          <w:szCs w:val="20"/>
          <w:shd w:val="clear" w:color="auto" w:fill="FFFFFF"/>
        </w:rPr>
        <w:t> </w:t>
      </w:r>
    </w:p>
  </w:footnote>
  <w:footnote w:id="48">
    <w:p w14:paraId="7F5AD097" w14:textId="201B2934" w:rsidR="009237FC" w:rsidRDefault="009237FC" w:rsidP="009237FC">
      <w:pPr>
        <w:pStyle w:val="FootnoteText"/>
      </w:pPr>
      <w:r>
        <w:rPr>
          <w:rStyle w:val="FootnoteReference"/>
        </w:rPr>
        <w:footnoteRef/>
      </w:r>
      <w:r>
        <w:t xml:space="preserve"> </w:t>
      </w:r>
      <w:r>
        <w:rPr>
          <w:szCs w:val="24"/>
        </w:rPr>
        <w:t>Subsection 1.5(1) and section 1.8 of the EMC labelling notice</w:t>
      </w:r>
      <w:r w:rsidR="00F07738">
        <w:rPr>
          <w:szCs w:val="24"/>
        </w:rPr>
        <w:t>.</w:t>
      </w:r>
    </w:p>
  </w:footnote>
  <w:footnote w:id="49">
    <w:p w14:paraId="1859AD72" w14:textId="36AFCA89" w:rsidR="00273B2B" w:rsidRDefault="00273B2B">
      <w:pPr>
        <w:pStyle w:val="FootnoteText"/>
      </w:pPr>
      <w:r>
        <w:rPr>
          <w:rStyle w:val="FootnoteReference"/>
        </w:rPr>
        <w:footnoteRef/>
      </w:r>
      <w:r>
        <w:t xml:space="preserve"> The applicable EMC standards for Group 2 ISM equipment would be either AS CISPR 11, CISPR 11 or EN 55011 as per serial 3 in Part 2 of the list of standards.</w:t>
      </w:r>
    </w:p>
  </w:footnote>
  <w:footnote w:id="50">
    <w:p w14:paraId="68FF8A81" w14:textId="3A8FB2F1" w:rsidR="00403A6D" w:rsidRDefault="00403A6D">
      <w:pPr>
        <w:pStyle w:val="FootnoteText"/>
      </w:pPr>
      <w:r>
        <w:rPr>
          <w:rStyle w:val="FootnoteReference"/>
        </w:rPr>
        <w:footnoteRef/>
      </w:r>
      <w:r>
        <w:t xml:space="preserve"> Section 1.8 of the EMC Labelling Notice</w:t>
      </w:r>
    </w:p>
  </w:footnote>
  <w:footnote w:id="51">
    <w:p w14:paraId="64B22206" w14:textId="5CF10CB6" w:rsidR="00EC57C0" w:rsidRDefault="00EC57C0" w:rsidP="00EC57C0">
      <w:pPr>
        <w:pStyle w:val="FootnoteText"/>
      </w:pPr>
      <w:r>
        <w:rPr>
          <w:rStyle w:val="FootnoteReference"/>
        </w:rPr>
        <w:footnoteRef/>
      </w:r>
      <w:r>
        <w:t xml:space="preserve"> </w:t>
      </w:r>
      <w:hyperlink r:id="rId14" w:history="1">
        <w:r w:rsidRPr="00850CB8">
          <w:rPr>
            <w:rStyle w:val="Hyperlink"/>
          </w:rPr>
          <w:t xml:space="preserve">FCC Part 15 Equipment Authorization </w:t>
        </w:r>
        <w:r w:rsidR="00DB4615">
          <w:rPr>
            <w:rStyle w:val="Hyperlink"/>
          </w:rPr>
          <w:t>E</w:t>
        </w:r>
        <w:r w:rsidRPr="00850CB8">
          <w:rPr>
            <w:rStyle w:val="Hyperlink"/>
          </w:rPr>
          <w:t>xemptions</w:t>
        </w:r>
      </w:hyperlink>
      <w:r w:rsidR="00DB4615" w:rsidRPr="00EF4A79">
        <w:rPr>
          <w:rStyle w:val="Hyperlink"/>
          <w:color w:val="auto"/>
          <w:u w:val="none"/>
        </w:rPr>
        <w:t>.</w:t>
      </w:r>
    </w:p>
  </w:footnote>
  <w:footnote w:id="52">
    <w:p w14:paraId="20D0270F" w14:textId="377184BA" w:rsidR="00EC57C0" w:rsidRDefault="00EC57C0" w:rsidP="00EC57C0">
      <w:pPr>
        <w:pStyle w:val="FootnoteText"/>
      </w:pPr>
      <w:r>
        <w:rPr>
          <w:rStyle w:val="FootnoteReference"/>
        </w:rPr>
        <w:footnoteRef/>
      </w:r>
      <w:r>
        <w:t xml:space="preserve"> If a device has additional capabilities such as a Bluetooth or Wi-Fi transmitter, the transmitter is </w:t>
      </w:r>
      <w:r w:rsidR="00DB4615">
        <w:br/>
      </w:r>
      <w:r>
        <w:t xml:space="preserve">not exempted. </w:t>
      </w:r>
    </w:p>
  </w:footnote>
  <w:footnote w:id="53">
    <w:p w14:paraId="1E6FB0B7" w14:textId="36730E93" w:rsidR="00EB476B" w:rsidRDefault="00EB476B" w:rsidP="00EB476B">
      <w:pPr>
        <w:pStyle w:val="FootnoteText"/>
      </w:pPr>
      <w:r>
        <w:rPr>
          <w:rStyle w:val="FootnoteReference"/>
        </w:rPr>
        <w:footnoteRef/>
      </w:r>
      <w:r>
        <w:t xml:space="preserve"> Subsection 1.5(1) of the EMC Labelling Notice</w:t>
      </w:r>
      <w:r w:rsidR="00DB4615">
        <w:t>.</w:t>
      </w:r>
    </w:p>
  </w:footnote>
  <w:footnote w:id="54">
    <w:p w14:paraId="375BEC81" w14:textId="66633E3A" w:rsidR="00FC37D5" w:rsidRDefault="00FC37D5">
      <w:pPr>
        <w:pStyle w:val="FootnoteText"/>
      </w:pPr>
      <w:r>
        <w:rPr>
          <w:rStyle w:val="FootnoteReference"/>
        </w:rPr>
        <w:footnoteRef/>
      </w:r>
      <w:r>
        <w:t xml:space="preserve"> Ibid</w:t>
      </w:r>
      <w:r w:rsidR="008D68D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BD2D" w14:textId="77777777" w:rsidR="00C053A1" w:rsidRPr="00A5474E" w:rsidRDefault="0021426C" w:rsidP="00A5474E">
    <w:pPr>
      <w:pStyle w:val="Header"/>
    </w:pPr>
    <w:r>
      <w:rPr>
        <w:noProof/>
      </w:rPr>
      <w:drawing>
        <wp:inline distT="0" distB="0" distL="0" distR="0" wp14:anchorId="27E79513" wp14:editId="7A4EB8FD">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77A"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C6E2"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B7C4"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CD86507" w14:textId="77777777" w:rsidTr="003B0421">
      <w:trPr>
        <w:trHeight w:hRule="exact" w:val="988"/>
      </w:trPr>
      <w:tc>
        <w:tcPr>
          <w:tcW w:w="7678" w:type="dxa"/>
          <w:shd w:val="clear" w:color="auto" w:fill="auto"/>
        </w:tcPr>
        <w:p w14:paraId="2FE4853E" w14:textId="77777777" w:rsidR="00971914" w:rsidRDefault="00971914" w:rsidP="00971914">
          <w:pPr>
            <w:pStyle w:val="Header"/>
          </w:pPr>
        </w:p>
      </w:tc>
    </w:tr>
    <w:tr w:rsidR="00971914" w14:paraId="13DB2FBB" w14:textId="77777777" w:rsidTr="003B0421">
      <w:tc>
        <w:tcPr>
          <w:tcW w:w="7678" w:type="dxa"/>
          <w:shd w:val="clear" w:color="auto" w:fill="auto"/>
        </w:tcPr>
        <w:p w14:paraId="44A89EA6" w14:textId="77777777" w:rsidR="00971914" w:rsidRDefault="00971914" w:rsidP="00971914">
          <w:pPr>
            <w:pStyle w:val="GridTable31"/>
          </w:pPr>
          <w:r>
            <w:t xml:space="preserve">Contents </w:t>
          </w:r>
          <w:r w:rsidRPr="00915B1C">
            <w:rPr>
              <w:b w:val="0"/>
              <w:spacing w:val="0"/>
              <w:sz w:val="28"/>
              <w:szCs w:val="28"/>
            </w:rPr>
            <w:t>(Continued)</w:t>
          </w:r>
        </w:p>
      </w:tc>
    </w:tr>
    <w:tr w:rsidR="00971914" w14:paraId="016D2430" w14:textId="77777777" w:rsidTr="003B0421">
      <w:trPr>
        <w:trHeight w:val="1220"/>
      </w:trPr>
      <w:tc>
        <w:tcPr>
          <w:tcW w:w="7678" w:type="dxa"/>
          <w:shd w:val="clear" w:color="auto" w:fill="auto"/>
        </w:tcPr>
        <w:p w14:paraId="5AC2E236" w14:textId="77777777" w:rsidR="00971914" w:rsidRDefault="00971914" w:rsidP="00971914"/>
      </w:tc>
    </w:tr>
  </w:tbl>
  <w:p w14:paraId="5311EE7F"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8242846" w14:textId="77777777" w:rsidTr="003B0421">
      <w:trPr>
        <w:trHeight w:hRule="exact" w:val="988"/>
      </w:trPr>
      <w:tc>
        <w:tcPr>
          <w:tcW w:w="7678" w:type="dxa"/>
          <w:shd w:val="clear" w:color="auto" w:fill="auto"/>
        </w:tcPr>
        <w:p w14:paraId="3C104B43" w14:textId="77777777" w:rsidR="00971914" w:rsidRDefault="00971914" w:rsidP="00971914">
          <w:pPr>
            <w:pStyle w:val="Header"/>
          </w:pPr>
        </w:p>
      </w:tc>
    </w:tr>
    <w:tr w:rsidR="00971914" w14:paraId="2833428F" w14:textId="77777777" w:rsidTr="003B0421">
      <w:tc>
        <w:tcPr>
          <w:tcW w:w="7678" w:type="dxa"/>
          <w:shd w:val="clear" w:color="auto" w:fill="auto"/>
        </w:tcPr>
        <w:p w14:paraId="7E29E496" w14:textId="77777777" w:rsidR="00971914" w:rsidRDefault="00971914" w:rsidP="00971914">
          <w:pPr>
            <w:pStyle w:val="GridTable31"/>
          </w:pPr>
          <w:r>
            <w:t xml:space="preserve">Contents </w:t>
          </w:r>
          <w:r w:rsidRPr="00915B1C">
            <w:rPr>
              <w:b w:val="0"/>
              <w:spacing w:val="0"/>
              <w:sz w:val="28"/>
              <w:szCs w:val="28"/>
            </w:rPr>
            <w:t>(Continued)</w:t>
          </w:r>
        </w:p>
      </w:tc>
    </w:tr>
    <w:tr w:rsidR="00971914" w14:paraId="2F789E37" w14:textId="77777777" w:rsidTr="003B0421">
      <w:trPr>
        <w:trHeight w:val="1220"/>
      </w:trPr>
      <w:tc>
        <w:tcPr>
          <w:tcW w:w="7678" w:type="dxa"/>
          <w:shd w:val="clear" w:color="auto" w:fill="auto"/>
        </w:tcPr>
        <w:p w14:paraId="518D295C" w14:textId="77777777" w:rsidR="00971914" w:rsidRDefault="00971914" w:rsidP="00971914"/>
      </w:tc>
    </w:tr>
  </w:tbl>
  <w:p w14:paraId="415A7E1F"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7DB7"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5330"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81BA623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ADFC51A2"/>
    <w:lvl w:ilvl="0">
      <w:start w:val="1"/>
      <w:numFmt w:val="bullet"/>
      <w:pStyle w:val="ListBullet"/>
      <w:lvlText w:val="&gt;"/>
      <w:lvlJc w:val="left"/>
      <w:pPr>
        <w:tabs>
          <w:tab w:val="num" w:pos="579"/>
        </w:tabs>
        <w:ind w:left="579" w:hanging="295"/>
      </w:pPr>
      <w:rPr>
        <w:rFonts w:ascii="HelveticaNeueLT Std Lt" w:hAnsi="HelveticaNeueLT Std Lt" w:hint="default"/>
        <w:sz w:val="20"/>
      </w:rPr>
    </w:lvl>
  </w:abstractNum>
  <w:abstractNum w:abstractNumId="4" w15:restartNumberingAfterBreak="0">
    <w:nsid w:val="02743E89"/>
    <w:multiLevelType w:val="hybridMultilevel"/>
    <w:tmpl w:val="7BEC7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F532EA"/>
    <w:multiLevelType w:val="hybridMultilevel"/>
    <w:tmpl w:val="118A1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39703565"/>
    <w:multiLevelType w:val="hybridMultilevel"/>
    <w:tmpl w:val="96E8D5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3B1516"/>
    <w:multiLevelType w:val="hybridMultilevel"/>
    <w:tmpl w:val="AD8C5E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9045E"/>
    <w:multiLevelType w:val="hybridMultilevel"/>
    <w:tmpl w:val="49B411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1A173A"/>
    <w:multiLevelType w:val="hybridMultilevel"/>
    <w:tmpl w:val="900A7588"/>
    <w:lvl w:ilvl="0" w:tplc="7F4AD49E">
      <w:start w:val="2"/>
      <w:numFmt w:val="bullet"/>
      <w:lvlText w:val="&gt;"/>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9C4CB4"/>
    <w:multiLevelType w:val="hybridMultilevel"/>
    <w:tmpl w:val="A3463EBC"/>
    <w:lvl w:ilvl="0" w:tplc="7F4AD49E">
      <w:start w:val="2"/>
      <w:numFmt w:val="bullet"/>
      <w:lvlText w:val="&gt;"/>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A069FF"/>
    <w:multiLevelType w:val="hybridMultilevel"/>
    <w:tmpl w:val="6DD04182"/>
    <w:lvl w:ilvl="0" w:tplc="7F4AD49E">
      <w:start w:val="2"/>
      <w:numFmt w:val="bullet"/>
      <w:lvlText w:val="&gt;"/>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E0F86"/>
    <w:multiLevelType w:val="hybridMultilevel"/>
    <w:tmpl w:val="5A1EB7B6"/>
    <w:lvl w:ilvl="0" w:tplc="7F4AD49E">
      <w:start w:val="2"/>
      <w:numFmt w:val="bullet"/>
      <w:lvlText w:val="&gt;"/>
      <w:lvlJc w:val="left"/>
      <w:pPr>
        <w:ind w:left="770" w:hanging="360"/>
      </w:pPr>
      <w:rPr>
        <w:rFonts w:ascii="Calibri" w:eastAsiaTheme="minorHAnsi" w:hAnsi="Calibri"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57AE6"/>
    <w:multiLevelType w:val="hybridMultilevel"/>
    <w:tmpl w:val="A45006D8"/>
    <w:lvl w:ilvl="0" w:tplc="7F4AD49E">
      <w:start w:val="2"/>
      <w:numFmt w:val="bullet"/>
      <w:lvlText w:val="&gt;"/>
      <w:lvlJc w:val="left"/>
      <w:pPr>
        <w:tabs>
          <w:tab w:val="num" w:pos="964"/>
        </w:tabs>
        <w:ind w:left="964" w:hanging="964"/>
      </w:pPr>
      <w:rPr>
        <w:rFonts w:ascii="Calibri" w:eastAsiaTheme="minorHAns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EE6BFF"/>
    <w:multiLevelType w:val="hybridMultilevel"/>
    <w:tmpl w:val="F10E4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1CE45E6"/>
    <w:multiLevelType w:val="hybridMultilevel"/>
    <w:tmpl w:val="82C06542"/>
    <w:lvl w:ilvl="0" w:tplc="7F4AD49E">
      <w:start w:val="2"/>
      <w:numFmt w:val="bullet"/>
      <w:lvlText w:val="&gt;"/>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0794340">
    <w:abstractNumId w:val="3"/>
  </w:num>
  <w:num w:numId="2" w16cid:durableId="961808067">
    <w:abstractNumId w:val="1"/>
  </w:num>
  <w:num w:numId="3" w16cid:durableId="823132573">
    <w:abstractNumId w:val="2"/>
  </w:num>
  <w:num w:numId="4" w16cid:durableId="1435860948">
    <w:abstractNumId w:val="0"/>
  </w:num>
  <w:num w:numId="5" w16cid:durableId="1458793115">
    <w:abstractNumId w:val="7"/>
  </w:num>
  <w:num w:numId="6" w16cid:durableId="1170756036">
    <w:abstractNumId w:val="17"/>
  </w:num>
  <w:num w:numId="7" w16cid:durableId="1179462982">
    <w:abstractNumId w:val="14"/>
  </w:num>
  <w:num w:numId="8" w16cid:durableId="2010865431">
    <w:abstractNumId w:val="16"/>
  </w:num>
  <w:num w:numId="9" w16cid:durableId="153958827">
    <w:abstractNumId w:val="18"/>
  </w:num>
  <w:num w:numId="10" w16cid:durableId="1495796504">
    <w:abstractNumId w:val="8"/>
  </w:num>
  <w:num w:numId="11" w16cid:durableId="1522472745">
    <w:abstractNumId w:val="10"/>
  </w:num>
  <w:num w:numId="12" w16cid:durableId="1601254628">
    <w:abstractNumId w:val="3"/>
  </w:num>
  <w:num w:numId="13" w16cid:durableId="1408648458">
    <w:abstractNumId w:val="3"/>
  </w:num>
  <w:num w:numId="14" w16cid:durableId="1946959598">
    <w:abstractNumId w:val="3"/>
  </w:num>
  <w:num w:numId="15" w16cid:durableId="1128351608">
    <w:abstractNumId w:val="1"/>
  </w:num>
  <w:num w:numId="16" w16cid:durableId="899945609">
    <w:abstractNumId w:val="3"/>
  </w:num>
  <w:num w:numId="17" w16cid:durableId="1756395078">
    <w:abstractNumId w:val="1"/>
  </w:num>
  <w:num w:numId="18" w16cid:durableId="1824349865">
    <w:abstractNumId w:val="3"/>
  </w:num>
  <w:num w:numId="19" w16cid:durableId="124011647">
    <w:abstractNumId w:val="3"/>
  </w:num>
  <w:num w:numId="20" w16cid:durableId="1289362911">
    <w:abstractNumId w:val="3"/>
  </w:num>
  <w:num w:numId="21" w16cid:durableId="2029747167">
    <w:abstractNumId w:val="1"/>
  </w:num>
  <w:num w:numId="22" w16cid:durableId="2144232854">
    <w:abstractNumId w:val="3"/>
  </w:num>
  <w:num w:numId="23" w16cid:durableId="589394981">
    <w:abstractNumId w:val="3"/>
  </w:num>
  <w:num w:numId="24" w16cid:durableId="608241317">
    <w:abstractNumId w:val="3"/>
  </w:num>
  <w:num w:numId="25" w16cid:durableId="67962035">
    <w:abstractNumId w:val="19"/>
  </w:num>
  <w:num w:numId="26" w16cid:durableId="1810779151">
    <w:abstractNumId w:val="5"/>
  </w:num>
  <w:num w:numId="27" w16cid:durableId="2069918770">
    <w:abstractNumId w:val="3"/>
  </w:num>
  <w:num w:numId="28" w16cid:durableId="1145975749">
    <w:abstractNumId w:val="3"/>
  </w:num>
  <w:num w:numId="29" w16cid:durableId="769206952">
    <w:abstractNumId w:val="3"/>
  </w:num>
  <w:num w:numId="30" w16cid:durableId="396981123">
    <w:abstractNumId w:val="3"/>
  </w:num>
  <w:num w:numId="31" w16cid:durableId="816651114">
    <w:abstractNumId w:val="3"/>
  </w:num>
  <w:num w:numId="32" w16cid:durableId="381566618">
    <w:abstractNumId w:val="3"/>
  </w:num>
  <w:num w:numId="33" w16cid:durableId="872619589">
    <w:abstractNumId w:val="3"/>
  </w:num>
  <w:num w:numId="34" w16cid:durableId="359815756">
    <w:abstractNumId w:val="3"/>
  </w:num>
  <w:num w:numId="35" w16cid:durableId="2071079346">
    <w:abstractNumId w:val="3"/>
  </w:num>
  <w:num w:numId="36" w16cid:durableId="846362762">
    <w:abstractNumId w:val="3"/>
  </w:num>
  <w:num w:numId="37" w16cid:durableId="1282689296">
    <w:abstractNumId w:val="1"/>
  </w:num>
  <w:num w:numId="38" w16cid:durableId="748045024">
    <w:abstractNumId w:val="1"/>
  </w:num>
  <w:num w:numId="39" w16cid:durableId="933128462">
    <w:abstractNumId w:val="12"/>
  </w:num>
  <w:num w:numId="40" w16cid:durableId="40131073">
    <w:abstractNumId w:val="11"/>
  </w:num>
  <w:num w:numId="41" w16cid:durableId="263925620">
    <w:abstractNumId w:val="20"/>
  </w:num>
  <w:num w:numId="42" w16cid:durableId="1523592175">
    <w:abstractNumId w:val="1"/>
  </w:num>
  <w:num w:numId="43" w16cid:durableId="1473792746">
    <w:abstractNumId w:val="6"/>
  </w:num>
  <w:num w:numId="44" w16cid:durableId="666441270">
    <w:abstractNumId w:val="9"/>
  </w:num>
  <w:num w:numId="45" w16cid:durableId="1676377873">
    <w:abstractNumId w:val="3"/>
  </w:num>
  <w:num w:numId="46" w16cid:durableId="1457943130">
    <w:abstractNumId w:val="1"/>
  </w:num>
  <w:num w:numId="47" w16cid:durableId="512886630">
    <w:abstractNumId w:val="1"/>
  </w:num>
  <w:num w:numId="48" w16cid:durableId="1927306721">
    <w:abstractNumId w:val="13"/>
  </w:num>
  <w:num w:numId="49" w16cid:durableId="1396781744">
    <w:abstractNumId w:val="3"/>
  </w:num>
  <w:num w:numId="50" w16cid:durableId="391924063">
    <w:abstractNumId w:val="1"/>
  </w:num>
  <w:num w:numId="51" w16cid:durableId="1804498440">
    <w:abstractNumId w:val="3"/>
  </w:num>
  <w:num w:numId="52" w16cid:durableId="1511606261">
    <w:abstractNumId w:val="3"/>
  </w:num>
  <w:num w:numId="53" w16cid:durableId="1171724924">
    <w:abstractNumId w:val="3"/>
  </w:num>
  <w:num w:numId="54" w16cid:durableId="1531142711">
    <w:abstractNumId w:val="3"/>
  </w:num>
  <w:num w:numId="55" w16cid:durableId="1007293920">
    <w:abstractNumId w:val="3"/>
  </w:num>
  <w:num w:numId="56" w16cid:durableId="485173710">
    <w:abstractNumId w:val="3"/>
  </w:num>
  <w:num w:numId="57" w16cid:durableId="36123174">
    <w:abstractNumId w:val="3"/>
  </w:num>
  <w:num w:numId="58" w16cid:durableId="1122727441">
    <w:abstractNumId w:val="3"/>
  </w:num>
  <w:num w:numId="59" w16cid:durableId="743531890">
    <w:abstractNumId w:val="15"/>
  </w:num>
  <w:num w:numId="60" w16cid:durableId="2080663609">
    <w:abstractNumId w:val="3"/>
  </w:num>
  <w:num w:numId="61" w16cid:durableId="1382635820">
    <w:abstractNumId w:val="3"/>
  </w:num>
  <w:num w:numId="62" w16cid:durableId="1390805926">
    <w:abstractNumId w:val="3"/>
  </w:num>
  <w:num w:numId="63" w16cid:durableId="2004578975">
    <w:abstractNumId w:val="3"/>
  </w:num>
  <w:num w:numId="64" w16cid:durableId="198784787">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81"/>
    <w:rsid w:val="00003351"/>
    <w:rsid w:val="000035D0"/>
    <w:rsid w:val="00005F95"/>
    <w:rsid w:val="000069A5"/>
    <w:rsid w:val="0001057F"/>
    <w:rsid w:val="00010667"/>
    <w:rsid w:val="000112CC"/>
    <w:rsid w:val="000129D5"/>
    <w:rsid w:val="00013FF3"/>
    <w:rsid w:val="00015AE7"/>
    <w:rsid w:val="000163A8"/>
    <w:rsid w:val="00016E21"/>
    <w:rsid w:val="0001719C"/>
    <w:rsid w:val="00017B5D"/>
    <w:rsid w:val="0002122E"/>
    <w:rsid w:val="00021337"/>
    <w:rsid w:val="0002158B"/>
    <w:rsid w:val="0002224E"/>
    <w:rsid w:val="00022A8D"/>
    <w:rsid w:val="00023A36"/>
    <w:rsid w:val="00023B19"/>
    <w:rsid w:val="00023D48"/>
    <w:rsid w:val="000242AD"/>
    <w:rsid w:val="000245E5"/>
    <w:rsid w:val="000257C3"/>
    <w:rsid w:val="0002623B"/>
    <w:rsid w:val="00026AB6"/>
    <w:rsid w:val="00026F91"/>
    <w:rsid w:val="00026FC4"/>
    <w:rsid w:val="000279BA"/>
    <w:rsid w:val="00031561"/>
    <w:rsid w:val="00032621"/>
    <w:rsid w:val="00035969"/>
    <w:rsid w:val="00036A5F"/>
    <w:rsid w:val="00037758"/>
    <w:rsid w:val="000377E7"/>
    <w:rsid w:val="0004031B"/>
    <w:rsid w:val="00043570"/>
    <w:rsid w:val="00043A0F"/>
    <w:rsid w:val="00043E63"/>
    <w:rsid w:val="00043EA0"/>
    <w:rsid w:val="000440D5"/>
    <w:rsid w:val="00044588"/>
    <w:rsid w:val="00044FC0"/>
    <w:rsid w:val="00045A84"/>
    <w:rsid w:val="0004764C"/>
    <w:rsid w:val="0005011A"/>
    <w:rsid w:val="0005045A"/>
    <w:rsid w:val="000505D2"/>
    <w:rsid w:val="00050E65"/>
    <w:rsid w:val="00051BCF"/>
    <w:rsid w:val="00051C1E"/>
    <w:rsid w:val="00052D25"/>
    <w:rsid w:val="000534DE"/>
    <w:rsid w:val="000539F9"/>
    <w:rsid w:val="000540BD"/>
    <w:rsid w:val="00054C27"/>
    <w:rsid w:val="000557A4"/>
    <w:rsid w:val="00055DFA"/>
    <w:rsid w:val="00055EC3"/>
    <w:rsid w:val="000563CE"/>
    <w:rsid w:val="0005656C"/>
    <w:rsid w:val="000567C9"/>
    <w:rsid w:val="00056BC7"/>
    <w:rsid w:val="000609A8"/>
    <w:rsid w:val="000620CB"/>
    <w:rsid w:val="00064206"/>
    <w:rsid w:val="00064285"/>
    <w:rsid w:val="00064E1F"/>
    <w:rsid w:val="000659B6"/>
    <w:rsid w:val="0006686F"/>
    <w:rsid w:val="00066A08"/>
    <w:rsid w:val="00066B34"/>
    <w:rsid w:val="0006722A"/>
    <w:rsid w:val="00067997"/>
    <w:rsid w:val="000705DD"/>
    <w:rsid w:val="00071105"/>
    <w:rsid w:val="00071147"/>
    <w:rsid w:val="0007227C"/>
    <w:rsid w:val="000732CF"/>
    <w:rsid w:val="00074767"/>
    <w:rsid w:val="00075B96"/>
    <w:rsid w:val="0008042A"/>
    <w:rsid w:val="00080C85"/>
    <w:rsid w:val="00080D87"/>
    <w:rsid w:val="0008196A"/>
    <w:rsid w:val="000823F5"/>
    <w:rsid w:val="000842FC"/>
    <w:rsid w:val="00085DB4"/>
    <w:rsid w:val="00085F0D"/>
    <w:rsid w:val="00086849"/>
    <w:rsid w:val="00087DE2"/>
    <w:rsid w:val="00090746"/>
    <w:rsid w:val="0009103E"/>
    <w:rsid w:val="0009109D"/>
    <w:rsid w:val="000915ED"/>
    <w:rsid w:val="00091E11"/>
    <w:rsid w:val="0009209D"/>
    <w:rsid w:val="0009463C"/>
    <w:rsid w:val="00094A45"/>
    <w:rsid w:val="000960C9"/>
    <w:rsid w:val="000969BD"/>
    <w:rsid w:val="000969BF"/>
    <w:rsid w:val="0009789F"/>
    <w:rsid w:val="000A048C"/>
    <w:rsid w:val="000A0BC8"/>
    <w:rsid w:val="000A0C22"/>
    <w:rsid w:val="000A1400"/>
    <w:rsid w:val="000A2127"/>
    <w:rsid w:val="000A28F6"/>
    <w:rsid w:val="000A30E3"/>
    <w:rsid w:val="000A3C43"/>
    <w:rsid w:val="000A444A"/>
    <w:rsid w:val="000A469D"/>
    <w:rsid w:val="000A4A51"/>
    <w:rsid w:val="000A5097"/>
    <w:rsid w:val="000A5D2B"/>
    <w:rsid w:val="000B0A61"/>
    <w:rsid w:val="000B0EA1"/>
    <w:rsid w:val="000B180C"/>
    <w:rsid w:val="000B3CDB"/>
    <w:rsid w:val="000B4664"/>
    <w:rsid w:val="000B5DE3"/>
    <w:rsid w:val="000B6594"/>
    <w:rsid w:val="000B7C38"/>
    <w:rsid w:val="000C0A57"/>
    <w:rsid w:val="000C0B62"/>
    <w:rsid w:val="000C0C7A"/>
    <w:rsid w:val="000C2050"/>
    <w:rsid w:val="000C230C"/>
    <w:rsid w:val="000C2887"/>
    <w:rsid w:val="000C3B0F"/>
    <w:rsid w:val="000C5DDD"/>
    <w:rsid w:val="000C68D5"/>
    <w:rsid w:val="000C6AB4"/>
    <w:rsid w:val="000C72CB"/>
    <w:rsid w:val="000D0A79"/>
    <w:rsid w:val="000D1EF4"/>
    <w:rsid w:val="000D71D9"/>
    <w:rsid w:val="000D7527"/>
    <w:rsid w:val="000D76E0"/>
    <w:rsid w:val="000D7E8B"/>
    <w:rsid w:val="000E4449"/>
    <w:rsid w:val="000E6097"/>
    <w:rsid w:val="000E6F55"/>
    <w:rsid w:val="000F0AC1"/>
    <w:rsid w:val="000F1F4E"/>
    <w:rsid w:val="0010008D"/>
    <w:rsid w:val="00100360"/>
    <w:rsid w:val="001007E3"/>
    <w:rsid w:val="00101D77"/>
    <w:rsid w:val="00103829"/>
    <w:rsid w:val="00103D6C"/>
    <w:rsid w:val="0010415A"/>
    <w:rsid w:val="001052F5"/>
    <w:rsid w:val="00107ACA"/>
    <w:rsid w:val="00111FCE"/>
    <w:rsid w:val="00113158"/>
    <w:rsid w:val="0011317A"/>
    <w:rsid w:val="00116829"/>
    <w:rsid w:val="00117815"/>
    <w:rsid w:val="001218BE"/>
    <w:rsid w:val="001229A5"/>
    <w:rsid w:val="00123BCA"/>
    <w:rsid w:val="001247BA"/>
    <w:rsid w:val="0012489B"/>
    <w:rsid w:val="00126F01"/>
    <w:rsid w:val="00130017"/>
    <w:rsid w:val="00130F91"/>
    <w:rsid w:val="00131197"/>
    <w:rsid w:val="001320ED"/>
    <w:rsid w:val="00132C3B"/>
    <w:rsid w:val="00133215"/>
    <w:rsid w:val="001349ED"/>
    <w:rsid w:val="00135BDB"/>
    <w:rsid w:val="001361E4"/>
    <w:rsid w:val="00137424"/>
    <w:rsid w:val="0013759C"/>
    <w:rsid w:val="00140318"/>
    <w:rsid w:val="0014039E"/>
    <w:rsid w:val="00141AD9"/>
    <w:rsid w:val="00143094"/>
    <w:rsid w:val="001447D4"/>
    <w:rsid w:val="001455A0"/>
    <w:rsid w:val="00146B5D"/>
    <w:rsid w:val="00146CE6"/>
    <w:rsid w:val="0014715E"/>
    <w:rsid w:val="001477C7"/>
    <w:rsid w:val="001477F2"/>
    <w:rsid w:val="00151622"/>
    <w:rsid w:val="00152903"/>
    <w:rsid w:val="001535EF"/>
    <w:rsid w:val="00153FD5"/>
    <w:rsid w:val="00153FE3"/>
    <w:rsid w:val="0015402E"/>
    <w:rsid w:val="00155676"/>
    <w:rsid w:val="00155F4F"/>
    <w:rsid w:val="0015614F"/>
    <w:rsid w:val="0015748A"/>
    <w:rsid w:val="001577C2"/>
    <w:rsid w:val="00160088"/>
    <w:rsid w:val="001614B8"/>
    <w:rsid w:val="00161CC6"/>
    <w:rsid w:val="001633C4"/>
    <w:rsid w:val="00164077"/>
    <w:rsid w:val="00164D73"/>
    <w:rsid w:val="00164F75"/>
    <w:rsid w:val="00165E86"/>
    <w:rsid w:val="001704D5"/>
    <w:rsid w:val="00170FB8"/>
    <w:rsid w:val="00171454"/>
    <w:rsid w:val="00171591"/>
    <w:rsid w:val="00173417"/>
    <w:rsid w:val="00173981"/>
    <w:rsid w:val="00174449"/>
    <w:rsid w:val="00175365"/>
    <w:rsid w:val="00176BB9"/>
    <w:rsid w:val="0017719D"/>
    <w:rsid w:val="00177F10"/>
    <w:rsid w:val="0018213F"/>
    <w:rsid w:val="00183427"/>
    <w:rsid w:val="00183FD7"/>
    <w:rsid w:val="00185CAB"/>
    <w:rsid w:val="0018750E"/>
    <w:rsid w:val="001875B7"/>
    <w:rsid w:val="00187CB3"/>
    <w:rsid w:val="0019050A"/>
    <w:rsid w:val="001910D4"/>
    <w:rsid w:val="00191714"/>
    <w:rsid w:val="00191CD8"/>
    <w:rsid w:val="001921A7"/>
    <w:rsid w:val="00192FA9"/>
    <w:rsid w:val="00195068"/>
    <w:rsid w:val="001976E3"/>
    <w:rsid w:val="001A0236"/>
    <w:rsid w:val="001A023A"/>
    <w:rsid w:val="001A087D"/>
    <w:rsid w:val="001A44EC"/>
    <w:rsid w:val="001A47D6"/>
    <w:rsid w:val="001A5731"/>
    <w:rsid w:val="001A6906"/>
    <w:rsid w:val="001A73E3"/>
    <w:rsid w:val="001B0D38"/>
    <w:rsid w:val="001B13BB"/>
    <w:rsid w:val="001B1680"/>
    <w:rsid w:val="001B3A14"/>
    <w:rsid w:val="001B3ED2"/>
    <w:rsid w:val="001B3F7D"/>
    <w:rsid w:val="001B48AA"/>
    <w:rsid w:val="001B58AA"/>
    <w:rsid w:val="001B727C"/>
    <w:rsid w:val="001B7E48"/>
    <w:rsid w:val="001C0166"/>
    <w:rsid w:val="001C17CE"/>
    <w:rsid w:val="001C333F"/>
    <w:rsid w:val="001C345C"/>
    <w:rsid w:val="001C36CA"/>
    <w:rsid w:val="001C438E"/>
    <w:rsid w:val="001C44D1"/>
    <w:rsid w:val="001C50DD"/>
    <w:rsid w:val="001C54A4"/>
    <w:rsid w:val="001C6883"/>
    <w:rsid w:val="001C6AEE"/>
    <w:rsid w:val="001C7630"/>
    <w:rsid w:val="001C779C"/>
    <w:rsid w:val="001D0DD6"/>
    <w:rsid w:val="001D3242"/>
    <w:rsid w:val="001D4854"/>
    <w:rsid w:val="001D49DC"/>
    <w:rsid w:val="001D6168"/>
    <w:rsid w:val="001D671A"/>
    <w:rsid w:val="001D6D15"/>
    <w:rsid w:val="001D7D0F"/>
    <w:rsid w:val="001E0734"/>
    <w:rsid w:val="001E0D99"/>
    <w:rsid w:val="001E39E1"/>
    <w:rsid w:val="001F1271"/>
    <w:rsid w:val="001F3D03"/>
    <w:rsid w:val="001F4809"/>
    <w:rsid w:val="001F4E5D"/>
    <w:rsid w:val="001F50F7"/>
    <w:rsid w:val="001F5784"/>
    <w:rsid w:val="001F5F00"/>
    <w:rsid w:val="001F7558"/>
    <w:rsid w:val="00201EE2"/>
    <w:rsid w:val="0020376B"/>
    <w:rsid w:val="00205B57"/>
    <w:rsid w:val="00205EE0"/>
    <w:rsid w:val="0021272A"/>
    <w:rsid w:val="00212C36"/>
    <w:rsid w:val="00213C05"/>
    <w:rsid w:val="0021426C"/>
    <w:rsid w:val="002157E0"/>
    <w:rsid w:val="002157FA"/>
    <w:rsid w:val="00216047"/>
    <w:rsid w:val="00216A57"/>
    <w:rsid w:val="00217448"/>
    <w:rsid w:val="0022007F"/>
    <w:rsid w:val="00220D6F"/>
    <w:rsid w:val="002214F0"/>
    <w:rsid w:val="00222E81"/>
    <w:rsid w:val="0022334F"/>
    <w:rsid w:val="00223EDD"/>
    <w:rsid w:val="0022432D"/>
    <w:rsid w:val="00224C29"/>
    <w:rsid w:val="00225E57"/>
    <w:rsid w:val="00226819"/>
    <w:rsid w:val="00230690"/>
    <w:rsid w:val="00231AC1"/>
    <w:rsid w:val="00232C29"/>
    <w:rsid w:val="00233101"/>
    <w:rsid w:val="00233126"/>
    <w:rsid w:val="00233817"/>
    <w:rsid w:val="00234406"/>
    <w:rsid w:val="00235087"/>
    <w:rsid w:val="0023539A"/>
    <w:rsid w:val="00236484"/>
    <w:rsid w:val="002367FF"/>
    <w:rsid w:val="00240A98"/>
    <w:rsid w:val="00240CE9"/>
    <w:rsid w:val="00242608"/>
    <w:rsid w:val="00242762"/>
    <w:rsid w:val="002434BA"/>
    <w:rsid w:val="00244689"/>
    <w:rsid w:val="00246089"/>
    <w:rsid w:val="00246093"/>
    <w:rsid w:val="00246702"/>
    <w:rsid w:val="002477F8"/>
    <w:rsid w:val="00247C59"/>
    <w:rsid w:val="00247F2E"/>
    <w:rsid w:val="00250ADC"/>
    <w:rsid w:val="00250B07"/>
    <w:rsid w:val="00251407"/>
    <w:rsid w:val="002533DD"/>
    <w:rsid w:val="002535C5"/>
    <w:rsid w:val="0025397D"/>
    <w:rsid w:val="00255D1E"/>
    <w:rsid w:val="00256932"/>
    <w:rsid w:val="00256EB1"/>
    <w:rsid w:val="00257553"/>
    <w:rsid w:val="00257FE6"/>
    <w:rsid w:val="00260FB2"/>
    <w:rsid w:val="0026187A"/>
    <w:rsid w:val="00262128"/>
    <w:rsid w:val="002621F1"/>
    <w:rsid w:val="0026272D"/>
    <w:rsid w:val="00267345"/>
    <w:rsid w:val="0027045A"/>
    <w:rsid w:val="0027165D"/>
    <w:rsid w:val="00271E5C"/>
    <w:rsid w:val="00272668"/>
    <w:rsid w:val="002726CF"/>
    <w:rsid w:val="00273B2B"/>
    <w:rsid w:val="00273CEB"/>
    <w:rsid w:val="00273F2C"/>
    <w:rsid w:val="002740A0"/>
    <w:rsid w:val="00274ECB"/>
    <w:rsid w:val="00275B2F"/>
    <w:rsid w:val="00277A62"/>
    <w:rsid w:val="00281427"/>
    <w:rsid w:val="002819CE"/>
    <w:rsid w:val="00281C62"/>
    <w:rsid w:val="00281C89"/>
    <w:rsid w:val="0028282F"/>
    <w:rsid w:val="0028337F"/>
    <w:rsid w:val="00283D44"/>
    <w:rsid w:val="0028543F"/>
    <w:rsid w:val="00285B39"/>
    <w:rsid w:val="00285C18"/>
    <w:rsid w:val="00285F29"/>
    <w:rsid w:val="0028663D"/>
    <w:rsid w:val="00286BCA"/>
    <w:rsid w:val="002873F4"/>
    <w:rsid w:val="002904F0"/>
    <w:rsid w:val="002914A3"/>
    <w:rsid w:val="002936D6"/>
    <w:rsid w:val="002949DE"/>
    <w:rsid w:val="00294F56"/>
    <w:rsid w:val="002954EA"/>
    <w:rsid w:val="0029593B"/>
    <w:rsid w:val="002971CE"/>
    <w:rsid w:val="00297FC5"/>
    <w:rsid w:val="002A0417"/>
    <w:rsid w:val="002A16D8"/>
    <w:rsid w:val="002A1BC8"/>
    <w:rsid w:val="002A3EF2"/>
    <w:rsid w:val="002A43D9"/>
    <w:rsid w:val="002A553F"/>
    <w:rsid w:val="002A6F92"/>
    <w:rsid w:val="002B0616"/>
    <w:rsid w:val="002B0DED"/>
    <w:rsid w:val="002B19A2"/>
    <w:rsid w:val="002B1A75"/>
    <w:rsid w:val="002B1DA4"/>
    <w:rsid w:val="002B381A"/>
    <w:rsid w:val="002B4FCC"/>
    <w:rsid w:val="002B581A"/>
    <w:rsid w:val="002B7408"/>
    <w:rsid w:val="002B7CFD"/>
    <w:rsid w:val="002C0099"/>
    <w:rsid w:val="002C0530"/>
    <w:rsid w:val="002C210F"/>
    <w:rsid w:val="002C59D9"/>
    <w:rsid w:val="002C5B16"/>
    <w:rsid w:val="002D0AAC"/>
    <w:rsid w:val="002D21A1"/>
    <w:rsid w:val="002D2D7D"/>
    <w:rsid w:val="002D3600"/>
    <w:rsid w:val="002D4BB6"/>
    <w:rsid w:val="002D4DFA"/>
    <w:rsid w:val="002D5489"/>
    <w:rsid w:val="002D5B72"/>
    <w:rsid w:val="002D67B5"/>
    <w:rsid w:val="002D6BA6"/>
    <w:rsid w:val="002E0501"/>
    <w:rsid w:val="002E1891"/>
    <w:rsid w:val="002E1C36"/>
    <w:rsid w:val="002E1CC4"/>
    <w:rsid w:val="002E313E"/>
    <w:rsid w:val="002E31AC"/>
    <w:rsid w:val="002E346B"/>
    <w:rsid w:val="002E360F"/>
    <w:rsid w:val="002E38D1"/>
    <w:rsid w:val="002E4DDC"/>
    <w:rsid w:val="002E4EC0"/>
    <w:rsid w:val="002E5250"/>
    <w:rsid w:val="002F2088"/>
    <w:rsid w:val="002F2205"/>
    <w:rsid w:val="002F3DDD"/>
    <w:rsid w:val="002F3E2E"/>
    <w:rsid w:val="002F4FD5"/>
    <w:rsid w:val="002F5B96"/>
    <w:rsid w:val="002F652F"/>
    <w:rsid w:val="002F6B6F"/>
    <w:rsid w:val="00301310"/>
    <w:rsid w:val="00302480"/>
    <w:rsid w:val="00302758"/>
    <w:rsid w:val="00303077"/>
    <w:rsid w:val="00305DB2"/>
    <w:rsid w:val="003066CB"/>
    <w:rsid w:val="00307451"/>
    <w:rsid w:val="003076DB"/>
    <w:rsid w:val="00310F56"/>
    <w:rsid w:val="0031194A"/>
    <w:rsid w:val="00311EF8"/>
    <w:rsid w:val="003128E6"/>
    <w:rsid w:val="00312A33"/>
    <w:rsid w:val="00312EC4"/>
    <w:rsid w:val="003131EC"/>
    <w:rsid w:val="00313843"/>
    <w:rsid w:val="003139B1"/>
    <w:rsid w:val="00313F92"/>
    <w:rsid w:val="003165E6"/>
    <w:rsid w:val="00316A6E"/>
    <w:rsid w:val="00320EB6"/>
    <w:rsid w:val="003215B5"/>
    <w:rsid w:val="003221CF"/>
    <w:rsid w:val="003233ED"/>
    <w:rsid w:val="00324D9F"/>
    <w:rsid w:val="003253EE"/>
    <w:rsid w:val="00325F76"/>
    <w:rsid w:val="00327948"/>
    <w:rsid w:val="0033000F"/>
    <w:rsid w:val="00330A5E"/>
    <w:rsid w:val="00332011"/>
    <w:rsid w:val="00332518"/>
    <w:rsid w:val="00332925"/>
    <w:rsid w:val="00332E3F"/>
    <w:rsid w:val="003332ED"/>
    <w:rsid w:val="00333586"/>
    <w:rsid w:val="003368DC"/>
    <w:rsid w:val="003404D2"/>
    <w:rsid w:val="003419B5"/>
    <w:rsid w:val="00341F75"/>
    <w:rsid w:val="003435A9"/>
    <w:rsid w:val="0034475D"/>
    <w:rsid w:val="0034490B"/>
    <w:rsid w:val="00344F4E"/>
    <w:rsid w:val="00344F50"/>
    <w:rsid w:val="003450C6"/>
    <w:rsid w:val="00345927"/>
    <w:rsid w:val="00345AA1"/>
    <w:rsid w:val="00350286"/>
    <w:rsid w:val="00350584"/>
    <w:rsid w:val="003505BC"/>
    <w:rsid w:val="003508B9"/>
    <w:rsid w:val="00351857"/>
    <w:rsid w:val="00351939"/>
    <w:rsid w:val="00351A72"/>
    <w:rsid w:val="003545E8"/>
    <w:rsid w:val="00354DCD"/>
    <w:rsid w:val="00354FB5"/>
    <w:rsid w:val="0035637A"/>
    <w:rsid w:val="003574CE"/>
    <w:rsid w:val="00357F29"/>
    <w:rsid w:val="00360131"/>
    <w:rsid w:val="00360CA5"/>
    <w:rsid w:val="003610E1"/>
    <w:rsid w:val="00361AF7"/>
    <w:rsid w:val="00362E9D"/>
    <w:rsid w:val="003637B1"/>
    <w:rsid w:val="0036652C"/>
    <w:rsid w:val="003671BE"/>
    <w:rsid w:val="00367FD7"/>
    <w:rsid w:val="0037048E"/>
    <w:rsid w:val="00372485"/>
    <w:rsid w:val="00373200"/>
    <w:rsid w:val="0037373A"/>
    <w:rsid w:val="00375EF5"/>
    <w:rsid w:val="00376765"/>
    <w:rsid w:val="003767A5"/>
    <w:rsid w:val="00377A8E"/>
    <w:rsid w:val="003803BD"/>
    <w:rsid w:val="00381CD1"/>
    <w:rsid w:val="00381D15"/>
    <w:rsid w:val="00383260"/>
    <w:rsid w:val="0038337D"/>
    <w:rsid w:val="003851C8"/>
    <w:rsid w:val="00385254"/>
    <w:rsid w:val="0038601A"/>
    <w:rsid w:val="003905A6"/>
    <w:rsid w:val="00390612"/>
    <w:rsid w:val="00390AF9"/>
    <w:rsid w:val="00390D91"/>
    <w:rsid w:val="003933E8"/>
    <w:rsid w:val="00393A7D"/>
    <w:rsid w:val="00394031"/>
    <w:rsid w:val="00395DB3"/>
    <w:rsid w:val="003963A2"/>
    <w:rsid w:val="00396DC2"/>
    <w:rsid w:val="003A0009"/>
    <w:rsid w:val="003A04DB"/>
    <w:rsid w:val="003A232A"/>
    <w:rsid w:val="003A5F5B"/>
    <w:rsid w:val="003A6C63"/>
    <w:rsid w:val="003A789A"/>
    <w:rsid w:val="003A78A5"/>
    <w:rsid w:val="003B12EC"/>
    <w:rsid w:val="003B332D"/>
    <w:rsid w:val="003B68C8"/>
    <w:rsid w:val="003B6A07"/>
    <w:rsid w:val="003C03B8"/>
    <w:rsid w:val="003C1730"/>
    <w:rsid w:val="003C4CDF"/>
    <w:rsid w:val="003C5310"/>
    <w:rsid w:val="003C568F"/>
    <w:rsid w:val="003C6965"/>
    <w:rsid w:val="003C6B4D"/>
    <w:rsid w:val="003C6C3E"/>
    <w:rsid w:val="003C7789"/>
    <w:rsid w:val="003C77E0"/>
    <w:rsid w:val="003D0A2B"/>
    <w:rsid w:val="003D0E64"/>
    <w:rsid w:val="003D0ED9"/>
    <w:rsid w:val="003D17D7"/>
    <w:rsid w:val="003D2678"/>
    <w:rsid w:val="003D3441"/>
    <w:rsid w:val="003D49F4"/>
    <w:rsid w:val="003D5B6D"/>
    <w:rsid w:val="003D5F49"/>
    <w:rsid w:val="003D61F9"/>
    <w:rsid w:val="003D676D"/>
    <w:rsid w:val="003D71A3"/>
    <w:rsid w:val="003E0053"/>
    <w:rsid w:val="003E199D"/>
    <w:rsid w:val="003E1F2F"/>
    <w:rsid w:val="003E2B8A"/>
    <w:rsid w:val="003E31F4"/>
    <w:rsid w:val="003E3777"/>
    <w:rsid w:val="003E4BE7"/>
    <w:rsid w:val="003E5913"/>
    <w:rsid w:val="003E5BD7"/>
    <w:rsid w:val="003E5E73"/>
    <w:rsid w:val="003E6705"/>
    <w:rsid w:val="003E70CA"/>
    <w:rsid w:val="003E711C"/>
    <w:rsid w:val="003F0995"/>
    <w:rsid w:val="003F10EE"/>
    <w:rsid w:val="003F16F6"/>
    <w:rsid w:val="003F28A6"/>
    <w:rsid w:val="003F3291"/>
    <w:rsid w:val="003F3755"/>
    <w:rsid w:val="003F409C"/>
    <w:rsid w:val="003F4BAF"/>
    <w:rsid w:val="003F4CC4"/>
    <w:rsid w:val="003F4DC7"/>
    <w:rsid w:val="003F5235"/>
    <w:rsid w:val="00400FD7"/>
    <w:rsid w:val="00401D63"/>
    <w:rsid w:val="004022DB"/>
    <w:rsid w:val="00402739"/>
    <w:rsid w:val="004027E4"/>
    <w:rsid w:val="004029C9"/>
    <w:rsid w:val="00402D94"/>
    <w:rsid w:val="00403A6D"/>
    <w:rsid w:val="004057D5"/>
    <w:rsid w:val="00407F16"/>
    <w:rsid w:val="0041071D"/>
    <w:rsid w:val="00410C42"/>
    <w:rsid w:val="004110ED"/>
    <w:rsid w:val="00414AFC"/>
    <w:rsid w:val="004151A7"/>
    <w:rsid w:val="00415310"/>
    <w:rsid w:val="004160D1"/>
    <w:rsid w:val="0041616A"/>
    <w:rsid w:val="004168AA"/>
    <w:rsid w:val="00417796"/>
    <w:rsid w:val="00420E42"/>
    <w:rsid w:val="004213A3"/>
    <w:rsid w:val="00421709"/>
    <w:rsid w:val="00422B1A"/>
    <w:rsid w:val="00422F05"/>
    <w:rsid w:val="00423763"/>
    <w:rsid w:val="0042384A"/>
    <w:rsid w:val="0042762F"/>
    <w:rsid w:val="00427643"/>
    <w:rsid w:val="00427DC7"/>
    <w:rsid w:val="0043122F"/>
    <w:rsid w:val="0043135C"/>
    <w:rsid w:val="00431613"/>
    <w:rsid w:val="00431792"/>
    <w:rsid w:val="00431D86"/>
    <w:rsid w:val="00431E93"/>
    <w:rsid w:val="004322B0"/>
    <w:rsid w:val="0043297A"/>
    <w:rsid w:val="00432EB2"/>
    <w:rsid w:val="0043686D"/>
    <w:rsid w:val="0043714F"/>
    <w:rsid w:val="004420E0"/>
    <w:rsid w:val="004428E8"/>
    <w:rsid w:val="004438B5"/>
    <w:rsid w:val="004442B1"/>
    <w:rsid w:val="00447037"/>
    <w:rsid w:val="00447E51"/>
    <w:rsid w:val="00450329"/>
    <w:rsid w:val="00451178"/>
    <w:rsid w:val="0045124D"/>
    <w:rsid w:val="00451557"/>
    <w:rsid w:val="00451A0B"/>
    <w:rsid w:val="0045375A"/>
    <w:rsid w:val="00454596"/>
    <w:rsid w:val="004548CA"/>
    <w:rsid w:val="00455DA5"/>
    <w:rsid w:val="0045605D"/>
    <w:rsid w:val="004566C7"/>
    <w:rsid w:val="00460C0C"/>
    <w:rsid w:val="004611F3"/>
    <w:rsid w:val="0046135B"/>
    <w:rsid w:val="00461D47"/>
    <w:rsid w:val="004631AE"/>
    <w:rsid w:val="0046335A"/>
    <w:rsid w:val="00465445"/>
    <w:rsid w:val="00465B24"/>
    <w:rsid w:val="00466A68"/>
    <w:rsid w:val="0046785D"/>
    <w:rsid w:val="004718CC"/>
    <w:rsid w:val="00471D25"/>
    <w:rsid w:val="00471EF1"/>
    <w:rsid w:val="0047278F"/>
    <w:rsid w:val="00473102"/>
    <w:rsid w:val="00473502"/>
    <w:rsid w:val="00473D5B"/>
    <w:rsid w:val="0047447A"/>
    <w:rsid w:val="00475670"/>
    <w:rsid w:val="0047787D"/>
    <w:rsid w:val="004806CC"/>
    <w:rsid w:val="00481695"/>
    <w:rsid w:val="00482788"/>
    <w:rsid w:val="004841D8"/>
    <w:rsid w:val="00484B34"/>
    <w:rsid w:val="00484FE4"/>
    <w:rsid w:val="00485187"/>
    <w:rsid w:val="004865B3"/>
    <w:rsid w:val="004867C2"/>
    <w:rsid w:val="00486FF6"/>
    <w:rsid w:val="00487F42"/>
    <w:rsid w:val="00490847"/>
    <w:rsid w:val="004926F9"/>
    <w:rsid w:val="0049413D"/>
    <w:rsid w:val="00495970"/>
    <w:rsid w:val="00495A96"/>
    <w:rsid w:val="00495BB3"/>
    <w:rsid w:val="00496984"/>
    <w:rsid w:val="00496BB0"/>
    <w:rsid w:val="004A1888"/>
    <w:rsid w:val="004A459F"/>
    <w:rsid w:val="004A5098"/>
    <w:rsid w:val="004A56BB"/>
    <w:rsid w:val="004A57EC"/>
    <w:rsid w:val="004A5FDD"/>
    <w:rsid w:val="004A70D6"/>
    <w:rsid w:val="004A75F7"/>
    <w:rsid w:val="004A7653"/>
    <w:rsid w:val="004B0D95"/>
    <w:rsid w:val="004B0E24"/>
    <w:rsid w:val="004B1751"/>
    <w:rsid w:val="004B197C"/>
    <w:rsid w:val="004B3F5E"/>
    <w:rsid w:val="004B6453"/>
    <w:rsid w:val="004B74E4"/>
    <w:rsid w:val="004C0253"/>
    <w:rsid w:val="004C0EC9"/>
    <w:rsid w:val="004C21E3"/>
    <w:rsid w:val="004C26F3"/>
    <w:rsid w:val="004C3BBF"/>
    <w:rsid w:val="004C3BD5"/>
    <w:rsid w:val="004C4A77"/>
    <w:rsid w:val="004C4B9C"/>
    <w:rsid w:val="004C5F66"/>
    <w:rsid w:val="004C7FFE"/>
    <w:rsid w:val="004D11B5"/>
    <w:rsid w:val="004D1581"/>
    <w:rsid w:val="004D1D24"/>
    <w:rsid w:val="004D22F7"/>
    <w:rsid w:val="004D455A"/>
    <w:rsid w:val="004D56FF"/>
    <w:rsid w:val="004E04D5"/>
    <w:rsid w:val="004E0CA8"/>
    <w:rsid w:val="004E156E"/>
    <w:rsid w:val="004E31DF"/>
    <w:rsid w:val="004E39D3"/>
    <w:rsid w:val="004E3A86"/>
    <w:rsid w:val="004E508A"/>
    <w:rsid w:val="004E59F0"/>
    <w:rsid w:val="004E616D"/>
    <w:rsid w:val="004F0DE3"/>
    <w:rsid w:val="004F1BDE"/>
    <w:rsid w:val="004F1D06"/>
    <w:rsid w:val="004F2135"/>
    <w:rsid w:val="004F2CEE"/>
    <w:rsid w:val="004F2E43"/>
    <w:rsid w:val="004F3409"/>
    <w:rsid w:val="004F3964"/>
    <w:rsid w:val="004F3A39"/>
    <w:rsid w:val="004F5477"/>
    <w:rsid w:val="004F556E"/>
    <w:rsid w:val="004F591C"/>
    <w:rsid w:val="004F7F44"/>
    <w:rsid w:val="005003ED"/>
    <w:rsid w:val="005005FF"/>
    <w:rsid w:val="005037B4"/>
    <w:rsid w:val="00504466"/>
    <w:rsid w:val="005058EB"/>
    <w:rsid w:val="0050735B"/>
    <w:rsid w:val="0050789D"/>
    <w:rsid w:val="005079BF"/>
    <w:rsid w:val="005102BD"/>
    <w:rsid w:val="0051269A"/>
    <w:rsid w:val="005129C5"/>
    <w:rsid w:val="00513A21"/>
    <w:rsid w:val="0051496C"/>
    <w:rsid w:val="0051617D"/>
    <w:rsid w:val="0051642A"/>
    <w:rsid w:val="005219E7"/>
    <w:rsid w:val="00523802"/>
    <w:rsid w:val="0052473B"/>
    <w:rsid w:val="005275DE"/>
    <w:rsid w:val="0052780B"/>
    <w:rsid w:val="00531B9A"/>
    <w:rsid w:val="00531D15"/>
    <w:rsid w:val="005322F1"/>
    <w:rsid w:val="005328F9"/>
    <w:rsid w:val="00536AE6"/>
    <w:rsid w:val="00537604"/>
    <w:rsid w:val="00541A05"/>
    <w:rsid w:val="00541CD9"/>
    <w:rsid w:val="00542377"/>
    <w:rsid w:val="005439AD"/>
    <w:rsid w:val="00543D46"/>
    <w:rsid w:val="005463F2"/>
    <w:rsid w:val="005476EB"/>
    <w:rsid w:val="00547B7F"/>
    <w:rsid w:val="00551782"/>
    <w:rsid w:val="00552802"/>
    <w:rsid w:val="00554AD2"/>
    <w:rsid w:val="00556020"/>
    <w:rsid w:val="00560485"/>
    <w:rsid w:val="0056095A"/>
    <w:rsid w:val="00560A01"/>
    <w:rsid w:val="00561913"/>
    <w:rsid w:val="00562D30"/>
    <w:rsid w:val="005639B6"/>
    <w:rsid w:val="00563EF1"/>
    <w:rsid w:val="00565727"/>
    <w:rsid w:val="00565A74"/>
    <w:rsid w:val="00566AB4"/>
    <w:rsid w:val="0057047C"/>
    <w:rsid w:val="00571AD7"/>
    <w:rsid w:val="00572075"/>
    <w:rsid w:val="00573733"/>
    <w:rsid w:val="00573812"/>
    <w:rsid w:val="0057504D"/>
    <w:rsid w:val="00575254"/>
    <w:rsid w:val="00575A6D"/>
    <w:rsid w:val="00575AC5"/>
    <w:rsid w:val="00575D1E"/>
    <w:rsid w:val="0057604C"/>
    <w:rsid w:val="0057605D"/>
    <w:rsid w:val="00577450"/>
    <w:rsid w:val="0057776E"/>
    <w:rsid w:val="00577A8A"/>
    <w:rsid w:val="00581347"/>
    <w:rsid w:val="00581AC9"/>
    <w:rsid w:val="00582E61"/>
    <w:rsid w:val="00583394"/>
    <w:rsid w:val="005849F8"/>
    <w:rsid w:val="00584B51"/>
    <w:rsid w:val="00592BA9"/>
    <w:rsid w:val="005931CB"/>
    <w:rsid w:val="0059362C"/>
    <w:rsid w:val="005938DF"/>
    <w:rsid w:val="00593CFF"/>
    <w:rsid w:val="00594960"/>
    <w:rsid w:val="00594E9C"/>
    <w:rsid w:val="00596E8A"/>
    <w:rsid w:val="005A020C"/>
    <w:rsid w:val="005A099B"/>
    <w:rsid w:val="005A10ED"/>
    <w:rsid w:val="005A21FC"/>
    <w:rsid w:val="005A2A90"/>
    <w:rsid w:val="005A2D9C"/>
    <w:rsid w:val="005A2E70"/>
    <w:rsid w:val="005A31C0"/>
    <w:rsid w:val="005A55FE"/>
    <w:rsid w:val="005A67B7"/>
    <w:rsid w:val="005A6A11"/>
    <w:rsid w:val="005A7C61"/>
    <w:rsid w:val="005B0A24"/>
    <w:rsid w:val="005B23CE"/>
    <w:rsid w:val="005B2E48"/>
    <w:rsid w:val="005B2F0D"/>
    <w:rsid w:val="005B362D"/>
    <w:rsid w:val="005B4AED"/>
    <w:rsid w:val="005B50A8"/>
    <w:rsid w:val="005B691E"/>
    <w:rsid w:val="005B7BA2"/>
    <w:rsid w:val="005C1A7A"/>
    <w:rsid w:val="005C2944"/>
    <w:rsid w:val="005C2F43"/>
    <w:rsid w:val="005C34EF"/>
    <w:rsid w:val="005C5572"/>
    <w:rsid w:val="005C7478"/>
    <w:rsid w:val="005D02ED"/>
    <w:rsid w:val="005D1715"/>
    <w:rsid w:val="005D1EFF"/>
    <w:rsid w:val="005D2502"/>
    <w:rsid w:val="005D4086"/>
    <w:rsid w:val="005D40BB"/>
    <w:rsid w:val="005D47F3"/>
    <w:rsid w:val="005D49BF"/>
    <w:rsid w:val="005D4AA5"/>
    <w:rsid w:val="005D5C23"/>
    <w:rsid w:val="005D67F9"/>
    <w:rsid w:val="005D6F4E"/>
    <w:rsid w:val="005D7C73"/>
    <w:rsid w:val="005E03ED"/>
    <w:rsid w:val="005E0D93"/>
    <w:rsid w:val="005E13E2"/>
    <w:rsid w:val="005E1DE0"/>
    <w:rsid w:val="005E250B"/>
    <w:rsid w:val="005E3077"/>
    <w:rsid w:val="005E3ACD"/>
    <w:rsid w:val="005E3D63"/>
    <w:rsid w:val="005E6B68"/>
    <w:rsid w:val="005E6EF7"/>
    <w:rsid w:val="005E7226"/>
    <w:rsid w:val="005E755A"/>
    <w:rsid w:val="005E7A57"/>
    <w:rsid w:val="005F10FE"/>
    <w:rsid w:val="005F2168"/>
    <w:rsid w:val="005F24B0"/>
    <w:rsid w:val="005F26A5"/>
    <w:rsid w:val="005F2B4C"/>
    <w:rsid w:val="005F4276"/>
    <w:rsid w:val="005F4B3B"/>
    <w:rsid w:val="005F5578"/>
    <w:rsid w:val="005F72C9"/>
    <w:rsid w:val="005F7476"/>
    <w:rsid w:val="00601396"/>
    <w:rsid w:val="00601E4B"/>
    <w:rsid w:val="00603ACA"/>
    <w:rsid w:val="00603EBA"/>
    <w:rsid w:val="00604315"/>
    <w:rsid w:val="00604C60"/>
    <w:rsid w:val="00604E26"/>
    <w:rsid w:val="0060523F"/>
    <w:rsid w:val="006052CF"/>
    <w:rsid w:val="006056A4"/>
    <w:rsid w:val="00606B49"/>
    <w:rsid w:val="00607B8D"/>
    <w:rsid w:val="00610665"/>
    <w:rsid w:val="00611F5C"/>
    <w:rsid w:val="00612773"/>
    <w:rsid w:val="006157ED"/>
    <w:rsid w:val="00616E09"/>
    <w:rsid w:val="0061710F"/>
    <w:rsid w:val="006175A6"/>
    <w:rsid w:val="00621239"/>
    <w:rsid w:val="0062210D"/>
    <w:rsid w:val="00622A3B"/>
    <w:rsid w:val="00622EEA"/>
    <w:rsid w:val="0062396C"/>
    <w:rsid w:val="00623FF9"/>
    <w:rsid w:val="0062437D"/>
    <w:rsid w:val="0062463C"/>
    <w:rsid w:val="00625C7B"/>
    <w:rsid w:val="00626F05"/>
    <w:rsid w:val="00627D4E"/>
    <w:rsid w:val="00632B89"/>
    <w:rsid w:val="006331C3"/>
    <w:rsid w:val="0063346D"/>
    <w:rsid w:val="00634478"/>
    <w:rsid w:val="0063553C"/>
    <w:rsid w:val="00635696"/>
    <w:rsid w:val="0064063D"/>
    <w:rsid w:val="00641002"/>
    <w:rsid w:val="006411EA"/>
    <w:rsid w:val="006414CC"/>
    <w:rsid w:val="00641D88"/>
    <w:rsid w:val="0064266A"/>
    <w:rsid w:val="00643CC3"/>
    <w:rsid w:val="0064419C"/>
    <w:rsid w:val="00644273"/>
    <w:rsid w:val="00644373"/>
    <w:rsid w:val="006454AB"/>
    <w:rsid w:val="00645915"/>
    <w:rsid w:val="00645D61"/>
    <w:rsid w:val="00646199"/>
    <w:rsid w:val="006462DD"/>
    <w:rsid w:val="00646BCE"/>
    <w:rsid w:val="00646CC4"/>
    <w:rsid w:val="006500E8"/>
    <w:rsid w:val="006503B2"/>
    <w:rsid w:val="00651713"/>
    <w:rsid w:val="006519C3"/>
    <w:rsid w:val="006523AF"/>
    <w:rsid w:val="00652B30"/>
    <w:rsid w:val="006539E0"/>
    <w:rsid w:val="0065467C"/>
    <w:rsid w:val="00654B8D"/>
    <w:rsid w:val="00654EDF"/>
    <w:rsid w:val="00655461"/>
    <w:rsid w:val="00655F69"/>
    <w:rsid w:val="00656345"/>
    <w:rsid w:val="00656DC6"/>
    <w:rsid w:val="006570D7"/>
    <w:rsid w:val="00657265"/>
    <w:rsid w:val="0065795E"/>
    <w:rsid w:val="00657E53"/>
    <w:rsid w:val="00660615"/>
    <w:rsid w:val="0066091B"/>
    <w:rsid w:val="00660EC6"/>
    <w:rsid w:val="00662750"/>
    <w:rsid w:val="00662C5D"/>
    <w:rsid w:val="00662C92"/>
    <w:rsid w:val="00663C0C"/>
    <w:rsid w:val="00664110"/>
    <w:rsid w:val="00664D17"/>
    <w:rsid w:val="006650D3"/>
    <w:rsid w:val="00666520"/>
    <w:rsid w:val="00667C5B"/>
    <w:rsid w:val="0067038A"/>
    <w:rsid w:val="00670A01"/>
    <w:rsid w:val="006721C9"/>
    <w:rsid w:val="006740CA"/>
    <w:rsid w:val="00674449"/>
    <w:rsid w:val="00674734"/>
    <w:rsid w:val="00675E29"/>
    <w:rsid w:val="00676C4A"/>
    <w:rsid w:val="00676DEB"/>
    <w:rsid w:val="006802BF"/>
    <w:rsid w:val="00681F88"/>
    <w:rsid w:val="00682292"/>
    <w:rsid w:val="00682E31"/>
    <w:rsid w:val="006864EE"/>
    <w:rsid w:val="00691EB8"/>
    <w:rsid w:val="00692CDE"/>
    <w:rsid w:val="00693073"/>
    <w:rsid w:val="00695E7A"/>
    <w:rsid w:val="0069685D"/>
    <w:rsid w:val="00696CD8"/>
    <w:rsid w:val="006977FF"/>
    <w:rsid w:val="006A01FA"/>
    <w:rsid w:val="006A0E9E"/>
    <w:rsid w:val="006A1689"/>
    <w:rsid w:val="006A25C7"/>
    <w:rsid w:val="006A2A52"/>
    <w:rsid w:val="006A30C3"/>
    <w:rsid w:val="006A360E"/>
    <w:rsid w:val="006A3ECF"/>
    <w:rsid w:val="006A4AAD"/>
    <w:rsid w:val="006A4CCA"/>
    <w:rsid w:val="006A50C7"/>
    <w:rsid w:val="006A6DA2"/>
    <w:rsid w:val="006A725C"/>
    <w:rsid w:val="006A7AB2"/>
    <w:rsid w:val="006B0765"/>
    <w:rsid w:val="006B0912"/>
    <w:rsid w:val="006B0D03"/>
    <w:rsid w:val="006B1EF5"/>
    <w:rsid w:val="006B4E00"/>
    <w:rsid w:val="006B52DE"/>
    <w:rsid w:val="006B5717"/>
    <w:rsid w:val="006B582F"/>
    <w:rsid w:val="006B5BD9"/>
    <w:rsid w:val="006B5EB2"/>
    <w:rsid w:val="006B6057"/>
    <w:rsid w:val="006B6CEB"/>
    <w:rsid w:val="006C01EF"/>
    <w:rsid w:val="006C0568"/>
    <w:rsid w:val="006C0CEB"/>
    <w:rsid w:val="006C1631"/>
    <w:rsid w:val="006C185E"/>
    <w:rsid w:val="006C1F10"/>
    <w:rsid w:val="006C2138"/>
    <w:rsid w:val="006C3B1E"/>
    <w:rsid w:val="006C47FD"/>
    <w:rsid w:val="006C54B1"/>
    <w:rsid w:val="006C590B"/>
    <w:rsid w:val="006C592D"/>
    <w:rsid w:val="006C5A52"/>
    <w:rsid w:val="006C5C19"/>
    <w:rsid w:val="006C5FD4"/>
    <w:rsid w:val="006C6504"/>
    <w:rsid w:val="006C70A0"/>
    <w:rsid w:val="006C7175"/>
    <w:rsid w:val="006D0861"/>
    <w:rsid w:val="006D0D1D"/>
    <w:rsid w:val="006D27CB"/>
    <w:rsid w:val="006D2F08"/>
    <w:rsid w:val="006D39D0"/>
    <w:rsid w:val="006D3D0D"/>
    <w:rsid w:val="006D42CC"/>
    <w:rsid w:val="006D576C"/>
    <w:rsid w:val="006D5865"/>
    <w:rsid w:val="006D5D06"/>
    <w:rsid w:val="006D78C3"/>
    <w:rsid w:val="006E04EC"/>
    <w:rsid w:val="006E0FA6"/>
    <w:rsid w:val="006E2488"/>
    <w:rsid w:val="006E30AC"/>
    <w:rsid w:val="006E388C"/>
    <w:rsid w:val="006E4B1B"/>
    <w:rsid w:val="006E5445"/>
    <w:rsid w:val="006E5A7E"/>
    <w:rsid w:val="006E7D93"/>
    <w:rsid w:val="006F005F"/>
    <w:rsid w:val="006F2E80"/>
    <w:rsid w:val="006F39D0"/>
    <w:rsid w:val="006F4641"/>
    <w:rsid w:val="006F5628"/>
    <w:rsid w:val="006F5851"/>
    <w:rsid w:val="006F71B7"/>
    <w:rsid w:val="0070133D"/>
    <w:rsid w:val="00701D15"/>
    <w:rsid w:val="007025B7"/>
    <w:rsid w:val="007029A3"/>
    <w:rsid w:val="00703FF3"/>
    <w:rsid w:val="007044FD"/>
    <w:rsid w:val="0070488E"/>
    <w:rsid w:val="00706E4E"/>
    <w:rsid w:val="00707687"/>
    <w:rsid w:val="0070791C"/>
    <w:rsid w:val="007109CF"/>
    <w:rsid w:val="007118A2"/>
    <w:rsid w:val="00712040"/>
    <w:rsid w:val="0071332A"/>
    <w:rsid w:val="0071383C"/>
    <w:rsid w:val="007141A7"/>
    <w:rsid w:val="00715722"/>
    <w:rsid w:val="00715BAF"/>
    <w:rsid w:val="00715C49"/>
    <w:rsid w:val="00720A0B"/>
    <w:rsid w:val="00721032"/>
    <w:rsid w:val="00721859"/>
    <w:rsid w:val="00721B55"/>
    <w:rsid w:val="00721D92"/>
    <w:rsid w:val="007223B7"/>
    <w:rsid w:val="00723CEB"/>
    <w:rsid w:val="00725CF6"/>
    <w:rsid w:val="007265FF"/>
    <w:rsid w:val="00726CE4"/>
    <w:rsid w:val="00727B27"/>
    <w:rsid w:val="007305BF"/>
    <w:rsid w:val="0073100E"/>
    <w:rsid w:val="007320A8"/>
    <w:rsid w:val="00732759"/>
    <w:rsid w:val="0073329B"/>
    <w:rsid w:val="00733661"/>
    <w:rsid w:val="00734143"/>
    <w:rsid w:val="00734310"/>
    <w:rsid w:val="00735C29"/>
    <w:rsid w:val="00735CA0"/>
    <w:rsid w:val="00736F07"/>
    <w:rsid w:val="00737E47"/>
    <w:rsid w:val="00740EAC"/>
    <w:rsid w:val="007415C3"/>
    <w:rsid w:val="00741F4F"/>
    <w:rsid w:val="00742B3E"/>
    <w:rsid w:val="00744956"/>
    <w:rsid w:val="00744D16"/>
    <w:rsid w:val="00745A5C"/>
    <w:rsid w:val="0074605F"/>
    <w:rsid w:val="00747579"/>
    <w:rsid w:val="00747E94"/>
    <w:rsid w:val="007517B9"/>
    <w:rsid w:val="00751C14"/>
    <w:rsid w:val="00753322"/>
    <w:rsid w:val="00754C83"/>
    <w:rsid w:val="00757EEA"/>
    <w:rsid w:val="0076145C"/>
    <w:rsid w:val="00761E5C"/>
    <w:rsid w:val="00762752"/>
    <w:rsid w:val="007642AC"/>
    <w:rsid w:val="00765DF8"/>
    <w:rsid w:val="00766749"/>
    <w:rsid w:val="00767C1B"/>
    <w:rsid w:val="00770B3F"/>
    <w:rsid w:val="0077142E"/>
    <w:rsid w:val="007714A9"/>
    <w:rsid w:val="0077235F"/>
    <w:rsid w:val="00774D10"/>
    <w:rsid w:val="00774D94"/>
    <w:rsid w:val="00774F88"/>
    <w:rsid w:val="00774FDB"/>
    <w:rsid w:val="00775186"/>
    <w:rsid w:val="00775CAE"/>
    <w:rsid w:val="007769B7"/>
    <w:rsid w:val="00777792"/>
    <w:rsid w:val="00777BA2"/>
    <w:rsid w:val="00780584"/>
    <w:rsid w:val="00781408"/>
    <w:rsid w:val="00781AB3"/>
    <w:rsid w:val="0078269A"/>
    <w:rsid w:val="007837FE"/>
    <w:rsid w:val="0078454D"/>
    <w:rsid w:val="00784F7F"/>
    <w:rsid w:val="007855B4"/>
    <w:rsid w:val="007878BD"/>
    <w:rsid w:val="00790595"/>
    <w:rsid w:val="00790E3E"/>
    <w:rsid w:val="007927E7"/>
    <w:rsid w:val="00792D5F"/>
    <w:rsid w:val="00793B9E"/>
    <w:rsid w:val="00796F25"/>
    <w:rsid w:val="007971E9"/>
    <w:rsid w:val="00797A24"/>
    <w:rsid w:val="007A2E98"/>
    <w:rsid w:val="007A3BA3"/>
    <w:rsid w:val="007A3C44"/>
    <w:rsid w:val="007A508F"/>
    <w:rsid w:val="007A5ABE"/>
    <w:rsid w:val="007A6516"/>
    <w:rsid w:val="007A6CC0"/>
    <w:rsid w:val="007A7734"/>
    <w:rsid w:val="007A7FEC"/>
    <w:rsid w:val="007B0F2E"/>
    <w:rsid w:val="007B1499"/>
    <w:rsid w:val="007B191A"/>
    <w:rsid w:val="007B1BBF"/>
    <w:rsid w:val="007B2960"/>
    <w:rsid w:val="007B355D"/>
    <w:rsid w:val="007B4694"/>
    <w:rsid w:val="007B4CCD"/>
    <w:rsid w:val="007B5DF2"/>
    <w:rsid w:val="007B5FAB"/>
    <w:rsid w:val="007B612E"/>
    <w:rsid w:val="007B7980"/>
    <w:rsid w:val="007C0DEF"/>
    <w:rsid w:val="007C1AF4"/>
    <w:rsid w:val="007C3005"/>
    <w:rsid w:val="007C3A21"/>
    <w:rsid w:val="007C400F"/>
    <w:rsid w:val="007C5D5A"/>
    <w:rsid w:val="007C607F"/>
    <w:rsid w:val="007C6475"/>
    <w:rsid w:val="007C66E9"/>
    <w:rsid w:val="007C6DFA"/>
    <w:rsid w:val="007C79DD"/>
    <w:rsid w:val="007D0B57"/>
    <w:rsid w:val="007D1A97"/>
    <w:rsid w:val="007D1C6A"/>
    <w:rsid w:val="007D1CF4"/>
    <w:rsid w:val="007D23C1"/>
    <w:rsid w:val="007D2CD6"/>
    <w:rsid w:val="007D3063"/>
    <w:rsid w:val="007D38B7"/>
    <w:rsid w:val="007D3CEB"/>
    <w:rsid w:val="007D3DBB"/>
    <w:rsid w:val="007D4C8E"/>
    <w:rsid w:val="007D5A34"/>
    <w:rsid w:val="007D5A5E"/>
    <w:rsid w:val="007D79A7"/>
    <w:rsid w:val="007D7BEB"/>
    <w:rsid w:val="007E066C"/>
    <w:rsid w:val="007E0F15"/>
    <w:rsid w:val="007E157B"/>
    <w:rsid w:val="007E203A"/>
    <w:rsid w:val="007E2A18"/>
    <w:rsid w:val="007E47E6"/>
    <w:rsid w:val="007E554C"/>
    <w:rsid w:val="007E61B5"/>
    <w:rsid w:val="007E7683"/>
    <w:rsid w:val="007F0B55"/>
    <w:rsid w:val="007F1325"/>
    <w:rsid w:val="007F4176"/>
    <w:rsid w:val="007F4901"/>
    <w:rsid w:val="007F49FA"/>
    <w:rsid w:val="007F54C4"/>
    <w:rsid w:val="007F6E9A"/>
    <w:rsid w:val="007F743B"/>
    <w:rsid w:val="00800CCD"/>
    <w:rsid w:val="00801363"/>
    <w:rsid w:val="00801FEB"/>
    <w:rsid w:val="00802C5E"/>
    <w:rsid w:val="008031B4"/>
    <w:rsid w:val="008044D4"/>
    <w:rsid w:val="008062FC"/>
    <w:rsid w:val="00806D9A"/>
    <w:rsid w:val="00807B81"/>
    <w:rsid w:val="00810AB4"/>
    <w:rsid w:val="00811089"/>
    <w:rsid w:val="0081134D"/>
    <w:rsid w:val="008131D8"/>
    <w:rsid w:val="0081497A"/>
    <w:rsid w:val="00817B56"/>
    <w:rsid w:val="00817EB6"/>
    <w:rsid w:val="00817F1A"/>
    <w:rsid w:val="008218B4"/>
    <w:rsid w:val="00821A88"/>
    <w:rsid w:val="00821D9E"/>
    <w:rsid w:val="008229BC"/>
    <w:rsid w:val="0082322E"/>
    <w:rsid w:val="00823911"/>
    <w:rsid w:val="0082495D"/>
    <w:rsid w:val="008268B4"/>
    <w:rsid w:val="00827430"/>
    <w:rsid w:val="00830416"/>
    <w:rsid w:val="00830A37"/>
    <w:rsid w:val="00831AC3"/>
    <w:rsid w:val="00832C72"/>
    <w:rsid w:val="00833AC8"/>
    <w:rsid w:val="0083436E"/>
    <w:rsid w:val="00836FCE"/>
    <w:rsid w:val="008408FF"/>
    <w:rsid w:val="0084276F"/>
    <w:rsid w:val="00842881"/>
    <w:rsid w:val="00842CB4"/>
    <w:rsid w:val="008445CF"/>
    <w:rsid w:val="00844B4C"/>
    <w:rsid w:val="008475BE"/>
    <w:rsid w:val="008475DE"/>
    <w:rsid w:val="00850007"/>
    <w:rsid w:val="008500E5"/>
    <w:rsid w:val="00850CB8"/>
    <w:rsid w:val="00850F83"/>
    <w:rsid w:val="00851670"/>
    <w:rsid w:val="00851F3F"/>
    <w:rsid w:val="008528F3"/>
    <w:rsid w:val="00852B85"/>
    <w:rsid w:val="00853998"/>
    <w:rsid w:val="00856C4F"/>
    <w:rsid w:val="00856EDC"/>
    <w:rsid w:val="00857051"/>
    <w:rsid w:val="00857891"/>
    <w:rsid w:val="00860370"/>
    <w:rsid w:val="00860DF6"/>
    <w:rsid w:val="00860E23"/>
    <w:rsid w:val="008623B5"/>
    <w:rsid w:val="00862608"/>
    <w:rsid w:val="00864E20"/>
    <w:rsid w:val="00866881"/>
    <w:rsid w:val="00867254"/>
    <w:rsid w:val="00870ABA"/>
    <w:rsid w:val="008710E1"/>
    <w:rsid w:val="0087119C"/>
    <w:rsid w:val="008716E5"/>
    <w:rsid w:val="00872D91"/>
    <w:rsid w:val="00872EEB"/>
    <w:rsid w:val="008734C0"/>
    <w:rsid w:val="00874A2C"/>
    <w:rsid w:val="008750D1"/>
    <w:rsid w:val="0087548E"/>
    <w:rsid w:val="00875D14"/>
    <w:rsid w:val="00880CC1"/>
    <w:rsid w:val="00881231"/>
    <w:rsid w:val="00881CA9"/>
    <w:rsid w:val="00883628"/>
    <w:rsid w:val="008838AF"/>
    <w:rsid w:val="00883FA1"/>
    <w:rsid w:val="0088408A"/>
    <w:rsid w:val="00884586"/>
    <w:rsid w:val="00885544"/>
    <w:rsid w:val="0088585A"/>
    <w:rsid w:val="0088634E"/>
    <w:rsid w:val="00893AB8"/>
    <w:rsid w:val="00894218"/>
    <w:rsid w:val="00895297"/>
    <w:rsid w:val="008A04C8"/>
    <w:rsid w:val="008A0B15"/>
    <w:rsid w:val="008A236B"/>
    <w:rsid w:val="008A2F9C"/>
    <w:rsid w:val="008A35DA"/>
    <w:rsid w:val="008A3AE5"/>
    <w:rsid w:val="008A3F3F"/>
    <w:rsid w:val="008A4066"/>
    <w:rsid w:val="008A4271"/>
    <w:rsid w:val="008A6913"/>
    <w:rsid w:val="008A797B"/>
    <w:rsid w:val="008A7CD0"/>
    <w:rsid w:val="008B0645"/>
    <w:rsid w:val="008B190A"/>
    <w:rsid w:val="008B22EF"/>
    <w:rsid w:val="008B375D"/>
    <w:rsid w:val="008B42E1"/>
    <w:rsid w:val="008B61A5"/>
    <w:rsid w:val="008B70F3"/>
    <w:rsid w:val="008B71C4"/>
    <w:rsid w:val="008B7354"/>
    <w:rsid w:val="008B765E"/>
    <w:rsid w:val="008B76DF"/>
    <w:rsid w:val="008C10F4"/>
    <w:rsid w:val="008C23AA"/>
    <w:rsid w:val="008C65F7"/>
    <w:rsid w:val="008D0C27"/>
    <w:rsid w:val="008D22DF"/>
    <w:rsid w:val="008D26C4"/>
    <w:rsid w:val="008D3011"/>
    <w:rsid w:val="008D4E2F"/>
    <w:rsid w:val="008D58CE"/>
    <w:rsid w:val="008D68DB"/>
    <w:rsid w:val="008D6F26"/>
    <w:rsid w:val="008D6F61"/>
    <w:rsid w:val="008D7F1F"/>
    <w:rsid w:val="008E0428"/>
    <w:rsid w:val="008E1E27"/>
    <w:rsid w:val="008E2409"/>
    <w:rsid w:val="008E2480"/>
    <w:rsid w:val="008E360D"/>
    <w:rsid w:val="008E4767"/>
    <w:rsid w:val="008E4795"/>
    <w:rsid w:val="008E5A74"/>
    <w:rsid w:val="008E6095"/>
    <w:rsid w:val="008E7A8C"/>
    <w:rsid w:val="008F13DF"/>
    <w:rsid w:val="008F499F"/>
    <w:rsid w:val="008F5E26"/>
    <w:rsid w:val="009009A5"/>
    <w:rsid w:val="0090177E"/>
    <w:rsid w:val="00901C17"/>
    <w:rsid w:val="00901F44"/>
    <w:rsid w:val="00901F80"/>
    <w:rsid w:val="0090203B"/>
    <w:rsid w:val="00902243"/>
    <w:rsid w:val="009022EC"/>
    <w:rsid w:val="009024F3"/>
    <w:rsid w:val="00903285"/>
    <w:rsid w:val="009039E3"/>
    <w:rsid w:val="00903C3A"/>
    <w:rsid w:val="00904F9B"/>
    <w:rsid w:val="00906F40"/>
    <w:rsid w:val="0090731E"/>
    <w:rsid w:val="009078AE"/>
    <w:rsid w:val="0091108C"/>
    <w:rsid w:val="009111E3"/>
    <w:rsid w:val="00911959"/>
    <w:rsid w:val="00911A0B"/>
    <w:rsid w:val="00911C03"/>
    <w:rsid w:val="00912FAE"/>
    <w:rsid w:val="0091346D"/>
    <w:rsid w:val="009135EA"/>
    <w:rsid w:val="0091376D"/>
    <w:rsid w:val="00915B1C"/>
    <w:rsid w:val="009174F3"/>
    <w:rsid w:val="0091797D"/>
    <w:rsid w:val="0092372D"/>
    <w:rsid w:val="009237FC"/>
    <w:rsid w:val="00923CBA"/>
    <w:rsid w:val="00926703"/>
    <w:rsid w:val="00927059"/>
    <w:rsid w:val="00927691"/>
    <w:rsid w:val="00927A5F"/>
    <w:rsid w:val="009300BB"/>
    <w:rsid w:val="00930510"/>
    <w:rsid w:val="00935AA7"/>
    <w:rsid w:val="00935B63"/>
    <w:rsid w:val="00936556"/>
    <w:rsid w:val="009367CC"/>
    <w:rsid w:val="00936E95"/>
    <w:rsid w:val="009375A6"/>
    <w:rsid w:val="00937698"/>
    <w:rsid w:val="00937C26"/>
    <w:rsid w:val="00937DB5"/>
    <w:rsid w:val="009401D2"/>
    <w:rsid w:val="0094078F"/>
    <w:rsid w:val="00940FA3"/>
    <w:rsid w:val="0094166B"/>
    <w:rsid w:val="00941FB0"/>
    <w:rsid w:val="009426D4"/>
    <w:rsid w:val="00943295"/>
    <w:rsid w:val="00943817"/>
    <w:rsid w:val="00943B7F"/>
    <w:rsid w:val="009443E9"/>
    <w:rsid w:val="009453D0"/>
    <w:rsid w:val="0094566C"/>
    <w:rsid w:val="00947692"/>
    <w:rsid w:val="00947F25"/>
    <w:rsid w:val="00950159"/>
    <w:rsid w:val="00950630"/>
    <w:rsid w:val="00951178"/>
    <w:rsid w:val="00951355"/>
    <w:rsid w:val="00952DB4"/>
    <w:rsid w:val="00952EAE"/>
    <w:rsid w:val="00954077"/>
    <w:rsid w:val="0095490B"/>
    <w:rsid w:val="009551EA"/>
    <w:rsid w:val="009565A6"/>
    <w:rsid w:val="0096068E"/>
    <w:rsid w:val="00960A33"/>
    <w:rsid w:val="00962472"/>
    <w:rsid w:val="00963126"/>
    <w:rsid w:val="0096394F"/>
    <w:rsid w:val="00964718"/>
    <w:rsid w:val="00965BAF"/>
    <w:rsid w:val="00966E6E"/>
    <w:rsid w:val="00967BFA"/>
    <w:rsid w:val="00970218"/>
    <w:rsid w:val="00971914"/>
    <w:rsid w:val="00973988"/>
    <w:rsid w:val="00974363"/>
    <w:rsid w:val="00975F3C"/>
    <w:rsid w:val="009804F3"/>
    <w:rsid w:val="00980D9C"/>
    <w:rsid w:val="0098175C"/>
    <w:rsid w:val="00981898"/>
    <w:rsid w:val="009819C7"/>
    <w:rsid w:val="009849EB"/>
    <w:rsid w:val="009859BD"/>
    <w:rsid w:val="00986448"/>
    <w:rsid w:val="0098671F"/>
    <w:rsid w:val="00987179"/>
    <w:rsid w:val="009879DC"/>
    <w:rsid w:val="009905B2"/>
    <w:rsid w:val="00991D8C"/>
    <w:rsid w:val="00991E30"/>
    <w:rsid w:val="009920E3"/>
    <w:rsid w:val="00992CAA"/>
    <w:rsid w:val="0099400D"/>
    <w:rsid w:val="0099488F"/>
    <w:rsid w:val="0099577C"/>
    <w:rsid w:val="00995BF2"/>
    <w:rsid w:val="00995F89"/>
    <w:rsid w:val="009A021C"/>
    <w:rsid w:val="009A0975"/>
    <w:rsid w:val="009A0FF4"/>
    <w:rsid w:val="009A1A92"/>
    <w:rsid w:val="009A25CC"/>
    <w:rsid w:val="009A4CF1"/>
    <w:rsid w:val="009A4D12"/>
    <w:rsid w:val="009A5298"/>
    <w:rsid w:val="009A585B"/>
    <w:rsid w:val="009A5D09"/>
    <w:rsid w:val="009B19D4"/>
    <w:rsid w:val="009B2000"/>
    <w:rsid w:val="009B24A5"/>
    <w:rsid w:val="009B2601"/>
    <w:rsid w:val="009B4E9E"/>
    <w:rsid w:val="009B5CB7"/>
    <w:rsid w:val="009C06E0"/>
    <w:rsid w:val="009C0880"/>
    <w:rsid w:val="009C1690"/>
    <w:rsid w:val="009C2480"/>
    <w:rsid w:val="009C35B7"/>
    <w:rsid w:val="009C4D45"/>
    <w:rsid w:val="009C5A59"/>
    <w:rsid w:val="009C5AC1"/>
    <w:rsid w:val="009C64D0"/>
    <w:rsid w:val="009C6881"/>
    <w:rsid w:val="009C7759"/>
    <w:rsid w:val="009D029A"/>
    <w:rsid w:val="009D043D"/>
    <w:rsid w:val="009D0452"/>
    <w:rsid w:val="009D07C8"/>
    <w:rsid w:val="009D30D0"/>
    <w:rsid w:val="009D43B9"/>
    <w:rsid w:val="009D4C85"/>
    <w:rsid w:val="009D6C71"/>
    <w:rsid w:val="009D6F1A"/>
    <w:rsid w:val="009D7E2D"/>
    <w:rsid w:val="009D7FEC"/>
    <w:rsid w:val="009E0631"/>
    <w:rsid w:val="009E0C17"/>
    <w:rsid w:val="009E16D0"/>
    <w:rsid w:val="009E1C24"/>
    <w:rsid w:val="009E2051"/>
    <w:rsid w:val="009E38FD"/>
    <w:rsid w:val="009E3953"/>
    <w:rsid w:val="009E432B"/>
    <w:rsid w:val="009E5BF1"/>
    <w:rsid w:val="009E7BAF"/>
    <w:rsid w:val="009F0499"/>
    <w:rsid w:val="009F0B70"/>
    <w:rsid w:val="009F13D6"/>
    <w:rsid w:val="009F1D71"/>
    <w:rsid w:val="009F2584"/>
    <w:rsid w:val="009F4C6B"/>
    <w:rsid w:val="009F50C4"/>
    <w:rsid w:val="009F6181"/>
    <w:rsid w:val="009F661A"/>
    <w:rsid w:val="009F78A8"/>
    <w:rsid w:val="00A0142F"/>
    <w:rsid w:val="00A017E0"/>
    <w:rsid w:val="00A02AD6"/>
    <w:rsid w:val="00A05283"/>
    <w:rsid w:val="00A05F3A"/>
    <w:rsid w:val="00A065C0"/>
    <w:rsid w:val="00A07096"/>
    <w:rsid w:val="00A07318"/>
    <w:rsid w:val="00A078B1"/>
    <w:rsid w:val="00A07E17"/>
    <w:rsid w:val="00A11370"/>
    <w:rsid w:val="00A13801"/>
    <w:rsid w:val="00A17166"/>
    <w:rsid w:val="00A17CE3"/>
    <w:rsid w:val="00A20EB3"/>
    <w:rsid w:val="00A21257"/>
    <w:rsid w:val="00A21B4E"/>
    <w:rsid w:val="00A224CE"/>
    <w:rsid w:val="00A22522"/>
    <w:rsid w:val="00A234DE"/>
    <w:rsid w:val="00A2499B"/>
    <w:rsid w:val="00A24AFD"/>
    <w:rsid w:val="00A24F5C"/>
    <w:rsid w:val="00A257E7"/>
    <w:rsid w:val="00A260BA"/>
    <w:rsid w:val="00A27A9A"/>
    <w:rsid w:val="00A27AC0"/>
    <w:rsid w:val="00A31451"/>
    <w:rsid w:val="00A32F96"/>
    <w:rsid w:val="00A3624E"/>
    <w:rsid w:val="00A40871"/>
    <w:rsid w:val="00A40E93"/>
    <w:rsid w:val="00A4105A"/>
    <w:rsid w:val="00A412AB"/>
    <w:rsid w:val="00A415D7"/>
    <w:rsid w:val="00A4193E"/>
    <w:rsid w:val="00A440E0"/>
    <w:rsid w:val="00A442EF"/>
    <w:rsid w:val="00A453AA"/>
    <w:rsid w:val="00A46828"/>
    <w:rsid w:val="00A471A3"/>
    <w:rsid w:val="00A476F7"/>
    <w:rsid w:val="00A47FAC"/>
    <w:rsid w:val="00A5040A"/>
    <w:rsid w:val="00A51325"/>
    <w:rsid w:val="00A51D1A"/>
    <w:rsid w:val="00A51DA3"/>
    <w:rsid w:val="00A5243F"/>
    <w:rsid w:val="00A529ED"/>
    <w:rsid w:val="00A5418D"/>
    <w:rsid w:val="00A5474E"/>
    <w:rsid w:val="00A54B47"/>
    <w:rsid w:val="00A577BC"/>
    <w:rsid w:val="00A61104"/>
    <w:rsid w:val="00A64234"/>
    <w:rsid w:val="00A653E5"/>
    <w:rsid w:val="00A65CF5"/>
    <w:rsid w:val="00A65E4D"/>
    <w:rsid w:val="00A65F72"/>
    <w:rsid w:val="00A66E21"/>
    <w:rsid w:val="00A67B39"/>
    <w:rsid w:val="00A703F7"/>
    <w:rsid w:val="00A7057E"/>
    <w:rsid w:val="00A70ADF"/>
    <w:rsid w:val="00A70BBF"/>
    <w:rsid w:val="00A71323"/>
    <w:rsid w:val="00A7143B"/>
    <w:rsid w:val="00A71466"/>
    <w:rsid w:val="00A73ED4"/>
    <w:rsid w:val="00A73EE1"/>
    <w:rsid w:val="00A74590"/>
    <w:rsid w:val="00A7476D"/>
    <w:rsid w:val="00A74A18"/>
    <w:rsid w:val="00A74B5E"/>
    <w:rsid w:val="00A756A0"/>
    <w:rsid w:val="00A758A0"/>
    <w:rsid w:val="00A75AF9"/>
    <w:rsid w:val="00A761C8"/>
    <w:rsid w:val="00A76FB9"/>
    <w:rsid w:val="00A81AE7"/>
    <w:rsid w:val="00A81BED"/>
    <w:rsid w:val="00A81C42"/>
    <w:rsid w:val="00A81EC4"/>
    <w:rsid w:val="00A824E8"/>
    <w:rsid w:val="00A82661"/>
    <w:rsid w:val="00A83819"/>
    <w:rsid w:val="00A8501E"/>
    <w:rsid w:val="00A85C35"/>
    <w:rsid w:val="00A85E0C"/>
    <w:rsid w:val="00A87EEC"/>
    <w:rsid w:val="00A907BD"/>
    <w:rsid w:val="00A914F0"/>
    <w:rsid w:val="00A916F9"/>
    <w:rsid w:val="00A92232"/>
    <w:rsid w:val="00A92ACA"/>
    <w:rsid w:val="00A948AC"/>
    <w:rsid w:val="00A9582E"/>
    <w:rsid w:val="00A9675D"/>
    <w:rsid w:val="00A967FD"/>
    <w:rsid w:val="00AA008C"/>
    <w:rsid w:val="00AA09CC"/>
    <w:rsid w:val="00AA2C76"/>
    <w:rsid w:val="00AA2DE5"/>
    <w:rsid w:val="00AA3768"/>
    <w:rsid w:val="00AA3AFC"/>
    <w:rsid w:val="00AA3DE4"/>
    <w:rsid w:val="00AA772F"/>
    <w:rsid w:val="00AB111B"/>
    <w:rsid w:val="00AB1518"/>
    <w:rsid w:val="00AB156C"/>
    <w:rsid w:val="00AB4DA0"/>
    <w:rsid w:val="00AB57D7"/>
    <w:rsid w:val="00AB6814"/>
    <w:rsid w:val="00AC04BA"/>
    <w:rsid w:val="00AC0E07"/>
    <w:rsid w:val="00AC0E39"/>
    <w:rsid w:val="00AC25A3"/>
    <w:rsid w:val="00AC4987"/>
    <w:rsid w:val="00AC7E87"/>
    <w:rsid w:val="00AD0A4D"/>
    <w:rsid w:val="00AD1BD5"/>
    <w:rsid w:val="00AD2BC5"/>
    <w:rsid w:val="00AD3082"/>
    <w:rsid w:val="00AD32B4"/>
    <w:rsid w:val="00AD3ACF"/>
    <w:rsid w:val="00AD470F"/>
    <w:rsid w:val="00AD4AD0"/>
    <w:rsid w:val="00AD5436"/>
    <w:rsid w:val="00AD60CD"/>
    <w:rsid w:val="00AD630B"/>
    <w:rsid w:val="00AD6C8C"/>
    <w:rsid w:val="00AD6D4F"/>
    <w:rsid w:val="00AD6E75"/>
    <w:rsid w:val="00AD7682"/>
    <w:rsid w:val="00AE091D"/>
    <w:rsid w:val="00AE1F6E"/>
    <w:rsid w:val="00AE2D00"/>
    <w:rsid w:val="00AE3B60"/>
    <w:rsid w:val="00AE4264"/>
    <w:rsid w:val="00AE4DEB"/>
    <w:rsid w:val="00AE53A1"/>
    <w:rsid w:val="00AE711B"/>
    <w:rsid w:val="00AE7B06"/>
    <w:rsid w:val="00AF0002"/>
    <w:rsid w:val="00AF2484"/>
    <w:rsid w:val="00AF5E7A"/>
    <w:rsid w:val="00AF63E7"/>
    <w:rsid w:val="00AF6522"/>
    <w:rsid w:val="00AF65A2"/>
    <w:rsid w:val="00AF681D"/>
    <w:rsid w:val="00AF6E17"/>
    <w:rsid w:val="00B005FA"/>
    <w:rsid w:val="00B0165D"/>
    <w:rsid w:val="00B01B60"/>
    <w:rsid w:val="00B023BD"/>
    <w:rsid w:val="00B031F3"/>
    <w:rsid w:val="00B046B0"/>
    <w:rsid w:val="00B04D0C"/>
    <w:rsid w:val="00B04F8D"/>
    <w:rsid w:val="00B052A4"/>
    <w:rsid w:val="00B061C0"/>
    <w:rsid w:val="00B06AAA"/>
    <w:rsid w:val="00B102C8"/>
    <w:rsid w:val="00B10685"/>
    <w:rsid w:val="00B1096F"/>
    <w:rsid w:val="00B116B4"/>
    <w:rsid w:val="00B125DE"/>
    <w:rsid w:val="00B13C50"/>
    <w:rsid w:val="00B13FDD"/>
    <w:rsid w:val="00B14663"/>
    <w:rsid w:val="00B14846"/>
    <w:rsid w:val="00B14C68"/>
    <w:rsid w:val="00B15D32"/>
    <w:rsid w:val="00B16DBA"/>
    <w:rsid w:val="00B1714F"/>
    <w:rsid w:val="00B211A1"/>
    <w:rsid w:val="00B22EB2"/>
    <w:rsid w:val="00B24F07"/>
    <w:rsid w:val="00B26152"/>
    <w:rsid w:val="00B26729"/>
    <w:rsid w:val="00B26CCB"/>
    <w:rsid w:val="00B27442"/>
    <w:rsid w:val="00B279D2"/>
    <w:rsid w:val="00B31167"/>
    <w:rsid w:val="00B31D36"/>
    <w:rsid w:val="00B32642"/>
    <w:rsid w:val="00B329D8"/>
    <w:rsid w:val="00B32BB9"/>
    <w:rsid w:val="00B33421"/>
    <w:rsid w:val="00B33AE1"/>
    <w:rsid w:val="00B34831"/>
    <w:rsid w:val="00B36531"/>
    <w:rsid w:val="00B365D1"/>
    <w:rsid w:val="00B36745"/>
    <w:rsid w:val="00B37C38"/>
    <w:rsid w:val="00B40796"/>
    <w:rsid w:val="00B422BA"/>
    <w:rsid w:val="00B4288C"/>
    <w:rsid w:val="00B42E6E"/>
    <w:rsid w:val="00B43262"/>
    <w:rsid w:val="00B4336B"/>
    <w:rsid w:val="00B43A2E"/>
    <w:rsid w:val="00B44100"/>
    <w:rsid w:val="00B46046"/>
    <w:rsid w:val="00B46C94"/>
    <w:rsid w:val="00B46CBA"/>
    <w:rsid w:val="00B46F94"/>
    <w:rsid w:val="00B46FD4"/>
    <w:rsid w:val="00B5071B"/>
    <w:rsid w:val="00B52813"/>
    <w:rsid w:val="00B535DA"/>
    <w:rsid w:val="00B53C16"/>
    <w:rsid w:val="00B54515"/>
    <w:rsid w:val="00B54B30"/>
    <w:rsid w:val="00B54CE0"/>
    <w:rsid w:val="00B550FD"/>
    <w:rsid w:val="00B6003C"/>
    <w:rsid w:val="00B60A81"/>
    <w:rsid w:val="00B60FBC"/>
    <w:rsid w:val="00B61F03"/>
    <w:rsid w:val="00B62033"/>
    <w:rsid w:val="00B626E4"/>
    <w:rsid w:val="00B653E1"/>
    <w:rsid w:val="00B660E3"/>
    <w:rsid w:val="00B66BC8"/>
    <w:rsid w:val="00B66F02"/>
    <w:rsid w:val="00B7071E"/>
    <w:rsid w:val="00B71243"/>
    <w:rsid w:val="00B7127D"/>
    <w:rsid w:val="00B719B8"/>
    <w:rsid w:val="00B72262"/>
    <w:rsid w:val="00B7236E"/>
    <w:rsid w:val="00B72F4A"/>
    <w:rsid w:val="00B75681"/>
    <w:rsid w:val="00B7589D"/>
    <w:rsid w:val="00B761E6"/>
    <w:rsid w:val="00B803EC"/>
    <w:rsid w:val="00B80905"/>
    <w:rsid w:val="00B83C27"/>
    <w:rsid w:val="00B83DA4"/>
    <w:rsid w:val="00B84528"/>
    <w:rsid w:val="00B84BC3"/>
    <w:rsid w:val="00B84BDD"/>
    <w:rsid w:val="00B85D18"/>
    <w:rsid w:val="00B86D3A"/>
    <w:rsid w:val="00B872AD"/>
    <w:rsid w:val="00B90504"/>
    <w:rsid w:val="00B91393"/>
    <w:rsid w:val="00B92812"/>
    <w:rsid w:val="00B93D86"/>
    <w:rsid w:val="00B95C78"/>
    <w:rsid w:val="00B97893"/>
    <w:rsid w:val="00BA01BB"/>
    <w:rsid w:val="00BA1EC6"/>
    <w:rsid w:val="00BA2C29"/>
    <w:rsid w:val="00BA2D16"/>
    <w:rsid w:val="00BA330A"/>
    <w:rsid w:val="00BA3603"/>
    <w:rsid w:val="00BA3EB9"/>
    <w:rsid w:val="00BA66BC"/>
    <w:rsid w:val="00BA6DFB"/>
    <w:rsid w:val="00BA71DE"/>
    <w:rsid w:val="00BA7970"/>
    <w:rsid w:val="00BB0665"/>
    <w:rsid w:val="00BB2A9F"/>
    <w:rsid w:val="00BB3978"/>
    <w:rsid w:val="00BB4474"/>
    <w:rsid w:val="00BB45A1"/>
    <w:rsid w:val="00BB6335"/>
    <w:rsid w:val="00BB634E"/>
    <w:rsid w:val="00BB6D93"/>
    <w:rsid w:val="00BB6EE0"/>
    <w:rsid w:val="00BB73D9"/>
    <w:rsid w:val="00BB7686"/>
    <w:rsid w:val="00BB7802"/>
    <w:rsid w:val="00BC0E53"/>
    <w:rsid w:val="00BC1F0B"/>
    <w:rsid w:val="00BC2165"/>
    <w:rsid w:val="00BC23F9"/>
    <w:rsid w:val="00BC263E"/>
    <w:rsid w:val="00BC3421"/>
    <w:rsid w:val="00BC3A03"/>
    <w:rsid w:val="00BC3BB5"/>
    <w:rsid w:val="00BC5D8D"/>
    <w:rsid w:val="00BC6B5D"/>
    <w:rsid w:val="00BC6EEC"/>
    <w:rsid w:val="00BC732C"/>
    <w:rsid w:val="00BD12D2"/>
    <w:rsid w:val="00BD4421"/>
    <w:rsid w:val="00BD633D"/>
    <w:rsid w:val="00BE194F"/>
    <w:rsid w:val="00BE2580"/>
    <w:rsid w:val="00BE266D"/>
    <w:rsid w:val="00BE26B8"/>
    <w:rsid w:val="00BE3938"/>
    <w:rsid w:val="00BE396F"/>
    <w:rsid w:val="00BE3E5D"/>
    <w:rsid w:val="00BE4C11"/>
    <w:rsid w:val="00BE71C0"/>
    <w:rsid w:val="00BF29AA"/>
    <w:rsid w:val="00BF4734"/>
    <w:rsid w:val="00BF473A"/>
    <w:rsid w:val="00BF5235"/>
    <w:rsid w:val="00BF610C"/>
    <w:rsid w:val="00BF79E8"/>
    <w:rsid w:val="00C0060B"/>
    <w:rsid w:val="00C01299"/>
    <w:rsid w:val="00C01A6C"/>
    <w:rsid w:val="00C0277D"/>
    <w:rsid w:val="00C02F26"/>
    <w:rsid w:val="00C039C8"/>
    <w:rsid w:val="00C03B99"/>
    <w:rsid w:val="00C03E58"/>
    <w:rsid w:val="00C053A1"/>
    <w:rsid w:val="00C05AD1"/>
    <w:rsid w:val="00C0622A"/>
    <w:rsid w:val="00C06D5E"/>
    <w:rsid w:val="00C07339"/>
    <w:rsid w:val="00C07A46"/>
    <w:rsid w:val="00C07FD4"/>
    <w:rsid w:val="00C13CA7"/>
    <w:rsid w:val="00C14235"/>
    <w:rsid w:val="00C15F9A"/>
    <w:rsid w:val="00C16198"/>
    <w:rsid w:val="00C2083D"/>
    <w:rsid w:val="00C20FC5"/>
    <w:rsid w:val="00C23EBF"/>
    <w:rsid w:val="00C24165"/>
    <w:rsid w:val="00C24466"/>
    <w:rsid w:val="00C2491D"/>
    <w:rsid w:val="00C24A53"/>
    <w:rsid w:val="00C25DD4"/>
    <w:rsid w:val="00C26A49"/>
    <w:rsid w:val="00C30088"/>
    <w:rsid w:val="00C312DB"/>
    <w:rsid w:val="00C315AA"/>
    <w:rsid w:val="00C31611"/>
    <w:rsid w:val="00C319E7"/>
    <w:rsid w:val="00C34A05"/>
    <w:rsid w:val="00C34F53"/>
    <w:rsid w:val="00C35CCE"/>
    <w:rsid w:val="00C3659D"/>
    <w:rsid w:val="00C36C3E"/>
    <w:rsid w:val="00C371D4"/>
    <w:rsid w:val="00C40157"/>
    <w:rsid w:val="00C4032F"/>
    <w:rsid w:val="00C4186A"/>
    <w:rsid w:val="00C41F21"/>
    <w:rsid w:val="00C4343E"/>
    <w:rsid w:val="00C43B0F"/>
    <w:rsid w:val="00C44047"/>
    <w:rsid w:val="00C44173"/>
    <w:rsid w:val="00C445D1"/>
    <w:rsid w:val="00C45155"/>
    <w:rsid w:val="00C50B2D"/>
    <w:rsid w:val="00C53278"/>
    <w:rsid w:val="00C537C8"/>
    <w:rsid w:val="00C538B8"/>
    <w:rsid w:val="00C5498F"/>
    <w:rsid w:val="00C54A79"/>
    <w:rsid w:val="00C55235"/>
    <w:rsid w:val="00C57CFA"/>
    <w:rsid w:val="00C607AD"/>
    <w:rsid w:val="00C6134E"/>
    <w:rsid w:val="00C61E19"/>
    <w:rsid w:val="00C62700"/>
    <w:rsid w:val="00C647F2"/>
    <w:rsid w:val="00C64CD0"/>
    <w:rsid w:val="00C65F61"/>
    <w:rsid w:val="00C6684F"/>
    <w:rsid w:val="00C70E70"/>
    <w:rsid w:val="00C756FB"/>
    <w:rsid w:val="00C75F8D"/>
    <w:rsid w:val="00C76F39"/>
    <w:rsid w:val="00C77380"/>
    <w:rsid w:val="00C8042F"/>
    <w:rsid w:val="00C80A62"/>
    <w:rsid w:val="00C84132"/>
    <w:rsid w:val="00C847D2"/>
    <w:rsid w:val="00C84E3B"/>
    <w:rsid w:val="00C87E8A"/>
    <w:rsid w:val="00C913D6"/>
    <w:rsid w:val="00C9144A"/>
    <w:rsid w:val="00C9309A"/>
    <w:rsid w:val="00C93E76"/>
    <w:rsid w:val="00C9461C"/>
    <w:rsid w:val="00C95EF4"/>
    <w:rsid w:val="00C97736"/>
    <w:rsid w:val="00CA0404"/>
    <w:rsid w:val="00CA0B76"/>
    <w:rsid w:val="00CA137A"/>
    <w:rsid w:val="00CA345A"/>
    <w:rsid w:val="00CA3862"/>
    <w:rsid w:val="00CA449E"/>
    <w:rsid w:val="00CA6ED3"/>
    <w:rsid w:val="00CA70D5"/>
    <w:rsid w:val="00CB1A46"/>
    <w:rsid w:val="00CB1E82"/>
    <w:rsid w:val="00CB27BD"/>
    <w:rsid w:val="00CB2C9D"/>
    <w:rsid w:val="00CB2E28"/>
    <w:rsid w:val="00CB4BA8"/>
    <w:rsid w:val="00CB52D7"/>
    <w:rsid w:val="00CB645C"/>
    <w:rsid w:val="00CB6F52"/>
    <w:rsid w:val="00CC2B76"/>
    <w:rsid w:val="00CC2F40"/>
    <w:rsid w:val="00CC32FB"/>
    <w:rsid w:val="00CC3437"/>
    <w:rsid w:val="00CC5B07"/>
    <w:rsid w:val="00CC6732"/>
    <w:rsid w:val="00CD250A"/>
    <w:rsid w:val="00CD3408"/>
    <w:rsid w:val="00CD3DD5"/>
    <w:rsid w:val="00CD41FB"/>
    <w:rsid w:val="00CD57A0"/>
    <w:rsid w:val="00CD5A3A"/>
    <w:rsid w:val="00CD6ACF"/>
    <w:rsid w:val="00CE05D9"/>
    <w:rsid w:val="00CE0819"/>
    <w:rsid w:val="00CE0B18"/>
    <w:rsid w:val="00CE382B"/>
    <w:rsid w:val="00CE3C96"/>
    <w:rsid w:val="00CE45C1"/>
    <w:rsid w:val="00CE51A8"/>
    <w:rsid w:val="00CE6EA3"/>
    <w:rsid w:val="00CE741B"/>
    <w:rsid w:val="00CF0808"/>
    <w:rsid w:val="00CF0BFE"/>
    <w:rsid w:val="00CF369B"/>
    <w:rsid w:val="00CF7A1C"/>
    <w:rsid w:val="00D00E28"/>
    <w:rsid w:val="00D02199"/>
    <w:rsid w:val="00D025DE"/>
    <w:rsid w:val="00D0269E"/>
    <w:rsid w:val="00D03276"/>
    <w:rsid w:val="00D0432C"/>
    <w:rsid w:val="00D04369"/>
    <w:rsid w:val="00D05D6C"/>
    <w:rsid w:val="00D069CE"/>
    <w:rsid w:val="00D07EBE"/>
    <w:rsid w:val="00D1057C"/>
    <w:rsid w:val="00D10B15"/>
    <w:rsid w:val="00D11691"/>
    <w:rsid w:val="00D132FA"/>
    <w:rsid w:val="00D13882"/>
    <w:rsid w:val="00D14F0C"/>
    <w:rsid w:val="00D15810"/>
    <w:rsid w:val="00D16D4E"/>
    <w:rsid w:val="00D16FE3"/>
    <w:rsid w:val="00D231C1"/>
    <w:rsid w:val="00D246F4"/>
    <w:rsid w:val="00D25502"/>
    <w:rsid w:val="00D25701"/>
    <w:rsid w:val="00D27F41"/>
    <w:rsid w:val="00D30198"/>
    <w:rsid w:val="00D314A7"/>
    <w:rsid w:val="00D31EBA"/>
    <w:rsid w:val="00D33D7C"/>
    <w:rsid w:val="00D3402B"/>
    <w:rsid w:val="00D3449B"/>
    <w:rsid w:val="00D3492F"/>
    <w:rsid w:val="00D34A94"/>
    <w:rsid w:val="00D352FE"/>
    <w:rsid w:val="00D359D2"/>
    <w:rsid w:val="00D361FE"/>
    <w:rsid w:val="00D36441"/>
    <w:rsid w:val="00D4064E"/>
    <w:rsid w:val="00D410C5"/>
    <w:rsid w:val="00D43B47"/>
    <w:rsid w:val="00D4431C"/>
    <w:rsid w:val="00D44E9B"/>
    <w:rsid w:val="00D463AF"/>
    <w:rsid w:val="00D47AEB"/>
    <w:rsid w:val="00D50DB9"/>
    <w:rsid w:val="00D50DDC"/>
    <w:rsid w:val="00D51302"/>
    <w:rsid w:val="00D51715"/>
    <w:rsid w:val="00D518AF"/>
    <w:rsid w:val="00D51E49"/>
    <w:rsid w:val="00D52139"/>
    <w:rsid w:val="00D52644"/>
    <w:rsid w:val="00D52C43"/>
    <w:rsid w:val="00D55A8C"/>
    <w:rsid w:val="00D57254"/>
    <w:rsid w:val="00D574EF"/>
    <w:rsid w:val="00D601AD"/>
    <w:rsid w:val="00D61243"/>
    <w:rsid w:val="00D62687"/>
    <w:rsid w:val="00D63759"/>
    <w:rsid w:val="00D642BD"/>
    <w:rsid w:val="00D645B9"/>
    <w:rsid w:val="00D6507F"/>
    <w:rsid w:val="00D656E1"/>
    <w:rsid w:val="00D6635D"/>
    <w:rsid w:val="00D66DD0"/>
    <w:rsid w:val="00D70738"/>
    <w:rsid w:val="00D70947"/>
    <w:rsid w:val="00D71B29"/>
    <w:rsid w:val="00D72071"/>
    <w:rsid w:val="00D730BC"/>
    <w:rsid w:val="00D73189"/>
    <w:rsid w:val="00D733F1"/>
    <w:rsid w:val="00D7344E"/>
    <w:rsid w:val="00D73912"/>
    <w:rsid w:val="00D73F85"/>
    <w:rsid w:val="00D74299"/>
    <w:rsid w:val="00D74E8C"/>
    <w:rsid w:val="00D75021"/>
    <w:rsid w:val="00D76A81"/>
    <w:rsid w:val="00D84F16"/>
    <w:rsid w:val="00D85205"/>
    <w:rsid w:val="00D85226"/>
    <w:rsid w:val="00D856F5"/>
    <w:rsid w:val="00D8701C"/>
    <w:rsid w:val="00D872EE"/>
    <w:rsid w:val="00D8786C"/>
    <w:rsid w:val="00D87A5C"/>
    <w:rsid w:val="00D87A9B"/>
    <w:rsid w:val="00D87B94"/>
    <w:rsid w:val="00D903C7"/>
    <w:rsid w:val="00D915AA"/>
    <w:rsid w:val="00D915DA"/>
    <w:rsid w:val="00D91AA3"/>
    <w:rsid w:val="00D92D49"/>
    <w:rsid w:val="00D92EC1"/>
    <w:rsid w:val="00D93B8A"/>
    <w:rsid w:val="00D940CC"/>
    <w:rsid w:val="00D95E8B"/>
    <w:rsid w:val="00D96DEA"/>
    <w:rsid w:val="00D96FE7"/>
    <w:rsid w:val="00D97779"/>
    <w:rsid w:val="00DA3DB2"/>
    <w:rsid w:val="00DA3DDB"/>
    <w:rsid w:val="00DA4569"/>
    <w:rsid w:val="00DA4E41"/>
    <w:rsid w:val="00DA6682"/>
    <w:rsid w:val="00DA7DBC"/>
    <w:rsid w:val="00DB117A"/>
    <w:rsid w:val="00DB4615"/>
    <w:rsid w:val="00DB4E33"/>
    <w:rsid w:val="00DB5173"/>
    <w:rsid w:val="00DB55C3"/>
    <w:rsid w:val="00DB68FC"/>
    <w:rsid w:val="00DB6FE2"/>
    <w:rsid w:val="00DB7873"/>
    <w:rsid w:val="00DB7B31"/>
    <w:rsid w:val="00DC1161"/>
    <w:rsid w:val="00DC187B"/>
    <w:rsid w:val="00DC2018"/>
    <w:rsid w:val="00DC2829"/>
    <w:rsid w:val="00DC2EE8"/>
    <w:rsid w:val="00DC3B23"/>
    <w:rsid w:val="00DC3FAC"/>
    <w:rsid w:val="00DD1A43"/>
    <w:rsid w:val="00DD1C79"/>
    <w:rsid w:val="00DD3516"/>
    <w:rsid w:val="00DD4E67"/>
    <w:rsid w:val="00DD5C85"/>
    <w:rsid w:val="00DD5D8B"/>
    <w:rsid w:val="00DD70E4"/>
    <w:rsid w:val="00DD71D8"/>
    <w:rsid w:val="00DD73C2"/>
    <w:rsid w:val="00DD7E39"/>
    <w:rsid w:val="00DE2FDC"/>
    <w:rsid w:val="00DE319B"/>
    <w:rsid w:val="00DE7D38"/>
    <w:rsid w:val="00DF34FE"/>
    <w:rsid w:val="00DF3ADB"/>
    <w:rsid w:val="00DF3E39"/>
    <w:rsid w:val="00DF56AA"/>
    <w:rsid w:val="00DF56AF"/>
    <w:rsid w:val="00DF5CC7"/>
    <w:rsid w:val="00DF5EA7"/>
    <w:rsid w:val="00DF660E"/>
    <w:rsid w:val="00DF6A6D"/>
    <w:rsid w:val="00DF78E7"/>
    <w:rsid w:val="00E01880"/>
    <w:rsid w:val="00E07731"/>
    <w:rsid w:val="00E104A1"/>
    <w:rsid w:val="00E110E0"/>
    <w:rsid w:val="00E11203"/>
    <w:rsid w:val="00E12ED5"/>
    <w:rsid w:val="00E1375D"/>
    <w:rsid w:val="00E139C1"/>
    <w:rsid w:val="00E13E3E"/>
    <w:rsid w:val="00E14938"/>
    <w:rsid w:val="00E15371"/>
    <w:rsid w:val="00E15ACB"/>
    <w:rsid w:val="00E162C4"/>
    <w:rsid w:val="00E163E4"/>
    <w:rsid w:val="00E1667A"/>
    <w:rsid w:val="00E167D2"/>
    <w:rsid w:val="00E21056"/>
    <w:rsid w:val="00E211AD"/>
    <w:rsid w:val="00E229B4"/>
    <w:rsid w:val="00E23926"/>
    <w:rsid w:val="00E24104"/>
    <w:rsid w:val="00E24419"/>
    <w:rsid w:val="00E2448F"/>
    <w:rsid w:val="00E26A21"/>
    <w:rsid w:val="00E27122"/>
    <w:rsid w:val="00E302D0"/>
    <w:rsid w:val="00E30900"/>
    <w:rsid w:val="00E32A21"/>
    <w:rsid w:val="00E335AD"/>
    <w:rsid w:val="00E34C72"/>
    <w:rsid w:val="00E35707"/>
    <w:rsid w:val="00E360A1"/>
    <w:rsid w:val="00E36A78"/>
    <w:rsid w:val="00E36AA1"/>
    <w:rsid w:val="00E41168"/>
    <w:rsid w:val="00E416EE"/>
    <w:rsid w:val="00E41C67"/>
    <w:rsid w:val="00E41ECB"/>
    <w:rsid w:val="00E421B3"/>
    <w:rsid w:val="00E4247B"/>
    <w:rsid w:val="00E42676"/>
    <w:rsid w:val="00E42781"/>
    <w:rsid w:val="00E44D2A"/>
    <w:rsid w:val="00E518FB"/>
    <w:rsid w:val="00E535CB"/>
    <w:rsid w:val="00E5426D"/>
    <w:rsid w:val="00E5470A"/>
    <w:rsid w:val="00E54FDB"/>
    <w:rsid w:val="00E557CA"/>
    <w:rsid w:val="00E5617D"/>
    <w:rsid w:val="00E563D7"/>
    <w:rsid w:val="00E57C34"/>
    <w:rsid w:val="00E607E2"/>
    <w:rsid w:val="00E6104D"/>
    <w:rsid w:val="00E617CB"/>
    <w:rsid w:val="00E623FA"/>
    <w:rsid w:val="00E62AE8"/>
    <w:rsid w:val="00E638DA"/>
    <w:rsid w:val="00E64592"/>
    <w:rsid w:val="00E6566B"/>
    <w:rsid w:val="00E65951"/>
    <w:rsid w:val="00E663F4"/>
    <w:rsid w:val="00E666F2"/>
    <w:rsid w:val="00E66DD4"/>
    <w:rsid w:val="00E66E0F"/>
    <w:rsid w:val="00E70FED"/>
    <w:rsid w:val="00E713C4"/>
    <w:rsid w:val="00E71872"/>
    <w:rsid w:val="00E74057"/>
    <w:rsid w:val="00E748CC"/>
    <w:rsid w:val="00E74CD7"/>
    <w:rsid w:val="00E74F15"/>
    <w:rsid w:val="00E75415"/>
    <w:rsid w:val="00E76C24"/>
    <w:rsid w:val="00E775B1"/>
    <w:rsid w:val="00E77682"/>
    <w:rsid w:val="00E8094D"/>
    <w:rsid w:val="00E80C53"/>
    <w:rsid w:val="00E810A7"/>
    <w:rsid w:val="00E8136F"/>
    <w:rsid w:val="00E8152A"/>
    <w:rsid w:val="00E81907"/>
    <w:rsid w:val="00E82792"/>
    <w:rsid w:val="00E83019"/>
    <w:rsid w:val="00E833D8"/>
    <w:rsid w:val="00E84D59"/>
    <w:rsid w:val="00E84DBC"/>
    <w:rsid w:val="00E8582D"/>
    <w:rsid w:val="00E86C50"/>
    <w:rsid w:val="00E873B1"/>
    <w:rsid w:val="00E87A54"/>
    <w:rsid w:val="00E906AE"/>
    <w:rsid w:val="00E92B1E"/>
    <w:rsid w:val="00E93629"/>
    <w:rsid w:val="00E937B8"/>
    <w:rsid w:val="00E93B5C"/>
    <w:rsid w:val="00E94AE2"/>
    <w:rsid w:val="00E94CEC"/>
    <w:rsid w:val="00E950CE"/>
    <w:rsid w:val="00E96BE2"/>
    <w:rsid w:val="00E97A62"/>
    <w:rsid w:val="00EA0253"/>
    <w:rsid w:val="00EA04EF"/>
    <w:rsid w:val="00EA0969"/>
    <w:rsid w:val="00EA2F57"/>
    <w:rsid w:val="00EA41B9"/>
    <w:rsid w:val="00EA53C3"/>
    <w:rsid w:val="00EA6C79"/>
    <w:rsid w:val="00EA6F19"/>
    <w:rsid w:val="00EA7664"/>
    <w:rsid w:val="00EA77A0"/>
    <w:rsid w:val="00EB0071"/>
    <w:rsid w:val="00EB0CC5"/>
    <w:rsid w:val="00EB15BE"/>
    <w:rsid w:val="00EB2060"/>
    <w:rsid w:val="00EB288E"/>
    <w:rsid w:val="00EB2C48"/>
    <w:rsid w:val="00EB2F6E"/>
    <w:rsid w:val="00EB39FC"/>
    <w:rsid w:val="00EB3A45"/>
    <w:rsid w:val="00EB42E1"/>
    <w:rsid w:val="00EB476B"/>
    <w:rsid w:val="00EB4D93"/>
    <w:rsid w:val="00EB5459"/>
    <w:rsid w:val="00EB7090"/>
    <w:rsid w:val="00EB7980"/>
    <w:rsid w:val="00EC1BBE"/>
    <w:rsid w:val="00EC2559"/>
    <w:rsid w:val="00EC27AF"/>
    <w:rsid w:val="00EC2B68"/>
    <w:rsid w:val="00EC3AEF"/>
    <w:rsid w:val="00EC467B"/>
    <w:rsid w:val="00EC4A69"/>
    <w:rsid w:val="00EC5195"/>
    <w:rsid w:val="00EC57C0"/>
    <w:rsid w:val="00EC5CD7"/>
    <w:rsid w:val="00EC7337"/>
    <w:rsid w:val="00EC765F"/>
    <w:rsid w:val="00EC7A47"/>
    <w:rsid w:val="00EC7CE1"/>
    <w:rsid w:val="00ED0111"/>
    <w:rsid w:val="00ED08DB"/>
    <w:rsid w:val="00ED347C"/>
    <w:rsid w:val="00ED3A54"/>
    <w:rsid w:val="00ED510E"/>
    <w:rsid w:val="00ED6DE7"/>
    <w:rsid w:val="00ED7064"/>
    <w:rsid w:val="00ED7305"/>
    <w:rsid w:val="00ED7CB1"/>
    <w:rsid w:val="00ED7E7F"/>
    <w:rsid w:val="00EE0174"/>
    <w:rsid w:val="00EE0D84"/>
    <w:rsid w:val="00EE1F42"/>
    <w:rsid w:val="00EE2D02"/>
    <w:rsid w:val="00EE378E"/>
    <w:rsid w:val="00EE3BCD"/>
    <w:rsid w:val="00EE4AC0"/>
    <w:rsid w:val="00EE5FB3"/>
    <w:rsid w:val="00EE7F79"/>
    <w:rsid w:val="00EF1BEC"/>
    <w:rsid w:val="00EF2CBD"/>
    <w:rsid w:val="00EF4A79"/>
    <w:rsid w:val="00EF5748"/>
    <w:rsid w:val="00EF715A"/>
    <w:rsid w:val="00F01563"/>
    <w:rsid w:val="00F01E95"/>
    <w:rsid w:val="00F02319"/>
    <w:rsid w:val="00F02A96"/>
    <w:rsid w:val="00F02DDD"/>
    <w:rsid w:val="00F0549C"/>
    <w:rsid w:val="00F05A9F"/>
    <w:rsid w:val="00F06776"/>
    <w:rsid w:val="00F06E14"/>
    <w:rsid w:val="00F07738"/>
    <w:rsid w:val="00F11D8B"/>
    <w:rsid w:val="00F13222"/>
    <w:rsid w:val="00F1434D"/>
    <w:rsid w:val="00F14D1A"/>
    <w:rsid w:val="00F176C0"/>
    <w:rsid w:val="00F179D4"/>
    <w:rsid w:val="00F21A95"/>
    <w:rsid w:val="00F22A23"/>
    <w:rsid w:val="00F22B9C"/>
    <w:rsid w:val="00F23D90"/>
    <w:rsid w:val="00F255DF"/>
    <w:rsid w:val="00F25926"/>
    <w:rsid w:val="00F2649A"/>
    <w:rsid w:val="00F27015"/>
    <w:rsid w:val="00F308AE"/>
    <w:rsid w:val="00F327A0"/>
    <w:rsid w:val="00F32976"/>
    <w:rsid w:val="00F33C56"/>
    <w:rsid w:val="00F33E4A"/>
    <w:rsid w:val="00F347C7"/>
    <w:rsid w:val="00F34848"/>
    <w:rsid w:val="00F352F5"/>
    <w:rsid w:val="00F353A0"/>
    <w:rsid w:val="00F3543D"/>
    <w:rsid w:val="00F3544F"/>
    <w:rsid w:val="00F35DEA"/>
    <w:rsid w:val="00F361D7"/>
    <w:rsid w:val="00F36594"/>
    <w:rsid w:val="00F376EB"/>
    <w:rsid w:val="00F416ED"/>
    <w:rsid w:val="00F41E4E"/>
    <w:rsid w:val="00F42AB9"/>
    <w:rsid w:val="00F42D46"/>
    <w:rsid w:val="00F43A43"/>
    <w:rsid w:val="00F43B99"/>
    <w:rsid w:val="00F4496C"/>
    <w:rsid w:val="00F44E18"/>
    <w:rsid w:val="00F44F3A"/>
    <w:rsid w:val="00F46F9D"/>
    <w:rsid w:val="00F478C4"/>
    <w:rsid w:val="00F47A40"/>
    <w:rsid w:val="00F5025C"/>
    <w:rsid w:val="00F502EF"/>
    <w:rsid w:val="00F5156F"/>
    <w:rsid w:val="00F51BF3"/>
    <w:rsid w:val="00F51CF3"/>
    <w:rsid w:val="00F51F10"/>
    <w:rsid w:val="00F51FEB"/>
    <w:rsid w:val="00F529A5"/>
    <w:rsid w:val="00F5310D"/>
    <w:rsid w:val="00F5393C"/>
    <w:rsid w:val="00F55541"/>
    <w:rsid w:val="00F56597"/>
    <w:rsid w:val="00F569DE"/>
    <w:rsid w:val="00F57FF0"/>
    <w:rsid w:val="00F60587"/>
    <w:rsid w:val="00F60F00"/>
    <w:rsid w:val="00F614C0"/>
    <w:rsid w:val="00F61AEC"/>
    <w:rsid w:val="00F63326"/>
    <w:rsid w:val="00F640E4"/>
    <w:rsid w:val="00F64CC0"/>
    <w:rsid w:val="00F65AFB"/>
    <w:rsid w:val="00F66479"/>
    <w:rsid w:val="00F6766A"/>
    <w:rsid w:val="00F70BA3"/>
    <w:rsid w:val="00F72CFD"/>
    <w:rsid w:val="00F74CB2"/>
    <w:rsid w:val="00F7674D"/>
    <w:rsid w:val="00F7683A"/>
    <w:rsid w:val="00F77301"/>
    <w:rsid w:val="00F77AFB"/>
    <w:rsid w:val="00F80816"/>
    <w:rsid w:val="00F8219A"/>
    <w:rsid w:val="00F83848"/>
    <w:rsid w:val="00F860B3"/>
    <w:rsid w:val="00F86CD5"/>
    <w:rsid w:val="00F86D1D"/>
    <w:rsid w:val="00F902E1"/>
    <w:rsid w:val="00F91593"/>
    <w:rsid w:val="00F93754"/>
    <w:rsid w:val="00F94549"/>
    <w:rsid w:val="00F94C67"/>
    <w:rsid w:val="00F95063"/>
    <w:rsid w:val="00F95C44"/>
    <w:rsid w:val="00F9705E"/>
    <w:rsid w:val="00F97395"/>
    <w:rsid w:val="00F975E9"/>
    <w:rsid w:val="00F978AA"/>
    <w:rsid w:val="00FA0290"/>
    <w:rsid w:val="00FA1104"/>
    <w:rsid w:val="00FA1B7D"/>
    <w:rsid w:val="00FA2B61"/>
    <w:rsid w:val="00FA3DC2"/>
    <w:rsid w:val="00FA4BE7"/>
    <w:rsid w:val="00FA5250"/>
    <w:rsid w:val="00FA5674"/>
    <w:rsid w:val="00FA5C7E"/>
    <w:rsid w:val="00FA67CA"/>
    <w:rsid w:val="00FB1DB0"/>
    <w:rsid w:val="00FB3176"/>
    <w:rsid w:val="00FC07B9"/>
    <w:rsid w:val="00FC2533"/>
    <w:rsid w:val="00FC2CAA"/>
    <w:rsid w:val="00FC37D5"/>
    <w:rsid w:val="00FC4B4F"/>
    <w:rsid w:val="00FC4E21"/>
    <w:rsid w:val="00FC5F6D"/>
    <w:rsid w:val="00FC609E"/>
    <w:rsid w:val="00FC6B6A"/>
    <w:rsid w:val="00FC6BF8"/>
    <w:rsid w:val="00FD0107"/>
    <w:rsid w:val="00FD137D"/>
    <w:rsid w:val="00FD2C2F"/>
    <w:rsid w:val="00FD2C5A"/>
    <w:rsid w:val="00FD3B31"/>
    <w:rsid w:val="00FD3F7F"/>
    <w:rsid w:val="00FD4984"/>
    <w:rsid w:val="00FD6C58"/>
    <w:rsid w:val="00FE088D"/>
    <w:rsid w:val="00FE0CEC"/>
    <w:rsid w:val="00FE0FE1"/>
    <w:rsid w:val="00FE1823"/>
    <w:rsid w:val="00FE3477"/>
    <w:rsid w:val="00FE34C7"/>
    <w:rsid w:val="00FE3A6E"/>
    <w:rsid w:val="00FE487A"/>
    <w:rsid w:val="00FE58D1"/>
    <w:rsid w:val="00FE6E80"/>
    <w:rsid w:val="00FE7B89"/>
    <w:rsid w:val="00FF0569"/>
    <w:rsid w:val="00FF0665"/>
    <w:rsid w:val="00FF14F8"/>
    <w:rsid w:val="00FF1FDE"/>
    <w:rsid w:val="00FF206E"/>
    <w:rsid w:val="00FF371B"/>
    <w:rsid w:val="00FF3C69"/>
    <w:rsid w:val="00FF5727"/>
    <w:rsid w:val="00FF65A9"/>
    <w:rsid w:val="00FF6D86"/>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75F6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F0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tabs>
        <w:tab w:val="num" w:pos="964"/>
      </w:tabs>
      <w:spacing w:after="0"/>
      <w:ind w:left="964" w:hanging="964"/>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566AB4"/>
    <w:rPr>
      <w:rFonts w:ascii="Arial" w:hAnsi="Arial"/>
      <w:vertAlign w:val="superscript"/>
    </w:rPr>
  </w:style>
  <w:style w:type="paragraph" w:styleId="FootnoteText">
    <w:name w:val="footnote text"/>
    <w:aliases w:val="Footnote text,ACMA Footnote Text,ABA Footnote Text,footnote text,Footnote Text Char Char,Footnote Text Char1 Char Char,Footnote Text Char Char Char Char,Footnote Text Char1 Char Char Char Char,Footnote Text Char2 Char Char,f"/>
    <w:basedOn w:val="Normal"/>
    <w:link w:val="FootnoteTextChar"/>
    <w:uiPriority w:val="99"/>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uiPriority w:val="99"/>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customStyle="1" w:styleId="FootnoteTextChar">
    <w:name w:val="Footnote Text Char"/>
    <w:aliases w:val="Footnote text Char,ACMA Footnote Text Char,ABA Footnote Text Char,footnote text Char,Footnote Text Char Char Char,Footnote Text Char1 Char Char Char,Footnote Text Char Char Char Char Char,Footnote Text Char1 Char Char Char Char Char"/>
    <w:basedOn w:val="DefaultParagraphFont"/>
    <w:link w:val="FootnoteText"/>
    <w:uiPriority w:val="99"/>
    <w:rsid w:val="0062210D"/>
    <w:rPr>
      <w:rFonts w:ascii="Arial" w:hAnsi="Arial"/>
      <w:sz w:val="16"/>
      <w:szCs w:val="16"/>
    </w:rPr>
  </w:style>
  <w:style w:type="paragraph" w:styleId="ListParagraph">
    <w:name w:val="List Paragraph"/>
    <w:aliases w:val="List Paragraph1,List Paragraph11,Recommendation,bullet point list"/>
    <w:basedOn w:val="Normal"/>
    <w:link w:val="ListParagraphChar"/>
    <w:uiPriority w:val="34"/>
    <w:qFormat/>
    <w:rsid w:val="0059496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ubsection">
    <w:name w:val="subsection"/>
    <w:basedOn w:val="Normal"/>
    <w:rsid w:val="00AA3AFC"/>
    <w:pPr>
      <w:spacing w:before="100" w:beforeAutospacing="1" w:after="100" w:afterAutospacing="1" w:line="240" w:lineRule="auto"/>
    </w:pPr>
    <w:rPr>
      <w:rFonts w:ascii="Times New Roman" w:hAnsi="Times New Roman"/>
      <w:sz w:val="24"/>
    </w:rPr>
  </w:style>
  <w:style w:type="paragraph" w:customStyle="1" w:styleId="paragraph0">
    <w:name w:val="paragraph"/>
    <w:basedOn w:val="Normal"/>
    <w:rsid w:val="00AA3AFC"/>
    <w:pPr>
      <w:spacing w:before="100" w:beforeAutospacing="1" w:after="100" w:afterAutospacing="1" w:line="240" w:lineRule="auto"/>
    </w:pPr>
    <w:rPr>
      <w:rFonts w:ascii="Times New Roman" w:hAnsi="Times New Roman"/>
      <w:sz w:val="24"/>
    </w:rPr>
  </w:style>
  <w:style w:type="paragraph" w:customStyle="1" w:styleId="paragraphsub">
    <w:name w:val="paragraphsub"/>
    <w:basedOn w:val="Normal"/>
    <w:rsid w:val="00AA3AFC"/>
    <w:pPr>
      <w:spacing w:before="100" w:beforeAutospacing="1" w:after="100" w:afterAutospacing="1" w:line="240" w:lineRule="auto"/>
    </w:pPr>
    <w:rPr>
      <w:rFonts w:ascii="Times New Roman" w:hAnsi="Times New Roman"/>
      <w:sz w:val="24"/>
    </w:rPr>
  </w:style>
  <w:style w:type="character" w:customStyle="1" w:styleId="ListParagraphChar">
    <w:name w:val="List Paragraph Char"/>
    <w:aliases w:val="List Paragraph1 Char,List Paragraph11 Char,Recommendation Char,bullet point list Char"/>
    <w:basedOn w:val="DefaultParagraphFont"/>
    <w:link w:val="ListParagraph"/>
    <w:uiPriority w:val="34"/>
    <w:locked/>
    <w:rsid w:val="00AA3AFC"/>
    <w:rPr>
      <w:rFonts w:asciiTheme="minorHAnsi" w:eastAsiaTheme="minorHAnsi" w:hAnsiTheme="minorHAnsi" w:cstheme="minorBidi"/>
      <w:sz w:val="22"/>
      <w:szCs w:val="22"/>
      <w:lang w:eastAsia="en-US"/>
    </w:rPr>
  </w:style>
  <w:style w:type="paragraph" w:customStyle="1" w:styleId="definition">
    <w:name w:val="definition"/>
    <w:basedOn w:val="Normal"/>
    <w:rsid w:val="00071147"/>
    <w:pPr>
      <w:spacing w:before="100" w:beforeAutospacing="1" w:after="100" w:afterAutospacing="1" w:line="240" w:lineRule="auto"/>
    </w:pPr>
    <w:rPr>
      <w:rFonts w:ascii="Times New Roman" w:hAnsi="Times New Roman"/>
      <w:sz w:val="24"/>
    </w:rPr>
  </w:style>
  <w:style w:type="paragraph" w:customStyle="1" w:styleId="acthead5">
    <w:name w:val="acthead5"/>
    <w:basedOn w:val="Normal"/>
    <w:rsid w:val="00071147"/>
    <w:pPr>
      <w:spacing w:before="100" w:beforeAutospacing="1" w:after="100" w:afterAutospacing="1" w:line="240" w:lineRule="auto"/>
    </w:pPr>
    <w:rPr>
      <w:rFonts w:ascii="Times New Roman" w:hAnsi="Times New Roman"/>
      <w:sz w:val="24"/>
    </w:rPr>
  </w:style>
  <w:style w:type="character" w:customStyle="1" w:styleId="charsectno">
    <w:name w:val="charsectno"/>
    <w:basedOn w:val="DefaultParagraphFont"/>
    <w:rsid w:val="00071147"/>
  </w:style>
  <w:style w:type="paragraph" w:customStyle="1" w:styleId="acthead1">
    <w:name w:val="acthead1"/>
    <w:basedOn w:val="Normal"/>
    <w:rsid w:val="008D58CE"/>
    <w:pPr>
      <w:spacing w:before="100" w:beforeAutospacing="1" w:after="100" w:afterAutospacing="1" w:line="240" w:lineRule="auto"/>
    </w:pPr>
    <w:rPr>
      <w:rFonts w:ascii="Times New Roman" w:hAnsi="Times New Roman"/>
      <w:sz w:val="24"/>
    </w:rPr>
  </w:style>
  <w:style w:type="character" w:customStyle="1" w:styleId="charchapno">
    <w:name w:val="charchapno"/>
    <w:basedOn w:val="DefaultParagraphFont"/>
    <w:rsid w:val="008D58CE"/>
  </w:style>
  <w:style w:type="character" w:customStyle="1" w:styleId="charchaptext">
    <w:name w:val="charchaptext"/>
    <w:basedOn w:val="DefaultParagraphFont"/>
    <w:rsid w:val="008D58CE"/>
  </w:style>
  <w:style w:type="paragraph" w:customStyle="1" w:styleId="notemargin">
    <w:name w:val="notemargin"/>
    <w:basedOn w:val="Normal"/>
    <w:rsid w:val="008D58CE"/>
    <w:pPr>
      <w:spacing w:before="100" w:beforeAutospacing="1" w:after="100" w:afterAutospacing="1" w:line="240" w:lineRule="auto"/>
    </w:pPr>
    <w:rPr>
      <w:rFonts w:ascii="Times New Roman" w:hAnsi="Times New Roman"/>
      <w:sz w:val="24"/>
    </w:rPr>
  </w:style>
  <w:style w:type="character" w:customStyle="1" w:styleId="charpartno">
    <w:name w:val="charpartno"/>
    <w:basedOn w:val="DefaultParagraphFont"/>
    <w:rsid w:val="008D58CE"/>
  </w:style>
  <w:style w:type="character" w:customStyle="1" w:styleId="charparttext">
    <w:name w:val="charparttext"/>
    <w:basedOn w:val="DefaultParagraphFont"/>
    <w:rsid w:val="008D58CE"/>
  </w:style>
  <w:style w:type="paragraph" w:customStyle="1" w:styleId="notetext">
    <w:name w:val="notetext"/>
    <w:basedOn w:val="Normal"/>
    <w:rsid w:val="008D58CE"/>
    <w:pPr>
      <w:spacing w:before="100" w:beforeAutospacing="1" w:after="100" w:afterAutospacing="1" w:line="240" w:lineRule="auto"/>
    </w:pPr>
    <w:rPr>
      <w:rFonts w:ascii="Times New Roman" w:hAnsi="Times New Roman"/>
      <w:sz w:val="24"/>
    </w:rPr>
  </w:style>
  <w:style w:type="paragraph" w:customStyle="1" w:styleId="ACMANumberedList">
    <w:name w:val="ACMA Numbered List"/>
    <w:rsid w:val="00176BB9"/>
    <w:pPr>
      <w:numPr>
        <w:numId w:val="43"/>
      </w:numPr>
      <w:spacing w:before="20" w:after="20"/>
    </w:pPr>
    <w:rPr>
      <w:szCs w:val="20"/>
      <w:lang w:eastAsia="en-US"/>
    </w:rPr>
  </w:style>
  <w:style w:type="table" w:customStyle="1" w:styleId="TableGrid1">
    <w:name w:val="Table Grid1"/>
    <w:basedOn w:val="TableNormal"/>
    <w:next w:val="TableGrid"/>
    <w:uiPriority w:val="39"/>
    <w:rsid w:val="007D3D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116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6B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7256">
      <w:bodyDiv w:val="1"/>
      <w:marLeft w:val="0"/>
      <w:marRight w:val="0"/>
      <w:marTop w:val="0"/>
      <w:marBottom w:val="0"/>
      <w:divBdr>
        <w:top w:val="none" w:sz="0" w:space="0" w:color="auto"/>
        <w:left w:val="none" w:sz="0" w:space="0" w:color="auto"/>
        <w:bottom w:val="none" w:sz="0" w:space="0" w:color="auto"/>
        <w:right w:val="none" w:sz="0" w:space="0" w:color="auto"/>
      </w:divBdr>
    </w:div>
    <w:div w:id="147788554">
      <w:bodyDiv w:val="1"/>
      <w:marLeft w:val="0"/>
      <w:marRight w:val="0"/>
      <w:marTop w:val="0"/>
      <w:marBottom w:val="0"/>
      <w:divBdr>
        <w:top w:val="none" w:sz="0" w:space="0" w:color="auto"/>
        <w:left w:val="none" w:sz="0" w:space="0" w:color="auto"/>
        <w:bottom w:val="none" w:sz="0" w:space="0" w:color="auto"/>
        <w:right w:val="none" w:sz="0" w:space="0" w:color="auto"/>
      </w:divBdr>
    </w:div>
    <w:div w:id="261494565">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431753017">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30404604">
      <w:bodyDiv w:val="1"/>
      <w:marLeft w:val="0"/>
      <w:marRight w:val="0"/>
      <w:marTop w:val="0"/>
      <w:marBottom w:val="0"/>
      <w:divBdr>
        <w:top w:val="none" w:sz="0" w:space="0" w:color="auto"/>
        <w:left w:val="none" w:sz="0" w:space="0" w:color="auto"/>
        <w:bottom w:val="none" w:sz="0" w:space="0" w:color="auto"/>
        <w:right w:val="none" w:sz="0" w:space="0" w:color="auto"/>
      </w:divBdr>
    </w:div>
    <w:div w:id="1110471313">
      <w:bodyDiv w:val="1"/>
      <w:marLeft w:val="0"/>
      <w:marRight w:val="0"/>
      <w:marTop w:val="0"/>
      <w:marBottom w:val="0"/>
      <w:divBdr>
        <w:top w:val="none" w:sz="0" w:space="0" w:color="auto"/>
        <w:left w:val="none" w:sz="0" w:space="0" w:color="auto"/>
        <w:bottom w:val="none" w:sz="0" w:space="0" w:color="auto"/>
        <w:right w:val="none" w:sz="0" w:space="0" w:color="auto"/>
      </w:divBdr>
    </w:div>
    <w:div w:id="1215577048">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658264407">
      <w:bodyDiv w:val="1"/>
      <w:marLeft w:val="0"/>
      <w:marRight w:val="0"/>
      <w:marTop w:val="0"/>
      <w:marBottom w:val="0"/>
      <w:divBdr>
        <w:top w:val="none" w:sz="0" w:space="0" w:color="auto"/>
        <w:left w:val="none" w:sz="0" w:space="0" w:color="auto"/>
        <w:bottom w:val="none" w:sz="0" w:space="0" w:color="auto"/>
        <w:right w:val="none" w:sz="0" w:space="0" w:color="auto"/>
      </w:divBdr>
    </w:div>
    <w:div w:id="1856529415">
      <w:bodyDiv w:val="1"/>
      <w:marLeft w:val="0"/>
      <w:marRight w:val="0"/>
      <w:marTop w:val="0"/>
      <w:marBottom w:val="0"/>
      <w:divBdr>
        <w:top w:val="none" w:sz="0" w:space="0" w:color="auto"/>
        <w:left w:val="none" w:sz="0" w:space="0" w:color="auto"/>
        <w:bottom w:val="none" w:sz="0" w:space="0" w:color="auto"/>
        <w:right w:val="none" w:sz="0" w:space="0" w:color="auto"/>
      </w:divBdr>
    </w:div>
    <w:div w:id="1910188027">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34850605">
      <w:bodyDiv w:val="1"/>
      <w:marLeft w:val="0"/>
      <w:marRight w:val="0"/>
      <w:marTop w:val="0"/>
      <w:marBottom w:val="0"/>
      <w:divBdr>
        <w:top w:val="none" w:sz="0" w:space="0" w:color="auto"/>
        <w:left w:val="none" w:sz="0" w:space="0" w:color="auto"/>
        <w:bottom w:val="none" w:sz="0" w:space="0" w:color="auto"/>
        <w:right w:val="none" w:sz="0" w:space="0" w:color="auto"/>
      </w:divBdr>
    </w:div>
    <w:div w:id="211852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legislation.gov.au/Details/F2021C01287" TargetMode="Externa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legislation.gov.au/Details/F2018L00024" TargetMode="External"/><Relationship Id="rId33" Type="http://schemas.openxmlformats.org/officeDocument/2006/relationships/hyperlink" Target="https://www.acma.gov.au/privacy-polic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acma.gov.au/standards/em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Series/C2004A04465" TargetMode="External"/><Relationship Id="rId32" Type="http://schemas.openxmlformats.org/officeDocument/2006/relationships/hyperlink" Target="https://www.acma.gov.au/publication-submissions" TargetMode="External"/><Relationship Id="rId37"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legislation.gov.au/Series/C2020A00151" TargetMode="Externa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mailto:techreg@acm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legislation.gov.au/Details/F2023C00236" TargetMode="External"/><Relationship Id="rId30" Type="http://schemas.openxmlformats.org/officeDocument/2006/relationships/hyperlink" Target="https://www.acma.gov.au/have-your-say" TargetMode="External"/><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reaties.un.org/Pages/ViewDetails.aspx?src=IND&amp;mtdsg_no=XI-B-16&amp;chapter=11&amp;clang=_en" TargetMode="External"/><Relationship Id="rId13" Type="http://schemas.openxmlformats.org/officeDocument/2006/relationships/hyperlink" Target="https://gazette.govt.nz/notice/id/2015-go4671" TargetMode="External"/><Relationship Id="rId3" Type="http://schemas.openxmlformats.org/officeDocument/2006/relationships/hyperlink" Target="https://unece.org/transport/vehicle-regulations/wp29/resolutions" TargetMode="External"/><Relationship Id="rId7" Type="http://schemas.openxmlformats.org/officeDocument/2006/relationships/hyperlink" Target="https://www.cmeig.com.au/wp-content/uploads/TMA-CMEIGCodeofpractice_1.pdf" TargetMode="External"/><Relationship Id="rId12" Type="http://schemas.openxmlformats.org/officeDocument/2006/relationships/hyperlink" Target="https://www.dcceew.gov.au/energy/transport/national-electric-vehicle-strategy" TargetMode="External"/><Relationship Id="rId2" Type="http://schemas.openxmlformats.org/officeDocument/2006/relationships/hyperlink" Target="https://www.afr.com/life-and-luxury/cars-bikes-and-boats/subscribe-to-your-own-car-one-of-8-big-changes-coming-soon-to-evs-20221206-p5c40r" TargetMode="External"/><Relationship Id="rId1" Type="http://schemas.openxmlformats.org/officeDocument/2006/relationships/hyperlink" Target="https://ec.europa.eu/docsroom/documents/51315" TargetMode="External"/><Relationship Id="rId6" Type="http://schemas.openxmlformats.org/officeDocument/2006/relationships/hyperlink" Target="https://assets.website-files.com/5cbe46bce3c2320cf45d2b62/5e9fe0e281f2df51a44cf762_CoP%20%20EMC%20April%202020.pdf" TargetMode="External"/><Relationship Id="rId11" Type="http://schemas.openxmlformats.org/officeDocument/2006/relationships/hyperlink" Target="https://www.smh.com.au/environment/climate-change/five-charts-that-explain-how-the-australian-electric-vehicle-industry-is-booming-20230206-p5ci5m.html" TargetMode="External"/><Relationship Id="rId5" Type="http://schemas.openxmlformats.org/officeDocument/2006/relationships/hyperlink" Target="https://unece.org/transport/vehicle-regulations-wp29/standards/addenda-1958-agreement-regulations-0-20" TargetMode="External"/><Relationship Id="rId10" Type="http://schemas.openxmlformats.org/officeDocument/2006/relationships/hyperlink" Target="https://www.wto.org/english/docs_e/legal_e/17-tbt.pdf" TargetMode="External"/><Relationship Id="rId4" Type="http://schemas.openxmlformats.org/officeDocument/2006/relationships/hyperlink" Target="https://www.fcai.com.au/news/codes-of-practice/view/publication/116" TargetMode="External"/><Relationship Id="rId9" Type="http://schemas.openxmlformats.org/officeDocument/2006/relationships/hyperlink" Target="https://gazette.govt.nz/notice/id/2015-go4671" TargetMode="External"/><Relationship Id="rId14" Type="http://schemas.openxmlformats.org/officeDocument/2006/relationships/hyperlink" Target="https://apps.fcc.gov/kdb/GetAttachment.html?id=aPHDD74GRH5N2s050fBjxA%3D%3D&amp;desc=772105%20D01%20Exempt%20Devices%20v01r01&amp;tracking_number=330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9861</Words>
  <Characters>56506</Characters>
  <Application>Microsoft Office Word</Application>
  <DocSecurity>0</DocSecurity>
  <Lines>1448</Lines>
  <Paragraphs>896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2023-11-03T02:56:00Z</dcterms:created>
  <dcterms:modified xsi:type="dcterms:W3CDTF">2023-11-03T02:57:00Z</dcterms:modified>
  <cp:category/>
</cp:coreProperties>
</file>