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1263" w14:textId="77F82239" w:rsidR="008C72D2" w:rsidRPr="00A85D75" w:rsidRDefault="00847C48" w:rsidP="00A51D1A">
      <w:pPr>
        <w:pStyle w:val="Reporttitle"/>
      </w:pPr>
      <w:r w:rsidRPr="00A85D75">
        <w:t xml:space="preserve">Replanning </w:t>
      </w:r>
      <w:r w:rsidR="00091467">
        <w:t xml:space="preserve">of </w:t>
      </w:r>
      <w:r w:rsidRPr="00A85D75">
        <w:t xml:space="preserve">the </w:t>
      </w:r>
      <w:r w:rsidR="00091467">
        <w:t>1880</w:t>
      </w:r>
      <w:r w:rsidR="004828B3">
        <w:t>–</w:t>
      </w:r>
      <w:r w:rsidR="00091467">
        <w:t xml:space="preserve">1920 </w:t>
      </w:r>
      <w:r w:rsidR="001D3B52">
        <w:t xml:space="preserve">MHz </w:t>
      </w:r>
      <w:r w:rsidRPr="00A85D75">
        <w:t>band</w:t>
      </w:r>
      <w:r w:rsidR="00BB0057" w:rsidRPr="00A85D75">
        <w:t xml:space="preserve"> </w:t>
      </w:r>
    </w:p>
    <w:p w14:paraId="71315ABC" w14:textId="64C16348" w:rsidR="00F06E14" w:rsidRPr="00A85D75" w:rsidRDefault="0051429E" w:rsidP="00F06E14">
      <w:pPr>
        <w:pStyle w:val="Reportsubtitle"/>
      </w:pPr>
      <w:r w:rsidRPr="00A85D75">
        <w:t>Outcomes paper</w:t>
      </w:r>
    </w:p>
    <w:p w14:paraId="0D72CB52" w14:textId="5E4FD2F5" w:rsidR="00C97736" w:rsidRPr="00A85D75" w:rsidRDefault="0023649E" w:rsidP="00EC2B68">
      <w:pPr>
        <w:pStyle w:val="Reportdate"/>
        <w:spacing w:after="720"/>
        <w:rPr>
          <w:rFonts w:cs="Arial"/>
        </w:rPr>
        <w:sectPr w:rsidR="00C97736" w:rsidRPr="00A85D75" w:rsidSect="0021426C">
          <w:headerReference w:type="even" r:id="rId8"/>
          <w:headerReference w:type="default" r:id="rId9"/>
          <w:footerReference w:type="even" r:id="rId10"/>
          <w:footerReference w:type="default" r:id="rId11"/>
          <w:headerReference w:type="first" r:id="rId12"/>
          <w:pgSz w:w="11906" w:h="16838" w:code="9"/>
          <w:pgMar w:top="3924" w:right="992" w:bottom="1440" w:left="1134" w:header="709" w:footer="454" w:gutter="0"/>
          <w:cols w:space="708"/>
          <w:docGrid w:linePitch="360"/>
        </w:sectPr>
      </w:pPr>
      <w:r>
        <w:t>NOVEM</w:t>
      </w:r>
      <w:r w:rsidR="00FF1219" w:rsidRPr="00A21FC3">
        <w:t>BER</w:t>
      </w:r>
      <w:r w:rsidR="00270F4D" w:rsidRPr="00A21FC3">
        <w:t xml:space="preserve"> </w:t>
      </w:r>
      <w:r w:rsidR="00BD4421" w:rsidRPr="00A21FC3">
        <w:t>20</w:t>
      </w:r>
      <w:r w:rsidR="008E0428" w:rsidRPr="00A21FC3">
        <w:t>2</w:t>
      </w:r>
      <w:r w:rsidR="00091467" w:rsidRPr="00A21FC3">
        <w:t>3</w:t>
      </w:r>
    </w:p>
    <w:p w14:paraId="07EEC75C" w14:textId="77777777" w:rsidR="0005011A" w:rsidRPr="00A85D75" w:rsidRDefault="0005011A" w:rsidP="00FC07B9">
      <w:pPr>
        <w:pStyle w:val="ACMACorporateAddressHeader"/>
      </w:pPr>
      <w:r w:rsidRPr="00A85D75">
        <w:lastRenderedPageBreak/>
        <w:t>Canberra</w:t>
      </w:r>
    </w:p>
    <w:p w14:paraId="6E62BB3B" w14:textId="77777777" w:rsidR="0005011A" w:rsidRPr="00A85D75" w:rsidRDefault="0005011A" w:rsidP="00FC07B9">
      <w:pPr>
        <w:pStyle w:val="ACMACorporateAddresses"/>
      </w:pPr>
      <w:r w:rsidRPr="00A85D75">
        <w:t xml:space="preserve">Red Building </w:t>
      </w:r>
      <w:r w:rsidRPr="00A85D75">
        <w:br/>
        <w:t>Benjamin Offices</w:t>
      </w:r>
      <w:r w:rsidRPr="00A85D75">
        <w:br/>
        <w:t xml:space="preserve">Chan Street </w:t>
      </w:r>
      <w:r w:rsidRPr="00A85D75">
        <w:br/>
        <w:t>Belconnen ACT</w:t>
      </w:r>
    </w:p>
    <w:p w14:paraId="5CB5CA15" w14:textId="77777777" w:rsidR="0005011A" w:rsidRPr="00A85D75" w:rsidRDefault="0005011A" w:rsidP="00FC07B9">
      <w:pPr>
        <w:pStyle w:val="ACMACorporateAddresses"/>
      </w:pPr>
      <w:r w:rsidRPr="00A85D75">
        <w:t>PO Box 78</w:t>
      </w:r>
      <w:r w:rsidRPr="00A85D75">
        <w:br/>
        <w:t>Belconnen ACT 2616</w:t>
      </w:r>
    </w:p>
    <w:p w14:paraId="45166703" w14:textId="77777777" w:rsidR="00FE1823" w:rsidRPr="00A85D75" w:rsidRDefault="0005011A" w:rsidP="00FC07B9">
      <w:pPr>
        <w:pStyle w:val="ACMACorporateAddresses"/>
      </w:pPr>
      <w:r w:rsidRPr="00A85D75">
        <w:t>T</w:t>
      </w:r>
      <w:r w:rsidR="00537604" w:rsidRPr="00A85D75">
        <w:tab/>
      </w:r>
      <w:r w:rsidRPr="00A85D75">
        <w:t>+61 2 6219 5555</w:t>
      </w:r>
      <w:r w:rsidRPr="00A85D75">
        <w:br/>
        <w:t>F</w:t>
      </w:r>
      <w:r w:rsidR="00537604" w:rsidRPr="00A85D75">
        <w:tab/>
      </w:r>
      <w:r w:rsidRPr="00A85D75">
        <w:t>+61 2 6219 5353</w:t>
      </w:r>
    </w:p>
    <w:p w14:paraId="077AC0B3" w14:textId="77777777" w:rsidR="0005011A" w:rsidRPr="00A85D75" w:rsidRDefault="0005011A" w:rsidP="00FC07B9">
      <w:pPr>
        <w:pStyle w:val="ACMACorporateAddressHeader"/>
      </w:pPr>
      <w:r w:rsidRPr="00A85D75">
        <w:t>Melbourne</w:t>
      </w:r>
    </w:p>
    <w:p w14:paraId="0B3F4801" w14:textId="77777777" w:rsidR="0005011A" w:rsidRPr="00A85D75" w:rsidRDefault="0005011A" w:rsidP="00FC07B9">
      <w:pPr>
        <w:pStyle w:val="ACMACorporateAddresses"/>
      </w:pPr>
      <w:r w:rsidRPr="00A85D75">
        <w:t xml:space="preserve">Level 32 </w:t>
      </w:r>
      <w:r w:rsidRPr="00A85D75">
        <w:br/>
        <w:t>Melbourne Central Tower</w:t>
      </w:r>
      <w:r w:rsidRPr="00A85D75">
        <w:br/>
        <w:t xml:space="preserve">360 Elizabeth Street </w:t>
      </w:r>
      <w:r w:rsidR="008C10F4" w:rsidRPr="00A85D75">
        <w:br/>
      </w:r>
      <w:r w:rsidRPr="00A85D75">
        <w:t>Melbourne VIC</w:t>
      </w:r>
    </w:p>
    <w:p w14:paraId="15BA11F4" w14:textId="77777777" w:rsidR="0005011A" w:rsidRPr="00A85D75" w:rsidRDefault="0005011A" w:rsidP="00FC07B9">
      <w:pPr>
        <w:pStyle w:val="ACMACorporateAddresses"/>
      </w:pPr>
      <w:r w:rsidRPr="00A85D75">
        <w:t>PO Box 13112</w:t>
      </w:r>
      <w:r w:rsidRPr="00A85D75">
        <w:br/>
        <w:t xml:space="preserve">Law Courts </w:t>
      </w:r>
      <w:r w:rsidRPr="00A85D75">
        <w:br/>
        <w:t>Melbourne VIC 8010</w:t>
      </w:r>
    </w:p>
    <w:p w14:paraId="1E4F6AFA" w14:textId="77777777" w:rsidR="0005011A" w:rsidRPr="00A85D75" w:rsidRDefault="0005011A" w:rsidP="00FC07B9">
      <w:pPr>
        <w:pStyle w:val="ACMACorporateAddresses"/>
      </w:pPr>
      <w:r w:rsidRPr="00A85D75">
        <w:t>T</w:t>
      </w:r>
      <w:r w:rsidR="00140318" w:rsidRPr="00A85D75">
        <w:tab/>
      </w:r>
      <w:r w:rsidRPr="00A85D75">
        <w:t>+61 3 9963 6800</w:t>
      </w:r>
      <w:r w:rsidRPr="00A85D75">
        <w:br/>
        <w:t>F</w:t>
      </w:r>
      <w:r w:rsidR="00140318" w:rsidRPr="00A85D75">
        <w:tab/>
      </w:r>
      <w:r w:rsidRPr="00A85D75">
        <w:t>+61 3 9963 6899</w:t>
      </w:r>
    </w:p>
    <w:p w14:paraId="67C7A82C" w14:textId="77777777" w:rsidR="0005011A" w:rsidRPr="00A85D75" w:rsidRDefault="0005011A" w:rsidP="00FC07B9">
      <w:pPr>
        <w:pStyle w:val="ACMACorporateAddressHeader"/>
      </w:pPr>
      <w:r w:rsidRPr="00A85D75">
        <w:t>Sydney</w:t>
      </w:r>
    </w:p>
    <w:p w14:paraId="718B9864" w14:textId="77777777" w:rsidR="0005011A" w:rsidRPr="00A85D75" w:rsidRDefault="0005011A" w:rsidP="00FC07B9">
      <w:pPr>
        <w:pStyle w:val="ACMACorporateAddresses"/>
      </w:pPr>
      <w:r w:rsidRPr="00A85D75">
        <w:t xml:space="preserve">Level 5 </w:t>
      </w:r>
      <w:r w:rsidRPr="00A85D75">
        <w:br/>
        <w:t>The Bay Centre</w:t>
      </w:r>
      <w:r w:rsidRPr="00A85D75">
        <w:br/>
        <w:t xml:space="preserve">65 Pirrama Road </w:t>
      </w:r>
      <w:r w:rsidRPr="00A85D75">
        <w:br/>
        <w:t>Pyrmont NSW</w:t>
      </w:r>
    </w:p>
    <w:p w14:paraId="13623090" w14:textId="77777777" w:rsidR="0005011A" w:rsidRPr="00A85D75" w:rsidRDefault="0005011A" w:rsidP="00FC07B9">
      <w:pPr>
        <w:pStyle w:val="ACMACorporateAddresses"/>
      </w:pPr>
      <w:r w:rsidRPr="00A85D75">
        <w:t>PO Box Q500</w:t>
      </w:r>
      <w:r w:rsidRPr="00A85D75">
        <w:br/>
        <w:t xml:space="preserve">Queen Victoria Building </w:t>
      </w:r>
      <w:r w:rsidRPr="00A85D75">
        <w:br/>
        <w:t>NSW 1230</w:t>
      </w:r>
    </w:p>
    <w:p w14:paraId="38EDBE15" w14:textId="77777777" w:rsidR="0005011A" w:rsidRPr="00A85D75" w:rsidRDefault="0005011A" w:rsidP="00FC07B9">
      <w:pPr>
        <w:pStyle w:val="ACMACorporateAddresses"/>
      </w:pPr>
      <w:r w:rsidRPr="00A85D75">
        <w:t>T</w:t>
      </w:r>
      <w:r w:rsidR="00140318" w:rsidRPr="00A85D75">
        <w:tab/>
      </w:r>
      <w:r w:rsidRPr="00A85D75">
        <w:t>+61 2 9334 7700</w:t>
      </w:r>
      <w:r w:rsidR="00140318" w:rsidRPr="00A85D75">
        <w:t xml:space="preserve"> or</w:t>
      </w:r>
      <w:r w:rsidRPr="00A85D75">
        <w:t xml:space="preserve"> 1800 226 667</w:t>
      </w:r>
      <w:r w:rsidRPr="00A85D75">
        <w:br/>
        <w:t>F</w:t>
      </w:r>
      <w:r w:rsidR="00140318" w:rsidRPr="00A85D75">
        <w:tab/>
      </w:r>
      <w:r w:rsidRPr="00A85D75">
        <w:t>+61 2 9334 7799</w:t>
      </w:r>
    </w:p>
    <w:p w14:paraId="13A20732" w14:textId="77777777" w:rsidR="00140318" w:rsidRPr="00A85D75" w:rsidRDefault="00140318" w:rsidP="00FC07B9">
      <w:pPr>
        <w:pStyle w:val="ACMACopyrightHeader"/>
      </w:pPr>
      <w:r w:rsidRPr="00A85D75">
        <w:t>Copyright notice</w:t>
      </w:r>
    </w:p>
    <w:p w14:paraId="49FABB4A" w14:textId="77777777" w:rsidR="00140318" w:rsidRPr="00A85D75" w:rsidRDefault="00623FF9" w:rsidP="00623FF9">
      <w:pPr>
        <w:pStyle w:val="ACMACClogo"/>
      </w:pPr>
      <w:r w:rsidRPr="00A85D75">
        <w:rPr>
          <w:noProof/>
        </w:rPr>
        <w:drawing>
          <wp:inline distT="0" distB="0" distL="0" distR="0" wp14:anchorId="0D5DAA8A" wp14:editId="3A0C3266">
            <wp:extent cx="838200" cy="295275"/>
            <wp:effectExtent l="0" t="0" r="0" b="0"/>
            <wp:docPr id="1" name="Picture 1" title="Creative Commons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14:paraId="32EFF394" w14:textId="77777777" w:rsidR="00AA2DE5" w:rsidRPr="00A85D75" w:rsidRDefault="00C007E5" w:rsidP="00AA2DE5">
      <w:pPr>
        <w:pStyle w:val="ACMACorporateAddresses"/>
        <w:rPr>
          <w:rStyle w:val="Hyperlink"/>
        </w:rPr>
      </w:pPr>
      <w:hyperlink r:id="rId15" w:history="1">
        <w:r w:rsidR="00AA2DE5" w:rsidRPr="00A85D75">
          <w:rPr>
            <w:rStyle w:val="Hyperlink"/>
          </w:rPr>
          <w:t>https://creativecommons.org/licenses/by/4.0/</w:t>
        </w:r>
      </w:hyperlink>
    </w:p>
    <w:p w14:paraId="3A604B9C" w14:textId="0E55EBFB" w:rsidR="00AA2DE5" w:rsidRPr="00A85D75" w:rsidRDefault="00FE6A79" w:rsidP="00AA2DE5">
      <w:pPr>
        <w:pStyle w:val="ACMACorporateAddresses"/>
      </w:pPr>
      <w:r w:rsidRPr="00A85D75">
        <w:t>Except for</w:t>
      </w:r>
      <w:r w:rsidR="00AA2DE5" w:rsidRPr="00A85D75">
        <w:t xml:space="preserve"> coats of arms, logos, emblems, images, other third-party </w:t>
      </w:r>
      <w:proofErr w:type="gramStart"/>
      <w:r w:rsidR="00AA2DE5" w:rsidRPr="00A85D75">
        <w:t>material</w:t>
      </w:r>
      <w:proofErr w:type="gramEnd"/>
      <w:r w:rsidR="00AA2DE5" w:rsidRPr="00A85D75">
        <w:t xml:space="preserve"> or devices protected by a trademark, this content is made available under the terms of the Creative Commons Attribution 4.0 International (CC BY 4.0) licence. </w:t>
      </w:r>
    </w:p>
    <w:p w14:paraId="1B416728" w14:textId="6BA4C6B7" w:rsidR="00AA2DE5" w:rsidRPr="00A85D75" w:rsidRDefault="00AA2DE5" w:rsidP="00AA2DE5">
      <w:pPr>
        <w:pStyle w:val="ACMACorporateAddresses"/>
      </w:pPr>
      <w:r w:rsidRPr="00A85D75">
        <w:t>We request attribution as © Commonwealth of Australia (Australian Communications and Media Authority) 20</w:t>
      </w:r>
      <w:r w:rsidR="00C41F21" w:rsidRPr="00A85D75">
        <w:t>2</w:t>
      </w:r>
      <w:r w:rsidR="007B28D0">
        <w:t>3</w:t>
      </w:r>
    </w:p>
    <w:p w14:paraId="371F27F3" w14:textId="77777777" w:rsidR="00AA2DE5" w:rsidRPr="00A85D75" w:rsidRDefault="00AA2DE5" w:rsidP="00AA2DE5">
      <w:pPr>
        <w:pStyle w:val="ACMACorporateAddresses"/>
      </w:pPr>
      <w:r w:rsidRPr="00A85D75">
        <w:t>All other rights are reserved.</w:t>
      </w:r>
    </w:p>
    <w:p w14:paraId="414C5484" w14:textId="77777777" w:rsidR="00AA2DE5" w:rsidRPr="00A85D75" w:rsidRDefault="00AA2DE5" w:rsidP="00AA2DE5">
      <w:pPr>
        <w:pStyle w:val="ACMACorporateAddresses"/>
      </w:pPr>
      <w:r w:rsidRPr="00A85D7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2853317C" w14:textId="77777777" w:rsidR="00AA2DE5" w:rsidRPr="00A85D75" w:rsidRDefault="00AA2DE5" w:rsidP="00AA2DE5">
      <w:pPr>
        <w:pStyle w:val="ACMACorporateAddresses"/>
      </w:pPr>
      <w:r w:rsidRPr="00A85D75">
        <w:t>Written enquiries may be sent to:</w:t>
      </w:r>
    </w:p>
    <w:p w14:paraId="1A9E1A3F" w14:textId="77777777" w:rsidR="00AA2DE5" w:rsidRPr="00A85D75" w:rsidRDefault="00AA2DE5" w:rsidP="00AA2DE5">
      <w:pPr>
        <w:pStyle w:val="ACMACorporateAddresses"/>
        <w:rPr>
          <w:rStyle w:val="Hyperlink"/>
        </w:rPr>
      </w:pPr>
      <w:r w:rsidRPr="00A85D75">
        <w:t xml:space="preserve">Manager, Editorial </w:t>
      </w:r>
      <w:r w:rsidR="000245E5" w:rsidRPr="00A85D75">
        <w:t>Services</w:t>
      </w:r>
      <w:r w:rsidRPr="00A85D75">
        <w:br/>
        <w:t>PO Box 13112</w:t>
      </w:r>
      <w:r w:rsidRPr="00A85D75">
        <w:br/>
        <w:t>Law Courts</w:t>
      </w:r>
      <w:r w:rsidRPr="00A85D75">
        <w:br/>
        <w:t>Melbourne VIC 8010</w:t>
      </w:r>
      <w:r w:rsidRPr="00A85D75">
        <w:br/>
        <w:t xml:space="preserve">Email: </w:t>
      </w:r>
      <w:hyperlink r:id="rId16" w:history="1">
        <w:r w:rsidRPr="00A85D75">
          <w:rPr>
            <w:rStyle w:val="Hyperlink"/>
          </w:rPr>
          <w:t>info@acma.gov.au</w:t>
        </w:r>
      </w:hyperlink>
    </w:p>
    <w:p w14:paraId="3E619F34" w14:textId="77777777" w:rsidR="00D16FE3" w:rsidRPr="00A85D75" w:rsidRDefault="00D16FE3" w:rsidP="00D16FE3">
      <w:pPr>
        <w:pStyle w:val="ACMACorporateAddresses"/>
        <w:rPr>
          <w:rStyle w:val="Hyperlink"/>
        </w:rPr>
      </w:pPr>
    </w:p>
    <w:p w14:paraId="42257032" w14:textId="77777777" w:rsidR="00D16FE3" w:rsidRPr="00A85D75" w:rsidRDefault="00D16FE3" w:rsidP="00D16FE3">
      <w:pPr>
        <w:pStyle w:val="ACMACorporateAddresses"/>
        <w:sectPr w:rsidR="00D16FE3" w:rsidRPr="00A85D75">
          <w:headerReference w:type="even" r:id="rId17"/>
          <w:headerReference w:type="default" r:id="rId18"/>
          <w:footerReference w:type="even" r:id="rId19"/>
          <w:footerReference w:type="default" r:id="rId20"/>
          <w:pgSz w:w="11906" w:h="16838" w:code="9"/>
          <w:pgMar w:top="3924" w:right="1797" w:bottom="697" w:left="1134" w:header="709" w:footer="119" w:gutter="0"/>
          <w:cols w:space="708"/>
          <w:docGrid w:linePitch="360"/>
        </w:sectPr>
      </w:pPr>
    </w:p>
    <w:p w14:paraId="0E50CB93" w14:textId="3DAE84FF" w:rsidR="00867047" w:rsidRDefault="00A901CF">
      <w:pPr>
        <w:pStyle w:val="TOC1"/>
        <w:rPr>
          <w:rFonts w:asciiTheme="minorHAnsi" w:eastAsiaTheme="minorEastAsia" w:hAnsiTheme="minorHAnsi" w:cs="Vrinda"/>
          <w:b w:val="0"/>
          <w:spacing w:val="0"/>
          <w:sz w:val="22"/>
          <w:szCs w:val="28"/>
          <w:lang w:bidi="bn-IN"/>
        </w:rPr>
      </w:pPr>
      <w:r>
        <w:rPr>
          <w:rFonts w:cs="Arial"/>
          <w:b w:val="0"/>
        </w:rPr>
        <w:lastRenderedPageBreak/>
        <w:fldChar w:fldCharType="begin"/>
      </w:r>
      <w:r>
        <w:rPr>
          <w:rFonts w:cs="Arial"/>
          <w:b w:val="0"/>
        </w:rPr>
        <w:instrText xml:space="preserve"> TOC \o "1-3" \h \z \t "Exec summary heading,1" </w:instrText>
      </w:r>
      <w:r>
        <w:rPr>
          <w:rFonts w:cs="Arial"/>
          <w:b w:val="0"/>
        </w:rPr>
        <w:fldChar w:fldCharType="separate"/>
      </w:r>
      <w:hyperlink w:anchor="_Toc150345640" w:history="1">
        <w:r w:rsidR="00867047" w:rsidRPr="00591D6F">
          <w:rPr>
            <w:rStyle w:val="Hyperlink"/>
          </w:rPr>
          <w:t>Executive summary</w:t>
        </w:r>
        <w:r w:rsidR="00867047">
          <w:rPr>
            <w:webHidden/>
          </w:rPr>
          <w:tab/>
        </w:r>
        <w:r w:rsidR="00867047">
          <w:rPr>
            <w:webHidden/>
          </w:rPr>
          <w:fldChar w:fldCharType="begin"/>
        </w:r>
        <w:r w:rsidR="00867047">
          <w:rPr>
            <w:webHidden/>
          </w:rPr>
          <w:instrText xml:space="preserve"> PAGEREF _Toc150345640 \h </w:instrText>
        </w:r>
        <w:r w:rsidR="00867047">
          <w:rPr>
            <w:webHidden/>
          </w:rPr>
        </w:r>
        <w:r w:rsidR="00867047">
          <w:rPr>
            <w:webHidden/>
          </w:rPr>
          <w:fldChar w:fldCharType="separate"/>
        </w:r>
        <w:r w:rsidR="00867047">
          <w:rPr>
            <w:webHidden/>
          </w:rPr>
          <w:t>1</w:t>
        </w:r>
        <w:r w:rsidR="00867047">
          <w:rPr>
            <w:webHidden/>
          </w:rPr>
          <w:fldChar w:fldCharType="end"/>
        </w:r>
      </w:hyperlink>
    </w:p>
    <w:p w14:paraId="4C9E85CB" w14:textId="3BEDBC7D" w:rsidR="00867047" w:rsidRDefault="00C007E5">
      <w:pPr>
        <w:pStyle w:val="TOC2"/>
        <w:rPr>
          <w:rFonts w:asciiTheme="minorHAnsi" w:eastAsiaTheme="minorEastAsia" w:hAnsiTheme="minorHAnsi" w:cs="Vrinda"/>
          <w:spacing w:val="0"/>
          <w:sz w:val="22"/>
          <w:szCs w:val="28"/>
          <w:lang w:bidi="bn-IN"/>
        </w:rPr>
      </w:pPr>
      <w:hyperlink w:anchor="_Toc150345641" w:history="1">
        <w:r w:rsidR="00867047" w:rsidRPr="00591D6F">
          <w:rPr>
            <w:rStyle w:val="Hyperlink"/>
          </w:rPr>
          <w:t>Industry feedback and ACMA considerations</w:t>
        </w:r>
        <w:r w:rsidR="00867047">
          <w:rPr>
            <w:webHidden/>
          </w:rPr>
          <w:tab/>
        </w:r>
        <w:r w:rsidR="00867047">
          <w:rPr>
            <w:webHidden/>
          </w:rPr>
          <w:fldChar w:fldCharType="begin"/>
        </w:r>
        <w:r w:rsidR="00867047">
          <w:rPr>
            <w:webHidden/>
          </w:rPr>
          <w:instrText xml:space="preserve"> PAGEREF _Toc150345641 \h </w:instrText>
        </w:r>
        <w:r w:rsidR="00867047">
          <w:rPr>
            <w:webHidden/>
          </w:rPr>
        </w:r>
        <w:r w:rsidR="00867047">
          <w:rPr>
            <w:webHidden/>
          </w:rPr>
          <w:fldChar w:fldCharType="separate"/>
        </w:r>
        <w:r w:rsidR="00867047">
          <w:rPr>
            <w:webHidden/>
          </w:rPr>
          <w:t>2</w:t>
        </w:r>
        <w:r w:rsidR="00867047">
          <w:rPr>
            <w:webHidden/>
          </w:rPr>
          <w:fldChar w:fldCharType="end"/>
        </w:r>
      </w:hyperlink>
    </w:p>
    <w:p w14:paraId="787F89D8" w14:textId="0982D32D" w:rsidR="00867047" w:rsidRDefault="00C007E5">
      <w:pPr>
        <w:pStyle w:val="TOC2"/>
        <w:rPr>
          <w:rFonts w:asciiTheme="minorHAnsi" w:eastAsiaTheme="minorEastAsia" w:hAnsiTheme="minorHAnsi" w:cs="Vrinda"/>
          <w:spacing w:val="0"/>
          <w:sz w:val="22"/>
          <w:szCs w:val="28"/>
          <w:lang w:bidi="bn-IN"/>
        </w:rPr>
      </w:pPr>
      <w:hyperlink w:anchor="_Toc150345642" w:history="1">
        <w:r w:rsidR="00867047" w:rsidRPr="00591D6F">
          <w:rPr>
            <w:rStyle w:val="Hyperlink"/>
          </w:rPr>
          <w:t>Planning decisions and preliminary views</w:t>
        </w:r>
        <w:r w:rsidR="00867047">
          <w:rPr>
            <w:webHidden/>
          </w:rPr>
          <w:tab/>
        </w:r>
        <w:r w:rsidR="00867047">
          <w:rPr>
            <w:webHidden/>
          </w:rPr>
          <w:fldChar w:fldCharType="begin"/>
        </w:r>
        <w:r w:rsidR="00867047">
          <w:rPr>
            <w:webHidden/>
          </w:rPr>
          <w:instrText xml:space="preserve"> PAGEREF _Toc150345642 \h </w:instrText>
        </w:r>
        <w:r w:rsidR="00867047">
          <w:rPr>
            <w:webHidden/>
          </w:rPr>
        </w:r>
        <w:r w:rsidR="00867047">
          <w:rPr>
            <w:webHidden/>
          </w:rPr>
          <w:fldChar w:fldCharType="separate"/>
        </w:r>
        <w:r w:rsidR="00867047">
          <w:rPr>
            <w:webHidden/>
          </w:rPr>
          <w:t>2</w:t>
        </w:r>
        <w:r w:rsidR="00867047">
          <w:rPr>
            <w:webHidden/>
          </w:rPr>
          <w:fldChar w:fldCharType="end"/>
        </w:r>
      </w:hyperlink>
    </w:p>
    <w:p w14:paraId="4FD82026" w14:textId="2E748BE1" w:rsidR="00867047" w:rsidRDefault="00C007E5">
      <w:pPr>
        <w:pStyle w:val="TOC2"/>
        <w:rPr>
          <w:rFonts w:asciiTheme="minorHAnsi" w:eastAsiaTheme="minorEastAsia" w:hAnsiTheme="minorHAnsi" w:cs="Vrinda"/>
          <w:spacing w:val="0"/>
          <w:sz w:val="22"/>
          <w:szCs w:val="28"/>
          <w:lang w:bidi="bn-IN"/>
        </w:rPr>
      </w:pPr>
      <w:hyperlink w:anchor="_Toc150345643" w:history="1">
        <w:r w:rsidR="00867047" w:rsidRPr="00591D6F">
          <w:rPr>
            <w:rStyle w:val="Hyperlink"/>
          </w:rPr>
          <w:t>Next steps</w:t>
        </w:r>
        <w:r w:rsidR="00867047">
          <w:rPr>
            <w:webHidden/>
          </w:rPr>
          <w:tab/>
        </w:r>
        <w:r w:rsidR="00867047">
          <w:rPr>
            <w:webHidden/>
          </w:rPr>
          <w:fldChar w:fldCharType="begin"/>
        </w:r>
        <w:r w:rsidR="00867047">
          <w:rPr>
            <w:webHidden/>
          </w:rPr>
          <w:instrText xml:space="preserve"> PAGEREF _Toc150345643 \h </w:instrText>
        </w:r>
        <w:r w:rsidR="00867047">
          <w:rPr>
            <w:webHidden/>
          </w:rPr>
        </w:r>
        <w:r w:rsidR="00867047">
          <w:rPr>
            <w:webHidden/>
          </w:rPr>
          <w:fldChar w:fldCharType="separate"/>
        </w:r>
        <w:r w:rsidR="00867047">
          <w:rPr>
            <w:webHidden/>
          </w:rPr>
          <w:t>3</w:t>
        </w:r>
        <w:r w:rsidR="00867047">
          <w:rPr>
            <w:webHidden/>
          </w:rPr>
          <w:fldChar w:fldCharType="end"/>
        </w:r>
      </w:hyperlink>
    </w:p>
    <w:p w14:paraId="3156353C" w14:textId="5D2F4A9F" w:rsidR="00867047" w:rsidRDefault="00C007E5">
      <w:pPr>
        <w:pStyle w:val="TOC1"/>
        <w:rPr>
          <w:rFonts w:asciiTheme="minorHAnsi" w:eastAsiaTheme="minorEastAsia" w:hAnsiTheme="minorHAnsi" w:cs="Vrinda"/>
          <w:b w:val="0"/>
          <w:spacing w:val="0"/>
          <w:sz w:val="22"/>
          <w:szCs w:val="28"/>
          <w:lang w:bidi="bn-IN"/>
        </w:rPr>
      </w:pPr>
      <w:hyperlink w:anchor="_Toc150345644" w:history="1">
        <w:r w:rsidR="00867047" w:rsidRPr="00591D6F">
          <w:rPr>
            <w:rStyle w:val="Hyperlink"/>
          </w:rPr>
          <w:t>Introduction</w:t>
        </w:r>
        <w:r w:rsidR="00867047">
          <w:rPr>
            <w:webHidden/>
          </w:rPr>
          <w:tab/>
        </w:r>
        <w:r w:rsidR="00867047">
          <w:rPr>
            <w:webHidden/>
          </w:rPr>
          <w:fldChar w:fldCharType="begin"/>
        </w:r>
        <w:r w:rsidR="00867047">
          <w:rPr>
            <w:webHidden/>
          </w:rPr>
          <w:instrText xml:space="preserve"> PAGEREF _Toc150345644 \h </w:instrText>
        </w:r>
        <w:r w:rsidR="00867047">
          <w:rPr>
            <w:webHidden/>
          </w:rPr>
        </w:r>
        <w:r w:rsidR="00867047">
          <w:rPr>
            <w:webHidden/>
          </w:rPr>
          <w:fldChar w:fldCharType="separate"/>
        </w:r>
        <w:r w:rsidR="00867047">
          <w:rPr>
            <w:webHidden/>
          </w:rPr>
          <w:t>4</w:t>
        </w:r>
        <w:r w:rsidR="00867047">
          <w:rPr>
            <w:webHidden/>
          </w:rPr>
          <w:fldChar w:fldCharType="end"/>
        </w:r>
      </w:hyperlink>
    </w:p>
    <w:p w14:paraId="53451A0F" w14:textId="2EBAF5A1" w:rsidR="00867047" w:rsidRDefault="00C007E5">
      <w:pPr>
        <w:pStyle w:val="TOC2"/>
        <w:rPr>
          <w:rFonts w:asciiTheme="minorHAnsi" w:eastAsiaTheme="minorEastAsia" w:hAnsiTheme="minorHAnsi" w:cs="Vrinda"/>
          <w:spacing w:val="0"/>
          <w:sz w:val="22"/>
          <w:szCs w:val="28"/>
          <w:lang w:bidi="bn-IN"/>
        </w:rPr>
      </w:pPr>
      <w:hyperlink w:anchor="_Toc150345645" w:history="1">
        <w:r w:rsidR="00867047" w:rsidRPr="00591D6F">
          <w:rPr>
            <w:rStyle w:val="Hyperlink"/>
          </w:rPr>
          <w:t>Legislative and policy environment</w:t>
        </w:r>
        <w:r w:rsidR="00867047">
          <w:rPr>
            <w:webHidden/>
          </w:rPr>
          <w:tab/>
        </w:r>
        <w:r w:rsidR="00867047">
          <w:rPr>
            <w:webHidden/>
          </w:rPr>
          <w:fldChar w:fldCharType="begin"/>
        </w:r>
        <w:r w:rsidR="00867047">
          <w:rPr>
            <w:webHidden/>
          </w:rPr>
          <w:instrText xml:space="preserve"> PAGEREF _Toc150345645 \h </w:instrText>
        </w:r>
        <w:r w:rsidR="00867047">
          <w:rPr>
            <w:webHidden/>
          </w:rPr>
        </w:r>
        <w:r w:rsidR="00867047">
          <w:rPr>
            <w:webHidden/>
          </w:rPr>
          <w:fldChar w:fldCharType="separate"/>
        </w:r>
        <w:r w:rsidR="00867047">
          <w:rPr>
            <w:webHidden/>
          </w:rPr>
          <w:t>5</w:t>
        </w:r>
        <w:r w:rsidR="00867047">
          <w:rPr>
            <w:webHidden/>
          </w:rPr>
          <w:fldChar w:fldCharType="end"/>
        </w:r>
      </w:hyperlink>
    </w:p>
    <w:p w14:paraId="1D05946F" w14:textId="699BC1DB" w:rsidR="00867047" w:rsidRDefault="00C007E5">
      <w:pPr>
        <w:pStyle w:val="TOC2"/>
        <w:rPr>
          <w:rFonts w:asciiTheme="minorHAnsi" w:eastAsiaTheme="minorEastAsia" w:hAnsiTheme="minorHAnsi" w:cs="Vrinda"/>
          <w:spacing w:val="0"/>
          <w:sz w:val="22"/>
          <w:szCs w:val="28"/>
          <w:lang w:bidi="bn-IN"/>
        </w:rPr>
      </w:pPr>
      <w:hyperlink w:anchor="_Toc150345646" w:history="1">
        <w:r w:rsidR="00867047" w:rsidRPr="00591D6F">
          <w:rPr>
            <w:rStyle w:val="Hyperlink"/>
          </w:rPr>
          <w:t>Licensing arrangements</w:t>
        </w:r>
        <w:r w:rsidR="00867047">
          <w:rPr>
            <w:webHidden/>
          </w:rPr>
          <w:tab/>
        </w:r>
        <w:r w:rsidR="00867047">
          <w:rPr>
            <w:webHidden/>
          </w:rPr>
          <w:fldChar w:fldCharType="begin"/>
        </w:r>
        <w:r w:rsidR="00867047">
          <w:rPr>
            <w:webHidden/>
          </w:rPr>
          <w:instrText xml:space="preserve"> PAGEREF _Toc150345646 \h </w:instrText>
        </w:r>
        <w:r w:rsidR="00867047">
          <w:rPr>
            <w:webHidden/>
          </w:rPr>
        </w:r>
        <w:r w:rsidR="00867047">
          <w:rPr>
            <w:webHidden/>
          </w:rPr>
          <w:fldChar w:fldCharType="separate"/>
        </w:r>
        <w:r w:rsidR="00867047">
          <w:rPr>
            <w:webHidden/>
          </w:rPr>
          <w:t>5</w:t>
        </w:r>
        <w:r w:rsidR="00867047">
          <w:rPr>
            <w:webHidden/>
          </w:rPr>
          <w:fldChar w:fldCharType="end"/>
        </w:r>
      </w:hyperlink>
    </w:p>
    <w:p w14:paraId="7A1C17C6" w14:textId="4FAB4A28" w:rsidR="00867047" w:rsidRDefault="00C007E5">
      <w:pPr>
        <w:pStyle w:val="TOC2"/>
        <w:rPr>
          <w:rFonts w:asciiTheme="minorHAnsi" w:eastAsiaTheme="minorEastAsia" w:hAnsiTheme="minorHAnsi" w:cs="Vrinda"/>
          <w:spacing w:val="0"/>
          <w:sz w:val="22"/>
          <w:szCs w:val="28"/>
          <w:lang w:bidi="bn-IN"/>
        </w:rPr>
      </w:pPr>
      <w:hyperlink w:anchor="_Toc150345647" w:history="1">
        <w:r w:rsidR="00867047" w:rsidRPr="00591D6F">
          <w:rPr>
            <w:rStyle w:val="Hyperlink"/>
          </w:rPr>
          <w:t>Spectrum planning outcomes development</w:t>
        </w:r>
        <w:r w:rsidR="00867047">
          <w:rPr>
            <w:webHidden/>
          </w:rPr>
          <w:tab/>
        </w:r>
        <w:r w:rsidR="00867047">
          <w:rPr>
            <w:webHidden/>
          </w:rPr>
          <w:fldChar w:fldCharType="begin"/>
        </w:r>
        <w:r w:rsidR="00867047">
          <w:rPr>
            <w:webHidden/>
          </w:rPr>
          <w:instrText xml:space="preserve"> PAGEREF _Toc150345647 \h </w:instrText>
        </w:r>
        <w:r w:rsidR="00867047">
          <w:rPr>
            <w:webHidden/>
          </w:rPr>
        </w:r>
        <w:r w:rsidR="00867047">
          <w:rPr>
            <w:webHidden/>
          </w:rPr>
          <w:fldChar w:fldCharType="separate"/>
        </w:r>
        <w:r w:rsidR="00867047">
          <w:rPr>
            <w:webHidden/>
          </w:rPr>
          <w:t>6</w:t>
        </w:r>
        <w:r w:rsidR="00867047">
          <w:rPr>
            <w:webHidden/>
          </w:rPr>
          <w:fldChar w:fldCharType="end"/>
        </w:r>
      </w:hyperlink>
    </w:p>
    <w:p w14:paraId="22C902A3" w14:textId="6FB2CB70" w:rsidR="00867047" w:rsidRDefault="00C007E5">
      <w:pPr>
        <w:pStyle w:val="TOC2"/>
        <w:rPr>
          <w:rFonts w:asciiTheme="minorHAnsi" w:eastAsiaTheme="minorEastAsia" w:hAnsiTheme="minorHAnsi" w:cs="Vrinda"/>
          <w:spacing w:val="0"/>
          <w:sz w:val="22"/>
          <w:szCs w:val="28"/>
          <w:lang w:bidi="bn-IN"/>
        </w:rPr>
      </w:pPr>
      <w:hyperlink w:anchor="_Toc150345648" w:history="1">
        <w:r w:rsidR="00867047" w:rsidRPr="00591D6F">
          <w:rPr>
            <w:rStyle w:val="Hyperlink"/>
          </w:rPr>
          <w:t>Issues not within the scope of this paper</w:t>
        </w:r>
        <w:r w:rsidR="00867047">
          <w:rPr>
            <w:webHidden/>
          </w:rPr>
          <w:tab/>
        </w:r>
        <w:r w:rsidR="00867047">
          <w:rPr>
            <w:webHidden/>
          </w:rPr>
          <w:fldChar w:fldCharType="begin"/>
        </w:r>
        <w:r w:rsidR="00867047">
          <w:rPr>
            <w:webHidden/>
          </w:rPr>
          <w:instrText xml:space="preserve"> PAGEREF _Toc150345648 \h </w:instrText>
        </w:r>
        <w:r w:rsidR="00867047">
          <w:rPr>
            <w:webHidden/>
          </w:rPr>
        </w:r>
        <w:r w:rsidR="00867047">
          <w:rPr>
            <w:webHidden/>
          </w:rPr>
          <w:fldChar w:fldCharType="separate"/>
        </w:r>
        <w:r w:rsidR="00867047">
          <w:rPr>
            <w:webHidden/>
          </w:rPr>
          <w:t>7</w:t>
        </w:r>
        <w:r w:rsidR="00867047">
          <w:rPr>
            <w:webHidden/>
          </w:rPr>
          <w:fldChar w:fldCharType="end"/>
        </w:r>
      </w:hyperlink>
    </w:p>
    <w:p w14:paraId="1476FCDC" w14:textId="13EFC1E3" w:rsidR="00867047" w:rsidRDefault="00C007E5">
      <w:pPr>
        <w:pStyle w:val="TOC3"/>
        <w:rPr>
          <w:rFonts w:asciiTheme="minorHAnsi" w:eastAsiaTheme="minorEastAsia" w:hAnsiTheme="minorHAnsi" w:cs="Vrinda"/>
          <w:szCs w:val="28"/>
          <w:lang w:bidi="bn-IN"/>
        </w:rPr>
      </w:pPr>
      <w:hyperlink w:anchor="_Toc150345649" w:history="1">
        <w:r w:rsidR="00867047" w:rsidRPr="00591D6F">
          <w:rPr>
            <w:rStyle w:val="Hyperlink"/>
          </w:rPr>
          <w:t>Apparatus licence tax arrangements</w:t>
        </w:r>
        <w:r w:rsidR="00867047">
          <w:rPr>
            <w:webHidden/>
          </w:rPr>
          <w:tab/>
        </w:r>
        <w:r w:rsidR="00867047">
          <w:rPr>
            <w:webHidden/>
          </w:rPr>
          <w:fldChar w:fldCharType="begin"/>
        </w:r>
        <w:r w:rsidR="00867047">
          <w:rPr>
            <w:webHidden/>
          </w:rPr>
          <w:instrText xml:space="preserve"> PAGEREF _Toc150345649 \h </w:instrText>
        </w:r>
        <w:r w:rsidR="00867047">
          <w:rPr>
            <w:webHidden/>
          </w:rPr>
        </w:r>
        <w:r w:rsidR="00867047">
          <w:rPr>
            <w:webHidden/>
          </w:rPr>
          <w:fldChar w:fldCharType="separate"/>
        </w:r>
        <w:r w:rsidR="00867047">
          <w:rPr>
            <w:webHidden/>
          </w:rPr>
          <w:t>7</w:t>
        </w:r>
        <w:r w:rsidR="00867047">
          <w:rPr>
            <w:webHidden/>
          </w:rPr>
          <w:fldChar w:fldCharType="end"/>
        </w:r>
      </w:hyperlink>
    </w:p>
    <w:p w14:paraId="33CF4F00" w14:textId="34A721B4" w:rsidR="00867047" w:rsidRDefault="00C007E5">
      <w:pPr>
        <w:pStyle w:val="TOC3"/>
        <w:rPr>
          <w:rFonts w:asciiTheme="minorHAnsi" w:eastAsiaTheme="minorEastAsia" w:hAnsiTheme="minorHAnsi" w:cs="Vrinda"/>
          <w:szCs w:val="28"/>
          <w:lang w:bidi="bn-IN"/>
        </w:rPr>
      </w:pPr>
      <w:hyperlink w:anchor="_Toc150345650" w:history="1">
        <w:r w:rsidR="00867047" w:rsidRPr="00591D6F">
          <w:rPr>
            <w:rStyle w:val="Hyperlink"/>
          </w:rPr>
          <w:t>Engagement in international activities</w:t>
        </w:r>
        <w:r w:rsidR="00867047">
          <w:rPr>
            <w:webHidden/>
          </w:rPr>
          <w:tab/>
        </w:r>
        <w:r w:rsidR="00867047">
          <w:rPr>
            <w:webHidden/>
          </w:rPr>
          <w:fldChar w:fldCharType="begin"/>
        </w:r>
        <w:r w:rsidR="00867047">
          <w:rPr>
            <w:webHidden/>
          </w:rPr>
          <w:instrText xml:space="preserve"> PAGEREF _Toc150345650 \h </w:instrText>
        </w:r>
        <w:r w:rsidR="00867047">
          <w:rPr>
            <w:webHidden/>
          </w:rPr>
        </w:r>
        <w:r w:rsidR="00867047">
          <w:rPr>
            <w:webHidden/>
          </w:rPr>
          <w:fldChar w:fldCharType="separate"/>
        </w:r>
        <w:r w:rsidR="00867047">
          <w:rPr>
            <w:webHidden/>
          </w:rPr>
          <w:t>7</w:t>
        </w:r>
        <w:r w:rsidR="00867047">
          <w:rPr>
            <w:webHidden/>
          </w:rPr>
          <w:fldChar w:fldCharType="end"/>
        </w:r>
      </w:hyperlink>
    </w:p>
    <w:p w14:paraId="33168CFD" w14:textId="4A56761F" w:rsidR="00867047" w:rsidRDefault="00C007E5">
      <w:pPr>
        <w:pStyle w:val="TOC1"/>
        <w:rPr>
          <w:rFonts w:asciiTheme="minorHAnsi" w:eastAsiaTheme="minorEastAsia" w:hAnsiTheme="minorHAnsi" w:cs="Vrinda"/>
          <w:b w:val="0"/>
          <w:spacing w:val="0"/>
          <w:sz w:val="22"/>
          <w:szCs w:val="28"/>
          <w:lang w:bidi="bn-IN"/>
        </w:rPr>
      </w:pPr>
      <w:hyperlink w:anchor="_Toc150345651" w:history="1">
        <w:r w:rsidR="00867047" w:rsidRPr="00591D6F">
          <w:rPr>
            <w:rStyle w:val="Hyperlink"/>
          </w:rPr>
          <w:t>The process to date</w:t>
        </w:r>
        <w:r w:rsidR="00867047">
          <w:rPr>
            <w:webHidden/>
          </w:rPr>
          <w:tab/>
        </w:r>
        <w:r w:rsidR="00867047">
          <w:rPr>
            <w:webHidden/>
          </w:rPr>
          <w:fldChar w:fldCharType="begin"/>
        </w:r>
        <w:r w:rsidR="00867047">
          <w:rPr>
            <w:webHidden/>
          </w:rPr>
          <w:instrText xml:space="preserve"> PAGEREF _Toc150345651 \h </w:instrText>
        </w:r>
        <w:r w:rsidR="00867047">
          <w:rPr>
            <w:webHidden/>
          </w:rPr>
        </w:r>
        <w:r w:rsidR="00867047">
          <w:rPr>
            <w:webHidden/>
          </w:rPr>
          <w:fldChar w:fldCharType="separate"/>
        </w:r>
        <w:r w:rsidR="00867047">
          <w:rPr>
            <w:webHidden/>
          </w:rPr>
          <w:t>8</w:t>
        </w:r>
        <w:r w:rsidR="00867047">
          <w:rPr>
            <w:webHidden/>
          </w:rPr>
          <w:fldChar w:fldCharType="end"/>
        </w:r>
      </w:hyperlink>
    </w:p>
    <w:p w14:paraId="032BA586" w14:textId="412D0700" w:rsidR="00867047" w:rsidRDefault="00C007E5">
      <w:pPr>
        <w:pStyle w:val="TOC2"/>
        <w:rPr>
          <w:rFonts w:asciiTheme="minorHAnsi" w:eastAsiaTheme="minorEastAsia" w:hAnsiTheme="minorHAnsi" w:cs="Vrinda"/>
          <w:spacing w:val="0"/>
          <w:sz w:val="22"/>
          <w:szCs w:val="28"/>
          <w:lang w:bidi="bn-IN"/>
        </w:rPr>
      </w:pPr>
      <w:hyperlink w:anchor="_Toc150345652" w:history="1">
        <w:r w:rsidR="00867047" w:rsidRPr="00591D6F">
          <w:rPr>
            <w:rStyle w:val="Hyperlink"/>
          </w:rPr>
          <w:t>Overall approach to replanning the band</w:t>
        </w:r>
        <w:r w:rsidR="00867047">
          <w:rPr>
            <w:webHidden/>
          </w:rPr>
          <w:tab/>
        </w:r>
        <w:r w:rsidR="00867047">
          <w:rPr>
            <w:webHidden/>
          </w:rPr>
          <w:fldChar w:fldCharType="begin"/>
        </w:r>
        <w:r w:rsidR="00867047">
          <w:rPr>
            <w:webHidden/>
          </w:rPr>
          <w:instrText xml:space="preserve"> PAGEREF _Toc150345652 \h </w:instrText>
        </w:r>
        <w:r w:rsidR="00867047">
          <w:rPr>
            <w:webHidden/>
          </w:rPr>
        </w:r>
        <w:r w:rsidR="00867047">
          <w:rPr>
            <w:webHidden/>
          </w:rPr>
          <w:fldChar w:fldCharType="separate"/>
        </w:r>
        <w:r w:rsidR="00867047">
          <w:rPr>
            <w:webHidden/>
          </w:rPr>
          <w:t>8</w:t>
        </w:r>
        <w:r w:rsidR="00867047">
          <w:rPr>
            <w:webHidden/>
          </w:rPr>
          <w:fldChar w:fldCharType="end"/>
        </w:r>
      </w:hyperlink>
    </w:p>
    <w:p w14:paraId="3C79B077" w14:textId="2284302C" w:rsidR="00867047" w:rsidRDefault="00C007E5">
      <w:pPr>
        <w:pStyle w:val="TOC3"/>
        <w:rPr>
          <w:rFonts w:asciiTheme="minorHAnsi" w:eastAsiaTheme="minorEastAsia" w:hAnsiTheme="minorHAnsi" w:cs="Vrinda"/>
          <w:szCs w:val="28"/>
          <w:lang w:bidi="bn-IN"/>
        </w:rPr>
      </w:pPr>
      <w:hyperlink w:anchor="_Toc150345653" w:history="1">
        <w:r w:rsidR="00867047" w:rsidRPr="00591D6F">
          <w:rPr>
            <w:rStyle w:val="Hyperlink"/>
          </w:rPr>
          <w:t>Discussion paper</w:t>
        </w:r>
        <w:r w:rsidR="00867047">
          <w:rPr>
            <w:webHidden/>
          </w:rPr>
          <w:tab/>
        </w:r>
        <w:r w:rsidR="00867047">
          <w:rPr>
            <w:webHidden/>
          </w:rPr>
          <w:fldChar w:fldCharType="begin"/>
        </w:r>
        <w:r w:rsidR="00867047">
          <w:rPr>
            <w:webHidden/>
          </w:rPr>
          <w:instrText xml:space="preserve"> PAGEREF _Toc150345653 \h </w:instrText>
        </w:r>
        <w:r w:rsidR="00867047">
          <w:rPr>
            <w:webHidden/>
          </w:rPr>
        </w:r>
        <w:r w:rsidR="00867047">
          <w:rPr>
            <w:webHidden/>
          </w:rPr>
          <w:fldChar w:fldCharType="separate"/>
        </w:r>
        <w:r w:rsidR="00867047">
          <w:rPr>
            <w:webHidden/>
          </w:rPr>
          <w:t>8</w:t>
        </w:r>
        <w:r w:rsidR="00867047">
          <w:rPr>
            <w:webHidden/>
          </w:rPr>
          <w:fldChar w:fldCharType="end"/>
        </w:r>
      </w:hyperlink>
    </w:p>
    <w:p w14:paraId="23739436" w14:textId="7391A04E" w:rsidR="00867047" w:rsidRDefault="00C007E5">
      <w:pPr>
        <w:pStyle w:val="TOC3"/>
        <w:rPr>
          <w:rFonts w:asciiTheme="minorHAnsi" w:eastAsiaTheme="minorEastAsia" w:hAnsiTheme="minorHAnsi" w:cs="Vrinda"/>
          <w:szCs w:val="28"/>
          <w:lang w:bidi="bn-IN"/>
        </w:rPr>
      </w:pPr>
      <w:hyperlink w:anchor="_Toc150345654" w:history="1">
        <w:r w:rsidR="00867047" w:rsidRPr="00591D6F">
          <w:rPr>
            <w:rStyle w:val="Hyperlink"/>
          </w:rPr>
          <w:t>Options paper</w:t>
        </w:r>
        <w:r w:rsidR="00867047">
          <w:rPr>
            <w:webHidden/>
          </w:rPr>
          <w:tab/>
        </w:r>
        <w:r w:rsidR="00867047">
          <w:rPr>
            <w:webHidden/>
          </w:rPr>
          <w:fldChar w:fldCharType="begin"/>
        </w:r>
        <w:r w:rsidR="00867047">
          <w:rPr>
            <w:webHidden/>
          </w:rPr>
          <w:instrText xml:space="preserve"> PAGEREF _Toc150345654 \h </w:instrText>
        </w:r>
        <w:r w:rsidR="00867047">
          <w:rPr>
            <w:webHidden/>
          </w:rPr>
        </w:r>
        <w:r w:rsidR="00867047">
          <w:rPr>
            <w:webHidden/>
          </w:rPr>
          <w:fldChar w:fldCharType="separate"/>
        </w:r>
        <w:r w:rsidR="00867047">
          <w:rPr>
            <w:webHidden/>
          </w:rPr>
          <w:t>9</w:t>
        </w:r>
        <w:r w:rsidR="00867047">
          <w:rPr>
            <w:webHidden/>
          </w:rPr>
          <w:fldChar w:fldCharType="end"/>
        </w:r>
      </w:hyperlink>
    </w:p>
    <w:p w14:paraId="240990F8" w14:textId="53B3E2D3" w:rsidR="00867047" w:rsidRDefault="00C007E5">
      <w:pPr>
        <w:pStyle w:val="TOC2"/>
        <w:rPr>
          <w:rFonts w:asciiTheme="minorHAnsi" w:eastAsiaTheme="minorEastAsia" w:hAnsiTheme="minorHAnsi" w:cs="Vrinda"/>
          <w:spacing w:val="0"/>
          <w:sz w:val="22"/>
          <w:szCs w:val="28"/>
          <w:lang w:bidi="bn-IN"/>
        </w:rPr>
      </w:pPr>
      <w:hyperlink w:anchor="_Toc150345655" w:history="1">
        <w:r w:rsidR="00867047" w:rsidRPr="00591D6F">
          <w:rPr>
            <w:rStyle w:val="Hyperlink"/>
          </w:rPr>
          <w:t>Discussion of responses</w:t>
        </w:r>
        <w:r w:rsidR="00867047">
          <w:rPr>
            <w:webHidden/>
          </w:rPr>
          <w:tab/>
        </w:r>
        <w:r w:rsidR="00867047">
          <w:rPr>
            <w:webHidden/>
          </w:rPr>
          <w:fldChar w:fldCharType="begin"/>
        </w:r>
        <w:r w:rsidR="00867047">
          <w:rPr>
            <w:webHidden/>
          </w:rPr>
          <w:instrText xml:space="preserve"> PAGEREF _Toc150345655 \h </w:instrText>
        </w:r>
        <w:r w:rsidR="00867047">
          <w:rPr>
            <w:webHidden/>
          </w:rPr>
        </w:r>
        <w:r w:rsidR="00867047">
          <w:rPr>
            <w:webHidden/>
          </w:rPr>
          <w:fldChar w:fldCharType="separate"/>
        </w:r>
        <w:r w:rsidR="00867047">
          <w:rPr>
            <w:webHidden/>
          </w:rPr>
          <w:t>10</w:t>
        </w:r>
        <w:r w:rsidR="00867047">
          <w:rPr>
            <w:webHidden/>
          </w:rPr>
          <w:fldChar w:fldCharType="end"/>
        </w:r>
      </w:hyperlink>
    </w:p>
    <w:p w14:paraId="1E0B3A29" w14:textId="16589A18" w:rsidR="00867047" w:rsidRDefault="00C007E5">
      <w:pPr>
        <w:pStyle w:val="TOC1"/>
        <w:rPr>
          <w:rFonts w:asciiTheme="minorHAnsi" w:eastAsiaTheme="minorEastAsia" w:hAnsiTheme="minorHAnsi" w:cs="Vrinda"/>
          <w:b w:val="0"/>
          <w:spacing w:val="0"/>
          <w:sz w:val="22"/>
          <w:szCs w:val="28"/>
          <w:lang w:bidi="bn-IN"/>
        </w:rPr>
      </w:pPr>
      <w:hyperlink w:anchor="_Toc150345656" w:history="1">
        <w:r w:rsidR="00867047" w:rsidRPr="00591D6F">
          <w:rPr>
            <w:rStyle w:val="Hyperlink"/>
          </w:rPr>
          <w:t>Summary and response to options paper issues</w:t>
        </w:r>
        <w:r w:rsidR="00867047">
          <w:rPr>
            <w:webHidden/>
          </w:rPr>
          <w:tab/>
        </w:r>
        <w:r w:rsidR="00867047">
          <w:rPr>
            <w:webHidden/>
          </w:rPr>
          <w:fldChar w:fldCharType="begin"/>
        </w:r>
        <w:r w:rsidR="00867047">
          <w:rPr>
            <w:webHidden/>
          </w:rPr>
          <w:instrText xml:space="preserve"> PAGEREF _Toc150345656 \h </w:instrText>
        </w:r>
        <w:r w:rsidR="00867047">
          <w:rPr>
            <w:webHidden/>
          </w:rPr>
        </w:r>
        <w:r w:rsidR="00867047">
          <w:rPr>
            <w:webHidden/>
          </w:rPr>
          <w:fldChar w:fldCharType="separate"/>
        </w:r>
        <w:r w:rsidR="00867047">
          <w:rPr>
            <w:webHidden/>
          </w:rPr>
          <w:t>11</w:t>
        </w:r>
        <w:r w:rsidR="00867047">
          <w:rPr>
            <w:webHidden/>
          </w:rPr>
          <w:fldChar w:fldCharType="end"/>
        </w:r>
      </w:hyperlink>
    </w:p>
    <w:p w14:paraId="2FC2F5FC" w14:textId="208F7280" w:rsidR="00867047" w:rsidRDefault="00C007E5">
      <w:pPr>
        <w:pStyle w:val="TOC2"/>
        <w:rPr>
          <w:rFonts w:asciiTheme="minorHAnsi" w:eastAsiaTheme="minorEastAsia" w:hAnsiTheme="minorHAnsi" w:cs="Vrinda"/>
          <w:spacing w:val="0"/>
          <w:sz w:val="22"/>
          <w:szCs w:val="28"/>
          <w:lang w:bidi="bn-IN"/>
        </w:rPr>
      </w:pPr>
      <w:hyperlink w:anchor="_Toc150345657" w:history="1">
        <w:r w:rsidR="00867047" w:rsidRPr="00591D6F">
          <w:rPr>
            <w:rStyle w:val="Hyperlink"/>
          </w:rPr>
          <w:t>Issues for comment</w:t>
        </w:r>
        <w:r w:rsidR="00867047">
          <w:rPr>
            <w:webHidden/>
          </w:rPr>
          <w:tab/>
        </w:r>
        <w:r w:rsidR="00867047">
          <w:rPr>
            <w:webHidden/>
          </w:rPr>
          <w:fldChar w:fldCharType="begin"/>
        </w:r>
        <w:r w:rsidR="00867047">
          <w:rPr>
            <w:webHidden/>
          </w:rPr>
          <w:instrText xml:space="preserve"> PAGEREF _Toc150345657 \h </w:instrText>
        </w:r>
        <w:r w:rsidR="00867047">
          <w:rPr>
            <w:webHidden/>
          </w:rPr>
        </w:r>
        <w:r w:rsidR="00867047">
          <w:rPr>
            <w:webHidden/>
          </w:rPr>
          <w:fldChar w:fldCharType="separate"/>
        </w:r>
        <w:r w:rsidR="00867047">
          <w:rPr>
            <w:webHidden/>
          </w:rPr>
          <w:t>11</w:t>
        </w:r>
        <w:r w:rsidR="00867047">
          <w:rPr>
            <w:webHidden/>
          </w:rPr>
          <w:fldChar w:fldCharType="end"/>
        </w:r>
      </w:hyperlink>
    </w:p>
    <w:p w14:paraId="65639C23" w14:textId="7E49A0E9" w:rsidR="00867047" w:rsidRDefault="00C007E5">
      <w:pPr>
        <w:pStyle w:val="TOC2"/>
        <w:rPr>
          <w:rFonts w:asciiTheme="minorHAnsi" w:eastAsiaTheme="minorEastAsia" w:hAnsiTheme="minorHAnsi" w:cs="Vrinda"/>
          <w:spacing w:val="0"/>
          <w:sz w:val="22"/>
          <w:szCs w:val="28"/>
          <w:lang w:bidi="bn-IN"/>
        </w:rPr>
      </w:pPr>
      <w:hyperlink w:anchor="_Toc150345658" w:history="1">
        <w:r w:rsidR="00867047" w:rsidRPr="00591D6F">
          <w:rPr>
            <w:rStyle w:val="Hyperlink"/>
          </w:rPr>
          <w:t>Reply to comment</w:t>
        </w:r>
        <w:r w:rsidR="00867047">
          <w:rPr>
            <w:webHidden/>
          </w:rPr>
          <w:tab/>
        </w:r>
        <w:r w:rsidR="00867047">
          <w:rPr>
            <w:webHidden/>
          </w:rPr>
          <w:fldChar w:fldCharType="begin"/>
        </w:r>
        <w:r w:rsidR="00867047">
          <w:rPr>
            <w:webHidden/>
          </w:rPr>
          <w:instrText xml:space="preserve"> PAGEREF _Toc150345658 \h </w:instrText>
        </w:r>
        <w:r w:rsidR="00867047">
          <w:rPr>
            <w:webHidden/>
          </w:rPr>
        </w:r>
        <w:r w:rsidR="00867047">
          <w:rPr>
            <w:webHidden/>
          </w:rPr>
          <w:fldChar w:fldCharType="separate"/>
        </w:r>
        <w:r w:rsidR="00867047">
          <w:rPr>
            <w:webHidden/>
          </w:rPr>
          <w:t>16</w:t>
        </w:r>
        <w:r w:rsidR="00867047">
          <w:rPr>
            <w:webHidden/>
          </w:rPr>
          <w:fldChar w:fldCharType="end"/>
        </w:r>
      </w:hyperlink>
    </w:p>
    <w:p w14:paraId="3969D184" w14:textId="7D8E6EF5" w:rsidR="00867047" w:rsidRDefault="00C007E5">
      <w:pPr>
        <w:pStyle w:val="TOC1"/>
        <w:rPr>
          <w:rFonts w:asciiTheme="minorHAnsi" w:eastAsiaTheme="minorEastAsia" w:hAnsiTheme="minorHAnsi" w:cs="Vrinda"/>
          <w:b w:val="0"/>
          <w:spacing w:val="0"/>
          <w:sz w:val="22"/>
          <w:szCs w:val="28"/>
          <w:lang w:bidi="bn-IN"/>
        </w:rPr>
      </w:pPr>
      <w:hyperlink w:anchor="_Toc150345659" w:history="1">
        <w:r w:rsidR="00867047" w:rsidRPr="00591D6F">
          <w:rPr>
            <w:rStyle w:val="Hyperlink"/>
          </w:rPr>
          <w:t>Consultation discussion</w:t>
        </w:r>
        <w:r w:rsidR="00867047">
          <w:rPr>
            <w:webHidden/>
          </w:rPr>
          <w:tab/>
        </w:r>
        <w:r w:rsidR="00867047">
          <w:rPr>
            <w:webHidden/>
          </w:rPr>
          <w:fldChar w:fldCharType="begin"/>
        </w:r>
        <w:r w:rsidR="00867047">
          <w:rPr>
            <w:webHidden/>
          </w:rPr>
          <w:instrText xml:space="preserve"> PAGEREF _Toc150345659 \h </w:instrText>
        </w:r>
        <w:r w:rsidR="00867047">
          <w:rPr>
            <w:webHidden/>
          </w:rPr>
        </w:r>
        <w:r w:rsidR="00867047">
          <w:rPr>
            <w:webHidden/>
          </w:rPr>
          <w:fldChar w:fldCharType="separate"/>
        </w:r>
        <w:r w:rsidR="00867047">
          <w:rPr>
            <w:webHidden/>
          </w:rPr>
          <w:t>18</w:t>
        </w:r>
        <w:r w:rsidR="00867047">
          <w:rPr>
            <w:webHidden/>
          </w:rPr>
          <w:fldChar w:fldCharType="end"/>
        </w:r>
      </w:hyperlink>
    </w:p>
    <w:p w14:paraId="2B9796E3" w14:textId="1F62469A" w:rsidR="00867047" w:rsidRDefault="00C007E5">
      <w:pPr>
        <w:pStyle w:val="TOC2"/>
        <w:rPr>
          <w:rFonts w:asciiTheme="minorHAnsi" w:eastAsiaTheme="minorEastAsia" w:hAnsiTheme="minorHAnsi" w:cs="Vrinda"/>
          <w:spacing w:val="0"/>
          <w:sz w:val="22"/>
          <w:szCs w:val="28"/>
          <w:lang w:bidi="bn-IN"/>
        </w:rPr>
      </w:pPr>
      <w:hyperlink w:anchor="_Toc150345660" w:history="1">
        <w:r w:rsidR="00867047" w:rsidRPr="00591D6F">
          <w:rPr>
            <w:rStyle w:val="Hyperlink"/>
          </w:rPr>
          <w:t>Coexistence considerations</w:t>
        </w:r>
        <w:r w:rsidR="00867047">
          <w:rPr>
            <w:webHidden/>
          </w:rPr>
          <w:tab/>
        </w:r>
        <w:r w:rsidR="00867047">
          <w:rPr>
            <w:webHidden/>
          </w:rPr>
          <w:fldChar w:fldCharType="begin"/>
        </w:r>
        <w:r w:rsidR="00867047">
          <w:rPr>
            <w:webHidden/>
          </w:rPr>
          <w:instrText xml:space="preserve"> PAGEREF _Toc150345660 \h </w:instrText>
        </w:r>
        <w:r w:rsidR="00867047">
          <w:rPr>
            <w:webHidden/>
          </w:rPr>
        </w:r>
        <w:r w:rsidR="00867047">
          <w:rPr>
            <w:webHidden/>
          </w:rPr>
          <w:fldChar w:fldCharType="separate"/>
        </w:r>
        <w:r w:rsidR="00867047">
          <w:rPr>
            <w:webHidden/>
          </w:rPr>
          <w:t>19</w:t>
        </w:r>
        <w:r w:rsidR="00867047">
          <w:rPr>
            <w:webHidden/>
          </w:rPr>
          <w:fldChar w:fldCharType="end"/>
        </w:r>
      </w:hyperlink>
    </w:p>
    <w:p w14:paraId="71844573" w14:textId="50FE58E5" w:rsidR="00867047" w:rsidRDefault="00C007E5">
      <w:pPr>
        <w:pStyle w:val="TOC3"/>
        <w:rPr>
          <w:rFonts w:asciiTheme="minorHAnsi" w:eastAsiaTheme="minorEastAsia" w:hAnsiTheme="minorHAnsi" w:cs="Vrinda"/>
          <w:szCs w:val="28"/>
          <w:lang w:bidi="bn-IN"/>
        </w:rPr>
      </w:pPr>
      <w:hyperlink w:anchor="_Toc150345661" w:history="1">
        <w:r w:rsidR="00867047" w:rsidRPr="00591D6F">
          <w:rPr>
            <w:rStyle w:val="Hyperlink"/>
          </w:rPr>
          <w:t>Summary of existing and proposed new services</w:t>
        </w:r>
        <w:r w:rsidR="00867047">
          <w:rPr>
            <w:webHidden/>
          </w:rPr>
          <w:tab/>
        </w:r>
        <w:r w:rsidR="00867047">
          <w:rPr>
            <w:webHidden/>
          </w:rPr>
          <w:fldChar w:fldCharType="begin"/>
        </w:r>
        <w:r w:rsidR="00867047">
          <w:rPr>
            <w:webHidden/>
          </w:rPr>
          <w:instrText xml:space="preserve"> PAGEREF _Toc150345661 \h </w:instrText>
        </w:r>
        <w:r w:rsidR="00867047">
          <w:rPr>
            <w:webHidden/>
          </w:rPr>
        </w:r>
        <w:r w:rsidR="00867047">
          <w:rPr>
            <w:webHidden/>
          </w:rPr>
          <w:fldChar w:fldCharType="separate"/>
        </w:r>
        <w:r w:rsidR="00867047">
          <w:rPr>
            <w:webHidden/>
          </w:rPr>
          <w:t>20</w:t>
        </w:r>
        <w:r w:rsidR="00867047">
          <w:rPr>
            <w:webHidden/>
          </w:rPr>
          <w:fldChar w:fldCharType="end"/>
        </w:r>
      </w:hyperlink>
    </w:p>
    <w:p w14:paraId="7A693573" w14:textId="2524A834" w:rsidR="00867047" w:rsidRDefault="00C007E5">
      <w:pPr>
        <w:pStyle w:val="TOC3"/>
        <w:rPr>
          <w:rFonts w:asciiTheme="minorHAnsi" w:eastAsiaTheme="minorEastAsia" w:hAnsiTheme="minorHAnsi" w:cs="Vrinda"/>
          <w:szCs w:val="28"/>
          <w:lang w:bidi="bn-IN"/>
        </w:rPr>
      </w:pPr>
      <w:hyperlink w:anchor="_Toc150345662" w:history="1">
        <w:r w:rsidR="00867047" w:rsidRPr="00591D6F">
          <w:rPr>
            <w:rStyle w:val="Hyperlink"/>
          </w:rPr>
          <w:t>ACMA observations</w:t>
        </w:r>
        <w:r w:rsidR="00867047">
          <w:rPr>
            <w:webHidden/>
          </w:rPr>
          <w:tab/>
        </w:r>
        <w:r w:rsidR="00867047">
          <w:rPr>
            <w:webHidden/>
          </w:rPr>
          <w:fldChar w:fldCharType="begin"/>
        </w:r>
        <w:r w:rsidR="00867047">
          <w:rPr>
            <w:webHidden/>
          </w:rPr>
          <w:instrText xml:space="preserve"> PAGEREF _Toc150345662 \h </w:instrText>
        </w:r>
        <w:r w:rsidR="00867047">
          <w:rPr>
            <w:webHidden/>
          </w:rPr>
        </w:r>
        <w:r w:rsidR="00867047">
          <w:rPr>
            <w:webHidden/>
          </w:rPr>
          <w:fldChar w:fldCharType="separate"/>
        </w:r>
        <w:r w:rsidR="00867047">
          <w:rPr>
            <w:webHidden/>
          </w:rPr>
          <w:t>20</w:t>
        </w:r>
        <w:r w:rsidR="00867047">
          <w:rPr>
            <w:webHidden/>
          </w:rPr>
          <w:fldChar w:fldCharType="end"/>
        </w:r>
      </w:hyperlink>
    </w:p>
    <w:p w14:paraId="3134738A" w14:textId="4812102B" w:rsidR="00867047" w:rsidRDefault="00C007E5">
      <w:pPr>
        <w:pStyle w:val="TOC3"/>
        <w:rPr>
          <w:rFonts w:asciiTheme="minorHAnsi" w:eastAsiaTheme="minorEastAsia" w:hAnsiTheme="minorHAnsi" w:cs="Vrinda"/>
          <w:szCs w:val="28"/>
          <w:lang w:bidi="bn-IN"/>
        </w:rPr>
      </w:pPr>
      <w:hyperlink w:anchor="_Toc150345663" w:history="1">
        <w:r w:rsidR="00867047" w:rsidRPr="00591D6F">
          <w:rPr>
            <w:rStyle w:val="Hyperlink"/>
          </w:rPr>
          <w:t>Update on international activities: Ofcom consultation</w:t>
        </w:r>
        <w:r w:rsidR="00867047">
          <w:rPr>
            <w:webHidden/>
          </w:rPr>
          <w:tab/>
        </w:r>
        <w:r w:rsidR="00867047">
          <w:rPr>
            <w:webHidden/>
          </w:rPr>
          <w:fldChar w:fldCharType="begin"/>
        </w:r>
        <w:r w:rsidR="00867047">
          <w:rPr>
            <w:webHidden/>
          </w:rPr>
          <w:instrText xml:space="preserve"> PAGEREF _Toc150345663 \h </w:instrText>
        </w:r>
        <w:r w:rsidR="00867047">
          <w:rPr>
            <w:webHidden/>
          </w:rPr>
        </w:r>
        <w:r w:rsidR="00867047">
          <w:rPr>
            <w:webHidden/>
          </w:rPr>
          <w:fldChar w:fldCharType="separate"/>
        </w:r>
        <w:r w:rsidR="00867047">
          <w:rPr>
            <w:webHidden/>
          </w:rPr>
          <w:t>21</w:t>
        </w:r>
        <w:r w:rsidR="00867047">
          <w:rPr>
            <w:webHidden/>
          </w:rPr>
          <w:fldChar w:fldCharType="end"/>
        </w:r>
      </w:hyperlink>
    </w:p>
    <w:p w14:paraId="44414B3A" w14:textId="06B19C5F" w:rsidR="00867047" w:rsidRDefault="00C007E5">
      <w:pPr>
        <w:pStyle w:val="TOC1"/>
        <w:rPr>
          <w:rFonts w:asciiTheme="minorHAnsi" w:eastAsiaTheme="minorEastAsia" w:hAnsiTheme="minorHAnsi" w:cs="Vrinda"/>
          <w:b w:val="0"/>
          <w:spacing w:val="0"/>
          <w:sz w:val="22"/>
          <w:szCs w:val="28"/>
          <w:lang w:bidi="bn-IN"/>
        </w:rPr>
      </w:pPr>
      <w:hyperlink w:anchor="_Toc150345664" w:history="1">
        <w:r w:rsidR="00867047" w:rsidRPr="00591D6F">
          <w:rPr>
            <w:rStyle w:val="Hyperlink"/>
          </w:rPr>
          <w:t>Planning outcomes</w:t>
        </w:r>
        <w:r w:rsidR="00867047">
          <w:rPr>
            <w:webHidden/>
          </w:rPr>
          <w:tab/>
        </w:r>
        <w:r w:rsidR="00867047">
          <w:rPr>
            <w:webHidden/>
          </w:rPr>
          <w:fldChar w:fldCharType="begin"/>
        </w:r>
        <w:r w:rsidR="00867047">
          <w:rPr>
            <w:webHidden/>
          </w:rPr>
          <w:instrText xml:space="preserve"> PAGEREF _Toc150345664 \h </w:instrText>
        </w:r>
        <w:r w:rsidR="00867047">
          <w:rPr>
            <w:webHidden/>
          </w:rPr>
        </w:r>
        <w:r w:rsidR="00867047">
          <w:rPr>
            <w:webHidden/>
          </w:rPr>
          <w:fldChar w:fldCharType="separate"/>
        </w:r>
        <w:r w:rsidR="00867047">
          <w:rPr>
            <w:webHidden/>
          </w:rPr>
          <w:t>22</w:t>
        </w:r>
        <w:r w:rsidR="00867047">
          <w:rPr>
            <w:webHidden/>
          </w:rPr>
          <w:fldChar w:fldCharType="end"/>
        </w:r>
      </w:hyperlink>
    </w:p>
    <w:p w14:paraId="17EFBE99" w14:textId="18B0FA92" w:rsidR="00867047" w:rsidRDefault="00C007E5">
      <w:pPr>
        <w:pStyle w:val="TOC2"/>
        <w:rPr>
          <w:rFonts w:asciiTheme="minorHAnsi" w:eastAsiaTheme="minorEastAsia" w:hAnsiTheme="minorHAnsi" w:cs="Vrinda"/>
          <w:spacing w:val="0"/>
          <w:sz w:val="22"/>
          <w:szCs w:val="28"/>
          <w:lang w:bidi="bn-IN"/>
        </w:rPr>
      </w:pPr>
      <w:hyperlink w:anchor="_Toc150345665" w:history="1">
        <w:r w:rsidR="00867047" w:rsidRPr="00591D6F">
          <w:rPr>
            <w:rStyle w:val="Hyperlink"/>
          </w:rPr>
          <w:t>Planning decisions</w:t>
        </w:r>
        <w:r w:rsidR="00867047">
          <w:rPr>
            <w:webHidden/>
          </w:rPr>
          <w:tab/>
        </w:r>
        <w:r w:rsidR="00867047">
          <w:rPr>
            <w:webHidden/>
          </w:rPr>
          <w:fldChar w:fldCharType="begin"/>
        </w:r>
        <w:r w:rsidR="00867047">
          <w:rPr>
            <w:webHidden/>
          </w:rPr>
          <w:instrText xml:space="preserve"> PAGEREF _Toc150345665 \h </w:instrText>
        </w:r>
        <w:r w:rsidR="00867047">
          <w:rPr>
            <w:webHidden/>
          </w:rPr>
        </w:r>
        <w:r w:rsidR="00867047">
          <w:rPr>
            <w:webHidden/>
          </w:rPr>
          <w:fldChar w:fldCharType="separate"/>
        </w:r>
        <w:r w:rsidR="00867047">
          <w:rPr>
            <w:webHidden/>
          </w:rPr>
          <w:t>22</w:t>
        </w:r>
        <w:r w:rsidR="00867047">
          <w:rPr>
            <w:webHidden/>
          </w:rPr>
          <w:fldChar w:fldCharType="end"/>
        </w:r>
      </w:hyperlink>
    </w:p>
    <w:p w14:paraId="636FB4D8" w14:textId="3D6138B4" w:rsidR="00867047" w:rsidRDefault="00C007E5">
      <w:pPr>
        <w:pStyle w:val="TOC2"/>
        <w:rPr>
          <w:rFonts w:asciiTheme="minorHAnsi" w:eastAsiaTheme="minorEastAsia" w:hAnsiTheme="minorHAnsi" w:cs="Vrinda"/>
          <w:spacing w:val="0"/>
          <w:sz w:val="22"/>
          <w:szCs w:val="28"/>
          <w:lang w:bidi="bn-IN"/>
        </w:rPr>
      </w:pPr>
      <w:hyperlink w:anchor="_Toc150345666" w:history="1">
        <w:r w:rsidR="00867047" w:rsidRPr="00591D6F">
          <w:rPr>
            <w:rStyle w:val="Hyperlink"/>
          </w:rPr>
          <w:t>Preliminary views</w:t>
        </w:r>
        <w:r w:rsidR="00867047">
          <w:rPr>
            <w:webHidden/>
          </w:rPr>
          <w:tab/>
        </w:r>
        <w:r w:rsidR="00867047">
          <w:rPr>
            <w:webHidden/>
          </w:rPr>
          <w:fldChar w:fldCharType="begin"/>
        </w:r>
        <w:r w:rsidR="00867047">
          <w:rPr>
            <w:webHidden/>
          </w:rPr>
          <w:instrText xml:space="preserve"> PAGEREF _Toc150345666 \h </w:instrText>
        </w:r>
        <w:r w:rsidR="00867047">
          <w:rPr>
            <w:webHidden/>
          </w:rPr>
        </w:r>
        <w:r w:rsidR="00867047">
          <w:rPr>
            <w:webHidden/>
          </w:rPr>
          <w:fldChar w:fldCharType="separate"/>
        </w:r>
        <w:r w:rsidR="00867047">
          <w:rPr>
            <w:webHidden/>
          </w:rPr>
          <w:t>23</w:t>
        </w:r>
        <w:r w:rsidR="00867047">
          <w:rPr>
            <w:webHidden/>
          </w:rPr>
          <w:fldChar w:fldCharType="end"/>
        </w:r>
      </w:hyperlink>
    </w:p>
    <w:p w14:paraId="4F79A453" w14:textId="45939314" w:rsidR="00867047" w:rsidRDefault="00C007E5">
      <w:pPr>
        <w:pStyle w:val="TOC3"/>
        <w:rPr>
          <w:rFonts w:asciiTheme="minorHAnsi" w:eastAsiaTheme="minorEastAsia" w:hAnsiTheme="minorHAnsi" w:cs="Vrinda"/>
          <w:szCs w:val="28"/>
          <w:lang w:bidi="bn-IN"/>
        </w:rPr>
      </w:pPr>
      <w:hyperlink w:anchor="_Toc150345667" w:history="1">
        <w:r w:rsidR="00867047" w:rsidRPr="00591D6F">
          <w:rPr>
            <w:rStyle w:val="Hyperlink"/>
          </w:rPr>
          <w:t>Licensing arrangements for SR WBB</w:t>
        </w:r>
        <w:r w:rsidR="00867047">
          <w:rPr>
            <w:webHidden/>
          </w:rPr>
          <w:tab/>
        </w:r>
        <w:r w:rsidR="00867047">
          <w:rPr>
            <w:webHidden/>
          </w:rPr>
          <w:fldChar w:fldCharType="begin"/>
        </w:r>
        <w:r w:rsidR="00867047">
          <w:rPr>
            <w:webHidden/>
          </w:rPr>
          <w:instrText xml:space="preserve"> PAGEREF _Toc150345667 \h </w:instrText>
        </w:r>
        <w:r w:rsidR="00867047">
          <w:rPr>
            <w:webHidden/>
          </w:rPr>
        </w:r>
        <w:r w:rsidR="00867047">
          <w:rPr>
            <w:webHidden/>
          </w:rPr>
          <w:fldChar w:fldCharType="separate"/>
        </w:r>
        <w:r w:rsidR="00867047">
          <w:rPr>
            <w:webHidden/>
          </w:rPr>
          <w:t>23</w:t>
        </w:r>
        <w:r w:rsidR="00867047">
          <w:rPr>
            <w:webHidden/>
          </w:rPr>
          <w:fldChar w:fldCharType="end"/>
        </w:r>
      </w:hyperlink>
    </w:p>
    <w:p w14:paraId="08A1E689" w14:textId="4395A97C" w:rsidR="00867047" w:rsidRDefault="00C007E5">
      <w:pPr>
        <w:pStyle w:val="TOC3"/>
        <w:rPr>
          <w:rFonts w:asciiTheme="minorHAnsi" w:eastAsiaTheme="minorEastAsia" w:hAnsiTheme="minorHAnsi" w:cs="Vrinda"/>
          <w:szCs w:val="28"/>
          <w:lang w:bidi="bn-IN"/>
        </w:rPr>
      </w:pPr>
      <w:hyperlink w:anchor="_Toc150345668" w:history="1">
        <w:r w:rsidR="00867047" w:rsidRPr="00591D6F">
          <w:rPr>
            <w:rStyle w:val="Hyperlink"/>
          </w:rPr>
          <w:t>Licensing arrangements for LA WBB</w:t>
        </w:r>
        <w:r w:rsidR="00867047">
          <w:rPr>
            <w:webHidden/>
          </w:rPr>
          <w:tab/>
        </w:r>
        <w:r w:rsidR="00867047">
          <w:rPr>
            <w:webHidden/>
          </w:rPr>
          <w:fldChar w:fldCharType="begin"/>
        </w:r>
        <w:r w:rsidR="00867047">
          <w:rPr>
            <w:webHidden/>
          </w:rPr>
          <w:instrText xml:space="preserve"> PAGEREF _Toc150345668 \h </w:instrText>
        </w:r>
        <w:r w:rsidR="00867047">
          <w:rPr>
            <w:webHidden/>
          </w:rPr>
        </w:r>
        <w:r w:rsidR="00867047">
          <w:rPr>
            <w:webHidden/>
          </w:rPr>
          <w:fldChar w:fldCharType="separate"/>
        </w:r>
        <w:r w:rsidR="00867047">
          <w:rPr>
            <w:webHidden/>
          </w:rPr>
          <w:t>23</w:t>
        </w:r>
        <w:r w:rsidR="00867047">
          <w:rPr>
            <w:webHidden/>
          </w:rPr>
          <w:fldChar w:fldCharType="end"/>
        </w:r>
      </w:hyperlink>
    </w:p>
    <w:p w14:paraId="4615DC34" w14:textId="0602D616" w:rsidR="00867047" w:rsidRDefault="00C007E5">
      <w:pPr>
        <w:pStyle w:val="TOC3"/>
        <w:rPr>
          <w:rFonts w:asciiTheme="minorHAnsi" w:eastAsiaTheme="minorEastAsia" w:hAnsiTheme="minorHAnsi" w:cs="Vrinda"/>
          <w:szCs w:val="28"/>
          <w:lang w:bidi="bn-IN"/>
        </w:rPr>
      </w:pPr>
      <w:hyperlink w:anchor="_Toc150345669" w:history="1">
        <w:r w:rsidR="00867047" w:rsidRPr="00591D6F">
          <w:rPr>
            <w:rStyle w:val="Hyperlink"/>
          </w:rPr>
          <w:t>Licensing arrangements for PTP</w:t>
        </w:r>
        <w:r w:rsidR="00867047">
          <w:rPr>
            <w:webHidden/>
          </w:rPr>
          <w:tab/>
        </w:r>
        <w:r w:rsidR="00867047">
          <w:rPr>
            <w:webHidden/>
          </w:rPr>
          <w:fldChar w:fldCharType="begin"/>
        </w:r>
        <w:r w:rsidR="00867047">
          <w:rPr>
            <w:webHidden/>
          </w:rPr>
          <w:instrText xml:space="preserve"> PAGEREF _Toc150345669 \h </w:instrText>
        </w:r>
        <w:r w:rsidR="00867047">
          <w:rPr>
            <w:webHidden/>
          </w:rPr>
        </w:r>
        <w:r w:rsidR="00867047">
          <w:rPr>
            <w:webHidden/>
          </w:rPr>
          <w:fldChar w:fldCharType="separate"/>
        </w:r>
        <w:r w:rsidR="00867047">
          <w:rPr>
            <w:webHidden/>
          </w:rPr>
          <w:t>23</w:t>
        </w:r>
        <w:r w:rsidR="00867047">
          <w:rPr>
            <w:webHidden/>
          </w:rPr>
          <w:fldChar w:fldCharType="end"/>
        </w:r>
      </w:hyperlink>
    </w:p>
    <w:p w14:paraId="4FAD86D7" w14:textId="516203F9" w:rsidR="00867047" w:rsidRDefault="00C007E5">
      <w:pPr>
        <w:pStyle w:val="TOC3"/>
        <w:rPr>
          <w:rFonts w:asciiTheme="minorHAnsi" w:eastAsiaTheme="minorEastAsia" w:hAnsiTheme="minorHAnsi" w:cs="Vrinda"/>
          <w:szCs w:val="28"/>
          <w:lang w:bidi="bn-IN"/>
        </w:rPr>
      </w:pPr>
      <w:hyperlink w:anchor="_Toc150345670" w:history="1">
        <w:r w:rsidR="00867047" w:rsidRPr="00591D6F">
          <w:rPr>
            <w:rStyle w:val="Hyperlink"/>
          </w:rPr>
          <w:t>LA WBB and PTP coexistence with RMR</w:t>
        </w:r>
        <w:r w:rsidR="00867047">
          <w:rPr>
            <w:webHidden/>
          </w:rPr>
          <w:tab/>
        </w:r>
        <w:r w:rsidR="00867047">
          <w:rPr>
            <w:webHidden/>
          </w:rPr>
          <w:fldChar w:fldCharType="begin"/>
        </w:r>
        <w:r w:rsidR="00867047">
          <w:rPr>
            <w:webHidden/>
          </w:rPr>
          <w:instrText xml:space="preserve"> PAGEREF _Toc150345670 \h </w:instrText>
        </w:r>
        <w:r w:rsidR="00867047">
          <w:rPr>
            <w:webHidden/>
          </w:rPr>
        </w:r>
        <w:r w:rsidR="00867047">
          <w:rPr>
            <w:webHidden/>
          </w:rPr>
          <w:fldChar w:fldCharType="separate"/>
        </w:r>
        <w:r w:rsidR="00867047">
          <w:rPr>
            <w:webHidden/>
          </w:rPr>
          <w:t>24</w:t>
        </w:r>
        <w:r w:rsidR="00867047">
          <w:rPr>
            <w:webHidden/>
          </w:rPr>
          <w:fldChar w:fldCharType="end"/>
        </w:r>
      </w:hyperlink>
    </w:p>
    <w:p w14:paraId="4F1AB8AD" w14:textId="61FE93E2" w:rsidR="00867047" w:rsidRDefault="00C007E5">
      <w:pPr>
        <w:pStyle w:val="TOC3"/>
        <w:rPr>
          <w:rFonts w:asciiTheme="minorHAnsi" w:eastAsiaTheme="minorEastAsia" w:hAnsiTheme="minorHAnsi" w:cs="Vrinda"/>
          <w:szCs w:val="28"/>
          <w:lang w:bidi="bn-IN"/>
        </w:rPr>
      </w:pPr>
      <w:hyperlink w:anchor="_Toc150345671" w:history="1">
        <w:r w:rsidR="00867047" w:rsidRPr="00591D6F">
          <w:rPr>
            <w:rStyle w:val="Hyperlink"/>
          </w:rPr>
          <w:t>Licensing arrangements for RMR</w:t>
        </w:r>
        <w:r w:rsidR="00867047">
          <w:rPr>
            <w:webHidden/>
          </w:rPr>
          <w:tab/>
        </w:r>
        <w:r w:rsidR="00867047">
          <w:rPr>
            <w:webHidden/>
          </w:rPr>
          <w:fldChar w:fldCharType="begin"/>
        </w:r>
        <w:r w:rsidR="00867047">
          <w:rPr>
            <w:webHidden/>
          </w:rPr>
          <w:instrText xml:space="preserve"> PAGEREF _Toc150345671 \h </w:instrText>
        </w:r>
        <w:r w:rsidR="00867047">
          <w:rPr>
            <w:webHidden/>
          </w:rPr>
        </w:r>
        <w:r w:rsidR="00867047">
          <w:rPr>
            <w:webHidden/>
          </w:rPr>
          <w:fldChar w:fldCharType="separate"/>
        </w:r>
        <w:r w:rsidR="00867047">
          <w:rPr>
            <w:webHidden/>
          </w:rPr>
          <w:t>24</w:t>
        </w:r>
        <w:r w:rsidR="00867047">
          <w:rPr>
            <w:webHidden/>
          </w:rPr>
          <w:fldChar w:fldCharType="end"/>
        </w:r>
      </w:hyperlink>
    </w:p>
    <w:p w14:paraId="4F2BA521" w14:textId="7B242B9F" w:rsidR="00867047" w:rsidRDefault="00C007E5">
      <w:pPr>
        <w:pStyle w:val="TOC3"/>
        <w:rPr>
          <w:rFonts w:asciiTheme="minorHAnsi" w:eastAsiaTheme="minorEastAsia" w:hAnsiTheme="minorHAnsi" w:cs="Vrinda"/>
          <w:szCs w:val="28"/>
          <w:lang w:bidi="bn-IN"/>
        </w:rPr>
      </w:pPr>
      <w:hyperlink w:anchor="_Toc150345672" w:history="1">
        <w:r w:rsidR="00867047" w:rsidRPr="00591D6F">
          <w:rPr>
            <w:rStyle w:val="Hyperlink"/>
          </w:rPr>
          <w:t>Transition arrangements for RMR and 1800 MHz band spectrum licences</w:t>
        </w:r>
        <w:r w:rsidR="00867047">
          <w:rPr>
            <w:webHidden/>
          </w:rPr>
          <w:tab/>
        </w:r>
        <w:r w:rsidR="00867047">
          <w:rPr>
            <w:webHidden/>
          </w:rPr>
          <w:fldChar w:fldCharType="begin"/>
        </w:r>
        <w:r w:rsidR="00867047">
          <w:rPr>
            <w:webHidden/>
          </w:rPr>
          <w:instrText xml:space="preserve"> PAGEREF _Toc150345672 \h </w:instrText>
        </w:r>
        <w:r w:rsidR="00867047">
          <w:rPr>
            <w:webHidden/>
          </w:rPr>
        </w:r>
        <w:r w:rsidR="00867047">
          <w:rPr>
            <w:webHidden/>
          </w:rPr>
          <w:fldChar w:fldCharType="separate"/>
        </w:r>
        <w:r w:rsidR="00867047">
          <w:rPr>
            <w:webHidden/>
          </w:rPr>
          <w:t>24</w:t>
        </w:r>
        <w:r w:rsidR="00867047">
          <w:rPr>
            <w:webHidden/>
          </w:rPr>
          <w:fldChar w:fldCharType="end"/>
        </w:r>
      </w:hyperlink>
    </w:p>
    <w:p w14:paraId="586ACC7C" w14:textId="2DD4800E" w:rsidR="00867047" w:rsidRDefault="00C007E5">
      <w:pPr>
        <w:pStyle w:val="TOC3"/>
        <w:rPr>
          <w:rFonts w:asciiTheme="minorHAnsi" w:eastAsiaTheme="minorEastAsia" w:hAnsiTheme="minorHAnsi" w:cs="Vrinda"/>
          <w:szCs w:val="28"/>
          <w:lang w:bidi="bn-IN"/>
        </w:rPr>
      </w:pPr>
      <w:hyperlink w:anchor="_Toc150345673" w:history="1">
        <w:r w:rsidR="00867047" w:rsidRPr="00591D6F">
          <w:rPr>
            <w:rStyle w:val="Hyperlink"/>
          </w:rPr>
          <w:t>RMR coexistence with adjacent band services</w:t>
        </w:r>
        <w:r w:rsidR="00867047">
          <w:rPr>
            <w:webHidden/>
          </w:rPr>
          <w:tab/>
        </w:r>
        <w:r w:rsidR="00867047">
          <w:rPr>
            <w:webHidden/>
          </w:rPr>
          <w:fldChar w:fldCharType="begin"/>
        </w:r>
        <w:r w:rsidR="00867047">
          <w:rPr>
            <w:webHidden/>
          </w:rPr>
          <w:instrText xml:space="preserve"> PAGEREF _Toc150345673 \h </w:instrText>
        </w:r>
        <w:r w:rsidR="00867047">
          <w:rPr>
            <w:webHidden/>
          </w:rPr>
        </w:r>
        <w:r w:rsidR="00867047">
          <w:rPr>
            <w:webHidden/>
          </w:rPr>
          <w:fldChar w:fldCharType="separate"/>
        </w:r>
        <w:r w:rsidR="00867047">
          <w:rPr>
            <w:webHidden/>
          </w:rPr>
          <w:t>24</w:t>
        </w:r>
        <w:r w:rsidR="00867047">
          <w:rPr>
            <w:webHidden/>
          </w:rPr>
          <w:fldChar w:fldCharType="end"/>
        </w:r>
      </w:hyperlink>
    </w:p>
    <w:p w14:paraId="1433A7A9" w14:textId="4A1E2AC9" w:rsidR="00867047" w:rsidRDefault="00C007E5">
      <w:pPr>
        <w:pStyle w:val="TOC1"/>
        <w:rPr>
          <w:rFonts w:asciiTheme="minorHAnsi" w:eastAsiaTheme="minorEastAsia" w:hAnsiTheme="minorHAnsi" w:cs="Vrinda"/>
          <w:b w:val="0"/>
          <w:spacing w:val="0"/>
          <w:sz w:val="22"/>
          <w:szCs w:val="28"/>
          <w:lang w:bidi="bn-IN"/>
        </w:rPr>
      </w:pPr>
      <w:hyperlink w:anchor="_Toc150345674" w:history="1">
        <w:r w:rsidR="00867047" w:rsidRPr="00591D6F">
          <w:rPr>
            <w:rStyle w:val="Hyperlink"/>
          </w:rPr>
          <w:t>Next steps</w:t>
        </w:r>
        <w:r w:rsidR="00867047">
          <w:rPr>
            <w:webHidden/>
          </w:rPr>
          <w:tab/>
        </w:r>
        <w:r w:rsidR="00867047">
          <w:rPr>
            <w:webHidden/>
          </w:rPr>
          <w:fldChar w:fldCharType="begin"/>
        </w:r>
        <w:r w:rsidR="00867047">
          <w:rPr>
            <w:webHidden/>
          </w:rPr>
          <w:instrText xml:space="preserve"> PAGEREF _Toc150345674 \h </w:instrText>
        </w:r>
        <w:r w:rsidR="00867047">
          <w:rPr>
            <w:webHidden/>
          </w:rPr>
        </w:r>
        <w:r w:rsidR="00867047">
          <w:rPr>
            <w:webHidden/>
          </w:rPr>
          <w:fldChar w:fldCharType="separate"/>
        </w:r>
        <w:r w:rsidR="00867047">
          <w:rPr>
            <w:webHidden/>
          </w:rPr>
          <w:t>26</w:t>
        </w:r>
        <w:r w:rsidR="00867047">
          <w:rPr>
            <w:webHidden/>
          </w:rPr>
          <w:fldChar w:fldCharType="end"/>
        </w:r>
      </w:hyperlink>
    </w:p>
    <w:p w14:paraId="1CB3C67A" w14:textId="5E600AFD" w:rsidR="00867047" w:rsidRDefault="00C007E5">
      <w:pPr>
        <w:pStyle w:val="TOC1"/>
        <w:rPr>
          <w:rFonts w:asciiTheme="minorHAnsi" w:eastAsiaTheme="minorEastAsia" w:hAnsiTheme="minorHAnsi" w:cs="Vrinda"/>
          <w:b w:val="0"/>
          <w:spacing w:val="0"/>
          <w:sz w:val="22"/>
          <w:szCs w:val="28"/>
          <w:lang w:bidi="bn-IN"/>
        </w:rPr>
      </w:pPr>
      <w:hyperlink w:anchor="_Toc150345675" w:history="1">
        <w:r w:rsidR="00867047" w:rsidRPr="00591D6F">
          <w:rPr>
            <w:rStyle w:val="Hyperlink"/>
          </w:rPr>
          <w:t>Acronyms used in this paper</w:t>
        </w:r>
        <w:r w:rsidR="00867047">
          <w:rPr>
            <w:webHidden/>
          </w:rPr>
          <w:tab/>
        </w:r>
        <w:r w:rsidR="00867047">
          <w:rPr>
            <w:webHidden/>
          </w:rPr>
          <w:fldChar w:fldCharType="begin"/>
        </w:r>
        <w:r w:rsidR="00867047">
          <w:rPr>
            <w:webHidden/>
          </w:rPr>
          <w:instrText xml:space="preserve"> PAGEREF _Toc150345675 \h </w:instrText>
        </w:r>
        <w:r w:rsidR="00867047">
          <w:rPr>
            <w:webHidden/>
          </w:rPr>
        </w:r>
        <w:r w:rsidR="00867047">
          <w:rPr>
            <w:webHidden/>
          </w:rPr>
          <w:fldChar w:fldCharType="separate"/>
        </w:r>
        <w:r w:rsidR="00867047">
          <w:rPr>
            <w:webHidden/>
          </w:rPr>
          <w:t>27</w:t>
        </w:r>
        <w:r w:rsidR="00867047">
          <w:rPr>
            <w:webHidden/>
          </w:rPr>
          <w:fldChar w:fldCharType="end"/>
        </w:r>
      </w:hyperlink>
    </w:p>
    <w:p w14:paraId="37D2061F" w14:textId="735AAE41" w:rsidR="00867047" w:rsidRDefault="00C007E5">
      <w:pPr>
        <w:pStyle w:val="TOC1"/>
        <w:rPr>
          <w:rFonts w:asciiTheme="minorHAnsi" w:eastAsiaTheme="minorEastAsia" w:hAnsiTheme="minorHAnsi" w:cs="Vrinda"/>
          <w:b w:val="0"/>
          <w:spacing w:val="0"/>
          <w:sz w:val="22"/>
          <w:szCs w:val="28"/>
          <w:lang w:bidi="bn-IN"/>
        </w:rPr>
      </w:pPr>
      <w:hyperlink w:anchor="_Toc150345676" w:history="1">
        <w:r w:rsidR="00867047" w:rsidRPr="00591D6F">
          <w:rPr>
            <w:rStyle w:val="Hyperlink"/>
          </w:rPr>
          <w:t>Appendix A: List of respondents</w:t>
        </w:r>
        <w:r w:rsidR="00867047">
          <w:rPr>
            <w:webHidden/>
          </w:rPr>
          <w:tab/>
        </w:r>
        <w:r w:rsidR="00867047">
          <w:rPr>
            <w:webHidden/>
          </w:rPr>
          <w:fldChar w:fldCharType="begin"/>
        </w:r>
        <w:r w:rsidR="00867047">
          <w:rPr>
            <w:webHidden/>
          </w:rPr>
          <w:instrText xml:space="preserve"> PAGEREF _Toc150345676 \h </w:instrText>
        </w:r>
        <w:r w:rsidR="00867047">
          <w:rPr>
            <w:webHidden/>
          </w:rPr>
        </w:r>
        <w:r w:rsidR="00867047">
          <w:rPr>
            <w:webHidden/>
          </w:rPr>
          <w:fldChar w:fldCharType="separate"/>
        </w:r>
        <w:r w:rsidR="00867047">
          <w:rPr>
            <w:webHidden/>
          </w:rPr>
          <w:t>29</w:t>
        </w:r>
        <w:r w:rsidR="00867047">
          <w:rPr>
            <w:webHidden/>
          </w:rPr>
          <w:fldChar w:fldCharType="end"/>
        </w:r>
      </w:hyperlink>
    </w:p>
    <w:p w14:paraId="0F4197E6" w14:textId="028259E1" w:rsidR="00867047" w:rsidRDefault="00C007E5">
      <w:pPr>
        <w:pStyle w:val="TOC1"/>
        <w:rPr>
          <w:rFonts w:asciiTheme="minorHAnsi" w:eastAsiaTheme="minorEastAsia" w:hAnsiTheme="minorHAnsi" w:cs="Vrinda"/>
          <w:b w:val="0"/>
          <w:spacing w:val="0"/>
          <w:sz w:val="22"/>
          <w:szCs w:val="28"/>
          <w:lang w:bidi="bn-IN"/>
        </w:rPr>
      </w:pPr>
      <w:hyperlink w:anchor="_Toc150345677" w:history="1">
        <w:r w:rsidR="00867047" w:rsidRPr="00591D6F">
          <w:rPr>
            <w:rStyle w:val="Hyperlink"/>
          </w:rPr>
          <w:t>Appendix B: Geographical area descriptions</w:t>
        </w:r>
        <w:r w:rsidR="00867047">
          <w:rPr>
            <w:webHidden/>
          </w:rPr>
          <w:tab/>
        </w:r>
        <w:r w:rsidR="00867047">
          <w:rPr>
            <w:webHidden/>
          </w:rPr>
          <w:fldChar w:fldCharType="begin"/>
        </w:r>
        <w:r w:rsidR="00867047">
          <w:rPr>
            <w:webHidden/>
          </w:rPr>
          <w:instrText xml:space="preserve"> PAGEREF _Toc150345677 \h </w:instrText>
        </w:r>
        <w:r w:rsidR="00867047">
          <w:rPr>
            <w:webHidden/>
          </w:rPr>
        </w:r>
        <w:r w:rsidR="00867047">
          <w:rPr>
            <w:webHidden/>
          </w:rPr>
          <w:fldChar w:fldCharType="separate"/>
        </w:r>
        <w:r w:rsidR="00867047">
          <w:rPr>
            <w:webHidden/>
          </w:rPr>
          <w:t>30</w:t>
        </w:r>
        <w:r w:rsidR="00867047">
          <w:rPr>
            <w:webHidden/>
          </w:rPr>
          <w:fldChar w:fldCharType="end"/>
        </w:r>
      </w:hyperlink>
    </w:p>
    <w:p w14:paraId="04C310E0" w14:textId="100255C6" w:rsidR="004D56FF" w:rsidRPr="00A85D75" w:rsidRDefault="00A901CF">
      <w:pPr>
        <w:rPr>
          <w:rFonts w:cs="Arial"/>
        </w:rPr>
        <w:sectPr w:rsidR="004D56FF" w:rsidRPr="00A85D75" w:rsidSect="00C77380">
          <w:headerReference w:type="even" r:id="rId21"/>
          <w:headerReference w:type="default" r:id="rId22"/>
          <w:footerReference w:type="even" r:id="rId23"/>
          <w:footerReference w:type="default" r:id="rId24"/>
          <w:footerReference w:type="first" r:id="rId25"/>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4A6B0304" w14:textId="77777777" w:rsidR="009D6C71" w:rsidRPr="00A85D75" w:rsidRDefault="009D6C71" w:rsidP="009174F3">
      <w:pPr>
        <w:pStyle w:val="Execsummaryheading"/>
      </w:pPr>
      <w:bookmarkStart w:id="0" w:name="_Toc56965672"/>
      <w:bookmarkStart w:id="1" w:name="_Toc150345640"/>
      <w:r w:rsidRPr="00A85D75">
        <w:lastRenderedPageBreak/>
        <w:t>Executive summary</w:t>
      </w:r>
      <w:bookmarkEnd w:id="0"/>
      <w:bookmarkEnd w:id="1"/>
    </w:p>
    <w:p w14:paraId="7A7DA924" w14:textId="7F6BCEC7" w:rsidR="00870AE9" w:rsidRDefault="00870AE9" w:rsidP="00870AE9">
      <w:pPr>
        <w:pStyle w:val="Paragraph"/>
      </w:pPr>
      <w:bookmarkStart w:id="2" w:name="_Hlk19196222"/>
      <w:r w:rsidRPr="00C60091">
        <w:t xml:space="preserve">The ACMA released </w:t>
      </w:r>
      <w:r>
        <w:t>the</w:t>
      </w:r>
      <w:r w:rsidRPr="00426BF5">
        <w:t xml:space="preserve"> </w:t>
      </w:r>
      <w:hyperlink r:id="rId26" w:history="1">
        <w:r w:rsidRPr="003D7545">
          <w:rPr>
            <w:rStyle w:val="Hyperlink"/>
            <w:i/>
            <w:iCs/>
          </w:rPr>
          <w:t>Exploring future use of the 1.9 GHz band</w:t>
        </w:r>
      </w:hyperlink>
      <w:r>
        <w:rPr>
          <w:iCs/>
        </w:rPr>
        <w:t xml:space="preserve"> discussion paper </w:t>
      </w:r>
      <w:r w:rsidRPr="00C60091">
        <w:t>in November 2021</w:t>
      </w:r>
      <w:r>
        <w:t>. This paper</w:t>
      </w:r>
      <w:r w:rsidRPr="00C60091">
        <w:t xml:space="preserve"> identif</w:t>
      </w:r>
      <w:r>
        <w:t xml:space="preserve">ied </w:t>
      </w:r>
      <w:r w:rsidRPr="00C60091">
        <w:t xml:space="preserve">domestic and international considerations for the future </w:t>
      </w:r>
      <w:r>
        <w:t xml:space="preserve">use </w:t>
      </w:r>
      <w:r w:rsidRPr="00C60091">
        <w:t>of the 1880</w:t>
      </w:r>
      <w:r>
        <w:t>–</w:t>
      </w:r>
      <w:r w:rsidRPr="00C60091">
        <w:t>1920 MHz</w:t>
      </w:r>
      <w:r w:rsidR="00D33C11">
        <w:t xml:space="preserve"> </w:t>
      </w:r>
      <w:r w:rsidRPr="00C60091">
        <w:t>band</w:t>
      </w:r>
      <w:r w:rsidR="002827B4">
        <w:t xml:space="preserve"> (the 1.9 GHz band)</w:t>
      </w:r>
      <w:r>
        <w:t xml:space="preserve"> and</w:t>
      </w:r>
      <w:r w:rsidRPr="00C60091">
        <w:t xml:space="preserve"> explor</w:t>
      </w:r>
      <w:r>
        <w:t>ed</w:t>
      </w:r>
      <w:r w:rsidRPr="00C60091">
        <w:t xml:space="preserve"> views on possible changes in planning arrangements for the band. </w:t>
      </w:r>
      <w:r>
        <w:t xml:space="preserve">Following the discussion paper, the ACMA released the </w:t>
      </w:r>
      <w:hyperlink r:id="rId27" w:history="1">
        <w:r w:rsidR="00B12306" w:rsidRPr="00306D77">
          <w:rPr>
            <w:rStyle w:val="Hyperlink"/>
            <w:i/>
            <w:iCs/>
          </w:rPr>
          <w:t>Replanning of the 1880–1920 MHz band</w:t>
        </w:r>
      </w:hyperlink>
      <w:r w:rsidRPr="00D50F55">
        <w:t xml:space="preserve"> </w:t>
      </w:r>
      <w:r w:rsidR="00B12306">
        <w:t xml:space="preserve">options paper </w:t>
      </w:r>
      <w:r w:rsidR="00330129">
        <w:t xml:space="preserve"> </w:t>
      </w:r>
      <w:r>
        <w:t>in November 2022.</w:t>
      </w:r>
    </w:p>
    <w:p w14:paraId="0C13C16A" w14:textId="26D4D0CA" w:rsidR="00D33C11" w:rsidRDefault="00D33C11" w:rsidP="00D33C11">
      <w:pPr>
        <w:pStyle w:val="Paragraphbeforelist"/>
      </w:pPr>
      <w:r>
        <w:t xml:space="preserve">Current regulatory arrangements in the 1.9 GHz band are optimised to support the existing mixture of uses in Australia: </w:t>
      </w:r>
    </w:p>
    <w:p w14:paraId="6CEFBA66" w14:textId="38E22735" w:rsidR="00D33C11" w:rsidRDefault="00D33C11" w:rsidP="00D33C11">
      <w:pPr>
        <w:pStyle w:val="ListBullet"/>
      </w:pPr>
      <w:r w:rsidRPr="00201814">
        <w:t>Class</w:t>
      </w:r>
      <w:r>
        <w:t>-</w:t>
      </w:r>
      <w:r w:rsidRPr="00201814">
        <w:t>licen</w:t>
      </w:r>
      <w:r>
        <w:t>s</w:t>
      </w:r>
      <w:r w:rsidRPr="00201814">
        <w:t>ed cordless communication</w:t>
      </w:r>
      <w:r>
        <w:t>s</w:t>
      </w:r>
      <w:r w:rsidRPr="00201814">
        <w:t xml:space="preserve"> devices in the frequency range 1880</w:t>
      </w:r>
      <w:r w:rsidR="00D81468">
        <w:rPr>
          <w:rFonts w:cs="Arial"/>
          <w:szCs w:val="20"/>
        </w:rPr>
        <w:noBreakHyphen/>
      </w:r>
      <w:r w:rsidRPr="00201814">
        <w:t>1900 MHz Australia</w:t>
      </w:r>
      <w:r>
        <w:t>-</w:t>
      </w:r>
      <w:r w:rsidRPr="00201814">
        <w:t>wide</w:t>
      </w:r>
      <w:r>
        <w:t>.</w:t>
      </w:r>
    </w:p>
    <w:p w14:paraId="1C1C5FAB" w14:textId="37BCBA1E" w:rsidR="00D33C11" w:rsidRDefault="00D33C11" w:rsidP="00870AE9">
      <w:pPr>
        <w:pStyle w:val="ListBullet"/>
      </w:pPr>
      <w:r>
        <w:t>A</w:t>
      </w:r>
      <w:r w:rsidRPr="00201814">
        <w:t>pparatus</w:t>
      </w:r>
      <w:r>
        <w:t>-</w:t>
      </w:r>
      <w:r w:rsidRPr="00201814">
        <w:t xml:space="preserve">licensed point-to-point </w:t>
      </w:r>
      <w:r>
        <w:t xml:space="preserve">(PTP) </w:t>
      </w:r>
      <w:r w:rsidRPr="00201814">
        <w:t xml:space="preserve">and point-to-multipoint </w:t>
      </w:r>
      <w:r>
        <w:t>(PMP) systems</w:t>
      </w:r>
      <w:r w:rsidRPr="00201814">
        <w:t xml:space="preserve"> in the frequency range 1900</w:t>
      </w:r>
      <w:r w:rsidR="00B12306">
        <w:t>–</w:t>
      </w:r>
      <w:r w:rsidRPr="00201814">
        <w:t>1920 MHz in regional and remote areas</w:t>
      </w:r>
      <w:r>
        <w:t xml:space="preserve">. </w:t>
      </w:r>
      <w:r w:rsidR="00A21FC3">
        <w:t xml:space="preserve">PMP </w:t>
      </w:r>
      <w:r>
        <w:t>is typically</w:t>
      </w:r>
      <w:r w:rsidR="00D50F55">
        <w:t xml:space="preserve"> </w:t>
      </w:r>
      <w:r w:rsidR="00B12306">
        <w:t xml:space="preserve">used to provide </w:t>
      </w:r>
      <w:r>
        <w:t>local area wireless broadband (LA WBB) services.</w:t>
      </w:r>
    </w:p>
    <w:p w14:paraId="166EE084" w14:textId="0E98FEF5" w:rsidR="00D33C11" w:rsidRDefault="00D33C11" w:rsidP="00D33C11">
      <w:pPr>
        <w:pStyle w:val="ListBulletLast"/>
        <w:keepLines/>
      </w:pPr>
      <w:r>
        <w:t>V</w:t>
      </w:r>
      <w:r w:rsidRPr="00201814">
        <w:t>arious low</w:t>
      </w:r>
      <w:r>
        <w:t xml:space="preserve"> interference potential </w:t>
      </w:r>
      <w:r w:rsidRPr="00201814">
        <w:t>class</w:t>
      </w:r>
      <w:r>
        <w:t>-</w:t>
      </w:r>
      <w:r w:rsidRPr="00201814">
        <w:t xml:space="preserve">licensed devices </w:t>
      </w:r>
      <w:r w:rsidR="00A21FC3">
        <w:t>(LIPD)</w:t>
      </w:r>
      <w:r w:rsidR="00A21FC3" w:rsidDel="00D50F55">
        <w:t xml:space="preserve"> </w:t>
      </w:r>
      <w:r>
        <w:t>in</w:t>
      </w:r>
      <w:r w:rsidRPr="00201814">
        <w:t xml:space="preserve"> the </w:t>
      </w:r>
      <w:r>
        <w:t>entire</w:t>
      </w:r>
      <w:r w:rsidRPr="00201814">
        <w:t xml:space="preserve"> band</w:t>
      </w:r>
      <w:r w:rsidR="00B12306">
        <w:t>,</w:t>
      </w:r>
      <w:r w:rsidRPr="00201814">
        <w:t xml:space="preserve"> Australia</w:t>
      </w:r>
      <w:r>
        <w:t>-</w:t>
      </w:r>
      <w:r w:rsidRPr="00201814">
        <w:t>wide.</w:t>
      </w:r>
    </w:p>
    <w:p w14:paraId="7FAAA957" w14:textId="1BB5D493" w:rsidR="005308CD" w:rsidRDefault="005308CD" w:rsidP="005308CD">
      <w:pPr>
        <w:pStyle w:val="Paragraphbeforelist"/>
      </w:pPr>
      <w:r>
        <w:t xml:space="preserve">The options paper set out </w:t>
      </w:r>
      <w:r w:rsidR="00B12306">
        <w:t xml:space="preserve">4 </w:t>
      </w:r>
      <w:r>
        <w:t>possible options for future use of the 1.9 GHz band:</w:t>
      </w:r>
    </w:p>
    <w:p w14:paraId="1ACA1F91" w14:textId="77777777" w:rsidR="005308CD" w:rsidRPr="007F40EF" w:rsidRDefault="005308CD" w:rsidP="005308CD">
      <w:pPr>
        <w:pStyle w:val="ListBullet"/>
        <w:rPr>
          <w:rFonts w:cs="Arial"/>
          <w:szCs w:val="20"/>
        </w:rPr>
      </w:pPr>
      <w:r w:rsidRPr="007F40EF">
        <w:rPr>
          <w:rFonts w:cs="Arial"/>
          <w:b/>
          <w:bCs/>
          <w:szCs w:val="20"/>
        </w:rPr>
        <w:t>Option 1:</w:t>
      </w:r>
      <w:r w:rsidRPr="007F40EF">
        <w:rPr>
          <w:rFonts w:cs="Arial"/>
          <w:szCs w:val="20"/>
        </w:rPr>
        <w:t xml:space="preserve"> maintaining existing </w:t>
      </w:r>
      <w:r w:rsidRPr="007F40EF">
        <w:rPr>
          <w:szCs w:val="20"/>
        </w:rPr>
        <w:t>arrangements</w:t>
      </w:r>
      <w:r w:rsidRPr="007F40EF">
        <w:rPr>
          <w:rFonts w:cs="Arial"/>
          <w:szCs w:val="20"/>
        </w:rPr>
        <w:t>.</w:t>
      </w:r>
    </w:p>
    <w:p w14:paraId="5729B5A5" w14:textId="35DC241D" w:rsidR="005308CD" w:rsidRPr="007F40EF" w:rsidRDefault="005308CD" w:rsidP="005308CD">
      <w:pPr>
        <w:pStyle w:val="ListBullet"/>
        <w:rPr>
          <w:rFonts w:cs="Arial"/>
          <w:szCs w:val="20"/>
        </w:rPr>
      </w:pPr>
      <w:r w:rsidRPr="007F40EF">
        <w:rPr>
          <w:rFonts w:cs="Arial"/>
          <w:b/>
          <w:bCs/>
          <w:szCs w:val="20"/>
        </w:rPr>
        <w:t>Option 2:</w:t>
      </w:r>
      <w:r w:rsidRPr="007F40EF">
        <w:rPr>
          <w:rFonts w:cs="Arial"/>
          <w:szCs w:val="20"/>
        </w:rPr>
        <w:t xml:space="preserve"> expanding short range wireless broadband (SR WBB) arrangements for exclusive use in 1880</w:t>
      </w:r>
      <w:r w:rsidR="00B12306">
        <w:t>–</w:t>
      </w:r>
      <w:r w:rsidRPr="007F40EF">
        <w:rPr>
          <w:rFonts w:cs="Arial"/>
          <w:szCs w:val="20"/>
        </w:rPr>
        <w:t xml:space="preserve">1900 </w:t>
      </w:r>
      <w:r>
        <w:rPr>
          <w:rFonts w:cs="Arial"/>
          <w:szCs w:val="20"/>
        </w:rPr>
        <w:t>M</w:t>
      </w:r>
      <w:r w:rsidRPr="007F40EF">
        <w:rPr>
          <w:rFonts w:cs="Arial"/>
          <w:szCs w:val="20"/>
        </w:rPr>
        <w:t>Hz band to include shared use in the 1900</w:t>
      </w:r>
      <w:r w:rsidR="00B12306">
        <w:t>–</w:t>
      </w:r>
      <w:r w:rsidRPr="007F40EF">
        <w:rPr>
          <w:rFonts w:cs="Arial"/>
          <w:szCs w:val="20"/>
        </w:rPr>
        <w:t>1920</w:t>
      </w:r>
      <w:r>
        <w:rPr>
          <w:rFonts w:cs="Arial"/>
          <w:szCs w:val="20"/>
        </w:rPr>
        <w:t> </w:t>
      </w:r>
      <w:r w:rsidRPr="007F40EF">
        <w:rPr>
          <w:rFonts w:cs="Arial"/>
          <w:szCs w:val="20"/>
        </w:rPr>
        <w:t>MHz frequency range</w:t>
      </w:r>
      <w:r w:rsidR="00B12306">
        <w:rPr>
          <w:rFonts w:cs="Arial"/>
          <w:szCs w:val="20"/>
        </w:rPr>
        <w:t>,</w:t>
      </w:r>
      <w:r w:rsidRPr="007F40EF">
        <w:rPr>
          <w:rFonts w:cs="Arial"/>
          <w:szCs w:val="20"/>
        </w:rPr>
        <w:t xml:space="preserve"> Australia-wide.</w:t>
      </w:r>
    </w:p>
    <w:p w14:paraId="762A6F14" w14:textId="61F71A7E" w:rsidR="005308CD" w:rsidRPr="007F40EF" w:rsidRDefault="005308CD" w:rsidP="005308CD">
      <w:pPr>
        <w:pStyle w:val="ListBullet"/>
        <w:rPr>
          <w:rFonts w:cs="Arial"/>
          <w:szCs w:val="20"/>
        </w:rPr>
      </w:pPr>
      <w:r w:rsidRPr="007F40EF">
        <w:rPr>
          <w:rFonts w:cs="Arial"/>
          <w:b/>
          <w:bCs/>
          <w:szCs w:val="20"/>
        </w:rPr>
        <w:t>Option 3:</w:t>
      </w:r>
      <w:r w:rsidRPr="007F40EF">
        <w:rPr>
          <w:rFonts w:cs="Arial"/>
          <w:szCs w:val="20"/>
        </w:rPr>
        <w:t xml:space="preserve"> introducing arrangements to allow for rail mobile radio (RMR) in the 1900</w:t>
      </w:r>
      <w:r w:rsidR="00B12306">
        <w:t>–</w:t>
      </w:r>
      <w:r w:rsidRPr="007F40EF">
        <w:rPr>
          <w:rFonts w:cs="Arial"/>
          <w:szCs w:val="20"/>
        </w:rPr>
        <w:t>1910 MHz frequency range on an Australia-wide basis</w:t>
      </w:r>
      <w:r w:rsidR="00CC0517">
        <w:rPr>
          <w:rFonts w:cs="Arial"/>
          <w:szCs w:val="20"/>
        </w:rPr>
        <w:t>,</w:t>
      </w:r>
      <w:r w:rsidR="00CC0517" w:rsidRPr="00CC0517">
        <w:t xml:space="preserve"> </w:t>
      </w:r>
      <w:r w:rsidR="00CC0517" w:rsidRPr="00906AFE">
        <w:t>both exclusively and shared with existing services on an Australia-wide basis, with no change to current arrangements in the rest of the band</w:t>
      </w:r>
      <w:r w:rsidRPr="007F40EF">
        <w:rPr>
          <w:rFonts w:cs="Arial"/>
          <w:szCs w:val="20"/>
        </w:rPr>
        <w:t>.</w:t>
      </w:r>
    </w:p>
    <w:p w14:paraId="525687BD" w14:textId="51565802" w:rsidR="005308CD" w:rsidRDefault="005308CD" w:rsidP="005308CD">
      <w:pPr>
        <w:pStyle w:val="ListBulletLast"/>
        <w:keepLines/>
        <w:rPr>
          <w:szCs w:val="20"/>
        </w:rPr>
      </w:pPr>
      <w:r w:rsidRPr="005308CD">
        <w:rPr>
          <w:b/>
          <w:bCs/>
          <w:szCs w:val="20"/>
        </w:rPr>
        <w:t>Option</w:t>
      </w:r>
      <w:r w:rsidRPr="007F40EF">
        <w:rPr>
          <w:b/>
          <w:bCs/>
          <w:szCs w:val="20"/>
        </w:rPr>
        <w:t xml:space="preserve"> 4:</w:t>
      </w:r>
      <w:r w:rsidRPr="007F40EF">
        <w:rPr>
          <w:szCs w:val="20"/>
        </w:rPr>
        <w:t xml:space="preserve"> </w:t>
      </w:r>
      <w:r w:rsidR="00CC0517">
        <w:t>maintain</w:t>
      </w:r>
      <w:r w:rsidR="00547745">
        <w:t>ing</w:t>
      </w:r>
      <w:r w:rsidR="00CC0517">
        <w:t xml:space="preserve"> exclusive SR WBB access to 1880–1900 MHz, </w:t>
      </w:r>
      <w:r w:rsidRPr="007F40EF">
        <w:rPr>
          <w:szCs w:val="20"/>
        </w:rPr>
        <w:t>extending arrangements for SR WBB to allow shared use in the 1900</w:t>
      </w:r>
      <w:r w:rsidR="00B12306">
        <w:t>–</w:t>
      </w:r>
      <w:r w:rsidRPr="007F40EF">
        <w:rPr>
          <w:szCs w:val="20"/>
        </w:rPr>
        <w:t>1920 MHz frequency range</w:t>
      </w:r>
      <w:r w:rsidR="00B12306">
        <w:rPr>
          <w:szCs w:val="20"/>
        </w:rPr>
        <w:t>,</w:t>
      </w:r>
      <w:r w:rsidRPr="007F40EF">
        <w:rPr>
          <w:szCs w:val="20"/>
        </w:rPr>
        <w:t xml:space="preserve"> Australia-wide</w:t>
      </w:r>
      <w:r w:rsidR="00B12306">
        <w:rPr>
          <w:szCs w:val="20"/>
        </w:rPr>
        <w:t>;</w:t>
      </w:r>
      <w:r w:rsidR="004541F3">
        <w:rPr>
          <w:szCs w:val="20"/>
        </w:rPr>
        <w:t xml:space="preserve"> </w:t>
      </w:r>
      <w:r w:rsidR="00B12306">
        <w:rPr>
          <w:szCs w:val="20"/>
        </w:rPr>
        <w:t>i</w:t>
      </w:r>
      <w:r w:rsidRPr="007F40EF">
        <w:rPr>
          <w:szCs w:val="20"/>
        </w:rPr>
        <w:t>ntroduc</w:t>
      </w:r>
      <w:r w:rsidR="00B12306">
        <w:rPr>
          <w:szCs w:val="20"/>
        </w:rPr>
        <w:t>ing</w:t>
      </w:r>
      <w:r w:rsidRPr="007F40EF">
        <w:rPr>
          <w:szCs w:val="20"/>
        </w:rPr>
        <w:t xml:space="preserve"> arrangements to allow for RMR in the 1900</w:t>
      </w:r>
      <w:r w:rsidR="00B12306">
        <w:t>–</w:t>
      </w:r>
      <w:r w:rsidRPr="007F40EF">
        <w:rPr>
          <w:szCs w:val="20"/>
        </w:rPr>
        <w:t xml:space="preserve">1910 MHz </w:t>
      </w:r>
      <w:r>
        <w:rPr>
          <w:szCs w:val="20"/>
        </w:rPr>
        <w:t xml:space="preserve">frequency </w:t>
      </w:r>
      <w:r w:rsidRPr="007F40EF">
        <w:rPr>
          <w:szCs w:val="20"/>
        </w:rPr>
        <w:t>range</w:t>
      </w:r>
      <w:r w:rsidR="00B12306">
        <w:rPr>
          <w:szCs w:val="20"/>
        </w:rPr>
        <w:t>,</w:t>
      </w:r>
      <w:r w:rsidRPr="007F40EF">
        <w:rPr>
          <w:szCs w:val="20"/>
        </w:rPr>
        <w:t xml:space="preserve"> Australia-wide, on a shared and coordinated basis with other services, while maintaining arrangements for LA WBB and PTP in regional and </w:t>
      </w:r>
      <w:r w:rsidRPr="004A3996">
        <w:t>remote</w:t>
      </w:r>
      <w:r w:rsidRPr="007F40EF">
        <w:rPr>
          <w:szCs w:val="20"/>
        </w:rPr>
        <w:t xml:space="preserve"> areas.</w:t>
      </w:r>
    </w:p>
    <w:p w14:paraId="06927D3A" w14:textId="0983AE90" w:rsidR="003F7407" w:rsidRDefault="00870AE9" w:rsidP="005308CD">
      <w:pPr>
        <w:pStyle w:val="Paragraph"/>
      </w:pPr>
      <w:r>
        <w:t>We received</w:t>
      </w:r>
      <w:r w:rsidR="00644867">
        <w:t xml:space="preserve"> 11</w:t>
      </w:r>
      <w:r>
        <w:t xml:space="preserve"> responses </w:t>
      </w:r>
      <w:r w:rsidR="00330129">
        <w:t>to the options paper</w:t>
      </w:r>
      <w:r w:rsidR="002E3CB3">
        <w:t xml:space="preserve"> from</w:t>
      </w:r>
      <w:r w:rsidR="003F7407">
        <w:t xml:space="preserve"> the</w:t>
      </w:r>
      <w:r w:rsidR="002E3CB3">
        <w:t xml:space="preserve"> rail, </w:t>
      </w:r>
      <w:proofErr w:type="gramStart"/>
      <w:r w:rsidR="002E3CB3">
        <w:t>communications</w:t>
      </w:r>
      <w:proofErr w:type="gramEnd"/>
      <w:r w:rsidR="002E3CB3">
        <w:t xml:space="preserve"> and audio wireless sectors</w:t>
      </w:r>
      <w:r w:rsidR="00644867">
        <w:t>.</w:t>
      </w:r>
      <w:r w:rsidR="00330129">
        <w:t xml:space="preserve"> </w:t>
      </w:r>
      <w:r w:rsidR="00F0065A">
        <w:t xml:space="preserve">Respondents favoured either Option 3 or Option 4 </w:t>
      </w:r>
      <w:r w:rsidR="002E3CB3">
        <w:t>(the ACMA’s preliminary preferred option)</w:t>
      </w:r>
      <w:r w:rsidR="00F0065A">
        <w:t>.</w:t>
      </w:r>
      <w:r w:rsidR="003F7407">
        <w:t xml:space="preserve"> </w:t>
      </w:r>
    </w:p>
    <w:p w14:paraId="19AD4B7A" w14:textId="1E180E79" w:rsidR="002753CB" w:rsidRDefault="002753CB" w:rsidP="00870AE9">
      <w:pPr>
        <w:pStyle w:val="Paragraph"/>
      </w:pPr>
      <w:r>
        <w:t xml:space="preserve">Of the responses that addressed sunsetting of the </w:t>
      </w:r>
      <w:r w:rsidRPr="00EB2BAE">
        <w:t xml:space="preserve">1900–1920 MHz </w:t>
      </w:r>
      <w:r w:rsidR="005308CD" w:rsidRPr="00EB2BAE">
        <w:t>F</w:t>
      </w:r>
      <w:r w:rsidRPr="00EB2BAE">
        <w:t xml:space="preserve">requency </w:t>
      </w:r>
      <w:r w:rsidR="005308CD" w:rsidRPr="00EB2BAE">
        <w:t>B</w:t>
      </w:r>
      <w:r w:rsidRPr="00EB2BAE">
        <w:t xml:space="preserve">and </w:t>
      </w:r>
      <w:r w:rsidR="005308CD" w:rsidRPr="00EB2BAE">
        <w:t>P</w:t>
      </w:r>
      <w:r w:rsidRPr="00EB2BAE">
        <w:t>lan</w:t>
      </w:r>
      <w:r w:rsidR="005308CD" w:rsidRPr="00EB2BAE">
        <w:t xml:space="preserve"> 201</w:t>
      </w:r>
      <w:r w:rsidR="005308CD" w:rsidRPr="00BB06C4">
        <w:rPr>
          <w:i/>
          <w:iCs/>
        </w:rPr>
        <w:t>2</w:t>
      </w:r>
      <w:r>
        <w:t xml:space="preserve">, all either supported or did not oppose sunsetting, and the </w:t>
      </w:r>
      <w:r w:rsidR="005308CD">
        <w:t>instrument</w:t>
      </w:r>
      <w:r>
        <w:t xml:space="preserve"> was allowed to sunset on </w:t>
      </w:r>
      <w:r w:rsidR="009F4D55">
        <w:t>1</w:t>
      </w:r>
      <w:r>
        <w:t xml:space="preserve"> April 2023.</w:t>
      </w:r>
      <w:r w:rsidR="00F0065A">
        <w:t xml:space="preserve"> As a result</w:t>
      </w:r>
      <w:r w:rsidR="002E3CB3">
        <w:t>,</w:t>
      </w:r>
      <w:r w:rsidR="00F0065A">
        <w:t xml:space="preserve"> </w:t>
      </w:r>
      <w:r w:rsidR="00A21FC3">
        <w:t>PTP</w:t>
      </w:r>
      <w:r w:rsidR="00F0065A">
        <w:t xml:space="preserve"> services are now a primary service in </w:t>
      </w:r>
      <w:r w:rsidR="006C6327">
        <w:t xml:space="preserve">regional and remote areas of </w:t>
      </w:r>
      <w:r w:rsidR="00F0065A">
        <w:t xml:space="preserve">the band. </w:t>
      </w:r>
    </w:p>
    <w:p w14:paraId="5EB803CD" w14:textId="3F7A7909" w:rsidR="002753CB" w:rsidRDefault="002753CB" w:rsidP="00870AE9">
      <w:pPr>
        <w:pStyle w:val="Paragraph"/>
      </w:pPr>
      <w:r>
        <w:t xml:space="preserve">A </w:t>
      </w:r>
      <w:r w:rsidR="00B12306">
        <w:t>‘</w:t>
      </w:r>
      <w:r>
        <w:t>reply to comment</w:t>
      </w:r>
      <w:r w:rsidR="00B12306">
        <w:t>’</w:t>
      </w:r>
      <w:r>
        <w:t xml:space="preserve"> period opened on 27 March 2023 and closed on 21 April 2023, </w:t>
      </w:r>
      <w:r w:rsidR="005308CD">
        <w:t xml:space="preserve">to </w:t>
      </w:r>
      <w:r>
        <w:t>allow</w:t>
      </w:r>
      <w:r w:rsidR="005308CD">
        <w:t xml:space="preserve"> repl</w:t>
      </w:r>
      <w:r w:rsidR="00692223">
        <w:t>ies</w:t>
      </w:r>
      <w:r w:rsidR="005308CD">
        <w:t xml:space="preserve"> to the </w:t>
      </w:r>
      <w:r w:rsidRPr="0071191E">
        <w:t xml:space="preserve">responses received for the options paper. We received </w:t>
      </w:r>
      <w:r w:rsidR="00A21FC3">
        <w:t>5</w:t>
      </w:r>
      <w:r w:rsidRPr="0071191E">
        <w:t xml:space="preserve"> </w:t>
      </w:r>
      <w:r w:rsidR="00A21FC3" w:rsidRPr="0071191E">
        <w:t>replies</w:t>
      </w:r>
      <w:r w:rsidR="002E3CB3">
        <w:t xml:space="preserve"> from </w:t>
      </w:r>
      <w:r w:rsidR="003F7407">
        <w:t xml:space="preserve">the </w:t>
      </w:r>
      <w:r w:rsidR="002E3CB3">
        <w:t>rail and communications sectors.</w:t>
      </w:r>
    </w:p>
    <w:p w14:paraId="63569CA7" w14:textId="38C6EDFC" w:rsidR="00544166" w:rsidRDefault="00870AE9" w:rsidP="00544166">
      <w:r w:rsidRPr="00A85D75">
        <w:lastRenderedPageBreak/>
        <w:t xml:space="preserve">Following </w:t>
      </w:r>
      <w:r>
        <w:t>consideration</w:t>
      </w:r>
      <w:r w:rsidRPr="00A85D75">
        <w:t xml:space="preserve"> of </w:t>
      </w:r>
      <w:r w:rsidR="005308CD">
        <w:t>responses and replies</w:t>
      </w:r>
      <w:r w:rsidRPr="00A85D75">
        <w:t>, we have</w:t>
      </w:r>
      <w:r>
        <w:t xml:space="preserve"> </w:t>
      </w:r>
      <w:r w:rsidR="00544166">
        <w:t>identified planning outcomes for</w:t>
      </w:r>
      <w:r w:rsidRPr="00A85D75">
        <w:t xml:space="preserve"> the </w:t>
      </w:r>
      <w:r w:rsidR="005308CD">
        <w:t xml:space="preserve">1.9 GHz </w:t>
      </w:r>
      <w:r w:rsidRPr="00A85D75">
        <w:t>band</w:t>
      </w:r>
      <w:r w:rsidR="00544166">
        <w:t>.</w:t>
      </w:r>
      <w:r w:rsidRPr="00A85D75">
        <w:t xml:space="preserve"> </w:t>
      </w:r>
    </w:p>
    <w:p w14:paraId="431CE2C5" w14:textId="08CCFA07" w:rsidR="00544166" w:rsidRDefault="00544166" w:rsidP="00544166">
      <w:bookmarkStart w:id="3" w:name="_Hlk148680028"/>
      <w:r>
        <w:t>The ACMA will move to implement the planning decisions, which will include the development of technical planning frameworks (including further consultation where necessary) and</w:t>
      </w:r>
      <w:r w:rsidR="00B12306">
        <w:t>,</w:t>
      </w:r>
      <w:r>
        <w:t xml:space="preserve"> </w:t>
      </w:r>
      <w:r w:rsidR="004E1A76">
        <w:t>where appropriate</w:t>
      </w:r>
      <w:r w:rsidR="00B12306">
        <w:t>,</w:t>
      </w:r>
      <w:r w:rsidR="004E1A76">
        <w:t xml:space="preserve"> </w:t>
      </w:r>
      <w:r>
        <w:t xml:space="preserve">detailed licensing, </w:t>
      </w:r>
      <w:proofErr w:type="gramStart"/>
      <w:r>
        <w:t>allocation</w:t>
      </w:r>
      <w:proofErr w:type="gramEnd"/>
      <w:r>
        <w:t xml:space="preserve"> and pricing considerations. Planning outcomes identified at this stage include both ACMA planning decisions as well as preliminary views on these future activities, some of which may be subject to further legislative or consultative processes.</w:t>
      </w:r>
    </w:p>
    <w:p w14:paraId="24EE2CF5" w14:textId="77777777" w:rsidR="00A02A91" w:rsidRPr="00A85D75" w:rsidRDefault="00A02A91" w:rsidP="00E2254B">
      <w:pPr>
        <w:pStyle w:val="Heading2"/>
      </w:pPr>
      <w:bookmarkStart w:id="4" w:name="_Toc56950051"/>
      <w:bookmarkStart w:id="5" w:name="_Toc56965673"/>
      <w:bookmarkStart w:id="6" w:name="_Toc150345641"/>
      <w:bookmarkStart w:id="7" w:name="_Toc56950052"/>
      <w:bookmarkEnd w:id="3"/>
      <w:r w:rsidRPr="00A85D75">
        <w:t>Industry feedback and ACMA considerations</w:t>
      </w:r>
      <w:bookmarkEnd w:id="4"/>
      <w:bookmarkEnd w:id="5"/>
      <w:bookmarkEnd w:id="6"/>
    </w:p>
    <w:p w14:paraId="1D6BBD31" w14:textId="2C343193" w:rsidR="00A004C7" w:rsidRDefault="00F67C28" w:rsidP="00E9233D">
      <w:pPr>
        <w:pStyle w:val="Paragraph"/>
      </w:pPr>
      <w:r w:rsidRPr="00A85D75">
        <w:t>Strong support was provided for the ACMA’s preliminary preferred option (</w:t>
      </w:r>
      <w:r w:rsidR="00091467">
        <w:t>O</w:t>
      </w:r>
      <w:r w:rsidRPr="00A85D75">
        <w:t xml:space="preserve">ption </w:t>
      </w:r>
      <w:r w:rsidR="00091467">
        <w:t>4</w:t>
      </w:r>
      <w:r w:rsidRPr="00A85D75">
        <w:t>)</w:t>
      </w:r>
      <w:r w:rsidR="002C30F2">
        <w:t xml:space="preserve">; however, respondents supporting Option 4 </w:t>
      </w:r>
      <w:r w:rsidR="00A30F46">
        <w:t>were generally concerned</w:t>
      </w:r>
      <w:r w:rsidR="00B12306">
        <w:t xml:space="preserve"> about</w:t>
      </w:r>
      <w:r w:rsidR="00A30F46">
        <w:t xml:space="preserve"> how the various technologies could coexist</w:t>
      </w:r>
      <w:r w:rsidR="0062394F">
        <w:t xml:space="preserve">, recommending </w:t>
      </w:r>
      <w:r w:rsidR="006F76A9">
        <w:t>coexistence studies or interference mitigation</w:t>
      </w:r>
      <w:r w:rsidR="008F6C7D">
        <w:t xml:space="preserve"> strategies to manage the issue</w:t>
      </w:r>
      <w:r w:rsidR="007F11DA">
        <w:t>.</w:t>
      </w:r>
      <w:r w:rsidR="00ED62BC">
        <w:t xml:space="preserve"> Option 3 gained strong support from the railway industry and state government organisations concerned with potential interference issues </w:t>
      </w:r>
      <w:r w:rsidR="00B12306">
        <w:t>affecting</w:t>
      </w:r>
      <w:r w:rsidR="00ED62BC">
        <w:t xml:space="preserve"> rail safety systems and critical railway operations.</w:t>
      </w:r>
    </w:p>
    <w:p w14:paraId="140456DE" w14:textId="4BF651CA" w:rsidR="00E9233D" w:rsidRDefault="00E9233D" w:rsidP="00E9233D">
      <w:pPr>
        <w:pStyle w:val="Paragraphbeforelist"/>
      </w:pPr>
      <w:r>
        <w:t>Seven</w:t>
      </w:r>
      <w:r w:rsidRPr="00057029">
        <w:t xml:space="preserve"> submissions received </w:t>
      </w:r>
      <w:r>
        <w:t xml:space="preserve">addressed the ACMA’s </w:t>
      </w:r>
      <w:r w:rsidR="00B12306">
        <w:t xml:space="preserve">5 </w:t>
      </w:r>
      <w:r>
        <w:t>desirable planning outcomes for the review of the 1.9 GHz band:</w:t>
      </w:r>
    </w:p>
    <w:p w14:paraId="363D92CC" w14:textId="77777777" w:rsidR="00E9233D" w:rsidRPr="00B12306" w:rsidRDefault="00E9233D" w:rsidP="0073281C">
      <w:pPr>
        <w:pStyle w:val="ListNumber"/>
      </w:pPr>
      <w:r w:rsidRPr="00B12306">
        <w:t>Maintain regulatory arrangements for existing services within the 1.9 GHz band.</w:t>
      </w:r>
    </w:p>
    <w:p w14:paraId="7335695C" w14:textId="77407464" w:rsidR="00E9233D" w:rsidRPr="00B12306" w:rsidRDefault="00E9233D" w:rsidP="0073281C">
      <w:pPr>
        <w:pStyle w:val="ListNumber"/>
      </w:pPr>
      <w:r w:rsidRPr="00B12306">
        <w:t>Expand arrangements for SR WBB services.</w:t>
      </w:r>
    </w:p>
    <w:p w14:paraId="6317D2AD" w14:textId="3ADC86A1" w:rsidR="00E9233D" w:rsidRPr="00B12306" w:rsidRDefault="00E9233D" w:rsidP="0073281C">
      <w:pPr>
        <w:pStyle w:val="ListNumber"/>
      </w:pPr>
      <w:r w:rsidRPr="00B12306">
        <w:t>Introduce arrangements for new RMR services.</w:t>
      </w:r>
    </w:p>
    <w:p w14:paraId="23FA1230" w14:textId="77777777" w:rsidR="00E9233D" w:rsidRPr="002B5FEC" w:rsidRDefault="00E9233D" w:rsidP="0073281C">
      <w:pPr>
        <w:pStyle w:val="ListNumber"/>
      </w:pPr>
      <w:r w:rsidRPr="00B12306">
        <w:t xml:space="preserve">Maintain coexistence </w:t>
      </w:r>
      <w:r w:rsidRPr="002B5FEC">
        <w:t>with 1.9 GHz band services</w:t>
      </w:r>
      <w:r>
        <w:t>.</w:t>
      </w:r>
    </w:p>
    <w:p w14:paraId="5ABDADB1" w14:textId="1F74DC1D" w:rsidR="00E9233D" w:rsidRDefault="00E9233D" w:rsidP="0073281C">
      <w:pPr>
        <w:pStyle w:val="Numberlistlast"/>
      </w:pPr>
      <w:r>
        <w:t>Maintain</w:t>
      </w:r>
      <w:r w:rsidRPr="002B5FEC">
        <w:t xml:space="preserve"> coexistence with adjacent band services</w:t>
      </w:r>
      <w:r>
        <w:t>.</w:t>
      </w:r>
    </w:p>
    <w:p w14:paraId="612CFB4E" w14:textId="364FDCD3" w:rsidR="00300348" w:rsidRPr="00300348" w:rsidRDefault="00300348" w:rsidP="009F4843">
      <w:pPr>
        <w:pStyle w:val="ListNumber"/>
        <w:numPr>
          <w:ilvl w:val="0"/>
          <w:numId w:val="0"/>
        </w:numPr>
        <w:spacing w:after="240"/>
        <w:ind w:right="16"/>
        <w:rPr>
          <w:rFonts w:cs="Arial"/>
        </w:rPr>
      </w:pPr>
      <w:r w:rsidRPr="00300348">
        <w:rPr>
          <w:rFonts w:cs="Arial"/>
        </w:rPr>
        <w:t xml:space="preserve">Of these submissions, 6 supported </w:t>
      </w:r>
      <w:r>
        <w:rPr>
          <w:rFonts w:cs="Arial"/>
        </w:rPr>
        <w:t>all</w:t>
      </w:r>
      <w:r w:rsidRPr="00300348">
        <w:rPr>
          <w:rFonts w:cs="Arial"/>
        </w:rPr>
        <w:t xml:space="preserve"> planning outcomes</w:t>
      </w:r>
      <w:r w:rsidR="004D7FED">
        <w:rPr>
          <w:rFonts w:cs="Arial"/>
        </w:rPr>
        <w:t>.</w:t>
      </w:r>
      <w:r>
        <w:rPr>
          <w:rFonts w:cs="Arial"/>
        </w:rPr>
        <w:t xml:space="preserve"> </w:t>
      </w:r>
      <w:r w:rsidR="004D7FED">
        <w:rPr>
          <w:rFonts w:cs="Arial"/>
        </w:rPr>
        <w:t>One submission</w:t>
      </w:r>
      <w:r>
        <w:rPr>
          <w:rFonts w:cs="Arial"/>
        </w:rPr>
        <w:t xml:space="preserve"> </w:t>
      </w:r>
      <w:r w:rsidRPr="00300348">
        <w:rPr>
          <w:rFonts w:cs="Arial"/>
        </w:rPr>
        <w:t>support</w:t>
      </w:r>
      <w:r>
        <w:rPr>
          <w:rFonts w:cs="Arial"/>
        </w:rPr>
        <w:t>ed</w:t>
      </w:r>
      <w:r w:rsidRPr="00300348">
        <w:rPr>
          <w:rFonts w:cs="Arial"/>
        </w:rPr>
        <w:t xml:space="preserve"> only 4 of the 5 planning outcomes</w:t>
      </w:r>
      <w:r w:rsidR="004D7FED">
        <w:rPr>
          <w:rFonts w:cs="Arial"/>
        </w:rPr>
        <w:t xml:space="preserve"> –</w:t>
      </w:r>
      <w:r w:rsidR="00F418A5">
        <w:rPr>
          <w:rFonts w:cs="Arial"/>
        </w:rPr>
        <w:t xml:space="preserve"> O</w:t>
      </w:r>
      <w:r w:rsidR="004D7FED">
        <w:rPr>
          <w:rFonts w:cs="Arial"/>
        </w:rPr>
        <w:t>utcome 2</w:t>
      </w:r>
      <w:r w:rsidR="00F418A5">
        <w:rPr>
          <w:rFonts w:cs="Arial"/>
        </w:rPr>
        <w:t xml:space="preserve"> was not supported</w:t>
      </w:r>
      <w:r w:rsidR="004D7FED">
        <w:rPr>
          <w:rFonts w:cs="Arial"/>
        </w:rPr>
        <w:t xml:space="preserve"> -</w:t>
      </w:r>
      <w:r w:rsidR="004D7FED">
        <w:t xml:space="preserve"> arguing that interference from class-licensed sources (SR WBB) would be detrimental to RMR.</w:t>
      </w:r>
    </w:p>
    <w:p w14:paraId="32604CD8" w14:textId="300AF8B0" w:rsidR="007C2EC7" w:rsidRPr="00A85D75" w:rsidRDefault="007C2EC7" w:rsidP="00E2254B">
      <w:pPr>
        <w:pStyle w:val="Heading2"/>
      </w:pPr>
      <w:bookmarkStart w:id="8" w:name="_Toc56965674"/>
      <w:bookmarkStart w:id="9" w:name="_Toc150345642"/>
      <w:r w:rsidRPr="00A85D75">
        <w:t>Planning decisions and preliminary views</w:t>
      </w:r>
      <w:bookmarkEnd w:id="7"/>
      <w:bookmarkEnd w:id="8"/>
      <w:bookmarkEnd w:id="9"/>
    </w:p>
    <w:p w14:paraId="614029DA" w14:textId="7360BE4D" w:rsidR="008A0412" w:rsidRPr="00D77A9F" w:rsidRDefault="00A92907" w:rsidP="00434153">
      <w:pPr>
        <w:pStyle w:val="Paragraph"/>
      </w:pPr>
      <w:r w:rsidRPr="00D77A9F">
        <w:t>T</w:t>
      </w:r>
      <w:r w:rsidR="000851E5" w:rsidRPr="00D77A9F">
        <w:t xml:space="preserve">he ACMA </w:t>
      </w:r>
      <w:r w:rsidRPr="00D77A9F">
        <w:t xml:space="preserve">has </w:t>
      </w:r>
      <w:r w:rsidR="000851E5" w:rsidRPr="00D77A9F">
        <w:t>conclude</w:t>
      </w:r>
      <w:r w:rsidRPr="00D77A9F">
        <w:t>d</w:t>
      </w:r>
      <w:r w:rsidR="000851E5" w:rsidRPr="00D77A9F">
        <w:t xml:space="preserve"> that </w:t>
      </w:r>
      <w:r w:rsidR="00F24656" w:rsidRPr="00D77A9F">
        <w:t xml:space="preserve">arrangements consistent with a modified </w:t>
      </w:r>
      <w:r w:rsidR="00ED62BC" w:rsidRPr="00D77A9F">
        <w:t>Option 3</w:t>
      </w:r>
      <w:r w:rsidR="00F24656" w:rsidRPr="00D77A9F">
        <w:t xml:space="preserve"> is likely to best achieve the desirable planning outcomes identified for the band</w:t>
      </w:r>
      <w:r w:rsidR="000A1D33" w:rsidRPr="00D77A9F">
        <w:t>.</w:t>
      </w:r>
      <w:r w:rsidR="0052678C" w:rsidRPr="00D77A9F">
        <w:t xml:space="preserve"> </w:t>
      </w:r>
    </w:p>
    <w:p w14:paraId="7A5CDEAE" w14:textId="308EA1DB" w:rsidR="000851E5" w:rsidRPr="00D77A9F" w:rsidRDefault="00544166" w:rsidP="0052678C">
      <w:pPr>
        <w:pStyle w:val="Paragraphbeforelist"/>
      </w:pPr>
      <w:r>
        <w:t>Key planning decisions identified for the 1880</w:t>
      </w:r>
      <w:r w:rsidR="00F418A5">
        <w:t>–</w:t>
      </w:r>
      <w:r>
        <w:t>1920 MHz</w:t>
      </w:r>
      <w:r w:rsidR="002E3CB3">
        <w:t xml:space="preserve"> </w:t>
      </w:r>
      <w:r>
        <w:t>band are consistent with a variation of arrangements proposed under Option 3 of the options paper. This involves</w:t>
      </w:r>
      <w:r w:rsidR="0052678C" w:rsidRPr="00D77A9F">
        <w:t>:</w:t>
      </w:r>
      <w:r w:rsidR="000851E5" w:rsidRPr="00D77A9F">
        <w:t xml:space="preserve"> </w:t>
      </w:r>
    </w:p>
    <w:p w14:paraId="2066E95A" w14:textId="7009A197" w:rsidR="003354CA" w:rsidRPr="00D77A9F" w:rsidRDefault="003354CA" w:rsidP="003354CA">
      <w:pPr>
        <w:pStyle w:val="ListBullet"/>
      </w:pPr>
      <w:r w:rsidRPr="00D77A9F">
        <w:t>Maintain</w:t>
      </w:r>
      <w:r w:rsidR="00F418A5">
        <w:t>ing</w:t>
      </w:r>
      <w:r w:rsidR="00513EFF">
        <w:t xml:space="preserve"> </w:t>
      </w:r>
      <w:r w:rsidRPr="00D77A9F">
        <w:t xml:space="preserve">SR WBB use under </w:t>
      </w:r>
      <w:r w:rsidR="00D77A9F" w:rsidRPr="00D77A9F">
        <w:t xml:space="preserve">Australia-wide </w:t>
      </w:r>
      <w:r w:rsidRPr="00D77A9F">
        <w:t>class</w:t>
      </w:r>
      <w:r w:rsidR="00F418A5">
        <w:t>-</w:t>
      </w:r>
      <w:r w:rsidRPr="00D77A9F">
        <w:t>licensing arrangements across</w:t>
      </w:r>
      <w:r w:rsidR="00A21FC3">
        <w:t xml:space="preserve"> the</w:t>
      </w:r>
      <w:r w:rsidRPr="00D77A9F">
        <w:t xml:space="preserve"> 1880–1900</w:t>
      </w:r>
      <w:r w:rsidR="00D81468">
        <w:t xml:space="preserve"> </w:t>
      </w:r>
      <w:r w:rsidRPr="00D77A9F">
        <w:t>MHz</w:t>
      </w:r>
      <w:r w:rsidR="00A21FC3">
        <w:t xml:space="preserve"> frequency range</w:t>
      </w:r>
      <w:r w:rsidRPr="00D77A9F">
        <w:t>.</w:t>
      </w:r>
      <w:r w:rsidR="004B0619">
        <w:t xml:space="preserve"> Also </w:t>
      </w:r>
      <w:r w:rsidR="00F418A5">
        <w:t xml:space="preserve">updating </w:t>
      </w:r>
      <w:r w:rsidR="004B0619">
        <w:t xml:space="preserve">these arrangements to ensure support for ‘future DECT’ (indoor and outdoor applications). </w:t>
      </w:r>
    </w:p>
    <w:p w14:paraId="7FA891F0" w14:textId="57E4662C" w:rsidR="003354CA" w:rsidRPr="00D77A9F" w:rsidRDefault="00F418A5" w:rsidP="003354CA">
      <w:pPr>
        <w:pStyle w:val="ListBullet"/>
      </w:pPr>
      <w:r w:rsidRPr="00D77A9F">
        <w:t>Introduc</w:t>
      </w:r>
      <w:r>
        <w:t>ing</w:t>
      </w:r>
      <w:r w:rsidRPr="00D77A9F">
        <w:t xml:space="preserve"> </w:t>
      </w:r>
      <w:r w:rsidR="00D77A9F" w:rsidRPr="00D77A9F">
        <w:t>Australia-wide</w:t>
      </w:r>
      <w:r w:rsidR="003354CA" w:rsidRPr="00D77A9F">
        <w:t xml:space="preserve"> </w:t>
      </w:r>
      <w:r w:rsidR="00D77A9F" w:rsidRPr="00D77A9F">
        <w:t>apparatus</w:t>
      </w:r>
      <w:r>
        <w:t>-</w:t>
      </w:r>
      <w:r w:rsidR="00D77A9F" w:rsidRPr="00D77A9F">
        <w:t xml:space="preserve">licensed </w:t>
      </w:r>
      <w:r w:rsidR="00450344">
        <w:t xml:space="preserve">arrangements for </w:t>
      </w:r>
      <w:r w:rsidR="003354CA" w:rsidRPr="00D77A9F">
        <w:t>SR WBB</w:t>
      </w:r>
      <w:r w:rsidR="004D7FED">
        <w:t xml:space="preserve"> (‘future DECT’)</w:t>
      </w:r>
      <w:r w:rsidR="003354CA" w:rsidRPr="00D77A9F">
        <w:t xml:space="preserve"> indoor </w:t>
      </w:r>
      <w:r w:rsidR="00450344">
        <w:t xml:space="preserve">only </w:t>
      </w:r>
      <w:r w:rsidR="003354CA" w:rsidRPr="00D77A9F">
        <w:t>applications in the 19</w:t>
      </w:r>
      <w:r w:rsidR="00D77A9F" w:rsidRPr="00D77A9F">
        <w:t>0</w:t>
      </w:r>
      <w:r w:rsidR="003354CA" w:rsidRPr="00D77A9F">
        <w:t>0–1920 MHz frequency range.</w:t>
      </w:r>
    </w:p>
    <w:p w14:paraId="18DC26E9" w14:textId="7B7D1B39" w:rsidR="003354CA" w:rsidRPr="00D77A9F" w:rsidRDefault="003354CA" w:rsidP="003354CA">
      <w:pPr>
        <w:pStyle w:val="ListBullet"/>
      </w:pPr>
      <w:bookmarkStart w:id="10" w:name="_Hlk146878161"/>
      <w:r w:rsidRPr="00D77A9F">
        <w:t>Maintain</w:t>
      </w:r>
      <w:r w:rsidR="00F418A5">
        <w:t>ing</w:t>
      </w:r>
      <w:r w:rsidRPr="00D77A9F">
        <w:t xml:space="preserve"> LA WBB and PTP access arrangements across </w:t>
      </w:r>
      <w:r w:rsidR="00A21FC3">
        <w:t xml:space="preserve">the </w:t>
      </w:r>
      <w:r w:rsidRPr="00D77A9F">
        <w:t>1900–1920 MHz</w:t>
      </w:r>
      <w:r w:rsidR="00A21FC3">
        <w:t xml:space="preserve"> frequency range</w:t>
      </w:r>
      <w:r w:rsidRPr="00D77A9F">
        <w:t xml:space="preserve"> in regional and remote areas</w:t>
      </w:r>
      <w:r w:rsidR="00EE3088">
        <w:t xml:space="preserve">. The ACMA will consider the need for restrictions on new licences near defined rail corridors. We will also assess whether existing licences will be </w:t>
      </w:r>
      <w:r w:rsidR="00F418A5">
        <w:t xml:space="preserve">affected </w:t>
      </w:r>
      <w:r w:rsidR="00EE3088">
        <w:t>by arrangements developed to support the introduction of RMR.</w:t>
      </w:r>
    </w:p>
    <w:bookmarkEnd w:id="10"/>
    <w:p w14:paraId="596C5070" w14:textId="647AA74C" w:rsidR="00ED62BC" w:rsidRPr="00D77A9F" w:rsidRDefault="00F418A5" w:rsidP="00E9233D">
      <w:pPr>
        <w:pStyle w:val="ListBullet"/>
        <w:keepNext/>
        <w:spacing w:after="240"/>
      </w:pPr>
      <w:r>
        <w:t xml:space="preserve">Preserving </w:t>
      </w:r>
      <w:r w:rsidR="00032EE2">
        <w:t>options for</w:t>
      </w:r>
      <w:r w:rsidR="00032EE2" w:rsidRPr="00D77A9F">
        <w:t xml:space="preserve"> </w:t>
      </w:r>
      <w:r w:rsidR="003354CA" w:rsidRPr="00D77A9F">
        <w:t>RMR services in the 1900–1910 MHz segment of the band for new uses and applications.</w:t>
      </w:r>
      <w:r w:rsidR="0045356A">
        <w:t xml:space="preserve"> </w:t>
      </w:r>
      <w:r w:rsidR="004B0619">
        <w:t xml:space="preserve">The ACMA intends to work with industry to develop </w:t>
      </w:r>
      <w:r w:rsidR="00935743">
        <w:t xml:space="preserve">technical </w:t>
      </w:r>
      <w:r w:rsidR="004B0619">
        <w:t xml:space="preserve">arrangements for RMR. This will include consideration of existing rail safety and communications </w:t>
      </w:r>
      <w:r w:rsidR="00D11738">
        <w:t xml:space="preserve">spectrum licences </w:t>
      </w:r>
      <w:r w:rsidR="004B0619">
        <w:t xml:space="preserve">in the 1800 MHz band as well as any timeframes to deploy services </w:t>
      </w:r>
      <w:r w:rsidR="00692223">
        <w:t xml:space="preserve">in </w:t>
      </w:r>
      <w:r w:rsidR="004B0619">
        <w:t>the 1.9 GHz band</w:t>
      </w:r>
      <w:r w:rsidR="00D11738">
        <w:t>. We note that t</w:t>
      </w:r>
      <w:r w:rsidR="00D11738" w:rsidRPr="00D11738">
        <w:t xml:space="preserve">he outcomes </w:t>
      </w:r>
      <w:r w:rsidR="00D11738" w:rsidRPr="00D11738">
        <w:lastRenderedPageBreak/>
        <w:t xml:space="preserve">of the 1.9 GHz review process, including the identification of a dedicated 10 MHz of spectrum for RMR operation Australia-wide, may be a relevant consideration in the </w:t>
      </w:r>
      <w:r w:rsidR="00D11738">
        <w:t>expiring spectrum licence process for 1800 MHz band spectrum licences</w:t>
      </w:r>
      <w:r w:rsidR="00D11738" w:rsidRPr="00D11738">
        <w:t>.</w:t>
      </w:r>
    </w:p>
    <w:p w14:paraId="1CB373B1" w14:textId="2A876E9B" w:rsidR="00544166" w:rsidRDefault="00544166" w:rsidP="002E3CB3">
      <w:pPr>
        <w:pStyle w:val="ListBullet"/>
        <w:numPr>
          <w:ilvl w:val="0"/>
          <w:numId w:val="0"/>
        </w:numPr>
      </w:pPr>
      <w:bookmarkStart w:id="11" w:name="_Hlk148622831"/>
      <w:bookmarkEnd w:id="2"/>
      <w:r>
        <w:t>The ACMA has formed the view that this combination of measures will best promote the long-term public interest from use of the band</w:t>
      </w:r>
      <w:r w:rsidR="006C6327">
        <w:t>.</w:t>
      </w:r>
      <w:r>
        <w:t xml:space="preserve">  </w:t>
      </w:r>
    </w:p>
    <w:bookmarkEnd w:id="11"/>
    <w:p w14:paraId="54A41C0E" w14:textId="4192181A" w:rsidR="00D71234" w:rsidRPr="00A85D75" w:rsidRDefault="00E50646" w:rsidP="00202537">
      <w:pPr>
        <w:spacing w:before="240"/>
      </w:pPr>
      <w:r w:rsidRPr="002B7478">
        <w:t xml:space="preserve">Based on the outcomes identified in this paper, a summary of the overall proposed configuration for the </w:t>
      </w:r>
      <w:r w:rsidR="003D73E5">
        <w:t>1.9 GHz</w:t>
      </w:r>
      <w:r w:rsidRPr="002B7478">
        <w:t xml:space="preserve"> band is </w:t>
      </w:r>
      <w:r w:rsidRPr="00790FFE">
        <w:t xml:space="preserve">shown in </w:t>
      </w:r>
      <w:r w:rsidR="00333BD3" w:rsidRPr="00790FFE">
        <w:t xml:space="preserve">Figure </w:t>
      </w:r>
      <w:r w:rsidR="008D2938" w:rsidRPr="00AD17E2">
        <w:t>3</w:t>
      </w:r>
      <w:r w:rsidR="00455A75" w:rsidRPr="00AD17E2">
        <w:t xml:space="preserve"> of the ‘</w:t>
      </w:r>
      <w:r w:rsidR="00AD17E2" w:rsidRPr="00AD17E2">
        <w:t>Planning</w:t>
      </w:r>
      <w:r w:rsidR="00455A75" w:rsidRPr="00AD17E2">
        <w:t xml:space="preserve"> outcome</w:t>
      </w:r>
      <w:r w:rsidR="00AD17E2" w:rsidRPr="00AD17E2">
        <w:t>s</w:t>
      </w:r>
      <w:r w:rsidR="00455A75" w:rsidRPr="00AD17E2">
        <w:t>’ section.</w:t>
      </w:r>
    </w:p>
    <w:p w14:paraId="443616D4" w14:textId="6607B240" w:rsidR="00472540" w:rsidRPr="00A85D75" w:rsidRDefault="00654CC2" w:rsidP="00E2254B">
      <w:pPr>
        <w:pStyle w:val="Heading2"/>
      </w:pPr>
      <w:bookmarkStart w:id="12" w:name="_Toc18403199"/>
      <w:bookmarkStart w:id="13" w:name="_Toc21088506"/>
      <w:bookmarkStart w:id="14" w:name="_Toc56950053"/>
      <w:bookmarkStart w:id="15" w:name="_Toc56965675"/>
      <w:bookmarkStart w:id="16" w:name="_Toc150345643"/>
      <w:r>
        <w:t>Next</w:t>
      </w:r>
      <w:r w:rsidR="00472540" w:rsidRPr="00A85D75">
        <w:t xml:space="preserve"> steps</w:t>
      </w:r>
      <w:bookmarkEnd w:id="12"/>
      <w:bookmarkEnd w:id="13"/>
      <w:bookmarkEnd w:id="14"/>
      <w:bookmarkEnd w:id="15"/>
      <w:bookmarkEnd w:id="16"/>
    </w:p>
    <w:p w14:paraId="3F5EFD94" w14:textId="15F375D2" w:rsidR="00BD5268" w:rsidRPr="00A85D75" w:rsidRDefault="00C97CDF" w:rsidP="004D657E">
      <w:pPr>
        <w:pStyle w:val="Paragraph"/>
      </w:pPr>
      <w:r w:rsidRPr="00A85D75">
        <w:t xml:space="preserve">A </w:t>
      </w:r>
      <w:r w:rsidR="00E2254B" w:rsidRPr="00A85D75">
        <w:t>high</w:t>
      </w:r>
      <w:r w:rsidR="00E2254B" w:rsidRPr="002B7478">
        <w:t>-level</w:t>
      </w:r>
      <w:r w:rsidRPr="002B7478">
        <w:t xml:space="preserve"> implementation plan has been developed and is outlined in Table </w:t>
      </w:r>
      <w:r w:rsidR="00461325">
        <w:t>1</w:t>
      </w:r>
      <w:r w:rsidRPr="002B7478">
        <w:t xml:space="preserve"> </w:t>
      </w:r>
      <w:r w:rsidR="000E1DC8">
        <w:t>in</w:t>
      </w:r>
      <w:r w:rsidRPr="002B7478">
        <w:t xml:space="preserve"> the</w:t>
      </w:r>
      <w:r w:rsidR="00024678" w:rsidRPr="002B7478">
        <w:t xml:space="preserve"> ‘</w:t>
      </w:r>
      <w:r w:rsidR="00E7549F">
        <w:t>N</w:t>
      </w:r>
      <w:r w:rsidR="00024678" w:rsidRPr="002B7478">
        <w:rPr>
          <w:u w:color="0000FF"/>
        </w:rPr>
        <w:t>ext steps</w:t>
      </w:r>
      <w:r w:rsidR="00024678" w:rsidRPr="002B7478">
        <w:t>’</w:t>
      </w:r>
      <w:r w:rsidR="00A65560" w:rsidRPr="002B7478">
        <w:t xml:space="preserve"> </w:t>
      </w:r>
      <w:r w:rsidR="00024678" w:rsidRPr="002B7478">
        <w:t>section</w:t>
      </w:r>
      <w:r w:rsidRPr="002B7478">
        <w:t>.</w:t>
      </w:r>
    </w:p>
    <w:p w14:paraId="37159CD4" w14:textId="77777777" w:rsidR="007B0932" w:rsidRPr="00A85D75" w:rsidRDefault="007B0932" w:rsidP="007B0932">
      <w:pPr>
        <w:pStyle w:val="Heading1"/>
      </w:pPr>
      <w:bookmarkStart w:id="17" w:name="_Toc46316352"/>
      <w:bookmarkStart w:id="18" w:name="_Toc56965676"/>
      <w:bookmarkStart w:id="19" w:name="_Toc150345644"/>
      <w:r w:rsidRPr="00A85D75">
        <w:lastRenderedPageBreak/>
        <w:t>Introduction</w:t>
      </w:r>
      <w:bookmarkEnd w:id="17"/>
      <w:bookmarkEnd w:id="18"/>
      <w:bookmarkEnd w:id="19"/>
    </w:p>
    <w:p w14:paraId="204641EF" w14:textId="34798B47" w:rsidR="006C6327" w:rsidRDefault="00673660" w:rsidP="001F0786">
      <w:r w:rsidRPr="00A85D75">
        <w:t xml:space="preserve">The </w:t>
      </w:r>
      <w:r w:rsidR="00763850" w:rsidRPr="00C60091">
        <w:t>1.9 GHz</w:t>
      </w:r>
      <w:r w:rsidR="00763850">
        <w:t xml:space="preserve"> band</w:t>
      </w:r>
      <w:r w:rsidRPr="00A85D75">
        <w:t xml:space="preserve"> </w:t>
      </w:r>
      <w:r w:rsidR="00492FD7">
        <w:t xml:space="preserve">is allocated in the </w:t>
      </w:r>
      <w:hyperlink r:id="rId28" w:history="1">
        <w:r w:rsidR="00492FD7" w:rsidRPr="005308CD">
          <w:rPr>
            <w:rStyle w:val="Hyperlink"/>
            <w:i/>
            <w:iCs/>
          </w:rPr>
          <w:t>Australian Radiofrequency Spectrum Plan 2021</w:t>
        </w:r>
      </w:hyperlink>
      <w:r w:rsidR="00492FD7">
        <w:t xml:space="preserve"> (</w:t>
      </w:r>
      <w:r w:rsidR="00032EE2">
        <w:t>the Spectrum Plan</w:t>
      </w:r>
      <w:r w:rsidR="00492FD7">
        <w:t xml:space="preserve">) to fixed and mobile services on a primary basis. </w:t>
      </w:r>
      <w:r w:rsidR="00935743">
        <w:t>Under the Spectrum Plan,</w:t>
      </w:r>
      <w:r w:rsidR="00492FD7">
        <w:t xml:space="preserve"> the 1900–1920 MHz frequency range </w:t>
      </w:r>
      <w:r w:rsidR="00935743">
        <w:t xml:space="preserve">is currently allocated </w:t>
      </w:r>
      <w:r w:rsidR="00492FD7">
        <w:t xml:space="preserve">for </w:t>
      </w:r>
      <w:r w:rsidR="00616DF9">
        <w:t>PMP</w:t>
      </w:r>
      <w:r w:rsidR="00336450">
        <w:t xml:space="preserve"> services on a primary </w:t>
      </w:r>
      <w:r w:rsidR="00D44D36">
        <w:t>basis and,</w:t>
      </w:r>
      <w:r w:rsidR="001B416C">
        <w:t xml:space="preserve"> </w:t>
      </w:r>
      <w:r w:rsidR="001B416C" w:rsidRPr="00336450">
        <w:t xml:space="preserve">following </w:t>
      </w:r>
      <w:r w:rsidR="001F0786">
        <w:t xml:space="preserve">the </w:t>
      </w:r>
      <w:r w:rsidR="001B416C" w:rsidRPr="00336450">
        <w:t>sunset</w:t>
      </w:r>
      <w:r w:rsidR="001F0786">
        <w:t>ting</w:t>
      </w:r>
      <w:r w:rsidR="001B416C" w:rsidRPr="00336450">
        <w:t xml:space="preserve"> of</w:t>
      </w:r>
      <w:r w:rsidR="001B416C">
        <w:t xml:space="preserve"> the </w:t>
      </w:r>
      <w:r w:rsidR="001B416C" w:rsidRPr="00907F01">
        <w:t>1900</w:t>
      </w:r>
      <w:r w:rsidR="001B416C">
        <w:t>–</w:t>
      </w:r>
      <w:r w:rsidR="001B416C" w:rsidRPr="00907F01">
        <w:t xml:space="preserve">1920 MHz </w:t>
      </w:r>
      <w:r w:rsidR="001B416C">
        <w:t>f</w:t>
      </w:r>
      <w:r w:rsidR="001B416C" w:rsidRPr="00907F01">
        <w:t xml:space="preserve">requency </w:t>
      </w:r>
      <w:r w:rsidR="001B416C">
        <w:t>b</w:t>
      </w:r>
      <w:r w:rsidR="001B416C" w:rsidRPr="00907F01">
        <w:t xml:space="preserve">and </w:t>
      </w:r>
      <w:r w:rsidR="001B416C">
        <w:t>p</w:t>
      </w:r>
      <w:r w:rsidR="001B416C" w:rsidRPr="00907F01">
        <w:t>lan</w:t>
      </w:r>
      <w:r w:rsidR="00336450">
        <w:t xml:space="preserve"> on 1 April 2023</w:t>
      </w:r>
      <w:r w:rsidR="00D44D36">
        <w:t>,</w:t>
      </w:r>
      <w:r w:rsidR="00492FD7">
        <w:t xml:space="preserve"> </w:t>
      </w:r>
      <w:r w:rsidR="00616DF9">
        <w:t>PTP</w:t>
      </w:r>
      <w:r w:rsidR="00492FD7">
        <w:t xml:space="preserve"> services on a </w:t>
      </w:r>
      <w:r w:rsidR="00D17426">
        <w:t xml:space="preserve">primary </w:t>
      </w:r>
      <w:r w:rsidR="00492FD7" w:rsidRPr="00C92D14">
        <w:t>basis</w:t>
      </w:r>
      <w:r w:rsidR="00D17426" w:rsidRPr="00C92D14">
        <w:t xml:space="preserve"> </w:t>
      </w:r>
      <w:r w:rsidR="00492FD7" w:rsidRPr="00C92D14">
        <w:t>in regional and remote areas.</w:t>
      </w:r>
      <w:r w:rsidR="0073622D" w:rsidRPr="00C92D14">
        <w:t xml:space="preserve"> </w:t>
      </w:r>
      <w:r w:rsidR="00935743">
        <w:t>Coordination and licensing</w:t>
      </w:r>
      <w:r w:rsidR="001F0786" w:rsidRPr="00C92D14">
        <w:t xml:space="preserve"> arrangements are de</w:t>
      </w:r>
      <w:r w:rsidR="00935743">
        <w:t>scribed</w:t>
      </w:r>
      <w:r w:rsidR="001F0786" w:rsidRPr="00C92D14">
        <w:t xml:space="preserve"> in </w:t>
      </w:r>
      <w:r w:rsidR="00D50F55" w:rsidRPr="00C92D14">
        <w:t xml:space="preserve">the </w:t>
      </w:r>
      <w:r w:rsidR="001F0786" w:rsidRPr="00C92D14">
        <w:t>Radiocommunications</w:t>
      </w:r>
      <w:r w:rsidR="001F0786">
        <w:t xml:space="preserve"> Assignment and Licensing Instruction (RALI) FX19 and RAL</w:t>
      </w:r>
      <w:r w:rsidR="0073622D">
        <w:t xml:space="preserve">I FX03. </w:t>
      </w:r>
    </w:p>
    <w:p w14:paraId="59E7D9B4" w14:textId="725B071C" w:rsidR="00492FD7" w:rsidRDefault="00492FD7" w:rsidP="001F0786">
      <w:r>
        <w:t>In the 1880–1900 MHz frequency range, the use o</w:t>
      </w:r>
      <w:r w:rsidRPr="007A72E8">
        <w:t xml:space="preserve">f </w:t>
      </w:r>
      <w:r w:rsidRPr="001F08F2">
        <w:t>c</w:t>
      </w:r>
      <w:r w:rsidRPr="001E65C3">
        <w:t xml:space="preserve">ordless </w:t>
      </w:r>
      <w:r w:rsidRPr="001F08F2">
        <w:t>telecommunications</w:t>
      </w:r>
      <w:r w:rsidRPr="000764D8">
        <w:t xml:space="preserve"> </w:t>
      </w:r>
      <w:r w:rsidRPr="001F08F2">
        <w:t>s</w:t>
      </w:r>
      <w:r w:rsidRPr="001E65C3">
        <w:t xml:space="preserve">ystems (CTS) including </w:t>
      </w:r>
      <w:r w:rsidR="006A180A">
        <w:t>D</w:t>
      </w:r>
      <w:r w:rsidR="006A180A" w:rsidRPr="00155D9A">
        <w:t xml:space="preserve">igital </w:t>
      </w:r>
      <w:r w:rsidR="006A180A">
        <w:t>E</w:t>
      </w:r>
      <w:r w:rsidR="006A180A" w:rsidRPr="00155D9A">
        <w:t xml:space="preserve">nhanced </w:t>
      </w:r>
      <w:r w:rsidR="006A180A">
        <w:t>C</w:t>
      </w:r>
      <w:r w:rsidR="006A180A" w:rsidRPr="00155D9A">
        <w:t xml:space="preserve">ordless </w:t>
      </w:r>
      <w:r w:rsidR="006A180A">
        <w:t>T</w:t>
      </w:r>
      <w:r w:rsidR="006A180A" w:rsidRPr="00155D9A">
        <w:t>elecommunications</w:t>
      </w:r>
      <w:r w:rsidR="006A180A" w:rsidRPr="001E65C3">
        <w:t xml:space="preserve"> </w:t>
      </w:r>
      <w:r w:rsidR="006A180A">
        <w:t>(</w:t>
      </w:r>
      <w:r w:rsidRPr="001E65C3">
        <w:t>DECT</w:t>
      </w:r>
      <w:r w:rsidR="006A180A">
        <w:t>)</w:t>
      </w:r>
      <w:r w:rsidRPr="001E65C3">
        <w:t xml:space="preserve"> and the </w:t>
      </w:r>
      <w:r w:rsidR="00E173A9">
        <w:t>p</w:t>
      </w:r>
      <w:r w:rsidRPr="001E65C3">
        <w:t xml:space="preserve">ersonal </w:t>
      </w:r>
      <w:r w:rsidR="00E173A9">
        <w:t>h</w:t>
      </w:r>
      <w:r w:rsidRPr="001E65C3">
        <w:t>andy</w:t>
      </w:r>
      <w:r w:rsidRPr="001F08F2">
        <w:t>-p</w:t>
      </w:r>
      <w:r w:rsidRPr="001E65C3">
        <w:t xml:space="preserve">hone </w:t>
      </w:r>
      <w:r w:rsidR="00E173A9">
        <w:t>s</w:t>
      </w:r>
      <w:r w:rsidRPr="001E65C3">
        <w:t>ystem (P</w:t>
      </w:r>
      <w:r>
        <w:t xml:space="preserve">HS) is authorised under the </w:t>
      </w:r>
      <w:hyperlink r:id="rId29" w:history="1">
        <w:r w:rsidRPr="0098377A">
          <w:rPr>
            <w:rStyle w:val="Hyperlink"/>
          </w:rPr>
          <w:t>Radiocommunications (Cordless Communications Devices) Class Licence 2014</w:t>
        </w:r>
      </w:hyperlink>
      <w:r w:rsidR="005308CD" w:rsidRPr="00F418A5" w:rsidDel="00D8375F">
        <w:t xml:space="preserve"> </w:t>
      </w:r>
      <w:r w:rsidR="005308CD" w:rsidDel="00D8375F">
        <w:t xml:space="preserve">(cordless </w:t>
      </w:r>
      <w:r w:rsidR="00D8375F">
        <w:t>communications devices class licence).</w:t>
      </w:r>
    </w:p>
    <w:p w14:paraId="371E2E5F" w14:textId="6C8E0EC5" w:rsidR="0059030A" w:rsidRDefault="00F04EC3" w:rsidP="00F04EC3">
      <w:r>
        <w:t xml:space="preserve">Before October 2017, </w:t>
      </w:r>
      <w:r w:rsidR="00935743">
        <w:t xml:space="preserve">access to </w:t>
      </w:r>
      <w:r w:rsidRPr="00B53F89">
        <w:t xml:space="preserve">the 1900–1920 MHz </w:t>
      </w:r>
      <w:r>
        <w:t>frequency range</w:t>
      </w:r>
      <w:r w:rsidRPr="00B53F89">
        <w:t xml:space="preserve"> </w:t>
      </w:r>
      <w:r>
        <w:t>in m</w:t>
      </w:r>
      <w:r w:rsidRPr="00B53F89">
        <w:t>etropolitan areas w</w:t>
      </w:r>
      <w:r>
        <w:t>as</w:t>
      </w:r>
      <w:r w:rsidRPr="00B53F89">
        <w:t xml:space="preserve"> </w:t>
      </w:r>
      <w:r w:rsidR="00935743">
        <w:t>authorised by</w:t>
      </w:r>
      <w:r w:rsidRPr="00B53F89">
        <w:t xml:space="preserve"> spectrum licen</w:t>
      </w:r>
      <w:r w:rsidR="00935743">
        <w:t>ces</w:t>
      </w:r>
      <w:r>
        <w:t xml:space="preserve">. At licence expiry, </w:t>
      </w:r>
      <w:r w:rsidR="00935743">
        <w:t xml:space="preserve">spectrum </w:t>
      </w:r>
      <w:r>
        <w:t>licence holders did not seek renewal</w:t>
      </w:r>
      <w:r w:rsidR="00935743">
        <w:t xml:space="preserve"> of their licences</w:t>
      </w:r>
      <w:r>
        <w:t xml:space="preserve">. Consequently, the </w:t>
      </w:r>
      <w:bookmarkStart w:id="20" w:name="_Hlk83812261"/>
      <w:r>
        <w:t xml:space="preserve">frequency range was no longer </w:t>
      </w:r>
      <w:r w:rsidR="00032EE2">
        <w:t xml:space="preserve">made available </w:t>
      </w:r>
      <w:r>
        <w:t xml:space="preserve">for spectrum licensing, with </w:t>
      </w:r>
      <w:hyperlink r:id="rId30" w:history="1">
        <w:r w:rsidRPr="00B56E1E">
          <w:rPr>
            <w:rStyle w:val="Hyperlink"/>
          </w:rPr>
          <w:t>Embargo 76</w:t>
        </w:r>
      </w:hyperlink>
      <w:r>
        <w:t xml:space="preserve"> put in place to preserve future planning options in metropolitan areas while making the band available elsewhere</w:t>
      </w:r>
      <w:r w:rsidRPr="00B53F89">
        <w:t>.</w:t>
      </w:r>
      <w:bookmarkEnd w:id="20"/>
    </w:p>
    <w:p w14:paraId="1BE5D173" w14:textId="089F88AA" w:rsidR="0059030A" w:rsidRDefault="0059030A" w:rsidP="0059030A">
      <w:r>
        <w:t>T</w:t>
      </w:r>
      <w:r w:rsidRPr="00B53F89">
        <w:t>he</w:t>
      </w:r>
      <w:r>
        <w:t xml:space="preserve"> </w:t>
      </w:r>
      <w:r w:rsidRPr="00B53F89">
        <w:t xml:space="preserve">1900–1920 MHz </w:t>
      </w:r>
      <w:r>
        <w:t>frequency range</w:t>
      </w:r>
      <w:r w:rsidRPr="00B53F89">
        <w:t xml:space="preserve"> </w:t>
      </w:r>
      <w:r>
        <w:t>is</w:t>
      </w:r>
      <w:r w:rsidRPr="00B53F89">
        <w:t xml:space="preserve"> identified for </w:t>
      </w:r>
      <w:r>
        <w:t>International Mobile Telecommunications (</w:t>
      </w:r>
      <w:r w:rsidRPr="00B53F89">
        <w:t>IMT</w:t>
      </w:r>
      <w:r>
        <w:t xml:space="preserve">) in the International Telecommunication Union (ITU) Radio Regulations. Current </w:t>
      </w:r>
      <w:r w:rsidRPr="00B53F89">
        <w:t>domestic</w:t>
      </w:r>
      <w:r>
        <w:t xml:space="preserve"> use</w:t>
      </w:r>
      <w:r w:rsidRPr="00B53F89">
        <w:t xml:space="preserve"> for </w:t>
      </w:r>
      <w:r w:rsidR="00D71234" w:rsidRPr="00B53F89">
        <w:t xml:space="preserve">wireless broadband </w:t>
      </w:r>
      <w:r w:rsidR="00D71234">
        <w:t>(</w:t>
      </w:r>
      <w:r>
        <w:t>WBB</w:t>
      </w:r>
      <w:r w:rsidR="00D71234">
        <w:t>)</w:t>
      </w:r>
      <w:r>
        <w:t xml:space="preserve"> </w:t>
      </w:r>
      <w:r w:rsidRPr="00B53F89">
        <w:t xml:space="preserve">services has been </w:t>
      </w:r>
      <w:r>
        <w:t>low, although there has been some recent increase in activity in the band. There is, however, substantial WBB use of spectrum licences in the adjacent bands below 1880 MHz and above 1920 MHz.</w:t>
      </w:r>
    </w:p>
    <w:p w14:paraId="40702F09" w14:textId="2B681121" w:rsidR="00F04EC3" w:rsidRDefault="0059030A" w:rsidP="00F04EC3">
      <w:r>
        <w:t xml:space="preserve">In response to these developments, the ACMA moved the band into the ‘initial investigation’ phase of replanning in its work program in the </w:t>
      </w:r>
      <w:r w:rsidR="00FA61CF">
        <w:t>2020</w:t>
      </w:r>
      <w:r w:rsidR="00F418A5">
        <w:t>–</w:t>
      </w:r>
      <w:r w:rsidR="00FA61CF">
        <w:t xml:space="preserve">24 </w:t>
      </w:r>
      <w:r>
        <w:t>f</w:t>
      </w:r>
      <w:r w:rsidRPr="00F363E2">
        <w:t>ive-</w:t>
      </w:r>
      <w:r>
        <w:t>y</w:t>
      </w:r>
      <w:r w:rsidRPr="00F363E2">
        <w:t xml:space="preserve">ear </w:t>
      </w:r>
      <w:r>
        <w:t>s</w:t>
      </w:r>
      <w:r w:rsidRPr="00F363E2">
        <w:t xml:space="preserve">pectrum </w:t>
      </w:r>
      <w:r>
        <w:t>o</w:t>
      </w:r>
      <w:r w:rsidRPr="00F363E2">
        <w:t xml:space="preserve">utlook </w:t>
      </w:r>
      <w:r>
        <w:t>(</w:t>
      </w:r>
      <w:hyperlink r:id="rId31" w:history="1">
        <w:r w:rsidRPr="004F6D9D">
          <w:rPr>
            <w:rStyle w:val="Hyperlink"/>
          </w:rPr>
          <w:t>FYSO</w:t>
        </w:r>
      </w:hyperlink>
      <w:r>
        <w:t>).</w:t>
      </w:r>
    </w:p>
    <w:p w14:paraId="336220AF" w14:textId="551EC32B" w:rsidR="002753CB" w:rsidRDefault="002753CB" w:rsidP="002753CB">
      <w:pPr>
        <w:pStyle w:val="Paragraph"/>
      </w:pPr>
      <w:r w:rsidRPr="00C60091">
        <w:t xml:space="preserve">The ACMA released </w:t>
      </w:r>
      <w:r>
        <w:t>the</w:t>
      </w:r>
      <w:r w:rsidRPr="00426BF5">
        <w:t xml:space="preserve"> </w:t>
      </w:r>
      <w:hyperlink r:id="rId32" w:history="1">
        <w:r w:rsidRPr="00DE6C8E">
          <w:rPr>
            <w:rStyle w:val="Hyperlink"/>
            <w:i/>
            <w:iCs/>
          </w:rPr>
          <w:t>Exploring future use of the 1.9 GHz band</w:t>
        </w:r>
      </w:hyperlink>
      <w:r>
        <w:rPr>
          <w:iCs/>
        </w:rPr>
        <w:t xml:space="preserve"> discussion paper </w:t>
      </w:r>
      <w:r w:rsidRPr="00C60091">
        <w:t>in November 2021</w:t>
      </w:r>
      <w:r>
        <w:t xml:space="preserve">. </w:t>
      </w:r>
      <w:r w:rsidRPr="00C60091">
        <w:t xml:space="preserve">The consultation closed </w:t>
      </w:r>
      <w:r w:rsidR="00F418A5">
        <w:t>i</w:t>
      </w:r>
      <w:r w:rsidRPr="00C60091">
        <w:t>n February 2022</w:t>
      </w:r>
      <w:r w:rsidR="00F418A5">
        <w:t>, with</w:t>
      </w:r>
      <w:r w:rsidR="00F418A5" w:rsidRPr="00C60091">
        <w:t xml:space="preserve"> </w:t>
      </w:r>
      <w:r>
        <w:t xml:space="preserve">22 </w:t>
      </w:r>
      <w:r w:rsidRPr="00C60091">
        <w:t>responses</w:t>
      </w:r>
      <w:r w:rsidR="00F418A5">
        <w:t xml:space="preserve"> </w:t>
      </w:r>
      <w:r w:rsidR="00F418A5" w:rsidRPr="00C60091">
        <w:t>received</w:t>
      </w:r>
      <w:r w:rsidRPr="00C60091">
        <w:t>.</w:t>
      </w:r>
      <w:r>
        <w:t xml:space="preserve"> This paper</w:t>
      </w:r>
      <w:r w:rsidRPr="00C60091">
        <w:t xml:space="preserve"> identif</w:t>
      </w:r>
      <w:r>
        <w:t xml:space="preserve">ied </w:t>
      </w:r>
      <w:r w:rsidRPr="00C60091">
        <w:t xml:space="preserve">domestic and international considerations for the future </w:t>
      </w:r>
      <w:r>
        <w:t xml:space="preserve">use </w:t>
      </w:r>
      <w:r w:rsidRPr="00C60091">
        <w:t xml:space="preserve">of the </w:t>
      </w:r>
      <w:r w:rsidR="00D44D36">
        <w:t>1.9 GHz</w:t>
      </w:r>
      <w:r w:rsidRPr="00C60091">
        <w:t xml:space="preserve"> band</w:t>
      </w:r>
      <w:r>
        <w:t xml:space="preserve"> and</w:t>
      </w:r>
      <w:r w:rsidRPr="00C60091">
        <w:t xml:space="preserve"> explor</w:t>
      </w:r>
      <w:r>
        <w:t>ed</w:t>
      </w:r>
      <w:r w:rsidRPr="00C60091">
        <w:t xml:space="preserve"> views on possible changes in planning arrangements for the band. </w:t>
      </w:r>
    </w:p>
    <w:p w14:paraId="4DD1F6F8" w14:textId="4D3FE7D2" w:rsidR="00623B4C" w:rsidRDefault="002753CB" w:rsidP="002753CB">
      <w:pPr>
        <w:pStyle w:val="Paragraph"/>
      </w:pPr>
      <w:r>
        <w:t xml:space="preserve">Following the discussion paper, the ACMA released the </w:t>
      </w:r>
      <w:hyperlink r:id="rId33" w:history="1">
        <w:r w:rsidR="00F418A5">
          <w:rPr>
            <w:rStyle w:val="Hyperlink"/>
          </w:rPr>
          <w:t>Replanning of the 1880–1920 MHz band</w:t>
        </w:r>
      </w:hyperlink>
      <w:r>
        <w:t xml:space="preserve"> </w:t>
      </w:r>
      <w:r w:rsidR="00F418A5">
        <w:t xml:space="preserve">options paper </w:t>
      </w:r>
      <w:r>
        <w:t xml:space="preserve">in November 2022. The consultation closed </w:t>
      </w:r>
      <w:r w:rsidR="00F418A5">
        <w:t>i</w:t>
      </w:r>
      <w:r>
        <w:t>n March 2023</w:t>
      </w:r>
      <w:r w:rsidR="00F418A5">
        <w:t>,</w:t>
      </w:r>
      <w:r w:rsidR="00623B4C">
        <w:t xml:space="preserve"> with 11 responses received from industry and interested parties.</w:t>
      </w:r>
    </w:p>
    <w:p w14:paraId="568CB1FD" w14:textId="04E0B9A8" w:rsidR="002753CB" w:rsidRDefault="00623B4C" w:rsidP="002753CB">
      <w:pPr>
        <w:pStyle w:val="Paragraph"/>
      </w:pPr>
      <w:r w:rsidRPr="00623B4C">
        <w:t xml:space="preserve">A </w:t>
      </w:r>
      <w:r w:rsidR="00F418A5">
        <w:t>‘</w:t>
      </w:r>
      <w:r w:rsidRPr="00623B4C">
        <w:t>reply to comment</w:t>
      </w:r>
      <w:r w:rsidR="00F418A5">
        <w:t>’</w:t>
      </w:r>
      <w:r w:rsidRPr="00623B4C">
        <w:t xml:space="preserve"> period </w:t>
      </w:r>
      <w:r w:rsidR="00F418A5">
        <w:t>was then held</w:t>
      </w:r>
      <w:r>
        <w:t xml:space="preserve">, </w:t>
      </w:r>
      <w:r w:rsidR="00950386">
        <w:t xml:space="preserve">to </w:t>
      </w:r>
      <w:r>
        <w:t xml:space="preserve">allow </w:t>
      </w:r>
      <w:r w:rsidR="00950386">
        <w:t xml:space="preserve">replies to the </w:t>
      </w:r>
      <w:r w:rsidRPr="0071191E">
        <w:t>responses to the submissions we received for the options paper.</w:t>
      </w:r>
      <w:r>
        <w:t xml:space="preserve"> We received 5 </w:t>
      </w:r>
      <w:r w:rsidR="00950386">
        <w:t>replies</w:t>
      </w:r>
      <w:r>
        <w:t>.</w:t>
      </w:r>
    </w:p>
    <w:p w14:paraId="61368F7B" w14:textId="6E9A28EB" w:rsidR="007B0932" w:rsidRDefault="00F418A5" w:rsidP="007B0932">
      <w:r>
        <w:t>T</w:t>
      </w:r>
      <w:r w:rsidR="007B0932" w:rsidRPr="00A85D75">
        <w:t xml:space="preserve">his paper </w:t>
      </w:r>
      <w:r w:rsidR="006F1308" w:rsidRPr="00A85D75">
        <w:t>present</w:t>
      </w:r>
      <w:r>
        <w:t>s</w:t>
      </w:r>
      <w:r w:rsidR="007B0932" w:rsidRPr="00A85D75">
        <w:t xml:space="preserve"> </w:t>
      </w:r>
      <w:r w:rsidR="00DE6B4F" w:rsidRPr="00A85D75">
        <w:t xml:space="preserve">the ACMA’s replanning </w:t>
      </w:r>
      <w:r w:rsidR="00032EE2">
        <w:t>outcomes for</w:t>
      </w:r>
      <w:r w:rsidR="00032EE2" w:rsidRPr="00A85D75">
        <w:t xml:space="preserve"> </w:t>
      </w:r>
      <w:r w:rsidR="00DE6B4F" w:rsidRPr="00A85D75">
        <w:t xml:space="preserve">the </w:t>
      </w:r>
      <w:r w:rsidR="00D44D36">
        <w:t>1.9</w:t>
      </w:r>
      <w:r w:rsidR="0073622D">
        <w:t> </w:t>
      </w:r>
      <w:r w:rsidR="00D44D36">
        <w:t>GHz</w:t>
      </w:r>
      <w:r w:rsidR="00DE6B4F" w:rsidRPr="00A85D75">
        <w:t xml:space="preserve"> band</w:t>
      </w:r>
      <w:r w:rsidR="007B0932" w:rsidRPr="00A85D75">
        <w:t xml:space="preserve"> </w:t>
      </w:r>
      <w:r w:rsidR="00F81507" w:rsidRPr="00A85D75">
        <w:t>and</w:t>
      </w:r>
      <w:r w:rsidR="00EC1F1D" w:rsidRPr="00A85D75">
        <w:t xml:space="preserve"> </w:t>
      </w:r>
      <w:r w:rsidR="000A06F0" w:rsidRPr="00A85D75">
        <w:t>inform</w:t>
      </w:r>
      <w:r w:rsidR="004A1112">
        <w:t>s</w:t>
      </w:r>
      <w:r w:rsidR="000A06F0" w:rsidRPr="00A85D75">
        <w:t xml:space="preserve"> stakeholders about the future </w:t>
      </w:r>
      <w:r w:rsidR="00D8154D" w:rsidRPr="00A85D75">
        <w:t xml:space="preserve">use </w:t>
      </w:r>
      <w:r w:rsidR="000A06F0" w:rsidRPr="00A85D75">
        <w:t>of the band</w:t>
      </w:r>
      <w:r w:rsidR="006C6327">
        <w:t>.</w:t>
      </w:r>
    </w:p>
    <w:p w14:paraId="40741D8A" w14:textId="50B9E1B2" w:rsidR="000C0D21" w:rsidRPr="00A85D75" w:rsidRDefault="000C0D21" w:rsidP="000C0D21">
      <w:pPr>
        <w:pStyle w:val="Heading2"/>
      </w:pPr>
      <w:bookmarkStart w:id="21" w:name="_Toc457809930"/>
      <w:bookmarkStart w:id="22" w:name="_Ref461109606"/>
      <w:bookmarkStart w:id="23" w:name="_Toc466017060"/>
      <w:bookmarkStart w:id="24" w:name="_Toc468438955"/>
      <w:bookmarkStart w:id="25" w:name="_Toc468705310"/>
      <w:bookmarkStart w:id="26" w:name="_Ref498078173"/>
      <w:bookmarkStart w:id="27" w:name="_Ref498436813"/>
      <w:bookmarkStart w:id="28" w:name="_Toc519765102"/>
      <w:bookmarkStart w:id="29" w:name="_Toc521585768"/>
      <w:bookmarkStart w:id="30" w:name="_Toc525132230"/>
      <w:bookmarkStart w:id="31" w:name="_Toc5000062"/>
      <w:bookmarkStart w:id="32" w:name="_Toc34727289"/>
      <w:bookmarkStart w:id="33" w:name="_Toc46316354"/>
      <w:bookmarkStart w:id="34" w:name="_Toc56965677"/>
      <w:bookmarkStart w:id="35" w:name="_Toc150345645"/>
      <w:r w:rsidRPr="00A85D75">
        <w:lastRenderedPageBreak/>
        <w:t>Legislative and policy environment</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19DFEFD" w14:textId="60A01DAC" w:rsidR="000C0D21" w:rsidRPr="00A85D75" w:rsidRDefault="000C0D21" w:rsidP="000C0D21">
      <w:r w:rsidRPr="00A85D75">
        <w:t>Managing spectrum efficiently and effectively for the benefit of all Australians is a key priority for the ACMA.</w:t>
      </w:r>
      <w:r w:rsidRPr="00A85D75">
        <w:rPr>
          <w:vertAlign w:val="superscript"/>
        </w:rPr>
        <w:footnoteReference w:id="2"/>
      </w:r>
      <w:r w:rsidRPr="00A85D75">
        <w:t xml:space="preserve"> </w:t>
      </w:r>
    </w:p>
    <w:p w14:paraId="799F287F" w14:textId="3130131A" w:rsidR="006B1E26" w:rsidRDefault="006B1E26" w:rsidP="006B1E26">
      <w:pPr>
        <w:pStyle w:val="Paragraphbeforelist"/>
      </w:pPr>
      <w:bookmarkStart w:id="36" w:name="_Toc56965680"/>
      <w:r>
        <w:t xml:space="preserve">The ACMA’s decisions are guided by the object of the </w:t>
      </w:r>
      <w:hyperlink r:id="rId34" w:history="1">
        <w:r w:rsidRPr="00950386">
          <w:rPr>
            <w:rStyle w:val="Hyperlink"/>
            <w:i/>
            <w:iCs/>
          </w:rPr>
          <w:t>Radiocommunications Act 1992</w:t>
        </w:r>
      </w:hyperlink>
      <w:r w:rsidRPr="00623B4C">
        <w:t xml:space="preserve"> </w:t>
      </w:r>
      <w:r>
        <w:t xml:space="preserve"> to promote the long</w:t>
      </w:r>
      <w:r>
        <w:rPr>
          <w:rFonts w:ascii="Cambria Math" w:hAnsi="Cambria Math" w:cs="Cambria Math"/>
        </w:rPr>
        <w:noBreakHyphen/>
      </w:r>
      <w:r>
        <w:t>term public interest derived from the use of the spectrum by managing the spectrum in a manner that:</w:t>
      </w:r>
    </w:p>
    <w:p w14:paraId="69E1883F" w14:textId="77777777" w:rsidR="006B1E26" w:rsidRDefault="006B1E26" w:rsidP="009C17DC">
      <w:pPr>
        <w:pStyle w:val="ListParagraph"/>
        <w:numPr>
          <w:ilvl w:val="0"/>
          <w:numId w:val="11"/>
        </w:numPr>
        <w:spacing w:after="80"/>
        <w:ind w:right="17" w:hanging="357"/>
        <w:contextualSpacing w:val="0"/>
        <w:rPr>
          <w:rFonts w:cs="Arial"/>
          <w:szCs w:val="20"/>
        </w:rPr>
      </w:pPr>
      <w:r>
        <w:rPr>
          <w:rFonts w:cs="Arial"/>
          <w:szCs w:val="20"/>
        </w:rPr>
        <w:t xml:space="preserve">facilitates the efficient planning, </w:t>
      </w:r>
      <w:proofErr w:type="gramStart"/>
      <w:r>
        <w:rPr>
          <w:rFonts w:cs="Arial"/>
          <w:szCs w:val="20"/>
        </w:rPr>
        <w:t>allocation</w:t>
      </w:r>
      <w:proofErr w:type="gramEnd"/>
      <w:r>
        <w:rPr>
          <w:rFonts w:cs="Arial"/>
          <w:szCs w:val="20"/>
        </w:rPr>
        <w:t xml:space="preserve"> and use of the spectrum</w:t>
      </w:r>
    </w:p>
    <w:p w14:paraId="0C34B953" w14:textId="77777777" w:rsidR="006B1E26" w:rsidRDefault="006B1E26" w:rsidP="009C17DC">
      <w:pPr>
        <w:pStyle w:val="ListParagraph"/>
        <w:numPr>
          <w:ilvl w:val="0"/>
          <w:numId w:val="11"/>
        </w:numPr>
        <w:spacing w:after="80"/>
        <w:ind w:right="17" w:hanging="357"/>
        <w:contextualSpacing w:val="0"/>
        <w:rPr>
          <w:rFonts w:cs="Arial"/>
          <w:szCs w:val="20"/>
        </w:rPr>
      </w:pPr>
      <w:r>
        <w:rPr>
          <w:rFonts w:cs="Arial"/>
          <w:szCs w:val="20"/>
        </w:rPr>
        <w:t>facilitates the use of the spectrum for:</w:t>
      </w:r>
    </w:p>
    <w:p w14:paraId="5DB64FDC" w14:textId="77777777" w:rsidR="006B1E26" w:rsidRDefault="006B1E26" w:rsidP="009C17DC">
      <w:pPr>
        <w:pStyle w:val="ListParagraph"/>
        <w:numPr>
          <w:ilvl w:val="1"/>
          <w:numId w:val="12"/>
        </w:numPr>
        <w:spacing w:after="80"/>
        <w:ind w:left="709" w:right="17" w:hanging="357"/>
        <w:contextualSpacing w:val="0"/>
        <w:rPr>
          <w:rFonts w:cs="Arial"/>
          <w:szCs w:val="20"/>
        </w:rPr>
      </w:pPr>
      <w:r>
        <w:rPr>
          <w:rFonts w:cs="Arial"/>
          <w:szCs w:val="20"/>
        </w:rPr>
        <w:t>commercial purposes</w:t>
      </w:r>
    </w:p>
    <w:p w14:paraId="3622994B" w14:textId="77777777" w:rsidR="006B1E26" w:rsidRDefault="006B1E26" w:rsidP="009C17DC">
      <w:pPr>
        <w:pStyle w:val="ListParagraph"/>
        <w:numPr>
          <w:ilvl w:val="1"/>
          <w:numId w:val="12"/>
        </w:numPr>
        <w:spacing w:after="80"/>
        <w:ind w:left="709" w:right="17" w:hanging="357"/>
        <w:contextualSpacing w:val="0"/>
        <w:rPr>
          <w:rFonts w:cs="Arial"/>
          <w:szCs w:val="20"/>
        </w:rPr>
      </w:pPr>
      <w:r>
        <w:rPr>
          <w:rFonts w:cs="Arial"/>
          <w:szCs w:val="20"/>
        </w:rPr>
        <w:t xml:space="preserve">defence, national </w:t>
      </w:r>
      <w:proofErr w:type="gramStart"/>
      <w:r>
        <w:rPr>
          <w:rFonts w:cs="Arial"/>
          <w:szCs w:val="20"/>
        </w:rPr>
        <w:t>security</w:t>
      </w:r>
      <w:proofErr w:type="gramEnd"/>
      <w:r>
        <w:rPr>
          <w:rFonts w:cs="Arial"/>
          <w:szCs w:val="20"/>
        </w:rPr>
        <w:t xml:space="preserve"> and other non</w:t>
      </w:r>
      <w:r>
        <w:rPr>
          <w:rFonts w:ascii="Cambria Math" w:hAnsi="Cambria Math" w:cs="Cambria Math"/>
          <w:szCs w:val="20"/>
        </w:rPr>
        <w:noBreakHyphen/>
      </w:r>
      <w:r>
        <w:rPr>
          <w:rFonts w:cs="Arial"/>
          <w:szCs w:val="20"/>
        </w:rPr>
        <w:t>commercial purposes (including public safety and community purposes)</w:t>
      </w:r>
    </w:p>
    <w:p w14:paraId="685F9B13" w14:textId="77777777" w:rsidR="006B1E26" w:rsidRDefault="006B1E26" w:rsidP="009C17DC">
      <w:pPr>
        <w:pStyle w:val="ListParagraph"/>
        <w:numPr>
          <w:ilvl w:val="0"/>
          <w:numId w:val="11"/>
        </w:numPr>
        <w:spacing w:line="276" w:lineRule="auto"/>
        <w:ind w:right="16"/>
        <w:rPr>
          <w:rFonts w:cs="Arial"/>
          <w:szCs w:val="20"/>
        </w:rPr>
      </w:pPr>
      <w:r>
        <w:rPr>
          <w:rFonts w:cs="Arial"/>
          <w:szCs w:val="20"/>
        </w:rPr>
        <w:t>supports the communications policy objectives of the Australian Government.</w:t>
      </w:r>
    </w:p>
    <w:p w14:paraId="7A09CC4F" w14:textId="77777777" w:rsidR="000C0D21" w:rsidRPr="00A85D75" w:rsidRDefault="000C0D21" w:rsidP="007F36D5">
      <w:pPr>
        <w:pStyle w:val="Heading2"/>
      </w:pPr>
      <w:bookmarkStart w:id="37" w:name="_Toc150345646"/>
      <w:r w:rsidRPr="00A85D75">
        <w:t>Licensing arrangements</w:t>
      </w:r>
      <w:bookmarkEnd w:id="36"/>
      <w:bookmarkEnd w:id="37"/>
    </w:p>
    <w:p w14:paraId="64EFDCF2" w14:textId="35030DA3" w:rsidR="000C0D21" w:rsidRPr="00A85D75" w:rsidRDefault="000C0D21" w:rsidP="000C0D21">
      <w:r w:rsidRPr="00A85D75">
        <w:t xml:space="preserve">There are </w:t>
      </w:r>
      <w:r w:rsidR="00E97D40">
        <w:t>3</w:t>
      </w:r>
      <w:r w:rsidR="00E97D40" w:rsidRPr="00A85D75">
        <w:t xml:space="preserve"> </w:t>
      </w:r>
      <w:r w:rsidRPr="00A85D75">
        <w:t xml:space="preserve">licensing approaches available to the ACMA for authorising access to spectrum: spectrum, </w:t>
      </w:r>
      <w:proofErr w:type="gramStart"/>
      <w:r w:rsidRPr="00A85D75">
        <w:t>apparatus</w:t>
      </w:r>
      <w:proofErr w:type="gramEnd"/>
      <w:r w:rsidRPr="00A85D75">
        <w:t xml:space="preserve"> and class licences. These approaches influence how spectrum replanning options can be developed and implemented. </w:t>
      </w:r>
    </w:p>
    <w:p w14:paraId="60FC1FA1" w14:textId="717E3C6B" w:rsidR="000C0D21" w:rsidRPr="00A85D75" w:rsidRDefault="000C0D21" w:rsidP="000C0D21">
      <w:r w:rsidRPr="00A85D75">
        <w:t xml:space="preserve">A spectrum licence authorises the operation of devices within a defined frequency range and geographic area, with a high degree of exclusivity. The geographic area can vary in size and can comprise the entire country. Spectrum licences are usually allocated by an auction and have </w:t>
      </w:r>
      <w:r w:rsidR="00EB73CA" w:rsidRPr="00A85D75">
        <w:t>typically</w:t>
      </w:r>
      <w:r w:rsidRPr="00A85D75">
        <w:t xml:space="preserve"> been utilised </w:t>
      </w:r>
      <w:r w:rsidR="00EB73CA" w:rsidRPr="00A85D75">
        <w:t xml:space="preserve">in </w:t>
      </w:r>
      <w:r w:rsidRPr="00A85D75">
        <w:t xml:space="preserve">bands used to deploy </w:t>
      </w:r>
      <w:r w:rsidRPr="00885DA7">
        <w:t>commercial mobile broadband networks</w:t>
      </w:r>
      <w:r w:rsidR="00EB73CA" w:rsidRPr="00885DA7">
        <w:t>.</w:t>
      </w:r>
      <w:r w:rsidRPr="00885DA7">
        <w:t xml:space="preserve"> Spectrum licences may be allocated for up to </w:t>
      </w:r>
      <w:r w:rsidR="00885DA7" w:rsidRPr="00885DA7">
        <w:t>20</w:t>
      </w:r>
      <w:r w:rsidRPr="00885DA7">
        <w:t xml:space="preserve"> years.</w:t>
      </w:r>
    </w:p>
    <w:p w14:paraId="633B7A7B" w14:textId="6051694F" w:rsidR="000C0D21" w:rsidRPr="00A85D75" w:rsidRDefault="000C0D21" w:rsidP="000C0D21">
      <w:r w:rsidRPr="00A85D75">
        <w:t>An inherent feature of spectrum licensing is technological flexibility</w:t>
      </w:r>
      <w:r w:rsidR="00E97D40">
        <w:t xml:space="preserve"> – </w:t>
      </w:r>
      <w:r w:rsidRPr="00A85D75">
        <w:t>that is, the licence conditions and associated technical framework, while usually optimised for an expected technology, specify generic technical conditions</w:t>
      </w:r>
      <w:r w:rsidRPr="00A85D75">
        <w:rPr>
          <w:vertAlign w:val="superscript"/>
        </w:rPr>
        <w:footnoteReference w:id="3"/>
      </w:r>
      <w:r w:rsidRPr="00A85D75">
        <w:t xml:space="preserve"> and </w:t>
      </w:r>
      <w:r w:rsidR="00950386">
        <w:t xml:space="preserve">generally </w:t>
      </w:r>
      <w:r w:rsidRPr="00A85D75">
        <w:t xml:space="preserve">do not expressly mandate or limit specific technologies or services. This allows a licensee to deploy any technology that complies with the conditions of the licence. It is up to the licensee to manage interference between their devices (note that the adoption of international standards within the technical framework mitigates the potential for interference between devices). Spectrum licences are more conducive to secondary trading than apparatus licences, due to design features such as </w:t>
      </w:r>
      <w:r w:rsidRPr="00A85D75" w:rsidDel="00950386">
        <w:t xml:space="preserve">their </w:t>
      </w:r>
      <w:r w:rsidRPr="00A85D75">
        <w:t>ability to be sub-divided.</w:t>
      </w:r>
    </w:p>
    <w:p w14:paraId="7BD6AF93" w14:textId="3E9338A5" w:rsidR="000C0D21" w:rsidRPr="00A85D75" w:rsidRDefault="000C0D21" w:rsidP="000C0D21">
      <w:pPr>
        <w:pStyle w:val="Paragraph"/>
      </w:pPr>
      <w:r w:rsidRPr="00A85D75">
        <w:t>An apparatus licence</w:t>
      </w:r>
      <w:r w:rsidR="00950386">
        <w:t xml:space="preserve"> generally</w:t>
      </w:r>
      <w:r w:rsidRPr="00A85D75">
        <w:t xml:space="preserve"> authorises the use of a radiocommunications device (or group of devices) operating under a specific radiocommunications service type, in a specific </w:t>
      </w:r>
      <w:r w:rsidRPr="007D2D1C">
        <w:t>frequency range, and traditionally at one or more specific geographic locations</w:t>
      </w:r>
      <w:r w:rsidRPr="007D2D1C">
        <w:rPr>
          <w:szCs w:val="20"/>
        </w:rPr>
        <w:t xml:space="preserve"> </w:t>
      </w:r>
      <w:r w:rsidRPr="007D2D1C">
        <w:t xml:space="preserve">for a period of up to </w:t>
      </w:r>
      <w:r w:rsidR="007D2D1C" w:rsidRPr="007D2D1C">
        <w:t>20</w:t>
      </w:r>
      <w:r w:rsidR="00E97D40" w:rsidRPr="007D2D1C">
        <w:t xml:space="preserve"> </w:t>
      </w:r>
      <w:r w:rsidRPr="007D2D1C">
        <w:t xml:space="preserve">years. </w:t>
      </w:r>
      <w:r w:rsidR="00935743">
        <w:t>Apparatus licences</w:t>
      </w:r>
      <w:r w:rsidRPr="00A85D75">
        <w:t xml:space="preserve"> are typically issued</w:t>
      </w:r>
      <w:r w:rsidR="00935743">
        <w:t xml:space="preserve"> by the ACMA</w:t>
      </w:r>
      <w:r w:rsidRPr="00A85D75">
        <w:t xml:space="preserve"> ‘over</w:t>
      </w:r>
      <w:r w:rsidR="00024C51">
        <w:t xml:space="preserve"> </w:t>
      </w:r>
      <w:r w:rsidRPr="00A85D75">
        <w:t>the</w:t>
      </w:r>
      <w:r w:rsidR="00024C51">
        <w:t xml:space="preserve"> </w:t>
      </w:r>
      <w:r w:rsidRPr="00A85D75">
        <w:t>counter’</w:t>
      </w:r>
      <w:r w:rsidR="00935743">
        <w:t>, consistent with administrative policy published by the ACMA (</w:t>
      </w:r>
      <w:r w:rsidR="00F76DF2">
        <w:t>for example</w:t>
      </w:r>
      <w:r w:rsidR="00935743">
        <w:t>, RALIs)</w:t>
      </w:r>
      <w:r w:rsidRPr="00A85D75">
        <w:t xml:space="preserve">. </w:t>
      </w:r>
      <w:hyperlink r:id="rId35" w:history="1">
        <w:r w:rsidR="00F76DF2">
          <w:rPr>
            <w:rStyle w:val="Hyperlink"/>
          </w:rPr>
          <w:t>Taxes and cost recovery charges apply</w:t>
        </w:r>
      </w:hyperlink>
      <w:r w:rsidR="00950386" w:rsidRPr="003E6842">
        <w:t xml:space="preserve"> in relation to</w:t>
      </w:r>
      <w:r w:rsidR="00950386" w:rsidRPr="00A85D75">
        <w:t xml:space="preserve"> apparatus licences, which cover our costs and </w:t>
      </w:r>
      <w:r w:rsidR="00950386">
        <w:t>incentivise licensees</w:t>
      </w:r>
      <w:r w:rsidR="00950386" w:rsidRPr="00A85D75">
        <w:t xml:space="preserve"> to use spectrum efficiently</w:t>
      </w:r>
      <w:r w:rsidR="004604C0">
        <w:t>.</w:t>
      </w:r>
    </w:p>
    <w:p w14:paraId="761A9402" w14:textId="3DF14C24" w:rsidR="000C0D21" w:rsidRPr="00A85D75" w:rsidRDefault="000C0D21" w:rsidP="000C0D21">
      <w:r w:rsidRPr="00A85D75">
        <w:t xml:space="preserve">The ACMA </w:t>
      </w:r>
      <w:r w:rsidR="007B5BEB">
        <w:t>has also</w:t>
      </w:r>
      <w:r w:rsidRPr="00A85D75">
        <w:t xml:space="preserve"> created the </w:t>
      </w:r>
      <w:hyperlink r:id="rId36">
        <w:r w:rsidRPr="00A85D75">
          <w:rPr>
            <w:rStyle w:val="Hyperlink"/>
          </w:rPr>
          <w:t>area-wide licence</w:t>
        </w:r>
      </w:hyperlink>
      <w:r w:rsidR="00F76DF2" w:rsidRPr="00B84285">
        <w:t>.</w:t>
      </w:r>
      <w:r w:rsidR="00950386" w:rsidRPr="003E6842">
        <w:rPr>
          <w:vertAlign w:val="superscript"/>
        </w:rPr>
        <w:footnoteReference w:id="4"/>
      </w:r>
      <w:r w:rsidRPr="00A85D75">
        <w:t xml:space="preserve"> This authorises the operation of one or more radiocommunications </w:t>
      </w:r>
      <w:r w:rsidR="00950386">
        <w:t>transmitters</w:t>
      </w:r>
      <w:r w:rsidRPr="00A85D75">
        <w:t xml:space="preserve"> in a defined geographic area within </w:t>
      </w:r>
      <w:r w:rsidRPr="00A85D75">
        <w:lastRenderedPageBreak/>
        <w:t>frequencies specified in the licence, subject to the conditions included on the issued licence</w:t>
      </w:r>
      <w:r w:rsidR="00950386">
        <w:t xml:space="preserve"> and in any applicable licence condition determination</w:t>
      </w:r>
      <w:r w:rsidRPr="00A85D75">
        <w:t>. The licence type is</w:t>
      </w:r>
      <w:r w:rsidRPr="00A85D75" w:rsidDel="00950386">
        <w:t xml:space="preserve"> </w:t>
      </w:r>
      <w:r w:rsidRPr="00A85D75">
        <w:t>scalable, enabling its use for authorising different</w:t>
      </w:r>
      <w:r w:rsidR="00E97D40">
        <w:t xml:space="preserve"> </w:t>
      </w:r>
      <w:r w:rsidRPr="00A85D75">
        <w:t xml:space="preserve">sized geographic areas and bandwidths. Unlike </w:t>
      </w:r>
      <w:r w:rsidR="00950386">
        <w:t>other transmitter</w:t>
      </w:r>
      <w:r w:rsidRPr="00A85D75">
        <w:t xml:space="preserve"> licence types</w:t>
      </w:r>
      <w:r w:rsidR="00E97D40">
        <w:t xml:space="preserve"> – </w:t>
      </w:r>
      <w:r w:rsidRPr="00A85D75">
        <w:t>which typically align with specific uses and purposes</w:t>
      </w:r>
      <w:r w:rsidR="00E97D40">
        <w:t xml:space="preserve"> – </w:t>
      </w:r>
      <w:r w:rsidRPr="00A85D75">
        <w:t xml:space="preserve">the area-wide licence </w:t>
      </w:r>
      <w:r w:rsidR="00EB79CE">
        <w:t>can</w:t>
      </w:r>
      <w:r w:rsidRPr="00A85D75">
        <w:t xml:space="preserve"> authoris</w:t>
      </w:r>
      <w:r w:rsidR="00EB79CE">
        <w:t>e</w:t>
      </w:r>
      <w:r w:rsidRPr="00A85D75">
        <w:t xml:space="preserve"> a variety of services, uses, applications and technologies. </w:t>
      </w:r>
    </w:p>
    <w:p w14:paraId="74AD096F" w14:textId="7C267BE9" w:rsidR="000C0D21" w:rsidRPr="00A85D75" w:rsidRDefault="000C0D21" w:rsidP="000C0D21">
      <w:r w:rsidRPr="00A85D75">
        <w:t xml:space="preserve">Class licences are a standing authorisation to access spectrum without the need to apply to the ACMA for an individual licence (hence no </w:t>
      </w:r>
      <w:r w:rsidR="00EB79CE">
        <w:t>taxes or charges</w:t>
      </w:r>
      <w:r w:rsidRPr="00A85D75">
        <w:t xml:space="preserve"> are paid), subject to the conditions of the class licence. These conditions</w:t>
      </w:r>
      <w:r w:rsidR="00EB79CE">
        <w:t xml:space="preserve"> may</w:t>
      </w:r>
      <w:r w:rsidRPr="00A85D75">
        <w:t xml:space="preserve"> include technical and geographic matters and</w:t>
      </w:r>
      <w:r w:rsidR="00EB79CE">
        <w:t xml:space="preserve"> may</w:t>
      </w:r>
      <w:r w:rsidRPr="00A85D75">
        <w:t xml:space="preserve"> pertain to the type of use or class of user. </w:t>
      </w:r>
    </w:p>
    <w:p w14:paraId="2D4FD924" w14:textId="7B352AE8" w:rsidR="000C0D21" w:rsidRPr="007B5BEB" w:rsidRDefault="000C0D21" w:rsidP="00C0269B">
      <w:pPr>
        <w:pStyle w:val="Heading2"/>
      </w:pPr>
      <w:bookmarkStart w:id="38" w:name="_Toc56965681"/>
      <w:bookmarkStart w:id="39" w:name="_Toc150345647"/>
      <w:r w:rsidRPr="007B5BEB">
        <w:t xml:space="preserve">Spectrum planning </w:t>
      </w:r>
      <w:r w:rsidR="00A219A5" w:rsidRPr="007B5BEB">
        <w:t xml:space="preserve">outcomes </w:t>
      </w:r>
      <w:r w:rsidRPr="007B5BEB">
        <w:t>development</w:t>
      </w:r>
      <w:bookmarkEnd w:id="38"/>
      <w:bookmarkEnd w:id="39"/>
    </w:p>
    <w:p w14:paraId="6B4A109E" w14:textId="4339FEAB" w:rsidR="000C0D21" w:rsidRPr="00A85D75" w:rsidRDefault="000C0D21" w:rsidP="00B60874">
      <w:pPr>
        <w:pStyle w:val="Paragraph"/>
      </w:pPr>
      <w:r w:rsidRPr="00A85D75">
        <w:t xml:space="preserve">We are guided in our spectrum management functions by </w:t>
      </w:r>
      <w:hyperlink r:id="rId37" w:history="1">
        <w:r w:rsidR="00A77932">
          <w:rPr>
            <w:rStyle w:val="Hyperlink"/>
          </w:rPr>
          <w:t>the object of the Radiocommunications Act</w:t>
        </w:r>
      </w:hyperlink>
      <w:r w:rsidRPr="00A85D75">
        <w:t xml:space="preserve">, set out in section 3. A balanced application of regulatory and market mechanisms is often necessary to achieve key elements of the object of the </w:t>
      </w:r>
      <w:r w:rsidR="00A77932">
        <w:t xml:space="preserve">Radiocommunications </w:t>
      </w:r>
      <w:r w:rsidRPr="00A85D75">
        <w:t xml:space="preserve">Act, in particular </w:t>
      </w:r>
      <w:r w:rsidR="00C41395">
        <w:t xml:space="preserve">promoting the long-term public interest derived from the </w:t>
      </w:r>
      <w:r w:rsidRPr="00A85D75">
        <w:t xml:space="preserve">use of the radiofrequency spectrum and meeting the government’s policy objectives. </w:t>
      </w:r>
    </w:p>
    <w:p w14:paraId="2672A89D" w14:textId="0617DE75" w:rsidR="005B29AA" w:rsidRDefault="002F1BBD" w:rsidP="00B60874">
      <w:pPr>
        <w:pStyle w:val="Paragraph"/>
      </w:pPr>
      <w:r w:rsidRPr="005B641C">
        <w:t xml:space="preserve">The </w:t>
      </w:r>
      <w:hyperlink r:id="rId38" w:history="1">
        <w:r w:rsidR="005B641C" w:rsidRPr="00B84285">
          <w:rPr>
            <w:rStyle w:val="Hyperlink"/>
            <w:i/>
            <w:iCs/>
          </w:rPr>
          <w:t>Exploring future use of the 1.9 GHz band</w:t>
        </w:r>
      </w:hyperlink>
      <w:r w:rsidRPr="005B641C">
        <w:t xml:space="preserve"> </w:t>
      </w:r>
      <w:r w:rsidR="00F76DF2">
        <w:t xml:space="preserve">discussion </w:t>
      </w:r>
      <w:r w:rsidRPr="005B641C">
        <w:t>paper</w:t>
      </w:r>
      <w:r w:rsidR="007B5BEB" w:rsidRPr="005B641C">
        <w:t xml:space="preserve"> noted that </w:t>
      </w:r>
      <w:r w:rsidR="007B5BEB">
        <w:t xml:space="preserve">due to </w:t>
      </w:r>
      <w:r w:rsidR="007B5BEB" w:rsidRPr="00A74C64">
        <w:t>evolving technolog</w:t>
      </w:r>
      <w:r w:rsidR="007B5BEB">
        <w:t>ies</w:t>
      </w:r>
      <w:r w:rsidR="007B5BEB" w:rsidRPr="00A74C64">
        <w:t xml:space="preserve"> and use cases in the band, the current regulatory arrangement</w:t>
      </w:r>
      <w:r w:rsidR="007B5BEB">
        <w:t>s</w:t>
      </w:r>
      <w:r w:rsidR="007B5BEB" w:rsidRPr="00A74C64">
        <w:t xml:space="preserve"> in the band </w:t>
      </w:r>
      <w:r w:rsidR="007B5BEB">
        <w:t>are</w:t>
      </w:r>
      <w:r w:rsidR="007B5BEB" w:rsidRPr="00A74C64">
        <w:t xml:space="preserve"> unlikely to </w:t>
      </w:r>
      <w:r w:rsidR="007B5BEB">
        <w:t xml:space="preserve">now </w:t>
      </w:r>
      <w:r w:rsidR="007B5BEB" w:rsidRPr="00A74C64">
        <w:t xml:space="preserve">align with the spectrum uses and users that best promote the long-term </w:t>
      </w:r>
      <w:r w:rsidR="007B5BEB" w:rsidRPr="00A74C64" w:rsidDel="00B80858">
        <w:t>public interest</w:t>
      </w:r>
      <w:r w:rsidR="007B5BEB" w:rsidRPr="00A74C64">
        <w:t>.</w:t>
      </w:r>
      <w:r w:rsidR="007B5BEB">
        <w:t xml:space="preserve"> </w:t>
      </w:r>
    </w:p>
    <w:p w14:paraId="492F635B" w14:textId="1FE07EE2" w:rsidR="00F753B2" w:rsidRDefault="00EB79CE" w:rsidP="00EF7302">
      <w:pPr>
        <w:pStyle w:val="Paragraphbeforelist"/>
      </w:pPr>
      <w:r>
        <w:t xml:space="preserve">The </w:t>
      </w:r>
      <w:r w:rsidR="008B2FB4" w:rsidRPr="00933A43">
        <w:t>ACMA invited responses from stakeholders</w:t>
      </w:r>
      <w:r w:rsidR="008B2FB4">
        <w:t xml:space="preserve"> </w:t>
      </w:r>
      <w:r w:rsidR="008B2FB4" w:rsidRPr="00933A43">
        <w:t>on a range of questions in the discussion paper</w:t>
      </w:r>
      <w:r w:rsidR="008B2FB4">
        <w:t>, with 22 responses received.</w:t>
      </w:r>
      <w:r w:rsidR="009C57F5">
        <w:t xml:space="preserve"> Two common themes </w:t>
      </w:r>
      <w:r>
        <w:t>were present in</w:t>
      </w:r>
      <w:r w:rsidR="009C57F5">
        <w:t xml:space="preserve"> the paper:</w:t>
      </w:r>
    </w:p>
    <w:p w14:paraId="288D07B1" w14:textId="2B9928D8" w:rsidR="00EF7302" w:rsidRDefault="00EB79CE" w:rsidP="00EF7302">
      <w:pPr>
        <w:pStyle w:val="ListBullet"/>
        <w:keepNext/>
      </w:pPr>
      <w:r>
        <w:t>The ACMA should m</w:t>
      </w:r>
      <w:r w:rsidR="00EF7302">
        <w:t xml:space="preserve">aintain the existing </w:t>
      </w:r>
      <w:r w:rsidR="00EF7302" w:rsidRPr="000B262A">
        <w:t>20 MHz (1880</w:t>
      </w:r>
      <w:r w:rsidR="00EF7302">
        <w:t>–</w:t>
      </w:r>
      <w:r w:rsidR="00EF7302" w:rsidRPr="000B262A">
        <w:t>1900 MHz) band for DECT</w:t>
      </w:r>
      <w:r w:rsidR="00EF7302">
        <w:t xml:space="preserve"> and </w:t>
      </w:r>
      <w:r w:rsidR="00345418">
        <w:t>‘</w:t>
      </w:r>
      <w:r w:rsidR="00EF7302">
        <w:t>future DECT</w:t>
      </w:r>
      <w:r w:rsidR="00345418">
        <w:t>’</w:t>
      </w:r>
      <w:r w:rsidR="00EF7302">
        <w:t xml:space="preserve"> </w:t>
      </w:r>
      <w:r w:rsidR="00345418">
        <w:t>(t</w:t>
      </w:r>
      <w:r w:rsidR="00345418" w:rsidRPr="008332FB">
        <w:t>he ne</w:t>
      </w:r>
      <w:r w:rsidR="00345418">
        <w:t>w</w:t>
      </w:r>
      <w:r w:rsidR="00345418" w:rsidRPr="008332FB">
        <w:t xml:space="preserve"> generation</w:t>
      </w:r>
      <w:r w:rsidR="00345418">
        <w:t>s</w:t>
      </w:r>
      <w:r w:rsidR="00345418" w:rsidRPr="008332FB">
        <w:t xml:space="preserve"> of DECT</w:t>
      </w:r>
      <w:r w:rsidR="00345418">
        <w:t>;</w:t>
      </w:r>
      <w:r w:rsidR="00345418" w:rsidRPr="008332FB">
        <w:t xml:space="preserve"> DECT</w:t>
      </w:r>
      <w:r w:rsidR="00345418">
        <w:t xml:space="preserve"> evolution and </w:t>
      </w:r>
      <w:r w:rsidR="00345418" w:rsidRPr="008332FB">
        <w:t xml:space="preserve">DECT-2020 </w:t>
      </w:r>
      <w:r w:rsidR="00345418">
        <w:t>new radio (</w:t>
      </w:r>
      <w:r w:rsidR="00345418" w:rsidRPr="008332FB">
        <w:t>NR</w:t>
      </w:r>
      <w:r w:rsidR="00345418">
        <w:t xml:space="preserve">)) </w:t>
      </w:r>
      <w:r w:rsidR="00EF7302">
        <w:t>use, including cordless telephony, wireless microphone systems and new applications such as the Internet of Things (IoT).</w:t>
      </w:r>
    </w:p>
    <w:p w14:paraId="2A56421B" w14:textId="79DED3FC" w:rsidR="00967083" w:rsidRDefault="00EB79CE" w:rsidP="00967083">
      <w:pPr>
        <w:pStyle w:val="ListBullet"/>
        <w:keepNext/>
        <w:spacing w:after="240"/>
      </w:pPr>
      <w:r>
        <w:t>The ACMA should m</w:t>
      </w:r>
      <w:r w:rsidR="00EF7302">
        <w:t xml:space="preserve">aintain the existing </w:t>
      </w:r>
      <w:r w:rsidR="00EF7302" w:rsidRPr="000B262A">
        <w:t>20 MHz (1900</w:t>
      </w:r>
      <w:r w:rsidR="00EF7302">
        <w:t>–</w:t>
      </w:r>
      <w:r w:rsidR="00EF7302" w:rsidRPr="000B262A">
        <w:t xml:space="preserve">1920 MHz) band for WBB, </w:t>
      </w:r>
      <w:r w:rsidR="002827B4">
        <w:t xml:space="preserve">LA WBB </w:t>
      </w:r>
      <w:r w:rsidR="00EF7302" w:rsidRPr="000B262A">
        <w:t xml:space="preserve">and PTP services in </w:t>
      </w:r>
      <w:r w:rsidR="00D17426">
        <w:t>regional</w:t>
      </w:r>
      <w:r w:rsidR="00EF7302" w:rsidRPr="000B262A">
        <w:t xml:space="preserve"> or remote areas.</w:t>
      </w:r>
    </w:p>
    <w:p w14:paraId="51D93C52" w14:textId="26215E68" w:rsidR="00F674A3" w:rsidRDefault="00FA61CF" w:rsidP="00F674A3">
      <w:pPr>
        <w:pStyle w:val="Paragraphbeforelist"/>
        <w:spacing w:after="240"/>
      </w:pPr>
      <w:r>
        <w:t xml:space="preserve">As an outcome of that consultation process, </w:t>
      </w:r>
      <w:r w:rsidR="00F76DF2">
        <w:t xml:space="preserve">we </w:t>
      </w:r>
      <w:r w:rsidR="00967083">
        <w:t>formed the preliminary view that a mix of uses is most likely to promote the long</w:t>
      </w:r>
      <w:r w:rsidR="00967083" w:rsidRPr="00967083">
        <w:rPr>
          <w:rFonts w:ascii="Cambria Math" w:hAnsi="Cambria Math" w:cs="Cambria Math"/>
        </w:rPr>
        <w:t>‑</w:t>
      </w:r>
      <w:r w:rsidR="00967083">
        <w:t>term public interest derived from the use of the 1.9 GHz band</w:t>
      </w:r>
      <w:r>
        <w:t>.</w:t>
      </w:r>
      <w:r w:rsidR="00967083">
        <w:t xml:space="preserve"> </w:t>
      </w:r>
      <w:r w:rsidR="00D9400A">
        <w:t>Four</w:t>
      </w:r>
      <w:r w:rsidR="00967083">
        <w:t xml:space="preserve"> </w:t>
      </w:r>
      <w:r>
        <w:t xml:space="preserve">replanning </w:t>
      </w:r>
      <w:r w:rsidR="00967083">
        <w:t xml:space="preserve">options </w:t>
      </w:r>
      <w:r>
        <w:t xml:space="preserve">were presented </w:t>
      </w:r>
      <w:r w:rsidR="00967083">
        <w:t xml:space="preserve">in the </w:t>
      </w:r>
      <w:hyperlink r:id="rId39" w:history="1">
        <w:r w:rsidR="00F76DF2">
          <w:rPr>
            <w:rStyle w:val="Hyperlink"/>
          </w:rPr>
          <w:t>Replanning of the 1880–1920 MHz band</w:t>
        </w:r>
      </w:hyperlink>
      <w:r w:rsidR="00F76DF2" w:rsidRPr="00B84285">
        <w:t xml:space="preserve"> options paper</w:t>
      </w:r>
      <w:r w:rsidR="00F674A3">
        <w:t xml:space="preserve">, of which Option 4 was the </w:t>
      </w:r>
      <w:r w:rsidR="00EB79CE">
        <w:t xml:space="preserve">ACMA’s </w:t>
      </w:r>
      <w:r>
        <w:t xml:space="preserve">preliminary </w:t>
      </w:r>
      <w:r w:rsidR="00F674A3">
        <w:t>preferred option.</w:t>
      </w:r>
    </w:p>
    <w:p w14:paraId="42E705EA" w14:textId="3C9BA318" w:rsidR="00447E19" w:rsidRPr="00A85D75" w:rsidRDefault="00D37C56" w:rsidP="00B60874">
      <w:pPr>
        <w:pStyle w:val="Paragraph"/>
      </w:pPr>
      <w:r w:rsidRPr="00A85D75">
        <w:t xml:space="preserve">In </w:t>
      </w:r>
      <w:r w:rsidR="007A2C91" w:rsidRPr="00A85D75">
        <w:t xml:space="preserve">determining the planning outcomes presented in this paper, </w:t>
      </w:r>
      <w:r w:rsidR="00FE3E78">
        <w:t xml:space="preserve">we </w:t>
      </w:r>
      <w:r w:rsidR="00625C9C" w:rsidRPr="00A85D75">
        <w:t>considered responses to</w:t>
      </w:r>
      <w:r w:rsidR="007B5BEB">
        <w:t xml:space="preserve"> </w:t>
      </w:r>
      <w:r w:rsidR="00625C9C" w:rsidRPr="00A85D75">
        <w:t xml:space="preserve">the </w:t>
      </w:r>
      <w:r w:rsidR="007B5BEB">
        <w:t xml:space="preserve">discussion and </w:t>
      </w:r>
      <w:r w:rsidR="00625C9C" w:rsidRPr="00A85D75">
        <w:t>options paper</w:t>
      </w:r>
      <w:r w:rsidR="007B5BEB">
        <w:t>s</w:t>
      </w:r>
      <w:r w:rsidR="00360DA9">
        <w:t xml:space="preserve">, as well as </w:t>
      </w:r>
      <w:r w:rsidR="00EB79CE">
        <w:t xml:space="preserve">the replies to responses on the options </w:t>
      </w:r>
      <w:r w:rsidR="00360DA9" w:rsidDel="00EB79CE">
        <w:t>paper</w:t>
      </w:r>
      <w:r w:rsidR="00F33269" w:rsidRPr="00A85D75">
        <w:t xml:space="preserve">. We also </w:t>
      </w:r>
      <w:r w:rsidR="00EB79CE">
        <w:t>considered</w:t>
      </w:r>
      <w:r w:rsidR="00F33269" w:rsidRPr="00A85D75">
        <w:t xml:space="preserve"> other</w:t>
      </w:r>
      <w:r w:rsidR="008541A8" w:rsidRPr="00A85D75">
        <w:t xml:space="preserve"> relevant developments</w:t>
      </w:r>
      <w:r w:rsidR="00BF341C" w:rsidRPr="00A85D75">
        <w:t xml:space="preserve">, both domestic and international, that </w:t>
      </w:r>
      <w:r w:rsidR="007E4EED" w:rsidRPr="00A85D75">
        <w:t>may</w:t>
      </w:r>
      <w:r w:rsidR="008541A8" w:rsidRPr="00A85D75">
        <w:t xml:space="preserve"> </w:t>
      </w:r>
      <w:r w:rsidR="00186B68" w:rsidRPr="00A85D75">
        <w:t xml:space="preserve">impact the potential future use of the band. </w:t>
      </w:r>
    </w:p>
    <w:p w14:paraId="6BC3AE65" w14:textId="1DF40C2C" w:rsidR="000E6ED1" w:rsidRDefault="00FE3E78" w:rsidP="00B60874">
      <w:pPr>
        <w:pStyle w:val="Paragraph"/>
      </w:pPr>
      <w:r>
        <w:t>W</w:t>
      </w:r>
      <w:r w:rsidR="000E6ED1" w:rsidRPr="00A85D75">
        <w:t xml:space="preserve">e will consult further </w:t>
      </w:r>
      <w:r w:rsidR="007E4EED" w:rsidRPr="00A85D75">
        <w:t xml:space="preserve">on </w:t>
      </w:r>
      <w:r w:rsidR="00D14BFA" w:rsidRPr="00A85D75">
        <w:t xml:space="preserve">proposed </w:t>
      </w:r>
      <w:r w:rsidR="007E4EED" w:rsidRPr="00A85D75">
        <w:t xml:space="preserve">licensing and technical planning </w:t>
      </w:r>
      <w:r w:rsidR="007E4EED" w:rsidRPr="002753CB">
        <w:t xml:space="preserve">arrangements as outlined in </w:t>
      </w:r>
      <w:r w:rsidR="00D14BFA" w:rsidRPr="002753CB">
        <w:t xml:space="preserve">the </w:t>
      </w:r>
      <w:r w:rsidR="00E97D40" w:rsidRPr="002753CB">
        <w:t>‘</w:t>
      </w:r>
      <w:r w:rsidR="00E7549F">
        <w:t>N</w:t>
      </w:r>
      <w:r w:rsidR="00E97D40" w:rsidRPr="002753CB">
        <w:rPr>
          <w:u w:color="0000FF"/>
        </w:rPr>
        <w:t xml:space="preserve">ext </w:t>
      </w:r>
      <w:r w:rsidR="00D14BFA" w:rsidRPr="002753CB">
        <w:rPr>
          <w:u w:color="0000FF"/>
        </w:rPr>
        <w:t>steps</w:t>
      </w:r>
      <w:r w:rsidR="00E97D40" w:rsidRPr="002753CB">
        <w:t>’</w:t>
      </w:r>
      <w:r w:rsidR="00D14BFA" w:rsidRPr="002753CB">
        <w:t xml:space="preserve"> section</w:t>
      </w:r>
      <w:r w:rsidR="002439BE" w:rsidRPr="002753CB">
        <w:t>.</w:t>
      </w:r>
    </w:p>
    <w:p w14:paraId="0FD292A8" w14:textId="77777777" w:rsidR="00654CC2" w:rsidRPr="00D64FD0" w:rsidRDefault="00654CC2" w:rsidP="0081014D">
      <w:pPr>
        <w:pStyle w:val="Heading2"/>
        <w:keepLines/>
        <w:rPr>
          <w:b w:val="0"/>
          <w:bCs w:val="0"/>
        </w:rPr>
      </w:pPr>
      <w:bookmarkStart w:id="40" w:name="_Toc61435414"/>
      <w:bookmarkStart w:id="41" w:name="_Toc150345648"/>
      <w:r w:rsidRPr="00D64FD0">
        <w:lastRenderedPageBreak/>
        <w:t>Issues not within the scope of this paper</w:t>
      </w:r>
      <w:bookmarkEnd w:id="40"/>
      <w:bookmarkEnd w:id="41"/>
      <w:r w:rsidRPr="00D64FD0">
        <w:rPr>
          <w:rFonts w:hint="eastAsia"/>
        </w:rPr>
        <w:t> </w:t>
      </w:r>
    </w:p>
    <w:p w14:paraId="6A43AC3D" w14:textId="3D8CD6EA" w:rsidR="00654CC2" w:rsidRPr="00D64FD0" w:rsidRDefault="00654CC2" w:rsidP="0081014D">
      <w:pPr>
        <w:pStyle w:val="Heading3"/>
        <w:keepLines/>
        <w:rPr>
          <w:b w:val="0"/>
          <w:bCs w:val="0"/>
          <w:szCs w:val="20"/>
        </w:rPr>
      </w:pPr>
      <w:bookmarkStart w:id="42" w:name="_Toc61435415"/>
      <w:bookmarkStart w:id="43" w:name="_Toc150345649"/>
      <w:r w:rsidRPr="00D64FD0">
        <w:t xml:space="preserve">Apparatus </w:t>
      </w:r>
      <w:r w:rsidR="00EB79CE">
        <w:t xml:space="preserve">licence </w:t>
      </w:r>
      <w:r w:rsidRPr="00D64FD0">
        <w:t>tax arrangements</w:t>
      </w:r>
      <w:bookmarkEnd w:id="42"/>
      <w:bookmarkEnd w:id="43"/>
      <w:r w:rsidRPr="00D64FD0">
        <w:rPr>
          <w:rFonts w:hint="eastAsia"/>
        </w:rPr>
        <w:t> </w:t>
      </w:r>
    </w:p>
    <w:p w14:paraId="4E57D175" w14:textId="2D9D1B48" w:rsidR="004E1A76" w:rsidRPr="001A3045" w:rsidRDefault="00654CC2" w:rsidP="0081014D">
      <w:pPr>
        <w:pStyle w:val="Paragraph"/>
        <w:keepNext/>
        <w:keepLines/>
        <w:rPr>
          <w:rStyle w:val="normaltextrun"/>
          <w:b/>
          <w:bCs/>
          <w:szCs w:val="20"/>
        </w:rPr>
      </w:pPr>
      <w:r>
        <w:rPr>
          <w:rStyle w:val="normaltextrun"/>
          <w:szCs w:val="20"/>
        </w:rPr>
        <w:t xml:space="preserve">A review of the apparatus licence tax arrangements that apply to different services is not within the scope of this paper. </w:t>
      </w:r>
      <w:r w:rsidR="004E1A76">
        <w:rPr>
          <w:rStyle w:val="normaltextrun"/>
          <w:szCs w:val="20"/>
        </w:rPr>
        <w:t>In general</w:t>
      </w:r>
      <w:r w:rsidR="00FE3E78">
        <w:rPr>
          <w:rStyle w:val="normaltextrun"/>
          <w:szCs w:val="20"/>
        </w:rPr>
        <w:t>,</w:t>
      </w:r>
      <w:r w:rsidR="004E1A76">
        <w:rPr>
          <w:rStyle w:val="normaltextrun"/>
          <w:szCs w:val="20"/>
        </w:rPr>
        <w:t xml:space="preserve"> there are opportunities for interested parties to provide their views about pricing matters as part of the consultation on the annual work program</w:t>
      </w:r>
      <w:r w:rsidR="00FE3E78">
        <w:rPr>
          <w:rStyle w:val="normaltextrun"/>
          <w:szCs w:val="20"/>
        </w:rPr>
        <w:t xml:space="preserve"> in </w:t>
      </w:r>
      <w:r w:rsidR="004E1A76">
        <w:rPr>
          <w:rStyle w:val="normaltextrun"/>
          <w:szCs w:val="20"/>
        </w:rPr>
        <w:t xml:space="preserve">the </w:t>
      </w:r>
      <w:hyperlink r:id="rId40" w:history="1">
        <w:r w:rsidR="004E1A76">
          <w:rPr>
            <w:rStyle w:val="Hyperlink"/>
          </w:rPr>
          <w:t>five-year spectrum outlook</w:t>
        </w:r>
      </w:hyperlink>
      <w:r w:rsidR="004E1A76">
        <w:rPr>
          <w:rStyle w:val="normaltextrun"/>
          <w:szCs w:val="20"/>
        </w:rPr>
        <w:t xml:space="preserve"> (FYSO). It is also noted in the FYSO 2023</w:t>
      </w:r>
      <w:r w:rsidR="00FE3E78">
        <w:t>–</w:t>
      </w:r>
      <w:r w:rsidR="004E1A76">
        <w:rPr>
          <w:rStyle w:val="normaltextrun"/>
          <w:szCs w:val="20"/>
        </w:rPr>
        <w:t xml:space="preserve">28 that the ACMA is considering a review of apparatus licence taxes in </w:t>
      </w:r>
      <w:r w:rsidR="004E1A76" w:rsidRPr="001A3045">
        <w:rPr>
          <w:rStyle w:val="normaltextrun"/>
          <w:szCs w:val="20"/>
        </w:rPr>
        <w:t>the frequency ranges 520 MHz to 2690 MHz</w:t>
      </w:r>
      <w:r w:rsidR="004E1A76">
        <w:rPr>
          <w:rStyle w:val="normaltextrun"/>
          <w:szCs w:val="20"/>
        </w:rPr>
        <w:t xml:space="preserve"> in the 2025</w:t>
      </w:r>
      <w:r w:rsidR="00FE3E78">
        <w:t>–</w:t>
      </w:r>
      <w:r w:rsidR="004E1A76">
        <w:rPr>
          <w:rStyle w:val="normaltextrun"/>
          <w:szCs w:val="20"/>
        </w:rPr>
        <w:t xml:space="preserve">26 financial year, where there would be further opportunities to comment. In addition, </w:t>
      </w:r>
      <w:r w:rsidR="00FE3E78">
        <w:rPr>
          <w:rStyle w:val="normaltextrun"/>
          <w:szCs w:val="20"/>
        </w:rPr>
        <w:t xml:space="preserve">if </w:t>
      </w:r>
      <w:r w:rsidR="004E1A76">
        <w:rPr>
          <w:rStyle w:val="normaltextrun"/>
          <w:szCs w:val="20"/>
        </w:rPr>
        <w:t>the proposed planning arrangements outlined in this paper extend to consultation on proposed licensing arrangements</w:t>
      </w:r>
      <w:r w:rsidR="00FE3E78">
        <w:rPr>
          <w:rStyle w:val="normaltextrun"/>
          <w:szCs w:val="20"/>
        </w:rPr>
        <w:t>,</w:t>
      </w:r>
      <w:r w:rsidR="004E1A76">
        <w:rPr>
          <w:rStyle w:val="normaltextrun"/>
          <w:szCs w:val="20"/>
        </w:rPr>
        <w:t xml:space="preserve"> there would be opportunities to comment on the relevant pricing matters at that time.</w:t>
      </w:r>
    </w:p>
    <w:p w14:paraId="7001567A" w14:textId="77777777" w:rsidR="00654CC2" w:rsidRPr="00717B24" w:rsidRDefault="00654CC2" w:rsidP="00654CC2">
      <w:pPr>
        <w:pStyle w:val="Heading3"/>
        <w:rPr>
          <w:rFonts w:ascii="&amp;quot" w:hAnsi="&amp;quot"/>
          <w:sz w:val="18"/>
          <w:szCs w:val="18"/>
        </w:rPr>
      </w:pPr>
      <w:bookmarkStart w:id="44" w:name="_Toc61435416"/>
      <w:bookmarkStart w:id="45" w:name="_Toc150345650"/>
      <w:r w:rsidRPr="00D64FD0">
        <w:rPr>
          <w:rStyle w:val="normaltextrun"/>
          <w:szCs w:val="20"/>
        </w:rPr>
        <w:t>Engagement in international activities</w:t>
      </w:r>
      <w:bookmarkEnd w:id="44"/>
      <w:bookmarkEnd w:id="45"/>
      <w:r w:rsidRPr="00D64FD0">
        <w:rPr>
          <w:rStyle w:val="eop"/>
          <w:rFonts w:ascii="&amp;quot" w:hAnsi="&amp;quot" w:hint="eastAsia"/>
          <w:szCs w:val="20"/>
        </w:rPr>
        <w:t> </w:t>
      </w:r>
    </w:p>
    <w:p w14:paraId="762F4E0F" w14:textId="58BAE734" w:rsidR="00654CC2" w:rsidRPr="00EB5459" w:rsidRDefault="00654CC2" w:rsidP="00B60874">
      <w:pPr>
        <w:pStyle w:val="Paragraph"/>
        <w:rPr>
          <w:rFonts w:ascii="&amp;quot" w:hAnsi="&amp;quot"/>
          <w:sz w:val="18"/>
          <w:szCs w:val="18"/>
        </w:rPr>
      </w:pPr>
      <w:r>
        <w:rPr>
          <w:rStyle w:val="normaltextrun"/>
          <w:szCs w:val="20"/>
        </w:rPr>
        <w:t>The scope of this paper does not extend to Australian strategies or positions on matters under consideration in international spectrum management forums, such as the ITU or Asia-Pacific Telecommunity (APT). These matters are dealt with separately through relevant preparatory processes led by the ACMA and/or the Department of Infrastructure, Transport, Regional Development</w:t>
      </w:r>
      <w:r w:rsidR="00FE3E78">
        <w:rPr>
          <w:rStyle w:val="normaltextrun"/>
          <w:szCs w:val="20"/>
        </w:rPr>
        <w:t xml:space="preserve">, </w:t>
      </w:r>
      <w:proofErr w:type="gramStart"/>
      <w:r>
        <w:rPr>
          <w:rStyle w:val="normaltextrun"/>
          <w:szCs w:val="20"/>
        </w:rPr>
        <w:t>Communications</w:t>
      </w:r>
      <w:proofErr w:type="gramEnd"/>
      <w:r>
        <w:rPr>
          <w:rStyle w:val="normaltextrun"/>
          <w:szCs w:val="20"/>
        </w:rPr>
        <w:t xml:space="preserve"> </w:t>
      </w:r>
      <w:r w:rsidR="00FE3E78">
        <w:rPr>
          <w:rStyle w:val="normaltextrun"/>
          <w:szCs w:val="20"/>
        </w:rPr>
        <w:t xml:space="preserve">and the Arts </w:t>
      </w:r>
      <w:r w:rsidRPr="00A77932">
        <w:rPr>
          <w:rStyle w:val="normaltextrun"/>
          <w:szCs w:val="20"/>
        </w:rPr>
        <w:t xml:space="preserve">(the </w:t>
      </w:r>
      <w:r w:rsidR="002827B4" w:rsidRPr="00A77932">
        <w:rPr>
          <w:rStyle w:val="normaltextrun"/>
          <w:szCs w:val="20"/>
        </w:rPr>
        <w:t>D</w:t>
      </w:r>
      <w:r w:rsidRPr="00A77932">
        <w:rPr>
          <w:rStyle w:val="normaltextrun"/>
          <w:szCs w:val="20"/>
        </w:rPr>
        <w:t>epartment). Stakeholders interested in these processes can find more information</w:t>
      </w:r>
      <w:r>
        <w:rPr>
          <w:rStyle w:val="normaltextrun"/>
          <w:szCs w:val="20"/>
        </w:rPr>
        <w:t xml:space="preserve"> on the </w:t>
      </w:r>
      <w:hyperlink r:id="rId41" w:tgtFrame="_blank" w:history="1">
        <w:r>
          <w:rPr>
            <w:rStyle w:val="normaltextrun"/>
            <w:color w:val="0000FF"/>
            <w:szCs w:val="20"/>
            <w:u w:val="single"/>
          </w:rPr>
          <w:t>ACMA website</w:t>
        </w:r>
      </w:hyperlink>
      <w:r>
        <w:rPr>
          <w:rStyle w:val="normaltextrun"/>
          <w:szCs w:val="20"/>
        </w:rPr>
        <w:t xml:space="preserve"> or by contacting either the ACMA’s International Radiocommunications Section (</w:t>
      </w:r>
      <w:hyperlink r:id="rId42" w:tgtFrame="_blank" w:history="1">
        <w:r>
          <w:rPr>
            <w:rStyle w:val="normaltextrun"/>
            <w:color w:val="0000FF"/>
            <w:szCs w:val="20"/>
            <w:u w:val="single"/>
          </w:rPr>
          <w:t>irs@acma.gov.au</w:t>
        </w:r>
      </w:hyperlink>
      <w:r>
        <w:rPr>
          <w:rStyle w:val="normaltextrun"/>
          <w:szCs w:val="20"/>
        </w:rPr>
        <w:t xml:space="preserve">) or the </w:t>
      </w:r>
      <w:r w:rsidR="00EB79CE">
        <w:rPr>
          <w:rStyle w:val="normaltextrun"/>
          <w:szCs w:val="20"/>
        </w:rPr>
        <w:t>D</w:t>
      </w:r>
      <w:r>
        <w:rPr>
          <w:rStyle w:val="normaltextrun"/>
          <w:szCs w:val="20"/>
        </w:rPr>
        <w:t>epartment’s International Radiocommunications Section (</w:t>
      </w:r>
      <w:hyperlink r:id="rId43" w:tgtFrame="_blank" w:history="1">
        <w:r>
          <w:rPr>
            <w:rStyle w:val="normaltextrun"/>
            <w:color w:val="0000FF"/>
            <w:szCs w:val="20"/>
            <w:u w:val="single"/>
          </w:rPr>
          <w:t>wrc@communications.gov.au</w:t>
        </w:r>
      </w:hyperlink>
      <w:r>
        <w:rPr>
          <w:rStyle w:val="normaltextrun"/>
          <w:szCs w:val="20"/>
        </w:rPr>
        <w:t>).</w:t>
      </w:r>
    </w:p>
    <w:p w14:paraId="5528495E" w14:textId="77777777" w:rsidR="00F66827" w:rsidRPr="00A85D75" w:rsidRDefault="00F66827" w:rsidP="00F66827">
      <w:pPr>
        <w:pStyle w:val="Heading1"/>
      </w:pPr>
      <w:bookmarkStart w:id="46" w:name="_Toc46316357"/>
      <w:bookmarkStart w:id="47" w:name="_Toc56965686"/>
      <w:bookmarkStart w:id="48" w:name="_Toc150345651"/>
      <w:r w:rsidRPr="00A85D75">
        <w:lastRenderedPageBreak/>
        <w:t>The process to date</w:t>
      </w:r>
      <w:bookmarkEnd w:id="46"/>
      <w:bookmarkEnd w:id="47"/>
      <w:bookmarkEnd w:id="48"/>
    </w:p>
    <w:p w14:paraId="2BEC8B60" w14:textId="31B173A3" w:rsidR="00990DF6" w:rsidRPr="00A85D75" w:rsidRDefault="00990DF6" w:rsidP="00990DF6">
      <w:bookmarkStart w:id="49" w:name="_Toc519765108"/>
      <w:bookmarkStart w:id="50" w:name="_Toc521585774"/>
      <w:bookmarkStart w:id="51" w:name="_Toc5000066"/>
      <w:bookmarkStart w:id="52" w:name="_Toc33513244"/>
      <w:bookmarkStart w:id="53" w:name="_Toc46316358"/>
      <w:bookmarkStart w:id="54" w:name="_Ref499046185"/>
      <w:bookmarkStart w:id="55" w:name="_Ref499046197"/>
      <w:bookmarkStart w:id="56" w:name="_Ref499109539"/>
      <w:r w:rsidRPr="00A85D75">
        <w:t xml:space="preserve">This chapter recaps the </w:t>
      </w:r>
      <w:r w:rsidR="00344F4F">
        <w:t xml:space="preserve">scenarios outlined in the discussion paper and </w:t>
      </w:r>
      <w:r w:rsidRPr="00A85D75">
        <w:t xml:space="preserve">options proposed in the </w:t>
      </w:r>
      <w:r w:rsidR="00333BD3" w:rsidRPr="00A85D75">
        <w:t>o</w:t>
      </w:r>
      <w:r w:rsidRPr="00A85D75">
        <w:t>ptions paper, identifies issues and themes raised in submissions to the</w:t>
      </w:r>
      <w:r w:rsidR="008206C9">
        <w:t xml:space="preserve">se </w:t>
      </w:r>
      <w:r w:rsidRPr="00A85D75">
        <w:t>paper</w:t>
      </w:r>
      <w:r w:rsidR="00344F4F">
        <w:t>s</w:t>
      </w:r>
      <w:r w:rsidRPr="00A85D75">
        <w:t xml:space="preserve"> and outlines the ACMA’s view on them. </w:t>
      </w:r>
    </w:p>
    <w:p w14:paraId="541AAE98" w14:textId="77777777" w:rsidR="0067115B" w:rsidRPr="00A85D75" w:rsidRDefault="0067115B" w:rsidP="0067115B">
      <w:pPr>
        <w:pStyle w:val="Heading2"/>
      </w:pPr>
      <w:bookmarkStart w:id="57" w:name="_Toc21088510"/>
      <w:bookmarkStart w:id="58" w:name="_Toc56950065"/>
      <w:bookmarkStart w:id="59" w:name="_Toc56965687"/>
      <w:bookmarkStart w:id="60" w:name="_Toc150345652"/>
      <w:r w:rsidRPr="00A85D75">
        <w:t>Overall approach to replanning the band</w:t>
      </w:r>
      <w:bookmarkEnd w:id="57"/>
      <w:bookmarkEnd w:id="58"/>
      <w:bookmarkEnd w:id="59"/>
      <w:bookmarkEnd w:id="60"/>
    </w:p>
    <w:p w14:paraId="0D51C560" w14:textId="7CFFB947" w:rsidR="00282163" w:rsidRDefault="00282163" w:rsidP="00883311">
      <w:pPr>
        <w:pStyle w:val="Heading3"/>
      </w:pPr>
      <w:bookmarkStart w:id="61" w:name="_Toc150345653"/>
      <w:bookmarkEnd w:id="49"/>
      <w:bookmarkEnd w:id="50"/>
      <w:bookmarkEnd w:id="51"/>
      <w:bookmarkEnd w:id="52"/>
      <w:bookmarkEnd w:id="53"/>
      <w:bookmarkEnd w:id="54"/>
      <w:bookmarkEnd w:id="55"/>
      <w:bookmarkEnd w:id="56"/>
      <w:r>
        <w:t>Discussion paper</w:t>
      </w:r>
      <w:bookmarkEnd w:id="61"/>
    </w:p>
    <w:p w14:paraId="13DFC67B" w14:textId="5D0DAC86" w:rsidR="0077520A" w:rsidRDefault="00546BEC" w:rsidP="0077520A">
      <w:pPr>
        <w:rPr>
          <w:szCs w:val="20"/>
        </w:rPr>
      </w:pPr>
      <w:r>
        <w:t>T</w:t>
      </w:r>
      <w:r w:rsidR="0077520A" w:rsidRPr="00A85D75">
        <w:t xml:space="preserve">he </w:t>
      </w:r>
      <w:r w:rsidR="0077520A" w:rsidRPr="00E8401B">
        <w:t xml:space="preserve">ACMA released </w:t>
      </w:r>
      <w:r w:rsidR="0032062B">
        <w:t>the</w:t>
      </w:r>
      <w:r w:rsidR="0077520A" w:rsidRPr="00E8401B">
        <w:rPr>
          <w:szCs w:val="20"/>
        </w:rPr>
        <w:t xml:space="preserve"> </w:t>
      </w:r>
      <w:hyperlink r:id="rId44" w:history="1">
        <w:r w:rsidR="00A82F0E" w:rsidRPr="0081014D">
          <w:rPr>
            <w:rStyle w:val="Hyperlink"/>
            <w:i/>
            <w:iCs/>
          </w:rPr>
          <w:t>Exploring future use of the 1.9 GHz band</w:t>
        </w:r>
      </w:hyperlink>
      <w:r w:rsidR="001426AD" w:rsidRPr="0081014D">
        <w:rPr>
          <w:i/>
          <w:iCs/>
          <w:szCs w:val="20"/>
        </w:rPr>
        <w:t xml:space="preserve"> </w:t>
      </w:r>
      <w:r w:rsidR="0032062B">
        <w:rPr>
          <w:szCs w:val="20"/>
        </w:rPr>
        <w:t xml:space="preserve">discussion paper </w:t>
      </w:r>
      <w:r w:rsidR="00FD67F6" w:rsidRPr="00E8401B">
        <w:rPr>
          <w:szCs w:val="20"/>
        </w:rPr>
        <w:t xml:space="preserve">in </w:t>
      </w:r>
      <w:r w:rsidR="00A82F0E" w:rsidRPr="00E8401B">
        <w:rPr>
          <w:szCs w:val="20"/>
        </w:rPr>
        <w:t>November</w:t>
      </w:r>
      <w:r w:rsidR="00A82F0E">
        <w:rPr>
          <w:szCs w:val="20"/>
        </w:rPr>
        <w:t xml:space="preserve"> 2021</w:t>
      </w:r>
      <w:r w:rsidR="00FD67F6" w:rsidRPr="00A85D75">
        <w:rPr>
          <w:szCs w:val="20"/>
        </w:rPr>
        <w:t>.</w:t>
      </w:r>
      <w:r w:rsidR="0077520A" w:rsidRPr="00A85D75">
        <w:rPr>
          <w:szCs w:val="20"/>
        </w:rPr>
        <w:t xml:space="preserve"> The paper examined</w:t>
      </w:r>
      <w:r w:rsidR="00EB79CE">
        <w:rPr>
          <w:szCs w:val="20"/>
        </w:rPr>
        <w:t xml:space="preserve"> the</w:t>
      </w:r>
      <w:r w:rsidR="0077520A" w:rsidRPr="00A85D75">
        <w:rPr>
          <w:szCs w:val="20"/>
        </w:rPr>
        <w:t xml:space="preserve"> current use of the band, domestic demand </w:t>
      </w:r>
      <w:r w:rsidR="000269FB" w:rsidRPr="00A85D75">
        <w:rPr>
          <w:szCs w:val="20"/>
        </w:rPr>
        <w:t xml:space="preserve">for new services </w:t>
      </w:r>
      <w:r w:rsidR="0077520A" w:rsidRPr="00A85D75">
        <w:rPr>
          <w:szCs w:val="20"/>
        </w:rPr>
        <w:t>and international trends. It also sought views on potential future uses of the band.</w:t>
      </w:r>
    </w:p>
    <w:p w14:paraId="79DD1639" w14:textId="4AE23CC3" w:rsidR="006561F0" w:rsidRPr="009D70B4" w:rsidRDefault="006561F0" w:rsidP="006561F0">
      <w:pPr>
        <w:pStyle w:val="Paragraphbeforelist"/>
        <w:rPr>
          <w:szCs w:val="20"/>
        </w:rPr>
      </w:pPr>
      <w:r>
        <w:t>The discussion paper identified the following existing and</w:t>
      </w:r>
      <w:r w:rsidDel="00980ECE">
        <w:t xml:space="preserve"> </w:t>
      </w:r>
      <w:r>
        <w:t>potential new use cases and trends in the 1.9</w:t>
      </w:r>
      <w:r>
        <w:rPr>
          <w:szCs w:val="20"/>
        </w:rPr>
        <w:t> GHz band</w:t>
      </w:r>
      <w:r w:rsidRPr="009D70B4">
        <w:rPr>
          <w:szCs w:val="20"/>
        </w:rPr>
        <w:t>:</w:t>
      </w:r>
    </w:p>
    <w:p w14:paraId="31AA90EE" w14:textId="015620EF" w:rsidR="006561F0" w:rsidRPr="008332FB" w:rsidRDefault="006561F0" w:rsidP="006561F0">
      <w:pPr>
        <w:pStyle w:val="ListBullet"/>
      </w:pPr>
      <w:r w:rsidRPr="00DF2D64">
        <w:rPr>
          <w:b/>
          <w:bCs/>
        </w:rPr>
        <w:t>DECT/ DECT Evolution/DECT- 2020-NR applications.</w:t>
      </w:r>
      <w:r w:rsidRPr="008332FB">
        <w:t xml:space="preserve"> DECT is a local area wireless technology used predominantly in the 1.9 GHz band and widely adopted for cordless </w:t>
      </w:r>
      <w:r w:rsidR="00EF5796" w:rsidRPr="008332FB">
        <w:t>phones, as</w:t>
      </w:r>
      <w:r w:rsidRPr="008332FB">
        <w:t xml:space="preserve"> well as wireless microphones and headset use. </w:t>
      </w:r>
      <w:r>
        <w:t>‘</w:t>
      </w:r>
      <w:r w:rsidR="00345418">
        <w:t>F</w:t>
      </w:r>
      <w:r>
        <w:t>uture DECT’</w:t>
      </w:r>
      <w:r w:rsidRPr="008332FB">
        <w:t xml:space="preserve"> </w:t>
      </w:r>
      <w:r>
        <w:t>will</w:t>
      </w:r>
      <w:r w:rsidRPr="008332FB">
        <w:t xml:space="preserve"> bring new applications to the entire </w:t>
      </w:r>
      <w:r w:rsidR="006002BF">
        <w:t>1.9 GHz band</w:t>
      </w:r>
      <w:r>
        <w:t xml:space="preserve">. These </w:t>
      </w:r>
      <w:r w:rsidRPr="008332FB">
        <w:t>come</w:t>
      </w:r>
      <w:r>
        <w:t xml:space="preserve"> </w:t>
      </w:r>
      <w:r w:rsidRPr="008332FB">
        <w:t>with a very high level of coexistence.</w:t>
      </w:r>
    </w:p>
    <w:p w14:paraId="7786B6A0" w14:textId="0FD63477" w:rsidR="006561F0" w:rsidRDefault="006561F0" w:rsidP="006561F0">
      <w:pPr>
        <w:pStyle w:val="ListBullet"/>
      </w:pPr>
      <w:r w:rsidRPr="00DF2D64">
        <w:rPr>
          <w:b/>
          <w:bCs/>
        </w:rPr>
        <w:t>FR</w:t>
      </w:r>
      <w:r w:rsidR="007B1906">
        <w:rPr>
          <w:b/>
          <w:bCs/>
        </w:rPr>
        <w:t>M</w:t>
      </w:r>
      <w:r w:rsidRPr="00DF2D64">
        <w:rPr>
          <w:b/>
          <w:bCs/>
        </w:rPr>
        <w:t>CS/MCX services.</w:t>
      </w:r>
      <w:r>
        <w:t xml:space="preserve"> Future </w:t>
      </w:r>
      <w:r w:rsidR="00482ED6">
        <w:t>R</w:t>
      </w:r>
      <w:r>
        <w:t>ailway</w:t>
      </w:r>
      <w:r w:rsidR="003B54A5">
        <w:t xml:space="preserve"> Mobile</w:t>
      </w:r>
      <w:r>
        <w:t xml:space="preserve"> </w:t>
      </w:r>
      <w:r w:rsidR="00482ED6">
        <w:t>C</w:t>
      </w:r>
      <w:r>
        <w:t xml:space="preserve">ommunication </w:t>
      </w:r>
      <w:r w:rsidR="00482ED6">
        <w:t>S</w:t>
      </w:r>
      <w:r>
        <w:t xml:space="preserve">ystem (FRMCS) is an evolving technology that is being developed by </w:t>
      </w:r>
      <w:r w:rsidR="00EB79CE">
        <w:t xml:space="preserve">the </w:t>
      </w:r>
      <w:r w:rsidRPr="00FD2C90">
        <w:t xml:space="preserve">Conference of European Postal and Telecommunications </w:t>
      </w:r>
      <w:r>
        <w:t>(CEPT) for the specialised requirements of rail services. FRMCS is being developed to operate in the</w:t>
      </w:r>
      <w:r w:rsidR="005825AF">
        <w:t xml:space="preserve"> </w:t>
      </w:r>
      <w:r>
        <w:t xml:space="preserve">1900–1910 MHz </w:t>
      </w:r>
      <w:r w:rsidR="006002BF">
        <w:t>band</w:t>
      </w:r>
      <w:r w:rsidR="00FF7FA7">
        <w:t xml:space="preserve"> and</w:t>
      </w:r>
      <w:r>
        <w:t xml:space="preserve"> is based on the 3GPP Rel. 17 standard. Mission-critical services, known as MCX, have been identified as a transitional technology between existing rail deployments and FRMCS.</w:t>
      </w:r>
    </w:p>
    <w:p w14:paraId="061912DD" w14:textId="074A4A2F" w:rsidR="006561F0" w:rsidRDefault="006561F0" w:rsidP="006561F0">
      <w:pPr>
        <w:pStyle w:val="ListBullet"/>
      </w:pPr>
      <w:r w:rsidRPr="00DF2D64">
        <w:rPr>
          <w:b/>
          <w:bCs/>
        </w:rPr>
        <w:t>Fixed or mobile WBB services.</w:t>
      </w:r>
      <w:r>
        <w:t xml:space="preserve"> These are PMP licences predominantly used by regional operators to provide LA WBB services</w:t>
      </w:r>
      <w:r>
        <w:rPr>
          <w:rStyle w:val="FootnoteReference"/>
        </w:rPr>
        <w:footnoteReference w:id="5"/>
      </w:r>
      <w:r>
        <w:t xml:space="preserve">. There are also </w:t>
      </w:r>
      <w:r w:rsidR="00616DF9">
        <w:t>PTP</w:t>
      </w:r>
      <w:r>
        <w:t xml:space="preserve"> licences in remote areas.</w:t>
      </w:r>
    </w:p>
    <w:p w14:paraId="0AF549C8" w14:textId="4D0F8F32" w:rsidR="006561F0" w:rsidRDefault="006561F0" w:rsidP="006561F0">
      <w:pPr>
        <w:pStyle w:val="ListBulletLast"/>
        <w:keepLines/>
      </w:pPr>
      <w:r w:rsidRPr="00DF2D64">
        <w:rPr>
          <w:b/>
          <w:bCs/>
        </w:rPr>
        <w:t>MulteFire.</w:t>
      </w:r>
      <w:r>
        <w:t xml:space="preserve"> A technology designed to create new wireless </w:t>
      </w:r>
      <w:r w:rsidR="00FF7FA7">
        <w:t>long-term</w:t>
      </w:r>
      <w:r w:rsidR="00E94487">
        <w:t xml:space="preserve"> evolution (</w:t>
      </w:r>
      <w:r>
        <w:t>LTE</w:t>
      </w:r>
      <w:r w:rsidR="00B02AB0">
        <w:t>)</w:t>
      </w:r>
      <w:r>
        <w:t>-based technology networks that operate in class-licensed</w:t>
      </w:r>
      <w:r>
        <w:rPr>
          <w:rStyle w:val="FootnoteReference"/>
        </w:rPr>
        <w:footnoteReference w:id="6"/>
      </w:r>
      <w:r>
        <w:t xml:space="preserve"> spectrum. MulteFire release 1.0 supports the applications of 3GPP 4G/LTE and 5G wireless broadband systems, and the MulteFire Alliance released a </w:t>
      </w:r>
      <w:hyperlink r:id="rId45" w:history="1">
        <w:r w:rsidRPr="00413ABD">
          <w:rPr>
            <w:rStyle w:val="Hyperlink"/>
          </w:rPr>
          <w:t>white paper</w:t>
        </w:r>
      </w:hyperlink>
      <w:r>
        <w:t xml:space="preserve"> in 2019 identifying plans for expansion of MulteFire into the 1.9 GHz band.</w:t>
      </w:r>
    </w:p>
    <w:p w14:paraId="79DEAF92" w14:textId="7B27D778" w:rsidR="004115F8" w:rsidRDefault="00375529" w:rsidP="009D534A">
      <w:pPr>
        <w:pStyle w:val="Paragraphbeforelist"/>
      </w:pPr>
      <w:r>
        <w:t>The discussion paper sought feedback to help inform the ACMA whether there is support for current or alternative uses of the band</w:t>
      </w:r>
      <w:r w:rsidR="004115F8">
        <w:t>, inviting comments on the following:</w:t>
      </w:r>
    </w:p>
    <w:p w14:paraId="16308427" w14:textId="070D70B3" w:rsidR="009541B7" w:rsidRPr="001F08F2" w:rsidRDefault="009541B7" w:rsidP="009C17DC">
      <w:pPr>
        <w:pStyle w:val="Numberlistlevel1"/>
        <w:numPr>
          <w:ilvl w:val="0"/>
          <w:numId w:val="13"/>
        </w:numPr>
        <w:ind w:left="360"/>
      </w:pPr>
      <w:r>
        <w:t>What is t</w:t>
      </w:r>
      <w:r w:rsidRPr="001F08F2">
        <w:t xml:space="preserve">he relevance of the </w:t>
      </w:r>
      <w:r w:rsidR="00E173A9">
        <w:t>p</w:t>
      </w:r>
      <w:r w:rsidR="00C92D14" w:rsidRPr="001E65C3">
        <w:t xml:space="preserve">ersonal </w:t>
      </w:r>
      <w:r w:rsidR="00E173A9">
        <w:t>h</w:t>
      </w:r>
      <w:r w:rsidR="00C92D14" w:rsidRPr="001E65C3">
        <w:t>andy</w:t>
      </w:r>
      <w:r w:rsidR="00C92D14" w:rsidRPr="001F08F2">
        <w:t>-p</w:t>
      </w:r>
      <w:r w:rsidR="00C92D14" w:rsidRPr="001E65C3">
        <w:t xml:space="preserve">hone </w:t>
      </w:r>
      <w:r w:rsidR="00E173A9">
        <w:t>s</w:t>
      </w:r>
      <w:r w:rsidR="00C92D14" w:rsidRPr="001E65C3">
        <w:t xml:space="preserve">ystem </w:t>
      </w:r>
      <w:r w:rsidR="00C92D14">
        <w:t>(</w:t>
      </w:r>
      <w:r w:rsidRPr="001F08F2">
        <w:t>PHS</w:t>
      </w:r>
      <w:r w:rsidR="00C92D14">
        <w:t>)</w:t>
      </w:r>
      <w:r>
        <w:t xml:space="preserve"> </w:t>
      </w:r>
      <w:r w:rsidRPr="001F08F2">
        <w:t xml:space="preserve">and </w:t>
      </w:r>
      <w:r>
        <w:t>should</w:t>
      </w:r>
      <w:r w:rsidRPr="001F08F2">
        <w:t xml:space="preserve"> this </w:t>
      </w:r>
      <w:r w:rsidRPr="001F08F2">
        <w:rPr>
          <w:rFonts w:cs="Arial"/>
        </w:rPr>
        <w:t>use be retained</w:t>
      </w:r>
      <w:r>
        <w:t>?</w:t>
      </w:r>
    </w:p>
    <w:p w14:paraId="5E4A81AA" w14:textId="77777777" w:rsidR="009541B7" w:rsidRPr="001F08F2" w:rsidRDefault="009541B7" w:rsidP="009C17DC">
      <w:pPr>
        <w:pStyle w:val="Numberlistlevel1"/>
        <w:numPr>
          <w:ilvl w:val="0"/>
          <w:numId w:val="13"/>
        </w:numPr>
        <w:ind w:left="360"/>
      </w:pPr>
      <w:r>
        <w:t>What is the i</w:t>
      </w:r>
      <w:r w:rsidRPr="001F08F2">
        <w:t>nterest</w:t>
      </w:r>
      <w:r w:rsidRPr="001F08F2" w:rsidDel="00A07160">
        <w:t xml:space="preserve"> </w:t>
      </w:r>
      <w:r w:rsidRPr="001F08F2">
        <w:t xml:space="preserve">in the use of </w:t>
      </w:r>
      <w:r w:rsidRPr="00E200E5">
        <w:rPr>
          <w:iCs/>
        </w:rPr>
        <w:t>new technologies</w:t>
      </w:r>
      <w:r w:rsidRPr="001F08F2">
        <w:t xml:space="preserve"> to provide a service</w:t>
      </w:r>
      <w:r>
        <w:t>?</w:t>
      </w:r>
    </w:p>
    <w:p w14:paraId="6B5D4B1E" w14:textId="77777777" w:rsidR="009541B7" w:rsidRPr="001F08F2" w:rsidRDefault="009541B7" w:rsidP="009C17DC">
      <w:pPr>
        <w:pStyle w:val="Numberlistlevel1"/>
        <w:numPr>
          <w:ilvl w:val="0"/>
          <w:numId w:val="14"/>
        </w:numPr>
        <w:rPr>
          <w:rFonts w:cs="Arial"/>
        </w:rPr>
      </w:pPr>
      <w:r w:rsidRPr="001F08F2">
        <w:rPr>
          <w:rFonts w:cs="Arial"/>
        </w:rPr>
        <w:t>How much spectrum is required to provide the service?</w:t>
      </w:r>
    </w:p>
    <w:p w14:paraId="7517C178" w14:textId="77777777" w:rsidR="009541B7" w:rsidRPr="001F08F2" w:rsidRDefault="009541B7" w:rsidP="009C17DC">
      <w:pPr>
        <w:pStyle w:val="Numberlistlevel1"/>
        <w:numPr>
          <w:ilvl w:val="0"/>
          <w:numId w:val="14"/>
        </w:numPr>
        <w:rPr>
          <w:rFonts w:cs="Arial"/>
        </w:rPr>
      </w:pPr>
      <w:r w:rsidRPr="001F08F2">
        <w:rPr>
          <w:rFonts w:cs="Arial"/>
        </w:rPr>
        <w:t>What interservice considerations need to be undertaken for the service to be deployed?</w:t>
      </w:r>
    </w:p>
    <w:p w14:paraId="2B66174D" w14:textId="77777777" w:rsidR="009541B7" w:rsidRPr="001F08F2" w:rsidRDefault="009541B7" w:rsidP="009C17DC">
      <w:pPr>
        <w:pStyle w:val="Numberlistlevel1"/>
        <w:numPr>
          <w:ilvl w:val="0"/>
          <w:numId w:val="14"/>
        </w:numPr>
        <w:rPr>
          <w:rFonts w:cs="Arial"/>
        </w:rPr>
      </w:pPr>
      <w:r w:rsidRPr="001F08F2">
        <w:rPr>
          <w:rFonts w:cs="Arial"/>
        </w:rPr>
        <w:lastRenderedPageBreak/>
        <w:t>What are the deployment scenarios for the service?</w:t>
      </w:r>
    </w:p>
    <w:p w14:paraId="06989E72" w14:textId="77777777" w:rsidR="009541B7" w:rsidRDefault="009541B7" w:rsidP="009C17DC">
      <w:pPr>
        <w:pStyle w:val="Numberlistlevel1"/>
        <w:numPr>
          <w:ilvl w:val="0"/>
          <w:numId w:val="13"/>
        </w:numPr>
        <w:ind w:left="360"/>
      </w:pPr>
      <w:r w:rsidRPr="00145062">
        <w:t>Are services still using DECT or are they transitioning to DECT-2020 NR?</w:t>
      </w:r>
    </w:p>
    <w:p w14:paraId="28033B1B" w14:textId="77777777" w:rsidR="009541B7" w:rsidRPr="001F08F2" w:rsidRDefault="009541B7" w:rsidP="009C17DC">
      <w:pPr>
        <w:pStyle w:val="Numberlistlevel1"/>
        <w:numPr>
          <w:ilvl w:val="0"/>
          <w:numId w:val="13"/>
        </w:numPr>
        <w:ind w:left="360"/>
      </w:pPr>
      <w:r w:rsidRPr="001F08F2">
        <w:t>A</w:t>
      </w:r>
      <w:r>
        <w:t>re there a</w:t>
      </w:r>
      <w:r w:rsidRPr="001F08F2">
        <w:t>ny</w:t>
      </w:r>
      <w:r w:rsidRPr="001F08F2" w:rsidDel="004819E2">
        <w:t xml:space="preserve"> </w:t>
      </w:r>
      <w:r w:rsidRPr="001F08F2">
        <w:t>applicable coexistence scenarios not identified</w:t>
      </w:r>
      <w:r>
        <w:t>?</w:t>
      </w:r>
      <w:r w:rsidRPr="001F08F2">
        <w:t xml:space="preserve"> Are there any </w:t>
      </w:r>
      <w:r>
        <w:t xml:space="preserve">scenarios </w:t>
      </w:r>
      <w:r w:rsidRPr="001F08F2">
        <w:t xml:space="preserve">that are unlikely to be practically achievable (and hence the associated planning scenario should be discounted), or are there any that are readily achieved? </w:t>
      </w:r>
    </w:p>
    <w:p w14:paraId="1EFF3D6C" w14:textId="77777777" w:rsidR="009541B7" w:rsidRPr="001F08F2" w:rsidRDefault="009541B7" w:rsidP="009C17DC">
      <w:pPr>
        <w:pStyle w:val="Numberlistlevel1"/>
        <w:numPr>
          <w:ilvl w:val="0"/>
          <w:numId w:val="13"/>
        </w:numPr>
        <w:ind w:left="360"/>
      </w:pPr>
      <w:r>
        <w:t>What are</w:t>
      </w:r>
      <w:r w:rsidRPr="001F08F2">
        <w:t xml:space="preserve"> possible planning scenarios and industry views on </w:t>
      </w:r>
      <w:r w:rsidRPr="001241AF">
        <w:t xml:space="preserve">the </w:t>
      </w:r>
      <w:r w:rsidRPr="00E200E5">
        <w:t>overall future</w:t>
      </w:r>
      <w:r w:rsidRPr="001241AF">
        <w:t xml:space="preserve"> </w:t>
      </w:r>
      <w:r w:rsidRPr="00E200E5">
        <w:t>use</w:t>
      </w:r>
      <w:r w:rsidRPr="001F08F2">
        <w:t xml:space="preserve"> of the 1.9 GHz band and its services:</w:t>
      </w:r>
    </w:p>
    <w:p w14:paraId="40E41E11" w14:textId="77777777" w:rsidR="009541B7" w:rsidRPr="001F08F2" w:rsidRDefault="009541B7" w:rsidP="009C17DC">
      <w:pPr>
        <w:pStyle w:val="Numberlistlevel1"/>
        <w:numPr>
          <w:ilvl w:val="0"/>
          <w:numId w:val="15"/>
        </w:numPr>
        <w:ind w:left="720"/>
      </w:pPr>
      <w:r w:rsidRPr="001F08F2">
        <w:t>How much spectrum is required (distinguishing between the minimum viable and desirable) to provide the service?</w:t>
      </w:r>
    </w:p>
    <w:p w14:paraId="0A62571C" w14:textId="77777777" w:rsidR="009541B7" w:rsidRPr="001F08F2" w:rsidRDefault="009541B7" w:rsidP="009C17DC">
      <w:pPr>
        <w:pStyle w:val="Numberlistlevel1"/>
        <w:numPr>
          <w:ilvl w:val="0"/>
          <w:numId w:val="15"/>
        </w:numPr>
        <w:ind w:left="720"/>
      </w:pPr>
      <w:r w:rsidRPr="001F08F2">
        <w:t>Is there a clear geographical delineation – for example, metropolitan or regional – for the service?</w:t>
      </w:r>
    </w:p>
    <w:p w14:paraId="79B473FB" w14:textId="77777777" w:rsidR="009541B7" w:rsidRPr="001F08F2" w:rsidRDefault="009541B7" w:rsidP="009C17DC">
      <w:pPr>
        <w:pStyle w:val="Numberlistlevel1"/>
        <w:numPr>
          <w:ilvl w:val="0"/>
          <w:numId w:val="15"/>
        </w:numPr>
        <w:spacing w:after="240"/>
        <w:ind w:left="714" w:hanging="357"/>
      </w:pPr>
      <w:r w:rsidRPr="001F08F2">
        <w:t>Is there or will there be equipment readily available for the service?</w:t>
      </w:r>
    </w:p>
    <w:p w14:paraId="2E555439" w14:textId="654AF820" w:rsidR="00375529" w:rsidRDefault="00375529" w:rsidP="003671B6">
      <w:pPr>
        <w:pStyle w:val="Paragraphbeforelist"/>
      </w:pPr>
      <w:bookmarkStart w:id="62" w:name="_Hlk14257908"/>
      <w:r>
        <w:rPr>
          <w:szCs w:val="20"/>
        </w:rPr>
        <w:t xml:space="preserve">The ACMA presented </w:t>
      </w:r>
      <w:r w:rsidR="00923098">
        <w:rPr>
          <w:szCs w:val="20"/>
        </w:rPr>
        <w:t xml:space="preserve">5 </w:t>
      </w:r>
      <w:r>
        <w:rPr>
          <w:szCs w:val="20"/>
        </w:rPr>
        <w:t>scenarios in the discussion paper</w:t>
      </w:r>
      <w:bookmarkEnd w:id="62"/>
      <w:r>
        <w:t>, including a consideration of potential coexistence issues</w:t>
      </w:r>
      <w:r w:rsidR="00923098">
        <w:t>:</w:t>
      </w:r>
      <w:r>
        <w:t xml:space="preserve"> </w:t>
      </w:r>
    </w:p>
    <w:p w14:paraId="1A8CD61E" w14:textId="77777777" w:rsidR="00375529" w:rsidRPr="00EC12C3" w:rsidRDefault="00375529" w:rsidP="00375529">
      <w:pPr>
        <w:pStyle w:val="Bulletlevel1"/>
      </w:pPr>
      <w:r w:rsidRPr="005A2210">
        <w:t>Sce</w:t>
      </w:r>
      <w:r w:rsidRPr="00EC12C3">
        <w:t>nario 1: Use of the whole band by a single technology</w:t>
      </w:r>
      <w:r>
        <w:t>,</w:t>
      </w:r>
      <w:r w:rsidRPr="00EC12C3">
        <w:t xml:space="preserve"> such as DECT or wireless broadband.</w:t>
      </w:r>
    </w:p>
    <w:p w14:paraId="27FEF459" w14:textId="77777777" w:rsidR="00375529" w:rsidRPr="00EC12C3" w:rsidRDefault="00375529" w:rsidP="00375529">
      <w:pPr>
        <w:pStyle w:val="Bulletlevel1"/>
      </w:pPr>
      <w:r w:rsidRPr="00EC12C3">
        <w:t>Scenario 2: Dedicated frequency segments for multiple technologies</w:t>
      </w:r>
      <w:r>
        <w:t>,</w:t>
      </w:r>
      <w:r w:rsidRPr="00EC12C3">
        <w:t xml:space="preserve"> such as DECT or wireless broadband.</w:t>
      </w:r>
    </w:p>
    <w:p w14:paraId="7AF0BDB0" w14:textId="48591352" w:rsidR="00375529" w:rsidRPr="00EC12C3" w:rsidRDefault="00375529" w:rsidP="00375529">
      <w:pPr>
        <w:pStyle w:val="Bulletlevel1"/>
      </w:pPr>
      <w:r w:rsidRPr="00EC12C3">
        <w:t xml:space="preserve">Scenario 3: Dedicated frequency segments for multiple technologies but with some geographical restriction for some, such as remote only for </w:t>
      </w:r>
      <w:r w:rsidR="00616DF9">
        <w:t>PTP</w:t>
      </w:r>
      <w:r w:rsidRPr="00EC12C3">
        <w:t xml:space="preserve"> services.</w:t>
      </w:r>
    </w:p>
    <w:p w14:paraId="00AA1475" w14:textId="77777777" w:rsidR="00375529" w:rsidRPr="005A2210" w:rsidRDefault="00375529" w:rsidP="00375529">
      <w:pPr>
        <w:pStyle w:val="Bulletlevel1"/>
      </w:pPr>
      <w:r w:rsidRPr="00EC12C3">
        <w:t>Scenario 4</w:t>
      </w:r>
      <w:r w:rsidRPr="005A2210">
        <w:t>: Sharing of frequency segments by multiple technologies.</w:t>
      </w:r>
    </w:p>
    <w:p w14:paraId="17DF8860" w14:textId="77777777" w:rsidR="00375529" w:rsidRPr="005A2210" w:rsidRDefault="00375529" w:rsidP="00375529">
      <w:pPr>
        <w:pStyle w:val="ListBulletLast"/>
      </w:pPr>
      <w:r w:rsidRPr="005A2210">
        <w:t>Scenario 5: Hybrid approaches of the other scenarios involving geographic restriction but some sharing.</w:t>
      </w:r>
    </w:p>
    <w:p w14:paraId="29187D24" w14:textId="299E9B4B" w:rsidR="00883311" w:rsidRDefault="00883311" w:rsidP="00883311">
      <w:pPr>
        <w:pStyle w:val="Heading3"/>
      </w:pPr>
      <w:bookmarkStart w:id="63" w:name="_Toc150345654"/>
      <w:r>
        <w:t>Options paper</w:t>
      </w:r>
      <w:bookmarkEnd w:id="63"/>
    </w:p>
    <w:p w14:paraId="2B7EA319" w14:textId="4189A9BB" w:rsidR="001426AD" w:rsidRDefault="009D530E" w:rsidP="00883311">
      <w:r w:rsidRPr="00A85D75">
        <w:t>The ACMA subsequentl</w:t>
      </w:r>
      <w:r w:rsidR="00405924" w:rsidRPr="00A85D75">
        <w:t>y progressed the band to the preliminary replanning stag</w:t>
      </w:r>
      <w:r w:rsidR="003B72F1" w:rsidRPr="00A85D75">
        <w:t>e, which included release</w:t>
      </w:r>
      <w:r w:rsidR="009205C3">
        <w:t xml:space="preserve"> of</w:t>
      </w:r>
      <w:r w:rsidR="003B72F1" w:rsidRPr="00A85D75">
        <w:t xml:space="preserve"> </w:t>
      </w:r>
      <w:r w:rsidR="0032062B">
        <w:t xml:space="preserve">the </w:t>
      </w:r>
      <w:hyperlink r:id="rId46" w:history="1">
        <w:r w:rsidR="00923098" w:rsidRPr="00B55595">
          <w:rPr>
            <w:rStyle w:val="Hyperlink"/>
            <w:i/>
            <w:iCs/>
          </w:rPr>
          <w:t>Replanning of the 1880–1920 MHz band</w:t>
        </w:r>
      </w:hyperlink>
      <w:r w:rsidR="0072114D" w:rsidRPr="00B55595">
        <w:rPr>
          <w:i/>
          <w:iCs/>
        </w:rPr>
        <w:t xml:space="preserve"> </w:t>
      </w:r>
      <w:r w:rsidR="00345D6F">
        <w:t xml:space="preserve">options paper </w:t>
      </w:r>
      <w:r w:rsidR="003B72F1" w:rsidRPr="00A85D75">
        <w:t xml:space="preserve">in </w:t>
      </w:r>
      <w:r w:rsidR="00710A22">
        <w:t>November 2022</w:t>
      </w:r>
      <w:r w:rsidR="0072114D" w:rsidRPr="00A85D75">
        <w:t xml:space="preserve">. </w:t>
      </w:r>
    </w:p>
    <w:p w14:paraId="32DA17BD" w14:textId="0622D71A" w:rsidR="00883311" w:rsidRDefault="00883311" w:rsidP="00883311">
      <w:pPr>
        <w:pStyle w:val="Paragraphbeforelist"/>
      </w:pPr>
      <w:r w:rsidRPr="00BF2F2F">
        <w:t xml:space="preserve">In conducting its planning activities, </w:t>
      </w:r>
      <w:r>
        <w:t xml:space="preserve">the ACMA </w:t>
      </w:r>
      <w:r w:rsidR="00EB79CE">
        <w:t>is</w:t>
      </w:r>
      <w:r>
        <w:t xml:space="preserve"> </w:t>
      </w:r>
      <w:r w:rsidRPr="00BF2F2F">
        <w:t>informed by the object of the</w:t>
      </w:r>
      <w:r>
        <w:t xml:space="preserve"> </w:t>
      </w:r>
      <w:r w:rsidR="00A77932">
        <w:t xml:space="preserve">Radiocommunications </w:t>
      </w:r>
      <w:r w:rsidRPr="00A05EC9">
        <w:t>Act</w:t>
      </w:r>
      <w:r>
        <w:t xml:space="preserve">. Consistent with that object and after reviewing submissions to the discussion paper, the options paper proposed the following </w:t>
      </w:r>
      <w:r w:rsidR="00923098">
        <w:t>5</w:t>
      </w:r>
      <w:r w:rsidR="00923098" w:rsidRPr="008B24D8">
        <w:t xml:space="preserve"> </w:t>
      </w:r>
      <w:r w:rsidRPr="008B24D8">
        <w:t>desirable planning outcomes for</w:t>
      </w:r>
      <w:r>
        <w:t xml:space="preserve"> the review of the 1.9 GHz band:</w:t>
      </w:r>
    </w:p>
    <w:p w14:paraId="73CD8EEA" w14:textId="6CFB185E" w:rsidR="00883311" w:rsidRPr="002B5FEC" w:rsidRDefault="00883311" w:rsidP="00300348">
      <w:pPr>
        <w:pStyle w:val="ListNumber"/>
        <w:numPr>
          <w:ilvl w:val="0"/>
          <w:numId w:val="21"/>
        </w:numPr>
        <w:ind w:right="16"/>
      </w:pPr>
      <w:bookmarkStart w:id="64" w:name="_Hlk147478668"/>
      <w:r w:rsidRPr="002B5FEC">
        <w:t xml:space="preserve">Maintain </w:t>
      </w:r>
      <w:r>
        <w:t xml:space="preserve">regulatory arrangements for </w:t>
      </w:r>
      <w:r w:rsidRPr="002B5FEC">
        <w:t xml:space="preserve">existing services </w:t>
      </w:r>
      <w:r>
        <w:t>within the 1.9 GHz band.</w:t>
      </w:r>
    </w:p>
    <w:p w14:paraId="2FF0A9DF" w14:textId="1E7C5D54" w:rsidR="00883311" w:rsidRPr="002B5FEC" w:rsidRDefault="00883311" w:rsidP="00300348">
      <w:pPr>
        <w:pStyle w:val="ListNumber"/>
        <w:numPr>
          <w:ilvl w:val="0"/>
          <w:numId w:val="21"/>
        </w:numPr>
        <w:ind w:right="16"/>
      </w:pPr>
      <w:r>
        <w:t>E</w:t>
      </w:r>
      <w:r w:rsidRPr="002B5FEC">
        <w:t>xpan</w:t>
      </w:r>
      <w:r>
        <w:t>d</w:t>
      </w:r>
      <w:r w:rsidRPr="002B5FEC">
        <w:t xml:space="preserve"> </w:t>
      </w:r>
      <w:r>
        <w:t>arrangements for</w:t>
      </w:r>
      <w:r w:rsidRPr="002B5FEC">
        <w:t xml:space="preserve"> </w:t>
      </w:r>
      <w:r w:rsidR="00D71234">
        <w:t>SR</w:t>
      </w:r>
      <w:r w:rsidRPr="002B5FEC">
        <w:t xml:space="preserve"> WBB services</w:t>
      </w:r>
      <w:r>
        <w:t>.</w:t>
      </w:r>
    </w:p>
    <w:p w14:paraId="3EB19FD0" w14:textId="2B1C12B9" w:rsidR="00883311" w:rsidRPr="002B5FEC" w:rsidRDefault="00883311" w:rsidP="00300348">
      <w:pPr>
        <w:pStyle w:val="ListNumber"/>
        <w:numPr>
          <w:ilvl w:val="0"/>
          <w:numId w:val="21"/>
        </w:numPr>
        <w:ind w:right="16"/>
      </w:pPr>
      <w:r>
        <w:t>I</w:t>
      </w:r>
      <w:r w:rsidRPr="002B5FEC">
        <w:t>ntroduc</w:t>
      </w:r>
      <w:r>
        <w:t>e</w:t>
      </w:r>
      <w:r w:rsidRPr="002B5FEC">
        <w:t xml:space="preserve"> </w:t>
      </w:r>
      <w:r>
        <w:t>arrangements for</w:t>
      </w:r>
      <w:r w:rsidRPr="002B5FEC">
        <w:t xml:space="preserve"> new </w:t>
      </w:r>
      <w:r>
        <w:t>RMR</w:t>
      </w:r>
      <w:r w:rsidRPr="002B5FEC">
        <w:t xml:space="preserve"> services</w:t>
      </w:r>
      <w:r>
        <w:t>.</w:t>
      </w:r>
    </w:p>
    <w:p w14:paraId="3F4CB332" w14:textId="77777777" w:rsidR="00883311" w:rsidRPr="002B5FEC" w:rsidRDefault="00883311" w:rsidP="00300348">
      <w:pPr>
        <w:pStyle w:val="ListNumber"/>
        <w:numPr>
          <w:ilvl w:val="0"/>
          <w:numId w:val="21"/>
        </w:numPr>
        <w:ind w:right="16"/>
      </w:pPr>
      <w:r>
        <w:t>Maintain</w:t>
      </w:r>
      <w:r w:rsidRPr="002B5FEC">
        <w:t xml:space="preserve"> coexistence with 1.9 GHz band services</w:t>
      </w:r>
      <w:r>
        <w:t>.</w:t>
      </w:r>
    </w:p>
    <w:p w14:paraId="7C836DB0" w14:textId="77777777" w:rsidR="00883311" w:rsidRPr="002B5FEC" w:rsidRDefault="00883311" w:rsidP="00300348">
      <w:pPr>
        <w:pStyle w:val="ListNumber"/>
        <w:numPr>
          <w:ilvl w:val="0"/>
          <w:numId w:val="21"/>
        </w:numPr>
        <w:spacing w:after="240"/>
        <w:ind w:left="641" w:right="16" w:hanging="357"/>
      </w:pPr>
      <w:r>
        <w:t>Maintain</w:t>
      </w:r>
      <w:r w:rsidRPr="002B5FEC">
        <w:t xml:space="preserve"> coexistence with adjacent band services</w:t>
      </w:r>
      <w:r>
        <w:t>.</w:t>
      </w:r>
    </w:p>
    <w:p w14:paraId="02CDFAAC" w14:textId="01EE60A1" w:rsidR="0077520A" w:rsidRPr="00A85D75" w:rsidRDefault="004C2D32" w:rsidP="00485EDB">
      <w:pPr>
        <w:pStyle w:val="Paragraphbeforelist"/>
      </w:pPr>
      <w:bookmarkStart w:id="65" w:name="_Hlk150424049"/>
      <w:bookmarkEnd w:id="64"/>
      <w:r w:rsidRPr="00A85D75">
        <w:t>The paper</w:t>
      </w:r>
      <w:r w:rsidR="003C0268" w:rsidRPr="00A85D75">
        <w:t xml:space="preserve"> identified </w:t>
      </w:r>
      <w:r w:rsidR="001F7A4F" w:rsidRPr="00A85D75">
        <w:t xml:space="preserve">and assessed </w:t>
      </w:r>
      <w:r w:rsidR="00923098">
        <w:t>4</w:t>
      </w:r>
      <w:r w:rsidR="00923098" w:rsidRPr="00A85D75">
        <w:t xml:space="preserve"> </w:t>
      </w:r>
      <w:r w:rsidR="003C0268" w:rsidRPr="00A85D75">
        <w:t xml:space="preserve">replanning options for the </w:t>
      </w:r>
      <w:r w:rsidR="008B24D8">
        <w:t>1.9 GHz</w:t>
      </w:r>
      <w:r w:rsidR="003C0268" w:rsidRPr="00A85D75">
        <w:t xml:space="preserve"> band</w:t>
      </w:r>
      <w:r w:rsidR="00815097">
        <w:t>.</w:t>
      </w:r>
    </w:p>
    <w:p w14:paraId="59F6118B" w14:textId="77777777" w:rsidR="00325218" w:rsidRPr="00906AFE" w:rsidRDefault="00325218" w:rsidP="00325218">
      <w:pPr>
        <w:pStyle w:val="ListBullet"/>
      </w:pPr>
      <w:bookmarkStart w:id="66" w:name="_Hlk116468777"/>
      <w:r w:rsidRPr="00906AFE">
        <w:t xml:space="preserve">Option 1: Maintain existing arrangements. </w:t>
      </w:r>
    </w:p>
    <w:p w14:paraId="500BECB8" w14:textId="77777777" w:rsidR="00325218" w:rsidRPr="00906AFE" w:rsidRDefault="00325218" w:rsidP="00325218">
      <w:pPr>
        <w:pStyle w:val="ListBullet"/>
      </w:pPr>
      <w:r w:rsidRPr="00906AFE">
        <w:t>Option 2: Maintain exclusive SR WBB access to 1880–1900 MHz and allow SR WBB access to 1900–1920 MHz on a shared basis Australia-wide, with no other change to current arrangements.</w:t>
      </w:r>
    </w:p>
    <w:p w14:paraId="748525E8" w14:textId="0D0DBAEF" w:rsidR="00325218" w:rsidRPr="00906AFE" w:rsidRDefault="00325218" w:rsidP="00325218">
      <w:pPr>
        <w:pStyle w:val="ListBullet"/>
      </w:pPr>
      <w:r w:rsidRPr="00906AFE">
        <w:t xml:space="preserve">Option 3: Introduce arrangements for RMR in the 1900–1910 MHz </w:t>
      </w:r>
      <w:r w:rsidR="008B24D8">
        <w:t xml:space="preserve">frequency </w:t>
      </w:r>
      <w:r w:rsidRPr="00906AFE">
        <w:t>range, both exclusively and shared with existing services on an Australia-wide basis, with no change to current arrangements in the rest of the band.</w:t>
      </w:r>
    </w:p>
    <w:p w14:paraId="330C3808" w14:textId="048161EB" w:rsidR="00325218" w:rsidRDefault="00325218" w:rsidP="00325218">
      <w:pPr>
        <w:pStyle w:val="ListBulletLast"/>
      </w:pPr>
      <w:r w:rsidRPr="00906AFE">
        <w:lastRenderedPageBreak/>
        <w:t>Option 4:</w:t>
      </w:r>
      <w:r>
        <w:t xml:space="preserve"> Maintain exclusive SR WBB access to 1880–1900 MHz and allow </w:t>
      </w:r>
      <w:r>
        <w:br/>
        <w:t xml:space="preserve">SR WBB access to 1900–1920 MHz on a shared basis Australia-wide. Introduce arrangements to allow for RMR in the 1900–1910 MHz </w:t>
      </w:r>
      <w:r w:rsidR="008B24D8">
        <w:t xml:space="preserve">frequency </w:t>
      </w:r>
      <w:r>
        <w:t>range</w:t>
      </w:r>
      <w:r w:rsidRPr="002D5B7D">
        <w:t xml:space="preserve"> </w:t>
      </w:r>
      <w:r>
        <w:t>on a</w:t>
      </w:r>
      <w:r w:rsidRPr="002D5B7D">
        <w:t xml:space="preserve"> shared </w:t>
      </w:r>
      <w:r>
        <w:t xml:space="preserve">basis </w:t>
      </w:r>
      <w:r w:rsidRPr="002D5B7D">
        <w:t xml:space="preserve">with </w:t>
      </w:r>
      <w:r>
        <w:t>other</w:t>
      </w:r>
      <w:r w:rsidRPr="002D5B7D">
        <w:t xml:space="preserve"> services </w:t>
      </w:r>
      <w:r>
        <w:t>on an Australia-wide basis.</w:t>
      </w:r>
    </w:p>
    <w:bookmarkEnd w:id="65"/>
    <w:bookmarkEnd w:id="66"/>
    <w:p w14:paraId="69A08274" w14:textId="4E81B207" w:rsidR="00293B26" w:rsidRDefault="006A3F82" w:rsidP="00B30297">
      <w:pPr>
        <w:pStyle w:val="Paragraph"/>
      </w:pPr>
      <w:r w:rsidRPr="00A85D75">
        <w:t xml:space="preserve">Option </w:t>
      </w:r>
      <w:r w:rsidR="001426AD">
        <w:t>4</w:t>
      </w:r>
      <w:r w:rsidRPr="00A85D75">
        <w:t xml:space="preserve"> was identified as most likely to maximise the public benefit from use of the </w:t>
      </w:r>
      <w:r w:rsidR="008B24D8">
        <w:t>1.9 GHz</w:t>
      </w:r>
      <w:r w:rsidRPr="00A85D75">
        <w:t xml:space="preserve"> </w:t>
      </w:r>
      <w:r w:rsidR="00FF7FA7" w:rsidRPr="00A85D75">
        <w:t>band and</w:t>
      </w:r>
      <w:r w:rsidRPr="00A85D75">
        <w:t xml:space="preserve"> was therefore presented as the ACMA’s </w:t>
      </w:r>
      <w:r w:rsidR="00345D6F">
        <w:t xml:space="preserve">preliminary </w:t>
      </w:r>
      <w:r w:rsidRPr="00A85D75">
        <w:t>preferred option.</w:t>
      </w:r>
      <w:r w:rsidR="00742CF5" w:rsidRPr="00A85D75">
        <w:t xml:space="preserve"> </w:t>
      </w:r>
      <w:r w:rsidR="00293B26">
        <w:t xml:space="preserve">Option 4 would maintain all current </w:t>
      </w:r>
      <w:r w:rsidR="00293B26" w:rsidRPr="00B95326">
        <w:t xml:space="preserve">incumbent </w:t>
      </w:r>
      <w:r w:rsidR="00293B26">
        <w:t>SR WBB,</w:t>
      </w:r>
      <w:r w:rsidR="00293B26" w:rsidRPr="00B95326">
        <w:t xml:space="preserve"> </w:t>
      </w:r>
      <w:r w:rsidR="00293B26">
        <w:t xml:space="preserve">LA </w:t>
      </w:r>
      <w:r w:rsidR="00293B26" w:rsidRPr="00B95326">
        <w:t>WBB and PTP services</w:t>
      </w:r>
      <w:r w:rsidR="00293B26">
        <w:t>, expand</w:t>
      </w:r>
      <w:r w:rsidR="00293B26" w:rsidRPr="00B95326">
        <w:t xml:space="preserve"> </w:t>
      </w:r>
      <w:r w:rsidR="00293B26">
        <w:t xml:space="preserve">the SR WBB allocation across the entire </w:t>
      </w:r>
      <w:r w:rsidR="006002BF">
        <w:t>1.9 GHz band</w:t>
      </w:r>
      <w:r w:rsidR="00293B26">
        <w:t>, and introduce</w:t>
      </w:r>
      <w:r w:rsidR="00293B26" w:rsidRPr="00B95326">
        <w:t xml:space="preserve"> </w:t>
      </w:r>
      <w:r w:rsidR="00293B26">
        <w:t>the RMR allocation for rail communications in the 1900–1910 MHz frequency range.</w:t>
      </w:r>
    </w:p>
    <w:p w14:paraId="38FF0CA3" w14:textId="6800B456" w:rsidR="0016325C" w:rsidRPr="00A85D75" w:rsidRDefault="00D906D1" w:rsidP="0016325C">
      <w:pPr>
        <w:pStyle w:val="Heading2"/>
      </w:pPr>
      <w:bookmarkStart w:id="67" w:name="_Toc46316359"/>
      <w:bookmarkStart w:id="68" w:name="_Toc56965688"/>
      <w:bookmarkStart w:id="69" w:name="_Toc150345655"/>
      <w:r w:rsidRPr="00A85D75">
        <w:t>Discussion</w:t>
      </w:r>
      <w:r w:rsidR="0016325C" w:rsidRPr="00A85D75">
        <w:t xml:space="preserve"> of </w:t>
      </w:r>
      <w:bookmarkEnd w:id="67"/>
      <w:bookmarkEnd w:id="68"/>
      <w:r w:rsidR="004541F3">
        <w:t>responses</w:t>
      </w:r>
      <w:bookmarkEnd w:id="69"/>
    </w:p>
    <w:p w14:paraId="68371929" w14:textId="6766AB10" w:rsidR="00FD7AC3" w:rsidRDefault="004632E1" w:rsidP="004632E1">
      <w:pPr>
        <w:widowControl w:val="0"/>
        <w:spacing w:before="120"/>
      </w:pPr>
      <w:r>
        <w:t>Consultation on the options paper close</w:t>
      </w:r>
      <w:r w:rsidR="00564582">
        <w:t>d</w:t>
      </w:r>
      <w:r>
        <w:t xml:space="preserve"> on 17 Ma</w:t>
      </w:r>
      <w:r w:rsidR="00564582">
        <w:t>r</w:t>
      </w:r>
      <w:r>
        <w:t xml:space="preserve">ch 2023. </w:t>
      </w:r>
      <w:r w:rsidR="000B5A7F" w:rsidRPr="00A85D75">
        <w:rPr>
          <w:szCs w:val="20"/>
        </w:rPr>
        <w:t>We</w:t>
      </w:r>
      <w:r w:rsidR="0016325C" w:rsidRPr="00A85D75">
        <w:rPr>
          <w:szCs w:val="20"/>
        </w:rPr>
        <w:t xml:space="preserve"> </w:t>
      </w:r>
      <w:r w:rsidR="0016325C" w:rsidRPr="00A95E77">
        <w:rPr>
          <w:szCs w:val="20"/>
        </w:rPr>
        <w:t xml:space="preserve">received </w:t>
      </w:r>
      <w:r w:rsidR="00A95E77" w:rsidRPr="00A95E77">
        <w:rPr>
          <w:szCs w:val="20"/>
        </w:rPr>
        <w:t>1</w:t>
      </w:r>
      <w:r w:rsidR="00CB7598">
        <w:rPr>
          <w:szCs w:val="20"/>
        </w:rPr>
        <w:t>1</w:t>
      </w:r>
      <w:r w:rsidR="006302EA" w:rsidRPr="00A95E77">
        <w:rPr>
          <w:szCs w:val="20"/>
        </w:rPr>
        <w:t xml:space="preserve"> </w:t>
      </w:r>
      <w:r w:rsidR="004541F3">
        <w:t>responses to the options paper</w:t>
      </w:r>
      <w:r w:rsidR="00FD7AC3">
        <w:t xml:space="preserve">. A </w:t>
      </w:r>
      <w:r w:rsidR="0048205D">
        <w:t>‘</w:t>
      </w:r>
      <w:r w:rsidR="00FD7AC3">
        <w:t>reply to comment</w:t>
      </w:r>
      <w:r w:rsidR="0048205D">
        <w:t>’</w:t>
      </w:r>
      <w:r w:rsidR="00FD7AC3">
        <w:t xml:space="preserve"> period opened on 27 March 2023 and closed on 21 April 2023, with 5 re</w:t>
      </w:r>
      <w:r w:rsidR="00F928CC">
        <w:t>plies</w:t>
      </w:r>
      <w:r w:rsidR="00FD7AC3">
        <w:t xml:space="preserve"> received.</w:t>
      </w:r>
      <w:r w:rsidR="000F288D">
        <w:t xml:space="preserve"> </w:t>
      </w:r>
      <w:r w:rsidR="00FD7AC3">
        <w:t>All submissions</w:t>
      </w:r>
      <w:r w:rsidR="0016325C" w:rsidRPr="00A85D75">
        <w:t xml:space="preserve"> are available </w:t>
      </w:r>
      <w:hyperlink r:id="rId47" w:history="1">
        <w:r w:rsidR="0016325C" w:rsidRPr="008B24D8">
          <w:rPr>
            <w:rStyle w:val="Hyperlink"/>
          </w:rPr>
          <w:t>on the ACMA website</w:t>
        </w:r>
      </w:hyperlink>
      <w:r w:rsidR="0016325C" w:rsidRPr="00A85D75">
        <w:t>.</w:t>
      </w:r>
    </w:p>
    <w:p w14:paraId="5AB6C5F9" w14:textId="24579FC6" w:rsidR="00EE0ABE" w:rsidRPr="00057029" w:rsidRDefault="00EE0ABE" w:rsidP="00EE0ABE">
      <w:pPr>
        <w:pStyle w:val="Heading1"/>
      </w:pPr>
      <w:bookmarkStart w:id="70" w:name="_Toc150345656"/>
      <w:r w:rsidRPr="00057029">
        <w:lastRenderedPageBreak/>
        <w:t xml:space="preserve">Summary and response to </w:t>
      </w:r>
      <w:r>
        <w:t xml:space="preserve">options paper </w:t>
      </w:r>
      <w:r w:rsidRPr="00057029">
        <w:t>issues</w:t>
      </w:r>
      <w:bookmarkEnd w:id="70"/>
    </w:p>
    <w:p w14:paraId="30D5BFA5" w14:textId="0F8F2F69" w:rsidR="00EE0ABE" w:rsidRPr="00057029" w:rsidRDefault="00EE0ABE" w:rsidP="00EE0ABE">
      <w:pPr>
        <w:rPr>
          <w:rFonts w:cs="Arial"/>
          <w:szCs w:val="20"/>
        </w:rPr>
      </w:pPr>
      <w:r w:rsidRPr="00057029">
        <w:rPr>
          <w:rFonts w:cs="Arial"/>
          <w:szCs w:val="20"/>
        </w:rPr>
        <w:t xml:space="preserve">This section summarises responses </w:t>
      </w:r>
      <w:r w:rsidR="0048205D">
        <w:rPr>
          <w:rFonts w:cs="Arial"/>
          <w:szCs w:val="20"/>
        </w:rPr>
        <w:t>provided to</w:t>
      </w:r>
      <w:r w:rsidRPr="00057029">
        <w:rPr>
          <w:rFonts w:cs="Arial"/>
          <w:szCs w:val="20"/>
        </w:rPr>
        <w:t xml:space="preserve"> the</w:t>
      </w:r>
      <w:r>
        <w:rPr>
          <w:rFonts w:cs="Arial"/>
          <w:szCs w:val="20"/>
        </w:rPr>
        <w:t xml:space="preserve"> options</w:t>
      </w:r>
      <w:r w:rsidRPr="00057029">
        <w:rPr>
          <w:rFonts w:cs="Arial"/>
          <w:szCs w:val="20"/>
        </w:rPr>
        <w:t xml:space="preserve"> paper</w:t>
      </w:r>
      <w:r w:rsidR="0048205D">
        <w:rPr>
          <w:rFonts w:cs="Arial"/>
          <w:szCs w:val="20"/>
        </w:rPr>
        <w:t xml:space="preserve">, any </w:t>
      </w:r>
      <w:r w:rsidRPr="00057029">
        <w:rPr>
          <w:rFonts w:cs="Arial"/>
          <w:szCs w:val="20"/>
        </w:rPr>
        <w:t>additional issues raised</w:t>
      </w:r>
      <w:r w:rsidR="00C14399">
        <w:rPr>
          <w:rFonts w:cs="Arial"/>
          <w:szCs w:val="20"/>
        </w:rPr>
        <w:t xml:space="preserve">, and the </w:t>
      </w:r>
      <w:r w:rsidR="0048205D">
        <w:rPr>
          <w:rFonts w:cs="Arial"/>
          <w:szCs w:val="20"/>
        </w:rPr>
        <w:t>‘</w:t>
      </w:r>
      <w:r w:rsidR="00C14399">
        <w:rPr>
          <w:rFonts w:cs="Arial"/>
          <w:szCs w:val="20"/>
        </w:rPr>
        <w:t>reply to</w:t>
      </w:r>
      <w:r w:rsidR="0048205D">
        <w:rPr>
          <w:rFonts w:cs="Arial"/>
          <w:szCs w:val="20"/>
        </w:rPr>
        <w:t xml:space="preserve"> comment’</w:t>
      </w:r>
      <w:r w:rsidR="00C14399">
        <w:rPr>
          <w:rFonts w:cs="Arial"/>
          <w:szCs w:val="20"/>
        </w:rPr>
        <w:t xml:space="preserve"> </w:t>
      </w:r>
      <w:r w:rsidR="004541F3">
        <w:rPr>
          <w:rFonts w:cs="Arial"/>
          <w:szCs w:val="20"/>
        </w:rPr>
        <w:t xml:space="preserve">responses </w:t>
      </w:r>
      <w:r w:rsidR="00C14399">
        <w:rPr>
          <w:rFonts w:cs="Arial"/>
          <w:szCs w:val="20"/>
        </w:rPr>
        <w:t>we received</w:t>
      </w:r>
      <w:r w:rsidRPr="00057029">
        <w:rPr>
          <w:rFonts w:cs="Arial"/>
          <w:szCs w:val="20"/>
        </w:rPr>
        <w:t xml:space="preserve">. </w:t>
      </w:r>
      <w:r w:rsidR="00A711DA">
        <w:rPr>
          <w:rFonts w:cs="Arial"/>
          <w:szCs w:val="20"/>
        </w:rPr>
        <w:t>A list of all respondents is in Appendix A.</w:t>
      </w:r>
    </w:p>
    <w:p w14:paraId="1325DCC9" w14:textId="77777777" w:rsidR="00EE0ABE" w:rsidRPr="00057029" w:rsidRDefault="00EE0ABE" w:rsidP="00EE0ABE">
      <w:pPr>
        <w:pStyle w:val="Heading2"/>
        <w:spacing w:after="240"/>
      </w:pPr>
      <w:bookmarkStart w:id="71" w:name="_Toc150345657"/>
      <w:r w:rsidRPr="00057029">
        <w:t xml:space="preserve">Issues for </w:t>
      </w:r>
      <w:r>
        <w:t>c</w:t>
      </w:r>
      <w:r w:rsidRPr="00057029">
        <w:t>omment</w:t>
      </w:r>
      <w:bookmarkEnd w:id="71"/>
      <w:r w:rsidRPr="00057029">
        <w:t xml:space="preserve"> </w:t>
      </w:r>
    </w:p>
    <w:p w14:paraId="2E93B535" w14:textId="77777777" w:rsidR="00EE0ABE" w:rsidRPr="00D81F71" w:rsidRDefault="00EE0ABE" w:rsidP="00D81F71">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rPr>
          <w:b/>
          <w:bCs/>
        </w:rPr>
      </w:pPr>
      <w:r w:rsidRPr="00D81F71">
        <w:rPr>
          <w:b/>
          <w:bCs/>
        </w:rPr>
        <w:t>Question 1</w:t>
      </w:r>
    </w:p>
    <w:p w14:paraId="739B6FD8" w14:textId="1CFE909D" w:rsidR="00EE0ABE" w:rsidRPr="00057029" w:rsidRDefault="00EE0ABE" w:rsidP="00EE0ABE">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rsidRPr="00EE0ABE">
        <w:t>The ACMA invites comments on the proposed desirable planning outcomes</w:t>
      </w:r>
      <w:r w:rsidR="001C3EC4">
        <w:t>.</w:t>
      </w:r>
    </w:p>
    <w:p w14:paraId="7AE73A6B" w14:textId="25F4D57D" w:rsidR="00906AFE" w:rsidRDefault="00103B17" w:rsidP="005D3171">
      <w:pPr>
        <w:pStyle w:val="Paragraphbeforelist"/>
        <w:spacing w:before="240"/>
      </w:pPr>
      <w:r>
        <w:t>Seven</w:t>
      </w:r>
      <w:r w:rsidR="00EE0ABE" w:rsidRPr="00057029">
        <w:t xml:space="preserve"> </w:t>
      </w:r>
      <w:r w:rsidR="004541F3">
        <w:t>responses</w:t>
      </w:r>
      <w:r w:rsidR="00EE0ABE" w:rsidRPr="00057029">
        <w:t xml:space="preserve"> were received </w:t>
      </w:r>
      <w:r>
        <w:t>addressing this question</w:t>
      </w:r>
      <w:r w:rsidR="00970520">
        <w:t>.</w:t>
      </w:r>
      <w:r w:rsidR="00EF1049">
        <w:t xml:space="preserve"> </w:t>
      </w:r>
      <w:r w:rsidR="002827C9">
        <w:t>Six</w:t>
      </w:r>
      <w:r w:rsidR="00EF1049">
        <w:t xml:space="preserve"> submissions</w:t>
      </w:r>
      <w:r w:rsidR="00A711DA">
        <w:t xml:space="preserve"> support</w:t>
      </w:r>
      <w:r w:rsidR="00970520">
        <w:t>ed</w:t>
      </w:r>
      <w:r w:rsidR="00A711DA">
        <w:t xml:space="preserve"> the</w:t>
      </w:r>
      <w:r w:rsidR="00906AFE">
        <w:t xml:space="preserve"> </w:t>
      </w:r>
      <w:r w:rsidR="006F6C86">
        <w:t>5</w:t>
      </w:r>
      <w:r w:rsidR="00A711DA">
        <w:t xml:space="preserve"> desirable planning outcomes</w:t>
      </w:r>
      <w:r w:rsidR="00906AFE">
        <w:t xml:space="preserve">. </w:t>
      </w:r>
      <w:r w:rsidR="00970520">
        <w:t xml:space="preserve">Some of the comments made </w:t>
      </w:r>
      <w:r w:rsidR="0048205D">
        <w:t>include</w:t>
      </w:r>
      <w:r w:rsidR="00DD1989">
        <w:t>d</w:t>
      </w:r>
      <w:r w:rsidR="00906AFE">
        <w:t>:</w:t>
      </w:r>
    </w:p>
    <w:p w14:paraId="2508F905" w14:textId="4039E64B" w:rsidR="00906AFE" w:rsidRPr="00906AFE" w:rsidRDefault="00546BEC" w:rsidP="00906AFE">
      <w:pPr>
        <w:pStyle w:val="ListBullet"/>
      </w:pPr>
      <w:r>
        <w:t>o</w:t>
      </w:r>
      <w:r w:rsidR="00065942">
        <w:t>ne communications product service</w:t>
      </w:r>
      <w:r w:rsidR="00EF1049">
        <w:t xml:space="preserve"> provider</w:t>
      </w:r>
      <w:r w:rsidR="00065942">
        <w:t xml:space="preserve"> </w:t>
      </w:r>
      <w:r w:rsidR="00906AFE">
        <w:t>agree</w:t>
      </w:r>
      <w:r w:rsidR="004541F3">
        <w:t>d</w:t>
      </w:r>
      <w:r w:rsidR="00906AFE">
        <w:t xml:space="preserve"> with</w:t>
      </w:r>
      <w:r w:rsidR="004541F3">
        <w:t xml:space="preserve"> the </w:t>
      </w:r>
      <w:r w:rsidR="00CD557C" w:rsidRPr="00CD557C">
        <w:t>Electronic Communications Committee</w:t>
      </w:r>
      <w:r w:rsidR="00CD557C">
        <w:t xml:space="preserve"> (</w:t>
      </w:r>
      <w:r w:rsidR="00906AFE">
        <w:t>ECC</w:t>
      </w:r>
      <w:r w:rsidR="00CD557C">
        <w:t>)</w:t>
      </w:r>
      <w:r w:rsidR="00906AFE">
        <w:t xml:space="preserve"> Report 318</w:t>
      </w:r>
      <w:r w:rsidR="004C7B6C">
        <w:rPr>
          <w:rStyle w:val="FootnoteReference"/>
        </w:rPr>
        <w:footnoteReference w:id="7"/>
      </w:r>
      <w:r w:rsidR="00906AFE">
        <w:t xml:space="preserve"> that there is </w:t>
      </w:r>
      <w:r w:rsidR="00970520">
        <w:t>potential for</w:t>
      </w:r>
      <w:r w:rsidR="00906AFE">
        <w:t xml:space="preserve"> interference from high power FRMCS base stations into mobile network base stations in the 1920</w:t>
      </w:r>
      <w:r w:rsidR="0048205D">
        <w:t>–</w:t>
      </w:r>
      <w:r w:rsidR="00906AFE">
        <w:t>1980 MHz band</w:t>
      </w:r>
    </w:p>
    <w:p w14:paraId="24A36869" w14:textId="5B167EFC" w:rsidR="00906AFE" w:rsidRDefault="00546BEC" w:rsidP="00906AFE">
      <w:pPr>
        <w:pStyle w:val="ListBullet"/>
      </w:pPr>
      <w:r>
        <w:t>o</w:t>
      </w:r>
      <w:r w:rsidR="00065942">
        <w:t>ne telecommunications service provider</w:t>
      </w:r>
      <w:r w:rsidR="00A711DA" w:rsidRPr="00906AFE">
        <w:t xml:space="preserve"> support</w:t>
      </w:r>
      <w:r w:rsidR="004541F3">
        <w:t>ed</w:t>
      </w:r>
      <w:r w:rsidR="00A711DA" w:rsidRPr="00906AFE">
        <w:t xml:space="preserve"> recognition that any changes should ensure coexistence with adjacent band services</w:t>
      </w:r>
    </w:p>
    <w:p w14:paraId="6720B643" w14:textId="4DEF5160" w:rsidR="00906AFE" w:rsidRPr="00CD557C" w:rsidRDefault="00546BEC" w:rsidP="00CD557C">
      <w:pPr>
        <w:pStyle w:val="ListBullet"/>
      </w:pPr>
      <w:r>
        <w:t>a</w:t>
      </w:r>
      <w:r w:rsidR="00065942">
        <w:t>nother telecommunications service provider</w:t>
      </w:r>
      <w:r w:rsidR="00906AFE" w:rsidRPr="00906AFE">
        <w:t xml:space="preserve"> </w:t>
      </w:r>
      <w:r w:rsidR="004541F3">
        <w:t>was</w:t>
      </w:r>
      <w:r w:rsidR="00065942">
        <w:t xml:space="preserve"> </w:t>
      </w:r>
      <w:r w:rsidR="00906AFE">
        <w:t>concerned with the order</w:t>
      </w:r>
      <w:r w:rsidR="001B15E1">
        <w:t xml:space="preserve"> of the planning outcomes, noting that </w:t>
      </w:r>
      <w:r w:rsidR="0048205D">
        <w:t>it could be</w:t>
      </w:r>
      <w:r w:rsidR="001B15E1">
        <w:t xml:space="preserve"> infer</w:t>
      </w:r>
      <w:r w:rsidR="0048205D">
        <w:t>red</w:t>
      </w:r>
      <w:r w:rsidR="001B15E1">
        <w:t xml:space="preserve"> that the order they are listed in is </w:t>
      </w:r>
      <w:r w:rsidR="004541F3">
        <w:t>based on</w:t>
      </w:r>
      <w:r w:rsidR="001B15E1">
        <w:t xml:space="preserve"> priority</w:t>
      </w:r>
      <w:r w:rsidR="00906AFE">
        <w:t>.</w:t>
      </w:r>
      <w:r w:rsidR="001B15E1">
        <w:t xml:space="preserve"> As such, </w:t>
      </w:r>
      <w:r w:rsidR="00EF1049">
        <w:t xml:space="preserve">they </w:t>
      </w:r>
      <w:r w:rsidR="00644867">
        <w:t xml:space="preserve">consider </w:t>
      </w:r>
      <w:r w:rsidR="008D7965">
        <w:t>that outcome number 5</w:t>
      </w:r>
      <w:r w:rsidR="0048205D">
        <w:t xml:space="preserve"> (</w:t>
      </w:r>
      <w:r w:rsidR="008D7965">
        <w:t xml:space="preserve">maintain </w:t>
      </w:r>
      <w:r w:rsidR="008D7965" w:rsidRPr="002B5FEC">
        <w:t>coexistence with adjacent band services</w:t>
      </w:r>
      <w:r w:rsidR="0048205D">
        <w:t>)</w:t>
      </w:r>
      <w:r w:rsidR="008D7965">
        <w:t xml:space="preserve"> should be second in the list to </w:t>
      </w:r>
      <w:r w:rsidR="002E5D6F">
        <w:t>‘</w:t>
      </w:r>
      <w:r w:rsidR="008D7965">
        <w:rPr>
          <w:szCs w:val="20"/>
        </w:rPr>
        <w:t>ensure the interference management requirements for incumbent adjacent band services remains unchanged</w:t>
      </w:r>
      <w:r w:rsidR="002E5D6F">
        <w:rPr>
          <w:szCs w:val="20"/>
        </w:rPr>
        <w:t>’</w:t>
      </w:r>
    </w:p>
    <w:p w14:paraId="57C15050" w14:textId="283A8807" w:rsidR="00CD557C" w:rsidRPr="00906AFE" w:rsidRDefault="00546BEC" w:rsidP="00CD557C">
      <w:pPr>
        <w:pStyle w:val="ListBulletLast"/>
      </w:pPr>
      <w:r>
        <w:t>a</w:t>
      </w:r>
      <w:r w:rsidR="00EF1049">
        <w:t>n audio product manufacturer</w:t>
      </w:r>
      <w:r w:rsidR="00CD557C" w:rsidRPr="00906AFE">
        <w:t xml:space="preserve"> note</w:t>
      </w:r>
      <w:r w:rsidR="009E627E">
        <w:t>d</w:t>
      </w:r>
      <w:r w:rsidR="00CD557C" w:rsidRPr="00906AFE">
        <w:t xml:space="preserve"> they have some concerns regarding compatibility with technologies or systems not compatible with DECT.</w:t>
      </w:r>
    </w:p>
    <w:p w14:paraId="431228C9" w14:textId="1AD86266" w:rsidR="00472D4F" w:rsidRDefault="00065942" w:rsidP="00883311">
      <w:pPr>
        <w:pStyle w:val="Paragraph"/>
      </w:pPr>
      <w:r>
        <w:t>One rail industry responder</w:t>
      </w:r>
      <w:r w:rsidR="00472D4F">
        <w:t xml:space="preserve"> </w:t>
      </w:r>
      <w:r w:rsidR="009E627E">
        <w:t>support</w:t>
      </w:r>
      <w:r w:rsidR="004541F3">
        <w:t>ed</w:t>
      </w:r>
      <w:r w:rsidR="009E627E">
        <w:t xml:space="preserve"> </w:t>
      </w:r>
      <w:r w:rsidR="00472D4F">
        <w:t xml:space="preserve">4 out of </w:t>
      </w:r>
      <w:r w:rsidR="004541F3">
        <w:t xml:space="preserve">the </w:t>
      </w:r>
      <w:r w:rsidR="00472D4F">
        <w:t xml:space="preserve">5 planning outcomes, noting </w:t>
      </w:r>
      <w:r w:rsidR="00C14399">
        <w:t xml:space="preserve">that </w:t>
      </w:r>
      <w:r w:rsidR="00472D4F">
        <w:t>for outcome number 2</w:t>
      </w:r>
      <w:r w:rsidR="0048205D">
        <w:t xml:space="preserve"> (</w:t>
      </w:r>
      <w:r w:rsidR="00472D4F">
        <w:t>expand arrangements for SR WBB services</w:t>
      </w:r>
      <w:r w:rsidR="0048205D">
        <w:t>)</w:t>
      </w:r>
      <w:r w:rsidR="00472D4F">
        <w:t xml:space="preserve"> they d</w:t>
      </w:r>
      <w:r w:rsidR="00546BEC">
        <w:t>id</w:t>
      </w:r>
      <w:r w:rsidR="00472D4F">
        <w:t xml:space="preserve"> not support expansion of SR WBB into </w:t>
      </w:r>
      <w:r w:rsidR="004541F3">
        <w:t xml:space="preserve">the </w:t>
      </w:r>
      <w:r w:rsidR="00472D4F">
        <w:t>19</w:t>
      </w:r>
      <w:r w:rsidR="001B15E1">
        <w:t>0</w:t>
      </w:r>
      <w:r w:rsidR="00472D4F">
        <w:t>0</w:t>
      </w:r>
      <w:r w:rsidR="0048205D">
        <w:t>–</w:t>
      </w:r>
      <w:r w:rsidR="00472D4F">
        <w:t>19</w:t>
      </w:r>
      <w:r w:rsidR="00C14399">
        <w:t>1</w:t>
      </w:r>
      <w:r w:rsidR="00472D4F">
        <w:t>0 MHz</w:t>
      </w:r>
      <w:r w:rsidR="004541F3">
        <w:t xml:space="preserve"> range</w:t>
      </w:r>
      <w:r w:rsidR="00472D4F">
        <w:t>, arguing that interference from class-licensed sources would be detrimental to RMR.</w:t>
      </w:r>
    </w:p>
    <w:p w14:paraId="5A127B7F" w14:textId="3F6A76AE" w:rsidR="00EE0ABE" w:rsidRPr="00057029" w:rsidRDefault="00EE0ABE" w:rsidP="00906AFE">
      <w:pPr>
        <w:pStyle w:val="Heading4"/>
      </w:pPr>
      <w:r w:rsidRPr="00057029">
        <w:t>ACMA response</w:t>
      </w:r>
    </w:p>
    <w:p w14:paraId="0C654984" w14:textId="42EAF610" w:rsidR="00AE5B3F" w:rsidRDefault="00906AFE" w:rsidP="00AE5B3F">
      <w:pPr>
        <w:pStyle w:val="Paragraph"/>
      </w:pPr>
      <w:r>
        <w:t>The ACMA</w:t>
      </w:r>
      <w:r w:rsidR="006F6C86">
        <w:t xml:space="preserve"> </w:t>
      </w:r>
      <w:r w:rsidR="007473E7">
        <w:t>is</w:t>
      </w:r>
      <w:r w:rsidR="006F6C86">
        <w:t xml:space="preserve"> satisfied that most responses were in support of</w:t>
      </w:r>
      <w:r w:rsidR="00AE5B3F">
        <w:t>,</w:t>
      </w:r>
      <w:r w:rsidR="006F6C86">
        <w:t xml:space="preserve"> or did not object to</w:t>
      </w:r>
      <w:r w:rsidR="00AE5B3F">
        <w:t>,</w:t>
      </w:r>
      <w:r w:rsidR="006F6C86">
        <w:t xml:space="preserve"> the </w:t>
      </w:r>
      <w:r w:rsidR="0048205D">
        <w:t xml:space="preserve">5 </w:t>
      </w:r>
      <w:r w:rsidR="006F6C86">
        <w:t xml:space="preserve">desirable planning outcomes. </w:t>
      </w:r>
      <w:r w:rsidR="00AE5B3F">
        <w:t xml:space="preserve">The ACMA confirms that the order of the </w:t>
      </w:r>
      <w:r w:rsidR="0048205D">
        <w:t xml:space="preserve">5 </w:t>
      </w:r>
      <w:r w:rsidR="00AE5B3F">
        <w:t>planning outcomes is not</w:t>
      </w:r>
      <w:r w:rsidR="00546BEC">
        <w:t xml:space="preserve"> ranked</w:t>
      </w:r>
      <w:r w:rsidR="00AE5B3F">
        <w:t xml:space="preserve"> by priority.</w:t>
      </w:r>
    </w:p>
    <w:p w14:paraId="12189613" w14:textId="57606F54" w:rsidR="00EE0ABE" w:rsidRDefault="00A42E8B" w:rsidP="00C92D14">
      <w:pPr>
        <w:pStyle w:val="Paragraph"/>
        <w:spacing w:before="240"/>
      </w:pPr>
      <w:r>
        <w:t xml:space="preserve">Option 3 and Option 4 </w:t>
      </w:r>
      <w:r w:rsidR="001B15E1">
        <w:t xml:space="preserve">both </w:t>
      </w:r>
      <w:r>
        <w:t>provide arrangements for RMR in the 1900</w:t>
      </w:r>
      <w:r w:rsidR="0048205D">
        <w:t>–</w:t>
      </w:r>
      <w:r>
        <w:t>1910 MHz range on an Australia-wide basis in metropolitan</w:t>
      </w:r>
      <w:r w:rsidR="000217AF">
        <w:t>,</w:t>
      </w:r>
      <w:r>
        <w:t xml:space="preserve"> </w:t>
      </w:r>
      <w:proofErr w:type="gramStart"/>
      <w:r>
        <w:t>regional</w:t>
      </w:r>
      <w:proofErr w:type="gramEnd"/>
      <w:r>
        <w:t xml:space="preserve"> and remote </w:t>
      </w:r>
      <w:r w:rsidR="00B5765B">
        <w:t>areas</w:t>
      </w:r>
      <w:r w:rsidR="001B15E1">
        <w:t xml:space="preserve"> through apparatus licences; however, Option 4 is the only option to propose SR WBB </w:t>
      </w:r>
      <w:r w:rsidR="004115E3">
        <w:t>in</w:t>
      </w:r>
      <w:r w:rsidR="001B15E1">
        <w:t xml:space="preserve"> these same areas </w:t>
      </w:r>
      <w:r w:rsidR="004115E3">
        <w:t>in the</w:t>
      </w:r>
      <w:r w:rsidR="001B15E1">
        <w:t xml:space="preserve"> 1900</w:t>
      </w:r>
      <w:r w:rsidR="0048205D">
        <w:t>–</w:t>
      </w:r>
      <w:r w:rsidR="001B15E1">
        <w:t xml:space="preserve">1920 </w:t>
      </w:r>
      <w:r w:rsidR="001B15E1" w:rsidRPr="002753CB">
        <w:t>MHz</w:t>
      </w:r>
      <w:r w:rsidR="004115E3">
        <w:t xml:space="preserve"> range</w:t>
      </w:r>
      <w:r w:rsidRPr="002753CB">
        <w:t>.</w:t>
      </w:r>
      <w:r w:rsidR="001B15E1" w:rsidRPr="002753CB">
        <w:t xml:space="preserve"> Potential i</w:t>
      </w:r>
      <w:r w:rsidR="006F6C86" w:rsidRPr="002753CB">
        <w:t xml:space="preserve">nterference to RMR is addressed in </w:t>
      </w:r>
      <w:r w:rsidR="006F6C86" w:rsidRPr="00AD17E2">
        <w:t>the ‘</w:t>
      </w:r>
      <w:r w:rsidR="00AD17E2" w:rsidRPr="00AD17E2">
        <w:t>Consultation</w:t>
      </w:r>
      <w:r w:rsidR="006F6C86" w:rsidRPr="00AD17E2">
        <w:t xml:space="preserve"> outcomes’ section of this document.</w:t>
      </w:r>
    </w:p>
    <w:p w14:paraId="056113BB" w14:textId="13FE5589" w:rsidR="00EE0ABE" w:rsidRPr="00D81F71" w:rsidRDefault="00EE0ABE" w:rsidP="00677CAA">
      <w:pPr>
        <w:pStyle w:val="Paragraph"/>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rPr>
          <w:b/>
          <w:bCs/>
        </w:rPr>
      </w:pPr>
      <w:r w:rsidRPr="00D81F71">
        <w:rPr>
          <w:b/>
          <w:bCs/>
        </w:rPr>
        <w:lastRenderedPageBreak/>
        <w:t>Question 2</w:t>
      </w:r>
    </w:p>
    <w:p w14:paraId="216C3B09" w14:textId="46B37A9E" w:rsidR="00EE0ABE" w:rsidRPr="00057029" w:rsidRDefault="0005456D" w:rsidP="00677CAA">
      <w:pPr>
        <w:pStyle w:val="Paragraph"/>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pPr>
      <w:r w:rsidRPr="0005456D">
        <w:t>The ACMA seeks stakeholders’ views on any other applications we have not identified that could be accommodated under SR WBB.</w:t>
      </w:r>
    </w:p>
    <w:p w14:paraId="3627128D" w14:textId="3A72D212" w:rsidR="008D49C8" w:rsidRPr="00057029" w:rsidRDefault="00937F59" w:rsidP="00087154">
      <w:pPr>
        <w:spacing w:before="240"/>
      </w:pPr>
      <w:r>
        <w:t>Of the 1</w:t>
      </w:r>
      <w:r w:rsidR="00CB7598">
        <w:t>1</w:t>
      </w:r>
      <w:r>
        <w:t xml:space="preserve"> responses, </w:t>
      </w:r>
      <w:r w:rsidR="00497628">
        <w:t>none addressed this question directly</w:t>
      </w:r>
      <w:r w:rsidR="00DD1989">
        <w:t>. H</w:t>
      </w:r>
      <w:r w:rsidR="00497628">
        <w:t xml:space="preserve">owever, </w:t>
      </w:r>
      <w:r w:rsidR="00EF1049">
        <w:t xml:space="preserve">one responder </w:t>
      </w:r>
      <w:r w:rsidR="008D49C8">
        <w:t>suggest</w:t>
      </w:r>
      <w:r w:rsidR="00DD1989">
        <w:t>ed</w:t>
      </w:r>
      <w:r w:rsidR="008D49C8">
        <w:t xml:space="preserve"> that </w:t>
      </w:r>
      <w:r w:rsidR="002E5D6F">
        <w:t>‘</w:t>
      </w:r>
      <w:r w:rsidR="008D49C8">
        <w:t>the spectrum segment proposed for RMR be made available for LA-WBB services under apparatus licen</w:t>
      </w:r>
      <w:r w:rsidR="005F1865">
        <w:t>sing</w:t>
      </w:r>
      <w:r w:rsidR="008D49C8">
        <w:t xml:space="preserve"> outside the railway corridors in regional and remote areas</w:t>
      </w:r>
      <w:r w:rsidR="002E5D6F">
        <w:t>’</w:t>
      </w:r>
      <w:r w:rsidR="008D49C8">
        <w:t>.</w:t>
      </w:r>
    </w:p>
    <w:p w14:paraId="32B43C1B" w14:textId="77777777" w:rsidR="00EE0ABE" w:rsidRPr="00057029" w:rsidRDefault="00EE0ABE" w:rsidP="00EE0ABE">
      <w:pPr>
        <w:pStyle w:val="Heading4"/>
      </w:pPr>
      <w:r w:rsidRPr="00057029">
        <w:t>ACMA response</w:t>
      </w:r>
    </w:p>
    <w:p w14:paraId="4772B671" w14:textId="3186E6E0" w:rsidR="00EE0ABE" w:rsidRDefault="00EE0ABE" w:rsidP="00C92D14">
      <w:r>
        <w:t xml:space="preserve">The ACMA </w:t>
      </w:r>
      <w:r w:rsidR="00497628">
        <w:t>will continue to monitor technology development</w:t>
      </w:r>
      <w:r w:rsidR="00F928CC">
        <w:t>s</w:t>
      </w:r>
      <w:r w:rsidR="00497628">
        <w:t xml:space="preserve"> and international trends to identify other application</w:t>
      </w:r>
      <w:r w:rsidR="00242EE1">
        <w:t>s</w:t>
      </w:r>
      <w:r w:rsidR="00497628">
        <w:t xml:space="preserve"> that could be accommodated under SR WBB</w:t>
      </w:r>
      <w:r w:rsidR="00497628" w:rsidRPr="00422B37">
        <w:t>.</w:t>
      </w:r>
      <w:r w:rsidR="00336450" w:rsidRPr="00422B37">
        <w:t xml:space="preserve"> Provision for LA WBB services outside the railway corridor in regional and remote areas is considered in </w:t>
      </w:r>
      <w:r w:rsidR="00336450" w:rsidRPr="00AD17E2">
        <w:t>the ‘</w:t>
      </w:r>
      <w:r w:rsidR="00AD17E2" w:rsidRPr="00AD17E2">
        <w:t>Consultation</w:t>
      </w:r>
      <w:r w:rsidR="00336450" w:rsidRPr="00AD17E2">
        <w:t xml:space="preserve"> outcomes’ section of this document.</w:t>
      </w:r>
    </w:p>
    <w:p w14:paraId="6619C9BC" w14:textId="30C1D275" w:rsidR="00D81F71" w:rsidRPr="00D81F71" w:rsidRDefault="00D81F71" w:rsidP="00EE0ABE">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rPr>
          <w:b/>
          <w:bCs/>
        </w:rPr>
      </w:pPr>
      <w:r w:rsidRPr="00D81F71">
        <w:rPr>
          <w:b/>
          <w:bCs/>
        </w:rPr>
        <w:t>Question 3</w:t>
      </w:r>
    </w:p>
    <w:p w14:paraId="767E0F36" w14:textId="4D6CE854" w:rsidR="00EE0ABE" w:rsidRPr="00057029" w:rsidRDefault="0005456D" w:rsidP="00EE0ABE">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pPr>
      <w:r w:rsidRPr="0005456D">
        <w:t>The ACMA invites comments on the replanning options, especially the preliminary preferred option presented in this paper, and any alternative options.</w:t>
      </w:r>
    </w:p>
    <w:p w14:paraId="5D1A70D1" w14:textId="25CBD209" w:rsidR="00EE0ABE" w:rsidRDefault="00EE3400" w:rsidP="00EE0ABE">
      <w:pPr>
        <w:spacing w:before="360"/>
      </w:pPr>
      <w:r>
        <w:t>Of the 1</w:t>
      </w:r>
      <w:r w:rsidR="00CB7598">
        <w:t>1</w:t>
      </w:r>
      <w:r>
        <w:t xml:space="preserve"> responses, </w:t>
      </w:r>
      <w:r w:rsidR="00DD1989">
        <w:t xml:space="preserve">8 </w:t>
      </w:r>
      <w:r>
        <w:t>preferred Option 4</w:t>
      </w:r>
      <w:r w:rsidR="00E256B0">
        <w:t xml:space="preserve"> (with provisional support from </w:t>
      </w:r>
      <w:r w:rsidR="00EF1049">
        <w:t>one responder</w:t>
      </w:r>
      <w:r w:rsidR="00566AD7">
        <w:t>)</w:t>
      </w:r>
      <w:r>
        <w:t xml:space="preserve">, </w:t>
      </w:r>
      <w:r w:rsidR="004115E3">
        <w:t>one</w:t>
      </w:r>
      <w:r w:rsidR="00CB7598">
        <w:t xml:space="preserve"> prefer</w:t>
      </w:r>
      <w:r w:rsidR="004541F3">
        <w:t>red</w:t>
      </w:r>
      <w:r w:rsidR="00CB7598">
        <w:t xml:space="preserve"> either Option 3 or Option 4, and</w:t>
      </w:r>
      <w:r>
        <w:t xml:space="preserve"> </w:t>
      </w:r>
      <w:r w:rsidR="00DD1989">
        <w:t xml:space="preserve">2 </w:t>
      </w:r>
      <w:r w:rsidR="00B537A2">
        <w:t>responses</w:t>
      </w:r>
      <w:r w:rsidR="004D0E15">
        <w:t xml:space="preserve"> </w:t>
      </w:r>
      <w:r>
        <w:t>prefer</w:t>
      </w:r>
      <w:r w:rsidR="004541F3">
        <w:t>red</w:t>
      </w:r>
      <w:r>
        <w:t xml:space="preserve"> Option 3.</w:t>
      </w:r>
    </w:p>
    <w:p w14:paraId="5A62B911" w14:textId="10DAB428" w:rsidR="00B537A2" w:rsidRDefault="00B537A2" w:rsidP="00B537A2">
      <w:pPr>
        <w:pStyle w:val="Heading4"/>
      </w:pPr>
      <w:r>
        <w:t>Preference for Option 3</w:t>
      </w:r>
    </w:p>
    <w:p w14:paraId="3009788E" w14:textId="159732B6" w:rsidR="004D0E15" w:rsidRDefault="00EF1049" w:rsidP="00A83AB1">
      <w:pPr>
        <w:pStyle w:val="Paragraphbeforelist"/>
      </w:pPr>
      <w:r>
        <w:t>One rail services provider</w:t>
      </w:r>
      <w:r w:rsidR="004D0E15">
        <w:t xml:space="preserve"> state</w:t>
      </w:r>
      <w:r w:rsidR="004541F3">
        <w:t>d</w:t>
      </w:r>
      <w:r w:rsidR="004D0E15">
        <w:t xml:space="preserve"> they fully support </w:t>
      </w:r>
      <w:r w:rsidR="00770BD5">
        <w:t>the</w:t>
      </w:r>
      <w:r>
        <w:t xml:space="preserve"> rail industry</w:t>
      </w:r>
      <w:r w:rsidR="00770BD5">
        <w:t xml:space="preserve"> responder</w:t>
      </w:r>
      <w:r>
        <w:t>’s</w:t>
      </w:r>
      <w:r w:rsidR="00242EE1">
        <w:t xml:space="preserve"> submission</w:t>
      </w:r>
      <w:r w:rsidR="004541F3">
        <w:t>,</w:t>
      </w:r>
      <w:r w:rsidR="004D0E15">
        <w:t xml:space="preserve"> as Option 3 </w:t>
      </w:r>
      <w:r w:rsidR="004541F3">
        <w:t>would</w:t>
      </w:r>
      <w:r w:rsidR="004D0E15">
        <w:t xml:space="preserve"> provide benefits to all rail operators in Australia. </w:t>
      </w:r>
      <w:r>
        <w:t xml:space="preserve">The rail industry responder </w:t>
      </w:r>
      <w:r w:rsidR="004D0E15">
        <w:t>provided a detailed analysis of Option 3 and Option 4 (which allow for RMR). In support of Option 3</w:t>
      </w:r>
      <w:r w:rsidR="00242EE1">
        <w:t>,</w:t>
      </w:r>
      <w:r w:rsidR="004211FC">
        <w:t xml:space="preserve"> </w:t>
      </w:r>
      <w:r>
        <w:t>they</w:t>
      </w:r>
      <w:r w:rsidR="004211FC">
        <w:t xml:space="preserve"> </w:t>
      </w:r>
      <w:r w:rsidR="004D0E15">
        <w:t>note</w:t>
      </w:r>
      <w:r w:rsidR="004115E3">
        <w:t>d</w:t>
      </w:r>
      <w:r w:rsidR="004D0E15">
        <w:t xml:space="preserve"> that: </w:t>
      </w:r>
    </w:p>
    <w:p w14:paraId="3EDB6E33" w14:textId="0A5BE859" w:rsidR="004D0E15" w:rsidRDefault="00B537A2" w:rsidP="004D0E15">
      <w:pPr>
        <w:pStyle w:val="ListBullet"/>
      </w:pPr>
      <w:r w:rsidRPr="00B537A2">
        <w:t>Global System for Mobile Communications - Railway</w:t>
      </w:r>
      <w:r>
        <w:t xml:space="preserve"> (</w:t>
      </w:r>
      <w:r w:rsidR="004D0E15">
        <w:t>GSM-R</w:t>
      </w:r>
      <w:r>
        <w:t>)</w:t>
      </w:r>
      <w:r w:rsidR="004D0E15">
        <w:t xml:space="preserve"> </w:t>
      </w:r>
      <w:r w:rsidR="004211FC">
        <w:t xml:space="preserve">is </w:t>
      </w:r>
      <w:r w:rsidR="004D0E15">
        <w:t>unlikely to be supported beyond 2030</w:t>
      </w:r>
    </w:p>
    <w:p w14:paraId="6924A74B" w14:textId="0D034020" w:rsidR="004D0E15" w:rsidRDefault="004D0E15" w:rsidP="004D0E15">
      <w:pPr>
        <w:pStyle w:val="ListBullet"/>
      </w:pPr>
      <w:r>
        <w:t>FRMCS offers higher quality of service</w:t>
      </w:r>
      <w:r w:rsidR="00B537A2">
        <w:t xml:space="preserve"> compared </w:t>
      </w:r>
      <w:r w:rsidR="004541F3">
        <w:t>to</w:t>
      </w:r>
      <w:r w:rsidR="00B537A2">
        <w:t xml:space="preserve"> GSM-R</w:t>
      </w:r>
    </w:p>
    <w:p w14:paraId="3E32CADB" w14:textId="67F3EBDE" w:rsidR="004D0E15" w:rsidRDefault="00546BEC" w:rsidP="004D0E15">
      <w:pPr>
        <w:pStyle w:val="ListBullet"/>
      </w:pPr>
      <w:r>
        <w:t>r</w:t>
      </w:r>
      <w:r w:rsidR="004D0E15">
        <w:t xml:space="preserve">ail operators will benefit as equipment vendors develop RMR equipment for </w:t>
      </w:r>
      <w:r w:rsidR="004541F3">
        <w:t xml:space="preserve">the </w:t>
      </w:r>
      <w:r w:rsidR="004D0E15">
        <w:t xml:space="preserve">1.9 GHz </w:t>
      </w:r>
      <w:r w:rsidR="004541F3">
        <w:t>band</w:t>
      </w:r>
      <w:r w:rsidR="004D0E15">
        <w:t xml:space="preserve"> due to </w:t>
      </w:r>
      <w:r w:rsidR="004211FC">
        <w:t xml:space="preserve">the </w:t>
      </w:r>
      <w:r w:rsidR="004541F3">
        <w:t xml:space="preserve">European </w:t>
      </w:r>
      <w:r w:rsidR="004D0E15">
        <w:t>U</w:t>
      </w:r>
      <w:r w:rsidR="004541F3">
        <w:t>nion</w:t>
      </w:r>
      <w:r w:rsidR="004211FC">
        <w:t>’s</w:t>
      </w:r>
      <w:r w:rsidR="004D0E15">
        <w:t xml:space="preserve"> decision</w:t>
      </w:r>
      <w:r w:rsidR="004211FC">
        <w:t xml:space="preserve"> </w:t>
      </w:r>
      <w:hyperlink r:id="rId48" w:history="1">
        <w:r w:rsidR="004211FC" w:rsidRPr="004211FC">
          <w:rPr>
            <w:rStyle w:val="Hyperlink"/>
          </w:rPr>
          <w:t>Commission Implementing Decision (EU) 2001/1730</w:t>
        </w:r>
      </w:hyperlink>
      <w:r w:rsidR="004211FC">
        <w:t xml:space="preserve"> to make</w:t>
      </w:r>
      <w:r w:rsidR="004211FC">
        <w:rPr>
          <w:szCs w:val="20"/>
        </w:rPr>
        <w:t xml:space="preserve"> 1900</w:t>
      </w:r>
      <w:r w:rsidR="00DD1989">
        <w:t>–</w:t>
      </w:r>
      <w:r w:rsidR="004211FC">
        <w:rPr>
          <w:szCs w:val="20"/>
        </w:rPr>
        <w:t>1910 MHz available for RMR in 2021</w:t>
      </w:r>
      <w:r w:rsidR="004D0E15">
        <w:t xml:space="preserve">, additional bandwidth to support high-bandwidth RMR applications, </w:t>
      </w:r>
      <w:r w:rsidR="004211FC">
        <w:t xml:space="preserve">and </w:t>
      </w:r>
      <w:r w:rsidR="004D0E15">
        <w:t xml:space="preserve">opportunity to deploy services outside </w:t>
      </w:r>
      <w:r w:rsidR="002138C2">
        <w:t xml:space="preserve">spectrum </w:t>
      </w:r>
      <w:r w:rsidR="004D0E15">
        <w:t>licence boundar</w:t>
      </w:r>
      <w:r w:rsidR="00242EE1">
        <w:t>ies</w:t>
      </w:r>
      <w:r w:rsidR="004D0E15">
        <w:t xml:space="preserve"> in NSW, Q</w:t>
      </w:r>
      <w:r w:rsidR="00DD1989">
        <w:t>ld</w:t>
      </w:r>
      <w:r w:rsidR="004D0E15">
        <w:t xml:space="preserve">, </w:t>
      </w:r>
      <w:r w:rsidR="00DD1989">
        <w:t>Vic</w:t>
      </w:r>
      <w:r w:rsidR="004D0E15">
        <w:t>, SA and WA</w:t>
      </w:r>
    </w:p>
    <w:p w14:paraId="44C7AA79" w14:textId="761165CD" w:rsidR="004D0E15" w:rsidRDefault="00546BEC" w:rsidP="00B537A2">
      <w:pPr>
        <w:pStyle w:val="ListBulletLast"/>
      </w:pPr>
      <w:r>
        <w:t>t</w:t>
      </w:r>
      <w:r w:rsidR="005D6406">
        <w:t>he 1710</w:t>
      </w:r>
      <w:r w:rsidR="00DD1989">
        <w:t>–</w:t>
      </w:r>
      <w:r w:rsidR="005D6406">
        <w:t>1785 MHz/1805</w:t>
      </w:r>
      <w:r w:rsidR="00DD1989">
        <w:t>–</w:t>
      </w:r>
      <w:r w:rsidR="005D6406">
        <w:t>1880 MHz band (</w:t>
      </w:r>
      <w:r w:rsidR="004D0E15">
        <w:t>1800 MHz band</w:t>
      </w:r>
      <w:r w:rsidR="005D6406">
        <w:t>)</w:t>
      </w:r>
      <w:r w:rsidR="004D0E15">
        <w:t xml:space="preserve"> should remain available while needed for RMR services and support </w:t>
      </w:r>
      <w:r w:rsidR="004541F3">
        <w:t xml:space="preserve">the </w:t>
      </w:r>
      <w:r w:rsidR="004D0E15">
        <w:t>1900</w:t>
      </w:r>
      <w:r w:rsidR="00DD1989">
        <w:t>–</w:t>
      </w:r>
      <w:r w:rsidR="004D0E15">
        <w:t xml:space="preserve">1910 MHz </w:t>
      </w:r>
      <w:r w:rsidR="004541F3">
        <w:t xml:space="preserve">band </w:t>
      </w:r>
      <w:r w:rsidR="004D0E15">
        <w:t>being dedicated to rail in metropolitan and regional areas</w:t>
      </w:r>
      <w:r w:rsidR="004541F3">
        <w:t>,</w:t>
      </w:r>
      <w:r w:rsidR="004D0E15">
        <w:t xml:space="preserve"> with </w:t>
      </w:r>
      <w:r w:rsidR="004541F3">
        <w:t xml:space="preserve">a </w:t>
      </w:r>
      <w:r w:rsidR="004D0E15">
        <w:t>similar framework to</w:t>
      </w:r>
      <w:r w:rsidR="00242EE1">
        <w:t xml:space="preserve"> that of the</w:t>
      </w:r>
      <w:r w:rsidR="004D0E15">
        <w:t xml:space="preserve"> </w:t>
      </w:r>
      <w:r w:rsidR="004541F3">
        <w:t>European Union (</w:t>
      </w:r>
      <w:r w:rsidR="004D0E15">
        <w:t>EU</w:t>
      </w:r>
      <w:r w:rsidR="004541F3">
        <w:t>)</w:t>
      </w:r>
      <w:r w:rsidR="004D0E15">
        <w:t>.</w:t>
      </w:r>
    </w:p>
    <w:p w14:paraId="74B25BFD" w14:textId="4636AFAA" w:rsidR="00B537A2" w:rsidRDefault="00770BD5" w:rsidP="00B537A2">
      <w:pPr>
        <w:pStyle w:val="Paragraph"/>
      </w:pPr>
      <w:r>
        <w:t>The rail industry responder and rail services provider</w:t>
      </w:r>
      <w:r w:rsidR="00B537A2">
        <w:t xml:space="preserve"> d</w:t>
      </w:r>
      <w:r w:rsidR="004541F3">
        <w:t>id</w:t>
      </w:r>
      <w:r w:rsidR="00B537A2">
        <w:t xml:space="preserve"> not support Option 4</w:t>
      </w:r>
      <w:r w:rsidR="00BA17EA">
        <w:t>. T</w:t>
      </w:r>
      <w:r w:rsidR="00B537A2">
        <w:t xml:space="preserve">hey </w:t>
      </w:r>
      <w:r w:rsidR="00644867">
        <w:t>consider</w:t>
      </w:r>
      <w:r w:rsidR="004115E3">
        <w:t>ed</w:t>
      </w:r>
      <w:r w:rsidR="00644867">
        <w:t xml:space="preserve"> </w:t>
      </w:r>
      <w:r w:rsidR="00B537A2">
        <w:t xml:space="preserve">this </w:t>
      </w:r>
      <w:r w:rsidR="00546BEC">
        <w:t xml:space="preserve">option </w:t>
      </w:r>
      <w:r w:rsidR="00B537A2">
        <w:t xml:space="preserve">would increase the risk of interference that </w:t>
      </w:r>
      <w:r w:rsidR="00DD1989">
        <w:t>c</w:t>
      </w:r>
      <w:r w:rsidR="00B537A2">
        <w:t xml:space="preserve">ould </w:t>
      </w:r>
      <w:r w:rsidR="00DD1989">
        <w:t xml:space="preserve">affect </w:t>
      </w:r>
      <w:r w:rsidR="00B537A2">
        <w:t>network costs and introduce a risk to delivering sa</w:t>
      </w:r>
      <w:r w:rsidR="00242EE1">
        <w:t>f</w:t>
      </w:r>
      <w:r w:rsidR="00B537A2">
        <w:t xml:space="preserve">e, </w:t>
      </w:r>
      <w:proofErr w:type="gramStart"/>
      <w:r w:rsidR="00B537A2">
        <w:t>reliable</w:t>
      </w:r>
      <w:proofErr w:type="gramEnd"/>
      <w:r w:rsidR="00B537A2">
        <w:t xml:space="preserve"> and efficient train operations as required under state legislation. </w:t>
      </w:r>
      <w:r>
        <w:t xml:space="preserve">The rail industry responder </w:t>
      </w:r>
      <w:r w:rsidR="00B537A2">
        <w:t>prefer</w:t>
      </w:r>
      <w:r w:rsidR="00546BEC">
        <w:t>red</w:t>
      </w:r>
      <w:r w:rsidR="00B537A2">
        <w:t xml:space="preserve"> the elimination of risk by reserving the 1900</w:t>
      </w:r>
      <w:r w:rsidR="00DD1989">
        <w:t>–</w:t>
      </w:r>
      <w:r w:rsidR="00B537A2">
        <w:t xml:space="preserve">1910 MHz </w:t>
      </w:r>
      <w:r w:rsidR="004541F3">
        <w:t>frequency range</w:t>
      </w:r>
      <w:r w:rsidR="00B537A2">
        <w:t xml:space="preserve"> in metropolitan areas for rail, rather than implementation of engineering controls </w:t>
      </w:r>
      <w:r w:rsidR="00DD1989">
        <w:t xml:space="preserve">that </w:t>
      </w:r>
      <w:r w:rsidR="00242EE1">
        <w:t xml:space="preserve">they </w:t>
      </w:r>
      <w:r w:rsidR="00644867">
        <w:t>consider</w:t>
      </w:r>
      <w:r w:rsidR="00546BEC">
        <w:t>ed</w:t>
      </w:r>
      <w:r w:rsidR="00644867">
        <w:t xml:space="preserve"> </w:t>
      </w:r>
      <w:r w:rsidR="00B537A2">
        <w:t xml:space="preserve">would cause additional administrative mitigation and associated cost burden. </w:t>
      </w:r>
    </w:p>
    <w:p w14:paraId="589864B7" w14:textId="014043D4" w:rsidR="00B537A2" w:rsidRDefault="00770BD5" w:rsidP="00CB7598">
      <w:pPr>
        <w:pStyle w:val="Paragraph"/>
      </w:pPr>
      <w:r>
        <w:t xml:space="preserve">The rail industry responder </w:t>
      </w:r>
      <w:r w:rsidR="00B537A2">
        <w:t>a</w:t>
      </w:r>
      <w:r w:rsidR="009C17DC">
        <w:t>dvocate</w:t>
      </w:r>
      <w:r w:rsidR="00546BEC">
        <w:t>d</w:t>
      </w:r>
      <w:r w:rsidR="009C17DC">
        <w:t xml:space="preserve"> harmonising with the </w:t>
      </w:r>
      <w:r w:rsidR="00242EE1">
        <w:t>E</w:t>
      </w:r>
      <w:r w:rsidR="009C17DC">
        <w:t>U to enable industry to use EU equipment and resources in Australia and argue</w:t>
      </w:r>
      <w:r w:rsidR="004541F3">
        <w:t>d</w:t>
      </w:r>
      <w:r w:rsidR="009C17DC">
        <w:t xml:space="preserve"> that coordinating with class-licensed users is </w:t>
      </w:r>
      <w:r w:rsidR="002E5D6F">
        <w:t>‘</w:t>
      </w:r>
      <w:r w:rsidR="009C17DC">
        <w:t xml:space="preserve">an onerous responsibility and not practical for deployment </w:t>
      </w:r>
      <w:r w:rsidR="009C17DC">
        <w:rPr>
          <w:szCs w:val="20"/>
        </w:rPr>
        <w:t xml:space="preserve">of RMR, </w:t>
      </w:r>
      <w:r w:rsidR="009C17DC">
        <w:rPr>
          <w:szCs w:val="20"/>
        </w:rPr>
        <w:lastRenderedPageBreak/>
        <w:t>which will be used to support rail safety and control communications where train movement authorities may need to be revoked in an emergency</w:t>
      </w:r>
      <w:r w:rsidR="002E5D6F">
        <w:rPr>
          <w:szCs w:val="20"/>
        </w:rPr>
        <w:t>’</w:t>
      </w:r>
      <w:r w:rsidR="001362C6">
        <w:t>.</w:t>
      </w:r>
    </w:p>
    <w:p w14:paraId="7B27E312" w14:textId="1279138D" w:rsidR="00B537A2" w:rsidRPr="00E54D11" w:rsidRDefault="00B537A2" w:rsidP="004541F3">
      <w:pPr>
        <w:pStyle w:val="Heading4"/>
        <w:keepNext/>
      </w:pPr>
      <w:r w:rsidRPr="00E54D11">
        <w:t>Preference for Option 4</w:t>
      </w:r>
    </w:p>
    <w:p w14:paraId="4E912CFC" w14:textId="315BE744" w:rsidR="00E256B0" w:rsidRDefault="00E54D11" w:rsidP="004541F3">
      <w:pPr>
        <w:pStyle w:val="Paragraph"/>
        <w:keepNext/>
      </w:pPr>
      <w:r w:rsidRPr="00E54D11">
        <w:t>A mobile telecommunications industry body</w:t>
      </w:r>
      <w:r w:rsidR="00770BD5" w:rsidRPr="00E54D11">
        <w:t xml:space="preserve"> responder </w:t>
      </w:r>
      <w:r w:rsidR="00E256B0" w:rsidRPr="00E54D11">
        <w:t>support</w:t>
      </w:r>
      <w:r w:rsidR="004541F3">
        <w:t>ed</w:t>
      </w:r>
      <w:r w:rsidR="00E256B0" w:rsidRPr="00E54D11">
        <w:t xml:space="preserve"> Option 4 to maximise</w:t>
      </w:r>
      <w:r w:rsidR="00E256B0">
        <w:t xml:space="preserve"> the number of applications in the band</w:t>
      </w:r>
      <w:r w:rsidR="004541F3">
        <w:t>,</w:t>
      </w:r>
      <w:r w:rsidR="00E256B0">
        <w:t xml:space="preserve"> on the provisio that apparatus-licensed receivers in the 1900</w:t>
      </w:r>
      <w:r w:rsidR="00DD1989">
        <w:t>–</w:t>
      </w:r>
      <w:r w:rsidR="00E256B0">
        <w:t xml:space="preserve">1920 MHz </w:t>
      </w:r>
      <w:r w:rsidR="006002BF">
        <w:t>band</w:t>
      </w:r>
      <w:r w:rsidR="002E0964">
        <w:t xml:space="preserve"> </w:t>
      </w:r>
      <w:r w:rsidR="00E256B0">
        <w:t xml:space="preserve">are protected. </w:t>
      </w:r>
      <w:r w:rsidR="00770BD5">
        <w:t xml:space="preserve">They </w:t>
      </w:r>
      <w:r w:rsidR="00E256B0">
        <w:t>note</w:t>
      </w:r>
      <w:r w:rsidR="004541F3">
        <w:t>d</w:t>
      </w:r>
      <w:r w:rsidR="00E256B0">
        <w:t xml:space="preserve"> that they </w:t>
      </w:r>
      <w:r w:rsidR="004541F3">
        <w:t>did not</w:t>
      </w:r>
      <w:r w:rsidR="00E256B0">
        <w:t xml:space="preserve"> oppose class-licensed DECT in the 1900</w:t>
      </w:r>
      <w:r w:rsidR="00DD1989">
        <w:t>–</w:t>
      </w:r>
      <w:r w:rsidR="00E256B0">
        <w:t xml:space="preserve">1920 MHz </w:t>
      </w:r>
      <w:r w:rsidR="006002BF">
        <w:t>band</w:t>
      </w:r>
      <w:r w:rsidR="00E256B0">
        <w:t xml:space="preserve">; however, they </w:t>
      </w:r>
      <w:r w:rsidR="00644867">
        <w:t>consider</w:t>
      </w:r>
      <w:r w:rsidR="00546BEC">
        <w:t>ed</w:t>
      </w:r>
      <w:r w:rsidR="00644867">
        <w:t xml:space="preserve"> </w:t>
      </w:r>
      <w:r w:rsidR="00E256B0">
        <w:t xml:space="preserve">that SR WBB in this band will be a challenge from the perspective of sharing with outdoor fixed links or WBB, and </w:t>
      </w:r>
      <w:r w:rsidR="004541F3">
        <w:t xml:space="preserve">from the </w:t>
      </w:r>
      <w:r w:rsidR="00E256B0">
        <w:t xml:space="preserve">lack of obligation </w:t>
      </w:r>
      <w:r w:rsidR="004541F3">
        <w:t xml:space="preserve">on </w:t>
      </w:r>
      <w:r w:rsidR="00E256B0">
        <w:t xml:space="preserve">or incentive </w:t>
      </w:r>
      <w:r w:rsidR="004541F3">
        <w:t>for</w:t>
      </w:r>
      <w:r w:rsidR="00E256B0">
        <w:t xml:space="preserve"> class-licensed service providers</w:t>
      </w:r>
      <w:r w:rsidR="004541F3">
        <w:t xml:space="preserve"> to coordinate</w:t>
      </w:r>
      <w:r w:rsidR="00E256B0">
        <w:t xml:space="preserve">. </w:t>
      </w:r>
      <w:r w:rsidR="00770BD5">
        <w:t xml:space="preserve">The responder </w:t>
      </w:r>
      <w:r w:rsidR="00E256B0">
        <w:t>note</w:t>
      </w:r>
      <w:r w:rsidR="004541F3">
        <w:t>d</w:t>
      </w:r>
      <w:r w:rsidR="00E256B0">
        <w:t xml:space="preserve"> the importance of protecting adjacent </w:t>
      </w:r>
      <w:r w:rsidR="00644867">
        <w:t>1800 MHz</w:t>
      </w:r>
      <w:r w:rsidR="00E256B0">
        <w:t xml:space="preserve"> and </w:t>
      </w:r>
      <w:r w:rsidR="005B10E6">
        <w:t>1920</w:t>
      </w:r>
      <w:r w:rsidR="00DD1989">
        <w:t>–</w:t>
      </w:r>
      <w:r w:rsidR="005B10E6">
        <w:t>1980 MHz/2110</w:t>
      </w:r>
      <w:r w:rsidR="00DD1989">
        <w:t>–</w:t>
      </w:r>
      <w:r w:rsidR="005B10E6">
        <w:t>2170 MHz (</w:t>
      </w:r>
      <w:r w:rsidR="00E256B0">
        <w:t>2 GHz</w:t>
      </w:r>
      <w:r w:rsidR="005B10E6">
        <w:t>)</w:t>
      </w:r>
      <w:r w:rsidR="00E256B0">
        <w:t xml:space="preserve"> bands and PTP links. Without what they consider to be ‘an appropriate interference management framework’, </w:t>
      </w:r>
      <w:r w:rsidR="00770BD5">
        <w:t xml:space="preserve">they </w:t>
      </w:r>
      <w:r w:rsidR="00E256B0">
        <w:t>prefer</w:t>
      </w:r>
      <w:r w:rsidR="00FE395C">
        <w:t>red</w:t>
      </w:r>
      <w:r w:rsidR="00E256B0">
        <w:t xml:space="preserve"> Option 3. </w:t>
      </w:r>
    </w:p>
    <w:p w14:paraId="10A4FA32" w14:textId="6F42A769" w:rsidR="005354F7" w:rsidRDefault="00770BD5" w:rsidP="00B537A2">
      <w:pPr>
        <w:pStyle w:val="Paragraph"/>
      </w:pPr>
      <w:r>
        <w:t>One communications product services provider</w:t>
      </w:r>
      <w:r w:rsidR="004D0E15">
        <w:t xml:space="preserve"> </w:t>
      </w:r>
      <w:r w:rsidR="00FE395C">
        <w:t>was</w:t>
      </w:r>
      <w:r w:rsidR="009E627E">
        <w:t xml:space="preserve"> </w:t>
      </w:r>
      <w:r w:rsidR="004D0E15">
        <w:t>concerned by potential interference into adjacent band IMT services.</w:t>
      </w:r>
      <w:r w:rsidR="005354F7">
        <w:t xml:space="preserve"> </w:t>
      </w:r>
    </w:p>
    <w:p w14:paraId="718723E5" w14:textId="40AAED0D" w:rsidR="00EE3400" w:rsidRDefault="006C001F" w:rsidP="00B537A2">
      <w:pPr>
        <w:pStyle w:val="Paragraph"/>
      </w:pPr>
      <w:r>
        <w:t xml:space="preserve">A </w:t>
      </w:r>
      <w:r w:rsidR="002827C9">
        <w:t>communication</w:t>
      </w:r>
      <w:r>
        <w:t xml:space="preserve"> service </w:t>
      </w:r>
      <w:r w:rsidR="002827C9">
        <w:t xml:space="preserve">industry body </w:t>
      </w:r>
      <w:r w:rsidR="005354F7">
        <w:t>stat</w:t>
      </w:r>
      <w:r w:rsidR="009E627E">
        <w:t>ed</w:t>
      </w:r>
      <w:r w:rsidR="005354F7">
        <w:t xml:space="preserve"> their level of support for each option, with limited support for Option 1, no support for Option 2 and </w:t>
      </w:r>
      <w:r w:rsidR="00242EE1">
        <w:t xml:space="preserve">Option </w:t>
      </w:r>
      <w:r w:rsidR="005354F7">
        <w:t>3</w:t>
      </w:r>
      <w:r w:rsidR="00242EE1">
        <w:t>,</w:t>
      </w:r>
      <w:r w:rsidR="005354F7">
        <w:t xml:space="preserve"> and support for Option 4 with the opinion that it would provide the best outcome, but the RMR segment would need </w:t>
      </w:r>
      <w:r w:rsidR="002E5D6F">
        <w:t>‘</w:t>
      </w:r>
      <w:r w:rsidR="005354F7">
        <w:t>further consideration</w:t>
      </w:r>
      <w:r w:rsidR="002E5D6F">
        <w:t>’</w:t>
      </w:r>
      <w:r w:rsidR="005354F7">
        <w:t xml:space="preserve">. </w:t>
      </w:r>
      <w:r>
        <w:t xml:space="preserve">They </w:t>
      </w:r>
      <w:r w:rsidR="005354F7">
        <w:t>also suggest</w:t>
      </w:r>
      <w:r>
        <w:t>ed</w:t>
      </w:r>
      <w:r w:rsidR="005354F7">
        <w:t xml:space="preserve"> that LA</w:t>
      </w:r>
      <w:r w:rsidR="00242EE1">
        <w:t xml:space="preserve"> </w:t>
      </w:r>
      <w:r w:rsidR="005354F7">
        <w:t xml:space="preserve">WBB should be allowed under apparatus licensing as a secondary </w:t>
      </w:r>
      <w:r w:rsidR="00815097">
        <w:t>utilisation</w:t>
      </w:r>
      <w:r w:rsidR="005354F7">
        <w:t xml:space="preserve"> in the 1900</w:t>
      </w:r>
      <w:r w:rsidR="00FE1143">
        <w:t>–</w:t>
      </w:r>
      <w:r w:rsidR="005354F7">
        <w:t>1910 MHz band for areas outside railway corridors to allow higher utilisation of WBB spectrum in regional and remote areas.</w:t>
      </w:r>
    </w:p>
    <w:p w14:paraId="14B1F201" w14:textId="0DC94BF2" w:rsidR="00FA2664" w:rsidRDefault="006C001F" w:rsidP="005354F7">
      <w:pPr>
        <w:pStyle w:val="Paragraph"/>
      </w:pPr>
      <w:r>
        <w:t xml:space="preserve">One telecommunications service provider </w:t>
      </w:r>
      <w:r w:rsidR="00ED4647">
        <w:t>support</w:t>
      </w:r>
      <w:r w:rsidR="00FE395C">
        <w:t>ed</w:t>
      </w:r>
      <w:r w:rsidR="00FA2664">
        <w:t xml:space="preserve"> Option 4, noting that RMR should coexist with adjacent band spectrum-licensed </w:t>
      </w:r>
      <w:r w:rsidR="00644867">
        <w:t>1800 MHz</w:t>
      </w:r>
      <w:r w:rsidR="00FA2664">
        <w:t xml:space="preserve"> and 2 GHz bands</w:t>
      </w:r>
      <w:r w:rsidR="00FE1143">
        <w:t>,</w:t>
      </w:r>
      <w:r w:rsidR="00FA2664">
        <w:t xml:space="preserve"> which may be challenging and </w:t>
      </w:r>
      <w:r w:rsidR="00FE395C">
        <w:t>would</w:t>
      </w:r>
      <w:r w:rsidR="00FA2664">
        <w:t xml:space="preserve"> require </w:t>
      </w:r>
      <w:r w:rsidR="002E5D6F">
        <w:t>‘</w:t>
      </w:r>
      <w:r w:rsidR="00FA2664">
        <w:t>thorough consideration and planning</w:t>
      </w:r>
      <w:r w:rsidR="002E5D6F">
        <w:t>’</w:t>
      </w:r>
      <w:r w:rsidR="00FA2664">
        <w:t>.</w:t>
      </w:r>
      <w:r w:rsidR="00ED4647">
        <w:t xml:space="preserve"> </w:t>
      </w:r>
      <w:r>
        <w:t xml:space="preserve">They </w:t>
      </w:r>
      <w:r w:rsidR="00ED4647">
        <w:t xml:space="preserve">stated that high-power base stations and services in the </w:t>
      </w:r>
      <w:r w:rsidR="002E0964">
        <w:t>1.9 GHz</w:t>
      </w:r>
      <w:r w:rsidR="00ED4647">
        <w:t xml:space="preserve"> band may potentially result in interference or restrictions in the adjacent bands</w:t>
      </w:r>
      <w:r w:rsidR="00FE395C">
        <w:t>,</w:t>
      </w:r>
      <w:r w:rsidR="00ED4647">
        <w:t xml:space="preserve"> which would significantly impact existing mobile networks and services. </w:t>
      </w:r>
      <w:r>
        <w:t>The responder propose</w:t>
      </w:r>
      <w:r w:rsidR="00E17D1B">
        <w:t>d</w:t>
      </w:r>
      <w:r w:rsidR="00ED4647">
        <w:t xml:space="preserve"> that any new </w:t>
      </w:r>
      <w:r w:rsidR="00E17D1B">
        <w:t>licences</w:t>
      </w:r>
      <w:r w:rsidR="00ED4647">
        <w:t xml:space="preserve"> in the </w:t>
      </w:r>
      <w:r w:rsidR="002E0964">
        <w:t>1.9 GHz</w:t>
      </w:r>
      <w:r w:rsidR="00ED4647">
        <w:t xml:space="preserve"> band should not cause interference</w:t>
      </w:r>
      <w:r w:rsidR="002827C9">
        <w:t xml:space="preserve"> to services</w:t>
      </w:r>
      <w:r w:rsidR="00ED4647">
        <w:t xml:space="preserve"> in the 2 GHz band or restrictions</w:t>
      </w:r>
      <w:r w:rsidR="002827C9">
        <w:t xml:space="preserve"> to any new deployments</w:t>
      </w:r>
      <w:r w:rsidR="00ED4647">
        <w:t xml:space="preserve"> in the </w:t>
      </w:r>
      <w:r w:rsidR="00644867">
        <w:t>1800 MHz</w:t>
      </w:r>
      <w:r w:rsidR="00ED4647">
        <w:t xml:space="preserve"> and 2 GHz bands, and no filtering or additional mitigation measures should be placed on existing licences. </w:t>
      </w:r>
      <w:r>
        <w:t>They consider</w:t>
      </w:r>
      <w:r w:rsidR="00546BEC">
        <w:t>ed</w:t>
      </w:r>
      <w:r w:rsidR="00644867">
        <w:t xml:space="preserve"> </w:t>
      </w:r>
      <w:r w:rsidR="00ED4647">
        <w:t>that RMR could be accommodated in the 1900</w:t>
      </w:r>
      <w:r w:rsidR="00FE1143">
        <w:t>–</w:t>
      </w:r>
      <w:r w:rsidR="00ED4647">
        <w:t xml:space="preserve">1910 MHz </w:t>
      </w:r>
      <w:r w:rsidR="006002BF">
        <w:t>band</w:t>
      </w:r>
      <w:r w:rsidR="002E0964">
        <w:t xml:space="preserve"> </w:t>
      </w:r>
      <w:r w:rsidR="00ED4647">
        <w:t>if</w:t>
      </w:r>
      <w:r w:rsidR="00E17D1B">
        <w:t>,</w:t>
      </w:r>
      <w:r w:rsidR="00ED4647">
        <w:t xml:space="preserve"> in addition to the above, the </w:t>
      </w:r>
      <w:r w:rsidR="00242EE1">
        <w:t>r</w:t>
      </w:r>
      <w:r w:rsidR="00ED4647">
        <w:t>ailway industry vacate</w:t>
      </w:r>
      <w:r w:rsidR="00E17D1B">
        <w:t>d</w:t>
      </w:r>
      <w:r w:rsidR="00ED4647">
        <w:t xml:space="preserve"> all or part of their </w:t>
      </w:r>
      <w:r w:rsidR="00644867">
        <w:t>1800 MHz</w:t>
      </w:r>
      <w:r w:rsidR="00ED4647">
        <w:t xml:space="preserve"> holdings.</w:t>
      </w:r>
    </w:p>
    <w:p w14:paraId="7DE0F4DD" w14:textId="680E628F" w:rsidR="00030516" w:rsidRDefault="006C001F" w:rsidP="00030516">
      <w:pPr>
        <w:pStyle w:val="Paragraph"/>
      </w:pPr>
      <w:r>
        <w:t xml:space="preserve">Another telecommunications service provider </w:t>
      </w:r>
      <w:r w:rsidR="00030516">
        <w:t>support</w:t>
      </w:r>
      <w:r w:rsidR="00E17D1B">
        <w:t>ed</w:t>
      </w:r>
      <w:r w:rsidR="00030516">
        <w:t xml:space="preserve"> Option 4 as it would provide the highest value use for the</w:t>
      </w:r>
      <w:r w:rsidR="00E17D1B">
        <w:t xml:space="preserve"> 1.9 GHz</w:t>
      </w:r>
      <w:r w:rsidR="00030516">
        <w:t xml:space="preserve"> band, while noting the importance of maintaining existing interference mitigation arrangements for adjacent-band IMT services. </w:t>
      </w:r>
      <w:r>
        <w:t>They</w:t>
      </w:r>
      <w:r w:rsidR="00030516">
        <w:t xml:space="preserve"> requested </w:t>
      </w:r>
      <w:r w:rsidR="00E17D1B">
        <w:t xml:space="preserve">the </w:t>
      </w:r>
      <w:r w:rsidR="00030516">
        <w:t>continued ability to implement PTP links outside of metropolitan areas in the 1900</w:t>
      </w:r>
      <w:r w:rsidR="00FE1143">
        <w:t>–</w:t>
      </w:r>
      <w:r w:rsidR="00030516">
        <w:t xml:space="preserve">1920 MHz </w:t>
      </w:r>
      <w:r w:rsidR="006002BF">
        <w:t>band</w:t>
      </w:r>
      <w:r w:rsidR="00030516">
        <w:t xml:space="preserve"> to provide services to </w:t>
      </w:r>
      <w:r w:rsidR="00D17426">
        <w:t xml:space="preserve">regional </w:t>
      </w:r>
      <w:r w:rsidR="00030516">
        <w:t xml:space="preserve">communities and mining sites. </w:t>
      </w:r>
    </w:p>
    <w:p w14:paraId="2C8DDC04" w14:textId="781E092D" w:rsidR="00CD557C" w:rsidRDefault="006C001F" w:rsidP="005354F7">
      <w:pPr>
        <w:pStyle w:val="Paragraph"/>
      </w:pPr>
      <w:r>
        <w:t>A DECT industry responder</w:t>
      </w:r>
      <w:r w:rsidR="00CD557C">
        <w:t xml:space="preserve"> support</w:t>
      </w:r>
      <w:r w:rsidR="00E17D1B">
        <w:t>ed</w:t>
      </w:r>
      <w:r w:rsidR="00CD557C">
        <w:t xml:space="preserve"> Option 4</w:t>
      </w:r>
      <w:r w:rsidR="00E17D1B">
        <w:t>,</w:t>
      </w:r>
      <w:r w:rsidR="00CD557C">
        <w:t xml:space="preserve"> which would allow operation of DECT and DECT NR+ applications. </w:t>
      </w:r>
      <w:r>
        <w:t>They</w:t>
      </w:r>
      <w:r w:rsidR="00CD557C">
        <w:t xml:space="preserve"> </w:t>
      </w:r>
      <w:r w:rsidR="00644867">
        <w:t>consider</w:t>
      </w:r>
      <w:r w:rsidR="00E17D1B">
        <w:t>ed</w:t>
      </w:r>
      <w:r w:rsidR="00644867">
        <w:t xml:space="preserve"> </w:t>
      </w:r>
      <w:r w:rsidR="00CD557C">
        <w:t>sharing of the spectrum should only be with technologies with advanced sharing mechanisms</w:t>
      </w:r>
      <w:r w:rsidR="00E17D1B">
        <w:t>,</w:t>
      </w:r>
      <w:r w:rsidR="00CD557C">
        <w:t xml:space="preserve"> to</w:t>
      </w:r>
      <w:r w:rsidR="00FE1143">
        <w:t xml:space="preserve"> not</w:t>
      </w:r>
      <w:r w:rsidR="00CD557C" w:rsidDel="00E17D1B">
        <w:t xml:space="preserve"> </w:t>
      </w:r>
      <w:r w:rsidR="00CD557C">
        <w:t>interfere with DECT/DECT NR+ applications</w:t>
      </w:r>
      <w:r w:rsidR="00E17D1B">
        <w:t>. They</w:t>
      </w:r>
      <w:r w:rsidR="00CD557C">
        <w:t xml:space="preserve"> propose</w:t>
      </w:r>
      <w:r w:rsidR="00E17D1B">
        <w:t>d</w:t>
      </w:r>
      <w:r w:rsidR="00CD557C">
        <w:t xml:space="preserve"> that interference studies be conducted with MulteFire.</w:t>
      </w:r>
    </w:p>
    <w:p w14:paraId="75E07303" w14:textId="35D92602" w:rsidR="00ED4647" w:rsidRDefault="006C001F" w:rsidP="005354F7">
      <w:pPr>
        <w:pStyle w:val="Paragraph"/>
      </w:pPr>
      <w:r>
        <w:t>An audio product manufacturer</w:t>
      </w:r>
      <w:r w:rsidR="00ED4647">
        <w:t xml:space="preserve"> support</w:t>
      </w:r>
      <w:r w:rsidR="00E17D1B">
        <w:t>ed</w:t>
      </w:r>
      <w:r w:rsidR="00ED4647">
        <w:t xml:space="preserve"> Option 4 as they </w:t>
      </w:r>
      <w:r w:rsidR="00644867">
        <w:t>consider</w:t>
      </w:r>
      <w:r w:rsidR="00E17D1B">
        <w:t>ed</w:t>
      </w:r>
      <w:r w:rsidR="00644867">
        <w:t xml:space="preserve"> </w:t>
      </w:r>
      <w:r w:rsidR="00ED4647">
        <w:t>it provides the most flexibility and shall support DECT</w:t>
      </w:r>
      <w:r w:rsidR="00123853">
        <w:t>,</w:t>
      </w:r>
      <w:r w:rsidR="000D2A3A">
        <w:t xml:space="preserve"> </w:t>
      </w:r>
      <w:r w:rsidR="00A62E89">
        <w:t xml:space="preserve">as long as </w:t>
      </w:r>
      <w:r w:rsidR="00ED4647">
        <w:t xml:space="preserve">any new technology in the </w:t>
      </w:r>
      <w:r w:rsidR="003D73E5">
        <w:t>1.</w:t>
      </w:r>
      <w:r w:rsidR="00A62E89">
        <w:t>9 </w:t>
      </w:r>
      <w:r w:rsidR="003D73E5">
        <w:t>GHz</w:t>
      </w:r>
      <w:r w:rsidR="00ED4647">
        <w:t xml:space="preserve"> band do</w:t>
      </w:r>
      <w:r w:rsidR="00123853">
        <w:t>es</w:t>
      </w:r>
      <w:r w:rsidR="00ED4647">
        <w:t xml:space="preserve"> not interfere with DECT users. </w:t>
      </w:r>
      <w:r>
        <w:t xml:space="preserve">They </w:t>
      </w:r>
      <w:r w:rsidR="00ED4647">
        <w:t>noted that technologies such as 3GPP-based NR and MulteFire would</w:t>
      </w:r>
      <w:r w:rsidR="000D2A3A">
        <w:t xml:space="preserve"> likely cause interference to</w:t>
      </w:r>
      <w:r w:rsidR="00ED4647">
        <w:t xml:space="preserve"> DECT-2020 NR</w:t>
      </w:r>
      <w:r w:rsidR="000D2A3A">
        <w:t>.</w:t>
      </w:r>
      <w:r w:rsidR="00ED4647">
        <w:t xml:space="preserve"> </w:t>
      </w:r>
    </w:p>
    <w:p w14:paraId="23B5BD22" w14:textId="7893785A" w:rsidR="00123853" w:rsidRDefault="00711888" w:rsidP="005354F7">
      <w:pPr>
        <w:pStyle w:val="Paragraph"/>
      </w:pPr>
      <w:r>
        <w:lastRenderedPageBreak/>
        <w:t xml:space="preserve">Although not specifically stating their support for a specific option presented in the paper, </w:t>
      </w:r>
      <w:r w:rsidR="00D26CE8">
        <w:t>a</w:t>
      </w:r>
      <w:r w:rsidR="006C001F">
        <w:t xml:space="preserve"> wireless </w:t>
      </w:r>
      <w:r w:rsidR="00D26CE8">
        <w:t>service provider</w:t>
      </w:r>
      <w:r w:rsidR="006C001F">
        <w:t>’s</w:t>
      </w:r>
      <w:r>
        <w:t xml:space="preserve"> </w:t>
      </w:r>
      <w:r w:rsidR="00E17D1B">
        <w:t xml:space="preserve">response </w:t>
      </w:r>
      <w:r>
        <w:t>promoted DECT-2020 NR/DECT NR+ and provided a discussion on the benefits of the technology in detail. The ACMA</w:t>
      </w:r>
      <w:r w:rsidR="006C001F">
        <w:t xml:space="preserve"> therefore</w:t>
      </w:r>
      <w:r>
        <w:t xml:space="preserve"> </w:t>
      </w:r>
      <w:r w:rsidR="00A62E89">
        <w:t>assigned their support to</w:t>
      </w:r>
      <w:r>
        <w:t xml:space="preserve"> Option 4.</w:t>
      </w:r>
    </w:p>
    <w:p w14:paraId="4A8650AC" w14:textId="65CFA49A" w:rsidR="00CB7598" w:rsidRDefault="00CB7598" w:rsidP="00B86887">
      <w:pPr>
        <w:pStyle w:val="Heading4"/>
        <w:keepNext/>
      </w:pPr>
      <w:r>
        <w:t>Preference for Option 3 or Option 4</w:t>
      </w:r>
    </w:p>
    <w:p w14:paraId="4A809212" w14:textId="5F3FC463" w:rsidR="00CB7598" w:rsidRDefault="00D26CE8" w:rsidP="00B86887">
      <w:pPr>
        <w:pStyle w:val="Paragraph"/>
        <w:keepNext/>
      </w:pPr>
      <w:r>
        <w:t xml:space="preserve">One responder </w:t>
      </w:r>
      <w:r w:rsidR="00E17D1B">
        <w:t>supported either</w:t>
      </w:r>
      <w:r w:rsidR="00CB7598">
        <w:t xml:space="preserve"> Option 3 or Option 4</w:t>
      </w:r>
      <w:r w:rsidR="00E17D1B">
        <w:t>,</w:t>
      </w:r>
      <w:r w:rsidR="00CB7598">
        <w:t xml:space="preserve"> as both options allow rail operators to introduce F</w:t>
      </w:r>
      <w:r w:rsidR="002138C2">
        <w:t>R</w:t>
      </w:r>
      <w:r w:rsidR="00CB7598">
        <w:t>MCS. For Option 3</w:t>
      </w:r>
      <w:r w:rsidR="00B86887">
        <w:t>,</w:t>
      </w:r>
      <w:r w:rsidR="00CB7598">
        <w:t xml:space="preserve"> </w:t>
      </w:r>
      <w:r>
        <w:t>they</w:t>
      </w:r>
      <w:r w:rsidR="00CB7598">
        <w:t xml:space="preserve"> recommended that the ACMA consider keeping 1800 MHz for GSM-R and/or 1800 MHz for GSM-R/LTE, and to allow rail operators to introduce 5G/FRMCS at </w:t>
      </w:r>
      <w:r w:rsidR="002E0964">
        <w:t>1.9 GHz</w:t>
      </w:r>
      <w:r w:rsidR="00CB7598">
        <w:t xml:space="preserve"> with 18</w:t>
      </w:r>
      <w:r w:rsidR="00325505">
        <w:t>00</w:t>
      </w:r>
      <w:r w:rsidR="00CB7598">
        <w:t xml:space="preserve"> MHz spectrum released over time.</w:t>
      </w:r>
      <w:r w:rsidR="00402ECF">
        <w:t xml:space="preserve"> </w:t>
      </w:r>
      <w:r w:rsidR="00CB7598">
        <w:t xml:space="preserve">Regarding their support for Option 4, </w:t>
      </w:r>
      <w:r>
        <w:t xml:space="preserve">the responder </w:t>
      </w:r>
      <w:r w:rsidR="00402ECF">
        <w:t>assume</w:t>
      </w:r>
      <w:r w:rsidR="00E17D1B">
        <w:t>d</w:t>
      </w:r>
      <w:r w:rsidR="00402ECF">
        <w:t xml:space="preserve"> that DECT and MulteFire would be limited to indoor use, particularly near the rail corridor.</w:t>
      </w:r>
    </w:p>
    <w:p w14:paraId="5A66F8D6" w14:textId="77777777" w:rsidR="00EE0ABE" w:rsidRPr="00057029" w:rsidRDefault="00EE0ABE" w:rsidP="00EE0ABE">
      <w:pPr>
        <w:pStyle w:val="Heading4"/>
        <w:rPr>
          <w:bCs/>
        </w:rPr>
      </w:pPr>
      <w:r w:rsidRPr="009D534A">
        <w:t>ACMA response</w:t>
      </w:r>
    </w:p>
    <w:p w14:paraId="3B650DB2" w14:textId="101FAA49" w:rsidR="00EE0ABE" w:rsidRDefault="0040582D" w:rsidP="00EE0ABE">
      <w:pPr>
        <w:pStyle w:val="ListBullet"/>
        <w:numPr>
          <w:ilvl w:val="0"/>
          <w:numId w:val="0"/>
        </w:numPr>
        <w:spacing w:after="240"/>
      </w:pPr>
      <w:r>
        <w:t>The ACMA</w:t>
      </w:r>
      <w:r w:rsidR="00A70C46">
        <w:t xml:space="preserve"> notes that most </w:t>
      </w:r>
      <w:r w:rsidR="00E17D1B">
        <w:t>responses</w:t>
      </w:r>
      <w:r w:rsidR="00A70C46">
        <w:t xml:space="preserve"> supported Option 4</w:t>
      </w:r>
      <w:r w:rsidR="00E17D1B">
        <w:t>,</w:t>
      </w:r>
      <w:r w:rsidR="00A70C46">
        <w:t xml:space="preserve"> as this would provide the most flexibility. The ACMA agrees that Option 4 would </w:t>
      </w:r>
      <w:r w:rsidR="002138C2">
        <w:t>maximise</w:t>
      </w:r>
      <w:r w:rsidR="00A70C46">
        <w:t xml:space="preserve"> use </w:t>
      </w:r>
      <w:r w:rsidR="002138C2">
        <w:t>o</w:t>
      </w:r>
      <w:r w:rsidR="00A70C46">
        <w:t xml:space="preserve">f </w:t>
      </w:r>
      <w:r w:rsidR="001111ED">
        <w:t xml:space="preserve">the </w:t>
      </w:r>
      <w:r w:rsidR="002E0964">
        <w:t>1.9 GHz</w:t>
      </w:r>
      <w:r w:rsidR="001111ED">
        <w:t xml:space="preserve"> band</w:t>
      </w:r>
      <w:r w:rsidR="009D534A">
        <w:t xml:space="preserve"> and that any new services in the band must </w:t>
      </w:r>
      <w:r w:rsidR="00462F5D">
        <w:t>coexist with</w:t>
      </w:r>
      <w:r w:rsidR="009D534A">
        <w:t xml:space="preserve"> incumbent services</w:t>
      </w:r>
      <w:r w:rsidR="0053376B">
        <w:t>, including those</w:t>
      </w:r>
      <w:r w:rsidR="009D534A">
        <w:t xml:space="preserve"> services in adjacent bands</w:t>
      </w:r>
      <w:r w:rsidR="00A62E89">
        <w:t>. H</w:t>
      </w:r>
      <w:r w:rsidR="004C51A7">
        <w:t xml:space="preserve">owever, there </w:t>
      </w:r>
      <w:r w:rsidR="0053376B">
        <w:t>are coexistence considerations between</w:t>
      </w:r>
      <w:r w:rsidR="004C51A7">
        <w:t xml:space="preserve"> </w:t>
      </w:r>
      <w:r w:rsidR="00F55249">
        <w:t>RMR</w:t>
      </w:r>
      <w:r w:rsidR="004C51A7">
        <w:t xml:space="preserve"> </w:t>
      </w:r>
      <w:r w:rsidR="0053376B">
        <w:t xml:space="preserve">and </w:t>
      </w:r>
      <w:r w:rsidR="004C51A7">
        <w:t>DECT devices, particularly when used outdoors</w:t>
      </w:r>
      <w:r w:rsidR="007D40B6" w:rsidRPr="00B156AD">
        <w:t>.</w:t>
      </w:r>
      <w:r w:rsidR="004C51A7">
        <w:t xml:space="preserve"> The ACMA acknowledges that RMR is </w:t>
      </w:r>
      <w:r w:rsidR="007A663F">
        <w:t xml:space="preserve">considered </w:t>
      </w:r>
      <w:r w:rsidR="004C51A7">
        <w:t xml:space="preserve">a safety-critical </w:t>
      </w:r>
      <w:r w:rsidR="004C51A7" w:rsidRPr="00422B37">
        <w:t xml:space="preserve">service </w:t>
      </w:r>
      <w:r w:rsidR="007A663F">
        <w:t xml:space="preserve">by the rail industry </w:t>
      </w:r>
      <w:r w:rsidR="004C51A7" w:rsidRPr="00422B37">
        <w:t xml:space="preserve">and implementing Option 3 would reduce potential interference to </w:t>
      </w:r>
      <w:r w:rsidR="004C51A7" w:rsidRPr="00AD17E2">
        <w:t>rail services.</w:t>
      </w:r>
      <w:r w:rsidR="007D40B6" w:rsidRPr="00AD17E2">
        <w:t xml:space="preserve"> </w:t>
      </w:r>
      <w:r w:rsidR="009D534A" w:rsidRPr="00AD17E2">
        <w:t xml:space="preserve">Potential interference </w:t>
      </w:r>
      <w:r w:rsidR="002E0964" w:rsidRPr="00AD17E2">
        <w:t>to</w:t>
      </w:r>
      <w:r w:rsidR="00E17D1B">
        <w:t xml:space="preserve"> and </w:t>
      </w:r>
      <w:r w:rsidR="009D534A" w:rsidRPr="00AD17E2">
        <w:t>from RMR</w:t>
      </w:r>
      <w:r w:rsidR="00B86887" w:rsidRPr="00AD17E2">
        <w:t xml:space="preserve"> (specifically FRMCS)</w:t>
      </w:r>
      <w:r w:rsidR="009D534A" w:rsidRPr="00AD17E2">
        <w:t xml:space="preserve"> is addressed in the ‘</w:t>
      </w:r>
      <w:r w:rsidR="00AD17E2" w:rsidRPr="00AD17E2">
        <w:t xml:space="preserve">Consultation </w:t>
      </w:r>
      <w:r w:rsidR="009D534A" w:rsidRPr="00AD17E2">
        <w:t>outcomes’ section of this document.</w:t>
      </w:r>
    </w:p>
    <w:p w14:paraId="63C17343" w14:textId="67CF2EC6" w:rsidR="00D81F71" w:rsidRPr="00D81F71" w:rsidRDefault="00D81F71" w:rsidP="00EE0ABE">
      <w:pPr>
        <w:pStyle w:val="ListNumber"/>
        <w:numPr>
          <w:ilvl w:val="0"/>
          <w:numId w:val="0"/>
        </w:numPr>
        <w:pBdr>
          <w:top w:val="single" w:sz="4" w:space="8" w:color="auto"/>
          <w:left w:val="single" w:sz="4" w:space="4" w:color="auto"/>
          <w:bottom w:val="single" w:sz="4" w:space="1" w:color="auto"/>
          <w:right w:val="single" w:sz="4" w:space="4" w:color="auto"/>
        </w:pBdr>
        <w:shd w:val="clear" w:color="auto" w:fill="F2F2F2" w:themeFill="background1" w:themeFillShade="F2"/>
        <w:spacing w:before="100"/>
        <w:rPr>
          <w:b/>
          <w:bCs/>
        </w:rPr>
      </w:pPr>
      <w:r w:rsidRPr="00D81F71">
        <w:rPr>
          <w:b/>
          <w:bCs/>
        </w:rPr>
        <w:t>Question 4</w:t>
      </w:r>
    </w:p>
    <w:p w14:paraId="4816351A" w14:textId="20CC96C9" w:rsidR="00EE0ABE" w:rsidRDefault="0005456D" w:rsidP="00EE0ABE">
      <w:pPr>
        <w:pStyle w:val="ListNumber"/>
        <w:numPr>
          <w:ilvl w:val="0"/>
          <w:numId w:val="0"/>
        </w:numPr>
        <w:pBdr>
          <w:top w:val="single" w:sz="4" w:space="8" w:color="auto"/>
          <w:left w:val="single" w:sz="4" w:space="4" w:color="auto"/>
          <w:bottom w:val="single" w:sz="4" w:space="1" w:color="auto"/>
          <w:right w:val="single" w:sz="4" w:space="4" w:color="auto"/>
        </w:pBdr>
        <w:shd w:val="clear" w:color="auto" w:fill="F2F2F2" w:themeFill="background1" w:themeFillShade="F2"/>
        <w:spacing w:before="100"/>
      </w:pPr>
      <w:r w:rsidRPr="0005456D">
        <w:t>Is personal handy phone system (PHS) technology still required to be included in the cordless communication devices class licence?</w:t>
      </w:r>
    </w:p>
    <w:p w14:paraId="170000E3" w14:textId="4CE49258" w:rsidR="00EE0ABE" w:rsidRDefault="00D26CE8" w:rsidP="00EE0ABE">
      <w:pPr>
        <w:spacing w:before="360"/>
      </w:pPr>
      <w:r>
        <w:t>Five responses</w:t>
      </w:r>
      <w:r w:rsidR="003466DF">
        <w:t xml:space="preserve"> </w:t>
      </w:r>
      <w:r w:rsidR="00450B8F">
        <w:t xml:space="preserve">noted </w:t>
      </w:r>
      <w:r w:rsidR="00497628">
        <w:t xml:space="preserve">that PHS </w:t>
      </w:r>
      <w:r w:rsidR="003466DF">
        <w:t>may be removed from the</w:t>
      </w:r>
      <w:r w:rsidR="00497628">
        <w:t xml:space="preserve"> cordless communication devices class licence.</w:t>
      </w:r>
      <w:r>
        <w:t xml:space="preserve"> No objections were received.</w:t>
      </w:r>
    </w:p>
    <w:p w14:paraId="762EC127" w14:textId="77777777" w:rsidR="00EE0ABE" w:rsidRPr="00057029" w:rsidRDefault="00EE0ABE" w:rsidP="00EE0ABE">
      <w:pPr>
        <w:pStyle w:val="Heading4"/>
      </w:pPr>
      <w:r w:rsidRPr="00057029">
        <w:t>ACMA response</w:t>
      </w:r>
    </w:p>
    <w:p w14:paraId="0BF3C6BA" w14:textId="4DD96670" w:rsidR="00EE0ABE" w:rsidRPr="00057029" w:rsidRDefault="00EE0ABE" w:rsidP="00C92D14">
      <w:r w:rsidRPr="00057029">
        <w:t xml:space="preserve">The ACMA </w:t>
      </w:r>
      <w:r w:rsidR="00497628">
        <w:t xml:space="preserve">will </w:t>
      </w:r>
      <w:r w:rsidR="0053376B">
        <w:t xml:space="preserve">propose removal of the </w:t>
      </w:r>
      <w:r w:rsidR="00497628">
        <w:t xml:space="preserve">PHS from the cordless communication devices class licence </w:t>
      </w:r>
      <w:r w:rsidR="00796635">
        <w:t xml:space="preserve">when </w:t>
      </w:r>
      <w:r w:rsidR="00497628">
        <w:t>the class licence</w:t>
      </w:r>
      <w:r w:rsidR="00006F56">
        <w:t xml:space="preserve"> </w:t>
      </w:r>
      <w:r w:rsidR="00796635">
        <w:t>is next reviewed</w:t>
      </w:r>
      <w:r w:rsidR="00497628">
        <w:t>.</w:t>
      </w:r>
      <w:r w:rsidR="00E17D1B">
        <w:t xml:space="preserve"> The cordless communication devices class licence </w:t>
      </w:r>
      <w:r w:rsidR="00D3141B">
        <w:t>will sunset on 1 April 2025, and any review will likely take place before then.</w:t>
      </w:r>
    </w:p>
    <w:p w14:paraId="0DAF9DBC" w14:textId="5DC3508F" w:rsidR="00D81F71" w:rsidRPr="00D81F71" w:rsidRDefault="00D81F71" w:rsidP="0005456D">
      <w:pPr>
        <w:pStyle w:val="ListNumber"/>
        <w:numPr>
          <w:ilvl w:val="0"/>
          <w:numId w:val="0"/>
        </w:numPr>
        <w:pBdr>
          <w:top w:val="single" w:sz="4" w:space="8" w:color="auto"/>
          <w:left w:val="single" w:sz="4" w:space="4" w:color="auto"/>
          <w:bottom w:val="single" w:sz="4" w:space="1" w:color="auto"/>
          <w:right w:val="single" w:sz="4" w:space="4" w:color="auto"/>
        </w:pBdr>
        <w:shd w:val="clear" w:color="auto" w:fill="F2F2F2" w:themeFill="background1" w:themeFillShade="F2"/>
        <w:spacing w:before="100"/>
        <w:rPr>
          <w:b/>
          <w:bCs/>
        </w:rPr>
      </w:pPr>
      <w:r w:rsidRPr="00D81F71">
        <w:rPr>
          <w:b/>
          <w:bCs/>
        </w:rPr>
        <w:t>Question 5</w:t>
      </w:r>
    </w:p>
    <w:p w14:paraId="6797D2FE" w14:textId="197DE464" w:rsidR="00EE0ABE" w:rsidRDefault="0005456D" w:rsidP="0005456D">
      <w:pPr>
        <w:pStyle w:val="ListNumber"/>
        <w:numPr>
          <w:ilvl w:val="0"/>
          <w:numId w:val="0"/>
        </w:numPr>
        <w:pBdr>
          <w:top w:val="single" w:sz="4" w:space="8" w:color="auto"/>
          <w:left w:val="single" w:sz="4" w:space="4" w:color="auto"/>
          <w:bottom w:val="single" w:sz="4" w:space="1" w:color="auto"/>
          <w:right w:val="single" w:sz="4" w:space="4" w:color="auto"/>
        </w:pBdr>
        <w:shd w:val="clear" w:color="auto" w:fill="F2F2F2" w:themeFill="background1" w:themeFillShade="F2"/>
        <w:spacing w:before="100"/>
      </w:pPr>
      <w:r w:rsidRPr="005C448C">
        <w:t>The 1900–1920 MHz frequency band plan will sunset on 1 April 2023. Is the band plan still required, or can the band plan be allowed to sunset?</w:t>
      </w:r>
    </w:p>
    <w:p w14:paraId="7AAB01CB" w14:textId="5D51D8BA" w:rsidR="00DF2EFA" w:rsidRDefault="00D26CE8" w:rsidP="00EE0ABE">
      <w:pPr>
        <w:spacing w:before="360"/>
      </w:pPr>
      <w:r>
        <w:t>Five responders</w:t>
      </w:r>
      <w:r w:rsidR="000F33DD">
        <w:t xml:space="preserve"> supported or agreed to the </w:t>
      </w:r>
      <w:r w:rsidR="000F33DD" w:rsidRPr="0063216B">
        <w:t>1900</w:t>
      </w:r>
      <w:r w:rsidR="00A62E89" w:rsidRPr="00A62E89">
        <w:t>–</w:t>
      </w:r>
      <w:r w:rsidR="000F33DD" w:rsidRPr="0063216B">
        <w:t xml:space="preserve">1920 MHz </w:t>
      </w:r>
      <w:r w:rsidR="00D3141B" w:rsidRPr="0063216B">
        <w:t>F</w:t>
      </w:r>
      <w:r w:rsidR="000F33DD" w:rsidRPr="0063216B">
        <w:t xml:space="preserve">requency </w:t>
      </w:r>
      <w:r w:rsidR="00D3141B" w:rsidRPr="0063216B">
        <w:t>B</w:t>
      </w:r>
      <w:r w:rsidR="000F33DD" w:rsidRPr="0063216B">
        <w:t xml:space="preserve">and </w:t>
      </w:r>
      <w:r w:rsidR="00D3141B" w:rsidRPr="0063216B">
        <w:t>P</w:t>
      </w:r>
      <w:r w:rsidR="000F33DD" w:rsidRPr="0063216B">
        <w:t>lan</w:t>
      </w:r>
      <w:r w:rsidR="00D3141B" w:rsidRPr="0063216B">
        <w:t xml:space="preserve"> 2012</w:t>
      </w:r>
      <w:r w:rsidR="000F33DD" w:rsidRPr="00A62E89">
        <w:t xml:space="preserve"> </w:t>
      </w:r>
      <w:r w:rsidR="000F33DD">
        <w:t xml:space="preserve">being allowed to sunset, with </w:t>
      </w:r>
      <w:r>
        <w:t xml:space="preserve">one </w:t>
      </w:r>
      <w:r w:rsidR="000F33DD">
        <w:t>stating that it would ensure continued protection of PTP links and allow further rollout where required.</w:t>
      </w:r>
    </w:p>
    <w:p w14:paraId="46863742" w14:textId="7F5C0840" w:rsidR="00EE0ABE" w:rsidRDefault="00D26CE8" w:rsidP="009C7B66">
      <w:pPr>
        <w:pStyle w:val="Paragraph"/>
      </w:pPr>
      <w:r>
        <w:t xml:space="preserve">The rail industry responder </w:t>
      </w:r>
      <w:r w:rsidR="00DF2EFA">
        <w:t xml:space="preserve">was not against the band plan sunsetting; however, they suggested that a new band plan would be required </w:t>
      </w:r>
      <w:r w:rsidR="002E5D6F">
        <w:t>‘</w:t>
      </w:r>
      <w:r w:rsidR="00DF2EFA">
        <w:rPr>
          <w:szCs w:val="20"/>
        </w:rPr>
        <w:t>to ensure RMR in the 1900</w:t>
      </w:r>
      <w:r w:rsidR="00A62E89">
        <w:t>–</w:t>
      </w:r>
      <w:r w:rsidR="00DF2EFA">
        <w:rPr>
          <w:szCs w:val="20"/>
        </w:rPr>
        <w:t>1910 MHz is considered a primary service</w:t>
      </w:r>
      <w:r w:rsidR="002E5D6F">
        <w:rPr>
          <w:szCs w:val="20"/>
        </w:rPr>
        <w:t>’</w:t>
      </w:r>
      <w:r w:rsidR="00DF2EFA">
        <w:t xml:space="preserve">. </w:t>
      </w:r>
    </w:p>
    <w:p w14:paraId="2602C8C7" w14:textId="77777777" w:rsidR="00EE0ABE" w:rsidRPr="00057029" w:rsidRDefault="00EE0ABE" w:rsidP="00C92D14">
      <w:pPr>
        <w:pStyle w:val="Heading4"/>
        <w:keepNext/>
      </w:pPr>
      <w:r w:rsidRPr="00057029">
        <w:lastRenderedPageBreak/>
        <w:t>ACMA response</w:t>
      </w:r>
    </w:p>
    <w:p w14:paraId="7EBD7137" w14:textId="435461C7" w:rsidR="003E255E" w:rsidRPr="00057029" w:rsidRDefault="00D3141B" w:rsidP="00C92D14">
      <w:pPr>
        <w:keepNext/>
      </w:pPr>
      <w:r>
        <w:t>As there were no objections received, t</w:t>
      </w:r>
      <w:r w:rsidRPr="00057029">
        <w:t xml:space="preserve">he ACMA </w:t>
      </w:r>
      <w:r>
        <w:t xml:space="preserve">allowed the </w:t>
      </w:r>
      <w:r w:rsidRPr="0063216B">
        <w:t>1900</w:t>
      </w:r>
      <w:r w:rsidR="00A62E89">
        <w:t>–</w:t>
      </w:r>
      <w:r w:rsidRPr="0063216B">
        <w:t>1920 MHz Frequency Band Plan 2012</w:t>
      </w:r>
      <w:r>
        <w:t xml:space="preserve"> to sunset on 1 April 2023. The ACMA has no plan to create a new band plan for all or part of the 1.9 GHz band</w:t>
      </w:r>
      <w:r w:rsidR="004B43BA">
        <w:t>.</w:t>
      </w:r>
    </w:p>
    <w:p w14:paraId="16990108" w14:textId="55964C89" w:rsidR="00D81F71" w:rsidRPr="00D81F71" w:rsidRDefault="00D81F71" w:rsidP="00B86887">
      <w:pPr>
        <w:pStyle w:val="ListNumber"/>
        <w:keepNext/>
        <w:numPr>
          <w:ilvl w:val="0"/>
          <w:numId w:val="0"/>
        </w:numPr>
        <w:pBdr>
          <w:top w:val="single" w:sz="4" w:space="8" w:color="auto"/>
          <w:left w:val="single" w:sz="4" w:space="4" w:color="auto"/>
          <w:bottom w:val="single" w:sz="4" w:space="1" w:color="auto"/>
          <w:right w:val="single" w:sz="4" w:space="4" w:color="auto"/>
        </w:pBdr>
        <w:shd w:val="clear" w:color="auto" w:fill="F2F2F2" w:themeFill="background1" w:themeFillShade="F2"/>
        <w:spacing w:before="100"/>
        <w:rPr>
          <w:b/>
          <w:bCs/>
        </w:rPr>
      </w:pPr>
      <w:r w:rsidRPr="00D81F71">
        <w:rPr>
          <w:b/>
          <w:bCs/>
        </w:rPr>
        <w:t>Question 6</w:t>
      </w:r>
    </w:p>
    <w:p w14:paraId="4495A569" w14:textId="4DF3A1F5" w:rsidR="0005456D" w:rsidRDefault="0005456D" w:rsidP="00B86887">
      <w:pPr>
        <w:pStyle w:val="ListNumber"/>
        <w:keepNext/>
        <w:numPr>
          <w:ilvl w:val="0"/>
          <w:numId w:val="0"/>
        </w:numPr>
        <w:pBdr>
          <w:top w:val="single" w:sz="4" w:space="8" w:color="auto"/>
          <w:left w:val="single" w:sz="4" w:space="4" w:color="auto"/>
          <w:bottom w:val="single" w:sz="4" w:space="1" w:color="auto"/>
          <w:right w:val="single" w:sz="4" w:space="4" w:color="auto"/>
        </w:pBdr>
        <w:shd w:val="clear" w:color="auto" w:fill="F2F2F2" w:themeFill="background1" w:themeFillShade="F2"/>
        <w:spacing w:before="100"/>
      </w:pPr>
      <w:r w:rsidRPr="0005456D">
        <w:t>The ACMA invites comments on coexistence considerations, and analysis on coexistence issues for the proposed options in this band</w:t>
      </w:r>
      <w:r>
        <w:t>.</w:t>
      </w:r>
    </w:p>
    <w:p w14:paraId="3BF78C27" w14:textId="2DEB590D" w:rsidR="0005456D" w:rsidRDefault="009D534A" w:rsidP="00B86887">
      <w:pPr>
        <w:keepNext/>
        <w:spacing w:before="360"/>
      </w:pPr>
      <w:r>
        <w:t>Of the 1</w:t>
      </w:r>
      <w:r w:rsidR="00402ECF">
        <w:t>1</w:t>
      </w:r>
      <w:r>
        <w:t xml:space="preserve"> responses, </w:t>
      </w:r>
      <w:r w:rsidR="00A62E89">
        <w:t xml:space="preserve">9 </w:t>
      </w:r>
      <w:r>
        <w:t>highlighted the need for interference mitigation and/or recommended coexistence studies and analysis</w:t>
      </w:r>
      <w:r w:rsidR="003E255E">
        <w:t xml:space="preserve"> be conducted</w:t>
      </w:r>
      <w:r>
        <w:t xml:space="preserve">. </w:t>
      </w:r>
      <w:r w:rsidR="00511117">
        <w:t xml:space="preserve">One </w:t>
      </w:r>
      <w:r w:rsidR="00F07CE8">
        <w:t>had no specific comment</w:t>
      </w:r>
      <w:r w:rsidR="00C04ED6">
        <w:t xml:space="preserve"> on </w:t>
      </w:r>
      <w:r w:rsidR="00F07CE8">
        <w:t xml:space="preserve">this question, while </w:t>
      </w:r>
      <w:r w:rsidR="003E255E">
        <w:t>one</w:t>
      </w:r>
      <w:r w:rsidR="00511117">
        <w:t xml:space="preserve"> rail service provider</w:t>
      </w:r>
      <w:r>
        <w:t xml:space="preserve"> did not suggest interference mitigation or studies; however, they stated their support for the </w:t>
      </w:r>
      <w:r w:rsidR="00511117">
        <w:t>rail industry responder’s</w:t>
      </w:r>
      <w:r>
        <w:t xml:space="preserve"> submission.</w:t>
      </w:r>
    </w:p>
    <w:p w14:paraId="25479EDD" w14:textId="28ADBC83" w:rsidR="008478D8" w:rsidRDefault="00A4633B" w:rsidP="008478D8">
      <w:pPr>
        <w:pStyle w:val="Paragraph"/>
      </w:pPr>
      <w:r>
        <w:t xml:space="preserve">A rail industry responder </w:t>
      </w:r>
      <w:r w:rsidR="00B86887">
        <w:t>stated</w:t>
      </w:r>
      <w:r w:rsidR="008478D8">
        <w:t xml:space="preserve"> that h</w:t>
      </w:r>
      <w:r w:rsidR="008478D8" w:rsidRPr="008478D8">
        <w:t xml:space="preserve">igh power 5G systems </w:t>
      </w:r>
      <w:r w:rsidR="008478D8" w:rsidRPr="007C6223">
        <w:t xml:space="preserve">with </w:t>
      </w:r>
      <w:r w:rsidR="00CD557C" w:rsidRPr="007C6223">
        <w:t xml:space="preserve">adaptive antenna systems </w:t>
      </w:r>
      <w:r w:rsidR="008478D8" w:rsidRPr="007C6223">
        <w:t>in the 1800 MH</w:t>
      </w:r>
      <w:r w:rsidR="00CD557C" w:rsidRPr="007C6223">
        <w:t>z</w:t>
      </w:r>
      <w:r w:rsidR="008478D8" w:rsidRPr="007C6223">
        <w:t xml:space="preserve"> and 2 GHz bands will result in higher out-of-band interference into adjacent </w:t>
      </w:r>
      <w:r w:rsidR="00B86887" w:rsidRPr="007C6223">
        <w:t>bands but</w:t>
      </w:r>
      <w:r w:rsidR="008478D8" w:rsidRPr="007C6223">
        <w:t xml:space="preserve"> argued that limiting FRMCS base station transmission power </w:t>
      </w:r>
      <w:r w:rsidR="002E5D6F" w:rsidRPr="007C6223">
        <w:t>‘</w:t>
      </w:r>
      <w:r w:rsidR="008478D8" w:rsidRPr="007C6223">
        <w:t xml:space="preserve">may result </w:t>
      </w:r>
      <w:r w:rsidR="002E0964" w:rsidRPr="007C6223">
        <w:t xml:space="preserve">in </w:t>
      </w:r>
      <w:r w:rsidR="008478D8" w:rsidRPr="007C6223">
        <w:t>a higher density of base stations, increasing cost and complexity</w:t>
      </w:r>
      <w:r w:rsidR="002E5D6F" w:rsidRPr="007C6223">
        <w:t>’</w:t>
      </w:r>
      <w:r w:rsidR="008478D8" w:rsidRPr="007C6223">
        <w:t xml:space="preserve">. </w:t>
      </w:r>
      <w:r>
        <w:t xml:space="preserve">They </w:t>
      </w:r>
      <w:r w:rsidR="00B86887">
        <w:t>noted</w:t>
      </w:r>
      <w:r w:rsidR="008478D8">
        <w:t xml:space="preserve"> that </w:t>
      </w:r>
      <w:r w:rsidR="008478D8" w:rsidRPr="008478D8">
        <w:t xml:space="preserve">RMR operating in </w:t>
      </w:r>
      <w:r w:rsidR="008478D8">
        <w:t xml:space="preserve">the </w:t>
      </w:r>
      <w:r w:rsidR="008478D8" w:rsidRPr="008478D8">
        <w:t>1900</w:t>
      </w:r>
      <w:r w:rsidR="00A62E89">
        <w:t>–</w:t>
      </w:r>
      <w:r w:rsidR="008478D8">
        <w:t>1</w:t>
      </w:r>
      <w:r w:rsidR="008478D8" w:rsidRPr="008478D8">
        <w:t xml:space="preserve">910 MHz </w:t>
      </w:r>
      <w:r w:rsidR="006002BF">
        <w:t>band</w:t>
      </w:r>
      <w:r w:rsidR="008478D8">
        <w:t xml:space="preserve"> </w:t>
      </w:r>
      <w:r w:rsidR="008478D8" w:rsidRPr="008478D8">
        <w:t>would provide</w:t>
      </w:r>
      <w:r w:rsidR="008478D8">
        <w:t xml:space="preserve"> a </w:t>
      </w:r>
      <w:r w:rsidR="008478D8" w:rsidRPr="008478D8">
        <w:t xml:space="preserve">10 MHz guard band to </w:t>
      </w:r>
      <w:r w:rsidR="00CD557C">
        <w:t>mobile network operator</w:t>
      </w:r>
      <w:r w:rsidR="008478D8" w:rsidRPr="008478D8">
        <w:t xml:space="preserve"> base</w:t>
      </w:r>
      <w:r w:rsidR="00D3141B">
        <w:t xml:space="preserve"> station</w:t>
      </w:r>
      <w:r w:rsidR="008478D8" w:rsidRPr="008478D8">
        <w:t xml:space="preserve"> receivers operating in 3GPP Band n1 (1920</w:t>
      </w:r>
      <w:r w:rsidR="00A62E89">
        <w:t>–</w:t>
      </w:r>
      <w:r w:rsidR="008478D8" w:rsidRPr="008478D8">
        <w:t>1980 MHz)</w:t>
      </w:r>
      <w:r w:rsidR="008478D8">
        <w:t>, and RMR would be limited to the rail corridor</w:t>
      </w:r>
      <w:r w:rsidR="008478D8" w:rsidRPr="008478D8">
        <w:t>.</w:t>
      </w:r>
      <w:r w:rsidR="008478D8">
        <w:t xml:space="preserve"> </w:t>
      </w:r>
      <w:r>
        <w:t>The</w:t>
      </w:r>
      <w:r w:rsidR="00AD1A75">
        <w:t>y</w:t>
      </w:r>
      <w:r>
        <w:t xml:space="preserve"> </w:t>
      </w:r>
      <w:r w:rsidR="00AD1A75">
        <w:t>agree</w:t>
      </w:r>
      <w:r w:rsidR="00D3141B">
        <w:t>d</w:t>
      </w:r>
      <w:r w:rsidR="004C51A7">
        <w:t xml:space="preserve"> </w:t>
      </w:r>
      <w:r w:rsidR="008478D8">
        <w:t>that f</w:t>
      </w:r>
      <w:r w:rsidR="008478D8" w:rsidRPr="008478D8">
        <w:t xml:space="preserve">urther analysis should be carried out to determine interference risk, </w:t>
      </w:r>
      <w:r w:rsidR="00B86887" w:rsidRPr="008478D8">
        <w:t>mitigation,</w:t>
      </w:r>
      <w:r w:rsidR="008478D8" w:rsidRPr="008478D8">
        <w:t xml:space="preserve"> and</w:t>
      </w:r>
      <w:r w:rsidR="008478D8">
        <w:t xml:space="preserve"> the</w:t>
      </w:r>
      <w:r w:rsidR="008478D8" w:rsidRPr="008478D8">
        <w:t xml:space="preserve"> le</w:t>
      </w:r>
      <w:r w:rsidR="008478D8">
        <w:t>a</w:t>
      </w:r>
      <w:r w:rsidR="008478D8" w:rsidRPr="008478D8">
        <w:t>st restrictive technical conditions for RMR</w:t>
      </w:r>
      <w:r w:rsidR="008478D8">
        <w:t>.</w:t>
      </w:r>
    </w:p>
    <w:p w14:paraId="64DD7EEA" w14:textId="0A513D53" w:rsidR="00402ECF" w:rsidRDefault="00402ECF" w:rsidP="008478D8">
      <w:pPr>
        <w:pStyle w:val="Paragraph"/>
      </w:pPr>
      <w:r>
        <w:t xml:space="preserve">In supporting Option 4, </w:t>
      </w:r>
      <w:r w:rsidR="00A4633B">
        <w:t xml:space="preserve">one responder </w:t>
      </w:r>
      <w:r>
        <w:t xml:space="preserve">noted that </w:t>
      </w:r>
      <w:r w:rsidR="002E5D6F">
        <w:t>‘</w:t>
      </w:r>
      <w:r>
        <w:t>c</w:t>
      </w:r>
      <w:r w:rsidRPr="00402ECF">
        <w:t xml:space="preserve">areful </w:t>
      </w:r>
      <w:r w:rsidR="00E172A2">
        <w:t>coordination</w:t>
      </w:r>
      <w:r w:rsidR="00E172A2" w:rsidRPr="00402ECF">
        <w:t xml:space="preserve"> </w:t>
      </w:r>
      <w:r w:rsidRPr="00402ECF">
        <w:t xml:space="preserve">to minimise </w:t>
      </w:r>
      <w:r>
        <w:t>i</w:t>
      </w:r>
      <w:r w:rsidRPr="00402ECF">
        <w:t xml:space="preserve">nterference concerns and proposed RMR </w:t>
      </w:r>
      <w:r w:rsidR="00B86887">
        <w:t>S</w:t>
      </w:r>
      <w:r w:rsidRPr="00402ECF">
        <w:t>ervices, especially given that RMR services operating in 1900</w:t>
      </w:r>
      <w:r w:rsidR="00A62E89">
        <w:t>–</w:t>
      </w:r>
      <w:r w:rsidRPr="00402ECF">
        <w:t xml:space="preserve">1910 MHz band are </w:t>
      </w:r>
      <w:r>
        <w:t>time division duplex</w:t>
      </w:r>
      <w:r w:rsidRPr="00402ECF">
        <w:t xml:space="preserve"> </w:t>
      </w:r>
      <w:r w:rsidR="00752135">
        <w:t>(</w:t>
      </w:r>
      <w:r w:rsidRPr="00402ECF">
        <w:t>TDD</w:t>
      </w:r>
      <w:r w:rsidR="00752135">
        <w:t>)</w:t>
      </w:r>
      <w:r w:rsidRPr="00402ECF">
        <w:t xml:space="preserve"> based and susceptible to interference</w:t>
      </w:r>
      <w:r w:rsidR="002E5D6F">
        <w:t>’</w:t>
      </w:r>
      <w:r w:rsidRPr="00402ECF">
        <w:t>, and that th</w:t>
      </w:r>
      <w:r w:rsidR="00B86887">
        <w:t>e</w:t>
      </w:r>
      <w:r w:rsidRPr="00402ECF">
        <w:t xml:space="preserve"> rail corridor need</w:t>
      </w:r>
      <w:r w:rsidR="00D3141B">
        <w:t>ed</w:t>
      </w:r>
      <w:r w:rsidRPr="00402ECF">
        <w:t xml:space="preserve"> to be protected by minimising interference to RMR as rail is a mission critical service.</w:t>
      </w:r>
    </w:p>
    <w:p w14:paraId="33829D7C" w14:textId="2AE1C727" w:rsidR="00CB217C" w:rsidRDefault="00DF3ED3" w:rsidP="008478D8">
      <w:pPr>
        <w:pStyle w:val="Paragraph"/>
      </w:pPr>
      <w:r>
        <w:t xml:space="preserve">A communications service provider </w:t>
      </w:r>
      <w:r w:rsidR="0078014D">
        <w:t xml:space="preserve">noted </w:t>
      </w:r>
      <w:r>
        <w:t xml:space="preserve">their </w:t>
      </w:r>
      <w:r w:rsidR="0078014D">
        <w:t xml:space="preserve">concern </w:t>
      </w:r>
      <w:r w:rsidR="003315D7">
        <w:t xml:space="preserve">of interference </w:t>
      </w:r>
      <w:r w:rsidR="0078014D">
        <w:t>from the 1900</w:t>
      </w:r>
      <w:r w:rsidR="00A62E89">
        <w:t>–</w:t>
      </w:r>
      <w:r w:rsidR="0078014D">
        <w:t xml:space="preserve">1920 MHz band into the 2 GHz uplink as per ECC Report 318 and suggested that </w:t>
      </w:r>
      <w:r w:rsidR="002E5D6F">
        <w:t>‘</w:t>
      </w:r>
      <w:r w:rsidR="003315D7">
        <w:t>[</w:t>
      </w:r>
      <w:r w:rsidR="0078014D">
        <w:t>f</w:t>
      </w:r>
      <w:r w:rsidR="003315D7">
        <w:t>]</w:t>
      </w:r>
      <w:r w:rsidR="0078014D">
        <w:t>urther investigation</w:t>
      </w:r>
      <w:r w:rsidR="003315D7">
        <w:t>s</w:t>
      </w:r>
      <w:r w:rsidR="0078014D">
        <w:t xml:space="preserve"> into potential interference, mitigations and licence conditions should be done</w:t>
      </w:r>
      <w:r w:rsidR="002E5D6F">
        <w:t>’</w:t>
      </w:r>
      <w:r w:rsidR="0078014D">
        <w:t>, with the onus on FRMCS</w:t>
      </w:r>
      <w:r w:rsidR="0078014D" w:rsidRPr="009D534A">
        <w:t xml:space="preserve"> </w:t>
      </w:r>
      <w:r w:rsidR="0078014D">
        <w:t>operators to limit harmful interference.</w:t>
      </w:r>
    </w:p>
    <w:p w14:paraId="6833217C" w14:textId="717F93B3" w:rsidR="00F07CE8" w:rsidRDefault="00E54D11" w:rsidP="00E172A2">
      <w:pPr>
        <w:pStyle w:val="Paragraph"/>
        <w:spacing w:after="80"/>
      </w:pPr>
      <w:r>
        <w:t>A mobile telecommunications industry body</w:t>
      </w:r>
      <w:r w:rsidR="003315D7">
        <w:t xml:space="preserve"> responder</w:t>
      </w:r>
      <w:r w:rsidR="00B17470">
        <w:t xml:space="preserve"> quoted ECC Report 318 regarding potential for interference from FRMCS may be caused to mobile network base station receivers and as a result </w:t>
      </w:r>
      <w:r w:rsidR="002E5D6F">
        <w:t>‘</w:t>
      </w:r>
      <w:r w:rsidR="00B17470">
        <w:t>some form of mitigation will be required</w:t>
      </w:r>
      <w:r w:rsidR="002E5D6F">
        <w:t>’</w:t>
      </w:r>
      <w:r w:rsidR="00B17470">
        <w:t xml:space="preserve">. </w:t>
      </w:r>
      <w:r w:rsidR="003315D7">
        <w:t>They</w:t>
      </w:r>
      <w:r w:rsidR="00B17470">
        <w:t xml:space="preserve"> </w:t>
      </w:r>
      <w:r w:rsidR="001448F5">
        <w:t xml:space="preserve">interpreted the ACMA’s intent as being </w:t>
      </w:r>
      <w:r w:rsidR="005B10E6">
        <w:t>that</w:t>
      </w:r>
      <w:r w:rsidR="001448F5">
        <w:t xml:space="preserve"> it </w:t>
      </w:r>
      <w:r w:rsidR="00636B06">
        <w:t>does not</w:t>
      </w:r>
      <w:r w:rsidR="00B17470">
        <w:t xml:space="preserve"> anticipate any additional requirements on IMT operators </w:t>
      </w:r>
      <w:r w:rsidR="001448F5">
        <w:t xml:space="preserve">in adjacent bands because </w:t>
      </w:r>
      <w:r w:rsidR="00B17470">
        <w:t xml:space="preserve">the onus to mitigate interference </w:t>
      </w:r>
      <w:r w:rsidR="00E172A2">
        <w:t>will</w:t>
      </w:r>
      <w:r w:rsidR="00960E8F">
        <w:t xml:space="preserve"> </w:t>
      </w:r>
      <w:r w:rsidR="00B17470">
        <w:t xml:space="preserve">be on FRMCS operators. </w:t>
      </w:r>
      <w:r w:rsidR="003315D7">
        <w:t xml:space="preserve">The responder </w:t>
      </w:r>
      <w:r w:rsidR="00644867">
        <w:t>consider</w:t>
      </w:r>
      <w:r w:rsidR="00D3141B">
        <w:t>ed</w:t>
      </w:r>
      <w:r w:rsidR="00B17470">
        <w:t xml:space="preserve"> that there </w:t>
      </w:r>
      <w:r w:rsidR="00D3141B">
        <w:t>was</w:t>
      </w:r>
      <w:r w:rsidR="00B17470">
        <w:t xml:space="preserve"> insufficient assurance for spectrum licences, and that the ACMA </w:t>
      </w:r>
      <w:r w:rsidR="00D3141B">
        <w:t>would</w:t>
      </w:r>
      <w:r w:rsidR="00B17470">
        <w:t xml:space="preserve"> need to clearly articulate that the onus is on FRMCS operators to mitigate interference between FRMCS and IMT. </w:t>
      </w:r>
      <w:r w:rsidR="003315D7">
        <w:t xml:space="preserve">They </w:t>
      </w:r>
      <w:r w:rsidR="00F07CE8">
        <w:t xml:space="preserve">suggested that RMR services </w:t>
      </w:r>
      <w:r w:rsidR="00960E8F">
        <w:t xml:space="preserve">should </w:t>
      </w:r>
      <w:r w:rsidR="00D3141B">
        <w:t xml:space="preserve">be treated as </w:t>
      </w:r>
      <w:r w:rsidR="00F07CE8">
        <w:t xml:space="preserve">a secondary service to ensure this </w:t>
      </w:r>
      <w:r w:rsidR="00960E8F">
        <w:t>outcome</w:t>
      </w:r>
      <w:r w:rsidR="00F07CE8">
        <w:t>.</w:t>
      </w:r>
      <w:r w:rsidR="00B86887">
        <w:t xml:space="preserve"> </w:t>
      </w:r>
      <w:r w:rsidR="003315D7">
        <w:t xml:space="preserve">The responder </w:t>
      </w:r>
      <w:r w:rsidR="00F07CE8">
        <w:t>oppose</w:t>
      </w:r>
      <w:r w:rsidR="00D3141B">
        <w:t>d</w:t>
      </w:r>
      <w:r w:rsidR="00F07CE8">
        <w:t xml:space="preserve"> any additional requirements on 2 GHz base station receivers and stressed the importance of:</w:t>
      </w:r>
    </w:p>
    <w:p w14:paraId="4C6908D4" w14:textId="299E58D0" w:rsidR="00F07CE8" w:rsidRPr="00F07CE8" w:rsidRDefault="00A62E89" w:rsidP="00F07CE8">
      <w:pPr>
        <w:pStyle w:val="ListBullet"/>
      </w:pPr>
      <w:r>
        <w:t>p</w:t>
      </w:r>
      <w:r w:rsidR="00F07CE8" w:rsidRPr="00C76411">
        <w:t xml:space="preserve">rotection of adjacent-band 2 GHz </w:t>
      </w:r>
      <w:r w:rsidR="00F07CE8">
        <w:t>base station</w:t>
      </w:r>
      <w:r w:rsidR="00F07CE8" w:rsidRPr="00C76411">
        <w:t xml:space="preserve"> receivers </w:t>
      </w:r>
    </w:p>
    <w:p w14:paraId="74849829" w14:textId="6770E788" w:rsidR="00F07CE8" w:rsidRPr="00F07CE8" w:rsidRDefault="00A62E89" w:rsidP="00F07CE8">
      <w:pPr>
        <w:pStyle w:val="ListBullet"/>
      </w:pPr>
      <w:r>
        <w:t>n</w:t>
      </w:r>
      <w:r w:rsidR="00F07CE8" w:rsidRPr="00C76411">
        <w:t>o harmful interferenc</w:t>
      </w:r>
      <w:r w:rsidR="00F07CE8">
        <w:t>e/</w:t>
      </w:r>
      <w:r w:rsidR="00F07CE8" w:rsidRPr="00C76411">
        <w:t xml:space="preserve">undue constraint to </w:t>
      </w:r>
      <w:r w:rsidR="00644867">
        <w:t>1800 MHz</w:t>
      </w:r>
      <w:r w:rsidR="00F07CE8" w:rsidRPr="00C76411">
        <w:t xml:space="preserve"> or 2 GHz networks</w:t>
      </w:r>
    </w:p>
    <w:p w14:paraId="7756D29A" w14:textId="1492ADB4" w:rsidR="00F07CE8" w:rsidRPr="00F07CE8" w:rsidRDefault="00A62E89" w:rsidP="00F07CE8">
      <w:pPr>
        <w:pStyle w:val="ListBulletLast"/>
        <w:rPr>
          <w:rFonts w:cs="Times New Roman"/>
        </w:rPr>
      </w:pPr>
      <w:r>
        <w:t>p</w:t>
      </w:r>
      <w:r w:rsidR="00F07CE8" w:rsidRPr="00C76411">
        <w:t>rotection of</w:t>
      </w:r>
      <w:r w:rsidR="004C51A7">
        <w:t>,</w:t>
      </w:r>
      <w:r w:rsidR="00F07CE8" w:rsidRPr="00C76411">
        <w:t xml:space="preserve"> and continued support for</w:t>
      </w:r>
      <w:r w:rsidR="004C51A7">
        <w:t>,</w:t>
      </w:r>
      <w:r w:rsidR="00F07CE8" w:rsidRPr="00C76411">
        <w:t xml:space="preserve"> P</w:t>
      </w:r>
      <w:r w:rsidR="00F07CE8">
        <w:t>T</w:t>
      </w:r>
      <w:r w:rsidR="00F07CE8" w:rsidRPr="00C76411">
        <w:t>P links</w:t>
      </w:r>
      <w:r w:rsidR="00F07CE8">
        <w:t>.</w:t>
      </w:r>
    </w:p>
    <w:p w14:paraId="13408647" w14:textId="421266A0" w:rsidR="00195BCF" w:rsidRDefault="00E172A2" w:rsidP="00195BCF">
      <w:pPr>
        <w:pStyle w:val="Paragraph"/>
      </w:pPr>
      <w:r>
        <w:t xml:space="preserve">Another </w:t>
      </w:r>
      <w:r w:rsidR="003315D7">
        <w:t>telecommunications service provider</w:t>
      </w:r>
      <w:r w:rsidR="00195BCF">
        <w:t xml:space="preserve"> d</w:t>
      </w:r>
      <w:r w:rsidR="00D3141B">
        <w:t>id</w:t>
      </w:r>
      <w:r w:rsidR="00195BCF" w:rsidRPr="00195BCF">
        <w:t xml:space="preserve"> not oppose the</w:t>
      </w:r>
      <w:r w:rsidR="00960E8F">
        <w:t xml:space="preserve"> development of</w:t>
      </w:r>
      <w:r w:rsidR="00195BCF" w:rsidRPr="00195BCF">
        <w:t xml:space="preserve"> arrangements to accommodate for RMR; however, </w:t>
      </w:r>
      <w:r w:rsidR="00D3141B">
        <w:t xml:space="preserve">they </w:t>
      </w:r>
      <w:r w:rsidR="00195BCF" w:rsidRPr="00195BCF">
        <w:t>remain</w:t>
      </w:r>
      <w:r w:rsidR="00D3141B">
        <w:t>ed</w:t>
      </w:r>
      <w:r w:rsidR="00195BCF" w:rsidRPr="00195BCF">
        <w:t xml:space="preserve"> strongly of the view that any coexistence measures should remain the responsibility of </w:t>
      </w:r>
      <w:r w:rsidR="00D3141B">
        <w:t>any</w:t>
      </w:r>
      <w:r w:rsidR="00195BCF" w:rsidRPr="00195BCF">
        <w:t xml:space="preserve"> new entrant</w:t>
      </w:r>
      <w:r w:rsidR="005D0D29">
        <w:t xml:space="preserve">. </w:t>
      </w:r>
      <w:r w:rsidR="005D0D29">
        <w:lastRenderedPageBreak/>
        <w:t>The</w:t>
      </w:r>
      <w:r w:rsidR="00C22272">
        <w:t>y</w:t>
      </w:r>
      <w:r w:rsidR="005D0D29">
        <w:t xml:space="preserve"> note</w:t>
      </w:r>
      <w:r w:rsidR="00D3141B">
        <w:t>d</w:t>
      </w:r>
      <w:r w:rsidR="005D0D29">
        <w:t xml:space="preserve"> that although FRMCS is based on 3GPP 4G LTE and 5G NR, this </w:t>
      </w:r>
      <w:r w:rsidR="002E5D6F">
        <w:t>‘</w:t>
      </w:r>
      <w:r w:rsidR="005D0D29">
        <w:t>does not necessarily result in a successful coexistence of 3GPP Band 1 and Band 39</w:t>
      </w:r>
      <w:r w:rsidR="002E5D6F">
        <w:t>’</w:t>
      </w:r>
      <w:r w:rsidR="005D0D29">
        <w:t xml:space="preserve">. </w:t>
      </w:r>
      <w:r w:rsidR="00C22272">
        <w:t>Referencing</w:t>
      </w:r>
      <w:r w:rsidR="005D0D29">
        <w:t xml:space="preserve"> ECC Report 318, </w:t>
      </w:r>
      <w:r w:rsidR="003315D7">
        <w:t xml:space="preserve">the responder </w:t>
      </w:r>
      <w:r w:rsidR="005D0D29">
        <w:t>note</w:t>
      </w:r>
      <w:r w:rsidR="00C22272">
        <w:t>d</w:t>
      </w:r>
      <w:r w:rsidR="005D0D29">
        <w:t xml:space="preserve"> that the report indicated more than 20 dB isolation is required to protect 2 GHz WBB uplink from FRMCS in the 1900</w:t>
      </w:r>
      <w:r w:rsidR="00A62E89">
        <w:t>–</w:t>
      </w:r>
      <w:r w:rsidR="005D0D29">
        <w:t>1910 MHz band.</w:t>
      </w:r>
      <w:r w:rsidR="00C22272">
        <w:t xml:space="preserve"> </w:t>
      </w:r>
      <w:r w:rsidR="003315D7">
        <w:t>The responder’s</w:t>
      </w:r>
      <w:r w:rsidR="00C22272">
        <w:t xml:space="preserve"> view </w:t>
      </w:r>
      <w:r w:rsidR="00D3141B">
        <w:t>was</w:t>
      </w:r>
      <w:r w:rsidR="00C22272">
        <w:t xml:space="preserve"> that there should be no new requirements to services in the </w:t>
      </w:r>
      <w:r w:rsidR="00644867">
        <w:t>1800 MHz</w:t>
      </w:r>
      <w:r w:rsidR="00C22272">
        <w:t xml:space="preserve"> and 2 GHz bands, with all requirements imposed on RMR transmitters. </w:t>
      </w:r>
      <w:r w:rsidR="003315D7">
        <w:t xml:space="preserve">They </w:t>
      </w:r>
      <w:r w:rsidR="00C22272">
        <w:t xml:space="preserve">also stated that allowing RMR </w:t>
      </w:r>
      <w:r w:rsidR="00195BCF" w:rsidRPr="00C22272">
        <w:t>beyond 1900</w:t>
      </w:r>
      <w:r w:rsidR="00A62E89">
        <w:t>–</w:t>
      </w:r>
      <w:r w:rsidR="00195BCF" w:rsidRPr="00C22272">
        <w:t xml:space="preserve">1910 MHz will </w:t>
      </w:r>
      <w:r w:rsidR="002E5D6F">
        <w:t>‘</w:t>
      </w:r>
      <w:r w:rsidR="00195BCF" w:rsidRPr="00C22272">
        <w:t>likely add additional technical complexity for consideration</w:t>
      </w:r>
      <w:r w:rsidR="002E5D6F">
        <w:t>’</w:t>
      </w:r>
      <w:r w:rsidR="00195BCF" w:rsidRPr="00C22272">
        <w:t xml:space="preserve"> leading to increased resourcing and costs for managing interference.</w:t>
      </w:r>
    </w:p>
    <w:p w14:paraId="7BF2D585" w14:textId="456B6F92" w:rsidR="00653387" w:rsidRDefault="003315D7" w:rsidP="00653387">
      <w:pPr>
        <w:pStyle w:val="Paragraph"/>
      </w:pPr>
      <w:r>
        <w:t>Another telecommunications service provider</w:t>
      </w:r>
      <w:r w:rsidR="00653387">
        <w:t xml:space="preserve"> ha</w:t>
      </w:r>
      <w:r w:rsidR="00D3141B">
        <w:t>d</w:t>
      </w:r>
      <w:r w:rsidR="00653387">
        <w:t xml:space="preserve"> some concern that additional filtering, and/or guard bands would be required to protect existing IMT services, particularly in the 2 GHz band. </w:t>
      </w:r>
      <w:r>
        <w:t xml:space="preserve">They </w:t>
      </w:r>
      <w:r w:rsidR="00653387">
        <w:t xml:space="preserve">noted their concern for adjacent band interference into the 2 GHz band where they operate 3GPP compliant equipment. They requested greater certainty that there </w:t>
      </w:r>
      <w:r w:rsidR="00D3141B">
        <w:t>would</w:t>
      </w:r>
      <w:r w:rsidR="00653387">
        <w:t xml:space="preserve"> be no additional requirements for IMT base stations in the </w:t>
      </w:r>
      <w:r w:rsidR="00644867">
        <w:t>1800 MHz</w:t>
      </w:r>
      <w:r w:rsidR="00653387">
        <w:t xml:space="preserve"> and 2 GHz bands</w:t>
      </w:r>
      <w:r w:rsidR="00AF28BF">
        <w:t>,</w:t>
      </w:r>
      <w:r w:rsidR="00653387">
        <w:t xml:space="preserve"> and that the ACMA make </w:t>
      </w:r>
      <w:r w:rsidR="00D3141B">
        <w:t xml:space="preserve">it </w:t>
      </w:r>
      <w:r w:rsidR="00653387">
        <w:t>clear that the obligation to mitigate interference should be on FRMCS operators.</w:t>
      </w:r>
    </w:p>
    <w:p w14:paraId="3DD5444F" w14:textId="45A3FF6B" w:rsidR="00CD557C" w:rsidRDefault="003315D7" w:rsidP="00653387">
      <w:pPr>
        <w:pStyle w:val="Paragraph"/>
      </w:pPr>
      <w:r>
        <w:t>A DECT industry responder</w:t>
      </w:r>
      <w:r w:rsidR="00653387">
        <w:t xml:space="preserve"> propos</w:t>
      </w:r>
      <w:r>
        <w:t>e</w:t>
      </w:r>
      <w:r w:rsidR="00D3141B">
        <w:t>d</w:t>
      </w:r>
      <w:r w:rsidR="00653387">
        <w:t xml:space="preserve"> coexistence studies between DECT, DECT NR+ and MulteFire be carried out to investigate the possibility of harmful interference between the technologies. </w:t>
      </w:r>
    </w:p>
    <w:p w14:paraId="598F2BEA" w14:textId="36B048C4" w:rsidR="00CD557C" w:rsidRDefault="003315D7" w:rsidP="00653387">
      <w:pPr>
        <w:pStyle w:val="Paragraph"/>
      </w:pPr>
      <w:r>
        <w:t>An audio product manufacturer</w:t>
      </w:r>
      <w:r w:rsidR="00653387">
        <w:t xml:space="preserve"> also requested additional investigation into whether MulteFire systems </w:t>
      </w:r>
      <w:r w:rsidR="00CD557C">
        <w:t>can</w:t>
      </w:r>
      <w:r w:rsidR="00653387">
        <w:t xml:space="preserve"> coexist with DECT systems in the </w:t>
      </w:r>
      <w:r w:rsidR="006002BF">
        <w:t>1.9 GHz</w:t>
      </w:r>
      <w:r w:rsidR="00653387">
        <w:t xml:space="preserve"> band. </w:t>
      </w:r>
    </w:p>
    <w:p w14:paraId="6C548992" w14:textId="32FD5041" w:rsidR="00653387" w:rsidRPr="003146DD" w:rsidRDefault="00653387" w:rsidP="00653387">
      <w:pPr>
        <w:pStyle w:val="Paragraph"/>
      </w:pPr>
      <w:r>
        <w:t xml:space="preserve">Although not specifically addressing the question, </w:t>
      </w:r>
      <w:r w:rsidR="003315D7">
        <w:t>a wireless service provider</w:t>
      </w:r>
      <w:r>
        <w:t xml:space="preserve"> noted </w:t>
      </w:r>
      <w:r w:rsidR="00AF28BF">
        <w:t xml:space="preserve">that </w:t>
      </w:r>
      <w:r w:rsidRPr="003146DD">
        <w:t xml:space="preserve">draft ECC Report 332 concluded </w:t>
      </w:r>
      <w:r w:rsidR="002E5D6F">
        <w:t>‘</w:t>
      </w:r>
      <w:r w:rsidRPr="003146DD">
        <w:t>DECT-2020 NR operation causes less interference in the 1880</w:t>
      </w:r>
      <w:r w:rsidR="00A62E89">
        <w:t>–</w:t>
      </w:r>
      <w:r w:rsidRPr="003146DD">
        <w:t>1920 MHz to the adjacent services due to lower operating bandwidths and efficient power control</w:t>
      </w:r>
      <w:r>
        <w:t xml:space="preserve"> which is limiting the transmitted power level</w:t>
      </w:r>
      <w:r w:rsidR="002E5D6F">
        <w:t>’</w:t>
      </w:r>
      <w:r w:rsidRPr="003146DD">
        <w:t xml:space="preserve">. </w:t>
      </w:r>
    </w:p>
    <w:p w14:paraId="22C89A4C" w14:textId="26AD01F1" w:rsidR="0005456D" w:rsidRPr="00B156AD" w:rsidRDefault="0005456D" w:rsidP="0005456D">
      <w:pPr>
        <w:pStyle w:val="Heading4"/>
      </w:pPr>
      <w:r w:rsidRPr="00B156AD">
        <w:t>ACMA response</w:t>
      </w:r>
    </w:p>
    <w:p w14:paraId="04D41F31" w14:textId="3F8A7B5F" w:rsidR="0005456D" w:rsidRPr="00057029" w:rsidRDefault="00CD557C" w:rsidP="00AF28BF">
      <w:r w:rsidRPr="00B156AD">
        <w:t xml:space="preserve">The ACMA notes that </w:t>
      </w:r>
      <w:r w:rsidR="00AD1A75">
        <w:t xml:space="preserve">coexistence </w:t>
      </w:r>
      <w:r w:rsidRPr="00B156AD">
        <w:t xml:space="preserve">within the </w:t>
      </w:r>
      <w:r w:rsidR="006002BF">
        <w:t>1.9 GHz</w:t>
      </w:r>
      <w:r w:rsidRPr="00B156AD">
        <w:t xml:space="preserve"> band is a common concern in the </w:t>
      </w:r>
      <w:r w:rsidR="00D3141B">
        <w:t>responses</w:t>
      </w:r>
      <w:r w:rsidRPr="00422B37">
        <w:t>.</w:t>
      </w:r>
      <w:r w:rsidR="00AF28BF" w:rsidRPr="00422B37">
        <w:t xml:space="preserve"> </w:t>
      </w:r>
      <w:r w:rsidRPr="00422B37">
        <w:t xml:space="preserve">Interference </w:t>
      </w:r>
      <w:r w:rsidR="0053376B">
        <w:t>management</w:t>
      </w:r>
      <w:r w:rsidR="0053376B" w:rsidRPr="00422B37">
        <w:t xml:space="preserve"> </w:t>
      </w:r>
      <w:r w:rsidRPr="00422B37">
        <w:t xml:space="preserve">and coexistence studies are addressed </w:t>
      </w:r>
      <w:r w:rsidRPr="00AD17E2">
        <w:t>in the ‘</w:t>
      </w:r>
      <w:r w:rsidR="00AD17E2" w:rsidRPr="00AD17E2">
        <w:t>Consultation</w:t>
      </w:r>
      <w:r w:rsidRPr="00AD17E2">
        <w:t xml:space="preserve"> outcomes’ section of this document.</w:t>
      </w:r>
    </w:p>
    <w:p w14:paraId="76C6952C" w14:textId="30384864" w:rsidR="00DD3659" w:rsidRPr="0071191E" w:rsidRDefault="00DD3659" w:rsidP="00DD3659">
      <w:pPr>
        <w:pStyle w:val="Heading2"/>
      </w:pPr>
      <w:bookmarkStart w:id="72" w:name="_Toc150345658"/>
      <w:r w:rsidRPr="0071191E">
        <w:t>Reply to comment</w:t>
      </w:r>
      <w:bookmarkEnd w:id="72"/>
    </w:p>
    <w:p w14:paraId="0B213C2D" w14:textId="62C584A5" w:rsidR="00FA0BDB" w:rsidRDefault="00A763AE" w:rsidP="0016325C">
      <w:r>
        <w:t>Five</w:t>
      </w:r>
      <w:r w:rsidR="00FA0BDB" w:rsidRPr="0071191E">
        <w:t xml:space="preserve"> replies</w:t>
      </w:r>
      <w:r w:rsidR="00AC7234">
        <w:t xml:space="preserve"> to submissions</w:t>
      </w:r>
      <w:r w:rsidR="00FA0BDB" w:rsidRPr="0071191E">
        <w:t xml:space="preserve"> were</w:t>
      </w:r>
      <w:r w:rsidR="0093124D" w:rsidRPr="0071191E">
        <w:t xml:space="preserve"> received</w:t>
      </w:r>
      <w:r w:rsidR="00A62E89">
        <w:t>,</w:t>
      </w:r>
      <w:r w:rsidR="0093124D" w:rsidRPr="0071191E">
        <w:t xml:space="preserve"> </w:t>
      </w:r>
      <w:r>
        <w:t>as listed in Appendix A</w:t>
      </w:r>
      <w:r w:rsidR="00FA0BDB" w:rsidRPr="0071191E">
        <w:t>.</w:t>
      </w:r>
      <w:r w:rsidR="00E11F65">
        <w:t xml:space="preserve"> Of those </w:t>
      </w:r>
      <w:r w:rsidR="00D3141B">
        <w:t xml:space="preserve">who provided replies, </w:t>
      </w:r>
      <w:r w:rsidR="00A62E89">
        <w:t xml:space="preserve">3 </w:t>
      </w:r>
      <w:r w:rsidR="00E11F65">
        <w:t xml:space="preserve">had not submitted </w:t>
      </w:r>
      <w:r w:rsidR="00D3141B">
        <w:t xml:space="preserve">initial responses </w:t>
      </w:r>
      <w:r w:rsidR="00E11F65">
        <w:t>to the options paper.</w:t>
      </w:r>
    </w:p>
    <w:p w14:paraId="2D26517A" w14:textId="64D4B27B" w:rsidR="00EA37E7" w:rsidRPr="00A77932" w:rsidRDefault="00006DFC" w:rsidP="0016325C">
      <w:r>
        <w:t xml:space="preserve">A rail industry </w:t>
      </w:r>
      <w:r w:rsidR="00D3141B">
        <w:t>replier</w:t>
      </w:r>
      <w:r>
        <w:t xml:space="preserve"> </w:t>
      </w:r>
      <w:r w:rsidR="00A763AE">
        <w:t xml:space="preserve">requested </w:t>
      </w:r>
      <w:r w:rsidR="00AF28BF">
        <w:t>‘</w:t>
      </w:r>
      <w:r w:rsidR="00A763AE">
        <w:t>some degree of protection from interference within and around the rail corridor</w:t>
      </w:r>
      <w:r w:rsidR="00AF28BF">
        <w:t>’</w:t>
      </w:r>
      <w:r w:rsidR="00A763AE">
        <w:t xml:space="preserve"> as the principal use of FRMCS/RMR in the 1900</w:t>
      </w:r>
      <w:r w:rsidR="00A62E89">
        <w:t>–</w:t>
      </w:r>
      <w:r w:rsidR="00A763AE">
        <w:t>19</w:t>
      </w:r>
      <w:r w:rsidR="004C51A7">
        <w:t>1</w:t>
      </w:r>
      <w:r w:rsidR="00A763AE">
        <w:t>0 MHz band would be utilised for rail safet</w:t>
      </w:r>
      <w:r w:rsidR="00A763AE" w:rsidRPr="00A77932">
        <w:t xml:space="preserve">y systems and </w:t>
      </w:r>
      <w:r w:rsidR="00F049A7" w:rsidRPr="00A77932">
        <w:t>critical railway operations</w:t>
      </w:r>
      <w:r w:rsidR="00E84CF5" w:rsidRPr="00A77932">
        <w:t>,</w:t>
      </w:r>
      <w:r w:rsidR="003F0ADA" w:rsidRPr="00A77932">
        <w:t xml:space="preserve"> and </w:t>
      </w:r>
      <w:r w:rsidR="00A62E89" w:rsidRPr="00A77932">
        <w:t xml:space="preserve">did </w:t>
      </w:r>
      <w:r w:rsidR="003F0ADA" w:rsidRPr="00A77932">
        <w:t xml:space="preserve">not </w:t>
      </w:r>
      <w:r w:rsidR="00644867" w:rsidRPr="00A77932">
        <w:t>consider</w:t>
      </w:r>
      <w:r w:rsidR="003F0ADA" w:rsidRPr="00A77932">
        <w:t xml:space="preserve"> that sharing spectrum with class</w:t>
      </w:r>
      <w:r w:rsidR="00A77932">
        <w:t>-</w:t>
      </w:r>
      <w:r w:rsidR="003F0ADA" w:rsidRPr="00A77932">
        <w:t xml:space="preserve">licensed SR WBB </w:t>
      </w:r>
      <w:r w:rsidR="00D3141B" w:rsidRPr="00A77932">
        <w:t>was</w:t>
      </w:r>
      <w:r w:rsidR="003F0ADA" w:rsidRPr="00A77932">
        <w:t xml:space="preserve"> possibl</w:t>
      </w:r>
      <w:r w:rsidR="00E84CF5" w:rsidRPr="00A77932">
        <w:t xml:space="preserve">e. In </w:t>
      </w:r>
      <w:r w:rsidR="00D3141B" w:rsidRPr="00A77932">
        <w:t>reply to responses</w:t>
      </w:r>
      <w:r w:rsidR="00E84CF5" w:rsidRPr="00A77932">
        <w:t xml:space="preserve"> from </w:t>
      </w:r>
      <w:r w:rsidR="00E54D11" w:rsidRPr="00A77932">
        <w:t>a mobile telecommunications industry body, a communications product services provider</w:t>
      </w:r>
      <w:r w:rsidR="00E926F2" w:rsidRPr="00A77932">
        <w:t xml:space="preserve"> and</w:t>
      </w:r>
      <w:r w:rsidR="005F68E9" w:rsidRPr="00A77932">
        <w:t xml:space="preserve"> 2</w:t>
      </w:r>
      <w:r w:rsidRPr="00A77932">
        <w:t xml:space="preserve"> telecommunications service providers</w:t>
      </w:r>
      <w:r w:rsidR="00E926F2" w:rsidRPr="00A77932">
        <w:t xml:space="preserve">, </w:t>
      </w:r>
      <w:r w:rsidRPr="00A77932">
        <w:t>they</w:t>
      </w:r>
      <w:r w:rsidR="00E84CF5" w:rsidRPr="00A77932">
        <w:t xml:space="preserve"> note</w:t>
      </w:r>
      <w:r w:rsidRPr="00A77932">
        <w:t>d</w:t>
      </w:r>
      <w:r w:rsidR="00E84CF5" w:rsidRPr="00A77932">
        <w:t xml:space="preserve"> that operation in the 1900</w:t>
      </w:r>
      <w:r w:rsidR="00A62E89" w:rsidRPr="00A77932">
        <w:t>–</w:t>
      </w:r>
      <w:r w:rsidR="00E84CF5" w:rsidRPr="00A77932">
        <w:t>19</w:t>
      </w:r>
      <w:r w:rsidR="00E256B0" w:rsidRPr="00A77932">
        <w:t>1</w:t>
      </w:r>
      <w:r w:rsidR="00E84CF5" w:rsidRPr="00A77932">
        <w:t xml:space="preserve">0 MHz band would provide a </w:t>
      </w:r>
      <w:r w:rsidR="00A62E89" w:rsidRPr="00A77932">
        <w:t>10 </w:t>
      </w:r>
      <w:r w:rsidR="00E84CF5" w:rsidRPr="00A77932">
        <w:t>MHz and</w:t>
      </w:r>
      <w:r w:rsidR="00E256B0" w:rsidRPr="00A77932">
        <w:t xml:space="preserve"> over</w:t>
      </w:r>
      <w:r w:rsidR="00E84CF5" w:rsidRPr="00A77932">
        <w:t xml:space="preserve"> 20 MHz guard band for 2 GHz and </w:t>
      </w:r>
      <w:r w:rsidR="00644867" w:rsidRPr="00A77932">
        <w:t>1800 MHz</w:t>
      </w:r>
      <w:r w:rsidR="00C95BD7" w:rsidRPr="00A77932">
        <w:t xml:space="preserve"> band</w:t>
      </w:r>
      <w:r w:rsidR="00E84CF5" w:rsidRPr="00A77932">
        <w:t xml:space="preserve"> services, respectively.</w:t>
      </w:r>
      <w:r w:rsidR="00EA37E7" w:rsidRPr="00A77932">
        <w:t xml:space="preserve"> </w:t>
      </w:r>
      <w:r w:rsidR="00E926F2" w:rsidRPr="00A77932">
        <w:t xml:space="preserve">The </w:t>
      </w:r>
      <w:r w:rsidR="00D3141B" w:rsidRPr="00A77932">
        <w:t>replier</w:t>
      </w:r>
      <w:r w:rsidR="00E926F2" w:rsidRPr="00A77932">
        <w:t xml:space="preserve"> </w:t>
      </w:r>
      <w:r w:rsidR="00644867" w:rsidRPr="00A77932">
        <w:t>consider</w:t>
      </w:r>
      <w:r w:rsidR="00A62E89" w:rsidRPr="00A77932">
        <w:t>ed</w:t>
      </w:r>
      <w:r w:rsidR="00644867" w:rsidRPr="00A77932">
        <w:t xml:space="preserve"> </w:t>
      </w:r>
      <w:r w:rsidR="00EA37E7" w:rsidRPr="00A77932">
        <w:t xml:space="preserve">that secondary allocation and second-in-time installations of adjacent band systems near the rail corridor would impact RMR. </w:t>
      </w:r>
    </w:p>
    <w:p w14:paraId="1113EF58" w14:textId="72DBD6CF" w:rsidR="00EA37E7" w:rsidRDefault="00E926F2" w:rsidP="00EA37E7">
      <w:r w:rsidRPr="00A77932">
        <w:t xml:space="preserve">The rail industry </w:t>
      </w:r>
      <w:r w:rsidR="00D3141B" w:rsidRPr="00A77932">
        <w:t>replier</w:t>
      </w:r>
      <w:r w:rsidRPr="00A77932">
        <w:t xml:space="preserve"> </w:t>
      </w:r>
      <w:r w:rsidR="00EA37E7" w:rsidRPr="00A77932">
        <w:t xml:space="preserve">supported </w:t>
      </w:r>
      <w:r w:rsidRPr="00A77932">
        <w:t>a responder’s</w:t>
      </w:r>
      <w:r w:rsidR="00EA37E7" w:rsidRPr="00A77932">
        <w:t xml:space="preserve"> concern regarding class</w:t>
      </w:r>
      <w:r w:rsidR="00A77932">
        <w:t>-</w:t>
      </w:r>
      <w:r w:rsidR="00EA37E7" w:rsidRPr="00A77932">
        <w:t>licens</w:t>
      </w:r>
      <w:r w:rsidR="00EA37E7">
        <w:t>ed SR WBB devices and their preference for Option 3</w:t>
      </w:r>
      <w:r w:rsidR="00E256B0">
        <w:t xml:space="preserve"> if an appropriate interference management framework cannot be developed</w:t>
      </w:r>
      <w:r w:rsidR="00E8060D">
        <w:t>, and</w:t>
      </w:r>
      <w:r w:rsidR="00EA37E7">
        <w:t xml:space="preserve"> </w:t>
      </w:r>
      <w:r>
        <w:t xml:space="preserve">another responder’s </w:t>
      </w:r>
      <w:r w:rsidR="00EA37E7">
        <w:t>support for either Option 3 or Option 4</w:t>
      </w:r>
      <w:r w:rsidR="00E8060D">
        <w:t>, agreeing that sharing and coordinating with SR WBB services would be a challenge.</w:t>
      </w:r>
      <w:r w:rsidR="00EA37E7">
        <w:t xml:space="preserve"> </w:t>
      </w:r>
      <w:r>
        <w:t xml:space="preserve">They </w:t>
      </w:r>
      <w:r w:rsidR="00E8060D">
        <w:t>agreed with</w:t>
      </w:r>
      <w:r>
        <w:t xml:space="preserve"> a telecommunications service provider’s</w:t>
      </w:r>
      <w:r w:rsidR="00E8060D">
        <w:t xml:space="preserve"> view that licensing should provide </w:t>
      </w:r>
      <w:r w:rsidR="00AF28BF">
        <w:t>‘</w:t>
      </w:r>
      <w:r w:rsidR="00E8060D">
        <w:t xml:space="preserve">protection, coordination and rights to </w:t>
      </w:r>
      <w:r w:rsidR="00E8060D">
        <w:lastRenderedPageBreak/>
        <w:t>enable efficient utilisation of spectrum</w:t>
      </w:r>
      <w:r w:rsidR="00AF28BF">
        <w:t>’</w:t>
      </w:r>
      <w:r w:rsidR="00E8060D">
        <w:t xml:space="preserve"> and</w:t>
      </w:r>
      <w:r w:rsidR="00C50A3D">
        <w:t>,</w:t>
      </w:r>
      <w:r w:rsidR="00E8060D">
        <w:t xml:space="preserve"> noting </w:t>
      </w:r>
      <w:r w:rsidR="00200EDA">
        <w:t>the respondent</w:t>
      </w:r>
      <w:r w:rsidR="00C95BD7">
        <w:t xml:space="preserve"> </w:t>
      </w:r>
      <w:r w:rsidR="00C50A3D">
        <w:t xml:space="preserve">considered </w:t>
      </w:r>
      <w:r w:rsidR="006E16D6">
        <w:t xml:space="preserve">Option 4 to be a starting point, </w:t>
      </w:r>
      <w:r>
        <w:t>suggested</w:t>
      </w:r>
      <w:r w:rsidR="00644867">
        <w:t xml:space="preserve"> </w:t>
      </w:r>
      <w:r w:rsidR="006E16D6">
        <w:t>that Option 3 should be considered if coordination issues with SR WBB cannot be resolved.</w:t>
      </w:r>
    </w:p>
    <w:p w14:paraId="75AC5FF5" w14:textId="3B9667AF" w:rsidR="006E16D6" w:rsidRDefault="00E926F2" w:rsidP="00EA37E7">
      <w:r>
        <w:t xml:space="preserve">A rail industry </w:t>
      </w:r>
      <w:r w:rsidR="00D3141B">
        <w:t>replier</w:t>
      </w:r>
      <w:r>
        <w:t xml:space="preserve"> </w:t>
      </w:r>
      <w:r w:rsidR="006E16D6">
        <w:t xml:space="preserve">highlighted </w:t>
      </w:r>
      <w:r w:rsidR="00200EDA">
        <w:t>a</w:t>
      </w:r>
      <w:r>
        <w:t xml:space="preserve"> wireless service provider</w:t>
      </w:r>
      <w:r w:rsidR="006E16D6">
        <w:t xml:space="preserve">’s view that all technologies sharing spectrum should have the capability to </w:t>
      </w:r>
      <w:r w:rsidR="003B102C">
        <w:t>‘</w:t>
      </w:r>
      <w:r w:rsidR="006E16D6">
        <w:t>automatically comply and mitigate their interference to adjacent users</w:t>
      </w:r>
      <w:r w:rsidR="003B102C">
        <w:t>’</w:t>
      </w:r>
      <w:r w:rsidR="006E16D6">
        <w:t xml:space="preserve">, </w:t>
      </w:r>
      <w:r w:rsidR="00C50A3D">
        <w:t xml:space="preserve">and </w:t>
      </w:r>
      <w:r w:rsidR="006E16D6">
        <w:t>not</w:t>
      </w:r>
      <w:r w:rsidR="00C50A3D">
        <w:t>ed</w:t>
      </w:r>
      <w:r w:rsidR="006E16D6">
        <w:t xml:space="preserve"> again sharing difficulties between RMR base stations and SR WBB. In response to </w:t>
      </w:r>
      <w:r>
        <w:t xml:space="preserve">a responder’s </w:t>
      </w:r>
      <w:r w:rsidR="006E16D6">
        <w:t xml:space="preserve">comment that </w:t>
      </w:r>
      <w:r w:rsidR="003B102C">
        <w:t>‘</w:t>
      </w:r>
      <w:r w:rsidR="006E16D6">
        <w:t>…3GPP technology developed for trains, have not been economically viable in the longer term</w:t>
      </w:r>
      <w:r w:rsidR="003B102C">
        <w:t>’,</w:t>
      </w:r>
      <w:r w:rsidR="006E16D6">
        <w:t xml:space="preserve"> </w:t>
      </w:r>
      <w:r>
        <w:t>they</w:t>
      </w:r>
      <w:r w:rsidR="006E16D6">
        <w:t xml:space="preserve"> </w:t>
      </w:r>
      <w:r w:rsidR="00A81E57">
        <w:t xml:space="preserve">noted that in Europe </w:t>
      </w:r>
      <w:r w:rsidR="003B102C">
        <w:t>‘</w:t>
      </w:r>
      <w:r w:rsidR="00A81E57">
        <w:t>3GPP-based railway radiocommunications systems have been implemented for over 100,000 km of track</w:t>
      </w:r>
      <w:r w:rsidR="003B102C">
        <w:t>’</w:t>
      </w:r>
      <w:r w:rsidR="00A81E57">
        <w:t xml:space="preserve">, </w:t>
      </w:r>
      <w:r w:rsidR="006050F3">
        <w:t>and noted</w:t>
      </w:r>
      <w:r w:rsidR="00A81E57">
        <w:t xml:space="preserve"> that next generation RMR will be based on 5G</w:t>
      </w:r>
      <w:r w:rsidR="00292E51">
        <w:t xml:space="preserve"> (FRMCS)</w:t>
      </w:r>
      <w:r w:rsidR="00A81E57">
        <w:t>, with the EU reserving spectrum in the 1900 MH</w:t>
      </w:r>
      <w:r w:rsidR="00292E51">
        <w:t>z</w:t>
      </w:r>
      <w:r w:rsidR="00A81E57">
        <w:t xml:space="preserve"> band.</w:t>
      </w:r>
    </w:p>
    <w:p w14:paraId="732F7A7F" w14:textId="60383505" w:rsidR="00E926F2" w:rsidRPr="001A0719" w:rsidRDefault="00326AFC" w:rsidP="00E926F2">
      <w:r>
        <w:t xml:space="preserve">Another rail industry </w:t>
      </w:r>
      <w:r w:rsidR="00D3141B">
        <w:t>replier</w:t>
      </w:r>
      <w:r w:rsidRPr="00712B31">
        <w:t xml:space="preserve"> </w:t>
      </w:r>
      <w:r w:rsidR="00E926F2" w:rsidRPr="00712B31">
        <w:t>support</w:t>
      </w:r>
      <w:r w:rsidR="00C50A3D">
        <w:t>ed</w:t>
      </w:r>
      <w:r>
        <w:t xml:space="preserve"> the above </w:t>
      </w:r>
      <w:r w:rsidR="00D50F55">
        <w:t>replier’s</w:t>
      </w:r>
      <w:r>
        <w:t xml:space="preserve"> original</w:t>
      </w:r>
      <w:r w:rsidR="00D50F55">
        <w:t xml:space="preserve"> response</w:t>
      </w:r>
      <w:r w:rsidR="00E926F2" w:rsidRPr="00712B31" w:rsidDel="00D50F55">
        <w:t xml:space="preserve"> </w:t>
      </w:r>
      <w:r w:rsidR="00E926F2" w:rsidRPr="00712B31">
        <w:t>and concerns regarding Option 4</w:t>
      </w:r>
      <w:r w:rsidR="00C50A3D">
        <w:t>,</w:t>
      </w:r>
      <w:r w:rsidR="00E926F2" w:rsidRPr="00712B31">
        <w:t xml:space="preserve"> which would share the spectrum with class</w:t>
      </w:r>
      <w:r w:rsidR="00D50F55">
        <w:t>-</w:t>
      </w:r>
      <w:r w:rsidR="00E926F2" w:rsidRPr="00712B31">
        <w:t>licensed SR WBB services.</w:t>
      </w:r>
      <w:r w:rsidR="00E926F2">
        <w:t xml:space="preserve"> </w:t>
      </w:r>
      <w:r w:rsidR="00C50A3D">
        <w:t xml:space="preserve">They </w:t>
      </w:r>
      <w:r w:rsidR="00E926F2">
        <w:t>note</w:t>
      </w:r>
      <w:r w:rsidR="00D50F55">
        <w:t>d</w:t>
      </w:r>
      <w:r w:rsidR="00E926F2">
        <w:t xml:space="preserve"> that under </w:t>
      </w:r>
      <w:r w:rsidR="00D50F55">
        <w:t>rail safety laws,</w:t>
      </w:r>
      <w:r w:rsidR="00E926F2">
        <w:t xml:space="preserve"> duty holders are required ‘to eliminate risks to safety so far as reasonably practicable’ or where not possible ‘to minimise risks so far as reasonably practicable’. </w:t>
      </w:r>
      <w:r>
        <w:t>They</w:t>
      </w:r>
      <w:r w:rsidR="00E926F2">
        <w:t xml:space="preserve"> argue</w:t>
      </w:r>
      <w:r w:rsidR="00D50F55">
        <w:t>d</w:t>
      </w:r>
      <w:r w:rsidR="00E926F2">
        <w:t xml:space="preserve"> that it is unclear how rail operators will be able to share spectrum with SR WBB services, and their introduction would potentially risk safe train operations. As such, </w:t>
      </w:r>
      <w:r>
        <w:t>the</w:t>
      </w:r>
      <w:r w:rsidR="00D50F55">
        <w:t xml:space="preserve"> replier</w:t>
      </w:r>
      <w:r>
        <w:t xml:space="preserve"> </w:t>
      </w:r>
      <w:r w:rsidR="00E926F2">
        <w:t>support</w:t>
      </w:r>
      <w:r w:rsidR="00C50A3D">
        <w:t>ed</w:t>
      </w:r>
      <w:r w:rsidR="00E926F2">
        <w:t xml:space="preserve"> ARA’s preference for Option 3 to eliminate the risk of interference, particularly in metropolitan areas.</w:t>
      </w:r>
    </w:p>
    <w:p w14:paraId="7F7B59BC" w14:textId="45822880" w:rsidR="00E926F2" w:rsidRDefault="00326AFC" w:rsidP="00E926F2">
      <w:r>
        <w:t xml:space="preserve">A </w:t>
      </w:r>
      <w:r w:rsidR="00D50F55">
        <w:t xml:space="preserve">replier, </w:t>
      </w:r>
      <w:r w:rsidR="00C50A3D">
        <w:t xml:space="preserve">that </w:t>
      </w:r>
      <w:r w:rsidR="00D50F55">
        <w:t xml:space="preserve">did not make an original </w:t>
      </w:r>
      <w:r w:rsidR="00C04ED6">
        <w:t>submission</w:t>
      </w:r>
      <w:r w:rsidR="00D50F55">
        <w:t>, supported</w:t>
      </w:r>
      <w:r w:rsidR="00E926F2">
        <w:t xml:space="preserve"> </w:t>
      </w:r>
      <w:r>
        <w:t>the rail industry</w:t>
      </w:r>
      <w:r w:rsidR="00757734">
        <w:t>’</w:t>
      </w:r>
      <w:r w:rsidR="0096633F">
        <w:t>s</w:t>
      </w:r>
      <w:r>
        <w:t xml:space="preserve"> </w:t>
      </w:r>
      <w:r w:rsidR="00E926F2">
        <w:t>preference for Option 3. They noted the</w:t>
      </w:r>
      <w:r w:rsidR="00E926F2" w:rsidDel="00D50F55">
        <w:t xml:space="preserve"> </w:t>
      </w:r>
      <w:r w:rsidR="00D50F55">
        <w:t xml:space="preserve">responses </w:t>
      </w:r>
      <w:r w:rsidR="00E926F2">
        <w:t xml:space="preserve">from </w:t>
      </w:r>
      <w:r>
        <w:t>the telecommunications service providers</w:t>
      </w:r>
      <w:r w:rsidR="00E926F2">
        <w:t xml:space="preserve"> in support of Option 4 and argued that it would increase the risk of interference to RMR</w:t>
      </w:r>
      <w:r w:rsidR="00D50F55">
        <w:t>, which they described as</w:t>
      </w:r>
      <w:r w:rsidR="00E926F2" w:rsidDel="00D50F55">
        <w:t xml:space="preserve"> </w:t>
      </w:r>
      <w:r w:rsidR="00E926F2">
        <w:t xml:space="preserve">a safety critical public service. </w:t>
      </w:r>
      <w:r>
        <w:t>They</w:t>
      </w:r>
      <w:r w:rsidR="00E926F2">
        <w:t xml:space="preserve"> </w:t>
      </w:r>
      <w:r w:rsidR="00757734">
        <w:t>supported</w:t>
      </w:r>
      <w:r>
        <w:t xml:space="preserve"> </w:t>
      </w:r>
      <w:r w:rsidR="00757734">
        <w:t xml:space="preserve">the positions provided by a </w:t>
      </w:r>
      <w:r>
        <w:t xml:space="preserve">rail industry responder </w:t>
      </w:r>
      <w:r w:rsidR="00E926F2">
        <w:t>to all issues for comment in the options paper, emphasising that RMR would need to be a primary service in the 1900</w:t>
      </w:r>
      <w:r w:rsidR="00C50A3D">
        <w:t>–</w:t>
      </w:r>
      <w:r w:rsidR="00E926F2">
        <w:t>1910 MHz band to reduce the risk of interference from other services.</w:t>
      </w:r>
    </w:p>
    <w:p w14:paraId="3517FFD2" w14:textId="75DFBAAD" w:rsidR="00A763AE" w:rsidRDefault="00757734" w:rsidP="00A763AE">
      <w:r>
        <w:t>A</w:t>
      </w:r>
      <w:r w:rsidR="00280937">
        <w:t xml:space="preserve"> communication industry body </w:t>
      </w:r>
      <w:r w:rsidR="00D50F55">
        <w:t>remained in</w:t>
      </w:r>
      <w:r w:rsidR="00A763AE" w:rsidRPr="001A0719">
        <w:t xml:space="preserve"> support</w:t>
      </w:r>
      <w:r w:rsidR="00D50F55">
        <w:t xml:space="preserve"> of their original preference</w:t>
      </w:r>
      <w:r w:rsidR="00A763AE" w:rsidRPr="001A0719">
        <w:t xml:space="preserve"> for Option 4, but suggested that RMR requires further consideration, with apparatus licensed LA</w:t>
      </w:r>
      <w:r w:rsidR="003B102C">
        <w:t xml:space="preserve"> </w:t>
      </w:r>
      <w:r w:rsidR="00A763AE" w:rsidRPr="001A0719">
        <w:t xml:space="preserve">WBB as a secondary </w:t>
      </w:r>
      <w:r w:rsidR="00393E01">
        <w:t>utilisation</w:t>
      </w:r>
      <w:r w:rsidR="00A763AE" w:rsidRPr="001A0719">
        <w:t xml:space="preserve"> for areas outside the railway corridors to allow for higher use of the spectrum in regional and</w:t>
      </w:r>
      <w:r w:rsidR="00A763AE">
        <w:t xml:space="preserve"> remote areas. </w:t>
      </w:r>
      <w:r w:rsidR="00E926F2">
        <w:t xml:space="preserve">They </w:t>
      </w:r>
      <w:r w:rsidR="00A763AE">
        <w:t>also reiterated their</w:t>
      </w:r>
      <w:r w:rsidR="00280937">
        <w:t xml:space="preserve"> comments that use of the 1880</w:t>
      </w:r>
      <w:r w:rsidR="00C50A3D">
        <w:t>–</w:t>
      </w:r>
      <w:r w:rsidR="00280937">
        <w:t xml:space="preserve">1900 MHz band should not be limited to DECT. </w:t>
      </w:r>
      <w:r w:rsidR="00A763AE">
        <w:t xml:space="preserve"> </w:t>
      </w:r>
    </w:p>
    <w:p w14:paraId="2D92E0CB" w14:textId="5463CD89" w:rsidR="00DD3659" w:rsidRDefault="00E926F2" w:rsidP="0016325C">
      <w:r>
        <w:t>A</w:t>
      </w:r>
      <w:r w:rsidR="00326AFC">
        <w:t xml:space="preserve">nother </w:t>
      </w:r>
      <w:r w:rsidR="00D50F55">
        <w:t xml:space="preserve">replier </w:t>
      </w:r>
      <w:r w:rsidR="00C50A3D">
        <w:t xml:space="preserve">that </w:t>
      </w:r>
      <w:r w:rsidR="00D50F55">
        <w:t xml:space="preserve">did not make an original </w:t>
      </w:r>
      <w:r w:rsidR="00C04ED6">
        <w:t>submission</w:t>
      </w:r>
      <w:r w:rsidR="0093124D" w:rsidRPr="00FA0BDB">
        <w:t xml:space="preserve"> </w:t>
      </w:r>
      <w:r w:rsidR="00474B76">
        <w:t xml:space="preserve">commented on </w:t>
      </w:r>
      <w:r w:rsidR="00D50F55">
        <w:t xml:space="preserve">the response of </w:t>
      </w:r>
      <w:r w:rsidR="00C213D4">
        <w:t>a</w:t>
      </w:r>
      <w:r>
        <w:t xml:space="preserve"> rail industry responder</w:t>
      </w:r>
      <w:r w:rsidR="00D50F55">
        <w:t>,</w:t>
      </w:r>
      <w:r>
        <w:t xml:space="preserve"> </w:t>
      </w:r>
      <w:r w:rsidR="001C0593">
        <w:t xml:space="preserve">which </w:t>
      </w:r>
      <w:r w:rsidR="004660B0" w:rsidRPr="00FA0BDB">
        <w:t>stat</w:t>
      </w:r>
      <w:r w:rsidR="001C0593">
        <w:t>ed</w:t>
      </w:r>
      <w:r w:rsidR="00800B86" w:rsidRPr="00FA0BDB">
        <w:t xml:space="preserve"> that RMR services in the 1900</w:t>
      </w:r>
      <w:r w:rsidR="00474B76">
        <w:t>–</w:t>
      </w:r>
      <w:r w:rsidR="00800B86" w:rsidRPr="00FA0BDB">
        <w:t xml:space="preserve">1910 MHz band </w:t>
      </w:r>
      <w:r w:rsidR="00D50F55">
        <w:t>will</w:t>
      </w:r>
      <w:r w:rsidR="00800B86" w:rsidRPr="00FA0BDB">
        <w:t xml:space="preserve"> allow transition from GSM-R to FRMCS</w:t>
      </w:r>
      <w:r w:rsidR="00DD3659" w:rsidRPr="00FA0BDB">
        <w:t>.</w:t>
      </w:r>
      <w:r w:rsidR="00800B86" w:rsidRPr="00FA0BDB">
        <w:t xml:space="preserve"> The</w:t>
      </w:r>
      <w:r w:rsidR="004660B0" w:rsidRPr="00FA0BDB">
        <w:t>ir</w:t>
      </w:r>
      <w:r w:rsidR="00800B86" w:rsidRPr="00FA0BDB">
        <w:t xml:space="preserve"> reply noted that currently there is 5 + 5 MHz of spectrum available for public safety use, </w:t>
      </w:r>
      <w:r w:rsidR="004660B0" w:rsidRPr="00FA0BDB">
        <w:t>below the 10 + 10 MHz international benchmark for Public Safety Mobile Broadband (PSMB). In 2022</w:t>
      </w:r>
      <w:r w:rsidR="00214FB1">
        <w:t>,</w:t>
      </w:r>
      <w:r w:rsidR="004660B0" w:rsidRPr="00FA0BDB">
        <w:t xml:space="preserve"> NSW tested PSMB and identified a </w:t>
      </w:r>
      <w:r w:rsidR="00214FB1">
        <w:t>‘</w:t>
      </w:r>
      <w:r w:rsidR="004660B0" w:rsidRPr="00FA0BDB">
        <w:t xml:space="preserve">significantly worse user experience when working only with 5 MHz and that this allocation may not </w:t>
      </w:r>
      <w:r w:rsidR="004660B0" w:rsidRPr="001A0719">
        <w:t>meet all Emergency Service Organisation requirements</w:t>
      </w:r>
      <w:r w:rsidR="00214FB1">
        <w:t>’</w:t>
      </w:r>
      <w:r w:rsidR="004660B0" w:rsidRPr="001A0719">
        <w:t xml:space="preserve">. As a result, the </w:t>
      </w:r>
      <w:r w:rsidR="00D50F55">
        <w:t xml:space="preserve">replier </w:t>
      </w:r>
      <w:r w:rsidR="00644867">
        <w:t>consider</w:t>
      </w:r>
      <w:r w:rsidR="00D50F55">
        <w:t>ed</w:t>
      </w:r>
      <w:r w:rsidR="00644867">
        <w:t xml:space="preserve"> </w:t>
      </w:r>
      <w:r w:rsidR="004660B0" w:rsidRPr="001A0719">
        <w:t xml:space="preserve">spectrum in both the 1800 MHz and 1900 MHz bands </w:t>
      </w:r>
      <w:r w:rsidR="00D50F55">
        <w:t>was</w:t>
      </w:r>
      <w:r w:rsidR="004660B0" w:rsidRPr="001A0719">
        <w:t xml:space="preserve"> required to support Australian emergency services organisations.</w:t>
      </w:r>
    </w:p>
    <w:p w14:paraId="791971D2" w14:textId="77777777" w:rsidR="008B3260" w:rsidRPr="00B156AD" w:rsidRDefault="008B3260" w:rsidP="008B3260">
      <w:pPr>
        <w:pStyle w:val="Heading4"/>
      </w:pPr>
      <w:r w:rsidRPr="00B156AD">
        <w:t>ACMA response</w:t>
      </w:r>
    </w:p>
    <w:p w14:paraId="74CB5996" w14:textId="76ADCFB3" w:rsidR="008B3260" w:rsidRDefault="008B3260" w:rsidP="008B3260">
      <w:pPr>
        <w:autoSpaceDE w:val="0"/>
        <w:autoSpaceDN w:val="0"/>
        <w:spacing w:after="0" w:line="240" w:lineRule="auto"/>
      </w:pPr>
      <w:r w:rsidRPr="008B3260">
        <w:t>The suggestion concerning PSMB may be considered once rail is established in the 1900</w:t>
      </w:r>
      <w:r w:rsidR="00474B76">
        <w:t>–</w:t>
      </w:r>
      <w:r w:rsidRPr="008B3260">
        <w:t xml:space="preserve">1910 MHz band. </w:t>
      </w:r>
      <w:r w:rsidR="00FB0E80" w:rsidRPr="008B3260">
        <w:t xml:space="preserve">LA WBB or PTP </w:t>
      </w:r>
      <w:r w:rsidR="00FB0E80">
        <w:t xml:space="preserve">arrangements </w:t>
      </w:r>
      <w:r w:rsidR="00FB0E80" w:rsidRPr="008B3260">
        <w:t xml:space="preserve">in the 1.9 GHz band </w:t>
      </w:r>
      <w:r w:rsidR="00FB0E80">
        <w:t xml:space="preserve">could be used to provide </w:t>
      </w:r>
      <w:r w:rsidRPr="008B3260">
        <w:t xml:space="preserve">PSMB </w:t>
      </w:r>
      <w:r w:rsidR="00FB0E80">
        <w:t>services in</w:t>
      </w:r>
      <w:r w:rsidRPr="008B3260">
        <w:t xml:space="preserve"> remote and regional areas </w:t>
      </w:r>
      <w:r w:rsidR="00FB0E80">
        <w:t>where available</w:t>
      </w:r>
      <w:r w:rsidRPr="008B3260">
        <w:t>.</w:t>
      </w:r>
    </w:p>
    <w:p w14:paraId="5318D891" w14:textId="29476E22" w:rsidR="006E7FCC" w:rsidRDefault="00AD17E2" w:rsidP="006E7FCC">
      <w:pPr>
        <w:pStyle w:val="Heading1"/>
      </w:pPr>
      <w:bookmarkStart w:id="73" w:name="_Toc150345659"/>
      <w:r>
        <w:lastRenderedPageBreak/>
        <w:t>Consultation</w:t>
      </w:r>
      <w:r w:rsidR="00484ACA">
        <w:t xml:space="preserve"> </w:t>
      </w:r>
      <w:r w:rsidR="00D06ABE">
        <w:t>discussion</w:t>
      </w:r>
      <w:bookmarkEnd w:id="73"/>
    </w:p>
    <w:p w14:paraId="18DFF42C" w14:textId="1D34B099" w:rsidR="00B83B2B" w:rsidRDefault="00B83B2B" w:rsidP="00B83B2B">
      <w:r>
        <w:rPr>
          <w:rFonts w:cs="Arial"/>
          <w:szCs w:val="20"/>
        </w:rPr>
        <w:t>Following consultation the ACMA decided to</w:t>
      </w:r>
      <w:r w:rsidR="00CE1DFE">
        <w:rPr>
          <w:rFonts w:cs="Arial"/>
          <w:szCs w:val="20"/>
        </w:rPr>
        <w:t xml:space="preserve"> further </w:t>
      </w:r>
      <w:r w:rsidR="00CE1DFE" w:rsidRPr="00CE1DFE">
        <w:rPr>
          <w:rFonts w:cs="Arial"/>
          <w:szCs w:val="20"/>
        </w:rPr>
        <w:t>investigate</w:t>
      </w:r>
      <w:r w:rsidRPr="00CE1DFE">
        <w:rPr>
          <w:rFonts w:cs="Arial"/>
          <w:szCs w:val="20"/>
        </w:rPr>
        <w:t xml:space="preserve"> Option </w:t>
      </w:r>
      <w:r w:rsidR="00CE1DFE" w:rsidRPr="00CE1DFE">
        <w:rPr>
          <w:rFonts w:cs="Arial"/>
          <w:szCs w:val="20"/>
        </w:rPr>
        <w:t>3 a</w:t>
      </w:r>
      <w:r w:rsidR="00CE1DFE">
        <w:rPr>
          <w:rFonts w:cs="Arial"/>
          <w:szCs w:val="20"/>
        </w:rPr>
        <w:t>nd Option 4</w:t>
      </w:r>
      <w:r>
        <w:rPr>
          <w:rFonts w:cs="Arial"/>
          <w:szCs w:val="20"/>
        </w:rPr>
        <w:t xml:space="preserve"> as presented </w:t>
      </w:r>
      <w:r w:rsidRPr="00330129">
        <w:rPr>
          <w:rFonts w:cs="Arial"/>
          <w:szCs w:val="20"/>
        </w:rPr>
        <w:t xml:space="preserve">in the </w:t>
      </w:r>
      <w:hyperlink r:id="rId49" w:history="1">
        <w:r w:rsidR="00330129" w:rsidRPr="00E5791B">
          <w:rPr>
            <w:rStyle w:val="Hyperlink"/>
            <w:color w:val="auto"/>
            <w:u w:val="none"/>
          </w:rPr>
          <w:t>options</w:t>
        </w:r>
      </w:hyperlink>
      <w:r w:rsidR="00330129" w:rsidRPr="00E5791B">
        <w:rPr>
          <w:rStyle w:val="Hyperlink"/>
          <w:color w:val="auto"/>
          <w:u w:val="none"/>
        </w:rPr>
        <w:t xml:space="preserve"> paper</w:t>
      </w:r>
      <w:r w:rsidR="00E5791B">
        <w:rPr>
          <w:rStyle w:val="Hyperlink"/>
          <w:color w:val="auto"/>
          <w:u w:val="none"/>
        </w:rPr>
        <w:t xml:space="preserve"> due to these options being preferred by responders</w:t>
      </w:r>
      <w:r w:rsidR="0053376B">
        <w:rPr>
          <w:rStyle w:val="Hyperlink"/>
          <w:color w:val="auto"/>
          <w:u w:val="none"/>
        </w:rPr>
        <w:t xml:space="preserve"> (and noting the ACMA preliminary preferred </w:t>
      </w:r>
      <w:r w:rsidR="00D225FB">
        <w:rPr>
          <w:rStyle w:val="Hyperlink"/>
          <w:color w:val="auto"/>
          <w:u w:val="none"/>
        </w:rPr>
        <w:t>o</w:t>
      </w:r>
      <w:r w:rsidR="0053376B">
        <w:rPr>
          <w:rStyle w:val="Hyperlink"/>
          <w:color w:val="auto"/>
          <w:u w:val="none"/>
        </w:rPr>
        <w:t xml:space="preserve">ption was </w:t>
      </w:r>
      <w:r w:rsidR="00663D2F">
        <w:rPr>
          <w:rStyle w:val="Hyperlink"/>
          <w:color w:val="auto"/>
          <w:u w:val="none"/>
        </w:rPr>
        <w:t>Option 4</w:t>
      </w:r>
      <w:r w:rsidR="00C213D4">
        <w:rPr>
          <w:rStyle w:val="Hyperlink"/>
          <w:color w:val="auto"/>
          <w:u w:val="none"/>
        </w:rPr>
        <w:t>)</w:t>
      </w:r>
      <w:r w:rsidRPr="00E5791B">
        <w:rPr>
          <w:rStyle w:val="Hyperlink"/>
          <w:color w:val="auto"/>
          <w:u w:val="none"/>
        </w:rPr>
        <w:t>.</w:t>
      </w:r>
      <w:r w:rsidRPr="00330129">
        <w:rPr>
          <w:rFonts w:cs="Arial"/>
          <w:szCs w:val="20"/>
        </w:rPr>
        <w:t xml:space="preserve"> </w:t>
      </w:r>
      <w:r w:rsidRPr="00330129">
        <w:t xml:space="preserve">These </w:t>
      </w:r>
      <w:r>
        <w:t>arrangements are illustrated in Figure 1</w:t>
      </w:r>
      <w:r w:rsidR="00CE1DFE">
        <w:t xml:space="preserve"> and Figure 2</w:t>
      </w:r>
      <w:r w:rsidR="00345418">
        <w:t>, respectively</w:t>
      </w:r>
      <w:r>
        <w:t>.</w:t>
      </w:r>
      <w:r w:rsidRPr="00B04023">
        <w:t xml:space="preserve"> </w:t>
      </w:r>
    </w:p>
    <w:p w14:paraId="0007E7AA" w14:textId="79643DFA" w:rsidR="00CE1DFE" w:rsidRPr="00CE1DFE" w:rsidRDefault="00812119" w:rsidP="00CE1DFE">
      <w:pPr>
        <w:pStyle w:val="ACMAFigureHeader"/>
      </w:pPr>
      <w:r>
        <w:t xml:space="preserve">Arrangements for </w:t>
      </w:r>
      <w:r w:rsidR="00CE1DFE" w:rsidRPr="00CE1DFE">
        <w:t>Option 3</w:t>
      </w:r>
    </w:p>
    <w:p w14:paraId="047A9373" w14:textId="6D947F73" w:rsidR="00CE1DFE" w:rsidRPr="00CE1DFE" w:rsidRDefault="00677CAA" w:rsidP="001B375B">
      <w:pPr>
        <w:pStyle w:val="ACMAFigureHeader"/>
        <w:numPr>
          <w:ilvl w:val="0"/>
          <w:numId w:val="0"/>
        </w:numPr>
      </w:pPr>
      <w:r>
        <w:rPr>
          <w:noProof/>
        </w:rPr>
        <w:drawing>
          <wp:inline distT="0" distB="0" distL="0" distR="0" wp14:anchorId="74EA5B88" wp14:editId="4248A733">
            <wp:extent cx="5619750" cy="3378003"/>
            <wp:effectExtent l="0" t="0" r="0" b="0"/>
            <wp:docPr id="8" name="Picture 8" descr="A chart of a licen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hart of a license&#10;&#10;Description automatically generated with medium confidence"/>
                    <pic:cNvPicPr/>
                  </pic:nvPicPr>
                  <pic:blipFill>
                    <a:blip r:embed="rId50"/>
                    <a:stretch>
                      <a:fillRect/>
                    </a:stretch>
                  </pic:blipFill>
                  <pic:spPr>
                    <a:xfrm>
                      <a:off x="0" y="0"/>
                      <a:ext cx="5665038" cy="3405226"/>
                    </a:xfrm>
                    <a:prstGeom prst="rect">
                      <a:avLst/>
                    </a:prstGeom>
                  </pic:spPr>
                </pic:pic>
              </a:graphicData>
            </a:graphic>
          </wp:inline>
        </w:drawing>
      </w:r>
    </w:p>
    <w:p w14:paraId="6AEB9B5C" w14:textId="7351C520" w:rsidR="00CE1DFE" w:rsidRDefault="00CE1DFE" w:rsidP="00304EF3">
      <w:pPr>
        <w:spacing w:before="240" w:after="80"/>
        <w:rPr>
          <w:rFonts w:cs="Arial"/>
          <w:szCs w:val="20"/>
        </w:rPr>
      </w:pPr>
      <w:r>
        <w:rPr>
          <w:rFonts w:cs="Arial"/>
          <w:szCs w:val="20"/>
        </w:rPr>
        <w:t xml:space="preserve">Option 3 provides </w:t>
      </w:r>
      <w:r w:rsidR="004115E3">
        <w:rPr>
          <w:rFonts w:cs="Arial"/>
          <w:szCs w:val="20"/>
        </w:rPr>
        <w:t>for</w:t>
      </w:r>
      <w:r>
        <w:rPr>
          <w:rFonts w:cs="Arial"/>
          <w:szCs w:val="20"/>
        </w:rPr>
        <w:t>:</w:t>
      </w:r>
    </w:p>
    <w:p w14:paraId="1ED56DA0" w14:textId="3D77495B" w:rsidR="00CE1DFE" w:rsidRDefault="00812119" w:rsidP="00CE1DFE">
      <w:pPr>
        <w:pStyle w:val="ListBullet"/>
      </w:pPr>
      <w:r>
        <w:t>m</w:t>
      </w:r>
      <w:r w:rsidR="00CE1DFE">
        <w:t xml:space="preserve">aintaining SR WBB uses </w:t>
      </w:r>
      <w:bookmarkStart w:id="74" w:name="_Hlk112924078"/>
      <w:r w:rsidR="00CE1DFE">
        <w:t>und</w:t>
      </w:r>
      <w:r w:rsidR="00CE1DFE" w:rsidRPr="00A77932">
        <w:t>er class</w:t>
      </w:r>
      <w:r w:rsidR="00A77932" w:rsidRPr="00304EF3">
        <w:t>-</w:t>
      </w:r>
      <w:r w:rsidR="00CE1DFE" w:rsidRPr="00A77932">
        <w:t>licensing</w:t>
      </w:r>
      <w:r w:rsidR="00CE1DFE">
        <w:t xml:space="preserve"> arrangements across </w:t>
      </w:r>
      <w:r w:rsidR="00CE1DFE">
        <w:br/>
        <w:t>1880–1900 MHz</w:t>
      </w:r>
      <w:bookmarkEnd w:id="74"/>
    </w:p>
    <w:p w14:paraId="7CDB5A01" w14:textId="1CF388AD" w:rsidR="00CE1DFE" w:rsidRDefault="00812119" w:rsidP="00CE1DFE">
      <w:pPr>
        <w:pStyle w:val="ListBullet"/>
      </w:pPr>
      <w:r>
        <w:t>e</w:t>
      </w:r>
      <w:r w:rsidR="00CE1DFE">
        <w:t xml:space="preserve">nabling access to new uses including </w:t>
      </w:r>
      <w:r w:rsidR="00345418">
        <w:t>‘</w:t>
      </w:r>
      <w:r w:rsidR="00CE1DFE">
        <w:t>future DECT</w:t>
      </w:r>
      <w:r w:rsidR="00345418">
        <w:t>’</w:t>
      </w:r>
      <w:r w:rsidR="00CE1DFE">
        <w:t xml:space="preserve"> licensing arrangements across 1880–1900 MHz</w:t>
      </w:r>
    </w:p>
    <w:p w14:paraId="0618D220" w14:textId="1DBB9062" w:rsidR="00CE1DFE" w:rsidRDefault="00812119" w:rsidP="00CE1DFE">
      <w:pPr>
        <w:pStyle w:val="ListBullet"/>
      </w:pPr>
      <w:r>
        <w:t>m</w:t>
      </w:r>
      <w:r w:rsidR="00CE1DFE">
        <w:t>aintaining LA WBB and PTP access arrangements across 1900–1920 MHz in regional and remote areas</w:t>
      </w:r>
    </w:p>
    <w:p w14:paraId="0141CF8C" w14:textId="7BD07B08" w:rsidR="00CE1DFE" w:rsidRDefault="00812119" w:rsidP="00CE1DFE">
      <w:pPr>
        <w:pStyle w:val="ListBulletLast"/>
      </w:pPr>
      <w:r>
        <w:t>i</w:t>
      </w:r>
      <w:r w:rsidR="00CE1DFE">
        <w:t>ntroducing RMR services in the 1900–1910 MHz segment of the band for new uses and applications such as rail applications.</w:t>
      </w:r>
    </w:p>
    <w:p w14:paraId="31F0ACCF" w14:textId="781D908D" w:rsidR="00CE1DFE" w:rsidRDefault="00CE1DFE" w:rsidP="00CE1DFE">
      <w:pPr>
        <w:pStyle w:val="Paragraphbeforelist"/>
      </w:pPr>
      <w:r>
        <w:t>The option meets desirable planning outcomes</w:t>
      </w:r>
      <w:r w:rsidR="0042632A">
        <w:t xml:space="preserve"> 1 and 3 (as detailed in </w:t>
      </w:r>
      <w:r w:rsidR="00BA6725">
        <w:t xml:space="preserve">the </w:t>
      </w:r>
      <w:r w:rsidR="00BA6725" w:rsidRPr="00BA6725">
        <w:t>‘</w:t>
      </w:r>
      <w:r w:rsidR="0042632A" w:rsidRPr="00417369">
        <w:t>Overall approach to replanning the band</w:t>
      </w:r>
      <w:r w:rsidR="00BA6725" w:rsidRPr="00417369">
        <w:t>’</w:t>
      </w:r>
      <w:r w:rsidR="0042632A">
        <w:t xml:space="preserve"> section) by</w:t>
      </w:r>
      <w:r>
        <w:t>:</w:t>
      </w:r>
    </w:p>
    <w:p w14:paraId="7DBB7A2C" w14:textId="6D3C13E1" w:rsidR="0042632A" w:rsidRDefault="00474B76" w:rsidP="00345418">
      <w:pPr>
        <w:pStyle w:val="ListBullet"/>
      </w:pPr>
      <w:r>
        <w:t>m</w:t>
      </w:r>
      <w:r w:rsidR="0042632A">
        <w:t>aintaining arrangements for incumbent services in the 1.9 GHz band</w:t>
      </w:r>
    </w:p>
    <w:p w14:paraId="36EB9638" w14:textId="30D1CEBB" w:rsidR="00CE1DFE" w:rsidRPr="00B83B2B" w:rsidRDefault="00474B76" w:rsidP="00BA6725">
      <w:pPr>
        <w:pStyle w:val="ListBullet"/>
        <w:spacing w:after="240"/>
      </w:pPr>
      <w:r>
        <w:t xml:space="preserve">identifying </w:t>
      </w:r>
      <w:r w:rsidR="0042632A">
        <w:t>the 1900</w:t>
      </w:r>
      <w:r>
        <w:t>–</w:t>
      </w:r>
      <w:r w:rsidR="0042632A">
        <w:t xml:space="preserve">1910 MHz band </w:t>
      </w:r>
      <w:r w:rsidR="00CE1DFE" w:rsidRPr="00B83B2B">
        <w:t>for exc</w:t>
      </w:r>
      <w:r w:rsidR="00837D74">
        <w:t>l</w:t>
      </w:r>
      <w:r w:rsidR="00CE1DFE" w:rsidRPr="00B83B2B">
        <w:t>usive RMR use</w:t>
      </w:r>
      <w:r>
        <w:t>,</w:t>
      </w:r>
      <w:r w:rsidR="00CE1DFE" w:rsidRPr="00B83B2B">
        <w:t xml:space="preserve"> Australia-wide.</w:t>
      </w:r>
    </w:p>
    <w:p w14:paraId="12084293" w14:textId="17C289C8" w:rsidR="0042632A" w:rsidRDefault="0042632A" w:rsidP="00BA6725">
      <w:pPr>
        <w:pStyle w:val="ListBullet"/>
        <w:numPr>
          <w:ilvl w:val="0"/>
          <w:numId w:val="0"/>
        </w:numPr>
      </w:pPr>
      <w:r>
        <w:t xml:space="preserve">As detailed later in this section, we also consider this option can meet desirable planning outcomes 4 and 5, coexistence with in-band </w:t>
      </w:r>
      <w:r w:rsidR="0059051A">
        <w:t>(within the 1880</w:t>
      </w:r>
      <w:r w:rsidR="00474B76">
        <w:t>–</w:t>
      </w:r>
      <w:r w:rsidR="0059051A">
        <w:t xml:space="preserve">1920 MHz band) </w:t>
      </w:r>
      <w:r>
        <w:t xml:space="preserve">and </w:t>
      </w:r>
      <w:r w:rsidRPr="00B83B2B">
        <w:t xml:space="preserve">adjacent band services </w:t>
      </w:r>
      <w:r>
        <w:t>(services below 1880 MHz and above 1920 MHz) via the implementation of suitable technical framework</w:t>
      </w:r>
      <w:r w:rsidR="0059051A">
        <w:t>s</w:t>
      </w:r>
      <w:r>
        <w:t xml:space="preserve">. </w:t>
      </w:r>
    </w:p>
    <w:p w14:paraId="4BA75C91" w14:textId="77777777" w:rsidR="00677CAA" w:rsidRDefault="00677CAA" w:rsidP="00BA6725">
      <w:pPr>
        <w:pStyle w:val="ListBullet"/>
        <w:numPr>
          <w:ilvl w:val="0"/>
          <w:numId w:val="0"/>
        </w:numPr>
      </w:pPr>
    </w:p>
    <w:p w14:paraId="62A6EFD5" w14:textId="38773E6C" w:rsidR="00B83B2B" w:rsidRPr="00CE1DFE" w:rsidRDefault="00812119" w:rsidP="00345418">
      <w:pPr>
        <w:pStyle w:val="ACMAFigureHeader"/>
        <w:keepNext/>
      </w:pPr>
      <w:r>
        <w:lastRenderedPageBreak/>
        <w:t xml:space="preserve">Arrangements for </w:t>
      </w:r>
      <w:r w:rsidR="00B83B2B" w:rsidRPr="00CE1DFE">
        <w:t>Option 4</w:t>
      </w:r>
    </w:p>
    <w:p w14:paraId="4A81198B" w14:textId="54CBA480" w:rsidR="00B83B2B" w:rsidRDefault="001B375B" w:rsidP="00B83B2B">
      <w:pPr>
        <w:spacing w:after="80"/>
        <w:rPr>
          <w:rFonts w:cs="Arial"/>
          <w:szCs w:val="20"/>
        </w:rPr>
      </w:pPr>
      <w:r>
        <w:rPr>
          <w:rFonts w:cs="Arial"/>
          <w:noProof/>
          <w:szCs w:val="20"/>
        </w:rPr>
        <w:drawing>
          <wp:inline distT="0" distB="0" distL="0" distR="0" wp14:anchorId="623902D3" wp14:editId="04FB04FE">
            <wp:extent cx="5753100" cy="4213390"/>
            <wp:effectExtent l="0" t="0" r="0" b="0"/>
            <wp:docPr id="11" name="Picture 11" descr="A screen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hart&#10;&#10;Description automatically generated"/>
                    <pic:cNvPicPr/>
                  </pic:nvPicPr>
                  <pic:blipFill>
                    <a:blip r:embed="rId51"/>
                    <a:stretch>
                      <a:fillRect/>
                    </a:stretch>
                  </pic:blipFill>
                  <pic:spPr>
                    <a:xfrm>
                      <a:off x="0" y="0"/>
                      <a:ext cx="5784940" cy="4236709"/>
                    </a:xfrm>
                    <a:prstGeom prst="rect">
                      <a:avLst/>
                    </a:prstGeom>
                  </pic:spPr>
                </pic:pic>
              </a:graphicData>
            </a:graphic>
          </wp:inline>
        </w:drawing>
      </w:r>
    </w:p>
    <w:p w14:paraId="098382F7" w14:textId="0C4813C2" w:rsidR="00B83B2B" w:rsidRDefault="004115E3" w:rsidP="00304EF3">
      <w:pPr>
        <w:spacing w:before="240" w:after="80"/>
        <w:rPr>
          <w:rFonts w:cs="Arial"/>
          <w:szCs w:val="20"/>
        </w:rPr>
      </w:pPr>
      <w:r>
        <w:rPr>
          <w:rFonts w:cs="Arial"/>
          <w:szCs w:val="20"/>
        </w:rPr>
        <w:t xml:space="preserve">In addition to the benefits provided by Option 3, </w:t>
      </w:r>
      <w:r w:rsidR="00B83B2B">
        <w:rPr>
          <w:rFonts w:cs="Arial"/>
          <w:szCs w:val="20"/>
        </w:rPr>
        <w:t xml:space="preserve">Option 4 </w:t>
      </w:r>
      <w:r>
        <w:rPr>
          <w:rFonts w:cs="Arial"/>
          <w:szCs w:val="20"/>
        </w:rPr>
        <w:t>also</w:t>
      </w:r>
      <w:r w:rsidR="00B83B2B">
        <w:rPr>
          <w:rFonts w:cs="Arial"/>
          <w:szCs w:val="20"/>
        </w:rPr>
        <w:t>:</w:t>
      </w:r>
    </w:p>
    <w:p w14:paraId="1543EA8A" w14:textId="74B4719C" w:rsidR="00B83B2B" w:rsidRPr="00A05EC9" w:rsidRDefault="00812119" w:rsidP="00B83B2B">
      <w:pPr>
        <w:pStyle w:val="ListBullet"/>
      </w:pPr>
      <w:r>
        <w:t>p</w:t>
      </w:r>
      <w:r w:rsidR="00B83B2B">
        <w:t xml:space="preserve">romotes </w:t>
      </w:r>
      <w:r w:rsidR="00B83B2B" w:rsidRPr="00A05EC9">
        <w:t xml:space="preserve">the </w:t>
      </w:r>
      <w:r w:rsidR="00B83B2B">
        <w:t>long</w:t>
      </w:r>
      <w:r w:rsidR="00B83B2B">
        <w:rPr>
          <w:rFonts w:ascii="Cambria Math" w:hAnsi="Cambria Math" w:cs="Cambria Math"/>
        </w:rPr>
        <w:t>‑</w:t>
      </w:r>
      <w:r w:rsidR="00B83B2B">
        <w:t>term</w:t>
      </w:r>
      <w:r w:rsidR="00B83B2B" w:rsidRPr="00A05EC9">
        <w:t xml:space="preserve"> public </w:t>
      </w:r>
      <w:r w:rsidR="00B83B2B">
        <w:t>interest</w:t>
      </w:r>
      <w:r w:rsidR="00B83B2B" w:rsidRPr="00A05EC9">
        <w:t xml:space="preserve"> derived from the </w:t>
      </w:r>
      <w:r w:rsidR="00B83B2B">
        <w:t>use of the</w:t>
      </w:r>
      <w:r w:rsidR="00B83B2B" w:rsidRPr="00A05EC9">
        <w:t xml:space="preserve"> spectrum</w:t>
      </w:r>
    </w:p>
    <w:p w14:paraId="69897B6F" w14:textId="1CAF33D4" w:rsidR="00B83B2B" w:rsidRPr="005E6D37" w:rsidRDefault="00812119" w:rsidP="00B83B2B">
      <w:pPr>
        <w:pStyle w:val="ListBullet"/>
      </w:pPr>
      <w:r>
        <w:t>p</w:t>
      </w:r>
      <w:r w:rsidR="00B83B2B" w:rsidRPr="005E6D37">
        <w:t>rovide</w:t>
      </w:r>
      <w:r w:rsidR="00B83B2B">
        <w:t>s</w:t>
      </w:r>
      <w:r w:rsidR="00B83B2B" w:rsidRPr="005E6D37">
        <w:t xml:space="preserve"> a responsive and flexible approach to meeting the needs of spectrum</w:t>
      </w:r>
      <w:r w:rsidR="00B83B2B">
        <w:t xml:space="preserve"> users by providing a mix of service types and allocation methods</w:t>
      </w:r>
    </w:p>
    <w:p w14:paraId="5A514038" w14:textId="54EA1AD5" w:rsidR="00B83B2B" w:rsidRPr="00A05EC9" w:rsidRDefault="00812119" w:rsidP="008E648F">
      <w:pPr>
        <w:pStyle w:val="ListBullet"/>
        <w:spacing w:after="240"/>
      </w:pPr>
      <w:r>
        <w:t>e</w:t>
      </w:r>
      <w:r w:rsidR="00B83B2B" w:rsidRPr="00F26E80">
        <w:t>ncourage</w:t>
      </w:r>
      <w:r w:rsidR="00B83B2B">
        <w:t>s</w:t>
      </w:r>
      <w:r w:rsidR="00B83B2B" w:rsidRPr="00F26E80">
        <w:t xml:space="preserve"> the use of efficient radiocommunic</w:t>
      </w:r>
      <w:r w:rsidR="00B83B2B" w:rsidRPr="00A05EC9">
        <w:t xml:space="preserve">ation technologies </w:t>
      </w:r>
      <w:r w:rsidR="00B83B2B">
        <w:t>and</w:t>
      </w:r>
      <w:r w:rsidR="00B83B2B" w:rsidRPr="00A05EC9">
        <w:t xml:space="preserve"> a wide range of services of an adequate quality </w:t>
      </w:r>
      <w:r w:rsidR="00B83B2B">
        <w:t>by introducing new service types.</w:t>
      </w:r>
    </w:p>
    <w:p w14:paraId="1DE11CEB" w14:textId="0ECD444A" w:rsidR="00B83B2B" w:rsidRPr="00B83B2B" w:rsidRDefault="00CE1DFE" w:rsidP="00BA6725">
      <w:pPr>
        <w:pStyle w:val="Paragraphbeforelist"/>
      </w:pPr>
      <w:r>
        <w:t xml:space="preserve">In addition to </w:t>
      </w:r>
      <w:r w:rsidR="00345418">
        <w:t xml:space="preserve">meeting </w:t>
      </w:r>
      <w:r>
        <w:t>the</w:t>
      </w:r>
      <w:r w:rsidR="0029288D">
        <w:t xml:space="preserve"> same</w:t>
      </w:r>
      <w:r>
        <w:t xml:space="preserve"> desirable planning outcomes </w:t>
      </w:r>
      <w:r w:rsidR="0029288D">
        <w:t xml:space="preserve">as </w:t>
      </w:r>
      <w:r>
        <w:t>Option 3, Option 4</w:t>
      </w:r>
      <w:r w:rsidR="00B83B2B">
        <w:t xml:space="preserve"> meets desirable planning outcome</w:t>
      </w:r>
      <w:r w:rsidR="0042632A">
        <w:t xml:space="preserve"> 4 by</w:t>
      </w:r>
      <w:r w:rsidR="0059051A">
        <w:t xml:space="preserve"> </w:t>
      </w:r>
      <w:r w:rsidR="0042632A">
        <w:t>e</w:t>
      </w:r>
      <w:r w:rsidR="00837D74">
        <w:t>xpand</w:t>
      </w:r>
      <w:r w:rsidR="008D73A9">
        <w:t>ing</w:t>
      </w:r>
      <w:r w:rsidR="00837D74">
        <w:t xml:space="preserve"> arrangements </w:t>
      </w:r>
      <w:r w:rsidR="00B83B2B" w:rsidRPr="00B83B2B">
        <w:t xml:space="preserve">for SR WBB </w:t>
      </w:r>
      <w:r w:rsidR="00837D74">
        <w:t>services</w:t>
      </w:r>
      <w:r w:rsidR="008D73A9">
        <w:t xml:space="preserve"> into the 1900</w:t>
      </w:r>
      <w:r w:rsidR="00812119">
        <w:t>–</w:t>
      </w:r>
      <w:r w:rsidR="008D73A9">
        <w:t>1920 MHz band</w:t>
      </w:r>
      <w:r w:rsidR="00B83B2B" w:rsidRPr="00B83B2B">
        <w:t xml:space="preserve">. </w:t>
      </w:r>
    </w:p>
    <w:p w14:paraId="1022141C" w14:textId="3B2860EC" w:rsidR="006E7FCC" w:rsidRDefault="006E7FCC" w:rsidP="006E7FCC">
      <w:pPr>
        <w:pStyle w:val="Heading2"/>
      </w:pPr>
      <w:bookmarkStart w:id="75" w:name="_Toc150345660"/>
      <w:r>
        <w:t xml:space="preserve">Coexistence </w:t>
      </w:r>
      <w:r w:rsidR="001C2C14">
        <w:t>considerations</w:t>
      </w:r>
      <w:bookmarkEnd w:id="75"/>
    </w:p>
    <w:p w14:paraId="625C7F39" w14:textId="7D89E1DC" w:rsidR="001C2C14" w:rsidRDefault="001C2C14" w:rsidP="007A4BDB">
      <w:r>
        <w:t>Options 3 and 4 propose the introduction of new services into the 1900</w:t>
      </w:r>
      <w:r w:rsidR="00812119">
        <w:t>–</w:t>
      </w:r>
      <w:r>
        <w:t>1920 MHz band. Both options propose introducing arrangements for RMR into the 1900</w:t>
      </w:r>
      <w:r w:rsidR="00812119">
        <w:t>–</w:t>
      </w:r>
      <w:r>
        <w:t xml:space="preserve">1910 MHz band and </w:t>
      </w:r>
      <w:r w:rsidR="00BA6725">
        <w:t xml:space="preserve">maintaining </w:t>
      </w:r>
      <w:r>
        <w:t>SR WBB in the 1880</w:t>
      </w:r>
      <w:r w:rsidR="00812119">
        <w:t>–</w:t>
      </w:r>
      <w:r>
        <w:t>1900 MHz band.</w:t>
      </w:r>
      <w:r w:rsidRPr="001C2C14">
        <w:t xml:space="preserve"> </w:t>
      </w:r>
      <w:r>
        <w:t xml:space="preserve">The main difference between </w:t>
      </w:r>
      <w:r w:rsidR="00812119">
        <w:t>o</w:t>
      </w:r>
      <w:r>
        <w:t>ptions 3 and 4 is</w:t>
      </w:r>
      <w:r w:rsidR="008714A0">
        <w:t xml:space="preserve"> that Option 4 in</w:t>
      </w:r>
      <w:r w:rsidR="008714A0" w:rsidRPr="00DE34D0">
        <w:t>cludes class</w:t>
      </w:r>
      <w:r w:rsidR="00DE34D0" w:rsidRPr="00304EF3">
        <w:t>-</w:t>
      </w:r>
      <w:r w:rsidRPr="00DE34D0">
        <w:t>licen</w:t>
      </w:r>
      <w:r w:rsidR="00DE34D0" w:rsidRPr="00304EF3">
        <w:t>sing</w:t>
      </w:r>
      <w:r w:rsidRPr="00DE34D0">
        <w:t xml:space="preserve"> arrangeme</w:t>
      </w:r>
      <w:r>
        <w:t>nts for SR WBB in the 1900</w:t>
      </w:r>
      <w:r w:rsidR="00812119">
        <w:t>–</w:t>
      </w:r>
      <w:r>
        <w:t>1920 MHz band</w:t>
      </w:r>
      <w:r w:rsidR="00FD2C88">
        <w:t>.</w:t>
      </w:r>
    </w:p>
    <w:p w14:paraId="15384819" w14:textId="602C25D6" w:rsidR="007A4BDB" w:rsidRDefault="001C2C14" w:rsidP="00A91478">
      <w:r>
        <w:t xml:space="preserve">A number of submissions to the consultation process identified possible coexistence concerns with existing services and new </w:t>
      </w:r>
      <w:r w:rsidR="00BA6725">
        <w:t>services</w:t>
      </w:r>
      <w:r>
        <w:t xml:space="preserve">. </w:t>
      </w:r>
      <w:r w:rsidR="00220ADE">
        <w:t xml:space="preserve">We have considered comments made </w:t>
      </w:r>
      <w:r w:rsidR="00A55C27">
        <w:t>and</w:t>
      </w:r>
      <w:r w:rsidR="005B0E27">
        <w:t>,</w:t>
      </w:r>
      <w:r>
        <w:t xml:space="preserve"> </w:t>
      </w:r>
      <w:r w:rsidR="00A55C27">
        <w:t>w</w:t>
      </w:r>
      <w:r w:rsidR="00A91478">
        <w:t xml:space="preserve">here </w:t>
      </w:r>
      <w:r w:rsidR="00084F1C">
        <w:t>available</w:t>
      </w:r>
      <w:r w:rsidR="005B0E27">
        <w:t>,</w:t>
      </w:r>
      <w:r w:rsidR="00A91478">
        <w:t xml:space="preserve"> reviewed existing international studies</w:t>
      </w:r>
      <w:r w:rsidR="00220ADE">
        <w:t xml:space="preserve"> to help inform our decision making</w:t>
      </w:r>
      <w:r w:rsidR="00A91478">
        <w:t xml:space="preserve">. </w:t>
      </w:r>
    </w:p>
    <w:p w14:paraId="7B102E3F" w14:textId="3C4D658F" w:rsidR="00A91478" w:rsidRPr="00057029" w:rsidRDefault="00A91478" w:rsidP="00786985">
      <w:pPr>
        <w:pStyle w:val="Heading3"/>
        <w:keepLines/>
      </w:pPr>
      <w:bookmarkStart w:id="76" w:name="_Toc150345661"/>
      <w:r>
        <w:lastRenderedPageBreak/>
        <w:t>Summary of existing and proposed new services</w:t>
      </w:r>
      <w:bookmarkEnd w:id="76"/>
      <w:r>
        <w:t xml:space="preserve"> </w:t>
      </w:r>
    </w:p>
    <w:p w14:paraId="2AA2E95F" w14:textId="7DFE1381" w:rsidR="00DD3659" w:rsidRPr="00AD17E2" w:rsidRDefault="0062571A" w:rsidP="00786985">
      <w:pPr>
        <w:keepNext/>
        <w:keepLines/>
        <w:spacing w:after="80"/>
      </w:pPr>
      <w:r w:rsidRPr="00AD17E2">
        <w:t>Current</w:t>
      </w:r>
      <w:r w:rsidR="004115E3">
        <w:t>ly</w:t>
      </w:r>
      <w:r w:rsidR="00812119">
        <w:t>,</w:t>
      </w:r>
      <w:r w:rsidRPr="00AD17E2">
        <w:t xml:space="preserve"> </w:t>
      </w:r>
      <w:r w:rsidR="00B3435B" w:rsidRPr="00AD17E2">
        <w:t>band</w:t>
      </w:r>
      <w:r w:rsidR="00B3435B">
        <w:t xml:space="preserve">s </w:t>
      </w:r>
      <w:r w:rsidRPr="00AD17E2">
        <w:t xml:space="preserve">adjacent </w:t>
      </w:r>
      <w:r w:rsidR="004115E3">
        <w:t>to the 1.9 GHz band are used by</w:t>
      </w:r>
      <w:r w:rsidRPr="00AD17E2">
        <w:t>:</w:t>
      </w:r>
    </w:p>
    <w:p w14:paraId="026287AC" w14:textId="0CA3104A" w:rsidR="00E2664E" w:rsidRPr="00AD17E2" w:rsidRDefault="00812119" w:rsidP="00786985">
      <w:pPr>
        <w:pStyle w:val="ListBullet"/>
        <w:keepNext/>
        <w:keepLines/>
      </w:pPr>
      <w:r>
        <w:t>s</w:t>
      </w:r>
      <w:r w:rsidR="00E2664E" w:rsidRPr="00AD17E2">
        <w:t>pectrum licen</w:t>
      </w:r>
      <w:r w:rsidR="00B3435B">
        <w:t>c</w:t>
      </w:r>
      <w:r w:rsidR="00E2664E" w:rsidRPr="00AD17E2">
        <w:t>e</w:t>
      </w:r>
      <w:r w:rsidR="001B5CE8">
        <w:t xml:space="preserve">s in </w:t>
      </w:r>
      <w:r w:rsidR="00991F0C">
        <w:t xml:space="preserve">the 1800 MHz band in </w:t>
      </w:r>
      <w:r w:rsidR="00E2664E" w:rsidRPr="00AD17E2">
        <w:t>city and regional areas</w:t>
      </w:r>
      <w:r w:rsidR="00991F0C">
        <w:t>.</w:t>
      </w:r>
      <w:r w:rsidR="001B5CE8">
        <w:t xml:space="preserve"> </w:t>
      </w:r>
      <w:r w:rsidR="00FE66D9" w:rsidRPr="00AD17E2">
        <w:t>Public</w:t>
      </w:r>
      <w:r w:rsidR="008F1067" w:rsidRPr="00AD17E2">
        <w:t xml:space="preserve"> Telecommunications Service</w:t>
      </w:r>
      <w:r w:rsidR="00B3435B">
        <w:t>s</w:t>
      </w:r>
      <w:r w:rsidR="008F1067" w:rsidRPr="00AD17E2">
        <w:t xml:space="preserve"> (PTS)</w:t>
      </w:r>
      <w:r w:rsidR="00BE7E3F">
        <w:t xml:space="preserve"> licences have been issued to authorise access to the band</w:t>
      </w:r>
      <w:r w:rsidR="001B5CE8">
        <w:t xml:space="preserve"> in remote areas. </w:t>
      </w:r>
      <w:r w:rsidR="00BE7E3F">
        <w:t>Both spectrum and apparatus</w:t>
      </w:r>
      <w:r w:rsidR="001B5CE8">
        <w:t xml:space="preserve"> licences</w:t>
      </w:r>
      <w:r w:rsidR="00A4219E">
        <w:t xml:space="preserve"> are </w:t>
      </w:r>
      <w:r w:rsidR="001B5CE8">
        <w:t xml:space="preserve">typically </w:t>
      </w:r>
      <w:r w:rsidR="00A4219E">
        <w:t xml:space="preserve">used to </w:t>
      </w:r>
      <w:r w:rsidR="001B5CE8">
        <w:t>provide WBB services using</w:t>
      </w:r>
      <w:r w:rsidR="00FE66D9" w:rsidRPr="00AD17E2">
        <w:t xml:space="preserve"> </w:t>
      </w:r>
      <w:r w:rsidR="00991F0C">
        <w:t>f</w:t>
      </w:r>
      <w:r w:rsidR="005D4F3E" w:rsidRPr="00AD17E2">
        <w:t xml:space="preserve">requency </w:t>
      </w:r>
      <w:r w:rsidR="00991F0C">
        <w:t>d</w:t>
      </w:r>
      <w:r w:rsidR="005D4F3E" w:rsidRPr="00AD17E2">
        <w:t xml:space="preserve">ivision </w:t>
      </w:r>
      <w:r w:rsidR="00991F0C">
        <w:t>d</w:t>
      </w:r>
      <w:r w:rsidR="005D4F3E" w:rsidRPr="00AD17E2">
        <w:t xml:space="preserve">uplex </w:t>
      </w:r>
      <w:r w:rsidR="001B5CE8">
        <w:t>(</w:t>
      </w:r>
      <w:r w:rsidR="00E2664E" w:rsidRPr="00AD17E2">
        <w:t xml:space="preserve">FDD) </w:t>
      </w:r>
      <w:r w:rsidR="001B5CE8">
        <w:t xml:space="preserve">technologies, with </w:t>
      </w:r>
      <w:r w:rsidR="00E2664E" w:rsidRPr="00AD17E2">
        <w:t xml:space="preserve">base station transmitters </w:t>
      </w:r>
      <w:r w:rsidR="00991F0C">
        <w:t>operating in the 1805</w:t>
      </w:r>
      <w:r>
        <w:t>–</w:t>
      </w:r>
      <w:r w:rsidR="00991F0C">
        <w:t>1880 MHz frequency range</w:t>
      </w:r>
    </w:p>
    <w:p w14:paraId="32E5CCBE" w14:textId="665E6480" w:rsidR="0062571A" w:rsidRDefault="00812119" w:rsidP="00786985">
      <w:pPr>
        <w:pStyle w:val="ListBulletLast"/>
      </w:pPr>
      <w:r>
        <w:t>s</w:t>
      </w:r>
      <w:r w:rsidRPr="00AD17E2">
        <w:t>pectrum licen</w:t>
      </w:r>
      <w:r>
        <w:t>c</w:t>
      </w:r>
      <w:r w:rsidRPr="00AD17E2">
        <w:t>e</w:t>
      </w:r>
      <w:r>
        <w:t>s</w:t>
      </w:r>
      <w:r w:rsidR="00991F0C">
        <w:t xml:space="preserve"> in the 2 GHz band in major cities and upper part of the 2 GHz band in regional areas. </w:t>
      </w:r>
      <w:r w:rsidR="00A4219E">
        <w:t>There are also arrangements</w:t>
      </w:r>
      <w:r w:rsidR="00B3435B">
        <w:t xml:space="preserve"> for</w:t>
      </w:r>
      <w:r w:rsidR="00A4219E">
        <w:t xml:space="preserve"> </w:t>
      </w:r>
      <w:r w:rsidR="00A4219E" w:rsidRPr="00AD17E2">
        <w:t>PTS</w:t>
      </w:r>
      <w:r w:rsidR="00A4219E">
        <w:t xml:space="preserve"> in regional and remote areas. </w:t>
      </w:r>
      <w:r w:rsidR="00991F0C">
        <w:t xml:space="preserve">These licences </w:t>
      </w:r>
      <w:r w:rsidR="00A4219E">
        <w:t xml:space="preserve">are </w:t>
      </w:r>
      <w:r w:rsidR="00991F0C">
        <w:t xml:space="preserve">typically </w:t>
      </w:r>
      <w:r w:rsidR="00A4219E">
        <w:t xml:space="preserve">used </w:t>
      </w:r>
      <w:r w:rsidR="00B3435B">
        <w:t xml:space="preserve">to </w:t>
      </w:r>
      <w:r w:rsidR="00991F0C">
        <w:t>provide WBB services using</w:t>
      </w:r>
      <w:r w:rsidR="00991F0C" w:rsidRPr="00AD17E2">
        <w:t xml:space="preserve"> FDD </w:t>
      </w:r>
      <w:r w:rsidR="00991F0C">
        <w:t xml:space="preserve">technologies, with </w:t>
      </w:r>
      <w:r w:rsidR="00991F0C" w:rsidRPr="00AD17E2">
        <w:t xml:space="preserve">base station </w:t>
      </w:r>
      <w:r w:rsidR="00991F0C">
        <w:t>receivers operating in the 1920</w:t>
      </w:r>
      <w:r>
        <w:t>–</w:t>
      </w:r>
      <w:r w:rsidR="00991F0C">
        <w:t xml:space="preserve">1980 MHz frequency range. </w:t>
      </w:r>
    </w:p>
    <w:p w14:paraId="35FBE435" w14:textId="508C0A44" w:rsidR="00540153" w:rsidRDefault="0062571A" w:rsidP="00DE34D0">
      <w:pPr>
        <w:spacing w:after="80"/>
      </w:pPr>
      <w:r>
        <w:t>Current</w:t>
      </w:r>
      <w:r w:rsidR="004115E3">
        <w:t>ly, the</w:t>
      </w:r>
      <w:r>
        <w:t xml:space="preserve"> </w:t>
      </w:r>
      <w:r w:rsidR="00F87336">
        <w:t xml:space="preserve">1.9 GHz </w:t>
      </w:r>
      <w:r w:rsidR="004115E3">
        <w:t>band is used by</w:t>
      </w:r>
      <w:r>
        <w:t>:</w:t>
      </w:r>
    </w:p>
    <w:p w14:paraId="20FC5C22" w14:textId="00A0BBBF" w:rsidR="0062571A" w:rsidRDefault="00812119" w:rsidP="00DE34D0">
      <w:pPr>
        <w:pStyle w:val="ListBullet"/>
      </w:pPr>
      <w:r>
        <w:t>c</w:t>
      </w:r>
      <w:r w:rsidR="00991F0C">
        <w:t>lass</w:t>
      </w:r>
      <w:r>
        <w:t>-</w:t>
      </w:r>
      <w:r w:rsidR="00991F0C">
        <w:t>licen</w:t>
      </w:r>
      <w:r w:rsidR="00A03B19">
        <w:t>s</w:t>
      </w:r>
      <w:r w:rsidR="00991F0C">
        <w:t>ed c</w:t>
      </w:r>
      <w:r w:rsidR="0062571A">
        <w:t xml:space="preserve">ordless </w:t>
      </w:r>
      <w:r w:rsidR="002721AF">
        <w:t>telecommunications systems (CTS)</w:t>
      </w:r>
      <w:r w:rsidR="00991F0C">
        <w:t xml:space="preserve"> </w:t>
      </w:r>
      <w:r>
        <w:t xml:space="preserve">operating </w:t>
      </w:r>
      <w:r w:rsidR="00991F0C">
        <w:t>in the 1880</w:t>
      </w:r>
      <w:r>
        <w:t>–</w:t>
      </w:r>
      <w:r w:rsidR="00991F0C">
        <w:t>1900 MHz band</w:t>
      </w:r>
      <w:r>
        <w:t>,</w:t>
      </w:r>
      <w:r w:rsidR="00991F0C">
        <w:t xml:space="preserve"> </w:t>
      </w:r>
      <w:r>
        <w:t xml:space="preserve">including </w:t>
      </w:r>
      <w:r w:rsidR="0062571A">
        <w:t>DECT</w:t>
      </w:r>
    </w:p>
    <w:p w14:paraId="4BC7EB61" w14:textId="3E17631C" w:rsidR="0062571A" w:rsidRDefault="00D601CF" w:rsidP="00786985">
      <w:pPr>
        <w:pStyle w:val="ListBulletLast"/>
        <w:spacing w:after="80"/>
      </w:pPr>
      <w:r>
        <w:t xml:space="preserve">LA </w:t>
      </w:r>
      <w:r w:rsidR="00991F0C">
        <w:t xml:space="preserve">WBB </w:t>
      </w:r>
      <w:r w:rsidR="00812119">
        <w:t xml:space="preserve">operating </w:t>
      </w:r>
      <w:r w:rsidR="00991F0C">
        <w:t xml:space="preserve">under PMP licences in the </w:t>
      </w:r>
      <w:r w:rsidR="0062571A">
        <w:t>1900</w:t>
      </w:r>
      <w:r w:rsidR="00812119">
        <w:t>–</w:t>
      </w:r>
      <w:r w:rsidR="0062571A">
        <w:t>1920 MHz</w:t>
      </w:r>
      <w:r w:rsidR="00991F0C">
        <w:t xml:space="preserve"> band</w:t>
      </w:r>
      <w:r w:rsidR="002721AF">
        <w:t xml:space="preserve"> </w:t>
      </w:r>
      <w:r w:rsidR="00F1326A">
        <w:t>in r</w:t>
      </w:r>
      <w:r w:rsidR="002721AF">
        <w:t xml:space="preserve">egional and </w:t>
      </w:r>
      <w:r w:rsidR="00F1326A">
        <w:t>r</w:t>
      </w:r>
      <w:r w:rsidR="002721AF">
        <w:t>emote</w:t>
      </w:r>
      <w:r w:rsidR="00F1326A">
        <w:t xml:space="preserve"> areas</w:t>
      </w:r>
    </w:p>
    <w:p w14:paraId="217A918E" w14:textId="74C2FCA1" w:rsidR="0062571A" w:rsidRDefault="0062571A" w:rsidP="00786985">
      <w:pPr>
        <w:pStyle w:val="ListBulletLast"/>
      </w:pPr>
      <w:r>
        <w:t>P</w:t>
      </w:r>
      <w:r w:rsidR="001A6B05">
        <w:t>TP</w:t>
      </w:r>
      <w:r w:rsidR="00F1326A">
        <w:t xml:space="preserve"> services in the </w:t>
      </w:r>
      <w:r>
        <w:t>1900</w:t>
      </w:r>
      <w:r w:rsidR="00812119">
        <w:t>–</w:t>
      </w:r>
      <w:r>
        <w:t>1920 MHz</w:t>
      </w:r>
      <w:r w:rsidR="00F1326A">
        <w:t xml:space="preserve"> band in</w:t>
      </w:r>
      <w:r w:rsidR="002721AF">
        <w:t xml:space="preserve"> </w:t>
      </w:r>
      <w:r w:rsidR="00F1326A">
        <w:t>r</w:t>
      </w:r>
      <w:r w:rsidR="002721AF">
        <w:t xml:space="preserve">egional and </w:t>
      </w:r>
      <w:r w:rsidR="00F1326A">
        <w:t>r</w:t>
      </w:r>
      <w:r w:rsidR="002721AF">
        <w:t>emote</w:t>
      </w:r>
      <w:r w:rsidR="00F1326A">
        <w:t xml:space="preserve"> areas</w:t>
      </w:r>
      <w:r w:rsidR="00423FFD">
        <w:t>.</w:t>
      </w:r>
    </w:p>
    <w:p w14:paraId="3C47CC01" w14:textId="26428FCE" w:rsidR="002D71E8" w:rsidRDefault="004115E3" w:rsidP="00DE34D0">
      <w:pPr>
        <w:spacing w:after="80"/>
        <w:rPr>
          <w:noProof/>
        </w:rPr>
      </w:pPr>
      <w:r>
        <w:rPr>
          <w:noProof/>
        </w:rPr>
        <w:t xml:space="preserve">Under </w:t>
      </w:r>
      <w:r w:rsidR="00812119">
        <w:rPr>
          <w:noProof/>
        </w:rPr>
        <w:t xml:space="preserve">the </w:t>
      </w:r>
      <w:r>
        <w:rPr>
          <w:noProof/>
        </w:rPr>
        <w:t>proposed Option 3 and Option 4, the 1.9 GHz band would be used by</w:t>
      </w:r>
      <w:r w:rsidR="00BF44B4">
        <w:rPr>
          <w:noProof/>
        </w:rPr>
        <w:t>:</w:t>
      </w:r>
    </w:p>
    <w:p w14:paraId="22FCA94C" w14:textId="4C2177EB" w:rsidR="00BF44B4" w:rsidRPr="00CB71E4" w:rsidRDefault="00BF44B4" w:rsidP="00DE34D0">
      <w:pPr>
        <w:pStyle w:val="ListBullet"/>
        <w:rPr>
          <w:sz w:val="18"/>
          <w:szCs w:val="18"/>
        </w:rPr>
      </w:pPr>
      <w:r>
        <w:rPr>
          <w:noProof/>
        </w:rPr>
        <w:t>SR WBB</w:t>
      </w:r>
      <w:r w:rsidR="00CB71E4">
        <w:rPr>
          <w:noProof/>
        </w:rPr>
        <w:t xml:space="preserve"> </w:t>
      </w:r>
      <w:r w:rsidR="00A03B19">
        <w:rPr>
          <w:noProof/>
        </w:rPr>
        <w:t xml:space="preserve">services </w:t>
      </w:r>
      <w:r w:rsidR="00CB71E4">
        <w:rPr>
          <w:noProof/>
        </w:rPr>
        <w:t>(DECT</w:t>
      </w:r>
      <w:r w:rsidR="00423FFD">
        <w:rPr>
          <w:noProof/>
        </w:rPr>
        <w:t xml:space="preserve"> and </w:t>
      </w:r>
      <w:r w:rsidR="009628EF">
        <w:rPr>
          <w:noProof/>
        </w:rPr>
        <w:t>‘</w:t>
      </w:r>
      <w:r w:rsidR="00423FFD">
        <w:rPr>
          <w:noProof/>
        </w:rPr>
        <w:t>future DECT</w:t>
      </w:r>
      <w:r w:rsidR="009628EF">
        <w:rPr>
          <w:noProof/>
        </w:rPr>
        <w:t>’</w:t>
      </w:r>
      <w:r w:rsidR="00CB71E4">
        <w:rPr>
          <w:noProof/>
        </w:rPr>
        <w:t>, MulteFire)</w:t>
      </w:r>
      <w:r>
        <w:rPr>
          <w:noProof/>
        </w:rPr>
        <w:t xml:space="preserve"> </w:t>
      </w:r>
      <w:r w:rsidR="00D601CF">
        <w:rPr>
          <w:noProof/>
        </w:rPr>
        <w:t xml:space="preserve">operating under a class licence in the </w:t>
      </w:r>
      <w:r>
        <w:rPr>
          <w:noProof/>
        </w:rPr>
        <w:t>1880</w:t>
      </w:r>
      <w:r w:rsidR="00812119">
        <w:t>–</w:t>
      </w:r>
      <w:r>
        <w:rPr>
          <w:noProof/>
        </w:rPr>
        <w:t>1900 MHz</w:t>
      </w:r>
      <w:r w:rsidR="00D601CF">
        <w:rPr>
          <w:noProof/>
        </w:rPr>
        <w:t xml:space="preserve"> band</w:t>
      </w:r>
      <w:r w:rsidR="00812119">
        <w:rPr>
          <w:noProof/>
        </w:rPr>
        <w:t>,</w:t>
      </w:r>
      <w:r w:rsidR="00D601CF">
        <w:rPr>
          <w:noProof/>
        </w:rPr>
        <w:t xml:space="preserve"> </w:t>
      </w:r>
      <w:r>
        <w:rPr>
          <w:noProof/>
        </w:rPr>
        <w:t>Australia-wide</w:t>
      </w:r>
      <w:r w:rsidR="00812119">
        <w:rPr>
          <w:noProof/>
        </w:rPr>
        <w:t>,</w:t>
      </w:r>
      <w:r w:rsidR="00D601CF">
        <w:rPr>
          <w:noProof/>
        </w:rPr>
        <w:t xml:space="preserve"> and</w:t>
      </w:r>
      <w:r>
        <w:rPr>
          <w:noProof/>
        </w:rPr>
        <w:t xml:space="preserve"> </w:t>
      </w:r>
      <w:r w:rsidR="00D601CF">
        <w:rPr>
          <w:noProof/>
        </w:rPr>
        <w:t xml:space="preserve">using </w:t>
      </w:r>
      <w:r>
        <w:rPr>
          <w:noProof/>
        </w:rPr>
        <w:t>TDD</w:t>
      </w:r>
      <w:r w:rsidR="00D601CF">
        <w:rPr>
          <w:noProof/>
        </w:rPr>
        <w:t xml:space="preserve"> technlogies</w:t>
      </w:r>
      <w:r w:rsidR="001060BC">
        <w:rPr>
          <w:noProof/>
        </w:rPr>
        <w:t xml:space="preserve"> </w:t>
      </w:r>
    </w:p>
    <w:p w14:paraId="0910FC94" w14:textId="075FEE90" w:rsidR="00BF44B4" w:rsidRDefault="00BF44B4" w:rsidP="00DE34D0">
      <w:pPr>
        <w:pStyle w:val="ListBullet"/>
        <w:rPr>
          <w:noProof/>
        </w:rPr>
      </w:pPr>
      <w:r w:rsidRPr="00BF44B4">
        <w:rPr>
          <w:noProof/>
        </w:rPr>
        <w:t>SR WBB</w:t>
      </w:r>
      <w:r w:rsidR="00CB71E4">
        <w:rPr>
          <w:noProof/>
        </w:rPr>
        <w:t xml:space="preserve"> </w:t>
      </w:r>
      <w:r w:rsidR="00A03B19">
        <w:rPr>
          <w:noProof/>
        </w:rPr>
        <w:t xml:space="preserve">services </w:t>
      </w:r>
      <w:r w:rsidR="00CB71E4">
        <w:rPr>
          <w:noProof/>
        </w:rPr>
        <w:t>(</w:t>
      </w:r>
      <w:r w:rsidR="009628EF">
        <w:rPr>
          <w:noProof/>
        </w:rPr>
        <w:t>‘</w:t>
      </w:r>
      <w:r w:rsidR="00423FFD">
        <w:rPr>
          <w:noProof/>
        </w:rPr>
        <w:t xml:space="preserve">future </w:t>
      </w:r>
      <w:r w:rsidR="00CB71E4">
        <w:rPr>
          <w:noProof/>
        </w:rPr>
        <w:t>DECT</w:t>
      </w:r>
      <w:r w:rsidR="009628EF">
        <w:rPr>
          <w:noProof/>
        </w:rPr>
        <w:t>’</w:t>
      </w:r>
      <w:r w:rsidR="00CB71E4">
        <w:rPr>
          <w:noProof/>
        </w:rPr>
        <w:t>, MulteFire)</w:t>
      </w:r>
      <w:r w:rsidRPr="00BF44B4">
        <w:rPr>
          <w:noProof/>
        </w:rPr>
        <w:t xml:space="preserve"> </w:t>
      </w:r>
      <w:r w:rsidR="00D601CF">
        <w:rPr>
          <w:noProof/>
        </w:rPr>
        <w:t>operating under a class licence in the 1900</w:t>
      </w:r>
      <w:r w:rsidR="00812119">
        <w:t>–</w:t>
      </w:r>
      <w:r w:rsidR="00D601CF">
        <w:rPr>
          <w:noProof/>
        </w:rPr>
        <w:t>1920 MHz band</w:t>
      </w:r>
      <w:r w:rsidR="00812119">
        <w:rPr>
          <w:noProof/>
        </w:rPr>
        <w:t>,</w:t>
      </w:r>
      <w:r w:rsidR="00D601CF">
        <w:rPr>
          <w:noProof/>
        </w:rPr>
        <w:t xml:space="preserve"> Australia-wide</w:t>
      </w:r>
      <w:r w:rsidR="00812119">
        <w:rPr>
          <w:noProof/>
        </w:rPr>
        <w:t>,</w:t>
      </w:r>
      <w:r w:rsidR="00D601CF">
        <w:rPr>
          <w:noProof/>
        </w:rPr>
        <w:t xml:space="preserve"> and using TDD technlogies</w:t>
      </w:r>
      <w:r w:rsidR="00D601CF" w:rsidRPr="00BF44B4" w:rsidDel="00D601CF">
        <w:rPr>
          <w:noProof/>
        </w:rPr>
        <w:t xml:space="preserve"> </w:t>
      </w:r>
      <w:r w:rsidR="00812119">
        <w:rPr>
          <w:noProof/>
        </w:rPr>
        <w:t>(</w:t>
      </w:r>
      <w:r w:rsidR="001060BC">
        <w:rPr>
          <w:noProof/>
        </w:rPr>
        <w:t>Option 4 only</w:t>
      </w:r>
      <w:r w:rsidR="00812119">
        <w:rPr>
          <w:noProof/>
        </w:rPr>
        <w:t>)</w:t>
      </w:r>
    </w:p>
    <w:p w14:paraId="4A6CA959" w14:textId="35A6DF47" w:rsidR="00BF44B4" w:rsidRDefault="00BF44B4" w:rsidP="00786985">
      <w:pPr>
        <w:pStyle w:val="ListBulletLast"/>
        <w:rPr>
          <w:noProof/>
        </w:rPr>
      </w:pPr>
      <w:r>
        <w:rPr>
          <w:noProof/>
        </w:rPr>
        <w:t>RMR</w:t>
      </w:r>
      <w:r w:rsidR="00D93192">
        <w:rPr>
          <w:noProof/>
        </w:rPr>
        <w:t xml:space="preserve"> </w:t>
      </w:r>
      <w:r w:rsidR="00D601CF">
        <w:rPr>
          <w:noProof/>
        </w:rPr>
        <w:t>operating under app</w:t>
      </w:r>
      <w:r w:rsidR="009628EF">
        <w:rPr>
          <w:noProof/>
        </w:rPr>
        <w:t>a</w:t>
      </w:r>
      <w:r w:rsidR="00D601CF">
        <w:rPr>
          <w:noProof/>
        </w:rPr>
        <w:t>ratus</w:t>
      </w:r>
      <w:r w:rsidR="00812119">
        <w:rPr>
          <w:noProof/>
        </w:rPr>
        <w:t>-</w:t>
      </w:r>
      <w:r w:rsidR="00D601CF">
        <w:rPr>
          <w:noProof/>
        </w:rPr>
        <w:t>licen</w:t>
      </w:r>
      <w:r w:rsidR="00A03B19">
        <w:rPr>
          <w:noProof/>
        </w:rPr>
        <w:t>sing arrangemensts</w:t>
      </w:r>
      <w:r w:rsidR="00D601CF">
        <w:rPr>
          <w:noProof/>
        </w:rPr>
        <w:t xml:space="preserve"> in the </w:t>
      </w:r>
      <w:r>
        <w:rPr>
          <w:noProof/>
        </w:rPr>
        <w:t>1900</w:t>
      </w:r>
      <w:r w:rsidR="00812119">
        <w:t>–</w:t>
      </w:r>
      <w:r>
        <w:rPr>
          <w:noProof/>
        </w:rPr>
        <w:t>1910 MHz</w:t>
      </w:r>
      <w:r w:rsidR="00D601CF">
        <w:rPr>
          <w:noProof/>
        </w:rPr>
        <w:t xml:space="preserve"> band</w:t>
      </w:r>
      <w:r w:rsidR="00812119">
        <w:rPr>
          <w:noProof/>
        </w:rPr>
        <w:t>,</w:t>
      </w:r>
      <w:r w:rsidR="00D601CF">
        <w:rPr>
          <w:noProof/>
        </w:rPr>
        <w:t xml:space="preserve"> Australia-wide</w:t>
      </w:r>
      <w:r w:rsidR="00812119">
        <w:rPr>
          <w:noProof/>
        </w:rPr>
        <w:t>,</w:t>
      </w:r>
      <w:r w:rsidR="00D601CF">
        <w:rPr>
          <w:noProof/>
        </w:rPr>
        <w:t xml:space="preserve"> and us</w:t>
      </w:r>
      <w:r w:rsidR="009628EF">
        <w:rPr>
          <w:noProof/>
        </w:rPr>
        <w:t>i</w:t>
      </w:r>
      <w:r w:rsidR="00D601CF">
        <w:rPr>
          <w:noProof/>
        </w:rPr>
        <w:t>ng TDD technologies</w:t>
      </w:r>
      <w:r w:rsidR="00423FFD">
        <w:rPr>
          <w:noProof/>
        </w:rPr>
        <w:t>.</w:t>
      </w:r>
    </w:p>
    <w:p w14:paraId="1E42E3DA" w14:textId="7121D438" w:rsidR="00A4219E" w:rsidRPr="003B4E98" w:rsidRDefault="00F65ED7" w:rsidP="00786985">
      <w:pPr>
        <w:pStyle w:val="Heading3"/>
        <w:keepNext w:val="0"/>
      </w:pPr>
      <w:bookmarkStart w:id="77" w:name="_Toc150345662"/>
      <w:r w:rsidRPr="005B0E27">
        <w:t xml:space="preserve">ACMA </w:t>
      </w:r>
      <w:r w:rsidR="005B0E27">
        <w:t>observations</w:t>
      </w:r>
      <w:bookmarkEnd w:id="77"/>
    </w:p>
    <w:p w14:paraId="19F940C5" w14:textId="59BBC32C" w:rsidR="00882B7E" w:rsidRDefault="00A4219E" w:rsidP="00786985">
      <w:pPr>
        <w:pStyle w:val="Paragraphbeforelist"/>
      </w:pPr>
      <w:bookmarkStart w:id="78" w:name="_Hlk148010881"/>
      <w:r>
        <w:t xml:space="preserve">We have identified </w:t>
      </w:r>
      <w:r w:rsidR="004472F0">
        <w:t>several</w:t>
      </w:r>
      <w:r w:rsidR="000974E0" w:rsidRPr="0099669E">
        <w:t xml:space="preserve"> interference scenarios </w:t>
      </w:r>
      <w:r w:rsidR="008759E6" w:rsidRPr="0099669E">
        <w:t xml:space="preserve">resulting from replanning the </w:t>
      </w:r>
      <w:r w:rsidR="00980B22">
        <w:t>1.9</w:t>
      </w:r>
      <w:r w:rsidR="00084F1C">
        <w:t> </w:t>
      </w:r>
      <w:r w:rsidR="00980B22">
        <w:t>GHz</w:t>
      </w:r>
      <w:r w:rsidR="008759E6" w:rsidRPr="0099669E">
        <w:t xml:space="preserve"> band </w:t>
      </w:r>
      <w:r>
        <w:t xml:space="preserve">under </w:t>
      </w:r>
      <w:r w:rsidR="008759E6" w:rsidRPr="0099669E">
        <w:t>Option</w:t>
      </w:r>
      <w:r>
        <w:t>s</w:t>
      </w:r>
      <w:r w:rsidR="008759E6" w:rsidRPr="0099669E">
        <w:t xml:space="preserve"> </w:t>
      </w:r>
      <w:r w:rsidR="00DD1F23" w:rsidRPr="0099669E">
        <w:t xml:space="preserve">3 and </w:t>
      </w:r>
      <w:r w:rsidR="008759E6" w:rsidRPr="0099669E">
        <w:t>4</w:t>
      </w:r>
      <w:r w:rsidR="004F018A">
        <w:t>.</w:t>
      </w:r>
      <w:r w:rsidR="0017189B">
        <w:t xml:space="preserve"> </w:t>
      </w:r>
      <w:bookmarkStart w:id="79" w:name="_Toc61435436"/>
      <w:bookmarkEnd w:id="78"/>
      <w:r>
        <w:t>As an outcome of th</w:t>
      </w:r>
      <w:r w:rsidR="00084F1C">
        <w:t>e</w:t>
      </w:r>
      <w:r>
        <w:t xml:space="preserve"> </w:t>
      </w:r>
      <w:r w:rsidR="00084F1C">
        <w:t>consideration of coexistence issues</w:t>
      </w:r>
      <w:r w:rsidR="00BE7E3F">
        <w:t>,</w:t>
      </w:r>
      <w:r w:rsidR="00084F1C">
        <w:t xml:space="preserve"> </w:t>
      </w:r>
      <w:r>
        <w:t>the ACM</w:t>
      </w:r>
      <w:r w:rsidR="001235CC">
        <w:t>A</w:t>
      </w:r>
      <w:r>
        <w:t xml:space="preserve"> makes the following observations</w:t>
      </w:r>
      <w:r w:rsidR="003A7813">
        <w:t>:</w:t>
      </w:r>
    </w:p>
    <w:p w14:paraId="75DCC4A2" w14:textId="2AD1F574" w:rsidR="003A7813" w:rsidRPr="00494FD6" w:rsidRDefault="00422CE7" w:rsidP="00DE34D0">
      <w:pPr>
        <w:pStyle w:val="ListBullet"/>
        <w:rPr>
          <w:b/>
          <w:i/>
          <w:szCs w:val="20"/>
        </w:rPr>
      </w:pPr>
      <w:r>
        <w:t>RMR (</w:t>
      </w:r>
      <w:r w:rsidR="00494FD6">
        <w:t>FRMC</w:t>
      </w:r>
      <w:r w:rsidR="00BE150E">
        <w:t>S</w:t>
      </w:r>
      <w:r>
        <w:t>)</w:t>
      </w:r>
      <w:r w:rsidR="00494FD6">
        <w:t xml:space="preserve">: </w:t>
      </w:r>
      <w:r w:rsidR="00A55C27">
        <w:t>ECC</w:t>
      </w:r>
      <w:r w:rsidR="004C7B6C">
        <w:t xml:space="preserve"> Report 318</w:t>
      </w:r>
      <w:r w:rsidR="00A55C27">
        <w:t xml:space="preserve"> </w:t>
      </w:r>
      <w:r w:rsidR="004C7B6C">
        <w:t>and ECC Report 314</w:t>
      </w:r>
      <w:r w:rsidR="004C7B6C">
        <w:rPr>
          <w:rStyle w:val="FootnoteReference"/>
        </w:rPr>
        <w:footnoteReference w:id="8"/>
      </w:r>
      <w:r w:rsidR="004C7B6C">
        <w:t xml:space="preserve"> </w:t>
      </w:r>
      <w:r w:rsidR="00A55C27">
        <w:t>indicate that i</w:t>
      </w:r>
      <w:r w:rsidR="003A7813">
        <w:t xml:space="preserve">nterference </w:t>
      </w:r>
      <w:r w:rsidR="00220ADE">
        <w:t xml:space="preserve">to and </w:t>
      </w:r>
      <w:r w:rsidR="00494FD6">
        <w:t>from adjacent band PTS</w:t>
      </w:r>
      <w:r w:rsidR="0049651D">
        <w:t>/</w:t>
      </w:r>
      <w:r w:rsidR="00E66DDC">
        <w:t>spectrum licences</w:t>
      </w:r>
      <w:r w:rsidR="009628EF">
        <w:t xml:space="preserve"> above</w:t>
      </w:r>
      <w:r w:rsidR="00494FD6">
        <w:t xml:space="preserve"> 1920 MHz</w:t>
      </w:r>
      <w:r w:rsidR="00BE150E">
        <w:t xml:space="preserve"> and adjacent and co-channel PTP services i</w:t>
      </w:r>
      <w:r w:rsidR="00494FD6">
        <w:t xml:space="preserve">s possible but </w:t>
      </w:r>
      <w:r w:rsidR="00BB6CAB">
        <w:t>is</w:t>
      </w:r>
      <w:r w:rsidR="00494FD6">
        <w:t xml:space="preserve"> </w:t>
      </w:r>
      <w:bookmarkStart w:id="80" w:name="_Hlk148379570"/>
      <w:r w:rsidR="0042091C">
        <w:t xml:space="preserve">considered to be </w:t>
      </w:r>
      <w:r w:rsidR="00494FD6">
        <w:t>manag</w:t>
      </w:r>
      <w:r w:rsidR="000A7CBC">
        <w:t>e</w:t>
      </w:r>
      <w:r w:rsidR="00BB6CAB">
        <w:t>able</w:t>
      </w:r>
      <w:bookmarkEnd w:id="80"/>
      <w:r w:rsidR="00494FD6">
        <w:t>.</w:t>
      </w:r>
      <w:r w:rsidR="00B3556A">
        <w:t xml:space="preserve"> </w:t>
      </w:r>
      <w:r w:rsidR="004C7B6C">
        <w:t xml:space="preserve">ECC Report 314 </w:t>
      </w:r>
      <w:r w:rsidR="00285D91">
        <w:t xml:space="preserve">also </w:t>
      </w:r>
      <w:r w:rsidR="004C7B6C">
        <w:t xml:space="preserve">indicates that </w:t>
      </w:r>
      <w:r w:rsidR="00220ADE">
        <w:t xml:space="preserve">adjacent channel </w:t>
      </w:r>
      <w:r w:rsidR="004C7B6C">
        <w:t>i</w:t>
      </w:r>
      <w:r w:rsidR="00494FD6">
        <w:t>nterference from</w:t>
      </w:r>
      <w:r w:rsidR="00BE150E">
        <w:t xml:space="preserve"> </w:t>
      </w:r>
      <w:r w:rsidR="00220ADE">
        <w:t>DECT into FRMCS is not significant. Also, while</w:t>
      </w:r>
      <w:r w:rsidR="00BE150E">
        <w:t xml:space="preserve"> co-channel</w:t>
      </w:r>
      <w:r w:rsidR="00494FD6">
        <w:t xml:space="preserve"> </w:t>
      </w:r>
      <w:r w:rsidR="00220ADE">
        <w:t>interference from</w:t>
      </w:r>
      <w:r w:rsidR="00494FD6">
        <w:t xml:space="preserve"> </w:t>
      </w:r>
      <w:r w:rsidR="00521AB2">
        <w:t xml:space="preserve">outdoor </w:t>
      </w:r>
      <w:r w:rsidR="00494FD6">
        <w:t xml:space="preserve">DECT </w:t>
      </w:r>
      <w:r w:rsidR="00614FA8">
        <w:t>is possible</w:t>
      </w:r>
      <w:r w:rsidR="00494FD6">
        <w:t xml:space="preserve">, </w:t>
      </w:r>
      <w:r w:rsidR="00084F1C">
        <w:t xml:space="preserve">the level </w:t>
      </w:r>
      <w:r w:rsidR="00494FD6">
        <w:t>depend</w:t>
      </w:r>
      <w:r w:rsidR="00084F1C">
        <w:t>s</w:t>
      </w:r>
      <w:r w:rsidR="00494FD6">
        <w:t xml:space="preserve"> on the </w:t>
      </w:r>
      <w:r w:rsidR="00084F1C">
        <w:t xml:space="preserve">proximity of the </w:t>
      </w:r>
      <w:r w:rsidR="00494FD6">
        <w:t>DECT network.</w:t>
      </w:r>
    </w:p>
    <w:p w14:paraId="2752EEA1" w14:textId="3F631A1C" w:rsidR="003A7813" w:rsidRPr="00494FD6" w:rsidRDefault="003A7813" w:rsidP="00786985">
      <w:pPr>
        <w:pStyle w:val="ListBulletLast"/>
        <w:rPr>
          <w:b/>
          <w:i/>
          <w:szCs w:val="20"/>
        </w:rPr>
      </w:pPr>
      <w:r>
        <w:t>DECT</w:t>
      </w:r>
      <w:r w:rsidR="005B0E27">
        <w:t>: I</w:t>
      </w:r>
      <w:r w:rsidR="00BE150E">
        <w:t>nterference to DECT operati</w:t>
      </w:r>
      <w:r w:rsidR="00084F1C">
        <w:t>o</w:t>
      </w:r>
      <w:r w:rsidR="00BE150E">
        <w:t xml:space="preserve">n was found by ECC Report 314 to be possible from </w:t>
      </w:r>
      <w:r w:rsidR="00A351EA">
        <w:t>RMR (</w:t>
      </w:r>
      <w:r w:rsidR="00BE150E">
        <w:t>FRMCS</w:t>
      </w:r>
      <w:r w:rsidR="00A351EA">
        <w:t>)</w:t>
      </w:r>
      <w:r w:rsidR="00BE150E">
        <w:t xml:space="preserve"> in </w:t>
      </w:r>
      <w:r w:rsidR="0042091C">
        <w:t xml:space="preserve">close </w:t>
      </w:r>
      <w:r w:rsidR="00BE150E">
        <w:t>proximity</w:t>
      </w:r>
      <w:r w:rsidR="00E37E31">
        <w:t>,</w:t>
      </w:r>
      <w:r w:rsidR="00614FA8">
        <w:t xml:space="preserve"> and more likely to outdoor DECT applications</w:t>
      </w:r>
      <w:r w:rsidR="00BE150E">
        <w:t>.</w:t>
      </w:r>
    </w:p>
    <w:p w14:paraId="28E13987" w14:textId="751BF80E" w:rsidR="00AE5962" w:rsidRDefault="00B3556A" w:rsidP="00DE34D0">
      <w:pPr>
        <w:pStyle w:val="ListBullet"/>
        <w:numPr>
          <w:ilvl w:val="0"/>
          <w:numId w:val="0"/>
        </w:numPr>
        <w:spacing w:after="240"/>
      </w:pPr>
      <w:r>
        <w:t xml:space="preserve">Overall, </w:t>
      </w:r>
      <w:r w:rsidR="00EA65E5">
        <w:t>the ACMA</w:t>
      </w:r>
      <w:r w:rsidR="004C7B6C">
        <w:t xml:space="preserve"> agrees with</w:t>
      </w:r>
      <w:r w:rsidR="00084F1C">
        <w:t xml:space="preserve"> the</w:t>
      </w:r>
      <w:r w:rsidR="004C7B6C">
        <w:t xml:space="preserve"> ECC studies</w:t>
      </w:r>
      <w:r w:rsidR="00EA65E5">
        <w:t xml:space="preserve"> </w:t>
      </w:r>
      <w:r w:rsidR="004C7B6C">
        <w:t>and</w:t>
      </w:r>
      <w:r w:rsidR="00EA65E5">
        <w:t xml:space="preserve"> considers that interference </w:t>
      </w:r>
      <w:r w:rsidR="0049651D">
        <w:t xml:space="preserve">between </w:t>
      </w:r>
      <w:r w:rsidR="00EA65E5">
        <w:t>RMR services in the 1900</w:t>
      </w:r>
      <w:r w:rsidR="00530127">
        <w:t>–</w:t>
      </w:r>
      <w:r w:rsidR="00EA65E5">
        <w:t xml:space="preserve">1910 MHz band </w:t>
      </w:r>
      <w:r w:rsidR="0049651D">
        <w:t xml:space="preserve">and incumbent in-band/adjacent band services </w:t>
      </w:r>
      <w:r w:rsidR="00EA65E5">
        <w:t>can be managed under an appropriately defined technical framework. We also consider there is potential to expand class licence arrangements in the 1880</w:t>
      </w:r>
      <w:r w:rsidR="00530127">
        <w:t>–</w:t>
      </w:r>
      <w:r w:rsidR="00EA65E5">
        <w:lastRenderedPageBreak/>
        <w:t xml:space="preserve">1900 MHz band to support more SR WBB technologies while still managing interference with incumbent </w:t>
      </w:r>
      <w:r w:rsidR="00E25166">
        <w:t>services</w:t>
      </w:r>
      <w:r w:rsidR="00EA65E5">
        <w:t xml:space="preserve"> and new RMR services. </w:t>
      </w:r>
    </w:p>
    <w:p w14:paraId="737B70B4" w14:textId="2E6A7045" w:rsidR="00B3556A" w:rsidRPr="008D2938" w:rsidRDefault="005B0E27" w:rsidP="00DE34D0">
      <w:pPr>
        <w:pStyle w:val="ListBullet"/>
        <w:numPr>
          <w:ilvl w:val="0"/>
          <w:numId w:val="0"/>
        </w:numPr>
        <w:spacing w:after="240"/>
      </w:pPr>
      <w:r>
        <w:t>W</w:t>
      </w:r>
      <w:r w:rsidR="00EA65E5">
        <w:t xml:space="preserve">e consider </w:t>
      </w:r>
      <w:r w:rsidR="00B3556A">
        <w:t xml:space="preserve">outdoor </w:t>
      </w:r>
      <w:r w:rsidR="008D7E57">
        <w:t xml:space="preserve">SR WBB services operating under </w:t>
      </w:r>
      <w:r w:rsidR="00084F1C">
        <w:t xml:space="preserve">a </w:t>
      </w:r>
      <w:r w:rsidR="008D7E57">
        <w:t>class licence</w:t>
      </w:r>
      <w:r w:rsidR="00EA65E5">
        <w:t xml:space="preserve"> in the 1900</w:t>
      </w:r>
      <w:r w:rsidR="00530127">
        <w:t>–</w:t>
      </w:r>
      <w:r w:rsidR="00EA65E5">
        <w:t>1920 MHz band</w:t>
      </w:r>
      <w:r w:rsidR="008D7E57">
        <w:t xml:space="preserve">, such as </w:t>
      </w:r>
      <w:r w:rsidR="00B3556A">
        <w:t>DECT</w:t>
      </w:r>
      <w:r w:rsidR="008D7E57">
        <w:t>,</w:t>
      </w:r>
      <w:r w:rsidR="00B3556A">
        <w:t xml:space="preserve"> </w:t>
      </w:r>
      <w:r w:rsidR="008D7E57">
        <w:t xml:space="preserve">are likely to result in </w:t>
      </w:r>
      <w:r w:rsidR="00B3556A">
        <w:t xml:space="preserve">the largest </w:t>
      </w:r>
      <w:r w:rsidR="008D7E57">
        <w:t xml:space="preserve">interference risk to </w:t>
      </w:r>
      <w:r w:rsidR="00B3556A">
        <w:t xml:space="preserve">incumbent services and </w:t>
      </w:r>
      <w:r w:rsidR="008D7E57">
        <w:t xml:space="preserve">RMR. This is largely due to the unknown location </w:t>
      </w:r>
      <w:r w:rsidR="001235CC">
        <w:t xml:space="preserve">and uncoordinated nature </w:t>
      </w:r>
      <w:r w:rsidR="008D7E57">
        <w:t>of</w:t>
      </w:r>
      <w:r w:rsidR="001235CC">
        <w:t xml:space="preserve"> devices operat</w:t>
      </w:r>
      <w:r w:rsidR="00142D22">
        <w:t>ing</w:t>
      </w:r>
      <w:r w:rsidR="001235CC">
        <w:t xml:space="preserve"> under</w:t>
      </w:r>
      <w:r w:rsidR="00084F1C">
        <w:t xml:space="preserve"> a</w:t>
      </w:r>
      <w:r w:rsidR="001235CC">
        <w:t xml:space="preserve"> class licence</w:t>
      </w:r>
      <w:r w:rsidR="008D7E57">
        <w:t xml:space="preserve">. </w:t>
      </w:r>
      <w:r w:rsidR="00EA65E5">
        <w:t>The risk of interference increases</w:t>
      </w:r>
      <w:r w:rsidR="001235CC">
        <w:t xml:space="preserve"> further</w:t>
      </w:r>
      <w:r w:rsidR="00EA65E5">
        <w:t xml:space="preserve"> in metropolitan areas where </w:t>
      </w:r>
      <w:r w:rsidR="00E20E24">
        <w:t xml:space="preserve">DECT and </w:t>
      </w:r>
      <w:r w:rsidR="00EA65E5">
        <w:t>RM</w:t>
      </w:r>
      <w:r w:rsidR="00142D22">
        <w:t>R</w:t>
      </w:r>
      <w:r w:rsidR="00EA65E5">
        <w:t xml:space="preserve"> services would likely be deployed in large numbers</w:t>
      </w:r>
      <w:r w:rsidR="00D225FB">
        <w:t>.</w:t>
      </w:r>
      <w:r w:rsidR="00E20E24">
        <w:t xml:space="preserve"> </w:t>
      </w:r>
      <w:r w:rsidR="00AE5962">
        <w:t>However, there may be an opportunity to support the operation of indoor SR WBB devices on a coordinated basis.</w:t>
      </w:r>
      <w:r w:rsidR="00372659">
        <w:t xml:space="preserve"> This would require such SR WBB use to be apparatus licensed</w:t>
      </w:r>
      <w:r w:rsidR="00AB298D">
        <w:t xml:space="preserve"> and </w:t>
      </w:r>
      <w:r w:rsidR="00530127">
        <w:t xml:space="preserve">have </w:t>
      </w:r>
      <w:r w:rsidR="00AB298D">
        <w:t>appropriate technical conditions applied</w:t>
      </w:r>
      <w:r w:rsidR="00372659">
        <w:t xml:space="preserve">. </w:t>
      </w:r>
      <w:r w:rsidR="00AE5962">
        <w:t xml:space="preserve"> </w:t>
      </w:r>
    </w:p>
    <w:p w14:paraId="3492993F" w14:textId="1328A7EC" w:rsidR="009C418B" w:rsidRDefault="00372659" w:rsidP="009C418B">
      <w:pPr>
        <w:pStyle w:val="Heading3"/>
      </w:pPr>
      <w:bookmarkStart w:id="81" w:name="_Toc150345663"/>
      <w:r>
        <w:t xml:space="preserve">Update on </w:t>
      </w:r>
      <w:r w:rsidR="008D6CE7">
        <w:t>international activities</w:t>
      </w:r>
      <w:r w:rsidR="00530127">
        <w:t xml:space="preserve">: </w:t>
      </w:r>
      <w:r w:rsidR="009C418B" w:rsidRPr="009C418B">
        <w:t>Ofcom consultation</w:t>
      </w:r>
      <w:bookmarkEnd w:id="81"/>
      <w:r w:rsidR="009C418B" w:rsidRPr="009C418B">
        <w:t xml:space="preserve"> </w:t>
      </w:r>
    </w:p>
    <w:p w14:paraId="2D5465BD" w14:textId="0C99D200" w:rsidR="00530127" w:rsidRDefault="009C418B" w:rsidP="00786985">
      <w:pPr>
        <w:spacing w:after="120"/>
      </w:pPr>
      <w:r w:rsidRPr="00AB5765">
        <w:t>On 23 March 2023, Ofcom, the United Kingdom’s radio spectrum regulator</w:t>
      </w:r>
      <w:r w:rsidR="00423FFD">
        <w:t>,</w:t>
      </w:r>
      <w:r w:rsidRPr="00AB5765">
        <w:t xml:space="preserve"> released for consultation their </w:t>
      </w:r>
      <w:hyperlink r:id="rId52" w:history="1">
        <w:r w:rsidRPr="00AB5765">
          <w:rPr>
            <w:rStyle w:val="Hyperlink"/>
            <w:i/>
            <w:iCs/>
          </w:rPr>
          <w:t>Exploring future use of the unpaired 2100 MHz (1900-1920 MHz) spectrum</w:t>
        </w:r>
      </w:hyperlink>
      <w:r w:rsidRPr="00AB5765">
        <w:t xml:space="preserve"> paper. </w:t>
      </w:r>
      <w:r w:rsidR="00AB5765" w:rsidRPr="00AB5765">
        <w:t xml:space="preserve">Ofcom’s view </w:t>
      </w:r>
      <w:r w:rsidR="009A308A">
        <w:t>was</w:t>
      </w:r>
      <w:r w:rsidR="009A308A" w:rsidRPr="00AB5765">
        <w:t xml:space="preserve"> </w:t>
      </w:r>
      <w:r w:rsidR="00AB5765" w:rsidRPr="00AB5765">
        <w:t>that</w:t>
      </w:r>
      <w:r w:rsidR="00530127">
        <w:t>:</w:t>
      </w:r>
      <w:r w:rsidR="00AB5765" w:rsidRPr="00AB5765">
        <w:t xml:space="preserve"> </w:t>
      </w:r>
    </w:p>
    <w:p w14:paraId="3F185F77" w14:textId="30681FCF" w:rsidR="00530127" w:rsidRDefault="00530127" w:rsidP="00786985">
      <w:pPr>
        <w:tabs>
          <w:tab w:val="left" w:pos="6663"/>
        </w:tabs>
        <w:ind w:left="426" w:right="1008"/>
      </w:pPr>
      <w:r w:rsidRPr="00786985">
        <w:rPr>
          <w:sz w:val="18"/>
          <w:szCs w:val="18"/>
        </w:rPr>
        <w:t xml:space="preserve">… </w:t>
      </w:r>
      <w:r w:rsidR="00AB5765" w:rsidRPr="00786985">
        <w:rPr>
          <w:sz w:val="18"/>
          <w:szCs w:val="18"/>
        </w:rPr>
        <w:t>it should be feasible to deploy high power use in 1900</w:t>
      </w:r>
      <w:r w:rsidRPr="00786985">
        <w:rPr>
          <w:sz w:val="18"/>
          <w:szCs w:val="18"/>
        </w:rPr>
        <w:t>–</w:t>
      </w:r>
      <w:r w:rsidR="00AB5765" w:rsidRPr="00786985">
        <w:rPr>
          <w:sz w:val="18"/>
          <w:szCs w:val="18"/>
        </w:rPr>
        <w:t>1915 MHz and lower power use in the 1915</w:t>
      </w:r>
      <w:r w:rsidRPr="00786985">
        <w:rPr>
          <w:sz w:val="18"/>
          <w:szCs w:val="18"/>
        </w:rPr>
        <w:t>–</w:t>
      </w:r>
      <w:r w:rsidR="00AB5765" w:rsidRPr="00786985">
        <w:rPr>
          <w:sz w:val="18"/>
          <w:szCs w:val="18"/>
        </w:rPr>
        <w:t>1920 MHz band, assuming the mobile base station receivers above 1920 MHz have sufficient selectivity or geographical separation to prevent it being blocked by future high and low power services in 1900</w:t>
      </w:r>
      <w:r w:rsidRPr="00786985">
        <w:rPr>
          <w:sz w:val="18"/>
          <w:szCs w:val="18"/>
        </w:rPr>
        <w:t>–</w:t>
      </w:r>
      <w:r w:rsidR="00AB5765" w:rsidRPr="00786985">
        <w:rPr>
          <w:sz w:val="18"/>
          <w:szCs w:val="18"/>
        </w:rPr>
        <w:t>1920 MHz</w:t>
      </w:r>
      <w:r w:rsidRPr="00786985">
        <w:rPr>
          <w:sz w:val="18"/>
          <w:szCs w:val="18"/>
        </w:rPr>
        <w:t>.</w:t>
      </w:r>
      <w:r w:rsidR="00AB5765" w:rsidRPr="00AB5765">
        <w:rPr>
          <w:rStyle w:val="FootnoteReference"/>
        </w:rPr>
        <w:footnoteReference w:id="9"/>
      </w:r>
    </w:p>
    <w:p w14:paraId="7558BA60" w14:textId="56B6D50E" w:rsidR="00A03FA6" w:rsidRDefault="00AB5765" w:rsidP="00AB5765">
      <w:r>
        <w:t>Fourteen submissions were received from interested parties.</w:t>
      </w:r>
      <w:r w:rsidR="00D623C4">
        <w:t xml:space="preserve"> </w:t>
      </w:r>
    </w:p>
    <w:p w14:paraId="54F20C94" w14:textId="3D55F690" w:rsidR="00D623C4" w:rsidRDefault="00D623C4" w:rsidP="00AB5765">
      <w:r>
        <w:t xml:space="preserve">The </w:t>
      </w:r>
      <w:r w:rsidR="00530127">
        <w:t>UK</w:t>
      </w:r>
      <w:r>
        <w:t xml:space="preserve"> have similar adjacent band arrangements to Australia regarding arrangements for </w:t>
      </w:r>
      <w:r w:rsidR="00E8657D">
        <w:t xml:space="preserve">FDD </w:t>
      </w:r>
      <w:r>
        <w:t xml:space="preserve">WBB in the 1800 MHz and 2 GHz bands. </w:t>
      </w:r>
      <w:r w:rsidR="004874D3">
        <w:t>Some s</w:t>
      </w:r>
      <w:r>
        <w:t>ubmissions</w:t>
      </w:r>
      <w:r w:rsidR="004874D3">
        <w:t xml:space="preserve"> supported using the 1900</w:t>
      </w:r>
      <w:r w:rsidR="00530127">
        <w:t>–</w:t>
      </w:r>
      <w:r w:rsidR="004874D3">
        <w:t xml:space="preserve">1920 MHz band (or portions thereof) for TDD WBB use, including FRMCS. Submissions from </w:t>
      </w:r>
      <w:r>
        <w:t xml:space="preserve">mobile network operators </w:t>
      </w:r>
      <w:r w:rsidR="00E8657D">
        <w:t xml:space="preserve">highlighted </w:t>
      </w:r>
      <w:r>
        <w:t xml:space="preserve">potential interference risks </w:t>
      </w:r>
      <w:r w:rsidR="00E8657D">
        <w:t xml:space="preserve">into adjacent band </w:t>
      </w:r>
      <w:r w:rsidR="004874D3">
        <w:t xml:space="preserve">FDD </w:t>
      </w:r>
      <w:r w:rsidR="00E8657D">
        <w:t xml:space="preserve">WBB services </w:t>
      </w:r>
      <w:r w:rsidR="004874D3">
        <w:t>from such use.</w:t>
      </w:r>
      <w:r w:rsidR="0035374A">
        <w:t xml:space="preserve"> </w:t>
      </w:r>
      <w:r w:rsidR="00E8657D">
        <w:t xml:space="preserve">  </w:t>
      </w:r>
      <w:r>
        <w:t xml:space="preserve">  </w:t>
      </w:r>
    </w:p>
    <w:p w14:paraId="5DF72CD0" w14:textId="1ED680C0" w:rsidR="005A1B7D" w:rsidRDefault="0035374A" w:rsidP="00F575F2">
      <w:r>
        <w:t>Ofcom has not yet finalised the outcomes of their consultation process. The ACMA will continue to monitor developments within the UK and other international organisation</w:t>
      </w:r>
      <w:r w:rsidR="00B7752B">
        <w:t>s</w:t>
      </w:r>
      <w:r w:rsidR="00530127">
        <w:t xml:space="preserve"> </w:t>
      </w:r>
      <w:r>
        <w:t xml:space="preserve">regarding the </w:t>
      </w:r>
      <w:r w:rsidR="004C7B6C">
        <w:t>1.9 GHz</w:t>
      </w:r>
      <w:r>
        <w:t xml:space="preserve"> band. Where appropriate</w:t>
      </w:r>
      <w:r w:rsidR="00530127">
        <w:t>,</w:t>
      </w:r>
      <w:r>
        <w:t xml:space="preserve"> we will consider any arrangements developed</w:t>
      </w:r>
      <w:r w:rsidR="008D6CE7">
        <w:t>,</w:t>
      </w:r>
      <w:r>
        <w:t xml:space="preserve"> including measures developed to manage coexistence, as part of the implementation </w:t>
      </w:r>
      <w:r w:rsidR="00FB0DB9">
        <w:t xml:space="preserve">or future updates to </w:t>
      </w:r>
      <w:r>
        <w:t xml:space="preserve">arrangements in Australia. </w:t>
      </w:r>
      <w:bookmarkEnd w:id="79"/>
    </w:p>
    <w:p w14:paraId="0D0FF074" w14:textId="127AD896" w:rsidR="00E7549F" w:rsidRDefault="00AD17E2" w:rsidP="002422E5">
      <w:pPr>
        <w:pStyle w:val="Heading1"/>
      </w:pPr>
      <w:bookmarkStart w:id="82" w:name="_Planning_outcomes"/>
      <w:bookmarkStart w:id="83" w:name="_Next_steps"/>
      <w:bookmarkStart w:id="84" w:name="_Toc150345664"/>
      <w:bookmarkStart w:id="85" w:name="_Toc56965712"/>
      <w:bookmarkStart w:id="86" w:name="_Ref57214073"/>
      <w:bookmarkEnd w:id="82"/>
      <w:bookmarkEnd w:id="83"/>
      <w:r>
        <w:lastRenderedPageBreak/>
        <w:t>Planning</w:t>
      </w:r>
      <w:r w:rsidR="00654CC2">
        <w:t xml:space="preserve"> outcome</w:t>
      </w:r>
      <w:r>
        <w:t>s</w:t>
      </w:r>
      <w:bookmarkEnd w:id="84"/>
    </w:p>
    <w:p w14:paraId="57CB6965" w14:textId="4779588D" w:rsidR="00864110" w:rsidRPr="00124BA8" w:rsidRDefault="00864110" w:rsidP="0024604B">
      <w:pPr>
        <w:pStyle w:val="Heading2"/>
      </w:pPr>
      <w:bookmarkStart w:id="87" w:name="_Toc150345665"/>
      <w:r>
        <w:t>Planning decisions</w:t>
      </w:r>
      <w:bookmarkEnd w:id="87"/>
    </w:p>
    <w:p w14:paraId="7EC4B028" w14:textId="337E99DB" w:rsidR="00F42BED" w:rsidRDefault="00566AD7" w:rsidP="005F7BC7">
      <w:pPr>
        <w:rPr>
          <w:rFonts w:cs="Arial"/>
        </w:rPr>
      </w:pPr>
      <w:r w:rsidRPr="00E37E31">
        <w:t>Considering</w:t>
      </w:r>
      <w:r w:rsidR="000853F0" w:rsidRPr="00E37E31">
        <w:t xml:space="preserve"> </w:t>
      </w:r>
      <w:r w:rsidR="009A5187" w:rsidRPr="00E37E31">
        <w:t>responses and replies</w:t>
      </w:r>
      <w:r w:rsidR="001E5CF1" w:rsidRPr="00E37E31">
        <w:t xml:space="preserve"> </w:t>
      </w:r>
      <w:r w:rsidR="005E1512" w:rsidRPr="00E37E31">
        <w:t xml:space="preserve">to the </w:t>
      </w:r>
      <w:r w:rsidR="000853F0" w:rsidRPr="00E37E31">
        <w:t xml:space="preserve">options paper </w:t>
      </w:r>
      <w:r w:rsidR="005E1512" w:rsidRPr="00E37E31">
        <w:t xml:space="preserve">and </w:t>
      </w:r>
      <w:r w:rsidR="000853F0" w:rsidRPr="00E37E31">
        <w:t xml:space="preserve">the </w:t>
      </w:r>
      <w:r w:rsidR="00773C4D" w:rsidRPr="00E37E31">
        <w:t>coexistence considerations</w:t>
      </w:r>
      <w:r w:rsidR="004328B0" w:rsidRPr="00E37E31">
        <w:t xml:space="preserve"> </w:t>
      </w:r>
      <w:r w:rsidR="000853F0" w:rsidRPr="00E37E31">
        <w:t xml:space="preserve">detailed </w:t>
      </w:r>
      <w:r w:rsidR="008D6CE7" w:rsidRPr="00E37E31">
        <w:t xml:space="preserve">in the previous section, </w:t>
      </w:r>
      <w:r w:rsidR="004328B0" w:rsidRPr="00E37E31">
        <w:t xml:space="preserve">the ACMA has decided to proceed with </w:t>
      </w:r>
      <w:r w:rsidR="00B97930" w:rsidRPr="00E37E31">
        <w:t xml:space="preserve">a modified </w:t>
      </w:r>
      <w:r w:rsidR="004328B0" w:rsidRPr="00E37E31">
        <w:t>Option 3</w:t>
      </w:r>
      <w:r w:rsidR="005E1512" w:rsidRPr="00E37E31">
        <w:t xml:space="preserve"> </w:t>
      </w:r>
      <w:r w:rsidR="000853F0" w:rsidRPr="00E37E31">
        <w:t>for the 1880</w:t>
      </w:r>
      <w:r w:rsidR="00530127">
        <w:t>–</w:t>
      </w:r>
      <w:r w:rsidR="000853F0" w:rsidRPr="00E37E31">
        <w:t>1920 MHz band</w:t>
      </w:r>
      <w:r w:rsidR="001E5CF1" w:rsidRPr="00E37E31">
        <w:t>. Modified Option 3 is</w:t>
      </w:r>
      <w:r w:rsidR="005E1512" w:rsidRPr="00E37E31">
        <w:t xml:space="preserve"> </w:t>
      </w:r>
      <w:r w:rsidR="000853F0" w:rsidRPr="00E37E31">
        <w:t>detailed in</w:t>
      </w:r>
      <w:r w:rsidR="005E1512" w:rsidRPr="00E37E31">
        <w:t xml:space="preserve"> Figure 3. </w:t>
      </w:r>
      <w:r w:rsidR="00864110" w:rsidRPr="00E37E31">
        <w:t xml:space="preserve">Appendix </w:t>
      </w:r>
      <w:r w:rsidR="00A55C27" w:rsidRPr="00E37E31">
        <w:t>B</w:t>
      </w:r>
      <w:r w:rsidR="00864110" w:rsidRPr="00E37E31">
        <w:t xml:space="preserve"> </w:t>
      </w:r>
      <w:r w:rsidR="003E38B9" w:rsidRPr="00E37E31">
        <w:t>provides</w:t>
      </w:r>
      <w:r w:rsidR="00864110" w:rsidRPr="00E37E31">
        <w:t xml:space="preserve"> the geographical area </w:t>
      </w:r>
      <w:r w:rsidR="003E38B9" w:rsidRPr="00E37E31">
        <w:t>descriptions</w:t>
      </w:r>
      <w:r w:rsidR="00864110" w:rsidRPr="00E37E31">
        <w:t>.</w:t>
      </w:r>
      <w:r w:rsidR="005E1512" w:rsidRPr="00E37E31">
        <w:t xml:space="preserve"> </w:t>
      </w:r>
    </w:p>
    <w:p w14:paraId="01746314" w14:textId="6259B774" w:rsidR="00F50237" w:rsidRPr="00B74D11" w:rsidRDefault="00530127" w:rsidP="00F765DE">
      <w:pPr>
        <w:pStyle w:val="ACMAFigureHeader"/>
        <w:rPr>
          <w:rFonts w:cs="Arial"/>
        </w:rPr>
      </w:pPr>
      <w:r>
        <w:t xml:space="preserve">Arrangements for </w:t>
      </w:r>
      <w:r w:rsidR="00F50237" w:rsidRPr="00B74D11">
        <w:t xml:space="preserve">1.9 GHz spectrum </w:t>
      </w:r>
    </w:p>
    <w:p w14:paraId="69099A14" w14:textId="2E2DA8D2" w:rsidR="00F50237" w:rsidRDefault="00677CAA" w:rsidP="00F50237">
      <w:pPr>
        <w:pStyle w:val="ACMAFigureHeader"/>
        <w:numPr>
          <w:ilvl w:val="0"/>
          <w:numId w:val="0"/>
        </w:numPr>
      </w:pPr>
      <w:r>
        <w:rPr>
          <w:noProof/>
        </w:rPr>
        <w:drawing>
          <wp:inline distT="0" distB="0" distL="0" distR="0" wp14:anchorId="6BC25782" wp14:editId="6578D23D">
            <wp:extent cx="5772150" cy="3990317"/>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53"/>
                    <a:stretch>
                      <a:fillRect/>
                    </a:stretch>
                  </pic:blipFill>
                  <pic:spPr>
                    <a:xfrm>
                      <a:off x="0" y="0"/>
                      <a:ext cx="5823060" cy="4025511"/>
                    </a:xfrm>
                    <a:prstGeom prst="rect">
                      <a:avLst/>
                    </a:prstGeom>
                  </pic:spPr>
                </pic:pic>
              </a:graphicData>
            </a:graphic>
          </wp:inline>
        </w:drawing>
      </w:r>
    </w:p>
    <w:p w14:paraId="0261D810" w14:textId="066F2357" w:rsidR="00E43DC1" w:rsidRDefault="00E43DC1" w:rsidP="00786985">
      <w:pPr>
        <w:spacing w:before="240"/>
        <w:rPr>
          <w:rFonts w:cs="Arial"/>
        </w:rPr>
      </w:pPr>
      <w:r>
        <w:rPr>
          <w:rFonts w:cs="Arial"/>
        </w:rPr>
        <w:t xml:space="preserve">This option differs </w:t>
      </w:r>
      <w:r w:rsidR="00C04ED6">
        <w:rPr>
          <w:rFonts w:cs="Arial"/>
        </w:rPr>
        <w:t>from</w:t>
      </w:r>
      <w:r>
        <w:rPr>
          <w:rFonts w:cs="Arial"/>
        </w:rPr>
        <w:t xml:space="preserve"> Option 3 </w:t>
      </w:r>
      <w:r w:rsidR="00C04ED6">
        <w:rPr>
          <w:rFonts w:cs="Arial"/>
        </w:rPr>
        <w:t>with</w:t>
      </w:r>
      <w:r>
        <w:rPr>
          <w:rFonts w:cs="Arial"/>
        </w:rPr>
        <w:t xml:space="preserve"> the inclusion of arrangements for apparatus</w:t>
      </w:r>
      <w:r w:rsidR="00530127">
        <w:rPr>
          <w:rFonts w:cs="Arial"/>
        </w:rPr>
        <w:t>-</w:t>
      </w:r>
      <w:r>
        <w:rPr>
          <w:rFonts w:cs="Arial"/>
        </w:rPr>
        <w:t xml:space="preserve">licensed indoor SR WBB use in metropolitan areas. We anticipate that the arrangements for indoor SR WBB will allow devices to be used in venues such as </w:t>
      </w:r>
      <w:r w:rsidR="00084F1C">
        <w:t xml:space="preserve">theatres, conference centres, </w:t>
      </w:r>
      <w:r>
        <w:t xml:space="preserve">warehouses, airports, ports, hospitals, schools, </w:t>
      </w:r>
      <w:proofErr w:type="gramStart"/>
      <w:r>
        <w:t>universities</w:t>
      </w:r>
      <w:proofErr w:type="gramEnd"/>
      <w:r w:rsidR="00530127">
        <w:t xml:space="preserve"> and </w:t>
      </w:r>
      <w:r>
        <w:t xml:space="preserve">smart buildings. </w:t>
      </w:r>
      <w:r>
        <w:rPr>
          <w:rFonts w:cs="Arial"/>
        </w:rPr>
        <w:t>Our preliminary studies show indoor SR WBB use should be able to coexist with RMR and other incumbent services on a coordinated basis. Implementing indoor SR WBB arrangements via apparatus licensing (rather than class licensing) enables this coordinated approach. We note that similar use could also be supported in regional and remote areas under the existing apparatus</w:t>
      </w:r>
      <w:r w:rsidR="00530127">
        <w:rPr>
          <w:rFonts w:cs="Arial"/>
        </w:rPr>
        <w:t>-</w:t>
      </w:r>
      <w:r>
        <w:rPr>
          <w:rFonts w:cs="Arial"/>
        </w:rPr>
        <w:t xml:space="preserve">licensed arrangements for LA WBB.  </w:t>
      </w:r>
    </w:p>
    <w:p w14:paraId="7EAA8F90" w14:textId="00AAF1F8" w:rsidR="00E43DC1" w:rsidRDefault="00E43DC1" w:rsidP="00E43DC1">
      <w:pPr>
        <w:rPr>
          <w:rFonts w:cs="Arial"/>
        </w:rPr>
      </w:pPr>
      <w:r w:rsidRPr="00DE34D0">
        <w:rPr>
          <w:rFonts w:cs="Arial"/>
        </w:rPr>
        <w:t>Class</w:t>
      </w:r>
      <w:r w:rsidR="00DE34D0" w:rsidRPr="00786985">
        <w:rPr>
          <w:rFonts w:cs="Arial"/>
        </w:rPr>
        <w:t>-</w:t>
      </w:r>
      <w:r w:rsidR="00DE34D0" w:rsidRPr="00DE34D0">
        <w:rPr>
          <w:rFonts w:cs="Arial"/>
        </w:rPr>
        <w:t>licen</w:t>
      </w:r>
      <w:r w:rsidR="00DE34D0" w:rsidRPr="00786985">
        <w:rPr>
          <w:rFonts w:cs="Arial"/>
        </w:rPr>
        <w:t>sing</w:t>
      </w:r>
      <w:r w:rsidR="00DE34D0" w:rsidRPr="00DE34D0">
        <w:rPr>
          <w:rFonts w:cs="Arial"/>
        </w:rPr>
        <w:t xml:space="preserve"> </w:t>
      </w:r>
      <w:r w:rsidRPr="00DE34D0">
        <w:rPr>
          <w:rFonts w:cs="Arial"/>
        </w:rPr>
        <w:t>arrangem</w:t>
      </w:r>
      <w:r>
        <w:rPr>
          <w:rFonts w:cs="Arial"/>
        </w:rPr>
        <w:t>ents for SR WBB systems will be retained and updated in the 1880</w:t>
      </w:r>
      <w:r w:rsidR="00530127">
        <w:t>–</w:t>
      </w:r>
      <w:r>
        <w:rPr>
          <w:rFonts w:cs="Arial"/>
        </w:rPr>
        <w:t xml:space="preserve">1900 MHz band. </w:t>
      </w:r>
    </w:p>
    <w:p w14:paraId="70527887" w14:textId="4D23A9BF" w:rsidR="00E43DC1" w:rsidRDefault="00E43DC1" w:rsidP="00E43DC1">
      <w:pPr>
        <w:rPr>
          <w:rFonts w:cs="Arial"/>
        </w:rPr>
      </w:pPr>
      <w:r>
        <w:rPr>
          <w:rFonts w:cs="Arial"/>
        </w:rPr>
        <w:t>It is intended that RMR will be the primary service within defined areas around rail corridors in the 1900</w:t>
      </w:r>
      <w:r w:rsidR="00530127">
        <w:t>–</w:t>
      </w:r>
      <w:r>
        <w:rPr>
          <w:rFonts w:cs="Arial"/>
        </w:rPr>
        <w:t xml:space="preserve">1910 MHz band. This will allow rail operators to plan for and deploy RMR to support their operations. Arrangements for LA WBB and PTP use will be in place outside of the defined rail corridors. </w:t>
      </w:r>
    </w:p>
    <w:p w14:paraId="26E6D57F" w14:textId="429DD9ED" w:rsidR="00E43DC1" w:rsidRDefault="00E43DC1" w:rsidP="00E43DC1">
      <w:bookmarkStart w:id="88" w:name="_Hlk148020667"/>
      <w:r>
        <w:rPr>
          <w:rFonts w:cs="Arial"/>
        </w:rPr>
        <w:lastRenderedPageBreak/>
        <w:t>We note that further work is required to define the rail corridors that will be reserved for RMR use. We will also need to work with industry to define areas where coordination between RMR and other services will be required, including possible restrictions</w:t>
      </w:r>
      <w:r>
        <w:t xml:space="preserve"> on the issue of new LA WBB and PTP licences to preserve options for future RMR use. It is possible that this work will result in some existing LA WBB or PTP licen</w:t>
      </w:r>
      <w:r w:rsidR="003E19D0">
        <w:t>se</w:t>
      </w:r>
      <w:r>
        <w:t>es near rail corridors having to either modify or cease operation to facilitate the deployment of future RMR services.</w:t>
      </w:r>
    </w:p>
    <w:p w14:paraId="527A4AF5" w14:textId="6C08DD3E" w:rsidR="00864110" w:rsidRDefault="00864110" w:rsidP="005F7BC7">
      <w:pPr>
        <w:pStyle w:val="Heading2"/>
      </w:pPr>
      <w:bookmarkStart w:id="89" w:name="_Toc150345666"/>
      <w:bookmarkEnd w:id="88"/>
      <w:r>
        <w:t>Preliminary views</w:t>
      </w:r>
      <w:bookmarkEnd w:id="89"/>
    </w:p>
    <w:p w14:paraId="5E858631" w14:textId="4E3ADC66" w:rsidR="00146125" w:rsidRDefault="00146125" w:rsidP="00146125">
      <w:pPr>
        <w:pStyle w:val="Paragraph"/>
        <w:rPr>
          <w:b/>
          <w:bCs/>
        </w:rPr>
      </w:pPr>
      <w:bookmarkStart w:id="90" w:name="_Hlk143170577"/>
      <w:r w:rsidRPr="00146125">
        <w:t xml:space="preserve">The ACMA has formed the following preliminary views </w:t>
      </w:r>
      <w:r w:rsidRPr="005F7BC7">
        <w:t xml:space="preserve">related to technical and licensing arrangements in the 1.9 GHz band. </w:t>
      </w:r>
      <w:r w:rsidRPr="00146125">
        <w:t>These arrangements will be further developed and finalised as part of the ACMA’s standard consultation processes on proposed regulatory arrangements, including legislative instruments.</w:t>
      </w:r>
      <w:r>
        <w:rPr>
          <w:b/>
          <w:bCs/>
        </w:rPr>
        <w:t xml:space="preserve"> </w:t>
      </w:r>
    </w:p>
    <w:p w14:paraId="6AEDF448" w14:textId="506BC923" w:rsidR="00146125" w:rsidRDefault="00146125" w:rsidP="00146125">
      <w:pPr>
        <w:pStyle w:val="Paragraph"/>
      </w:pPr>
      <w:r w:rsidRPr="00D64FD0">
        <w:t xml:space="preserve">An indicative timeline for </w:t>
      </w:r>
      <w:r>
        <w:t xml:space="preserve">the </w:t>
      </w:r>
      <w:r w:rsidRPr="00D64FD0">
        <w:t xml:space="preserve">implementation </w:t>
      </w:r>
      <w:r>
        <w:t xml:space="preserve">of the 1.9 GHz planning arrangements </w:t>
      </w:r>
      <w:r w:rsidRPr="00D64FD0">
        <w:t>is provided at the</w:t>
      </w:r>
      <w:r>
        <w:t xml:space="preserve"> </w:t>
      </w:r>
      <w:r w:rsidR="005F7BC7">
        <w:t>‘N</w:t>
      </w:r>
      <w:r>
        <w:t>ext steps</w:t>
      </w:r>
      <w:r w:rsidR="005F7BC7">
        <w:t>’</w:t>
      </w:r>
      <w:r w:rsidRPr="00D64FD0">
        <w:t xml:space="preserve"> section.</w:t>
      </w:r>
    </w:p>
    <w:p w14:paraId="7A2C5B13" w14:textId="77777777" w:rsidR="00C5055C" w:rsidRDefault="00C5055C" w:rsidP="00C5055C">
      <w:pPr>
        <w:pStyle w:val="Heading3"/>
      </w:pPr>
      <w:bookmarkStart w:id="91" w:name="_Toc150345667"/>
      <w:r>
        <w:t>Licensing arrangements for SR WBB</w:t>
      </w:r>
      <w:bookmarkEnd w:id="91"/>
      <w:r w:rsidRPr="00124BA8">
        <w:t xml:space="preserve"> </w:t>
      </w:r>
    </w:p>
    <w:p w14:paraId="12AED454" w14:textId="623BF255" w:rsidR="00C5055C" w:rsidRDefault="00C5055C" w:rsidP="00C5055C">
      <w:pPr>
        <w:rPr>
          <w:rFonts w:cs="Arial"/>
        </w:rPr>
      </w:pPr>
      <w:r>
        <w:rPr>
          <w:rFonts w:cs="Arial"/>
        </w:rPr>
        <w:t>As submissions to the options paper were focused on DECT (including ‘future DECT’) uses, this will be the initial focus for the development of SR WBB arrangements in the 1.9 GHz ban</w:t>
      </w:r>
      <w:r w:rsidRPr="00DE34D0">
        <w:rPr>
          <w:rFonts w:cs="Arial"/>
        </w:rPr>
        <w:t>d. Class</w:t>
      </w:r>
      <w:r w:rsidR="00DE34D0" w:rsidRPr="00252854">
        <w:rPr>
          <w:rFonts w:cs="Arial"/>
        </w:rPr>
        <w:t>-</w:t>
      </w:r>
      <w:r w:rsidR="00DE34D0" w:rsidRPr="00DE34D0">
        <w:rPr>
          <w:rFonts w:cs="Arial"/>
        </w:rPr>
        <w:t>licen</w:t>
      </w:r>
      <w:r w:rsidR="00DE34D0" w:rsidRPr="00252854">
        <w:rPr>
          <w:rFonts w:cs="Arial"/>
        </w:rPr>
        <w:t>sing</w:t>
      </w:r>
      <w:r w:rsidR="00DE34D0" w:rsidRPr="00DE34D0">
        <w:rPr>
          <w:rFonts w:cs="Arial"/>
        </w:rPr>
        <w:t xml:space="preserve"> </w:t>
      </w:r>
      <w:r w:rsidRPr="00DE34D0">
        <w:rPr>
          <w:rFonts w:cs="Arial"/>
        </w:rPr>
        <w:t>arran</w:t>
      </w:r>
      <w:r>
        <w:rPr>
          <w:rFonts w:cs="Arial"/>
        </w:rPr>
        <w:t>gements in the 1880</w:t>
      </w:r>
      <w:r w:rsidR="00530127">
        <w:t>–</w:t>
      </w:r>
      <w:r>
        <w:rPr>
          <w:rFonts w:cs="Arial"/>
        </w:rPr>
        <w:t>1900 MHz band will support both DECT and ‘future DECT’, while apparatus</w:t>
      </w:r>
      <w:r w:rsidR="00530127">
        <w:rPr>
          <w:rFonts w:cs="Arial"/>
        </w:rPr>
        <w:t>-</w:t>
      </w:r>
      <w:r>
        <w:rPr>
          <w:rFonts w:cs="Arial"/>
        </w:rPr>
        <w:t>licensed arrangements will be developed to support ‘future DECT’ in the 1900</w:t>
      </w:r>
      <w:r w:rsidR="00530127">
        <w:t>–</w:t>
      </w:r>
      <w:r>
        <w:rPr>
          <w:rFonts w:cs="Arial"/>
        </w:rPr>
        <w:t>1920 MHz band. These arrangements may be updated in future if viable alternative SR WBB technologies are developed and there is interest from industry to do so.</w:t>
      </w:r>
    </w:p>
    <w:p w14:paraId="6CBE7A60" w14:textId="3F50A2B0" w:rsidR="00C5055C" w:rsidRDefault="00C5055C" w:rsidP="00C5055C">
      <w:pPr>
        <w:rPr>
          <w:rFonts w:cs="Arial"/>
        </w:rPr>
      </w:pPr>
      <w:r>
        <w:rPr>
          <w:rFonts w:cs="Arial"/>
        </w:rPr>
        <w:t xml:space="preserve">Due to the low power and short-range nature of SR WBB, in particular </w:t>
      </w:r>
      <w:r w:rsidR="00212477">
        <w:rPr>
          <w:rFonts w:cs="Arial"/>
        </w:rPr>
        <w:t xml:space="preserve">for </w:t>
      </w:r>
      <w:r>
        <w:rPr>
          <w:rFonts w:cs="Arial"/>
        </w:rPr>
        <w:t xml:space="preserve">indoor applications, the ACMA considers that PMP apparatus licences may be appropriate for such use in metropolitan areas. This will provide visibility of the location of services to facilitate coordination and identification of potential interference sources (if required). </w:t>
      </w:r>
    </w:p>
    <w:p w14:paraId="0067B8CE" w14:textId="230F4E4E" w:rsidR="00C5055C" w:rsidRDefault="00C5055C" w:rsidP="00C5055C">
      <w:pPr>
        <w:rPr>
          <w:rFonts w:cs="Arial"/>
        </w:rPr>
      </w:pPr>
      <w:r>
        <w:rPr>
          <w:rFonts w:cs="Arial"/>
        </w:rPr>
        <w:t xml:space="preserve">Outside of metropolitan areas, we consider that SR WBB use could be supported under </w:t>
      </w:r>
      <w:r w:rsidR="006A180A">
        <w:rPr>
          <w:rFonts w:cs="Arial"/>
        </w:rPr>
        <w:t xml:space="preserve">existing </w:t>
      </w:r>
      <w:r>
        <w:rPr>
          <w:rFonts w:cs="Arial"/>
        </w:rPr>
        <w:t>apparatus</w:t>
      </w:r>
      <w:r w:rsidR="00530127">
        <w:rPr>
          <w:rFonts w:cs="Arial"/>
        </w:rPr>
        <w:t>-</w:t>
      </w:r>
      <w:r>
        <w:rPr>
          <w:rFonts w:cs="Arial"/>
        </w:rPr>
        <w:t xml:space="preserve">licensing arrangements </w:t>
      </w:r>
      <w:r w:rsidR="00B52CD2">
        <w:rPr>
          <w:rFonts w:cs="Arial"/>
        </w:rPr>
        <w:t xml:space="preserve">used </w:t>
      </w:r>
      <w:r>
        <w:rPr>
          <w:rFonts w:cs="Arial"/>
        </w:rPr>
        <w:t>for LA WBB</w:t>
      </w:r>
      <w:r w:rsidR="00212477">
        <w:rPr>
          <w:rFonts w:cs="Arial"/>
        </w:rPr>
        <w:t xml:space="preserve"> (</w:t>
      </w:r>
      <w:r w:rsidR="00530127">
        <w:rPr>
          <w:rFonts w:cs="Arial"/>
        </w:rPr>
        <w:t>that is</w:t>
      </w:r>
      <w:r w:rsidR="00467C57">
        <w:rPr>
          <w:rFonts w:cs="Arial"/>
        </w:rPr>
        <w:t>,</w:t>
      </w:r>
      <w:r w:rsidR="00212477">
        <w:rPr>
          <w:rFonts w:cs="Arial"/>
        </w:rPr>
        <w:t xml:space="preserve"> allowing both indoor and outdoor use)</w:t>
      </w:r>
      <w:r>
        <w:rPr>
          <w:rFonts w:cs="Arial"/>
        </w:rPr>
        <w:t xml:space="preserve">. </w:t>
      </w:r>
    </w:p>
    <w:p w14:paraId="4BBED90D" w14:textId="61B1464C" w:rsidR="009904CA" w:rsidRDefault="009904CA" w:rsidP="009904CA">
      <w:pPr>
        <w:pStyle w:val="Heading3"/>
      </w:pPr>
      <w:bookmarkStart w:id="92" w:name="_Toc150345668"/>
      <w:r>
        <w:t>Licensing arrangements for LA WBB</w:t>
      </w:r>
      <w:bookmarkEnd w:id="92"/>
      <w:r w:rsidRPr="00124BA8">
        <w:t xml:space="preserve"> </w:t>
      </w:r>
    </w:p>
    <w:p w14:paraId="4F0049B9" w14:textId="69D25824" w:rsidR="006C6925" w:rsidRDefault="006C6925" w:rsidP="009904CA">
      <w:pPr>
        <w:rPr>
          <w:rFonts w:cs="Arial"/>
        </w:rPr>
      </w:pPr>
      <w:r>
        <w:rPr>
          <w:rFonts w:cs="Arial"/>
        </w:rPr>
        <w:t>LA WBB</w:t>
      </w:r>
      <w:r w:rsidR="00B52CD2">
        <w:rPr>
          <w:rFonts w:cs="Arial"/>
        </w:rPr>
        <w:t xml:space="preserve"> services</w:t>
      </w:r>
      <w:r>
        <w:rPr>
          <w:rFonts w:cs="Arial"/>
        </w:rPr>
        <w:t xml:space="preserve"> using the 1900</w:t>
      </w:r>
      <w:r w:rsidR="00530127">
        <w:t>–</w:t>
      </w:r>
      <w:r>
        <w:rPr>
          <w:rFonts w:cs="Arial"/>
        </w:rPr>
        <w:t xml:space="preserve">1920 MHz band </w:t>
      </w:r>
      <w:r w:rsidR="00B52CD2">
        <w:rPr>
          <w:rFonts w:cs="Arial"/>
        </w:rPr>
        <w:t xml:space="preserve">are </w:t>
      </w:r>
      <w:r>
        <w:rPr>
          <w:rFonts w:cs="Arial"/>
        </w:rPr>
        <w:t>authorised</w:t>
      </w:r>
      <w:r w:rsidR="00BE7E3F">
        <w:rPr>
          <w:rFonts w:cs="Arial"/>
        </w:rPr>
        <w:t xml:space="preserve"> currently by</w:t>
      </w:r>
      <w:r>
        <w:rPr>
          <w:rFonts w:cs="Arial"/>
        </w:rPr>
        <w:t xml:space="preserve"> PMP licences. </w:t>
      </w:r>
      <w:r w:rsidR="00F765DE">
        <w:rPr>
          <w:rFonts w:cs="Arial"/>
        </w:rPr>
        <w:t xml:space="preserve">The </w:t>
      </w:r>
      <w:r>
        <w:rPr>
          <w:rFonts w:cs="Arial"/>
        </w:rPr>
        <w:t xml:space="preserve">ACMA </w:t>
      </w:r>
      <w:r w:rsidR="00F765DE">
        <w:rPr>
          <w:rFonts w:cs="Arial"/>
        </w:rPr>
        <w:t xml:space="preserve">has </w:t>
      </w:r>
      <w:r>
        <w:rPr>
          <w:rFonts w:cs="Arial"/>
        </w:rPr>
        <w:t>consider</w:t>
      </w:r>
      <w:r w:rsidR="00F765DE">
        <w:rPr>
          <w:rFonts w:cs="Arial"/>
        </w:rPr>
        <w:t>ed</w:t>
      </w:r>
      <w:r>
        <w:rPr>
          <w:rFonts w:cs="Arial"/>
        </w:rPr>
        <w:t xml:space="preserve"> whether </w:t>
      </w:r>
      <w:r w:rsidR="00F765DE">
        <w:rPr>
          <w:rFonts w:cs="Arial"/>
        </w:rPr>
        <w:t xml:space="preserve">to use </w:t>
      </w:r>
      <w:r>
        <w:rPr>
          <w:rFonts w:cs="Arial"/>
        </w:rPr>
        <w:t>area wide licence (AWL)</w:t>
      </w:r>
      <w:r w:rsidR="00F765DE">
        <w:rPr>
          <w:rFonts w:cs="Arial"/>
        </w:rPr>
        <w:t xml:space="preserve"> arrangements for LA WBB. However, given SR WBB systems will also be supported, which can operate in areas much smaller tha</w:t>
      </w:r>
      <w:r w:rsidR="00B52CD2">
        <w:rPr>
          <w:rFonts w:cs="Arial"/>
        </w:rPr>
        <w:t xml:space="preserve">n can be defined by </w:t>
      </w:r>
      <w:r w:rsidR="00F765DE">
        <w:rPr>
          <w:rFonts w:cs="Arial"/>
        </w:rPr>
        <w:t xml:space="preserve">HCIS, we </w:t>
      </w:r>
      <w:r w:rsidR="00744AF8">
        <w:rPr>
          <w:rFonts w:cs="Arial"/>
        </w:rPr>
        <w:t xml:space="preserve">have formed the preliminary view that </w:t>
      </w:r>
      <w:r w:rsidR="00F765DE">
        <w:rPr>
          <w:rFonts w:cs="Arial"/>
        </w:rPr>
        <w:t>the existing PMP arrangements to be the most appropriate</w:t>
      </w:r>
      <w:r>
        <w:rPr>
          <w:rFonts w:cs="Arial"/>
        </w:rPr>
        <w:t xml:space="preserve">. </w:t>
      </w:r>
    </w:p>
    <w:p w14:paraId="41AB463D" w14:textId="7F43BDD8" w:rsidR="00A52588" w:rsidRDefault="00A52588" w:rsidP="009904CA">
      <w:pPr>
        <w:rPr>
          <w:rFonts w:cs="Arial"/>
        </w:rPr>
      </w:pPr>
      <w:r>
        <w:rPr>
          <w:rFonts w:cs="Arial"/>
        </w:rPr>
        <w:t xml:space="preserve">We will also update </w:t>
      </w:r>
      <w:hyperlink r:id="rId54" w:history="1">
        <w:r w:rsidRPr="00A52588">
          <w:rPr>
            <w:rStyle w:val="Hyperlink"/>
            <w:rFonts w:cs="Arial"/>
          </w:rPr>
          <w:t>RALI FX19</w:t>
        </w:r>
      </w:hyperlink>
      <w:r>
        <w:rPr>
          <w:rFonts w:cs="Arial"/>
        </w:rPr>
        <w:t xml:space="preserve"> </w:t>
      </w:r>
      <w:r w:rsidRPr="00252854">
        <w:rPr>
          <w:rFonts w:cs="Arial"/>
        </w:rPr>
        <w:t>Frequency coordination and licensing procedures for point to multipoint apparatus licensed services in the 1900−1920 MHz band</w:t>
      </w:r>
      <w:r w:rsidRPr="00A52588">
        <w:rPr>
          <w:rFonts w:cs="Arial"/>
          <w:i/>
          <w:iCs/>
        </w:rPr>
        <w:t xml:space="preserve"> </w:t>
      </w:r>
      <w:r>
        <w:rPr>
          <w:rFonts w:cs="Arial"/>
        </w:rPr>
        <w:t>(RALI FX19) to reflect the outcomes of the 1.9 GHz band review.</w:t>
      </w:r>
    </w:p>
    <w:p w14:paraId="63C4C36E" w14:textId="11500003" w:rsidR="00C5055C" w:rsidRDefault="009904CA" w:rsidP="00C5055C">
      <w:pPr>
        <w:pStyle w:val="Heading3"/>
      </w:pPr>
      <w:bookmarkStart w:id="93" w:name="_Toc150345669"/>
      <w:r>
        <w:t>Licen</w:t>
      </w:r>
      <w:r w:rsidR="00D36CF6">
        <w:t>s</w:t>
      </w:r>
      <w:r>
        <w:t>ing a</w:t>
      </w:r>
      <w:r w:rsidR="00C5055C">
        <w:t>rrangements for PTP</w:t>
      </w:r>
      <w:bookmarkEnd w:id="93"/>
      <w:r w:rsidR="00C5055C" w:rsidRPr="00124BA8">
        <w:t xml:space="preserve"> </w:t>
      </w:r>
    </w:p>
    <w:p w14:paraId="0E8A3126" w14:textId="0B13841A" w:rsidR="00C5055C" w:rsidRDefault="00C5055C" w:rsidP="00C5055C">
      <w:pPr>
        <w:rPr>
          <w:rFonts w:cs="Arial"/>
        </w:rPr>
      </w:pPr>
      <w:r>
        <w:rPr>
          <w:rFonts w:cs="Arial"/>
        </w:rPr>
        <w:t>We do not intend to</w:t>
      </w:r>
      <w:r w:rsidR="00BE7E3F">
        <w:rPr>
          <w:rFonts w:cs="Arial"/>
        </w:rPr>
        <w:t xml:space="preserve"> substantively</w:t>
      </w:r>
      <w:r>
        <w:rPr>
          <w:rFonts w:cs="Arial"/>
        </w:rPr>
        <w:t xml:space="preserve"> change licensing arrangements for PTP services in the 1.9 GHz band. </w:t>
      </w:r>
      <w:r w:rsidR="009904CA">
        <w:rPr>
          <w:rFonts w:cs="Arial"/>
        </w:rPr>
        <w:t>However, w</w:t>
      </w:r>
      <w:r>
        <w:rPr>
          <w:rFonts w:cs="Arial"/>
        </w:rPr>
        <w:t xml:space="preserve">e will update </w:t>
      </w:r>
      <w:hyperlink r:id="rId55" w:history="1">
        <w:r w:rsidRPr="009904CA">
          <w:rPr>
            <w:rStyle w:val="Hyperlink"/>
            <w:rFonts w:cs="Arial"/>
          </w:rPr>
          <w:t>RALI FX3</w:t>
        </w:r>
      </w:hyperlink>
      <w:r>
        <w:rPr>
          <w:rFonts w:cs="Arial"/>
        </w:rPr>
        <w:t xml:space="preserve"> to reflect the outcomes of the 1.9 GHz band review. </w:t>
      </w:r>
    </w:p>
    <w:p w14:paraId="686BDB93" w14:textId="35AFA533" w:rsidR="006C6925" w:rsidRDefault="006C6925" w:rsidP="00CF7F56">
      <w:pPr>
        <w:pStyle w:val="Heading3"/>
        <w:keepLines/>
      </w:pPr>
      <w:bookmarkStart w:id="94" w:name="_Toc150345670"/>
      <w:r>
        <w:lastRenderedPageBreak/>
        <w:t>LA WBB</w:t>
      </w:r>
      <w:r w:rsidRPr="00124BA8">
        <w:t xml:space="preserve"> </w:t>
      </w:r>
      <w:r>
        <w:t>and PTP coexistence with RMR</w:t>
      </w:r>
      <w:bookmarkEnd w:id="94"/>
    </w:p>
    <w:p w14:paraId="4D563626" w14:textId="7BD18A6D" w:rsidR="009904CA" w:rsidRDefault="009904CA" w:rsidP="00CF7F56">
      <w:pPr>
        <w:keepNext/>
        <w:keepLines/>
        <w:rPr>
          <w:rFonts w:cs="Arial"/>
        </w:rPr>
      </w:pPr>
      <w:r>
        <w:rPr>
          <w:rFonts w:cs="Arial"/>
        </w:rPr>
        <w:t xml:space="preserve">We </w:t>
      </w:r>
      <w:r w:rsidR="006C6925">
        <w:rPr>
          <w:rFonts w:cs="Arial"/>
        </w:rPr>
        <w:t xml:space="preserve">will </w:t>
      </w:r>
      <w:r>
        <w:rPr>
          <w:rFonts w:cs="Arial"/>
        </w:rPr>
        <w:t xml:space="preserve">work with industry to identify what restrictions may </w:t>
      </w:r>
      <w:r w:rsidR="006C6925">
        <w:rPr>
          <w:rFonts w:cs="Arial"/>
        </w:rPr>
        <w:t xml:space="preserve">need to </w:t>
      </w:r>
      <w:r>
        <w:rPr>
          <w:rFonts w:cs="Arial"/>
        </w:rPr>
        <w:t xml:space="preserve">apply on the issue of new </w:t>
      </w:r>
      <w:r w:rsidR="006C6925">
        <w:rPr>
          <w:rFonts w:cs="Arial"/>
        </w:rPr>
        <w:t xml:space="preserve">LA WBB and </w:t>
      </w:r>
      <w:r>
        <w:rPr>
          <w:rFonts w:cs="Arial"/>
        </w:rPr>
        <w:t xml:space="preserve">PTP licences around rail corridors. To limit the impact on future </w:t>
      </w:r>
      <w:r w:rsidR="006C6925">
        <w:rPr>
          <w:rFonts w:cs="Arial"/>
        </w:rPr>
        <w:t xml:space="preserve">LA WBB and </w:t>
      </w:r>
      <w:r>
        <w:rPr>
          <w:rFonts w:cs="Arial"/>
        </w:rPr>
        <w:t xml:space="preserve">PTP licences, the ACMA has expanded </w:t>
      </w:r>
      <w:r w:rsidR="00BE7E3F">
        <w:rPr>
          <w:rFonts w:cs="Arial"/>
        </w:rPr>
        <w:t>E</w:t>
      </w:r>
      <w:r>
        <w:rPr>
          <w:rFonts w:cs="Arial"/>
        </w:rPr>
        <w:t xml:space="preserve">mbargo 76 to apply Australia-wide. This will help prospective new </w:t>
      </w:r>
      <w:r w:rsidR="006C6925">
        <w:rPr>
          <w:rFonts w:cs="Arial"/>
        </w:rPr>
        <w:t xml:space="preserve">LA WBB and </w:t>
      </w:r>
      <w:r>
        <w:rPr>
          <w:rFonts w:cs="Arial"/>
        </w:rPr>
        <w:t xml:space="preserve">PTP licensees </w:t>
      </w:r>
      <w:r w:rsidR="00B76F4D">
        <w:rPr>
          <w:rFonts w:cs="Arial"/>
        </w:rPr>
        <w:t xml:space="preserve">to be </w:t>
      </w:r>
      <w:r>
        <w:rPr>
          <w:rFonts w:cs="Arial"/>
        </w:rPr>
        <w:t>aware that we are in the process of implementing new planning arrangements that may impact them. As mentioned previously, i</w:t>
      </w:r>
      <w:r>
        <w:t>t is possible that this work will result in some existing</w:t>
      </w:r>
      <w:r w:rsidR="006C6925">
        <w:t xml:space="preserve"> LA WBB and</w:t>
      </w:r>
      <w:r>
        <w:t xml:space="preserve"> PTP licen</w:t>
      </w:r>
      <w:r w:rsidR="00A61321">
        <w:t>se</w:t>
      </w:r>
      <w:r>
        <w:t xml:space="preserve">es near rail corridors having to either modify or cease operation to facilitate the deployment of future RMR services.  </w:t>
      </w:r>
    </w:p>
    <w:p w14:paraId="47F2CBDC" w14:textId="53931DAF" w:rsidR="00146125" w:rsidRDefault="00146125" w:rsidP="00146125">
      <w:pPr>
        <w:pStyle w:val="Heading3"/>
      </w:pPr>
      <w:bookmarkStart w:id="95" w:name="_Toc150345671"/>
      <w:r>
        <w:t>Licensing arrangements for RMR</w:t>
      </w:r>
      <w:bookmarkEnd w:id="95"/>
      <w:r w:rsidRPr="00124BA8">
        <w:t xml:space="preserve"> </w:t>
      </w:r>
    </w:p>
    <w:p w14:paraId="75442FD8" w14:textId="470F2753" w:rsidR="00C34692" w:rsidRPr="00C5055C" w:rsidRDefault="00C34692" w:rsidP="005F7BC7">
      <w:pPr>
        <w:rPr>
          <w:rFonts w:cs="Arial"/>
        </w:rPr>
      </w:pPr>
      <w:r w:rsidRPr="00C5055C">
        <w:rPr>
          <w:rFonts w:cs="Arial"/>
        </w:rPr>
        <w:t xml:space="preserve">A definition of rail corridors that will be reserved for RMR use is still required. While we intend to work with industry to identify relevant rail corridors, we anticipate this will encompass the cities of Adelaide, Brisbane, Melbourne, </w:t>
      </w:r>
      <w:proofErr w:type="gramStart"/>
      <w:r w:rsidRPr="00C5055C">
        <w:rPr>
          <w:rFonts w:cs="Arial"/>
        </w:rPr>
        <w:t>Perth</w:t>
      </w:r>
      <w:proofErr w:type="gramEnd"/>
      <w:r w:rsidRPr="00C5055C">
        <w:rPr>
          <w:rFonts w:cs="Arial"/>
        </w:rPr>
        <w:t xml:space="preserve"> and Sydney as well as various regional areas. Due to the large area that could be </w:t>
      </w:r>
      <w:r w:rsidR="00B76F4D">
        <w:rPr>
          <w:rFonts w:cs="Arial"/>
        </w:rPr>
        <w:t>covered</w:t>
      </w:r>
      <w:r w:rsidRPr="00C5055C">
        <w:rPr>
          <w:rFonts w:cs="Arial"/>
        </w:rPr>
        <w:t xml:space="preserve">, we will </w:t>
      </w:r>
      <w:r w:rsidR="00BE7E3F">
        <w:rPr>
          <w:rFonts w:cs="Arial"/>
        </w:rPr>
        <w:t xml:space="preserve">consider whether </w:t>
      </w:r>
      <w:r w:rsidRPr="00C5055C">
        <w:rPr>
          <w:rFonts w:cs="Arial"/>
        </w:rPr>
        <w:t>AWL</w:t>
      </w:r>
      <w:r w:rsidR="00BE7E3F">
        <w:rPr>
          <w:rFonts w:cs="Arial"/>
        </w:rPr>
        <w:t>s should be used</w:t>
      </w:r>
      <w:r w:rsidRPr="00C5055C">
        <w:rPr>
          <w:rFonts w:cs="Arial"/>
        </w:rPr>
        <w:t xml:space="preserve"> to support RMR services. AWLs can encompass large or small areas, as well as irregular areas that could occur along rail corridors. </w:t>
      </w:r>
    </w:p>
    <w:p w14:paraId="2B3F07EF" w14:textId="0EB17A5B" w:rsidR="00C34692" w:rsidRDefault="00C34692" w:rsidP="00C34692">
      <w:pPr>
        <w:pStyle w:val="Heading3"/>
      </w:pPr>
      <w:bookmarkStart w:id="96" w:name="_Toc150345672"/>
      <w:r>
        <w:t>Transition arrangements for RMR</w:t>
      </w:r>
      <w:r w:rsidRPr="00124BA8">
        <w:t xml:space="preserve"> </w:t>
      </w:r>
      <w:r w:rsidR="00E05F90">
        <w:t>and 1800 MHz band spectrum licences</w:t>
      </w:r>
      <w:bookmarkEnd w:id="96"/>
    </w:p>
    <w:p w14:paraId="3076C73A" w14:textId="525A1D8D" w:rsidR="00146125" w:rsidRPr="00C5055C" w:rsidRDefault="00C34692" w:rsidP="005F7BC7">
      <w:pPr>
        <w:rPr>
          <w:rFonts w:cs="Arial"/>
        </w:rPr>
      </w:pPr>
      <w:bookmarkStart w:id="97" w:name="_Hlk147481158"/>
      <w:r w:rsidRPr="00C5055C">
        <w:rPr>
          <w:rFonts w:cs="Arial"/>
        </w:rPr>
        <w:t>Most r</w:t>
      </w:r>
      <w:r w:rsidR="00146125" w:rsidRPr="00C5055C">
        <w:rPr>
          <w:rFonts w:cs="Arial"/>
        </w:rPr>
        <w:t xml:space="preserve">ail licensees have deployed GSM-R and LTE technologies under their </w:t>
      </w:r>
      <w:r w:rsidRPr="00C5055C">
        <w:rPr>
          <w:rFonts w:cs="Arial"/>
        </w:rPr>
        <w:t xml:space="preserve">existing </w:t>
      </w:r>
      <w:r w:rsidR="00146125" w:rsidRPr="00C5055C">
        <w:rPr>
          <w:rFonts w:cs="Arial"/>
        </w:rPr>
        <w:t xml:space="preserve">1800 MHz </w:t>
      </w:r>
      <w:r w:rsidR="00B52CD2">
        <w:rPr>
          <w:rFonts w:cs="Arial"/>
        </w:rPr>
        <w:t xml:space="preserve">band </w:t>
      </w:r>
      <w:r w:rsidR="00146125" w:rsidRPr="00C5055C">
        <w:rPr>
          <w:rFonts w:cs="Arial"/>
        </w:rPr>
        <w:t xml:space="preserve">spectrum licences. </w:t>
      </w:r>
      <w:r w:rsidRPr="00C5055C">
        <w:rPr>
          <w:rFonts w:cs="Arial"/>
        </w:rPr>
        <w:t>A transition</w:t>
      </w:r>
      <w:r w:rsidRPr="00C5055C" w:rsidDel="00B52CD2">
        <w:rPr>
          <w:rFonts w:cs="Arial"/>
        </w:rPr>
        <w:t xml:space="preserve"> </w:t>
      </w:r>
      <w:r w:rsidRPr="00C5055C">
        <w:rPr>
          <w:rFonts w:cs="Arial"/>
        </w:rPr>
        <w:t>to FRMCS is expected to occur over different timeframes in different jurisdictions. It could occur relatively fast for licensees that have not yet deployed services under their 1800 MHz licences</w:t>
      </w:r>
      <w:r w:rsidR="00C769D0">
        <w:rPr>
          <w:rFonts w:cs="Arial"/>
        </w:rPr>
        <w:t>;</w:t>
      </w:r>
      <w:r w:rsidRPr="00C5055C">
        <w:rPr>
          <w:rFonts w:cs="Arial"/>
        </w:rPr>
        <w:t xml:space="preserve"> however, it could take several years (possibly more than a decade) for other jurisdictions. We understand the rail industry will require time to design and deploy new networks as well as transition relevant services into the 1.9 GHz band. In parallel to this, the ACMA will develop and implement technical arrangements that define how interference will be managed with PMP, PTP, PTS and spectrum licences.</w:t>
      </w:r>
    </w:p>
    <w:p w14:paraId="632D7C65" w14:textId="169456E1" w:rsidR="00146125" w:rsidRDefault="00146125" w:rsidP="00146125">
      <w:r w:rsidRPr="00C5055C">
        <w:rPr>
          <w:rFonts w:cs="Arial"/>
        </w:rPr>
        <w:t xml:space="preserve">As of 1 September 2023, there are 8,121 assignments in the 1800 MHz spectrum licence band associated with delivery of public rail services held by the following licensees: Queensland Rail, Public Transport Authority of Western Australia, Sydney </w:t>
      </w:r>
      <w:proofErr w:type="gramStart"/>
      <w:r w:rsidRPr="00C5055C">
        <w:rPr>
          <w:rFonts w:cs="Arial"/>
        </w:rPr>
        <w:t>Trains</w:t>
      </w:r>
      <w:proofErr w:type="gramEnd"/>
      <w:r w:rsidRPr="00C5055C">
        <w:rPr>
          <w:rFonts w:cs="Arial"/>
        </w:rPr>
        <w:t xml:space="preserve"> and Victorian Rail Track. Although the</w:t>
      </w:r>
      <w:r w:rsidR="00E05F90">
        <w:rPr>
          <w:rFonts w:cs="Arial"/>
        </w:rPr>
        <w:t xml:space="preserve"> South Australian</w:t>
      </w:r>
      <w:r w:rsidRPr="00C5055C">
        <w:rPr>
          <w:rFonts w:cs="Arial"/>
        </w:rPr>
        <w:t xml:space="preserve"> Department of Planning Transport and Infrastructure hold an 1800 MHz band spectrum licence</w:t>
      </w:r>
      <w:r w:rsidR="000E5218">
        <w:rPr>
          <w:rFonts w:cs="Arial"/>
        </w:rPr>
        <w:t>,</w:t>
      </w:r>
      <w:r w:rsidRPr="00C5055C">
        <w:rPr>
          <w:rFonts w:cs="Arial"/>
        </w:rPr>
        <w:t xml:space="preserve"> the</w:t>
      </w:r>
      <w:r w:rsidR="00B52CD2">
        <w:rPr>
          <w:rFonts w:cs="Arial"/>
        </w:rPr>
        <w:t>re</w:t>
      </w:r>
      <w:r w:rsidRPr="00C5055C">
        <w:rPr>
          <w:rFonts w:cs="Arial"/>
        </w:rPr>
        <w:t xml:space="preserve"> are no assignments</w:t>
      </w:r>
      <w:r w:rsidR="00BE7E3F">
        <w:rPr>
          <w:rFonts w:cs="Arial"/>
        </w:rPr>
        <w:t xml:space="preserve"> under this licence</w:t>
      </w:r>
      <w:r w:rsidRPr="00C5055C">
        <w:rPr>
          <w:rFonts w:cs="Arial"/>
        </w:rPr>
        <w:t xml:space="preserve"> in</w:t>
      </w:r>
      <w:r>
        <w:t xml:space="preserve"> the </w:t>
      </w:r>
      <w:hyperlink r:id="rId56" w:history="1">
        <w:r>
          <w:rPr>
            <w:rStyle w:val="Hyperlink"/>
          </w:rPr>
          <w:t>Register of Radiocommunications Licences</w:t>
        </w:r>
      </w:hyperlink>
      <w:r>
        <w:t xml:space="preserve"> (RRL). The licences are all due to expire in June 2028.</w:t>
      </w:r>
    </w:p>
    <w:p w14:paraId="630A1F3B" w14:textId="1A9E19C5" w:rsidR="00146125" w:rsidRPr="005F7BC7" w:rsidRDefault="000175F6" w:rsidP="00146125">
      <w:pPr>
        <w:rPr>
          <w:color w:val="000000" w:themeColor="text1"/>
        </w:rPr>
      </w:pPr>
      <w:r>
        <w:t>We are</w:t>
      </w:r>
      <w:r w:rsidR="00146125">
        <w:t xml:space="preserve"> currently </w:t>
      </w:r>
      <w:r w:rsidR="00E970B6">
        <w:t xml:space="preserve">considering submissions received to </w:t>
      </w:r>
      <w:r>
        <w:t xml:space="preserve">our </w:t>
      </w:r>
      <w:r w:rsidR="00E970B6">
        <w:t xml:space="preserve">consultation on </w:t>
      </w:r>
      <w:r>
        <w:t xml:space="preserve">our </w:t>
      </w:r>
      <w:r w:rsidR="00E970B6">
        <w:t xml:space="preserve">proposed approach to </w:t>
      </w:r>
      <w:hyperlink r:id="rId57" w:anchor=":~:text=you%20must%20apply%20to%20us,process%20it%20is%206%20months)" w:history="1">
        <w:r w:rsidR="00146125">
          <w:rPr>
            <w:rStyle w:val="Hyperlink"/>
          </w:rPr>
          <w:t>expiring spectrum licences</w:t>
        </w:r>
      </w:hyperlink>
      <w:r w:rsidR="00146125">
        <w:t xml:space="preserve"> (ESLs</w:t>
      </w:r>
      <w:r w:rsidR="00146125" w:rsidRPr="005F7BC7">
        <w:rPr>
          <w:color w:val="000000" w:themeColor="text1"/>
        </w:rPr>
        <w:t xml:space="preserve">). </w:t>
      </w:r>
      <w:r w:rsidR="00B52CD2">
        <w:rPr>
          <w:color w:val="000000" w:themeColor="text1"/>
        </w:rPr>
        <w:t xml:space="preserve">The </w:t>
      </w:r>
      <w:r w:rsidR="00146125" w:rsidRPr="005F7BC7">
        <w:rPr>
          <w:color w:val="000000" w:themeColor="text1"/>
        </w:rPr>
        <w:t>1800 MHz band spectrum licences</w:t>
      </w:r>
      <w:r w:rsidR="00E05F90" w:rsidRPr="005F7BC7">
        <w:rPr>
          <w:color w:val="000000" w:themeColor="text1"/>
        </w:rPr>
        <w:t xml:space="preserve">, including those associated with delivery of public rail services, </w:t>
      </w:r>
      <w:r w:rsidR="00146125" w:rsidRPr="005F7BC7">
        <w:rPr>
          <w:color w:val="000000" w:themeColor="text1"/>
        </w:rPr>
        <w:t xml:space="preserve">will be among the first to </w:t>
      </w:r>
      <w:r w:rsidR="00E05F90" w:rsidRPr="005F7BC7">
        <w:rPr>
          <w:color w:val="000000" w:themeColor="text1"/>
        </w:rPr>
        <w:t>expire, with licen</w:t>
      </w:r>
      <w:r w:rsidR="00C769D0">
        <w:rPr>
          <w:color w:val="000000" w:themeColor="text1"/>
        </w:rPr>
        <w:t>sees</w:t>
      </w:r>
      <w:r w:rsidR="00E05F90" w:rsidRPr="005F7BC7">
        <w:rPr>
          <w:color w:val="000000" w:themeColor="text1"/>
        </w:rPr>
        <w:t xml:space="preserve"> able to apply to the ACMA for renewal of their licences</w:t>
      </w:r>
      <w:r w:rsidR="00146125" w:rsidRPr="005F7BC7">
        <w:rPr>
          <w:color w:val="000000" w:themeColor="text1"/>
        </w:rPr>
        <w:t xml:space="preserve">. The outcomes of the 1.9 GHz review process, including the identification of a dedicated 10 MHz of spectrum for RMR operation Australia-wide, </w:t>
      </w:r>
      <w:r w:rsidR="00E05F90" w:rsidRPr="005F7BC7">
        <w:rPr>
          <w:color w:val="000000" w:themeColor="text1"/>
        </w:rPr>
        <w:t xml:space="preserve">may be a relevant consideration in </w:t>
      </w:r>
      <w:r w:rsidR="00146125" w:rsidRPr="005F7BC7">
        <w:rPr>
          <w:color w:val="000000" w:themeColor="text1"/>
        </w:rPr>
        <w:t xml:space="preserve">the ESL process. </w:t>
      </w:r>
    </w:p>
    <w:p w14:paraId="0DC355C8" w14:textId="4688E384" w:rsidR="00146125" w:rsidRDefault="000175F6" w:rsidP="00146125">
      <w:r>
        <w:t>We</w:t>
      </w:r>
      <w:r w:rsidR="00146125">
        <w:t xml:space="preserve"> intend to work with rail licensees regarding the development of arrangements for RMR in the 1.9 GHz band. This will include consideration of </w:t>
      </w:r>
      <w:r w:rsidR="00E05F90">
        <w:t xml:space="preserve">existing arrangements for </w:t>
      </w:r>
      <w:r w:rsidR="00146125">
        <w:t xml:space="preserve">rail safety and communications in the 1800 MHz band as well as any timeframes </w:t>
      </w:r>
      <w:r w:rsidR="00C769D0">
        <w:t>for deployments in</w:t>
      </w:r>
      <w:r w:rsidR="00146125">
        <w:t xml:space="preserve"> the 1.9 GHz band.</w:t>
      </w:r>
    </w:p>
    <w:p w14:paraId="21D060B0" w14:textId="2F8C964E" w:rsidR="006C6925" w:rsidRDefault="006C6925" w:rsidP="006C6925">
      <w:pPr>
        <w:pStyle w:val="Heading3"/>
      </w:pPr>
      <w:bookmarkStart w:id="98" w:name="_Toc150345673"/>
      <w:bookmarkEnd w:id="97"/>
      <w:r>
        <w:t>RMR</w:t>
      </w:r>
      <w:r w:rsidRPr="00124BA8">
        <w:t xml:space="preserve"> </w:t>
      </w:r>
      <w:r>
        <w:t>coexistence with adjacent band services</w:t>
      </w:r>
      <w:bookmarkEnd w:id="98"/>
    </w:p>
    <w:p w14:paraId="0671ADEF" w14:textId="0EF80113" w:rsidR="00514C90" w:rsidRDefault="00F765DE" w:rsidP="006C6925">
      <w:r>
        <w:t xml:space="preserve">Submissions from mobile network operators were particularly concerned with </w:t>
      </w:r>
      <w:r w:rsidR="00514C90">
        <w:t>how the introduction of RMR into the 1900</w:t>
      </w:r>
      <w:r w:rsidR="000175F6" w:rsidRPr="00144395">
        <w:rPr>
          <w:rFonts w:cs="Arial"/>
        </w:rPr>
        <w:t>−</w:t>
      </w:r>
      <w:r w:rsidR="00514C90">
        <w:t xml:space="preserve">1910 MHz band would affect their services in the adjacent 1800 MHz and 2 GHz bands. While there are guard bands in place to facilitate coexistence, we recognise that this alone </w:t>
      </w:r>
      <w:r w:rsidR="005C0E42">
        <w:t xml:space="preserve">may </w:t>
      </w:r>
      <w:r w:rsidR="00514C90">
        <w:t xml:space="preserve">not be sufficient to manage interference.  </w:t>
      </w:r>
    </w:p>
    <w:p w14:paraId="5874F2C1" w14:textId="1F4684F7" w:rsidR="00514C90" w:rsidRPr="00146125" w:rsidRDefault="00514C90" w:rsidP="005F7BC7">
      <w:r>
        <w:lastRenderedPageBreak/>
        <w:t xml:space="preserve">We intend to work with industry to </w:t>
      </w:r>
      <w:r w:rsidR="00C5131F">
        <w:t>investigate this issue and</w:t>
      </w:r>
      <w:r w:rsidR="000175F6">
        <w:t>,</w:t>
      </w:r>
      <w:r w:rsidR="00C5131F">
        <w:t xml:space="preserve"> if </w:t>
      </w:r>
      <w:r w:rsidR="0070793F">
        <w:t>necessary,</w:t>
      </w:r>
      <w:r w:rsidR="00C5131F">
        <w:t xml:space="preserve"> </w:t>
      </w:r>
      <w:r>
        <w:t xml:space="preserve">develop appropriate </w:t>
      </w:r>
      <w:r w:rsidR="00C5131F">
        <w:t xml:space="preserve">additional </w:t>
      </w:r>
      <w:r>
        <w:t>arrangements to enable coexistence. Ou</w:t>
      </w:r>
      <w:r w:rsidR="005C0E42">
        <w:t>r</w:t>
      </w:r>
      <w:r>
        <w:t xml:space="preserve"> preliminary view is that new RMR services will need to consider and work around existing deployments in adjacent bands when designing and implementing networks. We also consider, once RMR services are deployed, that new adjacent band services</w:t>
      </w:r>
      <w:r w:rsidR="003B05ED">
        <w:t xml:space="preserve"> will</w:t>
      </w:r>
      <w:r>
        <w:t xml:space="preserve"> </w:t>
      </w:r>
      <w:r w:rsidR="00CC0517">
        <w:t xml:space="preserve">need to </w:t>
      </w:r>
      <w:r>
        <w:t xml:space="preserve">implement measures to facilitate coexistence.  </w:t>
      </w:r>
    </w:p>
    <w:p w14:paraId="6914949E" w14:textId="029B87CC" w:rsidR="004A3FBE" w:rsidRPr="00A85D75" w:rsidRDefault="00E7549F" w:rsidP="002422E5">
      <w:pPr>
        <w:pStyle w:val="Heading1"/>
      </w:pPr>
      <w:bookmarkStart w:id="99" w:name="_Toc150345674"/>
      <w:bookmarkEnd w:id="90"/>
      <w:r>
        <w:lastRenderedPageBreak/>
        <w:t>N</w:t>
      </w:r>
      <w:r w:rsidR="004A3FBE" w:rsidRPr="00A85D75">
        <w:t>ext steps</w:t>
      </w:r>
      <w:bookmarkEnd w:id="85"/>
      <w:bookmarkEnd w:id="86"/>
      <w:bookmarkEnd w:id="99"/>
    </w:p>
    <w:p w14:paraId="51A1D7F0" w14:textId="42662E3D" w:rsidR="00A40BCE" w:rsidRDefault="009C3E5D" w:rsidP="00236E38">
      <w:pPr>
        <w:pStyle w:val="Paragraph"/>
      </w:pPr>
      <w:r w:rsidRPr="00A85D75">
        <w:t xml:space="preserve">To give effect to the planning decisions and preliminary views outlined in this paper, </w:t>
      </w:r>
      <w:r w:rsidR="000175F6">
        <w:t>we have</w:t>
      </w:r>
      <w:r w:rsidR="00620E19" w:rsidRPr="00A85D75">
        <w:t xml:space="preserve"> developed </w:t>
      </w:r>
      <w:r w:rsidR="000175F6">
        <w:t>an</w:t>
      </w:r>
      <w:r w:rsidR="000175F6" w:rsidRPr="00A85D75">
        <w:t xml:space="preserve"> </w:t>
      </w:r>
      <w:r w:rsidR="00620E19" w:rsidRPr="00A85D75">
        <w:t>indicative high</w:t>
      </w:r>
      <w:r w:rsidR="000175F6">
        <w:t>-</w:t>
      </w:r>
      <w:r w:rsidR="00620E19" w:rsidRPr="00A85D75">
        <w:t>level implementation plan</w:t>
      </w:r>
      <w:r w:rsidR="000175F6">
        <w:t>.</w:t>
      </w:r>
      <w:r w:rsidR="00620E19" w:rsidRPr="00A85D75">
        <w:t xml:space="preserve"> </w:t>
      </w:r>
      <w:r w:rsidRPr="00A85D75">
        <w:t>Table</w:t>
      </w:r>
      <w:r w:rsidR="00B94200" w:rsidRPr="00A85D75">
        <w:t> </w:t>
      </w:r>
      <w:r w:rsidR="00790FFE">
        <w:t>1</w:t>
      </w:r>
      <w:r w:rsidRPr="00A85D75">
        <w:t xml:space="preserve"> </w:t>
      </w:r>
      <w:r w:rsidR="000175F6">
        <w:t>sets out</w:t>
      </w:r>
      <w:r w:rsidR="000175F6" w:rsidRPr="00A85D75">
        <w:t xml:space="preserve"> </w:t>
      </w:r>
      <w:r w:rsidR="00236E38" w:rsidRPr="00A85D75">
        <w:t xml:space="preserve">the activities and estimated timing that will follow </w:t>
      </w:r>
      <w:r w:rsidR="00CC5D2F">
        <w:t xml:space="preserve">the </w:t>
      </w:r>
      <w:r w:rsidR="00236E38" w:rsidRPr="00A85D75">
        <w:t xml:space="preserve">release of this paper. </w:t>
      </w:r>
    </w:p>
    <w:p w14:paraId="61C84202" w14:textId="46548225" w:rsidR="00320B3E" w:rsidRPr="00A85D75" w:rsidRDefault="00236E38" w:rsidP="00236E38">
      <w:pPr>
        <w:pStyle w:val="Paragraph"/>
      </w:pPr>
      <w:r w:rsidRPr="00A85D75">
        <w:t>Completion of these activities is contingent on a variety of factors</w:t>
      </w:r>
      <w:r w:rsidR="00F45899">
        <w:t>,</w:t>
      </w:r>
      <w:r w:rsidRPr="00A85D75">
        <w:t xml:space="preserve"> including feedback received from stakeholders.</w:t>
      </w:r>
      <w:r w:rsidR="00444237" w:rsidRPr="00A85D75">
        <w:t xml:space="preserve"> </w:t>
      </w:r>
      <w:r w:rsidR="007A385E">
        <w:t xml:space="preserve">Timeframes are indicative </w:t>
      </w:r>
      <w:r w:rsidR="00EF3CC2">
        <w:t xml:space="preserve">and intended to provide a guide to </w:t>
      </w:r>
      <w:r w:rsidR="009701E3">
        <w:t xml:space="preserve">the sequencing and commencement of particular streams of work. </w:t>
      </w:r>
      <w:r w:rsidR="00E13BE9">
        <w:t xml:space="preserve">A more detailed </w:t>
      </w:r>
      <w:r w:rsidR="000D10D6" w:rsidRPr="00A85D75">
        <w:t>implementation</w:t>
      </w:r>
      <w:r w:rsidR="00444237" w:rsidRPr="00A85D75">
        <w:t xml:space="preserve"> program will be </w:t>
      </w:r>
      <w:r w:rsidR="00800369" w:rsidRPr="00A85D75">
        <w:t xml:space="preserve">developed </w:t>
      </w:r>
      <w:r w:rsidR="007A385E">
        <w:t xml:space="preserve">and consulted </w:t>
      </w:r>
      <w:r w:rsidR="00E13BE9">
        <w:t xml:space="preserve">on </w:t>
      </w:r>
      <w:r w:rsidR="000D10D6" w:rsidRPr="00A85D75">
        <w:t xml:space="preserve">through the </w:t>
      </w:r>
      <w:r w:rsidR="00575BFF">
        <w:t xml:space="preserve">ACMA’s </w:t>
      </w:r>
      <w:r w:rsidR="007A385E">
        <w:t xml:space="preserve">annual </w:t>
      </w:r>
      <w:hyperlink r:id="rId58" w:history="1">
        <w:r w:rsidR="00B94C0D">
          <w:rPr>
            <w:rStyle w:val="Hyperlink"/>
          </w:rPr>
          <w:t>FYSO</w:t>
        </w:r>
      </w:hyperlink>
      <w:r w:rsidR="000D10D6" w:rsidRPr="00A85D75">
        <w:t xml:space="preserve"> process.</w:t>
      </w:r>
    </w:p>
    <w:p w14:paraId="03CDFDF2" w14:textId="3BB511C0" w:rsidR="00236E38" w:rsidRPr="00A85D75" w:rsidRDefault="00236E38" w:rsidP="00E35486">
      <w:pPr>
        <w:pStyle w:val="Tableheading"/>
      </w:pPr>
      <w:r w:rsidRPr="00A85D75">
        <w:t xml:space="preserve">Indicative timeline for </w:t>
      </w:r>
      <w:r w:rsidR="005C32BF" w:rsidRPr="00A85D75">
        <w:t>implementation of planning arrangement</w:t>
      </w:r>
      <w:r w:rsidR="00293E0A" w:rsidRPr="00A85D75">
        <w:t>s</w:t>
      </w:r>
      <w:r w:rsidR="005C32BF" w:rsidRPr="00A85D75">
        <w:t xml:space="preserve"> in </w:t>
      </w:r>
      <w:r w:rsidRPr="00A85D75">
        <w:t xml:space="preserve">the </w:t>
      </w:r>
      <w:r w:rsidR="00A40BCE">
        <w:t>1.9 GHz</w:t>
      </w:r>
      <w:r w:rsidRPr="00A85D75">
        <w:t xml:space="preserve"> band</w:t>
      </w:r>
    </w:p>
    <w:tbl>
      <w:tblPr>
        <w:tblStyle w:val="TableGrid"/>
        <w:tblW w:w="7600" w:type="dxa"/>
        <w:tblLayout w:type="fixed"/>
        <w:tblCellMar>
          <w:top w:w="85" w:type="dxa"/>
          <w:left w:w="57" w:type="dxa"/>
          <w:bottom w:w="85" w:type="dxa"/>
          <w:right w:w="57" w:type="dxa"/>
        </w:tblCellMar>
        <w:tblLook w:val="04A0" w:firstRow="1" w:lastRow="0" w:firstColumn="1" w:lastColumn="0" w:noHBand="0" w:noVBand="1"/>
        <w:tblCaption w:val="Indicative timeline for the progression of one band through the process for consideration of additional spectrum for mobile borabdand services"/>
        <w:tblDescription w:val="includes stage, milestones and indicative timings."/>
      </w:tblPr>
      <w:tblGrid>
        <w:gridCol w:w="5949"/>
        <w:gridCol w:w="1651"/>
      </w:tblGrid>
      <w:tr w:rsidR="00057DAC" w:rsidRPr="00A85D75" w14:paraId="053B2D36" w14:textId="77777777" w:rsidTr="003203E6">
        <w:trPr>
          <w:cantSplit/>
          <w:trHeight w:val="86"/>
          <w:tblHeader/>
        </w:trPr>
        <w:tc>
          <w:tcPr>
            <w:tcW w:w="5949"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bottom w:w="57" w:type="dxa"/>
            </w:tcMar>
            <w:vAlign w:val="center"/>
            <w:hideMark/>
          </w:tcPr>
          <w:p w14:paraId="340EAB3E" w14:textId="77777777" w:rsidR="00057DAC" w:rsidRPr="00A85D75" w:rsidRDefault="00057DAC" w:rsidP="00064159">
            <w:pPr>
              <w:pStyle w:val="TableHeading0"/>
              <w:rPr>
                <w:color w:val="FFFFFF" w:themeColor="background1"/>
                <w:szCs w:val="20"/>
              </w:rPr>
            </w:pPr>
            <w:r w:rsidRPr="00A85D75">
              <w:rPr>
                <w:color w:val="FFFFFF" w:themeColor="background1"/>
                <w:szCs w:val="20"/>
              </w:rPr>
              <w:t>Action</w:t>
            </w:r>
          </w:p>
        </w:tc>
        <w:tc>
          <w:tcPr>
            <w:tcW w:w="1651"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bottom w:w="57" w:type="dxa"/>
            </w:tcMar>
            <w:vAlign w:val="center"/>
            <w:hideMark/>
          </w:tcPr>
          <w:p w14:paraId="31CC49E2" w14:textId="77777777" w:rsidR="00057DAC" w:rsidRPr="00A85D75" w:rsidRDefault="00057DAC" w:rsidP="00064159">
            <w:pPr>
              <w:pStyle w:val="TableHeading0"/>
              <w:rPr>
                <w:color w:val="FFFFFF" w:themeColor="background1"/>
                <w:szCs w:val="20"/>
              </w:rPr>
            </w:pPr>
            <w:r w:rsidRPr="00A85D75">
              <w:rPr>
                <w:color w:val="FFFFFF" w:themeColor="background1"/>
                <w:szCs w:val="20"/>
              </w:rPr>
              <w:t>Timeframe</w:t>
            </w:r>
          </w:p>
        </w:tc>
      </w:tr>
      <w:tr w:rsidR="00453B8F" w:rsidRPr="00A85D75" w14:paraId="3DD4F00F" w14:textId="77777777" w:rsidTr="003203E6">
        <w:trPr>
          <w:cantSplit/>
          <w:trHeight w:val="238"/>
        </w:trPr>
        <w:tc>
          <w:tcPr>
            <w:tcW w:w="5949" w:type="dxa"/>
            <w:tcBorders>
              <w:top w:val="single" w:sz="4" w:space="0" w:color="auto"/>
              <w:left w:val="single" w:sz="4" w:space="0" w:color="auto"/>
              <w:right w:val="single" w:sz="4" w:space="0" w:color="auto"/>
            </w:tcBorders>
          </w:tcPr>
          <w:p w14:paraId="13C78BEF" w14:textId="13F3CDE5" w:rsidR="00453B8F" w:rsidDel="00A52588" w:rsidRDefault="00453B8F" w:rsidP="00453B8F">
            <w:pPr>
              <w:pStyle w:val="Bulletlevel1"/>
              <w:keepNext/>
              <w:keepLines/>
              <w:numPr>
                <w:ilvl w:val="0"/>
                <w:numId w:val="0"/>
              </w:numPr>
              <w:ind w:left="82"/>
            </w:pPr>
            <w:r>
              <w:rPr>
                <w:szCs w:val="20"/>
              </w:rPr>
              <w:t xml:space="preserve">Consult on updates to </w:t>
            </w:r>
            <w:hyperlink r:id="rId59" w:history="1">
              <w:r w:rsidRPr="00F86B1D">
                <w:rPr>
                  <w:rStyle w:val="Hyperlink"/>
                  <w:szCs w:val="20"/>
                </w:rPr>
                <w:t>RALI FX3</w:t>
              </w:r>
            </w:hyperlink>
            <w:r>
              <w:rPr>
                <w:szCs w:val="20"/>
              </w:rPr>
              <w:t xml:space="preserve"> to reflect planning decisions</w:t>
            </w:r>
          </w:p>
        </w:tc>
        <w:tc>
          <w:tcPr>
            <w:tcW w:w="1651" w:type="dxa"/>
            <w:tcBorders>
              <w:top w:val="single" w:sz="4" w:space="0" w:color="auto"/>
              <w:left w:val="single" w:sz="4" w:space="0" w:color="auto"/>
              <w:right w:val="single" w:sz="4" w:space="0" w:color="auto"/>
            </w:tcBorders>
          </w:tcPr>
          <w:p w14:paraId="695004CC" w14:textId="4369DAE4" w:rsidR="00453B8F" w:rsidRDefault="00453B8F" w:rsidP="00453B8F">
            <w:pPr>
              <w:spacing w:after="0"/>
              <w:ind w:firstLine="82"/>
              <w:rPr>
                <w:rFonts w:cs="Arial"/>
                <w:szCs w:val="20"/>
              </w:rPr>
            </w:pPr>
            <w:r>
              <w:rPr>
                <w:rFonts w:cs="Arial"/>
                <w:szCs w:val="20"/>
              </w:rPr>
              <w:t>Q2 2024</w:t>
            </w:r>
          </w:p>
        </w:tc>
      </w:tr>
      <w:tr w:rsidR="00453B8F" w:rsidRPr="00A85D75" w14:paraId="684DDC67" w14:textId="77777777" w:rsidTr="003203E6">
        <w:trPr>
          <w:cantSplit/>
          <w:trHeight w:val="238"/>
        </w:trPr>
        <w:tc>
          <w:tcPr>
            <w:tcW w:w="5949" w:type="dxa"/>
            <w:tcBorders>
              <w:top w:val="single" w:sz="4" w:space="0" w:color="auto"/>
              <w:left w:val="single" w:sz="4" w:space="0" w:color="auto"/>
              <w:right w:val="single" w:sz="4" w:space="0" w:color="auto"/>
            </w:tcBorders>
          </w:tcPr>
          <w:p w14:paraId="0E3EB267" w14:textId="57EEAA39" w:rsidR="00453B8F" w:rsidRPr="00A85D75" w:rsidRDefault="00453B8F" w:rsidP="00453B8F">
            <w:pPr>
              <w:pStyle w:val="Bulletlevel1"/>
              <w:keepNext/>
              <w:keepLines/>
              <w:numPr>
                <w:ilvl w:val="0"/>
                <w:numId w:val="0"/>
              </w:numPr>
              <w:ind w:left="82"/>
              <w:rPr>
                <w:szCs w:val="20"/>
              </w:rPr>
            </w:pPr>
            <w:r>
              <w:t xml:space="preserve">Consult on </w:t>
            </w:r>
            <w:r w:rsidR="00F23E3E">
              <w:t>a remake of</w:t>
            </w:r>
            <w:r>
              <w:t xml:space="preserve"> the </w:t>
            </w:r>
            <w:bookmarkStart w:id="100" w:name="_Hlk148680396"/>
            <w:r w:rsidR="00E173A9" w:rsidRPr="00E35486">
              <w:fldChar w:fldCharType="begin"/>
            </w:r>
            <w:r w:rsidR="00E173A9" w:rsidRPr="000175F6">
              <w:instrText>HYPERLINK "https://www.legislation.gov.au/Details/F2021C00645"</w:instrText>
            </w:r>
            <w:r w:rsidR="00E173A9" w:rsidRPr="00E35486">
              <w:fldChar w:fldCharType="separate"/>
            </w:r>
            <w:r w:rsidRPr="00E35486">
              <w:rPr>
                <w:rStyle w:val="Hyperlink"/>
              </w:rPr>
              <w:t>Radiocommunications (Cordless Communications Devices) Class Licence 2014</w:t>
            </w:r>
            <w:r w:rsidR="00E173A9" w:rsidRPr="00E35486">
              <w:rPr>
                <w:rStyle w:val="Hyperlink"/>
              </w:rPr>
              <w:fldChar w:fldCharType="end"/>
            </w:r>
            <w:r w:rsidRPr="000175F6">
              <w:t xml:space="preserve"> </w:t>
            </w:r>
            <w:r>
              <w:t>to reflect planning decisions</w:t>
            </w:r>
            <w:r w:rsidR="00F23E3E">
              <w:t xml:space="preserve"> and account for sunsetting of the instrument</w:t>
            </w:r>
            <w:bookmarkEnd w:id="100"/>
          </w:p>
        </w:tc>
        <w:tc>
          <w:tcPr>
            <w:tcW w:w="1651" w:type="dxa"/>
            <w:tcBorders>
              <w:top w:val="single" w:sz="4" w:space="0" w:color="auto"/>
              <w:left w:val="single" w:sz="4" w:space="0" w:color="auto"/>
              <w:right w:val="single" w:sz="4" w:space="0" w:color="auto"/>
            </w:tcBorders>
          </w:tcPr>
          <w:p w14:paraId="164ECE52" w14:textId="1D74E57C" w:rsidR="00453B8F" w:rsidRPr="00A85D75" w:rsidRDefault="00453B8F" w:rsidP="00453B8F">
            <w:pPr>
              <w:spacing w:after="0"/>
              <w:ind w:firstLine="82"/>
              <w:rPr>
                <w:rFonts w:cs="Arial"/>
                <w:szCs w:val="20"/>
              </w:rPr>
            </w:pPr>
            <w:r>
              <w:rPr>
                <w:rFonts w:cs="Arial"/>
                <w:szCs w:val="20"/>
              </w:rPr>
              <w:t>Q</w:t>
            </w:r>
            <w:r w:rsidR="008714A0">
              <w:rPr>
                <w:rFonts w:cs="Arial"/>
                <w:szCs w:val="20"/>
              </w:rPr>
              <w:t>2</w:t>
            </w:r>
            <w:r>
              <w:rPr>
                <w:rFonts w:cs="Arial"/>
                <w:szCs w:val="20"/>
              </w:rPr>
              <w:t xml:space="preserve"> 2024</w:t>
            </w:r>
          </w:p>
        </w:tc>
      </w:tr>
      <w:tr w:rsidR="00453B8F" w:rsidRPr="00A85D75" w14:paraId="363B79D5" w14:textId="77777777" w:rsidTr="003203E6">
        <w:tblPrEx>
          <w:tblCellMar>
            <w:left w:w="108" w:type="dxa"/>
            <w:right w:w="108" w:type="dxa"/>
          </w:tblCellMar>
        </w:tblPrEx>
        <w:trPr>
          <w:cantSplit/>
          <w:trHeight w:val="138"/>
        </w:trPr>
        <w:tc>
          <w:tcPr>
            <w:tcW w:w="5949" w:type="dxa"/>
          </w:tcPr>
          <w:p w14:paraId="5D98964C" w14:textId="04396F52" w:rsidR="00453B8F" w:rsidRDefault="00C870EE" w:rsidP="003B05ED">
            <w:pPr>
              <w:pStyle w:val="Bulletlevel1"/>
              <w:numPr>
                <w:ilvl w:val="0"/>
                <w:numId w:val="0"/>
              </w:numPr>
              <w:ind w:left="295" w:hanging="295"/>
            </w:pPr>
            <w:r>
              <w:t xml:space="preserve">Commence development </w:t>
            </w:r>
            <w:r w:rsidR="00453B8F">
              <w:t xml:space="preserve">of draft technical framework for: </w:t>
            </w:r>
          </w:p>
          <w:p w14:paraId="7723C745" w14:textId="4911AFA6" w:rsidR="00453B8F" w:rsidRPr="00E21BF9" w:rsidRDefault="00453B8F" w:rsidP="003B05ED">
            <w:pPr>
              <w:pStyle w:val="Bulletlevel2"/>
              <w:tabs>
                <w:tab w:val="clear" w:pos="845"/>
              </w:tabs>
              <w:ind w:left="589" w:hanging="288"/>
            </w:pPr>
            <w:r w:rsidRPr="00453B8F">
              <w:t>RMR in the 1900</w:t>
            </w:r>
            <w:r w:rsidR="000175F6" w:rsidRPr="00144395">
              <w:t>−</w:t>
            </w:r>
            <w:r w:rsidRPr="00453B8F">
              <w:t>1910 MHz band</w:t>
            </w:r>
          </w:p>
          <w:p w14:paraId="1823A3A9" w14:textId="78ED6052" w:rsidR="00453B8F" w:rsidRPr="00453B8F" w:rsidRDefault="00453B8F" w:rsidP="003B05ED">
            <w:pPr>
              <w:pStyle w:val="Bulletlevel2"/>
              <w:tabs>
                <w:tab w:val="clear" w:pos="845"/>
              </w:tabs>
              <w:ind w:left="589" w:hanging="288"/>
            </w:pPr>
            <w:r>
              <w:rPr>
                <w:szCs w:val="20"/>
              </w:rPr>
              <w:t>indoor SR WBB in the 1900</w:t>
            </w:r>
            <w:r w:rsidR="000175F6" w:rsidRPr="00144395">
              <w:t>−</w:t>
            </w:r>
            <w:r>
              <w:rPr>
                <w:szCs w:val="20"/>
              </w:rPr>
              <w:t>1920 MHz band</w:t>
            </w:r>
          </w:p>
          <w:p w14:paraId="5E615CD2" w14:textId="71C4D092" w:rsidR="00453B8F" w:rsidRPr="00EF0E7B" w:rsidRDefault="00453B8F" w:rsidP="003B05ED">
            <w:pPr>
              <w:pStyle w:val="Bulletlevel1"/>
              <w:numPr>
                <w:ilvl w:val="0"/>
                <w:numId w:val="0"/>
              </w:numPr>
              <w:ind w:left="295" w:hanging="295"/>
              <w:rPr>
                <w:szCs w:val="20"/>
              </w:rPr>
            </w:pPr>
            <w:r>
              <w:rPr>
                <w:szCs w:val="20"/>
              </w:rPr>
              <w:t xml:space="preserve">Update </w:t>
            </w:r>
            <w:hyperlink r:id="rId60" w:history="1">
              <w:r w:rsidRPr="00F86B1D">
                <w:rPr>
                  <w:rStyle w:val="Hyperlink"/>
                  <w:szCs w:val="20"/>
                </w:rPr>
                <w:t>RALI FX</w:t>
              </w:r>
            </w:hyperlink>
            <w:r>
              <w:rPr>
                <w:rStyle w:val="Hyperlink"/>
                <w:szCs w:val="20"/>
              </w:rPr>
              <w:t>19</w:t>
            </w:r>
            <w:r>
              <w:rPr>
                <w:szCs w:val="20"/>
              </w:rPr>
              <w:t xml:space="preserve"> to reflect planning decisions</w:t>
            </w:r>
          </w:p>
        </w:tc>
        <w:tc>
          <w:tcPr>
            <w:tcW w:w="1651" w:type="dxa"/>
          </w:tcPr>
          <w:p w14:paraId="323855AC" w14:textId="04C1FE1F" w:rsidR="00453B8F" w:rsidRPr="00A85D75" w:rsidRDefault="00453B8F" w:rsidP="00453B8F">
            <w:pPr>
              <w:spacing w:after="0"/>
              <w:ind w:firstLine="37"/>
              <w:rPr>
                <w:rFonts w:cs="Arial"/>
                <w:szCs w:val="20"/>
              </w:rPr>
            </w:pPr>
            <w:r>
              <w:rPr>
                <w:rFonts w:cs="Arial"/>
                <w:szCs w:val="20"/>
              </w:rPr>
              <w:t>Q4 2024</w:t>
            </w:r>
          </w:p>
        </w:tc>
      </w:tr>
      <w:tr w:rsidR="00453B8F" w:rsidRPr="00A85D75" w14:paraId="71B78943" w14:textId="77777777" w:rsidTr="003203E6">
        <w:tblPrEx>
          <w:tblCellMar>
            <w:left w:w="108" w:type="dxa"/>
            <w:right w:w="108" w:type="dxa"/>
          </w:tblCellMar>
        </w:tblPrEx>
        <w:trPr>
          <w:cantSplit/>
          <w:trHeight w:val="252"/>
        </w:trPr>
        <w:tc>
          <w:tcPr>
            <w:tcW w:w="5949" w:type="dxa"/>
          </w:tcPr>
          <w:p w14:paraId="33BA4D9C" w14:textId="4B342D8D" w:rsidR="00453B8F" w:rsidRDefault="00453B8F" w:rsidP="00453B8F">
            <w:pPr>
              <w:pStyle w:val="Paragraph"/>
              <w:tabs>
                <w:tab w:val="left" w:pos="1020"/>
              </w:tabs>
              <w:spacing w:after="0"/>
              <w:rPr>
                <w:szCs w:val="20"/>
              </w:rPr>
            </w:pPr>
            <w:r>
              <w:rPr>
                <w:szCs w:val="20"/>
              </w:rPr>
              <w:t xml:space="preserve">Consult on licensing </w:t>
            </w:r>
            <w:r w:rsidR="00C870EE">
              <w:rPr>
                <w:szCs w:val="20"/>
              </w:rPr>
              <w:t xml:space="preserve">and allocation </w:t>
            </w:r>
            <w:r>
              <w:rPr>
                <w:szCs w:val="20"/>
              </w:rPr>
              <w:t>arrangements for RMR and SR WBB use in the 1900</w:t>
            </w:r>
            <w:r w:rsidR="000175F6" w:rsidRPr="00144395">
              <w:t>−</w:t>
            </w:r>
            <w:r>
              <w:rPr>
                <w:szCs w:val="20"/>
              </w:rPr>
              <w:t xml:space="preserve">1920 MHz band </w:t>
            </w:r>
          </w:p>
        </w:tc>
        <w:tc>
          <w:tcPr>
            <w:tcW w:w="1651" w:type="dxa"/>
          </w:tcPr>
          <w:p w14:paraId="0D402AD3" w14:textId="4537ADB4" w:rsidR="00453B8F" w:rsidRDefault="00C870EE" w:rsidP="00453B8F">
            <w:pPr>
              <w:spacing w:after="0"/>
              <w:ind w:firstLine="37"/>
              <w:rPr>
                <w:rFonts w:cs="Arial"/>
                <w:szCs w:val="20"/>
              </w:rPr>
            </w:pPr>
            <w:r>
              <w:rPr>
                <w:rFonts w:cs="Arial"/>
                <w:szCs w:val="20"/>
              </w:rPr>
              <w:t>TBD</w:t>
            </w:r>
          </w:p>
        </w:tc>
      </w:tr>
    </w:tbl>
    <w:p w14:paraId="58776CB0" w14:textId="60773067" w:rsidR="00D3744E" w:rsidRDefault="00D3744E">
      <w:pPr>
        <w:spacing w:after="0" w:line="240" w:lineRule="auto"/>
        <w:rPr>
          <w:rFonts w:cs="Arial"/>
        </w:rPr>
      </w:pPr>
    </w:p>
    <w:p w14:paraId="05316766" w14:textId="34B5ED4A" w:rsidR="00D3744E" w:rsidRDefault="00A77932" w:rsidP="00D3744E">
      <w:pPr>
        <w:pStyle w:val="Heading1"/>
      </w:pPr>
      <w:bookmarkStart w:id="101" w:name="_Toc150345675"/>
      <w:bookmarkStart w:id="102" w:name="_Toc348105641"/>
      <w:r>
        <w:lastRenderedPageBreak/>
        <w:t>Acronyms used in this paper</w:t>
      </w:r>
      <w:bookmarkEnd w:id="101"/>
    </w:p>
    <w:p w14:paraId="53586116" w14:textId="12F99E07" w:rsidR="00D3744E" w:rsidRDefault="00D3744E" w:rsidP="00D3744E">
      <w:pPr>
        <w:pStyle w:val="Paragraph"/>
      </w:pPr>
      <w:r w:rsidRPr="003B028D">
        <w:t>3GPP</w:t>
      </w:r>
      <w:r w:rsidRPr="003B028D">
        <w:tab/>
      </w:r>
      <w:r w:rsidRPr="003B028D">
        <w:tab/>
      </w:r>
      <w:r w:rsidRPr="003B028D">
        <w:tab/>
        <w:t xml:space="preserve">3rd Generation Partnership Project </w:t>
      </w:r>
    </w:p>
    <w:p w14:paraId="0D684068" w14:textId="210559E8" w:rsidR="00172DBD" w:rsidRDefault="00172DBD" w:rsidP="00D3744E">
      <w:pPr>
        <w:pStyle w:val="Paragraph"/>
      </w:pPr>
      <w:r>
        <w:t>AMTA</w:t>
      </w:r>
      <w:r>
        <w:tab/>
      </w:r>
      <w:r>
        <w:tab/>
      </w:r>
      <w:r>
        <w:tab/>
        <w:t>Australian Mobile Telecommunications Association</w:t>
      </w:r>
    </w:p>
    <w:p w14:paraId="360515D9" w14:textId="0105C577" w:rsidR="001B1B38" w:rsidRDefault="001B1B38" w:rsidP="00D3744E">
      <w:pPr>
        <w:pStyle w:val="Paragraph"/>
        <w:rPr>
          <w:rStyle w:val="normaltextrun"/>
          <w:szCs w:val="20"/>
        </w:rPr>
      </w:pPr>
      <w:r>
        <w:t>APT</w:t>
      </w:r>
      <w:r>
        <w:tab/>
      </w:r>
      <w:r>
        <w:tab/>
      </w:r>
      <w:r>
        <w:tab/>
      </w:r>
      <w:r>
        <w:rPr>
          <w:rStyle w:val="normaltextrun"/>
          <w:szCs w:val="20"/>
        </w:rPr>
        <w:t>Asia-Pacific Telecommunity</w:t>
      </w:r>
    </w:p>
    <w:p w14:paraId="55750F11" w14:textId="06BA6653" w:rsidR="00172DBD" w:rsidRDefault="00172DBD" w:rsidP="00D3744E">
      <w:pPr>
        <w:pStyle w:val="Paragraph"/>
        <w:rPr>
          <w:rStyle w:val="normaltextrun"/>
          <w:szCs w:val="20"/>
        </w:rPr>
      </w:pPr>
      <w:r>
        <w:rPr>
          <w:rStyle w:val="normaltextrun"/>
          <w:szCs w:val="20"/>
        </w:rPr>
        <w:t>ARA</w:t>
      </w:r>
      <w:r>
        <w:rPr>
          <w:rStyle w:val="normaltextrun"/>
          <w:szCs w:val="20"/>
        </w:rPr>
        <w:tab/>
      </w:r>
      <w:r>
        <w:rPr>
          <w:rStyle w:val="normaltextrun"/>
          <w:szCs w:val="20"/>
        </w:rPr>
        <w:tab/>
      </w:r>
      <w:r>
        <w:rPr>
          <w:rStyle w:val="normaltextrun"/>
          <w:szCs w:val="20"/>
        </w:rPr>
        <w:tab/>
        <w:t>Australasian Railway Association</w:t>
      </w:r>
    </w:p>
    <w:p w14:paraId="67CDDEF7" w14:textId="7FA9F650" w:rsidR="00172DBD" w:rsidRPr="00172DBD" w:rsidRDefault="00172DBD" w:rsidP="00D3744E">
      <w:pPr>
        <w:pStyle w:val="Paragraph"/>
        <w:rPr>
          <w:szCs w:val="20"/>
        </w:rPr>
      </w:pPr>
      <w:r>
        <w:rPr>
          <w:rStyle w:val="normaltextrun"/>
          <w:szCs w:val="20"/>
        </w:rPr>
        <w:t>ARCIA</w:t>
      </w:r>
      <w:r>
        <w:rPr>
          <w:rStyle w:val="normaltextrun"/>
          <w:szCs w:val="20"/>
        </w:rPr>
        <w:tab/>
      </w:r>
      <w:r>
        <w:rPr>
          <w:rStyle w:val="normaltextrun"/>
          <w:szCs w:val="20"/>
        </w:rPr>
        <w:tab/>
        <w:t>Australian Radio Communications Industry Association</w:t>
      </w:r>
    </w:p>
    <w:p w14:paraId="3534DD1A" w14:textId="60F01575" w:rsidR="006615FB" w:rsidRDefault="006615FB" w:rsidP="00D3744E">
      <w:pPr>
        <w:pStyle w:val="Paragraph"/>
      </w:pPr>
      <w:r>
        <w:t>ASMG</w:t>
      </w:r>
      <w:r>
        <w:tab/>
      </w:r>
      <w:r>
        <w:tab/>
      </w:r>
      <w:r w:rsidRPr="00576242">
        <w:rPr>
          <w:szCs w:val="20"/>
        </w:rPr>
        <w:t>Australian Spectrum Map Grid</w:t>
      </w:r>
    </w:p>
    <w:p w14:paraId="213E8FD2" w14:textId="77777777" w:rsidR="00D3744E" w:rsidRPr="003B028D" w:rsidRDefault="00D3744E" w:rsidP="00D3744E">
      <w:pPr>
        <w:pStyle w:val="Paragraph"/>
      </w:pPr>
      <w:r w:rsidRPr="003B028D">
        <w:t>CEPT</w:t>
      </w:r>
      <w:r w:rsidRPr="003B028D">
        <w:tab/>
      </w:r>
      <w:r w:rsidRPr="003B028D">
        <w:tab/>
      </w:r>
      <w:r w:rsidRPr="003B028D">
        <w:tab/>
        <w:t xml:space="preserve">Conference of European Postal and Telecommunications </w:t>
      </w:r>
    </w:p>
    <w:p w14:paraId="78203E75" w14:textId="77777777" w:rsidR="00D3744E" w:rsidRPr="003B028D" w:rsidRDefault="00D3744E" w:rsidP="00D3744E">
      <w:pPr>
        <w:pStyle w:val="Paragraph"/>
      </w:pPr>
      <w:r w:rsidRPr="003B028D">
        <w:t>CTS</w:t>
      </w:r>
      <w:r w:rsidRPr="003B028D">
        <w:tab/>
      </w:r>
      <w:r w:rsidRPr="003B028D">
        <w:tab/>
      </w:r>
      <w:r w:rsidRPr="003B028D">
        <w:tab/>
        <w:t>Cordless telecommunications services</w:t>
      </w:r>
    </w:p>
    <w:p w14:paraId="0809002D" w14:textId="7F4BE8D4" w:rsidR="00D3744E" w:rsidRPr="00155D9A" w:rsidRDefault="00D3744E" w:rsidP="00D3744E">
      <w:pPr>
        <w:pStyle w:val="Paragraph"/>
      </w:pPr>
      <w:r w:rsidRPr="00155D9A">
        <w:t>DECT</w:t>
      </w:r>
      <w:r w:rsidRPr="00155D9A">
        <w:tab/>
      </w:r>
      <w:r w:rsidRPr="00155D9A">
        <w:tab/>
      </w:r>
      <w:r w:rsidRPr="00155D9A">
        <w:tab/>
      </w:r>
      <w:r w:rsidR="00BE501A">
        <w:t>D</w:t>
      </w:r>
      <w:r w:rsidRPr="00155D9A">
        <w:t xml:space="preserve">igital </w:t>
      </w:r>
      <w:r w:rsidR="00A40BCE">
        <w:t>E</w:t>
      </w:r>
      <w:r w:rsidRPr="00155D9A">
        <w:t xml:space="preserve">nhanced </w:t>
      </w:r>
      <w:r w:rsidR="00A40BCE">
        <w:t>C</w:t>
      </w:r>
      <w:r w:rsidRPr="00155D9A">
        <w:t xml:space="preserve">ordless </w:t>
      </w:r>
      <w:r w:rsidR="00A40BCE">
        <w:t>T</w:t>
      </w:r>
      <w:r w:rsidRPr="00155D9A">
        <w:t>elecommunications</w:t>
      </w:r>
    </w:p>
    <w:p w14:paraId="4443A215" w14:textId="77777777" w:rsidR="004D1C57" w:rsidRDefault="00D3744E" w:rsidP="00D3744E">
      <w:pPr>
        <w:pStyle w:val="Paragraph"/>
      </w:pPr>
      <w:r w:rsidRPr="00CD557C">
        <w:t>ECC</w:t>
      </w:r>
      <w:r w:rsidRPr="00CD557C">
        <w:tab/>
      </w:r>
      <w:r w:rsidRPr="00CD557C">
        <w:tab/>
      </w:r>
      <w:r w:rsidRPr="00CD557C">
        <w:tab/>
        <w:t>Electronic Communications Committee</w:t>
      </w:r>
    </w:p>
    <w:p w14:paraId="5C586097" w14:textId="1DDB1FD3" w:rsidR="00D3744E" w:rsidRDefault="004D1C57" w:rsidP="00D3744E">
      <w:pPr>
        <w:pStyle w:val="Paragraph"/>
      </w:pPr>
      <w:r>
        <w:t>ESL</w:t>
      </w:r>
      <w:r>
        <w:tab/>
      </w:r>
      <w:r>
        <w:tab/>
      </w:r>
      <w:r>
        <w:tab/>
        <w:t>Expiring Spectrum Licence</w:t>
      </w:r>
      <w:r w:rsidR="00D3744E" w:rsidRPr="00CD557C">
        <w:tab/>
      </w:r>
    </w:p>
    <w:p w14:paraId="36A75065" w14:textId="1B3E7C56" w:rsidR="00247CC1" w:rsidRPr="00CD557C" w:rsidRDefault="00247CC1" w:rsidP="00D3744E">
      <w:pPr>
        <w:pStyle w:val="Paragraph"/>
      </w:pPr>
      <w:r>
        <w:t>FDD</w:t>
      </w:r>
      <w:r>
        <w:tab/>
      </w:r>
      <w:r>
        <w:tab/>
      </w:r>
      <w:r>
        <w:tab/>
        <w:t>Frequency Division Duplex</w:t>
      </w:r>
    </w:p>
    <w:p w14:paraId="11B3A218" w14:textId="3F119D52" w:rsidR="00D3744E" w:rsidRPr="009D534A" w:rsidRDefault="00D3744E" w:rsidP="00D3744E">
      <w:pPr>
        <w:pStyle w:val="Paragraph"/>
      </w:pPr>
      <w:r w:rsidRPr="009D534A">
        <w:t>FR</w:t>
      </w:r>
      <w:r w:rsidR="007B1906">
        <w:t>M</w:t>
      </w:r>
      <w:r w:rsidRPr="009D534A">
        <w:t>CS</w:t>
      </w:r>
      <w:r w:rsidRPr="009D534A">
        <w:tab/>
      </w:r>
      <w:r w:rsidRPr="009D534A">
        <w:tab/>
        <w:t xml:space="preserve">Future </w:t>
      </w:r>
      <w:r w:rsidR="00A40BCE">
        <w:t>R</w:t>
      </w:r>
      <w:r w:rsidRPr="009D534A">
        <w:t xml:space="preserve">ailway </w:t>
      </w:r>
      <w:r w:rsidR="00A40BCE">
        <w:t>M</w:t>
      </w:r>
      <w:r w:rsidRPr="009D534A">
        <w:t xml:space="preserve">obile </w:t>
      </w:r>
      <w:r w:rsidR="00A40BCE">
        <w:t>C</w:t>
      </w:r>
      <w:r w:rsidRPr="009D534A">
        <w:t xml:space="preserve">ommunication </w:t>
      </w:r>
      <w:r w:rsidR="00A40BCE">
        <w:t>S</w:t>
      </w:r>
      <w:r w:rsidRPr="009D534A">
        <w:t xml:space="preserve">ystems </w:t>
      </w:r>
    </w:p>
    <w:p w14:paraId="335E2CF0" w14:textId="77777777" w:rsidR="00D3744E" w:rsidRPr="00DC69B8" w:rsidRDefault="00D3744E" w:rsidP="00D3744E">
      <w:pPr>
        <w:pStyle w:val="Paragraph"/>
      </w:pPr>
      <w:r w:rsidRPr="00DC69B8">
        <w:t>FYSO</w:t>
      </w:r>
      <w:r w:rsidRPr="00DC69B8">
        <w:tab/>
      </w:r>
      <w:r w:rsidRPr="00DC69B8">
        <w:tab/>
      </w:r>
      <w:r w:rsidRPr="00DC69B8">
        <w:tab/>
        <w:t>Five-year spectrum outlook</w:t>
      </w:r>
    </w:p>
    <w:p w14:paraId="478741F6" w14:textId="03E0C7D8" w:rsidR="00B537A2" w:rsidRDefault="00B537A2" w:rsidP="00D3744E">
      <w:pPr>
        <w:pStyle w:val="Paragraph"/>
      </w:pPr>
      <w:r w:rsidRPr="00B537A2">
        <w:t>GSM-R</w:t>
      </w:r>
      <w:r w:rsidRPr="00B537A2">
        <w:tab/>
      </w:r>
      <w:r w:rsidRPr="00B537A2">
        <w:tab/>
        <w:t xml:space="preserve">Global System for Mobile Communications </w:t>
      </w:r>
      <w:r w:rsidR="006615FB">
        <w:t>–</w:t>
      </w:r>
      <w:r w:rsidRPr="00B537A2">
        <w:t xml:space="preserve"> Railway</w:t>
      </w:r>
    </w:p>
    <w:p w14:paraId="7557B49A" w14:textId="032A4459" w:rsidR="006615FB" w:rsidRPr="00B537A2" w:rsidRDefault="006615FB" w:rsidP="00D3744E">
      <w:pPr>
        <w:pStyle w:val="Paragraph"/>
      </w:pPr>
      <w:r>
        <w:t>HCIS</w:t>
      </w:r>
      <w:r>
        <w:tab/>
      </w:r>
      <w:r>
        <w:tab/>
      </w:r>
      <w:r>
        <w:tab/>
      </w:r>
      <w:r w:rsidRPr="00576242">
        <w:rPr>
          <w:szCs w:val="20"/>
        </w:rPr>
        <w:t>Hierarchical Cell Identification Scheme</w:t>
      </w:r>
    </w:p>
    <w:p w14:paraId="6B02AE4A" w14:textId="77777777" w:rsidR="00D3744E" w:rsidRPr="001B1B38" w:rsidRDefault="00D3744E" w:rsidP="00D3744E">
      <w:pPr>
        <w:pStyle w:val="Paragraph"/>
      </w:pPr>
      <w:r w:rsidRPr="001B1B38">
        <w:t>IMT</w:t>
      </w:r>
      <w:r w:rsidRPr="001B1B38">
        <w:tab/>
      </w:r>
      <w:r w:rsidRPr="001B1B38">
        <w:tab/>
      </w:r>
      <w:r w:rsidRPr="001B1B38">
        <w:tab/>
        <w:t>International mobile telecommunications</w:t>
      </w:r>
    </w:p>
    <w:p w14:paraId="60E53CD3" w14:textId="77777777" w:rsidR="00D3744E" w:rsidRPr="001B1B38" w:rsidRDefault="00D3744E" w:rsidP="00D3744E">
      <w:pPr>
        <w:pStyle w:val="Paragraph"/>
      </w:pPr>
      <w:r w:rsidRPr="001B1B38">
        <w:t>IoT</w:t>
      </w:r>
      <w:r w:rsidRPr="001B1B38">
        <w:tab/>
      </w:r>
      <w:r w:rsidRPr="001B1B38">
        <w:tab/>
      </w:r>
      <w:r w:rsidRPr="001B1B38">
        <w:tab/>
        <w:t xml:space="preserve">Internet of Things </w:t>
      </w:r>
    </w:p>
    <w:p w14:paraId="2B874E9E" w14:textId="77777777" w:rsidR="00D3744E" w:rsidRPr="001B1B38" w:rsidRDefault="00D3744E" w:rsidP="00D3744E">
      <w:pPr>
        <w:pStyle w:val="Paragraph"/>
      </w:pPr>
      <w:r w:rsidRPr="001B1B38">
        <w:t>ITU</w:t>
      </w:r>
      <w:r w:rsidRPr="001B1B38">
        <w:tab/>
      </w:r>
      <w:r w:rsidRPr="001B1B38">
        <w:tab/>
      </w:r>
      <w:r w:rsidRPr="001B1B38">
        <w:tab/>
        <w:t>International Telecommunication Union</w:t>
      </w:r>
    </w:p>
    <w:p w14:paraId="238E28FF" w14:textId="77777777" w:rsidR="00D3744E" w:rsidRPr="00E94487" w:rsidRDefault="00D3744E" w:rsidP="00D3744E">
      <w:pPr>
        <w:pStyle w:val="Paragraph"/>
      </w:pPr>
      <w:r w:rsidRPr="00E94487">
        <w:t>LA</w:t>
      </w:r>
      <w:r w:rsidRPr="00E94487">
        <w:tab/>
      </w:r>
      <w:r w:rsidRPr="00E94487">
        <w:tab/>
      </w:r>
      <w:r w:rsidRPr="00E94487">
        <w:tab/>
      </w:r>
      <w:r w:rsidRPr="00E94487">
        <w:tab/>
        <w:t>Local area</w:t>
      </w:r>
    </w:p>
    <w:p w14:paraId="417D1F31" w14:textId="1C057FAA" w:rsidR="00D3744E" w:rsidRDefault="00D3744E" w:rsidP="00D3744E">
      <w:pPr>
        <w:pStyle w:val="Paragraph"/>
      </w:pPr>
      <w:r w:rsidRPr="00B02AB0">
        <w:t>LTE</w:t>
      </w:r>
      <w:r w:rsidRPr="00B02AB0">
        <w:tab/>
      </w:r>
      <w:r w:rsidRPr="00B02AB0">
        <w:tab/>
      </w:r>
      <w:r w:rsidRPr="00B02AB0">
        <w:tab/>
        <w:t>Long term evolution</w:t>
      </w:r>
    </w:p>
    <w:p w14:paraId="19FF61D8" w14:textId="4F230C45" w:rsidR="008206C9" w:rsidRDefault="008206C9" w:rsidP="00D3744E">
      <w:pPr>
        <w:pStyle w:val="Paragraph"/>
      </w:pPr>
      <w:r>
        <w:t>MCX</w:t>
      </w:r>
      <w:r>
        <w:tab/>
      </w:r>
      <w:r>
        <w:tab/>
      </w:r>
      <w:r>
        <w:tab/>
        <w:t>Mission-critical services</w:t>
      </w:r>
    </w:p>
    <w:p w14:paraId="4F9DEBF4" w14:textId="290ABD1B" w:rsidR="008206C9" w:rsidRPr="00B02AB0" w:rsidRDefault="00247CC1" w:rsidP="00D3744E">
      <w:pPr>
        <w:pStyle w:val="Paragraph"/>
      </w:pPr>
      <w:r>
        <w:t>MFCN</w:t>
      </w:r>
      <w:r>
        <w:tab/>
      </w:r>
      <w:r>
        <w:tab/>
        <w:t>Mobile and Fixed Communications Networks</w:t>
      </w:r>
      <w:r w:rsidR="008206C9">
        <w:tab/>
      </w:r>
      <w:r w:rsidR="008206C9">
        <w:tab/>
      </w:r>
      <w:r w:rsidR="008206C9">
        <w:tab/>
      </w:r>
    </w:p>
    <w:p w14:paraId="2BECD7B8" w14:textId="45221DF5" w:rsidR="00D3744E" w:rsidRDefault="00D3744E" w:rsidP="00D3744E">
      <w:pPr>
        <w:pStyle w:val="Paragraph"/>
      </w:pPr>
      <w:r w:rsidRPr="009826E5">
        <w:t>NR</w:t>
      </w:r>
      <w:r w:rsidRPr="009826E5">
        <w:tab/>
      </w:r>
      <w:r w:rsidRPr="009826E5">
        <w:tab/>
      </w:r>
      <w:r w:rsidRPr="009826E5">
        <w:tab/>
        <w:t>New radio</w:t>
      </w:r>
    </w:p>
    <w:p w14:paraId="2594D0D1" w14:textId="5A0A078F" w:rsidR="00A763AE" w:rsidRPr="004C35AB" w:rsidRDefault="00A763AE" w:rsidP="00A763AE">
      <w:pPr>
        <w:pStyle w:val="Paragraph"/>
      </w:pPr>
      <w:r>
        <w:t>ONRSR</w:t>
      </w:r>
      <w:r>
        <w:tab/>
      </w:r>
      <w:r>
        <w:tab/>
        <w:t>Office of the National Rail Safety Regulator</w:t>
      </w:r>
    </w:p>
    <w:p w14:paraId="7801907B" w14:textId="77777777" w:rsidR="00D3744E" w:rsidRPr="00D144A2" w:rsidRDefault="00D3744E" w:rsidP="00D3744E">
      <w:pPr>
        <w:pStyle w:val="Paragraph"/>
      </w:pPr>
      <w:r w:rsidRPr="00D144A2">
        <w:t>PHS</w:t>
      </w:r>
      <w:r w:rsidRPr="00D144A2">
        <w:tab/>
      </w:r>
      <w:r w:rsidRPr="00D144A2">
        <w:tab/>
      </w:r>
      <w:r w:rsidRPr="00D144A2">
        <w:tab/>
        <w:t>Personal handy phone system</w:t>
      </w:r>
    </w:p>
    <w:p w14:paraId="6F10C5B4" w14:textId="77A9C94D" w:rsidR="00D3744E" w:rsidRDefault="00D3744E" w:rsidP="00D3744E">
      <w:pPr>
        <w:pStyle w:val="Paragraph"/>
      </w:pPr>
      <w:r w:rsidRPr="00BB7BE3">
        <w:t>PMP</w:t>
      </w:r>
      <w:r w:rsidRPr="00BB7BE3">
        <w:tab/>
      </w:r>
      <w:r w:rsidRPr="00BB7BE3">
        <w:tab/>
      </w:r>
      <w:r w:rsidRPr="00BB7BE3">
        <w:tab/>
        <w:t>Point-to-multipoint</w:t>
      </w:r>
    </w:p>
    <w:p w14:paraId="2EFFC85E" w14:textId="3D390C97" w:rsidR="004660B0" w:rsidRDefault="004660B0" w:rsidP="004660B0">
      <w:r>
        <w:lastRenderedPageBreak/>
        <w:t>PSMB</w:t>
      </w:r>
      <w:r>
        <w:tab/>
      </w:r>
      <w:r>
        <w:tab/>
      </w:r>
      <w:r>
        <w:tab/>
        <w:t>Public Safety Mobile Broadband</w:t>
      </w:r>
    </w:p>
    <w:p w14:paraId="605CCA5C" w14:textId="77777777" w:rsidR="00FD5BF2" w:rsidRDefault="00FD5BF2" w:rsidP="00FD5BF2">
      <w:pPr>
        <w:pStyle w:val="Paragraph"/>
      </w:pPr>
      <w:r w:rsidRPr="00BB7BE3">
        <w:t>PTP</w:t>
      </w:r>
      <w:r w:rsidRPr="00BB7BE3">
        <w:tab/>
      </w:r>
      <w:r w:rsidRPr="00BB7BE3">
        <w:tab/>
      </w:r>
      <w:r w:rsidRPr="00BB7BE3">
        <w:tab/>
        <w:t>Point-to-point</w:t>
      </w:r>
    </w:p>
    <w:p w14:paraId="62CC076F" w14:textId="77777777" w:rsidR="00FD5BF2" w:rsidRPr="00BB7BE3" w:rsidRDefault="00FD5BF2" w:rsidP="00FD5BF2">
      <w:pPr>
        <w:pStyle w:val="Paragraph"/>
      </w:pPr>
      <w:r w:rsidRPr="008F1067">
        <w:t>PTS</w:t>
      </w:r>
      <w:r w:rsidRPr="008F1067">
        <w:tab/>
      </w:r>
      <w:r w:rsidRPr="008F1067">
        <w:tab/>
      </w:r>
      <w:r w:rsidRPr="008F1067">
        <w:tab/>
        <w:t>Public Telecommunications Service</w:t>
      </w:r>
    </w:p>
    <w:p w14:paraId="41AF80E1" w14:textId="1AC9C02C" w:rsidR="00F47D6C" w:rsidRDefault="00F47D6C" w:rsidP="004660B0">
      <w:r>
        <w:t>RALI</w:t>
      </w:r>
      <w:r>
        <w:tab/>
      </w:r>
      <w:r>
        <w:tab/>
      </w:r>
      <w:r>
        <w:tab/>
        <w:t>Radiocommunications Assignment and Licensing Instruction</w:t>
      </w:r>
    </w:p>
    <w:p w14:paraId="6FBBF3D7" w14:textId="3F299059" w:rsidR="00D3744E" w:rsidRDefault="00D3744E" w:rsidP="00D3744E">
      <w:pPr>
        <w:pStyle w:val="Paragraph"/>
      </w:pPr>
      <w:r w:rsidRPr="00BB7BE3">
        <w:t>RMR</w:t>
      </w:r>
      <w:r w:rsidRPr="00BB7BE3">
        <w:tab/>
      </w:r>
      <w:r w:rsidRPr="00BB7BE3">
        <w:tab/>
      </w:r>
      <w:r w:rsidRPr="00BB7BE3">
        <w:tab/>
        <w:t>Railway mobile radio</w:t>
      </w:r>
    </w:p>
    <w:p w14:paraId="3893869E" w14:textId="050899F7" w:rsidR="00BA12F1" w:rsidRDefault="00BA12F1" w:rsidP="00D3744E">
      <w:pPr>
        <w:pStyle w:val="Paragraph"/>
      </w:pPr>
      <w:r>
        <w:t>RRL</w:t>
      </w:r>
      <w:r>
        <w:tab/>
      </w:r>
      <w:r>
        <w:tab/>
      </w:r>
      <w:r>
        <w:tab/>
        <w:t>Register of Radiocommunications Licences</w:t>
      </w:r>
    </w:p>
    <w:p w14:paraId="18867259" w14:textId="47349DEC" w:rsidR="00D3744E" w:rsidRDefault="00D3744E" w:rsidP="00D3744E">
      <w:pPr>
        <w:pStyle w:val="Paragraph"/>
      </w:pPr>
      <w:r w:rsidRPr="00BB7BE3">
        <w:t>SR</w:t>
      </w:r>
      <w:r w:rsidRPr="00BB7BE3">
        <w:tab/>
      </w:r>
      <w:r w:rsidRPr="00BB7BE3">
        <w:tab/>
      </w:r>
      <w:r w:rsidRPr="00BB7BE3">
        <w:tab/>
      </w:r>
      <w:r w:rsidRPr="00BB7BE3">
        <w:tab/>
        <w:t>Short range</w:t>
      </w:r>
    </w:p>
    <w:p w14:paraId="489B46CB" w14:textId="046A5CA7" w:rsidR="00247CC1" w:rsidRDefault="00247CC1" w:rsidP="00D3744E">
      <w:pPr>
        <w:pStyle w:val="Paragraph"/>
      </w:pPr>
      <w:r>
        <w:t>TDD</w:t>
      </w:r>
      <w:r>
        <w:tab/>
      </w:r>
      <w:r>
        <w:tab/>
      </w:r>
      <w:r>
        <w:tab/>
        <w:t>Time Division Duplex</w:t>
      </w:r>
    </w:p>
    <w:p w14:paraId="7F712B3C" w14:textId="5F38191B" w:rsidR="009F4C9E" w:rsidRDefault="009F4C9E" w:rsidP="00D3744E">
      <w:pPr>
        <w:pStyle w:val="Paragraph"/>
      </w:pPr>
      <w:r>
        <w:t>TLG</w:t>
      </w:r>
      <w:r>
        <w:tab/>
      </w:r>
      <w:r>
        <w:tab/>
      </w:r>
      <w:r>
        <w:tab/>
        <w:t>Technical Liaison Group</w:t>
      </w:r>
    </w:p>
    <w:p w14:paraId="7CAA9689" w14:textId="1E1829A0" w:rsidR="002F7289" w:rsidRPr="00BB7BE3" w:rsidRDefault="002F7289" w:rsidP="00D3744E">
      <w:pPr>
        <w:pStyle w:val="Paragraph"/>
      </w:pPr>
      <w:r>
        <w:t>UE</w:t>
      </w:r>
      <w:r>
        <w:tab/>
      </w:r>
      <w:r>
        <w:tab/>
      </w:r>
      <w:r>
        <w:tab/>
      </w:r>
      <w:r>
        <w:tab/>
        <w:t>User equipment</w:t>
      </w:r>
    </w:p>
    <w:p w14:paraId="59A711BE" w14:textId="77777777" w:rsidR="00D3744E" w:rsidRPr="00BB7BE3" w:rsidRDefault="00D3744E" w:rsidP="00D3744E">
      <w:pPr>
        <w:pStyle w:val="Paragraph"/>
      </w:pPr>
      <w:r w:rsidRPr="00BB7BE3">
        <w:t>WBB</w:t>
      </w:r>
      <w:r w:rsidRPr="00BB7BE3">
        <w:tab/>
      </w:r>
      <w:r w:rsidRPr="00BB7BE3">
        <w:tab/>
      </w:r>
      <w:r w:rsidRPr="00BB7BE3">
        <w:tab/>
        <w:t>Wireless broadband</w:t>
      </w:r>
    </w:p>
    <w:p w14:paraId="3ED6D889" w14:textId="64FB5A80" w:rsidR="004210F1" w:rsidRPr="00D651B0" w:rsidRDefault="004210F1" w:rsidP="00D3744E">
      <w:pPr>
        <w:pStyle w:val="Paragraph"/>
      </w:pPr>
      <w:r w:rsidRPr="00D651B0">
        <w:t>WISP</w:t>
      </w:r>
      <w:r w:rsidRPr="00D651B0">
        <w:tab/>
      </w:r>
      <w:r w:rsidRPr="00D651B0">
        <w:tab/>
      </w:r>
      <w:r w:rsidRPr="00D651B0">
        <w:tab/>
        <w:t>Wireless Internet Service Provider</w:t>
      </w:r>
    </w:p>
    <w:p w14:paraId="7D6A8D91" w14:textId="77777777" w:rsidR="00D3744E" w:rsidRPr="00842BB4" w:rsidRDefault="00D3744E" w:rsidP="00D3744E"/>
    <w:p w14:paraId="7BC5E3C4" w14:textId="77777777" w:rsidR="00D3744E" w:rsidRPr="00BE29EE" w:rsidRDefault="00D3744E" w:rsidP="00D3744E">
      <w:pPr>
        <w:pStyle w:val="Heading1"/>
      </w:pPr>
      <w:bookmarkStart w:id="103" w:name="_Appendix_A:_Summary"/>
      <w:bookmarkStart w:id="104" w:name="_Appendix_A:_List"/>
      <w:bookmarkStart w:id="105" w:name="_Toc43214816"/>
      <w:bookmarkStart w:id="106" w:name="_Toc117870141"/>
      <w:bookmarkStart w:id="107" w:name="_Toc118785131"/>
      <w:bookmarkStart w:id="108" w:name="_Toc120600066"/>
      <w:bookmarkStart w:id="109" w:name="_Toc150345676"/>
      <w:bookmarkStart w:id="110" w:name="_Ref40264417"/>
      <w:bookmarkEnd w:id="103"/>
      <w:bookmarkEnd w:id="104"/>
      <w:r w:rsidRPr="00BE29EE">
        <w:lastRenderedPageBreak/>
        <w:t xml:space="preserve">Appendix A: </w:t>
      </w:r>
      <w:r>
        <w:t>List</w:t>
      </w:r>
      <w:r w:rsidRPr="00BE29EE">
        <w:t xml:space="preserve"> of </w:t>
      </w:r>
      <w:bookmarkEnd w:id="105"/>
      <w:r>
        <w:t>respondents</w:t>
      </w:r>
      <w:bookmarkEnd w:id="106"/>
      <w:bookmarkEnd w:id="107"/>
      <w:bookmarkEnd w:id="108"/>
      <w:bookmarkEnd w:id="109"/>
    </w:p>
    <w:bookmarkEnd w:id="102"/>
    <w:bookmarkEnd w:id="110"/>
    <w:p w14:paraId="71BFCC36" w14:textId="4A818133" w:rsidR="00D3744E" w:rsidRPr="00576242" w:rsidRDefault="00D3744E" w:rsidP="00440F79">
      <w:pPr>
        <w:pStyle w:val="Paragraphbeforelist"/>
      </w:pPr>
      <w:r>
        <w:t>We</w:t>
      </w:r>
      <w:r w:rsidRPr="00576242">
        <w:t xml:space="preserve"> </w:t>
      </w:r>
      <w:r w:rsidR="00B94C0D">
        <w:t>o</w:t>
      </w:r>
      <w:r>
        <w:t>pened the</w:t>
      </w:r>
      <w:r w:rsidRPr="00576242">
        <w:t xml:space="preserve"> consultation</w:t>
      </w:r>
      <w:r w:rsidR="004C628B">
        <w:t xml:space="preserve"> for our options paper,</w:t>
      </w:r>
      <w:r w:rsidRPr="00672020">
        <w:rPr>
          <w:i/>
          <w:iCs/>
        </w:rPr>
        <w:t xml:space="preserve"> </w:t>
      </w:r>
      <w:hyperlink r:id="rId61" w:history="1">
        <w:r w:rsidR="004C628B" w:rsidRPr="00672020">
          <w:rPr>
            <w:rStyle w:val="Hyperlink"/>
            <w:i/>
            <w:iCs/>
          </w:rPr>
          <w:t>Replanning of the 1880−1920 MHz band</w:t>
        </w:r>
      </w:hyperlink>
      <w:r w:rsidRPr="00576242">
        <w:t xml:space="preserve"> on </w:t>
      </w:r>
      <w:r w:rsidR="00104B0B">
        <w:t>30</w:t>
      </w:r>
      <w:r w:rsidRPr="00576242">
        <w:t> November 202</w:t>
      </w:r>
      <w:r w:rsidR="002D4408">
        <w:t>2</w:t>
      </w:r>
      <w:r w:rsidRPr="00576242">
        <w:t xml:space="preserve">. The consultation period </w:t>
      </w:r>
      <w:r>
        <w:t>form</w:t>
      </w:r>
      <w:r w:rsidR="009A5187">
        <w:t>ally</w:t>
      </w:r>
      <w:r>
        <w:t xml:space="preserve"> </w:t>
      </w:r>
      <w:r w:rsidRPr="00576242">
        <w:t>closed on 1</w:t>
      </w:r>
      <w:r w:rsidR="00104B0B">
        <w:t>7</w:t>
      </w:r>
      <w:r w:rsidRPr="00576242">
        <w:t xml:space="preserve"> </w:t>
      </w:r>
      <w:r w:rsidR="00104B0B">
        <w:t>March</w:t>
      </w:r>
      <w:r w:rsidRPr="00576242">
        <w:t xml:space="preserve"> 202</w:t>
      </w:r>
      <w:r w:rsidR="00104B0B">
        <w:t>3</w:t>
      </w:r>
      <w:r w:rsidRPr="00576242">
        <w:t>, with the last submission</w:t>
      </w:r>
      <w:r w:rsidR="00104B0B">
        <w:t>s</w:t>
      </w:r>
      <w:r w:rsidRPr="00576242">
        <w:t xml:space="preserve"> received on </w:t>
      </w:r>
      <w:r w:rsidR="00104B0B">
        <w:t>23</w:t>
      </w:r>
      <w:r w:rsidRPr="00576242">
        <w:t xml:space="preserve"> </w:t>
      </w:r>
      <w:r w:rsidR="00104B0B">
        <w:t>March</w:t>
      </w:r>
      <w:r w:rsidRPr="00576242">
        <w:t xml:space="preserve"> 2022. </w:t>
      </w:r>
      <w:r>
        <w:t xml:space="preserve">We received </w:t>
      </w:r>
      <w:r w:rsidR="00104B0B">
        <w:t>1</w:t>
      </w:r>
      <w:r w:rsidR="00CB7598">
        <w:t>1</w:t>
      </w:r>
      <w:r w:rsidRPr="00576242">
        <w:t xml:space="preserve"> </w:t>
      </w:r>
      <w:r w:rsidR="009A5187">
        <w:t xml:space="preserve">responses </w:t>
      </w:r>
      <w:r w:rsidRPr="00576242">
        <w:t>from the following stakeholders</w:t>
      </w:r>
      <w:r w:rsidR="00A763AE">
        <w:t>.</w:t>
      </w:r>
    </w:p>
    <w:p w14:paraId="5C61553A" w14:textId="2EF480CD" w:rsidR="000C2B7D" w:rsidRDefault="000C2B7D" w:rsidP="003671B6">
      <w:pPr>
        <w:pStyle w:val="ListBullet"/>
        <w:numPr>
          <w:ilvl w:val="0"/>
          <w:numId w:val="17"/>
        </w:numPr>
      </w:pPr>
      <w:r>
        <w:t>A</w:t>
      </w:r>
      <w:r w:rsidR="00A711DA">
        <w:t>qura</w:t>
      </w:r>
      <w:r>
        <w:t xml:space="preserve"> Technologies</w:t>
      </w:r>
    </w:p>
    <w:p w14:paraId="660A371D" w14:textId="0EBF4FB4" w:rsidR="00D3744E" w:rsidRDefault="00D3744E" w:rsidP="003671B6">
      <w:pPr>
        <w:pStyle w:val="ListBullet"/>
        <w:numPr>
          <w:ilvl w:val="0"/>
          <w:numId w:val="17"/>
        </w:numPr>
      </w:pPr>
      <w:r w:rsidRPr="004C35AB">
        <w:t>Australasian Railway Association</w:t>
      </w:r>
      <w:r>
        <w:t xml:space="preserve"> (ARA)</w:t>
      </w:r>
    </w:p>
    <w:p w14:paraId="7D57BAD1" w14:textId="6F932116" w:rsidR="006D3552" w:rsidRPr="004C35AB" w:rsidRDefault="00BB7BE3" w:rsidP="003671B6">
      <w:pPr>
        <w:pStyle w:val="ListBullet"/>
        <w:numPr>
          <w:ilvl w:val="0"/>
          <w:numId w:val="17"/>
        </w:numPr>
      </w:pPr>
      <w:r>
        <w:t xml:space="preserve">Australian Radio Communications Industry Association </w:t>
      </w:r>
      <w:r w:rsidR="006D3552">
        <w:t>(ARCIA)</w:t>
      </w:r>
    </w:p>
    <w:p w14:paraId="30F14B59" w14:textId="77777777" w:rsidR="00D3744E" w:rsidRPr="004C35AB" w:rsidRDefault="00D3744E" w:rsidP="003671B6">
      <w:pPr>
        <w:pStyle w:val="ListBullet"/>
        <w:numPr>
          <w:ilvl w:val="0"/>
          <w:numId w:val="17"/>
        </w:numPr>
      </w:pPr>
      <w:r w:rsidRPr="004C35AB">
        <w:t>Australian Mobile Telecommunications Association (AMTA)</w:t>
      </w:r>
    </w:p>
    <w:p w14:paraId="55CC7DAC" w14:textId="77777777" w:rsidR="00D3744E" w:rsidRPr="00CB7598" w:rsidRDefault="00D3744E" w:rsidP="003671B6">
      <w:pPr>
        <w:pStyle w:val="ListBullet"/>
        <w:numPr>
          <w:ilvl w:val="0"/>
          <w:numId w:val="17"/>
        </w:numPr>
      </w:pPr>
      <w:r w:rsidRPr="00CB7598">
        <w:t>DECT Forum</w:t>
      </w:r>
    </w:p>
    <w:p w14:paraId="4CD19122" w14:textId="77777777" w:rsidR="00D3744E" w:rsidRPr="00CB7598" w:rsidRDefault="00D3744E" w:rsidP="003671B6">
      <w:pPr>
        <w:pStyle w:val="ListBullet"/>
        <w:numPr>
          <w:ilvl w:val="0"/>
          <w:numId w:val="17"/>
        </w:numPr>
      </w:pPr>
      <w:r w:rsidRPr="00CB7598">
        <w:t>Nokia</w:t>
      </w:r>
    </w:p>
    <w:p w14:paraId="6CE44D9F" w14:textId="2A3FF699" w:rsidR="000C2B7D" w:rsidRDefault="000C2B7D" w:rsidP="003671B6">
      <w:pPr>
        <w:pStyle w:val="ListBullet"/>
        <w:numPr>
          <w:ilvl w:val="0"/>
          <w:numId w:val="17"/>
        </w:numPr>
      </w:pPr>
      <w:r>
        <w:t>Optus</w:t>
      </w:r>
    </w:p>
    <w:p w14:paraId="2FB5E2D2" w14:textId="399ACFAA" w:rsidR="00534BB3" w:rsidRDefault="00534BB3" w:rsidP="003671B6">
      <w:pPr>
        <w:pStyle w:val="ListBullet"/>
        <w:numPr>
          <w:ilvl w:val="0"/>
          <w:numId w:val="17"/>
        </w:numPr>
      </w:pPr>
      <w:r>
        <w:t>Shu</w:t>
      </w:r>
      <w:r w:rsidR="00BE01B4">
        <w:t>r</w:t>
      </w:r>
      <w:r>
        <w:t>e Incorporated</w:t>
      </w:r>
    </w:p>
    <w:p w14:paraId="3D6DDAF2" w14:textId="3603070F" w:rsidR="00534BB3" w:rsidRDefault="00534BB3" w:rsidP="003671B6">
      <w:pPr>
        <w:pStyle w:val="ListBullet"/>
        <w:numPr>
          <w:ilvl w:val="0"/>
          <w:numId w:val="17"/>
        </w:numPr>
      </w:pPr>
      <w:r>
        <w:t>Sydney Trains</w:t>
      </w:r>
    </w:p>
    <w:p w14:paraId="06A82CAB" w14:textId="293DA6FA" w:rsidR="00534BB3" w:rsidRPr="004C35AB" w:rsidRDefault="00534BB3" w:rsidP="003671B6">
      <w:pPr>
        <w:pStyle w:val="ListBullet"/>
        <w:numPr>
          <w:ilvl w:val="0"/>
          <w:numId w:val="17"/>
        </w:numPr>
      </w:pPr>
      <w:r>
        <w:t>Symb-iot-ech</w:t>
      </w:r>
    </w:p>
    <w:p w14:paraId="4E814546" w14:textId="3FB59555" w:rsidR="00D3744E" w:rsidRDefault="00D3744E" w:rsidP="003671B6">
      <w:pPr>
        <w:pStyle w:val="ListBullet"/>
        <w:numPr>
          <w:ilvl w:val="0"/>
          <w:numId w:val="17"/>
        </w:numPr>
        <w:spacing w:after="240"/>
        <w:ind w:left="357" w:hanging="357"/>
      </w:pPr>
      <w:r w:rsidRPr="004C35AB">
        <w:t xml:space="preserve">Telstra </w:t>
      </w:r>
      <w:r w:rsidR="001B15E1">
        <w:t>Group</w:t>
      </w:r>
      <w:r w:rsidRPr="004C35AB">
        <w:t xml:space="preserve"> Limited</w:t>
      </w:r>
    </w:p>
    <w:p w14:paraId="533A7042" w14:textId="7B19C2B6" w:rsidR="00030DEB" w:rsidRPr="00576242" w:rsidRDefault="00030DEB" w:rsidP="00440F79">
      <w:pPr>
        <w:pStyle w:val="Paragraphbeforelist"/>
      </w:pPr>
      <w:r>
        <w:t>We</w:t>
      </w:r>
      <w:r w:rsidRPr="00576242">
        <w:t xml:space="preserve"> </w:t>
      </w:r>
      <w:r>
        <w:t xml:space="preserve">opened </w:t>
      </w:r>
      <w:r w:rsidR="00A763AE">
        <w:t xml:space="preserve">a </w:t>
      </w:r>
      <w:r w:rsidR="004C628B">
        <w:t>‘</w:t>
      </w:r>
      <w:r w:rsidR="00A763AE">
        <w:t>reply to comment</w:t>
      </w:r>
      <w:r w:rsidR="004C628B">
        <w:t>’</w:t>
      </w:r>
      <w:r w:rsidR="00A763AE">
        <w:t xml:space="preserve"> period on the </w:t>
      </w:r>
      <w:r w:rsidR="009A5187">
        <w:t>responses</w:t>
      </w:r>
      <w:r w:rsidR="00A763AE">
        <w:t xml:space="preserve"> received to the</w:t>
      </w:r>
      <w:r w:rsidR="004C628B">
        <w:t xml:space="preserve"> options paper</w:t>
      </w:r>
      <w:r w:rsidR="00A763AE">
        <w:t xml:space="preserve"> </w:t>
      </w:r>
      <w:r w:rsidRPr="00576242">
        <w:t xml:space="preserve">on </w:t>
      </w:r>
      <w:r w:rsidR="00A763AE">
        <w:t>27 March 2023</w:t>
      </w:r>
      <w:r w:rsidRPr="00576242">
        <w:t>.</w:t>
      </w:r>
      <w:r w:rsidR="00A763AE">
        <w:t xml:space="preserve"> The reply</w:t>
      </w:r>
      <w:r w:rsidR="00A763AE" w:rsidDel="009A5187">
        <w:t xml:space="preserve"> </w:t>
      </w:r>
      <w:r w:rsidR="00A763AE">
        <w:t>period closed on 21 April 2023</w:t>
      </w:r>
      <w:r w:rsidRPr="00576242">
        <w:t xml:space="preserve">. </w:t>
      </w:r>
      <w:r>
        <w:t>We received</w:t>
      </w:r>
      <w:hyperlink r:id="rId62" w:history="1">
        <w:r w:rsidRPr="004C628B">
          <w:rPr>
            <w:rStyle w:val="Hyperlink"/>
          </w:rPr>
          <w:t xml:space="preserve"> </w:t>
        </w:r>
        <w:r w:rsidR="004C628B" w:rsidRPr="004C628B">
          <w:rPr>
            <w:rStyle w:val="Hyperlink"/>
          </w:rPr>
          <w:t xml:space="preserve">5 </w:t>
        </w:r>
        <w:r w:rsidR="009A5187" w:rsidRPr="004C628B">
          <w:rPr>
            <w:rStyle w:val="Hyperlink"/>
          </w:rPr>
          <w:t>replies</w:t>
        </w:r>
      </w:hyperlink>
      <w:r w:rsidRPr="00576242" w:rsidDel="009A5187">
        <w:t xml:space="preserve"> </w:t>
      </w:r>
      <w:r w:rsidRPr="00576242">
        <w:t>from the following stakeholders.</w:t>
      </w:r>
    </w:p>
    <w:p w14:paraId="5F93A0A7" w14:textId="77777777" w:rsidR="00030DEB" w:rsidRDefault="00030DEB" w:rsidP="003671B6">
      <w:pPr>
        <w:pStyle w:val="ListBullet"/>
        <w:numPr>
          <w:ilvl w:val="0"/>
          <w:numId w:val="18"/>
        </w:numPr>
      </w:pPr>
      <w:r w:rsidRPr="004C35AB">
        <w:t>Australasian Railway Association</w:t>
      </w:r>
      <w:r>
        <w:t xml:space="preserve"> (ARA)</w:t>
      </w:r>
    </w:p>
    <w:p w14:paraId="1ABF97A1" w14:textId="77777777" w:rsidR="00030DEB" w:rsidRPr="004C35AB" w:rsidRDefault="00030DEB" w:rsidP="003671B6">
      <w:pPr>
        <w:pStyle w:val="ListBullet"/>
        <w:numPr>
          <w:ilvl w:val="0"/>
          <w:numId w:val="18"/>
        </w:numPr>
      </w:pPr>
      <w:r>
        <w:t>Australian Radio Communications Industry Association (ARCIA)</w:t>
      </w:r>
    </w:p>
    <w:p w14:paraId="4328C777" w14:textId="720F64B0" w:rsidR="00030DEB" w:rsidRDefault="00A763AE" w:rsidP="003671B6">
      <w:pPr>
        <w:pStyle w:val="ListBullet"/>
        <w:numPr>
          <w:ilvl w:val="0"/>
          <w:numId w:val="18"/>
        </w:numPr>
      </w:pPr>
      <w:r>
        <w:t>NSW Telco Authority</w:t>
      </w:r>
    </w:p>
    <w:p w14:paraId="53969964" w14:textId="538A0641" w:rsidR="00A763AE" w:rsidRPr="004C35AB" w:rsidRDefault="00A763AE" w:rsidP="003671B6">
      <w:pPr>
        <w:pStyle w:val="ListBullet"/>
        <w:numPr>
          <w:ilvl w:val="0"/>
          <w:numId w:val="18"/>
        </w:numPr>
      </w:pPr>
      <w:r>
        <w:t>Office of the National Rail Safety Regulator (ONRSR)</w:t>
      </w:r>
    </w:p>
    <w:p w14:paraId="521F10F7" w14:textId="19E1654F" w:rsidR="002743A8" w:rsidRDefault="00A763AE" w:rsidP="00440F79">
      <w:pPr>
        <w:pStyle w:val="ListBullet"/>
        <w:numPr>
          <w:ilvl w:val="0"/>
          <w:numId w:val="18"/>
        </w:numPr>
        <w:rPr>
          <w:rStyle w:val="Hyperlink"/>
          <w:rFonts w:cs="Arial"/>
          <w:color w:val="auto"/>
          <w:u w:val="none"/>
        </w:rPr>
      </w:pPr>
      <w:r>
        <w:t>Victorian Government Department of Transport and Planning (Victorian Government)</w:t>
      </w:r>
    </w:p>
    <w:p w14:paraId="6F2357BC" w14:textId="77777777" w:rsidR="00AF56BD" w:rsidRDefault="00AF56BD" w:rsidP="00CD3918">
      <w:pPr>
        <w:pStyle w:val="Heading1"/>
        <w:sectPr w:rsidR="00AF56BD" w:rsidSect="00C77380">
          <w:headerReference w:type="even" r:id="rId63"/>
          <w:headerReference w:type="default" r:id="rId64"/>
          <w:footerReference w:type="even" r:id="rId65"/>
          <w:footerReference w:type="default" r:id="rId66"/>
          <w:pgSz w:w="11906" w:h="16838" w:code="9"/>
          <w:pgMar w:top="1945" w:right="3101" w:bottom="1134" w:left="1134" w:header="709" w:footer="119" w:gutter="0"/>
          <w:pgNumType w:start="1"/>
          <w:cols w:space="708"/>
          <w:docGrid w:linePitch="360"/>
        </w:sectPr>
      </w:pPr>
    </w:p>
    <w:p w14:paraId="6206C08F" w14:textId="3BF0BCA0" w:rsidR="00BA12F1" w:rsidRDefault="00BA12F1" w:rsidP="00BA12F1">
      <w:pPr>
        <w:pStyle w:val="Heading1"/>
      </w:pPr>
      <w:bookmarkStart w:id="111" w:name="_Toc150345677"/>
      <w:r w:rsidRPr="00BE29EE">
        <w:lastRenderedPageBreak/>
        <w:t xml:space="preserve">Appendix </w:t>
      </w:r>
      <w:r w:rsidR="00A55C27">
        <w:t>B</w:t>
      </w:r>
      <w:r w:rsidRPr="00BE29EE">
        <w:t xml:space="preserve">: </w:t>
      </w:r>
      <w:r w:rsidR="003E38B9">
        <w:t>Geographical a</w:t>
      </w:r>
      <w:r>
        <w:t xml:space="preserve">rea </w:t>
      </w:r>
      <w:r w:rsidR="003E38B9">
        <w:t>d</w:t>
      </w:r>
      <w:r>
        <w:t>e</w:t>
      </w:r>
      <w:r w:rsidR="003E38B9">
        <w:t>scriptions</w:t>
      </w:r>
      <w:bookmarkEnd w:id="111"/>
    </w:p>
    <w:p w14:paraId="2CB5FB7D" w14:textId="28CB01FC" w:rsidR="009B3879" w:rsidRPr="00576242" w:rsidRDefault="009B3879" w:rsidP="009B3879">
      <w:pPr>
        <w:pStyle w:val="Paragraphbeforelist"/>
      </w:pPr>
      <w:r>
        <w:t xml:space="preserve">We have </w:t>
      </w:r>
      <w:r w:rsidRPr="00576242">
        <w:t>defined geographical areas to assist in the analysis of use of</w:t>
      </w:r>
      <w:r w:rsidR="004C628B">
        <w:t xml:space="preserve">, </w:t>
      </w:r>
      <w:r w:rsidRPr="00576242">
        <w:t>and potential future use scenarios for</w:t>
      </w:r>
      <w:r w:rsidR="004C628B">
        <w:t xml:space="preserve">, </w:t>
      </w:r>
      <w:r w:rsidRPr="00576242">
        <w:t>the 1880</w:t>
      </w:r>
      <w:r>
        <w:t>–</w:t>
      </w:r>
      <w:r w:rsidRPr="00576242">
        <w:t>1920 MHz band</w:t>
      </w:r>
      <w:r>
        <w:t xml:space="preserve"> (see Table </w:t>
      </w:r>
      <w:r w:rsidR="00A55C27">
        <w:t>2</w:t>
      </w:r>
      <w:r>
        <w:t>)</w:t>
      </w:r>
      <w:r w:rsidRPr="00576242">
        <w:t>. A brief description of each follows:</w:t>
      </w:r>
    </w:p>
    <w:p w14:paraId="5C7DBFE7" w14:textId="73388965" w:rsidR="009B3879" w:rsidRPr="00576242" w:rsidRDefault="004C628B" w:rsidP="009B3879">
      <w:pPr>
        <w:pStyle w:val="ListBullet"/>
        <w:rPr>
          <w:rFonts w:cs="Arial"/>
          <w:szCs w:val="20"/>
        </w:rPr>
      </w:pPr>
      <w:r>
        <w:rPr>
          <w:rFonts w:cs="Arial"/>
          <w:szCs w:val="20"/>
        </w:rPr>
        <w:t>m</w:t>
      </w:r>
      <w:r w:rsidR="009B3879" w:rsidRPr="00576242">
        <w:rPr>
          <w:rFonts w:cs="Arial"/>
          <w:szCs w:val="20"/>
        </w:rPr>
        <w:t>etropolitan</w:t>
      </w:r>
      <w:r w:rsidR="009B3879">
        <w:rPr>
          <w:rFonts w:cs="Arial"/>
          <w:szCs w:val="20"/>
        </w:rPr>
        <w:t xml:space="preserve">: </w:t>
      </w:r>
      <w:r w:rsidR="009B3879" w:rsidRPr="00576242">
        <w:rPr>
          <w:rFonts w:cs="Arial"/>
          <w:szCs w:val="20"/>
        </w:rPr>
        <w:t>covers all capital cities (except Darwin and Hobart)</w:t>
      </w:r>
    </w:p>
    <w:p w14:paraId="5F37E46C" w14:textId="59D40548" w:rsidR="009B3879" w:rsidRPr="00576242" w:rsidRDefault="004C628B" w:rsidP="009B3879">
      <w:pPr>
        <w:pStyle w:val="ListBullet"/>
        <w:rPr>
          <w:rFonts w:cs="Arial"/>
          <w:szCs w:val="20"/>
        </w:rPr>
      </w:pPr>
      <w:r>
        <w:rPr>
          <w:rFonts w:cs="Arial"/>
          <w:szCs w:val="20"/>
        </w:rPr>
        <w:t>r</w:t>
      </w:r>
      <w:r w:rsidR="009B3879" w:rsidRPr="00576242">
        <w:rPr>
          <w:rFonts w:cs="Arial"/>
          <w:szCs w:val="20"/>
        </w:rPr>
        <w:t>egional</w:t>
      </w:r>
      <w:r w:rsidR="009B3879">
        <w:rPr>
          <w:rFonts w:cs="Arial"/>
          <w:szCs w:val="20"/>
        </w:rPr>
        <w:t>:</w:t>
      </w:r>
      <w:r w:rsidR="009B3879" w:rsidRPr="00576242">
        <w:rPr>
          <w:rFonts w:cs="Arial"/>
          <w:szCs w:val="20"/>
        </w:rPr>
        <w:t xml:space="preserve"> as defined in HCIS description of areas</w:t>
      </w:r>
    </w:p>
    <w:p w14:paraId="7E42E576" w14:textId="7A27D13B" w:rsidR="009B3879" w:rsidRPr="00576242" w:rsidRDefault="004C628B" w:rsidP="009B3879">
      <w:pPr>
        <w:pStyle w:val="ListBullet"/>
        <w:rPr>
          <w:rFonts w:cs="Arial"/>
          <w:szCs w:val="20"/>
        </w:rPr>
      </w:pPr>
      <w:r>
        <w:rPr>
          <w:rFonts w:cs="Arial"/>
          <w:szCs w:val="20"/>
        </w:rPr>
        <w:t>r</w:t>
      </w:r>
      <w:r w:rsidR="009B3879" w:rsidRPr="00576242">
        <w:rPr>
          <w:rFonts w:cs="Arial"/>
          <w:szCs w:val="20"/>
        </w:rPr>
        <w:t>emote</w:t>
      </w:r>
      <w:r w:rsidR="009B3879">
        <w:rPr>
          <w:rFonts w:cs="Arial"/>
          <w:szCs w:val="20"/>
        </w:rPr>
        <w:t xml:space="preserve">: </w:t>
      </w:r>
      <w:r w:rsidR="009B3879" w:rsidRPr="00576242">
        <w:rPr>
          <w:rFonts w:cs="Arial"/>
          <w:szCs w:val="20"/>
        </w:rPr>
        <w:t xml:space="preserve">includes those areas of Australia not covered by metropolitan and </w:t>
      </w:r>
      <w:r w:rsidR="009B3879">
        <w:rPr>
          <w:rFonts w:cs="Arial"/>
          <w:szCs w:val="20"/>
        </w:rPr>
        <w:t>r</w:t>
      </w:r>
      <w:r w:rsidR="009B3879" w:rsidRPr="00576242">
        <w:rPr>
          <w:rFonts w:cs="Arial"/>
          <w:szCs w:val="20"/>
        </w:rPr>
        <w:t>egional areas</w:t>
      </w:r>
    </w:p>
    <w:p w14:paraId="6769E516" w14:textId="587C78CB" w:rsidR="009B3879" w:rsidRPr="00576242" w:rsidRDefault="009B3879" w:rsidP="009B3879">
      <w:pPr>
        <w:pStyle w:val="Bulletlevel1last"/>
        <w:keepLines/>
      </w:pPr>
      <w:r w:rsidRPr="00576242">
        <w:t>Australia-wide</w:t>
      </w:r>
      <w:r>
        <w:t xml:space="preserve">: </w:t>
      </w:r>
      <w:r w:rsidRPr="00576242">
        <w:t xml:space="preserve">covers </w:t>
      </w:r>
      <w:r w:rsidR="00D70ACA">
        <w:t>metropolitan, regional and remote areas</w:t>
      </w:r>
      <w:r w:rsidRPr="00576242">
        <w:t>.</w:t>
      </w:r>
    </w:p>
    <w:p w14:paraId="64867BB2" w14:textId="3CC275BD" w:rsidR="009B3879" w:rsidRPr="00576242" w:rsidRDefault="009B3879" w:rsidP="009B3879">
      <w:pPr>
        <w:rPr>
          <w:rFonts w:cs="Arial"/>
          <w:szCs w:val="20"/>
        </w:rPr>
      </w:pPr>
      <w:r w:rsidRPr="00576242">
        <w:rPr>
          <w:rFonts w:cs="Arial"/>
          <w:szCs w:val="20"/>
        </w:rPr>
        <w:t xml:space="preserve">The Australian Spectrum Map Grid (ASMG) is used to define geographical areas over which spectrum licences are issued. The Hierarchical Cell Identification Scheme (HCIS) is a naming convention developed by the ACMA that applies unique ‘names’ to each of the cells that make up the ASMG. The ASMG and HCIS are described in detail in the document </w:t>
      </w:r>
      <w:hyperlink r:id="rId67" w:history="1">
        <w:r w:rsidRPr="00576242">
          <w:rPr>
            <w:rStyle w:val="Hyperlink"/>
            <w:rFonts w:cs="Arial"/>
            <w:i/>
            <w:szCs w:val="20"/>
          </w:rPr>
          <w:t>The Australian spectrum map grid 2012</w:t>
        </w:r>
      </w:hyperlink>
      <w:r w:rsidRPr="00576242">
        <w:rPr>
          <w:rFonts w:cs="Arial"/>
          <w:szCs w:val="20"/>
        </w:rPr>
        <w:t>.</w:t>
      </w:r>
    </w:p>
    <w:p w14:paraId="16443B6D" w14:textId="77777777" w:rsidR="009B3879" w:rsidRPr="00576242" w:rsidRDefault="009B3879" w:rsidP="009B3879">
      <w:pPr>
        <w:rPr>
          <w:rStyle w:val="Hyperlink"/>
          <w:rFonts w:cs="Arial"/>
          <w:szCs w:val="20"/>
        </w:rPr>
      </w:pPr>
      <w:bookmarkStart w:id="112" w:name="_Hlk105062473"/>
      <w:r w:rsidRPr="00576242">
        <w:rPr>
          <w:rFonts w:cs="Arial"/>
          <w:szCs w:val="20"/>
        </w:rPr>
        <w:t xml:space="preserve">The HCIS coordinates </w:t>
      </w:r>
      <w:bookmarkEnd w:id="112"/>
      <w:r w:rsidRPr="00576242">
        <w:rPr>
          <w:rFonts w:cs="Arial"/>
          <w:szCs w:val="20"/>
        </w:rPr>
        <w:t xml:space="preserve">can be converted into a Placemark file (viewable in Google Earth) through a facility on the </w:t>
      </w:r>
      <w:hyperlink r:id="rId68" w:history="1">
        <w:r w:rsidRPr="00576242">
          <w:rPr>
            <w:rStyle w:val="Hyperlink"/>
            <w:rFonts w:cs="Arial"/>
            <w:i/>
            <w:iCs/>
            <w:szCs w:val="20"/>
          </w:rPr>
          <w:t>Convert HCIS area description to Placemark</w:t>
        </w:r>
      </w:hyperlink>
      <w:r w:rsidRPr="00576242">
        <w:rPr>
          <w:rFonts w:cs="Arial"/>
          <w:szCs w:val="20"/>
        </w:rPr>
        <w:t xml:space="preserve"> facility on the ACMA website.</w:t>
      </w:r>
    </w:p>
    <w:p w14:paraId="24DC7986" w14:textId="77777777" w:rsidR="009B3879" w:rsidRPr="003428AC" w:rsidRDefault="009B3879" w:rsidP="009B3879">
      <w:pPr>
        <w:pStyle w:val="Tableheading"/>
      </w:pPr>
      <w:r w:rsidRPr="003428AC">
        <w:t>HCIS description of areas</w:t>
      </w:r>
    </w:p>
    <w:tbl>
      <w:tblPr>
        <w:tblStyle w:val="TableGrid"/>
        <w:tblW w:w="9776" w:type="dxa"/>
        <w:tblLayout w:type="fixed"/>
        <w:tblCellMar>
          <w:top w:w="85" w:type="dxa"/>
          <w:left w:w="57" w:type="dxa"/>
          <w:bottom w:w="85" w:type="dxa"/>
          <w:right w:w="57" w:type="dxa"/>
        </w:tblCellMar>
        <w:tblLook w:val="04A0" w:firstRow="1" w:lastRow="0" w:firstColumn="1" w:lastColumn="0" w:noHBand="0" w:noVBand="1"/>
      </w:tblPr>
      <w:tblGrid>
        <w:gridCol w:w="1271"/>
        <w:gridCol w:w="1319"/>
        <w:gridCol w:w="7186"/>
      </w:tblGrid>
      <w:tr w:rsidR="009B3879" w:rsidRPr="003428AC" w14:paraId="57615E0B" w14:textId="77777777" w:rsidTr="004C628B">
        <w:trPr>
          <w:tblHeader/>
        </w:trPr>
        <w:tc>
          <w:tcPr>
            <w:tcW w:w="127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92ECF24" w14:textId="77777777" w:rsidR="009B3879" w:rsidRPr="003428AC" w:rsidRDefault="009B3879" w:rsidP="00440F79">
            <w:pPr>
              <w:pStyle w:val="Tableheaderrow"/>
            </w:pPr>
            <w:r w:rsidRPr="003428AC">
              <w:t>Area</w:t>
            </w:r>
          </w:p>
        </w:tc>
        <w:tc>
          <w:tcPr>
            <w:tcW w:w="1319"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3CD5A2A" w14:textId="77777777" w:rsidR="009B3879" w:rsidRPr="003428AC" w:rsidRDefault="009B3879" w:rsidP="00440F79">
            <w:pPr>
              <w:pStyle w:val="Tableheaderrow"/>
            </w:pPr>
            <w:r w:rsidRPr="003428AC">
              <w:t>Sub-area name</w:t>
            </w:r>
          </w:p>
        </w:tc>
        <w:tc>
          <w:tcPr>
            <w:tcW w:w="718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808DF0B" w14:textId="77777777" w:rsidR="009B3879" w:rsidRPr="003428AC" w:rsidRDefault="009B3879" w:rsidP="004C628B">
            <w:pPr>
              <w:pStyle w:val="Tableheaderrow"/>
            </w:pPr>
            <w:r w:rsidRPr="003428AC">
              <w:t>HCIS</w:t>
            </w:r>
          </w:p>
        </w:tc>
      </w:tr>
      <w:tr w:rsidR="009B3879" w:rsidRPr="003428AC" w14:paraId="51D7273B" w14:textId="77777777" w:rsidTr="004C628B">
        <w:tc>
          <w:tcPr>
            <w:tcW w:w="1271"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4D61BCEA" w14:textId="77777777" w:rsidR="009B3879" w:rsidRPr="003428AC" w:rsidRDefault="009B3879" w:rsidP="00A97343">
            <w:pPr>
              <w:pStyle w:val="TableBody"/>
              <w:rPr>
                <w:rFonts w:cs="Arial"/>
              </w:rPr>
            </w:pPr>
            <w:r w:rsidRPr="003428AC">
              <w:rPr>
                <w:rFonts w:cs="Arial"/>
              </w:rPr>
              <w:t>Metropolitan</w:t>
            </w:r>
          </w:p>
        </w:tc>
        <w:tc>
          <w:tcPr>
            <w:tcW w:w="1319" w:type="dxa"/>
            <w:tcBorders>
              <w:top w:val="single" w:sz="4" w:space="0" w:color="auto"/>
              <w:left w:val="single" w:sz="4" w:space="0" w:color="auto"/>
              <w:bottom w:val="single" w:sz="4" w:space="0" w:color="auto"/>
              <w:right w:val="single" w:sz="4" w:space="0" w:color="auto"/>
            </w:tcBorders>
            <w:hideMark/>
          </w:tcPr>
          <w:p w14:paraId="39992C95" w14:textId="77777777" w:rsidR="009B3879" w:rsidRPr="003428AC" w:rsidRDefault="009B3879" w:rsidP="00A97343">
            <w:pPr>
              <w:pStyle w:val="TableBody"/>
              <w:rPr>
                <w:rFonts w:cs="Arial"/>
              </w:rPr>
            </w:pPr>
            <w:r w:rsidRPr="003428AC">
              <w:rPr>
                <w:rFonts w:cs="Arial"/>
              </w:rPr>
              <w:t xml:space="preserve">Adelaide </w:t>
            </w:r>
          </w:p>
        </w:tc>
        <w:tc>
          <w:tcPr>
            <w:tcW w:w="7186" w:type="dxa"/>
            <w:tcBorders>
              <w:top w:val="single" w:sz="4" w:space="0" w:color="auto"/>
              <w:left w:val="single" w:sz="4" w:space="0" w:color="auto"/>
              <w:bottom w:val="single" w:sz="4" w:space="0" w:color="auto"/>
              <w:right w:val="single" w:sz="4" w:space="0" w:color="auto"/>
            </w:tcBorders>
            <w:vAlign w:val="center"/>
            <w:hideMark/>
          </w:tcPr>
          <w:p w14:paraId="3A2320B3" w14:textId="77777777" w:rsidR="00D1789F" w:rsidRDefault="009B3879" w:rsidP="00A97343">
            <w:pPr>
              <w:pStyle w:val="TableBody"/>
              <w:rPr>
                <w:rFonts w:cs="Arial"/>
              </w:rPr>
            </w:pPr>
            <w:r w:rsidRPr="003428AC">
              <w:rPr>
                <w:rFonts w:cs="Arial"/>
              </w:rPr>
              <w:t>IW3J,IW3K,IW3L,IW3N,IW3O,IW3P,IW6B,IW6C,IW6D,IW6F,IW6G,IW6H,</w:t>
            </w:r>
          </w:p>
          <w:p w14:paraId="14E95C98" w14:textId="77777777" w:rsidR="009F3C6B" w:rsidRDefault="009B3879" w:rsidP="00A97343">
            <w:pPr>
              <w:pStyle w:val="TableBody"/>
              <w:rPr>
                <w:rFonts w:cs="Arial"/>
              </w:rPr>
            </w:pPr>
            <w:r w:rsidRPr="003428AC">
              <w:rPr>
                <w:rFonts w:cs="Arial"/>
              </w:rPr>
              <w:t>IW3E5,IW3E6,IW3E8,IW3E9,IW3F4,IW3F5,IW3F6,IW3F7,IW3F8,IW3F9,</w:t>
            </w:r>
          </w:p>
          <w:p w14:paraId="3B92C91D" w14:textId="5FCB4A2C" w:rsidR="00D1789F" w:rsidRDefault="009B3879" w:rsidP="00A97343">
            <w:pPr>
              <w:pStyle w:val="TableBody"/>
              <w:rPr>
                <w:rFonts w:cs="Arial"/>
              </w:rPr>
            </w:pPr>
            <w:r w:rsidRPr="003428AC">
              <w:rPr>
                <w:rFonts w:cs="Arial"/>
              </w:rPr>
              <w:t>IW3G4,IW3G5,IW3G6,IW3G7,IW3G8,IW3G9,IW3H4,IW3H5,IW3H6,IW3H7,</w:t>
            </w:r>
          </w:p>
          <w:p w14:paraId="0A0640B5" w14:textId="77777777" w:rsidR="00D1789F" w:rsidRDefault="009B3879" w:rsidP="00A97343">
            <w:pPr>
              <w:pStyle w:val="TableBody"/>
              <w:rPr>
                <w:rFonts w:cs="Arial"/>
              </w:rPr>
            </w:pPr>
            <w:r w:rsidRPr="003428AC">
              <w:rPr>
                <w:rFonts w:cs="Arial"/>
              </w:rPr>
              <w:t>IW3H8,IW3H9,IW3I2,IW3I3,IW3I5,IW3I6,IW3I8,IW3I9,IW3M2,IW3M3,IW3M5,</w:t>
            </w:r>
          </w:p>
          <w:p w14:paraId="1893A580" w14:textId="77777777" w:rsidR="00D1789F" w:rsidRDefault="009B3879" w:rsidP="00A97343">
            <w:pPr>
              <w:pStyle w:val="TableBody"/>
              <w:rPr>
                <w:rFonts w:cs="Arial"/>
              </w:rPr>
            </w:pPr>
            <w:r w:rsidRPr="003428AC">
              <w:rPr>
                <w:rFonts w:cs="Arial"/>
              </w:rPr>
              <w:t>IW3M6,IW3M8,IW3M9,IW6A2,IW6A3,IW6A5,IW6A6,IW6A8,IW6A9,IW6E2,</w:t>
            </w:r>
          </w:p>
          <w:p w14:paraId="2DC7D289" w14:textId="77777777" w:rsidR="00D1789F" w:rsidRDefault="009B3879" w:rsidP="00A97343">
            <w:pPr>
              <w:pStyle w:val="TableBody"/>
              <w:rPr>
                <w:rFonts w:cs="Arial"/>
              </w:rPr>
            </w:pPr>
            <w:r w:rsidRPr="003428AC">
              <w:rPr>
                <w:rFonts w:cs="Arial"/>
              </w:rPr>
              <w:t>IW6E3,IW6E5,IW6E6,IW6E8,IW6E9,JW1E4,JW1E7,JW1I1,JW1I4,JW1I7,</w:t>
            </w:r>
          </w:p>
          <w:p w14:paraId="44502639" w14:textId="7A050618" w:rsidR="009B3879" w:rsidRPr="003428AC" w:rsidRDefault="009B3879" w:rsidP="00A97343">
            <w:pPr>
              <w:pStyle w:val="TableBody"/>
              <w:rPr>
                <w:rFonts w:cs="Arial"/>
              </w:rPr>
            </w:pPr>
            <w:r w:rsidRPr="003428AC">
              <w:rPr>
                <w:rFonts w:cs="Arial"/>
              </w:rPr>
              <w:t>JW1M1,JW1M4</w:t>
            </w:r>
          </w:p>
        </w:tc>
      </w:tr>
      <w:tr w:rsidR="009B3879" w:rsidRPr="003428AC" w14:paraId="54FBDE47" w14:textId="77777777" w:rsidTr="004C628B">
        <w:tc>
          <w:tcPr>
            <w:tcW w:w="1271" w:type="dxa"/>
            <w:vMerge/>
            <w:tcBorders>
              <w:top w:val="single" w:sz="4" w:space="0" w:color="auto"/>
              <w:left w:val="single" w:sz="4" w:space="0" w:color="auto"/>
              <w:bottom w:val="single" w:sz="4" w:space="0" w:color="auto"/>
              <w:right w:val="single" w:sz="4" w:space="0" w:color="auto"/>
            </w:tcBorders>
            <w:vAlign w:val="center"/>
            <w:hideMark/>
          </w:tcPr>
          <w:p w14:paraId="4608EA0F" w14:textId="77777777" w:rsidR="009B3879" w:rsidRPr="003428AC" w:rsidRDefault="009B3879" w:rsidP="00A97343">
            <w:pPr>
              <w:rPr>
                <w:rFonts w:cs="Arial"/>
              </w:rPr>
            </w:pPr>
          </w:p>
        </w:tc>
        <w:tc>
          <w:tcPr>
            <w:tcW w:w="1319" w:type="dxa"/>
            <w:tcBorders>
              <w:top w:val="single" w:sz="4" w:space="0" w:color="auto"/>
              <w:left w:val="single" w:sz="4" w:space="0" w:color="auto"/>
              <w:bottom w:val="single" w:sz="4" w:space="0" w:color="auto"/>
              <w:right w:val="single" w:sz="4" w:space="0" w:color="auto"/>
            </w:tcBorders>
            <w:hideMark/>
          </w:tcPr>
          <w:p w14:paraId="5F08234E" w14:textId="77777777" w:rsidR="009B3879" w:rsidRPr="003428AC" w:rsidRDefault="009B3879" w:rsidP="00A97343">
            <w:pPr>
              <w:pStyle w:val="TableBody"/>
              <w:rPr>
                <w:rFonts w:cs="Arial"/>
              </w:rPr>
            </w:pPr>
            <w:r w:rsidRPr="003428AC">
              <w:rPr>
                <w:rFonts w:cs="Arial"/>
              </w:rPr>
              <w:t xml:space="preserve">Brisbane </w:t>
            </w:r>
          </w:p>
        </w:tc>
        <w:tc>
          <w:tcPr>
            <w:tcW w:w="7186" w:type="dxa"/>
            <w:tcBorders>
              <w:top w:val="single" w:sz="4" w:space="0" w:color="auto"/>
              <w:left w:val="single" w:sz="4" w:space="0" w:color="auto"/>
              <w:bottom w:val="single" w:sz="4" w:space="0" w:color="auto"/>
              <w:right w:val="single" w:sz="4" w:space="0" w:color="auto"/>
            </w:tcBorders>
            <w:vAlign w:val="center"/>
            <w:hideMark/>
          </w:tcPr>
          <w:p w14:paraId="743E8490" w14:textId="77777777" w:rsidR="00D1789F" w:rsidRDefault="009B3879" w:rsidP="00A97343">
            <w:pPr>
              <w:pStyle w:val="TableBody"/>
              <w:rPr>
                <w:rFonts w:cs="Arial"/>
              </w:rPr>
            </w:pPr>
            <w:r w:rsidRPr="003428AC">
              <w:rPr>
                <w:rFonts w:cs="Arial"/>
              </w:rPr>
              <w:t>NT9,NT8C,NT8D,NT8G,NT8H,NT8K,NT8L,NT8O,NT8P,NU3A,NU3B,NU3C,</w:t>
            </w:r>
          </w:p>
          <w:p w14:paraId="79A2CD05" w14:textId="77777777" w:rsidR="00D1789F" w:rsidRDefault="009B3879" w:rsidP="00A97343">
            <w:pPr>
              <w:pStyle w:val="TableBody"/>
              <w:rPr>
                <w:rFonts w:cs="Arial"/>
              </w:rPr>
            </w:pPr>
            <w:r w:rsidRPr="003428AC">
              <w:rPr>
                <w:rFonts w:cs="Arial"/>
              </w:rPr>
              <w:t>NU3D,NU3F,NU3G,NU3H,NT5O4,NT5O5,NT5O6,NT5O7,NT5O8,NT5O9,</w:t>
            </w:r>
          </w:p>
          <w:p w14:paraId="4DAFDB7E" w14:textId="77777777" w:rsidR="00D1789F" w:rsidRDefault="009B3879" w:rsidP="00A97343">
            <w:pPr>
              <w:pStyle w:val="TableBody"/>
              <w:rPr>
                <w:rFonts w:cs="Arial"/>
              </w:rPr>
            </w:pPr>
            <w:r w:rsidRPr="003428AC">
              <w:rPr>
                <w:rFonts w:cs="Arial"/>
              </w:rPr>
              <w:t>NT5P4,NT5P5,NT5P6,NT5P7,NT5P8,NT5P9,NT6M4,NT6M5,NT6M6,NT6M7,</w:t>
            </w:r>
          </w:p>
          <w:p w14:paraId="76E0AE1C" w14:textId="77777777" w:rsidR="00D1789F" w:rsidRDefault="009B3879" w:rsidP="00A97343">
            <w:pPr>
              <w:pStyle w:val="TableBody"/>
              <w:rPr>
                <w:rFonts w:cs="Arial"/>
              </w:rPr>
            </w:pPr>
            <w:r w:rsidRPr="003428AC">
              <w:rPr>
                <w:rFonts w:cs="Arial"/>
              </w:rPr>
              <w:t>NT6M8,NT6M9,NT6N4,NT6N5,NT6N6,NT6N7,NT6N8,NT6N9,NT6O4,NT6O5,NT6O6,NT6O7,NT6O8,NT6O9,NT6P4,NT6P5,NT6P6,NT6P7,NT6P8,NT6P9,</w:t>
            </w:r>
          </w:p>
          <w:p w14:paraId="449F3A97" w14:textId="77777777" w:rsidR="009F3C6B" w:rsidRDefault="009B3879" w:rsidP="00A97343">
            <w:pPr>
              <w:pStyle w:val="TableBody"/>
              <w:rPr>
                <w:rFonts w:cs="Arial"/>
              </w:rPr>
            </w:pPr>
            <w:r w:rsidRPr="003428AC">
              <w:rPr>
                <w:rFonts w:cs="Arial"/>
              </w:rPr>
              <w:t>NU2C1,NU2C2,NU2C3,NU2D1,NU2D2,NU2D3,NU2D5,NU2D6,NU2D8,</w:t>
            </w:r>
          </w:p>
          <w:p w14:paraId="140CE1D1" w14:textId="1C31FC0D" w:rsidR="00D1789F" w:rsidRDefault="009B3879" w:rsidP="00A97343">
            <w:pPr>
              <w:pStyle w:val="TableBody"/>
              <w:rPr>
                <w:rFonts w:cs="Arial"/>
              </w:rPr>
            </w:pPr>
            <w:r w:rsidRPr="003428AC">
              <w:rPr>
                <w:rFonts w:cs="Arial"/>
              </w:rPr>
              <w:t>NU2D9,NU2H2,NU2H3,NU3E1,NU3E2,NU3E3,NU3E5,NU3E6,NU3E8,NU3E9,NU3I2,NU3I3,NU3J1,NU3J2,NU3J3,NU3K1,NU3K2,NU3K3,NU3L1,NU3L2,</w:t>
            </w:r>
          </w:p>
          <w:p w14:paraId="563F49B7" w14:textId="5DC61B29" w:rsidR="009B3879" w:rsidRPr="003428AC" w:rsidRDefault="009B3879" w:rsidP="00A97343">
            <w:pPr>
              <w:pStyle w:val="TableBody"/>
              <w:rPr>
                <w:rFonts w:cs="Arial"/>
              </w:rPr>
            </w:pPr>
            <w:r w:rsidRPr="003428AC">
              <w:rPr>
                <w:rFonts w:cs="Arial"/>
              </w:rPr>
              <w:t>NU3L3</w:t>
            </w:r>
          </w:p>
        </w:tc>
      </w:tr>
      <w:tr w:rsidR="009B3879" w:rsidRPr="003428AC" w14:paraId="20E82300" w14:textId="77777777" w:rsidTr="004C628B">
        <w:tc>
          <w:tcPr>
            <w:tcW w:w="1271" w:type="dxa"/>
            <w:vMerge/>
            <w:tcBorders>
              <w:top w:val="single" w:sz="4" w:space="0" w:color="auto"/>
              <w:left w:val="single" w:sz="4" w:space="0" w:color="auto"/>
              <w:bottom w:val="single" w:sz="4" w:space="0" w:color="auto"/>
              <w:right w:val="single" w:sz="4" w:space="0" w:color="auto"/>
            </w:tcBorders>
            <w:vAlign w:val="center"/>
            <w:hideMark/>
          </w:tcPr>
          <w:p w14:paraId="5D8B19BD" w14:textId="77777777" w:rsidR="009B3879" w:rsidRPr="003428AC" w:rsidRDefault="009B3879" w:rsidP="00A97343">
            <w:pPr>
              <w:rPr>
                <w:rFonts w:cs="Arial"/>
              </w:rPr>
            </w:pPr>
          </w:p>
        </w:tc>
        <w:tc>
          <w:tcPr>
            <w:tcW w:w="1319" w:type="dxa"/>
            <w:tcBorders>
              <w:top w:val="single" w:sz="4" w:space="0" w:color="auto"/>
              <w:left w:val="single" w:sz="4" w:space="0" w:color="auto"/>
              <w:bottom w:val="single" w:sz="4" w:space="0" w:color="auto"/>
              <w:right w:val="single" w:sz="4" w:space="0" w:color="auto"/>
            </w:tcBorders>
            <w:hideMark/>
          </w:tcPr>
          <w:p w14:paraId="3C676098" w14:textId="77777777" w:rsidR="009B3879" w:rsidRPr="003428AC" w:rsidRDefault="009B3879" w:rsidP="00A97343">
            <w:pPr>
              <w:pStyle w:val="TableBody"/>
              <w:rPr>
                <w:rFonts w:cs="Arial"/>
              </w:rPr>
            </w:pPr>
            <w:r w:rsidRPr="003428AC">
              <w:rPr>
                <w:rFonts w:cs="Arial"/>
              </w:rPr>
              <w:t>Canberra</w:t>
            </w:r>
          </w:p>
        </w:tc>
        <w:tc>
          <w:tcPr>
            <w:tcW w:w="7186" w:type="dxa"/>
            <w:tcBorders>
              <w:top w:val="single" w:sz="4" w:space="0" w:color="auto"/>
              <w:left w:val="single" w:sz="4" w:space="0" w:color="auto"/>
              <w:bottom w:val="single" w:sz="4" w:space="0" w:color="auto"/>
              <w:right w:val="single" w:sz="4" w:space="0" w:color="auto"/>
            </w:tcBorders>
            <w:vAlign w:val="bottom"/>
            <w:hideMark/>
          </w:tcPr>
          <w:p w14:paraId="4ABB5505" w14:textId="77777777" w:rsidR="00AD092C" w:rsidRDefault="009B3879" w:rsidP="00A97343">
            <w:pPr>
              <w:pStyle w:val="TableBody"/>
              <w:rPr>
                <w:rFonts w:cs="Arial"/>
              </w:rPr>
            </w:pPr>
            <w:r w:rsidRPr="003428AC">
              <w:rPr>
                <w:rFonts w:cs="Arial"/>
              </w:rPr>
              <w:t>MW4D,MW4H,MW4L,MW5A,MW5B,MW5E,MW5F,MW5I,MW5J,MW1P4,</w:t>
            </w:r>
          </w:p>
          <w:p w14:paraId="64F18780" w14:textId="199A2CF4" w:rsidR="009B3879" w:rsidRPr="003428AC" w:rsidRDefault="009B3879" w:rsidP="00A97343">
            <w:pPr>
              <w:pStyle w:val="TableBody"/>
              <w:rPr>
                <w:rFonts w:cs="Arial"/>
              </w:rPr>
            </w:pPr>
            <w:r w:rsidRPr="003428AC">
              <w:rPr>
                <w:rFonts w:cs="Arial"/>
              </w:rPr>
              <w:t>MW1P5,MW1P6,MW1P7,MW1P8,MW1P9,MW2M4,MW2M5,MW2M6,MW2M7,MW2M8,MW2M9,MW2N4,MW2N5,MW2N6,MW2N7,MW2N8,MW2N9,MW4P1,MW4P2,MW4P3,MW5M1,MW5M2,MW5M3,MW5N1,MW5N2,MW5N3</w:t>
            </w:r>
          </w:p>
        </w:tc>
      </w:tr>
      <w:tr w:rsidR="009B3879" w:rsidRPr="003428AC" w14:paraId="0543EDD9" w14:textId="77777777" w:rsidTr="004C628B">
        <w:trPr>
          <w:trHeight w:val="1772"/>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4938741" w14:textId="77777777" w:rsidR="009B3879" w:rsidRPr="003428AC" w:rsidRDefault="009B3879" w:rsidP="00A97343">
            <w:pPr>
              <w:rPr>
                <w:rFonts w:cs="Arial"/>
              </w:rPr>
            </w:pPr>
          </w:p>
        </w:tc>
        <w:tc>
          <w:tcPr>
            <w:tcW w:w="1319" w:type="dxa"/>
            <w:tcBorders>
              <w:top w:val="single" w:sz="4" w:space="0" w:color="auto"/>
              <w:left w:val="single" w:sz="4" w:space="0" w:color="auto"/>
              <w:bottom w:val="single" w:sz="4" w:space="0" w:color="auto"/>
              <w:right w:val="single" w:sz="4" w:space="0" w:color="auto"/>
            </w:tcBorders>
            <w:hideMark/>
          </w:tcPr>
          <w:p w14:paraId="2AB86A55" w14:textId="77777777" w:rsidR="009B3879" w:rsidRPr="003428AC" w:rsidRDefault="009B3879" w:rsidP="00A97343">
            <w:pPr>
              <w:pStyle w:val="TableBody"/>
              <w:rPr>
                <w:rFonts w:cs="Arial"/>
              </w:rPr>
            </w:pPr>
            <w:r w:rsidRPr="003428AC">
              <w:rPr>
                <w:rFonts w:cs="Arial"/>
              </w:rPr>
              <w:t xml:space="preserve">Melbourne </w:t>
            </w:r>
          </w:p>
        </w:tc>
        <w:tc>
          <w:tcPr>
            <w:tcW w:w="7186" w:type="dxa"/>
            <w:tcBorders>
              <w:top w:val="single" w:sz="4" w:space="0" w:color="auto"/>
              <w:left w:val="single" w:sz="4" w:space="0" w:color="auto"/>
              <w:bottom w:val="single" w:sz="4" w:space="0" w:color="auto"/>
              <w:right w:val="single" w:sz="4" w:space="0" w:color="auto"/>
            </w:tcBorders>
            <w:hideMark/>
          </w:tcPr>
          <w:p w14:paraId="37B41FD6" w14:textId="5D1097F7" w:rsidR="00B7464F" w:rsidRDefault="009B3879" w:rsidP="00A97343">
            <w:pPr>
              <w:pStyle w:val="TableBody"/>
              <w:rPr>
                <w:rFonts w:cs="Arial"/>
              </w:rPr>
            </w:pPr>
            <w:r w:rsidRPr="003428AC">
              <w:rPr>
                <w:rFonts w:cs="Arial"/>
              </w:rPr>
              <w:t>KX3J,KX3K,KX3L,KX3N,KX3O,KX3P,KX6A,KX6B,KX6C,KX6D,KX6E,KX6F,</w:t>
            </w:r>
          </w:p>
          <w:p w14:paraId="4CDAFDCE" w14:textId="09FEB9E8" w:rsidR="008A6E04" w:rsidRDefault="009B3879" w:rsidP="00B7464F">
            <w:pPr>
              <w:pStyle w:val="TableBody"/>
              <w:rPr>
                <w:rFonts w:cs="Arial"/>
              </w:rPr>
            </w:pPr>
            <w:r w:rsidRPr="003428AC">
              <w:rPr>
                <w:rFonts w:cs="Arial"/>
              </w:rPr>
              <w:t>KX6G,KX6H,KX6I,KX6J,KX6K,KX6L,LX1I,LX1M,LX1N,LX1O,LX4A,LX4B,</w:t>
            </w:r>
          </w:p>
          <w:p w14:paraId="6A197BA4" w14:textId="42EC0EA2" w:rsidR="00B7464F" w:rsidRDefault="009B3879" w:rsidP="00B7464F">
            <w:pPr>
              <w:pStyle w:val="TableBody"/>
              <w:rPr>
                <w:rFonts w:cs="Arial"/>
              </w:rPr>
            </w:pPr>
            <w:r w:rsidRPr="003428AC">
              <w:rPr>
                <w:rFonts w:cs="Arial"/>
              </w:rPr>
              <w:t>LX4C,LX4E,LX4I,KX3E9,KX3F5,KX3F6,KX3F7,KX3F8,KX3F9,KX3G1,KX3G2,KX3G4,KX3G5,KX3G6,KX3G7,KX3G8,KX3G9,KX3H4,KX3H5,KX3H6,KX3H7,KX3H8,KX3H9,KX3I3,KX3I6,KX3I8,KX3I9,KX3M2,KX3M3,KX3M4,KX3M5,</w:t>
            </w:r>
          </w:p>
          <w:p w14:paraId="6EE954E7" w14:textId="43947823" w:rsidR="00B7464F" w:rsidRDefault="009B3879" w:rsidP="00B7464F">
            <w:pPr>
              <w:pStyle w:val="TableBody"/>
              <w:rPr>
                <w:rFonts w:cs="Arial"/>
              </w:rPr>
            </w:pPr>
            <w:r w:rsidRPr="003428AC">
              <w:rPr>
                <w:rFonts w:cs="Arial"/>
              </w:rPr>
              <w:t>KX3M6,KX3M7,KX3M8,KX3M9,LX1E4,LX1E7,LX1E8,LX1E9,LX1J1,LX1J4,</w:t>
            </w:r>
          </w:p>
          <w:p w14:paraId="7FD40EAD" w14:textId="6DC64B89" w:rsidR="009B3879" w:rsidRPr="003428AC" w:rsidRDefault="009B3879" w:rsidP="00B7464F">
            <w:pPr>
              <w:pStyle w:val="TableBody"/>
              <w:rPr>
                <w:rFonts w:cs="Arial"/>
              </w:rPr>
            </w:pPr>
            <w:r w:rsidRPr="003428AC">
              <w:rPr>
                <w:rFonts w:cs="Arial"/>
              </w:rPr>
              <w:t>LX1J5,LX1J6,LX1J7,LX1J8,LX1J9,LX1K4,LX1K7,LX4F1,LX4F2,LX4F4,LX4F5,LX4F7,LX4F8,LX4J1,LX4J2,LX4J4,LX4J5,LX4J7,LX4J8</w:t>
            </w:r>
          </w:p>
        </w:tc>
      </w:tr>
      <w:tr w:rsidR="009B3879" w:rsidRPr="003428AC" w14:paraId="1666F1E3" w14:textId="77777777" w:rsidTr="004C628B">
        <w:tc>
          <w:tcPr>
            <w:tcW w:w="1271" w:type="dxa"/>
            <w:vMerge/>
            <w:tcBorders>
              <w:top w:val="single" w:sz="4" w:space="0" w:color="auto"/>
              <w:left w:val="single" w:sz="4" w:space="0" w:color="auto"/>
              <w:bottom w:val="single" w:sz="4" w:space="0" w:color="auto"/>
              <w:right w:val="single" w:sz="4" w:space="0" w:color="auto"/>
            </w:tcBorders>
            <w:vAlign w:val="center"/>
            <w:hideMark/>
          </w:tcPr>
          <w:p w14:paraId="1A085FFF" w14:textId="77777777" w:rsidR="009B3879" w:rsidRPr="003428AC" w:rsidRDefault="009B3879" w:rsidP="00A97343">
            <w:pPr>
              <w:rPr>
                <w:rFonts w:cs="Arial"/>
              </w:rPr>
            </w:pPr>
          </w:p>
        </w:tc>
        <w:tc>
          <w:tcPr>
            <w:tcW w:w="1319" w:type="dxa"/>
            <w:tcBorders>
              <w:top w:val="single" w:sz="4" w:space="0" w:color="auto"/>
              <w:left w:val="single" w:sz="4" w:space="0" w:color="auto"/>
              <w:bottom w:val="single" w:sz="4" w:space="0" w:color="auto"/>
              <w:right w:val="single" w:sz="4" w:space="0" w:color="auto"/>
            </w:tcBorders>
            <w:hideMark/>
          </w:tcPr>
          <w:p w14:paraId="4E577C06" w14:textId="77777777" w:rsidR="009B3879" w:rsidRPr="003428AC" w:rsidRDefault="009B3879" w:rsidP="00A97343">
            <w:pPr>
              <w:pStyle w:val="TableBody"/>
              <w:rPr>
                <w:rFonts w:cs="Arial"/>
              </w:rPr>
            </w:pPr>
            <w:r w:rsidRPr="003428AC">
              <w:rPr>
                <w:rFonts w:cs="Arial"/>
              </w:rPr>
              <w:t xml:space="preserve">Perth </w:t>
            </w:r>
          </w:p>
        </w:tc>
        <w:tc>
          <w:tcPr>
            <w:tcW w:w="7186" w:type="dxa"/>
            <w:tcBorders>
              <w:top w:val="single" w:sz="4" w:space="0" w:color="auto"/>
              <w:left w:val="single" w:sz="4" w:space="0" w:color="auto"/>
              <w:bottom w:val="single" w:sz="4" w:space="0" w:color="auto"/>
              <w:right w:val="single" w:sz="4" w:space="0" w:color="auto"/>
            </w:tcBorders>
            <w:vAlign w:val="center"/>
            <w:hideMark/>
          </w:tcPr>
          <w:p w14:paraId="4DC19DFC" w14:textId="77777777" w:rsidR="00B7464F" w:rsidRDefault="009B3879" w:rsidP="00A97343">
            <w:pPr>
              <w:pStyle w:val="TableBody"/>
              <w:rPr>
                <w:rFonts w:cs="Arial"/>
              </w:rPr>
            </w:pPr>
            <w:r w:rsidRPr="003428AC">
              <w:rPr>
                <w:rFonts w:cs="Arial"/>
              </w:rPr>
              <w:t>BV1I,BV1J,BV1K,BV1L,BV1M,BV1N,BV1O,BV1P,BV2I,BV2J,BV2M,BV2N,</w:t>
            </w:r>
          </w:p>
          <w:p w14:paraId="3E079DAF" w14:textId="7D9F1EED" w:rsidR="00B7464F" w:rsidRDefault="009B3879" w:rsidP="00A97343">
            <w:pPr>
              <w:pStyle w:val="TableBody"/>
              <w:rPr>
                <w:rFonts w:cs="Arial"/>
              </w:rPr>
            </w:pPr>
            <w:r w:rsidRPr="003428AC">
              <w:rPr>
                <w:rFonts w:cs="Arial"/>
              </w:rPr>
              <w:t>BV4A,BV4B,BV4C,BV4D,BV4E,BV4F,BV4G,BV4H,BV4I,BV4J,BV4K,BV4L,</w:t>
            </w:r>
          </w:p>
          <w:p w14:paraId="7F33023A" w14:textId="501ADE8C" w:rsidR="00B7464F" w:rsidRDefault="009B3879" w:rsidP="00A97343">
            <w:pPr>
              <w:pStyle w:val="TableBody"/>
              <w:rPr>
                <w:rFonts w:cs="Arial"/>
              </w:rPr>
            </w:pPr>
            <w:r w:rsidRPr="003428AC">
              <w:rPr>
                <w:rFonts w:cs="Arial"/>
              </w:rPr>
              <w:t>BV5A,BV5B,BV5E,BV5F,BV5I,BV5J,BV1E7,BV1E8,BV1E9,BV1F7,BV1F8,</w:t>
            </w:r>
          </w:p>
          <w:p w14:paraId="6D5DAF99" w14:textId="38553D78" w:rsidR="00B7464F" w:rsidRDefault="009B3879" w:rsidP="00A97343">
            <w:pPr>
              <w:pStyle w:val="TableBody"/>
              <w:rPr>
                <w:rFonts w:cs="Arial"/>
              </w:rPr>
            </w:pPr>
            <w:r w:rsidRPr="003428AC">
              <w:rPr>
                <w:rFonts w:cs="Arial"/>
              </w:rPr>
              <w:t>BV1F9,BV1G7,BV1G8,BV1G9,BV1H7,BV1H8,BV1H9,BV2E7,BV2E8,BV2E9,</w:t>
            </w:r>
          </w:p>
          <w:p w14:paraId="25D6E93C" w14:textId="054BC6A8" w:rsidR="00B7464F" w:rsidRDefault="009B3879" w:rsidP="00A97343">
            <w:pPr>
              <w:pStyle w:val="TableBody"/>
              <w:rPr>
                <w:rFonts w:cs="Arial"/>
              </w:rPr>
            </w:pPr>
            <w:r w:rsidRPr="003428AC">
              <w:rPr>
                <w:rFonts w:cs="Arial"/>
              </w:rPr>
              <w:t>BV2F7,BV2F8,BV2F9,BV4M1,BV4M2,BV4M3,BV4N1,BV4N2,BV4N3,BV4O1,</w:t>
            </w:r>
          </w:p>
          <w:p w14:paraId="0D3DC979" w14:textId="3F1094A1" w:rsidR="009B3879" w:rsidRPr="003428AC" w:rsidRDefault="009B3879" w:rsidP="00A97343">
            <w:pPr>
              <w:pStyle w:val="TableBody"/>
              <w:rPr>
                <w:rFonts w:cs="Arial"/>
              </w:rPr>
            </w:pPr>
            <w:r w:rsidRPr="003428AC">
              <w:rPr>
                <w:rFonts w:cs="Arial"/>
              </w:rPr>
              <w:t>BV4O2,BV4O3,BV4P1,BV4P2,BV4P3,BV5M1,BV5M2,BV5M3,BV5N1,BV5N2,BV5N3</w:t>
            </w:r>
          </w:p>
        </w:tc>
      </w:tr>
      <w:tr w:rsidR="009B3879" w:rsidRPr="003428AC" w14:paraId="54369ED0" w14:textId="77777777" w:rsidTr="004C628B">
        <w:tc>
          <w:tcPr>
            <w:tcW w:w="1271" w:type="dxa"/>
            <w:vMerge/>
            <w:tcBorders>
              <w:top w:val="single" w:sz="4" w:space="0" w:color="auto"/>
              <w:left w:val="single" w:sz="4" w:space="0" w:color="auto"/>
              <w:bottom w:val="single" w:sz="4" w:space="0" w:color="auto"/>
              <w:right w:val="single" w:sz="4" w:space="0" w:color="auto"/>
            </w:tcBorders>
            <w:vAlign w:val="center"/>
            <w:hideMark/>
          </w:tcPr>
          <w:p w14:paraId="065A5D85" w14:textId="77777777" w:rsidR="009B3879" w:rsidRPr="003428AC" w:rsidRDefault="009B3879" w:rsidP="00A97343">
            <w:pPr>
              <w:rPr>
                <w:rFonts w:cs="Arial"/>
              </w:rPr>
            </w:pPr>
          </w:p>
        </w:tc>
        <w:tc>
          <w:tcPr>
            <w:tcW w:w="1319" w:type="dxa"/>
            <w:tcBorders>
              <w:top w:val="single" w:sz="4" w:space="0" w:color="auto"/>
              <w:left w:val="single" w:sz="4" w:space="0" w:color="auto"/>
              <w:bottom w:val="single" w:sz="4" w:space="0" w:color="auto"/>
              <w:right w:val="single" w:sz="4" w:space="0" w:color="auto"/>
            </w:tcBorders>
            <w:hideMark/>
          </w:tcPr>
          <w:p w14:paraId="53C278CE" w14:textId="77777777" w:rsidR="009B3879" w:rsidRPr="003428AC" w:rsidRDefault="009B3879" w:rsidP="00A97343">
            <w:pPr>
              <w:pStyle w:val="TableBody"/>
              <w:rPr>
                <w:rFonts w:cs="Arial"/>
              </w:rPr>
            </w:pPr>
            <w:r w:rsidRPr="003428AC">
              <w:rPr>
                <w:rFonts w:cs="Arial"/>
              </w:rPr>
              <w:t xml:space="preserve">Sydney </w:t>
            </w:r>
          </w:p>
        </w:tc>
        <w:tc>
          <w:tcPr>
            <w:tcW w:w="7186" w:type="dxa"/>
            <w:tcBorders>
              <w:top w:val="single" w:sz="4" w:space="0" w:color="auto"/>
              <w:left w:val="single" w:sz="4" w:space="0" w:color="auto"/>
              <w:bottom w:val="single" w:sz="4" w:space="0" w:color="auto"/>
              <w:right w:val="single" w:sz="4" w:space="0" w:color="auto"/>
            </w:tcBorders>
            <w:vAlign w:val="center"/>
            <w:hideMark/>
          </w:tcPr>
          <w:p w14:paraId="4755A896" w14:textId="68EF7DC4" w:rsidR="00B7464F" w:rsidRDefault="009B3879" w:rsidP="00A97343">
            <w:pPr>
              <w:pStyle w:val="TableBody"/>
              <w:rPr>
                <w:rFonts w:cs="Arial"/>
              </w:rPr>
            </w:pPr>
            <w:r w:rsidRPr="003428AC">
              <w:rPr>
                <w:rFonts w:cs="Arial"/>
              </w:rPr>
              <w:t>MV9I,MV9J,MV9K,MV9L,MV9M,MV9N,MV9O,MV9P,MW3C,MW3D,MW3G,</w:t>
            </w:r>
          </w:p>
          <w:p w14:paraId="042A8100" w14:textId="469B7FAC" w:rsidR="00B7464F" w:rsidRDefault="009B3879" w:rsidP="00A97343">
            <w:pPr>
              <w:pStyle w:val="TableBody"/>
              <w:rPr>
                <w:rFonts w:cs="Arial"/>
              </w:rPr>
            </w:pPr>
            <w:r w:rsidRPr="003428AC">
              <w:rPr>
                <w:rFonts w:cs="Arial"/>
              </w:rPr>
              <w:t>MW3H,MW3K,MW3L,NV4N,NV4O,NV4P,NV5M,NV5N,NV5O,NV5P,NV7B,</w:t>
            </w:r>
          </w:p>
          <w:p w14:paraId="31F5552F" w14:textId="28862753" w:rsidR="00B7464F" w:rsidRDefault="009B3879" w:rsidP="00A97343">
            <w:pPr>
              <w:pStyle w:val="TableBody"/>
              <w:rPr>
                <w:rFonts w:cs="Arial"/>
              </w:rPr>
            </w:pPr>
            <w:r w:rsidRPr="003428AC">
              <w:rPr>
                <w:rFonts w:cs="Arial"/>
              </w:rPr>
              <w:t>NV7C,NV7D,NV7E,NV7F,NV7G,NV7H,NV7I,NV7J,NV7K,NV7L,NV7M,NV7N,</w:t>
            </w:r>
          </w:p>
          <w:p w14:paraId="026E9E13" w14:textId="2FEEA515" w:rsidR="00B7464F" w:rsidRDefault="009B3879" w:rsidP="00A97343">
            <w:pPr>
              <w:pStyle w:val="TableBody"/>
              <w:rPr>
                <w:rFonts w:cs="Arial"/>
              </w:rPr>
            </w:pPr>
            <w:r w:rsidRPr="003428AC">
              <w:rPr>
                <w:rFonts w:cs="Arial"/>
              </w:rPr>
              <w:t>NV7O,NV7P,NW1A,NW1B,NW1C,NW1D,NW1E,NW1F,NW1G,NW1H,NW1I,</w:t>
            </w:r>
          </w:p>
          <w:p w14:paraId="48A2A946" w14:textId="0FD8E3ED" w:rsidR="00B7464F" w:rsidRDefault="009B3879" w:rsidP="00A97343">
            <w:pPr>
              <w:pStyle w:val="TableBody"/>
              <w:rPr>
                <w:rFonts w:cs="Arial"/>
              </w:rPr>
            </w:pPr>
            <w:r w:rsidRPr="003428AC">
              <w:rPr>
                <w:rFonts w:cs="Arial"/>
              </w:rPr>
              <w:t>NW1J,NW1K,NW1L,MV9D6,MV9D9,MV9E4,MV9E5,MV9E6,MV9E7,MV9E8,</w:t>
            </w:r>
          </w:p>
          <w:p w14:paraId="45A0CF39" w14:textId="381AF2DF" w:rsidR="008A6E04" w:rsidRDefault="009B3879" w:rsidP="00A97343">
            <w:pPr>
              <w:pStyle w:val="TableBody"/>
              <w:rPr>
                <w:rFonts w:cs="Arial"/>
              </w:rPr>
            </w:pPr>
            <w:r w:rsidRPr="003428AC">
              <w:rPr>
                <w:rFonts w:cs="Arial"/>
              </w:rPr>
              <w:t>MV9E9,MV9F4,MV9F5,MV9F6,MV9F7,MV9F8,MV9F9,MV9G4,MV9G5,</w:t>
            </w:r>
          </w:p>
          <w:p w14:paraId="30B926E6" w14:textId="5EA39BE7" w:rsidR="00205F4A" w:rsidRDefault="009B3879" w:rsidP="00A97343">
            <w:pPr>
              <w:pStyle w:val="TableBody"/>
              <w:rPr>
                <w:rFonts w:cs="Arial"/>
              </w:rPr>
            </w:pPr>
            <w:r w:rsidRPr="003428AC">
              <w:rPr>
                <w:rFonts w:cs="Arial"/>
              </w:rPr>
              <w:t>MV9G6,MV9G7,MV9G8,MV9G9,MV9H3,MV9H4,MV9H5,MV9H6,MV9H7,</w:t>
            </w:r>
          </w:p>
          <w:p w14:paraId="72EF8652" w14:textId="77777777" w:rsidR="00205F4A" w:rsidRDefault="009B3879" w:rsidP="00205F4A">
            <w:pPr>
              <w:pStyle w:val="TableBody"/>
              <w:rPr>
                <w:rFonts w:cs="Arial"/>
              </w:rPr>
            </w:pPr>
            <w:r w:rsidRPr="003428AC">
              <w:rPr>
                <w:rFonts w:cs="Arial"/>
              </w:rPr>
              <w:t>MV9H8,MV9H9,MW3B2,MW3B3,MW3B5,MW3B6,MW3B8,MW3B9,MW3F2,</w:t>
            </w:r>
          </w:p>
          <w:p w14:paraId="12626D15" w14:textId="52EA3887" w:rsidR="00205F4A" w:rsidRDefault="009B3879" w:rsidP="00205F4A">
            <w:pPr>
              <w:pStyle w:val="TableBody"/>
              <w:rPr>
                <w:rFonts w:cs="Arial"/>
              </w:rPr>
            </w:pPr>
            <w:r w:rsidRPr="003428AC">
              <w:rPr>
                <w:rFonts w:cs="Arial"/>
              </w:rPr>
              <w:t>MW3F3,MW3F5,MW3F6,MW3F8,MW3F9,MW3J2,MW3J3,MW3O1,MW3O2,</w:t>
            </w:r>
          </w:p>
          <w:p w14:paraId="1554BB1D" w14:textId="3D2701E0" w:rsidR="00205F4A" w:rsidRDefault="009B3879" w:rsidP="00205F4A">
            <w:pPr>
              <w:pStyle w:val="TableBody"/>
              <w:rPr>
                <w:rFonts w:cs="Arial"/>
              </w:rPr>
            </w:pPr>
            <w:r w:rsidRPr="003428AC">
              <w:rPr>
                <w:rFonts w:cs="Arial"/>
              </w:rPr>
              <w:t>MW3O3,MW3P1,MW3P2,MW3P3,NV4I5,NV4I6,NV4I8,NV4I9,NV4J4,NV4J5,</w:t>
            </w:r>
          </w:p>
          <w:p w14:paraId="2F50F435" w14:textId="252E01EB" w:rsidR="00205F4A" w:rsidRDefault="009B3879" w:rsidP="00205F4A">
            <w:pPr>
              <w:pStyle w:val="TableBody"/>
              <w:rPr>
                <w:rFonts w:cs="Arial"/>
              </w:rPr>
            </w:pPr>
            <w:r w:rsidRPr="003428AC">
              <w:rPr>
                <w:rFonts w:cs="Arial"/>
              </w:rPr>
              <w:t>NV4J6,NV4J7,NV4J8,NV4J9,NV4K4,NV4K5,NV4K6,NV4K7,NV4K8,NV4K9,</w:t>
            </w:r>
          </w:p>
          <w:p w14:paraId="0DC40492" w14:textId="33FD4600" w:rsidR="00205F4A" w:rsidRDefault="009B3879" w:rsidP="00205F4A">
            <w:pPr>
              <w:pStyle w:val="TableBody"/>
              <w:rPr>
                <w:rFonts w:cs="Arial"/>
              </w:rPr>
            </w:pPr>
            <w:r w:rsidRPr="003428AC">
              <w:rPr>
                <w:rFonts w:cs="Arial"/>
              </w:rPr>
              <w:t>NV4L4,NV4L5,NV4L6,NV4L7,NV4L8,NV4L9,NV4M2,NV4M3,NV4M5,NV4M6,</w:t>
            </w:r>
          </w:p>
          <w:p w14:paraId="0632DE63" w14:textId="4A94666E" w:rsidR="00AD092C" w:rsidRDefault="009B3879" w:rsidP="00205F4A">
            <w:pPr>
              <w:pStyle w:val="TableBody"/>
              <w:rPr>
                <w:rFonts w:cs="Arial"/>
              </w:rPr>
            </w:pPr>
            <w:r w:rsidRPr="003428AC">
              <w:rPr>
                <w:rFonts w:cs="Arial"/>
              </w:rPr>
              <w:t>NV4M8,NV4M9,NV5I4,NV5I5,NV5I6,NV5I7,NV5I8,NV5I9,NV5J4,NV5J5,</w:t>
            </w:r>
          </w:p>
          <w:p w14:paraId="65CB4B1C" w14:textId="6B097EA4" w:rsidR="00205F4A" w:rsidRDefault="009B3879" w:rsidP="00205F4A">
            <w:pPr>
              <w:pStyle w:val="TableBody"/>
              <w:rPr>
                <w:rFonts w:cs="Arial"/>
              </w:rPr>
            </w:pPr>
            <w:r w:rsidRPr="003428AC">
              <w:rPr>
                <w:rFonts w:cs="Arial"/>
              </w:rPr>
              <w:t>NV5J6,NV5J7,NV5J8,NV5J9,NV5K4,NV5K5,NV5K6,NV5K7,NV5K8,NV5K9,</w:t>
            </w:r>
            <w:r>
              <w:rPr>
                <w:rFonts w:cs="Arial"/>
              </w:rPr>
              <w:br/>
            </w:r>
            <w:r w:rsidRPr="003428AC">
              <w:rPr>
                <w:rFonts w:cs="Arial"/>
              </w:rPr>
              <w:t>NV5L4,NV5L5,NV5L6,NV5L7,NV5L8,NV5L9,NV7A2,NV7A3,NV7A4,NV7A5,</w:t>
            </w:r>
          </w:p>
          <w:p w14:paraId="5445B5C9" w14:textId="59812AD0" w:rsidR="00205F4A" w:rsidRDefault="009B3879" w:rsidP="00205F4A">
            <w:pPr>
              <w:pStyle w:val="TableBody"/>
              <w:rPr>
                <w:rFonts w:cs="Arial"/>
              </w:rPr>
            </w:pPr>
            <w:r w:rsidRPr="003428AC">
              <w:rPr>
                <w:rFonts w:cs="Arial"/>
              </w:rPr>
              <w:t>NV7A6,NV7A7,NV7A8,NV7A9,NW1M1,NW1M2,NW1M3,NW1N1,NW1N2,</w:t>
            </w:r>
          </w:p>
          <w:p w14:paraId="66A1473B" w14:textId="7B8C6683" w:rsidR="009B3879" w:rsidRPr="003428AC" w:rsidRDefault="009B3879" w:rsidP="00205F4A">
            <w:pPr>
              <w:pStyle w:val="TableBody"/>
              <w:rPr>
                <w:rFonts w:cs="Arial"/>
              </w:rPr>
            </w:pPr>
            <w:r w:rsidRPr="003428AC">
              <w:rPr>
                <w:rFonts w:cs="Arial"/>
              </w:rPr>
              <w:t>NW1N3,NW1O1,NW1O2,NW1O3,NW1P1,NW1P2,NW1P3</w:t>
            </w:r>
          </w:p>
        </w:tc>
      </w:tr>
      <w:tr w:rsidR="009B3879" w:rsidRPr="003428AC" w14:paraId="7833C2F3" w14:textId="77777777" w:rsidTr="004C628B">
        <w:tc>
          <w:tcPr>
            <w:tcW w:w="1271" w:type="dxa"/>
            <w:hideMark/>
          </w:tcPr>
          <w:p w14:paraId="4E777F7B" w14:textId="77777777" w:rsidR="009B3879" w:rsidRPr="003428AC" w:rsidRDefault="009B3879" w:rsidP="00A97343">
            <w:pPr>
              <w:pStyle w:val="TableBody"/>
              <w:rPr>
                <w:rFonts w:cs="Arial"/>
              </w:rPr>
            </w:pPr>
            <w:r w:rsidRPr="003428AC">
              <w:rPr>
                <w:rFonts w:cs="Arial"/>
              </w:rPr>
              <w:t>Regional</w:t>
            </w:r>
          </w:p>
        </w:tc>
        <w:tc>
          <w:tcPr>
            <w:tcW w:w="1319" w:type="dxa"/>
            <w:hideMark/>
          </w:tcPr>
          <w:p w14:paraId="59627D6E" w14:textId="77777777" w:rsidR="009B3879" w:rsidRPr="003428AC" w:rsidRDefault="009B3879" w:rsidP="00A97343">
            <w:pPr>
              <w:pStyle w:val="TableBody"/>
              <w:rPr>
                <w:rFonts w:cs="Arial"/>
              </w:rPr>
            </w:pPr>
            <w:r w:rsidRPr="003428AC">
              <w:rPr>
                <w:rFonts w:cs="Arial"/>
              </w:rPr>
              <w:t>-</w:t>
            </w:r>
          </w:p>
        </w:tc>
        <w:tc>
          <w:tcPr>
            <w:tcW w:w="7186" w:type="dxa"/>
            <w:hideMark/>
          </w:tcPr>
          <w:p w14:paraId="6C8AE84A" w14:textId="65E79A77" w:rsidR="00AD092C" w:rsidRDefault="009B3879" w:rsidP="00A97343">
            <w:pPr>
              <w:pStyle w:val="TableBody"/>
              <w:rPr>
                <w:rFonts w:cs="Arial"/>
              </w:rPr>
            </w:pPr>
            <w:r w:rsidRPr="003428AC">
              <w:rPr>
                <w:rFonts w:cs="Arial"/>
              </w:rPr>
              <w:t>CV,DV,IV,JV,KQ,KV,KW,LR,LV,LW,LY,MS,MT,MU,AU9,AV9,AW3,BU7,BU8,</w:t>
            </w:r>
          </w:p>
          <w:p w14:paraId="6ABBC721" w14:textId="77777777" w:rsidR="008A6E04" w:rsidRDefault="009B3879" w:rsidP="00A97343">
            <w:pPr>
              <w:pStyle w:val="TableBody"/>
              <w:rPr>
                <w:rFonts w:cs="Arial"/>
              </w:rPr>
            </w:pPr>
            <w:r w:rsidRPr="003428AC">
              <w:rPr>
                <w:rFonts w:cs="Arial"/>
              </w:rPr>
              <w:t>BV3,BV6,BV7,BV8,BV9,BW1,BW2,BW3,BW5,BW6,CW1,CW2,CW3,CW4,</w:t>
            </w:r>
          </w:p>
          <w:p w14:paraId="338E3C19" w14:textId="7A4045E6" w:rsidR="00AD092C" w:rsidRDefault="009B3879" w:rsidP="00A97343">
            <w:pPr>
              <w:pStyle w:val="TableBody"/>
              <w:rPr>
                <w:rFonts w:cs="Arial"/>
              </w:rPr>
            </w:pPr>
            <w:r w:rsidRPr="003428AC">
              <w:rPr>
                <w:rFonts w:cs="Arial"/>
              </w:rPr>
              <w:t>DW1,DW2,DW3,EV1,EV2,EV3,EV4,EV5,EV6,EV7,FV1,FV2,FV3,FV4,FV5,</w:t>
            </w:r>
          </w:p>
          <w:p w14:paraId="4D825681" w14:textId="6FE7B566" w:rsidR="00AD092C" w:rsidRDefault="009B3879" w:rsidP="00A97343">
            <w:pPr>
              <w:pStyle w:val="TableBody"/>
              <w:rPr>
                <w:rFonts w:cs="Arial"/>
              </w:rPr>
            </w:pPr>
            <w:r w:rsidRPr="003428AC">
              <w:rPr>
                <w:rFonts w:cs="Arial"/>
              </w:rPr>
              <w:t>GV1,GV2,GV3,GV6,HV1,HV2,HV3,HV4,HV5,HV6,HV8,HV9,HW3,HW6,IW1,</w:t>
            </w:r>
          </w:p>
          <w:p w14:paraId="152C06C4" w14:textId="77777777" w:rsidR="00AD092C" w:rsidRDefault="009B3879" w:rsidP="00A97343">
            <w:pPr>
              <w:pStyle w:val="TableBody"/>
              <w:rPr>
                <w:rFonts w:cs="Arial"/>
              </w:rPr>
            </w:pPr>
            <w:r w:rsidRPr="003428AC">
              <w:rPr>
                <w:rFonts w:cs="Arial"/>
              </w:rPr>
              <w:t>IW2,IW4,IW5,IW7,IW8,IW9,JW2,JW3,JW4,JW5,JW6,JW7,JW8,JW9,JX1,JX2,</w:t>
            </w:r>
          </w:p>
          <w:p w14:paraId="4AB908B3" w14:textId="5F2DEA35" w:rsidR="00AD092C" w:rsidRDefault="009B3879" w:rsidP="00A97343">
            <w:pPr>
              <w:pStyle w:val="TableBody"/>
              <w:rPr>
                <w:rFonts w:cs="Arial"/>
              </w:rPr>
            </w:pPr>
            <w:r w:rsidRPr="003428AC">
              <w:rPr>
                <w:rFonts w:cs="Arial"/>
              </w:rPr>
              <w:t>JX3,JX5,JX6,KO1,KO4,KO5,KO7,KO8,KP1,KP2,KP4,KP5,KP6,KP7,KP8,KP9,KX1,KX2,KX4,KX5,KX8,KX9,KY2,KY3,KY6,LP4,LP7,LQ1,LQ2,LQ4,LQ5,LQ7,</w:t>
            </w:r>
          </w:p>
          <w:p w14:paraId="3A07F4AC" w14:textId="77777777" w:rsidR="00AD092C" w:rsidRDefault="009B3879" w:rsidP="00A97343">
            <w:pPr>
              <w:pStyle w:val="TableBody"/>
              <w:rPr>
                <w:rFonts w:cs="Arial"/>
              </w:rPr>
            </w:pPr>
            <w:r w:rsidRPr="003428AC">
              <w:rPr>
                <w:rFonts w:cs="Arial"/>
              </w:rPr>
              <w:t>LQ8,LX2,LX3,LX5,LX6,LX7,LX8,LX9,LZ1,LZ2,LZ3,MR1,MR4,MR5,MR7,MR8,</w:t>
            </w:r>
          </w:p>
          <w:p w14:paraId="0EEC1630" w14:textId="77777777" w:rsidR="00AD092C" w:rsidRDefault="009B3879" w:rsidP="00A97343">
            <w:pPr>
              <w:pStyle w:val="TableBody"/>
              <w:rPr>
                <w:rFonts w:cs="Arial"/>
              </w:rPr>
            </w:pPr>
            <w:r w:rsidRPr="003428AC">
              <w:rPr>
                <w:rFonts w:cs="Arial"/>
              </w:rPr>
              <w:t>MR9,MV1,MV2,MV3,MV4,MV5,MV6,MV7,MV8,MW6,MW7,MW8,MW9,MX1,</w:t>
            </w:r>
          </w:p>
          <w:p w14:paraId="33D4AF7C" w14:textId="5B16AB9A" w:rsidR="00AD092C" w:rsidRDefault="009B3879" w:rsidP="00A97343">
            <w:pPr>
              <w:pStyle w:val="TableBody"/>
              <w:rPr>
                <w:rFonts w:cs="Arial"/>
              </w:rPr>
            </w:pPr>
            <w:r w:rsidRPr="003428AC">
              <w:rPr>
                <w:rFonts w:cs="Arial"/>
              </w:rPr>
              <w:t>MX2,MX3,MX4,MX7,MY1,MY4,MY7,MZ1,NS4,NS7,NS8,NS9,NT1,NT2,NT3,</w:t>
            </w:r>
          </w:p>
          <w:p w14:paraId="5923EA74" w14:textId="3CF82A77" w:rsidR="00AD092C" w:rsidRDefault="009B3879" w:rsidP="00A97343">
            <w:pPr>
              <w:pStyle w:val="TableBody"/>
              <w:rPr>
                <w:rFonts w:cs="Arial"/>
              </w:rPr>
            </w:pPr>
            <w:r w:rsidRPr="003428AC">
              <w:rPr>
                <w:rFonts w:cs="Arial"/>
              </w:rPr>
              <w:t>NT4,NT7,NU1,NU4,NU5,NU6,NU7,NU8,NU9,NV1,NV2,NV3,AU6I,AU6J,AU6K,AU6L,AU6M,AU6N,AU6O,AU6P,BU4H,BU4I,BU4J,BU4K,BU4L,BU4M,BU4N,</w:t>
            </w:r>
          </w:p>
          <w:p w14:paraId="33B0AE4D" w14:textId="12F5884E" w:rsidR="00AD092C" w:rsidRDefault="009B3879" w:rsidP="00A97343">
            <w:pPr>
              <w:pStyle w:val="TableBody"/>
              <w:rPr>
                <w:rFonts w:cs="Arial"/>
              </w:rPr>
            </w:pPr>
            <w:r w:rsidRPr="003428AC">
              <w:rPr>
                <w:rFonts w:cs="Arial"/>
              </w:rPr>
              <w:t>BU4O,BU4P,BU5E,BU5F,BU5G,BU5H,BU5I,BU5J,BU5K,BU5L,BU5M,BU5N,</w:t>
            </w:r>
          </w:p>
          <w:p w14:paraId="53D9B9EE" w14:textId="67A5D5D1" w:rsidR="00AD092C" w:rsidRDefault="009B3879" w:rsidP="00A97343">
            <w:pPr>
              <w:pStyle w:val="TableBody"/>
              <w:rPr>
                <w:rFonts w:cs="Arial"/>
              </w:rPr>
            </w:pPr>
            <w:r w:rsidRPr="003428AC">
              <w:rPr>
                <w:rFonts w:cs="Arial"/>
              </w:rPr>
              <w:t>BU5O,BU5P,BU9A,BU9B,BU9E,BU9F,BU9I,BU9J,BU9M,BU9N,BV1A,BV1B,</w:t>
            </w:r>
          </w:p>
          <w:p w14:paraId="62E57F32" w14:textId="2866D15B" w:rsidR="008A6E04" w:rsidRDefault="009B3879" w:rsidP="00A97343">
            <w:pPr>
              <w:pStyle w:val="TableBody"/>
              <w:rPr>
                <w:rFonts w:cs="Arial"/>
              </w:rPr>
            </w:pPr>
            <w:r w:rsidRPr="003428AC">
              <w:rPr>
                <w:rFonts w:cs="Arial"/>
              </w:rPr>
              <w:t>BV1C,BV1D,BV2A,BV2B,BV2C,BV2D,BV2G,BV2H,BV2K,BV2L,BV2O,BV2P,</w:t>
            </w:r>
            <w:r>
              <w:rPr>
                <w:rFonts w:cs="Arial"/>
              </w:rPr>
              <w:br/>
            </w:r>
            <w:r w:rsidRPr="003428AC">
              <w:rPr>
                <w:rFonts w:cs="Arial"/>
              </w:rPr>
              <w:t>BV5C,BV5D,BV5G,BV5H,BV5K,BV5L,BV5O,BV5P,IW3A,IW3B,IW3C,IW3D,</w:t>
            </w:r>
          </w:p>
          <w:p w14:paraId="0A9B758E" w14:textId="77777777" w:rsidR="008A6E04" w:rsidRDefault="009B3879" w:rsidP="00A97343">
            <w:pPr>
              <w:pStyle w:val="TableBody"/>
              <w:rPr>
                <w:rFonts w:cs="Arial"/>
              </w:rPr>
            </w:pPr>
            <w:r w:rsidRPr="003428AC">
              <w:rPr>
                <w:rFonts w:cs="Arial"/>
              </w:rPr>
              <w:t>IW6I,IW6J,IW6K,IW6L,IW6M,IW6N,IW6O,IW6P,JW1A,JW1B,JW1C,JW1D,</w:t>
            </w:r>
          </w:p>
          <w:p w14:paraId="3A84986B" w14:textId="12119EC1" w:rsidR="008A6E04" w:rsidRDefault="009B3879" w:rsidP="00A97343">
            <w:pPr>
              <w:pStyle w:val="TableBody"/>
              <w:rPr>
                <w:rFonts w:cs="Arial"/>
              </w:rPr>
            </w:pPr>
            <w:r w:rsidRPr="003428AC">
              <w:rPr>
                <w:rFonts w:cs="Arial"/>
              </w:rPr>
              <w:t>JW1F,JW1G,JW1H,JW1J,JW1K,JW1L,JW1N,JW1O,JW1P,KX3A,KX3B,KX3C,KX3D,KX6M,KX6N,KX6O,KX6P,LX1A,LX1B,LX1C,LX1D,LX1F,LX1G,LX1H,</w:t>
            </w:r>
          </w:p>
          <w:p w14:paraId="32B04263" w14:textId="77777777" w:rsidR="008A6E04" w:rsidRDefault="009B3879" w:rsidP="00A97343">
            <w:pPr>
              <w:pStyle w:val="TableBody"/>
              <w:rPr>
                <w:rFonts w:cs="Arial"/>
              </w:rPr>
            </w:pPr>
            <w:r w:rsidRPr="003428AC">
              <w:rPr>
                <w:rFonts w:cs="Arial"/>
              </w:rPr>
              <w:t>LX1L,LX1P,LX4D,LX4G,LX4H,LX4K,LX4L,LX4M,LX4N,LX4O,LX4P,MV9A,</w:t>
            </w:r>
          </w:p>
          <w:p w14:paraId="27385056" w14:textId="0686942F" w:rsidR="003B1AE2" w:rsidRDefault="009B3879" w:rsidP="00A97343">
            <w:pPr>
              <w:pStyle w:val="TableBody"/>
              <w:rPr>
                <w:rFonts w:cs="Arial"/>
              </w:rPr>
            </w:pPr>
            <w:r w:rsidRPr="003428AC">
              <w:rPr>
                <w:rFonts w:cs="Arial"/>
              </w:rPr>
              <w:t>MV9B,MV9C,MW1A,MW1B,MW1C,MW1D,MW1E,MW1F,MW1G,MW1H,</w:t>
            </w:r>
          </w:p>
          <w:p w14:paraId="00CF9F72" w14:textId="55B793A0" w:rsidR="003B1AE2" w:rsidRDefault="009B3879" w:rsidP="00A97343">
            <w:pPr>
              <w:pStyle w:val="TableBody"/>
              <w:rPr>
                <w:rFonts w:cs="Arial"/>
              </w:rPr>
            </w:pPr>
            <w:r w:rsidRPr="003428AC">
              <w:rPr>
                <w:rFonts w:cs="Arial"/>
              </w:rPr>
              <w:lastRenderedPageBreak/>
              <w:t>MW1I,MW1J,MW1K,MW1L,MW1M,MW1N,MW1O,MW2A,MW2B,MW2C,</w:t>
            </w:r>
          </w:p>
          <w:p w14:paraId="457F920C" w14:textId="43B5736E" w:rsidR="003B1AE2" w:rsidRDefault="009B3879" w:rsidP="00A97343">
            <w:pPr>
              <w:pStyle w:val="TableBody"/>
              <w:rPr>
                <w:rFonts w:cs="Arial"/>
              </w:rPr>
            </w:pPr>
            <w:r w:rsidRPr="003428AC">
              <w:rPr>
                <w:rFonts w:cs="Arial"/>
              </w:rPr>
              <w:t>MW2D,MW2E,MW2F,MW2G,MW2H,MW2I,MW2J,MW2K,MW2L,MW2O,</w:t>
            </w:r>
          </w:p>
          <w:p w14:paraId="42C1F940" w14:textId="77A372A7" w:rsidR="003B1AE2" w:rsidRDefault="009B3879" w:rsidP="00A97343">
            <w:pPr>
              <w:pStyle w:val="TableBody"/>
              <w:rPr>
                <w:rFonts w:cs="Arial"/>
              </w:rPr>
            </w:pPr>
            <w:r w:rsidRPr="003428AC">
              <w:rPr>
                <w:rFonts w:cs="Arial"/>
              </w:rPr>
              <w:t>MW2P,MW3A,MW3E,MW3I,MW3M,MW3N,MW4A,MW4B,MW4C,MW4E,</w:t>
            </w:r>
          </w:p>
          <w:p w14:paraId="7D31266F" w14:textId="27E2A5DF" w:rsidR="003B1AE2" w:rsidRDefault="009B3879" w:rsidP="00A97343">
            <w:pPr>
              <w:pStyle w:val="TableBody"/>
              <w:rPr>
                <w:rFonts w:cs="Arial"/>
              </w:rPr>
            </w:pPr>
            <w:r w:rsidRPr="003428AC">
              <w:rPr>
                <w:rFonts w:cs="Arial"/>
              </w:rPr>
              <w:t>MW4F,MW4G,MW4I,MW4J,MW4K,MW4M,MW4N,MW4O,MW5C,MW5D,</w:t>
            </w:r>
          </w:p>
          <w:p w14:paraId="7B89AC83" w14:textId="6F8E44BC" w:rsidR="003B1AE2" w:rsidRDefault="009B3879" w:rsidP="00A97343">
            <w:pPr>
              <w:pStyle w:val="TableBody"/>
              <w:rPr>
                <w:rFonts w:cs="Arial"/>
              </w:rPr>
            </w:pPr>
            <w:r w:rsidRPr="003428AC">
              <w:rPr>
                <w:rFonts w:cs="Arial"/>
              </w:rPr>
              <w:t>MW5G,MW5H,MW5K,MW5L,MW5O,MW5P,NT5A,NT5B,NT5C,NT5D,NT5E,</w:t>
            </w:r>
          </w:p>
          <w:p w14:paraId="6D9CD357" w14:textId="60658D4A" w:rsidR="003B1AE2" w:rsidRDefault="009B3879" w:rsidP="00A97343">
            <w:pPr>
              <w:pStyle w:val="TableBody"/>
              <w:rPr>
                <w:rFonts w:cs="Arial"/>
              </w:rPr>
            </w:pPr>
            <w:r w:rsidRPr="003428AC">
              <w:rPr>
                <w:rFonts w:cs="Arial"/>
              </w:rPr>
              <w:t>NT5F,NT5G,NT5H,NT5I,NT5J,NT5K,NT5L,NT5M,NT5N,NT6A,NT6B,NT6C,</w:t>
            </w:r>
          </w:p>
          <w:p w14:paraId="5DDF8C06" w14:textId="37D9EE10" w:rsidR="003B1AE2" w:rsidRDefault="009B3879" w:rsidP="00A97343">
            <w:pPr>
              <w:pStyle w:val="TableBody"/>
              <w:rPr>
                <w:rFonts w:cs="Arial"/>
              </w:rPr>
            </w:pPr>
            <w:r w:rsidRPr="003428AC">
              <w:rPr>
                <w:rFonts w:cs="Arial"/>
              </w:rPr>
              <w:t>NT6D,NT6E,NT6F,NT6G,NT6H,NT6I,NT6J,NT6K,NT6L,NT8A,NT8B,NT8E,</w:t>
            </w:r>
          </w:p>
          <w:p w14:paraId="2ED7090A" w14:textId="0BDFB222" w:rsidR="003B1AE2" w:rsidRDefault="009B3879" w:rsidP="00A97343">
            <w:pPr>
              <w:pStyle w:val="TableBody"/>
              <w:rPr>
                <w:rFonts w:cs="Arial"/>
              </w:rPr>
            </w:pPr>
            <w:r w:rsidRPr="003428AC">
              <w:rPr>
                <w:rFonts w:cs="Arial"/>
              </w:rPr>
              <w:t>NT8F,NT8I,NT8J,NT8M,NT8N,NU2A,NU2B,NU2E,NU2F,NU2G,NU2I,NU2J,</w:t>
            </w:r>
          </w:p>
          <w:p w14:paraId="75E9F5BB" w14:textId="08A3867E" w:rsidR="003B1AE2" w:rsidRDefault="009B3879" w:rsidP="00A97343">
            <w:pPr>
              <w:pStyle w:val="TableBody"/>
              <w:rPr>
                <w:rFonts w:cs="Arial"/>
              </w:rPr>
            </w:pPr>
            <w:r w:rsidRPr="003428AC">
              <w:rPr>
                <w:rFonts w:cs="Arial"/>
              </w:rPr>
              <w:t>NU2K,NU2L,NU2M,NU2N,NU2O,NU2P,NU3M,NU3N,NU3O,NU3P,NV4A,</w:t>
            </w:r>
          </w:p>
          <w:p w14:paraId="536F69C5" w14:textId="3127E669" w:rsidR="003B1AE2" w:rsidRDefault="009B3879" w:rsidP="00A97343">
            <w:pPr>
              <w:pStyle w:val="TableBody"/>
              <w:rPr>
                <w:rFonts w:cs="Arial"/>
              </w:rPr>
            </w:pPr>
            <w:r w:rsidRPr="003428AC">
              <w:rPr>
                <w:rFonts w:cs="Arial"/>
              </w:rPr>
              <w:t>NV4B,NV4C,NV4D,NV4E,NV4F,NV4G,NV4H,NV5A,NV5B,NV5C,NV5D,NV5E,NV5F,NV5G,NV5H,BV1E1,BV1E2,BV1E3,BV1E4,BV1E5,BV1E6,BV1F1,</w:t>
            </w:r>
          </w:p>
          <w:p w14:paraId="751567DE" w14:textId="45B3AED7" w:rsidR="004E184A" w:rsidRDefault="009B3879" w:rsidP="00A97343">
            <w:pPr>
              <w:pStyle w:val="TableBody"/>
              <w:rPr>
                <w:rFonts w:cs="Arial"/>
              </w:rPr>
            </w:pPr>
            <w:r w:rsidRPr="003428AC">
              <w:rPr>
                <w:rFonts w:cs="Arial"/>
              </w:rPr>
              <w:t>BV1F2,BV1F3,BV1F4,BV1F5,BV1F6,BV1G1,BV1G2,BV1G3,BV1G4,BV1G5,</w:t>
            </w:r>
          </w:p>
          <w:p w14:paraId="47E2F590" w14:textId="3B1227FF" w:rsidR="004E184A" w:rsidRDefault="009B3879" w:rsidP="00A97343">
            <w:pPr>
              <w:pStyle w:val="TableBody"/>
              <w:rPr>
                <w:rFonts w:cs="Arial"/>
              </w:rPr>
            </w:pPr>
            <w:r w:rsidRPr="003428AC">
              <w:rPr>
                <w:rFonts w:cs="Arial"/>
              </w:rPr>
              <w:t>BV1G6,BV1H1,BV1H2,BV1H3,BV1H4,BV1H5,BV1H6,BV2E1,BV2E2,BV2E3,</w:t>
            </w:r>
          </w:p>
          <w:p w14:paraId="3745ED18" w14:textId="798DE863" w:rsidR="004E184A" w:rsidRDefault="009B3879" w:rsidP="00A97343">
            <w:pPr>
              <w:pStyle w:val="TableBody"/>
              <w:rPr>
                <w:rFonts w:cs="Arial"/>
              </w:rPr>
            </w:pPr>
            <w:r w:rsidRPr="003428AC">
              <w:rPr>
                <w:rFonts w:cs="Arial"/>
              </w:rPr>
              <w:t>BV2E4,BV2E5,BV2E6,BV2F1,BV2F2,BV2F3,BV2F4,BV2F5,BV2F6,BV4M4,</w:t>
            </w:r>
            <w:r>
              <w:rPr>
                <w:rFonts w:cs="Arial"/>
              </w:rPr>
              <w:br/>
            </w:r>
            <w:r w:rsidRPr="003428AC">
              <w:rPr>
                <w:rFonts w:cs="Arial"/>
              </w:rPr>
              <w:t>BV4M5,BV4M6,BV4M7,BV4M8,BV4M9,BV4N4,BV4N5,BV4N6,BV4N7,BV4N8,BV4N9,BV4O4,BV4O5,BV4O6,BV4O7,BV4O8,BV4O9,BV4P4,BV4P5,BV4P6,</w:t>
            </w:r>
          </w:p>
          <w:p w14:paraId="014A4126" w14:textId="60923BAB" w:rsidR="004E184A" w:rsidRDefault="009B3879" w:rsidP="00A97343">
            <w:pPr>
              <w:pStyle w:val="TableBody"/>
              <w:rPr>
                <w:rFonts w:cs="Arial"/>
              </w:rPr>
            </w:pPr>
            <w:r w:rsidRPr="003428AC">
              <w:rPr>
                <w:rFonts w:cs="Arial"/>
              </w:rPr>
              <w:t>BV4P7,BV4P8,BV4P9,BV5M4,BV5M5,BV5M6,BV5M7,BV5M8,BV5M9,BV5N4,BV5N5,BV5N6,BV5N7,BV5N8,BV5N9,IW3E1,IW3E2,IW3E3,IW3E4,IW3E7,</w:t>
            </w:r>
          </w:p>
          <w:p w14:paraId="513F7349" w14:textId="72DF3D37" w:rsidR="004E184A" w:rsidRDefault="009B3879" w:rsidP="00A97343">
            <w:pPr>
              <w:pStyle w:val="TableBody"/>
              <w:rPr>
                <w:rFonts w:cs="Arial"/>
              </w:rPr>
            </w:pPr>
            <w:r w:rsidRPr="003428AC">
              <w:rPr>
                <w:rFonts w:cs="Arial"/>
              </w:rPr>
              <w:t>IW3F1,IW3F2,IW3F3,IW3G1,IW3G2,IW3G3,IW3H1,IW3H2,IW3H3,IW3I1,</w:t>
            </w:r>
          </w:p>
          <w:p w14:paraId="7E31C855" w14:textId="5CC8A1BE" w:rsidR="00DB7288" w:rsidRDefault="009B3879" w:rsidP="00A97343">
            <w:pPr>
              <w:pStyle w:val="TableBody"/>
              <w:rPr>
                <w:rFonts w:cs="Arial"/>
              </w:rPr>
            </w:pPr>
            <w:r w:rsidRPr="003428AC">
              <w:rPr>
                <w:rFonts w:cs="Arial"/>
              </w:rPr>
              <w:t>IW3I4,IW3I7,IW3M1,IW3M4,IW3M7,IW6A1,IW6A4,IW6A7,IW6E1,IW6E4,</w:t>
            </w:r>
          </w:p>
          <w:p w14:paraId="2EDF6C54" w14:textId="7742DFE5" w:rsidR="004E184A" w:rsidRDefault="009B3879" w:rsidP="00A97343">
            <w:pPr>
              <w:pStyle w:val="TableBody"/>
              <w:rPr>
                <w:rFonts w:cs="Arial"/>
              </w:rPr>
            </w:pPr>
            <w:r w:rsidRPr="003428AC">
              <w:rPr>
                <w:rFonts w:cs="Arial"/>
              </w:rPr>
              <w:t>IW6E7,JW1E1,JW1E2,JW1E3,JW1E5,JW1E6,JW1E8,JW1E9,JW1I2,JW1I3,</w:t>
            </w:r>
          </w:p>
          <w:p w14:paraId="0FDD3C17" w14:textId="44C4C6A6" w:rsidR="004E184A" w:rsidRDefault="009B3879" w:rsidP="00A97343">
            <w:pPr>
              <w:pStyle w:val="TableBody"/>
              <w:rPr>
                <w:rFonts w:cs="Arial"/>
              </w:rPr>
            </w:pPr>
            <w:r w:rsidRPr="003428AC">
              <w:rPr>
                <w:rFonts w:cs="Arial"/>
              </w:rPr>
              <w:t>JW1I5,JW1I6,JW1I8,JW1I9,JW1M2,JW1M3,JW1M5,JW1M6,JW1M7,JW1M8,</w:t>
            </w:r>
          </w:p>
          <w:p w14:paraId="3784E340" w14:textId="77006F14" w:rsidR="004E184A" w:rsidRDefault="009B3879" w:rsidP="00A97343">
            <w:pPr>
              <w:pStyle w:val="TableBody"/>
              <w:rPr>
                <w:rFonts w:cs="Arial"/>
              </w:rPr>
            </w:pPr>
            <w:r w:rsidRPr="003428AC">
              <w:rPr>
                <w:rFonts w:cs="Arial"/>
              </w:rPr>
              <w:t>JW1M9,KX3E1,KX3E2,KX3E3,KX3E4,KX3E5,KX3E6,KX3E7,KX3E8,KX3F1,</w:t>
            </w:r>
          </w:p>
          <w:p w14:paraId="7AE68C42" w14:textId="12D033D8" w:rsidR="004E184A" w:rsidRDefault="009B3879" w:rsidP="00A97343">
            <w:pPr>
              <w:pStyle w:val="TableBody"/>
              <w:rPr>
                <w:rFonts w:cs="Arial"/>
              </w:rPr>
            </w:pPr>
            <w:r w:rsidRPr="003428AC">
              <w:rPr>
                <w:rFonts w:cs="Arial"/>
              </w:rPr>
              <w:t>KX3F2,KX3F3,KX3F4,KX3G3,KX3H1,KX3H2,KX3H3,KX3I1,KX3I2,KX3I4,</w:t>
            </w:r>
          </w:p>
          <w:p w14:paraId="15108C64" w14:textId="7D8C7CF5" w:rsidR="00DB7288" w:rsidRDefault="009B3879" w:rsidP="00A97343">
            <w:pPr>
              <w:pStyle w:val="TableBody"/>
              <w:rPr>
                <w:rFonts w:cs="Arial"/>
              </w:rPr>
            </w:pPr>
            <w:r w:rsidRPr="003428AC">
              <w:rPr>
                <w:rFonts w:cs="Arial"/>
              </w:rPr>
              <w:t>KX3I5,KX3I7,KX3M1,LX1E1,LX1E2,LX1E3,LX1E5,LX1E6,LX1J2,LX1J3,</w:t>
            </w:r>
          </w:p>
          <w:p w14:paraId="6FFA2DAB" w14:textId="405CB699" w:rsidR="004E184A" w:rsidRDefault="009B3879" w:rsidP="00A97343">
            <w:pPr>
              <w:pStyle w:val="TableBody"/>
              <w:rPr>
                <w:rFonts w:cs="Arial"/>
              </w:rPr>
            </w:pPr>
            <w:r w:rsidRPr="003428AC">
              <w:rPr>
                <w:rFonts w:cs="Arial"/>
              </w:rPr>
              <w:t>LX1K1,LX1K2,LX1K3,LX1K5,LX1K6,LX1K8,LX1K9,LX4F3,LX4F6,LX4F9,</w:t>
            </w:r>
          </w:p>
          <w:p w14:paraId="411A3908" w14:textId="7BF0FFEF" w:rsidR="004E184A" w:rsidRDefault="009B3879" w:rsidP="00A97343">
            <w:pPr>
              <w:pStyle w:val="TableBody"/>
              <w:rPr>
                <w:rFonts w:cs="Arial"/>
              </w:rPr>
            </w:pPr>
            <w:r w:rsidRPr="003428AC">
              <w:rPr>
                <w:rFonts w:cs="Arial"/>
              </w:rPr>
              <w:t>LX4J3,LX4J6,LX4J9,MV9D1,MV9D2,MV9D3,MV9D4,MV9D5,MV9D7,MV9D8,MV9E1,MV9E2,MV9E3,MV9F1,MV9F2,MV9F3,MV9G1,MV9G2,MV9G3,</w:t>
            </w:r>
          </w:p>
          <w:p w14:paraId="716C6815" w14:textId="0B2039D9" w:rsidR="004E184A" w:rsidRDefault="009B3879" w:rsidP="00A97343">
            <w:pPr>
              <w:pStyle w:val="TableBody"/>
              <w:rPr>
                <w:rFonts w:cs="Arial"/>
              </w:rPr>
            </w:pPr>
            <w:r w:rsidRPr="003428AC">
              <w:rPr>
                <w:rFonts w:cs="Arial"/>
              </w:rPr>
              <w:t>MV9H1,MV9H2,MW1P1,MW1P2,MW1P3,MW2M1,MW2M2,MW2M3,MW2N1,MW2N2,MW2N3,MW3B1,MW3B4,MW3B7,MW3F1,MW3F4,MW3F7,MW3J1,</w:t>
            </w:r>
            <w:r>
              <w:rPr>
                <w:rFonts w:cs="Arial"/>
              </w:rPr>
              <w:br/>
            </w:r>
            <w:r w:rsidRPr="003428AC">
              <w:rPr>
                <w:rFonts w:cs="Arial"/>
              </w:rPr>
              <w:t>MW3J4,MW3J5,MW3J6,MW3J7,MW3J8,MW3J9,MW3O4,MW3O5,MW3O6,</w:t>
            </w:r>
          </w:p>
          <w:p w14:paraId="1C0CAFE3" w14:textId="7E3F4C09" w:rsidR="004E184A" w:rsidRDefault="009B3879" w:rsidP="00A97343">
            <w:pPr>
              <w:pStyle w:val="TableBody"/>
              <w:rPr>
                <w:rFonts w:cs="Arial"/>
              </w:rPr>
            </w:pPr>
            <w:r w:rsidRPr="003428AC">
              <w:rPr>
                <w:rFonts w:cs="Arial"/>
              </w:rPr>
              <w:t>MW3O7,MW3O8,MW3O9,MW3P4,MW3P5,MW3P6,MW3P7,MW3P8,MW3P9,MW4P4,MW4P5,MW4P6,MW4P7,MW4P8,MW4P9,MW5M4,MW5M5,MW5M6,MW5M7,MW5M8,MW5M9,MW5N4,MW5N5,MW5N6,MW5N7,MW5N8,MW5N9,NT5O1,NT5O2,NT5O3,NT5P1,NT5P2,NT5P3,NT6M1,NT6M2,NT6M3,NT6N1,NT6N2,NT6N3,NT6O1,NT6O2,NT6O3,NT6P1,NT6P2,NT6P3,NU2C4,NU2C5,NU2C6,NU2C7,NU2C8,NU2C9,NU2D4,NU2D7,NU2H1,NU2H4,NU2H5,</w:t>
            </w:r>
          </w:p>
          <w:p w14:paraId="6BDEF65A" w14:textId="7CE6C9A7" w:rsidR="004E184A" w:rsidRDefault="009B3879" w:rsidP="00A97343">
            <w:pPr>
              <w:pStyle w:val="TableBody"/>
              <w:rPr>
                <w:rFonts w:cs="Arial"/>
              </w:rPr>
            </w:pPr>
            <w:r w:rsidRPr="003428AC">
              <w:rPr>
                <w:rFonts w:cs="Arial"/>
              </w:rPr>
              <w:t>NU2H6,NU2H7,NU2H8,NU2H9,NU3E4,NU3E7,NU3I1,NU3I4,NU3I5,NU3I6,</w:t>
            </w:r>
          </w:p>
          <w:p w14:paraId="1213B891" w14:textId="18EBC869" w:rsidR="004E184A" w:rsidRDefault="009B3879" w:rsidP="00A97343">
            <w:pPr>
              <w:pStyle w:val="TableBody"/>
              <w:rPr>
                <w:rFonts w:cs="Arial"/>
              </w:rPr>
            </w:pPr>
            <w:r w:rsidRPr="003428AC">
              <w:rPr>
                <w:rFonts w:cs="Arial"/>
              </w:rPr>
              <w:t>NU3I7,NU3I8,NU3I9,NU3J4,NU3J5,NU3J6,NU3J7,NU3J8,NU3J9,NU3K4,</w:t>
            </w:r>
          </w:p>
          <w:p w14:paraId="226A717D" w14:textId="1C60CD0F" w:rsidR="004E184A" w:rsidRDefault="009B3879" w:rsidP="00A97343">
            <w:pPr>
              <w:pStyle w:val="TableBody"/>
              <w:rPr>
                <w:rFonts w:cs="Arial"/>
              </w:rPr>
            </w:pPr>
            <w:r w:rsidRPr="003428AC">
              <w:rPr>
                <w:rFonts w:cs="Arial"/>
              </w:rPr>
              <w:t>NU3K5,NU3K6,NU3K7,NU3K8,NU3K9,NU3L4,NU3L5,NU3L6,NU3L7,NU3L8,</w:t>
            </w:r>
          </w:p>
          <w:p w14:paraId="5F9E8520" w14:textId="4BA18727" w:rsidR="00DB7288" w:rsidRDefault="009B3879" w:rsidP="00A97343">
            <w:pPr>
              <w:pStyle w:val="TableBody"/>
              <w:rPr>
                <w:rFonts w:cs="Arial"/>
              </w:rPr>
            </w:pPr>
            <w:r w:rsidRPr="003428AC">
              <w:rPr>
                <w:rFonts w:cs="Arial"/>
              </w:rPr>
              <w:t>NU3L9,NV4I1,NV4I2,NV4I3,NV4I4,NV4I7,NV4J1,NV4J2,NV4J3,NV4K1,</w:t>
            </w:r>
          </w:p>
          <w:p w14:paraId="3BE74DFE" w14:textId="6B4F874D" w:rsidR="004E184A" w:rsidRDefault="009B3879" w:rsidP="00A97343">
            <w:pPr>
              <w:pStyle w:val="TableBody"/>
              <w:rPr>
                <w:rFonts w:cs="Arial"/>
              </w:rPr>
            </w:pPr>
            <w:r w:rsidRPr="003428AC">
              <w:rPr>
                <w:rFonts w:cs="Arial"/>
              </w:rPr>
              <w:t>NV4K2,NV4K3,NV4L1,NV4L2,NV4L3,NV4M1,NV4M4,NV4M7,NV5I1,NV5I2,</w:t>
            </w:r>
            <w:r>
              <w:rPr>
                <w:rFonts w:cs="Arial"/>
              </w:rPr>
              <w:br/>
            </w:r>
            <w:r w:rsidRPr="003428AC">
              <w:rPr>
                <w:rFonts w:cs="Arial"/>
              </w:rPr>
              <w:t>NV5I3,NV5J1,NV5J2,NV5J3,NV5K1,NV5K2,NV5K3,NV5L1,NV5L2,NV5L3,</w:t>
            </w:r>
          </w:p>
          <w:p w14:paraId="6F25FD6C" w14:textId="4CA5A502" w:rsidR="004E184A" w:rsidRDefault="009B3879" w:rsidP="00A97343">
            <w:pPr>
              <w:pStyle w:val="TableBody"/>
              <w:rPr>
                <w:rFonts w:cs="Arial"/>
              </w:rPr>
            </w:pPr>
            <w:r w:rsidRPr="003428AC">
              <w:rPr>
                <w:rFonts w:cs="Arial"/>
              </w:rPr>
              <w:t>NV7A1,NW1M4,NW1M5,NW1M6,NW1M7,NW1M8,NW1M9,NW1N4,NW1N5,</w:t>
            </w:r>
          </w:p>
          <w:p w14:paraId="6AA11314" w14:textId="7F8F1F30" w:rsidR="004E184A" w:rsidRDefault="009B3879" w:rsidP="00A97343">
            <w:pPr>
              <w:pStyle w:val="TableBody"/>
              <w:rPr>
                <w:rFonts w:cs="Arial"/>
              </w:rPr>
            </w:pPr>
            <w:r w:rsidRPr="003428AC">
              <w:rPr>
                <w:rFonts w:cs="Arial"/>
              </w:rPr>
              <w:t>NW1N6,NW1N7,NW1N8,NW1N9,NW1O4,NW1O5,NW1O6,NW1O7,NW1O8,</w:t>
            </w:r>
          </w:p>
          <w:p w14:paraId="715862F9" w14:textId="1CCB5B42" w:rsidR="00DB7288" w:rsidRDefault="009B3879" w:rsidP="00A97343">
            <w:pPr>
              <w:pStyle w:val="TableBody"/>
              <w:rPr>
                <w:rFonts w:cs="Arial"/>
              </w:rPr>
            </w:pPr>
            <w:r w:rsidRPr="003428AC">
              <w:rPr>
                <w:rFonts w:cs="Arial"/>
              </w:rPr>
              <w:t>NW1O9,NW1P4,NW1P5,NW1P6,NW1P7,NW1P8,NW1P9,MT4H,MT4K,MT4L,MU5G,MU5H,MU5L,MV3G,MV3H,MV3K,MV3L,MT4F9,MT4G2,MT4G3,</w:t>
            </w:r>
          </w:p>
          <w:p w14:paraId="21CC5608" w14:textId="0962E225" w:rsidR="00DB7288" w:rsidRDefault="009B3879" w:rsidP="00A97343">
            <w:pPr>
              <w:pStyle w:val="TableBody"/>
              <w:rPr>
                <w:rFonts w:cs="Arial"/>
              </w:rPr>
            </w:pPr>
            <w:r w:rsidRPr="003428AC">
              <w:rPr>
                <w:rFonts w:cs="Arial"/>
              </w:rPr>
              <w:t>MT4G4,MT4G5,MT4G6,MT4G7,MT4G8,MT4G9,MT4J3,MT4J6,MT4O1,</w:t>
            </w:r>
          </w:p>
          <w:p w14:paraId="7A0BB9DD" w14:textId="25A2763F" w:rsidR="004E184A" w:rsidRDefault="009B3879" w:rsidP="00A97343">
            <w:pPr>
              <w:pStyle w:val="TableBody"/>
              <w:rPr>
                <w:rFonts w:cs="Arial"/>
              </w:rPr>
            </w:pPr>
            <w:r w:rsidRPr="003428AC">
              <w:rPr>
                <w:rFonts w:cs="Arial"/>
              </w:rPr>
              <w:t>MT4O2,MT4O3,MT4O6,MT4P1,MT4P2,MT4P3,MT4P4,MT4P5,MT5E4,MT5E7,MT5I1,MT5I2,MT5I4,MT5I5,MT5I7,MT5M1,MU5C8,MU5C9,MU5D7,MU5D8,</w:t>
            </w:r>
          </w:p>
          <w:p w14:paraId="41E235A5" w14:textId="77777777" w:rsidR="004E184A" w:rsidRDefault="009B3879" w:rsidP="004E184A">
            <w:pPr>
              <w:pStyle w:val="TableBody"/>
              <w:rPr>
                <w:rFonts w:cs="Arial"/>
              </w:rPr>
            </w:pPr>
            <w:r w:rsidRPr="003428AC">
              <w:rPr>
                <w:rFonts w:cs="Arial"/>
              </w:rPr>
              <w:t>MU5D9,MU5K1,MU5K2,MU5K3,MU5K4,MU5K5,MU5K6,MU5K8,MU5K9,</w:t>
            </w:r>
          </w:p>
          <w:p w14:paraId="7406DC56" w14:textId="60009BD2" w:rsidR="009F3C6B" w:rsidRDefault="009B3879" w:rsidP="004E184A">
            <w:pPr>
              <w:pStyle w:val="TableBody"/>
              <w:rPr>
                <w:rFonts w:cs="Arial"/>
              </w:rPr>
            </w:pPr>
            <w:r w:rsidRPr="003428AC">
              <w:rPr>
                <w:rFonts w:cs="Arial"/>
              </w:rPr>
              <w:t>MU6A7,MU6E1,MU6E2,MU6E4,MU6E5,MU6E7,MU6E8,MU6I1,MU6I2,MU6I4,MU6I5,MU6I7,MV3C8,MV3C9,MV3D7,MV3F3,MV3F5,MV3F6,MV3F8,MV3F9,MV3J2,MV3J3,MV3J5,MV3J6,MV3J9,MV3O1,MV3O2,MV3O3,MV3P1,NU7K4,CV,DV,IV,JV,KQ,KV,KW,LR,LV,LW,LY,MS,AU9,AV9,AW3,BU7,BU8,BV3,BV6,BV7,BV8,BV9,BW1,BW2,BW3,BW5,BW6,CW1,CW2,CW3,CW4,DW1,DW2,</w:t>
            </w:r>
            <w:r>
              <w:rPr>
                <w:rFonts w:cs="Arial"/>
              </w:rPr>
              <w:br/>
            </w:r>
            <w:r w:rsidRPr="003428AC">
              <w:rPr>
                <w:rFonts w:cs="Arial"/>
              </w:rPr>
              <w:lastRenderedPageBreak/>
              <w:t>DW3,EV1,EV2,EV3,EV4,EV5,EV6,EV7,FV1,FV2,FV3,FV4,FV5,GV1,GV2,GV3,GV6,HV1,HV2,HV3,HV4,HV5,HV6,HV8,HV9,HW3,HW6,IW1,IW2,IW4,IW5,IW7,IW8,IW9,JW2,JW3,JW4,JW5,JW6,JW7,JW8,JW9,JX1,JX2,JX3,JX5,JX6,KO1,</w:t>
            </w:r>
          </w:p>
          <w:p w14:paraId="6097D060" w14:textId="2D4C8DE5" w:rsidR="009F3C6B" w:rsidRDefault="009B3879" w:rsidP="004E184A">
            <w:pPr>
              <w:pStyle w:val="TableBody"/>
              <w:rPr>
                <w:rFonts w:cs="Arial"/>
              </w:rPr>
            </w:pPr>
            <w:r w:rsidRPr="003428AC">
              <w:rPr>
                <w:rFonts w:cs="Arial"/>
              </w:rPr>
              <w:t>KO4,KO5,KO7,KO8,KP1,KP2,KP4,KP5,KP6,KP7,KP8,KP9,KX1,KX2,KX4,KX5,KX8,KX9,KY2,KY3,KY6,LP4,LP7,LQ1,LQ2,LQ4,LQ5,LQ7,LQ8,LX2,LX3,LX5,</w:t>
            </w:r>
          </w:p>
          <w:p w14:paraId="72F1C52D" w14:textId="1CDB3D0E" w:rsidR="00DB7288" w:rsidRDefault="009B3879" w:rsidP="004E184A">
            <w:pPr>
              <w:pStyle w:val="TableBody"/>
              <w:rPr>
                <w:rFonts w:cs="Arial"/>
              </w:rPr>
            </w:pPr>
            <w:r w:rsidRPr="003428AC">
              <w:rPr>
                <w:rFonts w:cs="Arial"/>
              </w:rPr>
              <w:t>LX6,LX7,LX8,LX9,LZ1,LZ2,LZ3,MR1,MR4,MR5,MR7,MR8,MR9,MT1,MT2,</w:t>
            </w:r>
          </w:p>
          <w:p w14:paraId="33507571" w14:textId="132BCC48" w:rsidR="009F3C6B" w:rsidRDefault="009B3879" w:rsidP="004E184A">
            <w:pPr>
              <w:pStyle w:val="TableBody"/>
              <w:rPr>
                <w:rFonts w:cs="Arial"/>
              </w:rPr>
            </w:pPr>
            <w:r w:rsidRPr="003428AC">
              <w:rPr>
                <w:rFonts w:cs="Arial"/>
              </w:rPr>
              <w:t>MT3,MT6,MT7,MT8,MT9,MU1,MU2,MU3,MU4,MU7,MU8,MU9,MV1,MV2,MV4,MV5,MV6,MV7,MV8,MW6,MW7,MW8,MW9,MX1,MX2,MX3,MX4,MX7,MY1,</w:t>
            </w:r>
          </w:p>
          <w:p w14:paraId="26AD3158" w14:textId="77777777" w:rsidR="009F3C6B" w:rsidRDefault="009B3879" w:rsidP="004E184A">
            <w:pPr>
              <w:pStyle w:val="TableBody"/>
              <w:rPr>
                <w:rFonts w:cs="Arial"/>
              </w:rPr>
            </w:pPr>
            <w:r w:rsidRPr="003428AC">
              <w:rPr>
                <w:rFonts w:cs="Arial"/>
              </w:rPr>
              <w:t>MY4,MY7,MZ1,NS4,NS7,NS8,NS9,NT1,NT2,NT3,NT4,NT7,NU1,NU4,NU5,</w:t>
            </w:r>
          </w:p>
          <w:p w14:paraId="7D69D4C9" w14:textId="77777777" w:rsidR="009F3C6B" w:rsidRDefault="009B3879" w:rsidP="004E184A">
            <w:pPr>
              <w:pStyle w:val="TableBody"/>
              <w:rPr>
                <w:rFonts w:cs="Arial"/>
              </w:rPr>
            </w:pPr>
            <w:r w:rsidRPr="003428AC">
              <w:rPr>
                <w:rFonts w:cs="Arial"/>
              </w:rPr>
              <w:t>NU6,NU8,NU9,NV1,NV2,NV3,AU6I,AU6J,AU6K,AU6L,AU6M,AU6N,AU6O,</w:t>
            </w:r>
          </w:p>
          <w:p w14:paraId="189D018B" w14:textId="3D8DB5E0" w:rsidR="009F3C6B" w:rsidRDefault="009B3879" w:rsidP="004E184A">
            <w:pPr>
              <w:pStyle w:val="TableBody"/>
              <w:rPr>
                <w:rFonts w:cs="Arial"/>
              </w:rPr>
            </w:pPr>
            <w:r w:rsidRPr="003428AC">
              <w:rPr>
                <w:rFonts w:cs="Arial"/>
              </w:rPr>
              <w:t>AU6P,BU4H,BU4I,BU4J,BU4K,BU4L,BU4M,BU4N,BU4O,BU4P,BU5E,BU5F,</w:t>
            </w:r>
          </w:p>
          <w:p w14:paraId="0BFF151A" w14:textId="2F481529" w:rsidR="009F3C6B" w:rsidRDefault="009B3879" w:rsidP="004E184A">
            <w:pPr>
              <w:pStyle w:val="TableBody"/>
              <w:rPr>
                <w:rFonts w:cs="Arial"/>
              </w:rPr>
            </w:pPr>
            <w:r w:rsidRPr="003428AC">
              <w:rPr>
                <w:rFonts w:cs="Arial"/>
              </w:rPr>
              <w:t>BU5G,BU5H,BU5I,BU5J,BU5K,BU5L,BU5M,BU5N,BU5O,BU5P,BU9A,BU9B,</w:t>
            </w:r>
          </w:p>
          <w:p w14:paraId="02CCC6B7" w14:textId="566E4FB7" w:rsidR="009F3C6B" w:rsidRDefault="009B3879" w:rsidP="004E184A">
            <w:pPr>
              <w:pStyle w:val="TableBody"/>
              <w:rPr>
                <w:rFonts w:cs="Arial"/>
              </w:rPr>
            </w:pPr>
            <w:r w:rsidRPr="003428AC">
              <w:rPr>
                <w:rFonts w:cs="Arial"/>
              </w:rPr>
              <w:t>BU9E,BU9F,BU9I,BU9J,BU9M,BU9N,BV1A,BV1B,BV1C,BV1D,BV2A,BV2B,</w:t>
            </w:r>
          </w:p>
          <w:p w14:paraId="32F904CC" w14:textId="5FC2BD16" w:rsidR="009F3C6B" w:rsidRDefault="009B3879" w:rsidP="004E184A">
            <w:pPr>
              <w:pStyle w:val="TableBody"/>
              <w:rPr>
                <w:rFonts w:cs="Arial"/>
              </w:rPr>
            </w:pPr>
            <w:r w:rsidRPr="003428AC">
              <w:rPr>
                <w:rFonts w:cs="Arial"/>
              </w:rPr>
              <w:t>BV2C,BV2D,BV2G,BV2H,BV2K,BV2L,BV2O,BV2P,BV5C,BV5D,BV5G,BV5H,</w:t>
            </w:r>
          </w:p>
          <w:p w14:paraId="10121BA4" w14:textId="26D513F9" w:rsidR="00DB7288" w:rsidRDefault="009B3879" w:rsidP="004E184A">
            <w:pPr>
              <w:pStyle w:val="TableBody"/>
              <w:rPr>
                <w:rFonts w:cs="Arial"/>
              </w:rPr>
            </w:pPr>
            <w:r w:rsidRPr="003428AC">
              <w:rPr>
                <w:rFonts w:cs="Arial"/>
              </w:rPr>
              <w:t>BV5K,BV5L,BV5O,BV5P,IW3A,IW3B,IW3C,IW3D,IW6I,IW6J,IW6K,IW6L,</w:t>
            </w:r>
          </w:p>
          <w:p w14:paraId="01F7D81F" w14:textId="583C60DD" w:rsidR="009F3C6B" w:rsidRDefault="009B3879" w:rsidP="004E184A">
            <w:pPr>
              <w:pStyle w:val="TableBody"/>
              <w:rPr>
                <w:rFonts w:cs="Arial"/>
              </w:rPr>
            </w:pPr>
            <w:r w:rsidRPr="003428AC">
              <w:rPr>
                <w:rFonts w:cs="Arial"/>
              </w:rPr>
              <w:t>IW6M,IW6N,IW6O,IW6P,JW1A,JW1B,JW1C,JW1D,JW1F,JW1G,JW1H,JW1J,</w:t>
            </w:r>
          </w:p>
          <w:p w14:paraId="0114D68E" w14:textId="11927A5B" w:rsidR="00DB7288" w:rsidRDefault="009B3879" w:rsidP="004E184A">
            <w:pPr>
              <w:pStyle w:val="TableBody"/>
              <w:rPr>
                <w:rFonts w:cs="Arial"/>
              </w:rPr>
            </w:pPr>
            <w:r w:rsidRPr="003428AC">
              <w:rPr>
                <w:rFonts w:cs="Arial"/>
              </w:rPr>
              <w:t>JW1K,JW1L,JW1N,JW1O,JW1P,KX3A,KX3B,KX3C,KX3D,KX6M,KX6N,KX6O,KX6P,LX1A,LX1B,LX1C,LX1D,LX1F,LX1G,LX1H,LX1L,LX1P,LX4D,LX4G,</w:t>
            </w:r>
          </w:p>
          <w:p w14:paraId="2ED4495D" w14:textId="4F6F8BBB" w:rsidR="009F3C6B" w:rsidRDefault="009B3879" w:rsidP="004E184A">
            <w:pPr>
              <w:pStyle w:val="TableBody"/>
              <w:rPr>
                <w:rFonts w:cs="Arial"/>
              </w:rPr>
            </w:pPr>
            <w:r w:rsidRPr="003428AC">
              <w:rPr>
                <w:rFonts w:cs="Arial"/>
              </w:rPr>
              <w:t>LX4H,LX4K,LX4L,LX4M,LX4N,LX4O,LX4P,MT4A,MT4B,MT4C,MT4D,MT4E,</w:t>
            </w:r>
          </w:p>
          <w:p w14:paraId="0D512ACF" w14:textId="2BEEC93C" w:rsidR="009F3C6B" w:rsidRDefault="009B3879" w:rsidP="004E184A">
            <w:pPr>
              <w:pStyle w:val="TableBody"/>
              <w:rPr>
                <w:rFonts w:cs="Arial"/>
              </w:rPr>
            </w:pPr>
            <w:r w:rsidRPr="003428AC">
              <w:rPr>
                <w:rFonts w:cs="Arial"/>
              </w:rPr>
              <w:t>MT4I,MT4M,MT4N,MT5A,MT5B,MT5C,MT5D,MT5F,MT5G,MT5H,MT5J,MT5K,MT5L,MT5N,MT5O,MT5P,MU5A,MU5B,MU5E,MU5F,MU5I,MU5J,MU5M,</w:t>
            </w:r>
          </w:p>
          <w:p w14:paraId="4C4C7C33" w14:textId="77777777" w:rsidR="009F3C6B" w:rsidRDefault="009B3879" w:rsidP="004E184A">
            <w:pPr>
              <w:pStyle w:val="TableBody"/>
              <w:rPr>
                <w:rFonts w:cs="Arial"/>
              </w:rPr>
            </w:pPr>
            <w:r w:rsidRPr="003428AC">
              <w:rPr>
                <w:rFonts w:cs="Arial"/>
              </w:rPr>
              <w:t>MU5N,MU5O,MU5P,MU6B,MU6C,MU6D,MU6F,MU6G,MU6H,MU6J,MU6K,</w:t>
            </w:r>
          </w:p>
          <w:p w14:paraId="6838F7E8" w14:textId="0503BCAC" w:rsidR="009F3C6B" w:rsidRDefault="009B3879" w:rsidP="004E184A">
            <w:pPr>
              <w:pStyle w:val="TableBody"/>
              <w:rPr>
                <w:rFonts w:cs="Arial"/>
              </w:rPr>
            </w:pPr>
            <w:r w:rsidRPr="003428AC">
              <w:rPr>
                <w:rFonts w:cs="Arial"/>
              </w:rPr>
              <w:t>MU6L,MU6M,MU6N,MU6O,MU6P,MV3A,MV3B,MV3E,MV3I,MV3M,MV3N,</w:t>
            </w:r>
          </w:p>
          <w:p w14:paraId="39A66701" w14:textId="7033525F" w:rsidR="00DB7288" w:rsidRDefault="009B3879" w:rsidP="004E184A">
            <w:pPr>
              <w:pStyle w:val="TableBody"/>
              <w:rPr>
                <w:rFonts w:cs="Arial"/>
              </w:rPr>
            </w:pPr>
            <w:r w:rsidRPr="003428AC">
              <w:rPr>
                <w:rFonts w:cs="Arial"/>
              </w:rPr>
              <w:t>MV9A,MV9B,MV9C,MW1A,MW1B,MW1C,MW1D,MW1E,MW1F,MW1G,</w:t>
            </w:r>
          </w:p>
          <w:p w14:paraId="1A5DBA2E" w14:textId="581D50DA" w:rsidR="009F3C6B" w:rsidRDefault="009B3879" w:rsidP="004E184A">
            <w:pPr>
              <w:pStyle w:val="TableBody"/>
              <w:rPr>
                <w:rFonts w:cs="Arial"/>
              </w:rPr>
            </w:pPr>
            <w:r w:rsidRPr="003428AC">
              <w:rPr>
                <w:rFonts w:cs="Arial"/>
              </w:rPr>
              <w:t>MW1H,MW1I,MW1J,MW1K,MW1L,MW1M,MW1N,MW1O,MW2A,MW2B,</w:t>
            </w:r>
          </w:p>
          <w:p w14:paraId="265599FB" w14:textId="77777777" w:rsidR="009F3C6B" w:rsidRDefault="009B3879" w:rsidP="004E184A">
            <w:pPr>
              <w:pStyle w:val="TableBody"/>
              <w:rPr>
                <w:rFonts w:cs="Arial"/>
              </w:rPr>
            </w:pPr>
            <w:r w:rsidRPr="003428AC">
              <w:rPr>
                <w:rFonts w:cs="Arial"/>
              </w:rPr>
              <w:t>MW2C,MW2D,MW2E,MW2F,MW2G,MW2H,MW2I,MW2J,MW2K,MW2L,</w:t>
            </w:r>
          </w:p>
          <w:p w14:paraId="3E7ECB0D" w14:textId="4E8E5E94" w:rsidR="009F3C6B" w:rsidRDefault="009B3879" w:rsidP="004E184A">
            <w:pPr>
              <w:pStyle w:val="TableBody"/>
              <w:rPr>
                <w:rFonts w:cs="Arial"/>
              </w:rPr>
            </w:pPr>
            <w:r w:rsidRPr="003428AC">
              <w:rPr>
                <w:rFonts w:cs="Arial"/>
              </w:rPr>
              <w:t>MW2O,MW2P,MW3A,MW3E,MW3I,MW3M,MW3N,MW4A,MW4B,MW4C,</w:t>
            </w:r>
          </w:p>
          <w:p w14:paraId="286108E6" w14:textId="1E62B450" w:rsidR="009F3C6B" w:rsidRDefault="009B3879" w:rsidP="004E184A">
            <w:pPr>
              <w:pStyle w:val="TableBody"/>
              <w:rPr>
                <w:rFonts w:cs="Arial"/>
              </w:rPr>
            </w:pPr>
            <w:r w:rsidRPr="003428AC">
              <w:rPr>
                <w:rFonts w:cs="Arial"/>
              </w:rPr>
              <w:t>MW4E,MW4F,MW4G,MW4I,MW4J,MW4K,MW4M,MW4N,MW4O,MW5C,</w:t>
            </w:r>
          </w:p>
          <w:p w14:paraId="6EFF835A" w14:textId="77777777" w:rsidR="009F3C6B" w:rsidRDefault="009B3879" w:rsidP="004E184A">
            <w:pPr>
              <w:pStyle w:val="TableBody"/>
              <w:rPr>
                <w:rFonts w:cs="Arial"/>
              </w:rPr>
            </w:pPr>
            <w:r w:rsidRPr="003428AC">
              <w:rPr>
                <w:rFonts w:cs="Arial"/>
              </w:rPr>
              <w:t>MW5D,MW5G,MW5H,MW5K,MW5L,MW5O,MW5P,NT5A,NT5B,NT5C,NT5D,</w:t>
            </w:r>
          </w:p>
          <w:p w14:paraId="1EA3D64A" w14:textId="5EE41689" w:rsidR="009F3C6B" w:rsidRDefault="009B3879" w:rsidP="004E184A">
            <w:pPr>
              <w:pStyle w:val="TableBody"/>
              <w:rPr>
                <w:rFonts w:cs="Arial"/>
              </w:rPr>
            </w:pPr>
            <w:r w:rsidRPr="003428AC">
              <w:rPr>
                <w:rFonts w:cs="Arial"/>
              </w:rPr>
              <w:t>NT5E,NT5F,NT5G,NT5H,NT5I,NT5J,NT5K,NT5L,NT5M,NT5N,NT6A,NT6B,</w:t>
            </w:r>
          </w:p>
          <w:p w14:paraId="7ECE9DF3" w14:textId="0F50E0CB" w:rsidR="009F3C6B" w:rsidRDefault="009B3879" w:rsidP="004E184A">
            <w:pPr>
              <w:pStyle w:val="TableBody"/>
              <w:rPr>
                <w:rFonts w:cs="Arial"/>
              </w:rPr>
            </w:pPr>
            <w:r w:rsidRPr="003428AC">
              <w:rPr>
                <w:rFonts w:cs="Arial"/>
              </w:rPr>
              <w:t>NT6C,NT6D,NT6E,NT6F,NT6G,NT6H,NT6I,NT6J,NT6K,NT6L,NT8A,NT8B,</w:t>
            </w:r>
          </w:p>
          <w:p w14:paraId="7ECD0EE7" w14:textId="77777777" w:rsidR="009F3C6B" w:rsidRDefault="009B3879" w:rsidP="004E184A">
            <w:pPr>
              <w:pStyle w:val="TableBody"/>
              <w:rPr>
                <w:rFonts w:cs="Arial"/>
              </w:rPr>
            </w:pPr>
            <w:r w:rsidRPr="003428AC">
              <w:rPr>
                <w:rFonts w:cs="Arial"/>
              </w:rPr>
              <w:t>NT8E,NT8F,NT8I,NT8J,NT8M,NT8N,NU2A,NU2B,NU2E,NU2F,NU2G,NU2I,</w:t>
            </w:r>
          </w:p>
          <w:p w14:paraId="4F61F166" w14:textId="5D3E86B8" w:rsidR="00DB7288" w:rsidRDefault="009B3879" w:rsidP="004E184A">
            <w:pPr>
              <w:pStyle w:val="TableBody"/>
              <w:rPr>
                <w:rFonts w:cs="Arial"/>
              </w:rPr>
            </w:pPr>
            <w:r w:rsidRPr="003428AC">
              <w:rPr>
                <w:rFonts w:cs="Arial"/>
              </w:rPr>
              <w:t>NU2J,NU2K,NU2L,NU2M,NU2N,NU2O,NU2P,NU3M,NU3N,NU3O,NU3P,</w:t>
            </w:r>
          </w:p>
          <w:p w14:paraId="18A912B9" w14:textId="6844FBBE" w:rsidR="009F3C6B" w:rsidRDefault="009B3879" w:rsidP="004E184A">
            <w:pPr>
              <w:pStyle w:val="TableBody"/>
              <w:rPr>
                <w:rFonts w:cs="Arial"/>
              </w:rPr>
            </w:pPr>
            <w:r w:rsidRPr="003428AC">
              <w:rPr>
                <w:rFonts w:cs="Arial"/>
              </w:rPr>
              <w:t>NU7A,NU7B,NU7C,NU7D,NU7E,NU7F,NU7G,NU7H,NU7I,NU7J,NU7L,NU7M,NU7N,NU7O,NU7P,NV4A,NV4B,NV4C,NV4D,NV4E,NV4F,NV4G,NV4H,NV5A,NV5B,NV5C,NV5D,NV5E,NV5F,NV5G,NV5H,BV1E1,BV1E2,BV1E3,BV1E4,</w:t>
            </w:r>
          </w:p>
          <w:p w14:paraId="7005A7DE" w14:textId="29389D26" w:rsidR="009F3C6B" w:rsidRDefault="009B3879" w:rsidP="004E184A">
            <w:pPr>
              <w:pStyle w:val="TableBody"/>
              <w:rPr>
                <w:rFonts w:cs="Arial"/>
              </w:rPr>
            </w:pPr>
            <w:r w:rsidRPr="003428AC">
              <w:rPr>
                <w:rFonts w:cs="Arial"/>
              </w:rPr>
              <w:t>BV1E5,BV1E6,BV1F1,BV1F2,BV1F3,BV1F4,BV1F5,BV1F6,BV1G1,BV1G2,</w:t>
            </w:r>
          </w:p>
          <w:p w14:paraId="68477A9F" w14:textId="7F08D9C3" w:rsidR="009F3C6B" w:rsidRDefault="009B3879" w:rsidP="009F3C6B">
            <w:pPr>
              <w:pStyle w:val="TableBody"/>
              <w:rPr>
                <w:rFonts w:cs="Arial"/>
              </w:rPr>
            </w:pPr>
            <w:r w:rsidRPr="003428AC">
              <w:rPr>
                <w:rFonts w:cs="Arial"/>
              </w:rPr>
              <w:t>BV1G3,BV1G4,BV1G5,BV1G6,BV1H1,BV1H2,BV1H3,BV1H4,BV1H5,BV1H6,</w:t>
            </w:r>
          </w:p>
          <w:p w14:paraId="2027E989" w14:textId="027CA7E1" w:rsidR="009F3C6B" w:rsidRDefault="009B3879" w:rsidP="009F3C6B">
            <w:pPr>
              <w:pStyle w:val="TableBody"/>
              <w:rPr>
                <w:rFonts w:cs="Arial"/>
              </w:rPr>
            </w:pPr>
            <w:r w:rsidRPr="003428AC">
              <w:rPr>
                <w:rFonts w:cs="Arial"/>
              </w:rPr>
              <w:t>BV2E1,BV2E2,BV2E3,BV2E4,BV2E5,BV2E6,BV2F1,BV2F2,BV2F3,BV2F4,</w:t>
            </w:r>
          </w:p>
          <w:p w14:paraId="2AE8B849" w14:textId="46B36847" w:rsidR="009F3C6B" w:rsidRDefault="009B3879" w:rsidP="009F3C6B">
            <w:pPr>
              <w:pStyle w:val="TableBody"/>
              <w:rPr>
                <w:rFonts w:cs="Arial"/>
              </w:rPr>
            </w:pPr>
            <w:r w:rsidRPr="003428AC">
              <w:rPr>
                <w:rFonts w:cs="Arial"/>
              </w:rPr>
              <w:t>BV2F5,BV2F6,BV4M4,BV4M5,BV4M6,BV4M7,BV4M8,BV4M9,BV4N4,BV4N5,BV4N6,BV4N7,BV4N8,BV4N9,BV4O4,BV4O5,BV4O6,BV4O7,BV4O8,BV4O9,BV4P4,BV4P5,BV4P6,BV4P7,BV4P8,BV4P9,BV5M4,BV5M5,BV5M6,BV5M7,</w:t>
            </w:r>
          </w:p>
          <w:p w14:paraId="6DEABD27" w14:textId="03C05FBE" w:rsidR="009F3C6B" w:rsidRDefault="009B3879" w:rsidP="009F3C6B">
            <w:pPr>
              <w:pStyle w:val="TableBody"/>
              <w:rPr>
                <w:rFonts w:cs="Arial"/>
              </w:rPr>
            </w:pPr>
            <w:r w:rsidRPr="003428AC">
              <w:rPr>
                <w:rFonts w:cs="Arial"/>
              </w:rPr>
              <w:t>BV5M8,BV5M9,BV5N4,BV5N5,BV5N6,BV5N7,BV5N8,BV5N9,IW3E1,IW3E2,</w:t>
            </w:r>
          </w:p>
          <w:p w14:paraId="5C84AE23" w14:textId="7E8B2F30" w:rsidR="009F3C6B" w:rsidRDefault="009B3879" w:rsidP="009F3C6B">
            <w:pPr>
              <w:pStyle w:val="TableBody"/>
              <w:rPr>
                <w:rFonts w:cs="Arial"/>
              </w:rPr>
            </w:pPr>
            <w:r w:rsidRPr="003428AC">
              <w:rPr>
                <w:rFonts w:cs="Arial"/>
              </w:rPr>
              <w:t>IW3E3,IW3E4,IW3E7,IW3F1,IW3F2,IW3F3,IW3G1,IW3G2,IW3G3,IW3H1,</w:t>
            </w:r>
          </w:p>
          <w:p w14:paraId="0EDA702B" w14:textId="1B13B72A" w:rsidR="00DB7288" w:rsidRDefault="009B3879" w:rsidP="009F3C6B">
            <w:pPr>
              <w:pStyle w:val="TableBody"/>
              <w:rPr>
                <w:rFonts w:cs="Arial"/>
              </w:rPr>
            </w:pPr>
            <w:r w:rsidRPr="003428AC">
              <w:rPr>
                <w:rFonts w:cs="Arial"/>
              </w:rPr>
              <w:t>IW3H2,IW3H3,IW3I1,IW3I4,IW3I7,IW3M1,IW3M4,IW3M7,IW6A1,IW6A4,</w:t>
            </w:r>
          </w:p>
          <w:p w14:paraId="03AC1632" w14:textId="15BA0A9F" w:rsidR="009F3C6B" w:rsidRDefault="009B3879" w:rsidP="009F3C6B">
            <w:pPr>
              <w:pStyle w:val="TableBody"/>
              <w:rPr>
                <w:rFonts w:cs="Arial"/>
              </w:rPr>
            </w:pPr>
            <w:r w:rsidRPr="003428AC">
              <w:rPr>
                <w:rFonts w:cs="Arial"/>
              </w:rPr>
              <w:t>IW6A7,IW6E1,IW6E4,IW6E7,JW1E1,JW1E2,JW1E3,JW1E5,JW1E6,JW1E8,</w:t>
            </w:r>
          </w:p>
          <w:p w14:paraId="2FA17311" w14:textId="7ECA64D6" w:rsidR="009F3C6B" w:rsidRDefault="009B3879" w:rsidP="009F3C6B">
            <w:pPr>
              <w:pStyle w:val="TableBody"/>
              <w:rPr>
                <w:rFonts w:cs="Arial"/>
              </w:rPr>
            </w:pPr>
            <w:r w:rsidRPr="003428AC">
              <w:rPr>
                <w:rFonts w:cs="Arial"/>
              </w:rPr>
              <w:t>JW1E9,JW1I2,JW1I3,JW1I5,JW1I6,JW1I8,JW1I9,JW1M2,JW1M3,JW1M5,</w:t>
            </w:r>
          </w:p>
          <w:p w14:paraId="2B8673EE" w14:textId="3B1F90E5" w:rsidR="009F3C6B" w:rsidRDefault="009B3879" w:rsidP="009F3C6B">
            <w:pPr>
              <w:pStyle w:val="TableBody"/>
              <w:rPr>
                <w:rFonts w:cs="Arial"/>
              </w:rPr>
            </w:pPr>
            <w:r w:rsidRPr="003428AC">
              <w:rPr>
                <w:rFonts w:cs="Arial"/>
              </w:rPr>
              <w:t>JW1M6,JW1M7,JW1M8,JW1M9,KX3E1,KX3E2,KX3E3,KX3E4,KX3E5,KX3E6,</w:t>
            </w:r>
            <w:r>
              <w:rPr>
                <w:rFonts w:cs="Arial"/>
              </w:rPr>
              <w:br/>
            </w:r>
            <w:r w:rsidRPr="003428AC">
              <w:rPr>
                <w:rFonts w:cs="Arial"/>
              </w:rPr>
              <w:t>KX3E7,KX3E8,KX3F1,KX3F2,KX3F3,KX3F4,KX3G3,KX3H1,KX3H2,KX3H3,</w:t>
            </w:r>
          </w:p>
          <w:p w14:paraId="03494159" w14:textId="4A8675D2" w:rsidR="00DB7288" w:rsidRDefault="009B3879" w:rsidP="009F3C6B">
            <w:pPr>
              <w:pStyle w:val="TableBody"/>
              <w:rPr>
                <w:rFonts w:cs="Arial"/>
              </w:rPr>
            </w:pPr>
            <w:r w:rsidRPr="003428AC">
              <w:rPr>
                <w:rFonts w:cs="Arial"/>
              </w:rPr>
              <w:t>KX3I1,KX3I2,KX3I4,KX3I5,KX3I7,KX3M1,LX1E1,LX1E2,LX1E3,LX1E5,LX1E6,LX1J2,LX1J3,LX1K1,LX1K2,LX1K3,LX1K5,LX1K6,LX1K8,LX1K9,LX4F3,</w:t>
            </w:r>
          </w:p>
          <w:p w14:paraId="507BBC71" w14:textId="72FD87A2" w:rsidR="009F3C6B" w:rsidRDefault="009B3879" w:rsidP="009F3C6B">
            <w:pPr>
              <w:pStyle w:val="TableBody"/>
              <w:rPr>
                <w:rFonts w:cs="Arial"/>
              </w:rPr>
            </w:pPr>
            <w:r w:rsidRPr="003428AC">
              <w:rPr>
                <w:rFonts w:cs="Arial"/>
              </w:rPr>
              <w:t>LX4F6,LX4F9,LX4J3,LX4J6,LX4J9,MT4F1,MT4F2,MT4F3,MT4F4,MT4F5,</w:t>
            </w:r>
          </w:p>
          <w:p w14:paraId="25A8D5CA" w14:textId="641E9697" w:rsidR="009F3C6B" w:rsidRDefault="009B3879" w:rsidP="009F3C6B">
            <w:pPr>
              <w:pStyle w:val="TableBody"/>
              <w:rPr>
                <w:rFonts w:cs="Arial"/>
              </w:rPr>
            </w:pPr>
            <w:r w:rsidRPr="003428AC">
              <w:rPr>
                <w:rFonts w:cs="Arial"/>
              </w:rPr>
              <w:t>MT4F6,MT4F7,MT4F8,MT4G1,MT4J1,MT4J2,MT4J4,MT4J5,MT4J7,MT4J8,</w:t>
            </w:r>
          </w:p>
          <w:p w14:paraId="44A77A9D" w14:textId="3763F1D3" w:rsidR="00DB7288" w:rsidRDefault="009B3879" w:rsidP="009F3C6B">
            <w:pPr>
              <w:pStyle w:val="TableBody"/>
              <w:rPr>
                <w:rFonts w:cs="Arial"/>
              </w:rPr>
            </w:pPr>
            <w:r w:rsidRPr="003428AC">
              <w:rPr>
                <w:rFonts w:cs="Arial"/>
              </w:rPr>
              <w:t>MT4J9,MT4O4,MT4O5,MT4O7,MT4O8,MT4O9,MT4P6,MT4P7,MT4P8,</w:t>
            </w:r>
          </w:p>
          <w:p w14:paraId="503354E7" w14:textId="29661EFA" w:rsidR="009F3C6B" w:rsidRDefault="009B3879" w:rsidP="009F3C6B">
            <w:pPr>
              <w:pStyle w:val="TableBody"/>
              <w:rPr>
                <w:rFonts w:cs="Arial"/>
              </w:rPr>
            </w:pPr>
            <w:r w:rsidRPr="003428AC">
              <w:rPr>
                <w:rFonts w:cs="Arial"/>
              </w:rPr>
              <w:t>MT4P9,MT5E1,MT5E2,MT5E3,MT5E5,MT5E6,MT5E8,MT5E9,MT5I3,MT5I6,</w:t>
            </w:r>
          </w:p>
          <w:p w14:paraId="4B3407C4" w14:textId="5D6522C1" w:rsidR="009F3C6B" w:rsidRDefault="009B3879" w:rsidP="009F3C6B">
            <w:pPr>
              <w:pStyle w:val="TableBody"/>
              <w:rPr>
                <w:rFonts w:cs="Arial"/>
              </w:rPr>
            </w:pPr>
            <w:r w:rsidRPr="003428AC">
              <w:rPr>
                <w:rFonts w:cs="Arial"/>
              </w:rPr>
              <w:t>MT5I8,MT5I9,MT5M2,MT5M3,MT5M4,MT5M5,MT5M6,MT5M7,MT5M8,</w:t>
            </w:r>
          </w:p>
          <w:p w14:paraId="370BF04B" w14:textId="7251E7BC" w:rsidR="009F3C6B" w:rsidRDefault="009B3879" w:rsidP="009F3C6B">
            <w:pPr>
              <w:pStyle w:val="TableBody"/>
              <w:rPr>
                <w:rFonts w:cs="Arial"/>
              </w:rPr>
            </w:pPr>
            <w:r w:rsidRPr="003428AC">
              <w:rPr>
                <w:rFonts w:cs="Arial"/>
              </w:rPr>
              <w:lastRenderedPageBreak/>
              <w:t>MT5M9,MU5C1,MU5C2,MU5C3,MU5C4,MU5C5,MU5C6,MU5C7,MU5D1,</w:t>
            </w:r>
          </w:p>
          <w:p w14:paraId="502DA19D" w14:textId="77777777" w:rsidR="009F3C6B" w:rsidRDefault="009B3879" w:rsidP="009F3C6B">
            <w:pPr>
              <w:pStyle w:val="TableBody"/>
              <w:rPr>
                <w:rFonts w:cs="Arial"/>
              </w:rPr>
            </w:pPr>
            <w:r w:rsidRPr="003428AC">
              <w:rPr>
                <w:rFonts w:cs="Arial"/>
              </w:rPr>
              <w:t>MU5D2,MU5D3,MU5D4,MU5D5,MU5D6,MU5K7,MU6A1,MU6A2,MU6A3,</w:t>
            </w:r>
          </w:p>
          <w:p w14:paraId="3F73962D" w14:textId="6BD95C28" w:rsidR="009F3C6B" w:rsidRDefault="009B3879" w:rsidP="009F3C6B">
            <w:pPr>
              <w:pStyle w:val="TableBody"/>
              <w:rPr>
                <w:rFonts w:cs="Arial"/>
              </w:rPr>
            </w:pPr>
            <w:r w:rsidRPr="003428AC">
              <w:rPr>
                <w:rFonts w:cs="Arial"/>
              </w:rPr>
              <w:t>MU6A4,MU6A5,MU6A6,MU6A8,MU6A9,MU6E3,MU6E6,MU6E9,MU6I3,MU6I6,MU6I8,MU6I9,MV3C1,MV3C2,MV3C3,MV3C4,MV3C5,MV3C6,MV3C7,MV3D1,MV3D2,MV3D3,MV3D4,MV3D5,MV3D6,MV3D8,MV3D9,MV3F1,MV3F2,</w:t>
            </w:r>
          </w:p>
          <w:p w14:paraId="2BC5ED73" w14:textId="6131EDCE" w:rsidR="009F3C6B" w:rsidRDefault="009B3879" w:rsidP="009F3C6B">
            <w:pPr>
              <w:pStyle w:val="TableBody"/>
              <w:rPr>
                <w:rFonts w:cs="Arial"/>
              </w:rPr>
            </w:pPr>
            <w:r w:rsidRPr="003428AC">
              <w:rPr>
                <w:rFonts w:cs="Arial"/>
              </w:rPr>
              <w:t>MV3F4,MV3F7,MV3J1,MV3J4,MV3J7,MV3J8,MV3O4,MV3O5,MV3O6,MV3O7,MV3O8,MV3O9,MV3P2,MV3P3,MV3P4,MV3P5,MV3P6,MV3P7,MV3P8,</w:t>
            </w:r>
          </w:p>
          <w:p w14:paraId="5147014F" w14:textId="0A54D4FB" w:rsidR="009F3C6B" w:rsidRDefault="009B3879" w:rsidP="009F3C6B">
            <w:pPr>
              <w:pStyle w:val="TableBody"/>
              <w:rPr>
                <w:rFonts w:cs="Arial"/>
              </w:rPr>
            </w:pPr>
            <w:r w:rsidRPr="003428AC">
              <w:rPr>
                <w:rFonts w:cs="Arial"/>
              </w:rPr>
              <w:t>MV3P9,MV9D1,MV9D2,MV9D3,MV9D4,MV9D5,MV9D7,MV9D8,MV9E1,</w:t>
            </w:r>
          </w:p>
          <w:p w14:paraId="0F99B733" w14:textId="2158128F" w:rsidR="00DB7288" w:rsidRDefault="009B3879" w:rsidP="009F3C6B">
            <w:pPr>
              <w:pStyle w:val="TableBody"/>
              <w:rPr>
                <w:rFonts w:cs="Arial"/>
              </w:rPr>
            </w:pPr>
            <w:r w:rsidRPr="003428AC">
              <w:rPr>
                <w:rFonts w:cs="Arial"/>
              </w:rPr>
              <w:t>MV9E2,MV9E3,MV9F1,MV9F2,MV9F3,MV9G1,MV9G2,MV9G3,MV9H1,</w:t>
            </w:r>
          </w:p>
          <w:p w14:paraId="7573C688" w14:textId="17D3C85F" w:rsidR="009F3C6B" w:rsidRDefault="009B3879" w:rsidP="009F3C6B">
            <w:pPr>
              <w:pStyle w:val="TableBody"/>
              <w:rPr>
                <w:rFonts w:cs="Arial"/>
              </w:rPr>
            </w:pPr>
            <w:r w:rsidRPr="003428AC">
              <w:rPr>
                <w:rFonts w:cs="Arial"/>
              </w:rPr>
              <w:t>MV9H2,MW1P1,MW1P2,MW1P3,MW2M1,MW2M2,MW2M3,MW2N1,MW2N2,MW2N3,MW3B1,MW3B4,MW3B7,MW3F1,MW3F4,MW3F7,MW3J1,MW3J4,</w:t>
            </w:r>
            <w:r>
              <w:rPr>
                <w:rFonts w:cs="Arial"/>
              </w:rPr>
              <w:br/>
            </w:r>
            <w:r w:rsidRPr="003428AC">
              <w:rPr>
                <w:rFonts w:cs="Arial"/>
              </w:rPr>
              <w:t>MW3J5,MW3J6,MW3J7,MW3J8,MW3J9,MW3O4,MW3O5,MW3O6,MW3O7,</w:t>
            </w:r>
          </w:p>
          <w:p w14:paraId="3CB81FC4" w14:textId="7E7D1B73" w:rsidR="00DB7288" w:rsidRDefault="009B3879" w:rsidP="009F3C6B">
            <w:pPr>
              <w:pStyle w:val="TableBody"/>
              <w:rPr>
                <w:rFonts w:cs="Arial"/>
              </w:rPr>
            </w:pPr>
            <w:r w:rsidRPr="003428AC">
              <w:rPr>
                <w:rFonts w:cs="Arial"/>
              </w:rPr>
              <w:t>MW3O8,MW3O9,MW3P4,MW3P5,MW3P6,MW3P7,MW3P8,MW3P9,MW4P4,MW4P5,MW4P6,MW4P7,MW4P8,MW4P9,MW5M4,MW5M5,MW5M6,MW5M7,MW5M8,MW5M9,MW5N4,MW5N5,MW5N6,MW5N7,MW5N8,MW5N9,NT5O1,NT5O2,NT5O3,NT5P1,NT5P2,NT5P3,NT6M1,NT6M2,NT6M3,NT6N1,NT6N2,NT6N3,NT6O1,NT6O2,NT6O3,NT6P1,NT6P2,NT6P3,NU2C4,NU2C5,NU2C6,NU2C7,NU2C8,NU2C9,NU2D4,NU2D7,NU2H1,NU2H4,NU2H5,NU2H6,</w:t>
            </w:r>
          </w:p>
          <w:p w14:paraId="3C71BAAA" w14:textId="27922D7D" w:rsidR="009F3C6B" w:rsidRDefault="009B3879" w:rsidP="009F3C6B">
            <w:pPr>
              <w:pStyle w:val="TableBody"/>
              <w:rPr>
                <w:rFonts w:cs="Arial"/>
              </w:rPr>
            </w:pPr>
            <w:r w:rsidRPr="003428AC">
              <w:rPr>
                <w:rFonts w:cs="Arial"/>
              </w:rPr>
              <w:t>NU2H7,NU2H8,NU2H9,NU3E4,NU3E7,NU3I1,NU3I4,NU3I5,NU3I6,NU3I7,</w:t>
            </w:r>
          </w:p>
          <w:p w14:paraId="7B1CFA53" w14:textId="6A1036B8" w:rsidR="009F3C6B" w:rsidRDefault="009B3879" w:rsidP="009F3C6B">
            <w:pPr>
              <w:pStyle w:val="TableBody"/>
              <w:rPr>
                <w:rFonts w:cs="Arial"/>
              </w:rPr>
            </w:pPr>
            <w:r w:rsidRPr="003428AC">
              <w:rPr>
                <w:rFonts w:cs="Arial"/>
              </w:rPr>
              <w:t>NU3I8,NU3I9,NU3J4,NU3J5,NU3J6,NU3J7,NU3J8,NU3J9,NU3K4,NU3K5,</w:t>
            </w:r>
          </w:p>
          <w:p w14:paraId="08834528" w14:textId="56C4E827" w:rsidR="009F3C6B" w:rsidRDefault="009B3879" w:rsidP="009F3C6B">
            <w:pPr>
              <w:pStyle w:val="TableBody"/>
              <w:rPr>
                <w:rFonts w:cs="Arial"/>
              </w:rPr>
            </w:pPr>
            <w:r w:rsidRPr="003428AC">
              <w:rPr>
                <w:rFonts w:cs="Arial"/>
              </w:rPr>
              <w:t>NU3K6,NU3K7,NU3K8,NU3K9,NU3L4,NU3L5,NU3L6,NU3L7,NU3L8,NU3L9,</w:t>
            </w:r>
          </w:p>
          <w:p w14:paraId="411B8B86" w14:textId="64B149AA" w:rsidR="009F3C6B" w:rsidRDefault="009B3879" w:rsidP="009F3C6B">
            <w:pPr>
              <w:pStyle w:val="TableBody"/>
              <w:rPr>
                <w:rFonts w:cs="Arial"/>
              </w:rPr>
            </w:pPr>
            <w:r w:rsidRPr="003428AC">
              <w:rPr>
                <w:rFonts w:cs="Arial"/>
              </w:rPr>
              <w:t>NU7K1,NU7K2,NU7K3,NU7K5,NU7K6,NU7K7,NU7K8,NU7K9,NV4I1,NV4I2,</w:t>
            </w:r>
            <w:r>
              <w:rPr>
                <w:rFonts w:cs="Arial"/>
              </w:rPr>
              <w:br/>
            </w:r>
            <w:r w:rsidRPr="003428AC">
              <w:rPr>
                <w:rFonts w:cs="Arial"/>
              </w:rPr>
              <w:t>NV4I3,NV4I4,NV4I7,NV4J1,NV4J2,NV4J3,NV4K1,NV4K2,NV4K3,NV4L1,</w:t>
            </w:r>
          </w:p>
          <w:p w14:paraId="32E2EAFD" w14:textId="77777777" w:rsidR="009F3C6B" w:rsidRDefault="009B3879" w:rsidP="009F3C6B">
            <w:pPr>
              <w:pStyle w:val="TableBody"/>
              <w:rPr>
                <w:rFonts w:cs="Arial"/>
              </w:rPr>
            </w:pPr>
            <w:r w:rsidRPr="003428AC">
              <w:rPr>
                <w:rFonts w:cs="Arial"/>
              </w:rPr>
              <w:t>NV4L2,NV4L3,NV4M1,NV4M4,NV4M7,NV5I1,NV5I2,NV5I3,NV5J1,NV5J2,</w:t>
            </w:r>
          </w:p>
          <w:p w14:paraId="50158505" w14:textId="16EE01F4" w:rsidR="009F3C6B" w:rsidRDefault="009B3879" w:rsidP="009F3C6B">
            <w:pPr>
              <w:pStyle w:val="TableBody"/>
              <w:rPr>
                <w:rFonts w:cs="Arial"/>
              </w:rPr>
            </w:pPr>
            <w:r w:rsidRPr="003428AC">
              <w:rPr>
                <w:rFonts w:cs="Arial"/>
              </w:rPr>
              <w:t>NV5J3,NV5K1,NV5K2,NV5K3,NV5L1,NV5L2,NV5L3,NV7A1,NW1M4,NW1M5,NW1M6,NW1M7,NW1M8,NW1M9,NW1N4,NW1N5,NW1N6,NW1N7,NW1N8,</w:t>
            </w:r>
          </w:p>
          <w:p w14:paraId="5E121F04" w14:textId="62F7D277" w:rsidR="009F3C6B" w:rsidRDefault="009B3879" w:rsidP="009F3C6B">
            <w:pPr>
              <w:pStyle w:val="TableBody"/>
              <w:rPr>
                <w:rFonts w:cs="Arial"/>
              </w:rPr>
            </w:pPr>
            <w:r w:rsidRPr="003428AC">
              <w:rPr>
                <w:rFonts w:cs="Arial"/>
              </w:rPr>
              <w:t>NW1N9,NW1O4,NW1O5,NW1O6,NW1O7,NW1O8,NW1O9,NW1P4,NW1P5,</w:t>
            </w:r>
          </w:p>
          <w:p w14:paraId="3272C672" w14:textId="2C15DED3" w:rsidR="009B3879" w:rsidRPr="003428AC" w:rsidRDefault="009B3879" w:rsidP="009F3C6B">
            <w:pPr>
              <w:pStyle w:val="TableBody"/>
              <w:rPr>
                <w:rFonts w:cs="Arial"/>
              </w:rPr>
            </w:pPr>
            <w:r w:rsidRPr="003428AC">
              <w:rPr>
                <w:rFonts w:cs="Arial"/>
              </w:rPr>
              <w:t>NW1P6,NW1P7,NW1P8,NW1P9</w:t>
            </w:r>
          </w:p>
        </w:tc>
      </w:tr>
    </w:tbl>
    <w:p w14:paraId="4C66841D" w14:textId="77777777" w:rsidR="009B3879" w:rsidRPr="003428AC" w:rsidRDefault="009B3879" w:rsidP="009B3879">
      <w:pPr>
        <w:keepNext/>
        <w:rPr>
          <w:rFonts w:cs="Arial"/>
        </w:rPr>
      </w:pPr>
    </w:p>
    <w:p w14:paraId="13E724F4" w14:textId="77777777" w:rsidR="009B3879" w:rsidRPr="003428AC" w:rsidRDefault="009B3879" w:rsidP="009B3879">
      <w:pPr>
        <w:rPr>
          <w:rFonts w:cs="Arial"/>
        </w:rPr>
      </w:pPr>
    </w:p>
    <w:p w14:paraId="25816502" w14:textId="77777777" w:rsidR="009B3879" w:rsidRPr="004A7F3D" w:rsidRDefault="009B3879" w:rsidP="009B3879"/>
    <w:p w14:paraId="5582C428" w14:textId="77777777" w:rsidR="00BA12F1" w:rsidRPr="00BA12F1" w:rsidRDefault="00BA12F1" w:rsidP="000775EC"/>
    <w:p w14:paraId="072AA635" w14:textId="588CAB24" w:rsidR="00477EC4" w:rsidRPr="00A85D75" w:rsidRDefault="00477EC4" w:rsidP="000775EC">
      <w:pPr>
        <w:spacing w:after="0" w:line="240" w:lineRule="auto"/>
      </w:pPr>
    </w:p>
    <w:sectPr w:rsidR="00477EC4" w:rsidRPr="00A85D75" w:rsidSect="003E1B56">
      <w:pgSz w:w="11906" w:h="16838" w:code="9"/>
      <w:pgMar w:top="1945" w:right="2975"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8875" w14:textId="77777777" w:rsidR="008E70A9" w:rsidRDefault="008E70A9">
      <w:r>
        <w:separator/>
      </w:r>
    </w:p>
  </w:endnote>
  <w:endnote w:type="continuationSeparator" w:id="0">
    <w:p w14:paraId="23953FA3" w14:textId="77777777" w:rsidR="008E70A9" w:rsidRDefault="008E70A9">
      <w:r>
        <w:continuationSeparator/>
      </w:r>
    </w:p>
  </w:endnote>
  <w:endnote w:type="continuationNotice" w:id="1">
    <w:p w14:paraId="1F56DDF6" w14:textId="77777777" w:rsidR="008E70A9" w:rsidRDefault="008E70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00374186" w14:paraId="57A3E24F" w14:textId="77777777" w:rsidTr="7697FD89">
      <w:tc>
        <w:tcPr>
          <w:tcW w:w="3260" w:type="dxa"/>
        </w:tcPr>
        <w:p w14:paraId="39001D93" w14:textId="4970428C" w:rsidR="00374186" w:rsidRDefault="00374186" w:rsidP="7697FD89">
          <w:pPr>
            <w:pStyle w:val="Header"/>
            <w:ind w:left="-115"/>
          </w:pPr>
        </w:p>
      </w:tc>
      <w:tc>
        <w:tcPr>
          <w:tcW w:w="3260" w:type="dxa"/>
        </w:tcPr>
        <w:p w14:paraId="55C4D3A1" w14:textId="74F36FEA" w:rsidR="00374186" w:rsidRDefault="00374186" w:rsidP="7697FD89">
          <w:pPr>
            <w:pStyle w:val="Header"/>
            <w:jc w:val="center"/>
          </w:pPr>
        </w:p>
      </w:tc>
      <w:tc>
        <w:tcPr>
          <w:tcW w:w="3260" w:type="dxa"/>
        </w:tcPr>
        <w:p w14:paraId="64B62491" w14:textId="2B3ECA35" w:rsidR="00374186" w:rsidRDefault="00374186" w:rsidP="7697FD89">
          <w:pPr>
            <w:pStyle w:val="Header"/>
            <w:ind w:right="-115"/>
            <w:jc w:val="right"/>
          </w:pPr>
        </w:p>
      </w:tc>
    </w:tr>
  </w:tbl>
  <w:p w14:paraId="36A714F3" w14:textId="7C7676BA" w:rsidR="00374186" w:rsidRDefault="00374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714E" w14:textId="77777777" w:rsidR="00374186" w:rsidRDefault="00374186" w:rsidP="005E250B">
    <w:pPr>
      <w:pStyle w:val="Footer"/>
      <w:jc w:val="right"/>
    </w:pPr>
    <w:r>
      <w:rPr>
        <w:noProof/>
      </w:rPr>
      <w:drawing>
        <wp:inline distT="0" distB="0" distL="0" distR="0" wp14:anchorId="6197918A" wp14:editId="0F5B4DA5">
          <wp:extent cx="1066800" cy="277368"/>
          <wp:effectExtent l="0" t="0" r="0" b="0"/>
          <wp:docPr id="3" name="Picture 3"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
                    <a:extLst>
                      <a:ext uri="{28A0092B-C50C-407E-A947-70E740481C1C}">
                        <a14:useLocalDpi xmlns:a14="http://schemas.microsoft.com/office/drawing/2010/main" val="0"/>
                      </a:ext>
                    </a:extLst>
                  </a:blip>
                  <a:stretch>
                    <a:fillRect/>
                  </a:stretch>
                </pic:blipFill>
                <pic:spPr>
                  <a:xfrm>
                    <a:off x="0" y="0"/>
                    <a:ext cx="1066800" cy="27736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349D" w14:textId="77777777" w:rsidR="00374186" w:rsidRDefault="003741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D087" w14:textId="77777777" w:rsidR="00374186" w:rsidRDefault="003741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1F02" w14:textId="77777777" w:rsidR="00374186" w:rsidRPr="00622A3B" w:rsidRDefault="00374186"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74AF5781" w14:textId="77777777" w:rsidR="00374186" w:rsidRPr="00A5474E" w:rsidRDefault="00374186"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CD26" w14:textId="77777777" w:rsidR="00374186" w:rsidRPr="00622A3B" w:rsidRDefault="00374186"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5BC1F26F" w14:textId="77777777" w:rsidR="00374186" w:rsidRPr="00A5474E" w:rsidRDefault="00374186"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7FFF" w14:textId="77777777" w:rsidR="00374186" w:rsidRPr="00622A3B" w:rsidRDefault="00374186"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2327198D" w14:textId="77777777" w:rsidR="00374186" w:rsidRPr="00A5474E" w:rsidRDefault="00374186"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79B8" w14:textId="77777777" w:rsidR="00374186" w:rsidRPr="00622A3B" w:rsidRDefault="00374186"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28DA5506" w14:textId="77777777" w:rsidR="00374186" w:rsidRPr="00A5474E" w:rsidRDefault="00374186" w:rsidP="00A547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8AC2" w14:textId="77777777" w:rsidR="00374186" w:rsidRPr="00622A3B" w:rsidRDefault="00374186"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489DE9C0" w14:textId="77777777" w:rsidR="00374186" w:rsidRPr="00A5474E" w:rsidRDefault="00374186"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5F77" w14:textId="77777777" w:rsidR="008E70A9" w:rsidRDefault="008E70A9" w:rsidP="00374186">
      <w:pPr>
        <w:spacing w:after="120"/>
      </w:pPr>
      <w:r>
        <w:separator/>
      </w:r>
    </w:p>
  </w:footnote>
  <w:footnote w:type="continuationSeparator" w:id="0">
    <w:p w14:paraId="772A1C1A" w14:textId="77777777" w:rsidR="008E70A9" w:rsidRDefault="008E70A9">
      <w:r>
        <w:continuationSeparator/>
      </w:r>
    </w:p>
  </w:footnote>
  <w:footnote w:type="continuationNotice" w:id="1">
    <w:p w14:paraId="7CB82269" w14:textId="77777777" w:rsidR="008E70A9" w:rsidRDefault="008E70A9">
      <w:pPr>
        <w:spacing w:after="0" w:line="240" w:lineRule="auto"/>
      </w:pPr>
    </w:p>
  </w:footnote>
  <w:footnote w:id="2">
    <w:p w14:paraId="438578BB" w14:textId="090ACA54" w:rsidR="00374186" w:rsidRDefault="00374186" w:rsidP="00E2254B">
      <w:pPr>
        <w:pStyle w:val="FootnoteText"/>
      </w:pPr>
      <w:r>
        <w:rPr>
          <w:rStyle w:val="FootnoteReference"/>
        </w:rPr>
        <w:footnoteRef/>
      </w:r>
      <w:r>
        <w:t xml:space="preserve"> ACMA </w:t>
      </w:r>
      <w:hyperlink r:id="rId1" w:history="1">
        <w:r w:rsidRPr="00E2254B" w:rsidDel="00950386">
          <w:rPr>
            <w:rStyle w:val="Hyperlink"/>
            <w:i/>
            <w:iCs/>
          </w:rPr>
          <w:t xml:space="preserve">Corporate plan </w:t>
        </w:r>
        <w:r w:rsidR="00950386">
          <w:rPr>
            <w:rStyle w:val="Hyperlink"/>
            <w:i/>
            <w:iCs/>
          </w:rPr>
          <w:t>2023–24</w:t>
        </w:r>
      </w:hyperlink>
      <w:r w:rsidRPr="00800460">
        <w:t>.</w:t>
      </w:r>
    </w:p>
  </w:footnote>
  <w:footnote w:id="3">
    <w:p w14:paraId="72758435" w14:textId="77777777" w:rsidR="00374186" w:rsidRDefault="00374186" w:rsidP="000C0D21">
      <w:pPr>
        <w:pStyle w:val="FootnoteText"/>
      </w:pPr>
      <w:r>
        <w:rPr>
          <w:rStyle w:val="FootnoteReference"/>
        </w:rPr>
        <w:footnoteRef/>
      </w:r>
      <w:r>
        <w:t xml:space="preserve"> Technical conditions include maximum power, frequency range, out-of-band emissions limits, and geographical licence area. </w:t>
      </w:r>
    </w:p>
  </w:footnote>
  <w:footnote w:id="4">
    <w:p w14:paraId="0C16FAF0" w14:textId="76677FF8" w:rsidR="00950386" w:rsidRDefault="00950386">
      <w:pPr>
        <w:pStyle w:val="FootnoteText"/>
      </w:pPr>
      <w:r>
        <w:rPr>
          <w:rStyle w:val="FootnoteReference"/>
        </w:rPr>
        <w:footnoteRef/>
      </w:r>
      <w:r>
        <w:t xml:space="preserve"> The ACMA has also created the area-wide receiver licence, which authorises the operation of radiocommunications receivers.</w:t>
      </w:r>
    </w:p>
  </w:footnote>
  <w:footnote w:id="5">
    <w:p w14:paraId="7F1C388C" w14:textId="188625D5" w:rsidR="006561F0" w:rsidRDefault="006561F0" w:rsidP="006561F0">
      <w:pPr>
        <w:pStyle w:val="FootnoteText"/>
      </w:pPr>
      <w:r>
        <w:rPr>
          <w:rStyle w:val="FootnoteReference"/>
        </w:rPr>
        <w:footnoteRef/>
      </w:r>
      <w:r>
        <w:t xml:space="preserve"> L</w:t>
      </w:r>
      <w:r w:rsidRPr="485C9D3C">
        <w:rPr>
          <w:rFonts w:cs="Arial"/>
        </w:rPr>
        <w:t xml:space="preserve">A WBB </w:t>
      </w:r>
      <w:r w:rsidRPr="00884E59">
        <w:t xml:space="preserve">services </w:t>
      </w:r>
      <w:r>
        <w:t>are deployments by operators servicing small geographic areas, including wireless internet service providers (WISPs), fixed wireless access providers, as well as campus-style and private network deployments by industry verticals and enterprise users</w:t>
      </w:r>
      <w:r w:rsidRPr="485C9D3C">
        <w:rPr>
          <w:rFonts w:cs="Arial"/>
        </w:rPr>
        <w:t>.</w:t>
      </w:r>
    </w:p>
  </w:footnote>
  <w:footnote w:id="6">
    <w:p w14:paraId="78B24A38" w14:textId="18BED7BF" w:rsidR="006561F0" w:rsidRDefault="006561F0" w:rsidP="00B55595">
      <w:pPr>
        <w:pStyle w:val="FootnoteText"/>
        <w:ind w:right="16"/>
      </w:pPr>
      <w:r>
        <w:rPr>
          <w:rStyle w:val="FootnoteReference"/>
        </w:rPr>
        <w:footnoteRef/>
      </w:r>
      <w:r>
        <w:t xml:space="preserve"> Also referred to as unlicensed spectrum by some international regulators. This is</w:t>
      </w:r>
      <w:r w:rsidR="00923098">
        <w:t xml:space="preserve"> </w:t>
      </w:r>
      <w:r>
        <w:t>spectrum where an individual licence for a radiocommunications device is not required.</w:t>
      </w:r>
    </w:p>
  </w:footnote>
  <w:footnote w:id="7">
    <w:p w14:paraId="61A14DB7" w14:textId="6AA79930" w:rsidR="004C7B6C" w:rsidRDefault="004C7B6C">
      <w:pPr>
        <w:pStyle w:val="FootnoteText"/>
      </w:pPr>
      <w:r>
        <w:rPr>
          <w:rStyle w:val="FootnoteReference"/>
        </w:rPr>
        <w:footnoteRef/>
      </w:r>
      <w:r>
        <w:t xml:space="preserve"> ECC Report 318, Compatibility between RMR and MFCN in the 900 MHz range, the 1900</w:t>
      </w:r>
      <w:r w:rsidR="00DD1989">
        <w:t>–</w:t>
      </w:r>
      <w:r>
        <w:t>1920 MHz band and the 2290</w:t>
      </w:r>
      <w:r w:rsidR="00DD1989">
        <w:t>–</w:t>
      </w:r>
      <w:r>
        <w:t>2300 MHz band, 3 July 2022</w:t>
      </w:r>
      <w:r w:rsidR="00DD1989">
        <w:t>.</w:t>
      </w:r>
    </w:p>
  </w:footnote>
  <w:footnote w:id="8">
    <w:p w14:paraId="36ECC58C" w14:textId="46E1FFF3" w:rsidR="004C7B6C" w:rsidRDefault="004C7B6C">
      <w:pPr>
        <w:pStyle w:val="FootnoteText"/>
      </w:pPr>
      <w:r>
        <w:rPr>
          <w:rStyle w:val="FootnoteReference"/>
        </w:rPr>
        <w:footnoteRef/>
      </w:r>
      <w:r>
        <w:t xml:space="preserve"> ECC Report 314, Co-existence between Future Railway Mobile Communication System (FRMCS) in the frequency range 1900</w:t>
      </w:r>
      <w:r w:rsidR="00FE6A79">
        <w:t>–</w:t>
      </w:r>
      <w:r>
        <w:t>1920 MHz and other applications in adjacent bands, 21 May 2020</w:t>
      </w:r>
      <w:r w:rsidR="00530127">
        <w:t>.</w:t>
      </w:r>
    </w:p>
  </w:footnote>
  <w:footnote w:id="9">
    <w:p w14:paraId="4A663212" w14:textId="65A32C28" w:rsidR="00AB5765" w:rsidRDefault="00AB5765">
      <w:pPr>
        <w:pStyle w:val="FootnoteText"/>
      </w:pPr>
      <w:r>
        <w:rPr>
          <w:rStyle w:val="FootnoteReference"/>
        </w:rPr>
        <w:footnoteRef/>
      </w:r>
      <w:r>
        <w:t xml:space="preserve"> Ofcom, ‘Exploring future use of the unpaired 2100 MHz (1900-1920 MHz) spectrum’, 23 March 2023, p. 13</w:t>
      </w:r>
      <w:r w:rsidR="0053012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00374186" w14:paraId="73D0709E" w14:textId="77777777" w:rsidTr="7697FD89">
      <w:tc>
        <w:tcPr>
          <w:tcW w:w="3260" w:type="dxa"/>
        </w:tcPr>
        <w:p w14:paraId="05CF2453" w14:textId="41476194" w:rsidR="00374186" w:rsidRDefault="00374186" w:rsidP="7697FD89">
          <w:pPr>
            <w:pStyle w:val="Header"/>
            <w:ind w:left="-115"/>
          </w:pPr>
        </w:p>
      </w:tc>
      <w:tc>
        <w:tcPr>
          <w:tcW w:w="3260" w:type="dxa"/>
        </w:tcPr>
        <w:p w14:paraId="177F06E5" w14:textId="68A6EF89" w:rsidR="00374186" w:rsidRDefault="00374186" w:rsidP="7697FD89">
          <w:pPr>
            <w:pStyle w:val="Header"/>
            <w:jc w:val="center"/>
          </w:pPr>
        </w:p>
      </w:tc>
      <w:tc>
        <w:tcPr>
          <w:tcW w:w="3260" w:type="dxa"/>
        </w:tcPr>
        <w:p w14:paraId="10C59E72" w14:textId="6A0BDE94" w:rsidR="00374186" w:rsidRDefault="00374186" w:rsidP="7697FD89">
          <w:pPr>
            <w:pStyle w:val="Header"/>
            <w:ind w:right="-115"/>
            <w:jc w:val="right"/>
          </w:pPr>
        </w:p>
      </w:tc>
    </w:tr>
  </w:tbl>
  <w:p w14:paraId="62148C5D" w14:textId="23C24541" w:rsidR="00374186" w:rsidRDefault="00374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838F" w14:textId="77777777" w:rsidR="00374186" w:rsidRPr="00A5474E" w:rsidRDefault="00374186" w:rsidP="00A5474E">
    <w:pPr>
      <w:pStyle w:val="Header"/>
    </w:pPr>
    <w:r>
      <w:rPr>
        <w:noProof/>
      </w:rPr>
      <w:drawing>
        <wp:inline distT="0" distB="0" distL="0" distR="0" wp14:anchorId="0BBCE850" wp14:editId="5272A2FA">
          <wp:extent cx="6210298" cy="571134"/>
          <wp:effectExtent l="0" t="0" r="0" b="0"/>
          <wp:docPr id="2" name="Picture 2"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6210298" cy="5711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D3A0" w14:textId="77777777" w:rsidR="00374186" w:rsidRPr="00A5474E" w:rsidRDefault="00374186" w:rsidP="00594E9C">
    <w:pPr>
      <w:pStyle w:val="TOCHeading"/>
    </w:pPr>
    <w:r w:rsidRPr="0029593B">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F7E2" w14:textId="77777777" w:rsidR="00374186" w:rsidRDefault="003741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4EEE" w14:textId="77777777" w:rsidR="00374186" w:rsidRDefault="003741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374186" w14:paraId="3E88EDE2" w14:textId="77777777" w:rsidTr="00816D2B">
      <w:trPr>
        <w:trHeight w:hRule="exact" w:val="988"/>
      </w:trPr>
      <w:tc>
        <w:tcPr>
          <w:tcW w:w="7678" w:type="dxa"/>
          <w:shd w:val="clear" w:color="auto" w:fill="auto"/>
        </w:tcPr>
        <w:p w14:paraId="7E5FDC07" w14:textId="77777777" w:rsidR="00374186" w:rsidRDefault="00374186" w:rsidP="00971914">
          <w:pPr>
            <w:pStyle w:val="Header"/>
          </w:pPr>
        </w:p>
      </w:tc>
    </w:tr>
    <w:tr w:rsidR="00374186" w14:paraId="6AA9A36E" w14:textId="77777777" w:rsidTr="00816D2B">
      <w:tc>
        <w:tcPr>
          <w:tcW w:w="7678" w:type="dxa"/>
          <w:shd w:val="clear" w:color="auto" w:fill="auto"/>
        </w:tcPr>
        <w:p w14:paraId="261ABBF6" w14:textId="77777777" w:rsidR="00374186" w:rsidRDefault="00374186" w:rsidP="00971914">
          <w:pPr>
            <w:pStyle w:val="GridTable31"/>
          </w:pPr>
          <w:r>
            <w:t xml:space="preserve">Contents </w:t>
          </w:r>
          <w:r w:rsidRPr="00915B1C">
            <w:rPr>
              <w:b w:val="0"/>
              <w:spacing w:val="0"/>
              <w:sz w:val="28"/>
              <w:szCs w:val="28"/>
            </w:rPr>
            <w:t>(Continued)</w:t>
          </w:r>
        </w:p>
      </w:tc>
    </w:tr>
    <w:tr w:rsidR="00374186" w14:paraId="6F1ADF88" w14:textId="77777777" w:rsidTr="00816D2B">
      <w:trPr>
        <w:trHeight w:val="1220"/>
      </w:trPr>
      <w:tc>
        <w:tcPr>
          <w:tcW w:w="7678" w:type="dxa"/>
          <w:shd w:val="clear" w:color="auto" w:fill="auto"/>
        </w:tcPr>
        <w:p w14:paraId="08EFB5B7" w14:textId="77777777" w:rsidR="00374186" w:rsidRDefault="00374186" w:rsidP="00971914"/>
      </w:tc>
    </w:tr>
  </w:tbl>
  <w:p w14:paraId="74FE4B21" w14:textId="77777777" w:rsidR="00374186" w:rsidRDefault="00374186" w:rsidP="009719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374186" w14:paraId="2741D778" w14:textId="77777777" w:rsidTr="00816D2B">
      <w:trPr>
        <w:trHeight w:hRule="exact" w:val="988"/>
      </w:trPr>
      <w:tc>
        <w:tcPr>
          <w:tcW w:w="7678" w:type="dxa"/>
          <w:shd w:val="clear" w:color="auto" w:fill="auto"/>
        </w:tcPr>
        <w:p w14:paraId="28BAF47B" w14:textId="77777777" w:rsidR="00374186" w:rsidRDefault="00374186" w:rsidP="00971914">
          <w:pPr>
            <w:pStyle w:val="Header"/>
          </w:pPr>
        </w:p>
      </w:tc>
    </w:tr>
    <w:tr w:rsidR="00374186" w14:paraId="5EE5F4CF" w14:textId="77777777" w:rsidTr="00816D2B">
      <w:tc>
        <w:tcPr>
          <w:tcW w:w="7678" w:type="dxa"/>
          <w:shd w:val="clear" w:color="auto" w:fill="auto"/>
        </w:tcPr>
        <w:p w14:paraId="23F3E6B2" w14:textId="77777777" w:rsidR="00374186" w:rsidRDefault="00374186" w:rsidP="00971914">
          <w:pPr>
            <w:pStyle w:val="GridTable31"/>
          </w:pPr>
          <w:r>
            <w:t xml:space="preserve">Contents </w:t>
          </w:r>
          <w:r w:rsidRPr="00915B1C">
            <w:rPr>
              <w:b w:val="0"/>
              <w:spacing w:val="0"/>
              <w:sz w:val="28"/>
              <w:szCs w:val="28"/>
            </w:rPr>
            <w:t>(Continued)</w:t>
          </w:r>
        </w:p>
      </w:tc>
    </w:tr>
    <w:tr w:rsidR="00374186" w14:paraId="5083EB68" w14:textId="77777777" w:rsidTr="00816D2B">
      <w:trPr>
        <w:trHeight w:val="1220"/>
      </w:trPr>
      <w:tc>
        <w:tcPr>
          <w:tcW w:w="7678" w:type="dxa"/>
          <w:shd w:val="clear" w:color="auto" w:fill="auto"/>
        </w:tcPr>
        <w:p w14:paraId="36ED813E" w14:textId="77777777" w:rsidR="00374186" w:rsidRDefault="00374186" w:rsidP="00971914"/>
      </w:tc>
    </w:tr>
  </w:tbl>
  <w:p w14:paraId="6FEAE459" w14:textId="77777777" w:rsidR="00374186" w:rsidRPr="00A5474E" w:rsidRDefault="00374186" w:rsidP="00A547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EB7F" w14:textId="77777777" w:rsidR="00374186" w:rsidRDefault="003741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55A1" w14:textId="77777777" w:rsidR="00374186" w:rsidRDefault="00374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89D2C974"/>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62A6F1D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E4B01E0"/>
    <w:multiLevelType w:val="hybridMultilevel"/>
    <w:tmpl w:val="45F08C3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15:restartNumberingAfterBreak="0">
    <w:nsid w:val="2F5A5080"/>
    <w:multiLevelType w:val="hybridMultilevel"/>
    <w:tmpl w:val="BE2AF6CE"/>
    <w:lvl w:ilvl="0" w:tplc="D05E2434">
      <w:start w:val="1"/>
      <w:numFmt w:val="bullet"/>
      <w:pStyle w:val="ACMABulletLevel1"/>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337370BB"/>
    <w:multiLevelType w:val="hybridMultilevel"/>
    <w:tmpl w:val="2CEA9B0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E726423"/>
    <w:multiLevelType w:val="hybridMultilevel"/>
    <w:tmpl w:val="DFD23B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A9C073E"/>
    <w:multiLevelType w:val="hybridMultilevel"/>
    <w:tmpl w:val="0436FC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F9410C"/>
    <w:multiLevelType w:val="hybridMultilevel"/>
    <w:tmpl w:val="E4A2A4CC"/>
    <w:lvl w:ilvl="0" w:tplc="0C09000F">
      <w:start w:val="1"/>
      <w:numFmt w:val="decimal"/>
      <w:lvlText w:val="%1."/>
      <w:lvlJc w:val="left"/>
      <w:pPr>
        <w:ind w:left="720" w:hanging="360"/>
      </w:pPr>
    </w:lvl>
    <w:lvl w:ilvl="1" w:tplc="DA50D02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30646C"/>
    <w:multiLevelType w:val="hybridMultilevel"/>
    <w:tmpl w:val="C040D86A"/>
    <w:lvl w:ilvl="0" w:tplc="D582818E">
      <w:start w:val="1"/>
      <w:numFmt w:val="bullet"/>
      <w:lvlText w:val=""/>
      <w:lvlJc w:val="left"/>
      <w:pPr>
        <w:ind w:left="1000" w:hanging="360"/>
      </w:pPr>
      <w:rPr>
        <w:rFonts w:ascii="Symbol" w:hAnsi="Symbol"/>
      </w:rPr>
    </w:lvl>
    <w:lvl w:ilvl="1" w:tplc="A24267B8">
      <w:start w:val="1"/>
      <w:numFmt w:val="bullet"/>
      <w:lvlText w:val=""/>
      <w:lvlJc w:val="left"/>
      <w:pPr>
        <w:ind w:left="1000" w:hanging="360"/>
      </w:pPr>
      <w:rPr>
        <w:rFonts w:ascii="Symbol" w:hAnsi="Symbol"/>
      </w:rPr>
    </w:lvl>
    <w:lvl w:ilvl="2" w:tplc="97287EBE">
      <w:start w:val="1"/>
      <w:numFmt w:val="bullet"/>
      <w:lvlText w:val=""/>
      <w:lvlJc w:val="left"/>
      <w:pPr>
        <w:ind w:left="1000" w:hanging="360"/>
      </w:pPr>
      <w:rPr>
        <w:rFonts w:ascii="Symbol" w:hAnsi="Symbol"/>
      </w:rPr>
    </w:lvl>
    <w:lvl w:ilvl="3" w:tplc="A1248C92">
      <w:start w:val="1"/>
      <w:numFmt w:val="bullet"/>
      <w:lvlText w:val=""/>
      <w:lvlJc w:val="left"/>
      <w:pPr>
        <w:ind w:left="1000" w:hanging="360"/>
      </w:pPr>
      <w:rPr>
        <w:rFonts w:ascii="Symbol" w:hAnsi="Symbol"/>
      </w:rPr>
    </w:lvl>
    <w:lvl w:ilvl="4" w:tplc="5B9E4986">
      <w:start w:val="1"/>
      <w:numFmt w:val="bullet"/>
      <w:lvlText w:val=""/>
      <w:lvlJc w:val="left"/>
      <w:pPr>
        <w:ind w:left="1000" w:hanging="360"/>
      </w:pPr>
      <w:rPr>
        <w:rFonts w:ascii="Symbol" w:hAnsi="Symbol"/>
      </w:rPr>
    </w:lvl>
    <w:lvl w:ilvl="5" w:tplc="E6644618">
      <w:start w:val="1"/>
      <w:numFmt w:val="bullet"/>
      <w:lvlText w:val=""/>
      <w:lvlJc w:val="left"/>
      <w:pPr>
        <w:ind w:left="1000" w:hanging="360"/>
      </w:pPr>
      <w:rPr>
        <w:rFonts w:ascii="Symbol" w:hAnsi="Symbol"/>
      </w:rPr>
    </w:lvl>
    <w:lvl w:ilvl="6" w:tplc="72906276">
      <w:start w:val="1"/>
      <w:numFmt w:val="bullet"/>
      <w:lvlText w:val=""/>
      <w:lvlJc w:val="left"/>
      <w:pPr>
        <w:ind w:left="1000" w:hanging="360"/>
      </w:pPr>
      <w:rPr>
        <w:rFonts w:ascii="Symbol" w:hAnsi="Symbol"/>
      </w:rPr>
    </w:lvl>
    <w:lvl w:ilvl="7" w:tplc="DB6C38BC">
      <w:start w:val="1"/>
      <w:numFmt w:val="bullet"/>
      <w:lvlText w:val=""/>
      <w:lvlJc w:val="left"/>
      <w:pPr>
        <w:ind w:left="1000" w:hanging="360"/>
      </w:pPr>
      <w:rPr>
        <w:rFonts w:ascii="Symbol" w:hAnsi="Symbol"/>
      </w:rPr>
    </w:lvl>
    <w:lvl w:ilvl="8" w:tplc="1248BDD6">
      <w:start w:val="1"/>
      <w:numFmt w:val="bullet"/>
      <w:lvlText w:val=""/>
      <w:lvlJc w:val="left"/>
      <w:pPr>
        <w:ind w:left="1000" w:hanging="360"/>
      </w:pPr>
      <w:rPr>
        <w:rFonts w:ascii="Symbol" w:hAnsi="Symbol"/>
      </w:rPr>
    </w:lvl>
  </w:abstractNum>
  <w:abstractNum w:abstractNumId="12" w15:restartNumberingAfterBreak="0">
    <w:nsid w:val="55AA21F0"/>
    <w:multiLevelType w:val="hybridMultilevel"/>
    <w:tmpl w:val="E1CA8420"/>
    <w:lvl w:ilvl="0" w:tplc="642448C6">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20378"/>
    <w:multiLevelType w:val="multilevel"/>
    <w:tmpl w:val="75CEFEB4"/>
    <w:lvl w:ilvl="0">
      <w:start w:val="1"/>
      <w:numFmt w:val="decimal"/>
      <w:lvlText w:val="%1."/>
      <w:lvlJc w:val="left"/>
      <w:pPr>
        <w:ind w:left="644" w:hanging="360"/>
      </w:pPr>
    </w:lvl>
    <w:lvl w:ilvl="1">
      <w:start w:val="7"/>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5A954D2D"/>
    <w:multiLevelType w:val="hybridMultilevel"/>
    <w:tmpl w:val="DD50C584"/>
    <w:lvl w:ilvl="0" w:tplc="0C090017">
      <w:start w:val="1"/>
      <w:numFmt w:val="lowerLetter"/>
      <w:lvlText w:val="%1)"/>
      <w:lvlJc w:val="left"/>
      <w:pPr>
        <w:ind w:left="360" w:hanging="360"/>
      </w:pPr>
    </w:lvl>
    <w:lvl w:ilvl="1" w:tplc="E444AD82">
      <w:start w:val="1"/>
      <w:numFmt w:val="lowerRoman"/>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5B824270"/>
    <w:multiLevelType w:val="hybridMultilevel"/>
    <w:tmpl w:val="DFD23B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0DF03E9"/>
    <w:multiLevelType w:val="hybridMultilevel"/>
    <w:tmpl w:val="6F1C0418"/>
    <w:lvl w:ilvl="0" w:tplc="4530D33A">
      <w:start w:val="1"/>
      <w:numFmt w:val="bullet"/>
      <w:lvlText w:val=""/>
      <w:lvlJc w:val="left"/>
      <w:pPr>
        <w:ind w:left="1000" w:hanging="360"/>
      </w:pPr>
      <w:rPr>
        <w:rFonts w:ascii="Symbol" w:hAnsi="Symbol"/>
      </w:rPr>
    </w:lvl>
    <w:lvl w:ilvl="1" w:tplc="F5706B44">
      <w:start w:val="1"/>
      <w:numFmt w:val="bullet"/>
      <w:lvlText w:val=""/>
      <w:lvlJc w:val="left"/>
      <w:pPr>
        <w:ind w:left="1000" w:hanging="360"/>
      </w:pPr>
      <w:rPr>
        <w:rFonts w:ascii="Symbol" w:hAnsi="Symbol"/>
      </w:rPr>
    </w:lvl>
    <w:lvl w:ilvl="2" w:tplc="9B42D642">
      <w:start w:val="1"/>
      <w:numFmt w:val="bullet"/>
      <w:lvlText w:val=""/>
      <w:lvlJc w:val="left"/>
      <w:pPr>
        <w:ind w:left="1000" w:hanging="360"/>
      </w:pPr>
      <w:rPr>
        <w:rFonts w:ascii="Symbol" w:hAnsi="Symbol"/>
      </w:rPr>
    </w:lvl>
    <w:lvl w:ilvl="3" w:tplc="227E9A7A">
      <w:start w:val="1"/>
      <w:numFmt w:val="bullet"/>
      <w:lvlText w:val=""/>
      <w:lvlJc w:val="left"/>
      <w:pPr>
        <w:ind w:left="1000" w:hanging="360"/>
      </w:pPr>
      <w:rPr>
        <w:rFonts w:ascii="Symbol" w:hAnsi="Symbol"/>
      </w:rPr>
    </w:lvl>
    <w:lvl w:ilvl="4" w:tplc="C45E04B8">
      <w:start w:val="1"/>
      <w:numFmt w:val="bullet"/>
      <w:lvlText w:val=""/>
      <w:lvlJc w:val="left"/>
      <w:pPr>
        <w:ind w:left="1000" w:hanging="360"/>
      </w:pPr>
      <w:rPr>
        <w:rFonts w:ascii="Symbol" w:hAnsi="Symbol"/>
      </w:rPr>
    </w:lvl>
    <w:lvl w:ilvl="5" w:tplc="5E9020BE">
      <w:start w:val="1"/>
      <w:numFmt w:val="bullet"/>
      <w:lvlText w:val=""/>
      <w:lvlJc w:val="left"/>
      <w:pPr>
        <w:ind w:left="1000" w:hanging="360"/>
      </w:pPr>
      <w:rPr>
        <w:rFonts w:ascii="Symbol" w:hAnsi="Symbol"/>
      </w:rPr>
    </w:lvl>
    <w:lvl w:ilvl="6" w:tplc="97729EDC">
      <w:start w:val="1"/>
      <w:numFmt w:val="bullet"/>
      <w:lvlText w:val=""/>
      <w:lvlJc w:val="left"/>
      <w:pPr>
        <w:ind w:left="1000" w:hanging="360"/>
      </w:pPr>
      <w:rPr>
        <w:rFonts w:ascii="Symbol" w:hAnsi="Symbol"/>
      </w:rPr>
    </w:lvl>
    <w:lvl w:ilvl="7" w:tplc="E9B460C4">
      <w:start w:val="1"/>
      <w:numFmt w:val="bullet"/>
      <w:lvlText w:val=""/>
      <w:lvlJc w:val="left"/>
      <w:pPr>
        <w:ind w:left="1000" w:hanging="360"/>
      </w:pPr>
      <w:rPr>
        <w:rFonts w:ascii="Symbol" w:hAnsi="Symbol"/>
      </w:rPr>
    </w:lvl>
    <w:lvl w:ilvl="8" w:tplc="BF768734">
      <w:start w:val="1"/>
      <w:numFmt w:val="bullet"/>
      <w:lvlText w:val=""/>
      <w:lvlJc w:val="left"/>
      <w:pPr>
        <w:ind w:left="1000" w:hanging="360"/>
      </w:pPr>
      <w:rPr>
        <w:rFonts w:ascii="Symbol" w:hAnsi="Symbol"/>
      </w:rPr>
    </w:lvl>
  </w:abstractNum>
  <w:abstractNum w:abstractNumId="17"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71478"/>
    <w:multiLevelType w:val="hybridMultilevel"/>
    <w:tmpl w:val="8B7474FA"/>
    <w:lvl w:ilvl="0" w:tplc="30661376">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842CF3"/>
    <w:multiLevelType w:val="hybridMultilevel"/>
    <w:tmpl w:val="45F08C38"/>
    <w:lvl w:ilvl="0" w:tplc="0C09000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7E027592"/>
    <w:multiLevelType w:val="hybridMultilevel"/>
    <w:tmpl w:val="597A223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1184594512">
    <w:abstractNumId w:val="3"/>
  </w:num>
  <w:num w:numId="2" w16cid:durableId="661082461">
    <w:abstractNumId w:val="1"/>
  </w:num>
  <w:num w:numId="3" w16cid:durableId="1520585833">
    <w:abstractNumId w:val="2"/>
  </w:num>
  <w:num w:numId="4" w16cid:durableId="1849446089">
    <w:abstractNumId w:val="0"/>
  </w:num>
  <w:num w:numId="5" w16cid:durableId="796604034">
    <w:abstractNumId w:val="5"/>
  </w:num>
  <w:num w:numId="6" w16cid:durableId="702679624">
    <w:abstractNumId w:val="18"/>
  </w:num>
  <w:num w:numId="7" w16cid:durableId="1237592559">
    <w:abstractNumId w:val="12"/>
  </w:num>
  <w:num w:numId="8" w16cid:durableId="242180351">
    <w:abstractNumId w:val="17"/>
  </w:num>
  <w:num w:numId="9" w16cid:durableId="363867979">
    <w:abstractNumId w:val="19"/>
  </w:num>
  <w:num w:numId="10" w16cid:durableId="1503542191">
    <w:abstractNumId w:val="6"/>
  </w:num>
  <w:num w:numId="11" w16cid:durableId="20580494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243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6947584">
    <w:abstractNumId w:val="10"/>
  </w:num>
  <w:num w:numId="14" w16cid:durableId="188841512">
    <w:abstractNumId w:val="9"/>
  </w:num>
  <w:num w:numId="15" w16cid:durableId="578444011">
    <w:abstractNumId w:val="7"/>
  </w:num>
  <w:num w:numId="16" w16cid:durableId="1338114977">
    <w:abstractNumId w:val="20"/>
  </w:num>
  <w:num w:numId="17" w16cid:durableId="103035225">
    <w:abstractNumId w:val="8"/>
  </w:num>
  <w:num w:numId="18" w16cid:durableId="4670409">
    <w:abstractNumId w:val="15"/>
  </w:num>
  <w:num w:numId="19" w16cid:durableId="862549493">
    <w:abstractNumId w:val="13"/>
  </w:num>
  <w:num w:numId="20" w16cid:durableId="1148866435">
    <w:abstractNumId w:val="3"/>
  </w:num>
  <w:num w:numId="21" w16cid:durableId="348141953">
    <w:abstractNumId w:val="4"/>
  </w:num>
  <w:num w:numId="22" w16cid:durableId="771634071">
    <w:abstractNumId w:val="16"/>
  </w:num>
  <w:num w:numId="23" w16cid:durableId="986938074">
    <w:abstractNumId w:val="11"/>
  </w:num>
  <w:num w:numId="24" w16cid:durableId="20784138">
    <w:abstractNumId w:val="3"/>
  </w:num>
  <w:num w:numId="25" w16cid:durableId="311369045">
    <w:abstractNumId w:val="3"/>
  </w:num>
  <w:num w:numId="26" w16cid:durableId="824056465">
    <w:abstractNumId w:val="3"/>
  </w:num>
  <w:num w:numId="27" w16cid:durableId="280067706">
    <w:abstractNumId w:val="3"/>
  </w:num>
  <w:num w:numId="28" w16cid:durableId="36879908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48"/>
    <w:rsid w:val="000007F2"/>
    <w:rsid w:val="00002E18"/>
    <w:rsid w:val="00003BA4"/>
    <w:rsid w:val="000047DF"/>
    <w:rsid w:val="00004BB7"/>
    <w:rsid w:val="00004DDF"/>
    <w:rsid w:val="00005616"/>
    <w:rsid w:val="000058E6"/>
    <w:rsid w:val="00005CEE"/>
    <w:rsid w:val="00006DFC"/>
    <w:rsid w:val="00006E49"/>
    <w:rsid w:val="00006F56"/>
    <w:rsid w:val="000075A7"/>
    <w:rsid w:val="000075CD"/>
    <w:rsid w:val="00007F54"/>
    <w:rsid w:val="00007F9A"/>
    <w:rsid w:val="00007FAE"/>
    <w:rsid w:val="00010667"/>
    <w:rsid w:val="00010972"/>
    <w:rsid w:val="00010C06"/>
    <w:rsid w:val="00011069"/>
    <w:rsid w:val="0001110A"/>
    <w:rsid w:val="000114B8"/>
    <w:rsid w:val="00011A68"/>
    <w:rsid w:val="00011F02"/>
    <w:rsid w:val="00012090"/>
    <w:rsid w:val="00012535"/>
    <w:rsid w:val="000126DF"/>
    <w:rsid w:val="00012942"/>
    <w:rsid w:val="000129D5"/>
    <w:rsid w:val="00012C96"/>
    <w:rsid w:val="00013009"/>
    <w:rsid w:val="000131B5"/>
    <w:rsid w:val="0001356A"/>
    <w:rsid w:val="00013E95"/>
    <w:rsid w:val="00013EB5"/>
    <w:rsid w:val="000144FA"/>
    <w:rsid w:val="0001450D"/>
    <w:rsid w:val="000145F6"/>
    <w:rsid w:val="00014AEC"/>
    <w:rsid w:val="000150FD"/>
    <w:rsid w:val="0001525D"/>
    <w:rsid w:val="00015970"/>
    <w:rsid w:val="00015ADA"/>
    <w:rsid w:val="00015AE7"/>
    <w:rsid w:val="00016E21"/>
    <w:rsid w:val="00016FF8"/>
    <w:rsid w:val="0001719C"/>
    <w:rsid w:val="000175F6"/>
    <w:rsid w:val="000177B4"/>
    <w:rsid w:val="00020393"/>
    <w:rsid w:val="000217AF"/>
    <w:rsid w:val="00021EFE"/>
    <w:rsid w:val="0002224E"/>
    <w:rsid w:val="00022C05"/>
    <w:rsid w:val="00022E7C"/>
    <w:rsid w:val="000238EF"/>
    <w:rsid w:val="000239F3"/>
    <w:rsid w:val="00023D92"/>
    <w:rsid w:val="000242ED"/>
    <w:rsid w:val="000245E5"/>
    <w:rsid w:val="00024678"/>
    <w:rsid w:val="000246F0"/>
    <w:rsid w:val="000249A1"/>
    <w:rsid w:val="00024C51"/>
    <w:rsid w:val="00024E88"/>
    <w:rsid w:val="00025630"/>
    <w:rsid w:val="00025881"/>
    <w:rsid w:val="00025B77"/>
    <w:rsid w:val="00026068"/>
    <w:rsid w:val="000262D7"/>
    <w:rsid w:val="00026308"/>
    <w:rsid w:val="000265CA"/>
    <w:rsid w:val="0002678B"/>
    <w:rsid w:val="000269FB"/>
    <w:rsid w:val="00026D8E"/>
    <w:rsid w:val="00026F91"/>
    <w:rsid w:val="00027543"/>
    <w:rsid w:val="00027760"/>
    <w:rsid w:val="00027AC9"/>
    <w:rsid w:val="00027B26"/>
    <w:rsid w:val="00027F2C"/>
    <w:rsid w:val="00027F59"/>
    <w:rsid w:val="000304D9"/>
    <w:rsid w:val="00030516"/>
    <w:rsid w:val="000307ED"/>
    <w:rsid w:val="00030915"/>
    <w:rsid w:val="000309F5"/>
    <w:rsid w:val="00030AA4"/>
    <w:rsid w:val="00030DEB"/>
    <w:rsid w:val="00031A43"/>
    <w:rsid w:val="00031FEB"/>
    <w:rsid w:val="000322EC"/>
    <w:rsid w:val="00032621"/>
    <w:rsid w:val="00032BE7"/>
    <w:rsid w:val="00032EE2"/>
    <w:rsid w:val="000330B6"/>
    <w:rsid w:val="000336B4"/>
    <w:rsid w:val="00033860"/>
    <w:rsid w:val="00034650"/>
    <w:rsid w:val="00035210"/>
    <w:rsid w:val="00036412"/>
    <w:rsid w:val="0003719C"/>
    <w:rsid w:val="0003744A"/>
    <w:rsid w:val="000377CE"/>
    <w:rsid w:val="0004073C"/>
    <w:rsid w:val="00040E79"/>
    <w:rsid w:val="000412EB"/>
    <w:rsid w:val="0004133B"/>
    <w:rsid w:val="00041545"/>
    <w:rsid w:val="0004154B"/>
    <w:rsid w:val="00041A8B"/>
    <w:rsid w:val="00042C0A"/>
    <w:rsid w:val="00042EDE"/>
    <w:rsid w:val="0004380E"/>
    <w:rsid w:val="00043A18"/>
    <w:rsid w:val="00044277"/>
    <w:rsid w:val="0004442F"/>
    <w:rsid w:val="000447D7"/>
    <w:rsid w:val="0004488B"/>
    <w:rsid w:val="000453FA"/>
    <w:rsid w:val="000456F3"/>
    <w:rsid w:val="00045957"/>
    <w:rsid w:val="00045D2B"/>
    <w:rsid w:val="00045E51"/>
    <w:rsid w:val="000460AB"/>
    <w:rsid w:val="0004674F"/>
    <w:rsid w:val="00046F6A"/>
    <w:rsid w:val="00047399"/>
    <w:rsid w:val="00047549"/>
    <w:rsid w:val="0004764C"/>
    <w:rsid w:val="0004774A"/>
    <w:rsid w:val="00047B57"/>
    <w:rsid w:val="00047C06"/>
    <w:rsid w:val="00047D4D"/>
    <w:rsid w:val="00050073"/>
    <w:rsid w:val="0005011A"/>
    <w:rsid w:val="0005045A"/>
    <w:rsid w:val="00050BB7"/>
    <w:rsid w:val="00050D00"/>
    <w:rsid w:val="000511CF"/>
    <w:rsid w:val="000514BB"/>
    <w:rsid w:val="00051635"/>
    <w:rsid w:val="00051C1E"/>
    <w:rsid w:val="00052266"/>
    <w:rsid w:val="00052447"/>
    <w:rsid w:val="00052574"/>
    <w:rsid w:val="00052B5D"/>
    <w:rsid w:val="00052DB5"/>
    <w:rsid w:val="0005300A"/>
    <w:rsid w:val="000539F9"/>
    <w:rsid w:val="00053A33"/>
    <w:rsid w:val="00053A9F"/>
    <w:rsid w:val="00053C57"/>
    <w:rsid w:val="00053C7C"/>
    <w:rsid w:val="00053DD7"/>
    <w:rsid w:val="00054045"/>
    <w:rsid w:val="0005422B"/>
    <w:rsid w:val="000544B2"/>
    <w:rsid w:val="0005456D"/>
    <w:rsid w:val="00054C27"/>
    <w:rsid w:val="00054F5B"/>
    <w:rsid w:val="00055331"/>
    <w:rsid w:val="00055A0B"/>
    <w:rsid w:val="00055A98"/>
    <w:rsid w:val="00055ACE"/>
    <w:rsid w:val="00055EC3"/>
    <w:rsid w:val="0005624E"/>
    <w:rsid w:val="000563CE"/>
    <w:rsid w:val="000579E8"/>
    <w:rsid w:val="00057B15"/>
    <w:rsid w:val="00057DAC"/>
    <w:rsid w:val="0006059D"/>
    <w:rsid w:val="0006075E"/>
    <w:rsid w:val="00060E9D"/>
    <w:rsid w:val="00061973"/>
    <w:rsid w:val="00061AE3"/>
    <w:rsid w:val="00062987"/>
    <w:rsid w:val="00062E85"/>
    <w:rsid w:val="000636C9"/>
    <w:rsid w:val="00063727"/>
    <w:rsid w:val="00063780"/>
    <w:rsid w:val="00064159"/>
    <w:rsid w:val="000643C5"/>
    <w:rsid w:val="000653B1"/>
    <w:rsid w:val="00065942"/>
    <w:rsid w:val="000659B6"/>
    <w:rsid w:val="00065F22"/>
    <w:rsid w:val="00066046"/>
    <w:rsid w:val="0006686F"/>
    <w:rsid w:val="0006687F"/>
    <w:rsid w:val="00066BA1"/>
    <w:rsid w:val="0006722A"/>
    <w:rsid w:val="00067A67"/>
    <w:rsid w:val="000700B8"/>
    <w:rsid w:val="00070109"/>
    <w:rsid w:val="00070269"/>
    <w:rsid w:val="000707DC"/>
    <w:rsid w:val="00070AEC"/>
    <w:rsid w:val="0007153B"/>
    <w:rsid w:val="0007173B"/>
    <w:rsid w:val="0007198E"/>
    <w:rsid w:val="00072791"/>
    <w:rsid w:val="00072AE1"/>
    <w:rsid w:val="00072B32"/>
    <w:rsid w:val="00072D42"/>
    <w:rsid w:val="0007323B"/>
    <w:rsid w:val="000732CF"/>
    <w:rsid w:val="000733AD"/>
    <w:rsid w:val="000736C0"/>
    <w:rsid w:val="0007386D"/>
    <w:rsid w:val="000742CF"/>
    <w:rsid w:val="0007449F"/>
    <w:rsid w:val="00074B5A"/>
    <w:rsid w:val="00074BEA"/>
    <w:rsid w:val="00074FA6"/>
    <w:rsid w:val="00074FB8"/>
    <w:rsid w:val="00075A8B"/>
    <w:rsid w:val="00075B96"/>
    <w:rsid w:val="00075DAD"/>
    <w:rsid w:val="00076414"/>
    <w:rsid w:val="000768D2"/>
    <w:rsid w:val="00076F31"/>
    <w:rsid w:val="00077419"/>
    <w:rsid w:val="000775EC"/>
    <w:rsid w:val="000807D7"/>
    <w:rsid w:val="00080982"/>
    <w:rsid w:val="000810AD"/>
    <w:rsid w:val="0008196A"/>
    <w:rsid w:val="00081D8B"/>
    <w:rsid w:val="000828AC"/>
    <w:rsid w:val="00083A99"/>
    <w:rsid w:val="00083B49"/>
    <w:rsid w:val="00083E1F"/>
    <w:rsid w:val="00084D7E"/>
    <w:rsid w:val="00084F1C"/>
    <w:rsid w:val="000851E5"/>
    <w:rsid w:val="000852A4"/>
    <w:rsid w:val="000853F0"/>
    <w:rsid w:val="000853FC"/>
    <w:rsid w:val="00085558"/>
    <w:rsid w:val="00085C3E"/>
    <w:rsid w:val="00086307"/>
    <w:rsid w:val="00086480"/>
    <w:rsid w:val="00086948"/>
    <w:rsid w:val="00086DE2"/>
    <w:rsid w:val="00087154"/>
    <w:rsid w:val="000877D5"/>
    <w:rsid w:val="0008799F"/>
    <w:rsid w:val="0009036D"/>
    <w:rsid w:val="000906F8"/>
    <w:rsid w:val="0009075C"/>
    <w:rsid w:val="00090A90"/>
    <w:rsid w:val="00090E0B"/>
    <w:rsid w:val="00090F64"/>
    <w:rsid w:val="000910EB"/>
    <w:rsid w:val="00091331"/>
    <w:rsid w:val="00091467"/>
    <w:rsid w:val="000915ED"/>
    <w:rsid w:val="000917A0"/>
    <w:rsid w:val="00091BC4"/>
    <w:rsid w:val="0009207A"/>
    <w:rsid w:val="0009209D"/>
    <w:rsid w:val="00092253"/>
    <w:rsid w:val="00092671"/>
    <w:rsid w:val="00092821"/>
    <w:rsid w:val="00092F93"/>
    <w:rsid w:val="0009320A"/>
    <w:rsid w:val="000932F6"/>
    <w:rsid w:val="0009463C"/>
    <w:rsid w:val="000946AF"/>
    <w:rsid w:val="00094A56"/>
    <w:rsid w:val="00094D59"/>
    <w:rsid w:val="000969BD"/>
    <w:rsid w:val="000969BF"/>
    <w:rsid w:val="00096A46"/>
    <w:rsid w:val="00096A7E"/>
    <w:rsid w:val="00096D3E"/>
    <w:rsid w:val="000974E0"/>
    <w:rsid w:val="000979FB"/>
    <w:rsid w:val="000A06F0"/>
    <w:rsid w:val="000A07CE"/>
    <w:rsid w:val="000A0C22"/>
    <w:rsid w:val="000A1400"/>
    <w:rsid w:val="000A1472"/>
    <w:rsid w:val="000A1D33"/>
    <w:rsid w:val="000A21D6"/>
    <w:rsid w:val="000A244E"/>
    <w:rsid w:val="000A2A2A"/>
    <w:rsid w:val="000A30F8"/>
    <w:rsid w:val="000A31AD"/>
    <w:rsid w:val="000A38A5"/>
    <w:rsid w:val="000A3C43"/>
    <w:rsid w:val="000A3E43"/>
    <w:rsid w:val="000A4058"/>
    <w:rsid w:val="000A41D8"/>
    <w:rsid w:val="000A44C4"/>
    <w:rsid w:val="000A4A51"/>
    <w:rsid w:val="000A4B3A"/>
    <w:rsid w:val="000A524C"/>
    <w:rsid w:val="000A54EF"/>
    <w:rsid w:val="000A5669"/>
    <w:rsid w:val="000A571D"/>
    <w:rsid w:val="000A5C9F"/>
    <w:rsid w:val="000A5D2B"/>
    <w:rsid w:val="000A5F76"/>
    <w:rsid w:val="000A6574"/>
    <w:rsid w:val="000A6836"/>
    <w:rsid w:val="000A6946"/>
    <w:rsid w:val="000A6CCA"/>
    <w:rsid w:val="000A7558"/>
    <w:rsid w:val="000A79E2"/>
    <w:rsid w:val="000A7B38"/>
    <w:rsid w:val="000A7B99"/>
    <w:rsid w:val="000A7CBC"/>
    <w:rsid w:val="000B01AD"/>
    <w:rsid w:val="000B03FD"/>
    <w:rsid w:val="000B0536"/>
    <w:rsid w:val="000B0619"/>
    <w:rsid w:val="000B0689"/>
    <w:rsid w:val="000B0B60"/>
    <w:rsid w:val="000B0CAB"/>
    <w:rsid w:val="000B1278"/>
    <w:rsid w:val="000B2480"/>
    <w:rsid w:val="000B2BFB"/>
    <w:rsid w:val="000B2E78"/>
    <w:rsid w:val="000B2FF3"/>
    <w:rsid w:val="000B300A"/>
    <w:rsid w:val="000B3532"/>
    <w:rsid w:val="000B3605"/>
    <w:rsid w:val="000B3B04"/>
    <w:rsid w:val="000B3B40"/>
    <w:rsid w:val="000B3C8E"/>
    <w:rsid w:val="000B3E23"/>
    <w:rsid w:val="000B4664"/>
    <w:rsid w:val="000B47DF"/>
    <w:rsid w:val="000B5053"/>
    <w:rsid w:val="000B597C"/>
    <w:rsid w:val="000B5A7F"/>
    <w:rsid w:val="000B5C86"/>
    <w:rsid w:val="000B5DE3"/>
    <w:rsid w:val="000B5F5F"/>
    <w:rsid w:val="000B6B28"/>
    <w:rsid w:val="000B70AF"/>
    <w:rsid w:val="000B70DF"/>
    <w:rsid w:val="000B74EE"/>
    <w:rsid w:val="000B7557"/>
    <w:rsid w:val="000B79EB"/>
    <w:rsid w:val="000B7BE6"/>
    <w:rsid w:val="000C049C"/>
    <w:rsid w:val="000C08A2"/>
    <w:rsid w:val="000C0A57"/>
    <w:rsid w:val="000C0D21"/>
    <w:rsid w:val="000C0E15"/>
    <w:rsid w:val="000C116A"/>
    <w:rsid w:val="000C13FB"/>
    <w:rsid w:val="000C1DFE"/>
    <w:rsid w:val="000C1E3F"/>
    <w:rsid w:val="000C230C"/>
    <w:rsid w:val="000C28E5"/>
    <w:rsid w:val="000C2B7D"/>
    <w:rsid w:val="000C44EF"/>
    <w:rsid w:val="000C486B"/>
    <w:rsid w:val="000C585B"/>
    <w:rsid w:val="000C62BE"/>
    <w:rsid w:val="000C631D"/>
    <w:rsid w:val="000C6661"/>
    <w:rsid w:val="000C6907"/>
    <w:rsid w:val="000C6A1A"/>
    <w:rsid w:val="000C6AB4"/>
    <w:rsid w:val="000C6F5D"/>
    <w:rsid w:val="000C6F6D"/>
    <w:rsid w:val="000C700B"/>
    <w:rsid w:val="000C71EB"/>
    <w:rsid w:val="000C7775"/>
    <w:rsid w:val="000C7AF4"/>
    <w:rsid w:val="000C7D04"/>
    <w:rsid w:val="000D080A"/>
    <w:rsid w:val="000D0870"/>
    <w:rsid w:val="000D0BAD"/>
    <w:rsid w:val="000D0F90"/>
    <w:rsid w:val="000D10D6"/>
    <w:rsid w:val="000D129C"/>
    <w:rsid w:val="000D1700"/>
    <w:rsid w:val="000D2430"/>
    <w:rsid w:val="000D2659"/>
    <w:rsid w:val="000D279E"/>
    <w:rsid w:val="000D27DE"/>
    <w:rsid w:val="000D2A3A"/>
    <w:rsid w:val="000D2D45"/>
    <w:rsid w:val="000D3171"/>
    <w:rsid w:val="000D3408"/>
    <w:rsid w:val="000D396A"/>
    <w:rsid w:val="000D3B36"/>
    <w:rsid w:val="000D42DE"/>
    <w:rsid w:val="000D4D0B"/>
    <w:rsid w:val="000D5248"/>
    <w:rsid w:val="000D5444"/>
    <w:rsid w:val="000D67FB"/>
    <w:rsid w:val="000D71D9"/>
    <w:rsid w:val="000D766F"/>
    <w:rsid w:val="000D76E0"/>
    <w:rsid w:val="000D7B3D"/>
    <w:rsid w:val="000D7C23"/>
    <w:rsid w:val="000D7DAA"/>
    <w:rsid w:val="000D7E8B"/>
    <w:rsid w:val="000E01E0"/>
    <w:rsid w:val="000E044F"/>
    <w:rsid w:val="000E140B"/>
    <w:rsid w:val="000E19A0"/>
    <w:rsid w:val="000E1DC8"/>
    <w:rsid w:val="000E2568"/>
    <w:rsid w:val="000E2CE5"/>
    <w:rsid w:val="000E2E26"/>
    <w:rsid w:val="000E37D3"/>
    <w:rsid w:val="000E3A0D"/>
    <w:rsid w:val="000E4201"/>
    <w:rsid w:val="000E4449"/>
    <w:rsid w:val="000E47DC"/>
    <w:rsid w:val="000E49EA"/>
    <w:rsid w:val="000E5218"/>
    <w:rsid w:val="000E5592"/>
    <w:rsid w:val="000E588A"/>
    <w:rsid w:val="000E5CD3"/>
    <w:rsid w:val="000E5FF2"/>
    <w:rsid w:val="000E6097"/>
    <w:rsid w:val="000E6104"/>
    <w:rsid w:val="000E6706"/>
    <w:rsid w:val="000E6858"/>
    <w:rsid w:val="000E6CEF"/>
    <w:rsid w:val="000E6E74"/>
    <w:rsid w:val="000E6ED1"/>
    <w:rsid w:val="000E73DA"/>
    <w:rsid w:val="000E76BA"/>
    <w:rsid w:val="000E79EA"/>
    <w:rsid w:val="000F037A"/>
    <w:rsid w:val="000F0C78"/>
    <w:rsid w:val="000F1054"/>
    <w:rsid w:val="000F181A"/>
    <w:rsid w:val="000F288D"/>
    <w:rsid w:val="000F33DD"/>
    <w:rsid w:val="000F36CD"/>
    <w:rsid w:val="000F3809"/>
    <w:rsid w:val="000F3D8F"/>
    <w:rsid w:val="000F5049"/>
    <w:rsid w:val="000F534C"/>
    <w:rsid w:val="000F54F3"/>
    <w:rsid w:val="000F5649"/>
    <w:rsid w:val="000F6090"/>
    <w:rsid w:val="000F6352"/>
    <w:rsid w:val="000F6494"/>
    <w:rsid w:val="000F7584"/>
    <w:rsid w:val="000F7AFC"/>
    <w:rsid w:val="000F7FD6"/>
    <w:rsid w:val="001001F1"/>
    <w:rsid w:val="00100A61"/>
    <w:rsid w:val="00100A91"/>
    <w:rsid w:val="001014CF"/>
    <w:rsid w:val="00101C42"/>
    <w:rsid w:val="00101EE9"/>
    <w:rsid w:val="00102401"/>
    <w:rsid w:val="001029C4"/>
    <w:rsid w:val="00102B05"/>
    <w:rsid w:val="00102B3C"/>
    <w:rsid w:val="00102BE7"/>
    <w:rsid w:val="00102EC4"/>
    <w:rsid w:val="001030F2"/>
    <w:rsid w:val="001034CF"/>
    <w:rsid w:val="00103829"/>
    <w:rsid w:val="00103B17"/>
    <w:rsid w:val="00103BB2"/>
    <w:rsid w:val="001043B6"/>
    <w:rsid w:val="00104AB2"/>
    <w:rsid w:val="00104B0B"/>
    <w:rsid w:val="001057A7"/>
    <w:rsid w:val="00105AC5"/>
    <w:rsid w:val="001060BC"/>
    <w:rsid w:val="001063DD"/>
    <w:rsid w:val="001064C4"/>
    <w:rsid w:val="00106AA9"/>
    <w:rsid w:val="00106B5F"/>
    <w:rsid w:val="00107580"/>
    <w:rsid w:val="0010770B"/>
    <w:rsid w:val="00107E99"/>
    <w:rsid w:val="00110307"/>
    <w:rsid w:val="00110AAF"/>
    <w:rsid w:val="00111115"/>
    <w:rsid w:val="001111ED"/>
    <w:rsid w:val="00111AC4"/>
    <w:rsid w:val="00111C80"/>
    <w:rsid w:val="00111F81"/>
    <w:rsid w:val="00111FCE"/>
    <w:rsid w:val="00112340"/>
    <w:rsid w:val="0011243B"/>
    <w:rsid w:val="001124B8"/>
    <w:rsid w:val="00112810"/>
    <w:rsid w:val="001129CB"/>
    <w:rsid w:val="00112ED6"/>
    <w:rsid w:val="00113504"/>
    <w:rsid w:val="0011376B"/>
    <w:rsid w:val="001144E2"/>
    <w:rsid w:val="0011493E"/>
    <w:rsid w:val="00114AB6"/>
    <w:rsid w:val="00114E24"/>
    <w:rsid w:val="00115015"/>
    <w:rsid w:val="001160BB"/>
    <w:rsid w:val="001161ED"/>
    <w:rsid w:val="0011629A"/>
    <w:rsid w:val="00116639"/>
    <w:rsid w:val="00116930"/>
    <w:rsid w:val="00116A3F"/>
    <w:rsid w:val="00116D29"/>
    <w:rsid w:val="00117317"/>
    <w:rsid w:val="00117326"/>
    <w:rsid w:val="001178CE"/>
    <w:rsid w:val="00120E5D"/>
    <w:rsid w:val="00120ED9"/>
    <w:rsid w:val="00120FA6"/>
    <w:rsid w:val="00121198"/>
    <w:rsid w:val="001215E4"/>
    <w:rsid w:val="00121A17"/>
    <w:rsid w:val="00122371"/>
    <w:rsid w:val="001229A5"/>
    <w:rsid w:val="001231F3"/>
    <w:rsid w:val="00123470"/>
    <w:rsid w:val="001235CC"/>
    <w:rsid w:val="00123853"/>
    <w:rsid w:val="001238EA"/>
    <w:rsid w:val="001240EF"/>
    <w:rsid w:val="0012489B"/>
    <w:rsid w:val="00124BD0"/>
    <w:rsid w:val="00124EB0"/>
    <w:rsid w:val="001259FC"/>
    <w:rsid w:val="00125EDE"/>
    <w:rsid w:val="00125F28"/>
    <w:rsid w:val="001260A9"/>
    <w:rsid w:val="00126981"/>
    <w:rsid w:val="00126F2E"/>
    <w:rsid w:val="001271B5"/>
    <w:rsid w:val="001277F5"/>
    <w:rsid w:val="00127BE9"/>
    <w:rsid w:val="00130017"/>
    <w:rsid w:val="0013034A"/>
    <w:rsid w:val="00130A9C"/>
    <w:rsid w:val="00130F91"/>
    <w:rsid w:val="001313F7"/>
    <w:rsid w:val="0013189C"/>
    <w:rsid w:val="00131F78"/>
    <w:rsid w:val="001325B8"/>
    <w:rsid w:val="00132907"/>
    <w:rsid w:val="00132928"/>
    <w:rsid w:val="00132935"/>
    <w:rsid w:val="00132C50"/>
    <w:rsid w:val="00133019"/>
    <w:rsid w:val="001333A4"/>
    <w:rsid w:val="00134625"/>
    <w:rsid w:val="00134883"/>
    <w:rsid w:val="001349ED"/>
    <w:rsid w:val="00134CD1"/>
    <w:rsid w:val="001351FD"/>
    <w:rsid w:val="0013583A"/>
    <w:rsid w:val="00136020"/>
    <w:rsid w:val="001362C6"/>
    <w:rsid w:val="001369E3"/>
    <w:rsid w:val="00136B02"/>
    <w:rsid w:val="00136D25"/>
    <w:rsid w:val="00136F02"/>
    <w:rsid w:val="00137424"/>
    <w:rsid w:val="001378D1"/>
    <w:rsid w:val="001379CB"/>
    <w:rsid w:val="00137C65"/>
    <w:rsid w:val="00140318"/>
    <w:rsid w:val="00140B07"/>
    <w:rsid w:val="00140BEF"/>
    <w:rsid w:val="00140BFF"/>
    <w:rsid w:val="00140EFD"/>
    <w:rsid w:val="00141098"/>
    <w:rsid w:val="001414AE"/>
    <w:rsid w:val="00141924"/>
    <w:rsid w:val="00141AD9"/>
    <w:rsid w:val="001426AD"/>
    <w:rsid w:val="00142728"/>
    <w:rsid w:val="00142BB6"/>
    <w:rsid w:val="00142D22"/>
    <w:rsid w:val="0014327F"/>
    <w:rsid w:val="00143363"/>
    <w:rsid w:val="00143925"/>
    <w:rsid w:val="0014399B"/>
    <w:rsid w:val="00143A47"/>
    <w:rsid w:val="00143C64"/>
    <w:rsid w:val="00143E11"/>
    <w:rsid w:val="001440F0"/>
    <w:rsid w:val="001442E9"/>
    <w:rsid w:val="001445A9"/>
    <w:rsid w:val="001448F5"/>
    <w:rsid w:val="00145609"/>
    <w:rsid w:val="00145F97"/>
    <w:rsid w:val="00146125"/>
    <w:rsid w:val="001461B9"/>
    <w:rsid w:val="0014690F"/>
    <w:rsid w:val="00146C6B"/>
    <w:rsid w:val="00146CE6"/>
    <w:rsid w:val="00150095"/>
    <w:rsid w:val="00150E2A"/>
    <w:rsid w:val="0015135C"/>
    <w:rsid w:val="00151F72"/>
    <w:rsid w:val="0015233B"/>
    <w:rsid w:val="00152903"/>
    <w:rsid w:val="0015369A"/>
    <w:rsid w:val="001536D2"/>
    <w:rsid w:val="001537F5"/>
    <w:rsid w:val="001538DD"/>
    <w:rsid w:val="00153ABD"/>
    <w:rsid w:val="00153D68"/>
    <w:rsid w:val="00153FD5"/>
    <w:rsid w:val="001551C2"/>
    <w:rsid w:val="00155247"/>
    <w:rsid w:val="00155D9A"/>
    <w:rsid w:val="0015603F"/>
    <w:rsid w:val="0015614F"/>
    <w:rsid w:val="001566D8"/>
    <w:rsid w:val="001575F6"/>
    <w:rsid w:val="001577C2"/>
    <w:rsid w:val="00157D2C"/>
    <w:rsid w:val="001600A4"/>
    <w:rsid w:val="001601C8"/>
    <w:rsid w:val="0016080A"/>
    <w:rsid w:val="001611DA"/>
    <w:rsid w:val="001612CD"/>
    <w:rsid w:val="001613D5"/>
    <w:rsid w:val="001614B9"/>
    <w:rsid w:val="00161729"/>
    <w:rsid w:val="00161970"/>
    <w:rsid w:val="00162A02"/>
    <w:rsid w:val="00162DAE"/>
    <w:rsid w:val="00162DB3"/>
    <w:rsid w:val="0016325C"/>
    <w:rsid w:val="001633C4"/>
    <w:rsid w:val="00163861"/>
    <w:rsid w:val="00163ADA"/>
    <w:rsid w:val="00163E76"/>
    <w:rsid w:val="001641D0"/>
    <w:rsid w:val="00164244"/>
    <w:rsid w:val="0016444B"/>
    <w:rsid w:val="00164804"/>
    <w:rsid w:val="00165737"/>
    <w:rsid w:val="0016574D"/>
    <w:rsid w:val="00165885"/>
    <w:rsid w:val="00165FF5"/>
    <w:rsid w:val="001661A8"/>
    <w:rsid w:val="001670A7"/>
    <w:rsid w:val="00167433"/>
    <w:rsid w:val="00167AD0"/>
    <w:rsid w:val="00167BEA"/>
    <w:rsid w:val="00167F46"/>
    <w:rsid w:val="00170451"/>
    <w:rsid w:val="001704D5"/>
    <w:rsid w:val="001708B0"/>
    <w:rsid w:val="00171167"/>
    <w:rsid w:val="00171591"/>
    <w:rsid w:val="0017189B"/>
    <w:rsid w:val="00171F22"/>
    <w:rsid w:val="001727E9"/>
    <w:rsid w:val="00172B70"/>
    <w:rsid w:val="00172DBD"/>
    <w:rsid w:val="00173047"/>
    <w:rsid w:val="00173512"/>
    <w:rsid w:val="00173981"/>
    <w:rsid w:val="00173A41"/>
    <w:rsid w:val="00173A4D"/>
    <w:rsid w:val="00173BDB"/>
    <w:rsid w:val="00173C43"/>
    <w:rsid w:val="00173D36"/>
    <w:rsid w:val="001742BF"/>
    <w:rsid w:val="00174380"/>
    <w:rsid w:val="0017460E"/>
    <w:rsid w:val="00174887"/>
    <w:rsid w:val="00174A32"/>
    <w:rsid w:val="0017521D"/>
    <w:rsid w:val="0017556D"/>
    <w:rsid w:val="00175C1B"/>
    <w:rsid w:val="00175F9F"/>
    <w:rsid w:val="001760A0"/>
    <w:rsid w:val="001765F2"/>
    <w:rsid w:val="00176788"/>
    <w:rsid w:val="00176F0D"/>
    <w:rsid w:val="001770A4"/>
    <w:rsid w:val="0017719D"/>
    <w:rsid w:val="001772A1"/>
    <w:rsid w:val="0017756F"/>
    <w:rsid w:val="00177723"/>
    <w:rsid w:val="001779F7"/>
    <w:rsid w:val="00177B16"/>
    <w:rsid w:val="00177CDE"/>
    <w:rsid w:val="0018035E"/>
    <w:rsid w:val="00181242"/>
    <w:rsid w:val="00181A03"/>
    <w:rsid w:val="00182063"/>
    <w:rsid w:val="00182113"/>
    <w:rsid w:val="0018213E"/>
    <w:rsid w:val="0018286C"/>
    <w:rsid w:val="00182ADA"/>
    <w:rsid w:val="001832FE"/>
    <w:rsid w:val="00183934"/>
    <w:rsid w:val="00183AEC"/>
    <w:rsid w:val="00183FD7"/>
    <w:rsid w:val="001841DA"/>
    <w:rsid w:val="001842E8"/>
    <w:rsid w:val="00184426"/>
    <w:rsid w:val="00185CAB"/>
    <w:rsid w:val="00186756"/>
    <w:rsid w:val="00186769"/>
    <w:rsid w:val="0018689A"/>
    <w:rsid w:val="00186919"/>
    <w:rsid w:val="00186B68"/>
    <w:rsid w:val="00186EE1"/>
    <w:rsid w:val="001872AF"/>
    <w:rsid w:val="001875A6"/>
    <w:rsid w:val="001875B3"/>
    <w:rsid w:val="001875B7"/>
    <w:rsid w:val="00187C0A"/>
    <w:rsid w:val="00187CB3"/>
    <w:rsid w:val="00187E2B"/>
    <w:rsid w:val="00190086"/>
    <w:rsid w:val="0019049D"/>
    <w:rsid w:val="001904AB"/>
    <w:rsid w:val="0019050A"/>
    <w:rsid w:val="001905AE"/>
    <w:rsid w:val="00190A4A"/>
    <w:rsid w:val="001910D4"/>
    <w:rsid w:val="00191117"/>
    <w:rsid w:val="001926C8"/>
    <w:rsid w:val="00193601"/>
    <w:rsid w:val="00193C68"/>
    <w:rsid w:val="00193DE8"/>
    <w:rsid w:val="00194968"/>
    <w:rsid w:val="00195617"/>
    <w:rsid w:val="00195B8B"/>
    <w:rsid w:val="00195BCF"/>
    <w:rsid w:val="00195CEF"/>
    <w:rsid w:val="00195D48"/>
    <w:rsid w:val="00196183"/>
    <w:rsid w:val="00196442"/>
    <w:rsid w:val="00196F3F"/>
    <w:rsid w:val="001976E3"/>
    <w:rsid w:val="001976F1"/>
    <w:rsid w:val="00197DCA"/>
    <w:rsid w:val="001A01DE"/>
    <w:rsid w:val="001A0201"/>
    <w:rsid w:val="001A0471"/>
    <w:rsid w:val="001A0719"/>
    <w:rsid w:val="001A16BE"/>
    <w:rsid w:val="001A176E"/>
    <w:rsid w:val="001A2569"/>
    <w:rsid w:val="001A25C3"/>
    <w:rsid w:val="001A288C"/>
    <w:rsid w:val="001A29AE"/>
    <w:rsid w:val="001A2C7D"/>
    <w:rsid w:val="001A32EC"/>
    <w:rsid w:val="001A3567"/>
    <w:rsid w:val="001A3E6B"/>
    <w:rsid w:val="001A403E"/>
    <w:rsid w:val="001A4093"/>
    <w:rsid w:val="001A44EC"/>
    <w:rsid w:val="001A4A35"/>
    <w:rsid w:val="001A4B58"/>
    <w:rsid w:val="001A4DF2"/>
    <w:rsid w:val="001A5063"/>
    <w:rsid w:val="001A518C"/>
    <w:rsid w:val="001A55CF"/>
    <w:rsid w:val="001A5897"/>
    <w:rsid w:val="001A628E"/>
    <w:rsid w:val="001A6B05"/>
    <w:rsid w:val="001A70D5"/>
    <w:rsid w:val="001A7DD1"/>
    <w:rsid w:val="001A7F80"/>
    <w:rsid w:val="001B0882"/>
    <w:rsid w:val="001B0926"/>
    <w:rsid w:val="001B0F3F"/>
    <w:rsid w:val="001B13E7"/>
    <w:rsid w:val="001B15E1"/>
    <w:rsid w:val="001B1B38"/>
    <w:rsid w:val="001B1CA0"/>
    <w:rsid w:val="001B1EEF"/>
    <w:rsid w:val="001B20AC"/>
    <w:rsid w:val="001B2355"/>
    <w:rsid w:val="001B23C1"/>
    <w:rsid w:val="001B2D06"/>
    <w:rsid w:val="001B2D70"/>
    <w:rsid w:val="001B2E50"/>
    <w:rsid w:val="001B31CA"/>
    <w:rsid w:val="001B33E2"/>
    <w:rsid w:val="001B3737"/>
    <w:rsid w:val="001B375B"/>
    <w:rsid w:val="001B3E6A"/>
    <w:rsid w:val="001B416C"/>
    <w:rsid w:val="001B41B2"/>
    <w:rsid w:val="001B41FC"/>
    <w:rsid w:val="001B42EC"/>
    <w:rsid w:val="001B4790"/>
    <w:rsid w:val="001B4C2C"/>
    <w:rsid w:val="001B4CB4"/>
    <w:rsid w:val="001B5416"/>
    <w:rsid w:val="001B58AA"/>
    <w:rsid w:val="001B5CE8"/>
    <w:rsid w:val="001B5F37"/>
    <w:rsid w:val="001B614C"/>
    <w:rsid w:val="001B669F"/>
    <w:rsid w:val="001B6791"/>
    <w:rsid w:val="001B6D32"/>
    <w:rsid w:val="001B70BE"/>
    <w:rsid w:val="001B75B2"/>
    <w:rsid w:val="001B7A54"/>
    <w:rsid w:val="001B7E48"/>
    <w:rsid w:val="001C03F9"/>
    <w:rsid w:val="001C0593"/>
    <w:rsid w:val="001C0823"/>
    <w:rsid w:val="001C1197"/>
    <w:rsid w:val="001C1738"/>
    <w:rsid w:val="001C17CE"/>
    <w:rsid w:val="001C19A3"/>
    <w:rsid w:val="001C2790"/>
    <w:rsid w:val="001C2965"/>
    <w:rsid w:val="001C2C14"/>
    <w:rsid w:val="001C2F45"/>
    <w:rsid w:val="001C36CA"/>
    <w:rsid w:val="001C3793"/>
    <w:rsid w:val="001C3BDF"/>
    <w:rsid w:val="001C3E08"/>
    <w:rsid w:val="001C3EC4"/>
    <w:rsid w:val="001C44D1"/>
    <w:rsid w:val="001C4A7E"/>
    <w:rsid w:val="001C4BD8"/>
    <w:rsid w:val="001C4F02"/>
    <w:rsid w:val="001C5806"/>
    <w:rsid w:val="001C5960"/>
    <w:rsid w:val="001C5C75"/>
    <w:rsid w:val="001C5E0F"/>
    <w:rsid w:val="001C6238"/>
    <w:rsid w:val="001C63CB"/>
    <w:rsid w:val="001C6728"/>
    <w:rsid w:val="001C6AB6"/>
    <w:rsid w:val="001C6AEE"/>
    <w:rsid w:val="001C6BD8"/>
    <w:rsid w:val="001C70AB"/>
    <w:rsid w:val="001C70C4"/>
    <w:rsid w:val="001C74A3"/>
    <w:rsid w:val="001C7609"/>
    <w:rsid w:val="001C7630"/>
    <w:rsid w:val="001C793C"/>
    <w:rsid w:val="001D01E2"/>
    <w:rsid w:val="001D05AC"/>
    <w:rsid w:val="001D0A22"/>
    <w:rsid w:val="001D1065"/>
    <w:rsid w:val="001D1203"/>
    <w:rsid w:val="001D1240"/>
    <w:rsid w:val="001D1368"/>
    <w:rsid w:val="001D14F3"/>
    <w:rsid w:val="001D1621"/>
    <w:rsid w:val="001D1A5A"/>
    <w:rsid w:val="001D1B94"/>
    <w:rsid w:val="001D1F48"/>
    <w:rsid w:val="001D2217"/>
    <w:rsid w:val="001D28DE"/>
    <w:rsid w:val="001D2D5A"/>
    <w:rsid w:val="001D2F8E"/>
    <w:rsid w:val="001D3795"/>
    <w:rsid w:val="001D3A73"/>
    <w:rsid w:val="001D3B52"/>
    <w:rsid w:val="001D4572"/>
    <w:rsid w:val="001D50A5"/>
    <w:rsid w:val="001D539E"/>
    <w:rsid w:val="001D53B2"/>
    <w:rsid w:val="001D5512"/>
    <w:rsid w:val="001D558D"/>
    <w:rsid w:val="001D58BF"/>
    <w:rsid w:val="001D5D0E"/>
    <w:rsid w:val="001D616B"/>
    <w:rsid w:val="001D61CD"/>
    <w:rsid w:val="001D6322"/>
    <w:rsid w:val="001D6BC0"/>
    <w:rsid w:val="001D6D15"/>
    <w:rsid w:val="001D6EA9"/>
    <w:rsid w:val="001D70C4"/>
    <w:rsid w:val="001D728B"/>
    <w:rsid w:val="001D7631"/>
    <w:rsid w:val="001D7B58"/>
    <w:rsid w:val="001E04E9"/>
    <w:rsid w:val="001E0A60"/>
    <w:rsid w:val="001E0E3A"/>
    <w:rsid w:val="001E0E6F"/>
    <w:rsid w:val="001E127D"/>
    <w:rsid w:val="001E1336"/>
    <w:rsid w:val="001E1BA5"/>
    <w:rsid w:val="001E268F"/>
    <w:rsid w:val="001E2EDD"/>
    <w:rsid w:val="001E3968"/>
    <w:rsid w:val="001E47B3"/>
    <w:rsid w:val="001E4B10"/>
    <w:rsid w:val="001E4FF0"/>
    <w:rsid w:val="001E5A83"/>
    <w:rsid w:val="001E5CF1"/>
    <w:rsid w:val="001E676E"/>
    <w:rsid w:val="001E71A2"/>
    <w:rsid w:val="001E7732"/>
    <w:rsid w:val="001E79FA"/>
    <w:rsid w:val="001E7FB7"/>
    <w:rsid w:val="001F0786"/>
    <w:rsid w:val="001F0A84"/>
    <w:rsid w:val="001F138C"/>
    <w:rsid w:val="001F17B3"/>
    <w:rsid w:val="001F22F7"/>
    <w:rsid w:val="001F2488"/>
    <w:rsid w:val="001F2521"/>
    <w:rsid w:val="001F3800"/>
    <w:rsid w:val="001F3889"/>
    <w:rsid w:val="001F3A39"/>
    <w:rsid w:val="001F4390"/>
    <w:rsid w:val="001F449D"/>
    <w:rsid w:val="001F47B4"/>
    <w:rsid w:val="001F48E7"/>
    <w:rsid w:val="001F4F4C"/>
    <w:rsid w:val="001F4F94"/>
    <w:rsid w:val="001F50F7"/>
    <w:rsid w:val="001F581E"/>
    <w:rsid w:val="001F63A0"/>
    <w:rsid w:val="001F6771"/>
    <w:rsid w:val="001F6E98"/>
    <w:rsid w:val="001F7067"/>
    <w:rsid w:val="001F7558"/>
    <w:rsid w:val="001F75F8"/>
    <w:rsid w:val="001F7A4F"/>
    <w:rsid w:val="001F7EB8"/>
    <w:rsid w:val="00200826"/>
    <w:rsid w:val="00200B15"/>
    <w:rsid w:val="00200EDA"/>
    <w:rsid w:val="002016D0"/>
    <w:rsid w:val="002016D1"/>
    <w:rsid w:val="00201896"/>
    <w:rsid w:val="00201D10"/>
    <w:rsid w:val="00201EE2"/>
    <w:rsid w:val="00202094"/>
    <w:rsid w:val="00202432"/>
    <w:rsid w:val="00202537"/>
    <w:rsid w:val="00202671"/>
    <w:rsid w:val="002033AA"/>
    <w:rsid w:val="00203614"/>
    <w:rsid w:val="0020368E"/>
    <w:rsid w:val="002040B3"/>
    <w:rsid w:val="002042A2"/>
    <w:rsid w:val="00204DFF"/>
    <w:rsid w:val="002056F0"/>
    <w:rsid w:val="0020572D"/>
    <w:rsid w:val="00205B57"/>
    <w:rsid w:val="00205D76"/>
    <w:rsid w:val="00205F4A"/>
    <w:rsid w:val="00205F9F"/>
    <w:rsid w:val="0020610F"/>
    <w:rsid w:val="002065C2"/>
    <w:rsid w:val="0020669E"/>
    <w:rsid w:val="002067C6"/>
    <w:rsid w:val="00206C49"/>
    <w:rsid w:val="00207674"/>
    <w:rsid w:val="0020770A"/>
    <w:rsid w:val="00207C5F"/>
    <w:rsid w:val="00207E2C"/>
    <w:rsid w:val="00207F57"/>
    <w:rsid w:val="002113BE"/>
    <w:rsid w:val="00211B9C"/>
    <w:rsid w:val="00211E47"/>
    <w:rsid w:val="002121E4"/>
    <w:rsid w:val="00212477"/>
    <w:rsid w:val="00213728"/>
    <w:rsid w:val="002138C2"/>
    <w:rsid w:val="00213A19"/>
    <w:rsid w:val="0021426C"/>
    <w:rsid w:val="00214758"/>
    <w:rsid w:val="00214C0F"/>
    <w:rsid w:val="00214FB1"/>
    <w:rsid w:val="00215358"/>
    <w:rsid w:val="0021564B"/>
    <w:rsid w:val="002157D8"/>
    <w:rsid w:val="002157E0"/>
    <w:rsid w:val="00215EA8"/>
    <w:rsid w:val="00216959"/>
    <w:rsid w:val="00216A57"/>
    <w:rsid w:val="00216CC0"/>
    <w:rsid w:val="00217448"/>
    <w:rsid w:val="00217A6A"/>
    <w:rsid w:val="00217B7B"/>
    <w:rsid w:val="00217D70"/>
    <w:rsid w:val="0022049D"/>
    <w:rsid w:val="00220ADE"/>
    <w:rsid w:val="00220DA2"/>
    <w:rsid w:val="002213BF"/>
    <w:rsid w:val="002214BB"/>
    <w:rsid w:val="002214FB"/>
    <w:rsid w:val="00221B26"/>
    <w:rsid w:val="00221B6E"/>
    <w:rsid w:val="00222675"/>
    <w:rsid w:val="00222730"/>
    <w:rsid w:val="00222AA1"/>
    <w:rsid w:val="0022334F"/>
    <w:rsid w:val="00223E84"/>
    <w:rsid w:val="002249F6"/>
    <w:rsid w:val="00224AED"/>
    <w:rsid w:val="00224B97"/>
    <w:rsid w:val="0022634A"/>
    <w:rsid w:val="00226819"/>
    <w:rsid w:val="0022686D"/>
    <w:rsid w:val="00226E3F"/>
    <w:rsid w:val="00227545"/>
    <w:rsid w:val="0022783F"/>
    <w:rsid w:val="00227FF2"/>
    <w:rsid w:val="002309CF"/>
    <w:rsid w:val="002309D9"/>
    <w:rsid w:val="00230AF4"/>
    <w:rsid w:val="00230C7E"/>
    <w:rsid w:val="0023107C"/>
    <w:rsid w:val="0023110B"/>
    <w:rsid w:val="0023126D"/>
    <w:rsid w:val="00231945"/>
    <w:rsid w:val="00231CB3"/>
    <w:rsid w:val="00231F36"/>
    <w:rsid w:val="00232183"/>
    <w:rsid w:val="002321D9"/>
    <w:rsid w:val="0023287C"/>
    <w:rsid w:val="00232E7F"/>
    <w:rsid w:val="00232EA5"/>
    <w:rsid w:val="00232FCF"/>
    <w:rsid w:val="00233101"/>
    <w:rsid w:val="00233663"/>
    <w:rsid w:val="00233817"/>
    <w:rsid w:val="002340BD"/>
    <w:rsid w:val="00234934"/>
    <w:rsid w:val="00234DE7"/>
    <w:rsid w:val="0023516F"/>
    <w:rsid w:val="00235312"/>
    <w:rsid w:val="00235428"/>
    <w:rsid w:val="00235DB0"/>
    <w:rsid w:val="00236192"/>
    <w:rsid w:val="0023631B"/>
    <w:rsid w:val="002363CB"/>
    <w:rsid w:val="0023649E"/>
    <w:rsid w:val="002367FF"/>
    <w:rsid w:val="00236E38"/>
    <w:rsid w:val="00236EFD"/>
    <w:rsid w:val="00237E5D"/>
    <w:rsid w:val="00240172"/>
    <w:rsid w:val="002401C6"/>
    <w:rsid w:val="00240A5D"/>
    <w:rsid w:val="00240CE9"/>
    <w:rsid w:val="00241234"/>
    <w:rsid w:val="002412C9"/>
    <w:rsid w:val="002422E5"/>
    <w:rsid w:val="00242759"/>
    <w:rsid w:val="00242EE1"/>
    <w:rsid w:val="002434BA"/>
    <w:rsid w:val="002439BE"/>
    <w:rsid w:val="002446FA"/>
    <w:rsid w:val="00244D95"/>
    <w:rsid w:val="00244E9A"/>
    <w:rsid w:val="00244EA1"/>
    <w:rsid w:val="00244ECB"/>
    <w:rsid w:val="00244F95"/>
    <w:rsid w:val="00245151"/>
    <w:rsid w:val="002451EE"/>
    <w:rsid w:val="00245328"/>
    <w:rsid w:val="00245C9B"/>
    <w:rsid w:val="00245E32"/>
    <w:rsid w:val="00245EB6"/>
    <w:rsid w:val="00245EEE"/>
    <w:rsid w:val="0024604B"/>
    <w:rsid w:val="00246089"/>
    <w:rsid w:val="00246093"/>
    <w:rsid w:val="00246702"/>
    <w:rsid w:val="002468A7"/>
    <w:rsid w:val="002468ED"/>
    <w:rsid w:val="00247121"/>
    <w:rsid w:val="00247783"/>
    <w:rsid w:val="00247C59"/>
    <w:rsid w:val="00247CC1"/>
    <w:rsid w:val="00247F2E"/>
    <w:rsid w:val="0025057C"/>
    <w:rsid w:val="00250818"/>
    <w:rsid w:val="0025089D"/>
    <w:rsid w:val="00250ABE"/>
    <w:rsid w:val="00250ADC"/>
    <w:rsid w:val="00250B07"/>
    <w:rsid w:val="00251005"/>
    <w:rsid w:val="002511FC"/>
    <w:rsid w:val="002514E1"/>
    <w:rsid w:val="002517EB"/>
    <w:rsid w:val="00251843"/>
    <w:rsid w:val="0025211C"/>
    <w:rsid w:val="0025231F"/>
    <w:rsid w:val="00252510"/>
    <w:rsid w:val="0025276F"/>
    <w:rsid w:val="00252854"/>
    <w:rsid w:val="00252BF3"/>
    <w:rsid w:val="002530B5"/>
    <w:rsid w:val="002537FA"/>
    <w:rsid w:val="00253D6E"/>
    <w:rsid w:val="002540BB"/>
    <w:rsid w:val="00254D95"/>
    <w:rsid w:val="00254FA3"/>
    <w:rsid w:val="002557AE"/>
    <w:rsid w:val="0025647E"/>
    <w:rsid w:val="00256565"/>
    <w:rsid w:val="00256C63"/>
    <w:rsid w:val="00256CA9"/>
    <w:rsid w:val="002571EF"/>
    <w:rsid w:val="00257321"/>
    <w:rsid w:val="00257553"/>
    <w:rsid w:val="00257B87"/>
    <w:rsid w:val="00257E60"/>
    <w:rsid w:val="00257E8F"/>
    <w:rsid w:val="00257F3E"/>
    <w:rsid w:val="00260054"/>
    <w:rsid w:val="002602DA"/>
    <w:rsid w:val="00260379"/>
    <w:rsid w:val="00260533"/>
    <w:rsid w:val="00260934"/>
    <w:rsid w:val="00260EDF"/>
    <w:rsid w:val="00260FB2"/>
    <w:rsid w:val="002613DB"/>
    <w:rsid w:val="00261A03"/>
    <w:rsid w:val="0026210B"/>
    <w:rsid w:val="00262128"/>
    <w:rsid w:val="002621E7"/>
    <w:rsid w:val="00262CEF"/>
    <w:rsid w:val="002631FA"/>
    <w:rsid w:val="0026351B"/>
    <w:rsid w:val="002635AE"/>
    <w:rsid w:val="00264155"/>
    <w:rsid w:val="00264272"/>
    <w:rsid w:val="00264512"/>
    <w:rsid w:val="00264535"/>
    <w:rsid w:val="00264654"/>
    <w:rsid w:val="00265065"/>
    <w:rsid w:val="00265377"/>
    <w:rsid w:val="00265AA3"/>
    <w:rsid w:val="00265AD9"/>
    <w:rsid w:val="002666C2"/>
    <w:rsid w:val="0026693E"/>
    <w:rsid w:val="00266F26"/>
    <w:rsid w:val="0026705F"/>
    <w:rsid w:val="002677CE"/>
    <w:rsid w:val="00267E52"/>
    <w:rsid w:val="002702EA"/>
    <w:rsid w:val="00270754"/>
    <w:rsid w:val="00270F4D"/>
    <w:rsid w:val="00270FC0"/>
    <w:rsid w:val="00271501"/>
    <w:rsid w:val="0027165D"/>
    <w:rsid w:val="002721AF"/>
    <w:rsid w:val="0027292F"/>
    <w:rsid w:val="002729D1"/>
    <w:rsid w:val="00272FDA"/>
    <w:rsid w:val="00273242"/>
    <w:rsid w:val="00273624"/>
    <w:rsid w:val="00273843"/>
    <w:rsid w:val="00273999"/>
    <w:rsid w:val="00273CEB"/>
    <w:rsid w:val="002743A8"/>
    <w:rsid w:val="0027455D"/>
    <w:rsid w:val="002753CB"/>
    <w:rsid w:val="002753E7"/>
    <w:rsid w:val="00275F79"/>
    <w:rsid w:val="00276293"/>
    <w:rsid w:val="00276910"/>
    <w:rsid w:val="00276965"/>
    <w:rsid w:val="00276F37"/>
    <w:rsid w:val="002800E0"/>
    <w:rsid w:val="002800E5"/>
    <w:rsid w:val="002804BE"/>
    <w:rsid w:val="00280920"/>
    <w:rsid w:val="00280937"/>
    <w:rsid w:val="002809C2"/>
    <w:rsid w:val="00280B48"/>
    <w:rsid w:val="00280C8A"/>
    <w:rsid w:val="002811D7"/>
    <w:rsid w:val="002812EE"/>
    <w:rsid w:val="00281C89"/>
    <w:rsid w:val="00281CC8"/>
    <w:rsid w:val="00281EDA"/>
    <w:rsid w:val="00282153"/>
    <w:rsid w:val="00282163"/>
    <w:rsid w:val="00282536"/>
    <w:rsid w:val="00282620"/>
    <w:rsid w:val="002827B4"/>
    <w:rsid w:val="002827C9"/>
    <w:rsid w:val="0028282F"/>
    <w:rsid w:val="002829FA"/>
    <w:rsid w:val="00282BEF"/>
    <w:rsid w:val="002831FC"/>
    <w:rsid w:val="0028328A"/>
    <w:rsid w:val="00283530"/>
    <w:rsid w:val="002837D7"/>
    <w:rsid w:val="00283859"/>
    <w:rsid w:val="00283906"/>
    <w:rsid w:val="00284735"/>
    <w:rsid w:val="0028483E"/>
    <w:rsid w:val="00284BDB"/>
    <w:rsid w:val="00284FA1"/>
    <w:rsid w:val="002853C2"/>
    <w:rsid w:val="00285D91"/>
    <w:rsid w:val="0028628B"/>
    <w:rsid w:val="00286350"/>
    <w:rsid w:val="002867BA"/>
    <w:rsid w:val="002868E3"/>
    <w:rsid w:val="00286922"/>
    <w:rsid w:val="00286B2F"/>
    <w:rsid w:val="00286B3D"/>
    <w:rsid w:val="00286F95"/>
    <w:rsid w:val="002901FC"/>
    <w:rsid w:val="0029082E"/>
    <w:rsid w:val="00291312"/>
    <w:rsid w:val="002921DC"/>
    <w:rsid w:val="00292289"/>
    <w:rsid w:val="002922D7"/>
    <w:rsid w:val="0029288D"/>
    <w:rsid w:val="00292AAD"/>
    <w:rsid w:val="00292BA8"/>
    <w:rsid w:val="00292C26"/>
    <w:rsid w:val="00292E51"/>
    <w:rsid w:val="002939EE"/>
    <w:rsid w:val="00293B26"/>
    <w:rsid w:val="00293C65"/>
    <w:rsid w:val="00293E0A"/>
    <w:rsid w:val="002946B6"/>
    <w:rsid w:val="002946E4"/>
    <w:rsid w:val="002948B7"/>
    <w:rsid w:val="00294CC9"/>
    <w:rsid w:val="002952BA"/>
    <w:rsid w:val="002956C5"/>
    <w:rsid w:val="002956CD"/>
    <w:rsid w:val="0029593B"/>
    <w:rsid w:val="00295B5E"/>
    <w:rsid w:val="00295BC3"/>
    <w:rsid w:val="00296174"/>
    <w:rsid w:val="00296F24"/>
    <w:rsid w:val="0029709A"/>
    <w:rsid w:val="00297215"/>
    <w:rsid w:val="00297541"/>
    <w:rsid w:val="00297648"/>
    <w:rsid w:val="002977E1"/>
    <w:rsid w:val="00297BE1"/>
    <w:rsid w:val="00297E39"/>
    <w:rsid w:val="00297FC0"/>
    <w:rsid w:val="00297FC5"/>
    <w:rsid w:val="002A0328"/>
    <w:rsid w:val="002A0417"/>
    <w:rsid w:val="002A116A"/>
    <w:rsid w:val="002A127A"/>
    <w:rsid w:val="002A16D8"/>
    <w:rsid w:val="002A1806"/>
    <w:rsid w:val="002A1BC8"/>
    <w:rsid w:val="002A20C2"/>
    <w:rsid w:val="002A2586"/>
    <w:rsid w:val="002A2823"/>
    <w:rsid w:val="002A2C46"/>
    <w:rsid w:val="002A2ED7"/>
    <w:rsid w:val="002A309F"/>
    <w:rsid w:val="002A38FA"/>
    <w:rsid w:val="002A3D40"/>
    <w:rsid w:val="002A3EF2"/>
    <w:rsid w:val="002A4845"/>
    <w:rsid w:val="002A4DDD"/>
    <w:rsid w:val="002A5410"/>
    <w:rsid w:val="002A58D1"/>
    <w:rsid w:val="002A59CC"/>
    <w:rsid w:val="002A5B51"/>
    <w:rsid w:val="002A5BC5"/>
    <w:rsid w:val="002A5FE1"/>
    <w:rsid w:val="002A60B1"/>
    <w:rsid w:val="002A61CD"/>
    <w:rsid w:val="002A6607"/>
    <w:rsid w:val="002A6F8E"/>
    <w:rsid w:val="002A7387"/>
    <w:rsid w:val="002A7458"/>
    <w:rsid w:val="002A759B"/>
    <w:rsid w:val="002A777E"/>
    <w:rsid w:val="002B0DED"/>
    <w:rsid w:val="002B0F69"/>
    <w:rsid w:val="002B125B"/>
    <w:rsid w:val="002B17C1"/>
    <w:rsid w:val="002B1859"/>
    <w:rsid w:val="002B1873"/>
    <w:rsid w:val="002B1899"/>
    <w:rsid w:val="002B19A2"/>
    <w:rsid w:val="002B1CD7"/>
    <w:rsid w:val="002B2F8B"/>
    <w:rsid w:val="002B381A"/>
    <w:rsid w:val="002B3DB2"/>
    <w:rsid w:val="002B479F"/>
    <w:rsid w:val="002B4FCC"/>
    <w:rsid w:val="002B50D5"/>
    <w:rsid w:val="002B51BB"/>
    <w:rsid w:val="002B5202"/>
    <w:rsid w:val="002B52E5"/>
    <w:rsid w:val="002B5422"/>
    <w:rsid w:val="002B54D9"/>
    <w:rsid w:val="002B555E"/>
    <w:rsid w:val="002B55E0"/>
    <w:rsid w:val="002B6092"/>
    <w:rsid w:val="002B60AE"/>
    <w:rsid w:val="002B683F"/>
    <w:rsid w:val="002B6CD5"/>
    <w:rsid w:val="002B6E87"/>
    <w:rsid w:val="002B6EBD"/>
    <w:rsid w:val="002B7405"/>
    <w:rsid w:val="002B7408"/>
    <w:rsid w:val="002B7478"/>
    <w:rsid w:val="002B7CFD"/>
    <w:rsid w:val="002B7D5F"/>
    <w:rsid w:val="002C01A6"/>
    <w:rsid w:val="002C0530"/>
    <w:rsid w:val="002C0B9F"/>
    <w:rsid w:val="002C0F59"/>
    <w:rsid w:val="002C0F87"/>
    <w:rsid w:val="002C14AA"/>
    <w:rsid w:val="002C1C3C"/>
    <w:rsid w:val="002C210F"/>
    <w:rsid w:val="002C30F2"/>
    <w:rsid w:val="002C3740"/>
    <w:rsid w:val="002C377C"/>
    <w:rsid w:val="002C3E64"/>
    <w:rsid w:val="002C3F11"/>
    <w:rsid w:val="002C4459"/>
    <w:rsid w:val="002C457B"/>
    <w:rsid w:val="002C4887"/>
    <w:rsid w:val="002C4E6B"/>
    <w:rsid w:val="002C5045"/>
    <w:rsid w:val="002C5A30"/>
    <w:rsid w:val="002C5E61"/>
    <w:rsid w:val="002C686A"/>
    <w:rsid w:val="002C6AED"/>
    <w:rsid w:val="002C6BB5"/>
    <w:rsid w:val="002C6E7E"/>
    <w:rsid w:val="002C7806"/>
    <w:rsid w:val="002C7A1D"/>
    <w:rsid w:val="002C7D8C"/>
    <w:rsid w:val="002D02F0"/>
    <w:rsid w:val="002D03B5"/>
    <w:rsid w:val="002D0983"/>
    <w:rsid w:val="002D0BCC"/>
    <w:rsid w:val="002D0FD0"/>
    <w:rsid w:val="002D10A9"/>
    <w:rsid w:val="002D10FD"/>
    <w:rsid w:val="002D2004"/>
    <w:rsid w:val="002D2A31"/>
    <w:rsid w:val="002D2AF1"/>
    <w:rsid w:val="002D3108"/>
    <w:rsid w:val="002D3521"/>
    <w:rsid w:val="002D35FD"/>
    <w:rsid w:val="002D3600"/>
    <w:rsid w:val="002D37AD"/>
    <w:rsid w:val="002D4408"/>
    <w:rsid w:val="002D4A66"/>
    <w:rsid w:val="002D5083"/>
    <w:rsid w:val="002D54B3"/>
    <w:rsid w:val="002D554F"/>
    <w:rsid w:val="002D6127"/>
    <w:rsid w:val="002D63A8"/>
    <w:rsid w:val="002D65D2"/>
    <w:rsid w:val="002D6853"/>
    <w:rsid w:val="002D6D8A"/>
    <w:rsid w:val="002D71E8"/>
    <w:rsid w:val="002D7D29"/>
    <w:rsid w:val="002D7DC4"/>
    <w:rsid w:val="002E084A"/>
    <w:rsid w:val="002E0964"/>
    <w:rsid w:val="002E1348"/>
    <w:rsid w:val="002E219D"/>
    <w:rsid w:val="002E21EE"/>
    <w:rsid w:val="002E23AD"/>
    <w:rsid w:val="002E2B8B"/>
    <w:rsid w:val="002E3024"/>
    <w:rsid w:val="002E3CB3"/>
    <w:rsid w:val="002E3E0D"/>
    <w:rsid w:val="002E4445"/>
    <w:rsid w:val="002E48CB"/>
    <w:rsid w:val="002E4C92"/>
    <w:rsid w:val="002E4DC9"/>
    <w:rsid w:val="002E4DDC"/>
    <w:rsid w:val="002E4E2E"/>
    <w:rsid w:val="002E4EA8"/>
    <w:rsid w:val="002E57E1"/>
    <w:rsid w:val="002E5D6F"/>
    <w:rsid w:val="002E5D97"/>
    <w:rsid w:val="002E6A04"/>
    <w:rsid w:val="002E6A17"/>
    <w:rsid w:val="002E6A6A"/>
    <w:rsid w:val="002E6B2B"/>
    <w:rsid w:val="002E788A"/>
    <w:rsid w:val="002E78AD"/>
    <w:rsid w:val="002E7A99"/>
    <w:rsid w:val="002F0884"/>
    <w:rsid w:val="002F0BBE"/>
    <w:rsid w:val="002F0D22"/>
    <w:rsid w:val="002F116A"/>
    <w:rsid w:val="002F11D5"/>
    <w:rsid w:val="002F1617"/>
    <w:rsid w:val="002F1BBD"/>
    <w:rsid w:val="002F1C96"/>
    <w:rsid w:val="002F1D86"/>
    <w:rsid w:val="002F1F79"/>
    <w:rsid w:val="002F1F80"/>
    <w:rsid w:val="002F22DD"/>
    <w:rsid w:val="002F2AAB"/>
    <w:rsid w:val="002F35C0"/>
    <w:rsid w:val="002F3A3A"/>
    <w:rsid w:val="002F5523"/>
    <w:rsid w:val="002F55F1"/>
    <w:rsid w:val="002F61DC"/>
    <w:rsid w:val="002F6701"/>
    <w:rsid w:val="002F6B81"/>
    <w:rsid w:val="002F6B9F"/>
    <w:rsid w:val="002F6C6F"/>
    <w:rsid w:val="002F6F37"/>
    <w:rsid w:val="002F6F80"/>
    <w:rsid w:val="002F7289"/>
    <w:rsid w:val="002F7295"/>
    <w:rsid w:val="002F74A7"/>
    <w:rsid w:val="002F7526"/>
    <w:rsid w:val="002F752E"/>
    <w:rsid w:val="002F77B0"/>
    <w:rsid w:val="002F7EAC"/>
    <w:rsid w:val="003000DA"/>
    <w:rsid w:val="00300348"/>
    <w:rsid w:val="003007BA"/>
    <w:rsid w:val="00300EF7"/>
    <w:rsid w:val="0030114E"/>
    <w:rsid w:val="00301CFB"/>
    <w:rsid w:val="00301E17"/>
    <w:rsid w:val="003020E6"/>
    <w:rsid w:val="00302153"/>
    <w:rsid w:val="00302480"/>
    <w:rsid w:val="003026E5"/>
    <w:rsid w:val="00302758"/>
    <w:rsid w:val="00303D64"/>
    <w:rsid w:val="00303F23"/>
    <w:rsid w:val="0030471C"/>
    <w:rsid w:val="00304EF3"/>
    <w:rsid w:val="00305232"/>
    <w:rsid w:val="003069D8"/>
    <w:rsid w:val="003069DF"/>
    <w:rsid w:val="00306D77"/>
    <w:rsid w:val="00307318"/>
    <w:rsid w:val="00310944"/>
    <w:rsid w:val="003109BE"/>
    <w:rsid w:val="003109F9"/>
    <w:rsid w:val="00310AE9"/>
    <w:rsid w:val="0031145B"/>
    <w:rsid w:val="00311E83"/>
    <w:rsid w:val="003123E8"/>
    <w:rsid w:val="003126F1"/>
    <w:rsid w:val="00312A9E"/>
    <w:rsid w:val="00312D65"/>
    <w:rsid w:val="003132F1"/>
    <w:rsid w:val="003136E0"/>
    <w:rsid w:val="003138B0"/>
    <w:rsid w:val="00313F19"/>
    <w:rsid w:val="00314558"/>
    <w:rsid w:val="003146DD"/>
    <w:rsid w:val="00314838"/>
    <w:rsid w:val="00314A22"/>
    <w:rsid w:val="00314F99"/>
    <w:rsid w:val="003153F8"/>
    <w:rsid w:val="003153FB"/>
    <w:rsid w:val="00315CE3"/>
    <w:rsid w:val="0031602F"/>
    <w:rsid w:val="003163DB"/>
    <w:rsid w:val="003165E6"/>
    <w:rsid w:val="00316868"/>
    <w:rsid w:val="0031724E"/>
    <w:rsid w:val="003176B2"/>
    <w:rsid w:val="00320207"/>
    <w:rsid w:val="003203E6"/>
    <w:rsid w:val="003205A7"/>
    <w:rsid w:val="0032062B"/>
    <w:rsid w:val="00320771"/>
    <w:rsid w:val="003207C0"/>
    <w:rsid w:val="00320AAB"/>
    <w:rsid w:val="00320B3E"/>
    <w:rsid w:val="00320BF9"/>
    <w:rsid w:val="00320D32"/>
    <w:rsid w:val="00320E97"/>
    <w:rsid w:val="00321309"/>
    <w:rsid w:val="003215B5"/>
    <w:rsid w:val="00321B15"/>
    <w:rsid w:val="00321CB1"/>
    <w:rsid w:val="00321DA8"/>
    <w:rsid w:val="00322051"/>
    <w:rsid w:val="003221CF"/>
    <w:rsid w:val="003229DF"/>
    <w:rsid w:val="00322A96"/>
    <w:rsid w:val="00322D9D"/>
    <w:rsid w:val="003233ED"/>
    <w:rsid w:val="00323952"/>
    <w:rsid w:val="00323E91"/>
    <w:rsid w:val="0032410E"/>
    <w:rsid w:val="00324D9F"/>
    <w:rsid w:val="00325218"/>
    <w:rsid w:val="00325505"/>
    <w:rsid w:val="00325FCC"/>
    <w:rsid w:val="003260A0"/>
    <w:rsid w:val="00326AFC"/>
    <w:rsid w:val="00326C93"/>
    <w:rsid w:val="00326E41"/>
    <w:rsid w:val="0032743E"/>
    <w:rsid w:val="003274A9"/>
    <w:rsid w:val="00327804"/>
    <w:rsid w:val="00327907"/>
    <w:rsid w:val="00327948"/>
    <w:rsid w:val="0033000F"/>
    <w:rsid w:val="003300A2"/>
    <w:rsid w:val="00330129"/>
    <w:rsid w:val="00330595"/>
    <w:rsid w:val="0033062C"/>
    <w:rsid w:val="00330723"/>
    <w:rsid w:val="0033096A"/>
    <w:rsid w:val="003311AB"/>
    <w:rsid w:val="003315D7"/>
    <w:rsid w:val="003317BA"/>
    <w:rsid w:val="003317F2"/>
    <w:rsid w:val="00331B00"/>
    <w:rsid w:val="00331BF7"/>
    <w:rsid w:val="00331DB7"/>
    <w:rsid w:val="00331FCD"/>
    <w:rsid w:val="00332011"/>
    <w:rsid w:val="00332518"/>
    <w:rsid w:val="00332520"/>
    <w:rsid w:val="00332522"/>
    <w:rsid w:val="00332587"/>
    <w:rsid w:val="003326E2"/>
    <w:rsid w:val="00332925"/>
    <w:rsid w:val="00332AB3"/>
    <w:rsid w:val="00332B1A"/>
    <w:rsid w:val="00332CAF"/>
    <w:rsid w:val="00332E3F"/>
    <w:rsid w:val="003332ED"/>
    <w:rsid w:val="00333638"/>
    <w:rsid w:val="00333BD3"/>
    <w:rsid w:val="00333C7D"/>
    <w:rsid w:val="00333F6F"/>
    <w:rsid w:val="003345F8"/>
    <w:rsid w:val="00334C72"/>
    <w:rsid w:val="003354CA"/>
    <w:rsid w:val="00336450"/>
    <w:rsid w:val="003364D0"/>
    <w:rsid w:val="003368DC"/>
    <w:rsid w:val="00336E01"/>
    <w:rsid w:val="00336F36"/>
    <w:rsid w:val="0033729E"/>
    <w:rsid w:val="003379AC"/>
    <w:rsid w:val="00337AB6"/>
    <w:rsid w:val="00337BD1"/>
    <w:rsid w:val="00340166"/>
    <w:rsid w:val="0034044B"/>
    <w:rsid w:val="00341148"/>
    <w:rsid w:val="0034166C"/>
    <w:rsid w:val="00341BE1"/>
    <w:rsid w:val="00342067"/>
    <w:rsid w:val="0034253A"/>
    <w:rsid w:val="0034254D"/>
    <w:rsid w:val="003427B6"/>
    <w:rsid w:val="0034329D"/>
    <w:rsid w:val="0034375D"/>
    <w:rsid w:val="00344A80"/>
    <w:rsid w:val="00344D7D"/>
    <w:rsid w:val="00344F4F"/>
    <w:rsid w:val="003453D7"/>
    <w:rsid w:val="00345418"/>
    <w:rsid w:val="003457C8"/>
    <w:rsid w:val="00345927"/>
    <w:rsid w:val="003459D4"/>
    <w:rsid w:val="00345D6F"/>
    <w:rsid w:val="003461C0"/>
    <w:rsid w:val="003466DF"/>
    <w:rsid w:val="00346998"/>
    <w:rsid w:val="003469B8"/>
    <w:rsid w:val="00346C9A"/>
    <w:rsid w:val="00346E21"/>
    <w:rsid w:val="00347D60"/>
    <w:rsid w:val="00350170"/>
    <w:rsid w:val="0035018C"/>
    <w:rsid w:val="00350584"/>
    <w:rsid w:val="00350955"/>
    <w:rsid w:val="00350F11"/>
    <w:rsid w:val="00350F4E"/>
    <w:rsid w:val="00351857"/>
    <w:rsid w:val="00351D1B"/>
    <w:rsid w:val="00351DA4"/>
    <w:rsid w:val="0035240A"/>
    <w:rsid w:val="00352C6A"/>
    <w:rsid w:val="0035374A"/>
    <w:rsid w:val="0035383E"/>
    <w:rsid w:val="00353F15"/>
    <w:rsid w:val="00354249"/>
    <w:rsid w:val="00354279"/>
    <w:rsid w:val="0035457F"/>
    <w:rsid w:val="003545E8"/>
    <w:rsid w:val="00354AA0"/>
    <w:rsid w:val="00354C99"/>
    <w:rsid w:val="003551C5"/>
    <w:rsid w:val="00355905"/>
    <w:rsid w:val="00355B6C"/>
    <w:rsid w:val="0035624C"/>
    <w:rsid w:val="003565E9"/>
    <w:rsid w:val="00356E2C"/>
    <w:rsid w:val="003576E9"/>
    <w:rsid w:val="0035797C"/>
    <w:rsid w:val="00357B0B"/>
    <w:rsid w:val="00357E50"/>
    <w:rsid w:val="00360466"/>
    <w:rsid w:val="00360619"/>
    <w:rsid w:val="003606A1"/>
    <w:rsid w:val="003607B5"/>
    <w:rsid w:val="00360DA9"/>
    <w:rsid w:val="003610B9"/>
    <w:rsid w:val="003610E1"/>
    <w:rsid w:val="00362401"/>
    <w:rsid w:val="00362717"/>
    <w:rsid w:val="0036325D"/>
    <w:rsid w:val="0036343C"/>
    <w:rsid w:val="0036356B"/>
    <w:rsid w:val="003637F0"/>
    <w:rsid w:val="0036391C"/>
    <w:rsid w:val="00363A2B"/>
    <w:rsid w:val="003642F4"/>
    <w:rsid w:val="00364338"/>
    <w:rsid w:val="00364532"/>
    <w:rsid w:val="00365675"/>
    <w:rsid w:val="0036584B"/>
    <w:rsid w:val="00365F40"/>
    <w:rsid w:val="00366044"/>
    <w:rsid w:val="003664DE"/>
    <w:rsid w:val="003667F5"/>
    <w:rsid w:val="00366BCC"/>
    <w:rsid w:val="00366C69"/>
    <w:rsid w:val="00366DA2"/>
    <w:rsid w:val="003671B6"/>
    <w:rsid w:val="003671BE"/>
    <w:rsid w:val="00367CAB"/>
    <w:rsid w:val="00367F35"/>
    <w:rsid w:val="00370006"/>
    <w:rsid w:val="0037034B"/>
    <w:rsid w:val="0037175D"/>
    <w:rsid w:val="00371834"/>
    <w:rsid w:val="00371CA5"/>
    <w:rsid w:val="0037203A"/>
    <w:rsid w:val="00372485"/>
    <w:rsid w:val="00372659"/>
    <w:rsid w:val="00372EAA"/>
    <w:rsid w:val="00372FBE"/>
    <w:rsid w:val="00373200"/>
    <w:rsid w:val="00374186"/>
    <w:rsid w:val="003743D4"/>
    <w:rsid w:val="0037467B"/>
    <w:rsid w:val="003746F7"/>
    <w:rsid w:val="00374F57"/>
    <w:rsid w:val="00374F76"/>
    <w:rsid w:val="00375529"/>
    <w:rsid w:val="003756E1"/>
    <w:rsid w:val="00375790"/>
    <w:rsid w:val="00375903"/>
    <w:rsid w:val="00375AE1"/>
    <w:rsid w:val="00375EF5"/>
    <w:rsid w:val="00376189"/>
    <w:rsid w:val="003763FE"/>
    <w:rsid w:val="003767A5"/>
    <w:rsid w:val="003770F4"/>
    <w:rsid w:val="00377E0B"/>
    <w:rsid w:val="0038044B"/>
    <w:rsid w:val="0038061C"/>
    <w:rsid w:val="00380671"/>
    <w:rsid w:val="00380CEC"/>
    <w:rsid w:val="00380DA3"/>
    <w:rsid w:val="0038109D"/>
    <w:rsid w:val="00381C12"/>
    <w:rsid w:val="00381D15"/>
    <w:rsid w:val="00381D29"/>
    <w:rsid w:val="00381F0D"/>
    <w:rsid w:val="003822C4"/>
    <w:rsid w:val="00383407"/>
    <w:rsid w:val="00383A60"/>
    <w:rsid w:val="00383B9A"/>
    <w:rsid w:val="003841F6"/>
    <w:rsid w:val="003842E0"/>
    <w:rsid w:val="0038451C"/>
    <w:rsid w:val="0038466B"/>
    <w:rsid w:val="00385254"/>
    <w:rsid w:val="0038542F"/>
    <w:rsid w:val="00385441"/>
    <w:rsid w:val="00385634"/>
    <w:rsid w:val="00385B90"/>
    <w:rsid w:val="00385CEF"/>
    <w:rsid w:val="00386067"/>
    <w:rsid w:val="003860AB"/>
    <w:rsid w:val="0038688D"/>
    <w:rsid w:val="00386D94"/>
    <w:rsid w:val="00386E9E"/>
    <w:rsid w:val="00387694"/>
    <w:rsid w:val="00387F79"/>
    <w:rsid w:val="00390640"/>
    <w:rsid w:val="003906F6"/>
    <w:rsid w:val="0039072A"/>
    <w:rsid w:val="0039091D"/>
    <w:rsid w:val="0039093E"/>
    <w:rsid w:val="00391243"/>
    <w:rsid w:val="003913E7"/>
    <w:rsid w:val="003915B9"/>
    <w:rsid w:val="00391710"/>
    <w:rsid w:val="00391800"/>
    <w:rsid w:val="00391B32"/>
    <w:rsid w:val="00391D17"/>
    <w:rsid w:val="00392443"/>
    <w:rsid w:val="003924F8"/>
    <w:rsid w:val="00392856"/>
    <w:rsid w:val="00392883"/>
    <w:rsid w:val="00393211"/>
    <w:rsid w:val="0039326C"/>
    <w:rsid w:val="003933C7"/>
    <w:rsid w:val="003933E8"/>
    <w:rsid w:val="003936E4"/>
    <w:rsid w:val="00393AA8"/>
    <w:rsid w:val="00393D69"/>
    <w:rsid w:val="00393E01"/>
    <w:rsid w:val="00393E8A"/>
    <w:rsid w:val="00394031"/>
    <w:rsid w:val="00394F4F"/>
    <w:rsid w:val="00395299"/>
    <w:rsid w:val="003952C7"/>
    <w:rsid w:val="0039611D"/>
    <w:rsid w:val="003964EC"/>
    <w:rsid w:val="003968F2"/>
    <w:rsid w:val="00396DC2"/>
    <w:rsid w:val="00397095"/>
    <w:rsid w:val="003971E1"/>
    <w:rsid w:val="00397AE4"/>
    <w:rsid w:val="003A0312"/>
    <w:rsid w:val="003A04DB"/>
    <w:rsid w:val="003A0B5A"/>
    <w:rsid w:val="003A0FC5"/>
    <w:rsid w:val="003A1FDE"/>
    <w:rsid w:val="003A2312"/>
    <w:rsid w:val="003A26B2"/>
    <w:rsid w:val="003A3032"/>
    <w:rsid w:val="003A332D"/>
    <w:rsid w:val="003A360D"/>
    <w:rsid w:val="003A4002"/>
    <w:rsid w:val="003A444C"/>
    <w:rsid w:val="003A44F6"/>
    <w:rsid w:val="003A454D"/>
    <w:rsid w:val="003A4A00"/>
    <w:rsid w:val="003A5168"/>
    <w:rsid w:val="003A539C"/>
    <w:rsid w:val="003A5761"/>
    <w:rsid w:val="003A59CA"/>
    <w:rsid w:val="003A59FF"/>
    <w:rsid w:val="003A5F5B"/>
    <w:rsid w:val="003A66D8"/>
    <w:rsid w:val="003A68C7"/>
    <w:rsid w:val="003A6C7D"/>
    <w:rsid w:val="003A6F6A"/>
    <w:rsid w:val="003A7813"/>
    <w:rsid w:val="003A789A"/>
    <w:rsid w:val="003A79FD"/>
    <w:rsid w:val="003A7A4A"/>
    <w:rsid w:val="003A7A7D"/>
    <w:rsid w:val="003A7DA5"/>
    <w:rsid w:val="003B014B"/>
    <w:rsid w:val="003B028D"/>
    <w:rsid w:val="003B03D9"/>
    <w:rsid w:val="003B05ED"/>
    <w:rsid w:val="003B0A98"/>
    <w:rsid w:val="003B0B7C"/>
    <w:rsid w:val="003B0E33"/>
    <w:rsid w:val="003B102C"/>
    <w:rsid w:val="003B1072"/>
    <w:rsid w:val="003B112C"/>
    <w:rsid w:val="003B12EC"/>
    <w:rsid w:val="003B1322"/>
    <w:rsid w:val="003B1740"/>
    <w:rsid w:val="003B1A75"/>
    <w:rsid w:val="003B1AE2"/>
    <w:rsid w:val="003B1B08"/>
    <w:rsid w:val="003B25A6"/>
    <w:rsid w:val="003B283C"/>
    <w:rsid w:val="003B2A41"/>
    <w:rsid w:val="003B2DAB"/>
    <w:rsid w:val="003B32D4"/>
    <w:rsid w:val="003B4153"/>
    <w:rsid w:val="003B430A"/>
    <w:rsid w:val="003B4E98"/>
    <w:rsid w:val="003B5368"/>
    <w:rsid w:val="003B54A5"/>
    <w:rsid w:val="003B6021"/>
    <w:rsid w:val="003B61AD"/>
    <w:rsid w:val="003B651C"/>
    <w:rsid w:val="003B67FF"/>
    <w:rsid w:val="003B6841"/>
    <w:rsid w:val="003B697C"/>
    <w:rsid w:val="003B7230"/>
    <w:rsid w:val="003B72F1"/>
    <w:rsid w:val="003B7C38"/>
    <w:rsid w:val="003B7DBE"/>
    <w:rsid w:val="003C018F"/>
    <w:rsid w:val="003C0268"/>
    <w:rsid w:val="003C03B8"/>
    <w:rsid w:val="003C1BF8"/>
    <w:rsid w:val="003C1CF1"/>
    <w:rsid w:val="003C1D53"/>
    <w:rsid w:val="003C1DFD"/>
    <w:rsid w:val="003C20ED"/>
    <w:rsid w:val="003C2253"/>
    <w:rsid w:val="003C2334"/>
    <w:rsid w:val="003C23BD"/>
    <w:rsid w:val="003C2A28"/>
    <w:rsid w:val="003C3506"/>
    <w:rsid w:val="003C3FE2"/>
    <w:rsid w:val="003C446E"/>
    <w:rsid w:val="003C464B"/>
    <w:rsid w:val="003C4D62"/>
    <w:rsid w:val="003C4D79"/>
    <w:rsid w:val="003C4D7D"/>
    <w:rsid w:val="003C66F3"/>
    <w:rsid w:val="003C731B"/>
    <w:rsid w:val="003C77E0"/>
    <w:rsid w:val="003C79C5"/>
    <w:rsid w:val="003C7AC7"/>
    <w:rsid w:val="003D0873"/>
    <w:rsid w:val="003D0D8E"/>
    <w:rsid w:val="003D0ED2"/>
    <w:rsid w:val="003D13D7"/>
    <w:rsid w:val="003D13FF"/>
    <w:rsid w:val="003D17D7"/>
    <w:rsid w:val="003D194C"/>
    <w:rsid w:val="003D1A08"/>
    <w:rsid w:val="003D23E4"/>
    <w:rsid w:val="003D2678"/>
    <w:rsid w:val="003D4686"/>
    <w:rsid w:val="003D46E9"/>
    <w:rsid w:val="003D4989"/>
    <w:rsid w:val="003D49E2"/>
    <w:rsid w:val="003D4D4B"/>
    <w:rsid w:val="003D55C5"/>
    <w:rsid w:val="003D59ED"/>
    <w:rsid w:val="003D5C2F"/>
    <w:rsid w:val="003D5CD4"/>
    <w:rsid w:val="003D5E9A"/>
    <w:rsid w:val="003D5EB4"/>
    <w:rsid w:val="003D6158"/>
    <w:rsid w:val="003D616C"/>
    <w:rsid w:val="003D65D1"/>
    <w:rsid w:val="003D66FC"/>
    <w:rsid w:val="003D69FD"/>
    <w:rsid w:val="003D71A3"/>
    <w:rsid w:val="003D73E5"/>
    <w:rsid w:val="003D7545"/>
    <w:rsid w:val="003E0246"/>
    <w:rsid w:val="003E06FA"/>
    <w:rsid w:val="003E0DF8"/>
    <w:rsid w:val="003E0E5A"/>
    <w:rsid w:val="003E0F6E"/>
    <w:rsid w:val="003E0F9B"/>
    <w:rsid w:val="003E1352"/>
    <w:rsid w:val="003E13DC"/>
    <w:rsid w:val="003E19D0"/>
    <w:rsid w:val="003E1B56"/>
    <w:rsid w:val="003E236A"/>
    <w:rsid w:val="003E255E"/>
    <w:rsid w:val="003E264B"/>
    <w:rsid w:val="003E29BF"/>
    <w:rsid w:val="003E2B8A"/>
    <w:rsid w:val="003E2DC5"/>
    <w:rsid w:val="003E3286"/>
    <w:rsid w:val="003E359D"/>
    <w:rsid w:val="003E38B9"/>
    <w:rsid w:val="003E3D50"/>
    <w:rsid w:val="003E434E"/>
    <w:rsid w:val="003E4504"/>
    <w:rsid w:val="003E4DBE"/>
    <w:rsid w:val="003E5F7F"/>
    <w:rsid w:val="003E6842"/>
    <w:rsid w:val="003E70C3"/>
    <w:rsid w:val="003E72F2"/>
    <w:rsid w:val="003E771E"/>
    <w:rsid w:val="003E7AC4"/>
    <w:rsid w:val="003E7EA2"/>
    <w:rsid w:val="003F04DC"/>
    <w:rsid w:val="003F0860"/>
    <w:rsid w:val="003F0ADA"/>
    <w:rsid w:val="003F0FFC"/>
    <w:rsid w:val="003F10EE"/>
    <w:rsid w:val="003F16F6"/>
    <w:rsid w:val="003F1EC1"/>
    <w:rsid w:val="003F290B"/>
    <w:rsid w:val="003F2A23"/>
    <w:rsid w:val="003F2E47"/>
    <w:rsid w:val="003F2E59"/>
    <w:rsid w:val="003F3234"/>
    <w:rsid w:val="003F3667"/>
    <w:rsid w:val="003F3E62"/>
    <w:rsid w:val="003F4DC7"/>
    <w:rsid w:val="003F4F7E"/>
    <w:rsid w:val="003F5235"/>
    <w:rsid w:val="003F52A7"/>
    <w:rsid w:val="003F61BD"/>
    <w:rsid w:val="003F6CDF"/>
    <w:rsid w:val="003F7407"/>
    <w:rsid w:val="003F7634"/>
    <w:rsid w:val="003F7795"/>
    <w:rsid w:val="004008D7"/>
    <w:rsid w:val="00400935"/>
    <w:rsid w:val="00401782"/>
    <w:rsid w:val="004018BE"/>
    <w:rsid w:val="00401B65"/>
    <w:rsid w:val="00401CE7"/>
    <w:rsid w:val="004027E4"/>
    <w:rsid w:val="00402898"/>
    <w:rsid w:val="00402B32"/>
    <w:rsid w:val="00402ECF"/>
    <w:rsid w:val="004032CC"/>
    <w:rsid w:val="00403CFE"/>
    <w:rsid w:val="0040414F"/>
    <w:rsid w:val="004045E3"/>
    <w:rsid w:val="00404B59"/>
    <w:rsid w:val="00404D0E"/>
    <w:rsid w:val="0040582D"/>
    <w:rsid w:val="00405924"/>
    <w:rsid w:val="00405E92"/>
    <w:rsid w:val="0040630F"/>
    <w:rsid w:val="00406356"/>
    <w:rsid w:val="00406A01"/>
    <w:rsid w:val="0040728F"/>
    <w:rsid w:val="00407726"/>
    <w:rsid w:val="00410122"/>
    <w:rsid w:val="0041071D"/>
    <w:rsid w:val="00410F0B"/>
    <w:rsid w:val="004115E3"/>
    <w:rsid w:val="004115F8"/>
    <w:rsid w:val="00411937"/>
    <w:rsid w:val="00411A04"/>
    <w:rsid w:val="00411A46"/>
    <w:rsid w:val="00411F9B"/>
    <w:rsid w:val="0041239C"/>
    <w:rsid w:val="00412580"/>
    <w:rsid w:val="00412816"/>
    <w:rsid w:val="004129DD"/>
    <w:rsid w:val="00412FEE"/>
    <w:rsid w:val="004133E1"/>
    <w:rsid w:val="0041342B"/>
    <w:rsid w:val="004140BC"/>
    <w:rsid w:val="004147F1"/>
    <w:rsid w:val="00414AFC"/>
    <w:rsid w:val="004151A7"/>
    <w:rsid w:val="00415310"/>
    <w:rsid w:val="00415585"/>
    <w:rsid w:val="004158EA"/>
    <w:rsid w:val="00415A99"/>
    <w:rsid w:val="00416B2B"/>
    <w:rsid w:val="00417056"/>
    <w:rsid w:val="0041729A"/>
    <w:rsid w:val="00417369"/>
    <w:rsid w:val="004177D4"/>
    <w:rsid w:val="00417EAD"/>
    <w:rsid w:val="004204F2"/>
    <w:rsid w:val="0042091C"/>
    <w:rsid w:val="00420E2C"/>
    <w:rsid w:val="004210F1"/>
    <w:rsid w:val="004211FC"/>
    <w:rsid w:val="0042168B"/>
    <w:rsid w:val="00421709"/>
    <w:rsid w:val="004217F6"/>
    <w:rsid w:val="00421D70"/>
    <w:rsid w:val="0042237A"/>
    <w:rsid w:val="004224A9"/>
    <w:rsid w:val="00422582"/>
    <w:rsid w:val="00422B37"/>
    <w:rsid w:val="00422BE0"/>
    <w:rsid w:val="00422CB0"/>
    <w:rsid w:val="00422CE7"/>
    <w:rsid w:val="00422F3B"/>
    <w:rsid w:val="00422FBF"/>
    <w:rsid w:val="00423002"/>
    <w:rsid w:val="0042310D"/>
    <w:rsid w:val="00423444"/>
    <w:rsid w:val="00423763"/>
    <w:rsid w:val="00423869"/>
    <w:rsid w:val="00423FFD"/>
    <w:rsid w:val="0042451E"/>
    <w:rsid w:val="00424690"/>
    <w:rsid w:val="00425BBE"/>
    <w:rsid w:val="00425BD7"/>
    <w:rsid w:val="00426272"/>
    <w:rsid w:val="0042632A"/>
    <w:rsid w:val="00426333"/>
    <w:rsid w:val="00426477"/>
    <w:rsid w:val="004264E1"/>
    <w:rsid w:val="0042665A"/>
    <w:rsid w:val="00426836"/>
    <w:rsid w:val="0042691A"/>
    <w:rsid w:val="00426C7E"/>
    <w:rsid w:val="0042762F"/>
    <w:rsid w:val="00427BE3"/>
    <w:rsid w:val="00427CE3"/>
    <w:rsid w:val="00427DC7"/>
    <w:rsid w:val="00430692"/>
    <w:rsid w:val="004306AB"/>
    <w:rsid w:val="004307A3"/>
    <w:rsid w:val="00430E60"/>
    <w:rsid w:val="00431220"/>
    <w:rsid w:val="00431459"/>
    <w:rsid w:val="00431613"/>
    <w:rsid w:val="00431675"/>
    <w:rsid w:val="00431792"/>
    <w:rsid w:val="00431BD2"/>
    <w:rsid w:val="00432040"/>
    <w:rsid w:val="00432053"/>
    <w:rsid w:val="00432492"/>
    <w:rsid w:val="004326D0"/>
    <w:rsid w:val="004326E6"/>
    <w:rsid w:val="00432807"/>
    <w:rsid w:val="00432861"/>
    <w:rsid w:val="004328B0"/>
    <w:rsid w:val="0043297A"/>
    <w:rsid w:val="00432AC6"/>
    <w:rsid w:val="00432EB2"/>
    <w:rsid w:val="00433BE5"/>
    <w:rsid w:val="00433C68"/>
    <w:rsid w:val="00433D74"/>
    <w:rsid w:val="00434153"/>
    <w:rsid w:val="004341DD"/>
    <w:rsid w:val="004345BD"/>
    <w:rsid w:val="00435077"/>
    <w:rsid w:val="004352BC"/>
    <w:rsid w:val="00435319"/>
    <w:rsid w:val="0043567F"/>
    <w:rsid w:val="00435B2B"/>
    <w:rsid w:val="00435F06"/>
    <w:rsid w:val="00436814"/>
    <w:rsid w:val="0043689A"/>
    <w:rsid w:val="00436A6D"/>
    <w:rsid w:val="00436D33"/>
    <w:rsid w:val="0043714F"/>
    <w:rsid w:val="00437983"/>
    <w:rsid w:val="00437CCB"/>
    <w:rsid w:val="00437D49"/>
    <w:rsid w:val="004400FC"/>
    <w:rsid w:val="00440551"/>
    <w:rsid w:val="00440F79"/>
    <w:rsid w:val="004411AB"/>
    <w:rsid w:val="0044156B"/>
    <w:rsid w:val="00443225"/>
    <w:rsid w:val="004433AE"/>
    <w:rsid w:val="004438B5"/>
    <w:rsid w:val="00443B39"/>
    <w:rsid w:val="0044408A"/>
    <w:rsid w:val="00444237"/>
    <w:rsid w:val="00444895"/>
    <w:rsid w:val="00444EC3"/>
    <w:rsid w:val="004452E5"/>
    <w:rsid w:val="0044543D"/>
    <w:rsid w:val="004461F3"/>
    <w:rsid w:val="004466FA"/>
    <w:rsid w:val="00446B19"/>
    <w:rsid w:val="00446DA2"/>
    <w:rsid w:val="00446EFA"/>
    <w:rsid w:val="00446FE7"/>
    <w:rsid w:val="00447037"/>
    <w:rsid w:val="004472F0"/>
    <w:rsid w:val="004477F5"/>
    <w:rsid w:val="00447A20"/>
    <w:rsid w:val="00447E19"/>
    <w:rsid w:val="004502A5"/>
    <w:rsid w:val="00450344"/>
    <w:rsid w:val="0045043C"/>
    <w:rsid w:val="004504D0"/>
    <w:rsid w:val="00450AA0"/>
    <w:rsid w:val="00450B8F"/>
    <w:rsid w:val="00450D2B"/>
    <w:rsid w:val="004510D4"/>
    <w:rsid w:val="0045124D"/>
    <w:rsid w:val="00451694"/>
    <w:rsid w:val="004519FF"/>
    <w:rsid w:val="00451A0B"/>
    <w:rsid w:val="00451FF7"/>
    <w:rsid w:val="00452911"/>
    <w:rsid w:val="004532A0"/>
    <w:rsid w:val="004532B7"/>
    <w:rsid w:val="004534A5"/>
    <w:rsid w:val="0045356A"/>
    <w:rsid w:val="00453B8F"/>
    <w:rsid w:val="00453C0B"/>
    <w:rsid w:val="00454053"/>
    <w:rsid w:val="0045417B"/>
    <w:rsid w:val="004541F3"/>
    <w:rsid w:val="00454596"/>
    <w:rsid w:val="00454942"/>
    <w:rsid w:val="00454B40"/>
    <w:rsid w:val="00455128"/>
    <w:rsid w:val="00455A75"/>
    <w:rsid w:val="00455BC2"/>
    <w:rsid w:val="00455E36"/>
    <w:rsid w:val="0045605D"/>
    <w:rsid w:val="004569A5"/>
    <w:rsid w:val="004569AD"/>
    <w:rsid w:val="00456E23"/>
    <w:rsid w:val="0045764B"/>
    <w:rsid w:val="004578D6"/>
    <w:rsid w:val="00457BD7"/>
    <w:rsid w:val="00460035"/>
    <w:rsid w:val="004604C0"/>
    <w:rsid w:val="00460CDA"/>
    <w:rsid w:val="00461325"/>
    <w:rsid w:val="0046135B"/>
    <w:rsid w:val="00461538"/>
    <w:rsid w:val="00461D47"/>
    <w:rsid w:val="00461D6F"/>
    <w:rsid w:val="00462054"/>
    <w:rsid w:val="004626FA"/>
    <w:rsid w:val="00462F5D"/>
    <w:rsid w:val="0046325A"/>
    <w:rsid w:val="004632E1"/>
    <w:rsid w:val="00463620"/>
    <w:rsid w:val="00463B96"/>
    <w:rsid w:val="004642AD"/>
    <w:rsid w:val="00464981"/>
    <w:rsid w:val="00465524"/>
    <w:rsid w:val="00465C22"/>
    <w:rsid w:val="004660B0"/>
    <w:rsid w:val="004660CA"/>
    <w:rsid w:val="004662CF"/>
    <w:rsid w:val="004666F5"/>
    <w:rsid w:val="00466746"/>
    <w:rsid w:val="00467456"/>
    <w:rsid w:val="00467C57"/>
    <w:rsid w:val="004705A5"/>
    <w:rsid w:val="00470646"/>
    <w:rsid w:val="0047084C"/>
    <w:rsid w:val="00470C95"/>
    <w:rsid w:val="004710BF"/>
    <w:rsid w:val="0047174C"/>
    <w:rsid w:val="004718CC"/>
    <w:rsid w:val="0047199F"/>
    <w:rsid w:val="00472540"/>
    <w:rsid w:val="004729CF"/>
    <w:rsid w:val="00472BF1"/>
    <w:rsid w:val="00472C60"/>
    <w:rsid w:val="00472D4F"/>
    <w:rsid w:val="00472F0B"/>
    <w:rsid w:val="00472FB3"/>
    <w:rsid w:val="00473523"/>
    <w:rsid w:val="004739F7"/>
    <w:rsid w:val="00473CE7"/>
    <w:rsid w:val="0047443D"/>
    <w:rsid w:val="00474B76"/>
    <w:rsid w:val="00474D2E"/>
    <w:rsid w:val="004754B6"/>
    <w:rsid w:val="00475899"/>
    <w:rsid w:val="004763F3"/>
    <w:rsid w:val="00477050"/>
    <w:rsid w:val="00477653"/>
    <w:rsid w:val="004776E1"/>
    <w:rsid w:val="00477811"/>
    <w:rsid w:val="004778C9"/>
    <w:rsid w:val="00477A5D"/>
    <w:rsid w:val="00477EC4"/>
    <w:rsid w:val="00480142"/>
    <w:rsid w:val="00480502"/>
    <w:rsid w:val="0048072F"/>
    <w:rsid w:val="0048088A"/>
    <w:rsid w:val="00480C48"/>
    <w:rsid w:val="00480E4B"/>
    <w:rsid w:val="0048141B"/>
    <w:rsid w:val="00481695"/>
    <w:rsid w:val="00481B97"/>
    <w:rsid w:val="00481FCC"/>
    <w:rsid w:val="0048205D"/>
    <w:rsid w:val="0048279E"/>
    <w:rsid w:val="004828B3"/>
    <w:rsid w:val="00482ED6"/>
    <w:rsid w:val="00483230"/>
    <w:rsid w:val="0048323E"/>
    <w:rsid w:val="00483252"/>
    <w:rsid w:val="004833B9"/>
    <w:rsid w:val="00483C85"/>
    <w:rsid w:val="00483D7C"/>
    <w:rsid w:val="00484A54"/>
    <w:rsid w:val="00484ACA"/>
    <w:rsid w:val="004850C4"/>
    <w:rsid w:val="00485978"/>
    <w:rsid w:val="00485A16"/>
    <w:rsid w:val="00485BC9"/>
    <w:rsid w:val="00485EDB"/>
    <w:rsid w:val="0048652F"/>
    <w:rsid w:val="00486B64"/>
    <w:rsid w:val="00487007"/>
    <w:rsid w:val="004874D3"/>
    <w:rsid w:val="004874E2"/>
    <w:rsid w:val="00487A90"/>
    <w:rsid w:val="00487BB2"/>
    <w:rsid w:val="00487CBA"/>
    <w:rsid w:val="00487E76"/>
    <w:rsid w:val="004901B8"/>
    <w:rsid w:val="00490625"/>
    <w:rsid w:val="0049069D"/>
    <w:rsid w:val="00491EF9"/>
    <w:rsid w:val="00492033"/>
    <w:rsid w:val="0049203D"/>
    <w:rsid w:val="0049217E"/>
    <w:rsid w:val="00492180"/>
    <w:rsid w:val="004927F8"/>
    <w:rsid w:val="00492A1B"/>
    <w:rsid w:val="00492CEE"/>
    <w:rsid w:val="00492F7B"/>
    <w:rsid w:val="00492FD7"/>
    <w:rsid w:val="00493025"/>
    <w:rsid w:val="00493622"/>
    <w:rsid w:val="0049475A"/>
    <w:rsid w:val="00494FD6"/>
    <w:rsid w:val="0049535B"/>
    <w:rsid w:val="0049595E"/>
    <w:rsid w:val="00495A96"/>
    <w:rsid w:val="00495BB3"/>
    <w:rsid w:val="00495CB6"/>
    <w:rsid w:val="00495DBD"/>
    <w:rsid w:val="00496159"/>
    <w:rsid w:val="0049651D"/>
    <w:rsid w:val="004969EB"/>
    <w:rsid w:val="00496E92"/>
    <w:rsid w:val="00497628"/>
    <w:rsid w:val="00497A23"/>
    <w:rsid w:val="004A077B"/>
    <w:rsid w:val="004A0C80"/>
    <w:rsid w:val="004A1112"/>
    <w:rsid w:val="004A1479"/>
    <w:rsid w:val="004A153D"/>
    <w:rsid w:val="004A16FB"/>
    <w:rsid w:val="004A1C84"/>
    <w:rsid w:val="004A2110"/>
    <w:rsid w:val="004A2161"/>
    <w:rsid w:val="004A22BA"/>
    <w:rsid w:val="004A24CF"/>
    <w:rsid w:val="004A2BB5"/>
    <w:rsid w:val="004A2D7E"/>
    <w:rsid w:val="004A30B7"/>
    <w:rsid w:val="004A3221"/>
    <w:rsid w:val="004A3282"/>
    <w:rsid w:val="004A3657"/>
    <w:rsid w:val="004A391D"/>
    <w:rsid w:val="004A3FBE"/>
    <w:rsid w:val="004A470F"/>
    <w:rsid w:val="004A482E"/>
    <w:rsid w:val="004A48E9"/>
    <w:rsid w:val="004A4DAD"/>
    <w:rsid w:val="004A4E9E"/>
    <w:rsid w:val="004A4FAE"/>
    <w:rsid w:val="004A5030"/>
    <w:rsid w:val="004A54E0"/>
    <w:rsid w:val="004A56BB"/>
    <w:rsid w:val="004A573D"/>
    <w:rsid w:val="004A5C8C"/>
    <w:rsid w:val="004A5F56"/>
    <w:rsid w:val="004A64CF"/>
    <w:rsid w:val="004A70D6"/>
    <w:rsid w:val="004A7368"/>
    <w:rsid w:val="004A74F1"/>
    <w:rsid w:val="004A7787"/>
    <w:rsid w:val="004A785D"/>
    <w:rsid w:val="004A79DE"/>
    <w:rsid w:val="004B0582"/>
    <w:rsid w:val="004B0598"/>
    <w:rsid w:val="004B0619"/>
    <w:rsid w:val="004B06CB"/>
    <w:rsid w:val="004B0AB7"/>
    <w:rsid w:val="004B1080"/>
    <w:rsid w:val="004B1751"/>
    <w:rsid w:val="004B1816"/>
    <w:rsid w:val="004B18DE"/>
    <w:rsid w:val="004B197A"/>
    <w:rsid w:val="004B1B26"/>
    <w:rsid w:val="004B1F85"/>
    <w:rsid w:val="004B2C7C"/>
    <w:rsid w:val="004B2EAA"/>
    <w:rsid w:val="004B3094"/>
    <w:rsid w:val="004B3289"/>
    <w:rsid w:val="004B34D1"/>
    <w:rsid w:val="004B3599"/>
    <w:rsid w:val="004B36BB"/>
    <w:rsid w:val="004B3830"/>
    <w:rsid w:val="004B39F9"/>
    <w:rsid w:val="004B3B52"/>
    <w:rsid w:val="004B3B76"/>
    <w:rsid w:val="004B43BA"/>
    <w:rsid w:val="004B4434"/>
    <w:rsid w:val="004B4B48"/>
    <w:rsid w:val="004B55C1"/>
    <w:rsid w:val="004B55CB"/>
    <w:rsid w:val="004B5CEF"/>
    <w:rsid w:val="004B6014"/>
    <w:rsid w:val="004B623D"/>
    <w:rsid w:val="004B62E3"/>
    <w:rsid w:val="004B6379"/>
    <w:rsid w:val="004B6B1D"/>
    <w:rsid w:val="004B6B4D"/>
    <w:rsid w:val="004B7EE7"/>
    <w:rsid w:val="004C0253"/>
    <w:rsid w:val="004C0712"/>
    <w:rsid w:val="004C0AC6"/>
    <w:rsid w:val="004C0FCD"/>
    <w:rsid w:val="004C1426"/>
    <w:rsid w:val="004C1621"/>
    <w:rsid w:val="004C1853"/>
    <w:rsid w:val="004C2792"/>
    <w:rsid w:val="004C2D32"/>
    <w:rsid w:val="004C2E77"/>
    <w:rsid w:val="004C2F95"/>
    <w:rsid w:val="004C367E"/>
    <w:rsid w:val="004C3E97"/>
    <w:rsid w:val="004C49E3"/>
    <w:rsid w:val="004C4E74"/>
    <w:rsid w:val="004C4F69"/>
    <w:rsid w:val="004C51A7"/>
    <w:rsid w:val="004C5678"/>
    <w:rsid w:val="004C5706"/>
    <w:rsid w:val="004C5AD6"/>
    <w:rsid w:val="004C5D63"/>
    <w:rsid w:val="004C6048"/>
    <w:rsid w:val="004C60B0"/>
    <w:rsid w:val="004C628B"/>
    <w:rsid w:val="004C6323"/>
    <w:rsid w:val="004C6414"/>
    <w:rsid w:val="004C64B9"/>
    <w:rsid w:val="004C64DD"/>
    <w:rsid w:val="004C668C"/>
    <w:rsid w:val="004C6AD5"/>
    <w:rsid w:val="004C6F4B"/>
    <w:rsid w:val="004C7070"/>
    <w:rsid w:val="004C76EA"/>
    <w:rsid w:val="004C7A1C"/>
    <w:rsid w:val="004C7A60"/>
    <w:rsid w:val="004C7B6C"/>
    <w:rsid w:val="004D005B"/>
    <w:rsid w:val="004D0463"/>
    <w:rsid w:val="004D04A4"/>
    <w:rsid w:val="004D0645"/>
    <w:rsid w:val="004D0E15"/>
    <w:rsid w:val="004D1277"/>
    <w:rsid w:val="004D1906"/>
    <w:rsid w:val="004D1AEF"/>
    <w:rsid w:val="004D1B42"/>
    <w:rsid w:val="004D1BE9"/>
    <w:rsid w:val="004D1C57"/>
    <w:rsid w:val="004D1EC3"/>
    <w:rsid w:val="004D1F73"/>
    <w:rsid w:val="004D2247"/>
    <w:rsid w:val="004D2ACF"/>
    <w:rsid w:val="004D3143"/>
    <w:rsid w:val="004D32A9"/>
    <w:rsid w:val="004D35C8"/>
    <w:rsid w:val="004D3AF4"/>
    <w:rsid w:val="004D3CA1"/>
    <w:rsid w:val="004D421F"/>
    <w:rsid w:val="004D43C5"/>
    <w:rsid w:val="004D4F0E"/>
    <w:rsid w:val="004D51CA"/>
    <w:rsid w:val="004D5324"/>
    <w:rsid w:val="004D54BE"/>
    <w:rsid w:val="004D56FF"/>
    <w:rsid w:val="004D6248"/>
    <w:rsid w:val="004D657E"/>
    <w:rsid w:val="004D6C1F"/>
    <w:rsid w:val="004D6F94"/>
    <w:rsid w:val="004D77A1"/>
    <w:rsid w:val="004D7CE3"/>
    <w:rsid w:val="004D7FED"/>
    <w:rsid w:val="004E056D"/>
    <w:rsid w:val="004E15BE"/>
    <w:rsid w:val="004E184A"/>
    <w:rsid w:val="004E1A76"/>
    <w:rsid w:val="004E1B91"/>
    <w:rsid w:val="004E22C5"/>
    <w:rsid w:val="004E2A09"/>
    <w:rsid w:val="004E2DC7"/>
    <w:rsid w:val="004E3654"/>
    <w:rsid w:val="004E39AC"/>
    <w:rsid w:val="004E39D3"/>
    <w:rsid w:val="004E411B"/>
    <w:rsid w:val="004E42B5"/>
    <w:rsid w:val="004E4922"/>
    <w:rsid w:val="004E4E38"/>
    <w:rsid w:val="004E508A"/>
    <w:rsid w:val="004E5BAB"/>
    <w:rsid w:val="004E616D"/>
    <w:rsid w:val="004E6C20"/>
    <w:rsid w:val="004E7000"/>
    <w:rsid w:val="004E7D6A"/>
    <w:rsid w:val="004E7E02"/>
    <w:rsid w:val="004F0172"/>
    <w:rsid w:val="004F018A"/>
    <w:rsid w:val="004F0A5B"/>
    <w:rsid w:val="004F1285"/>
    <w:rsid w:val="004F1529"/>
    <w:rsid w:val="004F1BDE"/>
    <w:rsid w:val="004F2302"/>
    <w:rsid w:val="004F2BFF"/>
    <w:rsid w:val="004F2CEE"/>
    <w:rsid w:val="004F2CFD"/>
    <w:rsid w:val="004F33CC"/>
    <w:rsid w:val="004F3469"/>
    <w:rsid w:val="004F3478"/>
    <w:rsid w:val="004F3A5B"/>
    <w:rsid w:val="004F3D24"/>
    <w:rsid w:val="004F4435"/>
    <w:rsid w:val="004F4D71"/>
    <w:rsid w:val="004F52D6"/>
    <w:rsid w:val="004F556E"/>
    <w:rsid w:val="004F573E"/>
    <w:rsid w:val="004F591C"/>
    <w:rsid w:val="004F6188"/>
    <w:rsid w:val="004F68EE"/>
    <w:rsid w:val="004F6A5C"/>
    <w:rsid w:val="004F729E"/>
    <w:rsid w:val="004F7BE6"/>
    <w:rsid w:val="004F7F44"/>
    <w:rsid w:val="0050026F"/>
    <w:rsid w:val="005006C5"/>
    <w:rsid w:val="00500B3A"/>
    <w:rsid w:val="005012FE"/>
    <w:rsid w:val="00501379"/>
    <w:rsid w:val="005018C5"/>
    <w:rsid w:val="00501984"/>
    <w:rsid w:val="00501D25"/>
    <w:rsid w:val="005036A2"/>
    <w:rsid w:val="005037B4"/>
    <w:rsid w:val="00503A85"/>
    <w:rsid w:val="00503D6D"/>
    <w:rsid w:val="00504431"/>
    <w:rsid w:val="00504C02"/>
    <w:rsid w:val="00504E96"/>
    <w:rsid w:val="00504F60"/>
    <w:rsid w:val="00505811"/>
    <w:rsid w:val="00505A5C"/>
    <w:rsid w:val="00506086"/>
    <w:rsid w:val="00507286"/>
    <w:rsid w:val="00507291"/>
    <w:rsid w:val="00507479"/>
    <w:rsid w:val="00507915"/>
    <w:rsid w:val="005079BF"/>
    <w:rsid w:val="005079C7"/>
    <w:rsid w:val="00507B1D"/>
    <w:rsid w:val="00507CAC"/>
    <w:rsid w:val="00507CB2"/>
    <w:rsid w:val="005102EF"/>
    <w:rsid w:val="00510336"/>
    <w:rsid w:val="00510696"/>
    <w:rsid w:val="00510961"/>
    <w:rsid w:val="005109F2"/>
    <w:rsid w:val="00510D91"/>
    <w:rsid w:val="00511117"/>
    <w:rsid w:val="005111EF"/>
    <w:rsid w:val="0051134B"/>
    <w:rsid w:val="005113C1"/>
    <w:rsid w:val="00511795"/>
    <w:rsid w:val="00511A90"/>
    <w:rsid w:val="00511B55"/>
    <w:rsid w:val="0051209F"/>
    <w:rsid w:val="005121E9"/>
    <w:rsid w:val="0051269A"/>
    <w:rsid w:val="00512A16"/>
    <w:rsid w:val="00512C8A"/>
    <w:rsid w:val="0051318D"/>
    <w:rsid w:val="00513371"/>
    <w:rsid w:val="0051383E"/>
    <w:rsid w:val="00513918"/>
    <w:rsid w:val="00513EFF"/>
    <w:rsid w:val="0051429E"/>
    <w:rsid w:val="00514C90"/>
    <w:rsid w:val="00514C95"/>
    <w:rsid w:val="00514DA4"/>
    <w:rsid w:val="00514DC0"/>
    <w:rsid w:val="0051582B"/>
    <w:rsid w:val="00515C02"/>
    <w:rsid w:val="00515CAE"/>
    <w:rsid w:val="0051665C"/>
    <w:rsid w:val="00516FE2"/>
    <w:rsid w:val="005178FF"/>
    <w:rsid w:val="00520415"/>
    <w:rsid w:val="005205B3"/>
    <w:rsid w:val="005209EA"/>
    <w:rsid w:val="00520DA3"/>
    <w:rsid w:val="00520F60"/>
    <w:rsid w:val="00521323"/>
    <w:rsid w:val="005219E7"/>
    <w:rsid w:val="00521AB2"/>
    <w:rsid w:val="00522129"/>
    <w:rsid w:val="005223BF"/>
    <w:rsid w:val="00522E08"/>
    <w:rsid w:val="00522E2F"/>
    <w:rsid w:val="00522E6D"/>
    <w:rsid w:val="00523354"/>
    <w:rsid w:val="00523E5F"/>
    <w:rsid w:val="00524309"/>
    <w:rsid w:val="00524C9E"/>
    <w:rsid w:val="00524E74"/>
    <w:rsid w:val="005250CD"/>
    <w:rsid w:val="00525595"/>
    <w:rsid w:val="00525DD2"/>
    <w:rsid w:val="00526738"/>
    <w:rsid w:val="0052678C"/>
    <w:rsid w:val="00527220"/>
    <w:rsid w:val="0052742B"/>
    <w:rsid w:val="0053007B"/>
    <w:rsid w:val="00530127"/>
    <w:rsid w:val="005308CD"/>
    <w:rsid w:val="00530FCC"/>
    <w:rsid w:val="00531306"/>
    <w:rsid w:val="00531458"/>
    <w:rsid w:val="005319F4"/>
    <w:rsid w:val="00531B4B"/>
    <w:rsid w:val="00531B6E"/>
    <w:rsid w:val="00531B9A"/>
    <w:rsid w:val="00531C1F"/>
    <w:rsid w:val="00531D15"/>
    <w:rsid w:val="0053295A"/>
    <w:rsid w:val="00532B0C"/>
    <w:rsid w:val="00532F26"/>
    <w:rsid w:val="00533652"/>
    <w:rsid w:val="0053369C"/>
    <w:rsid w:val="0053371E"/>
    <w:rsid w:val="0053376B"/>
    <w:rsid w:val="00533F50"/>
    <w:rsid w:val="0053411B"/>
    <w:rsid w:val="0053475B"/>
    <w:rsid w:val="00534BB3"/>
    <w:rsid w:val="0053500E"/>
    <w:rsid w:val="00535198"/>
    <w:rsid w:val="005353E5"/>
    <w:rsid w:val="005354F7"/>
    <w:rsid w:val="0053551D"/>
    <w:rsid w:val="00535640"/>
    <w:rsid w:val="005358D8"/>
    <w:rsid w:val="00535FF2"/>
    <w:rsid w:val="00537299"/>
    <w:rsid w:val="00537493"/>
    <w:rsid w:val="00537604"/>
    <w:rsid w:val="0053760D"/>
    <w:rsid w:val="005379E0"/>
    <w:rsid w:val="00537F41"/>
    <w:rsid w:val="00540153"/>
    <w:rsid w:val="005403DA"/>
    <w:rsid w:val="005406FB"/>
    <w:rsid w:val="005409E3"/>
    <w:rsid w:val="00540BCF"/>
    <w:rsid w:val="00540BD9"/>
    <w:rsid w:val="005410D8"/>
    <w:rsid w:val="00541402"/>
    <w:rsid w:val="005414DE"/>
    <w:rsid w:val="00542377"/>
    <w:rsid w:val="005432AD"/>
    <w:rsid w:val="0054382D"/>
    <w:rsid w:val="0054406C"/>
    <w:rsid w:val="00544166"/>
    <w:rsid w:val="00544501"/>
    <w:rsid w:val="005445FC"/>
    <w:rsid w:val="005454F8"/>
    <w:rsid w:val="00545576"/>
    <w:rsid w:val="00545580"/>
    <w:rsid w:val="00545E76"/>
    <w:rsid w:val="0054614E"/>
    <w:rsid w:val="00546903"/>
    <w:rsid w:val="00546BEC"/>
    <w:rsid w:val="00546E31"/>
    <w:rsid w:val="00546F34"/>
    <w:rsid w:val="005471E8"/>
    <w:rsid w:val="005476EB"/>
    <w:rsid w:val="00547745"/>
    <w:rsid w:val="00547AB7"/>
    <w:rsid w:val="00550831"/>
    <w:rsid w:val="00551133"/>
    <w:rsid w:val="00551782"/>
    <w:rsid w:val="00551A74"/>
    <w:rsid w:val="00552231"/>
    <w:rsid w:val="00552292"/>
    <w:rsid w:val="005530EC"/>
    <w:rsid w:val="0055322D"/>
    <w:rsid w:val="00553F17"/>
    <w:rsid w:val="00553F3D"/>
    <w:rsid w:val="0055402C"/>
    <w:rsid w:val="0055408B"/>
    <w:rsid w:val="0055431B"/>
    <w:rsid w:val="0055432D"/>
    <w:rsid w:val="00554597"/>
    <w:rsid w:val="005546DF"/>
    <w:rsid w:val="00554A81"/>
    <w:rsid w:val="00554C32"/>
    <w:rsid w:val="00554E24"/>
    <w:rsid w:val="00555188"/>
    <w:rsid w:val="00555970"/>
    <w:rsid w:val="00555BFD"/>
    <w:rsid w:val="00555CAB"/>
    <w:rsid w:val="00556546"/>
    <w:rsid w:val="005567E5"/>
    <w:rsid w:val="00556A56"/>
    <w:rsid w:val="005571D6"/>
    <w:rsid w:val="00557EF2"/>
    <w:rsid w:val="005601F3"/>
    <w:rsid w:val="005602CB"/>
    <w:rsid w:val="0056044C"/>
    <w:rsid w:val="00561810"/>
    <w:rsid w:val="00561B1E"/>
    <w:rsid w:val="00562437"/>
    <w:rsid w:val="005627FD"/>
    <w:rsid w:val="005629B1"/>
    <w:rsid w:val="00562BBE"/>
    <w:rsid w:val="00563116"/>
    <w:rsid w:val="005632EA"/>
    <w:rsid w:val="0056360E"/>
    <w:rsid w:val="00563721"/>
    <w:rsid w:val="005638B2"/>
    <w:rsid w:val="00563EF1"/>
    <w:rsid w:val="005642B8"/>
    <w:rsid w:val="00564582"/>
    <w:rsid w:val="005646F5"/>
    <w:rsid w:val="00564D2E"/>
    <w:rsid w:val="00565241"/>
    <w:rsid w:val="00565294"/>
    <w:rsid w:val="0056531F"/>
    <w:rsid w:val="00565CC3"/>
    <w:rsid w:val="00565E1E"/>
    <w:rsid w:val="00566AB4"/>
    <w:rsid w:val="00566AD7"/>
    <w:rsid w:val="00566B0C"/>
    <w:rsid w:val="00566B80"/>
    <w:rsid w:val="00566B8B"/>
    <w:rsid w:val="005675D1"/>
    <w:rsid w:val="005676C1"/>
    <w:rsid w:val="00567CDD"/>
    <w:rsid w:val="005700DA"/>
    <w:rsid w:val="00570411"/>
    <w:rsid w:val="0057085B"/>
    <w:rsid w:val="00571BFE"/>
    <w:rsid w:val="00571EEA"/>
    <w:rsid w:val="00572386"/>
    <w:rsid w:val="0057278A"/>
    <w:rsid w:val="00572D6F"/>
    <w:rsid w:val="00572DCF"/>
    <w:rsid w:val="0057331C"/>
    <w:rsid w:val="00573645"/>
    <w:rsid w:val="00573812"/>
    <w:rsid w:val="00573834"/>
    <w:rsid w:val="00573BAE"/>
    <w:rsid w:val="00573C9E"/>
    <w:rsid w:val="00574006"/>
    <w:rsid w:val="0057499D"/>
    <w:rsid w:val="00575455"/>
    <w:rsid w:val="00575738"/>
    <w:rsid w:val="00575771"/>
    <w:rsid w:val="00575AC5"/>
    <w:rsid w:val="00575BFF"/>
    <w:rsid w:val="00575F92"/>
    <w:rsid w:val="0057605D"/>
    <w:rsid w:val="005765F9"/>
    <w:rsid w:val="00576A47"/>
    <w:rsid w:val="00576C3C"/>
    <w:rsid w:val="00577061"/>
    <w:rsid w:val="005770E4"/>
    <w:rsid w:val="005773BE"/>
    <w:rsid w:val="00577804"/>
    <w:rsid w:val="005778FE"/>
    <w:rsid w:val="00580565"/>
    <w:rsid w:val="00580587"/>
    <w:rsid w:val="00580AAC"/>
    <w:rsid w:val="00580D87"/>
    <w:rsid w:val="00581347"/>
    <w:rsid w:val="00581501"/>
    <w:rsid w:val="00581AC9"/>
    <w:rsid w:val="00581EC9"/>
    <w:rsid w:val="00582381"/>
    <w:rsid w:val="00582508"/>
    <w:rsid w:val="005825AF"/>
    <w:rsid w:val="00582707"/>
    <w:rsid w:val="00582A34"/>
    <w:rsid w:val="00583B86"/>
    <w:rsid w:val="00584138"/>
    <w:rsid w:val="0058430B"/>
    <w:rsid w:val="0058455C"/>
    <w:rsid w:val="005847EF"/>
    <w:rsid w:val="0058491F"/>
    <w:rsid w:val="005849F8"/>
    <w:rsid w:val="00585B3B"/>
    <w:rsid w:val="00585C76"/>
    <w:rsid w:val="005860F3"/>
    <w:rsid w:val="005868D4"/>
    <w:rsid w:val="005868DC"/>
    <w:rsid w:val="005871C4"/>
    <w:rsid w:val="00587257"/>
    <w:rsid w:val="00587344"/>
    <w:rsid w:val="0058735F"/>
    <w:rsid w:val="0059023C"/>
    <w:rsid w:val="005902F8"/>
    <w:rsid w:val="0059030A"/>
    <w:rsid w:val="0059051A"/>
    <w:rsid w:val="005905A4"/>
    <w:rsid w:val="005906C0"/>
    <w:rsid w:val="00590D47"/>
    <w:rsid w:val="00590E3D"/>
    <w:rsid w:val="00591377"/>
    <w:rsid w:val="00591BA6"/>
    <w:rsid w:val="00591ECE"/>
    <w:rsid w:val="0059345F"/>
    <w:rsid w:val="005938DF"/>
    <w:rsid w:val="0059394C"/>
    <w:rsid w:val="00593A08"/>
    <w:rsid w:val="00593E42"/>
    <w:rsid w:val="005941E0"/>
    <w:rsid w:val="00594E9C"/>
    <w:rsid w:val="00595315"/>
    <w:rsid w:val="005956D0"/>
    <w:rsid w:val="005957A4"/>
    <w:rsid w:val="00595BA5"/>
    <w:rsid w:val="00595C10"/>
    <w:rsid w:val="00595D00"/>
    <w:rsid w:val="00595E65"/>
    <w:rsid w:val="00595ED8"/>
    <w:rsid w:val="00595FAB"/>
    <w:rsid w:val="005960A1"/>
    <w:rsid w:val="005961D8"/>
    <w:rsid w:val="00596274"/>
    <w:rsid w:val="00596C8D"/>
    <w:rsid w:val="005974D2"/>
    <w:rsid w:val="0059761A"/>
    <w:rsid w:val="00597A79"/>
    <w:rsid w:val="00597BE9"/>
    <w:rsid w:val="00597C03"/>
    <w:rsid w:val="005A0454"/>
    <w:rsid w:val="005A0584"/>
    <w:rsid w:val="005A0969"/>
    <w:rsid w:val="005A099B"/>
    <w:rsid w:val="005A0B2C"/>
    <w:rsid w:val="005A0C8C"/>
    <w:rsid w:val="005A14ED"/>
    <w:rsid w:val="005A1B7D"/>
    <w:rsid w:val="005A1EDD"/>
    <w:rsid w:val="005A2C84"/>
    <w:rsid w:val="005A2CFD"/>
    <w:rsid w:val="005A2D9C"/>
    <w:rsid w:val="005A2E0D"/>
    <w:rsid w:val="005A2F2B"/>
    <w:rsid w:val="005A31B9"/>
    <w:rsid w:val="005A3459"/>
    <w:rsid w:val="005A371B"/>
    <w:rsid w:val="005A3783"/>
    <w:rsid w:val="005A4F42"/>
    <w:rsid w:val="005A5331"/>
    <w:rsid w:val="005A55FE"/>
    <w:rsid w:val="005A5C3B"/>
    <w:rsid w:val="005A5D2D"/>
    <w:rsid w:val="005A621B"/>
    <w:rsid w:val="005A6221"/>
    <w:rsid w:val="005A6232"/>
    <w:rsid w:val="005A6A11"/>
    <w:rsid w:val="005A7340"/>
    <w:rsid w:val="005A76D6"/>
    <w:rsid w:val="005A793F"/>
    <w:rsid w:val="005A7BA7"/>
    <w:rsid w:val="005A7E63"/>
    <w:rsid w:val="005B07FD"/>
    <w:rsid w:val="005B0CFD"/>
    <w:rsid w:val="005B0E27"/>
    <w:rsid w:val="005B10E6"/>
    <w:rsid w:val="005B140F"/>
    <w:rsid w:val="005B16A9"/>
    <w:rsid w:val="005B1E57"/>
    <w:rsid w:val="005B26C3"/>
    <w:rsid w:val="005B29AA"/>
    <w:rsid w:val="005B2AE4"/>
    <w:rsid w:val="005B2CBA"/>
    <w:rsid w:val="005B2CD7"/>
    <w:rsid w:val="005B2D18"/>
    <w:rsid w:val="005B2F0D"/>
    <w:rsid w:val="005B2F61"/>
    <w:rsid w:val="005B3271"/>
    <w:rsid w:val="005B3E16"/>
    <w:rsid w:val="005B3FB4"/>
    <w:rsid w:val="005B464E"/>
    <w:rsid w:val="005B5392"/>
    <w:rsid w:val="005B62B7"/>
    <w:rsid w:val="005B641C"/>
    <w:rsid w:val="005B6CEF"/>
    <w:rsid w:val="005B6E84"/>
    <w:rsid w:val="005B6EA6"/>
    <w:rsid w:val="005B77CA"/>
    <w:rsid w:val="005B7DCA"/>
    <w:rsid w:val="005B7E7D"/>
    <w:rsid w:val="005C06AC"/>
    <w:rsid w:val="005C0CE4"/>
    <w:rsid w:val="005C0DB5"/>
    <w:rsid w:val="005C0E42"/>
    <w:rsid w:val="005C102A"/>
    <w:rsid w:val="005C1507"/>
    <w:rsid w:val="005C158F"/>
    <w:rsid w:val="005C1D6C"/>
    <w:rsid w:val="005C1F5A"/>
    <w:rsid w:val="005C24D2"/>
    <w:rsid w:val="005C26C2"/>
    <w:rsid w:val="005C2B60"/>
    <w:rsid w:val="005C2BBA"/>
    <w:rsid w:val="005C2EDC"/>
    <w:rsid w:val="005C319F"/>
    <w:rsid w:val="005C31EA"/>
    <w:rsid w:val="005C32BF"/>
    <w:rsid w:val="005C34EF"/>
    <w:rsid w:val="005C3643"/>
    <w:rsid w:val="005C38BD"/>
    <w:rsid w:val="005C39FD"/>
    <w:rsid w:val="005C3A46"/>
    <w:rsid w:val="005C3C91"/>
    <w:rsid w:val="005C3CB3"/>
    <w:rsid w:val="005C448C"/>
    <w:rsid w:val="005C47F6"/>
    <w:rsid w:val="005C4E46"/>
    <w:rsid w:val="005C507C"/>
    <w:rsid w:val="005C5443"/>
    <w:rsid w:val="005C545F"/>
    <w:rsid w:val="005C5D46"/>
    <w:rsid w:val="005C5E07"/>
    <w:rsid w:val="005C6013"/>
    <w:rsid w:val="005C6198"/>
    <w:rsid w:val="005C6E45"/>
    <w:rsid w:val="005C6E77"/>
    <w:rsid w:val="005C7114"/>
    <w:rsid w:val="005C71E4"/>
    <w:rsid w:val="005C74BE"/>
    <w:rsid w:val="005C7E01"/>
    <w:rsid w:val="005D0219"/>
    <w:rsid w:val="005D03DE"/>
    <w:rsid w:val="005D06B2"/>
    <w:rsid w:val="005D0D29"/>
    <w:rsid w:val="005D1B15"/>
    <w:rsid w:val="005D1FF6"/>
    <w:rsid w:val="005D23F2"/>
    <w:rsid w:val="005D2502"/>
    <w:rsid w:val="005D259D"/>
    <w:rsid w:val="005D2756"/>
    <w:rsid w:val="005D2C68"/>
    <w:rsid w:val="005D3171"/>
    <w:rsid w:val="005D3C2C"/>
    <w:rsid w:val="005D3C99"/>
    <w:rsid w:val="005D3DB3"/>
    <w:rsid w:val="005D3E65"/>
    <w:rsid w:val="005D40BB"/>
    <w:rsid w:val="005D4511"/>
    <w:rsid w:val="005D47F3"/>
    <w:rsid w:val="005D49BF"/>
    <w:rsid w:val="005D4A18"/>
    <w:rsid w:val="005D4AA5"/>
    <w:rsid w:val="005D4ED8"/>
    <w:rsid w:val="005D4F3E"/>
    <w:rsid w:val="005D50FA"/>
    <w:rsid w:val="005D5501"/>
    <w:rsid w:val="005D562C"/>
    <w:rsid w:val="005D5D95"/>
    <w:rsid w:val="005D6406"/>
    <w:rsid w:val="005D6860"/>
    <w:rsid w:val="005D69F1"/>
    <w:rsid w:val="005D6F4E"/>
    <w:rsid w:val="005D79A6"/>
    <w:rsid w:val="005D7C73"/>
    <w:rsid w:val="005D7FE4"/>
    <w:rsid w:val="005E04E6"/>
    <w:rsid w:val="005E0718"/>
    <w:rsid w:val="005E0856"/>
    <w:rsid w:val="005E1368"/>
    <w:rsid w:val="005E1512"/>
    <w:rsid w:val="005E160C"/>
    <w:rsid w:val="005E1807"/>
    <w:rsid w:val="005E198D"/>
    <w:rsid w:val="005E250B"/>
    <w:rsid w:val="005E28BB"/>
    <w:rsid w:val="005E2BDA"/>
    <w:rsid w:val="005E2FA8"/>
    <w:rsid w:val="005E38F2"/>
    <w:rsid w:val="005E3ACD"/>
    <w:rsid w:val="005E3E0D"/>
    <w:rsid w:val="005E40F1"/>
    <w:rsid w:val="005E444A"/>
    <w:rsid w:val="005E4693"/>
    <w:rsid w:val="005E4C94"/>
    <w:rsid w:val="005E4EA5"/>
    <w:rsid w:val="005E53CC"/>
    <w:rsid w:val="005E568E"/>
    <w:rsid w:val="005E5A3E"/>
    <w:rsid w:val="005E5AE5"/>
    <w:rsid w:val="005E65B6"/>
    <w:rsid w:val="005E6FA8"/>
    <w:rsid w:val="005E7028"/>
    <w:rsid w:val="005E7053"/>
    <w:rsid w:val="005E7226"/>
    <w:rsid w:val="005E7A57"/>
    <w:rsid w:val="005E7AA9"/>
    <w:rsid w:val="005E7B3C"/>
    <w:rsid w:val="005E7DAC"/>
    <w:rsid w:val="005E7F37"/>
    <w:rsid w:val="005F0364"/>
    <w:rsid w:val="005F1865"/>
    <w:rsid w:val="005F1A03"/>
    <w:rsid w:val="005F1C44"/>
    <w:rsid w:val="005F24B0"/>
    <w:rsid w:val="005F2F6D"/>
    <w:rsid w:val="005F361B"/>
    <w:rsid w:val="005F3C67"/>
    <w:rsid w:val="005F3F43"/>
    <w:rsid w:val="005F4689"/>
    <w:rsid w:val="005F4701"/>
    <w:rsid w:val="005F5001"/>
    <w:rsid w:val="005F59FB"/>
    <w:rsid w:val="005F5F48"/>
    <w:rsid w:val="005F6342"/>
    <w:rsid w:val="005F67D1"/>
    <w:rsid w:val="005F68E9"/>
    <w:rsid w:val="005F70C7"/>
    <w:rsid w:val="005F7406"/>
    <w:rsid w:val="005F756F"/>
    <w:rsid w:val="005F7799"/>
    <w:rsid w:val="005F7BB4"/>
    <w:rsid w:val="005F7BC7"/>
    <w:rsid w:val="005F7FAE"/>
    <w:rsid w:val="006000AB"/>
    <w:rsid w:val="006002BF"/>
    <w:rsid w:val="00600AF6"/>
    <w:rsid w:val="006013CB"/>
    <w:rsid w:val="0060149B"/>
    <w:rsid w:val="00601AB5"/>
    <w:rsid w:val="00601C40"/>
    <w:rsid w:val="00601F35"/>
    <w:rsid w:val="0060236D"/>
    <w:rsid w:val="0060248E"/>
    <w:rsid w:val="006028D6"/>
    <w:rsid w:val="0060302D"/>
    <w:rsid w:val="0060364A"/>
    <w:rsid w:val="00603B43"/>
    <w:rsid w:val="00604032"/>
    <w:rsid w:val="00604088"/>
    <w:rsid w:val="00604255"/>
    <w:rsid w:val="00604315"/>
    <w:rsid w:val="006044EA"/>
    <w:rsid w:val="00604962"/>
    <w:rsid w:val="00604A62"/>
    <w:rsid w:val="00604BCE"/>
    <w:rsid w:val="00604E1E"/>
    <w:rsid w:val="00604E26"/>
    <w:rsid w:val="006050F3"/>
    <w:rsid w:val="0060523F"/>
    <w:rsid w:val="006052CF"/>
    <w:rsid w:val="00605634"/>
    <w:rsid w:val="00605E43"/>
    <w:rsid w:val="006066CC"/>
    <w:rsid w:val="0060680C"/>
    <w:rsid w:val="00606A12"/>
    <w:rsid w:val="00606D61"/>
    <w:rsid w:val="006070A8"/>
    <w:rsid w:val="00607140"/>
    <w:rsid w:val="006071C5"/>
    <w:rsid w:val="006074C7"/>
    <w:rsid w:val="0060775B"/>
    <w:rsid w:val="00607B8D"/>
    <w:rsid w:val="00607E92"/>
    <w:rsid w:val="0061012A"/>
    <w:rsid w:val="0061072F"/>
    <w:rsid w:val="00610740"/>
    <w:rsid w:val="00610C37"/>
    <w:rsid w:val="0061111F"/>
    <w:rsid w:val="00611A41"/>
    <w:rsid w:val="00611DFA"/>
    <w:rsid w:val="00611F5C"/>
    <w:rsid w:val="0061225C"/>
    <w:rsid w:val="00612861"/>
    <w:rsid w:val="006129BD"/>
    <w:rsid w:val="00612A06"/>
    <w:rsid w:val="00612BB5"/>
    <w:rsid w:val="00612BF6"/>
    <w:rsid w:val="006131EE"/>
    <w:rsid w:val="0061344C"/>
    <w:rsid w:val="0061384E"/>
    <w:rsid w:val="00614087"/>
    <w:rsid w:val="00614191"/>
    <w:rsid w:val="0061492A"/>
    <w:rsid w:val="00614AF8"/>
    <w:rsid w:val="00614C2D"/>
    <w:rsid w:val="00614FA8"/>
    <w:rsid w:val="00615185"/>
    <w:rsid w:val="006155FF"/>
    <w:rsid w:val="00616016"/>
    <w:rsid w:val="0061632A"/>
    <w:rsid w:val="006164E6"/>
    <w:rsid w:val="006168D8"/>
    <w:rsid w:val="00616963"/>
    <w:rsid w:val="00616DF9"/>
    <w:rsid w:val="00616E09"/>
    <w:rsid w:val="00617AAB"/>
    <w:rsid w:val="00620D35"/>
    <w:rsid w:val="00620E19"/>
    <w:rsid w:val="0062198E"/>
    <w:rsid w:val="006221D4"/>
    <w:rsid w:val="006225C9"/>
    <w:rsid w:val="006226EC"/>
    <w:rsid w:val="00622A3B"/>
    <w:rsid w:val="00622EEA"/>
    <w:rsid w:val="00623418"/>
    <w:rsid w:val="00623754"/>
    <w:rsid w:val="0062394F"/>
    <w:rsid w:val="0062396C"/>
    <w:rsid w:val="00623991"/>
    <w:rsid w:val="00623B17"/>
    <w:rsid w:val="00623B2E"/>
    <w:rsid w:val="00623B4C"/>
    <w:rsid w:val="00623EA7"/>
    <w:rsid w:val="00623F78"/>
    <w:rsid w:val="00623FF9"/>
    <w:rsid w:val="00624416"/>
    <w:rsid w:val="00624A60"/>
    <w:rsid w:val="00624D90"/>
    <w:rsid w:val="0062571A"/>
    <w:rsid w:val="00625875"/>
    <w:rsid w:val="00625894"/>
    <w:rsid w:val="00625C9C"/>
    <w:rsid w:val="00625D5C"/>
    <w:rsid w:val="00625DC1"/>
    <w:rsid w:val="00625F20"/>
    <w:rsid w:val="00626084"/>
    <w:rsid w:val="006265F6"/>
    <w:rsid w:val="00626C8B"/>
    <w:rsid w:val="00626E4D"/>
    <w:rsid w:val="0062719F"/>
    <w:rsid w:val="0062780B"/>
    <w:rsid w:val="00627D4E"/>
    <w:rsid w:val="00630224"/>
    <w:rsid w:val="006302EA"/>
    <w:rsid w:val="00630BB0"/>
    <w:rsid w:val="00631039"/>
    <w:rsid w:val="006310AA"/>
    <w:rsid w:val="00631182"/>
    <w:rsid w:val="006313A4"/>
    <w:rsid w:val="00631862"/>
    <w:rsid w:val="006319A2"/>
    <w:rsid w:val="00631CE4"/>
    <w:rsid w:val="0063216B"/>
    <w:rsid w:val="006321BD"/>
    <w:rsid w:val="006323C4"/>
    <w:rsid w:val="00632B89"/>
    <w:rsid w:val="00632F64"/>
    <w:rsid w:val="00632F73"/>
    <w:rsid w:val="0063346D"/>
    <w:rsid w:val="006335F2"/>
    <w:rsid w:val="00633F94"/>
    <w:rsid w:val="00633F9C"/>
    <w:rsid w:val="006341C4"/>
    <w:rsid w:val="006343E1"/>
    <w:rsid w:val="00634478"/>
    <w:rsid w:val="00634990"/>
    <w:rsid w:val="00634A51"/>
    <w:rsid w:val="0063516A"/>
    <w:rsid w:val="006353EA"/>
    <w:rsid w:val="0063579A"/>
    <w:rsid w:val="00635815"/>
    <w:rsid w:val="00635B82"/>
    <w:rsid w:val="0063624B"/>
    <w:rsid w:val="00636507"/>
    <w:rsid w:val="006367A9"/>
    <w:rsid w:val="00636B06"/>
    <w:rsid w:val="00636CDB"/>
    <w:rsid w:val="006370BA"/>
    <w:rsid w:val="00637F40"/>
    <w:rsid w:val="00640034"/>
    <w:rsid w:val="00640116"/>
    <w:rsid w:val="00640142"/>
    <w:rsid w:val="006403AB"/>
    <w:rsid w:val="00640A60"/>
    <w:rsid w:val="00640CC4"/>
    <w:rsid w:val="006414FD"/>
    <w:rsid w:val="00641733"/>
    <w:rsid w:val="00641C3E"/>
    <w:rsid w:val="006422A1"/>
    <w:rsid w:val="006425B6"/>
    <w:rsid w:val="0064415E"/>
    <w:rsid w:val="0064417B"/>
    <w:rsid w:val="006441B0"/>
    <w:rsid w:val="00644373"/>
    <w:rsid w:val="0064446E"/>
    <w:rsid w:val="006445BA"/>
    <w:rsid w:val="00644856"/>
    <w:rsid w:val="00644867"/>
    <w:rsid w:val="00644AD1"/>
    <w:rsid w:val="00644E06"/>
    <w:rsid w:val="0064510C"/>
    <w:rsid w:val="0064559B"/>
    <w:rsid w:val="00645819"/>
    <w:rsid w:val="00645823"/>
    <w:rsid w:val="00645915"/>
    <w:rsid w:val="0064600C"/>
    <w:rsid w:val="0064646C"/>
    <w:rsid w:val="0064671A"/>
    <w:rsid w:val="00646CC4"/>
    <w:rsid w:val="0064710F"/>
    <w:rsid w:val="006471CD"/>
    <w:rsid w:val="0064720F"/>
    <w:rsid w:val="0064789D"/>
    <w:rsid w:val="00647A7F"/>
    <w:rsid w:val="00647C9A"/>
    <w:rsid w:val="00647E6C"/>
    <w:rsid w:val="006501CA"/>
    <w:rsid w:val="006508D5"/>
    <w:rsid w:val="00650C22"/>
    <w:rsid w:val="00650DC5"/>
    <w:rsid w:val="006519C3"/>
    <w:rsid w:val="00652020"/>
    <w:rsid w:val="00652160"/>
    <w:rsid w:val="006527F1"/>
    <w:rsid w:val="00652B30"/>
    <w:rsid w:val="00652F04"/>
    <w:rsid w:val="00653387"/>
    <w:rsid w:val="00654A66"/>
    <w:rsid w:val="00654CC2"/>
    <w:rsid w:val="00655293"/>
    <w:rsid w:val="00655C95"/>
    <w:rsid w:val="006561F0"/>
    <w:rsid w:val="00656345"/>
    <w:rsid w:val="006568A3"/>
    <w:rsid w:val="00656DC6"/>
    <w:rsid w:val="00657A82"/>
    <w:rsid w:val="00657B44"/>
    <w:rsid w:val="00657D2A"/>
    <w:rsid w:val="00657D47"/>
    <w:rsid w:val="00660CBE"/>
    <w:rsid w:val="00660EC6"/>
    <w:rsid w:val="0066106C"/>
    <w:rsid w:val="00661223"/>
    <w:rsid w:val="006612C6"/>
    <w:rsid w:val="006615FB"/>
    <w:rsid w:val="006619A9"/>
    <w:rsid w:val="00661B0C"/>
    <w:rsid w:val="00661C03"/>
    <w:rsid w:val="00662262"/>
    <w:rsid w:val="006623B1"/>
    <w:rsid w:val="006626FE"/>
    <w:rsid w:val="006627EB"/>
    <w:rsid w:val="00662A0E"/>
    <w:rsid w:val="00662E79"/>
    <w:rsid w:val="006636AD"/>
    <w:rsid w:val="00663779"/>
    <w:rsid w:val="00663A35"/>
    <w:rsid w:val="00663D2F"/>
    <w:rsid w:val="00663E47"/>
    <w:rsid w:val="00663F15"/>
    <w:rsid w:val="00664110"/>
    <w:rsid w:val="00664714"/>
    <w:rsid w:val="00664942"/>
    <w:rsid w:val="00664982"/>
    <w:rsid w:val="00664BC3"/>
    <w:rsid w:val="00664D17"/>
    <w:rsid w:val="006651C4"/>
    <w:rsid w:val="006651F4"/>
    <w:rsid w:val="0066558E"/>
    <w:rsid w:val="00665D17"/>
    <w:rsid w:val="00665D6A"/>
    <w:rsid w:val="00665EAA"/>
    <w:rsid w:val="00666358"/>
    <w:rsid w:val="00666520"/>
    <w:rsid w:val="00667072"/>
    <w:rsid w:val="006671B8"/>
    <w:rsid w:val="00667B38"/>
    <w:rsid w:val="00667C5B"/>
    <w:rsid w:val="00667DB3"/>
    <w:rsid w:val="00670C59"/>
    <w:rsid w:val="00671152"/>
    <w:rsid w:val="0067115B"/>
    <w:rsid w:val="0067129E"/>
    <w:rsid w:val="006717D6"/>
    <w:rsid w:val="00672020"/>
    <w:rsid w:val="00672169"/>
    <w:rsid w:val="006722AA"/>
    <w:rsid w:val="006723D1"/>
    <w:rsid w:val="006728CE"/>
    <w:rsid w:val="00673190"/>
    <w:rsid w:val="00673660"/>
    <w:rsid w:val="0067373D"/>
    <w:rsid w:val="00673C19"/>
    <w:rsid w:val="0067480E"/>
    <w:rsid w:val="00674D29"/>
    <w:rsid w:val="0067590A"/>
    <w:rsid w:val="00675E3A"/>
    <w:rsid w:val="0067623E"/>
    <w:rsid w:val="00676758"/>
    <w:rsid w:val="00676AA9"/>
    <w:rsid w:val="00676F52"/>
    <w:rsid w:val="00677379"/>
    <w:rsid w:val="006774F1"/>
    <w:rsid w:val="00677CAA"/>
    <w:rsid w:val="00680728"/>
    <w:rsid w:val="00680CD2"/>
    <w:rsid w:val="0068148C"/>
    <w:rsid w:val="006814F8"/>
    <w:rsid w:val="0068170D"/>
    <w:rsid w:val="00681B28"/>
    <w:rsid w:val="006822DA"/>
    <w:rsid w:val="00682991"/>
    <w:rsid w:val="00682DFD"/>
    <w:rsid w:val="006840F7"/>
    <w:rsid w:val="006842FB"/>
    <w:rsid w:val="006844AA"/>
    <w:rsid w:val="00684C7D"/>
    <w:rsid w:val="0068522E"/>
    <w:rsid w:val="006852F4"/>
    <w:rsid w:val="00685382"/>
    <w:rsid w:val="006856C9"/>
    <w:rsid w:val="0068600D"/>
    <w:rsid w:val="0068651E"/>
    <w:rsid w:val="00686723"/>
    <w:rsid w:val="00686B0B"/>
    <w:rsid w:val="00690270"/>
    <w:rsid w:val="00690444"/>
    <w:rsid w:val="00691045"/>
    <w:rsid w:val="006910AB"/>
    <w:rsid w:val="006917A4"/>
    <w:rsid w:val="00691938"/>
    <w:rsid w:val="00691EB8"/>
    <w:rsid w:val="00692223"/>
    <w:rsid w:val="006925FD"/>
    <w:rsid w:val="00692CDE"/>
    <w:rsid w:val="00692D18"/>
    <w:rsid w:val="00692D4D"/>
    <w:rsid w:val="00693073"/>
    <w:rsid w:val="006935BC"/>
    <w:rsid w:val="006938C9"/>
    <w:rsid w:val="00693A32"/>
    <w:rsid w:val="00693EA2"/>
    <w:rsid w:val="00694554"/>
    <w:rsid w:val="00695076"/>
    <w:rsid w:val="00695C50"/>
    <w:rsid w:val="006965ED"/>
    <w:rsid w:val="00696606"/>
    <w:rsid w:val="00696899"/>
    <w:rsid w:val="00696D4A"/>
    <w:rsid w:val="006977FF"/>
    <w:rsid w:val="00697FB2"/>
    <w:rsid w:val="006A01FA"/>
    <w:rsid w:val="006A02A2"/>
    <w:rsid w:val="006A079F"/>
    <w:rsid w:val="006A07BC"/>
    <w:rsid w:val="006A09CD"/>
    <w:rsid w:val="006A0BD7"/>
    <w:rsid w:val="006A0E9E"/>
    <w:rsid w:val="006A15DC"/>
    <w:rsid w:val="006A180A"/>
    <w:rsid w:val="006A187F"/>
    <w:rsid w:val="006A1926"/>
    <w:rsid w:val="006A1B1F"/>
    <w:rsid w:val="006A2591"/>
    <w:rsid w:val="006A25C7"/>
    <w:rsid w:val="006A2641"/>
    <w:rsid w:val="006A2B66"/>
    <w:rsid w:val="006A2BEB"/>
    <w:rsid w:val="006A2C06"/>
    <w:rsid w:val="006A2CF1"/>
    <w:rsid w:val="006A393B"/>
    <w:rsid w:val="006A3F82"/>
    <w:rsid w:val="006A4AAD"/>
    <w:rsid w:val="006A4CCA"/>
    <w:rsid w:val="006A5A38"/>
    <w:rsid w:val="006A5AFF"/>
    <w:rsid w:val="006A61F1"/>
    <w:rsid w:val="006A6724"/>
    <w:rsid w:val="006A6BCB"/>
    <w:rsid w:val="006A6DA2"/>
    <w:rsid w:val="006A7AB2"/>
    <w:rsid w:val="006A7FDF"/>
    <w:rsid w:val="006B067B"/>
    <w:rsid w:val="006B0950"/>
    <w:rsid w:val="006B194D"/>
    <w:rsid w:val="006B1BC8"/>
    <w:rsid w:val="006B1D8B"/>
    <w:rsid w:val="006B1E26"/>
    <w:rsid w:val="006B28BC"/>
    <w:rsid w:val="006B2CF7"/>
    <w:rsid w:val="006B2DB8"/>
    <w:rsid w:val="006B4163"/>
    <w:rsid w:val="006B41B4"/>
    <w:rsid w:val="006B43D4"/>
    <w:rsid w:val="006B4495"/>
    <w:rsid w:val="006B4664"/>
    <w:rsid w:val="006B4C79"/>
    <w:rsid w:val="006B52DE"/>
    <w:rsid w:val="006B5717"/>
    <w:rsid w:val="006B582F"/>
    <w:rsid w:val="006B5913"/>
    <w:rsid w:val="006B5A60"/>
    <w:rsid w:val="006B5EB2"/>
    <w:rsid w:val="006B684B"/>
    <w:rsid w:val="006B6A83"/>
    <w:rsid w:val="006B7452"/>
    <w:rsid w:val="006B751E"/>
    <w:rsid w:val="006B75B9"/>
    <w:rsid w:val="006B77AA"/>
    <w:rsid w:val="006B78D0"/>
    <w:rsid w:val="006B7B3F"/>
    <w:rsid w:val="006C001F"/>
    <w:rsid w:val="006C036B"/>
    <w:rsid w:val="006C04A8"/>
    <w:rsid w:val="006C0CEB"/>
    <w:rsid w:val="006C0D71"/>
    <w:rsid w:val="006C0FF2"/>
    <w:rsid w:val="006C1631"/>
    <w:rsid w:val="006C1F6F"/>
    <w:rsid w:val="006C22E5"/>
    <w:rsid w:val="006C2ACA"/>
    <w:rsid w:val="006C2B99"/>
    <w:rsid w:val="006C365B"/>
    <w:rsid w:val="006C3B1E"/>
    <w:rsid w:val="006C4220"/>
    <w:rsid w:val="006C4492"/>
    <w:rsid w:val="006C47FD"/>
    <w:rsid w:val="006C4C04"/>
    <w:rsid w:val="006C51C6"/>
    <w:rsid w:val="006C5B68"/>
    <w:rsid w:val="006C5C11"/>
    <w:rsid w:val="006C5C19"/>
    <w:rsid w:val="006C5DD3"/>
    <w:rsid w:val="006C6327"/>
    <w:rsid w:val="006C63D1"/>
    <w:rsid w:val="006C654D"/>
    <w:rsid w:val="006C6925"/>
    <w:rsid w:val="006C6D8C"/>
    <w:rsid w:val="006C7014"/>
    <w:rsid w:val="006C70A0"/>
    <w:rsid w:val="006C73C4"/>
    <w:rsid w:val="006C740B"/>
    <w:rsid w:val="006C74D6"/>
    <w:rsid w:val="006C74F4"/>
    <w:rsid w:val="006C7B63"/>
    <w:rsid w:val="006D01C0"/>
    <w:rsid w:val="006D0431"/>
    <w:rsid w:val="006D0730"/>
    <w:rsid w:val="006D1014"/>
    <w:rsid w:val="006D116C"/>
    <w:rsid w:val="006D1551"/>
    <w:rsid w:val="006D15F7"/>
    <w:rsid w:val="006D178F"/>
    <w:rsid w:val="006D1A23"/>
    <w:rsid w:val="006D1D1D"/>
    <w:rsid w:val="006D25EA"/>
    <w:rsid w:val="006D27CB"/>
    <w:rsid w:val="006D2F08"/>
    <w:rsid w:val="006D2F38"/>
    <w:rsid w:val="006D33A2"/>
    <w:rsid w:val="006D341B"/>
    <w:rsid w:val="006D3552"/>
    <w:rsid w:val="006D3A69"/>
    <w:rsid w:val="006D3A8B"/>
    <w:rsid w:val="006D3C5A"/>
    <w:rsid w:val="006D4578"/>
    <w:rsid w:val="006D4F28"/>
    <w:rsid w:val="006D4FCF"/>
    <w:rsid w:val="006D4FFF"/>
    <w:rsid w:val="006D56FC"/>
    <w:rsid w:val="006D576C"/>
    <w:rsid w:val="006D5865"/>
    <w:rsid w:val="006D5E6C"/>
    <w:rsid w:val="006D6833"/>
    <w:rsid w:val="006D6FF6"/>
    <w:rsid w:val="006D7519"/>
    <w:rsid w:val="006D7550"/>
    <w:rsid w:val="006D75BB"/>
    <w:rsid w:val="006D7A72"/>
    <w:rsid w:val="006E0179"/>
    <w:rsid w:val="006E0B88"/>
    <w:rsid w:val="006E0C1F"/>
    <w:rsid w:val="006E0CB3"/>
    <w:rsid w:val="006E16D6"/>
    <w:rsid w:val="006E1972"/>
    <w:rsid w:val="006E1A41"/>
    <w:rsid w:val="006E29D9"/>
    <w:rsid w:val="006E31C8"/>
    <w:rsid w:val="006E371F"/>
    <w:rsid w:val="006E3AF2"/>
    <w:rsid w:val="006E3C18"/>
    <w:rsid w:val="006E4058"/>
    <w:rsid w:val="006E4167"/>
    <w:rsid w:val="006E4B1B"/>
    <w:rsid w:val="006E536E"/>
    <w:rsid w:val="006E539B"/>
    <w:rsid w:val="006E5445"/>
    <w:rsid w:val="006E579C"/>
    <w:rsid w:val="006E601F"/>
    <w:rsid w:val="006E6930"/>
    <w:rsid w:val="006E6E63"/>
    <w:rsid w:val="006E784D"/>
    <w:rsid w:val="006E7AB3"/>
    <w:rsid w:val="006E7D93"/>
    <w:rsid w:val="006E7E33"/>
    <w:rsid w:val="006E7FCC"/>
    <w:rsid w:val="006F0AE7"/>
    <w:rsid w:val="006F117F"/>
    <w:rsid w:val="006F1308"/>
    <w:rsid w:val="006F1377"/>
    <w:rsid w:val="006F159C"/>
    <w:rsid w:val="006F2A74"/>
    <w:rsid w:val="006F300E"/>
    <w:rsid w:val="006F303B"/>
    <w:rsid w:val="006F3161"/>
    <w:rsid w:val="006F4421"/>
    <w:rsid w:val="006F46BD"/>
    <w:rsid w:val="006F4921"/>
    <w:rsid w:val="006F511E"/>
    <w:rsid w:val="006F552D"/>
    <w:rsid w:val="006F5871"/>
    <w:rsid w:val="006F64C9"/>
    <w:rsid w:val="006F667E"/>
    <w:rsid w:val="006F6C86"/>
    <w:rsid w:val="006F71BD"/>
    <w:rsid w:val="006F76A9"/>
    <w:rsid w:val="006F7972"/>
    <w:rsid w:val="006F7A52"/>
    <w:rsid w:val="006F7EE3"/>
    <w:rsid w:val="007003A6"/>
    <w:rsid w:val="00700498"/>
    <w:rsid w:val="00700539"/>
    <w:rsid w:val="00701311"/>
    <w:rsid w:val="0070133D"/>
    <w:rsid w:val="0070299B"/>
    <w:rsid w:val="007029A3"/>
    <w:rsid w:val="00702C00"/>
    <w:rsid w:val="00703011"/>
    <w:rsid w:val="007036FA"/>
    <w:rsid w:val="007039E7"/>
    <w:rsid w:val="007040C0"/>
    <w:rsid w:val="007040C6"/>
    <w:rsid w:val="00704C1D"/>
    <w:rsid w:val="00704CB3"/>
    <w:rsid w:val="0070503C"/>
    <w:rsid w:val="007056AA"/>
    <w:rsid w:val="00705C0A"/>
    <w:rsid w:val="00705C1B"/>
    <w:rsid w:val="00706802"/>
    <w:rsid w:val="00706E4E"/>
    <w:rsid w:val="00706FE0"/>
    <w:rsid w:val="007077AE"/>
    <w:rsid w:val="0070791C"/>
    <w:rsid w:val="0070793F"/>
    <w:rsid w:val="00707D5B"/>
    <w:rsid w:val="00707E89"/>
    <w:rsid w:val="00710463"/>
    <w:rsid w:val="00710A22"/>
    <w:rsid w:val="00710A51"/>
    <w:rsid w:val="00711581"/>
    <w:rsid w:val="00711727"/>
    <w:rsid w:val="0071183F"/>
    <w:rsid w:val="00711888"/>
    <w:rsid w:val="0071191E"/>
    <w:rsid w:val="00711A8E"/>
    <w:rsid w:val="00711AF5"/>
    <w:rsid w:val="007122A3"/>
    <w:rsid w:val="00712AAE"/>
    <w:rsid w:val="00712B31"/>
    <w:rsid w:val="00712E4A"/>
    <w:rsid w:val="0071383C"/>
    <w:rsid w:val="007138FD"/>
    <w:rsid w:val="007141A7"/>
    <w:rsid w:val="00714325"/>
    <w:rsid w:val="00714FB8"/>
    <w:rsid w:val="00715722"/>
    <w:rsid w:val="0071596B"/>
    <w:rsid w:val="00715B11"/>
    <w:rsid w:val="00715BAF"/>
    <w:rsid w:val="00715D1C"/>
    <w:rsid w:val="00715F44"/>
    <w:rsid w:val="0071622D"/>
    <w:rsid w:val="007172E1"/>
    <w:rsid w:val="00717528"/>
    <w:rsid w:val="00717599"/>
    <w:rsid w:val="00720EC3"/>
    <w:rsid w:val="00721032"/>
    <w:rsid w:val="0072114D"/>
    <w:rsid w:val="00721765"/>
    <w:rsid w:val="0072190E"/>
    <w:rsid w:val="00721B55"/>
    <w:rsid w:val="00721DA9"/>
    <w:rsid w:val="0072207F"/>
    <w:rsid w:val="0072252F"/>
    <w:rsid w:val="007229E9"/>
    <w:rsid w:val="00722BF2"/>
    <w:rsid w:val="00722DED"/>
    <w:rsid w:val="007240B0"/>
    <w:rsid w:val="007244D0"/>
    <w:rsid w:val="00724DBC"/>
    <w:rsid w:val="00724FFC"/>
    <w:rsid w:val="0072523D"/>
    <w:rsid w:val="00725498"/>
    <w:rsid w:val="00725945"/>
    <w:rsid w:val="00725DBE"/>
    <w:rsid w:val="00725DE4"/>
    <w:rsid w:val="00725F63"/>
    <w:rsid w:val="00726279"/>
    <w:rsid w:val="0072644A"/>
    <w:rsid w:val="007264FF"/>
    <w:rsid w:val="00726CE4"/>
    <w:rsid w:val="0072729A"/>
    <w:rsid w:val="007272AD"/>
    <w:rsid w:val="007275F2"/>
    <w:rsid w:val="007279D3"/>
    <w:rsid w:val="00727D2F"/>
    <w:rsid w:val="00727EBE"/>
    <w:rsid w:val="00727F54"/>
    <w:rsid w:val="00730BE4"/>
    <w:rsid w:val="00730DC8"/>
    <w:rsid w:val="0073134A"/>
    <w:rsid w:val="00731476"/>
    <w:rsid w:val="00731541"/>
    <w:rsid w:val="00731723"/>
    <w:rsid w:val="00731EB4"/>
    <w:rsid w:val="00732391"/>
    <w:rsid w:val="0073281C"/>
    <w:rsid w:val="00732888"/>
    <w:rsid w:val="007328AB"/>
    <w:rsid w:val="0073292D"/>
    <w:rsid w:val="00732B5D"/>
    <w:rsid w:val="00732B92"/>
    <w:rsid w:val="00732E58"/>
    <w:rsid w:val="00733A3E"/>
    <w:rsid w:val="007340A5"/>
    <w:rsid w:val="007340FA"/>
    <w:rsid w:val="00734143"/>
    <w:rsid w:val="007341BA"/>
    <w:rsid w:val="0073424E"/>
    <w:rsid w:val="00734A22"/>
    <w:rsid w:val="00734CED"/>
    <w:rsid w:val="0073622D"/>
    <w:rsid w:val="00736438"/>
    <w:rsid w:val="007366F2"/>
    <w:rsid w:val="007368EB"/>
    <w:rsid w:val="00736E4F"/>
    <w:rsid w:val="00737A1B"/>
    <w:rsid w:val="00737E47"/>
    <w:rsid w:val="00737F30"/>
    <w:rsid w:val="00740103"/>
    <w:rsid w:val="00740379"/>
    <w:rsid w:val="00740397"/>
    <w:rsid w:val="007405FC"/>
    <w:rsid w:val="00740B23"/>
    <w:rsid w:val="00740EAC"/>
    <w:rsid w:val="00742BD1"/>
    <w:rsid w:val="00742C1B"/>
    <w:rsid w:val="00742CF5"/>
    <w:rsid w:val="00743063"/>
    <w:rsid w:val="0074340C"/>
    <w:rsid w:val="00743434"/>
    <w:rsid w:val="00743AEA"/>
    <w:rsid w:val="00744240"/>
    <w:rsid w:val="007445EC"/>
    <w:rsid w:val="00744956"/>
    <w:rsid w:val="00744AF8"/>
    <w:rsid w:val="007453CE"/>
    <w:rsid w:val="00745489"/>
    <w:rsid w:val="00745A5C"/>
    <w:rsid w:val="0074605F"/>
    <w:rsid w:val="00746799"/>
    <w:rsid w:val="00746B1E"/>
    <w:rsid w:val="007473E7"/>
    <w:rsid w:val="00747CD1"/>
    <w:rsid w:val="00747E94"/>
    <w:rsid w:val="00750181"/>
    <w:rsid w:val="00750A04"/>
    <w:rsid w:val="00750FB3"/>
    <w:rsid w:val="007510BA"/>
    <w:rsid w:val="00751373"/>
    <w:rsid w:val="00751AE4"/>
    <w:rsid w:val="00751C11"/>
    <w:rsid w:val="00751FE5"/>
    <w:rsid w:val="00752135"/>
    <w:rsid w:val="007522E5"/>
    <w:rsid w:val="0075238C"/>
    <w:rsid w:val="007524BE"/>
    <w:rsid w:val="0075271B"/>
    <w:rsid w:val="007536CD"/>
    <w:rsid w:val="00753802"/>
    <w:rsid w:val="00753B19"/>
    <w:rsid w:val="00754C83"/>
    <w:rsid w:val="00754EE4"/>
    <w:rsid w:val="00755023"/>
    <w:rsid w:val="00755397"/>
    <w:rsid w:val="00755D8E"/>
    <w:rsid w:val="0075696B"/>
    <w:rsid w:val="00756AEF"/>
    <w:rsid w:val="00757105"/>
    <w:rsid w:val="00757734"/>
    <w:rsid w:val="007577DD"/>
    <w:rsid w:val="007578FF"/>
    <w:rsid w:val="007608AD"/>
    <w:rsid w:val="00760D95"/>
    <w:rsid w:val="00760E40"/>
    <w:rsid w:val="007611BB"/>
    <w:rsid w:val="00761E5C"/>
    <w:rsid w:val="0076231D"/>
    <w:rsid w:val="00762469"/>
    <w:rsid w:val="00762927"/>
    <w:rsid w:val="0076298B"/>
    <w:rsid w:val="00762E28"/>
    <w:rsid w:val="00762E50"/>
    <w:rsid w:val="00763850"/>
    <w:rsid w:val="00763903"/>
    <w:rsid w:val="007644AE"/>
    <w:rsid w:val="00764537"/>
    <w:rsid w:val="0076497C"/>
    <w:rsid w:val="00764A95"/>
    <w:rsid w:val="00764BF5"/>
    <w:rsid w:val="007651FA"/>
    <w:rsid w:val="00765207"/>
    <w:rsid w:val="00765DF8"/>
    <w:rsid w:val="007661A2"/>
    <w:rsid w:val="007665AA"/>
    <w:rsid w:val="00766682"/>
    <w:rsid w:val="00766749"/>
    <w:rsid w:val="00766905"/>
    <w:rsid w:val="00767391"/>
    <w:rsid w:val="00767C1B"/>
    <w:rsid w:val="00767C5B"/>
    <w:rsid w:val="00767D7D"/>
    <w:rsid w:val="00770AC2"/>
    <w:rsid w:val="00770B3F"/>
    <w:rsid w:val="00770BD5"/>
    <w:rsid w:val="00770CB4"/>
    <w:rsid w:val="007714A9"/>
    <w:rsid w:val="00771729"/>
    <w:rsid w:val="0077180F"/>
    <w:rsid w:val="00771A3D"/>
    <w:rsid w:val="00771A50"/>
    <w:rsid w:val="00772E0C"/>
    <w:rsid w:val="00772F52"/>
    <w:rsid w:val="007733AA"/>
    <w:rsid w:val="007739FB"/>
    <w:rsid w:val="00773A83"/>
    <w:rsid w:val="00773C4D"/>
    <w:rsid w:val="00774005"/>
    <w:rsid w:val="007740EE"/>
    <w:rsid w:val="007744BD"/>
    <w:rsid w:val="00774678"/>
    <w:rsid w:val="00774B1D"/>
    <w:rsid w:val="00774B82"/>
    <w:rsid w:val="00774F88"/>
    <w:rsid w:val="00774FDB"/>
    <w:rsid w:val="0077520A"/>
    <w:rsid w:val="00775D5D"/>
    <w:rsid w:val="00776314"/>
    <w:rsid w:val="00776DDD"/>
    <w:rsid w:val="00777606"/>
    <w:rsid w:val="00777BA2"/>
    <w:rsid w:val="0078014D"/>
    <w:rsid w:val="00780303"/>
    <w:rsid w:val="00780F69"/>
    <w:rsid w:val="00781004"/>
    <w:rsid w:val="00781408"/>
    <w:rsid w:val="00781BCF"/>
    <w:rsid w:val="00781D50"/>
    <w:rsid w:val="00781F64"/>
    <w:rsid w:val="00782142"/>
    <w:rsid w:val="0078222B"/>
    <w:rsid w:val="0078261B"/>
    <w:rsid w:val="00783C3A"/>
    <w:rsid w:val="00783C76"/>
    <w:rsid w:val="0078432D"/>
    <w:rsid w:val="0078448F"/>
    <w:rsid w:val="00784F7F"/>
    <w:rsid w:val="00785660"/>
    <w:rsid w:val="0078609C"/>
    <w:rsid w:val="00786262"/>
    <w:rsid w:val="007865B4"/>
    <w:rsid w:val="007868FF"/>
    <w:rsid w:val="00786985"/>
    <w:rsid w:val="00786A7F"/>
    <w:rsid w:val="00786AF0"/>
    <w:rsid w:val="00786CBC"/>
    <w:rsid w:val="00786DE4"/>
    <w:rsid w:val="00787275"/>
    <w:rsid w:val="007878BD"/>
    <w:rsid w:val="00787B42"/>
    <w:rsid w:val="00790362"/>
    <w:rsid w:val="007905DA"/>
    <w:rsid w:val="00790E6C"/>
    <w:rsid w:val="00790FFE"/>
    <w:rsid w:val="00791760"/>
    <w:rsid w:val="007926C7"/>
    <w:rsid w:val="00792C74"/>
    <w:rsid w:val="007937D7"/>
    <w:rsid w:val="007939B4"/>
    <w:rsid w:val="00793A28"/>
    <w:rsid w:val="00793C9C"/>
    <w:rsid w:val="00793CC8"/>
    <w:rsid w:val="00793F7E"/>
    <w:rsid w:val="007946D0"/>
    <w:rsid w:val="007950CE"/>
    <w:rsid w:val="0079600B"/>
    <w:rsid w:val="00796635"/>
    <w:rsid w:val="00796747"/>
    <w:rsid w:val="00796F25"/>
    <w:rsid w:val="00797101"/>
    <w:rsid w:val="00797255"/>
    <w:rsid w:val="00797804"/>
    <w:rsid w:val="007A13B0"/>
    <w:rsid w:val="007A1405"/>
    <w:rsid w:val="007A2B36"/>
    <w:rsid w:val="007A2C91"/>
    <w:rsid w:val="007A2E98"/>
    <w:rsid w:val="007A3308"/>
    <w:rsid w:val="007A33D3"/>
    <w:rsid w:val="007A3690"/>
    <w:rsid w:val="007A3795"/>
    <w:rsid w:val="007A385E"/>
    <w:rsid w:val="007A3A14"/>
    <w:rsid w:val="007A3AA6"/>
    <w:rsid w:val="007A3BA3"/>
    <w:rsid w:val="007A3C85"/>
    <w:rsid w:val="007A3CB1"/>
    <w:rsid w:val="007A3E74"/>
    <w:rsid w:val="007A4082"/>
    <w:rsid w:val="007A40DB"/>
    <w:rsid w:val="007A42CB"/>
    <w:rsid w:val="007A445E"/>
    <w:rsid w:val="007A477C"/>
    <w:rsid w:val="007A47D8"/>
    <w:rsid w:val="007A4A9A"/>
    <w:rsid w:val="007A4BDB"/>
    <w:rsid w:val="007A4D17"/>
    <w:rsid w:val="007A4EE9"/>
    <w:rsid w:val="007A513E"/>
    <w:rsid w:val="007A53B1"/>
    <w:rsid w:val="007A5C6C"/>
    <w:rsid w:val="007A652A"/>
    <w:rsid w:val="007A663F"/>
    <w:rsid w:val="007A6665"/>
    <w:rsid w:val="007A6CC0"/>
    <w:rsid w:val="007A703A"/>
    <w:rsid w:val="007A713A"/>
    <w:rsid w:val="007A7346"/>
    <w:rsid w:val="007A79DD"/>
    <w:rsid w:val="007A7DFE"/>
    <w:rsid w:val="007A7FEC"/>
    <w:rsid w:val="007B0588"/>
    <w:rsid w:val="007B068B"/>
    <w:rsid w:val="007B0932"/>
    <w:rsid w:val="007B0FED"/>
    <w:rsid w:val="007B1461"/>
    <w:rsid w:val="007B1499"/>
    <w:rsid w:val="007B1906"/>
    <w:rsid w:val="007B1BBF"/>
    <w:rsid w:val="007B1FA4"/>
    <w:rsid w:val="007B20D9"/>
    <w:rsid w:val="007B28D0"/>
    <w:rsid w:val="007B2960"/>
    <w:rsid w:val="007B29F7"/>
    <w:rsid w:val="007B2FB7"/>
    <w:rsid w:val="007B33F9"/>
    <w:rsid w:val="007B355D"/>
    <w:rsid w:val="007B3E11"/>
    <w:rsid w:val="007B3FDC"/>
    <w:rsid w:val="007B41D8"/>
    <w:rsid w:val="007B44ED"/>
    <w:rsid w:val="007B4571"/>
    <w:rsid w:val="007B4857"/>
    <w:rsid w:val="007B49B5"/>
    <w:rsid w:val="007B56B4"/>
    <w:rsid w:val="007B5997"/>
    <w:rsid w:val="007B5BEB"/>
    <w:rsid w:val="007B5FBC"/>
    <w:rsid w:val="007B6148"/>
    <w:rsid w:val="007B6717"/>
    <w:rsid w:val="007B69CD"/>
    <w:rsid w:val="007B6CF2"/>
    <w:rsid w:val="007B6CFC"/>
    <w:rsid w:val="007B6F3F"/>
    <w:rsid w:val="007B6F95"/>
    <w:rsid w:val="007B7698"/>
    <w:rsid w:val="007B78C5"/>
    <w:rsid w:val="007B7980"/>
    <w:rsid w:val="007C0094"/>
    <w:rsid w:val="007C0C06"/>
    <w:rsid w:val="007C0DEF"/>
    <w:rsid w:val="007C10BA"/>
    <w:rsid w:val="007C11D5"/>
    <w:rsid w:val="007C140A"/>
    <w:rsid w:val="007C1915"/>
    <w:rsid w:val="007C1BD1"/>
    <w:rsid w:val="007C1D43"/>
    <w:rsid w:val="007C1ED0"/>
    <w:rsid w:val="007C226D"/>
    <w:rsid w:val="007C281A"/>
    <w:rsid w:val="007C2EC7"/>
    <w:rsid w:val="007C343A"/>
    <w:rsid w:val="007C3C88"/>
    <w:rsid w:val="007C466B"/>
    <w:rsid w:val="007C4A7C"/>
    <w:rsid w:val="007C4ADB"/>
    <w:rsid w:val="007C51FA"/>
    <w:rsid w:val="007C5331"/>
    <w:rsid w:val="007C572A"/>
    <w:rsid w:val="007C5849"/>
    <w:rsid w:val="007C5D5A"/>
    <w:rsid w:val="007C5E3A"/>
    <w:rsid w:val="007C5F31"/>
    <w:rsid w:val="007C5F97"/>
    <w:rsid w:val="007C607F"/>
    <w:rsid w:val="007C6223"/>
    <w:rsid w:val="007C632A"/>
    <w:rsid w:val="007C6B12"/>
    <w:rsid w:val="007C6E0C"/>
    <w:rsid w:val="007C741B"/>
    <w:rsid w:val="007C750E"/>
    <w:rsid w:val="007C769B"/>
    <w:rsid w:val="007C79DD"/>
    <w:rsid w:val="007D02C8"/>
    <w:rsid w:val="007D02DB"/>
    <w:rsid w:val="007D0524"/>
    <w:rsid w:val="007D120B"/>
    <w:rsid w:val="007D14CA"/>
    <w:rsid w:val="007D1557"/>
    <w:rsid w:val="007D1A97"/>
    <w:rsid w:val="007D1C4D"/>
    <w:rsid w:val="007D1D93"/>
    <w:rsid w:val="007D226D"/>
    <w:rsid w:val="007D2950"/>
    <w:rsid w:val="007D2CD6"/>
    <w:rsid w:val="007D2D1C"/>
    <w:rsid w:val="007D3063"/>
    <w:rsid w:val="007D3396"/>
    <w:rsid w:val="007D3732"/>
    <w:rsid w:val="007D3762"/>
    <w:rsid w:val="007D3B14"/>
    <w:rsid w:val="007D3CEB"/>
    <w:rsid w:val="007D40B6"/>
    <w:rsid w:val="007D40FF"/>
    <w:rsid w:val="007D42CB"/>
    <w:rsid w:val="007D4585"/>
    <w:rsid w:val="007D4E34"/>
    <w:rsid w:val="007D51B3"/>
    <w:rsid w:val="007D5352"/>
    <w:rsid w:val="007D5D3C"/>
    <w:rsid w:val="007D5F4E"/>
    <w:rsid w:val="007D60A4"/>
    <w:rsid w:val="007D6862"/>
    <w:rsid w:val="007D699B"/>
    <w:rsid w:val="007D6BFD"/>
    <w:rsid w:val="007D6E86"/>
    <w:rsid w:val="007D7527"/>
    <w:rsid w:val="007E0761"/>
    <w:rsid w:val="007E0762"/>
    <w:rsid w:val="007E17AD"/>
    <w:rsid w:val="007E199B"/>
    <w:rsid w:val="007E1A89"/>
    <w:rsid w:val="007E2AD6"/>
    <w:rsid w:val="007E2AE0"/>
    <w:rsid w:val="007E4492"/>
    <w:rsid w:val="007E4616"/>
    <w:rsid w:val="007E4B6B"/>
    <w:rsid w:val="007E4E94"/>
    <w:rsid w:val="007E4EED"/>
    <w:rsid w:val="007E5079"/>
    <w:rsid w:val="007E58AA"/>
    <w:rsid w:val="007E5963"/>
    <w:rsid w:val="007E618B"/>
    <w:rsid w:val="007E68DB"/>
    <w:rsid w:val="007E6C68"/>
    <w:rsid w:val="007E6CA3"/>
    <w:rsid w:val="007E7631"/>
    <w:rsid w:val="007E7683"/>
    <w:rsid w:val="007E7D02"/>
    <w:rsid w:val="007E7F08"/>
    <w:rsid w:val="007F067E"/>
    <w:rsid w:val="007F1193"/>
    <w:rsid w:val="007F11DA"/>
    <w:rsid w:val="007F14A6"/>
    <w:rsid w:val="007F1A49"/>
    <w:rsid w:val="007F1E4F"/>
    <w:rsid w:val="007F28C4"/>
    <w:rsid w:val="007F2D0E"/>
    <w:rsid w:val="007F352A"/>
    <w:rsid w:val="007F36D5"/>
    <w:rsid w:val="007F37BA"/>
    <w:rsid w:val="007F3A98"/>
    <w:rsid w:val="007F4285"/>
    <w:rsid w:val="007F428D"/>
    <w:rsid w:val="007F49FA"/>
    <w:rsid w:val="007F4F69"/>
    <w:rsid w:val="007F4F98"/>
    <w:rsid w:val="007F54C4"/>
    <w:rsid w:val="007F581C"/>
    <w:rsid w:val="007F60FE"/>
    <w:rsid w:val="007F6297"/>
    <w:rsid w:val="007F65CE"/>
    <w:rsid w:val="007F6D50"/>
    <w:rsid w:val="007F6E9A"/>
    <w:rsid w:val="007F75B4"/>
    <w:rsid w:val="007F7F27"/>
    <w:rsid w:val="00800369"/>
    <w:rsid w:val="00800460"/>
    <w:rsid w:val="0080052A"/>
    <w:rsid w:val="00800855"/>
    <w:rsid w:val="00800ADD"/>
    <w:rsid w:val="00800B16"/>
    <w:rsid w:val="00800B86"/>
    <w:rsid w:val="00800CCD"/>
    <w:rsid w:val="00800EE1"/>
    <w:rsid w:val="008011EA"/>
    <w:rsid w:val="0080144D"/>
    <w:rsid w:val="00801D6A"/>
    <w:rsid w:val="00802F85"/>
    <w:rsid w:val="00803095"/>
    <w:rsid w:val="00803097"/>
    <w:rsid w:val="00803311"/>
    <w:rsid w:val="00803AF5"/>
    <w:rsid w:val="008042E8"/>
    <w:rsid w:val="008044D4"/>
    <w:rsid w:val="0080486D"/>
    <w:rsid w:val="00805175"/>
    <w:rsid w:val="00805524"/>
    <w:rsid w:val="00805E5C"/>
    <w:rsid w:val="00805F8A"/>
    <w:rsid w:val="0080664F"/>
    <w:rsid w:val="0081014D"/>
    <w:rsid w:val="00810470"/>
    <w:rsid w:val="00810AB4"/>
    <w:rsid w:val="00811572"/>
    <w:rsid w:val="00811799"/>
    <w:rsid w:val="008119CB"/>
    <w:rsid w:val="00811E58"/>
    <w:rsid w:val="00812119"/>
    <w:rsid w:val="00812A0A"/>
    <w:rsid w:val="008135C2"/>
    <w:rsid w:val="00813623"/>
    <w:rsid w:val="008138D5"/>
    <w:rsid w:val="00813AAC"/>
    <w:rsid w:val="00813C09"/>
    <w:rsid w:val="00813D8C"/>
    <w:rsid w:val="008140A4"/>
    <w:rsid w:val="008144EF"/>
    <w:rsid w:val="00814509"/>
    <w:rsid w:val="00814CDA"/>
    <w:rsid w:val="00815097"/>
    <w:rsid w:val="0081515B"/>
    <w:rsid w:val="0081533A"/>
    <w:rsid w:val="0081552C"/>
    <w:rsid w:val="00815693"/>
    <w:rsid w:val="00815993"/>
    <w:rsid w:val="00816183"/>
    <w:rsid w:val="008165CA"/>
    <w:rsid w:val="00816D2B"/>
    <w:rsid w:val="00816D9A"/>
    <w:rsid w:val="00816DA4"/>
    <w:rsid w:val="00817401"/>
    <w:rsid w:val="00817766"/>
    <w:rsid w:val="008178C2"/>
    <w:rsid w:val="00817965"/>
    <w:rsid w:val="00817B56"/>
    <w:rsid w:val="00817D8F"/>
    <w:rsid w:val="0082003D"/>
    <w:rsid w:val="008205AC"/>
    <w:rsid w:val="008206C9"/>
    <w:rsid w:val="00820855"/>
    <w:rsid w:val="008208F9"/>
    <w:rsid w:val="00820912"/>
    <w:rsid w:val="00820E1B"/>
    <w:rsid w:val="008216C7"/>
    <w:rsid w:val="00821766"/>
    <w:rsid w:val="00821818"/>
    <w:rsid w:val="008219AE"/>
    <w:rsid w:val="00821A2C"/>
    <w:rsid w:val="00821A88"/>
    <w:rsid w:val="00821C8F"/>
    <w:rsid w:val="00822AB0"/>
    <w:rsid w:val="008231B0"/>
    <w:rsid w:val="0082322E"/>
    <w:rsid w:val="008233A6"/>
    <w:rsid w:val="00823D46"/>
    <w:rsid w:val="0082477E"/>
    <w:rsid w:val="0082495D"/>
    <w:rsid w:val="0082552E"/>
    <w:rsid w:val="0082561D"/>
    <w:rsid w:val="008262F9"/>
    <w:rsid w:val="00826370"/>
    <w:rsid w:val="008263C3"/>
    <w:rsid w:val="008268CA"/>
    <w:rsid w:val="00826ECB"/>
    <w:rsid w:val="00827246"/>
    <w:rsid w:val="00827414"/>
    <w:rsid w:val="008276CD"/>
    <w:rsid w:val="00827EF3"/>
    <w:rsid w:val="00827EF6"/>
    <w:rsid w:val="008301BA"/>
    <w:rsid w:val="0083042B"/>
    <w:rsid w:val="00830A2C"/>
    <w:rsid w:val="008310D3"/>
    <w:rsid w:val="00831AC3"/>
    <w:rsid w:val="00832257"/>
    <w:rsid w:val="0083233B"/>
    <w:rsid w:val="0083262E"/>
    <w:rsid w:val="00832705"/>
    <w:rsid w:val="00832792"/>
    <w:rsid w:val="00832CC1"/>
    <w:rsid w:val="00832D22"/>
    <w:rsid w:val="008332A9"/>
    <w:rsid w:val="008332F1"/>
    <w:rsid w:val="00833BAF"/>
    <w:rsid w:val="00834027"/>
    <w:rsid w:val="008345EC"/>
    <w:rsid w:val="00834857"/>
    <w:rsid w:val="008354BA"/>
    <w:rsid w:val="0083552D"/>
    <w:rsid w:val="0083597D"/>
    <w:rsid w:val="00835A84"/>
    <w:rsid w:val="00836DB6"/>
    <w:rsid w:val="00836FCE"/>
    <w:rsid w:val="00837CA9"/>
    <w:rsid w:val="00837D74"/>
    <w:rsid w:val="008408FF"/>
    <w:rsid w:val="00841807"/>
    <w:rsid w:val="00841833"/>
    <w:rsid w:val="008422BC"/>
    <w:rsid w:val="0084250A"/>
    <w:rsid w:val="0084293D"/>
    <w:rsid w:val="00842CED"/>
    <w:rsid w:val="00842D38"/>
    <w:rsid w:val="00842E2F"/>
    <w:rsid w:val="0084326E"/>
    <w:rsid w:val="0084381C"/>
    <w:rsid w:val="00843951"/>
    <w:rsid w:val="00843BF3"/>
    <w:rsid w:val="008440E9"/>
    <w:rsid w:val="008446C6"/>
    <w:rsid w:val="0084495B"/>
    <w:rsid w:val="00844AED"/>
    <w:rsid w:val="00844C3C"/>
    <w:rsid w:val="0084523E"/>
    <w:rsid w:val="008454B4"/>
    <w:rsid w:val="008459A6"/>
    <w:rsid w:val="00845B6D"/>
    <w:rsid w:val="00845D45"/>
    <w:rsid w:val="00846A55"/>
    <w:rsid w:val="00846CE6"/>
    <w:rsid w:val="008478D8"/>
    <w:rsid w:val="00847A01"/>
    <w:rsid w:val="00847C48"/>
    <w:rsid w:val="00847E77"/>
    <w:rsid w:val="00847FCA"/>
    <w:rsid w:val="008501E5"/>
    <w:rsid w:val="0085034C"/>
    <w:rsid w:val="0085035D"/>
    <w:rsid w:val="00851F3F"/>
    <w:rsid w:val="0085271D"/>
    <w:rsid w:val="0085293A"/>
    <w:rsid w:val="00852FAB"/>
    <w:rsid w:val="00853066"/>
    <w:rsid w:val="00853965"/>
    <w:rsid w:val="00853971"/>
    <w:rsid w:val="008539DF"/>
    <w:rsid w:val="008541A8"/>
    <w:rsid w:val="008541AD"/>
    <w:rsid w:val="008542BA"/>
    <w:rsid w:val="008543BA"/>
    <w:rsid w:val="00854EF0"/>
    <w:rsid w:val="00854F79"/>
    <w:rsid w:val="0085562E"/>
    <w:rsid w:val="00855F0F"/>
    <w:rsid w:val="00855F6D"/>
    <w:rsid w:val="00856281"/>
    <w:rsid w:val="0085656E"/>
    <w:rsid w:val="008565EA"/>
    <w:rsid w:val="0085661F"/>
    <w:rsid w:val="00856781"/>
    <w:rsid w:val="00856819"/>
    <w:rsid w:val="00856C84"/>
    <w:rsid w:val="00856E8C"/>
    <w:rsid w:val="00856EDC"/>
    <w:rsid w:val="008573A9"/>
    <w:rsid w:val="0085792E"/>
    <w:rsid w:val="00857F5F"/>
    <w:rsid w:val="008601F5"/>
    <w:rsid w:val="008602BB"/>
    <w:rsid w:val="00861476"/>
    <w:rsid w:val="00861726"/>
    <w:rsid w:val="00862127"/>
    <w:rsid w:val="0086215F"/>
    <w:rsid w:val="008623B5"/>
    <w:rsid w:val="008626FF"/>
    <w:rsid w:val="00862AEA"/>
    <w:rsid w:val="00862E80"/>
    <w:rsid w:val="00862F7B"/>
    <w:rsid w:val="008630B9"/>
    <w:rsid w:val="00863146"/>
    <w:rsid w:val="00863174"/>
    <w:rsid w:val="008637AD"/>
    <w:rsid w:val="00863A94"/>
    <w:rsid w:val="00863B58"/>
    <w:rsid w:val="00863CA3"/>
    <w:rsid w:val="00863DE6"/>
    <w:rsid w:val="00864110"/>
    <w:rsid w:val="00864571"/>
    <w:rsid w:val="00864CBB"/>
    <w:rsid w:val="00864DAD"/>
    <w:rsid w:val="00864EFB"/>
    <w:rsid w:val="0086517C"/>
    <w:rsid w:val="0086544D"/>
    <w:rsid w:val="00865659"/>
    <w:rsid w:val="008658BF"/>
    <w:rsid w:val="00865CBC"/>
    <w:rsid w:val="0086634C"/>
    <w:rsid w:val="0086699A"/>
    <w:rsid w:val="00866C1C"/>
    <w:rsid w:val="00867047"/>
    <w:rsid w:val="008670A1"/>
    <w:rsid w:val="008670AD"/>
    <w:rsid w:val="0086756F"/>
    <w:rsid w:val="008675B9"/>
    <w:rsid w:val="008677E5"/>
    <w:rsid w:val="00870ABA"/>
    <w:rsid w:val="00870AD7"/>
    <w:rsid w:val="00870AE9"/>
    <w:rsid w:val="00870F4E"/>
    <w:rsid w:val="008710E1"/>
    <w:rsid w:val="008712BF"/>
    <w:rsid w:val="0087138F"/>
    <w:rsid w:val="0087142A"/>
    <w:rsid w:val="008714A0"/>
    <w:rsid w:val="008716E5"/>
    <w:rsid w:val="0087177E"/>
    <w:rsid w:val="008721E0"/>
    <w:rsid w:val="00872257"/>
    <w:rsid w:val="008729F5"/>
    <w:rsid w:val="008736E5"/>
    <w:rsid w:val="00873BF2"/>
    <w:rsid w:val="00873C40"/>
    <w:rsid w:val="00873D4C"/>
    <w:rsid w:val="00873F89"/>
    <w:rsid w:val="00874020"/>
    <w:rsid w:val="008740E0"/>
    <w:rsid w:val="00874705"/>
    <w:rsid w:val="00874E8D"/>
    <w:rsid w:val="00875435"/>
    <w:rsid w:val="008759E6"/>
    <w:rsid w:val="00875BD5"/>
    <w:rsid w:val="00876AB7"/>
    <w:rsid w:val="00876AC9"/>
    <w:rsid w:val="00877C6A"/>
    <w:rsid w:val="0088042A"/>
    <w:rsid w:val="00880514"/>
    <w:rsid w:val="00880AE0"/>
    <w:rsid w:val="00881711"/>
    <w:rsid w:val="00881CA9"/>
    <w:rsid w:val="00882917"/>
    <w:rsid w:val="0088297F"/>
    <w:rsid w:val="00882B7E"/>
    <w:rsid w:val="00882C33"/>
    <w:rsid w:val="00882C3E"/>
    <w:rsid w:val="00882C7A"/>
    <w:rsid w:val="00883009"/>
    <w:rsid w:val="00883311"/>
    <w:rsid w:val="00883628"/>
    <w:rsid w:val="008837FB"/>
    <w:rsid w:val="0088417C"/>
    <w:rsid w:val="008843B8"/>
    <w:rsid w:val="00884449"/>
    <w:rsid w:val="00884FCC"/>
    <w:rsid w:val="00885544"/>
    <w:rsid w:val="00885795"/>
    <w:rsid w:val="008857BB"/>
    <w:rsid w:val="00885CB9"/>
    <w:rsid w:val="00885CFB"/>
    <w:rsid w:val="00885DA7"/>
    <w:rsid w:val="008862A5"/>
    <w:rsid w:val="0088634E"/>
    <w:rsid w:val="00886EAD"/>
    <w:rsid w:val="008870B8"/>
    <w:rsid w:val="008872B4"/>
    <w:rsid w:val="008876FE"/>
    <w:rsid w:val="008878E7"/>
    <w:rsid w:val="00887CE7"/>
    <w:rsid w:val="00890024"/>
    <w:rsid w:val="0089065E"/>
    <w:rsid w:val="008908CF"/>
    <w:rsid w:val="00890A2F"/>
    <w:rsid w:val="008913D7"/>
    <w:rsid w:val="008916E8"/>
    <w:rsid w:val="008917CF"/>
    <w:rsid w:val="00891B59"/>
    <w:rsid w:val="0089208B"/>
    <w:rsid w:val="0089222C"/>
    <w:rsid w:val="00892C9C"/>
    <w:rsid w:val="00893AB8"/>
    <w:rsid w:val="00893CFB"/>
    <w:rsid w:val="00894222"/>
    <w:rsid w:val="0089564C"/>
    <w:rsid w:val="00896E77"/>
    <w:rsid w:val="008971F2"/>
    <w:rsid w:val="00897298"/>
    <w:rsid w:val="00897764"/>
    <w:rsid w:val="008A020E"/>
    <w:rsid w:val="008A0412"/>
    <w:rsid w:val="008A0465"/>
    <w:rsid w:val="008A04C8"/>
    <w:rsid w:val="008A061D"/>
    <w:rsid w:val="008A0C9A"/>
    <w:rsid w:val="008A0FE9"/>
    <w:rsid w:val="008A1369"/>
    <w:rsid w:val="008A1901"/>
    <w:rsid w:val="008A1C40"/>
    <w:rsid w:val="008A1DB0"/>
    <w:rsid w:val="008A2628"/>
    <w:rsid w:val="008A3C9A"/>
    <w:rsid w:val="008A3CA1"/>
    <w:rsid w:val="008A3EA5"/>
    <w:rsid w:val="008A4578"/>
    <w:rsid w:val="008A4696"/>
    <w:rsid w:val="008A47BC"/>
    <w:rsid w:val="008A519D"/>
    <w:rsid w:val="008A522D"/>
    <w:rsid w:val="008A658B"/>
    <w:rsid w:val="008A6913"/>
    <w:rsid w:val="008A6AC5"/>
    <w:rsid w:val="008A6C15"/>
    <w:rsid w:val="008A6E04"/>
    <w:rsid w:val="008A79FF"/>
    <w:rsid w:val="008A7A61"/>
    <w:rsid w:val="008A7E88"/>
    <w:rsid w:val="008B0DA7"/>
    <w:rsid w:val="008B100A"/>
    <w:rsid w:val="008B15D3"/>
    <w:rsid w:val="008B19E9"/>
    <w:rsid w:val="008B1BF1"/>
    <w:rsid w:val="008B1E41"/>
    <w:rsid w:val="008B24D8"/>
    <w:rsid w:val="008B26D7"/>
    <w:rsid w:val="008B2807"/>
    <w:rsid w:val="008B2832"/>
    <w:rsid w:val="008B2FB4"/>
    <w:rsid w:val="008B3260"/>
    <w:rsid w:val="008B3C00"/>
    <w:rsid w:val="008B44CF"/>
    <w:rsid w:val="008B4722"/>
    <w:rsid w:val="008B54AD"/>
    <w:rsid w:val="008B54BF"/>
    <w:rsid w:val="008B56F6"/>
    <w:rsid w:val="008B6361"/>
    <w:rsid w:val="008B70F3"/>
    <w:rsid w:val="008B71C4"/>
    <w:rsid w:val="008B730E"/>
    <w:rsid w:val="008B76DF"/>
    <w:rsid w:val="008C028A"/>
    <w:rsid w:val="008C05CF"/>
    <w:rsid w:val="008C0864"/>
    <w:rsid w:val="008C0D79"/>
    <w:rsid w:val="008C10F4"/>
    <w:rsid w:val="008C116A"/>
    <w:rsid w:val="008C258D"/>
    <w:rsid w:val="008C26DE"/>
    <w:rsid w:val="008C2C27"/>
    <w:rsid w:val="008C2F1F"/>
    <w:rsid w:val="008C3278"/>
    <w:rsid w:val="008C36DA"/>
    <w:rsid w:val="008C40EA"/>
    <w:rsid w:val="008C4BFC"/>
    <w:rsid w:val="008C5332"/>
    <w:rsid w:val="008C53D3"/>
    <w:rsid w:val="008C54EF"/>
    <w:rsid w:val="008C5851"/>
    <w:rsid w:val="008C592E"/>
    <w:rsid w:val="008C594E"/>
    <w:rsid w:val="008C5A99"/>
    <w:rsid w:val="008C5B8C"/>
    <w:rsid w:val="008C5D98"/>
    <w:rsid w:val="008C65F7"/>
    <w:rsid w:val="008C69AB"/>
    <w:rsid w:val="008C6AC1"/>
    <w:rsid w:val="008C6AC3"/>
    <w:rsid w:val="008C6E36"/>
    <w:rsid w:val="008C6F20"/>
    <w:rsid w:val="008C72D2"/>
    <w:rsid w:val="008D035A"/>
    <w:rsid w:val="008D0AE1"/>
    <w:rsid w:val="008D0B1A"/>
    <w:rsid w:val="008D0DF5"/>
    <w:rsid w:val="008D0F29"/>
    <w:rsid w:val="008D10F7"/>
    <w:rsid w:val="008D12E1"/>
    <w:rsid w:val="008D15B6"/>
    <w:rsid w:val="008D174D"/>
    <w:rsid w:val="008D1BC3"/>
    <w:rsid w:val="008D1DF9"/>
    <w:rsid w:val="008D1E97"/>
    <w:rsid w:val="008D20D6"/>
    <w:rsid w:val="008D28DA"/>
    <w:rsid w:val="008D2938"/>
    <w:rsid w:val="008D2D47"/>
    <w:rsid w:val="008D38AE"/>
    <w:rsid w:val="008D3B07"/>
    <w:rsid w:val="008D3B37"/>
    <w:rsid w:val="008D45C0"/>
    <w:rsid w:val="008D49C8"/>
    <w:rsid w:val="008D4B6B"/>
    <w:rsid w:val="008D4D4E"/>
    <w:rsid w:val="008D4E02"/>
    <w:rsid w:val="008D4E8F"/>
    <w:rsid w:val="008D4F36"/>
    <w:rsid w:val="008D53DA"/>
    <w:rsid w:val="008D5431"/>
    <w:rsid w:val="008D5748"/>
    <w:rsid w:val="008D5C07"/>
    <w:rsid w:val="008D6058"/>
    <w:rsid w:val="008D61DF"/>
    <w:rsid w:val="008D63A0"/>
    <w:rsid w:val="008D68F6"/>
    <w:rsid w:val="008D6CE7"/>
    <w:rsid w:val="008D6DE9"/>
    <w:rsid w:val="008D70DC"/>
    <w:rsid w:val="008D727E"/>
    <w:rsid w:val="008D73A9"/>
    <w:rsid w:val="008D769D"/>
    <w:rsid w:val="008D7912"/>
    <w:rsid w:val="008D7965"/>
    <w:rsid w:val="008D7E57"/>
    <w:rsid w:val="008E0428"/>
    <w:rsid w:val="008E0B67"/>
    <w:rsid w:val="008E1133"/>
    <w:rsid w:val="008E12BC"/>
    <w:rsid w:val="008E19CF"/>
    <w:rsid w:val="008E1A0B"/>
    <w:rsid w:val="008E220D"/>
    <w:rsid w:val="008E2335"/>
    <w:rsid w:val="008E26CF"/>
    <w:rsid w:val="008E29C6"/>
    <w:rsid w:val="008E2BB5"/>
    <w:rsid w:val="008E3483"/>
    <w:rsid w:val="008E3C24"/>
    <w:rsid w:val="008E455E"/>
    <w:rsid w:val="008E46C1"/>
    <w:rsid w:val="008E4767"/>
    <w:rsid w:val="008E500C"/>
    <w:rsid w:val="008E5490"/>
    <w:rsid w:val="008E61C1"/>
    <w:rsid w:val="008E648F"/>
    <w:rsid w:val="008E6871"/>
    <w:rsid w:val="008E70A9"/>
    <w:rsid w:val="008E7200"/>
    <w:rsid w:val="008E72CE"/>
    <w:rsid w:val="008E7A8C"/>
    <w:rsid w:val="008E7C0D"/>
    <w:rsid w:val="008E7F21"/>
    <w:rsid w:val="008E7F60"/>
    <w:rsid w:val="008F01B0"/>
    <w:rsid w:val="008F024D"/>
    <w:rsid w:val="008F0945"/>
    <w:rsid w:val="008F0B33"/>
    <w:rsid w:val="008F0E60"/>
    <w:rsid w:val="008F1067"/>
    <w:rsid w:val="008F109C"/>
    <w:rsid w:val="008F1276"/>
    <w:rsid w:val="008F146F"/>
    <w:rsid w:val="008F1845"/>
    <w:rsid w:val="008F1C55"/>
    <w:rsid w:val="008F1F5D"/>
    <w:rsid w:val="008F2387"/>
    <w:rsid w:val="008F298A"/>
    <w:rsid w:val="008F2EBC"/>
    <w:rsid w:val="008F3042"/>
    <w:rsid w:val="008F3584"/>
    <w:rsid w:val="008F36BC"/>
    <w:rsid w:val="008F386A"/>
    <w:rsid w:val="008F39F4"/>
    <w:rsid w:val="008F3BA0"/>
    <w:rsid w:val="008F47F1"/>
    <w:rsid w:val="008F4B05"/>
    <w:rsid w:val="008F4CE0"/>
    <w:rsid w:val="008F4E25"/>
    <w:rsid w:val="008F5649"/>
    <w:rsid w:val="008F5819"/>
    <w:rsid w:val="008F5C61"/>
    <w:rsid w:val="008F5CEE"/>
    <w:rsid w:val="008F6C7D"/>
    <w:rsid w:val="008F6D61"/>
    <w:rsid w:val="008F6F41"/>
    <w:rsid w:val="008F734A"/>
    <w:rsid w:val="008F790F"/>
    <w:rsid w:val="008F7B33"/>
    <w:rsid w:val="008F7BCF"/>
    <w:rsid w:val="00900790"/>
    <w:rsid w:val="009009F0"/>
    <w:rsid w:val="00900F65"/>
    <w:rsid w:val="00901285"/>
    <w:rsid w:val="00901371"/>
    <w:rsid w:val="00901552"/>
    <w:rsid w:val="009017BC"/>
    <w:rsid w:val="009018BA"/>
    <w:rsid w:val="00901A47"/>
    <w:rsid w:val="0090203B"/>
    <w:rsid w:val="0090235F"/>
    <w:rsid w:val="00902823"/>
    <w:rsid w:val="009028E2"/>
    <w:rsid w:val="00903285"/>
    <w:rsid w:val="0090331A"/>
    <w:rsid w:val="0090337D"/>
    <w:rsid w:val="009035C9"/>
    <w:rsid w:val="009046E4"/>
    <w:rsid w:val="00904FDD"/>
    <w:rsid w:val="00905316"/>
    <w:rsid w:val="0090559C"/>
    <w:rsid w:val="00906AFE"/>
    <w:rsid w:val="00906D4A"/>
    <w:rsid w:val="00906F40"/>
    <w:rsid w:val="00907152"/>
    <w:rsid w:val="0090731E"/>
    <w:rsid w:val="00907FAA"/>
    <w:rsid w:val="0091009B"/>
    <w:rsid w:val="0091018C"/>
    <w:rsid w:val="00910852"/>
    <w:rsid w:val="009115C9"/>
    <w:rsid w:val="009115CB"/>
    <w:rsid w:val="00911808"/>
    <w:rsid w:val="00911A23"/>
    <w:rsid w:val="00911F48"/>
    <w:rsid w:val="00912551"/>
    <w:rsid w:val="009128C9"/>
    <w:rsid w:val="0091302E"/>
    <w:rsid w:val="00913396"/>
    <w:rsid w:val="00913C50"/>
    <w:rsid w:val="00914088"/>
    <w:rsid w:val="00914F85"/>
    <w:rsid w:val="00914FCF"/>
    <w:rsid w:val="00915163"/>
    <w:rsid w:val="0091527C"/>
    <w:rsid w:val="009158F5"/>
    <w:rsid w:val="00915A06"/>
    <w:rsid w:val="00915B1C"/>
    <w:rsid w:val="009162B4"/>
    <w:rsid w:val="0091673E"/>
    <w:rsid w:val="00916C3C"/>
    <w:rsid w:val="009173F0"/>
    <w:rsid w:val="009174F3"/>
    <w:rsid w:val="0091797D"/>
    <w:rsid w:val="0091798A"/>
    <w:rsid w:val="009179A8"/>
    <w:rsid w:val="009205C3"/>
    <w:rsid w:val="00920D6A"/>
    <w:rsid w:val="009219ED"/>
    <w:rsid w:val="00921AB5"/>
    <w:rsid w:val="00921F72"/>
    <w:rsid w:val="009223A8"/>
    <w:rsid w:val="00922851"/>
    <w:rsid w:val="00922D04"/>
    <w:rsid w:val="00922E1E"/>
    <w:rsid w:val="00923098"/>
    <w:rsid w:val="009230E6"/>
    <w:rsid w:val="00923177"/>
    <w:rsid w:val="009236A8"/>
    <w:rsid w:val="00923A43"/>
    <w:rsid w:val="00923CBA"/>
    <w:rsid w:val="00923E44"/>
    <w:rsid w:val="009249BD"/>
    <w:rsid w:val="00924F7B"/>
    <w:rsid w:val="009251C3"/>
    <w:rsid w:val="00925A06"/>
    <w:rsid w:val="00925A41"/>
    <w:rsid w:val="00925B2B"/>
    <w:rsid w:val="00925B56"/>
    <w:rsid w:val="00926703"/>
    <w:rsid w:val="009269A9"/>
    <w:rsid w:val="00926D22"/>
    <w:rsid w:val="00926D44"/>
    <w:rsid w:val="00927691"/>
    <w:rsid w:val="009279CA"/>
    <w:rsid w:val="00927A5F"/>
    <w:rsid w:val="00927BA5"/>
    <w:rsid w:val="00927ED4"/>
    <w:rsid w:val="00930510"/>
    <w:rsid w:val="00930C5A"/>
    <w:rsid w:val="00930CF4"/>
    <w:rsid w:val="0093124D"/>
    <w:rsid w:val="009315AE"/>
    <w:rsid w:val="009317C5"/>
    <w:rsid w:val="009319E1"/>
    <w:rsid w:val="00931CA0"/>
    <w:rsid w:val="00931E18"/>
    <w:rsid w:val="009324F7"/>
    <w:rsid w:val="009325EA"/>
    <w:rsid w:val="009334DC"/>
    <w:rsid w:val="0093383E"/>
    <w:rsid w:val="00933E57"/>
    <w:rsid w:val="009340E9"/>
    <w:rsid w:val="00934A06"/>
    <w:rsid w:val="00934C40"/>
    <w:rsid w:val="00934D6E"/>
    <w:rsid w:val="00934E78"/>
    <w:rsid w:val="00934F45"/>
    <w:rsid w:val="009355F2"/>
    <w:rsid w:val="00935743"/>
    <w:rsid w:val="009357E2"/>
    <w:rsid w:val="0093581F"/>
    <w:rsid w:val="009359C4"/>
    <w:rsid w:val="00935B63"/>
    <w:rsid w:val="00935B65"/>
    <w:rsid w:val="00935EF2"/>
    <w:rsid w:val="009366FD"/>
    <w:rsid w:val="00936B9A"/>
    <w:rsid w:val="00936E95"/>
    <w:rsid w:val="00937169"/>
    <w:rsid w:val="0093744A"/>
    <w:rsid w:val="00937F59"/>
    <w:rsid w:val="00940331"/>
    <w:rsid w:val="0094078F"/>
    <w:rsid w:val="00940FA3"/>
    <w:rsid w:val="0094141E"/>
    <w:rsid w:val="0094158F"/>
    <w:rsid w:val="009417A6"/>
    <w:rsid w:val="00941A42"/>
    <w:rsid w:val="00941DF8"/>
    <w:rsid w:val="00941F1C"/>
    <w:rsid w:val="00941FB0"/>
    <w:rsid w:val="009426D4"/>
    <w:rsid w:val="0094284A"/>
    <w:rsid w:val="009436EA"/>
    <w:rsid w:val="00943D06"/>
    <w:rsid w:val="00944254"/>
    <w:rsid w:val="009443EA"/>
    <w:rsid w:val="00944467"/>
    <w:rsid w:val="00944795"/>
    <w:rsid w:val="0094525B"/>
    <w:rsid w:val="0094552C"/>
    <w:rsid w:val="009463FE"/>
    <w:rsid w:val="009465E7"/>
    <w:rsid w:val="0094660C"/>
    <w:rsid w:val="009467B6"/>
    <w:rsid w:val="00946A49"/>
    <w:rsid w:val="009474FB"/>
    <w:rsid w:val="00947EA2"/>
    <w:rsid w:val="00947F25"/>
    <w:rsid w:val="00950159"/>
    <w:rsid w:val="00950295"/>
    <w:rsid w:val="00950386"/>
    <w:rsid w:val="00950428"/>
    <w:rsid w:val="00950467"/>
    <w:rsid w:val="00950591"/>
    <w:rsid w:val="00950AA2"/>
    <w:rsid w:val="009514B5"/>
    <w:rsid w:val="0095153E"/>
    <w:rsid w:val="00952180"/>
    <w:rsid w:val="0095221A"/>
    <w:rsid w:val="0095245B"/>
    <w:rsid w:val="009529FE"/>
    <w:rsid w:val="009533A4"/>
    <w:rsid w:val="00953CDA"/>
    <w:rsid w:val="00953E07"/>
    <w:rsid w:val="009541B7"/>
    <w:rsid w:val="0095424A"/>
    <w:rsid w:val="00954524"/>
    <w:rsid w:val="009546C4"/>
    <w:rsid w:val="0095490B"/>
    <w:rsid w:val="009551B5"/>
    <w:rsid w:val="00955786"/>
    <w:rsid w:val="00956505"/>
    <w:rsid w:val="00956B69"/>
    <w:rsid w:val="00956C83"/>
    <w:rsid w:val="0095705C"/>
    <w:rsid w:val="0095767C"/>
    <w:rsid w:val="00957FC1"/>
    <w:rsid w:val="00960016"/>
    <w:rsid w:val="009601A5"/>
    <w:rsid w:val="00960A33"/>
    <w:rsid w:val="00960C72"/>
    <w:rsid w:val="00960E8F"/>
    <w:rsid w:val="00960EA7"/>
    <w:rsid w:val="009616F8"/>
    <w:rsid w:val="00961C0D"/>
    <w:rsid w:val="00961CD5"/>
    <w:rsid w:val="00962029"/>
    <w:rsid w:val="0096264A"/>
    <w:rsid w:val="009626B6"/>
    <w:rsid w:val="0096279C"/>
    <w:rsid w:val="009628EF"/>
    <w:rsid w:val="00962C4F"/>
    <w:rsid w:val="00963246"/>
    <w:rsid w:val="00963939"/>
    <w:rsid w:val="00963B29"/>
    <w:rsid w:val="009640D1"/>
    <w:rsid w:val="009642ED"/>
    <w:rsid w:val="00965180"/>
    <w:rsid w:val="00965348"/>
    <w:rsid w:val="009656AD"/>
    <w:rsid w:val="009662C4"/>
    <w:rsid w:val="00966337"/>
    <w:rsid w:val="0096633F"/>
    <w:rsid w:val="009663A3"/>
    <w:rsid w:val="00966AAA"/>
    <w:rsid w:val="00967083"/>
    <w:rsid w:val="009701E3"/>
    <w:rsid w:val="00970520"/>
    <w:rsid w:val="00970855"/>
    <w:rsid w:val="00970B40"/>
    <w:rsid w:val="00970D88"/>
    <w:rsid w:val="00970F09"/>
    <w:rsid w:val="009713DA"/>
    <w:rsid w:val="009717C3"/>
    <w:rsid w:val="0097182B"/>
    <w:rsid w:val="00971914"/>
    <w:rsid w:val="00972170"/>
    <w:rsid w:val="0097249A"/>
    <w:rsid w:val="00972C20"/>
    <w:rsid w:val="00972C8C"/>
    <w:rsid w:val="00972E87"/>
    <w:rsid w:val="009730D5"/>
    <w:rsid w:val="009732DF"/>
    <w:rsid w:val="0097386F"/>
    <w:rsid w:val="00973CB5"/>
    <w:rsid w:val="00973DCF"/>
    <w:rsid w:val="00974363"/>
    <w:rsid w:val="009747F2"/>
    <w:rsid w:val="0097482C"/>
    <w:rsid w:val="00975635"/>
    <w:rsid w:val="00975B01"/>
    <w:rsid w:val="00975C95"/>
    <w:rsid w:val="00975D7D"/>
    <w:rsid w:val="00975F04"/>
    <w:rsid w:val="009760AD"/>
    <w:rsid w:val="009771FF"/>
    <w:rsid w:val="00977588"/>
    <w:rsid w:val="00977D05"/>
    <w:rsid w:val="009807DE"/>
    <w:rsid w:val="00980B22"/>
    <w:rsid w:val="00981045"/>
    <w:rsid w:val="00981898"/>
    <w:rsid w:val="0098194A"/>
    <w:rsid w:val="00981A1D"/>
    <w:rsid w:val="00981BDA"/>
    <w:rsid w:val="00981CA7"/>
    <w:rsid w:val="009826E5"/>
    <w:rsid w:val="00982F3A"/>
    <w:rsid w:val="00983008"/>
    <w:rsid w:val="0098318A"/>
    <w:rsid w:val="0098321F"/>
    <w:rsid w:val="009832A9"/>
    <w:rsid w:val="009835B6"/>
    <w:rsid w:val="0098377A"/>
    <w:rsid w:val="00983DF8"/>
    <w:rsid w:val="009842A1"/>
    <w:rsid w:val="009842D5"/>
    <w:rsid w:val="009847C9"/>
    <w:rsid w:val="00985EE0"/>
    <w:rsid w:val="009866DB"/>
    <w:rsid w:val="009867C9"/>
    <w:rsid w:val="009867E4"/>
    <w:rsid w:val="00986E10"/>
    <w:rsid w:val="00987C52"/>
    <w:rsid w:val="009904CA"/>
    <w:rsid w:val="00990DA5"/>
    <w:rsid w:val="00990DF6"/>
    <w:rsid w:val="00990EF1"/>
    <w:rsid w:val="00991892"/>
    <w:rsid w:val="0099189D"/>
    <w:rsid w:val="00991C47"/>
    <w:rsid w:val="00991CD6"/>
    <w:rsid w:val="00991F0C"/>
    <w:rsid w:val="0099209A"/>
    <w:rsid w:val="00992E78"/>
    <w:rsid w:val="00993887"/>
    <w:rsid w:val="00994D57"/>
    <w:rsid w:val="00994DE1"/>
    <w:rsid w:val="0099577C"/>
    <w:rsid w:val="0099578E"/>
    <w:rsid w:val="009959A6"/>
    <w:rsid w:val="00995E81"/>
    <w:rsid w:val="0099669E"/>
    <w:rsid w:val="00997D4F"/>
    <w:rsid w:val="009A005A"/>
    <w:rsid w:val="009A021C"/>
    <w:rsid w:val="009A0436"/>
    <w:rsid w:val="009A0614"/>
    <w:rsid w:val="009A06B0"/>
    <w:rsid w:val="009A16D2"/>
    <w:rsid w:val="009A1A12"/>
    <w:rsid w:val="009A2050"/>
    <w:rsid w:val="009A227B"/>
    <w:rsid w:val="009A24B5"/>
    <w:rsid w:val="009A25CC"/>
    <w:rsid w:val="009A26D0"/>
    <w:rsid w:val="009A2902"/>
    <w:rsid w:val="009A2A1B"/>
    <w:rsid w:val="009A3001"/>
    <w:rsid w:val="009A308A"/>
    <w:rsid w:val="009A3469"/>
    <w:rsid w:val="009A3AF6"/>
    <w:rsid w:val="009A3C88"/>
    <w:rsid w:val="009A4043"/>
    <w:rsid w:val="009A4078"/>
    <w:rsid w:val="009A4468"/>
    <w:rsid w:val="009A4955"/>
    <w:rsid w:val="009A4B6C"/>
    <w:rsid w:val="009A4F3D"/>
    <w:rsid w:val="009A5187"/>
    <w:rsid w:val="009A5C91"/>
    <w:rsid w:val="009A640C"/>
    <w:rsid w:val="009A6603"/>
    <w:rsid w:val="009A6EF2"/>
    <w:rsid w:val="009A7168"/>
    <w:rsid w:val="009A76B2"/>
    <w:rsid w:val="009A782D"/>
    <w:rsid w:val="009A7B1C"/>
    <w:rsid w:val="009B071E"/>
    <w:rsid w:val="009B0854"/>
    <w:rsid w:val="009B0C32"/>
    <w:rsid w:val="009B1C51"/>
    <w:rsid w:val="009B2259"/>
    <w:rsid w:val="009B24A5"/>
    <w:rsid w:val="009B2540"/>
    <w:rsid w:val="009B2601"/>
    <w:rsid w:val="009B2CE6"/>
    <w:rsid w:val="009B3348"/>
    <w:rsid w:val="009B3879"/>
    <w:rsid w:val="009B3C2A"/>
    <w:rsid w:val="009B4327"/>
    <w:rsid w:val="009B4A85"/>
    <w:rsid w:val="009B4E9E"/>
    <w:rsid w:val="009B632C"/>
    <w:rsid w:val="009B6A72"/>
    <w:rsid w:val="009B6DC1"/>
    <w:rsid w:val="009B720F"/>
    <w:rsid w:val="009B76E5"/>
    <w:rsid w:val="009B76E9"/>
    <w:rsid w:val="009B771C"/>
    <w:rsid w:val="009C0312"/>
    <w:rsid w:val="009C066E"/>
    <w:rsid w:val="009C0D52"/>
    <w:rsid w:val="009C0DE0"/>
    <w:rsid w:val="009C11D9"/>
    <w:rsid w:val="009C1350"/>
    <w:rsid w:val="009C1690"/>
    <w:rsid w:val="009C17DC"/>
    <w:rsid w:val="009C2075"/>
    <w:rsid w:val="009C222F"/>
    <w:rsid w:val="009C2994"/>
    <w:rsid w:val="009C2DCD"/>
    <w:rsid w:val="009C2E75"/>
    <w:rsid w:val="009C304D"/>
    <w:rsid w:val="009C318C"/>
    <w:rsid w:val="009C3E5D"/>
    <w:rsid w:val="009C418B"/>
    <w:rsid w:val="009C45C8"/>
    <w:rsid w:val="009C47A1"/>
    <w:rsid w:val="009C4E3C"/>
    <w:rsid w:val="009C51E8"/>
    <w:rsid w:val="009C52A0"/>
    <w:rsid w:val="009C57F5"/>
    <w:rsid w:val="009C5E7B"/>
    <w:rsid w:val="009C5F2A"/>
    <w:rsid w:val="009C620B"/>
    <w:rsid w:val="009C67AE"/>
    <w:rsid w:val="009C6881"/>
    <w:rsid w:val="009C7316"/>
    <w:rsid w:val="009C7759"/>
    <w:rsid w:val="009C793D"/>
    <w:rsid w:val="009C7B66"/>
    <w:rsid w:val="009C7E79"/>
    <w:rsid w:val="009D043D"/>
    <w:rsid w:val="009D072F"/>
    <w:rsid w:val="009D075A"/>
    <w:rsid w:val="009D07C8"/>
    <w:rsid w:val="009D0B17"/>
    <w:rsid w:val="009D1087"/>
    <w:rsid w:val="009D17D2"/>
    <w:rsid w:val="009D1F8F"/>
    <w:rsid w:val="009D228E"/>
    <w:rsid w:val="009D32E7"/>
    <w:rsid w:val="009D3476"/>
    <w:rsid w:val="009D3DB9"/>
    <w:rsid w:val="009D45B1"/>
    <w:rsid w:val="009D4820"/>
    <w:rsid w:val="009D4B2E"/>
    <w:rsid w:val="009D4C85"/>
    <w:rsid w:val="009D4CB6"/>
    <w:rsid w:val="009D4D01"/>
    <w:rsid w:val="009D4DFB"/>
    <w:rsid w:val="009D4F57"/>
    <w:rsid w:val="009D530E"/>
    <w:rsid w:val="009D534A"/>
    <w:rsid w:val="009D5875"/>
    <w:rsid w:val="009D5F58"/>
    <w:rsid w:val="009D6180"/>
    <w:rsid w:val="009D621F"/>
    <w:rsid w:val="009D6978"/>
    <w:rsid w:val="009D6C71"/>
    <w:rsid w:val="009D726A"/>
    <w:rsid w:val="009D7544"/>
    <w:rsid w:val="009D7850"/>
    <w:rsid w:val="009D7930"/>
    <w:rsid w:val="009D7CC5"/>
    <w:rsid w:val="009D7D5B"/>
    <w:rsid w:val="009E0083"/>
    <w:rsid w:val="009E02AB"/>
    <w:rsid w:val="009E0631"/>
    <w:rsid w:val="009E09CC"/>
    <w:rsid w:val="009E111D"/>
    <w:rsid w:val="009E1250"/>
    <w:rsid w:val="009E16D0"/>
    <w:rsid w:val="009E1788"/>
    <w:rsid w:val="009E18DC"/>
    <w:rsid w:val="009E1E83"/>
    <w:rsid w:val="009E2051"/>
    <w:rsid w:val="009E28BF"/>
    <w:rsid w:val="009E2FF8"/>
    <w:rsid w:val="009E35F7"/>
    <w:rsid w:val="009E38FD"/>
    <w:rsid w:val="009E498C"/>
    <w:rsid w:val="009E512F"/>
    <w:rsid w:val="009E52CB"/>
    <w:rsid w:val="009E5859"/>
    <w:rsid w:val="009E5CC2"/>
    <w:rsid w:val="009E5D21"/>
    <w:rsid w:val="009E5D3E"/>
    <w:rsid w:val="009E5F53"/>
    <w:rsid w:val="009E624E"/>
    <w:rsid w:val="009E627E"/>
    <w:rsid w:val="009E6CC2"/>
    <w:rsid w:val="009E6D3D"/>
    <w:rsid w:val="009E78F7"/>
    <w:rsid w:val="009F0079"/>
    <w:rsid w:val="009F13D6"/>
    <w:rsid w:val="009F1595"/>
    <w:rsid w:val="009F1AEB"/>
    <w:rsid w:val="009F1D43"/>
    <w:rsid w:val="009F1EC5"/>
    <w:rsid w:val="009F20A1"/>
    <w:rsid w:val="009F20CD"/>
    <w:rsid w:val="009F2490"/>
    <w:rsid w:val="009F25D8"/>
    <w:rsid w:val="009F2640"/>
    <w:rsid w:val="009F2C62"/>
    <w:rsid w:val="009F2D16"/>
    <w:rsid w:val="009F2D45"/>
    <w:rsid w:val="009F33F7"/>
    <w:rsid w:val="009F3479"/>
    <w:rsid w:val="009F386E"/>
    <w:rsid w:val="009F3C6B"/>
    <w:rsid w:val="009F3DD1"/>
    <w:rsid w:val="009F4060"/>
    <w:rsid w:val="009F4843"/>
    <w:rsid w:val="009F4A3D"/>
    <w:rsid w:val="009F4A93"/>
    <w:rsid w:val="009F4C6B"/>
    <w:rsid w:val="009F4C9E"/>
    <w:rsid w:val="009F4D55"/>
    <w:rsid w:val="009F5052"/>
    <w:rsid w:val="009F5225"/>
    <w:rsid w:val="009F52AD"/>
    <w:rsid w:val="009F59D8"/>
    <w:rsid w:val="009F5C2F"/>
    <w:rsid w:val="009F67B1"/>
    <w:rsid w:val="009F78A8"/>
    <w:rsid w:val="009F79F4"/>
    <w:rsid w:val="009F7C16"/>
    <w:rsid w:val="00A0038C"/>
    <w:rsid w:val="00A004C7"/>
    <w:rsid w:val="00A008B5"/>
    <w:rsid w:val="00A00AB0"/>
    <w:rsid w:val="00A01C82"/>
    <w:rsid w:val="00A02A2E"/>
    <w:rsid w:val="00A02A91"/>
    <w:rsid w:val="00A02AD6"/>
    <w:rsid w:val="00A02C9A"/>
    <w:rsid w:val="00A02EB3"/>
    <w:rsid w:val="00A02EC6"/>
    <w:rsid w:val="00A038E8"/>
    <w:rsid w:val="00A03A3E"/>
    <w:rsid w:val="00A03B19"/>
    <w:rsid w:val="00A03F12"/>
    <w:rsid w:val="00A03FA6"/>
    <w:rsid w:val="00A04569"/>
    <w:rsid w:val="00A04661"/>
    <w:rsid w:val="00A04B55"/>
    <w:rsid w:val="00A04BDA"/>
    <w:rsid w:val="00A052F5"/>
    <w:rsid w:val="00A0535A"/>
    <w:rsid w:val="00A05FAC"/>
    <w:rsid w:val="00A06B08"/>
    <w:rsid w:val="00A07096"/>
    <w:rsid w:val="00A07318"/>
    <w:rsid w:val="00A073C4"/>
    <w:rsid w:val="00A077C2"/>
    <w:rsid w:val="00A0789A"/>
    <w:rsid w:val="00A07AAA"/>
    <w:rsid w:val="00A07ED2"/>
    <w:rsid w:val="00A10508"/>
    <w:rsid w:val="00A10510"/>
    <w:rsid w:val="00A1056A"/>
    <w:rsid w:val="00A10BAE"/>
    <w:rsid w:val="00A10BDC"/>
    <w:rsid w:val="00A11370"/>
    <w:rsid w:val="00A11A08"/>
    <w:rsid w:val="00A11D17"/>
    <w:rsid w:val="00A12313"/>
    <w:rsid w:val="00A1263A"/>
    <w:rsid w:val="00A12B00"/>
    <w:rsid w:val="00A131F2"/>
    <w:rsid w:val="00A132C6"/>
    <w:rsid w:val="00A13D7D"/>
    <w:rsid w:val="00A140E9"/>
    <w:rsid w:val="00A14317"/>
    <w:rsid w:val="00A14B24"/>
    <w:rsid w:val="00A15007"/>
    <w:rsid w:val="00A15349"/>
    <w:rsid w:val="00A1578C"/>
    <w:rsid w:val="00A1593D"/>
    <w:rsid w:val="00A1596B"/>
    <w:rsid w:val="00A16A16"/>
    <w:rsid w:val="00A16DBC"/>
    <w:rsid w:val="00A17549"/>
    <w:rsid w:val="00A1767E"/>
    <w:rsid w:val="00A1783F"/>
    <w:rsid w:val="00A21331"/>
    <w:rsid w:val="00A21634"/>
    <w:rsid w:val="00A219A5"/>
    <w:rsid w:val="00A21AA9"/>
    <w:rsid w:val="00A21BAC"/>
    <w:rsid w:val="00A21D72"/>
    <w:rsid w:val="00A21E2C"/>
    <w:rsid w:val="00A21FC3"/>
    <w:rsid w:val="00A221EA"/>
    <w:rsid w:val="00A224CE"/>
    <w:rsid w:val="00A22522"/>
    <w:rsid w:val="00A226DA"/>
    <w:rsid w:val="00A22BF8"/>
    <w:rsid w:val="00A22D52"/>
    <w:rsid w:val="00A22E50"/>
    <w:rsid w:val="00A232B9"/>
    <w:rsid w:val="00A23C10"/>
    <w:rsid w:val="00A23D31"/>
    <w:rsid w:val="00A241F6"/>
    <w:rsid w:val="00A24AFD"/>
    <w:rsid w:val="00A24D65"/>
    <w:rsid w:val="00A24F5C"/>
    <w:rsid w:val="00A254DC"/>
    <w:rsid w:val="00A25E7B"/>
    <w:rsid w:val="00A263C2"/>
    <w:rsid w:val="00A264A5"/>
    <w:rsid w:val="00A268A9"/>
    <w:rsid w:val="00A26B05"/>
    <w:rsid w:val="00A26DC4"/>
    <w:rsid w:val="00A26DEA"/>
    <w:rsid w:val="00A272B0"/>
    <w:rsid w:val="00A2792B"/>
    <w:rsid w:val="00A30311"/>
    <w:rsid w:val="00A30B4E"/>
    <w:rsid w:val="00A30F46"/>
    <w:rsid w:val="00A31319"/>
    <w:rsid w:val="00A315FA"/>
    <w:rsid w:val="00A31918"/>
    <w:rsid w:val="00A31973"/>
    <w:rsid w:val="00A32ABB"/>
    <w:rsid w:val="00A32F96"/>
    <w:rsid w:val="00A33408"/>
    <w:rsid w:val="00A33458"/>
    <w:rsid w:val="00A33983"/>
    <w:rsid w:val="00A3449E"/>
    <w:rsid w:val="00A34B17"/>
    <w:rsid w:val="00A34E05"/>
    <w:rsid w:val="00A351EA"/>
    <w:rsid w:val="00A35217"/>
    <w:rsid w:val="00A35609"/>
    <w:rsid w:val="00A356C8"/>
    <w:rsid w:val="00A36548"/>
    <w:rsid w:val="00A3654D"/>
    <w:rsid w:val="00A36C3C"/>
    <w:rsid w:val="00A36DB0"/>
    <w:rsid w:val="00A36E19"/>
    <w:rsid w:val="00A36F1D"/>
    <w:rsid w:val="00A37717"/>
    <w:rsid w:val="00A4013F"/>
    <w:rsid w:val="00A4019A"/>
    <w:rsid w:val="00A407AD"/>
    <w:rsid w:val="00A40871"/>
    <w:rsid w:val="00A40BCE"/>
    <w:rsid w:val="00A410E4"/>
    <w:rsid w:val="00A412AB"/>
    <w:rsid w:val="00A415EF"/>
    <w:rsid w:val="00A416DD"/>
    <w:rsid w:val="00A417D6"/>
    <w:rsid w:val="00A4187C"/>
    <w:rsid w:val="00A4193E"/>
    <w:rsid w:val="00A4195A"/>
    <w:rsid w:val="00A419D7"/>
    <w:rsid w:val="00A41A4C"/>
    <w:rsid w:val="00A41FA3"/>
    <w:rsid w:val="00A4219E"/>
    <w:rsid w:val="00A42779"/>
    <w:rsid w:val="00A42E8B"/>
    <w:rsid w:val="00A42F1B"/>
    <w:rsid w:val="00A43304"/>
    <w:rsid w:val="00A435FC"/>
    <w:rsid w:val="00A4361D"/>
    <w:rsid w:val="00A440E0"/>
    <w:rsid w:val="00A442EF"/>
    <w:rsid w:val="00A449BC"/>
    <w:rsid w:val="00A45A99"/>
    <w:rsid w:val="00A45FFF"/>
    <w:rsid w:val="00A46114"/>
    <w:rsid w:val="00A4633B"/>
    <w:rsid w:val="00A46AD7"/>
    <w:rsid w:val="00A46B3C"/>
    <w:rsid w:val="00A46B59"/>
    <w:rsid w:val="00A473D4"/>
    <w:rsid w:val="00A479BC"/>
    <w:rsid w:val="00A47C8A"/>
    <w:rsid w:val="00A502C4"/>
    <w:rsid w:val="00A5090E"/>
    <w:rsid w:val="00A51A7E"/>
    <w:rsid w:val="00A51D1A"/>
    <w:rsid w:val="00A51D7F"/>
    <w:rsid w:val="00A52292"/>
    <w:rsid w:val="00A52588"/>
    <w:rsid w:val="00A52697"/>
    <w:rsid w:val="00A52C69"/>
    <w:rsid w:val="00A53223"/>
    <w:rsid w:val="00A5418D"/>
    <w:rsid w:val="00A5474E"/>
    <w:rsid w:val="00A55C27"/>
    <w:rsid w:val="00A562AE"/>
    <w:rsid w:val="00A5643D"/>
    <w:rsid w:val="00A56C84"/>
    <w:rsid w:val="00A570AC"/>
    <w:rsid w:val="00A5710C"/>
    <w:rsid w:val="00A57BD8"/>
    <w:rsid w:val="00A57E06"/>
    <w:rsid w:val="00A57F45"/>
    <w:rsid w:val="00A60032"/>
    <w:rsid w:val="00A608B0"/>
    <w:rsid w:val="00A60994"/>
    <w:rsid w:val="00A609E4"/>
    <w:rsid w:val="00A60C7E"/>
    <w:rsid w:val="00A61321"/>
    <w:rsid w:val="00A61461"/>
    <w:rsid w:val="00A61F53"/>
    <w:rsid w:val="00A626A0"/>
    <w:rsid w:val="00A62A48"/>
    <w:rsid w:val="00A62B62"/>
    <w:rsid w:val="00A62C21"/>
    <w:rsid w:val="00A62D1A"/>
    <w:rsid w:val="00A62E89"/>
    <w:rsid w:val="00A6310D"/>
    <w:rsid w:val="00A632B8"/>
    <w:rsid w:val="00A635D2"/>
    <w:rsid w:val="00A63CD7"/>
    <w:rsid w:val="00A63DEA"/>
    <w:rsid w:val="00A641EE"/>
    <w:rsid w:val="00A64234"/>
    <w:rsid w:val="00A64882"/>
    <w:rsid w:val="00A648F1"/>
    <w:rsid w:val="00A64C75"/>
    <w:rsid w:val="00A65560"/>
    <w:rsid w:val="00A65EDC"/>
    <w:rsid w:val="00A66154"/>
    <w:rsid w:val="00A664F0"/>
    <w:rsid w:val="00A665B9"/>
    <w:rsid w:val="00A66787"/>
    <w:rsid w:val="00A66C39"/>
    <w:rsid w:val="00A66F0D"/>
    <w:rsid w:val="00A6735E"/>
    <w:rsid w:val="00A67D53"/>
    <w:rsid w:val="00A7025C"/>
    <w:rsid w:val="00A70ADF"/>
    <w:rsid w:val="00A70C46"/>
    <w:rsid w:val="00A711DA"/>
    <w:rsid w:val="00A71308"/>
    <w:rsid w:val="00A71466"/>
    <w:rsid w:val="00A71AF2"/>
    <w:rsid w:val="00A71B62"/>
    <w:rsid w:val="00A71CC4"/>
    <w:rsid w:val="00A71DF1"/>
    <w:rsid w:val="00A72448"/>
    <w:rsid w:val="00A72718"/>
    <w:rsid w:val="00A72A8E"/>
    <w:rsid w:val="00A72EB6"/>
    <w:rsid w:val="00A733F9"/>
    <w:rsid w:val="00A7390E"/>
    <w:rsid w:val="00A73F52"/>
    <w:rsid w:val="00A740F0"/>
    <w:rsid w:val="00A742CE"/>
    <w:rsid w:val="00A74732"/>
    <w:rsid w:val="00A74B5E"/>
    <w:rsid w:val="00A761AD"/>
    <w:rsid w:val="00A763AE"/>
    <w:rsid w:val="00A7656C"/>
    <w:rsid w:val="00A76CFD"/>
    <w:rsid w:val="00A76EC9"/>
    <w:rsid w:val="00A770F5"/>
    <w:rsid w:val="00A773DD"/>
    <w:rsid w:val="00A77932"/>
    <w:rsid w:val="00A77D29"/>
    <w:rsid w:val="00A77EAD"/>
    <w:rsid w:val="00A801E9"/>
    <w:rsid w:val="00A80B2F"/>
    <w:rsid w:val="00A80E4F"/>
    <w:rsid w:val="00A80FE6"/>
    <w:rsid w:val="00A8189E"/>
    <w:rsid w:val="00A81BED"/>
    <w:rsid w:val="00A81C86"/>
    <w:rsid w:val="00A81E57"/>
    <w:rsid w:val="00A81EC4"/>
    <w:rsid w:val="00A81FD0"/>
    <w:rsid w:val="00A824E8"/>
    <w:rsid w:val="00A82661"/>
    <w:rsid w:val="00A82BE7"/>
    <w:rsid w:val="00A82F0E"/>
    <w:rsid w:val="00A82FF1"/>
    <w:rsid w:val="00A8361B"/>
    <w:rsid w:val="00A83868"/>
    <w:rsid w:val="00A83AB1"/>
    <w:rsid w:val="00A84423"/>
    <w:rsid w:val="00A8444E"/>
    <w:rsid w:val="00A8448E"/>
    <w:rsid w:val="00A84A4D"/>
    <w:rsid w:val="00A84F99"/>
    <w:rsid w:val="00A85139"/>
    <w:rsid w:val="00A8519E"/>
    <w:rsid w:val="00A85D75"/>
    <w:rsid w:val="00A85F0F"/>
    <w:rsid w:val="00A86216"/>
    <w:rsid w:val="00A86747"/>
    <w:rsid w:val="00A86D40"/>
    <w:rsid w:val="00A872EA"/>
    <w:rsid w:val="00A87766"/>
    <w:rsid w:val="00A87789"/>
    <w:rsid w:val="00A87CE5"/>
    <w:rsid w:val="00A901CF"/>
    <w:rsid w:val="00A90518"/>
    <w:rsid w:val="00A9080F"/>
    <w:rsid w:val="00A909E9"/>
    <w:rsid w:val="00A911FC"/>
    <w:rsid w:val="00A91478"/>
    <w:rsid w:val="00A91686"/>
    <w:rsid w:val="00A917A1"/>
    <w:rsid w:val="00A92326"/>
    <w:rsid w:val="00A926B8"/>
    <w:rsid w:val="00A92907"/>
    <w:rsid w:val="00A9297A"/>
    <w:rsid w:val="00A935CA"/>
    <w:rsid w:val="00A939FC"/>
    <w:rsid w:val="00A9432A"/>
    <w:rsid w:val="00A944D6"/>
    <w:rsid w:val="00A94651"/>
    <w:rsid w:val="00A94F70"/>
    <w:rsid w:val="00A95043"/>
    <w:rsid w:val="00A950B5"/>
    <w:rsid w:val="00A95E77"/>
    <w:rsid w:val="00A9678D"/>
    <w:rsid w:val="00A967FD"/>
    <w:rsid w:val="00A968A9"/>
    <w:rsid w:val="00AA0493"/>
    <w:rsid w:val="00AA127B"/>
    <w:rsid w:val="00AA1399"/>
    <w:rsid w:val="00AA24A7"/>
    <w:rsid w:val="00AA2DE5"/>
    <w:rsid w:val="00AA2F1C"/>
    <w:rsid w:val="00AA2F8B"/>
    <w:rsid w:val="00AA328C"/>
    <w:rsid w:val="00AA328D"/>
    <w:rsid w:val="00AA32C4"/>
    <w:rsid w:val="00AA332A"/>
    <w:rsid w:val="00AA3593"/>
    <w:rsid w:val="00AA3891"/>
    <w:rsid w:val="00AA3F66"/>
    <w:rsid w:val="00AA400D"/>
    <w:rsid w:val="00AA4182"/>
    <w:rsid w:val="00AA4758"/>
    <w:rsid w:val="00AA47B8"/>
    <w:rsid w:val="00AA4E44"/>
    <w:rsid w:val="00AA54DF"/>
    <w:rsid w:val="00AA55EB"/>
    <w:rsid w:val="00AA5BFF"/>
    <w:rsid w:val="00AA6132"/>
    <w:rsid w:val="00AA6921"/>
    <w:rsid w:val="00AA695F"/>
    <w:rsid w:val="00AA6965"/>
    <w:rsid w:val="00AA6A8E"/>
    <w:rsid w:val="00AA7418"/>
    <w:rsid w:val="00AA79A7"/>
    <w:rsid w:val="00AB015C"/>
    <w:rsid w:val="00AB01AE"/>
    <w:rsid w:val="00AB0425"/>
    <w:rsid w:val="00AB14C4"/>
    <w:rsid w:val="00AB156C"/>
    <w:rsid w:val="00AB20F0"/>
    <w:rsid w:val="00AB26EE"/>
    <w:rsid w:val="00AB27B7"/>
    <w:rsid w:val="00AB298D"/>
    <w:rsid w:val="00AB2EC9"/>
    <w:rsid w:val="00AB3058"/>
    <w:rsid w:val="00AB30F5"/>
    <w:rsid w:val="00AB339B"/>
    <w:rsid w:val="00AB33B4"/>
    <w:rsid w:val="00AB33F3"/>
    <w:rsid w:val="00AB49FE"/>
    <w:rsid w:val="00AB4A79"/>
    <w:rsid w:val="00AB53E4"/>
    <w:rsid w:val="00AB5765"/>
    <w:rsid w:val="00AB5A5D"/>
    <w:rsid w:val="00AB5CCF"/>
    <w:rsid w:val="00AB675B"/>
    <w:rsid w:val="00AB67C3"/>
    <w:rsid w:val="00AB6814"/>
    <w:rsid w:val="00AB6E5D"/>
    <w:rsid w:val="00AB6F88"/>
    <w:rsid w:val="00AB7277"/>
    <w:rsid w:val="00AC04BA"/>
    <w:rsid w:val="00AC07A7"/>
    <w:rsid w:val="00AC0E39"/>
    <w:rsid w:val="00AC1BB1"/>
    <w:rsid w:val="00AC21EC"/>
    <w:rsid w:val="00AC221E"/>
    <w:rsid w:val="00AC2995"/>
    <w:rsid w:val="00AC2EA4"/>
    <w:rsid w:val="00AC32DD"/>
    <w:rsid w:val="00AC37D6"/>
    <w:rsid w:val="00AC3D01"/>
    <w:rsid w:val="00AC4C43"/>
    <w:rsid w:val="00AC4DAB"/>
    <w:rsid w:val="00AC4E1D"/>
    <w:rsid w:val="00AC4F44"/>
    <w:rsid w:val="00AC52C1"/>
    <w:rsid w:val="00AC58E5"/>
    <w:rsid w:val="00AC5E77"/>
    <w:rsid w:val="00AC602E"/>
    <w:rsid w:val="00AC6073"/>
    <w:rsid w:val="00AC68ED"/>
    <w:rsid w:val="00AC69DA"/>
    <w:rsid w:val="00AC6FAB"/>
    <w:rsid w:val="00AC700F"/>
    <w:rsid w:val="00AC7234"/>
    <w:rsid w:val="00AC74D9"/>
    <w:rsid w:val="00AC76D9"/>
    <w:rsid w:val="00AC7C27"/>
    <w:rsid w:val="00AC7C57"/>
    <w:rsid w:val="00AC7D2D"/>
    <w:rsid w:val="00AC7DD5"/>
    <w:rsid w:val="00AC7EA2"/>
    <w:rsid w:val="00AD0531"/>
    <w:rsid w:val="00AD06FD"/>
    <w:rsid w:val="00AD092C"/>
    <w:rsid w:val="00AD09D1"/>
    <w:rsid w:val="00AD1581"/>
    <w:rsid w:val="00AD17E2"/>
    <w:rsid w:val="00AD1A2B"/>
    <w:rsid w:val="00AD1A75"/>
    <w:rsid w:val="00AD1AE1"/>
    <w:rsid w:val="00AD2149"/>
    <w:rsid w:val="00AD251E"/>
    <w:rsid w:val="00AD2655"/>
    <w:rsid w:val="00AD2817"/>
    <w:rsid w:val="00AD2C3C"/>
    <w:rsid w:val="00AD2E05"/>
    <w:rsid w:val="00AD3082"/>
    <w:rsid w:val="00AD32B4"/>
    <w:rsid w:val="00AD3BC0"/>
    <w:rsid w:val="00AD3E58"/>
    <w:rsid w:val="00AD4AD0"/>
    <w:rsid w:val="00AD51DE"/>
    <w:rsid w:val="00AD5245"/>
    <w:rsid w:val="00AD5436"/>
    <w:rsid w:val="00AD60CD"/>
    <w:rsid w:val="00AD63F7"/>
    <w:rsid w:val="00AD6C8C"/>
    <w:rsid w:val="00AD701A"/>
    <w:rsid w:val="00AD7239"/>
    <w:rsid w:val="00AD74A3"/>
    <w:rsid w:val="00AD7BEC"/>
    <w:rsid w:val="00AE04E9"/>
    <w:rsid w:val="00AE04F3"/>
    <w:rsid w:val="00AE08BC"/>
    <w:rsid w:val="00AE091D"/>
    <w:rsid w:val="00AE0DAD"/>
    <w:rsid w:val="00AE14B8"/>
    <w:rsid w:val="00AE15F8"/>
    <w:rsid w:val="00AE1F91"/>
    <w:rsid w:val="00AE27A5"/>
    <w:rsid w:val="00AE2E31"/>
    <w:rsid w:val="00AE3581"/>
    <w:rsid w:val="00AE35F6"/>
    <w:rsid w:val="00AE39B9"/>
    <w:rsid w:val="00AE3B60"/>
    <w:rsid w:val="00AE3CE0"/>
    <w:rsid w:val="00AE4258"/>
    <w:rsid w:val="00AE4730"/>
    <w:rsid w:val="00AE4B06"/>
    <w:rsid w:val="00AE4C2A"/>
    <w:rsid w:val="00AE5098"/>
    <w:rsid w:val="00AE53A1"/>
    <w:rsid w:val="00AE5962"/>
    <w:rsid w:val="00AE5AA5"/>
    <w:rsid w:val="00AE5B3F"/>
    <w:rsid w:val="00AE601D"/>
    <w:rsid w:val="00AE6BD8"/>
    <w:rsid w:val="00AE72AA"/>
    <w:rsid w:val="00AE7F0F"/>
    <w:rsid w:val="00AE7FA4"/>
    <w:rsid w:val="00AF08C6"/>
    <w:rsid w:val="00AF1227"/>
    <w:rsid w:val="00AF1A86"/>
    <w:rsid w:val="00AF1E36"/>
    <w:rsid w:val="00AF211C"/>
    <w:rsid w:val="00AF247A"/>
    <w:rsid w:val="00AF2484"/>
    <w:rsid w:val="00AF2556"/>
    <w:rsid w:val="00AF25B5"/>
    <w:rsid w:val="00AF28BF"/>
    <w:rsid w:val="00AF2FD4"/>
    <w:rsid w:val="00AF32DE"/>
    <w:rsid w:val="00AF3413"/>
    <w:rsid w:val="00AF3516"/>
    <w:rsid w:val="00AF372E"/>
    <w:rsid w:val="00AF3796"/>
    <w:rsid w:val="00AF41C3"/>
    <w:rsid w:val="00AF492D"/>
    <w:rsid w:val="00AF49D7"/>
    <w:rsid w:val="00AF4E32"/>
    <w:rsid w:val="00AF56BD"/>
    <w:rsid w:val="00AF5AEA"/>
    <w:rsid w:val="00AF5D18"/>
    <w:rsid w:val="00AF5DF5"/>
    <w:rsid w:val="00AF63E7"/>
    <w:rsid w:val="00AF66D4"/>
    <w:rsid w:val="00AF6883"/>
    <w:rsid w:val="00AF6988"/>
    <w:rsid w:val="00AF6E17"/>
    <w:rsid w:val="00AF70E9"/>
    <w:rsid w:val="00AF7725"/>
    <w:rsid w:val="00AF786C"/>
    <w:rsid w:val="00AF7A22"/>
    <w:rsid w:val="00B003AD"/>
    <w:rsid w:val="00B0050D"/>
    <w:rsid w:val="00B0165D"/>
    <w:rsid w:val="00B01B60"/>
    <w:rsid w:val="00B01D20"/>
    <w:rsid w:val="00B02AB0"/>
    <w:rsid w:val="00B02D57"/>
    <w:rsid w:val="00B031F3"/>
    <w:rsid w:val="00B033C4"/>
    <w:rsid w:val="00B03AD0"/>
    <w:rsid w:val="00B03BEE"/>
    <w:rsid w:val="00B03C0A"/>
    <w:rsid w:val="00B0406B"/>
    <w:rsid w:val="00B052A4"/>
    <w:rsid w:val="00B05349"/>
    <w:rsid w:val="00B05654"/>
    <w:rsid w:val="00B05AFD"/>
    <w:rsid w:val="00B0610B"/>
    <w:rsid w:val="00B066A0"/>
    <w:rsid w:val="00B06C29"/>
    <w:rsid w:val="00B06F79"/>
    <w:rsid w:val="00B07793"/>
    <w:rsid w:val="00B078B0"/>
    <w:rsid w:val="00B07EB3"/>
    <w:rsid w:val="00B102A7"/>
    <w:rsid w:val="00B121E6"/>
    <w:rsid w:val="00B12306"/>
    <w:rsid w:val="00B125DE"/>
    <w:rsid w:val="00B127F4"/>
    <w:rsid w:val="00B12DBA"/>
    <w:rsid w:val="00B12E69"/>
    <w:rsid w:val="00B136FF"/>
    <w:rsid w:val="00B13F27"/>
    <w:rsid w:val="00B13FDD"/>
    <w:rsid w:val="00B156AD"/>
    <w:rsid w:val="00B15E83"/>
    <w:rsid w:val="00B164BB"/>
    <w:rsid w:val="00B167FD"/>
    <w:rsid w:val="00B17194"/>
    <w:rsid w:val="00B17470"/>
    <w:rsid w:val="00B1776C"/>
    <w:rsid w:val="00B17D1D"/>
    <w:rsid w:val="00B202D4"/>
    <w:rsid w:val="00B20F53"/>
    <w:rsid w:val="00B213B5"/>
    <w:rsid w:val="00B216BB"/>
    <w:rsid w:val="00B225B2"/>
    <w:rsid w:val="00B22EB2"/>
    <w:rsid w:val="00B2360C"/>
    <w:rsid w:val="00B238F7"/>
    <w:rsid w:val="00B23A02"/>
    <w:rsid w:val="00B2452F"/>
    <w:rsid w:val="00B249A1"/>
    <w:rsid w:val="00B249A3"/>
    <w:rsid w:val="00B24F1B"/>
    <w:rsid w:val="00B26688"/>
    <w:rsid w:val="00B2693F"/>
    <w:rsid w:val="00B272D4"/>
    <w:rsid w:val="00B27442"/>
    <w:rsid w:val="00B2789F"/>
    <w:rsid w:val="00B27F89"/>
    <w:rsid w:val="00B30297"/>
    <w:rsid w:val="00B30A7C"/>
    <w:rsid w:val="00B30B04"/>
    <w:rsid w:val="00B30F19"/>
    <w:rsid w:val="00B31167"/>
    <w:rsid w:val="00B312B8"/>
    <w:rsid w:val="00B313C6"/>
    <w:rsid w:val="00B31447"/>
    <w:rsid w:val="00B31AA7"/>
    <w:rsid w:val="00B31BF0"/>
    <w:rsid w:val="00B329D8"/>
    <w:rsid w:val="00B32A86"/>
    <w:rsid w:val="00B32BB9"/>
    <w:rsid w:val="00B33AE1"/>
    <w:rsid w:val="00B33E9F"/>
    <w:rsid w:val="00B33F8C"/>
    <w:rsid w:val="00B3435B"/>
    <w:rsid w:val="00B347E7"/>
    <w:rsid w:val="00B34C11"/>
    <w:rsid w:val="00B34D67"/>
    <w:rsid w:val="00B34EBB"/>
    <w:rsid w:val="00B3556A"/>
    <w:rsid w:val="00B357FF"/>
    <w:rsid w:val="00B361CA"/>
    <w:rsid w:val="00B36F2F"/>
    <w:rsid w:val="00B37307"/>
    <w:rsid w:val="00B37337"/>
    <w:rsid w:val="00B3781C"/>
    <w:rsid w:val="00B37C38"/>
    <w:rsid w:val="00B401E4"/>
    <w:rsid w:val="00B40978"/>
    <w:rsid w:val="00B40F82"/>
    <w:rsid w:val="00B4144A"/>
    <w:rsid w:val="00B41C6F"/>
    <w:rsid w:val="00B4231F"/>
    <w:rsid w:val="00B4288C"/>
    <w:rsid w:val="00B42991"/>
    <w:rsid w:val="00B42A0C"/>
    <w:rsid w:val="00B43262"/>
    <w:rsid w:val="00B43DB9"/>
    <w:rsid w:val="00B43EF0"/>
    <w:rsid w:val="00B43F3A"/>
    <w:rsid w:val="00B4405F"/>
    <w:rsid w:val="00B4408D"/>
    <w:rsid w:val="00B4409C"/>
    <w:rsid w:val="00B44100"/>
    <w:rsid w:val="00B44413"/>
    <w:rsid w:val="00B4455F"/>
    <w:rsid w:val="00B445B4"/>
    <w:rsid w:val="00B44C9A"/>
    <w:rsid w:val="00B45554"/>
    <w:rsid w:val="00B45741"/>
    <w:rsid w:val="00B45BB3"/>
    <w:rsid w:val="00B45FAB"/>
    <w:rsid w:val="00B46330"/>
    <w:rsid w:val="00B4655A"/>
    <w:rsid w:val="00B469AF"/>
    <w:rsid w:val="00B46CBA"/>
    <w:rsid w:val="00B46F65"/>
    <w:rsid w:val="00B46F94"/>
    <w:rsid w:val="00B4716E"/>
    <w:rsid w:val="00B47487"/>
    <w:rsid w:val="00B47A67"/>
    <w:rsid w:val="00B47C1F"/>
    <w:rsid w:val="00B47C63"/>
    <w:rsid w:val="00B47FCF"/>
    <w:rsid w:val="00B50313"/>
    <w:rsid w:val="00B50845"/>
    <w:rsid w:val="00B50A6E"/>
    <w:rsid w:val="00B511E4"/>
    <w:rsid w:val="00B51961"/>
    <w:rsid w:val="00B51DF6"/>
    <w:rsid w:val="00B52CD2"/>
    <w:rsid w:val="00B53285"/>
    <w:rsid w:val="00B537A2"/>
    <w:rsid w:val="00B53BBA"/>
    <w:rsid w:val="00B53C52"/>
    <w:rsid w:val="00B5407E"/>
    <w:rsid w:val="00B54834"/>
    <w:rsid w:val="00B54B43"/>
    <w:rsid w:val="00B54D05"/>
    <w:rsid w:val="00B5521C"/>
    <w:rsid w:val="00B552CD"/>
    <w:rsid w:val="00B55595"/>
    <w:rsid w:val="00B55867"/>
    <w:rsid w:val="00B569D4"/>
    <w:rsid w:val="00B56B47"/>
    <w:rsid w:val="00B57576"/>
    <w:rsid w:val="00B5765B"/>
    <w:rsid w:val="00B579D5"/>
    <w:rsid w:val="00B57F39"/>
    <w:rsid w:val="00B6003C"/>
    <w:rsid w:val="00B605EF"/>
    <w:rsid w:val="00B60865"/>
    <w:rsid w:val="00B60874"/>
    <w:rsid w:val="00B6197A"/>
    <w:rsid w:val="00B61A8E"/>
    <w:rsid w:val="00B61F03"/>
    <w:rsid w:val="00B61F2E"/>
    <w:rsid w:val="00B626E4"/>
    <w:rsid w:val="00B6292B"/>
    <w:rsid w:val="00B629D3"/>
    <w:rsid w:val="00B62B48"/>
    <w:rsid w:val="00B62BD3"/>
    <w:rsid w:val="00B636C6"/>
    <w:rsid w:val="00B639B1"/>
    <w:rsid w:val="00B64F73"/>
    <w:rsid w:val="00B6574D"/>
    <w:rsid w:val="00B661E2"/>
    <w:rsid w:val="00B66881"/>
    <w:rsid w:val="00B66DD7"/>
    <w:rsid w:val="00B67001"/>
    <w:rsid w:val="00B67339"/>
    <w:rsid w:val="00B67A22"/>
    <w:rsid w:val="00B67B84"/>
    <w:rsid w:val="00B67CB3"/>
    <w:rsid w:val="00B67F56"/>
    <w:rsid w:val="00B70417"/>
    <w:rsid w:val="00B70E56"/>
    <w:rsid w:val="00B710D2"/>
    <w:rsid w:val="00B7112C"/>
    <w:rsid w:val="00B71838"/>
    <w:rsid w:val="00B71877"/>
    <w:rsid w:val="00B71987"/>
    <w:rsid w:val="00B72408"/>
    <w:rsid w:val="00B72F4A"/>
    <w:rsid w:val="00B7393B"/>
    <w:rsid w:val="00B739EC"/>
    <w:rsid w:val="00B7464F"/>
    <w:rsid w:val="00B74932"/>
    <w:rsid w:val="00B74D11"/>
    <w:rsid w:val="00B75320"/>
    <w:rsid w:val="00B753C0"/>
    <w:rsid w:val="00B75457"/>
    <w:rsid w:val="00B75EB2"/>
    <w:rsid w:val="00B76F4D"/>
    <w:rsid w:val="00B76F57"/>
    <w:rsid w:val="00B7711F"/>
    <w:rsid w:val="00B7752B"/>
    <w:rsid w:val="00B77759"/>
    <w:rsid w:val="00B778FF"/>
    <w:rsid w:val="00B77BA6"/>
    <w:rsid w:val="00B80E06"/>
    <w:rsid w:val="00B810E5"/>
    <w:rsid w:val="00B815E5"/>
    <w:rsid w:val="00B81852"/>
    <w:rsid w:val="00B81A7D"/>
    <w:rsid w:val="00B81FAA"/>
    <w:rsid w:val="00B820E3"/>
    <w:rsid w:val="00B82881"/>
    <w:rsid w:val="00B82B5C"/>
    <w:rsid w:val="00B82E27"/>
    <w:rsid w:val="00B836CF"/>
    <w:rsid w:val="00B83B2B"/>
    <w:rsid w:val="00B83C27"/>
    <w:rsid w:val="00B83F94"/>
    <w:rsid w:val="00B83F99"/>
    <w:rsid w:val="00B84285"/>
    <w:rsid w:val="00B84488"/>
    <w:rsid w:val="00B844BC"/>
    <w:rsid w:val="00B84BC3"/>
    <w:rsid w:val="00B84BDD"/>
    <w:rsid w:val="00B853EC"/>
    <w:rsid w:val="00B85600"/>
    <w:rsid w:val="00B85667"/>
    <w:rsid w:val="00B85D99"/>
    <w:rsid w:val="00B86564"/>
    <w:rsid w:val="00B86887"/>
    <w:rsid w:val="00B86EDD"/>
    <w:rsid w:val="00B870FD"/>
    <w:rsid w:val="00B874BC"/>
    <w:rsid w:val="00B90102"/>
    <w:rsid w:val="00B90194"/>
    <w:rsid w:val="00B907A4"/>
    <w:rsid w:val="00B9139F"/>
    <w:rsid w:val="00B913DB"/>
    <w:rsid w:val="00B91800"/>
    <w:rsid w:val="00B91904"/>
    <w:rsid w:val="00B91DE3"/>
    <w:rsid w:val="00B91ED3"/>
    <w:rsid w:val="00B91EE4"/>
    <w:rsid w:val="00B92479"/>
    <w:rsid w:val="00B92496"/>
    <w:rsid w:val="00B925BE"/>
    <w:rsid w:val="00B92659"/>
    <w:rsid w:val="00B92812"/>
    <w:rsid w:val="00B928EF"/>
    <w:rsid w:val="00B93D47"/>
    <w:rsid w:val="00B93DB4"/>
    <w:rsid w:val="00B93EC8"/>
    <w:rsid w:val="00B94200"/>
    <w:rsid w:val="00B94230"/>
    <w:rsid w:val="00B94C0D"/>
    <w:rsid w:val="00B9538A"/>
    <w:rsid w:val="00B954B1"/>
    <w:rsid w:val="00B955A0"/>
    <w:rsid w:val="00B9560B"/>
    <w:rsid w:val="00B9591B"/>
    <w:rsid w:val="00B95B3D"/>
    <w:rsid w:val="00B96952"/>
    <w:rsid w:val="00B96D1A"/>
    <w:rsid w:val="00B96F7E"/>
    <w:rsid w:val="00B96FF1"/>
    <w:rsid w:val="00B971BA"/>
    <w:rsid w:val="00B974E3"/>
    <w:rsid w:val="00B9755F"/>
    <w:rsid w:val="00B97930"/>
    <w:rsid w:val="00BA073E"/>
    <w:rsid w:val="00BA0B27"/>
    <w:rsid w:val="00BA109A"/>
    <w:rsid w:val="00BA12F1"/>
    <w:rsid w:val="00BA12FB"/>
    <w:rsid w:val="00BA16E5"/>
    <w:rsid w:val="00BA17EA"/>
    <w:rsid w:val="00BA18C3"/>
    <w:rsid w:val="00BA195D"/>
    <w:rsid w:val="00BA1C1B"/>
    <w:rsid w:val="00BA1D15"/>
    <w:rsid w:val="00BA277F"/>
    <w:rsid w:val="00BA28EE"/>
    <w:rsid w:val="00BA2DF4"/>
    <w:rsid w:val="00BA3C7E"/>
    <w:rsid w:val="00BA3D57"/>
    <w:rsid w:val="00BA453B"/>
    <w:rsid w:val="00BA45F4"/>
    <w:rsid w:val="00BA4ABF"/>
    <w:rsid w:val="00BA579B"/>
    <w:rsid w:val="00BA5BE1"/>
    <w:rsid w:val="00BA5C0D"/>
    <w:rsid w:val="00BA619F"/>
    <w:rsid w:val="00BA63C1"/>
    <w:rsid w:val="00BA640D"/>
    <w:rsid w:val="00BA6431"/>
    <w:rsid w:val="00BA66CF"/>
    <w:rsid w:val="00BA6725"/>
    <w:rsid w:val="00BA6A6C"/>
    <w:rsid w:val="00BA6AB5"/>
    <w:rsid w:val="00BA6B11"/>
    <w:rsid w:val="00BA6D79"/>
    <w:rsid w:val="00BA6FEC"/>
    <w:rsid w:val="00BA73F4"/>
    <w:rsid w:val="00BA79A4"/>
    <w:rsid w:val="00BA7E8F"/>
    <w:rsid w:val="00BA7F76"/>
    <w:rsid w:val="00BB0057"/>
    <w:rsid w:val="00BB01F2"/>
    <w:rsid w:val="00BB0485"/>
    <w:rsid w:val="00BB06C4"/>
    <w:rsid w:val="00BB0DE7"/>
    <w:rsid w:val="00BB0E82"/>
    <w:rsid w:val="00BB0E85"/>
    <w:rsid w:val="00BB108C"/>
    <w:rsid w:val="00BB119C"/>
    <w:rsid w:val="00BB1765"/>
    <w:rsid w:val="00BB1E75"/>
    <w:rsid w:val="00BB1F75"/>
    <w:rsid w:val="00BB23A3"/>
    <w:rsid w:val="00BB2503"/>
    <w:rsid w:val="00BB27C6"/>
    <w:rsid w:val="00BB2859"/>
    <w:rsid w:val="00BB2C6B"/>
    <w:rsid w:val="00BB4218"/>
    <w:rsid w:val="00BB45A1"/>
    <w:rsid w:val="00BB4AE6"/>
    <w:rsid w:val="00BB4B32"/>
    <w:rsid w:val="00BB4C1C"/>
    <w:rsid w:val="00BB4DE3"/>
    <w:rsid w:val="00BB50AD"/>
    <w:rsid w:val="00BB53A4"/>
    <w:rsid w:val="00BB5509"/>
    <w:rsid w:val="00BB5836"/>
    <w:rsid w:val="00BB61B4"/>
    <w:rsid w:val="00BB6335"/>
    <w:rsid w:val="00BB6CAB"/>
    <w:rsid w:val="00BB7686"/>
    <w:rsid w:val="00BB76A2"/>
    <w:rsid w:val="00BB76A5"/>
    <w:rsid w:val="00BB7802"/>
    <w:rsid w:val="00BB7B77"/>
    <w:rsid w:val="00BB7BE3"/>
    <w:rsid w:val="00BB7E81"/>
    <w:rsid w:val="00BC00DD"/>
    <w:rsid w:val="00BC039C"/>
    <w:rsid w:val="00BC08FE"/>
    <w:rsid w:val="00BC0C89"/>
    <w:rsid w:val="00BC0D08"/>
    <w:rsid w:val="00BC0EEA"/>
    <w:rsid w:val="00BC0F7F"/>
    <w:rsid w:val="00BC10A7"/>
    <w:rsid w:val="00BC11C7"/>
    <w:rsid w:val="00BC143C"/>
    <w:rsid w:val="00BC1570"/>
    <w:rsid w:val="00BC1640"/>
    <w:rsid w:val="00BC1C3F"/>
    <w:rsid w:val="00BC23F9"/>
    <w:rsid w:val="00BC245F"/>
    <w:rsid w:val="00BC2D47"/>
    <w:rsid w:val="00BC2F94"/>
    <w:rsid w:val="00BC3127"/>
    <w:rsid w:val="00BC33A2"/>
    <w:rsid w:val="00BC3421"/>
    <w:rsid w:val="00BC375F"/>
    <w:rsid w:val="00BC3A4A"/>
    <w:rsid w:val="00BC46D0"/>
    <w:rsid w:val="00BC4932"/>
    <w:rsid w:val="00BC4C1F"/>
    <w:rsid w:val="00BC51D1"/>
    <w:rsid w:val="00BC5760"/>
    <w:rsid w:val="00BC58D1"/>
    <w:rsid w:val="00BC6BB3"/>
    <w:rsid w:val="00BC732C"/>
    <w:rsid w:val="00BC7838"/>
    <w:rsid w:val="00BC7BDC"/>
    <w:rsid w:val="00BC7C3E"/>
    <w:rsid w:val="00BC7C51"/>
    <w:rsid w:val="00BC7CC6"/>
    <w:rsid w:val="00BD005D"/>
    <w:rsid w:val="00BD040F"/>
    <w:rsid w:val="00BD09F8"/>
    <w:rsid w:val="00BD0E8E"/>
    <w:rsid w:val="00BD1453"/>
    <w:rsid w:val="00BD1733"/>
    <w:rsid w:val="00BD1C24"/>
    <w:rsid w:val="00BD1F72"/>
    <w:rsid w:val="00BD23EE"/>
    <w:rsid w:val="00BD29AF"/>
    <w:rsid w:val="00BD2A35"/>
    <w:rsid w:val="00BD2F12"/>
    <w:rsid w:val="00BD36A5"/>
    <w:rsid w:val="00BD37BA"/>
    <w:rsid w:val="00BD43AD"/>
    <w:rsid w:val="00BD4421"/>
    <w:rsid w:val="00BD47B4"/>
    <w:rsid w:val="00BD4ADD"/>
    <w:rsid w:val="00BD4C17"/>
    <w:rsid w:val="00BD5265"/>
    <w:rsid w:val="00BD5268"/>
    <w:rsid w:val="00BD53C7"/>
    <w:rsid w:val="00BD5C47"/>
    <w:rsid w:val="00BD5EF8"/>
    <w:rsid w:val="00BD64C1"/>
    <w:rsid w:val="00BD665D"/>
    <w:rsid w:val="00BD6DA8"/>
    <w:rsid w:val="00BD6EEB"/>
    <w:rsid w:val="00BD71A4"/>
    <w:rsid w:val="00BD7457"/>
    <w:rsid w:val="00BD7913"/>
    <w:rsid w:val="00BD7E34"/>
    <w:rsid w:val="00BD7E58"/>
    <w:rsid w:val="00BE01B4"/>
    <w:rsid w:val="00BE097D"/>
    <w:rsid w:val="00BE0ABB"/>
    <w:rsid w:val="00BE150E"/>
    <w:rsid w:val="00BE188D"/>
    <w:rsid w:val="00BE1B73"/>
    <w:rsid w:val="00BE1DAA"/>
    <w:rsid w:val="00BE24A6"/>
    <w:rsid w:val="00BE2580"/>
    <w:rsid w:val="00BE266D"/>
    <w:rsid w:val="00BE3292"/>
    <w:rsid w:val="00BE33EC"/>
    <w:rsid w:val="00BE38AB"/>
    <w:rsid w:val="00BE3916"/>
    <w:rsid w:val="00BE3938"/>
    <w:rsid w:val="00BE4100"/>
    <w:rsid w:val="00BE41F7"/>
    <w:rsid w:val="00BE45BC"/>
    <w:rsid w:val="00BE46B3"/>
    <w:rsid w:val="00BE46FA"/>
    <w:rsid w:val="00BE4AA2"/>
    <w:rsid w:val="00BE4C11"/>
    <w:rsid w:val="00BE4D26"/>
    <w:rsid w:val="00BE501A"/>
    <w:rsid w:val="00BE5131"/>
    <w:rsid w:val="00BE5944"/>
    <w:rsid w:val="00BE621D"/>
    <w:rsid w:val="00BE6368"/>
    <w:rsid w:val="00BE64F8"/>
    <w:rsid w:val="00BE67C7"/>
    <w:rsid w:val="00BE6ECD"/>
    <w:rsid w:val="00BE7122"/>
    <w:rsid w:val="00BE71C0"/>
    <w:rsid w:val="00BE7244"/>
    <w:rsid w:val="00BE7E3F"/>
    <w:rsid w:val="00BF019F"/>
    <w:rsid w:val="00BF0226"/>
    <w:rsid w:val="00BF06AB"/>
    <w:rsid w:val="00BF149F"/>
    <w:rsid w:val="00BF1516"/>
    <w:rsid w:val="00BF174E"/>
    <w:rsid w:val="00BF178E"/>
    <w:rsid w:val="00BF18CD"/>
    <w:rsid w:val="00BF19C4"/>
    <w:rsid w:val="00BF20EA"/>
    <w:rsid w:val="00BF2265"/>
    <w:rsid w:val="00BF2709"/>
    <w:rsid w:val="00BF289F"/>
    <w:rsid w:val="00BF2912"/>
    <w:rsid w:val="00BF2939"/>
    <w:rsid w:val="00BF341C"/>
    <w:rsid w:val="00BF37D4"/>
    <w:rsid w:val="00BF3A63"/>
    <w:rsid w:val="00BF3AED"/>
    <w:rsid w:val="00BF3BF0"/>
    <w:rsid w:val="00BF3EBC"/>
    <w:rsid w:val="00BF40C1"/>
    <w:rsid w:val="00BF44B4"/>
    <w:rsid w:val="00BF4983"/>
    <w:rsid w:val="00BF4C95"/>
    <w:rsid w:val="00BF5514"/>
    <w:rsid w:val="00BF552C"/>
    <w:rsid w:val="00BF554B"/>
    <w:rsid w:val="00BF55B5"/>
    <w:rsid w:val="00BF5ECE"/>
    <w:rsid w:val="00BF610A"/>
    <w:rsid w:val="00BF610C"/>
    <w:rsid w:val="00BF6BFF"/>
    <w:rsid w:val="00BF7198"/>
    <w:rsid w:val="00BF7BC4"/>
    <w:rsid w:val="00BF7E90"/>
    <w:rsid w:val="00C0011A"/>
    <w:rsid w:val="00C00332"/>
    <w:rsid w:val="00C0060B"/>
    <w:rsid w:val="00C007E5"/>
    <w:rsid w:val="00C01A6C"/>
    <w:rsid w:val="00C023B5"/>
    <w:rsid w:val="00C02617"/>
    <w:rsid w:val="00C0269B"/>
    <w:rsid w:val="00C0277D"/>
    <w:rsid w:val="00C02848"/>
    <w:rsid w:val="00C028D4"/>
    <w:rsid w:val="00C028DD"/>
    <w:rsid w:val="00C02915"/>
    <w:rsid w:val="00C02F26"/>
    <w:rsid w:val="00C031B2"/>
    <w:rsid w:val="00C040F0"/>
    <w:rsid w:val="00C042C3"/>
    <w:rsid w:val="00C0471E"/>
    <w:rsid w:val="00C04ED6"/>
    <w:rsid w:val="00C05218"/>
    <w:rsid w:val="00C052D7"/>
    <w:rsid w:val="00C053A1"/>
    <w:rsid w:val="00C05531"/>
    <w:rsid w:val="00C06817"/>
    <w:rsid w:val="00C06ABB"/>
    <w:rsid w:val="00C06C77"/>
    <w:rsid w:val="00C075A0"/>
    <w:rsid w:val="00C07721"/>
    <w:rsid w:val="00C0786B"/>
    <w:rsid w:val="00C07AFD"/>
    <w:rsid w:val="00C11211"/>
    <w:rsid w:val="00C114F8"/>
    <w:rsid w:val="00C1180A"/>
    <w:rsid w:val="00C11850"/>
    <w:rsid w:val="00C11BF7"/>
    <w:rsid w:val="00C11EBF"/>
    <w:rsid w:val="00C128F7"/>
    <w:rsid w:val="00C12B75"/>
    <w:rsid w:val="00C139C7"/>
    <w:rsid w:val="00C13F06"/>
    <w:rsid w:val="00C13F38"/>
    <w:rsid w:val="00C14399"/>
    <w:rsid w:val="00C14A56"/>
    <w:rsid w:val="00C15546"/>
    <w:rsid w:val="00C16198"/>
    <w:rsid w:val="00C16599"/>
    <w:rsid w:val="00C16C2F"/>
    <w:rsid w:val="00C16CDA"/>
    <w:rsid w:val="00C16DFD"/>
    <w:rsid w:val="00C1727F"/>
    <w:rsid w:val="00C174C4"/>
    <w:rsid w:val="00C200B0"/>
    <w:rsid w:val="00C20409"/>
    <w:rsid w:val="00C2083D"/>
    <w:rsid w:val="00C208C8"/>
    <w:rsid w:val="00C20D00"/>
    <w:rsid w:val="00C213D4"/>
    <w:rsid w:val="00C214CC"/>
    <w:rsid w:val="00C219E4"/>
    <w:rsid w:val="00C219F8"/>
    <w:rsid w:val="00C21CF6"/>
    <w:rsid w:val="00C2208A"/>
    <w:rsid w:val="00C22272"/>
    <w:rsid w:val="00C227A0"/>
    <w:rsid w:val="00C23296"/>
    <w:rsid w:val="00C240B1"/>
    <w:rsid w:val="00C241D4"/>
    <w:rsid w:val="00C24420"/>
    <w:rsid w:val="00C246CE"/>
    <w:rsid w:val="00C2497B"/>
    <w:rsid w:val="00C24A53"/>
    <w:rsid w:val="00C24D68"/>
    <w:rsid w:val="00C24D6F"/>
    <w:rsid w:val="00C24DF1"/>
    <w:rsid w:val="00C257EB"/>
    <w:rsid w:val="00C26E6E"/>
    <w:rsid w:val="00C2728F"/>
    <w:rsid w:val="00C2739D"/>
    <w:rsid w:val="00C278FF"/>
    <w:rsid w:val="00C27C5D"/>
    <w:rsid w:val="00C27D42"/>
    <w:rsid w:val="00C301EA"/>
    <w:rsid w:val="00C30356"/>
    <w:rsid w:val="00C30653"/>
    <w:rsid w:val="00C3099F"/>
    <w:rsid w:val="00C3139F"/>
    <w:rsid w:val="00C3163D"/>
    <w:rsid w:val="00C31DD8"/>
    <w:rsid w:val="00C32022"/>
    <w:rsid w:val="00C32D26"/>
    <w:rsid w:val="00C33C71"/>
    <w:rsid w:val="00C34549"/>
    <w:rsid w:val="00C34692"/>
    <w:rsid w:val="00C346B6"/>
    <w:rsid w:val="00C34897"/>
    <w:rsid w:val="00C34A05"/>
    <w:rsid w:val="00C34E2B"/>
    <w:rsid w:val="00C3506D"/>
    <w:rsid w:val="00C35157"/>
    <w:rsid w:val="00C3540D"/>
    <w:rsid w:val="00C35BFF"/>
    <w:rsid w:val="00C35CCE"/>
    <w:rsid w:val="00C36C02"/>
    <w:rsid w:val="00C37F89"/>
    <w:rsid w:val="00C4032F"/>
    <w:rsid w:val="00C40DCC"/>
    <w:rsid w:val="00C412FD"/>
    <w:rsid w:val="00C41395"/>
    <w:rsid w:val="00C41583"/>
    <w:rsid w:val="00C4169C"/>
    <w:rsid w:val="00C41B4A"/>
    <w:rsid w:val="00C41F21"/>
    <w:rsid w:val="00C421D4"/>
    <w:rsid w:val="00C426C5"/>
    <w:rsid w:val="00C426D8"/>
    <w:rsid w:val="00C42C43"/>
    <w:rsid w:val="00C42CE4"/>
    <w:rsid w:val="00C434F9"/>
    <w:rsid w:val="00C4357A"/>
    <w:rsid w:val="00C4379C"/>
    <w:rsid w:val="00C43849"/>
    <w:rsid w:val="00C44047"/>
    <w:rsid w:val="00C4469C"/>
    <w:rsid w:val="00C447EE"/>
    <w:rsid w:val="00C4489D"/>
    <w:rsid w:val="00C449B0"/>
    <w:rsid w:val="00C449B9"/>
    <w:rsid w:val="00C44A74"/>
    <w:rsid w:val="00C44FC8"/>
    <w:rsid w:val="00C45155"/>
    <w:rsid w:val="00C45632"/>
    <w:rsid w:val="00C456CB"/>
    <w:rsid w:val="00C4601A"/>
    <w:rsid w:val="00C462ED"/>
    <w:rsid w:val="00C47550"/>
    <w:rsid w:val="00C47F2A"/>
    <w:rsid w:val="00C504D8"/>
    <w:rsid w:val="00C5055C"/>
    <w:rsid w:val="00C505EF"/>
    <w:rsid w:val="00C505FD"/>
    <w:rsid w:val="00C50A3D"/>
    <w:rsid w:val="00C5131F"/>
    <w:rsid w:val="00C517DC"/>
    <w:rsid w:val="00C51969"/>
    <w:rsid w:val="00C51E73"/>
    <w:rsid w:val="00C52C8A"/>
    <w:rsid w:val="00C52E14"/>
    <w:rsid w:val="00C53133"/>
    <w:rsid w:val="00C532C8"/>
    <w:rsid w:val="00C53961"/>
    <w:rsid w:val="00C53965"/>
    <w:rsid w:val="00C539DF"/>
    <w:rsid w:val="00C53B0A"/>
    <w:rsid w:val="00C53B8D"/>
    <w:rsid w:val="00C541EB"/>
    <w:rsid w:val="00C54351"/>
    <w:rsid w:val="00C548A8"/>
    <w:rsid w:val="00C5498F"/>
    <w:rsid w:val="00C54F53"/>
    <w:rsid w:val="00C55002"/>
    <w:rsid w:val="00C55235"/>
    <w:rsid w:val="00C55546"/>
    <w:rsid w:val="00C55A59"/>
    <w:rsid w:val="00C55E0A"/>
    <w:rsid w:val="00C561F8"/>
    <w:rsid w:val="00C568F8"/>
    <w:rsid w:val="00C56969"/>
    <w:rsid w:val="00C569DD"/>
    <w:rsid w:val="00C5714C"/>
    <w:rsid w:val="00C5748F"/>
    <w:rsid w:val="00C57782"/>
    <w:rsid w:val="00C578AB"/>
    <w:rsid w:val="00C57C2C"/>
    <w:rsid w:val="00C57EDE"/>
    <w:rsid w:val="00C57EF5"/>
    <w:rsid w:val="00C603A7"/>
    <w:rsid w:val="00C60548"/>
    <w:rsid w:val="00C606FE"/>
    <w:rsid w:val="00C6077F"/>
    <w:rsid w:val="00C607CC"/>
    <w:rsid w:val="00C6156B"/>
    <w:rsid w:val="00C616BF"/>
    <w:rsid w:val="00C6189D"/>
    <w:rsid w:val="00C627E1"/>
    <w:rsid w:val="00C62932"/>
    <w:rsid w:val="00C62BF7"/>
    <w:rsid w:val="00C64CD0"/>
    <w:rsid w:val="00C65F61"/>
    <w:rsid w:val="00C6684F"/>
    <w:rsid w:val="00C677D1"/>
    <w:rsid w:val="00C7064B"/>
    <w:rsid w:val="00C707C3"/>
    <w:rsid w:val="00C70CA2"/>
    <w:rsid w:val="00C70E70"/>
    <w:rsid w:val="00C71015"/>
    <w:rsid w:val="00C7139F"/>
    <w:rsid w:val="00C71B61"/>
    <w:rsid w:val="00C71C18"/>
    <w:rsid w:val="00C71CF3"/>
    <w:rsid w:val="00C72FE3"/>
    <w:rsid w:val="00C73038"/>
    <w:rsid w:val="00C730F3"/>
    <w:rsid w:val="00C73364"/>
    <w:rsid w:val="00C737F7"/>
    <w:rsid w:val="00C738F9"/>
    <w:rsid w:val="00C73CC4"/>
    <w:rsid w:val="00C73D1D"/>
    <w:rsid w:val="00C74145"/>
    <w:rsid w:val="00C74B17"/>
    <w:rsid w:val="00C74B89"/>
    <w:rsid w:val="00C7516D"/>
    <w:rsid w:val="00C751AF"/>
    <w:rsid w:val="00C752AD"/>
    <w:rsid w:val="00C752C7"/>
    <w:rsid w:val="00C75737"/>
    <w:rsid w:val="00C75DF5"/>
    <w:rsid w:val="00C75E87"/>
    <w:rsid w:val="00C75F8D"/>
    <w:rsid w:val="00C76477"/>
    <w:rsid w:val="00C768DA"/>
    <w:rsid w:val="00C769D0"/>
    <w:rsid w:val="00C77380"/>
    <w:rsid w:val="00C779C8"/>
    <w:rsid w:val="00C77B56"/>
    <w:rsid w:val="00C77D01"/>
    <w:rsid w:val="00C80035"/>
    <w:rsid w:val="00C803ED"/>
    <w:rsid w:val="00C80480"/>
    <w:rsid w:val="00C80ACD"/>
    <w:rsid w:val="00C813C9"/>
    <w:rsid w:val="00C81660"/>
    <w:rsid w:val="00C81F0C"/>
    <w:rsid w:val="00C82242"/>
    <w:rsid w:val="00C825A2"/>
    <w:rsid w:val="00C8263A"/>
    <w:rsid w:val="00C82BD7"/>
    <w:rsid w:val="00C82DEF"/>
    <w:rsid w:val="00C83E3A"/>
    <w:rsid w:val="00C84606"/>
    <w:rsid w:val="00C84939"/>
    <w:rsid w:val="00C84B20"/>
    <w:rsid w:val="00C8587E"/>
    <w:rsid w:val="00C85C88"/>
    <w:rsid w:val="00C860CC"/>
    <w:rsid w:val="00C861F1"/>
    <w:rsid w:val="00C86641"/>
    <w:rsid w:val="00C86944"/>
    <w:rsid w:val="00C86B10"/>
    <w:rsid w:val="00C870EE"/>
    <w:rsid w:val="00C87DE1"/>
    <w:rsid w:val="00C87E8A"/>
    <w:rsid w:val="00C906E7"/>
    <w:rsid w:val="00C90933"/>
    <w:rsid w:val="00C90CDB"/>
    <w:rsid w:val="00C90D9D"/>
    <w:rsid w:val="00C913C0"/>
    <w:rsid w:val="00C913D6"/>
    <w:rsid w:val="00C91653"/>
    <w:rsid w:val="00C91D03"/>
    <w:rsid w:val="00C92674"/>
    <w:rsid w:val="00C92826"/>
    <w:rsid w:val="00C92B8A"/>
    <w:rsid w:val="00C92D14"/>
    <w:rsid w:val="00C93060"/>
    <w:rsid w:val="00C93294"/>
    <w:rsid w:val="00C9373D"/>
    <w:rsid w:val="00C937AB"/>
    <w:rsid w:val="00C93C8B"/>
    <w:rsid w:val="00C93CC0"/>
    <w:rsid w:val="00C93EC3"/>
    <w:rsid w:val="00C9466E"/>
    <w:rsid w:val="00C9470D"/>
    <w:rsid w:val="00C95BD7"/>
    <w:rsid w:val="00C95C1D"/>
    <w:rsid w:val="00C962FA"/>
    <w:rsid w:val="00C96408"/>
    <w:rsid w:val="00C964A1"/>
    <w:rsid w:val="00C967E1"/>
    <w:rsid w:val="00C967E7"/>
    <w:rsid w:val="00C969CE"/>
    <w:rsid w:val="00C97736"/>
    <w:rsid w:val="00C97756"/>
    <w:rsid w:val="00C9775C"/>
    <w:rsid w:val="00C9782A"/>
    <w:rsid w:val="00C97A2A"/>
    <w:rsid w:val="00C97CDF"/>
    <w:rsid w:val="00C97DD2"/>
    <w:rsid w:val="00C97DDF"/>
    <w:rsid w:val="00CA0234"/>
    <w:rsid w:val="00CA04C3"/>
    <w:rsid w:val="00CA07C2"/>
    <w:rsid w:val="00CA0A86"/>
    <w:rsid w:val="00CA0E86"/>
    <w:rsid w:val="00CA0F45"/>
    <w:rsid w:val="00CA10BE"/>
    <w:rsid w:val="00CA1208"/>
    <w:rsid w:val="00CA1393"/>
    <w:rsid w:val="00CA141A"/>
    <w:rsid w:val="00CA1441"/>
    <w:rsid w:val="00CA14BD"/>
    <w:rsid w:val="00CA1943"/>
    <w:rsid w:val="00CA1CB1"/>
    <w:rsid w:val="00CA2001"/>
    <w:rsid w:val="00CA223F"/>
    <w:rsid w:val="00CA2288"/>
    <w:rsid w:val="00CA345A"/>
    <w:rsid w:val="00CA3A21"/>
    <w:rsid w:val="00CA48E8"/>
    <w:rsid w:val="00CA4C10"/>
    <w:rsid w:val="00CA50E6"/>
    <w:rsid w:val="00CA5226"/>
    <w:rsid w:val="00CA543B"/>
    <w:rsid w:val="00CA54DC"/>
    <w:rsid w:val="00CA55BD"/>
    <w:rsid w:val="00CA5783"/>
    <w:rsid w:val="00CA5AAA"/>
    <w:rsid w:val="00CA5E26"/>
    <w:rsid w:val="00CA5F19"/>
    <w:rsid w:val="00CA6D7E"/>
    <w:rsid w:val="00CA6F43"/>
    <w:rsid w:val="00CA6FBA"/>
    <w:rsid w:val="00CA746A"/>
    <w:rsid w:val="00CA7CBD"/>
    <w:rsid w:val="00CB06EA"/>
    <w:rsid w:val="00CB079D"/>
    <w:rsid w:val="00CB08D4"/>
    <w:rsid w:val="00CB1073"/>
    <w:rsid w:val="00CB160D"/>
    <w:rsid w:val="00CB17B3"/>
    <w:rsid w:val="00CB17EC"/>
    <w:rsid w:val="00CB18BD"/>
    <w:rsid w:val="00CB1E82"/>
    <w:rsid w:val="00CB1F92"/>
    <w:rsid w:val="00CB217C"/>
    <w:rsid w:val="00CB2306"/>
    <w:rsid w:val="00CB29ED"/>
    <w:rsid w:val="00CB2A3A"/>
    <w:rsid w:val="00CB2A4A"/>
    <w:rsid w:val="00CB2B7A"/>
    <w:rsid w:val="00CB2BD8"/>
    <w:rsid w:val="00CB2DA1"/>
    <w:rsid w:val="00CB2F36"/>
    <w:rsid w:val="00CB326F"/>
    <w:rsid w:val="00CB33F3"/>
    <w:rsid w:val="00CB3A5F"/>
    <w:rsid w:val="00CB3BF3"/>
    <w:rsid w:val="00CB43CE"/>
    <w:rsid w:val="00CB48EE"/>
    <w:rsid w:val="00CB4BA8"/>
    <w:rsid w:val="00CB4CF3"/>
    <w:rsid w:val="00CB4F9F"/>
    <w:rsid w:val="00CB52D7"/>
    <w:rsid w:val="00CB5495"/>
    <w:rsid w:val="00CB5590"/>
    <w:rsid w:val="00CB5C4C"/>
    <w:rsid w:val="00CB5E40"/>
    <w:rsid w:val="00CB5FE2"/>
    <w:rsid w:val="00CB689A"/>
    <w:rsid w:val="00CB71E4"/>
    <w:rsid w:val="00CB7359"/>
    <w:rsid w:val="00CB7598"/>
    <w:rsid w:val="00CB76CE"/>
    <w:rsid w:val="00CB7837"/>
    <w:rsid w:val="00CB7A32"/>
    <w:rsid w:val="00CC00E1"/>
    <w:rsid w:val="00CC0116"/>
    <w:rsid w:val="00CC0132"/>
    <w:rsid w:val="00CC0517"/>
    <w:rsid w:val="00CC0F54"/>
    <w:rsid w:val="00CC1489"/>
    <w:rsid w:val="00CC1CC2"/>
    <w:rsid w:val="00CC1D5B"/>
    <w:rsid w:val="00CC1FD6"/>
    <w:rsid w:val="00CC205F"/>
    <w:rsid w:val="00CC33D1"/>
    <w:rsid w:val="00CC3501"/>
    <w:rsid w:val="00CC4D90"/>
    <w:rsid w:val="00CC5636"/>
    <w:rsid w:val="00CC56E9"/>
    <w:rsid w:val="00CC5B40"/>
    <w:rsid w:val="00CC5D2F"/>
    <w:rsid w:val="00CC6692"/>
    <w:rsid w:val="00CC6732"/>
    <w:rsid w:val="00CC73DD"/>
    <w:rsid w:val="00CC7444"/>
    <w:rsid w:val="00CC7D72"/>
    <w:rsid w:val="00CC7D78"/>
    <w:rsid w:val="00CC7F09"/>
    <w:rsid w:val="00CD02D3"/>
    <w:rsid w:val="00CD1B5C"/>
    <w:rsid w:val="00CD2274"/>
    <w:rsid w:val="00CD29E3"/>
    <w:rsid w:val="00CD2AF7"/>
    <w:rsid w:val="00CD3112"/>
    <w:rsid w:val="00CD3674"/>
    <w:rsid w:val="00CD3918"/>
    <w:rsid w:val="00CD3C19"/>
    <w:rsid w:val="00CD3FAE"/>
    <w:rsid w:val="00CD4536"/>
    <w:rsid w:val="00CD4A6D"/>
    <w:rsid w:val="00CD4C66"/>
    <w:rsid w:val="00CD4CDD"/>
    <w:rsid w:val="00CD4D1E"/>
    <w:rsid w:val="00CD557C"/>
    <w:rsid w:val="00CD5A56"/>
    <w:rsid w:val="00CD5C2D"/>
    <w:rsid w:val="00CD65B1"/>
    <w:rsid w:val="00CD6710"/>
    <w:rsid w:val="00CD6ACF"/>
    <w:rsid w:val="00CD6B6E"/>
    <w:rsid w:val="00CD6BD2"/>
    <w:rsid w:val="00CD6EF8"/>
    <w:rsid w:val="00CD76CE"/>
    <w:rsid w:val="00CD7F7D"/>
    <w:rsid w:val="00CE04AF"/>
    <w:rsid w:val="00CE06B0"/>
    <w:rsid w:val="00CE0994"/>
    <w:rsid w:val="00CE0A0D"/>
    <w:rsid w:val="00CE0F08"/>
    <w:rsid w:val="00CE1CDB"/>
    <w:rsid w:val="00CE1DFE"/>
    <w:rsid w:val="00CE2B84"/>
    <w:rsid w:val="00CE3C96"/>
    <w:rsid w:val="00CE3D0D"/>
    <w:rsid w:val="00CE4AB0"/>
    <w:rsid w:val="00CE51A8"/>
    <w:rsid w:val="00CE579A"/>
    <w:rsid w:val="00CE6696"/>
    <w:rsid w:val="00CE6823"/>
    <w:rsid w:val="00CE6BF0"/>
    <w:rsid w:val="00CE7CE7"/>
    <w:rsid w:val="00CE7FBA"/>
    <w:rsid w:val="00CF0020"/>
    <w:rsid w:val="00CF031A"/>
    <w:rsid w:val="00CF0BFE"/>
    <w:rsid w:val="00CF0D47"/>
    <w:rsid w:val="00CF1F68"/>
    <w:rsid w:val="00CF1F6F"/>
    <w:rsid w:val="00CF2C3A"/>
    <w:rsid w:val="00CF3306"/>
    <w:rsid w:val="00CF369B"/>
    <w:rsid w:val="00CF3844"/>
    <w:rsid w:val="00CF3B7E"/>
    <w:rsid w:val="00CF3FE1"/>
    <w:rsid w:val="00CF4012"/>
    <w:rsid w:val="00CF46BC"/>
    <w:rsid w:val="00CF654E"/>
    <w:rsid w:val="00CF65BE"/>
    <w:rsid w:val="00CF66A5"/>
    <w:rsid w:val="00CF6B68"/>
    <w:rsid w:val="00CF7CBF"/>
    <w:rsid w:val="00CF7F40"/>
    <w:rsid w:val="00CF7F56"/>
    <w:rsid w:val="00D001FA"/>
    <w:rsid w:val="00D00E28"/>
    <w:rsid w:val="00D011D5"/>
    <w:rsid w:val="00D01AB8"/>
    <w:rsid w:val="00D01B7C"/>
    <w:rsid w:val="00D01ECE"/>
    <w:rsid w:val="00D01F7D"/>
    <w:rsid w:val="00D02445"/>
    <w:rsid w:val="00D0269E"/>
    <w:rsid w:val="00D027E1"/>
    <w:rsid w:val="00D02CED"/>
    <w:rsid w:val="00D02D7C"/>
    <w:rsid w:val="00D02DF2"/>
    <w:rsid w:val="00D0318F"/>
    <w:rsid w:val="00D031ED"/>
    <w:rsid w:val="00D037AE"/>
    <w:rsid w:val="00D03C29"/>
    <w:rsid w:val="00D03FAE"/>
    <w:rsid w:val="00D05AF4"/>
    <w:rsid w:val="00D05B35"/>
    <w:rsid w:val="00D05D6C"/>
    <w:rsid w:val="00D060A9"/>
    <w:rsid w:val="00D068E5"/>
    <w:rsid w:val="00D06ABE"/>
    <w:rsid w:val="00D07287"/>
    <w:rsid w:val="00D07454"/>
    <w:rsid w:val="00D0772E"/>
    <w:rsid w:val="00D10605"/>
    <w:rsid w:val="00D10789"/>
    <w:rsid w:val="00D1092F"/>
    <w:rsid w:val="00D109C2"/>
    <w:rsid w:val="00D10C33"/>
    <w:rsid w:val="00D11738"/>
    <w:rsid w:val="00D118C1"/>
    <w:rsid w:val="00D1285A"/>
    <w:rsid w:val="00D12A06"/>
    <w:rsid w:val="00D12F76"/>
    <w:rsid w:val="00D13628"/>
    <w:rsid w:val="00D136C3"/>
    <w:rsid w:val="00D137C9"/>
    <w:rsid w:val="00D14265"/>
    <w:rsid w:val="00D144A2"/>
    <w:rsid w:val="00D14754"/>
    <w:rsid w:val="00D14788"/>
    <w:rsid w:val="00D14970"/>
    <w:rsid w:val="00D14A91"/>
    <w:rsid w:val="00D14BFA"/>
    <w:rsid w:val="00D14D46"/>
    <w:rsid w:val="00D14FAB"/>
    <w:rsid w:val="00D15810"/>
    <w:rsid w:val="00D15C39"/>
    <w:rsid w:val="00D16307"/>
    <w:rsid w:val="00D167C5"/>
    <w:rsid w:val="00D167F5"/>
    <w:rsid w:val="00D168EF"/>
    <w:rsid w:val="00D16995"/>
    <w:rsid w:val="00D16D4E"/>
    <w:rsid w:val="00D16FE3"/>
    <w:rsid w:val="00D171EC"/>
    <w:rsid w:val="00D17426"/>
    <w:rsid w:val="00D1760D"/>
    <w:rsid w:val="00D17724"/>
    <w:rsid w:val="00D1778F"/>
    <w:rsid w:val="00D1789F"/>
    <w:rsid w:val="00D2017A"/>
    <w:rsid w:val="00D21297"/>
    <w:rsid w:val="00D2148B"/>
    <w:rsid w:val="00D2158C"/>
    <w:rsid w:val="00D216E0"/>
    <w:rsid w:val="00D21955"/>
    <w:rsid w:val="00D222C5"/>
    <w:rsid w:val="00D22300"/>
    <w:rsid w:val="00D224E1"/>
    <w:rsid w:val="00D225FB"/>
    <w:rsid w:val="00D22B6A"/>
    <w:rsid w:val="00D22FCB"/>
    <w:rsid w:val="00D23886"/>
    <w:rsid w:val="00D23A16"/>
    <w:rsid w:val="00D23E4F"/>
    <w:rsid w:val="00D24549"/>
    <w:rsid w:val="00D24555"/>
    <w:rsid w:val="00D25162"/>
    <w:rsid w:val="00D259C5"/>
    <w:rsid w:val="00D25AAC"/>
    <w:rsid w:val="00D261AA"/>
    <w:rsid w:val="00D2634B"/>
    <w:rsid w:val="00D26CE8"/>
    <w:rsid w:val="00D272CE"/>
    <w:rsid w:val="00D27359"/>
    <w:rsid w:val="00D27DAC"/>
    <w:rsid w:val="00D27F41"/>
    <w:rsid w:val="00D303A9"/>
    <w:rsid w:val="00D3044B"/>
    <w:rsid w:val="00D308F3"/>
    <w:rsid w:val="00D3141B"/>
    <w:rsid w:val="00D31F07"/>
    <w:rsid w:val="00D32470"/>
    <w:rsid w:val="00D326FA"/>
    <w:rsid w:val="00D32875"/>
    <w:rsid w:val="00D329C1"/>
    <w:rsid w:val="00D32D95"/>
    <w:rsid w:val="00D32DD7"/>
    <w:rsid w:val="00D3301C"/>
    <w:rsid w:val="00D33490"/>
    <w:rsid w:val="00D33652"/>
    <w:rsid w:val="00D33AD3"/>
    <w:rsid w:val="00D33C11"/>
    <w:rsid w:val="00D33C26"/>
    <w:rsid w:val="00D340D3"/>
    <w:rsid w:val="00D342A4"/>
    <w:rsid w:val="00D343D1"/>
    <w:rsid w:val="00D34448"/>
    <w:rsid w:val="00D35383"/>
    <w:rsid w:val="00D35782"/>
    <w:rsid w:val="00D35C30"/>
    <w:rsid w:val="00D362BD"/>
    <w:rsid w:val="00D36441"/>
    <w:rsid w:val="00D36617"/>
    <w:rsid w:val="00D36856"/>
    <w:rsid w:val="00D36922"/>
    <w:rsid w:val="00D36CC3"/>
    <w:rsid w:val="00D36CF6"/>
    <w:rsid w:val="00D36DF8"/>
    <w:rsid w:val="00D36E19"/>
    <w:rsid w:val="00D370A2"/>
    <w:rsid w:val="00D3744E"/>
    <w:rsid w:val="00D3774B"/>
    <w:rsid w:val="00D37C56"/>
    <w:rsid w:val="00D401F7"/>
    <w:rsid w:val="00D4064E"/>
    <w:rsid w:val="00D40B1C"/>
    <w:rsid w:val="00D41A7A"/>
    <w:rsid w:val="00D41D6D"/>
    <w:rsid w:val="00D42E44"/>
    <w:rsid w:val="00D43033"/>
    <w:rsid w:val="00D43266"/>
    <w:rsid w:val="00D437A0"/>
    <w:rsid w:val="00D43ACC"/>
    <w:rsid w:val="00D43B44"/>
    <w:rsid w:val="00D43D65"/>
    <w:rsid w:val="00D4448D"/>
    <w:rsid w:val="00D444A6"/>
    <w:rsid w:val="00D445AA"/>
    <w:rsid w:val="00D447CE"/>
    <w:rsid w:val="00D44B7B"/>
    <w:rsid w:val="00D44D36"/>
    <w:rsid w:val="00D44E94"/>
    <w:rsid w:val="00D44E9B"/>
    <w:rsid w:val="00D451FF"/>
    <w:rsid w:val="00D453AE"/>
    <w:rsid w:val="00D4546E"/>
    <w:rsid w:val="00D458B9"/>
    <w:rsid w:val="00D46461"/>
    <w:rsid w:val="00D467DC"/>
    <w:rsid w:val="00D46879"/>
    <w:rsid w:val="00D475CE"/>
    <w:rsid w:val="00D47A1D"/>
    <w:rsid w:val="00D47A3D"/>
    <w:rsid w:val="00D47A62"/>
    <w:rsid w:val="00D47AEB"/>
    <w:rsid w:val="00D47B52"/>
    <w:rsid w:val="00D50223"/>
    <w:rsid w:val="00D50ABA"/>
    <w:rsid w:val="00D50DB9"/>
    <w:rsid w:val="00D50F55"/>
    <w:rsid w:val="00D51302"/>
    <w:rsid w:val="00D51A57"/>
    <w:rsid w:val="00D51ECD"/>
    <w:rsid w:val="00D520E9"/>
    <w:rsid w:val="00D52C43"/>
    <w:rsid w:val="00D52F44"/>
    <w:rsid w:val="00D530C4"/>
    <w:rsid w:val="00D54439"/>
    <w:rsid w:val="00D5444D"/>
    <w:rsid w:val="00D54728"/>
    <w:rsid w:val="00D54D5D"/>
    <w:rsid w:val="00D557C0"/>
    <w:rsid w:val="00D564D4"/>
    <w:rsid w:val="00D5690C"/>
    <w:rsid w:val="00D56ABA"/>
    <w:rsid w:val="00D56AD2"/>
    <w:rsid w:val="00D570FE"/>
    <w:rsid w:val="00D5772D"/>
    <w:rsid w:val="00D601CF"/>
    <w:rsid w:val="00D608A4"/>
    <w:rsid w:val="00D60CD4"/>
    <w:rsid w:val="00D61243"/>
    <w:rsid w:val="00D622E3"/>
    <w:rsid w:val="00D623C4"/>
    <w:rsid w:val="00D62734"/>
    <w:rsid w:val="00D631FB"/>
    <w:rsid w:val="00D633B3"/>
    <w:rsid w:val="00D6355B"/>
    <w:rsid w:val="00D63D57"/>
    <w:rsid w:val="00D6415B"/>
    <w:rsid w:val="00D64374"/>
    <w:rsid w:val="00D64919"/>
    <w:rsid w:val="00D64C40"/>
    <w:rsid w:val="00D64D60"/>
    <w:rsid w:val="00D64E95"/>
    <w:rsid w:val="00D64F05"/>
    <w:rsid w:val="00D6507F"/>
    <w:rsid w:val="00D651B0"/>
    <w:rsid w:val="00D65AC1"/>
    <w:rsid w:val="00D65BAB"/>
    <w:rsid w:val="00D65C56"/>
    <w:rsid w:val="00D65D63"/>
    <w:rsid w:val="00D65E9A"/>
    <w:rsid w:val="00D66094"/>
    <w:rsid w:val="00D666CB"/>
    <w:rsid w:val="00D6677F"/>
    <w:rsid w:val="00D66924"/>
    <w:rsid w:val="00D67080"/>
    <w:rsid w:val="00D67714"/>
    <w:rsid w:val="00D7043C"/>
    <w:rsid w:val="00D706B3"/>
    <w:rsid w:val="00D70728"/>
    <w:rsid w:val="00D70ACA"/>
    <w:rsid w:val="00D70BBA"/>
    <w:rsid w:val="00D71234"/>
    <w:rsid w:val="00D71E9A"/>
    <w:rsid w:val="00D72065"/>
    <w:rsid w:val="00D72DC7"/>
    <w:rsid w:val="00D72FAF"/>
    <w:rsid w:val="00D730BC"/>
    <w:rsid w:val="00D736DF"/>
    <w:rsid w:val="00D73912"/>
    <w:rsid w:val="00D73F50"/>
    <w:rsid w:val="00D746B6"/>
    <w:rsid w:val="00D75E54"/>
    <w:rsid w:val="00D7602E"/>
    <w:rsid w:val="00D763D0"/>
    <w:rsid w:val="00D76957"/>
    <w:rsid w:val="00D76EE6"/>
    <w:rsid w:val="00D77006"/>
    <w:rsid w:val="00D77465"/>
    <w:rsid w:val="00D77A9F"/>
    <w:rsid w:val="00D802C3"/>
    <w:rsid w:val="00D8039C"/>
    <w:rsid w:val="00D80E19"/>
    <w:rsid w:val="00D80F72"/>
    <w:rsid w:val="00D81468"/>
    <w:rsid w:val="00D8154D"/>
    <w:rsid w:val="00D81570"/>
    <w:rsid w:val="00D81710"/>
    <w:rsid w:val="00D81711"/>
    <w:rsid w:val="00D81A89"/>
    <w:rsid w:val="00D81F71"/>
    <w:rsid w:val="00D81F81"/>
    <w:rsid w:val="00D82BD0"/>
    <w:rsid w:val="00D82D21"/>
    <w:rsid w:val="00D832C1"/>
    <w:rsid w:val="00D8375F"/>
    <w:rsid w:val="00D839A8"/>
    <w:rsid w:val="00D83A17"/>
    <w:rsid w:val="00D83E3F"/>
    <w:rsid w:val="00D841A1"/>
    <w:rsid w:val="00D84393"/>
    <w:rsid w:val="00D8461C"/>
    <w:rsid w:val="00D84903"/>
    <w:rsid w:val="00D84AD4"/>
    <w:rsid w:val="00D84EEC"/>
    <w:rsid w:val="00D8500C"/>
    <w:rsid w:val="00D85226"/>
    <w:rsid w:val="00D853B2"/>
    <w:rsid w:val="00D8597C"/>
    <w:rsid w:val="00D85DFA"/>
    <w:rsid w:val="00D85E95"/>
    <w:rsid w:val="00D860A7"/>
    <w:rsid w:val="00D860EF"/>
    <w:rsid w:val="00D86128"/>
    <w:rsid w:val="00D86451"/>
    <w:rsid w:val="00D865AA"/>
    <w:rsid w:val="00D871C3"/>
    <w:rsid w:val="00D87542"/>
    <w:rsid w:val="00D87B94"/>
    <w:rsid w:val="00D9010F"/>
    <w:rsid w:val="00D90312"/>
    <w:rsid w:val="00D906D1"/>
    <w:rsid w:val="00D906D3"/>
    <w:rsid w:val="00D90AD0"/>
    <w:rsid w:val="00D922A0"/>
    <w:rsid w:val="00D92361"/>
    <w:rsid w:val="00D92D49"/>
    <w:rsid w:val="00D92EC1"/>
    <w:rsid w:val="00D9300A"/>
    <w:rsid w:val="00D9306E"/>
    <w:rsid w:val="00D9315F"/>
    <w:rsid w:val="00D93192"/>
    <w:rsid w:val="00D9327B"/>
    <w:rsid w:val="00D93ACF"/>
    <w:rsid w:val="00D9400A"/>
    <w:rsid w:val="00D9444A"/>
    <w:rsid w:val="00D9450B"/>
    <w:rsid w:val="00D95145"/>
    <w:rsid w:val="00D95512"/>
    <w:rsid w:val="00D95F63"/>
    <w:rsid w:val="00D96043"/>
    <w:rsid w:val="00D96758"/>
    <w:rsid w:val="00D96DEA"/>
    <w:rsid w:val="00DA01F7"/>
    <w:rsid w:val="00DA0385"/>
    <w:rsid w:val="00DA0D41"/>
    <w:rsid w:val="00DA13CC"/>
    <w:rsid w:val="00DA153C"/>
    <w:rsid w:val="00DA1B69"/>
    <w:rsid w:val="00DA27C7"/>
    <w:rsid w:val="00DA294B"/>
    <w:rsid w:val="00DA2C93"/>
    <w:rsid w:val="00DA30C8"/>
    <w:rsid w:val="00DA3207"/>
    <w:rsid w:val="00DA3726"/>
    <w:rsid w:val="00DA3B8A"/>
    <w:rsid w:val="00DA3FF4"/>
    <w:rsid w:val="00DA403F"/>
    <w:rsid w:val="00DA4159"/>
    <w:rsid w:val="00DA4E41"/>
    <w:rsid w:val="00DA56FE"/>
    <w:rsid w:val="00DA5E92"/>
    <w:rsid w:val="00DA631D"/>
    <w:rsid w:val="00DA6E3D"/>
    <w:rsid w:val="00DA74EA"/>
    <w:rsid w:val="00DA7708"/>
    <w:rsid w:val="00DB02EF"/>
    <w:rsid w:val="00DB03D4"/>
    <w:rsid w:val="00DB0500"/>
    <w:rsid w:val="00DB098A"/>
    <w:rsid w:val="00DB0F08"/>
    <w:rsid w:val="00DB10F2"/>
    <w:rsid w:val="00DB117A"/>
    <w:rsid w:val="00DB13DC"/>
    <w:rsid w:val="00DB20A7"/>
    <w:rsid w:val="00DB28CB"/>
    <w:rsid w:val="00DB2A5A"/>
    <w:rsid w:val="00DB32E0"/>
    <w:rsid w:val="00DB36C4"/>
    <w:rsid w:val="00DB3E88"/>
    <w:rsid w:val="00DB450F"/>
    <w:rsid w:val="00DB45B8"/>
    <w:rsid w:val="00DB4EA0"/>
    <w:rsid w:val="00DB50D7"/>
    <w:rsid w:val="00DB516E"/>
    <w:rsid w:val="00DB5173"/>
    <w:rsid w:val="00DB5462"/>
    <w:rsid w:val="00DB593C"/>
    <w:rsid w:val="00DB5D16"/>
    <w:rsid w:val="00DB5EF1"/>
    <w:rsid w:val="00DB6121"/>
    <w:rsid w:val="00DB6371"/>
    <w:rsid w:val="00DB6443"/>
    <w:rsid w:val="00DB6568"/>
    <w:rsid w:val="00DB68BE"/>
    <w:rsid w:val="00DB6AF0"/>
    <w:rsid w:val="00DB6B4D"/>
    <w:rsid w:val="00DB6C68"/>
    <w:rsid w:val="00DB6D36"/>
    <w:rsid w:val="00DB7288"/>
    <w:rsid w:val="00DB7383"/>
    <w:rsid w:val="00DB7873"/>
    <w:rsid w:val="00DB7AFC"/>
    <w:rsid w:val="00DC043A"/>
    <w:rsid w:val="00DC0718"/>
    <w:rsid w:val="00DC07D7"/>
    <w:rsid w:val="00DC0BA4"/>
    <w:rsid w:val="00DC0FCB"/>
    <w:rsid w:val="00DC1805"/>
    <w:rsid w:val="00DC1839"/>
    <w:rsid w:val="00DC187B"/>
    <w:rsid w:val="00DC1BCC"/>
    <w:rsid w:val="00DC1DD1"/>
    <w:rsid w:val="00DC1E59"/>
    <w:rsid w:val="00DC278D"/>
    <w:rsid w:val="00DC2F2B"/>
    <w:rsid w:val="00DC313E"/>
    <w:rsid w:val="00DC447C"/>
    <w:rsid w:val="00DC4988"/>
    <w:rsid w:val="00DC49FF"/>
    <w:rsid w:val="00DC4E8D"/>
    <w:rsid w:val="00DC5208"/>
    <w:rsid w:val="00DC5742"/>
    <w:rsid w:val="00DC5997"/>
    <w:rsid w:val="00DC62C2"/>
    <w:rsid w:val="00DC6665"/>
    <w:rsid w:val="00DC66A2"/>
    <w:rsid w:val="00DC69B8"/>
    <w:rsid w:val="00DC7004"/>
    <w:rsid w:val="00DC71CF"/>
    <w:rsid w:val="00DC7693"/>
    <w:rsid w:val="00DC76E2"/>
    <w:rsid w:val="00DC78D9"/>
    <w:rsid w:val="00DD0410"/>
    <w:rsid w:val="00DD0781"/>
    <w:rsid w:val="00DD07EC"/>
    <w:rsid w:val="00DD0861"/>
    <w:rsid w:val="00DD0CF0"/>
    <w:rsid w:val="00DD1136"/>
    <w:rsid w:val="00DD1353"/>
    <w:rsid w:val="00DD1989"/>
    <w:rsid w:val="00DD1A43"/>
    <w:rsid w:val="00DD1AD6"/>
    <w:rsid w:val="00DD1F1A"/>
    <w:rsid w:val="00DD1F23"/>
    <w:rsid w:val="00DD21BF"/>
    <w:rsid w:val="00DD2876"/>
    <w:rsid w:val="00DD2E03"/>
    <w:rsid w:val="00DD2E6E"/>
    <w:rsid w:val="00DD2EA0"/>
    <w:rsid w:val="00DD31FB"/>
    <w:rsid w:val="00DD32CD"/>
    <w:rsid w:val="00DD3659"/>
    <w:rsid w:val="00DD3F4A"/>
    <w:rsid w:val="00DD3F93"/>
    <w:rsid w:val="00DD4313"/>
    <w:rsid w:val="00DD57B7"/>
    <w:rsid w:val="00DD5ECB"/>
    <w:rsid w:val="00DD6FF0"/>
    <w:rsid w:val="00DD7187"/>
    <w:rsid w:val="00DD73C2"/>
    <w:rsid w:val="00DD7509"/>
    <w:rsid w:val="00DD7873"/>
    <w:rsid w:val="00DD7FF2"/>
    <w:rsid w:val="00DE0687"/>
    <w:rsid w:val="00DE0961"/>
    <w:rsid w:val="00DE0E89"/>
    <w:rsid w:val="00DE14E9"/>
    <w:rsid w:val="00DE19ED"/>
    <w:rsid w:val="00DE1E0B"/>
    <w:rsid w:val="00DE258E"/>
    <w:rsid w:val="00DE2802"/>
    <w:rsid w:val="00DE2E25"/>
    <w:rsid w:val="00DE319B"/>
    <w:rsid w:val="00DE33FA"/>
    <w:rsid w:val="00DE34D0"/>
    <w:rsid w:val="00DE3526"/>
    <w:rsid w:val="00DE38E3"/>
    <w:rsid w:val="00DE3C6C"/>
    <w:rsid w:val="00DE3D65"/>
    <w:rsid w:val="00DE416E"/>
    <w:rsid w:val="00DE4B57"/>
    <w:rsid w:val="00DE4BE6"/>
    <w:rsid w:val="00DE4C3C"/>
    <w:rsid w:val="00DE5242"/>
    <w:rsid w:val="00DE5C37"/>
    <w:rsid w:val="00DE6077"/>
    <w:rsid w:val="00DE6B4F"/>
    <w:rsid w:val="00DE6C8E"/>
    <w:rsid w:val="00DE6CAE"/>
    <w:rsid w:val="00DE71D4"/>
    <w:rsid w:val="00DE7C80"/>
    <w:rsid w:val="00DE7EB4"/>
    <w:rsid w:val="00DF0FCD"/>
    <w:rsid w:val="00DF1003"/>
    <w:rsid w:val="00DF13D5"/>
    <w:rsid w:val="00DF1720"/>
    <w:rsid w:val="00DF18BF"/>
    <w:rsid w:val="00DF23D1"/>
    <w:rsid w:val="00DF2B39"/>
    <w:rsid w:val="00DF2EFA"/>
    <w:rsid w:val="00DF34FE"/>
    <w:rsid w:val="00DF356F"/>
    <w:rsid w:val="00DF38BE"/>
    <w:rsid w:val="00DF38C5"/>
    <w:rsid w:val="00DF3933"/>
    <w:rsid w:val="00DF3A4D"/>
    <w:rsid w:val="00DF3ED3"/>
    <w:rsid w:val="00DF3F3D"/>
    <w:rsid w:val="00DF4150"/>
    <w:rsid w:val="00DF4E3A"/>
    <w:rsid w:val="00DF4F23"/>
    <w:rsid w:val="00DF4F47"/>
    <w:rsid w:val="00DF51C9"/>
    <w:rsid w:val="00DF53D9"/>
    <w:rsid w:val="00DF56AA"/>
    <w:rsid w:val="00DF56AF"/>
    <w:rsid w:val="00DF5927"/>
    <w:rsid w:val="00DF5B34"/>
    <w:rsid w:val="00DF7123"/>
    <w:rsid w:val="00DF78E7"/>
    <w:rsid w:val="00DF7EF1"/>
    <w:rsid w:val="00DF7F90"/>
    <w:rsid w:val="00E00010"/>
    <w:rsid w:val="00E00630"/>
    <w:rsid w:val="00E0125E"/>
    <w:rsid w:val="00E01713"/>
    <w:rsid w:val="00E026A9"/>
    <w:rsid w:val="00E028D5"/>
    <w:rsid w:val="00E0308C"/>
    <w:rsid w:val="00E0322C"/>
    <w:rsid w:val="00E03487"/>
    <w:rsid w:val="00E03514"/>
    <w:rsid w:val="00E03664"/>
    <w:rsid w:val="00E03D67"/>
    <w:rsid w:val="00E04709"/>
    <w:rsid w:val="00E05173"/>
    <w:rsid w:val="00E05B4C"/>
    <w:rsid w:val="00E05F90"/>
    <w:rsid w:val="00E06FB1"/>
    <w:rsid w:val="00E07896"/>
    <w:rsid w:val="00E07B2B"/>
    <w:rsid w:val="00E07B99"/>
    <w:rsid w:val="00E10006"/>
    <w:rsid w:val="00E101F5"/>
    <w:rsid w:val="00E102B3"/>
    <w:rsid w:val="00E10DC0"/>
    <w:rsid w:val="00E110E0"/>
    <w:rsid w:val="00E1120A"/>
    <w:rsid w:val="00E11473"/>
    <w:rsid w:val="00E11573"/>
    <w:rsid w:val="00E11A50"/>
    <w:rsid w:val="00E11F65"/>
    <w:rsid w:val="00E1216F"/>
    <w:rsid w:val="00E127FB"/>
    <w:rsid w:val="00E13272"/>
    <w:rsid w:val="00E1341A"/>
    <w:rsid w:val="00E13528"/>
    <w:rsid w:val="00E13BE9"/>
    <w:rsid w:val="00E13FBD"/>
    <w:rsid w:val="00E14B2E"/>
    <w:rsid w:val="00E14B61"/>
    <w:rsid w:val="00E14CEB"/>
    <w:rsid w:val="00E15159"/>
    <w:rsid w:val="00E15371"/>
    <w:rsid w:val="00E153AE"/>
    <w:rsid w:val="00E15CDE"/>
    <w:rsid w:val="00E15DDE"/>
    <w:rsid w:val="00E16576"/>
    <w:rsid w:val="00E171CA"/>
    <w:rsid w:val="00E172A2"/>
    <w:rsid w:val="00E173A9"/>
    <w:rsid w:val="00E174FC"/>
    <w:rsid w:val="00E17D1B"/>
    <w:rsid w:val="00E17ED4"/>
    <w:rsid w:val="00E2007D"/>
    <w:rsid w:val="00E2062F"/>
    <w:rsid w:val="00E20E24"/>
    <w:rsid w:val="00E21056"/>
    <w:rsid w:val="00E2135D"/>
    <w:rsid w:val="00E214A0"/>
    <w:rsid w:val="00E216FF"/>
    <w:rsid w:val="00E21AFB"/>
    <w:rsid w:val="00E21C70"/>
    <w:rsid w:val="00E21E9A"/>
    <w:rsid w:val="00E2254B"/>
    <w:rsid w:val="00E22974"/>
    <w:rsid w:val="00E22B28"/>
    <w:rsid w:val="00E22D7F"/>
    <w:rsid w:val="00E22F97"/>
    <w:rsid w:val="00E232EB"/>
    <w:rsid w:val="00E24104"/>
    <w:rsid w:val="00E24240"/>
    <w:rsid w:val="00E2499F"/>
    <w:rsid w:val="00E24B59"/>
    <w:rsid w:val="00E24F5D"/>
    <w:rsid w:val="00E25166"/>
    <w:rsid w:val="00E25277"/>
    <w:rsid w:val="00E2532A"/>
    <w:rsid w:val="00E253A9"/>
    <w:rsid w:val="00E2546E"/>
    <w:rsid w:val="00E254C1"/>
    <w:rsid w:val="00E256B0"/>
    <w:rsid w:val="00E25A6B"/>
    <w:rsid w:val="00E25CAD"/>
    <w:rsid w:val="00E25FEF"/>
    <w:rsid w:val="00E26481"/>
    <w:rsid w:val="00E264A1"/>
    <w:rsid w:val="00E26588"/>
    <w:rsid w:val="00E2664E"/>
    <w:rsid w:val="00E26E17"/>
    <w:rsid w:val="00E26E56"/>
    <w:rsid w:val="00E26E93"/>
    <w:rsid w:val="00E27634"/>
    <w:rsid w:val="00E27786"/>
    <w:rsid w:val="00E277BB"/>
    <w:rsid w:val="00E27D3F"/>
    <w:rsid w:val="00E302D0"/>
    <w:rsid w:val="00E30386"/>
    <w:rsid w:val="00E30574"/>
    <w:rsid w:val="00E3074A"/>
    <w:rsid w:val="00E30A75"/>
    <w:rsid w:val="00E30ACF"/>
    <w:rsid w:val="00E30B37"/>
    <w:rsid w:val="00E31C8B"/>
    <w:rsid w:val="00E31FEB"/>
    <w:rsid w:val="00E32113"/>
    <w:rsid w:val="00E3213E"/>
    <w:rsid w:val="00E32343"/>
    <w:rsid w:val="00E32723"/>
    <w:rsid w:val="00E32FDB"/>
    <w:rsid w:val="00E32FEE"/>
    <w:rsid w:val="00E330A3"/>
    <w:rsid w:val="00E33207"/>
    <w:rsid w:val="00E3368B"/>
    <w:rsid w:val="00E33810"/>
    <w:rsid w:val="00E3387C"/>
    <w:rsid w:val="00E33BF6"/>
    <w:rsid w:val="00E33C0F"/>
    <w:rsid w:val="00E34510"/>
    <w:rsid w:val="00E346FF"/>
    <w:rsid w:val="00E34744"/>
    <w:rsid w:val="00E34911"/>
    <w:rsid w:val="00E34B3A"/>
    <w:rsid w:val="00E35486"/>
    <w:rsid w:val="00E35707"/>
    <w:rsid w:val="00E35D47"/>
    <w:rsid w:val="00E3607C"/>
    <w:rsid w:val="00E36AA1"/>
    <w:rsid w:val="00E36E5B"/>
    <w:rsid w:val="00E37164"/>
    <w:rsid w:val="00E37230"/>
    <w:rsid w:val="00E37E31"/>
    <w:rsid w:val="00E4016B"/>
    <w:rsid w:val="00E40C98"/>
    <w:rsid w:val="00E40CCA"/>
    <w:rsid w:val="00E40E73"/>
    <w:rsid w:val="00E40F7A"/>
    <w:rsid w:val="00E41961"/>
    <w:rsid w:val="00E419F0"/>
    <w:rsid w:val="00E41ECB"/>
    <w:rsid w:val="00E42676"/>
    <w:rsid w:val="00E42974"/>
    <w:rsid w:val="00E42A14"/>
    <w:rsid w:val="00E42DD2"/>
    <w:rsid w:val="00E431AE"/>
    <w:rsid w:val="00E43853"/>
    <w:rsid w:val="00E43AE1"/>
    <w:rsid w:val="00E43C81"/>
    <w:rsid w:val="00E43DC1"/>
    <w:rsid w:val="00E444E7"/>
    <w:rsid w:val="00E445DF"/>
    <w:rsid w:val="00E44654"/>
    <w:rsid w:val="00E450CB"/>
    <w:rsid w:val="00E45426"/>
    <w:rsid w:val="00E455AF"/>
    <w:rsid w:val="00E45820"/>
    <w:rsid w:val="00E4599A"/>
    <w:rsid w:val="00E45B4B"/>
    <w:rsid w:val="00E45DD2"/>
    <w:rsid w:val="00E45E9D"/>
    <w:rsid w:val="00E45FAD"/>
    <w:rsid w:val="00E469DA"/>
    <w:rsid w:val="00E46C4E"/>
    <w:rsid w:val="00E46F06"/>
    <w:rsid w:val="00E46F7F"/>
    <w:rsid w:val="00E47210"/>
    <w:rsid w:val="00E50394"/>
    <w:rsid w:val="00E504C1"/>
    <w:rsid w:val="00E50646"/>
    <w:rsid w:val="00E5126A"/>
    <w:rsid w:val="00E5130B"/>
    <w:rsid w:val="00E51A1F"/>
    <w:rsid w:val="00E53918"/>
    <w:rsid w:val="00E53B8B"/>
    <w:rsid w:val="00E54051"/>
    <w:rsid w:val="00E542B8"/>
    <w:rsid w:val="00E54D11"/>
    <w:rsid w:val="00E54EEE"/>
    <w:rsid w:val="00E54F20"/>
    <w:rsid w:val="00E54FDB"/>
    <w:rsid w:val="00E55623"/>
    <w:rsid w:val="00E55F5C"/>
    <w:rsid w:val="00E56106"/>
    <w:rsid w:val="00E56126"/>
    <w:rsid w:val="00E5617D"/>
    <w:rsid w:val="00E563C1"/>
    <w:rsid w:val="00E563D7"/>
    <w:rsid w:val="00E565F0"/>
    <w:rsid w:val="00E566C1"/>
    <w:rsid w:val="00E56816"/>
    <w:rsid w:val="00E571BB"/>
    <w:rsid w:val="00E575FC"/>
    <w:rsid w:val="00E5791B"/>
    <w:rsid w:val="00E6109D"/>
    <w:rsid w:val="00E6144D"/>
    <w:rsid w:val="00E6165D"/>
    <w:rsid w:val="00E61B94"/>
    <w:rsid w:val="00E61DD1"/>
    <w:rsid w:val="00E622B4"/>
    <w:rsid w:val="00E62631"/>
    <w:rsid w:val="00E62755"/>
    <w:rsid w:val="00E62AFC"/>
    <w:rsid w:val="00E632B8"/>
    <w:rsid w:val="00E63651"/>
    <w:rsid w:val="00E63B10"/>
    <w:rsid w:val="00E645F8"/>
    <w:rsid w:val="00E6495B"/>
    <w:rsid w:val="00E65019"/>
    <w:rsid w:val="00E6565E"/>
    <w:rsid w:val="00E65803"/>
    <w:rsid w:val="00E65B3E"/>
    <w:rsid w:val="00E663F4"/>
    <w:rsid w:val="00E666F2"/>
    <w:rsid w:val="00E6673C"/>
    <w:rsid w:val="00E66824"/>
    <w:rsid w:val="00E66854"/>
    <w:rsid w:val="00E66D31"/>
    <w:rsid w:val="00E66D8E"/>
    <w:rsid w:val="00E66DD4"/>
    <w:rsid w:val="00E66DDC"/>
    <w:rsid w:val="00E67036"/>
    <w:rsid w:val="00E678B9"/>
    <w:rsid w:val="00E6799D"/>
    <w:rsid w:val="00E67BD4"/>
    <w:rsid w:val="00E67FD4"/>
    <w:rsid w:val="00E706B1"/>
    <w:rsid w:val="00E70A12"/>
    <w:rsid w:val="00E70DA5"/>
    <w:rsid w:val="00E711AF"/>
    <w:rsid w:val="00E717B8"/>
    <w:rsid w:val="00E71872"/>
    <w:rsid w:val="00E7249D"/>
    <w:rsid w:val="00E7342B"/>
    <w:rsid w:val="00E73CDA"/>
    <w:rsid w:val="00E7402A"/>
    <w:rsid w:val="00E74124"/>
    <w:rsid w:val="00E7412D"/>
    <w:rsid w:val="00E74708"/>
    <w:rsid w:val="00E7478F"/>
    <w:rsid w:val="00E748CC"/>
    <w:rsid w:val="00E74E3A"/>
    <w:rsid w:val="00E74FCA"/>
    <w:rsid w:val="00E7529B"/>
    <w:rsid w:val="00E75379"/>
    <w:rsid w:val="00E75415"/>
    <w:rsid w:val="00E7549F"/>
    <w:rsid w:val="00E75830"/>
    <w:rsid w:val="00E758EA"/>
    <w:rsid w:val="00E75B52"/>
    <w:rsid w:val="00E75D8A"/>
    <w:rsid w:val="00E75E0D"/>
    <w:rsid w:val="00E76EE3"/>
    <w:rsid w:val="00E76FEB"/>
    <w:rsid w:val="00E775B1"/>
    <w:rsid w:val="00E77603"/>
    <w:rsid w:val="00E779AA"/>
    <w:rsid w:val="00E8009D"/>
    <w:rsid w:val="00E80252"/>
    <w:rsid w:val="00E8060D"/>
    <w:rsid w:val="00E80B02"/>
    <w:rsid w:val="00E80F06"/>
    <w:rsid w:val="00E80FB9"/>
    <w:rsid w:val="00E810A7"/>
    <w:rsid w:val="00E81269"/>
    <w:rsid w:val="00E8152A"/>
    <w:rsid w:val="00E815D3"/>
    <w:rsid w:val="00E823DE"/>
    <w:rsid w:val="00E825A2"/>
    <w:rsid w:val="00E83614"/>
    <w:rsid w:val="00E83664"/>
    <w:rsid w:val="00E83967"/>
    <w:rsid w:val="00E83B95"/>
    <w:rsid w:val="00E83C49"/>
    <w:rsid w:val="00E83DEC"/>
    <w:rsid w:val="00E8401B"/>
    <w:rsid w:val="00E84A61"/>
    <w:rsid w:val="00E84CF5"/>
    <w:rsid w:val="00E84CFA"/>
    <w:rsid w:val="00E84D6A"/>
    <w:rsid w:val="00E853C6"/>
    <w:rsid w:val="00E8549D"/>
    <w:rsid w:val="00E8588D"/>
    <w:rsid w:val="00E85E0D"/>
    <w:rsid w:val="00E8657D"/>
    <w:rsid w:val="00E86A65"/>
    <w:rsid w:val="00E86E7D"/>
    <w:rsid w:val="00E8770F"/>
    <w:rsid w:val="00E8793C"/>
    <w:rsid w:val="00E87C71"/>
    <w:rsid w:val="00E901EA"/>
    <w:rsid w:val="00E90FD9"/>
    <w:rsid w:val="00E9179F"/>
    <w:rsid w:val="00E91CA9"/>
    <w:rsid w:val="00E91DA3"/>
    <w:rsid w:val="00E91F35"/>
    <w:rsid w:val="00E9221A"/>
    <w:rsid w:val="00E9233D"/>
    <w:rsid w:val="00E92511"/>
    <w:rsid w:val="00E926F2"/>
    <w:rsid w:val="00E92EC2"/>
    <w:rsid w:val="00E93579"/>
    <w:rsid w:val="00E93629"/>
    <w:rsid w:val="00E938D3"/>
    <w:rsid w:val="00E93B5C"/>
    <w:rsid w:val="00E93CA7"/>
    <w:rsid w:val="00E93F36"/>
    <w:rsid w:val="00E94291"/>
    <w:rsid w:val="00E94480"/>
    <w:rsid w:val="00E94487"/>
    <w:rsid w:val="00E94CEC"/>
    <w:rsid w:val="00E94F76"/>
    <w:rsid w:val="00E9517C"/>
    <w:rsid w:val="00E95B0A"/>
    <w:rsid w:val="00E96130"/>
    <w:rsid w:val="00E96151"/>
    <w:rsid w:val="00E966D4"/>
    <w:rsid w:val="00E967ED"/>
    <w:rsid w:val="00E967F9"/>
    <w:rsid w:val="00E970B6"/>
    <w:rsid w:val="00E97D40"/>
    <w:rsid w:val="00EA0375"/>
    <w:rsid w:val="00EA04EF"/>
    <w:rsid w:val="00EA0604"/>
    <w:rsid w:val="00EA0918"/>
    <w:rsid w:val="00EA0B8C"/>
    <w:rsid w:val="00EA0F33"/>
    <w:rsid w:val="00EA12BB"/>
    <w:rsid w:val="00EA1801"/>
    <w:rsid w:val="00EA1945"/>
    <w:rsid w:val="00EA1F31"/>
    <w:rsid w:val="00EA21CC"/>
    <w:rsid w:val="00EA2FE0"/>
    <w:rsid w:val="00EA361C"/>
    <w:rsid w:val="00EA3620"/>
    <w:rsid w:val="00EA365F"/>
    <w:rsid w:val="00EA37E7"/>
    <w:rsid w:val="00EA3820"/>
    <w:rsid w:val="00EA3E12"/>
    <w:rsid w:val="00EA65BD"/>
    <w:rsid w:val="00EA65E5"/>
    <w:rsid w:val="00EA693C"/>
    <w:rsid w:val="00EA6971"/>
    <w:rsid w:val="00EA6BB1"/>
    <w:rsid w:val="00EA6C79"/>
    <w:rsid w:val="00EA6F19"/>
    <w:rsid w:val="00EA760E"/>
    <w:rsid w:val="00EA76C1"/>
    <w:rsid w:val="00EA7EF6"/>
    <w:rsid w:val="00EB063B"/>
    <w:rsid w:val="00EB06E1"/>
    <w:rsid w:val="00EB07C2"/>
    <w:rsid w:val="00EB0EF6"/>
    <w:rsid w:val="00EB17ED"/>
    <w:rsid w:val="00EB2BAE"/>
    <w:rsid w:val="00EB35D2"/>
    <w:rsid w:val="00EB3845"/>
    <w:rsid w:val="00EB3A7E"/>
    <w:rsid w:val="00EB3B13"/>
    <w:rsid w:val="00EB4431"/>
    <w:rsid w:val="00EB4A17"/>
    <w:rsid w:val="00EB4A67"/>
    <w:rsid w:val="00EB4BAB"/>
    <w:rsid w:val="00EB4C77"/>
    <w:rsid w:val="00EB5459"/>
    <w:rsid w:val="00EB5903"/>
    <w:rsid w:val="00EB5C05"/>
    <w:rsid w:val="00EB5DBA"/>
    <w:rsid w:val="00EB625B"/>
    <w:rsid w:val="00EB62D8"/>
    <w:rsid w:val="00EB649E"/>
    <w:rsid w:val="00EB691E"/>
    <w:rsid w:val="00EB6983"/>
    <w:rsid w:val="00EB69DE"/>
    <w:rsid w:val="00EB7090"/>
    <w:rsid w:val="00EB7336"/>
    <w:rsid w:val="00EB73CA"/>
    <w:rsid w:val="00EB7607"/>
    <w:rsid w:val="00EB76A8"/>
    <w:rsid w:val="00EB79CE"/>
    <w:rsid w:val="00EC097E"/>
    <w:rsid w:val="00EC0ED7"/>
    <w:rsid w:val="00EC10B0"/>
    <w:rsid w:val="00EC19A0"/>
    <w:rsid w:val="00EC1A25"/>
    <w:rsid w:val="00EC1BBE"/>
    <w:rsid w:val="00EC1C35"/>
    <w:rsid w:val="00EC1F1D"/>
    <w:rsid w:val="00EC2414"/>
    <w:rsid w:val="00EC273B"/>
    <w:rsid w:val="00EC2B68"/>
    <w:rsid w:val="00EC398A"/>
    <w:rsid w:val="00EC3AEF"/>
    <w:rsid w:val="00EC3BEF"/>
    <w:rsid w:val="00EC3EEF"/>
    <w:rsid w:val="00EC3F90"/>
    <w:rsid w:val="00EC40EC"/>
    <w:rsid w:val="00EC429C"/>
    <w:rsid w:val="00EC4838"/>
    <w:rsid w:val="00EC4994"/>
    <w:rsid w:val="00EC4E24"/>
    <w:rsid w:val="00EC4E7E"/>
    <w:rsid w:val="00EC5146"/>
    <w:rsid w:val="00EC54C2"/>
    <w:rsid w:val="00EC594C"/>
    <w:rsid w:val="00EC5AE9"/>
    <w:rsid w:val="00EC5CD7"/>
    <w:rsid w:val="00EC603E"/>
    <w:rsid w:val="00EC63A2"/>
    <w:rsid w:val="00EC64D7"/>
    <w:rsid w:val="00EC6544"/>
    <w:rsid w:val="00EC6E13"/>
    <w:rsid w:val="00EC6F45"/>
    <w:rsid w:val="00EC6F4C"/>
    <w:rsid w:val="00EC73A0"/>
    <w:rsid w:val="00EC7B18"/>
    <w:rsid w:val="00EC7E3E"/>
    <w:rsid w:val="00ED0264"/>
    <w:rsid w:val="00ED0B51"/>
    <w:rsid w:val="00ED0C67"/>
    <w:rsid w:val="00ED0E48"/>
    <w:rsid w:val="00ED0F50"/>
    <w:rsid w:val="00ED102B"/>
    <w:rsid w:val="00ED1226"/>
    <w:rsid w:val="00ED1331"/>
    <w:rsid w:val="00ED1D89"/>
    <w:rsid w:val="00ED2097"/>
    <w:rsid w:val="00ED3847"/>
    <w:rsid w:val="00ED3A7E"/>
    <w:rsid w:val="00ED44B6"/>
    <w:rsid w:val="00ED4647"/>
    <w:rsid w:val="00ED62BC"/>
    <w:rsid w:val="00ED6301"/>
    <w:rsid w:val="00ED64A1"/>
    <w:rsid w:val="00ED6F7A"/>
    <w:rsid w:val="00ED7147"/>
    <w:rsid w:val="00ED740D"/>
    <w:rsid w:val="00ED7732"/>
    <w:rsid w:val="00ED781F"/>
    <w:rsid w:val="00ED7D68"/>
    <w:rsid w:val="00EE033E"/>
    <w:rsid w:val="00EE0ABE"/>
    <w:rsid w:val="00EE17A4"/>
    <w:rsid w:val="00EE1AF7"/>
    <w:rsid w:val="00EE1FF6"/>
    <w:rsid w:val="00EE269B"/>
    <w:rsid w:val="00EE2A82"/>
    <w:rsid w:val="00EE2D10"/>
    <w:rsid w:val="00EE3088"/>
    <w:rsid w:val="00EE30F5"/>
    <w:rsid w:val="00EE3400"/>
    <w:rsid w:val="00EE3940"/>
    <w:rsid w:val="00EE4A43"/>
    <w:rsid w:val="00EE52E9"/>
    <w:rsid w:val="00EE53B8"/>
    <w:rsid w:val="00EE57EF"/>
    <w:rsid w:val="00EE5C68"/>
    <w:rsid w:val="00EE5CC7"/>
    <w:rsid w:val="00EE5FB3"/>
    <w:rsid w:val="00EE69C6"/>
    <w:rsid w:val="00EE6AC5"/>
    <w:rsid w:val="00EE6EC2"/>
    <w:rsid w:val="00EE7205"/>
    <w:rsid w:val="00EE743D"/>
    <w:rsid w:val="00EE7ABC"/>
    <w:rsid w:val="00EE7F79"/>
    <w:rsid w:val="00EF0786"/>
    <w:rsid w:val="00EF0E7B"/>
    <w:rsid w:val="00EF1049"/>
    <w:rsid w:val="00EF1322"/>
    <w:rsid w:val="00EF15DB"/>
    <w:rsid w:val="00EF1AA8"/>
    <w:rsid w:val="00EF1F6A"/>
    <w:rsid w:val="00EF265A"/>
    <w:rsid w:val="00EF2C22"/>
    <w:rsid w:val="00EF3105"/>
    <w:rsid w:val="00EF317E"/>
    <w:rsid w:val="00EF35B8"/>
    <w:rsid w:val="00EF3CC2"/>
    <w:rsid w:val="00EF4256"/>
    <w:rsid w:val="00EF4558"/>
    <w:rsid w:val="00EF4FCB"/>
    <w:rsid w:val="00EF51F1"/>
    <w:rsid w:val="00EF52C9"/>
    <w:rsid w:val="00EF5362"/>
    <w:rsid w:val="00EF5796"/>
    <w:rsid w:val="00EF58FD"/>
    <w:rsid w:val="00EF5B67"/>
    <w:rsid w:val="00EF5CD3"/>
    <w:rsid w:val="00EF5FB9"/>
    <w:rsid w:val="00EF6085"/>
    <w:rsid w:val="00EF6790"/>
    <w:rsid w:val="00EF6A88"/>
    <w:rsid w:val="00EF6B35"/>
    <w:rsid w:val="00EF70BF"/>
    <w:rsid w:val="00EF7112"/>
    <w:rsid w:val="00EF715A"/>
    <w:rsid w:val="00EF7302"/>
    <w:rsid w:val="00EF77AF"/>
    <w:rsid w:val="00EF77CE"/>
    <w:rsid w:val="00EF7B19"/>
    <w:rsid w:val="00EF7E22"/>
    <w:rsid w:val="00EF7FB0"/>
    <w:rsid w:val="00F00382"/>
    <w:rsid w:val="00F00518"/>
    <w:rsid w:val="00F0065A"/>
    <w:rsid w:val="00F00E07"/>
    <w:rsid w:val="00F0118A"/>
    <w:rsid w:val="00F0127B"/>
    <w:rsid w:val="00F01C85"/>
    <w:rsid w:val="00F028F6"/>
    <w:rsid w:val="00F03764"/>
    <w:rsid w:val="00F03A59"/>
    <w:rsid w:val="00F03DE4"/>
    <w:rsid w:val="00F03E22"/>
    <w:rsid w:val="00F049A7"/>
    <w:rsid w:val="00F04EC3"/>
    <w:rsid w:val="00F0596E"/>
    <w:rsid w:val="00F05C04"/>
    <w:rsid w:val="00F060EC"/>
    <w:rsid w:val="00F0615B"/>
    <w:rsid w:val="00F06578"/>
    <w:rsid w:val="00F0675D"/>
    <w:rsid w:val="00F06E14"/>
    <w:rsid w:val="00F07981"/>
    <w:rsid w:val="00F07CE8"/>
    <w:rsid w:val="00F10DE7"/>
    <w:rsid w:val="00F11128"/>
    <w:rsid w:val="00F1182A"/>
    <w:rsid w:val="00F11945"/>
    <w:rsid w:val="00F11D1A"/>
    <w:rsid w:val="00F1248A"/>
    <w:rsid w:val="00F12B45"/>
    <w:rsid w:val="00F1326A"/>
    <w:rsid w:val="00F13464"/>
    <w:rsid w:val="00F139BE"/>
    <w:rsid w:val="00F1425E"/>
    <w:rsid w:val="00F14268"/>
    <w:rsid w:val="00F148A8"/>
    <w:rsid w:val="00F14B92"/>
    <w:rsid w:val="00F1636D"/>
    <w:rsid w:val="00F16370"/>
    <w:rsid w:val="00F16923"/>
    <w:rsid w:val="00F17571"/>
    <w:rsid w:val="00F179D4"/>
    <w:rsid w:val="00F17C25"/>
    <w:rsid w:val="00F17C82"/>
    <w:rsid w:val="00F17D0D"/>
    <w:rsid w:val="00F201F5"/>
    <w:rsid w:val="00F20737"/>
    <w:rsid w:val="00F2073B"/>
    <w:rsid w:val="00F212A5"/>
    <w:rsid w:val="00F212CE"/>
    <w:rsid w:val="00F21943"/>
    <w:rsid w:val="00F21CB1"/>
    <w:rsid w:val="00F21FFB"/>
    <w:rsid w:val="00F229ED"/>
    <w:rsid w:val="00F22A23"/>
    <w:rsid w:val="00F22FAB"/>
    <w:rsid w:val="00F236B5"/>
    <w:rsid w:val="00F2396F"/>
    <w:rsid w:val="00F23E2F"/>
    <w:rsid w:val="00F23E3E"/>
    <w:rsid w:val="00F240B2"/>
    <w:rsid w:val="00F244DD"/>
    <w:rsid w:val="00F24656"/>
    <w:rsid w:val="00F256F2"/>
    <w:rsid w:val="00F25A32"/>
    <w:rsid w:val="00F25C2A"/>
    <w:rsid w:val="00F265CE"/>
    <w:rsid w:val="00F268D3"/>
    <w:rsid w:val="00F26AAB"/>
    <w:rsid w:val="00F26D71"/>
    <w:rsid w:val="00F27333"/>
    <w:rsid w:val="00F27E18"/>
    <w:rsid w:val="00F27FBB"/>
    <w:rsid w:val="00F3000D"/>
    <w:rsid w:val="00F30CA9"/>
    <w:rsid w:val="00F30CB4"/>
    <w:rsid w:val="00F31CDB"/>
    <w:rsid w:val="00F31DBC"/>
    <w:rsid w:val="00F323E7"/>
    <w:rsid w:val="00F327C8"/>
    <w:rsid w:val="00F329F9"/>
    <w:rsid w:val="00F32A7E"/>
    <w:rsid w:val="00F32CBB"/>
    <w:rsid w:val="00F32D2F"/>
    <w:rsid w:val="00F32E6D"/>
    <w:rsid w:val="00F32F8E"/>
    <w:rsid w:val="00F3320A"/>
    <w:rsid w:val="00F33269"/>
    <w:rsid w:val="00F33556"/>
    <w:rsid w:val="00F336E8"/>
    <w:rsid w:val="00F33C56"/>
    <w:rsid w:val="00F34771"/>
    <w:rsid w:val="00F347C7"/>
    <w:rsid w:val="00F347DB"/>
    <w:rsid w:val="00F34848"/>
    <w:rsid w:val="00F348DF"/>
    <w:rsid w:val="00F34985"/>
    <w:rsid w:val="00F34A8E"/>
    <w:rsid w:val="00F34D71"/>
    <w:rsid w:val="00F3517B"/>
    <w:rsid w:val="00F35254"/>
    <w:rsid w:val="00F3538E"/>
    <w:rsid w:val="00F35BF9"/>
    <w:rsid w:val="00F3647B"/>
    <w:rsid w:val="00F36922"/>
    <w:rsid w:val="00F3711B"/>
    <w:rsid w:val="00F37A04"/>
    <w:rsid w:val="00F37A4E"/>
    <w:rsid w:val="00F4026B"/>
    <w:rsid w:val="00F40494"/>
    <w:rsid w:val="00F40A29"/>
    <w:rsid w:val="00F40BEA"/>
    <w:rsid w:val="00F4165F"/>
    <w:rsid w:val="00F41725"/>
    <w:rsid w:val="00F4187E"/>
    <w:rsid w:val="00F418A3"/>
    <w:rsid w:val="00F418A5"/>
    <w:rsid w:val="00F41C61"/>
    <w:rsid w:val="00F41CD0"/>
    <w:rsid w:val="00F41E23"/>
    <w:rsid w:val="00F41E4D"/>
    <w:rsid w:val="00F42BED"/>
    <w:rsid w:val="00F42D46"/>
    <w:rsid w:val="00F42E04"/>
    <w:rsid w:val="00F430C2"/>
    <w:rsid w:val="00F43935"/>
    <w:rsid w:val="00F43B64"/>
    <w:rsid w:val="00F442C9"/>
    <w:rsid w:val="00F4496C"/>
    <w:rsid w:val="00F44F3A"/>
    <w:rsid w:val="00F4505C"/>
    <w:rsid w:val="00F45892"/>
    <w:rsid w:val="00F45899"/>
    <w:rsid w:val="00F4606B"/>
    <w:rsid w:val="00F46295"/>
    <w:rsid w:val="00F46327"/>
    <w:rsid w:val="00F4659C"/>
    <w:rsid w:val="00F46676"/>
    <w:rsid w:val="00F46AA0"/>
    <w:rsid w:val="00F46C38"/>
    <w:rsid w:val="00F47CC7"/>
    <w:rsid w:val="00F47D18"/>
    <w:rsid w:val="00F47D6C"/>
    <w:rsid w:val="00F50237"/>
    <w:rsid w:val="00F50456"/>
    <w:rsid w:val="00F50D93"/>
    <w:rsid w:val="00F50E9F"/>
    <w:rsid w:val="00F51A57"/>
    <w:rsid w:val="00F51D8C"/>
    <w:rsid w:val="00F51F10"/>
    <w:rsid w:val="00F51F6A"/>
    <w:rsid w:val="00F51F89"/>
    <w:rsid w:val="00F5224A"/>
    <w:rsid w:val="00F5258D"/>
    <w:rsid w:val="00F529A5"/>
    <w:rsid w:val="00F52AE9"/>
    <w:rsid w:val="00F52E17"/>
    <w:rsid w:val="00F52FB7"/>
    <w:rsid w:val="00F5310D"/>
    <w:rsid w:val="00F53262"/>
    <w:rsid w:val="00F5346B"/>
    <w:rsid w:val="00F53BE5"/>
    <w:rsid w:val="00F54A2B"/>
    <w:rsid w:val="00F54B23"/>
    <w:rsid w:val="00F54C57"/>
    <w:rsid w:val="00F54D10"/>
    <w:rsid w:val="00F54D99"/>
    <w:rsid w:val="00F55249"/>
    <w:rsid w:val="00F5573A"/>
    <w:rsid w:val="00F55A64"/>
    <w:rsid w:val="00F56B64"/>
    <w:rsid w:val="00F5703D"/>
    <w:rsid w:val="00F57068"/>
    <w:rsid w:val="00F5740F"/>
    <w:rsid w:val="00F57579"/>
    <w:rsid w:val="00F575F2"/>
    <w:rsid w:val="00F57995"/>
    <w:rsid w:val="00F6015D"/>
    <w:rsid w:val="00F609FF"/>
    <w:rsid w:val="00F60ECA"/>
    <w:rsid w:val="00F60F00"/>
    <w:rsid w:val="00F614C0"/>
    <w:rsid w:val="00F61527"/>
    <w:rsid w:val="00F61610"/>
    <w:rsid w:val="00F61782"/>
    <w:rsid w:val="00F61F33"/>
    <w:rsid w:val="00F6207F"/>
    <w:rsid w:val="00F6208D"/>
    <w:rsid w:val="00F62145"/>
    <w:rsid w:val="00F62E4E"/>
    <w:rsid w:val="00F63224"/>
    <w:rsid w:val="00F634A6"/>
    <w:rsid w:val="00F63B17"/>
    <w:rsid w:val="00F657D6"/>
    <w:rsid w:val="00F65B33"/>
    <w:rsid w:val="00F65DE0"/>
    <w:rsid w:val="00F65ED7"/>
    <w:rsid w:val="00F6604E"/>
    <w:rsid w:val="00F66562"/>
    <w:rsid w:val="00F66827"/>
    <w:rsid w:val="00F66AE1"/>
    <w:rsid w:val="00F6733A"/>
    <w:rsid w:val="00F67439"/>
    <w:rsid w:val="00F674A3"/>
    <w:rsid w:val="00F6753C"/>
    <w:rsid w:val="00F67B6C"/>
    <w:rsid w:val="00F67C28"/>
    <w:rsid w:val="00F67EA0"/>
    <w:rsid w:val="00F7047C"/>
    <w:rsid w:val="00F70C8D"/>
    <w:rsid w:val="00F70DD9"/>
    <w:rsid w:val="00F712A0"/>
    <w:rsid w:val="00F71692"/>
    <w:rsid w:val="00F7258C"/>
    <w:rsid w:val="00F7263A"/>
    <w:rsid w:val="00F737E8"/>
    <w:rsid w:val="00F73988"/>
    <w:rsid w:val="00F74F4D"/>
    <w:rsid w:val="00F752AD"/>
    <w:rsid w:val="00F753B2"/>
    <w:rsid w:val="00F75970"/>
    <w:rsid w:val="00F765DE"/>
    <w:rsid w:val="00F766F3"/>
    <w:rsid w:val="00F76769"/>
    <w:rsid w:val="00F76CE2"/>
    <w:rsid w:val="00F76DF2"/>
    <w:rsid w:val="00F771D2"/>
    <w:rsid w:val="00F772CD"/>
    <w:rsid w:val="00F777C7"/>
    <w:rsid w:val="00F77A8E"/>
    <w:rsid w:val="00F8005B"/>
    <w:rsid w:val="00F80703"/>
    <w:rsid w:val="00F80AE2"/>
    <w:rsid w:val="00F81507"/>
    <w:rsid w:val="00F815C0"/>
    <w:rsid w:val="00F81AB0"/>
    <w:rsid w:val="00F8210A"/>
    <w:rsid w:val="00F8270E"/>
    <w:rsid w:val="00F8271F"/>
    <w:rsid w:val="00F828FF"/>
    <w:rsid w:val="00F82CB7"/>
    <w:rsid w:val="00F82F1E"/>
    <w:rsid w:val="00F83848"/>
    <w:rsid w:val="00F83998"/>
    <w:rsid w:val="00F839DE"/>
    <w:rsid w:val="00F83A03"/>
    <w:rsid w:val="00F83C09"/>
    <w:rsid w:val="00F83DCA"/>
    <w:rsid w:val="00F83EED"/>
    <w:rsid w:val="00F84563"/>
    <w:rsid w:val="00F84AD2"/>
    <w:rsid w:val="00F84B0B"/>
    <w:rsid w:val="00F85680"/>
    <w:rsid w:val="00F864E4"/>
    <w:rsid w:val="00F86573"/>
    <w:rsid w:val="00F865B9"/>
    <w:rsid w:val="00F86871"/>
    <w:rsid w:val="00F86970"/>
    <w:rsid w:val="00F86B1D"/>
    <w:rsid w:val="00F86D54"/>
    <w:rsid w:val="00F87336"/>
    <w:rsid w:val="00F87640"/>
    <w:rsid w:val="00F8785B"/>
    <w:rsid w:val="00F87AED"/>
    <w:rsid w:val="00F90784"/>
    <w:rsid w:val="00F9104B"/>
    <w:rsid w:val="00F91155"/>
    <w:rsid w:val="00F911D7"/>
    <w:rsid w:val="00F91422"/>
    <w:rsid w:val="00F916A4"/>
    <w:rsid w:val="00F91940"/>
    <w:rsid w:val="00F91EBC"/>
    <w:rsid w:val="00F928CC"/>
    <w:rsid w:val="00F92B36"/>
    <w:rsid w:val="00F935A9"/>
    <w:rsid w:val="00F937A8"/>
    <w:rsid w:val="00F93B2F"/>
    <w:rsid w:val="00F93DFD"/>
    <w:rsid w:val="00F94B9B"/>
    <w:rsid w:val="00F94F07"/>
    <w:rsid w:val="00F95090"/>
    <w:rsid w:val="00F95F10"/>
    <w:rsid w:val="00F96390"/>
    <w:rsid w:val="00F96F22"/>
    <w:rsid w:val="00F97311"/>
    <w:rsid w:val="00F975E9"/>
    <w:rsid w:val="00F977AF"/>
    <w:rsid w:val="00F97822"/>
    <w:rsid w:val="00F97E4C"/>
    <w:rsid w:val="00FA03D6"/>
    <w:rsid w:val="00FA079C"/>
    <w:rsid w:val="00FA0BDB"/>
    <w:rsid w:val="00FA0D88"/>
    <w:rsid w:val="00FA1B7D"/>
    <w:rsid w:val="00FA1F63"/>
    <w:rsid w:val="00FA2153"/>
    <w:rsid w:val="00FA2664"/>
    <w:rsid w:val="00FA2845"/>
    <w:rsid w:val="00FA2862"/>
    <w:rsid w:val="00FA321B"/>
    <w:rsid w:val="00FA32EC"/>
    <w:rsid w:val="00FA3AF5"/>
    <w:rsid w:val="00FA3B65"/>
    <w:rsid w:val="00FA3C94"/>
    <w:rsid w:val="00FA40C1"/>
    <w:rsid w:val="00FA40FE"/>
    <w:rsid w:val="00FA4758"/>
    <w:rsid w:val="00FA61CF"/>
    <w:rsid w:val="00FA6B54"/>
    <w:rsid w:val="00FA6B68"/>
    <w:rsid w:val="00FA7A83"/>
    <w:rsid w:val="00FB006F"/>
    <w:rsid w:val="00FB00E5"/>
    <w:rsid w:val="00FB016A"/>
    <w:rsid w:val="00FB0DB9"/>
    <w:rsid w:val="00FB0DEF"/>
    <w:rsid w:val="00FB0E80"/>
    <w:rsid w:val="00FB17BF"/>
    <w:rsid w:val="00FB189E"/>
    <w:rsid w:val="00FB2F3E"/>
    <w:rsid w:val="00FB3A5B"/>
    <w:rsid w:val="00FB3A6F"/>
    <w:rsid w:val="00FB3C87"/>
    <w:rsid w:val="00FB3EA3"/>
    <w:rsid w:val="00FB40C3"/>
    <w:rsid w:val="00FB4304"/>
    <w:rsid w:val="00FB4385"/>
    <w:rsid w:val="00FB518A"/>
    <w:rsid w:val="00FB51C0"/>
    <w:rsid w:val="00FB699D"/>
    <w:rsid w:val="00FB6A2F"/>
    <w:rsid w:val="00FB6CBC"/>
    <w:rsid w:val="00FB73C5"/>
    <w:rsid w:val="00FB7EC7"/>
    <w:rsid w:val="00FC03E8"/>
    <w:rsid w:val="00FC07B9"/>
    <w:rsid w:val="00FC0860"/>
    <w:rsid w:val="00FC08FD"/>
    <w:rsid w:val="00FC121C"/>
    <w:rsid w:val="00FC1D44"/>
    <w:rsid w:val="00FC20D4"/>
    <w:rsid w:val="00FC2931"/>
    <w:rsid w:val="00FC328A"/>
    <w:rsid w:val="00FC338F"/>
    <w:rsid w:val="00FC3CB6"/>
    <w:rsid w:val="00FC3E45"/>
    <w:rsid w:val="00FC3FCD"/>
    <w:rsid w:val="00FC4226"/>
    <w:rsid w:val="00FC443F"/>
    <w:rsid w:val="00FC4581"/>
    <w:rsid w:val="00FC476E"/>
    <w:rsid w:val="00FC4D8D"/>
    <w:rsid w:val="00FC4E21"/>
    <w:rsid w:val="00FC540F"/>
    <w:rsid w:val="00FC5464"/>
    <w:rsid w:val="00FC5773"/>
    <w:rsid w:val="00FC5F6D"/>
    <w:rsid w:val="00FC688F"/>
    <w:rsid w:val="00FC71BA"/>
    <w:rsid w:val="00FC7BD2"/>
    <w:rsid w:val="00FC7D25"/>
    <w:rsid w:val="00FD0107"/>
    <w:rsid w:val="00FD0B09"/>
    <w:rsid w:val="00FD14E8"/>
    <w:rsid w:val="00FD167B"/>
    <w:rsid w:val="00FD1D61"/>
    <w:rsid w:val="00FD1EFC"/>
    <w:rsid w:val="00FD211E"/>
    <w:rsid w:val="00FD2797"/>
    <w:rsid w:val="00FD2C2F"/>
    <w:rsid w:val="00FD2C88"/>
    <w:rsid w:val="00FD2DBA"/>
    <w:rsid w:val="00FD3A83"/>
    <w:rsid w:val="00FD3AAD"/>
    <w:rsid w:val="00FD3B31"/>
    <w:rsid w:val="00FD3EA2"/>
    <w:rsid w:val="00FD4126"/>
    <w:rsid w:val="00FD4593"/>
    <w:rsid w:val="00FD54D6"/>
    <w:rsid w:val="00FD564B"/>
    <w:rsid w:val="00FD58BD"/>
    <w:rsid w:val="00FD5BF2"/>
    <w:rsid w:val="00FD66A9"/>
    <w:rsid w:val="00FD67F6"/>
    <w:rsid w:val="00FD6A85"/>
    <w:rsid w:val="00FD7148"/>
    <w:rsid w:val="00FD7975"/>
    <w:rsid w:val="00FD7A7D"/>
    <w:rsid w:val="00FD7AC3"/>
    <w:rsid w:val="00FD7C9A"/>
    <w:rsid w:val="00FE0150"/>
    <w:rsid w:val="00FE0165"/>
    <w:rsid w:val="00FE02F1"/>
    <w:rsid w:val="00FE0500"/>
    <w:rsid w:val="00FE06F1"/>
    <w:rsid w:val="00FE1143"/>
    <w:rsid w:val="00FE1823"/>
    <w:rsid w:val="00FE1DF5"/>
    <w:rsid w:val="00FE2091"/>
    <w:rsid w:val="00FE22A7"/>
    <w:rsid w:val="00FE2490"/>
    <w:rsid w:val="00FE24F1"/>
    <w:rsid w:val="00FE2A2F"/>
    <w:rsid w:val="00FE2AAE"/>
    <w:rsid w:val="00FE2E96"/>
    <w:rsid w:val="00FE369B"/>
    <w:rsid w:val="00FE395C"/>
    <w:rsid w:val="00FE3DFF"/>
    <w:rsid w:val="00FE3E78"/>
    <w:rsid w:val="00FE4661"/>
    <w:rsid w:val="00FE487A"/>
    <w:rsid w:val="00FE48C7"/>
    <w:rsid w:val="00FE4E39"/>
    <w:rsid w:val="00FE4EC1"/>
    <w:rsid w:val="00FE5132"/>
    <w:rsid w:val="00FE5C2F"/>
    <w:rsid w:val="00FE5F74"/>
    <w:rsid w:val="00FE6337"/>
    <w:rsid w:val="00FE66D9"/>
    <w:rsid w:val="00FE6A79"/>
    <w:rsid w:val="00FE6B22"/>
    <w:rsid w:val="00FE6F62"/>
    <w:rsid w:val="00FE7072"/>
    <w:rsid w:val="00FE71E0"/>
    <w:rsid w:val="00FE7D15"/>
    <w:rsid w:val="00FE7D18"/>
    <w:rsid w:val="00FF01B1"/>
    <w:rsid w:val="00FF0569"/>
    <w:rsid w:val="00FF08EC"/>
    <w:rsid w:val="00FF0E44"/>
    <w:rsid w:val="00FF1004"/>
    <w:rsid w:val="00FF1219"/>
    <w:rsid w:val="00FF17C3"/>
    <w:rsid w:val="00FF188E"/>
    <w:rsid w:val="00FF1AF8"/>
    <w:rsid w:val="00FF206E"/>
    <w:rsid w:val="00FF28B5"/>
    <w:rsid w:val="00FF2EA4"/>
    <w:rsid w:val="00FF34BF"/>
    <w:rsid w:val="00FF34F6"/>
    <w:rsid w:val="00FF36E3"/>
    <w:rsid w:val="00FF373B"/>
    <w:rsid w:val="00FF3AF5"/>
    <w:rsid w:val="00FF3B54"/>
    <w:rsid w:val="00FF3C69"/>
    <w:rsid w:val="00FF3D79"/>
    <w:rsid w:val="00FF3E79"/>
    <w:rsid w:val="00FF4B57"/>
    <w:rsid w:val="00FF59C9"/>
    <w:rsid w:val="00FF5A32"/>
    <w:rsid w:val="00FF5C4C"/>
    <w:rsid w:val="00FF64CA"/>
    <w:rsid w:val="00FF6D31"/>
    <w:rsid w:val="00FF6E0A"/>
    <w:rsid w:val="00FF6E0C"/>
    <w:rsid w:val="00FF7071"/>
    <w:rsid w:val="00FF7657"/>
    <w:rsid w:val="00FF7913"/>
    <w:rsid w:val="00FF7EBC"/>
    <w:rsid w:val="00FF7FA7"/>
    <w:rsid w:val="0D0A2F13"/>
    <w:rsid w:val="23AD57CA"/>
    <w:rsid w:val="504B14FA"/>
    <w:rsid w:val="58DACE57"/>
    <w:rsid w:val="7697FD89"/>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554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heading 4" w:uiPriority="3"/>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C34EF"/>
    <w:pPr>
      <w:spacing w:after="240" w:line="240" w:lineRule="atLeast"/>
    </w:pPr>
    <w:rPr>
      <w:rFonts w:ascii="Arial" w:hAnsi="Arial"/>
      <w:sz w:val="20"/>
    </w:rPr>
  </w:style>
  <w:style w:type="paragraph" w:styleId="Heading1">
    <w:name w:val="heading 1"/>
    <w:aliases w:val="RIS 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374186"/>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aliases w:val="List Bullet 1"/>
    <w:basedOn w:val="Normal"/>
    <w:link w:val="ListBulletChar"/>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Style 13,FR"/>
    <w:basedOn w:val="DefaultParagraphFont"/>
    <w:uiPriority w:val="99"/>
    <w:qFormat/>
    <w:rsid w:val="00566AB4"/>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qFormat/>
    <w:rsid w:val="00D61243"/>
    <w:pPr>
      <w:spacing w:after="0"/>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rsid w:val="00EE7F79"/>
    <w:rPr>
      <w:sz w:val="16"/>
      <w:szCs w:val="16"/>
    </w:rPr>
  </w:style>
  <w:style w:type="paragraph" w:styleId="CommentText">
    <w:name w:val="annotation text"/>
    <w:basedOn w:val="Normal"/>
    <w:link w:val="CommentTextChar"/>
    <w:uiPriority w:val="99"/>
    <w:qFormat/>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aliases w:val="RIS 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374186"/>
    <w:rPr>
      <w:rFonts w:ascii="Arial" w:hAnsi="Arial" w:cs="Arial"/>
      <w:b/>
      <w:bCs/>
      <w:iCs/>
      <w:sz w:val="28"/>
      <w:szCs w:val="28"/>
    </w:rPr>
  </w:style>
  <w:style w:type="character" w:styleId="UnresolvedMention">
    <w:name w:val="Unresolved Mention"/>
    <w:basedOn w:val="DefaultParagraphFont"/>
    <w:uiPriority w:val="99"/>
    <w:unhideWhenUsed/>
    <w:rsid w:val="006B52DE"/>
    <w:rPr>
      <w:color w:val="605E5C"/>
      <w:shd w:val="clear" w:color="auto" w:fill="E1DFDD"/>
    </w:rPr>
  </w:style>
  <w:style w:type="character" w:customStyle="1" w:styleId="Heading3Char">
    <w:name w:val="Heading 3 Char"/>
    <w:basedOn w:val="DefaultParagraphFont"/>
    <w:link w:val="Heading3"/>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ACMABulletLevel1">
    <w:name w:val="ACMA Bullet Level 1"/>
    <w:rsid w:val="005C34EF"/>
    <w:pPr>
      <w:numPr>
        <w:numId w:val="10"/>
      </w:numPr>
      <w:tabs>
        <w:tab w:val="num" w:pos="-31680"/>
      </w:tabs>
      <w:spacing w:after="120"/>
    </w:pPr>
    <w:rPr>
      <w:szCs w:val="20"/>
      <w:lang w:eastAsia="en-US"/>
    </w:rPr>
  </w:style>
  <w:style w:type="paragraph" w:customStyle="1" w:styleId="Protectivemarking">
    <w:name w:val="Protective marking"/>
    <w:basedOn w:val="ACMABulletLevel1"/>
    <w:uiPriority w:val="99"/>
    <w:qFormat/>
    <w:rsid w:val="005C34EF"/>
    <w:pPr>
      <w:numPr>
        <w:numId w:val="0"/>
      </w:numPr>
      <w:tabs>
        <w:tab w:val="left" w:pos="720"/>
      </w:tabs>
      <w:spacing w:after="0"/>
      <w:jc w:val="center"/>
    </w:pPr>
    <w:rPr>
      <w:rFonts w:ascii="Arial" w:hAnsi="Arial" w:cs="Arial"/>
      <w:b/>
      <w:bCs/>
      <w:color w:val="FF0000"/>
      <w:sz w:val="32"/>
      <w:szCs w:val="24"/>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qFormat/>
    <w:rsid w:val="007B0932"/>
    <w:rPr>
      <w:rFonts w:ascii="Arial" w:hAnsi="Arial"/>
      <w:sz w:val="16"/>
      <w:szCs w:val="16"/>
    </w:rPr>
  </w:style>
  <w:style w:type="character" w:customStyle="1" w:styleId="ListBulletChar">
    <w:name w:val="List Bullet Char"/>
    <w:aliases w:val="List Bullet 1 Char"/>
    <w:basedOn w:val="DefaultParagraphFont"/>
    <w:link w:val="ListBullet"/>
    <w:rsid w:val="000C0D21"/>
    <w:rPr>
      <w:rFonts w:ascii="Arial" w:hAnsi="Arial"/>
      <w:sz w:val="20"/>
    </w:rPr>
  </w:style>
  <w:style w:type="paragraph" w:customStyle="1" w:styleId="ACMASpaceaftertable">
    <w:name w:val="ACMA_Space after table"/>
    <w:basedOn w:val="Normal"/>
    <w:qFormat/>
    <w:rsid w:val="000C0D21"/>
    <w:rPr>
      <w:rFonts w:cs="Arial"/>
    </w:rPr>
  </w:style>
  <w:style w:type="paragraph" w:customStyle="1" w:styleId="TableHeading0">
    <w:name w:val="Table Heading"/>
    <w:basedOn w:val="Normal"/>
    <w:qFormat/>
    <w:rsid w:val="000C0D21"/>
    <w:pPr>
      <w:spacing w:after="0"/>
    </w:pPr>
    <w:rPr>
      <w:b/>
    </w:rPr>
  </w:style>
  <w:style w:type="paragraph" w:styleId="ListParagraph">
    <w:name w:val="List Paragraph"/>
    <w:aliases w:val="List Paragraph1,Recommendation"/>
    <w:basedOn w:val="Normal"/>
    <w:link w:val="ListParagraphChar"/>
    <w:uiPriority w:val="34"/>
    <w:qFormat/>
    <w:rsid w:val="00C3099F"/>
    <w:pPr>
      <w:ind w:left="720"/>
      <w:contextualSpacing/>
    </w:pPr>
  </w:style>
  <w:style w:type="paragraph" w:customStyle="1" w:styleId="ACMABodyText">
    <w:name w:val="ACMA Body Text"/>
    <w:link w:val="ACMABodyTextChar"/>
    <w:rsid w:val="003B25A6"/>
    <w:pPr>
      <w:suppressAutoHyphens/>
      <w:spacing w:before="80" w:after="120" w:line="280" w:lineRule="atLeast"/>
    </w:pPr>
    <w:rPr>
      <w:snapToGrid w:val="0"/>
      <w:szCs w:val="20"/>
      <w:lang w:eastAsia="en-US"/>
    </w:rPr>
  </w:style>
  <w:style w:type="character" w:customStyle="1" w:styleId="ACMABodyTextChar">
    <w:name w:val="ACMA Body Text Char"/>
    <w:basedOn w:val="DefaultParagraphFont"/>
    <w:link w:val="ACMABodyText"/>
    <w:locked/>
    <w:rsid w:val="003B25A6"/>
    <w:rPr>
      <w:snapToGrid w:val="0"/>
      <w:szCs w:val="20"/>
      <w:lang w:eastAsia="en-US"/>
    </w:rPr>
  </w:style>
  <w:style w:type="paragraph" w:customStyle="1" w:styleId="ACMANormalTabbed">
    <w:name w:val="ACMA_NormalTabbed"/>
    <w:basedOn w:val="Normal"/>
    <w:qFormat/>
    <w:rsid w:val="004A1C84"/>
    <w:pPr>
      <w:tabs>
        <w:tab w:val="left" w:pos="1134"/>
      </w:tabs>
    </w:pPr>
  </w:style>
  <w:style w:type="character" w:styleId="Mention">
    <w:name w:val="Mention"/>
    <w:basedOn w:val="DefaultParagraphFont"/>
    <w:uiPriority w:val="99"/>
    <w:unhideWhenUsed/>
    <w:rsid w:val="000A21D6"/>
    <w:rPr>
      <w:color w:val="2B579A"/>
      <w:shd w:val="clear" w:color="auto" w:fill="E1DFDD"/>
    </w:rPr>
  </w:style>
  <w:style w:type="paragraph" w:styleId="Revision">
    <w:name w:val="Revision"/>
    <w:hidden/>
    <w:semiHidden/>
    <w:rsid w:val="00A62D1A"/>
    <w:rPr>
      <w:rFonts w:ascii="Arial" w:hAnsi="Arial"/>
      <w:sz w:val="20"/>
    </w:rPr>
  </w:style>
  <w:style w:type="character" w:customStyle="1" w:styleId="ListParagraphChar">
    <w:name w:val="List Paragraph Char"/>
    <w:aliases w:val="List Paragraph1 Char,Recommendation Char"/>
    <w:basedOn w:val="DefaultParagraphFont"/>
    <w:link w:val="ListParagraph"/>
    <w:uiPriority w:val="34"/>
    <w:rsid w:val="00F1636D"/>
    <w:rPr>
      <w:rFonts w:ascii="Arial" w:hAnsi="Arial"/>
      <w:sz w:val="20"/>
    </w:rPr>
  </w:style>
  <w:style w:type="character" w:customStyle="1" w:styleId="normaltextrun">
    <w:name w:val="normaltextrun"/>
    <w:basedOn w:val="DefaultParagraphFont"/>
    <w:rsid w:val="00654CC2"/>
  </w:style>
  <w:style w:type="character" w:customStyle="1" w:styleId="eop">
    <w:name w:val="eop"/>
    <w:basedOn w:val="DefaultParagraphFont"/>
    <w:rsid w:val="00654CC2"/>
  </w:style>
  <w:style w:type="character" w:customStyle="1" w:styleId="scxw71022229">
    <w:name w:val="scxw71022229"/>
    <w:basedOn w:val="DefaultParagraphFont"/>
    <w:rsid w:val="00654CC2"/>
  </w:style>
  <w:style w:type="character" w:styleId="IntenseReference">
    <w:name w:val="Intense Reference"/>
    <w:basedOn w:val="DefaultParagraphFont"/>
    <w:rsid w:val="00B83B2B"/>
    <w:rPr>
      <w:b/>
      <w:bCs/>
      <w:smallCaps/>
      <w:color w:val="4F81BD" w:themeColor="accent1"/>
      <w:spacing w:val="5"/>
    </w:rPr>
  </w:style>
  <w:style w:type="paragraph" w:customStyle="1" w:styleId="Default">
    <w:name w:val="Default"/>
    <w:rsid w:val="00220DA2"/>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4616">
      <w:bodyDiv w:val="1"/>
      <w:marLeft w:val="0"/>
      <w:marRight w:val="0"/>
      <w:marTop w:val="0"/>
      <w:marBottom w:val="0"/>
      <w:divBdr>
        <w:top w:val="none" w:sz="0" w:space="0" w:color="auto"/>
        <w:left w:val="none" w:sz="0" w:space="0" w:color="auto"/>
        <w:bottom w:val="none" w:sz="0" w:space="0" w:color="auto"/>
        <w:right w:val="none" w:sz="0" w:space="0" w:color="auto"/>
      </w:divBdr>
    </w:div>
    <w:div w:id="94205910">
      <w:bodyDiv w:val="1"/>
      <w:marLeft w:val="0"/>
      <w:marRight w:val="0"/>
      <w:marTop w:val="0"/>
      <w:marBottom w:val="0"/>
      <w:divBdr>
        <w:top w:val="none" w:sz="0" w:space="0" w:color="auto"/>
        <w:left w:val="none" w:sz="0" w:space="0" w:color="auto"/>
        <w:bottom w:val="none" w:sz="0" w:space="0" w:color="auto"/>
        <w:right w:val="none" w:sz="0" w:space="0" w:color="auto"/>
      </w:divBdr>
    </w:div>
    <w:div w:id="99952149">
      <w:bodyDiv w:val="1"/>
      <w:marLeft w:val="0"/>
      <w:marRight w:val="0"/>
      <w:marTop w:val="0"/>
      <w:marBottom w:val="0"/>
      <w:divBdr>
        <w:top w:val="none" w:sz="0" w:space="0" w:color="auto"/>
        <w:left w:val="none" w:sz="0" w:space="0" w:color="auto"/>
        <w:bottom w:val="none" w:sz="0" w:space="0" w:color="auto"/>
        <w:right w:val="none" w:sz="0" w:space="0" w:color="auto"/>
      </w:divBdr>
    </w:div>
    <w:div w:id="208301560">
      <w:bodyDiv w:val="1"/>
      <w:marLeft w:val="0"/>
      <w:marRight w:val="0"/>
      <w:marTop w:val="0"/>
      <w:marBottom w:val="0"/>
      <w:divBdr>
        <w:top w:val="none" w:sz="0" w:space="0" w:color="auto"/>
        <w:left w:val="none" w:sz="0" w:space="0" w:color="auto"/>
        <w:bottom w:val="none" w:sz="0" w:space="0" w:color="auto"/>
        <w:right w:val="none" w:sz="0" w:space="0" w:color="auto"/>
      </w:divBdr>
    </w:div>
    <w:div w:id="248539335">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310989878">
      <w:bodyDiv w:val="1"/>
      <w:marLeft w:val="0"/>
      <w:marRight w:val="0"/>
      <w:marTop w:val="0"/>
      <w:marBottom w:val="0"/>
      <w:divBdr>
        <w:top w:val="none" w:sz="0" w:space="0" w:color="auto"/>
        <w:left w:val="none" w:sz="0" w:space="0" w:color="auto"/>
        <w:bottom w:val="none" w:sz="0" w:space="0" w:color="auto"/>
        <w:right w:val="none" w:sz="0" w:space="0" w:color="auto"/>
      </w:divBdr>
    </w:div>
    <w:div w:id="317423547">
      <w:bodyDiv w:val="1"/>
      <w:marLeft w:val="0"/>
      <w:marRight w:val="0"/>
      <w:marTop w:val="0"/>
      <w:marBottom w:val="0"/>
      <w:divBdr>
        <w:top w:val="none" w:sz="0" w:space="0" w:color="auto"/>
        <w:left w:val="none" w:sz="0" w:space="0" w:color="auto"/>
        <w:bottom w:val="none" w:sz="0" w:space="0" w:color="auto"/>
        <w:right w:val="none" w:sz="0" w:space="0" w:color="auto"/>
      </w:divBdr>
    </w:div>
    <w:div w:id="321785350">
      <w:bodyDiv w:val="1"/>
      <w:marLeft w:val="0"/>
      <w:marRight w:val="0"/>
      <w:marTop w:val="0"/>
      <w:marBottom w:val="0"/>
      <w:divBdr>
        <w:top w:val="none" w:sz="0" w:space="0" w:color="auto"/>
        <w:left w:val="none" w:sz="0" w:space="0" w:color="auto"/>
        <w:bottom w:val="none" w:sz="0" w:space="0" w:color="auto"/>
        <w:right w:val="none" w:sz="0" w:space="0" w:color="auto"/>
      </w:divBdr>
    </w:div>
    <w:div w:id="349449172">
      <w:bodyDiv w:val="1"/>
      <w:marLeft w:val="0"/>
      <w:marRight w:val="0"/>
      <w:marTop w:val="0"/>
      <w:marBottom w:val="0"/>
      <w:divBdr>
        <w:top w:val="none" w:sz="0" w:space="0" w:color="auto"/>
        <w:left w:val="none" w:sz="0" w:space="0" w:color="auto"/>
        <w:bottom w:val="none" w:sz="0" w:space="0" w:color="auto"/>
        <w:right w:val="none" w:sz="0" w:space="0" w:color="auto"/>
      </w:divBdr>
    </w:div>
    <w:div w:id="384569754">
      <w:bodyDiv w:val="1"/>
      <w:marLeft w:val="0"/>
      <w:marRight w:val="0"/>
      <w:marTop w:val="0"/>
      <w:marBottom w:val="0"/>
      <w:divBdr>
        <w:top w:val="none" w:sz="0" w:space="0" w:color="auto"/>
        <w:left w:val="none" w:sz="0" w:space="0" w:color="auto"/>
        <w:bottom w:val="none" w:sz="0" w:space="0" w:color="auto"/>
        <w:right w:val="none" w:sz="0" w:space="0" w:color="auto"/>
      </w:divBdr>
    </w:div>
    <w:div w:id="388303161">
      <w:bodyDiv w:val="1"/>
      <w:marLeft w:val="0"/>
      <w:marRight w:val="0"/>
      <w:marTop w:val="0"/>
      <w:marBottom w:val="0"/>
      <w:divBdr>
        <w:top w:val="none" w:sz="0" w:space="0" w:color="auto"/>
        <w:left w:val="none" w:sz="0" w:space="0" w:color="auto"/>
        <w:bottom w:val="none" w:sz="0" w:space="0" w:color="auto"/>
        <w:right w:val="none" w:sz="0" w:space="0" w:color="auto"/>
      </w:divBdr>
    </w:div>
    <w:div w:id="473525495">
      <w:bodyDiv w:val="1"/>
      <w:marLeft w:val="0"/>
      <w:marRight w:val="0"/>
      <w:marTop w:val="0"/>
      <w:marBottom w:val="0"/>
      <w:divBdr>
        <w:top w:val="none" w:sz="0" w:space="0" w:color="auto"/>
        <w:left w:val="none" w:sz="0" w:space="0" w:color="auto"/>
        <w:bottom w:val="none" w:sz="0" w:space="0" w:color="auto"/>
        <w:right w:val="none" w:sz="0" w:space="0" w:color="auto"/>
      </w:divBdr>
    </w:div>
    <w:div w:id="523717563">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12177071">
      <w:bodyDiv w:val="1"/>
      <w:marLeft w:val="0"/>
      <w:marRight w:val="0"/>
      <w:marTop w:val="0"/>
      <w:marBottom w:val="0"/>
      <w:divBdr>
        <w:top w:val="none" w:sz="0" w:space="0" w:color="auto"/>
        <w:left w:val="none" w:sz="0" w:space="0" w:color="auto"/>
        <w:bottom w:val="none" w:sz="0" w:space="0" w:color="auto"/>
        <w:right w:val="none" w:sz="0" w:space="0" w:color="auto"/>
      </w:divBdr>
    </w:div>
    <w:div w:id="616986441">
      <w:bodyDiv w:val="1"/>
      <w:marLeft w:val="0"/>
      <w:marRight w:val="0"/>
      <w:marTop w:val="0"/>
      <w:marBottom w:val="0"/>
      <w:divBdr>
        <w:top w:val="none" w:sz="0" w:space="0" w:color="auto"/>
        <w:left w:val="none" w:sz="0" w:space="0" w:color="auto"/>
        <w:bottom w:val="none" w:sz="0" w:space="0" w:color="auto"/>
        <w:right w:val="none" w:sz="0" w:space="0" w:color="auto"/>
      </w:divBdr>
    </w:div>
    <w:div w:id="668483812">
      <w:bodyDiv w:val="1"/>
      <w:marLeft w:val="0"/>
      <w:marRight w:val="0"/>
      <w:marTop w:val="0"/>
      <w:marBottom w:val="0"/>
      <w:divBdr>
        <w:top w:val="none" w:sz="0" w:space="0" w:color="auto"/>
        <w:left w:val="none" w:sz="0" w:space="0" w:color="auto"/>
        <w:bottom w:val="none" w:sz="0" w:space="0" w:color="auto"/>
        <w:right w:val="none" w:sz="0" w:space="0" w:color="auto"/>
      </w:divBdr>
    </w:div>
    <w:div w:id="690381377">
      <w:bodyDiv w:val="1"/>
      <w:marLeft w:val="0"/>
      <w:marRight w:val="0"/>
      <w:marTop w:val="0"/>
      <w:marBottom w:val="0"/>
      <w:divBdr>
        <w:top w:val="none" w:sz="0" w:space="0" w:color="auto"/>
        <w:left w:val="none" w:sz="0" w:space="0" w:color="auto"/>
        <w:bottom w:val="none" w:sz="0" w:space="0" w:color="auto"/>
        <w:right w:val="none" w:sz="0" w:space="0" w:color="auto"/>
      </w:divBdr>
    </w:div>
    <w:div w:id="738790694">
      <w:bodyDiv w:val="1"/>
      <w:marLeft w:val="0"/>
      <w:marRight w:val="0"/>
      <w:marTop w:val="0"/>
      <w:marBottom w:val="0"/>
      <w:divBdr>
        <w:top w:val="none" w:sz="0" w:space="0" w:color="auto"/>
        <w:left w:val="none" w:sz="0" w:space="0" w:color="auto"/>
        <w:bottom w:val="none" w:sz="0" w:space="0" w:color="auto"/>
        <w:right w:val="none" w:sz="0" w:space="0" w:color="auto"/>
      </w:divBdr>
    </w:div>
    <w:div w:id="847796888">
      <w:bodyDiv w:val="1"/>
      <w:marLeft w:val="0"/>
      <w:marRight w:val="0"/>
      <w:marTop w:val="0"/>
      <w:marBottom w:val="0"/>
      <w:divBdr>
        <w:top w:val="none" w:sz="0" w:space="0" w:color="auto"/>
        <w:left w:val="none" w:sz="0" w:space="0" w:color="auto"/>
        <w:bottom w:val="none" w:sz="0" w:space="0" w:color="auto"/>
        <w:right w:val="none" w:sz="0" w:space="0" w:color="auto"/>
      </w:divBdr>
    </w:div>
    <w:div w:id="856038643">
      <w:bodyDiv w:val="1"/>
      <w:marLeft w:val="0"/>
      <w:marRight w:val="0"/>
      <w:marTop w:val="0"/>
      <w:marBottom w:val="0"/>
      <w:divBdr>
        <w:top w:val="none" w:sz="0" w:space="0" w:color="auto"/>
        <w:left w:val="none" w:sz="0" w:space="0" w:color="auto"/>
        <w:bottom w:val="none" w:sz="0" w:space="0" w:color="auto"/>
        <w:right w:val="none" w:sz="0" w:space="0" w:color="auto"/>
      </w:divBdr>
    </w:div>
    <w:div w:id="883981787">
      <w:bodyDiv w:val="1"/>
      <w:marLeft w:val="0"/>
      <w:marRight w:val="0"/>
      <w:marTop w:val="0"/>
      <w:marBottom w:val="0"/>
      <w:divBdr>
        <w:top w:val="none" w:sz="0" w:space="0" w:color="auto"/>
        <w:left w:val="none" w:sz="0" w:space="0" w:color="auto"/>
        <w:bottom w:val="none" w:sz="0" w:space="0" w:color="auto"/>
        <w:right w:val="none" w:sz="0" w:space="0" w:color="auto"/>
      </w:divBdr>
    </w:div>
    <w:div w:id="939491167">
      <w:bodyDiv w:val="1"/>
      <w:marLeft w:val="0"/>
      <w:marRight w:val="0"/>
      <w:marTop w:val="0"/>
      <w:marBottom w:val="0"/>
      <w:divBdr>
        <w:top w:val="none" w:sz="0" w:space="0" w:color="auto"/>
        <w:left w:val="none" w:sz="0" w:space="0" w:color="auto"/>
        <w:bottom w:val="none" w:sz="0" w:space="0" w:color="auto"/>
        <w:right w:val="none" w:sz="0" w:space="0" w:color="auto"/>
      </w:divBdr>
    </w:div>
    <w:div w:id="1031372552">
      <w:bodyDiv w:val="1"/>
      <w:marLeft w:val="0"/>
      <w:marRight w:val="0"/>
      <w:marTop w:val="0"/>
      <w:marBottom w:val="0"/>
      <w:divBdr>
        <w:top w:val="none" w:sz="0" w:space="0" w:color="auto"/>
        <w:left w:val="none" w:sz="0" w:space="0" w:color="auto"/>
        <w:bottom w:val="none" w:sz="0" w:space="0" w:color="auto"/>
        <w:right w:val="none" w:sz="0" w:space="0" w:color="auto"/>
      </w:divBdr>
    </w:div>
    <w:div w:id="1059400285">
      <w:bodyDiv w:val="1"/>
      <w:marLeft w:val="0"/>
      <w:marRight w:val="0"/>
      <w:marTop w:val="0"/>
      <w:marBottom w:val="0"/>
      <w:divBdr>
        <w:top w:val="none" w:sz="0" w:space="0" w:color="auto"/>
        <w:left w:val="none" w:sz="0" w:space="0" w:color="auto"/>
        <w:bottom w:val="none" w:sz="0" w:space="0" w:color="auto"/>
        <w:right w:val="none" w:sz="0" w:space="0" w:color="auto"/>
      </w:divBdr>
    </w:div>
    <w:div w:id="1135367845">
      <w:bodyDiv w:val="1"/>
      <w:marLeft w:val="0"/>
      <w:marRight w:val="0"/>
      <w:marTop w:val="0"/>
      <w:marBottom w:val="0"/>
      <w:divBdr>
        <w:top w:val="none" w:sz="0" w:space="0" w:color="auto"/>
        <w:left w:val="none" w:sz="0" w:space="0" w:color="auto"/>
        <w:bottom w:val="none" w:sz="0" w:space="0" w:color="auto"/>
        <w:right w:val="none" w:sz="0" w:space="0" w:color="auto"/>
      </w:divBdr>
    </w:div>
    <w:div w:id="1298225167">
      <w:bodyDiv w:val="1"/>
      <w:marLeft w:val="0"/>
      <w:marRight w:val="0"/>
      <w:marTop w:val="0"/>
      <w:marBottom w:val="0"/>
      <w:divBdr>
        <w:top w:val="none" w:sz="0" w:space="0" w:color="auto"/>
        <w:left w:val="none" w:sz="0" w:space="0" w:color="auto"/>
        <w:bottom w:val="none" w:sz="0" w:space="0" w:color="auto"/>
        <w:right w:val="none" w:sz="0" w:space="0" w:color="auto"/>
      </w:divBdr>
    </w:div>
    <w:div w:id="1351877519">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83155244">
      <w:bodyDiv w:val="1"/>
      <w:marLeft w:val="0"/>
      <w:marRight w:val="0"/>
      <w:marTop w:val="0"/>
      <w:marBottom w:val="0"/>
      <w:divBdr>
        <w:top w:val="none" w:sz="0" w:space="0" w:color="auto"/>
        <w:left w:val="none" w:sz="0" w:space="0" w:color="auto"/>
        <w:bottom w:val="none" w:sz="0" w:space="0" w:color="auto"/>
        <w:right w:val="none" w:sz="0" w:space="0" w:color="auto"/>
      </w:divBdr>
    </w:div>
    <w:div w:id="1520316936">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653409346">
      <w:bodyDiv w:val="1"/>
      <w:marLeft w:val="0"/>
      <w:marRight w:val="0"/>
      <w:marTop w:val="0"/>
      <w:marBottom w:val="0"/>
      <w:divBdr>
        <w:top w:val="none" w:sz="0" w:space="0" w:color="auto"/>
        <w:left w:val="none" w:sz="0" w:space="0" w:color="auto"/>
        <w:bottom w:val="none" w:sz="0" w:space="0" w:color="auto"/>
        <w:right w:val="none" w:sz="0" w:space="0" w:color="auto"/>
      </w:divBdr>
    </w:div>
    <w:div w:id="1751536059">
      <w:bodyDiv w:val="1"/>
      <w:marLeft w:val="0"/>
      <w:marRight w:val="0"/>
      <w:marTop w:val="0"/>
      <w:marBottom w:val="0"/>
      <w:divBdr>
        <w:top w:val="none" w:sz="0" w:space="0" w:color="auto"/>
        <w:left w:val="none" w:sz="0" w:space="0" w:color="auto"/>
        <w:bottom w:val="none" w:sz="0" w:space="0" w:color="auto"/>
        <w:right w:val="none" w:sz="0" w:space="0" w:color="auto"/>
      </w:divBdr>
    </w:div>
    <w:div w:id="1799765144">
      <w:bodyDiv w:val="1"/>
      <w:marLeft w:val="0"/>
      <w:marRight w:val="0"/>
      <w:marTop w:val="0"/>
      <w:marBottom w:val="0"/>
      <w:divBdr>
        <w:top w:val="none" w:sz="0" w:space="0" w:color="auto"/>
        <w:left w:val="none" w:sz="0" w:space="0" w:color="auto"/>
        <w:bottom w:val="none" w:sz="0" w:space="0" w:color="auto"/>
        <w:right w:val="none" w:sz="0" w:space="0" w:color="auto"/>
      </w:divBdr>
    </w:div>
    <w:div w:id="188844485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074161771">
      <w:bodyDiv w:val="1"/>
      <w:marLeft w:val="0"/>
      <w:marRight w:val="0"/>
      <w:marTop w:val="0"/>
      <w:marBottom w:val="0"/>
      <w:divBdr>
        <w:top w:val="none" w:sz="0" w:space="0" w:color="auto"/>
        <w:left w:val="none" w:sz="0" w:space="0" w:color="auto"/>
        <w:bottom w:val="none" w:sz="0" w:space="0" w:color="auto"/>
        <w:right w:val="none" w:sz="0" w:space="0" w:color="auto"/>
      </w:divBdr>
    </w:div>
    <w:div w:id="210167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cma.gov.au/consultations/2021-11/exploring-future-use-19-ghz-band-consultation-402021" TargetMode="External"/><Relationship Id="rId21" Type="http://schemas.openxmlformats.org/officeDocument/2006/relationships/header" Target="header6.xml"/><Relationship Id="rId42" Type="http://schemas.openxmlformats.org/officeDocument/2006/relationships/hyperlink" Target="mailto:irs@acma.gov.au" TargetMode="External"/><Relationship Id="rId47" Type="http://schemas.openxmlformats.org/officeDocument/2006/relationships/hyperlink" Target="https://www.acma.gov.au/consultations/2021-11/exploring-future-use-19-ghz-band-consultation-402021" TargetMode="External"/><Relationship Id="rId63" Type="http://schemas.openxmlformats.org/officeDocument/2006/relationships/header" Target="header8.xml"/><Relationship Id="rId68" Type="http://schemas.openxmlformats.org/officeDocument/2006/relationships/hyperlink" Target="https://www.acma.gov.au/convert-hcis-area-description-placemark-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fo@acma.gov.au" TargetMode="External"/><Relationship Id="rId29" Type="http://schemas.openxmlformats.org/officeDocument/2006/relationships/hyperlink" Target="https://www.legislation.gov.au/Details/F2021C00645" TargetMode="Externa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yperlink" Target="https://www.acma.gov.au/consultations/2021-11/exploring-future-use-19-ghz-band-consultation-402021" TargetMode="External"/><Relationship Id="rId37" Type="http://schemas.openxmlformats.org/officeDocument/2006/relationships/hyperlink" Target="https://www.acma.gov.au/object-and-scope-radiocommunications-act-1992" TargetMode="External"/><Relationship Id="rId40" Type="http://schemas.openxmlformats.org/officeDocument/2006/relationships/hyperlink" Target="https://www.acma.gov.au/publications/2023-10/five-year-spectrum-outlook-2023-28" TargetMode="External"/><Relationship Id="rId45" Type="http://schemas.openxmlformats.org/officeDocument/2006/relationships/hyperlink" Target="https://www.mfa-tech.org/wp-content/uploads/MulteFire_Release-1.1_WhitePaper_03JAN.pdf" TargetMode="External"/><Relationship Id="rId53" Type="http://schemas.openxmlformats.org/officeDocument/2006/relationships/image" Target="media/image6.png"/><Relationship Id="rId58" Type="http://schemas.openxmlformats.org/officeDocument/2006/relationships/hyperlink" Target="https://www.acma.gov.au/five-year-spectrum-outlook" TargetMode="External"/><Relationship Id="rId66"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hyperlink" Target="https://www.acma.gov.au/consultations/2021-11/exploring-future-use-19-ghz-band-consultation-402021" TargetMode="External"/><Relationship Id="rId19" Type="http://schemas.openxmlformats.org/officeDocument/2006/relationships/footer" Target="footer3.xml"/><Relationship Id="rId14" Type="http://schemas.openxmlformats.org/officeDocument/2006/relationships/image" Target="media/image3.png"/><Relationship Id="rId22" Type="http://schemas.openxmlformats.org/officeDocument/2006/relationships/header" Target="header7.xml"/><Relationship Id="rId27" Type="http://schemas.openxmlformats.org/officeDocument/2006/relationships/hyperlink" Target="https://www.acma.gov.au/consultations/2021-11/exploring-future-use-19-ghz-band-consultation-402021" TargetMode="External"/><Relationship Id="rId30" Type="http://schemas.openxmlformats.org/officeDocument/2006/relationships/hyperlink" Target="https://www.acma.gov.au/publications/2019-11/rules/embargo-76" TargetMode="External"/><Relationship Id="rId35" Type="http://schemas.openxmlformats.org/officeDocument/2006/relationships/hyperlink" Target="https://www.acma.gov.au/fees-apparatus-licences" TargetMode="External"/><Relationship Id="rId43" Type="http://schemas.openxmlformats.org/officeDocument/2006/relationships/hyperlink" Target="mailto:wrc@communications.gov.au" TargetMode="External"/><Relationship Id="rId48" Type="http://schemas.openxmlformats.org/officeDocument/2006/relationships/hyperlink" Target="https://eur-lex.europa.eu/legal-content/EN/TXT/PDF/?uri=CELEX:32021D1730&amp;from=EN" TargetMode="External"/><Relationship Id="rId56" Type="http://schemas.openxmlformats.org/officeDocument/2006/relationships/hyperlink" Target="https://web.acma.gov.au/rrl/browse_licences.licence_list?pSV_ID=85&amp;pSS_ID=850" TargetMode="External"/><Relationship Id="rId64" Type="http://schemas.openxmlformats.org/officeDocument/2006/relationships/header" Target="header9.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yperlink" Target="https://www.acma.gov.au/consultations/2021-11/exploring-future-use-19-ghz-band-consultation-402021" TargetMode="External"/><Relationship Id="rId38" Type="http://schemas.openxmlformats.org/officeDocument/2006/relationships/hyperlink" Target="https://www.acma.gov.au/consultations/2021-11/exploring-future-use-19-ghz-band-consultation-402021" TargetMode="External"/><Relationship Id="rId46" Type="http://schemas.openxmlformats.org/officeDocument/2006/relationships/hyperlink" Target="https://www.acma.gov.au/consultations/2021-11/exploring-future-use-19-ghz-band-consultation-402021" TargetMode="External"/><Relationship Id="rId59" Type="http://schemas.openxmlformats.org/officeDocument/2006/relationships/hyperlink" Target="https://www.acma.gov.au/publications/2019-09/instruction/rali-fx3-microwave-fixed-services" TargetMode="External"/><Relationship Id="rId67" Type="http://schemas.openxmlformats.org/officeDocument/2006/relationships/hyperlink" Target="https://www.acma.gov.au/australian-spectrum-map-grid" TargetMode="External"/><Relationship Id="rId20" Type="http://schemas.openxmlformats.org/officeDocument/2006/relationships/footer" Target="footer4.xml"/><Relationship Id="rId41" Type="http://schemas.openxmlformats.org/officeDocument/2006/relationships/hyperlink" Target="https://www.acma.gov.au/international-radiocommunications-activities" TargetMode="External"/><Relationship Id="rId54" Type="http://schemas.openxmlformats.org/officeDocument/2006/relationships/hyperlink" Target="https://www.acma.gov.au/publications/2019-09/instruction/rali-fx19-frequency-coordination-and-licensing-procedures-point-multipoint-apparatus-licensed-services-1900-1920-mhz-band" TargetMode="External"/><Relationship Id="rId62" Type="http://schemas.openxmlformats.org/officeDocument/2006/relationships/hyperlink" Target="https://www.acma.gov.au/consultations/2021-11/exploring-future-use-19-ghz-band-consultation-402021"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reativecommons.org/licenses/by/4.0/" TargetMode="External"/><Relationship Id="rId23" Type="http://schemas.openxmlformats.org/officeDocument/2006/relationships/footer" Target="footer5.xml"/><Relationship Id="rId28" Type="http://schemas.openxmlformats.org/officeDocument/2006/relationships/hyperlink" Target="https://www.legislation.gov.au/Details/F2021L00617" TargetMode="External"/><Relationship Id="rId36" Type="http://schemas.openxmlformats.org/officeDocument/2006/relationships/hyperlink" Target="https://www.acma.gov.au/area-wide-apparatus-licence" TargetMode="External"/><Relationship Id="rId49" Type="http://schemas.openxmlformats.org/officeDocument/2006/relationships/hyperlink" Target="https://www.acma.gov.au/consultations/2021-11/exploring-future-use-19-ghz-band-consultation-402021" TargetMode="External"/><Relationship Id="rId57" Type="http://schemas.openxmlformats.org/officeDocument/2006/relationships/hyperlink" Target="https://www.acma.gov.au/expiring-spectrum-licences" TargetMode="External"/><Relationship Id="rId10" Type="http://schemas.openxmlformats.org/officeDocument/2006/relationships/footer" Target="footer1.xml"/><Relationship Id="rId31" Type="http://schemas.openxmlformats.org/officeDocument/2006/relationships/hyperlink" Target="https://www.acma.gov.au/five-year-spectrum-outlook" TargetMode="External"/><Relationship Id="rId44" Type="http://schemas.openxmlformats.org/officeDocument/2006/relationships/hyperlink" Target="https://www.acma.gov.au/consultations/2021-11/exploring-future-use-19-ghz-band-consultation-402021" TargetMode="External"/><Relationship Id="rId52" Type="http://schemas.openxmlformats.org/officeDocument/2006/relationships/hyperlink" Target="https://www.ofcom.org.uk/consultations-and-statements/category-1/future-use-of-the-unpaired-2100-MHz-spectrum" TargetMode="External"/><Relationship Id="rId60" Type="http://schemas.openxmlformats.org/officeDocument/2006/relationships/hyperlink" Target="https://www.acma.gov.au/publications/2019-09/instruction/rali-fx19-frequency-coordination-and-licensing-procedures-point-multipoint-apparatus-licensed-services-1900-1920-mhz-band" TargetMode="External"/><Relationship Id="rId65"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i.creativecommons.org/l/by/3.0/88x31.png" TargetMode="External"/><Relationship Id="rId18" Type="http://schemas.openxmlformats.org/officeDocument/2006/relationships/header" Target="header5.xml"/><Relationship Id="rId39" Type="http://schemas.openxmlformats.org/officeDocument/2006/relationships/hyperlink" Target="https://www.acma.gov.au/consultations/2021-11/exploring-future-use-19-ghz-band-consultation-402021" TargetMode="External"/><Relationship Id="rId34" Type="http://schemas.openxmlformats.org/officeDocument/2006/relationships/hyperlink" Target="https://www.legislation.gov.au/Details/C2019C00262" TargetMode="External"/><Relationship Id="rId50" Type="http://schemas.openxmlformats.org/officeDocument/2006/relationships/image" Target="media/image4.png"/><Relationship Id="rId55" Type="http://schemas.openxmlformats.org/officeDocument/2006/relationships/hyperlink" Target="https://www.acma.gov.au/publications/2019-09/instruction/rali-fx3-microwave-fixed-service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ma.gov.au/publications/2023-07/plan/corporate-plan-2023-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9A989-5C4A-4385-8AA8-9B897F0D87F0}">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38</Pages>
  <Words>11763</Words>
  <Characters>75996</Characters>
  <Application>Microsoft Office Word</Application>
  <DocSecurity>0</DocSecurity>
  <Lines>1461</Lines>
  <Paragraphs>731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2023-11-09T01:55:00Z</dcterms:created>
  <dcterms:modified xsi:type="dcterms:W3CDTF">2023-11-09T01:56:00Z</dcterms:modified>
  <cp:category/>
</cp:coreProperties>
</file>