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5FA459" w14:textId="3D028FEA" w:rsidR="00F06E14" w:rsidRPr="00A51D1A" w:rsidRDefault="00C816A6" w:rsidP="00A51D1A">
      <w:pPr>
        <w:pStyle w:val="Reporttitle"/>
      </w:pPr>
      <w:bookmarkStart w:id="0" w:name="_Hlk96942576"/>
      <w:r>
        <w:t>Propos</w:t>
      </w:r>
      <w:r w:rsidR="007A410A">
        <w:t xml:space="preserve">ed spectrum re-allocation declaration for </w:t>
      </w:r>
      <w:r w:rsidR="00402224">
        <w:t xml:space="preserve">the </w:t>
      </w:r>
      <w:r w:rsidR="00262136">
        <w:t xml:space="preserve">3.4 GHz and </w:t>
      </w:r>
      <w:r w:rsidR="00441543">
        <w:t>3.</w:t>
      </w:r>
      <w:r w:rsidR="004C4C2D">
        <w:t>7</w:t>
      </w:r>
      <w:r w:rsidR="00441543">
        <w:t xml:space="preserve"> GHz </w:t>
      </w:r>
      <w:r w:rsidR="00656F59">
        <w:t>band</w:t>
      </w:r>
      <w:r w:rsidR="00262136">
        <w:t>s</w:t>
      </w:r>
    </w:p>
    <w:bookmarkEnd w:id="0"/>
    <w:p w14:paraId="7630C7FD" w14:textId="789FEA88" w:rsidR="00F06E14" w:rsidRDefault="00770B3F" w:rsidP="00F06E14">
      <w:pPr>
        <w:pStyle w:val="Reportsubtitle"/>
      </w:pPr>
      <w:r>
        <w:t xml:space="preserve">Consultation </w:t>
      </w:r>
      <w:r w:rsidR="00AD0786">
        <w:t>paper</w:t>
      </w:r>
      <w:r w:rsidR="006C1956">
        <w:t xml:space="preserve"> </w:t>
      </w:r>
    </w:p>
    <w:p w14:paraId="0B517DF3" w14:textId="77777777" w:rsidR="00C97736" w:rsidRDefault="0014446C" w:rsidP="00EC2B68">
      <w:pPr>
        <w:pStyle w:val="Reportdate"/>
        <w:spacing w:after="720"/>
      </w:pPr>
      <w:r w:rsidRPr="00582F59">
        <w:t xml:space="preserve">March </w:t>
      </w:r>
      <w:r w:rsidR="00BD4421" w:rsidRPr="00582F59">
        <w:t>20</w:t>
      </w:r>
      <w:r w:rsidR="008E0428" w:rsidRPr="00582F59">
        <w:t>2</w:t>
      </w:r>
      <w:r w:rsidR="00CA2B06" w:rsidRPr="00582F59">
        <w:t>2</w:t>
      </w:r>
    </w:p>
    <w:p w14:paraId="4875370F" w14:textId="351816B7" w:rsidR="00B15FCD" w:rsidRPr="000D76E0" w:rsidRDefault="00C542D3" w:rsidP="00EC2B68">
      <w:pPr>
        <w:pStyle w:val="Reportdate"/>
        <w:spacing w:after="720"/>
        <w:rPr>
          <w:rFonts w:cs="Arial"/>
        </w:rPr>
        <w:sectPr w:rsidR="00B15FCD" w:rsidRPr="000D76E0" w:rsidSect="0021426C">
          <w:headerReference w:type="even" r:id="rId8"/>
          <w:headerReference w:type="default" r:id="rId9"/>
          <w:footerReference w:type="even" r:id="rId10"/>
          <w:footerReference w:type="default" r:id="rId11"/>
          <w:headerReference w:type="first" r:id="rId12"/>
          <w:pgSz w:w="11906" w:h="16838" w:code="9"/>
          <w:pgMar w:top="3924" w:right="992" w:bottom="1440" w:left="1134" w:header="709" w:footer="454" w:gutter="0"/>
          <w:cols w:space="708"/>
          <w:docGrid w:linePitch="360"/>
        </w:sectPr>
      </w:pPr>
      <w:r>
        <w:t xml:space="preserve">Updated </w:t>
      </w:r>
      <w:r w:rsidR="00066EEC">
        <w:t>4</w:t>
      </w:r>
      <w:r>
        <w:t xml:space="preserve"> </w:t>
      </w:r>
      <w:r w:rsidR="00CD5E35">
        <w:t>APRIL</w:t>
      </w:r>
      <w:r>
        <w:t xml:space="preserve"> 2022</w:t>
      </w:r>
      <w:r>
        <w:br/>
      </w:r>
      <w:r>
        <w:br/>
      </w:r>
      <w:r w:rsidR="00B15FCD">
        <w:t xml:space="preserve">Updated </w:t>
      </w:r>
      <w:r w:rsidR="00095EBC">
        <w:t xml:space="preserve">24 </w:t>
      </w:r>
      <w:r w:rsidR="00B15FCD">
        <w:t>March 2022</w:t>
      </w:r>
    </w:p>
    <w:p w14:paraId="53CE27EB" w14:textId="77777777" w:rsidR="0005011A" w:rsidRPr="00F44F3A" w:rsidRDefault="0005011A" w:rsidP="00FC07B9">
      <w:pPr>
        <w:pStyle w:val="ACMACorporateAddressHeader"/>
      </w:pPr>
      <w:r w:rsidRPr="00F44F3A">
        <w:lastRenderedPageBreak/>
        <w:t>Canberra</w:t>
      </w:r>
    </w:p>
    <w:p w14:paraId="26DE4AAC" w14:textId="77777777" w:rsidR="0005011A" w:rsidRPr="00FC07B9" w:rsidRDefault="0005011A" w:rsidP="00FC07B9">
      <w:pPr>
        <w:pStyle w:val="ACMACorporateAddresses"/>
      </w:pPr>
      <w:r w:rsidRPr="00FC07B9">
        <w:t xml:space="preserve">Red Building </w:t>
      </w:r>
      <w:r w:rsidRPr="00FC07B9">
        <w:br/>
        <w:t>Benjamin Offices</w:t>
      </w:r>
      <w:r w:rsidRPr="00FC07B9">
        <w:br/>
        <w:t xml:space="preserve">Chan Street </w:t>
      </w:r>
      <w:r w:rsidRPr="00FC07B9">
        <w:br/>
        <w:t>Belconnen ACT</w:t>
      </w:r>
    </w:p>
    <w:p w14:paraId="38E37C54" w14:textId="77777777" w:rsidR="0005011A" w:rsidRPr="00FC07B9" w:rsidRDefault="0005011A" w:rsidP="00FC07B9">
      <w:pPr>
        <w:pStyle w:val="ACMACorporateAddresses"/>
      </w:pPr>
      <w:r w:rsidRPr="00FC07B9">
        <w:t>PO Box 78</w:t>
      </w:r>
      <w:r w:rsidRPr="00FC07B9">
        <w:br/>
        <w:t>Belconnen ACT 2616</w:t>
      </w:r>
    </w:p>
    <w:p w14:paraId="0A25862D" w14:textId="77777777" w:rsidR="00FE1823" w:rsidRPr="00FC07B9" w:rsidRDefault="0005011A" w:rsidP="00FC07B9">
      <w:pPr>
        <w:pStyle w:val="ACMACorporateAddresses"/>
      </w:pPr>
      <w:r w:rsidRPr="00FC07B9">
        <w:t>T</w:t>
      </w:r>
      <w:r w:rsidR="00537604" w:rsidRPr="00FC07B9">
        <w:tab/>
      </w:r>
      <w:r w:rsidRPr="00FC07B9">
        <w:t>+61 2 6219 5555</w:t>
      </w:r>
      <w:r w:rsidRPr="00FC07B9">
        <w:br/>
        <w:t>F</w:t>
      </w:r>
      <w:r w:rsidR="00537604" w:rsidRPr="00FC07B9">
        <w:tab/>
      </w:r>
      <w:r w:rsidRPr="00FC07B9">
        <w:t>+61 2 6219 5353</w:t>
      </w:r>
    </w:p>
    <w:p w14:paraId="5C990FCA" w14:textId="77777777" w:rsidR="0005011A" w:rsidRPr="00F44F3A" w:rsidRDefault="0005011A" w:rsidP="00FC07B9">
      <w:pPr>
        <w:pStyle w:val="ACMACorporateAddressHeader"/>
      </w:pPr>
      <w:r w:rsidRPr="00F44F3A">
        <w:t>Melbourne</w:t>
      </w:r>
    </w:p>
    <w:p w14:paraId="76FF8EFF" w14:textId="77777777" w:rsidR="0005011A" w:rsidRPr="00F44F3A" w:rsidRDefault="0005011A" w:rsidP="00FC07B9">
      <w:pPr>
        <w:pStyle w:val="ACMACorporateAddresses"/>
      </w:pPr>
      <w:r w:rsidRPr="00F44F3A">
        <w:t xml:space="preserve">Level 32 </w:t>
      </w:r>
      <w:r w:rsidRPr="00F44F3A">
        <w:br/>
        <w:t>Melbourne Central Tower</w:t>
      </w:r>
      <w:r w:rsidRPr="00F44F3A">
        <w:br/>
        <w:t xml:space="preserve">360 Elizabeth Street </w:t>
      </w:r>
      <w:r w:rsidR="008C10F4" w:rsidRPr="00F44F3A">
        <w:br/>
      </w:r>
      <w:r w:rsidRPr="00F44F3A">
        <w:t>Melbourne VIC</w:t>
      </w:r>
    </w:p>
    <w:p w14:paraId="451DCBF1" w14:textId="77777777" w:rsidR="0005011A" w:rsidRPr="00F44F3A" w:rsidRDefault="0005011A" w:rsidP="00FC07B9">
      <w:pPr>
        <w:pStyle w:val="ACMACorporateAddresses"/>
      </w:pPr>
      <w:r w:rsidRPr="00F44F3A">
        <w:t>PO Box 13112</w:t>
      </w:r>
      <w:r w:rsidRPr="00F44F3A">
        <w:br/>
        <w:t xml:space="preserve">Law Courts </w:t>
      </w:r>
      <w:r w:rsidRPr="00F44F3A">
        <w:br/>
        <w:t>Melbourne VIC 8010</w:t>
      </w:r>
    </w:p>
    <w:p w14:paraId="2325A768" w14:textId="77777777" w:rsidR="0005011A" w:rsidRPr="00F44F3A" w:rsidRDefault="0005011A" w:rsidP="00FC07B9">
      <w:pPr>
        <w:pStyle w:val="ACMACorporateAddresses"/>
      </w:pPr>
      <w:r w:rsidRPr="00F44F3A">
        <w:t>T</w:t>
      </w:r>
      <w:r w:rsidR="00140318" w:rsidRPr="00F44F3A">
        <w:tab/>
      </w:r>
      <w:r w:rsidRPr="00F44F3A">
        <w:t>+61 3 9963 6800</w:t>
      </w:r>
      <w:r w:rsidRPr="00F44F3A">
        <w:br/>
        <w:t>F</w:t>
      </w:r>
      <w:r w:rsidR="00140318" w:rsidRPr="00F44F3A">
        <w:tab/>
      </w:r>
      <w:r w:rsidRPr="00F44F3A">
        <w:t>+61 3 9963 6899</w:t>
      </w:r>
    </w:p>
    <w:p w14:paraId="769405DD" w14:textId="77777777" w:rsidR="0005011A" w:rsidRPr="00F44F3A" w:rsidRDefault="0005011A" w:rsidP="00FC07B9">
      <w:pPr>
        <w:pStyle w:val="ACMACorporateAddressHeader"/>
      </w:pPr>
      <w:r w:rsidRPr="00F44F3A">
        <w:t>Sydney</w:t>
      </w:r>
    </w:p>
    <w:p w14:paraId="27B1DB42" w14:textId="77777777" w:rsidR="0005011A" w:rsidRPr="00F44F3A" w:rsidRDefault="0005011A" w:rsidP="00FC07B9">
      <w:pPr>
        <w:pStyle w:val="ACMACorporateAddresses"/>
      </w:pPr>
      <w:r w:rsidRPr="00F44F3A">
        <w:t xml:space="preserve">Level 5 </w:t>
      </w:r>
      <w:r w:rsidRPr="00F44F3A">
        <w:br/>
        <w:t>The Bay Centre</w:t>
      </w:r>
      <w:r w:rsidRPr="00F44F3A">
        <w:br/>
        <w:t xml:space="preserve">65 Pirrama Road </w:t>
      </w:r>
      <w:r w:rsidRPr="00F44F3A">
        <w:br/>
        <w:t>Pyrmont NSW</w:t>
      </w:r>
    </w:p>
    <w:p w14:paraId="6D354313" w14:textId="77777777" w:rsidR="0005011A" w:rsidRPr="00F44F3A" w:rsidRDefault="0005011A" w:rsidP="00FC07B9">
      <w:pPr>
        <w:pStyle w:val="ACMACorporateAddresses"/>
      </w:pPr>
      <w:r w:rsidRPr="00F44F3A">
        <w:t>PO Box Q500</w:t>
      </w:r>
      <w:r w:rsidRPr="00F44F3A">
        <w:br/>
        <w:t xml:space="preserve">Queen Victoria Building </w:t>
      </w:r>
      <w:r w:rsidRPr="00F44F3A">
        <w:br/>
        <w:t>NSW 1230</w:t>
      </w:r>
    </w:p>
    <w:p w14:paraId="2F5B1069" w14:textId="77777777" w:rsidR="0005011A" w:rsidRPr="00F44F3A" w:rsidRDefault="0005011A" w:rsidP="00FC07B9">
      <w:pPr>
        <w:pStyle w:val="ACMACorporateAddresses"/>
      </w:pPr>
      <w:r w:rsidRPr="00F44F3A">
        <w:t>T</w:t>
      </w:r>
      <w:r w:rsidR="00140318" w:rsidRPr="00F44F3A">
        <w:tab/>
      </w:r>
      <w:r w:rsidRPr="00F44F3A">
        <w:t>+61 2 9334 7700</w:t>
      </w:r>
      <w:r w:rsidR="00140318" w:rsidRPr="00F44F3A">
        <w:t xml:space="preserve"> or</w:t>
      </w:r>
      <w:r w:rsidRPr="00F44F3A">
        <w:t xml:space="preserve"> 1800 226 667</w:t>
      </w:r>
      <w:r w:rsidRPr="00F44F3A">
        <w:br/>
        <w:t>F</w:t>
      </w:r>
      <w:r w:rsidR="00140318" w:rsidRPr="00F44F3A">
        <w:tab/>
      </w:r>
      <w:r w:rsidRPr="00F44F3A">
        <w:t>+61 2 9334 7799</w:t>
      </w:r>
    </w:p>
    <w:p w14:paraId="5391642F" w14:textId="77777777" w:rsidR="00140318" w:rsidRPr="006D46E5" w:rsidRDefault="00140318" w:rsidP="00FC07B9">
      <w:pPr>
        <w:pStyle w:val="ACMACopyrightHeader"/>
      </w:pPr>
      <w:r w:rsidRPr="00140318">
        <w:t>Copyright notice</w:t>
      </w:r>
    </w:p>
    <w:p w14:paraId="0BBD4953" w14:textId="77777777" w:rsidR="00140318" w:rsidRPr="006D46E5" w:rsidRDefault="00623FF9" w:rsidP="00623FF9">
      <w:pPr>
        <w:pStyle w:val="ACMACClogo"/>
      </w:pPr>
      <w:r w:rsidRPr="00623FF9">
        <w:rPr>
          <w:noProof/>
        </w:rPr>
        <w:drawing>
          <wp:inline distT="0" distB="0" distL="0" distR="0" wp14:anchorId="6E5B1EE7" wp14:editId="38BD6D45">
            <wp:extent cx="838200" cy="295275"/>
            <wp:effectExtent l="0" t="0" r="0" b="0"/>
            <wp:docPr id="1" name="Picture 1" title="Creative Commons logo">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y">
                      <a:hlinkClick r:id="rId13"/>
                    </pic:cNvPr>
                    <pic:cNvPicPr>
                      <a:picLocks noChangeAspect="1" noChangeArrowheads="1"/>
                    </pic:cNvPicPr>
                  </pic:nvPicPr>
                  <pic:blipFill>
                    <a:blip r:embed="rId14" cstate="print"/>
                    <a:srcRect/>
                    <a:stretch>
                      <a:fillRect/>
                    </a:stretch>
                  </pic:blipFill>
                  <pic:spPr bwMode="auto">
                    <a:xfrm>
                      <a:off x="0" y="0"/>
                      <a:ext cx="838200" cy="295275"/>
                    </a:xfrm>
                    <a:prstGeom prst="rect">
                      <a:avLst/>
                    </a:prstGeom>
                    <a:noFill/>
                  </pic:spPr>
                </pic:pic>
              </a:graphicData>
            </a:graphic>
          </wp:inline>
        </w:drawing>
      </w:r>
    </w:p>
    <w:p w14:paraId="77B2BE5B" w14:textId="77777777" w:rsidR="00AA2DE5" w:rsidRDefault="00066EEC" w:rsidP="00AA2DE5">
      <w:pPr>
        <w:pStyle w:val="ACMACorporateAddresses"/>
        <w:rPr>
          <w:rStyle w:val="Hyperlink"/>
        </w:rPr>
      </w:pPr>
      <w:hyperlink r:id="rId15" w:history="1">
        <w:r w:rsidR="00AA2DE5">
          <w:rPr>
            <w:rStyle w:val="Hyperlink"/>
          </w:rPr>
          <w:t>https://creativecommons.org/licenses/by/4.0/</w:t>
        </w:r>
      </w:hyperlink>
    </w:p>
    <w:p w14:paraId="1F3D94A8" w14:textId="77777777" w:rsidR="00AA2DE5" w:rsidRDefault="00AA2DE5" w:rsidP="00AA2DE5">
      <w:pPr>
        <w:pStyle w:val="ACMACorporateAddresses"/>
      </w:pPr>
      <w:r>
        <w:t xml:space="preserve">With the exception of coats of arms, logos, emblems, images, other third-party material or devices protected by a trademark, this content is made available under the terms of the Creative Commons Attribution 4.0 International (CC BY 4.0) licence. </w:t>
      </w:r>
    </w:p>
    <w:p w14:paraId="187CC494" w14:textId="04A689CE" w:rsidR="00AA2DE5" w:rsidRDefault="00AA2DE5" w:rsidP="00AA2DE5">
      <w:pPr>
        <w:pStyle w:val="ACMACorporateAddresses"/>
      </w:pPr>
      <w:r>
        <w:t>We request attribution as © Commonwealth of Australia (Australian Communications and Media Authority) 20</w:t>
      </w:r>
      <w:r w:rsidR="00C41F21">
        <w:t>2</w:t>
      </w:r>
      <w:r w:rsidR="00326245">
        <w:t>2</w:t>
      </w:r>
      <w:r>
        <w:t>.</w:t>
      </w:r>
    </w:p>
    <w:p w14:paraId="058E298D" w14:textId="77777777" w:rsidR="00AA2DE5" w:rsidRDefault="00AA2DE5" w:rsidP="00AA2DE5">
      <w:pPr>
        <w:pStyle w:val="ACMACorporateAddresses"/>
      </w:pPr>
      <w:r>
        <w:t>All other rights are reserved.</w:t>
      </w:r>
    </w:p>
    <w:p w14:paraId="39DCBA26" w14:textId="77777777" w:rsidR="00AA2DE5" w:rsidRDefault="00AA2DE5" w:rsidP="00AA2DE5">
      <w:pPr>
        <w:pStyle w:val="ACMACorporateAddresses"/>
      </w:pPr>
      <w:r>
        <w:t xml:space="preserve">The Australian Communications and Media Authority has undertaken reasonable enquiries to identify material owned by third parties and secure permission for its reproduction. Permission may need to be obtained from third parties to re-use their material. </w:t>
      </w:r>
    </w:p>
    <w:p w14:paraId="63DE18EC" w14:textId="77777777" w:rsidR="00AA2DE5" w:rsidRDefault="00AA2DE5" w:rsidP="00AA2DE5">
      <w:pPr>
        <w:pStyle w:val="ACMACorporateAddresses"/>
      </w:pPr>
      <w:r>
        <w:t>Written enquiries may be sent to:</w:t>
      </w:r>
    </w:p>
    <w:p w14:paraId="5A6EFCC2" w14:textId="77777777" w:rsidR="00AA2DE5" w:rsidRDefault="00AA2DE5" w:rsidP="00AA2DE5">
      <w:pPr>
        <w:pStyle w:val="ACMACorporateAddresses"/>
        <w:rPr>
          <w:rStyle w:val="Hyperlink"/>
        </w:rPr>
      </w:pPr>
      <w:r>
        <w:t xml:space="preserve">Manager, Editorial </w:t>
      </w:r>
      <w:r w:rsidR="000245E5">
        <w:t>Services</w:t>
      </w:r>
      <w:r>
        <w:br/>
        <w:t>PO Box 13112</w:t>
      </w:r>
      <w:r>
        <w:br/>
        <w:t>Law Courts</w:t>
      </w:r>
      <w:r>
        <w:br/>
        <w:t>Melbourne VIC 8010</w:t>
      </w:r>
      <w:r>
        <w:br/>
        <w:t xml:space="preserve">Email: </w:t>
      </w:r>
      <w:hyperlink r:id="rId16" w:history="1">
        <w:r>
          <w:rPr>
            <w:rStyle w:val="Hyperlink"/>
          </w:rPr>
          <w:t>info@acma.gov.au</w:t>
        </w:r>
      </w:hyperlink>
    </w:p>
    <w:p w14:paraId="6EE3954F" w14:textId="77777777" w:rsidR="00D16FE3" w:rsidRDefault="00D16FE3" w:rsidP="00D16FE3">
      <w:pPr>
        <w:pStyle w:val="ACMACorporateAddresses"/>
        <w:rPr>
          <w:rStyle w:val="Hyperlink"/>
        </w:rPr>
      </w:pPr>
    </w:p>
    <w:p w14:paraId="2BE3FB0D" w14:textId="77777777" w:rsidR="00D16FE3" w:rsidRPr="00D16FE3" w:rsidRDefault="00D16FE3" w:rsidP="00D16FE3">
      <w:pPr>
        <w:pStyle w:val="ACMACorporateAddresses"/>
        <w:sectPr w:rsidR="00D16FE3" w:rsidRPr="00D16FE3">
          <w:headerReference w:type="even" r:id="rId17"/>
          <w:headerReference w:type="default" r:id="rId18"/>
          <w:footerReference w:type="even" r:id="rId19"/>
          <w:footerReference w:type="default" r:id="rId20"/>
          <w:pgSz w:w="11906" w:h="16838" w:code="9"/>
          <w:pgMar w:top="3924" w:right="1797" w:bottom="697" w:left="1134" w:header="709" w:footer="119" w:gutter="0"/>
          <w:cols w:space="708"/>
          <w:docGrid w:linePitch="360"/>
        </w:sectPr>
      </w:pPr>
    </w:p>
    <w:p w14:paraId="7AF04CE2" w14:textId="1000555B" w:rsidR="00812C12" w:rsidRDefault="00C65F61">
      <w:pPr>
        <w:pStyle w:val="TOC1"/>
        <w:rPr>
          <w:rFonts w:asciiTheme="minorHAnsi" w:eastAsiaTheme="minorEastAsia" w:hAnsiTheme="minorHAnsi" w:cstheme="minorBidi"/>
          <w:b w:val="0"/>
          <w:spacing w:val="0"/>
          <w:sz w:val="22"/>
          <w:szCs w:val="22"/>
        </w:rPr>
      </w:pPr>
      <w:r>
        <w:rPr>
          <w:rFonts w:cs="Arial"/>
          <w:b w:val="0"/>
        </w:rPr>
        <w:lastRenderedPageBreak/>
        <w:fldChar w:fldCharType="begin"/>
      </w:r>
      <w:r>
        <w:rPr>
          <w:rFonts w:cs="Arial"/>
          <w:b w:val="0"/>
        </w:rPr>
        <w:instrText xml:space="preserve"> TOC \o "1-2" \t "Exec summary heading,1" </w:instrText>
      </w:r>
      <w:r>
        <w:rPr>
          <w:rFonts w:cs="Arial"/>
          <w:b w:val="0"/>
        </w:rPr>
        <w:fldChar w:fldCharType="separate"/>
      </w:r>
      <w:r w:rsidR="00812C12">
        <w:t>Executive summary</w:t>
      </w:r>
      <w:r w:rsidR="00812C12">
        <w:tab/>
      </w:r>
      <w:r w:rsidR="00812C12">
        <w:fldChar w:fldCharType="begin"/>
      </w:r>
      <w:r w:rsidR="00812C12">
        <w:instrText xml:space="preserve"> PAGEREF _Toc96940973 \h </w:instrText>
      </w:r>
      <w:r w:rsidR="00812C12">
        <w:fldChar w:fldCharType="separate"/>
      </w:r>
      <w:r w:rsidR="00A157F6">
        <w:t>1</w:t>
      </w:r>
      <w:r w:rsidR="00812C12">
        <w:fldChar w:fldCharType="end"/>
      </w:r>
    </w:p>
    <w:p w14:paraId="6FC26120" w14:textId="159CFE67" w:rsidR="00812C12" w:rsidRDefault="00812C12">
      <w:pPr>
        <w:pStyle w:val="TOC2"/>
        <w:rPr>
          <w:rFonts w:asciiTheme="minorHAnsi" w:eastAsiaTheme="minorEastAsia" w:hAnsiTheme="minorHAnsi" w:cstheme="minorBidi"/>
          <w:spacing w:val="0"/>
          <w:sz w:val="22"/>
          <w:szCs w:val="22"/>
        </w:rPr>
      </w:pPr>
      <w:r>
        <w:t>Parts of the spectrum subject to re-allocation</w:t>
      </w:r>
      <w:r>
        <w:tab/>
      </w:r>
      <w:r>
        <w:fldChar w:fldCharType="begin"/>
      </w:r>
      <w:r>
        <w:instrText xml:space="preserve"> PAGEREF _Toc96940974 \h </w:instrText>
      </w:r>
      <w:r>
        <w:fldChar w:fldCharType="separate"/>
      </w:r>
      <w:r w:rsidR="00A157F6">
        <w:t>1</w:t>
      </w:r>
      <w:r>
        <w:fldChar w:fldCharType="end"/>
      </w:r>
    </w:p>
    <w:p w14:paraId="0F14FF8A" w14:textId="04BE198A" w:rsidR="00812C12" w:rsidRDefault="00812C12">
      <w:pPr>
        <w:pStyle w:val="TOC2"/>
        <w:rPr>
          <w:rFonts w:asciiTheme="minorHAnsi" w:eastAsiaTheme="minorEastAsia" w:hAnsiTheme="minorHAnsi" w:cstheme="minorBidi"/>
          <w:spacing w:val="0"/>
          <w:sz w:val="22"/>
          <w:szCs w:val="22"/>
        </w:rPr>
      </w:pPr>
      <w:r>
        <w:t>Re-allocation declaration</w:t>
      </w:r>
      <w:r>
        <w:tab/>
      </w:r>
      <w:r>
        <w:fldChar w:fldCharType="begin"/>
      </w:r>
      <w:r>
        <w:instrText xml:space="preserve"> PAGEREF _Toc96940975 \h </w:instrText>
      </w:r>
      <w:r>
        <w:fldChar w:fldCharType="separate"/>
      </w:r>
      <w:r w:rsidR="00A157F6">
        <w:t>3</w:t>
      </w:r>
      <w:r>
        <w:fldChar w:fldCharType="end"/>
      </w:r>
    </w:p>
    <w:p w14:paraId="339C0ECD" w14:textId="210B2B3F" w:rsidR="00812C12" w:rsidRDefault="00812C12">
      <w:pPr>
        <w:pStyle w:val="TOC2"/>
        <w:rPr>
          <w:rFonts w:asciiTheme="minorHAnsi" w:eastAsiaTheme="minorEastAsia" w:hAnsiTheme="minorHAnsi" w:cstheme="minorBidi"/>
          <w:spacing w:val="0"/>
          <w:sz w:val="22"/>
          <w:szCs w:val="22"/>
        </w:rPr>
      </w:pPr>
      <w:r>
        <w:t>Other matters</w:t>
      </w:r>
      <w:r>
        <w:tab/>
      </w:r>
      <w:r>
        <w:fldChar w:fldCharType="begin"/>
      </w:r>
      <w:r>
        <w:instrText xml:space="preserve"> PAGEREF _Toc96940976 \h </w:instrText>
      </w:r>
      <w:r>
        <w:fldChar w:fldCharType="separate"/>
      </w:r>
      <w:r w:rsidR="00A157F6">
        <w:t>4</w:t>
      </w:r>
      <w:r>
        <w:fldChar w:fldCharType="end"/>
      </w:r>
    </w:p>
    <w:p w14:paraId="04F094C2" w14:textId="02EA427A" w:rsidR="00812C12" w:rsidRDefault="00812C12">
      <w:pPr>
        <w:pStyle w:val="TOC1"/>
        <w:rPr>
          <w:rFonts w:asciiTheme="minorHAnsi" w:eastAsiaTheme="minorEastAsia" w:hAnsiTheme="minorHAnsi" w:cstheme="minorBidi"/>
          <w:b w:val="0"/>
          <w:spacing w:val="0"/>
          <w:sz w:val="22"/>
          <w:szCs w:val="22"/>
        </w:rPr>
      </w:pPr>
      <w:r>
        <w:t>Introduction</w:t>
      </w:r>
      <w:r>
        <w:tab/>
      </w:r>
      <w:r>
        <w:fldChar w:fldCharType="begin"/>
      </w:r>
      <w:r>
        <w:instrText xml:space="preserve"> PAGEREF _Toc96940977 \h </w:instrText>
      </w:r>
      <w:r>
        <w:fldChar w:fldCharType="separate"/>
      </w:r>
      <w:r w:rsidR="00A157F6">
        <w:t>5</w:t>
      </w:r>
      <w:r>
        <w:fldChar w:fldCharType="end"/>
      </w:r>
    </w:p>
    <w:p w14:paraId="1C87987E" w14:textId="07C3F6E5" w:rsidR="00812C12" w:rsidRDefault="00812C12">
      <w:pPr>
        <w:pStyle w:val="TOC2"/>
        <w:rPr>
          <w:rFonts w:asciiTheme="minorHAnsi" w:eastAsiaTheme="minorEastAsia" w:hAnsiTheme="minorHAnsi" w:cstheme="minorBidi"/>
          <w:spacing w:val="0"/>
          <w:sz w:val="22"/>
          <w:szCs w:val="22"/>
        </w:rPr>
      </w:pPr>
      <w:r>
        <w:t>Process to date</w:t>
      </w:r>
      <w:r>
        <w:tab/>
      </w:r>
      <w:r>
        <w:fldChar w:fldCharType="begin"/>
      </w:r>
      <w:r>
        <w:instrText xml:space="preserve"> PAGEREF _Toc96940978 \h </w:instrText>
      </w:r>
      <w:r>
        <w:fldChar w:fldCharType="separate"/>
      </w:r>
      <w:r w:rsidR="00A157F6">
        <w:t>6</w:t>
      </w:r>
      <w:r>
        <w:fldChar w:fldCharType="end"/>
      </w:r>
    </w:p>
    <w:p w14:paraId="18F1CE3A" w14:textId="432AE45D" w:rsidR="00812C12" w:rsidRDefault="00812C12">
      <w:pPr>
        <w:pStyle w:val="TOC2"/>
        <w:rPr>
          <w:rFonts w:asciiTheme="minorHAnsi" w:eastAsiaTheme="minorEastAsia" w:hAnsiTheme="minorHAnsi" w:cstheme="minorBidi"/>
          <w:spacing w:val="0"/>
          <w:sz w:val="22"/>
          <w:szCs w:val="22"/>
        </w:rPr>
      </w:pPr>
      <w:r>
        <w:t>Legislative context and policy environment</w:t>
      </w:r>
      <w:r>
        <w:tab/>
      </w:r>
      <w:r>
        <w:fldChar w:fldCharType="begin"/>
      </w:r>
      <w:r>
        <w:instrText xml:space="preserve"> PAGEREF _Toc96940979 \h </w:instrText>
      </w:r>
      <w:r>
        <w:fldChar w:fldCharType="separate"/>
      </w:r>
      <w:r w:rsidR="00A157F6">
        <w:t>8</w:t>
      </w:r>
      <w:r>
        <w:fldChar w:fldCharType="end"/>
      </w:r>
    </w:p>
    <w:p w14:paraId="0F81403E" w14:textId="73013A69" w:rsidR="00812C12" w:rsidRDefault="00812C12">
      <w:pPr>
        <w:pStyle w:val="TOC2"/>
        <w:rPr>
          <w:rFonts w:asciiTheme="minorHAnsi" w:eastAsiaTheme="minorEastAsia" w:hAnsiTheme="minorHAnsi" w:cstheme="minorBidi"/>
          <w:spacing w:val="0"/>
          <w:sz w:val="22"/>
          <w:szCs w:val="22"/>
        </w:rPr>
      </w:pPr>
      <w:r>
        <w:t>Allocation limits – ACCC consultation</w:t>
      </w:r>
      <w:r>
        <w:tab/>
      </w:r>
      <w:r>
        <w:fldChar w:fldCharType="begin"/>
      </w:r>
      <w:r>
        <w:instrText xml:space="preserve"> PAGEREF _Toc96940980 \h </w:instrText>
      </w:r>
      <w:r>
        <w:fldChar w:fldCharType="separate"/>
      </w:r>
      <w:r w:rsidR="00A157F6">
        <w:t>10</w:t>
      </w:r>
      <w:r>
        <w:fldChar w:fldCharType="end"/>
      </w:r>
    </w:p>
    <w:p w14:paraId="6C8A54B3" w14:textId="32A8392A" w:rsidR="00812C12" w:rsidRDefault="00812C12">
      <w:pPr>
        <w:pStyle w:val="TOC2"/>
        <w:rPr>
          <w:rFonts w:asciiTheme="minorHAnsi" w:eastAsiaTheme="minorEastAsia" w:hAnsiTheme="minorHAnsi" w:cstheme="minorBidi"/>
          <w:spacing w:val="0"/>
          <w:sz w:val="22"/>
          <w:szCs w:val="22"/>
        </w:rPr>
      </w:pPr>
      <w:r>
        <w:t>Re</w:t>
      </w:r>
      <w:r>
        <w:noBreakHyphen/>
        <w:t>allocation process</w:t>
      </w:r>
      <w:r>
        <w:tab/>
      </w:r>
      <w:r>
        <w:fldChar w:fldCharType="begin"/>
      </w:r>
      <w:r>
        <w:instrText xml:space="preserve"> PAGEREF _Toc96940981 \h </w:instrText>
      </w:r>
      <w:r>
        <w:fldChar w:fldCharType="separate"/>
      </w:r>
      <w:r w:rsidR="00A157F6">
        <w:t>10</w:t>
      </w:r>
      <w:r>
        <w:fldChar w:fldCharType="end"/>
      </w:r>
    </w:p>
    <w:p w14:paraId="11E0507D" w14:textId="482E1CEF" w:rsidR="00812C12" w:rsidRDefault="00812C12">
      <w:pPr>
        <w:pStyle w:val="TOC2"/>
        <w:rPr>
          <w:rFonts w:asciiTheme="minorHAnsi" w:eastAsiaTheme="minorEastAsia" w:hAnsiTheme="minorHAnsi" w:cstheme="minorBidi"/>
          <w:spacing w:val="0"/>
          <w:sz w:val="22"/>
          <w:szCs w:val="22"/>
        </w:rPr>
      </w:pPr>
      <w:r>
        <w:t>Proposal – terms of the re-allocation declarations</w:t>
      </w:r>
      <w:r>
        <w:tab/>
      </w:r>
      <w:r>
        <w:fldChar w:fldCharType="begin"/>
      </w:r>
      <w:r>
        <w:instrText xml:space="preserve"> PAGEREF _Toc96940982 \h </w:instrText>
      </w:r>
      <w:r>
        <w:fldChar w:fldCharType="separate"/>
      </w:r>
      <w:r w:rsidR="00A157F6">
        <w:t>11</w:t>
      </w:r>
      <w:r>
        <w:fldChar w:fldCharType="end"/>
      </w:r>
    </w:p>
    <w:p w14:paraId="657C8FD1" w14:textId="50D5FF15" w:rsidR="00812C12" w:rsidRDefault="00812C12">
      <w:pPr>
        <w:pStyle w:val="TOC1"/>
        <w:rPr>
          <w:rFonts w:asciiTheme="minorHAnsi" w:eastAsiaTheme="minorEastAsia" w:hAnsiTheme="minorHAnsi" w:cstheme="minorBidi"/>
          <w:b w:val="0"/>
          <w:spacing w:val="0"/>
          <w:sz w:val="22"/>
          <w:szCs w:val="22"/>
        </w:rPr>
      </w:pPr>
      <w:r>
        <w:t>Planning options</w:t>
      </w:r>
      <w:r>
        <w:tab/>
      </w:r>
      <w:r>
        <w:fldChar w:fldCharType="begin"/>
      </w:r>
      <w:r>
        <w:instrText xml:space="preserve"> PAGEREF _Toc96940983 \h </w:instrText>
      </w:r>
      <w:r>
        <w:fldChar w:fldCharType="separate"/>
      </w:r>
      <w:r w:rsidR="00A157F6">
        <w:t>12</w:t>
      </w:r>
      <w:r>
        <w:fldChar w:fldCharType="end"/>
      </w:r>
    </w:p>
    <w:p w14:paraId="76A63EE8" w14:textId="08554D25" w:rsidR="00812C12" w:rsidRDefault="00812C12">
      <w:pPr>
        <w:pStyle w:val="TOC2"/>
        <w:rPr>
          <w:rFonts w:asciiTheme="minorHAnsi" w:eastAsiaTheme="minorEastAsia" w:hAnsiTheme="minorHAnsi" w:cstheme="minorBidi"/>
          <w:spacing w:val="0"/>
          <w:sz w:val="22"/>
          <w:szCs w:val="22"/>
        </w:rPr>
      </w:pPr>
      <w:r>
        <w:t>Urban excise</w:t>
      </w:r>
      <w:r>
        <w:tab/>
      </w:r>
      <w:r>
        <w:fldChar w:fldCharType="begin"/>
      </w:r>
      <w:r>
        <w:instrText xml:space="preserve"> PAGEREF _Toc96940984 \h </w:instrText>
      </w:r>
      <w:r>
        <w:fldChar w:fldCharType="separate"/>
      </w:r>
      <w:r w:rsidR="00A157F6">
        <w:t>12</w:t>
      </w:r>
      <w:r>
        <w:fldChar w:fldCharType="end"/>
      </w:r>
    </w:p>
    <w:p w14:paraId="62C83F64" w14:textId="1F8070E8" w:rsidR="00812C12" w:rsidRDefault="00812C12">
      <w:pPr>
        <w:pStyle w:val="TOC2"/>
        <w:rPr>
          <w:rFonts w:asciiTheme="minorHAnsi" w:eastAsiaTheme="minorEastAsia" w:hAnsiTheme="minorHAnsi" w:cstheme="minorBidi"/>
          <w:spacing w:val="0"/>
          <w:sz w:val="22"/>
          <w:szCs w:val="22"/>
        </w:rPr>
      </w:pPr>
      <w:r>
        <w:t>Planning arrangements in 3400–3575 MHz and 3700–3800 MHz</w:t>
      </w:r>
      <w:r>
        <w:tab/>
      </w:r>
      <w:r>
        <w:fldChar w:fldCharType="begin"/>
      </w:r>
      <w:r>
        <w:instrText xml:space="preserve"> PAGEREF _Toc96940985 \h </w:instrText>
      </w:r>
      <w:r>
        <w:fldChar w:fldCharType="separate"/>
      </w:r>
      <w:r w:rsidR="00A157F6">
        <w:t>17</w:t>
      </w:r>
      <w:r>
        <w:fldChar w:fldCharType="end"/>
      </w:r>
    </w:p>
    <w:p w14:paraId="3734DBEF" w14:textId="261E4934" w:rsidR="00812C12" w:rsidRDefault="00812C12">
      <w:pPr>
        <w:pStyle w:val="TOC1"/>
        <w:rPr>
          <w:rFonts w:asciiTheme="minorHAnsi" w:eastAsiaTheme="minorEastAsia" w:hAnsiTheme="minorHAnsi" w:cstheme="minorBidi"/>
          <w:b w:val="0"/>
          <w:spacing w:val="0"/>
          <w:sz w:val="22"/>
          <w:szCs w:val="22"/>
        </w:rPr>
      </w:pPr>
      <w:r>
        <w:t>Licence type</w:t>
      </w:r>
      <w:r>
        <w:tab/>
      </w:r>
      <w:r>
        <w:fldChar w:fldCharType="begin"/>
      </w:r>
      <w:r>
        <w:instrText xml:space="preserve"> PAGEREF _Toc96940986 \h </w:instrText>
      </w:r>
      <w:r>
        <w:fldChar w:fldCharType="separate"/>
      </w:r>
      <w:r w:rsidR="00A157F6">
        <w:t>24</w:t>
      </w:r>
      <w:r>
        <w:fldChar w:fldCharType="end"/>
      </w:r>
    </w:p>
    <w:p w14:paraId="01E63C4A" w14:textId="3D31FBB8" w:rsidR="00812C12" w:rsidRDefault="00812C12">
      <w:pPr>
        <w:pStyle w:val="TOC2"/>
        <w:rPr>
          <w:rFonts w:asciiTheme="minorHAnsi" w:eastAsiaTheme="minorEastAsia" w:hAnsiTheme="minorHAnsi" w:cstheme="minorBidi"/>
          <w:spacing w:val="0"/>
          <w:sz w:val="22"/>
          <w:szCs w:val="22"/>
        </w:rPr>
      </w:pPr>
      <w:r>
        <w:t>Preferred licence type</w:t>
      </w:r>
      <w:r>
        <w:tab/>
      </w:r>
      <w:r>
        <w:fldChar w:fldCharType="begin"/>
      </w:r>
      <w:r>
        <w:instrText xml:space="preserve"> PAGEREF _Toc96940987 \h </w:instrText>
      </w:r>
      <w:r>
        <w:fldChar w:fldCharType="separate"/>
      </w:r>
      <w:r w:rsidR="00A157F6">
        <w:t>25</w:t>
      </w:r>
      <w:r>
        <w:fldChar w:fldCharType="end"/>
      </w:r>
    </w:p>
    <w:p w14:paraId="78A39BE6" w14:textId="2D0D010C" w:rsidR="00812C12" w:rsidRDefault="00812C12">
      <w:pPr>
        <w:pStyle w:val="TOC1"/>
        <w:rPr>
          <w:rFonts w:asciiTheme="minorHAnsi" w:eastAsiaTheme="minorEastAsia" w:hAnsiTheme="minorHAnsi" w:cstheme="minorBidi"/>
          <w:b w:val="0"/>
          <w:spacing w:val="0"/>
          <w:sz w:val="22"/>
          <w:szCs w:val="22"/>
        </w:rPr>
      </w:pPr>
      <w:r>
        <w:t>Specified parts of the spectrum</w:t>
      </w:r>
      <w:r>
        <w:tab/>
      </w:r>
      <w:r>
        <w:fldChar w:fldCharType="begin"/>
      </w:r>
      <w:r>
        <w:instrText xml:space="preserve"> PAGEREF _Toc96940988 \h </w:instrText>
      </w:r>
      <w:r>
        <w:fldChar w:fldCharType="separate"/>
      </w:r>
      <w:r w:rsidR="00A157F6">
        <w:t>27</w:t>
      </w:r>
      <w:r>
        <w:fldChar w:fldCharType="end"/>
      </w:r>
    </w:p>
    <w:p w14:paraId="37A0CF87" w14:textId="4F7A0130" w:rsidR="00812C12" w:rsidRDefault="00812C12">
      <w:pPr>
        <w:pStyle w:val="TOC2"/>
        <w:rPr>
          <w:rFonts w:asciiTheme="minorHAnsi" w:eastAsiaTheme="minorEastAsia" w:hAnsiTheme="minorHAnsi" w:cstheme="minorBidi"/>
          <w:spacing w:val="0"/>
          <w:sz w:val="22"/>
          <w:szCs w:val="22"/>
        </w:rPr>
      </w:pPr>
      <w:r>
        <w:t>Frequency boundaries</w:t>
      </w:r>
      <w:r>
        <w:tab/>
      </w:r>
      <w:r>
        <w:fldChar w:fldCharType="begin"/>
      </w:r>
      <w:r>
        <w:instrText xml:space="preserve"> PAGEREF _Toc96940989 \h </w:instrText>
      </w:r>
      <w:r>
        <w:fldChar w:fldCharType="separate"/>
      </w:r>
      <w:r w:rsidR="00A157F6">
        <w:t>27</w:t>
      </w:r>
      <w:r>
        <w:fldChar w:fldCharType="end"/>
      </w:r>
    </w:p>
    <w:p w14:paraId="2F463A19" w14:textId="24863216" w:rsidR="00812C12" w:rsidRDefault="00812C12">
      <w:pPr>
        <w:pStyle w:val="TOC2"/>
        <w:rPr>
          <w:rFonts w:asciiTheme="minorHAnsi" w:eastAsiaTheme="minorEastAsia" w:hAnsiTheme="minorHAnsi" w:cstheme="minorBidi"/>
          <w:spacing w:val="0"/>
          <w:sz w:val="22"/>
          <w:szCs w:val="22"/>
        </w:rPr>
      </w:pPr>
      <w:r>
        <w:t>Geographic areas</w:t>
      </w:r>
      <w:r>
        <w:tab/>
      </w:r>
      <w:r>
        <w:fldChar w:fldCharType="begin"/>
      </w:r>
      <w:r>
        <w:instrText xml:space="preserve"> PAGEREF _Toc96940990 \h </w:instrText>
      </w:r>
      <w:r>
        <w:fldChar w:fldCharType="separate"/>
      </w:r>
      <w:r w:rsidR="00A157F6">
        <w:t>28</w:t>
      </w:r>
      <w:r>
        <w:fldChar w:fldCharType="end"/>
      </w:r>
    </w:p>
    <w:p w14:paraId="342F9292" w14:textId="61234ED4" w:rsidR="00812C12" w:rsidRDefault="00812C12">
      <w:pPr>
        <w:pStyle w:val="TOC2"/>
        <w:rPr>
          <w:rFonts w:asciiTheme="minorHAnsi" w:eastAsiaTheme="minorEastAsia" w:hAnsiTheme="minorHAnsi" w:cstheme="minorBidi"/>
          <w:spacing w:val="0"/>
          <w:sz w:val="22"/>
          <w:szCs w:val="22"/>
        </w:rPr>
      </w:pPr>
      <w:r>
        <w:t>Parts of the spectrum proposed for re-allocation</w:t>
      </w:r>
      <w:r>
        <w:tab/>
      </w:r>
      <w:r>
        <w:fldChar w:fldCharType="begin"/>
      </w:r>
      <w:r>
        <w:instrText xml:space="preserve"> PAGEREF _Toc96940991 \h </w:instrText>
      </w:r>
      <w:r>
        <w:fldChar w:fldCharType="separate"/>
      </w:r>
      <w:r w:rsidR="00A157F6">
        <w:t>36</w:t>
      </w:r>
      <w:r>
        <w:fldChar w:fldCharType="end"/>
      </w:r>
    </w:p>
    <w:p w14:paraId="2016BB70" w14:textId="2455A281" w:rsidR="00812C12" w:rsidRDefault="00812C12">
      <w:pPr>
        <w:pStyle w:val="TOC1"/>
        <w:rPr>
          <w:rFonts w:asciiTheme="minorHAnsi" w:eastAsiaTheme="minorEastAsia" w:hAnsiTheme="minorHAnsi" w:cstheme="minorBidi"/>
          <w:b w:val="0"/>
          <w:spacing w:val="0"/>
          <w:sz w:val="22"/>
          <w:szCs w:val="22"/>
        </w:rPr>
      </w:pPr>
      <w:r>
        <w:t>Re</w:t>
      </w:r>
      <w:r>
        <w:noBreakHyphen/>
        <w:t>allocation period and deadline</w:t>
      </w:r>
      <w:r>
        <w:tab/>
      </w:r>
      <w:r>
        <w:fldChar w:fldCharType="begin"/>
      </w:r>
      <w:r>
        <w:instrText xml:space="preserve"> PAGEREF _Toc96940992 \h </w:instrText>
      </w:r>
      <w:r>
        <w:fldChar w:fldCharType="separate"/>
      </w:r>
      <w:r w:rsidR="00A157F6">
        <w:t>39</w:t>
      </w:r>
      <w:r>
        <w:fldChar w:fldCharType="end"/>
      </w:r>
    </w:p>
    <w:p w14:paraId="23218DB5" w14:textId="57861576" w:rsidR="00812C12" w:rsidRDefault="00812C12">
      <w:pPr>
        <w:pStyle w:val="TOC2"/>
        <w:rPr>
          <w:rFonts w:asciiTheme="minorHAnsi" w:eastAsiaTheme="minorEastAsia" w:hAnsiTheme="minorHAnsi" w:cstheme="minorBidi"/>
          <w:spacing w:val="0"/>
          <w:sz w:val="22"/>
          <w:szCs w:val="22"/>
        </w:rPr>
      </w:pPr>
      <w:r>
        <w:t>Existing services</w:t>
      </w:r>
      <w:r>
        <w:tab/>
      </w:r>
      <w:r>
        <w:fldChar w:fldCharType="begin"/>
      </w:r>
      <w:r>
        <w:instrText xml:space="preserve"> PAGEREF _Toc96940993 \h </w:instrText>
      </w:r>
      <w:r>
        <w:fldChar w:fldCharType="separate"/>
      </w:r>
      <w:r w:rsidR="00A157F6">
        <w:t>39</w:t>
      </w:r>
      <w:r>
        <w:fldChar w:fldCharType="end"/>
      </w:r>
    </w:p>
    <w:p w14:paraId="5946204F" w14:textId="6172B12E" w:rsidR="00812C12" w:rsidRDefault="00812C12">
      <w:pPr>
        <w:pStyle w:val="TOC2"/>
        <w:rPr>
          <w:rFonts w:asciiTheme="minorHAnsi" w:eastAsiaTheme="minorEastAsia" w:hAnsiTheme="minorHAnsi" w:cstheme="minorBidi"/>
          <w:spacing w:val="0"/>
          <w:sz w:val="22"/>
          <w:szCs w:val="22"/>
        </w:rPr>
      </w:pPr>
      <w:r>
        <w:t>Previous consultation on re</w:t>
      </w:r>
      <w:r>
        <w:noBreakHyphen/>
        <w:t>allocation period and deadline</w:t>
      </w:r>
      <w:r>
        <w:tab/>
      </w:r>
      <w:r>
        <w:fldChar w:fldCharType="begin"/>
      </w:r>
      <w:r>
        <w:instrText xml:space="preserve"> PAGEREF _Toc96940994 \h </w:instrText>
      </w:r>
      <w:r>
        <w:fldChar w:fldCharType="separate"/>
      </w:r>
      <w:r w:rsidR="00A157F6">
        <w:t>41</w:t>
      </w:r>
      <w:r>
        <w:fldChar w:fldCharType="end"/>
      </w:r>
    </w:p>
    <w:p w14:paraId="72526271" w14:textId="1E86AE89" w:rsidR="00812C12" w:rsidRDefault="00812C12">
      <w:pPr>
        <w:pStyle w:val="TOC2"/>
        <w:rPr>
          <w:rFonts w:asciiTheme="minorHAnsi" w:eastAsiaTheme="minorEastAsia" w:hAnsiTheme="minorHAnsi" w:cstheme="minorBidi"/>
          <w:spacing w:val="0"/>
          <w:sz w:val="22"/>
          <w:szCs w:val="22"/>
        </w:rPr>
      </w:pPr>
      <w:r>
        <w:t>Preferred re-allocation period and deadline</w:t>
      </w:r>
      <w:r>
        <w:tab/>
      </w:r>
      <w:r>
        <w:fldChar w:fldCharType="begin"/>
      </w:r>
      <w:r>
        <w:instrText xml:space="preserve"> PAGEREF _Toc96940995 \h </w:instrText>
      </w:r>
      <w:r>
        <w:fldChar w:fldCharType="separate"/>
      </w:r>
      <w:r w:rsidR="00A157F6">
        <w:t>42</w:t>
      </w:r>
      <w:r>
        <w:fldChar w:fldCharType="end"/>
      </w:r>
    </w:p>
    <w:p w14:paraId="5D9790E5" w14:textId="1E3EC2A1" w:rsidR="00812C12" w:rsidRDefault="00812C12">
      <w:pPr>
        <w:pStyle w:val="TOC1"/>
        <w:rPr>
          <w:rFonts w:asciiTheme="minorHAnsi" w:eastAsiaTheme="minorEastAsia" w:hAnsiTheme="minorHAnsi" w:cstheme="minorBidi"/>
          <w:b w:val="0"/>
          <w:spacing w:val="0"/>
          <w:sz w:val="22"/>
          <w:szCs w:val="22"/>
        </w:rPr>
      </w:pPr>
      <w:r>
        <w:t>Other matters</w:t>
      </w:r>
      <w:r>
        <w:tab/>
      </w:r>
      <w:r>
        <w:fldChar w:fldCharType="begin"/>
      </w:r>
      <w:r>
        <w:instrText xml:space="preserve"> PAGEREF _Toc96940996 \h </w:instrText>
      </w:r>
      <w:r>
        <w:fldChar w:fldCharType="separate"/>
      </w:r>
      <w:r w:rsidR="00A157F6">
        <w:t>43</w:t>
      </w:r>
      <w:r>
        <w:fldChar w:fldCharType="end"/>
      </w:r>
    </w:p>
    <w:p w14:paraId="1A9E872C" w14:textId="42CEFE1B" w:rsidR="00812C12" w:rsidRDefault="00812C12">
      <w:pPr>
        <w:pStyle w:val="TOC2"/>
        <w:rPr>
          <w:rFonts w:asciiTheme="minorHAnsi" w:eastAsiaTheme="minorEastAsia" w:hAnsiTheme="minorHAnsi" w:cstheme="minorBidi"/>
          <w:spacing w:val="0"/>
          <w:sz w:val="22"/>
          <w:szCs w:val="22"/>
        </w:rPr>
      </w:pPr>
      <w:r>
        <w:t>Licence term</w:t>
      </w:r>
      <w:r>
        <w:tab/>
      </w:r>
      <w:r>
        <w:fldChar w:fldCharType="begin"/>
      </w:r>
      <w:r>
        <w:instrText xml:space="preserve"> PAGEREF _Toc96940997 \h </w:instrText>
      </w:r>
      <w:r>
        <w:fldChar w:fldCharType="separate"/>
      </w:r>
      <w:r w:rsidR="00A157F6">
        <w:t>43</w:t>
      </w:r>
      <w:r>
        <w:fldChar w:fldCharType="end"/>
      </w:r>
    </w:p>
    <w:p w14:paraId="4EB45EA0" w14:textId="3CED32F9" w:rsidR="00812C12" w:rsidRDefault="00812C12">
      <w:pPr>
        <w:pStyle w:val="TOC2"/>
        <w:rPr>
          <w:rFonts w:asciiTheme="minorHAnsi" w:eastAsiaTheme="minorEastAsia" w:hAnsiTheme="minorHAnsi" w:cstheme="minorBidi"/>
          <w:spacing w:val="0"/>
          <w:sz w:val="22"/>
          <w:szCs w:val="22"/>
        </w:rPr>
      </w:pPr>
      <w:r>
        <w:t>Frequency bandwidth configuration</w:t>
      </w:r>
      <w:r>
        <w:tab/>
      </w:r>
      <w:r>
        <w:fldChar w:fldCharType="begin"/>
      </w:r>
      <w:r>
        <w:instrText xml:space="preserve"> PAGEREF _Toc96940998 \h </w:instrText>
      </w:r>
      <w:r>
        <w:fldChar w:fldCharType="separate"/>
      </w:r>
      <w:r w:rsidR="00A157F6">
        <w:t>47</w:t>
      </w:r>
      <w:r>
        <w:fldChar w:fldCharType="end"/>
      </w:r>
    </w:p>
    <w:p w14:paraId="789F1070" w14:textId="311574E3" w:rsidR="00812C12" w:rsidRDefault="00812C12">
      <w:pPr>
        <w:pStyle w:val="TOC2"/>
        <w:rPr>
          <w:rFonts w:asciiTheme="minorHAnsi" w:eastAsiaTheme="minorEastAsia" w:hAnsiTheme="minorHAnsi" w:cstheme="minorBidi"/>
          <w:spacing w:val="0"/>
          <w:sz w:val="22"/>
          <w:szCs w:val="22"/>
        </w:rPr>
      </w:pPr>
      <w:r>
        <w:t>Geographic area configuration</w:t>
      </w:r>
      <w:r>
        <w:tab/>
      </w:r>
      <w:r>
        <w:fldChar w:fldCharType="begin"/>
      </w:r>
      <w:r>
        <w:instrText xml:space="preserve"> PAGEREF _Toc96940999 \h </w:instrText>
      </w:r>
      <w:r>
        <w:fldChar w:fldCharType="separate"/>
      </w:r>
      <w:r w:rsidR="00A157F6">
        <w:t>52</w:t>
      </w:r>
      <w:r>
        <w:fldChar w:fldCharType="end"/>
      </w:r>
    </w:p>
    <w:p w14:paraId="0946A39C" w14:textId="58BDE7FA" w:rsidR="00812C12" w:rsidRDefault="00812C12">
      <w:pPr>
        <w:pStyle w:val="TOC2"/>
        <w:rPr>
          <w:rFonts w:asciiTheme="minorHAnsi" w:eastAsiaTheme="minorEastAsia" w:hAnsiTheme="minorHAnsi" w:cstheme="minorBidi"/>
          <w:spacing w:val="0"/>
          <w:sz w:val="22"/>
          <w:szCs w:val="22"/>
        </w:rPr>
      </w:pPr>
      <w:r>
        <w:t>Allocation methodology</w:t>
      </w:r>
      <w:r>
        <w:tab/>
      </w:r>
      <w:r>
        <w:fldChar w:fldCharType="begin"/>
      </w:r>
      <w:r>
        <w:instrText xml:space="preserve"> PAGEREF _Toc96941000 \h </w:instrText>
      </w:r>
      <w:r>
        <w:fldChar w:fldCharType="separate"/>
      </w:r>
      <w:r w:rsidR="00A157F6">
        <w:t>59</w:t>
      </w:r>
      <w:r>
        <w:fldChar w:fldCharType="end"/>
      </w:r>
    </w:p>
    <w:p w14:paraId="75FF4227" w14:textId="30E3B22F" w:rsidR="00812C12" w:rsidRDefault="00812C12">
      <w:pPr>
        <w:pStyle w:val="TOC2"/>
        <w:rPr>
          <w:rFonts w:asciiTheme="minorHAnsi" w:eastAsiaTheme="minorEastAsia" w:hAnsiTheme="minorHAnsi" w:cstheme="minorBidi"/>
          <w:spacing w:val="0"/>
          <w:sz w:val="22"/>
          <w:szCs w:val="22"/>
        </w:rPr>
      </w:pPr>
      <w:r>
        <w:lastRenderedPageBreak/>
        <w:t>Minimum spectrum requirement</w:t>
      </w:r>
      <w:r>
        <w:tab/>
      </w:r>
      <w:r>
        <w:fldChar w:fldCharType="begin"/>
      </w:r>
      <w:r>
        <w:instrText xml:space="preserve"> PAGEREF _Toc96941001 \h </w:instrText>
      </w:r>
      <w:r>
        <w:fldChar w:fldCharType="separate"/>
      </w:r>
      <w:r w:rsidR="00A157F6">
        <w:t>63</w:t>
      </w:r>
      <w:r>
        <w:fldChar w:fldCharType="end"/>
      </w:r>
    </w:p>
    <w:p w14:paraId="5C99D1FF" w14:textId="2F8C8307" w:rsidR="00812C12" w:rsidRDefault="00812C12">
      <w:pPr>
        <w:pStyle w:val="TOC1"/>
        <w:rPr>
          <w:rFonts w:asciiTheme="minorHAnsi" w:eastAsiaTheme="minorEastAsia" w:hAnsiTheme="minorHAnsi" w:cstheme="minorBidi"/>
          <w:b w:val="0"/>
          <w:spacing w:val="0"/>
          <w:sz w:val="22"/>
          <w:szCs w:val="22"/>
        </w:rPr>
      </w:pPr>
      <w:r>
        <w:t>Next steps</w:t>
      </w:r>
      <w:r>
        <w:tab/>
      </w:r>
      <w:r>
        <w:fldChar w:fldCharType="begin"/>
      </w:r>
      <w:r>
        <w:instrText xml:space="preserve"> PAGEREF _Toc96941002 \h </w:instrText>
      </w:r>
      <w:r>
        <w:fldChar w:fldCharType="separate"/>
      </w:r>
      <w:r w:rsidR="00A157F6">
        <w:t>65</w:t>
      </w:r>
      <w:r>
        <w:fldChar w:fldCharType="end"/>
      </w:r>
    </w:p>
    <w:p w14:paraId="1419F8FC" w14:textId="4BEEC5F3" w:rsidR="00812C12" w:rsidRDefault="00812C12">
      <w:pPr>
        <w:pStyle w:val="TOC1"/>
        <w:rPr>
          <w:rFonts w:asciiTheme="minorHAnsi" w:eastAsiaTheme="minorEastAsia" w:hAnsiTheme="minorHAnsi" w:cstheme="minorBidi"/>
          <w:b w:val="0"/>
          <w:spacing w:val="0"/>
          <w:sz w:val="22"/>
          <w:szCs w:val="22"/>
        </w:rPr>
      </w:pPr>
      <w:r>
        <w:t>Invitation to comment</w:t>
      </w:r>
      <w:r>
        <w:tab/>
      </w:r>
      <w:r>
        <w:fldChar w:fldCharType="begin"/>
      </w:r>
      <w:r>
        <w:instrText xml:space="preserve"> PAGEREF _Toc96941003 \h </w:instrText>
      </w:r>
      <w:r>
        <w:fldChar w:fldCharType="separate"/>
      </w:r>
      <w:r w:rsidR="00A157F6">
        <w:t>66</w:t>
      </w:r>
      <w:r>
        <w:fldChar w:fldCharType="end"/>
      </w:r>
    </w:p>
    <w:p w14:paraId="43718AC0" w14:textId="2CD63320" w:rsidR="00812C12" w:rsidRDefault="00812C12">
      <w:pPr>
        <w:pStyle w:val="TOC2"/>
        <w:rPr>
          <w:rFonts w:asciiTheme="minorHAnsi" w:eastAsiaTheme="minorEastAsia" w:hAnsiTheme="minorHAnsi" w:cstheme="minorBidi"/>
          <w:spacing w:val="0"/>
          <w:sz w:val="22"/>
          <w:szCs w:val="22"/>
        </w:rPr>
      </w:pPr>
      <w:r>
        <w:t>Making a submission</w:t>
      </w:r>
      <w:r>
        <w:tab/>
      </w:r>
      <w:r>
        <w:fldChar w:fldCharType="begin"/>
      </w:r>
      <w:r>
        <w:instrText xml:space="preserve"> PAGEREF _Toc96941004 \h </w:instrText>
      </w:r>
      <w:r>
        <w:fldChar w:fldCharType="separate"/>
      </w:r>
      <w:r w:rsidR="00A157F6">
        <w:t>66</w:t>
      </w:r>
      <w:r>
        <w:fldChar w:fldCharType="end"/>
      </w:r>
    </w:p>
    <w:p w14:paraId="75E4D238" w14:textId="6FB312C0" w:rsidR="00812C12" w:rsidRDefault="00812C12">
      <w:pPr>
        <w:pStyle w:val="TOC1"/>
        <w:rPr>
          <w:rFonts w:asciiTheme="minorHAnsi" w:eastAsiaTheme="minorEastAsia" w:hAnsiTheme="minorHAnsi" w:cstheme="minorBidi"/>
          <w:b w:val="0"/>
          <w:spacing w:val="0"/>
          <w:sz w:val="22"/>
          <w:szCs w:val="22"/>
        </w:rPr>
      </w:pPr>
      <w:r>
        <w:t>Appendix A – Spectrum re</w:t>
      </w:r>
      <w:r>
        <w:noBreakHyphen/>
        <w:t>allocation process</w:t>
      </w:r>
      <w:r>
        <w:tab/>
      </w:r>
      <w:r>
        <w:fldChar w:fldCharType="begin"/>
      </w:r>
      <w:r>
        <w:instrText xml:space="preserve"> PAGEREF _Toc96941005 \h </w:instrText>
      </w:r>
      <w:r>
        <w:fldChar w:fldCharType="separate"/>
      </w:r>
      <w:r w:rsidR="00A157F6">
        <w:t>67</w:t>
      </w:r>
      <w:r>
        <w:fldChar w:fldCharType="end"/>
      </w:r>
    </w:p>
    <w:p w14:paraId="6661B2D1" w14:textId="00F826FB" w:rsidR="00812C12" w:rsidRDefault="00812C12">
      <w:pPr>
        <w:pStyle w:val="TOC2"/>
        <w:rPr>
          <w:rFonts w:asciiTheme="minorHAnsi" w:eastAsiaTheme="minorEastAsia" w:hAnsiTheme="minorHAnsi" w:cstheme="minorBidi"/>
          <w:spacing w:val="0"/>
          <w:sz w:val="22"/>
          <w:szCs w:val="22"/>
        </w:rPr>
      </w:pPr>
      <w:r>
        <w:t>Main steps in the re</w:t>
      </w:r>
      <w:r>
        <w:noBreakHyphen/>
        <w:t>allocation process</w:t>
      </w:r>
      <w:r>
        <w:tab/>
      </w:r>
      <w:r>
        <w:fldChar w:fldCharType="begin"/>
      </w:r>
      <w:r>
        <w:instrText xml:space="preserve"> PAGEREF _Toc96941006 \h </w:instrText>
      </w:r>
      <w:r>
        <w:fldChar w:fldCharType="separate"/>
      </w:r>
      <w:r w:rsidR="00A157F6">
        <w:t>67</w:t>
      </w:r>
      <w:r>
        <w:fldChar w:fldCharType="end"/>
      </w:r>
    </w:p>
    <w:p w14:paraId="4D15DB29" w14:textId="43EC39AE" w:rsidR="00812C12" w:rsidRDefault="00812C12">
      <w:pPr>
        <w:pStyle w:val="TOC1"/>
        <w:rPr>
          <w:rFonts w:asciiTheme="minorHAnsi" w:eastAsiaTheme="minorEastAsia" w:hAnsiTheme="minorHAnsi" w:cstheme="minorBidi"/>
          <w:b w:val="0"/>
          <w:spacing w:val="0"/>
          <w:sz w:val="22"/>
          <w:szCs w:val="22"/>
        </w:rPr>
      </w:pPr>
      <w:r>
        <w:t>Appendix B – HCIS identifiers for the parts of the spectrum proposed for re-allocation (planning Option 3)</w:t>
      </w:r>
      <w:r>
        <w:tab/>
      </w:r>
      <w:r>
        <w:fldChar w:fldCharType="begin"/>
      </w:r>
      <w:r>
        <w:instrText xml:space="preserve"> PAGEREF _Toc96941007 \h </w:instrText>
      </w:r>
      <w:r>
        <w:fldChar w:fldCharType="separate"/>
      </w:r>
      <w:r w:rsidR="00A157F6">
        <w:t>70</w:t>
      </w:r>
      <w:r>
        <w:fldChar w:fldCharType="end"/>
      </w:r>
    </w:p>
    <w:p w14:paraId="5A858890" w14:textId="03614235" w:rsidR="00812C12" w:rsidRDefault="00812C12">
      <w:pPr>
        <w:pStyle w:val="TOC1"/>
        <w:rPr>
          <w:rFonts w:asciiTheme="minorHAnsi" w:eastAsiaTheme="minorEastAsia" w:hAnsiTheme="minorHAnsi" w:cstheme="minorBidi"/>
          <w:b w:val="0"/>
          <w:spacing w:val="0"/>
          <w:sz w:val="22"/>
          <w:szCs w:val="22"/>
        </w:rPr>
      </w:pPr>
      <w:r>
        <w:t>Appendix C – HCIS identifiers for urban excise</w:t>
      </w:r>
      <w:r>
        <w:tab/>
      </w:r>
      <w:r>
        <w:fldChar w:fldCharType="begin"/>
      </w:r>
      <w:r>
        <w:instrText xml:space="preserve"> PAGEREF _Toc96941008 \h </w:instrText>
      </w:r>
      <w:r>
        <w:fldChar w:fldCharType="separate"/>
      </w:r>
      <w:r w:rsidR="00A157F6">
        <w:t>80</w:t>
      </w:r>
      <w:r>
        <w:fldChar w:fldCharType="end"/>
      </w:r>
    </w:p>
    <w:p w14:paraId="4FD4DFE4" w14:textId="329EDA0F" w:rsidR="00812C12" w:rsidRDefault="00812C12">
      <w:pPr>
        <w:pStyle w:val="TOC1"/>
        <w:rPr>
          <w:rFonts w:asciiTheme="minorHAnsi" w:eastAsiaTheme="minorEastAsia" w:hAnsiTheme="minorHAnsi" w:cstheme="minorBidi"/>
          <w:b w:val="0"/>
          <w:spacing w:val="0"/>
          <w:sz w:val="22"/>
          <w:szCs w:val="22"/>
        </w:rPr>
      </w:pPr>
      <w:r>
        <w:t>Appendix D – Geographic areas for planning options 1 and 2</w:t>
      </w:r>
      <w:r>
        <w:tab/>
      </w:r>
      <w:r>
        <w:fldChar w:fldCharType="begin"/>
      </w:r>
      <w:r>
        <w:instrText xml:space="preserve"> PAGEREF _Toc96941009 \h </w:instrText>
      </w:r>
      <w:r>
        <w:fldChar w:fldCharType="separate"/>
      </w:r>
      <w:r w:rsidR="00A157F6">
        <w:t>81</w:t>
      </w:r>
      <w:r>
        <w:fldChar w:fldCharType="end"/>
      </w:r>
    </w:p>
    <w:p w14:paraId="04D238B7" w14:textId="349E1707" w:rsidR="004D56FF" w:rsidRPr="000D76E0" w:rsidRDefault="00C65F61">
      <w:pPr>
        <w:rPr>
          <w:rFonts w:cs="Arial"/>
        </w:rPr>
        <w:sectPr w:rsidR="004D56FF" w:rsidRPr="000D76E0" w:rsidSect="001065D6">
          <w:headerReference w:type="even" r:id="rId21"/>
          <w:headerReference w:type="default" r:id="rId22"/>
          <w:footerReference w:type="even" r:id="rId23"/>
          <w:footerReference w:type="default" r:id="rId24"/>
          <w:footerReference w:type="first" r:id="rId25"/>
          <w:pgSz w:w="11906" w:h="16838" w:code="9"/>
          <w:pgMar w:top="3403" w:right="3101" w:bottom="1135" w:left="1134" w:header="709" w:footer="119" w:gutter="0"/>
          <w:cols w:space="708"/>
          <w:titlePg/>
          <w:docGrid w:linePitch="360"/>
        </w:sectPr>
      </w:pPr>
      <w:r>
        <w:rPr>
          <w:rFonts w:cs="Arial"/>
          <w:b/>
          <w:noProof/>
          <w:spacing w:val="-14"/>
          <w:sz w:val="28"/>
        </w:rPr>
        <w:fldChar w:fldCharType="end"/>
      </w:r>
    </w:p>
    <w:p w14:paraId="0FD683F3" w14:textId="77777777" w:rsidR="009D6C71" w:rsidRPr="009174F3" w:rsidRDefault="009D6C71" w:rsidP="009174F3">
      <w:pPr>
        <w:pStyle w:val="Execsummaryheading"/>
      </w:pPr>
      <w:bookmarkStart w:id="1" w:name="_Toc96940973"/>
      <w:r w:rsidRPr="009174F3">
        <w:lastRenderedPageBreak/>
        <w:t>Executive summary</w:t>
      </w:r>
      <w:bookmarkEnd w:id="1"/>
    </w:p>
    <w:p w14:paraId="3D71C56D" w14:textId="3748FB73" w:rsidR="005727C8" w:rsidRDefault="00F03F95" w:rsidP="00A0157B">
      <w:pPr>
        <w:pStyle w:val="Paragraph"/>
      </w:pPr>
      <w:r>
        <w:t>Globally, s</w:t>
      </w:r>
      <w:r w:rsidR="00441B6B" w:rsidRPr="00FA1AC9">
        <w:t xml:space="preserve">pectrum in the </w:t>
      </w:r>
      <w:r w:rsidR="008E1EA7">
        <w:t>3400</w:t>
      </w:r>
      <w:r w:rsidR="00441B6B" w:rsidRPr="00FA1AC9">
        <w:t xml:space="preserve">–4200 MHz </w:t>
      </w:r>
      <w:r w:rsidR="00A93AC9">
        <w:t>frequency range</w:t>
      </w:r>
      <w:r w:rsidR="00A93AC9" w:rsidRPr="00FA1AC9">
        <w:t xml:space="preserve"> </w:t>
      </w:r>
      <w:r w:rsidR="00441B6B" w:rsidRPr="00FA1AC9">
        <w:t>is of considerable interest</w:t>
      </w:r>
      <w:r w:rsidR="008C0ED4">
        <w:t>. It has been identified as</w:t>
      </w:r>
      <w:r w:rsidR="00441B6B" w:rsidRPr="00FA1AC9">
        <w:t xml:space="preserve"> suitable spectrum for a range of applications, including fixed satellite services and wireless broadband (WBB) </w:t>
      </w:r>
      <w:r w:rsidR="000D3723">
        <w:t xml:space="preserve">services </w:t>
      </w:r>
      <w:r w:rsidR="00441B6B" w:rsidRPr="00FA1AC9">
        <w:t>such as 5G.</w:t>
      </w:r>
      <w:r w:rsidR="00886DBA" w:rsidRPr="00FA1AC9">
        <w:t xml:space="preserve"> </w:t>
      </w:r>
    </w:p>
    <w:p w14:paraId="1DA92093" w14:textId="1362EBE8" w:rsidR="00B63937" w:rsidRDefault="00B63937" w:rsidP="00B63937">
      <w:pPr>
        <w:pStyle w:val="pf0"/>
        <w:spacing w:before="0" w:beforeAutospacing="0" w:after="240" w:afterAutospacing="0"/>
        <w:rPr>
          <w:rFonts w:ascii="Arial" w:hAnsi="Arial" w:cs="Arial"/>
          <w:sz w:val="20"/>
          <w:szCs w:val="20"/>
        </w:rPr>
      </w:pPr>
      <w:r w:rsidRPr="47C41F95">
        <w:rPr>
          <w:rFonts w:ascii="Arial" w:hAnsi="Arial" w:cs="Arial"/>
          <w:sz w:val="20"/>
          <w:szCs w:val="20"/>
        </w:rPr>
        <w:t xml:space="preserve">We propose to declare parts of the spectrum in the </w:t>
      </w:r>
      <w:r w:rsidR="00A93AC9" w:rsidRPr="47C41F95">
        <w:rPr>
          <w:rFonts w:ascii="Arial" w:hAnsi="Arial" w:cs="Arial"/>
          <w:sz w:val="20"/>
          <w:szCs w:val="20"/>
        </w:rPr>
        <w:t xml:space="preserve">frequency ranges </w:t>
      </w:r>
      <w:r w:rsidRPr="47C41F95">
        <w:rPr>
          <w:rFonts w:ascii="Arial" w:hAnsi="Arial" w:cs="Arial"/>
          <w:sz w:val="20"/>
          <w:szCs w:val="20"/>
        </w:rPr>
        <w:t>3400</w:t>
      </w:r>
      <w:r w:rsidR="0045155A">
        <w:rPr>
          <w:rFonts w:ascii="Arial" w:hAnsi="Arial" w:cs="Arial"/>
          <w:sz w:val="20"/>
          <w:szCs w:val="20"/>
        </w:rPr>
        <w:t>–</w:t>
      </w:r>
      <w:r w:rsidRPr="47C41F95">
        <w:rPr>
          <w:rFonts w:ascii="Arial" w:hAnsi="Arial" w:cs="Arial"/>
          <w:sz w:val="20"/>
          <w:szCs w:val="20"/>
        </w:rPr>
        <w:t>3575 MHz and 3700</w:t>
      </w:r>
      <w:r w:rsidR="00B356F7">
        <w:rPr>
          <w:rFonts w:ascii="Arial" w:hAnsi="Arial" w:cs="Arial"/>
          <w:sz w:val="20"/>
          <w:szCs w:val="20"/>
        </w:rPr>
        <w:t>–</w:t>
      </w:r>
      <w:r w:rsidRPr="47C41F95">
        <w:rPr>
          <w:rFonts w:ascii="Arial" w:hAnsi="Arial" w:cs="Arial"/>
          <w:sz w:val="20"/>
          <w:szCs w:val="20"/>
        </w:rPr>
        <w:t>3800</w:t>
      </w:r>
      <w:r w:rsidR="00160249" w:rsidRPr="47C41F95">
        <w:rPr>
          <w:rFonts w:ascii="Arial" w:hAnsi="Arial" w:cs="Arial"/>
          <w:sz w:val="20"/>
          <w:szCs w:val="20"/>
        </w:rPr>
        <w:t> </w:t>
      </w:r>
      <w:r w:rsidRPr="47C41F95">
        <w:rPr>
          <w:rFonts w:ascii="Arial" w:hAnsi="Arial" w:cs="Arial"/>
          <w:sz w:val="20"/>
          <w:szCs w:val="20"/>
        </w:rPr>
        <w:t xml:space="preserve">MHz for re-allocation by issuing spectrum licences. Subject to the outcomes of this consultation, we propose to </w:t>
      </w:r>
      <w:r w:rsidR="00F172C7" w:rsidRPr="47C41F95">
        <w:rPr>
          <w:rFonts w:ascii="Arial" w:hAnsi="Arial" w:cs="Arial"/>
          <w:sz w:val="20"/>
          <w:szCs w:val="20"/>
        </w:rPr>
        <w:t xml:space="preserve">allocate </w:t>
      </w:r>
      <w:r w:rsidR="006E028A" w:rsidRPr="47C41F95">
        <w:rPr>
          <w:rFonts w:ascii="Arial" w:hAnsi="Arial" w:cs="Arial"/>
          <w:sz w:val="20"/>
          <w:szCs w:val="20"/>
        </w:rPr>
        <w:t xml:space="preserve">this </w:t>
      </w:r>
      <w:r w:rsidR="00F172C7" w:rsidRPr="47C41F95">
        <w:rPr>
          <w:rFonts w:ascii="Arial" w:hAnsi="Arial" w:cs="Arial"/>
          <w:sz w:val="20"/>
          <w:szCs w:val="20"/>
        </w:rPr>
        <w:t>spectrum</w:t>
      </w:r>
      <w:r w:rsidRPr="47C41F95">
        <w:rPr>
          <w:rFonts w:ascii="Arial" w:hAnsi="Arial" w:cs="Arial"/>
          <w:sz w:val="20"/>
          <w:szCs w:val="20"/>
        </w:rPr>
        <w:t xml:space="preserve"> in </w:t>
      </w:r>
      <w:r w:rsidR="00FF561D">
        <w:rPr>
          <w:rFonts w:ascii="Arial" w:hAnsi="Arial" w:cs="Arial"/>
          <w:sz w:val="20"/>
          <w:szCs w:val="20"/>
        </w:rPr>
        <w:t>one</w:t>
      </w:r>
      <w:r w:rsidR="00FF561D" w:rsidRPr="47C41F95">
        <w:rPr>
          <w:rFonts w:ascii="Arial" w:hAnsi="Arial" w:cs="Arial"/>
          <w:sz w:val="20"/>
          <w:szCs w:val="20"/>
        </w:rPr>
        <w:t xml:space="preserve"> </w:t>
      </w:r>
      <w:r w:rsidRPr="47C41F95">
        <w:rPr>
          <w:rFonts w:ascii="Arial" w:hAnsi="Arial" w:cs="Arial"/>
          <w:sz w:val="20"/>
          <w:szCs w:val="20"/>
        </w:rPr>
        <w:t>process.</w:t>
      </w:r>
    </w:p>
    <w:p w14:paraId="338A143D" w14:textId="77777777" w:rsidR="000235C9" w:rsidRDefault="000235C9" w:rsidP="000235C9">
      <w:pPr>
        <w:pStyle w:val="Paragraphbeforelist"/>
        <w:keepLines/>
        <w:spacing w:before="240"/>
      </w:pPr>
      <w:r>
        <w:t>This paper has been prepared to assist interested parties to provide comments on the proposed terms of the re-allocation declaration. This paper:</w:t>
      </w:r>
    </w:p>
    <w:p w14:paraId="53372D05" w14:textId="77777777" w:rsidR="000235C9" w:rsidRPr="000B643A" w:rsidRDefault="000235C9" w:rsidP="000235C9">
      <w:pPr>
        <w:pStyle w:val="Numberlistlevel1"/>
        <w:keepNext/>
        <w:keepLines/>
      </w:pPr>
      <w:r w:rsidRPr="003B4857">
        <w:t>canvasses alternative options</w:t>
      </w:r>
      <w:r>
        <w:t xml:space="preserve"> </w:t>
      </w:r>
      <w:r w:rsidRPr="000B643A">
        <w:t>on parts of the spectrum to be re</w:t>
      </w:r>
      <w:r>
        <w:t>-</w:t>
      </w:r>
      <w:r w:rsidRPr="000B643A">
        <w:t>allocated by issuing spectrum licen</w:t>
      </w:r>
      <w:r>
        <w:t>c</w:t>
      </w:r>
      <w:r w:rsidRPr="000B643A">
        <w:t>es</w:t>
      </w:r>
    </w:p>
    <w:p w14:paraId="06C6EFE3" w14:textId="35F80035" w:rsidR="000235C9" w:rsidRPr="000B643A" w:rsidRDefault="000235C9" w:rsidP="000235C9">
      <w:pPr>
        <w:pStyle w:val="Numberlistlevel1"/>
        <w:keepNext/>
        <w:keepLines/>
      </w:pPr>
      <w:r>
        <w:t>outlines</w:t>
      </w:r>
      <w:r w:rsidRPr="000B643A">
        <w:t xml:space="preserve"> why </w:t>
      </w:r>
      <w:r>
        <w:t>we</w:t>
      </w:r>
      <w:r w:rsidRPr="000B643A">
        <w:t xml:space="preserve"> consider spectrum licensing to be the most suitable long-term licensing arrangement </w:t>
      </w:r>
      <w:r>
        <w:t>for the spectrum subject to re-allocation</w:t>
      </w:r>
    </w:p>
    <w:p w14:paraId="18ED8D7E" w14:textId="4960CE85" w:rsidR="000235C9" w:rsidRDefault="000235C9" w:rsidP="000235C9">
      <w:pPr>
        <w:pStyle w:val="Numberlistlevel1"/>
      </w:pPr>
      <w:r w:rsidRPr="000B643A">
        <w:t xml:space="preserve">includes further detail on the proposed </w:t>
      </w:r>
      <w:r>
        <w:t>re</w:t>
      </w:r>
      <w:r>
        <w:noBreakHyphen/>
        <w:t>allocation</w:t>
      </w:r>
      <w:r w:rsidRPr="000B643A">
        <w:t xml:space="preserve"> period and </w:t>
      </w:r>
      <w:r>
        <w:t>re</w:t>
      </w:r>
      <w:r>
        <w:noBreakHyphen/>
        <w:t>allocation</w:t>
      </w:r>
      <w:r w:rsidRPr="000B643A">
        <w:t xml:space="preserve"> deadline </w:t>
      </w:r>
    </w:p>
    <w:p w14:paraId="6C59CCD3" w14:textId="77777777" w:rsidR="000235C9" w:rsidRPr="000B643A" w:rsidRDefault="000235C9" w:rsidP="000235C9">
      <w:pPr>
        <w:pStyle w:val="Numberlistlast"/>
      </w:pPr>
      <w:r>
        <w:t xml:space="preserve">discusses </w:t>
      </w:r>
      <w:r w:rsidRPr="000B643A">
        <w:t xml:space="preserve">other matters relevant to the price-based allocation of spectrum licences. </w:t>
      </w:r>
    </w:p>
    <w:p w14:paraId="4C53D904" w14:textId="5D7DF0F9" w:rsidR="000235C9" w:rsidRDefault="000235C9" w:rsidP="00D863CA">
      <w:pPr>
        <w:pStyle w:val="Paragraph"/>
      </w:pPr>
      <w:r w:rsidRPr="000B643A">
        <w:t xml:space="preserve">Subject to this consultation, </w:t>
      </w:r>
      <w:r>
        <w:t>we</w:t>
      </w:r>
      <w:r w:rsidRPr="000B643A">
        <w:t xml:space="preserve"> propose </w:t>
      </w:r>
      <w:r>
        <w:t>for the</w:t>
      </w:r>
      <w:r w:rsidRPr="000B643A">
        <w:t xml:space="preserve"> allocation </w:t>
      </w:r>
      <w:r>
        <w:t>to</w:t>
      </w:r>
      <w:r w:rsidRPr="000B643A">
        <w:t xml:space="preserve"> be conducted in </w:t>
      </w:r>
      <w:r>
        <w:t>2</w:t>
      </w:r>
      <w:r w:rsidRPr="000B643A">
        <w:t>02</w:t>
      </w:r>
      <w:r>
        <w:t>3</w:t>
      </w:r>
      <w:r w:rsidRPr="000B643A">
        <w:t xml:space="preserve">. </w:t>
      </w:r>
      <w:r>
        <w:t xml:space="preserve">We encourage </w:t>
      </w:r>
      <w:r w:rsidRPr="007123FD">
        <w:t>stakeholders to comment on potential allocation issues at this early stage of the process.</w:t>
      </w:r>
    </w:p>
    <w:p w14:paraId="6959F3CE" w14:textId="1B20F621" w:rsidR="00B63937" w:rsidRDefault="00C954E4" w:rsidP="009449E1">
      <w:pPr>
        <w:pStyle w:val="Heading2"/>
      </w:pPr>
      <w:bookmarkStart w:id="2" w:name="_Toc96940974"/>
      <w:r>
        <w:t>Parts of the spectrum subject to re-allocation</w:t>
      </w:r>
      <w:bookmarkEnd w:id="2"/>
    </w:p>
    <w:p w14:paraId="6EA6B378" w14:textId="1185100B" w:rsidR="005670AD" w:rsidRDefault="005670AD" w:rsidP="009449E1">
      <w:r>
        <w:rPr>
          <w:rFonts w:cs="Arial"/>
        </w:rPr>
        <w:t xml:space="preserve">This paper identifies </w:t>
      </w:r>
      <w:r w:rsidR="00F172C7">
        <w:rPr>
          <w:rFonts w:cs="Arial"/>
        </w:rPr>
        <w:t>3</w:t>
      </w:r>
      <w:r>
        <w:rPr>
          <w:rFonts w:cs="Arial"/>
        </w:rPr>
        <w:t xml:space="preserve"> options for the </w:t>
      </w:r>
      <w:r w:rsidR="00F172C7">
        <w:rPr>
          <w:rFonts w:cs="Arial"/>
        </w:rPr>
        <w:t>parts of the spectrum to be re</w:t>
      </w:r>
      <w:r w:rsidR="00F172C7">
        <w:rPr>
          <w:rFonts w:cs="Arial"/>
        </w:rPr>
        <w:noBreakHyphen/>
        <w:t>allocated</w:t>
      </w:r>
      <w:r>
        <w:rPr>
          <w:rFonts w:cs="Arial"/>
        </w:rPr>
        <w:t xml:space="preserve">. </w:t>
      </w:r>
      <w:r w:rsidR="009E281C">
        <w:t xml:space="preserve">Under </w:t>
      </w:r>
      <w:r w:rsidR="00411889">
        <w:t>each</w:t>
      </w:r>
      <w:r w:rsidR="009E281C">
        <w:t xml:space="preserve"> option, the total quantum of spectrum available under spectrum and apparatus licensing in regional areas </w:t>
      </w:r>
      <w:r w:rsidR="00411889">
        <w:t>remains</w:t>
      </w:r>
      <w:r w:rsidR="009E281C">
        <w:t xml:space="preserve"> broadly consistent, but the location of available spectrum var</w:t>
      </w:r>
      <w:r w:rsidR="00411889">
        <w:t>ies</w:t>
      </w:r>
      <w:r w:rsidR="009E281C">
        <w:t xml:space="preserve">. </w:t>
      </w:r>
    </w:p>
    <w:p w14:paraId="584B82E2" w14:textId="4A33CF51" w:rsidR="00C11150" w:rsidRDefault="00F03F95" w:rsidP="00C11150">
      <w:pPr>
        <w:pStyle w:val="Paragraph"/>
      </w:pPr>
      <w:r>
        <w:t>We have</w:t>
      </w:r>
      <w:r w:rsidR="009307C4">
        <w:t xml:space="preserve"> conducted </w:t>
      </w:r>
      <w:r w:rsidR="00C11150">
        <w:t>consultation</w:t>
      </w:r>
      <w:r w:rsidR="00FC2CCE">
        <w:t>s</w:t>
      </w:r>
      <w:r w:rsidR="009307C4">
        <w:t xml:space="preserve"> </w:t>
      </w:r>
      <w:r w:rsidR="00C11150">
        <w:t>on</w:t>
      </w:r>
      <w:r w:rsidR="009307C4">
        <w:t xml:space="preserve"> the </w:t>
      </w:r>
      <w:hyperlink r:id="rId26" w:history="1">
        <w:r w:rsidR="00B356F7">
          <w:rPr>
            <w:rStyle w:val="Hyperlink"/>
          </w:rPr>
          <w:t>optimisation of the 3400–3575 MHz band</w:t>
        </w:r>
      </w:hyperlink>
      <w:r w:rsidR="009307C4">
        <w:t xml:space="preserve"> and </w:t>
      </w:r>
      <w:hyperlink r:id="rId27" w:history="1">
        <w:r w:rsidR="00B356F7">
          <w:rPr>
            <w:rStyle w:val="Hyperlink"/>
          </w:rPr>
          <w:t>review of planning arrangements in the 3700–4200 MHz band</w:t>
        </w:r>
      </w:hyperlink>
      <w:r w:rsidR="009307C4">
        <w:t xml:space="preserve">. </w:t>
      </w:r>
      <w:r w:rsidR="009307C4" w:rsidRPr="00643199">
        <w:t>Through these processes</w:t>
      </w:r>
      <w:r w:rsidR="00B356F7">
        <w:t>,</w:t>
      </w:r>
      <w:r w:rsidR="009307C4" w:rsidRPr="00643199">
        <w:t xml:space="preserve"> </w:t>
      </w:r>
      <w:r w:rsidR="002A0F0D">
        <w:t xml:space="preserve">we </w:t>
      </w:r>
      <w:r w:rsidR="009307C4" w:rsidRPr="00643199">
        <w:t>identified that part of the 3400</w:t>
      </w:r>
      <w:r w:rsidR="00B356F7">
        <w:rPr>
          <w:szCs w:val="20"/>
        </w:rPr>
        <w:t>–</w:t>
      </w:r>
      <w:r w:rsidR="009307C4" w:rsidRPr="00643199">
        <w:t xml:space="preserve">3575 MHz </w:t>
      </w:r>
      <w:r w:rsidR="00735D63">
        <w:t>frequency range</w:t>
      </w:r>
      <w:r w:rsidR="00541D62">
        <w:t xml:space="preserve"> </w:t>
      </w:r>
      <w:r w:rsidR="009307C4" w:rsidRPr="00643199">
        <w:t>and the entire 3700</w:t>
      </w:r>
      <w:r w:rsidR="00B356F7">
        <w:rPr>
          <w:szCs w:val="20"/>
        </w:rPr>
        <w:t>–</w:t>
      </w:r>
      <w:r w:rsidR="009307C4" w:rsidRPr="00643199">
        <w:t xml:space="preserve">3800 MHz </w:t>
      </w:r>
      <w:r w:rsidR="00735D63">
        <w:t>frequency range</w:t>
      </w:r>
      <w:r w:rsidR="009307C4" w:rsidRPr="00643199">
        <w:t xml:space="preserve"> in metropolitan and regional areas </w:t>
      </w:r>
      <w:r w:rsidR="006A4E3E">
        <w:t>could</w:t>
      </w:r>
      <w:r w:rsidR="006A4E3E" w:rsidRPr="00643199">
        <w:t xml:space="preserve"> </w:t>
      </w:r>
      <w:r w:rsidR="009307C4" w:rsidRPr="00643199">
        <w:t xml:space="preserve">be made available for </w:t>
      </w:r>
      <w:bookmarkStart w:id="3" w:name="_Hlk95991623"/>
      <w:r w:rsidR="009307C4" w:rsidRPr="00643199">
        <w:t xml:space="preserve">wide-area </w:t>
      </w:r>
      <w:r w:rsidR="00003D8E">
        <w:t>WBB</w:t>
      </w:r>
      <w:r w:rsidR="009307C4" w:rsidRPr="00643199">
        <w:t xml:space="preserve"> use</w:t>
      </w:r>
      <w:bookmarkEnd w:id="3"/>
      <w:r w:rsidR="009307C4" w:rsidRPr="00643199">
        <w:t>.</w:t>
      </w:r>
      <w:r w:rsidR="00C11150">
        <w:t xml:space="preserve"> </w:t>
      </w:r>
      <w:r w:rsidR="00FF6849">
        <w:t>Option 1 is based on the outcomes of the</w:t>
      </w:r>
      <w:r w:rsidR="00C11150">
        <w:t xml:space="preserve">se </w:t>
      </w:r>
      <w:r w:rsidR="00FF6849">
        <w:t xml:space="preserve">consultation processes. </w:t>
      </w:r>
    </w:p>
    <w:p w14:paraId="656DC58C" w14:textId="7BF053F4" w:rsidR="00FF6849" w:rsidRPr="003F7BD1" w:rsidRDefault="00C11150" w:rsidP="00F6560E">
      <w:pPr>
        <w:pStyle w:val="Paragraphbeforelist"/>
      </w:pPr>
      <w:r>
        <w:t>D</w:t>
      </w:r>
      <w:r w:rsidR="00FF6849">
        <w:t xml:space="preserve">uring the implementation of the outcomes of these processes, </w:t>
      </w:r>
      <w:r w:rsidR="00956EB1">
        <w:t xml:space="preserve">we identified </w:t>
      </w:r>
      <w:r w:rsidR="00B356F7">
        <w:t xml:space="preserve">2 </w:t>
      </w:r>
      <w:r w:rsidR="00FF6849">
        <w:t>additional options</w:t>
      </w:r>
      <w:r w:rsidR="00956EB1">
        <w:t xml:space="preserve"> for planning arrangements within the 3400</w:t>
      </w:r>
      <w:r w:rsidR="00B356F7">
        <w:rPr>
          <w:szCs w:val="20"/>
        </w:rPr>
        <w:t>–</w:t>
      </w:r>
      <w:r w:rsidR="00956EB1">
        <w:t>3575 MHz and 3700</w:t>
      </w:r>
      <w:r w:rsidR="00B356F7">
        <w:rPr>
          <w:szCs w:val="20"/>
        </w:rPr>
        <w:t>–</w:t>
      </w:r>
      <w:r w:rsidR="00956EB1">
        <w:t xml:space="preserve">3800 MHz </w:t>
      </w:r>
      <w:r w:rsidR="003F7BD1" w:rsidDel="00956EB1">
        <w:t xml:space="preserve">frequency </w:t>
      </w:r>
      <w:r w:rsidR="00735D63">
        <w:t>ranges</w:t>
      </w:r>
      <w:r w:rsidR="00956EB1">
        <w:t>:</w:t>
      </w:r>
      <w:r w:rsidR="00FF6849">
        <w:t xml:space="preserve"> </w:t>
      </w:r>
    </w:p>
    <w:p w14:paraId="3F407249" w14:textId="7D5E1D88" w:rsidR="00FF6849" w:rsidRDefault="00FF6849" w:rsidP="00AC52D2">
      <w:pPr>
        <w:pStyle w:val="Bulletlevel1"/>
      </w:pPr>
      <w:r>
        <w:t>Option 2 is a modification to Option 1 that identifies additional spectrum for re</w:t>
      </w:r>
      <w:r w:rsidR="00693E6B">
        <w:noBreakHyphen/>
      </w:r>
      <w:r>
        <w:t>allocation in the 3492.5</w:t>
      </w:r>
      <w:r w:rsidR="00B356F7">
        <w:rPr>
          <w:szCs w:val="20"/>
        </w:rPr>
        <w:t>–</w:t>
      </w:r>
      <w:r>
        <w:t>3495 MHz and 3540</w:t>
      </w:r>
      <w:r w:rsidR="00B356F7">
        <w:rPr>
          <w:szCs w:val="20"/>
        </w:rPr>
        <w:t>–</w:t>
      </w:r>
      <w:r>
        <w:t xml:space="preserve">3542.5 MHz </w:t>
      </w:r>
      <w:r w:rsidR="00735D63">
        <w:t>frequency ranges</w:t>
      </w:r>
      <w:r>
        <w:t xml:space="preserve"> in defined regional areas. </w:t>
      </w:r>
    </w:p>
    <w:p w14:paraId="266D3FF9" w14:textId="6CD2091E" w:rsidR="00FF6849" w:rsidRDefault="00FF6849" w:rsidP="00912132">
      <w:pPr>
        <w:pStyle w:val="Bulletlevel1last"/>
      </w:pPr>
      <w:r>
        <w:t xml:space="preserve">Option 3 </w:t>
      </w:r>
      <w:r w:rsidR="00693E6B">
        <w:t>identifies additional spectrum for re-allocation</w:t>
      </w:r>
      <w:r>
        <w:t xml:space="preserve"> </w:t>
      </w:r>
      <w:r w:rsidR="00693E6B">
        <w:t>in</w:t>
      </w:r>
      <w:r>
        <w:t xml:space="preserve"> all remaining </w:t>
      </w:r>
      <w:bookmarkStart w:id="4" w:name="_Hlk95991648"/>
      <w:r>
        <w:t>non-spectrum</w:t>
      </w:r>
      <w:r w:rsidR="00B356F7">
        <w:t>-</w:t>
      </w:r>
      <w:r>
        <w:t>licensed segments</w:t>
      </w:r>
      <w:bookmarkEnd w:id="4"/>
      <w:r>
        <w:t xml:space="preserve"> of the 3400</w:t>
      </w:r>
      <w:r w:rsidR="00B356F7">
        <w:rPr>
          <w:szCs w:val="20"/>
        </w:rPr>
        <w:t>–</w:t>
      </w:r>
      <w:r>
        <w:t>3575 MHz</w:t>
      </w:r>
      <w:r w:rsidR="00693E6B">
        <w:t xml:space="preserve"> </w:t>
      </w:r>
      <w:r w:rsidR="00735D63">
        <w:t>frequency range</w:t>
      </w:r>
      <w:r>
        <w:t xml:space="preserve"> in regional areas. As per Option 1, the 3700</w:t>
      </w:r>
      <w:r w:rsidR="00B356F7">
        <w:rPr>
          <w:szCs w:val="20"/>
        </w:rPr>
        <w:t>–</w:t>
      </w:r>
      <w:r>
        <w:t xml:space="preserve">3800 MHz </w:t>
      </w:r>
      <w:r w:rsidR="00735D63">
        <w:t>frequency range</w:t>
      </w:r>
      <w:r>
        <w:t xml:space="preserve"> is proposed for re-</w:t>
      </w:r>
      <w:r>
        <w:lastRenderedPageBreak/>
        <w:t xml:space="preserve">allocation in capital cities. However, </w:t>
      </w:r>
      <w:r w:rsidR="00981BAB">
        <w:t>in regional areas</w:t>
      </w:r>
      <w:r w:rsidR="00B356F7">
        <w:t>,</w:t>
      </w:r>
      <w:r>
        <w:t xml:space="preserve"> </w:t>
      </w:r>
      <w:r w:rsidR="006223A5">
        <w:t xml:space="preserve">only </w:t>
      </w:r>
      <w:r>
        <w:t>the 3700</w:t>
      </w:r>
      <w:r w:rsidR="00B356F7">
        <w:rPr>
          <w:szCs w:val="20"/>
        </w:rPr>
        <w:t>–</w:t>
      </w:r>
      <w:r>
        <w:t xml:space="preserve">3750 MHz </w:t>
      </w:r>
      <w:r w:rsidR="00A60841">
        <w:t>portion</w:t>
      </w:r>
      <w:r>
        <w:t xml:space="preserve"> is proposed for re-allocation. </w:t>
      </w:r>
    </w:p>
    <w:p w14:paraId="483C0B0C" w14:textId="4479B720" w:rsidR="00FF6849" w:rsidRDefault="00FF6849" w:rsidP="000C1400">
      <w:pPr>
        <w:pStyle w:val="Paragraph"/>
      </w:pPr>
      <w:r w:rsidRPr="00794C8F">
        <w:t xml:space="preserve">The ACMA’s preliminary preferred approach is to implement </w:t>
      </w:r>
      <w:r>
        <w:t>O</w:t>
      </w:r>
      <w:r w:rsidRPr="00794C8F">
        <w:t>ption 3</w:t>
      </w:r>
      <w:r w:rsidR="00D6526C">
        <w:t xml:space="preserve">, reflected in the proposed terms of </w:t>
      </w:r>
      <w:r w:rsidR="00754D5A">
        <w:t>a re-allocation declaration (</w:t>
      </w:r>
      <w:r w:rsidR="00B356F7">
        <w:t xml:space="preserve">see </w:t>
      </w:r>
      <w:r w:rsidR="00754D5A" w:rsidRPr="00582F59">
        <w:t>Table 1)</w:t>
      </w:r>
      <w:r w:rsidRPr="00582F59">
        <w:t>.</w:t>
      </w:r>
      <w:r w:rsidRPr="00794C8F">
        <w:t xml:space="preserve"> We consider this</w:t>
      </w:r>
      <w:r>
        <w:t xml:space="preserve"> best </w:t>
      </w:r>
      <w:r w:rsidRPr="00794C8F">
        <w:t>promote</w:t>
      </w:r>
      <w:r w:rsidR="008828B4">
        <w:t>s</w:t>
      </w:r>
      <w:r w:rsidRPr="00794C8F">
        <w:t xml:space="preserve"> the long-term public interest derived from use of the spectrum</w:t>
      </w:r>
      <w:r w:rsidR="00B261F6">
        <w:t xml:space="preserve"> by facilitating the consolidation of spectrum</w:t>
      </w:r>
      <w:r w:rsidR="00B356F7">
        <w:t>-</w:t>
      </w:r>
      <w:r w:rsidR="00B261F6">
        <w:t>licensed holdings in the band</w:t>
      </w:r>
      <w:r w:rsidRPr="00794C8F">
        <w:t>.</w:t>
      </w:r>
      <w:r w:rsidR="00B261F6">
        <w:t xml:space="preserve"> </w:t>
      </w:r>
      <w:bookmarkStart w:id="5" w:name="_Hlk95991808"/>
      <w:r w:rsidR="00E95592">
        <w:t xml:space="preserve">In line with the </w:t>
      </w:r>
      <w:hyperlink r:id="rId28" w:history="1">
        <w:r w:rsidR="00B356F7">
          <w:rPr>
            <w:rStyle w:val="Hyperlink"/>
          </w:rPr>
          <w:t>ministerial policy statement</w:t>
        </w:r>
      </w:hyperlink>
      <w:r w:rsidR="00B356F7">
        <w:t xml:space="preserve"> (</w:t>
      </w:r>
      <w:r w:rsidR="00E95592">
        <w:t>MPS</w:t>
      </w:r>
      <w:r w:rsidR="00B356F7">
        <w:t>)</w:t>
      </w:r>
      <w:bookmarkEnd w:id="5"/>
      <w:r w:rsidR="00E95592">
        <w:t>, t</w:t>
      </w:r>
      <w:r w:rsidR="00786248">
        <w:t xml:space="preserve">he consolidation of </w:t>
      </w:r>
      <w:bookmarkStart w:id="6" w:name="_Hlk95991685"/>
      <w:r w:rsidR="00E55DB2">
        <w:t>spectrum</w:t>
      </w:r>
      <w:r w:rsidR="00B356F7">
        <w:t>-</w:t>
      </w:r>
      <w:r w:rsidR="00E55DB2">
        <w:t xml:space="preserve">licensed </w:t>
      </w:r>
      <w:r w:rsidR="00786248">
        <w:t>arrangements</w:t>
      </w:r>
      <w:bookmarkEnd w:id="6"/>
      <w:r w:rsidR="00786248">
        <w:t xml:space="preserve"> will </w:t>
      </w:r>
      <w:r w:rsidR="00923B69">
        <w:t xml:space="preserve">also </w:t>
      </w:r>
      <w:r w:rsidR="00786248">
        <w:t xml:space="preserve">support the deployment of new and innovative </w:t>
      </w:r>
      <w:r w:rsidR="00E55DB2">
        <w:t>technologies, including 5G.</w:t>
      </w:r>
      <w:r w:rsidRPr="00794C8F">
        <w:t xml:space="preserve"> </w:t>
      </w:r>
    </w:p>
    <w:p w14:paraId="6BB06F69" w14:textId="6C1E9CEE" w:rsidR="00705E90" w:rsidRDefault="00B356F7" w:rsidP="000C1400">
      <w:pPr>
        <w:pStyle w:val="Paragraph"/>
        <w:rPr>
          <w:szCs w:val="20"/>
        </w:rPr>
      </w:pPr>
      <w:r>
        <w:t xml:space="preserve">We </w:t>
      </w:r>
      <w:r w:rsidR="00D61E47" w:rsidRPr="00045617">
        <w:t xml:space="preserve">also </w:t>
      </w:r>
      <w:r w:rsidR="00490331" w:rsidRPr="00045617">
        <w:t>consult</w:t>
      </w:r>
      <w:r w:rsidR="00490331">
        <w:t>ed</w:t>
      </w:r>
      <w:r w:rsidR="00490331" w:rsidRPr="00045617">
        <w:t xml:space="preserve"> </w:t>
      </w:r>
      <w:r w:rsidR="00D61E47" w:rsidRPr="00045617">
        <w:t xml:space="preserve">on </w:t>
      </w:r>
      <w:hyperlink r:id="rId29" w:history="1">
        <w:r w:rsidR="00B17B48">
          <w:rPr>
            <w:rStyle w:val="Hyperlink"/>
          </w:rPr>
          <w:t>the use of spectrum in urban areas of the 3400–3475 MHz frequency range (urban excise spectrum) for WBB</w:t>
        </w:r>
      </w:hyperlink>
      <w:r w:rsidR="003532A1" w:rsidRPr="00045617">
        <w:t xml:space="preserve">. </w:t>
      </w:r>
      <w:r w:rsidR="004D6F64" w:rsidRPr="00045617">
        <w:t>Through this process</w:t>
      </w:r>
      <w:r w:rsidR="00904ECB" w:rsidRPr="00045617">
        <w:t>,</w:t>
      </w:r>
      <w:r w:rsidR="004D6F64" w:rsidRPr="00045617">
        <w:t xml:space="preserve"> we identified </w:t>
      </w:r>
      <w:r w:rsidR="003A35E0" w:rsidRPr="00045617">
        <w:t>2</w:t>
      </w:r>
      <w:r w:rsidR="003535BA" w:rsidRPr="00045617">
        <w:t xml:space="preserve"> licensing options for the urban excise spectrum</w:t>
      </w:r>
      <w:r w:rsidR="00045617" w:rsidRPr="00045617">
        <w:t xml:space="preserve"> for further consultation.</w:t>
      </w:r>
      <w:r w:rsidR="003535BA" w:rsidRPr="00045617">
        <w:t xml:space="preserve"> </w:t>
      </w:r>
      <w:r w:rsidR="00705E90">
        <w:rPr>
          <w:szCs w:val="20"/>
        </w:rPr>
        <w:t xml:space="preserve">This paper </w:t>
      </w:r>
      <w:r w:rsidR="00F8180C">
        <w:rPr>
          <w:szCs w:val="20"/>
        </w:rPr>
        <w:t xml:space="preserve">further </w:t>
      </w:r>
      <w:r w:rsidR="00705E90">
        <w:rPr>
          <w:szCs w:val="20"/>
        </w:rPr>
        <w:t xml:space="preserve">considers </w:t>
      </w:r>
      <w:r w:rsidR="009A6BB8">
        <w:rPr>
          <w:szCs w:val="20"/>
        </w:rPr>
        <w:t>and expands</w:t>
      </w:r>
      <w:r w:rsidR="00003D8E">
        <w:rPr>
          <w:szCs w:val="20"/>
        </w:rPr>
        <w:t xml:space="preserve"> on</w:t>
      </w:r>
      <w:r w:rsidR="009A6BB8">
        <w:rPr>
          <w:szCs w:val="20"/>
        </w:rPr>
        <w:t xml:space="preserve"> </w:t>
      </w:r>
      <w:r w:rsidR="00F8180C">
        <w:rPr>
          <w:szCs w:val="20"/>
        </w:rPr>
        <w:t xml:space="preserve">these options </w:t>
      </w:r>
      <w:r w:rsidR="00705E90">
        <w:rPr>
          <w:szCs w:val="20"/>
        </w:rPr>
        <w:t>in the context of work underway to develop planning and allocation arrangements for WBB use across the broader 3400</w:t>
      </w:r>
      <w:r>
        <w:rPr>
          <w:szCs w:val="20"/>
        </w:rPr>
        <w:t>–</w:t>
      </w:r>
      <w:r w:rsidR="00705E90">
        <w:rPr>
          <w:szCs w:val="20"/>
        </w:rPr>
        <w:t xml:space="preserve">4000 MHz frequency range. This includes how different WBB </w:t>
      </w:r>
      <w:r w:rsidR="00705E90" w:rsidRPr="00660093">
        <w:rPr>
          <w:szCs w:val="20"/>
        </w:rPr>
        <w:t>use</w:t>
      </w:r>
      <w:r w:rsidR="00660093">
        <w:rPr>
          <w:szCs w:val="20"/>
        </w:rPr>
        <w:t>-</w:t>
      </w:r>
      <w:r w:rsidR="00705E90" w:rsidRPr="00660093">
        <w:rPr>
          <w:szCs w:val="20"/>
        </w:rPr>
        <w:t>cases</w:t>
      </w:r>
      <w:r w:rsidR="00705E90">
        <w:rPr>
          <w:szCs w:val="20"/>
        </w:rPr>
        <w:t xml:space="preserve"> can be accommodated.</w:t>
      </w:r>
    </w:p>
    <w:p w14:paraId="583D430B" w14:textId="20E541D4" w:rsidR="00705E90" w:rsidRDefault="008302D7" w:rsidP="00ED1B3F">
      <w:pPr>
        <w:pStyle w:val="Paragraphbeforelist"/>
      </w:pPr>
      <w:r>
        <w:t>The options</w:t>
      </w:r>
      <w:r w:rsidR="00705E90">
        <w:t xml:space="preserve"> for use of urban excise areas </w:t>
      </w:r>
      <w:r w:rsidR="00420E51">
        <w:t xml:space="preserve">discussed </w:t>
      </w:r>
      <w:r w:rsidR="00705E90">
        <w:t>in this paper</w:t>
      </w:r>
      <w:r w:rsidR="001503FF">
        <w:t xml:space="preserve"> are:</w:t>
      </w:r>
    </w:p>
    <w:p w14:paraId="32344AFF" w14:textId="77777777" w:rsidR="00B356F7" w:rsidRDefault="00705E90" w:rsidP="00ED1B3F">
      <w:pPr>
        <w:pStyle w:val="ListBullet"/>
      </w:pPr>
      <w:r w:rsidRPr="000508E1">
        <w:rPr>
          <w:b/>
          <w:bCs/>
        </w:rPr>
        <w:t>Option A:</w:t>
      </w:r>
      <w:r>
        <w:t xml:space="preserve"> </w:t>
      </w:r>
    </w:p>
    <w:p w14:paraId="724B3ABD" w14:textId="4D2A9A7E" w:rsidR="00B356F7" w:rsidRDefault="00705E90" w:rsidP="00B356F7">
      <w:pPr>
        <w:pStyle w:val="Bulletlevel2"/>
      </w:pPr>
      <w:r>
        <w:t>Develop spectrum licence arrangements for the 3400</w:t>
      </w:r>
      <w:r w:rsidR="00B356F7">
        <w:rPr>
          <w:szCs w:val="20"/>
        </w:rPr>
        <w:t>–</w:t>
      </w:r>
      <w:r>
        <w:t xml:space="preserve">3475 MHz band in urban excise areas. </w:t>
      </w:r>
    </w:p>
    <w:p w14:paraId="154EC7C1" w14:textId="1AA8092C" w:rsidR="00705E90" w:rsidRDefault="00705E90" w:rsidP="000508E1">
      <w:pPr>
        <w:pStyle w:val="Bulletlevel2"/>
      </w:pPr>
      <w:r>
        <w:t>Develop apparatus licence arrangements for WBB in the 3800</w:t>
      </w:r>
      <w:r w:rsidR="00B356F7">
        <w:rPr>
          <w:szCs w:val="20"/>
        </w:rPr>
        <w:t>–</w:t>
      </w:r>
      <w:r>
        <w:t>4000 MHz frequency range</w:t>
      </w:r>
      <w:r w:rsidR="00A57D0E">
        <w:t xml:space="preserve">, </w:t>
      </w:r>
      <w:r w:rsidR="002F1DB1">
        <w:t>including</w:t>
      </w:r>
      <w:r w:rsidR="00264E4B">
        <w:t xml:space="preserve"> arrangement</w:t>
      </w:r>
      <w:r w:rsidR="00C86D5C">
        <w:t>s</w:t>
      </w:r>
      <w:r w:rsidR="00264E4B">
        <w:t xml:space="preserve"> to support </w:t>
      </w:r>
      <w:r w:rsidR="00A57D0E">
        <w:t xml:space="preserve">both macro cell and </w:t>
      </w:r>
      <w:r w:rsidR="00264E4B">
        <w:t>restricted cell</w:t>
      </w:r>
      <w:r w:rsidR="00D80EE5">
        <w:t xml:space="preserve"> </w:t>
      </w:r>
      <w:r w:rsidR="000508E1">
        <w:t>local-area wireless broadband (</w:t>
      </w:r>
      <w:r w:rsidR="00C369F9">
        <w:t xml:space="preserve">LA </w:t>
      </w:r>
      <w:r w:rsidR="00D80EE5">
        <w:t>WBB</w:t>
      </w:r>
      <w:r w:rsidR="000508E1">
        <w:t>)</w:t>
      </w:r>
      <w:r>
        <w:t xml:space="preserve">.  </w:t>
      </w:r>
    </w:p>
    <w:p w14:paraId="5EA82153" w14:textId="77777777" w:rsidR="00B356F7" w:rsidRPr="000508E1" w:rsidRDefault="00705E90" w:rsidP="000508E1">
      <w:pPr>
        <w:pStyle w:val="Bulletlevel1"/>
        <w:rPr>
          <w:b/>
          <w:bCs/>
        </w:rPr>
      </w:pPr>
      <w:r w:rsidRPr="000508E1">
        <w:rPr>
          <w:b/>
          <w:bCs/>
        </w:rPr>
        <w:t xml:space="preserve">Option B: </w:t>
      </w:r>
    </w:p>
    <w:p w14:paraId="6DCF2990" w14:textId="7D13CBAF" w:rsidR="00B356F7" w:rsidRDefault="00705E90" w:rsidP="000508E1">
      <w:pPr>
        <w:pStyle w:val="Bulletlevel2"/>
      </w:pPr>
      <w:r>
        <w:t>Develop class licence or apparatus licence arrangements for restricted cell WBB use in the 3400</w:t>
      </w:r>
      <w:r w:rsidR="00B356F7">
        <w:rPr>
          <w:szCs w:val="20"/>
        </w:rPr>
        <w:t>–</w:t>
      </w:r>
      <w:r>
        <w:t xml:space="preserve">3475 MHz band in urban excise areas. </w:t>
      </w:r>
    </w:p>
    <w:p w14:paraId="0A51F442" w14:textId="0D63375F" w:rsidR="00705E90" w:rsidRDefault="00705E90" w:rsidP="000508E1">
      <w:pPr>
        <w:pStyle w:val="Bulletlevel2last"/>
      </w:pPr>
      <w:r>
        <w:t>Develop apparatus licence arrangements for general WBB use in the 3800</w:t>
      </w:r>
      <w:bookmarkStart w:id="7" w:name="_Hlk95991609"/>
      <w:r w:rsidR="00B356F7">
        <w:rPr>
          <w:szCs w:val="20"/>
        </w:rPr>
        <w:t>–</w:t>
      </w:r>
      <w:bookmarkEnd w:id="7"/>
      <w:r>
        <w:t xml:space="preserve">4000 MHz frequency range in metropolitan areas and other areas of high demand.  </w:t>
      </w:r>
    </w:p>
    <w:p w14:paraId="784AF4AD" w14:textId="5A5D2239" w:rsidR="00175290" w:rsidRDefault="00403A34" w:rsidP="00ED1B3F">
      <w:pPr>
        <w:pStyle w:val="Paragraph"/>
      </w:pPr>
      <w:r>
        <w:t xml:space="preserve">In assessing these </w:t>
      </w:r>
      <w:r w:rsidR="00211732">
        <w:t>options,</w:t>
      </w:r>
      <w:r>
        <w:t xml:space="preserve"> </w:t>
      </w:r>
      <w:r w:rsidR="00F03F95">
        <w:t>we are</w:t>
      </w:r>
      <w:r w:rsidR="00292BAF">
        <w:t xml:space="preserve"> intending to support </w:t>
      </w:r>
      <w:r w:rsidR="00BE6A74">
        <w:t>wide</w:t>
      </w:r>
      <w:r w:rsidR="00B356F7">
        <w:t>-</w:t>
      </w:r>
      <w:r w:rsidR="00BE6A74">
        <w:t>area WBB</w:t>
      </w:r>
      <w:r w:rsidR="00B24929">
        <w:t xml:space="preserve"> (WA WBB), macro cell </w:t>
      </w:r>
      <w:r w:rsidR="00B24929" w:rsidRPr="008F7D51">
        <w:t>LA</w:t>
      </w:r>
      <w:r w:rsidR="00B24929">
        <w:t xml:space="preserve"> WBB and </w:t>
      </w:r>
      <w:bookmarkStart w:id="8" w:name="_Hlk95992005"/>
      <w:r w:rsidR="00B24929">
        <w:t>restricted cell LA WBB use</w:t>
      </w:r>
      <w:r w:rsidR="00660093">
        <w:t>-</w:t>
      </w:r>
      <w:r w:rsidR="00B24929">
        <w:t>cases</w:t>
      </w:r>
      <w:r w:rsidR="00EF6FA2">
        <w:t xml:space="preserve"> in the 3400</w:t>
      </w:r>
      <w:r w:rsidR="00716F2F">
        <w:rPr>
          <w:szCs w:val="20"/>
        </w:rPr>
        <w:t>–</w:t>
      </w:r>
      <w:r w:rsidR="00EF6FA2">
        <w:t xml:space="preserve">4000 </w:t>
      </w:r>
      <w:bookmarkEnd w:id="8"/>
      <w:r w:rsidR="00EF6FA2">
        <w:t>MHz frequency range</w:t>
      </w:r>
      <w:r w:rsidR="00B24929">
        <w:t xml:space="preserve">. </w:t>
      </w:r>
      <w:r w:rsidR="00DD0C1C">
        <w:t xml:space="preserve">In this </w:t>
      </w:r>
      <w:r w:rsidR="00DD0C1C" w:rsidRPr="008F7D51">
        <w:t>case</w:t>
      </w:r>
      <w:r w:rsidR="00716F2F" w:rsidRPr="008F7D51">
        <w:t>,</w:t>
      </w:r>
      <w:r w:rsidR="00DD0C1C" w:rsidRPr="008F7D51">
        <w:t xml:space="preserve"> we</w:t>
      </w:r>
      <w:r w:rsidR="007D3C19" w:rsidRPr="008F7D51">
        <w:t xml:space="preserve"> </w:t>
      </w:r>
      <w:r w:rsidR="008F7D51" w:rsidRPr="008F7D51">
        <w:t xml:space="preserve">believe </w:t>
      </w:r>
      <w:r w:rsidR="00221A2C" w:rsidRPr="008F7D51">
        <w:t>apparatus</w:t>
      </w:r>
      <w:r w:rsidR="00EC7BC3" w:rsidRPr="00062E8A">
        <w:t>-</w:t>
      </w:r>
      <w:r w:rsidR="00221A2C" w:rsidRPr="008F7D51">
        <w:t>licen</w:t>
      </w:r>
      <w:r w:rsidR="00511F79">
        <w:t>s</w:t>
      </w:r>
      <w:r w:rsidR="00221A2C" w:rsidRPr="008F7D51">
        <w:t>e</w:t>
      </w:r>
      <w:r w:rsidR="00511F79">
        <w:t>d</w:t>
      </w:r>
      <w:r w:rsidR="00221A2C" w:rsidRPr="008F7D51">
        <w:t xml:space="preserve"> arrangeme</w:t>
      </w:r>
      <w:r w:rsidR="00221A2C">
        <w:t xml:space="preserve">nts </w:t>
      </w:r>
      <w:r w:rsidR="005518B9">
        <w:t xml:space="preserve">can be </w:t>
      </w:r>
      <w:r w:rsidR="00710230">
        <w:t xml:space="preserve">implemented </w:t>
      </w:r>
      <w:r w:rsidR="005518B9">
        <w:t>in the 3800</w:t>
      </w:r>
      <w:r w:rsidR="00716F2F">
        <w:rPr>
          <w:szCs w:val="20"/>
        </w:rPr>
        <w:t>–</w:t>
      </w:r>
      <w:r w:rsidR="005518B9">
        <w:t>4000 MHz segment</w:t>
      </w:r>
      <w:r w:rsidR="00FC0ACC">
        <w:t xml:space="preserve"> that support</w:t>
      </w:r>
      <w:r w:rsidR="00C76394">
        <w:t xml:space="preserve"> both </w:t>
      </w:r>
      <w:r w:rsidR="00710230">
        <w:t xml:space="preserve">macro cell and restricted cell </w:t>
      </w:r>
      <w:r w:rsidR="00C76394">
        <w:t>LA WB</w:t>
      </w:r>
      <w:r w:rsidR="00C76394" w:rsidRPr="008F7D51">
        <w:t>B use</w:t>
      </w:r>
      <w:r w:rsidR="00660093" w:rsidRPr="00062E8A">
        <w:t>-</w:t>
      </w:r>
      <w:r w:rsidR="00C76394" w:rsidRPr="008F7D51">
        <w:t>case</w:t>
      </w:r>
      <w:r w:rsidR="00C76394">
        <w:t>s</w:t>
      </w:r>
      <w:r w:rsidR="005518B9">
        <w:t xml:space="preserve">. </w:t>
      </w:r>
      <w:r w:rsidR="00873EE9">
        <w:t xml:space="preserve">We </w:t>
      </w:r>
      <w:r w:rsidR="008F7D51">
        <w:t>also think</w:t>
      </w:r>
      <w:r w:rsidR="00873EE9">
        <w:t xml:space="preserve"> that </w:t>
      </w:r>
      <w:r w:rsidR="001E1308">
        <w:t>making the 3400</w:t>
      </w:r>
      <w:r w:rsidR="00716F2F">
        <w:rPr>
          <w:szCs w:val="20"/>
        </w:rPr>
        <w:t>–</w:t>
      </w:r>
      <w:r w:rsidR="001E1308">
        <w:t xml:space="preserve">3475 MHz band available </w:t>
      </w:r>
      <w:r w:rsidR="00777A64">
        <w:t>via the issue of spectrum licences</w:t>
      </w:r>
      <w:r w:rsidR="001C3D1D">
        <w:t xml:space="preserve"> could support either </w:t>
      </w:r>
      <w:r w:rsidR="006405CF">
        <w:t>WA WBB or macro cell LA WBB use</w:t>
      </w:r>
      <w:r w:rsidR="00660093">
        <w:t>-</w:t>
      </w:r>
      <w:r w:rsidR="006405CF">
        <w:t xml:space="preserve">cases. Additionally, </w:t>
      </w:r>
      <w:r w:rsidR="0014305C">
        <w:t>i</w:t>
      </w:r>
      <w:r w:rsidR="00A53490" w:rsidRPr="00A76995">
        <w:t xml:space="preserve">f there is a need for a future restack to consolidate spectrum holdings, a single licence type across the 3400–3800 MHz </w:t>
      </w:r>
      <w:r w:rsidR="003130BD">
        <w:t>frequency range</w:t>
      </w:r>
      <w:r w:rsidR="00A53490" w:rsidRPr="00A76995">
        <w:t xml:space="preserve"> in metropolitan </w:t>
      </w:r>
      <w:r w:rsidR="00A53490">
        <w:t xml:space="preserve">areas </w:t>
      </w:r>
      <w:r w:rsidR="00A53490" w:rsidRPr="00A76995">
        <w:t>would better facilitate this</w:t>
      </w:r>
      <w:r w:rsidR="00B1172D">
        <w:t>.</w:t>
      </w:r>
      <w:r w:rsidR="00114BEC">
        <w:t xml:space="preserve"> </w:t>
      </w:r>
      <w:r w:rsidR="00472B73">
        <w:t xml:space="preserve"> </w:t>
      </w:r>
      <w:r w:rsidR="00D12807">
        <w:t xml:space="preserve"> </w:t>
      </w:r>
    </w:p>
    <w:p w14:paraId="440A00A0" w14:textId="12214FC2" w:rsidR="00705E90" w:rsidRDefault="00710230" w:rsidP="00ED1B3F">
      <w:pPr>
        <w:pStyle w:val="Paragraph"/>
      </w:pPr>
      <w:r>
        <w:t>Taking</w:t>
      </w:r>
      <w:r w:rsidR="00F43F80">
        <w:t xml:space="preserve"> this</w:t>
      </w:r>
      <w:r>
        <w:t xml:space="preserve"> into account, </w:t>
      </w:r>
      <w:r w:rsidR="00716F2F">
        <w:t>we</w:t>
      </w:r>
      <w:r w:rsidR="00F70469">
        <w:t xml:space="preserve"> </w:t>
      </w:r>
      <w:r w:rsidR="00716F2F">
        <w:t xml:space="preserve">have </w:t>
      </w:r>
      <w:r w:rsidR="00F70469">
        <w:t xml:space="preserve">identified Option A as </w:t>
      </w:r>
      <w:r w:rsidR="00EC7BC3">
        <w:t xml:space="preserve">our </w:t>
      </w:r>
      <w:r w:rsidR="00705E90">
        <w:t>preliminary preferred approach. We believe this would result in the most efficient use of the broader 3400</w:t>
      </w:r>
      <w:r w:rsidR="00EC7BC3" w:rsidRPr="00A76995">
        <w:t>–</w:t>
      </w:r>
      <w:r w:rsidR="00705E90">
        <w:t>4000 MHz band</w:t>
      </w:r>
      <w:r w:rsidR="00EC7BC3">
        <w:t>,</w:t>
      </w:r>
      <w:r w:rsidR="00705E90">
        <w:t xml:space="preserve"> while catering for the different WBB use</w:t>
      </w:r>
      <w:r w:rsidR="00660093">
        <w:t>-</w:t>
      </w:r>
      <w:r w:rsidR="00705E90">
        <w:t>cases. Under this approach</w:t>
      </w:r>
      <w:r w:rsidR="00EC7BC3">
        <w:t>,</w:t>
      </w:r>
      <w:r w:rsidR="00705E90">
        <w:t xml:space="preserve"> we also propose </w:t>
      </w:r>
      <w:r w:rsidR="00705E90">
        <w:rPr>
          <w:szCs w:val="20"/>
        </w:rPr>
        <w:t xml:space="preserve">the </w:t>
      </w:r>
      <w:r w:rsidR="006012C1">
        <w:rPr>
          <w:szCs w:val="20"/>
        </w:rPr>
        <w:t>3800</w:t>
      </w:r>
      <w:r w:rsidR="00EC7BC3" w:rsidRPr="00A76995">
        <w:t>–</w:t>
      </w:r>
      <w:r w:rsidR="006012C1">
        <w:rPr>
          <w:szCs w:val="20"/>
        </w:rPr>
        <w:t xml:space="preserve">3950 MHz </w:t>
      </w:r>
      <w:r w:rsidR="00200676">
        <w:rPr>
          <w:szCs w:val="20"/>
        </w:rPr>
        <w:t xml:space="preserve">frequency range be reserved for macro cell WBB use and the </w:t>
      </w:r>
      <w:r w:rsidR="00705E90">
        <w:t>3950</w:t>
      </w:r>
      <w:r w:rsidR="00EC7BC3" w:rsidRPr="00A76995">
        <w:t>–</w:t>
      </w:r>
      <w:r w:rsidR="00705E90">
        <w:t xml:space="preserve">4000 MHz </w:t>
      </w:r>
      <w:r w:rsidR="00200676">
        <w:t>frequency range</w:t>
      </w:r>
      <w:r w:rsidR="00705E90">
        <w:t xml:space="preserve"> be reserved for restricted cell WBB use in metropolitan areas and other areas of high demand for spectrum.</w:t>
      </w:r>
    </w:p>
    <w:p w14:paraId="78B67C4B" w14:textId="35456788" w:rsidR="006D31D2" w:rsidRDefault="006D31D2" w:rsidP="00812C12">
      <w:pPr>
        <w:pStyle w:val="Heading2"/>
        <w:keepLines/>
      </w:pPr>
      <w:bookmarkStart w:id="9" w:name="_Toc96940975"/>
      <w:r>
        <w:t>Re-allocation declaration</w:t>
      </w:r>
      <w:bookmarkEnd w:id="9"/>
    </w:p>
    <w:p w14:paraId="0BB3453D" w14:textId="3B10E945" w:rsidR="00FF6849" w:rsidRDefault="00FF6849" w:rsidP="00812C12">
      <w:pPr>
        <w:pStyle w:val="Paragraph"/>
        <w:keepNext/>
        <w:keepLines/>
      </w:pPr>
      <w:r>
        <w:t xml:space="preserve">We invite submissions </w:t>
      </w:r>
      <w:r w:rsidRPr="00E803A7">
        <w:t xml:space="preserve">on the proposed terms of one or more re-allocation declarations </w:t>
      </w:r>
      <w:r w:rsidR="008F7D51">
        <w:t xml:space="preserve">set out in </w:t>
      </w:r>
      <w:r w:rsidRPr="00582F59">
        <w:t xml:space="preserve">Table 1. </w:t>
      </w:r>
      <w:r w:rsidR="006D31D2" w:rsidRPr="00582F59">
        <w:t>As noted above, t</w:t>
      </w:r>
      <w:r w:rsidRPr="00582F59">
        <w:t>he terms outlined in Table 1 are</w:t>
      </w:r>
      <w:r w:rsidRPr="00E803A7">
        <w:t xml:space="preserve"> subject to some optionality </w:t>
      </w:r>
      <w:r w:rsidR="00F03F95">
        <w:t>of</w:t>
      </w:r>
      <w:r w:rsidRPr="00E803A7">
        <w:t xml:space="preserve"> parts of the spectrum </w:t>
      </w:r>
      <w:r w:rsidRPr="00E803A7">
        <w:rPr>
          <w:iCs/>
        </w:rPr>
        <w:t xml:space="preserve">(the frequency ranges) </w:t>
      </w:r>
      <w:r w:rsidRPr="00E803A7">
        <w:t>and associated geographic areas.</w:t>
      </w:r>
    </w:p>
    <w:p w14:paraId="10835139" w14:textId="0BC65756" w:rsidR="00ED28FC" w:rsidRDefault="00704AC5" w:rsidP="00812C12">
      <w:pPr>
        <w:pStyle w:val="Tableheading"/>
        <w:keepLines/>
      </w:pPr>
      <w:r>
        <w:t xml:space="preserve"> </w:t>
      </w:r>
      <w:bookmarkStart w:id="10" w:name="_Ref4141806"/>
      <w:r w:rsidR="00BE290D">
        <w:t>Proposed t</w:t>
      </w:r>
      <w:r w:rsidR="00ED28FC">
        <w:t xml:space="preserve">erms of the </w:t>
      </w:r>
      <w:r w:rsidR="00BE290D">
        <w:t xml:space="preserve">re-allocation </w:t>
      </w:r>
      <w:bookmarkEnd w:id="10"/>
      <w:r w:rsidR="00BE290D">
        <w:t>declaration</w:t>
      </w:r>
      <w:r w:rsidR="006564AC" w:rsidRPr="00B51B1B">
        <w:t>s</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57" w:type="dxa"/>
          <w:bottom w:w="85" w:type="dxa"/>
          <w:right w:w="57" w:type="dxa"/>
        </w:tblCellMar>
        <w:tblLook w:val="01E0" w:firstRow="1" w:lastRow="1" w:firstColumn="1" w:lastColumn="1" w:noHBand="0" w:noVBand="0"/>
        <w:tblCaption w:val="Table title to go here"/>
        <w:tblDescription w:val="Table description to go here"/>
      </w:tblPr>
      <w:tblGrid>
        <w:gridCol w:w="2615"/>
        <w:gridCol w:w="5744"/>
      </w:tblGrid>
      <w:tr w:rsidR="00A16A22" w:rsidRPr="006D46E5" w14:paraId="738E7334" w14:textId="77777777" w:rsidTr="00B631B4">
        <w:tc>
          <w:tcPr>
            <w:tcW w:w="2615" w:type="dxa"/>
            <w:shd w:val="clear" w:color="auto" w:fill="404040" w:themeFill="text1" w:themeFillTint="BF"/>
          </w:tcPr>
          <w:p w14:paraId="60C73DDF" w14:textId="77777777" w:rsidR="00A16A22" w:rsidRPr="006D46E5" w:rsidRDefault="00A16A22" w:rsidP="00812C12">
            <w:pPr>
              <w:pStyle w:val="TableHeading0"/>
              <w:keepLines/>
              <w:numPr>
                <w:ilvl w:val="0"/>
                <w:numId w:val="0"/>
              </w:numPr>
              <w:spacing w:after="0"/>
              <w:rPr>
                <w:rFonts w:cs="Arial"/>
                <w:color w:val="FFFFFF" w:themeColor="background1"/>
              </w:rPr>
            </w:pPr>
            <w:r>
              <w:rPr>
                <w:rFonts w:cs="Arial"/>
                <w:color w:val="FFFFFF" w:themeColor="background1"/>
              </w:rPr>
              <w:t>Element of declaration</w:t>
            </w:r>
          </w:p>
        </w:tc>
        <w:tc>
          <w:tcPr>
            <w:tcW w:w="5744" w:type="dxa"/>
            <w:shd w:val="clear" w:color="auto" w:fill="404040" w:themeFill="text1" w:themeFillTint="BF"/>
          </w:tcPr>
          <w:p w14:paraId="569D81EE" w14:textId="77777777" w:rsidR="00A16A22" w:rsidRPr="006D46E5" w:rsidRDefault="00A16A22" w:rsidP="00812C12">
            <w:pPr>
              <w:pStyle w:val="TableHeading0"/>
              <w:keepLines/>
              <w:numPr>
                <w:ilvl w:val="0"/>
                <w:numId w:val="0"/>
              </w:numPr>
              <w:spacing w:after="0"/>
              <w:ind w:left="720" w:hanging="720"/>
              <w:rPr>
                <w:rFonts w:cs="Arial"/>
                <w:color w:val="FFFFFF" w:themeColor="background1"/>
              </w:rPr>
            </w:pPr>
            <w:r>
              <w:rPr>
                <w:rFonts w:cs="Arial"/>
                <w:color w:val="FFFFFF" w:themeColor="background1"/>
              </w:rPr>
              <w:t>The ACMA’s proposal</w:t>
            </w:r>
          </w:p>
        </w:tc>
      </w:tr>
      <w:tr w:rsidR="00A16A22" w:rsidRPr="006D46E5" w14:paraId="36B20A70" w14:textId="77777777" w:rsidTr="00B631B4">
        <w:tc>
          <w:tcPr>
            <w:tcW w:w="2615" w:type="dxa"/>
          </w:tcPr>
          <w:p w14:paraId="3AE699BC" w14:textId="77777777" w:rsidR="00A16A22" w:rsidRPr="006D46E5" w:rsidRDefault="00A16A22" w:rsidP="00812C12">
            <w:pPr>
              <w:pStyle w:val="TableBody"/>
              <w:keepNext/>
              <w:keepLines/>
              <w:rPr>
                <w:rFonts w:cs="Arial"/>
              </w:rPr>
            </w:pPr>
            <w:r>
              <w:rPr>
                <w:rFonts w:cs="Arial"/>
              </w:rPr>
              <w:t>Licence type</w:t>
            </w:r>
          </w:p>
        </w:tc>
        <w:tc>
          <w:tcPr>
            <w:tcW w:w="5744" w:type="dxa"/>
          </w:tcPr>
          <w:p w14:paraId="3BA4A746" w14:textId="77777777" w:rsidR="00A16A22" w:rsidRPr="006D46E5" w:rsidRDefault="00A16A22" w:rsidP="00812C12">
            <w:pPr>
              <w:pStyle w:val="TableBody"/>
              <w:keepNext/>
              <w:keepLines/>
              <w:rPr>
                <w:rFonts w:cs="Arial"/>
              </w:rPr>
            </w:pPr>
            <w:r>
              <w:rPr>
                <w:rFonts w:cs="Arial"/>
              </w:rPr>
              <w:t>Spectrum licences</w:t>
            </w:r>
          </w:p>
        </w:tc>
      </w:tr>
      <w:tr w:rsidR="00A16A22" w:rsidRPr="006D46E5" w14:paraId="54725BD1" w14:textId="77777777" w:rsidTr="00B631B4">
        <w:trPr>
          <w:trHeight w:val="20"/>
        </w:trPr>
        <w:tc>
          <w:tcPr>
            <w:tcW w:w="2615" w:type="dxa"/>
            <w:shd w:val="clear" w:color="auto" w:fill="F2F2F2" w:themeFill="background1" w:themeFillShade="F2"/>
          </w:tcPr>
          <w:p w14:paraId="674734A4" w14:textId="77777777" w:rsidR="00A16A22" w:rsidRPr="006D46E5" w:rsidRDefault="00A16A22" w:rsidP="00812C12">
            <w:pPr>
              <w:pStyle w:val="TableBody"/>
              <w:keepNext/>
              <w:keepLines/>
              <w:rPr>
                <w:rFonts w:cs="Arial"/>
              </w:rPr>
            </w:pPr>
            <w:r>
              <w:rPr>
                <w:rFonts w:cs="Arial"/>
              </w:rPr>
              <w:t>Parts of the spectrum</w:t>
            </w:r>
          </w:p>
        </w:tc>
        <w:tc>
          <w:tcPr>
            <w:tcW w:w="5744" w:type="dxa"/>
            <w:shd w:val="clear" w:color="auto" w:fill="F2F2F2" w:themeFill="background1" w:themeFillShade="F2"/>
          </w:tcPr>
          <w:p w14:paraId="31BB5C22" w14:textId="77777777" w:rsidR="00A16A22" w:rsidRDefault="00A16A22" w:rsidP="00812C12">
            <w:pPr>
              <w:pStyle w:val="Paragraphbeforelist"/>
              <w:keepLines/>
            </w:pPr>
            <w:r>
              <w:t xml:space="preserve">The frequency ranges: </w:t>
            </w:r>
          </w:p>
          <w:p w14:paraId="55710B3D" w14:textId="608F0456" w:rsidR="000422A7" w:rsidRDefault="000422A7" w:rsidP="00812C12">
            <w:pPr>
              <w:pStyle w:val="Bulletlevel1"/>
              <w:keepNext/>
              <w:keepLines/>
            </w:pPr>
            <w:r>
              <w:t>3400</w:t>
            </w:r>
            <w:r w:rsidR="00EC7BC3" w:rsidRPr="00A76995">
              <w:t>–</w:t>
            </w:r>
            <w:r>
              <w:t>3425 MHz in major regional centres 2</w:t>
            </w:r>
          </w:p>
          <w:p w14:paraId="6CC90EC1" w14:textId="3A738D4A" w:rsidR="000422A7" w:rsidRDefault="000422A7" w:rsidP="00812C12">
            <w:pPr>
              <w:pStyle w:val="Bulletlevel1"/>
              <w:keepNext/>
              <w:keepLines/>
            </w:pPr>
            <w:r>
              <w:t>3400</w:t>
            </w:r>
            <w:r w:rsidR="00EC7BC3" w:rsidRPr="00A76995">
              <w:t>–</w:t>
            </w:r>
            <w:r>
              <w:t>3442.5 MHz in regional area 1</w:t>
            </w:r>
          </w:p>
          <w:p w14:paraId="4C47A29C" w14:textId="16C25948" w:rsidR="00146B4D" w:rsidRDefault="00146B4D" w:rsidP="00812C12">
            <w:pPr>
              <w:pStyle w:val="Bulletlevel1"/>
              <w:keepNext/>
              <w:keepLines/>
            </w:pPr>
            <w:r>
              <w:t>3475</w:t>
            </w:r>
            <w:r w:rsidR="00EC7BC3" w:rsidRPr="00A76995">
              <w:t>–</w:t>
            </w:r>
            <w:r w:rsidR="00370E57">
              <w:t>3492.5 MHz in regional areas 1 and 2</w:t>
            </w:r>
          </w:p>
          <w:p w14:paraId="7847FC05" w14:textId="4D312BB3" w:rsidR="000422A7" w:rsidRDefault="000422A7" w:rsidP="00812C12">
            <w:pPr>
              <w:pStyle w:val="Bulletlevel1"/>
              <w:keepNext/>
              <w:keepLines/>
            </w:pPr>
            <w:r>
              <w:t>3</w:t>
            </w:r>
            <w:r w:rsidR="00370E57">
              <w:t>492.5</w:t>
            </w:r>
            <w:r w:rsidR="00EC7BC3" w:rsidRPr="00A76995">
              <w:t>–</w:t>
            </w:r>
            <w:r>
              <w:t>3510 MHz in</w:t>
            </w:r>
            <w:r w:rsidR="000C09F4">
              <w:t xml:space="preserve"> major regional centres, and</w:t>
            </w:r>
            <w:r>
              <w:t xml:space="preserve"> regional areas 1 and 2</w:t>
            </w:r>
          </w:p>
          <w:p w14:paraId="7C9C3A08" w14:textId="12C08CA1" w:rsidR="000422A7" w:rsidRDefault="000422A7" w:rsidP="00812C12">
            <w:pPr>
              <w:pStyle w:val="Bulletlevel1"/>
              <w:keepNext/>
              <w:keepLines/>
            </w:pPr>
            <w:r>
              <w:t>3</w:t>
            </w:r>
            <w:r w:rsidR="00207D5A">
              <w:t>510</w:t>
            </w:r>
            <w:r w:rsidR="00EC7BC3" w:rsidRPr="00A76995">
              <w:t>–</w:t>
            </w:r>
            <w:r>
              <w:t xml:space="preserve">3542.5 MHz in major regional centres 2 and regional area 1 </w:t>
            </w:r>
          </w:p>
          <w:p w14:paraId="48AE670B" w14:textId="2F5E3C63" w:rsidR="000422A7" w:rsidRDefault="000422A7" w:rsidP="00812C12">
            <w:pPr>
              <w:pStyle w:val="Bulletlevel1last"/>
              <w:keepNext/>
              <w:keepLines/>
            </w:pPr>
            <w:r>
              <w:t>3475</w:t>
            </w:r>
            <w:r w:rsidR="00EC7BC3" w:rsidRPr="00A76995">
              <w:t>–</w:t>
            </w:r>
            <w:r>
              <w:t>3575 MHz in regional Western Australia</w:t>
            </w:r>
            <w:r w:rsidR="00C51CC6">
              <w:t xml:space="preserve"> central</w:t>
            </w:r>
            <w:r>
              <w:t xml:space="preserve">. </w:t>
            </w:r>
          </w:p>
          <w:p w14:paraId="02AF7831" w14:textId="35DB0818" w:rsidR="00A16A22" w:rsidRDefault="00A16A22" w:rsidP="00812C12">
            <w:pPr>
              <w:pStyle w:val="Paragraph"/>
              <w:keepNext/>
              <w:keepLines/>
            </w:pPr>
            <w:r>
              <w:t xml:space="preserve">This part of the spectrum </w:t>
            </w:r>
            <w:r w:rsidR="00F03F95">
              <w:t>is</w:t>
            </w:r>
            <w:r w:rsidRPr="008A4AE7">
              <w:t xml:space="preserve"> referred to as the</w:t>
            </w:r>
            <w:r w:rsidR="00207D5A">
              <w:t xml:space="preserve"> </w:t>
            </w:r>
            <w:r w:rsidR="00207D5A" w:rsidRPr="00511F79">
              <w:rPr>
                <w:i/>
                <w:iCs/>
              </w:rPr>
              <w:t>regional</w:t>
            </w:r>
            <w:r w:rsidRPr="00511F79">
              <w:rPr>
                <w:i/>
                <w:iCs/>
              </w:rPr>
              <w:t xml:space="preserve"> 3.</w:t>
            </w:r>
            <w:r w:rsidR="00EC7BC3" w:rsidRPr="00511F79">
              <w:rPr>
                <w:i/>
                <w:iCs/>
              </w:rPr>
              <w:t>4 </w:t>
            </w:r>
            <w:r w:rsidRPr="00511F79">
              <w:rPr>
                <w:i/>
                <w:iCs/>
              </w:rPr>
              <w:t>GHz band</w:t>
            </w:r>
            <w:r w:rsidRPr="008A4AE7">
              <w:t xml:space="preserve"> in this paper.</w:t>
            </w:r>
            <w:r w:rsidR="00246281">
              <w:t xml:space="preserve"> The regional 3.4 GHz band forms a part of the 3.4 GHz band.</w:t>
            </w:r>
          </w:p>
          <w:p w14:paraId="20A29DCF" w14:textId="1FE72EB5" w:rsidR="00A16A22" w:rsidRPr="008A4AE7" w:rsidRDefault="00A16A22" w:rsidP="00812C12">
            <w:pPr>
              <w:pStyle w:val="Paragraph"/>
              <w:keepNext/>
              <w:keepLines/>
            </w:pPr>
            <w:r>
              <w:t>The frequency range 3400</w:t>
            </w:r>
            <w:r w:rsidR="00EC7BC3" w:rsidRPr="00A76995">
              <w:t>–</w:t>
            </w:r>
            <w:r w:rsidRPr="00A16A22">
              <w:t>3475</w:t>
            </w:r>
            <w:r>
              <w:t xml:space="preserve"> MHz in urban excise areas. This part of the spectrum </w:t>
            </w:r>
            <w:r w:rsidR="00F03F95">
              <w:t>is</w:t>
            </w:r>
            <w:r>
              <w:t xml:space="preserve"> referred to as the </w:t>
            </w:r>
            <w:r w:rsidRPr="00511F79">
              <w:rPr>
                <w:i/>
                <w:iCs/>
              </w:rPr>
              <w:t>urban excise</w:t>
            </w:r>
            <w:r>
              <w:t xml:space="preserve"> in this paper.</w:t>
            </w:r>
            <w:r w:rsidR="00246281">
              <w:t xml:space="preserve"> The urban excise forms a part of the 3.</w:t>
            </w:r>
            <w:r w:rsidR="00EC7BC3">
              <w:t>4 </w:t>
            </w:r>
            <w:r w:rsidR="00246281">
              <w:t>GHz band.</w:t>
            </w:r>
          </w:p>
          <w:p w14:paraId="198CD5E9" w14:textId="77777777" w:rsidR="00A16A22" w:rsidRDefault="00A16A22" w:rsidP="00812C12">
            <w:pPr>
              <w:pStyle w:val="Paragraphbeforelist"/>
              <w:keepLines/>
            </w:pPr>
            <w:r>
              <w:t xml:space="preserve">The frequency ranges: </w:t>
            </w:r>
          </w:p>
          <w:p w14:paraId="4AF70F9B" w14:textId="5C8EECC5" w:rsidR="00A16A22" w:rsidRDefault="00A16A22" w:rsidP="00812C12">
            <w:pPr>
              <w:pStyle w:val="Bulletlevel1"/>
              <w:keepNext/>
              <w:keepLines/>
            </w:pPr>
            <w:r>
              <w:t>3700</w:t>
            </w:r>
            <w:r w:rsidR="00EC7BC3" w:rsidRPr="00A76995">
              <w:t>–</w:t>
            </w:r>
            <w:r>
              <w:t xml:space="preserve">3750 MHz in </w:t>
            </w:r>
            <w:r w:rsidR="008D33BF">
              <w:t xml:space="preserve">all </w:t>
            </w:r>
            <w:r>
              <w:t>metropolitan and regional areas</w:t>
            </w:r>
          </w:p>
          <w:p w14:paraId="031E7D7C" w14:textId="4494E208" w:rsidR="00A16A22" w:rsidRDefault="00A16A22" w:rsidP="00812C12">
            <w:pPr>
              <w:pStyle w:val="Bulletlevel1last"/>
              <w:keepNext/>
              <w:keepLines/>
            </w:pPr>
            <w:r>
              <w:t>3750</w:t>
            </w:r>
            <w:r w:rsidR="00EC7BC3" w:rsidRPr="00A76995">
              <w:t>–</w:t>
            </w:r>
            <w:r>
              <w:t xml:space="preserve">3800 MHz in </w:t>
            </w:r>
            <w:r w:rsidR="008D33BF">
              <w:t xml:space="preserve">all </w:t>
            </w:r>
            <w:r>
              <w:t xml:space="preserve">metropolitan areas. </w:t>
            </w:r>
          </w:p>
          <w:p w14:paraId="43C0BF29" w14:textId="340D4851" w:rsidR="00A16A22" w:rsidRPr="003326D6" w:rsidRDefault="00A16A22" w:rsidP="00812C12">
            <w:pPr>
              <w:pStyle w:val="TableBody"/>
              <w:keepNext/>
              <w:keepLines/>
            </w:pPr>
            <w:r>
              <w:t xml:space="preserve">This part of the spectrum </w:t>
            </w:r>
            <w:r w:rsidR="00F03F95">
              <w:t>is</w:t>
            </w:r>
            <w:r>
              <w:t xml:space="preserve"> referred to as the </w:t>
            </w:r>
            <w:r w:rsidRPr="00511F79">
              <w:rPr>
                <w:i/>
                <w:iCs/>
              </w:rPr>
              <w:t>3.7 GHz band</w:t>
            </w:r>
            <w:r>
              <w:t xml:space="preserve"> in this paper.</w:t>
            </w:r>
          </w:p>
        </w:tc>
      </w:tr>
      <w:tr w:rsidR="00A16A22" w:rsidRPr="006D46E5" w14:paraId="709C40AF" w14:textId="77777777" w:rsidTr="00B631B4">
        <w:tc>
          <w:tcPr>
            <w:tcW w:w="2615" w:type="dxa"/>
            <w:shd w:val="clear" w:color="auto" w:fill="FFFFFF" w:themeFill="background1"/>
          </w:tcPr>
          <w:p w14:paraId="42393C30" w14:textId="2271F7D2" w:rsidR="00A16A22" w:rsidRDefault="00A16A22" w:rsidP="00720E63">
            <w:pPr>
              <w:pStyle w:val="TableBody"/>
              <w:keepNext/>
              <w:keepLines/>
              <w:rPr>
                <w:rFonts w:cs="Arial"/>
              </w:rPr>
            </w:pPr>
            <w:r>
              <w:rPr>
                <w:rFonts w:cs="Arial"/>
              </w:rPr>
              <w:t>Re</w:t>
            </w:r>
            <w:r w:rsidR="002D49E7">
              <w:rPr>
                <w:rFonts w:cs="Arial"/>
              </w:rPr>
              <w:t>-</w:t>
            </w:r>
            <w:r>
              <w:rPr>
                <w:rFonts w:cs="Arial"/>
              </w:rPr>
              <w:t>allocation period</w:t>
            </w:r>
          </w:p>
        </w:tc>
        <w:tc>
          <w:tcPr>
            <w:tcW w:w="5744" w:type="dxa"/>
            <w:shd w:val="clear" w:color="auto" w:fill="FFFFFF" w:themeFill="background1"/>
          </w:tcPr>
          <w:p w14:paraId="28C6E06B" w14:textId="49119196" w:rsidR="00A16A22" w:rsidRDefault="00A16A22" w:rsidP="00720E63">
            <w:pPr>
              <w:pStyle w:val="TableBody"/>
              <w:keepNext/>
              <w:keepLines/>
              <w:rPr>
                <w:rFonts w:cs="Arial"/>
              </w:rPr>
            </w:pPr>
            <w:r>
              <w:rPr>
                <w:rFonts w:cs="Arial"/>
              </w:rPr>
              <w:t>Five years</w:t>
            </w:r>
            <w:r w:rsidR="004159D0">
              <w:rPr>
                <w:rFonts w:cs="Arial"/>
              </w:rPr>
              <w:t xml:space="preserve"> from the commencement of the re-allocation declarations.</w:t>
            </w:r>
          </w:p>
        </w:tc>
      </w:tr>
      <w:tr w:rsidR="00A16A22" w:rsidRPr="006D46E5" w14:paraId="4851238D" w14:textId="77777777" w:rsidTr="00B631B4">
        <w:tc>
          <w:tcPr>
            <w:tcW w:w="2615" w:type="dxa"/>
            <w:shd w:val="clear" w:color="auto" w:fill="F2F2F2" w:themeFill="background1" w:themeFillShade="F2"/>
          </w:tcPr>
          <w:p w14:paraId="356A7548" w14:textId="111F9775" w:rsidR="00A16A22" w:rsidRDefault="00A16A22" w:rsidP="00720E63">
            <w:pPr>
              <w:pStyle w:val="TableBody"/>
              <w:keepNext/>
              <w:keepLines/>
              <w:rPr>
                <w:rFonts w:cs="Arial"/>
              </w:rPr>
            </w:pPr>
            <w:r>
              <w:rPr>
                <w:rFonts w:cs="Arial"/>
              </w:rPr>
              <w:t>Re</w:t>
            </w:r>
            <w:r w:rsidR="002D49E7">
              <w:rPr>
                <w:rFonts w:cs="Arial"/>
              </w:rPr>
              <w:t>-</w:t>
            </w:r>
            <w:r>
              <w:rPr>
                <w:rFonts w:cs="Arial"/>
              </w:rPr>
              <w:t>allocation deadline</w:t>
            </w:r>
          </w:p>
        </w:tc>
        <w:tc>
          <w:tcPr>
            <w:tcW w:w="5744" w:type="dxa"/>
            <w:shd w:val="clear" w:color="auto" w:fill="F2F2F2" w:themeFill="background1" w:themeFillShade="F2"/>
          </w:tcPr>
          <w:p w14:paraId="502220CC" w14:textId="28906EAF" w:rsidR="00A16A22" w:rsidRDefault="00A16A22" w:rsidP="00720E63">
            <w:pPr>
              <w:pStyle w:val="TableBody"/>
              <w:keepNext/>
              <w:keepLines/>
              <w:rPr>
                <w:rFonts w:cs="Arial"/>
              </w:rPr>
            </w:pPr>
            <w:r>
              <w:rPr>
                <w:rFonts w:cs="Arial"/>
              </w:rPr>
              <w:t>12 months before the end of the re</w:t>
            </w:r>
            <w:r w:rsidR="00D06947">
              <w:rPr>
                <w:rFonts w:cs="Arial"/>
              </w:rPr>
              <w:t>-</w:t>
            </w:r>
            <w:r>
              <w:rPr>
                <w:rFonts w:cs="Arial"/>
              </w:rPr>
              <w:t>allocation period</w:t>
            </w:r>
            <w:r w:rsidR="003D41C2">
              <w:rPr>
                <w:rFonts w:cs="Arial"/>
              </w:rPr>
              <w:t>.</w:t>
            </w:r>
          </w:p>
        </w:tc>
      </w:tr>
    </w:tbl>
    <w:p w14:paraId="3888431E" w14:textId="31EDF543" w:rsidR="0072345A" w:rsidRDefault="0072345A" w:rsidP="00DF4AD0">
      <w:pPr>
        <w:pStyle w:val="Tableorfigurenote"/>
      </w:pPr>
      <w:r>
        <w:t xml:space="preserve">Note: Definitions for the geographic areas </w:t>
      </w:r>
      <w:r w:rsidR="00A26767">
        <w:t xml:space="preserve">associated with the frequency ranges </w:t>
      </w:r>
      <w:r>
        <w:t xml:space="preserve">proposed for re-allocation can be found </w:t>
      </w:r>
      <w:r w:rsidR="00ED24FD">
        <w:t xml:space="preserve">in </w:t>
      </w:r>
      <w:r>
        <w:t xml:space="preserve">Appendix B </w:t>
      </w:r>
      <w:r w:rsidR="00ED24FD">
        <w:t xml:space="preserve">of </w:t>
      </w:r>
      <w:r>
        <w:t xml:space="preserve">this paper. </w:t>
      </w:r>
    </w:p>
    <w:p w14:paraId="305E5C2A" w14:textId="5EAB87EA" w:rsidR="00155402" w:rsidRDefault="00123B38" w:rsidP="000414E2">
      <w:pPr>
        <w:pStyle w:val="Paragraph"/>
      </w:pPr>
      <w:r>
        <w:t>References to the 3.4 GHz band and 3.7 GHz band are specific to this consultation</w:t>
      </w:r>
      <w:r w:rsidR="000A2273">
        <w:t xml:space="preserve"> and are used for </w:t>
      </w:r>
      <w:r w:rsidR="003D41C2">
        <w:t xml:space="preserve">this </w:t>
      </w:r>
      <w:r w:rsidR="000A2273">
        <w:t>discussion</w:t>
      </w:r>
      <w:r w:rsidR="003D41C2">
        <w:t xml:space="preserve"> only</w:t>
      </w:r>
      <w:r>
        <w:t>.</w:t>
      </w:r>
      <w:r w:rsidR="000A2273">
        <w:t xml:space="preserve"> </w:t>
      </w:r>
    </w:p>
    <w:p w14:paraId="2E4FD804" w14:textId="7BB273C2" w:rsidR="00C04FDD" w:rsidRPr="00E37625" w:rsidRDefault="00D60137" w:rsidP="00812C12">
      <w:pPr>
        <w:pStyle w:val="Heading2"/>
        <w:keepLines/>
      </w:pPr>
      <w:bookmarkStart w:id="11" w:name="_Toc96940976"/>
      <w:r>
        <w:t>Other</w:t>
      </w:r>
      <w:r w:rsidRPr="00E37625">
        <w:t xml:space="preserve"> </w:t>
      </w:r>
      <w:r w:rsidR="00C04FDD" w:rsidRPr="00E37625">
        <w:t>matters</w:t>
      </w:r>
      <w:bookmarkEnd w:id="11"/>
    </w:p>
    <w:p w14:paraId="08A0B3F6" w14:textId="5058E2B0" w:rsidR="00116919" w:rsidRDefault="00B97917" w:rsidP="00812C12">
      <w:pPr>
        <w:pStyle w:val="Paragraph"/>
        <w:keepNext/>
        <w:keepLines/>
      </w:pPr>
      <w:r w:rsidRPr="000B643A">
        <w:t xml:space="preserve">If </w:t>
      </w:r>
      <w:r w:rsidR="00000723">
        <w:t>the ACMA proceeds</w:t>
      </w:r>
      <w:r w:rsidR="00F14AC5">
        <w:t xml:space="preserve"> with the re</w:t>
      </w:r>
      <w:r w:rsidR="003323F9">
        <w:t>-</w:t>
      </w:r>
      <w:r w:rsidR="00F14AC5">
        <w:t>allocation of th</w:t>
      </w:r>
      <w:r w:rsidR="00000723">
        <w:t xml:space="preserve">e </w:t>
      </w:r>
      <w:r w:rsidR="00EC2942">
        <w:t>3.4 GHz and 3.7 GHz bands</w:t>
      </w:r>
      <w:r w:rsidR="00000723">
        <w:t xml:space="preserve">, </w:t>
      </w:r>
      <w:r w:rsidR="00BD3A2F">
        <w:t xml:space="preserve">then </w:t>
      </w:r>
      <w:r w:rsidR="00DB5501">
        <w:t>we</w:t>
      </w:r>
      <w:r w:rsidRPr="000B643A">
        <w:t xml:space="preserve"> propose to conduct a price-based allocation of the spectrum.</w:t>
      </w:r>
      <w:r w:rsidR="00483618" w:rsidRPr="000B643A">
        <w:t xml:space="preserve"> </w:t>
      </w:r>
    </w:p>
    <w:p w14:paraId="034212FE" w14:textId="303C646A" w:rsidR="002C6B79" w:rsidRPr="000B643A" w:rsidRDefault="00660093" w:rsidP="00812C12">
      <w:pPr>
        <w:pStyle w:val="Paragraphbeforelist"/>
        <w:keepLines/>
      </w:pPr>
      <w:r>
        <w:t xml:space="preserve">To </w:t>
      </w:r>
      <w:r w:rsidRPr="000B643A">
        <w:t>facilitat</w:t>
      </w:r>
      <w:r>
        <w:t>e</w:t>
      </w:r>
      <w:r w:rsidRPr="000B643A">
        <w:t xml:space="preserve"> </w:t>
      </w:r>
      <w:r w:rsidR="00554A3E" w:rsidRPr="000B643A">
        <w:t xml:space="preserve">an efficient </w:t>
      </w:r>
      <w:r w:rsidR="00DA3182">
        <w:t>re</w:t>
      </w:r>
      <w:r w:rsidR="00DA3182">
        <w:noBreakHyphen/>
        <w:t>allocation</w:t>
      </w:r>
      <w:r w:rsidR="00554A3E" w:rsidRPr="000B643A">
        <w:t xml:space="preserve"> process, this paper also provides information </w:t>
      </w:r>
      <w:r w:rsidR="00462472" w:rsidRPr="000B643A">
        <w:t xml:space="preserve">and invites comments </w:t>
      </w:r>
      <w:r w:rsidR="00554A3E" w:rsidRPr="000B643A">
        <w:t xml:space="preserve">on </w:t>
      </w:r>
      <w:r w:rsidR="00462472">
        <w:t xml:space="preserve">other </w:t>
      </w:r>
      <w:r w:rsidRPr="000B643A">
        <w:t xml:space="preserve">relevant </w:t>
      </w:r>
      <w:r w:rsidR="00554A3E" w:rsidRPr="000B643A">
        <w:t>matters</w:t>
      </w:r>
      <w:r w:rsidR="00F03F95">
        <w:t>,</w:t>
      </w:r>
      <w:r w:rsidR="001B54B8" w:rsidRPr="000B643A">
        <w:t xml:space="preserve"> includ</w:t>
      </w:r>
      <w:r w:rsidR="00F03F95">
        <w:t>ing</w:t>
      </w:r>
      <w:r w:rsidR="00087073" w:rsidRPr="000B643A">
        <w:t>:</w:t>
      </w:r>
    </w:p>
    <w:p w14:paraId="0A6BE12B" w14:textId="77777777" w:rsidR="00230D98" w:rsidRDefault="00230D98" w:rsidP="00812C12">
      <w:pPr>
        <w:pStyle w:val="Bulletlevel1"/>
        <w:keepNext/>
        <w:keepLines/>
      </w:pPr>
      <w:r>
        <w:t>licence term</w:t>
      </w:r>
    </w:p>
    <w:p w14:paraId="69473558" w14:textId="355B4BF0" w:rsidR="00622F3E" w:rsidRDefault="00622F3E" w:rsidP="00812C12">
      <w:pPr>
        <w:pStyle w:val="Bulletlevel1"/>
        <w:keepNext/>
        <w:keepLines/>
      </w:pPr>
      <w:r>
        <w:t>lot configuration</w:t>
      </w:r>
    </w:p>
    <w:p w14:paraId="0D35EBD3" w14:textId="79708289" w:rsidR="001B54B8" w:rsidRDefault="001B54B8" w:rsidP="00812C12">
      <w:pPr>
        <w:pStyle w:val="Bulletlevel1"/>
        <w:keepNext/>
        <w:keepLines/>
        <w:spacing w:after="240"/>
      </w:pPr>
      <w:r>
        <w:t>allocation methodology</w:t>
      </w:r>
      <w:r w:rsidR="00622F3E">
        <w:t>.</w:t>
      </w:r>
    </w:p>
    <w:p w14:paraId="3FA5023E" w14:textId="5B098F1D" w:rsidR="00D4050C" w:rsidRPr="000B643A" w:rsidRDefault="00EE061F" w:rsidP="00116919">
      <w:pPr>
        <w:pStyle w:val="Paragraph"/>
      </w:pPr>
      <w:r>
        <w:t>V</w:t>
      </w:r>
      <w:r w:rsidR="00554A3E" w:rsidRPr="000B643A">
        <w:t xml:space="preserve">iews on these matters would only be relevant if </w:t>
      </w:r>
      <w:r>
        <w:t>we</w:t>
      </w:r>
      <w:r w:rsidR="00554A3E" w:rsidRPr="000B643A">
        <w:t xml:space="preserve"> </w:t>
      </w:r>
      <w:r w:rsidR="00172835">
        <w:t>proceed</w:t>
      </w:r>
      <w:r w:rsidR="003323F9">
        <w:t xml:space="preserve"> with the re-allocation of the spectrum</w:t>
      </w:r>
      <w:r w:rsidR="00554A3E" w:rsidRPr="000B643A">
        <w:t xml:space="preserve">. If </w:t>
      </w:r>
      <w:r w:rsidR="000C6C7D" w:rsidRPr="00DF4AD0">
        <w:t xml:space="preserve">one or more </w:t>
      </w:r>
      <w:r w:rsidR="00DA3182" w:rsidRPr="00DF4AD0">
        <w:t>re</w:t>
      </w:r>
      <w:r w:rsidR="00DA3182" w:rsidRPr="00DF4AD0">
        <w:noBreakHyphen/>
        <w:t>allocation</w:t>
      </w:r>
      <w:r w:rsidR="00554A3E" w:rsidRPr="00DF4AD0">
        <w:t xml:space="preserve"> declaration</w:t>
      </w:r>
      <w:r w:rsidR="000C6C7D" w:rsidRPr="00DF4AD0">
        <w:t>s</w:t>
      </w:r>
      <w:r w:rsidR="00554A3E" w:rsidRPr="000B643A">
        <w:t xml:space="preserve"> </w:t>
      </w:r>
      <w:r w:rsidR="000C6C7D">
        <w:t>are</w:t>
      </w:r>
      <w:r w:rsidR="000C6C7D" w:rsidRPr="000B643A">
        <w:t xml:space="preserve"> </w:t>
      </w:r>
      <w:r w:rsidR="00554A3E" w:rsidRPr="000B643A">
        <w:t xml:space="preserve">made, stakeholders will have additional opportunities to comment as part of the consultation process on the allocation instruments. </w:t>
      </w:r>
    </w:p>
    <w:p w14:paraId="7CD4D2B6" w14:textId="77777777" w:rsidR="00DB0123" w:rsidRPr="00DF4AD0" w:rsidRDefault="00DB0123" w:rsidP="00DB0123">
      <w:pPr>
        <w:pStyle w:val="Heading3"/>
      </w:pPr>
      <w:r w:rsidRPr="00DF4AD0">
        <w:t>Licence term</w:t>
      </w:r>
    </w:p>
    <w:p w14:paraId="4D24F416" w14:textId="3D83349F" w:rsidR="001D7D7B" w:rsidRDefault="00230D98" w:rsidP="00254A57">
      <w:pPr>
        <w:pStyle w:val="Paragraphbeforelist"/>
      </w:pPr>
      <w:r w:rsidRPr="000414E2">
        <w:t xml:space="preserve">We </w:t>
      </w:r>
      <w:r w:rsidR="007C41DA">
        <w:t>invite stakeholder views on the appropriate licence term</w:t>
      </w:r>
      <w:r w:rsidR="008532FE" w:rsidRPr="000414E2">
        <w:t>.</w:t>
      </w:r>
      <w:r w:rsidR="007C41DA">
        <w:t xml:space="preserve"> </w:t>
      </w:r>
      <w:r w:rsidR="00BB6B9D">
        <w:t>Three options are outlined in the paper for consideration:</w:t>
      </w:r>
    </w:p>
    <w:p w14:paraId="5C2B2E08" w14:textId="58723460" w:rsidR="00BB6B9D" w:rsidRDefault="00EC7BC3" w:rsidP="00BB6B9D">
      <w:pPr>
        <w:pStyle w:val="Bulletlevel1"/>
      </w:pPr>
      <w:r>
        <w:t>s</w:t>
      </w:r>
      <w:r w:rsidR="00BB6B9D">
        <w:t>hort licence term, ending on 13 December 2030</w:t>
      </w:r>
      <w:r w:rsidR="00482DE9">
        <w:t>.</w:t>
      </w:r>
    </w:p>
    <w:p w14:paraId="45A1D535" w14:textId="010B9251" w:rsidR="00C22228" w:rsidRDefault="00EC7BC3" w:rsidP="00BB6B9D">
      <w:pPr>
        <w:pStyle w:val="Bulletlevel1"/>
      </w:pPr>
      <w:r>
        <w:t>h</w:t>
      </w:r>
      <w:r w:rsidR="00482DE9">
        <w:t>ybrid licence terms</w:t>
      </w:r>
      <w:r w:rsidR="00540AA5">
        <w:t xml:space="preserve">: </w:t>
      </w:r>
    </w:p>
    <w:p w14:paraId="60EB7FFA" w14:textId="77E26457" w:rsidR="00482DE9" w:rsidRDefault="00EC7BC3" w:rsidP="00C22228">
      <w:pPr>
        <w:pStyle w:val="Bulletlevel2"/>
      </w:pPr>
      <w:r>
        <w:t>a</w:t>
      </w:r>
      <w:r w:rsidR="009F1BB6">
        <w:t xml:space="preserve"> licence term ending on 13 December 2030 </w:t>
      </w:r>
      <w:r w:rsidR="00ED5701">
        <w:t>for the</w:t>
      </w:r>
      <w:r w:rsidR="009F1BB6">
        <w:t xml:space="preserve"> </w:t>
      </w:r>
      <w:r w:rsidR="00C22228">
        <w:t>3.4 GHz band in regional areas and urban excise areas</w:t>
      </w:r>
    </w:p>
    <w:p w14:paraId="0E643438" w14:textId="3D46BD07" w:rsidR="00DA798E" w:rsidRDefault="00EC7BC3" w:rsidP="00C22228">
      <w:pPr>
        <w:pStyle w:val="Bulletlevel2"/>
      </w:pPr>
      <w:r>
        <w:t>a</w:t>
      </w:r>
      <w:r w:rsidR="00DA798E">
        <w:t xml:space="preserve"> long licence term (up to 20 years) </w:t>
      </w:r>
      <w:r w:rsidR="00ED5701">
        <w:t>for the 3.7 GHz band</w:t>
      </w:r>
    </w:p>
    <w:p w14:paraId="071F3496" w14:textId="17285887" w:rsidR="00DB0F1A" w:rsidRDefault="00EC7BC3" w:rsidP="00254A57">
      <w:pPr>
        <w:pStyle w:val="Bulletlevel1last"/>
      </w:pPr>
      <w:r>
        <w:t>l</w:t>
      </w:r>
      <w:r w:rsidR="00DB0F1A">
        <w:t>ong licence term (up to 20 years)</w:t>
      </w:r>
      <w:r w:rsidR="00575150">
        <w:t>.</w:t>
      </w:r>
    </w:p>
    <w:p w14:paraId="3587C2C3" w14:textId="4EB9E8CE" w:rsidR="00DB0123" w:rsidRPr="000414E2" w:rsidRDefault="000D177B" w:rsidP="00DF4AD0">
      <w:r>
        <w:t>Our preliminary view is</w:t>
      </w:r>
      <w:r w:rsidR="007C41DA">
        <w:t xml:space="preserve"> for licences allocated as a result of this process to commence soon after the auction concludes.</w:t>
      </w:r>
    </w:p>
    <w:p w14:paraId="22CB45D0" w14:textId="77777777" w:rsidR="00622F3E" w:rsidRPr="000414E2" w:rsidRDefault="00622F3E" w:rsidP="003B6140">
      <w:pPr>
        <w:pStyle w:val="Heading3"/>
      </w:pPr>
      <w:r w:rsidRPr="000414E2">
        <w:t>Lot configuration</w:t>
      </w:r>
    </w:p>
    <w:p w14:paraId="3522874E" w14:textId="6E6BFCA2" w:rsidR="00DF2362" w:rsidRPr="000414E2" w:rsidRDefault="000D177B" w:rsidP="00DF4AD0">
      <w:pPr>
        <w:pStyle w:val="Paragraphbeforelist"/>
      </w:pPr>
      <w:r>
        <w:t>Our preliminary view is</w:t>
      </w:r>
      <w:r w:rsidR="00DF2362" w:rsidRPr="000414E2">
        <w:t xml:space="preserve"> to offer:</w:t>
      </w:r>
    </w:p>
    <w:p w14:paraId="7C55E086" w14:textId="7507CE26" w:rsidR="00DF2362" w:rsidRPr="000414E2" w:rsidRDefault="00DF2362" w:rsidP="00DF2362">
      <w:pPr>
        <w:pStyle w:val="Bulletlevel1"/>
      </w:pPr>
      <w:r w:rsidRPr="000414E2">
        <w:t xml:space="preserve">the 3.4 GHz band in regional areas in </w:t>
      </w:r>
      <w:r w:rsidR="007C41DA">
        <w:t xml:space="preserve">either </w:t>
      </w:r>
      <w:r w:rsidRPr="000414E2">
        <w:t xml:space="preserve">5 MHz </w:t>
      </w:r>
      <w:r w:rsidR="007C41DA">
        <w:t xml:space="preserve">or 10 </w:t>
      </w:r>
      <w:r w:rsidRPr="000414E2">
        <w:t>MHz lots</w:t>
      </w:r>
    </w:p>
    <w:p w14:paraId="6945E9F0" w14:textId="477C80D0" w:rsidR="00DF2362" w:rsidRPr="000414E2" w:rsidRDefault="00DF2362" w:rsidP="00DF2362">
      <w:pPr>
        <w:pStyle w:val="Bulletlevel1"/>
      </w:pPr>
      <w:r w:rsidRPr="000414E2">
        <w:t xml:space="preserve">the 3.4 GHz band in urban excise areas in </w:t>
      </w:r>
      <w:r w:rsidR="007C41DA">
        <w:t>10</w:t>
      </w:r>
      <w:r w:rsidRPr="000414E2">
        <w:t xml:space="preserve"> MHz lots</w:t>
      </w:r>
    </w:p>
    <w:p w14:paraId="43013BA8" w14:textId="29721DE3" w:rsidR="00485F64" w:rsidRPr="000414E2" w:rsidRDefault="00DF2362" w:rsidP="00DF4AD0">
      <w:pPr>
        <w:pStyle w:val="Bulletlevel1last"/>
      </w:pPr>
      <w:r w:rsidRPr="000414E2">
        <w:t xml:space="preserve">the 3.7 GHz band in 10 MHz lots. </w:t>
      </w:r>
    </w:p>
    <w:p w14:paraId="019D8F9F" w14:textId="0DDE1FC4" w:rsidR="00485F64" w:rsidRPr="000414E2" w:rsidRDefault="00BE638C" w:rsidP="00D046C0">
      <w:pPr>
        <w:pStyle w:val="Paragraph"/>
      </w:pPr>
      <w:r w:rsidRPr="000414E2">
        <w:t xml:space="preserve">We </w:t>
      </w:r>
      <w:r w:rsidR="007C41DA">
        <w:t>invite stakeholder views on the appropriate geographi</w:t>
      </w:r>
      <w:r w:rsidR="007C41DA" w:rsidRPr="008F7D51">
        <w:t>c area</w:t>
      </w:r>
      <w:r w:rsidR="00A22909" w:rsidRPr="008F7D51">
        <w:t xml:space="preserve">s </w:t>
      </w:r>
      <w:r w:rsidR="008F7D51" w:rsidRPr="009E0554">
        <w:t xml:space="preserve">in which </w:t>
      </w:r>
      <w:r w:rsidR="000D177B" w:rsidRPr="008F7D51">
        <w:t>to offer lots of spectrum.</w:t>
      </w:r>
    </w:p>
    <w:p w14:paraId="3AE14962" w14:textId="0E23226E" w:rsidR="00D4050C" w:rsidRDefault="00D4050C" w:rsidP="003B6140">
      <w:pPr>
        <w:pStyle w:val="Heading3"/>
      </w:pPr>
      <w:r w:rsidRPr="000414E2">
        <w:t>Allocation methodology</w:t>
      </w:r>
    </w:p>
    <w:p w14:paraId="00FBD68B" w14:textId="5400254E" w:rsidR="00BE638C" w:rsidRPr="00BE638C" w:rsidRDefault="000D177B" w:rsidP="00DF4AD0">
      <w:r>
        <w:t>Our preliminary view is</w:t>
      </w:r>
      <w:r w:rsidR="00BE638C">
        <w:t xml:space="preserve"> that a </w:t>
      </w:r>
      <w:r w:rsidR="00660093">
        <w:t>2</w:t>
      </w:r>
      <w:r w:rsidR="00BE638C">
        <w:t>-stage clock auction with generic lots is the most appropriate auction format.</w:t>
      </w:r>
    </w:p>
    <w:p w14:paraId="5D558B97" w14:textId="7AC3FE4D" w:rsidR="00715722" w:rsidRDefault="00C64100" w:rsidP="00BF65C4">
      <w:pPr>
        <w:pStyle w:val="Heading1"/>
      </w:pPr>
      <w:bookmarkStart w:id="12" w:name="_Toc96940977"/>
      <w:r>
        <w:t>Introduction</w:t>
      </w:r>
      <w:bookmarkEnd w:id="12"/>
    </w:p>
    <w:p w14:paraId="0FBA79BA" w14:textId="16ABF3D4" w:rsidR="005F2512" w:rsidRPr="005F2512" w:rsidRDefault="0009570A" w:rsidP="000911DA">
      <w:pPr>
        <w:pStyle w:val="Paragraphbeforelist"/>
      </w:pPr>
      <w:r>
        <w:t xml:space="preserve">In recent years, the </w:t>
      </w:r>
      <w:r w:rsidR="00F03F95">
        <w:t>Australian Communications and Media Authority</w:t>
      </w:r>
      <w:r w:rsidR="00414E97">
        <w:t xml:space="preserve"> (ACMA)</w:t>
      </w:r>
      <w:r w:rsidR="00F03F95">
        <w:t xml:space="preserve"> </w:t>
      </w:r>
      <w:r>
        <w:t xml:space="preserve">has undertaken </w:t>
      </w:r>
      <w:r w:rsidR="007C0798">
        <w:t xml:space="preserve">multiple streams of </w:t>
      </w:r>
      <w:r>
        <w:t xml:space="preserve">work aimed at </w:t>
      </w:r>
      <w:r w:rsidR="007C0798">
        <w:t xml:space="preserve">replanning </w:t>
      </w:r>
      <w:r w:rsidR="00104A81">
        <w:t xml:space="preserve">and </w:t>
      </w:r>
      <w:r>
        <w:t xml:space="preserve">optimising </w:t>
      </w:r>
      <w:r w:rsidR="00104A81">
        <w:t xml:space="preserve">arrangements </w:t>
      </w:r>
      <w:r w:rsidR="007C0798">
        <w:t xml:space="preserve">across </w:t>
      </w:r>
      <w:r w:rsidR="00104A81">
        <w:t>the 3400</w:t>
      </w:r>
      <w:r w:rsidR="001B663B">
        <w:t>–</w:t>
      </w:r>
      <w:r w:rsidR="00104A81">
        <w:t xml:space="preserve">4200 MHz </w:t>
      </w:r>
      <w:r w:rsidR="00CE3443">
        <w:t>frequency range</w:t>
      </w:r>
      <w:r w:rsidR="00104A81">
        <w:t>.</w:t>
      </w:r>
      <w:r w:rsidR="005F2512" w:rsidRPr="000911DA">
        <w:t xml:space="preserve"> This includes:</w:t>
      </w:r>
    </w:p>
    <w:p w14:paraId="7FDC9155" w14:textId="02D59FF0" w:rsidR="005F2512" w:rsidRPr="005F2512" w:rsidRDefault="00F03F95" w:rsidP="005F2512">
      <w:pPr>
        <w:pStyle w:val="Bulletlevel1"/>
      </w:pPr>
      <w:r>
        <w:t>o</w:t>
      </w:r>
      <w:r w:rsidRPr="005F2512">
        <w:t>ptimis</w:t>
      </w:r>
      <w:r>
        <w:t>ing</w:t>
      </w:r>
      <w:r w:rsidRPr="005F2512">
        <w:t xml:space="preserve"> </w:t>
      </w:r>
      <w:r w:rsidR="005F2512" w:rsidRPr="005F2512">
        <w:t>arrangements in the 3400</w:t>
      </w:r>
      <w:r w:rsidR="00B92964">
        <w:t>–</w:t>
      </w:r>
      <w:r w:rsidR="005F2512" w:rsidRPr="005F2512">
        <w:t xml:space="preserve">3575 MHz </w:t>
      </w:r>
      <w:r w:rsidR="00CE3443">
        <w:t>frequency range</w:t>
      </w:r>
      <w:r w:rsidR="003C4049">
        <w:t xml:space="preserve">, including </w:t>
      </w:r>
      <w:r w:rsidR="00B42018">
        <w:t xml:space="preserve">excising unused parts of NBN Co’s </w:t>
      </w:r>
      <w:r w:rsidR="00BE2A0B">
        <w:t xml:space="preserve">spectrum </w:t>
      </w:r>
      <w:r w:rsidR="00B42018">
        <w:t>holdings in metropolitan areas</w:t>
      </w:r>
    </w:p>
    <w:p w14:paraId="4BC075FF" w14:textId="5C4730C9" w:rsidR="005F2512" w:rsidRPr="005F2512" w:rsidRDefault="00F03F95" w:rsidP="001B663B">
      <w:pPr>
        <w:pStyle w:val="Bulletlevel1last"/>
      </w:pPr>
      <w:r>
        <w:t>n</w:t>
      </w:r>
      <w:r w:rsidR="005F2512" w:rsidRPr="005F2512">
        <w:t>ew planning arrangements for the 3700</w:t>
      </w:r>
      <w:r w:rsidR="00B92964">
        <w:t>–</w:t>
      </w:r>
      <w:r w:rsidR="005F2512" w:rsidRPr="005F2512">
        <w:t xml:space="preserve">4000 MHz </w:t>
      </w:r>
      <w:r w:rsidR="00CE3443">
        <w:t>frequency range</w:t>
      </w:r>
      <w:r w:rsidR="005F2512" w:rsidRPr="005F2512">
        <w:t>.</w:t>
      </w:r>
    </w:p>
    <w:p w14:paraId="22116286" w14:textId="2F6590AF" w:rsidR="004A1ECB" w:rsidRDefault="004A1ECB" w:rsidP="00D046C0">
      <w:pPr>
        <w:pStyle w:val="Paragraph"/>
      </w:pPr>
      <w:r>
        <w:t xml:space="preserve">During the implementation of arrangements </w:t>
      </w:r>
      <w:r w:rsidR="005727F9">
        <w:t xml:space="preserve">developed through these </w:t>
      </w:r>
      <w:r>
        <w:t>processes</w:t>
      </w:r>
      <w:r w:rsidR="005727F9">
        <w:t>,</w:t>
      </w:r>
      <w:r>
        <w:t xml:space="preserve"> we identified </w:t>
      </w:r>
      <w:r w:rsidR="00F03F95">
        <w:t xml:space="preserve">3 </w:t>
      </w:r>
      <w:r>
        <w:t xml:space="preserve">options for spectrum that could be considered for inclusion in a re-allocation declaration. </w:t>
      </w:r>
    </w:p>
    <w:p w14:paraId="48C0206D" w14:textId="54A82332" w:rsidR="00865368" w:rsidRDefault="00DC4BA4" w:rsidP="001246B5">
      <w:pPr>
        <w:pStyle w:val="Paragraph"/>
      </w:pPr>
      <w:r>
        <w:t xml:space="preserve">Under the ACMA’s preliminary preferred </w:t>
      </w:r>
      <w:r w:rsidR="003C14AF">
        <w:t>option</w:t>
      </w:r>
      <w:r>
        <w:t>, t</w:t>
      </w:r>
      <w:r w:rsidR="004A1ECB">
        <w:t xml:space="preserve">he </w:t>
      </w:r>
      <w:r w:rsidR="008076C6">
        <w:t>lilac</w:t>
      </w:r>
      <w:r w:rsidR="003026BA">
        <w:t xml:space="preserve"> (‘New SL’)</w:t>
      </w:r>
      <w:r w:rsidR="004A1ECB">
        <w:t xml:space="preserve"> and orange</w:t>
      </w:r>
      <w:r w:rsidR="003026BA">
        <w:t xml:space="preserve"> (‘urban excise’)</w:t>
      </w:r>
      <w:r w:rsidR="004A1ECB">
        <w:t xml:space="preserve"> </w:t>
      </w:r>
      <w:r w:rsidR="004A1ECB" w:rsidRPr="00582F59">
        <w:t xml:space="preserve">areas in Figure 1 </w:t>
      </w:r>
      <w:r w:rsidRPr="00582F59">
        <w:t>will</w:t>
      </w:r>
      <w:r>
        <w:t xml:space="preserve"> be declared for re-allocation by issuing spectrum licences</w:t>
      </w:r>
      <w:r w:rsidR="004A1ECB">
        <w:t xml:space="preserve">. </w:t>
      </w:r>
      <w:r w:rsidR="006551A0">
        <w:t>We intend for</w:t>
      </w:r>
      <w:r w:rsidR="004A1ECB">
        <w:t xml:space="preserve"> this spectrum </w:t>
      </w:r>
      <w:r w:rsidR="006551A0">
        <w:t>to be allocated in</w:t>
      </w:r>
      <w:r w:rsidR="004A1ECB">
        <w:t xml:space="preserve"> </w:t>
      </w:r>
      <w:r w:rsidR="006551A0">
        <w:t>a single</w:t>
      </w:r>
      <w:r w:rsidR="004A1ECB">
        <w:t xml:space="preserve"> process.</w:t>
      </w:r>
      <w:r w:rsidR="00196700" w:rsidRPr="00196700">
        <w:t xml:space="preserve"> </w:t>
      </w:r>
      <w:r w:rsidR="00196700" w:rsidRPr="00E803A7">
        <w:t xml:space="preserve">Further discussion of the </w:t>
      </w:r>
      <w:r w:rsidR="00641938">
        <w:t xml:space="preserve">optionality </w:t>
      </w:r>
      <w:r w:rsidR="00F03F95">
        <w:t>of</w:t>
      </w:r>
      <w:r w:rsidR="00641938">
        <w:t xml:space="preserve"> the</w:t>
      </w:r>
      <w:r w:rsidR="00196700" w:rsidRPr="00E803A7">
        <w:t xml:space="preserve"> frequency ranges and geographic areas proposed to be declared is under the ‘</w:t>
      </w:r>
      <w:r w:rsidR="00A557F8">
        <w:t>P</w:t>
      </w:r>
      <w:r w:rsidR="00196700" w:rsidRPr="00E803A7">
        <w:t>lanning options’ section of this paper.</w:t>
      </w:r>
      <w:r w:rsidR="004A1ECB">
        <w:t xml:space="preserve">  </w:t>
      </w:r>
      <w:r w:rsidR="00404D9B">
        <w:t xml:space="preserve"> </w:t>
      </w:r>
    </w:p>
    <w:p w14:paraId="4E86DD7E" w14:textId="1FF9D712" w:rsidR="0009570A" w:rsidRPr="000911DA" w:rsidRDefault="0009570A" w:rsidP="00511F79">
      <w:pPr>
        <w:pStyle w:val="Figureheading"/>
      </w:pPr>
      <w:bookmarkStart w:id="13" w:name="_Ref82771943"/>
      <w:r w:rsidRPr="000911DA">
        <w:t xml:space="preserve">Illustration of </w:t>
      </w:r>
      <w:r w:rsidR="00E956CA">
        <w:t xml:space="preserve">proposed </w:t>
      </w:r>
      <w:r w:rsidRPr="000911DA">
        <w:t xml:space="preserve">arrangements for </w:t>
      </w:r>
      <w:r w:rsidR="00161592">
        <w:t>the frequency range</w:t>
      </w:r>
      <w:r w:rsidRPr="000911DA">
        <w:t xml:space="preserve"> </w:t>
      </w:r>
      <w:r w:rsidR="009A591C">
        <w:br/>
      </w:r>
      <w:r w:rsidRPr="000911DA">
        <w:t>3400</w:t>
      </w:r>
      <w:r w:rsidR="00F03F95">
        <w:t>–</w:t>
      </w:r>
      <w:r w:rsidRPr="000911DA">
        <w:t xml:space="preserve">4000 MHz </w:t>
      </w:r>
      <w:bookmarkEnd w:id="13"/>
    </w:p>
    <w:p w14:paraId="45CAA01B" w14:textId="101554C1" w:rsidR="0009570A" w:rsidRDefault="0009570A" w:rsidP="003B4857">
      <w:pPr>
        <w:pStyle w:val="ACMAFigureHeader"/>
        <w:numPr>
          <w:ilvl w:val="0"/>
          <w:numId w:val="0"/>
        </w:numPr>
        <w:tabs>
          <w:tab w:val="left" w:pos="720"/>
        </w:tabs>
        <w:spacing w:after="0"/>
        <w:ind w:left="1021"/>
      </w:pPr>
      <w:r>
        <w:rPr>
          <w:i/>
          <w:sz w:val="16"/>
          <w:szCs w:val="16"/>
        </w:rPr>
        <w:t>AM = amateur</w:t>
      </w:r>
      <w:r w:rsidR="006B1B62">
        <w:rPr>
          <w:i/>
          <w:sz w:val="16"/>
          <w:szCs w:val="16"/>
        </w:rPr>
        <w:t xml:space="preserve"> services</w:t>
      </w:r>
      <w:r>
        <w:rPr>
          <w:i/>
          <w:sz w:val="16"/>
          <w:szCs w:val="16"/>
        </w:rPr>
        <w:t>, FSS = fixed satellite service</w:t>
      </w:r>
      <w:r w:rsidR="006B1B62">
        <w:rPr>
          <w:i/>
          <w:sz w:val="16"/>
          <w:szCs w:val="16"/>
        </w:rPr>
        <w:t>s</w:t>
      </w:r>
      <w:r>
        <w:rPr>
          <w:i/>
          <w:sz w:val="16"/>
          <w:szCs w:val="16"/>
        </w:rPr>
        <w:t>, PMP = point-to-multipoint</w:t>
      </w:r>
      <w:r w:rsidR="006B1B62">
        <w:rPr>
          <w:i/>
          <w:sz w:val="16"/>
          <w:szCs w:val="16"/>
        </w:rPr>
        <w:t xml:space="preserve"> services</w:t>
      </w:r>
      <w:r>
        <w:rPr>
          <w:i/>
          <w:sz w:val="16"/>
          <w:szCs w:val="16"/>
        </w:rPr>
        <w:t>,</w:t>
      </w:r>
      <w:r w:rsidR="006B1B62">
        <w:rPr>
          <w:i/>
          <w:sz w:val="16"/>
          <w:szCs w:val="16"/>
        </w:rPr>
        <w:t xml:space="preserve"> PTP = point-to-point services</w:t>
      </w:r>
      <w:r>
        <w:rPr>
          <w:i/>
          <w:sz w:val="16"/>
          <w:szCs w:val="16"/>
        </w:rPr>
        <w:t xml:space="preserve">, AWL = </w:t>
      </w:r>
      <w:r w:rsidR="00113D25">
        <w:rPr>
          <w:i/>
          <w:sz w:val="16"/>
          <w:szCs w:val="16"/>
        </w:rPr>
        <w:t>a</w:t>
      </w:r>
      <w:r>
        <w:rPr>
          <w:i/>
          <w:sz w:val="16"/>
          <w:szCs w:val="16"/>
        </w:rPr>
        <w:t>rea</w:t>
      </w:r>
      <w:r w:rsidR="00F03F95">
        <w:rPr>
          <w:i/>
          <w:sz w:val="16"/>
          <w:szCs w:val="16"/>
        </w:rPr>
        <w:t>-</w:t>
      </w:r>
      <w:r>
        <w:rPr>
          <w:i/>
          <w:sz w:val="16"/>
          <w:szCs w:val="16"/>
        </w:rPr>
        <w:t xml:space="preserve">wide </w:t>
      </w:r>
      <w:r w:rsidR="00113D25">
        <w:rPr>
          <w:i/>
          <w:sz w:val="16"/>
          <w:szCs w:val="16"/>
        </w:rPr>
        <w:t>apparatus</w:t>
      </w:r>
      <w:r>
        <w:rPr>
          <w:i/>
          <w:sz w:val="16"/>
          <w:szCs w:val="16"/>
        </w:rPr>
        <w:t xml:space="preserve"> licence</w:t>
      </w:r>
      <w:r w:rsidR="006B1B62">
        <w:rPr>
          <w:i/>
          <w:sz w:val="16"/>
          <w:szCs w:val="16"/>
        </w:rPr>
        <w:t>s</w:t>
      </w:r>
      <w:r w:rsidR="00113D25">
        <w:rPr>
          <w:i/>
          <w:sz w:val="16"/>
          <w:szCs w:val="16"/>
        </w:rPr>
        <w:t>, SL = spectrum licence</w:t>
      </w:r>
      <w:r w:rsidR="006B1B62">
        <w:rPr>
          <w:i/>
          <w:sz w:val="16"/>
          <w:szCs w:val="16"/>
        </w:rPr>
        <w:t>s</w:t>
      </w:r>
      <w:r w:rsidR="00EC2B94">
        <w:rPr>
          <w:i/>
          <w:sz w:val="16"/>
          <w:szCs w:val="16"/>
        </w:rPr>
        <w:t xml:space="preserve">, ESPZ = </w:t>
      </w:r>
      <w:r w:rsidR="00F03F95">
        <w:rPr>
          <w:i/>
          <w:sz w:val="16"/>
          <w:szCs w:val="16"/>
        </w:rPr>
        <w:t>e</w:t>
      </w:r>
      <w:r w:rsidR="00EC2B94">
        <w:rPr>
          <w:i/>
          <w:sz w:val="16"/>
          <w:szCs w:val="16"/>
        </w:rPr>
        <w:t>arth station protection zone</w:t>
      </w:r>
    </w:p>
    <w:p w14:paraId="07B511C3" w14:textId="2EB0917D" w:rsidR="004C7092" w:rsidRPr="00DF4AD0" w:rsidRDefault="00EC2B94" w:rsidP="0067007B">
      <w:r w:rsidRPr="00D170A6">
        <w:rPr>
          <w:noProof/>
        </w:rPr>
        <w:drawing>
          <wp:inline distT="0" distB="0" distL="0" distR="0" wp14:anchorId="267DB762" wp14:editId="2E5540DE">
            <wp:extent cx="5597718" cy="2481189"/>
            <wp:effectExtent l="0" t="0" r="3175" b="0"/>
            <wp:docPr id="26" name="Picture 26"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If you need help accessing or reading this diagram, please contact the ACMA's Customer Service Centre by phone on 1300 850 115 or by email at info@acma.gov.au"/>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1538" cy="2487315"/>
                    </a:xfrm>
                    <a:prstGeom prst="rect">
                      <a:avLst/>
                    </a:prstGeom>
                    <a:noFill/>
                    <a:ln>
                      <a:noFill/>
                    </a:ln>
                  </pic:spPr>
                </pic:pic>
              </a:graphicData>
            </a:graphic>
          </wp:inline>
        </w:drawing>
      </w:r>
      <w:r w:rsidR="00476B6C" w:rsidRPr="00476B6C">
        <w:t xml:space="preserve"> </w:t>
      </w:r>
    </w:p>
    <w:p w14:paraId="2055CD68" w14:textId="5F8B42E1" w:rsidR="007C1EC1" w:rsidRPr="003B4857" w:rsidRDefault="00AA14D5" w:rsidP="00511F79">
      <w:pPr>
        <w:pStyle w:val="Tableorfigurenote"/>
      </w:pPr>
      <w:r>
        <w:t xml:space="preserve">Note: </w:t>
      </w:r>
      <w:r w:rsidR="00476B6C">
        <w:t>This diagram is illustrative only</w:t>
      </w:r>
      <w:r w:rsidR="005E039B">
        <w:t xml:space="preserve">. </w:t>
      </w:r>
      <w:r w:rsidR="009B4499">
        <w:t xml:space="preserve">The full list of frequency ranges </w:t>
      </w:r>
      <w:r w:rsidR="008B1C02">
        <w:t>and geographic areas proposed for re-allocation</w:t>
      </w:r>
      <w:r w:rsidR="00CE1BB0">
        <w:t xml:space="preserve"> can be found at </w:t>
      </w:r>
      <w:r w:rsidR="00F53DB8">
        <w:t>the ‘Specified parts of the spectrum’ section of this consultation paper.</w:t>
      </w:r>
      <w:r w:rsidR="00B31843">
        <w:t xml:space="preserve"> </w:t>
      </w:r>
      <w:r w:rsidR="009E1718">
        <w:t>Area d</w:t>
      </w:r>
      <w:r w:rsidR="00D67D80">
        <w:t xml:space="preserve">efinitions </w:t>
      </w:r>
      <w:r w:rsidR="00B31843">
        <w:t xml:space="preserve">can be found </w:t>
      </w:r>
      <w:r w:rsidR="00ED24FD">
        <w:t xml:space="preserve">in </w:t>
      </w:r>
      <w:r w:rsidR="00B31843">
        <w:t xml:space="preserve">Appendix B </w:t>
      </w:r>
      <w:r w:rsidR="00ED24FD">
        <w:t xml:space="preserve">of </w:t>
      </w:r>
      <w:r w:rsidR="00B31843">
        <w:t>this paper.</w:t>
      </w:r>
    </w:p>
    <w:p w14:paraId="44B37773" w14:textId="0971F22B" w:rsidR="00984496" w:rsidRPr="00E803A7" w:rsidRDefault="00984496" w:rsidP="00984496">
      <w:pPr>
        <w:pStyle w:val="Paragraph"/>
      </w:pPr>
      <w:r>
        <w:t>The</w:t>
      </w:r>
      <w:r w:rsidR="00FA4654">
        <w:t xml:space="preserve"> </w:t>
      </w:r>
      <w:r w:rsidR="00061344">
        <w:t xml:space="preserve">parts of the spectrum </w:t>
      </w:r>
      <w:r w:rsidR="008A2F57">
        <w:t xml:space="preserve">proposed for </w:t>
      </w:r>
      <w:r w:rsidR="00AB33C9">
        <w:t>re-allocation</w:t>
      </w:r>
      <w:r>
        <w:t xml:space="preserve"> form part of the 3300</w:t>
      </w:r>
      <w:r w:rsidR="00CA4BA3">
        <w:t>–</w:t>
      </w:r>
      <w:r>
        <w:t xml:space="preserve">3800 MHz band, which has been identified globally for </w:t>
      </w:r>
      <w:r w:rsidR="008F7D51" w:rsidRPr="00FA1AC9">
        <w:t>wireless broadband</w:t>
      </w:r>
      <w:r w:rsidR="008F7D51">
        <w:t xml:space="preserve"> (</w:t>
      </w:r>
      <w:r w:rsidR="00820EE3">
        <w:t>WBB</w:t>
      </w:r>
      <w:r w:rsidR="008F7D51">
        <w:t>)</w:t>
      </w:r>
      <w:r>
        <w:t xml:space="preserve"> use, including 5G. Mid-band spectrum (that is, spectrum between 1 and 6 GHz) is the focus of near-term 5G deployments and</w:t>
      </w:r>
      <w:r w:rsidR="00CA4BA3">
        <w:t>, accordingly,</w:t>
      </w:r>
      <w:r>
        <w:t xml:space="preserve"> </w:t>
      </w:r>
      <w:r w:rsidR="00CA4BA3">
        <w:t>has been</w:t>
      </w:r>
      <w:r>
        <w:t xml:space="preserve"> included</w:t>
      </w:r>
      <w:r w:rsidR="00AB33C9">
        <w:t xml:space="preserve"> </w:t>
      </w:r>
      <w:r>
        <w:t xml:space="preserve">in </w:t>
      </w:r>
      <w:r w:rsidR="00CA4BA3">
        <w:t>the ACMA’s</w:t>
      </w:r>
      <w:r>
        <w:t xml:space="preserve"> workplan for allocation.</w:t>
      </w:r>
      <w:r w:rsidR="0006632B" w:rsidRPr="0006632B">
        <w:t xml:space="preserve"> </w:t>
      </w:r>
      <w:r w:rsidR="0006632B">
        <w:t xml:space="preserve">In proposing to declare these parts of the spectrum for re-allocation by issuing spectrum licences, we intend to </w:t>
      </w:r>
      <w:r w:rsidR="002441F1">
        <w:t>facilitate</w:t>
      </w:r>
      <w:r w:rsidR="0006632B" w:rsidRPr="00E803A7">
        <w:t xml:space="preserve"> the deployment of wide-area (WA</w:t>
      </w:r>
      <w:r w:rsidR="009709CF">
        <w:t>)</w:t>
      </w:r>
      <w:r w:rsidR="0006632B" w:rsidRPr="00E803A7">
        <w:t xml:space="preserve"> WBB networks</w:t>
      </w:r>
      <w:r w:rsidR="002441F1">
        <w:t xml:space="preserve"> in this spectrum</w:t>
      </w:r>
      <w:r w:rsidR="0006632B" w:rsidRPr="00E803A7">
        <w:t xml:space="preserve">. </w:t>
      </w:r>
    </w:p>
    <w:p w14:paraId="6F6BE289" w14:textId="19F62759" w:rsidR="00072C98" w:rsidRDefault="008E6D89" w:rsidP="00072C98">
      <w:pPr>
        <w:pStyle w:val="Heading2"/>
      </w:pPr>
      <w:bookmarkStart w:id="14" w:name="_Toc96940978"/>
      <w:r>
        <w:t>Process to date</w:t>
      </w:r>
      <w:bookmarkEnd w:id="14"/>
    </w:p>
    <w:p w14:paraId="5565C310" w14:textId="3E7D2C2E" w:rsidR="00085F58" w:rsidRDefault="00153758" w:rsidP="003B4857">
      <w:pPr>
        <w:pStyle w:val="Paragraph"/>
      </w:pPr>
      <w:r>
        <w:t xml:space="preserve">In the </w:t>
      </w:r>
      <w:hyperlink r:id="rId31" w:history="1">
        <w:r w:rsidR="00CA4BA3">
          <w:rPr>
            <w:rStyle w:val="Hyperlink"/>
            <w:i/>
            <w:iCs/>
          </w:rPr>
          <w:t>Five-year spectrum outlook 2017–21</w:t>
        </w:r>
      </w:hyperlink>
      <w:r w:rsidR="00491DE7">
        <w:t xml:space="preserve">, </w:t>
      </w:r>
      <w:r w:rsidR="00433236">
        <w:t xml:space="preserve">the 3.4 GHz band </w:t>
      </w:r>
      <w:r w:rsidR="005E3DDE">
        <w:t>was identified for re</w:t>
      </w:r>
      <w:r w:rsidR="005E3DDE">
        <w:noBreakHyphen/>
        <w:t xml:space="preserve">farming </w:t>
      </w:r>
      <w:r w:rsidR="00156E45">
        <w:t xml:space="preserve">for the deployment of </w:t>
      </w:r>
      <w:r w:rsidR="00CA4BA3">
        <w:t>WA WBB</w:t>
      </w:r>
      <w:r w:rsidR="00156E45">
        <w:t xml:space="preserve"> services</w:t>
      </w:r>
      <w:r w:rsidR="00CA4BA3">
        <w:t>,</w:t>
      </w:r>
      <w:r w:rsidR="00156E45">
        <w:t xml:space="preserve"> such as mobile broadband services via spectrum licensing.</w:t>
      </w:r>
      <w:r w:rsidR="00DF4B22">
        <w:t xml:space="preserve"> </w:t>
      </w:r>
      <w:r w:rsidR="00CA4BA3">
        <w:t>We</w:t>
      </w:r>
      <w:r w:rsidR="007A143E">
        <w:t xml:space="preserve"> also noted the 3700</w:t>
      </w:r>
      <w:r w:rsidR="00CA4BA3">
        <w:t>–</w:t>
      </w:r>
      <w:r w:rsidR="007A143E">
        <w:t>4200 MHz frequency range for monitoring</w:t>
      </w:r>
      <w:r w:rsidR="00CA4BA3">
        <w:t>,</w:t>
      </w:r>
      <w:r w:rsidR="007A143E">
        <w:t xml:space="preserve"> due to</w:t>
      </w:r>
      <w:r w:rsidR="00DF4B22">
        <w:t xml:space="preserve"> </w:t>
      </w:r>
      <w:r w:rsidR="0038423E">
        <w:t xml:space="preserve">its suitability for the deployment of 5G </w:t>
      </w:r>
      <w:r w:rsidR="002E181F">
        <w:t>services.</w:t>
      </w:r>
      <w:r w:rsidR="00DF4B22">
        <w:t xml:space="preserve"> </w:t>
      </w:r>
    </w:p>
    <w:p w14:paraId="63A368D5" w14:textId="4D5BC198" w:rsidR="00531742" w:rsidRPr="00DF4B22" w:rsidRDefault="00C66D64" w:rsidP="003B4857">
      <w:pPr>
        <w:pStyle w:val="Paragraph"/>
      </w:pPr>
      <w:r>
        <w:t>In response</w:t>
      </w:r>
      <w:r w:rsidR="00617BDF">
        <w:t xml:space="preserve"> to</w:t>
      </w:r>
      <w:r w:rsidR="00DF4B22">
        <w:t xml:space="preserve"> the </w:t>
      </w:r>
      <w:hyperlink r:id="rId32" w:history="1">
        <w:r w:rsidR="00CA4BA3">
          <w:rPr>
            <w:rStyle w:val="Hyperlink"/>
            <w:i/>
            <w:iCs/>
          </w:rPr>
          <w:t>Five-year spectrum outlook 2018–22</w:t>
        </w:r>
      </w:hyperlink>
      <w:r>
        <w:rPr>
          <w:i/>
          <w:iCs/>
        </w:rPr>
        <w:t xml:space="preserve">, </w:t>
      </w:r>
      <w:r>
        <w:t>stakeholders also expressed an interest in accelerating planning work in the 3700</w:t>
      </w:r>
      <w:r w:rsidR="00CA4BA3">
        <w:t>–</w:t>
      </w:r>
      <w:r>
        <w:t xml:space="preserve">4200 MHz frequency range. </w:t>
      </w:r>
      <w:r w:rsidR="00617BDF">
        <w:t xml:space="preserve">Submissions </w:t>
      </w:r>
      <w:r>
        <w:t>further</w:t>
      </w:r>
      <w:r w:rsidR="00DF4B22">
        <w:t xml:space="preserve"> </w:t>
      </w:r>
      <w:r w:rsidR="0071340A">
        <w:t>encouraged the ACMA to consider optimising allocations across the 3400</w:t>
      </w:r>
      <w:r w:rsidR="00CA4BA3">
        <w:t>–</w:t>
      </w:r>
      <w:r w:rsidR="0071340A">
        <w:t>3575 MHz frequency range</w:t>
      </w:r>
      <w:r w:rsidR="00683AFE">
        <w:t xml:space="preserve"> </w:t>
      </w:r>
      <w:r w:rsidR="009C6337">
        <w:t>following the 3.6 GHz band auction.</w:t>
      </w:r>
      <w:r w:rsidR="003154B5">
        <w:t xml:space="preserve"> </w:t>
      </w:r>
    </w:p>
    <w:p w14:paraId="21D96B28" w14:textId="4E98CC26" w:rsidR="001B49D1" w:rsidRDefault="00857430" w:rsidP="00857430">
      <w:pPr>
        <w:pStyle w:val="Heading3"/>
      </w:pPr>
      <w:r>
        <w:t>The 3.6 GHz band auction</w:t>
      </w:r>
    </w:p>
    <w:p w14:paraId="0D0A5A3F" w14:textId="3F35B09B" w:rsidR="00915292" w:rsidRDefault="00857430">
      <w:r>
        <w:t xml:space="preserve">In 2018, </w:t>
      </w:r>
      <w:r w:rsidR="008F224B">
        <w:t>the ACMA held the 3.6 GHz band auction for the allocation of spectrum in the 3.6 GHz band (frequency range 3575</w:t>
      </w:r>
      <w:r w:rsidR="00CA4BA3">
        <w:t>–</w:t>
      </w:r>
      <w:r w:rsidR="008F224B">
        <w:t xml:space="preserve">3700 MHz) in metropolitan and regional areas. </w:t>
      </w:r>
    </w:p>
    <w:p w14:paraId="788E6DAF" w14:textId="43903272" w:rsidR="00097DD6" w:rsidRDefault="00097DD6">
      <w:r>
        <w:t>In the lead</w:t>
      </w:r>
      <w:r w:rsidR="00CA4BA3">
        <w:t>-</w:t>
      </w:r>
      <w:r>
        <w:t>up to the 3.6 GHz band auction</w:t>
      </w:r>
      <w:r w:rsidR="00CC16B3">
        <w:t xml:space="preserve">, submissions in response to our </w:t>
      </w:r>
      <w:hyperlink r:id="rId33" w:history="1">
        <w:r w:rsidR="00CA4BA3">
          <w:rPr>
            <w:rStyle w:val="Hyperlink"/>
            <w:i/>
            <w:iCs/>
          </w:rPr>
          <w:t>Future use of the 1.5 GHz and 3.6 GHz bands</w:t>
        </w:r>
      </w:hyperlink>
      <w:r w:rsidR="008001C5">
        <w:rPr>
          <w:i/>
          <w:iCs/>
        </w:rPr>
        <w:t xml:space="preserve"> </w:t>
      </w:r>
      <w:r w:rsidR="00CA4BA3" w:rsidRPr="00414E97">
        <w:t>discussion</w:t>
      </w:r>
      <w:r w:rsidR="00CA4BA3">
        <w:rPr>
          <w:i/>
          <w:iCs/>
        </w:rPr>
        <w:t xml:space="preserve"> </w:t>
      </w:r>
      <w:r w:rsidR="00B2594D">
        <w:t xml:space="preserve">paper </w:t>
      </w:r>
      <w:r w:rsidR="008001C5">
        <w:t xml:space="preserve">and </w:t>
      </w:r>
      <w:hyperlink r:id="rId34" w:history="1">
        <w:r w:rsidR="003529AB">
          <w:rPr>
            <w:rStyle w:val="Hyperlink"/>
            <w:i/>
            <w:iCs/>
          </w:rPr>
          <w:t>Future use of the 3.6 GHz band</w:t>
        </w:r>
      </w:hyperlink>
      <w:r w:rsidR="00CC16B3">
        <w:t xml:space="preserve"> </w:t>
      </w:r>
      <w:r w:rsidR="00B2594D">
        <w:t xml:space="preserve">paper </w:t>
      </w:r>
      <w:r w:rsidR="00206B3F">
        <w:t xml:space="preserve">emphasised the importance of </w:t>
      </w:r>
      <w:r w:rsidR="005B106A">
        <w:t xml:space="preserve">the </w:t>
      </w:r>
      <w:r w:rsidR="00F61AC1">
        <w:t xml:space="preserve">frequency range </w:t>
      </w:r>
      <w:r w:rsidR="005B106A">
        <w:t>3400</w:t>
      </w:r>
      <w:r w:rsidR="00CA4BA3">
        <w:t>–</w:t>
      </w:r>
      <w:r w:rsidR="005B106A">
        <w:t xml:space="preserve">3700 MHz for </w:t>
      </w:r>
      <w:r w:rsidR="00C5002C">
        <w:t>time duplex division (</w:t>
      </w:r>
      <w:r w:rsidR="005B106A">
        <w:t>TDD</w:t>
      </w:r>
      <w:r w:rsidR="00C5002C">
        <w:t>)</w:t>
      </w:r>
      <w:r w:rsidR="005B106A">
        <w:t xml:space="preserve"> fixed/mobile broadband use and future 5G investment.</w:t>
      </w:r>
    </w:p>
    <w:p w14:paraId="17345519" w14:textId="21181206" w:rsidR="00441FF9" w:rsidRDefault="00695E19">
      <w:r>
        <w:t xml:space="preserve">Respondents </w:t>
      </w:r>
      <w:r w:rsidR="00915292">
        <w:t>stated that greater spectrum efficiencies may result from a reorganisation of the broader 3400</w:t>
      </w:r>
      <w:r w:rsidR="00CA4BA3">
        <w:t>–</w:t>
      </w:r>
      <w:r w:rsidR="00915292">
        <w:t xml:space="preserve">3700 MHz frequency range. </w:t>
      </w:r>
      <w:r w:rsidR="00132540">
        <w:t xml:space="preserve">Such a reorganisation would </w:t>
      </w:r>
      <w:r w:rsidR="00E06677">
        <w:t>facilitate</w:t>
      </w:r>
      <w:r w:rsidR="00132540">
        <w:t xml:space="preserve"> a broad set of WBB uses, including site-based point-to-multipoint and mobile broadband applications. </w:t>
      </w:r>
      <w:r w:rsidR="006C2664">
        <w:t xml:space="preserve">Some respondents also supported </w:t>
      </w:r>
      <w:r w:rsidR="00C65ACF">
        <w:t xml:space="preserve">considering </w:t>
      </w:r>
      <w:r w:rsidR="006C2664">
        <w:t>the broader 3300</w:t>
      </w:r>
      <w:r w:rsidR="00CA4BA3">
        <w:t>–</w:t>
      </w:r>
      <w:r w:rsidR="006C2664">
        <w:t xml:space="preserve">3800 MHz frequency range for optimisation and reorganisation. </w:t>
      </w:r>
      <w:r w:rsidR="00751F9F">
        <w:t>Respondents caveated that any reform to the band should not delay the 2018 auction.</w:t>
      </w:r>
    </w:p>
    <w:p w14:paraId="69384D12" w14:textId="56EBC45F" w:rsidR="00751F9F" w:rsidRPr="00857430" w:rsidRDefault="00C65ACF" w:rsidP="003B4857">
      <w:r>
        <w:t xml:space="preserve">We </w:t>
      </w:r>
      <w:r w:rsidR="00751F9F">
        <w:t xml:space="preserve">concluded </w:t>
      </w:r>
      <w:r w:rsidR="008003D0">
        <w:t>t</w:t>
      </w:r>
      <w:r w:rsidR="00693E5B">
        <w:t xml:space="preserve">hat </w:t>
      </w:r>
      <w:r w:rsidR="00C479F2">
        <w:t>the progression of work in the 3400</w:t>
      </w:r>
      <w:r>
        <w:t>–</w:t>
      </w:r>
      <w:r w:rsidR="00C479F2">
        <w:t xml:space="preserve">3700 MHz </w:t>
      </w:r>
      <w:r w:rsidR="00F61AC1">
        <w:t>frequency range</w:t>
      </w:r>
      <w:r w:rsidR="00C479F2">
        <w:t xml:space="preserve"> </w:t>
      </w:r>
      <w:r w:rsidR="00086F50">
        <w:t>would be postponed until after the 3.6 GHz band auction outcomes were known.</w:t>
      </w:r>
    </w:p>
    <w:p w14:paraId="1A82EC8D" w14:textId="6A50816C" w:rsidR="00652766" w:rsidRDefault="007E6DEC" w:rsidP="007E6DEC">
      <w:pPr>
        <w:pStyle w:val="Heading3"/>
      </w:pPr>
      <w:r>
        <w:t>Optimising arrangements for the 3400</w:t>
      </w:r>
      <w:r w:rsidR="00C65ACF">
        <w:t>–</w:t>
      </w:r>
      <w:r>
        <w:t>3575 MHz band</w:t>
      </w:r>
      <w:r w:rsidR="005613CF">
        <w:t xml:space="preserve"> </w:t>
      </w:r>
    </w:p>
    <w:p w14:paraId="5B302FB1" w14:textId="1CE4369F" w:rsidR="007E24F6" w:rsidRDefault="00BE03C0">
      <w:r>
        <w:t>In 2019, the ACMA released</w:t>
      </w:r>
      <w:r w:rsidR="00B87683">
        <w:t xml:space="preserve"> the</w:t>
      </w:r>
      <w:bookmarkStart w:id="15" w:name="_Hlk96005069"/>
      <w:r w:rsidR="00B87683">
        <w:t xml:space="preserve"> </w:t>
      </w:r>
      <w:hyperlink r:id="rId35" w:history="1">
        <w:r w:rsidR="00C65ACF">
          <w:rPr>
            <w:rStyle w:val="Hyperlink"/>
            <w:i/>
            <w:iCs/>
          </w:rPr>
          <w:t>Optimising arrangements for the 3400–3575 MHz band</w:t>
        </w:r>
      </w:hyperlink>
      <w:r w:rsidR="00C77440">
        <w:rPr>
          <w:i/>
          <w:iCs/>
        </w:rPr>
        <w:t xml:space="preserve"> </w:t>
      </w:r>
      <w:r w:rsidR="00C65ACF" w:rsidRPr="00414E97">
        <w:t>options</w:t>
      </w:r>
      <w:r w:rsidR="00C65ACF">
        <w:rPr>
          <w:i/>
          <w:iCs/>
        </w:rPr>
        <w:t xml:space="preserve"> </w:t>
      </w:r>
      <w:r w:rsidR="00B2594D">
        <w:t xml:space="preserve">paper </w:t>
      </w:r>
      <w:r w:rsidR="00C77440">
        <w:t xml:space="preserve">(the 3400 </w:t>
      </w:r>
      <w:r w:rsidR="00AB447A">
        <w:t xml:space="preserve">MHz </w:t>
      </w:r>
      <w:r w:rsidR="00C77440">
        <w:t>options paper)</w:t>
      </w:r>
      <w:bookmarkEnd w:id="15"/>
      <w:r w:rsidR="00A20593">
        <w:t xml:space="preserve">. </w:t>
      </w:r>
      <w:r w:rsidR="00EA1DC6">
        <w:t xml:space="preserve">We acknowledged that the mix of licensing types across the </w:t>
      </w:r>
      <w:r w:rsidR="0039720E">
        <w:t>3400</w:t>
      </w:r>
      <w:r w:rsidR="00C65ACF">
        <w:t>–</w:t>
      </w:r>
      <w:r w:rsidR="0039720E">
        <w:t>3575 MHz frequency range</w:t>
      </w:r>
      <w:r w:rsidR="00EA1DC6">
        <w:t xml:space="preserve"> has impeded commercial negotiations </w:t>
      </w:r>
      <w:r w:rsidR="00EB0FAB">
        <w:t xml:space="preserve">between licensees </w:t>
      </w:r>
      <w:r w:rsidR="00EA1DC6">
        <w:t xml:space="preserve">to facilitate a move to more efficient arrangements in </w:t>
      </w:r>
      <w:r w:rsidR="00C65ACF">
        <w:t xml:space="preserve">this </w:t>
      </w:r>
      <w:r w:rsidR="00373E93">
        <w:t>frequency range</w:t>
      </w:r>
      <w:r w:rsidR="008F46EF">
        <w:t xml:space="preserve"> (defragmentation)</w:t>
      </w:r>
      <w:r w:rsidR="00EA1DC6">
        <w:t>.</w:t>
      </w:r>
      <w:r w:rsidR="008F46EF">
        <w:t xml:space="preserve"> </w:t>
      </w:r>
      <w:r w:rsidR="00A254C7">
        <w:t>Th</w:t>
      </w:r>
      <w:r w:rsidR="00AB447A">
        <w:t xml:space="preserve">e 3400 MHz options paper also identified </w:t>
      </w:r>
      <w:r w:rsidR="00FB3D91">
        <w:t xml:space="preserve">options for making more of </w:t>
      </w:r>
      <w:r w:rsidR="00C65ACF">
        <w:t xml:space="preserve">this </w:t>
      </w:r>
      <w:r w:rsidR="00B73A9A">
        <w:t>frequency range</w:t>
      </w:r>
      <w:r w:rsidR="00FB3D91">
        <w:t xml:space="preserve"> available for </w:t>
      </w:r>
      <w:r w:rsidR="003067E8">
        <w:t>WBB</w:t>
      </w:r>
      <w:r w:rsidR="00FB3D91">
        <w:t xml:space="preserve"> use</w:t>
      </w:r>
      <w:r w:rsidR="00512474">
        <w:t>.</w:t>
      </w:r>
    </w:p>
    <w:p w14:paraId="1ADAC8A7" w14:textId="04E040FC" w:rsidR="007F09B5" w:rsidRDefault="00DA5922">
      <w:r>
        <w:t xml:space="preserve">After </w:t>
      </w:r>
      <w:r w:rsidR="00773D13">
        <w:t>extensive industry consultation and consideration of responses, t</w:t>
      </w:r>
      <w:r w:rsidR="00FA3455">
        <w:t xml:space="preserve">he ACMA </w:t>
      </w:r>
      <w:r w:rsidR="00B86295">
        <w:t>published the</w:t>
      </w:r>
      <w:bookmarkStart w:id="16" w:name="_Hlk96005103"/>
      <w:r w:rsidR="00B86295">
        <w:t xml:space="preserve"> </w:t>
      </w:r>
      <w:hyperlink r:id="rId36" w:history="1">
        <w:r w:rsidR="00C65ACF">
          <w:rPr>
            <w:rStyle w:val="Hyperlink"/>
            <w:i/>
            <w:iCs/>
          </w:rPr>
          <w:t>Optimising arrangements for the 3400–3575 MHz band – Planning decisions and preliminary views</w:t>
        </w:r>
      </w:hyperlink>
      <w:r w:rsidR="00C77440">
        <w:rPr>
          <w:i/>
          <w:iCs/>
        </w:rPr>
        <w:t xml:space="preserve"> </w:t>
      </w:r>
      <w:r w:rsidR="00C5002C">
        <w:t xml:space="preserve">paper </w:t>
      </w:r>
      <w:r w:rsidR="00C77440">
        <w:t xml:space="preserve">(the 3400 </w:t>
      </w:r>
      <w:r w:rsidR="00FB3D91">
        <w:t xml:space="preserve">MHz </w:t>
      </w:r>
      <w:r w:rsidR="00C77440">
        <w:t>decisions paper)</w:t>
      </w:r>
      <w:bookmarkEnd w:id="16"/>
      <w:r w:rsidR="00C8030D">
        <w:rPr>
          <w:i/>
          <w:iCs/>
        </w:rPr>
        <w:t xml:space="preserve">, </w:t>
      </w:r>
      <w:r w:rsidR="00C8030D">
        <w:t>in which we</w:t>
      </w:r>
      <w:r w:rsidR="00C8030D">
        <w:rPr>
          <w:i/>
          <w:iCs/>
        </w:rPr>
        <w:t xml:space="preserve"> </w:t>
      </w:r>
      <w:r w:rsidR="00183DAA" w:rsidRPr="00C8030D">
        <w:t>identified</w:t>
      </w:r>
      <w:r w:rsidR="00183DAA">
        <w:t xml:space="preserve"> planning </w:t>
      </w:r>
      <w:r w:rsidR="000D255F">
        <w:t>outcomes</w:t>
      </w:r>
      <w:r w:rsidR="00183DAA">
        <w:t xml:space="preserve"> and </w:t>
      </w:r>
      <w:r w:rsidR="00C8030D">
        <w:t>outlined</w:t>
      </w:r>
      <w:r w:rsidR="00FA3455">
        <w:t xml:space="preserve"> an implementation plan. </w:t>
      </w:r>
      <w:r w:rsidR="00DB121B">
        <w:t>Our</w:t>
      </w:r>
      <w:r w:rsidR="00B706DE">
        <w:t xml:space="preserve"> </w:t>
      </w:r>
      <w:r w:rsidR="00F56CF7">
        <w:t>preliminary</w:t>
      </w:r>
      <w:r w:rsidR="00B706DE">
        <w:t xml:space="preserve"> planning </w:t>
      </w:r>
      <w:r w:rsidR="00F56CF7">
        <w:t>decision</w:t>
      </w:r>
      <w:r w:rsidR="00EB0FAB">
        <w:t>s</w:t>
      </w:r>
      <w:r w:rsidR="00B706DE">
        <w:t xml:space="preserve"> involved restacking apparatus licences, </w:t>
      </w:r>
      <w:r w:rsidR="00C65ACF">
        <w:t xml:space="preserve">converting </w:t>
      </w:r>
      <w:r w:rsidR="00B706DE">
        <w:t>NBN Co’s 3.5</w:t>
      </w:r>
      <w:r w:rsidR="00B73A9A">
        <w:t> </w:t>
      </w:r>
      <w:r w:rsidR="00B706DE">
        <w:t>GHz</w:t>
      </w:r>
      <w:r w:rsidR="00EB0FAB">
        <w:t xml:space="preserve"> public telecommunications service</w:t>
      </w:r>
      <w:r w:rsidR="00B706DE">
        <w:t xml:space="preserve"> </w:t>
      </w:r>
      <w:r w:rsidR="00EB0FAB">
        <w:t>(</w:t>
      </w:r>
      <w:r w:rsidR="00B706DE">
        <w:t>PTS</w:t>
      </w:r>
      <w:r w:rsidR="00EB0FAB">
        <w:t>)</w:t>
      </w:r>
      <w:r w:rsidR="00B706DE">
        <w:t xml:space="preserve"> licences to spectrum licences, and re-</w:t>
      </w:r>
      <w:r w:rsidR="00C65ACF">
        <w:t xml:space="preserve">allocating </w:t>
      </w:r>
      <w:r w:rsidR="00B706DE">
        <w:t xml:space="preserve">additional spectrum for </w:t>
      </w:r>
      <w:r w:rsidR="00E9059C">
        <w:t>WBB use vi</w:t>
      </w:r>
      <w:r w:rsidR="00A2637B">
        <w:t xml:space="preserve">a apparatus and </w:t>
      </w:r>
      <w:r w:rsidR="00B706DE">
        <w:t>spectrum licensing</w:t>
      </w:r>
      <w:r w:rsidR="00614F81">
        <w:t xml:space="preserve">. </w:t>
      </w:r>
    </w:p>
    <w:p w14:paraId="073E78B9" w14:textId="0FECE7B2" w:rsidR="008E7878" w:rsidRDefault="00770E3E">
      <w:r>
        <w:t>The</w:t>
      </w:r>
      <w:r w:rsidR="00614F81">
        <w:t xml:space="preserve"> </w:t>
      </w:r>
      <w:r w:rsidR="00F56CF7">
        <w:t>preliminary</w:t>
      </w:r>
      <w:r w:rsidR="00614F81">
        <w:t xml:space="preserve"> planning </w:t>
      </w:r>
      <w:r w:rsidR="00F56CF7">
        <w:t>decision</w:t>
      </w:r>
      <w:r w:rsidR="00EB0FAB">
        <w:t>s</w:t>
      </w:r>
      <w:r w:rsidR="00614F81">
        <w:t xml:space="preserve"> </w:t>
      </w:r>
      <w:r w:rsidR="007C0DE9">
        <w:t>earmark</w:t>
      </w:r>
      <w:r w:rsidR="007278C0">
        <w:t>ed</w:t>
      </w:r>
      <w:r w:rsidR="007C0DE9">
        <w:t xml:space="preserve"> spectrum in the 3400</w:t>
      </w:r>
      <w:r w:rsidR="00C65ACF">
        <w:t>–</w:t>
      </w:r>
      <w:r w:rsidR="007C0DE9">
        <w:t>3442.5 MHz frequency range</w:t>
      </w:r>
      <w:r w:rsidR="007F09B5">
        <w:t xml:space="preserve"> in</w:t>
      </w:r>
      <w:r w:rsidR="00614F81">
        <w:t xml:space="preserve"> defined regional areas</w:t>
      </w:r>
      <w:r w:rsidR="007F09B5">
        <w:t xml:space="preserve"> and </w:t>
      </w:r>
      <w:r w:rsidR="00E85C0F">
        <w:t>in the 3400</w:t>
      </w:r>
      <w:r w:rsidR="00C65ACF">
        <w:t>–</w:t>
      </w:r>
      <w:r w:rsidR="00E85C0F">
        <w:t xml:space="preserve">3425 MHz frequency range in </w:t>
      </w:r>
      <w:r w:rsidR="0017350C">
        <w:t>other regional areas for</w:t>
      </w:r>
      <w:r w:rsidR="007C0DE9">
        <w:t xml:space="preserve"> </w:t>
      </w:r>
      <w:r w:rsidR="003D73A7">
        <w:t>WBB use</w:t>
      </w:r>
      <w:r w:rsidR="0042250E">
        <w:t xml:space="preserve"> via the issue of spectrum licences</w:t>
      </w:r>
      <w:r w:rsidR="00E85C0F">
        <w:t>.</w:t>
      </w:r>
      <w:r w:rsidR="007C0DE9">
        <w:t xml:space="preserve"> </w:t>
      </w:r>
      <w:r w:rsidR="004C4DFB">
        <w:t xml:space="preserve">The </w:t>
      </w:r>
      <w:r w:rsidR="00F56CF7">
        <w:t>preliminary</w:t>
      </w:r>
      <w:r w:rsidR="004C4DFB">
        <w:t xml:space="preserve"> planning </w:t>
      </w:r>
      <w:r w:rsidR="00F56CF7">
        <w:t>decision</w:t>
      </w:r>
      <w:r w:rsidR="00605545">
        <w:t>s</w:t>
      </w:r>
      <w:r w:rsidR="004C4DFB">
        <w:t xml:space="preserve"> also identified spectrum </w:t>
      </w:r>
      <w:r w:rsidR="008F1DC0">
        <w:t>in the 3400</w:t>
      </w:r>
      <w:r w:rsidR="00C65ACF">
        <w:t>–</w:t>
      </w:r>
      <w:r w:rsidR="008F1DC0">
        <w:t xml:space="preserve">3475 MHz frequency range </w:t>
      </w:r>
      <w:r w:rsidR="004C4DFB">
        <w:t>in some metropolitan areas that would become unencumbered following the conversion of NBN Co’s 3.5 GHz PTS licences</w:t>
      </w:r>
      <w:r w:rsidR="008F1DC0">
        <w:t xml:space="preserve"> (referred to as the ‘urban excise’</w:t>
      </w:r>
      <w:r w:rsidR="006426F3">
        <w:t xml:space="preserve">, in orange </w:t>
      </w:r>
      <w:r w:rsidR="006426F3" w:rsidRPr="00582F59">
        <w:t>in Figure 1</w:t>
      </w:r>
      <w:r w:rsidR="008F1DC0" w:rsidRPr="00582F59">
        <w:t>)</w:t>
      </w:r>
      <w:r w:rsidR="004C4DFB" w:rsidRPr="00582F59">
        <w:t>.</w:t>
      </w:r>
      <w:r w:rsidR="004C4DFB">
        <w:t xml:space="preserve"> </w:t>
      </w:r>
      <w:r w:rsidR="00DE7B4D">
        <w:t xml:space="preserve">Remaining spectrum not encompassed by newly restacked and consolidated localised </w:t>
      </w:r>
      <w:r w:rsidR="00F83D5A">
        <w:t>WBB</w:t>
      </w:r>
      <w:r w:rsidR="00DE7B4D">
        <w:t xml:space="preserve"> apparatus licences w</w:t>
      </w:r>
      <w:r w:rsidR="001613E6">
        <w:t>as</w:t>
      </w:r>
      <w:r w:rsidR="00DE7B4D">
        <w:t xml:space="preserve"> </w:t>
      </w:r>
      <w:r w:rsidR="007614E6">
        <w:t xml:space="preserve">to </w:t>
      </w:r>
      <w:r w:rsidR="00DE7B4D">
        <w:t xml:space="preserve">be repurposed for further localised </w:t>
      </w:r>
      <w:r w:rsidR="00305682">
        <w:t>WBB</w:t>
      </w:r>
      <w:r w:rsidR="005544D1">
        <w:t xml:space="preserve"> use via</w:t>
      </w:r>
      <w:r w:rsidR="00DE7B4D">
        <w:t xml:space="preserve"> apparatus licensing.</w:t>
      </w:r>
    </w:p>
    <w:p w14:paraId="5E9702BE" w14:textId="5C0ADA5D" w:rsidR="00711165" w:rsidRDefault="00711165" w:rsidP="00711165">
      <w:r>
        <w:t xml:space="preserve">Since the release of the 3400 </w:t>
      </w:r>
      <w:r w:rsidR="00D025CB">
        <w:t xml:space="preserve">MHz </w:t>
      </w:r>
      <w:r>
        <w:t xml:space="preserve">decisions paper, we have developed </w:t>
      </w:r>
      <w:r w:rsidR="000F30F1">
        <w:t>a</w:t>
      </w:r>
      <w:r w:rsidR="00D424C2">
        <w:t xml:space="preserve"> further</w:t>
      </w:r>
      <w:r w:rsidR="000F30F1">
        <w:t xml:space="preserve"> </w:t>
      </w:r>
      <w:r w:rsidR="00C65ACF">
        <w:t xml:space="preserve">2 </w:t>
      </w:r>
      <w:r>
        <w:t>alternative licensing arrangement</w:t>
      </w:r>
      <w:r w:rsidR="0053551C">
        <w:t>s</w:t>
      </w:r>
      <w:r>
        <w:t xml:space="preserve"> for the spectrum</w:t>
      </w:r>
      <w:r w:rsidR="00A8379E">
        <w:t>.</w:t>
      </w:r>
      <w:r w:rsidR="00DC2ACF">
        <w:t xml:space="preserve"> One of these is</w:t>
      </w:r>
      <w:r>
        <w:t xml:space="preserve"> reflected in the proposed terms of the re</w:t>
      </w:r>
      <w:r>
        <w:noBreakHyphen/>
        <w:t xml:space="preserve">allocation declaration. </w:t>
      </w:r>
      <w:r w:rsidRPr="0044461D">
        <w:t xml:space="preserve">Further discussion of </w:t>
      </w:r>
      <w:r w:rsidR="00C65ACF">
        <w:t xml:space="preserve">these </w:t>
      </w:r>
      <w:r w:rsidRPr="0044461D">
        <w:t>alternative licensing arrangement</w:t>
      </w:r>
      <w:r w:rsidR="0053551C">
        <w:t>s</w:t>
      </w:r>
      <w:r w:rsidRPr="0044461D">
        <w:t xml:space="preserve"> is under the ‘</w:t>
      </w:r>
      <w:r w:rsidR="00A0410A">
        <w:t>P</w:t>
      </w:r>
      <w:r w:rsidRPr="0044461D">
        <w:t>lanning options’ part of this paper.</w:t>
      </w:r>
    </w:p>
    <w:p w14:paraId="5DC2C549" w14:textId="5790D1A6" w:rsidR="00711165" w:rsidRDefault="00711165" w:rsidP="00711165">
      <w:pPr>
        <w:pStyle w:val="Heading4"/>
      </w:pPr>
      <w:r>
        <w:t xml:space="preserve">Urban excise </w:t>
      </w:r>
    </w:p>
    <w:p w14:paraId="6B3BC8A9" w14:textId="1BA9200B" w:rsidR="004F79D1" w:rsidRDefault="00EF7561" w:rsidP="009548E8">
      <w:pPr>
        <w:pStyle w:val="Paragraph"/>
      </w:pPr>
      <w:r>
        <w:t xml:space="preserve">In implementing the planning decisions in the 3400 </w:t>
      </w:r>
      <w:r w:rsidR="006C2E72">
        <w:t xml:space="preserve">MHz </w:t>
      </w:r>
      <w:r>
        <w:t xml:space="preserve">decisions paper, we </w:t>
      </w:r>
      <w:r w:rsidR="00AF7994">
        <w:t>stated that we would work</w:t>
      </w:r>
      <w:r>
        <w:t xml:space="preserve"> with NBN Co to </w:t>
      </w:r>
      <w:r w:rsidR="009342BC">
        <w:t xml:space="preserve">enable it to </w:t>
      </w:r>
      <w:r>
        <w:t xml:space="preserve">surrender any licences </w:t>
      </w:r>
      <w:r w:rsidR="00305682">
        <w:t xml:space="preserve">held </w:t>
      </w:r>
      <w:r>
        <w:t xml:space="preserve">in urban areas </w:t>
      </w:r>
      <w:r w:rsidR="00C65ACF">
        <w:t xml:space="preserve">in </w:t>
      </w:r>
      <w:r>
        <w:t xml:space="preserve">which it </w:t>
      </w:r>
      <w:r w:rsidR="00305682">
        <w:t xml:space="preserve">did </w:t>
      </w:r>
      <w:r>
        <w:t xml:space="preserve">not plan to deploy terrestrial </w:t>
      </w:r>
      <w:r w:rsidR="00CA4BA3">
        <w:t>WBB</w:t>
      </w:r>
      <w:r>
        <w:t xml:space="preserve"> services. This is referred to as the ‘urban excise’.</w:t>
      </w:r>
      <w:r w:rsidR="001F1BDB">
        <w:t xml:space="preserve"> </w:t>
      </w:r>
    </w:p>
    <w:p w14:paraId="79C9CB8E" w14:textId="4F7A877D" w:rsidR="00C65ACF" w:rsidRDefault="009548E8" w:rsidP="008454BB">
      <w:pPr>
        <w:pStyle w:val="Paragraph"/>
        <w:spacing w:after="120"/>
        <w:rPr>
          <w:color w:val="000000"/>
          <w:szCs w:val="20"/>
        </w:rPr>
      </w:pPr>
      <w:r w:rsidRPr="00CA2E73">
        <w:rPr>
          <w:color w:val="000000"/>
          <w:szCs w:val="20"/>
        </w:rPr>
        <w:t>On 10 December 2020, the</w:t>
      </w:r>
      <w:r>
        <w:rPr>
          <w:color w:val="000000"/>
          <w:szCs w:val="20"/>
        </w:rPr>
        <w:t xml:space="preserve"> then</w:t>
      </w:r>
      <w:r w:rsidRPr="00F13A45">
        <w:rPr>
          <w:color w:val="000000"/>
          <w:szCs w:val="20"/>
        </w:rPr>
        <w:t xml:space="preserve"> Minister for Communications, Cyber Safety and the Arts made</w:t>
      </w:r>
      <w:bookmarkStart w:id="17" w:name="_Hlk96005123"/>
      <w:r w:rsidRPr="00F13A45">
        <w:rPr>
          <w:color w:val="000000"/>
          <w:szCs w:val="20"/>
        </w:rPr>
        <w:t xml:space="preserve"> </w:t>
      </w:r>
      <w:hyperlink r:id="rId37" w:history="1">
        <w:r w:rsidRPr="00F13A45">
          <w:rPr>
            <w:rStyle w:val="Hyperlink"/>
            <w:szCs w:val="20"/>
          </w:rPr>
          <w:t>a notice designating parts of the 3.4 GHz band for spectrum licensing</w:t>
        </w:r>
      </w:hyperlink>
      <w:r>
        <w:rPr>
          <w:color w:val="000000"/>
          <w:szCs w:val="20"/>
        </w:rPr>
        <w:t xml:space="preserve"> (the designation notice)</w:t>
      </w:r>
      <w:r w:rsidRPr="00CA2E73">
        <w:rPr>
          <w:color w:val="000000"/>
          <w:szCs w:val="20"/>
        </w:rPr>
        <w:t>.</w:t>
      </w:r>
      <w:bookmarkEnd w:id="17"/>
      <w:r w:rsidRPr="00CA2E73">
        <w:rPr>
          <w:color w:val="000000"/>
          <w:szCs w:val="20"/>
        </w:rPr>
        <w:t xml:space="preserve"> The areas and frequencies covered by the notice encompass</w:t>
      </w:r>
      <w:r w:rsidR="00305682">
        <w:rPr>
          <w:color w:val="000000"/>
          <w:szCs w:val="20"/>
        </w:rPr>
        <w:t>ed</w:t>
      </w:r>
      <w:r w:rsidRPr="00CA2E73">
        <w:rPr>
          <w:color w:val="000000"/>
          <w:szCs w:val="20"/>
        </w:rPr>
        <w:t xml:space="preserve"> apparatus licences held by NBN Co. </w:t>
      </w:r>
      <w:r>
        <w:rPr>
          <w:color w:val="000000"/>
          <w:szCs w:val="20"/>
        </w:rPr>
        <w:t>As a result of the notice, we</w:t>
      </w:r>
      <w:r w:rsidRPr="00CA2E73">
        <w:rPr>
          <w:color w:val="000000"/>
          <w:szCs w:val="20"/>
        </w:rPr>
        <w:t xml:space="preserve"> convert</w:t>
      </w:r>
      <w:r>
        <w:rPr>
          <w:color w:val="000000"/>
          <w:szCs w:val="20"/>
        </w:rPr>
        <w:t>ed</w:t>
      </w:r>
      <w:r w:rsidRPr="00CA2E73">
        <w:rPr>
          <w:color w:val="000000"/>
          <w:szCs w:val="20"/>
        </w:rPr>
        <w:t xml:space="preserve"> NBN Co’s apparatus licences to spectrum licences</w:t>
      </w:r>
      <w:r>
        <w:rPr>
          <w:color w:val="000000"/>
          <w:szCs w:val="20"/>
        </w:rPr>
        <w:t xml:space="preserve"> to</w:t>
      </w:r>
      <w:r w:rsidRPr="00CA2E73">
        <w:rPr>
          <w:color w:val="000000"/>
          <w:szCs w:val="20"/>
        </w:rPr>
        <w:t xml:space="preserve"> facilitat</w:t>
      </w:r>
      <w:r>
        <w:rPr>
          <w:color w:val="000000"/>
          <w:szCs w:val="20"/>
        </w:rPr>
        <w:t>e</w:t>
      </w:r>
      <w:r w:rsidRPr="00CA2E73">
        <w:rPr>
          <w:color w:val="000000"/>
          <w:szCs w:val="20"/>
        </w:rPr>
        <w:t xml:space="preserve"> defragmentation of the 3.4</w:t>
      </w:r>
      <w:r w:rsidR="00B73A9A">
        <w:rPr>
          <w:color w:val="000000"/>
          <w:szCs w:val="20"/>
        </w:rPr>
        <w:t> </w:t>
      </w:r>
      <w:r w:rsidRPr="00CA2E73">
        <w:rPr>
          <w:color w:val="000000"/>
          <w:szCs w:val="20"/>
        </w:rPr>
        <w:t>GHz</w:t>
      </w:r>
      <w:r w:rsidR="00B73A9A">
        <w:rPr>
          <w:color w:val="000000"/>
          <w:szCs w:val="20"/>
        </w:rPr>
        <w:t> </w:t>
      </w:r>
      <w:r w:rsidRPr="00CA2E73">
        <w:rPr>
          <w:color w:val="000000"/>
          <w:szCs w:val="20"/>
        </w:rPr>
        <w:t xml:space="preserve">band. The </w:t>
      </w:r>
      <w:r w:rsidR="00305682">
        <w:rPr>
          <w:color w:val="000000"/>
          <w:szCs w:val="20"/>
        </w:rPr>
        <w:t>e</w:t>
      </w:r>
      <w:r w:rsidRPr="00CA2E73">
        <w:rPr>
          <w:color w:val="000000"/>
          <w:szCs w:val="20"/>
        </w:rPr>
        <w:t xml:space="preserve">xplanatory </w:t>
      </w:r>
      <w:r w:rsidR="00305682">
        <w:rPr>
          <w:color w:val="000000"/>
          <w:szCs w:val="20"/>
        </w:rPr>
        <w:t>s</w:t>
      </w:r>
      <w:r w:rsidRPr="00CA2E73">
        <w:rPr>
          <w:color w:val="000000"/>
          <w:szCs w:val="20"/>
        </w:rPr>
        <w:t xml:space="preserve">tatement to the designation notice </w:t>
      </w:r>
      <w:r w:rsidR="00C65ACF">
        <w:rPr>
          <w:color w:val="000000"/>
          <w:szCs w:val="20"/>
        </w:rPr>
        <w:t>included</w:t>
      </w:r>
      <w:r w:rsidR="00C65ACF" w:rsidRPr="00CA2E73">
        <w:rPr>
          <w:color w:val="000000"/>
          <w:szCs w:val="20"/>
        </w:rPr>
        <w:t xml:space="preserve"> </w:t>
      </w:r>
      <w:r w:rsidRPr="00CA2E73">
        <w:rPr>
          <w:color w:val="000000"/>
          <w:szCs w:val="20"/>
        </w:rPr>
        <w:t>the government’s expectation that</w:t>
      </w:r>
      <w:r w:rsidR="00C65ACF">
        <w:rPr>
          <w:color w:val="000000"/>
          <w:szCs w:val="20"/>
        </w:rPr>
        <w:t>:</w:t>
      </w:r>
      <w:r w:rsidRPr="00CA2E73">
        <w:rPr>
          <w:color w:val="000000"/>
          <w:szCs w:val="20"/>
        </w:rPr>
        <w:t xml:space="preserve"> </w:t>
      </w:r>
    </w:p>
    <w:p w14:paraId="6A2B45DD" w14:textId="650F3AA1" w:rsidR="001C4664" w:rsidRPr="008454BB" w:rsidRDefault="00C65ACF" w:rsidP="0027566A">
      <w:pPr>
        <w:pStyle w:val="Paragraph"/>
        <w:ind w:left="567" w:right="1008"/>
        <w:rPr>
          <w:sz w:val="18"/>
          <w:szCs w:val="18"/>
        </w:rPr>
      </w:pPr>
      <w:r w:rsidRPr="008454BB">
        <w:rPr>
          <w:color w:val="000000"/>
          <w:sz w:val="18"/>
          <w:szCs w:val="18"/>
        </w:rPr>
        <w:t xml:space="preserve">… </w:t>
      </w:r>
      <w:r w:rsidR="009548E8" w:rsidRPr="008454BB">
        <w:rPr>
          <w:color w:val="000000"/>
          <w:sz w:val="18"/>
          <w:szCs w:val="18"/>
        </w:rPr>
        <w:t>ACMA will work with NBN Co to make underutilised spectrum in inner-metropolitan areas of NBN Co’s spectrum licences available for licensing by other operators, subject to the development of appropriate interference management criteria and assessment of the utility of the spectrum.</w:t>
      </w:r>
    </w:p>
    <w:p w14:paraId="58A4BF66" w14:textId="1BACAF85" w:rsidR="00F45385" w:rsidRDefault="003C480B">
      <w:r>
        <w:t>Spectrum</w:t>
      </w:r>
      <w:r w:rsidR="001F1BDB">
        <w:t xml:space="preserve"> in the urban excise area </w:t>
      </w:r>
      <w:r>
        <w:t xml:space="preserve">is intended to be </w:t>
      </w:r>
      <w:r w:rsidR="00D33EEE">
        <w:t xml:space="preserve">able to be </w:t>
      </w:r>
      <w:r>
        <w:t>used</w:t>
      </w:r>
      <w:r w:rsidR="001F1BDB">
        <w:t xml:space="preserve"> for the deployment of WBB services (as outlined in the 3400 </w:t>
      </w:r>
      <w:r w:rsidR="00D66132">
        <w:t xml:space="preserve">MHz </w:t>
      </w:r>
      <w:r w:rsidR="001F1BDB">
        <w:t>decisions paper).</w:t>
      </w:r>
      <w:r w:rsidR="00EF7561">
        <w:t xml:space="preserve"> </w:t>
      </w:r>
      <w:r w:rsidR="004C6B70">
        <w:t xml:space="preserve">In September 2021, </w:t>
      </w:r>
      <w:r w:rsidR="007B2B4A">
        <w:t>NBN Co surrendered its urban excise licence</w:t>
      </w:r>
      <w:r w:rsidR="00305682">
        <w:t>s</w:t>
      </w:r>
      <w:r w:rsidR="007B2B4A">
        <w:t xml:space="preserve">, and </w:t>
      </w:r>
      <w:r w:rsidR="004C6B70">
        <w:t xml:space="preserve">we released the </w:t>
      </w:r>
      <w:bookmarkStart w:id="18" w:name="_Hlk96005147"/>
      <w:r w:rsidR="004655E5">
        <w:fldChar w:fldCharType="begin"/>
      </w:r>
      <w:r w:rsidR="00C65ACF">
        <w:instrText xml:space="preserve">HYPERLINK "https://www.acma.gov.au/consultations/2021-08/planning-wireless-broadband-use-urban-areas-3400-3475-mhz-band-consultation-312021" \h </w:instrText>
      </w:r>
      <w:r w:rsidR="004655E5">
        <w:fldChar w:fldCharType="separate"/>
      </w:r>
      <w:r w:rsidR="00C65ACF">
        <w:rPr>
          <w:rStyle w:val="Hyperlink"/>
          <w:i/>
          <w:iCs/>
        </w:rPr>
        <w:t>Planning for wireless broadband use of urban areas in the 3400–3475 MHz band</w:t>
      </w:r>
      <w:r w:rsidR="004655E5">
        <w:rPr>
          <w:rStyle w:val="Hyperlink"/>
          <w:i/>
          <w:iCs/>
        </w:rPr>
        <w:fldChar w:fldCharType="end"/>
      </w:r>
      <w:r w:rsidR="001E22BC">
        <w:t xml:space="preserve"> </w:t>
      </w:r>
      <w:r w:rsidR="00C65ACF">
        <w:t xml:space="preserve">options paper </w:t>
      </w:r>
      <w:r w:rsidR="001E22BC">
        <w:t xml:space="preserve">(the </w:t>
      </w:r>
      <w:r w:rsidR="00C65ACF">
        <w:t>u</w:t>
      </w:r>
      <w:r w:rsidR="00955DE8">
        <w:t xml:space="preserve">rban </w:t>
      </w:r>
      <w:r w:rsidR="00C65ACF">
        <w:t>e</w:t>
      </w:r>
      <w:r w:rsidR="00955DE8">
        <w:t>xcise options paper)</w:t>
      </w:r>
      <w:bookmarkEnd w:id="18"/>
      <w:r w:rsidR="00955DE8">
        <w:t xml:space="preserve"> </w:t>
      </w:r>
      <w:r w:rsidR="00BD513F">
        <w:t xml:space="preserve">to </w:t>
      </w:r>
      <w:r w:rsidR="00551084">
        <w:t xml:space="preserve">consult on </w:t>
      </w:r>
      <w:r w:rsidR="00B17B48">
        <w:t>using</w:t>
      </w:r>
      <w:r w:rsidR="00BD513F">
        <w:t xml:space="preserve"> </w:t>
      </w:r>
      <w:r w:rsidR="00911598">
        <w:t xml:space="preserve">this </w:t>
      </w:r>
      <w:r w:rsidR="00BD513F">
        <w:t xml:space="preserve">spectrum </w:t>
      </w:r>
      <w:r w:rsidR="00911598">
        <w:t>for WBB services</w:t>
      </w:r>
      <w:r w:rsidR="006D2D8A">
        <w:t>.</w:t>
      </w:r>
      <w:r w:rsidR="006B7D2B">
        <w:t xml:space="preserve"> </w:t>
      </w:r>
    </w:p>
    <w:p w14:paraId="63EC0B44" w14:textId="73D41938" w:rsidR="00EF7561" w:rsidRPr="00F45385" w:rsidRDefault="00B94B2A">
      <w:r>
        <w:t>In December 2021, t</w:t>
      </w:r>
      <w:r w:rsidR="001E40DA">
        <w:t>he</w:t>
      </w:r>
      <w:r w:rsidR="00F45385">
        <w:t xml:space="preserve"> ACMA published the</w:t>
      </w:r>
      <w:bookmarkStart w:id="19" w:name="_Hlk96005167"/>
      <w:r w:rsidR="00F45385">
        <w:t xml:space="preserve"> </w:t>
      </w:r>
      <w:hyperlink r:id="rId38" w:history="1">
        <w:r w:rsidR="00C65ACF">
          <w:rPr>
            <w:rStyle w:val="Hyperlink"/>
            <w:i/>
            <w:iCs/>
          </w:rPr>
          <w:t>Planning for wireless broadband in urban areas in 3400–3475 MHz</w:t>
        </w:r>
      </w:hyperlink>
      <w:r w:rsidR="00F45385">
        <w:rPr>
          <w:i/>
          <w:iCs/>
        </w:rPr>
        <w:t xml:space="preserve"> </w:t>
      </w:r>
      <w:r w:rsidR="00C65ACF" w:rsidRPr="008454BB">
        <w:t>outcomes paper</w:t>
      </w:r>
      <w:r w:rsidR="00C65ACF">
        <w:rPr>
          <w:i/>
          <w:iCs/>
        </w:rPr>
        <w:t xml:space="preserve"> </w:t>
      </w:r>
      <w:r w:rsidR="00F45385">
        <w:t xml:space="preserve">(the </w:t>
      </w:r>
      <w:r w:rsidR="00C65ACF">
        <w:t>u</w:t>
      </w:r>
      <w:r w:rsidR="00F45385">
        <w:t xml:space="preserve">rban </w:t>
      </w:r>
      <w:r w:rsidR="00C65ACF">
        <w:t>e</w:t>
      </w:r>
      <w:r w:rsidR="00F45385">
        <w:t>xcise outcomes paper)</w:t>
      </w:r>
      <w:bookmarkEnd w:id="19"/>
      <w:r w:rsidR="00E47895">
        <w:t>.</w:t>
      </w:r>
      <w:r w:rsidR="00F45385">
        <w:t xml:space="preserve"> </w:t>
      </w:r>
      <w:r w:rsidR="00E47895">
        <w:t>Based on submissions to th</w:t>
      </w:r>
      <w:r w:rsidR="00CF3EF5">
        <w:t xml:space="preserve">e </w:t>
      </w:r>
      <w:r w:rsidR="00C65ACF">
        <w:t>u</w:t>
      </w:r>
      <w:r w:rsidR="00CF3EF5">
        <w:t xml:space="preserve">rban </w:t>
      </w:r>
      <w:r w:rsidR="00C65ACF">
        <w:t>e</w:t>
      </w:r>
      <w:r w:rsidR="00CF3EF5">
        <w:t>xcise options</w:t>
      </w:r>
      <w:r w:rsidR="00E47895">
        <w:t xml:space="preserve"> paper</w:t>
      </w:r>
      <w:r w:rsidR="00AD1890">
        <w:t>,</w:t>
      </w:r>
      <w:r w:rsidR="00E47895">
        <w:t xml:space="preserve"> </w:t>
      </w:r>
      <w:r w:rsidR="00AD1890">
        <w:t xml:space="preserve">we </w:t>
      </w:r>
      <w:r w:rsidR="00F45385">
        <w:t xml:space="preserve">identified </w:t>
      </w:r>
      <w:r w:rsidR="00C65ACF">
        <w:t xml:space="preserve">2 </w:t>
      </w:r>
      <w:r w:rsidR="00A30684">
        <w:t xml:space="preserve">possible </w:t>
      </w:r>
      <w:r w:rsidR="00F45385">
        <w:t xml:space="preserve">options </w:t>
      </w:r>
      <w:r w:rsidR="00AD1890">
        <w:t xml:space="preserve">for </w:t>
      </w:r>
      <w:r w:rsidR="001E40DA">
        <w:t xml:space="preserve">the </w:t>
      </w:r>
      <w:r w:rsidR="00AD1890">
        <w:t xml:space="preserve">use and </w:t>
      </w:r>
      <w:r w:rsidR="001E40DA">
        <w:t>allocation of licences in the urban excise</w:t>
      </w:r>
      <w:r w:rsidR="00E065A1">
        <w:t xml:space="preserve"> </w:t>
      </w:r>
      <w:r w:rsidR="00AD1890">
        <w:t xml:space="preserve">areas </w:t>
      </w:r>
      <w:r w:rsidR="00E065A1">
        <w:t xml:space="preserve">that </w:t>
      </w:r>
      <w:r w:rsidR="00AD1890">
        <w:t>warranted</w:t>
      </w:r>
      <w:r w:rsidR="00612286">
        <w:t xml:space="preserve"> further investigation</w:t>
      </w:r>
      <w:r w:rsidR="001E40DA">
        <w:t>.</w:t>
      </w:r>
      <w:r w:rsidR="00F97E63">
        <w:t xml:space="preserve"> </w:t>
      </w:r>
      <w:r w:rsidR="0044461D">
        <w:t>These options are further outlined for stakeholder comment in the ‘</w:t>
      </w:r>
      <w:r w:rsidR="00A0410A">
        <w:t>P</w:t>
      </w:r>
      <w:r w:rsidR="0044461D">
        <w:t>lanning options’ part of this paper.</w:t>
      </w:r>
    </w:p>
    <w:p w14:paraId="2D623740" w14:textId="212EAEDC" w:rsidR="006E063E" w:rsidRPr="007E6DEC" w:rsidRDefault="00EE5AFC" w:rsidP="00C51C6B">
      <w:pPr>
        <w:pStyle w:val="Heading3"/>
      </w:pPr>
      <w:r>
        <w:t>Replanning the 3700</w:t>
      </w:r>
      <w:r w:rsidR="00C65ACF">
        <w:t>–</w:t>
      </w:r>
      <w:r>
        <w:t>4200 MHz band</w:t>
      </w:r>
      <w:r w:rsidR="00857430">
        <w:t xml:space="preserve"> </w:t>
      </w:r>
    </w:p>
    <w:p w14:paraId="79A4E5DD" w14:textId="74CD25F2" w:rsidR="00F568E2" w:rsidRDefault="00F568E2" w:rsidP="00F568E2">
      <w:pPr>
        <w:pStyle w:val="Paragraph"/>
      </w:pPr>
      <w:r>
        <w:t xml:space="preserve">In July 2020, we published the </w:t>
      </w:r>
      <w:bookmarkStart w:id="20" w:name="_Hlk96005188"/>
      <w:r w:rsidR="004655E5">
        <w:fldChar w:fldCharType="begin"/>
      </w:r>
      <w:r w:rsidR="00C65ACF">
        <w:instrText>HYPERLINK "https://www.acma.gov.au/consultations/2020-07/planning-options-3700-4200-mhz-band-consultation-222020"</w:instrText>
      </w:r>
      <w:r w:rsidR="004655E5">
        <w:fldChar w:fldCharType="separate"/>
      </w:r>
      <w:r w:rsidR="00C65ACF">
        <w:rPr>
          <w:rStyle w:val="Hyperlink"/>
          <w:i/>
          <w:iCs/>
        </w:rPr>
        <w:t>Replanning of the 3700–4200 MHz band</w:t>
      </w:r>
      <w:r w:rsidR="004655E5">
        <w:rPr>
          <w:rStyle w:val="Hyperlink"/>
          <w:i/>
          <w:iCs/>
        </w:rPr>
        <w:fldChar w:fldCharType="end"/>
      </w:r>
      <w:r>
        <w:t xml:space="preserve"> </w:t>
      </w:r>
      <w:r w:rsidR="00C65ACF">
        <w:t xml:space="preserve">options paper </w:t>
      </w:r>
      <w:r w:rsidR="00C77440">
        <w:t xml:space="preserve">(the 3700 </w:t>
      </w:r>
      <w:r w:rsidR="006C2E72">
        <w:t xml:space="preserve">MHz </w:t>
      </w:r>
      <w:r w:rsidR="00C77440">
        <w:t>options paper)</w:t>
      </w:r>
      <w:r w:rsidR="00C65ACF">
        <w:t>,</w:t>
      </w:r>
      <w:r w:rsidR="00C77440">
        <w:t xml:space="preserve"> </w:t>
      </w:r>
      <w:r>
        <w:t>making a case to review and potentially change the spectrum management framework in the 3700</w:t>
      </w:r>
      <w:r w:rsidR="00C65ACF">
        <w:t>–</w:t>
      </w:r>
      <w:r>
        <w:t xml:space="preserve">4200 MHz </w:t>
      </w:r>
      <w:r w:rsidR="00B73A9A">
        <w:t>frequency range</w:t>
      </w:r>
      <w:r>
        <w:t xml:space="preserve">. </w:t>
      </w:r>
      <w:r w:rsidR="005E2F72">
        <w:t xml:space="preserve">These options were based on submissions made to consultation on the </w:t>
      </w:r>
      <w:hyperlink r:id="rId39" w:history="1">
        <w:r w:rsidR="00C65ACF">
          <w:rPr>
            <w:rStyle w:val="Hyperlink"/>
            <w:i/>
            <w:iCs/>
          </w:rPr>
          <w:t>Planning of the 3700–4200 MHz band</w:t>
        </w:r>
      </w:hyperlink>
      <w:r w:rsidR="005E2F72">
        <w:t xml:space="preserve"> </w:t>
      </w:r>
      <w:r w:rsidR="00C65ACF">
        <w:t xml:space="preserve">discussion paper </w:t>
      </w:r>
      <w:r w:rsidR="005E2F72">
        <w:t xml:space="preserve">(the 3700 </w:t>
      </w:r>
      <w:r w:rsidR="006C2E72">
        <w:t xml:space="preserve">MHz </w:t>
      </w:r>
      <w:r w:rsidR="005E2F72">
        <w:t>discussion paper).</w:t>
      </w:r>
      <w:r>
        <w:t xml:space="preserve"> </w:t>
      </w:r>
    </w:p>
    <w:bookmarkEnd w:id="20"/>
    <w:p w14:paraId="43138191" w14:textId="1C8927AF" w:rsidR="00673BF8" w:rsidRDefault="00673BF8" w:rsidP="00673BF8">
      <w:pPr>
        <w:pStyle w:val="Paragraphbeforelist"/>
      </w:pPr>
      <w:r>
        <w:t xml:space="preserve">Current Australian regulatory arrangements in the 3700–4200 MHz </w:t>
      </w:r>
      <w:r w:rsidR="00B73A9A">
        <w:t>frequency range</w:t>
      </w:r>
      <w:r>
        <w:t xml:space="preserve"> support the following mix of uses: </w:t>
      </w:r>
    </w:p>
    <w:p w14:paraId="5E5E6F7D" w14:textId="2D747811" w:rsidR="00673BF8" w:rsidRDefault="00C65ACF" w:rsidP="00673BF8">
      <w:pPr>
        <w:pStyle w:val="Bulletlevel1"/>
      </w:pPr>
      <w:r>
        <w:t>a</w:t>
      </w:r>
      <w:r w:rsidR="00673BF8">
        <w:t>pparatus</w:t>
      </w:r>
      <w:r>
        <w:t>-</w:t>
      </w:r>
      <w:r w:rsidR="00673BF8">
        <w:t xml:space="preserve">licensed point-to-point </w:t>
      </w:r>
      <w:r>
        <w:t xml:space="preserve">(PTP) </w:t>
      </w:r>
      <w:r w:rsidR="00673BF8">
        <w:t xml:space="preserve">fixed service links </w:t>
      </w:r>
    </w:p>
    <w:p w14:paraId="67E80A1D" w14:textId="77777777" w:rsidR="00673BF8" w:rsidRDefault="00673BF8" w:rsidP="00673BF8">
      <w:pPr>
        <w:pStyle w:val="Bulletlevel1"/>
      </w:pPr>
      <w:r>
        <w:t>coordinated fixed satellite service (FSS) receive earth stations</w:t>
      </w:r>
    </w:p>
    <w:p w14:paraId="63359010" w14:textId="62A360B7" w:rsidR="00673BF8" w:rsidRDefault="00673BF8" w:rsidP="003B4857">
      <w:pPr>
        <w:pStyle w:val="Bulletlevel1last"/>
      </w:pPr>
      <w:r>
        <w:t>various low</w:t>
      </w:r>
      <w:r w:rsidR="00C65ACF">
        <w:t>-</w:t>
      </w:r>
      <w:r>
        <w:t>power class</w:t>
      </w:r>
      <w:r w:rsidR="00C65ACF">
        <w:t>-</w:t>
      </w:r>
      <w:r>
        <w:t>licensed devices.</w:t>
      </w:r>
      <w:r w:rsidR="00B8087F">
        <w:rPr>
          <w:rStyle w:val="FootnoteReference"/>
        </w:rPr>
        <w:footnoteReference w:id="2"/>
      </w:r>
    </w:p>
    <w:p w14:paraId="68A2705B" w14:textId="4D8DBE9E" w:rsidR="00E11A8C" w:rsidRDefault="00E11A8C" w:rsidP="003B4857">
      <w:pPr>
        <w:pStyle w:val="Paragraphbeforelist"/>
      </w:pPr>
      <w:r>
        <w:t xml:space="preserve">Following extensive consultation with stakeholders, technical studies and engagement both domestically and internationally, </w:t>
      </w:r>
      <w:r w:rsidR="006E063E">
        <w:t>we</w:t>
      </w:r>
      <w:r>
        <w:t xml:space="preserve"> completed a review of the 3700</w:t>
      </w:r>
      <w:r w:rsidR="00C65ACF">
        <w:t>–</w:t>
      </w:r>
      <w:r>
        <w:t xml:space="preserve">4200 MHz </w:t>
      </w:r>
      <w:r w:rsidR="00B73A9A">
        <w:t>frequency range</w:t>
      </w:r>
      <w:r>
        <w:t xml:space="preserve">, and published the </w:t>
      </w:r>
      <w:bookmarkStart w:id="21" w:name="_Hlk96005237"/>
      <w:r w:rsidR="004655E5">
        <w:fldChar w:fldCharType="begin"/>
      </w:r>
      <w:r w:rsidR="00160A78">
        <w:instrText xml:space="preserve">HYPERLINK "https://www.acma.gov.au/sites/default/files/2021-01/Replanning%20the%203700-4200%20MHz%20band_Outcomes%20paper.docx" \h </w:instrText>
      </w:r>
      <w:r w:rsidR="004655E5">
        <w:fldChar w:fldCharType="separate"/>
      </w:r>
      <w:r w:rsidR="00160A78">
        <w:rPr>
          <w:rStyle w:val="Hyperlink"/>
          <w:i/>
          <w:iCs/>
        </w:rPr>
        <w:t>Replanning the 3700–4200 MHz band</w:t>
      </w:r>
      <w:r w:rsidR="004655E5">
        <w:rPr>
          <w:rStyle w:val="Hyperlink"/>
          <w:i/>
          <w:iCs/>
        </w:rPr>
        <w:fldChar w:fldCharType="end"/>
      </w:r>
      <w:r>
        <w:t xml:space="preserve"> </w:t>
      </w:r>
      <w:r w:rsidR="00160A78">
        <w:t xml:space="preserve">outcomes paper </w:t>
      </w:r>
      <w:r>
        <w:t xml:space="preserve">(the </w:t>
      </w:r>
      <w:r w:rsidR="00046211">
        <w:t>3700</w:t>
      </w:r>
      <w:r w:rsidR="006C2E72">
        <w:t xml:space="preserve"> MHz</w:t>
      </w:r>
      <w:r w:rsidR="00046211">
        <w:t xml:space="preserve"> </w:t>
      </w:r>
      <w:r>
        <w:t xml:space="preserve">outcomes paper). </w:t>
      </w:r>
      <w:bookmarkEnd w:id="21"/>
      <w:r>
        <w:t>The outcomes paper</w:t>
      </w:r>
      <w:r w:rsidR="00661164">
        <w:t xml:space="preserve"> and subsequent considerations</w:t>
      </w:r>
      <w:r w:rsidR="00460D8C">
        <w:t xml:space="preserve"> proposed </w:t>
      </w:r>
      <w:r>
        <w:t xml:space="preserve">the following </w:t>
      </w:r>
      <w:r w:rsidR="00E356AA">
        <w:t>preliminary</w:t>
      </w:r>
      <w:r>
        <w:t xml:space="preserve"> planning decisions:</w:t>
      </w:r>
    </w:p>
    <w:p w14:paraId="0545BAED" w14:textId="58A438DE" w:rsidR="006C377C" w:rsidRDefault="00160A78" w:rsidP="008454BB">
      <w:pPr>
        <w:pStyle w:val="Bulletlevel1"/>
      </w:pPr>
      <w:r>
        <w:rPr>
          <w:b/>
          <w:bCs/>
        </w:rPr>
        <w:t>i</w:t>
      </w:r>
      <w:r w:rsidR="006C377C" w:rsidRPr="008454BB">
        <w:rPr>
          <w:b/>
          <w:bCs/>
        </w:rPr>
        <w:t>n the 3400</w:t>
      </w:r>
      <w:r w:rsidRPr="006E3C43">
        <w:rPr>
          <w:b/>
          <w:bCs/>
        </w:rPr>
        <w:t>–</w:t>
      </w:r>
      <w:r w:rsidR="006C377C" w:rsidRPr="008454BB">
        <w:rPr>
          <w:b/>
          <w:bCs/>
        </w:rPr>
        <w:t>4000 MHz frequency range (remote areas):</w:t>
      </w:r>
      <w:r w:rsidR="006C377C">
        <w:rPr>
          <w:i/>
          <w:iCs/>
        </w:rPr>
        <w:t xml:space="preserve"> </w:t>
      </w:r>
      <w:r>
        <w:t>a</w:t>
      </w:r>
      <w:r w:rsidR="006C377C" w:rsidRPr="00D64FD0">
        <w:t>pparatus</w:t>
      </w:r>
      <w:r>
        <w:t>-</w:t>
      </w:r>
      <w:r w:rsidR="006C377C" w:rsidRPr="00D64FD0">
        <w:t xml:space="preserve">licensing arrangements </w:t>
      </w:r>
      <w:r w:rsidR="006C377C" w:rsidRPr="002914E7">
        <w:t>will be</w:t>
      </w:r>
      <w:r w:rsidR="006C377C">
        <w:t xml:space="preserve"> introduced in r</w:t>
      </w:r>
      <w:r w:rsidR="006C377C" w:rsidRPr="00D64FD0">
        <w:t xml:space="preserve">emote areas to </w:t>
      </w:r>
      <w:r w:rsidR="006C377C">
        <w:t>support</w:t>
      </w:r>
      <w:r w:rsidR="006C377C" w:rsidRPr="00D64FD0">
        <w:t xml:space="preserve"> </w:t>
      </w:r>
      <w:r w:rsidR="006C377C">
        <w:t>local-area (</w:t>
      </w:r>
      <w:r w:rsidR="006C377C" w:rsidRPr="00D64FD0">
        <w:t>LA</w:t>
      </w:r>
      <w:r w:rsidR="00EB391B">
        <w:t>)</w:t>
      </w:r>
      <w:r w:rsidR="006C377C" w:rsidRPr="00D64FD0">
        <w:t xml:space="preserve"> WBB services </w:t>
      </w:r>
      <w:r w:rsidR="006C377C">
        <w:t>on a</w:t>
      </w:r>
      <w:r w:rsidR="006C377C" w:rsidRPr="00D64FD0">
        <w:t xml:space="preserve"> share</w:t>
      </w:r>
      <w:r w:rsidR="006C377C">
        <w:t xml:space="preserve">d basis </w:t>
      </w:r>
      <w:r w:rsidR="006C377C" w:rsidRPr="00D64FD0">
        <w:t xml:space="preserve">with </w:t>
      </w:r>
      <w:r w:rsidR="006C377C">
        <w:t xml:space="preserve">existing </w:t>
      </w:r>
      <w:r w:rsidR="00EB391B">
        <w:t>a</w:t>
      </w:r>
      <w:r w:rsidR="006C377C">
        <w:t xml:space="preserve">mateur, </w:t>
      </w:r>
      <w:r w:rsidR="006C377C" w:rsidRPr="00D64FD0">
        <w:t>FSS and PTP</w:t>
      </w:r>
      <w:r w:rsidR="006C377C">
        <w:t xml:space="preserve"> services</w:t>
      </w:r>
      <w:r w:rsidR="006C377C">
        <w:rPr>
          <w:rStyle w:val="FootnoteReference"/>
        </w:rPr>
        <w:footnoteReference w:id="3"/>
      </w:r>
    </w:p>
    <w:p w14:paraId="3ABD3584" w14:textId="148A2692" w:rsidR="00E11A8C" w:rsidRPr="007B608C" w:rsidRDefault="00160A78" w:rsidP="008454BB">
      <w:pPr>
        <w:pStyle w:val="Bulletlevel1"/>
      </w:pPr>
      <w:r w:rsidRPr="008454BB">
        <w:rPr>
          <w:b/>
          <w:bCs/>
        </w:rPr>
        <w:t>i</w:t>
      </w:r>
      <w:r w:rsidR="00E11A8C" w:rsidRPr="008454BB">
        <w:rPr>
          <w:b/>
          <w:bCs/>
        </w:rPr>
        <w:t>n the 3700</w:t>
      </w:r>
      <w:r w:rsidRPr="006E3C43">
        <w:rPr>
          <w:b/>
          <w:bCs/>
        </w:rPr>
        <w:t>–</w:t>
      </w:r>
      <w:r w:rsidR="00E11A8C" w:rsidRPr="008454BB">
        <w:rPr>
          <w:b/>
          <w:bCs/>
        </w:rPr>
        <w:t>3800 MHz frequency range</w:t>
      </w:r>
      <w:r w:rsidR="00766CAD" w:rsidRPr="008454BB">
        <w:rPr>
          <w:b/>
          <w:bCs/>
        </w:rPr>
        <w:t xml:space="preserve"> (metropolitan and regional areas)</w:t>
      </w:r>
      <w:r w:rsidR="00E11A8C" w:rsidRPr="008454BB">
        <w:rPr>
          <w:b/>
          <w:bCs/>
        </w:rPr>
        <w:t xml:space="preserve">: </w:t>
      </w:r>
      <w:r>
        <w:t>s</w:t>
      </w:r>
      <w:r w:rsidR="00E11A8C" w:rsidRPr="007B608C">
        <w:t>pectrum in metropolitan</w:t>
      </w:r>
      <w:r w:rsidR="00991027">
        <w:t xml:space="preserve"> and regional</w:t>
      </w:r>
      <w:r w:rsidR="00E11A8C" w:rsidRPr="007B608C">
        <w:t xml:space="preserve"> areas will be cleared of existing FSS and PTP services, and arrangements will be introduced to allow for</w:t>
      </w:r>
      <w:r w:rsidR="005E665D" w:rsidRPr="007B608C">
        <w:t xml:space="preserve"> </w:t>
      </w:r>
      <w:r w:rsidR="00E11A8C" w:rsidRPr="007B608C">
        <w:t>WA WBB services on an exclusive basis</w:t>
      </w:r>
    </w:p>
    <w:p w14:paraId="25BE2CE3" w14:textId="01700236" w:rsidR="00E11A8C" w:rsidRDefault="00160A78" w:rsidP="00E11A8C">
      <w:pPr>
        <w:pStyle w:val="Bulletlevel1"/>
        <w:spacing w:after="240"/>
      </w:pPr>
      <w:r w:rsidRPr="008454BB">
        <w:rPr>
          <w:b/>
          <w:bCs/>
        </w:rPr>
        <w:t>i</w:t>
      </w:r>
      <w:r w:rsidR="00E11A8C" w:rsidRPr="008454BB">
        <w:rPr>
          <w:b/>
          <w:bCs/>
        </w:rPr>
        <w:t>n the 3800</w:t>
      </w:r>
      <w:r w:rsidRPr="006E3C43">
        <w:rPr>
          <w:b/>
          <w:bCs/>
        </w:rPr>
        <w:t>–</w:t>
      </w:r>
      <w:r w:rsidR="00E11A8C" w:rsidRPr="008454BB">
        <w:rPr>
          <w:b/>
          <w:bCs/>
        </w:rPr>
        <w:t>4000 MHz frequency range</w:t>
      </w:r>
      <w:r w:rsidR="00766CAD" w:rsidRPr="008454BB">
        <w:rPr>
          <w:b/>
          <w:bCs/>
        </w:rPr>
        <w:t xml:space="preserve"> (metropolitan and regional areas)</w:t>
      </w:r>
      <w:r w:rsidR="00E11A8C" w:rsidRPr="008454BB">
        <w:rPr>
          <w:b/>
          <w:bCs/>
        </w:rPr>
        <w:t xml:space="preserve">: </w:t>
      </w:r>
      <w:r>
        <w:t>a</w:t>
      </w:r>
      <w:r w:rsidR="00E11A8C">
        <w:t>rrangements will be introduced Australia-wide to support LA</w:t>
      </w:r>
      <w:r w:rsidR="00E11A8C" w:rsidRPr="00D64FD0">
        <w:t xml:space="preserve"> WBB services </w:t>
      </w:r>
      <w:r w:rsidR="00E11A8C">
        <w:t xml:space="preserve">on a shared basis </w:t>
      </w:r>
      <w:r w:rsidR="00E11A8C" w:rsidRPr="00D64FD0">
        <w:t xml:space="preserve">with </w:t>
      </w:r>
      <w:r w:rsidR="00E11A8C">
        <w:t xml:space="preserve">existing </w:t>
      </w:r>
      <w:r w:rsidR="00E11A8C" w:rsidRPr="00D64FD0">
        <w:t>FSS and PTP services</w:t>
      </w:r>
      <w:r w:rsidR="00E11A8C">
        <w:t>.</w:t>
      </w:r>
      <w:r w:rsidR="00E11A8C" w:rsidRPr="002A32D7">
        <w:rPr>
          <w:vertAlign w:val="superscript"/>
        </w:rPr>
        <w:footnoteReference w:id="4"/>
      </w:r>
    </w:p>
    <w:p w14:paraId="68435177" w14:textId="411179B4" w:rsidR="004A2C7D" w:rsidRPr="00CC0741" w:rsidRDefault="004A2C7D" w:rsidP="00485F64">
      <w:pPr>
        <w:pStyle w:val="Paragraph"/>
      </w:pPr>
      <w:r>
        <w:t xml:space="preserve">Since the release of the 3700 MHz </w:t>
      </w:r>
      <w:r w:rsidR="008E63DD">
        <w:t>outcomes</w:t>
      </w:r>
      <w:r>
        <w:t xml:space="preserve"> paper, we have developed </w:t>
      </w:r>
      <w:r w:rsidR="00160A78">
        <w:t xml:space="preserve">2 </w:t>
      </w:r>
      <w:r>
        <w:t>alternative licensing arrangement</w:t>
      </w:r>
      <w:r w:rsidR="008D0B43">
        <w:t>s</w:t>
      </w:r>
      <w:r>
        <w:t xml:space="preserve"> for the spectrum. One of these is reflected in the proposed terms of the re</w:t>
      </w:r>
      <w:r w:rsidR="00737499">
        <w:t>-</w:t>
      </w:r>
      <w:r>
        <w:t xml:space="preserve">allocation declaration. </w:t>
      </w:r>
      <w:r w:rsidRPr="0044461D">
        <w:t>Further discussion of the alternative licensing arrangement</w:t>
      </w:r>
      <w:r w:rsidR="008D0B43">
        <w:t>s</w:t>
      </w:r>
      <w:r w:rsidRPr="0044461D">
        <w:t xml:space="preserve"> is under the ‘</w:t>
      </w:r>
      <w:r w:rsidR="00A0410A">
        <w:t>P</w:t>
      </w:r>
      <w:r w:rsidRPr="0044461D">
        <w:t>lanning options’ part of this paper.</w:t>
      </w:r>
    </w:p>
    <w:p w14:paraId="05FAEE49" w14:textId="42015F51" w:rsidR="00105160" w:rsidRDefault="00012AB7" w:rsidP="00985F22">
      <w:pPr>
        <w:pStyle w:val="Heading2"/>
      </w:pPr>
      <w:bookmarkStart w:id="22" w:name="_Toc96940979"/>
      <w:r>
        <w:t xml:space="preserve">Legislative </w:t>
      </w:r>
      <w:r w:rsidR="00EA6AE1">
        <w:t>context</w:t>
      </w:r>
      <w:r w:rsidR="00EE02F0">
        <w:t xml:space="preserve"> </w:t>
      </w:r>
      <w:r>
        <w:t>and policy environment</w:t>
      </w:r>
      <w:bookmarkEnd w:id="22"/>
    </w:p>
    <w:p w14:paraId="67FB5635" w14:textId="724E6C50" w:rsidR="007F5E69" w:rsidRDefault="009A2010" w:rsidP="007F5E69">
      <w:pPr>
        <w:ind w:right="16"/>
      </w:pPr>
      <w:r>
        <w:t>Planning and allocating communications infrastructure resources, including spectrum,</w:t>
      </w:r>
      <w:r w:rsidR="007F5E69">
        <w:t xml:space="preserve"> is a key priority for the ACMA.</w:t>
      </w:r>
      <w:r>
        <w:t xml:space="preserve"> We aim to plan and allocate spectrum transparently, efficiently and consistently with our international obligations, to address changing demand to support innovative communications services.</w:t>
      </w:r>
      <w:r w:rsidR="007F5E69">
        <w:rPr>
          <w:vertAlign w:val="superscript"/>
        </w:rPr>
        <w:footnoteReference w:id="5"/>
      </w:r>
      <w:r w:rsidR="007F5E69">
        <w:t xml:space="preserve"> </w:t>
      </w:r>
    </w:p>
    <w:p w14:paraId="30272C76" w14:textId="4ED724B8" w:rsidR="007F5E69" w:rsidRDefault="007F5E69" w:rsidP="007F5E69">
      <w:pPr>
        <w:pStyle w:val="Heading3"/>
        <w:ind w:right="16"/>
      </w:pPr>
      <w:bookmarkStart w:id="23" w:name="_Guiding_legislation_and"/>
      <w:bookmarkStart w:id="24" w:name="_Ref78198576"/>
      <w:bookmarkEnd w:id="23"/>
      <w:r>
        <w:t xml:space="preserve">Guiding legislation </w:t>
      </w:r>
      <w:bookmarkEnd w:id="24"/>
    </w:p>
    <w:p w14:paraId="69E17259" w14:textId="2EA885DB" w:rsidR="007F5E69" w:rsidRDefault="007F5E69" w:rsidP="008454BB">
      <w:pPr>
        <w:pStyle w:val="Paragraphbeforelist"/>
      </w:pPr>
      <w:r>
        <w:t xml:space="preserve">The ACMA’s decisions are guided by the object of the </w:t>
      </w:r>
      <w:hyperlink r:id="rId40" w:history="1">
        <w:r>
          <w:rPr>
            <w:rStyle w:val="Hyperlink"/>
            <w:i/>
          </w:rPr>
          <w:t>Radiocommunications Act 1992</w:t>
        </w:r>
      </w:hyperlink>
      <w:r>
        <w:t xml:space="preserve"> </w:t>
      </w:r>
      <w:r w:rsidRPr="002914E7">
        <w:t>(the Act)</w:t>
      </w:r>
      <w:r>
        <w:t xml:space="preserve"> to promote the long</w:t>
      </w:r>
      <w:r>
        <w:rPr>
          <w:rFonts w:ascii="Cambria Math" w:hAnsi="Cambria Math" w:cs="Cambria Math"/>
        </w:rPr>
        <w:noBreakHyphen/>
      </w:r>
      <w:r>
        <w:t>term public interest derived from the use of the spectrum by providing for the management of the spectrum in a manner that:</w:t>
      </w:r>
    </w:p>
    <w:p w14:paraId="08ECA51D" w14:textId="77777777" w:rsidR="007F5E69" w:rsidRDefault="007F5E69" w:rsidP="008454BB">
      <w:pPr>
        <w:pStyle w:val="ListParagraph"/>
        <w:numPr>
          <w:ilvl w:val="0"/>
          <w:numId w:val="45"/>
        </w:numPr>
        <w:spacing w:after="80"/>
        <w:ind w:right="17" w:hanging="357"/>
        <w:contextualSpacing w:val="0"/>
        <w:rPr>
          <w:rFonts w:cs="Arial"/>
          <w:szCs w:val="20"/>
        </w:rPr>
      </w:pPr>
      <w:r>
        <w:rPr>
          <w:rFonts w:cs="Arial"/>
          <w:szCs w:val="20"/>
        </w:rPr>
        <w:t>facilitates the efficient planning, allocation and use of the spectrum</w:t>
      </w:r>
    </w:p>
    <w:p w14:paraId="798708C5" w14:textId="77777777" w:rsidR="007F5E69" w:rsidRDefault="007F5E69" w:rsidP="008454BB">
      <w:pPr>
        <w:pStyle w:val="ListParagraph"/>
        <w:numPr>
          <w:ilvl w:val="0"/>
          <w:numId w:val="45"/>
        </w:numPr>
        <w:spacing w:after="80"/>
        <w:ind w:right="17" w:hanging="357"/>
        <w:contextualSpacing w:val="0"/>
        <w:rPr>
          <w:rFonts w:cs="Arial"/>
          <w:szCs w:val="20"/>
        </w:rPr>
      </w:pPr>
      <w:r>
        <w:rPr>
          <w:rFonts w:cs="Arial"/>
          <w:szCs w:val="20"/>
        </w:rPr>
        <w:t>facilitates the use of the spectrum for:</w:t>
      </w:r>
    </w:p>
    <w:p w14:paraId="4C687975" w14:textId="77777777" w:rsidR="007F5E69" w:rsidRDefault="007F5E69" w:rsidP="008454BB">
      <w:pPr>
        <w:pStyle w:val="ListParagraph"/>
        <w:numPr>
          <w:ilvl w:val="1"/>
          <w:numId w:val="46"/>
        </w:numPr>
        <w:spacing w:after="80"/>
        <w:ind w:left="709" w:right="17" w:hanging="357"/>
        <w:contextualSpacing w:val="0"/>
        <w:rPr>
          <w:rFonts w:cs="Arial"/>
          <w:szCs w:val="20"/>
        </w:rPr>
      </w:pPr>
      <w:r>
        <w:rPr>
          <w:rFonts w:cs="Arial"/>
          <w:szCs w:val="20"/>
        </w:rPr>
        <w:t>commercial purposes</w:t>
      </w:r>
    </w:p>
    <w:p w14:paraId="5F085C23" w14:textId="77777777" w:rsidR="007F5E69" w:rsidRDefault="007F5E69" w:rsidP="008454BB">
      <w:pPr>
        <w:pStyle w:val="ListParagraph"/>
        <w:numPr>
          <w:ilvl w:val="1"/>
          <w:numId w:val="46"/>
        </w:numPr>
        <w:spacing w:after="80"/>
        <w:ind w:left="709" w:right="17" w:hanging="357"/>
        <w:contextualSpacing w:val="0"/>
        <w:rPr>
          <w:rFonts w:cs="Arial"/>
          <w:szCs w:val="20"/>
        </w:rPr>
      </w:pPr>
      <w:r>
        <w:rPr>
          <w:rFonts w:cs="Arial"/>
          <w:szCs w:val="20"/>
        </w:rPr>
        <w:t>defence purposes, national security purposes and other non</w:t>
      </w:r>
      <w:r>
        <w:rPr>
          <w:rFonts w:ascii="Cambria Math" w:hAnsi="Cambria Math" w:cs="Cambria Math"/>
          <w:szCs w:val="20"/>
        </w:rPr>
        <w:noBreakHyphen/>
      </w:r>
      <w:r>
        <w:rPr>
          <w:rFonts w:cs="Arial"/>
          <w:szCs w:val="20"/>
        </w:rPr>
        <w:t>commercial purposes (including public safety and community purposes)</w:t>
      </w:r>
    </w:p>
    <w:p w14:paraId="5EC3945D" w14:textId="3C344C48" w:rsidR="007F5E69" w:rsidRDefault="007F5E69" w:rsidP="007F5E69">
      <w:pPr>
        <w:pStyle w:val="ListParagraph"/>
        <w:numPr>
          <w:ilvl w:val="0"/>
          <w:numId w:val="45"/>
        </w:numPr>
        <w:spacing w:line="276" w:lineRule="auto"/>
        <w:ind w:left="357" w:right="17" w:hanging="357"/>
        <w:rPr>
          <w:rFonts w:cs="Arial"/>
          <w:szCs w:val="20"/>
        </w:rPr>
      </w:pPr>
      <w:r>
        <w:rPr>
          <w:rFonts w:cs="Arial"/>
          <w:szCs w:val="20"/>
        </w:rPr>
        <w:t xml:space="preserve">supports the communications policy objectives of the </w:t>
      </w:r>
      <w:r w:rsidR="00160A78">
        <w:rPr>
          <w:rFonts w:cs="Arial"/>
          <w:szCs w:val="20"/>
        </w:rPr>
        <w:t xml:space="preserve">Australian </w:t>
      </w:r>
      <w:r>
        <w:rPr>
          <w:rFonts w:cs="Arial"/>
          <w:szCs w:val="20"/>
        </w:rPr>
        <w:t>Government.</w:t>
      </w:r>
    </w:p>
    <w:p w14:paraId="4978487D" w14:textId="7247397F" w:rsidR="00A33FAC" w:rsidRDefault="00DA24AC" w:rsidP="003B4857">
      <w:pPr>
        <w:pStyle w:val="Paragraph"/>
      </w:pPr>
      <w:r w:rsidRPr="00062271">
        <w:t xml:space="preserve">The </w:t>
      </w:r>
      <w:r w:rsidR="00BE290D">
        <w:t>proposed terms of the re-allocation declaration</w:t>
      </w:r>
      <w:r w:rsidR="00CF437D" w:rsidRPr="0000228A">
        <w:t>s</w:t>
      </w:r>
      <w:r w:rsidR="00CF437D">
        <w:t xml:space="preserve"> for parts of the spectrum </w:t>
      </w:r>
      <w:r w:rsidR="00383A7E">
        <w:t>are</w:t>
      </w:r>
      <w:r w:rsidR="00CF437D">
        <w:t xml:space="preserve"> </w:t>
      </w:r>
      <w:r w:rsidRPr="00062271">
        <w:t xml:space="preserve">informed by and </w:t>
      </w:r>
      <w:r w:rsidR="00383A7E">
        <w:t>are</w:t>
      </w:r>
      <w:r w:rsidRPr="00062271">
        <w:t xml:space="preserve"> consistent with the object of the Act.</w:t>
      </w:r>
    </w:p>
    <w:p w14:paraId="271090E0" w14:textId="6B9B8CDF" w:rsidR="00A3278A" w:rsidRPr="00A3278A" w:rsidRDefault="00A3278A" w:rsidP="00A3278A">
      <w:pPr>
        <w:pStyle w:val="Heading3"/>
      </w:pPr>
      <w:r w:rsidRPr="00397975">
        <w:t>Government communications policy objectives</w:t>
      </w:r>
    </w:p>
    <w:p w14:paraId="7C93DC1E" w14:textId="002F0C29" w:rsidR="00CB24C8" w:rsidRPr="00BE42E7" w:rsidRDefault="002D6E97" w:rsidP="003B4857">
      <w:pPr>
        <w:pStyle w:val="Paragraphbeforelist"/>
      </w:pPr>
      <w:r w:rsidRPr="00BE42E7">
        <w:t xml:space="preserve">The object of the Act is to provide for management of the radiofrequency spectrum in order to, among other things, support the communications policy objectives of the Australian Government. </w:t>
      </w:r>
      <w:r w:rsidR="00562D72" w:rsidRPr="00BE42E7">
        <w:t>The Minister for Communications, Urban Infrastructure, Citie</w:t>
      </w:r>
      <w:r w:rsidR="00650D17" w:rsidRPr="00BE42E7">
        <w:t xml:space="preserve">s and the Arts has </w:t>
      </w:r>
      <w:r w:rsidR="00D54140">
        <w:t>issued</w:t>
      </w:r>
      <w:r w:rsidR="00D54140" w:rsidRPr="00BE42E7">
        <w:t xml:space="preserve"> </w:t>
      </w:r>
      <w:r w:rsidR="00684604" w:rsidRPr="00BE42E7">
        <w:t xml:space="preserve">a </w:t>
      </w:r>
      <w:hyperlink r:id="rId41" w:history="1">
        <w:r w:rsidR="00B356F7">
          <w:rPr>
            <w:rStyle w:val="Hyperlink"/>
          </w:rPr>
          <w:t>ministerial policy statement</w:t>
        </w:r>
      </w:hyperlink>
      <w:r w:rsidR="00363AAC">
        <w:t xml:space="preserve"> </w:t>
      </w:r>
      <w:r w:rsidR="00B356F7">
        <w:t xml:space="preserve">(MPS) </w:t>
      </w:r>
      <w:r w:rsidRPr="00BE42E7">
        <w:t>for the allocation of the</w:t>
      </w:r>
      <w:r w:rsidR="00303857" w:rsidRPr="00BE42E7">
        <w:t xml:space="preserve"> spectrum in the 3.4 GHz and 3.7 GHz bands</w:t>
      </w:r>
      <w:r w:rsidR="00BE42E7" w:rsidRPr="00BE42E7">
        <w:t>, containing the following objectives</w:t>
      </w:r>
      <w:r w:rsidR="00A674EA" w:rsidRPr="00BE42E7">
        <w:t>:</w:t>
      </w:r>
    </w:p>
    <w:p w14:paraId="46824F7D" w14:textId="2D140A2E" w:rsidR="00DF1A5E" w:rsidRPr="00A71E0A" w:rsidRDefault="00160A78" w:rsidP="003B4857">
      <w:pPr>
        <w:pStyle w:val="Bulletlevel1"/>
      </w:pPr>
      <w:r>
        <w:t>s</w:t>
      </w:r>
      <w:r w:rsidR="00DF1A5E" w:rsidRPr="00A71E0A">
        <w:t xml:space="preserve">upporting the deployment of new and innovative technology, including 5G </w:t>
      </w:r>
    </w:p>
    <w:p w14:paraId="10304422" w14:textId="1F0C116E" w:rsidR="00DF1A5E" w:rsidRPr="00A71E0A" w:rsidRDefault="00EA537E" w:rsidP="003B4857">
      <w:pPr>
        <w:pStyle w:val="Bulletlevel1"/>
      </w:pPr>
      <w:r>
        <w:t>s</w:t>
      </w:r>
      <w:r w:rsidR="00DF1A5E" w:rsidRPr="00A71E0A">
        <w:t xml:space="preserve">upporting a range of </w:t>
      </w:r>
      <w:r w:rsidR="00403F11">
        <w:t>use</w:t>
      </w:r>
      <w:r w:rsidR="00660093">
        <w:t>-</w:t>
      </w:r>
      <w:r w:rsidR="00403F11">
        <w:t>cases and users</w:t>
      </w:r>
      <w:r w:rsidR="00DF1A5E" w:rsidRPr="00A71E0A">
        <w:t xml:space="preserve"> </w:t>
      </w:r>
    </w:p>
    <w:p w14:paraId="26B27809" w14:textId="1BCDBA0D" w:rsidR="00DF1A5E" w:rsidRPr="00A71E0A" w:rsidRDefault="00EA537E" w:rsidP="003B4857">
      <w:pPr>
        <w:pStyle w:val="Bulletlevel1"/>
      </w:pPr>
      <w:r>
        <w:t>s</w:t>
      </w:r>
      <w:r w:rsidR="00DF1A5E" w:rsidRPr="00A71E0A">
        <w:t xml:space="preserve">upporting </w:t>
      </w:r>
      <w:r w:rsidR="00E46B99" w:rsidRPr="00A71E0A">
        <w:t>digital connectivity and investment in regional Australia</w:t>
      </w:r>
      <w:r w:rsidR="00DF1A5E" w:rsidRPr="00A71E0A">
        <w:t xml:space="preserve"> </w:t>
      </w:r>
    </w:p>
    <w:p w14:paraId="27B3C724" w14:textId="5D872A38" w:rsidR="00DF1A5E" w:rsidRPr="00A71E0A" w:rsidRDefault="00EA537E" w:rsidP="003B4857">
      <w:pPr>
        <w:pStyle w:val="Bulletlevel1last"/>
      </w:pPr>
      <w:r>
        <w:t>p</w:t>
      </w:r>
      <w:r w:rsidR="00DF1A5E" w:rsidRPr="00A71E0A">
        <w:t xml:space="preserve">romoting </w:t>
      </w:r>
      <w:r w:rsidR="00E46B99" w:rsidRPr="00A71E0A">
        <w:t>competitive markets.</w:t>
      </w:r>
      <w:r w:rsidR="00DF1A5E" w:rsidRPr="00A71E0A">
        <w:t xml:space="preserve"> </w:t>
      </w:r>
    </w:p>
    <w:p w14:paraId="284044E9" w14:textId="209D2D7A" w:rsidR="00F01118" w:rsidRDefault="00F01118" w:rsidP="00417EF2">
      <w:pPr>
        <w:pStyle w:val="Paragraph"/>
      </w:pPr>
      <w:r>
        <w:t>The ACMA must have regard to the MPS in exercising its powers and performing its actions under the Act.</w:t>
      </w:r>
    </w:p>
    <w:p w14:paraId="041C069B" w14:textId="5323680E" w:rsidR="00417EF2" w:rsidRDefault="00AE665B" w:rsidP="00417EF2">
      <w:pPr>
        <w:pStyle w:val="Paragraph"/>
      </w:pPr>
      <w:r>
        <w:t>There are</w:t>
      </w:r>
      <w:r w:rsidR="00CC1CBF">
        <w:t xml:space="preserve"> a number of other</w:t>
      </w:r>
      <w:r w:rsidR="00CC1CBF" w:rsidDel="00057E89">
        <w:t xml:space="preserve"> </w:t>
      </w:r>
      <w:r w:rsidR="00CC1CBF">
        <w:t xml:space="preserve">communications </w:t>
      </w:r>
      <w:r w:rsidR="00546A4E">
        <w:t>policies that are relevant to the allocation of spectrum.</w:t>
      </w:r>
      <w:r w:rsidR="00902A0D">
        <w:t xml:space="preserve"> </w:t>
      </w:r>
      <w:r w:rsidR="00417EF2">
        <w:t>The government’s</w:t>
      </w:r>
      <w:r w:rsidR="00417EF2">
        <w:rPr>
          <w:color w:val="1F497D"/>
        </w:rPr>
        <w:t xml:space="preserve"> </w:t>
      </w:r>
      <w:hyperlink r:id="rId42" w:history="1">
        <w:r w:rsidR="00EA537E">
          <w:rPr>
            <w:rStyle w:val="Hyperlink"/>
            <w:i/>
            <w:iCs/>
          </w:rPr>
          <w:t>Digital Economy Strategy 2030</w:t>
        </w:r>
      </w:hyperlink>
      <w:r w:rsidR="00417EF2">
        <w:t xml:space="preserve">, released in 2021, sets out how Australia will secure its future as a modern and leading digital economy and society by 2030. The strategy identified that digital infrastructure was a key enabler </w:t>
      </w:r>
      <w:r w:rsidR="00EA537E">
        <w:t xml:space="preserve">to </w:t>
      </w:r>
      <w:r w:rsidR="00417EF2">
        <w:t>making it possible to access the digital world. The strategy noted that the government is supporting the rollout of 5G services through the timely availability of spectrum, streamlining deployment arrangements and showcasing trials of 5G use</w:t>
      </w:r>
      <w:r w:rsidR="00660093">
        <w:t>-</w:t>
      </w:r>
      <w:r w:rsidR="00417EF2">
        <w:t>cases to promote business uptake.</w:t>
      </w:r>
    </w:p>
    <w:p w14:paraId="42362586" w14:textId="09934780" w:rsidR="00417EF2" w:rsidRDefault="00417EF2" w:rsidP="00417EF2">
      <w:pPr>
        <w:pStyle w:val="Paragraph"/>
      </w:pPr>
      <w:r>
        <w:t>The</w:t>
      </w:r>
      <w:r w:rsidR="00062E8A">
        <w:t xml:space="preserve"> </w:t>
      </w:r>
      <w:hyperlink r:id="rId43" w:history="1">
        <w:r w:rsidR="00062E8A" w:rsidRPr="00062E8A">
          <w:rPr>
            <w:rStyle w:val="Hyperlink"/>
          </w:rPr>
          <w:t>5G—Enabling the future economy</w:t>
        </w:r>
      </w:hyperlink>
      <w:r>
        <w:t xml:space="preserve"> strategy, released in 2017, committed to government action to support the timely rollout of 5G in Australia, including making spectrum available in a timely manner.</w:t>
      </w:r>
      <w:r>
        <w:rPr>
          <w:rFonts w:ascii="Times New Roman" w:hAnsi="Times New Roman"/>
        </w:rPr>
        <w:t> </w:t>
      </w:r>
    </w:p>
    <w:p w14:paraId="324A6EE1" w14:textId="33E6EDB8" w:rsidR="00417EF2" w:rsidRDefault="00066EEC" w:rsidP="00417EF2">
      <w:pPr>
        <w:pStyle w:val="Paragraphbeforelist"/>
        <w:rPr>
          <w:rFonts w:ascii="Times New Roman" w:hAnsi="Times New Roman"/>
          <w:sz w:val="24"/>
        </w:rPr>
      </w:pPr>
      <w:hyperlink r:id="rId44" w:tgtFrame="_blank" w:history="1">
        <w:r w:rsidR="00417EF2" w:rsidRPr="008D5858">
          <w:rPr>
            <w:rStyle w:val="Hyperlink"/>
            <w:i/>
            <w:iCs/>
          </w:rPr>
          <w:t>Australia’s Tech Future</w:t>
        </w:r>
      </w:hyperlink>
      <w:r w:rsidR="00417EF2">
        <w:t>, released in December 2018, sets out the Australian Government’s strategy for the nation’s technological future. The strategy presents a vision that Australians have access to world-class digital infrastructure in their personal and working lives with the following outcomes:</w:t>
      </w:r>
      <w:r w:rsidR="00417EF2">
        <w:rPr>
          <w:rFonts w:ascii="Times New Roman" w:hAnsi="Times New Roman"/>
        </w:rPr>
        <w:t> </w:t>
      </w:r>
    </w:p>
    <w:p w14:paraId="6C8C8879" w14:textId="77777777" w:rsidR="00417EF2" w:rsidRDefault="00417EF2" w:rsidP="003B4857">
      <w:pPr>
        <w:pStyle w:val="Bulletlevel1"/>
      </w:pPr>
      <w:r>
        <w:t>Australians have reliable, secure and affordable access to high-speed broadband and mobile communications. </w:t>
      </w:r>
    </w:p>
    <w:p w14:paraId="665C88E2" w14:textId="77777777" w:rsidR="00417EF2" w:rsidRDefault="00417EF2" w:rsidP="003B4857">
      <w:pPr>
        <w:pStyle w:val="Bulletlevel1"/>
      </w:pPr>
      <w:r>
        <w:t>Australia’s communications sector is sustainable and competitive. </w:t>
      </w:r>
    </w:p>
    <w:p w14:paraId="06FC3AEB" w14:textId="77777777" w:rsidR="00417EF2" w:rsidRDefault="00417EF2" w:rsidP="003B4857">
      <w:pPr>
        <w:pStyle w:val="Bulletlevel1"/>
      </w:pPr>
      <w:r>
        <w:t>Australia’s world-leading navigation and positioning infrastructure supports emerging technologies.</w:t>
      </w:r>
    </w:p>
    <w:p w14:paraId="156D03AB" w14:textId="77777777" w:rsidR="00417EF2" w:rsidRDefault="00417EF2" w:rsidP="003B4857">
      <w:pPr>
        <w:pStyle w:val="Bulletlevel1last"/>
      </w:pPr>
      <w:r>
        <w:t>Australia’s researchers have the specialised high-performing computing and data infrastructure needed to stay ahead in everything from health to agriculture. </w:t>
      </w:r>
    </w:p>
    <w:p w14:paraId="4098D525" w14:textId="00FA435F" w:rsidR="008D6C35" w:rsidRPr="007854F2" w:rsidRDefault="008D6C35" w:rsidP="007854F2">
      <w:pPr>
        <w:pStyle w:val="Paragraph"/>
      </w:pPr>
      <w:r>
        <w:rPr>
          <w:szCs w:val="20"/>
        </w:rPr>
        <w:t>We</w:t>
      </w:r>
      <w:r w:rsidRPr="00682BDB">
        <w:rPr>
          <w:szCs w:val="20"/>
        </w:rPr>
        <w:t xml:space="preserve"> note the </w:t>
      </w:r>
      <w:hyperlink r:id="rId45" w:tgtFrame="_blank" w:history="1">
        <w:r w:rsidRPr="00682BDB">
          <w:rPr>
            <w:color w:val="0000FF"/>
            <w:szCs w:val="20"/>
            <w:u w:val="single"/>
          </w:rPr>
          <w:t>Australian Government</w:t>
        </w:r>
        <w:r>
          <w:rPr>
            <w:color w:val="0000FF"/>
            <w:szCs w:val="20"/>
            <w:u w:val="single"/>
          </w:rPr>
          <w:t>’s</w:t>
        </w:r>
        <w:r w:rsidRPr="00682BDB">
          <w:rPr>
            <w:color w:val="0000FF"/>
            <w:szCs w:val="20"/>
            <w:u w:val="single"/>
          </w:rPr>
          <w:t xml:space="preserve"> response</w:t>
        </w:r>
      </w:hyperlink>
      <w:r w:rsidRPr="00682BDB">
        <w:rPr>
          <w:szCs w:val="20"/>
        </w:rPr>
        <w:t xml:space="preserve"> of November 2020 to the parliamentary report </w:t>
      </w:r>
      <w:hyperlink r:id="rId46" w:tgtFrame="_blank" w:history="1">
        <w:r w:rsidR="00EA537E">
          <w:rPr>
            <w:i/>
            <w:iCs/>
            <w:color w:val="0000FF"/>
            <w:szCs w:val="20"/>
            <w:u w:val="single"/>
          </w:rPr>
          <w:t>The Next Gen Future: Inquiry into the deployment, adoption and application of 5G in Australia</w:t>
        </w:r>
      </w:hyperlink>
      <w:r w:rsidRPr="00682BDB">
        <w:rPr>
          <w:szCs w:val="20"/>
        </w:rPr>
        <w:t xml:space="preserve">. In particular, </w:t>
      </w:r>
      <w:r>
        <w:rPr>
          <w:szCs w:val="20"/>
        </w:rPr>
        <w:t>we</w:t>
      </w:r>
      <w:r w:rsidRPr="00682BDB">
        <w:rPr>
          <w:szCs w:val="20"/>
        </w:rPr>
        <w:t xml:space="preserve"> acknowledge the government’s support for </w:t>
      </w:r>
      <w:r>
        <w:rPr>
          <w:szCs w:val="20"/>
        </w:rPr>
        <w:t>R</w:t>
      </w:r>
      <w:r w:rsidRPr="00682BDB">
        <w:rPr>
          <w:szCs w:val="20"/>
        </w:rPr>
        <w:t xml:space="preserve">ecommendation 1 of the </w:t>
      </w:r>
      <w:r>
        <w:t>report</w:t>
      </w:r>
      <w:r w:rsidRPr="00682BDB">
        <w:rPr>
          <w:szCs w:val="20"/>
        </w:rPr>
        <w:t>, which</w:t>
      </w:r>
      <w:r>
        <w:t xml:space="preserve"> recommended the ACMA finalise spectrum allocations expeditiously and </w:t>
      </w:r>
      <w:r w:rsidRPr="00D0492F">
        <w:t>investigate how future spectrum auctions can promote improved market competition for the benefit of consumers</w:t>
      </w:r>
      <w:r>
        <w:t>.</w:t>
      </w:r>
    </w:p>
    <w:p w14:paraId="6E2EC5C3" w14:textId="66787A34" w:rsidR="00496E83" w:rsidRDefault="00417EF2" w:rsidP="003B4857">
      <w:r>
        <w:rPr>
          <w:rFonts w:cs="Arial"/>
        </w:rPr>
        <w:t xml:space="preserve">On 17 November 2021, the Department of Prime Minister and Cabinet released </w:t>
      </w:r>
      <w:r w:rsidR="00F00863">
        <w:rPr>
          <w:rFonts w:cs="Arial"/>
        </w:rPr>
        <w:t xml:space="preserve">the </w:t>
      </w:r>
      <w:r>
        <w:rPr>
          <w:rFonts w:cs="Arial"/>
        </w:rPr>
        <w:t xml:space="preserve">Australian Government’s </w:t>
      </w:r>
      <w:hyperlink r:id="rId47" w:history="1">
        <w:r>
          <w:rPr>
            <w:rStyle w:val="Hyperlink"/>
            <w:rFonts w:cs="Arial"/>
          </w:rPr>
          <w:t>action plan for critical technologies</w:t>
        </w:r>
      </w:hyperlink>
      <w:r>
        <w:rPr>
          <w:rFonts w:cs="Arial"/>
        </w:rPr>
        <w:t>. This outlines a vision for protecting and promoting critical technologies in Australia’s national interest. The</w:t>
      </w:r>
      <w:r w:rsidDel="00F00863">
        <w:rPr>
          <w:rFonts w:cs="Arial"/>
        </w:rPr>
        <w:t xml:space="preserve"> </w:t>
      </w:r>
      <w:r w:rsidR="00F00863">
        <w:rPr>
          <w:rFonts w:cs="Arial"/>
        </w:rPr>
        <w:t xml:space="preserve">action plan </w:t>
      </w:r>
      <w:r>
        <w:rPr>
          <w:rFonts w:cs="Arial"/>
        </w:rPr>
        <w:t xml:space="preserve">is underpinned by </w:t>
      </w:r>
      <w:r w:rsidR="00EA537E">
        <w:rPr>
          <w:rFonts w:cs="Arial"/>
        </w:rPr>
        <w:t xml:space="preserve">4 </w:t>
      </w:r>
      <w:r>
        <w:rPr>
          <w:rFonts w:cs="Arial"/>
        </w:rPr>
        <w:t xml:space="preserve">goals and </w:t>
      </w:r>
      <w:r w:rsidR="00EA537E">
        <w:rPr>
          <w:rFonts w:cs="Arial"/>
        </w:rPr>
        <w:t xml:space="preserve">7 </w:t>
      </w:r>
      <w:r>
        <w:rPr>
          <w:rFonts w:cs="Arial"/>
        </w:rPr>
        <w:t>action pillars, with a focus on promoting and protecting critical technologies through a national interest lens that balances the economic opportunities of critical technologies with their national security risks.</w:t>
      </w:r>
    </w:p>
    <w:p w14:paraId="6097102A" w14:textId="277E4F7C" w:rsidR="00A16652" w:rsidRDefault="00A16652" w:rsidP="008D5858">
      <w:pPr>
        <w:pStyle w:val="Heading2"/>
        <w:keepLines/>
      </w:pPr>
      <w:bookmarkStart w:id="25" w:name="_Toc96940980"/>
      <w:r>
        <w:t>Allocation limits</w:t>
      </w:r>
      <w:r w:rsidR="00EA537E">
        <w:t xml:space="preserve"> – </w:t>
      </w:r>
      <w:r>
        <w:t>ACCC consultation</w:t>
      </w:r>
      <w:bookmarkEnd w:id="25"/>
    </w:p>
    <w:p w14:paraId="1E540B47" w14:textId="744B33D0" w:rsidR="00A16652" w:rsidRPr="005136CB" w:rsidRDefault="00A16652" w:rsidP="008D5858">
      <w:pPr>
        <w:pStyle w:val="Paragraph"/>
        <w:keepNext/>
        <w:keepLines/>
      </w:pPr>
      <w:r>
        <w:t xml:space="preserve">As a result of changes made to the Act by the </w:t>
      </w:r>
      <w:hyperlink r:id="rId48" w:history="1">
        <w:r w:rsidR="00A43531" w:rsidRPr="00723BAB">
          <w:rPr>
            <w:rStyle w:val="Hyperlink"/>
            <w:i/>
            <w:iCs/>
          </w:rPr>
          <w:t>Radiocommunications Legislation Amendment (Reform and Modernisation) Act 2020</w:t>
        </w:r>
      </w:hyperlink>
      <w:r w:rsidR="00A43531">
        <w:t xml:space="preserve"> (the Modernisation Act)</w:t>
      </w:r>
      <w:r>
        <w:t xml:space="preserve">, the ACMA may now determine procedures for the allocation of spectrum licences that impose an allocation limit on spectrum licences without written direction from the </w:t>
      </w:r>
      <w:r w:rsidR="00EA537E">
        <w:t>m</w:t>
      </w:r>
      <w:r>
        <w:t>inister.</w:t>
      </w:r>
      <w:r>
        <w:rPr>
          <w:rStyle w:val="FootnoteReference"/>
        </w:rPr>
        <w:footnoteReference w:id="6"/>
      </w:r>
    </w:p>
    <w:p w14:paraId="19416B7A" w14:textId="57868009" w:rsidR="00A16652" w:rsidRPr="005136CB" w:rsidRDefault="00EA537E" w:rsidP="00A16652">
      <w:pPr>
        <w:pStyle w:val="Paragraph"/>
      </w:pPr>
      <w:r>
        <w:t xml:space="preserve">Before </w:t>
      </w:r>
      <w:r w:rsidR="00A16652">
        <w:t xml:space="preserve">determining procedures for the allocation of spectrum licences, subsection 60(13A) of the Act requires the ACMA to consult with the </w:t>
      </w:r>
      <w:r w:rsidR="00F00863">
        <w:t>Australian Competition and Consumer Commission (</w:t>
      </w:r>
      <w:r w:rsidR="00A16652">
        <w:t>ACCC</w:t>
      </w:r>
      <w:r w:rsidR="00F00863">
        <w:t>)</w:t>
      </w:r>
      <w:r w:rsidR="00A16652">
        <w:t xml:space="preserve"> about whether to impose </w:t>
      </w:r>
      <w:r w:rsidR="004810B1">
        <w:t xml:space="preserve">allocation </w:t>
      </w:r>
      <w:r w:rsidR="00A16652">
        <w:t>limi</w:t>
      </w:r>
      <w:r w:rsidR="0045427A">
        <w:t>ts</w:t>
      </w:r>
      <w:r w:rsidR="00A16652">
        <w:t xml:space="preserve"> and, if so, the nature of those limits. </w:t>
      </w:r>
    </w:p>
    <w:p w14:paraId="7DC4E223" w14:textId="3025A77E" w:rsidR="00A16652" w:rsidRPr="005136CB" w:rsidRDefault="00A16652" w:rsidP="00A16652">
      <w:pPr>
        <w:pStyle w:val="Paragraph"/>
      </w:pPr>
      <w:r>
        <w:t xml:space="preserve">In previous processes, the ACCC has typically publicly consulted on allocation limits after the </w:t>
      </w:r>
      <w:r w:rsidR="00EA537E">
        <w:t>m</w:t>
      </w:r>
      <w:r>
        <w:t xml:space="preserve">inister made the relevant re-allocation declaration. </w:t>
      </w:r>
    </w:p>
    <w:p w14:paraId="0524491C" w14:textId="00EC89F9" w:rsidR="00A16652" w:rsidRPr="005136CB" w:rsidRDefault="00A16652" w:rsidP="00A16652">
      <w:pPr>
        <w:pStyle w:val="Paragraph"/>
      </w:pPr>
      <w:r>
        <w:t xml:space="preserve">However, as the ACMA is now also responsible for making re-allocation declarations, this has provided an opportunity to align the ACCC’s consultation on allocation limits with the ACMA’s consultation on </w:t>
      </w:r>
      <w:r w:rsidR="007C71D3">
        <w:t>the terms of a</w:t>
      </w:r>
      <w:r>
        <w:t xml:space="preserve"> re-allocation declaration, streamlining the spectrum licence allocation process. This also allows the ACMA and the ACCC to undertake a more holistic consideration of issues raised in submissions to both processes in shaping the final re-allocation declarations, allocation limits, and other aspects of allocation design.  </w:t>
      </w:r>
    </w:p>
    <w:p w14:paraId="30FF032D" w14:textId="1CE9BE8D" w:rsidR="005861BC" w:rsidRPr="00D9022C" w:rsidRDefault="00A16652" w:rsidP="005861BC">
      <w:pPr>
        <w:pStyle w:val="Paragraph"/>
      </w:pPr>
      <w:r>
        <w:t xml:space="preserve">The ACMA wrote to the ACCC on 14 December 2021 requesting its advice on allocation limits by 1 August 2022. This timeframe will enable the ACCC to consider the outcome of the re-allocation declaration consultation when it provides its final advice, noting the planning optionality being explored. </w:t>
      </w:r>
      <w:r w:rsidR="005861BC" w:rsidRPr="00D9022C">
        <w:t>Following receipt of the ACCC’s advice, the ACMA will consider how allocation limits may affect allocation procedures</w:t>
      </w:r>
      <w:r w:rsidR="00062E8A">
        <w:t>;</w:t>
      </w:r>
      <w:r w:rsidR="005861BC">
        <w:t xml:space="preserve"> that is, how we apply the limits</w:t>
      </w:r>
      <w:r w:rsidR="005861BC" w:rsidRPr="00D9022C">
        <w:t xml:space="preserve"> and how we </w:t>
      </w:r>
      <w:r w:rsidR="005861BC">
        <w:t>evaluate affiliations for the purposes of applying the limits</w:t>
      </w:r>
      <w:r w:rsidR="005861BC" w:rsidRPr="00D9022C">
        <w:t>.</w:t>
      </w:r>
    </w:p>
    <w:p w14:paraId="4229AE23" w14:textId="04D2BF93" w:rsidR="005861BC" w:rsidRDefault="005861BC" w:rsidP="005861BC">
      <w:pPr>
        <w:pStyle w:val="Paragraph"/>
      </w:pPr>
      <w:r>
        <w:t>The ACMA is aware of a recent network- and spectrum-sharing agreement between mobile network operators Telstra and TPG. This agreement would provide Telstra access to TPG’s spectrum, and TPG access to Telstra’s network infrastructure in defined regional and urban fringe areas.</w:t>
      </w:r>
      <w:r w:rsidDel="00800913">
        <w:t xml:space="preserve"> </w:t>
      </w:r>
      <w:r>
        <w:t>This proposed agreement is relevant for the ACCC’s consideration of allocation limits for the 3.4/3.7 GHz allocation</w:t>
      </w:r>
      <w:r w:rsidR="00062E8A">
        <w:t xml:space="preserve"> –</w:t>
      </w:r>
      <w:r>
        <w:t xml:space="preserve"> among other issues, the ACCC seeks comment on how the proposed agreement should be accounted for when assessing the need for and nature of allocation limits. </w:t>
      </w:r>
    </w:p>
    <w:p w14:paraId="6A48A743" w14:textId="77777777" w:rsidR="00252E9B" w:rsidRDefault="00ED24FD" w:rsidP="00A16652">
      <w:pPr>
        <w:pStyle w:val="Paragraph"/>
      </w:pPr>
      <w:r>
        <w:t>Access t</w:t>
      </w:r>
      <w:r w:rsidR="00A16652">
        <w:t xml:space="preserve">he </w:t>
      </w:r>
      <w:hyperlink r:id="rId49" w:history="1">
        <w:r w:rsidR="00A16652" w:rsidRPr="00ED24FD">
          <w:rPr>
            <w:rStyle w:val="Hyperlink"/>
          </w:rPr>
          <w:t>ACCC’s consultation</w:t>
        </w:r>
      </w:hyperlink>
      <w:r>
        <w:t>.</w:t>
      </w:r>
      <w:r w:rsidR="00A16652">
        <w:t xml:space="preserve"> </w:t>
      </w:r>
    </w:p>
    <w:p w14:paraId="00044A5F" w14:textId="143D45E2" w:rsidR="00E9395E" w:rsidRDefault="00DA3182" w:rsidP="007B1E90">
      <w:pPr>
        <w:pStyle w:val="Heading2"/>
      </w:pPr>
      <w:bookmarkStart w:id="26" w:name="_Toc96940981"/>
      <w:r>
        <w:t>Re</w:t>
      </w:r>
      <w:r>
        <w:noBreakHyphen/>
        <w:t>allocation</w:t>
      </w:r>
      <w:r w:rsidR="00E9395E">
        <w:t xml:space="preserve"> process</w:t>
      </w:r>
      <w:bookmarkEnd w:id="26"/>
    </w:p>
    <w:p w14:paraId="7FC385E8" w14:textId="708ECB2E" w:rsidR="002F613D" w:rsidRPr="00425B0F" w:rsidRDefault="002F613D" w:rsidP="000B643A">
      <w:pPr>
        <w:pStyle w:val="Paragraph"/>
      </w:pPr>
      <w:r w:rsidRPr="001B178D">
        <w:t xml:space="preserve">Part 3.6 of </w:t>
      </w:r>
      <w:r w:rsidR="00D33D1A" w:rsidRPr="001B178D">
        <w:t>the Act</w:t>
      </w:r>
      <w:r w:rsidRPr="001B178D">
        <w:t xml:space="preserve"> sets out the process for the </w:t>
      </w:r>
      <w:r w:rsidR="00DA3182" w:rsidRPr="001B178D">
        <w:t>re</w:t>
      </w:r>
      <w:r w:rsidR="00DA3182" w:rsidRPr="001B178D">
        <w:noBreakHyphen/>
        <w:t>allocation</w:t>
      </w:r>
      <w:r w:rsidRPr="001B178D">
        <w:t xml:space="preserve"> of encumbered spectrum. </w:t>
      </w:r>
      <w:r w:rsidR="00ED24FD">
        <w:t>T</w:t>
      </w:r>
      <w:r w:rsidR="00F91290">
        <w:t xml:space="preserve">he re-allocation process has changed </w:t>
      </w:r>
      <w:r w:rsidR="00ED24FD">
        <w:t>from</w:t>
      </w:r>
      <w:r w:rsidR="00F91290">
        <w:t xml:space="preserve"> previous processes, as the Act has </w:t>
      </w:r>
      <w:r w:rsidR="007E4FC9">
        <w:t>been amended by</w:t>
      </w:r>
      <w:r w:rsidR="00F91290">
        <w:t xml:space="preserve"> the </w:t>
      </w:r>
      <w:r w:rsidR="00092F4F">
        <w:t>Modernisation Act.</w:t>
      </w:r>
      <w:r w:rsidR="00F91290">
        <w:t xml:space="preserve"> </w:t>
      </w:r>
      <w:r w:rsidRPr="00DD7F2D">
        <w:t>The main steps of the process</w:t>
      </w:r>
      <w:r w:rsidR="00AB7817" w:rsidRPr="00DD7F2D">
        <w:t>,</w:t>
      </w:r>
      <w:r w:rsidRPr="00DD7F2D">
        <w:t xml:space="preserve"> including allocation</w:t>
      </w:r>
      <w:r w:rsidR="007E4FC9">
        <w:t xml:space="preserve"> of spectrum</w:t>
      </w:r>
      <w:r w:rsidR="00AB7817" w:rsidRPr="00DD7F2D">
        <w:t>,</w:t>
      </w:r>
      <w:r w:rsidRPr="00DD7F2D">
        <w:t xml:space="preserve"> are detailed in </w:t>
      </w:r>
      <w:r w:rsidR="008B098E" w:rsidRPr="00DD7F2D">
        <w:t>Appendix </w:t>
      </w:r>
      <w:r w:rsidR="00AB7817" w:rsidRPr="00DD7F2D">
        <w:t>A</w:t>
      </w:r>
      <w:r w:rsidRPr="00DD7F2D">
        <w:t>.</w:t>
      </w:r>
      <w:r w:rsidR="008703BD">
        <w:t xml:space="preserve"> </w:t>
      </w:r>
    </w:p>
    <w:p w14:paraId="1890BA7A" w14:textId="12C742BC" w:rsidR="002F613D" w:rsidRPr="002253ED" w:rsidRDefault="002F613D" w:rsidP="000B643A">
      <w:pPr>
        <w:pStyle w:val="Paragraph"/>
      </w:pPr>
      <w:r w:rsidRPr="002253ED">
        <w:t xml:space="preserve">Under </w:t>
      </w:r>
      <w:r w:rsidR="00D33D1A" w:rsidRPr="002253ED">
        <w:t>the Act</w:t>
      </w:r>
      <w:r w:rsidRPr="002253ED">
        <w:t xml:space="preserve">, the </w:t>
      </w:r>
      <w:r w:rsidR="003F7CB3" w:rsidRPr="002253ED">
        <w:t>ACMA</w:t>
      </w:r>
      <w:r w:rsidRPr="002253ED">
        <w:t xml:space="preserve"> may make spectrum available by</w:t>
      </w:r>
      <w:r w:rsidR="007B1E90" w:rsidRPr="002253ED">
        <w:t xml:space="preserve"> declaring parts of the spectrum for </w:t>
      </w:r>
      <w:r w:rsidR="00DA3182" w:rsidRPr="002253ED">
        <w:t>re</w:t>
      </w:r>
      <w:r w:rsidR="00DA3182" w:rsidRPr="002253ED">
        <w:noBreakHyphen/>
        <w:t>allocation</w:t>
      </w:r>
      <w:r w:rsidR="007B1E90" w:rsidRPr="002253ED">
        <w:t xml:space="preserve"> by issuing spectrum </w:t>
      </w:r>
      <w:r w:rsidR="00A90973" w:rsidRPr="002253ED">
        <w:t xml:space="preserve">or apparatus </w:t>
      </w:r>
      <w:r w:rsidR="007B1E90" w:rsidRPr="002253ED">
        <w:t>licences.</w:t>
      </w:r>
      <w:r w:rsidRPr="002253ED">
        <w:t xml:space="preserve"> </w:t>
      </w:r>
      <w:bookmarkStart w:id="27" w:name="_Hlk96001028"/>
      <w:bookmarkStart w:id="28" w:name="_Hlk96003352"/>
      <w:r w:rsidRPr="002253ED">
        <w:t xml:space="preserve">The </w:t>
      </w:r>
      <w:r w:rsidR="00DA3182" w:rsidRPr="002253ED">
        <w:t>re</w:t>
      </w:r>
      <w:r w:rsidR="00DA3182" w:rsidRPr="002253ED">
        <w:noBreakHyphen/>
        <w:t>allocation</w:t>
      </w:r>
      <w:r w:rsidRPr="002253ED">
        <w:t xml:space="preserve"> period </w:t>
      </w:r>
      <w:r w:rsidR="006B2A54">
        <w:t>must</w:t>
      </w:r>
      <w:r w:rsidR="00ED24FD">
        <w:t xml:space="preserve"> be </w:t>
      </w:r>
      <w:r w:rsidR="00885A86" w:rsidRPr="002253ED">
        <w:t xml:space="preserve">specified in the spectrum re-allocation declaration </w:t>
      </w:r>
      <w:r w:rsidR="001C15EF">
        <w:t xml:space="preserve">(but cannot be before the declaration </w:t>
      </w:r>
      <w:r w:rsidR="00ED24FD" w:rsidRPr="002253ED">
        <w:t>commence</w:t>
      </w:r>
      <w:r w:rsidR="00ED24FD">
        <w:t>s</w:t>
      </w:r>
      <w:r w:rsidR="001C15EF">
        <w:t>)</w:t>
      </w:r>
      <w:bookmarkEnd w:id="27"/>
      <w:r w:rsidR="00885A86" w:rsidRPr="002253ED">
        <w:t xml:space="preserve"> </w:t>
      </w:r>
      <w:r w:rsidRPr="002253ED">
        <w:t xml:space="preserve">and must run for at least </w:t>
      </w:r>
      <w:r w:rsidR="00642E58" w:rsidRPr="002253ED">
        <w:t>12 months</w:t>
      </w:r>
      <w:r w:rsidRPr="002253ED">
        <w:t xml:space="preserve">. </w:t>
      </w:r>
      <w:bookmarkEnd w:id="28"/>
      <w:r w:rsidRPr="002253ED">
        <w:t xml:space="preserve">During this time, incumbent apparatus licensees may continue to operate radiocommunications devices in accordance with their apparatus licences. At the end of the </w:t>
      </w:r>
      <w:r w:rsidR="00DA3182" w:rsidRPr="002253ED">
        <w:t>re</w:t>
      </w:r>
      <w:r w:rsidR="00DA3182" w:rsidRPr="002253ED">
        <w:noBreakHyphen/>
        <w:t>allocation</w:t>
      </w:r>
      <w:r w:rsidRPr="002253ED">
        <w:t xml:space="preserve"> period, incumbent licensees’ apparatus licences are cancelled </w:t>
      </w:r>
      <w:r w:rsidR="00494635">
        <w:t xml:space="preserve">in accordance with </w:t>
      </w:r>
      <w:r w:rsidRPr="002253ED">
        <w:t xml:space="preserve">section 153H of </w:t>
      </w:r>
      <w:r w:rsidR="00D33D1A" w:rsidRPr="002253ED">
        <w:t>the Act</w:t>
      </w:r>
      <w:r w:rsidRPr="002253ED">
        <w:t>.</w:t>
      </w:r>
      <w:r w:rsidR="0035576B">
        <w:t xml:space="preserve"> Class licensed services are able to continue operating.</w:t>
      </w:r>
    </w:p>
    <w:p w14:paraId="034E9D29" w14:textId="2739749D" w:rsidR="002F613D" w:rsidRPr="002253ED" w:rsidRDefault="002F613D" w:rsidP="00E51DF4">
      <w:pPr>
        <w:pStyle w:val="Paragraphbeforelist"/>
        <w:keepLines/>
      </w:pPr>
      <w:r w:rsidRPr="002253ED">
        <w:t xml:space="preserve">A </w:t>
      </w:r>
      <w:r w:rsidR="00DA3182" w:rsidRPr="002253ED">
        <w:t>re</w:t>
      </w:r>
      <w:r w:rsidR="00DA3182" w:rsidRPr="002253ED">
        <w:noBreakHyphen/>
        <w:t>allocation</w:t>
      </w:r>
      <w:r w:rsidRPr="002253ED">
        <w:t xml:space="preserve"> declaration made by the </w:t>
      </w:r>
      <w:r w:rsidR="004668EE" w:rsidRPr="002253ED">
        <w:t xml:space="preserve">ACMA </w:t>
      </w:r>
      <w:r w:rsidRPr="002253ED">
        <w:t xml:space="preserve">under section 153B of </w:t>
      </w:r>
      <w:r w:rsidR="00D33D1A" w:rsidRPr="002253ED">
        <w:t>the Act</w:t>
      </w:r>
      <w:r w:rsidRPr="002253ED">
        <w:t xml:space="preserve"> must specify:</w:t>
      </w:r>
    </w:p>
    <w:p w14:paraId="2EB22AA3" w14:textId="33FEDB92" w:rsidR="00D63A40" w:rsidRPr="002253ED" w:rsidRDefault="00D63A40" w:rsidP="00E51DF4">
      <w:pPr>
        <w:pStyle w:val="ListBullet"/>
        <w:keepNext/>
        <w:keepLines/>
        <w:numPr>
          <w:ilvl w:val="0"/>
          <w:numId w:val="14"/>
        </w:numPr>
        <w:ind w:left="295" w:hanging="295"/>
        <w:rPr>
          <w:rFonts w:cs="Arial"/>
        </w:rPr>
      </w:pPr>
      <w:r w:rsidRPr="002253ED">
        <w:rPr>
          <w:rFonts w:cs="Arial"/>
        </w:rPr>
        <w:t xml:space="preserve">for each part of the spectrum </w:t>
      </w:r>
      <w:r w:rsidR="00115C9C" w:rsidRPr="002253ED">
        <w:rPr>
          <w:rFonts w:cs="Arial"/>
        </w:rPr>
        <w:t>specified in</w:t>
      </w:r>
      <w:r w:rsidRPr="002253ED">
        <w:rPr>
          <w:rFonts w:cs="Arial"/>
        </w:rPr>
        <w:t xml:space="preserve"> the </w:t>
      </w:r>
      <w:r w:rsidR="00DA3182" w:rsidRPr="002253ED">
        <w:rPr>
          <w:rFonts w:cs="Arial"/>
        </w:rPr>
        <w:t>re</w:t>
      </w:r>
      <w:r w:rsidR="00DA3182" w:rsidRPr="002253ED">
        <w:rPr>
          <w:rFonts w:cs="Arial"/>
        </w:rPr>
        <w:noBreakHyphen/>
        <w:t>allocation</w:t>
      </w:r>
      <w:r w:rsidRPr="002253ED">
        <w:rPr>
          <w:rFonts w:cs="Arial"/>
        </w:rPr>
        <w:t xml:space="preserve"> declaration, the geographic area</w:t>
      </w:r>
      <w:r w:rsidR="00D51CD7" w:rsidRPr="002253ED">
        <w:rPr>
          <w:rFonts w:cs="Arial"/>
        </w:rPr>
        <w:t>(</w:t>
      </w:r>
      <w:r w:rsidRPr="002253ED">
        <w:rPr>
          <w:rFonts w:cs="Arial"/>
        </w:rPr>
        <w:t>s</w:t>
      </w:r>
      <w:r w:rsidR="00D51CD7" w:rsidRPr="002253ED">
        <w:rPr>
          <w:rFonts w:cs="Arial"/>
        </w:rPr>
        <w:t>)</w:t>
      </w:r>
      <w:r w:rsidRPr="002253ED">
        <w:rPr>
          <w:rFonts w:cs="Arial"/>
        </w:rPr>
        <w:t xml:space="preserve"> to which the declaration applies</w:t>
      </w:r>
    </w:p>
    <w:p w14:paraId="766CD999" w14:textId="1ECA3946" w:rsidR="002F613D" w:rsidRPr="002253ED" w:rsidRDefault="002F613D" w:rsidP="00F33D8A">
      <w:pPr>
        <w:pStyle w:val="ListBullet"/>
        <w:numPr>
          <w:ilvl w:val="0"/>
          <w:numId w:val="14"/>
        </w:numPr>
        <w:ind w:left="295" w:hanging="295"/>
        <w:rPr>
          <w:rFonts w:cs="Arial"/>
        </w:rPr>
      </w:pPr>
      <w:r w:rsidRPr="002253ED">
        <w:rPr>
          <w:rFonts w:cs="Arial"/>
        </w:rPr>
        <w:t xml:space="preserve">for each part of the spectrum </w:t>
      </w:r>
      <w:r w:rsidR="00115C9C" w:rsidRPr="002253ED">
        <w:rPr>
          <w:rFonts w:cs="Arial"/>
        </w:rPr>
        <w:t>specified in</w:t>
      </w:r>
      <w:r w:rsidRPr="002253ED">
        <w:rPr>
          <w:rFonts w:cs="Arial"/>
        </w:rPr>
        <w:t xml:space="preserve"> the </w:t>
      </w:r>
      <w:r w:rsidR="00DA3182" w:rsidRPr="002253ED">
        <w:rPr>
          <w:rFonts w:cs="Arial"/>
        </w:rPr>
        <w:t>re</w:t>
      </w:r>
      <w:r w:rsidR="00DA3182" w:rsidRPr="002253ED">
        <w:rPr>
          <w:rFonts w:cs="Arial"/>
        </w:rPr>
        <w:noBreakHyphen/>
        <w:t>allocation</w:t>
      </w:r>
      <w:r w:rsidRPr="002253ED">
        <w:rPr>
          <w:rFonts w:cs="Arial"/>
        </w:rPr>
        <w:t xml:space="preserve"> declaration, whether the part should be re</w:t>
      </w:r>
      <w:r w:rsidR="00C5061F" w:rsidRPr="002253ED">
        <w:rPr>
          <w:rFonts w:cs="Arial"/>
        </w:rPr>
        <w:t>-</w:t>
      </w:r>
      <w:r w:rsidRPr="002253ED">
        <w:rPr>
          <w:rFonts w:cs="Arial"/>
        </w:rPr>
        <w:t>allocated by issuing spectrum</w:t>
      </w:r>
      <w:r w:rsidR="007E4FC9">
        <w:rPr>
          <w:rFonts w:cs="Arial"/>
        </w:rPr>
        <w:t xml:space="preserve"> licences</w:t>
      </w:r>
      <w:r w:rsidRPr="002253ED">
        <w:rPr>
          <w:rFonts w:cs="Arial"/>
        </w:rPr>
        <w:t xml:space="preserve"> or apparatus licences</w:t>
      </w:r>
    </w:p>
    <w:p w14:paraId="48E4ADA8" w14:textId="5763144B" w:rsidR="002F613D" w:rsidRPr="002253ED" w:rsidRDefault="002F613D" w:rsidP="00F33D8A">
      <w:pPr>
        <w:pStyle w:val="ListBulletLast"/>
        <w:numPr>
          <w:ilvl w:val="0"/>
          <w:numId w:val="14"/>
        </w:numPr>
        <w:ind w:left="295" w:hanging="295"/>
      </w:pPr>
      <w:r w:rsidRPr="002253ED">
        <w:t xml:space="preserve">the </w:t>
      </w:r>
      <w:r w:rsidR="00DA3182" w:rsidRPr="002253ED">
        <w:t>re</w:t>
      </w:r>
      <w:r w:rsidR="00DA3182" w:rsidRPr="002253ED">
        <w:noBreakHyphen/>
        <w:t>allocation</w:t>
      </w:r>
      <w:r w:rsidRPr="002253ED">
        <w:t xml:space="preserve"> deadline that applies to the </w:t>
      </w:r>
      <w:r w:rsidR="007E4FC9">
        <w:t xml:space="preserve">re-allocation </w:t>
      </w:r>
      <w:r w:rsidRPr="002253ED">
        <w:t>declaration.</w:t>
      </w:r>
    </w:p>
    <w:p w14:paraId="58BDB13A" w14:textId="7BB5FB80" w:rsidR="002F613D" w:rsidRPr="002253ED" w:rsidRDefault="002F613D" w:rsidP="000B643A">
      <w:pPr>
        <w:pStyle w:val="Paragraph"/>
      </w:pPr>
      <w:r w:rsidRPr="002253ED">
        <w:t xml:space="preserve">The </w:t>
      </w:r>
      <w:r w:rsidR="00DA3182" w:rsidRPr="002253ED">
        <w:t>re</w:t>
      </w:r>
      <w:r w:rsidR="00DA3182" w:rsidRPr="002253ED">
        <w:noBreakHyphen/>
        <w:t>allocation</w:t>
      </w:r>
      <w:r w:rsidRPr="002253ED">
        <w:t xml:space="preserve"> deadline sets the date by which </w:t>
      </w:r>
      <w:r w:rsidR="003D41C2">
        <w:t>the ACMA</w:t>
      </w:r>
      <w:r w:rsidR="003D41C2" w:rsidRPr="002253ED">
        <w:t xml:space="preserve"> </w:t>
      </w:r>
      <w:r w:rsidRPr="002253ED">
        <w:t xml:space="preserve">must have allocated at least one licence </w:t>
      </w:r>
      <w:r w:rsidR="00D63A40" w:rsidRPr="002253ED">
        <w:t xml:space="preserve">within </w:t>
      </w:r>
      <w:r w:rsidRPr="002253ED">
        <w:t>the re</w:t>
      </w:r>
      <w:r w:rsidR="00C5061F" w:rsidRPr="002253ED">
        <w:t>-</w:t>
      </w:r>
      <w:r w:rsidRPr="002253ED">
        <w:t xml:space="preserve">allocated spectrum. If no licence </w:t>
      </w:r>
      <w:r w:rsidR="00940478" w:rsidRPr="002253ED">
        <w:t>is</w:t>
      </w:r>
      <w:r w:rsidRPr="002253ED">
        <w:t xml:space="preserve"> allocated before that date, the </w:t>
      </w:r>
      <w:r w:rsidR="00DA3182" w:rsidRPr="002253ED">
        <w:t>re</w:t>
      </w:r>
      <w:r w:rsidR="00DA3182" w:rsidRPr="002253ED">
        <w:noBreakHyphen/>
        <w:t>allocation</w:t>
      </w:r>
      <w:r w:rsidRPr="002253ED">
        <w:t xml:space="preserve"> declaration is taken to be automatically revoked </w:t>
      </w:r>
      <w:r w:rsidR="00DC3727">
        <w:t>in accordance with</w:t>
      </w:r>
      <w:r w:rsidRPr="002253ED">
        <w:t xml:space="preserve"> section 153K</w:t>
      </w:r>
      <w:r w:rsidR="00E8175C" w:rsidRPr="002253ED">
        <w:t xml:space="preserve"> of </w:t>
      </w:r>
      <w:r w:rsidR="00D33D1A" w:rsidRPr="002253ED">
        <w:t>the Act</w:t>
      </w:r>
      <w:r w:rsidRPr="002253ED">
        <w:t xml:space="preserve">. The </w:t>
      </w:r>
      <w:r w:rsidR="00DA3182" w:rsidRPr="002253ED">
        <w:t>re</w:t>
      </w:r>
      <w:r w:rsidR="00DA3182" w:rsidRPr="002253ED">
        <w:noBreakHyphen/>
        <w:t>allocation</w:t>
      </w:r>
      <w:r w:rsidRPr="002253ED">
        <w:t xml:space="preserve"> deadline must </w:t>
      </w:r>
      <w:r w:rsidR="002253ED" w:rsidRPr="002253ED">
        <w:t xml:space="preserve">occur </w:t>
      </w:r>
      <w:r w:rsidRPr="002253ED">
        <w:t xml:space="preserve">before the end of the </w:t>
      </w:r>
      <w:r w:rsidR="00DA3182" w:rsidRPr="002253ED">
        <w:t>re</w:t>
      </w:r>
      <w:r w:rsidR="00DA3182" w:rsidRPr="002253ED">
        <w:noBreakHyphen/>
        <w:t>allocation</w:t>
      </w:r>
      <w:r w:rsidRPr="002253ED">
        <w:t xml:space="preserve"> period.</w:t>
      </w:r>
    </w:p>
    <w:p w14:paraId="598F3066" w14:textId="067C9CFC" w:rsidR="00E9395E" w:rsidRDefault="00443A41" w:rsidP="009B2F00">
      <w:pPr>
        <w:pStyle w:val="Heading2"/>
      </w:pPr>
      <w:bookmarkStart w:id="29" w:name="_Toc96940982"/>
      <w:r>
        <w:t>Proposal</w:t>
      </w:r>
      <w:r w:rsidR="003D41C2">
        <w:t xml:space="preserve"> – </w:t>
      </w:r>
      <w:r>
        <w:t>term</w:t>
      </w:r>
      <w:r w:rsidR="002F613D">
        <w:t>s</w:t>
      </w:r>
      <w:r>
        <w:t xml:space="preserve"> of the </w:t>
      </w:r>
      <w:r w:rsidR="00BE290D">
        <w:t xml:space="preserve">re-allocation </w:t>
      </w:r>
      <w:r w:rsidR="00BE290D" w:rsidRPr="005B3CEF">
        <w:t>declarations</w:t>
      </w:r>
      <w:bookmarkEnd w:id="29"/>
    </w:p>
    <w:p w14:paraId="368D45E9" w14:textId="6EF7A051" w:rsidR="00443A41" w:rsidRPr="00D723F1" w:rsidRDefault="00044CEE" w:rsidP="00D723F1">
      <w:pPr>
        <w:pStyle w:val="Paragraph"/>
      </w:pPr>
      <w:r w:rsidRPr="00D723F1">
        <w:t>We have p</w:t>
      </w:r>
      <w:r w:rsidR="00D965A0" w:rsidRPr="00D723F1">
        <w:t xml:space="preserve">repared a proposal for </w:t>
      </w:r>
      <w:r w:rsidR="000810F8" w:rsidRPr="00DD7F2D">
        <w:t>one or more</w:t>
      </w:r>
      <w:r w:rsidR="00D965A0" w:rsidRPr="00D723F1">
        <w:t xml:space="preserve"> re-allocation declaration</w:t>
      </w:r>
      <w:r w:rsidR="000810F8" w:rsidRPr="00D723F1">
        <w:t>(s)</w:t>
      </w:r>
      <w:r w:rsidR="006364DA" w:rsidRPr="00D723F1">
        <w:t xml:space="preserve"> to be made </w:t>
      </w:r>
      <w:r w:rsidR="003D41C2">
        <w:t>for</w:t>
      </w:r>
      <w:r w:rsidR="006364DA" w:rsidRPr="00D723F1">
        <w:t xml:space="preserve"> spectrum in the 3.4 GHz and 3.7 GHz bands</w:t>
      </w:r>
      <w:r w:rsidR="00D965A0" w:rsidRPr="00D723F1">
        <w:t xml:space="preserve">. </w:t>
      </w:r>
      <w:r w:rsidR="003D41C2">
        <w:t>Table 2 provides a</w:t>
      </w:r>
      <w:r w:rsidR="00D965A0" w:rsidRPr="00D723F1">
        <w:t xml:space="preserve"> summary of the </w:t>
      </w:r>
      <w:r w:rsidR="00AF7D6A" w:rsidRPr="00D723F1">
        <w:t xml:space="preserve">proposed </w:t>
      </w:r>
      <w:r w:rsidR="00D965A0" w:rsidRPr="00D723F1">
        <w:t xml:space="preserve">terms of the </w:t>
      </w:r>
      <w:r w:rsidR="00BE290D" w:rsidRPr="00D723F1">
        <w:t>declarations</w:t>
      </w:r>
      <w:r w:rsidR="00D965A0" w:rsidRPr="00582F59">
        <w:t>.</w:t>
      </w:r>
      <w:r w:rsidR="00CB6153" w:rsidRPr="00D723F1">
        <w:t xml:space="preserve"> </w:t>
      </w:r>
    </w:p>
    <w:p w14:paraId="2E3F68B6" w14:textId="3E0D96E0" w:rsidR="00CF437D" w:rsidRDefault="00CF437D" w:rsidP="00274072">
      <w:pPr>
        <w:pStyle w:val="Tableheading"/>
      </w:pPr>
      <w:bookmarkStart w:id="30" w:name="_Ref31719252"/>
      <w:r>
        <w:t>Proposed terms of the re-allocation declaration</w:t>
      </w:r>
      <w:r w:rsidR="004E1738" w:rsidRPr="00DD7F2D">
        <w:t>s</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57" w:type="dxa"/>
          <w:bottom w:w="85" w:type="dxa"/>
          <w:right w:w="57" w:type="dxa"/>
        </w:tblCellMar>
        <w:tblLook w:val="01E0" w:firstRow="1" w:lastRow="1" w:firstColumn="1" w:lastColumn="1" w:noHBand="0" w:noVBand="0"/>
        <w:tblCaption w:val="Table title to go here"/>
        <w:tblDescription w:val="Table description to go here"/>
      </w:tblPr>
      <w:tblGrid>
        <w:gridCol w:w="2615"/>
        <w:gridCol w:w="5744"/>
      </w:tblGrid>
      <w:tr w:rsidR="00CE3C4E" w:rsidRPr="006D46E5" w14:paraId="33472401" w14:textId="77777777" w:rsidTr="00B631B4">
        <w:tc>
          <w:tcPr>
            <w:tcW w:w="2615" w:type="dxa"/>
            <w:shd w:val="clear" w:color="auto" w:fill="404040" w:themeFill="text1" w:themeFillTint="BF"/>
          </w:tcPr>
          <w:p w14:paraId="247231C4" w14:textId="77777777" w:rsidR="00CE3C4E" w:rsidRPr="006D46E5" w:rsidRDefault="00CE3C4E" w:rsidP="00C146DA">
            <w:pPr>
              <w:pStyle w:val="TableHeading0"/>
              <w:keepLines/>
              <w:numPr>
                <w:ilvl w:val="0"/>
                <w:numId w:val="0"/>
              </w:numPr>
              <w:spacing w:after="0"/>
              <w:rPr>
                <w:rFonts w:cs="Arial"/>
                <w:color w:val="FFFFFF" w:themeColor="background1"/>
              </w:rPr>
            </w:pPr>
            <w:r>
              <w:rPr>
                <w:rFonts w:cs="Arial"/>
                <w:color w:val="FFFFFF" w:themeColor="background1"/>
              </w:rPr>
              <w:t>Element of declaration</w:t>
            </w:r>
          </w:p>
        </w:tc>
        <w:tc>
          <w:tcPr>
            <w:tcW w:w="5744" w:type="dxa"/>
            <w:shd w:val="clear" w:color="auto" w:fill="404040" w:themeFill="text1" w:themeFillTint="BF"/>
          </w:tcPr>
          <w:p w14:paraId="4BEBE1ED" w14:textId="77777777" w:rsidR="00CE3C4E" w:rsidRPr="006D46E5" w:rsidRDefault="00CE3C4E" w:rsidP="00C146DA">
            <w:pPr>
              <w:pStyle w:val="TableHeading0"/>
              <w:keepLines/>
              <w:numPr>
                <w:ilvl w:val="0"/>
                <w:numId w:val="0"/>
              </w:numPr>
              <w:spacing w:after="0"/>
              <w:ind w:left="720" w:hanging="720"/>
              <w:rPr>
                <w:rFonts w:cs="Arial"/>
                <w:color w:val="FFFFFF" w:themeColor="background1"/>
              </w:rPr>
            </w:pPr>
            <w:r>
              <w:rPr>
                <w:rFonts w:cs="Arial"/>
                <w:color w:val="FFFFFF" w:themeColor="background1"/>
              </w:rPr>
              <w:t>The ACMA’s proposal</w:t>
            </w:r>
          </w:p>
        </w:tc>
      </w:tr>
      <w:tr w:rsidR="00CE3C4E" w:rsidRPr="006D46E5" w14:paraId="667E2AD2" w14:textId="77777777" w:rsidTr="00B631B4">
        <w:tc>
          <w:tcPr>
            <w:tcW w:w="2615" w:type="dxa"/>
          </w:tcPr>
          <w:p w14:paraId="4B3D0B36" w14:textId="77777777" w:rsidR="00CE3C4E" w:rsidRPr="006D46E5" w:rsidRDefault="00CE3C4E" w:rsidP="00366727">
            <w:pPr>
              <w:pStyle w:val="TableBody"/>
              <w:keepNext/>
              <w:keepLines/>
              <w:rPr>
                <w:rFonts w:cs="Arial"/>
              </w:rPr>
            </w:pPr>
            <w:r>
              <w:rPr>
                <w:rFonts w:cs="Arial"/>
              </w:rPr>
              <w:t>Licence type</w:t>
            </w:r>
          </w:p>
        </w:tc>
        <w:tc>
          <w:tcPr>
            <w:tcW w:w="5744" w:type="dxa"/>
          </w:tcPr>
          <w:p w14:paraId="7FE3F014" w14:textId="77777777" w:rsidR="00CE3C4E" w:rsidRPr="006D46E5" w:rsidRDefault="00CE3C4E" w:rsidP="00366727">
            <w:pPr>
              <w:pStyle w:val="TableBody"/>
              <w:keepNext/>
              <w:keepLines/>
              <w:rPr>
                <w:rFonts w:cs="Arial"/>
              </w:rPr>
            </w:pPr>
            <w:r>
              <w:rPr>
                <w:rFonts w:cs="Arial"/>
              </w:rPr>
              <w:t>Spectrum licences</w:t>
            </w:r>
          </w:p>
        </w:tc>
      </w:tr>
      <w:tr w:rsidR="00CE3C4E" w:rsidRPr="006D46E5" w14:paraId="65CA7EFD" w14:textId="77777777" w:rsidTr="00B631B4">
        <w:tc>
          <w:tcPr>
            <w:tcW w:w="2615" w:type="dxa"/>
            <w:shd w:val="clear" w:color="auto" w:fill="F2F2F2" w:themeFill="background1" w:themeFillShade="F2"/>
          </w:tcPr>
          <w:p w14:paraId="113DA85D" w14:textId="77777777" w:rsidR="00CE3C4E" w:rsidRPr="006D46E5" w:rsidRDefault="00CE3C4E" w:rsidP="00366727">
            <w:pPr>
              <w:pStyle w:val="TableBody"/>
              <w:keepNext/>
              <w:keepLines/>
              <w:rPr>
                <w:rFonts w:cs="Arial"/>
              </w:rPr>
            </w:pPr>
            <w:r>
              <w:rPr>
                <w:rFonts w:cs="Arial"/>
              </w:rPr>
              <w:t>Parts of the spectrum</w:t>
            </w:r>
          </w:p>
        </w:tc>
        <w:tc>
          <w:tcPr>
            <w:tcW w:w="5744" w:type="dxa"/>
            <w:shd w:val="clear" w:color="auto" w:fill="F2F2F2" w:themeFill="background1" w:themeFillShade="F2"/>
          </w:tcPr>
          <w:p w14:paraId="6636C8F6" w14:textId="17131410" w:rsidR="008D33BF" w:rsidRDefault="008D33BF" w:rsidP="008D33BF">
            <w:pPr>
              <w:pStyle w:val="Paragraphbeforelist"/>
            </w:pPr>
            <w:r>
              <w:t>The</w:t>
            </w:r>
            <w:r w:rsidR="00411632">
              <w:t xml:space="preserve"> regional</w:t>
            </w:r>
            <w:r>
              <w:t xml:space="preserve"> </w:t>
            </w:r>
            <w:r w:rsidR="00A56735">
              <w:t>3.4 GHz band</w:t>
            </w:r>
            <w:r>
              <w:t xml:space="preserve">: </w:t>
            </w:r>
          </w:p>
          <w:p w14:paraId="13B00051" w14:textId="2F6AEBBF" w:rsidR="00881C5B" w:rsidRDefault="00881C5B" w:rsidP="00881C5B">
            <w:pPr>
              <w:pStyle w:val="Bulletlevel1"/>
            </w:pPr>
            <w:r>
              <w:t>3400</w:t>
            </w:r>
            <w:r w:rsidR="003D41C2">
              <w:t>–</w:t>
            </w:r>
            <w:r>
              <w:t>3425 MHz in major regional centres 2</w:t>
            </w:r>
          </w:p>
          <w:p w14:paraId="6208EDD4" w14:textId="533CE398" w:rsidR="00881C5B" w:rsidRDefault="00881C5B" w:rsidP="00881C5B">
            <w:pPr>
              <w:pStyle w:val="Bulletlevel1"/>
            </w:pPr>
            <w:r>
              <w:t>3400</w:t>
            </w:r>
            <w:r w:rsidR="003D41C2">
              <w:t>–</w:t>
            </w:r>
            <w:r>
              <w:t>3442.5 MHz in regional area 1</w:t>
            </w:r>
          </w:p>
          <w:p w14:paraId="0B98C605" w14:textId="1E18A74D" w:rsidR="00881C5B" w:rsidRDefault="00881C5B" w:rsidP="00881C5B">
            <w:pPr>
              <w:pStyle w:val="Bulletlevel1"/>
            </w:pPr>
            <w:r>
              <w:t>3475</w:t>
            </w:r>
            <w:r w:rsidR="003D41C2">
              <w:t>–</w:t>
            </w:r>
            <w:r>
              <w:t>3492.5 MHz in regional areas 1 and 2</w:t>
            </w:r>
          </w:p>
          <w:p w14:paraId="7EF165C9" w14:textId="700FF79B" w:rsidR="00881C5B" w:rsidRDefault="00881C5B" w:rsidP="00881C5B">
            <w:pPr>
              <w:pStyle w:val="Bulletlevel1"/>
            </w:pPr>
            <w:r>
              <w:t>3492.5</w:t>
            </w:r>
            <w:r w:rsidR="003D41C2">
              <w:t>–</w:t>
            </w:r>
            <w:r>
              <w:t>3510 MHz in major regional centres, and regional areas 1 and 2</w:t>
            </w:r>
          </w:p>
          <w:p w14:paraId="0DDAC429" w14:textId="4755E329" w:rsidR="00881C5B" w:rsidRDefault="00881C5B" w:rsidP="00881C5B">
            <w:pPr>
              <w:pStyle w:val="Bulletlevel1"/>
            </w:pPr>
            <w:r>
              <w:t>3510</w:t>
            </w:r>
            <w:r w:rsidR="003D41C2">
              <w:t>–</w:t>
            </w:r>
            <w:r>
              <w:t xml:space="preserve">3542.5 MHz in major regional centres 2 and regional area 1 </w:t>
            </w:r>
          </w:p>
          <w:p w14:paraId="1CA4215A" w14:textId="62F941B4" w:rsidR="00881C5B" w:rsidRDefault="00881C5B" w:rsidP="00427E38">
            <w:pPr>
              <w:pStyle w:val="Bulletlevel1last"/>
            </w:pPr>
            <w:r>
              <w:t>3475</w:t>
            </w:r>
            <w:r w:rsidR="003D41C2">
              <w:t>–</w:t>
            </w:r>
            <w:r>
              <w:t xml:space="preserve">3575 MHz in regional Western Australia central. </w:t>
            </w:r>
          </w:p>
          <w:p w14:paraId="471FF1B4" w14:textId="07B991ED" w:rsidR="008D33BF" w:rsidRPr="008A4AE7" w:rsidRDefault="008D33BF" w:rsidP="008D33BF">
            <w:pPr>
              <w:pStyle w:val="Paragraph"/>
            </w:pPr>
            <w:r>
              <w:t>The frequency range 3400</w:t>
            </w:r>
            <w:r w:rsidR="003D41C2">
              <w:t>–</w:t>
            </w:r>
            <w:r w:rsidRPr="00A16A22">
              <w:t>3475</w:t>
            </w:r>
            <w:r>
              <w:t xml:space="preserve"> MHz in urban excise areas. </w:t>
            </w:r>
          </w:p>
          <w:p w14:paraId="2F88590A" w14:textId="33EC22FD" w:rsidR="008D33BF" w:rsidRDefault="008D33BF" w:rsidP="008D33BF">
            <w:pPr>
              <w:pStyle w:val="Paragraphbeforelist"/>
            </w:pPr>
            <w:r>
              <w:t xml:space="preserve">The </w:t>
            </w:r>
            <w:r w:rsidR="00A56735">
              <w:t>3.7 GHz band</w:t>
            </w:r>
            <w:r>
              <w:t xml:space="preserve">: </w:t>
            </w:r>
          </w:p>
          <w:p w14:paraId="1CCC9586" w14:textId="3CADAC88" w:rsidR="008D33BF" w:rsidRDefault="008D33BF" w:rsidP="008D33BF">
            <w:pPr>
              <w:pStyle w:val="Bulletlevel1"/>
            </w:pPr>
            <w:r>
              <w:t>3700</w:t>
            </w:r>
            <w:r w:rsidR="003D41C2">
              <w:t>–</w:t>
            </w:r>
            <w:r>
              <w:t>3750 MHz in all metropolitan and regional areas</w:t>
            </w:r>
          </w:p>
          <w:p w14:paraId="4D6CE643" w14:textId="3C78CEFF" w:rsidR="00CE3C4E" w:rsidRPr="003326D6" w:rsidRDefault="008D33BF" w:rsidP="00B631B4">
            <w:pPr>
              <w:pStyle w:val="Bulletlevel1"/>
              <w:spacing w:after="0"/>
            </w:pPr>
            <w:r>
              <w:t>3750</w:t>
            </w:r>
            <w:r w:rsidR="003D41C2">
              <w:t>–</w:t>
            </w:r>
            <w:r>
              <w:t xml:space="preserve">3800 MHz in all metropolitan areas. </w:t>
            </w:r>
          </w:p>
        </w:tc>
      </w:tr>
      <w:tr w:rsidR="00CE3C4E" w:rsidRPr="006D46E5" w14:paraId="49BE6FE4" w14:textId="77777777" w:rsidTr="00B631B4">
        <w:tc>
          <w:tcPr>
            <w:tcW w:w="2615" w:type="dxa"/>
            <w:shd w:val="clear" w:color="auto" w:fill="FFFFFF" w:themeFill="background1"/>
          </w:tcPr>
          <w:p w14:paraId="68825F0B" w14:textId="114B824B" w:rsidR="00CE3C4E" w:rsidRDefault="00CE3C4E" w:rsidP="00366727">
            <w:pPr>
              <w:pStyle w:val="TableBody"/>
              <w:keepNext/>
              <w:keepLines/>
              <w:rPr>
                <w:rFonts w:cs="Arial"/>
              </w:rPr>
            </w:pPr>
            <w:r>
              <w:rPr>
                <w:rFonts w:cs="Arial"/>
              </w:rPr>
              <w:t>Re</w:t>
            </w:r>
            <w:r w:rsidR="00D06947">
              <w:rPr>
                <w:rFonts w:cs="Arial"/>
              </w:rPr>
              <w:t>-</w:t>
            </w:r>
            <w:r>
              <w:rPr>
                <w:rFonts w:cs="Arial"/>
              </w:rPr>
              <w:t>allocation period</w:t>
            </w:r>
          </w:p>
        </w:tc>
        <w:tc>
          <w:tcPr>
            <w:tcW w:w="5744" w:type="dxa"/>
            <w:shd w:val="clear" w:color="auto" w:fill="FFFFFF" w:themeFill="background1"/>
          </w:tcPr>
          <w:p w14:paraId="6C851D35" w14:textId="1A255A60" w:rsidR="00CE3C4E" w:rsidRDefault="00CE3C4E" w:rsidP="00366727">
            <w:pPr>
              <w:pStyle w:val="TableBody"/>
              <w:keepNext/>
              <w:keepLines/>
              <w:rPr>
                <w:rFonts w:cs="Arial"/>
              </w:rPr>
            </w:pPr>
            <w:r>
              <w:rPr>
                <w:rFonts w:cs="Arial"/>
              </w:rPr>
              <w:t>Five years</w:t>
            </w:r>
            <w:r w:rsidR="007E4FC9">
              <w:rPr>
                <w:rFonts w:cs="Arial"/>
              </w:rPr>
              <w:t xml:space="preserve"> from the commencement of the re-allocation declarations.</w:t>
            </w:r>
          </w:p>
        </w:tc>
      </w:tr>
      <w:tr w:rsidR="00CE3C4E" w:rsidRPr="006D46E5" w14:paraId="0C84AF14" w14:textId="77777777" w:rsidTr="00B631B4">
        <w:tc>
          <w:tcPr>
            <w:tcW w:w="2615" w:type="dxa"/>
            <w:shd w:val="clear" w:color="auto" w:fill="F2F2F2" w:themeFill="background1" w:themeFillShade="F2"/>
          </w:tcPr>
          <w:p w14:paraId="29D75E90" w14:textId="49D8DE9A" w:rsidR="00CE3C4E" w:rsidRDefault="00CE3C4E" w:rsidP="00366727">
            <w:pPr>
              <w:pStyle w:val="TableBody"/>
              <w:keepNext/>
              <w:keepLines/>
              <w:rPr>
                <w:rFonts w:cs="Arial"/>
              </w:rPr>
            </w:pPr>
            <w:r>
              <w:rPr>
                <w:rFonts w:cs="Arial"/>
              </w:rPr>
              <w:t>Re</w:t>
            </w:r>
            <w:r w:rsidR="00D06947">
              <w:rPr>
                <w:rFonts w:cs="Arial"/>
              </w:rPr>
              <w:t>-</w:t>
            </w:r>
            <w:r>
              <w:rPr>
                <w:rFonts w:cs="Arial"/>
              </w:rPr>
              <w:t>allocation deadline</w:t>
            </w:r>
          </w:p>
        </w:tc>
        <w:tc>
          <w:tcPr>
            <w:tcW w:w="5744" w:type="dxa"/>
            <w:shd w:val="clear" w:color="auto" w:fill="F2F2F2" w:themeFill="background1" w:themeFillShade="F2"/>
          </w:tcPr>
          <w:p w14:paraId="465380E5" w14:textId="5A88E8BF" w:rsidR="00CE3C4E" w:rsidRDefault="00CE3C4E" w:rsidP="00366727">
            <w:pPr>
              <w:pStyle w:val="TableBody"/>
              <w:keepNext/>
              <w:keepLines/>
              <w:rPr>
                <w:rFonts w:cs="Arial"/>
              </w:rPr>
            </w:pPr>
            <w:r>
              <w:rPr>
                <w:rFonts w:cs="Arial"/>
              </w:rPr>
              <w:t>12 months before the end of the re</w:t>
            </w:r>
            <w:r w:rsidR="00D06947">
              <w:rPr>
                <w:rFonts w:cs="Arial"/>
              </w:rPr>
              <w:t>-</w:t>
            </w:r>
            <w:r>
              <w:rPr>
                <w:rFonts w:cs="Arial"/>
              </w:rPr>
              <w:t>allocation period</w:t>
            </w:r>
            <w:r w:rsidR="003D41C2">
              <w:rPr>
                <w:rFonts w:cs="Arial"/>
              </w:rPr>
              <w:t>.</w:t>
            </w:r>
          </w:p>
        </w:tc>
      </w:tr>
    </w:tbl>
    <w:bookmarkEnd w:id="30"/>
    <w:p w14:paraId="4E997A75" w14:textId="4758F346" w:rsidR="00A26767" w:rsidRDefault="00A26767" w:rsidP="00A26767">
      <w:pPr>
        <w:pStyle w:val="Tableorfigurenote"/>
      </w:pPr>
      <w:r w:rsidRPr="003D41C2">
        <w:t xml:space="preserve">Note: Definitions for the geographic areas associated with the frequency ranges proposed for re-allocation can be found </w:t>
      </w:r>
      <w:r w:rsidR="00ED24FD" w:rsidRPr="003D41C2">
        <w:t xml:space="preserve">in </w:t>
      </w:r>
      <w:r w:rsidRPr="003D41C2">
        <w:t xml:space="preserve">Appendix B </w:t>
      </w:r>
      <w:r w:rsidR="00ED24FD" w:rsidRPr="003D41C2">
        <w:t xml:space="preserve">of </w:t>
      </w:r>
      <w:r w:rsidRPr="003D41C2">
        <w:t>this paper</w:t>
      </w:r>
      <w:r>
        <w:t xml:space="preserve">. </w:t>
      </w:r>
    </w:p>
    <w:p w14:paraId="74BE5184" w14:textId="57BDA147" w:rsidR="00C63ADD" w:rsidRDefault="00C63ADD" w:rsidP="0000228A">
      <w:pPr>
        <w:pStyle w:val="Paragraph"/>
      </w:pPr>
      <w:r>
        <w:t xml:space="preserve">References to the 3.4 GHz band and 3.7 GHz band are specific to this consultation and are used for </w:t>
      </w:r>
      <w:r w:rsidR="00F32D2B">
        <w:t xml:space="preserve">this </w:t>
      </w:r>
      <w:r>
        <w:t>discussion</w:t>
      </w:r>
      <w:r w:rsidR="00F32D2B">
        <w:t xml:space="preserve"> only</w:t>
      </w:r>
      <w:r>
        <w:t xml:space="preserve">.  </w:t>
      </w:r>
    </w:p>
    <w:p w14:paraId="59D33E0F" w14:textId="3F889149" w:rsidR="00EA00B6" w:rsidRDefault="00A557F8" w:rsidP="00EA00B6">
      <w:pPr>
        <w:pStyle w:val="Heading1"/>
      </w:pPr>
      <w:bookmarkStart w:id="31" w:name="_Toc96940983"/>
      <w:r>
        <w:t>P</w:t>
      </w:r>
      <w:r w:rsidR="00EA00B6">
        <w:t xml:space="preserve">lanning </w:t>
      </w:r>
      <w:r w:rsidR="00C156BE">
        <w:t>options</w:t>
      </w:r>
      <w:bookmarkEnd w:id="31"/>
    </w:p>
    <w:p w14:paraId="693E9C7B" w14:textId="71F1D905" w:rsidR="002D7A46" w:rsidRDefault="00B00014" w:rsidP="00B00014">
      <w:r>
        <w:t xml:space="preserve">Recent consideration of technical arrangements for the </w:t>
      </w:r>
      <w:r w:rsidR="00D77C11">
        <w:t xml:space="preserve">3.4 GHz and 3.7 GHz </w:t>
      </w:r>
      <w:r>
        <w:t>bands</w:t>
      </w:r>
      <w:r w:rsidR="003D41C2">
        <w:t>,</w:t>
      </w:r>
      <w:r>
        <w:t xml:space="preserve"> and alignment between the </w:t>
      </w:r>
      <w:r w:rsidR="00C32E63">
        <w:t>3400</w:t>
      </w:r>
      <w:r w:rsidR="003D41C2">
        <w:t>–</w:t>
      </w:r>
      <w:r w:rsidR="00C32E63">
        <w:t>3700 MHz</w:t>
      </w:r>
      <w:r>
        <w:t xml:space="preserve"> and </w:t>
      </w:r>
      <w:r w:rsidR="00C32E63">
        <w:t>3700</w:t>
      </w:r>
      <w:r w:rsidR="003D41C2">
        <w:t>–</w:t>
      </w:r>
      <w:r w:rsidR="00C32E63">
        <w:t>4200 MHz</w:t>
      </w:r>
      <w:r>
        <w:t xml:space="preserve"> processes</w:t>
      </w:r>
      <w:r w:rsidR="003D41C2">
        <w:t>,</w:t>
      </w:r>
      <w:r>
        <w:t xml:space="preserve"> has provided an opportunity for a holistic assessment of arrangements across the </w:t>
      </w:r>
      <w:r w:rsidR="00933FE7">
        <w:t xml:space="preserve">broader </w:t>
      </w:r>
      <w:r w:rsidR="005F5C58">
        <w:t>3400</w:t>
      </w:r>
      <w:r w:rsidR="003D41C2">
        <w:t>–</w:t>
      </w:r>
      <w:r w:rsidR="005F5C58">
        <w:t xml:space="preserve">4200 MHz </w:t>
      </w:r>
      <w:r>
        <w:t xml:space="preserve">band. </w:t>
      </w:r>
      <w:r w:rsidR="002D7A46">
        <w:t>Our aim is to support the best long-term use of the spectrum in the band by optimising access for both spectrum and apparatus licence uses.</w:t>
      </w:r>
      <w:r w:rsidR="002E5EC9">
        <w:t xml:space="preserve"> In line with the MPS, </w:t>
      </w:r>
      <w:r w:rsidR="0040277A">
        <w:t>we aim to support a range of use</w:t>
      </w:r>
      <w:r w:rsidR="00660093">
        <w:t>-</w:t>
      </w:r>
      <w:r w:rsidR="0040277A">
        <w:t>cases and users, as well as the deployment of new and innovative technology</w:t>
      </w:r>
      <w:r w:rsidR="003D41C2">
        <w:t>,</w:t>
      </w:r>
      <w:r w:rsidR="0040277A">
        <w:t xml:space="preserve"> including 5G. </w:t>
      </w:r>
    </w:p>
    <w:p w14:paraId="59C9A587" w14:textId="33E87D9D" w:rsidR="00B00014" w:rsidRDefault="00C326FA" w:rsidP="00B00014">
      <w:r>
        <w:t xml:space="preserve">We welcome stakeholder views on the options </w:t>
      </w:r>
      <w:r w:rsidR="00AE4996">
        <w:t>and the ACMA’s preferences</w:t>
      </w:r>
      <w:r>
        <w:t xml:space="preserve"> outlined below.</w:t>
      </w:r>
    </w:p>
    <w:p w14:paraId="32829053" w14:textId="77777777" w:rsidR="00D019A5" w:rsidRDefault="00D019A5" w:rsidP="00D019A5">
      <w:pPr>
        <w:pStyle w:val="Heading2"/>
      </w:pPr>
      <w:bookmarkStart w:id="32" w:name="_Toc96940984"/>
      <w:r w:rsidRPr="00066C41">
        <w:t>Urban excise</w:t>
      </w:r>
      <w:bookmarkEnd w:id="32"/>
    </w:p>
    <w:p w14:paraId="26E5C8E2" w14:textId="3C45BEF1" w:rsidR="00331218" w:rsidRPr="00EC50F5" w:rsidRDefault="0085477B" w:rsidP="00331218">
      <w:pPr>
        <w:pStyle w:val="Paragraph"/>
      </w:pPr>
      <w:r>
        <w:t>As</w:t>
      </w:r>
      <w:r w:rsidR="00BE7CE8">
        <w:t xml:space="preserve"> stated in the </w:t>
      </w:r>
      <w:r w:rsidR="003D41C2">
        <w:t>u</w:t>
      </w:r>
      <w:r w:rsidR="001C236D">
        <w:t xml:space="preserve">rban </w:t>
      </w:r>
      <w:r w:rsidR="003D41C2">
        <w:t>e</w:t>
      </w:r>
      <w:r w:rsidR="001C236D">
        <w:t>xcise outcomes paper</w:t>
      </w:r>
      <w:r w:rsidR="004B48A7" w:rsidRPr="00EC50F5">
        <w:t xml:space="preserve">, </w:t>
      </w:r>
      <w:r w:rsidR="00F04088" w:rsidRPr="00EC50F5">
        <w:t xml:space="preserve">we have identified </w:t>
      </w:r>
      <w:r w:rsidR="003D41C2">
        <w:t>2</w:t>
      </w:r>
      <w:r w:rsidR="003D41C2" w:rsidRPr="00EC50F5">
        <w:t xml:space="preserve"> </w:t>
      </w:r>
      <w:r w:rsidR="00F04088" w:rsidRPr="00EC50F5">
        <w:t>options for the use of spectrum in the urban excise areas</w:t>
      </w:r>
      <w:r w:rsidR="001F3896" w:rsidRPr="00EC50F5">
        <w:t xml:space="preserve"> to support the deployment of WBB services</w:t>
      </w:r>
      <w:r w:rsidR="00014BD6">
        <w:t>.</w:t>
      </w:r>
      <w:r w:rsidR="00331218" w:rsidRPr="00EC50F5">
        <w:t xml:space="preserve"> </w:t>
      </w:r>
      <w:r w:rsidR="00014BD6">
        <w:t xml:space="preserve">These are detailed </w:t>
      </w:r>
      <w:r w:rsidR="00331218" w:rsidRPr="00EC50F5">
        <w:t xml:space="preserve">in </w:t>
      </w:r>
      <w:r w:rsidR="00331218" w:rsidRPr="00582F59">
        <w:t xml:space="preserve">Table </w:t>
      </w:r>
      <w:r w:rsidR="00066C41" w:rsidRPr="00582F59">
        <w:t>3</w:t>
      </w:r>
      <w:r w:rsidR="00331218" w:rsidRPr="00582F59">
        <w:t xml:space="preserve"> below</w:t>
      </w:r>
      <w:r w:rsidR="00331218" w:rsidRPr="00EC50F5">
        <w:t>.</w:t>
      </w:r>
    </w:p>
    <w:p w14:paraId="6CADE5A7" w14:textId="4F9EDD57" w:rsidR="00EB0F07" w:rsidRPr="00EC50F5" w:rsidRDefault="00FD4EEA" w:rsidP="00274072">
      <w:pPr>
        <w:pStyle w:val="Tableheading"/>
      </w:pPr>
      <w:r w:rsidRPr="00EC50F5">
        <w:t>Options for the use of urban excise spectrum</w:t>
      </w:r>
    </w:p>
    <w:tbl>
      <w:tblPr>
        <w:tblStyle w:val="ACMAtablestyle"/>
        <w:tblW w:w="9209" w:type="dxa"/>
        <w:tblCellMar>
          <w:top w:w="85" w:type="dxa"/>
          <w:left w:w="57" w:type="dxa"/>
          <w:bottom w:w="85" w:type="dxa"/>
          <w:right w:w="57" w:type="dxa"/>
        </w:tblCellMar>
        <w:tblLook w:val="04A0" w:firstRow="1" w:lastRow="0" w:firstColumn="1" w:lastColumn="0" w:noHBand="0" w:noVBand="1"/>
      </w:tblPr>
      <w:tblGrid>
        <w:gridCol w:w="1812"/>
        <w:gridCol w:w="1425"/>
        <w:gridCol w:w="1061"/>
        <w:gridCol w:w="1342"/>
        <w:gridCol w:w="3569"/>
      </w:tblGrid>
      <w:tr w:rsidR="00331218" w:rsidRPr="00E679B8" w14:paraId="19721D53" w14:textId="36BD6458" w:rsidTr="00B631B4">
        <w:trPr>
          <w:cnfStyle w:val="100000000000" w:firstRow="1" w:lastRow="0" w:firstColumn="0" w:lastColumn="0" w:oddVBand="0" w:evenVBand="0" w:oddHBand="0" w:evenHBand="0" w:firstRowFirstColumn="0" w:firstRowLastColumn="0" w:lastRowFirstColumn="0" w:lastRowLastColumn="0"/>
        </w:trPr>
        <w:tc>
          <w:tcPr>
            <w:tcW w:w="1812" w:type="dxa"/>
          </w:tcPr>
          <w:p w14:paraId="401779CA" w14:textId="2C52FD35" w:rsidR="00331218" w:rsidRDefault="00331218" w:rsidP="00EC50F5">
            <w:pPr>
              <w:pStyle w:val="Tableheaderrow"/>
            </w:pPr>
            <w:r>
              <w:t>Deployment model</w:t>
            </w:r>
          </w:p>
        </w:tc>
        <w:tc>
          <w:tcPr>
            <w:tcW w:w="1425" w:type="dxa"/>
          </w:tcPr>
          <w:p w14:paraId="5FA80430" w14:textId="1DA646AB" w:rsidR="00331218" w:rsidRDefault="00765DA5" w:rsidP="00EC50F5">
            <w:pPr>
              <w:pStyle w:val="Tableheaderrow"/>
            </w:pPr>
            <w:r>
              <w:t>Restricted use band</w:t>
            </w:r>
          </w:p>
        </w:tc>
        <w:tc>
          <w:tcPr>
            <w:tcW w:w="1061" w:type="dxa"/>
          </w:tcPr>
          <w:p w14:paraId="4BB57C0E" w14:textId="73E5DFD7" w:rsidR="00331218" w:rsidRDefault="00765DA5" w:rsidP="00EC50F5">
            <w:pPr>
              <w:pStyle w:val="Tableheaderrow"/>
            </w:pPr>
            <w:r>
              <w:t>Access</w:t>
            </w:r>
          </w:p>
        </w:tc>
        <w:tc>
          <w:tcPr>
            <w:tcW w:w="1342" w:type="dxa"/>
          </w:tcPr>
          <w:p w14:paraId="0C64FE07" w14:textId="78F448E0" w:rsidR="00331218" w:rsidRDefault="00765DA5" w:rsidP="00EC50F5">
            <w:pPr>
              <w:pStyle w:val="Tableheaderrow"/>
            </w:pPr>
            <w:r>
              <w:t>Licence type</w:t>
            </w:r>
          </w:p>
        </w:tc>
        <w:tc>
          <w:tcPr>
            <w:tcW w:w="3569" w:type="dxa"/>
          </w:tcPr>
          <w:p w14:paraId="36FCFD22" w14:textId="58186F70" w:rsidR="00215141" w:rsidRDefault="00215141" w:rsidP="00D41B76">
            <w:pPr>
              <w:pStyle w:val="Tableheaderrow"/>
            </w:pPr>
            <w:r>
              <w:t>Description</w:t>
            </w:r>
          </w:p>
        </w:tc>
      </w:tr>
      <w:tr w:rsidR="00331218" w14:paraId="0E0A568B" w14:textId="5ACC7FC2" w:rsidTr="00B631B4">
        <w:trPr>
          <w:cnfStyle w:val="000000100000" w:firstRow="0" w:lastRow="0" w:firstColumn="0" w:lastColumn="0" w:oddVBand="0" w:evenVBand="0" w:oddHBand="1" w:evenHBand="0" w:firstRowFirstColumn="0" w:firstRowLastColumn="0" w:lastRowFirstColumn="0" w:lastRowLastColumn="0"/>
        </w:trPr>
        <w:tc>
          <w:tcPr>
            <w:tcW w:w="1812" w:type="dxa"/>
            <w:shd w:val="clear" w:color="auto" w:fill="auto"/>
            <w:hideMark/>
          </w:tcPr>
          <w:p w14:paraId="3B2DE4C1" w14:textId="1E9D2667" w:rsidR="00215141" w:rsidRDefault="00331218" w:rsidP="00215141">
            <w:pPr>
              <w:pStyle w:val="TableBody"/>
            </w:pPr>
            <w:r>
              <w:t xml:space="preserve">3400–3470 MHz: </w:t>
            </w:r>
            <w:r w:rsidR="003D41C2">
              <w:t>r</w:t>
            </w:r>
            <w:r>
              <w:t>estricted cell</w:t>
            </w:r>
          </w:p>
          <w:p w14:paraId="45D3A7B4" w14:textId="2770B03B" w:rsidR="00331218" w:rsidRPr="00EC50F5" w:rsidRDefault="00910BD9" w:rsidP="00EC50F5">
            <w:pPr>
              <w:pStyle w:val="TableBody"/>
              <w:rPr>
                <w:i/>
              </w:rPr>
            </w:pPr>
            <w:r>
              <w:t>(</w:t>
            </w:r>
            <w:r w:rsidR="003D41C2">
              <w:rPr>
                <w:i/>
                <w:iCs/>
              </w:rPr>
              <w:t>s</w:t>
            </w:r>
            <w:r>
              <w:rPr>
                <w:i/>
                <w:iCs/>
              </w:rPr>
              <w:t xml:space="preserve">hared </w:t>
            </w:r>
            <w:r w:rsidR="00AA3BC6">
              <w:rPr>
                <w:i/>
                <w:iCs/>
              </w:rPr>
              <w:t>use</w:t>
            </w:r>
            <w:r>
              <w:rPr>
                <w:i/>
                <w:iCs/>
              </w:rPr>
              <w:t>)</w:t>
            </w:r>
          </w:p>
        </w:tc>
        <w:tc>
          <w:tcPr>
            <w:tcW w:w="1425" w:type="dxa"/>
            <w:shd w:val="clear" w:color="auto" w:fill="auto"/>
            <w:hideMark/>
          </w:tcPr>
          <w:p w14:paraId="63D5722B" w14:textId="77777777" w:rsidR="00331218" w:rsidRDefault="00331218" w:rsidP="00EC50F5">
            <w:pPr>
              <w:pStyle w:val="TableBody"/>
            </w:pPr>
            <w:r>
              <w:t>3470–3475 MHz: 5 MHz</w:t>
            </w:r>
          </w:p>
        </w:tc>
        <w:tc>
          <w:tcPr>
            <w:tcW w:w="1061" w:type="dxa"/>
            <w:shd w:val="clear" w:color="auto" w:fill="auto"/>
            <w:hideMark/>
          </w:tcPr>
          <w:p w14:paraId="0E89BAEF" w14:textId="77777777" w:rsidR="00331218" w:rsidRDefault="00331218" w:rsidP="00EC50F5">
            <w:pPr>
              <w:pStyle w:val="TableBody"/>
            </w:pPr>
            <w:r>
              <w:t>Shared</w:t>
            </w:r>
          </w:p>
        </w:tc>
        <w:tc>
          <w:tcPr>
            <w:tcW w:w="1342" w:type="dxa"/>
            <w:shd w:val="clear" w:color="auto" w:fill="auto"/>
            <w:hideMark/>
          </w:tcPr>
          <w:p w14:paraId="54D51819" w14:textId="1FF9B645" w:rsidR="00331218" w:rsidRDefault="00331218" w:rsidP="00EC50F5">
            <w:pPr>
              <w:pStyle w:val="TableBody"/>
            </w:pPr>
            <w:r>
              <w:t>Apparatus (site</w:t>
            </w:r>
            <w:r w:rsidR="003D41C2">
              <w:t>-</w:t>
            </w:r>
            <w:r>
              <w:t xml:space="preserve">based or </w:t>
            </w:r>
            <w:r w:rsidR="00D77C11">
              <w:t>area-wide licence (</w:t>
            </w:r>
            <w:r>
              <w:t>AWL</w:t>
            </w:r>
            <w:r w:rsidR="00D77C11">
              <w:t>)</w:t>
            </w:r>
            <w:r>
              <w:t>)/</w:t>
            </w:r>
            <w:r w:rsidR="004D0372">
              <w:br/>
            </w:r>
            <w:r>
              <w:t>class licence</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16177A28" w14:textId="418FCAAF" w:rsidR="00215141" w:rsidRDefault="00215141" w:rsidP="00215141">
            <w:pPr>
              <w:pStyle w:val="TableBody"/>
            </w:pPr>
            <w:r>
              <w:t>Under this option, multiple operators could share access to the same frequency in an urban excise area and/or by operating in different segments of the 3400</w:t>
            </w:r>
            <w:r w:rsidRPr="00E23813">
              <w:t>–</w:t>
            </w:r>
            <w:r>
              <w:t xml:space="preserve">3475 MHz frequency range. To manage interference between different licensees, relevant co-channel and adjacent channel boundary conditions would be implemented. This includes deployment restrictions such as a low radiated power limit and low outdoor antenna heights (i.e., effectively small cell operation) and other possible restrictions. </w:t>
            </w:r>
          </w:p>
        </w:tc>
      </w:tr>
      <w:tr w:rsidR="00331218" w14:paraId="1644FAE1" w14:textId="1510C19F" w:rsidTr="00B631B4">
        <w:trPr>
          <w:cnfStyle w:val="000000010000" w:firstRow="0" w:lastRow="0" w:firstColumn="0" w:lastColumn="0" w:oddVBand="0" w:evenVBand="0" w:oddHBand="0" w:evenHBand="1" w:firstRowFirstColumn="0" w:firstRowLastColumn="0" w:lastRowFirstColumn="0" w:lastRowLastColumn="0"/>
        </w:trPr>
        <w:tc>
          <w:tcPr>
            <w:tcW w:w="1812" w:type="dxa"/>
            <w:shd w:val="clear" w:color="auto" w:fill="F2F2F2" w:themeFill="background1" w:themeFillShade="F2"/>
            <w:hideMark/>
          </w:tcPr>
          <w:p w14:paraId="3DA6D5B5" w14:textId="7E938DF4" w:rsidR="00331218" w:rsidRDefault="00331218" w:rsidP="00EC50F5">
            <w:pPr>
              <w:pStyle w:val="TableBody"/>
              <w:rPr>
                <w:rFonts w:cs="Arial"/>
                <w:szCs w:val="20"/>
              </w:rPr>
            </w:pPr>
            <w:r>
              <w:rPr>
                <w:rFonts w:cs="Arial"/>
                <w:szCs w:val="20"/>
              </w:rPr>
              <w:t xml:space="preserve">3400–3460 MHz: </w:t>
            </w:r>
            <w:r w:rsidR="004D0372">
              <w:rPr>
                <w:rFonts w:cs="Arial"/>
                <w:szCs w:val="20"/>
              </w:rPr>
              <w:t>m</w:t>
            </w:r>
            <w:r>
              <w:rPr>
                <w:rFonts w:cs="Arial"/>
                <w:szCs w:val="20"/>
              </w:rPr>
              <w:t>acro</w:t>
            </w:r>
            <w:r w:rsidR="004A2C6C">
              <w:rPr>
                <w:rFonts w:cs="Arial"/>
                <w:szCs w:val="20"/>
              </w:rPr>
              <w:t xml:space="preserve"> </w:t>
            </w:r>
            <w:r>
              <w:rPr>
                <w:rFonts w:cs="Arial"/>
                <w:szCs w:val="20"/>
              </w:rPr>
              <w:t>cell</w:t>
            </w:r>
          </w:p>
          <w:p w14:paraId="1E21E8F7" w14:textId="520C35A1" w:rsidR="00215141" w:rsidRDefault="00331218" w:rsidP="00215141">
            <w:pPr>
              <w:pStyle w:val="TableBody"/>
            </w:pPr>
            <w:r>
              <w:t xml:space="preserve">3460–3470 MHz: </w:t>
            </w:r>
            <w:r w:rsidR="004D0372">
              <w:t>r</w:t>
            </w:r>
            <w:r>
              <w:t>estricted cell</w:t>
            </w:r>
          </w:p>
          <w:p w14:paraId="446157F8" w14:textId="4ABA0B64" w:rsidR="00331218" w:rsidRDefault="00910BD9" w:rsidP="00EC50F5">
            <w:pPr>
              <w:pStyle w:val="TableBody"/>
              <w:rPr>
                <w:rFonts w:cs="Arial"/>
                <w:szCs w:val="20"/>
              </w:rPr>
            </w:pPr>
            <w:r>
              <w:rPr>
                <w:rFonts w:cs="Arial"/>
                <w:szCs w:val="20"/>
              </w:rPr>
              <w:t>(</w:t>
            </w:r>
            <w:r w:rsidR="004D0372">
              <w:rPr>
                <w:rFonts w:cs="Arial"/>
                <w:i/>
                <w:iCs/>
                <w:szCs w:val="20"/>
              </w:rPr>
              <w:t>e</w:t>
            </w:r>
            <w:r>
              <w:rPr>
                <w:rFonts w:cs="Arial"/>
                <w:i/>
                <w:iCs/>
                <w:szCs w:val="20"/>
              </w:rPr>
              <w:t xml:space="preserve">xclusive </w:t>
            </w:r>
            <w:r w:rsidR="00AA3BC6">
              <w:rPr>
                <w:rFonts w:cs="Arial"/>
                <w:i/>
                <w:iCs/>
                <w:szCs w:val="20"/>
              </w:rPr>
              <w:t>use</w:t>
            </w:r>
            <w:r>
              <w:rPr>
                <w:rFonts w:cs="Arial"/>
                <w:szCs w:val="20"/>
              </w:rPr>
              <w:t>)</w:t>
            </w:r>
          </w:p>
        </w:tc>
        <w:tc>
          <w:tcPr>
            <w:tcW w:w="1425" w:type="dxa"/>
            <w:shd w:val="clear" w:color="auto" w:fill="F2F2F2" w:themeFill="background1" w:themeFillShade="F2"/>
            <w:hideMark/>
          </w:tcPr>
          <w:p w14:paraId="6578AF6A" w14:textId="77777777" w:rsidR="00331218" w:rsidRDefault="00331218" w:rsidP="00EC50F5">
            <w:pPr>
              <w:pStyle w:val="TableBody"/>
            </w:pPr>
            <w:r>
              <w:t>3470–3475 MHz: 5 MHz</w:t>
            </w:r>
          </w:p>
        </w:tc>
        <w:tc>
          <w:tcPr>
            <w:tcW w:w="1061" w:type="dxa"/>
            <w:shd w:val="clear" w:color="auto" w:fill="F2F2F2" w:themeFill="background1" w:themeFillShade="F2"/>
            <w:hideMark/>
          </w:tcPr>
          <w:p w14:paraId="61EE6C0B" w14:textId="77777777" w:rsidR="00331218" w:rsidRDefault="00331218" w:rsidP="00EC50F5">
            <w:pPr>
              <w:pStyle w:val="TableBody"/>
            </w:pPr>
            <w:r>
              <w:t>Exclusive</w:t>
            </w:r>
          </w:p>
        </w:tc>
        <w:tc>
          <w:tcPr>
            <w:tcW w:w="1342" w:type="dxa"/>
            <w:shd w:val="clear" w:color="auto" w:fill="F2F2F2" w:themeFill="background1" w:themeFillShade="F2"/>
            <w:hideMark/>
          </w:tcPr>
          <w:p w14:paraId="12B3C97A" w14:textId="29E197B7" w:rsidR="00331218" w:rsidRDefault="00331218" w:rsidP="00EC50F5">
            <w:pPr>
              <w:pStyle w:val="TableBody"/>
            </w:pPr>
            <w:r>
              <w:t>Spectrum licence/AWL</w:t>
            </w:r>
          </w:p>
        </w:tc>
        <w:tc>
          <w:tcPr>
            <w:tcW w:w="356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0E1061" w14:textId="1C7945B1" w:rsidR="00215141" w:rsidRDefault="00215141" w:rsidP="00215141">
            <w:pPr>
              <w:pStyle w:val="TableBody"/>
            </w:pPr>
            <w:r>
              <w:t xml:space="preserve">Under this option, any combination of </w:t>
            </w:r>
            <w:r w:rsidR="00E725B6">
              <w:t>spectrum licensing, apparatus licensing</w:t>
            </w:r>
            <w:r>
              <w:t xml:space="preserve"> or </w:t>
            </w:r>
            <w:r w:rsidR="00E725B6">
              <w:t>c</w:t>
            </w:r>
            <w:r w:rsidR="004E655B">
              <w:t>lass licensing under either a macro cell or restricted cell technical model</w:t>
            </w:r>
            <w:r>
              <w:t xml:space="preserve"> could be implemented in different segments of the 3400–3475 MHz frequency range. </w:t>
            </w:r>
          </w:p>
        </w:tc>
      </w:tr>
    </w:tbl>
    <w:p w14:paraId="67B93FA4" w14:textId="2B8E2F89" w:rsidR="00364F09" w:rsidRDefault="00364F09" w:rsidP="00364F09">
      <w:pPr>
        <w:pStyle w:val="Paragraph"/>
        <w:spacing w:before="240"/>
      </w:pPr>
      <w:r>
        <w:rPr>
          <w:szCs w:val="20"/>
        </w:rPr>
        <w:t>This paper further</w:t>
      </w:r>
      <w:r w:rsidR="009977D9">
        <w:rPr>
          <w:szCs w:val="20"/>
        </w:rPr>
        <w:t xml:space="preserve"> considers </w:t>
      </w:r>
      <w:r w:rsidR="00B17B48">
        <w:rPr>
          <w:szCs w:val="20"/>
        </w:rPr>
        <w:t>using</w:t>
      </w:r>
      <w:r>
        <w:rPr>
          <w:szCs w:val="20"/>
        </w:rPr>
        <w:t xml:space="preserve"> urban excise areas in the context of work that is underway to develop planning and allocation arrangements for WBB use across the broader 3400</w:t>
      </w:r>
      <w:r w:rsidR="00B17B48">
        <w:t>–</w:t>
      </w:r>
      <w:r>
        <w:rPr>
          <w:szCs w:val="20"/>
        </w:rPr>
        <w:t xml:space="preserve">4000 MHz frequency range. This includes how different WBB </w:t>
      </w:r>
      <w:r w:rsidR="00660093">
        <w:rPr>
          <w:szCs w:val="20"/>
        </w:rPr>
        <w:t>use-case</w:t>
      </w:r>
      <w:r>
        <w:rPr>
          <w:szCs w:val="20"/>
        </w:rPr>
        <w:t>s can be accommodated within the 3400</w:t>
      </w:r>
      <w:r w:rsidR="00E077C6">
        <w:t>–</w:t>
      </w:r>
      <w:r>
        <w:rPr>
          <w:szCs w:val="20"/>
        </w:rPr>
        <w:t>4000 MHz band</w:t>
      </w:r>
      <w:r w:rsidR="00955500">
        <w:rPr>
          <w:szCs w:val="20"/>
        </w:rPr>
        <w:t xml:space="preserve"> </w:t>
      </w:r>
      <w:r w:rsidR="002F79FB">
        <w:rPr>
          <w:szCs w:val="20"/>
        </w:rPr>
        <w:t>in the most efficient manner</w:t>
      </w:r>
      <w:r w:rsidR="00955500">
        <w:rPr>
          <w:szCs w:val="20"/>
        </w:rPr>
        <w:t>.</w:t>
      </w:r>
      <w:r>
        <w:rPr>
          <w:szCs w:val="20"/>
        </w:rPr>
        <w:t xml:space="preserve"> </w:t>
      </w:r>
    </w:p>
    <w:p w14:paraId="48CB5C7B" w14:textId="10E14DC2" w:rsidR="00364F09" w:rsidRDefault="00364F09" w:rsidP="00E077C6">
      <w:pPr>
        <w:pStyle w:val="Paragraphbeforelist"/>
      </w:pPr>
      <w:r>
        <w:t>Three WBB use</w:t>
      </w:r>
      <w:r w:rsidR="00660093">
        <w:t>-</w:t>
      </w:r>
      <w:r>
        <w:t xml:space="preserve">cases </w:t>
      </w:r>
      <w:r w:rsidR="00B12F25">
        <w:t xml:space="preserve">were </w:t>
      </w:r>
      <w:r>
        <w:t>identified for consideration</w:t>
      </w:r>
      <w:r w:rsidR="00B12F25">
        <w:t xml:space="preserve"> as part of the </w:t>
      </w:r>
      <w:r w:rsidR="007E3F7D">
        <w:t>previous urban excise consultation process</w:t>
      </w:r>
      <w:r>
        <w:t xml:space="preserve">: </w:t>
      </w:r>
    </w:p>
    <w:p w14:paraId="3CA7B5B9" w14:textId="20DE4757" w:rsidR="00364F09" w:rsidRDefault="00364F09" w:rsidP="00E077C6">
      <w:pPr>
        <w:pStyle w:val="Bulletlevel1"/>
      </w:pPr>
      <w:r w:rsidRPr="00274072">
        <w:rPr>
          <w:b/>
          <w:bCs/>
        </w:rPr>
        <w:t>WA WBB:</w:t>
      </w:r>
      <w:r>
        <w:t xml:space="preserve"> </w:t>
      </w:r>
      <w:r w:rsidR="00E077C6">
        <w:t>t</w:t>
      </w:r>
      <w:r>
        <w:t>his encompasses the deployment model mobile network operators (MNOs)</w:t>
      </w:r>
      <w:r w:rsidR="00FF6123">
        <w:t xml:space="preserve"> and, in some cases, fixed wireless service providers</w:t>
      </w:r>
      <w:r w:rsidR="003F43E8">
        <w:t xml:space="preserve"> </w:t>
      </w:r>
      <w:r w:rsidR="0038129D">
        <w:t xml:space="preserve">such as NBN Co </w:t>
      </w:r>
      <w:r w:rsidR="003F43E8">
        <w:t xml:space="preserve">or other </w:t>
      </w:r>
      <w:r w:rsidR="00F00E1A">
        <w:t xml:space="preserve">private WBB </w:t>
      </w:r>
      <w:r w:rsidR="003F43E8">
        <w:t>interests</w:t>
      </w:r>
      <w:r w:rsidR="00FF6123">
        <w:t>.</w:t>
      </w:r>
      <w:r>
        <w:t xml:space="preserve"> </w:t>
      </w:r>
      <w:r w:rsidR="00FF6123">
        <w:t>WA WBB uses are</w:t>
      </w:r>
      <w:r>
        <w:t xml:space="preserve"> typically supported </w:t>
      </w:r>
      <w:r w:rsidR="00F831DC">
        <w:t xml:space="preserve">by issuing </w:t>
      </w:r>
      <w:r>
        <w:t xml:space="preserve">spectrum licences covering large geographical areas. </w:t>
      </w:r>
    </w:p>
    <w:p w14:paraId="08F34849" w14:textId="5BF70B3D" w:rsidR="00364F09" w:rsidRDefault="00F831DC" w:rsidP="00364F09">
      <w:pPr>
        <w:pStyle w:val="Bulletlevel1"/>
      </w:pPr>
      <w:r>
        <w:rPr>
          <w:b/>
          <w:bCs/>
        </w:rPr>
        <w:t>m</w:t>
      </w:r>
      <w:r w:rsidR="00364F09" w:rsidRPr="00447BF8">
        <w:rPr>
          <w:b/>
          <w:bCs/>
        </w:rPr>
        <w:t>acro cell LA WBB:</w:t>
      </w:r>
      <w:r w:rsidR="00364F09">
        <w:t xml:space="preserve"> </w:t>
      </w:r>
      <w:r w:rsidR="00E077C6">
        <w:t>t</w:t>
      </w:r>
      <w:r w:rsidR="00364F09">
        <w:t>his encompasses the deployment of a limited number of WBB services requiring a medium</w:t>
      </w:r>
      <w:r w:rsidR="00E077C6">
        <w:t>-</w:t>
      </w:r>
      <w:r w:rsidR="00364F09">
        <w:t>to</w:t>
      </w:r>
      <w:r w:rsidR="00E077C6">
        <w:t>-</w:t>
      </w:r>
      <w:r w:rsidR="00364F09">
        <w:t xml:space="preserve">large cell size, as is often seen for services delivered by wireless internet service providers and above ground mine sites. This </w:t>
      </w:r>
      <w:r w:rsidR="00660093">
        <w:t>use-case</w:t>
      </w:r>
      <w:r w:rsidR="00364F09">
        <w:t xml:space="preserve"> is typically best supported by issu</w:t>
      </w:r>
      <w:r>
        <w:t>ing</w:t>
      </w:r>
      <w:r w:rsidR="00364F09">
        <w:t xml:space="preserve"> apparatus licences</w:t>
      </w:r>
      <w:r>
        <w:t>,</w:t>
      </w:r>
      <w:r w:rsidR="00364F09">
        <w:t xml:space="preserve"> such as AWLs that enable operation within a desired service area or areas. </w:t>
      </w:r>
    </w:p>
    <w:p w14:paraId="7828D655" w14:textId="2894F4F6" w:rsidR="00364F09" w:rsidRPr="00FC2E87" w:rsidRDefault="00F831DC" w:rsidP="004F5B7A">
      <w:pPr>
        <w:pStyle w:val="Bulletlevel1last"/>
      </w:pPr>
      <w:r w:rsidRPr="00447BF8">
        <w:rPr>
          <w:b/>
          <w:bCs/>
        </w:rPr>
        <w:t>r</w:t>
      </w:r>
      <w:r w:rsidR="00364F09" w:rsidRPr="00447BF8">
        <w:rPr>
          <w:b/>
          <w:bCs/>
        </w:rPr>
        <w:t>estricted cell LA WBB:</w:t>
      </w:r>
      <w:r w:rsidR="00364F09">
        <w:t xml:space="preserve"> </w:t>
      </w:r>
      <w:r>
        <w:t>t</w:t>
      </w:r>
      <w:r w:rsidR="00364F09">
        <w:t xml:space="preserve">his encompasses highly </w:t>
      </w:r>
      <w:r w:rsidR="00364F09" w:rsidRPr="00FC2E87">
        <w:rPr>
          <w:szCs w:val="20"/>
        </w:rPr>
        <w:t xml:space="preserve">localised </w:t>
      </w:r>
      <w:r w:rsidR="00B91390">
        <w:rPr>
          <w:szCs w:val="20"/>
        </w:rPr>
        <w:t xml:space="preserve">public, </w:t>
      </w:r>
      <w:r w:rsidR="00364F09" w:rsidRPr="00FC2E87">
        <w:rPr>
          <w:szCs w:val="20"/>
        </w:rPr>
        <w:t xml:space="preserve">private and enterprise networks, including services at </w:t>
      </w:r>
      <w:r w:rsidR="00364F09">
        <w:t xml:space="preserve">warehouses, factories, airports, ports, transport hubs, hospitals, schools and smart buildings. This </w:t>
      </w:r>
      <w:r w:rsidR="00660093">
        <w:t>use-case</w:t>
      </w:r>
      <w:r w:rsidR="00364F09">
        <w:t xml:space="preserve"> is typically best supported by class licence or apparatus licence (such as AWL) arrangements that enable operation within a highly localised service area or areas. </w:t>
      </w:r>
      <w:r w:rsidR="00364F09" w:rsidRPr="00FC2E87">
        <w:rPr>
          <w:szCs w:val="20"/>
        </w:rPr>
        <w:t>While it is possible for AWL arrangements to support both the macro cell and restricted cell LA WBB cases, there may be efficiencies in identifying dedicated spectrum for each of these cases.</w:t>
      </w:r>
    </w:p>
    <w:p w14:paraId="7DEAAC28" w14:textId="263181D6" w:rsidR="00730857" w:rsidRDefault="00730857" w:rsidP="00730857">
      <w:pPr>
        <w:pStyle w:val="Heading3"/>
        <w:spacing w:before="240"/>
      </w:pPr>
      <w:r>
        <w:t xml:space="preserve">Options for use of urban excise areas </w:t>
      </w:r>
    </w:p>
    <w:p w14:paraId="2EDB787D" w14:textId="6ADC4F96" w:rsidR="00730857" w:rsidRDefault="00F831DC" w:rsidP="004F5B7A">
      <w:pPr>
        <w:pStyle w:val="Paragraphbeforelist"/>
        <w:rPr>
          <w:szCs w:val="20"/>
        </w:rPr>
      </w:pPr>
      <w:r>
        <w:rPr>
          <w:szCs w:val="20"/>
        </w:rPr>
        <w:t>G</w:t>
      </w:r>
      <w:r w:rsidR="00EA6230">
        <w:rPr>
          <w:szCs w:val="20"/>
        </w:rPr>
        <w:t xml:space="preserve">uided by the MPS, </w:t>
      </w:r>
      <w:r>
        <w:rPr>
          <w:szCs w:val="20"/>
        </w:rPr>
        <w:t>we have</w:t>
      </w:r>
      <w:r w:rsidR="00730857">
        <w:rPr>
          <w:szCs w:val="20"/>
        </w:rPr>
        <w:t xml:space="preserve"> identified </w:t>
      </w:r>
      <w:r>
        <w:rPr>
          <w:szCs w:val="20"/>
        </w:rPr>
        <w:t xml:space="preserve">2 </w:t>
      </w:r>
      <w:r w:rsidR="00730857">
        <w:rPr>
          <w:szCs w:val="20"/>
        </w:rPr>
        <w:t>options for making urban excise areas available in the context of the broader 3400</w:t>
      </w:r>
      <w:r>
        <w:t>–</w:t>
      </w:r>
      <w:r w:rsidR="00730857">
        <w:rPr>
          <w:szCs w:val="20"/>
        </w:rPr>
        <w:t xml:space="preserve">4000 MHz band </w:t>
      </w:r>
      <w:r>
        <w:rPr>
          <w:szCs w:val="20"/>
        </w:rPr>
        <w:t xml:space="preserve">that </w:t>
      </w:r>
      <w:r w:rsidR="0049193C">
        <w:rPr>
          <w:szCs w:val="20"/>
        </w:rPr>
        <w:t xml:space="preserve">will </w:t>
      </w:r>
      <w:r w:rsidR="00730857">
        <w:rPr>
          <w:szCs w:val="20"/>
        </w:rPr>
        <w:t xml:space="preserve">support different WBB </w:t>
      </w:r>
      <w:r w:rsidR="00660093">
        <w:rPr>
          <w:szCs w:val="20"/>
        </w:rPr>
        <w:t>use-case</w:t>
      </w:r>
      <w:r w:rsidR="00730857">
        <w:rPr>
          <w:szCs w:val="20"/>
        </w:rPr>
        <w:t>s:</w:t>
      </w:r>
    </w:p>
    <w:p w14:paraId="18975111" w14:textId="77777777" w:rsidR="00F831DC" w:rsidRDefault="00730857" w:rsidP="00730857">
      <w:pPr>
        <w:pStyle w:val="Bulletlevel1"/>
      </w:pPr>
      <w:r w:rsidRPr="00447BF8">
        <w:rPr>
          <w:b/>
          <w:bCs/>
        </w:rPr>
        <w:t>Option A:</w:t>
      </w:r>
      <w:r w:rsidRPr="00F831DC">
        <w:t xml:space="preserve"> </w:t>
      </w:r>
    </w:p>
    <w:p w14:paraId="789D9521" w14:textId="1B7C3893" w:rsidR="00F831DC" w:rsidRDefault="00F831DC" w:rsidP="00447BF8">
      <w:pPr>
        <w:pStyle w:val="Bulletlevel2"/>
      </w:pPr>
      <w:r>
        <w:t>i</w:t>
      </w:r>
      <w:r w:rsidR="00730857">
        <w:t>mplement spectrum licence arrangements for the 3400</w:t>
      </w:r>
      <w:r>
        <w:t>–</w:t>
      </w:r>
      <w:r w:rsidR="00730857">
        <w:t>3475 MHz band in urban excise areas that could be used by WA WBB or macro cell LA WBB operators</w:t>
      </w:r>
    </w:p>
    <w:p w14:paraId="34AA13ED" w14:textId="55BAF074" w:rsidR="00730857" w:rsidRDefault="00F831DC" w:rsidP="00447BF8">
      <w:pPr>
        <w:pStyle w:val="Bulletlevel2last"/>
      </w:pPr>
      <w:r>
        <w:t>d</w:t>
      </w:r>
      <w:r w:rsidR="00BC4157">
        <w:t xml:space="preserve">evelop </w:t>
      </w:r>
      <w:r w:rsidR="00730857">
        <w:t>arrangements for both macro</w:t>
      </w:r>
      <w:r w:rsidR="004A2C6C">
        <w:t xml:space="preserve"> </w:t>
      </w:r>
      <w:r w:rsidR="00730857">
        <w:t>cell and restricted cell LA WBB use in the 3800-4000 MHz frequency range in metropolitan areas</w:t>
      </w:r>
      <w:r w:rsidR="001A10A5">
        <w:t xml:space="preserve"> and other areas of high demand</w:t>
      </w:r>
      <w:r w:rsidR="00276B93">
        <w:t xml:space="preserve"> via the issue of AWLs</w:t>
      </w:r>
      <w:r>
        <w:t>.</w:t>
      </w:r>
    </w:p>
    <w:p w14:paraId="04EF129D" w14:textId="77777777" w:rsidR="00F831DC" w:rsidRDefault="00730857" w:rsidP="00447BF8">
      <w:pPr>
        <w:pStyle w:val="Bulletlevel1last"/>
        <w:spacing w:after="80"/>
      </w:pPr>
      <w:r w:rsidRPr="00447BF8">
        <w:rPr>
          <w:b/>
          <w:bCs/>
        </w:rPr>
        <w:t>Option B:</w:t>
      </w:r>
      <w:r>
        <w:t xml:space="preserve"> </w:t>
      </w:r>
    </w:p>
    <w:p w14:paraId="63A52201" w14:textId="52827514" w:rsidR="00F831DC" w:rsidRDefault="00F831DC" w:rsidP="00F831DC">
      <w:pPr>
        <w:pStyle w:val="Bulletlevel2"/>
      </w:pPr>
      <w:r>
        <w:t>d</w:t>
      </w:r>
      <w:r w:rsidR="00730857">
        <w:t>evelop class licence or apparatus (site based or AWL) licence arrangements for restricted cell LA WBB use in the 3400</w:t>
      </w:r>
      <w:r>
        <w:t>–</w:t>
      </w:r>
      <w:r w:rsidR="00730857">
        <w:t>3475 MHz band in urban excise areas</w:t>
      </w:r>
    </w:p>
    <w:p w14:paraId="7BCB2DA1" w14:textId="7CF1F247" w:rsidR="00730857" w:rsidRDefault="00F831DC" w:rsidP="00447BF8">
      <w:pPr>
        <w:pStyle w:val="Bulletlevel2last"/>
      </w:pPr>
      <w:r>
        <w:t>d</w:t>
      </w:r>
      <w:r w:rsidR="00730857">
        <w:t>evelop arrangements for general LA WBB use in the 3800</w:t>
      </w:r>
      <w:r>
        <w:t>–</w:t>
      </w:r>
      <w:r w:rsidR="00730857">
        <w:t>4000</w:t>
      </w:r>
      <w:r w:rsidR="00E05274">
        <w:t> </w:t>
      </w:r>
      <w:r w:rsidR="00730857">
        <w:t>MHz frequency range in metropolitan areas</w:t>
      </w:r>
      <w:r w:rsidR="001A10A5">
        <w:t xml:space="preserve"> and other areas of high demand</w:t>
      </w:r>
      <w:r w:rsidR="00730857">
        <w:t>.</w:t>
      </w:r>
    </w:p>
    <w:p w14:paraId="2F1A6B8A" w14:textId="6ED28965" w:rsidR="00871112" w:rsidRDefault="0051390F" w:rsidP="001264DB">
      <w:pPr>
        <w:pStyle w:val="Bulletlevel1last"/>
        <w:numPr>
          <w:ilvl w:val="0"/>
          <w:numId w:val="0"/>
        </w:numPr>
      </w:pPr>
      <w:r>
        <w:t xml:space="preserve">Option A for urban excise areas forms part of </w:t>
      </w:r>
      <w:r w:rsidR="00F831DC">
        <w:t>o</w:t>
      </w:r>
      <w:r>
        <w:t>ptions 1</w:t>
      </w:r>
      <w:r w:rsidR="00461846">
        <w:t xml:space="preserve">, </w:t>
      </w:r>
      <w:r>
        <w:t xml:space="preserve">2 </w:t>
      </w:r>
      <w:r w:rsidR="00461846">
        <w:t xml:space="preserve">and 3 </w:t>
      </w:r>
      <w:r>
        <w:t>that are discussed later</w:t>
      </w:r>
      <w:r w:rsidR="002B43AA">
        <w:t xml:space="preserve"> in terms of possible planning </w:t>
      </w:r>
      <w:r w:rsidR="00D73457">
        <w:t>arrangements for the wider 3400</w:t>
      </w:r>
      <w:r w:rsidR="00F831DC">
        <w:t>–</w:t>
      </w:r>
      <w:r w:rsidR="00D73457">
        <w:t>4000 MHz band.</w:t>
      </w:r>
      <w:r>
        <w:t xml:space="preserve"> </w:t>
      </w:r>
    </w:p>
    <w:p w14:paraId="3CA28515" w14:textId="0226681D" w:rsidR="00730857" w:rsidRPr="004F5B7A" w:rsidRDefault="00306D48" w:rsidP="004F5B7A">
      <w:pPr>
        <w:pStyle w:val="Heading4"/>
      </w:pPr>
      <w:r>
        <w:t>Option A</w:t>
      </w:r>
      <w:r w:rsidR="00F831DC">
        <w:t xml:space="preserve"> overview</w:t>
      </w:r>
    </w:p>
    <w:p w14:paraId="02A31705" w14:textId="4AF46C67" w:rsidR="00857239" w:rsidRDefault="00364F09" w:rsidP="004F5B7A">
      <w:pPr>
        <w:pStyle w:val="Paragraph"/>
        <w:rPr>
          <w:szCs w:val="20"/>
        </w:rPr>
      </w:pPr>
      <w:r>
        <w:rPr>
          <w:szCs w:val="20"/>
        </w:rPr>
        <w:t>As a result of previous ACMA planning decisions, arrangements</w:t>
      </w:r>
      <w:r w:rsidR="00F831DC">
        <w:rPr>
          <w:szCs w:val="20"/>
        </w:rPr>
        <w:t xml:space="preserve"> in metropolitan areas</w:t>
      </w:r>
      <w:r>
        <w:rPr>
          <w:szCs w:val="20"/>
        </w:rPr>
        <w:t xml:space="preserve"> for WA WBB and LA WBB use have</w:t>
      </w:r>
      <w:r w:rsidR="00F831DC">
        <w:rPr>
          <w:szCs w:val="20"/>
        </w:rPr>
        <w:t xml:space="preserve"> been,</w:t>
      </w:r>
      <w:r>
        <w:rPr>
          <w:szCs w:val="20"/>
        </w:rPr>
        <w:t xml:space="preserve"> or are planned to be</w:t>
      </w:r>
      <w:r w:rsidR="00F831DC">
        <w:rPr>
          <w:szCs w:val="20"/>
        </w:rPr>
        <w:t>,</w:t>
      </w:r>
      <w:r>
        <w:rPr>
          <w:szCs w:val="20"/>
        </w:rPr>
        <w:t xml:space="preserve"> implemented in the 3475</w:t>
      </w:r>
      <w:r w:rsidR="00F831DC">
        <w:t>–</w:t>
      </w:r>
      <w:r>
        <w:rPr>
          <w:szCs w:val="20"/>
        </w:rPr>
        <w:t>3800 MHz and 3800</w:t>
      </w:r>
      <w:r w:rsidR="00F831DC">
        <w:t>–</w:t>
      </w:r>
      <w:r>
        <w:rPr>
          <w:szCs w:val="20"/>
        </w:rPr>
        <w:t>4000 MHz bands</w:t>
      </w:r>
      <w:r w:rsidR="00F831DC">
        <w:rPr>
          <w:szCs w:val="20"/>
        </w:rPr>
        <w:t>,</w:t>
      </w:r>
      <w:r>
        <w:rPr>
          <w:szCs w:val="20"/>
        </w:rPr>
        <w:t xml:space="preserve"> respectively. </w:t>
      </w:r>
    </w:p>
    <w:p w14:paraId="759C2779" w14:textId="051A8719" w:rsidR="00716CF2" w:rsidRDefault="00857239" w:rsidP="00E3142D">
      <w:pPr>
        <w:pStyle w:val="Paragraph"/>
      </w:pPr>
      <w:r>
        <w:t>Existing arrangements for WA WBB in the 3475</w:t>
      </w:r>
      <w:r w:rsidR="00F831DC">
        <w:t>–</w:t>
      </w:r>
      <w:r>
        <w:t>3700 MHz band are via the issue of spectrum licences. The areas directly adjacent to urban excise areas in the 3400</w:t>
      </w:r>
      <w:r w:rsidR="00F831DC">
        <w:t>–</w:t>
      </w:r>
      <w:r>
        <w:t xml:space="preserve">3475 MHz band are also subject to spectrum licensing. </w:t>
      </w:r>
    </w:p>
    <w:p w14:paraId="5D560CB5" w14:textId="1463A378" w:rsidR="00857239" w:rsidRDefault="00857239" w:rsidP="004F5B7A">
      <w:pPr>
        <w:pStyle w:val="Paragraphbeforelist"/>
      </w:pPr>
      <w:r>
        <w:t>Re-allocation options detailed in this paper also propose to extend these spectrum</w:t>
      </w:r>
      <w:r w:rsidR="00062E8A">
        <w:t>-</w:t>
      </w:r>
      <w:r w:rsidR="00EE111D">
        <w:t xml:space="preserve">licensing </w:t>
      </w:r>
      <w:r>
        <w:t>arrangements to cover those parts of the 3400</w:t>
      </w:r>
      <w:r w:rsidR="00F831DC">
        <w:t>–</w:t>
      </w:r>
      <w:r>
        <w:t xml:space="preserve">3800 MHz band in metropolitan and regional areas that are not currently subject to spectrum licensing. There are benefits in also making </w:t>
      </w:r>
      <w:r w:rsidR="00707651">
        <w:t>the 3400</w:t>
      </w:r>
      <w:r w:rsidR="00F831DC">
        <w:t>–</w:t>
      </w:r>
      <w:r w:rsidR="00707651">
        <w:t xml:space="preserve">3475 MHz band in </w:t>
      </w:r>
      <w:r>
        <w:t>urban excise areas available for the issue of spectrum licences</w:t>
      </w:r>
      <w:r w:rsidR="00F831DC">
        <w:t xml:space="preserve">, </w:t>
      </w:r>
      <w:r>
        <w:t>includ</w:t>
      </w:r>
      <w:r w:rsidR="00F831DC">
        <w:t>ing</w:t>
      </w:r>
      <w:r>
        <w:t>:</w:t>
      </w:r>
    </w:p>
    <w:p w14:paraId="493258D1" w14:textId="0797382E" w:rsidR="00857239" w:rsidRDefault="00857239" w:rsidP="00857239">
      <w:pPr>
        <w:pStyle w:val="Bulletlevel1"/>
      </w:pPr>
      <w:r>
        <w:t xml:space="preserve">if there is a need for a future restack to consolidate spectrum holdings, a single licence type across the 3400–3800 MHz band </w:t>
      </w:r>
      <w:r w:rsidR="00241E76">
        <w:t xml:space="preserve">in all </w:t>
      </w:r>
      <w:r w:rsidR="0075261E">
        <w:t>metropolitan</w:t>
      </w:r>
      <w:r w:rsidR="00241E76">
        <w:t xml:space="preserve"> and regional </w:t>
      </w:r>
      <w:r>
        <w:t>would better facilitate this</w:t>
      </w:r>
    </w:p>
    <w:p w14:paraId="2B861455" w14:textId="3DE35AD7" w:rsidR="00857239" w:rsidRPr="008465B8" w:rsidRDefault="00857239" w:rsidP="004F5B7A">
      <w:pPr>
        <w:pStyle w:val="Bulletlevel1last"/>
      </w:pPr>
      <w:bookmarkStart w:id="33" w:name="_Hlk78464080"/>
      <w:r>
        <w:t xml:space="preserve">a licence that covers the entire geography of an urban excise area is </w:t>
      </w:r>
      <w:r w:rsidR="00971BCF">
        <w:t>likely</w:t>
      </w:r>
      <w:r>
        <w:t xml:space="preserve"> to </w:t>
      </w:r>
      <w:r w:rsidRPr="008465B8">
        <w:t xml:space="preserve">support a greater density of deployments and </w:t>
      </w:r>
      <w:r>
        <w:t xml:space="preserve">result in better </w:t>
      </w:r>
      <w:r w:rsidRPr="008465B8">
        <w:t>spectrum</w:t>
      </w:r>
      <w:r>
        <w:t xml:space="preserve"> utility</w:t>
      </w:r>
      <w:r w:rsidRPr="008465B8">
        <w:t>.</w:t>
      </w:r>
      <w:r>
        <w:t xml:space="preserve"> This is due to a combination of the small size of urban excise areas and inefficiencies associated with managing interference between multiple operators in </w:t>
      </w:r>
      <w:r w:rsidR="2EB2FC73">
        <w:t xml:space="preserve">a </w:t>
      </w:r>
      <w:r>
        <w:t xml:space="preserve">small area. </w:t>
      </w:r>
      <w:r w:rsidRPr="008465B8">
        <w:t xml:space="preserve"> </w:t>
      </w:r>
    </w:p>
    <w:bookmarkEnd w:id="33"/>
    <w:p w14:paraId="5121204A" w14:textId="6601EA42" w:rsidR="00857239" w:rsidRDefault="00857239" w:rsidP="00857239">
      <w:pPr>
        <w:pStyle w:val="Paragraph"/>
        <w:spacing w:before="240"/>
        <w:rPr>
          <w:szCs w:val="20"/>
        </w:rPr>
      </w:pPr>
      <w:r>
        <w:rPr>
          <w:szCs w:val="20"/>
        </w:rPr>
        <w:t xml:space="preserve">If </w:t>
      </w:r>
      <w:r w:rsidR="00C7436F">
        <w:rPr>
          <w:szCs w:val="20"/>
        </w:rPr>
        <w:t xml:space="preserve">the </w:t>
      </w:r>
      <w:r>
        <w:rPr>
          <w:szCs w:val="20"/>
        </w:rPr>
        <w:t>3400</w:t>
      </w:r>
      <w:r w:rsidR="00F831DC">
        <w:t>–</w:t>
      </w:r>
      <w:r>
        <w:rPr>
          <w:szCs w:val="20"/>
        </w:rPr>
        <w:t xml:space="preserve">3475 MHz frequency range in urban excise areas is made available via the issue of spectrum licences, then further consideration is required on spectrum options to accommodate possible LA WBB </w:t>
      </w:r>
      <w:r w:rsidR="00660093">
        <w:rPr>
          <w:szCs w:val="20"/>
        </w:rPr>
        <w:t>use-case</w:t>
      </w:r>
      <w:r>
        <w:rPr>
          <w:szCs w:val="20"/>
        </w:rPr>
        <w:t>s.</w:t>
      </w:r>
    </w:p>
    <w:p w14:paraId="7EE084A8" w14:textId="4716C00C" w:rsidR="00857239" w:rsidRDefault="00857239" w:rsidP="00857239">
      <w:pPr>
        <w:pStyle w:val="Paragraph"/>
        <w:spacing w:before="240"/>
        <w:rPr>
          <w:szCs w:val="20"/>
        </w:rPr>
      </w:pPr>
      <w:r>
        <w:rPr>
          <w:szCs w:val="20"/>
        </w:rPr>
        <w:t xml:space="preserve">In </w:t>
      </w:r>
      <w:r w:rsidR="00E83E30">
        <w:rPr>
          <w:szCs w:val="20"/>
        </w:rPr>
        <w:t>practice</w:t>
      </w:r>
      <w:r w:rsidR="00F831DC">
        <w:rPr>
          <w:szCs w:val="20"/>
        </w:rPr>
        <w:t>,</w:t>
      </w:r>
      <w:r>
        <w:rPr>
          <w:szCs w:val="20"/>
        </w:rPr>
        <w:t xml:space="preserve"> spectrum licence arrangements can accommodate either WA WBB or LA WBB </w:t>
      </w:r>
      <w:r w:rsidR="008A3189">
        <w:rPr>
          <w:szCs w:val="20"/>
        </w:rPr>
        <w:t xml:space="preserve">(limited to a single operator in a defined area) </w:t>
      </w:r>
      <w:r w:rsidR="00660093">
        <w:rPr>
          <w:szCs w:val="20"/>
        </w:rPr>
        <w:t>use-case</w:t>
      </w:r>
      <w:r>
        <w:rPr>
          <w:szCs w:val="20"/>
        </w:rPr>
        <w:t>s. However, anecdotally</w:t>
      </w:r>
      <w:r w:rsidR="00F831DC">
        <w:rPr>
          <w:szCs w:val="20"/>
        </w:rPr>
        <w:t>,</w:t>
      </w:r>
      <w:r>
        <w:rPr>
          <w:szCs w:val="20"/>
        </w:rPr>
        <w:t xml:space="preserve"> </w:t>
      </w:r>
      <w:r w:rsidR="00F831DC">
        <w:rPr>
          <w:szCs w:val="20"/>
        </w:rPr>
        <w:t>we are</w:t>
      </w:r>
      <w:r>
        <w:rPr>
          <w:szCs w:val="20"/>
        </w:rPr>
        <w:t xml:space="preserve"> aware that LA WBB operators do not prefer spectrum</w:t>
      </w:r>
      <w:r w:rsidR="00F831DC">
        <w:rPr>
          <w:szCs w:val="20"/>
        </w:rPr>
        <w:t xml:space="preserve">-licensing </w:t>
      </w:r>
      <w:r>
        <w:rPr>
          <w:szCs w:val="20"/>
        </w:rPr>
        <w:t xml:space="preserve">arrangements. This is because such arrangements are usually of interest to WA WBB operators, and it is felt </w:t>
      </w:r>
      <w:r w:rsidR="00C70310">
        <w:rPr>
          <w:szCs w:val="20"/>
        </w:rPr>
        <w:t xml:space="preserve">LA WBB operators </w:t>
      </w:r>
      <w:r>
        <w:rPr>
          <w:szCs w:val="20"/>
        </w:rPr>
        <w:t xml:space="preserve">cannot compete in acquiring spectrum – </w:t>
      </w:r>
      <w:r w:rsidR="00931B7E">
        <w:rPr>
          <w:szCs w:val="20"/>
        </w:rPr>
        <w:t>particularly</w:t>
      </w:r>
      <w:r w:rsidR="004E3662">
        <w:rPr>
          <w:szCs w:val="20"/>
        </w:rPr>
        <w:t xml:space="preserve"> </w:t>
      </w:r>
      <w:r w:rsidR="00931B7E">
        <w:rPr>
          <w:szCs w:val="20"/>
        </w:rPr>
        <w:t xml:space="preserve">when </w:t>
      </w:r>
      <w:r w:rsidR="004E3662">
        <w:rPr>
          <w:szCs w:val="20"/>
        </w:rPr>
        <w:t xml:space="preserve">large </w:t>
      </w:r>
      <w:r>
        <w:rPr>
          <w:szCs w:val="20"/>
        </w:rPr>
        <w:t xml:space="preserve">areas </w:t>
      </w:r>
      <w:r w:rsidR="00931B7E">
        <w:rPr>
          <w:szCs w:val="20"/>
        </w:rPr>
        <w:t xml:space="preserve">are </w:t>
      </w:r>
      <w:r>
        <w:rPr>
          <w:szCs w:val="20"/>
        </w:rPr>
        <w:t xml:space="preserve">on offer. </w:t>
      </w:r>
      <w:r w:rsidR="00673D60">
        <w:rPr>
          <w:szCs w:val="20"/>
        </w:rPr>
        <w:t>G</w:t>
      </w:r>
      <w:r>
        <w:rPr>
          <w:szCs w:val="20"/>
        </w:rPr>
        <w:t>iven the small size of urban excise areas</w:t>
      </w:r>
      <w:r w:rsidR="00C82935">
        <w:rPr>
          <w:szCs w:val="20"/>
        </w:rPr>
        <w:t xml:space="preserve"> and additional restrictions on use likely to be imposed (refer to the </w:t>
      </w:r>
      <w:r w:rsidR="00F831DC">
        <w:rPr>
          <w:szCs w:val="20"/>
        </w:rPr>
        <w:t>u</w:t>
      </w:r>
      <w:r w:rsidR="006556E5">
        <w:rPr>
          <w:szCs w:val="20"/>
        </w:rPr>
        <w:t xml:space="preserve">rban </w:t>
      </w:r>
      <w:r w:rsidR="00F831DC">
        <w:rPr>
          <w:szCs w:val="20"/>
        </w:rPr>
        <w:t>e</w:t>
      </w:r>
      <w:r w:rsidR="006556E5">
        <w:rPr>
          <w:szCs w:val="20"/>
        </w:rPr>
        <w:t>xcise options paper for details)</w:t>
      </w:r>
      <w:r>
        <w:rPr>
          <w:szCs w:val="20"/>
        </w:rPr>
        <w:t xml:space="preserve">, </w:t>
      </w:r>
      <w:r w:rsidR="00EE32D9">
        <w:rPr>
          <w:szCs w:val="20"/>
        </w:rPr>
        <w:t>we</w:t>
      </w:r>
      <w:r>
        <w:rPr>
          <w:szCs w:val="20"/>
        </w:rPr>
        <w:t xml:space="preserve"> consider there is an opportunity for LA WBB operator</w:t>
      </w:r>
      <w:r w:rsidR="00F831DC">
        <w:rPr>
          <w:szCs w:val="20"/>
        </w:rPr>
        <w:t>s</w:t>
      </w:r>
      <w:r>
        <w:rPr>
          <w:szCs w:val="20"/>
        </w:rPr>
        <w:t xml:space="preserve"> to </w:t>
      </w:r>
      <w:r w:rsidR="000A22BF">
        <w:rPr>
          <w:szCs w:val="20"/>
        </w:rPr>
        <w:t xml:space="preserve">be </w:t>
      </w:r>
      <w:r w:rsidR="00EF7846">
        <w:rPr>
          <w:szCs w:val="20"/>
        </w:rPr>
        <w:t xml:space="preserve">more </w:t>
      </w:r>
      <w:r w:rsidR="000A22BF">
        <w:rPr>
          <w:szCs w:val="20"/>
        </w:rPr>
        <w:t xml:space="preserve">competitive </w:t>
      </w:r>
      <w:r w:rsidR="00E216CF">
        <w:rPr>
          <w:szCs w:val="20"/>
        </w:rPr>
        <w:t>in an allocation process and</w:t>
      </w:r>
      <w:r>
        <w:rPr>
          <w:szCs w:val="20"/>
        </w:rPr>
        <w:t xml:space="preserve"> obtain spectrum</w:t>
      </w:r>
      <w:r w:rsidR="00B31CDC">
        <w:rPr>
          <w:szCs w:val="20"/>
        </w:rPr>
        <w:t xml:space="preserve"> licences</w:t>
      </w:r>
      <w:r>
        <w:rPr>
          <w:szCs w:val="20"/>
        </w:rPr>
        <w:t xml:space="preserve"> in this case. In any event, we recognise that spectrum licence arrangements are not suited for </w:t>
      </w:r>
      <w:r w:rsidR="004514F5">
        <w:rPr>
          <w:szCs w:val="20"/>
        </w:rPr>
        <w:t xml:space="preserve">a </w:t>
      </w:r>
      <w:r w:rsidR="005E3C77">
        <w:rPr>
          <w:szCs w:val="20"/>
        </w:rPr>
        <w:t xml:space="preserve">multi-operator </w:t>
      </w:r>
      <w:r>
        <w:rPr>
          <w:szCs w:val="20"/>
        </w:rPr>
        <w:t xml:space="preserve">restricted cell LA WBB </w:t>
      </w:r>
      <w:r w:rsidR="00660093">
        <w:rPr>
          <w:szCs w:val="20"/>
        </w:rPr>
        <w:t>use-case</w:t>
      </w:r>
      <w:r>
        <w:rPr>
          <w:szCs w:val="20"/>
        </w:rPr>
        <w:t>.</w:t>
      </w:r>
    </w:p>
    <w:p w14:paraId="5303CC08" w14:textId="108937D4" w:rsidR="008E51C6" w:rsidRDefault="00EE32D9" w:rsidP="00857239">
      <w:pPr>
        <w:pStyle w:val="Paragraph"/>
        <w:spacing w:before="240"/>
        <w:rPr>
          <w:szCs w:val="20"/>
        </w:rPr>
      </w:pPr>
      <w:r>
        <w:rPr>
          <w:szCs w:val="20"/>
        </w:rPr>
        <w:t>We are</w:t>
      </w:r>
      <w:r w:rsidR="002531ED">
        <w:rPr>
          <w:szCs w:val="20"/>
        </w:rPr>
        <w:t xml:space="preserve"> currently working with industry to develop arrangements for LA WBB use in the 3800</w:t>
      </w:r>
      <w:r>
        <w:t>–</w:t>
      </w:r>
      <w:r w:rsidR="002531ED">
        <w:rPr>
          <w:szCs w:val="20"/>
        </w:rPr>
        <w:t>4000 MHz band in metropolitan (and other) areas of Australia.</w:t>
      </w:r>
      <w:r w:rsidR="002531ED" w:rsidRPr="00501F91">
        <w:rPr>
          <w:szCs w:val="20"/>
        </w:rPr>
        <w:t xml:space="preserve"> </w:t>
      </w:r>
      <w:r w:rsidR="00062E8A">
        <w:rPr>
          <w:szCs w:val="20"/>
        </w:rPr>
        <w:t xml:space="preserve">We </w:t>
      </w:r>
      <w:r w:rsidR="008E51C6">
        <w:rPr>
          <w:szCs w:val="20"/>
        </w:rPr>
        <w:t xml:space="preserve">note that existing LTE </w:t>
      </w:r>
      <w:r w:rsidR="000E0117">
        <w:rPr>
          <w:szCs w:val="20"/>
        </w:rPr>
        <w:t>(4G)</w:t>
      </w:r>
      <w:r w:rsidR="008E51C6">
        <w:rPr>
          <w:szCs w:val="20"/>
        </w:rPr>
        <w:t xml:space="preserve"> equipment only </w:t>
      </w:r>
      <w:r w:rsidR="000E0117">
        <w:rPr>
          <w:szCs w:val="20"/>
        </w:rPr>
        <w:t>operates</w:t>
      </w:r>
      <w:r w:rsidR="008E51C6">
        <w:rPr>
          <w:szCs w:val="20"/>
        </w:rPr>
        <w:t xml:space="preserve"> within the 3400–3800 MHz frequency range. However, 5G equipment is available that can operate in the 3300</w:t>
      </w:r>
      <w:r w:rsidR="00062E8A">
        <w:rPr>
          <w:szCs w:val="20"/>
        </w:rPr>
        <w:t>–</w:t>
      </w:r>
      <w:r w:rsidR="008E51C6">
        <w:rPr>
          <w:szCs w:val="20"/>
        </w:rPr>
        <w:t xml:space="preserve">4200 MHz frequency range and the ACMA is aware that equipment from at least one </w:t>
      </w:r>
      <w:hyperlink r:id="rId50" w:history="1">
        <w:r w:rsidR="008E51C6" w:rsidRPr="00483F68">
          <w:rPr>
            <w:rStyle w:val="Hyperlink"/>
            <w:szCs w:val="20"/>
          </w:rPr>
          <w:t>equipment manufacturer</w:t>
        </w:r>
      </w:hyperlink>
      <w:r w:rsidR="008E51C6">
        <w:rPr>
          <w:szCs w:val="20"/>
        </w:rPr>
        <w:t xml:space="preserve"> </w:t>
      </w:r>
      <w:r w:rsidR="00E55F0C">
        <w:rPr>
          <w:szCs w:val="20"/>
        </w:rPr>
        <w:t>c</w:t>
      </w:r>
      <w:r w:rsidR="008E51C6">
        <w:rPr>
          <w:szCs w:val="20"/>
        </w:rPr>
        <w:t>an operate in the 3300</w:t>
      </w:r>
      <w:r w:rsidR="00062E8A">
        <w:rPr>
          <w:szCs w:val="20"/>
        </w:rPr>
        <w:t>–</w:t>
      </w:r>
      <w:r w:rsidR="008E51C6">
        <w:rPr>
          <w:szCs w:val="20"/>
        </w:rPr>
        <w:t xml:space="preserve">3900 MHz frequency range. </w:t>
      </w:r>
      <w:r w:rsidR="64017ADB">
        <w:t xml:space="preserve">In that context, </w:t>
      </w:r>
      <w:r w:rsidR="008E51C6">
        <w:rPr>
          <w:szCs w:val="20"/>
        </w:rPr>
        <w:t>we consider that there is equipment available to support the different LA</w:t>
      </w:r>
      <w:r w:rsidR="00062E8A">
        <w:rPr>
          <w:szCs w:val="20"/>
        </w:rPr>
        <w:t xml:space="preserve"> </w:t>
      </w:r>
      <w:r w:rsidR="008E51C6">
        <w:rPr>
          <w:szCs w:val="20"/>
        </w:rPr>
        <w:t>WBB use cases and the equipment ecosystem is expected to expand over time.</w:t>
      </w:r>
    </w:p>
    <w:p w14:paraId="064E0FB4" w14:textId="5DD4AE31" w:rsidR="00857239" w:rsidRDefault="00EE32D9" w:rsidP="00857239">
      <w:pPr>
        <w:pStyle w:val="Paragraph"/>
        <w:spacing w:before="240"/>
        <w:rPr>
          <w:szCs w:val="20"/>
        </w:rPr>
      </w:pPr>
      <w:r>
        <w:rPr>
          <w:szCs w:val="20"/>
        </w:rPr>
        <w:t>Currently,</w:t>
      </w:r>
      <w:r w:rsidR="002531ED">
        <w:rPr>
          <w:szCs w:val="20"/>
        </w:rPr>
        <w:t xml:space="preserve"> there is no delineation between macro and restricted cell LA WBB use in the </w:t>
      </w:r>
      <w:r w:rsidR="008E51C6">
        <w:rPr>
          <w:szCs w:val="20"/>
        </w:rPr>
        <w:t>ACMA</w:t>
      </w:r>
      <w:r w:rsidR="00435206">
        <w:rPr>
          <w:szCs w:val="20"/>
        </w:rPr>
        <w:t>’</w:t>
      </w:r>
      <w:r w:rsidR="008E51C6">
        <w:rPr>
          <w:szCs w:val="20"/>
        </w:rPr>
        <w:t xml:space="preserve">s planning arrangements for the </w:t>
      </w:r>
      <w:r w:rsidR="002531ED">
        <w:rPr>
          <w:szCs w:val="20"/>
        </w:rPr>
        <w:t>3800</w:t>
      </w:r>
      <w:r>
        <w:t>–</w:t>
      </w:r>
      <w:r w:rsidR="002531ED">
        <w:rPr>
          <w:szCs w:val="20"/>
        </w:rPr>
        <w:t xml:space="preserve">4000 MHz band. However, we consider that both </w:t>
      </w:r>
      <w:r w:rsidR="00660093">
        <w:rPr>
          <w:szCs w:val="20"/>
        </w:rPr>
        <w:t>use-case</w:t>
      </w:r>
      <w:r w:rsidR="002531ED">
        <w:rPr>
          <w:szCs w:val="20"/>
        </w:rPr>
        <w:t>s can be accommodated in this spectrum.</w:t>
      </w:r>
    </w:p>
    <w:p w14:paraId="65EEEA47" w14:textId="0ACB945D" w:rsidR="008001C8" w:rsidRDefault="008001C8" w:rsidP="004F5B7A">
      <w:pPr>
        <w:pStyle w:val="Paragraphbeforelist"/>
        <w:rPr>
          <w:szCs w:val="20"/>
        </w:rPr>
      </w:pPr>
      <w:r>
        <w:rPr>
          <w:szCs w:val="20"/>
        </w:rPr>
        <w:t>The nature of restricted cell LA WBB use means that multiple operators can re-use the same frequency at different</w:t>
      </w:r>
      <w:r w:rsidR="00EE32D9">
        <w:rPr>
          <w:szCs w:val="20"/>
        </w:rPr>
        <w:t>,</w:t>
      </w:r>
      <w:r>
        <w:rPr>
          <w:szCs w:val="20"/>
        </w:rPr>
        <w:t xml:space="preserve"> but nearby</w:t>
      </w:r>
      <w:r w:rsidR="00EE32D9">
        <w:rPr>
          <w:szCs w:val="20"/>
        </w:rPr>
        <w:t>,</w:t>
      </w:r>
      <w:r>
        <w:rPr>
          <w:szCs w:val="20"/>
        </w:rPr>
        <w:t xml:space="preserve"> locations. </w:t>
      </w:r>
      <w:r w:rsidR="000A4F85">
        <w:rPr>
          <w:szCs w:val="20"/>
        </w:rPr>
        <w:t>So,</w:t>
      </w:r>
      <w:r>
        <w:rPr>
          <w:szCs w:val="20"/>
        </w:rPr>
        <w:t xml:space="preserve"> while a given portion of spectrum could only support one macro cell LA WBB</w:t>
      </w:r>
      <w:r w:rsidR="00ED2E67">
        <w:rPr>
          <w:szCs w:val="20"/>
        </w:rPr>
        <w:t xml:space="preserve"> operator</w:t>
      </w:r>
      <w:r>
        <w:rPr>
          <w:szCs w:val="20"/>
        </w:rPr>
        <w:t xml:space="preserve"> in a</w:t>
      </w:r>
      <w:r w:rsidR="003807A7">
        <w:rPr>
          <w:szCs w:val="20"/>
        </w:rPr>
        <w:t xml:space="preserve"> defined</w:t>
      </w:r>
      <w:r>
        <w:rPr>
          <w:szCs w:val="20"/>
        </w:rPr>
        <w:t xml:space="preserve"> area, </w:t>
      </w:r>
      <w:r w:rsidR="00B32C44">
        <w:rPr>
          <w:szCs w:val="20"/>
        </w:rPr>
        <w:t xml:space="preserve">it could alternatively be used to support </w:t>
      </w:r>
      <w:r>
        <w:rPr>
          <w:szCs w:val="20"/>
        </w:rPr>
        <w:t xml:space="preserve">numerous restricted cell LA WBB </w:t>
      </w:r>
      <w:r w:rsidR="00F9238B">
        <w:rPr>
          <w:szCs w:val="20"/>
        </w:rPr>
        <w:t xml:space="preserve">operators </w:t>
      </w:r>
      <w:r>
        <w:rPr>
          <w:szCs w:val="20"/>
        </w:rPr>
        <w:t xml:space="preserve">in that same area. To efficiently allocate spectrum in such circumstances, we have identified </w:t>
      </w:r>
      <w:r w:rsidR="00EE32D9">
        <w:rPr>
          <w:szCs w:val="20"/>
        </w:rPr>
        <w:t xml:space="preserve">2 </w:t>
      </w:r>
      <w:r>
        <w:rPr>
          <w:szCs w:val="20"/>
        </w:rPr>
        <w:t>possible approaches:</w:t>
      </w:r>
    </w:p>
    <w:p w14:paraId="199E8567" w14:textId="162A4268" w:rsidR="008001C8" w:rsidRDefault="004C0522" w:rsidP="00CF0C4D">
      <w:pPr>
        <w:pStyle w:val="ListBullet"/>
      </w:pPr>
      <w:r w:rsidRPr="00D1787B">
        <w:rPr>
          <w:b/>
          <w:bCs/>
        </w:rPr>
        <w:t>‘</w:t>
      </w:r>
      <w:r w:rsidR="00EE32D9">
        <w:rPr>
          <w:b/>
          <w:bCs/>
        </w:rPr>
        <w:t>t</w:t>
      </w:r>
      <w:r w:rsidRPr="00D1787B">
        <w:rPr>
          <w:b/>
          <w:bCs/>
        </w:rPr>
        <w:t>op-down/bottom-up’ approach:</w:t>
      </w:r>
      <w:r>
        <w:t xml:space="preserve"> </w:t>
      </w:r>
      <w:r w:rsidR="00EE32D9">
        <w:t>m</w:t>
      </w:r>
      <w:r w:rsidR="008001C8">
        <w:t>acro cell LA WBB licences could be issued from the bottom of the 3800</w:t>
      </w:r>
      <w:r w:rsidR="00EE32D9">
        <w:t>–</w:t>
      </w:r>
      <w:r w:rsidR="008001C8">
        <w:t>4000 MHz band up (or from the top down). Restricted cell LA WBB licences could then be issued from the top of the band down (or from the bottom up)</w:t>
      </w:r>
    </w:p>
    <w:p w14:paraId="71709190" w14:textId="178B1353" w:rsidR="008001C8" w:rsidRDefault="00EE32D9" w:rsidP="00CF0C4D">
      <w:pPr>
        <w:pStyle w:val="ListBulletLast"/>
      </w:pPr>
      <w:r w:rsidRPr="00D1787B">
        <w:rPr>
          <w:b/>
          <w:bCs/>
        </w:rPr>
        <w:t>s</w:t>
      </w:r>
      <w:r w:rsidR="004C0522" w:rsidRPr="00D1787B">
        <w:rPr>
          <w:b/>
          <w:bCs/>
        </w:rPr>
        <w:t>egmentation:</w:t>
      </w:r>
      <w:r w:rsidR="004C0522">
        <w:t xml:space="preserve"> </w:t>
      </w:r>
      <w:r>
        <w:t>i</w:t>
      </w:r>
      <w:r w:rsidR="008001C8">
        <w:t>dentify a segment of the 3800</w:t>
      </w:r>
      <w:r>
        <w:t>–</w:t>
      </w:r>
      <w:r w:rsidR="008001C8">
        <w:t xml:space="preserve">4000 MHz band for dedicated macro cell LA WBB use and another segment for restricted cell LA WBB use. </w:t>
      </w:r>
      <w:r w:rsidR="003F6B44">
        <w:t xml:space="preserve">This segmentation would then be reviewed over time to optimise </w:t>
      </w:r>
      <w:r>
        <w:t xml:space="preserve">the spectrum, </w:t>
      </w:r>
      <w:r w:rsidR="003F6B44">
        <w:t>based on market demand.</w:t>
      </w:r>
    </w:p>
    <w:p w14:paraId="49B0E266" w14:textId="6BCD42B7" w:rsidR="00C669C7" w:rsidRDefault="00C669C7" w:rsidP="00C669C7">
      <w:pPr>
        <w:pStyle w:val="Paragraphbeforelist"/>
        <w:spacing w:after="240"/>
        <w:rPr>
          <w:szCs w:val="20"/>
        </w:rPr>
      </w:pPr>
      <w:r>
        <w:rPr>
          <w:szCs w:val="20"/>
        </w:rPr>
        <w:t>Arguably, the top-down/bottom</w:t>
      </w:r>
      <w:r w:rsidR="00EE32D9">
        <w:rPr>
          <w:szCs w:val="20"/>
        </w:rPr>
        <w:t>-</w:t>
      </w:r>
      <w:r>
        <w:rPr>
          <w:szCs w:val="20"/>
        </w:rPr>
        <w:t xml:space="preserve">up approach is the most flexible in meeting demand for the different LA WBB </w:t>
      </w:r>
      <w:r w:rsidR="00660093">
        <w:rPr>
          <w:szCs w:val="20"/>
        </w:rPr>
        <w:t>use-case</w:t>
      </w:r>
      <w:r>
        <w:rPr>
          <w:szCs w:val="20"/>
        </w:rPr>
        <w:t>s as it can dynamically adjust to demand</w:t>
      </w:r>
      <w:r w:rsidR="00EE32D9">
        <w:rPr>
          <w:szCs w:val="20"/>
        </w:rPr>
        <w:t>,</w:t>
      </w:r>
      <w:r>
        <w:rPr>
          <w:szCs w:val="20"/>
        </w:rPr>
        <w:t xml:space="preserve"> especially during the initial release. However, </w:t>
      </w:r>
      <w:r w:rsidR="001D1C66">
        <w:rPr>
          <w:szCs w:val="20"/>
        </w:rPr>
        <w:t xml:space="preserve">with additional </w:t>
      </w:r>
      <w:r>
        <w:rPr>
          <w:szCs w:val="20"/>
        </w:rPr>
        <w:t xml:space="preserve">flexibility </w:t>
      </w:r>
      <w:r w:rsidR="001D1C66">
        <w:rPr>
          <w:szCs w:val="20"/>
        </w:rPr>
        <w:t xml:space="preserve">there </w:t>
      </w:r>
      <w:r>
        <w:rPr>
          <w:szCs w:val="20"/>
        </w:rPr>
        <w:t xml:space="preserve">is </w:t>
      </w:r>
      <w:r w:rsidR="001D1C66">
        <w:rPr>
          <w:szCs w:val="20"/>
        </w:rPr>
        <w:t xml:space="preserve">an increased risk of </w:t>
      </w:r>
      <w:r>
        <w:rPr>
          <w:szCs w:val="20"/>
        </w:rPr>
        <w:t>technical inefficiencies in access to the spectrum. For example, a single restricted cell LA WBB user can block a future macro cell operator deploying in or near their location on the same frequency</w:t>
      </w:r>
      <w:r w:rsidR="00EE32D9">
        <w:rPr>
          <w:szCs w:val="20"/>
        </w:rPr>
        <w:t>,</w:t>
      </w:r>
      <w:r>
        <w:rPr>
          <w:szCs w:val="20"/>
        </w:rPr>
        <w:t xml:space="preserve"> </w:t>
      </w:r>
      <w:r w:rsidR="00EE32D9">
        <w:rPr>
          <w:szCs w:val="20"/>
        </w:rPr>
        <w:t xml:space="preserve">resulting in </w:t>
      </w:r>
      <w:r>
        <w:rPr>
          <w:szCs w:val="20"/>
        </w:rPr>
        <w:t xml:space="preserve">spectrum </w:t>
      </w:r>
      <w:r w:rsidR="00EE32D9">
        <w:rPr>
          <w:szCs w:val="20"/>
        </w:rPr>
        <w:t>being</w:t>
      </w:r>
      <w:r>
        <w:rPr>
          <w:szCs w:val="20"/>
        </w:rPr>
        <w:t xml:space="preserve"> lightly used or unused. </w:t>
      </w:r>
      <w:r w:rsidRPr="00132FF3">
        <w:rPr>
          <w:szCs w:val="20"/>
        </w:rPr>
        <w:t xml:space="preserve">Coordination with incumbent </w:t>
      </w:r>
      <w:r>
        <w:rPr>
          <w:szCs w:val="20"/>
        </w:rPr>
        <w:t xml:space="preserve">apparatus licences (FSS </w:t>
      </w:r>
      <w:r w:rsidRPr="00132FF3">
        <w:rPr>
          <w:szCs w:val="20"/>
        </w:rPr>
        <w:t xml:space="preserve">earth stations and </w:t>
      </w:r>
      <w:r>
        <w:rPr>
          <w:szCs w:val="20"/>
        </w:rPr>
        <w:t xml:space="preserve">point-to-point </w:t>
      </w:r>
      <w:r w:rsidRPr="00132FF3">
        <w:rPr>
          <w:szCs w:val="20"/>
        </w:rPr>
        <w:t>links) will complicate thi</w:t>
      </w:r>
      <w:r>
        <w:rPr>
          <w:szCs w:val="20"/>
        </w:rPr>
        <w:t>s</w:t>
      </w:r>
      <w:r w:rsidRPr="00132FF3">
        <w:rPr>
          <w:szCs w:val="20"/>
        </w:rPr>
        <w:t xml:space="preserve"> further by spreading the different </w:t>
      </w:r>
      <w:r w:rsidR="00660093">
        <w:rPr>
          <w:szCs w:val="20"/>
        </w:rPr>
        <w:t>use-case</w:t>
      </w:r>
      <w:r w:rsidRPr="00132FF3">
        <w:rPr>
          <w:szCs w:val="20"/>
        </w:rPr>
        <w:t>s across the band</w:t>
      </w:r>
      <w:r>
        <w:rPr>
          <w:szCs w:val="20"/>
        </w:rPr>
        <w:t xml:space="preserve"> and increasing the risk of</w:t>
      </w:r>
      <w:r w:rsidRPr="00132FF3">
        <w:rPr>
          <w:szCs w:val="20"/>
        </w:rPr>
        <w:t xml:space="preserve"> macro cell and restricted cell licence applications conflicting (wanting the same spectrum in the same area). </w:t>
      </w:r>
    </w:p>
    <w:p w14:paraId="4DB7E3D6" w14:textId="797872C4" w:rsidR="00C669C7" w:rsidRDefault="00F73975" w:rsidP="008001C8">
      <w:pPr>
        <w:pStyle w:val="Paragraph"/>
        <w:spacing w:before="240"/>
        <w:rPr>
          <w:szCs w:val="20"/>
        </w:rPr>
      </w:pPr>
      <w:r>
        <w:rPr>
          <w:szCs w:val="20"/>
        </w:rPr>
        <w:t>The top-down approach</w:t>
      </w:r>
      <w:r w:rsidR="00AF21D0">
        <w:rPr>
          <w:szCs w:val="20"/>
        </w:rPr>
        <w:t xml:space="preserve"> may</w:t>
      </w:r>
      <w:r>
        <w:rPr>
          <w:szCs w:val="20"/>
        </w:rPr>
        <w:t xml:space="preserve"> also work well if there is high demand during the initial release of spectrum, as </w:t>
      </w:r>
      <w:r w:rsidR="007F341A">
        <w:rPr>
          <w:szCs w:val="20"/>
        </w:rPr>
        <w:t xml:space="preserve">access </w:t>
      </w:r>
      <w:r>
        <w:rPr>
          <w:szCs w:val="20"/>
        </w:rPr>
        <w:t xml:space="preserve">can be </w:t>
      </w:r>
      <w:r w:rsidR="00EE32D9">
        <w:rPr>
          <w:szCs w:val="20"/>
        </w:rPr>
        <w:t xml:space="preserve">mostly </w:t>
      </w:r>
      <w:r>
        <w:rPr>
          <w:szCs w:val="20"/>
        </w:rPr>
        <w:t>managed through either an auction or allocation window process. Consequently, there is less chance that spectrum would remain unused for some time after the initial release. However, conversely</w:t>
      </w:r>
      <w:r w:rsidR="00EE32D9">
        <w:rPr>
          <w:szCs w:val="20"/>
        </w:rPr>
        <w:t>,</w:t>
      </w:r>
      <w:r>
        <w:rPr>
          <w:szCs w:val="20"/>
        </w:rPr>
        <w:t xml:space="preserve"> </w:t>
      </w:r>
      <w:r w:rsidR="00487F6D">
        <w:rPr>
          <w:szCs w:val="20"/>
        </w:rPr>
        <w:t xml:space="preserve">this approach </w:t>
      </w:r>
      <w:r>
        <w:rPr>
          <w:szCs w:val="20"/>
        </w:rPr>
        <w:t xml:space="preserve">does not recognise that demand for different LA WBB </w:t>
      </w:r>
      <w:r w:rsidR="00660093">
        <w:rPr>
          <w:szCs w:val="20"/>
        </w:rPr>
        <w:t>use-case</w:t>
      </w:r>
      <w:r>
        <w:rPr>
          <w:szCs w:val="20"/>
        </w:rPr>
        <w:t>s will not always be immediate and</w:t>
      </w:r>
      <w:r w:rsidR="00EE32D9">
        <w:rPr>
          <w:szCs w:val="20"/>
        </w:rPr>
        <w:t>,</w:t>
      </w:r>
      <w:r>
        <w:rPr>
          <w:szCs w:val="20"/>
        </w:rPr>
        <w:t xml:space="preserve"> potentially</w:t>
      </w:r>
      <w:r w:rsidR="00EE32D9">
        <w:rPr>
          <w:szCs w:val="20"/>
        </w:rPr>
        <w:t>,</w:t>
      </w:r>
      <w:r>
        <w:rPr>
          <w:szCs w:val="20"/>
        </w:rPr>
        <w:t xml:space="preserve"> will evolve over</w:t>
      </w:r>
      <w:r w:rsidR="00EE32D9">
        <w:rPr>
          <w:szCs w:val="20"/>
        </w:rPr>
        <w:t xml:space="preserve"> </w:t>
      </w:r>
      <w:r>
        <w:rPr>
          <w:szCs w:val="20"/>
        </w:rPr>
        <w:t>time (noting there is not currently alternative mid</w:t>
      </w:r>
      <w:r w:rsidR="00896600">
        <w:rPr>
          <w:szCs w:val="20"/>
        </w:rPr>
        <w:t>-</w:t>
      </w:r>
      <w:r>
        <w:rPr>
          <w:szCs w:val="20"/>
        </w:rPr>
        <w:t xml:space="preserve">band spectrum for this </w:t>
      </w:r>
      <w:r w:rsidR="00660093">
        <w:rPr>
          <w:szCs w:val="20"/>
        </w:rPr>
        <w:t>use-case</w:t>
      </w:r>
      <w:r>
        <w:rPr>
          <w:szCs w:val="20"/>
        </w:rPr>
        <w:t xml:space="preserve">).  </w:t>
      </w:r>
    </w:p>
    <w:p w14:paraId="0B6FCD86" w14:textId="3F480C8D" w:rsidR="00D758C3" w:rsidRDefault="00D758C3" w:rsidP="00D758C3">
      <w:pPr>
        <w:pStyle w:val="Paragraphbeforelist"/>
        <w:spacing w:after="240"/>
        <w:rPr>
          <w:szCs w:val="20"/>
        </w:rPr>
      </w:pPr>
      <w:r>
        <w:rPr>
          <w:szCs w:val="20"/>
        </w:rPr>
        <w:t>The segmentation approach has been adopted in some other jurisdictions (</w:t>
      </w:r>
      <w:r w:rsidR="00EE32D9">
        <w:rPr>
          <w:szCs w:val="20"/>
        </w:rPr>
        <w:t>for example,</w:t>
      </w:r>
      <w:r>
        <w:rPr>
          <w:szCs w:val="20"/>
        </w:rPr>
        <w:t xml:space="preserve"> in some European countries). However, s</w:t>
      </w:r>
      <w:r w:rsidRPr="00A76995">
        <w:rPr>
          <w:szCs w:val="20"/>
        </w:rPr>
        <w:t>egmenting the band is likely to lead to more orderly and efficient use of the spectrum</w:t>
      </w:r>
      <w:r>
        <w:rPr>
          <w:szCs w:val="20"/>
        </w:rPr>
        <w:t xml:space="preserve"> and could allow different licence approaches </w:t>
      </w:r>
      <w:r w:rsidR="00EE32D9">
        <w:rPr>
          <w:szCs w:val="20"/>
        </w:rPr>
        <w:t xml:space="preserve">to be </w:t>
      </w:r>
      <w:r>
        <w:rPr>
          <w:szCs w:val="20"/>
        </w:rPr>
        <w:t>used in each segment (</w:t>
      </w:r>
      <w:r w:rsidR="00EE32D9">
        <w:rPr>
          <w:szCs w:val="20"/>
        </w:rPr>
        <w:t>for example,</w:t>
      </w:r>
      <w:r>
        <w:rPr>
          <w:szCs w:val="20"/>
        </w:rPr>
        <w:t xml:space="preserve"> AWL in the bottom segment and </w:t>
      </w:r>
      <w:r w:rsidR="00662A69">
        <w:rPr>
          <w:szCs w:val="20"/>
        </w:rPr>
        <w:t>site</w:t>
      </w:r>
      <w:r w:rsidR="00EE32D9">
        <w:rPr>
          <w:szCs w:val="20"/>
        </w:rPr>
        <w:t>-</w:t>
      </w:r>
      <w:r w:rsidR="00662A69">
        <w:rPr>
          <w:szCs w:val="20"/>
        </w:rPr>
        <w:t xml:space="preserve">based </w:t>
      </w:r>
      <w:r w:rsidR="000E4242">
        <w:rPr>
          <w:szCs w:val="20"/>
        </w:rPr>
        <w:t>point-to-multipoint</w:t>
      </w:r>
      <w:r>
        <w:rPr>
          <w:szCs w:val="20"/>
        </w:rPr>
        <w:t xml:space="preserve"> in the upper segment)</w:t>
      </w:r>
      <w:r w:rsidRPr="00A76995">
        <w:rPr>
          <w:szCs w:val="20"/>
        </w:rPr>
        <w:t xml:space="preserve">. </w:t>
      </w:r>
    </w:p>
    <w:p w14:paraId="5B2C3624" w14:textId="0DA6076A" w:rsidR="00D758C3" w:rsidRPr="00A76995" w:rsidRDefault="00D758C3" w:rsidP="00D758C3">
      <w:pPr>
        <w:pStyle w:val="Paragraphbeforelist"/>
        <w:spacing w:after="240"/>
        <w:rPr>
          <w:szCs w:val="20"/>
        </w:rPr>
      </w:pPr>
      <w:r>
        <w:rPr>
          <w:szCs w:val="20"/>
        </w:rPr>
        <w:t>It is expected that t</w:t>
      </w:r>
      <w:r w:rsidRPr="00A76995">
        <w:rPr>
          <w:szCs w:val="20"/>
        </w:rPr>
        <w:t xml:space="preserve">imeframes for different businesses </w:t>
      </w:r>
      <w:r>
        <w:rPr>
          <w:szCs w:val="20"/>
        </w:rPr>
        <w:t xml:space="preserve">planning to </w:t>
      </w:r>
      <w:r w:rsidRPr="00A76995">
        <w:rPr>
          <w:szCs w:val="20"/>
        </w:rPr>
        <w:t xml:space="preserve">gain access to spectrum </w:t>
      </w:r>
      <w:r w:rsidR="00EE32D9">
        <w:rPr>
          <w:szCs w:val="20"/>
        </w:rPr>
        <w:t>will</w:t>
      </w:r>
      <w:r w:rsidRPr="00A76995">
        <w:rPr>
          <w:szCs w:val="20"/>
        </w:rPr>
        <w:t xml:space="preserve"> vary, especially for highly localised public, private and enterprise networks. While segmenting the band won’t guarantee access to spectrum, </w:t>
      </w:r>
      <w:r>
        <w:rPr>
          <w:szCs w:val="20"/>
        </w:rPr>
        <w:t>it</w:t>
      </w:r>
      <w:r w:rsidRPr="00A76995">
        <w:rPr>
          <w:szCs w:val="20"/>
        </w:rPr>
        <w:t xml:space="preserve"> will help preserve options for different LA WBB </w:t>
      </w:r>
      <w:r w:rsidR="00660093">
        <w:rPr>
          <w:szCs w:val="20"/>
        </w:rPr>
        <w:t>use-case</w:t>
      </w:r>
      <w:r w:rsidRPr="00A76995">
        <w:rPr>
          <w:szCs w:val="20"/>
        </w:rPr>
        <w:t>s in the short</w:t>
      </w:r>
      <w:r w:rsidR="00EE32D9">
        <w:rPr>
          <w:szCs w:val="20"/>
        </w:rPr>
        <w:t>-</w:t>
      </w:r>
      <w:r w:rsidRPr="00A76995">
        <w:rPr>
          <w:szCs w:val="20"/>
        </w:rPr>
        <w:t>to</w:t>
      </w:r>
      <w:r w:rsidR="00EE32D9">
        <w:rPr>
          <w:szCs w:val="20"/>
        </w:rPr>
        <w:t>-</w:t>
      </w:r>
      <w:r w:rsidRPr="00A76995">
        <w:rPr>
          <w:szCs w:val="20"/>
        </w:rPr>
        <w:t>medium term</w:t>
      </w:r>
      <w:r>
        <w:rPr>
          <w:szCs w:val="20"/>
        </w:rPr>
        <w:t xml:space="preserve"> as demand emerges and business cases</w:t>
      </w:r>
      <w:r w:rsidR="00EE32D9">
        <w:rPr>
          <w:szCs w:val="20"/>
        </w:rPr>
        <w:t xml:space="preserve"> are built</w:t>
      </w:r>
      <w:r w:rsidRPr="00A76995">
        <w:rPr>
          <w:szCs w:val="20"/>
        </w:rPr>
        <w:t xml:space="preserve">. </w:t>
      </w:r>
      <w:r w:rsidR="002174D6">
        <w:rPr>
          <w:szCs w:val="20"/>
        </w:rPr>
        <w:t>There is a</w:t>
      </w:r>
      <w:r w:rsidR="00F20B94">
        <w:rPr>
          <w:szCs w:val="20"/>
        </w:rPr>
        <w:t>n associated</w:t>
      </w:r>
      <w:r>
        <w:rPr>
          <w:szCs w:val="20"/>
        </w:rPr>
        <w:t xml:space="preserve"> risk that </w:t>
      </w:r>
      <w:r w:rsidR="00F20B94">
        <w:rPr>
          <w:szCs w:val="20"/>
        </w:rPr>
        <w:t xml:space="preserve">the </w:t>
      </w:r>
      <w:r>
        <w:rPr>
          <w:szCs w:val="20"/>
        </w:rPr>
        <w:t xml:space="preserve">spectrum may remain unused for some time beyond the initial </w:t>
      </w:r>
      <w:r w:rsidR="004A2C6C">
        <w:rPr>
          <w:szCs w:val="20"/>
        </w:rPr>
        <w:t xml:space="preserve">release; however, this could be mitigated by reviewing </w:t>
      </w:r>
      <w:r w:rsidR="004A2C6C" w:rsidRPr="00A76995">
        <w:rPr>
          <w:szCs w:val="20"/>
        </w:rPr>
        <w:t>the boundaries and need for these segments</w:t>
      </w:r>
      <w:r w:rsidR="004A2C6C">
        <w:rPr>
          <w:szCs w:val="20"/>
        </w:rPr>
        <w:t xml:space="preserve"> </w:t>
      </w:r>
      <w:r>
        <w:rPr>
          <w:szCs w:val="20"/>
        </w:rPr>
        <w:t>a</w:t>
      </w:r>
      <w:r w:rsidRPr="00A76995">
        <w:rPr>
          <w:szCs w:val="20"/>
        </w:rPr>
        <w:t xml:space="preserve">s demand for the different LA WBB </w:t>
      </w:r>
      <w:r w:rsidR="00660093">
        <w:rPr>
          <w:szCs w:val="20"/>
        </w:rPr>
        <w:t>use-case</w:t>
      </w:r>
      <w:r w:rsidRPr="00A76995">
        <w:rPr>
          <w:szCs w:val="20"/>
        </w:rPr>
        <w:t>s becomes clearer.</w:t>
      </w:r>
    </w:p>
    <w:p w14:paraId="4A25E037" w14:textId="77777777" w:rsidR="00D758C3" w:rsidRDefault="00D758C3" w:rsidP="00D758C3">
      <w:pPr>
        <w:pStyle w:val="Paragraphbeforelist"/>
        <w:rPr>
          <w:szCs w:val="20"/>
        </w:rPr>
      </w:pPr>
      <w:r>
        <w:rPr>
          <w:szCs w:val="20"/>
        </w:rPr>
        <w:t>The main issues with the segmentation approach are:</w:t>
      </w:r>
    </w:p>
    <w:p w14:paraId="2A176F5B" w14:textId="36D66AB6" w:rsidR="00BC45CB" w:rsidRDefault="00574EB9" w:rsidP="00710E19">
      <w:pPr>
        <w:pStyle w:val="ListBullet"/>
      </w:pPr>
      <w:r>
        <w:t>D</w:t>
      </w:r>
      <w:r w:rsidR="00D758C3">
        <w:t>etermin</w:t>
      </w:r>
      <w:r w:rsidR="004A2C6C">
        <w:t>ing</w:t>
      </w:r>
      <w:r w:rsidR="00D758C3">
        <w:t xml:space="preserve"> an appropriate amount of spectrum </w:t>
      </w:r>
      <w:r w:rsidR="0095495B">
        <w:t>for each</w:t>
      </w:r>
      <w:r w:rsidR="00D758C3">
        <w:t xml:space="preserve"> segment</w:t>
      </w:r>
      <w:r w:rsidR="004A2C6C">
        <w:t xml:space="preserve"> </w:t>
      </w:r>
      <w:r w:rsidR="00D758C3">
        <w:t>may be difficult as actual demand for highly localised WBB use is untested</w:t>
      </w:r>
      <w:r w:rsidR="00945726">
        <w:t>.</w:t>
      </w:r>
      <w:r w:rsidR="00D758C3">
        <w:t xml:space="preserve"> </w:t>
      </w:r>
      <w:r w:rsidR="00945726">
        <w:t>D</w:t>
      </w:r>
      <w:r w:rsidR="00D758C3">
        <w:t>omestically and internationally</w:t>
      </w:r>
      <w:r w:rsidR="004A2C6C">
        <w:t>,</w:t>
      </w:r>
      <w:r w:rsidR="00D758C3">
        <w:t xml:space="preserve"> there is increasing discussion on the issue to support industry verticals and industry 4.0 applications. It may also be that demand will vary from area to area. </w:t>
      </w:r>
    </w:p>
    <w:p w14:paraId="4F0714A4" w14:textId="0ADCCB48" w:rsidR="007201F3" w:rsidRDefault="00D758C3" w:rsidP="00710E19">
      <w:pPr>
        <w:pStyle w:val="ListBulletLast"/>
        <w:rPr>
          <w:szCs w:val="20"/>
        </w:rPr>
      </w:pPr>
      <w:r>
        <w:t xml:space="preserve">Incumbent point-to-point and FSS earth station use </w:t>
      </w:r>
      <w:r w:rsidR="004A2C6C">
        <w:t xml:space="preserve">is </w:t>
      </w:r>
      <w:r>
        <w:t>likely to limit or prevent access to some or all of the segmented spectrum in some areas (</w:t>
      </w:r>
      <w:r w:rsidR="004A2C6C">
        <w:t>for example, in</w:t>
      </w:r>
      <w:r>
        <w:t xml:space="preserve"> Adelaide, Sydney</w:t>
      </w:r>
      <w:r w:rsidR="004A2C6C">
        <w:t xml:space="preserve"> and </w:t>
      </w:r>
      <w:r>
        <w:t>Perth)</w:t>
      </w:r>
      <w:r w:rsidR="004A2C6C">
        <w:t>; however,</w:t>
      </w:r>
      <w:r>
        <w:t xml:space="preserve"> the low power nature of restricted cells</w:t>
      </w:r>
      <w:r w:rsidR="00125CF0">
        <w:t xml:space="preserve"> is expected to</w:t>
      </w:r>
      <w:r>
        <w:t xml:space="preserve"> improve the ability of services to share spectrum.</w:t>
      </w:r>
    </w:p>
    <w:p w14:paraId="1E836F93" w14:textId="287C573A" w:rsidR="00B616A5" w:rsidRDefault="00FE319C" w:rsidP="00710E19">
      <w:pPr>
        <w:pStyle w:val="Paragraph"/>
      </w:pPr>
      <w:r>
        <w:t>W</w:t>
      </w:r>
      <w:r w:rsidR="00B616A5">
        <w:t xml:space="preserve">e consider that implementing Option A, together with the segmentation approach, is preferred. This is </w:t>
      </w:r>
      <w:r w:rsidR="004A2C6C">
        <w:t xml:space="preserve">because </w:t>
      </w:r>
      <w:r w:rsidR="00B616A5">
        <w:t xml:space="preserve">there is benefit in preserving options for highly localised WBB use, and it is likely to result in more orderly and efficient access to spectrum. </w:t>
      </w:r>
      <w:r w:rsidR="0036353F">
        <w:t>As guided by the MPS</w:t>
      </w:r>
      <w:r w:rsidR="00720A73">
        <w:t>,</w:t>
      </w:r>
      <w:r w:rsidR="006E1C92">
        <w:t xml:space="preserve"> we consider</w:t>
      </w:r>
      <w:r w:rsidR="00720A73">
        <w:t xml:space="preserve"> this will facilitate a wider range of users and </w:t>
      </w:r>
      <w:r w:rsidR="00660093">
        <w:t>use-case</w:t>
      </w:r>
      <w:r w:rsidR="00720A73">
        <w:t>s.</w:t>
      </w:r>
    </w:p>
    <w:p w14:paraId="404A7A38" w14:textId="65E556BB" w:rsidR="00166F9A" w:rsidRDefault="00412F72" w:rsidP="008F250A">
      <w:pPr>
        <w:pStyle w:val="Paragraph"/>
        <w:spacing w:before="240"/>
      </w:pPr>
      <w:r>
        <w:t>Our</w:t>
      </w:r>
      <w:r w:rsidRPr="00A76995">
        <w:t xml:space="preserve"> </w:t>
      </w:r>
      <w:r w:rsidR="00B616A5" w:rsidRPr="00A76995">
        <w:t>initial proposal for segmenting the band is to reserve the 3950</w:t>
      </w:r>
      <w:bookmarkStart w:id="34" w:name="_Hlk96939811"/>
      <w:r w:rsidR="004A2C6C">
        <w:t>–</w:t>
      </w:r>
      <w:bookmarkEnd w:id="34"/>
      <w:r w:rsidR="00B616A5" w:rsidRPr="00A76995">
        <w:t>4000 MHz band for restricted</w:t>
      </w:r>
      <w:r w:rsidR="004A2C6C">
        <w:t xml:space="preserve"> </w:t>
      </w:r>
      <w:r w:rsidR="00B616A5" w:rsidRPr="00A76995">
        <w:t>cell LA WBB use</w:t>
      </w:r>
      <w:r w:rsidR="00B616A5">
        <w:t xml:space="preserve"> or alternatively set it to the size of any spectrum limits implemented for apparatus</w:t>
      </w:r>
      <w:r w:rsidR="004A2C6C">
        <w:t>-</w:t>
      </w:r>
      <w:r w:rsidR="00B616A5">
        <w:t>licensed WBB use in the area (the size of the segment would be reviewed at a defined time and adjusted as needed)</w:t>
      </w:r>
      <w:r w:rsidR="00B616A5" w:rsidRPr="00A76995">
        <w:t>. The remainder of the</w:t>
      </w:r>
      <w:r>
        <w:t xml:space="preserve"> 3800</w:t>
      </w:r>
      <w:r w:rsidR="00062E8A">
        <w:t>–</w:t>
      </w:r>
      <w:r>
        <w:t>4000 MHz</w:t>
      </w:r>
      <w:r w:rsidR="00B616A5" w:rsidRPr="00A76995">
        <w:t xml:space="preserve"> band would be</w:t>
      </w:r>
      <w:r w:rsidR="006865E6">
        <w:t xml:space="preserve"> made</w:t>
      </w:r>
      <w:r w:rsidR="00B616A5" w:rsidRPr="00A76995">
        <w:t xml:space="preserve"> available for </w:t>
      </w:r>
      <w:r w:rsidR="00B616A5">
        <w:t>m</w:t>
      </w:r>
      <w:r w:rsidR="00B616A5" w:rsidRPr="00A76995">
        <w:t>acro</w:t>
      </w:r>
      <w:r w:rsidR="004A2C6C">
        <w:t xml:space="preserve"> </w:t>
      </w:r>
      <w:r w:rsidR="00B616A5" w:rsidRPr="00A76995">
        <w:t>cell LA WBB use. The use of site-based apparatus licen</w:t>
      </w:r>
      <w:r w:rsidR="00B616A5">
        <w:t>s</w:t>
      </w:r>
      <w:r w:rsidR="00B616A5" w:rsidRPr="00A76995">
        <w:t>ing</w:t>
      </w:r>
      <w:r w:rsidR="00B616A5">
        <w:t xml:space="preserve"> (rather than class licensing)</w:t>
      </w:r>
      <w:r w:rsidR="00B616A5" w:rsidRPr="00A76995">
        <w:t xml:space="preserve"> in the upper segment will enable LA WBB operators to identify other licensees and manage interference. </w:t>
      </w:r>
      <w:r w:rsidR="00B616A5">
        <w:t>Unlike a class licence approach, i</w:t>
      </w:r>
      <w:r w:rsidR="00B616A5" w:rsidRPr="00A76995">
        <w:t xml:space="preserve">t also ensures licensees are paying suitable fees for access to this highly sought-after spectrum. </w:t>
      </w:r>
      <w:r w:rsidR="00AD0480">
        <w:t xml:space="preserve"> </w:t>
      </w:r>
    </w:p>
    <w:p w14:paraId="255A235E" w14:textId="37A26623" w:rsidR="00FD0882" w:rsidRPr="0066349B" w:rsidRDefault="00FD0882" w:rsidP="002A1ECA">
      <w:pPr>
        <w:pStyle w:val="Heading4"/>
        <w:keepNext/>
        <w:keepLines/>
      </w:pPr>
      <w:r>
        <w:t>Option B</w:t>
      </w:r>
      <w:r w:rsidR="00171431">
        <w:t xml:space="preserve"> overview</w:t>
      </w:r>
    </w:p>
    <w:p w14:paraId="006B64F4" w14:textId="77777777" w:rsidR="003A699B" w:rsidRDefault="009A40F5" w:rsidP="002A1ECA">
      <w:pPr>
        <w:pStyle w:val="Paragraph"/>
        <w:keepNext/>
        <w:keepLines/>
        <w:spacing w:before="80"/>
      </w:pPr>
      <w:r>
        <w:t>The main benefit of Option B is that in some metropolitan areas</w:t>
      </w:r>
      <w:r w:rsidR="00171431">
        <w:t>,</w:t>
      </w:r>
      <w:r>
        <w:t xml:space="preserve"> there would be more </w:t>
      </w:r>
      <w:r w:rsidR="007B337C">
        <w:t>non-spectrum</w:t>
      </w:r>
      <w:r w:rsidR="00171431">
        <w:t>-</w:t>
      </w:r>
      <w:r w:rsidR="007B337C">
        <w:t xml:space="preserve">licensed </w:t>
      </w:r>
      <w:r>
        <w:t>spectrum available for LA WBB use. Specifically</w:t>
      </w:r>
      <w:r w:rsidR="00171431">
        <w:t>,</w:t>
      </w:r>
      <w:r>
        <w:t xml:space="preserve"> in urban excise areas, the 3400</w:t>
      </w:r>
      <w:r w:rsidR="00171431">
        <w:t>–</w:t>
      </w:r>
      <w:r>
        <w:t>3475 MHz band would be available under a multi-operator restricted cell model, and the entire 3800</w:t>
      </w:r>
      <w:r w:rsidR="00171431">
        <w:t>–</w:t>
      </w:r>
      <w:r>
        <w:t xml:space="preserve">4000 MHz band would be available for macro cell LA WBB use. However, catering for the different LA WBB </w:t>
      </w:r>
      <w:r w:rsidR="00660093">
        <w:t>use-case</w:t>
      </w:r>
      <w:r>
        <w:t xml:space="preserve">s in other areas of high demand (including parts of metropolitan areas) would </w:t>
      </w:r>
      <w:r w:rsidR="00171431">
        <w:t xml:space="preserve">still </w:t>
      </w:r>
      <w:r>
        <w:t xml:space="preserve">need to be considered. In this case, the approaches detailed under Option A could be </w:t>
      </w:r>
      <w:r w:rsidR="00E403B3">
        <w:t>applied</w:t>
      </w:r>
      <w:r>
        <w:t>.</w:t>
      </w:r>
    </w:p>
    <w:p w14:paraId="23904C73" w14:textId="0188CA23" w:rsidR="009A40F5" w:rsidRDefault="003A699B" w:rsidP="002A1ECA">
      <w:pPr>
        <w:pStyle w:val="Paragraph"/>
        <w:keepNext/>
        <w:keepLines/>
        <w:spacing w:before="80"/>
      </w:pPr>
      <w:r>
        <w:t>Under Option B, LA</w:t>
      </w:r>
      <w:r w:rsidR="00062E8A">
        <w:t xml:space="preserve"> </w:t>
      </w:r>
      <w:r>
        <w:t>WBB operators would also have a greater choice of equipment to use</w:t>
      </w:r>
      <w:r w:rsidR="000E0117">
        <w:t xml:space="preserve"> within the urban excise areas</w:t>
      </w:r>
      <w:r>
        <w:t xml:space="preserve">. </w:t>
      </w:r>
      <w:r w:rsidR="000E0117">
        <w:t>This includes LTE, 5G and proprietary equipment options. The same equipment options, 5G and proprietary, still apply in the 3800</w:t>
      </w:r>
      <w:r w:rsidR="00062E8A">
        <w:t>–</w:t>
      </w:r>
      <w:r w:rsidR="000E0117">
        <w:t>4000 MHz band.</w:t>
      </w:r>
    </w:p>
    <w:p w14:paraId="71D199A3" w14:textId="420C28FE" w:rsidR="009A40F5" w:rsidRDefault="00361FD7" w:rsidP="009A40F5">
      <w:pPr>
        <w:pStyle w:val="Paragraph"/>
        <w:spacing w:before="80"/>
      </w:pPr>
      <w:r>
        <w:t>Option B result</w:t>
      </w:r>
      <w:r w:rsidR="00564500">
        <w:t>s</w:t>
      </w:r>
      <w:r>
        <w:t xml:space="preserve"> in more complicated and fragmented access arrangements across the 3400</w:t>
      </w:r>
      <w:r w:rsidR="00171431">
        <w:t>–</w:t>
      </w:r>
      <w:r>
        <w:t xml:space="preserve">4000 MHz band. </w:t>
      </w:r>
      <w:r w:rsidR="00171431">
        <w:t>T</w:t>
      </w:r>
      <w:r w:rsidR="009A40F5">
        <w:t xml:space="preserve">he small size of urban excise areas </w:t>
      </w:r>
      <w:r w:rsidR="00171431">
        <w:t xml:space="preserve">will also </w:t>
      </w:r>
      <w:r w:rsidR="009A40F5">
        <w:t>limit the benefits realised by multi-operator LA WBB use. As detailed previously, we consider a single operator model (</w:t>
      </w:r>
      <w:r w:rsidR="00171431">
        <w:t xml:space="preserve">that </w:t>
      </w:r>
      <w:r w:rsidR="009A40F5">
        <w:t xml:space="preserve">could </w:t>
      </w:r>
      <w:r>
        <w:t xml:space="preserve">support </w:t>
      </w:r>
      <w:r w:rsidR="009A40F5">
        <w:t xml:space="preserve">a WA WBB or LA WBB operator) is more likely to result in a higher density of deployments in these areas. This is because they will be able to plan for and self-manage interference within their own network. </w:t>
      </w:r>
      <w:r w:rsidR="00171431">
        <w:t xml:space="preserve">In addition, </w:t>
      </w:r>
      <w:r w:rsidR="009A40F5">
        <w:t xml:space="preserve">implementing anything other </w:t>
      </w:r>
      <w:r w:rsidR="19DFB92D">
        <w:t>than</w:t>
      </w:r>
      <w:r w:rsidR="009A40F5">
        <w:t xml:space="preserve"> spectrum licen</w:t>
      </w:r>
      <w:r w:rsidR="00E6705D">
        <w:t>s</w:t>
      </w:r>
      <w:r w:rsidR="009A40F5">
        <w:t xml:space="preserve">ing could impede any future restack and licence consolidation process.  </w:t>
      </w:r>
    </w:p>
    <w:p w14:paraId="1851AB26" w14:textId="635351C8" w:rsidR="00BC233F" w:rsidRDefault="00171431" w:rsidP="00F77A0C">
      <w:r>
        <w:t xml:space="preserve">Our </w:t>
      </w:r>
      <w:r w:rsidR="009A40F5">
        <w:t>preliminary preferred planning decision for urban excise areas is to implement Option A</w:t>
      </w:r>
      <w:r w:rsidR="000F3388">
        <w:t xml:space="preserve"> and segment access to the 3800</w:t>
      </w:r>
      <w:r>
        <w:t>–</w:t>
      </w:r>
      <w:r w:rsidR="000F3388">
        <w:t xml:space="preserve">4000 MHz band to support the different LA WBB </w:t>
      </w:r>
      <w:r w:rsidR="00660093">
        <w:t>use-case</w:t>
      </w:r>
      <w:r w:rsidR="000F3388">
        <w:t>s</w:t>
      </w:r>
      <w:r w:rsidR="009A40F5">
        <w:t xml:space="preserve">. </w:t>
      </w:r>
      <w:r w:rsidRPr="002914E7">
        <w:t xml:space="preserve">This </w:t>
      </w:r>
      <w:r w:rsidR="009A40F5" w:rsidRPr="002914E7">
        <w:t>outcome considers</w:t>
      </w:r>
      <w:r w:rsidR="009A40F5">
        <w:t xml:space="preserve"> the </w:t>
      </w:r>
      <w:r w:rsidR="008336C0">
        <w:t xml:space="preserve">access </w:t>
      </w:r>
      <w:r w:rsidR="00F12995">
        <w:t>arrangements</w:t>
      </w:r>
      <w:r w:rsidR="009A40F5">
        <w:t xml:space="preserve"> </w:t>
      </w:r>
      <w:r w:rsidR="008336C0">
        <w:t xml:space="preserve">across </w:t>
      </w:r>
      <w:r w:rsidR="009A40F5">
        <w:t>the broader 3400</w:t>
      </w:r>
      <w:r>
        <w:t>–</w:t>
      </w:r>
      <w:r w:rsidR="009A40F5">
        <w:t xml:space="preserve">4000 MHz band </w:t>
      </w:r>
      <w:r w:rsidR="00F12995">
        <w:t>to best cater</w:t>
      </w:r>
      <w:r w:rsidR="009A40F5">
        <w:t xml:space="preserve"> for the different WBB </w:t>
      </w:r>
      <w:r w:rsidR="00660093">
        <w:t>use-case</w:t>
      </w:r>
      <w:r w:rsidR="009A40F5">
        <w:t>s.</w:t>
      </w:r>
      <w:r w:rsidR="004102FF">
        <w:t xml:space="preserve"> </w:t>
      </w:r>
      <w:r w:rsidR="00A14F7E">
        <w:t xml:space="preserve">The increased availability of spectrum for a range of </w:t>
      </w:r>
      <w:r w:rsidR="00660093">
        <w:t>use-case</w:t>
      </w:r>
      <w:r w:rsidR="00A14F7E">
        <w:t xml:space="preserve">s </w:t>
      </w:r>
      <w:r w:rsidR="00A5335A">
        <w:t>will support the deployment of new and innovative technologies</w:t>
      </w:r>
      <w:r w:rsidR="00935CEB">
        <w:t>, in line with the MPS.</w:t>
      </w:r>
    </w:p>
    <w:p w14:paraId="172E374B" w14:textId="2FDC0817" w:rsidR="00BB333C" w:rsidRPr="00CF0085" w:rsidRDefault="00BC233F" w:rsidP="00F77A0C">
      <w:r>
        <w:rPr>
          <w:szCs w:val="20"/>
        </w:rPr>
        <w:t>Whichever option is adopted for urban excise areas,</w:t>
      </w:r>
      <w:r w:rsidR="00A52315">
        <w:rPr>
          <w:szCs w:val="20"/>
        </w:rPr>
        <w:t xml:space="preserve"> we intend to </w:t>
      </w:r>
      <w:r w:rsidR="00EB4E40">
        <w:rPr>
          <w:szCs w:val="20"/>
        </w:rPr>
        <w:t xml:space="preserve">further develop and refine </w:t>
      </w:r>
      <w:r w:rsidR="0070028D">
        <w:rPr>
          <w:szCs w:val="20"/>
        </w:rPr>
        <w:t xml:space="preserve">the associated technical arrangements </w:t>
      </w:r>
      <w:r w:rsidR="00EB4E40">
        <w:rPr>
          <w:szCs w:val="20"/>
        </w:rPr>
        <w:t xml:space="preserve">through </w:t>
      </w:r>
      <w:hyperlink r:id="rId51" w:history="1">
        <w:r w:rsidR="00CD18BD">
          <w:rPr>
            <w:rStyle w:val="Hyperlink"/>
            <w:szCs w:val="20"/>
          </w:rPr>
          <w:t>the 3.4–4 GHz Technical Liaison Group process</w:t>
        </w:r>
      </w:hyperlink>
      <w:r w:rsidR="0054750F">
        <w:rPr>
          <w:szCs w:val="20"/>
        </w:rPr>
        <w:t xml:space="preserve">. </w:t>
      </w:r>
    </w:p>
    <w:p w14:paraId="313974E1" w14:textId="76C9BCB5" w:rsidR="00D019A5" w:rsidRPr="00CF0085" w:rsidRDefault="00CA745A" w:rsidP="00650B5F">
      <w:pPr>
        <w:pStyle w:val="Heading3"/>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The </w:t>
      </w:r>
      <w:r w:rsidR="00A91DFB">
        <w:t>ACMA</w:t>
      </w:r>
      <w:r>
        <w:t>’s</w:t>
      </w:r>
      <w:r w:rsidR="00A91DFB">
        <w:t xml:space="preserve"> p</w:t>
      </w:r>
      <w:r w:rsidR="00D019A5">
        <w:t xml:space="preserve">referred planning </w:t>
      </w:r>
      <w:r w:rsidR="00D41264">
        <w:t>approach</w:t>
      </w:r>
      <w:r w:rsidR="00A157F6">
        <w:t xml:space="preserve">: </w:t>
      </w:r>
      <w:r w:rsidR="00D019A5" w:rsidRPr="00CF0085">
        <w:t>urban excise spectrum</w:t>
      </w:r>
    </w:p>
    <w:p w14:paraId="6F3198D9" w14:textId="22EBDD6B" w:rsidR="00601016" w:rsidRDefault="005821FB" w:rsidP="00650B5F">
      <w:pPr>
        <w:pStyle w:val="Paragraphbeforelist"/>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Do you </w:t>
      </w:r>
      <w:r w:rsidR="00DC024B">
        <w:t xml:space="preserve">have comments on </w:t>
      </w:r>
      <w:r>
        <w:t>o</w:t>
      </w:r>
      <w:r w:rsidR="00E24A6F">
        <w:t>ur</w:t>
      </w:r>
      <w:r w:rsidR="00A91DFB">
        <w:t xml:space="preserve"> preferred approach to</w:t>
      </w:r>
      <w:r w:rsidR="00601016">
        <w:t>:</w:t>
      </w:r>
      <w:r w:rsidR="00A91DFB">
        <w:t xml:space="preserve"> </w:t>
      </w:r>
    </w:p>
    <w:p w14:paraId="3413E601" w14:textId="700B59C7" w:rsidR="001E3211" w:rsidRDefault="00D74062" w:rsidP="00650B5F">
      <w:pPr>
        <w:pStyle w:val="Bulletlevel1"/>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issue </w:t>
      </w:r>
      <w:r w:rsidR="00A91DFB">
        <w:t>spectrum licence</w:t>
      </w:r>
      <w:r>
        <w:t>s in</w:t>
      </w:r>
      <w:r w:rsidR="00A91DFB">
        <w:t xml:space="preserve"> the 3400</w:t>
      </w:r>
      <w:r w:rsidR="00CA745A">
        <w:t>–</w:t>
      </w:r>
      <w:r w:rsidR="00A91DFB">
        <w:t>3475 MHz frequency range in urban excise areas</w:t>
      </w:r>
      <w:r w:rsidR="00444413">
        <w:t xml:space="preserve"> </w:t>
      </w:r>
      <w:r w:rsidR="005821FB">
        <w:t>in accordance with</w:t>
      </w:r>
      <w:r w:rsidR="00444413">
        <w:t xml:space="preserve"> Option A</w:t>
      </w:r>
      <w:r w:rsidR="005821FB">
        <w:t>?</w:t>
      </w:r>
    </w:p>
    <w:p w14:paraId="0445998F" w14:textId="5AF85564" w:rsidR="00D019A5" w:rsidRDefault="001E3211" w:rsidP="00650B5F">
      <w:pPr>
        <w:pStyle w:val="Bulletlevel1last"/>
        <w:pBdr>
          <w:top w:val="single" w:sz="4" w:space="1" w:color="auto"/>
          <w:left w:val="single" w:sz="4" w:space="4" w:color="auto"/>
          <w:bottom w:val="single" w:sz="4" w:space="1" w:color="auto"/>
          <w:right w:val="single" w:sz="4" w:space="4" w:color="auto"/>
        </w:pBdr>
        <w:shd w:val="clear" w:color="auto" w:fill="F2F2F2" w:themeFill="background1" w:themeFillShade="F2"/>
      </w:pPr>
      <w:r>
        <w:t>allocate spectrum in the 3800-4000 MHz band for LA WBB use using the segmentation approach?</w:t>
      </w:r>
      <w:r w:rsidR="00444413">
        <w:t xml:space="preserve"> </w:t>
      </w:r>
    </w:p>
    <w:p w14:paraId="3E8379F7" w14:textId="079164A6" w:rsidR="00771BDA" w:rsidRDefault="00771BDA" w:rsidP="00812C12">
      <w:pPr>
        <w:pStyle w:val="Heading2"/>
        <w:keepLines/>
      </w:pPr>
      <w:bookmarkStart w:id="35" w:name="_Toc96940985"/>
      <w:r>
        <w:t xml:space="preserve">Planning arrangements in </w:t>
      </w:r>
      <w:r w:rsidR="00A97162">
        <w:t>3400</w:t>
      </w:r>
      <w:r w:rsidR="00C71B78">
        <w:t>–</w:t>
      </w:r>
      <w:r w:rsidR="00A97162">
        <w:t>3575 MHz and 3700</w:t>
      </w:r>
      <w:r w:rsidR="00C71B78">
        <w:t>–</w:t>
      </w:r>
      <w:r w:rsidR="00A97162">
        <w:t>3800 MHz</w:t>
      </w:r>
      <w:bookmarkEnd w:id="35"/>
    </w:p>
    <w:p w14:paraId="58D32AF8" w14:textId="77777777" w:rsidR="00A97162" w:rsidRDefault="00A97162" w:rsidP="00812C12">
      <w:pPr>
        <w:pStyle w:val="Paragraphbeforelist"/>
        <w:keepLines/>
      </w:pPr>
      <w:r>
        <w:t>Submissions to various consultation processes have indicated:</w:t>
      </w:r>
    </w:p>
    <w:p w14:paraId="382461A8" w14:textId="6B54C431" w:rsidR="00A97162" w:rsidRPr="007123FD" w:rsidRDefault="00A97162" w:rsidP="00812C12">
      <w:pPr>
        <w:pStyle w:val="Bulletlevel1"/>
        <w:keepNext/>
        <w:keepLines/>
      </w:pPr>
      <w:r w:rsidRPr="007123FD">
        <w:t>demand for additional spectrum-licensed portions of the 3400</w:t>
      </w:r>
      <w:r w:rsidR="00C71B78">
        <w:t>–</w:t>
      </w:r>
      <w:r w:rsidRPr="007123FD">
        <w:t xml:space="preserve">3575 MHz </w:t>
      </w:r>
      <w:r>
        <w:t>frequency range</w:t>
      </w:r>
    </w:p>
    <w:p w14:paraId="66C343A5" w14:textId="77777777" w:rsidR="00A97162" w:rsidRPr="007123FD" w:rsidRDefault="00A97162" w:rsidP="00812C12">
      <w:pPr>
        <w:pStyle w:val="Bulletlevel1"/>
        <w:keepNext/>
        <w:keepLines/>
      </w:pPr>
      <w:r w:rsidRPr="007123FD">
        <w:t>support for more mid-band spectrum for private WBB use in both metropolitan and regional areas</w:t>
      </w:r>
    </w:p>
    <w:p w14:paraId="6C06F412" w14:textId="21092D09" w:rsidR="00A97162" w:rsidRPr="007123FD" w:rsidRDefault="00A97162" w:rsidP="00812C12">
      <w:pPr>
        <w:pStyle w:val="Bulletlevel1"/>
        <w:keepNext/>
        <w:keepLines/>
      </w:pPr>
      <w:r w:rsidRPr="007123FD">
        <w:t>desire to further defragment and consolidate spectrum-licensed holdings in the 3400</w:t>
      </w:r>
      <w:r w:rsidR="00C71B78">
        <w:t>–</w:t>
      </w:r>
      <w:r w:rsidRPr="007123FD">
        <w:t>3700 MHz frequency range and reduce the impact of orphaned spectrum (spectrum holdings that are not in multiples of 5 MHz or 10 MHz)</w:t>
      </w:r>
      <w:r>
        <w:rPr>
          <w:rStyle w:val="FootnoteReference"/>
        </w:rPr>
        <w:footnoteReference w:id="7"/>
      </w:r>
    </w:p>
    <w:p w14:paraId="61CE3C4A" w14:textId="6CE6E9BA" w:rsidR="00A97162" w:rsidRDefault="00A97162" w:rsidP="00812C12">
      <w:pPr>
        <w:pStyle w:val="Bulletlevel1last"/>
        <w:keepNext/>
        <w:keepLines/>
      </w:pPr>
      <w:r>
        <w:t>desire to r</w:t>
      </w:r>
      <w:r w:rsidRPr="00B701A0">
        <w:t>educe the amount of spectrum encompassed</w:t>
      </w:r>
      <w:r>
        <w:t xml:space="preserve"> in restricted</w:t>
      </w:r>
      <w:r w:rsidR="00C71B78">
        <w:t>-</w:t>
      </w:r>
      <w:r>
        <w:t>use bands</w:t>
      </w:r>
      <w:r>
        <w:rPr>
          <w:rStyle w:val="FootnoteReference"/>
        </w:rPr>
        <w:footnoteReference w:id="8"/>
      </w:r>
      <w:r>
        <w:t xml:space="preserve"> at apparatus and spectrum licence frequency boundaries.</w:t>
      </w:r>
    </w:p>
    <w:p w14:paraId="788E8719" w14:textId="7A0E4F2F" w:rsidR="00EC6EA3" w:rsidRDefault="00D66061" w:rsidP="00A97162">
      <w:r>
        <w:t>With the guidance of the MPS,</w:t>
      </w:r>
      <w:r w:rsidR="00A5335A">
        <w:t xml:space="preserve"> </w:t>
      </w:r>
      <w:r>
        <w:t>w</w:t>
      </w:r>
      <w:r w:rsidR="00A97162">
        <w:t>e have reconsidered some of the planning arrangements across 3400</w:t>
      </w:r>
      <w:r w:rsidR="00C71B78">
        <w:t>–</w:t>
      </w:r>
      <w:r w:rsidR="00A97162">
        <w:t xml:space="preserve">4000 MHz in regional areas and have developed </w:t>
      </w:r>
      <w:r w:rsidR="00C71B78">
        <w:t xml:space="preserve">2 </w:t>
      </w:r>
      <w:r w:rsidR="00A97162">
        <w:t xml:space="preserve">alternative options to the arrangements outlined in the </w:t>
      </w:r>
      <w:hyperlink r:id="rId52" w:history="1">
        <w:r w:rsidR="00A97162" w:rsidRPr="003D50DA">
          <w:rPr>
            <w:rStyle w:val="Hyperlink"/>
          </w:rPr>
          <w:t xml:space="preserve">3400 </w:t>
        </w:r>
        <w:r w:rsidR="00A97162">
          <w:rPr>
            <w:rStyle w:val="Hyperlink"/>
          </w:rPr>
          <w:t xml:space="preserve">MHz </w:t>
        </w:r>
        <w:r w:rsidR="00A97162" w:rsidRPr="003D50DA">
          <w:rPr>
            <w:rStyle w:val="Hyperlink"/>
          </w:rPr>
          <w:t>decisions paper</w:t>
        </w:r>
      </w:hyperlink>
      <w:r w:rsidR="00A97162">
        <w:t xml:space="preserve"> and the </w:t>
      </w:r>
      <w:hyperlink r:id="rId53" w:history="1">
        <w:r w:rsidR="00A97162" w:rsidRPr="003D50DA">
          <w:rPr>
            <w:rStyle w:val="Hyperlink"/>
          </w:rPr>
          <w:t xml:space="preserve">3700 </w:t>
        </w:r>
        <w:r w:rsidR="00A97162">
          <w:rPr>
            <w:rStyle w:val="Hyperlink"/>
          </w:rPr>
          <w:t xml:space="preserve">MHz </w:t>
        </w:r>
        <w:r w:rsidR="00A97162" w:rsidRPr="003D50DA">
          <w:rPr>
            <w:rStyle w:val="Hyperlink"/>
          </w:rPr>
          <w:t>outcomes paper</w:t>
        </w:r>
      </w:hyperlink>
      <w:r w:rsidR="00A97162">
        <w:t xml:space="preserve">. </w:t>
      </w:r>
      <w:r w:rsidR="00DC1463">
        <w:t xml:space="preserve">These </w:t>
      </w:r>
      <w:r w:rsidR="00062BF8">
        <w:t xml:space="preserve">alternative options represent </w:t>
      </w:r>
      <w:r w:rsidR="0051285B">
        <w:t xml:space="preserve">a minimal and </w:t>
      </w:r>
      <w:r w:rsidR="006407B1">
        <w:t>maxim</w:t>
      </w:r>
      <w:r w:rsidR="006230CB">
        <w:t>um</w:t>
      </w:r>
      <w:r w:rsidR="00E4547F">
        <w:t xml:space="preserve"> </w:t>
      </w:r>
      <w:r w:rsidR="00001944">
        <w:t>s</w:t>
      </w:r>
      <w:r w:rsidR="006A59F0">
        <w:t xml:space="preserve">cenario for </w:t>
      </w:r>
      <w:r w:rsidR="00062BF8">
        <w:t xml:space="preserve">additional spectrum </w:t>
      </w:r>
      <w:r w:rsidR="006A59F0">
        <w:t xml:space="preserve">available for reallocation </w:t>
      </w:r>
      <w:r w:rsidR="00062BF8">
        <w:t xml:space="preserve">in the </w:t>
      </w:r>
      <w:r w:rsidR="0043789A">
        <w:t>3400</w:t>
      </w:r>
      <w:r w:rsidR="00650B5F">
        <w:t>–</w:t>
      </w:r>
      <w:r w:rsidR="0043789A">
        <w:t>3575 MHz segment</w:t>
      </w:r>
      <w:r w:rsidR="00F234CA">
        <w:t>.</w:t>
      </w:r>
      <w:r w:rsidR="00511F0E">
        <w:rPr>
          <w:rStyle w:val="FootnoteReference"/>
        </w:rPr>
        <w:footnoteReference w:id="9"/>
      </w:r>
      <w:r w:rsidR="00567E2D">
        <w:t xml:space="preserve"> </w:t>
      </w:r>
      <w:r w:rsidR="00966849">
        <w:t xml:space="preserve">Each has a </w:t>
      </w:r>
      <w:r w:rsidR="00F234CA">
        <w:t xml:space="preserve">varying </w:t>
      </w:r>
      <w:r w:rsidR="00D91E0F">
        <w:t>effect</w:t>
      </w:r>
      <w:r w:rsidR="00F234CA">
        <w:t xml:space="preserve"> on</w:t>
      </w:r>
      <w:r w:rsidR="00567E2D">
        <w:t xml:space="preserve"> incumbent </w:t>
      </w:r>
      <w:r w:rsidR="00511030">
        <w:t xml:space="preserve">and </w:t>
      </w:r>
      <w:r w:rsidR="00EE41F6">
        <w:t xml:space="preserve">prospective </w:t>
      </w:r>
      <w:r w:rsidR="00511030">
        <w:t xml:space="preserve">new apparatus licensed </w:t>
      </w:r>
      <w:r w:rsidR="00567E2D">
        <w:t>services</w:t>
      </w:r>
      <w:r w:rsidR="00E5035F">
        <w:t xml:space="preserve"> in the</w:t>
      </w:r>
      <w:r w:rsidR="00E94C24">
        <w:t xml:space="preserve"> 3400–</w:t>
      </w:r>
      <w:r w:rsidR="00896278">
        <w:t>4000</w:t>
      </w:r>
      <w:r w:rsidR="00E94C24">
        <w:t xml:space="preserve"> MHz frequency range</w:t>
      </w:r>
      <w:r w:rsidR="001F4A88">
        <w:t>.</w:t>
      </w:r>
    </w:p>
    <w:p w14:paraId="3FEBD67F" w14:textId="336F1F2E" w:rsidR="00A97162" w:rsidRDefault="00A97162" w:rsidP="00A97162">
      <w:r>
        <w:t xml:space="preserve">We consider that altering the licensing arrangements from our preliminary decisions </w:t>
      </w:r>
      <w:r w:rsidR="00C71B78">
        <w:t>in these</w:t>
      </w:r>
      <w:r>
        <w:t xml:space="preserve"> paper</w:t>
      </w:r>
      <w:r w:rsidR="00C71B78">
        <w:t>s</w:t>
      </w:r>
      <w:r>
        <w:t xml:space="preserve"> will help </w:t>
      </w:r>
      <w:r>
        <w:rPr>
          <w:rFonts w:cs="Arial"/>
        </w:rPr>
        <w:t xml:space="preserve">address </w:t>
      </w:r>
      <w:r>
        <w:t xml:space="preserve">the </w:t>
      </w:r>
      <w:r>
        <w:rPr>
          <w:rFonts w:cs="Arial"/>
        </w:rPr>
        <w:t>issues identified above and</w:t>
      </w:r>
      <w:r w:rsidRPr="00794C8F">
        <w:rPr>
          <w:rFonts w:cs="Arial"/>
        </w:rPr>
        <w:t xml:space="preserve"> </w:t>
      </w:r>
      <w:r>
        <w:rPr>
          <w:rFonts w:cs="Arial"/>
        </w:rPr>
        <w:t xml:space="preserve">best </w:t>
      </w:r>
      <w:r w:rsidRPr="00794C8F">
        <w:rPr>
          <w:rFonts w:cs="Arial"/>
        </w:rPr>
        <w:t>promote the long-term public interest derived from use of the spectrum</w:t>
      </w:r>
      <w:r>
        <w:t xml:space="preserve">. </w:t>
      </w:r>
    </w:p>
    <w:p w14:paraId="34502212" w14:textId="66EEFDC8" w:rsidR="00340DB6" w:rsidRDefault="00A97162" w:rsidP="000B4D4B">
      <w:r>
        <w:t>Under the options, the total quantum of spectrum available under spectrum</w:t>
      </w:r>
      <w:r w:rsidR="00C71B78">
        <w:t>-</w:t>
      </w:r>
      <w:r>
        <w:t xml:space="preserve"> and apparatus</w:t>
      </w:r>
      <w:r w:rsidR="00C71B78">
        <w:t>-</w:t>
      </w:r>
      <w:r>
        <w:t>licensing in regional areas will remain broadly consistent with the preliminary decisions in the paper</w:t>
      </w:r>
      <w:r w:rsidR="00C71B78">
        <w:t>s</w:t>
      </w:r>
      <w:r>
        <w:t xml:space="preserve"> (and remain unchanged for metropolitan areas). However, the location of available spectrum within the band will vary. </w:t>
      </w:r>
    </w:p>
    <w:p w14:paraId="45085574" w14:textId="4B45A36C" w:rsidR="00A97162" w:rsidRPr="00A577A1" w:rsidRDefault="00A97162" w:rsidP="00A97162">
      <w:pPr>
        <w:pStyle w:val="Paragraphbeforelist"/>
      </w:pPr>
      <w:r w:rsidRPr="00A577A1">
        <w:t>When reading this section</w:t>
      </w:r>
      <w:r w:rsidR="00A577A1">
        <w:t>,</w:t>
      </w:r>
      <w:r w:rsidRPr="00A577A1">
        <w:t xml:space="preserve"> please note:</w:t>
      </w:r>
    </w:p>
    <w:p w14:paraId="0AAE6C7F" w14:textId="4A59C878" w:rsidR="00A577A1" w:rsidRDefault="00A97162" w:rsidP="00A97162">
      <w:pPr>
        <w:pStyle w:val="Bulletlevel1"/>
      </w:pPr>
      <w:r w:rsidRPr="00A577A1">
        <w:t xml:space="preserve">key for all figures: </w:t>
      </w:r>
    </w:p>
    <w:p w14:paraId="05509B38" w14:textId="08E27FC0" w:rsidR="00A577A1" w:rsidRDefault="00A97162" w:rsidP="000B683F">
      <w:pPr>
        <w:pStyle w:val="Bulletlevel2"/>
        <w:numPr>
          <w:ilvl w:val="0"/>
          <w:numId w:val="0"/>
        </w:numPr>
        <w:ind w:left="284"/>
      </w:pPr>
      <w:r w:rsidRPr="00A577A1">
        <w:t>AM = amateur services</w:t>
      </w:r>
    </w:p>
    <w:p w14:paraId="5774DA6E" w14:textId="0D133F5A" w:rsidR="00A577A1" w:rsidRDefault="00A97162" w:rsidP="000B683F">
      <w:pPr>
        <w:pStyle w:val="Bulletlevel2"/>
        <w:numPr>
          <w:ilvl w:val="0"/>
          <w:numId w:val="0"/>
        </w:numPr>
        <w:ind w:left="284"/>
      </w:pPr>
      <w:r w:rsidRPr="00A577A1">
        <w:t>AWL = area</w:t>
      </w:r>
      <w:r w:rsidR="00A577A1">
        <w:t>-</w:t>
      </w:r>
      <w:r w:rsidRPr="00A577A1">
        <w:t>wide apparatus licences</w:t>
      </w:r>
    </w:p>
    <w:p w14:paraId="2FE8382F" w14:textId="0116A793" w:rsidR="00A577A1" w:rsidRDefault="00A97162" w:rsidP="000B683F">
      <w:pPr>
        <w:pStyle w:val="Bulletlevel2"/>
        <w:numPr>
          <w:ilvl w:val="0"/>
          <w:numId w:val="0"/>
        </w:numPr>
        <w:ind w:left="284"/>
      </w:pPr>
      <w:r w:rsidRPr="00A577A1">
        <w:t xml:space="preserve">ESPZ = </w:t>
      </w:r>
      <w:r w:rsidR="00A577A1">
        <w:t>e</w:t>
      </w:r>
      <w:r w:rsidRPr="00A577A1">
        <w:t>arth station protection zone</w:t>
      </w:r>
    </w:p>
    <w:p w14:paraId="73447556" w14:textId="39186890" w:rsidR="00A577A1" w:rsidRDefault="00A97162" w:rsidP="000B683F">
      <w:pPr>
        <w:pStyle w:val="Bulletlevel2"/>
        <w:numPr>
          <w:ilvl w:val="0"/>
          <w:numId w:val="0"/>
        </w:numPr>
        <w:ind w:left="284"/>
      </w:pPr>
      <w:r w:rsidRPr="00A577A1">
        <w:t>FSS = fixed satellite services</w:t>
      </w:r>
    </w:p>
    <w:p w14:paraId="249567C2" w14:textId="0C781D6D" w:rsidR="00A577A1" w:rsidRDefault="00A97162" w:rsidP="000B683F">
      <w:pPr>
        <w:pStyle w:val="Bulletlevel2"/>
        <w:numPr>
          <w:ilvl w:val="0"/>
          <w:numId w:val="0"/>
        </w:numPr>
        <w:ind w:left="284"/>
      </w:pPr>
      <w:r w:rsidRPr="00A577A1">
        <w:t>PMP = point-to-multipoint services</w:t>
      </w:r>
    </w:p>
    <w:p w14:paraId="04B7F7ED" w14:textId="2ADCD8C4" w:rsidR="00A577A1" w:rsidRDefault="00A97162" w:rsidP="000B683F">
      <w:pPr>
        <w:pStyle w:val="Bulletlevel2"/>
        <w:numPr>
          <w:ilvl w:val="0"/>
          <w:numId w:val="0"/>
        </w:numPr>
        <w:ind w:left="284"/>
      </w:pPr>
      <w:r w:rsidRPr="00A577A1">
        <w:t>PTP = point-to-point services</w:t>
      </w:r>
    </w:p>
    <w:p w14:paraId="6BC314CF" w14:textId="7A17F8FD" w:rsidR="00A97162" w:rsidRPr="00A577A1" w:rsidRDefault="00A97162" w:rsidP="000B683F">
      <w:pPr>
        <w:pStyle w:val="Bulletlevel2"/>
        <w:numPr>
          <w:ilvl w:val="0"/>
          <w:numId w:val="0"/>
        </w:numPr>
        <w:ind w:left="284"/>
      </w:pPr>
      <w:r w:rsidRPr="00A577A1">
        <w:t>SL = spectrum licences</w:t>
      </w:r>
    </w:p>
    <w:p w14:paraId="360248F4" w14:textId="40E94611" w:rsidR="00A97162" w:rsidRPr="00A577A1" w:rsidRDefault="00A577A1" w:rsidP="00A97162">
      <w:pPr>
        <w:pStyle w:val="Bulletlevel1"/>
      </w:pPr>
      <w:r>
        <w:t>d</w:t>
      </w:r>
      <w:r w:rsidR="00A97162" w:rsidRPr="00A577A1">
        <w:t xml:space="preserve">efinitions for all geographic areas can be found </w:t>
      </w:r>
      <w:r>
        <w:t>in</w:t>
      </w:r>
      <w:r w:rsidRPr="00A577A1">
        <w:t xml:space="preserve"> </w:t>
      </w:r>
      <w:r>
        <w:t>a</w:t>
      </w:r>
      <w:r w:rsidR="00A97162" w:rsidRPr="00A577A1">
        <w:t xml:space="preserve">ppendices B, C and D </w:t>
      </w:r>
      <w:r>
        <w:t>in</w:t>
      </w:r>
      <w:r w:rsidRPr="00A577A1">
        <w:t xml:space="preserve"> </w:t>
      </w:r>
      <w:r w:rsidR="00A97162" w:rsidRPr="00A577A1">
        <w:t xml:space="preserve">this paper </w:t>
      </w:r>
    </w:p>
    <w:p w14:paraId="2B2498B6" w14:textId="15C8BDD1" w:rsidR="00A97162" w:rsidRPr="00A577A1" w:rsidRDefault="00A577A1" w:rsidP="00C4584A">
      <w:pPr>
        <w:pStyle w:val="Bulletlevel1last"/>
      </w:pPr>
      <w:r>
        <w:t>i</w:t>
      </w:r>
      <w:r w:rsidR="00A97162" w:rsidRPr="00A577A1">
        <w:t xml:space="preserve">n all figures, the new spectrum licence (‘New SL’) areas and urban excise areas are shown in </w:t>
      </w:r>
      <w:r w:rsidR="008076C6" w:rsidRPr="00A577A1">
        <w:t xml:space="preserve">lilac </w:t>
      </w:r>
      <w:r w:rsidR="00A97162" w:rsidRPr="00A577A1">
        <w:t>and orange</w:t>
      </w:r>
      <w:r>
        <w:t>,</w:t>
      </w:r>
      <w:r w:rsidR="00A97162" w:rsidRPr="00A577A1">
        <w:t xml:space="preserve"> </w:t>
      </w:r>
      <w:r w:rsidR="001B0A81" w:rsidRPr="00A577A1">
        <w:t>respectively</w:t>
      </w:r>
      <w:r>
        <w:t>,</w:t>
      </w:r>
      <w:r w:rsidR="001B0A81" w:rsidRPr="00A577A1">
        <w:t xml:space="preserve"> and</w:t>
      </w:r>
      <w:r w:rsidR="00A97162" w:rsidRPr="00A577A1">
        <w:t xml:space="preserve"> indicate the parts of the band proposed for inclusion in a re-allocation declaration under each option.</w:t>
      </w:r>
    </w:p>
    <w:p w14:paraId="55C8E6CA" w14:textId="1B2683F7" w:rsidR="00B70FFC" w:rsidRPr="00E3657B" w:rsidRDefault="00053DE0" w:rsidP="00C4584A">
      <w:pPr>
        <w:pStyle w:val="Heading3"/>
      </w:pPr>
      <w:r>
        <w:t xml:space="preserve">Option 1: </w:t>
      </w:r>
      <w:r w:rsidR="006E4559">
        <w:t>c</w:t>
      </w:r>
      <w:r>
        <w:t xml:space="preserve">urrent planning </w:t>
      </w:r>
      <w:r w:rsidR="00EF1AAB">
        <w:t>decision</w:t>
      </w:r>
    </w:p>
    <w:p w14:paraId="1C0845EE" w14:textId="50194E97" w:rsidR="00053DE0" w:rsidRDefault="00053DE0" w:rsidP="003B4857">
      <w:r>
        <w:t xml:space="preserve">Option 1 reflects the preliminary planning decisions made in the 3400 </w:t>
      </w:r>
      <w:r w:rsidR="00240BBC">
        <w:t xml:space="preserve">MHz </w:t>
      </w:r>
      <w:r w:rsidR="004025D9">
        <w:t xml:space="preserve">decisions paper and the 3700 </w:t>
      </w:r>
      <w:r w:rsidR="00240BBC">
        <w:t xml:space="preserve">MHz </w:t>
      </w:r>
      <w:r w:rsidR="004025D9">
        <w:t>outcomes paper.</w:t>
      </w:r>
      <w:r w:rsidR="00493EC7" w:rsidRPr="00493EC7">
        <w:t xml:space="preserve"> </w:t>
      </w:r>
    </w:p>
    <w:p w14:paraId="313EC2B9" w14:textId="2E0654CB" w:rsidR="004025D9" w:rsidRPr="00053DE0" w:rsidRDefault="00CD18BD" w:rsidP="00531B15">
      <w:pPr>
        <w:pStyle w:val="Figureheading"/>
      </w:pPr>
      <w:r>
        <w:t>C</w:t>
      </w:r>
      <w:r w:rsidR="008C34BD">
        <w:t xml:space="preserve">urrent planning </w:t>
      </w:r>
      <w:r w:rsidR="003702E1">
        <w:t>decision (</w:t>
      </w:r>
      <w:r w:rsidR="004773BD">
        <w:t>Option 1</w:t>
      </w:r>
      <w:r w:rsidR="003702E1">
        <w:t>)</w:t>
      </w:r>
    </w:p>
    <w:p w14:paraId="02CF695C" w14:textId="4F6EBECC" w:rsidR="00116CDF" w:rsidRPr="00116CDF" w:rsidRDefault="005429F5" w:rsidP="00116CDF">
      <w:pPr>
        <w:pStyle w:val="Paragraph"/>
      </w:pPr>
      <w:r w:rsidRPr="005429F5">
        <w:rPr>
          <w:noProof/>
        </w:rPr>
        <w:drawing>
          <wp:inline distT="0" distB="0" distL="0" distR="0" wp14:anchorId="3F924399" wp14:editId="38B103BB">
            <wp:extent cx="6249670" cy="2634784"/>
            <wp:effectExtent l="0" t="0" r="0" b="0"/>
            <wp:docPr id="6"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72386" cy="2644361"/>
                    </a:xfrm>
                    <a:prstGeom prst="rect">
                      <a:avLst/>
                    </a:prstGeom>
                    <a:noFill/>
                    <a:ln>
                      <a:noFill/>
                    </a:ln>
                  </pic:spPr>
                </pic:pic>
              </a:graphicData>
            </a:graphic>
          </wp:inline>
        </w:drawing>
      </w:r>
    </w:p>
    <w:p w14:paraId="7E6CB232" w14:textId="4F49FEBD" w:rsidR="001A0530" w:rsidRPr="00116CDF" w:rsidRDefault="00766C01" w:rsidP="003B4857">
      <w:pPr>
        <w:pStyle w:val="Paragraphbeforelist"/>
      </w:pPr>
      <w:r>
        <w:t>Under</w:t>
      </w:r>
      <w:r w:rsidR="00E32C8E">
        <w:t xml:space="preserve"> this arrangement, the quantum of spectrum </w:t>
      </w:r>
      <w:r w:rsidR="00DC4526">
        <w:t xml:space="preserve">proposed for re-allocation </w:t>
      </w:r>
      <w:r w:rsidR="009B13AA">
        <w:t>by</w:t>
      </w:r>
      <w:r w:rsidR="00F20E8A">
        <w:t xml:space="preserve"> </w:t>
      </w:r>
      <w:r w:rsidR="009B13AA">
        <w:t>issuing</w:t>
      </w:r>
      <w:r w:rsidR="00F20E8A">
        <w:t xml:space="preserve"> spectrum licences </w:t>
      </w:r>
      <w:r w:rsidR="00E32C8E">
        <w:t xml:space="preserve">and </w:t>
      </w:r>
      <w:r w:rsidR="00B4685A">
        <w:t xml:space="preserve">identified for </w:t>
      </w:r>
      <w:r w:rsidR="00794524">
        <w:t xml:space="preserve">WBB use via </w:t>
      </w:r>
      <w:r w:rsidR="00E32C8E">
        <w:t>apparatus licensing is:</w:t>
      </w:r>
    </w:p>
    <w:p w14:paraId="7D28645F" w14:textId="4E018BB4" w:rsidR="00446712" w:rsidRDefault="00446712" w:rsidP="003B4857">
      <w:pPr>
        <w:pStyle w:val="Bulletlevel1"/>
      </w:pPr>
      <w:r>
        <w:t>Spectrum licensing</w:t>
      </w:r>
      <w:r w:rsidR="00CD18BD">
        <w:t>:</w:t>
      </w:r>
    </w:p>
    <w:p w14:paraId="5DE21EBF" w14:textId="6C92388D" w:rsidR="0065520A" w:rsidRDefault="0065520A" w:rsidP="0065520A">
      <w:pPr>
        <w:pStyle w:val="Bulletlevel2"/>
      </w:pPr>
      <w:r>
        <w:t>75 MHz (34</w:t>
      </w:r>
      <w:r w:rsidR="00D43F3C">
        <w:t>00</w:t>
      </w:r>
      <w:r>
        <w:t xml:space="preserve">–3475 </w:t>
      </w:r>
      <w:r w:rsidR="00A04BA3">
        <w:t>M</w:t>
      </w:r>
      <w:r>
        <w:t>Hz) in urban excise area</w:t>
      </w:r>
      <w:r w:rsidR="002B20A3">
        <w:t>s</w:t>
      </w:r>
    </w:p>
    <w:p w14:paraId="119F78E4" w14:textId="1058E048" w:rsidR="00446712" w:rsidRDefault="00446712" w:rsidP="003B4857">
      <w:pPr>
        <w:pStyle w:val="Bulletlevel2"/>
      </w:pPr>
      <w:r>
        <w:t>42.5 MHz (34</w:t>
      </w:r>
      <w:r w:rsidR="00D43F3C">
        <w:t>00</w:t>
      </w:r>
      <w:r>
        <w:t>–3442</w:t>
      </w:r>
      <w:r w:rsidR="00D43F3C">
        <w:t>.</w:t>
      </w:r>
      <w:r>
        <w:t xml:space="preserve">5 </w:t>
      </w:r>
      <w:r w:rsidR="00A04BA3">
        <w:t>M</w:t>
      </w:r>
      <w:r>
        <w:t>Hz) in regional area 1</w:t>
      </w:r>
    </w:p>
    <w:p w14:paraId="2DED775B" w14:textId="0AD7FCB8" w:rsidR="00446712" w:rsidRDefault="00446712" w:rsidP="003B4857">
      <w:pPr>
        <w:pStyle w:val="Bulletlevel2"/>
      </w:pPr>
      <w:r>
        <w:t>25 MHz (34</w:t>
      </w:r>
      <w:r w:rsidR="00A04BA3">
        <w:t>00</w:t>
      </w:r>
      <w:r>
        <w:t xml:space="preserve">–3425 </w:t>
      </w:r>
      <w:r w:rsidR="00A04BA3">
        <w:t>M</w:t>
      </w:r>
      <w:r>
        <w:t>Hz) in major regional centres</w:t>
      </w:r>
      <w:r w:rsidR="00144A9F">
        <w:t xml:space="preserve"> 2</w:t>
      </w:r>
    </w:p>
    <w:p w14:paraId="72C366B8" w14:textId="1FE52C4D" w:rsidR="0065520A" w:rsidRDefault="0065520A" w:rsidP="0065520A">
      <w:pPr>
        <w:pStyle w:val="Bulletlevel2"/>
      </w:pPr>
      <w:r>
        <w:t>32.5 MHz (3542</w:t>
      </w:r>
      <w:r w:rsidR="00A04BA3">
        <w:t>.</w:t>
      </w:r>
      <w:r>
        <w:t>5</w:t>
      </w:r>
      <w:r w:rsidR="00BB61F9">
        <w:t>–</w:t>
      </w:r>
      <w:r>
        <w:t xml:space="preserve">3575 </w:t>
      </w:r>
      <w:r w:rsidR="00A04BA3">
        <w:t>MHz</w:t>
      </w:r>
      <w:r>
        <w:t xml:space="preserve">) in regional Western Australia </w:t>
      </w:r>
      <w:r w:rsidR="0040713D">
        <w:t xml:space="preserve">central </w:t>
      </w:r>
    </w:p>
    <w:p w14:paraId="0A089E33" w14:textId="07043BD0" w:rsidR="00446712" w:rsidRDefault="00446712" w:rsidP="003B4857">
      <w:pPr>
        <w:pStyle w:val="Bulletlevel2"/>
      </w:pPr>
      <w:r>
        <w:t>100 MHz (37</w:t>
      </w:r>
      <w:r w:rsidR="00A04BA3">
        <w:t>00</w:t>
      </w:r>
      <w:r>
        <w:t>–38</w:t>
      </w:r>
      <w:r w:rsidR="00A04BA3">
        <w:t>00</w:t>
      </w:r>
      <w:r>
        <w:t xml:space="preserve"> </w:t>
      </w:r>
      <w:r w:rsidR="00A04BA3">
        <w:t>MHz</w:t>
      </w:r>
      <w:r>
        <w:t xml:space="preserve">) in metropolitan and </w:t>
      </w:r>
      <w:r w:rsidR="00FF6035">
        <w:t xml:space="preserve">all </w:t>
      </w:r>
      <w:r>
        <w:t>regional areas.</w:t>
      </w:r>
    </w:p>
    <w:p w14:paraId="07A9D097" w14:textId="014B5DDF" w:rsidR="00446712" w:rsidRDefault="00446712" w:rsidP="003B4857">
      <w:pPr>
        <w:pStyle w:val="Bulletlevel1"/>
      </w:pPr>
      <w:r>
        <w:t>Apparatus licensing</w:t>
      </w:r>
      <w:r w:rsidR="00CD18BD">
        <w:t>:</w:t>
      </w:r>
    </w:p>
    <w:p w14:paraId="18B3DDF7" w14:textId="45B10FE9" w:rsidR="00446712" w:rsidRDefault="00446712" w:rsidP="003B4857">
      <w:pPr>
        <w:pStyle w:val="Bulletlevel2"/>
      </w:pPr>
      <w:r>
        <w:t>600 MHz (34</w:t>
      </w:r>
      <w:r w:rsidR="00A04BA3">
        <w:t>00</w:t>
      </w:r>
      <w:r>
        <w:t>–40</w:t>
      </w:r>
      <w:r w:rsidR="00A04BA3">
        <w:t>00</w:t>
      </w:r>
      <w:r>
        <w:t xml:space="preserve"> </w:t>
      </w:r>
      <w:r w:rsidR="00A04BA3">
        <w:t>MHz</w:t>
      </w:r>
      <w:r>
        <w:t>) in remote areas</w:t>
      </w:r>
    </w:p>
    <w:p w14:paraId="47570D8B" w14:textId="5D35B86E" w:rsidR="00446712" w:rsidRDefault="00446712" w:rsidP="003B4857">
      <w:pPr>
        <w:pStyle w:val="Bulletlevel2"/>
      </w:pPr>
      <w:r>
        <w:t xml:space="preserve">35 MHz (3475–3510 </w:t>
      </w:r>
      <w:r w:rsidR="00DE778A">
        <w:t>M</w:t>
      </w:r>
      <w:r>
        <w:t xml:space="preserve">Hz) in regional area </w:t>
      </w:r>
      <w:r w:rsidR="00CA6E9A">
        <w:t>2</w:t>
      </w:r>
    </w:p>
    <w:p w14:paraId="4C07D981" w14:textId="221D3D66" w:rsidR="00A86EB5" w:rsidRDefault="00446712" w:rsidP="00A86EB5">
      <w:pPr>
        <w:pStyle w:val="Bulletlevel2"/>
      </w:pPr>
      <w:r>
        <w:t>67.5 MHz (3475–3542</w:t>
      </w:r>
      <w:r w:rsidR="00DE778A">
        <w:t>.</w:t>
      </w:r>
      <w:r>
        <w:t xml:space="preserve">5 </w:t>
      </w:r>
      <w:r w:rsidR="00DE778A">
        <w:t>M</w:t>
      </w:r>
      <w:r>
        <w:t>Hz) in regional area 1</w:t>
      </w:r>
      <w:r w:rsidR="00A86EB5">
        <w:t xml:space="preserve"> and in regional Western Australia central </w:t>
      </w:r>
    </w:p>
    <w:p w14:paraId="71CB7806" w14:textId="30672B94" w:rsidR="00446712" w:rsidRDefault="00446712" w:rsidP="003B4857">
      <w:pPr>
        <w:pStyle w:val="Bulletlevel2"/>
      </w:pPr>
      <w:r>
        <w:t>50 MHz (3492</w:t>
      </w:r>
      <w:r w:rsidR="00DE778A">
        <w:t>.</w:t>
      </w:r>
      <w:r>
        <w:t>5–3542</w:t>
      </w:r>
      <w:r w:rsidR="00DE778A">
        <w:t>.</w:t>
      </w:r>
      <w:r>
        <w:t xml:space="preserve">5 </w:t>
      </w:r>
      <w:r w:rsidR="00DE778A">
        <w:t>M</w:t>
      </w:r>
      <w:r>
        <w:t>Hz) in major regional centres</w:t>
      </w:r>
      <w:r w:rsidR="00B8065A">
        <w:t xml:space="preserve"> 2</w:t>
      </w:r>
    </w:p>
    <w:p w14:paraId="25C868CE" w14:textId="25A9600D" w:rsidR="00446712" w:rsidRDefault="00446712">
      <w:pPr>
        <w:pStyle w:val="Bulletlevel2last"/>
      </w:pPr>
      <w:r>
        <w:t>200 MHz (38</w:t>
      </w:r>
      <w:r w:rsidR="00DE778A">
        <w:t>00</w:t>
      </w:r>
      <w:r>
        <w:t>–40</w:t>
      </w:r>
      <w:r w:rsidR="00DE778A">
        <w:t>00</w:t>
      </w:r>
      <w:r>
        <w:t xml:space="preserve"> </w:t>
      </w:r>
      <w:r w:rsidR="00DE778A">
        <w:t>MHz</w:t>
      </w:r>
      <w:r>
        <w:t xml:space="preserve">) in </w:t>
      </w:r>
      <w:r w:rsidR="00B8065A">
        <w:t>metropolitan and all regional areas</w:t>
      </w:r>
      <w:r>
        <w:t>.</w:t>
      </w:r>
    </w:p>
    <w:p w14:paraId="58CD7908" w14:textId="1FEEAC39" w:rsidR="0096342B" w:rsidRDefault="0096342B" w:rsidP="003B4857">
      <w:pPr>
        <w:pStyle w:val="Paragraph"/>
      </w:pPr>
      <w:r>
        <w:t>A key benefit of Option 1 is that there would be no impact on incumbent point-to-multipoint licences in the 3475</w:t>
      </w:r>
      <w:r w:rsidR="00CD18BD">
        <w:t>–</w:t>
      </w:r>
      <w:r>
        <w:t>3510 MHz band and limited impact on amateur and FSS use of the band.</w:t>
      </w:r>
    </w:p>
    <w:p w14:paraId="630E577D" w14:textId="6CF4DA06" w:rsidR="00F84826" w:rsidRDefault="00FC02A3" w:rsidP="003B4857">
      <w:pPr>
        <w:pStyle w:val="Paragraph"/>
      </w:pPr>
      <w:r>
        <w:t xml:space="preserve">We consider that Option 1 provides relatively </w:t>
      </w:r>
      <w:r w:rsidR="0087512E">
        <w:t xml:space="preserve">modest </w:t>
      </w:r>
      <w:r>
        <w:t>benefits for the further defragmentation of spectrum holdings in the 3400</w:t>
      </w:r>
      <w:r w:rsidR="00CD18BD">
        <w:t>–</w:t>
      </w:r>
      <w:r>
        <w:t>3700 MHz frequency range</w:t>
      </w:r>
      <w:r w:rsidR="00A62380">
        <w:t xml:space="preserve"> and reduction of orphaned spectrum</w:t>
      </w:r>
      <w:r>
        <w:t xml:space="preserve">. </w:t>
      </w:r>
      <w:r w:rsidR="00434EC5">
        <w:t xml:space="preserve">Existing </w:t>
      </w:r>
      <w:r w:rsidR="0071242F">
        <w:t xml:space="preserve">spectrum </w:t>
      </w:r>
      <w:r w:rsidR="003723BF">
        <w:t>licensees in the band may benefit</w:t>
      </w:r>
      <w:r w:rsidR="004B12ED">
        <w:t xml:space="preserve"> from the allocation of </w:t>
      </w:r>
      <w:r w:rsidR="00A54C8F">
        <w:t xml:space="preserve">2.5 MHz </w:t>
      </w:r>
      <w:r w:rsidR="007E6059">
        <w:t xml:space="preserve">blocks of spectrum to </w:t>
      </w:r>
      <w:r w:rsidR="003C776C">
        <w:t xml:space="preserve">‘round out’ </w:t>
      </w:r>
      <w:r w:rsidR="00660511">
        <w:t xml:space="preserve">and increase the utility of </w:t>
      </w:r>
      <w:r w:rsidR="003C776C">
        <w:t xml:space="preserve">their current spectrum holdings. </w:t>
      </w:r>
      <w:r w:rsidR="001C2471">
        <w:t xml:space="preserve">We note this depends on </w:t>
      </w:r>
      <w:r w:rsidR="00AD1AC2">
        <w:t>the ability of existing licensees to acquire new spectrum at auction, and to trade or vary their licences.</w:t>
      </w:r>
    </w:p>
    <w:p w14:paraId="55749A35" w14:textId="3456DC80" w:rsidR="000D2C13" w:rsidRDefault="0045134D" w:rsidP="003B4857">
      <w:pPr>
        <w:pStyle w:val="Paragraph"/>
      </w:pPr>
      <w:r>
        <w:t>In addition, work being conducted in the 34</w:t>
      </w:r>
      <w:r w:rsidR="00A13167">
        <w:t>00–</w:t>
      </w:r>
      <w:r>
        <w:t>4</w:t>
      </w:r>
      <w:r w:rsidR="00A13167">
        <w:t>000</w:t>
      </w:r>
      <w:r>
        <w:t xml:space="preserve"> </w:t>
      </w:r>
      <w:r w:rsidR="00A13167">
        <w:t xml:space="preserve">MHz </w:t>
      </w:r>
      <w:r>
        <w:t xml:space="preserve">TLG has </w:t>
      </w:r>
      <w:r w:rsidR="000D2C13">
        <w:t>identified</w:t>
      </w:r>
      <w:r>
        <w:t xml:space="preserve"> a preference by most members to use restricted</w:t>
      </w:r>
      <w:r w:rsidR="006E4559">
        <w:t>-</w:t>
      </w:r>
      <w:r>
        <w:t>use bands (RBs) to manage interference at shared frequency boundaries between area-wide apparatus licence</w:t>
      </w:r>
      <w:r w:rsidR="006E4559">
        <w:t>s</w:t>
      </w:r>
      <w:r>
        <w:t xml:space="preserve"> (AWL</w:t>
      </w:r>
      <w:r w:rsidR="006E4559">
        <w:t>s</w:t>
      </w:r>
      <w:r>
        <w:t xml:space="preserve">) and spectrum licences. Up to 15 MHz is required for an RB at each shared frequency boundary. </w:t>
      </w:r>
    </w:p>
    <w:p w14:paraId="43E909D5" w14:textId="38C69569" w:rsidR="0045134D" w:rsidRDefault="0045134D" w:rsidP="003B4857">
      <w:pPr>
        <w:pStyle w:val="Paragraph"/>
      </w:pPr>
      <w:r>
        <w:t xml:space="preserve">For Option 1, this </w:t>
      </w:r>
      <w:r w:rsidR="00FE6B03">
        <w:t>means</w:t>
      </w:r>
      <w:r w:rsidDel="009B29F4">
        <w:t xml:space="preserve"> </w:t>
      </w:r>
      <w:r>
        <w:t xml:space="preserve">up to 45 MHz of spectrum being encompassed in RBs. </w:t>
      </w:r>
      <w:r w:rsidR="00A61C3C">
        <w:t xml:space="preserve">Option 1 (and Option 2) results in the greatest amount of spectrum being encompassed in </w:t>
      </w:r>
      <w:r w:rsidR="00976F57">
        <w:t>RBs</w:t>
      </w:r>
      <w:r w:rsidR="00A61C3C">
        <w:t xml:space="preserve">. </w:t>
      </w:r>
      <w:r>
        <w:t xml:space="preserve">As RBs </w:t>
      </w:r>
      <w:r w:rsidR="00F01EA9">
        <w:t xml:space="preserve">can result </w:t>
      </w:r>
      <w:r>
        <w:t xml:space="preserve">in less efficient use of spectrum, </w:t>
      </w:r>
      <w:r w:rsidR="002C1BDF">
        <w:t>it is desirable</w:t>
      </w:r>
      <w:r>
        <w:t xml:space="preserve"> to reduce their </w:t>
      </w:r>
      <w:r w:rsidR="008C28D9">
        <w:t>impact,</w:t>
      </w:r>
      <w:r>
        <w:t xml:space="preserve"> so more spectrum is available for use by AWLs. </w:t>
      </w:r>
      <w:r w:rsidR="00652A8E">
        <w:t>The application of RBs</w:t>
      </w:r>
      <w:r w:rsidR="0061116D">
        <w:t xml:space="preserve"> also</w:t>
      </w:r>
      <w:r w:rsidR="00652A8E">
        <w:t xml:space="preserve"> </w:t>
      </w:r>
      <w:r w:rsidR="000C2749">
        <w:t xml:space="preserve">has </w:t>
      </w:r>
      <w:r w:rsidR="00BC0A34">
        <w:t>a significant</w:t>
      </w:r>
      <w:r w:rsidR="000C2749">
        <w:t xml:space="preserve"> impact </w:t>
      </w:r>
      <w:r w:rsidR="008A1ED0">
        <w:t>on</w:t>
      </w:r>
      <w:r w:rsidR="000C2749">
        <w:t xml:space="preserve"> the </w:t>
      </w:r>
      <w:r w:rsidR="002A034A">
        <w:t xml:space="preserve">amount </w:t>
      </w:r>
      <w:r w:rsidR="000C2749">
        <w:t xml:space="preserve">of AWL spectrum </w:t>
      </w:r>
      <w:r w:rsidR="00131FD3">
        <w:t xml:space="preserve">available </w:t>
      </w:r>
      <w:r w:rsidR="000C2749">
        <w:t>in the 3475</w:t>
      </w:r>
      <w:r w:rsidR="006E4559">
        <w:t>–</w:t>
      </w:r>
      <w:r w:rsidR="000C2749">
        <w:t>3542.5 MHz band in regional areas</w:t>
      </w:r>
      <w:r w:rsidR="00A61C3C">
        <w:t>.</w:t>
      </w:r>
      <w:r w:rsidR="009F4276">
        <w:t xml:space="preserve"> </w:t>
      </w:r>
      <w:r w:rsidR="001378F3">
        <w:t>For example</w:t>
      </w:r>
      <w:r w:rsidR="008A1ED0">
        <w:t>,</w:t>
      </w:r>
      <w:r w:rsidR="001378F3">
        <w:t xml:space="preserve"> in </w:t>
      </w:r>
      <w:r w:rsidR="00946C67">
        <w:t xml:space="preserve">major regional centres 2 and </w:t>
      </w:r>
      <w:r w:rsidR="0024510B">
        <w:t>r</w:t>
      </w:r>
      <w:r w:rsidR="001378F3">
        <w:t>egional area</w:t>
      </w:r>
      <w:r w:rsidR="007A3DF5">
        <w:t xml:space="preserve">s 1 </w:t>
      </w:r>
      <w:r w:rsidR="006E4559">
        <w:t xml:space="preserve">and </w:t>
      </w:r>
      <w:r w:rsidR="001378F3">
        <w:t>2</w:t>
      </w:r>
      <w:r w:rsidR="008322CF">
        <w:t>,</w:t>
      </w:r>
      <w:r w:rsidR="0024510B">
        <w:t xml:space="preserve"> there </w:t>
      </w:r>
      <w:r w:rsidR="008E3055">
        <w:t xml:space="preserve">would </w:t>
      </w:r>
      <w:r w:rsidR="0024510B">
        <w:t xml:space="preserve">only </w:t>
      </w:r>
      <w:r w:rsidR="00CE17B4">
        <w:t xml:space="preserve">be </w:t>
      </w:r>
      <w:r w:rsidR="00946C67">
        <w:t xml:space="preserve">20 MHz, </w:t>
      </w:r>
      <w:r w:rsidR="007A3DF5">
        <w:t xml:space="preserve">37.5 MHz and </w:t>
      </w:r>
      <w:r w:rsidR="0024510B">
        <w:t>5 MHz of spectrum</w:t>
      </w:r>
      <w:r w:rsidR="006E4559">
        <w:t>, respectively,</w:t>
      </w:r>
      <w:r w:rsidR="0024510B">
        <w:t xml:space="preserve"> not </w:t>
      </w:r>
      <w:r w:rsidR="004D69C9">
        <w:t xml:space="preserve">encompassed </w:t>
      </w:r>
      <w:r w:rsidR="00946C67">
        <w:t>by</w:t>
      </w:r>
      <w:r w:rsidR="004D69C9">
        <w:t xml:space="preserve"> RBs</w:t>
      </w:r>
      <w:r w:rsidR="008A1ED0">
        <w:t xml:space="preserve">. </w:t>
      </w:r>
    </w:p>
    <w:p w14:paraId="0D9ABAA6" w14:textId="7D585849" w:rsidR="00E32C8E" w:rsidRPr="00116CDF" w:rsidRDefault="00DE6A6D" w:rsidP="00C4584A">
      <w:pPr>
        <w:pStyle w:val="Heading3"/>
      </w:pPr>
      <w:r>
        <w:t xml:space="preserve">Option 2: </w:t>
      </w:r>
      <w:r w:rsidR="006E4559">
        <w:t>i</w:t>
      </w:r>
      <w:r w:rsidR="009B4CC9">
        <w:t xml:space="preserve">ncremental </w:t>
      </w:r>
      <w:r w:rsidR="0023008A">
        <w:t>modification to</w:t>
      </w:r>
      <w:r w:rsidR="00C74661">
        <w:t xml:space="preserve"> planning </w:t>
      </w:r>
      <w:r w:rsidR="00EF1AAB">
        <w:t>decision</w:t>
      </w:r>
    </w:p>
    <w:p w14:paraId="1FEC2941" w14:textId="368A1589" w:rsidR="00B92B06" w:rsidRPr="00B92B06" w:rsidRDefault="00B92B06" w:rsidP="00B92B06">
      <w:pPr>
        <w:pStyle w:val="Paragraph"/>
      </w:pPr>
      <w:r>
        <w:t xml:space="preserve">Option 2 </w:t>
      </w:r>
      <w:r w:rsidR="00E42352">
        <w:t xml:space="preserve">is a modification on Option </w:t>
      </w:r>
      <w:r w:rsidR="008A1ED0">
        <w:t>1 and</w:t>
      </w:r>
      <w:r w:rsidR="00E42352">
        <w:t xml:space="preserve"> introduces more spectrum for spectrum licensing in 3492.</w:t>
      </w:r>
      <w:r w:rsidR="00970810">
        <w:t>5</w:t>
      </w:r>
      <w:r w:rsidR="006E4559">
        <w:t>–</w:t>
      </w:r>
      <w:r w:rsidR="00970810">
        <w:t xml:space="preserve">3495 MHz in </w:t>
      </w:r>
      <w:r w:rsidR="00970810" w:rsidRPr="006E4559">
        <w:t>major regional centres</w:t>
      </w:r>
      <w:r w:rsidR="0009709C" w:rsidRPr="006E4559">
        <w:t xml:space="preserve"> 2</w:t>
      </w:r>
      <w:r w:rsidR="00970810">
        <w:t>, and 3540</w:t>
      </w:r>
      <w:r w:rsidR="006E4559">
        <w:t>–</w:t>
      </w:r>
      <w:r w:rsidR="00970810">
        <w:t>3542.5 MHz in major regional centres</w:t>
      </w:r>
      <w:r w:rsidR="0009709C">
        <w:t xml:space="preserve"> 2</w:t>
      </w:r>
      <w:r w:rsidR="00970810">
        <w:t>, regional area</w:t>
      </w:r>
      <w:r w:rsidR="0064365C">
        <w:t xml:space="preserve"> 1</w:t>
      </w:r>
      <w:r w:rsidR="00422178">
        <w:t xml:space="preserve"> and regional WA central</w:t>
      </w:r>
      <w:r w:rsidR="0064365C">
        <w:t>.</w:t>
      </w:r>
    </w:p>
    <w:p w14:paraId="5CE762A4" w14:textId="76AA8B3B" w:rsidR="00B60346" w:rsidRPr="00B92B06" w:rsidRDefault="006E4559" w:rsidP="001A52BE">
      <w:pPr>
        <w:pStyle w:val="ACMAFigureHeader"/>
        <w:keepNext/>
      </w:pPr>
      <w:r>
        <w:t>P</w:t>
      </w:r>
      <w:r w:rsidR="00B60346">
        <w:t>roposed arrangements under Option 2</w:t>
      </w:r>
    </w:p>
    <w:p w14:paraId="420FC933" w14:textId="61ABF636" w:rsidR="00B92B06" w:rsidRPr="00B92B06" w:rsidRDefault="00860818" w:rsidP="00AF5951">
      <w:pPr>
        <w:pStyle w:val="Paragraph"/>
        <w:keepNext/>
      </w:pPr>
      <w:r w:rsidRPr="00860818">
        <w:rPr>
          <w:noProof/>
        </w:rPr>
        <w:drawing>
          <wp:inline distT="0" distB="0" distL="0" distR="0" wp14:anchorId="0703B329" wp14:editId="79E8FE30">
            <wp:extent cx="5913120" cy="2508316"/>
            <wp:effectExtent l="0" t="0" r="0" b="6350"/>
            <wp:docPr id="7"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a:extLst>
                        <a:ext uri="{C183D7F6-B498-43B3-948B-1728B52AA6E4}">
                          <adec:decorative xmlns:adec="http://schemas.microsoft.com/office/drawing/2017/decorative" val="1"/>
                        </a:ext>
                      </a:extLs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19344" cy="2510956"/>
                    </a:xfrm>
                    <a:prstGeom prst="rect">
                      <a:avLst/>
                    </a:prstGeom>
                    <a:noFill/>
                    <a:ln>
                      <a:noFill/>
                    </a:ln>
                  </pic:spPr>
                </pic:pic>
              </a:graphicData>
            </a:graphic>
          </wp:inline>
        </w:drawing>
      </w:r>
    </w:p>
    <w:p w14:paraId="29AE5CA5" w14:textId="0CD942E0" w:rsidR="008C34BD" w:rsidRDefault="008C34BD" w:rsidP="003B4857">
      <w:pPr>
        <w:pStyle w:val="Paragraphbeforelist"/>
      </w:pPr>
      <w:r>
        <w:t>Under this arrangement, the quantum of spectrum allocated for spectrum and apparatus licensing is:</w:t>
      </w:r>
    </w:p>
    <w:p w14:paraId="1C9DF9A1" w14:textId="4E12E5C1" w:rsidR="00B60346" w:rsidRDefault="00B60346" w:rsidP="003B4857">
      <w:pPr>
        <w:pStyle w:val="Bulletlevel1"/>
      </w:pPr>
      <w:r>
        <w:t>Spectrum licensing</w:t>
      </w:r>
      <w:r w:rsidR="006E4559">
        <w:t>:</w:t>
      </w:r>
    </w:p>
    <w:p w14:paraId="6C807003" w14:textId="2C8AFC69" w:rsidR="0065520A" w:rsidRDefault="0065520A" w:rsidP="0065520A">
      <w:pPr>
        <w:pStyle w:val="Bulletlevel2"/>
      </w:pPr>
      <w:r>
        <w:t>75 MHz (34</w:t>
      </w:r>
      <w:r w:rsidR="000D7A2E">
        <w:t>00</w:t>
      </w:r>
      <w:r>
        <w:t xml:space="preserve">–3475 </w:t>
      </w:r>
      <w:r w:rsidR="000D7A2E">
        <w:t>MHz</w:t>
      </w:r>
      <w:r>
        <w:t>) in urban excise area</w:t>
      </w:r>
      <w:r w:rsidR="00CF61E9">
        <w:t>s</w:t>
      </w:r>
    </w:p>
    <w:p w14:paraId="737E59D2" w14:textId="5C92C24A" w:rsidR="00B60346" w:rsidRDefault="00B60346" w:rsidP="003B4857">
      <w:pPr>
        <w:pStyle w:val="Bulletlevel2"/>
      </w:pPr>
      <w:r>
        <w:t>42.5 MHz (34</w:t>
      </w:r>
      <w:r w:rsidR="007F6AD3">
        <w:t>00</w:t>
      </w:r>
      <w:r>
        <w:t>–3442</w:t>
      </w:r>
      <w:r w:rsidR="000D7A2E">
        <w:t>.</w:t>
      </w:r>
      <w:r>
        <w:t xml:space="preserve">5 </w:t>
      </w:r>
      <w:r w:rsidR="007F6AD3">
        <w:t>MHz</w:t>
      </w:r>
      <w:r>
        <w:t xml:space="preserve">) in regional area 1 </w:t>
      </w:r>
    </w:p>
    <w:p w14:paraId="5148C04E" w14:textId="7324F9B9" w:rsidR="00B60346" w:rsidRDefault="00B60346" w:rsidP="003B4857">
      <w:pPr>
        <w:pStyle w:val="Bulletlevel2"/>
      </w:pPr>
      <w:r>
        <w:t>25 MHz (34</w:t>
      </w:r>
      <w:r w:rsidR="007F6AD3">
        <w:t>00</w:t>
      </w:r>
      <w:r>
        <w:t xml:space="preserve">–3425 </w:t>
      </w:r>
      <w:r w:rsidR="00A26603">
        <w:t>MHz</w:t>
      </w:r>
      <w:r>
        <w:t>) in major regional centres</w:t>
      </w:r>
      <w:r w:rsidR="0006738B">
        <w:t xml:space="preserve"> 2</w:t>
      </w:r>
    </w:p>
    <w:p w14:paraId="6F064347" w14:textId="7C49887B" w:rsidR="00B60346" w:rsidRDefault="00B60346" w:rsidP="003B4857">
      <w:pPr>
        <w:pStyle w:val="Bulletlevel2"/>
      </w:pPr>
      <w:r>
        <w:t>2.5 MHz (3492</w:t>
      </w:r>
      <w:r w:rsidR="00A26603">
        <w:t>.</w:t>
      </w:r>
      <w:r>
        <w:t xml:space="preserve">5–3495 </w:t>
      </w:r>
      <w:r w:rsidR="00A26603">
        <w:t>MHz</w:t>
      </w:r>
      <w:r>
        <w:t>) in major regional centres</w:t>
      </w:r>
      <w:r w:rsidR="0006738B">
        <w:t xml:space="preserve"> 2</w:t>
      </w:r>
    </w:p>
    <w:p w14:paraId="5E4FFDEA" w14:textId="67054035" w:rsidR="00B60346" w:rsidRDefault="00B60346" w:rsidP="003B4857">
      <w:pPr>
        <w:pStyle w:val="Bulletlevel2"/>
      </w:pPr>
      <w:r>
        <w:t>2.5 MHz (354</w:t>
      </w:r>
      <w:r w:rsidR="00F6156B">
        <w:t>0</w:t>
      </w:r>
      <w:r>
        <w:t>–3542</w:t>
      </w:r>
      <w:r w:rsidR="006831BF">
        <w:t>.</w:t>
      </w:r>
      <w:r>
        <w:t xml:space="preserve">5 </w:t>
      </w:r>
      <w:r w:rsidR="00A26603">
        <w:t>M</w:t>
      </w:r>
      <w:r>
        <w:t>Hz) in regional area 1</w:t>
      </w:r>
      <w:r w:rsidR="005E1831">
        <w:t>, regional Western Australia central</w:t>
      </w:r>
      <w:r>
        <w:t xml:space="preserve"> and major regional centres</w:t>
      </w:r>
      <w:r w:rsidR="005E1831">
        <w:t xml:space="preserve"> 2</w:t>
      </w:r>
    </w:p>
    <w:p w14:paraId="4AAC05EE" w14:textId="716DE800" w:rsidR="0065520A" w:rsidRDefault="0065520A" w:rsidP="0065520A">
      <w:pPr>
        <w:pStyle w:val="Bulletlevel2"/>
      </w:pPr>
      <w:r>
        <w:t>32.5 MHz (3542</w:t>
      </w:r>
      <w:r w:rsidR="006831BF">
        <w:t>.</w:t>
      </w:r>
      <w:r>
        <w:t>5</w:t>
      </w:r>
      <w:r w:rsidR="006E4559">
        <w:t>–</w:t>
      </w:r>
      <w:r>
        <w:t xml:space="preserve">3575 </w:t>
      </w:r>
      <w:r w:rsidR="00A26603">
        <w:t>M</w:t>
      </w:r>
      <w:r>
        <w:t xml:space="preserve">Hz) in regional Western Australia </w:t>
      </w:r>
      <w:r w:rsidR="007D7570">
        <w:t>central</w:t>
      </w:r>
    </w:p>
    <w:p w14:paraId="3DCCF56A" w14:textId="26D8CAC5" w:rsidR="00B60346" w:rsidRDefault="00B60346" w:rsidP="003B4857">
      <w:pPr>
        <w:pStyle w:val="Bulletlevel2"/>
      </w:pPr>
      <w:r>
        <w:t>100 MHz (37</w:t>
      </w:r>
      <w:r w:rsidR="006831BF">
        <w:t>00</w:t>
      </w:r>
      <w:r>
        <w:t>–38</w:t>
      </w:r>
      <w:r w:rsidR="008C2CAF">
        <w:t>00</w:t>
      </w:r>
      <w:r>
        <w:t xml:space="preserve"> </w:t>
      </w:r>
      <w:r w:rsidR="00A26603">
        <w:t>M</w:t>
      </w:r>
      <w:r>
        <w:t xml:space="preserve">Hz) in metropolitan and </w:t>
      </w:r>
      <w:r w:rsidR="007D7570">
        <w:t xml:space="preserve">all </w:t>
      </w:r>
      <w:r>
        <w:t>regional areas</w:t>
      </w:r>
    </w:p>
    <w:p w14:paraId="7AEFC390" w14:textId="6E89FD74" w:rsidR="00B60346" w:rsidRDefault="00B60346" w:rsidP="003B4857">
      <w:pPr>
        <w:pStyle w:val="Bulletlevel1"/>
      </w:pPr>
      <w:r>
        <w:t>Apparatus licensing</w:t>
      </w:r>
      <w:r w:rsidR="006E4559">
        <w:t>:</w:t>
      </w:r>
    </w:p>
    <w:p w14:paraId="5B2E6645" w14:textId="5D435D09" w:rsidR="00B60346" w:rsidRDefault="00B60346" w:rsidP="003B4857">
      <w:pPr>
        <w:pStyle w:val="Bulletlevel2"/>
      </w:pPr>
      <w:r>
        <w:t>600 MHz (34</w:t>
      </w:r>
      <w:r w:rsidR="008C2CAF">
        <w:t>00</w:t>
      </w:r>
      <w:r>
        <w:t>–40</w:t>
      </w:r>
      <w:r w:rsidR="008C2CAF">
        <w:t>00</w:t>
      </w:r>
      <w:r>
        <w:t xml:space="preserve"> </w:t>
      </w:r>
      <w:r w:rsidR="008C2CAF">
        <w:t>MHz</w:t>
      </w:r>
      <w:r>
        <w:t>) in remote areas</w:t>
      </w:r>
    </w:p>
    <w:p w14:paraId="1E1641C1" w14:textId="771CE8EF" w:rsidR="00B60346" w:rsidRDefault="00B60346" w:rsidP="003B4857">
      <w:pPr>
        <w:pStyle w:val="Bulletlevel2"/>
      </w:pPr>
      <w:r>
        <w:t>45 MHz (3495–354</w:t>
      </w:r>
      <w:r w:rsidR="008C2CAF">
        <w:t>0</w:t>
      </w:r>
      <w:r>
        <w:t xml:space="preserve"> </w:t>
      </w:r>
      <w:r w:rsidR="008C2CAF">
        <w:t>MHz</w:t>
      </w:r>
      <w:r>
        <w:t>) in major regional centres</w:t>
      </w:r>
      <w:r w:rsidR="005E1831">
        <w:t xml:space="preserve"> 2</w:t>
      </w:r>
    </w:p>
    <w:p w14:paraId="56E5570A" w14:textId="6BFA1CD8" w:rsidR="00B60346" w:rsidRDefault="00B60346" w:rsidP="003B4857">
      <w:pPr>
        <w:pStyle w:val="Bulletlevel2"/>
      </w:pPr>
      <w:r>
        <w:t>35 MHz (3475–351</w:t>
      </w:r>
      <w:r w:rsidR="00D43F3C">
        <w:t>0</w:t>
      </w:r>
      <w:r>
        <w:t xml:space="preserve"> </w:t>
      </w:r>
      <w:r w:rsidR="00D43F3C">
        <w:t>MHz</w:t>
      </w:r>
      <w:r>
        <w:t xml:space="preserve">) in regional area </w:t>
      </w:r>
      <w:r w:rsidR="007F1DD7">
        <w:t>2</w:t>
      </w:r>
    </w:p>
    <w:p w14:paraId="3748F0E0" w14:textId="5118EEDF" w:rsidR="00B60346" w:rsidRDefault="00B60346" w:rsidP="00505E35">
      <w:pPr>
        <w:pStyle w:val="Bulletlevel2"/>
      </w:pPr>
      <w:r>
        <w:t>65 MHz (3475–354</w:t>
      </w:r>
      <w:r w:rsidR="00D43F3C">
        <w:t>0</w:t>
      </w:r>
      <w:r>
        <w:t xml:space="preserve"> </w:t>
      </w:r>
      <w:r w:rsidR="00D43F3C">
        <w:t>MHz</w:t>
      </w:r>
      <w:r>
        <w:t>) in regional area 1</w:t>
      </w:r>
      <w:r w:rsidR="00A86EB5">
        <w:t xml:space="preserve"> and regional Western Australia central </w:t>
      </w:r>
    </w:p>
    <w:p w14:paraId="044D9DD7" w14:textId="1BC3EEF2" w:rsidR="00B60346" w:rsidRDefault="00B60346">
      <w:pPr>
        <w:pStyle w:val="Bulletlevel2last"/>
      </w:pPr>
      <w:r>
        <w:t>200 MHz (38</w:t>
      </w:r>
      <w:r w:rsidR="00D43F3C">
        <w:t>00</w:t>
      </w:r>
      <w:r>
        <w:t>–40</w:t>
      </w:r>
      <w:r w:rsidR="00D43F3C">
        <w:t>00</w:t>
      </w:r>
      <w:r>
        <w:t xml:space="preserve"> </w:t>
      </w:r>
      <w:r w:rsidR="00D43F3C">
        <w:t>MHz</w:t>
      </w:r>
      <w:r>
        <w:t xml:space="preserve">) in metropolitan and </w:t>
      </w:r>
      <w:r w:rsidR="00E41BCA">
        <w:t xml:space="preserve">all </w:t>
      </w:r>
      <w:r>
        <w:t>regional areas</w:t>
      </w:r>
      <w:r w:rsidR="00775E31">
        <w:t>.</w:t>
      </w:r>
    </w:p>
    <w:p w14:paraId="0755B886" w14:textId="75B23947" w:rsidR="00E17F6D" w:rsidRDefault="00C31AA8" w:rsidP="003B4857">
      <w:pPr>
        <w:pStyle w:val="Paragraph"/>
      </w:pPr>
      <w:r>
        <w:t xml:space="preserve">We consider that Option 2 </w:t>
      </w:r>
      <w:r w:rsidR="00A10E4E">
        <w:t xml:space="preserve">also provides relatively </w:t>
      </w:r>
      <w:r w:rsidR="00A41E67">
        <w:t xml:space="preserve">modest </w:t>
      </w:r>
      <w:r w:rsidR="00A10E4E">
        <w:t>benefits from the further defragmentation of spectrum holdin</w:t>
      </w:r>
      <w:r w:rsidR="00050231">
        <w:t xml:space="preserve">gs. As with Option 1, the effects of orphaned spectrum may be reduced or removed. Additionally, spectrum licensees could have access to larger contiguous channel bandwidths in some regional areas. </w:t>
      </w:r>
      <w:r w:rsidR="00555197">
        <w:t>This means</w:t>
      </w:r>
      <w:r w:rsidR="00725FE3">
        <w:t xml:space="preserve"> Option 2 primarily benefits existing </w:t>
      </w:r>
      <w:r w:rsidR="008F5655">
        <w:t xml:space="preserve">spectrum licensees. </w:t>
      </w:r>
    </w:p>
    <w:p w14:paraId="15051C44" w14:textId="516752B6" w:rsidR="00720556" w:rsidRDefault="003779BD" w:rsidP="003C4FA2">
      <w:pPr>
        <w:pStyle w:val="Paragraphbeforelist"/>
      </w:pPr>
      <w:r>
        <w:t>Like Option 1, a</w:t>
      </w:r>
      <w:r w:rsidR="006C50D3">
        <w:t>nother</w:t>
      </w:r>
      <w:r w:rsidR="00BA577C">
        <w:t xml:space="preserve"> benefit of Option 2 is that </w:t>
      </w:r>
      <w:r w:rsidR="00BC1B2E">
        <w:t xml:space="preserve">there would be </w:t>
      </w:r>
      <w:r w:rsidR="00D04E46">
        <w:t xml:space="preserve">no </w:t>
      </w:r>
      <w:r w:rsidR="00BC1B2E">
        <w:t xml:space="preserve">impact on incumbent </w:t>
      </w:r>
      <w:r w:rsidR="003A5CE7">
        <w:t>point-to-multipoint licences in the 3475</w:t>
      </w:r>
      <w:r w:rsidR="006E4559">
        <w:t>–</w:t>
      </w:r>
      <w:r w:rsidR="003A5CE7">
        <w:t>3510 MHz band</w:t>
      </w:r>
      <w:r w:rsidR="006E4559">
        <w:t>,</w:t>
      </w:r>
      <w:r w:rsidR="002B1D93">
        <w:t xml:space="preserve"> and limited impact on </w:t>
      </w:r>
      <w:r w:rsidR="009B4CC9">
        <w:t>amateur</w:t>
      </w:r>
      <w:r w:rsidR="002B1D93">
        <w:t xml:space="preserve"> an</w:t>
      </w:r>
      <w:r w:rsidR="001969FB">
        <w:t>d</w:t>
      </w:r>
      <w:r w:rsidR="002B1D93">
        <w:t xml:space="preserve"> </w:t>
      </w:r>
      <w:r w:rsidR="009B4CC9">
        <w:t>FSS use of the band</w:t>
      </w:r>
      <w:r w:rsidR="003A5CE7">
        <w:t xml:space="preserve">. </w:t>
      </w:r>
      <w:r w:rsidR="00A7172A">
        <w:t xml:space="preserve">However, </w:t>
      </w:r>
      <w:r w:rsidR="00A278EF">
        <w:t>key disadvantages are</w:t>
      </w:r>
      <w:r w:rsidR="00720556">
        <w:t>:</w:t>
      </w:r>
      <w:r w:rsidR="004E09D7">
        <w:t xml:space="preserve"> </w:t>
      </w:r>
    </w:p>
    <w:p w14:paraId="6BF6191D" w14:textId="399BF4C3" w:rsidR="00720556" w:rsidRDefault="006E4559" w:rsidP="003C4FA2">
      <w:pPr>
        <w:pStyle w:val="Bulletlevel1"/>
      </w:pPr>
      <w:r>
        <w:t>t</w:t>
      </w:r>
      <w:r w:rsidR="00A278EF">
        <w:t xml:space="preserve">here is a </w:t>
      </w:r>
      <w:r w:rsidR="00720556">
        <w:t xml:space="preserve">5 MHz reduction of </w:t>
      </w:r>
      <w:r w:rsidR="0011341D">
        <w:t>usable</w:t>
      </w:r>
      <w:r w:rsidR="00720556">
        <w:t xml:space="preserve"> AWL spectrum in major regional </w:t>
      </w:r>
      <w:r w:rsidR="00A278EF">
        <w:t>centres</w:t>
      </w:r>
      <w:r w:rsidR="00BF446D">
        <w:t> </w:t>
      </w:r>
      <w:r w:rsidR="00A278EF">
        <w:t>2</w:t>
      </w:r>
    </w:p>
    <w:p w14:paraId="6C1C02A9" w14:textId="2986D908" w:rsidR="00BA577C" w:rsidRDefault="006E4559" w:rsidP="003C4FA2">
      <w:pPr>
        <w:pStyle w:val="Bulletlevel1last"/>
      </w:pPr>
      <w:r>
        <w:t>s</w:t>
      </w:r>
      <w:r w:rsidR="00C52F1C">
        <w:t xml:space="preserve">imilar to Option 1, it results </w:t>
      </w:r>
      <w:r w:rsidR="004E09D7">
        <w:t xml:space="preserve">in the greatest amount of spectrum being encompassed in </w:t>
      </w:r>
      <w:r w:rsidR="00976F57">
        <w:t>RBs</w:t>
      </w:r>
      <w:r w:rsidR="004E09D7">
        <w:t>.</w:t>
      </w:r>
      <w:r w:rsidR="00DD69FD">
        <w:t xml:space="preserve"> </w:t>
      </w:r>
      <w:r w:rsidR="00334888">
        <w:t>The application of RBs has the greatest impact to the availability and utility of AWL spectrum in the 3475</w:t>
      </w:r>
      <w:r>
        <w:t>–</w:t>
      </w:r>
      <w:r w:rsidR="00334888">
        <w:t xml:space="preserve">3542.5 MHz band in regional </w:t>
      </w:r>
      <w:r w:rsidR="00334888" w:rsidRPr="003C4FA2">
        <w:t>areas</w:t>
      </w:r>
      <w:r w:rsidR="00334888">
        <w:t xml:space="preserve"> – with up to 30 MHz </w:t>
      </w:r>
      <w:r w:rsidR="00460552">
        <w:t xml:space="preserve">encompassed </w:t>
      </w:r>
      <w:r w:rsidR="00882A96">
        <w:t>for</w:t>
      </w:r>
      <w:r w:rsidR="00460552">
        <w:t xml:space="preserve"> such use</w:t>
      </w:r>
      <w:r w:rsidR="001116EB">
        <w:t xml:space="preserve"> in this frequency range</w:t>
      </w:r>
      <w:r w:rsidR="000D21BE">
        <w:t>.</w:t>
      </w:r>
      <w:r w:rsidR="00334888">
        <w:t xml:space="preserve"> </w:t>
      </w:r>
    </w:p>
    <w:p w14:paraId="53954950" w14:textId="6C37EB29" w:rsidR="00A81A68" w:rsidRPr="00A333F0" w:rsidRDefault="00B60346" w:rsidP="00C4584A">
      <w:pPr>
        <w:pStyle w:val="Heading3"/>
      </w:pPr>
      <w:r w:rsidRPr="00A333F0">
        <w:t xml:space="preserve">Option 3: </w:t>
      </w:r>
      <w:r w:rsidR="006E4559">
        <w:t>c</w:t>
      </w:r>
      <w:r w:rsidR="003A4F21">
        <w:t>onsolidated</w:t>
      </w:r>
      <w:r w:rsidR="003A4F21" w:rsidRPr="00A333F0">
        <w:t xml:space="preserve"> </w:t>
      </w:r>
      <w:r w:rsidRPr="00A333F0">
        <w:t>planning arrangement</w:t>
      </w:r>
      <w:r w:rsidR="0009374A" w:rsidRPr="00A333F0">
        <w:t>s</w:t>
      </w:r>
      <w:r w:rsidR="00C07EAC">
        <w:t xml:space="preserve"> </w:t>
      </w:r>
    </w:p>
    <w:p w14:paraId="589A5E44" w14:textId="5C69E208" w:rsidR="008C34BD" w:rsidRDefault="007475E9" w:rsidP="007475E9">
      <w:pPr>
        <w:pStyle w:val="Paragraph"/>
      </w:pPr>
      <w:r w:rsidRPr="00A333F0">
        <w:t>Option 3</w:t>
      </w:r>
      <w:r w:rsidR="007E7E5B" w:rsidRPr="00A333F0">
        <w:t xml:space="preserve"> is</w:t>
      </w:r>
      <w:r w:rsidR="00AA149C">
        <w:t xml:space="preserve"> the ACMA’s preliminary preferred </w:t>
      </w:r>
      <w:r w:rsidR="008E4835">
        <w:t>option and is</w:t>
      </w:r>
      <w:r w:rsidR="007E7E5B" w:rsidRPr="00A333F0">
        <w:t xml:space="preserve"> reflected in </w:t>
      </w:r>
      <w:r w:rsidR="008E4835">
        <w:t xml:space="preserve">our </w:t>
      </w:r>
      <w:r w:rsidR="007E7E5B" w:rsidRPr="00A333F0">
        <w:t xml:space="preserve">proposed </w:t>
      </w:r>
      <w:r w:rsidR="00340B19" w:rsidRPr="00A333F0">
        <w:t xml:space="preserve">re-allocation declaration. Option 3 </w:t>
      </w:r>
      <w:r w:rsidR="002F5D08">
        <w:t>provides for</w:t>
      </w:r>
      <w:r w:rsidR="00340B19" w:rsidRPr="00A333F0">
        <w:t xml:space="preserve"> consolidated spectrum</w:t>
      </w:r>
      <w:r w:rsidR="008E4835">
        <w:t xml:space="preserve"> </w:t>
      </w:r>
      <w:r w:rsidR="002822FF">
        <w:t xml:space="preserve">licence </w:t>
      </w:r>
      <w:r w:rsidR="00527A50">
        <w:t>arrangements</w:t>
      </w:r>
      <w:r w:rsidR="00340B19" w:rsidRPr="00A333F0">
        <w:t xml:space="preserve"> between 3400</w:t>
      </w:r>
      <w:r w:rsidR="006E4559">
        <w:t>–</w:t>
      </w:r>
      <w:r w:rsidR="004B13B7" w:rsidRPr="00A333F0">
        <w:t>3</w:t>
      </w:r>
      <w:r w:rsidR="00BF72FA">
        <w:t>8</w:t>
      </w:r>
      <w:r w:rsidR="004B13B7" w:rsidRPr="00A333F0">
        <w:t>00 MHz in metropolitan areas and</w:t>
      </w:r>
      <w:r w:rsidR="00BF72FA">
        <w:t xml:space="preserve"> between 3400</w:t>
      </w:r>
      <w:r w:rsidR="006E4559">
        <w:t>–</w:t>
      </w:r>
      <w:r w:rsidR="00BF72FA">
        <w:t>3750</w:t>
      </w:r>
      <w:r w:rsidR="00270B8C">
        <w:t> </w:t>
      </w:r>
      <w:r w:rsidR="00BF72FA">
        <w:t>MHz in</w:t>
      </w:r>
      <w:r w:rsidR="004B13B7" w:rsidRPr="00A333F0">
        <w:t xml:space="preserve"> all regional areas.</w:t>
      </w:r>
      <w:r w:rsidR="00321851">
        <w:t xml:space="preserve"> It also consolidates AWL </w:t>
      </w:r>
      <w:r w:rsidR="00862D25">
        <w:t>arrangements</w:t>
      </w:r>
      <w:r w:rsidR="00321851">
        <w:t xml:space="preserve"> </w:t>
      </w:r>
      <w:r w:rsidR="008846E2">
        <w:t xml:space="preserve">in regional areas into a </w:t>
      </w:r>
      <w:r w:rsidR="00862D25">
        <w:t>contiguous</w:t>
      </w:r>
      <w:r w:rsidR="008846E2">
        <w:t xml:space="preserve"> 250 MHz</w:t>
      </w:r>
      <w:r w:rsidR="00862D25">
        <w:t xml:space="preserve"> bandwidth in the 3750</w:t>
      </w:r>
      <w:r w:rsidR="006E4559">
        <w:t>–</w:t>
      </w:r>
      <w:r w:rsidR="00862D25">
        <w:t>4000 MHz band.</w:t>
      </w:r>
      <w:r w:rsidR="00496D25" w:rsidRPr="00A333F0">
        <w:t xml:space="preserve"> </w:t>
      </w:r>
    </w:p>
    <w:p w14:paraId="52B870CD" w14:textId="7AC8613F" w:rsidR="007475E9" w:rsidRPr="007475E9" w:rsidRDefault="006E4559" w:rsidP="008C34BD">
      <w:pPr>
        <w:pStyle w:val="Figureheading"/>
      </w:pPr>
      <w:r>
        <w:t>P</w:t>
      </w:r>
      <w:r w:rsidR="008C34BD">
        <w:t>roposed arrangements under Option 3</w:t>
      </w:r>
      <w:r w:rsidR="00496D25">
        <w:t xml:space="preserve"> </w:t>
      </w:r>
    </w:p>
    <w:p w14:paraId="7CCB7801" w14:textId="23A712DF" w:rsidR="008C34BD" w:rsidRDefault="006351DE" w:rsidP="008C34BD">
      <w:pPr>
        <w:pStyle w:val="Paragraph"/>
      </w:pPr>
      <w:r w:rsidRPr="00D170A6">
        <w:rPr>
          <w:noProof/>
        </w:rPr>
        <w:drawing>
          <wp:inline distT="0" distB="0" distL="0" distR="0" wp14:anchorId="5F9F76A0" wp14:editId="6E9ED010">
            <wp:extent cx="6082748" cy="2696179"/>
            <wp:effectExtent l="0" t="0" r="0" b="9525"/>
            <wp:docPr id="30" name="Picture 30"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If you need help accessing or reading this diagram, please contact the ACMA's Customer Service Centre by phone on 1300 850 115 or by email at info@acma.gov.au"/>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03772" cy="2705498"/>
                    </a:xfrm>
                    <a:prstGeom prst="rect">
                      <a:avLst/>
                    </a:prstGeom>
                    <a:noFill/>
                    <a:ln>
                      <a:noFill/>
                    </a:ln>
                  </pic:spPr>
                </pic:pic>
              </a:graphicData>
            </a:graphic>
          </wp:inline>
        </w:drawing>
      </w:r>
    </w:p>
    <w:p w14:paraId="7137664C" w14:textId="0F238FD2" w:rsidR="008C34BD" w:rsidRDefault="008C34BD" w:rsidP="00812C12">
      <w:pPr>
        <w:pStyle w:val="Paragraphbeforelist"/>
        <w:keepLines/>
      </w:pPr>
      <w:r>
        <w:t>Under this arrangement, the quantum of spectrum allocated for spectrum and apparatus licensing is:</w:t>
      </w:r>
    </w:p>
    <w:p w14:paraId="15DFA641" w14:textId="389C9DA1" w:rsidR="00775E31" w:rsidRDefault="00775E31" w:rsidP="00812C12">
      <w:pPr>
        <w:pStyle w:val="Bulletlevel1"/>
        <w:keepNext/>
        <w:keepLines/>
      </w:pPr>
      <w:r>
        <w:t>Spectrum licensing</w:t>
      </w:r>
      <w:r w:rsidR="006E4559">
        <w:t>:</w:t>
      </w:r>
    </w:p>
    <w:p w14:paraId="7636D47A" w14:textId="5A4B7F27" w:rsidR="00EE0C4E" w:rsidRDefault="006E4D53" w:rsidP="00812C12">
      <w:pPr>
        <w:pStyle w:val="Bulletlevel2"/>
        <w:keepNext/>
        <w:keepLines/>
      </w:pPr>
      <w:r>
        <w:t>75 MHz (34</w:t>
      </w:r>
      <w:r w:rsidR="00F90032">
        <w:t>00</w:t>
      </w:r>
      <w:r w:rsidR="00AE5589">
        <w:t xml:space="preserve">–3475 </w:t>
      </w:r>
      <w:r w:rsidR="00F90032">
        <w:t>MHz</w:t>
      </w:r>
      <w:r w:rsidR="00AE5589">
        <w:t xml:space="preserve">) in </w:t>
      </w:r>
      <w:r w:rsidR="00511DAF">
        <w:t>urban excise area</w:t>
      </w:r>
      <w:r w:rsidR="00CF61E9">
        <w:t>s</w:t>
      </w:r>
    </w:p>
    <w:p w14:paraId="3FF9CAA1" w14:textId="37106403" w:rsidR="00775E31" w:rsidRDefault="00775E31" w:rsidP="00812C12">
      <w:pPr>
        <w:pStyle w:val="Bulletlevel2"/>
        <w:keepNext/>
        <w:keepLines/>
      </w:pPr>
      <w:r>
        <w:t>42.5 MHz (3</w:t>
      </w:r>
      <w:r w:rsidR="00C34E58">
        <w:t>400</w:t>
      </w:r>
      <w:r>
        <w:t>–3442</w:t>
      </w:r>
      <w:r w:rsidR="00F90032">
        <w:t>.</w:t>
      </w:r>
      <w:r>
        <w:t xml:space="preserve">5 </w:t>
      </w:r>
      <w:r w:rsidR="00F90032">
        <w:t>MHz</w:t>
      </w:r>
      <w:r>
        <w:t>) in regional area 1</w:t>
      </w:r>
    </w:p>
    <w:p w14:paraId="6CDF531C" w14:textId="75A63690" w:rsidR="00775E31" w:rsidRDefault="00775E31" w:rsidP="00812C12">
      <w:pPr>
        <w:pStyle w:val="Bulletlevel2"/>
        <w:keepNext/>
        <w:keepLines/>
      </w:pPr>
      <w:r>
        <w:t>25 MHz (34</w:t>
      </w:r>
      <w:r w:rsidR="00F90032">
        <w:t>00</w:t>
      </w:r>
      <w:r>
        <w:t xml:space="preserve">–3425 </w:t>
      </w:r>
      <w:r w:rsidR="00F90032">
        <w:t>M</w:t>
      </w:r>
      <w:r>
        <w:t>Hz) in major regional centres</w:t>
      </w:r>
      <w:r w:rsidR="006C6710">
        <w:t xml:space="preserve"> 2</w:t>
      </w:r>
    </w:p>
    <w:p w14:paraId="4E844418" w14:textId="0C6F4737" w:rsidR="00775E31" w:rsidRDefault="00775E31" w:rsidP="00812C12">
      <w:pPr>
        <w:pStyle w:val="Bulletlevel2"/>
        <w:keepNext/>
        <w:keepLines/>
      </w:pPr>
      <w:r>
        <w:t>67.5 MHz (3475–3542</w:t>
      </w:r>
      <w:r w:rsidR="00F90032">
        <w:t>.</w:t>
      </w:r>
      <w:r>
        <w:t xml:space="preserve">5 </w:t>
      </w:r>
      <w:r w:rsidR="00F90032">
        <w:t>M</w:t>
      </w:r>
      <w:r>
        <w:t>Hz) in regional area 1</w:t>
      </w:r>
    </w:p>
    <w:p w14:paraId="43352E5A" w14:textId="0AD9874F" w:rsidR="00775E31" w:rsidRDefault="00775E31" w:rsidP="00812C12">
      <w:pPr>
        <w:pStyle w:val="Bulletlevel2"/>
        <w:keepNext/>
        <w:keepLines/>
      </w:pPr>
      <w:r>
        <w:t>35 MHz (3475–351</w:t>
      </w:r>
      <w:r w:rsidR="00F90032">
        <w:t>0</w:t>
      </w:r>
      <w:r>
        <w:t xml:space="preserve"> </w:t>
      </w:r>
      <w:r w:rsidR="00F90032">
        <w:t>M</w:t>
      </w:r>
      <w:r>
        <w:t xml:space="preserve">Hz) in regional area </w:t>
      </w:r>
      <w:r w:rsidR="007F1DD7">
        <w:t>2</w:t>
      </w:r>
    </w:p>
    <w:p w14:paraId="6A40002B" w14:textId="0F6509F3" w:rsidR="00775E31" w:rsidRDefault="00775E31" w:rsidP="003B4857">
      <w:pPr>
        <w:pStyle w:val="Bulletlevel2"/>
      </w:pPr>
      <w:r>
        <w:t>50 MHz (3492</w:t>
      </w:r>
      <w:r w:rsidR="00F90032">
        <w:t>.</w:t>
      </w:r>
      <w:r>
        <w:t>5–3542</w:t>
      </w:r>
      <w:r w:rsidR="00F90032">
        <w:t>.</w:t>
      </w:r>
      <w:r>
        <w:t xml:space="preserve">5 </w:t>
      </w:r>
      <w:r w:rsidR="00F90032">
        <w:t>M</w:t>
      </w:r>
      <w:r>
        <w:t>Hz) in major regional centres</w:t>
      </w:r>
      <w:r w:rsidR="00215AB9">
        <w:t xml:space="preserve"> 2</w:t>
      </w:r>
    </w:p>
    <w:p w14:paraId="23B096FD" w14:textId="34D125D3" w:rsidR="005F66B7" w:rsidRDefault="00304DE5" w:rsidP="003B4857">
      <w:pPr>
        <w:pStyle w:val="Bulletlevel2"/>
      </w:pPr>
      <w:r>
        <w:t>100</w:t>
      </w:r>
      <w:r w:rsidR="005F66B7">
        <w:t xml:space="preserve"> MHz (</w:t>
      </w:r>
      <w:r w:rsidR="00484AA8">
        <w:t>3</w:t>
      </w:r>
      <w:r w:rsidR="005A01AF">
        <w:t>475</w:t>
      </w:r>
      <w:r w:rsidR="00EE7DD9">
        <w:t>–</w:t>
      </w:r>
      <w:r w:rsidR="00EE0C4E">
        <w:t xml:space="preserve">3575 </w:t>
      </w:r>
      <w:r w:rsidR="00F90032">
        <w:t>M</w:t>
      </w:r>
      <w:r w:rsidR="00EE0C4E">
        <w:t xml:space="preserve">Hz) in regional Western Australia </w:t>
      </w:r>
      <w:r w:rsidR="003B3154">
        <w:t>central</w:t>
      </w:r>
    </w:p>
    <w:p w14:paraId="34536AC8" w14:textId="695577FF" w:rsidR="00775E31" w:rsidRDefault="00775E31" w:rsidP="003B4857">
      <w:pPr>
        <w:pStyle w:val="Bulletlevel2"/>
      </w:pPr>
      <w:r>
        <w:t>50 MHz (37</w:t>
      </w:r>
      <w:r w:rsidR="00F90032">
        <w:t>00</w:t>
      </w:r>
      <w:r>
        <w:t>–375</w:t>
      </w:r>
      <w:r w:rsidR="00F90032">
        <w:t>0</w:t>
      </w:r>
      <w:r>
        <w:t xml:space="preserve"> </w:t>
      </w:r>
      <w:r w:rsidR="00F90032">
        <w:t>M</w:t>
      </w:r>
      <w:r>
        <w:t xml:space="preserve">Hz) in </w:t>
      </w:r>
      <w:r w:rsidR="003B3154">
        <w:t xml:space="preserve">all </w:t>
      </w:r>
      <w:r>
        <w:t>regional areas</w:t>
      </w:r>
    </w:p>
    <w:p w14:paraId="7F34497A" w14:textId="22967EA9" w:rsidR="00775E31" w:rsidRDefault="00775E31" w:rsidP="003B4857">
      <w:pPr>
        <w:pStyle w:val="Bulletlevel2"/>
      </w:pPr>
      <w:r>
        <w:t>100 MHz (37</w:t>
      </w:r>
      <w:r w:rsidR="00F90032">
        <w:t>00</w:t>
      </w:r>
      <w:r>
        <w:t>–38</w:t>
      </w:r>
      <w:r w:rsidR="00F90032">
        <w:t>00</w:t>
      </w:r>
      <w:r>
        <w:t xml:space="preserve"> </w:t>
      </w:r>
      <w:r w:rsidR="00F90032">
        <w:t>M</w:t>
      </w:r>
      <w:r>
        <w:t>Hz) in metropolitan areas</w:t>
      </w:r>
      <w:r w:rsidR="003B3154">
        <w:t xml:space="preserve"> (including Hobart)</w:t>
      </w:r>
    </w:p>
    <w:p w14:paraId="13F3D0D3" w14:textId="7337EC7E" w:rsidR="00775E31" w:rsidRDefault="00775E31" w:rsidP="003B4857">
      <w:pPr>
        <w:pStyle w:val="Bulletlevel1"/>
      </w:pPr>
      <w:r>
        <w:t>Apparatus licensing</w:t>
      </w:r>
      <w:r w:rsidR="006E4559">
        <w:t>:</w:t>
      </w:r>
    </w:p>
    <w:p w14:paraId="0B9ED9BD" w14:textId="3814D1B0" w:rsidR="00775E31" w:rsidRDefault="00775E31" w:rsidP="003B4857">
      <w:pPr>
        <w:pStyle w:val="Bulletlevel2"/>
      </w:pPr>
      <w:r>
        <w:t>600 MHz (34</w:t>
      </w:r>
      <w:r w:rsidR="00F90032">
        <w:t>00</w:t>
      </w:r>
      <w:r>
        <w:t>–40</w:t>
      </w:r>
      <w:r w:rsidR="00F90032">
        <w:t>00</w:t>
      </w:r>
      <w:r>
        <w:t xml:space="preserve"> </w:t>
      </w:r>
      <w:r w:rsidR="00F90032">
        <w:t>M</w:t>
      </w:r>
      <w:r>
        <w:t>Hz) in remote areas</w:t>
      </w:r>
    </w:p>
    <w:p w14:paraId="6813EC24" w14:textId="4E138C8A" w:rsidR="00775E31" w:rsidRDefault="00775E31" w:rsidP="003B4857">
      <w:pPr>
        <w:pStyle w:val="Bulletlevel2"/>
      </w:pPr>
      <w:r>
        <w:t>250 MHz (375</w:t>
      </w:r>
      <w:r w:rsidR="00F90032">
        <w:t>0</w:t>
      </w:r>
      <w:r>
        <w:t>–40</w:t>
      </w:r>
      <w:r w:rsidR="00F90032">
        <w:t>00</w:t>
      </w:r>
      <w:r>
        <w:t xml:space="preserve"> </w:t>
      </w:r>
      <w:r w:rsidR="00F90032">
        <w:t>M</w:t>
      </w:r>
      <w:r>
        <w:t xml:space="preserve">Hz) in </w:t>
      </w:r>
      <w:r w:rsidR="0099584D">
        <w:t xml:space="preserve">all </w:t>
      </w:r>
      <w:r>
        <w:t>regional areas</w:t>
      </w:r>
    </w:p>
    <w:p w14:paraId="5F572207" w14:textId="2EF84B42" w:rsidR="00775E31" w:rsidRDefault="00775E31" w:rsidP="00775E31">
      <w:pPr>
        <w:pStyle w:val="Bulletlevel2last"/>
      </w:pPr>
      <w:r>
        <w:t>200 MHz (38</w:t>
      </w:r>
      <w:r w:rsidR="00F90032">
        <w:t>00</w:t>
      </w:r>
      <w:r>
        <w:t>–40</w:t>
      </w:r>
      <w:r w:rsidR="00F90032">
        <w:t>00</w:t>
      </w:r>
      <w:r>
        <w:t xml:space="preserve"> </w:t>
      </w:r>
      <w:r w:rsidR="00F90032">
        <w:t>M</w:t>
      </w:r>
      <w:r>
        <w:t>Hz) in metropolitan areas.</w:t>
      </w:r>
    </w:p>
    <w:p w14:paraId="5ECECBA9" w14:textId="29171368" w:rsidR="00913E9F" w:rsidRDefault="00913E9F" w:rsidP="00EE7DD9">
      <w:pPr>
        <w:pStyle w:val="Paragraph"/>
      </w:pPr>
      <w:r>
        <w:t xml:space="preserve">We consider Option 3 could </w:t>
      </w:r>
      <w:r w:rsidR="004407D1">
        <w:t xml:space="preserve">facilitate </w:t>
      </w:r>
      <w:r>
        <w:t>a complete defragmentation of spectrum licence holdings</w:t>
      </w:r>
      <w:r w:rsidR="004407D1">
        <w:t>. This would enable licensees</w:t>
      </w:r>
      <w:r w:rsidR="007D7ACA">
        <w:t xml:space="preserve"> to </w:t>
      </w:r>
      <w:r w:rsidR="00BE1368">
        <w:t xml:space="preserve">obtain larger </w:t>
      </w:r>
      <w:r w:rsidR="005A01AF">
        <w:t>contiguous</w:t>
      </w:r>
      <w:r w:rsidR="00BE1368">
        <w:t xml:space="preserve"> spectrum holdings and reduce</w:t>
      </w:r>
      <w:r w:rsidR="004407D1">
        <w:t xml:space="preserve"> their</w:t>
      </w:r>
      <w:r w:rsidR="00BE1368">
        <w:t xml:space="preserve"> </w:t>
      </w:r>
      <w:r w:rsidR="005A01AF">
        <w:t xml:space="preserve">service </w:t>
      </w:r>
      <w:r w:rsidR="00BE1368">
        <w:t>deployment costs</w:t>
      </w:r>
      <w:r>
        <w:t>.</w:t>
      </w:r>
      <w:r w:rsidR="007D7ACA">
        <w:t xml:space="preserve"> </w:t>
      </w:r>
      <w:r w:rsidR="00882A0A">
        <w:t xml:space="preserve">However, </w:t>
      </w:r>
      <w:r w:rsidR="004E3FAE">
        <w:t xml:space="preserve">we recognise </w:t>
      </w:r>
      <w:r w:rsidR="00882A0A">
        <w:t xml:space="preserve">this would be </w:t>
      </w:r>
      <w:r w:rsidR="003303B5">
        <w:t xml:space="preserve">a matter for industry, as it is </w:t>
      </w:r>
      <w:r w:rsidR="00AE66E8">
        <w:t>dependent</w:t>
      </w:r>
      <w:r w:rsidR="00882A0A">
        <w:t xml:space="preserve"> on who obtains </w:t>
      </w:r>
      <w:r w:rsidR="00AE66E8">
        <w:t xml:space="preserve">new </w:t>
      </w:r>
      <w:r w:rsidR="00882A0A">
        <w:t xml:space="preserve">spectrum </w:t>
      </w:r>
      <w:r w:rsidR="00AE66E8">
        <w:t xml:space="preserve">licences </w:t>
      </w:r>
      <w:r w:rsidR="00882A0A">
        <w:t>at auction and any subsequent agreement between</w:t>
      </w:r>
      <w:r w:rsidR="00AE66E8">
        <w:t xml:space="preserve"> licensees</w:t>
      </w:r>
      <w:r w:rsidR="00882A0A">
        <w:t xml:space="preserve"> to trade</w:t>
      </w:r>
      <w:r w:rsidR="00AE66E8">
        <w:t xml:space="preserve"> or vary </w:t>
      </w:r>
      <w:r w:rsidR="00E61A4E">
        <w:t>licences</w:t>
      </w:r>
      <w:r w:rsidR="00882A0A">
        <w:t>.</w:t>
      </w:r>
      <w:r w:rsidR="00551BA2">
        <w:t xml:space="preserve"> </w:t>
      </w:r>
      <w:r w:rsidR="00DC5F1D">
        <w:t>Option 3 will</w:t>
      </w:r>
      <w:r w:rsidR="00552C57">
        <w:t xml:space="preserve"> also</w:t>
      </w:r>
      <w:r w:rsidR="00DC5F1D">
        <w:t xml:space="preserve"> </w:t>
      </w:r>
      <w:r w:rsidR="008D4FA6">
        <w:t xml:space="preserve">help to </w:t>
      </w:r>
      <w:r w:rsidR="00C21CA8">
        <w:t xml:space="preserve">reduce or remove the effects of orphaned spectrum. </w:t>
      </w:r>
    </w:p>
    <w:p w14:paraId="6C17C092" w14:textId="59EB8186" w:rsidR="00813EFD" w:rsidRDefault="003622D7" w:rsidP="00913E9F">
      <w:pPr>
        <w:pStyle w:val="Paragraph"/>
      </w:pPr>
      <w:r>
        <w:t>Compared to Option</w:t>
      </w:r>
      <w:r w:rsidR="0048766A">
        <w:t xml:space="preserve"> </w:t>
      </w:r>
      <w:r>
        <w:t xml:space="preserve">2, </w:t>
      </w:r>
      <w:r w:rsidR="00E17F6D">
        <w:t xml:space="preserve">Option 3 preserves </w:t>
      </w:r>
      <w:r>
        <w:t xml:space="preserve">the amount of spectrum available </w:t>
      </w:r>
      <w:r w:rsidR="00CE492C">
        <w:t xml:space="preserve">(or makes more in some areas) </w:t>
      </w:r>
      <w:r>
        <w:t>for macro cell deployments</w:t>
      </w:r>
      <w:r w:rsidR="00EE2009">
        <w:t xml:space="preserve"> </w:t>
      </w:r>
      <w:r w:rsidR="000A60D9">
        <w:t>under</w:t>
      </w:r>
      <w:r w:rsidR="00EE2009">
        <w:t xml:space="preserve"> </w:t>
      </w:r>
      <w:r w:rsidR="003A137D">
        <w:t>AWL</w:t>
      </w:r>
      <w:r w:rsidR="006E4559">
        <w:t>s</w:t>
      </w:r>
      <w:r>
        <w:t>, as less spectrum is encompassed in RBs</w:t>
      </w:r>
      <w:r w:rsidR="00F06969">
        <w:t xml:space="preserve"> (</w:t>
      </w:r>
      <w:r w:rsidR="00D60DAA">
        <w:t xml:space="preserve">up to </w:t>
      </w:r>
      <w:r w:rsidR="00F06969">
        <w:t>15 MHz rather than 45 MHz)</w:t>
      </w:r>
      <w:r>
        <w:t>.</w:t>
      </w:r>
      <w:r w:rsidR="00487ADF">
        <w:t xml:space="preserve"> </w:t>
      </w:r>
      <w:r w:rsidR="00E561C0">
        <w:t>This</w:t>
      </w:r>
      <w:r w:rsidR="00434318">
        <w:t xml:space="preserve"> </w:t>
      </w:r>
      <w:r w:rsidR="003C1068">
        <w:t xml:space="preserve">means the available spectrum can be more efficiently used and </w:t>
      </w:r>
      <w:r w:rsidR="00394C57">
        <w:t xml:space="preserve">more </w:t>
      </w:r>
      <w:r w:rsidR="00487ADF">
        <w:t>AWL operators may gain access to larger contiguous channels</w:t>
      </w:r>
      <w:r w:rsidR="00322AE1">
        <w:t xml:space="preserve"> compared to Options 1 and 2. </w:t>
      </w:r>
      <w:r w:rsidR="00966370">
        <w:t>Consistent with the MPS, w</w:t>
      </w:r>
      <w:r w:rsidR="001514F2">
        <w:t>e consider th</w:t>
      </w:r>
      <w:r w:rsidR="00EB4D0E">
        <w:t>at greater availability of spectrum will support the deployment of technologies</w:t>
      </w:r>
      <w:r w:rsidR="006E4559">
        <w:t>,</w:t>
      </w:r>
      <w:r w:rsidR="00EB4D0E">
        <w:t xml:space="preserve"> including 5G.</w:t>
      </w:r>
    </w:p>
    <w:p w14:paraId="3A4C2458" w14:textId="1FC80FAD" w:rsidR="00F4502F" w:rsidRDefault="00F4502F" w:rsidP="00913E9F">
      <w:pPr>
        <w:pStyle w:val="Paragraph"/>
      </w:pPr>
      <w:r>
        <w:t xml:space="preserve">This option also results in </w:t>
      </w:r>
      <w:r w:rsidR="00F410A9">
        <w:t xml:space="preserve">the same amount of spectrum being re-allocated for spectrum licensing in </w:t>
      </w:r>
      <w:r w:rsidR="00E0767B">
        <w:t xml:space="preserve">major regional centres 2, </w:t>
      </w:r>
      <w:r>
        <w:t xml:space="preserve">17.5 MHz more spectrum </w:t>
      </w:r>
      <w:r w:rsidR="00E0767B">
        <w:t>in regional areas 1 and 15 MHz less spectrum in regional area 2.</w:t>
      </w:r>
    </w:p>
    <w:p w14:paraId="17F154E0" w14:textId="3EB15792" w:rsidR="005D1141" w:rsidRDefault="00CB1EA8" w:rsidP="00913E9F">
      <w:pPr>
        <w:pStyle w:val="Paragraph"/>
      </w:pPr>
      <w:r>
        <w:t xml:space="preserve">This option </w:t>
      </w:r>
      <w:r w:rsidR="006869C0">
        <w:t xml:space="preserve">would result in a single </w:t>
      </w:r>
      <w:r w:rsidR="00832D74">
        <w:t>licence</w:t>
      </w:r>
      <w:r w:rsidR="006869C0">
        <w:t xml:space="preserve"> type apply</w:t>
      </w:r>
      <w:r w:rsidR="00F90A67">
        <w:t>ing</w:t>
      </w:r>
      <w:r w:rsidR="006869C0">
        <w:t xml:space="preserve"> </w:t>
      </w:r>
      <w:r w:rsidR="00832D74">
        <w:t xml:space="preserve">across all regional and metropolitan areas </w:t>
      </w:r>
      <w:r w:rsidR="009E026F">
        <w:t xml:space="preserve">in the </w:t>
      </w:r>
      <w:r w:rsidR="00B40ABE">
        <w:t>3400</w:t>
      </w:r>
      <w:r w:rsidR="00F90A67">
        <w:t>–</w:t>
      </w:r>
      <w:r w:rsidR="00B40ABE">
        <w:t>3750 MHz and 3400</w:t>
      </w:r>
      <w:r w:rsidR="00F90A67">
        <w:t>–</w:t>
      </w:r>
      <w:r w:rsidR="00B40ABE">
        <w:t>3800 MHz bands</w:t>
      </w:r>
      <w:r w:rsidR="00F90A67">
        <w:t>,</w:t>
      </w:r>
      <w:r w:rsidR="00B40ABE">
        <w:t xml:space="preserve"> respectively.</w:t>
      </w:r>
      <w:r w:rsidR="009E026F">
        <w:t xml:space="preserve"> </w:t>
      </w:r>
      <w:r w:rsidR="0065248E">
        <w:t xml:space="preserve"> </w:t>
      </w:r>
    </w:p>
    <w:p w14:paraId="384C8395" w14:textId="043A314E" w:rsidR="00E21EB9" w:rsidRDefault="0065248E" w:rsidP="00913E9F">
      <w:pPr>
        <w:pStyle w:val="Paragraph"/>
      </w:pPr>
      <w:r>
        <w:t>However, w</w:t>
      </w:r>
      <w:r w:rsidR="00B24E0B">
        <w:t>hile there would be 100 MHz of contiguous spectrum</w:t>
      </w:r>
      <w:r w:rsidR="00EF481D">
        <w:t xml:space="preserve"> available</w:t>
      </w:r>
      <w:r w:rsidR="00B24E0B">
        <w:t xml:space="preserve"> across </w:t>
      </w:r>
      <w:r>
        <w:t xml:space="preserve">both </w:t>
      </w:r>
      <w:r w:rsidR="00B24E0B">
        <w:t xml:space="preserve">metropolitan and regional Australia </w:t>
      </w:r>
      <w:r w:rsidR="00EF481D">
        <w:t xml:space="preserve">under </w:t>
      </w:r>
      <w:r w:rsidR="00F90A67">
        <w:t>o</w:t>
      </w:r>
      <w:r w:rsidR="00EF481D">
        <w:t>ptions 1 and 2</w:t>
      </w:r>
      <w:r w:rsidR="00254D5D">
        <w:t xml:space="preserve"> in the 3700</w:t>
      </w:r>
      <w:r w:rsidR="00F90A67">
        <w:t>–</w:t>
      </w:r>
      <w:r w:rsidR="00254D5D">
        <w:t>3800 MHz frequency range</w:t>
      </w:r>
      <w:r w:rsidR="00EF481D">
        <w:t>,</w:t>
      </w:r>
      <w:r w:rsidR="00B97C2B">
        <w:t xml:space="preserve"> under Option 3 there would be 100 MHz of contiguous spectrum available in all metropolitan areas but only 50 MHz of spectrum available in all regional areas</w:t>
      </w:r>
      <w:r w:rsidR="00254D5D">
        <w:t xml:space="preserve"> in this part of the spectrum. </w:t>
      </w:r>
      <w:r w:rsidR="00DD27B6">
        <w:t xml:space="preserve">Therefore, compared to </w:t>
      </w:r>
      <w:r w:rsidR="00A3297D">
        <w:t>o</w:t>
      </w:r>
      <w:r w:rsidR="00DD27B6">
        <w:t xml:space="preserve">ptions 1 and 2, Option 3 </w:t>
      </w:r>
      <w:r w:rsidR="004570FF">
        <w:t>implement</w:t>
      </w:r>
      <w:r w:rsidR="00551E1F">
        <w:t>s</w:t>
      </w:r>
      <w:r w:rsidR="004570FF">
        <w:t xml:space="preserve"> a single licence type</w:t>
      </w:r>
      <w:r w:rsidR="00E217CC">
        <w:t xml:space="preserve"> in the 3400</w:t>
      </w:r>
      <w:r w:rsidR="00F90A67">
        <w:t>–</w:t>
      </w:r>
      <w:r w:rsidR="00E217CC">
        <w:t xml:space="preserve">3575 MHz </w:t>
      </w:r>
      <w:r w:rsidR="009F798F">
        <w:t>frequency range</w:t>
      </w:r>
      <w:r w:rsidR="00E217CC">
        <w:t xml:space="preserve"> </w:t>
      </w:r>
      <w:r w:rsidR="00551E1F">
        <w:t xml:space="preserve">instead of </w:t>
      </w:r>
      <w:r w:rsidR="00A3297D">
        <w:t xml:space="preserve">the </w:t>
      </w:r>
      <w:r w:rsidR="009F798F">
        <w:t>3800 MHz frequency range.</w:t>
      </w:r>
      <w:r w:rsidR="00596853">
        <w:t xml:space="preserve"> </w:t>
      </w:r>
    </w:p>
    <w:p w14:paraId="5D29C322" w14:textId="4CABA63C" w:rsidR="00B24E0B" w:rsidRDefault="00E21EB9" w:rsidP="00913E9F">
      <w:pPr>
        <w:pStyle w:val="Paragraph"/>
      </w:pPr>
      <w:r>
        <w:t>T</w:t>
      </w:r>
      <w:r w:rsidR="00825049">
        <w:t>here are benefits from allocating more of the 3400</w:t>
      </w:r>
      <w:r w:rsidR="00A3297D">
        <w:t>–</w:t>
      </w:r>
      <w:r w:rsidR="00825049">
        <w:t>3575 MHz frequency range to facilitate contiguity in that part of the spectrum</w:t>
      </w:r>
      <w:r>
        <w:t>. It will support the deployment of new and innovative technologies such as 5G by consolidating spectrum</w:t>
      </w:r>
      <w:r w:rsidR="00A3297D">
        <w:t>-</w:t>
      </w:r>
      <w:r>
        <w:t xml:space="preserve">licensed holdings in that part of the spectrum. It will also specifically have this effect in </w:t>
      </w:r>
      <w:r w:rsidR="0032624E">
        <w:t xml:space="preserve">the 3.4 GHz band in </w:t>
      </w:r>
      <w:r>
        <w:t>regional areas, thereby supporting</w:t>
      </w:r>
      <w:r w:rsidR="00D42F5D">
        <w:t xml:space="preserve"> digital connectivity and investment in regional Australia.</w:t>
      </w:r>
      <w:r w:rsidR="00825049">
        <w:t xml:space="preserve"> </w:t>
      </w:r>
      <w:r w:rsidR="00D42F5D">
        <w:t xml:space="preserve">However, the trade-off is </w:t>
      </w:r>
      <w:r w:rsidR="00825049">
        <w:t>the lack of contiguity in the 3700</w:t>
      </w:r>
      <w:r w:rsidR="00A3297D">
        <w:t>–</w:t>
      </w:r>
      <w:r w:rsidR="00825049">
        <w:t>3800</w:t>
      </w:r>
      <w:r w:rsidR="00D42F5D">
        <w:t> </w:t>
      </w:r>
      <w:r w:rsidR="00825049">
        <w:t>MHz frequency range</w:t>
      </w:r>
      <w:r w:rsidR="00D42F5D">
        <w:t>, which</w:t>
      </w:r>
      <w:r w:rsidR="00825049">
        <w:t xml:space="preserve"> may be detrimental to the efficiency of allocation of this spectrum. </w:t>
      </w:r>
    </w:p>
    <w:p w14:paraId="77A64D1B" w14:textId="20C7305C" w:rsidR="00466372" w:rsidRPr="00466372" w:rsidRDefault="002034AF" w:rsidP="002E6F3C">
      <w:pPr>
        <w:pStyle w:val="Paragraph"/>
        <w:rPr>
          <w:szCs w:val="20"/>
        </w:rPr>
      </w:pPr>
      <w:r>
        <w:rPr>
          <w:szCs w:val="20"/>
        </w:rPr>
        <w:t>E</w:t>
      </w:r>
      <w:r w:rsidR="000E0117">
        <w:rPr>
          <w:szCs w:val="20"/>
        </w:rPr>
        <w:t>xisting LTE (4G) equipment only operates within the 3400</w:t>
      </w:r>
      <w:bookmarkStart w:id="36" w:name="_Hlk96940400"/>
      <w:r w:rsidR="000E0117">
        <w:rPr>
          <w:szCs w:val="20"/>
        </w:rPr>
        <w:t>–</w:t>
      </w:r>
      <w:bookmarkEnd w:id="36"/>
      <w:r w:rsidR="000E0117">
        <w:rPr>
          <w:szCs w:val="20"/>
        </w:rPr>
        <w:t xml:space="preserve">3800 MHz frequency range. </w:t>
      </w:r>
      <w:r w:rsidR="00466372">
        <w:rPr>
          <w:szCs w:val="20"/>
        </w:rPr>
        <w:t xml:space="preserve">However, </w:t>
      </w:r>
      <w:r w:rsidR="000E0117">
        <w:rPr>
          <w:szCs w:val="20"/>
        </w:rPr>
        <w:t xml:space="preserve">5G equipment is </w:t>
      </w:r>
      <w:r w:rsidR="00DF4E6E">
        <w:rPr>
          <w:szCs w:val="20"/>
        </w:rPr>
        <w:t xml:space="preserve">becoming increasingly </w:t>
      </w:r>
      <w:r w:rsidR="000E0117">
        <w:rPr>
          <w:szCs w:val="20"/>
        </w:rPr>
        <w:t>available that can operate in the 3300</w:t>
      </w:r>
      <w:r w:rsidR="00650B5F">
        <w:rPr>
          <w:szCs w:val="20"/>
        </w:rPr>
        <w:t>–</w:t>
      </w:r>
      <w:r w:rsidR="000E0117">
        <w:rPr>
          <w:szCs w:val="20"/>
        </w:rPr>
        <w:t xml:space="preserve">4200 MHz frequency range and the ACMA is aware that equipment from at least </w:t>
      </w:r>
      <w:hyperlink r:id="rId56" w:history="1">
        <w:r w:rsidR="000E0117" w:rsidRPr="00762A99">
          <w:rPr>
            <w:rStyle w:val="Hyperlink"/>
            <w:szCs w:val="20"/>
          </w:rPr>
          <w:t>one equipment manufacturer</w:t>
        </w:r>
      </w:hyperlink>
      <w:r w:rsidR="000E0117">
        <w:rPr>
          <w:szCs w:val="20"/>
        </w:rPr>
        <w:t xml:space="preserve"> can operate in the 3300</w:t>
      </w:r>
      <w:r w:rsidR="00650B5F">
        <w:rPr>
          <w:szCs w:val="20"/>
        </w:rPr>
        <w:t>–</w:t>
      </w:r>
      <w:r w:rsidR="000E0117">
        <w:rPr>
          <w:szCs w:val="20"/>
        </w:rPr>
        <w:t>3900 MHz frequency range. Making the 3750</w:t>
      </w:r>
      <w:r w:rsidR="00650B5F">
        <w:rPr>
          <w:szCs w:val="20"/>
        </w:rPr>
        <w:t>–</w:t>
      </w:r>
      <w:r w:rsidR="000E0117">
        <w:rPr>
          <w:szCs w:val="20"/>
        </w:rPr>
        <w:t xml:space="preserve">3800 MHz frequency range available for AWLs in regional areas therefore </w:t>
      </w:r>
      <w:r w:rsidR="00DF4E6E">
        <w:rPr>
          <w:szCs w:val="20"/>
        </w:rPr>
        <w:t xml:space="preserve">creates an </w:t>
      </w:r>
      <w:r w:rsidR="00466372">
        <w:rPr>
          <w:szCs w:val="20"/>
        </w:rPr>
        <w:t>opportunity</w:t>
      </w:r>
      <w:r w:rsidR="00DF4E6E">
        <w:rPr>
          <w:szCs w:val="20"/>
        </w:rPr>
        <w:t xml:space="preserve"> </w:t>
      </w:r>
      <w:r w:rsidR="000E0117">
        <w:rPr>
          <w:szCs w:val="20"/>
        </w:rPr>
        <w:t>for prospective licensees</w:t>
      </w:r>
      <w:r w:rsidR="00DF4E6E">
        <w:rPr>
          <w:szCs w:val="20"/>
        </w:rPr>
        <w:t xml:space="preserve"> to</w:t>
      </w:r>
      <w:r w:rsidR="00466372">
        <w:rPr>
          <w:szCs w:val="20"/>
        </w:rPr>
        <w:t xml:space="preserve"> consider</w:t>
      </w:r>
      <w:r w:rsidR="00DF4E6E">
        <w:rPr>
          <w:szCs w:val="20"/>
        </w:rPr>
        <w:t xml:space="preserve"> deploy</w:t>
      </w:r>
      <w:r w:rsidR="00466372">
        <w:rPr>
          <w:szCs w:val="20"/>
        </w:rPr>
        <w:t>ing</w:t>
      </w:r>
      <w:r w:rsidR="00DF4E6E">
        <w:rPr>
          <w:szCs w:val="20"/>
        </w:rPr>
        <w:t xml:space="preserve"> </w:t>
      </w:r>
      <w:r w:rsidR="00466372">
        <w:rPr>
          <w:szCs w:val="20"/>
        </w:rPr>
        <w:t>4G equipment in this frequency range.</w:t>
      </w:r>
      <w:r w:rsidR="00DF4E6E">
        <w:rPr>
          <w:szCs w:val="20"/>
        </w:rPr>
        <w:t xml:space="preserve"> </w:t>
      </w:r>
      <w:r w:rsidR="00466372">
        <w:rPr>
          <w:szCs w:val="20"/>
        </w:rPr>
        <w:t xml:space="preserve">It is noted that otherwise, the </w:t>
      </w:r>
      <w:r w:rsidR="00466372">
        <w:t>same equipment options, 5G and proprietary, apply in the 3800</w:t>
      </w:r>
      <w:r w:rsidR="00650B5F">
        <w:rPr>
          <w:szCs w:val="20"/>
        </w:rPr>
        <w:t>–</w:t>
      </w:r>
      <w:r w:rsidR="00466372">
        <w:t>4000 MHz band for all options.</w:t>
      </w:r>
    </w:p>
    <w:p w14:paraId="06124669" w14:textId="76BE89EE" w:rsidR="00DA03E8" w:rsidRDefault="00FC77BF" w:rsidP="002E6F3C">
      <w:pPr>
        <w:pStyle w:val="Paragraph"/>
      </w:pPr>
      <w:r>
        <w:t xml:space="preserve">The main </w:t>
      </w:r>
      <w:r w:rsidR="00BD6835">
        <w:t>drawback</w:t>
      </w:r>
      <w:r w:rsidR="00D96E0C">
        <w:t>s</w:t>
      </w:r>
      <w:r w:rsidR="00BD6835">
        <w:t xml:space="preserve"> </w:t>
      </w:r>
      <w:r w:rsidR="00A3297D">
        <w:t xml:space="preserve">of </w:t>
      </w:r>
      <w:r>
        <w:t>Option 3</w:t>
      </w:r>
      <w:r w:rsidR="0097692E">
        <w:t xml:space="preserve"> </w:t>
      </w:r>
      <w:r w:rsidR="00D96E0C">
        <w:t xml:space="preserve">are </w:t>
      </w:r>
      <w:r w:rsidR="0097692E">
        <w:t xml:space="preserve">the </w:t>
      </w:r>
      <w:r w:rsidR="00A87CE6">
        <w:t xml:space="preserve">additional </w:t>
      </w:r>
      <w:r w:rsidR="0097692E">
        <w:t xml:space="preserve">impact on incumbent </w:t>
      </w:r>
      <w:r w:rsidR="00FC450B">
        <w:t>PMP licences</w:t>
      </w:r>
      <w:r w:rsidR="00D96E0C">
        <w:t xml:space="preserve"> (who were recently required to </w:t>
      </w:r>
      <w:r w:rsidR="00AA6398">
        <w:t>retune)</w:t>
      </w:r>
      <w:r w:rsidR="00FC450B">
        <w:t xml:space="preserve"> and</w:t>
      </w:r>
      <w:r w:rsidR="00682A0E">
        <w:t xml:space="preserve"> reduction in spectrum for </w:t>
      </w:r>
      <w:r w:rsidR="00FC450B">
        <w:t xml:space="preserve">AM and FSS </w:t>
      </w:r>
      <w:r w:rsidR="00682A0E">
        <w:t>use</w:t>
      </w:r>
      <w:r w:rsidR="00785588">
        <w:t xml:space="preserve"> in the 3475</w:t>
      </w:r>
      <w:r w:rsidR="00A3297D">
        <w:t>–</w:t>
      </w:r>
      <w:r w:rsidR="00785588">
        <w:t xml:space="preserve">3542.5 MHz </w:t>
      </w:r>
      <w:r w:rsidR="000B3482">
        <w:t>frequency range</w:t>
      </w:r>
      <w:r w:rsidR="001A288F">
        <w:t xml:space="preserve"> in regional areas</w:t>
      </w:r>
      <w:r w:rsidR="003A2F26">
        <w:t xml:space="preserve">. </w:t>
      </w:r>
      <w:r w:rsidR="00B162C9">
        <w:t xml:space="preserve">This </w:t>
      </w:r>
      <w:r w:rsidR="00CE1982">
        <w:t xml:space="preserve">may require significant additional capital and operational expenditure </w:t>
      </w:r>
      <w:r w:rsidR="00C1509F">
        <w:t>for affected PMP licensees.</w:t>
      </w:r>
    </w:p>
    <w:p w14:paraId="5944621E" w14:textId="6430A6A9" w:rsidR="00FC77BF" w:rsidRDefault="006B67F9" w:rsidP="009C2169">
      <w:pPr>
        <w:pStyle w:val="Paragraphbeforelist"/>
      </w:pPr>
      <w:r>
        <w:t xml:space="preserve">However, </w:t>
      </w:r>
      <w:r w:rsidR="00A3297D">
        <w:t>we</w:t>
      </w:r>
      <w:r w:rsidR="0026070F">
        <w:t xml:space="preserve"> consider the benefits </w:t>
      </w:r>
      <w:r w:rsidR="00510E87">
        <w:t xml:space="preserve">realised from implementing </w:t>
      </w:r>
      <w:r w:rsidR="00D11A95">
        <w:t>Option 3 outweigh these</w:t>
      </w:r>
      <w:r w:rsidR="00552C57">
        <w:t xml:space="preserve"> disadvantages</w:t>
      </w:r>
      <w:r w:rsidR="00E9603C">
        <w:t xml:space="preserve">. </w:t>
      </w:r>
      <w:r w:rsidR="00FF7E6B">
        <w:t xml:space="preserve">To </w:t>
      </w:r>
      <w:r w:rsidR="0038660A">
        <w:t>reduce the impact</w:t>
      </w:r>
      <w:r w:rsidR="00181264">
        <w:t xml:space="preserve"> on</w:t>
      </w:r>
      <w:r w:rsidR="004473D9">
        <w:t xml:space="preserve"> affected</w:t>
      </w:r>
      <w:r w:rsidR="00181264">
        <w:t xml:space="preserve"> services</w:t>
      </w:r>
      <w:r w:rsidR="0038660A">
        <w:t xml:space="preserve">, we have </w:t>
      </w:r>
      <w:r w:rsidR="00372345">
        <w:t>identified the following mitigation measures</w:t>
      </w:r>
      <w:r w:rsidR="0061341B">
        <w:t>:</w:t>
      </w:r>
    </w:p>
    <w:p w14:paraId="34F541AA" w14:textId="25ECFADC" w:rsidR="0061341B" w:rsidRPr="00552C57" w:rsidRDefault="00372345" w:rsidP="00552C57">
      <w:pPr>
        <w:pStyle w:val="Bulletlevel1"/>
        <w:rPr>
          <w:b/>
          <w:bCs/>
        </w:rPr>
      </w:pPr>
      <w:r w:rsidRPr="00D41264">
        <w:rPr>
          <w:b/>
          <w:bCs/>
        </w:rPr>
        <w:t>PMP:</w:t>
      </w:r>
      <w:r w:rsidRPr="00552C57">
        <w:t xml:space="preserve"> </w:t>
      </w:r>
      <w:r w:rsidR="00E73B09" w:rsidRPr="00552C57">
        <w:t xml:space="preserve">31 PMP licences </w:t>
      </w:r>
      <w:r w:rsidR="00AE36B4" w:rsidRPr="00552C57">
        <w:t>operating in the 3475</w:t>
      </w:r>
      <w:r w:rsidR="00A3297D">
        <w:t>–</w:t>
      </w:r>
      <w:r w:rsidR="00AE36B4" w:rsidRPr="00552C57">
        <w:t xml:space="preserve">3542.5 MHz </w:t>
      </w:r>
      <w:r w:rsidR="000B3482">
        <w:t>frequency range</w:t>
      </w:r>
      <w:r w:rsidR="00AE36B4" w:rsidRPr="00552C57">
        <w:t xml:space="preserve"> </w:t>
      </w:r>
      <w:r w:rsidR="00E73B09" w:rsidRPr="00552C57">
        <w:t xml:space="preserve">would be affected </w:t>
      </w:r>
      <w:r w:rsidR="00AE36B4" w:rsidRPr="00552C57">
        <w:t xml:space="preserve">by </w:t>
      </w:r>
      <w:r w:rsidR="00F66FD3" w:rsidRPr="00552C57">
        <w:t xml:space="preserve">the proposed re-allocation of spectrum under Option 3. </w:t>
      </w:r>
      <w:r w:rsidR="00B144EE">
        <w:t xml:space="preserve">These licences are used to provide a variety of services such as </w:t>
      </w:r>
      <w:r w:rsidR="00A16BA1">
        <w:t xml:space="preserve">consumer </w:t>
      </w:r>
      <w:r w:rsidR="00EA33AC">
        <w:t xml:space="preserve">access to the </w:t>
      </w:r>
      <w:r w:rsidR="00A16BA1">
        <w:t>internet</w:t>
      </w:r>
      <w:r w:rsidR="003511A9">
        <w:t xml:space="preserve">, </w:t>
      </w:r>
      <w:r w:rsidR="00344023">
        <w:t xml:space="preserve">backhaul for </w:t>
      </w:r>
      <w:r w:rsidR="003511A9">
        <w:t>CCTV</w:t>
      </w:r>
      <w:r w:rsidR="00A16BA1">
        <w:t xml:space="preserve"> as well as </w:t>
      </w:r>
      <w:r w:rsidR="00344023">
        <w:t>support for mining operations</w:t>
      </w:r>
      <w:r w:rsidR="004575C6">
        <w:t xml:space="preserve"> to improve productivity </w:t>
      </w:r>
      <w:r w:rsidR="000A1665">
        <w:t>(</w:t>
      </w:r>
      <w:r w:rsidR="00650B5F">
        <w:t>for example,</w:t>
      </w:r>
      <w:r w:rsidR="000A1665">
        <w:t xml:space="preserve"> automation of equipment)</w:t>
      </w:r>
      <w:r w:rsidR="00344023">
        <w:t xml:space="preserve">. </w:t>
      </w:r>
      <w:r w:rsidR="00F66FD3" w:rsidRPr="00552C57">
        <w:t xml:space="preserve">Some of these </w:t>
      </w:r>
      <w:r w:rsidR="00F006BA">
        <w:t xml:space="preserve">licensees </w:t>
      </w:r>
      <w:r w:rsidR="00F66FD3" w:rsidRPr="00552C57">
        <w:t xml:space="preserve">were </w:t>
      </w:r>
      <w:r w:rsidR="00CD3CF1">
        <w:t xml:space="preserve">recently </w:t>
      </w:r>
      <w:r w:rsidR="00F66FD3" w:rsidRPr="00552C57">
        <w:t xml:space="preserve">required to retune as part of the </w:t>
      </w:r>
      <w:r w:rsidR="00D5009F" w:rsidRPr="00552C57">
        <w:t xml:space="preserve">implementation of outcomes from the 3400 MHz </w:t>
      </w:r>
      <w:r w:rsidR="00F3140E">
        <w:t>decision</w:t>
      </w:r>
      <w:r w:rsidR="00D5009F" w:rsidRPr="00552C57">
        <w:t xml:space="preserve"> paper. </w:t>
      </w:r>
      <w:r w:rsidR="00244A06">
        <w:t>Consequently,</w:t>
      </w:r>
      <w:r w:rsidR="00BD6B2B">
        <w:t xml:space="preserve"> </w:t>
      </w:r>
      <w:r w:rsidR="00F95761" w:rsidRPr="00552C57">
        <w:t xml:space="preserve">we are </w:t>
      </w:r>
      <w:r w:rsidR="00A62F41" w:rsidRPr="00552C57">
        <w:t>propos</w:t>
      </w:r>
      <w:r w:rsidR="00F95761" w:rsidRPr="00552C57">
        <w:t>ing</w:t>
      </w:r>
      <w:r w:rsidR="00A62F41" w:rsidRPr="00552C57">
        <w:t xml:space="preserve"> a</w:t>
      </w:r>
      <w:r w:rsidR="00DD23A6" w:rsidRPr="00552C57">
        <w:t xml:space="preserve">n extended </w:t>
      </w:r>
      <w:r w:rsidR="00964330" w:rsidRPr="00552C57">
        <w:t>5-year</w:t>
      </w:r>
      <w:r w:rsidR="00F95761" w:rsidRPr="00552C57">
        <w:t xml:space="preserve"> re-allocation period</w:t>
      </w:r>
      <w:r w:rsidR="00DA1B9E">
        <w:t xml:space="preserve"> for </w:t>
      </w:r>
      <w:r w:rsidR="003303B5">
        <w:t xml:space="preserve">the continuation of </w:t>
      </w:r>
      <w:r w:rsidR="00DA1B9E">
        <w:t>these</w:t>
      </w:r>
      <w:r w:rsidR="000B2B47">
        <w:t xml:space="preserve"> services</w:t>
      </w:r>
      <w:r w:rsidR="000C330F" w:rsidRPr="00552C57">
        <w:t>. W</w:t>
      </w:r>
      <w:r w:rsidR="005632FE" w:rsidRPr="00552C57">
        <w:t xml:space="preserve">e would also </w:t>
      </w:r>
      <w:r w:rsidR="00A5619A" w:rsidRPr="00552C57">
        <w:t>reserve spectrum f</w:t>
      </w:r>
      <w:r w:rsidR="00D925BD" w:rsidRPr="00552C57">
        <w:t>or</w:t>
      </w:r>
      <w:r w:rsidR="00A5619A" w:rsidRPr="00552C57">
        <w:t xml:space="preserve"> them to </w:t>
      </w:r>
      <w:r w:rsidR="00F011EA">
        <w:t xml:space="preserve">replicate their existing services </w:t>
      </w:r>
      <w:r w:rsidR="00A5619A" w:rsidRPr="00552C57">
        <w:t xml:space="preserve">to </w:t>
      </w:r>
      <w:r w:rsidR="00D925BD" w:rsidRPr="00552C57">
        <w:t>relocate into in the 3750</w:t>
      </w:r>
      <w:r w:rsidR="00A3297D">
        <w:t>–</w:t>
      </w:r>
      <w:r w:rsidR="00D925BD" w:rsidRPr="00552C57">
        <w:t xml:space="preserve">4000 MHz </w:t>
      </w:r>
      <w:r w:rsidR="000B3482">
        <w:t>frequency range</w:t>
      </w:r>
      <w:r w:rsidR="000922B5">
        <w:t xml:space="preserve"> at </w:t>
      </w:r>
      <w:r w:rsidR="00A0780F">
        <w:t>any time</w:t>
      </w:r>
      <w:r w:rsidR="000922B5">
        <w:t xml:space="preserve"> during this period</w:t>
      </w:r>
      <w:r w:rsidR="00D925BD" w:rsidRPr="00552C57">
        <w:t xml:space="preserve">. </w:t>
      </w:r>
      <w:r w:rsidR="008777C4" w:rsidRPr="00552C57">
        <w:t xml:space="preserve"> </w:t>
      </w:r>
    </w:p>
    <w:p w14:paraId="3FE4ECED" w14:textId="120B366C" w:rsidR="0061341B" w:rsidRDefault="00FF6E3E" w:rsidP="00552C57">
      <w:pPr>
        <w:pStyle w:val="Bulletlevel1"/>
      </w:pPr>
      <w:r w:rsidRPr="00D41264">
        <w:rPr>
          <w:b/>
          <w:bCs/>
        </w:rPr>
        <w:t>Amateurs</w:t>
      </w:r>
      <w:r w:rsidR="0038660A" w:rsidRPr="00D41264">
        <w:rPr>
          <w:b/>
          <w:bCs/>
        </w:rPr>
        <w:t>:</w:t>
      </w:r>
      <w:r w:rsidR="0038660A">
        <w:t xml:space="preserve"> </w:t>
      </w:r>
      <w:r w:rsidR="00A3297D">
        <w:t>d</w:t>
      </w:r>
      <w:r w:rsidR="00395CA0">
        <w:t>ue to the increase in spectrum licensing in the 3400</w:t>
      </w:r>
      <w:r w:rsidR="00A3297D">
        <w:t>–</w:t>
      </w:r>
      <w:r w:rsidR="00395CA0">
        <w:t xml:space="preserve">3600 MHz </w:t>
      </w:r>
      <w:r>
        <w:t xml:space="preserve">frequency range </w:t>
      </w:r>
      <w:r w:rsidR="00395CA0">
        <w:t xml:space="preserve">over time, the Wireless </w:t>
      </w:r>
      <w:r w:rsidR="00D6102A">
        <w:t>I</w:t>
      </w:r>
      <w:r w:rsidR="00395CA0">
        <w:t>nstitute of Australia</w:t>
      </w:r>
      <w:r>
        <w:t xml:space="preserve"> (WIA)</w:t>
      </w:r>
      <w:r w:rsidR="00395CA0">
        <w:t xml:space="preserve"> has updated </w:t>
      </w:r>
      <w:r>
        <w:t xml:space="preserve">its </w:t>
      </w:r>
      <w:hyperlink r:id="rId57" w:history="1">
        <w:r w:rsidR="00395CA0" w:rsidRPr="002D39E7">
          <w:rPr>
            <w:rStyle w:val="Hyperlink"/>
          </w:rPr>
          <w:t>Amateur Band Plan</w:t>
        </w:r>
      </w:hyperlink>
      <w:r w:rsidR="00395CA0">
        <w:t xml:space="preserve"> to limit </w:t>
      </w:r>
      <w:r w:rsidR="005B0223">
        <w:t xml:space="preserve">amateur </w:t>
      </w:r>
      <w:r w:rsidR="00395CA0">
        <w:t xml:space="preserve">use in that frequency range. The </w:t>
      </w:r>
      <w:r w:rsidR="00417C3A">
        <w:t xml:space="preserve">WIA’s </w:t>
      </w:r>
      <w:r w:rsidR="00395CA0">
        <w:t xml:space="preserve">band plan now only defines </w:t>
      </w:r>
      <w:r w:rsidR="0009282E">
        <w:t xml:space="preserve">specific </w:t>
      </w:r>
      <w:r w:rsidR="00395CA0">
        <w:t>arrangements within the 3300</w:t>
      </w:r>
      <w:r w:rsidR="00E24A6F">
        <w:t>–</w:t>
      </w:r>
      <w:r w:rsidR="00395CA0">
        <w:t xml:space="preserve">3400 MHz </w:t>
      </w:r>
      <w:r w:rsidR="000B3482">
        <w:t>frequency range</w:t>
      </w:r>
      <w:r w:rsidR="00395CA0">
        <w:t xml:space="preserve">. </w:t>
      </w:r>
      <w:r w:rsidR="00CD143B">
        <w:t>This band supports the same applications as previously deployed in the 3400</w:t>
      </w:r>
      <w:r w:rsidR="00E24A6F">
        <w:t>–</w:t>
      </w:r>
      <w:r w:rsidR="00CD143B">
        <w:t xml:space="preserve">3600 MHz </w:t>
      </w:r>
      <w:r w:rsidR="000B3482">
        <w:t>frequency range</w:t>
      </w:r>
      <w:r w:rsidR="00AC10C1">
        <w:t xml:space="preserve"> and is considered to be </w:t>
      </w:r>
      <w:r w:rsidR="00833891">
        <w:t>equivalent spectrum</w:t>
      </w:r>
      <w:r w:rsidR="00567ED7">
        <w:t xml:space="preserve"> for </w:t>
      </w:r>
      <w:r w:rsidR="00417C3A">
        <w:t xml:space="preserve">amateur </w:t>
      </w:r>
      <w:r w:rsidR="00AF0A39">
        <w:t>use</w:t>
      </w:r>
      <w:r w:rsidR="00CD143B">
        <w:t>.</w:t>
      </w:r>
    </w:p>
    <w:p w14:paraId="5EADC654" w14:textId="00D5E7A7" w:rsidR="00FC77BF" w:rsidRDefault="00826930" w:rsidP="00552C57">
      <w:pPr>
        <w:pStyle w:val="Bulletlevel1last"/>
      </w:pPr>
      <w:r w:rsidRPr="00D41264">
        <w:rPr>
          <w:b/>
          <w:bCs/>
        </w:rPr>
        <w:t>FSS</w:t>
      </w:r>
      <w:r w:rsidR="001C3BDB" w:rsidRPr="00D41264">
        <w:rPr>
          <w:b/>
          <w:bCs/>
        </w:rPr>
        <w:t>:</w:t>
      </w:r>
      <w:r>
        <w:t xml:space="preserve"> </w:t>
      </w:r>
      <w:r w:rsidR="0092381C">
        <w:t xml:space="preserve">FSS use the </w:t>
      </w:r>
      <w:r w:rsidR="003E7DA2">
        <w:t xml:space="preserve">broader </w:t>
      </w:r>
      <w:r w:rsidR="0092381C">
        <w:t>3400</w:t>
      </w:r>
      <w:r w:rsidR="00650B5F">
        <w:rPr>
          <w:szCs w:val="20"/>
        </w:rPr>
        <w:t>–</w:t>
      </w:r>
      <w:r w:rsidR="0092381C">
        <w:t xml:space="preserve">4200 MHz </w:t>
      </w:r>
      <w:r w:rsidR="003E7DA2">
        <w:t xml:space="preserve">frequency range </w:t>
      </w:r>
      <w:r w:rsidR="0092381C">
        <w:t xml:space="preserve">to </w:t>
      </w:r>
      <w:r w:rsidR="00F807DC">
        <w:t>support a variety of services including the reception of broadcast content from overseas markets and other data</w:t>
      </w:r>
      <w:r w:rsidR="003E7DA2">
        <w:t xml:space="preserve"> backhaul. B</w:t>
      </w:r>
      <w:r w:rsidR="001507F7">
        <w:t>oth domestically and internationally, a majority of C-band FSS use occurs in the 3700</w:t>
      </w:r>
      <w:r w:rsidR="00E24A6F">
        <w:t>–</w:t>
      </w:r>
      <w:r w:rsidR="001507F7">
        <w:t>4200 MHz band.</w:t>
      </w:r>
      <w:r w:rsidR="006158A5">
        <w:t xml:space="preserve"> </w:t>
      </w:r>
      <w:r w:rsidR="00CA0CA5">
        <w:t>Under Option 3</w:t>
      </w:r>
      <w:r w:rsidR="00E24A6F">
        <w:t>,</w:t>
      </w:r>
      <w:r w:rsidR="00CA0CA5">
        <w:t xml:space="preserve"> an additional 50 MHz of spectrum would be made available for FSS use from 3750</w:t>
      </w:r>
      <w:r w:rsidR="00E24A6F">
        <w:t>–</w:t>
      </w:r>
      <w:r w:rsidR="00CA0CA5">
        <w:t xml:space="preserve">3800 MHz in regional areas. </w:t>
      </w:r>
      <w:r w:rsidR="00813B35">
        <w:t>We</w:t>
      </w:r>
      <w:r w:rsidR="004F24AA" w:rsidRPr="004F24AA">
        <w:t xml:space="preserve"> </w:t>
      </w:r>
      <w:r w:rsidR="00FC06CC">
        <w:t xml:space="preserve">would also </w:t>
      </w:r>
      <w:r w:rsidR="005346C3">
        <w:t xml:space="preserve">seek to </w:t>
      </w:r>
      <w:r w:rsidR="005F6233">
        <w:t xml:space="preserve">preserve </w:t>
      </w:r>
      <w:r w:rsidR="0048581C">
        <w:t xml:space="preserve">access to </w:t>
      </w:r>
      <w:r w:rsidR="004C54DB">
        <w:t>t</w:t>
      </w:r>
      <w:r w:rsidR="004F24AA">
        <w:t xml:space="preserve">he </w:t>
      </w:r>
      <w:r w:rsidR="000B3482">
        <w:t xml:space="preserve">frequency ranges </w:t>
      </w:r>
      <w:r w:rsidR="004F24AA">
        <w:t>3400</w:t>
      </w:r>
      <w:r w:rsidR="00E24A6F">
        <w:t>–</w:t>
      </w:r>
      <w:r w:rsidR="004F24AA">
        <w:t>3442.5 MHz</w:t>
      </w:r>
      <w:r w:rsidR="00204B43">
        <w:t xml:space="preserve"> and</w:t>
      </w:r>
      <w:r w:rsidR="004F24AA">
        <w:t xml:space="preserve"> 3475</w:t>
      </w:r>
      <w:r w:rsidR="00E24A6F">
        <w:t>–</w:t>
      </w:r>
      <w:r w:rsidR="004F24AA">
        <w:t xml:space="preserve">3542.5 MHz for use by FSS at </w:t>
      </w:r>
      <w:r w:rsidR="00C858C8">
        <w:t xml:space="preserve">existing </w:t>
      </w:r>
      <w:r w:rsidR="004F24AA">
        <w:t>earth station protection zones (ESPZ) in regional areas</w:t>
      </w:r>
      <w:r w:rsidR="00C858C8">
        <w:t xml:space="preserve"> (</w:t>
      </w:r>
      <w:r w:rsidR="000F2D1A">
        <w:t>this excludes the Quirindi ESPZ</w:t>
      </w:r>
      <w:r w:rsidR="00E24A6F">
        <w:t>,</w:t>
      </w:r>
      <w:r w:rsidR="000F2D1A">
        <w:t xml:space="preserve"> which is</w:t>
      </w:r>
      <w:r w:rsidR="006E21E6">
        <w:t xml:space="preserve"> </w:t>
      </w:r>
      <w:r w:rsidR="009D7A4A">
        <w:t>mostly subject to spectrum licensing already</w:t>
      </w:r>
      <w:r w:rsidR="00C858C8">
        <w:t>)</w:t>
      </w:r>
      <w:r w:rsidR="004F24AA">
        <w:t>.</w:t>
      </w:r>
      <w:r w:rsidR="00C858C8">
        <w:t xml:space="preserve"> </w:t>
      </w:r>
      <w:r w:rsidR="00CA656F">
        <w:t>This means the</w:t>
      </w:r>
      <w:r w:rsidR="00F77642">
        <w:t xml:space="preserve"> </w:t>
      </w:r>
      <w:r w:rsidR="00D155E5">
        <w:t xml:space="preserve">only </w:t>
      </w:r>
      <w:r w:rsidR="00647F2A">
        <w:t>licensed</w:t>
      </w:r>
      <w:r w:rsidR="006E3447">
        <w:t xml:space="preserve"> FSS earth station</w:t>
      </w:r>
      <w:r w:rsidR="00647F2A">
        <w:t xml:space="preserve"> within the 3400</w:t>
      </w:r>
      <w:r w:rsidR="00E24A6F">
        <w:t>–</w:t>
      </w:r>
      <w:r w:rsidR="00647F2A">
        <w:t xml:space="preserve">3600 MHz </w:t>
      </w:r>
      <w:r w:rsidR="000B3482">
        <w:t>frequency range</w:t>
      </w:r>
      <w:r w:rsidR="00D73E5B">
        <w:t xml:space="preserve">, which is located </w:t>
      </w:r>
      <w:r w:rsidR="00647F2A">
        <w:t>at the Uralla ESPZ</w:t>
      </w:r>
      <w:r w:rsidR="00EE6084">
        <w:t>,</w:t>
      </w:r>
      <w:r w:rsidR="00647F2A">
        <w:t xml:space="preserve"> </w:t>
      </w:r>
      <w:r w:rsidR="00CB0C8D">
        <w:t xml:space="preserve">could continue operating </w:t>
      </w:r>
      <w:r w:rsidR="00B90FD0">
        <w:t>and would be unaffected</w:t>
      </w:r>
      <w:r w:rsidR="00CB0C8D">
        <w:t xml:space="preserve"> by </w:t>
      </w:r>
      <w:r w:rsidR="00CC0162">
        <w:t xml:space="preserve">the proposed re-allocation </w:t>
      </w:r>
      <w:r w:rsidR="00EE6084">
        <w:t>of spectrum under Option 3</w:t>
      </w:r>
      <w:r w:rsidR="00B90FD0">
        <w:t>.</w:t>
      </w:r>
    </w:p>
    <w:p w14:paraId="49959D6A" w14:textId="3754EBA3" w:rsidR="002909E1" w:rsidRDefault="002909E1" w:rsidP="00BA547E">
      <w:pPr>
        <w:pStyle w:val="Paragraph"/>
      </w:pPr>
      <w:r>
        <w:t xml:space="preserve">We </w:t>
      </w:r>
      <w:r w:rsidR="00E24A6F">
        <w:t xml:space="preserve">recognise </w:t>
      </w:r>
      <w:r>
        <w:t xml:space="preserve">that responses to this consultation may identify modifications to the licensing arrangements outlined in </w:t>
      </w:r>
      <w:r w:rsidR="00E24A6F">
        <w:t>o</w:t>
      </w:r>
      <w:r w:rsidR="00085A75">
        <w:t xml:space="preserve">ptions 1, 2 or 3. </w:t>
      </w:r>
    </w:p>
    <w:p w14:paraId="4A69F4E3" w14:textId="6E378F48" w:rsidR="00105427" w:rsidRDefault="00E24A6F" w:rsidP="00650B5F">
      <w:pPr>
        <w:pStyle w:val="Heading3"/>
        <w:pBdr>
          <w:top w:val="single" w:sz="4" w:space="1" w:color="auto"/>
          <w:left w:val="single" w:sz="4" w:space="1" w:color="auto"/>
          <w:bottom w:val="single" w:sz="4" w:space="1" w:color="auto"/>
          <w:right w:val="single" w:sz="4" w:space="1" w:color="auto"/>
        </w:pBdr>
        <w:shd w:val="clear" w:color="auto" w:fill="F2F2F2" w:themeFill="background1" w:themeFillShade="F2"/>
        <w:rPr>
          <w:b w:val="0"/>
          <w:bCs w:val="0"/>
        </w:rPr>
      </w:pPr>
      <w:r>
        <w:t xml:space="preserve">The </w:t>
      </w:r>
      <w:r w:rsidR="00BF0C53">
        <w:t>ACMA</w:t>
      </w:r>
      <w:r>
        <w:t>’s</w:t>
      </w:r>
      <w:r w:rsidR="00BF0C53">
        <w:t xml:space="preserve"> preferred</w:t>
      </w:r>
      <w:r w:rsidR="00105427">
        <w:t xml:space="preserve"> planning </w:t>
      </w:r>
      <w:r w:rsidR="00D41264">
        <w:t>approach</w:t>
      </w:r>
      <w:r w:rsidR="00A157F6">
        <w:t xml:space="preserve">: </w:t>
      </w:r>
      <w:r w:rsidR="00D41264">
        <w:t>3400</w:t>
      </w:r>
      <w:r w:rsidR="00650B5F">
        <w:rPr>
          <w:szCs w:val="20"/>
        </w:rPr>
        <w:t>–</w:t>
      </w:r>
      <w:r w:rsidR="00D41264">
        <w:t>3575 MHz and 3700</w:t>
      </w:r>
      <w:r w:rsidR="00650B5F">
        <w:rPr>
          <w:szCs w:val="20"/>
        </w:rPr>
        <w:t>–</w:t>
      </w:r>
      <w:r w:rsidR="00D41264">
        <w:t>3800 MHz</w:t>
      </w:r>
    </w:p>
    <w:p w14:paraId="2E3A030A" w14:textId="065EAB67" w:rsidR="007830A3" w:rsidRDefault="00D41264">
      <w:pPr>
        <w:pStyle w:val="Paragraph"/>
        <w:pBdr>
          <w:top w:val="single" w:sz="4" w:space="1" w:color="auto"/>
          <w:left w:val="single" w:sz="4" w:space="1" w:color="auto"/>
          <w:bottom w:val="single" w:sz="4" w:space="1" w:color="auto"/>
          <w:right w:val="single" w:sz="4" w:space="1" w:color="auto"/>
        </w:pBdr>
        <w:shd w:val="clear" w:color="auto" w:fill="F2F2F2" w:themeFill="background1" w:themeFillShade="F2"/>
      </w:pPr>
      <w:r>
        <w:t xml:space="preserve">Do you </w:t>
      </w:r>
      <w:r w:rsidR="00405DF1">
        <w:t>have comments on</w:t>
      </w:r>
      <w:r>
        <w:t xml:space="preserve"> o</w:t>
      </w:r>
      <w:r w:rsidR="00E24A6F">
        <w:t xml:space="preserve">ur </w:t>
      </w:r>
      <w:r w:rsidR="00105427" w:rsidRPr="00FC4C30">
        <w:t xml:space="preserve">preferred planning option </w:t>
      </w:r>
      <w:r>
        <w:t>(</w:t>
      </w:r>
      <w:r w:rsidR="00105427" w:rsidRPr="00FC4C30">
        <w:t>Option 3</w:t>
      </w:r>
      <w:r>
        <w:t>)</w:t>
      </w:r>
      <w:r w:rsidR="00330E03">
        <w:t xml:space="preserve">, </w:t>
      </w:r>
      <w:r w:rsidR="00036EA7">
        <w:t xml:space="preserve">which </w:t>
      </w:r>
      <w:r w:rsidR="00ED3072">
        <w:t>updates</w:t>
      </w:r>
      <w:r w:rsidR="00330E03">
        <w:t xml:space="preserve"> the </w:t>
      </w:r>
      <w:r w:rsidR="004C7C48">
        <w:t xml:space="preserve">previous preliminary </w:t>
      </w:r>
      <w:r w:rsidR="00330E03">
        <w:t>planning decision</w:t>
      </w:r>
      <w:r w:rsidR="00417C3A">
        <w:t>s</w:t>
      </w:r>
      <w:r w:rsidR="00330E03">
        <w:t xml:space="preserve"> </w:t>
      </w:r>
      <w:r>
        <w:t>(</w:t>
      </w:r>
      <w:r w:rsidR="00330E03">
        <w:t>Option 1</w:t>
      </w:r>
      <w:r>
        <w:t>)?</w:t>
      </w:r>
      <w:r w:rsidR="00F66F2A">
        <w:t xml:space="preserve"> </w:t>
      </w:r>
    </w:p>
    <w:p w14:paraId="39EB5923" w14:textId="5B787774" w:rsidR="00105427" w:rsidRPr="00105427" w:rsidRDefault="007830A3" w:rsidP="00650B5F">
      <w:pPr>
        <w:pStyle w:val="Paragraph"/>
        <w:pBdr>
          <w:top w:val="single" w:sz="4" w:space="1" w:color="auto"/>
          <w:left w:val="single" w:sz="4" w:space="1" w:color="auto"/>
          <w:bottom w:val="single" w:sz="4" w:space="1" w:color="auto"/>
          <w:right w:val="single" w:sz="4" w:space="1" w:color="auto"/>
        </w:pBdr>
        <w:shd w:val="clear" w:color="auto" w:fill="F2F2F2" w:themeFill="background1" w:themeFillShade="F2"/>
      </w:pPr>
      <w:r>
        <w:t>Please</w:t>
      </w:r>
      <w:r w:rsidR="002515FB">
        <w:t xml:space="preserve"> provide evidence in support of your comments</w:t>
      </w:r>
      <w:r w:rsidR="00366804">
        <w:t>.</w:t>
      </w:r>
      <w:r w:rsidR="00F66F2A">
        <w:t xml:space="preserve"> See also the ‘Specified parts of the spectrum’ section of this paper.</w:t>
      </w:r>
      <w:r w:rsidR="00F06F60">
        <w:t xml:space="preserve"> </w:t>
      </w:r>
    </w:p>
    <w:p w14:paraId="54638530" w14:textId="763B3E55" w:rsidR="00E9395E" w:rsidRDefault="00565CE8" w:rsidP="00565CE8">
      <w:pPr>
        <w:pStyle w:val="Heading1"/>
      </w:pPr>
      <w:bookmarkStart w:id="37" w:name="_Toc96940986"/>
      <w:r>
        <w:t>Licence type</w:t>
      </w:r>
      <w:bookmarkEnd w:id="37"/>
    </w:p>
    <w:p w14:paraId="5800FADC" w14:textId="49D9EC52" w:rsidR="008610D2" w:rsidRDefault="008B3A25" w:rsidP="00485F64">
      <w:pPr>
        <w:pStyle w:val="Paragraph"/>
      </w:pPr>
      <w:r>
        <w:t>Under subsection 153B(6) of the Act, when the ACMA makes a re-allocation declaration,</w:t>
      </w:r>
      <w:r w:rsidR="004D167F">
        <w:t xml:space="preserve"> </w:t>
      </w:r>
      <w:r>
        <w:t>we</w:t>
      </w:r>
      <w:r w:rsidR="004D167F">
        <w:t xml:space="preserve"> must s</w:t>
      </w:r>
      <w:r w:rsidR="00F361C6">
        <w:t>tate whether the spectrum should be re-allocated by issuing spectrum licences, apparatus licences, or a combination of both licence types.</w:t>
      </w:r>
    </w:p>
    <w:p w14:paraId="01557505" w14:textId="77777777" w:rsidR="00A61C30" w:rsidRDefault="00A61C30" w:rsidP="00A61C30">
      <w:pPr>
        <w:pStyle w:val="Paragraphbeforelist"/>
      </w:pPr>
      <w:r>
        <w:t>The appropriate licence type for a particular part of the spectrum will be determined by a range of factors, including but not limited to:</w:t>
      </w:r>
    </w:p>
    <w:p w14:paraId="4676FF4E" w14:textId="77777777" w:rsidR="00A61C30" w:rsidRDefault="00A61C30" w:rsidP="00A61C30">
      <w:pPr>
        <w:pStyle w:val="Bulletlevel1"/>
      </w:pPr>
      <w:r>
        <w:t>the potential uses for that part of the spectrum</w:t>
      </w:r>
    </w:p>
    <w:p w14:paraId="5E2D3FE8" w14:textId="77777777" w:rsidR="00A61C30" w:rsidRDefault="00A61C30" w:rsidP="00A61C30">
      <w:pPr>
        <w:pStyle w:val="Bulletlevel1"/>
      </w:pPr>
      <w:r>
        <w:t>the likely number of possible uses</w:t>
      </w:r>
    </w:p>
    <w:p w14:paraId="08F99428" w14:textId="5BC82E42" w:rsidR="00A61C30" w:rsidRDefault="00A61C30" w:rsidP="00A61C30">
      <w:pPr>
        <w:pStyle w:val="Bulletlevel1"/>
      </w:pPr>
      <w:r>
        <w:t>whether potential users are likely to seek access to one site, or a defined access area</w:t>
      </w:r>
    </w:p>
    <w:p w14:paraId="69B57315" w14:textId="77777777" w:rsidR="00A61C30" w:rsidRDefault="00A61C30" w:rsidP="00A61C30">
      <w:pPr>
        <w:pStyle w:val="Bulletlevel1last"/>
      </w:pPr>
      <w:r>
        <w:t>whether all likely future high-value uses can be accommodated in a single technical framework.</w:t>
      </w:r>
    </w:p>
    <w:p w14:paraId="2D52E3FC" w14:textId="486ABF76" w:rsidR="005257F8" w:rsidRDefault="005257F8" w:rsidP="00582F59">
      <w:pPr>
        <w:pStyle w:val="Paragraph"/>
      </w:pPr>
      <w:r>
        <w:t>We are also guided by the MPS</w:t>
      </w:r>
      <w:r w:rsidR="00980CCF">
        <w:t xml:space="preserve"> in determining the preferred licence type for this part of the spectrum. </w:t>
      </w:r>
    </w:p>
    <w:p w14:paraId="72180659" w14:textId="0E8C8662" w:rsidR="001573DA" w:rsidRDefault="00234348" w:rsidP="00694E3B">
      <w:pPr>
        <w:pStyle w:val="Paragraphbeforelist"/>
      </w:pPr>
      <w:r>
        <w:t xml:space="preserve">Under the Act, the ACMA can issue </w:t>
      </w:r>
      <w:r w:rsidR="000176F6">
        <w:t xml:space="preserve">3 </w:t>
      </w:r>
      <w:r>
        <w:t>types of licences to authorise the operation of radiocommunications devices:</w:t>
      </w:r>
    </w:p>
    <w:p w14:paraId="09009D02" w14:textId="733D69A6" w:rsidR="00234348" w:rsidRDefault="00234348" w:rsidP="00234348">
      <w:pPr>
        <w:pStyle w:val="Bulletlevel1"/>
      </w:pPr>
      <w:r>
        <w:t>class licences</w:t>
      </w:r>
    </w:p>
    <w:p w14:paraId="21362B5B" w14:textId="68C24481" w:rsidR="00234348" w:rsidRDefault="00234348" w:rsidP="00234348">
      <w:pPr>
        <w:pStyle w:val="Bulletlevel1"/>
      </w:pPr>
      <w:r>
        <w:t>apparatus licences</w:t>
      </w:r>
    </w:p>
    <w:p w14:paraId="449360A1" w14:textId="2038796A" w:rsidR="00234348" w:rsidRDefault="00234348" w:rsidP="00694E3B">
      <w:pPr>
        <w:pStyle w:val="Bulletlevel1last"/>
      </w:pPr>
      <w:r>
        <w:t>spectrum licences.</w:t>
      </w:r>
    </w:p>
    <w:p w14:paraId="37E70A00" w14:textId="26A05235" w:rsidR="00143EA8" w:rsidRDefault="00234348" w:rsidP="00143EA8">
      <w:pPr>
        <w:pStyle w:val="Paragraph"/>
      </w:pPr>
      <w:r>
        <w:t>Class licences provide broad spectrum access arrangements that are</w:t>
      </w:r>
      <w:r w:rsidR="007F0944">
        <w:t xml:space="preserve"> generally</w:t>
      </w:r>
      <w:r>
        <w:t xml:space="preserve"> open to all users and operate on the basis that users are not provided with protection from interference. </w:t>
      </w:r>
      <w:r w:rsidR="00275FE1">
        <w:t xml:space="preserve">The types of services </w:t>
      </w:r>
      <w:r w:rsidR="000176F6">
        <w:t xml:space="preserve">that </w:t>
      </w:r>
      <w:r w:rsidR="00275FE1">
        <w:t xml:space="preserve">are likely to be deployed in the </w:t>
      </w:r>
      <w:r w:rsidR="009167BB">
        <w:t xml:space="preserve">regional </w:t>
      </w:r>
      <w:r w:rsidR="00275FE1">
        <w:t>3.4</w:t>
      </w:r>
      <w:r w:rsidR="009167BB">
        <w:t> </w:t>
      </w:r>
      <w:r w:rsidR="00275FE1">
        <w:t>GHz band and the 3.7 GHz band</w:t>
      </w:r>
      <w:r w:rsidR="00827D84">
        <w:t>, such as WBB,</w:t>
      </w:r>
      <w:r w:rsidR="00275FE1">
        <w:t xml:space="preserve"> require a high level of reliability and guaranteed quality of service. This is generally delivered by granting exclusive rights to blocks of spectrum to an identified licensee. </w:t>
      </w:r>
      <w:r w:rsidR="00B31DCC">
        <w:t>Further, the ACMA is unable to re-allocate spectrum by issuing class licences. As such, class licences are not suitable for the re</w:t>
      </w:r>
      <w:r w:rsidR="00B31DCC">
        <w:noBreakHyphen/>
        <w:t xml:space="preserve">allocation of the </w:t>
      </w:r>
      <w:r w:rsidR="009167BB">
        <w:t xml:space="preserve">regional </w:t>
      </w:r>
      <w:r w:rsidR="00B31DCC">
        <w:t>3.4 GHz</w:t>
      </w:r>
      <w:r w:rsidR="009167BB">
        <w:t xml:space="preserve"> band</w:t>
      </w:r>
      <w:r w:rsidR="00B31DCC">
        <w:t xml:space="preserve"> and 3.7 GHz band.</w:t>
      </w:r>
      <w:r w:rsidR="00982C09">
        <w:t xml:space="preserve"> </w:t>
      </w:r>
      <w:r w:rsidR="008632B2">
        <w:t xml:space="preserve">We consider that class licensing may be suitable for the urban excise, subject to feedback to this consultation. </w:t>
      </w:r>
      <w:r w:rsidR="009077C8">
        <w:t>Class licensing of the urban excise would not be achieved through this re-allocation process.</w:t>
      </w:r>
    </w:p>
    <w:p w14:paraId="30BA3915" w14:textId="4FB35E7B" w:rsidR="00946819" w:rsidRDefault="00C82D18" w:rsidP="00143EA8">
      <w:pPr>
        <w:pStyle w:val="Paragraph"/>
      </w:pPr>
      <w:r>
        <w:t>Apparatus licences are a form of individual authorisation to operate radiocommunications devices. Similar to spectrum licences, apparatus licences may authorise the licensee to use the specified frequency band anywhere within the geographic and frequency boundaries of spectrum space.</w:t>
      </w:r>
      <w:r w:rsidR="00207543">
        <w:t xml:space="preserve"> Most commonly,</w:t>
      </w:r>
      <w:r w:rsidR="00207543" w:rsidDel="002A4709">
        <w:t xml:space="preserve"> </w:t>
      </w:r>
      <w:r w:rsidR="002A4709">
        <w:t xml:space="preserve">site-based apparatus licences </w:t>
      </w:r>
      <w:r w:rsidR="00207543">
        <w:t>authorise the licensee to use a specified device in a specified frequency band</w:t>
      </w:r>
      <w:r w:rsidR="00B664C0">
        <w:t xml:space="preserve"> in a specified location</w:t>
      </w:r>
      <w:r w:rsidR="00207543">
        <w:t>.</w:t>
      </w:r>
      <w:r>
        <w:t xml:space="preserve"> </w:t>
      </w:r>
      <w:r w:rsidR="00A21371" w:rsidRPr="009E28A2">
        <w:t>If authorised to operate under an apparatus licence, a l</w:t>
      </w:r>
      <w:r w:rsidR="00B712FC" w:rsidRPr="009E28A2">
        <w:t>ice</w:t>
      </w:r>
      <w:r w:rsidR="00A21371" w:rsidRPr="009E28A2">
        <w:t>nsee must</w:t>
      </w:r>
      <w:r w:rsidR="00B712FC" w:rsidRPr="009E28A2">
        <w:t xml:space="preserve"> register a </w:t>
      </w:r>
      <w:r w:rsidR="00B664C0">
        <w:t xml:space="preserve">radiocommunications </w:t>
      </w:r>
      <w:r w:rsidR="00B712FC" w:rsidRPr="009E28A2">
        <w:t>device for use in a specific frequency range.</w:t>
      </w:r>
      <w:r w:rsidR="009E28A2">
        <w:t xml:space="preserve"> Generally, </w:t>
      </w:r>
      <w:r w:rsidR="0092428D">
        <w:t>licensees are only authorised to operate at a specified location for a particular type of service.</w:t>
      </w:r>
    </w:p>
    <w:p w14:paraId="3CAC1B45" w14:textId="719F56C2" w:rsidR="00827D84" w:rsidRDefault="0094607E" w:rsidP="00143EA8">
      <w:pPr>
        <w:pStyle w:val="Paragraph"/>
      </w:pPr>
      <w:r>
        <w:t xml:space="preserve">More recently, the ACMA has </w:t>
      </w:r>
      <w:hyperlink r:id="rId58" w:history="1">
        <w:r w:rsidR="006629D8">
          <w:rPr>
            <w:rStyle w:val="Hyperlink"/>
          </w:rPr>
          <w:t>introduced and implemented a framework for area-wide apparatus licences</w:t>
        </w:r>
      </w:hyperlink>
      <w:r>
        <w:t xml:space="preserve"> (AWLs)</w:t>
      </w:r>
      <w:r w:rsidR="0031550B">
        <w:t xml:space="preserve">. </w:t>
      </w:r>
      <w:r w:rsidR="001E2ACB">
        <w:t xml:space="preserve">AWLs </w:t>
      </w:r>
      <w:r w:rsidR="006A7A06">
        <w:t xml:space="preserve">are intended to provide licensees with building blocks of spectrum </w:t>
      </w:r>
      <w:r w:rsidR="000176F6">
        <w:t xml:space="preserve">that </w:t>
      </w:r>
      <w:r w:rsidR="006A7A06">
        <w:t>can be aggregated to meet a range of network sizes and topographies</w:t>
      </w:r>
      <w:r w:rsidR="00946819">
        <w:t xml:space="preserve">. They are essentially technology </w:t>
      </w:r>
      <w:r w:rsidR="00B664C0">
        <w:t>flexible</w:t>
      </w:r>
      <w:r w:rsidR="00946819">
        <w:t xml:space="preserve">, as long as the standard licence conditions for the band </w:t>
      </w:r>
      <w:r w:rsidR="000176F6">
        <w:t xml:space="preserve">that </w:t>
      </w:r>
      <w:r w:rsidR="00946819">
        <w:t xml:space="preserve">they authorise access to are met. </w:t>
      </w:r>
      <w:r w:rsidR="00FC45F8">
        <w:t xml:space="preserve">AWLs generally do not require registration of </w:t>
      </w:r>
      <w:r w:rsidR="00B664C0">
        <w:t xml:space="preserve">radiocommunications </w:t>
      </w:r>
      <w:r w:rsidR="00FC45F8">
        <w:t xml:space="preserve">devices prior to the device being operated, but this is decided on a band-by-band basis. </w:t>
      </w:r>
      <w:r w:rsidR="00946759">
        <w:t>Also similar to spectrum licences</w:t>
      </w:r>
      <w:r w:rsidR="00F274FA">
        <w:t xml:space="preserve">, AWLs authorise </w:t>
      </w:r>
      <w:r w:rsidR="00946759">
        <w:t xml:space="preserve">the operation of </w:t>
      </w:r>
      <w:r w:rsidR="00F274FA">
        <w:t xml:space="preserve">one or more radiocommunications devices within a defined frequency range and geographic area. </w:t>
      </w:r>
    </w:p>
    <w:p w14:paraId="6C1F5853" w14:textId="04ED0F97" w:rsidR="00A61C30" w:rsidRDefault="00C3681D" w:rsidP="00143EA8">
      <w:pPr>
        <w:pStyle w:val="Paragraph"/>
      </w:pPr>
      <w:r>
        <w:t xml:space="preserve">Services deployed under an area-based </w:t>
      </w:r>
      <w:r w:rsidR="002A4709">
        <w:t xml:space="preserve">apparatus </w:t>
      </w:r>
      <w:r>
        <w:t xml:space="preserve">licence still need to coordinate with other services, though this is often limited to services in adjacent bands and areas. </w:t>
      </w:r>
      <w:r w:rsidR="00A61C30">
        <w:t>Apparatus licences, including AWLs,</w:t>
      </w:r>
      <w:r w:rsidR="00DB23DA">
        <w:t xml:space="preserve"> </w:t>
      </w:r>
      <w:r w:rsidR="00A61C30">
        <w:t>cannot be partially traded and may only be traded in full.</w:t>
      </w:r>
    </w:p>
    <w:p w14:paraId="2914B6E9" w14:textId="4E278082" w:rsidR="00C25B7E" w:rsidRDefault="00501FC3" w:rsidP="00C25B7E">
      <w:r>
        <w:t xml:space="preserve">Spectrum licences have historically been </w:t>
      </w:r>
      <w:r w:rsidR="004D6468">
        <w:t xml:space="preserve">used </w:t>
      </w:r>
      <w:r>
        <w:t xml:space="preserve">to facilitate the rollout of </w:t>
      </w:r>
      <w:r w:rsidR="002A4709">
        <w:t>WA WBB</w:t>
      </w:r>
      <w:r>
        <w:t xml:space="preserve"> networks. </w:t>
      </w:r>
      <w:r w:rsidR="00C25B7E">
        <w:t>An inherent feature of spectrum licensing is technological flexibility</w:t>
      </w:r>
      <w:r w:rsidR="00A16D10">
        <w:t xml:space="preserve">. </w:t>
      </w:r>
      <w:r w:rsidR="001A7812">
        <w:t>The technical framework for spectrum licences</w:t>
      </w:r>
      <w:r w:rsidR="00C25B7E">
        <w:t xml:space="preserve">, while usually optimised for an expected technology, generally </w:t>
      </w:r>
      <w:r w:rsidR="004D6468">
        <w:t xml:space="preserve">specifies </w:t>
      </w:r>
      <w:r w:rsidR="00C25B7E">
        <w:t>only generic technical details and limitations</w:t>
      </w:r>
      <w:r w:rsidR="005769A9">
        <w:t>.</w:t>
      </w:r>
      <w:r w:rsidR="00C25B7E">
        <w:rPr>
          <w:vertAlign w:val="superscript"/>
        </w:rPr>
        <w:footnoteReference w:id="10"/>
      </w:r>
      <w:r w:rsidR="00C25B7E">
        <w:t xml:space="preserve"> </w:t>
      </w:r>
      <w:r w:rsidR="005769A9">
        <w:t xml:space="preserve">The </w:t>
      </w:r>
      <w:r w:rsidR="001A7812">
        <w:t>technical framework</w:t>
      </w:r>
      <w:r w:rsidR="005769A9">
        <w:t xml:space="preserve"> do</w:t>
      </w:r>
      <w:r w:rsidR="001A7812">
        <w:t>es</w:t>
      </w:r>
      <w:r w:rsidR="00C25B7E">
        <w:t xml:space="preserve"> not expressly mandat</w:t>
      </w:r>
      <w:r w:rsidR="005769A9">
        <w:t>e</w:t>
      </w:r>
      <w:r w:rsidR="00C25B7E">
        <w:t xml:space="preserve"> a particular type of technology or service. This allows a licensee to deploy any technology as long as it complies with the terms and conditions of the licence, without intervention from the regulator. It is up to the licensee to manage interference between radiocommunications devices, although this can be mitigated by the adoption of international standards. Spectrum licences are also more conducive to spectrum trading than apparatus licences, due to their ability to be sub-divided</w:t>
      </w:r>
      <w:r w:rsidR="00E22573">
        <w:t xml:space="preserve"> for trading</w:t>
      </w:r>
      <w:r w:rsidR="00C25B7E">
        <w:t xml:space="preserve"> and technological flexibility.</w:t>
      </w:r>
    </w:p>
    <w:p w14:paraId="68BF19A1" w14:textId="77777777" w:rsidR="00AF5507" w:rsidRDefault="00A66ABE" w:rsidP="00A66ABE">
      <w:pPr>
        <w:pStyle w:val="Heading2"/>
      </w:pPr>
      <w:bookmarkStart w:id="38" w:name="_Toc96940987"/>
      <w:r>
        <w:t>Preferred licence type</w:t>
      </w:r>
      <w:bookmarkEnd w:id="38"/>
      <w:r>
        <w:t xml:space="preserve"> </w:t>
      </w:r>
    </w:p>
    <w:p w14:paraId="2EBB8068" w14:textId="7C0C2A04" w:rsidR="00E91CCB" w:rsidRDefault="004048F7" w:rsidP="00E752A6">
      <w:pPr>
        <w:pStyle w:val="Paragraph"/>
      </w:pPr>
      <w:r>
        <w:t xml:space="preserve">In </w:t>
      </w:r>
      <w:r w:rsidR="00E91CCB">
        <w:t xml:space="preserve">Australia, wide-area services such as WA WBB have been traditionally deployed under spectrum licences because they </w:t>
      </w:r>
      <w:r w:rsidR="00B23551">
        <w:t>strike the balance between</w:t>
      </w:r>
      <w:r w:rsidR="00E91CCB">
        <w:t xml:space="preserve"> flexibility and certainty for planning and operating large</w:t>
      </w:r>
      <w:r w:rsidR="004D6468">
        <w:t>-</w:t>
      </w:r>
      <w:r w:rsidR="00E91CCB">
        <w:t>scale communication networks.</w:t>
      </w:r>
    </w:p>
    <w:p w14:paraId="5D68AE95" w14:textId="53BCD8DF" w:rsidR="004A225E" w:rsidRDefault="00E752A6" w:rsidP="004A225E">
      <w:pPr>
        <w:pStyle w:val="Paragraph"/>
      </w:pPr>
      <w:r w:rsidRPr="00593DF7">
        <w:t>The deployment of mobile</w:t>
      </w:r>
      <w:r w:rsidR="00A4677D">
        <w:t xml:space="preserve"> and some fixed network</w:t>
      </w:r>
      <w:r w:rsidRPr="00593DF7">
        <w:t xml:space="preserve"> networks, including 5G networks, can be expected to require significant infrastructure investment.</w:t>
      </w:r>
      <w:r w:rsidRPr="00B8703B">
        <w:t xml:space="preserve"> </w:t>
      </w:r>
      <w:r w:rsidR="00715560">
        <w:t>W</w:t>
      </w:r>
      <w:r w:rsidR="004A225E">
        <w:t>e consider the</w:t>
      </w:r>
      <w:r w:rsidR="00C82EE5">
        <w:t xml:space="preserve"> spectrum licensing framework </w:t>
      </w:r>
      <w:r w:rsidR="00671716">
        <w:t xml:space="preserve">under </w:t>
      </w:r>
      <w:r w:rsidR="0019548E">
        <w:t>Part 3.2</w:t>
      </w:r>
      <w:r w:rsidR="004D6468">
        <w:t xml:space="preserve"> of</w:t>
      </w:r>
      <w:r w:rsidR="0019548E">
        <w:t xml:space="preserve"> </w:t>
      </w:r>
      <w:r w:rsidR="00671716">
        <w:t>the Act to be more suited to long-term deployments.</w:t>
      </w:r>
      <w:r w:rsidR="00671716" w:rsidRPr="00671716">
        <w:t xml:space="preserve"> </w:t>
      </w:r>
      <w:r w:rsidR="00880D05">
        <w:t xml:space="preserve">The conditions </w:t>
      </w:r>
      <w:r w:rsidR="000F56D1">
        <w:t xml:space="preserve">generally imposed on </w:t>
      </w:r>
      <w:r w:rsidR="00974485">
        <w:t xml:space="preserve">spectrum licences under </w:t>
      </w:r>
      <w:r w:rsidR="00475B36">
        <w:t>the Act may be more suited to WA WBB deployment</w:t>
      </w:r>
      <w:r w:rsidR="004D6468">
        <w:t>,</w:t>
      </w:r>
      <w:r w:rsidR="00CE2F64">
        <w:t xml:space="preserve"> as they are more prescriptive and </w:t>
      </w:r>
      <w:r w:rsidR="00C81F73">
        <w:t>less subject to change than those imposed on apparatus licences.</w:t>
      </w:r>
    </w:p>
    <w:p w14:paraId="6AAC350C" w14:textId="530331EE" w:rsidR="00E752A6" w:rsidRDefault="00785593" w:rsidP="00E752A6">
      <w:pPr>
        <w:pStyle w:val="Paragraph"/>
      </w:pPr>
      <w:r w:rsidRPr="00785593">
        <w:t xml:space="preserve">The technology flexibility inherent in </w:t>
      </w:r>
      <w:r w:rsidR="00D91AA3">
        <w:t xml:space="preserve">spectrum licences </w:t>
      </w:r>
      <w:r w:rsidRPr="00785593">
        <w:t>provides</w:t>
      </w:r>
      <w:r w:rsidR="00D91AA3">
        <w:t xml:space="preserve"> licensees </w:t>
      </w:r>
      <w:r w:rsidRPr="00785593">
        <w:t>with</w:t>
      </w:r>
      <w:r w:rsidR="00861ABD">
        <w:t xml:space="preserve"> the </w:t>
      </w:r>
      <w:r w:rsidRPr="00785593">
        <w:t xml:space="preserve">ability </w:t>
      </w:r>
      <w:r w:rsidR="00D91AA3">
        <w:t xml:space="preserve">to </w:t>
      </w:r>
      <w:r w:rsidR="00616385">
        <w:t>deploy different services throughout the licence period,</w:t>
      </w:r>
      <w:r w:rsidR="00D91AA3">
        <w:t xml:space="preserve"> should their </w:t>
      </w:r>
      <w:r w:rsidR="00660093">
        <w:t>use-case</w:t>
      </w:r>
      <w:r w:rsidR="00D91AA3">
        <w:t>s change</w:t>
      </w:r>
      <w:r w:rsidR="00B42529">
        <w:t xml:space="preserve"> over the licence period. </w:t>
      </w:r>
      <w:r w:rsidR="00616385">
        <w:t>Licensees have the added flexibility of varying their licences</w:t>
      </w:r>
      <w:r w:rsidR="00687673">
        <w:t xml:space="preserve">, or </w:t>
      </w:r>
      <w:r w:rsidR="00616385">
        <w:t>trading their licences</w:t>
      </w:r>
      <w:r w:rsidR="00735904">
        <w:t xml:space="preserve"> in part or in full, should </w:t>
      </w:r>
      <w:r w:rsidR="006146F4">
        <w:t xml:space="preserve">demand for their services grow or </w:t>
      </w:r>
      <w:r w:rsidR="006146F4" w:rsidRPr="00A2743E">
        <w:t>decrease</w:t>
      </w:r>
      <w:r w:rsidR="00EC5144" w:rsidRPr="00A2743E">
        <w:t xml:space="preserve">. </w:t>
      </w:r>
      <w:r w:rsidR="00C4584A" w:rsidRPr="00A71E0A">
        <w:t>In line with the MPS for this allocation, w</w:t>
      </w:r>
      <w:r w:rsidR="00EC5144" w:rsidRPr="00A71E0A">
        <w:t xml:space="preserve">e consider that this feature of spectrum licensing supports a wide range of </w:t>
      </w:r>
      <w:r w:rsidR="00CA4BA3">
        <w:t xml:space="preserve">WBB </w:t>
      </w:r>
      <w:r w:rsidR="00660093">
        <w:t>use-case</w:t>
      </w:r>
      <w:r w:rsidR="00735904" w:rsidRPr="00A71E0A">
        <w:t>s and users</w:t>
      </w:r>
      <w:r w:rsidR="006146F4" w:rsidRPr="00A71E0A">
        <w:t xml:space="preserve">, </w:t>
      </w:r>
      <w:r w:rsidR="004C5458" w:rsidRPr="00A71E0A">
        <w:t>in the medium</w:t>
      </w:r>
      <w:r w:rsidR="004D6468">
        <w:t>-</w:t>
      </w:r>
      <w:r w:rsidR="004C5458" w:rsidRPr="00A71E0A">
        <w:t xml:space="preserve"> and</w:t>
      </w:r>
      <w:r w:rsidR="006146F4" w:rsidRPr="00A71E0A">
        <w:t xml:space="preserve"> long</w:t>
      </w:r>
      <w:r w:rsidR="004D6468">
        <w:t>-</w:t>
      </w:r>
      <w:r w:rsidR="006146F4" w:rsidRPr="00A71E0A">
        <w:t>term</w:t>
      </w:r>
      <w:r w:rsidR="00980CCF">
        <w:t>, as well as the deployment of 5G technologies</w:t>
      </w:r>
      <w:r w:rsidR="006146F4" w:rsidRPr="00A71E0A">
        <w:t>.</w:t>
      </w:r>
    </w:p>
    <w:p w14:paraId="2C0AAF5B" w14:textId="566F0349" w:rsidR="00A66ABE" w:rsidRDefault="00EB334E" w:rsidP="00694E3B">
      <w:pPr>
        <w:pStyle w:val="Heading3"/>
      </w:pPr>
      <w:r>
        <w:t xml:space="preserve">Regional </w:t>
      </w:r>
      <w:r w:rsidR="00AF5507">
        <w:t xml:space="preserve">3.4 </w:t>
      </w:r>
      <w:r w:rsidR="00A66ABE">
        <w:t xml:space="preserve">GHz band </w:t>
      </w:r>
    </w:p>
    <w:p w14:paraId="0C08602A" w14:textId="274E3D2F" w:rsidR="00E82807" w:rsidRPr="00114EB4" w:rsidRDefault="007123FA" w:rsidP="00114EB4">
      <w:pPr>
        <w:pStyle w:val="Paragraph"/>
      </w:pPr>
      <w:r w:rsidRPr="00114EB4">
        <w:t xml:space="preserve">The </w:t>
      </w:r>
      <w:hyperlink r:id="rId59" w:history="1">
        <w:r w:rsidR="00114EB4" w:rsidRPr="009241BF">
          <w:rPr>
            <w:rStyle w:val="Hyperlink"/>
          </w:rPr>
          <w:t xml:space="preserve">3400 </w:t>
        </w:r>
        <w:r w:rsidR="00114EB4">
          <w:rPr>
            <w:rStyle w:val="Hyperlink"/>
          </w:rPr>
          <w:t xml:space="preserve">MHz </w:t>
        </w:r>
        <w:r w:rsidR="00114EB4" w:rsidRPr="009241BF">
          <w:rPr>
            <w:rStyle w:val="Hyperlink"/>
          </w:rPr>
          <w:t>decisions paper</w:t>
        </w:r>
      </w:hyperlink>
      <w:r w:rsidR="00114EB4">
        <w:t xml:space="preserve"> </w:t>
      </w:r>
      <w:r w:rsidRPr="00114EB4">
        <w:t>outlines the ACMA’s preliminary views on possible new spectrum allocations in the 3.4 GHz band for WA WBB use.</w:t>
      </w:r>
      <w:r w:rsidR="00174A08" w:rsidRPr="00114EB4">
        <w:rPr>
          <w:rStyle w:val="FootnoteReference"/>
        </w:rPr>
        <w:footnoteReference w:id="11"/>
      </w:r>
      <w:r w:rsidRPr="00114EB4">
        <w:t xml:space="preserve"> A key planning </w:t>
      </w:r>
      <w:r w:rsidR="009274B1">
        <w:t>outcome</w:t>
      </w:r>
      <w:r w:rsidRPr="00114EB4">
        <w:t xml:space="preserve"> was that </w:t>
      </w:r>
      <w:r w:rsidR="00D03F0C" w:rsidRPr="00114EB4">
        <w:t xml:space="preserve">spectrum for such use </w:t>
      </w:r>
      <w:r w:rsidRPr="00114EB4">
        <w:t>should be made available for the issue of spectrum licences</w:t>
      </w:r>
      <w:r w:rsidR="00D03F0C" w:rsidRPr="00114EB4">
        <w:t xml:space="preserve">. </w:t>
      </w:r>
      <w:r w:rsidRPr="00114EB4">
        <w:t>Options 2 and 3, as identified in this paper, build on the above outcome by extending spectrum licensing into part or all of the 3475</w:t>
      </w:r>
      <w:r w:rsidR="004D6468">
        <w:t>–</w:t>
      </w:r>
      <w:r w:rsidRPr="00114EB4">
        <w:t xml:space="preserve">3542.5 MHz </w:t>
      </w:r>
      <w:r w:rsidR="00C030F8" w:rsidRPr="00114EB4">
        <w:t>frequency range</w:t>
      </w:r>
      <w:r w:rsidRPr="00114EB4">
        <w:t xml:space="preserve">. </w:t>
      </w:r>
    </w:p>
    <w:p w14:paraId="32ACB5F5" w14:textId="019D96F2" w:rsidR="00B63E5B" w:rsidRPr="00DC02E1" w:rsidRDefault="00B12F23" w:rsidP="00B12F23">
      <w:pPr>
        <w:pStyle w:val="Paragraph"/>
      </w:pPr>
      <w:r>
        <w:t xml:space="preserve">Existing arrangements for WA WBB in the </w:t>
      </w:r>
      <w:r w:rsidR="00BF320A">
        <w:t>frequency range</w:t>
      </w:r>
      <w:r>
        <w:t xml:space="preserve"> 3400</w:t>
      </w:r>
      <w:r w:rsidR="004D6468">
        <w:t>–</w:t>
      </w:r>
      <w:r>
        <w:t xml:space="preserve">3700 MHz use spectrum licensing. </w:t>
      </w:r>
      <w:r w:rsidR="0093069A">
        <w:t>There are benefits in u</w:t>
      </w:r>
      <w:r w:rsidR="007123FA">
        <w:t>sing the same licence type for spectrum optimised for WA WBB use</w:t>
      </w:r>
      <w:r w:rsidR="00EF7595">
        <w:t xml:space="preserve"> across the</w:t>
      </w:r>
      <w:r w:rsidR="007123FA">
        <w:t xml:space="preserve"> </w:t>
      </w:r>
      <w:r w:rsidR="004804E6">
        <w:t xml:space="preserve">frequency range </w:t>
      </w:r>
      <w:r w:rsidR="009524FC">
        <w:t>3400</w:t>
      </w:r>
      <w:r w:rsidR="004D6468">
        <w:t>–</w:t>
      </w:r>
      <w:r w:rsidR="009524FC">
        <w:t xml:space="preserve">3800 MHz. </w:t>
      </w:r>
      <w:r w:rsidR="00E82807">
        <w:t>Specifically,</w:t>
      </w:r>
      <w:r w:rsidR="008D09DD">
        <w:t xml:space="preserve"> it</w:t>
      </w:r>
      <w:r w:rsidR="007123FA">
        <w:t xml:space="preserve"> will allow licensees to deploy </w:t>
      </w:r>
      <w:r w:rsidR="00127904">
        <w:t xml:space="preserve">services </w:t>
      </w:r>
      <w:r w:rsidR="002355AC">
        <w:t>under similar regulatory arrangements</w:t>
      </w:r>
      <w:r w:rsidR="00127904">
        <w:t>, reduce or remove the effect of orphaned spectrum</w:t>
      </w:r>
      <w:r w:rsidR="00462FBC">
        <w:t xml:space="preserve"> and facilitate the</w:t>
      </w:r>
      <w:r w:rsidR="007123FA">
        <w:t xml:space="preserve"> </w:t>
      </w:r>
      <w:r w:rsidR="002355AC">
        <w:t>de</w:t>
      </w:r>
      <w:r w:rsidR="007123FA">
        <w:t>fragmentation</w:t>
      </w:r>
      <w:r w:rsidR="001A09B5">
        <w:t xml:space="preserve"> of </w:t>
      </w:r>
      <w:r w:rsidR="00462FBC">
        <w:t xml:space="preserve">their spectrum </w:t>
      </w:r>
      <w:r w:rsidR="001A09B5">
        <w:t>holdings</w:t>
      </w:r>
      <w:r w:rsidR="007123FA">
        <w:t>.</w:t>
      </w:r>
      <w:r w:rsidR="00550DAF">
        <w:t xml:space="preserve"> </w:t>
      </w:r>
    </w:p>
    <w:p w14:paraId="0F7E6ADA" w14:textId="3C4E4FBE" w:rsidR="007123FA" w:rsidRDefault="004D6468" w:rsidP="007123FA">
      <w:pPr>
        <w:pStyle w:val="Paragraph"/>
      </w:pPr>
      <w:r>
        <w:t xml:space="preserve">Given </w:t>
      </w:r>
      <w:r w:rsidR="007123FA">
        <w:t xml:space="preserve">this, we consider that apparatus licensing for WA WBB optimised spectrum in the </w:t>
      </w:r>
      <w:r w:rsidR="00EB334E">
        <w:t xml:space="preserve">regional </w:t>
      </w:r>
      <w:r w:rsidR="007123FA">
        <w:t>3.4 GHz band is not appropriate, and that spectrum licensing is our preferred licence type.</w:t>
      </w:r>
    </w:p>
    <w:p w14:paraId="7FD5E7C9" w14:textId="6325B9D1" w:rsidR="007123FA" w:rsidRDefault="007123FA" w:rsidP="007123FA">
      <w:pPr>
        <w:pStyle w:val="Paragraph"/>
      </w:pPr>
      <w:r>
        <w:t>The 3400 MHz decision paper also identified that the 3400</w:t>
      </w:r>
      <w:r w:rsidR="004D6468">
        <w:t>–</w:t>
      </w:r>
      <w:r>
        <w:t xml:space="preserve">3475 MHz </w:t>
      </w:r>
      <w:r w:rsidR="0085389C">
        <w:t>frequency range</w:t>
      </w:r>
      <w:r>
        <w:t xml:space="preserve"> in </w:t>
      </w:r>
      <w:r w:rsidRPr="003A1A7E">
        <w:t>urban excise areas</w:t>
      </w:r>
      <w:r>
        <w:t xml:space="preserve"> should be made available for WBB use. The</w:t>
      </w:r>
      <w:r w:rsidR="00936E05">
        <w:t xml:space="preserve"> </w:t>
      </w:r>
      <w:hyperlink r:id="rId60" w:history="1">
        <w:r w:rsidR="004D6468">
          <w:rPr>
            <w:rStyle w:val="Hyperlink"/>
          </w:rPr>
          <w:t>urban excise outcomes paper</w:t>
        </w:r>
      </w:hyperlink>
      <w:r>
        <w:t xml:space="preserve"> progressed consideration of this issue and identified possible options for LA WBB and WA WBB use. </w:t>
      </w:r>
    </w:p>
    <w:p w14:paraId="4C2A0BDF" w14:textId="0E56F2B6" w:rsidR="007123FA" w:rsidRDefault="007123FA" w:rsidP="007123FA">
      <w:pPr>
        <w:pStyle w:val="Paragraph"/>
      </w:pPr>
      <w:r>
        <w:t>After further consideration, o</w:t>
      </w:r>
      <w:r w:rsidRPr="008B569F">
        <w:t xml:space="preserve">ur preliminary view is that the urban excise should be </w:t>
      </w:r>
      <w:r>
        <w:t xml:space="preserve">made available by </w:t>
      </w:r>
      <w:r w:rsidR="007B0839">
        <w:t>issuing</w:t>
      </w:r>
      <w:r>
        <w:t xml:space="preserve"> </w:t>
      </w:r>
      <w:r w:rsidRPr="008B569F">
        <w:t>spectrum</w:t>
      </w:r>
      <w:r>
        <w:t xml:space="preserve"> licences</w:t>
      </w:r>
      <w:r w:rsidRPr="008B569F">
        <w:t>.</w:t>
      </w:r>
      <w:r>
        <w:t xml:space="preserve"> Further discussion on this matter can be found at the ‘</w:t>
      </w:r>
      <w:r w:rsidR="00A557F8">
        <w:t>P</w:t>
      </w:r>
      <w:r>
        <w:t xml:space="preserve">lanning options’ section of this paper. We welcome stakeholder views on this issue. </w:t>
      </w:r>
    </w:p>
    <w:p w14:paraId="0B4CDBAE" w14:textId="464866B1" w:rsidR="00D241AC" w:rsidRPr="00D27BBF" w:rsidRDefault="00485F64" w:rsidP="00694E3B">
      <w:pPr>
        <w:pStyle w:val="Heading3"/>
      </w:pPr>
      <w:r>
        <w:t xml:space="preserve">3.7 GHz </w:t>
      </w:r>
      <w:r w:rsidR="00D241AC" w:rsidRPr="00D27BBF">
        <w:t>band</w:t>
      </w:r>
    </w:p>
    <w:p w14:paraId="19AA8BDD" w14:textId="15275E58" w:rsidR="002D7869" w:rsidRDefault="00F62BB7" w:rsidP="00C42C41">
      <w:pPr>
        <w:pStyle w:val="Paragraph"/>
      </w:pPr>
      <w:r>
        <w:t xml:space="preserve">In the </w:t>
      </w:r>
      <w:hyperlink r:id="rId61" w:history="1">
        <w:r w:rsidRPr="00130BEA">
          <w:rPr>
            <w:rStyle w:val="Hyperlink"/>
          </w:rPr>
          <w:t xml:space="preserve">3700 </w:t>
        </w:r>
        <w:r w:rsidR="00A53C9A">
          <w:rPr>
            <w:rStyle w:val="Hyperlink"/>
          </w:rPr>
          <w:t xml:space="preserve">MHz </w:t>
        </w:r>
        <w:r w:rsidRPr="00130BEA">
          <w:rPr>
            <w:rStyle w:val="Hyperlink"/>
          </w:rPr>
          <w:t>outcomes paper</w:t>
        </w:r>
      </w:hyperlink>
      <w:r>
        <w:t xml:space="preserve">, we formed the preliminary view that </w:t>
      </w:r>
      <w:r w:rsidR="00486E15">
        <w:t>spectrum licensing is the preferred licensing mechanism for WA WBB use in the 3.7 GHz band.</w:t>
      </w:r>
    </w:p>
    <w:p w14:paraId="1A2D6C8B" w14:textId="49CF5E3D" w:rsidR="00C42C41" w:rsidRDefault="00C42C41" w:rsidP="00C42C41">
      <w:pPr>
        <w:pStyle w:val="Paragraph"/>
      </w:pPr>
      <w:r w:rsidDel="00D81BD7">
        <w:t xml:space="preserve">The ACMA </w:t>
      </w:r>
      <w:r>
        <w:t xml:space="preserve">therefore </w:t>
      </w:r>
      <w:r w:rsidR="00E22573">
        <w:t>continues to consider</w:t>
      </w:r>
      <w:r w:rsidR="00E22573" w:rsidDel="00D81BD7">
        <w:t xml:space="preserve"> </w:t>
      </w:r>
      <w:r w:rsidDel="00D81BD7">
        <w:t xml:space="preserve">that spectrum licensing is the most appropriate licence type for the allocation of spectrum in the </w:t>
      </w:r>
      <w:r>
        <w:t>3.7</w:t>
      </w:r>
      <w:r w:rsidDel="00D81BD7">
        <w:t> </w:t>
      </w:r>
      <w:r>
        <w:t>G</w:t>
      </w:r>
      <w:r w:rsidDel="00D81BD7">
        <w:t>Hz band.</w:t>
      </w:r>
      <w:r w:rsidRPr="00F65BD5">
        <w:rPr>
          <w:rStyle w:val="CommentReference"/>
          <w:rFonts w:cs="Times New Roman"/>
        </w:rPr>
        <w:t xml:space="preserve"> </w:t>
      </w:r>
    </w:p>
    <w:p w14:paraId="491AAAC5" w14:textId="3309ADA9" w:rsidR="00734BF2" w:rsidRPr="00420006" w:rsidRDefault="004D6468" w:rsidP="00136F13">
      <w:pPr>
        <w:pStyle w:val="Heading3"/>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The </w:t>
      </w:r>
      <w:r w:rsidR="00BF0C53">
        <w:t>ACMA</w:t>
      </w:r>
      <w:r>
        <w:t>’s</w:t>
      </w:r>
      <w:r w:rsidR="00BF0C53">
        <w:t xml:space="preserve"> proposal: licence type</w:t>
      </w:r>
    </w:p>
    <w:p w14:paraId="4CACD306" w14:textId="77777777" w:rsidR="00650B5F" w:rsidRDefault="00244FE8" w:rsidP="00136F13">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If the ACMA makes a re-allocation declaration, d</w:t>
      </w:r>
      <w:r w:rsidR="00136F13">
        <w:t xml:space="preserve">o you </w:t>
      </w:r>
      <w:r w:rsidR="000A1633">
        <w:t xml:space="preserve">have comments on </w:t>
      </w:r>
      <w:r w:rsidR="00136F13">
        <w:t xml:space="preserve">our proposal </w:t>
      </w:r>
      <w:r>
        <w:t xml:space="preserve">to issue spectrum licences in the 3.4 GHz (including in regional areas and in urban excise areas) and 3.7 GHz bands? </w:t>
      </w:r>
    </w:p>
    <w:p w14:paraId="29AD6978" w14:textId="42763A71" w:rsidR="00C80E85" w:rsidRDefault="00244FE8" w:rsidP="00136F13">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Please </w:t>
      </w:r>
      <w:r w:rsidR="000A1633">
        <w:t>provide evidence in support of your comments.</w:t>
      </w:r>
    </w:p>
    <w:p w14:paraId="0E92A4FC" w14:textId="77777777" w:rsidR="00FC6350" w:rsidRDefault="00FC6350" w:rsidP="00FC6350">
      <w:pPr>
        <w:pStyle w:val="Paragraph"/>
      </w:pPr>
    </w:p>
    <w:p w14:paraId="7C75D29B" w14:textId="1C7E49AB" w:rsidR="00734BF2" w:rsidRDefault="00664572" w:rsidP="00664572">
      <w:pPr>
        <w:pStyle w:val="Heading1"/>
      </w:pPr>
      <w:bookmarkStart w:id="39" w:name="_Toc96940988"/>
      <w:r>
        <w:t>Specified parts of the spectrum</w:t>
      </w:r>
      <w:bookmarkEnd w:id="39"/>
    </w:p>
    <w:p w14:paraId="1907358D" w14:textId="1ED5F7BC" w:rsidR="008E45A3" w:rsidRDefault="008E45A3" w:rsidP="000B643A">
      <w:pPr>
        <w:pStyle w:val="Paragraph"/>
      </w:pPr>
      <w:r w:rsidRPr="003B4857">
        <w:t xml:space="preserve">The ACMA may make a spectrum </w:t>
      </w:r>
      <w:r w:rsidR="00DA3182" w:rsidRPr="003B4857">
        <w:t>re</w:t>
      </w:r>
      <w:r w:rsidR="00DA3182" w:rsidRPr="003B4857">
        <w:noBreakHyphen/>
        <w:t>allocation</w:t>
      </w:r>
      <w:r w:rsidRPr="003B4857">
        <w:t xml:space="preserve"> declaration for one or more specified parts of the spectrum. </w:t>
      </w:r>
      <w:r w:rsidR="00BA08D8">
        <w:t>Each part of the spectrum (the frequency range</w:t>
      </w:r>
      <w:r w:rsidR="0067250B">
        <w:t xml:space="preserve"> or frequency boundaries</w:t>
      </w:r>
      <w:r w:rsidR="00BA08D8">
        <w:t>) declared for re</w:t>
      </w:r>
      <w:r w:rsidR="00BA08D8">
        <w:noBreakHyphen/>
        <w:t>allocation must be expressed to apply to one or more specified areas</w:t>
      </w:r>
      <w:r w:rsidR="0067250B">
        <w:t xml:space="preserve"> (the geographic area or geographic boundaries)</w:t>
      </w:r>
      <w:r w:rsidR="00BA08D8">
        <w:t>.</w:t>
      </w:r>
      <w:r w:rsidR="006D1FD9" w:rsidRPr="003B4857">
        <w:t xml:space="preserve"> </w:t>
      </w:r>
    </w:p>
    <w:p w14:paraId="1F51B73E" w14:textId="0253FB2E" w:rsidR="00BE6921" w:rsidRPr="00462001" w:rsidRDefault="00BE6921" w:rsidP="00BE6921">
      <w:pPr>
        <w:pStyle w:val="Heading2"/>
      </w:pPr>
      <w:bookmarkStart w:id="40" w:name="_Toc96940989"/>
      <w:r w:rsidRPr="00462001">
        <w:t>Frequency boundaries</w:t>
      </w:r>
      <w:bookmarkEnd w:id="40"/>
    </w:p>
    <w:p w14:paraId="46C33266" w14:textId="372AF4FC" w:rsidR="00A97055" w:rsidRDefault="008E45A3" w:rsidP="000B643A">
      <w:pPr>
        <w:pStyle w:val="Paragraph"/>
      </w:pPr>
      <w:r w:rsidRPr="003B4857">
        <w:t xml:space="preserve">In determining </w:t>
      </w:r>
      <w:r w:rsidR="003E0061" w:rsidRPr="003B4857">
        <w:t>which parts of the spectrum to declare for re</w:t>
      </w:r>
      <w:r w:rsidR="003E0061" w:rsidRPr="003B4857">
        <w:noBreakHyphen/>
        <w:t>allocation</w:t>
      </w:r>
      <w:r w:rsidRPr="003B4857">
        <w:t xml:space="preserve">, </w:t>
      </w:r>
      <w:r w:rsidR="00D059EE" w:rsidRPr="003B4857">
        <w:t>we</w:t>
      </w:r>
      <w:r w:rsidRPr="003B4857">
        <w:t xml:space="preserve"> consider </w:t>
      </w:r>
      <w:r w:rsidR="007949F6" w:rsidRPr="003B4857">
        <w:t xml:space="preserve">a range of </w:t>
      </w:r>
      <w:r w:rsidRPr="003B4857">
        <w:t>factors. For example, international trends and anticipated future spectrum uses help provide a platform to establish if there is demand for the spectrum</w:t>
      </w:r>
      <w:r w:rsidR="00587221">
        <w:t>.</w:t>
      </w:r>
      <w:r w:rsidRPr="003B4857">
        <w:t xml:space="preserve"> </w:t>
      </w:r>
      <w:r w:rsidR="00587221">
        <w:t>T</w:t>
      </w:r>
      <w:r w:rsidRPr="003B4857">
        <w:t xml:space="preserve">he technology </w:t>
      </w:r>
      <w:r w:rsidR="00CC7BB1">
        <w:t>that may</w:t>
      </w:r>
      <w:r w:rsidR="00CC7BB1" w:rsidRPr="003B4857">
        <w:t xml:space="preserve"> </w:t>
      </w:r>
      <w:r w:rsidRPr="003B4857">
        <w:t>be deployed and current use of a band may influence the amount of spectrum that should be considered.</w:t>
      </w:r>
      <w:r w:rsidR="001F5BF7" w:rsidRPr="003B4857">
        <w:t xml:space="preserve"> </w:t>
      </w:r>
      <w:r w:rsidR="00E073D2">
        <w:t xml:space="preserve">We </w:t>
      </w:r>
      <w:r w:rsidR="003077F9">
        <w:t>are also guided by the</w:t>
      </w:r>
      <w:r w:rsidR="00EA2C7E">
        <w:t xml:space="preserve"> policy objectives contained with</w:t>
      </w:r>
      <w:r w:rsidR="00754BC8">
        <w:t xml:space="preserve">in the MPS. </w:t>
      </w:r>
      <w:r w:rsidRPr="003B4857">
        <w:t xml:space="preserve">These matters are not </w:t>
      </w:r>
      <w:r w:rsidR="009E16C5" w:rsidRPr="003B4857">
        <w:t>exhaustive,</w:t>
      </w:r>
      <w:r w:rsidR="00943B12" w:rsidRPr="003B4857">
        <w:t xml:space="preserve"> </w:t>
      </w:r>
      <w:r w:rsidRPr="003B4857">
        <w:t xml:space="preserve">and </w:t>
      </w:r>
      <w:r w:rsidR="00D059EE" w:rsidRPr="003B4857">
        <w:t>we</w:t>
      </w:r>
      <w:r w:rsidR="000365FF" w:rsidRPr="003B4857">
        <w:t xml:space="preserve"> </w:t>
      </w:r>
      <w:r w:rsidRPr="003B4857">
        <w:t xml:space="preserve">may take other issues into consideration when determining </w:t>
      </w:r>
      <w:r w:rsidR="007B37CF">
        <w:t>which parts of the spectrum to re</w:t>
      </w:r>
      <w:r w:rsidR="007B37CF">
        <w:noBreakHyphen/>
        <w:t>allocate</w:t>
      </w:r>
      <w:r w:rsidRPr="003B4857">
        <w:t>.</w:t>
      </w:r>
    </w:p>
    <w:p w14:paraId="15756CBE" w14:textId="27F9299E" w:rsidR="00D00F05" w:rsidRPr="00462001" w:rsidDel="00BE6921" w:rsidRDefault="00D00F05" w:rsidP="003B4857">
      <w:pPr>
        <w:pStyle w:val="Heading3"/>
      </w:pPr>
      <w:r>
        <w:t xml:space="preserve">International </w:t>
      </w:r>
      <w:r w:rsidR="00E02242">
        <w:t>harmonisation</w:t>
      </w:r>
      <w:r w:rsidR="00A9094D">
        <w:t xml:space="preserve"> and </w:t>
      </w:r>
      <w:r w:rsidR="00F42163">
        <w:t>anticipated</w:t>
      </w:r>
      <w:r w:rsidR="00A9094D">
        <w:t xml:space="preserve"> </w:t>
      </w:r>
      <w:r w:rsidR="00660093">
        <w:t>use-case</w:t>
      </w:r>
      <w:r w:rsidR="00A9094D">
        <w:t>s</w:t>
      </w:r>
    </w:p>
    <w:p w14:paraId="5A7BC991" w14:textId="5DCACCD1" w:rsidR="00B6014B" w:rsidRDefault="002063F6" w:rsidP="00B6014B">
      <w:pPr>
        <w:pStyle w:val="Paragraph"/>
      </w:pPr>
      <w:r w:rsidRPr="00A719DC">
        <w:t xml:space="preserve">In Australia, </w:t>
      </w:r>
      <w:r w:rsidR="008D6528" w:rsidRPr="00A719DC">
        <w:t xml:space="preserve">spectrum </w:t>
      </w:r>
      <w:r w:rsidR="0077648B">
        <w:t>in the frequency range</w:t>
      </w:r>
      <w:r w:rsidR="0077648B" w:rsidRPr="00A719DC">
        <w:t xml:space="preserve"> </w:t>
      </w:r>
      <w:r w:rsidR="00FB0DC6" w:rsidRPr="00A719DC">
        <w:t>3</w:t>
      </w:r>
      <w:r w:rsidR="008D6528" w:rsidRPr="00A719DC">
        <w:t>4</w:t>
      </w:r>
      <w:r w:rsidR="00FB0DC6" w:rsidRPr="00A719DC">
        <w:t>00–3</w:t>
      </w:r>
      <w:r w:rsidR="008D6528" w:rsidRPr="00A719DC">
        <w:t>7</w:t>
      </w:r>
      <w:r w:rsidR="00FB0DC6" w:rsidRPr="00A719DC">
        <w:t xml:space="preserve">00 MHz is </w:t>
      </w:r>
      <w:r w:rsidR="00F271BD">
        <w:t>already</w:t>
      </w:r>
      <w:r w:rsidR="00FB0DC6" w:rsidRPr="00A719DC">
        <w:t xml:space="preserve"> </w:t>
      </w:r>
      <w:r w:rsidR="008D6528" w:rsidRPr="00A719DC">
        <w:t>spectrum</w:t>
      </w:r>
      <w:r w:rsidR="00203FAA">
        <w:t>-</w:t>
      </w:r>
      <w:r w:rsidR="008D6528" w:rsidRPr="00A719DC">
        <w:t xml:space="preserve">licensed in </w:t>
      </w:r>
      <w:r w:rsidR="006E4162">
        <w:t>parts of metropolitan and regional areas</w:t>
      </w:r>
      <w:r w:rsidR="009414CF" w:rsidRPr="00A719DC">
        <w:t xml:space="preserve">, </w:t>
      </w:r>
      <w:r w:rsidR="00C6306C">
        <w:t>mostly in</w:t>
      </w:r>
      <w:r w:rsidR="009414CF" w:rsidRPr="00A719DC">
        <w:t xml:space="preserve"> densely populated areas</w:t>
      </w:r>
      <w:r w:rsidR="00EF29E4" w:rsidRPr="00A719DC">
        <w:t>.</w:t>
      </w:r>
      <w:r w:rsidR="001F582B" w:rsidRPr="00A719DC">
        <w:t xml:space="preserve"> </w:t>
      </w:r>
      <w:r w:rsidR="00642046" w:rsidRPr="00A719DC">
        <w:t>The</w:t>
      </w:r>
      <w:r w:rsidR="009A7F27">
        <w:t xml:space="preserve"> technical framework applicable to these spectrum licences </w:t>
      </w:r>
      <w:r w:rsidR="00F17A5D">
        <w:t>is</w:t>
      </w:r>
      <w:r w:rsidRPr="00A719DC">
        <w:t xml:space="preserve"> optimised for </w:t>
      </w:r>
      <w:r w:rsidR="000D1C4E" w:rsidRPr="00A719DC">
        <w:t xml:space="preserve">WBB </w:t>
      </w:r>
      <w:r w:rsidR="008E504B">
        <w:t>use</w:t>
      </w:r>
      <w:r w:rsidR="00642046" w:rsidRPr="00A719DC">
        <w:t xml:space="preserve">. </w:t>
      </w:r>
    </w:p>
    <w:p w14:paraId="2858C48C" w14:textId="19674272" w:rsidR="00212C48" w:rsidRDefault="00B6014B" w:rsidP="00045E08">
      <w:pPr>
        <w:pStyle w:val="Paragraph"/>
      </w:pPr>
      <w:r w:rsidRPr="008629C1">
        <w:t>Under our proposal to re</w:t>
      </w:r>
      <w:r w:rsidRPr="008629C1">
        <w:noBreakHyphen/>
        <w:t>allocate parts of the spectrum between 3400 MHz and 35</w:t>
      </w:r>
      <w:r w:rsidR="00040919">
        <w:t>75</w:t>
      </w:r>
      <w:r w:rsidRPr="008629C1">
        <w:t xml:space="preserve"> MHz, </w:t>
      </w:r>
      <w:r w:rsidR="00E902DD">
        <w:t xml:space="preserve">most </w:t>
      </w:r>
      <w:r w:rsidR="000B764B">
        <w:t>of</w:t>
      </w:r>
      <w:r w:rsidRPr="008629C1">
        <w:t xml:space="preserve"> the 3400</w:t>
      </w:r>
      <w:r w:rsidR="00203FAA">
        <w:t>–</w:t>
      </w:r>
      <w:r w:rsidRPr="008629C1">
        <w:t xml:space="preserve">3700 MHz frequency range </w:t>
      </w:r>
      <w:r w:rsidR="000B764B">
        <w:t xml:space="preserve">in metropolitan and regional </w:t>
      </w:r>
      <w:r w:rsidR="003D32C0">
        <w:t xml:space="preserve">areas </w:t>
      </w:r>
      <w:r w:rsidRPr="008629C1">
        <w:t xml:space="preserve">would </w:t>
      </w:r>
      <w:r w:rsidR="00E902DD">
        <w:t xml:space="preserve">end up </w:t>
      </w:r>
      <w:r w:rsidR="00613B3A">
        <w:t xml:space="preserve">as </w:t>
      </w:r>
      <w:r w:rsidRPr="008629C1">
        <w:t>spectrum licensed. Similarly, re</w:t>
      </w:r>
      <w:r w:rsidRPr="008629C1">
        <w:noBreakHyphen/>
        <w:t>allocating parts of the frequency range 3700–3800 MHz would enable consistency of spectrum</w:t>
      </w:r>
      <w:r w:rsidR="00203FAA">
        <w:t>-</w:t>
      </w:r>
      <w:r w:rsidRPr="008629C1">
        <w:t>licensing arrangements in most metropolitan and regional areas in the</w:t>
      </w:r>
      <w:r w:rsidR="00D50629">
        <w:t xml:space="preserve"> broader</w:t>
      </w:r>
      <w:r w:rsidRPr="008629C1">
        <w:t xml:space="preserve"> frequency range 3400</w:t>
      </w:r>
      <w:r w:rsidR="00203FAA">
        <w:t>–</w:t>
      </w:r>
      <w:r w:rsidRPr="008629C1">
        <w:t xml:space="preserve">3800 MHz. </w:t>
      </w:r>
      <w:r w:rsidR="00F42163" w:rsidRPr="008629C1">
        <w:t xml:space="preserve">Remote areas and </w:t>
      </w:r>
      <w:r w:rsidR="00A1049C" w:rsidRPr="008629C1">
        <w:t xml:space="preserve">the </w:t>
      </w:r>
      <w:r w:rsidR="000A721B" w:rsidRPr="008629C1">
        <w:t xml:space="preserve">upper segment of the </w:t>
      </w:r>
      <w:r w:rsidR="00E327B6">
        <w:t>frequency range</w:t>
      </w:r>
      <w:r w:rsidR="000A721B" w:rsidRPr="008629C1">
        <w:t xml:space="preserve"> 37</w:t>
      </w:r>
      <w:r w:rsidR="003B0D63">
        <w:t>50</w:t>
      </w:r>
      <w:r w:rsidR="00203FAA">
        <w:t>–</w:t>
      </w:r>
      <w:r w:rsidR="000A721B" w:rsidRPr="008629C1">
        <w:t>4200</w:t>
      </w:r>
      <w:r w:rsidR="00E327B6">
        <w:t> </w:t>
      </w:r>
      <w:r w:rsidR="000A721B" w:rsidRPr="008629C1">
        <w:t xml:space="preserve">MHz </w:t>
      </w:r>
      <w:r w:rsidR="00CD6C7E">
        <w:t xml:space="preserve">(with </w:t>
      </w:r>
      <w:r w:rsidR="000B4EFE">
        <w:t xml:space="preserve">the </w:t>
      </w:r>
      <w:r w:rsidR="00CD6C7E">
        <w:t>3750</w:t>
      </w:r>
      <w:r w:rsidR="00203FAA">
        <w:t>–</w:t>
      </w:r>
      <w:r w:rsidR="00CD6C7E">
        <w:t xml:space="preserve">3800 MHz </w:t>
      </w:r>
      <w:r w:rsidR="000B4EFE">
        <w:t xml:space="preserve">range </w:t>
      </w:r>
      <w:r w:rsidR="00CD6C7E">
        <w:t xml:space="preserve">limited to regional areas only) </w:t>
      </w:r>
      <w:r w:rsidR="000A721B" w:rsidRPr="008629C1">
        <w:t xml:space="preserve">would remain </w:t>
      </w:r>
      <w:r w:rsidR="00717956">
        <w:t xml:space="preserve">available </w:t>
      </w:r>
      <w:r w:rsidR="00454B1C" w:rsidRPr="008629C1">
        <w:t xml:space="preserve">for </w:t>
      </w:r>
      <w:r w:rsidR="00314FE0">
        <w:t xml:space="preserve">AWL, </w:t>
      </w:r>
      <w:r w:rsidR="00454B1C" w:rsidRPr="008629C1">
        <w:t>FSS, and PTP use</w:t>
      </w:r>
      <w:r w:rsidR="00717956">
        <w:t xml:space="preserve"> via the issue of apparatus licences</w:t>
      </w:r>
      <w:r w:rsidR="00454B1C" w:rsidRPr="008629C1">
        <w:t xml:space="preserve">. </w:t>
      </w:r>
      <w:r w:rsidRPr="008629C1">
        <w:t>This</w:t>
      </w:r>
      <w:r w:rsidR="00B1418B" w:rsidRPr="008629C1">
        <w:t xml:space="preserve"> licensing approach</w:t>
      </w:r>
      <w:r w:rsidRPr="008629C1">
        <w:t xml:space="preserve"> is reflected in Option 3 of the ‘</w:t>
      </w:r>
      <w:r w:rsidR="00A557F8">
        <w:t>P</w:t>
      </w:r>
      <w:r w:rsidRPr="008629C1">
        <w:t>lanning options’</w:t>
      </w:r>
      <w:r w:rsidR="00A557F8">
        <w:t xml:space="preserve"> section</w:t>
      </w:r>
      <w:r w:rsidRPr="008629C1">
        <w:t>.</w:t>
      </w:r>
      <w:r w:rsidR="00165370">
        <w:t xml:space="preserve"> </w:t>
      </w:r>
    </w:p>
    <w:p w14:paraId="2C7C64DC" w14:textId="7331CBCD" w:rsidR="00BB25D1" w:rsidRPr="00227F05" w:rsidRDefault="00BC2403" w:rsidP="0051474A">
      <w:pPr>
        <w:pStyle w:val="Paragraphbeforelist"/>
      </w:pPr>
      <w:r w:rsidRPr="00227F05">
        <w:t>Th</w:t>
      </w:r>
      <w:r w:rsidR="003B452B" w:rsidRPr="00227F05">
        <w:t>is</w:t>
      </w:r>
      <w:r w:rsidR="006D7507" w:rsidRPr="00227F05">
        <w:t xml:space="preserve"> approach</w:t>
      </w:r>
      <w:r w:rsidR="003B452B" w:rsidRPr="00227F05">
        <w:t xml:space="preserve"> is consistent with</w:t>
      </w:r>
      <w:r w:rsidR="00AD0B4E" w:rsidRPr="00227F05">
        <w:t xml:space="preserve"> </w:t>
      </w:r>
      <w:r w:rsidR="000B4E9B" w:rsidRPr="00227F05">
        <w:t>work</w:t>
      </w:r>
      <w:r w:rsidR="00E64A2F" w:rsidRPr="00227F05">
        <w:t xml:space="preserve"> </w:t>
      </w:r>
      <w:r w:rsidR="000B4E9B" w:rsidRPr="00227F05">
        <w:t xml:space="preserve">internationally to </w:t>
      </w:r>
      <w:r w:rsidR="00AD1FD9" w:rsidRPr="00227F05">
        <w:t xml:space="preserve">harmonise arrangements </w:t>
      </w:r>
      <w:r w:rsidR="009B1C8E" w:rsidRPr="00227F05">
        <w:t xml:space="preserve">in this part of the </w:t>
      </w:r>
      <w:r w:rsidR="008F2AC5" w:rsidRPr="00227F05">
        <w:t>spectrum</w:t>
      </w:r>
      <w:r w:rsidR="00BB25D1" w:rsidRPr="00227F05">
        <w:t>:</w:t>
      </w:r>
      <w:r w:rsidR="00E64A2F" w:rsidRPr="00227F05">
        <w:t xml:space="preserve"> </w:t>
      </w:r>
    </w:p>
    <w:p w14:paraId="4F37D40A" w14:textId="475D1D4E" w:rsidR="00BB25D1" w:rsidRPr="00227F05" w:rsidRDefault="00256948" w:rsidP="00BB25D1">
      <w:pPr>
        <w:pStyle w:val="Bulletlevel1"/>
      </w:pPr>
      <w:r w:rsidRPr="00227F05">
        <w:t xml:space="preserve">3GPP </w:t>
      </w:r>
      <w:r w:rsidR="006857EC" w:rsidRPr="00227F05">
        <w:t>supports both frequency ranges 3300</w:t>
      </w:r>
      <w:r w:rsidR="00203FAA">
        <w:t>–</w:t>
      </w:r>
      <w:r w:rsidR="006857EC" w:rsidRPr="00227F05">
        <w:t>4200 MHz (band n77) and</w:t>
      </w:r>
      <w:r w:rsidR="008E3295" w:rsidRPr="00227F05">
        <w:t xml:space="preserve"> </w:t>
      </w:r>
      <w:r w:rsidR="00A45E7B" w:rsidRPr="00227F05">
        <w:t>3300</w:t>
      </w:r>
      <w:r w:rsidR="00203FAA">
        <w:t>–</w:t>
      </w:r>
      <w:r w:rsidR="00A45E7B" w:rsidRPr="00227F05">
        <w:t>3800</w:t>
      </w:r>
      <w:r w:rsidR="00344A4C">
        <w:t> </w:t>
      </w:r>
      <w:r w:rsidR="00A45E7B" w:rsidRPr="00227F05">
        <w:t xml:space="preserve">MHz (band n78) </w:t>
      </w:r>
      <w:r w:rsidR="00B365C7" w:rsidRPr="00227F05">
        <w:t>for 5G deployment</w:t>
      </w:r>
      <w:r w:rsidR="00667E60" w:rsidRPr="00227F05">
        <w:t xml:space="preserve">. </w:t>
      </w:r>
      <w:r w:rsidR="001A1FB3" w:rsidRPr="00227F05">
        <w:t xml:space="preserve">Standards for 5G </w:t>
      </w:r>
      <w:r w:rsidR="0068008C" w:rsidRPr="00227F05">
        <w:t>NR</w:t>
      </w:r>
      <w:r w:rsidR="004145D9" w:rsidRPr="00227F05">
        <w:t xml:space="preserve"> set by 3GPP also </w:t>
      </w:r>
      <w:r w:rsidR="00E44D25" w:rsidRPr="00227F05">
        <w:t>recommend</w:t>
      </w:r>
      <w:r w:rsidR="004145D9" w:rsidRPr="00227F05">
        <w:t xml:space="preserve"> larger</w:t>
      </w:r>
      <w:r w:rsidR="002C43A9" w:rsidRPr="00227F05">
        <w:t xml:space="preserve"> channel sizes for </w:t>
      </w:r>
      <w:r w:rsidR="00E44D25" w:rsidRPr="00227F05">
        <w:t>deployments in</w:t>
      </w:r>
      <w:r w:rsidR="002C43A9" w:rsidRPr="00227F05">
        <w:t xml:space="preserve"> band</w:t>
      </w:r>
      <w:r w:rsidR="00586707">
        <w:t xml:space="preserve">s n77 and </w:t>
      </w:r>
      <w:r w:rsidR="002C43A9" w:rsidRPr="00227F05">
        <w:t>n78 when compared to other bands, and therefore</w:t>
      </w:r>
      <w:r w:rsidR="00203FAA">
        <w:t>,</w:t>
      </w:r>
      <w:r w:rsidR="002C43A9" w:rsidRPr="00227F05">
        <w:t xml:space="preserve"> </w:t>
      </w:r>
      <w:r w:rsidR="001662DE">
        <w:t xml:space="preserve">additional </w:t>
      </w:r>
      <w:r w:rsidR="002C43A9" w:rsidRPr="00227F05">
        <w:t>spectrum may be required to deploy services in this band.</w:t>
      </w:r>
    </w:p>
    <w:p w14:paraId="7630A4F5" w14:textId="5DB726D7" w:rsidR="00045E08" w:rsidRPr="00227F05" w:rsidRDefault="00C443C3" w:rsidP="00BB25D1">
      <w:pPr>
        <w:pStyle w:val="Bulletlevel1"/>
      </w:pPr>
      <w:r w:rsidRPr="00227F05">
        <w:t xml:space="preserve">At WRC-15, </w:t>
      </w:r>
      <w:r w:rsidR="00E81232" w:rsidRPr="00227F05">
        <w:t>the</w:t>
      </w:r>
      <w:r w:rsidR="00D61994" w:rsidRPr="00227F05">
        <w:t xml:space="preserve"> 3400</w:t>
      </w:r>
      <w:r w:rsidR="00203FAA">
        <w:t>–</w:t>
      </w:r>
      <w:r w:rsidR="00D61994" w:rsidRPr="00227F05">
        <w:t>3600</w:t>
      </w:r>
      <w:r w:rsidR="005D602E" w:rsidRPr="00227F05">
        <w:t> </w:t>
      </w:r>
      <w:r w:rsidR="00D61994" w:rsidRPr="00227F05">
        <w:t xml:space="preserve">MHz frequency range </w:t>
      </w:r>
      <w:r w:rsidR="00E81232" w:rsidRPr="00227F05">
        <w:t xml:space="preserve">was identified </w:t>
      </w:r>
      <w:r w:rsidR="00D61994" w:rsidRPr="00227F05">
        <w:t xml:space="preserve">for international mobile telecommunications </w:t>
      </w:r>
      <w:r w:rsidR="00FC39E0" w:rsidRPr="00227F05">
        <w:t>(IMT)</w:t>
      </w:r>
      <w:r w:rsidR="000C1732" w:rsidRPr="00227F05">
        <w:t xml:space="preserve"> in Europe, Africa, </w:t>
      </w:r>
      <w:r w:rsidR="00514E7A" w:rsidRPr="00227F05">
        <w:t xml:space="preserve">parts of the Middle East, the Americas and parts of the Pacific Islands. </w:t>
      </w:r>
    </w:p>
    <w:p w14:paraId="42C9D994" w14:textId="32F4D64C" w:rsidR="00FA2DB8" w:rsidRPr="00227F05" w:rsidRDefault="00740A10" w:rsidP="00FA2DB8">
      <w:pPr>
        <w:pStyle w:val="Bulletlevel1last"/>
      </w:pPr>
      <w:r>
        <w:t xml:space="preserve">In </w:t>
      </w:r>
      <w:r w:rsidR="008D4EAD">
        <w:t xml:space="preserve">October 2021, the </w:t>
      </w:r>
      <w:r w:rsidR="00887EA3">
        <w:t xml:space="preserve">Global </w:t>
      </w:r>
      <w:r w:rsidR="008D4EAD">
        <w:t>Mobile Suppliers Association (GSA) identi</w:t>
      </w:r>
      <w:r w:rsidR="00AD30A2">
        <w:t xml:space="preserve">fied 74 </w:t>
      </w:r>
      <w:r w:rsidR="00981884">
        <w:t>countries</w:t>
      </w:r>
      <w:r w:rsidR="00447678">
        <w:t xml:space="preserve"> </w:t>
      </w:r>
      <w:r w:rsidR="00A57493">
        <w:t xml:space="preserve">that </w:t>
      </w:r>
      <w:r w:rsidR="00AD30A2">
        <w:t xml:space="preserve">had </w:t>
      </w:r>
      <w:r w:rsidR="00981884">
        <w:t xml:space="preserve">issued licences in </w:t>
      </w:r>
      <w:r w:rsidR="00AD2A0A" w:rsidRPr="00227F05">
        <w:t>band</w:t>
      </w:r>
      <w:r w:rsidR="00AD2A0A">
        <w:t>s</w:t>
      </w:r>
      <w:r w:rsidR="00AD2A0A" w:rsidRPr="00227F05">
        <w:t xml:space="preserve"> </w:t>
      </w:r>
      <w:r w:rsidR="00AD2A0A">
        <w:t>n77</w:t>
      </w:r>
      <w:r w:rsidR="00527360">
        <w:t xml:space="preserve"> and </w:t>
      </w:r>
      <w:r w:rsidR="00AD2A0A" w:rsidRPr="00227F05">
        <w:t>n78</w:t>
      </w:r>
      <w:r w:rsidR="00AD2A0A">
        <w:t xml:space="preserve"> </w:t>
      </w:r>
      <w:r w:rsidR="00887EA3">
        <w:t>for WBB use.</w:t>
      </w:r>
      <w:r w:rsidR="00480A9F">
        <w:t xml:space="preserve"> </w:t>
      </w:r>
      <w:r w:rsidR="001D79A6">
        <w:t xml:space="preserve">While many of these are below 3700 MHz, </w:t>
      </w:r>
      <w:r w:rsidR="00BA2746">
        <w:t xml:space="preserve">Brazil, </w:t>
      </w:r>
      <w:r w:rsidR="00283705">
        <w:t xml:space="preserve">Canada, </w:t>
      </w:r>
      <w:r w:rsidR="00857219">
        <w:t xml:space="preserve">Japan, Korea, </w:t>
      </w:r>
      <w:r w:rsidR="00952A3D">
        <w:t xml:space="preserve">New Zealand and </w:t>
      </w:r>
      <w:r w:rsidR="00531ACB">
        <w:t>the United States</w:t>
      </w:r>
      <w:r w:rsidR="00203FAA">
        <w:t>,</w:t>
      </w:r>
      <w:r w:rsidR="00256DD7">
        <w:t xml:space="preserve"> as well as countries in</w:t>
      </w:r>
      <w:r w:rsidR="00531ACB">
        <w:t xml:space="preserve"> </w:t>
      </w:r>
      <w:r w:rsidR="00857219">
        <w:t>Europe</w:t>
      </w:r>
      <w:r w:rsidR="00256DD7">
        <w:t xml:space="preserve"> and</w:t>
      </w:r>
      <w:r w:rsidR="00857219">
        <w:t xml:space="preserve"> the </w:t>
      </w:r>
      <w:r w:rsidR="00A970F4">
        <w:t>M</w:t>
      </w:r>
      <w:r w:rsidR="00857219">
        <w:t>iddle East</w:t>
      </w:r>
      <w:r w:rsidR="00203FAA">
        <w:t>,</w:t>
      </w:r>
      <w:r w:rsidR="00256DD7">
        <w:t xml:space="preserve"> ha</w:t>
      </w:r>
      <w:r w:rsidR="00F377E9">
        <w:t>v</w:t>
      </w:r>
      <w:r w:rsidR="00256DD7">
        <w:t>e allocated or are in the process of allocating</w:t>
      </w:r>
      <w:r w:rsidR="00A970F4">
        <w:t xml:space="preserve"> </w:t>
      </w:r>
      <w:r w:rsidR="00256DD7">
        <w:t>spectrum in the 3700</w:t>
      </w:r>
      <w:r w:rsidR="00203FAA">
        <w:t>–</w:t>
      </w:r>
      <w:r w:rsidR="00256DD7">
        <w:t>3800 MHz (or higher) frequencies.</w:t>
      </w:r>
      <w:r w:rsidR="00B30C67">
        <w:rPr>
          <w:rStyle w:val="FootnoteReference"/>
        </w:rPr>
        <w:footnoteReference w:id="12"/>
      </w:r>
      <w:r w:rsidR="00B30C67">
        <w:t xml:space="preserve"> </w:t>
      </w:r>
      <w:r w:rsidR="00256DD7">
        <w:t xml:space="preserve"> </w:t>
      </w:r>
      <w:r w:rsidR="000B4E8B" w:rsidRPr="00227F05">
        <w:t xml:space="preserve"> </w:t>
      </w:r>
      <w:r w:rsidR="00D23C06" w:rsidRPr="00227F05">
        <w:t xml:space="preserve"> </w:t>
      </w:r>
    </w:p>
    <w:p w14:paraId="3782DFE2" w14:textId="5DBC895A" w:rsidR="005850D1" w:rsidRDefault="003D0078" w:rsidP="000E70EE">
      <w:pPr>
        <w:pStyle w:val="Paragraph"/>
      </w:pPr>
      <w:r w:rsidRPr="000F0A32">
        <w:t xml:space="preserve">By proposing to declare </w:t>
      </w:r>
      <w:r w:rsidR="00AA3C32" w:rsidRPr="000F0A32">
        <w:t xml:space="preserve">parts of the spectrum </w:t>
      </w:r>
      <w:r w:rsidR="00203FAA">
        <w:t>that</w:t>
      </w:r>
      <w:r w:rsidR="00203FAA" w:rsidRPr="000F0A32">
        <w:t xml:space="preserve"> </w:t>
      </w:r>
      <w:r w:rsidR="00AA3C32" w:rsidRPr="000F0A32">
        <w:t>are internationally harmonised for 5G</w:t>
      </w:r>
      <w:r w:rsidR="00AE22B6" w:rsidRPr="000F0A32">
        <w:t xml:space="preserve"> </w:t>
      </w:r>
      <w:r w:rsidR="00AA3C32" w:rsidRPr="000F0A32">
        <w:t>use,</w:t>
      </w:r>
      <w:r w:rsidR="005D051E" w:rsidRPr="000F0A32">
        <w:t xml:space="preserve"> we are making spectrum available for the deployment of</w:t>
      </w:r>
      <w:r w:rsidR="008A296A">
        <w:t xml:space="preserve"> new and innovative technologies</w:t>
      </w:r>
      <w:r w:rsidR="00203FAA">
        <w:t>,</w:t>
      </w:r>
      <w:r w:rsidR="008A296A">
        <w:t xml:space="preserve"> including</w:t>
      </w:r>
      <w:r w:rsidR="005D051E" w:rsidRPr="000F0A32">
        <w:t xml:space="preserve"> 5G technologies</w:t>
      </w:r>
      <w:r w:rsidR="00B8326B" w:rsidRPr="000F0A32">
        <w:t xml:space="preserve"> and securing Australia’s future as a </w:t>
      </w:r>
      <w:r w:rsidR="00E43CA1" w:rsidRPr="000F0A32">
        <w:t xml:space="preserve">world </w:t>
      </w:r>
      <w:r w:rsidR="00B8326B" w:rsidRPr="000F0A32">
        <w:t>leading digital economy</w:t>
      </w:r>
      <w:r w:rsidR="005D051E" w:rsidRPr="000F0A32">
        <w:t>.</w:t>
      </w:r>
      <w:r w:rsidR="00655D6D" w:rsidRPr="000F0A32">
        <w:t xml:space="preserve"> We consider that re</w:t>
      </w:r>
      <w:r w:rsidR="00655D6D" w:rsidRPr="000F0A32">
        <w:noBreakHyphen/>
        <w:t xml:space="preserve">allocating a large quantum of 3.4 GHz and 3.7 GHz band spectrum will afford more opportunities for prospective licensees to acquire spectrum and deploy a wide range of WBB services, to the benefit of </w:t>
      </w:r>
      <w:r w:rsidR="00CE063B">
        <w:t xml:space="preserve">consumers in </w:t>
      </w:r>
      <w:r w:rsidR="00655D6D" w:rsidRPr="000F0A32">
        <w:t>downstream markets.</w:t>
      </w:r>
    </w:p>
    <w:p w14:paraId="2274AE16" w14:textId="234BEDE8" w:rsidR="00C02791" w:rsidRDefault="00C02791" w:rsidP="003B4857">
      <w:pPr>
        <w:pStyle w:val="Heading3"/>
      </w:pPr>
      <w:r>
        <w:t>Unencumbered spectrum in the</w:t>
      </w:r>
      <w:r w:rsidR="00EB334E">
        <w:t xml:space="preserve"> regional</w:t>
      </w:r>
      <w:r>
        <w:t xml:space="preserve"> 3.4 GHz band</w:t>
      </w:r>
    </w:p>
    <w:p w14:paraId="78CFF0B6" w14:textId="77777777" w:rsidR="00212859" w:rsidRDefault="00212859" w:rsidP="00212859">
      <w:pPr>
        <w:pStyle w:val="Paragraph"/>
      </w:pPr>
      <w:r>
        <w:t>Under the Act, spectrum licences may be issued in unencumbered spectrum in accordance with Part 3.2 without a re</w:t>
      </w:r>
      <w:r>
        <w:noBreakHyphen/>
        <w:t>allocation declaration, with a marketing plan drafted under section 39. Spectrum licences can only be issued in encumbered spectrum (such as the spectrum in other parts of the 3.4 GHz band and the 3.7 GHz band) if that spectrum is declared for re</w:t>
      </w:r>
      <w:r>
        <w:noBreakHyphen/>
        <w:t xml:space="preserve">allocation, and a marketing plan is drafted under section 39A. </w:t>
      </w:r>
    </w:p>
    <w:p w14:paraId="3FEECB2E" w14:textId="22B703C5" w:rsidR="006F0FE0" w:rsidRDefault="00F37968" w:rsidP="000E70EE">
      <w:pPr>
        <w:pStyle w:val="Paragraph"/>
      </w:pPr>
      <w:r w:rsidRPr="003B4857">
        <w:t xml:space="preserve">Although </w:t>
      </w:r>
      <w:r>
        <w:t>the frequency range 3400</w:t>
      </w:r>
      <w:r w:rsidR="00203FAA">
        <w:t>–</w:t>
      </w:r>
      <w:r w:rsidR="00A75176">
        <w:t>34</w:t>
      </w:r>
      <w:r w:rsidR="00782AAA">
        <w:t>7</w:t>
      </w:r>
      <w:r w:rsidR="00A75176">
        <w:t>5 MHz</w:t>
      </w:r>
      <w:r w:rsidR="001C731B">
        <w:t xml:space="preserve"> in the urban excise</w:t>
      </w:r>
      <w:r w:rsidR="004162B1">
        <w:t xml:space="preserve"> areas</w:t>
      </w:r>
      <w:r w:rsidR="001C731B">
        <w:t xml:space="preserve"> and</w:t>
      </w:r>
      <w:r w:rsidR="000F1222">
        <w:t xml:space="preserve"> in</w:t>
      </w:r>
      <w:r w:rsidR="00A75176">
        <w:t xml:space="preserve"> </w:t>
      </w:r>
      <w:r w:rsidR="004162B1">
        <w:t xml:space="preserve">the </w:t>
      </w:r>
      <w:r w:rsidR="00E849F1">
        <w:t xml:space="preserve">frequency range </w:t>
      </w:r>
      <w:r>
        <w:t>3400</w:t>
      </w:r>
      <w:r w:rsidR="00203FAA">
        <w:t>–</w:t>
      </w:r>
      <w:r w:rsidR="000B764B">
        <w:t>3442.5 MHz</w:t>
      </w:r>
      <w:r w:rsidR="008E6403">
        <w:t xml:space="preserve"> </w:t>
      </w:r>
      <w:r w:rsidR="000B764B">
        <w:t xml:space="preserve">in </w:t>
      </w:r>
      <w:r w:rsidR="001C731B">
        <w:t>certain regional areas</w:t>
      </w:r>
      <w:r w:rsidR="000B764B">
        <w:t xml:space="preserve"> is unencumbered</w:t>
      </w:r>
      <w:r w:rsidR="002215BA">
        <w:t>, we consider they should be declared for re</w:t>
      </w:r>
      <w:r w:rsidR="00737499">
        <w:t>-</w:t>
      </w:r>
      <w:r w:rsidR="002215BA">
        <w:t>allocation</w:t>
      </w:r>
      <w:r w:rsidR="00077FEF">
        <w:t xml:space="preserve"> in accordance with subsection 153B(8) of the Act</w:t>
      </w:r>
      <w:r w:rsidR="002215BA">
        <w:t xml:space="preserve">. </w:t>
      </w:r>
    </w:p>
    <w:p w14:paraId="426EE787" w14:textId="252CBA2B" w:rsidR="00FB2F34" w:rsidRDefault="009624EF" w:rsidP="000E70EE">
      <w:pPr>
        <w:pStyle w:val="Paragraph"/>
      </w:pPr>
      <w:r>
        <w:t>W</w:t>
      </w:r>
      <w:r w:rsidR="008F6097">
        <w:t xml:space="preserve">e propose to allocate </w:t>
      </w:r>
      <w:r w:rsidR="006448BD">
        <w:t xml:space="preserve">all </w:t>
      </w:r>
      <w:r w:rsidR="008F6097">
        <w:t>spectrum in the 3.4 </w:t>
      </w:r>
      <w:r w:rsidR="51A599DF">
        <w:t>GHz</w:t>
      </w:r>
      <w:r w:rsidR="008F6097">
        <w:t xml:space="preserve"> and 3.7 GHz bands </w:t>
      </w:r>
      <w:r w:rsidR="006448BD">
        <w:t>(encumbered or otherwise)</w:t>
      </w:r>
      <w:r w:rsidR="008F6097">
        <w:t xml:space="preserve"> in the same allocation process</w:t>
      </w:r>
      <w:r w:rsidR="00AA7F8E">
        <w:t>.</w:t>
      </w:r>
      <w:r w:rsidR="008F6097">
        <w:t xml:space="preserve"> </w:t>
      </w:r>
      <w:r w:rsidR="00AA7F8E">
        <w:t>I</w:t>
      </w:r>
      <w:r w:rsidR="00EB29D6">
        <w:t>t may</w:t>
      </w:r>
      <w:r w:rsidR="008F6097">
        <w:t xml:space="preserve"> be cumbersome for </w:t>
      </w:r>
      <w:r w:rsidR="003B773A">
        <w:t xml:space="preserve">interested stakeholders and prospective </w:t>
      </w:r>
      <w:r w:rsidR="006257FB">
        <w:t>licensees</w:t>
      </w:r>
      <w:r w:rsidR="003B773A">
        <w:t xml:space="preserve"> </w:t>
      </w:r>
      <w:r w:rsidR="005B7609">
        <w:t xml:space="preserve">for spectrum licences </w:t>
      </w:r>
      <w:r w:rsidR="00AB2E0E">
        <w:t>issued in these parts of the spectrum to be allocated</w:t>
      </w:r>
      <w:r w:rsidR="00A6264F">
        <w:t xml:space="preserve"> in marginally </w:t>
      </w:r>
      <w:r w:rsidR="00F13A16">
        <w:t xml:space="preserve">different ways. </w:t>
      </w:r>
    </w:p>
    <w:p w14:paraId="63D59860" w14:textId="24633283" w:rsidR="00EB22F8" w:rsidRDefault="00AE6B5E" w:rsidP="003B4857">
      <w:pPr>
        <w:pStyle w:val="Paragraph"/>
      </w:pPr>
      <w:r>
        <w:t>We consider that aligned process and policy settings</w:t>
      </w:r>
      <w:r w:rsidR="00DB211C">
        <w:t xml:space="preserve"> for the proposed allocation of the 3.4 GHz and 3.7 GHz bands</w:t>
      </w:r>
      <w:r w:rsidR="004730EF">
        <w:t xml:space="preserve"> is both administratively more efficient </w:t>
      </w:r>
      <w:r w:rsidR="00D273CA">
        <w:t xml:space="preserve">and provides opportunity for stakeholders to </w:t>
      </w:r>
      <w:r w:rsidR="00EE0827">
        <w:t xml:space="preserve">consider </w:t>
      </w:r>
      <w:r w:rsidR="00183A6A">
        <w:t>and comme</w:t>
      </w:r>
      <w:r w:rsidR="00B32E64">
        <w:t>n</w:t>
      </w:r>
      <w:r w:rsidR="00183A6A">
        <w:t xml:space="preserve">t on the </w:t>
      </w:r>
      <w:r w:rsidR="005B2F89">
        <w:t>licensing arrangements in the band</w:t>
      </w:r>
      <w:r w:rsidR="006167FA">
        <w:t>s</w:t>
      </w:r>
      <w:r w:rsidR="00183A6A">
        <w:t xml:space="preserve"> as a whole.</w:t>
      </w:r>
    </w:p>
    <w:p w14:paraId="42972BA2" w14:textId="60CACF5A" w:rsidR="000B74AA" w:rsidRDefault="00D42D2A" w:rsidP="00814546">
      <w:pPr>
        <w:pStyle w:val="Heading2"/>
      </w:pPr>
      <w:bookmarkStart w:id="41" w:name="_Toc96940990"/>
      <w:r>
        <w:t>Geographic</w:t>
      </w:r>
      <w:r w:rsidR="00814546" w:rsidRPr="00431CD0">
        <w:t xml:space="preserve"> areas</w:t>
      </w:r>
      <w:bookmarkEnd w:id="41"/>
    </w:p>
    <w:p w14:paraId="7C4BAF5E" w14:textId="5F7456C1" w:rsidR="00401C90" w:rsidRDefault="00D032C8" w:rsidP="00CB7124">
      <w:pPr>
        <w:pStyle w:val="Paragraph"/>
      </w:pPr>
      <w:r>
        <w:t>For each frequency range the ACMA is proposing to re</w:t>
      </w:r>
      <w:r>
        <w:noBreakHyphen/>
        <w:t>allocate,</w:t>
      </w:r>
      <w:r w:rsidR="00113698" w:rsidDel="000F7EF0">
        <w:t xml:space="preserve"> </w:t>
      </w:r>
      <w:r w:rsidR="00113698">
        <w:t>a geographic area</w:t>
      </w:r>
      <w:r w:rsidR="00203FAA">
        <w:t xml:space="preserve"> must be specified</w:t>
      </w:r>
      <w:r w:rsidR="00113698">
        <w:t xml:space="preserve">. </w:t>
      </w:r>
      <w:r w:rsidR="00FD277E" w:rsidRPr="003B4857">
        <w:t>A range of factors</w:t>
      </w:r>
      <w:r w:rsidR="00BC6FB1" w:rsidRPr="003B4857">
        <w:t xml:space="preserve"> </w:t>
      </w:r>
      <w:r w:rsidR="00690B93" w:rsidRPr="003B4857">
        <w:t xml:space="preserve">are relevant </w:t>
      </w:r>
      <w:r w:rsidR="0076509E" w:rsidRPr="003B4857">
        <w:t>in deciding the geographic area</w:t>
      </w:r>
      <w:r w:rsidR="00A41C4D" w:rsidRPr="003B4857">
        <w:t>(</w:t>
      </w:r>
      <w:r w:rsidR="0076509E" w:rsidRPr="003B4857">
        <w:t>s</w:t>
      </w:r>
      <w:r w:rsidR="00A41C4D" w:rsidRPr="003B4857">
        <w:t>)</w:t>
      </w:r>
      <w:r w:rsidR="0076509E" w:rsidRPr="003B4857">
        <w:t xml:space="preserve"> that should be re</w:t>
      </w:r>
      <w:r w:rsidR="00D83394" w:rsidRPr="003B4857">
        <w:noBreakHyphen/>
      </w:r>
      <w:r w:rsidR="0076509E" w:rsidRPr="003B4857">
        <w:t xml:space="preserve">allocated, </w:t>
      </w:r>
      <w:r w:rsidR="00690B93" w:rsidRPr="003B4857">
        <w:t xml:space="preserve">including </w:t>
      </w:r>
      <w:r w:rsidR="00C04E17" w:rsidRPr="003B4857">
        <w:t xml:space="preserve">the expected use of the spectrum and technical characteristics of the band. </w:t>
      </w:r>
    </w:p>
    <w:p w14:paraId="66128D73" w14:textId="0FE985A2" w:rsidR="00BD0A25" w:rsidRDefault="00A72ED9" w:rsidP="00CB7124">
      <w:pPr>
        <w:pStyle w:val="Paragraph"/>
      </w:pPr>
      <w:r>
        <w:t xml:space="preserve">In this case, </w:t>
      </w:r>
      <w:r w:rsidR="002653C7">
        <w:t xml:space="preserve">we </w:t>
      </w:r>
      <w:r w:rsidR="00043B32">
        <w:t xml:space="preserve">are </w:t>
      </w:r>
      <w:r w:rsidR="002B3629">
        <w:t>aiming</w:t>
      </w:r>
      <w:r w:rsidR="001F568D">
        <w:t xml:space="preserve"> to</w:t>
      </w:r>
      <w:r w:rsidR="002653C7">
        <w:t xml:space="preserve"> </w:t>
      </w:r>
      <w:r w:rsidR="00A84795">
        <w:t>implement</w:t>
      </w:r>
      <w:r w:rsidR="003801FD">
        <w:t xml:space="preserve"> </w:t>
      </w:r>
      <w:r w:rsidR="002653C7">
        <w:t xml:space="preserve">spectrum licence </w:t>
      </w:r>
      <w:r w:rsidR="003801FD">
        <w:t>arrangements</w:t>
      </w:r>
      <w:r w:rsidR="003F0F23">
        <w:t xml:space="preserve"> </w:t>
      </w:r>
      <w:r w:rsidR="0038781E">
        <w:t xml:space="preserve">in metropolitan and regional areas across the </w:t>
      </w:r>
      <w:r w:rsidR="00F06A11">
        <w:t xml:space="preserve">frequency ranges </w:t>
      </w:r>
      <w:r w:rsidR="0038781E">
        <w:t>3400</w:t>
      </w:r>
      <w:r w:rsidR="00203FAA">
        <w:t>–</w:t>
      </w:r>
      <w:r w:rsidR="0038781E">
        <w:t>3750 MHz and 3400</w:t>
      </w:r>
      <w:r w:rsidR="00203FAA">
        <w:t>–</w:t>
      </w:r>
      <w:r w:rsidR="0038781E">
        <w:t>3800 MHz</w:t>
      </w:r>
      <w:r w:rsidR="00203FAA">
        <w:t>,</w:t>
      </w:r>
      <w:r w:rsidR="0038781E">
        <w:t xml:space="preserve"> </w:t>
      </w:r>
      <w:r w:rsidR="0031786E">
        <w:t>respectively</w:t>
      </w:r>
      <w:r w:rsidR="0038781E">
        <w:t xml:space="preserve">. This </w:t>
      </w:r>
      <w:r w:rsidR="00481C13">
        <w:t>is expected to</w:t>
      </w:r>
      <w:r w:rsidR="000B2509">
        <w:t xml:space="preserve"> allow WA WBB </w:t>
      </w:r>
      <w:r w:rsidR="00626D03">
        <w:t>operators</w:t>
      </w:r>
      <w:r w:rsidR="000B2509">
        <w:t xml:space="preserve"> to deploy services under similar regulatory arrangements, reduce or remove the effect of orphaned spectrum and facilitate the defragmentation of spectrum licence holdings</w:t>
      </w:r>
      <w:r w:rsidR="00626D03">
        <w:t xml:space="preserve"> across the 3400</w:t>
      </w:r>
      <w:r w:rsidR="00203FAA">
        <w:t>–</w:t>
      </w:r>
      <w:r w:rsidR="00626D03">
        <w:t>3800 MHz band</w:t>
      </w:r>
      <w:r w:rsidR="000B2509">
        <w:t>.</w:t>
      </w:r>
      <w:r w:rsidR="00481C13">
        <w:t xml:space="preserve"> </w:t>
      </w:r>
      <w:r w:rsidR="007B53A3">
        <w:t>In line with the MPS, w</w:t>
      </w:r>
      <w:r w:rsidR="00FD38E9">
        <w:t xml:space="preserve">e </w:t>
      </w:r>
      <w:r w:rsidR="00100A34">
        <w:t xml:space="preserve">consider this will facilitate the </w:t>
      </w:r>
      <w:r w:rsidR="00B976F7">
        <w:t xml:space="preserve">consistent </w:t>
      </w:r>
      <w:r w:rsidR="00100A34">
        <w:t>deployment of technologies such as 5G</w:t>
      </w:r>
      <w:r w:rsidR="00575E0A">
        <w:t xml:space="preserve"> in </w:t>
      </w:r>
      <w:r w:rsidR="00B976F7">
        <w:t>metropolitan and regional areas.</w:t>
      </w:r>
    </w:p>
    <w:p w14:paraId="6814710C" w14:textId="1398C69C" w:rsidR="002D2BE9" w:rsidRDefault="008F3C64" w:rsidP="00CB7124">
      <w:pPr>
        <w:pStyle w:val="Paragraph"/>
      </w:pPr>
      <w:r>
        <w:t xml:space="preserve">Because </w:t>
      </w:r>
      <w:r w:rsidR="00813504">
        <w:t>spectrum in the 3400</w:t>
      </w:r>
      <w:r w:rsidR="00203FAA">
        <w:t>–</w:t>
      </w:r>
      <w:r w:rsidR="00813504">
        <w:t>3700 MHz frequency range has been made available through multiple planning and allocation processes</w:t>
      </w:r>
      <w:r w:rsidR="00E86ADE">
        <w:t xml:space="preserve"> </w:t>
      </w:r>
      <w:r w:rsidR="00047B66">
        <w:t>since 2000</w:t>
      </w:r>
      <w:r w:rsidR="00813504">
        <w:t xml:space="preserve">, the geographic areas on offer are inconsistent across the frequency ranges of spectrum on offer. </w:t>
      </w:r>
      <w:r w:rsidR="00951357">
        <w:t>Our</w:t>
      </w:r>
      <w:r w:rsidR="00E83C0C">
        <w:t xml:space="preserve"> aim is to have </w:t>
      </w:r>
      <w:r w:rsidR="00E4385C">
        <w:t xml:space="preserve">spectrum </w:t>
      </w:r>
      <w:r w:rsidR="002057DE">
        <w:t>licence</w:t>
      </w:r>
      <w:r w:rsidR="00E4385C">
        <w:t xml:space="preserve"> </w:t>
      </w:r>
      <w:r w:rsidR="002057DE">
        <w:t>arrangements</w:t>
      </w:r>
      <w:r w:rsidR="000E0EB3">
        <w:t xml:space="preserve"> in the 3400</w:t>
      </w:r>
      <w:r w:rsidR="00203FAA">
        <w:t>–</w:t>
      </w:r>
      <w:r w:rsidR="000E0EB3">
        <w:t>3700 MHz frequency range</w:t>
      </w:r>
      <w:r w:rsidR="00E4385C">
        <w:t xml:space="preserve"> cover</w:t>
      </w:r>
      <w:r w:rsidR="002057DE">
        <w:t xml:space="preserve"> the same </w:t>
      </w:r>
      <w:r w:rsidR="00924B57">
        <w:t xml:space="preserve">total </w:t>
      </w:r>
      <w:r w:rsidR="002057DE">
        <w:t xml:space="preserve">geographical area </w:t>
      </w:r>
      <w:r w:rsidR="000E0EB3">
        <w:t xml:space="preserve">currently covered by </w:t>
      </w:r>
      <w:r w:rsidR="002057DE">
        <w:t>spectrum licensing in the 3575</w:t>
      </w:r>
      <w:r w:rsidR="00203FAA">
        <w:t>–</w:t>
      </w:r>
      <w:r w:rsidR="002057DE">
        <w:t>3700 MHz (3.6 GHz) band</w:t>
      </w:r>
      <w:r w:rsidR="00DB6C7A">
        <w:t xml:space="preserve"> (see </w:t>
      </w:r>
      <w:r w:rsidR="00DB6C7A" w:rsidRPr="00582F59">
        <w:t>also Figure 15 below</w:t>
      </w:r>
      <w:r w:rsidR="00DB6C7A">
        <w:t>)</w:t>
      </w:r>
      <w:r w:rsidR="00924B57">
        <w:t>.</w:t>
      </w:r>
      <w:r w:rsidR="00CC06C2">
        <w:t xml:space="preserve"> </w:t>
      </w:r>
      <w:r w:rsidR="001F7770">
        <w:t xml:space="preserve">To </w:t>
      </w:r>
      <w:r w:rsidR="0044108D">
        <w:t>achieve</w:t>
      </w:r>
      <w:r w:rsidR="001F7770">
        <w:t xml:space="preserve"> this</w:t>
      </w:r>
      <w:r w:rsidR="006F0FE0">
        <w:t xml:space="preserve"> outcome</w:t>
      </w:r>
      <w:r w:rsidR="001F7770">
        <w:t xml:space="preserve">, </w:t>
      </w:r>
      <w:r w:rsidR="00E81E5D">
        <w:t>we propose to re-allocate</w:t>
      </w:r>
      <w:r w:rsidR="00971B1C">
        <w:t xml:space="preserve"> those areas and frequencies </w:t>
      </w:r>
      <w:r w:rsidR="002D51A7">
        <w:t xml:space="preserve">in </w:t>
      </w:r>
      <w:r w:rsidR="001F7770">
        <w:t>metropolitan</w:t>
      </w:r>
      <w:r w:rsidR="002D51A7">
        <w:t xml:space="preserve"> and </w:t>
      </w:r>
      <w:r w:rsidR="001F7770">
        <w:t>regional</w:t>
      </w:r>
      <w:r w:rsidR="002D51A7">
        <w:t xml:space="preserve"> areas not currently subject to spectrum licensing in the </w:t>
      </w:r>
      <w:r w:rsidR="004C3F0D">
        <w:t xml:space="preserve">frequency ranges </w:t>
      </w:r>
      <w:r w:rsidR="002D51A7">
        <w:t>3400</w:t>
      </w:r>
      <w:r w:rsidR="00203FAA">
        <w:t>–</w:t>
      </w:r>
      <w:r w:rsidR="000212AC">
        <w:t>3575 MHz and 3700</w:t>
      </w:r>
      <w:r w:rsidR="00203FAA">
        <w:t>–</w:t>
      </w:r>
      <w:r w:rsidR="002D51A7">
        <w:t>3</w:t>
      </w:r>
      <w:r w:rsidR="001F7770">
        <w:t>75</w:t>
      </w:r>
      <w:r w:rsidR="002D51A7">
        <w:t>0 MHz</w:t>
      </w:r>
      <w:r w:rsidR="00D53B1C">
        <w:t>.</w:t>
      </w:r>
      <w:r w:rsidR="001F7770">
        <w:t xml:space="preserve"> </w:t>
      </w:r>
      <w:r w:rsidR="00D53B1C">
        <w:t>We note that</w:t>
      </w:r>
      <w:r w:rsidR="0069045C">
        <w:t xml:space="preserve"> only</w:t>
      </w:r>
      <w:r w:rsidR="00676AD6">
        <w:t xml:space="preserve"> </w:t>
      </w:r>
      <w:r w:rsidR="00E10B5D">
        <w:t xml:space="preserve">metropolitan areas (including Hobart) </w:t>
      </w:r>
      <w:r w:rsidR="0069045C">
        <w:t xml:space="preserve">are </w:t>
      </w:r>
      <w:r w:rsidR="00EE4826">
        <w:t xml:space="preserve">proposed </w:t>
      </w:r>
      <w:r w:rsidR="0069045C">
        <w:t>for re-allocation</w:t>
      </w:r>
      <w:r w:rsidR="00E10B5D">
        <w:t xml:space="preserve"> in the </w:t>
      </w:r>
      <w:r w:rsidR="00F54A8D">
        <w:t xml:space="preserve">frequency range </w:t>
      </w:r>
      <w:r w:rsidR="00E10B5D">
        <w:t>3750</w:t>
      </w:r>
      <w:r w:rsidR="00203FAA">
        <w:t>–</w:t>
      </w:r>
      <w:r w:rsidR="00E10B5D">
        <w:t xml:space="preserve">3800 MHz </w:t>
      </w:r>
      <w:r w:rsidR="0069045C">
        <w:t xml:space="preserve">to preserve options for </w:t>
      </w:r>
      <w:r w:rsidR="00C964E6">
        <w:t>LA WBB</w:t>
      </w:r>
      <w:r w:rsidR="00D619DB">
        <w:t>, PTP and FSS</w:t>
      </w:r>
      <w:r w:rsidR="00C964E6">
        <w:t xml:space="preserve"> use in regional areas</w:t>
      </w:r>
      <w:r w:rsidR="00E10B5D">
        <w:t xml:space="preserve">. </w:t>
      </w:r>
    </w:p>
    <w:p w14:paraId="26BBA4D9" w14:textId="027B1F19" w:rsidR="002932D2" w:rsidRDefault="00813504" w:rsidP="00D8123A">
      <w:pPr>
        <w:pStyle w:val="Paragraph"/>
      </w:pPr>
      <w:r>
        <w:t xml:space="preserve">The </w:t>
      </w:r>
      <w:r w:rsidR="009201AD">
        <w:t xml:space="preserve">frequency ranges and </w:t>
      </w:r>
      <w:r>
        <w:t xml:space="preserve">geographic areas </w:t>
      </w:r>
      <w:r w:rsidR="00F64B55">
        <w:t>proposed for re-allocation</w:t>
      </w:r>
      <w:r w:rsidR="009C3BB1">
        <w:t xml:space="preserve"> </w:t>
      </w:r>
      <w:r w:rsidR="00F64B55">
        <w:t>are</w:t>
      </w:r>
      <w:r>
        <w:t xml:space="preserve"> </w:t>
      </w:r>
      <w:r w:rsidR="00203FAA">
        <w:t>shown</w:t>
      </w:r>
      <w:r>
        <w:t xml:space="preserve"> for indicative purposes in the maps </w:t>
      </w:r>
      <w:r w:rsidRPr="00582F59">
        <w:t>below</w:t>
      </w:r>
      <w:r w:rsidR="003E33C1" w:rsidRPr="00582F59">
        <w:t xml:space="preserve"> (</w:t>
      </w:r>
      <w:r w:rsidR="00203FAA">
        <w:t>f</w:t>
      </w:r>
      <w:r w:rsidR="003E33C1" w:rsidRPr="00582F59">
        <w:t xml:space="preserve">igures </w:t>
      </w:r>
      <w:r w:rsidR="00542B28" w:rsidRPr="00582F59">
        <w:t>5 to 13</w:t>
      </w:r>
      <w:r w:rsidR="008C28D9" w:rsidRPr="00582F59">
        <w:t>) and</w:t>
      </w:r>
      <w:r w:rsidR="00DA32BE">
        <w:t xml:space="preserve"> reflect the ACMA’s preliminary preferred planning option</w:t>
      </w:r>
      <w:r>
        <w:t>.</w:t>
      </w:r>
      <w:r w:rsidR="006F7246">
        <w:t xml:space="preserve"> </w:t>
      </w:r>
      <w:r w:rsidR="00746AA5">
        <w:t>These areas are described by the</w:t>
      </w:r>
      <w:r w:rsidR="0000497D">
        <w:t xml:space="preserve"> geographic areas and associated</w:t>
      </w:r>
      <w:r w:rsidR="00746AA5">
        <w:t xml:space="preserve"> hierarchical cell identification scheme (HCIS) identifiers listed </w:t>
      </w:r>
      <w:r w:rsidR="00ED24FD">
        <w:t xml:space="preserve">in </w:t>
      </w:r>
      <w:r w:rsidR="00746AA5" w:rsidRPr="0000497D">
        <w:t xml:space="preserve">Appendix </w:t>
      </w:r>
      <w:r w:rsidR="00A9713D" w:rsidRPr="0000497D">
        <w:t>B</w:t>
      </w:r>
      <w:r w:rsidR="00746AA5">
        <w:t xml:space="preserve"> </w:t>
      </w:r>
      <w:r w:rsidR="00ED24FD">
        <w:t xml:space="preserve">of </w:t>
      </w:r>
      <w:r w:rsidR="00746AA5">
        <w:t>this consultation paper.</w:t>
      </w:r>
    </w:p>
    <w:p w14:paraId="0FE23E85" w14:textId="0029441A" w:rsidR="003901E6" w:rsidRDefault="00D22DBE" w:rsidP="00D22DBE">
      <w:pPr>
        <w:pStyle w:val="Figureheading"/>
      </w:pPr>
      <w:r>
        <w:t>Indicative map of geographic areas proposed for re-allocation in 3400</w:t>
      </w:r>
      <w:r w:rsidR="00203FAA">
        <w:t>–</w:t>
      </w:r>
      <w:r>
        <w:t xml:space="preserve">3425 MHz </w:t>
      </w:r>
      <w:r w:rsidR="00E12FDB">
        <w:t>(Option</w:t>
      </w:r>
      <w:r w:rsidR="00300C35">
        <w:t xml:space="preserve"> </w:t>
      </w:r>
      <w:r w:rsidR="00E12FDB">
        <w:t>3)</w:t>
      </w:r>
      <w:r w:rsidR="003F0279">
        <w:t xml:space="preserve"> – </w:t>
      </w:r>
      <w:r w:rsidR="00DA65CD">
        <w:t xml:space="preserve">regional area 1 </w:t>
      </w:r>
      <w:r w:rsidR="00203FAA">
        <w:t>and</w:t>
      </w:r>
      <w:r w:rsidR="00DA65CD">
        <w:t xml:space="preserve"> </w:t>
      </w:r>
      <w:r w:rsidR="003F0279">
        <w:t>major regional centres 2</w:t>
      </w:r>
    </w:p>
    <w:p w14:paraId="1A74508C" w14:textId="1B6E318B" w:rsidR="0048679A" w:rsidRDefault="00D327D4" w:rsidP="005D4D67">
      <w:pPr>
        <w:pStyle w:val="Paragraph"/>
      </w:pPr>
      <w:r w:rsidRPr="005D4D67">
        <w:rPr>
          <w:noProof/>
        </w:rPr>
        <w:drawing>
          <wp:inline distT="0" distB="0" distL="0" distR="0" wp14:anchorId="1293D616" wp14:editId="7D7DE086">
            <wp:extent cx="3409950" cy="3141117"/>
            <wp:effectExtent l="0" t="0" r="0" b="2540"/>
            <wp:docPr id="2" name="Picture 2"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f you need help accessing or reading this diagram, please contact the ACMA's Customer Service Centre by phone on 1300 850 115 or by email at info@acma.gov.au"/>
                    <pic:cNvPicPr/>
                  </pic:nvPicPr>
                  <pic:blipFill rotWithShape="1">
                    <a:blip r:embed="rId62"/>
                    <a:srcRect l="3325" t="1677" r="2424" b="5215"/>
                    <a:stretch/>
                  </pic:blipFill>
                  <pic:spPr bwMode="auto">
                    <a:xfrm>
                      <a:off x="0" y="0"/>
                      <a:ext cx="3471617" cy="3197922"/>
                    </a:xfrm>
                    <a:prstGeom prst="rect">
                      <a:avLst/>
                    </a:prstGeom>
                    <a:ln>
                      <a:noFill/>
                    </a:ln>
                    <a:extLst>
                      <a:ext uri="{53640926-AAD7-44D8-BBD7-CCE9431645EC}">
                        <a14:shadowObscured xmlns:a14="http://schemas.microsoft.com/office/drawing/2010/main"/>
                      </a:ext>
                    </a:extLst>
                  </pic:spPr>
                </pic:pic>
              </a:graphicData>
            </a:graphic>
          </wp:inline>
        </w:drawing>
      </w:r>
    </w:p>
    <w:p w14:paraId="41353351" w14:textId="2A2FC7B3" w:rsidR="00832C18" w:rsidRDefault="00D67909" w:rsidP="00832C18">
      <w:pPr>
        <w:pStyle w:val="Figureheading"/>
      </w:pPr>
      <w:r>
        <w:t>Indicative map of geographic areas proposed for re-allocation in 3425</w:t>
      </w:r>
      <w:r w:rsidR="00203FAA">
        <w:t>–</w:t>
      </w:r>
      <w:r>
        <w:t>3442.5 MHz</w:t>
      </w:r>
      <w:r w:rsidR="00E12FDB">
        <w:t xml:space="preserve"> (Option</w:t>
      </w:r>
      <w:r w:rsidR="00DA32BE">
        <w:t xml:space="preserve"> </w:t>
      </w:r>
      <w:r w:rsidR="00E12FDB">
        <w:t>3)</w:t>
      </w:r>
      <w:r w:rsidR="003F0279">
        <w:t xml:space="preserve"> </w:t>
      </w:r>
      <w:r w:rsidR="00DA65CD">
        <w:t>–</w:t>
      </w:r>
      <w:r w:rsidR="003F0279">
        <w:t xml:space="preserve"> </w:t>
      </w:r>
      <w:r w:rsidR="00DA65CD">
        <w:t>regional area 1</w:t>
      </w:r>
    </w:p>
    <w:p w14:paraId="67A5EB78" w14:textId="1B387A4E" w:rsidR="00D67909" w:rsidRDefault="00910A9D" w:rsidP="005D4D67">
      <w:pPr>
        <w:pStyle w:val="Paragraph"/>
      </w:pPr>
      <w:r w:rsidRPr="005D4D67">
        <w:rPr>
          <w:noProof/>
        </w:rPr>
        <w:drawing>
          <wp:inline distT="0" distB="0" distL="0" distR="0" wp14:anchorId="60B8B8CF" wp14:editId="024EC802">
            <wp:extent cx="3476625" cy="3194735"/>
            <wp:effectExtent l="0" t="0" r="0" b="5715"/>
            <wp:docPr id="3" name="Picture 3"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f you need help accessing or reading this diagram, please contact the ACMA's Customer Service Centre by phone on 1300 850 115 or by email at info@acma.gov.au"/>
                    <pic:cNvPicPr/>
                  </pic:nvPicPr>
                  <pic:blipFill rotWithShape="1">
                    <a:blip r:embed="rId63"/>
                    <a:srcRect l="3324" t="3404" r="2619" b="2581"/>
                    <a:stretch/>
                  </pic:blipFill>
                  <pic:spPr bwMode="auto">
                    <a:xfrm>
                      <a:off x="0" y="0"/>
                      <a:ext cx="3501495" cy="3217588"/>
                    </a:xfrm>
                    <a:prstGeom prst="rect">
                      <a:avLst/>
                    </a:prstGeom>
                    <a:ln>
                      <a:noFill/>
                    </a:ln>
                    <a:extLst>
                      <a:ext uri="{53640926-AAD7-44D8-BBD7-CCE9431645EC}">
                        <a14:shadowObscured xmlns:a14="http://schemas.microsoft.com/office/drawing/2010/main"/>
                      </a:ext>
                    </a:extLst>
                  </pic:spPr>
                </pic:pic>
              </a:graphicData>
            </a:graphic>
          </wp:inline>
        </w:drawing>
      </w:r>
    </w:p>
    <w:p w14:paraId="3E914E72" w14:textId="649693BA" w:rsidR="00192B18" w:rsidRDefault="00192B18" w:rsidP="00192B18">
      <w:pPr>
        <w:pStyle w:val="Figureheading"/>
      </w:pPr>
      <w:r>
        <w:t>Indicative map of geographic areas proposed for re-allocation in 3475</w:t>
      </w:r>
      <w:r w:rsidR="00203FAA">
        <w:t>–</w:t>
      </w:r>
      <w:r>
        <w:t>3492.5 MHz (Option 3)</w:t>
      </w:r>
      <w:r w:rsidR="00E360C8">
        <w:t xml:space="preserve"> </w:t>
      </w:r>
      <w:r w:rsidR="00980A7B">
        <w:t>–</w:t>
      </w:r>
      <w:r w:rsidR="00E360C8">
        <w:t xml:space="preserve"> </w:t>
      </w:r>
      <w:r w:rsidR="00980A7B">
        <w:t>regional areas 1</w:t>
      </w:r>
      <w:r w:rsidR="00E33C2F">
        <w:t xml:space="preserve"> and 2</w:t>
      </w:r>
      <w:r w:rsidR="00203FAA">
        <w:t>, and</w:t>
      </w:r>
      <w:r w:rsidR="00E33C2F">
        <w:t xml:space="preserve"> </w:t>
      </w:r>
      <w:r w:rsidR="00AE5C57">
        <w:t>regional Western Australia central</w:t>
      </w:r>
    </w:p>
    <w:p w14:paraId="677B3FDB" w14:textId="1A6D47F8" w:rsidR="00192B18" w:rsidRDefault="00457055" w:rsidP="00192B18">
      <w:pPr>
        <w:pStyle w:val="Paragraph"/>
      </w:pPr>
      <w:r>
        <w:rPr>
          <w:noProof/>
        </w:rPr>
        <w:drawing>
          <wp:inline distT="0" distB="0" distL="0" distR="0" wp14:anchorId="31D88B99" wp14:editId="61BC000B">
            <wp:extent cx="3667125" cy="3410345"/>
            <wp:effectExtent l="0" t="0" r="0" b="0"/>
            <wp:docPr id="16" name="Picture 16"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f you need help accessing or reading this diagram, please contact the ACMA's Customer Service Centre by phone on 1300 850 115 or by email at info@acma.gov.au"/>
                    <pic:cNvPicPr/>
                  </pic:nvPicPr>
                  <pic:blipFill rotWithShape="1">
                    <a:blip r:embed="rId64"/>
                    <a:srcRect l="5280" t="2011" r="5358" b="3024"/>
                    <a:stretch/>
                  </pic:blipFill>
                  <pic:spPr bwMode="auto">
                    <a:xfrm>
                      <a:off x="0" y="0"/>
                      <a:ext cx="3673061" cy="3415866"/>
                    </a:xfrm>
                    <a:prstGeom prst="rect">
                      <a:avLst/>
                    </a:prstGeom>
                    <a:ln>
                      <a:noFill/>
                    </a:ln>
                    <a:extLst>
                      <a:ext uri="{53640926-AAD7-44D8-BBD7-CCE9431645EC}">
                        <a14:shadowObscured xmlns:a14="http://schemas.microsoft.com/office/drawing/2010/main"/>
                      </a:ext>
                    </a:extLst>
                  </pic:spPr>
                </pic:pic>
              </a:graphicData>
            </a:graphic>
          </wp:inline>
        </w:drawing>
      </w:r>
    </w:p>
    <w:p w14:paraId="6E5EE92C" w14:textId="5C1170A4" w:rsidR="00192B18" w:rsidRDefault="00192B18" w:rsidP="00192B18">
      <w:pPr>
        <w:pStyle w:val="Figureheading"/>
      </w:pPr>
      <w:r>
        <w:t>Indicative map of geographic areas proposed for re-allocation in 3492.5</w:t>
      </w:r>
      <w:r w:rsidR="00203FAA">
        <w:t>–</w:t>
      </w:r>
      <w:r>
        <w:t>3510 MHz (Option 3)</w:t>
      </w:r>
      <w:r w:rsidR="00CF3FA8">
        <w:t xml:space="preserve"> – major regional centres 2, regional area</w:t>
      </w:r>
      <w:r w:rsidR="00DF5B74">
        <w:t>s</w:t>
      </w:r>
      <w:r w:rsidR="00CF3FA8">
        <w:t xml:space="preserve"> 1 </w:t>
      </w:r>
      <w:r w:rsidR="00DF5B74">
        <w:t>and</w:t>
      </w:r>
      <w:r w:rsidR="00CF3FA8">
        <w:t xml:space="preserve"> 2</w:t>
      </w:r>
      <w:r w:rsidR="00203FAA">
        <w:t>, and</w:t>
      </w:r>
      <w:r w:rsidR="00DF5B74">
        <w:t xml:space="preserve"> regional </w:t>
      </w:r>
      <w:r w:rsidR="003B63B8">
        <w:t>Western Australia central</w:t>
      </w:r>
    </w:p>
    <w:p w14:paraId="4A242313" w14:textId="0364CFF3" w:rsidR="00192B18" w:rsidRDefault="00EB6CB4" w:rsidP="00192B18">
      <w:pPr>
        <w:pStyle w:val="Paragraph"/>
        <w:rPr>
          <w:noProof/>
        </w:rPr>
      </w:pPr>
      <w:r>
        <w:rPr>
          <w:noProof/>
        </w:rPr>
        <w:drawing>
          <wp:inline distT="0" distB="0" distL="0" distR="0" wp14:anchorId="71468733" wp14:editId="1F329ED4">
            <wp:extent cx="3790739" cy="3507474"/>
            <wp:effectExtent l="0" t="0" r="635" b="0"/>
            <wp:docPr id="22" name="Picture 22"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If you need help accessing or reading this diagram, please contact the ACMA's Customer Service Centre by phone on 1300 850 115 or by email at info@acma.gov.au"/>
                    <pic:cNvPicPr/>
                  </pic:nvPicPr>
                  <pic:blipFill rotWithShape="1">
                    <a:blip r:embed="rId65"/>
                    <a:srcRect l="5866" t="3133" r="5162" b="2656"/>
                    <a:stretch/>
                  </pic:blipFill>
                  <pic:spPr bwMode="auto">
                    <a:xfrm>
                      <a:off x="0" y="0"/>
                      <a:ext cx="3807791" cy="3523252"/>
                    </a:xfrm>
                    <a:prstGeom prst="rect">
                      <a:avLst/>
                    </a:prstGeom>
                    <a:ln>
                      <a:noFill/>
                    </a:ln>
                    <a:extLst>
                      <a:ext uri="{53640926-AAD7-44D8-BBD7-CCE9431645EC}">
                        <a14:shadowObscured xmlns:a14="http://schemas.microsoft.com/office/drawing/2010/main"/>
                      </a:ext>
                    </a:extLst>
                  </pic:spPr>
                </pic:pic>
              </a:graphicData>
            </a:graphic>
          </wp:inline>
        </w:drawing>
      </w:r>
    </w:p>
    <w:p w14:paraId="3312D6EB" w14:textId="1FC5F2C8" w:rsidR="00192B18" w:rsidRDefault="00192B18" w:rsidP="00192B18">
      <w:pPr>
        <w:pStyle w:val="Figureheading"/>
      </w:pPr>
      <w:r>
        <w:t>Indicative map of geographic areas proposed for re-allocation in 3510</w:t>
      </w:r>
      <w:r w:rsidR="00203FAA">
        <w:t>–</w:t>
      </w:r>
      <w:r>
        <w:t>3542.5 MHz (Option 3)</w:t>
      </w:r>
      <w:r w:rsidR="003B63B8">
        <w:t xml:space="preserve"> – </w:t>
      </w:r>
      <w:r w:rsidR="007C54D4">
        <w:t xml:space="preserve">major regional centres 2, </w:t>
      </w:r>
      <w:r w:rsidR="003D2D35">
        <w:t>regional area 1</w:t>
      </w:r>
      <w:r w:rsidR="00203FAA">
        <w:t>, and</w:t>
      </w:r>
      <w:r w:rsidR="003D2D35">
        <w:t xml:space="preserve"> regional Western Australia central</w:t>
      </w:r>
    </w:p>
    <w:p w14:paraId="69F4242C" w14:textId="3C8B84B4" w:rsidR="00192B18" w:rsidRDefault="00192B18" w:rsidP="00192B18">
      <w:pPr>
        <w:pStyle w:val="Paragraph"/>
        <w:rPr>
          <w:noProof/>
        </w:rPr>
      </w:pPr>
      <w:r w:rsidRPr="00A76D36">
        <w:rPr>
          <w:noProof/>
        </w:rPr>
        <w:t xml:space="preserve"> </w:t>
      </w:r>
      <w:r w:rsidR="00B1308D">
        <w:rPr>
          <w:noProof/>
        </w:rPr>
        <w:drawing>
          <wp:inline distT="0" distB="0" distL="0" distR="0" wp14:anchorId="6D60CC61" wp14:editId="4E6FBACC">
            <wp:extent cx="3787253" cy="3539040"/>
            <wp:effectExtent l="0" t="0" r="3810" b="4445"/>
            <wp:docPr id="24" name="Picture 24"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f you need help accessing or reading this diagram, please contact the ACMA's Customer Service Centre by phone on 1300 850 115 or by email at info@acma.gov.au"/>
                    <pic:cNvPicPr/>
                  </pic:nvPicPr>
                  <pic:blipFill rotWithShape="1">
                    <a:blip r:embed="rId66"/>
                    <a:srcRect l="3325" r="4185" b="2443"/>
                    <a:stretch/>
                  </pic:blipFill>
                  <pic:spPr bwMode="auto">
                    <a:xfrm>
                      <a:off x="0" y="0"/>
                      <a:ext cx="3822477" cy="3571956"/>
                    </a:xfrm>
                    <a:prstGeom prst="rect">
                      <a:avLst/>
                    </a:prstGeom>
                    <a:ln>
                      <a:noFill/>
                    </a:ln>
                    <a:extLst>
                      <a:ext uri="{53640926-AAD7-44D8-BBD7-CCE9431645EC}">
                        <a14:shadowObscured xmlns:a14="http://schemas.microsoft.com/office/drawing/2010/main"/>
                      </a:ext>
                    </a:extLst>
                  </pic:spPr>
                </pic:pic>
              </a:graphicData>
            </a:graphic>
          </wp:inline>
        </w:drawing>
      </w:r>
    </w:p>
    <w:p w14:paraId="3332BA6D" w14:textId="37A0F6EC" w:rsidR="00925A27" w:rsidRDefault="002A692F" w:rsidP="00925A27">
      <w:pPr>
        <w:pStyle w:val="Figureheading"/>
      </w:pPr>
      <w:r>
        <w:t xml:space="preserve">Indicative map </w:t>
      </w:r>
      <w:r w:rsidR="00925A27">
        <w:t>of geographic areas proposed for re-allocation in 3542</w:t>
      </w:r>
      <w:r w:rsidR="00203FAA">
        <w:t>–</w:t>
      </w:r>
      <w:r w:rsidR="00925A27">
        <w:t>3575 MHz (Option 3) – regional Western Australia central</w:t>
      </w:r>
    </w:p>
    <w:p w14:paraId="57F552ED" w14:textId="4C72B10E" w:rsidR="00925A27" w:rsidRDefault="00925A27" w:rsidP="00192B18">
      <w:pPr>
        <w:pStyle w:val="Paragraph"/>
      </w:pPr>
      <w:r>
        <w:rPr>
          <w:noProof/>
        </w:rPr>
        <w:drawing>
          <wp:inline distT="0" distB="0" distL="0" distR="0" wp14:anchorId="333CD55D" wp14:editId="7139D87F">
            <wp:extent cx="3718560" cy="3152775"/>
            <wp:effectExtent l="0" t="0" r="0" b="9525"/>
            <wp:docPr id="47" name="Picture 47"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If you need help accessing or reading this diagram, please contact the ACMA's Customer Service Centre by phone on 1300 850 115 or by email at info@acma.gov.au"/>
                    <pic:cNvPicPr/>
                  </pic:nvPicPr>
                  <pic:blipFill rotWithShape="1">
                    <a:blip r:embed="rId67"/>
                    <a:srcRect l="23661" b="21799"/>
                    <a:stretch/>
                  </pic:blipFill>
                  <pic:spPr bwMode="auto">
                    <a:xfrm>
                      <a:off x="0" y="0"/>
                      <a:ext cx="3718560" cy="3152775"/>
                    </a:xfrm>
                    <a:prstGeom prst="rect">
                      <a:avLst/>
                    </a:prstGeom>
                    <a:ln>
                      <a:noFill/>
                    </a:ln>
                    <a:extLst>
                      <a:ext uri="{53640926-AAD7-44D8-BBD7-CCE9431645EC}">
                        <a14:shadowObscured xmlns:a14="http://schemas.microsoft.com/office/drawing/2010/main"/>
                      </a:ext>
                    </a:extLst>
                  </pic:spPr>
                </pic:pic>
              </a:graphicData>
            </a:graphic>
          </wp:inline>
        </w:drawing>
      </w:r>
    </w:p>
    <w:p w14:paraId="129444A4" w14:textId="4ED846C5" w:rsidR="002A692F" w:rsidRDefault="002A692F" w:rsidP="002A692F">
      <w:pPr>
        <w:pStyle w:val="Figureheading"/>
      </w:pPr>
      <w:r>
        <w:t xml:space="preserve">Indicative map of geographic areas proposed for re-allocation in </w:t>
      </w:r>
      <w:r w:rsidR="00D42AE2">
        <w:t>3700</w:t>
      </w:r>
      <w:r w:rsidR="00203FAA">
        <w:t>–</w:t>
      </w:r>
      <w:r w:rsidR="00D42AE2">
        <w:t>3750 MHz (Option 3)</w:t>
      </w:r>
      <w:r w:rsidR="00C268C3">
        <w:t xml:space="preserve"> </w:t>
      </w:r>
      <w:r w:rsidR="00F0792A">
        <w:t>–</w:t>
      </w:r>
      <w:r w:rsidR="00C268C3">
        <w:t xml:space="preserve"> </w:t>
      </w:r>
      <w:r w:rsidR="00F0792A">
        <w:t>all regional areas and all metropolitan areas</w:t>
      </w:r>
    </w:p>
    <w:p w14:paraId="05B4449A" w14:textId="51FE14FB" w:rsidR="002A692F" w:rsidRDefault="00BC697A" w:rsidP="005D4D67">
      <w:pPr>
        <w:pStyle w:val="Paragraphbeforelist"/>
      </w:pPr>
      <w:r>
        <w:rPr>
          <w:noProof/>
        </w:rPr>
        <w:drawing>
          <wp:inline distT="0" distB="0" distL="0" distR="0" wp14:anchorId="1B77D134" wp14:editId="17AA2131">
            <wp:extent cx="4076700" cy="3767859"/>
            <wp:effectExtent l="0" t="0" r="0" b="4445"/>
            <wp:docPr id="21" name="Picture 21"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If you need help accessing or reading this diagram, please contact the ACMA's Customer Service Centre by phone on 1300 850 115 or by email at info@acma.gov.au"/>
                    <pic:cNvPicPr/>
                  </pic:nvPicPr>
                  <pic:blipFill rotWithShape="1">
                    <a:blip r:embed="rId68"/>
                    <a:srcRect l="7626" t="4744" r="2034" b="3191"/>
                    <a:stretch/>
                  </pic:blipFill>
                  <pic:spPr bwMode="auto">
                    <a:xfrm>
                      <a:off x="0" y="0"/>
                      <a:ext cx="4085635" cy="3776117"/>
                    </a:xfrm>
                    <a:prstGeom prst="rect">
                      <a:avLst/>
                    </a:prstGeom>
                    <a:ln>
                      <a:noFill/>
                    </a:ln>
                    <a:extLst>
                      <a:ext uri="{53640926-AAD7-44D8-BBD7-CCE9431645EC}">
                        <a14:shadowObscured xmlns:a14="http://schemas.microsoft.com/office/drawing/2010/main"/>
                      </a:ext>
                    </a:extLst>
                  </pic:spPr>
                </pic:pic>
              </a:graphicData>
            </a:graphic>
          </wp:inline>
        </w:drawing>
      </w:r>
    </w:p>
    <w:p w14:paraId="41AB9A3C" w14:textId="12EF4E7A" w:rsidR="00480114" w:rsidRDefault="00480114" w:rsidP="007A7A5C">
      <w:pPr>
        <w:spacing w:before="240" w:line="240" w:lineRule="auto"/>
      </w:pPr>
      <w:r>
        <w:t xml:space="preserve">The following maps illustrate the </w:t>
      </w:r>
      <w:r w:rsidR="00064015">
        <w:t xml:space="preserve">metropolitan </w:t>
      </w:r>
      <w:r>
        <w:t>geographic areas in the frequency range 3750</w:t>
      </w:r>
      <w:r w:rsidR="00064015">
        <w:t>–</w:t>
      </w:r>
      <w:r>
        <w:t>3800 MHz, proposed to be declared for re-allocation.</w:t>
      </w:r>
      <w:r w:rsidR="008347CE">
        <w:t xml:space="preserve"> The metropolitan areas also encompass the urban e</w:t>
      </w:r>
      <w:r w:rsidR="000D3A98">
        <w:t>xcise areas.</w:t>
      </w:r>
    </w:p>
    <w:p w14:paraId="11FF3FF2" w14:textId="1D388C2C" w:rsidR="002A692F" w:rsidRDefault="006554AC" w:rsidP="002A692F">
      <w:pPr>
        <w:pStyle w:val="Figureheading"/>
      </w:pPr>
      <w:r>
        <w:t>Indicative map</w:t>
      </w:r>
      <w:r w:rsidR="00C33D0D">
        <w:t>s</w:t>
      </w:r>
      <w:r>
        <w:t xml:space="preserve"> of geographic areas proposed for re-allocation in 3750</w:t>
      </w:r>
      <w:r w:rsidR="00064015">
        <w:t>–</w:t>
      </w:r>
      <w:r>
        <w:t>3800 MHz</w:t>
      </w:r>
      <w:r w:rsidR="00D42AE2">
        <w:t xml:space="preserve"> (Option 3)</w:t>
      </w:r>
      <w:r w:rsidR="00F0792A">
        <w:t xml:space="preserve"> – </w:t>
      </w:r>
      <w:r w:rsidR="00A519AE">
        <w:t xml:space="preserve">all </w:t>
      </w:r>
      <w:r w:rsidR="00F0792A">
        <w:t>metropol</w:t>
      </w:r>
      <w:r w:rsidR="00A519AE">
        <w:t>i</w:t>
      </w:r>
      <w:r w:rsidR="00F0792A">
        <w:t>tan areas</w:t>
      </w:r>
    </w:p>
    <w:tbl>
      <w:tblPr>
        <w:tblStyle w:val="TableGrid"/>
        <w:tblW w:w="82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4"/>
        <w:gridCol w:w="4253"/>
        <w:gridCol w:w="9"/>
      </w:tblGrid>
      <w:tr w:rsidR="00402C6F" w14:paraId="12B16FB1" w14:textId="77777777" w:rsidTr="00F734D4">
        <w:trPr>
          <w:gridAfter w:val="1"/>
          <w:wAfter w:w="9" w:type="dxa"/>
          <w:trHeight w:val="4472"/>
        </w:trPr>
        <w:tc>
          <w:tcPr>
            <w:tcW w:w="3964" w:type="dxa"/>
          </w:tcPr>
          <w:p w14:paraId="1680FBB6" w14:textId="67859B59" w:rsidR="00C33D0D" w:rsidRDefault="009D0F87" w:rsidP="007A7A5C">
            <w:pPr>
              <w:pStyle w:val="TableBody"/>
            </w:pPr>
            <w:r>
              <w:rPr>
                <w:noProof/>
              </w:rPr>
              <w:drawing>
                <wp:inline distT="0" distB="0" distL="0" distR="0" wp14:anchorId="0BA5A683" wp14:editId="4DCF82C8">
                  <wp:extent cx="2379980" cy="2666365"/>
                  <wp:effectExtent l="0" t="0" r="1270" b="635"/>
                  <wp:docPr id="27" name="Picture 27"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If you need help accessing or reading this diagram, please contact the ACMA's Customer Service Centre by phone on 1300 850 115 or by email at info@acma.gov.au"/>
                          <pic:cNvPicPr/>
                        </pic:nvPicPr>
                        <pic:blipFill>
                          <a:blip r:embed="rId69"/>
                          <a:stretch>
                            <a:fillRect/>
                          </a:stretch>
                        </pic:blipFill>
                        <pic:spPr>
                          <a:xfrm>
                            <a:off x="0" y="0"/>
                            <a:ext cx="2379980" cy="2666365"/>
                          </a:xfrm>
                          <a:prstGeom prst="rect">
                            <a:avLst/>
                          </a:prstGeom>
                        </pic:spPr>
                      </pic:pic>
                    </a:graphicData>
                  </a:graphic>
                </wp:inline>
              </w:drawing>
            </w:r>
            <w:r w:rsidR="007B53A3">
              <w:rPr>
                <w:noProof/>
              </w:rPr>
              <w:t xml:space="preserve"> </w:t>
            </w:r>
          </w:p>
        </w:tc>
        <w:tc>
          <w:tcPr>
            <w:tcW w:w="4253" w:type="dxa"/>
          </w:tcPr>
          <w:p w14:paraId="6D45328E" w14:textId="189C3DAD" w:rsidR="00C33D0D" w:rsidRDefault="005231CF" w:rsidP="007A7A5C">
            <w:pPr>
              <w:pStyle w:val="Paragraph"/>
              <w:spacing w:after="0"/>
            </w:pPr>
            <w:r>
              <w:rPr>
                <w:noProof/>
              </w:rPr>
              <w:drawing>
                <wp:inline distT="0" distB="0" distL="0" distR="0" wp14:anchorId="3CF6C461" wp14:editId="0E3A243F">
                  <wp:extent cx="2217761" cy="2672081"/>
                  <wp:effectExtent l="0" t="0" r="0" b="0"/>
                  <wp:docPr id="55" name="Picture 55"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If you need help accessing or reading this diagram, please contact the ACMA's Customer Service Centre by phone on 1300 850 115 or by email at info@acma.gov.au"/>
                          <pic:cNvPicPr/>
                        </pic:nvPicPr>
                        <pic:blipFill>
                          <a:blip r:embed="rId70"/>
                          <a:stretch>
                            <a:fillRect/>
                          </a:stretch>
                        </pic:blipFill>
                        <pic:spPr>
                          <a:xfrm>
                            <a:off x="0" y="0"/>
                            <a:ext cx="2221133" cy="2676143"/>
                          </a:xfrm>
                          <a:prstGeom prst="rect">
                            <a:avLst/>
                          </a:prstGeom>
                        </pic:spPr>
                      </pic:pic>
                    </a:graphicData>
                  </a:graphic>
                </wp:inline>
              </w:drawing>
            </w:r>
          </w:p>
        </w:tc>
      </w:tr>
      <w:tr w:rsidR="00402C6F" w14:paraId="27F5E8C3" w14:textId="77777777" w:rsidTr="007A7A5C">
        <w:trPr>
          <w:gridAfter w:val="1"/>
          <w:wAfter w:w="9" w:type="dxa"/>
        </w:trPr>
        <w:tc>
          <w:tcPr>
            <w:tcW w:w="3964" w:type="dxa"/>
          </w:tcPr>
          <w:p w14:paraId="3C16A7C0" w14:textId="06E33E51" w:rsidR="00C33D0D" w:rsidRDefault="005231CF" w:rsidP="00C15E3C">
            <w:pPr>
              <w:pStyle w:val="Paragraph"/>
              <w:spacing w:after="120"/>
            </w:pPr>
            <w:r>
              <w:rPr>
                <w:noProof/>
              </w:rPr>
              <w:drawing>
                <wp:inline distT="0" distB="0" distL="0" distR="0" wp14:anchorId="56DA62BF" wp14:editId="14BCB0D9">
                  <wp:extent cx="2379980" cy="2699385"/>
                  <wp:effectExtent l="0" t="0" r="1270" b="5715"/>
                  <wp:docPr id="56" name="Picture 56"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If you need help accessing or reading this diagram, please contact the ACMA's Customer Service Centre by phone on 1300 850 115 or by email at info@acma.gov.au"/>
                          <pic:cNvPicPr/>
                        </pic:nvPicPr>
                        <pic:blipFill>
                          <a:blip r:embed="rId71"/>
                          <a:stretch>
                            <a:fillRect/>
                          </a:stretch>
                        </pic:blipFill>
                        <pic:spPr>
                          <a:xfrm>
                            <a:off x="0" y="0"/>
                            <a:ext cx="2379980" cy="2699385"/>
                          </a:xfrm>
                          <a:prstGeom prst="rect">
                            <a:avLst/>
                          </a:prstGeom>
                        </pic:spPr>
                      </pic:pic>
                    </a:graphicData>
                  </a:graphic>
                </wp:inline>
              </w:drawing>
            </w:r>
          </w:p>
        </w:tc>
        <w:tc>
          <w:tcPr>
            <w:tcW w:w="4253" w:type="dxa"/>
          </w:tcPr>
          <w:p w14:paraId="4C2E5168" w14:textId="1D2AE32A" w:rsidR="00C33D0D" w:rsidRDefault="00C15E3C" w:rsidP="007A7A5C">
            <w:pPr>
              <w:pStyle w:val="Paragraph"/>
              <w:spacing w:after="0"/>
            </w:pPr>
            <w:r>
              <w:rPr>
                <w:noProof/>
              </w:rPr>
              <w:drawing>
                <wp:inline distT="0" distB="0" distL="0" distR="0" wp14:anchorId="11598E8A" wp14:editId="0545D43D">
                  <wp:extent cx="2442949" cy="2697713"/>
                  <wp:effectExtent l="0" t="0" r="0" b="7620"/>
                  <wp:docPr id="57" name="Picture 57"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If you need help accessing or reading this diagram, please contact the ACMA's Customer Service Centre by phone on 1300 850 115 or by email at info@acma.gov.au"/>
                          <pic:cNvPicPr/>
                        </pic:nvPicPr>
                        <pic:blipFill>
                          <a:blip r:embed="rId72"/>
                          <a:stretch>
                            <a:fillRect/>
                          </a:stretch>
                        </pic:blipFill>
                        <pic:spPr>
                          <a:xfrm>
                            <a:off x="0" y="0"/>
                            <a:ext cx="2482949" cy="2741885"/>
                          </a:xfrm>
                          <a:prstGeom prst="rect">
                            <a:avLst/>
                          </a:prstGeom>
                        </pic:spPr>
                      </pic:pic>
                    </a:graphicData>
                  </a:graphic>
                </wp:inline>
              </w:drawing>
            </w:r>
          </w:p>
        </w:tc>
      </w:tr>
      <w:tr w:rsidR="00402C6F" w14:paraId="51340830" w14:textId="77777777" w:rsidTr="00F734D4">
        <w:trPr>
          <w:gridAfter w:val="1"/>
          <w:wAfter w:w="9" w:type="dxa"/>
          <w:trHeight w:val="4043"/>
        </w:trPr>
        <w:tc>
          <w:tcPr>
            <w:tcW w:w="3964" w:type="dxa"/>
          </w:tcPr>
          <w:p w14:paraId="38A7276F" w14:textId="15218CCB" w:rsidR="00B86E17" w:rsidRDefault="005D344D" w:rsidP="007A7A5C">
            <w:pPr>
              <w:pStyle w:val="Paragraph"/>
              <w:spacing w:after="0"/>
              <w:rPr>
                <w:noProof/>
              </w:rPr>
            </w:pPr>
            <w:r>
              <w:rPr>
                <w:noProof/>
              </w:rPr>
              <w:drawing>
                <wp:inline distT="0" distB="0" distL="0" distR="0" wp14:anchorId="43230DBB" wp14:editId="794F5334">
                  <wp:extent cx="2379980" cy="2473325"/>
                  <wp:effectExtent l="0" t="0" r="1270" b="3175"/>
                  <wp:docPr id="58" name="Picture 58"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If you need help accessing or reading this diagram, please contact the ACMA's Customer Service Centre by phone on 1300 850 115 or by email at info@acma.gov.au"/>
                          <pic:cNvPicPr/>
                        </pic:nvPicPr>
                        <pic:blipFill>
                          <a:blip r:embed="rId73"/>
                          <a:stretch>
                            <a:fillRect/>
                          </a:stretch>
                        </pic:blipFill>
                        <pic:spPr>
                          <a:xfrm>
                            <a:off x="0" y="0"/>
                            <a:ext cx="2379980" cy="2473325"/>
                          </a:xfrm>
                          <a:prstGeom prst="rect">
                            <a:avLst/>
                          </a:prstGeom>
                        </pic:spPr>
                      </pic:pic>
                    </a:graphicData>
                  </a:graphic>
                </wp:inline>
              </w:drawing>
            </w:r>
          </w:p>
        </w:tc>
        <w:tc>
          <w:tcPr>
            <w:tcW w:w="4253" w:type="dxa"/>
          </w:tcPr>
          <w:p w14:paraId="7FA0A703" w14:textId="7CD9FE1B" w:rsidR="00B86E17" w:rsidRDefault="005D344D" w:rsidP="007A7A5C">
            <w:pPr>
              <w:pStyle w:val="Paragraph"/>
              <w:spacing w:after="0"/>
              <w:rPr>
                <w:noProof/>
              </w:rPr>
            </w:pPr>
            <w:r>
              <w:rPr>
                <w:noProof/>
              </w:rPr>
              <w:drawing>
                <wp:inline distT="0" distB="0" distL="0" distR="0" wp14:anchorId="51F656BB" wp14:editId="701F7860">
                  <wp:extent cx="2333767" cy="2481181"/>
                  <wp:effectExtent l="0" t="0" r="0" b="0"/>
                  <wp:docPr id="59" name="Picture 59"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If you need help accessing or reading this diagram, please contact the ACMA's Customer Service Centre by phone on 1300 850 115 or by email at info@acma.gov.au"/>
                          <pic:cNvPicPr/>
                        </pic:nvPicPr>
                        <pic:blipFill>
                          <a:blip r:embed="rId74"/>
                          <a:stretch>
                            <a:fillRect/>
                          </a:stretch>
                        </pic:blipFill>
                        <pic:spPr>
                          <a:xfrm>
                            <a:off x="0" y="0"/>
                            <a:ext cx="2402260" cy="2554001"/>
                          </a:xfrm>
                          <a:prstGeom prst="rect">
                            <a:avLst/>
                          </a:prstGeom>
                        </pic:spPr>
                      </pic:pic>
                    </a:graphicData>
                  </a:graphic>
                </wp:inline>
              </w:drawing>
            </w:r>
          </w:p>
        </w:tc>
      </w:tr>
      <w:tr w:rsidR="00F64AD5" w14:paraId="736B361D" w14:textId="77777777" w:rsidTr="007F0F66">
        <w:trPr>
          <w:trHeight w:val="3261"/>
        </w:trPr>
        <w:tc>
          <w:tcPr>
            <w:tcW w:w="8226" w:type="dxa"/>
            <w:gridSpan w:val="3"/>
          </w:tcPr>
          <w:p w14:paraId="261AF665" w14:textId="093D7D65" w:rsidR="00402C6F" w:rsidRDefault="007F0F66" w:rsidP="007F0F66">
            <w:pPr>
              <w:pStyle w:val="Paragraph"/>
              <w:rPr>
                <w:noProof/>
              </w:rPr>
            </w:pPr>
            <w:r>
              <w:rPr>
                <w:noProof/>
              </w:rPr>
              <w:drawing>
                <wp:inline distT="0" distB="0" distL="0" distR="0" wp14:anchorId="17004D42" wp14:editId="7CB10E30">
                  <wp:extent cx="3254991" cy="2740689"/>
                  <wp:effectExtent l="0" t="0" r="3175" b="2540"/>
                  <wp:docPr id="60" name="Picture 60"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If you need help accessing or reading this diagram, please contact the ACMA's Customer Service Centre by phone on 1300 850 115 or by email at info@acma.gov.au"/>
                          <pic:cNvPicPr/>
                        </pic:nvPicPr>
                        <pic:blipFill>
                          <a:blip r:embed="rId75"/>
                          <a:stretch>
                            <a:fillRect/>
                          </a:stretch>
                        </pic:blipFill>
                        <pic:spPr>
                          <a:xfrm>
                            <a:off x="0" y="0"/>
                            <a:ext cx="3263320" cy="2747702"/>
                          </a:xfrm>
                          <a:prstGeom prst="rect">
                            <a:avLst/>
                          </a:prstGeom>
                        </pic:spPr>
                      </pic:pic>
                    </a:graphicData>
                  </a:graphic>
                </wp:inline>
              </w:drawing>
            </w:r>
          </w:p>
        </w:tc>
      </w:tr>
    </w:tbl>
    <w:p w14:paraId="1DFE2B2E" w14:textId="3AD5F430" w:rsidR="00AB77FB" w:rsidRDefault="00AB77FB" w:rsidP="00F734D4">
      <w:pPr>
        <w:pStyle w:val="Paragraph"/>
        <w:keepNext/>
      </w:pPr>
      <w:r>
        <w:t>The following map</w:t>
      </w:r>
      <w:r w:rsidR="00512C87">
        <w:t>s</w:t>
      </w:r>
      <w:r>
        <w:t xml:space="preserve"> illustrate the additions </w:t>
      </w:r>
      <w:r w:rsidR="003C3755">
        <w:t>of</w:t>
      </w:r>
      <w:r>
        <w:t xml:space="preserve"> geographic areas </w:t>
      </w:r>
      <w:r w:rsidR="00064015">
        <w:t>for</w:t>
      </w:r>
      <w:r>
        <w:t xml:space="preserve"> the </w:t>
      </w:r>
      <w:r w:rsidR="003C3755">
        <w:t>urban excise</w:t>
      </w:r>
      <w:r w:rsidR="00512C87">
        <w:t>, in the frequency range 3400</w:t>
      </w:r>
      <w:r w:rsidR="00064015">
        <w:t>–</w:t>
      </w:r>
      <w:r w:rsidR="00512C87">
        <w:t>3475 MHz,</w:t>
      </w:r>
      <w:r w:rsidR="003C3755">
        <w:t xml:space="preserve"> proposed to be declare</w:t>
      </w:r>
      <w:r w:rsidR="00775292">
        <w:t>d</w:t>
      </w:r>
      <w:r w:rsidR="003C3755">
        <w:t xml:space="preserve"> for re-allocation</w:t>
      </w:r>
      <w:r>
        <w:t xml:space="preserve"> (</w:t>
      </w:r>
      <w:r w:rsidR="001B199C">
        <w:t xml:space="preserve">see </w:t>
      </w:r>
      <w:r>
        <w:t>‘</w:t>
      </w:r>
      <w:r w:rsidR="00A557F8">
        <w:t>P</w:t>
      </w:r>
      <w:r>
        <w:t xml:space="preserve">lanning options’ above). </w:t>
      </w:r>
      <w:r w:rsidR="008C2425">
        <w:t xml:space="preserve">The urban excise areas are a smaller subset of the metropolitan areas. </w:t>
      </w:r>
      <w:r w:rsidR="00697E44">
        <w:t>The</w:t>
      </w:r>
      <w:r w:rsidR="008C2425">
        <w:t xml:space="preserve"> urban excise</w:t>
      </w:r>
      <w:r w:rsidR="00697E44">
        <w:t xml:space="preserve"> areas are described by the geographic areas and associated hierarchical cell identification scheme (HCIS) identifiers listed </w:t>
      </w:r>
      <w:r w:rsidR="00ED24FD">
        <w:t xml:space="preserve">in </w:t>
      </w:r>
      <w:r w:rsidR="00697E44" w:rsidRPr="0000497D">
        <w:t xml:space="preserve">Appendix </w:t>
      </w:r>
      <w:r w:rsidR="00697E44">
        <w:t xml:space="preserve">C </w:t>
      </w:r>
      <w:r w:rsidR="00ED24FD">
        <w:t xml:space="preserve">of </w:t>
      </w:r>
      <w:r w:rsidR="00697E44">
        <w:t>this consultation paper.</w:t>
      </w:r>
    </w:p>
    <w:p w14:paraId="61F80D28" w14:textId="16B87E0A" w:rsidR="00512C87" w:rsidRDefault="00D640B7" w:rsidP="00D640B7">
      <w:pPr>
        <w:pStyle w:val="Figureheading"/>
      </w:pPr>
      <w:r>
        <w:t>Indicative maps of additional geographic areas proposed for re-allocation in 3400</w:t>
      </w:r>
      <w:r w:rsidR="00064015">
        <w:t>–</w:t>
      </w:r>
      <w:r>
        <w:t>3475 MHz (the urban excise)</w:t>
      </w:r>
    </w:p>
    <w:tbl>
      <w:tblPr>
        <w:tblStyle w:val="TableGrid"/>
        <w:tblW w:w="8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7"/>
        <w:gridCol w:w="4370"/>
      </w:tblGrid>
      <w:tr w:rsidR="001B29B7" w14:paraId="609A5FAA" w14:textId="77777777" w:rsidTr="00F734D4">
        <w:tc>
          <w:tcPr>
            <w:tcW w:w="3945" w:type="dxa"/>
          </w:tcPr>
          <w:p w14:paraId="432AE89D" w14:textId="33B65B4D" w:rsidR="00AE4770" w:rsidRDefault="00C121C5" w:rsidP="00CC30A0">
            <w:pPr>
              <w:pStyle w:val="Paragraph"/>
              <w:spacing w:after="120"/>
            </w:pPr>
            <w:r>
              <w:rPr>
                <w:noProof/>
              </w:rPr>
              <w:drawing>
                <wp:inline distT="0" distB="0" distL="0" distR="0" wp14:anchorId="75D973B5" wp14:editId="4634AC5F">
                  <wp:extent cx="2579166" cy="2681785"/>
                  <wp:effectExtent l="0" t="0" r="0" b="4445"/>
                  <wp:docPr id="61" name="Picture 61"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If you need help accessing or reading this diagram, please contact the ACMA's Customer Service Centre by phone on 1300 850 115 or by email at info@acma.gov.au"/>
                          <pic:cNvPicPr/>
                        </pic:nvPicPr>
                        <pic:blipFill>
                          <a:blip r:embed="rId76"/>
                          <a:stretch>
                            <a:fillRect/>
                          </a:stretch>
                        </pic:blipFill>
                        <pic:spPr>
                          <a:xfrm>
                            <a:off x="0" y="0"/>
                            <a:ext cx="2594241" cy="2697459"/>
                          </a:xfrm>
                          <a:prstGeom prst="rect">
                            <a:avLst/>
                          </a:prstGeom>
                        </pic:spPr>
                      </pic:pic>
                    </a:graphicData>
                  </a:graphic>
                </wp:inline>
              </w:drawing>
            </w:r>
          </w:p>
        </w:tc>
        <w:tc>
          <w:tcPr>
            <w:tcW w:w="4702" w:type="dxa"/>
          </w:tcPr>
          <w:p w14:paraId="602AAF77" w14:textId="31FF61F3" w:rsidR="00AE4770" w:rsidRDefault="00C121C5" w:rsidP="00CC30A0">
            <w:pPr>
              <w:pStyle w:val="Paragraph"/>
              <w:spacing w:after="0"/>
            </w:pPr>
            <w:r>
              <w:rPr>
                <w:noProof/>
              </w:rPr>
              <w:drawing>
                <wp:inline distT="0" distB="0" distL="0" distR="0" wp14:anchorId="2D5D7534" wp14:editId="165C4BD2">
                  <wp:extent cx="2374710" cy="2659675"/>
                  <wp:effectExtent l="0" t="0" r="6985" b="7620"/>
                  <wp:docPr id="62" name="Picture 62"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If you need help accessing or reading this diagram, please contact the ACMA's Customer Service Centre by phone on 1300 850 115 or by email at info@acma.gov.au"/>
                          <pic:cNvPicPr/>
                        </pic:nvPicPr>
                        <pic:blipFill>
                          <a:blip r:embed="rId77"/>
                          <a:stretch>
                            <a:fillRect/>
                          </a:stretch>
                        </pic:blipFill>
                        <pic:spPr>
                          <a:xfrm>
                            <a:off x="0" y="0"/>
                            <a:ext cx="2398493" cy="2686312"/>
                          </a:xfrm>
                          <a:prstGeom prst="rect">
                            <a:avLst/>
                          </a:prstGeom>
                        </pic:spPr>
                      </pic:pic>
                    </a:graphicData>
                  </a:graphic>
                </wp:inline>
              </w:drawing>
            </w:r>
          </w:p>
        </w:tc>
      </w:tr>
      <w:tr w:rsidR="001B29B7" w14:paraId="2064560C" w14:textId="77777777" w:rsidTr="00F734D4">
        <w:tc>
          <w:tcPr>
            <w:tcW w:w="3945" w:type="dxa"/>
          </w:tcPr>
          <w:p w14:paraId="1D54EB21" w14:textId="5A6DD935" w:rsidR="00AE4770" w:rsidRDefault="00CC30A0" w:rsidP="00AE4770">
            <w:pPr>
              <w:pStyle w:val="Paragraph"/>
            </w:pPr>
            <w:r>
              <w:rPr>
                <w:noProof/>
              </w:rPr>
              <w:drawing>
                <wp:inline distT="0" distB="0" distL="0" distR="0" wp14:anchorId="4332B6DF" wp14:editId="58B5C3D2">
                  <wp:extent cx="2552131" cy="2572386"/>
                  <wp:effectExtent l="0" t="0" r="635" b="0"/>
                  <wp:docPr id="63" name="Picture 63"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If you need help accessing or reading this diagram, please contact the ACMA's Customer Service Centre by phone on 1300 850 115 or by email at info@acma.gov.au"/>
                          <pic:cNvPicPr/>
                        </pic:nvPicPr>
                        <pic:blipFill>
                          <a:blip r:embed="rId78"/>
                          <a:stretch>
                            <a:fillRect/>
                          </a:stretch>
                        </pic:blipFill>
                        <pic:spPr>
                          <a:xfrm>
                            <a:off x="0" y="0"/>
                            <a:ext cx="2563327" cy="2583671"/>
                          </a:xfrm>
                          <a:prstGeom prst="rect">
                            <a:avLst/>
                          </a:prstGeom>
                        </pic:spPr>
                      </pic:pic>
                    </a:graphicData>
                  </a:graphic>
                </wp:inline>
              </w:drawing>
            </w:r>
          </w:p>
        </w:tc>
        <w:tc>
          <w:tcPr>
            <w:tcW w:w="4702" w:type="dxa"/>
          </w:tcPr>
          <w:p w14:paraId="5DCD19D1" w14:textId="18D51746" w:rsidR="00AE4770" w:rsidRDefault="001B29B7" w:rsidP="00AE4770">
            <w:pPr>
              <w:pStyle w:val="Paragraph"/>
            </w:pPr>
            <w:r>
              <w:rPr>
                <w:noProof/>
              </w:rPr>
              <w:drawing>
                <wp:inline distT="0" distB="0" distL="0" distR="0" wp14:anchorId="41EAA5E8" wp14:editId="015A93FE">
                  <wp:extent cx="2374710" cy="2586251"/>
                  <wp:effectExtent l="0" t="0" r="6985" b="5080"/>
                  <wp:docPr id="192" name="Picture 192"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If you need help accessing or reading this diagram, please contact the ACMA's Customer Service Centre by phone on 1300 850 115 or by email at info@acma.gov.au"/>
                          <pic:cNvPicPr/>
                        </pic:nvPicPr>
                        <pic:blipFill>
                          <a:blip r:embed="rId79"/>
                          <a:stretch>
                            <a:fillRect/>
                          </a:stretch>
                        </pic:blipFill>
                        <pic:spPr>
                          <a:xfrm>
                            <a:off x="0" y="0"/>
                            <a:ext cx="2401706" cy="2615652"/>
                          </a:xfrm>
                          <a:prstGeom prst="rect">
                            <a:avLst/>
                          </a:prstGeom>
                        </pic:spPr>
                      </pic:pic>
                    </a:graphicData>
                  </a:graphic>
                </wp:inline>
              </w:drawing>
            </w:r>
          </w:p>
        </w:tc>
      </w:tr>
      <w:tr w:rsidR="001B29B7" w14:paraId="04F09905" w14:textId="77777777" w:rsidTr="00F734D4">
        <w:tc>
          <w:tcPr>
            <w:tcW w:w="3945" w:type="dxa"/>
          </w:tcPr>
          <w:p w14:paraId="4445CC25" w14:textId="6AC3E5A5" w:rsidR="00AE4770" w:rsidRDefault="002E23C3" w:rsidP="00AE4770">
            <w:pPr>
              <w:pStyle w:val="Paragraph"/>
            </w:pPr>
            <w:r>
              <w:rPr>
                <w:noProof/>
              </w:rPr>
              <w:drawing>
                <wp:inline distT="0" distB="0" distL="0" distR="0" wp14:anchorId="784DE48C" wp14:editId="5DB49B9A">
                  <wp:extent cx="2517682" cy="2913797"/>
                  <wp:effectExtent l="0" t="0" r="0" b="1270"/>
                  <wp:docPr id="193" name="Picture 193"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If you need help accessing or reading this diagram, please contact the ACMA's Customer Service Centre by phone on 1300 850 115 or by email at info@acma.gov.au"/>
                          <pic:cNvPicPr/>
                        </pic:nvPicPr>
                        <pic:blipFill>
                          <a:blip r:embed="rId80"/>
                          <a:stretch>
                            <a:fillRect/>
                          </a:stretch>
                        </pic:blipFill>
                        <pic:spPr>
                          <a:xfrm>
                            <a:off x="0" y="0"/>
                            <a:ext cx="2525197" cy="2922494"/>
                          </a:xfrm>
                          <a:prstGeom prst="rect">
                            <a:avLst/>
                          </a:prstGeom>
                        </pic:spPr>
                      </pic:pic>
                    </a:graphicData>
                  </a:graphic>
                </wp:inline>
              </w:drawing>
            </w:r>
          </w:p>
        </w:tc>
        <w:tc>
          <w:tcPr>
            <w:tcW w:w="4702" w:type="dxa"/>
          </w:tcPr>
          <w:p w14:paraId="44B593B6" w14:textId="4D108243" w:rsidR="00AE4770" w:rsidRDefault="008012B9" w:rsidP="00AE4770">
            <w:pPr>
              <w:pStyle w:val="Paragraph"/>
            </w:pPr>
            <w:r>
              <w:rPr>
                <w:noProof/>
              </w:rPr>
              <w:drawing>
                <wp:inline distT="0" distB="0" distL="0" distR="0" wp14:anchorId="0D622EAB" wp14:editId="101AD019">
                  <wp:extent cx="2312008" cy="2900150"/>
                  <wp:effectExtent l="0" t="0" r="0" b="0"/>
                  <wp:docPr id="194" name="Picture 194"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If you need help accessing or reading this diagram, please contact the ACMA's Customer Service Centre by phone on 1300 850 115 or by email at info@acma.gov.au"/>
                          <pic:cNvPicPr/>
                        </pic:nvPicPr>
                        <pic:blipFill>
                          <a:blip r:embed="rId81"/>
                          <a:stretch>
                            <a:fillRect/>
                          </a:stretch>
                        </pic:blipFill>
                        <pic:spPr>
                          <a:xfrm>
                            <a:off x="0" y="0"/>
                            <a:ext cx="2318870" cy="2908757"/>
                          </a:xfrm>
                          <a:prstGeom prst="rect">
                            <a:avLst/>
                          </a:prstGeom>
                        </pic:spPr>
                      </pic:pic>
                    </a:graphicData>
                  </a:graphic>
                </wp:inline>
              </w:drawing>
            </w:r>
          </w:p>
        </w:tc>
      </w:tr>
    </w:tbl>
    <w:p w14:paraId="0536A467" w14:textId="440645E4" w:rsidR="00A4575F" w:rsidRDefault="00A4575F" w:rsidP="003B4857">
      <w:pPr>
        <w:pStyle w:val="Heading3"/>
      </w:pPr>
      <w:r>
        <w:t>Earth station protection zone</w:t>
      </w:r>
      <w:r w:rsidR="0096742D">
        <w:t>s</w:t>
      </w:r>
    </w:p>
    <w:p w14:paraId="38C6EECC" w14:textId="7AC8C785" w:rsidR="005C51F5" w:rsidRDefault="0084463C" w:rsidP="00CB7124">
      <w:pPr>
        <w:pStyle w:val="Paragraph"/>
      </w:pPr>
      <w:r>
        <w:t>Some d</w:t>
      </w:r>
      <w:r w:rsidR="00EE5B31">
        <w:t xml:space="preserve">efined </w:t>
      </w:r>
      <w:r w:rsidR="00FC1A9F">
        <w:t>ESPZs</w:t>
      </w:r>
      <w:r w:rsidR="00E44573">
        <w:t xml:space="preserve"> </w:t>
      </w:r>
      <w:r w:rsidR="00AA0ED1">
        <w:t>are not included in</w:t>
      </w:r>
      <w:r w:rsidR="00E44573">
        <w:t xml:space="preserve"> the geographic</w:t>
      </w:r>
      <w:r w:rsidR="00EA499A">
        <w:t xml:space="preserve"> areas proposed for re-allocation</w:t>
      </w:r>
      <w:r w:rsidR="000D0B07">
        <w:t>.</w:t>
      </w:r>
      <w:r w:rsidR="00F80590">
        <w:t xml:space="preserve"> This</w:t>
      </w:r>
      <w:r w:rsidR="00E032D9">
        <w:t xml:space="preserve"> is to</w:t>
      </w:r>
      <w:r w:rsidR="00F80590">
        <w:t xml:space="preserve"> preserve options for the use of these areas to support</w:t>
      </w:r>
      <w:r w:rsidR="0078457D">
        <w:t xml:space="preserve"> satellite service</w:t>
      </w:r>
      <w:r w:rsidR="00473697">
        <w:t>s</w:t>
      </w:r>
      <w:r w:rsidR="005C51F5">
        <w:t>.</w:t>
      </w:r>
      <w:r w:rsidR="009E136C" w:rsidRPr="003B4857">
        <w:t xml:space="preserve"> </w:t>
      </w:r>
      <w:r w:rsidR="005C51F5">
        <w:t>S</w:t>
      </w:r>
      <w:r w:rsidR="00041293">
        <w:t xml:space="preserve">imilar </w:t>
      </w:r>
      <w:r w:rsidR="005C51F5">
        <w:t xml:space="preserve">arrangements were made as part of </w:t>
      </w:r>
      <w:r w:rsidR="009E136C" w:rsidRPr="003B4857">
        <w:t xml:space="preserve">the 3.6 GHz band allocation. </w:t>
      </w:r>
    </w:p>
    <w:p w14:paraId="27FE81BB" w14:textId="732AA3B9" w:rsidR="007D3C93" w:rsidRDefault="00CC5C65" w:rsidP="00CB7124">
      <w:pPr>
        <w:pStyle w:val="Paragraph"/>
      </w:pPr>
      <w:r>
        <w:t xml:space="preserve">ESPZs are defined in </w:t>
      </w:r>
      <w:hyperlink r:id="rId82" w:history="1">
        <w:r w:rsidRPr="004147A8">
          <w:rPr>
            <w:rStyle w:val="Hyperlink"/>
          </w:rPr>
          <w:t>RALI MS44</w:t>
        </w:r>
        <w:r w:rsidR="000E78F4" w:rsidRPr="004147A8">
          <w:rPr>
            <w:rStyle w:val="Hyperlink"/>
          </w:rPr>
          <w:t xml:space="preserve"> </w:t>
        </w:r>
        <w:r w:rsidR="000E78F4" w:rsidRPr="00587221">
          <w:rPr>
            <w:rStyle w:val="Hyperlink"/>
            <w:iCs/>
          </w:rPr>
          <w:t>Frequency coordination procedures for the earth station protection zones</w:t>
        </w:r>
      </w:hyperlink>
      <w:r w:rsidR="00990CB1">
        <w:t xml:space="preserve">. </w:t>
      </w:r>
      <w:r w:rsidR="00A93303">
        <w:t>The</w:t>
      </w:r>
      <w:r w:rsidR="005A656C">
        <w:t xml:space="preserve"> ESPZs of </w:t>
      </w:r>
      <w:r w:rsidR="00035C3B">
        <w:t xml:space="preserve">Moree, Quirindi, Roma and Uralla fall within </w:t>
      </w:r>
      <w:r w:rsidR="00F00B91">
        <w:t xml:space="preserve">the </w:t>
      </w:r>
      <w:r w:rsidR="00035C3B">
        <w:t>areas proposed for re-allocation</w:t>
      </w:r>
      <w:r w:rsidR="00F00B91">
        <w:t xml:space="preserve"> in the </w:t>
      </w:r>
      <w:r w:rsidR="006453EC">
        <w:t xml:space="preserve">regional </w:t>
      </w:r>
      <w:r w:rsidR="00F00B91">
        <w:t xml:space="preserve">3.4 GHz </w:t>
      </w:r>
      <w:r w:rsidR="006453EC">
        <w:t xml:space="preserve">band </w:t>
      </w:r>
      <w:r w:rsidR="00F00B91">
        <w:t>and 3.7 GHz band</w:t>
      </w:r>
      <w:r w:rsidR="00035C3B">
        <w:t xml:space="preserve">. </w:t>
      </w:r>
      <w:r w:rsidR="005F232A" w:rsidRPr="00582F59">
        <w:t xml:space="preserve">Figure </w:t>
      </w:r>
      <w:r w:rsidR="00F70526" w:rsidRPr="00582F59">
        <w:t>14</w:t>
      </w:r>
      <w:r w:rsidR="005F232A" w:rsidRPr="00582F59">
        <w:t xml:space="preserve"> </w:t>
      </w:r>
      <w:r w:rsidR="00FE1F16">
        <w:t>illustrates</w:t>
      </w:r>
      <w:r w:rsidR="007D60DB">
        <w:t xml:space="preserve"> the</w:t>
      </w:r>
      <w:r w:rsidR="00035C3B">
        <w:t>se</w:t>
      </w:r>
      <w:r w:rsidR="007D60DB">
        <w:t xml:space="preserve"> </w:t>
      </w:r>
      <w:r w:rsidR="00F71945">
        <w:t>ESPZs</w:t>
      </w:r>
      <w:r w:rsidR="005B4E3B">
        <w:t>.</w:t>
      </w:r>
      <w:r w:rsidR="0069579B">
        <w:t xml:space="preserve"> </w:t>
      </w:r>
    </w:p>
    <w:p w14:paraId="391EDD5D" w14:textId="3C25B2BA" w:rsidR="005C59DA" w:rsidRDefault="00F249B0" w:rsidP="005B4E3B">
      <w:pPr>
        <w:pStyle w:val="Paragraphbeforelist"/>
      </w:pPr>
      <w:r>
        <w:t>We propose to exclude</w:t>
      </w:r>
      <w:r w:rsidR="007F6238">
        <w:t xml:space="preserve"> </w:t>
      </w:r>
      <w:r w:rsidR="0063688B">
        <w:t xml:space="preserve">the following </w:t>
      </w:r>
      <w:r w:rsidR="007F6238">
        <w:t xml:space="preserve">ESPZs </w:t>
      </w:r>
      <w:r w:rsidR="00C179E5">
        <w:t>from our re-allocation declaration</w:t>
      </w:r>
      <w:r w:rsidR="00F00B91">
        <w:t>:</w:t>
      </w:r>
    </w:p>
    <w:p w14:paraId="113D1FB9" w14:textId="497ACAED" w:rsidR="00C63BBC" w:rsidRPr="001E4379" w:rsidRDefault="00CC3714" w:rsidP="005B4E3B">
      <w:pPr>
        <w:pStyle w:val="Bulletlevel1"/>
      </w:pPr>
      <w:r>
        <w:t>r</w:t>
      </w:r>
      <w:r w:rsidR="00E6509B">
        <w:t xml:space="preserve">egional </w:t>
      </w:r>
      <w:r w:rsidR="00CF21F1">
        <w:t>3.4 GHz</w:t>
      </w:r>
      <w:r w:rsidR="00BC2E90">
        <w:t>:</w:t>
      </w:r>
      <w:r w:rsidR="00D77583">
        <w:t xml:space="preserve"> </w:t>
      </w:r>
      <w:r w:rsidR="00774B5A">
        <w:t>Moree, Roma and Uralla</w:t>
      </w:r>
    </w:p>
    <w:p w14:paraId="70F6C94E" w14:textId="405B54F2" w:rsidR="00C63BBC" w:rsidRPr="001E4379" w:rsidRDefault="00CF21F1" w:rsidP="005B4E3B">
      <w:pPr>
        <w:pStyle w:val="Bulletlevel1last"/>
      </w:pPr>
      <w:r>
        <w:t>3.7 GHz</w:t>
      </w:r>
      <w:r w:rsidR="007A32F9">
        <w:t>:</w:t>
      </w:r>
      <w:r w:rsidR="00774B5A">
        <w:t xml:space="preserve"> Moree, Quirindi, Roma and Uralla</w:t>
      </w:r>
      <w:r w:rsidR="001B199C">
        <w:t>.</w:t>
      </w:r>
    </w:p>
    <w:p w14:paraId="016922C4" w14:textId="15DFEEF6" w:rsidR="00C63BBC" w:rsidRDefault="0063688B" w:rsidP="00CB7124">
      <w:pPr>
        <w:pStyle w:val="Paragraph"/>
      </w:pPr>
      <w:r>
        <w:t xml:space="preserve">The </w:t>
      </w:r>
      <w:r w:rsidR="0099554B">
        <w:t>Quirindi</w:t>
      </w:r>
      <w:r>
        <w:t xml:space="preserve"> ESPZ is not included in the</w:t>
      </w:r>
      <w:r w:rsidR="00E6509B">
        <w:t xml:space="preserve"> regional</w:t>
      </w:r>
      <w:r>
        <w:t xml:space="preserve"> </w:t>
      </w:r>
      <w:r w:rsidR="006F787C">
        <w:t>3.4 GHz</w:t>
      </w:r>
      <w:r>
        <w:t xml:space="preserve"> band as it is </w:t>
      </w:r>
      <w:r w:rsidR="00976D6E">
        <w:t xml:space="preserve">already </w:t>
      </w:r>
      <w:r>
        <w:t xml:space="preserve">either completely or mostly subject to </w:t>
      </w:r>
      <w:r w:rsidR="004E726D">
        <w:t>spectrum licensing</w:t>
      </w:r>
      <w:r w:rsidR="001B199C">
        <w:t xml:space="preserve"> in adjacent </w:t>
      </w:r>
      <w:r w:rsidR="00126D70">
        <w:t>frequency ranges</w:t>
      </w:r>
      <w:r w:rsidR="004E726D">
        <w:t>.</w:t>
      </w:r>
      <w:r w:rsidR="002F6B48">
        <w:t xml:space="preserve"> </w:t>
      </w:r>
      <w:r w:rsidR="00DA6ACA">
        <w:t xml:space="preserve">For this </w:t>
      </w:r>
      <w:r w:rsidR="00CC3714">
        <w:t>reason,</w:t>
      </w:r>
      <w:r w:rsidR="00DA6ACA">
        <w:t xml:space="preserve"> it is only proposed </w:t>
      </w:r>
      <w:r w:rsidR="00EF27FB">
        <w:t>to be excise</w:t>
      </w:r>
      <w:r w:rsidR="00E50561">
        <w:t>d</w:t>
      </w:r>
      <w:r w:rsidR="007655F4">
        <w:t xml:space="preserve"> from th</w:t>
      </w:r>
      <w:r w:rsidR="00F00B91">
        <w:t>e</w:t>
      </w:r>
      <w:r w:rsidR="007655F4">
        <w:t xml:space="preserve"> </w:t>
      </w:r>
      <w:r w:rsidR="00E6509B">
        <w:t>3.7 GHz band</w:t>
      </w:r>
      <w:r w:rsidR="007655F4">
        <w:t xml:space="preserve"> </w:t>
      </w:r>
      <w:r w:rsidR="00F00B91">
        <w:t xml:space="preserve">portion of the re-allocation declaration. </w:t>
      </w:r>
      <w:r w:rsidR="004E726D">
        <w:t xml:space="preserve"> </w:t>
      </w:r>
    </w:p>
    <w:p w14:paraId="49B08E05" w14:textId="59283A8C" w:rsidR="001D3725" w:rsidRDefault="001D3725" w:rsidP="001D3725">
      <w:pPr>
        <w:pStyle w:val="Figureheading"/>
      </w:pPr>
      <w:r>
        <w:t>Indicative map of ESPZs (</w:t>
      </w:r>
      <w:r w:rsidR="00CC3714">
        <w:t>t</w:t>
      </w:r>
      <w:r w:rsidR="00FE7A6B">
        <w:t>op to bottom</w:t>
      </w:r>
      <w:r w:rsidR="006D6535">
        <w:t xml:space="preserve">: Roma, </w:t>
      </w:r>
      <w:r w:rsidR="00515DA2">
        <w:t>Moree, Uralla, Quirindi)</w:t>
      </w:r>
    </w:p>
    <w:p w14:paraId="33E15DA6" w14:textId="22C65B5D" w:rsidR="008D1312" w:rsidRDefault="008D1312" w:rsidP="00CB7124">
      <w:pPr>
        <w:pStyle w:val="Paragraph"/>
      </w:pPr>
      <w:r>
        <w:rPr>
          <w:noProof/>
        </w:rPr>
        <w:drawing>
          <wp:inline distT="0" distB="0" distL="0" distR="0" wp14:anchorId="4A79B5E1" wp14:editId="28B45603">
            <wp:extent cx="4871085" cy="4429760"/>
            <wp:effectExtent l="0" t="0" r="5715" b="8890"/>
            <wp:docPr id="8" name="Picture 8"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f you need help accessing or reading this diagram, please contact the ACMA's Customer Service Centre by phone on 1300 850 115 or by email at info@acma.gov.au"/>
                    <pic:cNvPicPr/>
                  </pic:nvPicPr>
                  <pic:blipFill>
                    <a:blip r:embed="rId83"/>
                    <a:stretch>
                      <a:fillRect/>
                    </a:stretch>
                  </pic:blipFill>
                  <pic:spPr>
                    <a:xfrm>
                      <a:off x="0" y="0"/>
                      <a:ext cx="4871085" cy="4429760"/>
                    </a:xfrm>
                    <a:prstGeom prst="rect">
                      <a:avLst/>
                    </a:prstGeom>
                  </pic:spPr>
                </pic:pic>
              </a:graphicData>
            </a:graphic>
          </wp:inline>
        </w:drawing>
      </w:r>
    </w:p>
    <w:p w14:paraId="67CA6D19" w14:textId="70E204A3" w:rsidR="00B45B13" w:rsidRDefault="00A34432" w:rsidP="00B45B13">
      <w:pPr>
        <w:pStyle w:val="Heading2"/>
      </w:pPr>
      <w:bookmarkStart w:id="42" w:name="_Toc96940991"/>
      <w:r>
        <w:t>P</w:t>
      </w:r>
      <w:r w:rsidR="00B45B13">
        <w:t xml:space="preserve">arts of the spectrum </w:t>
      </w:r>
      <w:r>
        <w:t xml:space="preserve">proposed </w:t>
      </w:r>
      <w:r w:rsidR="00B45B13">
        <w:t>for re-allocation</w:t>
      </w:r>
      <w:bookmarkEnd w:id="42"/>
    </w:p>
    <w:p w14:paraId="66D8504E" w14:textId="757F455C" w:rsidR="00A4746F" w:rsidRDefault="001E3CDF" w:rsidP="001E3CDF">
      <w:r>
        <w:t xml:space="preserve">Spectrum in </w:t>
      </w:r>
      <w:r w:rsidR="009573BA">
        <w:t xml:space="preserve">the </w:t>
      </w:r>
      <w:r>
        <w:t>3400</w:t>
      </w:r>
      <w:r w:rsidR="00CC3714" w:rsidRPr="001E4379">
        <w:t>–</w:t>
      </w:r>
      <w:r>
        <w:t xml:space="preserve">3800 MHz frequency range is regarded as </w:t>
      </w:r>
      <w:r w:rsidR="00DC14D2">
        <w:t>important</w:t>
      </w:r>
      <w:r w:rsidR="001A611E">
        <w:t xml:space="preserve"> </w:t>
      </w:r>
      <w:r>
        <w:t xml:space="preserve">mid-band spectrum for 5G deployments and significant work has been done internationally to harmonise it for 5G use. </w:t>
      </w:r>
    </w:p>
    <w:p w14:paraId="009272DF" w14:textId="13824D69" w:rsidR="001E3CDF" w:rsidRDefault="001E3CDF" w:rsidP="001E3CDF">
      <w:r>
        <w:t>We therefore consider it is appropriate to allocate spectrum licences for WBB use in this frequency range in areas where we consider there will be high demand for WBB services. Declaring the 3.4 GHz and the 3.7 GHz band</w:t>
      </w:r>
      <w:r w:rsidR="00E6509B">
        <w:t>s</w:t>
      </w:r>
      <w:r>
        <w:t xml:space="preserve"> for re</w:t>
      </w:r>
      <w:r>
        <w:noBreakHyphen/>
        <w:t xml:space="preserve">allocation by issuing spectrum licences will consolidate spectrum licence </w:t>
      </w:r>
      <w:r w:rsidR="004F6A77">
        <w:t>arrangements</w:t>
      </w:r>
      <w:r w:rsidR="00C67587">
        <w:t xml:space="preserve"> </w:t>
      </w:r>
      <w:r>
        <w:t>in th</w:t>
      </w:r>
      <w:r w:rsidR="004F6A77">
        <w:t>e</w:t>
      </w:r>
      <w:r>
        <w:t xml:space="preserve"> </w:t>
      </w:r>
      <w:r w:rsidR="004F6A77">
        <w:t>broader 3400</w:t>
      </w:r>
      <w:r w:rsidR="00CC3714" w:rsidRPr="001E4379">
        <w:t>–</w:t>
      </w:r>
      <w:r w:rsidR="004F6A77">
        <w:t xml:space="preserve">3800 MHz </w:t>
      </w:r>
      <w:r>
        <w:t xml:space="preserve">band. </w:t>
      </w:r>
    </w:p>
    <w:p w14:paraId="5320FDB5" w14:textId="3D8347D8" w:rsidR="00DF4EFA" w:rsidRDefault="00DF4EFA" w:rsidP="00DF4EFA">
      <w:pPr>
        <w:pStyle w:val="Paragraphbeforelist"/>
      </w:pPr>
      <w:r>
        <w:t xml:space="preserve">Subject to this consultation, we propose to </w:t>
      </w:r>
      <w:r w:rsidR="005B20CE">
        <w:t>re-</w:t>
      </w:r>
      <w:r>
        <w:t>allocate the following spectrum:</w:t>
      </w:r>
    </w:p>
    <w:p w14:paraId="19D76E3C" w14:textId="2DE74375" w:rsidR="00585CE0" w:rsidRPr="001E4379" w:rsidRDefault="00585CE0" w:rsidP="00585CE0">
      <w:pPr>
        <w:pStyle w:val="Bulletlevel1"/>
      </w:pPr>
      <w:r w:rsidRPr="001E4379">
        <w:t>75 MHz (3400</w:t>
      </w:r>
      <w:bookmarkStart w:id="43" w:name="_Hlk96088292"/>
      <w:r w:rsidRPr="001E4379">
        <w:t>–</w:t>
      </w:r>
      <w:bookmarkEnd w:id="43"/>
      <w:r w:rsidRPr="001E4379">
        <w:t>3475 MHz) in urban excise area</w:t>
      </w:r>
      <w:r w:rsidR="00CF61E9">
        <w:t>s</w:t>
      </w:r>
    </w:p>
    <w:p w14:paraId="78ACAB8A" w14:textId="03BC9E87" w:rsidR="00585CE0" w:rsidRPr="001E4379" w:rsidRDefault="00585CE0" w:rsidP="00585CE0">
      <w:pPr>
        <w:pStyle w:val="Bulletlevel1"/>
      </w:pPr>
      <w:r w:rsidRPr="001E4379">
        <w:t>42.5 MHz (3400–3442.5 MHz) in regional area 1</w:t>
      </w:r>
    </w:p>
    <w:p w14:paraId="133DD2BC" w14:textId="1CBE0FFA" w:rsidR="00585CE0" w:rsidRPr="001E4379" w:rsidRDefault="00585CE0" w:rsidP="00585CE0">
      <w:pPr>
        <w:pStyle w:val="Bulletlevel1"/>
      </w:pPr>
      <w:r w:rsidRPr="001E4379">
        <w:t>25 MHz (3400–3425 MHz) in major regional centres</w:t>
      </w:r>
      <w:r w:rsidR="00D412BD">
        <w:t xml:space="preserve"> 2</w:t>
      </w:r>
    </w:p>
    <w:p w14:paraId="45CA24AD" w14:textId="1843182A" w:rsidR="00585CE0" w:rsidRPr="001E4379" w:rsidRDefault="00585CE0" w:rsidP="00585CE0">
      <w:pPr>
        <w:pStyle w:val="Bulletlevel1"/>
      </w:pPr>
      <w:r w:rsidRPr="001E4379">
        <w:t>67.5 MHz (3475–3542.5 MHz) in regional area 1</w:t>
      </w:r>
    </w:p>
    <w:p w14:paraId="76EDEB65" w14:textId="20F0372D" w:rsidR="00585CE0" w:rsidRPr="001E4379" w:rsidRDefault="00585CE0" w:rsidP="00585CE0">
      <w:pPr>
        <w:pStyle w:val="Bulletlevel1"/>
      </w:pPr>
      <w:r w:rsidRPr="001E4379">
        <w:t xml:space="preserve">35 MHz (3475–3510 </w:t>
      </w:r>
      <w:r>
        <w:t>M</w:t>
      </w:r>
      <w:r w:rsidRPr="001E4379">
        <w:t>Hz) in regional area 2</w:t>
      </w:r>
    </w:p>
    <w:p w14:paraId="206C66C6" w14:textId="71932388" w:rsidR="00585CE0" w:rsidRPr="001E4379" w:rsidRDefault="00585CE0" w:rsidP="00585CE0">
      <w:pPr>
        <w:pStyle w:val="Bulletlevel1"/>
      </w:pPr>
      <w:r w:rsidRPr="001E4379">
        <w:t xml:space="preserve">50 MHz (3492.5–3542.5 </w:t>
      </w:r>
      <w:r>
        <w:t>M</w:t>
      </w:r>
      <w:r w:rsidRPr="001E4379">
        <w:t>Hz) in major regional centres</w:t>
      </w:r>
      <w:r w:rsidR="00D412BD">
        <w:t xml:space="preserve"> </w:t>
      </w:r>
      <w:r w:rsidR="00C07EAC">
        <w:t>2</w:t>
      </w:r>
    </w:p>
    <w:p w14:paraId="79AF6EC0" w14:textId="5A9ABF08" w:rsidR="00585CE0" w:rsidRPr="001E4379" w:rsidRDefault="004C1ED2" w:rsidP="00585CE0">
      <w:pPr>
        <w:pStyle w:val="Bulletlevel1"/>
      </w:pPr>
      <w:r>
        <w:t>100</w:t>
      </w:r>
      <w:r w:rsidR="00585CE0" w:rsidRPr="001E4379">
        <w:t xml:space="preserve"> MHz (3</w:t>
      </w:r>
      <w:r>
        <w:t>475</w:t>
      </w:r>
      <w:r w:rsidR="005B4E3B" w:rsidRPr="001E4379">
        <w:t>–</w:t>
      </w:r>
      <w:r w:rsidR="00585CE0" w:rsidRPr="001E4379">
        <w:t xml:space="preserve">3575 </w:t>
      </w:r>
      <w:r w:rsidR="00585CE0">
        <w:t>M</w:t>
      </w:r>
      <w:r w:rsidR="00585CE0" w:rsidRPr="001E4379">
        <w:t xml:space="preserve">Hz) in regional Western Australia </w:t>
      </w:r>
      <w:r>
        <w:t>central</w:t>
      </w:r>
    </w:p>
    <w:p w14:paraId="5A38BE20" w14:textId="3F9C3392" w:rsidR="00585CE0" w:rsidRPr="001E4379" w:rsidRDefault="00585CE0" w:rsidP="00587221">
      <w:pPr>
        <w:pStyle w:val="Bulletlevel1"/>
        <w:keepNext/>
      </w:pPr>
      <w:r w:rsidRPr="001E4379">
        <w:t xml:space="preserve">50 MHz (3700–3750 </w:t>
      </w:r>
      <w:r>
        <w:t>M</w:t>
      </w:r>
      <w:r w:rsidRPr="001E4379">
        <w:t xml:space="preserve">Hz) in </w:t>
      </w:r>
      <w:r w:rsidR="004C1ED2">
        <w:t xml:space="preserve">all </w:t>
      </w:r>
      <w:r w:rsidRPr="001E4379">
        <w:t>regional areas</w:t>
      </w:r>
      <w:r w:rsidR="009C0F87">
        <w:t xml:space="preserve"> </w:t>
      </w:r>
    </w:p>
    <w:p w14:paraId="62E73740" w14:textId="1AC22D27" w:rsidR="00585CE0" w:rsidRDefault="00585CE0" w:rsidP="00587221">
      <w:pPr>
        <w:pStyle w:val="ListBulletLast"/>
        <w:keepNext/>
      </w:pPr>
      <w:r w:rsidRPr="001E4379">
        <w:t>100</w:t>
      </w:r>
      <w:r w:rsidRPr="005E7B66">
        <w:t xml:space="preserve"> MHz (</w:t>
      </w:r>
      <w:r w:rsidRPr="001E4379">
        <w:t>3700–</w:t>
      </w:r>
      <w:r w:rsidRPr="005E7B66">
        <w:t xml:space="preserve">3800 </w:t>
      </w:r>
      <w:r>
        <w:t>M</w:t>
      </w:r>
      <w:r w:rsidRPr="005E7B66">
        <w:t>Hz) in metropolitan areas</w:t>
      </w:r>
      <w:r w:rsidR="009C0F87">
        <w:t xml:space="preserve"> (including Hobart)</w:t>
      </w:r>
      <w:r w:rsidRPr="001E4379">
        <w:t>.</w:t>
      </w:r>
    </w:p>
    <w:p w14:paraId="3360EF49" w14:textId="5561F454" w:rsidR="003603AE" w:rsidRPr="00B23DC5" w:rsidRDefault="001E3CDF" w:rsidP="00584BA6">
      <w:r>
        <w:t>As a result</w:t>
      </w:r>
      <w:r w:rsidR="00BF6A65">
        <w:t xml:space="preserve"> of the proposed re-allocation declaration</w:t>
      </w:r>
      <w:r w:rsidR="003603AE">
        <w:t xml:space="preserve">, </w:t>
      </w:r>
      <w:r w:rsidR="00FF034B">
        <w:t xml:space="preserve">the combined total </w:t>
      </w:r>
      <w:r w:rsidR="00545260">
        <w:t>area covered by</w:t>
      </w:r>
      <w:r w:rsidR="00FF034B">
        <w:t xml:space="preserve"> existing </w:t>
      </w:r>
      <w:r w:rsidR="0029401E">
        <w:t>and proposed spectrum licen</w:t>
      </w:r>
      <w:r w:rsidR="1B7D08CA">
        <w:t>c</w:t>
      </w:r>
      <w:r w:rsidR="00D703B6">
        <w:t>es</w:t>
      </w:r>
      <w:r w:rsidR="0029401E">
        <w:t xml:space="preserve"> across the </w:t>
      </w:r>
      <w:r w:rsidR="00F54A8D">
        <w:t>frequency range</w:t>
      </w:r>
      <w:r w:rsidR="0029401E">
        <w:t xml:space="preserve"> 3400</w:t>
      </w:r>
      <w:r w:rsidR="00CC3714" w:rsidRPr="001E4379">
        <w:t>–</w:t>
      </w:r>
      <w:r w:rsidR="0029401E">
        <w:t>3750</w:t>
      </w:r>
      <w:r w:rsidR="00F54A8D">
        <w:t> </w:t>
      </w:r>
      <w:r w:rsidR="0029401E">
        <w:t>MHz is</w:t>
      </w:r>
      <w:r w:rsidR="00545260">
        <w:t xml:space="preserve"> </w:t>
      </w:r>
      <w:r w:rsidR="00545260" w:rsidRPr="00582F59">
        <w:t>shown</w:t>
      </w:r>
      <w:r w:rsidR="003603AE" w:rsidRPr="00582F59">
        <w:t xml:space="preserve"> in Figure </w:t>
      </w:r>
      <w:r w:rsidR="00906C87" w:rsidRPr="00582F59">
        <w:t>15</w:t>
      </w:r>
      <w:r w:rsidR="00D703B6">
        <w:t>.</w:t>
      </w:r>
      <w:r w:rsidR="00D91D0C">
        <w:t xml:space="preserve"> </w:t>
      </w:r>
      <w:r w:rsidR="004B22BE">
        <w:t>We</w:t>
      </w:r>
      <w:r w:rsidR="00D91D0C">
        <w:t xml:space="preserve"> note that </w:t>
      </w:r>
      <w:r w:rsidR="008E0E65">
        <w:t xml:space="preserve">areas excised for ESPZs vary across this </w:t>
      </w:r>
      <w:r w:rsidR="00AE523A">
        <w:t>range</w:t>
      </w:r>
      <w:r w:rsidR="00EC6B75">
        <w:t xml:space="preserve"> </w:t>
      </w:r>
      <w:r w:rsidR="00B052E1">
        <w:t>(</w:t>
      </w:r>
      <w:r w:rsidR="00EC6B75">
        <w:t xml:space="preserve">refer to the </w:t>
      </w:r>
      <w:r w:rsidR="00B052E1">
        <w:t>‘</w:t>
      </w:r>
      <w:r w:rsidR="00B23DC5" w:rsidRPr="00E9446A">
        <w:t>Geographic areas</w:t>
      </w:r>
      <w:r w:rsidR="00B052E1">
        <w:t>’</w:t>
      </w:r>
      <w:r w:rsidR="00B23DC5">
        <w:rPr>
          <w:i/>
          <w:iCs/>
        </w:rPr>
        <w:t xml:space="preserve"> </w:t>
      </w:r>
      <w:r w:rsidR="00B23DC5" w:rsidRPr="005B4E3B">
        <w:t>section</w:t>
      </w:r>
      <w:r w:rsidR="00B23DC5">
        <w:rPr>
          <w:i/>
          <w:iCs/>
        </w:rPr>
        <w:t xml:space="preserve"> </w:t>
      </w:r>
      <w:r w:rsidR="00B23DC5">
        <w:t>for details</w:t>
      </w:r>
      <w:r w:rsidR="00B052E1">
        <w:t>)</w:t>
      </w:r>
      <w:r w:rsidR="003603AE">
        <w:t>.</w:t>
      </w:r>
      <w:r w:rsidR="001C01BE">
        <w:t xml:space="preserve"> </w:t>
      </w:r>
      <w:r w:rsidR="00F2156B">
        <w:t xml:space="preserve">In the </w:t>
      </w:r>
      <w:r w:rsidR="00F54A8D">
        <w:t>frequency range</w:t>
      </w:r>
      <w:r w:rsidR="00F2156B">
        <w:t xml:space="preserve"> 3750</w:t>
      </w:r>
      <w:r w:rsidR="00CC3714" w:rsidRPr="001E4379">
        <w:t>–</w:t>
      </w:r>
      <w:r w:rsidR="00F2156B">
        <w:t>3800 MHz</w:t>
      </w:r>
      <w:r w:rsidR="00CC3714">
        <w:t>,</w:t>
      </w:r>
      <w:r w:rsidR="00F2156B">
        <w:t xml:space="preserve"> </w:t>
      </w:r>
      <w:r w:rsidR="008076F3">
        <w:t>we</w:t>
      </w:r>
      <w:r w:rsidR="00F2156B">
        <w:t xml:space="preserve"> propose </w:t>
      </w:r>
      <w:r w:rsidR="004E5CCE">
        <w:t>only</w:t>
      </w:r>
      <w:r w:rsidR="001C01BE">
        <w:t xml:space="preserve"> </w:t>
      </w:r>
      <w:r w:rsidR="008076F3">
        <w:t>to declare</w:t>
      </w:r>
      <w:r w:rsidR="001C01BE">
        <w:t xml:space="preserve"> metropolitan areas (including Hobart) </w:t>
      </w:r>
      <w:r w:rsidR="008076F3">
        <w:t>for</w:t>
      </w:r>
      <w:r w:rsidR="004E5CCE">
        <w:t xml:space="preserve"> </w:t>
      </w:r>
      <w:r w:rsidR="001C01BE">
        <w:t xml:space="preserve">re-allocation to preserve options for LA WBB use </w:t>
      </w:r>
      <w:r w:rsidR="00A76241">
        <w:t xml:space="preserve">and FSS </w:t>
      </w:r>
      <w:r w:rsidR="001C01BE">
        <w:t xml:space="preserve">in regional areas.   </w:t>
      </w:r>
      <w:r w:rsidR="00F21F33">
        <w:t xml:space="preserve"> </w:t>
      </w:r>
    </w:p>
    <w:p w14:paraId="2B3F4599" w14:textId="3E3A0BDB" w:rsidR="003603AE" w:rsidRDefault="00374905" w:rsidP="00216EF4">
      <w:pPr>
        <w:pStyle w:val="Figureheading"/>
      </w:pPr>
      <w:r>
        <w:t>Geographic areas to be entirely spectrum licensed under current proposal to re-allocate</w:t>
      </w:r>
    </w:p>
    <w:p w14:paraId="1C08F69F" w14:textId="1EE9F25A" w:rsidR="003603AE" w:rsidRDefault="003603AE" w:rsidP="00584BA6">
      <w:r>
        <w:rPr>
          <w:noProof/>
        </w:rPr>
        <w:drawing>
          <wp:inline distT="0" distB="0" distL="0" distR="0" wp14:anchorId="10033034" wp14:editId="15BA0957">
            <wp:extent cx="4562475" cy="4133089"/>
            <wp:effectExtent l="0" t="0" r="0" b="1270"/>
            <wp:docPr id="25" name="Picture 25"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If you need help accessing or reading this diagram, please contact the ACMA's Customer Service Centre by phone on 1300 850 115 or by email at info@acma.gov.au"/>
                    <pic:cNvPicPr/>
                  </pic:nvPicPr>
                  <pic:blipFill rotWithShape="1">
                    <a:blip r:embed="rId84"/>
                    <a:srcRect l="5671" t="1697" b="5493"/>
                    <a:stretch/>
                  </pic:blipFill>
                  <pic:spPr bwMode="auto">
                    <a:xfrm>
                      <a:off x="0" y="0"/>
                      <a:ext cx="4574057" cy="4143581"/>
                    </a:xfrm>
                    <a:prstGeom prst="rect">
                      <a:avLst/>
                    </a:prstGeom>
                    <a:ln>
                      <a:noFill/>
                    </a:ln>
                    <a:extLst>
                      <a:ext uri="{53640926-AAD7-44D8-BBD7-CCE9431645EC}">
                        <a14:shadowObscured xmlns:a14="http://schemas.microsoft.com/office/drawing/2010/main"/>
                      </a:ext>
                    </a:extLst>
                  </pic:spPr>
                </pic:pic>
              </a:graphicData>
            </a:graphic>
          </wp:inline>
        </w:drawing>
      </w:r>
    </w:p>
    <w:p w14:paraId="3275A988" w14:textId="26AE4EC1" w:rsidR="00643EBC" w:rsidRPr="00B45B13" w:rsidRDefault="00643EBC" w:rsidP="00584BA6">
      <w:r>
        <w:t>Further, a</w:t>
      </w:r>
      <w:r w:rsidRPr="004C6C76">
        <w:t>s</w:t>
      </w:r>
      <w:r>
        <w:t xml:space="preserve"> noted above in ‘</w:t>
      </w:r>
      <w:r w:rsidR="00A557F8">
        <w:t>P</w:t>
      </w:r>
      <w:r>
        <w:t>lanning options’, the frequency ranges in the relevant geographic areas proposed for re-allocation will facilitate a complete defragmentation of spectrum licence holdings in the 3400</w:t>
      </w:r>
      <w:r w:rsidR="00CC3714" w:rsidRPr="001E4379">
        <w:t>–</w:t>
      </w:r>
      <w:r>
        <w:t>3700 MHz frequency range</w:t>
      </w:r>
      <w:r w:rsidR="002D7DB1">
        <w:t>, should spectrum licensees decide to do so</w:t>
      </w:r>
      <w:r>
        <w:t>. Re-allocation of these parts of the spectrum will reduce or remove the risk of orphan</w:t>
      </w:r>
      <w:r w:rsidR="00565D2A">
        <w:t>ed</w:t>
      </w:r>
      <w:r>
        <w:t xml:space="preserve"> spectrum. We consider that declaring these frequency ranges and geographic areas for re</w:t>
      </w:r>
      <w:r>
        <w:noBreakHyphen/>
        <w:t xml:space="preserve">allocation will yield the greatest long-term </w:t>
      </w:r>
      <w:r w:rsidR="000337F8">
        <w:t xml:space="preserve">public </w:t>
      </w:r>
      <w:r>
        <w:t xml:space="preserve">benefit of the options considered. </w:t>
      </w:r>
    </w:p>
    <w:p w14:paraId="40C1A442" w14:textId="3EF99524" w:rsidR="00DD6EFD" w:rsidRPr="00170A1D" w:rsidRDefault="00CC3714" w:rsidP="00587221">
      <w:pPr>
        <w:pStyle w:val="Heading3"/>
        <w:keepLines/>
        <w:pBdr>
          <w:top w:val="single" w:sz="4" w:space="1" w:color="auto"/>
          <w:left w:val="single" w:sz="4" w:space="1" w:color="auto"/>
          <w:bottom w:val="single" w:sz="4" w:space="1" w:color="auto"/>
          <w:right w:val="single" w:sz="4" w:space="1" w:color="auto"/>
        </w:pBdr>
        <w:shd w:val="clear" w:color="auto" w:fill="F2F2F2" w:themeFill="background1" w:themeFillShade="F2"/>
      </w:pPr>
      <w:r>
        <w:t xml:space="preserve">The </w:t>
      </w:r>
      <w:r w:rsidR="00BF0C53">
        <w:t>ACMA</w:t>
      </w:r>
      <w:r>
        <w:t>’s</w:t>
      </w:r>
      <w:r w:rsidR="00BF0C53">
        <w:t xml:space="preserve"> proposal: p</w:t>
      </w:r>
      <w:r w:rsidR="00DD6EFD" w:rsidRPr="00170A1D">
        <w:t>arts of the spectrum</w:t>
      </w:r>
    </w:p>
    <w:p w14:paraId="5FC76106" w14:textId="1379AB1A" w:rsidR="00DD6EFD" w:rsidRPr="00CC25FC" w:rsidRDefault="0076404D" w:rsidP="00587221">
      <w:pPr>
        <w:pStyle w:val="Paragraph"/>
        <w:keepNext/>
        <w:keepLines/>
        <w:pBdr>
          <w:top w:val="single" w:sz="4" w:space="1" w:color="auto"/>
          <w:left w:val="single" w:sz="4" w:space="1" w:color="auto"/>
          <w:bottom w:val="single" w:sz="4" w:space="1" w:color="auto"/>
          <w:right w:val="single" w:sz="4" w:space="1" w:color="auto"/>
        </w:pBdr>
        <w:shd w:val="clear" w:color="auto" w:fill="F2F2F2" w:themeFill="background1" w:themeFillShade="F2"/>
      </w:pPr>
      <w:r>
        <w:t xml:space="preserve">If the ACMA makes a re-allocation declaration, do you </w:t>
      </w:r>
      <w:r w:rsidR="009E707F">
        <w:t xml:space="preserve">have comments on </w:t>
      </w:r>
      <w:r w:rsidR="00E80105">
        <w:t>our proposal to declare for re-allocation the parts of the spectrum i</w:t>
      </w:r>
      <w:r w:rsidR="00DD6EFD" w:rsidRPr="00170A1D">
        <w:t>n accordance with our proposed planning option (Option 3, ‘</w:t>
      </w:r>
      <w:r w:rsidR="00A557F8">
        <w:t>P</w:t>
      </w:r>
      <w:r w:rsidR="00DD6EFD" w:rsidRPr="00170A1D">
        <w:t>lanning options’, above</w:t>
      </w:r>
      <w:r w:rsidR="00E80105">
        <w:t>)</w:t>
      </w:r>
      <w:r w:rsidR="00587221">
        <w:t>?</w:t>
      </w:r>
    </w:p>
    <w:p w14:paraId="6BE8B0FE" w14:textId="203DB834" w:rsidR="00DD6EFD" w:rsidRPr="0076509E" w:rsidRDefault="00DD6EFD" w:rsidP="00587221">
      <w:pPr>
        <w:pStyle w:val="Paragraph"/>
        <w:keepNext/>
        <w:keepLines/>
        <w:pBdr>
          <w:top w:val="single" w:sz="4" w:space="1" w:color="auto"/>
          <w:left w:val="single" w:sz="4" w:space="1" w:color="auto"/>
          <w:bottom w:val="single" w:sz="4" w:space="1" w:color="auto"/>
          <w:right w:val="single" w:sz="4" w:space="1" w:color="auto"/>
        </w:pBdr>
        <w:shd w:val="clear" w:color="auto" w:fill="F2F2F2" w:themeFill="background1" w:themeFillShade="F2"/>
      </w:pPr>
      <w:r>
        <w:t>We welcome stakeholder views on the parts of the spectrum proposed for re</w:t>
      </w:r>
      <w:r>
        <w:noBreakHyphen/>
        <w:t>allocation, particularly the inclusion of the frequency ranges 3475</w:t>
      </w:r>
      <w:r w:rsidR="00CC3714" w:rsidRPr="001E4379">
        <w:t>–</w:t>
      </w:r>
      <w:r>
        <w:t>3492.5 MHz, 3492.5</w:t>
      </w:r>
      <w:r w:rsidR="00CC3714" w:rsidRPr="001E4379">
        <w:t>–</w:t>
      </w:r>
      <w:r>
        <w:t>3510 MHz and 3510</w:t>
      </w:r>
      <w:r w:rsidR="00CC3714" w:rsidRPr="001E4379">
        <w:t>–</w:t>
      </w:r>
      <w:r>
        <w:t>3542.5 MHz in specified geographic areas as described under Option 3</w:t>
      </w:r>
      <w:r w:rsidR="00626A4F">
        <w:t xml:space="preserve"> in ‘</w:t>
      </w:r>
      <w:r w:rsidR="00A557F8">
        <w:t>P</w:t>
      </w:r>
      <w:r w:rsidR="00626A4F">
        <w:t>lanning options’</w:t>
      </w:r>
      <w:r>
        <w:t>.</w:t>
      </w:r>
    </w:p>
    <w:p w14:paraId="4B60EBD9" w14:textId="4D06EE64" w:rsidR="00860E1C" w:rsidRPr="00860E1C" w:rsidRDefault="00860E1C" w:rsidP="00177B4E">
      <w:pPr>
        <w:tabs>
          <w:tab w:val="left" w:pos="4353"/>
        </w:tabs>
      </w:pPr>
    </w:p>
    <w:p w14:paraId="246F85A9" w14:textId="6636D0AE" w:rsidR="00944618" w:rsidRDefault="00DA3182" w:rsidP="00944618">
      <w:pPr>
        <w:pStyle w:val="Heading1"/>
      </w:pPr>
      <w:bookmarkStart w:id="44" w:name="_Toc96940992"/>
      <w:r>
        <w:t>Re</w:t>
      </w:r>
      <w:r>
        <w:noBreakHyphen/>
        <w:t>allocation</w:t>
      </w:r>
      <w:r w:rsidR="00E70A27">
        <w:t xml:space="preserve"> period and deadline</w:t>
      </w:r>
      <w:bookmarkEnd w:id="44"/>
    </w:p>
    <w:p w14:paraId="53CD9FBE" w14:textId="75E77C0C" w:rsidR="00887A4A" w:rsidRPr="00281F59" w:rsidRDefault="00172B29" w:rsidP="00887A4A">
      <w:pPr>
        <w:pStyle w:val="Paragraph"/>
      </w:pPr>
      <w:r>
        <w:t>Under subsection 153B(1)</w:t>
      </w:r>
      <w:r w:rsidR="00545E83">
        <w:t xml:space="preserve"> of the Act, w</w:t>
      </w:r>
      <w:r w:rsidR="009C7210" w:rsidRPr="00281F59">
        <w:t>hen the ACMA make</w:t>
      </w:r>
      <w:r w:rsidR="004738E3" w:rsidRPr="00281F59">
        <w:t>s</w:t>
      </w:r>
      <w:r w:rsidR="009C7210" w:rsidRPr="00281F59">
        <w:t xml:space="preserve"> a spectrum </w:t>
      </w:r>
      <w:r w:rsidR="00DA3182" w:rsidRPr="00281F59">
        <w:t>re</w:t>
      </w:r>
      <w:r w:rsidR="00DA3182" w:rsidRPr="00281F59">
        <w:noBreakHyphen/>
        <w:t>allocation</w:t>
      </w:r>
      <w:r w:rsidR="009C7210" w:rsidRPr="00281F59">
        <w:t xml:space="preserve"> declaration</w:t>
      </w:r>
      <w:r w:rsidR="001B4C34" w:rsidRPr="00281F59">
        <w:t xml:space="preserve">, </w:t>
      </w:r>
      <w:r w:rsidR="00EF4D04" w:rsidRPr="00281F59">
        <w:t xml:space="preserve">we </w:t>
      </w:r>
      <w:r w:rsidR="001B4C34" w:rsidRPr="00281F59">
        <w:t xml:space="preserve">must specify the period </w:t>
      </w:r>
      <w:r w:rsidR="00ED2B47">
        <w:t>of time during which the specified parts of the spectrum are subject to re</w:t>
      </w:r>
      <w:r w:rsidR="00ED2B47">
        <w:noBreakHyphen/>
        <w:t>allocation</w:t>
      </w:r>
      <w:r w:rsidR="00621D2E">
        <w:t xml:space="preserve"> (the re-allocation period)</w:t>
      </w:r>
      <w:r w:rsidR="00ED2B47">
        <w:t xml:space="preserve">. </w:t>
      </w:r>
    </w:p>
    <w:p w14:paraId="27FD3D05" w14:textId="30E76AE0" w:rsidR="008A753F" w:rsidRDefault="00887A4A" w:rsidP="000B643A">
      <w:pPr>
        <w:pStyle w:val="Paragraph"/>
        <w:rPr>
          <w:highlight w:val="yellow"/>
        </w:rPr>
      </w:pPr>
      <w:r w:rsidRPr="00281F59">
        <w:t xml:space="preserve">The </w:t>
      </w:r>
      <w:r w:rsidR="00DA3182" w:rsidRPr="00281F59">
        <w:t>re</w:t>
      </w:r>
      <w:r w:rsidR="00DA3182" w:rsidRPr="00281F59">
        <w:noBreakHyphen/>
        <w:t>allocation</w:t>
      </w:r>
      <w:r w:rsidRPr="00281F59">
        <w:t xml:space="preserve"> period sets the timeframe during which incumbent apparatus licensees may continue to operate radiocommunications devices under their licences. </w:t>
      </w:r>
      <w:r w:rsidR="0076064D">
        <w:t>A</w:t>
      </w:r>
      <w:r w:rsidRPr="00281F59">
        <w:t xml:space="preserve">t the end of the </w:t>
      </w:r>
      <w:r w:rsidR="00DA3182" w:rsidRPr="00281F59">
        <w:t>re</w:t>
      </w:r>
      <w:r w:rsidR="00DA3182" w:rsidRPr="00281F59">
        <w:noBreakHyphen/>
        <w:t>allocation</w:t>
      </w:r>
      <w:r w:rsidRPr="00281F59">
        <w:t xml:space="preserve"> period</w:t>
      </w:r>
      <w:r w:rsidR="008A0EF2" w:rsidRPr="00281F59">
        <w:t>,</w:t>
      </w:r>
      <w:r w:rsidRPr="00281F59">
        <w:t xml:space="preserve"> any apparatus </w:t>
      </w:r>
      <w:r w:rsidR="001F6A4D">
        <w:t>licences</w:t>
      </w:r>
      <w:r w:rsidR="001F6A4D" w:rsidRPr="00281F59">
        <w:t xml:space="preserve"> </w:t>
      </w:r>
      <w:r w:rsidR="001F6A4D">
        <w:t>operating</w:t>
      </w:r>
      <w:r w:rsidRPr="00281F59">
        <w:t xml:space="preserve"> in the re</w:t>
      </w:r>
      <w:r w:rsidR="00D83394" w:rsidRPr="00281F59">
        <w:noBreakHyphen/>
      </w:r>
      <w:r w:rsidRPr="00281F59">
        <w:t xml:space="preserve">allocated spectrum will </w:t>
      </w:r>
      <w:r w:rsidR="001F6A4D">
        <w:t>be</w:t>
      </w:r>
      <w:r w:rsidRPr="00281F59">
        <w:t xml:space="preserve"> cancelled</w:t>
      </w:r>
      <w:r w:rsidR="00F25492">
        <w:t>,</w:t>
      </w:r>
      <w:r w:rsidR="0076064D">
        <w:t xml:space="preserve"> pursuant to section 153H of the Act</w:t>
      </w:r>
      <w:r w:rsidRPr="00281F59">
        <w:t>.</w:t>
      </w:r>
      <w:r w:rsidR="00621D2E" w:rsidRPr="00621D2E">
        <w:t xml:space="preserve"> </w:t>
      </w:r>
      <w:r w:rsidR="00621D2E" w:rsidRPr="00281F59">
        <w:t>Under subsection 153B(4) of the Act, the re</w:t>
      </w:r>
      <w:r w:rsidR="00621D2E" w:rsidRPr="00281F59">
        <w:noBreakHyphen/>
        <w:t xml:space="preserve">allocation period must begin at a time specified in the declaration and run for at least 12 months. </w:t>
      </w:r>
      <w:r w:rsidR="00621D2E">
        <w:t>The re-allocation period cannot begin before the commencement of the re-allocation declaration.</w:t>
      </w:r>
    </w:p>
    <w:p w14:paraId="2194DFA9" w14:textId="118D41E1" w:rsidR="003B7F06" w:rsidRDefault="0015506D" w:rsidP="000B643A">
      <w:pPr>
        <w:pStyle w:val="Paragraph"/>
      </w:pPr>
      <w:r>
        <w:t xml:space="preserve">As well as a re-allocation period, we must also set a re-allocation deadline. </w:t>
      </w:r>
      <w:r w:rsidR="006D32B1">
        <w:t xml:space="preserve">Under </w:t>
      </w:r>
      <w:r w:rsidR="008A753F" w:rsidRPr="003B4857">
        <w:t xml:space="preserve"> section 153K of the Act, t</w:t>
      </w:r>
      <w:r w:rsidR="00C61AED" w:rsidRPr="003B4857">
        <w:t>he re</w:t>
      </w:r>
      <w:r w:rsidR="00C61AED" w:rsidRPr="003B4857">
        <w:noBreakHyphen/>
        <w:t>allocation deadline sets the date by which the ACMA must have allocated at least one licence in the spectrum</w:t>
      </w:r>
      <w:r w:rsidR="00F25492">
        <w:t>,</w:t>
      </w:r>
      <w:r w:rsidR="00C61AED" w:rsidRPr="003B4857">
        <w:t xml:space="preserve"> subject to a re</w:t>
      </w:r>
      <w:r w:rsidR="00C61AED" w:rsidRPr="003B4857">
        <w:noBreakHyphen/>
        <w:t xml:space="preserve">allocation declaration. </w:t>
      </w:r>
      <w:r w:rsidR="008F0785" w:rsidRPr="008F0785">
        <w:t>If</w:t>
      </w:r>
      <w:r w:rsidR="008F0785">
        <w:t xml:space="preserve"> no such licences are allocated before the re-allocation deadline, then the re</w:t>
      </w:r>
      <w:r w:rsidR="008F0785">
        <w:noBreakHyphen/>
        <w:t>allocation declaration is taken to have been revoked immediately after the re</w:t>
      </w:r>
      <w:r w:rsidR="008F0785">
        <w:noBreakHyphen/>
        <w:t xml:space="preserve">allocation deadline. </w:t>
      </w:r>
      <w:r w:rsidR="00005C06" w:rsidRPr="00281F59">
        <w:t xml:space="preserve">The </w:t>
      </w:r>
      <w:r w:rsidR="00DA3182" w:rsidRPr="00281F59">
        <w:t>re</w:t>
      </w:r>
      <w:r w:rsidR="00DA3182" w:rsidRPr="00281F59">
        <w:noBreakHyphen/>
        <w:t>allocation</w:t>
      </w:r>
      <w:r w:rsidR="00005C06" w:rsidRPr="00281F59">
        <w:t xml:space="preserve"> deadline </w:t>
      </w:r>
      <w:r w:rsidR="002B57EA" w:rsidRPr="00281F59">
        <w:t>must be specified in the declaration</w:t>
      </w:r>
      <w:r w:rsidR="002020AF" w:rsidRPr="00281F59">
        <w:t xml:space="preserve"> and must not be later than the end of the re-allocation period</w:t>
      </w:r>
      <w:r w:rsidR="00005C06" w:rsidRPr="00281F59">
        <w:t>.</w:t>
      </w:r>
      <w:r w:rsidR="00956AA1" w:rsidRPr="00281F59">
        <w:t xml:space="preserve"> </w:t>
      </w:r>
    </w:p>
    <w:p w14:paraId="17150674" w14:textId="242C4FF7" w:rsidR="00956AA1" w:rsidRPr="006920BB" w:rsidRDefault="006920BB" w:rsidP="000B643A">
      <w:pPr>
        <w:pStyle w:val="Paragraph"/>
      </w:pPr>
      <w:r w:rsidRPr="002357A6">
        <w:t xml:space="preserve">More detail about the </w:t>
      </w:r>
      <w:r w:rsidR="00DA3182" w:rsidRPr="002357A6">
        <w:t>re</w:t>
      </w:r>
      <w:r w:rsidR="00DA3182" w:rsidRPr="002357A6">
        <w:noBreakHyphen/>
        <w:t>allocation</w:t>
      </w:r>
      <w:r w:rsidRPr="002357A6">
        <w:t xml:space="preserve"> process</w:t>
      </w:r>
      <w:r w:rsidR="003B7F06" w:rsidRPr="002357A6">
        <w:t xml:space="preserve">, including the re-allocation period and </w:t>
      </w:r>
      <w:r w:rsidR="002D7DB1">
        <w:t>re</w:t>
      </w:r>
      <w:r w:rsidR="002D7DB1">
        <w:noBreakHyphen/>
        <w:t xml:space="preserve">allocation </w:t>
      </w:r>
      <w:r w:rsidR="003B7F06" w:rsidRPr="002357A6">
        <w:t>deadline,</w:t>
      </w:r>
      <w:r w:rsidRPr="002357A6">
        <w:t xml:space="preserve"> is </w:t>
      </w:r>
      <w:r w:rsidR="00ED24FD">
        <w:t>in</w:t>
      </w:r>
      <w:r w:rsidR="00ED24FD" w:rsidRPr="002357A6">
        <w:t xml:space="preserve"> </w:t>
      </w:r>
      <w:r w:rsidRPr="002357A6">
        <w:t xml:space="preserve">Appendix </w:t>
      </w:r>
      <w:r w:rsidR="000A5209" w:rsidRPr="002357A6">
        <w:t>A</w:t>
      </w:r>
      <w:r w:rsidRPr="003B4857">
        <w:t>.</w:t>
      </w:r>
    </w:p>
    <w:p w14:paraId="71FD61C9" w14:textId="4CA9005E" w:rsidR="00274DF4" w:rsidRDefault="007860BE" w:rsidP="00A600D8">
      <w:pPr>
        <w:pStyle w:val="Paragraphbeforelist"/>
      </w:pPr>
      <w:r>
        <w:t>In addition to the policy objectives contained within the MPS</w:t>
      </w:r>
      <w:r w:rsidR="00C37FA1">
        <w:t xml:space="preserve">, </w:t>
      </w:r>
      <w:r w:rsidR="000A5209">
        <w:t>we</w:t>
      </w:r>
      <w:r w:rsidR="00C37FA1">
        <w:t xml:space="preserve"> </w:t>
      </w:r>
      <w:r w:rsidR="00885AC5">
        <w:t>consider</w:t>
      </w:r>
      <w:r>
        <w:t xml:space="preserve"> the following factors when setting a proposed re-allocation period and deadline</w:t>
      </w:r>
      <w:r w:rsidR="00C37FA1">
        <w:t>:</w:t>
      </w:r>
    </w:p>
    <w:p w14:paraId="2D991690" w14:textId="79F4BF08" w:rsidR="00C37FA1" w:rsidRDefault="00C37FA1" w:rsidP="00C37FA1">
      <w:pPr>
        <w:pStyle w:val="Bulletlevel1"/>
      </w:pPr>
      <w:r>
        <w:t>how long it may reasonably take for incumbent licensees to relocate from the band</w:t>
      </w:r>
    </w:p>
    <w:p w14:paraId="1A85F916" w14:textId="36874247" w:rsidR="005D3ED1" w:rsidRDefault="00C37FA1" w:rsidP="007B6837">
      <w:pPr>
        <w:pStyle w:val="Bulletlevel1"/>
      </w:pPr>
      <w:r>
        <w:t xml:space="preserve">the likely use or uses of the spectrum </w:t>
      </w:r>
    </w:p>
    <w:p w14:paraId="0C52A092" w14:textId="7B202059" w:rsidR="002220B4" w:rsidRDefault="00C37FA1" w:rsidP="00427F1E">
      <w:pPr>
        <w:pStyle w:val="Bulletlevel1last"/>
      </w:pPr>
      <w:r>
        <w:t xml:space="preserve">when the potential purchasers of the spectrum licences </w:t>
      </w:r>
      <w:r w:rsidR="00681403">
        <w:t>will</w:t>
      </w:r>
      <w:r w:rsidR="00D81182">
        <w:t xml:space="preserve"> be in a position to utilise the spectrum</w:t>
      </w:r>
      <w:r>
        <w:t>.</w:t>
      </w:r>
    </w:p>
    <w:p w14:paraId="5708E1F2" w14:textId="56F9D634" w:rsidR="00600E82" w:rsidRDefault="00600E82" w:rsidP="00427F1E">
      <w:pPr>
        <w:pStyle w:val="Heading2"/>
      </w:pPr>
      <w:bookmarkStart w:id="45" w:name="_Toc96940993"/>
      <w:r>
        <w:t>Existing services</w:t>
      </w:r>
      <w:bookmarkEnd w:id="45"/>
      <w:r>
        <w:t xml:space="preserve"> </w:t>
      </w:r>
    </w:p>
    <w:p w14:paraId="6B675EEF" w14:textId="5E008B82" w:rsidR="006B4001" w:rsidRPr="006B4001" w:rsidRDefault="006B4001" w:rsidP="007B6837">
      <w:pPr>
        <w:pStyle w:val="Paragraph"/>
      </w:pPr>
      <w:r>
        <w:t xml:space="preserve">Spectrum </w:t>
      </w:r>
      <w:r w:rsidR="00243646">
        <w:t>in the 3.4 GHz and 3.7 GHz bands</w:t>
      </w:r>
      <w:r w:rsidR="00087951">
        <w:t xml:space="preserve"> </w:t>
      </w:r>
      <w:r w:rsidR="00F25492">
        <w:t xml:space="preserve">is </w:t>
      </w:r>
      <w:r w:rsidR="00243646">
        <w:t>subject to different levels of incumbency.</w:t>
      </w:r>
    </w:p>
    <w:p w14:paraId="2EE1EDE7" w14:textId="172B12B8" w:rsidR="00EE154F" w:rsidRPr="00EE154F" w:rsidRDefault="00D50A00" w:rsidP="00F214A7">
      <w:pPr>
        <w:pStyle w:val="Heading3"/>
      </w:pPr>
      <w:r>
        <w:t>34</w:t>
      </w:r>
      <w:r w:rsidR="009507B1">
        <w:t>00</w:t>
      </w:r>
      <w:r w:rsidR="00F25492" w:rsidRPr="001E4379">
        <w:t>–</w:t>
      </w:r>
      <w:r>
        <w:t>3442.5</w:t>
      </w:r>
      <w:r w:rsidR="006D16A5">
        <w:t> </w:t>
      </w:r>
      <w:r>
        <w:t>MHz</w:t>
      </w:r>
      <w:r w:rsidR="00EB41F4">
        <w:t xml:space="preserve"> and</w:t>
      </w:r>
      <w:r w:rsidR="009C038F">
        <w:t xml:space="preserve"> the urban excise (3400</w:t>
      </w:r>
      <w:r w:rsidR="00F25492" w:rsidRPr="001E4379">
        <w:t>–</w:t>
      </w:r>
      <w:r w:rsidR="009C038F">
        <w:t>34</w:t>
      </w:r>
      <w:r w:rsidR="004C3B26">
        <w:t>7</w:t>
      </w:r>
      <w:r w:rsidR="009C038F">
        <w:t>5 MHz)</w:t>
      </w:r>
    </w:p>
    <w:p w14:paraId="4212275F" w14:textId="5998916E" w:rsidR="009C038F" w:rsidRPr="0077676A" w:rsidRDefault="005E0F78" w:rsidP="009C038F">
      <w:r>
        <w:t>The spectrum in</w:t>
      </w:r>
      <w:r w:rsidR="008A4EB4">
        <w:t xml:space="preserve"> the</w:t>
      </w:r>
      <w:r>
        <w:t xml:space="preserve"> </w:t>
      </w:r>
      <w:r w:rsidR="00F54A8D">
        <w:t>frequency range</w:t>
      </w:r>
      <w:r>
        <w:t xml:space="preserve"> </w:t>
      </w:r>
      <w:r w:rsidRPr="005E0F78">
        <w:t>3400</w:t>
      </w:r>
      <w:r w:rsidR="00F25492" w:rsidRPr="001E4379">
        <w:t>–</w:t>
      </w:r>
      <w:r w:rsidRPr="005E0F78">
        <w:t>3442.5 MHz</w:t>
      </w:r>
      <w:r w:rsidR="00F4141E">
        <w:t xml:space="preserve"> </w:t>
      </w:r>
      <w:r w:rsidRPr="005E0F78">
        <w:t xml:space="preserve">in </w:t>
      </w:r>
      <w:r w:rsidR="00471C51">
        <w:t>the proposed areas for re</w:t>
      </w:r>
      <w:r w:rsidR="00F54A8D">
        <w:noBreakHyphen/>
      </w:r>
      <w:r w:rsidR="00471C51">
        <w:t>allocation</w:t>
      </w:r>
      <w:r>
        <w:t xml:space="preserve"> is</w:t>
      </w:r>
      <w:r w:rsidR="00EB37CA">
        <w:t xml:space="preserve"> unencumbered as a result of the </w:t>
      </w:r>
      <w:r w:rsidR="00924E3F">
        <w:t>previou</w:t>
      </w:r>
      <w:r w:rsidR="00855E27">
        <w:t xml:space="preserve">s </w:t>
      </w:r>
      <w:r w:rsidR="00EB37CA">
        <w:t>defragmentation process.</w:t>
      </w:r>
      <w:r w:rsidR="00DC3BE3">
        <w:t xml:space="preserve"> </w:t>
      </w:r>
      <w:r w:rsidR="009C038F">
        <w:t>The spectrum in 3400</w:t>
      </w:r>
      <w:r w:rsidR="00F25492" w:rsidRPr="001E4379">
        <w:t>–</w:t>
      </w:r>
      <w:r w:rsidR="009C038F">
        <w:t>34</w:t>
      </w:r>
      <w:r w:rsidR="004C3B26">
        <w:t>7</w:t>
      </w:r>
      <w:r w:rsidR="009C038F">
        <w:t>5 MHz in urban excise areas is also unencumbered</w:t>
      </w:r>
      <w:r w:rsidR="00F25492">
        <w:t>,</w:t>
      </w:r>
      <w:r w:rsidR="00C74840">
        <w:t xml:space="preserve"> as </w:t>
      </w:r>
      <w:r w:rsidR="00C74840" w:rsidRPr="002914E7">
        <w:t>NBN Co</w:t>
      </w:r>
      <w:r w:rsidR="00C74840">
        <w:t xml:space="preserve"> has surrendered its spectrum licence previously authorising the use of that spectrum</w:t>
      </w:r>
      <w:r w:rsidR="009C038F">
        <w:t xml:space="preserve">. </w:t>
      </w:r>
    </w:p>
    <w:p w14:paraId="665EFFE1" w14:textId="01AB9386" w:rsidR="00CD2974" w:rsidRDefault="00DC3BE3" w:rsidP="007B6837">
      <w:pPr>
        <w:pStyle w:val="Paragraph"/>
      </w:pPr>
      <w:r>
        <w:t>At this time, we anticipate the</w:t>
      </w:r>
      <w:r w:rsidR="00063975">
        <w:t xml:space="preserve">se parts of the spectrum </w:t>
      </w:r>
      <w:r>
        <w:t>will remain unencumbered</w:t>
      </w:r>
      <w:r w:rsidR="00B91A38">
        <w:t xml:space="preserve"> due to the operation of</w:t>
      </w:r>
      <w:r w:rsidR="00556FB0">
        <w:t xml:space="preserve"> </w:t>
      </w:r>
      <w:hyperlink r:id="rId85" w:history="1">
        <w:r w:rsidR="00556FB0" w:rsidRPr="00F25492">
          <w:rPr>
            <w:rStyle w:val="Hyperlink"/>
          </w:rPr>
          <w:t xml:space="preserve">RALI MS03 </w:t>
        </w:r>
        <w:r w:rsidR="00556FB0" w:rsidRPr="00587221">
          <w:rPr>
            <w:rStyle w:val="Hyperlink"/>
          </w:rPr>
          <w:t>Spectrum Embargoes</w:t>
        </w:r>
      </w:hyperlink>
      <w:r w:rsidR="00556FB0" w:rsidRPr="00F25492">
        <w:t xml:space="preserve"> </w:t>
      </w:r>
      <w:r w:rsidR="00CE7556">
        <w:t>(RALI MS03)</w:t>
      </w:r>
      <w:r w:rsidR="00B91A38">
        <w:t xml:space="preserve">. </w:t>
      </w:r>
      <w:r w:rsidR="000410C3">
        <w:t xml:space="preserve">Embargo 75 contained within </w:t>
      </w:r>
      <w:r w:rsidR="00B91A38">
        <w:t>RALI MS03</w:t>
      </w:r>
      <w:r w:rsidR="00CE7556">
        <w:t xml:space="preserve"> </w:t>
      </w:r>
      <w:r w:rsidR="00556FB0">
        <w:t>set</w:t>
      </w:r>
      <w:r w:rsidR="00D76C8F">
        <w:t>s</w:t>
      </w:r>
      <w:r w:rsidR="00556FB0">
        <w:t xml:space="preserve"> out</w:t>
      </w:r>
      <w:r>
        <w:t xml:space="preserve"> the </w:t>
      </w:r>
      <w:r w:rsidR="00556FB0">
        <w:t>ACMA’s policy that no new assignments will be made in t</w:t>
      </w:r>
      <w:r w:rsidR="00E24B94">
        <w:t>he frequency range</w:t>
      </w:r>
      <w:r w:rsidR="00167751">
        <w:t>s and areas proposed for re-allocation</w:t>
      </w:r>
      <w:r w:rsidR="009507B1">
        <w:t>.</w:t>
      </w:r>
    </w:p>
    <w:p w14:paraId="46DE5AF3" w14:textId="4DDCA1EE" w:rsidR="00A326B0" w:rsidRPr="00C56898" w:rsidRDefault="00A326B0" w:rsidP="00A326B0">
      <w:pPr>
        <w:pStyle w:val="Paragraph"/>
      </w:pPr>
      <w:r>
        <w:t xml:space="preserve">Spectrum embargoes are an administrative tool used to facilitate orderly spectrum planning and provide notice of our intention to restrict the allocation of new licences in a band, pending its replanning. We </w:t>
      </w:r>
      <w:r w:rsidR="0018784C">
        <w:t>use</w:t>
      </w:r>
      <w:r>
        <w:t xml:space="preserve"> embargoes to alert incumbents and prospective licensees that the band is being replanned, and to give existing users additional time and opportunity to consider relocating their operations to alternative </w:t>
      </w:r>
      <w:r w:rsidRPr="00C56898">
        <w:t xml:space="preserve">bands. </w:t>
      </w:r>
    </w:p>
    <w:p w14:paraId="14DCA044" w14:textId="5094C1C7" w:rsidR="005E0F78" w:rsidRPr="00556FB0" w:rsidRDefault="00242101" w:rsidP="005E0F78">
      <w:pPr>
        <w:pStyle w:val="Heading3"/>
      </w:pPr>
      <w:r w:rsidRPr="00C56898">
        <w:t>3475</w:t>
      </w:r>
      <w:r w:rsidR="00F25492" w:rsidRPr="001E4379">
        <w:t>–</w:t>
      </w:r>
      <w:r w:rsidR="009068A5" w:rsidRPr="00C56898">
        <w:t xml:space="preserve">3492.5 MHz, </w:t>
      </w:r>
      <w:r w:rsidR="000C7002" w:rsidRPr="00C56898">
        <w:t>3492.5</w:t>
      </w:r>
      <w:r w:rsidR="00F25492" w:rsidRPr="001E4379">
        <w:t>–</w:t>
      </w:r>
      <w:r w:rsidR="000C7002" w:rsidRPr="00C56898">
        <w:t>3510 MHz</w:t>
      </w:r>
      <w:r w:rsidR="009D7ABE">
        <w:t>,</w:t>
      </w:r>
      <w:r w:rsidR="000C7002" w:rsidRPr="00C56898">
        <w:t xml:space="preserve"> 3510</w:t>
      </w:r>
      <w:r w:rsidR="00F25492" w:rsidRPr="001E4379">
        <w:t>–</w:t>
      </w:r>
      <w:r w:rsidR="00A54C7C" w:rsidRPr="00C56898">
        <w:t>3542.5 MHz</w:t>
      </w:r>
      <w:r w:rsidR="009D7ABE">
        <w:t xml:space="preserve"> and 3542.5</w:t>
      </w:r>
      <w:r w:rsidR="00F25492" w:rsidRPr="001E4379">
        <w:t>–</w:t>
      </w:r>
      <w:r w:rsidR="009D7ABE">
        <w:t>3575 MHz</w:t>
      </w:r>
    </w:p>
    <w:p w14:paraId="23AFF5E0" w14:textId="389EDAF8" w:rsidR="00A54C7C" w:rsidRPr="00A54C7C" w:rsidRDefault="001D2C91" w:rsidP="003B4857">
      <w:pPr>
        <w:pStyle w:val="Paragraphbeforelist"/>
      </w:pPr>
      <w:r>
        <w:t xml:space="preserve">The spectrum in the following frequency ranges and geographic areas </w:t>
      </w:r>
      <w:r w:rsidR="003F217F">
        <w:t xml:space="preserve">is currently occupied by </w:t>
      </w:r>
      <w:r w:rsidR="004C60EF">
        <w:t xml:space="preserve">a mix of </w:t>
      </w:r>
      <w:r w:rsidR="00706D2D">
        <w:t>FSS</w:t>
      </w:r>
      <w:r w:rsidR="004C60EF">
        <w:t>, amateur, and</w:t>
      </w:r>
      <w:r w:rsidR="003F217F">
        <w:t xml:space="preserve"> </w:t>
      </w:r>
      <w:r w:rsidR="00706D2D">
        <w:t>PMP</w:t>
      </w:r>
      <w:r w:rsidR="003F217F">
        <w:t xml:space="preserve"> services:</w:t>
      </w:r>
    </w:p>
    <w:p w14:paraId="7756E9CC" w14:textId="00E7CDC4" w:rsidR="003F217F" w:rsidRPr="00A54C7C" w:rsidRDefault="00F5271B" w:rsidP="003F217F">
      <w:pPr>
        <w:pStyle w:val="Bulletlevel1"/>
      </w:pPr>
      <w:r>
        <w:t>3475</w:t>
      </w:r>
      <w:r w:rsidR="00F25492" w:rsidRPr="001E4379">
        <w:t>–</w:t>
      </w:r>
      <w:r>
        <w:t xml:space="preserve">3492.5 MHz in </w:t>
      </w:r>
      <w:r w:rsidR="006C26AB">
        <w:t>certain defined regional areas</w:t>
      </w:r>
    </w:p>
    <w:p w14:paraId="77309ACB" w14:textId="31C4F60E" w:rsidR="0069104F" w:rsidRPr="00A54C7C" w:rsidRDefault="00F776D0" w:rsidP="003F217F">
      <w:pPr>
        <w:pStyle w:val="Bulletlevel1"/>
      </w:pPr>
      <w:r>
        <w:t>3492.5</w:t>
      </w:r>
      <w:r w:rsidR="00F25492" w:rsidRPr="001E4379">
        <w:t>–</w:t>
      </w:r>
      <w:r>
        <w:t xml:space="preserve">3510 MHz in </w:t>
      </w:r>
      <w:r w:rsidR="006C26AB">
        <w:t>certain defined regional areas</w:t>
      </w:r>
    </w:p>
    <w:p w14:paraId="165B32DD" w14:textId="0CF17622" w:rsidR="00F776D0" w:rsidRDefault="00F776D0" w:rsidP="00706D2D">
      <w:pPr>
        <w:pStyle w:val="Bulletlevel1"/>
      </w:pPr>
      <w:r>
        <w:t>3510</w:t>
      </w:r>
      <w:r w:rsidR="00F25492" w:rsidRPr="001E4379">
        <w:t>–</w:t>
      </w:r>
      <w:r>
        <w:t xml:space="preserve">3542.5 MHz in </w:t>
      </w:r>
      <w:r w:rsidR="006C26AB">
        <w:t>certain defined regional areas</w:t>
      </w:r>
    </w:p>
    <w:p w14:paraId="274EABA5" w14:textId="6DE78AF4" w:rsidR="000706F7" w:rsidRDefault="003961CE" w:rsidP="00F776D0">
      <w:pPr>
        <w:pStyle w:val="Bulletlevel1last"/>
      </w:pPr>
      <w:r>
        <w:t>3542.5</w:t>
      </w:r>
      <w:r w:rsidR="00F25492" w:rsidRPr="001E4379">
        <w:t>–</w:t>
      </w:r>
      <w:r>
        <w:t>3575 MHz in certain defined areas of regional WA</w:t>
      </w:r>
      <w:r w:rsidR="00987DE0">
        <w:t>.</w:t>
      </w:r>
      <w:r w:rsidR="003132EE">
        <w:rPr>
          <w:rStyle w:val="FootnoteReference"/>
        </w:rPr>
        <w:footnoteReference w:id="13"/>
      </w:r>
      <w:r>
        <w:t xml:space="preserve"> </w:t>
      </w:r>
    </w:p>
    <w:p w14:paraId="246ECB11" w14:textId="10518C25" w:rsidR="00A86DC2" w:rsidRDefault="003B4429" w:rsidP="00312FE7">
      <w:pPr>
        <w:pStyle w:val="Paragraph"/>
      </w:pPr>
      <w:r>
        <w:t>T</w:t>
      </w:r>
      <w:r w:rsidR="007924F9">
        <w:t xml:space="preserve">hese parts of the 3.4 GHz band </w:t>
      </w:r>
      <w:r w:rsidR="00765F98">
        <w:t xml:space="preserve">are also subject to </w:t>
      </w:r>
      <w:r w:rsidR="00B32441">
        <w:t>e</w:t>
      </w:r>
      <w:r w:rsidR="000410C3">
        <w:t xml:space="preserve">mbargo 75 contained within </w:t>
      </w:r>
      <w:r w:rsidR="002F4B27">
        <w:t>RALI MS03</w:t>
      </w:r>
      <w:r w:rsidR="00B32441">
        <w:t>. This embargo</w:t>
      </w:r>
      <w:r w:rsidR="002F4B27">
        <w:t xml:space="preserve"> set</w:t>
      </w:r>
      <w:r w:rsidR="008255EE">
        <w:t>s</w:t>
      </w:r>
      <w:r w:rsidR="002F4B27">
        <w:t xml:space="preserve"> out the ACMA’s policy that no new </w:t>
      </w:r>
      <w:r w:rsidR="006D7770">
        <w:t xml:space="preserve">frequency assignments are to be </w:t>
      </w:r>
      <w:r w:rsidR="00EE19E6">
        <w:t>made</w:t>
      </w:r>
      <w:r w:rsidR="0080141E">
        <w:t xml:space="preserve"> in the frequency range</w:t>
      </w:r>
      <w:r w:rsidR="001676D8">
        <w:t>s and areas proposed for re-allocation</w:t>
      </w:r>
      <w:r w:rsidR="00A86DC2">
        <w:t>.</w:t>
      </w:r>
    </w:p>
    <w:p w14:paraId="3EE45670" w14:textId="7594B1CA" w:rsidR="003D2CAD" w:rsidRPr="00C56898" w:rsidRDefault="00730274" w:rsidP="00F776D0">
      <w:pPr>
        <w:pStyle w:val="Paragraph"/>
      </w:pPr>
      <w:r w:rsidRPr="00C56898">
        <w:t>If the ACMA declares these parts of the 3.4 GHz band for re-allocation,</w:t>
      </w:r>
      <w:r w:rsidR="00312FE7" w:rsidRPr="00C56898">
        <w:t xml:space="preserve"> incumbent apparatus licensees will </w:t>
      </w:r>
      <w:r w:rsidR="00983AD8">
        <w:t xml:space="preserve">need </w:t>
      </w:r>
      <w:r w:rsidR="00312FE7" w:rsidRPr="00C56898">
        <w:t xml:space="preserve">to have ceased operating </w:t>
      </w:r>
      <w:r w:rsidR="00CB6DC1">
        <w:t>by</w:t>
      </w:r>
      <w:r w:rsidRPr="00C56898">
        <w:t xml:space="preserve"> the end of the re-allocation period</w:t>
      </w:r>
      <w:r w:rsidR="00312FE7" w:rsidRPr="00C56898">
        <w:t xml:space="preserve"> </w:t>
      </w:r>
      <w:r w:rsidR="00983AD8">
        <w:t>as</w:t>
      </w:r>
      <w:r w:rsidR="00983AD8" w:rsidRPr="00C56898">
        <w:t xml:space="preserve"> </w:t>
      </w:r>
      <w:r w:rsidR="00312FE7" w:rsidRPr="00C56898">
        <w:t xml:space="preserve">their licences will be cancelled. </w:t>
      </w:r>
      <w:r w:rsidR="005D67D9">
        <w:t>We will reserve spectrum for those licensees to re</w:t>
      </w:r>
      <w:r w:rsidR="001926EE">
        <w:t xml:space="preserve">locate into </w:t>
      </w:r>
      <w:r w:rsidR="00472098">
        <w:t>(</w:t>
      </w:r>
      <w:r w:rsidR="00F25492">
        <w:t>for example,</w:t>
      </w:r>
      <w:r w:rsidR="00472098">
        <w:t xml:space="preserve"> </w:t>
      </w:r>
      <w:r w:rsidR="002B60A7">
        <w:t>PMP licensees may relocate to</w:t>
      </w:r>
      <w:r w:rsidR="001926EE">
        <w:t xml:space="preserve"> the 3750</w:t>
      </w:r>
      <w:r w:rsidR="00F25492" w:rsidRPr="001E4379">
        <w:t>–</w:t>
      </w:r>
      <w:r w:rsidR="001926EE">
        <w:t>4000 MHz frequency range</w:t>
      </w:r>
      <w:r w:rsidR="0023598D">
        <w:t xml:space="preserve"> and the 3750</w:t>
      </w:r>
      <w:r w:rsidR="00F25492" w:rsidRPr="001E4379">
        <w:t>–</w:t>
      </w:r>
      <w:r w:rsidR="0023598D">
        <w:t>3800 MHz frequency range in regional areas will be made available for FSS</w:t>
      </w:r>
      <w:r w:rsidR="00733831">
        <w:t xml:space="preserve">) and provide protections for </w:t>
      </w:r>
      <w:r w:rsidR="00BD362A">
        <w:t>some licensees to continue operating (</w:t>
      </w:r>
      <w:r w:rsidR="00F25492">
        <w:t>for example,</w:t>
      </w:r>
      <w:r w:rsidR="0023598D">
        <w:t xml:space="preserve"> FSS access to certain parts of the spectrum </w:t>
      </w:r>
      <w:r w:rsidR="00B72FA9">
        <w:t>will be preserved</w:t>
      </w:r>
      <w:r w:rsidR="00697F19">
        <w:t>)</w:t>
      </w:r>
      <w:r w:rsidR="001926EE">
        <w:t xml:space="preserve">. </w:t>
      </w:r>
      <w:r w:rsidR="00AD00AB" w:rsidRPr="00C56898">
        <w:t>More context about possible planning arrangements</w:t>
      </w:r>
      <w:r w:rsidR="0022236F">
        <w:t xml:space="preserve"> and mitigation measures for affected services</w:t>
      </w:r>
      <w:r w:rsidR="00AD00AB" w:rsidRPr="00C56898">
        <w:t xml:space="preserve"> is </w:t>
      </w:r>
      <w:r w:rsidR="0022236F">
        <w:t xml:space="preserve">provided </w:t>
      </w:r>
      <w:r w:rsidR="00AD00AB" w:rsidRPr="00C56898">
        <w:t>under the ‘</w:t>
      </w:r>
      <w:r w:rsidR="00A557F8">
        <w:t>P</w:t>
      </w:r>
      <w:r w:rsidR="00AD00AB" w:rsidRPr="00C56898">
        <w:t>lanning options’ section of this paper.</w:t>
      </w:r>
    </w:p>
    <w:p w14:paraId="4F9E58F9" w14:textId="2464C394" w:rsidR="00BD3D03" w:rsidRPr="00C56898" w:rsidRDefault="007378F8" w:rsidP="001F73C0">
      <w:pPr>
        <w:pStyle w:val="Heading3"/>
      </w:pPr>
      <w:r w:rsidRPr="00C56898">
        <w:t>3700</w:t>
      </w:r>
      <w:r w:rsidR="00F25492" w:rsidRPr="001E4379">
        <w:t>–</w:t>
      </w:r>
      <w:r w:rsidRPr="00C56898">
        <w:t>3750 MHz and 3700</w:t>
      </w:r>
      <w:r w:rsidR="00F25492" w:rsidRPr="001E4379">
        <w:t>–</w:t>
      </w:r>
      <w:r w:rsidRPr="00C56898">
        <w:t>3800 MHz</w:t>
      </w:r>
    </w:p>
    <w:p w14:paraId="17ADA468" w14:textId="17B72705" w:rsidR="007378F8" w:rsidRPr="00C56898" w:rsidRDefault="009B0E73" w:rsidP="00CD3321">
      <w:pPr>
        <w:pStyle w:val="Paragraphbeforelist"/>
      </w:pPr>
      <w:r w:rsidRPr="00C56898">
        <w:t xml:space="preserve">The spectrum in the following frequency ranges and geographic areas is currently </w:t>
      </w:r>
      <w:r w:rsidR="00CB6DC1">
        <w:t>licensed to</w:t>
      </w:r>
      <w:r w:rsidRPr="00C56898">
        <w:t xml:space="preserve"> a mix of </w:t>
      </w:r>
      <w:r w:rsidR="00706D2D">
        <w:t>FSS and PTP</w:t>
      </w:r>
      <w:r w:rsidR="009F34E6" w:rsidRPr="00C56898">
        <w:t xml:space="preserve"> services</w:t>
      </w:r>
      <w:r w:rsidR="00CD3321" w:rsidRPr="00C56898">
        <w:t>:</w:t>
      </w:r>
    </w:p>
    <w:p w14:paraId="670C29AE" w14:textId="4AFEBC72" w:rsidR="00CD3321" w:rsidRPr="00C56898" w:rsidRDefault="00CD3321" w:rsidP="00CD3321">
      <w:pPr>
        <w:pStyle w:val="Bulletlevel1"/>
      </w:pPr>
      <w:r w:rsidRPr="00C56898">
        <w:t>3700</w:t>
      </w:r>
      <w:r w:rsidR="00F25492" w:rsidRPr="001E4379">
        <w:t>–</w:t>
      </w:r>
      <w:r w:rsidRPr="00C56898">
        <w:t>3750 MHz in</w:t>
      </w:r>
      <w:r w:rsidR="00EE7EBC" w:rsidRPr="00C56898">
        <w:t xml:space="preserve"> </w:t>
      </w:r>
      <w:r w:rsidR="006C39B0">
        <w:t>certain defined regional areas</w:t>
      </w:r>
    </w:p>
    <w:p w14:paraId="67048006" w14:textId="6661FC84" w:rsidR="00EE7EBC" w:rsidRPr="00C56898" w:rsidRDefault="00EE7EBC" w:rsidP="003B4857">
      <w:pPr>
        <w:pStyle w:val="Bulletlevel1last"/>
      </w:pPr>
      <w:r w:rsidRPr="00C56898">
        <w:t>3700</w:t>
      </w:r>
      <w:r w:rsidR="00F25492" w:rsidRPr="001E4379">
        <w:t>–</w:t>
      </w:r>
      <w:r w:rsidRPr="00C56898">
        <w:t xml:space="preserve">3800 MHz in </w:t>
      </w:r>
      <w:r w:rsidR="00F2709D" w:rsidRPr="00C56898">
        <w:t>metropolitan</w:t>
      </w:r>
      <w:r w:rsidR="00F115AD" w:rsidRPr="00C56898">
        <w:t xml:space="preserve"> areas</w:t>
      </w:r>
      <w:r w:rsidR="00E6634A">
        <w:t xml:space="preserve"> </w:t>
      </w:r>
      <w:r w:rsidR="00A27B02">
        <w:t>(including Hobart)</w:t>
      </w:r>
      <w:r w:rsidR="00706D2D">
        <w:t>.</w:t>
      </w:r>
    </w:p>
    <w:p w14:paraId="43FF0239" w14:textId="1805C8D4" w:rsidR="00F115AD" w:rsidRDefault="00F25492" w:rsidP="00F115AD">
      <w:pPr>
        <w:pStyle w:val="Paragraph"/>
      </w:pPr>
      <w:r>
        <w:t>Although</w:t>
      </w:r>
      <w:r w:rsidRPr="00C56898">
        <w:t xml:space="preserve"> </w:t>
      </w:r>
      <w:r w:rsidR="006E6766" w:rsidRPr="00C56898">
        <w:t xml:space="preserve">there are incumbent services, </w:t>
      </w:r>
      <w:r>
        <w:t>as with</w:t>
      </w:r>
      <w:r w:rsidR="006E6766" w:rsidRPr="00C56898">
        <w:t xml:space="preserve"> the 3.4 GHz band, the 3.7 GHz band is subject to a spectrum embargo under RALI MS03. </w:t>
      </w:r>
      <w:r w:rsidR="000410C3" w:rsidRPr="00C56898">
        <w:t xml:space="preserve">Embargo </w:t>
      </w:r>
      <w:r w:rsidR="00930EFE" w:rsidRPr="00C56898">
        <w:t xml:space="preserve">78 contained within </w:t>
      </w:r>
      <w:r w:rsidR="001400FF" w:rsidRPr="00C56898">
        <w:t>RALI</w:t>
      </w:r>
      <w:r w:rsidR="00F7763A" w:rsidRPr="00C56898">
        <w:t> </w:t>
      </w:r>
      <w:r w:rsidR="001400FF" w:rsidRPr="00C56898">
        <w:t>MS03 sets out the ACMA’s policy that no new frequency assignments are to be made in the frequency range 3700</w:t>
      </w:r>
      <w:r w:rsidRPr="001E4379">
        <w:t>–</w:t>
      </w:r>
      <w:r w:rsidR="001400FF" w:rsidRPr="00C56898">
        <w:t>4000</w:t>
      </w:r>
      <w:r w:rsidR="001400FF">
        <w:t xml:space="preserve"> MHz Australia-wide. </w:t>
      </w:r>
    </w:p>
    <w:p w14:paraId="0711876F" w14:textId="6B5C7904" w:rsidR="00B36A57" w:rsidRPr="007378F8" w:rsidRDefault="00B42B79" w:rsidP="00F115AD">
      <w:pPr>
        <w:pStyle w:val="Paragraph"/>
      </w:pPr>
      <w:r>
        <w:t>I</w:t>
      </w:r>
      <w:r w:rsidR="0007306B">
        <w:t xml:space="preserve">f the ACMA declares these parts of the 3.7 GHz band for re-allocation, incumbent apparatus licensees will </w:t>
      </w:r>
      <w:r w:rsidR="00983AD8">
        <w:t>need</w:t>
      </w:r>
      <w:r w:rsidR="0007306B">
        <w:t xml:space="preserve"> to have ceased operating </w:t>
      </w:r>
      <w:r w:rsidR="00CB6DC1">
        <w:t>by</w:t>
      </w:r>
      <w:r w:rsidR="0007306B">
        <w:t xml:space="preserve"> the end of the re</w:t>
      </w:r>
      <w:r w:rsidR="0007306B">
        <w:noBreakHyphen/>
        <w:t xml:space="preserve">allocation period </w:t>
      </w:r>
      <w:r w:rsidR="00983AD8">
        <w:t xml:space="preserve">as </w:t>
      </w:r>
      <w:r w:rsidR="0007306B">
        <w:t xml:space="preserve">their licences will be cancelled. </w:t>
      </w:r>
      <w:r w:rsidR="00617469">
        <w:t xml:space="preserve">The </w:t>
      </w:r>
      <w:hyperlink r:id="rId86" w:history="1">
        <w:r w:rsidR="00617469" w:rsidRPr="00A82062">
          <w:rPr>
            <w:rStyle w:val="Hyperlink"/>
          </w:rPr>
          <w:t xml:space="preserve">3700 </w:t>
        </w:r>
        <w:r w:rsidR="00A074C6">
          <w:rPr>
            <w:rStyle w:val="Hyperlink"/>
          </w:rPr>
          <w:t xml:space="preserve">MHz </w:t>
        </w:r>
        <w:r w:rsidR="00617469" w:rsidRPr="00A82062">
          <w:rPr>
            <w:rStyle w:val="Hyperlink"/>
          </w:rPr>
          <w:t>outcomes paper</w:t>
        </w:r>
      </w:hyperlink>
      <w:r w:rsidR="00617469">
        <w:t xml:space="preserve"> outlines our preliminary decision on alternative </w:t>
      </w:r>
      <w:r w:rsidR="008B4083">
        <w:t>options for affected services</w:t>
      </w:r>
      <w:r w:rsidR="00AA13A3">
        <w:t>.</w:t>
      </w:r>
    </w:p>
    <w:p w14:paraId="316065DA" w14:textId="217F34CE" w:rsidR="00D019B1" w:rsidRPr="00726FD6" w:rsidRDefault="006B4001" w:rsidP="00587221">
      <w:pPr>
        <w:pStyle w:val="Heading2"/>
        <w:keepLines/>
      </w:pPr>
      <w:bookmarkStart w:id="46" w:name="_Toc8207129"/>
      <w:bookmarkStart w:id="47" w:name="_Toc408846607"/>
      <w:bookmarkStart w:id="48" w:name="_Toc409015477"/>
      <w:bookmarkStart w:id="49" w:name="_Toc409528641"/>
      <w:bookmarkStart w:id="50" w:name="_Toc409016970"/>
      <w:bookmarkStart w:id="51" w:name="_Toc496277326"/>
      <w:bookmarkStart w:id="52" w:name="_Toc496277725"/>
      <w:bookmarkStart w:id="53" w:name="_Toc496527236"/>
      <w:bookmarkStart w:id="54" w:name="_Toc496527411"/>
      <w:bookmarkStart w:id="55" w:name="_Toc96940994"/>
      <w:r>
        <w:t>Previous consultation on r</w:t>
      </w:r>
      <w:r w:rsidR="00DA3182">
        <w:t>e</w:t>
      </w:r>
      <w:r w:rsidR="00DA3182">
        <w:noBreakHyphen/>
        <w:t>allocation</w:t>
      </w:r>
      <w:r w:rsidR="00D019B1" w:rsidRPr="00A153AF">
        <w:t xml:space="preserve"> </w:t>
      </w:r>
      <w:r w:rsidR="00D019B1">
        <w:t>period</w:t>
      </w:r>
      <w:bookmarkEnd w:id="46"/>
      <w:bookmarkEnd w:id="47"/>
      <w:bookmarkEnd w:id="48"/>
      <w:bookmarkEnd w:id="49"/>
      <w:bookmarkEnd w:id="50"/>
      <w:bookmarkEnd w:id="51"/>
      <w:bookmarkEnd w:id="52"/>
      <w:bookmarkEnd w:id="53"/>
      <w:bookmarkEnd w:id="54"/>
      <w:r w:rsidR="001733F5">
        <w:t xml:space="preserve"> and deadline</w:t>
      </w:r>
      <w:bookmarkEnd w:id="55"/>
    </w:p>
    <w:p w14:paraId="797ED291" w14:textId="317C246E" w:rsidR="003A3168" w:rsidRPr="003A3168" w:rsidRDefault="003A3168" w:rsidP="00587221">
      <w:pPr>
        <w:pStyle w:val="Heading3"/>
        <w:keepLines/>
      </w:pPr>
      <w:r>
        <w:t>3400</w:t>
      </w:r>
      <w:r w:rsidR="00F25492" w:rsidRPr="001E4379">
        <w:t>–</w:t>
      </w:r>
      <w:r>
        <w:t>3442.5 MHz</w:t>
      </w:r>
      <w:r w:rsidR="00BC1C2D">
        <w:t xml:space="preserve"> </w:t>
      </w:r>
      <w:r w:rsidR="00B6508C">
        <w:t xml:space="preserve">and </w:t>
      </w:r>
      <w:r w:rsidR="00B6508C" w:rsidRPr="00F265FF">
        <w:t>the urban excise</w:t>
      </w:r>
      <w:r>
        <w:t xml:space="preserve"> </w:t>
      </w:r>
    </w:p>
    <w:p w14:paraId="748C5AED" w14:textId="00D56E36" w:rsidR="00EC15F9" w:rsidRDefault="009C7519" w:rsidP="00587221">
      <w:pPr>
        <w:pStyle w:val="Paragraph"/>
        <w:keepNext/>
        <w:keepLines/>
      </w:pPr>
      <w:r>
        <w:t>T</w:t>
      </w:r>
      <w:r w:rsidR="00697FF7">
        <w:t>he 3400 MHz decisions paper</w:t>
      </w:r>
      <w:r>
        <w:t xml:space="preserve"> identified </w:t>
      </w:r>
      <w:r w:rsidR="002136DB">
        <w:t xml:space="preserve">portions of the </w:t>
      </w:r>
      <w:r w:rsidR="00AD149D">
        <w:t xml:space="preserve">frequency range </w:t>
      </w:r>
      <w:r w:rsidR="00DD15B1">
        <w:t>3400</w:t>
      </w:r>
      <w:r w:rsidR="00F25492" w:rsidRPr="001E4379">
        <w:t>–</w:t>
      </w:r>
      <w:r w:rsidR="00D816A2">
        <w:t>3542.5</w:t>
      </w:r>
      <w:r w:rsidR="00AD149D">
        <w:t> </w:t>
      </w:r>
      <w:r w:rsidR="00D816A2">
        <w:t>MHz</w:t>
      </w:r>
      <w:r w:rsidR="00C055EB">
        <w:t xml:space="preserve"> available for spectrum licensing in </w:t>
      </w:r>
      <w:r w:rsidR="004D5C1B">
        <w:t xml:space="preserve">metropolitan and </w:t>
      </w:r>
      <w:r w:rsidR="00C055EB">
        <w:t>defined regional areas.</w:t>
      </w:r>
      <w:r w:rsidR="00B5184B">
        <w:t xml:space="preserve"> This included the </w:t>
      </w:r>
      <w:r w:rsidR="00AD149D">
        <w:t xml:space="preserve">frequency range </w:t>
      </w:r>
      <w:r w:rsidR="00B5184B">
        <w:t>3400</w:t>
      </w:r>
      <w:r w:rsidR="00F25492" w:rsidRPr="001E4379">
        <w:t>–</w:t>
      </w:r>
      <w:r w:rsidR="00B5184B">
        <w:t>3</w:t>
      </w:r>
      <w:r w:rsidR="00F72C67">
        <w:t xml:space="preserve">475 MHz in urban excise areas and the </w:t>
      </w:r>
      <w:r w:rsidR="00AD149D">
        <w:t xml:space="preserve">frequency range </w:t>
      </w:r>
      <w:r w:rsidR="00B5184B">
        <w:t>3400</w:t>
      </w:r>
      <w:r w:rsidR="00F25492" w:rsidRPr="001E4379">
        <w:t>–</w:t>
      </w:r>
      <w:r w:rsidR="00B5184B">
        <w:t>3442.5</w:t>
      </w:r>
      <w:r w:rsidR="00F72C67">
        <w:t xml:space="preserve"> MHz in regional areas. </w:t>
      </w:r>
      <w:r w:rsidR="00A730C2">
        <w:t>These parts of the spectrum are</w:t>
      </w:r>
      <w:r w:rsidR="00401081">
        <w:t xml:space="preserve"> </w:t>
      </w:r>
      <w:r w:rsidR="00AE4E78">
        <w:t xml:space="preserve">unencumbered. </w:t>
      </w:r>
    </w:p>
    <w:p w14:paraId="6586002B" w14:textId="178676F2" w:rsidR="003A3168" w:rsidRDefault="008B2C2E" w:rsidP="00F919F1">
      <w:pPr>
        <w:pStyle w:val="Paragraph"/>
      </w:pPr>
      <w:r>
        <w:t>F</w:t>
      </w:r>
      <w:r w:rsidR="00044FE8">
        <w:t>or</w:t>
      </w:r>
      <w:r w:rsidR="00BA0A97">
        <w:t xml:space="preserve"> administrative efficienc</w:t>
      </w:r>
      <w:r w:rsidR="00847B82">
        <w:t>y</w:t>
      </w:r>
      <w:r w:rsidR="00044FE8">
        <w:t>,</w:t>
      </w:r>
      <w:r w:rsidR="00A6290D">
        <w:t xml:space="preserve"> </w:t>
      </w:r>
      <w:r w:rsidR="00F2705B">
        <w:t>we are</w:t>
      </w:r>
      <w:r>
        <w:t xml:space="preserve"> proposing to include </w:t>
      </w:r>
      <w:r w:rsidR="00F2705B">
        <w:t>this spectrum in the proposed re</w:t>
      </w:r>
      <w:r w:rsidR="00BC1C2D">
        <w:noBreakHyphen/>
      </w:r>
      <w:r w:rsidR="00F2705B">
        <w:t>allocation</w:t>
      </w:r>
      <w:r w:rsidR="00DD037C">
        <w:t xml:space="preserve"> declaration</w:t>
      </w:r>
      <w:r w:rsidR="00F25492">
        <w:t>,</w:t>
      </w:r>
      <w:r w:rsidR="00550A85">
        <w:t xml:space="preserve"> even though it is unencumbered</w:t>
      </w:r>
      <w:r w:rsidR="00F2705B">
        <w:t>.</w:t>
      </w:r>
      <w:r w:rsidR="0094362A">
        <w:t xml:space="preserve"> </w:t>
      </w:r>
    </w:p>
    <w:p w14:paraId="1DC38B71" w14:textId="3A1DD38E" w:rsidR="00820BCA" w:rsidRDefault="00820BCA" w:rsidP="00F919F1">
      <w:pPr>
        <w:pStyle w:val="Paragraph"/>
      </w:pPr>
      <w:r>
        <w:t>Our preliminary view is that licences</w:t>
      </w:r>
      <w:r w:rsidR="00272F12">
        <w:t xml:space="preserve"> allocated in this spectrum may commence immediately</w:t>
      </w:r>
      <w:r>
        <w:t xml:space="preserve"> (see also discussion under ‘Licence term’, below)</w:t>
      </w:r>
      <w:r w:rsidR="00D85DFD">
        <w:t>. As</w:t>
      </w:r>
      <w:r>
        <w:t xml:space="preserve"> there are no incumbent services</w:t>
      </w:r>
      <w:r w:rsidR="00173F3A">
        <w:t>, we consider that the duration of the re-allocation period for this part of the spectrum will have no material effect.</w:t>
      </w:r>
    </w:p>
    <w:p w14:paraId="2EF647D6" w14:textId="60E7B851" w:rsidR="00781095" w:rsidRDefault="00686C73" w:rsidP="00F919F1">
      <w:pPr>
        <w:pStyle w:val="Paragraph"/>
      </w:pPr>
      <w:r>
        <w:t>For simplicity, w</w:t>
      </w:r>
      <w:r w:rsidR="003A3168">
        <w:t>e</w:t>
      </w:r>
      <w:r w:rsidR="00976265">
        <w:t xml:space="preserve"> propose to align </w:t>
      </w:r>
      <w:r w:rsidR="00881973">
        <w:t xml:space="preserve">the re-allocation period for </w:t>
      </w:r>
      <w:r w:rsidR="00330A77">
        <w:t xml:space="preserve">these </w:t>
      </w:r>
      <w:r w:rsidR="00EA6972">
        <w:t xml:space="preserve">frequencies </w:t>
      </w:r>
      <w:r w:rsidR="00976265">
        <w:t>with the re</w:t>
      </w:r>
      <w:r w:rsidR="00976265">
        <w:noBreakHyphen/>
        <w:t xml:space="preserve">allocation period </w:t>
      </w:r>
      <w:r w:rsidR="003A3168">
        <w:t>proposed for the other parts of the spectrum</w:t>
      </w:r>
      <w:r w:rsidR="00F25492">
        <w:t>,</w:t>
      </w:r>
      <w:r w:rsidR="00881973">
        <w:t xml:space="preserve"> subject to our proposed re-allocation declaration</w:t>
      </w:r>
      <w:r w:rsidR="006B4001">
        <w:t>.</w:t>
      </w:r>
      <w:r w:rsidR="00781095" w:rsidRPr="00781095">
        <w:t xml:space="preserve"> </w:t>
      </w:r>
    </w:p>
    <w:p w14:paraId="4E6060B1" w14:textId="6EC4EC89" w:rsidR="00FD1B22" w:rsidRDefault="00FD1B22" w:rsidP="00FD1B22">
      <w:pPr>
        <w:pStyle w:val="Heading3"/>
      </w:pPr>
      <w:r w:rsidRPr="00412EDB">
        <w:t>3475</w:t>
      </w:r>
      <w:r w:rsidR="00F25492" w:rsidRPr="001E4379">
        <w:t>–</w:t>
      </w:r>
      <w:r w:rsidRPr="00412EDB">
        <w:t>3492.5 MHz, 3492.5</w:t>
      </w:r>
      <w:r w:rsidR="00F25492" w:rsidRPr="001E4379">
        <w:t>–</w:t>
      </w:r>
      <w:r w:rsidRPr="00412EDB">
        <w:t>3510 MHz</w:t>
      </w:r>
      <w:r w:rsidR="00BE3BEB">
        <w:t>,</w:t>
      </w:r>
      <w:r w:rsidRPr="00412EDB">
        <w:t xml:space="preserve"> 3510</w:t>
      </w:r>
      <w:r w:rsidR="00F25492" w:rsidRPr="001E4379">
        <w:t>–</w:t>
      </w:r>
      <w:r w:rsidRPr="00412EDB">
        <w:t>3542.5 MHz</w:t>
      </w:r>
      <w:r w:rsidR="00BE3BEB">
        <w:t xml:space="preserve"> and 3542.5</w:t>
      </w:r>
      <w:r w:rsidR="00F25492" w:rsidRPr="001E4379">
        <w:t>–</w:t>
      </w:r>
      <w:r w:rsidR="00BE3BEB">
        <w:t>3575 MHz</w:t>
      </w:r>
    </w:p>
    <w:p w14:paraId="3972B7AA" w14:textId="777245D7" w:rsidR="00D91F5A" w:rsidRDefault="009327D9" w:rsidP="009327D9">
      <w:r>
        <w:t xml:space="preserve">As there </w:t>
      </w:r>
      <w:r w:rsidR="0040356D">
        <w:t>are</w:t>
      </w:r>
      <w:r w:rsidR="004716C4">
        <w:t xml:space="preserve"> </w:t>
      </w:r>
      <w:r w:rsidR="006609C7">
        <w:t xml:space="preserve">existing </w:t>
      </w:r>
      <w:r w:rsidR="00907FCC">
        <w:t>apparatus</w:t>
      </w:r>
      <w:r w:rsidR="004716C4">
        <w:t xml:space="preserve"> licence</w:t>
      </w:r>
      <w:r w:rsidR="006609C7">
        <w:t>s</w:t>
      </w:r>
      <w:r>
        <w:t xml:space="preserve"> in</w:t>
      </w:r>
      <w:r w:rsidR="001D4534">
        <w:t xml:space="preserve"> the frequency ranges 3475</w:t>
      </w:r>
      <w:r w:rsidR="00F25492" w:rsidRPr="001E4379">
        <w:t>–</w:t>
      </w:r>
      <w:r w:rsidR="001D4534">
        <w:t>3492.5 MHz, 3492.5</w:t>
      </w:r>
      <w:r w:rsidR="00F25492" w:rsidRPr="001E4379">
        <w:t>–</w:t>
      </w:r>
      <w:r w:rsidR="001D4534">
        <w:t>3510 MHz</w:t>
      </w:r>
      <w:r w:rsidR="00907FCC">
        <w:t>,</w:t>
      </w:r>
      <w:r w:rsidR="001D4534">
        <w:t xml:space="preserve"> 3510</w:t>
      </w:r>
      <w:r w:rsidR="00F25492" w:rsidRPr="001E4379">
        <w:t>–</w:t>
      </w:r>
      <w:r w:rsidR="001D4534">
        <w:t xml:space="preserve">3542.5 MHz </w:t>
      </w:r>
      <w:r w:rsidR="00907FCC">
        <w:t>and 3542.5</w:t>
      </w:r>
      <w:r w:rsidR="00F25492" w:rsidRPr="001E4379">
        <w:t>–</w:t>
      </w:r>
      <w:r w:rsidR="00907FCC">
        <w:t xml:space="preserve">3575 MHz </w:t>
      </w:r>
      <w:r w:rsidR="001D4534">
        <w:t xml:space="preserve">(discussed above), </w:t>
      </w:r>
      <w:r w:rsidR="00A014AA">
        <w:t>the proposed re</w:t>
      </w:r>
      <w:r w:rsidR="00A014AA">
        <w:noBreakHyphen/>
        <w:t xml:space="preserve">allocation of this spectrum would affect the ongoing delivery of </w:t>
      </w:r>
      <w:r w:rsidR="00C60B62">
        <w:t xml:space="preserve">any </w:t>
      </w:r>
      <w:r w:rsidR="00A014AA">
        <w:t>services</w:t>
      </w:r>
      <w:r w:rsidR="00C60B62">
        <w:t xml:space="preserve"> provided</w:t>
      </w:r>
      <w:r w:rsidR="005B4C76">
        <w:t xml:space="preserve"> under these licences</w:t>
      </w:r>
      <w:r w:rsidR="00A014AA">
        <w:t xml:space="preserve">. </w:t>
      </w:r>
      <w:r w:rsidR="00DB7AA9">
        <w:t>Determining</w:t>
      </w:r>
      <w:r w:rsidR="00705A6D">
        <w:t xml:space="preserve"> the length of th</w:t>
      </w:r>
      <w:r w:rsidR="005B4C76">
        <w:t>e re-allocation</w:t>
      </w:r>
      <w:r w:rsidR="00705A6D">
        <w:t xml:space="preserve"> period is a balance between </w:t>
      </w:r>
      <w:r w:rsidR="00DB7AA9">
        <w:t xml:space="preserve">enabling access to the spectrum by new services and </w:t>
      </w:r>
      <w:r w:rsidR="00705A6D">
        <w:t xml:space="preserve">providing time for affected services to get a return on </w:t>
      </w:r>
      <w:r w:rsidR="000C1925">
        <w:t>investment</w:t>
      </w:r>
      <w:r w:rsidR="00705A6D">
        <w:t xml:space="preserve"> and</w:t>
      </w:r>
      <w:r w:rsidR="00F21B6B">
        <w:t>/or</w:t>
      </w:r>
      <w:r w:rsidR="00705A6D">
        <w:t xml:space="preserve"> </w:t>
      </w:r>
      <w:r w:rsidR="00EB1BAB">
        <w:t xml:space="preserve">investigate </w:t>
      </w:r>
      <w:r w:rsidR="00DB7AA9">
        <w:t xml:space="preserve">and implement </w:t>
      </w:r>
      <w:r w:rsidR="00EB1BAB">
        <w:t>alternative options</w:t>
      </w:r>
      <w:r w:rsidR="00DB7AA9">
        <w:t xml:space="preserve">. </w:t>
      </w:r>
      <w:r w:rsidR="00281626">
        <w:t>Generally</w:t>
      </w:r>
      <w:r w:rsidR="00F25492">
        <w:t>,</w:t>
      </w:r>
      <w:r w:rsidR="00281626">
        <w:t xml:space="preserve"> incumbent licensees prefer longer re</w:t>
      </w:r>
      <w:r w:rsidR="00CF38C9">
        <w:noBreakHyphen/>
      </w:r>
      <w:r w:rsidR="00281626">
        <w:t>allocation periods and prospective spectrum licensees prefer short</w:t>
      </w:r>
      <w:r w:rsidR="00EE1404">
        <w:t>er</w:t>
      </w:r>
      <w:r w:rsidR="00281626">
        <w:t xml:space="preserve"> ones.</w:t>
      </w:r>
    </w:p>
    <w:p w14:paraId="40852BA2" w14:textId="56CBCA39" w:rsidR="00173BFA" w:rsidRDefault="00175873" w:rsidP="009327D9">
      <w:r>
        <w:t>For the re-</w:t>
      </w:r>
      <w:r w:rsidR="00511AA8">
        <w:t>allocation</w:t>
      </w:r>
      <w:r>
        <w:t xml:space="preserve"> of spectrum in the 3.6 GHz band, the ACMA defined re-allocation periods between 2 and 7 years for different areas</w:t>
      </w:r>
      <w:r w:rsidR="00E45406">
        <w:t>:</w:t>
      </w:r>
      <w:r>
        <w:t xml:space="preserve"> </w:t>
      </w:r>
      <w:r w:rsidR="00D14712">
        <w:t>2 years was used for metropolitan areas with incumbent PTP licences</w:t>
      </w:r>
      <w:r w:rsidR="00E45406">
        <w:t xml:space="preserve">, </w:t>
      </w:r>
      <w:r w:rsidR="00511AA8">
        <w:t xml:space="preserve">5 years was used </w:t>
      </w:r>
      <w:r w:rsidR="00836073">
        <w:t xml:space="preserve">for </w:t>
      </w:r>
      <w:r w:rsidR="00B52080">
        <w:t>metropolitan areas with incumbent FSS licences</w:t>
      </w:r>
      <w:r w:rsidR="00E45406">
        <w:t>,</w:t>
      </w:r>
      <w:r w:rsidR="00B52080">
        <w:t xml:space="preserve"> 7 years was used </w:t>
      </w:r>
      <w:r w:rsidR="00D14712">
        <w:t>in regional</w:t>
      </w:r>
      <w:r w:rsidR="009D11B7">
        <w:t xml:space="preserve"> areas with </w:t>
      </w:r>
      <w:r w:rsidR="00B52080">
        <w:t xml:space="preserve">incumbent </w:t>
      </w:r>
      <w:r w:rsidR="0012683B">
        <w:t xml:space="preserve">PMP and PTP licences. </w:t>
      </w:r>
    </w:p>
    <w:p w14:paraId="061FA6BB" w14:textId="66BBF74D" w:rsidR="00173BFA" w:rsidRDefault="00173BFA" w:rsidP="00173BFA">
      <w:pPr>
        <w:pStyle w:val="Paragraph"/>
      </w:pPr>
      <w:r>
        <w:t>Submissions made in response to the 3400 MHz options paper</w:t>
      </w:r>
      <w:r w:rsidR="0096376F">
        <w:t xml:space="preserve"> also</w:t>
      </w:r>
      <w:r>
        <w:t xml:space="preserve"> </w:t>
      </w:r>
      <w:r w:rsidR="00FF0A57">
        <w:t xml:space="preserve">proposed </w:t>
      </w:r>
      <w:r>
        <w:t>re-allocation period</w:t>
      </w:r>
      <w:r w:rsidR="0096376F">
        <w:t>s</w:t>
      </w:r>
      <w:r>
        <w:t xml:space="preserve"> between 2 and 7 years</w:t>
      </w:r>
      <w:r w:rsidR="00205AAF">
        <w:t>.</w:t>
      </w:r>
      <w:r w:rsidR="00F338E3">
        <w:t xml:space="preserve"> </w:t>
      </w:r>
      <w:r w:rsidR="00205AAF">
        <w:t xml:space="preserve">We note that </w:t>
      </w:r>
      <w:r w:rsidR="00E4274F">
        <w:t xml:space="preserve">incumbent services have </w:t>
      </w:r>
      <w:r w:rsidR="00B064EF">
        <w:t>since been moved from this spectrum</w:t>
      </w:r>
      <w:r w:rsidR="00811389">
        <w:t>.</w:t>
      </w:r>
      <w:r w:rsidR="00DE716F">
        <w:t xml:space="preserve"> </w:t>
      </w:r>
    </w:p>
    <w:p w14:paraId="56C2E966" w14:textId="36D4B633" w:rsidR="00480990" w:rsidRDefault="00177E8F" w:rsidP="009327D9">
      <w:r>
        <w:t xml:space="preserve">Given </w:t>
      </w:r>
      <w:r w:rsidR="00C6793A">
        <w:t xml:space="preserve">previous </w:t>
      </w:r>
      <w:r w:rsidR="00F00964">
        <w:t xml:space="preserve">decisions </w:t>
      </w:r>
      <w:r w:rsidR="00103D16">
        <w:t xml:space="preserve">made </w:t>
      </w:r>
      <w:r w:rsidR="00F00964">
        <w:t xml:space="preserve">in the 3.6 GHz </w:t>
      </w:r>
      <w:r w:rsidR="00103D16">
        <w:t>band auction process,</w:t>
      </w:r>
      <w:r w:rsidR="00F00964">
        <w:t xml:space="preserve"> and submissions to the 3400 MHz options paper</w:t>
      </w:r>
      <w:r w:rsidR="00103D16">
        <w:t>,</w:t>
      </w:r>
      <w:r w:rsidR="00F00964">
        <w:t xml:space="preserve"> </w:t>
      </w:r>
      <w:r w:rsidR="0039566B">
        <w:t xml:space="preserve">we </w:t>
      </w:r>
      <w:r w:rsidR="00D605C1">
        <w:t xml:space="preserve">believe </w:t>
      </w:r>
      <w:r w:rsidR="00103D16">
        <w:t xml:space="preserve">a re-allocation period of between </w:t>
      </w:r>
      <w:r>
        <w:t xml:space="preserve">2 </w:t>
      </w:r>
      <w:r w:rsidR="00103D16">
        <w:t>and</w:t>
      </w:r>
      <w:r w:rsidR="00A857F6">
        <w:t xml:space="preserve"> </w:t>
      </w:r>
      <w:r>
        <w:t>7 years</w:t>
      </w:r>
      <w:r w:rsidR="004B2E76">
        <w:t xml:space="preserve"> </w:t>
      </w:r>
      <w:r w:rsidR="00103D16">
        <w:t>for this part of the spectrum</w:t>
      </w:r>
      <w:r w:rsidR="004B2E76">
        <w:t xml:space="preserve"> </w:t>
      </w:r>
      <w:r w:rsidR="00894863">
        <w:t>is appropriate</w:t>
      </w:r>
      <w:r w:rsidR="00D24B03">
        <w:t xml:space="preserve">. </w:t>
      </w:r>
    </w:p>
    <w:p w14:paraId="68245B20" w14:textId="6211B044" w:rsidR="009327D9" w:rsidRDefault="009A079F" w:rsidP="009327D9">
      <w:r>
        <w:t>We consider the re</w:t>
      </w:r>
      <w:r>
        <w:noBreakHyphen/>
        <w:t xml:space="preserve">allocation period </w:t>
      </w:r>
      <w:r w:rsidR="00E45406">
        <w:t xml:space="preserve">for </w:t>
      </w:r>
      <w:r>
        <w:t>this part of the spectrum should be longer rather than shorter</w:t>
      </w:r>
      <w:r w:rsidR="007A3D3C">
        <w:t xml:space="preserve">. This is because many of the </w:t>
      </w:r>
      <w:r w:rsidR="008B38A0">
        <w:t xml:space="preserve">incumbent </w:t>
      </w:r>
      <w:r w:rsidR="007A3D3C">
        <w:t>PMP licen</w:t>
      </w:r>
      <w:r w:rsidR="00587221">
        <w:t>se</w:t>
      </w:r>
      <w:r w:rsidR="007A3D3C">
        <w:t>es were recently required to retune</w:t>
      </w:r>
      <w:r w:rsidR="008B38A0">
        <w:t xml:space="preserve"> into this spectrum</w:t>
      </w:r>
      <w:r w:rsidR="007A3D3C">
        <w:t xml:space="preserve"> as part of the implementation of outcomes in the 3400 MHz decision</w:t>
      </w:r>
      <w:r w:rsidR="00B064EF">
        <w:t>s</w:t>
      </w:r>
      <w:r w:rsidR="007A3D3C">
        <w:t xml:space="preserve"> paper. </w:t>
      </w:r>
      <w:r w:rsidR="002838F2">
        <w:t>W</w:t>
      </w:r>
      <w:r w:rsidR="008A7B63">
        <w:t xml:space="preserve">e have identified suitable alternative </w:t>
      </w:r>
      <w:r w:rsidR="00B064EF">
        <w:t xml:space="preserve">options </w:t>
      </w:r>
      <w:r w:rsidR="008A7B63">
        <w:t>for these services to migrate to</w:t>
      </w:r>
      <w:r w:rsidR="00E45406">
        <w:t>,</w:t>
      </w:r>
      <w:r w:rsidR="008A7B63">
        <w:t xml:space="preserve"> as outlined in the ‘</w:t>
      </w:r>
      <w:r w:rsidR="00A557F8">
        <w:t>P</w:t>
      </w:r>
      <w:r w:rsidR="008A7B63">
        <w:t>lanning options’ section of this paper.</w:t>
      </w:r>
      <w:r w:rsidR="00C05FD4">
        <w:t xml:space="preserve"> </w:t>
      </w:r>
      <w:r w:rsidR="004371FC">
        <w:t xml:space="preserve">This includes reserving spectrum </w:t>
      </w:r>
      <w:r w:rsidR="003F4A1D">
        <w:t>in the 3750</w:t>
      </w:r>
      <w:r w:rsidR="00E45406" w:rsidRPr="001E4379">
        <w:t>–</w:t>
      </w:r>
      <w:r w:rsidR="003F4A1D">
        <w:t xml:space="preserve">4000 MHz </w:t>
      </w:r>
      <w:r w:rsidR="00311C5D">
        <w:t>frequency range</w:t>
      </w:r>
      <w:r w:rsidR="003F4A1D">
        <w:t xml:space="preserve"> </w:t>
      </w:r>
      <w:r w:rsidR="004371FC">
        <w:t xml:space="preserve">for these licences to </w:t>
      </w:r>
      <w:r w:rsidR="003F4A1D">
        <w:t xml:space="preserve">retune into. </w:t>
      </w:r>
      <w:r w:rsidR="00985B2A">
        <w:t xml:space="preserve">We will </w:t>
      </w:r>
      <w:r w:rsidR="00C05FD4">
        <w:t>implement</w:t>
      </w:r>
      <w:r w:rsidR="00985B2A">
        <w:t xml:space="preserve"> policies as required to support the transition</w:t>
      </w:r>
      <w:r w:rsidR="002E03B4">
        <w:t xml:space="preserve"> and/or </w:t>
      </w:r>
      <w:r w:rsidR="00985B2A">
        <w:t>clearance of incumbent services during the re</w:t>
      </w:r>
      <w:r w:rsidR="00985B2A">
        <w:noBreakHyphen/>
        <w:t>allocation period</w:t>
      </w:r>
      <w:r w:rsidR="008A7B63">
        <w:t>.</w:t>
      </w:r>
    </w:p>
    <w:p w14:paraId="4CFF0059" w14:textId="40ABAFBD" w:rsidR="004A2CCD" w:rsidRDefault="00004784" w:rsidP="009327D9">
      <w:r>
        <w:t xml:space="preserve">We </w:t>
      </w:r>
      <w:r w:rsidR="00E45406">
        <w:t>would prefer</w:t>
      </w:r>
      <w:r>
        <w:t xml:space="preserve"> </w:t>
      </w:r>
      <w:r w:rsidR="00587221">
        <w:t xml:space="preserve">to align </w:t>
      </w:r>
      <w:r>
        <w:t xml:space="preserve">the re-allocation period for the </w:t>
      </w:r>
      <w:r w:rsidR="004942D7">
        <w:t>frequency ranges 3475</w:t>
      </w:r>
      <w:r w:rsidR="00E45406" w:rsidRPr="001E4379">
        <w:t>–</w:t>
      </w:r>
      <w:r w:rsidR="004942D7">
        <w:t>3492.5 MHz, 3492.5</w:t>
      </w:r>
      <w:r w:rsidR="00E45406" w:rsidRPr="001E4379">
        <w:t>–</w:t>
      </w:r>
      <w:r w:rsidR="004942D7">
        <w:t>3510 MHz and 3510</w:t>
      </w:r>
      <w:r w:rsidR="00E45406" w:rsidRPr="001E4379">
        <w:t>–</w:t>
      </w:r>
      <w:r w:rsidR="004942D7">
        <w:t>3542.5 MHz with the re</w:t>
      </w:r>
      <w:r w:rsidR="004942D7">
        <w:noBreakHyphen/>
        <w:t>allocation period proposed for other parts of the spectrum</w:t>
      </w:r>
      <w:r w:rsidR="00E45406">
        <w:t>,</w:t>
      </w:r>
      <w:r w:rsidR="004942D7">
        <w:t xml:space="preserve"> subject to our proposed re</w:t>
      </w:r>
      <w:r w:rsidR="004942D7">
        <w:noBreakHyphen/>
        <w:t>allocation declaration. We welcome further stakeholder views on this matter.</w:t>
      </w:r>
    </w:p>
    <w:p w14:paraId="5F30F64F" w14:textId="0D124E38" w:rsidR="004942D7" w:rsidRPr="009327D9" w:rsidRDefault="004942D7" w:rsidP="003B4857">
      <w:pPr>
        <w:pStyle w:val="Heading3"/>
      </w:pPr>
      <w:r>
        <w:t>3700</w:t>
      </w:r>
      <w:r w:rsidR="00E45406" w:rsidRPr="001E4379">
        <w:t>–</w:t>
      </w:r>
      <w:r>
        <w:t>3750 MHz and 3700</w:t>
      </w:r>
      <w:r w:rsidR="00E45406" w:rsidRPr="001E4379">
        <w:t>–</w:t>
      </w:r>
      <w:r>
        <w:t>3800 MHz</w:t>
      </w:r>
    </w:p>
    <w:p w14:paraId="304C52FF" w14:textId="5F49ECF8" w:rsidR="00110870" w:rsidRDefault="00781095" w:rsidP="00F919F1">
      <w:pPr>
        <w:pStyle w:val="Paragraph"/>
      </w:pPr>
      <w:r>
        <w:t xml:space="preserve">Our </w:t>
      </w:r>
      <w:r w:rsidR="005F3B7F">
        <w:t xml:space="preserve">preliminary </w:t>
      </w:r>
      <w:r>
        <w:t xml:space="preserve">view for a re-allocation period for the 3.7 GHz band, expressed in the </w:t>
      </w:r>
      <w:hyperlink r:id="rId87" w:history="1">
        <w:r w:rsidRPr="00204B61">
          <w:rPr>
            <w:rStyle w:val="Hyperlink"/>
          </w:rPr>
          <w:t xml:space="preserve">3700 </w:t>
        </w:r>
        <w:r w:rsidR="00A53C9A">
          <w:rPr>
            <w:rStyle w:val="Hyperlink"/>
          </w:rPr>
          <w:t xml:space="preserve">MHz </w:t>
        </w:r>
        <w:r w:rsidRPr="00204B61">
          <w:rPr>
            <w:rStyle w:val="Hyperlink"/>
          </w:rPr>
          <w:t>outcomes paper</w:t>
        </w:r>
      </w:hyperlink>
      <w:r w:rsidR="00204B61">
        <w:t xml:space="preserve"> and based on consultation submissions</w:t>
      </w:r>
      <w:r>
        <w:t>, is that the re</w:t>
      </w:r>
      <w:r w:rsidR="00F72898">
        <w:noBreakHyphen/>
      </w:r>
      <w:r>
        <w:t>allocation period should be 5 years.</w:t>
      </w:r>
      <w:r w:rsidR="002B6CB3">
        <w:t xml:space="preserve"> We consider this is the appropriate amount of time for incumbent </w:t>
      </w:r>
      <w:r w:rsidR="00D86637">
        <w:t>services to transition out of the band</w:t>
      </w:r>
      <w:r w:rsidR="004F0F97">
        <w:t xml:space="preserve">. </w:t>
      </w:r>
      <w:r w:rsidR="00E63BBE">
        <w:t xml:space="preserve">Affected incumbent services include </w:t>
      </w:r>
      <w:r w:rsidR="004A6DCC">
        <w:t>FSS earth stations and PTP licences.</w:t>
      </w:r>
    </w:p>
    <w:p w14:paraId="139A2514" w14:textId="5DAFF89C" w:rsidR="006B4001" w:rsidRDefault="004F0F97" w:rsidP="00F919F1">
      <w:pPr>
        <w:pStyle w:val="Paragraph"/>
      </w:pPr>
      <w:r>
        <w:t xml:space="preserve">Similar to </w:t>
      </w:r>
      <w:r w:rsidR="005002A3">
        <w:t xml:space="preserve">the </w:t>
      </w:r>
      <w:r w:rsidR="00F04755">
        <w:t xml:space="preserve">parts of the 3.4 GHz </w:t>
      </w:r>
      <w:r>
        <w:t>band that we propose to re-allocate, w</w:t>
      </w:r>
      <w:r w:rsidR="0042320F">
        <w:t xml:space="preserve">e will </w:t>
      </w:r>
      <w:r w:rsidR="002E03B4">
        <w:t>implement</w:t>
      </w:r>
      <w:r w:rsidR="0042320F">
        <w:t xml:space="preserve"> policies as required to support the transition</w:t>
      </w:r>
      <w:r w:rsidR="002E03B4">
        <w:t xml:space="preserve"> and/or </w:t>
      </w:r>
      <w:r w:rsidR="0042320F">
        <w:t>clearance of incumbent services during the re</w:t>
      </w:r>
      <w:r w:rsidR="00985B2A">
        <w:noBreakHyphen/>
      </w:r>
      <w:r w:rsidR="0042320F">
        <w:t>allocation period</w:t>
      </w:r>
      <w:r w:rsidR="00084B1D">
        <w:t xml:space="preserve">. </w:t>
      </w:r>
      <w:r w:rsidR="008E660B">
        <w:t>Possible alternative</w:t>
      </w:r>
      <w:r w:rsidR="00A45495">
        <w:t xml:space="preserve"> options for </w:t>
      </w:r>
      <w:r w:rsidR="008E660B">
        <w:t xml:space="preserve">incumbent services to consider are </w:t>
      </w:r>
      <w:r w:rsidR="00214383">
        <w:t xml:space="preserve">outlined in the 3700 </w:t>
      </w:r>
      <w:r w:rsidR="00A53C9A">
        <w:t xml:space="preserve">MHz </w:t>
      </w:r>
      <w:r w:rsidR="00214383">
        <w:t>outcomes paper</w:t>
      </w:r>
      <w:r w:rsidR="0042320F">
        <w:t>.</w:t>
      </w:r>
    </w:p>
    <w:p w14:paraId="5ED5C1A6" w14:textId="72A69C51" w:rsidR="00D6346F" w:rsidRDefault="00D6346F" w:rsidP="003B4857">
      <w:pPr>
        <w:pStyle w:val="Heading2"/>
      </w:pPr>
      <w:bookmarkStart w:id="56" w:name="_Toc96940995"/>
      <w:r>
        <w:t>Preferred re-allocation period and deadline</w:t>
      </w:r>
      <w:bookmarkEnd w:id="56"/>
    </w:p>
    <w:p w14:paraId="13C33F73" w14:textId="11CDF11A" w:rsidR="0006645E" w:rsidRDefault="00482FF8" w:rsidP="0006645E">
      <w:pPr>
        <w:pStyle w:val="Paragraph"/>
      </w:pPr>
      <w:r>
        <w:t>As w</w:t>
      </w:r>
      <w:r w:rsidR="00CD5CFC">
        <w:t xml:space="preserve">e have a preference to align the re-allocation period and </w:t>
      </w:r>
      <w:r w:rsidR="00A708E5">
        <w:t>re</w:t>
      </w:r>
      <w:r w:rsidR="00A708E5">
        <w:noBreakHyphen/>
        <w:t xml:space="preserve">allocation </w:t>
      </w:r>
      <w:r w:rsidR="00CD5CFC">
        <w:t>deadline for all parts of the spectrum proposed to be re</w:t>
      </w:r>
      <w:r w:rsidR="00CD5CFC">
        <w:noBreakHyphen/>
        <w:t xml:space="preserve">allocated, </w:t>
      </w:r>
      <w:r w:rsidR="00CC1AE5">
        <w:t>we consider that</w:t>
      </w:r>
      <w:r w:rsidR="00287C87">
        <w:t xml:space="preserve"> the ACMA’s spectrum re</w:t>
      </w:r>
      <w:r w:rsidR="00287C87">
        <w:noBreakHyphen/>
        <w:t>allocation declaration should specify</w:t>
      </w:r>
      <w:r w:rsidR="00CC1AE5">
        <w:t xml:space="preserve"> </w:t>
      </w:r>
      <w:r w:rsidR="00287C87">
        <w:t>a uniform</w:t>
      </w:r>
      <w:r w:rsidR="00CC1AE5">
        <w:t xml:space="preserve"> re</w:t>
      </w:r>
      <w:r w:rsidR="00287C87">
        <w:noBreakHyphen/>
      </w:r>
      <w:r w:rsidR="00CC1AE5">
        <w:t xml:space="preserve">allocation period of </w:t>
      </w:r>
      <w:r w:rsidR="00E45406">
        <w:t>5 </w:t>
      </w:r>
      <w:r w:rsidR="00CC1AE5">
        <w:t>years</w:t>
      </w:r>
      <w:r w:rsidR="00287C87">
        <w:t xml:space="preserve"> for all parts of the spectrum declared for re</w:t>
      </w:r>
      <w:r w:rsidR="00287C87">
        <w:noBreakHyphen/>
        <w:t>allocation</w:t>
      </w:r>
      <w:r w:rsidR="00CC1AE5">
        <w:t>.</w:t>
      </w:r>
      <w:r w:rsidR="0006645E" w:rsidRPr="0006645E">
        <w:t xml:space="preserve"> </w:t>
      </w:r>
      <w:r w:rsidR="006C337B">
        <w:t>Subject to the outcomes of this consultation, a 5</w:t>
      </w:r>
      <w:r w:rsidR="00E45406">
        <w:t>-</w:t>
      </w:r>
      <w:r w:rsidR="006C337B">
        <w:t>year re</w:t>
      </w:r>
      <w:r w:rsidR="006C337B">
        <w:noBreakHyphen/>
        <w:t>allocation period would result in the re-allocation period ending mid-2027.</w:t>
      </w:r>
      <w:r w:rsidR="0070781D">
        <w:t xml:space="preserve"> </w:t>
      </w:r>
    </w:p>
    <w:p w14:paraId="583F7C07" w14:textId="49877AD5" w:rsidR="00482FF8" w:rsidRDefault="00607791" w:rsidP="006051E5">
      <w:pPr>
        <w:pStyle w:val="Paragraph"/>
      </w:pPr>
      <w:r>
        <w:t>W</w:t>
      </w:r>
      <w:r w:rsidR="0006645E">
        <w:t>e propos</w:t>
      </w:r>
      <w:r w:rsidR="00202B3E">
        <w:t>e that</w:t>
      </w:r>
      <w:r w:rsidR="0006645E">
        <w:t xml:space="preserve"> spectrum licences allocated as a result of the proposed re-allocation declaration commence immediately and before the end of the re</w:t>
      </w:r>
      <w:r w:rsidR="0006645E">
        <w:noBreakHyphen/>
        <w:t>allocation period. This will allow spectrum licensees to operate around incumbent services throughout this period (</w:t>
      </w:r>
      <w:r w:rsidR="00E45406">
        <w:t>that is,</w:t>
      </w:r>
      <w:r w:rsidR="0006645E">
        <w:t xml:space="preserve"> spectrum licensees may operate if they afford protection to </w:t>
      </w:r>
      <w:r w:rsidR="00A708E5">
        <w:t xml:space="preserve">and do not cause interference to </w:t>
      </w:r>
      <w:r w:rsidR="0006645E">
        <w:t>incumbent services during the re</w:t>
      </w:r>
      <w:r w:rsidR="0006645E">
        <w:noBreakHyphen/>
        <w:t xml:space="preserve">allocation period). We consider this </w:t>
      </w:r>
      <w:r w:rsidR="00202B3E">
        <w:t xml:space="preserve">timing </w:t>
      </w:r>
      <w:r w:rsidR="0006645E">
        <w:t>will mitigate the length of the re</w:t>
      </w:r>
      <w:r w:rsidR="0006645E">
        <w:noBreakHyphen/>
        <w:t xml:space="preserve">allocation period for </w:t>
      </w:r>
      <w:r w:rsidR="0030725A">
        <w:t xml:space="preserve">prospective </w:t>
      </w:r>
      <w:r w:rsidR="0006645E">
        <w:t>spectrum licensees.</w:t>
      </w:r>
      <w:r w:rsidR="00AE06F0">
        <w:t xml:space="preserve"> </w:t>
      </w:r>
      <w:r w:rsidR="007E5D52">
        <w:t>Prospective</w:t>
      </w:r>
      <w:r w:rsidR="00AE06F0">
        <w:t xml:space="preserve"> spectrum licensees </w:t>
      </w:r>
      <w:r w:rsidR="00B61E0E">
        <w:t>may</w:t>
      </w:r>
      <w:r w:rsidR="00AE06F0">
        <w:t xml:space="preserve"> </w:t>
      </w:r>
      <w:r w:rsidR="0014685A">
        <w:t>also</w:t>
      </w:r>
      <w:r w:rsidR="00AE06F0">
        <w:t xml:space="preserve"> negotiate </w:t>
      </w:r>
      <w:r w:rsidR="007E5D52">
        <w:t xml:space="preserve">an earlier </w:t>
      </w:r>
      <w:r w:rsidR="00F6162B">
        <w:t xml:space="preserve">transition or </w:t>
      </w:r>
      <w:r w:rsidR="00292F15">
        <w:t>cessation</w:t>
      </w:r>
      <w:r w:rsidR="00F6162B">
        <w:t xml:space="preserve"> of incumbent </w:t>
      </w:r>
      <w:r w:rsidR="00292F15">
        <w:t>apparatus</w:t>
      </w:r>
      <w:r w:rsidR="00F6162B">
        <w:t xml:space="preserve"> licences.</w:t>
      </w:r>
      <w:r w:rsidR="006846B6" w:rsidRPr="006846B6">
        <w:t xml:space="preserve"> </w:t>
      </w:r>
      <w:r w:rsidR="006846B6">
        <w:t xml:space="preserve">A 5-year re-allocation period will support previous users of the band to transition their services to other parts of the spectrum, while an immediate licence commencement will support new uses of the band where possible. </w:t>
      </w:r>
    </w:p>
    <w:p w14:paraId="702424E5" w14:textId="7BE2158E" w:rsidR="006C337B" w:rsidRDefault="00FF7AE0" w:rsidP="006051E5">
      <w:pPr>
        <w:pStyle w:val="Paragraph"/>
        <w:rPr>
          <w:vertAlign w:val="superscript"/>
        </w:rPr>
      </w:pPr>
      <w:r>
        <w:t xml:space="preserve">While there is no longer a statutory requirement under the Act </w:t>
      </w:r>
      <w:r w:rsidR="00E84391">
        <w:t>to do so</w:t>
      </w:r>
      <w:r>
        <w:t xml:space="preserve">, </w:t>
      </w:r>
      <w:r w:rsidR="00FA78C5">
        <w:t xml:space="preserve">we </w:t>
      </w:r>
      <w:r w:rsidR="00E84391">
        <w:t xml:space="preserve">still </w:t>
      </w:r>
      <w:r w:rsidR="00FA78C5">
        <w:t xml:space="preserve">consider </w:t>
      </w:r>
      <w:r w:rsidR="00E84391">
        <w:t>that the re</w:t>
      </w:r>
      <w:r w:rsidR="00E84391">
        <w:noBreakHyphen/>
        <w:t>allocation deadline should be set 12 months before the end of the re</w:t>
      </w:r>
      <w:r w:rsidR="00E84391">
        <w:noBreakHyphen/>
        <w:t>allocation period</w:t>
      </w:r>
      <w:r w:rsidR="00FA78C5">
        <w:t>.</w:t>
      </w:r>
      <w:r w:rsidR="00BE1741">
        <w:t xml:space="preserve"> This will ensure that</w:t>
      </w:r>
      <w:r w:rsidR="00E37BD4">
        <w:t>, in addition to the re</w:t>
      </w:r>
      <w:r w:rsidR="00E37BD4">
        <w:noBreakHyphen/>
        <w:t>allocation declaration itself,</w:t>
      </w:r>
      <w:r w:rsidR="00BE1741">
        <w:t xml:space="preserve"> incumbent licensees</w:t>
      </w:r>
      <w:r w:rsidR="00E37BD4">
        <w:t xml:space="preserve"> will have complete certainty </w:t>
      </w:r>
      <w:r w:rsidR="00F64461">
        <w:t xml:space="preserve">at least 12 months </w:t>
      </w:r>
      <w:r w:rsidR="00E45406">
        <w:t>before</w:t>
      </w:r>
      <w:r w:rsidR="00F64461">
        <w:t xml:space="preserve"> the end of the re</w:t>
      </w:r>
      <w:r w:rsidR="00F64461">
        <w:noBreakHyphen/>
        <w:t>allocation period</w:t>
      </w:r>
      <w:r w:rsidR="00F64461">
        <w:rPr>
          <w:vertAlign w:val="superscript"/>
        </w:rPr>
        <w:t xml:space="preserve"> </w:t>
      </w:r>
      <w:r w:rsidR="00E37BD4">
        <w:t>that the effect of the re</w:t>
      </w:r>
      <w:r w:rsidR="00E37BD4">
        <w:noBreakHyphen/>
        <w:t>allocation period will eventuate in accordance with section 153H of the Act</w:t>
      </w:r>
      <w:r w:rsidR="00C66CBC">
        <w:t>.</w:t>
      </w:r>
      <w:r w:rsidR="00E37BD4">
        <w:t xml:space="preserve"> </w:t>
      </w:r>
    </w:p>
    <w:p w14:paraId="40B27243" w14:textId="186502E1" w:rsidR="00F32BBF" w:rsidRPr="00F919F1" w:rsidRDefault="00C767F7" w:rsidP="006051E5">
      <w:pPr>
        <w:pStyle w:val="Paragraph"/>
      </w:pPr>
      <w:r w:rsidRPr="003B4857">
        <w:t xml:space="preserve">We </w:t>
      </w:r>
      <w:r w:rsidR="0085585E" w:rsidRPr="003B4857">
        <w:t xml:space="preserve">note that in accordance with the current </w:t>
      </w:r>
      <w:hyperlink r:id="rId88" w:history="1">
        <w:r w:rsidR="00E45406">
          <w:rPr>
            <w:rStyle w:val="Hyperlink"/>
            <w:i/>
            <w:iCs/>
          </w:rPr>
          <w:t>Five-year spectrum outlook 2021–26</w:t>
        </w:r>
      </w:hyperlink>
      <w:r w:rsidR="0085585E" w:rsidRPr="003B4857">
        <w:t xml:space="preserve">, </w:t>
      </w:r>
      <w:r w:rsidR="00E45406">
        <w:t xml:space="preserve">and </w:t>
      </w:r>
      <w:r w:rsidR="001A5AF3">
        <w:t>subject to this consultation</w:t>
      </w:r>
      <w:r w:rsidR="0085585E">
        <w:t xml:space="preserve">, </w:t>
      </w:r>
      <w:r w:rsidR="00234C9A">
        <w:t xml:space="preserve">we aim to </w:t>
      </w:r>
      <w:r w:rsidR="0085585E" w:rsidRPr="003B4857">
        <w:t>allocat</w:t>
      </w:r>
      <w:r w:rsidR="00234C9A">
        <w:t>e</w:t>
      </w:r>
      <w:r w:rsidR="0085585E">
        <w:t xml:space="preserve"> </w:t>
      </w:r>
      <w:r w:rsidR="00502BAA">
        <w:t xml:space="preserve">3.4 GHz and 3.7 GHz </w:t>
      </w:r>
      <w:r w:rsidR="001A5AF3">
        <w:t>spectrum</w:t>
      </w:r>
      <w:r w:rsidR="0085585E" w:rsidRPr="003B4857">
        <w:t xml:space="preserve"> in </w:t>
      </w:r>
      <w:r w:rsidR="0092294A">
        <w:t>2023</w:t>
      </w:r>
      <w:r w:rsidR="0085585E" w:rsidRPr="003B4857">
        <w:t>.</w:t>
      </w:r>
      <w:r w:rsidR="00916626">
        <w:t xml:space="preserve"> </w:t>
      </w:r>
    </w:p>
    <w:p w14:paraId="3C2DFE85" w14:textId="329E4A28" w:rsidR="006F0C91" w:rsidRPr="006C13CE" w:rsidRDefault="00E45406" w:rsidP="00587221">
      <w:pPr>
        <w:pStyle w:val="Heading3"/>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The </w:t>
      </w:r>
      <w:r w:rsidR="00BF0C53">
        <w:t>ACMA</w:t>
      </w:r>
      <w:r>
        <w:t>’s</w:t>
      </w:r>
      <w:r w:rsidR="00BF0C53">
        <w:t xml:space="preserve"> proposal: r</w:t>
      </w:r>
      <w:r w:rsidR="00DA3182">
        <w:t>e</w:t>
      </w:r>
      <w:r w:rsidR="00DA3182">
        <w:noBreakHyphen/>
        <w:t>allocation</w:t>
      </w:r>
      <w:r w:rsidR="006F0C91" w:rsidRPr="00DB7528">
        <w:t xml:space="preserve"> period and deadline</w:t>
      </w:r>
    </w:p>
    <w:p w14:paraId="7A18B51A" w14:textId="25D4650C" w:rsidR="00656529" w:rsidRDefault="0076404D" w:rsidP="00656529">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If the ACMA makes a re-allocation declaration, d</w:t>
      </w:r>
      <w:r w:rsidR="00656529">
        <w:t xml:space="preserve">o you </w:t>
      </w:r>
      <w:r w:rsidR="0004490E">
        <w:t xml:space="preserve">have comments on </w:t>
      </w:r>
      <w:r w:rsidR="00425B59">
        <w:t>our</w:t>
      </w:r>
      <w:r w:rsidR="0004490E">
        <w:t xml:space="preserve"> proposal for </w:t>
      </w:r>
      <w:r w:rsidR="00656529">
        <w:t>a re-allocation period of 5 years from the commencement of the re</w:t>
      </w:r>
      <w:r w:rsidR="00656529">
        <w:noBreakHyphen/>
        <w:t>allocation declaration, and a re</w:t>
      </w:r>
      <w:r>
        <w:noBreakHyphen/>
      </w:r>
      <w:r w:rsidR="00656529">
        <w:t xml:space="preserve">allocation deadline of 12 months before the end of the re-allocation period? </w:t>
      </w:r>
    </w:p>
    <w:p w14:paraId="3C228B0B" w14:textId="70E48BB6" w:rsidR="002548EF" w:rsidRPr="00C02F26" w:rsidRDefault="00656529" w:rsidP="00656529">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Please </w:t>
      </w:r>
      <w:r w:rsidR="0004490E">
        <w:t xml:space="preserve">provide evidence in support of your comments. </w:t>
      </w:r>
    </w:p>
    <w:p w14:paraId="0E1D9558" w14:textId="2AACEA5C" w:rsidR="00E70A27" w:rsidRDefault="00E70A27" w:rsidP="00E70A27">
      <w:pPr>
        <w:pStyle w:val="Heading1"/>
      </w:pPr>
      <w:bookmarkStart w:id="57" w:name="_Toc96940996"/>
      <w:r>
        <w:t>Other matters</w:t>
      </w:r>
      <w:bookmarkEnd w:id="57"/>
    </w:p>
    <w:p w14:paraId="46A79B72" w14:textId="76116941" w:rsidR="00523C5F" w:rsidRDefault="00523C5F" w:rsidP="000B643A">
      <w:pPr>
        <w:pStyle w:val="Paragraph"/>
      </w:pPr>
      <w:r>
        <w:t xml:space="preserve">If </w:t>
      </w:r>
      <w:r w:rsidR="001E1197">
        <w:t xml:space="preserve">we </w:t>
      </w:r>
      <w:r w:rsidR="00DA3182">
        <w:t>re</w:t>
      </w:r>
      <w:r w:rsidR="00DA3182">
        <w:noBreakHyphen/>
        <w:t>allocat</w:t>
      </w:r>
      <w:r w:rsidR="001E1197">
        <w:t xml:space="preserve">e </w:t>
      </w:r>
      <w:r w:rsidR="00866A28">
        <w:t xml:space="preserve">the specified parts of the spectrum between 3400–3800 MHz in select geographic areas as </w:t>
      </w:r>
      <w:r w:rsidR="001E1197">
        <w:t xml:space="preserve">outlined in this consultation paper, </w:t>
      </w:r>
      <w:r w:rsidR="00E670E6">
        <w:t xml:space="preserve">we </w:t>
      </w:r>
      <w:r w:rsidR="001E1197">
        <w:t xml:space="preserve">intend to </w:t>
      </w:r>
      <w:r w:rsidR="00B45085">
        <w:t>conduct a price-based allocation of the re</w:t>
      </w:r>
      <w:r w:rsidR="00C5061F">
        <w:t>-</w:t>
      </w:r>
      <w:r w:rsidR="00B45085">
        <w:t>allocated spectrum</w:t>
      </w:r>
      <w:r w:rsidR="00EE5158">
        <w:t>.</w:t>
      </w:r>
    </w:p>
    <w:p w14:paraId="0A755E69" w14:textId="1B555DE1" w:rsidR="001005FC" w:rsidRDefault="00E670E6" w:rsidP="00A600D8">
      <w:pPr>
        <w:pStyle w:val="Paragraphbeforelist"/>
      </w:pPr>
      <w:r>
        <w:t>We</w:t>
      </w:r>
      <w:r w:rsidR="001005FC">
        <w:t xml:space="preserve"> ha</w:t>
      </w:r>
      <w:r>
        <w:t>ve</w:t>
      </w:r>
      <w:r w:rsidR="001005FC">
        <w:t xml:space="preserve"> </w:t>
      </w:r>
      <w:r w:rsidR="00E45406">
        <w:t>considered</w:t>
      </w:r>
      <w:r w:rsidR="001005FC">
        <w:t xml:space="preserve"> matters relevant to a price-based allocation of the spectrum in </w:t>
      </w:r>
      <w:r w:rsidR="001005FC" w:rsidDel="00FB6480">
        <w:t xml:space="preserve">the </w:t>
      </w:r>
      <w:r w:rsidR="00E10AAA">
        <w:t>3.4 GHz and 3.7 GHz bands</w:t>
      </w:r>
      <w:r w:rsidR="00FF3B66">
        <w:t>, including:</w:t>
      </w:r>
    </w:p>
    <w:p w14:paraId="19720FAC" w14:textId="77777777" w:rsidR="0083786B" w:rsidRDefault="0083786B" w:rsidP="0083786B">
      <w:pPr>
        <w:pStyle w:val="Bulletlevel1"/>
      </w:pPr>
      <w:r>
        <w:t>the spectrum licence term</w:t>
      </w:r>
    </w:p>
    <w:p w14:paraId="6D4A31DC" w14:textId="0AD0BA29" w:rsidR="000614B7" w:rsidRDefault="000614B7" w:rsidP="000614B7">
      <w:pPr>
        <w:pStyle w:val="Bulletlevel1"/>
      </w:pPr>
      <w:r>
        <w:t>how the spectrum would be packaged for allocation (the lot configuration)</w:t>
      </w:r>
    </w:p>
    <w:p w14:paraId="1843E604" w14:textId="0BAE40DE" w:rsidR="009C360E" w:rsidRDefault="009C360E" w:rsidP="000614B7">
      <w:pPr>
        <w:pStyle w:val="Bulletlevel1last"/>
      </w:pPr>
      <w:r>
        <w:t>how the spectrum would be allocated (the allocation methodology</w:t>
      </w:r>
      <w:r w:rsidR="00F82366">
        <w:t xml:space="preserve"> and the use of the minimum spectrum requirement</w:t>
      </w:r>
      <w:r>
        <w:t>)</w:t>
      </w:r>
      <w:r w:rsidR="000614B7">
        <w:t>.</w:t>
      </w:r>
    </w:p>
    <w:p w14:paraId="02433D1E" w14:textId="098A7B6E" w:rsidR="001B76B3" w:rsidRDefault="001B76B3" w:rsidP="000B643A">
      <w:pPr>
        <w:pStyle w:val="Paragraph"/>
      </w:pPr>
      <w:r w:rsidRPr="000B643A">
        <w:t>Subject</w:t>
      </w:r>
      <w:r w:rsidRPr="00951E99">
        <w:t xml:space="preserve"> to </w:t>
      </w:r>
      <w:r w:rsidR="005A0B3A">
        <w:t>the outcomes</w:t>
      </w:r>
      <w:r w:rsidR="00AC499C">
        <w:t xml:space="preserve"> of</w:t>
      </w:r>
      <w:r w:rsidRPr="00951E99">
        <w:t xml:space="preserve"> this consultation, </w:t>
      </w:r>
      <w:r w:rsidR="00E670E6">
        <w:t>we</w:t>
      </w:r>
      <w:r w:rsidRPr="00951E99">
        <w:t xml:space="preserve"> seek to ensure that the allocation of spectrum licences in </w:t>
      </w:r>
      <w:r w:rsidRPr="00951E99" w:rsidDel="00FB6480">
        <w:t xml:space="preserve">the </w:t>
      </w:r>
      <w:r w:rsidR="00EC49EB">
        <w:t>3.4 GHz and 3.7 GHz</w:t>
      </w:r>
      <w:r w:rsidRPr="00951E99">
        <w:t xml:space="preserve"> band</w:t>
      </w:r>
      <w:r w:rsidR="00EC49EB">
        <w:t>s</w:t>
      </w:r>
      <w:r w:rsidRPr="00951E99">
        <w:t xml:space="preserve"> is undertaken in a timely manner. Therefore, </w:t>
      </w:r>
      <w:r w:rsidR="00E670E6">
        <w:t>we are</w:t>
      </w:r>
      <w:r w:rsidRPr="00951E99">
        <w:t xml:space="preserve"> taking this opportunity to invite early comments on these </w:t>
      </w:r>
      <w:r w:rsidR="006C3CBB">
        <w:t>issues</w:t>
      </w:r>
      <w:r w:rsidRPr="00951E99">
        <w:t>.</w:t>
      </w:r>
    </w:p>
    <w:p w14:paraId="6696179D" w14:textId="610440BE" w:rsidR="00B45A63" w:rsidRDefault="00B45A63" w:rsidP="00B45A63">
      <w:pPr>
        <w:pStyle w:val="Heading2"/>
      </w:pPr>
      <w:bookmarkStart w:id="58" w:name="_Toc96940997"/>
      <w:r>
        <w:t>Licence term</w:t>
      </w:r>
      <w:bookmarkEnd w:id="58"/>
    </w:p>
    <w:p w14:paraId="238B8262" w14:textId="2C1F4F07" w:rsidR="00A92233" w:rsidRDefault="00B45A63" w:rsidP="00B45A63">
      <w:pPr>
        <w:pStyle w:val="Paragraph"/>
      </w:pPr>
      <w:r w:rsidRPr="00FD5923">
        <w:t>Under subsection 65(3) of the Act, a spectrum licence may be issued for up to 20 years. The majority of spectrum licences issued by the ACMA have been for</w:t>
      </w:r>
      <w:r>
        <w:t xml:space="preserve"> the previous statutory maximum of</w:t>
      </w:r>
      <w:r w:rsidRPr="00FD5923">
        <w:t xml:space="preserve"> 15 years</w:t>
      </w:r>
      <w:r>
        <w:t>.</w:t>
      </w:r>
      <w:r w:rsidRPr="00FD5923">
        <w:t xml:space="preserve"> </w:t>
      </w:r>
      <w:r w:rsidR="003C3157">
        <w:t>After</w:t>
      </w:r>
      <w:r w:rsidRPr="00FD5923">
        <w:t xml:space="preserve"> recent reforms to the Act, the licences issued as a result of the </w:t>
      </w:r>
      <w:r>
        <w:t>850/900</w:t>
      </w:r>
      <w:r w:rsidR="00CF05EC">
        <w:t> </w:t>
      </w:r>
      <w:r w:rsidRPr="00FD5923">
        <w:t xml:space="preserve">MHz auction were </w:t>
      </w:r>
      <w:r w:rsidR="004B37EC">
        <w:t>for</w:t>
      </w:r>
      <w:r w:rsidR="004B37EC" w:rsidRPr="00FD5923">
        <w:t xml:space="preserve"> </w:t>
      </w:r>
      <w:r w:rsidRPr="00FD5923">
        <w:t>20 years</w:t>
      </w:r>
      <w:r>
        <w:t>’</w:t>
      </w:r>
      <w:r w:rsidRPr="00FD5923">
        <w:t xml:space="preserve"> duration</w:t>
      </w:r>
      <w:r w:rsidRPr="00FD5923" w:rsidDel="000411DB">
        <w:t>.</w:t>
      </w:r>
      <w:r w:rsidRPr="00FD5923">
        <w:t xml:space="preserve"> </w:t>
      </w:r>
    </w:p>
    <w:p w14:paraId="2714DA26" w14:textId="6787E6E5" w:rsidR="00B45A63" w:rsidRDefault="00A107BC" w:rsidP="00B45A63">
      <w:pPr>
        <w:pStyle w:val="Paragraph"/>
      </w:pPr>
      <w:r>
        <w:t xml:space="preserve">In forming options for </w:t>
      </w:r>
      <w:r w:rsidR="006C3CBB">
        <w:t xml:space="preserve">the </w:t>
      </w:r>
      <w:r w:rsidR="000215BC">
        <w:t xml:space="preserve">licence term </w:t>
      </w:r>
      <w:r w:rsidR="006C3CBB">
        <w:t xml:space="preserve">of </w:t>
      </w:r>
      <w:r w:rsidR="000215BC">
        <w:t xml:space="preserve">licences allocated in this process, </w:t>
      </w:r>
      <w:r w:rsidR="00043358">
        <w:t>our considerations include</w:t>
      </w:r>
      <w:r w:rsidR="000215BC">
        <w:t xml:space="preserve"> how the licence term may </w:t>
      </w:r>
      <w:r w:rsidR="007A0F64">
        <w:t>help</w:t>
      </w:r>
      <w:r w:rsidR="003C3157">
        <w:t xml:space="preserve"> industry</w:t>
      </w:r>
      <w:r w:rsidR="007A0F64">
        <w:t xml:space="preserve"> achieve</w:t>
      </w:r>
      <w:r w:rsidR="000215BC">
        <w:t xml:space="preserve"> defragmentation</w:t>
      </w:r>
      <w:r w:rsidR="007A0F64">
        <w:t xml:space="preserve"> of the 3400</w:t>
      </w:r>
      <w:r w:rsidR="00167D32">
        <w:t>–</w:t>
      </w:r>
      <w:r w:rsidR="007A0F64">
        <w:t>3800 MHz frequency range</w:t>
      </w:r>
      <w:r w:rsidR="000215BC">
        <w:t xml:space="preserve">, </w:t>
      </w:r>
      <w:r w:rsidR="00C63A47">
        <w:t xml:space="preserve">processes for renewal </w:t>
      </w:r>
      <w:r w:rsidR="003C3157">
        <w:t>or re</w:t>
      </w:r>
      <w:r w:rsidR="003C3157">
        <w:noBreakHyphen/>
        <w:t xml:space="preserve">allocation </w:t>
      </w:r>
      <w:r w:rsidR="00C63A47">
        <w:t>at the end of the licence term, and the applicable re-allocation period.</w:t>
      </w:r>
      <w:r w:rsidR="000215BC">
        <w:t xml:space="preserve"> </w:t>
      </w:r>
      <w:r w:rsidR="006E41B5">
        <w:t xml:space="preserve">Our </w:t>
      </w:r>
      <w:r w:rsidR="00D56A32">
        <w:t>consideration of</w:t>
      </w:r>
      <w:r w:rsidR="006E41B5">
        <w:t xml:space="preserve"> </w:t>
      </w:r>
      <w:r w:rsidR="00C63A47">
        <w:t xml:space="preserve">options for </w:t>
      </w:r>
      <w:r w:rsidR="006C3CBB">
        <w:t xml:space="preserve">the </w:t>
      </w:r>
      <w:r w:rsidR="006E41B5">
        <w:t xml:space="preserve">licence term will </w:t>
      </w:r>
      <w:r w:rsidR="00C63A47">
        <w:t xml:space="preserve">primarily </w:t>
      </w:r>
      <w:r w:rsidR="00A92233">
        <w:t xml:space="preserve">be guided by </w:t>
      </w:r>
      <w:r w:rsidR="008A5532">
        <w:t>how it can facilitate the efficient use of the spectrum, and how it supports the</w:t>
      </w:r>
      <w:r w:rsidR="0016264D">
        <w:t xml:space="preserve"> communications policy objectives of the </w:t>
      </w:r>
      <w:r w:rsidR="00812C12">
        <w:t>g</w:t>
      </w:r>
      <w:r w:rsidR="0016264D">
        <w:t>overnment as specified in the</w:t>
      </w:r>
      <w:r w:rsidR="008A5532">
        <w:t xml:space="preserve"> </w:t>
      </w:r>
      <w:r w:rsidR="002726EF">
        <w:t>MPS</w:t>
      </w:r>
      <w:r w:rsidR="008A5532">
        <w:t xml:space="preserve"> for the allocation of this spectrum. </w:t>
      </w:r>
    </w:p>
    <w:p w14:paraId="51F35A72" w14:textId="77777777" w:rsidR="00AC7CAB" w:rsidRPr="00D63AFE" w:rsidRDefault="00AC7CAB" w:rsidP="00AC7CAB">
      <w:pPr>
        <w:pStyle w:val="Heading3"/>
      </w:pPr>
      <w:r w:rsidRPr="00D63AFE">
        <w:t>Investment certainty</w:t>
      </w:r>
    </w:p>
    <w:p w14:paraId="68CF5841" w14:textId="2A7EBCD4" w:rsidR="005A79EC" w:rsidRPr="00D63AFE" w:rsidRDefault="000E1A8D" w:rsidP="00D90ED9">
      <w:pPr>
        <w:pStyle w:val="Paragraph"/>
      </w:pPr>
      <w:r>
        <w:t xml:space="preserve">Spectrum licences </w:t>
      </w:r>
      <w:r w:rsidR="00227CDD">
        <w:t>provide l</w:t>
      </w:r>
      <w:r w:rsidR="00D90ED9" w:rsidRPr="00915D25">
        <w:t xml:space="preserve">icensees </w:t>
      </w:r>
      <w:r w:rsidR="005C4A77">
        <w:t>with</w:t>
      </w:r>
      <w:r w:rsidR="00D90ED9" w:rsidRPr="0069658A">
        <w:t xml:space="preserve"> </w:t>
      </w:r>
      <w:r w:rsidR="00D90ED9" w:rsidRPr="00915D25">
        <w:t>stable and predictable regulatory arrangements</w:t>
      </w:r>
      <w:r w:rsidR="007D3257">
        <w:t>,</w:t>
      </w:r>
      <w:r w:rsidR="00D90ED9" w:rsidRPr="00915D25">
        <w:t xml:space="preserve"> and </w:t>
      </w:r>
      <w:r w:rsidR="006565F1">
        <w:t>deliver</w:t>
      </w:r>
      <w:r w:rsidR="00F8619F" w:rsidRPr="00915D25">
        <w:t xml:space="preserve"> </w:t>
      </w:r>
      <w:r w:rsidR="00D90ED9" w:rsidRPr="00915D25">
        <w:t xml:space="preserve">sufficient certainty about tenure to </w:t>
      </w:r>
      <w:r w:rsidR="00E70642">
        <w:t>give</w:t>
      </w:r>
      <w:r w:rsidR="00E157F1">
        <w:t xml:space="preserve"> licensees the </w:t>
      </w:r>
      <w:r w:rsidR="00D90ED9" w:rsidRPr="00915D25">
        <w:t>confiden</w:t>
      </w:r>
      <w:r w:rsidR="00E157F1">
        <w:t>ce</w:t>
      </w:r>
      <w:r w:rsidR="00D90ED9" w:rsidRPr="00915D25">
        <w:t xml:space="preserve"> </w:t>
      </w:r>
      <w:r w:rsidR="006C3CBB">
        <w:t>to</w:t>
      </w:r>
      <w:r w:rsidR="006C3CBB" w:rsidRPr="00915D25">
        <w:t xml:space="preserve"> </w:t>
      </w:r>
      <w:r w:rsidR="00D90ED9" w:rsidRPr="00915D25">
        <w:t>invest</w:t>
      </w:r>
      <w:r w:rsidR="006C3CBB">
        <w:t xml:space="preserve"> </w:t>
      </w:r>
      <w:r w:rsidR="00D90ED9" w:rsidRPr="00915D25">
        <w:t xml:space="preserve">in </w:t>
      </w:r>
      <w:r w:rsidR="00C37DB5">
        <w:t xml:space="preserve">spectrum, </w:t>
      </w:r>
      <w:r w:rsidR="00D90ED9" w:rsidRPr="00915D25">
        <w:t xml:space="preserve">equipment and services. </w:t>
      </w:r>
    </w:p>
    <w:p w14:paraId="2020E5CB" w14:textId="1EE34964" w:rsidR="00D90ED9" w:rsidRPr="005705AF" w:rsidRDefault="00CA6E6D" w:rsidP="00D90ED9">
      <w:pPr>
        <w:pStyle w:val="Paragraph"/>
      </w:pPr>
      <w:r>
        <w:t>Long</w:t>
      </w:r>
      <w:r w:rsidR="005701A6" w:rsidRPr="00915D25">
        <w:t xml:space="preserve"> licence term</w:t>
      </w:r>
      <w:r>
        <w:t>s</w:t>
      </w:r>
      <w:r w:rsidR="00D90ED9" w:rsidRPr="00915D25">
        <w:t xml:space="preserve"> </w:t>
      </w:r>
      <w:r w:rsidR="00D90ED9" w:rsidRPr="0019661E">
        <w:t>maximise</w:t>
      </w:r>
      <w:r w:rsidR="00D90ED9" w:rsidRPr="00915D25">
        <w:t xml:space="preserve"> the public benefit from spectrum use </w:t>
      </w:r>
      <w:r w:rsidR="000E64A7">
        <w:t>and may</w:t>
      </w:r>
      <w:r w:rsidR="000E64A7" w:rsidRPr="00915D25">
        <w:t xml:space="preserve"> </w:t>
      </w:r>
      <w:r w:rsidR="00D90ED9" w:rsidRPr="00915D25">
        <w:t>reduc</w:t>
      </w:r>
      <w:r w:rsidR="00827878">
        <w:t xml:space="preserve">e </w:t>
      </w:r>
      <w:r w:rsidR="00D90ED9" w:rsidRPr="00915D25">
        <w:t xml:space="preserve">the risk of </w:t>
      </w:r>
      <w:r w:rsidR="00A66757">
        <w:t xml:space="preserve">sub-optimal </w:t>
      </w:r>
      <w:r w:rsidR="00D90ED9" w:rsidRPr="00915D25">
        <w:t xml:space="preserve">market </w:t>
      </w:r>
      <w:r w:rsidR="00A66757">
        <w:t>outcomes</w:t>
      </w:r>
      <w:r w:rsidR="00D90ED9" w:rsidRPr="00915D25">
        <w:t xml:space="preserve"> arising from uncertainty and risk aversion. </w:t>
      </w:r>
      <w:r w:rsidR="005A79EC">
        <w:t>In line with the MPS, providing spectrum licensees with sufficient investment certainty will promote competitive market outcomes</w:t>
      </w:r>
      <w:r w:rsidR="006C3CBB">
        <w:t>,</w:t>
      </w:r>
      <w:r w:rsidR="005A79EC">
        <w:t xml:space="preserve"> as licensees can rely on the long tenure of their licence to generate a return on their investment.</w:t>
      </w:r>
    </w:p>
    <w:p w14:paraId="1A8F2993" w14:textId="30DB1D14" w:rsidR="000C25D6" w:rsidRPr="00915D25" w:rsidRDefault="000C25D6" w:rsidP="00D90ED9">
      <w:pPr>
        <w:pStyle w:val="Paragraph"/>
      </w:pPr>
      <w:r>
        <w:t xml:space="preserve">When the </w:t>
      </w:r>
      <w:r w:rsidR="006C3CBB">
        <w:t>g</w:t>
      </w:r>
      <w:r w:rsidR="0068612C">
        <w:t xml:space="preserve">overnment </w:t>
      </w:r>
      <w:r w:rsidR="000E27CD">
        <w:t xml:space="preserve">consulted on reforms to the Act, </w:t>
      </w:r>
      <w:r w:rsidR="004738F1" w:rsidRPr="004738F1">
        <w:t>stakeholders expressed near unanimous support</w:t>
      </w:r>
      <w:r w:rsidR="004738F1">
        <w:t xml:space="preserve"> for extending </w:t>
      </w:r>
      <w:r w:rsidR="00602857">
        <w:t xml:space="preserve">the </w:t>
      </w:r>
      <w:r w:rsidR="00F96881">
        <w:t>maximum spectrum licence duration to 20 years</w:t>
      </w:r>
      <w:r w:rsidR="004738F1" w:rsidRPr="004738F1">
        <w:t xml:space="preserve">, noting that the longer terms would provide the stability to help facilitate long-term investment in networks. </w:t>
      </w:r>
    </w:p>
    <w:p w14:paraId="7FB13062" w14:textId="77777777" w:rsidR="00AC7CAB" w:rsidRDefault="00AC7CAB" w:rsidP="00AC7CAB">
      <w:pPr>
        <w:pStyle w:val="Heading3"/>
      </w:pPr>
      <w:r>
        <w:t>Defragmentation</w:t>
      </w:r>
    </w:p>
    <w:p w14:paraId="011544BB" w14:textId="6E12231F" w:rsidR="00C94BA8" w:rsidRDefault="00E50286" w:rsidP="00FF14BA">
      <w:pPr>
        <w:pStyle w:val="Paragraph"/>
      </w:pPr>
      <w:r>
        <w:t>While long</w:t>
      </w:r>
      <w:r w:rsidR="00560A75">
        <w:t xml:space="preserve"> licence terms </w:t>
      </w:r>
      <w:r w:rsidR="00561063">
        <w:t>can enhance the efficiency of allocation and use of the spectrum,</w:t>
      </w:r>
      <w:r w:rsidR="00F85A9C">
        <w:t xml:space="preserve"> there is often a case to use truncated licence terms to </w:t>
      </w:r>
      <w:r w:rsidR="009B0860">
        <w:t xml:space="preserve">increase the likelihood of </w:t>
      </w:r>
      <w:r w:rsidR="00E42402">
        <w:t>band defragmentation.</w:t>
      </w:r>
    </w:p>
    <w:p w14:paraId="252ABE77" w14:textId="5F236C0E" w:rsidR="00FE2049" w:rsidRDefault="003909E9" w:rsidP="00FF14BA">
      <w:pPr>
        <w:pStyle w:val="Paragraph"/>
      </w:pPr>
      <w:r>
        <w:t>The spectrum proposed for re</w:t>
      </w:r>
      <w:r>
        <w:noBreakHyphen/>
        <w:t>allocation may be obtained by existing licensees to supplement existing 3.4 GHz band spectrum holdings</w:t>
      </w:r>
      <w:r w:rsidR="006E102B">
        <w:t>.</w:t>
      </w:r>
      <w:r>
        <w:t xml:space="preserve"> </w:t>
      </w:r>
      <w:r w:rsidR="006E102B">
        <w:t xml:space="preserve">We expect these </w:t>
      </w:r>
      <w:r w:rsidR="0030402E">
        <w:t>licensees</w:t>
      </w:r>
      <w:r w:rsidR="006E102B">
        <w:t xml:space="preserve"> will be interested in </w:t>
      </w:r>
      <w:r w:rsidR="000369D6">
        <w:t>cons</w:t>
      </w:r>
      <w:r w:rsidR="00022EEF">
        <w:t>ol</w:t>
      </w:r>
      <w:r w:rsidR="000369D6">
        <w:t xml:space="preserve">idating any spectrum obtained with </w:t>
      </w:r>
      <w:r w:rsidR="00C64856">
        <w:t xml:space="preserve">their </w:t>
      </w:r>
      <w:r w:rsidR="000369D6">
        <w:t xml:space="preserve">existing holdings. </w:t>
      </w:r>
      <w:r w:rsidR="00892F51">
        <w:t xml:space="preserve">Responses to our previous </w:t>
      </w:r>
      <w:r w:rsidR="001C10EE">
        <w:t xml:space="preserve">consultations on planning arrangements within the band have indicated that defragmentation </w:t>
      </w:r>
      <w:r w:rsidR="00460945">
        <w:t xml:space="preserve">is </w:t>
      </w:r>
      <w:r w:rsidR="00920A55">
        <w:t>desired as it result</w:t>
      </w:r>
      <w:r w:rsidR="0030402E">
        <w:t>s</w:t>
      </w:r>
      <w:r w:rsidR="00920A55">
        <w:t xml:space="preserve"> in more </w:t>
      </w:r>
      <w:r w:rsidR="0030402E">
        <w:t>efficient</w:t>
      </w:r>
      <w:r w:rsidR="00920A55">
        <w:t xml:space="preserve"> use of spectrum and </w:t>
      </w:r>
      <w:r w:rsidR="009E34B1">
        <w:t xml:space="preserve">can </w:t>
      </w:r>
      <w:r w:rsidR="00920A55">
        <w:t xml:space="preserve">reduce deployment </w:t>
      </w:r>
      <w:r w:rsidR="009E34B1">
        <w:t>costs</w:t>
      </w:r>
      <w:r w:rsidR="00460945">
        <w:t xml:space="preserve">. </w:t>
      </w:r>
      <w:r w:rsidR="003B6876">
        <w:t>Defragmentation of the 3400</w:t>
      </w:r>
      <w:r w:rsidR="006C3CBB" w:rsidRPr="001E4379">
        <w:t>–</w:t>
      </w:r>
      <w:r w:rsidR="003B6876">
        <w:t xml:space="preserve">3800 MHz band </w:t>
      </w:r>
      <w:r w:rsidR="00E14F58">
        <w:t>is in line with</w:t>
      </w:r>
      <w:r w:rsidR="003B6876">
        <w:t xml:space="preserve"> </w:t>
      </w:r>
      <w:r w:rsidR="002726EF">
        <w:t>the</w:t>
      </w:r>
      <w:r w:rsidR="003B6876">
        <w:t xml:space="preserve"> objective </w:t>
      </w:r>
      <w:r w:rsidR="002726EF">
        <w:t>stated in the MPS</w:t>
      </w:r>
      <w:r w:rsidR="003B6876">
        <w:t xml:space="preserve"> </w:t>
      </w:r>
      <w:r w:rsidR="002726EF">
        <w:t xml:space="preserve">to </w:t>
      </w:r>
      <w:r w:rsidR="003B6876" w:rsidRPr="00A71E0A">
        <w:t>support</w:t>
      </w:r>
      <w:r w:rsidR="00EF77A5" w:rsidRPr="00A71E0A">
        <w:t xml:space="preserve"> the deployment of new and innovative technologies</w:t>
      </w:r>
      <w:r w:rsidR="006C3CBB">
        <w:t>,</w:t>
      </w:r>
      <w:r w:rsidR="00446743">
        <w:t xml:space="preserve"> such as 5G</w:t>
      </w:r>
      <w:r w:rsidR="00EF77A5" w:rsidRPr="00A2743E">
        <w:t>.</w:t>
      </w:r>
    </w:p>
    <w:p w14:paraId="670F8B93" w14:textId="5C7AA78F" w:rsidR="00B45A63" w:rsidRDefault="00460945" w:rsidP="00717956">
      <w:pPr>
        <w:pStyle w:val="Paragraph"/>
      </w:pPr>
      <w:r>
        <w:t>Therefore</w:t>
      </w:r>
      <w:r w:rsidR="00F05289">
        <w:t>, we seek</w:t>
      </w:r>
      <w:r w:rsidR="00F05289" w:rsidRPr="00FD5923">
        <w:t xml:space="preserve"> to </w:t>
      </w:r>
      <w:r w:rsidR="00053D1A">
        <w:t>facilitate</w:t>
      </w:r>
      <w:r w:rsidR="00F05289" w:rsidRPr="00FD5923">
        <w:t xml:space="preserve"> defragmentation</w:t>
      </w:r>
      <w:r w:rsidR="00053D1A">
        <w:t xml:space="preserve"> </w:t>
      </w:r>
      <w:r w:rsidR="00CE61BB">
        <w:t>where possible</w:t>
      </w:r>
      <w:r w:rsidR="00E14F58">
        <w:t>.</w:t>
      </w:r>
      <w:r w:rsidR="00F05289" w:rsidRPr="00FD5923">
        <w:t xml:space="preserve"> </w:t>
      </w:r>
      <w:r>
        <w:t>One way to do this is</w:t>
      </w:r>
      <w:r w:rsidR="00674471">
        <w:t xml:space="preserve"> </w:t>
      </w:r>
      <w:r w:rsidR="00FF14BA">
        <w:t xml:space="preserve">by </w:t>
      </w:r>
      <w:r w:rsidR="00B45A63" w:rsidRPr="00FD5923">
        <w:t>align</w:t>
      </w:r>
      <w:r w:rsidR="00FF14BA">
        <w:t>ing</w:t>
      </w:r>
      <w:r w:rsidR="00B45A63" w:rsidRPr="00FD5923">
        <w:t xml:space="preserve"> expiry dates</w:t>
      </w:r>
      <w:r w:rsidR="00053D1A">
        <w:t xml:space="preserve"> of any new spectrum licences</w:t>
      </w:r>
      <w:r w:rsidR="00B45A63" w:rsidRPr="00FD5923">
        <w:t xml:space="preserve"> with </w:t>
      </w:r>
      <w:r w:rsidR="004917F7">
        <w:t>existing licences in the 3400</w:t>
      </w:r>
      <w:r w:rsidR="006C3CBB" w:rsidRPr="001E4379">
        <w:t>–</w:t>
      </w:r>
      <w:r w:rsidR="004917F7">
        <w:t xml:space="preserve">3700 MHz </w:t>
      </w:r>
      <w:r w:rsidR="0006685C">
        <w:t>frequency range</w:t>
      </w:r>
      <w:r w:rsidR="006635D7">
        <w:t xml:space="preserve">. </w:t>
      </w:r>
      <w:r w:rsidR="006E672E">
        <w:t xml:space="preserve">In the event of a market-led defragmentation, uniform licence expiry dates </w:t>
      </w:r>
      <w:r w:rsidR="00AB6B15">
        <w:t xml:space="preserve">would </w:t>
      </w:r>
      <w:r w:rsidR="00EA75F2">
        <w:t xml:space="preserve">potentially </w:t>
      </w:r>
      <w:r w:rsidR="00AB6B15">
        <w:t xml:space="preserve">simplify </w:t>
      </w:r>
      <w:r w:rsidR="000E45DA">
        <w:t xml:space="preserve">defragmentation processes </w:t>
      </w:r>
      <w:r w:rsidR="00AB6B15">
        <w:t xml:space="preserve">as </w:t>
      </w:r>
      <w:r w:rsidR="00725884">
        <w:t>the</w:t>
      </w:r>
      <w:r w:rsidR="000612CC">
        <w:t xml:space="preserve">re </w:t>
      </w:r>
      <w:r w:rsidR="00725884">
        <w:t xml:space="preserve">would be </w:t>
      </w:r>
      <w:r w:rsidR="000612CC">
        <w:t xml:space="preserve">no need to determine the </w:t>
      </w:r>
      <w:r w:rsidR="00CE5447">
        <w:t xml:space="preserve">difference in value between </w:t>
      </w:r>
      <w:r w:rsidR="00D55BF2">
        <w:t xml:space="preserve">spectrum traded </w:t>
      </w:r>
      <w:r w:rsidR="00776D7E">
        <w:t xml:space="preserve">with different </w:t>
      </w:r>
      <w:r w:rsidR="000F7C3E">
        <w:t>expiry dates.</w:t>
      </w:r>
      <w:r w:rsidR="00056C13">
        <w:t xml:space="preserve"> </w:t>
      </w:r>
    </w:p>
    <w:p w14:paraId="628D0ED9" w14:textId="09FB79BC" w:rsidR="00F07705" w:rsidRDefault="00F07705" w:rsidP="00E808EB">
      <w:pPr>
        <w:pStyle w:val="Heading3"/>
      </w:pPr>
      <w:r>
        <w:t>Licence renewal</w:t>
      </w:r>
    </w:p>
    <w:p w14:paraId="0CED54CE" w14:textId="5AA64D3F" w:rsidR="00FA7AB2" w:rsidRDefault="00FA7AB2" w:rsidP="00B45A63">
      <w:pPr>
        <w:pStyle w:val="Paragraph"/>
      </w:pPr>
      <w:r>
        <w:t xml:space="preserve">At licence expiry, </w:t>
      </w:r>
      <w:r w:rsidR="00124E7E">
        <w:t xml:space="preserve">depending on the terms of </w:t>
      </w:r>
      <w:r w:rsidR="00644833">
        <w:t>a</w:t>
      </w:r>
      <w:r w:rsidR="00124E7E">
        <w:t xml:space="preserve"> renewal statement included in the </w:t>
      </w:r>
      <w:r w:rsidR="00287EAD">
        <w:t>licence</w:t>
      </w:r>
      <w:r w:rsidR="00124E7E">
        <w:t>,</w:t>
      </w:r>
      <w:r>
        <w:t xml:space="preserve"> we may consider options for renewing spectrum licences or conducting a market allocation of the spectrum</w:t>
      </w:r>
      <w:r w:rsidR="00946767">
        <w:t xml:space="preserve">. </w:t>
      </w:r>
    </w:p>
    <w:p w14:paraId="648F7D2C" w14:textId="54537685" w:rsidR="00521691" w:rsidRDefault="00B45A63" w:rsidP="00B45A63">
      <w:pPr>
        <w:pStyle w:val="Paragraph"/>
      </w:pPr>
      <w:r>
        <w:t xml:space="preserve">In </w:t>
      </w:r>
      <w:hyperlink r:id="rId89" w:history="1">
        <w:r w:rsidRPr="00810C53">
          <w:rPr>
            <w:rStyle w:val="Hyperlink"/>
            <w:i/>
            <w:iCs/>
          </w:rPr>
          <w:t>Our approach to radiocommunications licensing and allocation</w:t>
        </w:r>
      </w:hyperlink>
      <w:r>
        <w:t>, we identified that for spectrum licences in force at the commencement of the Modernisation Act</w:t>
      </w:r>
      <w:r w:rsidR="006A5DD9">
        <w:t xml:space="preserve"> </w:t>
      </w:r>
      <w:r w:rsidR="006C3CBB">
        <w:t xml:space="preserve">that </w:t>
      </w:r>
      <w:r w:rsidR="006A5DD9">
        <w:t>do not include renewal statements</w:t>
      </w:r>
      <w:r>
        <w:t xml:space="preserve">, we would </w:t>
      </w:r>
      <w:r w:rsidR="00237610">
        <w:t>generally</w:t>
      </w:r>
      <w:r>
        <w:t xml:space="preserve"> begin </w:t>
      </w:r>
      <w:r w:rsidR="006C3CBB">
        <w:t xml:space="preserve">considering </w:t>
      </w:r>
      <w:r>
        <w:t xml:space="preserve">licence renewal </w:t>
      </w:r>
      <w:r w:rsidR="006C3CBB">
        <w:t>5 </w:t>
      </w:r>
      <w:r>
        <w:t>years from expiry, with a</w:t>
      </w:r>
      <w:r w:rsidR="00694442">
        <w:t xml:space="preserve"> policy</w:t>
      </w:r>
      <w:r>
        <w:t xml:space="preserve"> outcome identified no later than 2 years from expiry.</w:t>
      </w:r>
      <w:r w:rsidR="00287EAD">
        <w:rPr>
          <w:rStyle w:val="FootnoteReference"/>
        </w:rPr>
        <w:footnoteReference w:id="14"/>
      </w:r>
      <w:r>
        <w:t xml:space="preserve"> </w:t>
      </w:r>
      <w:r w:rsidR="00457D9E">
        <w:t xml:space="preserve">Further, if spectrum licences are proposed to be renewed for </w:t>
      </w:r>
      <w:r w:rsidR="006C3CBB">
        <w:t>10 </w:t>
      </w:r>
      <w:r w:rsidR="00457D9E">
        <w:t xml:space="preserve">years or longer, we must consider whether it is in the public interest to renew. </w:t>
      </w:r>
      <w:r w:rsidR="009F56A6">
        <w:t xml:space="preserve">This </w:t>
      </w:r>
      <w:r w:rsidR="00186CA7">
        <w:t>will</w:t>
      </w:r>
      <w:r w:rsidR="009F56A6">
        <w:t xml:space="preserve"> be the case for existing spectrum licences in the 3400</w:t>
      </w:r>
      <w:r w:rsidR="006C3CBB" w:rsidRPr="001E4379">
        <w:t>–</w:t>
      </w:r>
      <w:r w:rsidR="009F56A6">
        <w:t>3575 MHz frequency range</w:t>
      </w:r>
      <w:r w:rsidR="00521691">
        <w:t>.</w:t>
      </w:r>
    </w:p>
    <w:p w14:paraId="395A9BB7" w14:textId="660ACAAF" w:rsidR="00B45A63" w:rsidRDefault="00B45A63" w:rsidP="00B45A63">
      <w:pPr>
        <w:pStyle w:val="Paragraph"/>
      </w:pPr>
      <w:r>
        <w:t xml:space="preserve">For </w:t>
      </w:r>
      <w:r w:rsidR="00156F51">
        <w:t xml:space="preserve">any </w:t>
      </w:r>
      <w:r>
        <w:t>spectrum licences in the 3</w:t>
      </w:r>
      <w:r w:rsidR="00F900E0">
        <w:t>400</w:t>
      </w:r>
      <w:r w:rsidR="006C3CBB" w:rsidRPr="001E4379">
        <w:t>–</w:t>
      </w:r>
      <w:r w:rsidR="00F900E0">
        <w:t>3800</w:t>
      </w:r>
      <w:r w:rsidR="0006685C">
        <w:t> </w:t>
      </w:r>
      <w:r w:rsidR="00F900E0">
        <w:t>MHz</w:t>
      </w:r>
      <w:r>
        <w:t xml:space="preserve"> band, we would likely take into account the potential for further defragmentation of the band when considering spectrum licence renewal</w:t>
      </w:r>
      <w:r w:rsidR="00694442">
        <w:t>, if any</w:t>
      </w:r>
      <w:r>
        <w:t xml:space="preserve">. </w:t>
      </w:r>
    </w:p>
    <w:p w14:paraId="5601AB7C" w14:textId="32EE9014" w:rsidR="00DD7C85" w:rsidRDefault="00DD7C85" w:rsidP="00B45A63">
      <w:pPr>
        <w:pStyle w:val="Paragraph"/>
      </w:pPr>
      <w:r>
        <w:t>We will consult on the terms of renewal statements to be included i</w:t>
      </w:r>
      <w:r w:rsidR="00EB4192">
        <w:t xml:space="preserve">n the new </w:t>
      </w:r>
      <w:r w:rsidR="006B49F0">
        <w:t>3.4</w:t>
      </w:r>
      <w:r w:rsidR="00B6611B">
        <w:t xml:space="preserve"> GHz and </w:t>
      </w:r>
      <w:r w:rsidR="006B49F0">
        <w:t>3.7</w:t>
      </w:r>
      <w:r w:rsidR="00111407">
        <w:t> </w:t>
      </w:r>
      <w:r w:rsidR="006B49F0">
        <w:t xml:space="preserve">GHz spectrum licences </w:t>
      </w:r>
      <w:r w:rsidR="00B6611B">
        <w:t>at</w:t>
      </w:r>
      <w:r w:rsidR="003E68B4">
        <w:t xml:space="preserve"> a later </w:t>
      </w:r>
      <w:r w:rsidR="00446743">
        <w:t>date</w:t>
      </w:r>
      <w:r w:rsidR="00223DEC">
        <w:t>.</w:t>
      </w:r>
      <w:r w:rsidR="006B49F0">
        <w:t xml:space="preserve"> </w:t>
      </w:r>
    </w:p>
    <w:p w14:paraId="51AE4CD6" w14:textId="25E4CB77" w:rsidR="00F07705" w:rsidRDefault="00F07705" w:rsidP="003E73E1">
      <w:pPr>
        <w:pStyle w:val="Heading3"/>
      </w:pPr>
      <w:r>
        <w:t>Re-allocation period</w:t>
      </w:r>
    </w:p>
    <w:p w14:paraId="6414929F" w14:textId="2EF5FB55" w:rsidR="00B45A63" w:rsidRPr="00427844" w:rsidRDefault="00B45A63" w:rsidP="00B45A63">
      <w:pPr>
        <w:pStyle w:val="Paragraph"/>
      </w:pPr>
      <w:r>
        <w:t xml:space="preserve">Another relevant factor in this context is the re-allocation period. </w:t>
      </w:r>
      <w:r w:rsidR="00355EE2">
        <w:t>If we set</w:t>
      </w:r>
      <w:r>
        <w:t xml:space="preserve"> a re</w:t>
      </w:r>
      <w:r w:rsidR="00355EE2">
        <w:noBreakHyphen/>
      </w:r>
      <w:r>
        <w:t xml:space="preserve">allocation period </w:t>
      </w:r>
      <w:r w:rsidR="00355EE2">
        <w:t>of 5 years</w:t>
      </w:r>
      <w:r>
        <w:t xml:space="preserve">, as proposed in this paper, then under section 153H of the Act, it is not until </w:t>
      </w:r>
      <w:r w:rsidR="006C3CBB">
        <w:t xml:space="preserve">5 </w:t>
      </w:r>
      <w:r>
        <w:t xml:space="preserve">years following the </w:t>
      </w:r>
      <w:r w:rsidR="00694442">
        <w:t xml:space="preserve">commencement of the </w:t>
      </w:r>
      <w:r>
        <w:t>re</w:t>
      </w:r>
      <w:r w:rsidR="00A964C2">
        <w:t>-</w:t>
      </w:r>
      <w:r>
        <w:t xml:space="preserve">allocation declaration that the incumbent </w:t>
      </w:r>
      <w:r w:rsidR="00694442">
        <w:t xml:space="preserve">apparatus </w:t>
      </w:r>
      <w:r>
        <w:t xml:space="preserve">licences (if any remain) would be cancelled by the </w:t>
      </w:r>
      <w:r w:rsidR="00694442">
        <w:t>Act</w:t>
      </w:r>
      <w:r>
        <w:t>. If the re</w:t>
      </w:r>
      <w:r w:rsidR="00D85C90">
        <w:noBreakHyphen/>
      </w:r>
      <w:r>
        <w:t>allocation declaration is made</w:t>
      </w:r>
      <w:r w:rsidR="006146B9">
        <w:t xml:space="preserve"> and commences</w:t>
      </w:r>
      <w:r>
        <w:t xml:space="preserve"> in Q2 2022, </w:t>
      </w:r>
      <w:r w:rsidR="006146B9">
        <w:t xml:space="preserve">this </w:t>
      </w:r>
      <w:r>
        <w:t xml:space="preserve">means that incumbent </w:t>
      </w:r>
      <w:r w:rsidR="006146B9">
        <w:t xml:space="preserve">apparatus </w:t>
      </w:r>
      <w:r>
        <w:t xml:space="preserve">licensees would have rights to use </w:t>
      </w:r>
      <w:r w:rsidR="006146B9">
        <w:t xml:space="preserve">their licences in the spectrum to be re-allocated </w:t>
      </w:r>
      <w:r>
        <w:t>until Q2 2027, which is approximately 3.5</w:t>
      </w:r>
      <w:r w:rsidR="00D85C90">
        <w:t> </w:t>
      </w:r>
      <w:r>
        <w:t>years from a licence expiry date of 13 December 2030.</w:t>
      </w:r>
    </w:p>
    <w:p w14:paraId="6927714D" w14:textId="7574E026" w:rsidR="009052D0" w:rsidRDefault="009052D0" w:rsidP="00EA75F2">
      <w:pPr>
        <w:pStyle w:val="Heading3"/>
        <w:keepLines/>
      </w:pPr>
      <w:r>
        <w:t>Licence term options</w:t>
      </w:r>
    </w:p>
    <w:p w14:paraId="0449C11F" w14:textId="6C945311" w:rsidR="00B45A63" w:rsidRDefault="006C3CBB" w:rsidP="00EA75F2">
      <w:pPr>
        <w:pStyle w:val="Paragraphbeforelist"/>
        <w:keepLines/>
      </w:pPr>
      <w:r>
        <w:t xml:space="preserve">There are 3 </w:t>
      </w:r>
      <w:r w:rsidR="00B45A63">
        <w:t xml:space="preserve">options for licence terms for the </w:t>
      </w:r>
      <w:r w:rsidR="002914E7" w:rsidRPr="002914E7">
        <w:t>3.4 GHz and 3.7 GHz</w:t>
      </w:r>
      <w:r w:rsidR="002914E7">
        <w:t xml:space="preserve"> </w:t>
      </w:r>
      <w:r w:rsidR="00B45A63">
        <w:t>spectrum licences:</w:t>
      </w:r>
    </w:p>
    <w:p w14:paraId="1C827032" w14:textId="33D41B87" w:rsidR="00B45A63" w:rsidRDefault="002914E7" w:rsidP="00EA75F2">
      <w:pPr>
        <w:pStyle w:val="ListNumber"/>
        <w:keepNext/>
        <w:keepLines/>
        <w:numPr>
          <w:ilvl w:val="0"/>
          <w:numId w:val="59"/>
        </w:numPr>
      </w:pPr>
      <w:r>
        <w:t>s</w:t>
      </w:r>
      <w:r w:rsidR="00B45A63">
        <w:t xml:space="preserve">hort duration: licence expiry on 13 December 2030 </w:t>
      </w:r>
    </w:p>
    <w:p w14:paraId="5316EEE7" w14:textId="419C8096" w:rsidR="00B45A63" w:rsidRDefault="002914E7" w:rsidP="00EA75F2">
      <w:pPr>
        <w:pStyle w:val="Numberlistlevel1"/>
        <w:keepNext/>
        <w:keepLines/>
      </w:pPr>
      <w:r>
        <w:t>h</w:t>
      </w:r>
      <w:r w:rsidR="00B45A63">
        <w:t xml:space="preserve">ybrid option: licence expiry </w:t>
      </w:r>
      <w:r w:rsidR="00706DD0">
        <w:t>on</w:t>
      </w:r>
      <w:r w:rsidR="00B45A63">
        <w:t xml:space="preserve"> 13 December 2030 for 3.4 GHz licences, </w:t>
      </w:r>
      <w:r w:rsidR="006C3CBB">
        <w:t>20-year</w:t>
      </w:r>
      <w:r w:rsidR="00B45A63">
        <w:t xml:space="preserve"> licence term for 3.7 GHz licences</w:t>
      </w:r>
    </w:p>
    <w:p w14:paraId="31D7EB5C" w14:textId="7A233C75" w:rsidR="00B45A63" w:rsidRDefault="002914E7" w:rsidP="00EA75F2">
      <w:pPr>
        <w:pStyle w:val="Numberlistlast"/>
        <w:keepNext/>
        <w:keepLines/>
      </w:pPr>
      <w:r>
        <w:t>l</w:t>
      </w:r>
      <w:r w:rsidR="00B45A63">
        <w:t>ong duration: 20-year licence terms</w:t>
      </w:r>
      <w:r w:rsidR="006146B9">
        <w:t>.</w:t>
      </w:r>
    </w:p>
    <w:p w14:paraId="198B97D9" w14:textId="3E6CE983" w:rsidR="00B777E5" w:rsidRDefault="001C656B" w:rsidP="00EA75F2">
      <w:pPr>
        <w:pStyle w:val="Paragraph"/>
        <w:keepNext/>
        <w:keepLines/>
      </w:pPr>
      <w:r>
        <w:t>We note that stakeholders may identify variations to these options.</w:t>
      </w:r>
    </w:p>
    <w:p w14:paraId="436D0149" w14:textId="5F4FC5C3" w:rsidR="00B45A63" w:rsidRDefault="00B45A63" w:rsidP="00B45A63">
      <w:pPr>
        <w:pStyle w:val="Heading4"/>
      </w:pPr>
      <w:r>
        <w:t xml:space="preserve">Short duration </w:t>
      </w:r>
    </w:p>
    <w:p w14:paraId="07DFA706" w14:textId="1E9B3A7B" w:rsidR="003E73E1" w:rsidRDefault="00B45A63" w:rsidP="00B45A63">
      <w:pPr>
        <w:pStyle w:val="Paragraph"/>
      </w:pPr>
      <w:r>
        <w:t xml:space="preserve">A short licence term for both the 3.4 GHz and 3.7 GHz bands would align expiry dates for adjacent spectrum in the 3.4 GHz and 3.6 GHz bands. </w:t>
      </w:r>
      <w:r w:rsidR="004E66F0">
        <w:t xml:space="preserve">The expiry date of existing licences in the </w:t>
      </w:r>
      <w:r w:rsidR="004D0A91">
        <w:t xml:space="preserve">adjacent </w:t>
      </w:r>
      <w:r w:rsidR="004E66F0">
        <w:t>band</w:t>
      </w:r>
      <w:r w:rsidR="004D0A91">
        <w:t>s</w:t>
      </w:r>
      <w:r w:rsidR="004E66F0">
        <w:t xml:space="preserve"> is 13 December 2030. </w:t>
      </w:r>
    </w:p>
    <w:p w14:paraId="36340226" w14:textId="5B53A6DB" w:rsidR="007B5555" w:rsidRDefault="00EC689D" w:rsidP="007B5555">
      <w:pPr>
        <w:pStyle w:val="Paragraph"/>
      </w:pPr>
      <w:r>
        <w:t>While a</w:t>
      </w:r>
      <w:r w:rsidR="00A934A5" w:rsidDel="00EC689D">
        <w:t xml:space="preserve"> </w:t>
      </w:r>
      <w:r w:rsidR="00A934A5">
        <w:t>short licence duration</w:t>
      </w:r>
      <w:r w:rsidR="00A934A5" w:rsidRPr="008368D7">
        <w:t xml:space="preserve"> introduces risks </w:t>
      </w:r>
      <w:r w:rsidR="007D1494">
        <w:t>of</w:t>
      </w:r>
      <w:r w:rsidR="007D1494" w:rsidRPr="008368D7">
        <w:t xml:space="preserve"> </w:t>
      </w:r>
      <w:r w:rsidR="00A934A5" w:rsidRPr="008368D7">
        <w:t>investment uncertainty</w:t>
      </w:r>
      <w:r w:rsidR="00B745A4">
        <w:t xml:space="preserve">, in this context the balancing consideration is whether a shorter licence duration </w:t>
      </w:r>
      <w:r w:rsidR="007B5555">
        <w:t xml:space="preserve">assists in facilitating a simplified defragmentation process, ultimately to </w:t>
      </w:r>
      <w:r w:rsidR="0030372A">
        <w:t>the</w:t>
      </w:r>
      <w:r w:rsidR="007B5555">
        <w:t xml:space="preserve"> </w:t>
      </w:r>
      <w:r w:rsidR="007D1494">
        <w:t>longer-term</w:t>
      </w:r>
      <w:r w:rsidR="007B5555">
        <w:t xml:space="preserve"> benefit </w:t>
      </w:r>
      <w:r w:rsidR="0030372A">
        <w:t>of</w:t>
      </w:r>
      <w:r>
        <w:t xml:space="preserve"> </w:t>
      </w:r>
      <w:r w:rsidR="00CE1144">
        <w:t>spectrum users, downstream markets and end users.</w:t>
      </w:r>
      <w:r w:rsidR="00AE35F4">
        <w:t xml:space="preserve"> At this time, the ACMA does not propose to intervene to facilitate defragmentation after licences have been issued</w:t>
      </w:r>
      <w:r w:rsidR="007D1494">
        <w:t>,</w:t>
      </w:r>
      <w:r w:rsidR="00AE35F4">
        <w:t xml:space="preserve"> but prior to expiry</w:t>
      </w:r>
      <w:r w:rsidR="007D1494">
        <w:t>,</w:t>
      </w:r>
      <w:r w:rsidR="00AE35F4">
        <w:t xml:space="preserve"> </w:t>
      </w:r>
      <w:r w:rsidR="005D1569">
        <w:t>licences will be designed with the aim to facilitate defragmentation.</w:t>
      </w:r>
      <w:r w:rsidR="00CE1144">
        <w:t xml:space="preserve"> </w:t>
      </w:r>
    </w:p>
    <w:p w14:paraId="40E62B22" w14:textId="3F5EE2EA" w:rsidR="00A033EA" w:rsidRDefault="00A033EA" w:rsidP="007B5555">
      <w:pPr>
        <w:pStyle w:val="Paragraph"/>
      </w:pPr>
      <w:r>
        <w:t xml:space="preserve">We seek views on </w:t>
      </w:r>
      <w:r w:rsidR="00C9783A">
        <w:t xml:space="preserve">whether short licence duration is likely to facilitate </w:t>
      </w:r>
      <w:r w:rsidR="00A934A5">
        <w:t xml:space="preserve">market-led </w:t>
      </w:r>
      <w:r w:rsidR="00A63DB4">
        <w:t>defragmentation</w:t>
      </w:r>
      <w:r w:rsidR="00A934A5">
        <w:t xml:space="preserve"> before 13 December 2030</w:t>
      </w:r>
      <w:r w:rsidR="00A63DB4">
        <w:t>.</w:t>
      </w:r>
    </w:p>
    <w:p w14:paraId="63F12C99" w14:textId="4A0E62E3" w:rsidR="00B45A63" w:rsidRPr="00FD5923" w:rsidRDefault="00B45A63" w:rsidP="00186127">
      <w:pPr>
        <w:pStyle w:val="Heading4"/>
        <w:keepNext/>
      </w:pPr>
      <w:r w:rsidRPr="00FD5923">
        <w:t>Hybrid option</w:t>
      </w:r>
    </w:p>
    <w:p w14:paraId="3C077259" w14:textId="260CD01E" w:rsidR="00687327" w:rsidRDefault="00687327" w:rsidP="00B45A63">
      <w:pPr>
        <w:pStyle w:val="Paragraph"/>
      </w:pPr>
      <w:r>
        <w:t xml:space="preserve">Under this option, 3.4 GHz licences </w:t>
      </w:r>
      <w:r w:rsidR="008727A3">
        <w:t xml:space="preserve">and </w:t>
      </w:r>
      <w:r w:rsidR="008A476E">
        <w:t xml:space="preserve">licences for the use of </w:t>
      </w:r>
      <w:r w:rsidR="008727A3">
        <w:t xml:space="preserve">spectrum in </w:t>
      </w:r>
      <w:r w:rsidR="008A476E">
        <w:t>the urban excise areas</w:t>
      </w:r>
      <w:r>
        <w:t xml:space="preserve"> would be issued for a term ending on 13 December 2030 and 3.7 GHz licences would be issued for a term of 20 years.</w:t>
      </w:r>
    </w:p>
    <w:p w14:paraId="0FE7014C" w14:textId="21124A47" w:rsidR="0069553C" w:rsidRDefault="00B45A63" w:rsidP="00B45A63">
      <w:pPr>
        <w:pStyle w:val="Paragraph"/>
      </w:pPr>
      <w:r>
        <w:t xml:space="preserve">The spectrum potentially on offer in the 3.4 GHz band is wholly surrounded (on both frequency and geographic dimensions) by licences that expire in 2030. There </w:t>
      </w:r>
      <w:r w:rsidR="00640524">
        <w:t xml:space="preserve">may be </w:t>
      </w:r>
      <w:r>
        <w:t>a stronger case for this spectrum to expire at the same time as these surrounding licences than there is for the 3.7 GHz licences</w:t>
      </w:r>
      <w:r w:rsidR="007D1494">
        <w:t>,</w:t>
      </w:r>
      <w:r>
        <w:t xml:space="preserve"> which are only upper adjacent to the 3.6</w:t>
      </w:r>
      <w:r w:rsidR="001E61D9">
        <w:t> </w:t>
      </w:r>
      <w:r>
        <w:t>GHz band.</w:t>
      </w:r>
      <w:r w:rsidR="008B495A">
        <w:t xml:space="preserve"> </w:t>
      </w:r>
    </w:p>
    <w:p w14:paraId="117DEDBD" w14:textId="79B14E9B" w:rsidR="00493BBE" w:rsidRDefault="00B45A63" w:rsidP="00B45A63">
      <w:pPr>
        <w:pStyle w:val="Paragraph"/>
      </w:pPr>
      <w:r>
        <w:t>However, it is likely that a defragmentation process that involves spectrum in 3.4 GHz and 3.6 GHz bands would optimally also include spectrum in the 3.7 GHz band (due to the standardisation of the 3</w:t>
      </w:r>
      <w:r w:rsidR="008D5B2F">
        <w:t>4</w:t>
      </w:r>
      <w:r>
        <w:t>00</w:t>
      </w:r>
      <w:r w:rsidR="007D1494" w:rsidRPr="001E4379">
        <w:t>–</w:t>
      </w:r>
      <w:r>
        <w:t xml:space="preserve">3800 MHz band). </w:t>
      </w:r>
      <w:r w:rsidR="00E34CE2">
        <w:t>Mixed</w:t>
      </w:r>
      <w:r w:rsidR="00E611A2">
        <w:t xml:space="preserve"> licence durations could </w:t>
      </w:r>
      <w:r w:rsidR="0097436F">
        <w:t xml:space="preserve">also </w:t>
      </w:r>
      <w:r w:rsidR="00E611A2">
        <w:t xml:space="preserve">complicate the </w:t>
      </w:r>
      <w:r w:rsidR="00006B2F">
        <w:t>valuation of the spectrum</w:t>
      </w:r>
      <w:r w:rsidR="003229DE">
        <w:t>,</w:t>
      </w:r>
      <w:r w:rsidR="00006B2F">
        <w:t xml:space="preserve"> and therefore bidding at auction</w:t>
      </w:r>
      <w:r w:rsidR="00BD5180">
        <w:t xml:space="preserve">. </w:t>
      </w:r>
    </w:p>
    <w:p w14:paraId="124841E8" w14:textId="11D0E567" w:rsidR="00B45A63" w:rsidRPr="00FD5923" w:rsidRDefault="00B45A63" w:rsidP="00B45A63">
      <w:pPr>
        <w:pStyle w:val="Heading4"/>
      </w:pPr>
      <w:r w:rsidRPr="00FD5923">
        <w:t>Long duration</w:t>
      </w:r>
    </w:p>
    <w:p w14:paraId="79150D30" w14:textId="5FDC0D1C" w:rsidR="00B45A63" w:rsidRDefault="00B45A63" w:rsidP="00B45A63">
      <w:pPr>
        <w:pStyle w:val="Paragraph"/>
      </w:pPr>
      <w:r>
        <w:t>A licence term of 20 years is the maximum possible under the Act.</w:t>
      </w:r>
      <w:r w:rsidR="00971937">
        <w:t xml:space="preserve"> </w:t>
      </w:r>
      <w:r w:rsidR="00410CC5">
        <w:t>A longer licence term of up to 20 years may</w:t>
      </w:r>
      <w:r w:rsidR="00EB38E0">
        <w:t xml:space="preserve"> provide licensees with the investment certainty to deploy infrastructure using their spectrum licences. </w:t>
      </w:r>
      <w:r w:rsidR="005D554C">
        <w:t xml:space="preserve">As noted above, </w:t>
      </w:r>
      <w:r w:rsidR="00CF1248">
        <w:t xml:space="preserve">investment certainty for licensees </w:t>
      </w:r>
      <w:r w:rsidR="00412F44">
        <w:t>may promote more</w:t>
      </w:r>
      <w:r w:rsidR="002354BC">
        <w:t xml:space="preserve"> competitive markets and therefore better outcomes for downstream markets and end users.</w:t>
      </w:r>
    </w:p>
    <w:p w14:paraId="5336E666" w14:textId="72D28B3E" w:rsidR="004F3FDD" w:rsidRDefault="008360F5" w:rsidP="008D0E2B">
      <w:pPr>
        <w:pStyle w:val="Paragraph"/>
      </w:pPr>
      <w:r>
        <w:t>If Option 3 is adopted, a</w:t>
      </w:r>
      <w:r w:rsidR="00AD4F75">
        <w:t xml:space="preserve"> market-led defragmentation is still possible </w:t>
      </w:r>
      <w:r w:rsidR="00EE18A7">
        <w:t xml:space="preserve">if licences </w:t>
      </w:r>
      <w:r w:rsidR="000B4C53">
        <w:t xml:space="preserve">are issued for 20 years. </w:t>
      </w:r>
      <w:r w:rsidR="009870B9">
        <w:t>If licensees</w:t>
      </w:r>
      <w:r w:rsidR="00C36BF7">
        <w:t xml:space="preserve"> wish to move and consolidate their existing holdings</w:t>
      </w:r>
      <w:r w:rsidR="00C36BF7" w:rsidDel="003F7CF2">
        <w:t xml:space="preserve">, </w:t>
      </w:r>
      <w:r w:rsidR="00C36BF7">
        <w:t>the defragmentation could be facilitated</w:t>
      </w:r>
      <w:r w:rsidR="0062114B">
        <w:t xml:space="preserve"> by the ACMA</w:t>
      </w:r>
      <w:r w:rsidR="00C36BF7">
        <w:t xml:space="preserve"> at any time via agreement from licensees under section 72 of the Act.</w:t>
      </w:r>
      <w:r w:rsidR="0062114B">
        <w:t xml:space="preserve"> </w:t>
      </w:r>
      <w:r w:rsidR="00671609">
        <w:t>This would only enable the movement of spectrum holdings in the band (</w:t>
      </w:r>
      <w:r w:rsidR="007D1494">
        <w:t>that is,</w:t>
      </w:r>
      <w:r w:rsidR="00671609">
        <w:t xml:space="preserve"> </w:t>
      </w:r>
      <w:r w:rsidR="00BA408F">
        <w:t xml:space="preserve">where </w:t>
      </w:r>
      <w:r w:rsidR="00671609">
        <w:t xml:space="preserve">each licensee would </w:t>
      </w:r>
      <w:r w:rsidR="007375C8">
        <w:t>still hold the same amount of spectrum in a given area after a section 72 variation).</w:t>
      </w:r>
      <w:r w:rsidR="0038367F">
        <w:t xml:space="preserve"> </w:t>
      </w:r>
    </w:p>
    <w:p w14:paraId="26A69FF2" w14:textId="1B7C76B9" w:rsidR="003F7CF2" w:rsidRDefault="004F3FDD" w:rsidP="004F1B26">
      <w:pPr>
        <w:pStyle w:val="Paragraph"/>
        <w:keepNext/>
        <w:keepLines/>
      </w:pPr>
      <w:r>
        <w:t>Alternatively, the ACMA may</w:t>
      </w:r>
      <w:r w:rsidR="00DB7A92">
        <w:t xml:space="preserve"> be able to facilitate defragmentation of the band at the end of the licence period. However, w</w:t>
      </w:r>
      <w:r w:rsidR="0038367F">
        <w:t>e consider that delaying the implementation of defrag</w:t>
      </w:r>
      <w:r w:rsidR="00A43713">
        <w:t>mentation</w:t>
      </w:r>
      <w:r w:rsidR="0038367F">
        <w:t xml:space="preserve"> </w:t>
      </w:r>
      <w:r w:rsidR="00C06D59">
        <w:t>by</w:t>
      </w:r>
      <w:r w:rsidR="0038367F">
        <w:t xml:space="preserve"> 20 years </w:t>
      </w:r>
      <w:r w:rsidR="00C65CE2">
        <w:t>may</w:t>
      </w:r>
      <w:r w:rsidR="0038367F">
        <w:t xml:space="preserve"> hinder the optimal deployment of technologies, both new and existing.</w:t>
      </w:r>
    </w:p>
    <w:p w14:paraId="5B271C84" w14:textId="4E2776B2" w:rsidR="008D0E2B" w:rsidRPr="00866103" w:rsidRDefault="003A5E57" w:rsidP="004F1B26">
      <w:pPr>
        <w:pStyle w:val="Paragraph"/>
        <w:keepNext/>
        <w:keepLines/>
      </w:pPr>
      <w:r>
        <w:t>A</w:t>
      </w:r>
      <w:r w:rsidR="0062114B">
        <w:t xml:space="preserve"> long licence duration</w:t>
      </w:r>
      <w:r w:rsidR="00B45A63">
        <w:t xml:space="preserve"> </w:t>
      </w:r>
      <w:r w:rsidR="008D0924">
        <w:t xml:space="preserve">could </w:t>
      </w:r>
      <w:r w:rsidR="00263CE1">
        <w:t>complicate</w:t>
      </w:r>
      <w:r w:rsidR="00B45A63">
        <w:t xml:space="preserve"> defragment</w:t>
      </w:r>
      <w:r w:rsidR="00213B8F">
        <w:t>ation</w:t>
      </w:r>
      <w:r w:rsidR="00B45A63">
        <w:t xml:space="preserve"> </w:t>
      </w:r>
      <w:r w:rsidR="00FB3A55">
        <w:t xml:space="preserve">if licensees wish to </w:t>
      </w:r>
      <w:r w:rsidR="005A79FF">
        <w:t>increase or decrease the amount of spectrum they hold in an area</w:t>
      </w:r>
      <w:r w:rsidR="004672CA">
        <w:t>.</w:t>
      </w:r>
      <w:r w:rsidR="00B45A63">
        <w:t xml:space="preserve"> </w:t>
      </w:r>
      <w:r w:rsidR="008D0E2B">
        <w:t>If licensees</w:t>
      </w:r>
      <w:r w:rsidR="008D0E2B" w:rsidDel="00600742">
        <w:t xml:space="preserve"> </w:t>
      </w:r>
      <w:r w:rsidR="008D0E2B">
        <w:t xml:space="preserve">wish to acquire additional spectrum or reduce their spectrum holdings in an area to enable an even greater degree of defragmentation, this would need to be done via the use of trades. Different expiry dates may complicate such a process. </w:t>
      </w:r>
    </w:p>
    <w:p w14:paraId="129B6EC9" w14:textId="77777777" w:rsidR="00B45A63" w:rsidRDefault="00B45A63" w:rsidP="00B45A63">
      <w:pPr>
        <w:pStyle w:val="Heading3"/>
      </w:pPr>
      <w:r>
        <w:t>Licence commencement</w:t>
      </w:r>
    </w:p>
    <w:p w14:paraId="6FF5C0B3" w14:textId="72D3C752" w:rsidR="00B45A63" w:rsidRPr="00FD5923" w:rsidRDefault="00B45A63" w:rsidP="00B45A63">
      <w:pPr>
        <w:pStyle w:val="Paragraph"/>
      </w:pPr>
      <w:r w:rsidRPr="00FD5923">
        <w:t xml:space="preserve">Typically, we seek to </w:t>
      </w:r>
      <w:r w:rsidR="00ED0B69">
        <w:t>commence</w:t>
      </w:r>
      <w:r w:rsidRPr="00FD5923">
        <w:t xml:space="preserve"> spectrum licences soon after they are allocated via </w:t>
      </w:r>
      <w:r>
        <w:t>auction to facilitate the use of this valuable resource. However, we also consider the extent of incumbency in the spectrum when determining the appropriate commencement date.</w:t>
      </w:r>
    </w:p>
    <w:p w14:paraId="41EE8F42" w14:textId="379C2EC5" w:rsidR="00B45A63" w:rsidRDefault="00CE10F5" w:rsidP="00B45A63">
      <w:pPr>
        <w:pStyle w:val="Paragraph"/>
      </w:pPr>
      <w:r>
        <w:t>A</w:t>
      </w:r>
      <w:r w:rsidR="00B45A63" w:rsidRPr="00FD5923">
        <w:t xml:space="preserve"> spectrum licence can be issued for up to 20 years. During a re</w:t>
      </w:r>
      <w:r w:rsidR="00B45A63" w:rsidRPr="00FD5923">
        <w:noBreakHyphen/>
        <w:t>allocation period, incumbent apparatus licensees may continue to operate. A spectrum licence issued before the end of the re</w:t>
      </w:r>
      <w:r w:rsidR="00B45A63" w:rsidRPr="00FD5923">
        <w:noBreakHyphen/>
        <w:t>allocation period will usually be subject to a condition that it may only operate if it can do so without causing interference to apparatus licensees in the band. If there are a number of apparatus licences in the area covered by a spectrum licence, then this requirement may have the practical effect of precluding the spectrum licensee from operat</w:t>
      </w:r>
      <w:r w:rsidR="00946E59">
        <w:t>ing</w:t>
      </w:r>
      <w:r w:rsidR="00B45A63" w:rsidRPr="00FD5923">
        <w:t xml:space="preserve"> in those encumbered areas until the end of the re</w:t>
      </w:r>
      <w:r w:rsidR="00B45A63" w:rsidRPr="00FD5923">
        <w:noBreakHyphen/>
        <w:t>allocation period.</w:t>
      </w:r>
    </w:p>
    <w:p w14:paraId="77FAB71B" w14:textId="5A454E65" w:rsidR="00B45A63" w:rsidRDefault="00B45A63" w:rsidP="00B45A63">
      <w:pPr>
        <w:pStyle w:val="Paragraph"/>
      </w:pPr>
      <w:r>
        <w:t xml:space="preserve">If there are a large number of incumbent licensees in the band, </w:t>
      </w:r>
      <w:r w:rsidR="00CE10F5">
        <w:t xml:space="preserve">the </w:t>
      </w:r>
      <w:r>
        <w:t xml:space="preserve">licence start date may follow the end of the re-allocation period, to enable the new licensees the maximum </w:t>
      </w:r>
      <w:r w:rsidRPr="00FD5923">
        <w:t>‘usable term’ of the spectrum licence</w:t>
      </w:r>
      <w:r>
        <w:t>. On the other hand, if there are few or no incumbent licensees, it would be possible to commence licences shortly after the auction.</w:t>
      </w:r>
    </w:p>
    <w:p w14:paraId="684F88BB" w14:textId="22924C75" w:rsidR="00B45A63" w:rsidRPr="00FD5923" w:rsidRDefault="00B45A63" w:rsidP="00B45A63">
      <w:pPr>
        <w:pStyle w:val="Paragraph"/>
      </w:pPr>
      <w:r>
        <w:t>In the 3.4</w:t>
      </w:r>
      <w:r w:rsidR="00FA5639">
        <w:t xml:space="preserve"> GHz and </w:t>
      </w:r>
      <w:r>
        <w:t xml:space="preserve">3.7 GHz bands, the extent of incumbency varies across the spectrum on offer. Some portions of the bands, including the 3.4 GHz urban excise, are completely unencumbered, whereas others (including </w:t>
      </w:r>
      <w:r w:rsidR="006E5A56">
        <w:t>3475</w:t>
      </w:r>
      <w:r w:rsidR="007D1494" w:rsidRPr="001E4379">
        <w:t>–</w:t>
      </w:r>
      <w:r w:rsidR="006E5A56">
        <w:t xml:space="preserve">3542.5 MHz and </w:t>
      </w:r>
      <w:r>
        <w:t>3700</w:t>
      </w:r>
      <w:r w:rsidR="007D1494" w:rsidRPr="001E4379">
        <w:t>–</w:t>
      </w:r>
      <w:r>
        <w:t xml:space="preserve">3800 MHz) have some incumbents. </w:t>
      </w:r>
    </w:p>
    <w:p w14:paraId="4E3D6CF0" w14:textId="77777777" w:rsidR="00B45A63" w:rsidRDefault="00B45A63" w:rsidP="00B45A63">
      <w:pPr>
        <w:pStyle w:val="Paragraph"/>
      </w:pPr>
      <w:r w:rsidRPr="00FD5923">
        <w:t>Where the degree of incumbency is not uniform, we consider that it may be appropriate for a spectrum licence to commence at the end of the re</w:t>
      </w:r>
      <w:r w:rsidRPr="00FD5923">
        <w:noBreakHyphen/>
        <w:t>allocation period. At a minimum, we consider that spectrum licences should commence when the majority of incumbent apparatus licensees can be expected to have relocated from the band and the ‘usable term’ is close or equal to the actual licence term.</w:t>
      </w:r>
    </w:p>
    <w:p w14:paraId="25890875" w14:textId="5F6067CA" w:rsidR="00B45A63" w:rsidRDefault="00B45A63" w:rsidP="00B45A63">
      <w:pPr>
        <w:pStyle w:val="Paragraph"/>
      </w:pPr>
      <w:r>
        <w:t xml:space="preserve">In this context, a driving factor may be the potentially truncated licence term. If we delay the licence commencement date for, say, </w:t>
      </w:r>
      <w:r w:rsidR="006730FB">
        <w:t>2</w:t>
      </w:r>
      <w:r>
        <w:t xml:space="preserve"> years following the auction, and adopt the short licence</w:t>
      </w:r>
      <w:r w:rsidR="007D1494">
        <w:t>-</w:t>
      </w:r>
      <w:r>
        <w:t>term option (</w:t>
      </w:r>
      <w:r w:rsidR="007D1494">
        <w:t>that is,</w:t>
      </w:r>
      <w:r>
        <w:t xml:space="preserve"> licences expire in 2030)</w:t>
      </w:r>
      <w:r w:rsidR="007D1494">
        <w:t>,</w:t>
      </w:r>
      <w:r>
        <w:t xml:space="preserve"> then the useable licence term may be </w:t>
      </w:r>
      <w:r w:rsidR="00B07869">
        <w:t xml:space="preserve">less than </w:t>
      </w:r>
      <w:r w:rsidR="006730FB">
        <w:t>5</w:t>
      </w:r>
      <w:r>
        <w:t xml:space="preserve"> years if incumbent operators do not vacate the band </w:t>
      </w:r>
      <w:r w:rsidR="007D1494">
        <w:t>before</w:t>
      </w:r>
      <w:r>
        <w:t xml:space="preserve"> the end </w:t>
      </w:r>
      <w:r w:rsidR="00196F0A">
        <w:t xml:space="preserve">of the </w:t>
      </w:r>
      <w:r>
        <w:t xml:space="preserve">re-allocation period. Although access to the band can usually be supported via early access arrangements, it may still be considered a sub-optimal licence term. </w:t>
      </w:r>
    </w:p>
    <w:p w14:paraId="15163F1B" w14:textId="1698A75E" w:rsidR="00B45A63" w:rsidRPr="00FD5923" w:rsidRDefault="00B45A63" w:rsidP="00B45A63">
      <w:pPr>
        <w:pStyle w:val="Paragraph"/>
      </w:pPr>
      <w:r>
        <w:t>On balance, we consider that</w:t>
      </w:r>
      <w:r w:rsidR="00B07869">
        <w:t xml:space="preserve"> spectrum</w:t>
      </w:r>
      <w:r>
        <w:t xml:space="preserve"> licence</w:t>
      </w:r>
      <w:r w:rsidR="007A1208">
        <w:t>s</w:t>
      </w:r>
      <w:r>
        <w:t xml:space="preserve"> should </w:t>
      </w:r>
      <w:r w:rsidR="007A1208">
        <w:t>commence</w:t>
      </w:r>
      <w:r>
        <w:t xml:space="preserve"> as soon as possible after</w:t>
      </w:r>
      <w:r w:rsidR="00700E0B">
        <w:t xml:space="preserve"> an</w:t>
      </w:r>
      <w:r>
        <w:t xml:space="preserve"> </w:t>
      </w:r>
      <w:r w:rsidR="007D1494">
        <w:t>auction but</w:t>
      </w:r>
      <w:r w:rsidR="00B07869">
        <w:t xml:space="preserve"> include a condition to protect incumbent apparatus licensees during the re-allocatio</w:t>
      </w:r>
      <w:r w:rsidR="00B22F51">
        <w:t>n</w:t>
      </w:r>
      <w:r w:rsidR="00B07869">
        <w:t xml:space="preserve"> period</w:t>
      </w:r>
      <w:r>
        <w:t>.</w:t>
      </w:r>
    </w:p>
    <w:p w14:paraId="117FB70B" w14:textId="0734A4F7" w:rsidR="00B45A63" w:rsidRDefault="007D1494" w:rsidP="006D3B0E">
      <w:pPr>
        <w:pStyle w:val="Heading3"/>
        <w:keepLines/>
        <w:pBdr>
          <w:top w:val="single" w:sz="4" w:space="1" w:color="auto"/>
          <w:left w:val="single" w:sz="4" w:space="1" w:color="auto"/>
          <w:bottom w:val="single" w:sz="4" w:space="1" w:color="auto"/>
          <w:right w:val="single" w:sz="4" w:space="1" w:color="auto"/>
        </w:pBdr>
        <w:shd w:val="clear" w:color="auto" w:fill="F2F2F2" w:themeFill="background1" w:themeFillShade="F2"/>
      </w:pPr>
      <w:r>
        <w:t xml:space="preserve">The </w:t>
      </w:r>
      <w:r w:rsidR="00E55CC7">
        <w:t>ACMA</w:t>
      </w:r>
      <w:r>
        <w:t>’s</w:t>
      </w:r>
      <w:r w:rsidR="00E55CC7">
        <w:t xml:space="preserve"> </w:t>
      </w:r>
      <w:r w:rsidR="00993E47">
        <w:t>view</w:t>
      </w:r>
      <w:r w:rsidR="005A5148">
        <w:t>: licence term</w:t>
      </w:r>
      <w:r w:rsidR="007211FD">
        <w:t xml:space="preserve"> and commencement</w:t>
      </w:r>
    </w:p>
    <w:p w14:paraId="4FF37EAF" w14:textId="4A9DA2C0" w:rsidR="005A5148" w:rsidRDefault="007211FD" w:rsidP="006D3B0E">
      <w:pPr>
        <w:pStyle w:val="Paragraph"/>
        <w:keepNext/>
        <w:keepLines/>
        <w:pBdr>
          <w:top w:val="single" w:sz="4" w:space="1" w:color="auto"/>
          <w:left w:val="single" w:sz="4" w:space="1" w:color="auto"/>
          <w:bottom w:val="single" w:sz="4" w:space="1" w:color="auto"/>
          <w:right w:val="single" w:sz="4" w:space="1" w:color="auto"/>
        </w:pBdr>
        <w:shd w:val="clear" w:color="auto" w:fill="F2F2F2" w:themeFill="background1" w:themeFillShade="F2"/>
      </w:pPr>
      <w:r>
        <w:t xml:space="preserve">We seek stakeholder views on the appropriate </w:t>
      </w:r>
      <w:r w:rsidR="00DB0480">
        <w:t xml:space="preserve">spectrum </w:t>
      </w:r>
      <w:r>
        <w:t>licence duration.</w:t>
      </w:r>
    </w:p>
    <w:p w14:paraId="1B75EF3E" w14:textId="6A0CDF8F" w:rsidR="00993E47" w:rsidRPr="00993E47" w:rsidRDefault="007211FD" w:rsidP="006D3B0E">
      <w:pPr>
        <w:pStyle w:val="Paragraph"/>
        <w:keepNext/>
        <w:keepLines/>
        <w:pBdr>
          <w:top w:val="single" w:sz="4" w:space="1" w:color="auto"/>
          <w:left w:val="single" w:sz="4" w:space="1" w:color="auto"/>
          <w:bottom w:val="single" w:sz="4" w:space="1" w:color="auto"/>
          <w:right w:val="single" w:sz="4" w:space="1" w:color="auto"/>
        </w:pBdr>
        <w:shd w:val="clear" w:color="auto" w:fill="F2F2F2" w:themeFill="background1" w:themeFillShade="F2"/>
      </w:pPr>
      <w:r>
        <w:t xml:space="preserve">Our preliminary view is that </w:t>
      </w:r>
      <w:r w:rsidR="005A5148">
        <w:t xml:space="preserve">licences should </w:t>
      </w:r>
      <w:r>
        <w:t xml:space="preserve">commence shortly after </w:t>
      </w:r>
      <w:r w:rsidR="00700E0B">
        <w:t>an</w:t>
      </w:r>
      <w:r>
        <w:t xml:space="preserve"> auction.</w:t>
      </w:r>
      <w:r w:rsidR="00993E47">
        <w:t xml:space="preserve"> </w:t>
      </w:r>
    </w:p>
    <w:p w14:paraId="6EDA5F11" w14:textId="77777777" w:rsidR="005C520D" w:rsidRDefault="005C520D" w:rsidP="007D1494">
      <w:pPr>
        <w:pStyle w:val="Heading2"/>
      </w:pPr>
      <w:bookmarkStart w:id="59" w:name="_Toc96940998"/>
      <w:r>
        <w:t>Frequency bandwidth configuration</w:t>
      </w:r>
      <w:bookmarkEnd w:id="59"/>
    </w:p>
    <w:p w14:paraId="5E64D7C2" w14:textId="5CDF6CE8" w:rsidR="00D110A8" w:rsidRDefault="00D110A8" w:rsidP="006E3C43">
      <w:pPr>
        <w:pStyle w:val="Paragraph"/>
        <w:keepNext/>
      </w:pPr>
      <w:r>
        <w:t xml:space="preserve">Spectrum needs to be divided into lots before it can be offered to the market. </w:t>
      </w:r>
      <w:r w:rsidRPr="00757775">
        <w:t xml:space="preserve">There are </w:t>
      </w:r>
      <w:r w:rsidR="007D1494">
        <w:t>2</w:t>
      </w:r>
      <w:r w:rsidR="007D1494" w:rsidRPr="00757775">
        <w:t xml:space="preserve"> </w:t>
      </w:r>
      <w:r w:rsidRPr="00757775">
        <w:t>dimensions to lot configuration</w:t>
      </w:r>
      <w:r>
        <w:t xml:space="preserve"> – frequency </w:t>
      </w:r>
      <w:r w:rsidRPr="00757775">
        <w:t xml:space="preserve">bandwidth and geography. </w:t>
      </w:r>
    </w:p>
    <w:p w14:paraId="514F765C" w14:textId="127826EE" w:rsidR="00D110A8" w:rsidRDefault="00D56992" w:rsidP="006E3C43">
      <w:pPr>
        <w:pStyle w:val="Paragraph"/>
        <w:keepNext/>
      </w:pPr>
      <w:r>
        <w:t>T</w:t>
      </w:r>
      <w:r w:rsidRPr="00D56992">
        <w:t>he most relevant</w:t>
      </w:r>
      <w:r w:rsidR="00D110A8">
        <w:t xml:space="preserve"> objective</w:t>
      </w:r>
      <w:r w:rsidR="00D110A8" w:rsidRPr="00757775">
        <w:t xml:space="preserve"> </w:t>
      </w:r>
      <w:r w:rsidRPr="00D56992">
        <w:t xml:space="preserve">for considering lot configuration </w:t>
      </w:r>
      <w:r w:rsidR="00D110A8" w:rsidRPr="00757775">
        <w:t xml:space="preserve">is </w:t>
      </w:r>
      <w:r w:rsidRPr="00D56992">
        <w:t>the promotion of efficiency of</w:t>
      </w:r>
      <w:r w:rsidR="00D110A8" w:rsidRPr="00757775">
        <w:t xml:space="preserve"> allocation and use</w:t>
      </w:r>
      <w:r w:rsidRPr="00D56992">
        <w:t xml:space="preserve"> of the spectrum.</w:t>
      </w:r>
      <w:r w:rsidR="00D110A8" w:rsidRPr="00757775">
        <w:t xml:space="preserve"> In </w:t>
      </w:r>
      <w:r w:rsidR="00D110A8">
        <w:t>facilitating this objective</w:t>
      </w:r>
      <w:r w:rsidR="00D110A8" w:rsidRPr="00757775">
        <w:t xml:space="preserve">, </w:t>
      </w:r>
      <w:r w:rsidR="00D110A8">
        <w:t>we must</w:t>
      </w:r>
      <w:r w:rsidR="00D110A8" w:rsidRPr="00757775">
        <w:t xml:space="preserve"> ensure that the lot configuration does not unduly limit or dictate market </w:t>
      </w:r>
      <w:r w:rsidR="007D1494" w:rsidRPr="00757775">
        <w:t>outcomes</w:t>
      </w:r>
      <w:r w:rsidR="007D1494">
        <w:t xml:space="preserve"> or</w:t>
      </w:r>
      <w:r w:rsidR="00D110A8" w:rsidRPr="00757775">
        <w:t xml:space="preserve"> hinder competition between auction participants.</w:t>
      </w:r>
    </w:p>
    <w:p w14:paraId="4A7E1080" w14:textId="4B7C5A95" w:rsidR="005C520D" w:rsidRDefault="005C520D" w:rsidP="005C520D">
      <w:pPr>
        <w:pStyle w:val="Paragraphbeforelist"/>
      </w:pPr>
      <w:r>
        <w:t xml:space="preserve">Subject to this consultation, we propose to </w:t>
      </w:r>
      <w:r w:rsidR="003F77A5">
        <w:t xml:space="preserve">declare </w:t>
      </w:r>
      <w:r>
        <w:t>the following spectrum</w:t>
      </w:r>
      <w:r w:rsidR="003F77A5">
        <w:t xml:space="preserve"> for re</w:t>
      </w:r>
      <w:r w:rsidR="000E4591">
        <w:noBreakHyphen/>
      </w:r>
      <w:r w:rsidR="003F77A5">
        <w:t>allocation</w:t>
      </w:r>
      <w:r>
        <w:t>:</w:t>
      </w:r>
    </w:p>
    <w:p w14:paraId="614BEC1E" w14:textId="6D8EDAA7" w:rsidR="005C520D" w:rsidRPr="00EC35F6" w:rsidRDefault="005C520D" w:rsidP="005C520D">
      <w:pPr>
        <w:pStyle w:val="Bulletlevel1"/>
      </w:pPr>
      <w:r w:rsidRPr="00EC35F6">
        <w:t>75 MHz (3400–3475 MHz) in urban excise area</w:t>
      </w:r>
      <w:r w:rsidR="00451D20">
        <w:t>s</w:t>
      </w:r>
    </w:p>
    <w:p w14:paraId="38AE3123" w14:textId="654080B0" w:rsidR="005C520D" w:rsidRPr="00EC35F6" w:rsidRDefault="005C520D" w:rsidP="005C520D">
      <w:pPr>
        <w:pStyle w:val="Bulletlevel1"/>
      </w:pPr>
      <w:r w:rsidRPr="00EC35F6">
        <w:t>25 MHz (3400–3425 MHz) in major regional centres</w:t>
      </w:r>
      <w:r w:rsidR="0007200F">
        <w:t xml:space="preserve"> 2</w:t>
      </w:r>
    </w:p>
    <w:p w14:paraId="0D9FD752" w14:textId="0E96B7C9" w:rsidR="005C520D" w:rsidRPr="00EC35F6" w:rsidRDefault="005C520D" w:rsidP="005C520D">
      <w:pPr>
        <w:pStyle w:val="Bulletlevel1"/>
      </w:pPr>
      <w:r w:rsidRPr="00EC35F6">
        <w:t>42.5 MHz (3400–3442.5 MHz) in regional area 1</w:t>
      </w:r>
    </w:p>
    <w:p w14:paraId="481422D4" w14:textId="18A37413" w:rsidR="005C520D" w:rsidRPr="00EC35F6" w:rsidRDefault="005C520D" w:rsidP="005C520D">
      <w:pPr>
        <w:pStyle w:val="Bulletlevel1"/>
      </w:pPr>
      <w:r w:rsidRPr="00EC35F6">
        <w:t>67.5 MHz (3475–3542.5 MHz) in regional area 1</w:t>
      </w:r>
    </w:p>
    <w:p w14:paraId="47890824" w14:textId="595C4F35" w:rsidR="005C520D" w:rsidRPr="00EC35F6" w:rsidRDefault="005C520D" w:rsidP="005C520D">
      <w:pPr>
        <w:pStyle w:val="Bulletlevel1"/>
      </w:pPr>
      <w:r w:rsidRPr="00EC35F6">
        <w:t>35 MHz (3475–3510 MHz) in regional area 2</w:t>
      </w:r>
    </w:p>
    <w:p w14:paraId="6F0A20D8" w14:textId="46795DCD" w:rsidR="005C520D" w:rsidRPr="00EC35F6" w:rsidRDefault="005C520D" w:rsidP="005C520D">
      <w:pPr>
        <w:pStyle w:val="Bulletlevel1"/>
      </w:pPr>
      <w:r w:rsidRPr="00EC35F6">
        <w:t>50 MHz (3492.5–3542.5 MHz) in major regional centres</w:t>
      </w:r>
      <w:r w:rsidR="005A469A">
        <w:t xml:space="preserve"> 2</w:t>
      </w:r>
    </w:p>
    <w:p w14:paraId="729B0184" w14:textId="7858F9BC" w:rsidR="005C520D" w:rsidRPr="00EC35F6" w:rsidRDefault="005F7505" w:rsidP="005C520D">
      <w:pPr>
        <w:pStyle w:val="Bulletlevel1"/>
      </w:pPr>
      <w:r>
        <w:t>100</w:t>
      </w:r>
      <w:r w:rsidR="005C520D" w:rsidRPr="00EC35F6">
        <w:t xml:space="preserve"> MHz (3</w:t>
      </w:r>
      <w:r>
        <w:t>475</w:t>
      </w:r>
      <w:r w:rsidR="007D1494" w:rsidRPr="00EC35F6">
        <w:t>–</w:t>
      </w:r>
      <w:r w:rsidR="005C520D" w:rsidRPr="00EC35F6">
        <w:t>3575 MHz) in regional Western Australia</w:t>
      </w:r>
      <w:r w:rsidR="0049011D">
        <w:t xml:space="preserve"> </w:t>
      </w:r>
      <w:r w:rsidR="00452E89">
        <w:t>central</w:t>
      </w:r>
    </w:p>
    <w:p w14:paraId="3F961951" w14:textId="290CBAA2" w:rsidR="005C520D" w:rsidRPr="00EC35F6" w:rsidRDefault="005C520D" w:rsidP="005C520D">
      <w:pPr>
        <w:pStyle w:val="Bulletlevel1"/>
      </w:pPr>
      <w:r w:rsidRPr="00EC35F6">
        <w:t xml:space="preserve">50 MHz (3700–3750 MHz) in </w:t>
      </w:r>
      <w:r w:rsidR="005F7505">
        <w:t xml:space="preserve">all </w:t>
      </w:r>
      <w:r w:rsidRPr="00EC35F6">
        <w:t>regional areas</w:t>
      </w:r>
    </w:p>
    <w:p w14:paraId="7C5615B5" w14:textId="4E04263A" w:rsidR="005C520D" w:rsidRDefault="005C520D" w:rsidP="005C520D">
      <w:pPr>
        <w:pStyle w:val="Bulletlevel1last"/>
      </w:pPr>
      <w:r w:rsidRPr="00EC35F6">
        <w:t>100 MHz (3700–3800 MHz) in metropolitan areas</w:t>
      </w:r>
      <w:r w:rsidR="005F7505">
        <w:t xml:space="preserve"> (including Hobart)</w:t>
      </w:r>
      <w:r w:rsidRPr="00EC35F6">
        <w:t>.</w:t>
      </w:r>
    </w:p>
    <w:p w14:paraId="0D8BC66E" w14:textId="77777777" w:rsidR="005C520D" w:rsidRPr="000F2D5F" w:rsidRDefault="005C520D" w:rsidP="005C520D">
      <w:pPr>
        <w:pStyle w:val="Paragraph"/>
      </w:pPr>
      <w:r w:rsidRPr="00757775">
        <w:t xml:space="preserve">In deciding </w:t>
      </w:r>
      <w:r>
        <w:t>the frequency bandwidth configuration</w:t>
      </w:r>
      <w:r w:rsidRPr="00757775">
        <w:t xml:space="preserve"> </w:t>
      </w:r>
      <w:r>
        <w:t>for spectrum lots available at auction</w:t>
      </w:r>
      <w:r w:rsidRPr="00757775">
        <w:t xml:space="preserve">, </w:t>
      </w:r>
      <w:r>
        <w:t>we</w:t>
      </w:r>
      <w:r w:rsidRPr="00757775">
        <w:t xml:space="preserve"> consider a range of factors, including the level of demand and the technical characteristics of the spectrum.</w:t>
      </w:r>
    </w:p>
    <w:p w14:paraId="46481F3C" w14:textId="77777777" w:rsidR="005C520D" w:rsidRDefault="005C520D" w:rsidP="005C520D">
      <w:pPr>
        <w:pStyle w:val="Heading3"/>
      </w:pPr>
      <w:r>
        <w:t>Spectrum demand</w:t>
      </w:r>
    </w:p>
    <w:p w14:paraId="57E32041" w14:textId="4EF3CBF4" w:rsidR="005C520D" w:rsidRDefault="005C520D" w:rsidP="005C520D">
      <w:pPr>
        <w:pStyle w:val="Paragraph"/>
      </w:pPr>
      <w:r>
        <w:t xml:space="preserve">We consider that re-allocated spectrum in </w:t>
      </w:r>
      <w:r w:rsidDel="004328A7">
        <w:t xml:space="preserve">the </w:t>
      </w:r>
      <w:r>
        <w:t xml:space="preserve">3.4 GHz and 3.7 GHz bands would be principally used for the delivery of WA WBB services, similar to existing spectrum-licensed </w:t>
      </w:r>
      <w:r w:rsidR="00660093">
        <w:t>use-case</w:t>
      </w:r>
      <w:r>
        <w:t xml:space="preserve">s in the band. We therefore </w:t>
      </w:r>
      <w:r w:rsidR="0095709B">
        <w:t>anticipate</w:t>
      </w:r>
      <w:r w:rsidR="00CC77D9">
        <w:t xml:space="preserve"> </w:t>
      </w:r>
      <w:r>
        <w:t xml:space="preserve">that demand may come from existing mobile network operators and/or new market entrants to the telecommunications industry (similar to new entrants in the 3.6 GHz </w:t>
      </w:r>
      <w:r w:rsidR="0004264C">
        <w:t xml:space="preserve">band </w:t>
      </w:r>
      <w:r>
        <w:t xml:space="preserve">and 26 GHz band auctions) for the deployment of </w:t>
      </w:r>
      <w:r w:rsidR="00A73E4C">
        <w:t>WA WBB</w:t>
      </w:r>
      <w:r>
        <w:t xml:space="preserve"> networks. </w:t>
      </w:r>
    </w:p>
    <w:p w14:paraId="610C0F3D" w14:textId="041330D2" w:rsidR="00CE48F6" w:rsidRDefault="00493A4F" w:rsidP="000610E3">
      <w:pPr>
        <w:pStyle w:val="Paragraph"/>
      </w:pPr>
      <w:r>
        <w:t xml:space="preserve">We seek to configure the spectrum so that it facilitates the deployment of new and innovative technologies such as 5G, in line with the MPS. </w:t>
      </w:r>
      <w:r w:rsidR="005C520D">
        <w:t>The size of available blocks should aim to enable the technical efficiency benefits of wider bandwidths</w:t>
      </w:r>
      <w:r w:rsidR="00137966">
        <w:t>,</w:t>
      </w:r>
      <w:r w:rsidR="005C520D">
        <w:t xml:space="preserve"> while still allowing potential users sufficient granularity in demand, particularly as some potential users could be attempting to make incremental additions to their existing mid-band spectrum holdings. As such, based on current standards, we consider that t</w:t>
      </w:r>
      <w:r w:rsidR="005C520D" w:rsidRPr="001872BA">
        <w:t xml:space="preserve">o achieve the optimal configuration for </w:t>
      </w:r>
      <w:r w:rsidR="00CA4BA3">
        <w:t>WBB</w:t>
      </w:r>
      <w:r w:rsidR="005C520D" w:rsidRPr="001872BA">
        <w:t xml:space="preserve"> services</w:t>
      </w:r>
      <w:r w:rsidR="005C520D">
        <w:t xml:space="preserve">, the </w:t>
      </w:r>
      <w:r w:rsidR="005C520D" w:rsidRPr="001872BA">
        <w:t>band</w:t>
      </w:r>
      <w:r w:rsidR="00A73E4C">
        <w:t>s</w:t>
      </w:r>
      <w:r w:rsidR="005C520D">
        <w:t xml:space="preserve"> should be configured consistently with 10 </w:t>
      </w:r>
      <w:r w:rsidR="005C520D" w:rsidRPr="001872BA">
        <w:t>MHz</w:t>
      </w:r>
      <w:r w:rsidR="005C520D">
        <w:noBreakHyphen/>
        <w:t>based</w:t>
      </w:r>
      <w:r w:rsidR="005C520D" w:rsidRPr="001872BA">
        <w:t xml:space="preserve"> </w:t>
      </w:r>
      <w:r w:rsidR="005C520D">
        <w:t>time</w:t>
      </w:r>
      <w:r w:rsidR="005C520D" w:rsidRPr="001B6BDF">
        <w:t xml:space="preserve"> division duplex (</w:t>
      </w:r>
      <w:r w:rsidR="005C520D">
        <w:t>T</w:t>
      </w:r>
      <w:r w:rsidR="005C520D" w:rsidRPr="001B6BDF">
        <w:t>DD)</w:t>
      </w:r>
      <w:r w:rsidR="005C520D" w:rsidRPr="001872BA">
        <w:t xml:space="preserve"> blocks</w:t>
      </w:r>
      <w:r w:rsidR="00E80F7B">
        <w:t xml:space="preserve"> </w:t>
      </w:r>
      <w:r w:rsidR="00244EAB">
        <w:t xml:space="preserve">as far as possible. </w:t>
      </w:r>
    </w:p>
    <w:p w14:paraId="5F0CD3A7" w14:textId="47D229DE" w:rsidR="005C520D" w:rsidRDefault="005C520D" w:rsidP="005C520D">
      <w:pPr>
        <w:pStyle w:val="Paragraph"/>
      </w:pPr>
      <w:r>
        <w:t>We note that potential users of the re-allocated spectrum could be existing spectrum licensees in adjacent frequency ranges and geographic areas. Demand for the re</w:t>
      </w:r>
      <w:r>
        <w:noBreakHyphen/>
        <w:t xml:space="preserve">allocated spectrum may be different when it involves acquiring incremental spectrum holdings rather than </w:t>
      </w:r>
      <w:r w:rsidR="002803F5">
        <w:t xml:space="preserve">new </w:t>
      </w:r>
      <w:r>
        <w:t>holdings</w:t>
      </w:r>
      <w:r w:rsidR="00A5294B">
        <w:t xml:space="preserve"> in a band</w:t>
      </w:r>
      <w:r>
        <w:t>. Smaller bandwidths could be more useful when added to existing holdings and</w:t>
      </w:r>
      <w:r w:rsidR="00137966">
        <w:t>,</w:t>
      </w:r>
      <w:r>
        <w:t xml:space="preserve"> therefore</w:t>
      </w:r>
      <w:r w:rsidR="00137966">
        <w:t>,</w:t>
      </w:r>
      <w:r>
        <w:t xml:space="preserve"> may be more desirable to existing licensees in adjacent parts of the spectrum. This may allow for smaller lot bandwidths, particularly where the quantum of available spectrum in a given geographic area is not divisible by 10 MHz.</w:t>
      </w:r>
    </w:p>
    <w:p w14:paraId="0A2097FF" w14:textId="5AE99C1E" w:rsidR="005C520D" w:rsidRDefault="005C520D" w:rsidP="005C520D">
      <w:pPr>
        <w:pStyle w:val="Heading3"/>
      </w:pPr>
      <w:r>
        <w:t xml:space="preserve">Bandwidth </w:t>
      </w:r>
      <w:r w:rsidR="003E1F6C">
        <w:t>size</w:t>
      </w:r>
      <w:r>
        <w:t xml:space="preserve"> options</w:t>
      </w:r>
    </w:p>
    <w:p w14:paraId="43FF32D6" w14:textId="77777777" w:rsidR="00137966" w:rsidRDefault="005C520D" w:rsidP="006D3B0E">
      <w:pPr>
        <w:pStyle w:val="Paragraphbeforelist"/>
      </w:pPr>
      <w:r w:rsidDel="003F0E36">
        <w:t xml:space="preserve">The quantum of spectrum varies according to the applicable geographic area under each potential planning option. </w:t>
      </w:r>
      <w:r w:rsidR="00F5582D">
        <w:t>For this allocation, we will consider</w:t>
      </w:r>
      <w:r>
        <w:t xml:space="preserve"> bandwidth configuration options in 3 main categories: </w:t>
      </w:r>
    </w:p>
    <w:p w14:paraId="549D376B" w14:textId="79458203" w:rsidR="00137966" w:rsidRDefault="005C520D" w:rsidP="006D3B0E">
      <w:pPr>
        <w:pStyle w:val="Bulletlevel1"/>
      </w:pPr>
      <w:r>
        <w:t>metropolitan and regional areas between 3700–3800 MHz</w:t>
      </w:r>
    </w:p>
    <w:p w14:paraId="63868D14" w14:textId="23BD5AB0" w:rsidR="00137966" w:rsidRDefault="005C520D" w:rsidP="006D3B0E">
      <w:pPr>
        <w:pStyle w:val="Bulletlevel1"/>
      </w:pPr>
      <w:r>
        <w:t>urban excise areas between 3400–3475 MHz</w:t>
      </w:r>
    </w:p>
    <w:p w14:paraId="1F73BB73" w14:textId="6E12D51C" w:rsidR="005C520D" w:rsidRDefault="005C520D" w:rsidP="006D3B0E">
      <w:pPr>
        <w:pStyle w:val="Bulletlevel1last"/>
      </w:pPr>
      <w:r>
        <w:t>regional areas between 3400–3442.5 MHz and 3475–3542.5 MHz.</w:t>
      </w:r>
    </w:p>
    <w:p w14:paraId="35EAEBE4" w14:textId="1FF87183" w:rsidR="005C520D" w:rsidRDefault="005C520D" w:rsidP="005C520D">
      <w:pPr>
        <w:pStyle w:val="Paragraph"/>
      </w:pPr>
      <w:r>
        <w:t>We would typically want the amount of spectrum available in a geographic area (</w:t>
      </w:r>
      <w:r w:rsidR="00137966">
        <w:t>for example,</w:t>
      </w:r>
      <w:r>
        <w:t xml:space="preserve"> 3400–3475 MHz in urban excise areas) to have a lot bandwidth that allows all lots to be consistent in an allocation. For example, a 10 MHz lot size where there is 75 MHz of available spectrum will result in 5 MHz leftover that would have to be </w:t>
      </w:r>
      <w:r w:rsidR="001F5774">
        <w:t xml:space="preserve">treated differently in </w:t>
      </w:r>
      <w:r>
        <w:t xml:space="preserve">the allocation </w:t>
      </w:r>
      <w:r w:rsidR="001F5774">
        <w:t>(</w:t>
      </w:r>
      <w:r w:rsidR="00137966">
        <w:t>for example,</w:t>
      </w:r>
      <w:r w:rsidR="001F5774">
        <w:t xml:space="preserve"> separated into a different </w:t>
      </w:r>
      <w:r w:rsidR="00546842">
        <w:t>product or category</w:t>
      </w:r>
      <w:r w:rsidR="001F5774">
        <w:t xml:space="preserve"> in a 2</w:t>
      </w:r>
      <w:r w:rsidR="00852D79">
        <w:noBreakHyphen/>
      </w:r>
      <w:r w:rsidR="001F5774">
        <w:t>stage clock auction as it is unable to be considered generic with the 10 MHz lots)</w:t>
      </w:r>
      <w:r>
        <w:t xml:space="preserve"> or </w:t>
      </w:r>
      <w:r w:rsidR="006E5E24">
        <w:t>not sold</w:t>
      </w:r>
      <w:r>
        <w:t xml:space="preserve">. However, a </w:t>
      </w:r>
      <w:r w:rsidR="00735EF8">
        <w:t xml:space="preserve">5 MHz or </w:t>
      </w:r>
      <w:r w:rsidR="00B679E5">
        <w:t>1</w:t>
      </w:r>
      <w:r>
        <w:t xml:space="preserve">5 MHz lot size where there is 75 MHz of available spectrum will not result in inconsistent lot bandwidths. </w:t>
      </w:r>
    </w:p>
    <w:p w14:paraId="46300050" w14:textId="55E1B7EE" w:rsidR="006750F6" w:rsidRPr="00AD615E" w:rsidRDefault="003F1EF4" w:rsidP="005C520D">
      <w:pPr>
        <w:pStyle w:val="Paragraph"/>
      </w:pPr>
      <w:r>
        <w:t>I</w:t>
      </w:r>
      <w:r w:rsidR="005C520D">
        <w:t xml:space="preserve">t may not be suitable to </w:t>
      </w:r>
      <w:r w:rsidR="00F066A2">
        <w:t>divide spectrum into</w:t>
      </w:r>
      <w:r w:rsidR="002970F2">
        <w:t xml:space="preserve"> uniformly sized lots </w:t>
      </w:r>
      <w:r w:rsidR="00F34B61">
        <w:t>if the lots are too small to be of use</w:t>
      </w:r>
      <w:r w:rsidR="005C520D">
        <w:t>.</w:t>
      </w:r>
      <w:r w:rsidR="00F34B61">
        <w:t xml:space="preserve"> </w:t>
      </w:r>
      <w:r w:rsidR="00520415">
        <w:t xml:space="preserve">For example, </w:t>
      </w:r>
      <w:r w:rsidR="009B236D">
        <w:t>where there is 10 MHz of spectrum available, dividing it into 4 x 2.5 MHz lots is not appropriate if 2.5 MHz of spectrum is of little utility.</w:t>
      </w:r>
      <w:r w:rsidR="005C520D">
        <w:t xml:space="preserve"> </w:t>
      </w:r>
    </w:p>
    <w:p w14:paraId="0EE15303" w14:textId="0506A384" w:rsidR="005C520D" w:rsidRPr="00D36106" w:rsidRDefault="005C520D" w:rsidP="00AB4677">
      <w:pPr>
        <w:pStyle w:val="Heading3"/>
      </w:pPr>
      <w:r>
        <w:t>Regional areas in the 3.4 GHz band</w:t>
      </w:r>
    </w:p>
    <w:p w14:paraId="74A51351" w14:textId="4419AA3D" w:rsidR="005C520D" w:rsidRDefault="00F75E30" w:rsidP="005C520D">
      <w:pPr>
        <w:pStyle w:val="Paragraph"/>
      </w:pPr>
      <w:r>
        <w:t xml:space="preserve">Under each </w:t>
      </w:r>
      <w:r w:rsidR="00FF1AB0">
        <w:t>option</w:t>
      </w:r>
      <w:r w:rsidR="005C520D">
        <w:t xml:space="preserve"> outlined in the ‘</w:t>
      </w:r>
      <w:r w:rsidR="00A557F8">
        <w:t>P</w:t>
      </w:r>
      <w:r w:rsidR="005C520D">
        <w:t>lanning options’ section of this paper</w:t>
      </w:r>
      <w:r w:rsidR="00137966">
        <w:t>,</w:t>
      </w:r>
      <w:r w:rsidR="005C520D">
        <w:t xml:space="preserve"> we are unable to avoid one </w:t>
      </w:r>
      <w:r w:rsidR="00C2491F">
        <w:t xml:space="preserve">or more </w:t>
      </w:r>
      <w:r w:rsidR="005C520D">
        <w:t>lot</w:t>
      </w:r>
      <w:r w:rsidR="00C2491F">
        <w:t>s</w:t>
      </w:r>
      <w:r w:rsidR="005C520D">
        <w:t xml:space="preserve"> of a different bandwidth left over in some parts of the 3.4 GHz band.</w:t>
      </w:r>
      <w:r w:rsidR="0015390F">
        <w:t xml:space="preserve"> These lots are referred to as ‘leftover lots’. </w:t>
      </w:r>
    </w:p>
    <w:p w14:paraId="7BE309CD" w14:textId="0EEEBEC4" w:rsidR="005C520D" w:rsidRDefault="00BD6BCA" w:rsidP="005C520D">
      <w:pPr>
        <w:pStyle w:val="Paragraphbeforelist"/>
      </w:pPr>
      <w:r>
        <w:t>Depending on the planning option that we proceed with in this re-allocation</w:t>
      </w:r>
      <w:r w:rsidR="005C520D">
        <w:t xml:space="preserve">, the quantum of spectrum available for spectrum licensing may be divided into: </w:t>
      </w:r>
    </w:p>
    <w:p w14:paraId="4FFBF595" w14:textId="599A18DC" w:rsidR="005C520D" w:rsidRDefault="005C520D" w:rsidP="005C520D">
      <w:pPr>
        <w:pStyle w:val="Bulletlevel1"/>
      </w:pPr>
      <w:r>
        <w:t xml:space="preserve">10 MHz blocks, with </w:t>
      </w:r>
      <w:r w:rsidR="00AA67BB">
        <w:t>one or more</w:t>
      </w:r>
      <w:r>
        <w:t xml:space="preserve"> </w:t>
      </w:r>
      <w:r w:rsidR="006857A6">
        <w:t>leftover lots</w:t>
      </w:r>
      <w:r>
        <w:t xml:space="preserve"> of 2.5 MHz, 5 MHz or 7.5 MHz, depending on the region</w:t>
      </w:r>
    </w:p>
    <w:p w14:paraId="10093591" w14:textId="1ED74ABB" w:rsidR="005C520D" w:rsidRDefault="005C520D" w:rsidP="005C520D">
      <w:pPr>
        <w:pStyle w:val="Bulletlevel1last"/>
      </w:pPr>
      <w:r>
        <w:t xml:space="preserve">5 MHz blocks, with </w:t>
      </w:r>
      <w:r w:rsidR="003E6E70">
        <w:t xml:space="preserve">one or more </w:t>
      </w:r>
      <w:r w:rsidR="006857A6">
        <w:t xml:space="preserve">leftover lots </w:t>
      </w:r>
      <w:r w:rsidR="003E6E70">
        <w:t xml:space="preserve">of 2.5 MHz or </w:t>
      </w:r>
      <w:r>
        <w:t>7.5 MHz</w:t>
      </w:r>
      <w:r w:rsidR="00137966">
        <w:t>,</w:t>
      </w:r>
      <w:r>
        <w:t xml:space="preserve"> depending on the region. </w:t>
      </w:r>
    </w:p>
    <w:p w14:paraId="5A697005" w14:textId="7AB47872" w:rsidR="00F74FE0" w:rsidRDefault="00F74FE0" w:rsidP="00AB4677">
      <w:pPr>
        <w:pStyle w:val="Paragraph"/>
      </w:pPr>
      <w:r>
        <w:t xml:space="preserve">Please note that references to geographic areas </w:t>
      </w:r>
      <w:r w:rsidR="009616CE">
        <w:t xml:space="preserve">referred to in </w:t>
      </w:r>
      <w:r w:rsidR="00137966">
        <w:t>f</w:t>
      </w:r>
      <w:r w:rsidR="009616CE" w:rsidRPr="00582F59">
        <w:t xml:space="preserve">igures </w:t>
      </w:r>
      <w:r w:rsidR="00D2771F" w:rsidRPr="00582F59">
        <w:t>16</w:t>
      </w:r>
      <w:r w:rsidR="009616CE" w:rsidRPr="00582F59">
        <w:t xml:space="preserve"> to </w:t>
      </w:r>
      <w:r w:rsidR="00D2771F" w:rsidRPr="00582F59">
        <w:t>18</w:t>
      </w:r>
      <w:r>
        <w:t xml:space="preserve"> do not reflect the geographic area configuration of the lots</w:t>
      </w:r>
      <w:r w:rsidR="00425142">
        <w:t xml:space="preserve">. </w:t>
      </w:r>
      <w:r w:rsidR="004047FA">
        <w:t>The g</w:t>
      </w:r>
      <w:r w:rsidR="00425142">
        <w:t xml:space="preserve">eographic area configuration </w:t>
      </w:r>
      <w:r w:rsidR="002B3A25">
        <w:t xml:space="preserve">of lots of spectrum available at auction is discussed in more detail in the ‘Geographic area configuration’ part of this paper. </w:t>
      </w:r>
    </w:p>
    <w:p w14:paraId="012EF46A" w14:textId="6C1DA8C5" w:rsidR="0010710C" w:rsidRDefault="00A355CB" w:rsidP="00173193">
      <w:pPr>
        <w:pStyle w:val="Heading4"/>
      </w:pPr>
      <w:r>
        <w:t>10 MHz lots</w:t>
      </w:r>
      <w:r w:rsidR="00646C60">
        <w:t xml:space="preserve"> with 2.5 MHz, 5 MHz and 7.5 MHz left over </w:t>
      </w:r>
    </w:p>
    <w:p w14:paraId="1F565CC1" w14:textId="1BA45594" w:rsidR="00F1380A" w:rsidRDefault="00F1380A" w:rsidP="00F1380A">
      <w:pPr>
        <w:pStyle w:val="Paragraph"/>
      </w:pPr>
      <w:r>
        <w:t xml:space="preserve">If we divided the spectrum into 10 MHz lots, </w:t>
      </w:r>
      <w:r w:rsidR="00A33CA9">
        <w:t>this</w:t>
      </w:r>
      <w:r>
        <w:t xml:space="preserve"> would result in leftover lots of 2.5</w:t>
      </w:r>
      <w:r w:rsidR="00814D18">
        <w:t> </w:t>
      </w:r>
      <w:r>
        <w:t xml:space="preserve">MHz, 5 MHz and 7.5 MHz in some </w:t>
      </w:r>
      <w:r w:rsidRPr="00582F59">
        <w:t>areas.</w:t>
      </w:r>
      <w:r w:rsidR="00E24AA1" w:rsidRPr="00582F59">
        <w:t xml:space="preserve"> Figure </w:t>
      </w:r>
      <w:r w:rsidR="00D2771F" w:rsidRPr="00582F59">
        <w:t>16</w:t>
      </w:r>
      <w:r w:rsidR="00E24AA1">
        <w:t xml:space="preserve"> shows the 3.4 GHz band in regional areas, configured in 10 MHz lots.</w:t>
      </w:r>
    </w:p>
    <w:p w14:paraId="5B162A55" w14:textId="4B88C8BA" w:rsidR="004C0D98" w:rsidRDefault="004C0D98" w:rsidP="00137966">
      <w:pPr>
        <w:pStyle w:val="Figureheading"/>
      </w:pPr>
      <w:r>
        <w:t>Proposed 10 MHz lot configurations for the 3.4 GHz band in regional areas</w:t>
      </w:r>
    </w:p>
    <w:p w14:paraId="5BEF7A3E" w14:textId="251E64CF" w:rsidR="00E562C0" w:rsidRPr="00E562C0" w:rsidRDefault="00E562C0" w:rsidP="00731776">
      <w:pPr>
        <w:pStyle w:val="Paragraph"/>
        <w:keepNext/>
      </w:pPr>
      <w:r w:rsidRPr="000040EA">
        <w:rPr>
          <w:noProof/>
        </w:rPr>
        <w:drawing>
          <wp:inline distT="0" distB="0" distL="0" distR="0" wp14:anchorId="35B72D0B" wp14:editId="1A2F53B3">
            <wp:extent cx="2662683" cy="885825"/>
            <wp:effectExtent l="0" t="0" r="4445" b="0"/>
            <wp:docPr id="36" name="Picture 36"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If you need help accessing or reading this diagram, please contact the ACMA's Customer Service Centre by phone on 1300 850 115 or by email at info@acma.gov.au"/>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75678" cy="890148"/>
                    </a:xfrm>
                    <a:prstGeom prst="rect">
                      <a:avLst/>
                    </a:prstGeom>
                    <a:noFill/>
                    <a:ln>
                      <a:noFill/>
                    </a:ln>
                  </pic:spPr>
                </pic:pic>
              </a:graphicData>
            </a:graphic>
          </wp:inline>
        </w:drawing>
      </w:r>
    </w:p>
    <w:p w14:paraId="66F92AA2" w14:textId="1EDD13AF" w:rsidR="004C0D98" w:rsidRPr="004C0D98" w:rsidRDefault="0002500A" w:rsidP="00731776">
      <w:pPr>
        <w:pStyle w:val="Paragraph"/>
        <w:keepNext/>
        <w:spacing w:after="0"/>
      </w:pPr>
      <w:r>
        <w:rPr>
          <w:noProof/>
        </w:rPr>
        <w:drawing>
          <wp:inline distT="0" distB="0" distL="0" distR="0" wp14:anchorId="4E723F60" wp14:editId="7947B1B4">
            <wp:extent cx="5115130" cy="941695"/>
            <wp:effectExtent l="0" t="0" r="0" b="0"/>
            <wp:docPr id="49" name="Picture 49"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f you need help accessing or reading this diagram, please contact the ACMA's Customer Service Centre by phone on 1300 850 115 or by email at info@acma.gov.au"/>
                    <pic:cNvPicPr/>
                  </pic:nvPicPr>
                  <pic:blipFill rotWithShape="1">
                    <a:blip r:embed="rId91"/>
                    <a:srcRect l="3911"/>
                    <a:stretch/>
                  </pic:blipFill>
                  <pic:spPr bwMode="auto">
                    <a:xfrm>
                      <a:off x="0" y="0"/>
                      <a:ext cx="5124055" cy="943338"/>
                    </a:xfrm>
                    <a:prstGeom prst="rect">
                      <a:avLst/>
                    </a:prstGeom>
                    <a:ln>
                      <a:noFill/>
                    </a:ln>
                    <a:extLst>
                      <a:ext uri="{53640926-AAD7-44D8-BBD7-CCE9431645EC}">
                        <a14:shadowObscured xmlns:a14="http://schemas.microsoft.com/office/drawing/2010/main"/>
                      </a:ext>
                    </a:extLst>
                  </pic:spPr>
                </pic:pic>
              </a:graphicData>
            </a:graphic>
          </wp:inline>
        </w:drawing>
      </w:r>
    </w:p>
    <w:p w14:paraId="123C7FCF" w14:textId="1468A2F4" w:rsidR="00D776C0" w:rsidRPr="004C0D98" w:rsidRDefault="00D776C0" w:rsidP="00731776">
      <w:pPr>
        <w:pStyle w:val="Tableorfigurenote"/>
        <w:keepNext/>
      </w:pPr>
      <w:r>
        <w:t>Not to scale</w:t>
      </w:r>
      <w:r w:rsidR="00137966">
        <w:t>.</w:t>
      </w:r>
    </w:p>
    <w:p w14:paraId="107190C1" w14:textId="773568EE" w:rsidR="009041A5" w:rsidRDefault="0099774A" w:rsidP="00F1380A">
      <w:pPr>
        <w:pStyle w:val="Paragraph"/>
      </w:pPr>
      <w:r>
        <w:t>C</w:t>
      </w:r>
      <w:r w:rsidR="00096F98">
        <w:t xml:space="preserve">onfiguring the 3.4 GHz band in regional areas in 10 MHz lots may be desirable </w:t>
      </w:r>
      <w:r w:rsidR="00517BDF">
        <w:t xml:space="preserve">as </w:t>
      </w:r>
      <w:r w:rsidR="00137966">
        <w:t>10 </w:t>
      </w:r>
      <w:r w:rsidR="00C77EFC">
        <w:t xml:space="preserve">MHz is the optimal lot size </w:t>
      </w:r>
      <w:r w:rsidR="00212B6D">
        <w:t xml:space="preserve">for WBB </w:t>
      </w:r>
      <w:r w:rsidR="00337B4A">
        <w:t>technologies that use the spectrum</w:t>
      </w:r>
      <w:r w:rsidR="00553C4C">
        <w:t xml:space="preserve">. A 10 MHz lot size also aligns with the existing minimum contiguous bandwidth (MCB) defined for the 3.4 GHz band in the </w:t>
      </w:r>
      <w:hyperlink r:id="rId92" w:history="1">
        <w:r w:rsidR="00553C4C" w:rsidRPr="00731776">
          <w:rPr>
            <w:rStyle w:val="Hyperlink"/>
          </w:rPr>
          <w:t>Radiocommunications (Trading Rules for Spectrum Licences) Determination 2012</w:t>
        </w:r>
      </w:hyperlink>
      <w:r w:rsidR="00A462FB" w:rsidRPr="00BA350D">
        <w:t xml:space="preserve"> </w:t>
      </w:r>
      <w:r w:rsidR="00A462FB">
        <w:t>(Trading Rules Determination).</w:t>
      </w:r>
      <w:r w:rsidR="00980A0A">
        <w:t xml:space="preserve"> </w:t>
      </w:r>
    </w:p>
    <w:p w14:paraId="4F3110AF" w14:textId="11C9171D" w:rsidR="00F1380A" w:rsidRDefault="00C47B4B" w:rsidP="00AF4F63">
      <w:pPr>
        <w:pStyle w:val="Paragraph"/>
      </w:pPr>
      <w:r>
        <w:t>On the other hand, we</w:t>
      </w:r>
      <w:r w:rsidR="00F1380A">
        <w:t xml:space="preserve"> consider that </w:t>
      </w:r>
      <w:r w:rsidR="00DE22AC">
        <w:t xml:space="preserve">the </w:t>
      </w:r>
      <w:r w:rsidR="0052537F">
        <w:t xml:space="preserve">2.5 MHz and 7.5 MHz </w:t>
      </w:r>
      <w:r w:rsidR="00DE22AC">
        <w:t xml:space="preserve">leftover </w:t>
      </w:r>
      <w:r w:rsidR="00F1380A">
        <w:t>lots on their own may not be suitable.</w:t>
      </w:r>
      <w:r w:rsidR="00DE1B3A">
        <w:t xml:space="preserve"> In the case of a 2.5 MHz lot, it may be </w:t>
      </w:r>
      <w:r w:rsidR="00F1380A">
        <w:t xml:space="preserve">too small to be of </w:t>
      </w:r>
      <w:r w:rsidR="00DE1B3A">
        <w:t>any</w:t>
      </w:r>
      <w:r w:rsidR="00F1380A">
        <w:t xml:space="preserve"> utility</w:t>
      </w:r>
      <w:r w:rsidR="00DE1B3A">
        <w:t xml:space="preserve"> on its ow</w:t>
      </w:r>
      <w:r w:rsidR="00054C8D">
        <w:t>n. In the case of a 7.5 MHz leftover lot, it does not fit into t</w:t>
      </w:r>
      <w:r w:rsidR="006C0B7F">
        <w:t xml:space="preserve">he standard </w:t>
      </w:r>
      <w:r w:rsidR="00F17232">
        <w:t xml:space="preserve">WBB </w:t>
      </w:r>
      <w:r w:rsidR="006C0B7F">
        <w:t>channel</w:t>
      </w:r>
      <w:r w:rsidR="00F17232">
        <w:t xml:space="preserve"> size</w:t>
      </w:r>
      <w:r w:rsidR="00054C8D">
        <w:t>.</w:t>
      </w:r>
      <w:r w:rsidR="00F1380A">
        <w:t xml:space="preserve"> However, they may be of value to </w:t>
      </w:r>
      <w:r w:rsidR="00AC1440">
        <w:t xml:space="preserve">incumbent </w:t>
      </w:r>
      <w:r w:rsidR="00F1380A">
        <w:t xml:space="preserve">spectrum licensees </w:t>
      </w:r>
      <w:r w:rsidR="00AC1440">
        <w:t xml:space="preserve">in </w:t>
      </w:r>
      <w:r w:rsidR="00F1380A">
        <w:t xml:space="preserve">adjacent </w:t>
      </w:r>
      <w:r w:rsidR="00AC1440">
        <w:t>frequencies</w:t>
      </w:r>
      <w:r w:rsidR="00F1380A">
        <w:t xml:space="preserve"> </w:t>
      </w:r>
      <w:r w:rsidR="00BA350D">
        <w:t xml:space="preserve">that </w:t>
      </w:r>
      <w:r w:rsidR="00F1380A">
        <w:t>wish to obtain 2.5 MHz or 7.5 MHz of spectrum to ‘round out’ their current holdings (</w:t>
      </w:r>
      <w:r w:rsidR="00BA350D">
        <w:t>for example,</w:t>
      </w:r>
      <w:r w:rsidR="00F1380A">
        <w:t xml:space="preserve"> if the spectrum licence they currently hold is for a 32.5 MHz holding, they could obtain 7.5 MHz for a total holding of 40 MHz). </w:t>
      </w:r>
      <w:r w:rsidR="00955B8D">
        <w:t xml:space="preserve">The leftover lots may also be of value to new </w:t>
      </w:r>
      <w:r w:rsidR="00AC1440">
        <w:t xml:space="preserve">licensees </w:t>
      </w:r>
      <w:r w:rsidR="00BA350D">
        <w:t xml:space="preserve">that </w:t>
      </w:r>
      <w:r w:rsidR="00AC1440">
        <w:t>may</w:t>
      </w:r>
      <w:r w:rsidR="00F1380A">
        <w:t xml:space="preserve"> obtain </w:t>
      </w:r>
      <w:r w:rsidR="00BA350D">
        <w:t xml:space="preserve">2 </w:t>
      </w:r>
      <w:r w:rsidR="00C542EF">
        <w:t>or more</w:t>
      </w:r>
      <w:r w:rsidR="002C7A01">
        <w:t xml:space="preserve"> frequency-</w:t>
      </w:r>
      <w:r w:rsidR="00C542EF">
        <w:t>contiguous lots</w:t>
      </w:r>
      <w:r w:rsidR="00220161">
        <w:t xml:space="preserve"> of spectrum at auction</w:t>
      </w:r>
      <w:r w:rsidR="00F1380A">
        <w:t xml:space="preserve"> to make a larger usable channel bandwidth. </w:t>
      </w:r>
    </w:p>
    <w:p w14:paraId="2859E8BC" w14:textId="38734C13" w:rsidR="00F1380A" w:rsidRDefault="00C5227E" w:rsidP="00AF4F63">
      <w:pPr>
        <w:pStyle w:val="Paragraph"/>
      </w:pPr>
      <w:r>
        <w:t xml:space="preserve">If we </w:t>
      </w:r>
      <w:r w:rsidR="000D5B25">
        <w:t xml:space="preserve">configure the spectrum into 10 MHz lots, </w:t>
      </w:r>
      <w:r w:rsidR="00C6591B">
        <w:t xml:space="preserve">there would be </w:t>
      </w:r>
      <w:r w:rsidR="00BA350D">
        <w:t xml:space="preserve">4 </w:t>
      </w:r>
      <w:r w:rsidR="00C6591B">
        <w:t xml:space="preserve">different lot sizes available (with 2.5 MHz, 5 MHz and 7.5 MHz leftover lots). </w:t>
      </w:r>
      <w:r w:rsidR="008B4724">
        <w:t>We</w:t>
      </w:r>
      <w:r w:rsidR="00F1380A">
        <w:t xml:space="preserve"> consider that the inconsistency in the bandwidths of the leftover lots presents additional challenges to how we allocate </w:t>
      </w:r>
      <w:r w:rsidR="00C6591B">
        <w:t>the spectrum</w:t>
      </w:r>
      <w:r w:rsidR="00F1380A">
        <w:t xml:space="preserve">. </w:t>
      </w:r>
      <w:r w:rsidR="00431714">
        <w:t xml:space="preserve">For example, in a </w:t>
      </w:r>
      <w:r w:rsidR="00BA350D">
        <w:t>2</w:t>
      </w:r>
      <w:r w:rsidR="00431714">
        <w:t xml:space="preserve">-stage </w:t>
      </w:r>
      <w:r w:rsidR="00FA602A">
        <w:t>clock auction with generic lots, l</w:t>
      </w:r>
      <w:r w:rsidR="00F1380A">
        <w:t xml:space="preserve">eftover lots would have to be sorted into a different category during the allocation, or </w:t>
      </w:r>
      <w:r w:rsidR="001D426C">
        <w:t>not sold</w:t>
      </w:r>
      <w:r w:rsidR="00F1380A">
        <w:t xml:space="preserve">. </w:t>
      </w:r>
      <w:r w:rsidR="00B46D1B">
        <w:t xml:space="preserve">A mix of lot sizes available at allocation within the one </w:t>
      </w:r>
      <w:r w:rsidR="001D426C">
        <w:t xml:space="preserve">category </w:t>
      </w:r>
      <w:r w:rsidR="00B46D1B">
        <w:t>may also complicate the valuation of the spectrum at auction.</w:t>
      </w:r>
    </w:p>
    <w:p w14:paraId="25A253FE" w14:textId="64AEC5B3" w:rsidR="00646C60" w:rsidRDefault="00646C60" w:rsidP="00BA547E">
      <w:pPr>
        <w:pStyle w:val="Heading4"/>
      </w:pPr>
      <w:r>
        <w:t>5 MHz lots with 2.5 MHz left over</w:t>
      </w:r>
    </w:p>
    <w:p w14:paraId="7A167A64" w14:textId="459FE22A" w:rsidR="004A25F7" w:rsidRDefault="00ED6659" w:rsidP="004A25F7">
      <w:pPr>
        <w:pStyle w:val="Paragraph"/>
      </w:pPr>
      <w:r>
        <w:t xml:space="preserve">If we divided the spectrum into 5 MHz lots, </w:t>
      </w:r>
      <w:r w:rsidR="00C10929">
        <w:t>this</w:t>
      </w:r>
      <w:r w:rsidR="00100D5B">
        <w:t xml:space="preserve"> would result in leftover lots of 2.5 MHz. </w:t>
      </w:r>
      <w:r w:rsidR="00E27C1C" w:rsidRPr="00582F59">
        <w:t xml:space="preserve">Figure </w:t>
      </w:r>
      <w:r w:rsidR="00C96113" w:rsidRPr="00582F59">
        <w:t>17</w:t>
      </w:r>
      <w:r w:rsidR="004A25F7" w:rsidRPr="00582F59">
        <w:t xml:space="preserve"> </w:t>
      </w:r>
      <w:r w:rsidR="004A25F7">
        <w:t>shows the 3.4 GHz band in regional areas, configured in 5 MHz lots</w:t>
      </w:r>
      <w:r w:rsidR="009A46DE">
        <w:t xml:space="preserve"> with leftover lots of 2.5 MHz</w:t>
      </w:r>
      <w:r w:rsidR="004A25F7">
        <w:t>.</w:t>
      </w:r>
    </w:p>
    <w:p w14:paraId="4B62416B" w14:textId="62F782F4" w:rsidR="004A25F7" w:rsidRPr="007475E9" w:rsidRDefault="004A25F7" w:rsidP="00BA350D">
      <w:pPr>
        <w:pStyle w:val="Figureheading"/>
        <w:spacing w:after="0"/>
      </w:pPr>
      <w:r>
        <w:t xml:space="preserve">Proposed 5 MHz lot configurations for the 3.4 GHz band </w:t>
      </w:r>
      <w:r w:rsidR="009A46DE">
        <w:t>(2.5 MHz leftover lots)</w:t>
      </w:r>
    </w:p>
    <w:p w14:paraId="13747FB7" w14:textId="16531071" w:rsidR="004A25F7" w:rsidRDefault="00B11624" w:rsidP="00731776">
      <w:pPr>
        <w:pStyle w:val="Paragraph"/>
        <w:keepNext/>
        <w:spacing w:after="0"/>
      </w:pPr>
      <w:r w:rsidRPr="00B11624">
        <w:rPr>
          <w:noProof/>
        </w:rPr>
        <w:drawing>
          <wp:inline distT="0" distB="0" distL="0" distR="0" wp14:anchorId="2F201B85" wp14:editId="41A0E8DE">
            <wp:extent cx="2760453" cy="861854"/>
            <wp:effectExtent l="0" t="0" r="1905" b="0"/>
            <wp:docPr id="40" name="Picture 40"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If you need help accessing or reading this diagram, please contact the ACMA's Customer Service Centre by phone on 1300 850 115 or by email at info@acma.gov.au"/>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66559" cy="863760"/>
                    </a:xfrm>
                    <a:prstGeom prst="rect">
                      <a:avLst/>
                    </a:prstGeom>
                    <a:noFill/>
                    <a:ln>
                      <a:noFill/>
                    </a:ln>
                  </pic:spPr>
                </pic:pic>
              </a:graphicData>
            </a:graphic>
          </wp:inline>
        </w:drawing>
      </w:r>
    </w:p>
    <w:p w14:paraId="30B3ACC9" w14:textId="0E70DA99" w:rsidR="004A25F7" w:rsidRDefault="00F85CB0" w:rsidP="00731776">
      <w:pPr>
        <w:pStyle w:val="Paragraph"/>
        <w:keepNext/>
        <w:spacing w:after="0"/>
      </w:pPr>
      <w:r>
        <w:rPr>
          <w:noProof/>
        </w:rPr>
        <w:drawing>
          <wp:inline distT="0" distB="0" distL="0" distR="0" wp14:anchorId="27DBD08F" wp14:editId="52ED7D6C">
            <wp:extent cx="5750064" cy="955344"/>
            <wp:effectExtent l="0" t="0" r="3175" b="0"/>
            <wp:docPr id="50" name="Picture 50"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If you need help accessing or reading this diagram, please contact the ACMA's Customer Service Centre by phone on 1300 850 115 or by email at info@acma.gov.au"/>
                    <pic:cNvPicPr/>
                  </pic:nvPicPr>
                  <pic:blipFill rotWithShape="1">
                    <a:blip r:embed="rId94"/>
                    <a:srcRect l="980"/>
                    <a:stretch/>
                  </pic:blipFill>
                  <pic:spPr bwMode="auto">
                    <a:xfrm>
                      <a:off x="0" y="0"/>
                      <a:ext cx="5765297" cy="957875"/>
                    </a:xfrm>
                    <a:prstGeom prst="rect">
                      <a:avLst/>
                    </a:prstGeom>
                    <a:ln>
                      <a:noFill/>
                    </a:ln>
                    <a:extLst>
                      <a:ext uri="{53640926-AAD7-44D8-BBD7-CCE9431645EC}">
                        <a14:shadowObscured xmlns:a14="http://schemas.microsoft.com/office/drawing/2010/main"/>
                      </a:ext>
                    </a:extLst>
                  </pic:spPr>
                </pic:pic>
              </a:graphicData>
            </a:graphic>
          </wp:inline>
        </w:drawing>
      </w:r>
    </w:p>
    <w:p w14:paraId="33B48FA3" w14:textId="19136763" w:rsidR="004A25F7" w:rsidRDefault="00100D5B" w:rsidP="00731776">
      <w:pPr>
        <w:pStyle w:val="Tableorfigurenote"/>
        <w:keepNext/>
      </w:pPr>
      <w:r>
        <w:t>Not to scale</w:t>
      </w:r>
      <w:r w:rsidR="00BA350D">
        <w:t>.</w:t>
      </w:r>
    </w:p>
    <w:p w14:paraId="744B2420" w14:textId="7D6DC05B" w:rsidR="00646C60" w:rsidRDefault="0019430E" w:rsidP="00100D5B">
      <w:pPr>
        <w:pStyle w:val="Paragraph"/>
      </w:pPr>
      <w:r>
        <w:t>We note</w:t>
      </w:r>
      <w:r w:rsidR="00100D5B">
        <w:t xml:space="preserve"> that a 2.5 MHz lot is likely to be of limited utility to licensees</w:t>
      </w:r>
      <w:r w:rsidR="00BA350D">
        <w:t>,</w:t>
      </w:r>
      <w:r w:rsidR="00100D5B">
        <w:t xml:space="preserve"> and a 7.5 MHz lot is likely to be of greater utility</w:t>
      </w:r>
      <w:r w:rsidR="005C1204">
        <w:t xml:space="preserve"> when compared to a 2.5 MHz lot</w:t>
      </w:r>
      <w:r>
        <w:t xml:space="preserve">. </w:t>
      </w:r>
      <w:r w:rsidR="00275150">
        <w:t>As with the leftover lots in a 10 MHz configuration, the 2.5 MHz leftover lots would have to be sorted into a different</w:t>
      </w:r>
      <w:r w:rsidR="004E4FA2">
        <w:t xml:space="preserve"> category in a </w:t>
      </w:r>
      <w:r w:rsidR="00BA350D">
        <w:t>2</w:t>
      </w:r>
      <w:r w:rsidR="004E4FA2">
        <w:t>-stage clock auction with generic lots.</w:t>
      </w:r>
    </w:p>
    <w:p w14:paraId="6352DCC5" w14:textId="7317294D" w:rsidR="00646C60" w:rsidRDefault="00646C60" w:rsidP="00BA547E">
      <w:pPr>
        <w:pStyle w:val="Heading4"/>
      </w:pPr>
      <w:r>
        <w:t>5 MHz lots with 7.5 MHz left over</w:t>
      </w:r>
    </w:p>
    <w:p w14:paraId="5854283B" w14:textId="3E9A6ED1" w:rsidR="00100D5B" w:rsidRDefault="00646C60" w:rsidP="00100D5B">
      <w:pPr>
        <w:pStyle w:val="Paragraph"/>
      </w:pPr>
      <w:r>
        <w:t>Alternatively</w:t>
      </w:r>
      <w:r w:rsidR="0019430E">
        <w:t>,</w:t>
      </w:r>
      <w:r w:rsidR="00100D5B">
        <w:t xml:space="preserve"> where the quantum of total available spectrum is not divisible by 5, the spectrum </w:t>
      </w:r>
      <w:r w:rsidR="0019430E">
        <w:t>could</w:t>
      </w:r>
      <w:r w:rsidR="00100D5B">
        <w:t xml:space="preserve"> be configured into 5</w:t>
      </w:r>
      <w:r w:rsidR="00A31D65">
        <w:t> </w:t>
      </w:r>
      <w:r w:rsidR="00100D5B">
        <w:t>MHz lots</w:t>
      </w:r>
      <w:r w:rsidR="00BA350D">
        <w:t>,</w:t>
      </w:r>
      <w:r w:rsidR="00100D5B">
        <w:t xml:space="preserve"> </w:t>
      </w:r>
      <w:r w:rsidR="0019430E">
        <w:t>with leftover lots of 7.5 MHz</w:t>
      </w:r>
      <w:r w:rsidR="00100D5B">
        <w:t xml:space="preserve">. </w:t>
      </w:r>
    </w:p>
    <w:p w14:paraId="3FCB152D" w14:textId="04E98C54" w:rsidR="0019430E" w:rsidRDefault="0019430E" w:rsidP="0019430E">
      <w:pPr>
        <w:pStyle w:val="Figureheading"/>
      </w:pPr>
      <w:r>
        <w:t>Proposed 5 MHz lot configurations for the 3.4 GHz band (7.5 MHz leftover lots)</w:t>
      </w:r>
    </w:p>
    <w:p w14:paraId="03530CB4" w14:textId="738FF0CD" w:rsidR="00964638" w:rsidRDefault="009F1376" w:rsidP="00AF4F63">
      <w:pPr>
        <w:pStyle w:val="Paragraph"/>
        <w:spacing w:after="0"/>
      </w:pPr>
      <w:r>
        <w:rPr>
          <w:noProof/>
        </w:rPr>
        <w:drawing>
          <wp:inline distT="0" distB="0" distL="0" distR="0" wp14:anchorId="7415DF88" wp14:editId="23FF16B9">
            <wp:extent cx="3382110" cy="836762"/>
            <wp:effectExtent l="0" t="0" r="0" b="1905"/>
            <wp:docPr id="13" name="Picture 13"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f you need help accessing or reading this diagram, please contact the ACMA's Customer Service Centre by phone on 1300 850 115 or by email at info@acma.gov.au"/>
                    <pic:cNvPicPr/>
                  </pic:nvPicPr>
                  <pic:blipFill rotWithShape="1">
                    <a:blip r:embed="rId95"/>
                    <a:srcRect l="1311"/>
                    <a:stretch/>
                  </pic:blipFill>
                  <pic:spPr bwMode="auto">
                    <a:xfrm>
                      <a:off x="0" y="0"/>
                      <a:ext cx="3518277" cy="870451"/>
                    </a:xfrm>
                    <a:prstGeom prst="rect">
                      <a:avLst/>
                    </a:prstGeom>
                    <a:ln>
                      <a:noFill/>
                    </a:ln>
                    <a:extLst>
                      <a:ext uri="{53640926-AAD7-44D8-BBD7-CCE9431645EC}">
                        <a14:shadowObscured xmlns:a14="http://schemas.microsoft.com/office/drawing/2010/main"/>
                      </a:ext>
                    </a:extLst>
                  </pic:spPr>
                </pic:pic>
              </a:graphicData>
            </a:graphic>
          </wp:inline>
        </w:drawing>
      </w:r>
    </w:p>
    <w:p w14:paraId="4DD5DF49" w14:textId="334A9484" w:rsidR="00D268B6" w:rsidRDefault="00EB07FE" w:rsidP="00AF4F63">
      <w:pPr>
        <w:pStyle w:val="Paragraph"/>
        <w:spacing w:after="0"/>
      </w:pPr>
      <w:r>
        <w:rPr>
          <w:noProof/>
        </w:rPr>
        <w:drawing>
          <wp:inline distT="0" distB="0" distL="0" distR="0" wp14:anchorId="07605E99" wp14:editId="65FEAF79">
            <wp:extent cx="5472443" cy="921224"/>
            <wp:effectExtent l="0" t="0" r="0" b="0"/>
            <wp:docPr id="52" name="Picture 52"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If you need help accessing or reading this diagram, please contact the ACMA's Customer Service Centre by phone on 1300 850 115 or by email at info@acma.gov.au"/>
                    <pic:cNvPicPr/>
                  </pic:nvPicPr>
                  <pic:blipFill rotWithShape="1">
                    <a:blip r:embed="rId96"/>
                    <a:srcRect l="1961"/>
                    <a:stretch/>
                  </pic:blipFill>
                  <pic:spPr bwMode="auto">
                    <a:xfrm>
                      <a:off x="0" y="0"/>
                      <a:ext cx="5483129" cy="923023"/>
                    </a:xfrm>
                    <a:prstGeom prst="rect">
                      <a:avLst/>
                    </a:prstGeom>
                    <a:ln>
                      <a:noFill/>
                    </a:ln>
                    <a:extLst>
                      <a:ext uri="{53640926-AAD7-44D8-BBD7-CCE9431645EC}">
                        <a14:shadowObscured xmlns:a14="http://schemas.microsoft.com/office/drawing/2010/main"/>
                      </a:ext>
                    </a:extLst>
                  </pic:spPr>
                </pic:pic>
              </a:graphicData>
            </a:graphic>
          </wp:inline>
        </w:drawing>
      </w:r>
    </w:p>
    <w:p w14:paraId="623DFBA5" w14:textId="722E6B34" w:rsidR="00E44AB5" w:rsidRDefault="00E44AB5" w:rsidP="00E44AB5">
      <w:pPr>
        <w:pStyle w:val="Tableorfigurenote"/>
      </w:pPr>
      <w:r>
        <w:t>Not to scale</w:t>
      </w:r>
      <w:r w:rsidR="00BA350D">
        <w:t>.</w:t>
      </w:r>
    </w:p>
    <w:p w14:paraId="72D9E246" w14:textId="3D7240ED" w:rsidR="00ED6659" w:rsidRDefault="00ED6659" w:rsidP="00ED6659">
      <w:pPr>
        <w:pStyle w:val="Paragraph"/>
      </w:pPr>
      <w:r>
        <w:t>The 5 MHz lot approach has the least number of different lot sizes (</w:t>
      </w:r>
      <w:r w:rsidR="008A40AB">
        <w:t>with leftover lots of either 2.5 MHz or 7.5 MHz</w:t>
      </w:r>
      <w:r>
        <w:t xml:space="preserve">). This could simplify valuing and allocating spectrum in the 3.4 GHz band. </w:t>
      </w:r>
      <w:r w:rsidR="00152CFE">
        <w:t xml:space="preserve">In this case, </w:t>
      </w:r>
      <w:r w:rsidR="00367243">
        <w:t xml:space="preserve">if we were to use a </w:t>
      </w:r>
      <w:r w:rsidR="00BA350D">
        <w:t>2</w:t>
      </w:r>
      <w:r w:rsidR="00367243">
        <w:t xml:space="preserve">-stage clock auction with generic lots, </w:t>
      </w:r>
      <w:r w:rsidR="00152CFE">
        <w:t xml:space="preserve">we may consider that </w:t>
      </w:r>
      <w:r w:rsidR="00407CD1">
        <w:t xml:space="preserve">a </w:t>
      </w:r>
      <w:r w:rsidR="00152CFE">
        <w:t>7.5 MHz leftover lot is generic with the other 5 MHz lots</w:t>
      </w:r>
      <w:r w:rsidR="008E6134">
        <w:t>, rather than offer the leftover lots in a separate category at auction</w:t>
      </w:r>
      <w:r w:rsidR="00367243">
        <w:t>.</w:t>
      </w:r>
    </w:p>
    <w:p w14:paraId="180BAE7F" w14:textId="2C416C87" w:rsidR="00110A65" w:rsidRDefault="00110A65" w:rsidP="00ED6659">
      <w:pPr>
        <w:pStyle w:val="Paragraph"/>
      </w:pPr>
      <w:r>
        <w:t>The downside to configuring the 3.4 GHz band in regional areas in 5 MHz</w:t>
      </w:r>
      <w:r w:rsidR="002C3ADB">
        <w:t xml:space="preserve"> lots is that the lot sizes may be different to</w:t>
      </w:r>
      <w:r w:rsidR="004B25A9">
        <w:t xml:space="preserve"> those of</w:t>
      </w:r>
      <w:r w:rsidR="002C3ADB">
        <w:t xml:space="preserve"> other spectrum being offered at auction (such as the 3.4 GHz band in urban excise areas and the 3.7 GHz band</w:t>
      </w:r>
      <w:r w:rsidR="006A29C7">
        <w:t>; discussion of frequency bandwidth configuration for these parts of the spectrum is below</w:t>
      </w:r>
      <w:r w:rsidR="002C3ADB">
        <w:t>)</w:t>
      </w:r>
      <w:r w:rsidR="006A29C7">
        <w:t xml:space="preserve">. Offering differently sized blocks of spectrum in the same allocation process may limit the substitutability </w:t>
      </w:r>
      <w:r w:rsidR="00052BCD">
        <w:t xml:space="preserve">of spectrum at auction. For example, </w:t>
      </w:r>
      <w:r w:rsidR="00417FDF">
        <w:t xml:space="preserve">a bidder may find it difficult to switch </w:t>
      </w:r>
      <w:r w:rsidR="00D46B27">
        <w:t xml:space="preserve">demand from 10 MHz of </w:t>
      </w:r>
      <w:r w:rsidR="008B3891">
        <w:t xml:space="preserve">regional spectrum in the 3.7 GHz band </w:t>
      </w:r>
      <w:r w:rsidR="003D454A">
        <w:t xml:space="preserve">to </w:t>
      </w:r>
      <w:r w:rsidR="0045685C">
        <w:t>2 lots of 5 </w:t>
      </w:r>
      <w:r w:rsidR="003D454A">
        <w:t xml:space="preserve">MHz of </w:t>
      </w:r>
      <w:r w:rsidR="0045685C">
        <w:t xml:space="preserve">comparable </w:t>
      </w:r>
      <w:r w:rsidR="003D454A">
        <w:t>regional spectrum in the 3.4 GHz band.</w:t>
      </w:r>
    </w:p>
    <w:p w14:paraId="7E1851F1" w14:textId="0F37BC72" w:rsidR="00094340" w:rsidRDefault="00E83B06" w:rsidP="008962DD">
      <w:pPr>
        <w:pStyle w:val="Paragraph"/>
      </w:pPr>
      <w:r>
        <w:t xml:space="preserve">Noting the different benefits and disadvantages of both </w:t>
      </w:r>
      <w:r w:rsidR="004C47E5">
        <w:t>the 5 MHz and 10 MHz configuration options, o</w:t>
      </w:r>
      <w:r>
        <w:t xml:space="preserve">ur preliminary view is that </w:t>
      </w:r>
      <w:r w:rsidR="006D1694">
        <w:t xml:space="preserve">offering </w:t>
      </w:r>
      <w:r>
        <w:t>10 MHz lots</w:t>
      </w:r>
      <w:r w:rsidR="006D1694">
        <w:t xml:space="preserve"> in the 3.4 GHz band in regional </w:t>
      </w:r>
      <w:r w:rsidR="006D1694" w:rsidRPr="00582F59">
        <w:t xml:space="preserve">areas (Figure </w:t>
      </w:r>
      <w:r w:rsidR="008E700A" w:rsidRPr="00582F59">
        <w:t>16</w:t>
      </w:r>
      <w:r w:rsidR="006D1694">
        <w:t>)</w:t>
      </w:r>
      <w:r>
        <w:t xml:space="preserve"> would be more suitable</w:t>
      </w:r>
      <w:r w:rsidR="00F1380A">
        <w:t xml:space="preserve">. </w:t>
      </w:r>
    </w:p>
    <w:p w14:paraId="51731705" w14:textId="77777777" w:rsidR="005C520D" w:rsidRDefault="005C520D" w:rsidP="00AB4677">
      <w:pPr>
        <w:pStyle w:val="Heading3"/>
      </w:pPr>
      <w:r>
        <w:t>Urban excise areas in 3400–3475 MHz</w:t>
      </w:r>
    </w:p>
    <w:p w14:paraId="7383DD98" w14:textId="6CE0D722" w:rsidR="002D29E2" w:rsidRDefault="002D29E2" w:rsidP="002D29E2">
      <w:r>
        <w:t xml:space="preserve">As noted </w:t>
      </w:r>
      <w:r w:rsidR="003C55C4">
        <w:t>previously</w:t>
      </w:r>
      <w:r>
        <w:t xml:space="preserve">, 10 MHz </w:t>
      </w:r>
      <w:r w:rsidR="003E08F6">
        <w:t xml:space="preserve">is </w:t>
      </w:r>
      <w:r w:rsidR="0018711F">
        <w:t xml:space="preserve">considered </w:t>
      </w:r>
      <w:r w:rsidR="003E08F6">
        <w:t>the</w:t>
      </w:r>
      <w:r w:rsidR="0018711F">
        <w:t xml:space="preserve"> optimal </w:t>
      </w:r>
      <w:r>
        <w:t xml:space="preserve">lot </w:t>
      </w:r>
      <w:r w:rsidR="0018711F">
        <w:t>size given the TDD configuration of the spectrum.</w:t>
      </w:r>
      <w:r>
        <w:t xml:space="preserve"> </w:t>
      </w:r>
      <w:r w:rsidR="008A1972">
        <w:t>However,</w:t>
      </w:r>
      <w:r w:rsidR="00AA5B4C">
        <w:t xml:space="preserve"> </w:t>
      </w:r>
      <w:r w:rsidR="008A1972">
        <w:t xml:space="preserve">as </w:t>
      </w:r>
      <w:r>
        <w:t>there is 75 MHz of available spectrum</w:t>
      </w:r>
      <w:r w:rsidR="008A1972">
        <w:t>, this</w:t>
      </w:r>
      <w:r>
        <w:t xml:space="preserve"> will result in </w:t>
      </w:r>
      <w:r w:rsidR="00A221AB">
        <w:t>a</w:t>
      </w:r>
      <w:r>
        <w:t xml:space="preserve"> 5 MHz leftover</w:t>
      </w:r>
      <w:r w:rsidR="00A221AB">
        <w:t xml:space="preserve"> lot</w:t>
      </w:r>
      <w:r w:rsidR="003C55C4">
        <w:t>.</w:t>
      </w:r>
      <w:r>
        <w:t xml:space="preserve"> </w:t>
      </w:r>
    </w:p>
    <w:p w14:paraId="1ADB8F5A" w14:textId="72F89186" w:rsidR="005E0995" w:rsidRDefault="005E0995" w:rsidP="002D29E2">
      <w:r>
        <w:t>Submissions</w:t>
      </w:r>
      <w:r w:rsidR="0001619D">
        <w:t xml:space="preserve"> to the </w:t>
      </w:r>
      <w:r w:rsidR="00BA350D">
        <w:t>u</w:t>
      </w:r>
      <w:r w:rsidR="0001619D">
        <w:t xml:space="preserve">rban </w:t>
      </w:r>
      <w:r w:rsidR="00BA350D">
        <w:t>e</w:t>
      </w:r>
      <w:r w:rsidR="0001619D">
        <w:t xml:space="preserve">xcise options paper </w:t>
      </w:r>
      <w:r>
        <w:t>suggested that the 3460</w:t>
      </w:r>
      <w:r w:rsidR="00BA350D">
        <w:t>–</w:t>
      </w:r>
      <w:r>
        <w:t>3475 MHz frequency range</w:t>
      </w:r>
      <w:r w:rsidR="0001619D">
        <w:t xml:space="preserve"> </w:t>
      </w:r>
      <w:r w:rsidR="00A221AB">
        <w:t xml:space="preserve">should </w:t>
      </w:r>
      <w:r w:rsidR="009C6EAC">
        <w:t>be</w:t>
      </w:r>
      <w:r>
        <w:t xml:space="preserve"> allocate</w:t>
      </w:r>
      <w:r w:rsidR="009C6EAC">
        <w:t>d</w:t>
      </w:r>
      <w:r>
        <w:t xml:space="preserve"> </w:t>
      </w:r>
      <w:r w:rsidR="0001619D">
        <w:t>as a single 15 MHz lot. This was to ensure the 5</w:t>
      </w:r>
      <w:r w:rsidR="00A221AB">
        <w:t> </w:t>
      </w:r>
      <w:r w:rsidR="0001619D">
        <w:t xml:space="preserve">MHz </w:t>
      </w:r>
      <w:r w:rsidR="00407CD1">
        <w:t>RB</w:t>
      </w:r>
      <w:r w:rsidR="0001619D">
        <w:t xml:space="preserve"> at 3470</w:t>
      </w:r>
      <w:r w:rsidR="00BA350D">
        <w:t>–</w:t>
      </w:r>
      <w:r w:rsidR="0001619D">
        <w:t>3475 MHz is allocated with other usable spectrum</w:t>
      </w:r>
      <w:r w:rsidR="00A221AB">
        <w:t>,</w:t>
      </w:r>
      <w:r w:rsidR="0001619D">
        <w:t xml:space="preserve"> reducing the chance it </w:t>
      </w:r>
      <w:r w:rsidR="009B757B">
        <w:t>is not allocated at all</w:t>
      </w:r>
      <w:r w:rsidR="0001619D">
        <w:t>.</w:t>
      </w:r>
      <w:r w:rsidR="009C6EAC">
        <w:t xml:space="preserve"> If this approach is taken, then the 3400</w:t>
      </w:r>
      <w:r w:rsidR="00BA350D">
        <w:t>–</w:t>
      </w:r>
      <w:r w:rsidR="009C6EAC">
        <w:t xml:space="preserve">3460 MHz frequency range </w:t>
      </w:r>
      <w:r w:rsidR="009B757B">
        <w:t>in urban excise areas</w:t>
      </w:r>
      <w:r w:rsidR="009C6EAC">
        <w:t xml:space="preserve"> could be configured in</w:t>
      </w:r>
      <w:r w:rsidR="00BD3FF4">
        <w:t>to</w:t>
      </w:r>
      <w:r w:rsidR="009C6EAC">
        <w:t xml:space="preserve"> 6 lots of 10 MHz.</w:t>
      </w:r>
    </w:p>
    <w:p w14:paraId="6E7D4BC1" w14:textId="07318182" w:rsidR="002D29E2" w:rsidRDefault="002D29E2" w:rsidP="002D29E2">
      <w:r w:rsidRPr="009A591C">
        <w:t xml:space="preserve">Table </w:t>
      </w:r>
      <w:r w:rsidR="008E700A" w:rsidRPr="009A591C">
        <w:t>4</w:t>
      </w:r>
      <w:r w:rsidRPr="009A591C">
        <w:t xml:space="preserve"> d</w:t>
      </w:r>
      <w:r w:rsidRPr="00582F59">
        <w:t>etails</w:t>
      </w:r>
      <w:r>
        <w:t xml:space="preserve"> </w:t>
      </w:r>
      <w:r w:rsidR="00A06D01">
        <w:t>our</w:t>
      </w:r>
      <w:r>
        <w:t xml:space="preserve"> proposed lot configuration for urban excise areas. </w:t>
      </w:r>
    </w:p>
    <w:p w14:paraId="57D026AB" w14:textId="77777777" w:rsidR="002D29E2" w:rsidRDefault="002D29E2" w:rsidP="00782804">
      <w:pPr>
        <w:pStyle w:val="Tableheading"/>
      </w:pPr>
      <w:r>
        <w:t>Proposed frequency bandwidth configuration in 3400–3475 MHz urban excise areas</w:t>
      </w:r>
    </w:p>
    <w:tbl>
      <w:tblPr>
        <w:tblStyle w:val="ACMAtablestyle"/>
        <w:tblW w:w="56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85" w:type="dxa"/>
          <w:left w:w="57" w:type="dxa"/>
          <w:bottom w:w="85" w:type="dxa"/>
          <w:right w:w="57" w:type="dxa"/>
        </w:tblCellMar>
        <w:tblLook w:val="04A0" w:firstRow="1" w:lastRow="0" w:firstColumn="1" w:lastColumn="0" w:noHBand="0" w:noVBand="1"/>
      </w:tblPr>
      <w:tblGrid>
        <w:gridCol w:w="1709"/>
        <w:gridCol w:w="1962"/>
        <w:gridCol w:w="1981"/>
      </w:tblGrid>
      <w:tr w:rsidR="00E32893" w:rsidRPr="00CB1CCD" w14:paraId="25AD6A27" w14:textId="77777777" w:rsidTr="00782804">
        <w:trPr>
          <w:cnfStyle w:val="100000000000" w:firstRow="1" w:lastRow="0" w:firstColumn="0" w:lastColumn="0" w:oddVBand="0" w:evenVBand="0" w:oddHBand="0" w:evenHBand="0" w:firstRowFirstColumn="0" w:firstRowLastColumn="0" w:lastRowFirstColumn="0" w:lastRowLastColumn="0"/>
          <w:trHeight w:val="199"/>
        </w:trPr>
        <w:tc>
          <w:tcPr>
            <w:tcW w:w="0" w:type="dxa"/>
            <w:vAlign w:val="center"/>
          </w:tcPr>
          <w:p w14:paraId="67685C30" w14:textId="77777777" w:rsidR="002D29E2" w:rsidRPr="00CB1CCD" w:rsidRDefault="002D29E2" w:rsidP="00782804">
            <w:pPr>
              <w:pStyle w:val="Tableheaderrow"/>
              <w:keepNext/>
            </w:pPr>
            <w:r>
              <w:t>Channel</w:t>
            </w:r>
          </w:p>
        </w:tc>
        <w:tc>
          <w:tcPr>
            <w:tcW w:w="0" w:type="dxa"/>
            <w:vAlign w:val="center"/>
          </w:tcPr>
          <w:p w14:paraId="29A5971F" w14:textId="77777777" w:rsidR="002D29E2" w:rsidRPr="00CB1CCD" w:rsidRDefault="002D29E2" w:rsidP="00782804">
            <w:pPr>
              <w:pStyle w:val="Tableheaderrow"/>
              <w:keepNext/>
            </w:pPr>
            <w:r w:rsidRPr="00CB1CCD">
              <w:t>Frequency range</w:t>
            </w:r>
          </w:p>
        </w:tc>
        <w:tc>
          <w:tcPr>
            <w:tcW w:w="0" w:type="dxa"/>
            <w:vAlign w:val="center"/>
          </w:tcPr>
          <w:p w14:paraId="50A35980" w14:textId="77777777" w:rsidR="002D29E2" w:rsidRPr="00CB1CCD" w:rsidRDefault="002D29E2" w:rsidP="00782804">
            <w:pPr>
              <w:pStyle w:val="Tableheaderrow"/>
              <w:keepNext/>
            </w:pPr>
            <w:r>
              <w:t>Bandwidth</w:t>
            </w:r>
          </w:p>
        </w:tc>
      </w:tr>
      <w:tr w:rsidR="00D368BF" w:rsidRPr="00CB1CCD" w14:paraId="0F3B5FD4" w14:textId="77777777" w:rsidTr="00782804">
        <w:trPr>
          <w:cnfStyle w:val="000000100000" w:firstRow="0" w:lastRow="0" w:firstColumn="0" w:lastColumn="0" w:oddVBand="0" w:evenVBand="0" w:oddHBand="1" w:evenHBand="0" w:firstRowFirstColumn="0" w:firstRowLastColumn="0" w:lastRowFirstColumn="0" w:lastRowLastColumn="0"/>
          <w:trHeight w:val="340"/>
        </w:trPr>
        <w:tc>
          <w:tcPr>
            <w:tcW w:w="0" w:type="dxa"/>
            <w:shd w:val="clear" w:color="auto" w:fill="auto"/>
            <w:vAlign w:val="center"/>
          </w:tcPr>
          <w:p w14:paraId="08CE2E2B" w14:textId="77777777" w:rsidR="002D29E2" w:rsidRPr="00CB1CCD" w:rsidRDefault="002D29E2" w:rsidP="00782804">
            <w:pPr>
              <w:pStyle w:val="TableBody"/>
              <w:keepNext/>
            </w:pPr>
            <w:r>
              <w:t>1</w:t>
            </w:r>
          </w:p>
        </w:tc>
        <w:tc>
          <w:tcPr>
            <w:tcW w:w="0" w:type="dxa"/>
            <w:shd w:val="clear" w:color="auto" w:fill="auto"/>
            <w:vAlign w:val="center"/>
          </w:tcPr>
          <w:p w14:paraId="68CDCC7C" w14:textId="77777777" w:rsidR="002D29E2" w:rsidRPr="00CB1CCD" w:rsidRDefault="002D29E2" w:rsidP="00782804">
            <w:pPr>
              <w:pStyle w:val="TableBody"/>
              <w:keepNext/>
            </w:pPr>
            <w:r>
              <w:t>3400–3410 MHz</w:t>
            </w:r>
          </w:p>
        </w:tc>
        <w:tc>
          <w:tcPr>
            <w:tcW w:w="0" w:type="dxa"/>
            <w:shd w:val="clear" w:color="auto" w:fill="auto"/>
            <w:vAlign w:val="center"/>
          </w:tcPr>
          <w:p w14:paraId="3A2A98F9" w14:textId="77777777" w:rsidR="002D29E2" w:rsidRPr="00CB1CCD" w:rsidRDefault="002D29E2" w:rsidP="00782804">
            <w:pPr>
              <w:pStyle w:val="TableBody"/>
              <w:keepNext/>
            </w:pPr>
            <w:r>
              <w:t>10 MHz</w:t>
            </w:r>
          </w:p>
        </w:tc>
      </w:tr>
      <w:tr w:rsidR="00D368BF" w:rsidRPr="00CB1CCD" w14:paraId="29205F92" w14:textId="77777777" w:rsidTr="00782804">
        <w:trPr>
          <w:cnfStyle w:val="000000010000" w:firstRow="0" w:lastRow="0" w:firstColumn="0" w:lastColumn="0" w:oddVBand="0" w:evenVBand="0" w:oddHBand="0" w:evenHBand="1" w:firstRowFirstColumn="0" w:firstRowLastColumn="0" w:lastRowFirstColumn="0" w:lastRowLastColumn="0"/>
          <w:trHeight w:val="340"/>
        </w:trPr>
        <w:tc>
          <w:tcPr>
            <w:tcW w:w="0" w:type="dxa"/>
            <w:shd w:val="clear" w:color="auto" w:fill="auto"/>
            <w:vAlign w:val="center"/>
          </w:tcPr>
          <w:p w14:paraId="73D7F38C" w14:textId="77777777" w:rsidR="002D29E2" w:rsidRPr="00CB1CCD" w:rsidRDefault="002D29E2" w:rsidP="00782804">
            <w:pPr>
              <w:pStyle w:val="TableBody"/>
              <w:keepNext/>
            </w:pPr>
            <w:r>
              <w:t>2</w:t>
            </w:r>
          </w:p>
        </w:tc>
        <w:tc>
          <w:tcPr>
            <w:tcW w:w="0" w:type="dxa"/>
            <w:shd w:val="clear" w:color="auto" w:fill="auto"/>
            <w:vAlign w:val="center"/>
          </w:tcPr>
          <w:p w14:paraId="3EA73027" w14:textId="77777777" w:rsidR="002D29E2" w:rsidRPr="00CB1CCD" w:rsidRDefault="002D29E2" w:rsidP="00782804">
            <w:pPr>
              <w:pStyle w:val="TableBody"/>
              <w:keepNext/>
            </w:pPr>
            <w:r>
              <w:t>3410–3420 MHz</w:t>
            </w:r>
          </w:p>
        </w:tc>
        <w:tc>
          <w:tcPr>
            <w:tcW w:w="0" w:type="dxa"/>
            <w:shd w:val="clear" w:color="auto" w:fill="auto"/>
            <w:vAlign w:val="center"/>
          </w:tcPr>
          <w:p w14:paraId="2EEF3065" w14:textId="77777777" w:rsidR="002D29E2" w:rsidRPr="00CB1CCD" w:rsidRDefault="002D29E2" w:rsidP="00782804">
            <w:pPr>
              <w:pStyle w:val="TableBody"/>
              <w:keepNext/>
            </w:pPr>
            <w:r>
              <w:t>10 MHz</w:t>
            </w:r>
          </w:p>
        </w:tc>
      </w:tr>
      <w:tr w:rsidR="00D368BF" w14:paraId="59C616E4" w14:textId="77777777" w:rsidTr="00782804">
        <w:trPr>
          <w:cnfStyle w:val="000000100000" w:firstRow="0" w:lastRow="0" w:firstColumn="0" w:lastColumn="0" w:oddVBand="0" w:evenVBand="0" w:oddHBand="1" w:evenHBand="0" w:firstRowFirstColumn="0" w:firstRowLastColumn="0" w:lastRowFirstColumn="0" w:lastRowLastColumn="0"/>
          <w:trHeight w:val="340"/>
        </w:trPr>
        <w:tc>
          <w:tcPr>
            <w:tcW w:w="0" w:type="dxa"/>
            <w:shd w:val="clear" w:color="auto" w:fill="auto"/>
            <w:vAlign w:val="center"/>
          </w:tcPr>
          <w:p w14:paraId="59FF2573" w14:textId="77777777" w:rsidR="002D29E2" w:rsidRPr="00CB1CCD" w:rsidRDefault="002D29E2" w:rsidP="00782804">
            <w:pPr>
              <w:pStyle w:val="TableBody"/>
              <w:keepNext/>
            </w:pPr>
            <w:r>
              <w:t>3</w:t>
            </w:r>
          </w:p>
        </w:tc>
        <w:tc>
          <w:tcPr>
            <w:tcW w:w="0" w:type="dxa"/>
            <w:shd w:val="clear" w:color="auto" w:fill="auto"/>
            <w:vAlign w:val="center"/>
          </w:tcPr>
          <w:p w14:paraId="2C4C9C92" w14:textId="77777777" w:rsidR="002D29E2" w:rsidRPr="00CB1CCD" w:rsidRDefault="002D29E2" w:rsidP="00782804">
            <w:pPr>
              <w:pStyle w:val="TableBody"/>
              <w:keepNext/>
            </w:pPr>
            <w:r>
              <w:t>3420–3430 MHz</w:t>
            </w:r>
          </w:p>
        </w:tc>
        <w:tc>
          <w:tcPr>
            <w:tcW w:w="0" w:type="dxa"/>
            <w:shd w:val="clear" w:color="auto" w:fill="auto"/>
            <w:vAlign w:val="center"/>
          </w:tcPr>
          <w:p w14:paraId="121F672E" w14:textId="77777777" w:rsidR="002D29E2" w:rsidRDefault="002D29E2" w:rsidP="00782804">
            <w:pPr>
              <w:pStyle w:val="TableBody"/>
              <w:keepNext/>
            </w:pPr>
            <w:r>
              <w:t>10 MHz</w:t>
            </w:r>
          </w:p>
        </w:tc>
      </w:tr>
      <w:tr w:rsidR="00D368BF" w14:paraId="63827AEE" w14:textId="77777777" w:rsidTr="00782804">
        <w:trPr>
          <w:cnfStyle w:val="000000010000" w:firstRow="0" w:lastRow="0" w:firstColumn="0" w:lastColumn="0" w:oddVBand="0" w:evenVBand="0" w:oddHBand="0" w:evenHBand="1" w:firstRowFirstColumn="0" w:firstRowLastColumn="0" w:lastRowFirstColumn="0" w:lastRowLastColumn="0"/>
          <w:trHeight w:val="340"/>
        </w:trPr>
        <w:tc>
          <w:tcPr>
            <w:tcW w:w="0" w:type="dxa"/>
            <w:shd w:val="clear" w:color="auto" w:fill="auto"/>
            <w:vAlign w:val="center"/>
          </w:tcPr>
          <w:p w14:paraId="1F691819" w14:textId="77777777" w:rsidR="002D29E2" w:rsidRPr="00CB1CCD" w:rsidRDefault="002D29E2" w:rsidP="00782804">
            <w:pPr>
              <w:pStyle w:val="TableBody"/>
              <w:keepNext/>
            </w:pPr>
            <w:r>
              <w:t>4</w:t>
            </w:r>
          </w:p>
        </w:tc>
        <w:tc>
          <w:tcPr>
            <w:tcW w:w="0" w:type="dxa"/>
            <w:shd w:val="clear" w:color="auto" w:fill="auto"/>
            <w:vAlign w:val="center"/>
          </w:tcPr>
          <w:p w14:paraId="1DCE46CF" w14:textId="77777777" w:rsidR="002D29E2" w:rsidRPr="00CB1CCD" w:rsidRDefault="002D29E2" w:rsidP="00782804">
            <w:pPr>
              <w:pStyle w:val="TableBody"/>
              <w:keepNext/>
            </w:pPr>
            <w:r>
              <w:t>3430–3440 MHz</w:t>
            </w:r>
          </w:p>
        </w:tc>
        <w:tc>
          <w:tcPr>
            <w:tcW w:w="0" w:type="dxa"/>
            <w:shd w:val="clear" w:color="auto" w:fill="auto"/>
            <w:vAlign w:val="center"/>
          </w:tcPr>
          <w:p w14:paraId="0D7F30DE" w14:textId="77777777" w:rsidR="002D29E2" w:rsidRDefault="002D29E2" w:rsidP="00782804">
            <w:pPr>
              <w:pStyle w:val="TableBody"/>
              <w:keepNext/>
            </w:pPr>
            <w:r>
              <w:t>10 MHz</w:t>
            </w:r>
          </w:p>
        </w:tc>
      </w:tr>
      <w:tr w:rsidR="00D368BF" w14:paraId="69635A70" w14:textId="77777777" w:rsidTr="00782804">
        <w:trPr>
          <w:cnfStyle w:val="000000100000" w:firstRow="0" w:lastRow="0" w:firstColumn="0" w:lastColumn="0" w:oddVBand="0" w:evenVBand="0" w:oddHBand="1" w:evenHBand="0" w:firstRowFirstColumn="0" w:firstRowLastColumn="0" w:lastRowFirstColumn="0" w:lastRowLastColumn="0"/>
          <w:trHeight w:val="340"/>
        </w:trPr>
        <w:tc>
          <w:tcPr>
            <w:tcW w:w="0" w:type="dxa"/>
            <w:shd w:val="clear" w:color="auto" w:fill="auto"/>
            <w:vAlign w:val="center"/>
          </w:tcPr>
          <w:p w14:paraId="1FB2E4D7" w14:textId="77777777" w:rsidR="002D29E2" w:rsidRDefault="002D29E2" w:rsidP="00782804">
            <w:pPr>
              <w:pStyle w:val="TableBody"/>
              <w:keepNext/>
            </w:pPr>
            <w:r>
              <w:t>5</w:t>
            </w:r>
          </w:p>
        </w:tc>
        <w:tc>
          <w:tcPr>
            <w:tcW w:w="0" w:type="dxa"/>
            <w:shd w:val="clear" w:color="auto" w:fill="auto"/>
            <w:vAlign w:val="center"/>
          </w:tcPr>
          <w:p w14:paraId="2D01C08F" w14:textId="77777777" w:rsidR="002D29E2" w:rsidRDefault="002D29E2" w:rsidP="00782804">
            <w:pPr>
              <w:pStyle w:val="TableBody"/>
              <w:keepNext/>
            </w:pPr>
            <w:r>
              <w:t>3440–3450 MHz</w:t>
            </w:r>
          </w:p>
        </w:tc>
        <w:tc>
          <w:tcPr>
            <w:tcW w:w="0" w:type="dxa"/>
            <w:shd w:val="clear" w:color="auto" w:fill="auto"/>
            <w:vAlign w:val="center"/>
          </w:tcPr>
          <w:p w14:paraId="3744E71F" w14:textId="77777777" w:rsidR="002D29E2" w:rsidRDefault="002D29E2" w:rsidP="00782804">
            <w:pPr>
              <w:pStyle w:val="TableBody"/>
              <w:keepNext/>
            </w:pPr>
            <w:r>
              <w:t>10 MHz</w:t>
            </w:r>
          </w:p>
        </w:tc>
      </w:tr>
      <w:tr w:rsidR="00D368BF" w14:paraId="011E8FCF" w14:textId="77777777" w:rsidTr="00782804">
        <w:trPr>
          <w:cnfStyle w:val="000000010000" w:firstRow="0" w:lastRow="0" w:firstColumn="0" w:lastColumn="0" w:oddVBand="0" w:evenVBand="0" w:oddHBand="0" w:evenHBand="1" w:firstRowFirstColumn="0" w:firstRowLastColumn="0" w:lastRowFirstColumn="0" w:lastRowLastColumn="0"/>
          <w:trHeight w:val="340"/>
        </w:trPr>
        <w:tc>
          <w:tcPr>
            <w:tcW w:w="0" w:type="dxa"/>
            <w:shd w:val="clear" w:color="auto" w:fill="auto"/>
            <w:vAlign w:val="center"/>
          </w:tcPr>
          <w:p w14:paraId="23917426" w14:textId="77777777" w:rsidR="002D29E2" w:rsidRDefault="002D29E2" w:rsidP="00782804">
            <w:pPr>
              <w:pStyle w:val="TableBody"/>
              <w:keepNext/>
            </w:pPr>
            <w:r>
              <w:t>6</w:t>
            </w:r>
          </w:p>
        </w:tc>
        <w:tc>
          <w:tcPr>
            <w:tcW w:w="0" w:type="dxa"/>
            <w:shd w:val="clear" w:color="auto" w:fill="auto"/>
            <w:vAlign w:val="center"/>
          </w:tcPr>
          <w:p w14:paraId="1E219A24" w14:textId="24226136" w:rsidR="002D29E2" w:rsidRDefault="002D29E2" w:rsidP="00782804">
            <w:pPr>
              <w:pStyle w:val="TableBody"/>
              <w:keepNext/>
            </w:pPr>
            <w:r>
              <w:t>34</w:t>
            </w:r>
            <w:r w:rsidR="00C719FB">
              <w:t>5</w:t>
            </w:r>
            <w:r>
              <w:t>0–3460 MHz</w:t>
            </w:r>
          </w:p>
        </w:tc>
        <w:tc>
          <w:tcPr>
            <w:tcW w:w="0" w:type="dxa"/>
            <w:shd w:val="clear" w:color="auto" w:fill="auto"/>
            <w:vAlign w:val="center"/>
          </w:tcPr>
          <w:p w14:paraId="0A2323BC" w14:textId="77777777" w:rsidR="002D29E2" w:rsidRDefault="002D29E2" w:rsidP="00782804">
            <w:pPr>
              <w:pStyle w:val="TableBody"/>
              <w:keepNext/>
            </w:pPr>
            <w:r>
              <w:t>10 MHz</w:t>
            </w:r>
          </w:p>
        </w:tc>
      </w:tr>
      <w:tr w:rsidR="00D368BF" w14:paraId="3E020F2E" w14:textId="77777777" w:rsidTr="00782804">
        <w:trPr>
          <w:cnfStyle w:val="000000100000" w:firstRow="0" w:lastRow="0" w:firstColumn="0" w:lastColumn="0" w:oddVBand="0" w:evenVBand="0" w:oddHBand="1" w:evenHBand="0" w:firstRowFirstColumn="0" w:firstRowLastColumn="0" w:lastRowFirstColumn="0" w:lastRowLastColumn="0"/>
          <w:trHeight w:val="340"/>
        </w:trPr>
        <w:tc>
          <w:tcPr>
            <w:tcW w:w="0" w:type="dxa"/>
            <w:shd w:val="clear" w:color="auto" w:fill="auto"/>
            <w:vAlign w:val="center"/>
          </w:tcPr>
          <w:p w14:paraId="0C7FA7A2" w14:textId="77777777" w:rsidR="002D29E2" w:rsidRDefault="002D29E2" w:rsidP="00782804">
            <w:pPr>
              <w:pStyle w:val="TableBody"/>
              <w:keepNext/>
            </w:pPr>
            <w:r>
              <w:t>7</w:t>
            </w:r>
          </w:p>
        </w:tc>
        <w:tc>
          <w:tcPr>
            <w:tcW w:w="0" w:type="dxa"/>
            <w:shd w:val="clear" w:color="auto" w:fill="auto"/>
            <w:vAlign w:val="center"/>
          </w:tcPr>
          <w:p w14:paraId="184EA482" w14:textId="77777777" w:rsidR="002D29E2" w:rsidRDefault="002D29E2" w:rsidP="00782804">
            <w:pPr>
              <w:pStyle w:val="TableBody"/>
              <w:keepNext/>
            </w:pPr>
            <w:r>
              <w:t>3460–3475 MHz</w:t>
            </w:r>
          </w:p>
        </w:tc>
        <w:tc>
          <w:tcPr>
            <w:tcW w:w="0" w:type="dxa"/>
            <w:shd w:val="clear" w:color="auto" w:fill="auto"/>
            <w:vAlign w:val="center"/>
          </w:tcPr>
          <w:p w14:paraId="1C09C61D" w14:textId="77777777" w:rsidR="002D29E2" w:rsidRDefault="002D29E2" w:rsidP="00782804">
            <w:pPr>
              <w:pStyle w:val="TableBody"/>
              <w:keepNext/>
            </w:pPr>
            <w:r>
              <w:t>15 MHz</w:t>
            </w:r>
          </w:p>
        </w:tc>
      </w:tr>
      <w:tr w:rsidR="0035576B" w14:paraId="666154F4" w14:textId="77777777" w:rsidTr="00782804">
        <w:trPr>
          <w:cnfStyle w:val="000000010000" w:firstRow="0" w:lastRow="0" w:firstColumn="0" w:lastColumn="0" w:oddVBand="0" w:evenVBand="0" w:oddHBand="0" w:evenHBand="1" w:firstRowFirstColumn="0" w:firstRowLastColumn="0" w:lastRowFirstColumn="0" w:lastRowLastColumn="0"/>
          <w:trHeight w:val="340"/>
        </w:trPr>
        <w:tc>
          <w:tcPr>
            <w:tcW w:w="0" w:type="dxa"/>
            <w:shd w:val="clear" w:color="auto" w:fill="F2F2F2"/>
            <w:vAlign w:val="center"/>
          </w:tcPr>
          <w:p w14:paraId="700D2239" w14:textId="77777777" w:rsidR="002D29E2" w:rsidRPr="003E5AF1" w:rsidRDefault="002D29E2" w:rsidP="00782804">
            <w:pPr>
              <w:pStyle w:val="TableBody"/>
              <w:keepNext/>
              <w:rPr>
                <w:b/>
                <w:bCs/>
              </w:rPr>
            </w:pPr>
            <w:r>
              <w:rPr>
                <w:b/>
                <w:bCs/>
              </w:rPr>
              <w:t>7 channels</w:t>
            </w:r>
          </w:p>
        </w:tc>
        <w:tc>
          <w:tcPr>
            <w:tcW w:w="0" w:type="dxa"/>
            <w:shd w:val="clear" w:color="auto" w:fill="F2F2F2"/>
            <w:vAlign w:val="center"/>
          </w:tcPr>
          <w:p w14:paraId="42E6EA61" w14:textId="77777777" w:rsidR="002D29E2" w:rsidRPr="003E5AF1" w:rsidRDefault="002D29E2" w:rsidP="00782804">
            <w:pPr>
              <w:pStyle w:val="TableBody"/>
              <w:keepNext/>
              <w:rPr>
                <w:b/>
                <w:bCs/>
              </w:rPr>
            </w:pPr>
            <w:r>
              <w:rPr>
                <w:b/>
                <w:bCs/>
              </w:rPr>
              <w:t>3400–3475 MHz</w:t>
            </w:r>
          </w:p>
        </w:tc>
        <w:tc>
          <w:tcPr>
            <w:tcW w:w="0" w:type="dxa"/>
            <w:shd w:val="clear" w:color="auto" w:fill="F2F2F2"/>
            <w:vAlign w:val="center"/>
          </w:tcPr>
          <w:p w14:paraId="2FBA66E0" w14:textId="77777777" w:rsidR="002D29E2" w:rsidRPr="003E5AF1" w:rsidRDefault="002D29E2" w:rsidP="00782804">
            <w:pPr>
              <w:pStyle w:val="TableBody"/>
              <w:keepNext/>
              <w:rPr>
                <w:b/>
                <w:bCs/>
              </w:rPr>
            </w:pPr>
            <w:r>
              <w:rPr>
                <w:b/>
                <w:bCs/>
              </w:rPr>
              <w:t>75 MHz</w:t>
            </w:r>
          </w:p>
        </w:tc>
      </w:tr>
    </w:tbl>
    <w:p w14:paraId="7DCBA0D7" w14:textId="40EE89A9" w:rsidR="005C520D" w:rsidRDefault="005C520D" w:rsidP="00782804">
      <w:pPr>
        <w:pStyle w:val="Heading3"/>
        <w:spacing w:before="360"/>
      </w:pPr>
      <w:r>
        <w:t>Metropolitan and regional areas in the 3.7 GHz band</w:t>
      </w:r>
    </w:p>
    <w:p w14:paraId="07E64308" w14:textId="220925D4" w:rsidR="005C520D" w:rsidRDefault="005C520D" w:rsidP="005C520D">
      <w:pPr>
        <w:pStyle w:val="Paragraph"/>
      </w:pPr>
      <w:r>
        <w:t>Each planning option provides for 100 MHz in metropolitan areas and either 50 MHz or 100 MHz in regional areas. The largest lot size that would allow for multiple lots and is divisible by both 50 MHz and 100 MHz is 10 MHz, which we consider an optimal lot size given the TDD configuration of the spectrum. We therefore consider that 3700</w:t>
      </w:r>
      <w:r w:rsidR="00BA350D">
        <w:t>–</w:t>
      </w:r>
      <w:r>
        <w:t>3800 MHz should be configured in 10 lots of 10 MHz. If only 3700–3750 MHz is available in regional areas, the spectrum should be configured in 5 lots of 10 MHz.</w:t>
      </w:r>
    </w:p>
    <w:p w14:paraId="27A6452D" w14:textId="20452900" w:rsidR="005C520D" w:rsidRDefault="005C520D" w:rsidP="00782804">
      <w:pPr>
        <w:pStyle w:val="Tableheading"/>
      </w:pPr>
      <w:r>
        <w:t>Proposed frequency bandwidth configuration in 3700–3800 MHz</w:t>
      </w:r>
      <w:r w:rsidR="00D558D4">
        <w:t xml:space="preserve"> </w:t>
      </w:r>
      <w:r w:rsidR="004204AE">
        <w:t>in</w:t>
      </w:r>
      <w:r w:rsidR="00D558D4">
        <w:t xml:space="preserve"> metropolitan and/or regional areas</w:t>
      </w:r>
    </w:p>
    <w:tbl>
      <w:tblPr>
        <w:tblStyle w:val="ACMAtablestyle"/>
        <w:tblW w:w="5652"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85" w:type="dxa"/>
          <w:left w:w="57" w:type="dxa"/>
          <w:bottom w:w="85" w:type="dxa"/>
          <w:right w:w="57" w:type="dxa"/>
        </w:tblCellMar>
        <w:tblLook w:val="04A0" w:firstRow="1" w:lastRow="0" w:firstColumn="1" w:lastColumn="0" w:noHBand="0" w:noVBand="1"/>
      </w:tblPr>
      <w:tblGrid>
        <w:gridCol w:w="1683"/>
        <w:gridCol w:w="2410"/>
        <w:gridCol w:w="1559"/>
      </w:tblGrid>
      <w:tr w:rsidR="00E32893" w:rsidRPr="00CB1CCD" w14:paraId="20565815" w14:textId="77777777" w:rsidTr="00B631B4">
        <w:trPr>
          <w:cnfStyle w:val="100000000000" w:firstRow="1" w:lastRow="0" w:firstColumn="0" w:lastColumn="0" w:oddVBand="0" w:evenVBand="0" w:oddHBand="0" w:evenHBand="0" w:firstRowFirstColumn="0" w:firstRowLastColumn="0" w:lastRowFirstColumn="0" w:lastRowLastColumn="0"/>
          <w:trHeight w:val="199"/>
        </w:trPr>
        <w:tc>
          <w:tcPr>
            <w:tcW w:w="1683" w:type="dxa"/>
            <w:vAlign w:val="center"/>
          </w:tcPr>
          <w:p w14:paraId="30B89CD3" w14:textId="77777777" w:rsidR="005C520D" w:rsidRPr="00CB1CCD" w:rsidRDefault="005C520D" w:rsidP="00782804">
            <w:pPr>
              <w:pStyle w:val="Tableheaderrow"/>
              <w:keepNext/>
            </w:pPr>
            <w:r>
              <w:t>Channel</w:t>
            </w:r>
          </w:p>
        </w:tc>
        <w:tc>
          <w:tcPr>
            <w:tcW w:w="2410" w:type="dxa"/>
            <w:vAlign w:val="center"/>
          </w:tcPr>
          <w:p w14:paraId="35651D73" w14:textId="77777777" w:rsidR="005C520D" w:rsidRPr="00CB1CCD" w:rsidRDefault="005C520D" w:rsidP="00782804">
            <w:pPr>
              <w:pStyle w:val="Tableheaderrow"/>
              <w:keepNext/>
            </w:pPr>
            <w:r w:rsidRPr="00CB1CCD">
              <w:t>Frequency range</w:t>
            </w:r>
          </w:p>
        </w:tc>
        <w:tc>
          <w:tcPr>
            <w:tcW w:w="1559" w:type="dxa"/>
            <w:vAlign w:val="center"/>
          </w:tcPr>
          <w:p w14:paraId="0327939B" w14:textId="77777777" w:rsidR="005C520D" w:rsidRPr="00CB1CCD" w:rsidRDefault="005C520D" w:rsidP="00782804">
            <w:pPr>
              <w:pStyle w:val="Tableheaderrow"/>
              <w:keepNext/>
            </w:pPr>
            <w:r>
              <w:t>Bandwidth</w:t>
            </w:r>
          </w:p>
        </w:tc>
      </w:tr>
      <w:tr w:rsidR="00D368BF" w:rsidRPr="00CB1CCD" w14:paraId="7AA26676" w14:textId="77777777" w:rsidTr="00B631B4">
        <w:trPr>
          <w:cnfStyle w:val="000000100000" w:firstRow="0" w:lastRow="0" w:firstColumn="0" w:lastColumn="0" w:oddVBand="0" w:evenVBand="0" w:oddHBand="1" w:evenHBand="0" w:firstRowFirstColumn="0" w:firstRowLastColumn="0" w:lastRowFirstColumn="0" w:lastRowLastColumn="0"/>
          <w:trHeight w:val="340"/>
        </w:trPr>
        <w:tc>
          <w:tcPr>
            <w:tcW w:w="1683" w:type="dxa"/>
            <w:shd w:val="clear" w:color="auto" w:fill="auto"/>
            <w:vAlign w:val="center"/>
          </w:tcPr>
          <w:p w14:paraId="2B7DEF01" w14:textId="77777777" w:rsidR="005C520D" w:rsidRPr="00CB1CCD" w:rsidRDefault="005C520D" w:rsidP="00782804">
            <w:pPr>
              <w:pStyle w:val="TableBody"/>
              <w:keepNext/>
            </w:pPr>
            <w:r>
              <w:t>1</w:t>
            </w:r>
          </w:p>
        </w:tc>
        <w:tc>
          <w:tcPr>
            <w:tcW w:w="2410" w:type="dxa"/>
            <w:shd w:val="clear" w:color="auto" w:fill="auto"/>
            <w:vAlign w:val="center"/>
          </w:tcPr>
          <w:p w14:paraId="1946CDE3" w14:textId="77777777" w:rsidR="005C520D" w:rsidRPr="00CB1CCD" w:rsidRDefault="005C520D" w:rsidP="00782804">
            <w:pPr>
              <w:pStyle w:val="TableBody"/>
              <w:keepNext/>
            </w:pPr>
            <w:r>
              <w:t>3700–3710 MHz</w:t>
            </w:r>
          </w:p>
        </w:tc>
        <w:tc>
          <w:tcPr>
            <w:tcW w:w="1559" w:type="dxa"/>
            <w:shd w:val="clear" w:color="auto" w:fill="auto"/>
            <w:vAlign w:val="center"/>
          </w:tcPr>
          <w:p w14:paraId="4C552CBF" w14:textId="77777777" w:rsidR="005C520D" w:rsidRPr="00CB1CCD" w:rsidRDefault="005C520D" w:rsidP="00782804">
            <w:pPr>
              <w:pStyle w:val="TableBody"/>
              <w:keepNext/>
            </w:pPr>
            <w:r>
              <w:t>10 MHz</w:t>
            </w:r>
          </w:p>
        </w:tc>
      </w:tr>
      <w:tr w:rsidR="00D368BF" w:rsidRPr="00CB1CCD" w14:paraId="24E10740" w14:textId="77777777" w:rsidTr="00B631B4">
        <w:trPr>
          <w:cnfStyle w:val="000000010000" w:firstRow="0" w:lastRow="0" w:firstColumn="0" w:lastColumn="0" w:oddVBand="0" w:evenVBand="0" w:oddHBand="0" w:evenHBand="1" w:firstRowFirstColumn="0" w:firstRowLastColumn="0" w:lastRowFirstColumn="0" w:lastRowLastColumn="0"/>
          <w:trHeight w:val="340"/>
        </w:trPr>
        <w:tc>
          <w:tcPr>
            <w:tcW w:w="1683" w:type="dxa"/>
            <w:shd w:val="clear" w:color="auto" w:fill="auto"/>
            <w:vAlign w:val="center"/>
          </w:tcPr>
          <w:p w14:paraId="4341BD38" w14:textId="77777777" w:rsidR="005C520D" w:rsidRPr="00CB1CCD" w:rsidRDefault="005C520D" w:rsidP="00782804">
            <w:pPr>
              <w:pStyle w:val="TableBody"/>
              <w:keepNext/>
            </w:pPr>
            <w:r>
              <w:t>2</w:t>
            </w:r>
          </w:p>
        </w:tc>
        <w:tc>
          <w:tcPr>
            <w:tcW w:w="2410" w:type="dxa"/>
            <w:shd w:val="clear" w:color="auto" w:fill="auto"/>
            <w:vAlign w:val="center"/>
          </w:tcPr>
          <w:p w14:paraId="4C04ED07" w14:textId="77777777" w:rsidR="005C520D" w:rsidRPr="00CB1CCD" w:rsidRDefault="005C520D" w:rsidP="00782804">
            <w:pPr>
              <w:pStyle w:val="TableBody"/>
              <w:keepNext/>
            </w:pPr>
            <w:r>
              <w:t>3710–3720 MHz</w:t>
            </w:r>
          </w:p>
        </w:tc>
        <w:tc>
          <w:tcPr>
            <w:tcW w:w="1559" w:type="dxa"/>
            <w:shd w:val="clear" w:color="auto" w:fill="auto"/>
            <w:vAlign w:val="center"/>
          </w:tcPr>
          <w:p w14:paraId="7405FDA8" w14:textId="77777777" w:rsidR="005C520D" w:rsidRPr="00CB1CCD" w:rsidRDefault="005C520D" w:rsidP="00782804">
            <w:pPr>
              <w:pStyle w:val="TableBody"/>
              <w:keepNext/>
            </w:pPr>
            <w:r>
              <w:t>10 MHz</w:t>
            </w:r>
          </w:p>
        </w:tc>
      </w:tr>
      <w:tr w:rsidR="00D368BF" w14:paraId="272DA816" w14:textId="77777777" w:rsidTr="00B631B4">
        <w:trPr>
          <w:cnfStyle w:val="000000100000" w:firstRow="0" w:lastRow="0" w:firstColumn="0" w:lastColumn="0" w:oddVBand="0" w:evenVBand="0" w:oddHBand="1" w:evenHBand="0" w:firstRowFirstColumn="0" w:firstRowLastColumn="0" w:lastRowFirstColumn="0" w:lastRowLastColumn="0"/>
          <w:trHeight w:val="340"/>
        </w:trPr>
        <w:tc>
          <w:tcPr>
            <w:tcW w:w="1683" w:type="dxa"/>
            <w:shd w:val="clear" w:color="auto" w:fill="auto"/>
            <w:vAlign w:val="center"/>
          </w:tcPr>
          <w:p w14:paraId="67DFE768" w14:textId="77777777" w:rsidR="005C520D" w:rsidRPr="00CB1CCD" w:rsidRDefault="005C520D" w:rsidP="00782804">
            <w:pPr>
              <w:pStyle w:val="TableBody"/>
              <w:keepNext/>
            </w:pPr>
            <w:r>
              <w:t>3</w:t>
            </w:r>
          </w:p>
        </w:tc>
        <w:tc>
          <w:tcPr>
            <w:tcW w:w="2410" w:type="dxa"/>
            <w:shd w:val="clear" w:color="auto" w:fill="auto"/>
            <w:vAlign w:val="center"/>
          </w:tcPr>
          <w:p w14:paraId="13BD73B9" w14:textId="77777777" w:rsidR="005C520D" w:rsidRPr="00CB1CCD" w:rsidRDefault="005C520D" w:rsidP="00782804">
            <w:pPr>
              <w:pStyle w:val="TableBody"/>
              <w:keepNext/>
            </w:pPr>
            <w:r>
              <w:t>3720–3730 MHz</w:t>
            </w:r>
          </w:p>
        </w:tc>
        <w:tc>
          <w:tcPr>
            <w:tcW w:w="1559" w:type="dxa"/>
            <w:shd w:val="clear" w:color="auto" w:fill="auto"/>
            <w:vAlign w:val="center"/>
          </w:tcPr>
          <w:p w14:paraId="660D4C1B" w14:textId="77777777" w:rsidR="005C520D" w:rsidRDefault="005C520D" w:rsidP="00782804">
            <w:pPr>
              <w:pStyle w:val="TableBody"/>
              <w:keepNext/>
            </w:pPr>
            <w:r>
              <w:t>10 MHz</w:t>
            </w:r>
          </w:p>
        </w:tc>
      </w:tr>
      <w:tr w:rsidR="00D368BF" w14:paraId="4BB48584" w14:textId="77777777" w:rsidTr="00B631B4">
        <w:trPr>
          <w:cnfStyle w:val="000000010000" w:firstRow="0" w:lastRow="0" w:firstColumn="0" w:lastColumn="0" w:oddVBand="0" w:evenVBand="0" w:oddHBand="0" w:evenHBand="1" w:firstRowFirstColumn="0" w:firstRowLastColumn="0" w:lastRowFirstColumn="0" w:lastRowLastColumn="0"/>
          <w:trHeight w:val="340"/>
        </w:trPr>
        <w:tc>
          <w:tcPr>
            <w:tcW w:w="1683" w:type="dxa"/>
            <w:shd w:val="clear" w:color="auto" w:fill="auto"/>
            <w:vAlign w:val="center"/>
          </w:tcPr>
          <w:p w14:paraId="1D962CA3" w14:textId="77777777" w:rsidR="005C520D" w:rsidRPr="00CB1CCD" w:rsidRDefault="005C520D" w:rsidP="00782804">
            <w:pPr>
              <w:pStyle w:val="TableBody"/>
              <w:keepNext/>
            </w:pPr>
            <w:r>
              <w:t>4</w:t>
            </w:r>
          </w:p>
        </w:tc>
        <w:tc>
          <w:tcPr>
            <w:tcW w:w="2410" w:type="dxa"/>
            <w:shd w:val="clear" w:color="auto" w:fill="auto"/>
            <w:vAlign w:val="center"/>
          </w:tcPr>
          <w:p w14:paraId="253B181F" w14:textId="77777777" w:rsidR="005C520D" w:rsidRPr="00CB1CCD" w:rsidRDefault="005C520D" w:rsidP="00782804">
            <w:pPr>
              <w:pStyle w:val="TableBody"/>
              <w:keepNext/>
            </w:pPr>
            <w:r>
              <w:t>3730–3740 MHz</w:t>
            </w:r>
          </w:p>
        </w:tc>
        <w:tc>
          <w:tcPr>
            <w:tcW w:w="1559" w:type="dxa"/>
            <w:shd w:val="clear" w:color="auto" w:fill="auto"/>
            <w:vAlign w:val="center"/>
          </w:tcPr>
          <w:p w14:paraId="67192BDC" w14:textId="77777777" w:rsidR="005C520D" w:rsidRDefault="005C520D" w:rsidP="00782804">
            <w:pPr>
              <w:pStyle w:val="TableBody"/>
              <w:keepNext/>
            </w:pPr>
            <w:r>
              <w:t>10 MHz</w:t>
            </w:r>
          </w:p>
        </w:tc>
      </w:tr>
      <w:tr w:rsidR="00D368BF" w14:paraId="75EBDC1B" w14:textId="77777777" w:rsidTr="00B631B4">
        <w:trPr>
          <w:cnfStyle w:val="000000100000" w:firstRow="0" w:lastRow="0" w:firstColumn="0" w:lastColumn="0" w:oddVBand="0" w:evenVBand="0" w:oddHBand="1" w:evenHBand="0" w:firstRowFirstColumn="0" w:firstRowLastColumn="0" w:lastRowFirstColumn="0" w:lastRowLastColumn="0"/>
          <w:trHeight w:val="340"/>
        </w:trPr>
        <w:tc>
          <w:tcPr>
            <w:tcW w:w="1683" w:type="dxa"/>
            <w:shd w:val="clear" w:color="auto" w:fill="auto"/>
            <w:vAlign w:val="center"/>
          </w:tcPr>
          <w:p w14:paraId="6772F6B0" w14:textId="77777777" w:rsidR="005C520D" w:rsidRDefault="005C520D" w:rsidP="00782804">
            <w:pPr>
              <w:pStyle w:val="TableBody"/>
              <w:keepNext/>
            </w:pPr>
            <w:r>
              <w:t>5</w:t>
            </w:r>
          </w:p>
        </w:tc>
        <w:tc>
          <w:tcPr>
            <w:tcW w:w="2410" w:type="dxa"/>
            <w:shd w:val="clear" w:color="auto" w:fill="auto"/>
            <w:vAlign w:val="center"/>
          </w:tcPr>
          <w:p w14:paraId="406EA0B1" w14:textId="77777777" w:rsidR="005C520D" w:rsidRDefault="005C520D" w:rsidP="00782804">
            <w:pPr>
              <w:pStyle w:val="TableBody"/>
              <w:keepNext/>
            </w:pPr>
            <w:r>
              <w:t>3740–3750 MHz</w:t>
            </w:r>
          </w:p>
        </w:tc>
        <w:tc>
          <w:tcPr>
            <w:tcW w:w="1559" w:type="dxa"/>
            <w:shd w:val="clear" w:color="auto" w:fill="auto"/>
            <w:vAlign w:val="center"/>
          </w:tcPr>
          <w:p w14:paraId="6F178F93" w14:textId="77777777" w:rsidR="005C520D" w:rsidRDefault="005C520D" w:rsidP="00782804">
            <w:pPr>
              <w:pStyle w:val="TableBody"/>
              <w:keepNext/>
            </w:pPr>
            <w:r>
              <w:t>10 MHz</w:t>
            </w:r>
          </w:p>
        </w:tc>
      </w:tr>
      <w:tr w:rsidR="00D368BF" w14:paraId="654326D2" w14:textId="77777777" w:rsidTr="00B631B4">
        <w:trPr>
          <w:cnfStyle w:val="000000010000" w:firstRow="0" w:lastRow="0" w:firstColumn="0" w:lastColumn="0" w:oddVBand="0" w:evenVBand="0" w:oddHBand="0" w:evenHBand="1" w:firstRowFirstColumn="0" w:firstRowLastColumn="0" w:lastRowFirstColumn="0" w:lastRowLastColumn="0"/>
          <w:trHeight w:val="340"/>
        </w:trPr>
        <w:tc>
          <w:tcPr>
            <w:tcW w:w="1683" w:type="dxa"/>
            <w:shd w:val="clear" w:color="auto" w:fill="auto"/>
            <w:vAlign w:val="center"/>
          </w:tcPr>
          <w:p w14:paraId="7467F29D" w14:textId="77777777" w:rsidR="005C520D" w:rsidRDefault="005C520D" w:rsidP="00782804">
            <w:pPr>
              <w:pStyle w:val="TableBody"/>
              <w:keepNext/>
            </w:pPr>
            <w:r>
              <w:t>6</w:t>
            </w:r>
          </w:p>
        </w:tc>
        <w:tc>
          <w:tcPr>
            <w:tcW w:w="2410" w:type="dxa"/>
            <w:shd w:val="clear" w:color="auto" w:fill="auto"/>
            <w:vAlign w:val="center"/>
          </w:tcPr>
          <w:p w14:paraId="52D36626" w14:textId="77777777" w:rsidR="005C520D" w:rsidRDefault="005C520D" w:rsidP="00782804">
            <w:pPr>
              <w:pStyle w:val="TableBody"/>
              <w:keepNext/>
            </w:pPr>
            <w:r>
              <w:t>3750–3760 MHz</w:t>
            </w:r>
          </w:p>
        </w:tc>
        <w:tc>
          <w:tcPr>
            <w:tcW w:w="1559" w:type="dxa"/>
            <w:shd w:val="clear" w:color="auto" w:fill="auto"/>
            <w:vAlign w:val="center"/>
          </w:tcPr>
          <w:p w14:paraId="1302960D" w14:textId="77777777" w:rsidR="005C520D" w:rsidRDefault="005C520D" w:rsidP="00782804">
            <w:pPr>
              <w:pStyle w:val="TableBody"/>
              <w:keepNext/>
            </w:pPr>
            <w:r>
              <w:t>10 MHz</w:t>
            </w:r>
          </w:p>
        </w:tc>
      </w:tr>
      <w:tr w:rsidR="00D368BF" w14:paraId="1F92D354" w14:textId="77777777" w:rsidTr="00B631B4">
        <w:trPr>
          <w:cnfStyle w:val="000000100000" w:firstRow="0" w:lastRow="0" w:firstColumn="0" w:lastColumn="0" w:oddVBand="0" w:evenVBand="0" w:oddHBand="1" w:evenHBand="0" w:firstRowFirstColumn="0" w:firstRowLastColumn="0" w:lastRowFirstColumn="0" w:lastRowLastColumn="0"/>
          <w:trHeight w:val="340"/>
        </w:trPr>
        <w:tc>
          <w:tcPr>
            <w:tcW w:w="1683" w:type="dxa"/>
            <w:shd w:val="clear" w:color="auto" w:fill="auto"/>
            <w:vAlign w:val="center"/>
          </w:tcPr>
          <w:p w14:paraId="5C3525AC" w14:textId="77777777" w:rsidR="005C520D" w:rsidRDefault="005C520D" w:rsidP="00782804">
            <w:pPr>
              <w:pStyle w:val="TableBody"/>
              <w:keepNext/>
            </w:pPr>
            <w:r>
              <w:t>7</w:t>
            </w:r>
          </w:p>
        </w:tc>
        <w:tc>
          <w:tcPr>
            <w:tcW w:w="2410" w:type="dxa"/>
            <w:shd w:val="clear" w:color="auto" w:fill="auto"/>
            <w:vAlign w:val="center"/>
          </w:tcPr>
          <w:p w14:paraId="7DF31A16" w14:textId="77777777" w:rsidR="005C520D" w:rsidRDefault="005C520D" w:rsidP="00782804">
            <w:pPr>
              <w:pStyle w:val="TableBody"/>
              <w:keepNext/>
            </w:pPr>
            <w:r>
              <w:t>3760–3770 MHz</w:t>
            </w:r>
          </w:p>
        </w:tc>
        <w:tc>
          <w:tcPr>
            <w:tcW w:w="1559" w:type="dxa"/>
            <w:shd w:val="clear" w:color="auto" w:fill="auto"/>
            <w:vAlign w:val="center"/>
          </w:tcPr>
          <w:p w14:paraId="723CBFB1" w14:textId="77777777" w:rsidR="005C520D" w:rsidRDefault="005C520D" w:rsidP="00782804">
            <w:pPr>
              <w:pStyle w:val="TableBody"/>
              <w:keepNext/>
            </w:pPr>
            <w:r>
              <w:t>10 MHz</w:t>
            </w:r>
          </w:p>
        </w:tc>
      </w:tr>
      <w:tr w:rsidR="00D368BF" w14:paraId="652B22FE" w14:textId="77777777" w:rsidTr="00B631B4">
        <w:trPr>
          <w:cnfStyle w:val="000000010000" w:firstRow="0" w:lastRow="0" w:firstColumn="0" w:lastColumn="0" w:oddVBand="0" w:evenVBand="0" w:oddHBand="0" w:evenHBand="1" w:firstRowFirstColumn="0" w:firstRowLastColumn="0" w:lastRowFirstColumn="0" w:lastRowLastColumn="0"/>
          <w:trHeight w:val="340"/>
        </w:trPr>
        <w:tc>
          <w:tcPr>
            <w:tcW w:w="1683" w:type="dxa"/>
            <w:shd w:val="clear" w:color="auto" w:fill="auto"/>
            <w:vAlign w:val="center"/>
          </w:tcPr>
          <w:p w14:paraId="5EC1F1E4" w14:textId="77777777" w:rsidR="005C520D" w:rsidRDefault="005C520D" w:rsidP="00782804">
            <w:pPr>
              <w:pStyle w:val="TableBody"/>
              <w:keepNext/>
            </w:pPr>
            <w:r>
              <w:t>8</w:t>
            </w:r>
          </w:p>
        </w:tc>
        <w:tc>
          <w:tcPr>
            <w:tcW w:w="2410" w:type="dxa"/>
            <w:shd w:val="clear" w:color="auto" w:fill="auto"/>
            <w:vAlign w:val="center"/>
          </w:tcPr>
          <w:p w14:paraId="51699065" w14:textId="77777777" w:rsidR="005C520D" w:rsidRDefault="005C520D" w:rsidP="00782804">
            <w:pPr>
              <w:pStyle w:val="TableBody"/>
              <w:keepNext/>
            </w:pPr>
            <w:r>
              <w:t>3770–3780 MHz</w:t>
            </w:r>
          </w:p>
        </w:tc>
        <w:tc>
          <w:tcPr>
            <w:tcW w:w="1559" w:type="dxa"/>
            <w:shd w:val="clear" w:color="auto" w:fill="auto"/>
            <w:vAlign w:val="center"/>
          </w:tcPr>
          <w:p w14:paraId="59D540FD" w14:textId="77777777" w:rsidR="005C520D" w:rsidRDefault="005C520D" w:rsidP="00782804">
            <w:pPr>
              <w:pStyle w:val="TableBody"/>
              <w:keepNext/>
            </w:pPr>
            <w:r>
              <w:t>10 MHz</w:t>
            </w:r>
          </w:p>
        </w:tc>
      </w:tr>
      <w:tr w:rsidR="00D368BF" w14:paraId="2AF36F52" w14:textId="77777777" w:rsidTr="00B631B4">
        <w:trPr>
          <w:cnfStyle w:val="000000100000" w:firstRow="0" w:lastRow="0" w:firstColumn="0" w:lastColumn="0" w:oddVBand="0" w:evenVBand="0" w:oddHBand="1" w:evenHBand="0" w:firstRowFirstColumn="0" w:firstRowLastColumn="0" w:lastRowFirstColumn="0" w:lastRowLastColumn="0"/>
          <w:trHeight w:val="340"/>
        </w:trPr>
        <w:tc>
          <w:tcPr>
            <w:tcW w:w="1683" w:type="dxa"/>
            <w:shd w:val="clear" w:color="auto" w:fill="auto"/>
            <w:vAlign w:val="center"/>
          </w:tcPr>
          <w:p w14:paraId="42EA587E" w14:textId="77777777" w:rsidR="005C520D" w:rsidRDefault="005C520D" w:rsidP="00782804">
            <w:pPr>
              <w:pStyle w:val="TableBody"/>
              <w:keepNext/>
            </w:pPr>
            <w:r>
              <w:t>9</w:t>
            </w:r>
          </w:p>
        </w:tc>
        <w:tc>
          <w:tcPr>
            <w:tcW w:w="2410" w:type="dxa"/>
            <w:shd w:val="clear" w:color="auto" w:fill="auto"/>
            <w:vAlign w:val="center"/>
          </w:tcPr>
          <w:p w14:paraId="3351BB08" w14:textId="77777777" w:rsidR="005C520D" w:rsidRDefault="005C520D" w:rsidP="00782804">
            <w:pPr>
              <w:pStyle w:val="TableBody"/>
              <w:keepNext/>
            </w:pPr>
            <w:r>
              <w:t>3780–3790 MHz</w:t>
            </w:r>
          </w:p>
        </w:tc>
        <w:tc>
          <w:tcPr>
            <w:tcW w:w="1559" w:type="dxa"/>
            <w:shd w:val="clear" w:color="auto" w:fill="auto"/>
            <w:vAlign w:val="center"/>
          </w:tcPr>
          <w:p w14:paraId="6180F2E7" w14:textId="77777777" w:rsidR="005C520D" w:rsidRDefault="005C520D" w:rsidP="00782804">
            <w:pPr>
              <w:pStyle w:val="TableBody"/>
              <w:keepNext/>
            </w:pPr>
            <w:r>
              <w:t>10 MHz</w:t>
            </w:r>
          </w:p>
        </w:tc>
      </w:tr>
      <w:tr w:rsidR="00D368BF" w14:paraId="165471F2" w14:textId="77777777" w:rsidTr="00B631B4">
        <w:trPr>
          <w:cnfStyle w:val="000000010000" w:firstRow="0" w:lastRow="0" w:firstColumn="0" w:lastColumn="0" w:oddVBand="0" w:evenVBand="0" w:oddHBand="0" w:evenHBand="1" w:firstRowFirstColumn="0" w:firstRowLastColumn="0" w:lastRowFirstColumn="0" w:lastRowLastColumn="0"/>
          <w:trHeight w:val="340"/>
        </w:trPr>
        <w:tc>
          <w:tcPr>
            <w:tcW w:w="1683" w:type="dxa"/>
            <w:shd w:val="clear" w:color="auto" w:fill="auto"/>
            <w:vAlign w:val="center"/>
          </w:tcPr>
          <w:p w14:paraId="580269BD" w14:textId="77777777" w:rsidR="005C520D" w:rsidRDefault="005C520D" w:rsidP="00782804">
            <w:pPr>
              <w:pStyle w:val="TableBody"/>
              <w:keepNext/>
            </w:pPr>
            <w:r>
              <w:t>10</w:t>
            </w:r>
          </w:p>
        </w:tc>
        <w:tc>
          <w:tcPr>
            <w:tcW w:w="2410" w:type="dxa"/>
            <w:shd w:val="clear" w:color="auto" w:fill="auto"/>
            <w:vAlign w:val="center"/>
          </w:tcPr>
          <w:p w14:paraId="6F9F6667" w14:textId="77777777" w:rsidR="005C520D" w:rsidRDefault="005C520D" w:rsidP="00782804">
            <w:pPr>
              <w:pStyle w:val="TableBody"/>
              <w:keepNext/>
            </w:pPr>
            <w:r>
              <w:t>3790–3800 MHz</w:t>
            </w:r>
          </w:p>
        </w:tc>
        <w:tc>
          <w:tcPr>
            <w:tcW w:w="1559" w:type="dxa"/>
            <w:shd w:val="clear" w:color="auto" w:fill="auto"/>
            <w:vAlign w:val="center"/>
          </w:tcPr>
          <w:p w14:paraId="51286917" w14:textId="77777777" w:rsidR="005C520D" w:rsidRDefault="005C520D" w:rsidP="00782804">
            <w:pPr>
              <w:pStyle w:val="TableBody"/>
              <w:keepNext/>
            </w:pPr>
            <w:r>
              <w:t>10 MHz</w:t>
            </w:r>
          </w:p>
        </w:tc>
      </w:tr>
      <w:tr w:rsidR="0035576B" w14:paraId="0658405D" w14:textId="77777777" w:rsidTr="00B631B4">
        <w:trPr>
          <w:cnfStyle w:val="000000100000" w:firstRow="0" w:lastRow="0" w:firstColumn="0" w:lastColumn="0" w:oddVBand="0" w:evenVBand="0" w:oddHBand="1" w:evenHBand="0" w:firstRowFirstColumn="0" w:firstRowLastColumn="0" w:lastRowFirstColumn="0" w:lastRowLastColumn="0"/>
          <w:trHeight w:val="340"/>
        </w:trPr>
        <w:tc>
          <w:tcPr>
            <w:tcW w:w="1683" w:type="dxa"/>
            <w:shd w:val="clear" w:color="auto" w:fill="F2F2F2"/>
            <w:vAlign w:val="center"/>
          </w:tcPr>
          <w:p w14:paraId="40A41B8B" w14:textId="77777777" w:rsidR="005C520D" w:rsidRPr="003E5AF1" w:rsidRDefault="005C520D" w:rsidP="00782804">
            <w:pPr>
              <w:pStyle w:val="TableBody"/>
              <w:keepNext/>
              <w:rPr>
                <w:b/>
                <w:bCs/>
              </w:rPr>
            </w:pPr>
            <w:r>
              <w:rPr>
                <w:b/>
                <w:bCs/>
              </w:rPr>
              <w:t>10 channels</w:t>
            </w:r>
          </w:p>
        </w:tc>
        <w:tc>
          <w:tcPr>
            <w:tcW w:w="2410" w:type="dxa"/>
            <w:shd w:val="clear" w:color="auto" w:fill="F2F2F2"/>
            <w:vAlign w:val="center"/>
          </w:tcPr>
          <w:p w14:paraId="72C17A09" w14:textId="77777777" w:rsidR="005C520D" w:rsidRPr="003E5AF1" w:rsidRDefault="005C520D" w:rsidP="00782804">
            <w:pPr>
              <w:pStyle w:val="TableBody"/>
              <w:keepNext/>
              <w:rPr>
                <w:b/>
                <w:bCs/>
              </w:rPr>
            </w:pPr>
            <w:r>
              <w:rPr>
                <w:b/>
                <w:bCs/>
              </w:rPr>
              <w:t>3700–3800 MHz</w:t>
            </w:r>
          </w:p>
        </w:tc>
        <w:tc>
          <w:tcPr>
            <w:tcW w:w="1559" w:type="dxa"/>
            <w:shd w:val="clear" w:color="auto" w:fill="F2F2F2"/>
            <w:vAlign w:val="center"/>
          </w:tcPr>
          <w:p w14:paraId="0373A39C" w14:textId="77777777" w:rsidR="005C520D" w:rsidRPr="003E5AF1" w:rsidRDefault="005C520D" w:rsidP="00782804">
            <w:pPr>
              <w:pStyle w:val="TableBody"/>
              <w:keepNext/>
              <w:rPr>
                <w:b/>
                <w:bCs/>
              </w:rPr>
            </w:pPr>
            <w:r>
              <w:rPr>
                <w:b/>
                <w:bCs/>
              </w:rPr>
              <w:t>100 MHz</w:t>
            </w:r>
          </w:p>
        </w:tc>
      </w:tr>
    </w:tbl>
    <w:p w14:paraId="25C85793" w14:textId="7F63A325" w:rsidR="001C6CDC" w:rsidRPr="00BC18F9" w:rsidRDefault="00BA350D" w:rsidP="00782804">
      <w:pPr>
        <w:pStyle w:val="Heading3"/>
        <w:pBdr>
          <w:top w:val="single" w:sz="4" w:space="1" w:color="auto"/>
          <w:left w:val="single" w:sz="4" w:space="4" w:color="auto"/>
          <w:bottom w:val="single" w:sz="4" w:space="1" w:color="auto"/>
          <w:right w:val="single" w:sz="4" w:space="4" w:color="auto"/>
        </w:pBdr>
        <w:shd w:val="clear" w:color="auto" w:fill="F2F2F2" w:themeFill="background1" w:themeFillShade="F2"/>
        <w:spacing w:before="240"/>
      </w:pPr>
      <w:r>
        <w:t xml:space="preserve">The </w:t>
      </w:r>
      <w:r w:rsidR="001C6CDC">
        <w:t>ACMA</w:t>
      </w:r>
      <w:r>
        <w:t>’s</w:t>
      </w:r>
      <w:r w:rsidR="005A5148">
        <w:t xml:space="preserve"> </w:t>
      </w:r>
      <w:r w:rsidR="001C6CDC">
        <w:t>preferred view</w:t>
      </w:r>
      <w:r w:rsidR="00F1652F">
        <w:t xml:space="preserve">: </w:t>
      </w:r>
      <w:r w:rsidR="005F6970">
        <w:t>lot configuration (frequency)</w:t>
      </w:r>
      <w:r w:rsidR="006F4FBE">
        <w:t xml:space="preserve"> </w:t>
      </w:r>
    </w:p>
    <w:p w14:paraId="11D47726" w14:textId="0C4E9899" w:rsidR="001C6CDC" w:rsidRDefault="001C6CDC" w:rsidP="00782804">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If the 3.4 GHz band</w:t>
      </w:r>
      <w:r w:rsidR="005E7900">
        <w:t xml:space="preserve"> in regional area</w:t>
      </w:r>
      <w:r w:rsidR="00F03E52">
        <w:t>s</w:t>
      </w:r>
      <w:r w:rsidR="005E7900">
        <w:t xml:space="preserve"> is re-allocated, </w:t>
      </w:r>
      <w:r w:rsidR="004F53F7">
        <w:t>our preliminary view is</w:t>
      </w:r>
      <w:r w:rsidR="005E7900">
        <w:t xml:space="preserve"> to divide the spectrum </w:t>
      </w:r>
      <w:r w:rsidR="00FC4535">
        <w:t>into 10 MHz lots</w:t>
      </w:r>
      <w:r w:rsidR="00BA350D">
        <w:t>,</w:t>
      </w:r>
      <w:r w:rsidR="00801AD4" w:rsidRPr="00801AD4">
        <w:t xml:space="preserve"> with one or more leftover lots of 2.5 MHz, 5 MHz or 7.5</w:t>
      </w:r>
      <w:r w:rsidR="003A6896">
        <w:t> </w:t>
      </w:r>
      <w:r w:rsidR="00801AD4" w:rsidRPr="00801AD4">
        <w:t>MHz, depending on the region</w:t>
      </w:r>
      <w:r w:rsidR="00F03ED9">
        <w:t>.</w:t>
      </w:r>
      <w:r w:rsidR="003A6896">
        <w:t xml:space="preserve"> Alternatively, we may consider 5 MHz lots with 7.5 MHz leftover lots.</w:t>
      </w:r>
    </w:p>
    <w:p w14:paraId="3BA537B9" w14:textId="2E638B83" w:rsidR="00F03E52" w:rsidRDefault="00F03E52" w:rsidP="00782804">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If the 3.4 GHz band in urban excise areas is re-allocated, </w:t>
      </w:r>
      <w:r w:rsidR="004F53F7">
        <w:t>our preliminary view is</w:t>
      </w:r>
      <w:r>
        <w:t xml:space="preserve"> to divide the spectrum into 10 MHz lots</w:t>
      </w:r>
      <w:r w:rsidR="00BA350D">
        <w:t>,</w:t>
      </w:r>
      <w:r>
        <w:t xml:space="preserve"> with a leftover lot of 15 MHz at 3460</w:t>
      </w:r>
      <w:r w:rsidR="00BA350D">
        <w:t>–</w:t>
      </w:r>
      <w:r>
        <w:t>3475 MHz.</w:t>
      </w:r>
    </w:p>
    <w:p w14:paraId="12AF1F37" w14:textId="005DC1DF" w:rsidR="001C6CDC" w:rsidRDefault="001C6CDC" w:rsidP="00782804">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If the 3.7 GHz band is re-allocated, </w:t>
      </w:r>
      <w:r w:rsidR="004F53F7">
        <w:t>our preliminary view is</w:t>
      </w:r>
      <w:r>
        <w:t xml:space="preserve"> to divide </w:t>
      </w:r>
      <w:r w:rsidR="005E7900">
        <w:t xml:space="preserve">the </w:t>
      </w:r>
      <w:r>
        <w:t>spectrum into 10</w:t>
      </w:r>
      <w:r w:rsidR="00FC4535">
        <w:t> </w:t>
      </w:r>
      <w:r>
        <w:t>MHz</w:t>
      </w:r>
      <w:r w:rsidR="00FC4535">
        <w:t> </w:t>
      </w:r>
      <w:r>
        <w:t xml:space="preserve">lots. </w:t>
      </w:r>
    </w:p>
    <w:p w14:paraId="38095738" w14:textId="0D776D13" w:rsidR="0063337B" w:rsidRPr="0063337B" w:rsidRDefault="001C6CDC" w:rsidP="00782804">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We invite comments from stakeholders </w:t>
      </w:r>
      <w:r w:rsidR="007C00C2">
        <w:t>on bandwidth configuration options</w:t>
      </w:r>
      <w:r>
        <w:t>.</w:t>
      </w:r>
    </w:p>
    <w:p w14:paraId="359BD033" w14:textId="20FBF61E" w:rsidR="002F45B6" w:rsidRDefault="002F45B6" w:rsidP="002F45B6">
      <w:pPr>
        <w:pStyle w:val="Heading2"/>
      </w:pPr>
      <w:bookmarkStart w:id="60" w:name="_Toc96940999"/>
      <w:r w:rsidRPr="004A3184">
        <w:t xml:space="preserve">Geographic </w:t>
      </w:r>
      <w:r w:rsidR="00326EBC">
        <w:t>area</w:t>
      </w:r>
      <w:r w:rsidR="00326EBC" w:rsidRPr="004A3184">
        <w:t xml:space="preserve"> </w:t>
      </w:r>
      <w:r w:rsidRPr="004A3184">
        <w:t>configuration</w:t>
      </w:r>
      <w:bookmarkEnd w:id="60"/>
    </w:p>
    <w:p w14:paraId="358F1662" w14:textId="01F3BD8D" w:rsidR="002F45B6" w:rsidRPr="003B4857" w:rsidRDefault="002F45B6" w:rsidP="002F45B6">
      <w:pPr>
        <w:pStyle w:val="Paragraph"/>
      </w:pPr>
      <w:r w:rsidRPr="003B4857">
        <w:t>We have used a number of different approaches in previous spectrum allocations to define spectrum lots according to geographic regions.</w:t>
      </w:r>
      <w:r w:rsidRPr="003B4857" w:rsidDel="00E23A2E">
        <w:rPr>
          <w:rStyle w:val="FootnoteReference"/>
        </w:rPr>
        <w:t xml:space="preserve"> </w:t>
      </w:r>
      <w:r w:rsidRPr="003B4857" w:rsidDel="00B52786">
        <w:t xml:space="preserve">The </w:t>
      </w:r>
      <w:r w:rsidRPr="003B4857">
        <w:t xml:space="preserve">approaches have </w:t>
      </w:r>
      <w:r w:rsidRPr="003B4857" w:rsidDel="00B52786">
        <w:t>var</w:t>
      </w:r>
      <w:r w:rsidRPr="003B4857">
        <w:t>ied</w:t>
      </w:r>
      <w:r w:rsidRPr="003B4857" w:rsidDel="00B52786">
        <w:t xml:space="preserve"> from offering </w:t>
      </w:r>
      <w:r w:rsidRPr="003B4857">
        <w:t xml:space="preserve">geographically disaggregated lots (lots covering discrete areas, such as each metropolitan city or a defined regional area), </w:t>
      </w:r>
      <w:r w:rsidRPr="003B4857" w:rsidDel="00B52786">
        <w:t>through to a single lot</w:t>
      </w:r>
      <w:r w:rsidRPr="003B4857">
        <w:t xml:space="preserve"> covering all of the geographic areas available for allocation.</w:t>
      </w:r>
      <w:r w:rsidRPr="003B4857" w:rsidDel="00B52786">
        <w:t xml:space="preserve"> </w:t>
      </w:r>
    </w:p>
    <w:p w14:paraId="01204CF7" w14:textId="4703D268" w:rsidR="00857B1B" w:rsidRDefault="002F45B6" w:rsidP="002F45B6">
      <w:pPr>
        <w:pStyle w:val="Paragraph"/>
      </w:pPr>
      <w:r w:rsidRPr="003B4857">
        <w:t>Our approach to defining the geographic areas of lots will be informed by potential bidders’ expected use of the spectrum. For example, it would be appropriate to offer nationwide lots for spectrum that is likely to be used by bidders to provide services across a national market. Alternatively, if some bidders are interested in only deploying networks in a few areas</w:t>
      </w:r>
      <w:r>
        <w:t xml:space="preserve"> or have variable demand depending on the geographic area</w:t>
      </w:r>
      <w:r w:rsidRPr="003B4857">
        <w:t xml:space="preserve">, then it may be preferable to define lots on a disaggregated basis, to allow them to purchase spectrum in areas consistent with their business plan. </w:t>
      </w:r>
    </w:p>
    <w:p w14:paraId="13C537C2" w14:textId="4C7CD955" w:rsidR="00E57F54" w:rsidRDefault="00E57F54" w:rsidP="002F45B6">
      <w:pPr>
        <w:pStyle w:val="Paragraph"/>
      </w:pPr>
      <w:r>
        <w:t>Relevantly, one of the objectives</w:t>
      </w:r>
      <w:r w:rsidR="00B2421A">
        <w:t xml:space="preserve"> outlined in the MPS</w:t>
      </w:r>
      <w:r>
        <w:t xml:space="preserve"> </w:t>
      </w:r>
      <w:r w:rsidR="001D5C58">
        <w:t xml:space="preserve">for the allocation of this spectrum </w:t>
      </w:r>
      <w:r>
        <w:t xml:space="preserve">is </w:t>
      </w:r>
      <w:r w:rsidR="00296049" w:rsidRPr="00296049">
        <w:t>‘</w:t>
      </w:r>
      <w:r w:rsidR="00A85F55">
        <w:t>supporting digital connectivity and</w:t>
      </w:r>
      <w:r w:rsidR="00E02E23" w:rsidRPr="00DF1FA4">
        <w:t xml:space="preserve"> investment in regional Australia</w:t>
      </w:r>
      <w:r w:rsidR="00296049" w:rsidRPr="00296049">
        <w:t>’</w:t>
      </w:r>
      <w:r w:rsidR="00E02E23">
        <w:t xml:space="preserve">. </w:t>
      </w:r>
      <w:r w:rsidR="00FA2650">
        <w:t>G</w:t>
      </w:r>
      <w:r w:rsidR="00E02E23">
        <w:t>eographic area configuration is a critical element of the pro</w:t>
      </w:r>
      <w:r w:rsidR="00660F1B">
        <w:t>duct offering</w:t>
      </w:r>
      <w:r w:rsidR="00C93507">
        <w:t xml:space="preserve"> to make it sui</w:t>
      </w:r>
      <w:r w:rsidR="00051360">
        <w:t xml:space="preserve">table for regionally focused parties. </w:t>
      </w:r>
    </w:p>
    <w:p w14:paraId="31513534" w14:textId="36A50137" w:rsidR="00E53D92" w:rsidRPr="003B4857" w:rsidRDefault="00D54E31" w:rsidP="00D54E31">
      <w:pPr>
        <w:pStyle w:val="Heading3"/>
      </w:pPr>
      <w:r>
        <w:t>Geographic area options</w:t>
      </w:r>
    </w:p>
    <w:p w14:paraId="04E86806" w14:textId="50795152" w:rsidR="0061583F" w:rsidRDefault="00D7568D" w:rsidP="00621694">
      <w:pPr>
        <w:pStyle w:val="Paragraph"/>
      </w:pPr>
      <w:r>
        <w:t xml:space="preserve">There are many ways to determine geographic boundaries for the lots on offer. </w:t>
      </w:r>
      <w:r w:rsidR="0061583F">
        <w:t xml:space="preserve">We may consider </w:t>
      </w:r>
      <w:r w:rsidR="009016BD">
        <w:t xml:space="preserve">offering spectrum </w:t>
      </w:r>
      <w:r w:rsidR="0007064E">
        <w:t xml:space="preserve">lots </w:t>
      </w:r>
      <w:r w:rsidR="009016BD">
        <w:t xml:space="preserve">on a region-wide basis, </w:t>
      </w:r>
      <w:r w:rsidR="0007064E">
        <w:t xml:space="preserve">covering the entire geographic area available within the frequency range. </w:t>
      </w:r>
    </w:p>
    <w:p w14:paraId="0BEC2991" w14:textId="67264F09" w:rsidR="00D54E31" w:rsidRPr="00D54E31" w:rsidRDefault="005131C9" w:rsidP="00621694">
      <w:pPr>
        <w:pStyle w:val="Paragraphbeforelist"/>
      </w:pPr>
      <w:r>
        <w:t xml:space="preserve">We may also consider offering </w:t>
      </w:r>
      <w:r w:rsidR="00B6157A">
        <w:t xml:space="preserve">lots of spectrum in specific geographic regions, rather than as one regional area. </w:t>
      </w:r>
      <w:r w:rsidR="00D7568D">
        <w:t>We have allocated spectrum in a disaggregated manner on a number of occasions, such as in</w:t>
      </w:r>
      <w:r w:rsidR="00927135">
        <w:t xml:space="preserve"> the</w:t>
      </w:r>
      <w:r w:rsidR="00D7568D">
        <w:t>:</w:t>
      </w:r>
    </w:p>
    <w:p w14:paraId="5B519BD6" w14:textId="35637F21" w:rsidR="00D7568D" w:rsidRPr="00D54E31" w:rsidRDefault="00927135" w:rsidP="00D7568D">
      <w:pPr>
        <w:pStyle w:val="Bulletlevel1"/>
      </w:pPr>
      <w:r>
        <w:t>3.4 GHz band auction in 2000</w:t>
      </w:r>
    </w:p>
    <w:p w14:paraId="026E7ED1" w14:textId="7071165E" w:rsidR="00927135" w:rsidRDefault="00131A62" w:rsidP="00D7568D">
      <w:pPr>
        <w:pStyle w:val="Bulletlevel1"/>
      </w:pPr>
      <w:r>
        <w:t xml:space="preserve">2.5 GHz band auction (as part of the ACMA’s </w:t>
      </w:r>
      <w:r w:rsidR="00CE70B8">
        <w:t>d</w:t>
      </w:r>
      <w:r>
        <w:t xml:space="preserve">igital </w:t>
      </w:r>
      <w:r w:rsidR="00CE70B8">
        <w:t>d</w:t>
      </w:r>
      <w:r>
        <w:t>ividend auction) in 2013</w:t>
      </w:r>
    </w:p>
    <w:p w14:paraId="70AF9694" w14:textId="4E90A193" w:rsidR="00927135" w:rsidRPr="00D54E31" w:rsidRDefault="00927135" w:rsidP="00D7568D">
      <w:pPr>
        <w:pStyle w:val="Bulletlevel1"/>
      </w:pPr>
      <w:r>
        <w:t>3.6 GHz band auction in 2018</w:t>
      </w:r>
    </w:p>
    <w:p w14:paraId="31C16622" w14:textId="3700FD03" w:rsidR="00E73221" w:rsidRDefault="00131A62" w:rsidP="00621694">
      <w:pPr>
        <w:pStyle w:val="Bulletlevel1"/>
      </w:pPr>
      <w:r>
        <w:t>26 GHz band auction in 2021</w:t>
      </w:r>
    </w:p>
    <w:p w14:paraId="0D849C8F" w14:textId="585CD04A" w:rsidR="00131A62" w:rsidRDefault="00E73221" w:rsidP="00131A62">
      <w:pPr>
        <w:pStyle w:val="Bulletlevel1last"/>
      </w:pPr>
      <w:r>
        <w:t>850/900 MHz band auction in 2021</w:t>
      </w:r>
      <w:r w:rsidR="00131A62">
        <w:t>.</w:t>
      </w:r>
    </w:p>
    <w:p w14:paraId="2029DD69" w14:textId="13357BEB" w:rsidR="00BF553E" w:rsidRPr="00BF553E" w:rsidRDefault="00D71D6E" w:rsidP="00FA575A">
      <w:pPr>
        <w:pStyle w:val="Paragraph"/>
      </w:pPr>
      <w:r>
        <w:t>A</w:t>
      </w:r>
      <w:r w:rsidR="00237EF0">
        <w:t xml:space="preserve"> mix of region-wide and disaggregated lots, referred to as a hybrid approach</w:t>
      </w:r>
      <w:r>
        <w:t>,</w:t>
      </w:r>
      <w:r w:rsidR="0034242B">
        <w:t xml:space="preserve"> was</w:t>
      </w:r>
      <w:r w:rsidR="00B80332">
        <w:t xml:space="preserve"> used</w:t>
      </w:r>
      <w:r w:rsidR="0034242B">
        <w:t>, for</w:t>
      </w:r>
      <w:r w:rsidR="00237EF0">
        <w:t xml:space="preserve"> example, </w:t>
      </w:r>
      <w:r w:rsidR="0034242B">
        <w:t>in the 2 GHz band auction held in 2001</w:t>
      </w:r>
      <w:r w:rsidR="00A051CF">
        <w:t>. In this allocation</w:t>
      </w:r>
      <w:r w:rsidR="004A59E9">
        <w:t>,</w:t>
      </w:r>
      <w:r w:rsidR="00603D6D">
        <w:t xml:space="preserve"> </w:t>
      </w:r>
      <w:r w:rsidR="00ED1769">
        <w:t xml:space="preserve">some parts of the spectrum </w:t>
      </w:r>
      <w:r w:rsidR="0034242B">
        <w:t>we</w:t>
      </w:r>
      <w:r w:rsidR="00ED1769">
        <w:t>re</w:t>
      </w:r>
      <w:r w:rsidR="0034242B">
        <w:t xml:space="preserve"> offered </w:t>
      </w:r>
      <w:r w:rsidR="001F193D">
        <w:t>on a region-wide basis</w:t>
      </w:r>
      <w:r w:rsidR="00ED1769">
        <w:t xml:space="preserve"> (in </w:t>
      </w:r>
      <w:r w:rsidR="00C558A9">
        <w:t>national lots or combined ‘capital city’ lots)</w:t>
      </w:r>
      <w:r w:rsidR="007E3EAF">
        <w:t xml:space="preserve"> and</w:t>
      </w:r>
      <w:r w:rsidR="001F193D">
        <w:t xml:space="preserve"> </w:t>
      </w:r>
      <w:r w:rsidR="00C558A9">
        <w:t xml:space="preserve">other parts of the spectrum </w:t>
      </w:r>
      <w:r w:rsidR="007E3EAF">
        <w:t xml:space="preserve">were </w:t>
      </w:r>
      <w:r w:rsidR="001F193D">
        <w:t>offered on a disaggregated basi</w:t>
      </w:r>
      <w:r w:rsidR="00C558A9">
        <w:t>s</w:t>
      </w:r>
      <w:r w:rsidR="001F193D">
        <w:t xml:space="preserve">. </w:t>
      </w:r>
      <w:r w:rsidR="00A051CF">
        <w:t>In the context of the current allocation, w</w:t>
      </w:r>
      <w:r w:rsidR="00A264D5">
        <w:t xml:space="preserve">e consider </w:t>
      </w:r>
      <w:r w:rsidR="0099356B">
        <w:t>that</w:t>
      </w:r>
      <w:r w:rsidR="00A264D5">
        <w:t xml:space="preserve"> this approach </w:t>
      </w:r>
      <w:r w:rsidR="0034242B">
        <w:t xml:space="preserve">has significant disadvantages in that it </w:t>
      </w:r>
      <w:r w:rsidR="00A264D5">
        <w:t xml:space="preserve">limits substitutability in the auction, as bidders may not be able to switch from a group of </w:t>
      </w:r>
      <w:r w:rsidR="00CD1969">
        <w:t xml:space="preserve">geographically </w:t>
      </w:r>
      <w:r w:rsidR="00A264D5">
        <w:t xml:space="preserve">disaggregated spectrum </w:t>
      </w:r>
      <w:r w:rsidR="00CD1969">
        <w:t>lots</w:t>
      </w:r>
      <w:r w:rsidR="00A264D5">
        <w:t xml:space="preserve"> to a region-wide lot. </w:t>
      </w:r>
    </w:p>
    <w:p w14:paraId="6DFF2621" w14:textId="15DC2DDC" w:rsidR="004E2D41" w:rsidRPr="00BF553E" w:rsidRDefault="00ED269D" w:rsidP="00BF553E">
      <w:pPr>
        <w:pStyle w:val="Paragraph"/>
      </w:pPr>
      <w:r>
        <w:t>Where possible, w</w:t>
      </w:r>
      <w:r w:rsidR="004E2D41">
        <w:t xml:space="preserve">e have a strong preference to </w:t>
      </w:r>
      <w:r w:rsidR="002B143A">
        <w:t>divide</w:t>
      </w:r>
      <w:r w:rsidR="004E2D41">
        <w:t xml:space="preserve"> </w:t>
      </w:r>
      <w:r w:rsidR="002B143A">
        <w:t xml:space="preserve">spectrum in the 3.4 GHz and 3.7 GHz bands along the same geographic boundaries. </w:t>
      </w:r>
      <w:r w:rsidR="0079188E">
        <w:t xml:space="preserve">It’s unlikely that </w:t>
      </w:r>
      <w:r w:rsidR="002B143A">
        <w:t xml:space="preserve">there is </w:t>
      </w:r>
      <w:r w:rsidR="003B6063">
        <w:t xml:space="preserve">different region-specific demand between the two bands. </w:t>
      </w:r>
      <w:r w:rsidR="005A10C4">
        <w:t>As such, implementing different geographic configurations for spectrum in the 3.4 GHz and 3.7</w:t>
      </w:r>
      <w:r w:rsidR="007A6CF4">
        <w:t> </w:t>
      </w:r>
      <w:r w:rsidR="005A10C4">
        <w:t>GHz bands may unnecessarily complicate the auction.</w:t>
      </w:r>
    </w:p>
    <w:p w14:paraId="2DBF415E" w14:textId="63F9FBFE" w:rsidR="00A14706" w:rsidRPr="00D54E31" w:rsidRDefault="00BF553E" w:rsidP="00BF553E">
      <w:pPr>
        <w:pStyle w:val="Heading4"/>
      </w:pPr>
      <w:r>
        <w:t>Region-wide area</w:t>
      </w:r>
    </w:p>
    <w:p w14:paraId="576C6816" w14:textId="0000F679" w:rsidR="00BF553E" w:rsidRPr="00BF553E" w:rsidRDefault="00D23181" w:rsidP="00BF553E">
      <w:r>
        <w:t>Under this option, w</w:t>
      </w:r>
      <w:r w:rsidR="00FC3E11">
        <w:t xml:space="preserve">e </w:t>
      </w:r>
      <w:r w:rsidR="00A051CF">
        <w:t>may</w:t>
      </w:r>
      <w:r w:rsidR="00FC3E11">
        <w:t xml:space="preserve"> offer the spectrum available in each part of the </w:t>
      </w:r>
      <w:r w:rsidR="00842318">
        <w:t xml:space="preserve">spectrum on a region-wide basis. </w:t>
      </w:r>
      <w:r>
        <w:t>For example, in the 3700</w:t>
      </w:r>
      <w:r w:rsidR="004A59E9">
        <w:t>–</w:t>
      </w:r>
      <w:r>
        <w:t xml:space="preserve">3750 MHz frequency range under our proposed frequency bandwidth configuration, there would be </w:t>
      </w:r>
      <w:r w:rsidR="00E822F5">
        <w:t>5</w:t>
      </w:r>
      <w:r>
        <w:t xml:space="preserve"> x 10 MHz of spectrum available </w:t>
      </w:r>
      <w:r w:rsidR="004A59E9">
        <w:t>for</w:t>
      </w:r>
      <w:r w:rsidR="003B37BD">
        <w:t xml:space="preserve"> one area </w:t>
      </w:r>
      <w:r w:rsidR="004A59E9">
        <w:t xml:space="preserve">that </w:t>
      </w:r>
      <w:r w:rsidR="003B37BD">
        <w:t>covers both metropolitan and regional areas.</w:t>
      </w:r>
      <w:r w:rsidR="009E2092">
        <w:rPr>
          <w:rStyle w:val="FootnoteReference"/>
        </w:rPr>
        <w:footnoteReference w:id="15"/>
      </w:r>
      <w:r w:rsidR="00335053">
        <w:t xml:space="preserve"> </w:t>
      </w:r>
    </w:p>
    <w:p w14:paraId="3872FA6F" w14:textId="4950BD4C" w:rsidR="004B1792" w:rsidRPr="00BF553E" w:rsidRDefault="004B1792" w:rsidP="00BF553E">
      <w:r>
        <w:t xml:space="preserve">This option may </w:t>
      </w:r>
      <w:r w:rsidR="00987A34">
        <w:t>eliminate region-based exposure risk</w:t>
      </w:r>
      <w:r w:rsidR="00C805F8">
        <w:t>, where a bidder is at risk of only obtaining a subset of their desired regions</w:t>
      </w:r>
      <w:r w:rsidR="00055C63">
        <w:t xml:space="preserve">. It may also eliminate the risk that bidders obtain geographically fragmented holdings, contrary to their </w:t>
      </w:r>
      <w:r w:rsidR="00660093">
        <w:t>use-case</w:t>
      </w:r>
      <w:r w:rsidR="00055C63">
        <w:t>.</w:t>
      </w:r>
      <w:r w:rsidR="00987A34">
        <w:t xml:space="preserve"> </w:t>
      </w:r>
    </w:p>
    <w:p w14:paraId="7739135E" w14:textId="1586F316" w:rsidR="00782CE8" w:rsidRDefault="000010DD" w:rsidP="00BF553E">
      <w:r>
        <w:t xml:space="preserve">However, a region-wide area may not be optimal when there is regionally heterogeneous demand. We consider </w:t>
      </w:r>
      <w:r w:rsidR="00782CE8">
        <w:t>there may be differential demand</w:t>
      </w:r>
      <w:r>
        <w:t xml:space="preserve"> for</w:t>
      </w:r>
      <w:r w:rsidR="00782CE8">
        <w:t xml:space="preserve"> spectrum in</w:t>
      </w:r>
      <w:r>
        <w:t xml:space="preserve"> the 3.4</w:t>
      </w:r>
      <w:r w:rsidR="00EC31D6">
        <w:t xml:space="preserve"> GHz and </w:t>
      </w:r>
      <w:r>
        <w:t>3.7</w:t>
      </w:r>
      <w:r w:rsidR="00A71ADE">
        <w:t xml:space="preserve"> GHz bands. </w:t>
      </w:r>
    </w:p>
    <w:p w14:paraId="53C21313" w14:textId="3518D510" w:rsidR="00CD258C" w:rsidRDefault="00F66FC2" w:rsidP="00BF553E">
      <w:r>
        <w:t xml:space="preserve">Under all of our planning options, </w:t>
      </w:r>
      <w:r w:rsidR="00052844">
        <w:t>potential bidders</w:t>
      </w:r>
      <w:r w:rsidR="00C92932">
        <w:t xml:space="preserve"> would also have disaggregated spectrum holdings in adjacent and closely substitutable bands, such as the 3.6 GHz band. </w:t>
      </w:r>
      <w:r w:rsidR="00ED522E">
        <w:t xml:space="preserve">A region-wide configuration would limit the expression of differential demand </w:t>
      </w:r>
      <w:r w:rsidR="0054514C">
        <w:t xml:space="preserve">across geographic areas, </w:t>
      </w:r>
      <w:r w:rsidR="00ED522E">
        <w:t xml:space="preserve">and would therefore risk reducing the efficiency of the allocation and use of spectrum. </w:t>
      </w:r>
      <w:r w:rsidR="00C77E03">
        <w:t xml:space="preserve">A bidder may be interested in acquiring </w:t>
      </w:r>
      <w:r w:rsidR="00A75FFB">
        <w:t xml:space="preserve">spectrum in </w:t>
      </w:r>
      <w:r w:rsidR="006040CD">
        <w:t xml:space="preserve">regional Western Australia, but not spectrum in </w:t>
      </w:r>
      <w:r w:rsidR="001E2852">
        <w:t xml:space="preserve">Brisbane. </w:t>
      </w:r>
      <w:r w:rsidR="003A115A">
        <w:t xml:space="preserve">If the spectrum is available only on a region-wide basis, the bidder may be forced to either acquire spectrum it does not want </w:t>
      </w:r>
      <w:r w:rsidR="001B2B0D">
        <w:t>(and may not deploy in) for a much higher cost, or not acquire spectrum at all.</w:t>
      </w:r>
      <w:r w:rsidR="00B20D6E">
        <w:t xml:space="preserve"> </w:t>
      </w:r>
    </w:p>
    <w:p w14:paraId="14727BB8" w14:textId="16D4F62A" w:rsidR="00CD258C" w:rsidRDefault="00B20D6E" w:rsidP="00BF553E">
      <w:pPr>
        <w:rPr>
          <w:bCs/>
        </w:rPr>
      </w:pPr>
      <w:r>
        <w:t xml:space="preserve">This is </w:t>
      </w:r>
      <w:r w:rsidR="00AE61C9">
        <w:t>a very important consideration</w:t>
      </w:r>
      <w:r w:rsidR="004A59E9">
        <w:t>,</w:t>
      </w:r>
      <w:r w:rsidR="00AE61C9">
        <w:t xml:space="preserve"> given objective</w:t>
      </w:r>
      <w:r w:rsidR="001D5C58">
        <w:t>s</w:t>
      </w:r>
      <w:r w:rsidR="00B2421A">
        <w:t xml:space="preserve"> contained in the MPS</w:t>
      </w:r>
      <w:r w:rsidR="001D5C58">
        <w:t xml:space="preserve"> for t</w:t>
      </w:r>
      <w:r w:rsidR="00473BC5">
        <w:t>he allocation of this band</w:t>
      </w:r>
      <w:r w:rsidR="00AE61C9">
        <w:t xml:space="preserve"> </w:t>
      </w:r>
      <w:r w:rsidR="00343FD0">
        <w:t>requires us</w:t>
      </w:r>
      <w:r w:rsidR="00C951C5">
        <w:t xml:space="preserve"> to have regard to </w:t>
      </w:r>
      <w:r w:rsidR="00296049" w:rsidRPr="00296049">
        <w:t>‘</w:t>
      </w:r>
      <w:r w:rsidR="00296049" w:rsidRPr="00C36817">
        <w:t>s</w:t>
      </w:r>
      <w:r w:rsidR="00C951C5" w:rsidRPr="00AB4677">
        <w:t xml:space="preserve">upporting </w:t>
      </w:r>
      <w:r w:rsidR="00A71E0A">
        <w:t>digital</w:t>
      </w:r>
      <w:r w:rsidR="00A71E0A" w:rsidRPr="00AB4677">
        <w:t xml:space="preserve"> </w:t>
      </w:r>
      <w:r w:rsidR="00C951C5" w:rsidRPr="00AB4677">
        <w:t>connectivity and investment in regional Australia</w:t>
      </w:r>
      <w:r w:rsidR="00296049" w:rsidRPr="00296049">
        <w:rPr>
          <w:bCs/>
        </w:rPr>
        <w:t>’</w:t>
      </w:r>
      <w:r w:rsidR="00C951C5" w:rsidRPr="00296049">
        <w:rPr>
          <w:bCs/>
        </w:rPr>
        <w:t>.</w:t>
      </w:r>
      <w:r w:rsidR="00C951C5">
        <w:rPr>
          <w:bCs/>
        </w:rPr>
        <w:t xml:space="preserve"> </w:t>
      </w:r>
    </w:p>
    <w:p w14:paraId="244C795E" w14:textId="1254C114" w:rsidR="00ED522E" w:rsidRPr="00AB4677" w:rsidRDefault="00170D53" w:rsidP="00BF553E">
      <w:pPr>
        <w:rPr>
          <w:b/>
        </w:rPr>
      </w:pPr>
      <w:r>
        <w:rPr>
          <w:bCs/>
        </w:rPr>
        <w:t xml:space="preserve">Further, as current spectrum </w:t>
      </w:r>
      <w:r w:rsidR="00E87A9B">
        <w:rPr>
          <w:bCs/>
        </w:rPr>
        <w:t>licensees</w:t>
      </w:r>
      <w:r>
        <w:rPr>
          <w:bCs/>
        </w:rPr>
        <w:t xml:space="preserve"> in adjacent and closely substitutable bands </w:t>
      </w:r>
      <w:r w:rsidR="00E87A9B">
        <w:rPr>
          <w:bCs/>
        </w:rPr>
        <w:t xml:space="preserve">hold </w:t>
      </w:r>
      <w:r w:rsidR="00B2683D">
        <w:rPr>
          <w:bCs/>
        </w:rPr>
        <w:t xml:space="preserve">geographically disaggregated parts of the spectrum, a region-wide licence area may </w:t>
      </w:r>
      <w:r w:rsidR="00EF7A30">
        <w:rPr>
          <w:bCs/>
        </w:rPr>
        <w:t>add to the complexity of assessing relevant holdings for the purposes of determining any allocation limit</w:t>
      </w:r>
      <w:r w:rsidR="00DE4CE9">
        <w:rPr>
          <w:bCs/>
        </w:rPr>
        <w:t xml:space="preserve">. </w:t>
      </w:r>
    </w:p>
    <w:p w14:paraId="5558B8BE" w14:textId="08B9EFDC" w:rsidR="00CE6F04" w:rsidRDefault="00CE6F04" w:rsidP="00BF553E">
      <w:r>
        <w:t>Usually, we consider that offering spectrum on a region-wide basis would reduce complexity at auction. This may not be the case in the 3.4</w:t>
      </w:r>
      <w:r w:rsidR="00140A24">
        <w:t xml:space="preserve"> GHz and </w:t>
      </w:r>
      <w:r>
        <w:t xml:space="preserve">3.7 GHz bands, as the geographic areas proposed for re-allocation differ across frequency ranges, so each region-wide area </w:t>
      </w:r>
      <w:r w:rsidR="00492AEE">
        <w:t>would</w:t>
      </w:r>
      <w:r w:rsidR="00CB0CF2">
        <w:t xml:space="preserve"> have a different quantity of spectrum available </w:t>
      </w:r>
      <w:r>
        <w:t xml:space="preserve">(see also the ‘Specified parts of the spectrum’ section of this paper). </w:t>
      </w:r>
    </w:p>
    <w:p w14:paraId="60B0187B" w14:textId="5EA73F9F" w:rsidR="00361D50" w:rsidRPr="00BF553E" w:rsidRDefault="00A2017F" w:rsidP="00BF553E">
      <w:r>
        <w:t>On balance, offering lots in the 3.4</w:t>
      </w:r>
      <w:r w:rsidR="00072255">
        <w:t xml:space="preserve"> GHz and 3</w:t>
      </w:r>
      <w:r>
        <w:t>.7 GHz bands on a region-wide basis may not be appropriate</w:t>
      </w:r>
      <w:r w:rsidR="0084535A">
        <w:t xml:space="preserve"> for this auction. </w:t>
      </w:r>
    </w:p>
    <w:p w14:paraId="1FC61BC2" w14:textId="10A006B2" w:rsidR="00E96308" w:rsidRPr="00BF553E" w:rsidRDefault="002F5AEC" w:rsidP="00E96308">
      <w:pPr>
        <w:pStyle w:val="Heading4"/>
      </w:pPr>
      <w:r>
        <w:t>Large disaggregated</w:t>
      </w:r>
      <w:r w:rsidR="00AE6E18">
        <w:t xml:space="preserve"> areas</w:t>
      </w:r>
    </w:p>
    <w:p w14:paraId="24B4F636" w14:textId="0D9BC0F2" w:rsidR="006F7628" w:rsidRDefault="00010ECA" w:rsidP="00FE799D">
      <w:pPr>
        <w:pStyle w:val="Paragraphbeforelist"/>
      </w:pPr>
      <w:r>
        <w:t xml:space="preserve">Under this option, we </w:t>
      </w:r>
      <w:r w:rsidR="0065657B">
        <w:t xml:space="preserve">may </w:t>
      </w:r>
      <w:r>
        <w:t xml:space="preserve">offer the spectrum </w:t>
      </w:r>
      <w:r w:rsidR="00832437">
        <w:t>in the following areas</w:t>
      </w:r>
      <w:r w:rsidR="001C3289">
        <w:t xml:space="preserve"> where applicable</w:t>
      </w:r>
      <w:r>
        <w:t>:</w:t>
      </w:r>
    </w:p>
    <w:p w14:paraId="6B41EF2D" w14:textId="7FFD96A7" w:rsidR="00010ECA" w:rsidRPr="0034280D" w:rsidRDefault="004A59E9" w:rsidP="00832437">
      <w:pPr>
        <w:pStyle w:val="Bulletlevel1"/>
      </w:pPr>
      <w:r>
        <w:t>a</w:t>
      </w:r>
      <w:r w:rsidR="00CA26B5" w:rsidRPr="0034280D">
        <w:t xml:space="preserve"> metropolitan area</w:t>
      </w:r>
      <w:r w:rsidR="00EC1FCC" w:rsidRPr="0034280D">
        <w:t xml:space="preserve"> (covering </w:t>
      </w:r>
      <w:r w:rsidR="00DA5F56" w:rsidRPr="0034280D">
        <w:t>Adelaide, Brisbane, Canberra, Melbourne, Perth, Sydney</w:t>
      </w:r>
      <w:r w:rsidR="0068041B">
        <w:t>)</w:t>
      </w:r>
      <w:r w:rsidR="00DA5F56" w:rsidRPr="0034280D" w:rsidDel="00DA5F56">
        <w:t xml:space="preserve"> </w:t>
      </w:r>
    </w:p>
    <w:p w14:paraId="0557D0D5" w14:textId="7A0F8B2E" w:rsidR="00C026FD" w:rsidRPr="0034280D" w:rsidRDefault="004A59E9" w:rsidP="00832437">
      <w:pPr>
        <w:pStyle w:val="Bulletlevel1"/>
      </w:pPr>
      <w:r>
        <w:t>a</w:t>
      </w:r>
      <w:r w:rsidR="00C026FD" w:rsidRPr="0034280D">
        <w:t>n urban excise area (covering the urban excise area)</w:t>
      </w:r>
    </w:p>
    <w:p w14:paraId="2FC4589C" w14:textId="43544502" w:rsidR="00CA26B5" w:rsidRPr="0034280D" w:rsidRDefault="004A59E9" w:rsidP="00832437">
      <w:pPr>
        <w:pStyle w:val="Bulletlevel1"/>
      </w:pPr>
      <w:r>
        <w:t>a</w:t>
      </w:r>
      <w:r w:rsidR="00CA26B5" w:rsidRPr="0034280D">
        <w:t xml:space="preserve"> major regional centre</w:t>
      </w:r>
      <w:r w:rsidR="00FC0DBB">
        <w:t>s</w:t>
      </w:r>
      <w:r w:rsidR="00CA26B5" w:rsidRPr="0034280D">
        <w:t xml:space="preserve"> </w:t>
      </w:r>
      <w:r w:rsidR="007127AE" w:rsidRPr="0034280D">
        <w:t xml:space="preserve">1 </w:t>
      </w:r>
      <w:r w:rsidR="00CA26B5" w:rsidRPr="0034280D">
        <w:t>area</w:t>
      </w:r>
      <w:r w:rsidR="00C026FD" w:rsidRPr="0034280D">
        <w:t xml:space="preserve"> (covering </w:t>
      </w:r>
      <w:r w:rsidR="00491343" w:rsidRPr="0034280D">
        <w:t>Ballarat and Bendigo</w:t>
      </w:r>
      <w:r w:rsidR="007127AE" w:rsidRPr="0034280D">
        <w:t xml:space="preserve"> and Toowoomba</w:t>
      </w:r>
      <w:r w:rsidR="00621832" w:rsidRPr="0034280D">
        <w:t>)</w:t>
      </w:r>
    </w:p>
    <w:p w14:paraId="1F29CEB2" w14:textId="242D4409" w:rsidR="007127AE" w:rsidRPr="0034280D" w:rsidRDefault="004A59E9" w:rsidP="007127AE">
      <w:pPr>
        <w:pStyle w:val="Bulletlevel1"/>
      </w:pPr>
      <w:r>
        <w:t>a</w:t>
      </w:r>
      <w:r w:rsidR="00CA26B5" w:rsidRPr="0034280D">
        <w:t xml:space="preserve"> </w:t>
      </w:r>
      <w:r w:rsidR="007127AE" w:rsidRPr="0034280D">
        <w:t xml:space="preserve">major </w:t>
      </w:r>
      <w:r w:rsidR="00CA26B5" w:rsidRPr="0034280D">
        <w:t xml:space="preserve">regional </w:t>
      </w:r>
      <w:r w:rsidR="007127AE" w:rsidRPr="0034280D">
        <w:t>centre</w:t>
      </w:r>
      <w:r w:rsidR="00FC0DBB">
        <w:t>s</w:t>
      </w:r>
      <w:r w:rsidR="007127AE" w:rsidRPr="0034280D">
        <w:t xml:space="preserve"> 2 area (covering Albury, Cairns, </w:t>
      </w:r>
      <w:r w:rsidR="00631CE9" w:rsidRPr="0034280D">
        <w:t xml:space="preserve">Hobart, </w:t>
      </w:r>
      <w:r w:rsidR="007127AE" w:rsidRPr="0034280D">
        <w:t>Launceston, Rockhampton and Townsville)</w:t>
      </w:r>
    </w:p>
    <w:p w14:paraId="56DEA897" w14:textId="63DAC8AA" w:rsidR="00CA26B5" w:rsidRPr="0034280D" w:rsidRDefault="004A59E9" w:rsidP="00832437">
      <w:pPr>
        <w:pStyle w:val="Bulletlevel1"/>
      </w:pPr>
      <w:r>
        <w:t>a</w:t>
      </w:r>
      <w:r w:rsidR="00CA26B5" w:rsidRPr="0034280D">
        <w:t xml:space="preserve"> regional area</w:t>
      </w:r>
      <w:r w:rsidR="007127AE" w:rsidRPr="0034280D">
        <w:t xml:space="preserve"> 1</w:t>
      </w:r>
      <w:r w:rsidR="00621832" w:rsidRPr="0034280D">
        <w:t xml:space="preserve"> (</w:t>
      </w:r>
      <w:r w:rsidR="0029626D" w:rsidRPr="0034280D">
        <w:t xml:space="preserve">covering </w:t>
      </w:r>
      <w:r w:rsidR="002164A5" w:rsidRPr="0034280D">
        <w:t>Quirindi West, Remote Australia</w:t>
      </w:r>
      <w:r w:rsidR="00C35420" w:rsidRPr="0034280D">
        <w:t>)</w:t>
      </w:r>
      <w:r w:rsidR="00F66F69" w:rsidRPr="0034280D">
        <w:t xml:space="preserve"> </w:t>
      </w:r>
    </w:p>
    <w:p w14:paraId="294FAF59" w14:textId="263D95C8" w:rsidR="00EB185C" w:rsidRPr="0034280D" w:rsidRDefault="004A59E9" w:rsidP="00832437">
      <w:pPr>
        <w:pStyle w:val="Bulletlevel1"/>
      </w:pPr>
      <w:r>
        <w:t>a</w:t>
      </w:r>
      <w:r w:rsidR="00E57D81">
        <w:t xml:space="preserve"> r</w:t>
      </w:r>
      <w:r w:rsidR="00EB185C" w:rsidRPr="0034280D">
        <w:t xml:space="preserve">egional area 2 (covering </w:t>
      </w:r>
      <w:r w:rsidR="0029626D" w:rsidRPr="0034280D">
        <w:t>Quirindi East, Regional NSW north, Regional NSW south, Regional Qld, Regional SA, Regional Vic, Regional WA south)</w:t>
      </w:r>
    </w:p>
    <w:p w14:paraId="533E1FE8" w14:textId="1AB26F4E" w:rsidR="00A97754" w:rsidRPr="0034280D" w:rsidRDefault="004A59E9" w:rsidP="00A97754">
      <w:pPr>
        <w:pStyle w:val="Bulletlevel1last"/>
      </w:pPr>
      <w:r>
        <w:t>a</w:t>
      </w:r>
      <w:r w:rsidR="00A97754" w:rsidRPr="0034280D">
        <w:t xml:space="preserve"> regional </w:t>
      </w:r>
      <w:r w:rsidR="00EB185C" w:rsidRPr="0034280D">
        <w:t xml:space="preserve">WA central </w:t>
      </w:r>
      <w:r w:rsidR="00A97754" w:rsidRPr="0034280D">
        <w:t xml:space="preserve">area (covering Regional WA central). </w:t>
      </w:r>
    </w:p>
    <w:p w14:paraId="4DFFB300" w14:textId="5E75A481" w:rsidR="00A97754" w:rsidRDefault="00D85543" w:rsidP="00A97754">
      <w:pPr>
        <w:pStyle w:val="Paragraph"/>
      </w:pPr>
      <w:r w:rsidRPr="0034280D">
        <w:t xml:space="preserve">We note that not all geographic areas will be available in each frequency range. For example, </w:t>
      </w:r>
      <w:r w:rsidR="00576FC8" w:rsidRPr="0034280D">
        <w:t xml:space="preserve">a bidder may not obtain </w:t>
      </w:r>
      <w:r w:rsidR="00BB6906" w:rsidRPr="0034280D">
        <w:t>spectrum in the</w:t>
      </w:r>
      <w:r w:rsidR="008957F8">
        <w:t xml:space="preserve"> entire</w:t>
      </w:r>
      <w:r w:rsidR="00BB6906" w:rsidRPr="0034280D">
        <w:t xml:space="preserve"> metropolitan area in the 3.</w:t>
      </w:r>
      <w:r w:rsidR="004A59E9" w:rsidRPr="0034280D">
        <w:t>4</w:t>
      </w:r>
      <w:r w:rsidR="004A59E9">
        <w:t> </w:t>
      </w:r>
      <w:r w:rsidR="00BB6906" w:rsidRPr="0034280D">
        <w:t xml:space="preserve">GHz band. </w:t>
      </w:r>
      <w:r w:rsidR="005058E6" w:rsidRPr="0034280D">
        <w:t>Similarly, a bidder may not obtain spectrum only in the urban excise area in the 3.7 GHz band.</w:t>
      </w:r>
      <w:r w:rsidR="00EE25EF">
        <w:t xml:space="preserve"> </w:t>
      </w:r>
    </w:p>
    <w:p w14:paraId="2A9CC7C1" w14:textId="69C5753C" w:rsidR="00EE25EF" w:rsidRDefault="00EE25EF" w:rsidP="00A97754">
      <w:pPr>
        <w:pStyle w:val="Paragraph"/>
      </w:pPr>
      <w:r w:rsidRPr="00D56A25">
        <w:t xml:space="preserve">The proposed lot areas are shown in Figure </w:t>
      </w:r>
      <w:r w:rsidR="00C96113" w:rsidRPr="00D56A25">
        <w:t>19</w:t>
      </w:r>
      <w:r w:rsidRPr="00D56A25">
        <w:t xml:space="preserve"> and defined in Appendix </w:t>
      </w:r>
      <w:r w:rsidR="00D56A25" w:rsidRPr="00D56A25">
        <w:t>B</w:t>
      </w:r>
      <w:r w:rsidR="00DA5F56">
        <w:t xml:space="preserve"> </w:t>
      </w:r>
      <w:r w:rsidR="00ED24FD">
        <w:t xml:space="preserve">of </w:t>
      </w:r>
      <w:r>
        <w:t>this paper.</w:t>
      </w:r>
      <w:r w:rsidR="00E34A5E">
        <w:t xml:space="preserve"> </w:t>
      </w:r>
      <w:r w:rsidR="00FE1DAE">
        <w:t>We note</w:t>
      </w:r>
      <w:r w:rsidR="006516F0">
        <w:t xml:space="preserve"> that </w:t>
      </w:r>
      <w:r w:rsidR="00037DD4">
        <w:t>when applying these areas to the 3700</w:t>
      </w:r>
      <w:r w:rsidR="004A59E9">
        <w:t>–</w:t>
      </w:r>
      <w:r w:rsidR="00037DD4">
        <w:t>375</w:t>
      </w:r>
      <w:r w:rsidR="00DE4E49">
        <w:t>0</w:t>
      </w:r>
      <w:r w:rsidR="00037DD4">
        <w:t xml:space="preserve"> MHz </w:t>
      </w:r>
      <w:r w:rsidR="00403799">
        <w:t>frequency range</w:t>
      </w:r>
      <w:r w:rsidR="00037DD4">
        <w:t xml:space="preserve">, the </w:t>
      </w:r>
      <w:r w:rsidR="00030581">
        <w:t xml:space="preserve">ESPZ at Quirindi would not be available for spectrum licensing. Also in the </w:t>
      </w:r>
      <w:r w:rsidR="00537CBB">
        <w:t>3750</w:t>
      </w:r>
      <w:r w:rsidR="004A59E9">
        <w:t>–</w:t>
      </w:r>
      <w:r w:rsidR="00537CBB">
        <w:t xml:space="preserve">3800 MHz </w:t>
      </w:r>
      <w:r w:rsidR="00403799">
        <w:t>frequency range</w:t>
      </w:r>
      <w:r w:rsidR="00537CBB">
        <w:t xml:space="preserve">, Hobart is proposed to be included in the metropolitan area definition. </w:t>
      </w:r>
    </w:p>
    <w:p w14:paraId="00526A81" w14:textId="4EDF219B" w:rsidR="00351BBC" w:rsidRPr="00FE1DAE" w:rsidRDefault="00EE25EF" w:rsidP="004A59E9">
      <w:pPr>
        <w:pStyle w:val="Figureheading"/>
      </w:pPr>
      <w:r>
        <w:t>Map of proposed lot boundaries</w:t>
      </w:r>
    </w:p>
    <w:p w14:paraId="4BCCC7D6" w14:textId="2206DF75" w:rsidR="00EE25EF" w:rsidRPr="00EE25EF" w:rsidRDefault="00351BBC" w:rsidP="00FE1DAE">
      <w:pPr>
        <w:pStyle w:val="Paragraph"/>
        <w:keepNext/>
      </w:pPr>
      <w:r>
        <w:rPr>
          <w:noProof/>
        </w:rPr>
        <w:drawing>
          <wp:inline distT="0" distB="0" distL="0" distR="0" wp14:anchorId="03F6A43F" wp14:editId="18EFECEC">
            <wp:extent cx="4623759" cy="4332024"/>
            <wp:effectExtent l="0" t="0" r="5715" b="0"/>
            <wp:docPr id="42" name="Picture 42"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If you need help accessing or reading this diagram, please contact the ACMA's Customer Service Centre by phone on 1300 850 115 or by email at info@acma.gov.au"/>
                    <pic:cNvPicPr/>
                  </pic:nvPicPr>
                  <pic:blipFill>
                    <a:blip r:embed="rId97"/>
                    <a:stretch>
                      <a:fillRect/>
                    </a:stretch>
                  </pic:blipFill>
                  <pic:spPr>
                    <a:xfrm>
                      <a:off x="0" y="0"/>
                      <a:ext cx="4632489" cy="4340203"/>
                    </a:xfrm>
                    <a:prstGeom prst="rect">
                      <a:avLst/>
                    </a:prstGeom>
                  </pic:spPr>
                </pic:pic>
              </a:graphicData>
            </a:graphic>
          </wp:inline>
        </w:drawing>
      </w:r>
      <w:r w:rsidDel="00351BBC">
        <w:t xml:space="preserve"> </w:t>
      </w:r>
    </w:p>
    <w:p w14:paraId="6532D52D" w14:textId="6C17313C" w:rsidR="00FE1DAE" w:rsidRDefault="00FE1DAE" w:rsidP="004A59E9">
      <w:pPr>
        <w:pStyle w:val="Tableorfigurenotemultiple"/>
        <w:spacing w:after="240"/>
        <w:contextualSpacing/>
      </w:pPr>
      <w:r>
        <w:t xml:space="preserve">Key: </w:t>
      </w:r>
      <w:r w:rsidRPr="00FE1DAE">
        <w:t>purple = metropolitan, red = major regional centres 1, black = major regional centres 2, light blue = regional area 1, green = regional area 2, dark blue = regional WA central</w:t>
      </w:r>
      <w:r w:rsidR="004A59E9">
        <w:t>.</w:t>
      </w:r>
    </w:p>
    <w:p w14:paraId="7946ED9C" w14:textId="1AEC5F4C" w:rsidR="0090567B" w:rsidRDefault="006C7081" w:rsidP="00A97754">
      <w:pPr>
        <w:pStyle w:val="Paragraph"/>
      </w:pPr>
      <w:r>
        <w:t xml:space="preserve">This approach may be appropriate if there is little difference in the level of demand from bidders across metropolitan areas, or across major regional centres, or across other regional areas. </w:t>
      </w:r>
      <w:r w:rsidR="00366A41">
        <w:t xml:space="preserve">Offering spectrum in </w:t>
      </w:r>
      <w:r w:rsidR="00511448">
        <w:t>multiple</w:t>
      </w:r>
      <w:r w:rsidR="00A720A8">
        <w:t xml:space="preserve"> </w:t>
      </w:r>
      <w:r w:rsidR="00366A41">
        <w:t xml:space="preserve">regional areas may also facilitate the expression </w:t>
      </w:r>
      <w:r w:rsidR="00235909">
        <w:t xml:space="preserve">of demand in regional Australia. </w:t>
      </w:r>
      <w:r w:rsidR="00DD771E">
        <w:t xml:space="preserve">Bidders </w:t>
      </w:r>
      <w:r w:rsidR="00621694">
        <w:t>have the flexibility</w:t>
      </w:r>
      <w:r w:rsidR="00050173">
        <w:t xml:space="preserve"> </w:t>
      </w:r>
      <w:r w:rsidR="00B26F7E">
        <w:t xml:space="preserve">to </w:t>
      </w:r>
      <w:r w:rsidR="00050173">
        <w:t>express demand for</w:t>
      </w:r>
      <w:r w:rsidR="00DD771E">
        <w:t xml:space="preserve"> spectrum only in metropolitan or regional areas, or </w:t>
      </w:r>
      <w:r w:rsidR="00C36FFE">
        <w:t>across the whole</w:t>
      </w:r>
      <w:r w:rsidR="004D2899">
        <w:t xml:space="preserve"> combined</w:t>
      </w:r>
      <w:r w:rsidR="00C36FFE">
        <w:t xml:space="preserve"> area</w:t>
      </w:r>
      <w:r w:rsidR="00621694">
        <w:t>, as</w:t>
      </w:r>
      <w:r w:rsidR="000447C6">
        <w:t xml:space="preserve"> spectrum is ‘pre-packaged’ into multiple </w:t>
      </w:r>
      <w:r w:rsidR="000A080B">
        <w:t>areas</w:t>
      </w:r>
      <w:r w:rsidR="000447C6">
        <w:t>.</w:t>
      </w:r>
      <w:r w:rsidR="00050173">
        <w:t xml:space="preserve"> </w:t>
      </w:r>
    </w:p>
    <w:p w14:paraId="1E5934AD" w14:textId="09BFAE84" w:rsidR="008F1D74" w:rsidRDefault="00A075D2" w:rsidP="00A97754">
      <w:pPr>
        <w:pStyle w:val="Paragraph"/>
      </w:pPr>
      <w:r>
        <w:t xml:space="preserve">This configuration presents similar challenges to the region-wide area if demand is more granular. A bidder may have divergent demand for spectrum across metropolitan regions, or different parts of regional Australia (for example, a bidder may want to acquire spectrum in Cairns but not in Albury). This approach would not facilitate the expression of this demand. </w:t>
      </w:r>
    </w:p>
    <w:p w14:paraId="09907730" w14:textId="3434193D" w:rsidR="00C64A06" w:rsidRDefault="0060027B" w:rsidP="00FE799D">
      <w:pPr>
        <w:pStyle w:val="Paragraph"/>
      </w:pPr>
      <w:r>
        <w:t xml:space="preserve">While </w:t>
      </w:r>
      <w:r w:rsidR="00083473">
        <w:t>this option</w:t>
      </w:r>
      <w:r w:rsidR="00B9358A">
        <w:t xml:space="preserve"> is not our preferred approach, w</w:t>
      </w:r>
      <w:r>
        <w:t>e note that stakeholders may identify other variations to the geographic areas we have identified above</w:t>
      </w:r>
      <w:r w:rsidR="00EC4A0C">
        <w:t xml:space="preserve"> and we welcome views</w:t>
      </w:r>
      <w:r>
        <w:t>.</w:t>
      </w:r>
    </w:p>
    <w:p w14:paraId="08C96024" w14:textId="0E0379F4" w:rsidR="006F7628" w:rsidRPr="006F7628" w:rsidRDefault="00A157F6" w:rsidP="00FE799D">
      <w:pPr>
        <w:pStyle w:val="Heading4"/>
      </w:pPr>
      <w:r>
        <w:t>Small disaggregated</w:t>
      </w:r>
      <w:r w:rsidR="00AF6A82">
        <w:t xml:space="preserve"> areas</w:t>
      </w:r>
    </w:p>
    <w:p w14:paraId="09D6743C" w14:textId="68452BD1" w:rsidR="00FC63A3" w:rsidRDefault="00F22941" w:rsidP="000447C6">
      <w:pPr>
        <w:pStyle w:val="Paragraph"/>
      </w:pPr>
      <w:r>
        <w:t>Under this option, we would offer</w:t>
      </w:r>
      <w:r w:rsidR="003E3210">
        <w:t xml:space="preserve"> the spectrum available </w:t>
      </w:r>
      <w:r w:rsidR="00CB1A4B">
        <w:t xml:space="preserve">in areas </w:t>
      </w:r>
      <w:r w:rsidR="00184167">
        <w:t xml:space="preserve">on a </w:t>
      </w:r>
      <w:r w:rsidR="00CB1A4B">
        <w:t>more</w:t>
      </w:r>
      <w:r w:rsidR="003E3210">
        <w:t xml:space="preserve"> disaggregated</w:t>
      </w:r>
      <w:r w:rsidR="00184167">
        <w:t xml:space="preserve"> basis</w:t>
      </w:r>
      <w:r w:rsidR="003E3210">
        <w:t xml:space="preserve"> </w:t>
      </w:r>
      <w:r w:rsidR="00CB1A4B">
        <w:t xml:space="preserve">than those proposed under the </w:t>
      </w:r>
      <w:r w:rsidR="00CE5044">
        <w:t>metropolitan and regional</w:t>
      </w:r>
      <w:r w:rsidR="00CB1A4B">
        <w:t xml:space="preserve"> option</w:t>
      </w:r>
      <w:r w:rsidR="003E3210">
        <w:t>.</w:t>
      </w:r>
    </w:p>
    <w:p w14:paraId="1F755DE1" w14:textId="7227EF02" w:rsidR="00A57C68" w:rsidRDefault="007B7B08" w:rsidP="000447C6">
      <w:pPr>
        <w:pStyle w:val="Paragraph"/>
      </w:pPr>
      <w:r>
        <w:t xml:space="preserve">When considering </w:t>
      </w:r>
      <w:r w:rsidR="0046499B">
        <w:t>disaggregated</w:t>
      </w:r>
      <w:r w:rsidR="00EE6FC8">
        <w:t xml:space="preserve"> areas, </w:t>
      </w:r>
      <w:r w:rsidR="00E46804">
        <w:t>we note</w:t>
      </w:r>
      <w:r w:rsidR="0046499B">
        <w:t xml:space="preserve"> t</w:t>
      </w:r>
      <w:r w:rsidR="00A57C68">
        <w:t>here are technical inefficiencies associated with spectrum licence</w:t>
      </w:r>
      <w:r w:rsidR="004A59E9">
        <w:t>-</w:t>
      </w:r>
      <w:r w:rsidR="00A57C68">
        <w:t>area boundaries.</w:t>
      </w:r>
      <w:r w:rsidR="00A57C68" w:rsidRPr="007F5811">
        <w:t xml:space="preserve"> </w:t>
      </w:r>
      <w:r w:rsidR="00A57C68">
        <w:t xml:space="preserve">This can limit how close to a boundary a service can be deployed. For this reason, it is preferable that </w:t>
      </w:r>
      <w:r w:rsidR="00B54A65">
        <w:t xml:space="preserve">geographical </w:t>
      </w:r>
      <w:r w:rsidR="00A57C68">
        <w:t>areas are not too small</w:t>
      </w:r>
      <w:r w:rsidR="00F30070">
        <w:t xml:space="preserve"> (so as to limit their usability)</w:t>
      </w:r>
      <w:r w:rsidR="00A57C68">
        <w:t xml:space="preserve">, and </w:t>
      </w:r>
      <w:r w:rsidR="00CD2C21">
        <w:t>to the extent</w:t>
      </w:r>
      <w:r w:rsidR="00A57C68">
        <w:t xml:space="preserve"> possible</w:t>
      </w:r>
      <w:r w:rsidR="004A59E9">
        <w:t>,</w:t>
      </w:r>
      <w:r w:rsidR="00A57C68">
        <w:t xml:space="preserve"> boundaries are in areas where the likelihood of service deployments is low. </w:t>
      </w:r>
    </w:p>
    <w:p w14:paraId="04C939E1" w14:textId="1D9F0925" w:rsidR="002C5E34" w:rsidRDefault="00846E32" w:rsidP="000447C6">
      <w:pPr>
        <w:pStyle w:val="Paragraph"/>
      </w:pPr>
      <w:r>
        <w:t xml:space="preserve">The most obvious </w:t>
      </w:r>
      <w:r w:rsidR="008B0BD2">
        <w:t>approach</w:t>
      </w:r>
      <w:r>
        <w:t xml:space="preserve"> for the disaggregation of geographic areas in the </w:t>
      </w:r>
      <w:r w:rsidR="001F67EB">
        <w:t xml:space="preserve">regional </w:t>
      </w:r>
      <w:r>
        <w:t>3.4</w:t>
      </w:r>
      <w:r w:rsidR="00484691">
        <w:t xml:space="preserve"> GHz </w:t>
      </w:r>
      <w:r w:rsidR="001F67EB">
        <w:t xml:space="preserve">band </w:t>
      </w:r>
      <w:r w:rsidR="00484691">
        <w:t xml:space="preserve">and </w:t>
      </w:r>
      <w:r>
        <w:t xml:space="preserve">3.7 GHz band </w:t>
      </w:r>
      <w:r w:rsidR="008B0BD2">
        <w:t>is</w:t>
      </w:r>
      <w:r>
        <w:t xml:space="preserve"> to align the geographic boundaries with those applicable to the 3400</w:t>
      </w:r>
      <w:r w:rsidR="00563F4F">
        <w:t>–</w:t>
      </w:r>
      <w:r>
        <w:t>3575 MHz spectrum licences</w:t>
      </w:r>
      <w:r w:rsidR="00A25F5E">
        <w:t>, the conversion of NBN Co’s apparatus licences to spectrum licences,</w:t>
      </w:r>
      <w:r>
        <w:t xml:space="preserve"> or the 3.6 GHz band spectrum licences.</w:t>
      </w:r>
    </w:p>
    <w:p w14:paraId="6FD0AA5B" w14:textId="09291E63" w:rsidR="00846E32" w:rsidRDefault="00DF0BEE" w:rsidP="000447C6">
      <w:pPr>
        <w:pStyle w:val="Paragraph"/>
      </w:pPr>
      <w:r>
        <w:t xml:space="preserve">The geographic areas </w:t>
      </w:r>
      <w:r w:rsidR="00506A58">
        <w:t xml:space="preserve">applicable to </w:t>
      </w:r>
      <w:r w:rsidR="003A60D0">
        <w:t xml:space="preserve">spectrum in the </w:t>
      </w:r>
      <w:r w:rsidR="00506A58">
        <w:t>3400</w:t>
      </w:r>
      <w:r w:rsidR="004A59E9">
        <w:t>–</w:t>
      </w:r>
      <w:r w:rsidR="00506A58">
        <w:t>3575</w:t>
      </w:r>
      <w:r w:rsidR="00116BDD">
        <w:t xml:space="preserve"> </w:t>
      </w:r>
      <w:r w:rsidR="00506A58">
        <w:t xml:space="preserve">MHz </w:t>
      </w:r>
      <w:r w:rsidR="00C53130">
        <w:t>frequency range</w:t>
      </w:r>
      <w:r w:rsidR="00A53245">
        <w:t xml:space="preserve">, </w:t>
      </w:r>
      <w:r w:rsidR="00C53130">
        <w:t>auctioned</w:t>
      </w:r>
      <w:r w:rsidR="00A53245">
        <w:t xml:space="preserve"> in 2000 (the 2000 auction),</w:t>
      </w:r>
      <w:r w:rsidR="00506A58">
        <w:t xml:space="preserve"> </w:t>
      </w:r>
      <w:r w:rsidR="00116BDD">
        <w:t xml:space="preserve">are shown </w:t>
      </w:r>
      <w:r w:rsidR="00116BDD" w:rsidRPr="0041126B">
        <w:t xml:space="preserve">in Figure </w:t>
      </w:r>
      <w:r w:rsidR="00C96113" w:rsidRPr="0041126B">
        <w:t>20</w:t>
      </w:r>
      <w:r w:rsidR="00116BDD">
        <w:t xml:space="preserve">. </w:t>
      </w:r>
      <w:r w:rsidR="00627BA7">
        <w:t>The 3400</w:t>
      </w:r>
      <w:r w:rsidR="004A59E9">
        <w:t>–</w:t>
      </w:r>
      <w:r w:rsidR="006765D3">
        <w:t>3575</w:t>
      </w:r>
      <w:r w:rsidR="008F0D51">
        <w:t> </w:t>
      </w:r>
      <w:r w:rsidR="006765D3">
        <w:t>MHz band is adjacent to the</w:t>
      </w:r>
      <w:r w:rsidR="008F334F">
        <w:t xml:space="preserve"> regional</w:t>
      </w:r>
      <w:r w:rsidR="006765D3">
        <w:t xml:space="preserve"> 3.4 GHz band spectrum on offer.</w:t>
      </w:r>
    </w:p>
    <w:p w14:paraId="3FAB1CFC" w14:textId="5FF6005A" w:rsidR="0018727C" w:rsidRDefault="0018727C" w:rsidP="00DA7FEA">
      <w:pPr>
        <w:pStyle w:val="Figureheading"/>
      </w:pPr>
      <w:r>
        <w:t>Map of geographic areas for 3400</w:t>
      </w:r>
      <w:r w:rsidR="004A59E9">
        <w:t>–</w:t>
      </w:r>
      <w:r>
        <w:t xml:space="preserve">3575 MHz band </w:t>
      </w:r>
      <w:r w:rsidR="00FB4A40">
        <w:t>auction</w:t>
      </w:r>
      <w:r>
        <w:t xml:space="preserve"> in 200</w:t>
      </w:r>
      <w:r w:rsidR="00664A2B">
        <w:t>0</w:t>
      </w:r>
    </w:p>
    <w:p w14:paraId="76100B89" w14:textId="4E96162E" w:rsidR="0018727C" w:rsidRDefault="0018727C" w:rsidP="004A2F00">
      <w:pPr>
        <w:pStyle w:val="Paragraph"/>
        <w:spacing w:after="0"/>
      </w:pPr>
      <w:r w:rsidRPr="0018727C">
        <w:rPr>
          <w:noProof/>
        </w:rPr>
        <w:drawing>
          <wp:inline distT="0" distB="0" distL="0" distR="0" wp14:anchorId="65A8E927" wp14:editId="6A74BC81">
            <wp:extent cx="4105275" cy="3155362"/>
            <wp:effectExtent l="0" t="0" r="0" b="6985"/>
            <wp:docPr id="33" name="Picture 33"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If you need help accessing or reading this diagram, please contact the ACMA's Customer Service Centre by phone on 1300 850 115 or by email at info@acma.gov.au"/>
                    <pic:cNvPicPr>
                      <a:picLocks noChangeAspect="1" noChangeArrowheads="1"/>
                    </pic:cNvPicPr>
                  </pic:nvPicPr>
                  <pic:blipFill rotWithShape="1">
                    <a:blip r:embed="rId98">
                      <a:extLst>
                        <a:ext uri="{28A0092B-C50C-407E-A947-70E740481C1C}">
                          <a14:useLocalDpi xmlns:a14="http://schemas.microsoft.com/office/drawing/2010/main" val="0"/>
                        </a:ext>
                      </a:extLst>
                    </a:blip>
                    <a:srcRect r="2816" b="5242"/>
                    <a:stretch/>
                  </pic:blipFill>
                  <pic:spPr bwMode="auto">
                    <a:xfrm>
                      <a:off x="0" y="0"/>
                      <a:ext cx="4108610" cy="3157925"/>
                    </a:xfrm>
                    <a:prstGeom prst="rect">
                      <a:avLst/>
                    </a:prstGeom>
                    <a:noFill/>
                    <a:ln>
                      <a:noFill/>
                    </a:ln>
                    <a:extLst>
                      <a:ext uri="{53640926-AAD7-44D8-BBD7-CCE9431645EC}">
                        <a14:shadowObscured xmlns:a14="http://schemas.microsoft.com/office/drawing/2010/main"/>
                      </a:ext>
                    </a:extLst>
                  </pic:spPr>
                </pic:pic>
              </a:graphicData>
            </a:graphic>
          </wp:inline>
        </w:drawing>
      </w:r>
    </w:p>
    <w:p w14:paraId="18357C33" w14:textId="04B90870" w:rsidR="009B1BD1" w:rsidRDefault="009B1BD1" w:rsidP="009A0FE7">
      <w:pPr>
        <w:pStyle w:val="Paragraphbeforelist"/>
      </w:pPr>
    </w:p>
    <w:p w14:paraId="5280EF8A" w14:textId="6FDC050B" w:rsidR="009A0FE7" w:rsidRDefault="009A0FE7" w:rsidP="009A0FE7">
      <w:pPr>
        <w:pStyle w:val="Paragraphbeforelist"/>
      </w:pPr>
      <w:r>
        <w:t>We consider there may be some benefits to adopting the 3400</w:t>
      </w:r>
      <w:r w:rsidR="004A59E9">
        <w:t>–</w:t>
      </w:r>
      <w:r>
        <w:t>3575 MHz geographic areas:</w:t>
      </w:r>
    </w:p>
    <w:p w14:paraId="7317B8E5" w14:textId="55B40462" w:rsidR="009A0FE7" w:rsidRDefault="004A59E9" w:rsidP="009A0FE7">
      <w:pPr>
        <w:pStyle w:val="Bulletlevel1"/>
      </w:pPr>
      <w:r>
        <w:t>a</w:t>
      </w:r>
      <w:r w:rsidR="009A0FE7">
        <w:t>lignment of geographic boundaries may facilitate trading and an easier defragmentation process in the future</w:t>
      </w:r>
    </w:p>
    <w:p w14:paraId="692770C0" w14:textId="773B661C" w:rsidR="009A0FE7" w:rsidRDefault="009A0FE7" w:rsidP="00DA7FEA">
      <w:pPr>
        <w:pStyle w:val="Bulletlevel1last"/>
      </w:pPr>
      <w:r>
        <w:t>particular</w:t>
      </w:r>
      <w:r w:rsidR="004A59E9">
        <w:t>ly</w:t>
      </w:r>
      <w:r>
        <w:t xml:space="preserve"> for existing licensees in the 3400</w:t>
      </w:r>
      <w:r w:rsidR="004A59E9">
        <w:t>–</w:t>
      </w:r>
      <w:r>
        <w:t xml:space="preserve">3575 MHz </w:t>
      </w:r>
      <w:r w:rsidR="00AA3B35">
        <w:t>frequency range</w:t>
      </w:r>
      <w:r>
        <w:t xml:space="preserve">, bidders may acquire spectrum </w:t>
      </w:r>
      <w:r w:rsidR="004A59E9">
        <w:t xml:space="preserve">that </w:t>
      </w:r>
      <w:r>
        <w:t xml:space="preserve">is geographically contiguous </w:t>
      </w:r>
      <w:r w:rsidR="00D47D58">
        <w:t xml:space="preserve">with </w:t>
      </w:r>
      <w:r>
        <w:t>their existing holdings, supplement</w:t>
      </w:r>
      <w:r w:rsidR="000674A0">
        <w:t>ing</w:t>
      </w:r>
      <w:r>
        <w:t xml:space="preserve"> their existing holdings to cater for standard channel bandwidths. </w:t>
      </w:r>
    </w:p>
    <w:p w14:paraId="6D156197" w14:textId="0CC21D4A" w:rsidR="0056391D" w:rsidDel="00D61C3F" w:rsidRDefault="00503DB4" w:rsidP="00E73F33">
      <w:pPr>
        <w:pStyle w:val="Paragraph"/>
      </w:pPr>
      <w:r>
        <w:t>However, w</w:t>
      </w:r>
      <w:r w:rsidR="00300DB0" w:rsidDel="00D61C3F">
        <w:t xml:space="preserve">hile regional areas </w:t>
      </w:r>
      <w:r w:rsidR="000D3E63">
        <w:t>from the 200</w:t>
      </w:r>
      <w:r w:rsidR="00080211">
        <w:t xml:space="preserve">0 auction </w:t>
      </w:r>
      <w:r w:rsidR="00300DB0" w:rsidDel="00D61C3F">
        <w:t>are disaggregated</w:t>
      </w:r>
      <w:r w:rsidR="004D6F45" w:rsidDel="00D61C3F">
        <w:t>, industry responses to 3.6 GHz band planning and auction processes indicate that demand in regional areas may be more granular</w:t>
      </w:r>
      <w:r w:rsidR="00D04130" w:rsidDel="00D61C3F">
        <w:t xml:space="preserve"> than the </w:t>
      </w:r>
      <w:r w:rsidR="00627BA7" w:rsidDel="00D61C3F">
        <w:t>regional areas</w:t>
      </w:r>
      <w:r w:rsidR="00D04130" w:rsidDel="00D61C3F">
        <w:t xml:space="preserve"> for the 3400</w:t>
      </w:r>
      <w:r w:rsidR="004A59E9">
        <w:t>–</w:t>
      </w:r>
      <w:r w:rsidR="00D04130" w:rsidDel="00D61C3F">
        <w:t>3575 MHz band.</w:t>
      </w:r>
      <w:r w:rsidR="006471D4" w:rsidDel="00D61C3F">
        <w:t xml:space="preserve"> Therefore, </w:t>
      </w:r>
      <w:r w:rsidR="00634EC9" w:rsidDel="00D61C3F">
        <w:t>the 3400</w:t>
      </w:r>
      <w:r w:rsidR="004A59E9">
        <w:t>–</w:t>
      </w:r>
      <w:r w:rsidR="00634EC9" w:rsidDel="00D61C3F">
        <w:t xml:space="preserve">3575 MHz </w:t>
      </w:r>
      <w:r w:rsidR="00AA3B35">
        <w:t>frequency range</w:t>
      </w:r>
      <w:r w:rsidR="00634EC9" w:rsidDel="00D61C3F">
        <w:t xml:space="preserve"> boundaries may not be suitable</w:t>
      </w:r>
      <w:r w:rsidR="00321F75">
        <w:t xml:space="preserve"> for </w:t>
      </w:r>
      <w:r w:rsidR="001E5BB0">
        <w:t>all of the spectrum proposed for re-allocation</w:t>
      </w:r>
      <w:r w:rsidR="00634EC9" w:rsidDel="00D61C3F">
        <w:t>.</w:t>
      </w:r>
    </w:p>
    <w:p w14:paraId="35D5C395" w14:textId="732CCEC6" w:rsidR="0036170A" w:rsidRDefault="00AA5CFB" w:rsidP="00E73F33">
      <w:pPr>
        <w:pStyle w:val="Paragraph"/>
      </w:pPr>
      <w:r>
        <w:t>Alternatively, we may consider t</w:t>
      </w:r>
      <w:r w:rsidR="0036170A">
        <w:t xml:space="preserve">he </w:t>
      </w:r>
      <w:r w:rsidR="006F2ADA">
        <w:t>geographic</w:t>
      </w:r>
      <w:r w:rsidR="0036170A">
        <w:t xml:space="preserve"> areas </w:t>
      </w:r>
      <w:r w:rsidR="006F2ADA">
        <w:t>associated</w:t>
      </w:r>
      <w:r w:rsidR="0036170A">
        <w:t xml:space="preserve"> with t</w:t>
      </w:r>
      <w:r w:rsidR="006F2ADA">
        <w:t xml:space="preserve">he conversion of NBN Co </w:t>
      </w:r>
      <w:r w:rsidR="00A54874">
        <w:t>apparatus</w:t>
      </w:r>
      <w:r w:rsidR="006F2ADA">
        <w:t xml:space="preserve"> licences </w:t>
      </w:r>
      <w:r w:rsidR="00A54874">
        <w:t>to spectrum licences in the 3.4 GHz band</w:t>
      </w:r>
      <w:r>
        <w:t>,</w:t>
      </w:r>
      <w:r w:rsidR="00A54874">
        <w:t xml:space="preserve"> </w:t>
      </w:r>
      <w:r w:rsidR="004A59E9">
        <w:t xml:space="preserve">as </w:t>
      </w:r>
      <w:r w:rsidR="00A54874">
        <w:t xml:space="preserve">shown in </w:t>
      </w:r>
      <w:r w:rsidR="00A54874" w:rsidRPr="0041126B">
        <w:t xml:space="preserve">Figure </w:t>
      </w:r>
      <w:r w:rsidR="00C96113" w:rsidRPr="0041126B">
        <w:t>21</w:t>
      </w:r>
      <w:r w:rsidR="00A54874">
        <w:t>.</w:t>
      </w:r>
      <w:r w:rsidR="004513DC">
        <w:t xml:space="preserve"> These areas</w:t>
      </w:r>
      <w:r w:rsidR="00D47D58">
        <w:t xml:space="preserve"> are</w:t>
      </w:r>
      <w:r w:rsidR="004513DC">
        <w:t xml:space="preserve"> </w:t>
      </w:r>
      <w:r w:rsidR="00AB5D5F">
        <w:t>similar to</w:t>
      </w:r>
      <w:r w:rsidR="00B10D9E">
        <w:t xml:space="preserve"> some of the areas proposed for re-allocation in the 3.4 GHz band</w:t>
      </w:r>
      <w:r w:rsidR="00AB5D5F">
        <w:t>.</w:t>
      </w:r>
      <w:r w:rsidR="00B8797C">
        <w:t xml:space="preserve"> </w:t>
      </w:r>
    </w:p>
    <w:p w14:paraId="23220A46" w14:textId="51D1B6C5" w:rsidR="00A93DE9" w:rsidRDefault="00A93DE9" w:rsidP="00A93DE9">
      <w:pPr>
        <w:pStyle w:val="Figureheading"/>
      </w:pPr>
      <w:r>
        <w:t xml:space="preserve">Map of geographic area </w:t>
      </w:r>
      <w:r w:rsidR="00386DAF">
        <w:t xml:space="preserve">converted to spectrum licensing for NBN Co in the </w:t>
      </w:r>
      <w:r>
        <w:t>3.4 GHz band in 20</w:t>
      </w:r>
      <w:r w:rsidR="00386DAF">
        <w:t>21</w:t>
      </w:r>
    </w:p>
    <w:p w14:paraId="56B9AE21" w14:textId="749C7D80" w:rsidR="00A93DE9" w:rsidRDefault="00A93DE9" w:rsidP="00E73F33">
      <w:pPr>
        <w:pStyle w:val="Paragraph"/>
      </w:pPr>
      <w:r>
        <w:rPr>
          <w:noProof/>
        </w:rPr>
        <w:drawing>
          <wp:inline distT="0" distB="0" distL="0" distR="0" wp14:anchorId="2719D138" wp14:editId="6118D236">
            <wp:extent cx="3873261" cy="3530923"/>
            <wp:effectExtent l="0" t="0" r="0" b="0"/>
            <wp:docPr id="4" name="Picture 4"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f you need help accessing or reading this diagram, please contact the ACMA's Customer Service Centre by phone on 1300 850 115 or by email at info@acma.gov.au"/>
                    <pic:cNvPicPr/>
                  </pic:nvPicPr>
                  <pic:blipFill>
                    <a:blip r:embed="rId99">
                      <a:extLst>
                        <a:ext uri="{28A0092B-C50C-407E-A947-70E740481C1C}">
                          <a14:useLocalDpi xmlns:a14="http://schemas.microsoft.com/office/drawing/2010/main" val="0"/>
                        </a:ext>
                      </a:extLst>
                    </a:blip>
                    <a:stretch>
                      <a:fillRect/>
                    </a:stretch>
                  </pic:blipFill>
                  <pic:spPr>
                    <a:xfrm>
                      <a:off x="0" y="0"/>
                      <a:ext cx="3880951" cy="3537933"/>
                    </a:xfrm>
                    <a:prstGeom prst="rect">
                      <a:avLst/>
                    </a:prstGeom>
                  </pic:spPr>
                </pic:pic>
              </a:graphicData>
            </a:graphic>
          </wp:inline>
        </w:drawing>
      </w:r>
    </w:p>
    <w:p w14:paraId="3E4B9079" w14:textId="0646A5C5" w:rsidR="00F810A9" w:rsidRDefault="00F810A9" w:rsidP="00E73F33">
      <w:pPr>
        <w:pStyle w:val="Paragraph"/>
      </w:pPr>
      <w:r>
        <w:t xml:space="preserve">The areas </w:t>
      </w:r>
      <w:r w:rsidRPr="0041126B">
        <w:t xml:space="preserve">in Figure </w:t>
      </w:r>
      <w:r w:rsidR="00D57BC7" w:rsidRPr="0041126B">
        <w:t>21</w:t>
      </w:r>
      <w:r>
        <w:t xml:space="preserve"> also encompass the urban excise areas.</w:t>
      </w:r>
    </w:p>
    <w:p w14:paraId="37E3EF3D" w14:textId="4FEBD4D2" w:rsidR="005D3FBB" w:rsidRDefault="005D3FBB" w:rsidP="00E73F33">
      <w:pPr>
        <w:pStyle w:val="Paragraph"/>
      </w:pPr>
      <w:r>
        <w:t>If we use this approach, we may offer regional areas on a more disaggregated basis than those used in the 2000 auction. This may address</w:t>
      </w:r>
      <w:r w:rsidR="00BE110F">
        <w:t xml:space="preserve"> whether bidders express more granular regional demand.</w:t>
      </w:r>
    </w:p>
    <w:p w14:paraId="3E694A27" w14:textId="5060D026" w:rsidR="00E73F33" w:rsidRDefault="00E73F33" w:rsidP="00E73F33">
      <w:pPr>
        <w:pStyle w:val="Paragraph"/>
      </w:pPr>
      <w:r>
        <w:t xml:space="preserve">The geographic areas applicable to 3.6 GHz band spectrum </w:t>
      </w:r>
      <w:r w:rsidR="00946274">
        <w:t>(allocated at auction in 2018)</w:t>
      </w:r>
      <w:r>
        <w:t xml:space="preserve"> </w:t>
      </w:r>
      <w:r w:rsidR="00627BA7">
        <w:t>are</w:t>
      </w:r>
      <w:r>
        <w:t xml:space="preserve"> </w:t>
      </w:r>
      <w:r w:rsidRPr="0041126B">
        <w:t xml:space="preserve">shown in Figure </w:t>
      </w:r>
      <w:r w:rsidR="00D57BC7" w:rsidRPr="0041126B">
        <w:t>22</w:t>
      </w:r>
      <w:r w:rsidR="002550CA">
        <w:t xml:space="preserve">. </w:t>
      </w:r>
      <w:r w:rsidR="0062782A">
        <w:t>The</w:t>
      </w:r>
      <w:r w:rsidR="002753ED">
        <w:t xml:space="preserve"> 3.6 GHz band spectrum licences are </w:t>
      </w:r>
      <w:r w:rsidR="00A0712E">
        <w:t>adjacent to</w:t>
      </w:r>
      <w:r w:rsidR="002753ED">
        <w:t xml:space="preserve"> the 3.4 GHz and 3.7</w:t>
      </w:r>
      <w:r w:rsidR="00D4051B">
        <w:t> </w:t>
      </w:r>
      <w:r w:rsidR="002753ED">
        <w:t>GHz band spectrum proposed for re-allocation</w:t>
      </w:r>
      <w:r w:rsidR="0062782A">
        <w:t xml:space="preserve">. </w:t>
      </w:r>
    </w:p>
    <w:p w14:paraId="35AAF2EA" w14:textId="4926903B" w:rsidR="00E73F33" w:rsidRDefault="00E73F33" w:rsidP="00E73F33">
      <w:pPr>
        <w:pStyle w:val="Figureheading"/>
      </w:pPr>
      <w:r>
        <w:t>Map of geographic areas for 3.6 GHz band auction in 2018</w:t>
      </w:r>
    </w:p>
    <w:p w14:paraId="2A715017" w14:textId="4C2B1DD5" w:rsidR="00E73F33" w:rsidRDefault="00E73F33" w:rsidP="00E73F33">
      <w:pPr>
        <w:pStyle w:val="Paragraph"/>
      </w:pPr>
      <w:r w:rsidRPr="00E73F33">
        <w:rPr>
          <w:noProof/>
        </w:rPr>
        <w:drawing>
          <wp:inline distT="0" distB="0" distL="0" distR="0" wp14:anchorId="3F24DB44" wp14:editId="2C8BF491">
            <wp:extent cx="4106878" cy="3441939"/>
            <wp:effectExtent l="0" t="0" r="8255" b="6350"/>
            <wp:docPr id="34" name="Picture 34" descr="If you need help accessing or reading this diagram, please contact the ACMA's Customer Service Centre by phone on 1300 850 115 or by email at info@acma.gov.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If you need help accessing or reading this diagram, please contact the ACMA's Customer Service Centre by phone on 1300 850 115 or by email at info@acma.gov.au"/>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20376" cy="3453252"/>
                    </a:xfrm>
                    <a:prstGeom prst="rect">
                      <a:avLst/>
                    </a:prstGeom>
                    <a:noFill/>
                    <a:ln>
                      <a:noFill/>
                    </a:ln>
                  </pic:spPr>
                </pic:pic>
              </a:graphicData>
            </a:graphic>
          </wp:inline>
        </w:drawing>
      </w:r>
    </w:p>
    <w:p w14:paraId="3F04F722" w14:textId="62E8F20D" w:rsidR="00E73F33" w:rsidRPr="00E73F33" w:rsidRDefault="00E73F33" w:rsidP="00DA7FEA">
      <w:pPr>
        <w:pStyle w:val="Paragraph"/>
      </w:pPr>
      <w:r w:rsidRPr="00E73F33">
        <w:rPr>
          <w:noProof/>
        </w:rPr>
        <w:drawing>
          <wp:inline distT="0" distB="0" distL="0" distR="0" wp14:anchorId="533E4873" wp14:editId="504197AB">
            <wp:extent cx="4871085" cy="2967990"/>
            <wp:effectExtent l="0" t="0" r="5715" b="3810"/>
            <wp:docPr id="35" name="Picture 35" descr="key to map in Fig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key to map in Figure 2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71085" cy="2967990"/>
                    </a:xfrm>
                    <a:prstGeom prst="rect">
                      <a:avLst/>
                    </a:prstGeom>
                    <a:noFill/>
                    <a:ln>
                      <a:noFill/>
                    </a:ln>
                  </pic:spPr>
                </pic:pic>
              </a:graphicData>
            </a:graphic>
          </wp:inline>
        </w:drawing>
      </w:r>
    </w:p>
    <w:p w14:paraId="789B2B47" w14:textId="5B40C87E" w:rsidR="001B3C2E" w:rsidRDefault="009A0FE7" w:rsidP="009F07B4">
      <w:pPr>
        <w:pStyle w:val="Paragraphbeforelist"/>
      </w:pPr>
      <w:r>
        <w:t>If we use geographic areas</w:t>
      </w:r>
      <w:r w:rsidR="00B542C1">
        <w:t xml:space="preserve"> </w:t>
      </w:r>
      <w:r w:rsidR="002F7F80">
        <w:t xml:space="preserve">that </w:t>
      </w:r>
      <w:r w:rsidR="00B542C1">
        <w:t>are more disaggregated than those used in the 2000 auction</w:t>
      </w:r>
      <w:r w:rsidR="00656026">
        <w:t xml:space="preserve"> (such as those used for the conversion of NBN Co’s apparatus licences in 2021 and in the 3.6 GHz band auction)</w:t>
      </w:r>
      <w:r>
        <w:t>, w</w:t>
      </w:r>
      <w:r w:rsidR="0062782A">
        <w:t xml:space="preserve">e consider </w:t>
      </w:r>
      <w:r w:rsidR="008B0BD2">
        <w:t xml:space="preserve">all of the benefits of using </w:t>
      </w:r>
      <w:r w:rsidR="00C53B4C">
        <w:t>those</w:t>
      </w:r>
      <w:r w:rsidR="008B0BD2">
        <w:t xml:space="preserve"> boundaries carry </w:t>
      </w:r>
      <w:r>
        <w:t>over</w:t>
      </w:r>
      <w:r w:rsidR="004171F7">
        <w:t>:</w:t>
      </w:r>
    </w:p>
    <w:p w14:paraId="695B02D0" w14:textId="29787B84" w:rsidR="00D06BCA" w:rsidRDefault="00D06BCA" w:rsidP="00D06BCA">
      <w:pPr>
        <w:pStyle w:val="Bulletlevel1"/>
      </w:pPr>
      <w:r>
        <w:t xml:space="preserve">Alignment with current 3.6 GHz band boundaries </w:t>
      </w:r>
      <w:r w:rsidR="009A0FE7">
        <w:t xml:space="preserve">will </w:t>
      </w:r>
      <w:r>
        <w:t xml:space="preserve">facilitate </w:t>
      </w:r>
      <w:r w:rsidR="0018554A">
        <w:t xml:space="preserve">trading and </w:t>
      </w:r>
      <w:r>
        <w:t>defragmentation across the 3400-3800 MHz band. We configured the 3.6 GHz band metropolitan boundaries to also reflect the 3.4 GHz band metropolitan holdings. If we adopt the 3.6 GHz band boundaries, metropolitan boundaries across the 3400</w:t>
      </w:r>
      <w:r w:rsidR="002F7F80">
        <w:t>–</w:t>
      </w:r>
      <w:r>
        <w:t xml:space="preserve">3800 MHz band (subject to this consultation) will be uniform. </w:t>
      </w:r>
    </w:p>
    <w:p w14:paraId="59021194" w14:textId="10BDD5AF" w:rsidR="0056391D" w:rsidRDefault="0056391D" w:rsidP="0056391D">
      <w:pPr>
        <w:pStyle w:val="Bulletlevel1last"/>
      </w:pPr>
      <w:r>
        <w:t>Licensees in the 3400</w:t>
      </w:r>
      <w:r w:rsidR="002F7F80">
        <w:t>–</w:t>
      </w:r>
      <w:r>
        <w:t xml:space="preserve">3575 MHz </w:t>
      </w:r>
      <w:r w:rsidR="00B32B73">
        <w:t xml:space="preserve">frequency range </w:t>
      </w:r>
      <w:r>
        <w:t xml:space="preserve">and 3.6 GHz band will have the opportunity to acquire portions of spectrum </w:t>
      </w:r>
      <w:r w:rsidR="002F7F80">
        <w:t xml:space="preserve">that </w:t>
      </w:r>
      <w:r>
        <w:t xml:space="preserve">are contiguous with their existing holdings. </w:t>
      </w:r>
    </w:p>
    <w:p w14:paraId="424B2B0D" w14:textId="0B4008E3" w:rsidR="0056391D" w:rsidRDefault="0056391D" w:rsidP="00DA7FEA">
      <w:pPr>
        <w:pStyle w:val="Paragraphbeforelist"/>
      </w:pPr>
      <w:r>
        <w:t xml:space="preserve">Further benefits of adopting </w:t>
      </w:r>
      <w:r w:rsidR="00656026">
        <w:t xml:space="preserve">more disaggregated </w:t>
      </w:r>
      <w:r>
        <w:t xml:space="preserve">geographic </w:t>
      </w:r>
      <w:r w:rsidR="00656026">
        <w:t xml:space="preserve">areas </w:t>
      </w:r>
      <w:r>
        <w:t>include:</w:t>
      </w:r>
    </w:p>
    <w:p w14:paraId="4B453968" w14:textId="1996E27B" w:rsidR="004171F7" w:rsidRDefault="00964275" w:rsidP="004171F7">
      <w:pPr>
        <w:pStyle w:val="Bulletlevel1"/>
      </w:pPr>
      <w:r>
        <w:t>Based on the responses to our consultation on the 3.6 GHz band re-allocation declaration recommendation, we consider there may be targeted demand in different regional areas</w:t>
      </w:r>
      <w:r w:rsidR="001D3356">
        <w:t xml:space="preserve"> in </w:t>
      </w:r>
      <w:r w:rsidR="001D3356" w:rsidDel="009F22F1">
        <w:t xml:space="preserve">the </w:t>
      </w:r>
      <w:r w:rsidR="009F22F1">
        <w:t>3.4 GHz and 3.7 GHz bands</w:t>
      </w:r>
      <w:r>
        <w:t xml:space="preserve">. </w:t>
      </w:r>
      <w:r w:rsidR="009C524E">
        <w:t>A</w:t>
      </w:r>
      <w:r w:rsidR="006F3B85">
        <w:t xml:space="preserve"> disaggregated </w:t>
      </w:r>
      <w:r w:rsidR="007E2B19">
        <w:t xml:space="preserve">geographic </w:t>
      </w:r>
      <w:r w:rsidR="006F3B85">
        <w:t xml:space="preserve">configuration may facilitate the targeted deployment of services for specific areas, </w:t>
      </w:r>
      <w:r w:rsidR="00C50DB2">
        <w:t xml:space="preserve">or </w:t>
      </w:r>
      <w:r w:rsidR="006F3B85">
        <w:t xml:space="preserve">for </w:t>
      </w:r>
      <w:r w:rsidR="002F7F80">
        <w:t xml:space="preserve">different </w:t>
      </w:r>
      <w:r w:rsidR="006F3B85">
        <w:t>levels of capacity</w:t>
      </w:r>
      <w:r w:rsidR="009C524E">
        <w:t xml:space="preserve">, </w:t>
      </w:r>
      <w:r w:rsidR="00341B84">
        <w:t xml:space="preserve">reflecting differences in a bidder’s </w:t>
      </w:r>
      <w:r w:rsidR="00660093">
        <w:t>use-case</w:t>
      </w:r>
      <w:r w:rsidR="00341B84">
        <w:t xml:space="preserve"> </w:t>
      </w:r>
      <w:r w:rsidR="003424C1">
        <w:t>(</w:t>
      </w:r>
      <w:r w:rsidR="002F7F80">
        <w:t>for example,</w:t>
      </w:r>
      <w:r w:rsidR="003424C1">
        <w:t xml:space="preserve"> varying customer demand across geographic areas, existing holdings in the </w:t>
      </w:r>
      <w:r w:rsidR="00D82B41">
        <w:t>3400</w:t>
      </w:r>
      <w:r w:rsidR="002F7F80">
        <w:t>–</w:t>
      </w:r>
      <w:r w:rsidR="00D82B41">
        <w:t>3575 MHz</w:t>
      </w:r>
      <w:r w:rsidR="003424C1">
        <w:t xml:space="preserve"> </w:t>
      </w:r>
      <w:r w:rsidR="006C29D0">
        <w:t>frequency range</w:t>
      </w:r>
      <w:r w:rsidR="003424C1">
        <w:t xml:space="preserve"> and 3.6</w:t>
      </w:r>
      <w:r w:rsidR="00CB6333">
        <w:t> </w:t>
      </w:r>
      <w:r w:rsidR="003424C1">
        <w:t>GHz band)</w:t>
      </w:r>
      <w:r w:rsidR="00341B84">
        <w:t xml:space="preserve"> in each area.</w:t>
      </w:r>
      <w:r w:rsidR="006F3B85">
        <w:t xml:space="preserve"> </w:t>
      </w:r>
    </w:p>
    <w:p w14:paraId="7CB6C5B1" w14:textId="64FF9D2A" w:rsidR="00750ADA" w:rsidRDefault="00943296" w:rsidP="009F07B4">
      <w:pPr>
        <w:pStyle w:val="Bulletlevel1last"/>
      </w:pPr>
      <w:r>
        <w:t>If we decide t</w:t>
      </w:r>
      <w:r w:rsidRPr="002914E7">
        <w:t>o re-allocate t</w:t>
      </w:r>
      <w:r>
        <w:t xml:space="preserve">his spectrum, and </w:t>
      </w:r>
      <w:r w:rsidR="00A64334">
        <w:t xml:space="preserve">we decide to impose </w:t>
      </w:r>
      <w:r>
        <w:t xml:space="preserve">allocation limits </w:t>
      </w:r>
      <w:r w:rsidR="00A64334">
        <w:t>based on advice received from the ACCC</w:t>
      </w:r>
      <w:r w:rsidR="00867FD7">
        <w:t xml:space="preserve">, </w:t>
      </w:r>
      <w:r w:rsidR="00D06BCA">
        <w:t>applying uniform geographic boundaries across the 3400</w:t>
      </w:r>
      <w:r w:rsidR="002F7F80">
        <w:t>–</w:t>
      </w:r>
      <w:r w:rsidR="00D06BCA">
        <w:t xml:space="preserve">3800 MHz band will </w:t>
      </w:r>
      <w:r w:rsidR="009C6733">
        <w:t>simplify</w:t>
      </w:r>
      <w:r w:rsidR="00D06BCA">
        <w:t xml:space="preserve"> the </w:t>
      </w:r>
      <w:r w:rsidR="009C6733">
        <w:t>application of those allocation limits.</w:t>
      </w:r>
    </w:p>
    <w:p w14:paraId="69173812" w14:textId="440B3049" w:rsidR="00AB421E" w:rsidRDefault="00AB421E" w:rsidP="00EF33B3">
      <w:pPr>
        <w:pStyle w:val="Paragraph"/>
      </w:pPr>
      <w:r>
        <w:t>We consider</w:t>
      </w:r>
      <w:r w:rsidR="00473D3C">
        <w:t xml:space="preserve"> that if granular regional demand exists,</w:t>
      </w:r>
      <w:r>
        <w:t xml:space="preserve"> more disaggregation in regional areas will address the objective</w:t>
      </w:r>
      <w:r w:rsidR="00BF50D1">
        <w:t xml:space="preserve"> in the MPS</w:t>
      </w:r>
      <w:r>
        <w:t xml:space="preserve"> to </w:t>
      </w:r>
      <w:r w:rsidR="00473D3C">
        <w:t>support digital connectivity and investment in regional Australia.</w:t>
      </w:r>
    </w:p>
    <w:p w14:paraId="243AE867" w14:textId="649221D5" w:rsidR="00A40631" w:rsidRPr="00F644EC" w:rsidRDefault="0042552C" w:rsidP="00E640D3">
      <w:pPr>
        <w:pStyle w:val="Heading3"/>
      </w:pPr>
      <w:r>
        <w:t>Differen</w:t>
      </w:r>
      <w:r w:rsidR="00265313">
        <w:t>t</w:t>
      </w:r>
      <w:r>
        <w:t xml:space="preserve"> </w:t>
      </w:r>
      <w:r w:rsidR="00E26A5A">
        <w:t>geographic</w:t>
      </w:r>
      <w:r>
        <w:t xml:space="preserve"> areas for the</w:t>
      </w:r>
      <w:r w:rsidR="00A40631">
        <w:t xml:space="preserve"> 3.4 GHz band and 3.7 GHz band</w:t>
      </w:r>
    </w:p>
    <w:p w14:paraId="1CDB4F09" w14:textId="34B31CC4" w:rsidR="00730949" w:rsidRDefault="006C60DB" w:rsidP="00F644EC">
      <w:pPr>
        <w:pStyle w:val="Paragraph"/>
      </w:pPr>
      <w:r w:rsidRPr="0041126B">
        <w:t xml:space="preserve">Figures </w:t>
      </w:r>
      <w:r w:rsidR="00D57BC7" w:rsidRPr="0041126B">
        <w:t>19 to 22</w:t>
      </w:r>
      <w:r w:rsidR="005823DE" w:rsidRPr="0041126B">
        <w:t xml:space="preserve"> outline</w:t>
      </w:r>
      <w:r>
        <w:t xml:space="preserve"> different licence areas that exist in the 3400</w:t>
      </w:r>
      <w:r w:rsidR="002F7F80">
        <w:t>–</w:t>
      </w:r>
      <w:r>
        <w:t xml:space="preserve">3700 MHz </w:t>
      </w:r>
      <w:r w:rsidR="006C29D0">
        <w:t>frequency range</w:t>
      </w:r>
      <w:r w:rsidR="00D61A7F" w:rsidRPr="00F644EC">
        <w:t xml:space="preserve"> </w:t>
      </w:r>
      <w:r w:rsidR="002F7F80">
        <w:t>that</w:t>
      </w:r>
      <w:r w:rsidR="002F7F80" w:rsidRPr="00F644EC">
        <w:t xml:space="preserve"> </w:t>
      </w:r>
      <w:r w:rsidR="00D61A7F" w:rsidRPr="00F644EC">
        <w:t>could be used</w:t>
      </w:r>
      <w:r w:rsidR="00420B18">
        <w:t xml:space="preserve"> as the basis </w:t>
      </w:r>
      <w:r w:rsidR="00D61A7F" w:rsidRPr="00F644EC">
        <w:t>for the allocation of 3.4</w:t>
      </w:r>
      <w:r w:rsidR="00140A24">
        <w:t xml:space="preserve"> GHz and </w:t>
      </w:r>
      <w:r w:rsidR="00D61A7F" w:rsidRPr="00F644EC">
        <w:t>3.7</w:t>
      </w:r>
      <w:r w:rsidR="006C29D0">
        <w:t> </w:t>
      </w:r>
      <w:r w:rsidR="00D61A7F" w:rsidRPr="00F644EC">
        <w:t>GHz band spectrum</w:t>
      </w:r>
      <w:r w:rsidRPr="00F644EC">
        <w:t>.</w:t>
      </w:r>
      <w:r>
        <w:t xml:space="preserve"> The </w:t>
      </w:r>
      <w:r w:rsidR="00DC3725">
        <w:t xml:space="preserve">geographic </w:t>
      </w:r>
      <w:r>
        <w:t>areas available for allocation in the 3.4</w:t>
      </w:r>
      <w:r w:rsidR="006C29D0">
        <w:t> </w:t>
      </w:r>
      <w:r>
        <w:t>GHz and 3.7 GHz bands</w:t>
      </w:r>
      <w:r w:rsidR="00DC3725">
        <w:t xml:space="preserve"> </w:t>
      </w:r>
      <w:r w:rsidR="00FB50BB">
        <w:t xml:space="preserve">also </w:t>
      </w:r>
      <w:r w:rsidR="00DC3725">
        <w:t>differ depending on the frequency range</w:t>
      </w:r>
      <w:r w:rsidRPr="00F644EC">
        <w:t>.</w:t>
      </w:r>
      <w:r>
        <w:t xml:space="preserve"> For this reason</w:t>
      </w:r>
      <w:r w:rsidR="00DC3725">
        <w:t>,</w:t>
      </w:r>
      <w:r>
        <w:t xml:space="preserve"> it may be difficult to find a </w:t>
      </w:r>
      <w:r w:rsidR="00420B18">
        <w:t>single</w:t>
      </w:r>
      <w:r>
        <w:t xml:space="preserve"> </w:t>
      </w:r>
      <w:r w:rsidR="00730949">
        <w:t xml:space="preserve">approach to </w:t>
      </w:r>
      <w:r w:rsidR="00A324D2">
        <w:t xml:space="preserve">defining </w:t>
      </w:r>
      <w:r w:rsidR="00730949">
        <w:t>geographic areas</w:t>
      </w:r>
      <w:r w:rsidRPr="00F644EC">
        <w:t xml:space="preserve"> </w:t>
      </w:r>
      <w:r>
        <w:t xml:space="preserve">for the 3.4 GHz and 3.7 GHz bands. </w:t>
      </w:r>
    </w:p>
    <w:p w14:paraId="2264EE2C" w14:textId="20F5D66F" w:rsidR="00BC3202" w:rsidRDefault="007F7F26" w:rsidP="00F644EC">
      <w:pPr>
        <w:pStyle w:val="Paragraph"/>
      </w:pPr>
      <w:r>
        <w:t>Therefore</w:t>
      </w:r>
      <w:r w:rsidR="006C60DB">
        <w:t>, it may be more appropriate to consider different areas for the 3.4 GHz</w:t>
      </w:r>
      <w:r w:rsidR="00E26A5A">
        <w:t xml:space="preserve"> band</w:t>
      </w:r>
      <w:r w:rsidR="006C60DB">
        <w:t xml:space="preserve"> and 3.7 GHz band. For example</w:t>
      </w:r>
      <w:r w:rsidR="00B9289B">
        <w:t>,</w:t>
      </w:r>
      <w:r w:rsidR="006C60DB">
        <w:t xml:space="preserve"> the 3.6 GHz allocation areas could be considered for the 3700</w:t>
      </w:r>
      <w:r w:rsidR="002F7F80">
        <w:t>–</w:t>
      </w:r>
      <w:r w:rsidR="006C60DB">
        <w:t xml:space="preserve">3750 MHz </w:t>
      </w:r>
      <w:r w:rsidR="006C29D0">
        <w:t>frequency range</w:t>
      </w:r>
      <w:r w:rsidR="006C60DB">
        <w:t xml:space="preserve">, while areas that are more aligned with the 2000 auction (or existing spectrum licence holdings) and NBN Co conversion areas could be </w:t>
      </w:r>
      <w:r w:rsidR="00B9289B">
        <w:t>considered</w:t>
      </w:r>
      <w:r w:rsidR="006C60DB">
        <w:t xml:space="preserve"> for the 3.4 GHz band.</w:t>
      </w:r>
      <w:r w:rsidR="00E62D2C">
        <w:t xml:space="preserve"> </w:t>
      </w:r>
      <w:r w:rsidR="00BC3202">
        <w:t>We note that this may limit substitutability of the 3.4</w:t>
      </w:r>
      <w:r w:rsidR="00E62D2C">
        <w:t> </w:t>
      </w:r>
      <w:r w:rsidR="00BC3202">
        <w:t>GHz band with the 3.7 GHz band.</w:t>
      </w:r>
    </w:p>
    <w:p w14:paraId="1AE15633" w14:textId="40AED8ED" w:rsidR="002F45B6" w:rsidRPr="00496139" w:rsidRDefault="002F7F80" w:rsidP="00920DE7">
      <w:pPr>
        <w:pStyle w:val="Heading3"/>
        <w:pBdr>
          <w:top w:val="single" w:sz="4" w:space="1" w:color="auto"/>
          <w:left w:val="single" w:sz="4" w:space="1" w:color="auto"/>
          <w:bottom w:val="single" w:sz="4" w:space="1" w:color="auto"/>
          <w:right w:val="single" w:sz="4" w:space="1" w:color="auto"/>
        </w:pBdr>
        <w:shd w:val="clear" w:color="auto" w:fill="F2F2F2" w:themeFill="background1" w:themeFillShade="F2"/>
      </w:pPr>
      <w:r>
        <w:t xml:space="preserve">The </w:t>
      </w:r>
      <w:r w:rsidR="002F45B6">
        <w:t>ACMA’s</w:t>
      </w:r>
      <w:r w:rsidR="002F45B6" w:rsidRPr="00496139">
        <w:t xml:space="preserve"> view</w:t>
      </w:r>
      <w:r w:rsidR="005F6970">
        <w:t>: lot configuration (geography)</w:t>
      </w:r>
    </w:p>
    <w:p w14:paraId="1AF8F6E3" w14:textId="36A2F8A0" w:rsidR="002F45B6" w:rsidRPr="000B643A" w:rsidDel="001C0E17" w:rsidRDefault="002F45B6" w:rsidP="00920DE7">
      <w:pPr>
        <w:pStyle w:val="Paragraph"/>
        <w:pBdr>
          <w:top w:val="single" w:sz="4" w:space="1" w:color="auto"/>
          <w:left w:val="single" w:sz="4" w:space="1" w:color="auto"/>
          <w:bottom w:val="single" w:sz="4" w:space="1" w:color="auto"/>
          <w:right w:val="single" w:sz="4" w:space="1" w:color="auto"/>
        </w:pBdr>
        <w:shd w:val="clear" w:color="auto" w:fill="F2F2F2" w:themeFill="background1" w:themeFillShade="F2"/>
      </w:pPr>
      <w:r>
        <w:t xml:space="preserve">We </w:t>
      </w:r>
      <w:r w:rsidDel="001C0E17">
        <w:t xml:space="preserve">welcome submissions from stakeholders on the most appropriate geographic </w:t>
      </w:r>
      <w:r w:rsidR="00690B15">
        <w:t xml:space="preserve">area </w:t>
      </w:r>
      <w:r w:rsidDel="001C0E17">
        <w:t>configuration for the spectrum.</w:t>
      </w:r>
      <w:r w:rsidRPr="0098367A" w:rsidDel="001C0E17">
        <w:t xml:space="preserve"> </w:t>
      </w:r>
    </w:p>
    <w:p w14:paraId="2CA5BA51" w14:textId="5F91E42D" w:rsidR="00866F54" w:rsidRDefault="00866F54" w:rsidP="00CE37C2">
      <w:pPr>
        <w:pStyle w:val="Heading2"/>
      </w:pPr>
      <w:bookmarkStart w:id="61" w:name="_Toc96941000"/>
      <w:r>
        <w:t>Allocation methodology</w:t>
      </w:r>
      <w:bookmarkEnd w:id="61"/>
    </w:p>
    <w:p w14:paraId="2DB009A9" w14:textId="29E7D2AA" w:rsidR="009156C9" w:rsidRPr="00D56186" w:rsidRDefault="009156C9" w:rsidP="00866F54">
      <w:pPr>
        <w:pStyle w:val="Paragraph"/>
      </w:pPr>
      <w:r w:rsidRPr="00D56186">
        <w:t xml:space="preserve">If the </w:t>
      </w:r>
      <w:r w:rsidR="003546DD" w:rsidRPr="00ED3078">
        <w:t xml:space="preserve">ACMA </w:t>
      </w:r>
      <w:r w:rsidRPr="00D56186">
        <w:t xml:space="preserve">makes a </w:t>
      </w:r>
      <w:r w:rsidR="00DA3182" w:rsidRPr="00D56186">
        <w:t>re</w:t>
      </w:r>
      <w:r w:rsidR="00DA3182" w:rsidRPr="00D56186">
        <w:noBreakHyphen/>
        <w:t>allocation</w:t>
      </w:r>
      <w:r w:rsidRPr="00D56186">
        <w:t xml:space="preserve"> declaration specifying that the spectrum be re</w:t>
      </w:r>
      <w:r w:rsidR="00EC6D20" w:rsidRPr="00D56186">
        <w:noBreakHyphen/>
      </w:r>
      <w:r w:rsidRPr="00D56186">
        <w:t>allocated by issuing spectrum licences, then spectrum licences</w:t>
      </w:r>
      <w:r w:rsidR="002F7F80">
        <w:t xml:space="preserve"> must be allocated</w:t>
      </w:r>
      <w:r w:rsidRPr="00D56186">
        <w:t xml:space="preserve"> in accordance with section 60 of the Act</w:t>
      </w:r>
      <w:r w:rsidR="00362485" w:rsidRPr="00ED3078">
        <w:t xml:space="preserve"> – </w:t>
      </w:r>
      <w:r w:rsidRPr="00D56186">
        <w:t>that is</w:t>
      </w:r>
      <w:r w:rsidR="002F7F80">
        <w:t>,</w:t>
      </w:r>
      <w:r w:rsidR="00234517" w:rsidRPr="00D56186">
        <w:t xml:space="preserve"> via</w:t>
      </w:r>
      <w:r w:rsidRPr="00D56186">
        <w:t xml:space="preserve"> auction, tender</w:t>
      </w:r>
      <w:r w:rsidR="006513B2" w:rsidRPr="00ED3078">
        <w:t xml:space="preserve">, </w:t>
      </w:r>
      <w:r w:rsidRPr="00D56186">
        <w:t>for a predetermined or negotiated price</w:t>
      </w:r>
      <w:r w:rsidR="006513B2" w:rsidRPr="00ED3078">
        <w:t>, direct allocation, or a combination</w:t>
      </w:r>
      <w:r w:rsidR="009B5419" w:rsidRPr="00ED3078">
        <w:t xml:space="preserve"> of the listed methods</w:t>
      </w:r>
      <w:r w:rsidRPr="00D56186">
        <w:t>.</w:t>
      </w:r>
    </w:p>
    <w:p w14:paraId="5790193D" w14:textId="1D864040" w:rsidR="00C96991" w:rsidRPr="00D56186" w:rsidRDefault="00C96991" w:rsidP="00CE37C2">
      <w:pPr>
        <w:pStyle w:val="Paragraphbeforelist"/>
      </w:pPr>
      <w:r w:rsidRPr="00D56186">
        <w:t>As noted</w:t>
      </w:r>
      <w:r w:rsidR="00CA1DCA" w:rsidRPr="00D56186">
        <w:t xml:space="preserve"> above</w:t>
      </w:r>
      <w:r w:rsidRPr="00D56186">
        <w:t>, in allocating spectrum</w:t>
      </w:r>
      <w:r w:rsidR="00234517" w:rsidRPr="00D56186">
        <w:t xml:space="preserve">, </w:t>
      </w:r>
      <w:r w:rsidR="00970A60" w:rsidRPr="00D56186">
        <w:t>the ACMA is</w:t>
      </w:r>
      <w:r w:rsidRPr="00D56186">
        <w:t xml:space="preserve"> guided by the object of the</w:t>
      </w:r>
      <w:r w:rsidRPr="00D56186">
        <w:rPr>
          <w:i/>
        </w:rPr>
        <w:t xml:space="preserve"> </w:t>
      </w:r>
      <w:r w:rsidRPr="00D56186">
        <w:t>Act</w:t>
      </w:r>
      <w:r w:rsidR="001C449A" w:rsidRPr="00D56186">
        <w:t>,</w:t>
      </w:r>
      <w:r w:rsidR="008A1205" w:rsidRPr="00D56186">
        <w:t xml:space="preserve"> which is to promote the long-term </w:t>
      </w:r>
      <w:r w:rsidR="005D3583" w:rsidRPr="00ED3078">
        <w:t xml:space="preserve">public </w:t>
      </w:r>
      <w:r w:rsidR="008A1205" w:rsidRPr="00D56186">
        <w:t>interest derived from the use of spectrum</w:t>
      </w:r>
      <w:r w:rsidR="00DB6E94" w:rsidRPr="00D56186">
        <w:t xml:space="preserve">, with the </w:t>
      </w:r>
      <w:r w:rsidRPr="00D56186">
        <w:t>most relevant</w:t>
      </w:r>
      <w:r w:rsidR="001C449A" w:rsidRPr="00D56186">
        <w:t xml:space="preserve"> </w:t>
      </w:r>
      <w:r w:rsidR="00DB6E94" w:rsidRPr="00D56186">
        <w:t xml:space="preserve">aspects of spectrum management </w:t>
      </w:r>
      <w:r w:rsidR="001C449A" w:rsidRPr="00D56186">
        <w:t>being</w:t>
      </w:r>
      <w:r w:rsidR="00626511" w:rsidRPr="00D56186">
        <w:t xml:space="preserve"> to</w:t>
      </w:r>
      <w:r w:rsidRPr="00D56186">
        <w:t xml:space="preserve">: </w:t>
      </w:r>
    </w:p>
    <w:p w14:paraId="57FD8668" w14:textId="4619C784" w:rsidR="001C449A" w:rsidRPr="00D56186" w:rsidRDefault="004E6157" w:rsidP="001C449A">
      <w:pPr>
        <w:pStyle w:val="Bulletlevel1"/>
      </w:pPr>
      <w:r w:rsidRPr="00D56186">
        <w:t>facilitate the efficient planning, allocation and use of the spectrum</w:t>
      </w:r>
    </w:p>
    <w:p w14:paraId="3890F654" w14:textId="5472ED1F" w:rsidR="001C449A" w:rsidRPr="00D56186" w:rsidRDefault="001C449A" w:rsidP="001C449A">
      <w:pPr>
        <w:pStyle w:val="Bulletlevel1last"/>
      </w:pPr>
      <w:r w:rsidRPr="00D56186">
        <w:t xml:space="preserve">support the communications policy objectives of the </w:t>
      </w:r>
      <w:r w:rsidR="00812C12">
        <w:t>g</w:t>
      </w:r>
      <w:r w:rsidRPr="00D56186">
        <w:t>overnment</w:t>
      </w:r>
      <w:r w:rsidR="00A44A18">
        <w:t xml:space="preserve"> (noting that the minister has issued an MPS specifying policy objectives that the ACMA must have regard to </w:t>
      </w:r>
      <w:r w:rsidR="00581F7F">
        <w:t xml:space="preserve">when allocating </w:t>
      </w:r>
      <w:r w:rsidR="00A44A18">
        <w:t>the 3.4</w:t>
      </w:r>
      <w:r w:rsidR="00812C12">
        <w:rPr>
          <w:szCs w:val="20"/>
        </w:rPr>
        <w:t>–</w:t>
      </w:r>
      <w:r w:rsidR="00A44A18">
        <w:t>4.0 GHz band)</w:t>
      </w:r>
      <w:r w:rsidRPr="00D56186">
        <w:t>.</w:t>
      </w:r>
    </w:p>
    <w:p w14:paraId="4483F97A" w14:textId="32D1521D" w:rsidR="00FE5B7F" w:rsidRPr="00D56186" w:rsidRDefault="002F7F80" w:rsidP="000B643A">
      <w:pPr>
        <w:pStyle w:val="Paragraph"/>
      </w:pPr>
      <w:r>
        <w:t>If</w:t>
      </w:r>
      <w:r w:rsidRPr="00D56186">
        <w:t xml:space="preserve"> </w:t>
      </w:r>
      <w:r w:rsidR="00AD5978" w:rsidRPr="00D56186">
        <w:t xml:space="preserve">demand is likely to be greater than supply, market-based allocation (by auction or tender) is considered more appropriate than </w:t>
      </w:r>
      <w:r w:rsidR="005D3583" w:rsidRPr="00ED3078">
        <w:t xml:space="preserve">direct allocation or </w:t>
      </w:r>
      <w:r w:rsidR="00AD5978" w:rsidRPr="00D56186">
        <w:t xml:space="preserve">allocation </w:t>
      </w:r>
      <w:r w:rsidR="004C2429">
        <w:t>for</w:t>
      </w:r>
      <w:r w:rsidR="004C2429" w:rsidRPr="00D56186">
        <w:t xml:space="preserve"> </w:t>
      </w:r>
      <w:r w:rsidR="00AD5978" w:rsidRPr="00D56186">
        <w:t xml:space="preserve">a pre-determined or negotiated price. </w:t>
      </w:r>
      <w:r w:rsidR="00BC303B" w:rsidRPr="00D56186">
        <w:t xml:space="preserve">Market-based allocation has been shown to facilitate the efficient allocation of spectrum </w:t>
      </w:r>
      <w:r>
        <w:t>if</w:t>
      </w:r>
      <w:r w:rsidR="00BC303B" w:rsidRPr="00D56186">
        <w:t xml:space="preserve"> demand is </w:t>
      </w:r>
      <w:r w:rsidR="00107016" w:rsidRPr="00D56186">
        <w:t>expected to be significant</w:t>
      </w:r>
      <w:r w:rsidR="00F21F29" w:rsidRPr="00D56186">
        <w:t>,</w:t>
      </w:r>
      <w:r w:rsidR="00107016" w:rsidRPr="00D56186">
        <w:t xml:space="preserve"> but it is </w:t>
      </w:r>
      <w:r w:rsidR="00ED29E5" w:rsidRPr="00D56186">
        <w:t xml:space="preserve">uncertain </w:t>
      </w:r>
      <w:r w:rsidR="00107016" w:rsidRPr="00D56186">
        <w:t>which parties represent the highest value user</w:t>
      </w:r>
      <w:r w:rsidR="00770698" w:rsidRPr="00D56186">
        <w:t>s</w:t>
      </w:r>
      <w:r w:rsidR="00BC303B" w:rsidRPr="00D56186">
        <w:t>.</w:t>
      </w:r>
      <w:r w:rsidR="00ED29E5" w:rsidRPr="00D56186">
        <w:t xml:space="preserve"> </w:t>
      </w:r>
    </w:p>
    <w:p w14:paraId="0B1EFCF6" w14:textId="20CA6214" w:rsidR="00894152" w:rsidRPr="00B138CE" w:rsidRDefault="00894152" w:rsidP="00894152">
      <w:pPr>
        <w:pStyle w:val="Paragraph"/>
      </w:pPr>
      <w:r w:rsidRPr="00B138CE">
        <w:t>Demand is expected to exceed supply for spectrum</w:t>
      </w:r>
      <w:r w:rsidR="00055941" w:rsidRPr="00B138CE">
        <w:t xml:space="preserve"> licences</w:t>
      </w:r>
      <w:r w:rsidR="00DB5B8F" w:rsidRPr="00ED3078">
        <w:t xml:space="preserve"> </w:t>
      </w:r>
      <w:r w:rsidR="00B138CE" w:rsidRPr="00ED3078">
        <w:t>in the specific parts of the spectrum outline</w:t>
      </w:r>
      <w:r w:rsidR="00D776B4">
        <w:t>d</w:t>
      </w:r>
      <w:r w:rsidR="00B138CE" w:rsidRPr="00ED3078">
        <w:t xml:space="preserve"> in this consultation paper</w:t>
      </w:r>
      <w:r w:rsidR="00890EA8" w:rsidRPr="00B138CE">
        <w:t>, as potential users (including participa</w:t>
      </w:r>
      <w:r w:rsidR="002F7F80">
        <w:t>nts</w:t>
      </w:r>
      <w:r w:rsidR="00890EA8" w:rsidRPr="00B138CE">
        <w:t xml:space="preserve"> in the 3.6 GHz band auction)</w:t>
      </w:r>
      <w:r w:rsidR="00BC0E6A" w:rsidRPr="00B138CE">
        <w:t xml:space="preserve"> have outlined an interest in the spectrum for WA WBB and LA WBB </w:t>
      </w:r>
      <w:r w:rsidR="00660093">
        <w:t>use-case</w:t>
      </w:r>
      <w:r w:rsidR="00BC0E6A" w:rsidRPr="00B138CE">
        <w:t>s</w:t>
      </w:r>
      <w:r w:rsidRPr="00B138CE">
        <w:t xml:space="preserve">. </w:t>
      </w:r>
      <w:r w:rsidR="00055941" w:rsidRPr="00B138CE">
        <w:t xml:space="preserve">We therefore consider that a market-based allocation will be appropriate for the allocation. </w:t>
      </w:r>
    </w:p>
    <w:p w14:paraId="41228A60" w14:textId="1BB80D53" w:rsidR="003E6276" w:rsidRDefault="00F21F29" w:rsidP="00475A71">
      <w:r w:rsidRPr="00CF66BC">
        <w:t>We</w:t>
      </w:r>
      <w:r w:rsidR="00987241" w:rsidRPr="00CF66BC">
        <w:t xml:space="preserve"> </w:t>
      </w:r>
      <w:r w:rsidR="002F7F80">
        <w:t>also believe</w:t>
      </w:r>
      <w:r w:rsidR="00987241" w:rsidRPr="00CF66BC">
        <w:t xml:space="preserve"> that auctions provide a simple and transparent method of allocating spectrum where there is</w:t>
      </w:r>
      <w:r w:rsidR="00987241" w:rsidRPr="00CF66BC" w:rsidDel="00F41D63">
        <w:t xml:space="preserve"> </w:t>
      </w:r>
      <w:r w:rsidR="00987241" w:rsidRPr="00CF66BC">
        <w:t xml:space="preserve">competing demand either in the aggregate or for individual lots. </w:t>
      </w:r>
      <w:r w:rsidR="003E6276" w:rsidRPr="00B138CE">
        <w:t xml:space="preserve">As such, </w:t>
      </w:r>
      <w:r w:rsidR="002F7F80">
        <w:t>we</w:t>
      </w:r>
      <w:r w:rsidR="003E6276" w:rsidRPr="00B138CE">
        <w:t xml:space="preserve"> propose to allocate this spectrum via auction.</w:t>
      </w:r>
      <w:r w:rsidR="003E6276">
        <w:t xml:space="preserve"> </w:t>
      </w:r>
      <w:r w:rsidR="008453EC">
        <w:t xml:space="preserve">We consider a competitive auction will </w:t>
      </w:r>
      <w:r w:rsidR="00D643B3">
        <w:t xml:space="preserve">ensure </w:t>
      </w:r>
      <w:r w:rsidR="00D776B4" w:rsidRPr="00D56186">
        <w:t>that the available spectrum is allocated to those bidders who value it the most</w:t>
      </w:r>
      <w:r w:rsidR="00D776B4" w:rsidRPr="00D56186">
        <w:rPr>
          <w:rStyle w:val="FootnoteReference"/>
        </w:rPr>
        <w:footnoteReference w:id="16"/>
      </w:r>
      <w:r w:rsidR="00812C12">
        <w:t>,</w:t>
      </w:r>
      <w:r w:rsidR="00886BE0">
        <w:t xml:space="preserve"> at a price determined by the market</w:t>
      </w:r>
      <w:r w:rsidR="00683CC3">
        <w:t xml:space="preserve">. </w:t>
      </w:r>
      <w:r w:rsidR="001C0DEE">
        <w:t>In this context</w:t>
      </w:r>
      <w:r w:rsidR="002F7F80">
        <w:t>,</w:t>
      </w:r>
      <w:r w:rsidR="001C0DEE">
        <w:t xml:space="preserve"> we consider a</w:t>
      </w:r>
      <w:r w:rsidR="00044B0A">
        <w:t>n auction will</w:t>
      </w:r>
      <w:r w:rsidR="00032433">
        <w:t xml:space="preserve">, </w:t>
      </w:r>
      <w:r w:rsidR="00A4477F">
        <w:t>in line with the MPS</w:t>
      </w:r>
      <w:r w:rsidR="00032433">
        <w:t>, promote competition within the market</w:t>
      </w:r>
      <w:r w:rsidR="003D3C8F">
        <w:t xml:space="preserve"> and therefore benefit downstream markets and end users.</w:t>
      </w:r>
      <w:r w:rsidR="001E127F">
        <w:t xml:space="preserve"> </w:t>
      </w:r>
    </w:p>
    <w:p w14:paraId="23F4EAFC" w14:textId="66FADDF9" w:rsidR="00DF3D5D" w:rsidRPr="00CF66BC" w:rsidRDefault="00475A71" w:rsidP="00475A71">
      <w:r w:rsidRPr="00CF66BC">
        <w:t xml:space="preserve">Auctions can be conducted using a wide variety of methodologies, including the English open outcry format (or </w:t>
      </w:r>
      <w:r w:rsidR="00502F25">
        <w:t>related online formats</w:t>
      </w:r>
      <w:r w:rsidRPr="00CF66BC">
        <w:t xml:space="preserve">), simultaneous multi-round ascending (SMRA) formats, and formats that enable package bidding (such as the combinatorial clock auction and the sealed bid combinatorial auction). </w:t>
      </w:r>
    </w:p>
    <w:p w14:paraId="54C78F4A" w14:textId="0622556C" w:rsidR="002237AB" w:rsidRPr="00C46C52" w:rsidRDefault="00475A71" w:rsidP="00177B4E">
      <w:pPr>
        <w:pStyle w:val="Heading3"/>
      </w:pPr>
      <w:r w:rsidRPr="00C46C52">
        <w:t>Open outcry auction</w:t>
      </w:r>
    </w:p>
    <w:p w14:paraId="6A66A0DC" w14:textId="03D4B958" w:rsidR="0054477F" w:rsidRPr="00C46C52" w:rsidRDefault="0054477F" w:rsidP="0054477F">
      <w:r w:rsidRPr="00C46C52">
        <w:t>The open outcry auction</w:t>
      </w:r>
      <w:r w:rsidR="008248FC">
        <w:t>,</w:t>
      </w:r>
      <w:r w:rsidRPr="00C46C52">
        <w:t xml:space="preserve"> or English open outcry (EOO) auction</w:t>
      </w:r>
      <w:r w:rsidR="008248FC">
        <w:t>,</w:t>
      </w:r>
      <w:r w:rsidRPr="00C46C52">
        <w:t xml:space="preserve"> is the most common form of auction used. It is typically used, for example, for real estate, fine art and livestock. Participants bid openly against one another for each lot, with each successive bid higher than the previous one, sometimes by a specified increment. When no participant is willing to bid further, the bidder with the highest offer (on or above any reserve price) wins.</w:t>
      </w:r>
    </w:p>
    <w:p w14:paraId="32C65604" w14:textId="0E4EDF94" w:rsidR="008A32BF" w:rsidRDefault="0054477F" w:rsidP="00A22115">
      <w:r w:rsidRPr="007213C8">
        <w:t xml:space="preserve">The ACMA has </w:t>
      </w:r>
      <w:r w:rsidR="008C7758" w:rsidRPr="003B4857">
        <w:t xml:space="preserve">previously </w:t>
      </w:r>
      <w:r w:rsidR="0098393B" w:rsidRPr="003B4857">
        <w:t>conducted auctions</w:t>
      </w:r>
      <w:r w:rsidR="00CA06A1" w:rsidRPr="003B4857">
        <w:t xml:space="preserve"> similar to the EOO format</w:t>
      </w:r>
      <w:r w:rsidR="00CD428E" w:rsidRPr="003B4857">
        <w:t xml:space="preserve"> electronically</w:t>
      </w:r>
      <w:r w:rsidR="00CA06A1" w:rsidRPr="003B4857">
        <w:t>,</w:t>
      </w:r>
      <w:r w:rsidR="001C2C44" w:rsidRPr="003B4857">
        <w:t xml:space="preserve"> such as for the </w:t>
      </w:r>
      <w:r w:rsidR="00364D08" w:rsidRPr="003B4857">
        <w:t xml:space="preserve">700 MHz residual lots auction in 2017. </w:t>
      </w:r>
      <w:r w:rsidR="00CD428E" w:rsidRPr="003B4857">
        <w:t xml:space="preserve">In that auction, </w:t>
      </w:r>
      <w:r w:rsidR="008248FC">
        <w:t>the auction format</w:t>
      </w:r>
      <w:r w:rsidR="008248FC" w:rsidRPr="003B4857">
        <w:t xml:space="preserve"> </w:t>
      </w:r>
      <w:r w:rsidR="00CD428E" w:rsidRPr="003B4857">
        <w:t>was referred to as the Simple Clock Auction (SCA)</w:t>
      </w:r>
      <w:r w:rsidR="008248FC">
        <w:t>.</w:t>
      </w:r>
      <w:r w:rsidR="00CD428E" w:rsidRPr="003B4857">
        <w:t xml:space="preserve"> </w:t>
      </w:r>
    </w:p>
    <w:p w14:paraId="266E2F9F" w14:textId="43F2110F" w:rsidR="00473F45" w:rsidRPr="007213C8" w:rsidRDefault="008A32BF" w:rsidP="00A22115">
      <w:r>
        <w:t>B</w:t>
      </w:r>
      <w:r w:rsidR="0054477F" w:rsidRPr="007213C8">
        <w:t>efore each round</w:t>
      </w:r>
      <w:r>
        <w:t>,</w:t>
      </w:r>
      <w:r w:rsidR="0054477F" w:rsidRPr="007213C8">
        <w:t xml:space="preserve"> the auction manager name</w:t>
      </w:r>
      <w:r w:rsidR="00BC7902" w:rsidRPr="003B4857">
        <w:t>d</w:t>
      </w:r>
      <w:r w:rsidR="0054477F" w:rsidRPr="007213C8">
        <w:t xml:space="preserve"> a price (the continue price) that the bidder </w:t>
      </w:r>
      <w:r w:rsidR="00BC7902" w:rsidRPr="003B4857">
        <w:t>had to</w:t>
      </w:r>
      <w:r w:rsidR="00BC7902" w:rsidRPr="007213C8">
        <w:t xml:space="preserve"> </w:t>
      </w:r>
      <w:r w:rsidR="0054477F" w:rsidRPr="007213C8">
        <w:t>meet to be eligible to place a bid in the subsequent round. The bidder c</w:t>
      </w:r>
      <w:r w:rsidR="00BC7902" w:rsidRPr="003B4857">
        <w:t>ould</w:t>
      </w:r>
      <w:r w:rsidR="0054477F" w:rsidRPr="007213C8">
        <w:t xml:space="preserve"> accept the continue price (a continue bid) or place a lower bid (an exit bid). Once a bidder made an exit bid, the</w:t>
      </w:r>
      <w:r w:rsidR="00BC7902" w:rsidRPr="003B4857">
        <w:t>y</w:t>
      </w:r>
      <w:r w:rsidR="0054477F" w:rsidRPr="007213C8">
        <w:t xml:space="preserve"> c</w:t>
      </w:r>
      <w:r w:rsidR="00BC7902" w:rsidRPr="003B4857">
        <w:t>ould</w:t>
      </w:r>
      <w:r w:rsidR="00A170BF" w:rsidRPr="003B4857">
        <w:t xml:space="preserve"> not</w:t>
      </w:r>
      <w:r w:rsidR="0054477F" w:rsidRPr="007213C8">
        <w:t xml:space="preserve"> resume bidding on that lot in future rounds. When there is </w:t>
      </w:r>
      <w:r w:rsidR="00151719">
        <w:t xml:space="preserve">only </w:t>
      </w:r>
      <w:r w:rsidR="0054477F" w:rsidRPr="007213C8">
        <w:t>one bidder who bid</w:t>
      </w:r>
      <w:r w:rsidR="00151719">
        <w:t>s</w:t>
      </w:r>
      <w:r w:rsidR="0054477F" w:rsidRPr="007213C8">
        <w:t xml:space="preserve"> at least the continue price, the auction ends, the high-bidder wins, and pays the amount of the second-highest bid. This ensures that the winner never pays more than necessary to win.</w:t>
      </w:r>
    </w:p>
    <w:p w14:paraId="2F2DEE08" w14:textId="6DA4733E" w:rsidR="00473F45" w:rsidRPr="00CB768D" w:rsidRDefault="00473F45" w:rsidP="00A93474">
      <w:r w:rsidRPr="007213C8">
        <w:t>The SCA performs best where demand for the lots on offer is largely independent</w:t>
      </w:r>
      <w:r w:rsidR="00DF25F9" w:rsidRPr="007213C8">
        <w:t xml:space="preserve">, such that </w:t>
      </w:r>
      <w:r w:rsidRPr="007213C8">
        <w:t>bidders are unlikely to consider the products on sale to be substitutable or complementary to one another.</w:t>
      </w:r>
      <w:r w:rsidR="002D708E" w:rsidRPr="007213C8">
        <w:t xml:space="preserve"> We expect </w:t>
      </w:r>
      <w:r w:rsidR="00D57248" w:rsidRPr="007213C8">
        <w:t xml:space="preserve">any allocation of </w:t>
      </w:r>
      <w:r w:rsidR="007213C8" w:rsidRPr="003B4857">
        <w:t>spectrum between 3400–3800 MHz</w:t>
      </w:r>
      <w:r w:rsidR="00D57248" w:rsidRPr="007213C8">
        <w:t xml:space="preserve"> will consist of multiple geographic regions and frequency blocks</w:t>
      </w:r>
      <w:r w:rsidR="0051604B" w:rsidRPr="007213C8">
        <w:t xml:space="preserve"> that could be considered substitutable or complementary depending on a bidder’s circumstances, </w:t>
      </w:r>
      <w:r w:rsidR="0051604B" w:rsidRPr="00CB768D">
        <w:t>which means that the SCA is not expected to be appropriate to allocate this spectrum.</w:t>
      </w:r>
    </w:p>
    <w:p w14:paraId="5C80F24F" w14:textId="6D998A6A" w:rsidR="00363C73" w:rsidRPr="00CB768D" w:rsidRDefault="001F6785" w:rsidP="00177B4E">
      <w:pPr>
        <w:pStyle w:val="Heading3"/>
      </w:pPr>
      <w:r w:rsidRPr="00CB768D">
        <w:t xml:space="preserve">Standard </w:t>
      </w:r>
      <w:r w:rsidR="00F65DF5" w:rsidRPr="00CB768D">
        <w:t xml:space="preserve">SMRA </w:t>
      </w:r>
      <w:r w:rsidR="00363C73" w:rsidRPr="00CB768D">
        <w:t xml:space="preserve">auction </w:t>
      </w:r>
    </w:p>
    <w:p w14:paraId="44E86D92" w14:textId="2AC94DCF" w:rsidR="00847ADC" w:rsidRPr="00CB768D" w:rsidRDefault="00847ADC" w:rsidP="00847ADC">
      <w:r w:rsidRPr="00CB768D">
        <w:t xml:space="preserve">In </w:t>
      </w:r>
      <w:r w:rsidR="003E28D3" w:rsidRPr="00CB768D">
        <w:t>simultaneous multi-round ascending (</w:t>
      </w:r>
      <w:r w:rsidRPr="00CB768D">
        <w:t>SMRA</w:t>
      </w:r>
      <w:r w:rsidR="003E28D3" w:rsidRPr="00CB768D">
        <w:t>)</w:t>
      </w:r>
      <w:r w:rsidRPr="00CB768D">
        <w:t xml:space="preserve"> auction</w:t>
      </w:r>
      <w:r w:rsidR="00702304" w:rsidRPr="00CB768D">
        <w:t>s</w:t>
      </w:r>
      <w:r w:rsidRPr="00CB768D">
        <w:t xml:space="preserve">, multiple spectrum lots are offered simultaneously, and bids are made on individual lots. These can be contrasted with auction formats that enable ‘package bids’, </w:t>
      </w:r>
      <w:r w:rsidR="0091336B">
        <w:t>discussed in more detail, below</w:t>
      </w:r>
      <w:r w:rsidRPr="00CB768D">
        <w:t>.</w:t>
      </w:r>
      <w:r w:rsidR="0091336B">
        <w:t xml:space="preserve"> The ACMA has previously conducted auctions using the standard SMRA auction format, </w:t>
      </w:r>
      <w:r w:rsidR="003F56A7">
        <w:t>such as</w:t>
      </w:r>
      <w:r w:rsidR="0091336B">
        <w:t xml:space="preserve"> the 1800 MHz regional lots auction in 2016</w:t>
      </w:r>
      <w:r w:rsidRPr="00CB768D">
        <w:t>.</w:t>
      </w:r>
    </w:p>
    <w:p w14:paraId="23C06051" w14:textId="0CD417F2" w:rsidR="00847ADC" w:rsidRPr="00CB768D" w:rsidRDefault="00847ADC" w:rsidP="00847ADC">
      <w:r w:rsidRPr="00CB768D">
        <w:t>In the standard SMRA auction format, a number of frequency</w:t>
      </w:r>
      <w:r w:rsidR="00F923C0" w:rsidRPr="00CB768D">
        <w:t>-</w:t>
      </w:r>
      <w:r w:rsidR="00F21F29" w:rsidRPr="00CB768D">
        <w:t xml:space="preserve"> </w:t>
      </w:r>
      <w:r w:rsidRPr="00CB768D">
        <w:t>and geographically</w:t>
      </w:r>
      <w:r w:rsidR="00F923C0" w:rsidRPr="00CB768D">
        <w:t>-</w:t>
      </w:r>
      <w:r w:rsidRPr="00CB768D">
        <w:t>defined lots are open for bidding at the same time. All lots remain open as long as there are acceptable bids placed on any lot. Bidding occurs in a sequence of rounds, with the results (in particular, the amounts of the highest bids) of each round announced to the bidders before the start of the next round. The highest bid on each lot becomes the provisional winning price. The auction continues until there is a round in which there is no bid made for any lot. In this final round, bidders win the lots for which they have the standing high bids and pay the amount of their high bids.</w:t>
      </w:r>
    </w:p>
    <w:p w14:paraId="263BDAF2" w14:textId="365FF666" w:rsidR="00847ADC" w:rsidRPr="00CB768D" w:rsidRDefault="00847ADC" w:rsidP="00847ADC">
      <w:r w:rsidRPr="00CB768D">
        <w:t>The standard SMRA auction format facilitates switching of demand between lots over successive rounds, and as such</w:t>
      </w:r>
      <w:r w:rsidR="00F21F29" w:rsidRPr="00CB768D">
        <w:t>,</w:t>
      </w:r>
      <w:r w:rsidRPr="00CB768D">
        <w:t xml:space="preserve"> can be useful when there is some level of value interdependence between spectrum lots. For example, over multiple rounds</w:t>
      </w:r>
      <w:r w:rsidR="00F21F29" w:rsidRPr="00CB768D">
        <w:t>,</w:t>
      </w:r>
      <w:r w:rsidRPr="00CB768D">
        <w:t xml:space="preserve"> a bidder can gather information about the value of individual lots and can change strategy by shifting the bidding to another combination if one becomes too expensive. Ideally, a bidder will have a number of fall</w:t>
      </w:r>
      <w:r w:rsidR="00FE7679" w:rsidRPr="00CB768D">
        <w:t>-</w:t>
      </w:r>
      <w:r w:rsidRPr="00CB768D">
        <w:t xml:space="preserve">back business cases to facilitate changes or reductions in the geographic area or bandwidth sought. </w:t>
      </w:r>
    </w:p>
    <w:p w14:paraId="1220F1E9" w14:textId="0D7FACCF" w:rsidR="00A925F3" w:rsidRPr="00CB768D" w:rsidRDefault="001F6785" w:rsidP="00177B4E">
      <w:pPr>
        <w:pStyle w:val="Heading3"/>
      </w:pPr>
      <w:r w:rsidRPr="00CB768D">
        <w:t xml:space="preserve">Two-stage </w:t>
      </w:r>
      <w:r w:rsidR="00F65DF5" w:rsidRPr="00CB768D">
        <w:t xml:space="preserve">clock </w:t>
      </w:r>
      <w:r w:rsidRPr="00CB768D">
        <w:t xml:space="preserve">auction </w:t>
      </w:r>
      <w:r w:rsidR="008868B5" w:rsidRPr="00CB768D">
        <w:t>with generic lots</w:t>
      </w:r>
    </w:p>
    <w:p w14:paraId="5782A6C6" w14:textId="77A67860" w:rsidR="00EE6CBE" w:rsidRPr="00CB768D" w:rsidRDefault="00EE6CBE" w:rsidP="00EE6CBE">
      <w:r w:rsidRPr="00CB768D">
        <w:t xml:space="preserve">It is also possible to utilise variations to </w:t>
      </w:r>
      <w:r w:rsidR="005C3202" w:rsidRPr="00CB768D">
        <w:t xml:space="preserve">the </w:t>
      </w:r>
      <w:r w:rsidRPr="00CB768D">
        <w:t xml:space="preserve">standard SMRA auction format. For example, a simple change is to retain the simplicity of bidding on individual lots but enhance the SMRA auction format by introducing a </w:t>
      </w:r>
      <w:r w:rsidR="00151719">
        <w:t>2</w:t>
      </w:r>
      <w:r w:rsidRPr="00CB768D">
        <w:t>-stage approach</w:t>
      </w:r>
      <w:r w:rsidR="00F923C0" w:rsidRPr="00CB768D">
        <w:t>,</w:t>
      </w:r>
      <w:r w:rsidRPr="00CB768D">
        <w:t xml:space="preserve"> where the first stage determines the number of </w:t>
      </w:r>
      <w:r w:rsidR="008F0074">
        <w:t xml:space="preserve">generic </w:t>
      </w:r>
      <w:r w:rsidRPr="00CB768D">
        <w:t xml:space="preserve">lots won in each region, and the second stage assigns the frequency position. </w:t>
      </w:r>
    </w:p>
    <w:p w14:paraId="460AF793" w14:textId="34CC01DE" w:rsidR="00383D63" w:rsidRPr="00CB768D" w:rsidRDefault="007017EB" w:rsidP="00847ADC">
      <w:r w:rsidRPr="003B4857">
        <w:t>The 3 most recent auctions conducted by the ACMA have</w:t>
      </w:r>
      <w:r w:rsidR="00E04FE9" w:rsidRPr="003B4857">
        <w:t xml:space="preserve"> </w:t>
      </w:r>
      <w:r w:rsidR="001F6785" w:rsidRPr="00CB768D">
        <w:t xml:space="preserve">used a </w:t>
      </w:r>
      <w:r w:rsidR="00151719">
        <w:t>2</w:t>
      </w:r>
      <w:r w:rsidR="00383D63" w:rsidRPr="00CB768D">
        <w:t xml:space="preserve">-stage </w:t>
      </w:r>
      <w:r w:rsidR="00E04FE9" w:rsidRPr="003B4857">
        <w:t xml:space="preserve">clock format: the </w:t>
      </w:r>
      <w:r w:rsidR="00847ADC" w:rsidRPr="00CB768D">
        <w:t xml:space="preserve">3.6 GHz </w:t>
      </w:r>
      <w:r w:rsidR="00E04FE9" w:rsidRPr="003B4857">
        <w:t xml:space="preserve">band auction </w:t>
      </w:r>
      <w:r w:rsidR="00847ADC" w:rsidRPr="00CB768D">
        <w:t>in 2018</w:t>
      </w:r>
      <w:r w:rsidR="00DA6127" w:rsidRPr="003B4857">
        <w:t>, the 26 GHz band auction in 2021, and the 850/900 MHz band auction in 2021</w:t>
      </w:r>
      <w:r w:rsidR="00383D63" w:rsidRPr="00CB768D">
        <w:t>.</w:t>
      </w:r>
      <w:r w:rsidR="00662302" w:rsidRPr="00CB768D">
        <w:rPr>
          <w:rStyle w:val="FootnoteReference"/>
        </w:rPr>
        <w:footnoteReference w:id="17"/>
      </w:r>
      <w:r w:rsidR="00383D63" w:rsidRPr="00CB768D">
        <w:t xml:space="preserve"> This format involves the allocation of </w:t>
      </w:r>
      <w:r w:rsidR="00847ADC" w:rsidRPr="00CB768D">
        <w:t xml:space="preserve">frequency-generic lots for each </w:t>
      </w:r>
      <w:r w:rsidR="00FC78E3" w:rsidRPr="003B4857">
        <w:t>product (</w:t>
      </w:r>
      <w:r w:rsidR="00151719">
        <w:t>that is</w:t>
      </w:r>
      <w:r w:rsidR="00FC78E3" w:rsidRPr="003B4857">
        <w:t xml:space="preserve">, a </w:t>
      </w:r>
      <w:r w:rsidR="00D069FA" w:rsidRPr="003B4857">
        <w:t>geographic region with multiple adjacent frequency lots)</w:t>
      </w:r>
      <w:r w:rsidR="00847ADC" w:rsidRPr="00CB768D">
        <w:t xml:space="preserve"> in the first stage </w:t>
      </w:r>
      <w:r w:rsidR="00383D63" w:rsidRPr="00CB768D">
        <w:t>(</w:t>
      </w:r>
      <w:r w:rsidR="00847ADC" w:rsidRPr="00CB768D">
        <w:t xml:space="preserve">known as the </w:t>
      </w:r>
      <w:r w:rsidR="00606598" w:rsidRPr="00CB768D">
        <w:t xml:space="preserve">allocation </w:t>
      </w:r>
      <w:r w:rsidR="00847ADC" w:rsidRPr="00CB768D">
        <w:t>stage</w:t>
      </w:r>
      <w:r w:rsidR="00383D63" w:rsidRPr="00CB768D">
        <w:t>), followed by an assignment stage that determines the specific frequency ranges awarded to each winning bidder from the first stage</w:t>
      </w:r>
      <w:r w:rsidR="00847ADC" w:rsidRPr="00CB768D">
        <w:t xml:space="preserve">. </w:t>
      </w:r>
    </w:p>
    <w:p w14:paraId="71E1D0BD" w14:textId="5090A7D5" w:rsidR="00847ADC" w:rsidRPr="00CB768D" w:rsidRDefault="00847ADC" w:rsidP="00847ADC">
      <w:pPr>
        <w:rPr>
          <w:rFonts w:cs="Arial"/>
        </w:rPr>
      </w:pPr>
      <w:r w:rsidRPr="00CB768D">
        <w:t>Th</w:t>
      </w:r>
      <w:r w:rsidR="00847B19" w:rsidRPr="00CB768D">
        <w:t xml:space="preserve">e </w:t>
      </w:r>
      <w:r w:rsidR="00151719">
        <w:t>2</w:t>
      </w:r>
      <w:r w:rsidR="00847B19" w:rsidRPr="00CB768D">
        <w:t>-stage</w:t>
      </w:r>
      <w:r w:rsidR="007A1FC7">
        <w:t xml:space="preserve"> clock</w:t>
      </w:r>
      <w:r w:rsidR="00847B19" w:rsidRPr="00CB768D">
        <w:t xml:space="preserve"> auction </w:t>
      </w:r>
      <w:r w:rsidR="002E1AD4" w:rsidRPr="00CB768D">
        <w:t xml:space="preserve">with generic lots </w:t>
      </w:r>
      <w:r w:rsidR="00750EC9" w:rsidRPr="00CB768D">
        <w:t>simplifies</w:t>
      </w:r>
      <w:r w:rsidRPr="00CB768D">
        <w:t xml:space="preserve"> the bidding process </w:t>
      </w:r>
      <w:r w:rsidR="00151719">
        <w:t>compared</w:t>
      </w:r>
      <w:r w:rsidR="00151719" w:rsidRPr="00CB768D">
        <w:t xml:space="preserve"> </w:t>
      </w:r>
      <w:r w:rsidRPr="00CB768D">
        <w:t>to the standard SMRA auction format</w:t>
      </w:r>
      <w:r w:rsidR="00EB77FF">
        <w:t xml:space="preserve">, particularly as there is </w:t>
      </w:r>
      <w:r w:rsidRPr="00CB768D">
        <w:rPr>
          <w:rFonts w:cs="Arial"/>
        </w:rPr>
        <w:t xml:space="preserve">no concept of a ‘standing high bidder’ or of ‘holding lots’. </w:t>
      </w:r>
      <w:r w:rsidR="00EB77FF">
        <w:rPr>
          <w:rFonts w:cs="Arial"/>
        </w:rPr>
        <w:t xml:space="preserve">In the </w:t>
      </w:r>
      <w:r w:rsidR="00151719">
        <w:rPr>
          <w:rFonts w:cs="Arial"/>
        </w:rPr>
        <w:t>2</w:t>
      </w:r>
      <w:r w:rsidR="00EB77FF">
        <w:rPr>
          <w:rFonts w:cs="Arial"/>
        </w:rPr>
        <w:t xml:space="preserve">-stage clock auction with generic lots, </w:t>
      </w:r>
      <w:r w:rsidRPr="00CB768D">
        <w:rPr>
          <w:rFonts w:cs="Arial"/>
        </w:rPr>
        <w:t xml:space="preserve">the price will continue to increase for each round </w:t>
      </w:r>
      <w:r w:rsidR="008D1701">
        <w:rPr>
          <w:rFonts w:cs="Arial"/>
        </w:rPr>
        <w:t xml:space="preserve">for a given product as long as </w:t>
      </w:r>
      <w:r w:rsidRPr="00CB768D">
        <w:rPr>
          <w:rFonts w:cs="Arial"/>
        </w:rPr>
        <w:t xml:space="preserve">demand exceeds supply. During a round, bidders may bid on all products available in the auction, subject to any allocation limits and eligibility requirements. At the end of a round, the auction system processes all bids from all bidders. If demand exceeds supply for any product, the auction continues to the next round. The </w:t>
      </w:r>
      <w:r w:rsidR="00AD5557" w:rsidRPr="00CB768D">
        <w:rPr>
          <w:rFonts w:cs="Arial"/>
        </w:rPr>
        <w:t xml:space="preserve">primary </w:t>
      </w:r>
      <w:r w:rsidRPr="00CB768D">
        <w:rPr>
          <w:rFonts w:cs="Arial"/>
        </w:rPr>
        <w:t xml:space="preserve">stage concludes when there is no excess demand across all products. </w:t>
      </w:r>
    </w:p>
    <w:p w14:paraId="4B803C2C" w14:textId="791939F5" w:rsidR="00702304" w:rsidRPr="00DC0003" w:rsidRDefault="00847ADC" w:rsidP="00702304">
      <w:r w:rsidRPr="00DC0003">
        <w:t>The next stage</w:t>
      </w:r>
      <w:r w:rsidR="005C3202" w:rsidRPr="00DC0003">
        <w:t xml:space="preserve">, </w:t>
      </w:r>
      <w:r w:rsidRPr="00DC0003">
        <w:t>an assignment stage</w:t>
      </w:r>
      <w:r w:rsidR="005C3202" w:rsidRPr="00DC0003">
        <w:t xml:space="preserve">, </w:t>
      </w:r>
      <w:r w:rsidRPr="00DC0003">
        <w:t>determine</w:t>
      </w:r>
      <w:r w:rsidR="00702304" w:rsidRPr="00DC0003">
        <w:t>s</w:t>
      </w:r>
      <w:r w:rsidRPr="00DC0003">
        <w:t xml:space="preserve"> the specific frequency ranges awarded to each winning bidder from the first stage.</w:t>
      </w:r>
      <w:r w:rsidRPr="00DC0003">
        <w:rPr>
          <w:rFonts w:cs="Arial"/>
        </w:rPr>
        <w:t xml:space="preserve"> While there is no requirement for a bidder to bid during the assignment stage, this stage gives bidders the opportunity to submit additional bids, at prices they choose, to express their preferences for particular frequency assignments for each region. </w:t>
      </w:r>
      <w:r w:rsidR="00B42525" w:rsidRPr="003B4857">
        <w:rPr>
          <w:rFonts w:cs="Arial"/>
        </w:rPr>
        <w:t>When using this</w:t>
      </w:r>
      <w:r w:rsidR="00B42525" w:rsidRPr="00AA5D6F">
        <w:rPr>
          <w:rFonts w:cs="Arial"/>
        </w:rPr>
        <w:t xml:space="preserve"> auction</w:t>
      </w:r>
      <w:r w:rsidR="00B42525" w:rsidRPr="003B4857">
        <w:rPr>
          <w:rFonts w:cs="Arial"/>
        </w:rPr>
        <w:t xml:space="preserve"> format</w:t>
      </w:r>
      <w:r w:rsidR="00750EC9" w:rsidRPr="00DC0003">
        <w:rPr>
          <w:rFonts w:cs="Arial"/>
        </w:rPr>
        <w:t>,</w:t>
      </w:r>
      <w:r w:rsidR="00B42525" w:rsidRPr="003B4857">
        <w:rPr>
          <w:rFonts w:cs="Arial"/>
        </w:rPr>
        <w:t xml:space="preserve"> we have typically calculated </w:t>
      </w:r>
      <w:r w:rsidRPr="00DC0003">
        <w:t>assignment prices for the winning frequency range option</w:t>
      </w:r>
      <w:r w:rsidR="00DC0003" w:rsidRPr="003B4857">
        <w:t>s</w:t>
      </w:r>
      <w:r w:rsidRPr="00DC0003">
        <w:t xml:space="preserve"> using a form of second-price rule referred to as </w:t>
      </w:r>
      <w:r w:rsidR="00151719">
        <w:t>‘</w:t>
      </w:r>
      <w:r w:rsidRPr="00DC0003">
        <w:t>nearest Vickrey core pricing</w:t>
      </w:r>
      <w:r w:rsidR="00151719">
        <w:t>’</w:t>
      </w:r>
      <w:r w:rsidR="002B267B" w:rsidRPr="00DC0003">
        <w:t>.</w:t>
      </w:r>
      <w:r w:rsidR="008F7178" w:rsidRPr="00DC0003">
        <w:rPr>
          <w:rStyle w:val="FootnoteReference"/>
        </w:rPr>
        <w:footnoteReference w:id="18"/>
      </w:r>
      <w:r w:rsidR="00702304" w:rsidRPr="00DC0003">
        <w:t xml:space="preserve"> </w:t>
      </w:r>
    </w:p>
    <w:p w14:paraId="69450BF8" w14:textId="37882FFE" w:rsidR="00847ADC" w:rsidRPr="00DC0003" w:rsidRDefault="00702304" w:rsidP="00847ADC">
      <w:r w:rsidRPr="00DC0003">
        <w:t xml:space="preserve">The use of generic lots in the primary stage is likely to improve substitution, reduce risk of fragmentation, and simplify bidding strategy. This approach reduces the exposure risk </w:t>
      </w:r>
      <w:r w:rsidR="00151719">
        <w:t>compared</w:t>
      </w:r>
      <w:r w:rsidR="00151719" w:rsidRPr="00DC0003">
        <w:t xml:space="preserve"> </w:t>
      </w:r>
      <w:r w:rsidRPr="00DC0003">
        <w:t>to the standard SMRA auction format and generally results in a faster auction with fewer bidding rounds.</w:t>
      </w:r>
    </w:p>
    <w:p w14:paraId="679FDBC2" w14:textId="7C519899" w:rsidR="003541EA" w:rsidRPr="00B11E93" w:rsidRDefault="000A105E" w:rsidP="00177B4E">
      <w:pPr>
        <w:pStyle w:val="Heading3"/>
      </w:pPr>
      <w:r w:rsidRPr="00B11E93">
        <w:t xml:space="preserve">Package bidding </w:t>
      </w:r>
      <w:r w:rsidR="00750EC9" w:rsidRPr="00B11E93">
        <w:t>formats</w:t>
      </w:r>
    </w:p>
    <w:p w14:paraId="537BD04D" w14:textId="77777777" w:rsidR="00135A92" w:rsidRPr="003B4857" w:rsidRDefault="00750EC9" w:rsidP="003B4857">
      <w:pPr>
        <w:pStyle w:val="Paragraphbeforelist"/>
      </w:pPr>
      <w:r w:rsidRPr="00B11E93">
        <w:t xml:space="preserve">There are a number of </w:t>
      </w:r>
      <w:r w:rsidR="009413AD" w:rsidRPr="00B11E93">
        <w:t xml:space="preserve">auction </w:t>
      </w:r>
      <w:r w:rsidRPr="00B11E93">
        <w:t>formats that enable bidders to place bids on packages of lots</w:t>
      </w:r>
      <w:r w:rsidR="005B7938" w:rsidRPr="00B11E93">
        <w:t>, known as combinatorial formats</w:t>
      </w:r>
      <w:r w:rsidR="00D92715" w:rsidRPr="00B11E93">
        <w:t xml:space="preserve">. </w:t>
      </w:r>
      <w:r w:rsidR="00135A92" w:rsidRPr="003B4857">
        <w:t>Examples of combinatorial formats include:</w:t>
      </w:r>
    </w:p>
    <w:p w14:paraId="10C2490F" w14:textId="5E5B2224" w:rsidR="00D92715" w:rsidRPr="003B4857" w:rsidRDefault="00151719" w:rsidP="00135A92">
      <w:pPr>
        <w:pStyle w:val="Bulletlevel1"/>
      </w:pPr>
      <w:r>
        <w:t>c</w:t>
      </w:r>
      <w:r w:rsidR="003541EA" w:rsidRPr="00B11E93">
        <w:t>ombinatorial clock auction</w:t>
      </w:r>
      <w:r w:rsidR="00CD6663" w:rsidRPr="00B11E93">
        <w:t xml:space="preserve"> (CCA)</w:t>
      </w:r>
      <w:r w:rsidR="003541EA" w:rsidRPr="00B11E93">
        <w:t xml:space="preserve"> </w:t>
      </w:r>
      <w:r w:rsidR="00847ADC" w:rsidRPr="00B11E93">
        <w:t>format</w:t>
      </w:r>
      <w:r w:rsidR="00135A92" w:rsidRPr="003B4857">
        <w:t>,</w:t>
      </w:r>
      <w:r w:rsidR="00A10F8B" w:rsidRPr="003B4857">
        <w:t xml:space="preserve"> which was</w:t>
      </w:r>
      <w:r w:rsidR="00847ADC" w:rsidRPr="00B11E93">
        <w:t xml:space="preserve"> </w:t>
      </w:r>
      <w:r w:rsidR="003541EA" w:rsidRPr="00B11E93">
        <w:t>used by the ACMA in the digital dividend auction</w:t>
      </w:r>
      <w:r w:rsidR="0091336B">
        <w:t>, held in 2013</w:t>
      </w:r>
    </w:p>
    <w:p w14:paraId="1C176F31" w14:textId="35544BDE" w:rsidR="000C3878" w:rsidRPr="003B4857" w:rsidRDefault="00A00492" w:rsidP="00135A92">
      <w:pPr>
        <w:pStyle w:val="Bulletlevel1"/>
      </w:pPr>
      <w:r>
        <w:t>c</w:t>
      </w:r>
      <w:r w:rsidR="000C3878" w:rsidRPr="003B4857">
        <w:t>ombinatorial multi-round auction (CMRA) format</w:t>
      </w:r>
    </w:p>
    <w:p w14:paraId="4BC08B38" w14:textId="5481D13F" w:rsidR="000C3878" w:rsidRPr="003B4857" w:rsidRDefault="00A00492" w:rsidP="003B4857">
      <w:pPr>
        <w:pStyle w:val="Bulletlevel1last"/>
      </w:pPr>
      <w:r>
        <w:t>s</w:t>
      </w:r>
      <w:r w:rsidR="000C3878" w:rsidRPr="003B4857">
        <w:t>ealed-bid combinatorial auction (SBCA) format.</w:t>
      </w:r>
    </w:p>
    <w:p w14:paraId="054113C1" w14:textId="567432D5" w:rsidR="00400D83" w:rsidRDefault="00400D83" w:rsidP="00400D83">
      <w:pPr>
        <w:pStyle w:val="Paragraph"/>
      </w:pPr>
      <w:r>
        <w:t xml:space="preserve">The CCA and CMRA are </w:t>
      </w:r>
      <w:r w:rsidR="00A00492">
        <w:t>2</w:t>
      </w:r>
      <w:r>
        <w:t>-stage auctions with a clock stage and an assignment stage</w:t>
      </w:r>
      <w:r w:rsidR="00E4088B">
        <w:t xml:space="preserve">. The 2 formats </w:t>
      </w:r>
      <w:r>
        <w:t>differ in the clock stage</w:t>
      </w:r>
      <w:r w:rsidR="008366BF">
        <w:t xml:space="preserve"> –</w:t>
      </w:r>
      <w:r>
        <w:t xml:space="preserve"> the CCA uses a complex second-price rule (</w:t>
      </w:r>
      <w:r w:rsidR="001A7B44">
        <w:t xml:space="preserve">in its </w:t>
      </w:r>
      <w:r>
        <w:t xml:space="preserve">supplementary sealed-bid round) while the CMRA uses an iterative ‘pay-your-bid’ approach. </w:t>
      </w:r>
      <w:r w:rsidR="008366BF">
        <w:t>In contrast, t</w:t>
      </w:r>
      <w:r>
        <w:t>he SBCA is a ‘</w:t>
      </w:r>
      <w:r w:rsidR="0050511D">
        <w:t>single</w:t>
      </w:r>
      <w:r>
        <w:t xml:space="preserve"> shot’ auction</w:t>
      </w:r>
      <w:r w:rsidR="00A00492">
        <w:t>,</w:t>
      </w:r>
      <w:r w:rsidR="007F17B0">
        <w:t xml:space="preserve"> where bidders submit all their bids for different packages at once,</w:t>
      </w:r>
      <w:r w:rsidR="002037C9">
        <w:t xml:space="preserve"> with all package bids being mutually exclusive (</w:t>
      </w:r>
      <w:r w:rsidR="007C6F5A">
        <w:t>the auction manager only selects one bid per bidder)</w:t>
      </w:r>
      <w:r w:rsidR="007F17B0">
        <w:t xml:space="preserve"> and t</w:t>
      </w:r>
      <w:r w:rsidR="007F17B0" w:rsidRPr="007F17B0">
        <w:t>he combination of bids that yields the highest value are the successful bids</w:t>
      </w:r>
      <w:r w:rsidR="007F17B0">
        <w:t>. The SBCA can use a first-price or second-price rule.</w:t>
      </w:r>
    </w:p>
    <w:p w14:paraId="5C84A35B" w14:textId="7B4F7D35" w:rsidR="00F9347F" w:rsidRDefault="00C8530C" w:rsidP="000C3878">
      <w:pPr>
        <w:pStyle w:val="Paragraph"/>
      </w:pPr>
      <w:r w:rsidRPr="003B4857">
        <w:t xml:space="preserve">The </w:t>
      </w:r>
      <w:r w:rsidR="001A7B44">
        <w:t xml:space="preserve">primary </w:t>
      </w:r>
      <w:r w:rsidRPr="003B4857">
        <w:t xml:space="preserve">benefit of combinatorial auction formats is that </w:t>
      </w:r>
      <w:r w:rsidR="00E37DCF" w:rsidRPr="003B4857">
        <w:t xml:space="preserve">bidders are better able to avoid exposure risk </w:t>
      </w:r>
      <w:r w:rsidR="00974D03" w:rsidRPr="003B4857">
        <w:t>situations</w:t>
      </w:r>
      <w:r w:rsidR="001B6D72" w:rsidRPr="003B4857">
        <w:t xml:space="preserve">. </w:t>
      </w:r>
      <w:r w:rsidR="00950AC7">
        <w:t>In particular, w</w:t>
      </w:r>
      <w:r w:rsidR="001B6D72" w:rsidRPr="003B4857">
        <w:t xml:space="preserve">here items are complementary, package bidding allows bidders </w:t>
      </w:r>
      <w:r w:rsidR="00E33A99" w:rsidRPr="003B4857">
        <w:t xml:space="preserve">to express the synergy value </w:t>
      </w:r>
      <w:r w:rsidR="00CC4A2C" w:rsidRPr="003B4857">
        <w:t xml:space="preserve">in their bids </w:t>
      </w:r>
      <w:r w:rsidR="003B737D" w:rsidRPr="003B4857">
        <w:t xml:space="preserve">without </w:t>
      </w:r>
      <w:r w:rsidR="008A69BF" w:rsidRPr="003B4857">
        <w:t>the exposure risk of</w:t>
      </w:r>
      <w:r w:rsidR="00E33A99" w:rsidRPr="003B4857">
        <w:t xml:space="preserve"> obtaining a </w:t>
      </w:r>
      <w:r w:rsidR="00D14FA3">
        <w:t xml:space="preserve">lower-value </w:t>
      </w:r>
      <w:r w:rsidR="00E33A99" w:rsidRPr="003B4857">
        <w:t xml:space="preserve">subset of </w:t>
      </w:r>
      <w:r w:rsidR="003B737D" w:rsidRPr="003B4857">
        <w:t xml:space="preserve">those complementary </w:t>
      </w:r>
      <w:r w:rsidR="00CC4A2C" w:rsidRPr="003B4857">
        <w:t>items</w:t>
      </w:r>
      <w:r w:rsidR="003B737D" w:rsidRPr="003B4857">
        <w:t xml:space="preserve">. </w:t>
      </w:r>
      <w:r w:rsidR="00E269AB">
        <w:t xml:space="preserve">For example, </w:t>
      </w:r>
      <w:r w:rsidR="002736C8">
        <w:t xml:space="preserve">if 2 </w:t>
      </w:r>
      <w:r w:rsidR="004F0AEE">
        <w:t xml:space="preserve">items </w:t>
      </w:r>
      <w:r w:rsidR="002736C8">
        <w:t xml:space="preserve">are complementary and a bidder does not want to win </w:t>
      </w:r>
      <w:r w:rsidR="008E6D71">
        <w:t>one of the</w:t>
      </w:r>
      <w:r w:rsidR="002736C8">
        <w:t xml:space="preserve"> </w:t>
      </w:r>
      <w:r w:rsidR="004F0AEE">
        <w:t>item</w:t>
      </w:r>
      <w:r w:rsidR="008E6D71">
        <w:t>s on its own</w:t>
      </w:r>
      <w:r w:rsidR="002736C8">
        <w:t xml:space="preserve">, </w:t>
      </w:r>
      <w:r w:rsidR="00B101CF">
        <w:t xml:space="preserve">the bidder would be able to place a bid solely on the package of 2 items and </w:t>
      </w:r>
      <w:r w:rsidR="00FB6057">
        <w:t>consequently avoid the risk of only winning a single item.</w:t>
      </w:r>
      <w:r w:rsidR="00F110FF">
        <w:t xml:space="preserve"> </w:t>
      </w:r>
    </w:p>
    <w:p w14:paraId="4FFBD417" w14:textId="6F86D8BF" w:rsidR="001438CC" w:rsidRPr="0001725E" w:rsidRDefault="00244923" w:rsidP="00244F3C">
      <w:pPr>
        <w:pStyle w:val="Paragraph"/>
      </w:pPr>
      <w:r w:rsidRPr="0001725E">
        <w:t>While there are significant benefits to c</w:t>
      </w:r>
      <w:r w:rsidR="00875D27" w:rsidRPr="0001725E">
        <w:t>ombinatorial formats</w:t>
      </w:r>
      <w:r w:rsidRPr="0001725E">
        <w:t>, there are</w:t>
      </w:r>
      <w:r w:rsidR="00A15A09" w:rsidRPr="0001725E">
        <w:t xml:space="preserve"> </w:t>
      </w:r>
      <w:r w:rsidR="008E6D71" w:rsidRPr="003B4857">
        <w:t xml:space="preserve">potential </w:t>
      </w:r>
      <w:r w:rsidR="00A15A09" w:rsidRPr="0001725E">
        <w:t>issues with complexity, incentives for strategic gaming</w:t>
      </w:r>
      <w:r w:rsidR="00952055" w:rsidRPr="003B4857">
        <w:t>, and transparency</w:t>
      </w:r>
      <w:r w:rsidR="00297481" w:rsidRPr="0001725E">
        <w:t>.</w:t>
      </w:r>
      <w:r w:rsidR="006A627D" w:rsidRPr="0001725E">
        <w:t xml:space="preserve"> The </w:t>
      </w:r>
      <w:r w:rsidR="006B0AA3" w:rsidRPr="003B4857">
        <w:t xml:space="preserve">number of </w:t>
      </w:r>
      <w:r w:rsidR="00952055" w:rsidRPr="003B4857">
        <w:t xml:space="preserve">available </w:t>
      </w:r>
      <w:r w:rsidR="00802400" w:rsidRPr="003B4857">
        <w:t>packages increases exponentially as more products are a</w:t>
      </w:r>
      <w:r w:rsidR="00451648" w:rsidRPr="003B4857">
        <w:t>dded,</w:t>
      </w:r>
      <w:r w:rsidR="00D57C84" w:rsidRPr="003B4857">
        <w:t xml:space="preserve"> which can </w:t>
      </w:r>
      <w:r w:rsidR="001D377F" w:rsidRPr="003B4857">
        <w:t>create significant complexity for bidders</w:t>
      </w:r>
      <w:r w:rsidR="00BD5D7D" w:rsidRPr="003B4857">
        <w:t xml:space="preserve"> </w:t>
      </w:r>
      <w:r w:rsidR="001D377F" w:rsidRPr="003B4857">
        <w:t xml:space="preserve">and computational complexity </w:t>
      </w:r>
      <w:r w:rsidR="00057892" w:rsidRPr="003B4857">
        <w:t>in</w:t>
      </w:r>
      <w:r w:rsidR="001D377F" w:rsidRPr="003B4857">
        <w:t xml:space="preserve"> determin</w:t>
      </w:r>
      <w:r w:rsidR="00057892" w:rsidRPr="003B4857">
        <w:t>ing</w:t>
      </w:r>
      <w:r w:rsidR="001D377F" w:rsidRPr="003B4857">
        <w:t xml:space="preserve"> the winning combination.</w:t>
      </w:r>
      <w:r w:rsidR="005746CB" w:rsidRPr="003B4857">
        <w:t xml:space="preserve"> There can also be inefficiencies </w:t>
      </w:r>
      <w:r w:rsidR="00C73611" w:rsidRPr="003B4857">
        <w:t>(</w:t>
      </w:r>
      <w:r w:rsidR="00A00492">
        <w:t>for example</w:t>
      </w:r>
      <w:r w:rsidR="00C73611" w:rsidRPr="003B4857">
        <w:t xml:space="preserve">, unsold lots despite strong demand) </w:t>
      </w:r>
      <w:r w:rsidR="00117F25" w:rsidRPr="003B4857">
        <w:t xml:space="preserve">resulting from missing bids if </w:t>
      </w:r>
      <w:r w:rsidR="00C73611" w:rsidRPr="003B4857">
        <w:t xml:space="preserve">the number of available packages </w:t>
      </w:r>
      <w:r w:rsidR="00480F66" w:rsidRPr="003B4857">
        <w:t xml:space="preserve">is </w:t>
      </w:r>
      <w:r w:rsidR="006D239E" w:rsidRPr="003B4857">
        <w:t xml:space="preserve">unfeasibly high </w:t>
      </w:r>
      <w:r w:rsidR="00CB61BC" w:rsidRPr="003B4857">
        <w:t xml:space="preserve">for bidders to </w:t>
      </w:r>
      <w:r w:rsidR="006D239E" w:rsidRPr="003B4857">
        <w:t xml:space="preserve">place </w:t>
      </w:r>
      <w:r w:rsidR="00CB61BC" w:rsidRPr="003B4857">
        <w:t>bid</w:t>
      </w:r>
      <w:r w:rsidR="006D239E" w:rsidRPr="003B4857">
        <w:t>s</w:t>
      </w:r>
      <w:r w:rsidR="00CB61BC" w:rsidRPr="003B4857">
        <w:t xml:space="preserve"> on all of them. In addition,</w:t>
      </w:r>
      <w:r w:rsidR="00C57CAC" w:rsidRPr="003B4857">
        <w:t xml:space="preserve"> combinatorial formats that use second-price rules</w:t>
      </w:r>
      <w:r w:rsidR="003A3E31" w:rsidRPr="003B4857">
        <w:t xml:space="preserve"> can introduce</w:t>
      </w:r>
      <w:r w:rsidR="00CB61BC" w:rsidRPr="003B4857">
        <w:t xml:space="preserve"> </w:t>
      </w:r>
      <w:r w:rsidR="00244F3C" w:rsidRPr="003B4857">
        <w:t>incentives to bid strategically and possibly disadvantage weaker bidders</w:t>
      </w:r>
      <w:r w:rsidR="00952055" w:rsidRPr="003B4857">
        <w:t xml:space="preserve">. The amount </w:t>
      </w:r>
      <w:r w:rsidR="00244F3C" w:rsidRPr="003B4857">
        <w:t xml:space="preserve">bidders pay </w:t>
      </w:r>
      <w:r w:rsidR="00952055" w:rsidRPr="003B4857">
        <w:t xml:space="preserve">under second-price rules </w:t>
      </w:r>
      <w:r w:rsidR="00244F3C" w:rsidRPr="003B4857">
        <w:t xml:space="preserve">is </w:t>
      </w:r>
      <w:r w:rsidR="00952055" w:rsidRPr="003B4857">
        <w:t xml:space="preserve">also </w:t>
      </w:r>
      <w:r w:rsidR="00244F3C" w:rsidRPr="003B4857">
        <w:t>relatively non</w:t>
      </w:r>
      <w:r w:rsidR="00DC25EE" w:rsidRPr="0001725E">
        <w:t>-transparent, in that it is not possible for bidders to predict how submitted bids will translate into prices paid.</w:t>
      </w:r>
      <w:r w:rsidR="00297481" w:rsidRPr="0001725E">
        <w:t xml:space="preserve"> </w:t>
      </w:r>
      <w:r w:rsidR="008A3776" w:rsidRPr="0001725E">
        <w:t xml:space="preserve"> </w:t>
      </w:r>
    </w:p>
    <w:p w14:paraId="0F4661BC" w14:textId="41393DD2" w:rsidR="00244923" w:rsidRPr="00B11E93" w:rsidRDefault="00826497" w:rsidP="000C3878">
      <w:pPr>
        <w:pStyle w:val="Paragraph"/>
      </w:pPr>
      <w:r>
        <w:t>T</w:t>
      </w:r>
      <w:r w:rsidR="00DE3671">
        <w:t xml:space="preserve">he specified parts of the spectrum </w:t>
      </w:r>
      <w:r w:rsidR="00670455">
        <w:t>proposed to be re-allocated</w:t>
      </w:r>
      <w:r>
        <w:t xml:space="preserve"> across 3400–3800 MHz</w:t>
      </w:r>
      <w:r w:rsidR="00670455">
        <w:t xml:space="preserve"> includes a variety of frequency ranges and geographic regions,</w:t>
      </w:r>
      <w:r>
        <w:t xml:space="preserve"> which is likely to result in</w:t>
      </w:r>
      <w:r w:rsidR="00670455">
        <w:t xml:space="preserve"> </w:t>
      </w:r>
      <w:r w:rsidR="001C62E4">
        <w:t>an unfeasibly high nu</w:t>
      </w:r>
      <w:r w:rsidR="004B09AD">
        <w:t>mber of available packages</w:t>
      </w:r>
      <w:r w:rsidR="00100CE1">
        <w:t>.</w:t>
      </w:r>
      <w:r w:rsidR="00827E1E">
        <w:t xml:space="preserve"> This would create complexity for bidders and any potential auction platform, while also potentially generating inefficiencies due to missing bids. We therefore consider that a </w:t>
      </w:r>
      <w:r w:rsidR="00BC68FF">
        <w:t>package bidding</w:t>
      </w:r>
      <w:r w:rsidR="00827E1E">
        <w:t xml:space="preserve"> format is not appropriate for </w:t>
      </w:r>
      <w:r w:rsidR="00BC68FF">
        <w:t>this allocation.</w:t>
      </w:r>
      <w:r w:rsidR="00100CE1">
        <w:t xml:space="preserve"> </w:t>
      </w:r>
    </w:p>
    <w:p w14:paraId="6A29EA72" w14:textId="4B07EF9A" w:rsidR="009D5F15" w:rsidRDefault="002914E7" w:rsidP="000B3476">
      <w:pPr>
        <w:pStyle w:val="Heading3"/>
      </w:pPr>
      <w:r>
        <w:t xml:space="preserve">The </w:t>
      </w:r>
      <w:r w:rsidR="00A349AC" w:rsidRPr="002914E7">
        <w:t>ACMA</w:t>
      </w:r>
      <w:r>
        <w:t>’s</w:t>
      </w:r>
      <w:r w:rsidR="00A349AC" w:rsidRPr="002914E7">
        <w:t xml:space="preserve"> p</w:t>
      </w:r>
      <w:r w:rsidR="000B3476" w:rsidRPr="002914E7">
        <w:t xml:space="preserve">reliminary </w:t>
      </w:r>
      <w:r w:rsidR="00A349AC" w:rsidRPr="002914E7">
        <w:t>pr</w:t>
      </w:r>
      <w:r w:rsidR="00A349AC">
        <w:t>eferred view</w:t>
      </w:r>
    </w:p>
    <w:p w14:paraId="57CC655D" w14:textId="6646A22C" w:rsidR="002D1414" w:rsidRDefault="00DD3FFD" w:rsidP="00A349AC">
      <w:pPr>
        <w:pStyle w:val="Paragraph"/>
      </w:pPr>
      <w:r>
        <w:t xml:space="preserve">The optimal format for any individual auction depends on the characteristics of the products on offer. </w:t>
      </w:r>
      <w:r w:rsidR="00BA3BC5">
        <w:t xml:space="preserve">In the case of </w:t>
      </w:r>
      <w:r w:rsidR="00E3741D">
        <w:t xml:space="preserve">spectrum between 3400–3800 MHz, </w:t>
      </w:r>
      <w:r w:rsidR="00E54BFB">
        <w:t xml:space="preserve">we consider the </w:t>
      </w:r>
      <w:r w:rsidR="00A00492">
        <w:t>2</w:t>
      </w:r>
      <w:r w:rsidR="00E54BFB">
        <w:t>-stage generic lots clock auction format</w:t>
      </w:r>
      <w:r w:rsidR="00B06E36">
        <w:t xml:space="preserve"> is likely to be most suitable for the allocation.</w:t>
      </w:r>
    </w:p>
    <w:p w14:paraId="3195F4B0" w14:textId="4A2AD524" w:rsidR="002D1414" w:rsidRDefault="002D1414" w:rsidP="00A349AC">
      <w:pPr>
        <w:pStyle w:val="Paragraph"/>
      </w:pPr>
      <w:r>
        <w:t>We expect that bidders will consider individual lots within a given</w:t>
      </w:r>
      <w:r w:rsidR="00275D68">
        <w:t xml:space="preserve"> geographic region to be substitutable</w:t>
      </w:r>
      <w:r w:rsidR="004C189E">
        <w:t>, necessitating an auction format that enables bidders to switch between lots. Bidding on generic lots reflects this substitutability.</w:t>
      </w:r>
      <w:r w:rsidR="00D27534">
        <w:t xml:space="preserve"> We also expect that bidders will consider multiple contiguous lots to be complementary</w:t>
      </w:r>
      <w:r w:rsidR="00AE4A81">
        <w:t xml:space="preserve">, </w:t>
      </w:r>
      <w:r w:rsidR="00413EFC">
        <w:t xml:space="preserve">which </w:t>
      </w:r>
      <w:r w:rsidR="00306CB9">
        <w:t xml:space="preserve">makes the </w:t>
      </w:r>
      <w:r w:rsidR="00A00492">
        <w:t>2</w:t>
      </w:r>
      <w:r w:rsidR="00306CB9">
        <w:t>-stage generic lots clock auction suitable</w:t>
      </w:r>
      <w:r w:rsidR="00A00492">
        <w:t>,</w:t>
      </w:r>
      <w:r w:rsidR="00306CB9">
        <w:t xml:space="preserve"> as </w:t>
      </w:r>
      <w:r w:rsidR="00E855F6">
        <w:t xml:space="preserve">bidders are typically guaranteed </w:t>
      </w:r>
      <w:r w:rsidR="00070BAD">
        <w:t>contiguity of their generic lots.</w:t>
      </w:r>
    </w:p>
    <w:p w14:paraId="558B720D" w14:textId="764C4071" w:rsidR="00BD2E7A" w:rsidRDefault="00440941" w:rsidP="00A349AC">
      <w:pPr>
        <w:pStyle w:val="Paragraph"/>
      </w:pPr>
      <w:r>
        <w:t>However, the</w:t>
      </w:r>
      <w:r w:rsidR="00066AFC">
        <w:t xml:space="preserve">re </w:t>
      </w:r>
      <w:r w:rsidR="00F737F8">
        <w:t>is</w:t>
      </w:r>
      <w:r w:rsidR="00066AFC">
        <w:t xml:space="preserve"> some </w:t>
      </w:r>
      <w:r w:rsidR="00D41347">
        <w:t xml:space="preserve">inherent complexity involved in allocating such a diverse set of </w:t>
      </w:r>
      <w:r w:rsidR="00F737F8">
        <w:t xml:space="preserve">portions of </w:t>
      </w:r>
      <w:r w:rsidR="00D41347">
        <w:t>spectrum</w:t>
      </w:r>
      <w:r w:rsidR="00F57F40">
        <w:t xml:space="preserve"> via a </w:t>
      </w:r>
      <w:r w:rsidR="00A00492">
        <w:t>2</w:t>
      </w:r>
      <w:r w:rsidR="00F57F40">
        <w:t xml:space="preserve">-stage generic lots clock auction format. </w:t>
      </w:r>
      <w:r w:rsidR="007D2CE8">
        <w:t xml:space="preserve">Depending on </w:t>
      </w:r>
      <w:r w:rsidR="00677312">
        <w:t>how the products are configured for auction, t</w:t>
      </w:r>
      <w:r w:rsidR="00F8106E">
        <w:t>h</w:t>
      </w:r>
      <w:r w:rsidR="007D2CE8">
        <w:t>e</w:t>
      </w:r>
      <w:r w:rsidR="00F8106E">
        <w:t xml:space="preserve"> number of categories </w:t>
      </w:r>
      <w:r w:rsidR="000668A9">
        <w:t>may be</w:t>
      </w:r>
      <w:r w:rsidR="00A00E1C">
        <w:t xml:space="preserve"> larger than in previous allocations that used </w:t>
      </w:r>
      <w:r w:rsidR="00B32112">
        <w:t>this format (</w:t>
      </w:r>
      <w:r w:rsidR="00A00492">
        <w:t>that is,</w:t>
      </w:r>
      <w:r w:rsidR="00B32112">
        <w:t xml:space="preserve"> 3.6 GHz, 26 GHz, 850</w:t>
      </w:r>
      <w:r w:rsidR="006961BD">
        <w:t>/900</w:t>
      </w:r>
      <w:r w:rsidR="00B32112">
        <w:t xml:space="preserve"> MHz). </w:t>
      </w:r>
      <w:r w:rsidR="00315AB5">
        <w:t xml:space="preserve">Switching bidding between </w:t>
      </w:r>
      <w:r w:rsidR="0033371D">
        <w:t xml:space="preserve">a larger </w:t>
      </w:r>
      <w:r w:rsidR="00315AB5">
        <w:t xml:space="preserve">number of categories, and </w:t>
      </w:r>
      <w:r w:rsidR="00531F32">
        <w:t xml:space="preserve">products </w:t>
      </w:r>
      <w:r w:rsidR="00315AB5">
        <w:t xml:space="preserve">within </w:t>
      </w:r>
      <w:r w:rsidR="00150231">
        <w:t xml:space="preserve">those </w:t>
      </w:r>
      <w:r w:rsidR="00315AB5">
        <w:t>categories, may present some complexity for bidders.</w:t>
      </w:r>
      <w:r w:rsidR="009221B8">
        <w:t xml:space="preserve"> It may be possible to use strategies to reduce the complexity, for example</w:t>
      </w:r>
      <w:r w:rsidR="00A00492">
        <w:t>,</w:t>
      </w:r>
      <w:r w:rsidR="009221B8">
        <w:t xml:space="preserve"> </w:t>
      </w:r>
      <w:r w:rsidR="00693E80">
        <w:t>running</w:t>
      </w:r>
      <w:r w:rsidR="00367BE9">
        <w:t xml:space="preserve"> a lower number of </w:t>
      </w:r>
      <w:r w:rsidR="00322ACB">
        <w:t xml:space="preserve">bidding </w:t>
      </w:r>
      <w:r w:rsidR="00367BE9">
        <w:t>rounds per day</w:t>
      </w:r>
      <w:r w:rsidR="00322ACB">
        <w:t xml:space="preserve"> in the allocation stage</w:t>
      </w:r>
      <w:r w:rsidR="00367BE9">
        <w:t>.</w:t>
      </w:r>
    </w:p>
    <w:p w14:paraId="20E2B602" w14:textId="0846C42C" w:rsidR="004E4772" w:rsidRDefault="00DE2F92" w:rsidP="00A349AC">
      <w:pPr>
        <w:pStyle w:val="Paragraph"/>
      </w:pPr>
      <w:r>
        <w:t xml:space="preserve">We consider that package bidding formats </w:t>
      </w:r>
      <w:r w:rsidR="0021721C">
        <w:t xml:space="preserve">are unlikely to be appropriate in this context. The </w:t>
      </w:r>
      <w:r w:rsidR="000C6D04">
        <w:t xml:space="preserve">likely </w:t>
      </w:r>
      <w:r w:rsidR="00E303A7">
        <w:t xml:space="preserve">number of </w:t>
      </w:r>
      <w:r w:rsidR="00F215DA">
        <w:t>categories</w:t>
      </w:r>
      <w:r w:rsidR="00E2263D">
        <w:t>,</w:t>
      </w:r>
      <w:r w:rsidR="00F215DA">
        <w:t xml:space="preserve"> </w:t>
      </w:r>
      <w:r w:rsidR="00E2263D">
        <w:t xml:space="preserve">the number </w:t>
      </w:r>
      <w:r w:rsidR="00A00492">
        <w:t xml:space="preserve">of </w:t>
      </w:r>
      <w:r w:rsidR="00990490">
        <w:t>products on offer in those categories, and the number of lots of each product</w:t>
      </w:r>
      <w:r w:rsidR="00E2263D">
        <w:t xml:space="preserve">, </w:t>
      </w:r>
      <w:r w:rsidR="00D0488E">
        <w:t>would likely present bidding and computational complexity for all potential package formats</w:t>
      </w:r>
      <w:r w:rsidR="00E250E0">
        <w:t>.</w:t>
      </w:r>
      <w:r w:rsidR="000B5892">
        <w:t xml:space="preserve"> </w:t>
      </w:r>
    </w:p>
    <w:p w14:paraId="1C1609D7" w14:textId="42786C62" w:rsidR="00413B26" w:rsidRDefault="000479F3" w:rsidP="00A349AC">
      <w:pPr>
        <w:pStyle w:val="Paragraph"/>
      </w:pPr>
      <w:r>
        <w:t xml:space="preserve">An alternative is to instead use </w:t>
      </w:r>
      <w:r w:rsidR="004D216D">
        <w:t>a standard SMRA</w:t>
      </w:r>
      <w:r w:rsidR="00CA29E1">
        <w:t xml:space="preserve">, </w:t>
      </w:r>
      <w:r w:rsidR="000B5892">
        <w:t>which</w:t>
      </w:r>
      <w:r w:rsidR="00CA29E1">
        <w:t xml:space="preserve"> would mean all lots would be put</w:t>
      </w:r>
      <w:r w:rsidR="00864751">
        <w:t xml:space="preserve"> up for sale</w:t>
      </w:r>
      <w:r w:rsidR="004D216D">
        <w:t xml:space="preserve"> </w:t>
      </w:r>
      <w:r w:rsidR="00E83131">
        <w:t>simultaneously</w:t>
      </w:r>
      <w:r w:rsidR="00A0581F">
        <w:t>.</w:t>
      </w:r>
      <w:r w:rsidR="00E83131">
        <w:t xml:space="preserve"> </w:t>
      </w:r>
      <w:r w:rsidR="00966DA3">
        <w:t xml:space="preserve">However, again, the number of lots would be significant, which presents substantial bidding complexity, and </w:t>
      </w:r>
      <w:r w:rsidR="00E66C55">
        <w:t>many of the issues that have arisen in previous SMRA auctions would likely remain.</w:t>
      </w:r>
      <w:r w:rsidR="00E66C55">
        <w:rPr>
          <w:rStyle w:val="FootnoteReference"/>
        </w:rPr>
        <w:footnoteReference w:id="19"/>
      </w:r>
    </w:p>
    <w:p w14:paraId="3724AFD9" w14:textId="6628B7DF" w:rsidR="00A92531" w:rsidRDefault="009221B8" w:rsidP="00A349AC">
      <w:pPr>
        <w:pStyle w:val="Paragraph"/>
      </w:pPr>
      <w:r>
        <w:t xml:space="preserve">On balance, we consider that the </w:t>
      </w:r>
      <w:r w:rsidR="00A00492">
        <w:t>2</w:t>
      </w:r>
      <w:r w:rsidR="00367BE9">
        <w:t>-stage generic lots clock auction format</w:t>
      </w:r>
      <w:r w:rsidR="00B908B3">
        <w:t xml:space="preserve"> still retains some benefits </w:t>
      </w:r>
      <w:r w:rsidR="009F5DEE">
        <w:t xml:space="preserve">in terms of enabling bidders to </w:t>
      </w:r>
      <w:r w:rsidR="00B908B3">
        <w:t xml:space="preserve">express demand </w:t>
      </w:r>
      <w:r w:rsidR="00FD216C">
        <w:t xml:space="preserve">for generic lots within </w:t>
      </w:r>
      <w:r w:rsidR="00990490">
        <w:t xml:space="preserve">geographic areas </w:t>
      </w:r>
      <w:r w:rsidR="009F5DEE">
        <w:t xml:space="preserve">across </w:t>
      </w:r>
      <w:r w:rsidR="00FD216C">
        <w:t>a number of categories.</w:t>
      </w:r>
    </w:p>
    <w:p w14:paraId="38735318" w14:textId="63FC0352" w:rsidR="009B5633" w:rsidRPr="00FA67E0" w:rsidRDefault="00A00492" w:rsidP="006E3C43">
      <w:pPr>
        <w:pStyle w:val="Heading3"/>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The </w:t>
      </w:r>
      <w:r w:rsidR="001C3373">
        <w:t>ACMA’s</w:t>
      </w:r>
      <w:r w:rsidR="00A47BA0" w:rsidRPr="00FA67E0">
        <w:t xml:space="preserve"> </w:t>
      </w:r>
      <w:r w:rsidR="008753C1">
        <w:t>preferred</w:t>
      </w:r>
      <w:r w:rsidR="008753C1" w:rsidRPr="00FA67E0">
        <w:t xml:space="preserve"> </w:t>
      </w:r>
      <w:r w:rsidR="00A47BA0" w:rsidRPr="00FA67E0">
        <w:t>view</w:t>
      </w:r>
      <w:r w:rsidR="00D3382F">
        <w:t>: allocation methodology</w:t>
      </w:r>
    </w:p>
    <w:p w14:paraId="7135076E" w14:textId="77777777" w:rsidR="00A157F6" w:rsidRDefault="00920DE7" w:rsidP="006E3C43">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Do you </w:t>
      </w:r>
      <w:r w:rsidR="00C15F20">
        <w:t xml:space="preserve">have comments </w:t>
      </w:r>
      <w:r w:rsidR="00DB7AAF">
        <w:t xml:space="preserve">on the proposal </w:t>
      </w:r>
      <w:r w:rsidR="009B5633">
        <w:t xml:space="preserve">to use the </w:t>
      </w:r>
      <w:r w:rsidR="00A00492">
        <w:t>2</w:t>
      </w:r>
      <w:r w:rsidR="00164B77">
        <w:t xml:space="preserve">-stage generic lots clock auction </w:t>
      </w:r>
      <w:r w:rsidR="009B5633">
        <w:t>format</w:t>
      </w:r>
      <w:r w:rsidR="00923621">
        <w:t xml:space="preserve"> </w:t>
      </w:r>
      <w:r>
        <w:t xml:space="preserve">for this allocation? </w:t>
      </w:r>
    </w:p>
    <w:p w14:paraId="3B479C2E" w14:textId="09CBF9A6" w:rsidR="009B5633" w:rsidRDefault="00920DE7" w:rsidP="006E3C43">
      <w:pPr>
        <w:pStyle w:val="Paragraph"/>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Please </w:t>
      </w:r>
      <w:r w:rsidR="00DB7AAF">
        <w:t>provide evidence in support of your comments</w:t>
      </w:r>
      <w:r>
        <w:t>.</w:t>
      </w:r>
    </w:p>
    <w:p w14:paraId="3C005E27" w14:textId="44672A6E" w:rsidR="00207255" w:rsidRDefault="00207255" w:rsidP="00920DE7">
      <w:pPr>
        <w:pStyle w:val="Heading2"/>
        <w:keepLines/>
      </w:pPr>
      <w:bookmarkStart w:id="62" w:name="_Toc96941001"/>
      <w:r>
        <w:t>Minimum spectrum requirement</w:t>
      </w:r>
      <w:bookmarkEnd w:id="62"/>
      <w:r>
        <w:t xml:space="preserve"> </w:t>
      </w:r>
    </w:p>
    <w:p w14:paraId="7528C13A" w14:textId="59BA36D9" w:rsidR="00207255" w:rsidRDefault="00B4672E" w:rsidP="00920DE7">
      <w:pPr>
        <w:keepNext/>
        <w:keepLines/>
      </w:pPr>
      <w:r>
        <w:t>O</w:t>
      </w:r>
      <w:r w:rsidR="00207255">
        <w:t xml:space="preserve">ur preliminary view is to use a </w:t>
      </w:r>
      <w:r w:rsidR="00A00492">
        <w:t>2</w:t>
      </w:r>
      <w:r w:rsidR="00207255">
        <w:t>-stage clock auction with generic lots. In such an auction format, bidders may face a frequency-based exposure risk: bidders would be exposed to winning amounts of spectrum they may consider to be insufficient and uneconomical. To help mitigate the effects of this risk</w:t>
      </w:r>
      <w:r w:rsidR="0083668C">
        <w:t>,</w:t>
      </w:r>
      <w:r w:rsidR="00207255">
        <w:t xml:space="preserve"> we are considering the use of the minimum spectrum requirement (MSR) feature, as we have in previous auctions. </w:t>
      </w:r>
    </w:p>
    <w:p w14:paraId="3789BDB7" w14:textId="77777777" w:rsidR="00207255" w:rsidRDefault="00207255" w:rsidP="00207255">
      <w:r>
        <w:t xml:space="preserve">The MSR feature will allow a bidder to reduce demand from its minimum requirement to zero if the price exceeds the bidder’s specified price point. </w:t>
      </w:r>
    </w:p>
    <w:p w14:paraId="3A3FE1D5" w14:textId="77777777" w:rsidR="00207255" w:rsidRDefault="00207255" w:rsidP="00207255">
      <w:r>
        <w:t xml:space="preserve">We consider the main risk associated with the MSR is that it may introduce strategic bidding and complexity. For example, bidders may be able to use the MSR to impose externalities on competitors without facing appropriate risk for their strategic behaviour. However, we consider the likelihood of strategic bidding can be minimised by offering the appropriate MSR. </w:t>
      </w:r>
    </w:p>
    <w:p w14:paraId="3FC785BD" w14:textId="18204013" w:rsidR="00207255" w:rsidRPr="00B24B08" w:rsidRDefault="00207255" w:rsidP="00207255">
      <w:r>
        <w:t xml:space="preserve">We consider it likely that a 20 MHz holding could be a bidder’s minimum efficient scale, particularly for spectrum in the 3.7 GHz band. That is, bidders’ demands may feature increasing returns to scale between a 10 MHz holding and a 20 MHz holding, and may subsequently show decreasing returns to scale beyond a 20 MHz holding. </w:t>
      </w:r>
    </w:p>
    <w:p w14:paraId="48BC0BBE" w14:textId="2B32BEF1" w:rsidR="003C1E10" w:rsidRDefault="003C1E10" w:rsidP="00207255">
      <w:r>
        <w:t>In this case, we may offer bidders at auction an MSR of 2 lots (using any of the frequency bandwidth options described above, this would be 2 lots of 10 MHz</w:t>
      </w:r>
      <w:r w:rsidR="00374183">
        <w:t xml:space="preserve"> in the urban excise, 3.4 GHz and 3.7 GHz bands</w:t>
      </w:r>
      <w:r>
        <w:t xml:space="preserve"> or 2 lots of 5 MHz</w:t>
      </w:r>
      <w:r w:rsidR="00374183">
        <w:t xml:space="preserve"> in the 3.4 GHz band</w:t>
      </w:r>
      <w:r w:rsidR="0083668C">
        <w:t>,</w:t>
      </w:r>
      <w:r w:rsidR="00374183">
        <w:t xml:space="preserve"> and 2 lots of 10 MHz in the urban excise and 3.7 GHz band</w:t>
      </w:r>
      <w:r>
        <w:t xml:space="preserve">). </w:t>
      </w:r>
    </w:p>
    <w:p w14:paraId="646289EF" w14:textId="03D28D3C" w:rsidR="00207255" w:rsidRDefault="00207255" w:rsidP="00207255">
      <w:r>
        <w:t xml:space="preserve">We note that there is an additional risk that lots will be unsold if the MSR feature is used. </w:t>
      </w:r>
    </w:p>
    <w:p w14:paraId="335293B4" w14:textId="515CC4EF" w:rsidR="00207255" w:rsidRDefault="0083668C" w:rsidP="00920DE7">
      <w:pPr>
        <w:pStyle w:val="Heading3"/>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The </w:t>
      </w:r>
      <w:r w:rsidR="00207255">
        <w:t>ACMA’s preferred view: minimum spectrum requirement</w:t>
      </w:r>
    </w:p>
    <w:p w14:paraId="3954EB19" w14:textId="77777777" w:rsidR="00A157F6" w:rsidRDefault="002E6CDE" w:rsidP="0083668C">
      <w:pPr>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Do you </w:t>
      </w:r>
      <w:r w:rsidR="00417D6E">
        <w:t>have comments on</w:t>
      </w:r>
      <w:r>
        <w:t xml:space="preserve"> o</w:t>
      </w:r>
      <w:r w:rsidR="00207255">
        <w:t>ur preliminary view to offer bidders at auction an MSR of 2</w:t>
      </w:r>
      <w:r w:rsidR="00374183">
        <w:t xml:space="preserve"> lots</w:t>
      </w:r>
      <w:r w:rsidR="0059795A">
        <w:t>, particularly if the 2-stage clock auction with generic lots is used</w:t>
      </w:r>
      <w:r>
        <w:t xml:space="preserve">? </w:t>
      </w:r>
    </w:p>
    <w:p w14:paraId="1837B12C" w14:textId="6480B963" w:rsidR="0083668C" w:rsidRDefault="002E6CDE" w:rsidP="0083668C">
      <w:pPr>
        <w:pBdr>
          <w:top w:val="single" w:sz="4" w:space="1" w:color="auto"/>
          <w:left w:val="single" w:sz="4" w:space="4" w:color="auto"/>
          <w:bottom w:val="single" w:sz="4" w:space="1" w:color="auto"/>
          <w:right w:val="single" w:sz="4" w:space="4" w:color="auto"/>
        </w:pBdr>
        <w:shd w:val="clear" w:color="auto" w:fill="F2F2F2" w:themeFill="background1" w:themeFillShade="F2"/>
      </w:pPr>
      <w:r>
        <w:t xml:space="preserve">Please </w:t>
      </w:r>
      <w:r w:rsidR="00933932">
        <w:t>provide evidence in support of your comments</w:t>
      </w:r>
      <w:r>
        <w:t>.</w:t>
      </w:r>
      <w:r w:rsidR="00207255">
        <w:t xml:space="preserve"> </w:t>
      </w:r>
    </w:p>
    <w:p w14:paraId="0DE9F0C5" w14:textId="29F2ADF8" w:rsidR="00771501" w:rsidRDefault="00771501" w:rsidP="00771501">
      <w:pPr>
        <w:pStyle w:val="Heading1"/>
      </w:pPr>
      <w:bookmarkStart w:id="63" w:name="_Toc96941002"/>
      <w:r w:rsidRPr="00BA547E">
        <w:t>Next steps</w:t>
      </w:r>
      <w:bookmarkEnd w:id="63"/>
    </w:p>
    <w:p w14:paraId="260B7B08" w14:textId="4A5C1937" w:rsidR="00B9642F" w:rsidRPr="00B266EC" w:rsidRDefault="000060EF" w:rsidP="00B070CB">
      <w:pPr>
        <w:pStyle w:val="Paragraph"/>
        <w:spacing w:before="240"/>
      </w:pPr>
      <w:r w:rsidRPr="00B266EC">
        <w:t xml:space="preserve">We invite comments on the views set out in this consultation paper. </w:t>
      </w:r>
      <w:r w:rsidR="00525815" w:rsidRPr="00B266EC">
        <w:t xml:space="preserve">At the end of the consultation period, </w:t>
      </w:r>
      <w:r w:rsidR="001318ED" w:rsidRPr="00B266EC">
        <w:t>we</w:t>
      </w:r>
      <w:r w:rsidR="00525815" w:rsidRPr="00B266EC">
        <w:t xml:space="preserve"> will consider </w:t>
      </w:r>
      <w:r w:rsidR="00EF1684" w:rsidRPr="00B266EC">
        <w:t xml:space="preserve">all comments received to decide </w:t>
      </w:r>
      <w:r w:rsidR="003A71EF" w:rsidRPr="00B266EC">
        <w:t>whether we make a re</w:t>
      </w:r>
      <w:r w:rsidR="003A71EF" w:rsidRPr="00B266EC">
        <w:noBreakHyphen/>
        <w:t>allocation declaration and what the terms of the re</w:t>
      </w:r>
      <w:r w:rsidR="003A71EF" w:rsidRPr="00B266EC">
        <w:noBreakHyphen/>
        <w:t>allocation declaration are</w:t>
      </w:r>
      <w:r w:rsidR="00525815" w:rsidRPr="00B266EC">
        <w:t xml:space="preserve">. </w:t>
      </w:r>
    </w:p>
    <w:p w14:paraId="2DCAA582" w14:textId="14764189" w:rsidR="00466A79" w:rsidRDefault="00466A79" w:rsidP="00771501">
      <w:r w:rsidRPr="00B266EC">
        <w:t>If we make a re</w:t>
      </w:r>
      <w:r w:rsidRPr="00B266EC">
        <w:noBreakHyphen/>
        <w:t>allocation declaration,</w:t>
      </w:r>
      <w:r w:rsidR="00B9642F" w:rsidRPr="00B266EC">
        <w:t xml:space="preserve"> </w:t>
      </w:r>
      <w:r w:rsidR="00CA1378" w:rsidRPr="00B266EC">
        <w:t xml:space="preserve">we </w:t>
      </w:r>
      <w:r w:rsidR="00AF6AA5">
        <w:t xml:space="preserve">will </w:t>
      </w:r>
      <w:r w:rsidR="006D32D2">
        <w:t>begin</w:t>
      </w:r>
      <w:r w:rsidR="006D32D2" w:rsidRPr="00B266EC">
        <w:t xml:space="preserve"> </w:t>
      </w:r>
      <w:r w:rsidR="00B9642F" w:rsidRPr="00B266EC">
        <w:t>a process to allocate spectrum licences</w:t>
      </w:r>
      <w:r w:rsidRPr="00B266EC">
        <w:t xml:space="preserve"> in the parts of the spectrum declared for re</w:t>
      </w:r>
      <w:r w:rsidRPr="00B266EC">
        <w:noBreakHyphen/>
        <w:t>allocation</w:t>
      </w:r>
      <w:r w:rsidR="00B9642F" w:rsidRPr="00B266EC">
        <w:t>.</w:t>
      </w:r>
      <w:r w:rsidR="00B9642F" w:rsidRPr="00B9642F">
        <w:t xml:space="preserve"> </w:t>
      </w:r>
    </w:p>
    <w:p w14:paraId="5960F2B4" w14:textId="04B6AAA9" w:rsidR="00080452" w:rsidRDefault="00FE372D" w:rsidP="00771501">
      <w:r>
        <w:t>W</w:t>
      </w:r>
      <w:r w:rsidR="00CA1378">
        <w:t>e</w:t>
      </w:r>
      <w:r w:rsidR="00B9642F" w:rsidRPr="00B9642F">
        <w:t xml:space="preserve"> </w:t>
      </w:r>
      <w:r>
        <w:t xml:space="preserve">will </w:t>
      </w:r>
      <w:r w:rsidR="00B9642F" w:rsidRPr="00B9642F">
        <w:t xml:space="preserve">release further information about the process and undertake further consultation to support the allocation. </w:t>
      </w:r>
      <w:r w:rsidR="00C42A3D">
        <w:t xml:space="preserve">For instance, we intend to conduct targeted consultation on the planning proposals contained in this consultation paper, as well as the policy settings </w:t>
      </w:r>
      <w:r w:rsidR="00080452">
        <w:t xml:space="preserve">for the proposed allocation of spectrum licences. </w:t>
      </w:r>
      <w:r w:rsidR="009B7357">
        <w:t>We will conduct public consultation on the instruments required to run the allocation, including a marketing plan prepared under section 39A of the Act and allocation procedures prepared under sections 60 and 294 of the Act.</w:t>
      </w:r>
    </w:p>
    <w:p w14:paraId="306824EB" w14:textId="1E4750CB" w:rsidR="00145DE4" w:rsidRDefault="00B9642F" w:rsidP="00B9642F">
      <w:r w:rsidRPr="00B9642F">
        <w:t xml:space="preserve">Subject to </w:t>
      </w:r>
      <w:r w:rsidR="00A9582D">
        <w:t>this consultation</w:t>
      </w:r>
      <w:r w:rsidRPr="00B9642F">
        <w:t xml:space="preserve">, </w:t>
      </w:r>
      <w:r w:rsidR="000453AB">
        <w:t>we are</w:t>
      </w:r>
      <w:r w:rsidRPr="00B9642F">
        <w:t xml:space="preserve"> planning to </w:t>
      </w:r>
      <w:r w:rsidR="00FE372D">
        <w:t>begin</w:t>
      </w:r>
      <w:r w:rsidR="00FE372D" w:rsidRPr="00B9642F">
        <w:t xml:space="preserve"> </w:t>
      </w:r>
      <w:r w:rsidRPr="00B9642F">
        <w:t xml:space="preserve">an allocation process in </w:t>
      </w:r>
      <w:r w:rsidR="00E475BB" w:rsidRPr="0041126B">
        <w:t>202</w:t>
      </w:r>
      <w:r w:rsidR="00A71905" w:rsidRPr="0041126B">
        <w:t>3</w:t>
      </w:r>
      <w:r w:rsidRPr="0041126B">
        <w:t>.</w:t>
      </w:r>
      <w:r w:rsidRPr="00B9642F">
        <w:t xml:space="preserve"> Consultation </w:t>
      </w:r>
      <w:r w:rsidR="00D268DF">
        <w:t>will</w:t>
      </w:r>
      <w:r w:rsidRPr="00B9642F">
        <w:t xml:space="preserve"> be undertaken in accordance with this </w:t>
      </w:r>
      <w:r w:rsidRPr="0041126B">
        <w:t xml:space="preserve">timing. </w:t>
      </w:r>
      <w:r w:rsidR="00D268DF" w:rsidRPr="0041126B">
        <w:t>Ta</w:t>
      </w:r>
      <w:r w:rsidR="00D268DF" w:rsidRPr="009A591C">
        <w:t xml:space="preserve">ble </w:t>
      </w:r>
      <w:r w:rsidR="009A591C">
        <w:t>6</w:t>
      </w:r>
      <w:r w:rsidR="00FE372D" w:rsidRPr="0041126B">
        <w:t xml:space="preserve"> </w:t>
      </w:r>
      <w:r w:rsidRPr="0041126B">
        <w:t>shows</w:t>
      </w:r>
      <w:r>
        <w:t xml:space="preserve"> an indicative timetable for the major milestones relevant to the allocation of the </w:t>
      </w:r>
      <w:r w:rsidR="3A69CA08">
        <w:t>3.4</w:t>
      </w:r>
      <w:r w:rsidR="00065C54">
        <w:t> </w:t>
      </w:r>
      <w:r w:rsidR="3A69CA08">
        <w:t xml:space="preserve">GHz and </w:t>
      </w:r>
      <w:r w:rsidR="14107D2D">
        <w:t xml:space="preserve">3.7 GHz </w:t>
      </w:r>
      <w:r w:rsidR="4F7A15F0">
        <w:t>band</w:t>
      </w:r>
      <w:r w:rsidR="40698768">
        <w:t>s</w:t>
      </w:r>
      <w:r w:rsidR="4F7A15F0">
        <w:t>.</w:t>
      </w:r>
    </w:p>
    <w:p w14:paraId="1725BB3A" w14:textId="1B813ACF" w:rsidR="00B9642F" w:rsidRDefault="00B9642F" w:rsidP="0059795A">
      <w:pPr>
        <w:pStyle w:val="Tableheading"/>
      </w:pPr>
      <w:bookmarkStart w:id="64" w:name="_Ref4150533"/>
      <w:r>
        <w:t>Indicative timetable</w:t>
      </w:r>
      <w:bookmarkEnd w:id="64"/>
      <w:r w:rsidR="00F67A24">
        <w:t>*</w:t>
      </w:r>
      <w:r>
        <w:t xml:space="preserve"> </w:t>
      </w:r>
    </w:p>
    <w:tbl>
      <w:tblPr>
        <w:tblStyle w:val="ACMAtablestyle"/>
        <w:tblW w:w="0" w:type="auto"/>
        <w:tblCellMar>
          <w:top w:w="85" w:type="dxa"/>
          <w:left w:w="57" w:type="dxa"/>
          <w:bottom w:w="85" w:type="dxa"/>
          <w:right w:w="57" w:type="dxa"/>
        </w:tblCellMar>
        <w:tblLook w:val="04A0" w:firstRow="1" w:lastRow="0" w:firstColumn="1" w:lastColumn="0" w:noHBand="0" w:noVBand="1"/>
      </w:tblPr>
      <w:tblGrid>
        <w:gridCol w:w="5382"/>
        <w:gridCol w:w="2268"/>
      </w:tblGrid>
      <w:tr w:rsidR="00B9642F" w14:paraId="60CF9AF2" w14:textId="77777777" w:rsidTr="00B631B4">
        <w:trPr>
          <w:cnfStyle w:val="100000000000" w:firstRow="1" w:lastRow="0" w:firstColumn="0" w:lastColumn="0" w:oddVBand="0" w:evenVBand="0" w:oddHBand="0" w:evenHBand="0" w:firstRowFirstColumn="0" w:firstRowLastColumn="0" w:lastRowFirstColumn="0" w:lastRowLastColumn="0"/>
          <w:trHeight w:val="199"/>
        </w:trPr>
        <w:tc>
          <w:tcPr>
            <w:tcW w:w="5382" w:type="dxa"/>
          </w:tcPr>
          <w:p w14:paraId="1BE72DAE" w14:textId="4B092A8B" w:rsidR="00B9642F" w:rsidRDefault="00B9642F" w:rsidP="00232B10">
            <w:pPr>
              <w:pStyle w:val="Tableheaderrow"/>
              <w:keepNext/>
              <w:keepLines/>
            </w:pPr>
            <w:r>
              <w:t xml:space="preserve">Action </w:t>
            </w:r>
          </w:p>
        </w:tc>
        <w:tc>
          <w:tcPr>
            <w:tcW w:w="2268" w:type="dxa"/>
          </w:tcPr>
          <w:p w14:paraId="0ED01C05" w14:textId="67284BCE" w:rsidR="00B9642F" w:rsidRDefault="00B9642F" w:rsidP="00232B10">
            <w:pPr>
              <w:pStyle w:val="Tableheaderrow"/>
              <w:keepNext/>
              <w:keepLines/>
            </w:pPr>
            <w:r>
              <w:t>Date</w:t>
            </w:r>
          </w:p>
        </w:tc>
      </w:tr>
      <w:tr w:rsidR="001C1E71" w14:paraId="663A2ECF" w14:textId="77777777" w:rsidTr="00B631B4">
        <w:trPr>
          <w:cnfStyle w:val="000000100000" w:firstRow="0" w:lastRow="0" w:firstColumn="0" w:lastColumn="0" w:oddVBand="0" w:evenVBand="0" w:oddHBand="1" w:evenHBand="0" w:firstRowFirstColumn="0" w:firstRowLastColumn="0" w:lastRowFirstColumn="0" w:lastRowLastColumn="0"/>
          <w:trHeight w:val="199"/>
        </w:trPr>
        <w:tc>
          <w:tcPr>
            <w:tcW w:w="5382" w:type="dxa"/>
            <w:shd w:val="clear" w:color="auto" w:fill="auto"/>
          </w:tcPr>
          <w:p w14:paraId="35CF95F0" w14:textId="40DF04CB" w:rsidR="001C1E71" w:rsidRPr="00BA547E" w:rsidRDefault="006704FC" w:rsidP="00232B10">
            <w:pPr>
              <w:pStyle w:val="Tableheaderrow"/>
              <w:keepNext/>
              <w:keepLines/>
              <w:rPr>
                <w:b w:val="0"/>
                <w:bCs/>
              </w:rPr>
            </w:pPr>
            <w:r>
              <w:rPr>
                <w:b w:val="0"/>
                <w:bCs/>
              </w:rPr>
              <w:t>Public consultation on proposal to re-allocate</w:t>
            </w:r>
            <w:r w:rsidR="00C4643A">
              <w:rPr>
                <w:b w:val="0"/>
                <w:bCs/>
              </w:rPr>
              <w:t xml:space="preserve"> spectrum in the 3.4 GHz and 3.7 GHz bands</w:t>
            </w:r>
          </w:p>
        </w:tc>
        <w:tc>
          <w:tcPr>
            <w:tcW w:w="2268" w:type="dxa"/>
            <w:shd w:val="clear" w:color="auto" w:fill="auto"/>
          </w:tcPr>
          <w:p w14:paraId="77B7EE34" w14:textId="18FCD8FA" w:rsidR="001C1E71" w:rsidRPr="00BA547E" w:rsidRDefault="0059795A" w:rsidP="00232B10">
            <w:pPr>
              <w:pStyle w:val="Tableheaderrow"/>
              <w:keepNext/>
              <w:keepLines/>
              <w:rPr>
                <w:b w:val="0"/>
                <w:bCs/>
              </w:rPr>
            </w:pPr>
            <w:r>
              <w:rPr>
                <w:b w:val="0"/>
                <w:bCs/>
              </w:rPr>
              <w:t>2 March to 27 April 2022</w:t>
            </w:r>
          </w:p>
        </w:tc>
      </w:tr>
      <w:tr w:rsidR="00B9642F" w14:paraId="7E34C44D" w14:textId="77777777" w:rsidTr="00B631B4">
        <w:trPr>
          <w:cnfStyle w:val="000000010000" w:firstRow="0" w:lastRow="0" w:firstColumn="0" w:lastColumn="0" w:oddVBand="0" w:evenVBand="0" w:oddHBand="0" w:evenHBand="1" w:firstRowFirstColumn="0" w:firstRowLastColumn="0" w:lastRowFirstColumn="0" w:lastRowLastColumn="0"/>
          <w:trHeight w:val="469"/>
        </w:trPr>
        <w:tc>
          <w:tcPr>
            <w:tcW w:w="0" w:type="dxa"/>
            <w:shd w:val="clear" w:color="auto" w:fill="F2F2F2" w:themeFill="background1" w:themeFillShade="F2"/>
          </w:tcPr>
          <w:p w14:paraId="1778196C" w14:textId="38AE7AD6" w:rsidR="00B9642F" w:rsidRDefault="008E094D" w:rsidP="00232B10">
            <w:pPr>
              <w:pStyle w:val="TableBody"/>
              <w:keepNext/>
              <w:keepLines/>
            </w:pPr>
            <w:r>
              <w:t xml:space="preserve">Targeted consultation (tune-up) </w:t>
            </w:r>
            <w:r w:rsidR="00395F4B">
              <w:t>on issues relevant to the re-allocation of 3.4 GHz and 3.7 GHz band spectrum</w:t>
            </w:r>
          </w:p>
        </w:tc>
        <w:tc>
          <w:tcPr>
            <w:tcW w:w="0" w:type="dxa"/>
            <w:shd w:val="clear" w:color="auto" w:fill="F2F2F2" w:themeFill="background1" w:themeFillShade="F2"/>
          </w:tcPr>
          <w:p w14:paraId="75740019" w14:textId="587344EE" w:rsidR="00B9642F" w:rsidRDefault="004867CB" w:rsidP="00232B10">
            <w:pPr>
              <w:pStyle w:val="TableBody"/>
              <w:keepNext/>
              <w:keepLines/>
            </w:pPr>
            <w:r>
              <w:t>Late March</w:t>
            </w:r>
            <w:r w:rsidR="009E2F66">
              <w:t xml:space="preserve"> or</w:t>
            </w:r>
            <w:r>
              <w:t xml:space="preserve"> early April 2022</w:t>
            </w:r>
          </w:p>
        </w:tc>
      </w:tr>
      <w:tr w:rsidR="00B9642F" w14:paraId="352DADE8" w14:textId="77777777" w:rsidTr="00B631B4">
        <w:trPr>
          <w:cnfStyle w:val="000000100000" w:firstRow="0" w:lastRow="0" w:firstColumn="0" w:lastColumn="0" w:oddVBand="0" w:evenVBand="0" w:oddHBand="1" w:evenHBand="0" w:firstRowFirstColumn="0" w:firstRowLastColumn="0" w:lastRowFirstColumn="0" w:lastRowLastColumn="0"/>
        </w:trPr>
        <w:tc>
          <w:tcPr>
            <w:tcW w:w="5382" w:type="dxa"/>
            <w:shd w:val="clear" w:color="auto" w:fill="auto"/>
          </w:tcPr>
          <w:p w14:paraId="495BBCAD" w14:textId="2BD3F4DE" w:rsidR="00B9642F" w:rsidRDefault="00C4643A" w:rsidP="00232B10">
            <w:pPr>
              <w:pStyle w:val="TableBody"/>
              <w:keepNext/>
              <w:keepLines/>
            </w:pPr>
            <w:r>
              <w:t>Subject to the outcome of consultations, make</w:t>
            </w:r>
            <w:r w:rsidR="00716B3F">
              <w:t xml:space="preserve"> a re</w:t>
            </w:r>
            <w:r w:rsidR="00CD088C">
              <w:noBreakHyphen/>
            </w:r>
            <w:r w:rsidR="00716B3F">
              <w:t>allocation declaration</w:t>
            </w:r>
            <w:r w:rsidR="00CD088C">
              <w:t xml:space="preserve"> in accordance with section 153B of the Act</w:t>
            </w:r>
          </w:p>
        </w:tc>
        <w:tc>
          <w:tcPr>
            <w:tcW w:w="2268" w:type="dxa"/>
            <w:shd w:val="clear" w:color="auto" w:fill="auto"/>
          </w:tcPr>
          <w:p w14:paraId="009A2943" w14:textId="404BCBBB" w:rsidR="00B9642F" w:rsidRDefault="00EE1F6B" w:rsidP="00232B10">
            <w:pPr>
              <w:pStyle w:val="TableBody"/>
              <w:keepNext/>
              <w:keepLines/>
            </w:pPr>
            <w:r>
              <w:t>Mid</w:t>
            </w:r>
            <w:r w:rsidR="00F51139">
              <w:t>-</w:t>
            </w:r>
            <w:r>
              <w:t>2022</w:t>
            </w:r>
          </w:p>
        </w:tc>
      </w:tr>
      <w:tr w:rsidR="00B9642F" w:rsidRPr="00826325" w14:paraId="6F5F4BD6" w14:textId="77777777" w:rsidTr="00B631B4">
        <w:trPr>
          <w:cnfStyle w:val="000000010000" w:firstRow="0" w:lastRow="0" w:firstColumn="0" w:lastColumn="0" w:oddVBand="0" w:evenVBand="0" w:oddHBand="0" w:evenHBand="1" w:firstRowFirstColumn="0" w:firstRowLastColumn="0" w:lastRowFirstColumn="0" w:lastRowLastColumn="0"/>
        </w:trPr>
        <w:tc>
          <w:tcPr>
            <w:tcW w:w="5382" w:type="dxa"/>
            <w:shd w:val="clear" w:color="auto" w:fill="F2F2F2" w:themeFill="background1" w:themeFillShade="F2"/>
          </w:tcPr>
          <w:p w14:paraId="34756A76" w14:textId="2EE03732" w:rsidR="00B9642F" w:rsidRDefault="00660411" w:rsidP="00232B10">
            <w:pPr>
              <w:pStyle w:val="TableBody"/>
              <w:keepNext/>
              <w:keepLines/>
            </w:pPr>
            <w:r>
              <w:t>Release</w:t>
            </w:r>
            <w:r w:rsidR="00F157D5">
              <w:t xml:space="preserve"> draft allocation rules, marketing plan and technical instruments</w:t>
            </w:r>
            <w:r w:rsidR="000163D7">
              <w:t xml:space="preserve"> for the allocation of spectrum</w:t>
            </w:r>
            <w:r>
              <w:t xml:space="preserve"> for public comment</w:t>
            </w:r>
          </w:p>
        </w:tc>
        <w:tc>
          <w:tcPr>
            <w:tcW w:w="2268" w:type="dxa"/>
            <w:shd w:val="clear" w:color="auto" w:fill="F2F2F2" w:themeFill="background1" w:themeFillShade="F2"/>
          </w:tcPr>
          <w:p w14:paraId="1781F34B" w14:textId="6A83D4F6" w:rsidR="00B9642F" w:rsidRPr="00826325" w:rsidRDefault="000163D7" w:rsidP="00232B10">
            <w:pPr>
              <w:pStyle w:val="TableBody"/>
              <w:keepNext/>
              <w:keepLines/>
              <w:rPr>
                <w:highlight w:val="yellow"/>
              </w:rPr>
            </w:pPr>
            <w:r w:rsidRPr="00BA547E">
              <w:t>Q4 2022</w:t>
            </w:r>
          </w:p>
        </w:tc>
      </w:tr>
      <w:tr w:rsidR="00B9642F" w14:paraId="359B4877" w14:textId="77777777" w:rsidTr="00B631B4">
        <w:trPr>
          <w:cnfStyle w:val="000000100000" w:firstRow="0" w:lastRow="0" w:firstColumn="0" w:lastColumn="0" w:oddVBand="0" w:evenVBand="0" w:oddHBand="1" w:evenHBand="0" w:firstRowFirstColumn="0" w:firstRowLastColumn="0" w:lastRowFirstColumn="0" w:lastRowLastColumn="0"/>
        </w:trPr>
        <w:tc>
          <w:tcPr>
            <w:tcW w:w="5382" w:type="dxa"/>
            <w:shd w:val="clear" w:color="auto" w:fill="auto"/>
          </w:tcPr>
          <w:p w14:paraId="35ED5328" w14:textId="7D757438" w:rsidR="00B9642F" w:rsidRDefault="000163D7" w:rsidP="00232B10">
            <w:pPr>
              <w:pStyle w:val="TableBody"/>
              <w:keepNext/>
              <w:keepLines/>
            </w:pPr>
            <w:r>
              <w:t xml:space="preserve">Commence </w:t>
            </w:r>
            <w:r w:rsidR="00465170">
              <w:t>auction process</w:t>
            </w:r>
          </w:p>
        </w:tc>
        <w:tc>
          <w:tcPr>
            <w:tcW w:w="2268" w:type="dxa"/>
            <w:shd w:val="clear" w:color="auto" w:fill="auto"/>
          </w:tcPr>
          <w:p w14:paraId="6C9BF1E1" w14:textId="50DC5A57" w:rsidR="00B9642F" w:rsidRDefault="00660411" w:rsidP="00232B10">
            <w:pPr>
              <w:pStyle w:val="TableBody"/>
              <w:keepNext/>
              <w:keepLines/>
            </w:pPr>
            <w:r>
              <w:t>2023</w:t>
            </w:r>
          </w:p>
        </w:tc>
      </w:tr>
    </w:tbl>
    <w:p w14:paraId="1A3C71D1" w14:textId="20959D12" w:rsidR="00B9642F" w:rsidRPr="00076A84" w:rsidRDefault="00634888" w:rsidP="00232B10">
      <w:pPr>
        <w:pStyle w:val="Tableorfigurenote"/>
      </w:pPr>
      <w:r w:rsidRPr="00076A84">
        <w:t xml:space="preserve">* </w:t>
      </w:r>
      <w:r w:rsidR="00525815" w:rsidRPr="00076A84">
        <w:t xml:space="preserve">These steps are subject to the outcome of </w:t>
      </w:r>
      <w:r w:rsidR="004836DE">
        <w:t>this consultation</w:t>
      </w:r>
      <w:r w:rsidR="00525815" w:rsidRPr="00076A84">
        <w:t>.</w:t>
      </w:r>
    </w:p>
    <w:p w14:paraId="7C2B5A2B" w14:textId="7AC2F8B5" w:rsidR="006B27FC" w:rsidRPr="00634888" w:rsidRDefault="006B27FC" w:rsidP="00CD1052">
      <w:pPr>
        <w:pStyle w:val="Paragraph"/>
        <w:spacing w:after="60" w:line="240" w:lineRule="auto"/>
        <w:rPr>
          <w:i/>
          <w:sz w:val="16"/>
        </w:rPr>
      </w:pPr>
      <w:r>
        <w:rPr>
          <w:i/>
          <w:sz w:val="16"/>
        </w:rPr>
        <w:tab/>
      </w:r>
      <w:r>
        <w:rPr>
          <w:i/>
          <w:sz w:val="16"/>
        </w:rPr>
        <w:tab/>
      </w:r>
    </w:p>
    <w:p w14:paraId="5D257BA4" w14:textId="77777777" w:rsidR="006C1631" w:rsidRDefault="006C1631" w:rsidP="006C1631">
      <w:pPr>
        <w:pStyle w:val="Heading1"/>
      </w:pPr>
      <w:bookmarkStart w:id="65" w:name="_Toc96941003"/>
      <w:r>
        <w:t>Invitation to comment</w:t>
      </w:r>
      <w:bookmarkEnd w:id="65"/>
    </w:p>
    <w:p w14:paraId="02052989" w14:textId="77777777" w:rsidR="006C1631" w:rsidRDefault="006C1631" w:rsidP="006C1631">
      <w:pPr>
        <w:pStyle w:val="Heading2"/>
      </w:pPr>
      <w:bookmarkStart w:id="66" w:name="_Toc433122131"/>
      <w:bookmarkStart w:id="67" w:name="_Toc348105637"/>
      <w:bookmarkStart w:id="68" w:name="_Toc300909556"/>
      <w:bookmarkStart w:id="69" w:name="_Toc298924673"/>
      <w:bookmarkStart w:id="70" w:name="_Toc96941004"/>
      <w:bookmarkStart w:id="71" w:name="_Toc348105638"/>
      <w:bookmarkStart w:id="72" w:name="_Toc300909557"/>
      <w:bookmarkStart w:id="73" w:name="_Toc298924674"/>
      <w:bookmarkStart w:id="74" w:name="_Toc274296357"/>
      <w:r>
        <w:t>Making a submission</w:t>
      </w:r>
      <w:bookmarkEnd w:id="66"/>
      <w:bookmarkEnd w:id="67"/>
      <w:bookmarkEnd w:id="68"/>
      <w:bookmarkEnd w:id="69"/>
      <w:bookmarkEnd w:id="70"/>
    </w:p>
    <w:p w14:paraId="1B170FEA" w14:textId="33513CF7" w:rsidR="006C1631" w:rsidRDefault="006C1631" w:rsidP="006C1631">
      <w:r>
        <w:t xml:space="preserve">The ACMA invites comments on the issues set out in this </w:t>
      </w:r>
      <w:r w:rsidR="008F323B">
        <w:t xml:space="preserve">consultation </w:t>
      </w:r>
      <w:r>
        <w:t xml:space="preserve">paper. </w:t>
      </w:r>
    </w:p>
    <w:p w14:paraId="5ECA3EC1" w14:textId="62ED7C4D" w:rsidR="0070133D" w:rsidRDefault="00066EEC" w:rsidP="0070133D">
      <w:pPr>
        <w:pStyle w:val="Bulletlevel1"/>
      </w:pPr>
      <w:hyperlink r:id="rId102" w:history="1">
        <w:r w:rsidR="0070133D">
          <w:rPr>
            <w:rStyle w:val="Hyperlink"/>
          </w:rPr>
          <w:t>Online submissions</w:t>
        </w:r>
      </w:hyperlink>
      <w:r w:rsidR="0070133D">
        <w:t xml:space="preserve"> can be made by </w:t>
      </w:r>
      <w:r w:rsidR="0070133D" w:rsidRPr="0070133D">
        <w:t>uploading</w:t>
      </w:r>
      <w:r w:rsidR="0070133D">
        <w:t xml:space="preserve"> a document. Submissions in</w:t>
      </w:r>
      <w:r w:rsidR="00396DC2">
        <w:t xml:space="preserve"> PDF, </w:t>
      </w:r>
      <w:r w:rsidR="0070133D">
        <w:t>Microsoft Word or Rich Text Format are preferred.</w:t>
      </w:r>
    </w:p>
    <w:p w14:paraId="0FD64C2E" w14:textId="77777777" w:rsidR="006C1631" w:rsidRDefault="006C1631" w:rsidP="0070133D">
      <w:pPr>
        <w:pStyle w:val="Bulletlevel1"/>
      </w:pPr>
      <w:r>
        <w:t xml:space="preserve">Submissions by post can be sent to: </w:t>
      </w:r>
    </w:p>
    <w:p w14:paraId="2B3540ED" w14:textId="77777777" w:rsidR="006C1631" w:rsidRPr="00BA547E" w:rsidRDefault="006C1631" w:rsidP="006C1631">
      <w:pPr>
        <w:tabs>
          <w:tab w:val="num" w:pos="295"/>
        </w:tabs>
        <w:spacing w:after="0"/>
        <w:ind w:left="295"/>
        <w:rPr>
          <w:szCs w:val="20"/>
        </w:rPr>
      </w:pPr>
      <w:r w:rsidRPr="00BA547E">
        <w:rPr>
          <w:szCs w:val="20"/>
        </w:rPr>
        <w:t>The Manager</w:t>
      </w:r>
    </w:p>
    <w:p w14:paraId="35089120" w14:textId="77777777" w:rsidR="006C1631" w:rsidRPr="00BA547E" w:rsidRDefault="00866BBD" w:rsidP="006C1631">
      <w:pPr>
        <w:spacing w:after="0"/>
        <w:ind w:left="295"/>
        <w:rPr>
          <w:szCs w:val="20"/>
        </w:rPr>
      </w:pPr>
      <w:r w:rsidRPr="00BA547E">
        <w:rPr>
          <w:szCs w:val="20"/>
        </w:rPr>
        <w:t>Major Spectrum Allocations Section</w:t>
      </w:r>
    </w:p>
    <w:p w14:paraId="24B447FA" w14:textId="77777777" w:rsidR="006C1631" w:rsidRPr="00BA547E" w:rsidRDefault="006C1631" w:rsidP="006C1631">
      <w:pPr>
        <w:spacing w:after="0"/>
        <w:ind w:left="295"/>
        <w:rPr>
          <w:szCs w:val="20"/>
        </w:rPr>
      </w:pPr>
      <w:r w:rsidRPr="00BA547E">
        <w:rPr>
          <w:szCs w:val="20"/>
        </w:rPr>
        <w:t>Australian Communications and Media Authority</w:t>
      </w:r>
    </w:p>
    <w:p w14:paraId="333A0302" w14:textId="77777777" w:rsidR="006C1631" w:rsidRPr="00866BBD" w:rsidRDefault="006C1631" w:rsidP="006C1631">
      <w:pPr>
        <w:spacing w:after="0"/>
        <w:ind w:left="295"/>
        <w:rPr>
          <w:szCs w:val="20"/>
        </w:rPr>
      </w:pPr>
      <w:r w:rsidRPr="00BA547E">
        <w:rPr>
          <w:szCs w:val="20"/>
        </w:rPr>
        <w:t>PO Box 78</w:t>
      </w:r>
    </w:p>
    <w:p w14:paraId="53923E9D" w14:textId="77777777" w:rsidR="006C1631" w:rsidRDefault="006C1631" w:rsidP="006C1631">
      <w:pPr>
        <w:ind w:left="295"/>
        <w:rPr>
          <w:szCs w:val="20"/>
        </w:rPr>
      </w:pPr>
      <w:r w:rsidRPr="00866BBD">
        <w:rPr>
          <w:szCs w:val="20"/>
        </w:rPr>
        <w:t>Belconnen ACT 2616</w:t>
      </w:r>
    </w:p>
    <w:p w14:paraId="2C78F38A" w14:textId="14EB4A89" w:rsidR="006C1631" w:rsidRPr="00620068" w:rsidRDefault="006C1631" w:rsidP="006C1631">
      <w:pPr>
        <w:rPr>
          <w:b/>
        </w:rPr>
      </w:pPr>
      <w:r w:rsidRPr="00620068">
        <w:rPr>
          <w:b/>
        </w:rPr>
        <w:t xml:space="preserve">The closing date for submissions </w:t>
      </w:r>
      <w:r w:rsidRPr="00E654F7">
        <w:rPr>
          <w:b/>
        </w:rPr>
        <w:t xml:space="preserve">is COB, </w:t>
      </w:r>
      <w:r w:rsidR="00FE372D">
        <w:rPr>
          <w:b/>
        </w:rPr>
        <w:t xml:space="preserve">Wednesday </w:t>
      </w:r>
      <w:r w:rsidR="001D7AC5" w:rsidRPr="00E654F7">
        <w:rPr>
          <w:b/>
        </w:rPr>
        <w:t>27 April 2022</w:t>
      </w:r>
      <w:r w:rsidRPr="00E654F7">
        <w:rPr>
          <w:b/>
        </w:rPr>
        <w:t>.</w:t>
      </w:r>
    </w:p>
    <w:p w14:paraId="3723BB31" w14:textId="77777777" w:rsidR="006C1631" w:rsidRDefault="006C1631" w:rsidP="006C1631">
      <w:pPr>
        <w:rPr>
          <w:szCs w:val="20"/>
        </w:rPr>
      </w:pPr>
      <w:r>
        <w:t xml:space="preserve">Consultation enquiries can be emailed </w:t>
      </w:r>
      <w:r>
        <w:rPr>
          <w:szCs w:val="20"/>
        </w:rPr>
        <w:t>to</w:t>
      </w:r>
      <w:r w:rsidR="00866BBD">
        <w:rPr>
          <w:szCs w:val="20"/>
        </w:rPr>
        <w:t xml:space="preserve"> </w:t>
      </w:r>
      <w:hyperlink r:id="rId103" w:history="1">
        <w:r w:rsidR="00866BBD" w:rsidRPr="00BA547E">
          <w:rPr>
            <w:rStyle w:val="Hyperlink"/>
            <w:szCs w:val="20"/>
          </w:rPr>
          <w:t>SpectrumAllocations@acma.gov.au</w:t>
        </w:r>
      </w:hyperlink>
      <w:r w:rsidR="00866BBD">
        <w:rPr>
          <w:szCs w:val="20"/>
        </w:rPr>
        <w:t xml:space="preserve">. </w:t>
      </w:r>
    </w:p>
    <w:p w14:paraId="70D11A45" w14:textId="77777777" w:rsidR="006C1631" w:rsidRDefault="006C1631" w:rsidP="005B2F0D">
      <w:pPr>
        <w:pStyle w:val="Heading4"/>
      </w:pPr>
      <w:bookmarkStart w:id="75" w:name="_Toc348105639"/>
      <w:bookmarkStart w:id="76" w:name="_Toc300909558"/>
      <w:bookmarkEnd w:id="71"/>
      <w:bookmarkEnd w:id="72"/>
      <w:r>
        <w:t xml:space="preserve">Publication of </w:t>
      </w:r>
      <w:r w:rsidRPr="005B2F0D">
        <w:t>submissions</w:t>
      </w:r>
      <w:bookmarkEnd w:id="73"/>
      <w:bookmarkEnd w:id="74"/>
      <w:bookmarkEnd w:id="75"/>
      <w:bookmarkEnd w:id="76"/>
    </w:p>
    <w:p w14:paraId="20E9B03F" w14:textId="77777777" w:rsidR="006C1631" w:rsidRDefault="006C1631" w:rsidP="006C1631">
      <w:bookmarkStart w:id="77" w:name="_Toc348105640"/>
      <w:bookmarkStart w:id="78" w:name="_Toc300909559"/>
      <w:bookmarkStart w:id="79" w:name="_Toc265246234"/>
      <w:r>
        <w:t>The ACMA publishes submissions on our website</w:t>
      </w:r>
      <w:r>
        <w:rPr>
          <w:rFonts w:cs="Arial"/>
        </w:rPr>
        <w:t>, including personal information (such as names and contact details)</w:t>
      </w:r>
      <w:r>
        <w:t xml:space="preserve">, except for information that you have claimed (and we have accepted) is confidential. </w:t>
      </w:r>
    </w:p>
    <w:p w14:paraId="401B1902" w14:textId="77777777" w:rsidR="006C1631" w:rsidRDefault="006C1631" w:rsidP="006C1631">
      <w:r>
        <w:t>Confidential information will not be published or otherwise released unless required or authorised by law.</w:t>
      </w:r>
    </w:p>
    <w:p w14:paraId="6A9B3D70" w14:textId="77777777" w:rsidR="006C1631" w:rsidRDefault="006C1631" w:rsidP="005B2F0D">
      <w:pPr>
        <w:pStyle w:val="Heading4"/>
      </w:pPr>
      <w:r>
        <w:t>Privacy</w:t>
      </w:r>
    </w:p>
    <w:p w14:paraId="6090D81D" w14:textId="77777777" w:rsidR="006C1631" w:rsidRDefault="00E21056" w:rsidP="005B2F0D">
      <w:pPr>
        <w:pStyle w:val="Paragraph"/>
      </w:pPr>
      <w:r>
        <w:t>View</w:t>
      </w:r>
      <w:r w:rsidR="006C1631">
        <w:t xml:space="preserve"> information about </w:t>
      </w:r>
      <w:r>
        <w:t xml:space="preserve">our policy on the </w:t>
      </w:r>
      <w:hyperlink r:id="rId104" w:history="1">
        <w:r>
          <w:rPr>
            <w:rStyle w:val="Hyperlink"/>
          </w:rPr>
          <w:t>p</w:t>
        </w:r>
        <w:r w:rsidRPr="00E21056">
          <w:rPr>
            <w:rStyle w:val="Hyperlink"/>
          </w:rPr>
          <w:t>ublication of submissions</w:t>
        </w:r>
      </w:hyperlink>
      <w:r>
        <w:t xml:space="preserve">, including </w:t>
      </w:r>
      <w:r w:rsidR="006C1631">
        <w:t>collection of personal information during consultation and how we handle that information</w:t>
      </w:r>
      <w:r>
        <w:t>.</w:t>
      </w:r>
    </w:p>
    <w:bookmarkEnd w:id="77"/>
    <w:bookmarkEnd w:id="78"/>
    <w:bookmarkEnd w:id="79"/>
    <w:p w14:paraId="2FBFB5FD" w14:textId="77777777" w:rsidR="00A4193E" w:rsidRPr="0041233F" w:rsidRDefault="006C1631" w:rsidP="005B2F0D">
      <w:pPr>
        <w:pStyle w:val="Paragraph"/>
      </w:pPr>
      <w:r>
        <w:t xml:space="preserve">Information on the </w:t>
      </w:r>
      <w:r>
        <w:rPr>
          <w:i/>
        </w:rPr>
        <w:t>Privacy Act 1988</w:t>
      </w:r>
      <w:r w:rsidR="006A4CCA">
        <w:rPr>
          <w:i/>
        </w:rPr>
        <w:t xml:space="preserve">, </w:t>
      </w:r>
      <w:r>
        <w:t>how to access or correct personal information, how to make a privacy complaint and how we will deal with the complaint</w:t>
      </w:r>
      <w:r w:rsidR="00BB6335">
        <w:t>,</w:t>
      </w:r>
      <w:r w:rsidR="00CF0BFE">
        <w:t xml:space="preserve"> </w:t>
      </w:r>
      <w:r>
        <w:t xml:space="preserve">is available </w:t>
      </w:r>
      <w:r w:rsidR="00E21056">
        <w:t xml:space="preserve">in our </w:t>
      </w:r>
      <w:hyperlink r:id="rId105" w:history="1">
        <w:r w:rsidR="00E21056" w:rsidRPr="00E21056">
          <w:rPr>
            <w:rStyle w:val="Hyperlink"/>
          </w:rPr>
          <w:t>privacy policy</w:t>
        </w:r>
      </w:hyperlink>
      <w:r>
        <w:t>.</w:t>
      </w:r>
      <w:r w:rsidR="00A4193E">
        <w:t xml:space="preserve"> </w:t>
      </w:r>
    </w:p>
    <w:p w14:paraId="051B8D99" w14:textId="32528469" w:rsidR="00A71886" w:rsidRDefault="00A71886" w:rsidP="008376A5">
      <w:pPr>
        <w:pStyle w:val="Heading1"/>
      </w:pPr>
      <w:bookmarkStart w:id="80" w:name="_Toc96941005"/>
      <w:r w:rsidRPr="00240DC7">
        <w:t xml:space="preserve">Appendix </w:t>
      </w:r>
      <w:r w:rsidR="00DB5501" w:rsidRPr="00240DC7">
        <w:t>A</w:t>
      </w:r>
      <w:r w:rsidR="00ED24FD">
        <w:t xml:space="preserve"> – </w:t>
      </w:r>
      <w:r w:rsidRPr="00240DC7">
        <w:t xml:space="preserve">Spectrum </w:t>
      </w:r>
      <w:r w:rsidR="00DA3182" w:rsidRPr="00240DC7">
        <w:t>re</w:t>
      </w:r>
      <w:r w:rsidR="00DA3182" w:rsidRPr="00240DC7">
        <w:noBreakHyphen/>
        <w:t>allocation</w:t>
      </w:r>
      <w:r w:rsidRPr="00240DC7">
        <w:t xml:space="preserve"> process</w:t>
      </w:r>
      <w:bookmarkEnd w:id="80"/>
    </w:p>
    <w:p w14:paraId="52A6CA75" w14:textId="612A1116" w:rsidR="00125FF9" w:rsidRDefault="00D13966" w:rsidP="00DE7553">
      <w:r>
        <w:t xml:space="preserve">Processes for </w:t>
      </w:r>
      <w:r w:rsidR="00C80FBB">
        <w:t>the re-allocation of spectrum are</w:t>
      </w:r>
      <w:r w:rsidR="005D635F">
        <w:t xml:space="preserve"> set out in Part 3.6 of the Act</w:t>
      </w:r>
      <w:r w:rsidR="00E96795">
        <w:t xml:space="preserve">. This enables us to </w:t>
      </w:r>
      <w:r w:rsidR="00311198">
        <w:t xml:space="preserve">either issue spectrum licences in accordance with Part 3.2 of the Act, or apparatus licences in accordance with </w:t>
      </w:r>
      <w:r w:rsidR="00C3039A">
        <w:t>Part 3.3 of the Act. In this case, we propose to re</w:t>
      </w:r>
      <w:r w:rsidR="00C3039A">
        <w:noBreakHyphen/>
        <w:t>allocate spectrum in the 3.4 GHz and 3.7 GHz bands by issuing spectrum licences.</w:t>
      </w:r>
    </w:p>
    <w:p w14:paraId="21254ADF" w14:textId="562D074E" w:rsidR="000A310C" w:rsidRPr="003C59E2" w:rsidRDefault="00CE52D6" w:rsidP="00DE7553">
      <w:r>
        <w:t>The</w:t>
      </w:r>
      <w:r w:rsidR="000A310C">
        <w:t xml:space="preserve"> spectrum re</w:t>
      </w:r>
      <w:r w:rsidR="000A310C">
        <w:noBreakHyphen/>
        <w:t xml:space="preserve">allocation process has changed since our most recent auction (the 850/900 MHz band auction held in late 2021), due to the effect of the </w:t>
      </w:r>
      <w:hyperlink r:id="rId106" w:history="1">
        <w:r w:rsidR="000A310C" w:rsidRPr="003C59E2">
          <w:rPr>
            <w:rStyle w:val="Hyperlink"/>
            <w:i/>
            <w:iCs/>
          </w:rPr>
          <w:t xml:space="preserve">Radiocommunications </w:t>
        </w:r>
        <w:r w:rsidR="003C59E2" w:rsidRPr="003C59E2">
          <w:rPr>
            <w:rStyle w:val="Hyperlink"/>
            <w:i/>
            <w:iCs/>
          </w:rPr>
          <w:t>Legislation Amendment (Reform and Modernisation) Act 2020</w:t>
        </w:r>
      </w:hyperlink>
      <w:r w:rsidR="003C59E2">
        <w:t>.</w:t>
      </w:r>
      <w:r w:rsidR="00896B56">
        <w:t xml:space="preserve"> Although the </w:t>
      </w:r>
      <w:r w:rsidR="009B3986">
        <w:t>A</w:t>
      </w:r>
      <w:r w:rsidR="005B3A07">
        <w:t>CMA leads the spectrum re</w:t>
      </w:r>
      <w:r w:rsidR="005B3A07">
        <w:noBreakHyphen/>
        <w:t xml:space="preserve">allocation process under the Act, the </w:t>
      </w:r>
      <w:r w:rsidR="004E5C66">
        <w:t xml:space="preserve">Act does not limit the </w:t>
      </w:r>
      <w:r w:rsidR="005B3A07">
        <w:t xml:space="preserve">Minister for Communications, </w:t>
      </w:r>
      <w:r w:rsidR="00F542CF">
        <w:t>Urban Infrastructure, Cities and the Arts</w:t>
      </w:r>
      <w:r w:rsidR="004E5C66">
        <w:t>’</w:t>
      </w:r>
      <w:r w:rsidR="0091296B">
        <w:t xml:space="preserve"> </w:t>
      </w:r>
      <w:r w:rsidR="004E5C66">
        <w:t xml:space="preserve">power to direct the ACMA </w:t>
      </w:r>
      <w:r w:rsidR="003B096C">
        <w:t>on aspects of the allocation process</w:t>
      </w:r>
      <w:r w:rsidR="00095B67">
        <w:t>.</w:t>
      </w:r>
      <w:r w:rsidR="00F749FB">
        <w:rPr>
          <w:rStyle w:val="FootnoteReference"/>
        </w:rPr>
        <w:footnoteReference w:id="20"/>
      </w:r>
    </w:p>
    <w:p w14:paraId="6C8F905A" w14:textId="11ECCD17" w:rsidR="00DE7553" w:rsidRPr="006F741C" w:rsidRDefault="00DE7553" w:rsidP="00DE7553">
      <w:pPr>
        <w:pStyle w:val="Heading2"/>
        <w:spacing w:line="276" w:lineRule="auto"/>
      </w:pPr>
      <w:bookmarkStart w:id="81" w:name="_Toc408494381"/>
      <w:bookmarkStart w:id="82" w:name="_Toc408846623"/>
      <w:bookmarkStart w:id="83" w:name="_Toc409015493"/>
      <w:bookmarkStart w:id="84" w:name="_Toc409528657"/>
      <w:bookmarkStart w:id="85" w:name="_Toc409016986"/>
      <w:bookmarkStart w:id="86" w:name="_Toc496277349"/>
      <w:bookmarkStart w:id="87" w:name="_Toc496277748"/>
      <w:bookmarkStart w:id="88" w:name="_Toc496527259"/>
      <w:bookmarkStart w:id="89" w:name="_Toc496527434"/>
      <w:bookmarkStart w:id="90" w:name="_Toc8207151"/>
      <w:bookmarkStart w:id="91" w:name="_Toc96941006"/>
      <w:r w:rsidRPr="002301F0">
        <w:t xml:space="preserve">Main steps in the </w:t>
      </w:r>
      <w:r w:rsidR="00DA3182">
        <w:t>re</w:t>
      </w:r>
      <w:r w:rsidR="00DA3182">
        <w:noBreakHyphen/>
        <w:t>allocation</w:t>
      </w:r>
      <w:r w:rsidRPr="002301F0">
        <w:t xml:space="preserve"> process</w:t>
      </w:r>
      <w:bookmarkEnd w:id="81"/>
      <w:bookmarkEnd w:id="82"/>
      <w:bookmarkEnd w:id="83"/>
      <w:bookmarkEnd w:id="84"/>
      <w:bookmarkEnd w:id="85"/>
      <w:bookmarkEnd w:id="86"/>
      <w:bookmarkEnd w:id="87"/>
      <w:bookmarkEnd w:id="88"/>
      <w:bookmarkEnd w:id="89"/>
      <w:bookmarkEnd w:id="90"/>
      <w:bookmarkEnd w:id="91"/>
    </w:p>
    <w:p w14:paraId="32559DDA" w14:textId="6B1303C5" w:rsidR="00C330D6" w:rsidRDefault="00C330D6" w:rsidP="00DE7553">
      <w:r w:rsidRPr="00177B4E">
        <w:t xml:space="preserve">The main steps in the </w:t>
      </w:r>
      <w:r w:rsidR="00DA3182">
        <w:t>re</w:t>
      </w:r>
      <w:r w:rsidR="00DA3182">
        <w:noBreakHyphen/>
        <w:t>allocation</w:t>
      </w:r>
      <w:r w:rsidRPr="00177B4E">
        <w:t xml:space="preserve"> process are </w:t>
      </w:r>
      <w:r w:rsidR="00E5506A">
        <w:t>shown</w:t>
      </w:r>
      <w:r w:rsidRPr="00177B4E">
        <w:t xml:space="preserve"> </w:t>
      </w:r>
      <w:r w:rsidRPr="00E654F7">
        <w:t xml:space="preserve">in Figure </w:t>
      </w:r>
      <w:r w:rsidR="00F74ECC" w:rsidRPr="00E654F7">
        <w:t>23</w:t>
      </w:r>
      <w:r w:rsidRPr="00E654F7">
        <w:t xml:space="preserve">. </w:t>
      </w:r>
      <w:r w:rsidR="006741D3" w:rsidRPr="00E654F7">
        <w:t>Generally,</w:t>
      </w:r>
      <w:r w:rsidR="00475043">
        <w:t xml:space="preserve"> we follow these steps after we have consulted on planning decisions in the </w:t>
      </w:r>
      <w:r w:rsidR="00874FED">
        <w:t>band, and have decided that a re-allocation process is the most appropriate</w:t>
      </w:r>
      <w:r w:rsidR="00342517">
        <w:t xml:space="preserve"> way to make spectrum available for other uses. As with all of our spectrum planning and allocations, we are guided by the object of the Act and government policy. </w:t>
      </w:r>
      <w:r>
        <w:t xml:space="preserve"> </w:t>
      </w:r>
    </w:p>
    <w:p w14:paraId="51980735" w14:textId="47487E97" w:rsidR="00DE7553" w:rsidRDefault="00DE7553" w:rsidP="008D52CC">
      <w:pPr>
        <w:pStyle w:val="Figureheading"/>
      </w:pPr>
      <w:bookmarkStart w:id="92" w:name="_Ref31719378"/>
      <w:r w:rsidRPr="002A01B8">
        <w:t xml:space="preserve">The </w:t>
      </w:r>
      <w:r w:rsidR="00DA3182">
        <w:t>re</w:t>
      </w:r>
      <w:r w:rsidR="00DA3182">
        <w:noBreakHyphen/>
        <w:t>allocation</w:t>
      </w:r>
      <w:r w:rsidRPr="002A01B8">
        <w:t xml:space="preserve"> process</w:t>
      </w:r>
      <w:bookmarkStart w:id="93" w:name="_Hlk6492924"/>
      <w:bookmarkEnd w:id="92"/>
    </w:p>
    <w:p w14:paraId="34B56490" w14:textId="2DF115F5" w:rsidR="000C514F" w:rsidRPr="00F50E63" w:rsidRDefault="000C514F" w:rsidP="00DE7553">
      <w:pPr>
        <w:pStyle w:val="ACMASpaceaftertable"/>
      </w:pPr>
      <w:r>
        <w:rPr>
          <w:noProof/>
        </w:rPr>
        <w:drawing>
          <wp:inline distT="0" distB="0" distL="0" distR="0" wp14:anchorId="14E418BF" wp14:editId="4BF02FF8">
            <wp:extent cx="4871085" cy="2841625"/>
            <wp:effectExtent l="0" t="19050" r="24765" b="34925"/>
            <wp:docPr id="9" name="Diagram 9" descr="The re allocation process pictured as a series of steps"/>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7" r:lo="rId108" r:qs="rId109" r:cs="rId110"/>
              </a:graphicData>
            </a:graphic>
          </wp:inline>
        </w:drawing>
      </w:r>
    </w:p>
    <w:p w14:paraId="50595FD5" w14:textId="75D95E38" w:rsidR="00DE7553" w:rsidRPr="00815498" w:rsidRDefault="00DE7553" w:rsidP="00DE7553">
      <w:pPr>
        <w:pStyle w:val="BodySubHeader"/>
        <w:rPr>
          <w:rStyle w:val="Strong"/>
          <w:b/>
        </w:rPr>
      </w:pPr>
      <w:bookmarkStart w:id="94" w:name="_Toc496277350"/>
      <w:bookmarkStart w:id="95" w:name="_Toc496277749"/>
      <w:bookmarkStart w:id="96" w:name="_Toc496527260"/>
      <w:bookmarkStart w:id="97" w:name="_Toc496527435"/>
      <w:bookmarkEnd w:id="93"/>
      <w:r w:rsidRPr="00394D59">
        <w:t>Step 1</w:t>
      </w:r>
      <w:r w:rsidR="00535B80">
        <w:t xml:space="preserve">: </w:t>
      </w:r>
      <w:bookmarkEnd w:id="94"/>
      <w:bookmarkEnd w:id="95"/>
      <w:bookmarkEnd w:id="96"/>
      <w:bookmarkEnd w:id="97"/>
      <w:r w:rsidR="00F20828">
        <w:t>Proposal to re-allocate spectrum and invitation to comment</w:t>
      </w:r>
      <w:r w:rsidRPr="00394D59">
        <w:t xml:space="preserve"> </w:t>
      </w:r>
    </w:p>
    <w:p w14:paraId="5839AE18" w14:textId="7D41D184" w:rsidR="00F927D4" w:rsidRDefault="00410054" w:rsidP="00DE7553">
      <w:r>
        <w:t>As the re-allocation declaration is a legislative instrument, the first step in the spectrum re</w:t>
      </w:r>
      <w:r>
        <w:noBreakHyphen/>
        <w:t xml:space="preserve">allocation process is for the ACMA to consult on a </w:t>
      </w:r>
      <w:r w:rsidR="002E03AA">
        <w:t>proposed spectrum re</w:t>
      </w:r>
      <w:r w:rsidR="002E03AA">
        <w:noBreakHyphen/>
        <w:t>allocation declaration</w:t>
      </w:r>
      <w:r>
        <w:t xml:space="preserve">. </w:t>
      </w:r>
      <w:r w:rsidR="00A3555E">
        <w:t xml:space="preserve">In this step, we </w:t>
      </w:r>
      <w:r w:rsidR="00DE7553" w:rsidRPr="002301F0">
        <w:t xml:space="preserve">set out the </w:t>
      </w:r>
      <w:r w:rsidR="006741D3">
        <w:t>frequency ranges and geographic areas</w:t>
      </w:r>
      <w:r w:rsidR="006741D3" w:rsidRPr="002301F0">
        <w:t xml:space="preserve"> </w:t>
      </w:r>
      <w:r w:rsidR="006741D3">
        <w:t xml:space="preserve"> for the </w:t>
      </w:r>
      <w:r w:rsidR="00DE7553" w:rsidRPr="002301F0">
        <w:t xml:space="preserve">spectrum </w:t>
      </w:r>
      <w:r w:rsidR="00CA1378">
        <w:t>we</w:t>
      </w:r>
      <w:r w:rsidR="00DE7553" w:rsidRPr="002301F0">
        <w:t xml:space="preserve"> believe should be re</w:t>
      </w:r>
      <w:r w:rsidR="00C5061F">
        <w:t>-</w:t>
      </w:r>
      <w:r w:rsidR="00DE7553" w:rsidRPr="002301F0">
        <w:t>allocated</w:t>
      </w:r>
      <w:r w:rsidR="00DE7553">
        <w:t xml:space="preserve">. </w:t>
      </w:r>
      <w:r w:rsidR="00CA1378">
        <w:t>We</w:t>
      </w:r>
      <w:r w:rsidR="00DE7553" w:rsidRPr="002301F0">
        <w:t xml:space="preserve"> </w:t>
      </w:r>
      <w:r w:rsidR="006741D3">
        <w:t xml:space="preserve">also </w:t>
      </w:r>
      <w:r w:rsidR="003653A7">
        <w:t xml:space="preserve">propose a </w:t>
      </w:r>
      <w:r w:rsidR="00DA3182">
        <w:t>re</w:t>
      </w:r>
      <w:r w:rsidR="00DA3182">
        <w:noBreakHyphen/>
        <w:t>allocation</w:t>
      </w:r>
      <w:r w:rsidR="00DE7553" w:rsidRPr="002301F0">
        <w:t xml:space="preserve"> period</w:t>
      </w:r>
      <w:r w:rsidR="00DE7553" w:rsidRPr="006F741C">
        <w:t xml:space="preserve"> within which the </w:t>
      </w:r>
      <w:r w:rsidR="00DA3182">
        <w:t>re</w:t>
      </w:r>
      <w:r w:rsidR="00DA3182">
        <w:noBreakHyphen/>
        <w:t>allocation</w:t>
      </w:r>
      <w:r w:rsidR="00DE7553" w:rsidRPr="002301F0">
        <w:t xml:space="preserve"> process is to be completed. </w:t>
      </w:r>
    </w:p>
    <w:p w14:paraId="0FBE5795" w14:textId="381E0E19" w:rsidR="00DE7553" w:rsidRPr="006F741C" w:rsidRDefault="006978B7" w:rsidP="00DE7553">
      <w:r>
        <w:t>We</w:t>
      </w:r>
      <w:r w:rsidRPr="002301F0">
        <w:t xml:space="preserve"> </w:t>
      </w:r>
      <w:r w:rsidR="00DE7553" w:rsidRPr="002301F0">
        <w:t>may also specify other</w:t>
      </w:r>
      <w:r w:rsidR="00DE7553">
        <w:t xml:space="preserve"> relevant</w:t>
      </w:r>
      <w:r w:rsidR="00DE7553" w:rsidRPr="002301F0">
        <w:t xml:space="preserve"> items. </w:t>
      </w:r>
      <w:r w:rsidR="006741D3">
        <w:t>T</w:t>
      </w:r>
      <w:r w:rsidR="00527352">
        <w:t xml:space="preserve">o meet our forward allocation workplan, </w:t>
      </w:r>
      <w:r w:rsidR="002E03AA">
        <w:t>and capture and consider as many stakeholder views as we can</w:t>
      </w:r>
      <w:r w:rsidR="00527352">
        <w:t xml:space="preserve">, </w:t>
      </w:r>
      <w:r w:rsidR="001005B4">
        <w:t xml:space="preserve">we conduct preliminary consultation on </w:t>
      </w:r>
      <w:r w:rsidR="00A066DE">
        <w:t xml:space="preserve">policy settings for the proposed allocation. This </w:t>
      </w:r>
      <w:r w:rsidR="00E142F0">
        <w:t xml:space="preserve">may include lot configuration, licence term and commencement, and allocation methodology. </w:t>
      </w:r>
    </w:p>
    <w:p w14:paraId="64692063" w14:textId="6F87ED08" w:rsidR="005B4A5B" w:rsidRDefault="005B4A5B" w:rsidP="00DE7553">
      <w:r>
        <w:t>We</w:t>
      </w:r>
      <w:r w:rsidR="00092AC0">
        <w:t xml:space="preserve"> undertake public consultation at this </w:t>
      </w:r>
      <w:r w:rsidR="00AD675D">
        <w:t xml:space="preserve">stage so that all interested parties are able to </w:t>
      </w:r>
      <w:r w:rsidR="00C35919">
        <w:t xml:space="preserve">comment </w:t>
      </w:r>
      <w:r w:rsidR="00AD675D">
        <w:t>on both the proposed re</w:t>
      </w:r>
      <w:r w:rsidR="00AD675D">
        <w:noBreakHyphen/>
        <w:t>allocation of spectrum, and aspects of the proposed allocation process. Generally</w:t>
      </w:r>
      <w:r w:rsidR="00437359">
        <w:t>,</w:t>
      </w:r>
      <w:r w:rsidR="00AD675D">
        <w:t xml:space="preserve"> </w:t>
      </w:r>
      <w:r w:rsidR="00082881">
        <w:t>the consultation period will last for at least 28 days.</w:t>
      </w:r>
    </w:p>
    <w:p w14:paraId="606D3680" w14:textId="6F21CB54" w:rsidR="00644D7F" w:rsidRPr="006F741C" w:rsidRDefault="004C5D93" w:rsidP="00DE7553">
      <w:r>
        <w:t>The outcome of consultation at this stage will determine the drafting of the spectrum re</w:t>
      </w:r>
      <w:r>
        <w:noBreakHyphen/>
        <w:t>allocation declaration.</w:t>
      </w:r>
    </w:p>
    <w:p w14:paraId="75846489" w14:textId="42421F6D" w:rsidR="00DE7553" w:rsidRPr="00BB53BC" w:rsidRDefault="00DE7553" w:rsidP="00DE7553">
      <w:pPr>
        <w:pStyle w:val="BodySubHeader"/>
      </w:pPr>
      <w:bookmarkStart w:id="98" w:name="_Toc496277352"/>
      <w:bookmarkStart w:id="99" w:name="_Toc496277751"/>
      <w:bookmarkStart w:id="100" w:name="_Toc496527262"/>
      <w:bookmarkStart w:id="101" w:name="_Toc496527437"/>
      <w:r w:rsidRPr="00BB53BC">
        <w:t xml:space="preserve">Step </w:t>
      </w:r>
      <w:r w:rsidR="00F20828">
        <w:t>2</w:t>
      </w:r>
      <w:r w:rsidR="00535B80">
        <w:t>: S</w:t>
      </w:r>
      <w:r w:rsidRPr="00BB53BC">
        <w:t xml:space="preserve">pectrum </w:t>
      </w:r>
      <w:r w:rsidR="00DA3182">
        <w:t>re</w:t>
      </w:r>
      <w:r w:rsidR="00DA3182">
        <w:noBreakHyphen/>
        <w:t>allocation</w:t>
      </w:r>
      <w:r w:rsidRPr="00BB53BC">
        <w:t xml:space="preserve"> declaration</w:t>
      </w:r>
      <w:bookmarkEnd w:id="98"/>
      <w:bookmarkEnd w:id="99"/>
      <w:bookmarkEnd w:id="100"/>
      <w:bookmarkEnd w:id="101"/>
      <w:r w:rsidRPr="00BB53BC">
        <w:t xml:space="preserve"> </w:t>
      </w:r>
    </w:p>
    <w:p w14:paraId="5AE93438" w14:textId="2AACAC33" w:rsidR="00F46DE6" w:rsidRDefault="00543A1C" w:rsidP="00F46DE6">
      <w:pPr>
        <w:pStyle w:val="Paragraph"/>
      </w:pPr>
      <w:r>
        <w:t>Subject to the outcomes of our consultation in Step 1, the ACMA may make a spectrum re</w:t>
      </w:r>
      <w:r>
        <w:noBreakHyphen/>
        <w:t xml:space="preserve">allocation declaration in accordance with </w:t>
      </w:r>
      <w:r w:rsidR="00DE7553">
        <w:t xml:space="preserve">section 153B of </w:t>
      </w:r>
      <w:r w:rsidR="00D33D1A">
        <w:t>the Act</w:t>
      </w:r>
      <w:r>
        <w:t>.</w:t>
      </w:r>
      <w:r w:rsidR="00DE7553" w:rsidRPr="002301F0">
        <w:t xml:space="preserve"> </w:t>
      </w:r>
    </w:p>
    <w:p w14:paraId="7311DF44" w14:textId="59938A5D" w:rsidR="00DE7553" w:rsidRDefault="00DE7553" w:rsidP="0012550D">
      <w:pPr>
        <w:pStyle w:val="Paragraphbeforelist"/>
      </w:pPr>
      <w:r>
        <w:t xml:space="preserve">A </w:t>
      </w:r>
      <w:r w:rsidR="00DA3182">
        <w:t>re</w:t>
      </w:r>
      <w:r w:rsidR="00DA3182">
        <w:noBreakHyphen/>
        <w:t>allocation</w:t>
      </w:r>
      <w:r w:rsidRPr="00BB2FAA">
        <w:t xml:space="preserve"> declaration </w:t>
      </w:r>
      <w:r>
        <w:t>must</w:t>
      </w:r>
      <w:r w:rsidRPr="00BB2FAA">
        <w:t xml:space="preserve"> set out: </w:t>
      </w:r>
    </w:p>
    <w:p w14:paraId="1A45873F" w14:textId="47F63B4F" w:rsidR="00F204E4" w:rsidRDefault="00F204E4" w:rsidP="00F204E4">
      <w:pPr>
        <w:pStyle w:val="ListBullet"/>
      </w:pPr>
      <w:r>
        <w:t xml:space="preserve">parts of the </w:t>
      </w:r>
      <w:r w:rsidRPr="00777BAF">
        <w:t>spectrum to be re</w:t>
      </w:r>
      <w:r>
        <w:t>-</w:t>
      </w:r>
      <w:r w:rsidRPr="00777BAF">
        <w:t>allocated</w:t>
      </w:r>
      <w:r w:rsidR="00AA7CEE">
        <w:t xml:space="preserve"> (frequency ranges)</w:t>
      </w:r>
    </w:p>
    <w:p w14:paraId="54AD9B66" w14:textId="37AEC75F" w:rsidR="00AA7CEE" w:rsidRPr="00777BAF" w:rsidRDefault="001F7E89" w:rsidP="00F204E4">
      <w:pPr>
        <w:pStyle w:val="ListBullet"/>
      </w:pPr>
      <w:r>
        <w:t xml:space="preserve">specified areas </w:t>
      </w:r>
      <w:r w:rsidR="00CA7A35">
        <w:t>applicable to</w:t>
      </w:r>
      <w:r w:rsidR="00305A28">
        <w:t xml:space="preserve"> each part of the spectrum (geographic boundaries)</w:t>
      </w:r>
    </w:p>
    <w:p w14:paraId="0FAF2B84" w14:textId="26E4D9FD" w:rsidR="00DE7553" w:rsidRPr="00F46DE6" w:rsidRDefault="00DA3182" w:rsidP="0012550D">
      <w:pPr>
        <w:pStyle w:val="ListBullet"/>
      </w:pPr>
      <w:r>
        <w:t>re</w:t>
      </w:r>
      <w:r>
        <w:noBreakHyphen/>
        <w:t>allocation</w:t>
      </w:r>
      <w:r w:rsidR="00DE7553" w:rsidRPr="00BB2FAA">
        <w:t xml:space="preserve"> </w:t>
      </w:r>
      <w:r w:rsidR="00DE7553" w:rsidRPr="00F46DE6">
        <w:t>period</w:t>
      </w:r>
    </w:p>
    <w:p w14:paraId="4E252B83" w14:textId="64D29015" w:rsidR="00DE7553" w:rsidRPr="00777BAF" w:rsidRDefault="00DA3182" w:rsidP="0012550D">
      <w:pPr>
        <w:pStyle w:val="ListBullet"/>
      </w:pPr>
      <w:r>
        <w:t>re</w:t>
      </w:r>
      <w:r>
        <w:noBreakHyphen/>
        <w:t>allocation</w:t>
      </w:r>
      <w:r w:rsidR="00DE7553" w:rsidRPr="00777BAF">
        <w:t xml:space="preserve"> deadline</w:t>
      </w:r>
    </w:p>
    <w:p w14:paraId="2A41D250" w14:textId="1DC0242A" w:rsidR="00DE7553" w:rsidRPr="00F50E63" w:rsidRDefault="00DE7553" w:rsidP="0012550D">
      <w:pPr>
        <w:pStyle w:val="ListBulletLast"/>
      </w:pPr>
      <w:r w:rsidRPr="00F50E63">
        <w:t xml:space="preserve">whether </w:t>
      </w:r>
      <w:r w:rsidRPr="00F46DE6">
        <w:t>the</w:t>
      </w:r>
      <w:r>
        <w:t xml:space="preserve"> spectrum will be re</w:t>
      </w:r>
      <w:r w:rsidR="00C5061F">
        <w:t>-</w:t>
      </w:r>
      <w:r>
        <w:t xml:space="preserve">allocated by the issue of </w:t>
      </w:r>
      <w:r w:rsidRPr="00F50E63">
        <w:t>spectrum</w:t>
      </w:r>
      <w:r w:rsidR="00C35919">
        <w:t xml:space="preserve"> licences</w:t>
      </w:r>
      <w:r w:rsidRPr="00F50E63">
        <w:t xml:space="preserve"> or apparatus licences. </w:t>
      </w:r>
    </w:p>
    <w:p w14:paraId="599D7B25" w14:textId="434320F5" w:rsidR="00DE7553" w:rsidRPr="006F741C" w:rsidRDefault="00E75140" w:rsidP="003B4857">
      <w:pPr>
        <w:pStyle w:val="Paragraph"/>
      </w:pPr>
      <w:r>
        <w:t>At the end of t</w:t>
      </w:r>
      <w:r w:rsidR="00DE7553" w:rsidRPr="002301F0">
        <w:t xml:space="preserve">he </w:t>
      </w:r>
      <w:r w:rsidR="00DA3182">
        <w:t>re</w:t>
      </w:r>
      <w:r w:rsidR="00DA3182">
        <w:noBreakHyphen/>
        <w:t>allocation</w:t>
      </w:r>
      <w:r w:rsidR="00DE7553" w:rsidRPr="002301F0">
        <w:t xml:space="preserve"> period</w:t>
      </w:r>
      <w:r>
        <w:t>,</w:t>
      </w:r>
      <w:r w:rsidR="00A02419">
        <w:t xml:space="preserve"> all</w:t>
      </w:r>
      <w:r w:rsidR="00DE7553">
        <w:t xml:space="preserve"> </w:t>
      </w:r>
      <w:r w:rsidR="00DE7553" w:rsidRPr="006F741C">
        <w:t xml:space="preserve">incumbent apparatus licences </w:t>
      </w:r>
      <w:r w:rsidR="00DE7553">
        <w:t>are cancelled, leaving</w:t>
      </w:r>
      <w:r w:rsidR="00DE7553" w:rsidRPr="006F741C">
        <w:t xml:space="preserve"> </w:t>
      </w:r>
      <w:r w:rsidR="00DE7553" w:rsidRPr="002301F0">
        <w:t>the spectrum available for use by new licensees</w:t>
      </w:r>
      <w:r w:rsidR="00DE7553">
        <w:t>.</w:t>
      </w:r>
      <w:r w:rsidR="00DE7553" w:rsidRPr="002301F0">
        <w:t xml:space="preserve"> The </w:t>
      </w:r>
      <w:r w:rsidR="00DA3182">
        <w:t>re</w:t>
      </w:r>
      <w:r w:rsidR="00DA3182">
        <w:noBreakHyphen/>
        <w:t>allocation</w:t>
      </w:r>
      <w:r w:rsidR="00DE7553" w:rsidRPr="002301F0">
        <w:t xml:space="preserve"> period </w:t>
      </w:r>
      <w:r w:rsidR="00A02419">
        <w:t>is</w:t>
      </w:r>
      <w:r w:rsidR="0019539F">
        <w:t xml:space="preserve"> specified in the re</w:t>
      </w:r>
      <w:r w:rsidR="0019539F">
        <w:noBreakHyphen/>
        <w:t>allocation declaration</w:t>
      </w:r>
      <w:r w:rsidR="00A02419">
        <w:t>. It must not be</w:t>
      </w:r>
      <w:r w:rsidR="0019539F">
        <w:t xml:space="preserve"> before the re</w:t>
      </w:r>
      <w:r w:rsidR="0019539F">
        <w:noBreakHyphen/>
        <w:t>allocation declaration</w:t>
      </w:r>
      <w:r w:rsidR="00A02419">
        <w:t xml:space="preserve"> </w:t>
      </w:r>
      <w:r w:rsidR="007D505C">
        <w:t xml:space="preserve">commences </w:t>
      </w:r>
      <w:r w:rsidR="00A02419">
        <w:t>and</w:t>
      </w:r>
      <w:r w:rsidR="006301E0">
        <w:t xml:space="preserve"> must run f</w:t>
      </w:r>
      <w:r w:rsidR="005266A8">
        <w:t>or at least 12 months.</w:t>
      </w:r>
    </w:p>
    <w:p w14:paraId="098A23CB" w14:textId="4CC9D62B" w:rsidR="00DE7553" w:rsidRDefault="005D2197" w:rsidP="00DE7553">
      <w:r>
        <w:t>The ACMA must also set a re</w:t>
      </w:r>
      <w:r>
        <w:noBreakHyphen/>
        <w:t xml:space="preserve">allocation deadline. </w:t>
      </w:r>
      <w:r w:rsidR="00DE7553" w:rsidRPr="002301F0">
        <w:t xml:space="preserve">The </w:t>
      </w:r>
      <w:r w:rsidR="00DA3182">
        <w:t>re</w:t>
      </w:r>
      <w:r w:rsidR="00DA3182">
        <w:noBreakHyphen/>
        <w:t>allocation</w:t>
      </w:r>
      <w:r w:rsidR="00DE7553" w:rsidRPr="002301F0">
        <w:t xml:space="preserve"> deadline is significant because if the ACMA does not </w:t>
      </w:r>
      <w:r w:rsidR="00DE7553">
        <w:t>allocate</w:t>
      </w:r>
      <w:r w:rsidR="00DE7553" w:rsidRPr="002301F0">
        <w:t xml:space="preserve"> at least one licence before th</w:t>
      </w:r>
      <w:r w:rsidR="00DE7553">
        <w:t>is</w:t>
      </w:r>
      <w:r w:rsidR="00DE7553" w:rsidRPr="002301F0">
        <w:t xml:space="preserve"> deadline, the </w:t>
      </w:r>
      <w:r w:rsidR="00DA3182">
        <w:t>re</w:t>
      </w:r>
      <w:r w:rsidR="00DA3182">
        <w:noBreakHyphen/>
        <w:t>allocation</w:t>
      </w:r>
      <w:r w:rsidR="00DE7553">
        <w:t xml:space="preserve"> </w:t>
      </w:r>
      <w:r w:rsidR="00DE7553" w:rsidRPr="002301F0">
        <w:t xml:space="preserve">declaration </w:t>
      </w:r>
      <w:r w:rsidR="00DE7553">
        <w:t>is automatically</w:t>
      </w:r>
      <w:r w:rsidR="00DE7553" w:rsidRPr="002301F0">
        <w:t xml:space="preserve"> revoked</w:t>
      </w:r>
      <w:r w:rsidR="00DE7553">
        <w:t xml:space="preserve">. </w:t>
      </w:r>
    </w:p>
    <w:p w14:paraId="138BE510" w14:textId="762A1406" w:rsidR="00DE7553" w:rsidRPr="00C0100E" w:rsidRDefault="00DE7553" w:rsidP="00DE7553">
      <w:pPr>
        <w:pStyle w:val="BodySubHeader"/>
        <w:keepNext/>
      </w:pPr>
      <w:bookmarkStart w:id="102" w:name="_Toc496277353"/>
      <w:bookmarkStart w:id="103" w:name="_Toc496277752"/>
      <w:bookmarkStart w:id="104" w:name="_Toc496527263"/>
      <w:bookmarkStart w:id="105" w:name="_Toc496527438"/>
      <w:r w:rsidRPr="00BB53BC">
        <w:t xml:space="preserve">Step </w:t>
      </w:r>
      <w:r w:rsidR="00F20828">
        <w:t>3</w:t>
      </w:r>
      <w:r w:rsidR="00535B80">
        <w:t>: D</w:t>
      </w:r>
      <w:r w:rsidRPr="00BB53BC">
        <w:t xml:space="preserve">raft allocation </w:t>
      </w:r>
      <w:r w:rsidR="004721C5">
        <w:t>and technical</w:t>
      </w:r>
      <w:r w:rsidRPr="00BB53BC">
        <w:t xml:space="preserve"> instruments</w:t>
      </w:r>
      <w:bookmarkEnd w:id="102"/>
      <w:bookmarkEnd w:id="103"/>
      <w:bookmarkEnd w:id="104"/>
      <w:bookmarkEnd w:id="105"/>
      <w:r w:rsidRPr="00BB53BC">
        <w:t xml:space="preserve"> </w:t>
      </w:r>
    </w:p>
    <w:p w14:paraId="78DF40C5" w14:textId="7CC8D86A" w:rsidR="00DE7553" w:rsidRPr="006F741C" w:rsidRDefault="00B83166" w:rsidP="00DE7553">
      <w:pPr>
        <w:rPr>
          <w:rFonts w:cs="Arial"/>
        </w:rPr>
      </w:pPr>
      <w:r>
        <w:rPr>
          <w:rFonts w:cs="Arial"/>
        </w:rPr>
        <w:t>Once the ACMA has made a spectrum re</w:t>
      </w:r>
      <w:r>
        <w:rPr>
          <w:rFonts w:cs="Arial"/>
        </w:rPr>
        <w:noBreakHyphen/>
        <w:t>allocation declaration, w</w:t>
      </w:r>
      <w:r w:rsidR="00777BAF">
        <w:rPr>
          <w:rFonts w:cs="Arial"/>
        </w:rPr>
        <w:t>e</w:t>
      </w:r>
      <w:r w:rsidR="00DE7553" w:rsidRPr="002301F0">
        <w:rPr>
          <w:rFonts w:cs="Arial"/>
        </w:rPr>
        <w:t xml:space="preserve"> must make a number of instruments to conduct </w:t>
      </w:r>
      <w:r w:rsidR="00DE7553">
        <w:rPr>
          <w:rFonts w:cs="Arial"/>
        </w:rPr>
        <w:t>an</w:t>
      </w:r>
      <w:r w:rsidR="00DE7553" w:rsidRPr="002301F0">
        <w:rPr>
          <w:rFonts w:cs="Arial"/>
        </w:rPr>
        <w:t xml:space="preserve"> </w:t>
      </w:r>
      <w:r w:rsidR="00DE7553">
        <w:rPr>
          <w:rFonts w:cs="Arial"/>
        </w:rPr>
        <w:t>allocation</w:t>
      </w:r>
      <w:r w:rsidR="00DE7553" w:rsidRPr="002301F0">
        <w:rPr>
          <w:rFonts w:cs="Arial"/>
        </w:rPr>
        <w:t xml:space="preserve"> of </w:t>
      </w:r>
      <w:r w:rsidR="00DE7553">
        <w:rPr>
          <w:rFonts w:cs="Arial"/>
        </w:rPr>
        <w:t>spectrum</w:t>
      </w:r>
      <w:r w:rsidR="00DE7553" w:rsidRPr="002301F0">
        <w:rPr>
          <w:rFonts w:cs="Arial"/>
        </w:rPr>
        <w:t>. These include a marketing plan under section 39A</w:t>
      </w:r>
      <w:r w:rsidR="00DE7553">
        <w:rPr>
          <w:rFonts w:cs="Arial"/>
        </w:rPr>
        <w:t xml:space="preserve"> of </w:t>
      </w:r>
      <w:r w:rsidR="00D33D1A">
        <w:rPr>
          <w:rFonts w:cs="Arial"/>
        </w:rPr>
        <w:t>the Act</w:t>
      </w:r>
      <w:r w:rsidR="00E94156">
        <w:rPr>
          <w:rFonts w:cs="Arial"/>
        </w:rPr>
        <w:t>,</w:t>
      </w:r>
      <w:r w:rsidR="00DE7553">
        <w:rPr>
          <w:rFonts w:cs="Arial"/>
        </w:rPr>
        <w:t xml:space="preserve"> </w:t>
      </w:r>
      <w:r w:rsidR="00DE7553" w:rsidRPr="002301F0">
        <w:rPr>
          <w:rFonts w:cs="Arial"/>
        </w:rPr>
        <w:t xml:space="preserve">an allocation procedures </w:t>
      </w:r>
      <w:r w:rsidR="00DE7553">
        <w:rPr>
          <w:rFonts w:cs="Arial"/>
        </w:rPr>
        <w:t>determination under section</w:t>
      </w:r>
      <w:r w:rsidR="00E40A6D">
        <w:rPr>
          <w:rFonts w:cs="Arial"/>
        </w:rPr>
        <w:t>s</w:t>
      </w:r>
      <w:r w:rsidR="00DE7553">
        <w:rPr>
          <w:rFonts w:cs="Arial"/>
        </w:rPr>
        <w:t xml:space="preserve"> 60</w:t>
      </w:r>
      <w:r w:rsidR="00E40A6D">
        <w:rPr>
          <w:rFonts w:cs="Arial"/>
        </w:rPr>
        <w:t xml:space="preserve"> and 294</w:t>
      </w:r>
      <w:r w:rsidR="00E94156">
        <w:rPr>
          <w:rFonts w:cs="Arial"/>
        </w:rPr>
        <w:t xml:space="preserve">, and various instruments setting out the technical framework </w:t>
      </w:r>
      <w:r w:rsidR="00A02419">
        <w:rPr>
          <w:rFonts w:cs="Arial"/>
        </w:rPr>
        <w:t xml:space="preserve">that </w:t>
      </w:r>
      <w:r w:rsidR="00E94156">
        <w:rPr>
          <w:rFonts w:cs="Arial"/>
        </w:rPr>
        <w:t>will apply to licences allocated as a result of the re</w:t>
      </w:r>
      <w:r w:rsidR="00E94156">
        <w:rPr>
          <w:rFonts w:cs="Arial"/>
        </w:rPr>
        <w:noBreakHyphen/>
        <w:t>allocation process</w:t>
      </w:r>
      <w:r w:rsidR="00DE7553" w:rsidRPr="002301F0">
        <w:rPr>
          <w:rFonts w:cs="Arial"/>
        </w:rPr>
        <w:t xml:space="preserve">. </w:t>
      </w:r>
    </w:p>
    <w:p w14:paraId="27C4BAFB" w14:textId="17A0D647" w:rsidR="00DE7553" w:rsidRPr="006F741C" w:rsidRDefault="00DE7553" w:rsidP="00DE7553">
      <w:pPr>
        <w:rPr>
          <w:rFonts w:cs="Arial"/>
          <w:b/>
          <w:i/>
        </w:rPr>
      </w:pPr>
      <w:r>
        <w:rPr>
          <w:rFonts w:cs="Arial"/>
        </w:rPr>
        <w:t>Generally</w:t>
      </w:r>
      <w:r w:rsidRPr="002301F0">
        <w:rPr>
          <w:rFonts w:cs="Arial"/>
        </w:rPr>
        <w:t xml:space="preserve">, </w:t>
      </w:r>
      <w:r>
        <w:rPr>
          <w:rFonts w:cs="Arial"/>
        </w:rPr>
        <w:t>a</w:t>
      </w:r>
      <w:r w:rsidRPr="002301F0">
        <w:rPr>
          <w:rFonts w:cs="Arial"/>
        </w:rPr>
        <w:t xml:space="preserve"> </w:t>
      </w:r>
      <w:r>
        <w:rPr>
          <w:rFonts w:cs="Arial"/>
        </w:rPr>
        <w:t>m</w:t>
      </w:r>
      <w:r w:rsidRPr="003D3B87">
        <w:rPr>
          <w:rFonts w:cs="Arial"/>
        </w:rPr>
        <w:t xml:space="preserve">arketing </w:t>
      </w:r>
      <w:r>
        <w:rPr>
          <w:rFonts w:cs="Arial"/>
        </w:rPr>
        <w:t>p</w:t>
      </w:r>
      <w:r w:rsidRPr="003D3B87">
        <w:rPr>
          <w:rFonts w:cs="Arial"/>
        </w:rPr>
        <w:t xml:space="preserve">lan </w:t>
      </w:r>
      <w:r>
        <w:rPr>
          <w:rFonts w:cs="Arial"/>
        </w:rPr>
        <w:t xml:space="preserve">sets </w:t>
      </w:r>
      <w:r w:rsidRPr="002301F0">
        <w:rPr>
          <w:rFonts w:cs="Arial"/>
        </w:rPr>
        <w:t>out information about the spectrum available and describe</w:t>
      </w:r>
      <w:r>
        <w:rPr>
          <w:rFonts w:cs="Arial"/>
        </w:rPr>
        <w:t>s</w:t>
      </w:r>
      <w:r w:rsidRPr="002301F0">
        <w:rPr>
          <w:rFonts w:cs="Arial"/>
        </w:rPr>
        <w:t xml:space="preserve"> </w:t>
      </w:r>
      <w:r w:rsidRPr="00821355">
        <w:rPr>
          <w:rFonts w:cs="Arial"/>
        </w:rPr>
        <w:t xml:space="preserve">the </w:t>
      </w:r>
      <w:r w:rsidR="00B748F8">
        <w:rPr>
          <w:rFonts w:cs="Arial"/>
        </w:rPr>
        <w:t xml:space="preserve">proposed </w:t>
      </w:r>
      <w:r w:rsidRPr="00821355">
        <w:rPr>
          <w:rFonts w:cs="Arial"/>
        </w:rPr>
        <w:t xml:space="preserve">licence conditions </w:t>
      </w:r>
      <w:r w:rsidR="00B748F8">
        <w:rPr>
          <w:rFonts w:cs="Arial"/>
        </w:rPr>
        <w:t>for</w:t>
      </w:r>
      <w:r w:rsidR="00B748F8" w:rsidRPr="00821355">
        <w:rPr>
          <w:rFonts w:cs="Arial"/>
        </w:rPr>
        <w:t xml:space="preserve"> </w:t>
      </w:r>
      <w:r w:rsidRPr="00821355">
        <w:rPr>
          <w:rFonts w:cs="Arial"/>
        </w:rPr>
        <w:t>the spectrum licences issued</w:t>
      </w:r>
      <w:r w:rsidR="009D2812">
        <w:rPr>
          <w:rFonts w:cs="Arial"/>
        </w:rPr>
        <w:t xml:space="preserve">. </w:t>
      </w:r>
      <w:r w:rsidR="00086EEA">
        <w:rPr>
          <w:rFonts w:cs="Arial"/>
        </w:rPr>
        <w:t>It</w:t>
      </w:r>
      <w:r w:rsidRPr="003D3B87">
        <w:rPr>
          <w:rFonts w:cs="Arial"/>
        </w:rPr>
        <w:t xml:space="preserve"> </w:t>
      </w:r>
      <w:r w:rsidRPr="002301F0">
        <w:rPr>
          <w:rFonts w:cs="Arial"/>
        </w:rPr>
        <w:t xml:space="preserve">might specify the type of </w:t>
      </w:r>
      <w:r>
        <w:rPr>
          <w:rFonts w:cs="Arial"/>
        </w:rPr>
        <w:t>allocation</w:t>
      </w:r>
      <w:r w:rsidRPr="002301F0">
        <w:rPr>
          <w:rFonts w:cs="Arial"/>
        </w:rPr>
        <w:t xml:space="preserve"> method </w:t>
      </w:r>
      <w:r w:rsidR="007577E8">
        <w:rPr>
          <w:rFonts w:cs="Arial"/>
        </w:rPr>
        <w:t>and</w:t>
      </w:r>
      <w:r w:rsidRPr="002301F0">
        <w:rPr>
          <w:rFonts w:cs="Arial"/>
        </w:rPr>
        <w:t xml:space="preserve"> how the spectrum will be apportioned into lots</w:t>
      </w:r>
      <w:r>
        <w:rPr>
          <w:rFonts w:cs="Arial"/>
        </w:rPr>
        <w:t xml:space="preserve">. </w:t>
      </w:r>
      <w:r w:rsidR="00777BAF">
        <w:rPr>
          <w:rFonts w:cs="Arial"/>
        </w:rPr>
        <w:t>We</w:t>
      </w:r>
      <w:r w:rsidDel="00B06FB6">
        <w:rPr>
          <w:rFonts w:cs="Arial"/>
        </w:rPr>
        <w:t xml:space="preserve"> </w:t>
      </w:r>
      <w:r w:rsidR="00B06FB6">
        <w:rPr>
          <w:rFonts w:cs="Arial"/>
        </w:rPr>
        <w:t>may</w:t>
      </w:r>
      <w:r>
        <w:rPr>
          <w:rFonts w:cs="Arial"/>
        </w:rPr>
        <w:t xml:space="preserve"> prepare </w:t>
      </w:r>
      <w:r w:rsidRPr="006F741C">
        <w:rPr>
          <w:rFonts w:cs="Arial"/>
        </w:rPr>
        <w:t xml:space="preserve">a </w:t>
      </w:r>
      <w:r>
        <w:rPr>
          <w:rFonts w:cs="Arial"/>
        </w:rPr>
        <w:t xml:space="preserve">draft </w:t>
      </w:r>
      <w:r w:rsidRPr="006F741C">
        <w:rPr>
          <w:rFonts w:cs="Arial"/>
        </w:rPr>
        <w:t xml:space="preserve">sample spectrum licence </w:t>
      </w:r>
      <w:r w:rsidRPr="002301F0">
        <w:rPr>
          <w:rFonts w:cs="Arial"/>
        </w:rPr>
        <w:t xml:space="preserve">defining the area and frequency band of the licence and setting out licence conditions, including emission limits, </w:t>
      </w:r>
      <w:r>
        <w:rPr>
          <w:rFonts w:cs="Arial"/>
        </w:rPr>
        <w:t xml:space="preserve">relevant </w:t>
      </w:r>
      <w:r w:rsidRPr="002301F0">
        <w:rPr>
          <w:rFonts w:cs="Arial"/>
        </w:rPr>
        <w:t>technical advisory guidelines and statutory obligations.</w:t>
      </w:r>
      <w:r w:rsidRPr="00821355">
        <w:t xml:space="preserve"> </w:t>
      </w:r>
      <w:r w:rsidRPr="00821355">
        <w:rPr>
          <w:rFonts w:cs="Arial"/>
        </w:rPr>
        <w:t>This is usually included in the marketing plan.</w:t>
      </w:r>
    </w:p>
    <w:p w14:paraId="5AEBE849" w14:textId="6FB03207" w:rsidR="0095464D" w:rsidRDefault="00DE7553" w:rsidP="00DE7553">
      <w:pPr>
        <w:rPr>
          <w:rFonts w:cs="Arial"/>
        </w:rPr>
      </w:pPr>
      <w:r>
        <w:rPr>
          <w:rFonts w:cs="Arial"/>
        </w:rPr>
        <w:t>The allocation procedures determination</w:t>
      </w:r>
      <w:r w:rsidRPr="002301F0">
        <w:rPr>
          <w:rFonts w:cs="Arial"/>
        </w:rPr>
        <w:t xml:space="preserve"> sets out</w:t>
      </w:r>
      <w:r>
        <w:rPr>
          <w:rFonts w:cs="Arial"/>
        </w:rPr>
        <w:t>,</w:t>
      </w:r>
      <w:r w:rsidRPr="002301F0">
        <w:rPr>
          <w:rFonts w:cs="Arial"/>
        </w:rPr>
        <w:t xml:space="preserve"> in greater detail</w:t>
      </w:r>
      <w:r>
        <w:rPr>
          <w:rFonts w:cs="Arial"/>
        </w:rPr>
        <w:t>,</w:t>
      </w:r>
      <w:r w:rsidRPr="002301F0">
        <w:rPr>
          <w:rFonts w:cs="Arial"/>
        </w:rPr>
        <w:t xml:space="preserve"> the elements of the chosen allocation method. For example, the procedures will detail the </w:t>
      </w:r>
      <w:r>
        <w:rPr>
          <w:rFonts w:cs="Arial"/>
        </w:rPr>
        <w:t xml:space="preserve">allocation method and, if that method is an auction, the </w:t>
      </w:r>
      <w:r w:rsidRPr="002301F0">
        <w:rPr>
          <w:rFonts w:cs="Arial"/>
        </w:rPr>
        <w:t xml:space="preserve">auction method and auction rules, </w:t>
      </w:r>
      <w:r w:rsidR="003938C1">
        <w:rPr>
          <w:rFonts w:cs="Arial"/>
        </w:rPr>
        <w:t xml:space="preserve">including any </w:t>
      </w:r>
      <w:r w:rsidRPr="002301F0">
        <w:rPr>
          <w:rFonts w:cs="Arial"/>
        </w:rPr>
        <w:t xml:space="preserve">registration requirements, fees, </w:t>
      </w:r>
      <w:r w:rsidR="003938C1">
        <w:rPr>
          <w:rFonts w:cs="Arial"/>
        </w:rPr>
        <w:t>starting</w:t>
      </w:r>
      <w:r w:rsidR="003938C1" w:rsidRPr="002301F0">
        <w:rPr>
          <w:rFonts w:cs="Arial"/>
        </w:rPr>
        <w:t xml:space="preserve"> </w:t>
      </w:r>
      <w:r w:rsidRPr="002301F0">
        <w:rPr>
          <w:rFonts w:cs="Arial"/>
        </w:rPr>
        <w:t>prices, and methods of payment</w:t>
      </w:r>
      <w:r>
        <w:rPr>
          <w:rFonts w:cs="Arial"/>
        </w:rPr>
        <w:t xml:space="preserve">. </w:t>
      </w:r>
    </w:p>
    <w:p w14:paraId="6490ED24" w14:textId="0A4BCD0B" w:rsidR="00D0104A" w:rsidRDefault="00081AB4" w:rsidP="00DE7553">
      <w:pPr>
        <w:rPr>
          <w:rFonts w:cs="Arial"/>
        </w:rPr>
      </w:pPr>
      <w:r>
        <w:rPr>
          <w:rFonts w:cs="Arial"/>
        </w:rPr>
        <w:t xml:space="preserve">When </w:t>
      </w:r>
      <w:r w:rsidR="00AA7EE2">
        <w:rPr>
          <w:rFonts w:cs="Arial"/>
        </w:rPr>
        <w:t xml:space="preserve">drafting the allocation procedures, the ACMA must consult with the ACCC about </w:t>
      </w:r>
      <w:r w:rsidR="00B748F8">
        <w:rPr>
          <w:rFonts w:cs="Arial"/>
        </w:rPr>
        <w:t xml:space="preserve">imposing </w:t>
      </w:r>
      <w:r w:rsidR="00AA7EE2">
        <w:rPr>
          <w:rFonts w:cs="Arial"/>
        </w:rPr>
        <w:t>limits on how much spectrum any one person may obtain</w:t>
      </w:r>
      <w:r w:rsidR="00827ED3">
        <w:rPr>
          <w:rFonts w:cs="Arial"/>
        </w:rPr>
        <w:t xml:space="preserve"> (spectrum licence limits)</w:t>
      </w:r>
      <w:r w:rsidR="00453125">
        <w:rPr>
          <w:rFonts w:cs="Arial"/>
        </w:rPr>
        <w:t xml:space="preserve"> and whether the ACMA must give information </w:t>
      </w:r>
      <w:r w:rsidR="00B748F8">
        <w:rPr>
          <w:rFonts w:cs="Arial"/>
        </w:rPr>
        <w:t xml:space="preserve">obtained during the allocation process </w:t>
      </w:r>
      <w:r w:rsidR="00453125">
        <w:rPr>
          <w:rFonts w:cs="Arial"/>
        </w:rPr>
        <w:t>to the ACCC</w:t>
      </w:r>
      <w:r w:rsidR="00AA7EE2">
        <w:rPr>
          <w:rFonts w:cs="Arial"/>
        </w:rPr>
        <w:t>.</w:t>
      </w:r>
    </w:p>
    <w:p w14:paraId="34B8952A" w14:textId="1DC651D9" w:rsidR="00DE7553" w:rsidRDefault="00DE7553" w:rsidP="0012550D">
      <w:pPr>
        <w:pStyle w:val="Paragraphbeforelist"/>
      </w:pPr>
      <w:r>
        <w:t>T</w:t>
      </w:r>
      <w:r w:rsidRPr="002301F0">
        <w:t xml:space="preserve">here are a number of instruments that implement the technical framework for </w:t>
      </w:r>
      <w:r>
        <w:t>a</w:t>
      </w:r>
      <w:r w:rsidRPr="002301F0">
        <w:t xml:space="preserve"> band.</w:t>
      </w:r>
      <w:r w:rsidR="00777BAF">
        <w:t xml:space="preserve"> </w:t>
      </w:r>
      <w:r>
        <w:t>T</w:t>
      </w:r>
      <w:r w:rsidRPr="002301F0">
        <w:t xml:space="preserve">hese </w:t>
      </w:r>
      <w:r>
        <w:t>may</w:t>
      </w:r>
      <w:r w:rsidRPr="002301F0">
        <w:t xml:space="preserve"> comprise</w:t>
      </w:r>
      <w:r>
        <w:t>:</w:t>
      </w:r>
    </w:p>
    <w:p w14:paraId="283F4D24" w14:textId="756DE32F" w:rsidR="00DE7553" w:rsidRDefault="00B748F8" w:rsidP="00DE7553">
      <w:pPr>
        <w:pStyle w:val="ListBullet"/>
        <w:rPr>
          <w:rFonts w:cs="Arial"/>
        </w:rPr>
      </w:pPr>
      <w:r>
        <w:rPr>
          <w:rFonts w:cs="Arial"/>
        </w:rPr>
        <w:t>a</w:t>
      </w:r>
      <w:r w:rsidR="00DE7553">
        <w:rPr>
          <w:rFonts w:cs="Arial"/>
        </w:rPr>
        <w:t xml:space="preserve"> determination made</w:t>
      </w:r>
      <w:r w:rsidR="00DE7553" w:rsidRPr="002301F0">
        <w:rPr>
          <w:rFonts w:cs="Arial"/>
        </w:rPr>
        <w:t xml:space="preserve"> under </w:t>
      </w:r>
      <w:r w:rsidR="00DE7553">
        <w:rPr>
          <w:rFonts w:cs="Arial"/>
        </w:rPr>
        <w:t>sub</w:t>
      </w:r>
      <w:r w:rsidR="00DE7553" w:rsidRPr="002301F0">
        <w:rPr>
          <w:rFonts w:cs="Arial"/>
        </w:rPr>
        <w:t>section 145</w:t>
      </w:r>
      <w:r w:rsidR="00DE7553">
        <w:rPr>
          <w:rFonts w:cs="Arial"/>
        </w:rPr>
        <w:t xml:space="preserve">(4) of </w:t>
      </w:r>
      <w:r w:rsidR="00D33D1A">
        <w:rPr>
          <w:rFonts w:cs="Arial"/>
        </w:rPr>
        <w:t>the Act</w:t>
      </w:r>
      <w:r>
        <w:rPr>
          <w:rFonts w:cs="Arial"/>
        </w:rPr>
        <w:t xml:space="preserve"> – which establish </w:t>
      </w:r>
      <w:r w:rsidR="00DE7553">
        <w:rPr>
          <w:rFonts w:cs="Arial"/>
        </w:rPr>
        <w:t xml:space="preserve">unacceptable levels of interference </w:t>
      </w:r>
      <w:r w:rsidR="00DE7553" w:rsidRPr="00631E12">
        <w:rPr>
          <w:rFonts w:cs="Arial"/>
        </w:rPr>
        <w:t xml:space="preserve">for radiocommunications transmitters proposed to be operated under the spectrum licences </w:t>
      </w:r>
    </w:p>
    <w:p w14:paraId="1F7F3299" w14:textId="5A478128" w:rsidR="00DE7553" w:rsidRDefault="00B748F8" w:rsidP="0012550D">
      <w:pPr>
        <w:pStyle w:val="ListBulletLast"/>
      </w:pPr>
      <w:r>
        <w:t>r</w:t>
      </w:r>
      <w:r w:rsidR="00DE7553" w:rsidRPr="002301F0">
        <w:t xml:space="preserve">adiocommunications </w:t>
      </w:r>
      <w:r w:rsidR="00DE7553">
        <w:t>a</w:t>
      </w:r>
      <w:r w:rsidR="00DE7553" w:rsidRPr="002301F0">
        <w:t xml:space="preserve">dvisory </w:t>
      </w:r>
      <w:r w:rsidR="00DE7553">
        <w:t>g</w:t>
      </w:r>
      <w:r w:rsidR="00DE7553" w:rsidRPr="002301F0">
        <w:t xml:space="preserve">uidelines </w:t>
      </w:r>
      <w:r w:rsidR="00DE7553">
        <w:t>made</w:t>
      </w:r>
      <w:r w:rsidR="00DE7553" w:rsidRPr="002301F0">
        <w:t xml:space="preserve"> under section 262</w:t>
      </w:r>
      <w:r w:rsidR="00DE7553">
        <w:t xml:space="preserve"> of </w:t>
      </w:r>
      <w:r w:rsidR="00D33D1A">
        <w:t>the Act</w:t>
      </w:r>
      <w:r>
        <w:t xml:space="preserve"> – </w:t>
      </w:r>
      <w:r w:rsidR="00DE7553" w:rsidRPr="002301F0">
        <w:t>which assist licensees to coordinate with other radiocommunications services</w:t>
      </w:r>
      <w:r w:rsidR="00BA4065">
        <w:t xml:space="preserve"> and may be incorporated into spectrum licence conditions</w:t>
      </w:r>
      <w:r w:rsidR="00DE7553" w:rsidRPr="002301F0">
        <w:t>.</w:t>
      </w:r>
      <w:r w:rsidR="00DE7553">
        <w:t xml:space="preserve"> </w:t>
      </w:r>
    </w:p>
    <w:p w14:paraId="6DC4ED39" w14:textId="153AA566" w:rsidR="00DE7553" w:rsidRPr="006F741C" w:rsidRDefault="004721C5" w:rsidP="00DE7553">
      <w:r>
        <w:t>Subject to the outcomes of this consultation</w:t>
      </w:r>
      <w:r w:rsidR="00666084">
        <w:t xml:space="preserve"> and the ACMA making a spectrum re</w:t>
      </w:r>
      <w:r w:rsidR="00666084">
        <w:noBreakHyphen/>
        <w:t>allocation declaration</w:t>
      </w:r>
      <w:r>
        <w:t xml:space="preserve">, we will commence drafting the instruments </w:t>
      </w:r>
      <w:r w:rsidR="00666084">
        <w:t>required for the allocation of spectrum licences in the 3.4 GHz and 3.7 GHz bands.</w:t>
      </w:r>
    </w:p>
    <w:p w14:paraId="36CD9526" w14:textId="05E7E85D" w:rsidR="00DE7553" w:rsidRPr="0013185C" w:rsidRDefault="00DE7553" w:rsidP="00DE7553">
      <w:pPr>
        <w:pStyle w:val="BodySubHeader"/>
      </w:pPr>
      <w:bookmarkStart w:id="106" w:name="_Toc496277354"/>
      <w:bookmarkStart w:id="107" w:name="_Toc496277753"/>
      <w:bookmarkStart w:id="108" w:name="_Toc496527264"/>
      <w:bookmarkStart w:id="109" w:name="_Toc496527439"/>
      <w:r w:rsidRPr="0013185C">
        <w:t xml:space="preserve">Step </w:t>
      </w:r>
      <w:r w:rsidR="00F20828">
        <w:t>4</w:t>
      </w:r>
      <w:r w:rsidR="00535B80">
        <w:t>: F</w:t>
      </w:r>
      <w:r w:rsidRPr="0013185C">
        <w:t xml:space="preserve">inal allocation </w:t>
      </w:r>
      <w:r w:rsidR="007A4207">
        <w:t>and technical</w:t>
      </w:r>
      <w:r w:rsidRPr="0013185C">
        <w:t xml:space="preserve"> instruments</w:t>
      </w:r>
      <w:bookmarkEnd w:id="106"/>
      <w:bookmarkEnd w:id="107"/>
      <w:bookmarkEnd w:id="108"/>
      <w:bookmarkEnd w:id="109"/>
    </w:p>
    <w:p w14:paraId="07DFACF2" w14:textId="36861182" w:rsidR="00DE7553" w:rsidRPr="006F741C" w:rsidRDefault="00DE7553" w:rsidP="00DE7553">
      <w:pPr>
        <w:rPr>
          <w:rFonts w:cs="Arial"/>
        </w:rPr>
      </w:pPr>
      <w:r w:rsidRPr="002301F0">
        <w:rPr>
          <w:rFonts w:cs="Arial"/>
        </w:rPr>
        <w:t>After consultation</w:t>
      </w:r>
      <w:r w:rsidR="007A4207">
        <w:rPr>
          <w:rFonts w:cs="Arial"/>
        </w:rPr>
        <w:t xml:space="preserve"> on the draft allocation and technical instruments</w:t>
      </w:r>
      <w:r w:rsidRPr="002301F0">
        <w:rPr>
          <w:rFonts w:cs="Arial"/>
        </w:rPr>
        <w:t xml:space="preserve">, </w:t>
      </w:r>
      <w:r w:rsidR="00777BAF">
        <w:rPr>
          <w:rFonts w:cs="Arial"/>
        </w:rPr>
        <w:t xml:space="preserve">we </w:t>
      </w:r>
      <w:r w:rsidRPr="002301F0">
        <w:rPr>
          <w:rFonts w:cs="Arial"/>
        </w:rPr>
        <w:t>make final versions of the allocation instruments.</w:t>
      </w:r>
      <w:r w:rsidRPr="002301F0" w:rsidDel="00453125">
        <w:rPr>
          <w:rFonts w:cs="Arial"/>
        </w:rPr>
        <w:t xml:space="preserve"> </w:t>
      </w:r>
      <w:r w:rsidR="00B748F8">
        <w:rPr>
          <w:rFonts w:cs="Arial"/>
        </w:rPr>
        <w:t xml:space="preserve">If </w:t>
      </w:r>
      <w:r w:rsidR="00F04851">
        <w:rPr>
          <w:rFonts w:cs="Arial"/>
        </w:rPr>
        <w:t>t</w:t>
      </w:r>
      <w:r w:rsidRPr="002301F0">
        <w:rPr>
          <w:rFonts w:cs="Arial"/>
        </w:rPr>
        <w:t xml:space="preserve">hese </w:t>
      </w:r>
      <w:r w:rsidRPr="00631E12">
        <w:rPr>
          <w:rFonts w:cs="Arial"/>
        </w:rPr>
        <w:t>instruments are legislative instruments</w:t>
      </w:r>
      <w:r w:rsidR="00B748F8">
        <w:rPr>
          <w:rFonts w:cs="Arial"/>
        </w:rPr>
        <w:t>,</w:t>
      </w:r>
      <w:r w:rsidRPr="00631E12">
        <w:rPr>
          <w:rFonts w:cs="Arial"/>
        </w:rPr>
        <w:t xml:space="preserve"> </w:t>
      </w:r>
      <w:r w:rsidR="00F04851">
        <w:rPr>
          <w:rFonts w:cs="Arial"/>
        </w:rPr>
        <w:t>they</w:t>
      </w:r>
      <w:r w:rsidRPr="00631E12">
        <w:rPr>
          <w:rFonts w:cs="Arial"/>
        </w:rPr>
        <w:t xml:space="preserve"> must</w:t>
      </w:r>
      <w:r w:rsidRPr="002301F0">
        <w:rPr>
          <w:rFonts w:cs="Arial"/>
        </w:rPr>
        <w:t xml:space="preserve"> be published on the </w:t>
      </w:r>
      <w:hyperlink r:id="rId112" w:history="1">
        <w:r>
          <w:rPr>
            <w:rStyle w:val="Hyperlink"/>
            <w:rFonts w:cs="Arial"/>
          </w:rPr>
          <w:t>Federal Register of Legislation</w:t>
        </w:r>
      </w:hyperlink>
      <w:r w:rsidRPr="002301F0">
        <w:rPr>
          <w:rFonts w:cs="Arial"/>
        </w:rPr>
        <w:t>.</w:t>
      </w:r>
      <w:r w:rsidR="00F06814">
        <w:rPr>
          <w:rFonts w:cs="Arial"/>
        </w:rPr>
        <w:t xml:space="preserve"> These are usually released along with the rest of the allocation information, in Step 5.</w:t>
      </w:r>
    </w:p>
    <w:p w14:paraId="2AFA8719" w14:textId="0B8BAAD3" w:rsidR="00DE7553" w:rsidRPr="00BB53BC" w:rsidRDefault="00DE7553" w:rsidP="00DE7553">
      <w:pPr>
        <w:pStyle w:val="BodySubHeader"/>
      </w:pPr>
      <w:bookmarkStart w:id="110" w:name="_Toc496277355"/>
      <w:bookmarkStart w:id="111" w:name="_Toc496277754"/>
      <w:bookmarkStart w:id="112" w:name="_Toc496527265"/>
      <w:bookmarkStart w:id="113" w:name="_Toc496527440"/>
      <w:r w:rsidRPr="00BB53BC">
        <w:t xml:space="preserve">Step </w:t>
      </w:r>
      <w:r w:rsidR="00F20828">
        <w:t>5</w:t>
      </w:r>
      <w:r w:rsidR="00535B80">
        <w:t xml:space="preserve">: </w:t>
      </w:r>
      <w:bookmarkEnd w:id="110"/>
      <w:bookmarkEnd w:id="111"/>
      <w:bookmarkEnd w:id="112"/>
      <w:bookmarkEnd w:id="113"/>
      <w:r w:rsidR="00535B80">
        <w:t>A</w:t>
      </w:r>
      <w:r>
        <w:t>llocation</w:t>
      </w:r>
      <w:r w:rsidR="00F06814">
        <w:t xml:space="preserve"> </w:t>
      </w:r>
    </w:p>
    <w:p w14:paraId="681D92FC" w14:textId="1870F799" w:rsidR="00DE7553" w:rsidRPr="006F741C" w:rsidRDefault="00DE7553" w:rsidP="00DE7553">
      <w:pPr>
        <w:rPr>
          <w:rFonts w:cs="Arial"/>
        </w:rPr>
      </w:pPr>
      <w:r w:rsidRPr="002301F0">
        <w:rPr>
          <w:rFonts w:cs="Arial"/>
        </w:rPr>
        <w:t xml:space="preserve">Once the allocation instruments </w:t>
      </w:r>
      <w:r>
        <w:rPr>
          <w:rFonts w:cs="Arial"/>
        </w:rPr>
        <w:t>are</w:t>
      </w:r>
      <w:r w:rsidRPr="002301F0">
        <w:rPr>
          <w:rFonts w:cs="Arial"/>
        </w:rPr>
        <w:t xml:space="preserve"> </w:t>
      </w:r>
      <w:r>
        <w:rPr>
          <w:rFonts w:cs="Arial"/>
        </w:rPr>
        <w:t>made and come into effect</w:t>
      </w:r>
      <w:r w:rsidRPr="002301F0">
        <w:rPr>
          <w:rFonts w:cs="Arial"/>
        </w:rPr>
        <w:t xml:space="preserve">, </w:t>
      </w:r>
      <w:r w:rsidR="00777BAF">
        <w:rPr>
          <w:rFonts w:cs="Arial"/>
        </w:rPr>
        <w:t>we</w:t>
      </w:r>
      <w:r w:rsidR="00C663DA">
        <w:rPr>
          <w:rFonts w:cs="Arial"/>
        </w:rPr>
        <w:t xml:space="preserve"> release an applicant information package and</w:t>
      </w:r>
      <w:r w:rsidRPr="002301F0">
        <w:rPr>
          <w:rFonts w:cs="Arial"/>
        </w:rPr>
        <w:t xml:space="preserve"> invite interested parties to register </w:t>
      </w:r>
      <w:r w:rsidR="00D4310C">
        <w:rPr>
          <w:rFonts w:cs="Arial"/>
        </w:rPr>
        <w:t>to participate in</w:t>
      </w:r>
      <w:r w:rsidRPr="002301F0">
        <w:rPr>
          <w:rFonts w:cs="Arial"/>
        </w:rPr>
        <w:t xml:space="preserve"> the </w:t>
      </w:r>
      <w:r w:rsidR="00D4310C">
        <w:rPr>
          <w:rFonts w:cs="Arial"/>
        </w:rPr>
        <w:t>allocation</w:t>
      </w:r>
      <w:r w:rsidRPr="002301F0">
        <w:rPr>
          <w:rFonts w:cs="Arial"/>
        </w:rPr>
        <w:t xml:space="preserve">. </w:t>
      </w:r>
      <w:r w:rsidR="00D4310C">
        <w:rPr>
          <w:rFonts w:cs="Arial"/>
        </w:rPr>
        <w:t xml:space="preserve">If a </w:t>
      </w:r>
      <w:r w:rsidRPr="002301F0">
        <w:rPr>
          <w:rFonts w:cs="Arial"/>
        </w:rPr>
        <w:t>computer system</w:t>
      </w:r>
      <w:r>
        <w:rPr>
          <w:rFonts w:cs="Arial"/>
        </w:rPr>
        <w:t xml:space="preserve"> and/or software</w:t>
      </w:r>
      <w:r w:rsidRPr="002301F0">
        <w:rPr>
          <w:rFonts w:cs="Arial"/>
        </w:rPr>
        <w:t xml:space="preserve"> </w:t>
      </w:r>
      <w:r w:rsidR="00D4310C">
        <w:rPr>
          <w:rFonts w:cs="Arial"/>
        </w:rPr>
        <w:t xml:space="preserve">is used for </w:t>
      </w:r>
      <w:r w:rsidRPr="002301F0">
        <w:rPr>
          <w:rFonts w:cs="Arial"/>
        </w:rPr>
        <w:t>the a</w:t>
      </w:r>
      <w:r w:rsidR="00D4310C">
        <w:rPr>
          <w:rFonts w:cs="Arial"/>
        </w:rPr>
        <w:t xml:space="preserve">llocation process, registered bidders have </w:t>
      </w:r>
      <w:r w:rsidR="00D4310C" w:rsidRPr="002301F0">
        <w:rPr>
          <w:rFonts w:cs="Arial"/>
        </w:rPr>
        <w:t xml:space="preserve">an opportunity to trial </w:t>
      </w:r>
      <w:r w:rsidR="00D4310C">
        <w:rPr>
          <w:rFonts w:cs="Arial"/>
        </w:rPr>
        <w:t>it</w:t>
      </w:r>
      <w:r w:rsidRPr="002301F0">
        <w:rPr>
          <w:rFonts w:cs="Arial"/>
        </w:rPr>
        <w:t xml:space="preserve">. </w:t>
      </w:r>
    </w:p>
    <w:p w14:paraId="519CC3A2" w14:textId="1E386979" w:rsidR="00DE7553" w:rsidRDefault="00DE7553" w:rsidP="00DE7553">
      <w:pPr>
        <w:spacing w:line="276" w:lineRule="auto"/>
        <w:rPr>
          <w:rFonts w:cs="Arial"/>
        </w:rPr>
      </w:pPr>
      <w:r w:rsidRPr="002301F0">
        <w:rPr>
          <w:rFonts w:cs="Arial"/>
        </w:rPr>
        <w:t xml:space="preserve">After completion of the </w:t>
      </w:r>
      <w:r w:rsidR="0096736A">
        <w:rPr>
          <w:rFonts w:cs="Arial"/>
        </w:rPr>
        <w:t>allocation</w:t>
      </w:r>
      <w:r w:rsidR="0096736A" w:rsidRPr="002301F0">
        <w:rPr>
          <w:rFonts w:cs="Arial"/>
        </w:rPr>
        <w:t xml:space="preserve"> </w:t>
      </w:r>
      <w:r w:rsidRPr="002301F0">
        <w:rPr>
          <w:rFonts w:cs="Arial"/>
        </w:rPr>
        <w:t>process</w:t>
      </w:r>
      <w:r w:rsidR="00777BAF">
        <w:rPr>
          <w:rFonts w:cs="Arial"/>
        </w:rPr>
        <w:t>, we</w:t>
      </w:r>
      <w:r w:rsidRPr="002301F0">
        <w:rPr>
          <w:rFonts w:cs="Arial"/>
        </w:rPr>
        <w:t xml:space="preserve"> issue invoices for the </w:t>
      </w:r>
      <w:r w:rsidR="003938C1">
        <w:rPr>
          <w:rFonts w:cs="Arial"/>
        </w:rPr>
        <w:t xml:space="preserve">amount of </w:t>
      </w:r>
      <w:r w:rsidRPr="002301F0">
        <w:rPr>
          <w:rFonts w:cs="Arial"/>
        </w:rPr>
        <w:t xml:space="preserve">winning </w:t>
      </w:r>
      <w:r w:rsidR="003938C1">
        <w:rPr>
          <w:rFonts w:cs="Arial"/>
        </w:rPr>
        <w:t xml:space="preserve">high </w:t>
      </w:r>
      <w:r w:rsidRPr="002301F0">
        <w:rPr>
          <w:rFonts w:cs="Arial"/>
        </w:rPr>
        <w:t xml:space="preserve">bids. </w:t>
      </w:r>
      <w:r>
        <w:rPr>
          <w:rFonts w:cs="Arial"/>
        </w:rPr>
        <w:t>O</w:t>
      </w:r>
      <w:r w:rsidRPr="002301F0">
        <w:rPr>
          <w:rFonts w:cs="Arial"/>
        </w:rPr>
        <w:t xml:space="preserve">n payment, </w:t>
      </w:r>
      <w:r w:rsidR="00777BAF">
        <w:rPr>
          <w:rFonts w:cs="Arial"/>
        </w:rPr>
        <w:t>we</w:t>
      </w:r>
      <w:r w:rsidRPr="002301F0">
        <w:rPr>
          <w:rFonts w:cs="Arial"/>
        </w:rPr>
        <w:t xml:space="preserve"> prepare and send out the spectrum licence</w:t>
      </w:r>
      <w:r>
        <w:rPr>
          <w:rFonts w:cs="Arial"/>
        </w:rPr>
        <w:t>s</w:t>
      </w:r>
      <w:r w:rsidRPr="002301F0">
        <w:rPr>
          <w:rFonts w:cs="Arial"/>
        </w:rPr>
        <w:t xml:space="preserve"> to successful bidders.</w:t>
      </w:r>
    </w:p>
    <w:p w14:paraId="5D094818" w14:textId="0C0E1388" w:rsidR="008376A5" w:rsidRDefault="001401EC" w:rsidP="001401EC">
      <w:pPr>
        <w:pStyle w:val="Heading1"/>
      </w:pPr>
      <w:bookmarkStart w:id="114" w:name="_Toc96941007"/>
      <w:r>
        <w:t xml:space="preserve">Appendix </w:t>
      </w:r>
      <w:r w:rsidR="00DB5501">
        <w:t>B</w:t>
      </w:r>
      <w:r w:rsidR="00ED24FD">
        <w:t xml:space="preserve"> – </w:t>
      </w:r>
      <w:r w:rsidR="00E1381E">
        <w:t>HCIS identifiers for the parts of the spectrum proposed for re-allocation</w:t>
      </w:r>
      <w:r w:rsidR="005C6C8B">
        <w:t xml:space="preserve"> (planning </w:t>
      </w:r>
      <w:r w:rsidR="00B748F8">
        <w:t>O</w:t>
      </w:r>
      <w:r w:rsidR="005C6C8B">
        <w:t>ption 3)</w:t>
      </w:r>
      <w:bookmarkEnd w:id="114"/>
    </w:p>
    <w:p w14:paraId="08EE4420" w14:textId="342EE050" w:rsidR="009D5583" w:rsidRPr="00E654F7" w:rsidRDefault="009D5583" w:rsidP="00EA13B3">
      <w:pPr>
        <w:pStyle w:val="Paragraph"/>
      </w:pPr>
      <w:r w:rsidRPr="00E654F7">
        <w:t>Ta</w:t>
      </w:r>
      <w:r w:rsidRPr="009A591C">
        <w:t xml:space="preserve">ble </w:t>
      </w:r>
      <w:r w:rsidR="009A591C">
        <w:t>7</w:t>
      </w:r>
      <w:r w:rsidR="00B748F8" w:rsidRPr="009A591C">
        <w:t xml:space="preserve"> </w:t>
      </w:r>
      <w:r w:rsidRPr="009A591C">
        <w:t>shows the frequency ranges</w:t>
      </w:r>
      <w:r w:rsidR="0050798C" w:rsidRPr="009A591C">
        <w:t xml:space="preserve"> in geographic areas we propose to declare for re-allocati</w:t>
      </w:r>
      <w:r w:rsidR="0050798C" w:rsidRPr="00E654F7">
        <w:t>on</w:t>
      </w:r>
      <w:r w:rsidR="00DD3DC9" w:rsidRPr="00E654F7">
        <w:t xml:space="preserve"> under Option 3 (</w:t>
      </w:r>
      <w:r w:rsidR="00B748F8">
        <w:t xml:space="preserve">see </w:t>
      </w:r>
      <w:r w:rsidR="00DD3DC9" w:rsidRPr="00E654F7">
        <w:t xml:space="preserve">the </w:t>
      </w:r>
      <w:r w:rsidR="00A557F8" w:rsidRPr="00E654F7">
        <w:t>‘P</w:t>
      </w:r>
      <w:r w:rsidR="00DD3DC9" w:rsidRPr="00E654F7">
        <w:t>lanning options' section of this paper)</w:t>
      </w:r>
      <w:r w:rsidR="0050798C" w:rsidRPr="00E654F7">
        <w:t xml:space="preserve">. </w:t>
      </w:r>
      <w:r w:rsidR="0090081B">
        <w:t>Table 8 lists the geographic areas</w:t>
      </w:r>
      <w:r w:rsidR="00FA6B4E">
        <w:t xml:space="preserve"> for each defined area under Option 3.</w:t>
      </w:r>
    </w:p>
    <w:p w14:paraId="7DE8651B" w14:textId="31F060AE" w:rsidR="00EA13B3" w:rsidRPr="00EA13B3" w:rsidRDefault="0050798C" w:rsidP="00DF72B8">
      <w:pPr>
        <w:pStyle w:val="Paragraph"/>
      </w:pPr>
      <w:r w:rsidRPr="00E654F7">
        <w:t>T</w:t>
      </w:r>
      <w:r w:rsidRPr="009A591C">
        <w:t xml:space="preserve">able </w:t>
      </w:r>
      <w:r w:rsidR="009A591C">
        <w:t>9</w:t>
      </w:r>
      <w:r w:rsidR="00B748F8" w:rsidRPr="00E654F7">
        <w:t xml:space="preserve"> </w:t>
      </w:r>
      <w:r w:rsidRPr="00E654F7">
        <w:t xml:space="preserve">defines each listed geographic area using HCIS identifiers. </w:t>
      </w:r>
      <w:r w:rsidR="00EA13B3" w:rsidRPr="00E654F7">
        <w:t>HCIS coordinates can</w:t>
      </w:r>
      <w:r w:rsidR="00EA13B3">
        <w:t xml:space="preserve"> be converted into a Placemark file (viewable in Google Earth) </w:t>
      </w:r>
      <w:r w:rsidR="00B748F8">
        <w:t>via</w:t>
      </w:r>
      <w:r w:rsidR="00EA13B3">
        <w:t xml:space="preserve"> the </w:t>
      </w:r>
      <w:hyperlink r:id="rId113" w:history="1">
        <w:r w:rsidR="00EA13B3">
          <w:rPr>
            <w:rStyle w:val="Hyperlink"/>
          </w:rPr>
          <w:t>ACMA website</w:t>
        </w:r>
      </w:hyperlink>
      <w:r w:rsidR="00EA13B3">
        <w:t>.</w:t>
      </w:r>
    </w:p>
    <w:p w14:paraId="4A6505E0" w14:textId="2A6C2357" w:rsidR="00AE13EB" w:rsidRPr="00AE13EB" w:rsidRDefault="002E3BA6" w:rsidP="00377480">
      <w:pPr>
        <w:pStyle w:val="Tableheading"/>
      </w:pPr>
      <w:r>
        <w:t>Areas and frequencies</w:t>
      </w:r>
      <w:r w:rsidR="008D7F99">
        <w:t xml:space="preserve"> proposed for re</w:t>
      </w:r>
      <w:r w:rsidR="008D7F99">
        <w:noBreakHyphen/>
        <w:t>allocation by issuing spectrum licences</w:t>
      </w:r>
      <w:r w:rsidR="00FA29A2">
        <w:t xml:space="preserve"> (Option 3)</w:t>
      </w:r>
    </w:p>
    <w:tbl>
      <w:tblPr>
        <w:tblStyle w:val="ACMAtablestyle"/>
        <w:tblW w:w="8359" w:type="dxa"/>
        <w:tblLayout w:type="fixed"/>
        <w:tblCellMar>
          <w:top w:w="85" w:type="dxa"/>
          <w:left w:w="57" w:type="dxa"/>
          <w:bottom w:w="85" w:type="dxa"/>
          <w:right w:w="57" w:type="dxa"/>
        </w:tblCellMar>
        <w:tblLook w:val="01E0" w:firstRow="1" w:lastRow="1" w:firstColumn="1" w:lastColumn="1" w:noHBand="0" w:noVBand="0"/>
        <w:tblCaption w:val="Table title to go here"/>
        <w:tblDescription w:val="Table description to go here"/>
      </w:tblPr>
      <w:tblGrid>
        <w:gridCol w:w="2615"/>
        <w:gridCol w:w="5744"/>
      </w:tblGrid>
      <w:tr w:rsidR="004214AF" w:rsidRPr="00676232" w14:paraId="51C3CE20" w14:textId="77777777" w:rsidTr="00B631B4">
        <w:trPr>
          <w:cnfStyle w:val="100000000000" w:firstRow="1" w:lastRow="0" w:firstColumn="0" w:lastColumn="0" w:oddVBand="0" w:evenVBand="0" w:oddHBand="0" w:evenHBand="0" w:firstRowFirstColumn="0" w:firstRowLastColumn="0" w:lastRowFirstColumn="0" w:lastRowLastColumn="0"/>
        </w:trPr>
        <w:tc>
          <w:tcPr>
            <w:tcW w:w="2615" w:type="dxa"/>
          </w:tcPr>
          <w:p w14:paraId="7613527D" w14:textId="45494FF3" w:rsidR="004214AF" w:rsidRPr="00676232" w:rsidRDefault="004214AF" w:rsidP="003E75CC">
            <w:pPr>
              <w:pStyle w:val="Tableheaderrow"/>
            </w:pPr>
            <w:r w:rsidRPr="00676232">
              <w:t>Part of the spectrum</w:t>
            </w:r>
          </w:p>
        </w:tc>
        <w:tc>
          <w:tcPr>
            <w:tcW w:w="5744" w:type="dxa"/>
          </w:tcPr>
          <w:p w14:paraId="5E508323" w14:textId="7164BB58" w:rsidR="004214AF" w:rsidRPr="00676232" w:rsidRDefault="004214AF" w:rsidP="003E75CC">
            <w:pPr>
              <w:pStyle w:val="Tableheaderrow"/>
            </w:pPr>
            <w:r w:rsidRPr="00676232">
              <w:t>Geographic areas</w:t>
            </w:r>
          </w:p>
        </w:tc>
      </w:tr>
      <w:tr w:rsidR="005D4D67" w:rsidRPr="006D46E5" w14:paraId="6BD06C1A" w14:textId="77777777" w:rsidTr="00B631B4">
        <w:trPr>
          <w:cnfStyle w:val="000000100000" w:firstRow="0" w:lastRow="0" w:firstColumn="0" w:lastColumn="0" w:oddVBand="0" w:evenVBand="0" w:oddHBand="1" w:evenHBand="0" w:firstRowFirstColumn="0" w:firstRowLastColumn="0" w:lastRowFirstColumn="0" w:lastRowLastColumn="0"/>
        </w:trPr>
        <w:tc>
          <w:tcPr>
            <w:tcW w:w="2615" w:type="dxa"/>
            <w:shd w:val="clear" w:color="auto" w:fill="auto"/>
          </w:tcPr>
          <w:p w14:paraId="5FC7777E" w14:textId="04AB39E3" w:rsidR="005D4D67" w:rsidRPr="006D46E5" w:rsidRDefault="005D4D67" w:rsidP="005D4D67">
            <w:pPr>
              <w:pStyle w:val="TableBody"/>
            </w:pPr>
            <w:r>
              <w:t>3400 MHz to 342</w:t>
            </w:r>
            <w:r w:rsidRPr="005874C7">
              <w:t>5 MHz</w:t>
            </w:r>
          </w:p>
        </w:tc>
        <w:tc>
          <w:tcPr>
            <w:tcW w:w="5744" w:type="dxa"/>
            <w:shd w:val="clear" w:color="auto" w:fill="auto"/>
          </w:tcPr>
          <w:p w14:paraId="023FFCC3" w14:textId="2D6E775E" w:rsidR="005D4D67" w:rsidRPr="006D46E5" w:rsidRDefault="005D4D67" w:rsidP="005D4D67">
            <w:pPr>
              <w:pStyle w:val="TableBody"/>
            </w:pPr>
            <w:r>
              <w:t xml:space="preserve">Albury, Cairns, Hobart, Launceston, Quirindi West, Remote Australia, Rockhampton, Townsville </w:t>
            </w:r>
          </w:p>
        </w:tc>
      </w:tr>
      <w:tr w:rsidR="005D4D67" w:rsidRPr="006D46E5" w14:paraId="45B04898" w14:textId="77777777" w:rsidTr="00B631B4">
        <w:trPr>
          <w:cnfStyle w:val="000000010000" w:firstRow="0" w:lastRow="0" w:firstColumn="0" w:lastColumn="0" w:oddVBand="0" w:evenVBand="0" w:oddHBand="0" w:evenHBand="1" w:firstRowFirstColumn="0" w:firstRowLastColumn="0" w:lastRowFirstColumn="0" w:lastRowLastColumn="0"/>
        </w:trPr>
        <w:tc>
          <w:tcPr>
            <w:tcW w:w="2615" w:type="dxa"/>
            <w:shd w:val="clear" w:color="auto" w:fill="F2F2F2" w:themeFill="background1" w:themeFillShade="F2"/>
          </w:tcPr>
          <w:p w14:paraId="35D0022E" w14:textId="37D86D17" w:rsidR="005D4D67" w:rsidRPr="006D46E5" w:rsidRDefault="005D4D67" w:rsidP="005D4D67">
            <w:pPr>
              <w:pStyle w:val="TableBody"/>
            </w:pPr>
            <w:r>
              <w:t>3425 MHz to 3442.5 MHz</w:t>
            </w:r>
          </w:p>
        </w:tc>
        <w:tc>
          <w:tcPr>
            <w:tcW w:w="5744" w:type="dxa"/>
            <w:shd w:val="clear" w:color="auto" w:fill="F2F2F2" w:themeFill="background1" w:themeFillShade="F2"/>
          </w:tcPr>
          <w:p w14:paraId="635B6EA3" w14:textId="01E61E7B" w:rsidR="005D4D67" w:rsidRPr="003326D6" w:rsidRDefault="005D4D67" w:rsidP="005D4D67">
            <w:pPr>
              <w:pStyle w:val="TableBody"/>
            </w:pPr>
            <w:r>
              <w:t>Quirindi West, Remote Australia</w:t>
            </w:r>
          </w:p>
        </w:tc>
      </w:tr>
      <w:tr w:rsidR="005D4D67" w:rsidRPr="006D46E5" w14:paraId="58C39C19" w14:textId="77777777" w:rsidTr="00B631B4">
        <w:trPr>
          <w:cnfStyle w:val="000000100000" w:firstRow="0" w:lastRow="0" w:firstColumn="0" w:lastColumn="0" w:oddVBand="0" w:evenVBand="0" w:oddHBand="1" w:evenHBand="0" w:firstRowFirstColumn="0" w:firstRowLastColumn="0" w:lastRowFirstColumn="0" w:lastRowLastColumn="0"/>
        </w:trPr>
        <w:tc>
          <w:tcPr>
            <w:tcW w:w="2615" w:type="dxa"/>
            <w:shd w:val="clear" w:color="auto" w:fill="auto"/>
          </w:tcPr>
          <w:p w14:paraId="16DDBFD8" w14:textId="04DDEAF8" w:rsidR="005D4D67" w:rsidRDefault="005D4D67" w:rsidP="005D4D67">
            <w:pPr>
              <w:pStyle w:val="TableBody"/>
            </w:pPr>
            <w:r>
              <w:t>3475 MHz to 3492.5 MHz</w:t>
            </w:r>
          </w:p>
        </w:tc>
        <w:tc>
          <w:tcPr>
            <w:tcW w:w="5744" w:type="dxa"/>
            <w:shd w:val="clear" w:color="auto" w:fill="auto"/>
          </w:tcPr>
          <w:p w14:paraId="54158607" w14:textId="742BF32D" w:rsidR="005D4D67" w:rsidRDefault="005D4D67" w:rsidP="005D4D67">
            <w:pPr>
              <w:pStyle w:val="TableBody"/>
            </w:pPr>
            <w:r>
              <w:t>Quirindi East, Quirindi West, Regional NSW north, Regional NSW south, Regional Qld, Regional SA, Regional Vic, Regional WA central, Regional WA south, Remote Australia</w:t>
            </w:r>
          </w:p>
        </w:tc>
      </w:tr>
      <w:tr w:rsidR="005D4D67" w:rsidRPr="006D46E5" w14:paraId="1665F667" w14:textId="77777777" w:rsidTr="00B631B4">
        <w:trPr>
          <w:cnfStyle w:val="000000010000" w:firstRow="0" w:lastRow="0" w:firstColumn="0" w:lastColumn="0" w:oddVBand="0" w:evenVBand="0" w:oddHBand="0" w:evenHBand="1" w:firstRowFirstColumn="0" w:firstRowLastColumn="0" w:lastRowFirstColumn="0" w:lastRowLastColumn="0"/>
        </w:trPr>
        <w:tc>
          <w:tcPr>
            <w:tcW w:w="2615" w:type="dxa"/>
            <w:shd w:val="clear" w:color="auto" w:fill="F2F2F2" w:themeFill="background1" w:themeFillShade="F2"/>
          </w:tcPr>
          <w:p w14:paraId="634857F3" w14:textId="508BD6E1" w:rsidR="005D4D67" w:rsidRDefault="005D4D67" w:rsidP="005D4D67">
            <w:pPr>
              <w:pStyle w:val="TableBody"/>
            </w:pPr>
            <w:r w:rsidRPr="005874C7">
              <w:t>3</w:t>
            </w:r>
            <w:r>
              <w:t>492.5 MHz to 3510</w:t>
            </w:r>
            <w:r w:rsidRPr="005874C7">
              <w:t xml:space="preserve"> MHz</w:t>
            </w:r>
          </w:p>
        </w:tc>
        <w:tc>
          <w:tcPr>
            <w:tcW w:w="5744" w:type="dxa"/>
            <w:shd w:val="clear" w:color="auto" w:fill="F2F2F2" w:themeFill="background1" w:themeFillShade="F2"/>
          </w:tcPr>
          <w:p w14:paraId="6963028E" w14:textId="551D02C7" w:rsidR="005D4D67" w:rsidRDefault="005D4D67" w:rsidP="005D4D67">
            <w:pPr>
              <w:pStyle w:val="TableBody"/>
            </w:pPr>
            <w:r>
              <w:t>Albury, Cairns, Hobart, Launceston, Quirindi East, Quirindi West, Regional NSW north, Regional NSW south, Regional Qld, Regional SA, Regional Vic, Regional WA central, Regional WA south, Remote Australia, Rockhampton, Townsville</w:t>
            </w:r>
          </w:p>
        </w:tc>
      </w:tr>
      <w:tr w:rsidR="005D4D67" w:rsidRPr="006D46E5" w14:paraId="41FDDF5B" w14:textId="77777777" w:rsidTr="00B631B4">
        <w:trPr>
          <w:cnfStyle w:val="000000100000" w:firstRow="0" w:lastRow="0" w:firstColumn="0" w:lastColumn="0" w:oddVBand="0" w:evenVBand="0" w:oddHBand="1" w:evenHBand="0" w:firstRowFirstColumn="0" w:firstRowLastColumn="0" w:lastRowFirstColumn="0" w:lastRowLastColumn="0"/>
        </w:trPr>
        <w:tc>
          <w:tcPr>
            <w:tcW w:w="2615" w:type="dxa"/>
            <w:shd w:val="clear" w:color="auto" w:fill="auto"/>
          </w:tcPr>
          <w:p w14:paraId="68D55BA4" w14:textId="1FBF44B7" w:rsidR="005D4D67" w:rsidRDefault="005D4D67" w:rsidP="005D4D67">
            <w:pPr>
              <w:pStyle w:val="TableBody"/>
            </w:pPr>
            <w:r>
              <w:t>3510 MHz to 3542.5 MHz</w:t>
            </w:r>
          </w:p>
        </w:tc>
        <w:tc>
          <w:tcPr>
            <w:tcW w:w="5744" w:type="dxa"/>
            <w:shd w:val="clear" w:color="auto" w:fill="auto"/>
          </w:tcPr>
          <w:p w14:paraId="5C29931E" w14:textId="2C53E6C5" w:rsidR="005D4D67" w:rsidRDefault="005D4D67" w:rsidP="005D4D67">
            <w:pPr>
              <w:pStyle w:val="TableBody"/>
            </w:pPr>
            <w:r>
              <w:t xml:space="preserve">Albury, Cairns, Hobart, Launceston, Quirindi West, </w:t>
            </w:r>
            <w:r w:rsidR="004F1450">
              <w:t xml:space="preserve">Regional WA central, </w:t>
            </w:r>
            <w:r>
              <w:t>Remote Australia, Rockhampton, Townsville</w:t>
            </w:r>
          </w:p>
        </w:tc>
      </w:tr>
      <w:tr w:rsidR="005D4D67" w:rsidRPr="006D46E5" w14:paraId="761D8D7E" w14:textId="77777777" w:rsidTr="00B631B4">
        <w:trPr>
          <w:cnfStyle w:val="000000010000" w:firstRow="0" w:lastRow="0" w:firstColumn="0" w:lastColumn="0" w:oddVBand="0" w:evenVBand="0" w:oddHBand="0" w:evenHBand="1" w:firstRowFirstColumn="0" w:firstRowLastColumn="0" w:lastRowFirstColumn="0" w:lastRowLastColumn="0"/>
        </w:trPr>
        <w:tc>
          <w:tcPr>
            <w:tcW w:w="2615" w:type="dxa"/>
            <w:shd w:val="clear" w:color="auto" w:fill="auto"/>
          </w:tcPr>
          <w:p w14:paraId="3280D7DC" w14:textId="07BBE532" w:rsidR="005D4D67" w:rsidRDefault="005D4D67" w:rsidP="005D4D67">
            <w:pPr>
              <w:pStyle w:val="TableBody"/>
            </w:pPr>
            <w:r>
              <w:t>3542.5 MHz to 3575 MHz</w:t>
            </w:r>
          </w:p>
        </w:tc>
        <w:tc>
          <w:tcPr>
            <w:tcW w:w="5744" w:type="dxa"/>
            <w:shd w:val="clear" w:color="auto" w:fill="auto"/>
          </w:tcPr>
          <w:p w14:paraId="13E5E8B8" w14:textId="0F320BCC" w:rsidR="005D4D67" w:rsidRDefault="005D4D67" w:rsidP="005D4D67">
            <w:pPr>
              <w:pStyle w:val="TableBody"/>
            </w:pPr>
            <w:r>
              <w:t>Regional WA central</w:t>
            </w:r>
          </w:p>
        </w:tc>
      </w:tr>
      <w:tr w:rsidR="005D4D67" w:rsidRPr="006D46E5" w14:paraId="5FE61EE4" w14:textId="77777777" w:rsidTr="00B631B4">
        <w:trPr>
          <w:cnfStyle w:val="000000100000" w:firstRow="0" w:lastRow="0" w:firstColumn="0" w:lastColumn="0" w:oddVBand="0" w:evenVBand="0" w:oddHBand="1" w:evenHBand="0" w:firstRowFirstColumn="0" w:firstRowLastColumn="0" w:lastRowFirstColumn="0" w:lastRowLastColumn="0"/>
        </w:trPr>
        <w:tc>
          <w:tcPr>
            <w:tcW w:w="2615" w:type="dxa"/>
          </w:tcPr>
          <w:p w14:paraId="3D4280D8" w14:textId="4E5451EE" w:rsidR="005D4D67" w:rsidRDefault="005D4D67" w:rsidP="005D4D67">
            <w:pPr>
              <w:pStyle w:val="TableBody"/>
            </w:pPr>
            <w:r>
              <w:t>3700 MHz to 3750 MHz</w:t>
            </w:r>
          </w:p>
        </w:tc>
        <w:tc>
          <w:tcPr>
            <w:tcW w:w="5744" w:type="dxa"/>
          </w:tcPr>
          <w:p w14:paraId="3B55A6A0" w14:textId="0DFB4E2E" w:rsidR="005D4D67" w:rsidRDefault="005D4D67" w:rsidP="005D4D67">
            <w:pPr>
              <w:pStyle w:val="TableBody"/>
            </w:pPr>
            <w:r>
              <w:t xml:space="preserve">Adelaide, Albury, Ballarat and Bendigo, </w:t>
            </w:r>
            <w:r w:rsidRPr="008335A5">
              <w:t>Brisbane</w:t>
            </w:r>
            <w:r>
              <w:t xml:space="preserve">, </w:t>
            </w:r>
            <w:r w:rsidRPr="008335A5">
              <w:t>Canberra</w:t>
            </w:r>
            <w:r>
              <w:t xml:space="preserve">, Cairns, Hobart, Launceston, </w:t>
            </w:r>
            <w:r w:rsidRPr="008335A5">
              <w:t>Melbourne</w:t>
            </w:r>
            <w:r>
              <w:t xml:space="preserve">, </w:t>
            </w:r>
            <w:r w:rsidRPr="008335A5">
              <w:t>Perth</w:t>
            </w:r>
            <w:r>
              <w:t xml:space="preserve">, Regional NSW north, Regional NSW south, Regional Qld, Regional SA, Regional Vic, Regional WA central, Regional WA south, Remote Australia, Rockhampton, </w:t>
            </w:r>
            <w:r w:rsidRPr="008335A5">
              <w:t>Sydney</w:t>
            </w:r>
            <w:r>
              <w:t xml:space="preserve">, </w:t>
            </w:r>
            <w:r w:rsidRPr="008335A5">
              <w:t>Toowoomba</w:t>
            </w:r>
            <w:r>
              <w:t>, Townsville</w:t>
            </w:r>
          </w:p>
        </w:tc>
      </w:tr>
      <w:tr w:rsidR="005D4D67" w:rsidRPr="006D46E5" w14:paraId="5ADC1382" w14:textId="77777777" w:rsidTr="00B631B4">
        <w:trPr>
          <w:cnfStyle w:val="000000010000" w:firstRow="0" w:lastRow="0" w:firstColumn="0" w:lastColumn="0" w:oddVBand="0" w:evenVBand="0" w:oddHBand="0" w:evenHBand="1" w:firstRowFirstColumn="0" w:firstRowLastColumn="0" w:lastRowFirstColumn="0" w:lastRowLastColumn="0"/>
        </w:trPr>
        <w:tc>
          <w:tcPr>
            <w:tcW w:w="2615" w:type="dxa"/>
            <w:shd w:val="clear" w:color="auto" w:fill="auto"/>
          </w:tcPr>
          <w:p w14:paraId="0B91051D" w14:textId="13D7FC18" w:rsidR="005D4D67" w:rsidRDefault="005D4D67" w:rsidP="005D4D67">
            <w:pPr>
              <w:pStyle w:val="TableBody"/>
            </w:pPr>
            <w:r>
              <w:t>3750 MHz to 3800 MHz</w:t>
            </w:r>
          </w:p>
        </w:tc>
        <w:tc>
          <w:tcPr>
            <w:tcW w:w="5744" w:type="dxa"/>
            <w:shd w:val="clear" w:color="auto" w:fill="auto"/>
          </w:tcPr>
          <w:p w14:paraId="557DEC38" w14:textId="7CF2EF9B" w:rsidR="005D4D67" w:rsidRDefault="005D4D67" w:rsidP="005D4D67">
            <w:pPr>
              <w:pStyle w:val="TableBody"/>
            </w:pPr>
            <w:r>
              <w:t xml:space="preserve">Adelaide, </w:t>
            </w:r>
            <w:r w:rsidRPr="008335A5">
              <w:t>Brisbane</w:t>
            </w:r>
            <w:r>
              <w:t xml:space="preserve">, </w:t>
            </w:r>
            <w:r w:rsidRPr="008335A5">
              <w:t>Canberra</w:t>
            </w:r>
            <w:r>
              <w:t xml:space="preserve">, Hobart, </w:t>
            </w:r>
            <w:r w:rsidRPr="008335A5">
              <w:t>Melbourne</w:t>
            </w:r>
            <w:r>
              <w:t xml:space="preserve">, </w:t>
            </w:r>
            <w:r w:rsidRPr="008335A5">
              <w:t>Perth</w:t>
            </w:r>
            <w:r>
              <w:t xml:space="preserve">, </w:t>
            </w:r>
            <w:r w:rsidRPr="008335A5">
              <w:t>Sydney</w:t>
            </w:r>
          </w:p>
        </w:tc>
      </w:tr>
    </w:tbl>
    <w:p w14:paraId="41397CCF" w14:textId="1F567A07" w:rsidR="00500E1B" w:rsidRDefault="00500E1B" w:rsidP="009D2812">
      <w:pPr>
        <w:pStyle w:val="Paragraph"/>
      </w:pPr>
    </w:p>
    <w:p w14:paraId="5B9B3547" w14:textId="68AB413D" w:rsidR="00C56C77" w:rsidRDefault="00C56C77" w:rsidP="006E3C43">
      <w:pPr>
        <w:pStyle w:val="Tableheading"/>
        <w:keepLines/>
      </w:pPr>
      <w:r>
        <w:t>Definition of areas proposed for re-allocation</w:t>
      </w:r>
    </w:p>
    <w:tbl>
      <w:tblPr>
        <w:tblStyle w:val="ACMAtablestyle"/>
        <w:tblW w:w="5456" w:type="pct"/>
        <w:tblCellMar>
          <w:top w:w="85" w:type="dxa"/>
          <w:left w:w="57" w:type="dxa"/>
          <w:bottom w:w="85" w:type="dxa"/>
          <w:right w:w="57" w:type="dxa"/>
        </w:tblCellMar>
        <w:tblLook w:val="04A0" w:firstRow="1" w:lastRow="0" w:firstColumn="1" w:lastColumn="0" w:noHBand="0" w:noVBand="1"/>
      </w:tblPr>
      <w:tblGrid>
        <w:gridCol w:w="2404"/>
        <w:gridCol w:w="5956"/>
      </w:tblGrid>
      <w:tr w:rsidR="00C56C77" w14:paraId="48243F3A" w14:textId="77777777" w:rsidTr="00B631B4">
        <w:trPr>
          <w:cnfStyle w:val="100000000000" w:firstRow="1" w:lastRow="0" w:firstColumn="0" w:lastColumn="0" w:oddVBand="0" w:evenVBand="0" w:oddHBand="0" w:evenHBand="0" w:firstRowFirstColumn="0" w:firstRowLastColumn="0" w:lastRowFirstColumn="0" w:lastRowLastColumn="0"/>
        </w:trPr>
        <w:tc>
          <w:tcPr>
            <w:tcW w:w="1438" w:type="pct"/>
          </w:tcPr>
          <w:p w14:paraId="6C57CD04" w14:textId="77777777" w:rsidR="00C56C77" w:rsidRDefault="00C56C77" w:rsidP="00B631B4">
            <w:pPr>
              <w:pStyle w:val="Tableheaderrow"/>
              <w:keepNext/>
              <w:keepLines/>
              <w:rPr>
                <w:lang w:eastAsia="en-US"/>
              </w:rPr>
            </w:pPr>
            <w:r>
              <w:rPr>
                <w:lang w:eastAsia="en-US"/>
              </w:rPr>
              <w:t>Area name</w:t>
            </w:r>
          </w:p>
        </w:tc>
        <w:tc>
          <w:tcPr>
            <w:tcW w:w="3562" w:type="pct"/>
          </w:tcPr>
          <w:p w14:paraId="7F6105B0" w14:textId="77777777" w:rsidR="00C56C77" w:rsidRDefault="00C56C77" w:rsidP="00B631B4">
            <w:pPr>
              <w:pStyle w:val="Tableheaderrow"/>
              <w:keepNext/>
              <w:keepLines/>
              <w:rPr>
                <w:lang w:eastAsia="en-US"/>
              </w:rPr>
            </w:pPr>
            <w:r>
              <w:rPr>
                <w:lang w:eastAsia="en-US"/>
              </w:rPr>
              <w:t>Geographic areas</w:t>
            </w:r>
          </w:p>
        </w:tc>
      </w:tr>
      <w:tr w:rsidR="00C56C77" w14:paraId="1043A151" w14:textId="77777777" w:rsidTr="00B631B4">
        <w:trPr>
          <w:cnfStyle w:val="000000100000" w:firstRow="0" w:lastRow="0" w:firstColumn="0" w:lastColumn="0" w:oddVBand="0" w:evenVBand="0" w:oddHBand="1" w:evenHBand="0" w:firstRowFirstColumn="0" w:firstRowLastColumn="0" w:lastRowFirstColumn="0" w:lastRowLastColumn="0"/>
        </w:trPr>
        <w:tc>
          <w:tcPr>
            <w:tcW w:w="1438" w:type="pct"/>
            <w:shd w:val="clear" w:color="auto" w:fill="auto"/>
          </w:tcPr>
          <w:p w14:paraId="319A6B83" w14:textId="77777777" w:rsidR="00C56C77" w:rsidRDefault="00C56C77" w:rsidP="00B631B4">
            <w:pPr>
              <w:pStyle w:val="TableBody"/>
              <w:keepNext/>
              <w:keepLines/>
              <w:rPr>
                <w:rFonts w:ascii="Times New Roman" w:hAnsi="Times New Roman"/>
                <w:lang w:eastAsia="en-US"/>
              </w:rPr>
            </w:pPr>
            <w:r>
              <w:t>Regional WA central</w:t>
            </w:r>
          </w:p>
        </w:tc>
        <w:tc>
          <w:tcPr>
            <w:tcW w:w="3562" w:type="pct"/>
            <w:shd w:val="clear" w:color="auto" w:fill="auto"/>
          </w:tcPr>
          <w:p w14:paraId="0C1B5975" w14:textId="77777777" w:rsidR="00C56C77" w:rsidRDefault="00C56C77" w:rsidP="00B631B4">
            <w:pPr>
              <w:pStyle w:val="TableBody"/>
              <w:keepNext/>
              <w:keepLines/>
              <w:rPr>
                <w:lang w:eastAsia="en-US"/>
              </w:rPr>
            </w:pPr>
            <w:r>
              <w:t>Regional WA central</w:t>
            </w:r>
          </w:p>
        </w:tc>
      </w:tr>
      <w:tr w:rsidR="00C56C77" w14:paraId="02A074B6" w14:textId="77777777" w:rsidTr="00B631B4">
        <w:trPr>
          <w:cnfStyle w:val="000000010000" w:firstRow="0" w:lastRow="0" w:firstColumn="0" w:lastColumn="0" w:oddVBand="0" w:evenVBand="0" w:oddHBand="0" w:evenHBand="1" w:firstRowFirstColumn="0" w:firstRowLastColumn="0" w:lastRowFirstColumn="0" w:lastRowLastColumn="0"/>
        </w:trPr>
        <w:tc>
          <w:tcPr>
            <w:tcW w:w="1438" w:type="pct"/>
            <w:shd w:val="clear" w:color="auto" w:fill="F2F2F2" w:themeFill="background1" w:themeFillShade="F2"/>
          </w:tcPr>
          <w:p w14:paraId="0D9062AA" w14:textId="77777777" w:rsidR="00C56C77" w:rsidRDefault="00C56C77" w:rsidP="00B631B4">
            <w:pPr>
              <w:pStyle w:val="TableBody"/>
              <w:keepNext/>
              <w:keepLines/>
              <w:rPr>
                <w:lang w:eastAsia="en-US"/>
              </w:rPr>
            </w:pPr>
            <w:r>
              <w:t>Major regional centres 1</w:t>
            </w:r>
          </w:p>
        </w:tc>
        <w:tc>
          <w:tcPr>
            <w:tcW w:w="3562" w:type="pct"/>
            <w:shd w:val="clear" w:color="auto" w:fill="F2F2F2" w:themeFill="background1" w:themeFillShade="F2"/>
          </w:tcPr>
          <w:p w14:paraId="7725DD1C" w14:textId="77777777" w:rsidR="00C56C77" w:rsidRDefault="00C56C77" w:rsidP="00B631B4">
            <w:pPr>
              <w:pStyle w:val="TableBody"/>
              <w:keepNext/>
              <w:keepLines/>
              <w:rPr>
                <w:lang w:eastAsia="en-US"/>
              </w:rPr>
            </w:pPr>
            <w:r>
              <w:t xml:space="preserve">Ballarat and Bendigo, </w:t>
            </w:r>
            <w:r w:rsidRPr="008335A5">
              <w:t>Toowoomba</w:t>
            </w:r>
          </w:p>
        </w:tc>
      </w:tr>
      <w:tr w:rsidR="00C56C77" w14:paraId="2AD7AD37" w14:textId="77777777" w:rsidTr="00B631B4">
        <w:trPr>
          <w:cnfStyle w:val="000000100000" w:firstRow="0" w:lastRow="0" w:firstColumn="0" w:lastColumn="0" w:oddVBand="0" w:evenVBand="0" w:oddHBand="1" w:evenHBand="0" w:firstRowFirstColumn="0" w:firstRowLastColumn="0" w:lastRowFirstColumn="0" w:lastRowLastColumn="0"/>
        </w:trPr>
        <w:tc>
          <w:tcPr>
            <w:tcW w:w="1438" w:type="pct"/>
            <w:shd w:val="clear" w:color="auto" w:fill="auto"/>
          </w:tcPr>
          <w:p w14:paraId="60AA0F34" w14:textId="77777777" w:rsidR="00C56C77" w:rsidRDefault="00C56C77" w:rsidP="00B631B4">
            <w:pPr>
              <w:pStyle w:val="TableBody"/>
              <w:keepNext/>
              <w:keepLines/>
              <w:rPr>
                <w:lang w:eastAsia="en-US"/>
              </w:rPr>
            </w:pPr>
            <w:r>
              <w:t>Major regional centres 2</w:t>
            </w:r>
          </w:p>
        </w:tc>
        <w:tc>
          <w:tcPr>
            <w:tcW w:w="3562" w:type="pct"/>
            <w:shd w:val="clear" w:color="auto" w:fill="auto"/>
          </w:tcPr>
          <w:p w14:paraId="77163AB8" w14:textId="77777777" w:rsidR="00C56C77" w:rsidRDefault="00C56C77" w:rsidP="00B631B4">
            <w:pPr>
              <w:pStyle w:val="TableBody"/>
              <w:keepNext/>
              <w:keepLines/>
              <w:rPr>
                <w:lang w:eastAsia="en-US"/>
              </w:rPr>
            </w:pPr>
            <w:r>
              <w:t>Albury, Cairns, Hobart, Launceston, Rockhampton, Townsville</w:t>
            </w:r>
          </w:p>
        </w:tc>
      </w:tr>
      <w:tr w:rsidR="00C56C77" w14:paraId="25B6FAF0" w14:textId="77777777" w:rsidTr="00B631B4">
        <w:trPr>
          <w:cnfStyle w:val="000000010000" w:firstRow="0" w:lastRow="0" w:firstColumn="0" w:lastColumn="0" w:oddVBand="0" w:evenVBand="0" w:oddHBand="0" w:evenHBand="1" w:firstRowFirstColumn="0" w:firstRowLastColumn="0" w:lastRowFirstColumn="0" w:lastRowLastColumn="0"/>
        </w:trPr>
        <w:tc>
          <w:tcPr>
            <w:tcW w:w="1438" w:type="pct"/>
            <w:shd w:val="clear" w:color="auto" w:fill="F2F2F2" w:themeFill="background1" w:themeFillShade="F2"/>
          </w:tcPr>
          <w:p w14:paraId="2F1CE0F0" w14:textId="77777777" w:rsidR="00C56C77" w:rsidRDefault="00C56C77" w:rsidP="00B631B4">
            <w:pPr>
              <w:pStyle w:val="TableBody"/>
              <w:keepNext/>
              <w:keepLines/>
              <w:rPr>
                <w:lang w:eastAsia="en-US"/>
              </w:rPr>
            </w:pPr>
            <w:r>
              <w:t>Regional area 1</w:t>
            </w:r>
          </w:p>
        </w:tc>
        <w:tc>
          <w:tcPr>
            <w:tcW w:w="3562" w:type="pct"/>
            <w:shd w:val="clear" w:color="auto" w:fill="F2F2F2" w:themeFill="background1" w:themeFillShade="F2"/>
          </w:tcPr>
          <w:p w14:paraId="01EE1562" w14:textId="77777777" w:rsidR="00C56C77" w:rsidRDefault="00C56C77" w:rsidP="00B631B4">
            <w:pPr>
              <w:pStyle w:val="TableBody"/>
              <w:keepNext/>
              <w:keepLines/>
              <w:rPr>
                <w:lang w:eastAsia="en-US"/>
              </w:rPr>
            </w:pPr>
            <w:r>
              <w:t>Quirindi West, Remote Australia</w:t>
            </w:r>
          </w:p>
        </w:tc>
      </w:tr>
      <w:tr w:rsidR="00C56C77" w14:paraId="4B802FB3" w14:textId="77777777" w:rsidTr="00B631B4">
        <w:trPr>
          <w:cnfStyle w:val="000000100000" w:firstRow="0" w:lastRow="0" w:firstColumn="0" w:lastColumn="0" w:oddVBand="0" w:evenVBand="0" w:oddHBand="1" w:evenHBand="0" w:firstRowFirstColumn="0" w:firstRowLastColumn="0" w:lastRowFirstColumn="0" w:lastRowLastColumn="0"/>
          <w:trHeight w:val="59"/>
        </w:trPr>
        <w:tc>
          <w:tcPr>
            <w:tcW w:w="1438" w:type="pct"/>
            <w:shd w:val="clear" w:color="auto" w:fill="auto"/>
          </w:tcPr>
          <w:p w14:paraId="77C594B7" w14:textId="77777777" w:rsidR="00C56C77" w:rsidRDefault="00C56C77" w:rsidP="00B631B4">
            <w:pPr>
              <w:pStyle w:val="TableBody"/>
              <w:keepNext/>
              <w:keepLines/>
              <w:rPr>
                <w:lang w:eastAsia="en-US"/>
              </w:rPr>
            </w:pPr>
            <w:r>
              <w:t>Regional area 2</w:t>
            </w:r>
          </w:p>
        </w:tc>
        <w:tc>
          <w:tcPr>
            <w:tcW w:w="3562" w:type="pct"/>
            <w:shd w:val="clear" w:color="auto" w:fill="auto"/>
          </w:tcPr>
          <w:p w14:paraId="71E724EB" w14:textId="77777777" w:rsidR="00C56C77" w:rsidRDefault="00C56C77" w:rsidP="00B631B4">
            <w:pPr>
              <w:pStyle w:val="TableBody"/>
              <w:keepNext/>
              <w:keepLines/>
              <w:rPr>
                <w:lang w:eastAsia="en-US"/>
              </w:rPr>
            </w:pPr>
            <w:r>
              <w:t>Quirindi East, Regional NSW north, Regional NSW south, Regional Qld, Regional SA, Regional Vic, Regional WA south</w:t>
            </w:r>
          </w:p>
        </w:tc>
      </w:tr>
      <w:tr w:rsidR="00C56C77" w14:paraId="5C446BEE" w14:textId="77777777" w:rsidTr="00B631B4">
        <w:trPr>
          <w:cnfStyle w:val="000000010000" w:firstRow="0" w:lastRow="0" w:firstColumn="0" w:lastColumn="0" w:oddVBand="0" w:evenVBand="0" w:oddHBand="0" w:evenHBand="1" w:firstRowFirstColumn="0" w:firstRowLastColumn="0" w:lastRowFirstColumn="0" w:lastRowLastColumn="0"/>
          <w:trHeight w:val="59"/>
        </w:trPr>
        <w:tc>
          <w:tcPr>
            <w:tcW w:w="1438" w:type="pct"/>
            <w:shd w:val="clear" w:color="auto" w:fill="F2F2F2" w:themeFill="background1" w:themeFillShade="F2"/>
          </w:tcPr>
          <w:p w14:paraId="0FB2C843" w14:textId="77777777" w:rsidR="00C56C77" w:rsidRDefault="00C56C77" w:rsidP="00B631B4">
            <w:pPr>
              <w:pStyle w:val="TableBody"/>
              <w:keepNext/>
              <w:keepLines/>
              <w:rPr>
                <w:lang w:eastAsia="en-US"/>
              </w:rPr>
            </w:pPr>
            <w:r>
              <w:t>Metro (including urban excise)</w:t>
            </w:r>
          </w:p>
        </w:tc>
        <w:tc>
          <w:tcPr>
            <w:tcW w:w="3562" w:type="pct"/>
            <w:shd w:val="clear" w:color="auto" w:fill="F2F2F2" w:themeFill="background1" w:themeFillShade="F2"/>
          </w:tcPr>
          <w:p w14:paraId="58B96AD6" w14:textId="48554A76" w:rsidR="00C56C77" w:rsidRDefault="00C56C77" w:rsidP="00B631B4">
            <w:pPr>
              <w:pStyle w:val="TableBody"/>
              <w:keepNext/>
              <w:keepLines/>
              <w:rPr>
                <w:lang w:eastAsia="en-US"/>
              </w:rPr>
            </w:pPr>
            <w:r>
              <w:t xml:space="preserve">Adelaide, </w:t>
            </w:r>
            <w:r w:rsidRPr="008335A5">
              <w:t>Brisbane</w:t>
            </w:r>
            <w:r>
              <w:t xml:space="preserve">, </w:t>
            </w:r>
            <w:r w:rsidRPr="008335A5">
              <w:t>Canberra</w:t>
            </w:r>
            <w:r>
              <w:t xml:space="preserve">, </w:t>
            </w:r>
            <w:r w:rsidRPr="008335A5">
              <w:t>Melbourne</w:t>
            </w:r>
            <w:r>
              <w:t xml:space="preserve">, </w:t>
            </w:r>
            <w:r w:rsidRPr="008335A5">
              <w:t>Perth</w:t>
            </w:r>
            <w:r>
              <w:t>, Sydney</w:t>
            </w:r>
          </w:p>
        </w:tc>
      </w:tr>
    </w:tbl>
    <w:p w14:paraId="32ED7B2D" w14:textId="77777777" w:rsidR="00C56C77" w:rsidRDefault="00C56C77" w:rsidP="009D2812">
      <w:pPr>
        <w:pStyle w:val="Paragraph"/>
      </w:pPr>
    </w:p>
    <w:p w14:paraId="69F56855" w14:textId="51A21551" w:rsidR="00D777A9" w:rsidRDefault="00D777A9" w:rsidP="00650B5F">
      <w:pPr>
        <w:pStyle w:val="Tableheading"/>
      </w:pPr>
      <w:r>
        <w:t xml:space="preserve">HCIS identifiers for geographic areas referred to in </w:t>
      </w:r>
      <w:r w:rsidRPr="00597CC4">
        <w:t>Table</w:t>
      </w:r>
      <w:r w:rsidR="00D7277C">
        <w:t>s</w:t>
      </w:r>
      <w:r w:rsidRPr="00597CC4">
        <w:t xml:space="preserve"> </w:t>
      </w:r>
      <w:r w:rsidR="00597CC4" w:rsidRPr="00597CC4">
        <w:t>7</w:t>
      </w:r>
      <w:r w:rsidR="00D7277C">
        <w:t xml:space="preserve"> and 8</w:t>
      </w:r>
    </w:p>
    <w:tbl>
      <w:tblPr>
        <w:tblStyle w:val="ACMAtablestyle"/>
        <w:tblW w:w="8359" w:type="dxa"/>
        <w:tblCellMar>
          <w:top w:w="85" w:type="dxa"/>
          <w:left w:w="57" w:type="dxa"/>
          <w:bottom w:w="85" w:type="dxa"/>
          <w:right w:w="57" w:type="dxa"/>
        </w:tblCellMar>
        <w:tblLook w:val="04A0" w:firstRow="1" w:lastRow="0" w:firstColumn="1" w:lastColumn="0" w:noHBand="0" w:noVBand="1"/>
      </w:tblPr>
      <w:tblGrid>
        <w:gridCol w:w="2405"/>
        <w:gridCol w:w="5954"/>
      </w:tblGrid>
      <w:tr w:rsidR="00D777A9" w14:paraId="0D87DDB1" w14:textId="77777777" w:rsidTr="00650B5F">
        <w:trPr>
          <w:cnfStyle w:val="100000000000" w:firstRow="1" w:lastRow="0" w:firstColumn="0" w:lastColumn="0" w:oddVBand="0" w:evenVBand="0" w:oddHBand="0" w:evenHBand="0" w:firstRowFirstColumn="0" w:firstRowLastColumn="0" w:lastRowFirstColumn="0" w:lastRowLastColumn="0"/>
        </w:trPr>
        <w:tc>
          <w:tcPr>
            <w:tcW w:w="2405" w:type="dxa"/>
          </w:tcPr>
          <w:p w14:paraId="38A7DD55" w14:textId="03E8CECC" w:rsidR="00D777A9" w:rsidRDefault="003E75CC" w:rsidP="003E75CC">
            <w:pPr>
              <w:pStyle w:val="Tableheaderrow"/>
            </w:pPr>
            <w:r>
              <w:t>Geographic area</w:t>
            </w:r>
          </w:p>
        </w:tc>
        <w:tc>
          <w:tcPr>
            <w:tcW w:w="5954" w:type="dxa"/>
          </w:tcPr>
          <w:p w14:paraId="1AE2E56A" w14:textId="7E028B5C" w:rsidR="00D777A9" w:rsidRDefault="00334C9E" w:rsidP="003E75CC">
            <w:pPr>
              <w:pStyle w:val="Tableheaderrow"/>
            </w:pPr>
            <w:r>
              <w:t>HCIS identifiers</w:t>
            </w:r>
          </w:p>
        </w:tc>
      </w:tr>
      <w:tr w:rsidR="00921A36" w14:paraId="664FEBF5"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30507C09" w14:textId="696025F6" w:rsidR="00921A36" w:rsidRDefault="00921A36" w:rsidP="00921A36">
            <w:pPr>
              <w:pStyle w:val="TableBody"/>
            </w:pPr>
            <w:r w:rsidRPr="008335A5">
              <w:t>Adelaide</w:t>
            </w:r>
          </w:p>
        </w:tc>
        <w:tc>
          <w:tcPr>
            <w:tcW w:w="5954" w:type="dxa"/>
            <w:shd w:val="clear" w:color="auto" w:fill="auto"/>
          </w:tcPr>
          <w:p w14:paraId="1AB3299B" w14:textId="289D5012" w:rsidR="00921A36" w:rsidRDefault="00921A36" w:rsidP="00921A36">
            <w:pPr>
              <w:pStyle w:val="TableBody"/>
            </w:pPr>
            <w:r w:rsidRPr="008335A5">
              <w:t>IW3J, IW3K, IW3L, IW3N, IW3O, IW3P, IW6B, IW6C, IW6D, IW6F, IW6G, IW6H, IW3E5, IW3E6, IW3E8, IW3E9, IW3F4, IW3F5, IW3F6, IW3F7, IW3F8, IW3F9, IW3G4, IW3G5, IW3G6, IW3G7, IW3G8, IW3G9, IW3H4, IW3H5, IW3H6, IW3H7, IW3H8, IW3H9, IW3I2, IW3I3, IW3I5, IW3I6, IW3I8, IW3I9, IW3M2, IW3M3, IW3M5, IW3M6, IW3M8, IW3M9, IW6A2, IW6A3, IW6A5, IW6A6, IW6A8, IW6A9, IW6E2, IW6E3, IW6E5, IW6E6, IW6E8, IW6E9, JW1E4, JW1E7, JW1I1, JW1I4, JW1I7, JW1M1, JW1M4</w:t>
            </w:r>
          </w:p>
        </w:tc>
      </w:tr>
      <w:tr w:rsidR="00921A36" w14:paraId="2E3DA5A8"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231C0F3D" w14:textId="36158620" w:rsidR="00921A36" w:rsidRDefault="00921A36" w:rsidP="00921A36">
            <w:pPr>
              <w:pStyle w:val="TableBody"/>
            </w:pPr>
            <w:r>
              <w:t>Albury</w:t>
            </w:r>
          </w:p>
        </w:tc>
        <w:tc>
          <w:tcPr>
            <w:tcW w:w="5954" w:type="dxa"/>
            <w:shd w:val="clear" w:color="auto" w:fill="F2F2F2" w:themeFill="background1" w:themeFillShade="F2"/>
          </w:tcPr>
          <w:p w14:paraId="06816CF5" w14:textId="72C74D51" w:rsidR="00921A36" w:rsidRDefault="00921A36" w:rsidP="00921A36">
            <w:pPr>
              <w:pStyle w:val="TableBody"/>
            </w:pPr>
            <w:r>
              <w:t>LW5P, LW6M, LW8D, LW8H, LW9A, LW9E, LW5O2, LW5O3, LW5O5, LW5O6, LW5O8, LW5O9, LW8C2, LW8C3, LW8C5, LW8C6, LW8C8, LW8C9, LW8G2, LW8G3, LW8G5, LW8G6, LW8G8, LW8G9</w:t>
            </w:r>
          </w:p>
        </w:tc>
      </w:tr>
      <w:tr w:rsidR="00921A36" w14:paraId="42502FD8"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1DEA244D" w14:textId="19485234" w:rsidR="00921A36" w:rsidRDefault="00921A36" w:rsidP="00921A36">
            <w:pPr>
              <w:pStyle w:val="TableBody"/>
            </w:pPr>
            <w:r w:rsidRPr="008335A5">
              <w:t>Ballarat</w:t>
            </w:r>
            <w:r>
              <w:t xml:space="preserve"> and Bendigo</w:t>
            </w:r>
          </w:p>
        </w:tc>
        <w:tc>
          <w:tcPr>
            <w:tcW w:w="5954" w:type="dxa"/>
            <w:shd w:val="clear" w:color="auto" w:fill="auto"/>
          </w:tcPr>
          <w:p w14:paraId="3A7F5798" w14:textId="06865B7A" w:rsidR="00921A36" w:rsidRDefault="00921A36" w:rsidP="00921A36">
            <w:pPr>
              <w:pStyle w:val="TableBody"/>
            </w:pPr>
            <w:r w:rsidRPr="008335A5">
              <w:t>KW9I, KW9J, KW9M, KW9N, KX2G, KX2H, KX2K, KX2L, KX3A, KX3B, KW8H6, KW8H9, KW8L3, KW8L6, KW8L9, KW8P3, KW8P6, KW8P9, KW9E4, KW9E5, KW9E6, KW9E7, KW9E8, KW9E9, KW9F4, KW9F5, KW9F6, KW9F7, KW9F8, KW9F9, KW9G4, KW9G5, KW9G7, KW9G8, KW9K1, KW9K2, KW9K4, KW9K5, KW9K7, KW9K8, KW9O1, KW9O2, KW9O4, KW9O5, KW9O7, KW9O8, KX2C7, KX2C8, KX2C9, KX2D3, KX2D6, KX2D7, KX2D8, KX2D9, KX2O1, KX2O2, KX2O3, KX2O4, KX2O5, KX2O6, KX2P1, KX2P2, KX2P3, KX2P4, KX2P5, KX2P6, KX3C1, KX3C2, KX3C4, KX3C5, KX3C7, KX3C8, KX3E1, KX3E2, KX3E3, KX3E4, KX3E5, KX3E6, KX3E7, KX3E8, KX3F1, KX3F2, KX3F3, KX3F4, KX3I1, KX3I2, KX3I4, KX3I5, KX3I7, KX3M1</w:t>
            </w:r>
          </w:p>
        </w:tc>
      </w:tr>
      <w:tr w:rsidR="00921A36" w14:paraId="3092A12C"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35D3F924" w14:textId="043DE0D1" w:rsidR="00921A36" w:rsidRPr="008335A5" w:rsidRDefault="00921A36" w:rsidP="00921A36">
            <w:pPr>
              <w:pStyle w:val="TableBody"/>
            </w:pPr>
            <w:r w:rsidRPr="008335A5">
              <w:t>Brisbane</w:t>
            </w:r>
          </w:p>
        </w:tc>
        <w:tc>
          <w:tcPr>
            <w:tcW w:w="5954" w:type="dxa"/>
            <w:shd w:val="clear" w:color="auto" w:fill="F2F2F2" w:themeFill="background1" w:themeFillShade="F2"/>
          </w:tcPr>
          <w:p w14:paraId="2009BC89" w14:textId="54E65E82" w:rsidR="00921A36" w:rsidRPr="008335A5" w:rsidRDefault="00921A36" w:rsidP="00921A36">
            <w:pPr>
              <w:pStyle w:val="TableBody"/>
            </w:pPr>
            <w:r w:rsidRPr="00F82C68">
              <w:t>NT9, NT8C, NT8D, NT8G, NT8H, NT8K, NT8L, NT8O, NT8P, NU3A, NU3B, NU3C, NU3D, NU3F, NU3G, NU3H, NT5O4, NT5O5, NT5O6, NT5O7, NT5O8, NT5O9, NT5P4, NT5P5, NT5P6, NT5P7, NT5P8, NT5P9, NT6M4, NT6M5, NT6M6, NT6M7, NT6M8, NT6M9, NT6N4, NT6N5, NT6N6, NT6N7, NT6N8, NT6N9, NT6O4, NT6O5, NT6O6, NT6O7, NT6O8, NT6O9, NT6P4, NT6P5, NT6P6, NT6P7, NT6P8, NT6P9, NU2C1, NU2C2, NU2C3, NU2D1, NU2D2, NU2D3, NU2D5, NU2D6, NU2D8, NU2D9, NU2H2, NU2H3, NU3E1, NU3E2, NU3E3, NU3E5, NU3E6, NU3E8, NU3E9, NU3I2, NU3I3, NU3J1, NU3J2, NU3J3, NU3K1, NU3K2, NU3K3, NU3L1, NU3L2, NU3L3</w:t>
            </w:r>
          </w:p>
        </w:tc>
      </w:tr>
      <w:tr w:rsidR="00921A36" w14:paraId="37616DF8"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365DDBF5" w14:textId="2FC49118" w:rsidR="00921A36" w:rsidRPr="008335A5" w:rsidRDefault="00921A36" w:rsidP="00921A36">
            <w:pPr>
              <w:pStyle w:val="TableBody"/>
            </w:pPr>
            <w:r>
              <w:t>Cairns</w:t>
            </w:r>
          </w:p>
        </w:tc>
        <w:tc>
          <w:tcPr>
            <w:tcW w:w="5954" w:type="dxa"/>
            <w:shd w:val="clear" w:color="auto" w:fill="auto"/>
          </w:tcPr>
          <w:p w14:paraId="49CC22D7" w14:textId="22FF22EF" w:rsidR="00921A36" w:rsidRPr="00F82C68" w:rsidRDefault="00921A36" w:rsidP="00921A36">
            <w:pPr>
              <w:pStyle w:val="TableBody"/>
            </w:pPr>
            <w:r w:rsidRPr="00F82C68">
              <w:t>LQ1K, LQ1L, LQ1O, LQ1P, LQ1J2, LQ1J3, LQ1J5, LQ1J6, LQ1J8, LQ1J9, LQ1N2, LQ1N3, LQ1N5, LQ1N6, LQ1N8, LQ1N9, LQ4B2, LQ4B3, LQ4B5, LQ4B6, LQ4C1, LQ4C2, LQ4C3, LQ4C4, LQ4C5, LQ4C6, LQ4D1, LQ4D2, LQ4D3, LQ4D4, LQ4D5, LQ4D6</w:t>
            </w:r>
          </w:p>
        </w:tc>
      </w:tr>
      <w:tr w:rsidR="00921A36" w14:paraId="1AE4F32F"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2117AA85" w14:textId="5C521429" w:rsidR="00921A36" w:rsidRDefault="00921A36" w:rsidP="00921A36">
            <w:pPr>
              <w:pStyle w:val="TableBody"/>
            </w:pPr>
            <w:r>
              <w:t>Canberra</w:t>
            </w:r>
          </w:p>
        </w:tc>
        <w:tc>
          <w:tcPr>
            <w:tcW w:w="5954" w:type="dxa"/>
            <w:shd w:val="clear" w:color="auto" w:fill="F2F2F2" w:themeFill="background1" w:themeFillShade="F2"/>
          </w:tcPr>
          <w:p w14:paraId="23F5770D" w14:textId="53DC4AAD" w:rsidR="00921A36" w:rsidRPr="00F82C68" w:rsidRDefault="00921A36" w:rsidP="00921A36">
            <w:pPr>
              <w:pStyle w:val="TableBody"/>
            </w:pPr>
            <w:r w:rsidRPr="00F82C68">
              <w:t>MW4D, MW4H, MW4L, MW5A, MW5B, MW5E, MW5F, MW5I, MW5J, MW1P4, MW1P5, MW1P6, MW1P7, MW1P8, MW1P9, MW2M4, MW2M5, MW2M6, MW2M7, MW2M8, MW2M9, MW2N4, MW2N5, MW2N6, MW2N7, MW2N8, MW2N9, MW4P1, MW4P2, MW4P3, MW5M1, MW5M2, MW5M3, MW5N1, MW5N2, MW5N3</w:t>
            </w:r>
          </w:p>
        </w:tc>
      </w:tr>
      <w:tr w:rsidR="00921A36" w14:paraId="53678122"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3C2A9EC4" w14:textId="44D1DCFA" w:rsidR="00921A36" w:rsidRDefault="00921A36" w:rsidP="00921A36">
            <w:pPr>
              <w:pStyle w:val="TableBody"/>
            </w:pPr>
            <w:r>
              <w:t>Hobart</w:t>
            </w:r>
          </w:p>
        </w:tc>
        <w:tc>
          <w:tcPr>
            <w:tcW w:w="5954" w:type="dxa"/>
            <w:shd w:val="clear" w:color="auto" w:fill="auto"/>
          </w:tcPr>
          <w:p w14:paraId="4A199B4C" w14:textId="421744AD" w:rsidR="00921A36" w:rsidRPr="00F82C68" w:rsidRDefault="00921A36" w:rsidP="00921A36">
            <w:pPr>
              <w:pStyle w:val="TableBody"/>
            </w:pPr>
            <w:r w:rsidRPr="00F82C68">
              <w:t>LY8L, LY8P, LY9I, LY9J, LY9K, LY9L, LY9M, LY9N, LY9O, LY9P, LZ2D, LZ2H, LZ3A, LZ3B, LZ3C, LZ3D, LZ3E, LZ3F, LZ3G, LZ3H, LY8H4, LY8H5, LY8H6, LY8H7, LY8H8, LY8H9, LY9E4, LY9E5, LY9E6, LY9E7, LY9E8, LY9E9, LY9F4, LY9F5, LY9F6, LY9F7, LY9F8, LY9F9, LY9G4, LY9G5, LY9G6, LY9G7, LY9G8, LY9G9, LY9H4, LY9H5, LY9H6, LY9H7, LY9H8, LY9H9, LZ2L1, LZ2L2, LZ2L3, LZ3I1, LZ3I2, LZ3I3, LZ3J1, LZ3J2, LZ3J3, LZ3K1, LZ3K2, LZ3K3, LZ3L1, LZ3L2, LZ3L3</w:t>
            </w:r>
          </w:p>
        </w:tc>
      </w:tr>
      <w:tr w:rsidR="00921A36" w14:paraId="04073074"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1435F89A" w14:textId="22DA955A" w:rsidR="00921A36" w:rsidRDefault="00921A36" w:rsidP="00921A36">
            <w:pPr>
              <w:pStyle w:val="TableBody"/>
            </w:pPr>
            <w:r>
              <w:t>Launceston</w:t>
            </w:r>
          </w:p>
        </w:tc>
        <w:tc>
          <w:tcPr>
            <w:tcW w:w="5954" w:type="dxa"/>
            <w:shd w:val="clear" w:color="auto" w:fill="F2F2F2" w:themeFill="background1" w:themeFillShade="F2"/>
          </w:tcPr>
          <w:p w14:paraId="758ED826" w14:textId="36A074EA" w:rsidR="00921A36" w:rsidRPr="00F82C68" w:rsidRDefault="00921A36" w:rsidP="00921A36">
            <w:pPr>
              <w:pStyle w:val="TableBody"/>
            </w:pPr>
            <w:r w:rsidRPr="00F82C68">
              <w:t>LY5C, LY5D, LY5G, LY5H, LY6A, LY6B, LY6E, LY6F, LY5K1, LY5K2, LY5K3, LY5K4, LY5K5, LY5K6, LY5L1, LY5L2, LY5L3, LY5L4, LY5L5, LY5L6, LY6I1, LY6I2, LY6I3, LY6I4, LY6I5, LY6I6, LY6J1, LY6J2, LY6J3, LY6J4, LY6J5, LY6J6</w:t>
            </w:r>
          </w:p>
        </w:tc>
      </w:tr>
      <w:tr w:rsidR="00921A36" w14:paraId="69D8F4FB"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432EA22E" w14:textId="433B291C" w:rsidR="00921A36" w:rsidRDefault="00921A36" w:rsidP="00921A36">
            <w:pPr>
              <w:pStyle w:val="TableBody"/>
            </w:pPr>
            <w:r w:rsidRPr="008335A5">
              <w:t>Melbourne</w:t>
            </w:r>
          </w:p>
        </w:tc>
        <w:tc>
          <w:tcPr>
            <w:tcW w:w="5954" w:type="dxa"/>
            <w:shd w:val="clear" w:color="auto" w:fill="auto"/>
          </w:tcPr>
          <w:p w14:paraId="6F1092B4" w14:textId="4FA4EE8A" w:rsidR="00921A36" w:rsidRPr="00F82C68" w:rsidRDefault="00921A36" w:rsidP="00921A36">
            <w:pPr>
              <w:pStyle w:val="TableBody"/>
            </w:pPr>
            <w:r w:rsidRPr="00F82C68">
              <w:t>KX3J, KX3K, KX3L, KX3N, KX3O, KX3P, KX6A, KX6B, KX6C, KX6D, KX6E, KX6F, KX6G, KX6H, KX6I, KX6J, KX6K, KX6L, LX1I, LX1M, LX1N, LX1O, LX4A, LX4B, LX4C, LX4E, LX4I, KX3E9, KX3F5, KX3F6, KX3F7, KX3F8, KX3F9, KX3G1, KX3G2, KX3G4, KX3G5, KX3G6, KX3G7, KX3G8, KX3G9, KX3H4, KX3H5, KX3H6, KX3H7, KX3H8, KX3H9, KX3I3, KX3I6, KX3I8, KX3I9, KX3M2, KX3M3, KX3M4, KX3M5, KX3M6, KX3M7, KX3M8, KX3M9, LX1E4, LX1E7, LX1E8, LX1E9, LX1J1, LX1J4, LX1J5, LX1J6, LX1J7, LX1J8, LX1J9, LX1K4, LX1K7, LX4F1, LX4F2, LX4F4, LX4F5, LX4F7, LX4F8, LX4J1, LX4J2, LX4J4, LX4J5, LX4J7, LX4J8</w:t>
            </w:r>
          </w:p>
        </w:tc>
      </w:tr>
      <w:tr w:rsidR="00921A36" w14:paraId="77E8A8DE"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1D52F1F8" w14:textId="33A33C71" w:rsidR="00921A36" w:rsidRPr="008335A5" w:rsidRDefault="00921A36" w:rsidP="00921A36">
            <w:pPr>
              <w:pStyle w:val="TableBody"/>
            </w:pPr>
            <w:r w:rsidRPr="008335A5">
              <w:t>Perth</w:t>
            </w:r>
          </w:p>
        </w:tc>
        <w:tc>
          <w:tcPr>
            <w:tcW w:w="5954" w:type="dxa"/>
            <w:shd w:val="clear" w:color="auto" w:fill="F2F2F2" w:themeFill="background1" w:themeFillShade="F2"/>
          </w:tcPr>
          <w:p w14:paraId="121983F9" w14:textId="18529531" w:rsidR="00921A36" w:rsidRPr="00F82C68" w:rsidRDefault="00921A36" w:rsidP="00921A36">
            <w:pPr>
              <w:pStyle w:val="TableBody"/>
            </w:pPr>
            <w:r w:rsidRPr="008335A5">
              <w:t>BV1I, BV1J, BV1K, BV1L, BV1M, BV1N, BV1O, BV1P, BV2I, BV2J, BV2M, BV2N, BV4A, BV4B, BV4C, BV4D, BV4E, BV4F, BV4G, BV4H, BV4I, BV4J, BV4K, BV4L, BV5A, BV5B, BV5E, BV5F, BV5I, BV5J, BV1E7, BV1E8, BV1E9, BV1F7, BV1F8, BV1F9, BV1G7, BV1G8, BV1G9, BV1H7, BV1H8, BV1H9, BV2E7, BV2E8, BV2E9, BV2F7, BV2F8, BV2F9, BV4M1, BV4M2, BV4M3, BV4N1, BV4N2, BV4N3, BV4O1, BV4O2, BV4O3, BV4P1, BV4P2, BV4P3, BV5M1, BV5M2, BV5M3, BV5N1, BV5N2, BV5N3</w:t>
            </w:r>
          </w:p>
        </w:tc>
      </w:tr>
      <w:tr w:rsidR="00921A36" w14:paraId="3FB847B5"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493984DD" w14:textId="1BA3D322" w:rsidR="00921A36" w:rsidRPr="008335A5" w:rsidRDefault="00921A36" w:rsidP="00921A36">
            <w:pPr>
              <w:pStyle w:val="TableBody"/>
            </w:pPr>
            <w:r>
              <w:t>Quirindi East</w:t>
            </w:r>
          </w:p>
        </w:tc>
        <w:tc>
          <w:tcPr>
            <w:tcW w:w="5954" w:type="dxa"/>
            <w:shd w:val="clear" w:color="auto" w:fill="auto"/>
          </w:tcPr>
          <w:p w14:paraId="3EAAF651" w14:textId="76E773CC" w:rsidR="00921A36" w:rsidRPr="008335A5" w:rsidRDefault="00921A36" w:rsidP="00921A36">
            <w:pPr>
              <w:pStyle w:val="TableBody"/>
            </w:pPr>
            <w:r w:rsidRPr="00BB0FEC">
              <w:t>MV3H, MV3L, MV3D7, MV3G9, MV3K3, MV3K6, MV3K9, MV3O1, MV3O2, MV3O3, MV3P1</w:t>
            </w:r>
          </w:p>
        </w:tc>
      </w:tr>
      <w:tr w:rsidR="00921A36" w14:paraId="7A9068FF"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3A070C40" w14:textId="1118EC1C" w:rsidR="00921A36" w:rsidRDefault="00921A36" w:rsidP="00921A36">
            <w:pPr>
              <w:pStyle w:val="TableBody"/>
            </w:pPr>
            <w:r>
              <w:t>Quirindi West</w:t>
            </w:r>
          </w:p>
        </w:tc>
        <w:tc>
          <w:tcPr>
            <w:tcW w:w="5954" w:type="dxa"/>
            <w:shd w:val="clear" w:color="auto" w:fill="F2F2F2" w:themeFill="background1" w:themeFillShade="F2"/>
          </w:tcPr>
          <w:p w14:paraId="3B6DB39D" w14:textId="0426B030" w:rsidR="00921A36" w:rsidRPr="00BB0FEC" w:rsidRDefault="00921A36" w:rsidP="00921A36">
            <w:pPr>
              <w:pStyle w:val="TableBody"/>
            </w:pPr>
            <w:r w:rsidRPr="00BB0FEC">
              <w:t>MV3C8, MV3C9, MV3F3, MV3F5, MV3F6, MV3F8, MV3F9, MV3G1, MV3G2, MV3G3, MV3G4, MV3G5, MV3G6, MV3G7, MV3G8, MV3J2, MV3J3, MV3J5, MV3J6, MV3J9, MV3K1, MV3K2, MV3K4, MV3K5, MV3K7, MV3K8</w:t>
            </w:r>
          </w:p>
        </w:tc>
      </w:tr>
      <w:tr w:rsidR="00921A36" w14:paraId="76283788"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1CDEDB2E" w14:textId="0C679DBC" w:rsidR="00921A36" w:rsidRDefault="00921A36" w:rsidP="00921A36">
            <w:pPr>
              <w:pStyle w:val="TableBody"/>
            </w:pPr>
            <w:r>
              <w:t xml:space="preserve">Regional NSW </w:t>
            </w:r>
            <w:r w:rsidR="0027404D">
              <w:t>n</w:t>
            </w:r>
            <w:r>
              <w:t>orth</w:t>
            </w:r>
          </w:p>
        </w:tc>
        <w:tc>
          <w:tcPr>
            <w:tcW w:w="5954" w:type="dxa"/>
            <w:shd w:val="clear" w:color="auto" w:fill="auto"/>
            <w:vAlign w:val="center"/>
          </w:tcPr>
          <w:p w14:paraId="2C8B46CF" w14:textId="67DEB52E" w:rsidR="00921A36" w:rsidRPr="00BB0FEC" w:rsidRDefault="00921A36" w:rsidP="00921A36">
            <w:pPr>
              <w:pStyle w:val="TableBody"/>
            </w:pPr>
            <w:r w:rsidRPr="00BB0FEC">
              <w:t>MV3D1, MV3D2, MV3D3, MV3D4, MV3D5, MV3D6, MV3D8, MV3D9</w:t>
            </w:r>
          </w:p>
        </w:tc>
      </w:tr>
      <w:tr w:rsidR="00921A36" w14:paraId="4278D292"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06F85736" w14:textId="65357DC4" w:rsidR="00921A36" w:rsidRDefault="00921A36" w:rsidP="00921A36">
            <w:pPr>
              <w:pStyle w:val="TableBody"/>
            </w:pPr>
            <w:r>
              <w:t xml:space="preserve">Regional NSW </w:t>
            </w:r>
            <w:r w:rsidR="0027404D">
              <w:t>s</w:t>
            </w:r>
            <w:r>
              <w:t>outh</w:t>
            </w:r>
          </w:p>
        </w:tc>
        <w:tc>
          <w:tcPr>
            <w:tcW w:w="5954" w:type="dxa"/>
            <w:shd w:val="clear" w:color="auto" w:fill="F2F2F2" w:themeFill="background1" w:themeFillShade="F2"/>
            <w:vAlign w:val="center"/>
          </w:tcPr>
          <w:p w14:paraId="00366978" w14:textId="31322195" w:rsidR="00921A36" w:rsidRPr="00BB0FEC" w:rsidRDefault="00921A36" w:rsidP="00921A36">
            <w:pPr>
              <w:pStyle w:val="TableBody"/>
            </w:pPr>
            <w:r w:rsidRPr="00BB0FEC">
              <w:t>MV6, MW6, MW7, MW8, MW9, MV2P, MV3M, MV3N, MV5D, MV5H, MV5L, MV5P, MV7L, MV7O, MV7P, MV8D, MV8H, MV8I, MV8J, MV8K, MV8L, MV8M, MV8N, MV8O, MV8P, MV9A, MV9B, MV9C, MW1A, MW1B, MW1C, MW1D, MW1E, MW1F, MW1G, MW1H, MW1I, MW1J, MW1K, MW1L, MW1M, MW1N, MW1O, MW2A, MW2B, MW2C, MW2D, MW2E, MW2F, MW2G, MW2H, MW2I, MW2J, MW2K, MW2L, MW2O, MW2P, MW3A, MW3E, MW3I, MW3M, MW3N, MW4A, MW4B, MW4C, MW4E, MW4F, MW4G, MW4I, MW4J, MW4K, MW4M, MW4N, MW4O, MW5C, MW5D, MW5G, MW5H, MW5K, MW5L, MW5O, MW5P, MX1C, MX1D, MX1H, MX2A, MX2B, MX2C, MX2D, MX2E, MX2F, MX2G, MX2H, MX3A, MX3B, MX3C, MX3D, MX3E, MX3F, MX3G, MX3H, NV1I, NV1J, NV1K, NV1L, NV1M, NV1N, NV1O, NV1P, NV2H, NV2I, NV2J, NV2K, NV2L, NV2M, NV2N, NV2O, NV2P, NV3E, NV3F, NV3G, NV3H, NV3I, NV3J, NV3K, NV3L, NV3M, NV3N, NV3O, NV3P, NV4A, NV4B, NV4C, NV4D, NV4E, NV4F, NV4G, NV4H, NV5A, NV5B, NV5C, NV5D, NV5E, NV5F, NV5G, NV5H, LW3L3, LW3L5, LW3L6, LW3L8, LW3L9, LW3P3, LW3P6, LW3P9, LW6D3, LW6D6, LW6D9, LW6H3, LW6H6, LW6H9, LW6L3, LW6L6, LW6L9, LW6P3, LW6P6, LW6P9, LW9D3, LW9D6, LW9D9, MV3O4, MV3O5, MV3O6, MV3O7, MV3O8, MV3O9, MV3P2, MV3P3, MV3P4, MV3P5, MV3P6, MV3P7, MV3P8, MV3P9, MV5G5, MV5G6, MV5G8, MV5G9, MV5K2, MV5K3, MV7K6, MV7K8, MV7K9, MV7N9, MV8E6, MV8E9, MV8F4, MV8F5, MV8F6, MV8F7, MV8F8, MV8F9, MV8G4, MV8G5, MV8G6, MV8G7, MV8G8, MV8G9, MV9D1, MV9D2, MV9D3, MV9D4, MV9D5, MV9D7, MV9D8, MV9E1, MV9E2, MV9E3, MV9F1, MV9F2, MV9F3, MV9G1, MV9G2, MV9G3, MV9H1, MV9H2, MW1P1, MW1P2, MW1P3, MW2M1, MW2M2, MW2M3, MW2N1, MW2N2, MW2N3, MW3B1, MW3B4, MW3B7, MW3F1, MW3F4, MW3F7, MW3J1, MW3J4, MW3J5, MW3J6, MW3J7, MW3J8, MW3J9, MW3O4, MW3O5, MW3O6, MW3O7, MW3O8, MW3O9, MW3P4, MW3P5, MW3P6, MW3P7, MW3P8, MW3P9, MW4P4, MW4P5, MW4P6, MW4P7, MW4P8, MW4P9, MW5M4, MW5M5, MW5M6, MW5M7, MW5M8, MW5M9, MW5N4, MW5N5, MW5N6, MW5N7, MW5N8, MW5N9, NV2D7, NV2D8, NV2D9, NV4I1, NV4I2, NV4I3, NV4I4, NV4I7, NV4J1, NV4J2, NV4J3, NV4K1, NV4K2, NV4K3, NV4L1, NV4L2, NV4L3, NV4M1, NV4M4, NV4M7, NV5I1, NV5I2, NV5I3, NV5J1, NV5J2, NV5J3, NV5K1, NV5K2, NV5K3, NV5L1, NV5L2, NV5L3, NV7A1, NW1M4, NW1M5, NW1M6, NW1M7, NW1M8, NW1M9, NW1N4, NW1N5, NW1N6, NW1N7, NW1N8, NW1N9, NW1O4, NW1O5, NW1O6, NW1O7, NW1O8, NW1O9, NW1P4, NW1P5, NW1P6, NW1P7, NW1P8, NW1P9</w:t>
            </w:r>
          </w:p>
        </w:tc>
      </w:tr>
      <w:tr w:rsidR="00921A36" w14:paraId="600D1637"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2A706E8C" w14:textId="711A3789" w:rsidR="00921A36" w:rsidRDefault="00921A36" w:rsidP="00921A36">
            <w:pPr>
              <w:pStyle w:val="TableBody"/>
            </w:pPr>
            <w:r>
              <w:t xml:space="preserve">Regional Qld </w:t>
            </w:r>
          </w:p>
        </w:tc>
        <w:tc>
          <w:tcPr>
            <w:tcW w:w="5954" w:type="dxa"/>
            <w:shd w:val="clear" w:color="auto" w:fill="auto"/>
            <w:vAlign w:val="center"/>
          </w:tcPr>
          <w:p w14:paraId="364DC1B5" w14:textId="15D170C4" w:rsidR="00921A36" w:rsidRPr="00BB0FEC" w:rsidRDefault="00921A36" w:rsidP="00921A36">
            <w:pPr>
              <w:pStyle w:val="TableBody"/>
            </w:pPr>
            <w:r w:rsidRPr="008D0624">
              <w:t>NT2P, NT3M, NT3N, NT3O, NT3P, NT4G, NT4H, NT4K, NT4L, NT4O, NT4P, NT5D, NT5E, NT5F, NT5G, NT5H, NT5I, NT5J, NT5K, NT5L, NT5M, NT5N, NT6A, NT6B, NT6C, NT6D, NT6E, NT6F, NT6G, NT6H, NT6I, NT6J, NT6K, NT6L, NT7C, NT7D, NT7F, NT7I, NT7J, NT7N, NT8A, NT8B, NU2A, NU2B, NU2E, NU2F, NU2G, NU2L, NU2P, NU3M, NU3N, NU3O, NU3P, NU6A, NU6B, NU6C, NU6D, NT2O3, NT2O5, NT2O6, NT2O8, NT2O9, NT4C6, NT4C9, NT4D4, NT4D5, NT4D6, NT4D7, NT4D8, NT4D9, NT5A4, NT5A5, NT5A6, NT5A7, NT5A8, NT5A9, NT5B4, NT5B5, NT5B6, NT5B7, NT5B8, NT5B9, NT5C2, NT5C3, NT5C4, NT5C5, NT5C6, NT5C7, NT5C8, NT5C9, NT5O1, NT5O2, NT5O3, NT5P1, NT5P2, NT5P3, NT6M1, NT6M2, NT6M3, NT6N1, NT6N2, NT6N3, NT6O1, NT6O2, NT6O3, NT6P1, NT6P2, NT6P3, NT7A6, NT7A8, NT7A9, NT7B2, NT7B3, NT7B4, NT7B5, NT7B6, NT7B7, NT7B8, NT7B9, NT7E2, NT7E3, NT7E4, NT7E5, NT7E6, NT7E7, NT7E8, NT7E9, NT7G1, NT7G4, NT7G7, NT7K1, NT7K4, NT7K7, NT7M1, NT7M2, NT7M3, NT7M5, NT7M6, NT7M9, NT7O1, NT7O4, NT7O7, NT7O8, NT7O9, NT7P7, NT7P8, NT7P9, NT8M7, NT8M8, NT8M9, NT8N7, NT8N8, NT8N9, NU1B2, NU1B3, NU1B5, NU1B6, NU1C1, NU1C2, NU1C3, NU1C4, NU1C5, NU1C6, NU1D1, NU1D2, NU1D3, NU1D4, NU1D5, NU1D6, NU1D9, NU1H3, NU2C4, NU2C5, NU2C6, NU2C7, NU2C8, NU2C9, NU2D4, NU2D7, NU2H1, NU2H4, NU2H5, NU2H6, NU2H7, NU2H8, NU2H9, NU2J3, NU2K1, NU2K2, NU2K3, NU3E4, NU3E7, NU3I1, NU3I4, NU3I5, NU3I6, NU3I7, NU3I8, NU3I9, NU3J4, NU3J5, NU3J6, NU3J7, NU3J8, NU3J9, NU3K4, NU3K5, NU3K6, NU3K7, NU3K8, NU3K9, NU3L4, NU3L5, NU3L6, NU3L7, NU3L8, NU3L9, NU5D1, NU5D2, NU5D3, NU6E1, NU6E2, NU6E3, NU6E4, NU6E5, NU6E6, NU6F1, NU6F2, NU6F3, NU6F4, NU6F5, NU6F6, NU6G1, NU6G2, NU6G3, NU6G4, NU6G5, NU6G6, NU6H1, NU6H2, NU6H3, NU6H4, NU6H5, NU6H6</w:t>
            </w:r>
          </w:p>
        </w:tc>
      </w:tr>
      <w:tr w:rsidR="00921A36" w14:paraId="71AD8F42"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6F623130" w14:textId="2A5DBD08" w:rsidR="00921A36" w:rsidRDefault="00921A36" w:rsidP="00921A36">
            <w:pPr>
              <w:pStyle w:val="TableBody"/>
            </w:pPr>
            <w:r>
              <w:t>Regional SA</w:t>
            </w:r>
          </w:p>
        </w:tc>
        <w:tc>
          <w:tcPr>
            <w:tcW w:w="5954" w:type="dxa"/>
            <w:shd w:val="clear" w:color="auto" w:fill="F2F2F2" w:themeFill="background1" w:themeFillShade="F2"/>
            <w:vAlign w:val="center"/>
          </w:tcPr>
          <w:p w14:paraId="2505FC52" w14:textId="69299EAA" w:rsidR="00921A36" w:rsidRPr="008D0624" w:rsidRDefault="00921A36" w:rsidP="00921A36">
            <w:pPr>
              <w:pStyle w:val="TableBody"/>
            </w:pPr>
            <w:r w:rsidRPr="008D0624">
              <w:t>IW2, IW5, IW7, IW8, IW9, JW4, IV8K, IV8L, IV8N, IV8O, IV8P, IV9F, IV9I, IV9J, IV9K, IV9L, IV9M, IV9N, IV9O, IV9P, IW1P, IW3A, IW3B, IW3C, IW3D, IW4D, IW4G, IW4H, IW4K, IW4L, IW4N, IW4O, IW4P, IW6I, IW6J, IW6K, IW6L, IW6M, IW6N, IW6O, IW6P, JV7M, JV7N, JV7O, JV7P, JV8M, JW1A, JW1B, JW1C, JW1D, JW1F, JW1G, JW1H, JW1J, JW1K, JW1L, JW1N, JW1O, JW1P, JW2A, JW2B, JW2C, JW2E, JW2F, JW2G, JW2H, JW2I, JW2J, JW2K, JW2M, JW2N, JW2O, JW5A, JW5B, JW5C, JW5E, JW5F, JW5I, JW5J, JW5M, JW7A, JW7B, JW7C, JW7D, JW7E, JW7F, JW7G, JW7I, JW8A, IV8H9, IV8J8, IV8J9, IV9E3, IV9E4, IV9E5, IV9E6, IV9E7, IV9E8, IV9E9, IV9G1, IV9G2, IV9G4, IV9G5, IV9G6, IV9G7, IV9G8, IV9G9, IW1L6, IW1L9, IW3E1, IW3E2, IW3E3, IW3E4, IW3E7, IW3F1, IW3F2, IW3F3, IW3G1, IW3G2, IW3G3, IW3H1, IW3H2, IW3H3, IW3I1, IW3I4, IW3I7, IW3M1, IW3M4, IW3M7, IW6A1, IW6A4, IW6A7, IW6E1, IW6E4, IW6E7, JV7I7, JV7I8, JV7I9, JV7J7, JV7J8, JV7J9, JV7K7, JV7K8, JV7K9, JV7L7, JV7L8, JV7L9, JV8I7, JV8I8, JV8I9, JV8N1, JV8N4, JV8N5, JV8N6, JV8N7, JV8N8, JV8N9, JV8O7, JW1E1, JW1E2, JW1E3, JW1E5, JW1E6, JW1E8, JW1E9, JW1I2, JW1I3, JW1I5, JW1I6, JW1I8, JW1I9, JW1M2, JW1M3, JW1M5, JW1M6, JW1M7, JW1M8, JW1M9, JW2D1, JW2D2, JW2D4, JW2D5, JW2D6, JW2D7, JW2D8, JW2D9, JW2L1, JW2L2, JW2L3, JW2L4, JW2L5, JW2L6, JW3A7, JW3E1, JW5N1, JW5N2, JW5N4, JW5N5, JW5N7, JW5N8, JW8B1, JW8B2, JW8B4</w:t>
            </w:r>
          </w:p>
        </w:tc>
      </w:tr>
      <w:tr w:rsidR="00921A36" w14:paraId="34816589"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429781F4" w14:textId="63211887" w:rsidR="00921A36" w:rsidRDefault="00921A36" w:rsidP="00921A36">
            <w:pPr>
              <w:pStyle w:val="TableBody"/>
            </w:pPr>
            <w:r>
              <w:t>Regional Vic</w:t>
            </w:r>
          </w:p>
        </w:tc>
        <w:tc>
          <w:tcPr>
            <w:tcW w:w="5954" w:type="dxa"/>
            <w:shd w:val="clear" w:color="auto" w:fill="auto"/>
            <w:vAlign w:val="center"/>
          </w:tcPr>
          <w:p w14:paraId="49614ADA" w14:textId="07B6D221" w:rsidR="00921A36" w:rsidRPr="008D0624" w:rsidRDefault="00921A36" w:rsidP="00921A36">
            <w:pPr>
              <w:pStyle w:val="TableBody"/>
            </w:pPr>
            <w:r w:rsidRPr="008D0624">
              <w:t>KX5, KX8, KX9, LX5, LX7, LX8, KW7L, KW7O, KW7P, KW8B, KW8C, KW8D, KW8E, KW8F, KW8G, KW8I, KW8J, KW8K, KW8M, KW8N, KW8O, KW9A, KW9B, KW9C, KW9D, KW9H, KW9L, KW9P, KX1C, KX1D, KX1G, KX1H, KX1K, KX1L, KX1O, KX1P, KX2A, KX2B, KX2E, KX2F, KX2I, KX2J, KX2M, KX2N, KX3D, KX4C, KX4D, KX4G, KX4H, KX4J, KX4K, KX4L, KX4N, KX4O, KX4P, KX6M, KX6N, KX6O, KX6P, LW7A, LW7E, LW7F, LW7I, LW7J, LW7K, LW7M, LW7N, LW7O, LW7P, LX1A, LX1B, LX1C, LX1D, LX1F, LX1G, LX1H, LX1L, LX1P, LX2A, LX2E, LX2I, LX2M, LX2N, LX2O, LX4D, LX4G, LX4H, LX4K, LX4L, LX4M, LX4N, LX4O, LX4P, LX6A, LX6E, LX6I, LX6M, KW5P8, KW5P9, KW6M7, KW6M8, KW6M9, KW6N7, KW6N8, KW6N9, KW6O7, KW6O8, KW6O9, KW6P7, KW6P8, KW6P9, KW7D9, KW7H3, KW7H5, KW7H6, KW7H8, KW7H9, KW7K5, KW7K6, KW7K8, KW7K9, KW8A2, KW8A3, KW8A4, KW8A5, KW8A6, KW8A7, KW8A8, KW8A9, KW8H1, KW8H2, KW8H3, KW8H4, KW8H5, KW8H7, KW8H8, KW8L1, KW8L2, KW8L4, KW8L5, KW8L7, KW8L8, KW8P1, KW8P2, KW8P4, KW8P5, KW8P7, KW8P8, KW9E1, KW9E2, KW9E3, KW9F1, KW9F2, KW9F3, KW9G1, KW9G2, KW9G3, KW9G6, KW9G9, KW9K3, KW9K6, KW9K9, KW9O3, KW9O6, KW9O9, KX1J9, KX1N3, KX1N6, KX1N9, KX2C1, KX2C2, KX2C3, KX2C4, KX2C5, KX2C6, KX2D1, KX2D2, KX2D4, KX2D5, KX2O7, KX2O8, KX2O9, KX2P7, KX2P8, KX2P9, KX3C3, KX3C6, KX3C9, KX3G3, KX3H1, KX3H2, KX3H3, KX4B3, KX4B6, KX4B9, KX4F3, KX4F5, KX4F6, KX4F7, KX4F8, KX4F9, LW4M7, LW4M8, LW4M9, LW7B1, LW7B4, LW7B5, LW7B7, LW7B8, LW7B9, LW7C7, LW7C8, LW7G1, LW7G2, LW7G4, LW7G5, LW7G6, LW7G7, LW7G8, LW7G9, LW7H7, LW7L1, LW7L2, LW7L4, LW7L5, LW7L7, LW7L8, LW8M4, LW8M5, LW8M7, LW8M8, LW8M9, LX1E1, LX1E2, LX1E3, LX1E5, LX1E6, LX1J2, LX1J3, LX1K1, LX1K2, LX1K3, LX1K5, LX1K6, LX1K8, LX1K9, LX2P4, LX2P5, LX2P6, LX2P7, LX2P8, LX2P9, LX3M7, LX3M8, LX3M9, LX4F3, LX4F6, LX4F9, LX4J3, LX4J6, LX4J9, LX6B4, LX6B7, LX6F1, LX6F4, LX6F7, LX6J1, LX6J4, LX6J7, LX6N1, LX6N4</w:t>
            </w:r>
          </w:p>
        </w:tc>
      </w:tr>
      <w:tr w:rsidR="00921A36" w14:paraId="2F9FE5AF"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29F3BA36" w14:textId="243B3521" w:rsidR="00921A36" w:rsidRDefault="00921A36" w:rsidP="00921A36">
            <w:pPr>
              <w:pStyle w:val="TableBody"/>
            </w:pPr>
            <w:r>
              <w:t>Regional WA central</w:t>
            </w:r>
          </w:p>
        </w:tc>
        <w:tc>
          <w:tcPr>
            <w:tcW w:w="5954" w:type="dxa"/>
            <w:shd w:val="clear" w:color="auto" w:fill="F2F2F2" w:themeFill="background1" w:themeFillShade="F2"/>
            <w:vAlign w:val="center"/>
          </w:tcPr>
          <w:p w14:paraId="063B650A" w14:textId="0E720291" w:rsidR="00921A36" w:rsidRPr="008D0624" w:rsidRDefault="00921A36" w:rsidP="00921A36">
            <w:pPr>
              <w:pStyle w:val="TableBody"/>
            </w:pPr>
            <w:r w:rsidRPr="008335A5">
              <w:t>AU6I, AU6J, AU6K, AU6L, AU6M, AU6N, AU6O, AU6P, AU9, BU4H, BU4I, BU4J, BU4K, BU4L, BU4M, BU4N, BU4O, BU4P, BU5E, BU5F, BU5G, BU5H, BU5I, BU5J, BU5K, BU5L, BU5M, BU5N, BU5O, BU5P, BU7, BU8, BU9A, BU9B, BU9E, BU9F, BU9I, BU9J, BU9M, BU9N</w:t>
            </w:r>
          </w:p>
        </w:tc>
      </w:tr>
      <w:tr w:rsidR="00921A36" w14:paraId="4BBBB73D"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77522FF5" w14:textId="7B717387" w:rsidR="00921A36" w:rsidRDefault="00921A36" w:rsidP="00921A36">
            <w:pPr>
              <w:pStyle w:val="TableBody"/>
            </w:pPr>
            <w:r>
              <w:t>Regional WA south</w:t>
            </w:r>
          </w:p>
        </w:tc>
        <w:tc>
          <w:tcPr>
            <w:tcW w:w="5954" w:type="dxa"/>
            <w:shd w:val="clear" w:color="auto" w:fill="auto"/>
            <w:vAlign w:val="center"/>
          </w:tcPr>
          <w:p w14:paraId="2706D23A" w14:textId="4A69F01D" w:rsidR="00921A36" w:rsidRPr="008335A5" w:rsidRDefault="00921A36" w:rsidP="00921A36">
            <w:pPr>
              <w:pStyle w:val="TableBody"/>
            </w:pPr>
            <w:r w:rsidRPr="008D0624">
              <w:t>AV9, AW3, BV7, BV8, BW1, BW2, BW5, BV1A, BV1B, BV1C, BV1D, BV2A, BV2B, BV2C, BV2D, BV2G, BV2H, BV2K, BV2L, BV2O, BV2P, BV3A, BV3B, BV3E, BV3F, BV3I, BV3J, BV3M, BV3N, BV5C, BV5D, BV5G, BV5H, BV5K, BV5L, BV5O, BV5P, BV6A, BV6B, BV6E, BV6F, BV6I, BV6J, BV6M, BV6N, BV9A, BV9B, BV9E, BV9F, BV9I, BV9J, BV9M, BV9N, BW3A, BW6A, BW6E, BW6I, BW6M, BV1E1, BV1E2, BV1E3, BV1E4, BV1E5, BV1E6, BV1F1, BV1F2, BV1F3, BV1F4, BV1F5, BV1F6, BV1G1, BV1G2, BV1G3, BV1G4, BV1G5, BV1G6, BV1H1, BV1H2, BV1H3, BV1H4, BV1H5, BV1H6, BV2E1, BV2E2, BV2E3, BV2E4, BV2E5, BV2E6, BV2F1, BV2F2, BV2F3, BV2F4, BV2F5, BV2F6, BV3C1, BV3C2, BV3C4, BV3C5, BV3C7, BV3C8, BV3G1, BV3G2, BV3G4, BV3G5, BV4M4, BV4M5, BV4M6, BV4M7, BV4M8, BV4M9, BV4N4, BV4N5, BV4N6, BV4N7, BV4N8, BV4N9, BV4O4, BV4O5, BV4O6, BV4O7, BV4O8, BV4O9, BV4P4, BV4P5, BV4P6, BV4P7, BV4P8, BV4P9, BV5M4, BV5M5, BV5M6, BV5M7, BV5M8, BV5M9, BV5N4, BV5N5, BV5N6, BV5N7, BV5N8, BV5N9, BV9C1, BV9C2, BV9C4, BV9C5, BV9C7, BV9C8, BV9G1, BV9G2, BV9G4, BV9G5, BV9G7, BV9G8, BW3M4, BW3M7, BW3M8</w:t>
            </w:r>
          </w:p>
        </w:tc>
      </w:tr>
      <w:tr w:rsidR="00921A36" w14:paraId="36EDE557"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3A1017A7" w14:textId="5F840DED" w:rsidR="00921A36" w:rsidRDefault="00921A36" w:rsidP="00921A36">
            <w:pPr>
              <w:pStyle w:val="TableBody"/>
            </w:pPr>
            <w:r>
              <w:t>Remote Australia</w:t>
            </w:r>
          </w:p>
        </w:tc>
        <w:tc>
          <w:tcPr>
            <w:tcW w:w="5954" w:type="dxa"/>
            <w:shd w:val="clear" w:color="auto" w:fill="F2F2F2" w:themeFill="background1" w:themeFillShade="F2"/>
          </w:tcPr>
          <w:p w14:paraId="1668360A" w14:textId="68171656" w:rsidR="00921A36" w:rsidRPr="008D0624" w:rsidRDefault="00921A36" w:rsidP="00921A36">
            <w:pPr>
              <w:pStyle w:val="TableBody"/>
            </w:pPr>
            <w:r w:rsidRPr="000A6CAD">
              <w:t>CV, DV, KQ, KV, LV, CW1, CW2, CW3, CW4, DW1, DW2, DW3, EV1, EV2, EV3, EV4, EV5, EV6, EV7, FV1, FV2, FV3, FV4, FV5, GV1, GV2, GV3, GV6, HV1, HV2, HV3, HV4, HV5, HV6, HV8, HV9, HW3, HW6, IV1, IV2, IV3, IV4, IV5, IV6, IV7, JV1, JV2, JV3, JV4, JV5, JV6, JV9, JW6, JW9, JX1, JX2, JX3, JX5, JX6, KO1, KO4, KO5, KO7, KO8, KP1, KP2, KP4, KP5, KP6, KP7, KP8, KP9, KW1, KW2, KW3, KW4, KY2, KY3, KY6, LP4, LP7, LQ2, LQ5, LQ7, LR1, LR4, LR5, LR6, LR7, LR8, LR9, LW1, LW2, LX9, LY1, LY2, LY3, LY4, LY7, LZ1, MR1, MR4, MR5, MR7, MR8, MR9, MS1, MS2, MS3, MS4, MS5, MS7, MS8, MS9, MT1, MT2, MT3, MT6, MT7, MT8, MT9, MU1, MU2, MU3, MU4, MU7, MU8, MU9, MV1, MV4, MX4, MX7, MY1, MY4, MY7, MZ1, NS4, NS7, NS8, NS9, NT1, NU4, NU8, NU9, BV3D, BV3H, BV3K, BV3L, BV3O, BV3P, BV6C, BV6D, BV6G, BV6H, BV6K, BV6L, BV6O, BV6P, BV9D, BV9H, BV9K, BV9L, BV9O, BV9P, BW3B, BW3C, BW3D, BW3E, BW3F, BW3G, BW3H, BW3I, BW3J, BW3K, BW3L, BW3N, BW3O, BW3P, BW6B, BW6C, BW6D, BW6F, BW6G, BW6H, BW6J, BW6K, BW6L, BW6N, BW6O, BW6P, IV8A, IV8B, IV8C, IV8D, IV8E, IV8F, IV8G, IV8I, IV8M, IV9A, IV9B, IV9C, IV9D, IV9H, IW1A, IW1B, IW1C, IW1D, IW1E, IW1F, IW1G, IW1H, IW1I, IW1J, IW1K, IW1M, IW1N, IW1O, IW4A, IW4B, IW4C, IW4E, IW4F, IW4I, IW4J, IW4M, JV7A, JV7B, JV7C, JV7D, JV7E, JV7F, JV7G, JV7H, JV8A, JV8B, JV8C, JV8D, JV8E, JV8F, JV8G, JV8H, JV8J, JV8K, JV8L, JV8P, JW2P, JW3B, JW3C, JW3D, JW3F, JW3G, JW3H, JW3I, JW3J, JW3K, JW3L, JW3M, JW3N, JW3O, JW3P, JW5D, JW5G, JW5H, JW5K, JW5L, JW5O, JW5P, JW7H, JW7J, JW7K, JW7L, JW7M, JW7N, JW7O, JW7P, JW8C, JW8D, JW8E, JW8F, JW8G, JW8H, JW8I, JW8J, JW8K, JW8L, JW8M, JW8N, JW8O, JW8P, KW5A, KW5B, KW5C, KW5D, KW5E, KW5F, KW5G, KW5H, KW5I, KW5J, KW5K, KW5L, KW5M, KW5N, KW5O, KW6A, KW6B, KW6C, KW6D, KW6E, KW6F, KW6G, KW6H, KW6I, KW6J, KW6K, KW6L, KW7A, KW7B, KW7C, KW7E, KW7F, KW7G, KW7I, KW7J, KW7M, KW7N, KX1A, KX1B, KX1E, KX1F, KX1I, KX1M, KX4A, KX4E, KX4I, KX4M, LQ1A, LQ1B, LQ1C, LQ1D, LQ1E, LQ1F, LQ1G, LQ1H, LQ1I, LQ1M, LQ4A, LQ4E, LQ4F, LQ4G, LQ4H, LQ4I, LQ4J, LQ4K, LQ4L, LQ4M, LQ4N, LQ4O, LQ4P, LQ8A, LQ8B, LQ8C, LQ8D, LQ8E, LQ8F, LQ8G, LQ8H, LQ8I, LQ8J, LQ8K, LQ8L, LQ8M, LR2A, LR2E, LR2I, LR2M, LR2N, LR2O, LR2P, LR3B, LR3C, LR3D, LR3F, LR3G, LR3H, LR3J, LR3K, LR3L, LR3M, LR3N, LR3O, LR3P, LW3A, LW3B, LW3C, LW3D, LW3E, LW3F, LW3G, LW3H, LW3I, LW3J, LW3K, LW3M, LW3N, LW3O, LW4A, LW4B, LW4C, LW4D, LW4E, LW4F, LW4G, LW4H, LW4I, LW4J, LW4K, LW4L, LW4N, LW4O, LW4P, LW5A, LW5B, LW5C, LW5D, LW5E, LW5F, LW5G, LW5H, LW5I, LW5J, LW5K, LW5L, LW5M, LW5N, LW6A, LW6B, LW6C, LW6E, LW6F, LW6G, LW6I, LW6J, LW6K, LW6N, LW6O, LW7D, LW8A, LW8B, LW8E, LW8F, LW8I, LW8J, LW8K, LW8L, LW8N, LW8O, LW8P, LW9B, LW9C, LW9F, LW9G, LW9H, LW9I, LW9J, LW9K, LW9L, LW9M, LW9N, LW9O, LW9P, LX2B, LX2C, LX2D, LX2F, LX2G, LX2H, LX2J, LX2K, LX2L, LX3A, LX3B, LX3C, LX3D, LX3E, LX3F, LX3G, LX3H, LX3I, LX3J, LX3K, LX3L, LX3N, LX3O, LX3P, LX6C, LX6D, LX6G, LX6H, LX6K, LX6L, LX6O, LX6P, LY5A, LY5B, LY5E, LY5F, LY5I, LY5J, LY5M, LY5N, LY5O, LY5P, LY6C, LY6D, LY6G, LY6H, LY6K, LY6L, LY6M, LY6N, LY6O, LY6P, LY8A, LY8B, LY8C, LY8D, LY8E, LY8F, LY8G, LY8I, LY8J, LY8K, LY8M, LY8N, LY8O, LY9A, LY9B, LY9C, LY9D, LZ2A, LZ2B, LZ2C, LZ2E, LZ2F, LZ2G, LZ2I, LZ2J, LZ2K, LZ2M, LZ2N, LZ2O, LZ2P, LZ3M, LZ3N, LZ3O, LZ3P, MS6M, MS6N, MS6O, MS6P, MT4A, MT4B, MT4C, MT4D, MT4E, MT4I, MT4M, MT4N, MT5A, MT5B, MT5C, MT5D, MT5F, MT5G, MT5H, MT5J, MT5K, MT5L, MT5N, MT5O, MT5P, MU5A, MU5B, MU5E, MU5F, MU5I, MU5J, MU5M, MU5N, MU5O, MU5P, MU6B, MU6C, MU6D, MU6F, MU6G, MU6H, MU6J, MU6K, MU6L, MU6M, MU6N, MU6O, MU6P, MV2A, MV2B, MV2C, MV2D, MV2E, MV2F, MV2G, MV2H, MV2I, MV2J, MV2K, MV2L, MV2M, MV2N, MV2O, MV3A, MV3B, MV3E, MV3I, MV5A, MV5B, MV5C, MV5E, MV5F, MV5I, MV5J, MV5M, MV5N, MV5O, MV7A, MV7B, MV7C, MV7D, MV7E, MV7F, MV7G, MV7H, MV7I, MV7J, MV7M, MV8A, MV8B, MV8C, MX1A, MX1B, MX1E, MX1F, MX1G, MX1I, MX1J, MX1K, MX1L, MX1M, MX1N, MX1O, MX1P, MX2I, MX2J, MX2K, MX2L, MX2M, MX2N, MX2O, MX2P, MX3I, MX3J, MX3K, MX3L, MX3M, MX3N, MX3O, MX3P, NT2A, NT2B, NT2C, NT2D, NT2E, NT2F, NT2G, NT2H, NT2I, NT2J, NT2K, NT2L, NT2M, NT2N, NT3A, NT3B, NT3C, NT3D, NT3E, NT3F, NT3G, NT3H, NT3I, NT3J, NT3K, NT3L, NT4A, NT4B, NT4E, NT4F, NT4I, NT4J, NT4M, NT4N, NU1A, NU1E, NU1F, NU1G, NU1I, NU1J, NU1K, NU1L, NU1M, NU1N, NU1O, NU1P, NU2I, NU2M, NU2N, NU2O, NU5A, NU5B, NU5C, NU5E, NU5F, NU5G, NU5H, NU5I, NU5J, NU5K, NU5L, NU5M, NU5N, NU5O, NU5P, NU6I, NU6J, NU6K, NU6L, NU6M, NU6N, NU6O, NU6P, NU7A, NU7B, NU7C, NU7D, NU7E, NU7F, NU7G, NU7H, NU7I, NU7J, NU7L, NU7M, NU7N, NU7O, NU7P, NV1A, NV1B, NV1C, NV1D, NV1E, NV1F, NV1G, NV1H, NV2A, NV2B, NV2C, NV2E, NV2F, NV2G, NV3A, NV3B, NV3C, NV3D, BV3C3, BV3C6, BV3C9, BV3G3, BV3G6, BV3G7, BV3G8, BV3G9, BV9C3, BV9C6, BV9C9, BV9G3, BV9G6, BV9G9, BW3M1, BW3M2, BW3M3, BW3M5, BW3M6, BW3M9, IV8H1, IV8H2, IV8H3, IV8H4, IV8H5, IV8H6, IV8H7, IV8H8, IV8J1, IV8J2, IV8J3, IV8J4, IV8J5, IV8J6, IV8J7, IV9E1, IV9E2, IV9G3, IW1L1, IW1L2, IW1L3, IW1L4, IW1L5, IW1L7, IW1L8, JV7I1, JV7I2, JV7I3, JV7I4, JV7I5, JV7I6, JV7J1, JV7J2, JV7J3, JV7J4, JV7J5, JV7J6, JV7K1, JV7K2, JV7K3, JV7K4, JV7K5, JV7K6, JV7L1, JV7L2, JV7L3, JV7L4, JV7L5, JV7L6, JV8I1, JV8I2, JV8I3, JV8I4, JV8I5, JV8I6, JV8N2, JV8N3, JV8O1, JV8O2, JV8O3, JV8O4, JV8O5, JV8O6, JV8O8, JV8O9, JW2D3, JW2L7, JW2L8, JW2L9, JW3A1, JW3A2, JW3A3, JW3A4, JW3A5, JW3A6, JW3A8, JW3A9, JW3E2, JW3E3, JW3E4, JW3E5, JW3E6, JW3E7, JW3E8, JW3E9, JW5N3, JW5N6, JW5N9, JW8B3, JW8B5, JW8B6, JW8B7, JW8B8, JW8B9, KW5P1, KW5P2, KW5P3, KW5P4, KW5P5, KW5P6, KW5P7, KW6M1, KW6M2, KW6M3, KW6M4, KW6M5, KW6M6, KW6N1, KW6N2, KW6N3, KW6N4, KW6N5, KW6N6, KW6O1, KW6O2, KW6O3, KW6O4, KW6O5, KW6O6, KW6P1, KW6P2, KW6P3, KW6P4, KW6P5, KW6P6, KW7D1, KW7D2, KW7D3, KW7D4, KW7D5, KW7D6, KW7D7, KW7D8, KW7H1, KW7H2, KW7H4, KW7H7, KW7K1, KW7K2, KW7K3, KW7K4, KW7K7, KW8A1, KX1J1, KX1J2, KX1J3, KX1J4, KX1J5, KX1J6, KX1J7, KX1J8, KX1N1, KX1N2, KX1N4, KX1N5, KX1N7, KX1N8, KX4B1, KX4B2, KX4B4, KX4B5, KX4B7, KX4B8, KX4F1, KX4F2, KX4F4, LQ1J1, LQ1J4, LQ1J7, LQ1N1, LQ1N4, LQ1N7, LQ4B1, LQ4B4, LQ4B7, LQ4B8, LQ4B9, LQ4C7, LQ4C8, LQ4C9, LQ4D7, LQ4D8, LQ4D9, LQ8N1, LQ8N2, LQ8N3, LQ8N4, LQ8N5, LQ8N6, LQ8N7, LQ8O1, LQ8O2, LQ8O3, LQ8O4, LQ8O5, LQ8O6, LQ8P1, LQ8P2, LQ8P3, LQ8P4, LQ8P5, LQ8P6, LR2B1, LR2B4, LR2B7, LR2F1, LR2F4, LR2F7, LR2J1, LR2J4, LR2J7, LR2J8, LR2J9, LR2K7, LR2K8, LR2K9, LR2L7, LR2L8, LR2L9, LR3A3, LR3A6, LR3A9, LR3E3, LR3E6, LR3E9, LR3I3, LR3I6, LR3I7, LR3I8, LR3I9, LW3L1, LW3L2, LW3L4, LW3L7, LW3P1, LW3P2, LW3P4, LW3P5, LW3P7, LW3P8, LW4M1, LW4M2, LW4M3, LW4M4, LW4M5, LW4M6, LW5O1, LW5O4, LW5O7, LW6D1, LW6D2, LW6D4, LW6D5, LW6D7, LW6D8, LW6H1, LW6H2, LW6H4, LW6H5, LW6H7, LW6H8, LW6L1, LW6L2, LW6L4, LW6L5, LW6L7, LW6L8, LW6P1, LW6P2, LW6P4, LW6P5, LW6P7, LW6P8, LW7B2, LW7B3, LW7B6, LW7C1, LW7C2, LW7C3, LW7C4, LW7C5, LW7C6, LW7C9, LW7G3, LW7H1, LW7H2, LW7H3, LW7H4, LW7H5, LW7H6, LW7H8, LW7H9, LW7L3, LW7L6, LW7L9, LW8C1, LW8C4, LW8C7, LW8G1, LW8G4, LW8G7, LW8M1, LW8M2, LW8M3, LW8M6, LW9D1, LW9D2, LW9D4, LW9D5, LW9D7, LW9D8, LX2P1, LX2P2, LX2P3, LX3M1, LX3M2, LX3M3, LX3M4, LX3M5, LX3M6, LX6B1, LX6B2, LX6B3, LX6B5, LX6B6, LX6B8, LX6B9, LX6F2, LX6F3, LX6F5, LX6F6, LX6F8, LX6F9, LX6J2, LX6J3, LX6J5, LX6J6, LX6J8, LX6J9, LX6N2, LX6N3, LX6N5, LX6N6, LX6N7, LX6N8, LX6N9, LY5K7, LY5K8, LY5K9, LY5L7, LY5L8, LY5L9, LY6I7, LY6I8, LY6I9, LY6J7, LY6J8, LY6J9, LY8H1, LY8H2, LY8H3, LY9E1, LY9E2, LY9E3, LY9F1, LY9F2, LY9F3, LY9G1, LY9G2, LY9G3, LY9H1, LY9H2, LY9H3, LZ2L4, LZ2L5, LZ2L6, LZ2L7, LZ2L8, LZ2L9, LZ3I4, LZ3I5, LZ3I6, LZ3I7, LZ3I8, LZ3I9, LZ3J4, LZ3J5, LZ3J6, LZ3J7, LZ3J8, LZ3J9, LZ3K4, LZ3K5, LZ3K6, LZ3K7, LZ3K8, LZ3K9, LZ3L4, LZ3L5, LZ3L6, LZ3L7, LZ3L8, LZ3L9, MT4F1, MT4F2, MT4F3, MT4F4, MT4F5, MT4F6, MT4F7, MT4F8, MT4G1, MT4J1, MT4J2, MT4J4, MT4J5, MT4J7, MT4J8, MT4J9, MT4O4, MT4O5, MT4O7, MT4O8, MT4O9, MT4P6, MT4P7, MT4P8, MT4P9, MT5E1, MT5E2, MT5E3, MT5E5, MT5E6, MT5E8, MT5E9, MT5I3, MT5I6, MT5I8, MT5I9, MT5M2, MT5M3, MT5M4, MT5M5, MT5M6, MT5M7, MT5M8, MT5M9, MU5C1, MU5C2, MU5C3, MU5C4, MU5C5, MU5C6, MU5C7, MU5D1, MU5D2, MU5D3, MU5D4, MU5D5, MU5D6, MU5K7, MU6A1, MU6A2, MU6A3, MU6A4, MU6A5, MU6A6, MU6A8, MU6A9, MU6E3, MU6E6, MU6E9, MU6I3, MU6I6, MU6I8, MU6I9, MV3C1, MV3C2, MV3C3, MV3C4, MV3C5, MV3C6, MV3C7, MV3F1, MV3F2, MV3F4, MV3F7, MV3J1, MV3J4, MV3J7, MV3J8, MV5G1, MV5G2, MV5G3, MV5G4, MV5G7, MV5K1, MV5K4, MV5K5, MV5K6, MV5K7, MV5K8, MV5K9, MV7K1, MV7K2, MV7K3, MV7K4, MV7K5, MV7K7, MV7N1, MV7N2, MV7N3, MV7N4, MV7N5, MV7N6, MV7N7, MV7N8, MV8E1, MV8E2, MV8E3, MV8E4, MV8E5, MV8E7, MV8E8, MV8F1, MV8F2, MV8F3, MV8G1, MV8G2, MV8G3, NT2O1, NT2O2, NT2O4, NT2O7, NT4C1, NT4C2, NT4C3, NT4C4, NT4C5, NT4C7, NT4C8, NT4D1, NT4D2, NT4D3, NT5A1, NT5A2, NT5A3, NT5B1, NT5B2, NT5B3, NT5C1, NT7A1, NT7A2, NT7A3, NT7A4, NT7A5, NT7A7, NT7B1, NT7E1, NT7M4, NT7M7, NT7M8, NU1B1, NU1B4, NU1B7, NU1B8, NU1B9, NU1C7, NU1C8, NU1C9, NU1D7, NU1D8, NU1H1, NU1H2, NU1H4, NU1H5, NU1H6, NU1H7, NU1H8, NU1H9, NU2J1, NU2J2, NU2J4, NU2J5, NU2J6, NU2J7, NU2J8, NU2J9, NU2K4, NU2K5, NU2K6, NU2K7, NU2K8, NU2K9, NU5D4, NU5D5, NU5D6, NU5D7, NU5D8, NU5D9, NU6E7, NU6E8, NU6E9, NU6F7, NU6F8, NU6F9, NU6G7, NU6G8, NU6G9, NU6H7, NU6H8, NU6H9, NU7K1, NU7K2, NU7K3, NU7K5, NU7K6, NU7K7, NU7K8, NU7K9, NV2D1, NV2D2, NV2D3, NV2D4, NV2D5, NV2D6.</w:t>
            </w:r>
          </w:p>
        </w:tc>
      </w:tr>
      <w:tr w:rsidR="00921A36" w14:paraId="73825A03"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75F9ACAA" w14:textId="6AC42451" w:rsidR="00921A36" w:rsidRDefault="00921A36" w:rsidP="00921A36">
            <w:pPr>
              <w:pStyle w:val="TableBody"/>
            </w:pPr>
            <w:r>
              <w:t>Rockhampton</w:t>
            </w:r>
          </w:p>
        </w:tc>
        <w:tc>
          <w:tcPr>
            <w:tcW w:w="5954" w:type="dxa"/>
            <w:shd w:val="clear" w:color="auto" w:fill="auto"/>
          </w:tcPr>
          <w:p w14:paraId="0661DDB0" w14:textId="01B221C1" w:rsidR="00921A36" w:rsidRPr="000A6CAD" w:rsidRDefault="00921A36" w:rsidP="00921A36">
            <w:pPr>
              <w:pStyle w:val="TableBody"/>
            </w:pPr>
            <w:r w:rsidRPr="00F82C68">
              <w:t>MS6A, MS6B, MS6C, MS6D, MS6E, MS6F, MS6G, MS6H, MS6I, MS6J, MS6K, MS6L</w:t>
            </w:r>
          </w:p>
        </w:tc>
      </w:tr>
      <w:tr w:rsidR="00921A36" w14:paraId="310F342E"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2B0C1F6F" w14:textId="2F518B06" w:rsidR="00921A36" w:rsidRDefault="00921A36" w:rsidP="00921A36">
            <w:pPr>
              <w:pStyle w:val="TableBody"/>
            </w:pPr>
            <w:r w:rsidRPr="008335A5">
              <w:t>Sydney</w:t>
            </w:r>
          </w:p>
        </w:tc>
        <w:tc>
          <w:tcPr>
            <w:tcW w:w="5954" w:type="dxa"/>
            <w:shd w:val="clear" w:color="auto" w:fill="F2F2F2" w:themeFill="background1" w:themeFillShade="F2"/>
          </w:tcPr>
          <w:p w14:paraId="0B1EA0E5" w14:textId="664F3580" w:rsidR="00921A36" w:rsidRPr="00F82C68" w:rsidRDefault="00921A36" w:rsidP="00921A36">
            <w:pPr>
              <w:pStyle w:val="TableBody"/>
            </w:pPr>
            <w:r w:rsidRPr="008335A5">
              <w:t>MV9I, MV9J, MV9K, MV9L, MV9M, MV9N, MV9O, MV9P, MW3C, MW3D, MW3G, MW3H, MW3K, MW3L, NV4N, NV4O, NV4P, NV5M, NV5N, NV5O, NV5P, NV7B, NV7C, NV7D, NV7E, NV7F, NV7G, NV7H, NV7I, NV7J, NV7K, NV7L, NV7M, NV7N, NV7O, NV7P, NW1A, NW1B, NW1C, NW1D, NW1E, NW1F, NW1G, NW1H, NW1I, NW1J, NW1K, NW1L, MV9D6, MV9D9, MV9E4, MV9E5, MV9E6, MV9E7, MV9E8, MV9E9, MV9F4, MV9F5, MV9F6, MV9F7, MV9F8, MV9F9, MV9G4, MV9G5, MV9G6, MV9G7, MV9G8, MV9G9, MV9H3, MV9H4, MV9H5, MV9H6, MV9H7, MV9H8, MV9H9, MW3B2, MW3B3, MW3B5, MW3B6, MW3B8, MW3B9, MW3F2, MW3F3, MW3F5, MW3F6, MW3F8, MW3F9, MW3J2, MW3J3, MW3O1, MW3O2, MW3O3, MW3P1, MW3P2, MW3P3, NV4I5, NV4I6, NV4I8, NV4I9, NV4J4, NV4J5, NV4J6, NV4J7, NV4J8, NV4J9, NV4K4, NV4K5, NV4K6, NV4K7, NV4K8, NV4K9, NV4L4, NV4L5, NV4L6, NV4L7, NV4L8, NV4L9, NV4M2, NV4M3, NV4M5, NV4M6, NV4M8, NV4M9, NV5I4, NV5I5, NV5I6, NV5I7, NV5I8, NV5I9, NV5J4, NV5J5, NV5J6, NV5J7, NV5J8, NV5J9, NV5K4, NV5K5, NV5K6, NV5K7, NV5K8, NV5K9, NV5L4, NV5L5, NV5L6, NV5L7, NV5L8, NV5L9, NV7A2, NV7A3, NV7A4, NV7A5, NV7A6, NV7A7, NV7A8, NV7A9, NW1M1, NW1M2, NW1M3, NW1N1, NW1N2, NW1N3, NW1O1, NW1O2, NW1O3, NW1P1, NW1P2, NW1P3</w:t>
            </w:r>
          </w:p>
        </w:tc>
      </w:tr>
      <w:tr w:rsidR="00921A36" w14:paraId="76ABC783" w14:textId="77777777" w:rsidTr="00650B5F">
        <w:trPr>
          <w:cnfStyle w:val="000000100000" w:firstRow="0" w:lastRow="0" w:firstColumn="0" w:lastColumn="0" w:oddVBand="0" w:evenVBand="0" w:oddHBand="1" w:evenHBand="0" w:firstRowFirstColumn="0" w:firstRowLastColumn="0" w:lastRowFirstColumn="0" w:lastRowLastColumn="0"/>
        </w:trPr>
        <w:tc>
          <w:tcPr>
            <w:tcW w:w="2405" w:type="dxa"/>
            <w:shd w:val="clear" w:color="auto" w:fill="auto"/>
          </w:tcPr>
          <w:p w14:paraId="493894F2" w14:textId="3711EC1E" w:rsidR="00921A36" w:rsidRPr="008335A5" w:rsidRDefault="00921A36" w:rsidP="00921A36">
            <w:pPr>
              <w:pStyle w:val="TableBody"/>
            </w:pPr>
            <w:r w:rsidRPr="008335A5">
              <w:t>Toowoomba</w:t>
            </w:r>
          </w:p>
        </w:tc>
        <w:tc>
          <w:tcPr>
            <w:tcW w:w="5954" w:type="dxa"/>
            <w:shd w:val="clear" w:color="auto" w:fill="auto"/>
            <w:vAlign w:val="center"/>
          </w:tcPr>
          <w:p w14:paraId="1AB6ECEC" w14:textId="1A802B4F" w:rsidR="00921A36" w:rsidRPr="008335A5" w:rsidRDefault="00921A36" w:rsidP="00921A36">
            <w:pPr>
              <w:pStyle w:val="TableBody"/>
            </w:pPr>
            <w:r w:rsidRPr="008335A5">
              <w:t>NT7H, NT7L, NT8E, NT8F, NT8I, NT8J, NT7G2, NT7G3, NT7G5, NT7G6, NT7G8, NT7G9, NT7K2, NT7K3, NT7K5, NT7K6, NT7K8, NT7K9, NT7O2, NT7O3, NT7O5, NT7O6, NT7P1, NT7P2, NT7P3, NT7P4, NT7P5, NT7P6, NT8M1, NT8M2, NT8M3, NT8M4, NT8M5, NT8M6, NT8N1, NT8N2, NT8N3, NT8N4, NT8N5, NT8N6</w:t>
            </w:r>
          </w:p>
        </w:tc>
      </w:tr>
      <w:tr w:rsidR="00921A36" w14:paraId="2380DC7F" w14:textId="77777777" w:rsidTr="00650B5F">
        <w:trPr>
          <w:cnfStyle w:val="000000010000" w:firstRow="0" w:lastRow="0" w:firstColumn="0" w:lastColumn="0" w:oddVBand="0" w:evenVBand="0" w:oddHBand="0" w:evenHBand="1" w:firstRowFirstColumn="0" w:firstRowLastColumn="0" w:lastRowFirstColumn="0" w:lastRowLastColumn="0"/>
        </w:trPr>
        <w:tc>
          <w:tcPr>
            <w:tcW w:w="2405" w:type="dxa"/>
            <w:shd w:val="clear" w:color="auto" w:fill="F2F2F2" w:themeFill="background1" w:themeFillShade="F2"/>
          </w:tcPr>
          <w:p w14:paraId="1E0D5B84" w14:textId="2197AB10" w:rsidR="00921A36" w:rsidRPr="008335A5" w:rsidRDefault="00921A36" w:rsidP="00921A36">
            <w:pPr>
              <w:pStyle w:val="TableBody"/>
            </w:pPr>
            <w:r>
              <w:t>Townsville</w:t>
            </w:r>
          </w:p>
        </w:tc>
        <w:tc>
          <w:tcPr>
            <w:tcW w:w="5954" w:type="dxa"/>
            <w:shd w:val="clear" w:color="auto" w:fill="F2F2F2" w:themeFill="background1" w:themeFillShade="F2"/>
            <w:vAlign w:val="center"/>
          </w:tcPr>
          <w:p w14:paraId="017C9586" w14:textId="528A4942" w:rsidR="00921A36" w:rsidRPr="008335A5" w:rsidRDefault="00921A36" w:rsidP="00921A36">
            <w:pPr>
              <w:pStyle w:val="TableBody"/>
            </w:pPr>
            <w:r w:rsidRPr="00F82C68">
              <w:t>LR2C, LR2D, LR2G, LR2H, LQ8N8, LQ8N9, LQ8O7, LQ8O8, LQ8O9, LQ8P7, LQ8P8, LQ8P9, LR2B2, LR2B3, LR2B5, LR2B6, LR2B8, LR2B9, LR2F2, LR2F3, LR2F5, LR2F6, LR2F8, LR2F9, LR2J2, LR2J3, LR2J5, LR2J6, LR2K1, LR2K2, LR2K3, LR2K4, LR2K5, LR2K6, LR2L1, LR2L2, LR2L3, LR2L4, LR2L5, LR2L6, LR3A1, LR3A2, LR3A4, LR3A5, LR3A7, LR3A8, LR3E1, LR3E2, LR3E4, LR3E5, LR3E7, LR3E8, LR3I1, LR3I2, LR3I4, LR3I5</w:t>
            </w:r>
          </w:p>
        </w:tc>
      </w:tr>
    </w:tbl>
    <w:p w14:paraId="70DC7131" w14:textId="77777777" w:rsidR="00FA5026" w:rsidRDefault="00FA5026" w:rsidP="00D777A9">
      <w:pPr>
        <w:pStyle w:val="Paragraph"/>
        <w:sectPr w:rsidR="00FA5026" w:rsidSect="00C77380">
          <w:headerReference w:type="even" r:id="rId114"/>
          <w:headerReference w:type="default" r:id="rId115"/>
          <w:footerReference w:type="even" r:id="rId116"/>
          <w:footerReference w:type="default" r:id="rId117"/>
          <w:pgSz w:w="11906" w:h="16838" w:code="9"/>
          <w:pgMar w:top="1945" w:right="3101" w:bottom="1134" w:left="1134" w:header="709" w:footer="119" w:gutter="0"/>
          <w:pgNumType w:start="1"/>
          <w:cols w:space="708"/>
          <w:docGrid w:linePitch="360"/>
        </w:sectPr>
      </w:pPr>
    </w:p>
    <w:p w14:paraId="7D7FF726" w14:textId="59942E72" w:rsidR="00AF4842" w:rsidRDefault="00FA5026" w:rsidP="00FA5026">
      <w:pPr>
        <w:pStyle w:val="Heading1"/>
      </w:pPr>
      <w:bookmarkStart w:id="115" w:name="_Toc96941008"/>
      <w:r>
        <w:t xml:space="preserve">Appendix </w:t>
      </w:r>
      <w:r w:rsidR="00AF4842">
        <w:t>C</w:t>
      </w:r>
      <w:r w:rsidR="00ED24FD">
        <w:t xml:space="preserve"> – </w:t>
      </w:r>
      <w:r w:rsidR="00AF4842">
        <w:t>HCIS identifiers for urban excise</w:t>
      </w:r>
      <w:bookmarkEnd w:id="115"/>
    </w:p>
    <w:p w14:paraId="75AA161E" w14:textId="13D192B1" w:rsidR="00EA13B3" w:rsidRDefault="002D1192" w:rsidP="00EA13B3">
      <w:pPr>
        <w:pStyle w:val="Paragraph"/>
      </w:pPr>
      <w:r>
        <w:t>We propose to declare the 3400</w:t>
      </w:r>
      <w:r w:rsidR="00B7741A">
        <w:t>–</w:t>
      </w:r>
      <w:r>
        <w:t>3475 MHz frequency range for re-allocation by issuing spectrum licences in certain geographic areas (</w:t>
      </w:r>
      <w:r w:rsidR="000910B2">
        <w:t xml:space="preserve">the urban excise). </w:t>
      </w:r>
      <w:r w:rsidR="00FA29A2" w:rsidRPr="00E654F7">
        <w:t>Ta</w:t>
      </w:r>
      <w:r w:rsidR="00FA29A2" w:rsidRPr="00597CC4">
        <w:t xml:space="preserve">ble </w:t>
      </w:r>
      <w:r w:rsidR="00065C54" w:rsidRPr="00597CC4">
        <w:t>1</w:t>
      </w:r>
      <w:r w:rsidR="00E654F7" w:rsidRPr="00597CC4">
        <w:t>0</w:t>
      </w:r>
      <w:r w:rsidR="00FA29A2" w:rsidRPr="00597CC4">
        <w:t xml:space="preserve"> </w:t>
      </w:r>
      <w:r w:rsidR="005D6831">
        <w:t xml:space="preserve">describes the </w:t>
      </w:r>
      <w:r w:rsidR="000910B2">
        <w:t>geographic areas applicable to the urban excise</w:t>
      </w:r>
      <w:r w:rsidR="00011BF0">
        <w:t xml:space="preserve"> </w:t>
      </w:r>
      <w:r w:rsidR="005D6831">
        <w:t xml:space="preserve">using HCIS identifiers. </w:t>
      </w:r>
      <w:r w:rsidR="00EA13B3">
        <w:t xml:space="preserve">HCIS coordinates can be converted into a Placemark file (viewable in Google Earth) </w:t>
      </w:r>
      <w:r w:rsidR="00B7741A">
        <w:t>via</w:t>
      </w:r>
      <w:r w:rsidR="00EA13B3">
        <w:t xml:space="preserve"> the </w:t>
      </w:r>
      <w:hyperlink r:id="rId118" w:history="1">
        <w:r w:rsidR="00EA13B3">
          <w:rPr>
            <w:rStyle w:val="Hyperlink"/>
          </w:rPr>
          <w:t>ACMA website</w:t>
        </w:r>
      </w:hyperlink>
      <w:r w:rsidR="00EA13B3">
        <w:t>.</w:t>
      </w:r>
    </w:p>
    <w:p w14:paraId="78303801" w14:textId="53F9385A" w:rsidR="00FA29A2" w:rsidRPr="00AE13EB" w:rsidRDefault="00FA29A2" w:rsidP="00D7277C">
      <w:pPr>
        <w:pStyle w:val="Tableheading"/>
      </w:pPr>
      <w:r>
        <w:t>Parts of the spectrum proposed for re</w:t>
      </w:r>
      <w:r>
        <w:noBreakHyphen/>
        <w:t>allocation by issuing spectrum licences (</w:t>
      </w:r>
      <w:r w:rsidR="00B7741A">
        <w:t>u</w:t>
      </w:r>
      <w:r>
        <w:t>rban excise)</w:t>
      </w:r>
    </w:p>
    <w:tbl>
      <w:tblPr>
        <w:tblStyle w:val="ACMAtablestyle"/>
        <w:tblW w:w="7792" w:type="dxa"/>
        <w:tblCellMar>
          <w:top w:w="85" w:type="dxa"/>
          <w:left w:w="57" w:type="dxa"/>
          <w:bottom w:w="85" w:type="dxa"/>
          <w:right w:w="57" w:type="dxa"/>
        </w:tblCellMar>
        <w:tblLook w:val="04A0" w:firstRow="1" w:lastRow="0" w:firstColumn="1" w:lastColumn="0" w:noHBand="0" w:noVBand="1"/>
      </w:tblPr>
      <w:tblGrid>
        <w:gridCol w:w="1328"/>
        <w:gridCol w:w="6464"/>
      </w:tblGrid>
      <w:tr w:rsidR="00AD03B6" w14:paraId="5E23406B" w14:textId="77777777" w:rsidTr="00B631B4">
        <w:trPr>
          <w:cnfStyle w:val="100000000000" w:firstRow="1" w:lastRow="0" w:firstColumn="0" w:lastColumn="0" w:oddVBand="0" w:evenVBand="0" w:oddHBand="0" w:evenHBand="0" w:firstRowFirstColumn="0" w:firstRowLastColumn="0" w:lastRowFirstColumn="0" w:lastRowLastColumn="0"/>
        </w:trPr>
        <w:tc>
          <w:tcPr>
            <w:tcW w:w="1328" w:type="dxa"/>
          </w:tcPr>
          <w:p w14:paraId="5DB7FE73" w14:textId="58366193" w:rsidR="00AD03B6" w:rsidRDefault="00334C9E" w:rsidP="00D9063E">
            <w:pPr>
              <w:pStyle w:val="Tableheaderrow"/>
            </w:pPr>
            <w:r>
              <w:t>Geographic area</w:t>
            </w:r>
          </w:p>
        </w:tc>
        <w:tc>
          <w:tcPr>
            <w:tcW w:w="6464" w:type="dxa"/>
          </w:tcPr>
          <w:p w14:paraId="76A97610" w14:textId="0C33787C" w:rsidR="00AD03B6" w:rsidRDefault="009D5583" w:rsidP="00D9063E">
            <w:pPr>
              <w:pStyle w:val="Tableheaderrow"/>
            </w:pPr>
            <w:r>
              <w:t>HCIS identifiers</w:t>
            </w:r>
          </w:p>
        </w:tc>
      </w:tr>
      <w:tr w:rsidR="004D5629" w14:paraId="3DDEEDE1" w14:textId="77777777" w:rsidTr="00B631B4">
        <w:trPr>
          <w:cnfStyle w:val="000000100000" w:firstRow="0" w:lastRow="0" w:firstColumn="0" w:lastColumn="0" w:oddVBand="0" w:evenVBand="0" w:oddHBand="1" w:evenHBand="0" w:firstRowFirstColumn="0" w:firstRowLastColumn="0" w:lastRowFirstColumn="0" w:lastRowLastColumn="0"/>
        </w:trPr>
        <w:tc>
          <w:tcPr>
            <w:tcW w:w="1328" w:type="dxa"/>
            <w:shd w:val="clear" w:color="auto" w:fill="auto"/>
          </w:tcPr>
          <w:p w14:paraId="665207A8" w14:textId="7EF97094" w:rsidR="004D5629" w:rsidRDefault="004D5629" w:rsidP="00D9063E">
            <w:pPr>
              <w:pStyle w:val="TableBody"/>
            </w:pPr>
            <w:r>
              <w:t>Adelaide</w:t>
            </w:r>
          </w:p>
        </w:tc>
        <w:tc>
          <w:tcPr>
            <w:tcW w:w="6464" w:type="dxa"/>
            <w:shd w:val="clear" w:color="auto" w:fill="auto"/>
          </w:tcPr>
          <w:p w14:paraId="73FCA1FA" w14:textId="4260D7C0" w:rsidR="004D5629" w:rsidRDefault="004D5629" w:rsidP="00D9063E">
            <w:pPr>
              <w:pStyle w:val="TableBody"/>
            </w:pPr>
            <w:r>
              <w:t>IW3N, IW3O4, IW3O5, IW3O7, IW3O8, IW6B1, IW6B2, IW6B3, IW6B5, IW6B6</w:t>
            </w:r>
          </w:p>
        </w:tc>
      </w:tr>
      <w:tr w:rsidR="004D5629" w14:paraId="02F368FC" w14:textId="77777777" w:rsidTr="00B631B4">
        <w:trPr>
          <w:cnfStyle w:val="000000010000" w:firstRow="0" w:lastRow="0" w:firstColumn="0" w:lastColumn="0" w:oddVBand="0" w:evenVBand="0" w:oddHBand="0" w:evenHBand="1" w:firstRowFirstColumn="0" w:firstRowLastColumn="0" w:lastRowFirstColumn="0" w:lastRowLastColumn="0"/>
        </w:trPr>
        <w:tc>
          <w:tcPr>
            <w:tcW w:w="1328" w:type="dxa"/>
            <w:shd w:val="clear" w:color="auto" w:fill="F2F2F2" w:themeFill="background1" w:themeFillShade="F2"/>
          </w:tcPr>
          <w:p w14:paraId="2C58A688" w14:textId="1841AF81" w:rsidR="004D5629" w:rsidRDefault="004D5629" w:rsidP="00D9063E">
            <w:pPr>
              <w:pStyle w:val="TableBody"/>
            </w:pPr>
            <w:r>
              <w:t>Brisbane</w:t>
            </w:r>
          </w:p>
        </w:tc>
        <w:tc>
          <w:tcPr>
            <w:tcW w:w="6464" w:type="dxa"/>
            <w:shd w:val="clear" w:color="auto" w:fill="F2F2F2" w:themeFill="background1" w:themeFillShade="F2"/>
          </w:tcPr>
          <w:p w14:paraId="5FF9886B" w14:textId="2AF697AB" w:rsidR="004D5629" w:rsidRDefault="004D5629" w:rsidP="00D9063E">
            <w:pPr>
              <w:pStyle w:val="TableBody"/>
            </w:pPr>
            <w:r>
              <w:t>NT9B, NT9C, NT9D, NT9E, NT9F, NT9G, NT9H, NT9K, NT9L, NT8H3, NT8L2, NT8L3, NT8L5, NT8L6, NT8L8, NT8L9, NT9A6, NT9A7, NT9A8, NT9A9, NT9I1, NT9I2, NT9I3, NT9I4, NT9I5, NT9I6, NT9J1, NT9J2, NT9J3, NT9J4, NT9J5, NT9J6, NT9J9, NT9N5, NT9N6, NT9N8, NT9N9, NT9O4, NT9O7, NU3B2, NU3B3, NU3C1, NU3C4</w:t>
            </w:r>
          </w:p>
        </w:tc>
      </w:tr>
      <w:tr w:rsidR="004D5629" w14:paraId="47BC8A13" w14:textId="77777777" w:rsidTr="00B631B4">
        <w:trPr>
          <w:cnfStyle w:val="000000100000" w:firstRow="0" w:lastRow="0" w:firstColumn="0" w:lastColumn="0" w:oddVBand="0" w:evenVBand="0" w:oddHBand="1" w:evenHBand="0" w:firstRowFirstColumn="0" w:firstRowLastColumn="0" w:lastRowFirstColumn="0" w:lastRowLastColumn="0"/>
        </w:trPr>
        <w:tc>
          <w:tcPr>
            <w:tcW w:w="1328" w:type="dxa"/>
            <w:shd w:val="clear" w:color="auto" w:fill="auto"/>
          </w:tcPr>
          <w:p w14:paraId="4F0F458A" w14:textId="5125509D" w:rsidR="004D5629" w:rsidRDefault="004D5629" w:rsidP="00D9063E">
            <w:pPr>
              <w:pStyle w:val="TableBody"/>
            </w:pPr>
            <w:r>
              <w:t xml:space="preserve">Canberra </w:t>
            </w:r>
          </w:p>
        </w:tc>
        <w:tc>
          <w:tcPr>
            <w:tcW w:w="6464" w:type="dxa"/>
            <w:shd w:val="clear" w:color="auto" w:fill="auto"/>
          </w:tcPr>
          <w:p w14:paraId="17EBAF9B" w14:textId="1F927A8B" w:rsidR="004D5629" w:rsidRDefault="004D5629" w:rsidP="00D9063E">
            <w:pPr>
              <w:pStyle w:val="TableBody"/>
            </w:pPr>
            <w:r>
              <w:t>MW4D, MW4H, MW5A, MW5B, MW5E, MW5F, MW2M5, MW2M6, MW2M7, MW2M8, MW2M9, MW2N4, MW2N5, MW2N7, MW2N8, MW2N9, MW4L1, MW4L2, MW4L3, MW4L5, MW4L6, MW5I1, MW5I2, MW5I3, MW5I4, MW5I5, MW5I6, MW5J1, MW5J2, MW5J4, MW5J5</w:t>
            </w:r>
          </w:p>
        </w:tc>
      </w:tr>
      <w:tr w:rsidR="004D5629" w14:paraId="2C1AA0AC" w14:textId="77777777" w:rsidTr="00B631B4">
        <w:trPr>
          <w:cnfStyle w:val="000000010000" w:firstRow="0" w:lastRow="0" w:firstColumn="0" w:lastColumn="0" w:oddVBand="0" w:evenVBand="0" w:oddHBand="0" w:evenHBand="1" w:firstRowFirstColumn="0" w:firstRowLastColumn="0" w:lastRowFirstColumn="0" w:lastRowLastColumn="0"/>
        </w:trPr>
        <w:tc>
          <w:tcPr>
            <w:tcW w:w="1328" w:type="dxa"/>
            <w:shd w:val="clear" w:color="auto" w:fill="F2F2F2" w:themeFill="background1" w:themeFillShade="F2"/>
          </w:tcPr>
          <w:p w14:paraId="2709E0A8" w14:textId="5173E25D" w:rsidR="004D5629" w:rsidRDefault="004D5629" w:rsidP="00D9063E">
            <w:pPr>
              <w:pStyle w:val="TableBody"/>
            </w:pPr>
            <w:r>
              <w:t>Melbourne</w:t>
            </w:r>
          </w:p>
        </w:tc>
        <w:tc>
          <w:tcPr>
            <w:tcW w:w="6464" w:type="dxa"/>
            <w:shd w:val="clear" w:color="auto" w:fill="F2F2F2" w:themeFill="background1" w:themeFillShade="F2"/>
          </w:tcPr>
          <w:p w14:paraId="40FC5A22" w14:textId="65BFE8A4" w:rsidR="004D5629" w:rsidRDefault="004D5629" w:rsidP="00D9063E">
            <w:pPr>
              <w:pStyle w:val="TableBody"/>
            </w:pPr>
            <w:r>
              <w:t>KX3P, KX3L6, KX3L7, KX3L8, KX3L9, KX6D1, KX6D2, KX6D3, KX6D5, KX6D6, LX1M, LX1I7, LX1N4, LX4A1, LX4A2, LX4A3, LX4A4, LX4A5, LX4B1</w:t>
            </w:r>
          </w:p>
        </w:tc>
      </w:tr>
      <w:tr w:rsidR="004D5629" w14:paraId="0858FF08" w14:textId="77777777" w:rsidTr="00B631B4">
        <w:trPr>
          <w:cnfStyle w:val="000000100000" w:firstRow="0" w:lastRow="0" w:firstColumn="0" w:lastColumn="0" w:oddVBand="0" w:evenVBand="0" w:oddHBand="1" w:evenHBand="0" w:firstRowFirstColumn="0" w:firstRowLastColumn="0" w:lastRowFirstColumn="0" w:lastRowLastColumn="0"/>
        </w:trPr>
        <w:tc>
          <w:tcPr>
            <w:tcW w:w="1328" w:type="dxa"/>
            <w:shd w:val="clear" w:color="auto" w:fill="auto"/>
          </w:tcPr>
          <w:p w14:paraId="1492A38E" w14:textId="0E4CDA23" w:rsidR="004D5629" w:rsidRDefault="004D5629" w:rsidP="00D9063E">
            <w:pPr>
              <w:pStyle w:val="TableBody"/>
            </w:pPr>
            <w:r>
              <w:t>Perth</w:t>
            </w:r>
          </w:p>
        </w:tc>
        <w:tc>
          <w:tcPr>
            <w:tcW w:w="6464" w:type="dxa"/>
            <w:shd w:val="clear" w:color="auto" w:fill="auto"/>
          </w:tcPr>
          <w:p w14:paraId="5899337C" w14:textId="35591C2D" w:rsidR="004D5629" w:rsidRDefault="004D5629" w:rsidP="00D9063E">
            <w:pPr>
              <w:pStyle w:val="TableBody"/>
            </w:pPr>
            <w:r>
              <w:t>BV1M, BV1N, BV1O, BV4A, BV4B, BV4C, BV1L5, BV1L8, BV1P1, BV1P2, BV1P4, BV1P5, BV1P7, BV1P8, BV4D1, BV4D2, BV4E1, BV4E2, BV4E3, BV4F1, BV4F2, BV4F3, BV4G1, BV4G2, BV1P9, BV4D3, BV4D4, BV4G3</w:t>
            </w:r>
          </w:p>
        </w:tc>
      </w:tr>
      <w:tr w:rsidR="004D5629" w14:paraId="7F067B60" w14:textId="77777777" w:rsidTr="00B631B4">
        <w:trPr>
          <w:cnfStyle w:val="000000010000" w:firstRow="0" w:lastRow="0" w:firstColumn="0" w:lastColumn="0" w:oddVBand="0" w:evenVBand="0" w:oddHBand="0" w:evenHBand="1" w:firstRowFirstColumn="0" w:firstRowLastColumn="0" w:lastRowFirstColumn="0" w:lastRowLastColumn="0"/>
        </w:trPr>
        <w:tc>
          <w:tcPr>
            <w:tcW w:w="1328" w:type="dxa"/>
            <w:shd w:val="clear" w:color="auto" w:fill="F2F2F2" w:themeFill="background1" w:themeFillShade="F2"/>
          </w:tcPr>
          <w:p w14:paraId="44AEB2DC" w14:textId="36B81094" w:rsidR="004D5629" w:rsidRDefault="004D5629" w:rsidP="00D9063E">
            <w:pPr>
              <w:pStyle w:val="TableBody"/>
            </w:pPr>
            <w:r>
              <w:t>Sydney</w:t>
            </w:r>
          </w:p>
        </w:tc>
        <w:tc>
          <w:tcPr>
            <w:tcW w:w="6464" w:type="dxa"/>
            <w:shd w:val="clear" w:color="auto" w:fill="F2F2F2" w:themeFill="background1" w:themeFillShade="F2"/>
          </w:tcPr>
          <w:p w14:paraId="7D108D37" w14:textId="4E60DD99" w:rsidR="004D5629" w:rsidRDefault="004D5629" w:rsidP="00D9063E">
            <w:pPr>
              <w:pStyle w:val="TableBody"/>
            </w:pPr>
            <w:r>
              <w:t>NV7G, NV7H, NV7J, NV7K, NV7L, NV7M, NV7N, NV7O, NV7P, NW1A, NW1B, NW1C, NW1D, NW1E, NW1F, NW1G, NW1H, MV9P2, MV9P3, MV9P5, MV9P6, MV9P7, MV9P8, MV9P9, MW3D1, MW3D2, MW3D3, MW3D5, MW3D6, MW3D8, MW3D9, MW3H2, MW3H3, MW3H5, MW3H6, MW3H9, MW3L2, MW3L3, NV4O7, NV4O8, NV4O9, NV4P7, NV7F6, NV7F8, NV7F9, NV7I6, NV7I8, NV7I9, NW1I1, NW1I2, NW1I3, NW1J1, NW1J2, NW1J3, NW1K1, NW1K2, NW1K3, NW1L1, NW1L2, NW1L3</w:t>
            </w:r>
          </w:p>
        </w:tc>
      </w:tr>
    </w:tbl>
    <w:p w14:paraId="5DADF558" w14:textId="77777777" w:rsidR="00EA13B3" w:rsidRPr="00EA13B3" w:rsidRDefault="00EA13B3" w:rsidP="00DF72B8"/>
    <w:p w14:paraId="4C683862" w14:textId="6173A18C" w:rsidR="00D777A9" w:rsidRDefault="00AF4842" w:rsidP="00FA5026">
      <w:pPr>
        <w:pStyle w:val="Heading1"/>
      </w:pPr>
      <w:bookmarkStart w:id="116" w:name="_Toc96941009"/>
      <w:r>
        <w:t>Appendix D</w:t>
      </w:r>
      <w:r w:rsidR="00B7741A">
        <w:t xml:space="preserve"> – </w:t>
      </w:r>
      <w:r w:rsidR="00217086">
        <w:t>Geographic areas</w:t>
      </w:r>
      <w:r w:rsidR="00FA5026">
        <w:t xml:space="preserve"> </w:t>
      </w:r>
      <w:r w:rsidR="00FA5026" w:rsidDel="004A6DBE">
        <w:t>for planning options</w:t>
      </w:r>
      <w:r w:rsidR="00A122E6" w:rsidDel="004A6DBE">
        <w:t xml:space="preserve"> 1 </w:t>
      </w:r>
      <w:r w:rsidR="00597CC4" w:rsidDel="004A6DBE">
        <w:t>and</w:t>
      </w:r>
      <w:r w:rsidR="00597CC4">
        <w:t> </w:t>
      </w:r>
      <w:r w:rsidR="00A122E6" w:rsidDel="004A6DBE">
        <w:t>2</w:t>
      </w:r>
      <w:bookmarkEnd w:id="116"/>
    </w:p>
    <w:p w14:paraId="65AA727A" w14:textId="77777777" w:rsidR="00F52FBB" w:rsidRDefault="004A6DBE" w:rsidP="00AA0F6E">
      <w:pPr>
        <w:pStyle w:val="Paragraph"/>
        <w:spacing w:after="80"/>
      </w:pPr>
      <w:r>
        <w:t>This app</w:t>
      </w:r>
      <w:r w:rsidR="00985984">
        <w:t>endix defin</w:t>
      </w:r>
      <w:r w:rsidR="00BD3364">
        <w:t>e</w:t>
      </w:r>
      <w:r w:rsidR="00985984">
        <w:t xml:space="preserve">s the </w:t>
      </w:r>
      <w:r w:rsidR="00AD33D1">
        <w:t>fo</w:t>
      </w:r>
      <w:r w:rsidR="00F52FBB">
        <w:t xml:space="preserve">llowing </w:t>
      </w:r>
      <w:r w:rsidR="00CD3EF4">
        <w:t>geographical areas</w:t>
      </w:r>
      <w:r w:rsidR="00F52FBB">
        <w:t>:</w:t>
      </w:r>
    </w:p>
    <w:p w14:paraId="32E785DC" w14:textId="613795D3" w:rsidR="00F52FBB" w:rsidRPr="005A1E05" w:rsidRDefault="00F52FBB" w:rsidP="00AA0F6E">
      <w:pPr>
        <w:pStyle w:val="Bulletlevel2"/>
        <w:tabs>
          <w:tab w:val="clear" w:pos="845"/>
          <w:tab w:val="num" w:pos="544"/>
        </w:tabs>
        <w:ind w:left="544"/>
      </w:pPr>
      <w:r w:rsidRPr="005A1E05">
        <w:t>Option</w:t>
      </w:r>
      <w:r w:rsidR="002A5685" w:rsidRPr="005A1E05">
        <w:t xml:space="preserve"> 1: Tab</w:t>
      </w:r>
      <w:r w:rsidR="002A5685" w:rsidRPr="00597CC4">
        <w:t>le 1</w:t>
      </w:r>
      <w:r w:rsidR="00E654F7" w:rsidRPr="005A1E05">
        <w:t>1</w:t>
      </w:r>
      <w:r w:rsidR="002A5685" w:rsidRPr="005A1E05">
        <w:t xml:space="preserve"> shows the frequency ranges in geographic areas proposed for spectrum licensing under Option 1 of the planning options. Option 1 reflects the outcomes of previous consultation.</w:t>
      </w:r>
    </w:p>
    <w:p w14:paraId="7707169F" w14:textId="22BC87B9" w:rsidR="00F52FBB" w:rsidRPr="005A1E05" w:rsidRDefault="002A5685" w:rsidP="00AA0F6E">
      <w:pPr>
        <w:pStyle w:val="Bulletlevel2"/>
        <w:tabs>
          <w:tab w:val="clear" w:pos="845"/>
          <w:tab w:val="num" w:pos="544"/>
        </w:tabs>
        <w:ind w:left="544"/>
      </w:pPr>
      <w:r w:rsidRPr="005A1E05">
        <w:t>Option 2: Tabl</w:t>
      </w:r>
      <w:r w:rsidRPr="00597CC4">
        <w:t>e 1</w:t>
      </w:r>
      <w:r w:rsidR="00E654F7" w:rsidRPr="005A1E05">
        <w:t>2</w:t>
      </w:r>
      <w:r w:rsidRPr="005A1E05">
        <w:t xml:space="preserve"> shows the frequency ranges in geographic areas proposed for spectrum licensing under Option 2 of the planning options.</w:t>
      </w:r>
    </w:p>
    <w:p w14:paraId="768F3A69" w14:textId="401141B9" w:rsidR="007C0858" w:rsidRDefault="007C0858" w:rsidP="007C0858">
      <w:pPr>
        <w:pStyle w:val="Paragraph"/>
        <w:spacing w:before="240"/>
      </w:pPr>
      <w:r w:rsidRPr="005A1E05">
        <w:t xml:space="preserve">HCIS identifiers for these areas can be found at Table </w:t>
      </w:r>
      <w:r w:rsidR="00597CC4">
        <w:t>9</w:t>
      </w:r>
      <w:r w:rsidR="00B7741A" w:rsidRPr="005A1E05">
        <w:t xml:space="preserve"> </w:t>
      </w:r>
      <w:r w:rsidRPr="005A1E05">
        <w:t>in Appendix B. HCIS</w:t>
      </w:r>
      <w:r>
        <w:t xml:space="preserve"> coordinates can be converted into a Placemark file (viewable in Google Earth) </w:t>
      </w:r>
      <w:r w:rsidR="00B7741A">
        <w:t>via</w:t>
      </w:r>
      <w:r>
        <w:t xml:space="preserve"> the </w:t>
      </w:r>
      <w:hyperlink r:id="rId119" w:history="1">
        <w:r>
          <w:rPr>
            <w:rStyle w:val="Hyperlink"/>
          </w:rPr>
          <w:t>ACMA website</w:t>
        </w:r>
      </w:hyperlink>
      <w:r>
        <w:t>.</w:t>
      </w:r>
    </w:p>
    <w:p w14:paraId="042A9A37" w14:textId="3D20EBB0" w:rsidR="007C0858" w:rsidRDefault="00F35E1D" w:rsidP="00E32073">
      <w:pPr>
        <w:pStyle w:val="Paragraph"/>
      </w:pPr>
      <w:r>
        <w:t xml:space="preserve">The geographical areas associated with Option 3 are </w:t>
      </w:r>
      <w:r w:rsidR="00B7741A">
        <w:t>listed in</w:t>
      </w:r>
      <w:r>
        <w:t xml:space="preserve"> Appendix B. </w:t>
      </w:r>
    </w:p>
    <w:p w14:paraId="4B06FB37" w14:textId="721EACCA" w:rsidR="00831856" w:rsidRDefault="00153C1E" w:rsidP="002C1DEF">
      <w:pPr>
        <w:pStyle w:val="Tableheading"/>
      </w:pPr>
      <w:r>
        <w:t>Area</w:t>
      </w:r>
      <w:r w:rsidR="00C663DA">
        <w:t>s</w:t>
      </w:r>
      <w:r>
        <w:t xml:space="preserve"> and frequencies </w:t>
      </w:r>
      <w:r w:rsidR="00831856">
        <w:t>proposed for spectrum licensing under Option</w:t>
      </w:r>
      <w:r w:rsidR="00623812">
        <w:t> </w:t>
      </w:r>
      <w:r w:rsidR="00831856">
        <w:t>1</w:t>
      </w:r>
    </w:p>
    <w:tbl>
      <w:tblPr>
        <w:tblStyle w:val="ACMAtablestyle"/>
        <w:tblW w:w="4900" w:type="pct"/>
        <w:tblCellMar>
          <w:top w:w="85" w:type="dxa"/>
          <w:left w:w="57" w:type="dxa"/>
          <w:bottom w:w="85" w:type="dxa"/>
          <w:right w:w="57" w:type="dxa"/>
        </w:tblCellMar>
        <w:tblLook w:val="04A0" w:firstRow="1" w:lastRow="0" w:firstColumn="1" w:lastColumn="0" w:noHBand="0" w:noVBand="1"/>
      </w:tblPr>
      <w:tblGrid>
        <w:gridCol w:w="2553"/>
        <w:gridCol w:w="4955"/>
      </w:tblGrid>
      <w:tr w:rsidR="00660BAF" w14:paraId="69E54116" w14:textId="77777777" w:rsidTr="00B631B4">
        <w:trPr>
          <w:cnfStyle w:val="100000000000" w:firstRow="1" w:lastRow="0" w:firstColumn="0" w:lastColumn="0" w:oddVBand="0" w:evenVBand="0" w:oddHBand="0" w:evenHBand="0" w:firstRowFirstColumn="0" w:firstRowLastColumn="0" w:lastRowFirstColumn="0" w:lastRowLastColumn="0"/>
        </w:trPr>
        <w:tc>
          <w:tcPr>
            <w:tcW w:w="1700" w:type="pct"/>
          </w:tcPr>
          <w:p w14:paraId="0781FF2B" w14:textId="77777777" w:rsidR="00660BAF" w:rsidRDefault="0099604C" w:rsidP="0031702F">
            <w:pPr>
              <w:pStyle w:val="Tableheaderrow"/>
              <w:rPr>
                <w:lang w:eastAsia="en-US"/>
              </w:rPr>
            </w:pPr>
            <w:r>
              <w:rPr>
                <w:lang w:eastAsia="en-US"/>
              </w:rPr>
              <w:t>Parts of the spectrum</w:t>
            </w:r>
          </w:p>
        </w:tc>
        <w:tc>
          <w:tcPr>
            <w:tcW w:w="3300" w:type="pct"/>
          </w:tcPr>
          <w:p w14:paraId="2126D5D0" w14:textId="77777777" w:rsidR="00660BAF" w:rsidRDefault="0099604C" w:rsidP="0031702F">
            <w:pPr>
              <w:pStyle w:val="Tableheaderrow"/>
              <w:rPr>
                <w:lang w:eastAsia="en-US"/>
              </w:rPr>
            </w:pPr>
            <w:r>
              <w:rPr>
                <w:lang w:eastAsia="en-US"/>
              </w:rPr>
              <w:t>Geographic areas</w:t>
            </w:r>
          </w:p>
        </w:tc>
      </w:tr>
      <w:tr w:rsidR="00C9455A" w14:paraId="7CD1E028" w14:textId="77777777" w:rsidTr="00B631B4">
        <w:trPr>
          <w:cnfStyle w:val="000000100000" w:firstRow="0" w:lastRow="0" w:firstColumn="0" w:lastColumn="0" w:oddVBand="0" w:evenVBand="0" w:oddHBand="1" w:evenHBand="0" w:firstRowFirstColumn="0" w:firstRowLastColumn="0" w:lastRowFirstColumn="0" w:lastRowLastColumn="0"/>
        </w:trPr>
        <w:tc>
          <w:tcPr>
            <w:tcW w:w="1700" w:type="pct"/>
            <w:shd w:val="clear" w:color="auto" w:fill="auto"/>
            <w:hideMark/>
          </w:tcPr>
          <w:p w14:paraId="7A526998" w14:textId="77777777" w:rsidR="00C9455A" w:rsidRDefault="00C9455A" w:rsidP="002E174C">
            <w:pPr>
              <w:pStyle w:val="TableBody"/>
              <w:rPr>
                <w:rFonts w:ascii="Times New Roman" w:hAnsi="Times New Roman"/>
                <w:lang w:eastAsia="en-US"/>
              </w:rPr>
            </w:pPr>
            <w:r>
              <w:rPr>
                <w:lang w:eastAsia="en-US"/>
              </w:rPr>
              <w:t>3400 MHz to 3425 MHz</w:t>
            </w:r>
          </w:p>
        </w:tc>
        <w:tc>
          <w:tcPr>
            <w:tcW w:w="3300" w:type="pct"/>
            <w:shd w:val="clear" w:color="auto" w:fill="auto"/>
            <w:hideMark/>
          </w:tcPr>
          <w:p w14:paraId="46A9D80A" w14:textId="77777777" w:rsidR="00C9455A" w:rsidRDefault="00C9455A" w:rsidP="002E174C">
            <w:pPr>
              <w:pStyle w:val="TableBody"/>
              <w:rPr>
                <w:lang w:eastAsia="en-US"/>
              </w:rPr>
            </w:pPr>
            <w:r>
              <w:rPr>
                <w:lang w:eastAsia="en-US"/>
              </w:rPr>
              <w:t xml:space="preserve">Albury, Cairns, Hobart, Launceston, Quirindi West, Remote Australia, Rockhampton, Townsville </w:t>
            </w:r>
          </w:p>
        </w:tc>
      </w:tr>
      <w:tr w:rsidR="00C9455A" w14:paraId="0B1B0273" w14:textId="77777777" w:rsidTr="00B631B4">
        <w:trPr>
          <w:cnfStyle w:val="000000010000" w:firstRow="0" w:lastRow="0" w:firstColumn="0" w:lastColumn="0" w:oddVBand="0" w:evenVBand="0" w:oddHBand="0" w:evenHBand="1" w:firstRowFirstColumn="0" w:firstRowLastColumn="0" w:lastRowFirstColumn="0" w:lastRowLastColumn="0"/>
        </w:trPr>
        <w:tc>
          <w:tcPr>
            <w:tcW w:w="1700" w:type="pct"/>
            <w:shd w:val="clear" w:color="auto" w:fill="F2F2F2" w:themeFill="background1" w:themeFillShade="F2"/>
            <w:hideMark/>
          </w:tcPr>
          <w:p w14:paraId="1A914749" w14:textId="77777777" w:rsidR="00C9455A" w:rsidRDefault="00C9455A" w:rsidP="002E174C">
            <w:pPr>
              <w:pStyle w:val="TableBody"/>
              <w:rPr>
                <w:lang w:eastAsia="en-US"/>
              </w:rPr>
            </w:pPr>
            <w:r>
              <w:rPr>
                <w:lang w:eastAsia="en-US"/>
              </w:rPr>
              <w:t>3425 MHz to 3442.5 MHz</w:t>
            </w:r>
          </w:p>
        </w:tc>
        <w:tc>
          <w:tcPr>
            <w:tcW w:w="3300" w:type="pct"/>
            <w:shd w:val="clear" w:color="auto" w:fill="F2F2F2" w:themeFill="background1" w:themeFillShade="F2"/>
            <w:hideMark/>
          </w:tcPr>
          <w:p w14:paraId="52686C99" w14:textId="77777777" w:rsidR="00C9455A" w:rsidRDefault="00C9455A" w:rsidP="002E174C">
            <w:pPr>
              <w:pStyle w:val="TableBody"/>
              <w:rPr>
                <w:lang w:eastAsia="en-US"/>
              </w:rPr>
            </w:pPr>
            <w:r>
              <w:rPr>
                <w:lang w:eastAsia="en-US"/>
              </w:rPr>
              <w:t>Quirindi West, Remote Australia</w:t>
            </w:r>
          </w:p>
        </w:tc>
      </w:tr>
      <w:tr w:rsidR="00C9455A" w14:paraId="5F849A12" w14:textId="77777777" w:rsidTr="00B631B4">
        <w:trPr>
          <w:cnfStyle w:val="000000100000" w:firstRow="0" w:lastRow="0" w:firstColumn="0" w:lastColumn="0" w:oddVBand="0" w:evenVBand="0" w:oddHBand="1" w:evenHBand="0" w:firstRowFirstColumn="0" w:firstRowLastColumn="0" w:lastRowFirstColumn="0" w:lastRowLastColumn="0"/>
          <w:trHeight w:val="59"/>
        </w:trPr>
        <w:tc>
          <w:tcPr>
            <w:tcW w:w="1700" w:type="pct"/>
            <w:shd w:val="clear" w:color="auto" w:fill="auto"/>
            <w:hideMark/>
          </w:tcPr>
          <w:p w14:paraId="2639B997" w14:textId="77777777" w:rsidR="00C9455A" w:rsidRDefault="00C9455A" w:rsidP="002E174C">
            <w:pPr>
              <w:pStyle w:val="TableBody"/>
              <w:rPr>
                <w:lang w:eastAsia="en-US"/>
              </w:rPr>
            </w:pPr>
            <w:r>
              <w:rPr>
                <w:lang w:eastAsia="en-US"/>
              </w:rPr>
              <w:t>3542.5 MHz to 3575 MHz</w:t>
            </w:r>
          </w:p>
        </w:tc>
        <w:tc>
          <w:tcPr>
            <w:tcW w:w="3300" w:type="pct"/>
            <w:shd w:val="clear" w:color="auto" w:fill="auto"/>
            <w:hideMark/>
          </w:tcPr>
          <w:p w14:paraId="0F919818" w14:textId="77777777" w:rsidR="00C9455A" w:rsidRDefault="00C9455A" w:rsidP="002E174C">
            <w:pPr>
              <w:pStyle w:val="TableBody"/>
              <w:rPr>
                <w:lang w:eastAsia="en-US"/>
              </w:rPr>
            </w:pPr>
            <w:r>
              <w:rPr>
                <w:lang w:eastAsia="en-US"/>
              </w:rPr>
              <w:t>Regional WA central</w:t>
            </w:r>
          </w:p>
        </w:tc>
      </w:tr>
      <w:tr w:rsidR="00C9455A" w14:paraId="4B4C5BDC" w14:textId="77777777" w:rsidTr="00B631B4">
        <w:trPr>
          <w:cnfStyle w:val="000000010000" w:firstRow="0" w:lastRow="0" w:firstColumn="0" w:lastColumn="0" w:oddVBand="0" w:evenVBand="0" w:oddHBand="0" w:evenHBand="1" w:firstRowFirstColumn="0" w:firstRowLastColumn="0" w:lastRowFirstColumn="0" w:lastRowLastColumn="0"/>
          <w:trHeight w:val="59"/>
        </w:trPr>
        <w:tc>
          <w:tcPr>
            <w:tcW w:w="1700" w:type="pct"/>
            <w:shd w:val="clear" w:color="auto" w:fill="F2F2F2" w:themeFill="background1" w:themeFillShade="F2"/>
            <w:hideMark/>
          </w:tcPr>
          <w:p w14:paraId="7D179E12" w14:textId="77777777" w:rsidR="00C9455A" w:rsidRDefault="00C9455A" w:rsidP="002E174C">
            <w:pPr>
              <w:pStyle w:val="TableBody"/>
              <w:rPr>
                <w:lang w:eastAsia="en-US"/>
              </w:rPr>
            </w:pPr>
            <w:r>
              <w:rPr>
                <w:lang w:eastAsia="en-US"/>
              </w:rPr>
              <w:t>3700 MHz to 3800 MHz</w:t>
            </w:r>
          </w:p>
        </w:tc>
        <w:tc>
          <w:tcPr>
            <w:tcW w:w="3300" w:type="pct"/>
            <w:shd w:val="clear" w:color="auto" w:fill="F2F2F2" w:themeFill="background1" w:themeFillShade="F2"/>
            <w:hideMark/>
          </w:tcPr>
          <w:p w14:paraId="0E180A35" w14:textId="77777777" w:rsidR="00C9455A" w:rsidRDefault="00C9455A" w:rsidP="002E174C">
            <w:pPr>
              <w:pStyle w:val="TableBody"/>
              <w:rPr>
                <w:lang w:eastAsia="en-US"/>
              </w:rPr>
            </w:pPr>
            <w:r>
              <w:rPr>
                <w:lang w:eastAsia="en-US"/>
              </w:rPr>
              <w:t>Adelaide, Albury, Ballarat and Bendigo, Brisbane, Canberra, Cairns, Hobart, Launceston, Melbourne, Perth, Regional NSW north, Regional NSW south, Regional Qld, Regional SA, Regional Vic, Regional WA central, Regional WA south, Remote Australia, Rockhampton, Sydney, Toowoomba, Townsville</w:t>
            </w:r>
          </w:p>
        </w:tc>
      </w:tr>
    </w:tbl>
    <w:p w14:paraId="033BCE1B" w14:textId="77777777" w:rsidR="00B7741A" w:rsidRDefault="00B7741A" w:rsidP="002C1DEF">
      <w:pPr>
        <w:pStyle w:val="Tableheading"/>
        <w:numPr>
          <w:ilvl w:val="0"/>
          <w:numId w:val="0"/>
        </w:numPr>
        <w:ind w:left="1134" w:hanging="1134"/>
      </w:pPr>
    </w:p>
    <w:p w14:paraId="1F7903AA" w14:textId="0C6113A8" w:rsidR="008220C9" w:rsidRDefault="00623812" w:rsidP="002C1DEF">
      <w:pPr>
        <w:pStyle w:val="Tableheading"/>
      </w:pPr>
      <w:r>
        <w:t>Area</w:t>
      </w:r>
      <w:r w:rsidR="00C663DA">
        <w:t>s</w:t>
      </w:r>
      <w:r>
        <w:t xml:space="preserve"> and frequencies </w:t>
      </w:r>
      <w:r w:rsidR="008220C9">
        <w:t>proposed for spectrum licensing under Option</w:t>
      </w:r>
      <w:r>
        <w:t> </w:t>
      </w:r>
      <w:r w:rsidR="008220C9">
        <w:t>2</w:t>
      </w:r>
    </w:p>
    <w:tbl>
      <w:tblPr>
        <w:tblStyle w:val="ACMAtablestyle"/>
        <w:tblW w:w="4900" w:type="pct"/>
        <w:tblCellMar>
          <w:top w:w="85" w:type="dxa"/>
          <w:left w:w="57" w:type="dxa"/>
          <w:bottom w:w="85" w:type="dxa"/>
          <w:right w:w="57" w:type="dxa"/>
        </w:tblCellMar>
        <w:tblLook w:val="04A0" w:firstRow="1" w:lastRow="0" w:firstColumn="1" w:lastColumn="0" w:noHBand="0" w:noVBand="1"/>
      </w:tblPr>
      <w:tblGrid>
        <w:gridCol w:w="2553"/>
        <w:gridCol w:w="4955"/>
      </w:tblGrid>
      <w:tr w:rsidR="008220C9" w14:paraId="6E7C45F0" w14:textId="77777777" w:rsidTr="00B631B4">
        <w:trPr>
          <w:cnfStyle w:val="100000000000" w:firstRow="1" w:lastRow="0" w:firstColumn="0" w:lastColumn="0" w:oddVBand="0" w:evenVBand="0" w:oddHBand="0" w:evenHBand="0" w:firstRowFirstColumn="0" w:firstRowLastColumn="0" w:lastRowFirstColumn="0" w:lastRowLastColumn="0"/>
        </w:trPr>
        <w:tc>
          <w:tcPr>
            <w:tcW w:w="1541" w:type="pct"/>
          </w:tcPr>
          <w:p w14:paraId="4E552C54" w14:textId="77777777" w:rsidR="008220C9" w:rsidRDefault="008220C9" w:rsidP="0031702F">
            <w:pPr>
              <w:pStyle w:val="Tableheaderrow"/>
              <w:rPr>
                <w:lang w:eastAsia="en-US"/>
              </w:rPr>
            </w:pPr>
            <w:r>
              <w:rPr>
                <w:lang w:eastAsia="en-US"/>
              </w:rPr>
              <w:t>Parts of the spectrum</w:t>
            </w:r>
          </w:p>
        </w:tc>
        <w:tc>
          <w:tcPr>
            <w:tcW w:w="2992" w:type="pct"/>
          </w:tcPr>
          <w:p w14:paraId="34926011" w14:textId="77777777" w:rsidR="008220C9" w:rsidRDefault="008220C9" w:rsidP="0031702F">
            <w:pPr>
              <w:pStyle w:val="Tableheaderrow"/>
              <w:rPr>
                <w:lang w:eastAsia="en-US"/>
              </w:rPr>
            </w:pPr>
            <w:r>
              <w:rPr>
                <w:lang w:eastAsia="en-US"/>
              </w:rPr>
              <w:t>Geographic areas</w:t>
            </w:r>
          </w:p>
        </w:tc>
      </w:tr>
      <w:tr w:rsidR="008220C9" w14:paraId="77504958" w14:textId="77777777" w:rsidTr="00B631B4">
        <w:trPr>
          <w:cnfStyle w:val="000000100000" w:firstRow="0" w:lastRow="0" w:firstColumn="0" w:lastColumn="0" w:oddVBand="0" w:evenVBand="0" w:oddHBand="1" w:evenHBand="0" w:firstRowFirstColumn="0" w:firstRowLastColumn="0" w:lastRowFirstColumn="0" w:lastRowLastColumn="0"/>
        </w:trPr>
        <w:tc>
          <w:tcPr>
            <w:tcW w:w="1541" w:type="pct"/>
            <w:shd w:val="clear" w:color="auto" w:fill="auto"/>
            <w:hideMark/>
          </w:tcPr>
          <w:p w14:paraId="3093F941" w14:textId="77777777" w:rsidR="008220C9" w:rsidRDefault="008220C9" w:rsidP="0031702F">
            <w:pPr>
              <w:pStyle w:val="TableBody"/>
              <w:rPr>
                <w:rFonts w:ascii="Times New Roman" w:hAnsi="Times New Roman"/>
                <w:lang w:eastAsia="en-US"/>
              </w:rPr>
            </w:pPr>
            <w:r>
              <w:rPr>
                <w:lang w:eastAsia="en-US"/>
              </w:rPr>
              <w:t>3400 MHz to 3425 MHz</w:t>
            </w:r>
          </w:p>
        </w:tc>
        <w:tc>
          <w:tcPr>
            <w:tcW w:w="2992" w:type="pct"/>
            <w:shd w:val="clear" w:color="auto" w:fill="auto"/>
            <w:hideMark/>
          </w:tcPr>
          <w:p w14:paraId="37CE1033" w14:textId="77777777" w:rsidR="008220C9" w:rsidRDefault="008220C9" w:rsidP="0031702F">
            <w:pPr>
              <w:pStyle w:val="TableBody"/>
              <w:rPr>
                <w:lang w:eastAsia="en-US"/>
              </w:rPr>
            </w:pPr>
            <w:r>
              <w:rPr>
                <w:lang w:eastAsia="en-US"/>
              </w:rPr>
              <w:t xml:space="preserve">Albury, Cairns, Hobart, Launceston, Quirindi West, Remote Australia, Rockhampton, Townsville </w:t>
            </w:r>
          </w:p>
        </w:tc>
      </w:tr>
      <w:tr w:rsidR="008220C9" w14:paraId="0A7C15BA" w14:textId="77777777" w:rsidTr="00B631B4">
        <w:trPr>
          <w:cnfStyle w:val="000000010000" w:firstRow="0" w:lastRow="0" w:firstColumn="0" w:lastColumn="0" w:oddVBand="0" w:evenVBand="0" w:oddHBand="0" w:evenHBand="1" w:firstRowFirstColumn="0" w:firstRowLastColumn="0" w:lastRowFirstColumn="0" w:lastRowLastColumn="0"/>
        </w:trPr>
        <w:tc>
          <w:tcPr>
            <w:tcW w:w="1541" w:type="pct"/>
            <w:shd w:val="clear" w:color="auto" w:fill="F2F2F2" w:themeFill="background1" w:themeFillShade="F2"/>
            <w:hideMark/>
          </w:tcPr>
          <w:p w14:paraId="5E1AA67C" w14:textId="77777777" w:rsidR="008220C9" w:rsidRDefault="008220C9" w:rsidP="0031702F">
            <w:pPr>
              <w:pStyle w:val="TableBody"/>
              <w:rPr>
                <w:lang w:eastAsia="en-US"/>
              </w:rPr>
            </w:pPr>
            <w:r>
              <w:rPr>
                <w:lang w:eastAsia="en-US"/>
              </w:rPr>
              <w:t>3425 MHz to 3442.5 MHz</w:t>
            </w:r>
          </w:p>
        </w:tc>
        <w:tc>
          <w:tcPr>
            <w:tcW w:w="2992" w:type="pct"/>
            <w:shd w:val="clear" w:color="auto" w:fill="F2F2F2" w:themeFill="background1" w:themeFillShade="F2"/>
            <w:hideMark/>
          </w:tcPr>
          <w:p w14:paraId="3F71C414" w14:textId="77777777" w:rsidR="008220C9" w:rsidRDefault="008220C9" w:rsidP="0031702F">
            <w:pPr>
              <w:pStyle w:val="TableBody"/>
              <w:rPr>
                <w:lang w:eastAsia="en-US"/>
              </w:rPr>
            </w:pPr>
            <w:r>
              <w:rPr>
                <w:lang w:eastAsia="en-US"/>
              </w:rPr>
              <w:t>Quirindi West, Remote Australia</w:t>
            </w:r>
          </w:p>
        </w:tc>
      </w:tr>
      <w:tr w:rsidR="008220C9" w14:paraId="015F9C73" w14:textId="77777777" w:rsidTr="00B631B4">
        <w:trPr>
          <w:cnfStyle w:val="000000100000" w:firstRow="0" w:lastRow="0" w:firstColumn="0" w:lastColumn="0" w:oddVBand="0" w:evenVBand="0" w:oddHBand="1" w:evenHBand="0" w:firstRowFirstColumn="0" w:firstRowLastColumn="0" w:lastRowFirstColumn="0" w:lastRowLastColumn="0"/>
        </w:trPr>
        <w:tc>
          <w:tcPr>
            <w:tcW w:w="1541" w:type="pct"/>
            <w:shd w:val="clear" w:color="auto" w:fill="auto"/>
            <w:hideMark/>
          </w:tcPr>
          <w:p w14:paraId="555A279B" w14:textId="77777777" w:rsidR="008220C9" w:rsidRDefault="008220C9" w:rsidP="0031702F">
            <w:pPr>
              <w:pStyle w:val="TableBody"/>
              <w:rPr>
                <w:lang w:eastAsia="en-US"/>
              </w:rPr>
            </w:pPr>
            <w:r>
              <w:rPr>
                <w:lang w:eastAsia="en-US"/>
              </w:rPr>
              <w:t xml:space="preserve">3492.5 MHz to 3495 MHz </w:t>
            </w:r>
          </w:p>
        </w:tc>
        <w:tc>
          <w:tcPr>
            <w:tcW w:w="2992" w:type="pct"/>
            <w:shd w:val="clear" w:color="auto" w:fill="auto"/>
            <w:hideMark/>
          </w:tcPr>
          <w:p w14:paraId="7EAE577F" w14:textId="39421DFD" w:rsidR="008220C9" w:rsidRDefault="004A01B9" w:rsidP="0031702F">
            <w:pPr>
              <w:pStyle w:val="TableBody"/>
              <w:rPr>
                <w:lang w:eastAsia="en-US"/>
              </w:rPr>
            </w:pPr>
            <w:r>
              <w:t>Albury, Cairns, Hobart, Launceston, Rockhampton, Townsville</w:t>
            </w:r>
          </w:p>
        </w:tc>
      </w:tr>
      <w:tr w:rsidR="008220C9" w14:paraId="08360701" w14:textId="77777777" w:rsidTr="00B631B4">
        <w:trPr>
          <w:cnfStyle w:val="000000010000" w:firstRow="0" w:lastRow="0" w:firstColumn="0" w:lastColumn="0" w:oddVBand="0" w:evenVBand="0" w:oddHBand="0" w:evenHBand="1" w:firstRowFirstColumn="0" w:firstRowLastColumn="0" w:lastRowFirstColumn="0" w:lastRowLastColumn="0"/>
        </w:trPr>
        <w:tc>
          <w:tcPr>
            <w:tcW w:w="1541" w:type="pct"/>
            <w:shd w:val="clear" w:color="auto" w:fill="F2F2F2" w:themeFill="background1" w:themeFillShade="F2"/>
            <w:hideMark/>
          </w:tcPr>
          <w:p w14:paraId="4C019E40" w14:textId="77777777" w:rsidR="008220C9" w:rsidRDefault="008220C9" w:rsidP="0031702F">
            <w:pPr>
              <w:pStyle w:val="TableBody"/>
              <w:rPr>
                <w:lang w:eastAsia="en-US"/>
              </w:rPr>
            </w:pPr>
            <w:r>
              <w:rPr>
                <w:lang w:eastAsia="en-US"/>
              </w:rPr>
              <w:t>3540 MHz to 3542.5 MHz</w:t>
            </w:r>
          </w:p>
        </w:tc>
        <w:tc>
          <w:tcPr>
            <w:tcW w:w="2992" w:type="pct"/>
            <w:shd w:val="clear" w:color="auto" w:fill="F2F2F2" w:themeFill="background1" w:themeFillShade="F2"/>
            <w:hideMark/>
          </w:tcPr>
          <w:p w14:paraId="7520D91C" w14:textId="3D161613" w:rsidR="008220C9" w:rsidRDefault="008220C9" w:rsidP="0031702F">
            <w:pPr>
              <w:pStyle w:val="TableBody"/>
              <w:rPr>
                <w:lang w:eastAsia="en-US"/>
              </w:rPr>
            </w:pPr>
            <w:r>
              <w:rPr>
                <w:lang w:eastAsia="en-US"/>
              </w:rPr>
              <w:t xml:space="preserve">Albury, Cairns, Hobart, Launceston, Quirindi West, </w:t>
            </w:r>
            <w:r w:rsidR="00BE5243">
              <w:t xml:space="preserve">Regional WA central, </w:t>
            </w:r>
            <w:r>
              <w:rPr>
                <w:lang w:eastAsia="en-US"/>
              </w:rPr>
              <w:t>Remote Australia, Rockhampton, Townsville</w:t>
            </w:r>
          </w:p>
        </w:tc>
      </w:tr>
      <w:tr w:rsidR="008220C9" w14:paraId="152DA33F" w14:textId="77777777" w:rsidTr="00B631B4">
        <w:trPr>
          <w:cnfStyle w:val="000000100000" w:firstRow="0" w:lastRow="0" w:firstColumn="0" w:lastColumn="0" w:oddVBand="0" w:evenVBand="0" w:oddHBand="1" w:evenHBand="0" w:firstRowFirstColumn="0" w:firstRowLastColumn="0" w:lastRowFirstColumn="0" w:lastRowLastColumn="0"/>
          <w:trHeight w:val="59"/>
        </w:trPr>
        <w:tc>
          <w:tcPr>
            <w:tcW w:w="1541" w:type="pct"/>
            <w:shd w:val="clear" w:color="auto" w:fill="auto"/>
            <w:hideMark/>
          </w:tcPr>
          <w:p w14:paraId="1BB76059" w14:textId="77777777" w:rsidR="008220C9" w:rsidRDefault="008220C9" w:rsidP="0031702F">
            <w:pPr>
              <w:pStyle w:val="TableBody"/>
              <w:rPr>
                <w:lang w:eastAsia="en-US"/>
              </w:rPr>
            </w:pPr>
            <w:r>
              <w:rPr>
                <w:lang w:eastAsia="en-US"/>
              </w:rPr>
              <w:t>3542.5 MHz to 3575 MHz</w:t>
            </w:r>
          </w:p>
        </w:tc>
        <w:tc>
          <w:tcPr>
            <w:tcW w:w="2992" w:type="pct"/>
            <w:shd w:val="clear" w:color="auto" w:fill="auto"/>
            <w:hideMark/>
          </w:tcPr>
          <w:p w14:paraId="64F7E589" w14:textId="77777777" w:rsidR="008220C9" w:rsidRDefault="008220C9" w:rsidP="0031702F">
            <w:pPr>
              <w:pStyle w:val="TableBody"/>
              <w:rPr>
                <w:lang w:eastAsia="en-US"/>
              </w:rPr>
            </w:pPr>
            <w:r>
              <w:rPr>
                <w:lang w:eastAsia="en-US"/>
              </w:rPr>
              <w:t>Regional WA central</w:t>
            </w:r>
          </w:p>
        </w:tc>
      </w:tr>
      <w:tr w:rsidR="008220C9" w14:paraId="5D5C85A9" w14:textId="77777777" w:rsidTr="00B631B4">
        <w:trPr>
          <w:cnfStyle w:val="000000010000" w:firstRow="0" w:lastRow="0" w:firstColumn="0" w:lastColumn="0" w:oddVBand="0" w:evenVBand="0" w:oddHBand="0" w:evenHBand="1" w:firstRowFirstColumn="0" w:firstRowLastColumn="0" w:lastRowFirstColumn="0" w:lastRowLastColumn="0"/>
          <w:trHeight w:val="59"/>
        </w:trPr>
        <w:tc>
          <w:tcPr>
            <w:tcW w:w="1541" w:type="pct"/>
            <w:shd w:val="clear" w:color="auto" w:fill="F2F2F2" w:themeFill="background1" w:themeFillShade="F2"/>
            <w:hideMark/>
          </w:tcPr>
          <w:p w14:paraId="12DC5FA3" w14:textId="77777777" w:rsidR="008220C9" w:rsidRDefault="008220C9" w:rsidP="0031702F">
            <w:pPr>
              <w:pStyle w:val="TableBody"/>
              <w:rPr>
                <w:lang w:eastAsia="en-US"/>
              </w:rPr>
            </w:pPr>
            <w:r>
              <w:rPr>
                <w:lang w:eastAsia="en-US"/>
              </w:rPr>
              <w:t>3700 MHz to 3800 MHz</w:t>
            </w:r>
          </w:p>
        </w:tc>
        <w:tc>
          <w:tcPr>
            <w:tcW w:w="2992" w:type="pct"/>
            <w:shd w:val="clear" w:color="auto" w:fill="F2F2F2" w:themeFill="background1" w:themeFillShade="F2"/>
            <w:hideMark/>
          </w:tcPr>
          <w:p w14:paraId="2B4DA916" w14:textId="77777777" w:rsidR="008220C9" w:rsidRDefault="008220C9" w:rsidP="0031702F">
            <w:pPr>
              <w:pStyle w:val="TableBody"/>
              <w:rPr>
                <w:lang w:eastAsia="en-US"/>
              </w:rPr>
            </w:pPr>
            <w:r>
              <w:rPr>
                <w:lang w:eastAsia="en-US"/>
              </w:rPr>
              <w:t>Adelaide, Albury, Ballarat and Bendigo, Brisbane, Canberra, Cairns, Hobart, Launceston, Melbourne, Perth, Regional NSW north, Regional NSW south, Regional Qld, Regional SA, Regional Vic, Regional WA central, Regional WA south, Remote Australia, Rockhampton, Sydney, Toowoomba, Townsville</w:t>
            </w:r>
          </w:p>
        </w:tc>
      </w:tr>
    </w:tbl>
    <w:p w14:paraId="4F5E25F6" w14:textId="48CA957E" w:rsidR="00597CC4" w:rsidRDefault="00597CC4" w:rsidP="00B631B4">
      <w:pPr>
        <w:pStyle w:val="Paragraph"/>
      </w:pPr>
    </w:p>
    <w:p w14:paraId="63922DF3" w14:textId="4EFA6FDD" w:rsidR="00445F28" w:rsidRDefault="00A66F12" w:rsidP="00B631B4">
      <w:pPr>
        <w:pStyle w:val="Tableheading"/>
      </w:pPr>
      <w:r>
        <w:t xml:space="preserve">Definition of </w:t>
      </w:r>
      <w:r w:rsidR="00445F28">
        <w:t xml:space="preserve">areas used in </w:t>
      </w:r>
      <w:r w:rsidR="00B7741A">
        <w:t>o</w:t>
      </w:r>
      <w:r w:rsidR="00C56C77">
        <w:t>ptions 1 and 2</w:t>
      </w:r>
    </w:p>
    <w:tbl>
      <w:tblPr>
        <w:tblStyle w:val="ACMAtablestyle"/>
        <w:tblW w:w="4900" w:type="pct"/>
        <w:tblCellMar>
          <w:top w:w="85" w:type="dxa"/>
          <w:left w:w="57" w:type="dxa"/>
          <w:bottom w:w="85" w:type="dxa"/>
          <w:right w:w="57" w:type="dxa"/>
        </w:tblCellMar>
        <w:tblLook w:val="04A0" w:firstRow="1" w:lastRow="0" w:firstColumn="1" w:lastColumn="0" w:noHBand="0" w:noVBand="1"/>
      </w:tblPr>
      <w:tblGrid>
        <w:gridCol w:w="2553"/>
        <w:gridCol w:w="4955"/>
      </w:tblGrid>
      <w:tr w:rsidR="00445F28" w14:paraId="2F06F00E" w14:textId="77777777" w:rsidTr="00B631B4">
        <w:trPr>
          <w:cnfStyle w:val="100000000000" w:firstRow="1" w:lastRow="0" w:firstColumn="0" w:lastColumn="0" w:oddVBand="0" w:evenVBand="0" w:oddHBand="0" w:evenHBand="0" w:firstRowFirstColumn="0" w:firstRowLastColumn="0" w:lastRowFirstColumn="0" w:lastRowLastColumn="0"/>
        </w:trPr>
        <w:tc>
          <w:tcPr>
            <w:tcW w:w="1700" w:type="pct"/>
          </w:tcPr>
          <w:p w14:paraId="79F9A654" w14:textId="1E69691E" w:rsidR="00445F28" w:rsidRDefault="009C6A22" w:rsidP="00F53D3D">
            <w:pPr>
              <w:pStyle w:val="Tableheaderrow"/>
              <w:rPr>
                <w:lang w:eastAsia="en-US"/>
              </w:rPr>
            </w:pPr>
            <w:r>
              <w:rPr>
                <w:lang w:eastAsia="en-US"/>
              </w:rPr>
              <w:t>Area name</w:t>
            </w:r>
          </w:p>
        </w:tc>
        <w:tc>
          <w:tcPr>
            <w:tcW w:w="3300" w:type="pct"/>
          </w:tcPr>
          <w:p w14:paraId="796EE9A9" w14:textId="77777777" w:rsidR="00445F28" w:rsidRDefault="00445F28" w:rsidP="00F53D3D">
            <w:pPr>
              <w:pStyle w:val="Tableheaderrow"/>
              <w:rPr>
                <w:lang w:eastAsia="en-US"/>
              </w:rPr>
            </w:pPr>
            <w:r>
              <w:rPr>
                <w:lang w:eastAsia="en-US"/>
              </w:rPr>
              <w:t>Geographic areas</w:t>
            </w:r>
          </w:p>
        </w:tc>
      </w:tr>
      <w:tr w:rsidR="00EC6BBD" w14:paraId="3BED515D" w14:textId="77777777" w:rsidTr="00B631B4">
        <w:trPr>
          <w:cnfStyle w:val="000000100000" w:firstRow="0" w:lastRow="0" w:firstColumn="0" w:lastColumn="0" w:oddVBand="0" w:evenVBand="0" w:oddHBand="1" w:evenHBand="0" w:firstRowFirstColumn="0" w:firstRowLastColumn="0" w:lastRowFirstColumn="0" w:lastRowLastColumn="0"/>
        </w:trPr>
        <w:tc>
          <w:tcPr>
            <w:tcW w:w="1700" w:type="pct"/>
            <w:shd w:val="clear" w:color="auto" w:fill="auto"/>
          </w:tcPr>
          <w:p w14:paraId="38342613" w14:textId="5A5FAA82" w:rsidR="00EC6BBD" w:rsidRDefault="00EC6BBD" w:rsidP="00EC6BBD">
            <w:pPr>
              <w:pStyle w:val="TableBody"/>
              <w:rPr>
                <w:rFonts w:ascii="Times New Roman" w:hAnsi="Times New Roman"/>
                <w:lang w:eastAsia="en-US"/>
              </w:rPr>
            </w:pPr>
            <w:r>
              <w:t>Regional WA central</w:t>
            </w:r>
          </w:p>
        </w:tc>
        <w:tc>
          <w:tcPr>
            <w:tcW w:w="3300" w:type="pct"/>
            <w:shd w:val="clear" w:color="auto" w:fill="auto"/>
          </w:tcPr>
          <w:p w14:paraId="43A56A57" w14:textId="231D1964" w:rsidR="00EC6BBD" w:rsidRDefault="00EC6BBD" w:rsidP="00EC6BBD">
            <w:pPr>
              <w:pStyle w:val="TableBody"/>
              <w:rPr>
                <w:lang w:eastAsia="en-US"/>
              </w:rPr>
            </w:pPr>
            <w:r>
              <w:t>Regional WA central</w:t>
            </w:r>
          </w:p>
        </w:tc>
      </w:tr>
      <w:tr w:rsidR="00EC6BBD" w14:paraId="7A23507B" w14:textId="77777777" w:rsidTr="00B631B4">
        <w:trPr>
          <w:cnfStyle w:val="000000010000" w:firstRow="0" w:lastRow="0" w:firstColumn="0" w:lastColumn="0" w:oddVBand="0" w:evenVBand="0" w:oddHBand="0" w:evenHBand="1" w:firstRowFirstColumn="0" w:firstRowLastColumn="0" w:lastRowFirstColumn="0" w:lastRowLastColumn="0"/>
        </w:trPr>
        <w:tc>
          <w:tcPr>
            <w:tcW w:w="1700" w:type="pct"/>
            <w:shd w:val="clear" w:color="auto" w:fill="F2F2F2" w:themeFill="background1" w:themeFillShade="F2"/>
          </w:tcPr>
          <w:p w14:paraId="1A573ABF" w14:textId="2E63D4D7" w:rsidR="00EC6BBD" w:rsidRDefault="00EC6BBD" w:rsidP="00EC6BBD">
            <w:pPr>
              <w:pStyle w:val="TableBody"/>
              <w:rPr>
                <w:lang w:eastAsia="en-US"/>
              </w:rPr>
            </w:pPr>
            <w:r>
              <w:t>Major regional centres 1</w:t>
            </w:r>
          </w:p>
        </w:tc>
        <w:tc>
          <w:tcPr>
            <w:tcW w:w="3300" w:type="pct"/>
            <w:shd w:val="clear" w:color="auto" w:fill="F2F2F2" w:themeFill="background1" w:themeFillShade="F2"/>
          </w:tcPr>
          <w:p w14:paraId="1F7582B0" w14:textId="46E908D5" w:rsidR="00EC6BBD" w:rsidRDefault="00EC6BBD" w:rsidP="00EC6BBD">
            <w:pPr>
              <w:pStyle w:val="TableBody"/>
              <w:rPr>
                <w:lang w:eastAsia="en-US"/>
              </w:rPr>
            </w:pPr>
            <w:r>
              <w:t xml:space="preserve">Ballarat and Bendigo, </w:t>
            </w:r>
            <w:r w:rsidRPr="008335A5">
              <w:t>Toowoomba</w:t>
            </w:r>
          </w:p>
        </w:tc>
      </w:tr>
      <w:tr w:rsidR="00EC6BBD" w14:paraId="1AF246DB" w14:textId="77777777" w:rsidTr="00B631B4">
        <w:trPr>
          <w:cnfStyle w:val="000000100000" w:firstRow="0" w:lastRow="0" w:firstColumn="0" w:lastColumn="0" w:oddVBand="0" w:evenVBand="0" w:oddHBand="1" w:evenHBand="0" w:firstRowFirstColumn="0" w:firstRowLastColumn="0" w:lastRowFirstColumn="0" w:lastRowLastColumn="0"/>
        </w:trPr>
        <w:tc>
          <w:tcPr>
            <w:tcW w:w="1700" w:type="pct"/>
            <w:shd w:val="clear" w:color="auto" w:fill="auto"/>
          </w:tcPr>
          <w:p w14:paraId="37D387E1" w14:textId="7504AD37" w:rsidR="00EC6BBD" w:rsidRDefault="00EC6BBD" w:rsidP="00EC6BBD">
            <w:pPr>
              <w:pStyle w:val="TableBody"/>
              <w:rPr>
                <w:lang w:eastAsia="en-US"/>
              </w:rPr>
            </w:pPr>
            <w:r>
              <w:t>Major regional centres 2</w:t>
            </w:r>
          </w:p>
        </w:tc>
        <w:tc>
          <w:tcPr>
            <w:tcW w:w="3300" w:type="pct"/>
            <w:shd w:val="clear" w:color="auto" w:fill="auto"/>
          </w:tcPr>
          <w:p w14:paraId="49108CB1" w14:textId="4F760F04" w:rsidR="00EC6BBD" w:rsidRDefault="00EC6BBD" w:rsidP="00EC6BBD">
            <w:pPr>
              <w:pStyle w:val="TableBody"/>
              <w:rPr>
                <w:lang w:eastAsia="en-US"/>
              </w:rPr>
            </w:pPr>
            <w:r>
              <w:t>Albury, Cairns, Hobart, Launceston, Rockhampton, Townsville</w:t>
            </w:r>
          </w:p>
        </w:tc>
      </w:tr>
      <w:tr w:rsidR="00EC6BBD" w14:paraId="3531554D" w14:textId="77777777" w:rsidTr="00B631B4">
        <w:trPr>
          <w:cnfStyle w:val="000000010000" w:firstRow="0" w:lastRow="0" w:firstColumn="0" w:lastColumn="0" w:oddVBand="0" w:evenVBand="0" w:oddHBand="0" w:evenHBand="1" w:firstRowFirstColumn="0" w:firstRowLastColumn="0" w:lastRowFirstColumn="0" w:lastRowLastColumn="0"/>
        </w:trPr>
        <w:tc>
          <w:tcPr>
            <w:tcW w:w="1700" w:type="pct"/>
            <w:shd w:val="clear" w:color="auto" w:fill="F2F2F2" w:themeFill="background1" w:themeFillShade="F2"/>
          </w:tcPr>
          <w:p w14:paraId="5B951041" w14:textId="4C77C9D8" w:rsidR="00EC6BBD" w:rsidRDefault="00EC6BBD" w:rsidP="00EC6BBD">
            <w:pPr>
              <w:pStyle w:val="TableBody"/>
              <w:rPr>
                <w:lang w:eastAsia="en-US"/>
              </w:rPr>
            </w:pPr>
            <w:r>
              <w:t xml:space="preserve">Regional </w:t>
            </w:r>
            <w:r w:rsidR="009C6A22">
              <w:t xml:space="preserve">area </w:t>
            </w:r>
            <w:r>
              <w:t>1</w:t>
            </w:r>
          </w:p>
        </w:tc>
        <w:tc>
          <w:tcPr>
            <w:tcW w:w="3300" w:type="pct"/>
            <w:shd w:val="clear" w:color="auto" w:fill="F2F2F2" w:themeFill="background1" w:themeFillShade="F2"/>
          </w:tcPr>
          <w:p w14:paraId="009D7F82" w14:textId="2BC61D70" w:rsidR="00EC6BBD" w:rsidRDefault="00EC6BBD" w:rsidP="00EC6BBD">
            <w:pPr>
              <w:pStyle w:val="TableBody"/>
              <w:rPr>
                <w:lang w:eastAsia="en-US"/>
              </w:rPr>
            </w:pPr>
            <w:r>
              <w:t>Quirindi West, Remote Australia</w:t>
            </w:r>
          </w:p>
        </w:tc>
      </w:tr>
      <w:tr w:rsidR="00EC6BBD" w14:paraId="4F5CBA09" w14:textId="77777777" w:rsidTr="00B631B4">
        <w:trPr>
          <w:cnfStyle w:val="000000100000" w:firstRow="0" w:lastRow="0" w:firstColumn="0" w:lastColumn="0" w:oddVBand="0" w:evenVBand="0" w:oddHBand="1" w:evenHBand="0" w:firstRowFirstColumn="0" w:firstRowLastColumn="0" w:lastRowFirstColumn="0" w:lastRowLastColumn="0"/>
          <w:trHeight w:val="59"/>
        </w:trPr>
        <w:tc>
          <w:tcPr>
            <w:tcW w:w="1700" w:type="pct"/>
            <w:shd w:val="clear" w:color="auto" w:fill="auto"/>
          </w:tcPr>
          <w:p w14:paraId="40A231DB" w14:textId="50E6312D" w:rsidR="00EC6BBD" w:rsidRDefault="00EC6BBD" w:rsidP="00EC6BBD">
            <w:pPr>
              <w:pStyle w:val="TableBody"/>
              <w:rPr>
                <w:lang w:eastAsia="en-US"/>
              </w:rPr>
            </w:pPr>
            <w:r>
              <w:t xml:space="preserve">Regional </w:t>
            </w:r>
            <w:r w:rsidR="009C6A22">
              <w:t xml:space="preserve">area </w:t>
            </w:r>
            <w:r>
              <w:t>2</w:t>
            </w:r>
          </w:p>
        </w:tc>
        <w:tc>
          <w:tcPr>
            <w:tcW w:w="3300" w:type="pct"/>
            <w:shd w:val="clear" w:color="auto" w:fill="auto"/>
          </w:tcPr>
          <w:p w14:paraId="295F7D75" w14:textId="1C93D1FF" w:rsidR="00EC6BBD" w:rsidRDefault="00EC6BBD" w:rsidP="00EC6BBD">
            <w:pPr>
              <w:pStyle w:val="TableBody"/>
              <w:rPr>
                <w:lang w:eastAsia="en-US"/>
              </w:rPr>
            </w:pPr>
            <w:r>
              <w:t>Quirindi East, Regional NSW north, Regional NSW south, Regional Qld, Regional SA, Regional Vic, Regional WA south</w:t>
            </w:r>
          </w:p>
        </w:tc>
      </w:tr>
      <w:tr w:rsidR="00EC6BBD" w14:paraId="2185957B" w14:textId="77777777" w:rsidTr="00B631B4">
        <w:trPr>
          <w:cnfStyle w:val="000000010000" w:firstRow="0" w:lastRow="0" w:firstColumn="0" w:lastColumn="0" w:oddVBand="0" w:evenVBand="0" w:oddHBand="0" w:evenHBand="1" w:firstRowFirstColumn="0" w:firstRowLastColumn="0" w:lastRowFirstColumn="0" w:lastRowLastColumn="0"/>
          <w:trHeight w:val="59"/>
        </w:trPr>
        <w:tc>
          <w:tcPr>
            <w:tcW w:w="1700" w:type="pct"/>
            <w:shd w:val="clear" w:color="auto" w:fill="F2F2F2" w:themeFill="background1" w:themeFillShade="F2"/>
          </w:tcPr>
          <w:p w14:paraId="3359BE84" w14:textId="6DEBF53B" w:rsidR="00EC6BBD" w:rsidRDefault="00EC6BBD" w:rsidP="00EC6BBD">
            <w:pPr>
              <w:pStyle w:val="TableBody"/>
              <w:rPr>
                <w:lang w:eastAsia="en-US"/>
              </w:rPr>
            </w:pPr>
            <w:r>
              <w:t>Metro (including urban excise)</w:t>
            </w:r>
          </w:p>
        </w:tc>
        <w:tc>
          <w:tcPr>
            <w:tcW w:w="3300" w:type="pct"/>
            <w:shd w:val="clear" w:color="auto" w:fill="F2F2F2" w:themeFill="background1" w:themeFillShade="F2"/>
          </w:tcPr>
          <w:p w14:paraId="14EEA03A" w14:textId="4396DD7F" w:rsidR="00EC6BBD" w:rsidRDefault="00EC6BBD" w:rsidP="00EC6BBD">
            <w:pPr>
              <w:pStyle w:val="TableBody"/>
              <w:rPr>
                <w:lang w:eastAsia="en-US"/>
              </w:rPr>
            </w:pPr>
            <w:r>
              <w:t xml:space="preserve">Adelaide, </w:t>
            </w:r>
            <w:r w:rsidRPr="008335A5">
              <w:t>Brisbane</w:t>
            </w:r>
            <w:r>
              <w:t xml:space="preserve">, </w:t>
            </w:r>
            <w:r w:rsidRPr="008335A5">
              <w:t>Canberra</w:t>
            </w:r>
            <w:r>
              <w:t xml:space="preserve">, </w:t>
            </w:r>
            <w:r w:rsidRPr="008335A5">
              <w:t>Melbourne</w:t>
            </w:r>
            <w:r>
              <w:t xml:space="preserve">, </w:t>
            </w:r>
            <w:r w:rsidRPr="008335A5">
              <w:t>Perth</w:t>
            </w:r>
            <w:r>
              <w:t>, Sydney</w:t>
            </w:r>
          </w:p>
        </w:tc>
      </w:tr>
    </w:tbl>
    <w:p w14:paraId="7AE2338A" w14:textId="101CD6F3" w:rsidR="00FA5026" w:rsidRPr="00FA5026" w:rsidRDefault="00FA5026" w:rsidP="001716A5"/>
    <w:sectPr w:rsidR="00FA5026" w:rsidRPr="00FA5026" w:rsidSect="004A2F00">
      <w:pgSz w:w="11906" w:h="16838" w:code="9"/>
      <w:pgMar w:top="1945" w:right="3101" w:bottom="1134" w:left="1134" w:header="709" w:footer="1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C9F1B" w14:textId="77777777" w:rsidR="00ED25A2" w:rsidRDefault="00ED25A2">
      <w:r>
        <w:separator/>
      </w:r>
    </w:p>
  </w:endnote>
  <w:endnote w:type="continuationSeparator" w:id="0">
    <w:p w14:paraId="621FE668" w14:textId="77777777" w:rsidR="00ED25A2" w:rsidRDefault="00ED25A2">
      <w:r>
        <w:continuationSeparator/>
      </w:r>
    </w:p>
  </w:endnote>
  <w:endnote w:type="continuationNotice" w:id="1">
    <w:p w14:paraId="633EDB38" w14:textId="77777777" w:rsidR="00ED25A2" w:rsidRDefault="00ED25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NeueLT Std Lt">
    <w:altName w:val="Arial"/>
    <w:panose1 w:val="020B0403020202020204"/>
    <w:charset w:val="00"/>
    <w:family w:val="swiss"/>
    <w:notTrueType/>
    <w:pitch w:val="variable"/>
    <w:sig w:usb0="800000AF" w:usb1="4000204A" w:usb2="00000000" w:usb3="00000000" w:csb0="00000001" w:csb1="00000000"/>
  </w:font>
  <w:font w:name="HelveticaNeueLT Std">
    <w:altName w:val="Arial"/>
    <w:panose1 w:val="020B0604020202020204"/>
    <w:charset w:val="00"/>
    <w:family w:val="swiss"/>
    <w:notTrueType/>
    <w:pitch w:val="variable"/>
    <w:sig w:usb0="800000AF" w:usb1="4000204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60"/>
      <w:gridCol w:w="3260"/>
      <w:gridCol w:w="3260"/>
    </w:tblGrid>
    <w:tr w:rsidR="41E93B7F" w14:paraId="18340397" w14:textId="77777777" w:rsidTr="00A71E0A">
      <w:tc>
        <w:tcPr>
          <w:tcW w:w="3260" w:type="dxa"/>
        </w:tcPr>
        <w:p w14:paraId="780F519B" w14:textId="1F980B00" w:rsidR="41E93B7F" w:rsidRDefault="41E93B7F" w:rsidP="003D36E7">
          <w:pPr>
            <w:pStyle w:val="Header"/>
            <w:ind w:left="-115"/>
            <w:rPr>
              <w:szCs w:val="16"/>
            </w:rPr>
          </w:pPr>
        </w:p>
      </w:tc>
      <w:tc>
        <w:tcPr>
          <w:tcW w:w="3260" w:type="dxa"/>
        </w:tcPr>
        <w:p w14:paraId="7650A90A" w14:textId="31DC0757" w:rsidR="41E93B7F" w:rsidRDefault="41E93B7F" w:rsidP="003D36E7">
          <w:pPr>
            <w:rPr>
              <w:szCs w:val="16"/>
            </w:rPr>
          </w:pPr>
        </w:p>
      </w:tc>
      <w:tc>
        <w:tcPr>
          <w:tcW w:w="3260" w:type="dxa"/>
        </w:tcPr>
        <w:p w14:paraId="3B05FA04" w14:textId="76AC418D" w:rsidR="41E93B7F" w:rsidRDefault="41E93B7F" w:rsidP="003D36E7">
          <w:pPr>
            <w:rPr>
              <w:szCs w:val="16"/>
            </w:rPr>
          </w:pPr>
        </w:p>
      </w:tc>
    </w:tr>
  </w:tbl>
  <w:p w14:paraId="12B58A7F" w14:textId="6DD6494A" w:rsidR="00EF6196" w:rsidRDefault="00EF61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F027A" w14:textId="77777777" w:rsidR="0090074D" w:rsidRDefault="0090074D" w:rsidP="005E250B">
    <w:pPr>
      <w:pStyle w:val="Footer"/>
      <w:jc w:val="right"/>
    </w:pPr>
    <w:r w:rsidRPr="005E250B">
      <w:rPr>
        <w:noProof/>
        <w:vertAlign w:val="subscript"/>
      </w:rPr>
      <w:drawing>
        <wp:inline distT="0" distB="0" distL="0" distR="0" wp14:anchorId="5449373D" wp14:editId="17D8FB53">
          <wp:extent cx="1066800" cy="277368"/>
          <wp:effectExtent l="0" t="0" r="0" b="0"/>
          <wp:docPr id="12" name="Picture 12" descr="acma.gov.au">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cma.gov.au">
                    <a:hlinkClick r:id="rId1"/>
                  </pic:cNvPr>
                  <pic:cNvPicPr/>
                </pic:nvPicPr>
                <pic:blipFill>
                  <a:blip r:embed="rId2"/>
                  <a:stretch>
                    <a:fillRect/>
                  </a:stretch>
                </pic:blipFill>
                <pic:spPr>
                  <a:xfrm>
                    <a:off x="0" y="0"/>
                    <a:ext cx="1133985" cy="294836"/>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6E9ED" w14:textId="77777777" w:rsidR="0090074D" w:rsidRDefault="0090074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42DE9" w14:textId="77777777" w:rsidR="0090074D" w:rsidRDefault="0090074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3821B" w14:textId="77777777" w:rsidR="0090074D" w:rsidRPr="00622A3B" w:rsidRDefault="0090074D" w:rsidP="00971914">
    <w:pPr>
      <w:pStyle w:val="Footer"/>
      <w:framePr w:w="1334" w:h="357" w:hRule="exact" w:vSpace="425" w:wrap="around" w:vAnchor="page" w:hAnchor="page" w:x="1156" w:y="16166"/>
      <w:pBdr>
        <w:top w:val="single" w:sz="4" w:space="1" w:color="auto"/>
      </w:pBdr>
      <w:tabs>
        <w:tab w:val="clear" w:pos="113"/>
        <w:tab w:val="left" w:pos="284"/>
      </w:tabs>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iv</w:t>
    </w:r>
    <w:r w:rsidRPr="002E4DDC">
      <w:rPr>
        <w:color w:val="505050"/>
      </w:rPr>
      <w:fldChar w:fldCharType="end"/>
    </w:r>
  </w:p>
  <w:p w14:paraId="6272FFBA" w14:textId="77777777" w:rsidR="0090074D" w:rsidRPr="00A5474E" w:rsidRDefault="0090074D" w:rsidP="00A5474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3BEC9" w14:textId="77777777" w:rsidR="0090074D" w:rsidRPr="00622A3B" w:rsidRDefault="0090074D" w:rsidP="00971914">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v</w:t>
    </w:r>
    <w:r w:rsidRPr="002E4DDC">
      <w:rPr>
        <w:color w:val="505050"/>
      </w:rPr>
      <w:fldChar w:fldCharType="end"/>
    </w:r>
  </w:p>
  <w:p w14:paraId="13FB138B" w14:textId="77777777" w:rsidR="0090074D" w:rsidRPr="00A5474E" w:rsidRDefault="0090074D" w:rsidP="00A5474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201D4E" w14:textId="77777777" w:rsidR="0090074D" w:rsidRPr="00622A3B" w:rsidRDefault="0090074D" w:rsidP="0094078F">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iii</w:t>
    </w:r>
    <w:r w:rsidRPr="002E4DDC">
      <w:rPr>
        <w:color w:val="505050"/>
      </w:rPr>
      <w:fldChar w:fldCharType="end"/>
    </w:r>
  </w:p>
  <w:p w14:paraId="2D10F7C1" w14:textId="77777777" w:rsidR="0090074D" w:rsidRPr="00A5474E" w:rsidRDefault="0090074D" w:rsidP="00A5474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50F50" w14:textId="77777777" w:rsidR="0090074D" w:rsidRPr="00622A3B" w:rsidRDefault="0090074D"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Pr>
        <w:noProof/>
      </w:rPr>
      <w:t>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52F9409D" w14:textId="77777777" w:rsidR="0090074D" w:rsidRPr="00A5474E" w:rsidRDefault="0090074D" w:rsidP="00A5474E">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CF4C19" w14:textId="77777777" w:rsidR="0090074D" w:rsidRPr="00622A3B" w:rsidRDefault="0090074D"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Pr>
        <w:noProof/>
        <w:color w:val="505050"/>
      </w:rPr>
      <w:t>1</w:t>
    </w:r>
    <w:r w:rsidRPr="00575AC5">
      <w:rPr>
        <w:color w:val="505050"/>
      </w:rPr>
      <w:fldChar w:fldCharType="end"/>
    </w:r>
  </w:p>
  <w:p w14:paraId="19A74868" w14:textId="77777777" w:rsidR="0090074D" w:rsidRPr="00A5474E" w:rsidRDefault="0090074D" w:rsidP="00A547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1B191C" w14:textId="77777777" w:rsidR="00ED25A2" w:rsidRDefault="00ED25A2" w:rsidP="00023D4B">
      <w:pPr>
        <w:spacing w:after="0"/>
      </w:pPr>
      <w:r>
        <w:separator/>
      </w:r>
    </w:p>
  </w:footnote>
  <w:footnote w:type="continuationSeparator" w:id="0">
    <w:p w14:paraId="747EC8A7" w14:textId="77777777" w:rsidR="00ED25A2" w:rsidRDefault="00ED25A2">
      <w:r>
        <w:continuationSeparator/>
      </w:r>
    </w:p>
  </w:footnote>
  <w:footnote w:type="continuationNotice" w:id="1">
    <w:p w14:paraId="65F01483" w14:textId="77777777" w:rsidR="00ED25A2" w:rsidRDefault="00ED25A2">
      <w:pPr>
        <w:spacing w:after="0" w:line="240" w:lineRule="auto"/>
      </w:pPr>
    </w:p>
  </w:footnote>
  <w:footnote w:id="2">
    <w:p w14:paraId="3D54655E" w14:textId="61B7C203" w:rsidR="00B8087F" w:rsidRDefault="00B8087F">
      <w:pPr>
        <w:pStyle w:val="FootnoteText"/>
      </w:pPr>
      <w:r>
        <w:rPr>
          <w:rStyle w:val="FootnoteReference"/>
        </w:rPr>
        <w:footnoteRef/>
      </w:r>
      <w:r>
        <w:t xml:space="preserve"> While there is no radiodetermination service allocation in the band, several radiodetermination licences have been issued </w:t>
      </w:r>
      <w:r w:rsidR="00051F8D">
        <w:t xml:space="preserve">in accordance with </w:t>
      </w:r>
      <w:r>
        <w:t>section 10(7) of the Australian Radiofrequency Spectrum Plan 20</w:t>
      </w:r>
      <w:r w:rsidR="00051F8D">
        <w:t>21 (or its predecessor instruments)</w:t>
      </w:r>
      <w:r>
        <w:t>.</w:t>
      </w:r>
    </w:p>
  </w:footnote>
  <w:footnote w:id="3">
    <w:p w14:paraId="1192374F" w14:textId="457B31F5" w:rsidR="006C377C" w:rsidRPr="003B4857" w:rsidRDefault="006C377C" w:rsidP="006C377C">
      <w:pPr>
        <w:pStyle w:val="FootnoteText"/>
        <w:rPr>
          <w:i/>
          <w:iCs/>
        </w:rPr>
      </w:pPr>
      <w:r>
        <w:rPr>
          <w:rStyle w:val="FootnoteReference"/>
        </w:rPr>
        <w:footnoteRef/>
      </w:r>
      <w:r>
        <w:t xml:space="preserve"> This planning decision is also reflected in the ACMA’s </w:t>
      </w:r>
      <w:hyperlink r:id="rId1" w:history="1">
        <w:r w:rsidR="00160A78">
          <w:rPr>
            <w:rStyle w:val="Hyperlink"/>
            <w:i/>
            <w:iCs/>
          </w:rPr>
          <w:t>Five-year spectrum outlook 2021–26</w:t>
        </w:r>
      </w:hyperlink>
      <w:r>
        <w:rPr>
          <w:i/>
          <w:iCs/>
        </w:rPr>
        <w:t>.</w:t>
      </w:r>
    </w:p>
  </w:footnote>
  <w:footnote w:id="4">
    <w:p w14:paraId="1B44C2A9" w14:textId="43A113ED" w:rsidR="00E11A8C" w:rsidRDefault="00E11A8C" w:rsidP="00E11A8C">
      <w:pPr>
        <w:pStyle w:val="FootnoteText"/>
      </w:pPr>
      <w:r>
        <w:rPr>
          <w:rStyle w:val="FootnoteReference"/>
        </w:rPr>
        <w:footnoteRef/>
      </w:r>
      <w:r>
        <w:t xml:space="preserve"> A</w:t>
      </w:r>
      <w:r w:rsidRPr="00F47F8E">
        <w:t xml:space="preserve">rrangements in the 4000–4200 MHz </w:t>
      </w:r>
      <w:r w:rsidR="00057E89">
        <w:t xml:space="preserve">frequency </w:t>
      </w:r>
      <w:r w:rsidRPr="00F47F8E">
        <w:t>range would be retained to support apparatus</w:t>
      </w:r>
      <w:r w:rsidR="00160A78">
        <w:t>-</w:t>
      </w:r>
      <w:r w:rsidRPr="00F47F8E">
        <w:t>licensed FSS and PTP services only.</w:t>
      </w:r>
    </w:p>
  </w:footnote>
  <w:footnote w:id="5">
    <w:p w14:paraId="101F91F9" w14:textId="188399F7" w:rsidR="007F5E69" w:rsidRDefault="007F5E69" w:rsidP="007F5E69">
      <w:pPr>
        <w:pStyle w:val="FootnoteText"/>
      </w:pPr>
      <w:r>
        <w:rPr>
          <w:rStyle w:val="FootnoteReference"/>
        </w:rPr>
        <w:footnoteRef/>
      </w:r>
      <w:r>
        <w:t xml:space="preserve"> ACMA </w:t>
      </w:r>
      <w:hyperlink r:id="rId2" w:history="1">
        <w:r w:rsidR="00160A78">
          <w:rPr>
            <w:rStyle w:val="Hyperlink"/>
            <w:i/>
            <w:iCs/>
          </w:rPr>
          <w:t>Corporate plan 2021–22</w:t>
        </w:r>
      </w:hyperlink>
      <w:r w:rsidR="00D65801">
        <w:rPr>
          <w:i/>
          <w:iCs/>
        </w:rPr>
        <w:t>.</w:t>
      </w:r>
    </w:p>
  </w:footnote>
  <w:footnote w:id="6">
    <w:p w14:paraId="1715F0B3" w14:textId="330F8518" w:rsidR="00A16652" w:rsidRDefault="00A16652" w:rsidP="00A16652">
      <w:pPr>
        <w:pStyle w:val="FootnoteText"/>
      </w:pPr>
      <w:r>
        <w:rPr>
          <w:rStyle w:val="FootnoteReference"/>
        </w:rPr>
        <w:footnoteRef/>
      </w:r>
      <w:r>
        <w:t xml:space="preserve"> Per subsections 60(10) and 60(12) of the Act, the </w:t>
      </w:r>
      <w:r w:rsidR="00ED24FD">
        <w:t>m</w:t>
      </w:r>
      <w:r>
        <w:t xml:space="preserve">inister may still give the ACMA written directions </w:t>
      </w:r>
      <w:r w:rsidR="003D41C2">
        <w:t>for</w:t>
      </w:r>
      <w:r>
        <w:t xml:space="preserve"> determining allocation limits and the ACMA must exercise its powers in a manner consistent with those directions. </w:t>
      </w:r>
    </w:p>
  </w:footnote>
  <w:footnote w:id="7">
    <w:p w14:paraId="29E59984" w14:textId="0B561528" w:rsidR="00A97162" w:rsidRDefault="00A97162" w:rsidP="00A97162">
      <w:pPr>
        <w:pStyle w:val="FootnoteText"/>
      </w:pPr>
      <w:r>
        <w:rPr>
          <w:rStyle w:val="FootnoteReference"/>
        </w:rPr>
        <w:footnoteRef/>
      </w:r>
      <w:r>
        <w:t xml:space="preserve"> It may be difficult or impossible for spectrum licensees to make use of orphaned spectrum holdings. This is because technology standards for WBB systems in the 3300</w:t>
      </w:r>
      <w:r w:rsidR="00C71B78">
        <w:t>–</w:t>
      </w:r>
      <w:r>
        <w:t>3800 MHz band are optimised for use in channel sizes that are multiples of 5 or 10 MHz.</w:t>
      </w:r>
    </w:p>
  </w:footnote>
  <w:footnote w:id="8">
    <w:p w14:paraId="683F38F7" w14:textId="2B5EBABE" w:rsidR="00A97162" w:rsidRDefault="00A97162" w:rsidP="00A97162">
      <w:pPr>
        <w:pStyle w:val="FootnoteText"/>
      </w:pPr>
      <w:r>
        <w:rPr>
          <w:rStyle w:val="FootnoteReference"/>
        </w:rPr>
        <w:footnoteRef/>
      </w:r>
      <w:r>
        <w:t xml:space="preserve"> A</w:t>
      </w:r>
      <w:r w:rsidRPr="00CF535D">
        <w:t xml:space="preserve"> restricted</w:t>
      </w:r>
      <w:r w:rsidR="00C71B78">
        <w:t>-</w:t>
      </w:r>
      <w:r w:rsidRPr="00CF535D">
        <w:t>use band refers to a defined frequency range w</w:t>
      </w:r>
      <w:r>
        <w:t>h</w:t>
      </w:r>
      <w:r w:rsidRPr="00CF535D">
        <w:t>ere either no operation is permitted, or operation is only permitted under certain conditions (</w:t>
      </w:r>
      <w:r w:rsidR="002C1DEF">
        <w:t>for example</w:t>
      </w:r>
      <w:r>
        <w:t>,</w:t>
      </w:r>
      <w:r w:rsidRPr="00CF535D">
        <w:t xml:space="preserve"> </w:t>
      </w:r>
      <w:r w:rsidR="00C71B78">
        <w:t xml:space="preserve">with </w:t>
      </w:r>
      <w:r w:rsidRPr="00CF535D">
        <w:t>agreement between operators)</w:t>
      </w:r>
      <w:r>
        <w:t>. Restricted</w:t>
      </w:r>
      <w:r w:rsidR="00C71B78">
        <w:t>-</w:t>
      </w:r>
      <w:r>
        <w:t>use bands are implemented to assist in the management of adjacent channel interference.</w:t>
      </w:r>
    </w:p>
  </w:footnote>
  <w:footnote w:id="9">
    <w:p w14:paraId="1952F5F4" w14:textId="194B3889" w:rsidR="00511F0E" w:rsidRDefault="00511F0E">
      <w:pPr>
        <w:pStyle w:val="FootnoteText"/>
      </w:pPr>
      <w:r>
        <w:rPr>
          <w:rStyle w:val="FootnoteReference"/>
        </w:rPr>
        <w:footnoteRef/>
      </w:r>
      <w:r>
        <w:t xml:space="preserve"> </w:t>
      </w:r>
      <w:r w:rsidR="00181E42">
        <w:t>We</w:t>
      </w:r>
      <w:r>
        <w:t xml:space="preserve"> recognise </w:t>
      </w:r>
      <w:r w:rsidRPr="00650B5F">
        <w:t xml:space="preserve">there are other options between the bookends that could be considered. Each would have their own set of </w:t>
      </w:r>
      <w:r w:rsidR="000E3F38" w:rsidRPr="00650B5F">
        <w:t xml:space="preserve">advantages and disadvantages. However, on balance, </w:t>
      </w:r>
      <w:r w:rsidRPr="00650B5F">
        <w:t>the ACMA considers that the options</w:t>
      </w:r>
      <w:r w:rsidR="000E3F38" w:rsidRPr="00650B5F">
        <w:t xml:space="preserve"> presented in this paper</w:t>
      </w:r>
      <w:r w:rsidRPr="00650B5F">
        <w:t xml:space="preserve"> provide the most pragmatic approach to planning in this band.</w:t>
      </w:r>
    </w:p>
  </w:footnote>
  <w:footnote w:id="10">
    <w:p w14:paraId="1AB9CAF5" w14:textId="77777777" w:rsidR="00C25B7E" w:rsidRDefault="00C25B7E" w:rsidP="00C25B7E">
      <w:pPr>
        <w:pStyle w:val="FootnoteText"/>
      </w:pPr>
      <w:r>
        <w:rPr>
          <w:rStyle w:val="FootnoteReference"/>
        </w:rPr>
        <w:footnoteRef/>
      </w:r>
      <w:r>
        <w:t xml:space="preserve"> Technical details and limitations include maximum in-band transmit power and unwanted emissions limits as well as the authorised frequency range and geographical area of the licence. </w:t>
      </w:r>
    </w:p>
  </w:footnote>
  <w:footnote w:id="11">
    <w:p w14:paraId="04163B9D" w14:textId="77777777" w:rsidR="00174A08" w:rsidRDefault="00174A08">
      <w:pPr>
        <w:pStyle w:val="FootnoteText"/>
      </w:pPr>
      <w:r>
        <w:rPr>
          <w:rStyle w:val="FootnoteReference"/>
        </w:rPr>
        <w:footnoteRef/>
      </w:r>
      <w:r>
        <w:t xml:space="preserve"> We separately considered demand for LA WBB in this part of the spectrum, which may be met by apparatus licensing in other geographic areas in the band.</w:t>
      </w:r>
    </w:p>
  </w:footnote>
  <w:footnote w:id="12">
    <w:p w14:paraId="4589EC5F" w14:textId="60FC6172" w:rsidR="00B30C67" w:rsidRDefault="00B30C67" w:rsidP="00B30C67">
      <w:pPr>
        <w:pStyle w:val="FootnoteText"/>
      </w:pPr>
      <w:r>
        <w:rPr>
          <w:rStyle w:val="FootnoteReference"/>
        </w:rPr>
        <w:footnoteRef/>
      </w:r>
      <w:r>
        <w:t xml:space="preserve"> Global </w:t>
      </w:r>
      <w:r w:rsidR="00B70AE9">
        <w:t>M</w:t>
      </w:r>
      <w:r>
        <w:t xml:space="preserve">obile Suppliers Association, </w:t>
      </w:r>
      <w:hyperlink r:id="rId3" w:history="1">
        <w:r w:rsidRPr="004E5F22">
          <w:rPr>
            <w:rStyle w:val="Hyperlink"/>
          </w:rPr>
          <w:t xml:space="preserve">Mid-band Spectrum – </w:t>
        </w:r>
        <w:r>
          <w:rPr>
            <w:rStyle w:val="Hyperlink"/>
          </w:rPr>
          <w:t>October</w:t>
        </w:r>
        <w:r w:rsidRPr="004E5F22">
          <w:rPr>
            <w:rStyle w:val="Hyperlink"/>
          </w:rPr>
          <w:t xml:space="preserve"> 2021 – Member Report</w:t>
        </w:r>
      </w:hyperlink>
      <w:r>
        <w:t>, October 2021</w:t>
      </w:r>
      <w:r w:rsidR="00203FAA">
        <w:t>.</w:t>
      </w:r>
    </w:p>
  </w:footnote>
  <w:footnote w:id="13">
    <w:p w14:paraId="316C50E0" w14:textId="77777777" w:rsidR="003132EE" w:rsidRDefault="003132EE" w:rsidP="003132EE">
      <w:pPr>
        <w:pStyle w:val="FootnoteText"/>
      </w:pPr>
      <w:r>
        <w:rPr>
          <w:rStyle w:val="FootnoteReference"/>
        </w:rPr>
        <w:footnoteRef/>
      </w:r>
      <w:r>
        <w:t xml:space="preserve"> Definitions of the applicable geographic areas proposed for re-allocation are under the ‘Planning options’ and ‘Specified parts of the spectrum’ sections of this consultation paper. </w:t>
      </w:r>
    </w:p>
  </w:footnote>
  <w:footnote w:id="14">
    <w:p w14:paraId="1EC93208" w14:textId="330C6D7E" w:rsidR="00287EAD" w:rsidRDefault="00287EAD">
      <w:pPr>
        <w:pStyle w:val="FootnoteText"/>
      </w:pPr>
      <w:r>
        <w:rPr>
          <w:rStyle w:val="FootnoteReference"/>
        </w:rPr>
        <w:footnoteRef/>
      </w:r>
      <w:r>
        <w:t xml:space="preserve"> </w:t>
      </w:r>
      <w:r w:rsidR="001F54B7">
        <w:t>S</w:t>
      </w:r>
      <w:r w:rsidR="008A336D">
        <w:t>ubs</w:t>
      </w:r>
      <w:r w:rsidR="001F54B7">
        <w:t>ection 77A</w:t>
      </w:r>
      <w:r w:rsidR="008A336D">
        <w:t>(3)</w:t>
      </w:r>
      <w:r w:rsidR="001F54B7">
        <w:t xml:space="preserve"> </w:t>
      </w:r>
      <w:r w:rsidR="008A336D">
        <w:t xml:space="preserve">of the Act states that for </w:t>
      </w:r>
      <w:r w:rsidR="00624CC2">
        <w:t xml:space="preserve">spectrum licences that do </w:t>
      </w:r>
      <w:r w:rsidR="001B5768">
        <w:t>not include renewal statements</w:t>
      </w:r>
      <w:r w:rsidR="0028196D">
        <w:t xml:space="preserve"> (for example, the extant spectrum licences</w:t>
      </w:r>
      <w:r w:rsidR="007D2DFB">
        <w:t xml:space="preserve"> in the frequency range 3400</w:t>
      </w:r>
      <w:r w:rsidR="006C3CBB" w:rsidRPr="001E4379">
        <w:t>–</w:t>
      </w:r>
      <w:r w:rsidR="007D2DFB">
        <w:t>3</w:t>
      </w:r>
      <w:r w:rsidR="00111407">
        <w:t>5</w:t>
      </w:r>
      <w:r w:rsidR="007D2DFB">
        <w:t>75 MHz</w:t>
      </w:r>
      <w:r w:rsidR="0028196D">
        <w:t>)</w:t>
      </w:r>
      <w:r w:rsidR="00A41D3B">
        <w:t xml:space="preserve">, </w:t>
      </w:r>
      <w:r w:rsidR="00D86555">
        <w:t>an</w:t>
      </w:r>
      <w:r w:rsidR="00A41D3B">
        <w:t xml:space="preserve"> application </w:t>
      </w:r>
      <w:r w:rsidR="00D86555">
        <w:t xml:space="preserve">to renew must be made within the 2-year </w:t>
      </w:r>
      <w:r w:rsidR="00A41D3B">
        <w:t xml:space="preserve">period </w:t>
      </w:r>
      <w:r w:rsidR="00D86555">
        <w:t xml:space="preserve">ending </w:t>
      </w:r>
      <w:r w:rsidR="004C7AC7">
        <w:t>whe</w:t>
      </w:r>
      <w:r w:rsidR="00115B59">
        <w:t xml:space="preserve">n the licence is due to expire. </w:t>
      </w:r>
      <w:r w:rsidR="00BA1DA8">
        <w:t xml:space="preserve">As such, a formal decision to renew cannot be made until </w:t>
      </w:r>
      <w:r w:rsidR="000C6741">
        <w:t xml:space="preserve">at most 2 years from licence expiry. </w:t>
      </w:r>
    </w:p>
  </w:footnote>
  <w:footnote w:id="15">
    <w:p w14:paraId="51F3E2B4" w14:textId="39978281" w:rsidR="009E2092" w:rsidRDefault="009E2092">
      <w:pPr>
        <w:pStyle w:val="FootnoteText"/>
      </w:pPr>
      <w:r>
        <w:rPr>
          <w:rStyle w:val="FootnoteReference"/>
        </w:rPr>
        <w:footnoteRef/>
      </w:r>
      <w:r>
        <w:t xml:space="preserve"> Indicative maps of these areas may be found at the ‘Specified parts of the spectrum’ section of this paper. Detailed descriptions of these geographic areas are </w:t>
      </w:r>
      <w:r w:rsidR="004A59E9">
        <w:t xml:space="preserve">in </w:t>
      </w:r>
      <w:r>
        <w:t>Appendix B of this paper.</w:t>
      </w:r>
    </w:p>
  </w:footnote>
  <w:footnote w:id="16">
    <w:p w14:paraId="6AE46FBF" w14:textId="77777777" w:rsidR="00D776B4" w:rsidRDefault="00D776B4" w:rsidP="00D776B4">
      <w:pPr>
        <w:pStyle w:val="FootnoteText"/>
      </w:pPr>
      <w:r>
        <w:rPr>
          <w:rStyle w:val="FootnoteReference"/>
        </w:rPr>
        <w:footnoteRef/>
      </w:r>
      <w:r>
        <w:t xml:space="preserve"> This is true where bid prices are a proxy for the value of the service for which the spectrum will be put to use. The assumption is that those that </w:t>
      </w:r>
      <w:r w:rsidRPr="006C0700">
        <w:t>value spectrum most would go on to create the highest social and economic value with that spectrum</w:t>
      </w:r>
      <w:r>
        <w:t>.</w:t>
      </w:r>
    </w:p>
  </w:footnote>
  <w:footnote w:id="17">
    <w:p w14:paraId="6B81F33C" w14:textId="25298182" w:rsidR="0090074D" w:rsidRDefault="0090074D" w:rsidP="00662302">
      <w:pPr>
        <w:pStyle w:val="FootnoteText"/>
      </w:pPr>
      <w:r>
        <w:rPr>
          <w:rStyle w:val="FootnoteReference"/>
        </w:rPr>
        <w:footnoteRef/>
      </w:r>
      <w:r>
        <w:t xml:space="preserve"> The auction format used in </w:t>
      </w:r>
      <w:r w:rsidR="00DA6127">
        <w:t xml:space="preserve">each of </w:t>
      </w:r>
      <w:r>
        <w:t>the</w:t>
      </w:r>
      <w:r w:rsidR="00DA6127">
        <w:t xml:space="preserve">se </w:t>
      </w:r>
      <w:r>
        <w:t>allocation</w:t>
      </w:r>
      <w:r w:rsidR="00DA6127">
        <w:t>s</w:t>
      </w:r>
      <w:r>
        <w:t xml:space="preserve"> was referred to as the enhanced simultaneous multi-round ascending (ESMRA) auction. </w:t>
      </w:r>
      <w:r w:rsidR="00E26D81">
        <w:t>We note that we are in the process of procuring an auction system</w:t>
      </w:r>
      <w:r w:rsidR="003A45D4">
        <w:t xml:space="preserve">; if </w:t>
      </w:r>
      <w:r w:rsidR="007B450C">
        <w:t xml:space="preserve">we allocate the spectrum by using the </w:t>
      </w:r>
      <w:r w:rsidR="00151719">
        <w:t>2</w:t>
      </w:r>
      <w:r w:rsidR="007B450C">
        <w:t xml:space="preserve">-stage clock auction with generic lots, it may </w:t>
      </w:r>
      <w:r w:rsidR="00FA3EB6">
        <w:t xml:space="preserve">or may not be similar to the ESMRA auction system we have previously used. </w:t>
      </w:r>
    </w:p>
  </w:footnote>
  <w:footnote w:id="18">
    <w:p w14:paraId="49547FFF" w14:textId="2004A487" w:rsidR="0090074D" w:rsidRDefault="0090074D">
      <w:pPr>
        <w:pStyle w:val="FootnoteText"/>
      </w:pPr>
      <w:r>
        <w:rPr>
          <w:rStyle w:val="FootnoteReference"/>
        </w:rPr>
        <w:footnoteRef/>
      </w:r>
      <w:r>
        <w:t xml:space="preserve"> Vickrey pricing selects the highest value frequency assignment</w:t>
      </w:r>
      <w:r w:rsidR="00A00492">
        <w:t>,</w:t>
      </w:r>
      <w:r>
        <w:t xml:space="preserve"> but bidders pay the next highest value bid by others for that assignment, that is, the second price. Nearest Vickrey core pricing modifies this approach to ensure that there is not a bidder/group of bidders </w:t>
      </w:r>
      <w:r w:rsidR="00151719">
        <w:t xml:space="preserve">that </w:t>
      </w:r>
      <w:r>
        <w:t xml:space="preserve">bid more for the frequency assignment than the price paid by the winning bidder(s). </w:t>
      </w:r>
    </w:p>
  </w:footnote>
  <w:footnote w:id="19">
    <w:p w14:paraId="0E13F82C" w14:textId="3949966E" w:rsidR="00E66C55" w:rsidRDefault="00E66C55">
      <w:pPr>
        <w:pStyle w:val="FootnoteText"/>
      </w:pPr>
      <w:r>
        <w:rPr>
          <w:rStyle w:val="FootnoteReference"/>
        </w:rPr>
        <w:footnoteRef/>
      </w:r>
      <w:r>
        <w:t xml:space="preserve"> Including, for example, the </w:t>
      </w:r>
      <w:r w:rsidR="00767C7D">
        <w:t>issue that arose in the ACMA’s allocation of 1800 MHz regional</w:t>
      </w:r>
      <w:r w:rsidR="000826DA">
        <w:t xml:space="preserve"> spectrum licences</w:t>
      </w:r>
      <w:r w:rsidR="00767C7D">
        <w:t xml:space="preserve"> – multiple instances of bid withdrawals </w:t>
      </w:r>
      <w:r w:rsidR="002F0D72">
        <w:t>that resulted in spectrum being unsold despite clear demand shown during the auction.</w:t>
      </w:r>
    </w:p>
  </w:footnote>
  <w:footnote w:id="20">
    <w:p w14:paraId="187E1567" w14:textId="6EEF7B25" w:rsidR="00F749FB" w:rsidRPr="00F749FB" w:rsidRDefault="00F749FB">
      <w:pPr>
        <w:pStyle w:val="FootnoteText"/>
      </w:pPr>
      <w:r>
        <w:rPr>
          <w:rStyle w:val="FootnoteReference"/>
        </w:rPr>
        <w:footnoteRef/>
      </w:r>
      <w:r>
        <w:t xml:space="preserve"> The </w:t>
      </w:r>
      <w:r w:rsidR="00650B5F">
        <w:t>m</w:t>
      </w:r>
      <w:r>
        <w:t xml:space="preserve">inister is able to direct the ACMA in relation to the performance of its functions and the exercise of its powers, in accordance with section 14 of the </w:t>
      </w:r>
      <w:hyperlink r:id="rId4" w:history="1">
        <w:r w:rsidRPr="00355CAA">
          <w:rPr>
            <w:rStyle w:val="Hyperlink"/>
            <w:i/>
            <w:iCs/>
          </w:rPr>
          <w:t>Australian Communications and Media Authority Act 2005</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60"/>
      <w:gridCol w:w="3260"/>
      <w:gridCol w:w="3260"/>
    </w:tblGrid>
    <w:tr w:rsidR="41E93B7F" w14:paraId="2F6ED780" w14:textId="77777777" w:rsidTr="00D30AF8">
      <w:tc>
        <w:tcPr>
          <w:tcW w:w="3260" w:type="dxa"/>
        </w:tcPr>
        <w:p w14:paraId="28E1973A" w14:textId="5B5E44B9" w:rsidR="41E93B7F" w:rsidRDefault="41E93B7F" w:rsidP="00D30AF8">
          <w:pPr>
            <w:pStyle w:val="Header"/>
            <w:ind w:left="-115"/>
            <w:rPr>
              <w:szCs w:val="16"/>
            </w:rPr>
          </w:pPr>
        </w:p>
      </w:tc>
      <w:tc>
        <w:tcPr>
          <w:tcW w:w="3260" w:type="dxa"/>
        </w:tcPr>
        <w:p w14:paraId="0CAE5D30" w14:textId="2161A8DC" w:rsidR="41E93B7F" w:rsidRDefault="41E93B7F" w:rsidP="003D36E7">
          <w:pPr>
            <w:pStyle w:val="Header"/>
            <w:jc w:val="center"/>
            <w:rPr>
              <w:szCs w:val="16"/>
            </w:rPr>
          </w:pPr>
        </w:p>
      </w:tc>
      <w:tc>
        <w:tcPr>
          <w:tcW w:w="3260" w:type="dxa"/>
        </w:tcPr>
        <w:p w14:paraId="72530881" w14:textId="0203DDC8" w:rsidR="41E93B7F" w:rsidRDefault="41E93B7F" w:rsidP="003D36E7">
          <w:pPr>
            <w:rPr>
              <w:szCs w:val="16"/>
            </w:rPr>
          </w:pPr>
        </w:p>
      </w:tc>
    </w:tr>
  </w:tbl>
  <w:p w14:paraId="3F8EFA5C" w14:textId="7E9883A5" w:rsidR="00EF6196" w:rsidRDefault="00EF619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94D82" w14:textId="77777777" w:rsidR="0090074D" w:rsidRPr="00A5474E" w:rsidRDefault="0090074D" w:rsidP="00A5474E">
    <w:pPr>
      <w:pStyle w:val="Header"/>
    </w:pPr>
    <w:r>
      <w:rPr>
        <w:noProof/>
      </w:rPr>
      <w:drawing>
        <wp:inline distT="0" distB="0" distL="0" distR="0" wp14:anchorId="7FCF18ED" wp14:editId="46FC334F">
          <wp:extent cx="6210300" cy="571134"/>
          <wp:effectExtent l="0" t="0" r="0" b="0"/>
          <wp:docPr id="11" name="Picture 11" descr="A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ussion-paper-header-block.pdf"/>
                  <pic:cNvPicPr/>
                </pic:nvPicPr>
                <pic:blipFill>
                  <a:blip r:embed="rId1"/>
                  <a:stretch>
                    <a:fillRect/>
                  </a:stretch>
                </pic:blipFill>
                <pic:spPr>
                  <a:xfrm>
                    <a:off x="0" y="0"/>
                    <a:ext cx="6210300" cy="571134"/>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8B8EA7" w14:textId="77777777" w:rsidR="0090074D" w:rsidRPr="00A5474E" w:rsidRDefault="0090074D" w:rsidP="00594E9C">
    <w:pPr>
      <w:pStyle w:val="TOCHeading"/>
    </w:pPr>
    <w:r w:rsidRPr="0029593B">
      <w:t>Contents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ACFA0" w14:textId="77777777" w:rsidR="0090074D" w:rsidRDefault="0090074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E228D" w14:textId="77777777" w:rsidR="0090074D" w:rsidRDefault="0090074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AA8E1" w14:textId="77777777" w:rsidR="0090074D" w:rsidRDefault="0090074D" w:rsidP="0097191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CMAtablestyle"/>
      <w:tblW w:w="7678" w:type="dxa"/>
      <w:tblLayout w:type="fixed"/>
      <w:tblLook w:val="01E0" w:firstRow="1" w:lastRow="1" w:firstColumn="1" w:lastColumn="1" w:noHBand="0" w:noVBand="0"/>
    </w:tblPr>
    <w:tblGrid>
      <w:gridCol w:w="7678"/>
    </w:tblGrid>
    <w:tr w:rsidR="0090074D" w14:paraId="777B4143" w14:textId="77777777" w:rsidTr="0023390F">
      <w:trPr>
        <w:cnfStyle w:val="100000000000" w:firstRow="1" w:lastRow="0" w:firstColumn="0" w:lastColumn="0" w:oddVBand="0" w:evenVBand="0" w:oddHBand="0" w:evenHBand="0" w:firstRowFirstColumn="0" w:firstRowLastColumn="0" w:lastRowFirstColumn="0" w:lastRowLastColumn="0"/>
        <w:trHeight w:hRule="exact" w:val="988"/>
      </w:trPr>
      <w:tc>
        <w:tcPr>
          <w:tcW w:w="7678" w:type="dxa"/>
        </w:tcPr>
        <w:p w14:paraId="7A570582" w14:textId="77777777" w:rsidR="0090074D" w:rsidRDefault="0090074D" w:rsidP="00971914">
          <w:pPr>
            <w:pStyle w:val="Header"/>
          </w:pPr>
        </w:p>
      </w:tc>
    </w:tr>
    <w:tr w:rsidR="0090074D" w14:paraId="2A2CE35A" w14:textId="77777777" w:rsidTr="0023390F">
      <w:trPr>
        <w:cnfStyle w:val="000000100000" w:firstRow="0" w:lastRow="0" w:firstColumn="0" w:lastColumn="0" w:oddVBand="0" w:evenVBand="0" w:oddHBand="1" w:evenHBand="0" w:firstRowFirstColumn="0" w:firstRowLastColumn="0" w:lastRowFirstColumn="0" w:lastRowLastColumn="0"/>
      </w:trPr>
      <w:tc>
        <w:tcPr>
          <w:tcW w:w="7678" w:type="dxa"/>
        </w:tcPr>
        <w:p w14:paraId="4E839D0D" w14:textId="77777777" w:rsidR="0090074D" w:rsidRDefault="0090074D" w:rsidP="00971914">
          <w:pPr>
            <w:pStyle w:val="GridTable31"/>
          </w:pPr>
          <w:r>
            <w:t xml:space="preserve">Contents </w:t>
          </w:r>
          <w:r w:rsidRPr="00915B1C">
            <w:rPr>
              <w:b w:val="0"/>
              <w:spacing w:val="0"/>
              <w:sz w:val="28"/>
              <w:szCs w:val="28"/>
            </w:rPr>
            <w:t>(Continued)</w:t>
          </w:r>
        </w:p>
      </w:tc>
    </w:tr>
    <w:tr w:rsidR="0090074D" w14:paraId="75BFA6D1" w14:textId="77777777" w:rsidTr="0023390F">
      <w:trPr>
        <w:cnfStyle w:val="000000010000" w:firstRow="0" w:lastRow="0" w:firstColumn="0" w:lastColumn="0" w:oddVBand="0" w:evenVBand="0" w:oddHBand="0" w:evenHBand="1" w:firstRowFirstColumn="0" w:firstRowLastColumn="0" w:lastRowFirstColumn="0" w:lastRowLastColumn="0"/>
        <w:trHeight w:val="1220"/>
      </w:trPr>
      <w:tc>
        <w:tcPr>
          <w:tcW w:w="7678" w:type="dxa"/>
        </w:tcPr>
        <w:p w14:paraId="171AAF31" w14:textId="77777777" w:rsidR="0090074D" w:rsidRDefault="0090074D" w:rsidP="00971914"/>
      </w:tc>
    </w:tr>
  </w:tbl>
  <w:p w14:paraId="546F8CB9" w14:textId="77777777" w:rsidR="0090074D" w:rsidRPr="00A5474E" w:rsidRDefault="0090074D" w:rsidP="00A547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C7039" w14:textId="77777777" w:rsidR="0090074D" w:rsidRDefault="0090074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B0842" w14:textId="77777777" w:rsidR="0090074D" w:rsidRDefault="009007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9BE8E08"/>
    <w:lvl w:ilvl="0">
      <w:start w:val="1"/>
      <w:numFmt w:val="decimal"/>
      <w:lvlText w:val="%1."/>
      <w:lvlJc w:val="left"/>
      <w:pPr>
        <w:tabs>
          <w:tab w:val="num" w:pos="1492"/>
        </w:tabs>
        <w:ind w:left="1492" w:hanging="360"/>
      </w:pPr>
    </w:lvl>
  </w:abstractNum>
  <w:abstractNum w:abstractNumId="1" w15:restartNumberingAfterBreak="0">
    <w:nsid w:val="FFFFFF7F"/>
    <w:multiLevelType w:val="singleLevel"/>
    <w:tmpl w:val="75F22F60"/>
    <w:lvl w:ilvl="0">
      <w:start w:val="1"/>
      <w:numFmt w:val="lowerRoman"/>
      <w:pStyle w:val="ListNumber2"/>
      <w:lvlText w:val="%1."/>
      <w:lvlJc w:val="right"/>
      <w:pPr>
        <w:ind w:left="717" w:hanging="360"/>
      </w:pPr>
      <w:rPr>
        <w:rFonts w:hint="default"/>
      </w:rPr>
    </w:lvl>
  </w:abstractNum>
  <w:abstractNum w:abstractNumId="2" w15:restartNumberingAfterBreak="0">
    <w:nsid w:val="FFFFFF83"/>
    <w:multiLevelType w:val="singleLevel"/>
    <w:tmpl w:val="F2B4954A"/>
    <w:lvl w:ilvl="0">
      <w:start w:val="1"/>
      <w:numFmt w:val="bullet"/>
      <w:pStyle w:val="ListBullet2"/>
      <w:lvlText w:val="&gt;"/>
      <w:lvlJc w:val="left"/>
      <w:pPr>
        <w:tabs>
          <w:tab w:val="num" w:pos="845"/>
        </w:tabs>
        <w:ind w:left="845" w:hanging="544"/>
      </w:pPr>
      <w:rPr>
        <w:rFonts w:ascii="HelveticaNeueLT Std Lt" w:hAnsi="HelveticaNeueLT Std Lt" w:hint="default"/>
        <w:sz w:val="20"/>
      </w:rPr>
    </w:lvl>
  </w:abstractNum>
  <w:abstractNum w:abstractNumId="3" w15:restartNumberingAfterBreak="0">
    <w:nsid w:val="FFFFFF88"/>
    <w:multiLevelType w:val="singleLevel"/>
    <w:tmpl w:val="3BE4163A"/>
    <w:lvl w:ilvl="0">
      <w:start w:val="1"/>
      <w:numFmt w:val="decimal"/>
      <w:pStyle w:val="ListNumber"/>
      <w:lvlText w:val="%1."/>
      <w:lvlJc w:val="left"/>
      <w:pPr>
        <w:ind w:left="360" w:hanging="360"/>
      </w:pPr>
      <w:rPr>
        <w:rFonts w:hint="default"/>
        <w:b w:val="0"/>
        <w:bCs/>
        <w:caps/>
        <w:sz w:val="20"/>
      </w:rPr>
    </w:lvl>
  </w:abstractNum>
  <w:abstractNum w:abstractNumId="4" w15:restartNumberingAfterBreak="0">
    <w:nsid w:val="FFFFFF89"/>
    <w:multiLevelType w:val="singleLevel"/>
    <w:tmpl w:val="8102D058"/>
    <w:lvl w:ilvl="0">
      <w:start w:val="1"/>
      <w:numFmt w:val="bullet"/>
      <w:pStyle w:val="ListBullet"/>
      <w:lvlText w:val="&gt;"/>
      <w:lvlJc w:val="left"/>
      <w:pPr>
        <w:tabs>
          <w:tab w:val="num" w:pos="295"/>
        </w:tabs>
        <w:ind w:left="295" w:hanging="295"/>
      </w:pPr>
      <w:rPr>
        <w:rFonts w:ascii="HelveticaNeueLT Std Lt" w:hAnsi="HelveticaNeueLT Std Lt" w:hint="default"/>
        <w:sz w:val="20"/>
      </w:rPr>
    </w:lvl>
  </w:abstractNum>
  <w:abstractNum w:abstractNumId="5" w15:restartNumberingAfterBreak="0">
    <w:nsid w:val="087C268C"/>
    <w:multiLevelType w:val="hybridMultilevel"/>
    <w:tmpl w:val="E0A6CA9A"/>
    <w:lvl w:ilvl="0" w:tplc="44EEC084">
      <w:start w:val="1"/>
      <w:numFmt w:val="bullet"/>
      <w:lvlText w:val="&gt;"/>
      <w:lvlJc w:val="left"/>
      <w:pPr>
        <w:ind w:left="720" w:hanging="360"/>
      </w:pPr>
      <w:rPr>
        <w:rFonts w:ascii="HelveticaNeueLT Std" w:hAnsi="HelveticaNeueLT Std"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BEA4E2A"/>
    <w:multiLevelType w:val="hybridMultilevel"/>
    <w:tmpl w:val="E6562D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DE06B1B"/>
    <w:multiLevelType w:val="hybridMultilevel"/>
    <w:tmpl w:val="788E5DFA"/>
    <w:lvl w:ilvl="0" w:tplc="FE9EAA6A">
      <w:start w:val="1"/>
      <w:numFmt w:val="bullet"/>
      <w:lvlText w:val="&gt;"/>
      <w:lvlJc w:val="left"/>
      <w:pPr>
        <w:ind w:left="425" w:hanging="360"/>
      </w:pPr>
      <w:rPr>
        <w:rFonts w:ascii="Vrinda" w:hAnsi="Vrinda" w:hint="default"/>
        <w:b w:val="0"/>
        <w:sz w:val="20"/>
        <w:szCs w:val="20"/>
      </w:rPr>
    </w:lvl>
    <w:lvl w:ilvl="1" w:tplc="0C090003" w:tentative="1">
      <w:start w:val="1"/>
      <w:numFmt w:val="bullet"/>
      <w:lvlText w:val="o"/>
      <w:lvlJc w:val="left"/>
      <w:pPr>
        <w:ind w:left="1145" w:hanging="360"/>
      </w:pPr>
      <w:rPr>
        <w:rFonts w:ascii="Courier New" w:hAnsi="Courier New" w:cs="Courier New" w:hint="default"/>
      </w:rPr>
    </w:lvl>
    <w:lvl w:ilvl="2" w:tplc="0C090005" w:tentative="1">
      <w:start w:val="1"/>
      <w:numFmt w:val="bullet"/>
      <w:lvlText w:val=""/>
      <w:lvlJc w:val="left"/>
      <w:pPr>
        <w:ind w:left="1865" w:hanging="360"/>
      </w:pPr>
      <w:rPr>
        <w:rFonts w:ascii="Wingdings" w:hAnsi="Wingdings" w:hint="default"/>
      </w:rPr>
    </w:lvl>
    <w:lvl w:ilvl="3" w:tplc="0C090001" w:tentative="1">
      <w:start w:val="1"/>
      <w:numFmt w:val="bullet"/>
      <w:lvlText w:val=""/>
      <w:lvlJc w:val="left"/>
      <w:pPr>
        <w:ind w:left="2585" w:hanging="360"/>
      </w:pPr>
      <w:rPr>
        <w:rFonts w:ascii="Symbol" w:hAnsi="Symbol" w:hint="default"/>
      </w:rPr>
    </w:lvl>
    <w:lvl w:ilvl="4" w:tplc="0C090003" w:tentative="1">
      <w:start w:val="1"/>
      <w:numFmt w:val="bullet"/>
      <w:lvlText w:val="o"/>
      <w:lvlJc w:val="left"/>
      <w:pPr>
        <w:ind w:left="3305" w:hanging="360"/>
      </w:pPr>
      <w:rPr>
        <w:rFonts w:ascii="Courier New" w:hAnsi="Courier New" w:cs="Courier New" w:hint="default"/>
      </w:rPr>
    </w:lvl>
    <w:lvl w:ilvl="5" w:tplc="0C090005" w:tentative="1">
      <w:start w:val="1"/>
      <w:numFmt w:val="bullet"/>
      <w:lvlText w:val=""/>
      <w:lvlJc w:val="left"/>
      <w:pPr>
        <w:ind w:left="4025" w:hanging="360"/>
      </w:pPr>
      <w:rPr>
        <w:rFonts w:ascii="Wingdings" w:hAnsi="Wingdings" w:hint="default"/>
      </w:rPr>
    </w:lvl>
    <w:lvl w:ilvl="6" w:tplc="0C090001" w:tentative="1">
      <w:start w:val="1"/>
      <w:numFmt w:val="bullet"/>
      <w:lvlText w:val=""/>
      <w:lvlJc w:val="left"/>
      <w:pPr>
        <w:ind w:left="4745" w:hanging="360"/>
      </w:pPr>
      <w:rPr>
        <w:rFonts w:ascii="Symbol" w:hAnsi="Symbol" w:hint="default"/>
      </w:rPr>
    </w:lvl>
    <w:lvl w:ilvl="7" w:tplc="0C090003" w:tentative="1">
      <w:start w:val="1"/>
      <w:numFmt w:val="bullet"/>
      <w:lvlText w:val="o"/>
      <w:lvlJc w:val="left"/>
      <w:pPr>
        <w:ind w:left="5465" w:hanging="360"/>
      </w:pPr>
      <w:rPr>
        <w:rFonts w:ascii="Courier New" w:hAnsi="Courier New" w:cs="Courier New" w:hint="default"/>
      </w:rPr>
    </w:lvl>
    <w:lvl w:ilvl="8" w:tplc="0C090005" w:tentative="1">
      <w:start w:val="1"/>
      <w:numFmt w:val="bullet"/>
      <w:lvlText w:val=""/>
      <w:lvlJc w:val="left"/>
      <w:pPr>
        <w:ind w:left="6185" w:hanging="360"/>
      </w:pPr>
      <w:rPr>
        <w:rFonts w:ascii="Wingdings" w:hAnsi="Wingdings" w:hint="default"/>
      </w:rPr>
    </w:lvl>
  </w:abstractNum>
  <w:abstractNum w:abstractNumId="8" w15:restartNumberingAfterBreak="0">
    <w:nsid w:val="0E5E4C55"/>
    <w:multiLevelType w:val="hybridMultilevel"/>
    <w:tmpl w:val="21A87B5A"/>
    <w:lvl w:ilvl="0" w:tplc="FE9EAA6A">
      <w:start w:val="1"/>
      <w:numFmt w:val="bullet"/>
      <w:lvlText w:val="&gt;"/>
      <w:lvlJc w:val="left"/>
      <w:pPr>
        <w:ind w:left="720" w:hanging="360"/>
      </w:pPr>
      <w:rPr>
        <w:rFonts w:ascii="Vrinda" w:hAnsi="Vrinda" w:hint="default"/>
        <w:b w:val="0"/>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4033876"/>
    <w:multiLevelType w:val="multilevel"/>
    <w:tmpl w:val="798E9E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4743A0B"/>
    <w:multiLevelType w:val="hybridMultilevel"/>
    <w:tmpl w:val="FC24AAFA"/>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15:restartNumberingAfterBreak="0">
    <w:nsid w:val="281D1869"/>
    <w:multiLevelType w:val="hybridMultilevel"/>
    <w:tmpl w:val="44CCDBB4"/>
    <w:lvl w:ilvl="0" w:tplc="B4DE576E">
      <w:start w:val="1"/>
      <w:numFmt w:val="decimal"/>
      <w:pStyle w:val="ACMANumberedList"/>
      <w:lvlText w:val="%1."/>
      <w:lvlJc w:val="left"/>
      <w:pPr>
        <w:tabs>
          <w:tab w:val="num" w:pos="644"/>
        </w:tabs>
        <w:ind w:left="644" w:hanging="360"/>
      </w:pPr>
    </w:lvl>
    <w:lvl w:ilvl="1" w:tplc="04090019">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start w:val="1"/>
      <w:numFmt w:val="decimal"/>
      <w:lvlText w:val="%4."/>
      <w:lvlJc w:val="left"/>
      <w:pPr>
        <w:tabs>
          <w:tab w:val="num" w:pos="2804"/>
        </w:tabs>
        <w:ind w:left="2804" w:hanging="360"/>
      </w:pPr>
    </w:lvl>
    <w:lvl w:ilvl="4" w:tplc="04090019">
      <w:start w:val="1"/>
      <w:numFmt w:val="lowerLetter"/>
      <w:lvlText w:val="%5."/>
      <w:lvlJc w:val="left"/>
      <w:pPr>
        <w:tabs>
          <w:tab w:val="num" w:pos="3524"/>
        </w:tabs>
        <w:ind w:left="3524" w:hanging="360"/>
      </w:pPr>
    </w:lvl>
    <w:lvl w:ilvl="5" w:tplc="0409001B">
      <w:start w:val="1"/>
      <w:numFmt w:val="lowerRoman"/>
      <w:lvlText w:val="%6."/>
      <w:lvlJc w:val="right"/>
      <w:pPr>
        <w:tabs>
          <w:tab w:val="num" w:pos="4244"/>
        </w:tabs>
        <w:ind w:left="4244" w:hanging="180"/>
      </w:pPr>
    </w:lvl>
    <w:lvl w:ilvl="6" w:tplc="0409000F">
      <w:start w:val="1"/>
      <w:numFmt w:val="decimal"/>
      <w:lvlText w:val="%7."/>
      <w:lvlJc w:val="left"/>
      <w:pPr>
        <w:tabs>
          <w:tab w:val="num" w:pos="4964"/>
        </w:tabs>
        <w:ind w:left="4964" w:hanging="360"/>
      </w:pPr>
    </w:lvl>
    <w:lvl w:ilvl="7" w:tplc="04090019">
      <w:start w:val="1"/>
      <w:numFmt w:val="lowerLetter"/>
      <w:lvlText w:val="%8."/>
      <w:lvlJc w:val="left"/>
      <w:pPr>
        <w:tabs>
          <w:tab w:val="num" w:pos="5684"/>
        </w:tabs>
        <w:ind w:left="5684" w:hanging="360"/>
      </w:pPr>
    </w:lvl>
    <w:lvl w:ilvl="8" w:tplc="0409001B">
      <w:start w:val="1"/>
      <w:numFmt w:val="lowerRoman"/>
      <w:lvlText w:val="%9."/>
      <w:lvlJc w:val="right"/>
      <w:pPr>
        <w:tabs>
          <w:tab w:val="num" w:pos="6404"/>
        </w:tabs>
        <w:ind w:left="6404" w:hanging="180"/>
      </w:pPr>
    </w:lvl>
  </w:abstractNum>
  <w:abstractNum w:abstractNumId="12" w15:restartNumberingAfterBreak="0">
    <w:nsid w:val="29932CE0"/>
    <w:multiLevelType w:val="hybridMultilevel"/>
    <w:tmpl w:val="F2544176"/>
    <w:lvl w:ilvl="0" w:tplc="0C090001">
      <w:start w:val="3"/>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E301DD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4" w15:restartNumberingAfterBreak="0">
    <w:nsid w:val="2F213CEB"/>
    <w:multiLevelType w:val="hybridMultilevel"/>
    <w:tmpl w:val="1F52F46A"/>
    <w:lvl w:ilvl="0" w:tplc="133AE71E">
      <w:start w:val="3"/>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F5A5080"/>
    <w:multiLevelType w:val="hybridMultilevel"/>
    <w:tmpl w:val="BE2AF6CE"/>
    <w:lvl w:ilvl="0" w:tplc="D05E2434">
      <w:start w:val="1"/>
      <w:numFmt w:val="bullet"/>
      <w:pStyle w:val="ACMABulletLevel1"/>
      <w:lvlText w:val="●"/>
      <w:lvlJc w:val="left"/>
      <w:pPr>
        <w:ind w:left="357" w:hanging="357"/>
      </w:pPr>
      <w:rPr>
        <w:rFonts w:ascii="Arial" w:hAnsi="Arial" w:cs="Arial" w:hint="default"/>
        <w:sz w:val="20"/>
        <w:szCs w:val="20"/>
      </w:rPr>
    </w:lvl>
    <w:lvl w:ilvl="1" w:tplc="04090003">
      <w:start w:val="1"/>
      <w:numFmt w:val="bullet"/>
      <w:lvlText w:val="o"/>
      <w:lvlJc w:val="left"/>
      <w:pPr>
        <w:tabs>
          <w:tab w:val="num" w:pos="1728"/>
        </w:tabs>
        <w:ind w:left="1728" w:hanging="360"/>
      </w:pPr>
      <w:rPr>
        <w:rFonts w:ascii="Courier New" w:hAnsi="Courier New" w:cs="Times New Roman"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cs="Times New Roman"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cs="Times New Roman"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16" w15:restartNumberingAfterBreak="0">
    <w:nsid w:val="2FD94B6E"/>
    <w:multiLevelType w:val="hybridMultilevel"/>
    <w:tmpl w:val="E10E939C"/>
    <w:lvl w:ilvl="0" w:tplc="0804E31C">
      <w:start w:val="1"/>
      <w:numFmt w:val="bullet"/>
      <w:lvlText w:val=""/>
      <w:lvlJc w:val="left"/>
      <w:pPr>
        <w:ind w:left="785" w:hanging="360"/>
      </w:pPr>
      <w:rPr>
        <w:rFonts w:ascii="Symbol" w:hAnsi="Symbol" w:hint="default"/>
      </w:rPr>
    </w:lvl>
    <w:lvl w:ilvl="1" w:tplc="0C090003">
      <w:start w:val="1"/>
      <w:numFmt w:val="bullet"/>
      <w:lvlText w:val="o"/>
      <w:lvlJc w:val="left"/>
      <w:pPr>
        <w:ind w:left="1505" w:hanging="360"/>
      </w:pPr>
      <w:rPr>
        <w:rFonts w:ascii="Courier New" w:hAnsi="Courier New" w:cs="Courier New" w:hint="default"/>
      </w:rPr>
    </w:lvl>
    <w:lvl w:ilvl="2" w:tplc="0C090005">
      <w:start w:val="1"/>
      <w:numFmt w:val="bullet"/>
      <w:lvlText w:val=""/>
      <w:lvlJc w:val="left"/>
      <w:pPr>
        <w:ind w:left="2225" w:hanging="360"/>
      </w:pPr>
      <w:rPr>
        <w:rFonts w:ascii="Wingdings" w:hAnsi="Wingdings" w:hint="default"/>
      </w:rPr>
    </w:lvl>
    <w:lvl w:ilvl="3" w:tplc="0C090001">
      <w:start w:val="1"/>
      <w:numFmt w:val="bullet"/>
      <w:lvlText w:val=""/>
      <w:lvlJc w:val="left"/>
      <w:pPr>
        <w:ind w:left="2945" w:hanging="360"/>
      </w:pPr>
      <w:rPr>
        <w:rFonts w:ascii="Symbol" w:hAnsi="Symbol" w:hint="default"/>
      </w:rPr>
    </w:lvl>
    <w:lvl w:ilvl="4" w:tplc="0C090003">
      <w:start w:val="1"/>
      <w:numFmt w:val="bullet"/>
      <w:lvlText w:val="o"/>
      <w:lvlJc w:val="left"/>
      <w:pPr>
        <w:ind w:left="3665" w:hanging="360"/>
      </w:pPr>
      <w:rPr>
        <w:rFonts w:ascii="Courier New" w:hAnsi="Courier New" w:cs="Courier New" w:hint="default"/>
      </w:rPr>
    </w:lvl>
    <w:lvl w:ilvl="5" w:tplc="0C090005">
      <w:start w:val="1"/>
      <w:numFmt w:val="bullet"/>
      <w:lvlText w:val=""/>
      <w:lvlJc w:val="left"/>
      <w:pPr>
        <w:ind w:left="4385" w:hanging="360"/>
      </w:pPr>
      <w:rPr>
        <w:rFonts w:ascii="Wingdings" w:hAnsi="Wingdings" w:hint="default"/>
      </w:rPr>
    </w:lvl>
    <w:lvl w:ilvl="6" w:tplc="0C090001">
      <w:start w:val="1"/>
      <w:numFmt w:val="bullet"/>
      <w:lvlText w:val=""/>
      <w:lvlJc w:val="left"/>
      <w:pPr>
        <w:ind w:left="5105" w:hanging="360"/>
      </w:pPr>
      <w:rPr>
        <w:rFonts w:ascii="Symbol" w:hAnsi="Symbol" w:hint="default"/>
      </w:rPr>
    </w:lvl>
    <w:lvl w:ilvl="7" w:tplc="0C090003">
      <w:start w:val="1"/>
      <w:numFmt w:val="bullet"/>
      <w:lvlText w:val="o"/>
      <w:lvlJc w:val="left"/>
      <w:pPr>
        <w:ind w:left="5825" w:hanging="360"/>
      </w:pPr>
      <w:rPr>
        <w:rFonts w:ascii="Courier New" w:hAnsi="Courier New" w:cs="Courier New" w:hint="default"/>
      </w:rPr>
    </w:lvl>
    <w:lvl w:ilvl="8" w:tplc="0C090005">
      <w:start w:val="1"/>
      <w:numFmt w:val="bullet"/>
      <w:lvlText w:val=""/>
      <w:lvlJc w:val="left"/>
      <w:pPr>
        <w:ind w:left="6545" w:hanging="360"/>
      </w:pPr>
      <w:rPr>
        <w:rFonts w:ascii="Wingdings" w:hAnsi="Wingdings" w:hint="default"/>
      </w:rPr>
    </w:lvl>
  </w:abstractNum>
  <w:abstractNum w:abstractNumId="17" w15:restartNumberingAfterBreak="0">
    <w:nsid w:val="35A77699"/>
    <w:multiLevelType w:val="hybridMultilevel"/>
    <w:tmpl w:val="73E0FA24"/>
    <w:lvl w:ilvl="0" w:tplc="F510059A">
      <w:start w:val="1"/>
      <w:numFmt w:val="decimal"/>
      <w:pStyle w:val="ACMATableHeader"/>
      <w:lvlText w:val="Table %1"/>
      <w:lvlJc w:val="left"/>
      <w:pPr>
        <w:ind w:left="720" w:hanging="36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37020905"/>
    <w:multiLevelType w:val="hybridMultilevel"/>
    <w:tmpl w:val="A97688EE"/>
    <w:lvl w:ilvl="0" w:tplc="FA94A91C">
      <w:start w:val="1"/>
      <w:numFmt w:val="decimal"/>
      <w:lvlText w:val="%1."/>
      <w:lvlJc w:val="left"/>
      <w:pPr>
        <w:ind w:left="1211" w:hanging="360"/>
      </w:pPr>
      <w:rPr>
        <w:rFonts w:ascii="Arial" w:hAnsi="Arial" w:cs="Arial" w:hint="default"/>
      </w:r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start w:val="1"/>
      <w:numFmt w:val="lowerLetter"/>
      <w:lvlText w:val="%5."/>
      <w:lvlJc w:val="left"/>
      <w:pPr>
        <w:ind w:left="3240" w:hanging="360"/>
      </w:pPr>
    </w:lvl>
    <w:lvl w:ilvl="5" w:tplc="0C09001B">
      <w:start w:val="1"/>
      <w:numFmt w:val="lowerRoman"/>
      <w:lvlText w:val="%6."/>
      <w:lvlJc w:val="right"/>
      <w:pPr>
        <w:ind w:left="3960" w:hanging="180"/>
      </w:pPr>
    </w:lvl>
    <w:lvl w:ilvl="6" w:tplc="0C09000F">
      <w:start w:val="1"/>
      <w:numFmt w:val="decimal"/>
      <w:lvlText w:val="%7."/>
      <w:lvlJc w:val="left"/>
      <w:pPr>
        <w:ind w:left="4680" w:hanging="360"/>
      </w:pPr>
    </w:lvl>
    <w:lvl w:ilvl="7" w:tplc="0C090019">
      <w:start w:val="1"/>
      <w:numFmt w:val="lowerLetter"/>
      <w:lvlText w:val="%8."/>
      <w:lvlJc w:val="left"/>
      <w:pPr>
        <w:ind w:left="5400" w:hanging="360"/>
      </w:pPr>
    </w:lvl>
    <w:lvl w:ilvl="8" w:tplc="0C09001B">
      <w:start w:val="1"/>
      <w:numFmt w:val="lowerRoman"/>
      <w:lvlText w:val="%9."/>
      <w:lvlJc w:val="right"/>
      <w:pPr>
        <w:ind w:left="6120" w:hanging="180"/>
      </w:pPr>
    </w:lvl>
  </w:abstractNum>
  <w:abstractNum w:abstractNumId="19" w15:restartNumberingAfterBreak="0">
    <w:nsid w:val="39953DB0"/>
    <w:multiLevelType w:val="hybridMultilevel"/>
    <w:tmpl w:val="FFFFFFFF"/>
    <w:lvl w:ilvl="0" w:tplc="B534410E">
      <w:start w:val="1"/>
      <w:numFmt w:val="bullet"/>
      <w:lvlText w:val=""/>
      <w:lvlJc w:val="left"/>
      <w:pPr>
        <w:ind w:left="720" w:hanging="360"/>
      </w:pPr>
      <w:rPr>
        <w:rFonts w:ascii="Symbol" w:hAnsi="Symbol" w:hint="default"/>
      </w:rPr>
    </w:lvl>
    <w:lvl w:ilvl="1" w:tplc="11B46A62">
      <w:start w:val="1"/>
      <w:numFmt w:val="bullet"/>
      <w:lvlText w:val="o"/>
      <w:lvlJc w:val="left"/>
      <w:pPr>
        <w:ind w:left="1440" w:hanging="360"/>
      </w:pPr>
      <w:rPr>
        <w:rFonts w:ascii="Courier New" w:hAnsi="Courier New" w:hint="default"/>
      </w:rPr>
    </w:lvl>
    <w:lvl w:ilvl="2" w:tplc="9D14A55A">
      <w:start w:val="1"/>
      <w:numFmt w:val="bullet"/>
      <w:lvlText w:val=""/>
      <w:lvlJc w:val="left"/>
      <w:pPr>
        <w:ind w:left="2160" w:hanging="360"/>
      </w:pPr>
      <w:rPr>
        <w:rFonts w:ascii="Wingdings" w:hAnsi="Wingdings" w:hint="default"/>
      </w:rPr>
    </w:lvl>
    <w:lvl w:ilvl="3" w:tplc="D7485F1A">
      <w:start w:val="1"/>
      <w:numFmt w:val="bullet"/>
      <w:lvlText w:val=""/>
      <w:lvlJc w:val="left"/>
      <w:pPr>
        <w:ind w:left="2880" w:hanging="360"/>
      </w:pPr>
      <w:rPr>
        <w:rFonts w:ascii="Symbol" w:hAnsi="Symbol" w:hint="default"/>
      </w:rPr>
    </w:lvl>
    <w:lvl w:ilvl="4" w:tplc="E3C6E03C">
      <w:start w:val="1"/>
      <w:numFmt w:val="bullet"/>
      <w:lvlText w:val="o"/>
      <w:lvlJc w:val="left"/>
      <w:pPr>
        <w:ind w:left="3600" w:hanging="360"/>
      </w:pPr>
      <w:rPr>
        <w:rFonts w:ascii="Courier New" w:hAnsi="Courier New" w:hint="default"/>
      </w:rPr>
    </w:lvl>
    <w:lvl w:ilvl="5" w:tplc="F5D818B8">
      <w:start w:val="1"/>
      <w:numFmt w:val="bullet"/>
      <w:lvlText w:val=""/>
      <w:lvlJc w:val="left"/>
      <w:pPr>
        <w:ind w:left="4320" w:hanging="360"/>
      </w:pPr>
      <w:rPr>
        <w:rFonts w:ascii="Wingdings" w:hAnsi="Wingdings" w:hint="default"/>
      </w:rPr>
    </w:lvl>
    <w:lvl w:ilvl="6" w:tplc="9C8879E8">
      <w:start w:val="1"/>
      <w:numFmt w:val="bullet"/>
      <w:lvlText w:val=""/>
      <w:lvlJc w:val="left"/>
      <w:pPr>
        <w:ind w:left="5040" w:hanging="360"/>
      </w:pPr>
      <w:rPr>
        <w:rFonts w:ascii="Symbol" w:hAnsi="Symbol" w:hint="default"/>
      </w:rPr>
    </w:lvl>
    <w:lvl w:ilvl="7" w:tplc="5AC00B3A">
      <w:start w:val="1"/>
      <w:numFmt w:val="bullet"/>
      <w:lvlText w:val="o"/>
      <w:lvlJc w:val="left"/>
      <w:pPr>
        <w:ind w:left="5760" w:hanging="360"/>
      </w:pPr>
      <w:rPr>
        <w:rFonts w:ascii="Courier New" w:hAnsi="Courier New" w:hint="default"/>
      </w:rPr>
    </w:lvl>
    <w:lvl w:ilvl="8" w:tplc="05865072">
      <w:start w:val="1"/>
      <w:numFmt w:val="bullet"/>
      <w:lvlText w:val=""/>
      <w:lvlJc w:val="left"/>
      <w:pPr>
        <w:ind w:left="6480" w:hanging="360"/>
      </w:pPr>
      <w:rPr>
        <w:rFonts w:ascii="Wingdings" w:hAnsi="Wingdings" w:hint="default"/>
      </w:rPr>
    </w:lvl>
  </w:abstractNum>
  <w:abstractNum w:abstractNumId="20" w15:restartNumberingAfterBreak="0">
    <w:nsid w:val="41BE5733"/>
    <w:multiLevelType w:val="hybridMultilevel"/>
    <w:tmpl w:val="FFFFFFFF"/>
    <w:lvl w:ilvl="0" w:tplc="13121586">
      <w:start w:val="1"/>
      <w:numFmt w:val="bullet"/>
      <w:lvlText w:val=""/>
      <w:lvlJc w:val="left"/>
      <w:pPr>
        <w:ind w:left="720" w:hanging="360"/>
      </w:pPr>
      <w:rPr>
        <w:rFonts w:ascii="Symbol" w:hAnsi="Symbol" w:hint="default"/>
      </w:rPr>
    </w:lvl>
    <w:lvl w:ilvl="1" w:tplc="F388411C">
      <w:start w:val="1"/>
      <w:numFmt w:val="bullet"/>
      <w:lvlText w:val="o"/>
      <w:lvlJc w:val="left"/>
      <w:pPr>
        <w:ind w:left="1440" w:hanging="360"/>
      </w:pPr>
      <w:rPr>
        <w:rFonts w:ascii="Courier New" w:hAnsi="Courier New" w:hint="default"/>
      </w:rPr>
    </w:lvl>
    <w:lvl w:ilvl="2" w:tplc="61E406E2">
      <w:start w:val="1"/>
      <w:numFmt w:val="bullet"/>
      <w:lvlText w:val=""/>
      <w:lvlJc w:val="left"/>
      <w:pPr>
        <w:ind w:left="2160" w:hanging="360"/>
      </w:pPr>
      <w:rPr>
        <w:rFonts w:ascii="Wingdings" w:hAnsi="Wingdings" w:hint="default"/>
      </w:rPr>
    </w:lvl>
    <w:lvl w:ilvl="3" w:tplc="4824EFEA">
      <w:start w:val="1"/>
      <w:numFmt w:val="bullet"/>
      <w:lvlText w:val=""/>
      <w:lvlJc w:val="left"/>
      <w:pPr>
        <w:ind w:left="2880" w:hanging="360"/>
      </w:pPr>
      <w:rPr>
        <w:rFonts w:ascii="Symbol" w:hAnsi="Symbol" w:hint="default"/>
      </w:rPr>
    </w:lvl>
    <w:lvl w:ilvl="4" w:tplc="6E80840A">
      <w:start w:val="1"/>
      <w:numFmt w:val="bullet"/>
      <w:lvlText w:val="o"/>
      <w:lvlJc w:val="left"/>
      <w:pPr>
        <w:ind w:left="3600" w:hanging="360"/>
      </w:pPr>
      <w:rPr>
        <w:rFonts w:ascii="Courier New" w:hAnsi="Courier New" w:hint="default"/>
      </w:rPr>
    </w:lvl>
    <w:lvl w:ilvl="5" w:tplc="1B3C4670">
      <w:start w:val="1"/>
      <w:numFmt w:val="bullet"/>
      <w:lvlText w:val=""/>
      <w:lvlJc w:val="left"/>
      <w:pPr>
        <w:ind w:left="4320" w:hanging="360"/>
      </w:pPr>
      <w:rPr>
        <w:rFonts w:ascii="Wingdings" w:hAnsi="Wingdings" w:hint="default"/>
      </w:rPr>
    </w:lvl>
    <w:lvl w:ilvl="6" w:tplc="B652E900">
      <w:start w:val="1"/>
      <w:numFmt w:val="bullet"/>
      <w:lvlText w:val=""/>
      <w:lvlJc w:val="left"/>
      <w:pPr>
        <w:ind w:left="5040" w:hanging="360"/>
      </w:pPr>
      <w:rPr>
        <w:rFonts w:ascii="Symbol" w:hAnsi="Symbol" w:hint="default"/>
      </w:rPr>
    </w:lvl>
    <w:lvl w:ilvl="7" w:tplc="5FD6107E">
      <w:start w:val="1"/>
      <w:numFmt w:val="bullet"/>
      <w:lvlText w:val="o"/>
      <w:lvlJc w:val="left"/>
      <w:pPr>
        <w:ind w:left="5760" w:hanging="360"/>
      </w:pPr>
      <w:rPr>
        <w:rFonts w:ascii="Courier New" w:hAnsi="Courier New" w:hint="default"/>
      </w:rPr>
    </w:lvl>
    <w:lvl w:ilvl="8" w:tplc="3572E266">
      <w:start w:val="1"/>
      <w:numFmt w:val="bullet"/>
      <w:lvlText w:val=""/>
      <w:lvlJc w:val="left"/>
      <w:pPr>
        <w:ind w:left="6480" w:hanging="360"/>
      </w:pPr>
      <w:rPr>
        <w:rFonts w:ascii="Wingdings" w:hAnsi="Wingdings" w:hint="default"/>
      </w:rPr>
    </w:lvl>
  </w:abstractNum>
  <w:abstractNum w:abstractNumId="21" w15:restartNumberingAfterBreak="0">
    <w:nsid w:val="428C330B"/>
    <w:multiLevelType w:val="hybridMultilevel"/>
    <w:tmpl w:val="ADAAD266"/>
    <w:lvl w:ilvl="0" w:tplc="0C090001">
      <w:start w:val="850"/>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36673AC"/>
    <w:multiLevelType w:val="hybridMultilevel"/>
    <w:tmpl w:val="A4945F22"/>
    <w:lvl w:ilvl="0" w:tplc="FE9EAA6A">
      <w:start w:val="1"/>
      <w:numFmt w:val="bullet"/>
      <w:lvlText w:val="&gt;"/>
      <w:lvlJc w:val="left"/>
      <w:pPr>
        <w:ind w:left="360" w:hanging="360"/>
      </w:pPr>
      <w:rPr>
        <w:rFonts w:ascii="Vrinda" w:hAnsi="Vrinda" w:hint="default"/>
        <w:b w:val="0"/>
        <w:sz w:val="20"/>
        <w:szCs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15:restartNumberingAfterBreak="0">
    <w:nsid w:val="45B274D1"/>
    <w:multiLevelType w:val="hybridMultilevel"/>
    <w:tmpl w:val="152C7FF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555A1D6B"/>
    <w:multiLevelType w:val="hybridMultilevel"/>
    <w:tmpl w:val="7D3853D8"/>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25" w15:restartNumberingAfterBreak="0">
    <w:nsid w:val="55AA21F0"/>
    <w:multiLevelType w:val="hybridMultilevel"/>
    <w:tmpl w:val="EB34AB04"/>
    <w:lvl w:ilvl="0" w:tplc="2E12CADE">
      <w:start w:val="1"/>
      <w:numFmt w:val="decimal"/>
      <w:lvlText w:val="Table %1"/>
      <w:lvlJc w:val="left"/>
      <w:pPr>
        <w:ind w:left="360" w:hanging="360"/>
      </w:pPr>
      <w:rPr>
        <w:rFonts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A954D2D"/>
    <w:multiLevelType w:val="hybridMultilevel"/>
    <w:tmpl w:val="DD50C584"/>
    <w:lvl w:ilvl="0" w:tplc="0C090017">
      <w:start w:val="1"/>
      <w:numFmt w:val="lowerLetter"/>
      <w:lvlText w:val="%1)"/>
      <w:lvlJc w:val="left"/>
      <w:pPr>
        <w:ind w:left="360" w:hanging="360"/>
      </w:pPr>
    </w:lvl>
    <w:lvl w:ilvl="1" w:tplc="E444AD82">
      <w:start w:val="1"/>
      <w:numFmt w:val="lowerRoman"/>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start w:val="1"/>
      <w:numFmt w:val="lowerLetter"/>
      <w:lvlText w:val="%5."/>
      <w:lvlJc w:val="left"/>
      <w:pPr>
        <w:ind w:left="3240" w:hanging="360"/>
      </w:pPr>
    </w:lvl>
    <w:lvl w:ilvl="5" w:tplc="0C09001B">
      <w:start w:val="1"/>
      <w:numFmt w:val="lowerRoman"/>
      <w:lvlText w:val="%6."/>
      <w:lvlJc w:val="right"/>
      <w:pPr>
        <w:ind w:left="3960" w:hanging="180"/>
      </w:pPr>
    </w:lvl>
    <w:lvl w:ilvl="6" w:tplc="0C09000F">
      <w:start w:val="1"/>
      <w:numFmt w:val="decimal"/>
      <w:lvlText w:val="%7."/>
      <w:lvlJc w:val="left"/>
      <w:pPr>
        <w:ind w:left="4680" w:hanging="360"/>
      </w:pPr>
    </w:lvl>
    <w:lvl w:ilvl="7" w:tplc="0C090019">
      <w:start w:val="1"/>
      <w:numFmt w:val="lowerLetter"/>
      <w:lvlText w:val="%8."/>
      <w:lvlJc w:val="left"/>
      <w:pPr>
        <w:ind w:left="5400" w:hanging="360"/>
      </w:pPr>
    </w:lvl>
    <w:lvl w:ilvl="8" w:tplc="0C09001B">
      <w:start w:val="1"/>
      <w:numFmt w:val="lowerRoman"/>
      <w:lvlText w:val="%9."/>
      <w:lvlJc w:val="right"/>
      <w:pPr>
        <w:ind w:left="6120" w:hanging="180"/>
      </w:pPr>
    </w:lvl>
  </w:abstractNum>
  <w:abstractNum w:abstractNumId="27" w15:restartNumberingAfterBreak="0">
    <w:nsid w:val="5F95229A"/>
    <w:multiLevelType w:val="hybridMultilevel"/>
    <w:tmpl w:val="88E43A32"/>
    <w:lvl w:ilvl="0" w:tplc="583A0DB8">
      <w:numFmt w:val="bullet"/>
      <w:lvlText w:val="-"/>
      <w:lvlJc w:val="left"/>
      <w:pPr>
        <w:ind w:left="720" w:hanging="360"/>
      </w:pPr>
      <w:rPr>
        <w:rFonts w:ascii="Calibri" w:eastAsia="Calibri" w:hAnsi="Calibri" w:cs="Calibr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8" w15:restartNumberingAfterBreak="0">
    <w:nsid w:val="5FE65057"/>
    <w:multiLevelType w:val="hybridMultilevel"/>
    <w:tmpl w:val="07C8C7E0"/>
    <w:lvl w:ilvl="0" w:tplc="1AAA69C4">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cs="Wingdings" w:hint="default"/>
      </w:rPr>
    </w:lvl>
    <w:lvl w:ilvl="3" w:tplc="0C090001" w:tentative="1">
      <w:start w:val="1"/>
      <w:numFmt w:val="bullet"/>
      <w:lvlText w:val=""/>
      <w:lvlJc w:val="left"/>
      <w:pPr>
        <w:ind w:left="2880" w:hanging="360"/>
      </w:pPr>
      <w:rPr>
        <w:rFonts w:ascii="Symbol" w:hAnsi="Symbol" w:cs="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cs="Wingdings" w:hint="default"/>
      </w:rPr>
    </w:lvl>
    <w:lvl w:ilvl="6" w:tplc="0C090001" w:tentative="1">
      <w:start w:val="1"/>
      <w:numFmt w:val="bullet"/>
      <w:lvlText w:val=""/>
      <w:lvlJc w:val="left"/>
      <w:pPr>
        <w:ind w:left="5040" w:hanging="360"/>
      </w:pPr>
      <w:rPr>
        <w:rFonts w:ascii="Symbol" w:hAnsi="Symbol" w:cs="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cs="Wingdings" w:hint="default"/>
      </w:rPr>
    </w:lvl>
  </w:abstractNum>
  <w:abstractNum w:abstractNumId="29" w15:restartNumberingAfterBreak="0">
    <w:nsid w:val="614028CE"/>
    <w:multiLevelType w:val="hybridMultilevel"/>
    <w:tmpl w:val="55F03F30"/>
    <w:lvl w:ilvl="0" w:tplc="FE9EAA6A">
      <w:start w:val="1"/>
      <w:numFmt w:val="bullet"/>
      <w:lvlText w:val="&gt;"/>
      <w:lvlJc w:val="left"/>
      <w:pPr>
        <w:ind w:left="720" w:hanging="360"/>
      </w:pPr>
      <w:rPr>
        <w:rFonts w:ascii="Vrinda" w:hAnsi="Vrinda" w:hint="default"/>
        <w:b w:val="0"/>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C30333"/>
    <w:multiLevelType w:val="hybridMultilevel"/>
    <w:tmpl w:val="A5FC2D54"/>
    <w:lvl w:ilvl="0" w:tplc="65EA47EC">
      <w:start w:val="1"/>
      <w:numFmt w:val="decimal"/>
      <w:pStyle w:val="Captionfigure"/>
      <w:lvlText w:val="Figure %1:"/>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5071478"/>
    <w:multiLevelType w:val="hybridMultilevel"/>
    <w:tmpl w:val="AE80D0E8"/>
    <w:lvl w:ilvl="0" w:tplc="062E4D60">
      <w:start w:val="1"/>
      <w:numFmt w:val="decimal"/>
      <w:pStyle w:val="ACMAFigureHeader"/>
      <w:lvlText w:val="Figure %1"/>
      <w:lvlJc w:val="left"/>
      <w:pPr>
        <w:tabs>
          <w:tab w:val="num" w:pos="1304"/>
        </w:tabs>
        <w:ind w:left="1304"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547088"/>
    <w:multiLevelType w:val="hybridMultilevel"/>
    <w:tmpl w:val="9C76F9D6"/>
    <w:lvl w:ilvl="0" w:tplc="0804E31C">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3" w15:restartNumberingAfterBreak="0">
    <w:nsid w:val="67AC0315"/>
    <w:multiLevelType w:val="hybridMultilevel"/>
    <w:tmpl w:val="062E5054"/>
    <w:lvl w:ilvl="0" w:tplc="00181954">
      <w:start w:val="5"/>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69FF3580"/>
    <w:multiLevelType w:val="hybridMultilevel"/>
    <w:tmpl w:val="4CBA056A"/>
    <w:lvl w:ilvl="0" w:tplc="F96658F2">
      <w:start w:val="1"/>
      <w:numFmt w:val="decimal"/>
      <w:pStyle w:val="Tableheading"/>
      <w:lvlText w:val="Table %1"/>
      <w:lvlJc w:val="left"/>
      <w:pPr>
        <w:ind w:left="720" w:hanging="36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15:restartNumberingAfterBreak="0">
    <w:nsid w:val="6D757AE6"/>
    <w:multiLevelType w:val="hybridMultilevel"/>
    <w:tmpl w:val="4BAEE1E2"/>
    <w:lvl w:ilvl="0" w:tplc="0DA4929C">
      <w:start w:val="1"/>
      <w:numFmt w:val="decimal"/>
      <w:pStyle w:val="Caption"/>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284615"/>
    <w:multiLevelType w:val="hybridMultilevel"/>
    <w:tmpl w:val="FFFFFFFF"/>
    <w:lvl w:ilvl="0" w:tplc="AC5E2814">
      <w:start w:val="1"/>
      <w:numFmt w:val="bullet"/>
      <w:lvlText w:val=""/>
      <w:lvlJc w:val="left"/>
      <w:pPr>
        <w:ind w:left="720" w:hanging="360"/>
      </w:pPr>
      <w:rPr>
        <w:rFonts w:ascii="Symbol" w:hAnsi="Symbol" w:hint="default"/>
      </w:rPr>
    </w:lvl>
    <w:lvl w:ilvl="1" w:tplc="E1260E56">
      <w:start w:val="1"/>
      <w:numFmt w:val="bullet"/>
      <w:lvlText w:val="o"/>
      <w:lvlJc w:val="left"/>
      <w:pPr>
        <w:ind w:left="1440" w:hanging="360"/>
      </w:pPr>
      <w:rPr>
        <w:rFonts w:ascii="Courier New" w:hAnsi="Courier New" w:hint="default"/>
      </w:rPr>
    </w:lvl>
    <w:lvl w:ilvl="2" w:tplc="76E2446C">
      <w:start w:val="1"/>
      <w:numFmt w:val="bullet"/>
      <w:lvlText w:val=""/>
      <w:lvlJc w:val="left"/>
      <w:pPr>
        <w:ind w:left="2160" w:hanging="360"/>
      </w:pPr>
      <w:rPr>
        <w:rFonts w:ascii="Wingdings" w:hAnsi="Wingdings" w:hint="default"/>
      </w:rPr>
    </w:lvl>
    <w:lvl w:ilvl="3" w:tplc="323468A6">
      <w:start w:val="1"/>
      <w:numFmt w:val="bullet"/>
      <w:lvlText w:val=""/>
      <w:lvlJc w:val="left"/>
      <w:pPr>
        <w:ind w:left="2880" w:hanging="360"/>
      </w:pPr>
      <w:rPr>
        <w:rFonts w:ascii="Symbol" w:hAnsi="Symbol" w:hint="default"/>
      </w:rPr>
    </w:lvl>
    <w:lvl w:ilvl="4" w:tplc="0EF2D084">
      <w:start w:val="1"/>
      <w:numFmt w:val="bullet"/>
      <w:lvlText w:val="o"/>
      <w:lvlJc w:val="left"/>
      <w:pPr>
        <w:ind w:left="3600" w:hanging="360"/>
      </w:pPr>
      <w:rPr>
        <w:rFonts w:ascii="Courier New" w:hAnsi="Courier New" w:hint="default"/>
      </w:rPr>
    </w:lvl>
    <w:lvl w:ilvl="5" w:tplc="05307158">
      <w:start w:val="1"/>
      <w:numFmt w:val="bullet"/>
      <w:lvlText w:val=""/>
      <w:lvlJc w:val="left"/>
      <w:pPr>
        <w:ind w:left="4320" w:hanging="360"/>
      </w:pPr>
      <w:rPr>
        <w:rFonts w:ascii="Wingdings" w:hAnsi="Wingdings" w:hint="default"/>
      </w:rPr>
    </w:lvl>
    <w:lvl w:ilvl="6" w:tplc="DD1E424C">
      <w:start w:val="1"/>
      <w:numFmt w:val="bullet"/>
      <w:lvlText w:val=""/>
      <w:lvlJc w:val="left"/>
      <w:pPr>
        <w:ind w:left="5040" w:hanging="360"/>
      </w:pPr>
      <w:rPr>
        <w:rFonts w:ascii="Symbol" w:hAnsi="Symbol" w:hint="default"/>
      </w:rPr>
    </w:lvl>
    <w:lvl w:ilvl="7" w:tplc="E0E0725E">
      <w:start w:val="1"/>
      <w:numFmt w:val="bullet"/>
      <w:lvlText w:val="o"/>
      <w:lvlJc w:val="left"/>
      <w:pPr>
        <w:ind w:left="5760" w:hanging="360"/>
      </w:pPr>
      <w:rPr>
        <w:rFonts w:ascii="Courier New" w:hAnsi="Courier New" w:hint="default"/>
      </w:rPr>
    </w:lvl>
    <w:lvl w:ilvl="8" w:tplc="DE528196">
      <w:start w:val="1"/>
      <w:numFmt w:val="bullet"/>
      <w:lvlText w:val=""/>
      <w:lvlJc w:val="left"/>
      <w:pPr>
        <w:ind w:left="6480" w:hanging="360"/>
      </w:pPr>
      <w:rPr>
        <w:rFonts w:ascii="Wingdings" w:hAnsi="Wingdings" w:hint="default"/>
      </w:rPr>
    </w:lvl>
  </w:abstractNum>
  <w:abstractNum w:abstractNumId="37" w15:restartNumberingAfterBreak="0">
    <w:nsid w:val="6FC34EE3"/>
    <w:multiLevelType w:val="hybridMultilevel"/>
    <w:tmpl w:val="FFFFFFFF"/>
    <w:lvl w:ilvl="0" w:tplc="1B2AA200">
      <w:start w:val="1"/>
      <w:numFmt w:val="bullet"/>
      <w:lvlText w:val=""/>
      <w:lvlJc w:val="left"/>
      <w:pPr>
        <w:ind w:left="720" w:hanging="360"/>
      </w:pPr>
      <w:rPr>
        <w:rFonts w:ascii="Symbol" w:hAnsi="Symbol" w:hint="default"/>
      </w:rPr>
    </w:lvl>
    <w:lvl w:ilvl="1" w:tplc="7CF89D1E">
      <w:start w:val="1"/>
      <w:numFmt w:val="bullet"/>
      <w:lvlText w:val="o"/>
      <w:lvlJc w:val="left"/>
      <w:pPr>
        <w:ind w:left="1440" w:hanging="360"/>
      </w:pPr>
      <w:rPr>
        <w:rFonts w:ascii="Courier New" w:hAnsi="Courier New" w:hint="default"/>
      </w:rPr>
    </w:lvl>
    <w:lvl w:ilvl="2" w:tplc="0C10220A">
      <w:start w:val="1"/>
      <w:numFmt w:val="bullet"/>
      <w:lvlText w:val=""/>
      <w:lvlJc w:val="left"/>
      <w:pPr>
        <w:ind w:left="2160" w:hanging="360"/>
      </w:pPr>
      <w:rPr>
        <w:rFonts w:ascii="Wingdings" w:hAnsi="Wingdings" w:hint="default"/>
      </w:rPr>
    </w:lvl>
    <w:lvl w:ilvl="3" w:tplc="37A06694">
      <w:start w:val="1"/>
      <w:numFmt w:val="bullet"/>
      <w:lvlText w:val=""/>
      <w:lvlJc w:val="left"/>
      <w:pPr>
        <w:ind w:left="2880" w:hanging="360"/>
      </w:pPr>
      <w:rPr>
        <w:rFonts w:ascii="Symbol" w:hAnsi="Symbol" w:hint="default"/>
      </w:rPr>
    </w:lvl>
    <w:lvl w:ilvl="4" w:tplc="C5E80EA2">
      <w:start w:val="1"/>
      <w:numFmt w:val="bullet"/>
      <w:lvlText w:val="o"/>
      <w:lvlJc w:val="left"/>
      <w:pPr>
        <w:ind w:left="3600" w:hanging="360"/>
      </w:pPr>
      <w:rPr>
        <w:rFonts w:ascii="Courier New" w:hAnsi="Courier New" w:hint="default"/>
      </w:rPr>
    </w:lvl>
    <w:lvl w:ilvl="5" w:tplc="C32E3948">
      <w:start w:val="1"/>
      <w:numFmt w:val="bullet"/>
      <w:lvlText w:val=""/>
      <w:lvlJc w:val="left"/>
      <w:pPr>
        <w:ind w:left="4320" w:hanging="360"/>
      </w:pPr>
      <w:rPr>
        <w:rFonts w:ascii="Wingdings" w:hAnsi="Wingdings" w:hint="default"/>
      </w:rPr>
    </w:lvl>
    <w:lvl w:ilvl="6" w:tplc="E9E0FE26">
      <w:start w:val="1"/>
      <w:numFmt w:val="bullet"/>
      <w:lvlText w:val=""/>
      <w:lvlJc w:val="left"/>
      <w:pPr>
        <w:ind w:left="5040" w:hanging="360"/>
      </w:pPr>
      <w:rPr>
        <w:rFonts w:ascii="Symbol" w:hAnsi="Symbol" w:hint="default"/>
      </w:rPr>
    </w:lvl>
    <w:lvl w:ilvl="7" w:tplc="B4B89072">
      <w:start w:val="1"/>
      <w:numFmt w:val="bullet"/>
      <w:lvlText w:val="o"/>
      <w:lvlJc w:val="left"/>
      <w:pPr>
        <w:ind w:left="5760" w:hanging="360"/>
      </w:pPr>
      <w:rPr>
        <w:rFonts w:ascii="Courier New" w:hAnsi="Courier New" w:hint="default"/>
      </w:rPr>
    </w:lvl>
    <w:lvl w:ilvl="8" w:tplc="EFDEBC22">
      <w:start w:val="1"/>
      <w:numFmt w:val="bullet"/>
      <w:lvlText w:val=""/>
      <w:lvlJc w:val="left"/>
      <w:pPr>
        <w:ind w:left="6480" w:hanging="360"/>
      </w:pPr>
      <w:rPr>
        <w:rFonts w:ascii="Wingdings" w:hAnsi="Wingdings" w:hint="default"/>
      </w:rPr>
    </w:lvl>
  </w:abstractNum>
  <w:abstractNum w:abstractNumId="38" w15:restartNumberingAfterBreak="0">
    <w:nsid w:val="744963B6"/>
    <w:multiLevelType w:val="hybridMultilevel"/>
    <w:tmpl w:val="37DA2E7E"/>
    <w:lvl w:ilvl="0" w:tplc="E1308306">
      <w:start w:val="1"/>
      <w:numFmt w:val="bullet"/>
      <w:lvlText w:val=""/>
      <w:lvlJc w:val="left"/>
      <w:pPr>
        <w:ind w:left="11" w:hanging="360"/>
      </w:pPr>
      <w:rPr>
        <w:rFonts w:ascii="Symbol" w:hAnsi="Symbol" w:hint="default"/>
        <w:sz w:val="18"/>
        <w:szCs w:val="18"/>
      </w:rPr>
    </w:lvl>
    <w:lvl w:ilvl="1" w:tplc="0C090003">
      <w:start w:val="1"/>
      <w:numFmt w:val="bullet"/>
      <w:lvlText w:val="o"/>
      <w:lvlJc w:val="left"/>
      <w:pPr>
        <w:ind w:left="731" w:hanging="360"/>
      </w:pPr>
      <w:rPr>
        <w:rFonts w:ascii="Courier New" w:hAnsi="Courier New" w:cs="Courier New" w:hint="default"/>
      </w:rPr>
    </w:lvl>
    <w:lvl w:ilvl="2" w:tplc="0C090005">
      <w:start w:val="1"/>
      <w:numFmt w:val="bullet"/>
      <w:lvlText w:val=""/>
      <w:lvlJc w:val="left"/>
      <w:pPr>
        <w:ind w:left="1451" w:hanging="360"/>
      </w:pPr>
      <w:rPr>
        <w:rFonts w:ascii="Wingdings" w:hAnsi="Wingdings" w:hint="default"/>
      </w:rPr>
    </w:lvl>
    <w:lvl w:ilvl="3" w:tplc="0C090001">
      <w:start w:val="1"/>
      <w:numFmt w:val="bullet"/>
      <w:lvlText w:val=""/>
      <w:lvlJc w:val="left"/>
      <w:pPr>
        <w:ind w:left="2171" w:hanging="360"/>
      </w:pPr>
      <w:rPr>
        <w:rFonts w:ascii="Symbol" w:hAnsi="Symbol" w:hint="default"/>
      </w:rPr>
    </w:lvl>
    <w:lvl w:ilvl="4" w:tplc="0C090003">
      <w:start w:val="1"/>
      <w:numFmt w:val="bullet"/>
      <w:lvlText w:val="o"/>
      <w:lvlJc w:val="left"/>
      <w:pPr>
        <w:ind w:left="2891" w:hanging="360"/>
      </w:pPr>
      <w:rPr>
        <w:rFonts w:ascii="Courier New" w:hAnsi="Courier New" w:cs="Courier New" w:hint="default"/>
      </w:rPr>
    </w:lvl>
    <w:lvl w:ilvl="5" w:tplc="0C090005">
      <w:start w:val="1"/>
      <w:numFmt w:val="bullet"/>
      <w:lvlText w:val=""/>
      <w:lvlJc w:val="left"/>
      <w:pPr>
        <w:ind w:left="3611" w:hanging="360"/>
      </w:pPr>
      <w:rPr>
        <w:rFonts w:ascii="Wingdings" w:hAnsi="Wingdings" w:hint="default"/>
      </w:rPr>
    </w:lvl>
    <w:lvl w:ilvl="6" w:tplc="0C090001">
      <w:start w:val="1"/>
      <w:numFmt w:val="bullet"/>
      <w:lvlText w:val=""/>
      <w:lvlJc w:val="left"/>
      <w:pPr>
        <w:ind w:left="4331" w:hanging="360"/>
      </w:pPr>
      <w:rPr>
        <w:rFonts w:ascii="Symbol" w:hAnsi="Symbol" w:hint="default"/>
      </w:rPr>
    </w:lvl>
    <w:lvl w:ilvl="7" w:tplc="0C090003">
      <w:start w:val="1"/>
      <w:numFmt w:val="bullet"/>
      <w:lvlText w:val="o"/>
      <w:lvlJc w:val="left"/>
      <w:pPr>
        <w:ind w:left="5051" w:hanging="360"/>
      </w:pPr>
      <w:rPr>
        <w:rFonts w:ascii="Courier New" w:hAnsi="Courier New" w:cs="Courier New" w:hint="default"/>
      </w:rPr>
    </w:lvl>
    <w:lvl w:ilvl="8" w:tplc="0C090005">
      <w:start w:val="1"/>
      <w:numFmt w:val="bullet"/>
      <w:lvlText w:val=""/>
      <w:lvlJc w:val="left"/>
      <w:pPr>
        <w:ind w:left="5771" w:hanging="360"/>
      </w:pPr>
      <w:rPr>
        <w:rFonts w:ascii="Wingdings" w:hAnsi="Wingdings" w:hint="default"/>
      </w:rPr>
    </w:lvl>
  </w:abstractNum>
  <w:abstractNum w:abstractNumId="39" w15:restartNumberingAfterBreak="0">
    <w:nsid w:val="7BBB1962"/>
    <w:multiLevelType w:val="hybridMultilevel"/>
    <w:tmpl w:val="F7F063B8"/>
    <w:lvl w:ilvl="0" w:tplc="2C10B5AC">
      <w:numFmt w:val="bullet"/>
      <w:lvlText w:val=""/>
      <w:lvlJc w:val="left"/>
      <w:pPr>
        <w:ind w:left="720" w:hanging="360"/>
      </w:pPr>
      <w:rPr>
        <w:rFonts w:ascii="Symbol" w:eastAsia="Times New Roman"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7E027592"/>
    <w:multiLevelType w:val="hybridMultilevel"/>
    <w:tmpl w:val="597A2230"/>
    <w:lvl w:ilvl="0" w:tplc="0C090017">
      <w:start w:val="1"/>
      <w:numFmt w:val="lowerLetter"/>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start w:val="1"/>
      <w:numFmt w:val="lowerLetter"/>
      <w:lvlText w:val="%5."/>
      <w:lvlJc w:val="left"/>
      <w:pPr>
        <w:ind w:left="3240" w:hanging="360"/>
      </w:pPr>
    </w:lvl>
    <w:lvl w:ilvl="5" w:tplc="0C09001B">
      <w:start w:val="1"/>
      <w:numFmt w:val="lowerRoman"/>
      <w:lvlText w:val="%6."/>
      <w:lvlJc w:val="right"/>
      <w:pPr>
        <w:ind w:left="3960" w:hanging="180"/>
      </w:pPr>
    </w:lvl>
    <w:lvl w:ilvl="6" w:tplc="0C09000F">
      <w:start w:val="1"/>
      <w:numFmt w:val="decimal"/>
      <w:lvlText w:val="%7."/>
      <w:lvlJc w:val="left"/>
      <w:pPr>
        <w:ind w:left="4680" w:hanging="360"/>
      </w:pPr>
    </w:lvl>
    <w:lvl w:ilvl="7" w:tplc="0C090019">
      <w:start w:val="1"/>
      <w:numFmt w:val="lowerLetter"/>
      <w:lvlText w:val="%8."/>
      <w:lvlJc w:val="left"/>
      <w:pPr>
        <w:ind w:left="5400" w:hanging="360"/>
      </w:pPr>
    </w:lvl>
    <w:lvl w:ilvl="8" w:tplc="0C09001B">
      <w:start w:val="1"/>
      <w:numFmt w:val="lowerRoman"/>
      <w:lvlText w:val="%9."/>
      <w:lvlJc w:val="right"/>
      <w:pPr>
        <w:ind w:left="6120" w:hanging="180"/>
      </w:pPr>
    </w:lvl>
  </w:abstractNum>
  <w:abstractNum w:abstractNumId="41" w15:restartNumberingAfterBreak="0">
    <w:nsid w:val="7FD30A23"/>
    <w:multiLevelType w:val="hybridMultilevel"/>
    <w:tmpl w:val="FFFFFFFF"/>
    <w:lvl w:ilvl="0" w:tplc="121E696E">
      <w:start w:val="1"/>
      <w:numFmt w:val="bullet"/>
      <w:lvlText w:val=""/>
      <w:lvlJc w:val="left"/>
      <w:pPr>
        <w:ind w:left="720" w:hanging="360"/>
      </w:pPr>
      <w:rPr>
        <w:rFonts w:ascii="Symbol" w:hAnsi="Symbol" w:hint="default"/>
      </w:rPr>
    </w:lvl>
    <w:lvl w:ilvl="1" w:tplc="17FC8644">
      <w:start w:val="1"/>
      <w:numFmt w:val="bullet"/>
      <w:lvlText w:val="o"/>
      <w:lvlJc w:val="left"/>
      <w:pPr>
        <w:ind w:left="1440" w:hanging="360"/>
      </w:pPr>
      <w:rPr>
        <w:rFonts w:ascii="Courier New" w:hAnsi="Courier New" w:hint="default"/>
      </w:rPr>
    </w:lvl>
    <w:lvl w:ilvl="2" w:tplc="5FA4AD30">
      <w:start w:val="1"/>
      <w:numFmt w:val="bullet"/>
      <w:lvlText w:val=""/>
      <w:lvlJc w:val="left"/>
      <w:pPr>
        <w:ind w:left="2160" w:hanging="360"/>
      </w:pPr>
      <w:rPr>
        <w:rFonts w:ascii="Wingdings" w:hAnsi="Wingdings" w:hint="default"/>
      </w:rPr>
    </w:lvl>
    <w:lvl w:ilvl="3" w:tplc="AA9C9C66">
      <w:start w:val="1"/>
      <w:numFmt w:val="bullet"/>
      <w:lvlText w:val=""/>
      <w:lvlJc w:val="left"/>
      <w:pPr>
        <w:ind w:left="2880" w:hanging="360"/>
      </w:pPr>
      <w:rPr>
        <w:rFonts w:ascii="Symbol" w:hAnsi="Symbol" w:hint="default"/>
      </w:rPr>
    </w:lvl>
    <w:lvl w:ilvl="4" w:tplc="8B4A0DF2">
      <w:start w:val="1"/>
      <w:numFmt w:val="bullet"/>
      <w:lvlText w:val="o"/>
      <w:lvlJc w:val="left"/>
      <w:pPr>
        <w:ind w:left="3600" w:hanging="360"/>
      </w:pPr>
      <w:rPr>
        <w:rFonts w:ascii="Courier New" w:hAnsi="Courier New" w:hint="default"/>
      </w:rPr>
    </w:lvl>
    <w:lvl w:ilvl="5" w:tplc="59E2923E">
      <w:start w:val="1"/>
      <w:numFmt w:val="bullet"/>
      <w:lvlText w:val=""/>
      <w:lvlJc w:val="left"/>
      <w:pPr>
        <w:ind w:left="4320" w:hanging="360"/>
      </w:pPr>
      <w:rPr>
        <w:rFonts w:ascii="Wingdings" w:hAnsi="Wingdings" w:hint="default"/>
      </w:rPr>
    </w:lvl>
    <w:lvl w:ilvl="6" w:tplc="F32C9A00">
      <w:start w:val="1"/>
      <w:numFmt w:val="bullet"/>
      <w:lvlText w:val=""/>
      <w:lvlJc w:val="left"/>
      <w:pPr>
        <w:ind w:left="5040" w:hanging="360"/>
      </w:pPr>
      <w:rPr>
        <w:rFonts w:ascii="Symbol" w:hAnsi="Symbol" w:hint="default"/>
      </w:rPr>
    </w:lvl>
    <w:lvl w:ilvl="7" w:tplc="566610A0">
      <w:start w:val="1"/>
      <w:numFmt w:val="bullet"/>
      <w:lvlText w:val="o"/>
      <w:lvlJc w:val="left"/>
      <w:pPr>
        <w:ind w:left="5760" w:hanging="360"/>
      </w:pPr>
      <w:rPr>
        <w:rFonts w:ascii="Courier New" w:hAnsi="Courier New" w:hint="default"/>
      </w:rPr>
    </w:lvl>
    <w:lvl w:ilvl="8" w:tplc="2594171E">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3"/>
  </w:num>
  <w:num w:numId="4">
    <w:abstractNumId w:val="1"/>
  </w:num>
  <w:num w:numId="5">
    <w:abstractNumId w:val="13"/>
  </w:num>
  <w:num w:numId="6">
    <w:abstractNumId w:val="31"/>
  </w:num>
  <w:num w:numId="7">
    <w:abstractNumId w:val="25"/>
  </w:num>
  <w:num w:numId="8">
    <w:abstractNumId w:val="30"/>
  </w:num>
  <w:num w:numId="9">
    <w:abstractNumId w:val="35"/>
  </w:num>
  <w:num w:numId="10">
    <w:abstractNumId w:val="15"/>
  </w:num>
  <w:num w:numId="11">
    <w:abstractNumId w:val="29"/>
  </w:num>
  <w:num w:numId="12">
    <w:abstractNumId w:val="34"/>
  </w:num>
  <w:num w:numId="13">
    <w:abstractNumId w:val="7"/>
  </w:num>
  <w:num w:numId="14">
    <w:abstractNumId w:val="22"/>
  </w:num>
  <w:num w:numId="15">
    <w:abstractNumId w:val="3"/>
    <w:lvlOverride w:ilvl="0">
      <w:startOverride w:val="1"/>
    </w:lvlOverride>
  </w:num>
  <w:num w:numId="16">
    <w:abstractNumId w:val="4"/>
  </w:num>
  <w:num w:numId="17">
    <w:abstractNumId w:val="4"/>
  </w:num>
  <w:num w:numId="18">
    <w:abstractNumId w:val="9"/>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4"/>
  </w:num>
  <w:num w:numId="23">
    <w:abstractNumId w:val="24"/>
  </w:num>
  <w:num w:numId="24">
    <w:abstractNumId w:val="4"/>
  </w:num>
  <w:num w:numId="25">
    <w:abstractNumId w:val="4"/>
  </w:num>
  <w:num w:numId="26">
    <w:abstractNumId w:val="39"/>
  </w:num>
  <w:num w:numId="27">
    <w:abstractNumId w:val="17"/>
  </w:num>
  <w:num w:numId="28">
    <w:abstractNumId w:val="23"/>
  </w:num>
  <w:num w:numId="29">
    <w:abstractNumId w:val="4"/>
  </w:num>
  <w:num w:numId="30">
    <w:abstractNumId w:val="4"/>
  </w:num>
  <w:num w:numId="31">
    <w:abstractNumId w:val="4"/>
  </w:num>
  <w:num w:numId="32">
    <w:abstractNumId w:val="21"/>
  </w:num>
  <w:num w:numId="33">
    <w:abstractNumId w:val="33"/>
  </w:num>
  <w:num w:numId="34">
    <w:abstractNumId w:val="28"/>
  </w:num>
  <w:num w:numId="35">
    <w:abstractNumId w:val="4"/>
  </w:num>
  <w:num w:numId="36">
    <w:abstractNumId w:val="4"/>
  </w:num>
  <w:num w:numId="37">
    <w:abstractNumId w:val="0"/>
  </w:num>
  <w:num w:numId="38">
    <w:abstractNumId w:val="4"/>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8"/>
  </w:num>
  <w:num w:numId="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num>
  <w:num w:numId="44">
    <w:abstractNumId w:val="4"/>
  </w:num>
  <w:num w:numId="4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
  </w:num>
  <w:num w:numId="48">
    <w:abstractNumId w:val="27"/>
  </w:num>
  <w:num w:numId="49">
    <w:abstractNumId w:val="27"/>
  </w:num>
  <w:num w:numId="50">
    <w:abstractNumId w:val="12"/>
  </w:num>
  <w:num w:numId="51">
    <w:abstractNumId w:val="16"/>
  </w:num>
  <w:num w:numId="52">
    <w:abstractNumId w:val="32"/>
  </w:num>
  <w:num w:numId="53">
    <w:abstractNumId w:val="16"/>
  </w:num>
  <w:num w:numId="54">
    <w:abstractNumId w:val="32"/>
  </w:num>
  <w:num w:numId="55">
    <w:abstractNumId w:val="26"/>
  </w:num>
  <w:num w:numId="56">
    <w:abstractNumId w:val="14"/>
  </w:num>
  <w:num w:numId="57">
    <w:abstractNumId w:val="10"/>
  </w:num>
  <w:num w:numId="58">
    <w:abstractNumId w:val="5"/>
  </w:num>
  <w:num w:numId="59">
    <w:abstractNumId w:val="3"/>
    <w:lvlOverride w:ilvl="0">
      <w:startOverride w:val="1"/>
    </w:lvlOverride>
  </w:num>
  <w:num w:numId="60">
    <w:abstractNumId w:val="8"/>
  </w:num>
  <w:num w:numId="61">
    <w:abstractNumId w:val="6"/>
  </w:num>
  <w:num w:numId="62">
    <w:abstractNumId w:val="2"/>
  </w:num>
  <w:num w:numId="63">
    <w:abstractNumId w:val="4"/>
  </w:num>
  <w:num w:numId="64">
    <w:abstractNumId w:val="4"/>
  </w:num>
  <w:num w:numId="65">
    <w:abstractNumId w:val="4"/>
  </w:num>
  <w:num w:numId="66">
    <w:abstractNumId w:val="19"/>
  </w:num>
  <w:num w:numId="67">
    <w:abstractNumId w:val="36"/>
  </w:num>
  <w:num w:numId="68">
    <w:abstractNumId w:val="41"/>
  </w:num>
  <w:num w:numId="69">
    <w:abstractNumId w:val="20"/>
  </w:num>
  <w:num w:numId="70">
    <w:abstractNumId w:val="37"/>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284"/>
  <w:evenAndOddHeaders/>
  <w:drawingGridHorizontalSpacing w:val="100"/>
  <w:displayHorizontalDrawingGridEvery w:val="2"/>
  <w:characterSpacingControl w:val="doNotCompress"/>
  <w:hdrShapeDefaults>
    <o:shapedefaults v:ext="edit" spidmax="2050">
      <o:colormru v:ext="edit" colors="red,#4d4d4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0786"/>
    <w:rsid w:val="00000033"/>
    <w:rsid w:val="00000488"/>
    <w:rsid w:val="000004C1"/>
    <w:rsid w:val="00000723"/>
    <w:rsid w:val="00000902"/>
    <w:rsid w:val="00000BD9"/>
    <w:rsid w:val="00000C13"/>
    <w:rsid w:val="00000DB9"/>
    <w:rsid w:val="000010DD"/>
    <w:rsid w:val="000011AA"/>
    <w:rsid w:val="00001219"/>
    <w:rsid w:val="00001397"/>
    <w:rsid w:val="00001558"/>
    <w:rsid w:val="00001601"/>
    <w:rsid w:val="00001716"/>
    <w:rsid w:val="00001944"/>
    <w:rsid w:val="00001AF9"/>
    <w:rsid w:val="00001D36"/>
    <w:rsid w:val="00001D47"/>
    <w:rsid w:val="00001DFE"/>
    <w:rsid w:val="00001F6F"/>
    <w:rsid w:val="00002129"/>
    <w:rsid w:val="0000228A"/>
    <w:rsid w:val="00002800"/>
    <w:rsid w:val="000028D3"/>
    <w:rsid w:val="000029D3"/>
    <w:rsid w:val="00002BE1"/>
    <w:rsid w:val="00002BEC"/>
    <w:rsid w:val="00002C07"/>
    <w:rsid w:val="00002C74"/>
    <w:rsid w:val="00002F24"/>
    <w:rsid w:val="0000317F"/>
    <w:rsid w:val="00003534"/>
    <w:rsid w:val="00003662"/>
    <w:rsid w:val="00003698"/>
    <w:rsid w:val="00003759"/>
    <w:rsid w:val="00003D8E"/>
    <w:rsid w:val="00003E30"/>
    <w:rsid w:val="00003E60"/>
    <w:rsid w:val="00003EAC"/>
    <w:rsid w:val="00003F0A"/>
    <w:rsid w:val="000040EA"/>
    <w:rsid w:val="00004385"/>
    <w:rsid w:val="0000453E"/>
    <w:rsid w:val="00004784"/>
    <w:rsid w:val="0000487F"/>
    <w:rsid w:val="0000497D"/>
    <w:rsid w:val="00004A2F"/>
    <w:rsid w:val="00004E60"/>
    <w:rsid w:val="00004E69"/>
    <w:rsid w:val="00004F2F"/>
    <w:rsid w:val="00005137"/>
    <w:rsid w:val="000054B3"/>
    <w:rsid w:val="0000553A"/>
    <w:rsid w:val="0000560F"/>
    <w:rsid w:val="00005807"/>
    <w:rsid w:val="00005897"/>
    <w:rsid w:val="00005C06"/>
    <w:rsid w:val="00006075"/>
    <w:rsid w:val="000060EF"/>
    <w:rsid w:val="000068B9"/>
    <w:rsid w:val="000068C8"/>
    <w:rsid w:val="00006ABA"/>
    <w:rsid w:val="00006B2F"/>
    <w:rsid w:val="00006D48"/>
    <w:rsid w:val="00006EC9"/>
    <w:rsid w:val="00007266"/>
    <w:rsid w:val="000072D8"/>
    <w:rsid w:val="00007449"/>
    <w:rsid w:val="00007458"/>
    <w:rsid w:val="0000745B"/>
    <w:rsid w:val="00007471"/>
    <w:rsid w:val="000077B8"/>
    <w:rsid w:val="00007A88"/>
    <w:rsid w:val="00007AD8"/>
    <w:rsid w:val="00007E2A"/>
    <w:rsid w:val="000101C6"/>
    <w:rsid w:val="000101F5"/>
    <w:rsid w:val="000102DC"/>
    <w:rsid w:val="0001056F"/>
    <w:rsid w:val="00010667"/>
    <w:rsid w:val="00010894"/>
    <w:rsid w:val="00010C3E"/>
    <w:rsid w:val="00010ECA"/>
    <w:rsid w:val="00010EFD"/>
    <w:rsid w:val="000111E4"/>
    <w:rsid w:val="00011327"/>
    <w:rsid w:val="00011376"/>
    <w:rsid w:val="0001142C"/>
    <w:rsid w:val="00011523"/>
    <w:rsid w:val="000116D8"/>
    <w:rsid w:val="000116EC"/>
    <w:rsid w:val="0001198C"/>
    <w:rsid w:val="00011AE7"/>
    <w:rsid w:val="00011BD5"/>
    <w:rsid w:val="00011BF0"/>
    <w:rsid w:val="00012208"/>
    <w:rsid w:val="00012373"/>
    <w:rsid w:val="0001239D"/>
    <w:rsid w:val="0001247C"/>
    <w:rsid w:val="0001260D"/>
    <w:rsid w:val="000129A1"/>
    <w:rsid w:val="000129D5"/>
    <w:rsid w:val="00012AB7"/>
    <w:rsid w:val="00012C4E"/>
    <w:rsid w:val="00012D36"/>
    <w:rsid w:val="0001310A"/>
    <w:rsid w:val="00013278"/>
    <w:rsid w:val="00013320"/>
    <w:rsid w:val="00013345"/>
    <w:rsid w:val="000133D6"/>
    <w:rsid w:val="000134BB"/>
    <w:rsid w:val="0001369F"/>
    <w:rsid w:val="000138B8"/>
    <w:rsid w:val="00013A11"/>
    <w:rsid w:val="00013A18"/>
    <w:rsid w:val="00013E5A"/>
    <w:rsid w:val="00013F31"/>
    <w:rsid w:val="0001461B"/>
    <w:rsid w:val="000146F0"/>
    <w:rsid w:val="000147D6"/>
    <w:rsid w:val="00014875"/>
    <w:rsid w:val="00014878"/>
    <w:rsid w:val="00014BD6"/>
    <w:rsid w:val="0001510D"/>
    <w:rsid w:val="00015201"/>
    <w:rsid w:val="00015465"/>
    <w:rsid w:val="000154D8"/>
    <w:rsid w:val="00015870"/>
    <w:rsid w:val="00015928"/>
    <w:rsid w:val="00015AE7"/>
    <w:rsid w:val="00015B27"/>
    <w:rsid w:val="00015B76"/>
    <w:rsid w:val="00015BCB"/>
    <w:rsid w:val="00015DD7"/>
    <w:rsid w:val="00015E63"/>
    <w:rsid w:val="0001619D"/>
    <w:rsid w:val="000163D7"/>
    <w:rsid w:val="0001646C"/>
    <w:rsid w:val="00016C4A"/>
    <w:rsid w:val="00016D98"/>
    <w:rsid w:val="00016E21"/>
    <w:rsid w:val="000170C2"/>
    <w:rsid w:val="00017103"/>
    <w:rsid w:val="0001719C"/>
    <w:rsid w:val="0001725E"/>
    <w:rsid w:val="00017451"/>
    <w:rsid w:val="000176F6"/>
    <w:rsid w:val="00017742"/>
    <w:rsid w:val="000177AD"/>
    <w:rsid w:val="00017805"/>
    <w:rsid w:val="00017A25"/>
    <w:rsid w:val="00020435"/>
    <w:rsid w:val="00020585"/>
    <w:rsid w:val="00020701"/>
    <w:rsid w:val="000208B7"/>
    <w:rsid w:val="00020900"/>
    <w:rsid w:val="00020A4E"/>
    <w:rsid w:val="00020ADD"/>
    <w:rsid w:val="00020B02"/>
    <w:rsid w:val="00020BB8"/>
    <w:rsid w:val="00020E5F"/>
    <w:rsid w:val="00021077"/>
    <w:rsid w:val="000212AC"/>
    <w:rsid w:val="00021504"/>
    <w:rsid w:val="00021557"/>
    <w:rsid w:val="000215BC"/>
    <w:rsid w:val="0002174B"/>
    <w:rsid w:val="00021928"/>
    <w:rsid w:val="00021966"/>
    <w:rsid w:val="00021A35"/>
    <w:rsid w:val="00021A3A"/>
    <w:rsid w:val="00021A78"/>
    <w:rsid w:val="00021FED"/>
    <w:rsid w:val="000221B7"/>
    <w:rsid w:val="0002224E"/>
    <w:rsid w:val="00022673"/>
    <w:rsid w:val="000226EE"/>
    <w:rsid w:val="000229B4"/>
    <w:rsid w:val="00022ACC"/>
    <w:rsid w:val="00022B24"/>
    <w:rsid w:val="00022EEF"/>
    <w:rsid w:val="00022F66"/>
    <w:rsid w:val="00023151"/>
    <w:rsid w:val="000231B7"/>
    <w:rsid w:val="00023335"/>
    <w:rsid w:val="00023490"/>
    <w:rsid w:val="0002359C"/>
    <w:rsid w:val="000235C9"/>
    <w:rsid w:val="00023741"/>
    <w:rsid w:val="00023A41"/>
    <w:rsid w:val="00023A4A"/>
    <w:rsid w:val="00023B9F"/>
    <w:rsid w:val="00023BBE"/>
    <w:rsid w:val="00023CA8"/>
    <w:rsid w:val="00023D4B"/>
    <w:rsid w:val="00024005"/>
    <w:rsid w:val="00024043"/>
    <w:rsid w:val="00024120"/>
    <w:rsid w:val="00024152"/>
    <w:rsid w:val="00024194"/>
    <w:rsid w:val="000242AB"/>
    <w:rsid w:val="00024437"/>
    <w:rsid w:val="000245E2"/>
    <w:rsid w:val="000245E5"/>
    <w:rsid w:val="0002464E"/>
    <w:rsid w:val="00024752"/>
    <w:rsid w:val="00024A66"/>
    <w:rsid w:val="00024D19"/>
    <w:rsid w:val="00024E98"/>
    <w:rsid w:val="00025003"/>
    <w:rsid w:val="0002500A"/>
    <w:rsid w:val="000251C2"/>
    <w:rsid w:val="00025255"/>
    <w:rsid w:val="00025297"/>
    <w:rsid w:val="00025432"/>
    <w:rsid w:val="00025471"/>
    <w:rsid w:val="00025580"/>
    <w:rsid w:val="00025A12"/>
    <w:rsid w:val="00026775"/>
    <w:rsid w:val="00026BCF"/>
    <w:rsid w:val="00026E8E"/>
    <w:rsid w:val="00026F84"/>
    <w:rsid w:val="00026F91"/>
    <w:rsid w:val="000270D6"/>
    <w:rsid w:val="000272E1"/>
    <w:rsid w:val="0002765F"/>
    <w:rsid w:val="000276B0"/>
    <w:rsid w:val="0002790E"/>
    <w:rsid w:val="00027912"/>
    <w:rsid w:val="00027937"/>
    <w:rsid w:val="00027D61"/>
    <w:rsid w:val="00027D9B"/>
    <w:rsid w:val="00030581"/>
    <w:rsid w:val="000307CC"/>
    <w:rsid w:val="00030B36"/>
    <w:rsid w:val="00030E51"/>
    <w:rsid w:val="00030F88"/>
    <w:rsid w:val="00031651"/>
    <w:rsid w:val="00031965"/>
    <w:rsid w:val="00031A32"/>
    <w:rsid w:val="00031B48"/>
    <w:rsid w:val="00031BA1"/>
    <w:rsid w:val="00031CCE"/>
    <w:rsid w:val="00031D0F"/>
    <w:rsid w:val="000320C7"/>
    <w:rsid w:val="00032147"/>
    <w:rsid w:val="00032433"/>
    <w:rsid w:val="00032621"/>
    <w:rsid w:val="00032851"/>
    <w:rsid w:val="00032959"/>
    <w:rsid w:val="000329CB"/>
    <w:rsid w:val="000329D7"/>
    <w:rsid w:val="00032A52"/>
    <w:rsid w:val="00032D72"/>
    <w:rsid w:val="00032ECB"/>
    <w:rsid w:val="000336B2"/>
    <w:rsid w:val="00033750"/>
    <w:rsid w:val="000337F8"/>
    <w:rsid w:val="00033A78"/>
    <w:rsid w:val="00033AF3"/>
    <w:rsid w:val="00033CE6"/>
    <w:rsid w:val="00033D2C"/>
    <w:rsid w:val="00033F9D"/>
    <w:rsid w:val="000340C3"/>
    <w:rsid w:val="0003438D"/>
    <w:rsid w:val="000343F6"/>
    <w:rsid w:val="0003446E"/>
    <w:rsid w:val="00034567"/>
    <w:rsid w:val="000345E6"/>
    <w:rsid w:val="0003463D"/>
    <w:rsid w:val="000346EC"/>
    <w:rsid w:val="00034D4D"/>
    <w:rsid w:val="00035744"/>
    <w:rsid w:val="00035776"/>
    <w:rsid w:val="00035C3B"/>
    <w:rsid w:val="000362E6"/>
    <w:rsid w:val="000364BD"/>
    <w:rsid w:val="000365FF"/>
    <w:rsid w:val="00036615"/>
    <w:rsid w:val="000366C9"/>
    <w:rsid w:val="000367CC"/>
    <w:rsid w:val="0003698D"/>
    <w:rsid w:val="000369D6"/>
    <w:rsid w:val="00036A4C"/>
    <w:rsid w:val="00036DEC"/>
    <w:rsid w:val="00036EA7"/>
    <w:rsid w:val="0003702F"/>
    <w:rsid w:val="00037151"/>
    <w:rsid w:val="0003722C"/>
    <w:rsid w:val="00037250"/>
    <w:rsid w:val="00037548"/>
    <w:rsid w:val="00037706"/>
    <w:rsid w:val="000377F9"/>
    <w:rsid w:val="000378FC"/>
    <w:rsid w:val="00037BA2"/>
    <w:rsid w:val="00037DD4"/>
    <w:rsid w:val="00037F9F"/>
    <w:rsid w:val="0004011C"/>
    <w:rsid w:val="00040269"/>
    <w:rsid w:val="000405B9"/>
    <w:rsid w:val="00040919"/>
    <w:rsid w:val="000409B8"/>
    <w:rsid w:val="00040B57"/>
    <w:rsid w:val="00040F74"/>
    <w:rsid w:val="0004108A"/>
    <w:rsid w:val="000410C3"/>
    <w:rsid w:val="000411A4"/>
    <w:rsid w:val="000411DB"/>
    <w:rsid w:val="00041293"/>
    <w:rsid w:val="000412AB"/>
    <w:rsid w:val="000412BD"/>
    <w:rsid w:val="000412F4"/>
    <w:rsid w:val="000413CA"/>
    <w:rsid w:val="000414E2"/>
    <w:rsid w:val="00041749"/>
    <w:rsid w:val="00041887"/>
    <w:rsid w:val="00041A74"/>
    <w:rsid w:val="0004228D"/>
    <w:rsid w:val="000422A7"/>
    <w:rsid w:val="000425BC"/>
    <w:rsid w:val="0004264C"/>
    <w:rsid w:val="0004270E"/>
    <w:rsid w:val="00042753"/>
    <w:rsid w:val="000428DC"/>
    <w:rsid w:val="00042EC1"/>
    <w:rsid w:val="00042EDF"/>
    <w:rsid w:val="000432AD"/>
    <w:rsid w:val="00043358"/>
    <w:rsid w:val="000435C0"/>
    <w:rsid w:val="000435C5"/>
    <w:rsid w:val="00043989"/>
    <w:rsid w:val="000439D2"/>
    <w:rsid w:val="00043B32"/>
    <w:rsid w:val="00043B33"/>
    <w:rsid w:val="00043BEC"/>
    <w:rsid w:val="00043D9C"/>
    <w:rsid w:val="000442C1"/>
    <w:rsid w:val="00044367"/>
    <w:rsid w:val="00044517"/>
    <w:rsid w:val="000447C6"/>
    <w:rsid w:val="0004485D"/>
    <w:rsid w:val="0004490E"/>
    <w:rsid w:val="0004494D"/>
    <w:rsid w:val="00044B0A"/>
    <w:rsid w:val="00044CE2"/>
    <w:rsid w:val="00044CEE"/>
    <w:rsid w:val="00044F93"/>
    <w:rsid w:val="00044FE8"/>
    <w:rsid w:val="000453AB"/>
    <w:rsid w:val="000453AE"/>
    <w:rsid w:val="00045473"/>
    <w:rsid w:val="000454E0"/>
    <w:rsid w:val="00045617"/>
    <w:rsid w:val="00045699"/>
    <w:rsid w:val="00045C1B"/>
    <w:rsid w:val="00045D10"/>
    <w:rsid w:val="00045E08"/>
    <w:rsid w:val="00045F9F"/>
    <w:rsid w:val="00045FBC"/>
    <w:rsid w:val="00046176"/>
    <w:rsid w:val="000461CB"/>
    <w:rsid w:val="00046211"/>
    <w:rsid w:val="00046316"/>
    <w:rsid w:val="00046599"/>
    <w:rsid w:val="00046692"/>
    <w:rsid w:val="0004669D"/>
    <w:rsid w:val="0004685A"/>
    <w:rsid w:val="000468E3"/>
    <w:rsid w:val="00046AA4"/>
    <w:rsid w:val="00046B41"/>
    <w:rsid w:val="00046BFA"/>
    <w:rsid w:val="00046D96"/>
    <w:rsid w:val="0004764C"/>
    <w:rsid w:val="000476F0"/>
    <w:rsid w:val="00047759"/>
    <w:rsid w:val="00047770"/>
    <w:rsid w:val="000478B9"/>
    <w:rsid w:val="000479F3"/>
    <w:rsid w:val="00047A9D"/>
    <w:rsid w:val="00047B66"/>
    <w:rsid w:val="00047CF2"/>
    <w:rsid w:val="0005011A"/>
    <w:rsid w:val="00050173"/>
    <w:rsid w:val="00050231"/>
    <w:rsid w:val="000502A2"/>
    <w:rsid w:val="0005042C"/>
    <w:rsid w:val="0005045A"/>
    <w:rsid w:val="0005054F"/>
    <w:rsid w:val="0005055F"/>
    <w:rsid w:val="00050688"/>
    <w:rsid w:val="00050713"/>
    <w:rsid w:val="000508E1"/>
    <w:rsid w:val="00050966"/>
    <w:rsid w:val="000509A1"/>
    <w:rsid w:val="00050A6F"/>
    <w:rsid w:val="00050A99"/>
    <w:rsid w:val="00050C53"/>
    <w:rsid w:val="00050ED5"/>
    <w:rsid w:val="00050F8C"/>
    <w:rsid w:val="00051067"/>
    <w:rsid w:val="0005124B"/>
    <w:rsid w:val="00051360"/>
    <w:rsid w:val="000514B7"/>
    <w:rsid w:val="0005154C"/>
    <w:rsid w:val="0005158B"/>
    <w:rsid w:val="000515FB"/>
    <w:rsid w:val="0005160E"/>
    <w:rsid w:val="0005161A"/>
    <w:rsid w:val="00051784"/>
    <w:rsid w:val="000519F0"/>
    <w:rsid w:val="00051B85"/>
    <w:rsid w:val="00051C1E"/>
    <w:rsid w:val="00051C45"/>
    <w:rsid w:val="00051F8D"/>
    <w:rsid w:val="000523CC"/>
    <w:rsid w:val="0005244A"/>
    <w:rsid w:val="00052844"/>
    <w:rsid w:val="00052B2A"/>
    <w:rsid w:val="00052B37"/>
    <w:rsid w:val="00052BCD"/>
    <w:rsid w:val="00052C59"/>
    <w:rsid w:val="00052D29"/>
    <w:rsid w:val="00052D7C"/>
    <w:rsid w:val="00052F0E"/>
    <w:rsid w:val="00052FDC"/>
    <w:rsid w:val="00053004"/>
    <w:rsid w:val="0005318D"/>
    <w:rsid w:val="00053813"/>
    <w:rsid w:val="000539F9"/>
    <w:rsid w:val="00053A0B"/>
    <w:rsid w:val="00053D1A"/>
    <w:rsid w:val="00053DE0"/>
    <w:rsid w:val="00053EE5"/>
    <w:rsid w:val="00054310"/>
    <w:rsid w:val="000546F8"/>
    <w:rsid w:val="000548D6"/>
    <w:rsid w:val="00054ABB"/>
    <w:rsid w:val="00054B08"/>
    <w:rsid w:val="00054C27"/>
    <w:rsid w:val="00054C8D"/>
    <w:rsid w:val="000551D9"/>
    <w:rsid w:val="0005525F"/>
    <w:rsid w:val="00055461"/>
    <w:rsid w:val="000554CA"/>
    <w:rsid w:val="0005559E"/>
    <w:rsid w:val="000556FB"/>
    <w:rsid w:val="00055881"/>
    <w:rsid w:val="00055941"/>
    <w:rsid w:val="00055946"/>
    <w:rsid w:val="00055B43"/>
    <w:rsid w:val="00055C1C"/>
    <w:rsid w:val="00055C63"/>
    <w:rsid w:val="00055CD7"/>
    <w:rsid w:val="00055DC6"/>
    <w:rsid w:val="00055EC3"/>
    <w:rsid w:val="00055F6D"/>
    <w:rsid w:val="000563CE"/>
    <w:rsid w:val="000565A3"/>
    <w:rsid w:val="00056A49"/>
    <w:rsid w:val="00056B7E"/>
    <w:rsid w:val="00056C13"/>
    <w:rsid w:val="00056C6A"/>
    <w:rsid w:val="00056CAF"/>
    <w:rsid w:val="00056D14"/>
    <w:rsid w:val="00056F06"/>
    <w:rsid w:val="000571EB"/>
    <w:rsid w:val="00057321"/>
    <w:rsid w:val="0005750C"/>
    <w:rsid w:val="0005752A"/>
    <w:rsid w:val="0005752F"/>
    <w:rsid w:val="00057607"/>
    <w:rsid w:val="0005761A"/>
    <w:rsid w:val="00057892"/>
    <w:rsid w:val="00057A0D"/>
    <w:rsid w:val="00057B55"/>
    <w:rsid w:val="00057DC3"/>
    <w:rsid w:val="00057DF8"/>
    <w:rsid w:val="00057E7D"/>
    <w:rsid w:val="00057E89"/>
    <w:rsid w:val="00057F6E"/>
    <w:rsid w:val="00060235"/>
    <w:rsid w:val="0006051E"/>
    <w:rsid w:val="00060858"/>
    <w:rsid w:val="00060AE3"/>
    <w:rsid w:val="00060D3F"/>
    <w:rsid w:val="00060D4C"/>
    <w:rsid w:val="00060E4F"/>
    <w:rsid w:val="00060F76"/>
    <w:rsid w:val="0006108E"/>
    <w:rsid w:val="000610B2"/>
    <w:rsid w:val="000610E3"/>
    <w:rsid w:val="000612CC"/>
    <w:rsid w:val="00061344"/>
    <w:rsid w:val="000614B7"/>
    <w:rsid w:val="000619B2"/>
    <w:rsid w:val="00061BA1"/>
    <w:rsid w:val="00061C85"/>
    <w:rsid w:val="00061F62"/>
    <w:rsid w:val="00062271"/>
    <w:rsid w:val="000623E2"/>
    <w:rsid w:val="00062614"/>
    <w:rsid w:val="00062620"/>
    <w:rsid w:val="0006272F"/>
    <w:rsid w:val="0006299D"/>
    <w:rsid w:val="00062AC0"/>
    <w:rsid w:val="00062BF8"/>
    <w:rsid w:val="00062C12"/>
    <w:rsid w:val="00062E8A"/>
    <w:rsid w:val="00062ED2"/>
    <w:rsid w:val="0006303F"/>
    <w:rsid w:val="0006316F"/>
    <w:rsid w:val="000631BE"/>
    <w:rsid w:val="000632A2"/>
    <w:rsid w:val="0006370C"/>
    <w:rsid w:val="0006375A"/>
    <w:rsid w:val="000638C5"/>
    <w:rsid w:val="00063975"/>
    <w:rsid w:val="00063C45"/>
    <w:rsid w:val="00063C92"/>
    <w:rsid w:val="00064015"/>
    <w:rsid w:val="0006401E"/>
    <w:rsid w:val="000640B0"/>
    <w:rsid w:val="000641E4"/>
    <w:rsid w:val="00064426"/>
    <w:rsid w:val="000645D9"/>
    <w:rsid w:val="000647F9"/>
    <w:rsid w:val="0006488A"/>
    <w:rsid w:val="00064941"/>
    <w:rsid w:val="00064F4B"/>
    <w:rsid w:val="00065004"/>
    <w:rsid w:val="000651DB"/>
    <w:rsid w:val="00065497"/>
    <w:rsid w:val="00065611"/>
    <w:rsid w:val="000658E6"/>
    <w:rsid w:val="00065974"/>
    <w:rsid w:val="000659B6"/>
    <w:rsid w:val="00065C54"/>
    <w:rsid w:val="00065F26"/>
    <w:rsid w:val="00065F7F"/>
    <w:rsid w:val="0006601D"/>
    <w:rsid w:val="000661FD"/>
    <w:rsid w:val="00066278"/>
    <w:rsid w:val="000662C1"/>
    <w:rsid w:val="0006632B"/>
    <w:rsid w:val="0006645E"/>
    <w:rsid w:val="00066520"/>
    <w:rsid w:val="0006685C"/>
    <w:rsid w:val="0006686F"/>
    <w:rsid w:val="000668A9"/>
    <w:rsid w:val="000669BE"/>
    <w:rsid w:val="00066AFC"/>
    <w:rsid w:val="00066BCE"/>
    <w:rsid w:val="00066C25"/>
    <w:rsid w:val="00066C41"/>
    <w:rsid w:val="00066EEC"/>
    <w:rsid w:val="00066FA9"/>
    <w:rsid w:val="000671C0"/>
    <w:rsid w:val="0006722A"/>
    <w:rsid w:val="0006738B"/>
    <w:rsid w:val="000674A0"/>
    <w:rsid w:val="0006762F"/>
    <w:rsid w:val="000679DF"/>
    <w:rsid w:val="00067BAE"/>
    <w:rsid w:val="00067BEA"/>
    <w:rsid w:val="00067C28"/>
    <w:rsid w:val="00067C37"/>
    <w:rsid w:val="00067EF0"/>
    <w:rsid w:val="000700B4"/>
    <w:rsid w:val="00070120"/>
    <w:rsid w:val="0007029D"/>
    <w:rsid w:val="000702FB"/>
    <w:rsid w:val="00070363"/>
    <w:rsid w:val="00070574"/>
    <w:rsid w:val="0007064E"/>
    <w:rsid w:val="00070664"/>
    <w:rsid w:val="000706F7"/>
    <w:rsid w:val="00070731"/>
    <w:rsid w:val="000708BB"/>
    <w:rsid w:val="00070B27"/>
    <w:rsid w:val="00070BAD"/>
    <w:rsid w:val="00070BF1"/>
    <w:rsid w:val="00070DCB"/>
    <w:rsid w:val="00070E3B"/>
    <w:rsid w:val="00070FAE"/>
    <w:rsid w:val="00071293"/>
    <w:rsid w:val="00071365"/>
    <w:rsid w:val="000713AC"/>
    <w:rsid w:val="00071547"/>
    <w:rsid w:val="000715E3"/>
    <w:rsid w:val="000716EF"/>
    <w:rsid w:val="000717C0"/>
    <w:rsid w:val="0007181D"/>
    <w:rsid w:val="00071B47"/>
    <w:rsid w:val="00071D8E"/>
    <w:rsid w:val="00071DBD"/>
    <w:rsid w:val="00071F4F"/>
    <w:rsid w:val="00071FF6"/>
    <w:rsid w:val="0007200F"/>
    <w:rsid w:val="00072116"/>
    <w:rsid w:val="00072255"/>
    <w:rsid w:val="00072298"/>
    <w:rsid w:val="000722E0"/>
    <w:rsid w:val="00072706"/>
    <w:rsid w:val="0007286A"/>
    <w:rsid w:val="00072AE3"/>
    <w:rsid w:val="00072C98"/>
    <w:rsid w:val="00072CA7"/>
    <w:rsid w:val="00072DA8"/>
    <w:rsid w:val="0007306B"/>
    <w:rsid w:val="000732CF"/>
    <w:rsid w:val="000734A0"/>
    <w:rsid w:val="000734C7"/>
    <w:rsid w:val="00073695"/>
    <w:rsid w:val="000737AE"/>
    <w:rsid w:val="00073AD3"/>
    <w:rsid w:val="00073C2D"/>
    <w:rsid w:val="00073CB5"/>
    <w:rsid w:val="00073EBB"/>
    <w:rsid w:val="000741FB"/>
    <w:rsid w:val="0007463F"/>
    <w:rsid w:val="00074703"/>
    <w:rsid w:val="00074B77"/>
    <w:rsid w:val="00074F25"/>
    <w:rsid w:val="00075424"/>
    <w:rsid w:val="0007573C"/>
    <w:rsid w:val="0007575C"/>
    <w:rsid w:val="0007586E"/>
    <w:rsid w:val="00075905"/>
    <w:rsid w:val="00075A81"/>
    <w:rsid w:val="00075B96"/>
    <w:rsid w:val="00075C7C"/>
    <w:rsid w:val="00075EF3"/>
    <w:rsid w:val="00075F7C"/>
    <w:rsid w:val="00075FC4"/>
    <w:rsid w:val="000761A7"/>
    <w:rsid w:val="00076785"/>
    <w:rsid w:val="000767B9"/>
    <w:rsid w:val="00076A84"/>
    <w:rsid w:val="00076D8F"/>
    <w:rsid w:val="00076ED4"/>
    <w:rsid w:val="00076F54"/>
    <w:rsid w:val="00077133"/>
    <w:rsid w:val="000771CB"/>
    <w:rsid w:val="0007726F"/>
    <w:rsid w:val="00077320"/>
    <w:rsid w:val="00077496"/>
    <w:rsid w:val="00077556"/>
    <w:rsid w:val="000775DE"/>
    <w:rsid w:val="000777F2"/>
    <w:rsid w:val="0007786B"/>
    <w:rsid w:val="0007793C"/>
    <w:rsid w:val="00077BF0"/>
    <w:rsid w:val="00077FEF"/>
    <w:rsid w:val="00080084"/>
    <w:rsid w:val="00080211"/>
    <w:rsid w:val="00080452"/>
    <w:rsid w:val="000806E7"/>
    <w:rsid w:val="00080A98"/>
    <w:rsid w:val="00080B48"/>
    <w:rsid w:val="00080B4B"/>
    <w:rsid w:val="00080D4E"/>
    <w:rsid w:val="00080F0F"/>
    <w:rsid w:val="00080FB6"/>
    <w:rsid w:val="00081035"/>
    <w:rsid w:val="00081059"/>
    <w:rsid w:val="000810F8"/>
    <w:rsid w:val="000818F8"/>
    <w:rsid w:val="0008196A"/>
    <w:rsid w:val="00081AB4"/>
    <w:rsid w:val="00081BF9"/>
    <w:rsid w:val="00081F41"/>
    <w:rsid w:val="0008260F"/>
    <w:rsid w:val="0008261A"/>
    <w:rsid w:val="000826DA"/>
    <w:rsid w:val="00082881"/>
    <w:rsid w:val="000829D3"/>
    <w:rsid w:val="00082D39"/>
    <w:rsid w:val="00082D94"/>
    <w:rsid w:val="00083098"/>
    <w:rsid w:val="00083473"/>
    <w:rsid w:val="0008363F"/>
    <w:rsid w:val="00083910"/>
    <w:rsid w:val="00083EC3"/>
    <w:rsid w:val="000840CB"/>
    <w:rsid w:val="000840F1"/>
    <w:rsid w:val="0008437B"/>
    <w:rsid w:val="00084551"/>
    <w:rsid w:val="000845EC"/>
    <w:rsid w:val="0008460C"/>
    <w:rsid w:val="00084B1D"/>
    <w:rsid w:val="00084C9E"/>
    <w:rsid w:val="00084CBB"/>
    <w:rsid w:val="00084F87"/>
    <w:rsid w:val="000853AF"/>
    <w:rsid w:val="00085514"/>
    <w:rsid w:val="00085516"/>
    <w:rsid w:val="00085987"/>
    <w:rsid w:val="00085A57"/>
    <w:rsid w:val="00085A75"/>
    <w:rsid w:val="00085AE8"/>
    <w:rsid w:val="00085DC1"/>
    <w:rsid w:val="00085EC4"/>
    <w:rsid w:val="00085F58"/>
    <w:rsid w:val="00085FCD"/>
    <w:rsid w:val="00086003"/>
    <w:rsid w:val="00086392"/>
    <w:rsid w:val="000866E6"/>
    <w:rsid w:val="00086B01"/>
    <w:rsid w:val="00086EEA"/>
    <w:rsid w:val="00086F50"/>
    <w:rsid w:val="00087073"/>
    <w:rsid w:val="000870BD"/>
    <w:rsid w:val="00087333"/>
    <w:rsid w:val="0008745B"/>
    <w:rsid w:val="00087596"/>
    <w:rsid w:val="0008779E"/>
    <w:rsid w:val="00087951"/>
    <w:rsid w:val="00087C6E"/>
    <w:rsid w:val="00090001"/>
    <w:rsid w:val="000900E7"/>
    <w:rsid w:val="00090192"/>
    <w:rsid w:val="0009092E"/>
    <w:rsid w:val="00090CEF"/>
    <w:rsid w:val="00091061"/>
    <w:rsid w:val="000910B2"/>
    <w:rsid w:val="000911DA"/>
    <w:rsid w:val="0009150C"/>
    <w:rsid w:val="000915ED"/>
    <w:rsid w:val="000916A6"/>
    <w:rsid w:val="00091913"/>
    <w:rsid w:val="00091ADE"/>
    <w:rsid w:val="00091D39"/>
    <w:rsid w:val="00091E89"/>
    <w:rsid w:val="0009209D"/>
    <w:rsid w:val="000922B5"/>
    <w:rsid w:val="00092328"/>
    <w:rsid w:val="0009236A"/>
    <w:rsid w:val="0009241C"/>
    <w:rsid w:val="00092613"/>
    <w:rsid w:val="0009282E"/>
    <w:rsid w:val="00092A79"/>
    <w:rsid w:val="00092AC0"/>
    <w:rsid w:val="00092B2E"/>
    <w:rsid w:val="00092C67"/>
    <w:rsid w:val="00092E5D"/>
    <w:rsid w:val="00092F4F"/>
    <w:rsid w:val="00093579"/>
    <w:rsid w:val="0009374A"/>
    <w:rsid w:val="00093ACA"/>
    <w:rsid w:val="00093C12"/>
    <w:rsid w:val="00093DD3"/>
    <w:rsid w:val="00094098"/>
    <w:rsid w:val="000940E1"/>
    <w:rsid w:val="0009420E"/>
    <w:rsid w:val="00094340"/>
    <w:rsid w:val="0009463C"/>
    <w:rsid w:val="000946DD"/>
    <w:rsid w:val="0009560E"/>
    <w:rsid w:val="0009565F"/>
    <w:rsid w:val="0009570A"/>
    <w:rsid w:val="00095718"/>
    <w:rsid w:val="00095B67"/>
    <w:rsid w:val="00095EBC"/>
    <w:rsid w:val="00096152"/>
    <w:rsid w:val="00096208"/>
    <w:rsid w:val="0009637E"/>
    <w:rsid w:val="00096538"/>
    <w:rsid w:val="000966F6"/>
    <w:rsid w:val="000969BD"/>
    <w:rsid w:val="000969BF"/>
    <w:rsid w:val="00096A5E"/>
    <w:rsid w:val="00096B24"/>
    <w:rsid w:val="00096BEA"/>
    <w:rsid w:val="00096C3D"/>
    <w:rsid w:val="00096F98"/>
    <w:rsid w:val="0009709C"/>
    <w:rsid w:val="0009710B"/>
    <w:rsid w:val="00097657"/>
    <w:rsid w:val="00097890"/>
    <w:rsid w:val="00097C51"/>
    <w:rsid w:val="00097DD6"/>
    <w:rsid w:val="000A0072"/>
    <w:rsid w:val="000A03B6"/>
    <w:rsid w:val="000A05E7"/>
    <w:rsid w:val="000A080B"/>
    <w:rsid w:val="000A0911"/>
    <w:rsid w:val="000A093C"/>
    <w:rsid w:val="000A0BCD"/>
    <w:rsid w:val="000A0C22"/>
    <w:rsid w:val="000A0C89"/>
    <w:rsid w:val="000A0EF3"/>
    <w:rsid w:val="000A105C"/>
    <w:rsid w:val="000A105E"/>
    <w:rsid w:val="000A122F"/>
    <w:rsid w:val="000A129E"/>
    <w:rsid w:val="000A1400"/>
    <w:rsid w:val="000A14BF"/>
    <w:rsid w:val="000A1562"/>
    <w:rsid w:val="000A1633"/>
    <w:rsid w:val="000A1665"/>
    <w:rsid w:val="000A176B"/>
    <w:rsid w:val="000A1828"/>
    <w:rsid w:val="000A1EA4"/>
    <w:rsid w:val="000A223C"/>
    <w:rsid w:val="000A2273"/>
    <w:rsid w:val="000A22BF"/>
    <w:rsid w:val="000A22D6"/>
    <w:rsid w:val="000A230F"/>
    <w:rsid w:val="000A236B"/>
    <w:rsid w:val="000A2735"/>
    <w:rsid w:val="000A2925"/>
    <w:rsid w:val="000A2972"/>
    <w:rsid w:val="000A2D99"/>
    <w:rsid w:val="000A2FC1"/>
    <w:rsid w:val="000A3051"/>
    <w:rsid w:val="000A310C"/>
    <w:rsid w:val="000A3383"/>
    <w:rsid w:val="000A33FC"/>
    <w:rsid w:val="000A341E"/>
    <w:rsid w:val="000A39DC"/>
    <w:rsid w:val="000A3A63"/>
    <w:rsid w:val="000A3AC5"/>
    <w:rsid w:val="000A3C1B"/>
    <w:rsid w:val="000A3C43"/>
    <w:rsid w:val="000A3F4F"/>
    <w:rsid w:val="000A3F59"/>
    <w:rsid w:val="000A42CF"/>
    <w:rsid w:val="000A44DC"/>
    <w:rsid w:val="000A4551"/>
    <w:rsid w:val="000A4591"/>
    <w:rsid w:val="000A4A51"/>
    <w:rsid w:val="000A4AA0"/>
    <w:rsid w:val="000A4BD5"/>
    <w:rsid w:val="000A4C39"/>
    <w:rsid w:val="000A4D91"/>
    <w:rsid w:val="000A4E0E"/>
    <w:rsid w:val="000A4F85"/>
    <w:rsid w:val="000A511B"/>
    <w:rsid w:val="000A517F"/>
    <w:rsid w:val="000A5209"/>
    <w:rsid w:val="000A52CB"/>
    <w:rsid w:val="000A54AE"/>
    <w:rsid w:val="000A5640"/>
    <w:rsid w:val="000A5C22"/>
    <w:rsid w:val="000A5CB5"/>
    <w:rsid w:val="000A5D2B"/>
    <w:rsid w:val="000A5D49"/>
    <w:rsid w:val="000A5F59"/>
    <w:rsid w:val="000A5F98"/>
    <w:rsid w:val="000A5FC3"/>
    <w:rsid w:val="000A5FE8"/>
    <w:rsid w:val="000A60D9"/>
    <w:rsid w:val="000A67A2"/>
    <w:rsid w:val="000A689D"/>
    <w:rsid w:val="000A6E91"/>
    <w:rsid w:val="000A6F28"/>
    <w:rsid w:val="000A6F3B"/>
    <w:rsid w:val="000A6FF5"/>
    <w:rsid w:val="000A709E"/>
    <w:rsid w:val="000A721B"/>
    <w:rsid w:val="000A7449"/>
    <w:rsid w:val="000A74BB"/>
    <w:rsid w:val="000A7578"/>
    <w:rsid w:val="000A7987"/>
    <w:rsid w:val="000A7A1E"/>
    <w:rsid w:val="000A7C0D"/>
    <w:rsid w:val="000A7D98"/>
    <w:rsid w:val="000B00C6"/>
    <w:rsid w:val="000B04DA"/>
    <w:rsid w:val="000B0546"/>
    <w:rsid w:val="000B05EC"/>
    <w:rsid w:val="000B0D3F"/>
    <w:rsid w:val="000B0EA4"/>
    <w:rsid w:val="000B0F05"/>
    <w:rsid w:val="000B1275"/>
    <w:rsid w:val="000B14B8"/>
    <w:rsid w:val="000B15F1"/>
    <w:rsid w:val="000B1BCA"/>
    <w:rsid w:val="000B1DF2"/>
    <w:rsid w:val="000B1F3C"/>
    <w:rsid w:val="000B210A"/>
    <w:rsid w:val="000B2509"/>
    <w:rsid w:val="000B2552"/>
    <w:rsid w:val="000B26DE"/>
    <w:rsid w:val="000B2B47"/>
    <w:rsid w:val="000B3170"/>
    <w:rsid w:val="000B3256"/>
    <w:rsid w:val="000B3308"/>
    <w:rsid w:val="000B3476"/>
    <w:rsid w:val="000B3482"/>
    <w:rsid w:val="000B363B"/>
    <w:rsid w:val="000B38BD"/>
    <w:rsid w:val="000B3AE4"/>
    <w:rsid w:val="000B3B94"/>
    <w:rsid w:val="000B3ECB"/>
    <w:rsid w:val="000B4135"/>
    <w:rsid w:val="000B43FA"/>
    <w:rsid w:val="000B4664"/>
    <w:rsid w:val="000B49AA"/>
    <w:rsid w:val="000B49B9"/>
    <w:rsid w:val="000B49EC"/>
    <w:rsid w:val="000B4B90"/>
    <w:rsid w:val="000B4C53"/>
    <w:rsid w:val="000B4D4B"/>
    <w:rsid w:val="000B4E8B"/>
    <w:rsid w:val="000B4E9B"/>
    <w:rsid w:val="000B4EEE"/>
    <w:rsid w:val="000B4EFE"/>
    <w:rsid w:val="000B4FCB"/>
    <w:rsid w:val="000B50F9"/>
    <w:rsid w:val="000B5191"/>
    <w:rsid w:val="000B51D5"/>
    <w:rsid w:val="000B53E0"/>
    <w:rsid w:val="000B5445"/>
    <w:rsid w:val="000B55B7"/>
    <w:rsid w:val="000B5695"/>
    <w:rsid w:val="000B575D"/>
    <w:rsid w:val="000B5892"/>
    <w:rsid w:val="000B5BE4"/>
    <w:rsid w:val="000B5DE3"/>
    <w:rsid w:val="000B5F3E"/>
    <w:rsid w:val="000B6043"/>
    <w:rsid w:val="000B60FF"/>
    <w:rsid w:val="000B6115"/>
    <w:rsid w:val="000B643A"/>
    <w:rsid w:val="000B6597"/>
    <w:rsid w:val="000B683F"/>
    <w:rsid w:val="000B684C"/>
    <w:rsid w:val="000B6A33"/>
    <w:rsid w:val="000B74AA"/>
    <w:rsid w:val="000B764B"/>
    <w:rsid w:val="000B76A6"/>
    <w:rsid w:val="000B77FE"/>
    <w:rsid w:val="000B79BF"/>
    <w:rsid w:val="000B7B46"/>
    <w:rsid w:val="000B7BE6"/>
    <w:rsid w:val="000B7C5B"/>
    <w:rsid w:val="000C0066"/>
    <w:rsid w:val="000C00B8"/>
    <w:rsid w:val="000C046C"/>
    <w:rsid w:val="000C04B0"/>
    <w:rsid w:val="000C0877"/>
    <w:rsid w:val="000C0934"/>
    <w:rsid w:val="000C09F4"/>
    <w:rsid w:val="000C0A57"/>
    <w:rsid w:val="000C0AA2"/>
    <w:rsid w:val="000C0AA9"/>
    <w:rsid w:val="000C0E98"/>
    <w:rsid w:val="000C107D"/>
    <w:rsid w:val="000C1400"/>
    <w:rsid w:val="000C1409"/>
    <w:rsid w:val="000C1491"/>
    <w:rsid w:val="000C1576"/>
    <w:rsid w:val="000C16EF"/>
    <w:rsid w:val="000C1732"/>
    <w:rsid w:val="000C1925"/>
    <w:rsid w:val="000C195A"/>
    <w:rsid w:val="000C1DC4"/>
    <w:rsid w:val="000C1E72"/>
    <w:rsid w:val="000C1F06"/>
    <w:rsid w:val="000C1F19"/>
    <w:rsid w:val="000C1F6D"/>
    <w:rsid w:val="000C1FBD"/>
    <w:rsid w:val="000C230C"/>
    <w:rsid w:val="000C25D6"/>
    <w:rsid w:val="000C2749"/>
    <w:rsid w:val="000C28E7"/>
    <w:rsid w:val="000C2961"/>
    <w:rsid w:val="000C2974"/>
    <w:rsid w:val="000C2A57"/>
    <w:rsid w:val="000C2AF3"/>
    <w:rsid w:val="000C2B6D"/>
    <w:rsid w:val="000C2BB2"/>
    <w:rsid w:val="000C2D25"/>
    <w:rsid w:val="000C2E40"/>
    <w:rsid w:val="000C2F37"/>
    <w:rsid w:val="000C2F51"/>
    <w:rsid w:val="000C3191"/>
    <w:rsid w:val="000C31F1"/>
    <w:rsid w:val="000C3212"/>
    <w:rsid w:val="000C3231"/>
    <w:rsid w:val="000C330F"/>
    <w:rsid w:val="000C36EA"/>
    <w:rsid w:val="000C3878"/>
    <w:rsid w:val="000C3913"/>
    <w:rsid w:val="000C3CD3"/>
    <w:rsid w:val="000C3F00"/>
    <w:rsid w:val="000C42AA"/>
    <w:rsid w:val="000C43CA"/>
    <w:rsid w:val="000C4419"/>
    <w:rsid w:val="000C4666"/>
    <w:rsid w:val="000C483B"/>
    <w:rsid w:val="000C4889"/>
    <w:rsid w:val="000C4A0B"/>
    <w:rsid w:val="000C4FF3"/>
    <w:rsid w:val="000C514F"/>
    <w:rsid w:val="000C540A"/>
    <w:rsid w:val="000C545D"/>
    <w:rsid w:val="000C5595"/>
    <w:rsid w:val="000C5682"/>
    <w:rsid w:val="000C5867"/>
    <w:rsid w:val="000C591B"/>
    <w:rsid w:val="000C5A14"/>
    <w:rsid w:val="000C5C23"/>
    <w:rsid w:val="000C5C99"/>
    <w:rsid w:val="000C5D19"/>
    <w:rsid w:val="000C5FAC"/>
    <w:rsid w:val="000C6251"/>
    <w:rsid w:val="000C6397"/>
    <w:rsid w:val="000C64C7"/>
    <w:rsid w:val="000C669D"/>
    <w:rsid w:val="000C66FF"/>
    <w:rsid w:val="000C6741"/>
    <w:rsid w:val="000C676C"/>
    <w:rsid w:val="000C6AB4"/>
    <w:rsid w:val="000C6C7D"/>
    <w:rsid w:val="000C6D04"/>
    <w:rsid w:val="000C6D0A"/>
    <w:rsid w:val="000C7002"/>
    <w:rsid w:val="000C72FD"/>
    <w:rsid w:val="000C7B69"/>
    <w:rsid w:val="000C7BF3"/>
    <w:rsid w:val="000C7E89"/>
    <w:rsid w:val="000C7EA0"/>
    <w:rsid w:val="000D00ED"/>
    <w:rsid w:val="000D015B"/>
    <w:rsid w:val="000D04FC"/>
    <w:rsid w:val="000D0638"/>
    <w:rsid w:val="000D0B07"/>
    <w:rsid w:val="000D0C63"/>
    <w:rsid w:val="000D0D64"/>
    <w:rsid w:val="000D10AA"/>
    <w:rsid w:val="000D14DB"/>
    <w:rsid w:val="000D1513"/>
    <w:rsid w:val="000D161F"/>
    <w:rsid w:val="000D1744"/>
    <w:rsid w:val="000D177B"/>
    <w:rsid w:val="000D180E"/>
    <w:rsid w:val="000D1A7C"/>
    <w:rsid w:val="000D1AA5"/>
    <w:rsid w:val="000D1B9D"/>
    <w:rsid w:val="000D1C4E"/>
    <w:rsid w:val="000D21BE"/>
    <w:rsid w:val="000D227A"/>
    <w:rsid w:val="000D24E8"/>
    <w:rsid w:val="000D255F"/>
    <w:rsid w:val="000D2711"/>
    <w:rsid w:val="000D2732"/>
    <w:rsid w:val="000D2C13"/>
    <w:rsid w:val="000D2F46"/>
    <w:rsid w:val="000D365A"/>
    <w:rsid w:val="000D36EC"/>
    <w:rsid w:val="000D3723"/>
    <w:rsid w:val="000D3987"/>
    <w:rsid w:val="000D3A98"/>
    <w:rsid w:val="000D3AD9"/>
    <w:rsid w:val="000D3B93"/>
    <w:rsid w:val="000D3BE0"/>
    <w:rsid w:val="000D3D19"/>
    <w:rsid w:val="000D3DB1"/>
    <w:rsid w:val="000D3DDC"/>
    <w:rsid w:val="000D3E63"/>
    <w:rsid w:val="000D3E8F"/>
    <w:rsid w:val="000D4266"/>
    <w:rsid w:val="000D4314"/>
    <w:rsid w:val="000D4367"/>
    <w:rsid w:val="000D43BB"/>
    <w:rsid w:val="000D4630"/>
    <w:rsid w:val="000D466A"/>
    <w:rsid w:val="000D4AD6"/>
    <w:rsid w:val="000D4D21"/>
    <w:rsid w:val="000D4DC6"/>
    <w:rsid w:val="000D4ECA"/>
    <w:rsid w:val="000D4F25"/>
    <w:rsid w:val="000D4FA1"/>
    <w:rsid w:val="000D4FDE"/>
    <w:rsid w:val="000D56F9"/>
    <w:rsid w:val="000D5791"/>
    <w:rsid w:val="000D590E"/>
    <w:rsid w:val="000D5B25"/>
    <w:rsid w:val="000D5C40"/>
    <w:rsid w:val="000D5D5B"/>
    <w:rsid w:val="000D62E2"/>
    <w:rsid w:val="000D63F3"/>
    <w:rsid w:val="000D68DC"/>
    <w:rsid w:val="000D6A6A"/>
    <w:rsid w:val="000D6B35"/>
    <w:rsid w:val="000D6D54"/>
    <w:rsid w:val="000D6EC4"/>
    <w:rsid w:val="000D7002"/>
    <w:rsid w:val="000D7041"/>
    <w:rsid w:val="000D7166"/>
    <w:rsid w:val="000D71D9"/>
    <w:rsid w:val="000D7269"/>
    <w:rsid w:val="000D73B0"/>
    <w:rsid w:val="000D7492"/>
    <w:rsid w:val="000D76E0"/>
    <w:rsid w:val="000D7A2E"/>
    <w:rsid w:val="000D7A87"/>
    <w:rsid w:val="000D7B25"/>
    <w:rsid w:val="000D7B2E"/>
    <w:rsid w:val="000D7C8A"/>
    <w:rsid w:val="000D7DDB"/>
    <w:rsid w:val="000D7E8B"/>
    <w:rsid w:val="000E0117"/>
    <w:rsid w:val="000E03D9"/>
    <w:rsid w:val="000E0555"/>
    <w:rsid w:val="000E05E8"/>
    <w:rsid w:val="000E0752"/>
    <w:rsid w:val="000E087E"/>
    <w:rsid w:val="000E0BD6"/>
    <w:rsid w:val="000E0EB3"/>
    <w:rsid w:val="000E106C"/>
    <w:rsid w:val="000E1114"/>
    <w:rsid w:val="000E114A"/>
    <w:rsid w:val="000E1252"/>
    <w:rsid w:val="000E1329"/>
    <w:rsid w:val="000E1454"/>
    <w:rsid w:val="000E1582"/>
    <w:rsid w:val="000E168D"/>
    <w:rsid w:val="000E1742"/>
    <w:rsid w:val="000E18AF"/>
    <w:rsid w:val="000E1A8D"/>
    <w:rsid w:val="000E1AE2"/>
    <w:rsid w:val="000E1C2E"/>
    <w:rsid w:val="000E2144"/>
    <w:rsid w:val="000E21EF"/>
    <w:rsid w:val="000E2224"/>
    <w:rsid w:val="000E237A"/>
    <w:rsid w:val="000E23E2"/>
    <w:rsid w:val="000E26A3"/>
    <w:rsid w:val="000E27CD"/>
    <w:rsid w:val="000E291E"/>
    <w:rsid w:val="000E2A28"/>
    <w:rsid w:val="000E2A75"/>
    <w:rsid w:val="000E2B59"/>
    <w:rsid w:val="000E2BAF"/>
    <w:rsid w:val="000E2C09"/>
    <w:rsid w:val="000E3298"/>
    <w:rsid w:val="000E34CD"/>
    <w:rsid w:val="000E3663"/>
    <w:rsid w:val="000E3727"/>
    <w:rsid w:val="000E3E3C"/>
    <w:rsid w:val="000E3F38"/>
    <w:rsid w:val="000E408A"/>
    <w:rsid w:val="000E414F"/>
    <w:rsid w:val="000E416D"/>
    <w:rsid w:val="000E4242"/>
    <w:rsid w:val="000E42C9"/>
    <w:rsid w:val="000E4449"/>
    <w:rsid w:val="000E457C"/>
    <w:rsid w:val="000E4591"/>
    <w:rsid w:val="000E45DA"/>
    <w:rsid w:val="000E472C"/>
    <w:rsid w:val="000E4E58"/>
    <w:rsid w:val="000E5236"/>
    <w:rsid w:val="000E5372"/>
    <w:rsid w:val="000E53D5"/>
    <w:rsid w:val="000E545F"/>
    <w:rsid w:val="000E5503"/>
    <w:rsid w:val="000E552B"/>
    <w:rsid w:val="000E5913"/>
    <w:rsid w:val="000E59BA"/>
    <w:rsid w:val="000E5CED"/>
    <w:rsid w:val="000E6097"/>
    <w:rsid w:val="000E62CE"/>
    <w:rsid w:val="000E64A7"/>
    <w:rsid w:val="000E6611"/>
    <w:rsid w:val="000E6667"/>
    <w:rsid w:val="000E6869"/>
    <w:rsid w:val="000E6BF1"/>
    <w:rsid w:val="000E6F93"/>
    <w:rsid w:val="000E70EE"/>
    <w:rsid w:val="000E7423"/>
    <w:rsid w:val="000E75A7"/>
    <w:rsid w:val="000E7644"/>
    <w:rsid w:val="000E778B"/>
    <w:rsid w:val="000E78F4"/>
    <w:rsid w:val="000E7A3E"/>
    <w:rsid w:val="000E7C84"/>
    <w:rsid w:val="000E7F86"/>
    <w:rsid w:val="000F0266"/>
    <w:rsid w:val="000F04D4"/>
    <w:rsid w:val="000F05DB"/>
    <w:rsid w:val="000F05EB"/>
    <w:rsid w:val="000F060D"/>
    <w:rsid w:val="000F06A5"/>
    <w:rsid w:val="000F07BA"/>
    <w:rsid w:val="000F095C"/>
    <w:rsid w:val="000F0A00"/>
    <w:rsid w:val="000F0A32"/>
    <w:rsid w:val="000F0C09"/>
    <w:rsid w:val="000F0DF6"/>
    <w:rsid w:val="000F1066"/>
    <w:rsid w:val="000F10BB"/>
    <w:rsid w:val="000F1222"/>
    <w:rsid w:val="000F129F"/>
    <w:rsid w:val="000F1328"/>
    <w:rsid w:val="000F16EC"/>
    <w:rsid w:val="000F188F"/>
    <w:rsid w:val="000F18C1"/>
    <w:rsid w:val="000F1F01"/>
    <w:rsid w:val="000F21DB"/>
    <w:rsid w:val="000F21E2"/>
    <w:rsid w:val="000F26F5"/>
    <w:rsid w:val="000F2720"/>
    <w:rsid w:val="000F2AC5"/>
    <w:rsid w:val="000F2B54"/>
    <w:rsid w:val="000F2D1A"/>
    <w:rsid w:val="000F2D5F"/>
    <w:rsid w:val="000F30F1"/>
    <w:rsid w:val="000F3144"/>
    <w:rsid w:val="000F3388"/>
    <w:rsid w:val="000F3488"/>
    <w:rsid w:val="000F3525"/>
    <w:rsid w:val="000F37FD"/>
    <w:rsid w:val="000F39F9"/>
    <w:rsid w:val="000F3AD9"/>
    <w:rsid w:val="000F3B01"/>
    <w:rsid w:val="000F3B17"/>
    <w:rsid w:val="000F3FB1"/>
    <w:rsid w:val="000F45C6"/>
    <w:rsid w:val="000F487B"/>
    <w:rsid w:val="000F4956"/>
    <w:rsid w:val="000F4CC5"/>
    <w:rsid w:val="000F4D06"/>
    <w:rsid w:val="000F4D52"/>
    <w:rsid w:val="000F4E7D"/>
    <w:rsid w:val="000F504E"/>
    <w:rsid w:val="000F53E4"/>
    <w:rsid w:val="000F56D1"/>
    <w:rsid w:val="000F5891"/>
    <w:rsid w:val="000F5E23"/>
    <w:rsid w:val="000F5F54"/>
    <w:rsid w:val="000F6039"/>
    <w:rsid w:val="000F648A"/>
    <w:rsid w:val="000F67BE"/>
    <w:rsid w:val="000F6976"/>
    <w:rsid w:val="000F6C07"/>
    <w:rsid w:val="000F6EA3"/>
    <w:rsid w:val="000F7092"/>
    <w:rsid w:val="000F78C8"/>
    <w:rsid w:val="000F7980"/>
    <w:rsid w:val="000F799D"/>
    <w:rsid w:val="000F79D2"/>
    <w:rsid w:val="000F7C3E"/>
    <w:rsid w:val="000F7CC4"/>
    <w:rsid w:val="000F7CCC"/>
    <w:rsid w:val="000F7CCD"/>
    <w:rsid w:val="000F7EF0"/>
    <w:rsid w:val="000F7EFD"/>
    <w:rsid w:val="00100139"/>
    <w:rsid w:val="0010014A"/>
    <w:rsid w:val="0010048F"/>
    <w:rsid w:val="001005B4"/>
    <w:rsid w:val="001005BF"/>
    <w:rsid w:val="001005FC"/>
    <w:rsid w:val="001006DB"/>
    <w:rsid w:val="00100A34"/>
    <w:rsid w:val="00100BAC"/>
    <w:rsid w:val="00100C39"/>
    <w:rsid w:val="00100CE1"/>
    <w:rsid w:val="00100D5B"/>
    <w:rsid w:val="00100DF3"/>
    <w:rsid w:val="00100FC4"/>
    <w:rsid w:val="00100FF1"/>
    <w:rsid w:val="0010112E"/>
    <w:rsid w:val="00101338"/>
    <w:rsid w:val="00101385"/>
    <w:rsid w:val="0010163E"/>
    <w:rsid w:val="00101846"/>
    <w:rsid w:val="001018F2"/>
    <w:rsid w:val="00101B22"/>
    <w:rsid w:val="00101D40"/>
    <w:rsid w:val="00101DC7"/>
    <w:rsid w:val="00101DCF"/>
    <w:rsid w:val="00101E3D"/>
    <w:rsid w:val="00101F02"/>
    <w:rsid w:val="00101FB4"/>
    <w:rsid w:val="00102004"/>
    <w:rsid w:val="00102331"/>
    <w:rsid w:val="0010346F"/>
    <w:rsid w:val="00103829"/>
    <w:rsid w:val="00103839"/>
    <w:rsid w:val="00103C13"/>
    <w:rsid w:val="00103D16"/>
    <w:rsid w:val="00103DCF"/>
    <w:rsid w:val="00103FE3"/>
    <w:rsid w:val="00104363"/>
    <w:rsid w:val="00104500"/>
    <w:rsid w:val="001046AC"/>
    <w:rsid w:val="0010483B"/>
    <w:rsid w:val="00104872"/>
    <w:rsid w:val="001048F5"/>
    <w:rsid w:val="0010491D"/>
    <w:rsid w:val="00104A81"/>
    <w:rsid w:val="00104B4B"/>
    <w:rsid w:val="00104CFD"/>
    <w:rsid w:val="0010515E"/>
    <w:rsid w:val="00105160"/>
    <w:rsid w:val="00105163"/>
    <w:rsid w:val="0010532E"/>
    <w:rsid w:val="00105427"/>
    <w:rsid w:val="00105464"/>
    <w:rsid w:val="00105507"/>
    <w:rsid w:val="00105546"/>
    <w:rsid w:val="0010568D"/>
    <w:rsid w:val="0010569B"/>
    <w:rsid w:val="00105712"/>
    <w:rsid w:val="00105877"/>
    <w:rsid w:val="00105B57"/>
    <w:rsid w:val="00105B74"/>
    <w:rsid w:val="00105BDC"/>
    <w:rsid w:val="00105EE1"/>
    <w:rsid w:val="00105FEB"/>
    <w:rsid w:val="001060B9"/>
    <w:rsid w:val="0010625B"/>
    <w:rsid w:val="001063B9"/>
    <w:rsid w:val="001065D6"/>
    <w:rsid w:val="001066B0"/>
    <w:rsid w:val="0010693F"/>
    <w:rsid w:val="00106AD5"/>
    <w:rsid w:val="00106C8A"/>
    <w:rsid w:val="00106ED9"/>
    <w:rsid w:val="00106FAB"/>
    <w:rsid w:val="00107016"/>
    <w:rsid w:val="0010710C"/>
    <w:rsid w:val="0010715D"/>
    <w:rsid w:val="001077E3"/>
    <w:rsid w:val="001078ED"/>
    <w:rsid w:val="00107B90"/>
    <w:rsid w:val="00107C39"/>
    <w:rsid w:val="00107E48"/>
    <w:rsid w:val="00107EEF"/>
    <w:rsid w:val="00107F24"/>
    <w:rsid w:val="00110372"/>
    <w:rsid w:val="001104F0"/>
    <w:rsid w:val="00110685"/>
    <w:rsid w:val="00110870"/>
    <w:rsid w:val="00110A65"/>
    <w:rsid w:val="00110D2A"/>
    <w:rsid w:val="0011100B"/>
    <w:rsid w:val="00111094"/>
    <w:rsid w:val="001110DE"/>
    <w:rsid w:val="00111356"/>
    <w:rsid w:val="00111407"/>
    <w:rsid w:val="0011159D"/>
    <w:rsid w:val="001115C5"/>
    <w:rsid w:val="001116EB"/>
    <w:rsid w:val="00111983"/>
    <w:rsid w:val="00111B3B"/>
    <w:rsid w:val="00111FCE"/>
    <w:rsid w:val="00112636"/>
    <w:rsid w:val="001127D5"/>
    <w:rsid w:val="00112AC5"/>
    <w:rsid w:val="00112E89"/>
    <w:rsid w:val="0011341D"/>
    <w:rsid w:val="0011343E"/>
    <w:rsid w:val="001134A0"/>
    <w:rsid w:val="00113698"/>
    <w:rsid w:val="001137EA"/>
    <w:rsid w:val="00113CC7"/>
    <w:rsid w:val="00113D25"/>
    <w:rsid w:val="00113F93"/>
    <w:rsid w:val="00114284"/>
    <w:rsid w:val="00114531"/>
    <w:rsid w:val="0011470C"/>
    <w:rsid w:val="00114BEC"/>
    <w:rsid w:val="00114D63"/>
    <w:rsid w:val="00114EB4"/>
    <w:rsid w:val="00114F39"/>
    <w:rsid w:val="00114F5E"/>
    <w:rsid w:val="00114FF0"/>
    <w:rsid w:val="001150C1"/>
    <w:rsid w:val="001156AC"/>
    <w:rsid w:val="0011588D"/>
    <w:rsid w:val="00115B59"/>
    <w:rsid w:val="00115BA8"/>
    <w:rsid w:val="00115C9C"/>
    <w:rsid w:val="00115D52"/>
    <w:rsid w:val="00115D65"/>
    <w:rsid w:val="0011605F"/>
    <w:rsid w:val="001160C7"/>
    <w:rsid w:val="0011614C"/>
    <w:rsid w:val="0011615C"/>
    <w:rsid w:val="00116642"/>
    <w:rsid w:val="00116808"/>
    <w:rsid w:val="00116919"/>
    <w:rsid w:val="00116AC3"/>
    <w:rsid w:val="00116AE5"/>
    <w:rsid w:val="00116B06"/>
    <w:rsid w:val="00116BDD"/>
    <w:rsid w:val="00116CDF"/>
    <w:rsid w:val="00116F0B"/>
    <w:rsid w:val="00117432"/>
    <w:rsid w:val="0011763E"/>
    <w:rsid w:val="001177D5"/>
    <w:rsid w:val="001179A9"/>
    <w:rsid w:val="00117E11"/>
    <w:rsid w:val="00117F25"/>
    <w:rsid w:val="00117F82"/>
    <w:rsid w:val="00117FEA"/>
    <w:rsid w:val="001208D9"/>
    <w:rsid w:val="00120AD3"/>
    <w:rsid w:val="00120FB4"/>
    <w:rsid w:val="001213A8"/>
    <w:rsid w:val="001216F0"/>
    <w:rsid w:val="00121898"/>
    <w:rsid w:val="0012197D"/>
    <w:rsid w:val="00121BDD"/>
    <w:rsid w:val="00121E8B"/>
    <w:rsid w:val="00121F7F"/>
    <w:rsid w:val="00121FC0"/>
    <w:rsid w:val="00122394"/>
    <w:rsid w:val="001224C6"/>
    <w:rsid w:val="00122542"/>
    <w:rsid w:val="0012256B"/>
    <w:rsid w:val="0012271C"/>
    <w:rsid w:val="0012275D"/>
    <w:rsid w:val="001229A5"/>
    <w:rsid w:val="00122DD2"/>
    <w:rsid w:val="0012301D"/>
    <w:rsid w:val="00123082"/>
    <w:rsid w:val="0012331D"/>
    <w:rsid w:val="00123630"/>
    <w:rsid w:val="0012397F"/>
    <w:rsid w:val="00123A01"/>
    <w:rsid w:val="00123A98"/>
    <w:rsid w:val="00123B38"/>
    <w:rsid w:val="00123B4E"/>
    <w:rsid w:val="00123CD2"/>
    <w:rsid w:val="00124225"/>
    <w:rsid w:val="001243C9"/>
    <w:rsid w:val="001246B5"/>
    <w:rsid w:val="0012487F"/>
    <w:rsid w:val="0012489B"/>
    <w:rsid w:val="00124E7E"/>
    <w:rsid w:val="00124F0E"/>
    <w:rsid w:val="00124FBE"/>
    <w:rsid w:val="00125262"/>
    <w:rsid w:val="00125439"/>
    <w:rsid w:val="0012550D"/>
    <w:rsid w:val="0012579C"/>
    <w:rsid w:val="00125A8A"/>
    <w:rsid w:val="00125C32"/>
    <w:rsid w:val="00125CF0"/>
    <w:rsid w:val="00125F4B"/>
    <w:rsid w:val="00125F5F"/>
    <w:rsid w:val="00125FF9"/>
    <w:rsid w:val="00126253"/>
    <w:rsid w:val="001264DB"/>
    <w:rsid w:val="00126817"/>
    <w:rsid w:val="0012683B"/>
    <w:rsid w:val="00126AD1"/>
    <w:rsid w:val="00126B1C"/>
    <w:rsid w:val="00126D70"/>
    <w:rsid w:val="001272C2"/>
    <w:rsid w:val="0012776B"/>
    <w:rsid w:val="0012780B"/>
    <w:rsid w:val="001278D4"/>
    <w:rsid w:val="00127904"/>
    <w:rsid w:val="00127A30"/>
    <w:rsid w:val="00127AAC"/>
    <w:rsid w:val="00127B7D"/>
    <w:rsid w:val="00127C10"/>
    <w:rsid w:val="00127DFE"/>
    <w:rsid w:val="00130017"/>
    <w:rsid w:val="0013037A"/>
    <w:rsid w:val="00130527"/>
    <w:rsid w:val="0013078E"/>
    <w:rsid w:val="00130A1F"/>
    <w:rsid w:val="00130B22"/>
    <w:rsid w:val="00130BA0"/>
    <w:rsid w:val="00130BEA"/>
    <w:rsid w:val="00130D36"/>
    <w:rsid w:val="00130D3F"/>
    <w:rsid w:val="00130DBA"/>
    <w:rsid w:val="00130F91"/>
    <w:rsid w:val="00131172"/>
    <w:rsid w:val="00131197"/>
    <w:rsid w:val="001314D6"/>
    <w:rsid w:val="0013163B"/>
    <w:rsid w:val="00131750"/>
    <w:rsid w:val="0013186A"/>
    <w:rsid w:val="001318ED"/>
    <w:rsid w:val="00131A62"/>
    <w:rsid w:val="00131C39"/>
    <w:rsid w:val="00131C69"/>
    <w:rsid w:val="00131F72"/>
    <w:rsid w:val="00131FD3"/>
    <w:rsid w:val="001321DE"/>
    <w:rsid w:val="00132313"/>
    <w:rsid w:val="0013240D"/>
    <w:rsid w:val="001324C1"/>
    <w:rsid w:val="00132540"/>
    <w:rsid w:val="001326DA"/>
    <w:rsid w:val="0013299A"/>
    <w:rsid w:val="00132C38"/>
    <w:rsid w:val="00132CA3"/>
    <w:rsid w:val="001331E5"/>
    <w:rsid w:val="00133262"/>
    <w:rsid w:val="00133294"/>
    <w:rsid w:val="00133540"/>
    <w:rsid w:val="00133900"/>
    <w:rsid w:val="00133E1D"/>
    <w:rsid w:val="00133E68"/>
    <w:rsid w:val="00133EBC"/>
    <w:rsid w:val="001341CC"/>
    <w:rsid w:val="0013437B"/>
    <w:rsid w:val="001343CF"/>
    <w:rsid w:val="00134412"/>
    <w:rsid w:val="00134431"/>
    <w:rsid w:val="001346AA"/>
    <w:rsid w:val="001348F0"/>
    <w:rsid w:val="001349ED"/>
    <w:rsid w:val="00134B22"/>
    <w:rsid w:val="00134C12"/>
    <w:rsid w:val="001350A3"/>
    <w:rsid w:val="001353CE"/>
    <w:rsid w:val="00135435"/>
    <w:rsid w:val="00135574"/>
    <w:rsid w:val="001355DC"/>
    <w:rsid w:val="001355F5"/>
    <w:rsid w:val="00135A92"/>
    <w:rsid w:val="00135C8D"/>
    <w:rsid w:val="00135F92"/>
    <w:rsid w:val="0013606D"/>
    <w:rsid w:val="00136079"/>
    <w:rsid w:val="0013652C"/>
    <w:rsid w:val="0013680E"/>
    <w:rsid w:val="00136AF5"/>
    <w:rsid w:val="00136C0A"/>
    <w:rsid w:val="00136C91"/>
    <w:rsid w:val="00136E07"/>
    <w:rsid w:val="00136F13"/>
    <w:rsid w:val="001370AC"/>
    <w:rsid w:val="001370E7"/>
    <w:rsid w:val="001373D9"/>
    <w:rsid w:val="00137424"/>
    <w:rsid w:val="001378E6"/>
    <w:rsid w:val="001378F3"/>
    <w:rsid w:val="00137966"/>
    <w:rsid w:val="00137D19"/>
    <w:rsid w:val="00137D93"/>
    <w:rsid w:val="00137DE1"/>
    <w:rsid w:val="00137F96"/>
    <w:rsid w:val="00137FB3"/>
    <w:rsid w:val="001400FF"/>
    <w:rsid w:val="001401EC"/>
    <w:rsid w:val="00140209"/>
    <w:rsid w:val="00140318"/>
    <w:rsid w:val="00140625"/>
    <w:rsid w:val="00140A24"/>
    <w:rsid w:val="00140A83"/>
    <w:rsid w:val="00140BF9"/>
    <w:rsid w:val="00140E74"/>
    <w:rsid w:val="00140FE8"/>
    <w:rsid w:val="00141042"/>
    <w:rsid w:val="00141056"/>
    <w:rsid w:val="001410B3"/>
    <w:rsid w:val="00141294"/>
    <w:rsid w:val="001414A5"/>
    <w:rsid w:val="001415FA"/>
    <w:rsid w:val="0014167C"/>
    <w:rsid w:val="00141694"/>
    <w:rsid w:val="001416B0"/>
    <w:rsid w:val="0014196F"/>
    <w:rsid w:val="00141A75"/>
    <w:rsid w:val="00141AD9"/>
    <w:rsid w:val="00141B4E"/>
    <w:rsid w:val="00141CAA"/>
    <w:rsid w:val="00141F6B"/>
    <w:rsid w:val="00142213"/>
    <w:rsid w:val="00142259"/>
    <w:rsid w:val="00142295"/>
    <w:rsid w:val="00142678"/>
    <w:rsid w:val="00142A7B"/>
    <w:rsid w:val="00142B7F"/>
    <w:rsid w:val="00142E43"/>
    <w:rsid w:val="0014305C"/>
    <w:rsid w:val="001430FE"/>
    <w:rsid w:val="00143140"/>
    <w:rsid w:val="00143265"/>
    <w:rsid w:val="00143278"/>
    <w:rsid w:val="0014350A"/>
    <w:rsid w:val="00143579"/>
    <w:rsid w:val="0014368A"/>
    <w:rsid w:val="001436B1"/>
    <w:rsid w:val="001438CC"/>
    <w:rsid w:val="00143A51"/>
    <w:rsid w:val="00143B6E"/>
    <w:rsid w:val="00143E40"/>
    <w:rsid w:val="00143EA8"/>
    <w:rsid w:val="001440A2"/>
    <w:rsid w:val="00144155"/>
    <w:rsid w:val="00144278"/>
    <w:rsid w:val="0014427A"/>
    <w:rsid w:val="0014446C"/>
    <w:rsid w:val="001448EB"/>
    <w:rsid w:val="00144A9F"/>
    <w:rsid w:val="00144C29"/>
    <w:rsid w:val="00144FA5"/>
    <w:rsid w:val="0014503D"/>
    <w:rsid w:val="00145165"/>
    <w:rsid w:val="001451B7"/>
    <w:rsid w:val="001452D9"/>
    <w:rsid w:val="00145507"/>
    <w:rsid w:val="0014570D"/>
    <w:rsid w:val="00145DE4"/>
    <w:rsid w:val="00145EC5"/>
    <w:rsid w:val="0014613B"/>
    <w:rsid w:val="001463B5"/>
    <w:rsid w:val="0014641B"/>
    <w:rsid w:val="00146464"/>
    <w:rsid w:val="0014685A"/>
    <w:rsid w:val="00146B4D"/>
    <w:rsid w:val="00146CE6"/>
    <w:rsid w:val="00147333"/>
    <w:rsid w:val="001475AD"/>
    <w:rsid w:val="00147679"/>
    <w:rsid w:val="0014770C"/>
    <w:rsid w:val="0014780F"/>
    <w:rsid w:val="00147979"/>
    <w:rsid w:val="00147C67"/>
    <w:rsid w:val="00147D18"/>
    <w:rsid w:val="00147D59"/>
    <w:rsid w:val="00147E35"/>
    <w:rsid w:val="00147F89"/>
    <w:rsid w:val="001500D3"/>
    <w:rsid w:val="0015015F"/>
    <w:rsid w:val="00150231"/>
    <w:rsid w:val="001503FF"/>
    <w:rsid w:val="001504BC"/>
    <w:rsid w:val="0015058C"/>
    <w:rsid w:val="001505BE"/>
    <w:rsid w:val="00150699"/>
    <w:rsid w:val="00150798"/>
    <w:rsid w:val="001507F7"/>
    <w:rsid w:val="0015092D"/>
    <w:rsid w:val="00150A82"/>
    <w:rsid w:val="00150C6A"/>
    <w:rsid w:val="00150EBE"/>
    <w:rsid w:val="001511B5"/>
    <w:rsid w:val="00151207"/>
    <w:rsid w:val="001512EE"/>
    <w:rsid w:val="0015140E"/>
    <w:rsid w:val="001514F2"/>
    <w:rsid w:val="00151526"/>
    <w:rsid w:val="001515AF"/>
    <w:rsid w:val="0015168D"/>
    <w:rsid w:val="00151719"/>
    <w:rsid w:val="0015192C"/>
    <w:rsid w:val="00152080"/>
    <w:rsid w:val="0015208A"/>
    <w:rsid w:val="001522D5"/>
    <w:rsid w:val="00152439"/>
    <w:rsid w:val="0015246B"/>
    <w:rsid w:val="00152903"/>
    <w:rsid w:val="0015291E"/>
    <w:rsid w:val="00152B0D"/>
    <w:rsid w:val="00152CFE"/>
    <w:rsid w:val="00152FBA"/>
    <w:rsid w:val="001534AE"/>
    <w:rsid w:val="00153567"/>
    <w:rsid w:val="0015356F"/>
    <w:rsid w:val="00153686"/>
    <w:rsid w:val="00153694"/>
    <w:rsid w:val="00153758"/>
    <w:rsid w:val="00153889"/>
    <w:rsid w:val="0015390F"/>
    <w:rsid w:val="0015396C"/>
    <w:rsid w:val="0015399A"/>
    <w:rsid w:val="00153C1E"/>
    <w:rsid w:val="00153EEE"/>
    <w:rsid w:val="00153F91"/>
    <w:rsid w:val="00153FD5"/>
    <w:rsid w:val="001542A7"/>
    <w:rsid w:val="001547DD"/>
    <w:rsid w:val="00154843"/>
    <w:rsid w:val="00154ACC"/>
    <w:rsid w:val="00154C4C"/>
    <w:rsid w:val="00154D5C"/>
    <w:rsid w:val="00154EFB"/>
    <w:rsid w:val="00154F77"/>
    <w:rsid w:val="0015506D"/>
    <w:rsid w:val="00155281"/>
    <w:rsid w:val="00155402"/>
    <w:rsid w:val="0015559F"/>
    <w:rsid w:val="00155610"/>
    <w:rsid w:val="00155668"/>
    <w:rsid w:val="00155763"/>
    <w:rsid w:val="00155834"/>
    <w:rsid w:val="00155845"/>
    <w:rsid w:val="0015594D"/>
    <w:rsid w:val="00155BD6"/>
    <w:rsid w:val="00155D33"/>
    <w:rsid w:val="00155E6B"/>
    <w:rsid w:val="00155E88"/>
    <w:rsid w:val="0015614F"/>
    <w:rsid w:val="0015638C"/>
    <w:rsid w:val="00156417"/>
    <w:rsid w:val="001567A5"/>
    <w:rsid w:val="00156800"/>
    <w:rsid w:val="00156921"/>
    <w:rsid w:val="001569C5"/>
    <w:rsid w:val="00156B7E"/>
    <w:rsid w:val="00156C42"/>
    <w:rsid w:val="00156DE9"/>
    <w:rsid w:val="00156E45"/>
    <w:rsid w:val="00156F51"/>
    <w:rsid w:val="001570C6"/>
    <w:rsid w:val="0015720C"/>
    <w:rsid w:val="001573DA"/>
    <w:rsid w:val="00157721"/>
    <w:rsid w:val="001577C2"/>
    <w:rsid w:val="00157A65"/>
    <w:rsid w:val="00160249"/>
    <w:rsid w:val="0016029B"/>
    <w:rsid w:val="0016035F"/>
    <w:rsid w:val="0016066D"/>
    <w:rsid w:val="0016068C"/>
    <w:rsid w:val="001609BD"/>
    <w:rsid w:val="001609CB"/>
    <w:rsid w:val="001609FD"/>
    <w:rsid w:val="00160A16"/>
    <w:rsid w:val="00160A78"/>
    <w:rsid w:val="00160BC9"/>
    <w:rsid w:val="00160D0F"/>
    <w:rsid w:val="00160E87"/>
    <w:rsid w:val="00160EEF"/>
    <w:rsid w:val="0016114D"/>
    <w:rsid w:val="001613E6"/>
    <w:rsid w:val="00161592"/>
    <w:rsid w:val="00161F92"/>
    <w:rsid w:val="0016264D"/>
    <w:rsid w:val="00162682"/>
    <w:rsid w:val="001626E1"/>
    <w:rsid w:val="001627D9"/>
    <w:rsid w:val="00162B08"/>
    <w:rsid w:val="00162B29"/>
    <w:rsid w:val="00162B40"/>
    <w:rsid w:val="00162CE2"/>
    <w:rsid w:val="00162F94"/>
    <w:rsid w:val="001633C4"/>
    <w:rsid w:val="00163418"/>
    <w:rsid w:val="001639BF"/>
    <w:rsid w:val="00163A52"/>
    <w:rsid w:val="00163B6E"/>
    <w:rsid w:val="00163C7D"/>
    <w:rsid w:val="00163D25"/>
    <w:rsid w:val="00163D3F"/>
    <w:rsid w:val="0016434A"/>
    <w:rsid w:val="0016470A"/>
    <w:rsid w:val="0016480E"/>
    <w:rsid w:val="0016497F"/>
    <w:rsid w:val="00164B77"/>
    <w:rsid w:val="00164BE7"/>
    <w:rsid w:val="00164C10"/>
    <w:rsid w:val="00164CA1"/>
    <w:rsid w:val="00164E6A"/>
    <w:rsid w:val="0016501E"/>
    <w:rsid w:val="0016516B"/>
    <w:rsid w:val="00165370"/>
    <w:rsid w:val="001654D2"/>
    <w:rsid w:val="001655FF"/>
    <w:rsid w:val="00165684"/>
    <w:rsid w:val="00165CB0"/>
    <w:rsid w:val="00166101"/>
    <w:rsid w:val="00166227"/>
    <w:rsid w:val="001662DE"/>
    <w:rsid w:val="00166CC7"/>
    <w:rsid w:val="00166D74"/>
    <w:rsid w:val="00166F9A"/>
    <w:rsid w:val="0016738B"/>
    <w:rsid w:val="0016756A"/>
    <w:rsid w:val="001676D8"/>
    <w:rsid w:val="00167751"/>
    <w:rsid w:val="00167CC4"/>
    <w:rsid w:val="00167D32"/>
    <w:rsid w:val="001704BD"/>
    <w:rsid w:val="001704D5"/>
    <w:rsid w:val="00170A1D"/>
    <w:rsid w:val="00170A54"/>
    <w:rsid w:val="00170A6E"/>
    <w:rsid w:val="00170A92"/>
    <w:rsid w:val="00170D53"/>
    <w:rsid w:val="001713BA"/>
    <w:rsid w:val="0017142B"/>
    <w:rsid w:val="00171431"/>
    <w:rsid w:val="0017152A"/>
    <w:rsid w:val="00171591"/>
    <w:rsid w:val="001715A1"/>
    <w:rsid w:val="00171694"/>
    <w:rsid w:val="001716A5"/>
    <w:rsid w:val="0017172D"/>
    <w:rsid w:val="0017199D"/>
    <w:rsid w:val="00171DE9"/>
    <w:rsid w:val="00172058"/>
    <w:rsid w:val="0017209F"/>
    <w:rsid w:val="001721A1"/>
    <w:rsid w:val="001721A2"/>
    <w:rsid w:val="001726A1"/>
    <w:rsid w:val="00172835"/>
    <w:rsid w:val="001728C2"/>
    <w:rsid w:val="00172B29"/>
    <w:rsid w:val="00172C01"/>
    <w:rsid w:val="00172C3E"/>
    <w:rsid w:val="00172C9B"/>
    <w:rsid w:val="00172D64"/>
    <w:rsid w:val="00172D9D"/>
    <w:rsid w:val="00173193"/>
    <w:rsid w:val="00173202"/>
    <w:rsid w:val="001732F5"/>
    <w:rsid w:val="001733F5"/>
    <w:rsid w:val="001734B1"/>
    <w:rsid w:val="0017350C"/>
    <w:rsid w:val="00173895"/>
    <w:rsid w:val="00173931"/>
    <w:rsid w:val="00173981"/>
    <w:rsid w:val="00173B40"/>
    <w:rsid w:val="00173BFA"/>
    <w:rsid w:val="00173E1C"/>
    <w:rsid w:val="00173F00"/>
    <w:rsid w:val="00173F3A"/>
    <w:rsid w:val="0017422F"/>
    <w:rsid w:val="001743D6"/>
    <w:rsid w:val="0017458A"/>
    <w:rsid w:val="001747A4"/>
    <w:rsid w:val="001748EB"/>
    <w:rsid w:val="00174903"/>
    <w:rsid w:val="00174A08"/>
    <w:rsid w:val="00174F8B"/>
    <w:rsid w:val="00175176"/>
    <w:rsid w:val="001751CE"/>
    <w:rsid w:val="00175290"/>
    <w:rsid w:val="0017554E"/>
    <w:rsid w:val="001757D7"/>
    <w:rsid w:val="00175873"/>
    <w:rsid w:val="001758C1"/>
    <w:rsid w:val="00175914"/>
    <w:rsid w:val="00175ABB"/>
    <w:rsid w:val="00175AE3"/>
    <w:rsid w:val="00176026"/>
    <w:rsid w:val="0017625A"/>
    <w:rsid w:val="0017627F"/>
    <w:rsid w:val="001763EF"/>
    <w:rsid w:val="0017688D"/>
    <w:rsid w:val="00176894"/>
    <w:rsid w:val="00176DBA"/>
    <w:rsid w:val="00176E0A"/>
    <w:rsid w:val="00176F9E"/>
    <w:rsid w:val="00177050"/>
    <w:rsid w:val="0017719D"/>
    <w:rsid w:val="001771F0"/>
    <w:rsid w:val="00177733"/>
    <w:rsid w:val="00177775"/>
    <w:rsid w:val="00177B4E"/>
    <w:rsid w:val="00177E8F"/>
    <w:rsid w:val="00180518"/>
    <w:rsid w:val="00180594"/>
    <w:rsid w:val="0018069E"/>
    <w:rsid w:val="0018078F"/>
    <w:rsid w:val="0018081C"/>
    <w:rsid w:val="00180863"/>
    <w:rsid w:val="00180951"/>
    <w:rsid w:val="00180FAD"/>
    <w:rsid w:val="00180FF5"/>
    <w:rsid w:val="001810DC"/>
    <w:rsid w:val="00181127"/>
    <w:rsid w:val="0018117C"/>
    <w:rsid w:val="00181230"/>
    <w:rsid w:val="00181264"/>
    <w:rsid w:val="001812EA"/>
    <w:rsid w:val="001816B7"/>
    <w:rsid w:val="00181B04"/>
    <w:rsid w:val="00181E42"/>
    <w:rsid w:val="00181EDF"/>
    <w:rsid w:val="001820A3"/>
    <w:rsid w:val="00182123"/>
    <w:rsid w:val="00182458"/>
    <w:rsid w:val="00182686"/>
    <w:rsid w:val="0018276B"/>
    <w:rsid w:val="00182851"/>
    <w:rsid w:val="00182A63"/>
    <w:rsid w:val="00182AF3"/>
    <w:rsid w:val="00182C70"/>
    <w:rsid w:val="0018326B"/>
    <w:rsid w:val="00183565"/>
    <w:rsid w:val="00183754"/>
    <w:rsid w:val="00183A6A"/>
    <w:rsid w:val="00183DAA"/>
    <w:rsid w:val="00183FB6"/>
    <w:rsid w:val="00183FD7"/>
    <w:rsid w:val="00184030"/>
    <w:rsid w:val="00184167"/>
    <w:rsid w:val="001843C3"/>
    <w:rsid w:val="0018441D"/>
    <w:rsid w:val="00184501"/>
    <w:rsid w:val="0018493F"/>
    <w:rsid w:val="00184A39"/>
    <w:rsid w:val="00184ADB"/>
    <w:rsid w:val="00184C5E"/>
    <w:rsid w:val="00184E23"/>
    <w:rsid w:val="00184ECB"/>
    <w:rsid w:val="00184FB2"/>
    <w:rsid w:val="00184FEA"/>
    <w:rsid w:val="0018548B"/>
    <w:rsid w:val="00185515"/>
    <w:rsid w:val="00185539"/>
    <w:rsid w:val="0018554A"/>
    <w:rsid w:val="00185563"/>
    <w:rsid w:val="001855FA"/>
    <w:rsid w:val="001856AB"/>
    <w:rsid w:val="001857E9"/>
    <w:rsid w:val="001859C9"/>
    <w:rsid w:val="00185A21"/>
    <w:rsid w:val="00185CAB"/>
    <w:rsid w:val="00186036"/>
    <w:rsid w:val="0018608E"/>
    <w:rsid w:val="001860A4"/>
    <w:rsid w:val="00186127"/>
    <w:rsid w:val="001862BA"/>
    <w:rsid w:val="001866E8"/>
    <w:rsid w:val="0018676A"/>
    <w:rsid w:val="00186812"/>
    <w:rsid w:val="00186867"/>
    <w:rsid w:val="001869ED"/>
    <w:rsid w:val="00186B35"/>
    <w:rsid w:val="00186BE0"/>
    <w:rsid w:val="00186CA7"/>
    <w:rsid w:val="00186D3F"/>
    <w:rsid w:val="00186F92"/>
    <w:rsid w:val="00187027"/>
    <w:rsid w:val="0018711F"/>
    <w:rsid w:val="0018725A"/>
    <w:rsid w:val="0018727C"/>
    <w:rsid w:val="0018729F"/>
    <w:rsid w:val="001872BA"/>
    <w:rsid w:val="00187464"/>
    <w:rsid w:val="001875AC"/>
    <w:rsid w:val="001875B7"/>
    <w:rsid w:val="00187806"/>
    <w:rsid w:val="0018784C"/>
    <w:rsid w:val="00187A15"/>
    <w:rsid w:val="00187B35"/>
    <w:rsid w:val="00187BE4"/>
    <w:rsid w:val="00187C17"/>
    <w:rsid w:val="00187CB3"/>
    <w:rsid w:val="0019030C"/>
    <w:rsid w:val="0019048D"/>
    <w:rsid w:val="001904AE"/>
    <w:rsid w:val="001904EC"/>
    <w:rsid w:val="0019050A"/>
    <w:rsid w:val="001906AB"/>
    <w:rsid w:val="001906C4"/>
    <w:rsid w:val="0019081D"/>
    <w:rsid w:val="00190E1E"/>
    <w:rsid w:val="0019106C"/>
    <w:rsid w:val="001910D4"/>
    <w:rsid w:val="001913B7"/>
    <w:rsid w:val="00191541"/>
    <w:rsid w:val="00191877"/>
    <w:rsid w:val="00191A1B"/>
    <w:rsid w:val="00191B04"/>
    <w:rsid w:val="00191C96"/>
    <w:rsid w:val="00191DFC"/>
    <w:rsid w:val="00191E6B"/>
    <w:rsid w:val="0019208E"/>
    <w:rsid w:val="0019235D"/>
    <w:rsid w:val="0019243B"/>
    <w:rsid w:val="00192685"/>
    <w:rsid w:val="001926EE"/>
    <w:rsid w:val="0019283A"/>
    <w:rsid w:val="00192ADB"/>
    <w:rsid w:val="00192B11"/>
    <w:rsid w:val="00192B18"/>
    <w:rsid w:val="001932AC"/>
    <w:rsid w:val="001932CE"/>
    <w:rsid w:val="001935C9"/>
    <w:rsid w:val="00193888"/>
    <w:rsid w:val="0019390F"/>
    <w:rsid w:val="00193BCE"/>
    <w:rsid w:val="00193F3B"/>
    <w:rsid w:val="0019402E"/>
    <w:rsid w:val="00194069"/>
    <w:rsid w:val="0019421F"/>
    <w:rsid w:val="0019430E"/>
    <w:rsid w:val="00194C9F"/>
    <w:rsid w:val="00194EA2"/>
    <w:rsid w:val="00194EAC"/>
    <w:rsid w:val="00194F90"/>
    <w:rsid w:val="00195015"/>
    <w:rsid w:val="001951F5"/>
    <w:rsid w:val="0019537D"/>
    <w:rsid w:val="0019539F"/>
    <w:rsid w:val="0019548E"/>
    <w:rsid w:val="001954C8"/>
    <w:rsid w:val="0019593A"/>
    <w:rsid w:val="00195A31"/>
    <w:rsid w:val="00195F64"/>
    <w:rsid w:val="00196050"/>
    <w:rsid w:val="00196533"/>
    <w:rsid w:val="0019661E"/>
    <w:rsid w:val="001966DF"/>
    <w:rsid w:val="00196700"/>
    <w:rsid w:val="0019682A"/>
    <w:rsid w:val="001969D2"/>
    <w:rsid w:val="001969FB"/>
    <w:rsid w:val="00196A9B"/>
    <w:rsid w:val="00196AAE"/>
    <w:rsid w:val="00196B66"/>
    <w:rsid w:val="00196F0A"/>
    <w:rsid w:val="00196FBB"/>
    <w:rsid w:val="00196FEA"/>
    <w:rsid w:val="0019707A"/>
    <w:rsid w:val="00197222"/>
    <w:rsid w:val="001973E4"/>
    <w:rsid w:val="001974D0"/>
    <w:rsid w:val="001976E3"/>
    <w:rsid w:val="0019789B"/>
    <w:rsid w:val="00197B4A"/>
    <w:rsid w:val="00197BF2"/>
    <w:rsid w:val="00197C28"/>
    <w:rsid w:val="00197CD4"/>
    <w:rsid w:val="001A0078"/>
    <w:rsid w:val="001A016D"/>
    <w:rsid w:val="001A01AD"/>
    <w:rsid w:val="001A0259"/>
    <w:rsid w:val="001A0530"/>
    <w:rsid w:val="001A095A"/>
    <w:rsid w:val="001A096D"/>
    <w:rsid w:val="001A09B5"/>
    <w:rsid w:val="001A0A95"/>
    <w:rsid w:val="001A0B54"/>
    <w:rsid w:val="001A10A5"/>
    <w:rsid w:val="001A1266"/>
    <w:rsid w:val="001A13F6"/>
    <w:rsid w:val="001A1659"/>
    <w:rsid w:val="001A16C0"/>
    <w:rsid w:val="001A17B4"/>
    <w:rsid w:val="001A1A47"/>
    <w:rsid w:val="001A1B87"/>
    <w:rsid w:val="001A1C55"/>
    <w:rsid w:val="001A1CBE"/>
    <w:rsid w:val="001A1CDD"/>
    <w:rsid w:val="001A1D0D"/>
    <w:rsid w:val="001A1D68"/>
    <w:rsid w:val="001A1E47"/>
    <w:rsid w:val="001A1FB3"/>
    <w:rsid w:val="001A2133"/>
    <w:rsid w:val="001A2159"/>
    <w:rsid w:val="001A288F"/>
    <w:rsid w:val="001A2A3F"/>
    <w:rsid w:val="001A2B5E"/>
    <w:rsid w:val="001A2E83"/>
    <w:rsid w:val="001A3068"/>
    <w:rsid w:val="001A33B5"/>
    <w:rsid w:val="001A3486"/>
    <w:rsid w:val="001A3562"/>
    <w:rsid w:val="001A36E0"/>
    <w:rsid w:val="001A3AC7"/>
    <w:rsid w:val="001A3B04"/>
    <w:rsid w:val="001A3B36"/>
    <w:rsid w:val="001A3BCA"/>
    <w:rsid w:val="001A3CEA"/>
    <w:rsid w:val="001A40D7"/>
    <w:rsid w:val="001A41F5"/>
    <w:rsid w:val="001A42C3"/>
    <w:rsid w:val="001A43C8"/>
    <w:rsid w:val="001A44EC"/>
    <w:rsid w:val="001A4656"/>
    <w:rsid w:val="001A4684"/>
    <w:rsid w:val="001A4761"/>
    <w:rsid w:val="001A483D"/>
    <w:rsid w:val="001A49E8"/>
    <w:rsid w:val="001A4A67"/>
    <w:rsid w:val="001A4B51"/>
    <w:rsid w:val="001A4ECE"/>
    <w:rsid w:val="001A4F9F"/>
    <w:rsid w:val="001A52BE"/>
    <w:rsid w:val="001A57C2"/>
    <w:rsid w:val="001A57F9"/>
    <w:rsid w:val="001A5823"/>
    <w:rsid w:val="001A5929"/>
    <w:rsid w:val="001A59FD"/>
    <w:rsid w:val="001A5AF3"/>
    <w:rsid w:val="001A5C69"/>
    <w:rsid w:val="001A611E"/>
    <w:rsid w:val="001A6301"/>
    <w:rsid w:val="001A63FC"/>
    <w:rsid w:val="001A6793"/>
    <w:rsid w:val="001A6A2A"/>
    <w:rsid w:val="001A6F44"/>
    <w:rsid w:val="001A6FC4"/>
    <w:rsid w:val="001A705A"/>
    <w:rsid w:val="001A717C"/>
    <w:rsid w:val="001A72D0"/>
    <w:rsid w:val="001A7812"/>
    <w:rsid w:val="001A7832"/>
    <w:rsid w:val="001A7A06"/>
    <w:rsid w:val="001A7B42"/>
    <w:rsid w:val="001A7B44"/>
    <w:rsid w:val="001A7B60"/>
    <w:rsid w:val="001B0556"/>
    <w:rsid w:val="001B0944"/>
    <w:rsid w:val="001B0A81"/>
    <w:rsid w:val="001B1025"/>
    <w:rsid w:val="001B1473"/>
    <w:rsid w:val="001B175B"/>
    <w:rsid w:val="001B178D"/>
    <w:rsid w:val="001B199C"/>
    <w:rsid w:val="001B1AA2"/>
    <w:rsid w:val="001B1BAC"/>
    <w:rsid w:val="001B1E09"/>
    <w:rsid w:val="001B28FD"/>
    <w:rsid w:val="001B29B7"/>
    <w:rsid w:val="001B2AB1"/>
    <w:rsid w:val="001B2B0D"/>
    <w:rsid w:val="001B2E18"/>
    <w:rsid w:val="001B350E"/>
    <w:rsid w:val="001B3A75"/>
    <w:rsid w:val="001B3AB3"/>
    <w:rsid w:val="001B3C2E"/>
    <w:rsid w:val="001B3CDD"/>
    <w:rsid w:val="001B4775"/>
    <w:rsid w:val="001B49D1"/>
    <w:rsid w:val="001B4B53"/>
    <w:rsid w:val="001B4C34"/>
    <w:rsid w:val="001B4D43"/>
    <w:rsid w:val="001B4DC0"/>
    <w:rsid w:val="001B4F4B"/>
    <w:rsid w:val="001B5318"/>
    <w:rsid w:val="001B54B8"/>
    <w:rsid w:val="001B56A7"/>
    <w:rsid w:val="001B5768"/>
    <w:rsid w:val="001B5781"/>
    <w:rsid w:val="001B58AA"/>
    <w:rsid w:val="001B5BB1"/>
    <w:rsid w:val="001B5CBE"/>
    <w:rsid w:val="001B5D5B"/>
    <w:rsid w:val="001B5FE4"/>
    <w:rsid w:val="001B619A"/>
    <w:rsid w:val="001B6418"/>
    <w:rsid w:val="001B663B"/>
    <w:rsid w:val="001B68BB"/>
    <w:rsid w:val="001B6A48"/>
    <w:rsid w:val="001B6BDF"/>
    <w:rsid w:val="001B6C1A"/>
    <w:rsid w:val="001B6C2F"/>
    <w:rsid w:val="001B6D72"/>
    <w:rsid w:val="001B6E32"/>
    <w:rsid w:val="001B714C"/>
    <w:rsid w:val="001B76B3"/>
    <w:rsid w:val="001B7CA0"/>
    <w:rsid w:val="001B7DAB"/>
    <w:rsid w:val="001B7E48"/>
    <w:rsid w:val="001B7E64"/>
    <w:rsid w:val="001B7F18"/>
    <w:rsid w:val="001C01BE"/>
    <w:rsid w:val="001C02EF"/>
    <w:rsid w:val="001C03C0"/>
    <w:rsid w:val="001C0A3D"/>
    <w:rsid w:val="001C0B4A"/>
    <w:rsid w:val="001C0DC1"/>
    <w:rsid w:val="001C0DC7"/>
    <w:rsid w:val="001C0DEE"/>
    <w:rsid w:val="001C0E17"/>
    <w:rsid w:val="001C0E19"/>
    <w:rsid w:val="001C10CF"/>
    <w:rsid w:val="001C10EE"/>
    <w:rsid w:val="001C1262"/>
    <w:rsid w:val="001C155E"/>
    <w:rsid w:val="001C15EF"/>
    <w:rsid w:val="001C17CE"/>
    <w:rsid w:val="001C1A7F"/>
    <w:rsid w:val="001C1C2A"/>
    <w:rsid w:val="001C1E71"/>
    <w:rsid w:val="001C1F0D"/>
    <w:rsid w:val="001C236D"/>
    <w:rsid w:val="001C23A1"/>
    <w:rsid w:val="001C2471"/>
    <w:rsid w:val="001C2773"/>
    <w:rsid w:val="001C278D"/>
    <w:rsid w:val="001C2921"/>
    <w:rsid w:val="001C2BF4"/>
    <w:rsid w:val="001C2C32"/>
    <w:rsid w:val="001C2C44"/>
    <w:rsid w:val="001C2D3B"/>
    <w:rsid w:val="001C2ED8"/>
    <w:rsid w:val="001C3038"/>
    <w:rsid w:val="001C3191"/>
    <w:rsid w:val="001C323B"/>
    <w:rsid w:val="001C324C"/>
    <w:rsid w:val="001C3289"/>
    <w:rsid w:val="001C3373"/>
    <w:rsid w:val="001C3376"/>
    <w:rsid w:val="001C33D7"/>
    <w:rsid w:val="001C35C0"/>
    <w:rsid w:val="001C36CA"/>
    <w:rsid w:val="001C3801"/>
    <w:rsid w:val="001C3845"/>
    <w:rsid w:val="001C3A36"/>
    <w:rsid w:val="001C3BDB"/>
    <w:rsid w:val="001C3C31"/>
    <w:rsid w:val="001C3C77"/>
    <w:rsid w:val="001C3CEE"/>
    <w:rsid w:val="001C3D1D"/>
    <w:rsid w:val="001C3E13"/>
    <w:rsid w:val="001C3EE5"/>
    <w:rsid w:val="001C446B"/>
    <w:rsid w:val="001C449A"/>
    <w:rsid w:val="001C44D1"/>
    <w:rsid w:val="001C44EB"/>
    <w:rsid w:val="001C4664"/>
    <w:rsid w:val="001C467B"/>
    <w:rsid w:val="001C4E9B"/>
    <w:rsid w:val="001C5043"/>
    <w:rsid w:val="001C50A5"/>
    <w:rsid w:val="001C50B5"/>
    <w:rsid w:val="001C516A"/>
    <w:rsid w:val="001C58A5"/>
    <w:rsid w:val="001C5905"/>
    <w:rsid w:val="001C5BD0"/>
    <w:rsid w:val="001C5CE6"/>
    <w:rsid w:val="001C5E33"/>
    <w:rsid w:val="001C62E4"/>
    <w:rsid w:val="001C6424"/>
    <w:rsid w:val="001C656B"/>
    <w:rsid w:val="001C669D"/>
    <w:rsid w:val="001C6713"/>
    <w:rsid w:val="001C680B"/>
    <w:rsid w:val="001C6861"/>
    <w:rsid w:val="001C6998"/>
    <w:rsid w:val="001C6A41"/>
    <w:rsid w:val="001C6AA8"/>
    <w:rsid w:val="001C6AE1"/>
    <w:rsid w:val="001C6AEE"/>
    <w:rsid w:val="001C6B87"/>
    <w:rsid w:val="001C6CDC"/>
    <w:rsid w:val="001C6E1A"/>
    <w:rsid w:val="001C6ECE"/>
    <w:rsid w:val="001C6F4B"/>
    <w:rsid w:val="001C700E"/>
    <w:rsid w:val="001C731B"/>
    <w:rsid w:val="001C7630"/>
    <w:rsid w:val="001C7A9C"/>
    <w:rsid w:val="001C7ADF"/>
    <w:rsid w:val="001C7DE1"/>
    <w:rsid w:val="001C7E59"/>
    <w:rsid w:val="001C7EC7"/>
    <w:rsid w:val="001D0356"/>
    <w:rsid w:val="001D068C"/>
    <w:rsid w:val="001D08D6"/>
    <w:rsid w:val="001D1038"/>
    <w:rsid w:val="001D12BA"/>
    <w:rsid w:val="001D1471"/>
    <w:rsid w:val="001D14A6"/>
    <w:rsid w:val="001D157B"/>
    <w:rsid w:val="001D16F4"/>
    <w:rsid w:val="001D1A17"/>
    <w:rsid w:val="001D1B49"/>
    <w:rsid w:val="001D1C66"/>
    <w:rsid w:val="001D1D63"/>
    <w:rsid w:val="001D1E60"/>
    <w:rsid w:val="001D2112"/>
    <w:rsid w:val="001D2465"/>
    <w:rsid w:val="001D2507"/>
    <w:rsid w:val="001D25C3"/>
    <w:rsid w:val="001D261B"/>
    <w:rsid w:val="001D269D"/>
    <w:rsid w:val="001D269F"/>
    <w:rsid w:val="001D280E"/>
    <w:rsid w:val="001D2984"/>
    <w:rsid w:val="001D2A60"/>
    <w:rsid w:val="001D2C91"/>
    <w:rsid w:val="001D2CB7"/>
    <w:rsid w:val="001D30C7"/>
    <w:rsid w:val="001D30D1"/>
    <w:rsid w:val="001D3356"/>
    <w:rsid w:val="001D3360"/>
    <w:rsid w:val="001D362F"/>
    <w:rsid w:val="001D3725"/>
    <w:rsid w:val="001D377F"/>
    <w:rsid w:val="001D3892"/>
    <w:rsid w:val="001D39D3"/>
    <w:rsid w:val="001D4115"/>
    <w:rsid w:val="001D426C"/>
    <w:rsid w:val="001D4313"/>
    <w:rsid w:val="001D4494"/>
    <w:rsid w:val="001D4534"/>
    <w:rsid w:val="001D46EF"/>
    <w:rsid w:val="001D47C1"/>
    <w:rsid w:val="001D4BAD"/>
    <w:rsid w:val="001D4F7F"/>
    <w:rsid w:val="001D504F"/>
    <w:rsid w:val="001D5946"/>
    <w:rsid w:val="001D5BA9"/>
    <w:rsid w:val="001D5C58"/>
    <w:rsid w:val="001D5D11"/>
    <w:rsid w:val="001D6159"/>
    <w:rsid w:val="001D635F"/>
    <w:rsid w:val="001D64E4"/>
    <w:rsid w:val="001D6921"/>
    <w:rsid w:val="001D6A56"/>
    <w:rsid w:val="001D6BDB"/>
    <w:rsid w:val="001D6D15"/>
    <w:rsid w:val="001D7738"/>
    <w:rsid w:val="001D7985"/>
    <w:rsid w:val="001D79A6"/>
    <w:rsid w:val="001D7AC5"/>
    <w:rsid w:val="001D7B90"/>
    <w:rsid w:val="001D7CD1"/>
    <w:rsid w:val="001D7D7B"/>
    <w:rsid w:val="001E0194"/>
    <w:rsid w:val="001E01F6"/>
    <w:rsid w:val="001E0248"/>
    <w:rsid w:val="001E044B"/>
    <w:rsid w:val="001E050D"/>
    <w:rsid w:val="001E07D4"/>
    <w:rsid w:val="001E0956"/>
    <w:rsid w:val="001E0AB3"/>
    <w:rsid w:val="001E0C30"/>
    <w:rsid w:val="001E0C42"/>
    <w:rsid w:val="001E10CC"/>
    <w:rsid w:val="001E115C"/>
    <w:rsid w:val="001E1197"/>
    <w:rsid w:val="001E127F"/>
    <w:rsid w:val="001E1308"/>
    <w:rsid w:val="001E1778"/>
    <w:rsid w:val="001E19CA"/>
    <w:rsid w:val="001E1C56"/>
    <w:rsid w:val="001E1D0D"/>
    <w:rsid w:val="001E1D14"/>
    <w:rsid w:val="001E1D53"/>
    <w:rsid w:val="001E1DB0"/>
    <w:rsid w:val="001E2256"/>
    <w:rsid w:val="001E22BC"/>
    <w:rsid w:val="001E2731"/>
    <w:rsid w:val="001E273C"/>
    <w:rsid w:val="001E27F7"/>
    <w:rsid w:val="001E2852"/>
    <w:rsid w:val="001E2A70"/>
    <w:rsid w:val="001E2ACB"/>
    <w:rsid w:val="001E2EB2"/>
    <w:rsid w:val="001E2EBA"/>
    <w:rsid w:val="001E3075"/>
    <w:rsid w:val="001E3211"/>
    <w:rsid w:val="001E3432"/>
    <w:rsid w:val="001E3B92"/>
    <w:rsid w:val="001E3CA0"/>
    <w:rsid w:val="001E3CDF"/>
    <w:rsid w:val="001E3E2A"/>
    <w:rsid w:val="001E3E42"/>
    <w:rsid w:val="001E3F15"/>
    <w:rsid w:val="001E3F36"/>
    <w:rsid w:val="001E40DA"/>
    <w:rsid w:val="001E4210"/>
    <w:rsid w:val="001E429F"/>
    <w:rsid w:val="001E42C7"/>
    <w:rsid w:val="001E4379"/>
    <w:rsid w:val="001E4389"/>
    <w:rsid w:val="001E4711"/>
    <w:rsid w:val="001E4B8B"/>
    <w:rsid w:val="001E4F59"/>
    <w:rsid w:val="001E50BE"/>
    <w:rsid w:val="001E5333"/>
    <w:rsid w:val="001E5371"/>
    <w:rsid w:val="001E542F"/>
    <w:rsid w:val="001E5827"/>
    <w:rsid w:val="001E5AC4"/>
    <w:rsid w:val="001E5AFA"/>
    <w:rsid w:val="001E5BB0"/>
    <w:rsid w:val="001E61D9"/>
    <w:rsid w:val="001E6429"/>
    <w:rsid w:val="001E6738"/>
    <w:rsid w:val="001E6CB8"/>
    <w:rsid w:val="001E6F27"/>
    <w:rsid w:val="001E710E"/>
    <w:rsid w:val="001E77AD"/>
    <w:rsid w:val="001E77E5"/>
    <w:rsid w:val="001E77F4"/>
    <w:rsid w:val="001E785E"/>
    <w:rsid w:val="001E7C3C"/>
    <w:rsid w:val="001E7E13"/>
    <w:rsid w:val="001F02E1"/>
    <w:rsid w:val="001F040E"/>
    <w:rsid w:val="001F056D"/>
    <w:rsid w:val="001F06DC"/>
    <w:rsid w:val="001F07A0"/>
    <w:rsid w:val="001F089D"/>
    <w:rsid w:val="001F08CD"/>
    <w:rsid w:val="001F09F8"/>
    <w:rsid w:val="001F0B07"/>
    <w:rsid w:val="001F0C31"/>
    <w:rsid w:val="001F11AF"/>
    <w:rsid w:val="001F124B"/>
    <w:rsid w:val="001F1412"/>
    <w:rsid w:val="001F14BC"/>
    <w:rsid w:val="001F14F1"/>
    <w:rsid w:val="001F174B"/>
    <w:rsid w:val="001F185B"/>
    <w:rsid w:val="001F193D"/>
    <w:rsid w:val="001F19F9"/>
    <w:rsid w:val="001F1B55"/>
    <w:rsid w:val="001F1BDB"/>
    <w:rsid w:val="001F1EA5"/>
    <w:rsid w:val="001F2284"/>
    <w:rsid w:val="001F2343"/>
    <w:rsid w:val="001F235A"/>
    <w:rsid w:val="001F2643"/>
    <w:rsid w:val="001F2681"/>
    <w:rsid w:val="001F26E3"/>
    <w:rsid w:val="001F27E6"/>
    <w:rsid w:val="001F28ED"/>
    <w:rsid w:val="001F2E33"/>
    <w:rsid w:val="001F2F09"/>
    <w:rsid w:val="001F3015"/>
    <w:rsid w:val="001F325B"/>
    <w:rsid w:val="001F3355"/>
    <w:rsid w:val="001F379D"/>
    <w:rsid w:val="001F37D8"/>
    <w:rsid w:val="001F37F9"/>
    <w:rsid w:val="001F3896"/>
    <w:rsid w:val="001F393E"/>
    <w:rsid w:val="001F3AF1"/>
    <w:rsid w:val="001F3CD5"/>
    <w:rsid w:val="001F3D03"/>
    <w:rsid w:val="001F424C"/>
    <w:rsid w:val="001F47B0"/>
    <w:rsid w:val="001F4879"/>
    <w:rsid w:val="001F49D7"/>
    <w:rsid w:val="001F4A88"/>
    <w:rsid w:val="001F4F6D"/>
    <w:rsid w:val="001F5014"/>
    <w:rsid w:val="001F5018"/>
    <w:rsid w:val="001F5057"/>
    <w:rsid w:val="001F50F7"/>
    <w:rsid w:val="001F510E"/>
    <w:rsid w:val="001F5257"/>
    <w:rsid w:val="001F5453"/>
    <w:rsid w:val="001F54A9"/>
    <w:rsid w:val="001F54AA"/>
    <w:rsid w:val="001F54B7"/>
    <w:rsid w:val="001F568D"/>
    <w:rsid w:val="001F5696"/>
    <w:rsid w:val="001F5774"/>
    <w:rsid w:val="001F57A6"/>
    <w:rsid w:val="001F582B"/>
    <w:rsid w:val="001F58CE"/>
    <w:rsid w:val="001F5904"/>
    <w:rsid w:val="001F5986"/>
    <w:rsid w:val="001F5A8C"/>
    <w:rsid w:val="001F5BAD"/>
    <w:rsid w:val="001F5BCC"/>
    <w:rsid w:val="001F5BF7"/>
    <w:rsid w:val="001F5C23"/>
    <w:rsid w:val="001F6010"/>
    <w:rsid w:val="001F646C"/>
    <w:rsid w:val="001F64A7"/>
    <w:rsid w:val="001F66FA"/>
    <w:rsid w:val="001F6785"/>
    <w:rsid w:val="001F67EB"/>
    <w:rsid w:val="001F6A4D"/>
    <w:rsid w:val="001F6A63"/>
    <w:rsid w:val="001F6BD7"/>
    <w:rsid w:val="001F6D74"/>
    <w:rsid w:val="001F6F02"/>
    <w:rsid w:val="001F7088"/>
    <w:rsid w:val="001F73C0"/>
    <w:rsid w:val="001F74FA"/>
    <w:rsid w:val="001F7558"/>
    <w:rsid w:val="001F7677"/>
    <w:rsid w:val="001F7770"/>
    <w:rsid w:val="001F7B30"/>
    <w:rsid w:val="001F7E89"/>
    <w:rsid w:val="001F7FF1"/>
    <w:rsid w:val="00200132"/>
    <w:rsid w:val="0020026D"/>
    <w:rsid w:val="002002C4"/>
    <w:rsid w:val="002002FA"/>
    <w:rsid w:val="00200566"/>
    <w:rsid w:val="00200676"/>
    <w:rsid w:val="00200A61"/>
    <w:rsid w:val="00200A7E"/>
    <w:rsid w:val="00200B0D"/>
    <w:rsid w:val="00200F3E"/>
    <w:rsid w:val="002011CE"/>
    <w:rsid w:val="0020129C"/>
    <w:rsid w:val="00201556"/>
    <w:rsid w:val="002015D8"/>
    <w:rsid w:val="00201638"/>
    <w:rsid w:val="00201686"/>
    <w:rsid w:val="002018D7"/>
    <w:rsid w:val="0020192F"/>
    <w:rsid w:val="00201C2E"/>
    <w:rsid w:val="00201CCC"/>
    <w:rsid w:val="00201EE2"/>
    <w:rsid w:val="00201F37"/>
    <w:rsid w:val="002020AF"/>
    <w:rsid w:val="002020E8"/>
    <w:rsid w:val="002021D4"/>
    <w:rsid w:val="002023A7"/>
    <w:rsid w:val="0020241B"/>
    <w:rsid w:val="00202576"/>
    <w:rsid w:val="002028CE"/>
    <w:rsid w:val="002028DC"/>
    <w:rsid w:val="002029F1"/>
    <w:rsid w:val="00202A1B"/>
    <w:rsid w:val="00202A3E"/>
    <w:rsid w:val="00202B3E"/>
    <w:rsid w:val="00203123"/>
    <w:rsid w:val="00203362"/>
    <w:rsid w:val="0020339E"/>
    <w:rsid w:val="0020343A"/>
    <w:rsid w:val="002034AF"/>
    <w:rsid w:val="00203669"/>
    <w:rsid w:val="002037C9"/>
    <w:rsid w:val="00203886"/>
    <w:rsid w:val="00203993"/>
    <w:rsid w:val="002039D0"/>
    <w:rsid w:val="00203C7A"/>
    <w:rsid w:val="00203FAA"/>
    <w:rsid w:val="00204391"/>
    <w:rsid w:val="0020442B"/>
    <w:rsid w:val="002044BA"/>
    <w:rsid w:val="00204AB5"/>
    <w:rsid w:val="00204AF3"/>
    <w:rsid w:val="00204B43"/>
    <w:rsid w:val="00204B61"/>
    <w:rsid w:val="00204E31"/>
    <w:rsid w:val="00204E37"/>
    <w:rsid w:val="00204EA9"/>
    <w:rsid w:val="002050BE"/>
    <w:rsid w:val="00205187"/>
    <w:rsid w:val="00205425"/>
    <w:rsid w:val="002054ED"/>
    <w:rsid w:val="002057DE"/>
    <w:rsid w:val="00205892"/>
    <w:rsid w:val="00205941"/>
    <w:rsid w:val="00205A46"/>
    <w:rsid w:val="00205AAF"/>
    <w:rsid w:val="00205B57"/>
    <w:rsid w:val="0020609F"/>
    <w:rsid w:val="00206301"/>
    <w:rsid w:val="002063F6"/>
    <w:rsid w:val="002066A0"/>
    <w:rsid w:val="00206751"/>
    <w:rsid w:val="0020694D"/>
    <w:rsid w:val="0020695C"/>
    <w:rsid w:val="00206A75"/>
    <w:rsid w:val="00206A98"/>
    <w:rsid w:val="00206AD1"/>
    <w:rsid w:val="00206B3F"/>
    <w:rsid w:val="00206C8F"/>
    <w:rsid w:val="00206D73"/>
    <w:rsid w:val="00206EA7"/>
    <w:rsid w:val="00206F7B"/>
    <w:rsid w:val="00207255"/>
    <w:rsid w:val="00207382"/>
    <w:rsid w:val="00207543"/>
    <w:rsid w:val="00207671"/>
    <w:rsid w:val="00207691"/>
    <w:rsid w:val="002077AC"/>
    <w:rsid w:val="00207BAD"/>
    <w:rsid w:val="00207CC0"/>
    <w:rsid w:val="00207D5A"/>
    <w:rsid w:val="00207DC2"/>
    <w:rsid w:val="0021014E"/>
    <w:rsid w:val="002101B3"/>
    <w:rsid w:val="002105F1"/>
    <w:rsid w:val="002106B1"/>
    <w:rsid w:val="00210881"/>
    <w:rsid w:val="00210A30"/>
    <w:rsid w:val="00210C0B"/>
    <w:rsid w:val="00210E1A"/>
    <w:rsid w:val="0021112A"/>
    <w:rsid w:val="00211152"/>
    <w:rsid w:val="00211522"/>
    <w:rsid w:val="0021163F"/>
    <w:rsid w:val="00211732"/>
    <w:rsid w:val="0021176F"/>
    <w:rsid w:val="002117E0"/>
    <w:rsid w:val="002118F4"/>
    <w:rsid w:val="00211A0C"/>
    <w:rsid w:val="00211D24"/>
    <w:rsid w:val="00211DDC"/>
    <w:rsid w:val="00211DE7"/>
    <w:rsid w:val="002120A4"/>
    <w:rsid w:val="002120AC"/>
    <w:rsid w:val="00212419"/>
    <w:rsid w:val="00212458"/>
    <w:rsid w:val="002124C2"/>
    <w:rsid w:val="002127D8"/>
    <w:rsid w:val="00212859"/>
    <w:rsid w:val="00212A86"/>
    <w:rsid w:val="00212B6D"/>
    <w:rsid w:val="00212C48"/>
    <w:rsid w:val="00212E36"/>
    <w:rsid w:val="00213287"/>
    <w:rsid w:val="00213402"/>
    <w:rsid w:val="002134BC"/>
    <w:rsid w:val="002136DB"/>
    <w:rsid w:val="00213B8F"/>
    <w:rsid w:val="00213C69"/>
    <w:rsid w:val="00214060"/>
    <w:rsid w:val="0021408E"/>
    <w:rsid w:val="0021426C"/>
    <w:rsid w:val="00214307"/>
    <w:rsid w:val="00214383"/>
    <w:rsid w:val="00214557"/>
    <w:rsid w:val="0021455D"/>
    <w:rsid w:val="002145DE"/>
    <w:rsid w:val="00214613"/>
    <w:rsid w:val="00214768"/>
    <w:rsid w:val="00214A71"/>
    <w:rsid w:val="00214B54"/>
    <w:rsid w:val="00214BE4"/>
    <w:rsid w:val="00214C95"/>
    <w:rsid w:val="00214C9E"/>
    <w:rsid w:val="00214D70"/>
    <w:rsid w:val="00214F60"/>
    <w:rsid w:val="00215141"/>
    <w:rsid w:val="002152BB"/>
    <w:rsid w:val="00215508"/>
    <w:rsid w:val="00215628"/>
    <w:rsid w:val="00215662"/>
    <w:rsid w:val="002156EB"/>
    <w:rsid w:val="0021572B"/>
    <w:rsid w:val="002157E0"/>
    <w:rsid w:val="0021583E"/>
    <w:rsid w:val="00215AA5"/>
    <w:rsid w:val="00215AB9"/>
    <w:rsid w:val="00215E14"/>
    <w:rsid w:val="00215F96"/>
    <w:rsid w:val="00215FD6"/>
    <w:rsid w:val="002161D7"/>
    <w:rsid w:val="0021626B"/>
    <w:rsid w:val="002164A5"/>
    <w:rsid w:val="002164B2"/>
    <w:rsid w:val="002164BA"/>
    <w:rsid w:val="002164C1"/>
    <w:rsid w:val="002164D3"/>
    <w:rsid w:val="002165CF"/>
    <w:rsid w:val="002166B0"/>
    <w:rsid w:val="0021687E"/>
    <w:rsid w:val="00216A57"/>
    <w:rsid w:val="00216EBE"/>
    <w:rsid w:val="00216EF4"/>
    <w:rsid w:val="00217038"/>
    <w:rsid w:val="00217086"/>
    <w:rsid w:val="0021721C"/>
    <w:rsid w:val="00217330"/>
    <w:rsid w:val="00217448"/>
    <w:rsid w:val="002174D6"/>
    <w:rsid w:val="0021768C"/>
    <w:rsid w:val="00217821"/>
    <w:rsid w:val="002178B0"/>
    <w:rsid w:val="00217CA6"/>
    <w:rsid w:val="00217D00"/>
    <w:rsid w:val="00217D56"/>
    <w:rsid w:val="00217FC9"/>
    <w:rsid w:val="00220084"/>
    <w:rsid w:val="00220116"/>
    <w:rsid w:val="00220161"/>
    <w:rsid w:val="002207D8"/>
    <w:rsid w:val="00220926"/>
    <w:rsid w:val="00220BD1"/>
    <w:rsid w:val="00220E17"/>
    <w:rsid w:val="00220E62"/>
    <w:rsid w:val="00220FCE"/>
    <w:rsid w:val="002210B5"/>
    <w:rsid w:val="00221206"/>
    <w:rsid w:val="00221241"/>
    <w:rsid w:val="0022128A"/>
    <w:rsid w:val="002215BA"/>
    <w:rsid w:val="0022167A"/>
    <w:rsid w:val="002217B5"/>
    <w:rsid w:val="0022184A"/>
    <w:rsid w:val="00221A2C"/>
    <w:rsid w:val="00221C9D"/>
    <w:rsid w:val="00221D2C"/>
    <w:rsid w:val="00221EDD"/>
    <w:rsid w:val="00221F75"/>
    <w:rsid w:val="0022206F"/>
    <w:rsid w:val="002220B4"/>
    <w:rsid w:val="0022236F"/>
    <w:rsid w:val="0022243A"/>
    <w:rsid w:val="0022246A"/>
    <w:rsid w:val="002225D8"/>
    <w:rsid w:val="00222EB1"/>
    <w:rsid w:val="00223095"/>
    <w:rsid w:val="00223167"/>
    <w:rsid w:val="0022334F"/>
    <w:rsid w:val="002237AB"/>
    <w:rsid w:val="00223833"/>
    <w:rsid w:val="0022387A"/>
    <w:rsid w:val="00223DEC"/>
    <w:rsid w:val="002241B4"/>
    <w:rsid w:val="00224329"/>
    <w:rsid w:val="00224762"/>
    <w:rsid w:val="002247AC"/>
    <w:rsid w:val="002248C2"/>
    <w:rsid w:val="00224997"/>
    <w:rsid w:val="002249A4"/>
    <w:rsid w:val="00224D4F"/>
    <w:rsid w:val="00224D74"/>
    <w:rsid w:val="00224E01"/>
    <w:rsid w:val="00224ECE"/>
    <w:rsid w:val="0022512F"/>
    <w:rsid w:val="002253ED"/>
    <w:rsid w:val="00225541"/>
    <w:rsid w:val="002256EB"/>
    <w:rsid w:val="00225BC8"/>
    <w:rsid w:val="00225D60"/>
    <w:rsid w:val="00225E0E"/>
    <w:rsid w:val="00225E82"/>
    <w:rsid w:val="00225F01"/>
    <w:rsid w:val="00226068"/>
    <w:rsid w:val="0022644F"/>
    <w:rsid w:val="0022671C"/>
    <w:rsid w:val="0022679C"/>
    <w:rsid w:val="002267D9"/>
    <w:rsid w:val="00226819"/>
    <w:rsid w:val="00226857"/>
    <w:rsid w:val="00226BD0"/>
    <w:rsid w:val="00226D75"/>
    <w:rsid w:val="00226EEE"/>
    <w:rsid w:val="00226FDD"/>
    <w:rsid w:val="002271A5"/>
    <w:rsid w:val="00227252"/>
    <w:rsid w:val="002277E0"/>
    <w:rsid w:val="00227A18"/>
    <w:rsid w:val="00227CDD"/>
    <w:rsid w:val="00227F05"/>
    <w:rsid w:val="0023008A"/>
    <w:rsid w:val="00230676"/>
    <w:rsid w:val="0023071A"/>
    <w:rsid w:val="0023093E"/>
    <w:rsid w:val="00230B56"/>
    <w:rsid w:val="00230B8C"/>
    <w:rsid w:val="00230BA8"/>
    <w:rsid w:val="00230D98"/>
    <w:rsid w:val="0023174F"/>
    <w:rsid w:val="00231916"/>
    <w:rsid w:val="002319E4"/>
    <w:rsid w:val="002319FC"/>
    <w:rsid w:val="00231A9C"/>
    <w:rsid w:val="00231D39"/>
    <w:rsid w:val="00231EA7"/>
    <w:rsid w:val="00231F04"/>
    <w:rsid w:val="00231F6A"/>
    <w:rsid w:val="00231F82"/>
    <w:rsid w:val="002320EB"/>
    <w:rsid w:val="0023224D"/>
    <w:rsid w:val="0023228D"/>
    <w:rsid w:val="002322DF"/>
    <w:rsid w:val="0023275E"/>
    <w:rsid w:val="002327D3"/>
    <w:rsid w:val="00232B10"/>
    <w:rsid w:val="00232BD9"/>
    <w:rsid w:val="00232CD5"/>
    <w:rsid w:val="002330AD"/>
    <w:rsid w:val="00233101"/>
    <w:rsid w:val="00233595"/>
    <w:rsid w:val="00233817"/>
    <w:rsid w:val="0023390F"/>
    <w:rsid w:val="00233BE1"/>
    <w:rsid w:val="00233C10"/>
    <w:rsid w:val="00233DA6"/>
    <w:rsid w:val="00233E48"/>
    <w:rsid w:val="00233F7D"/>
    <w:rsid w:val="00234348"/>
    <w:rsid w:val="00234517"/>
    <w:rsid w:val="002347A7"/>
    <w:rsid w:val="002348CB"/>
    <w:rsid w:val="002348FD"/>
    <w:rsid w:val="00234B03"/>
    <w:rsid w:val="00234C2E"/>
    <w:rsid w:val="00234C9A"/>
    <w:rsid w:val="00234EAA"/>
    <w:rsid w:val="0023514F"/>
    <w:rsid w:val="00235192"/>
    <w:rsid w:val="002353FD"/>
    <w:rsid w:val="00235472"/>
    <w:rsid w:val="002354BC"/>
    <w:rsid w:val="00235556"/>
    <w:rsid w:val="002355AC"/>
    <w:rsid w:val="002357A6"/>
    <w:rsid w:val="002358E8"/>
    <w:rsid w:val="00235909"/>
    <w:rsid w:val="0023598D"/>
    <w:rsid w:val="002359F4"/>
    <w:rsid w:val="00235ADC"/>
    <w:rsid w:val="00235B3D"/>
    <w:rsid w:val="00235EB5"/>
    <w:rsid w:val="002361AF"/>
    <w:rsid w:val="002364FF"/>
    <w:rsid w:val="002367FF"/>
    <w:rsid w:val="00236985"/>
    <w:rsid w:val="00236E56"/>
    <w:rsid w:val="0023709E"/>
    <w:rsid w:val="00237330"/>
    <w:rsid w:val="00237526"/>
    <w:rsid w:val="002375A8"/>
    <w:rsid w:val="00237610"/>
    <w:rsid w:val="00237714"/>
    <w:rsid w:val="00237900"/>
    <w:rsid w:val="00237A1C"/>
    <w:rsid w:val="00237BCF"/>
    <w:rsid w:val="00237EF0"/>
    <w:rsid w:val="00240171"/>
    <w:rsid w:val="0024043A"/>
    <w:rsid w:val="002405A3"/>
    <w:rsid w:val="00240BBC"/>
    <w:rsid w:val="00240CE9"/>
    <w:rsid w:val="00240DC7"/>
    <w:rsid w:val="00240E3E"/>
    <w:rsid w:val="00240E55"/>
    <w:rsid w:val="00241060"/>
    <w:rsid w:val="0024132C"/>
    <w:rsid w:val="002413C1"/>
    <w:rsid w:val="00241792"/>
    <w:rsid w:val="00241A00"/>
    <w:rsid w:val="00241AFA"/>
    <w:rsid w:val="00241BE9"/>
    <w:rsid w:val="00241C1D"/>
    <w:rsid w:val="00241CDE"/>
    <w:rsid w:val="00241E76"/>
    <w:rsid w:val="00241F49"/>
    <w:rsid w:val="00242101"/>
    <w:rsid w:val="00242199"/>
    <w:rsid w:val="002424E6"/>
    <w:rsid w:val="00242632"/>
    <w:rsid w:val="00242B69"/>
    <w:rsid w:val="00242E6C"/>
    <w:rsid w:val="00242F54"/>
    <w:rsid w:val="00242FC1"/>
    <w:rsid w:val="002431C0"/>
    <w:rsid w:val="002433A6"/>
    <w:rsid w:val="002434BA"/>
    <w:rsid w:val="002435DA"/>
    <w:rsid w:val="00243646"/>
    <w:rsid w:val="002436B8"/>
    <w:rsid w:val="00243B0A"/>
    <w:rsid w:val="00243D81"/>
    <w:rsid w:val="00243FD4"/>
    <w:rsid w:val="0024400B"/>
    <w:rsid w:val="002441F1"/>
    <w:rsid w:val="0024432E"/>
    <w:rsid w:val="00244401"/>
    <w:rsid w:val="002447A2"/>
    <w:rsid w:val="00244923"/>
    <w:rsid w:val="00244A06"/>
    <w:rsid w:val="00244A61"/>
    <w:rsid w:val="00244AD4"/>
    <w:rsid w:val="00244CE9"/>
    <w:rsid w:val="00244EAB"/>
    <w:rsid w:val="00244F06"/>
    <w:rsid w:val="00244F3C"/>
    <w:rsid w:val="00244FE8"/>
    <w:rsid w:val="0024510B"/>
    <w:rsid w:val="00245488"/>
    <w:rsid w:val="0024551A"/>
    <w:rsid w:val="00245577"/>
    <w:rsid w:val="00245B6A"/>
    <w:rsid w:val="00245D28"/>
    <w:rsid w:val="00246089"/>
    <w:rsid w:val="00246093"/>
    <w:rsid w:val="002461C9"/>
    <w:rsid w:val="00246281"/>
    <w:rsid w:val="00246702"/>
    <w:rsid w:val="00246B7C"/>
    <w:rsid w:val="00246CC5"/>
    <w:rsid w:val="00246D05"/>
    <w:rsid w:val="00246D8F"/>
    <w:rsid w:val="00246E2A"/>
    <w:rsid w:val="00246E88"/>
    <w:rsid w:val="00246EB0"/>
    <w:rsid w:val="0024717D"/>
    <w:rsid w:val="00247AE2"/>
    <w:rsid w:val="00247C59"/>
    <w:rsid w:val="00247F2E"/>
    <w:rsid w:val="002506C3"/>
    <w:rsid w:val="0025081B"/>
    <w:rsid w:val="00250951"/>
    <w:rsid w:val="00250ADC"/>
    <w:rsid w:val="00250B07"/>
    <w:rsid w:val="00250ED8"/>
    <w:rsid w:val="00250F91"/>
    <w:rsid w:val="0025141B"/>
    <w:rsid w:val="002514B2"/>
    <w:rsid w:val="002515FB"/>
    <w:rsid w:val="00251606"/>
    <w:rsid w:val="002517FB"/>
    <w:rsid w:val="00251A46"/>
    <w:rsid w:val="00251B91"/>
    <w:rsid w:val="00251E25"/>
    <w:rsid w:val="00251FB4"/>
    <w:rsid w:val="0025212F"/>
    <w:rsid w:val="00252341"/>
    <w:rsid w:val="00252492"/>
    <w:rsid w:val="0025289F"/>
    <w:rsid w:val="0025291C"/>
    <w:rsid w:val="00252E6A"/>
    <w:rsid w:val="00252E9B"/>
    <w:rsid w:val="00252EA2"/>
    <w:rsid w:val="002531ED"/>
    <w:rsid w:val="002532E9"/>
    <w:rsid w:val="00253441"/>
    <w:rsid w:val="0025349C"/>
    <w:rsid w:val="00253535"/>
    <w:rsid w:val="00253958"/>
    <w:rsid w:val="0025396F"/>
    <w:rsid w:val="00253BD2"/>
    <w:rsid w:val="00253CE3"/>
    <w:rsid w:val="002541B5"/>
    <w:rsid w:val="0025430F"/>
    <w:rsid w:val="0025433D"/>
    <w:rsid w:val="002543F7"/>
    <w:rsid w:val="0025444F"/>
    <w:rsid w:val="00254641"/>
    <w:rsid w:val="0025471E"/>
    <w:rsid w:val="002548EF"/>
    <w:rsid w:val="00254A57"/>
    <w:rsid w:val="00254D5D"/>
    <w:rsid w:val="002550CA"/>
    <w:rsid w:val="002550EF"/>
    <w:rsid w:val="0025528E"/>
    <w:rsid w:val="00255413"/>
    <w:rsid w:val="00255463"/>
    <w:rsid w:val="00255AB9"/>
    <w:rsid w:val="00255F42"/>
    <w:rsid w:val="00256172"/>
    <w:rsid w:val="0025618E"/>
    <w:rsid w:val="00256200"/>
    <w:rsid w:val="00256587"/>
    <w:rsid w:val="0025658F"/>
    <w:rsid w:val="002566F2"/>
    <w:rsid w:val="00256873"/>
    <w:rsid w:val="00256883"/>
    <w:rsid w:val="00256948"/>
    <w:rsid w:val="00256A94"/>
    <w:rsid w:val="00256A9E"/>
    <w:rsid w:val="00256AB5"/>
    <w:rsid w:val="00256D81"/>
    <w:rsid w:val="00256DD7"/>
    <w:rsid w:val="00256F0A"/>
    <w:rsid w:val="00256FA3"/>
    <w:rsid w:val="00256FAA"/>
    <w:rsid w:val="0025711B"/>
    <w:rsid w:val="00257218"/>
    <w:rsid w:val="00257252"/>
    <w:rsid w:val="00257553"/>
    <w:rsid w:val="00257A38"/>
    <w:rsid w:val="0026008A"/>
    <w:rsid w:val="0026056B"/>
    <w:rsid w:val="00260647"/>
    <w:rsid w:val="0026070F"/>
    <w:rsid w:val="002607F2"/>
    <w:rsid w:val="00260B8A"/>
    <w:rsid w:val="00260C7D"/>
    <w:rsid w:val="00260D1A"/>
    <w:rsid w:val="00260E0C"/>
    <w:rsid w:val="00260E89"/>
    <w:rsid w:val="00260FA4"/>
    <w:rsid w:val="00260FB2"/>
    <w:rsid w:val="00261248"/>
    <w:rsid w:val="00261350"/>
    <w:rsid w:val="002614EC"/>
    <w:rsid w:val="0026154E"/>
    <w:rsid w:val="00261970"/>
    <w:rsid w:val="00261A2E"/>
    <w:rsid w:val="00261B84"/>
    <w:rsid w:val="00262128"/>
    <w:rsid w:val="00262136"/>
    <w:rsid w:val="002622F8"/>
    <w:rsid w:val="00262384"/>
    <w:rsid w:val="002624C2"/>
    <w:rsid w:val="0026251B"/>
    <w:rsid w:val="002625DF"/>
    <w:rsid w:val="00262932"/>
    <w:rsid w:val="002629A4"/>
    <w:rsid w:val="002629EC"/>
    <w:rsid w:val="00262D4C"/>
    <w:rsid w:val="00262DCF"/>
    <w:rsid w:val="0026347C"/>
    <w:rsid w:val="002636E6"/>
    <w:rsid w:val="00263778"/>
    <w:rsid w:val="00263887"/>
    <w:rsid w:val="00263C4E"/>
    <w:rsid w:val="00263CE1"/>
    <w:rsid w:val="00263E11"/>
    <w:rsid w:val="0026403A"/>
    <w:rsid w:val="002640F1"/>
    <w:rsid w:val="002642F7"/>
    <w:rsid w:val="00264516"/>
    <w:rsid w:val="0026457D"/>
    <w:rsid w:val="0026458B"/>
    <w:rsid w:val="00264726"/>
    <w:rsid w:val="00264745"/>
    <w:rsid w:val="00264848"/>
    <w:rsid w:val="00264E4B"/>
    <w:rsid w:val="0026516D"/>
    <w:rsid w:val="002651C0"/>
    <w:rsid w:val="002651F9"/>
    <w:rsid w:val="00265313"/>
    <w:rsid w:val="00265328"/>
    <w:rsid w:val="0026536F"/>
    <w:rsid w:val="002653C7"/>
    <w:rsid w:val="00265487"/>
    <w:rsid w:val="00265607"/>
    <w:rsid w:val="00265674"/>
    <w:rsid w:val="0026595C"/>
    <w:rsid w:val="00265B5C"/>
    <w:rsid w:val="00265BF7"/>
    <w:rsid w:val="00265C14"/>
    <w:rsid w:val="00265C4D"/>
    <w:rsid w:val="00265ECB"/>
    <w:rsid w:val="002666EF"/>
    <w:rsid w:val="00266925"/>
    <w:rsid w:val="00266971"/>
    <w:rsid w:val="00266B19"/>
    <w:rsid w:val="00266C35"/>
    <w:rsid w:val="00266FD4"/>
    <w:rsid w:val="00266FD6"/>
    <w:rsid w:val="00267145"/>
    <w:rsid w:val="00267557"/>
    <w:rsid w:val="00267876"/>
    <w:rsid w:val="00267C12"/>
    <w:rsid w:val="00267D7A"/>
    <w:rsid w:val="0027017D"/>
    <w:rsid w:val="00270224"/>
    <w:rsid w:val="002703E5"/>
    <w:rsid w:val="00270530"/>
    <w:rsid w:val="002705C7"/>
    <w:rsid w:val="00270615"/>
    <w:rsid w:val="0027069E"/>
    <w:rsid w:val="002707A7"/>
    <w:rsid w:val="00270B8C"/>
    <w:rsid w:val="00270C71"/>
    <w:rsid w:val="00270C94"/>
    <w:rsid w:val="00270D28"/>
    <w:rsid w:val="00270FAA"/>
    <w:rsid w:val="00271142"/>
    <w:rsid w:val="00271198"/>
    <w:rsid w:val="0027152A"/>
    <w:rsid w:val="0027165D"/>
    <w:rsid w:val="00271755"/>
    <w:rsid w:val="002719AE"/>
    <w:rsid w:val="00271B06"/>
    <w:rsid w:val="00271FA3"/>
    <w:rsid w:val="00271FED"/>
    <w:rsid w:val="0027206F"/>
    <w:rsid w:val="002722F5"/>
    <w:rsid w:val="002725FC"/>
    <w:rsid w:val="002726EF"/>
    <w:rsid w:val="002728ED"/>
    <w:rsid w:val="00272A5C"/>
    <w:rsid w:val="00272BCC"/>
    <w:rsid w:val="00272E80"/>
    <w:rsid w:val="00272EF3"/>
    <w:rsid w:val="00272F12"/>
    <w:rsid w:val="00273027"/>
    <w:rsid w:val="00273218"/>
    <w:rsid w:val="0027329F"/>
    <w:rsid w:val="002736C8"/>
    <w:rsid w:val="00273877"/>
    <w:rsid w:val="002738D9"/>
    <w:rsid w:val="002739BC"/>
    <w:rsid w:val="00273C63"/>
    <w:rsid w:val="00273CEB"/>
    <w:rsid w:val="0027404D"/>
    <w:rsid w:val="00274072"/>
    <w:rsid w:val="002746D0"/>
    <w:rsid w:val="0027483E"/>
    <w:rsid w:val="00274850"/>
    <w:rsid w:val="00274857"/>
    <w:rsid w:val="00274D4E"/>
    <w:rsid w:val="00274DF4"/>
    <w:rsid w:val="00274E86"/>
    <w:rsid w:val="00275150"/>
    <w:rsid w:val="00275339"/>
    <w:rsid w:val="0027534F"/>
    <w:rsid w:val="002753ED"/>
    <w:rsid w:val="0027566A"/>
    <w:rsid w:val="002757B9"/>
    <w:rsid w:val="002759C8"/>
    <w:rsid w:val="00275A4F"/>
    <w:rsid w:val="00275BC2"/>
    <w:rsid w:val="00275D68"/>
    <w:rsid w:val="00275FE1"/>
    <w:rsid w:val="00276051"/>
    <w:rsid w:val="0027609F"/>
    <w:rsid w:val="00276247"/>
    <w:rsid w:val="00276699"/>
    <w:rsid w:val="00276995"/>
    <w:rsid w:val="00276B93"/>
    <w:rsid w:val="00276D3E"/>
    <w:rsid w:val="00276F49"/>
    <w:rsid w:val="00277124"/>
    <w:rsid w:val="00277B1E"/>
    <w:rsid w:val="00277BDF"/>
    <w:rsid w:val="00277CA1"/>
    <w:rsid w:val="00277D56"/>
    <w:rsid w:val="00277E19"/>
    <w:rsid w:val="00277F6D"/>
    <w:rsid w:val="002803F5"/>
    <w:rsid w:val="0028043A"/>
    <w:rsid w:val="002806E2"/>
    <w:rsid w:val="002806E6"/>
    <w:rsid w:val="00280B31"/>
    <w:rsid w:val="00280DB1"/>
    <w:rsid w:val="00280E16"/>
    <w:rsid w:val="00280EA4"/>
    <w:rsid w:val="002811AF"/>
    <w:rsid w:val="00281308"/>
    <w:rsid w:val="00281626"/>
    <w:rsid w:val="00281647"/>
    <w:rsid w:val="002817ED"/>
    <w:rsid w:val="0028186E"/>
    <w:rsid w:val="00281957"/>
    <w:rsid w:val="0028196D"/>
    <w:rsid w:val="002819D6"/>
    <w:rsid w:val="00281B16"/>
    <w:rsid w:val="00281B3A"/>
    <w:rsid w:val="00281BCB"/>
    <w:rsid w:val="00281C89"/>
    <w:rsid w:val="00281F18"/>
    <w:rsid w:val="00281F3C"/>
    <w:rsid w:val="00281F3E"/>
    <w:rsid w:val="00281F59"/>
    <w:rsid w:val="002820CE"/>
    <w:rsid w:val="0028215D"/>
    <w:rsid w:val="002822B0"/>
    <w:rsid w:val="002822FF"/>
    <w:rsid w:val="0028256F"/>
    <w:rsid w:val="002826FA"/>
    <w:rsid w:val="0028282F"/>
    <w:rsid w:val="00282B47"/>
    <w:rsid w:val="00282BB9"/>
    <w:rsid w:val="00282C94"/>
    <w:rsid w:val="002834A1"/>
    <w:rsid w:val="0028361F"/>
    <w:rsid w:val="0028363A"/>
    <w:rsid w:val="00283705"/>
    <w:rsid w:val="00283788"/>
    <w:rsid w:val="002838F2"/>
    <w:rsid w:val="00283971"/>
    <w:rsid w:val="00283ACC"/>
    <w:rsid w:val="00283BFC"/>
    <w:rsid w:val="00283E85"/>
    <w:rsid w:val="00284647"/>
    <w:rsid w:val="0028495F"/>
    <w:rsid w:val="00284963"/>
    <w:rsid w:val="00285364"/>
    <w:rsid w:val="002853DE"/>
    <w:rsid w:val="0028547A"/>
    <w:rsid w:val="0028554B"/>
    <w:rsid w:val="002859A1"/>
    <w:rsid w:val="00285A3B"/>
    <w:rsid w:val="00285D6D"/>
    <w:rsid w:val="00285F28"/>
    <w:rsid w:val="00286163"/>
    <w:rsid w:val="00286837"/>
    <w:rsid w:val="00286B83"/>
    <w:rsid w:val="00286C8B"/>
    <w:rsid w:val="00287002"/>
    <w:rsid w:val="00287081"/>
    <w:rsid w:val="002870E2"/>
    <w:rsid w:val="00287598"/>
    <w:rsid w:val="00287720"/>
    <w:rsid w:val="00287A85"/>
    <w:rsid w:val="00287AFB"/>
    <w:rsid w:val="00287C87"/>
    <w:rsid w:val="00287CC8"/>
    <w:rsid w:val="00287EAB"/>
    <w:rsid w:val="00287EAD"/>
    <w:rsid w:val="00287ED8"/>
    <w:rsid w:val="00287EDA"/>
    <w:rsid w:val="00287EDC"/>
    <w:rsid w:val="00290178"/>
    <w:rsid w:val="00290269"/>
    <w:rsid w:val="0029034B"/>
    <w:rsid w:val="00290826"/>
    <w:rsid w:val="002909E1"/>
    <w:rsid w:val="00290E08"/>
    <w:rsid w:val="002911C7"/>
    <w:rsid w:val="00291262"/>
    <w:rsid w:val="00291378"/>
    <w:rsid w:val="002913BF"/>
    <w:rsid w:val="00291477"/>
    <w:rsid w:val="002914E7"/>
    <w:rsid w:val="002915F4"/>
    <w:rsid w:val="002916E4"/>
    <w:rsid w:val="00291AA0"/>
    <w:rsid w:val="00291E3D"/>
    <w:rsid w:val="00292120"/>
    <w:rsid w:val="002921C3"/>
    <w:rsid w:val="00292414"/>
    <w:rsid w:val="0029273E"/>
    <w:rsid w:val="00292800"/>
    <w:rsid w:val="0029299E"/>
    <w:rsid w:val="002929A8"/>
    <w:rsid w:val="00292AD1"/>
    <w:rsid w:val="00292BAF"/>
    <w:rsid w:val="00292C2B"/>
    <w:rsid w:val="00292DF5"/>
    <w:rsid w:val="00292E0D"/>
    <w:rsid w:val="00292F15"/>
    <w:rsid w:val="0029326B"/>
    <w:rsid w:val="002932D2"/>
    <w:rsid w:val="00293803"/>
    <w:rsid w:val="002938CA"/>
    <w:rsid w:val="00293B3B"/>
    <w:rsid w:val="00293C61"/>
    <w:rsid w:val="00293E30"/>
    <w:rsid w:val="00293F06"/>
    <w:rsid w:val="0029401E"/>
    <w:rsid w:val="00294029"/>
    <w:rsid w:val="00294571"/>
    <w:rsid w:val="002945E0"/>
    <w:rsid w:val="00294862"/>
    <w:rsid w:val="00294C00"/>
    <w:rsid w:val="00294FAA"/>
    <w:rsid w:val="0029524D"/>
    <w:rsid w:val="002953C0"/>
    <w:rsid w:val="002953D0"/>
    <w:rsid w:val="002954B9"/>
    <w:rsid w:val="002954CA"/>
    <w:rsid w:val="0029583E"/>
    <w:rsid w:val="00295849"/>
    <w:rsid w:val="0029593B"/>
    <w:rsid w:val="00295CE4"/>
    <w:rsid w:val="00295F26"/>
    <w:rsid w:val="00295FA2"/>
    <w:rsid w:val="00296049"/>
    <w:rsid w:val="002960C2"/>
    <w:rsid w:val="002961C9"/>
    <w:rsid w:val="0029626D"/>
    <w:rsid w:val="002963FC"/>
    <w:rsid w:val="002964E8"/>
    <w:rsid w:val="00296672"/>
    <w:rsid w:val="002966B7"/>
    <w:rsid w:val="002966F4"/>
    <w:rsid w:val="00296C1E"/>
    <w:rsid w:val="00296C47"/>
    <w:rsid w:val="00296F42"/>
    <w:rsid w:val="00297044"/>
    <w:rsid w:val="00297083"/>
    <w:rsid w:val="002970F2"/>
    <w:rsid w:val="002971BE"/>
    <w:rsid w:val="0029720C"/>
    <w:rsid w:val="00297358"/>
    <w:rsid w:val="00297481"/>
    <w:rsid w:val="0029756E"/>
    <w:rsid w:val="002975A6"/>
    <w:rsid w:val="00297763"/>
    <w:rsid w:val="00297ADB"/>
    <w:rsid w:val="00297E94"/>
    <w:rsid w:val="00297FC5"/>
    <w:rsid w:val="00297FDC"/>
    <w:rsid w:val="0029D0CA"/>
    <w:rsid w:val="002A0320"/>
    <w:rsid w:val="002A034A"/>
    <w:rsid w:val="002A0417"/>
    <w:rsid w:val="002A0F0D"/>
    <w:rsid w:val="002A11CE"/>
    <w:rsid w:val="002A1608"/>
    <w:rsid w:val="002A16D8"/>
    <w:rsid w:val="002A173F"/>
    <w:rsid w:val="002A177C"/>
    <w:rsid w:val="002A17D1"/>
    <w:rsid w:val="002A1812"/>
    <w:rsid w:val="002A19E8"/>
    <w:rsid w:val="002A1BC8"/>
    <w:rsid w:val="002A1CFB"/>
    <w:rsid w:val="002A1D1C"/>
    <w:rsid w:val="002A1ECA"/>
    <w:rsid w:val="002A2109"/>
    <w:rsid w:val="002A2584"/>
    <w:rsid w:val="002A2F6C"/>
    <w:rsid w:val="002A31CF"/>
    <w:rsid w:val="002A32D7"/>
    <w:rsid w:val="002A350B"/>
    <w:rsid w:val="002A3642"/>
    <w:rsid w:val="002A36C2"/>
    <w:rsid w:val="002A384C"/>
    <w:rsid w:val="002A38BC"/>
    <w:rsid w:val="002A39F1"/>
    <w:rsid w:val="002A3A97"/>
    <w:rsid w:val="002A3C55"/>
    <w:rsid w:val="002A3CEF"/>
    <w:rsid w:val="002A3CFD"/>
    <w:rsid w:val="002A3E6E"/>
    <w:rsid w:val="002A3EF2"/>
    <w:rsid w:val="002A3F4B"/>
    <w:rsid w:val="002A3F50"/>
    <w:rsid w:val="002A414E"/>
    <w:rsid w:val="002A4312"/>
    <w:rsid w:val="002A43DF"/>
    <w:rsid w:val="002A4493"/>
    <w:rsid w:val="002A44BB"/>
    <w:rsid w:val="002A46D8"/>
    <w:rsid w:val="002A4709"/>
    <w:rsid w:val="002A47A7"/>
    <w:rsid w:val="002A47D1"/>
    <w:rsid w:val="002A4910"/>
    <w:rsid w:val="002A4E1E"/>
    <w:rsid w:val="002A5179"/>
    <w:rsid w:val="002A52E2"/>
    <w:rsid w:val="002A544E"/>
    <w:rsid w:val="002A552D"/>
    <w:rsid w:val="002A5685"/>
    <w:rsid w:val="002A593E"/>
    <w:rsid w:val="002A59D9"/>
    <w:rsid w:val="002A5A95"/>
    <w:rsid w:val="002A5A9D"/>
    <w:rsid w:val="002A5AAE"/>
    <w:rsid w:val="002A5D5B"/>
    <w:rsid w:val="002A60F9"/>
    <w:rsid w:val="002A61D9"/>
    <w:rsid w:val="002A62D9"/>
    <w:rsid w:val="002A6302"/>
    <w:rsid w:val="002A65AB"/>
    <w:rsid w:val="002A6686"/>
    <w:rsid w:val="002A67A4"/>
    <w:rsid w:val="002A692F"/>
    <w:rsid w:val="002A69EE"/>
    <w:rsid w:val="002A6A26"/>
    <w:rsid w:val="002A6DFF"/>
    <w:rsid w:val="002A6EFF"/>
    <w:rsid w:val="002A7040"/>
    <w:rsid w:val="002A757E"/>
    <w:rsid w:val="002A7AE3"/>
    <w:rsid w:val="002A7BE2"/>
    <w:rsid w:val="002A7D2A"/>
    <w:rsid w:val="002A7DCE"/>
    <w:rsid w:val="002A7E4F"/>
    <w:rsid w:val="002A7FB3"/>
    <w:rsid w:val="002B011D"/>
    <w:rsid w:val="002B027D"/>
    <w:rsid w:val="002B030E"/>
    <w:rsid w:val="002B04BE"/>
    <w:rsid w:val="002B06F1"/>
    <w:rsid w:val="002B0B5D"/>
    <w:rsid w:val="002B0BE0"/>
    <w:rsid w:val="002B0DED"/>
    <w:rsid w:val="002B143A"/>
    <w:rsid w:val="002B15B0"/>
    <w:rsid w:val="002B1730"/>
    <w:rsid w:val="002B19A2"/>
    <w:rsid w:val="002B1B45"/>
    <w:rsid w:val="002B1C06"/>
    <w:rsid w:val="002B1C50"/>
    <w:rsid w:val="002B1D93"/>
    <w:rsid w:val="002B20A3"/>
    <w:rsid w:val="002B210B"/>
    <w:rsid w:val="002B2385"/>
    <w:rsid w:val="002B24A4"/>
    <w:rsid w:val="002B24B7"/>
    <w:rsid w:val="002B2557"/>
    <w:rsid w:val="002B2614"/>
    <w:rsid w:val="002B267B"/>
    <w:rsid w:val="002B26EF"/>
    <w:rsid w:val="002B2AA9"/>
    <w:rsid w:val="002B2B3B"/>
    <w:rsid w:val="002B2C3A"/>
    <w:rsid w:val="002B2D45"/>
    <w:rsid w:val="002B30B6"/>
    <w:rsid w:val="002B32F1"/>
    <w:rsid w:val="002B3629"/>
    <w:rsid w:val="002B36B4"/>
    <w:rsid w:val="002B381A"/>
    <w:rsid w:val="002B3A25"/>
    <w:rsid w:val="002B3B63"/>
    <w:rsid w:val="002B3FF2"/>
    <w:rsid w:val="002B40FB"/>
    <w:rsid w:val="002B43AA"/>
    <w:rsid w:val="002B44FA"/>
    <w:rsid w:val="002B48D7"/>
    <w:rsid w:val="002B4950"/>
    <w:rsid w:val="002B4BD0"/>
    <w:rsid w:val="002B4C02"/>
    <w:rsid w:val="002B4F74"/>
    <w:rsid w:val="002B4FCC"/>
    <w:rsid w:val="002B52C6"/>
    <w:rsid w:val="002B5405"/>
    <w:rsid w:val="002B56E2"/>
    <w:rsid w:val="002B57EA"/>
    <w:rsid w:val="002B5873"/>
    <w:rsid w:val="002B5B33"/>
    <w:rsid w:val="002B5DC5"/>
    <w:rsid w:val="002B5FE6"/>
    <w:rsid w:val="002B60A7"/>
    <w:rsid w:val="002B64DF"/>
    <w:rsid w:val="002B6895"/>
    <w:rsid w:val="002B68D6"/>
    <w:rsid w:val="002B6B01"/>
    <w:rsid w:val="002B6BF9"/>
    <w:rsid w:val="002B6C51"/>
    <w:rsid w:val="002B6CB3"/>
    <w:rsid w:val="002B6E76"/>
    <w:rsid w:val="002B6F6F"/>
    <w:rsid w:val="002B7155"/>
    <w:rsid w:val="002B7408"/>
    <w:rsid w:val="002B7538"/>
    <w:rsid w:val="002B7570"/>
    <w:rsid w:val="002B7625"/>
    <w:rsid w:val="002B78DC"/>
    <w:rsid w:val="002B7926"/>
    <w:rsid w:val="002B7A08"/>
    <w:rsid w:val="002B7CFD"/>
    <w:rsid w:val="002C02F9"/>
    <w:rsid w:val="002C0406"/>
    <w:rsid w:val="002C0530"/>
    <w:rsid w:val="002C06C1"/>
    <w:rsid w:val="002C084D"/>
    <w:rsid w:val="002C09F7"/>
    <w:rsid w:val="002C0D5C"/>
    <w:rsid w:val="002C15AF"/>
    <w:rsid w:val="002C15C2"/>
    <w:rsid w:val="002C16F8"/>
    <w:rsid w:val="002C1961"/>
    <w:rsid w:val="002C1AE9"/>
    <w:rsid w:val="002C1BDF"/>
    <w:rsid w:val="002C1C5F"/>
    <w:rsid w:val="002C1DEF"/>
    <w:rsid w:val="002C210F"/>
    <w:rsid w:val="002C24D0"/>
    <w:rsid w:val="002C24FC"/>
    <w:rsid w:val="002C250B"/>
    <w:rsid w:val="002C2613"/>
    <w:rsid w:val="002C261E"/>
    <w:rsid w:val="002C2861"/>
    <w:rsid w:val="002C2866"/>
    <w:rsid w:val="002C2AA4"/>
    <w:rsid w:val="002C2D96"/>
    <w:rsid w:val="002C2E54"/>
    <w:rsid w:val="002C302C"/>
    <w:rsid w:val="002C304C"/>
    <w:rsid w:val="002C3446"/>
    <w:rsid w:val="002C34EE"/>
    <w:rsid w:val="002C3ADB"/>
    <w:rsid w:val="002C3B29"/>
    <w:rsid w:val="002C4105"/>
    <w:rsid w:val="002C4291"/>
    <w:rsid w:val="002C43A9"/>
    <w:rsid w:val="002C479A"/>
    <w:rsid w:val="002C4B95"/>
    <w:rsid w:val="002C4C13"/>
    <w:rsid w:val="002C4C22"/>
    <w:rsid w:val="002C4D62"/>
    <w:rsid w:val="002C51BD"/>
    <w:rsid w:val="002C51F7"/>
    <w:rsid w:val="002C52B2"/>
    <w:rsid w:val="002C5334"/>
    <w:rsid w:val="002C5525"/>
    <w:rsid w:val="002C5748"/>
    <w:rsid w:val="002C597C"/>
    <w:rsid w:val="002C598D"/>
    <w:rsid w:val="002C5C74"/>
    <w:rsid w:val="002C5CEF"/>
    <w:rsid w:val="002C5D04"/>
    <w:rsid w:val="002C5D15"/>
    <w:rsid w:val="002C5D46"/>
    <w:rsid w:val="002C5DB2"/>
    <w:rsid w:val="002C5E34"/>
    <w:rsid w:val="002C6198"/>
    <w:rsid w:val="002C619B"/>
    <w:rsid w:val="002C6235"/>
    <w:rsid w:val="002C6380"/>
    <w:rsid w:val="002C6970"/>
    <w:rsid w:val="002C6B79"/>
    <w:rsid w:val="002C6D35"/>
    <w:rsid w:val="002C70DC"/>
    <w:rsid w:val="002C72A9"/>
    <w:rsid w:val="002C77BC"/>
    <w:rsid w:val="002C7939"/>
    <w:rsid w:val="002C7A01"/>
    <w:rsid w:val="002C7B04"/>
    <w:rsid w:val="002C7BA1"/>
    <w:rsid w:val="002C7FCB"/>
    <w:rsid w:val="002D0027"/>
    <w:rsid w:val="002D0146"/>
    <w:rsid w:val="002D01DA"/>
    <w:rsid w:val="002D0435"/>
    <w:rsid w:val="002D063A"/>
    <w:rsid w:val="002D068D"/>
    <w:rsid w:val="002D06DA"/>
    <w:rsid w:val="002D08DB"/>
    <w:rsid w:val="002D0D9D"/>
    <w:rsid w:val="002D0DA5"/>
    <w:rsid w:val="002D0EF6"/>
    <w:rsid w:val="002D1192"/>
    <w:rsid w:val="002D11C2"/>
    <w:rsid w:val="002D125B"/>
    <w:rsid w:val="002D1414"/>
    <w:rsid w:val="002D15BA"/>
    <w:rsid w:val="002D15FB"/>
    <w:rsid w:val="002D16A4"/>
    <w:rsid w:val="002D171E"/>
    <w:rsid w:val="002D1782"/>
    <w:rsid w:val="002D17A1"/>
    <w:rsid w:val="002D191E"/>
    <w:rsid w:val="002D19B0"/>
    <w:rsid w:val="002D1A0A"/>
    <w:rsid w:val="002D1E14"/>
    <w:rsid w:val="002D21DB"/>
    <w:rsid w:val="002D2203"/>
    <w:rsid w:val="002D2219"/>
    <w:rsid w:val="002D2250"/>
    <w:rsid w:val="002D231B"/>
    <w:rsid w:val="002D23A9"/>
    <w:rsid w:val="002D23DA"/>
    <w:rsid w:val="002D2707"/>
    <w:rsid w:val="002D27EF"/>
    <w:rsid w:val="002D2822"/>
    <w:rsid w:val="002D2918"/>
    <w:rsid w:val="002D29E2"/>
    <w:rsid w:val="002D2BE9"/>
    <w:rsid w:val="002D2C64"/>
    <w:rsid w:val="002D2FBE"/>
    <w:rsid w:val="002D31C0"/>
    <w:rsid w:val="002D3600"/>
    <w:rsid w:val="002D362B"/>
    <w:rsid w:val="002D37E6"/>
    <w:rsid w:val="002D3C61"/>
    <w:rsid w:val="002D3D07"/>
    <w:rsid w:val="002D3F82"/>
    <w:rsid w:val="002D4250"/>
    <w:rsid w:val="002D4281"/>
    <w:rsid w:val="002D4493"/>
    <w:rsid w:val="002D44AF"/>
    <w:rsid w:val="002D470B"/>
    <w:rsid w:val="002D49E7"/>
    <w:rsid w:val="002D51A7"/>
    <w:rsid w:val="002D53C8"/>
    <w:rsid w:val="002D5537"/>
    <w:rsid w:val="002D5BAC"/>
    <w:rsid w:val="002D617A"/>
    <w:rsid w:val="002D6626"/>
    <w:rsid w:val="002D68F8"/>
    <w:rsid w:val="002D6A51"/>
    <w:rsid w:val="002D6C33"/>
    <w:rsid w:val="002D6C4C"/>
    <w:rsid w:val="002D6E97"/>
    <w:rsid w:val="002D6F27"/>
    <w:rsid w:val="002D6F83"/>
    <w:rsid w:val="002D708E"/>
    <w:rsid w:val="002D7091"/>
    <w:rsid w:val="002D712A"/>
    <w:rsid w:val="002D72E2"/>
    <w:rsid w:val="002D73BC"/>
    <w:rsid w:val="002D771A"/>
    <w:rsid w:val="002D77D1"/>
    <w:rsid w:val="002D7869"/>
    <w:rsid w:val="002D7A2D"/>
    <w:rsid w:val="002D7A46"/>
    <w:rsid w:val="002D7B98"/>
    <w:rsid w:val="002D7BEB"/>
    <w:rsid w:val="002D7C36"/>
    <w:rsid w:val="002D7DB1"/>
    <w:rsid w:val="002D7FE2"/>
    <w:rsid w:val="002E03AA"/>
    <w:rsid w:val="002E03B4"/>
    <w:rsid w:val="002E0498"/>
    <w:rsid w:val="002E0710"/>
    <w:rsid w:val="002E08B9"/>
    <w:rsid w:val="002E0C91"/>
    <w:rsid w:val="002E0D7B"/>
    <w:rsid w:val="002E0DC8"/>
    <w:rsid w:val="002E0E79"/>
    <w:rsid w:val="002E1234"/>
    <w:rsid w:val="002E13AC"/>
    <w:rsid w:val="002E14FF"/>
    <w:rsid w:val="002E1626"/>
    <w:rsid w:val="002E174C"/>
    <w:rsid w:val="002E181F"/>
    <w:rsid w:val="002E189B"/>
    <w:rsid w:val="002E19F8"/>
    <w:rsid w:val="002E1AD4"/>
    <w:rsid w:val="002E1BE2"/>
    <w:rsid w:val="002E1BEE"/>
    <w:rsid w:val="002E202C"/>
    <w:rsid w:val="002E20F9"/>
    <w:rsid w:val="002E23C3"/>
    <w:rsid w:val="002E240A"/>
    <w:rsid w:val="002E2422"/>
    <w:rsid w:val="002E286F"/>
    <w:rsid w:val="002E2C63"/>
    <w:rsid w:val="002E2E91"/>
    <w:rsid w:val="002E2EC3"/>
    <w:rsid w:val="002E2F9D"/>
    <w:rsid w:val="002E32FF"/>
    <w:rsid w:val="002E3745"/>
    <w:rsid w:val="002E393A"/>
    <w:rsid w:val="002E3BA6"/>
    <w:rsid w:val="002E3E06"/>
    <w:rsid w:val="002E3F40"/>
    <w:rsid w:val="002E3FF8"/>
    <w:rsid w:val="002E403D"/>
    <w:rsid w:val="002E4269"/>
    <w:rsid w:val="002E42DB"/>
    <w:rsid w:val="002E446A"/>
    <w:rsid w:val="002E45D2"/>
    <w:rsid w:val="002E4745"/>
    <w:rsid w:val="002E47D4"/>
    <w:rsid w:val="002E489F"/>
    <w:rsid w:val="002E4928"/>
    <w:rsid w:val="002E4DDC"/>
    <w:rsid w:val="002E4EB9"/>
    <w:rsid w:val="002E4EBD"/>
    <w:rsid w:val="002E4F16"/>
    <w:rsid w:val="002E4F3C"/>
    <w:rsid w:val="002E51AF"/>
    <w:rsid w:val="002E5405"/>
    <w:rsid w:val="002E5818"/>
    <w:rsid w:val="002E5A4C"/>
    <w:rsid w:val="002E5C7F"/>
    <w:rsid w:val="002E5C8A"/>
    <w:rsid w:val="002E5EC9"/>
    <w:rsid w:val="002E64AC"/>
    <w:rsid w:val="002E6610"/>
    <w:rsid w:val="002E69D7"/>
    <w:rsid w:val="002E6A30"/>
    <w:rsid w:val="002E6C32"/>
    <w:rsid w:val="002E6CDE"/>
    <w:rsid w:val="002E6DB6"/>
    <w:rsid w:val="002E6F21"/>
    <w:rsid w:val="002E6F3C"/>
    <w:rsid w:val="002E7C62"/>
    <w:rsid w:val="002E7E5F"/>
    <w:rsid w:val="002F0205"/>
    <w:rsid w:val="002F0312"/>
    <w:rsid w:val="002F039F"/>
    <w:rsid w:val="002F03DD"/>
    <w:rsid w:val="002F0483"/>
    <w:rsid w:val="002F07B1"/>
    <w:rsid w:val="002F07D9"/>
    <w:rsid w:val="002F07F0"/>
    <w:rsid w:val="002F0965"/>
    <w:rsid w:val="002F0D72"/>
    <w:rsid w:val="002F0E22"/>
    <w:rsid w:val="002F13D2"/>
    <w:rsid w:val="002F1648"/>
    <w:rsid w:val="002F1D89"/>
    <w:rsid w:val="002F1DB1"/>
    <w:rsid w:val="002F1E77"/>
    <w:rsid w:val="002F2381"/>
    <w:rsid w:val="002F2757"/>
    <w:rsid w:val="002F28AB"/>
    <w:rsid w:val="002F2FD2"/>
    <w:rsid w:val="002F304A"/>
    <w:rsid w:val="002F324B"/>
    <w:rsid w:val="002F3A3F"/>
    <w:rsid w:val="002F3E05"/>
    <w:rsid w:val="002F3F89"/>
    <w:rsid w:val="002F3FAA"/>
    <w:rsid w:val="002F4028"/>
    <w:rsid w:val="002F42D2"/>
    <w:rsid w:val="002F4423"/>
    <w:rsid w:val="002F4554"/>
    <w:rsid w:val="002F45B6"/>
    <w:rsid w:val="002F47C8"/>
    <w:rsid w:val="002F4A8F"/>
    <w:rsid w:val="002F4AA5"/>
    <w:rsid w:val="002F4B27"/>
    <w:rsid w:val="002F4BC6"/>
    <w:rsid w:val="002F4C14"/>
    <w:rsid w:val="002F4CE0"/>
    <w:rsid w:val="002F4CE6"/>
    <w:rsid w:val="002F4E5D"/>
    <w:rsid w:val="002F4E79"/>
    <w:rsid w:val="002F506B"/>
    <w:rsid w:val="002F5ACD"/>
    <w:rsid w:val="002F5AEC"/>
    <w:rsid w:val="002F5D08"/>
    <w:rsid w:val="002F5F34"/>
    <w:rsid w:val="002F613D"/>
    <w:rsid w:val="002F649F"/>
    <w:rsid w:val="002F64F8"/>
    <w:rsid w:val="002F68CA"/>
    <w:rsid w:val="002F6A06"/>
    <w:rsid w:val="002F6A44"/>
    <w:rsid w:val="002F6A5A"/>
    <w:rsid w:val="002F6AEF"/>
    <w:rsid w:val="002F6B48"/>
    <w:rsid w:val="002F7106"/>
    <w:rsid w:val="002F7159"/>
    <w:rsid w:val="002F7208"/>
    <w:rsid w:val="002F7420"/>
    <w:rsid w:val="002F7536"/>
    <w:rsid w:val="002F7576"/>
    <w:rsid w:val="002F7850"/>
    <w:rsid w:val="002F79BC"/>
    <w:rsid w:val="002F79FB"/>
    <w:rsid w:val="002F7E52"/>
    <w:rsid w:val="002F7EFC"/>
    <w:rsid w:val="002F7F80"/>
    <w:rsid w:val="003003E8"/>
    <w:rsid w:val="00300493"/>
    <w:rsid w:val="00300659"/>
    <w:rsid w:val="00300688"/>
    <w:rsid w:val="003007CC"/>
    <w:rsid w:val="00300C35"/>
    <w:rsid w:val="00300DB0"/>
    <w:rsid w:val="00301384"/>
    <w:rsid w:val="003014F7"/>
    <w:rsid w:val="003017FC"/>
    <w:rsid w:val="0030207F"/>
    <w:rsid w:val="003022ED"/>
    <w:rsid w:val="00302310"/>
    <w:rsid w:val="0030243F"/>
    <w:rsid w:val="00302480"/>
    <w:rsid w:val="003026BA"/>
    <w:rsid w:val="0030273F"/>
    <w:rsid w:val="00302758"/>
    <w:rsid w:val="003029C2"/>
    <w:rsid w:val="00302A71"/>
    <w:rsid w:val="00302CE9"/>
    <w:rsid w:val="00302F1A"/>
    <w:rsid w:val="0030311F"/>
    <w:rsid w:val="00303185"/>
    <w:rsid w:val="003032F9"/>
    <w:rsid w:val="00303471"/>
    <w:rsid w:val="003035CC"/>
    <w:rsid w:val="0030372A"/>
    <w:rsid w:val="00303760"/>
    <w:rsid w:val="00303857"/>
    <w:rsid w:val="00303A3F"/>
    <w:rsid w:val="00303B15"/>
    <w:rsid w:val="00303CCA"/>
    <w:rsid w:val="0030402E"/>
    <w:rsid w:val="003040D4"/>
    <w:rsid w:val="003045B6"/>
    <w:rsid w:val="003049A2"/>
    <w:rsid w:val="00304DE5"/>
    <w:rsid w:val="00304F9A"/>
    <w:rsid w:val="003051D3"/>
    <w:rsid w:val="00305272"/>
    <w:rsid w:val="0030539D"/>
    <w:rsid w:val="00305682"/>
    <w:rsid w:val="003057D8"/>
    <w:rsid w:val="003058E1"/>
    <w:rsid w:val="003058F0"/>
    <w:rsid w:val="003059C1"/>
    <w:rsid w:val="00305A28"/>
    <w:rsid w:val="00305AD5"/>
    <w:rsid w:val="00305B76"/>
    <w:rsid w:val="00305E2B"/>
    <w:rsid w:val="003062B2"/>
    <w:rsid w:val="003062D4"/>
    <w:rsid w:val="0030632D"/>
    <w:rsid w:val="003064F2"/>
    <w:rsid w:val="00306527"/>
    <w:rsid w:val="0030676C"/>
    <w:rsid w:val="003067E8"/>
    <w:rsid w:val="00306B6F"/>
    <w:rsid w:val="00306CB9"/>
    <w:rsid w:val="00306D48"/>
    <w:rsid w:val="00306D69"/>
    <w:rsid w:val="00306DE0"/>
    <w:rsid w:val="0030705D"/>
    <w:rsid w:val="003070AC"/>
    <w:rsid w:val="003071B2"/>
    <w:rsid w:val="0030725A"/>
    <w:rsid w:val="0030728F"/>
    <w:rsid w:val="00307670"/>
    <w:rsid w:val="003077F9"/>
    <w:rsid w:val="00307DC7"/>
    <w:rsid w:val="00307E31"/>
    <w:rsid w:val="00310308"/>
    <w:rsid w:val="003105C1"/>
    <w:rsid w:val="00310850"/>
    <w:rsid w:val="00310B98"/>
    <w:rsid w:val="00310F24"/>
    <w:rsid w:val="00311060"/>
    <w:rsid w:val="003110A6"/>
    <w:rsid w:val="003110CF"/>
    <w:rsid w:val="00311119"/>
    <w:rsid w:val="00311198"/>
    <w:rsid w:val="00311297"/>
    <w:rsid w:val="003112C6"/>
    <w:rsid w:val="00311728"/>
    <w:rsid w:val="0031186D"/>
    <w:rsid w:val="00311C5D"/>
    <w:rsid w:val="00311C68"/>
    <w:rsid w:val="00311F3B"/>
    <w:rsid w:val="0031215C"/>
    <w:rsid w:val="00312325"/>
    <w:rsid w:val="0031241C"/>
    <w:rsid w:val="0031251A"/>
    <w:rsid w:val="00312552"/>
    <w:rsid w:val="0031285A"/>
    <w:rsid w:val="00312AC6"/>
    <w:rsid w:val="00312B99"/>
    <w:rsid w:val="00312D81"/>
    <w:rsid w:val="00312E87"/>
    <w:rsid w:val="00312F78"/>
    <w:rsid w:val="00312F7D"/>
    <w:rsid w:val="00312FE7"/>
    <w:rsid w:val="003130BD"/>
    <w:rsid w:val="00313248"/>
    <w:rsid w:val="003132CB"/>
    <w:rsid w:val="003132EE"/>
    <w:rsid w:val="00313650"/>
    <w:rsid w:val="0031366A"/>
    <w:rsid w:val="00313D05"/>
    <w:rsid w:val="00313E21"/>
    <w:rsid w:val="0031494E"/>
    <w:rsid w:val="003149F9"/>
    <w:rsid w:val="00314E56"/>
    <w:rsid w:val="00314EAA"/>
    <w:rsid w:val="00314F46"/>
    <w:rsid w:val="00314FE0"/>
    <w:rsid w:val="00314FE9"/>
    <w:rsid w:val="00315497"/>
    <w:rsid w:val="003154B5"/>
    <w:rsid w:val="0031550B"/>
    <w:rsid w:val="0031558D"/>
    <w:rsid w:val="003155EE"/>
    <w:rsid w:val="003155FB"/>
    <w:rsid w:val="00315709"/>
    <w:rsid w:val="00315768"/>
    <w:rsid w:val="00315AB5"/>
    <w:rsid w:val="00315DC6"/>
    <w:rsid w:val="00315EB4"/>
    <w:rsid w:val="0031624E"/>
    <w:rsid w:val="00316357"/>
    <w:rsid w:val="003165A8"/>
    <w:rsid w:val="003165E6"/>
    <w:rsid w:val="00316777"/>
    <w:rsid w:val="00316E0C"/>
    <w:rsid w:val="00316FC4"/>
    <w:rsid w:val="0031702F"/>
    <w:rsid w:val="00317149"/>
    <w:rsid w:val="003172A4"/>
    <w:rsid w:val="003176F8"/>
    <w:rsid w:val="0031778E"/>
    <w:rsid w:val="0031786E"/>
    <w:rsid w:val="00317991"/>
    <w:rsid w:val="00317A4E"/>
    <w:rsid w:val="00317B7E"/>
    <w:rsid w:val="00317F62"/>
    <w:rsid w:val="00317F90"/>
    <w:rsid w:val="00320213"/>
    <w:rsid w:val="0032036D"/>
    <w:rsid w:val="00320728"/>
    <w:rsid w:val="0032073B"/>
    <w:rsid w:val="003207C9"/>
    <w:rsid w:val="00320A4C"/>
    <w:rsid w:val="00321448"/>
    <w:rsid w:val="003214F0"/>
    <w:rsid w:val="003215B5"/>
    <w:rsid w:val="003217D5"/>
    <w:rsid w:val="00321851"/>
    <w:rsid w:val="00321903"/>
    <w:rsid w:val="00321A56"/>
    <w:rsid w:val="00321DF1"/>
    <w:rsid w:val="00321DF6"/>
    <w:rsid w:val="00321F75"/>
    <w:rsid w:val="0032208A"/>
    <w:rsid w:val="003221CF"/>
    <w:rsid w:val="0032225A"/>
    <w:rsid w:val="003224EE"/>
    <w:rsid w:val="003226F3"/>
    <w:rsid w:val="003229DE"/>
    <w:rsid w:val="00322ACB"/>
    <w:rsid w:val="00322AE1"/>
    <w:rsid w:val="00322CD7"/>
    <w:rsid w:val="003233ED"/>
    <w:rsid w:val="00323723"/>
    <w:rsid w:val="00323782"/>
    <w:rsid w:val="00323959"/>
    <w:rsid w:val="003239F3"/>
    <w:rsid w:val="003239FF"/>
    <w:rsid w:val="00323B77"/>
    <w:rsid w:val="003242D5"/>
    <w:rsid w:val="00324435"/>
    <w:rsid w:val="003245FB"/>
    <w:rsid w:val="00324910"/>
    <w:rsid w:val="00324990"/>
    <w:rsid w:val="00324ACC"/>
    <w:rsid w:val="00324B19"/>
    <w:rsid w:val="00324BF4"/>
    <w:rsid w:val="00324D9F"/>
    <w:rsid w:val="00324F38"/>
    <w:rsid w:val="003250BA"/>
    <w:rsid w:val="0032511E"/>
    <w:rsid w:val="0032559C"/>
    <w:rsid w:val="00325725"/>
    <w:rsid w:val="00325770"/>
    <w:rsid w:val="003258C7"/>
    <w:rsid w:val="00325C21"/>
    <w:rsid w:val="00326237"/>
    <w:rsid w:val="00326245"/>
    <w:rsid w:val="0032624E"/>
    <w:rsid w:val="0032625B"/>
    <w:rsid w:val="00326854"/>
    <w:rsid w:val="00326EBC"/>
    <w:rsid w:val="00326F7A"/>
    <w:rsid w:val="0032701E"/>
    <w:rsid w:val="0032714C"/>
    <w:rsid w:val="0032753A"/>
    <w:rsid w:val="00327787"/>
    <w:rsid w:val="003278BB"/>
    <w:rsid w:val="003278D5"/>
    <w:rsid w:val="00327948"/>
    <w:rsid w:val="00327D02"/>
    <w:rsid w:val="00327E23"/>
    <w:rsid w:val="0033000F"/>
    <w:rsid w:val="00330080"/>
    <w:rsid w:val="003300F5"/>
    <w:rsid w:val="003301BD"/>
    <w:rsid w:val="003301CF"/>
    <w:rsid w:val="0033029A"/>
    <w:rsid w:val="003303B5"/>
    <w:rsid w:val="00330541"/>
    <w:rsid w:val="00330592"/>
    <w:rsid w:val="003305E6"/>
    <w:rsid w:val="003306FE"/>
    <w:rsid w:val="00330A77"/>
    <w:rsid w:val="00330CD0"/>
    <w:rsid w:val="00330E03"/>
    <w:rsid w:val="00331196"/>
    <w:rsid w:val="00331218"/>
    <w:rsid w:val="0033121A"/>
    <w:rsid w:val="0033128A"/>
    <w:rsid w:val="003312B6"/>
    <w:rsid w:val="00331765"/>
    <w:rsid w:val="00331A76"/>
    <w:rsid w:val="00331A9C"/>
    <w:rsid w:val="00331CCA"/>
    <w:rsid w:val="00332011"/>
    <w:rsid w:val="0033204B"/>
    <w:rsid w:val="00332280"/>
    <w:rsid w:val="003323F9"/>
    <w:rsid w:val="00332518"/>
    <w:rsid w:val="003326D6"/>
    <w:rsid w:val="003326E7"/>
    <w:rsid w:val="00332878"/>
    <w:rsid w:val="00332925"/>
    <w:rsid w:val="00332934"/>
    <w:rsid w:val="003329C0"/>
    <w:rsid w:val="00332E3F"/>
    <w:rsid w:val="003331FC"/>
    <w:rsid w:val="003332ED"/>
    <w:rsid w:val="003335B3"/>
    <w:rsid w:val="0033371D"/>
    <w:rsid w:val="00333994"/>
    <w:rsid w:val="00333AAD"/>
    <w:rsid w:val="00333B77"/>
    <w:rsid w:val="00333BF7"/>
    <w:rsid w:val="00333CBF"/>
    <w:rsid w:val="00333DE3"/>
    <w:rsid w:val="00333E71"/>
    <w:rsid w:val="00334221"/>
    <w:rsid w:val="003342C8"/>
    <w:rsid w:val="003342EE"/>
    <w:rsid w:val="00334394"/>
    <w:rsid w:val="00334682"/>
    <w:rsid w:val="00334888"/>
    <w:rsid w:val="00334B8D"/>
    <w:rsid w:val="00334BF3"/>
    <w:rsid w:val="00334C9E"/>
    <w:rsid w:val="00334CB2"/>
    <w:rsid w:val="00334CC9"/>
    <w:rsid w:val="00334E5C"/>
    <w:rsid w:val="00335053"/>
    <w:rsid w:val="00335159"/>
    <w:rsid w:val="003351EE"/>
    <w:rsid w:val="00335387"/>
    <w:rsid w:val="003354A8"/>
    <w:rsid w:val="00335522"/>
    <w:rsid w:val="00335588"/>
    <w:rsid w:val="00335BCB"/>
    <w:rsid w:val="00335C14"/>
    <w:rsid w:val="00335CD2"/>
    <w:rsid w:val="00335D17"/>
    <w:rsid w:val="00336280"/>
    <w:rsid w:val="003368DC"/>
    <w:rsid w:val="00336A07"/>
    <w:rsid w:val="00336ACD"/>
    <w:rsid w:val="00336C62"/>
    <w:rsid w:val="00336D0C"/>
    <w:rsid w:val="00336F75"/>
    <w:rsid w:val="00337008"/>
    <w:rsid w:val="00337406"/>
    <w:rsid w:val="00337441"/>
    <w:rsid w:val="003374FD"/>
    <w:rsid w:val="00337831"/>
    <w:rsid w:val="003378AA"/>
    <w:rsid w:val="003378C4"/>
    <w:rsid w:val="00337B24"/>
    <w:rsid w:val="00337B4A"/>
    <w:rsid w:val="00337B61"/>
    <w:rsid w:val="00337CC7"/>
    <w:rsid w:val="0034026A"/>
    <w:rsid w:val="003403C1"/>
    <w:rsid w:val="00340546"/>
    <w:rsid w:val="003405DC"/>
    <w:rsid w:val="00340A50"/>
    <w:rsid w:val="00340B19"/>
    <w:rsid w:val="00340B36"/>
    <w:rsid w:val="00340D1C"/>
    <w:rsid w:val="00340D83"/>
    <w:rsid w:val="00340DB6"/>
    <w:rsid w:val="00341102"/>
    <w:rsid w:val="00341158"/>
    <w:rsid w:val="00341403"/>
    <w:rsid w:val="00341468"/>
    <w:rsid w:val="003418EE"/>
    <w:rsid w:val="00341988"/>
    <w:rsid w:val="00341B84"/>
    <w:rsid w:val="00341B98"/>
    <w:rsid w:val="00341C45"/>
    <w:rsid w:val="00341D34"/>
    <w:rsid w:val="0034212D"/>
    <w:rsid w:val="0034236C"/>
    <w:rsid w:val="0034242B"/>
    <w:rsid w:val="003424C1"/>
    <w:rsid w:val="00342517"/>
    <w:rsid w:val="0034280D"/>
    <w:rsid w:val="0034291E"/>
    <w:rsid w:val="00342962"/>
    <w:rsid w:val="00342B18"/>
    <w:rsid w:val="00342C6F"/>
    <w:rsid w:val="00342E20"/>
    <w:rsid w:val="00343098"/>
    <w:rsid w:val="003430A9"/>
    <w:rsid w:val="00343569"/>
    <w:rsid w:val="0034385B"/>
    <w:rsid w:val="00343957"/>
    <w:rsid w:val="00343B84"/>
    <w:rsid w:val="00343C10"/>
    <w:rsid w:val="00343C1D"/>
    <w:rsid w:val="00343EC1"/>
    <w:rsid w:val="00343FD0"/>
    <w:rsid w:val="00344023"/>
    <w:rsid w:val="00344341"/>
    <w:rsid w:val="00344912"/>
    <w:rsid w:val="00344A4C"/>
    <w:rsid w:val="00344A91"/>
    <w:rsid w:val="00344C5B"/>
    <w:rsid w:val="003450C2"/>
    <w:rsid w:val="00345227"/>
    <w:rsid w:val="00345462"/>
    <w:rsid w:val="00345553"/>
    <w:rsid w:val="0034588C"/>
    <w:rsid w:val="00345927"/>
    <w:rsid w:val="00345E18"/>
    <w:rsid w:val="00345EB4"/>
    <w:rsid w:val="00345EE5"/>
    <w:rsid w:val="00345F89"/>
    <w:rsid w:val="003460BD"/>
    <w:rsid w:val="00346142"/>
    <w:rsid w:val="003463A9"/>
    <w:rsid w:val="0034640F"/>
    <w:rsid w:val="00346539"/>
    <w:rsid w:val="00346A00"/>
    <w:rsid w:val="00346AA9"/>
    <w:rsid w:val="00346EA1"/>
    <w:rsid w:val="00346F10"/>
    <w:rsid w:val="003471A1"/>
    <w:rsid w:val="003473AB"/>
    <w:rsid w:val="00347494"/>
    <w:rsid w:val="00347990"/>
    <w:rsid w:val="00347998"/>
    <w:rsid w:val="00347BAA"/>
    <w:rsid w:val="00347D64"/>
    <w:rsid w:val="00347EA9"/>
    <w:rsid w:val="00347F93"/>
    <w:rsid w:val="003500E7"/>
    <w:rsid w:val="00350296"/>
    <w:rsid w:val="00350382"/>
    <w:rsid w:val="00350584"/>
    <w:rsid w:val="00350796"/>
    <w:rsid w:val="00350B9F"/>
    <w:rsid w:val="00350E3E"/>
    <w:rsid w:val="0035107C"/>
    <w:rsid w:val="003511A9"/>
    <w:rsid w:val="00351601"/>
    <w:rsid w:val="00351661"/>
    <w:rsid w:val="00351762"/>
    <w:rsid w:val="00351777"/>
    <w:rsid w:val="00351857"/>
    <w:rsid w:val="00351938"/>
    <w:rsid w:val="00351BBC"/>
    <w:rsid w:val="00351DAA"/>
    <w:rsid w:val="00351DB3"/>
    <w:rsid w:val="00351DE5"/>
    <w:rsid w:val="00351F82"/>
    <w:rsid w:val="00351FD5"/>
    <w:rsid w:val="00352072"/>
    <w:rsid w:val="00352109"/>
    <w:rsid w:val="0035218A"/>
    <w:rsid w:val="00352197"/>
    <w:rsid w:val="00352251"/>
    <w:rsid w:val="003529AB"/>
    <w:rsid w:val="003530B9"/>
    <w:rsid w:val="003531E2"/>
    <w:rsid w:val="003532A1"/>
    <w:rsid w:val="00353423"/>
    <w:rsid w:val="003535BA"/>
    <w:rsid w:val="0035363A"/>
    <w:rsid w:val="00353A7D"/>
    <w:rsid w:val="00353D8E"/>
    <w:rsid w:val="00353FBB"/>
    <w:rsid w:val="00353FD5"/>
    <w:rsid w:val="00353FE5"/>
    <w:rsid w:val="003541EA"/>
    <w:rsid w:val="003542C7"/>
    <w:rsid w:val="003545E8"/>
    <w:rsid w:val="00354600"/>
    <w:rsid w:val="003546DD"/>
    <w:rsid w:val="003547B7"/>
    <w:rsid w:val="003548CB"/>
    <w:rsid w:val="00354904"/>
    <w:rsid w:val="00354AFA"/>
    <w:rsid w:val="00354D21"/>
    <w:rsid w:val="00354E7F"/>
    <w:rsid w:val="00354FAF"/>
    <w:rsid w:val="003550FA"/>
    <w:rsid w:val="00355105"/>
    <w:rsid w:val="00355183"/>
    <w:rsid w:val="0035550C"/>
    <w:rsid w:val="0035576B"/>
    <w:rsid w:val="00355937"/>
    <w:rsid w:val="0035593E"/>
    <w:rsid w:val="00355C88"/>
    <w:rsid w:val="00355CAA"/>
    <w:rsid w:val="00355D18"/>
    <w:rsid w:val="00355EE2"/>
    <w:rsid w:val="00355FB1"/>
    <w:rsid w:val="0035612D"/>
    <w:rsid w:val="003563D8"/>
    <w:rsid w:val="00356457"/>
    <w:rsid w:val="00356CCA"/>
    <w:rsid w:val="00356DBA"/>
    <w:rsid w:val="003573CE"/>
    <w:rsid w:val="00357A47"/>
    <w:rsid w:val="00357C05"/>
    <w:rsid w:val="00357FD0"/>
    <w:rsid w:val="003603AE"/>
    <w:rsid w:val="00360416"/>
    <w:rsid w:val="00360549"/>
    <w:rsid w:val="003605A2"/>
    <w:rsid w:val="003606AC"/>
    <w:rsid w:val="003609E6"/>
    <w:rsid w:val="00360CE7"/>
    <w:rsid w:val="00360F21"/>
    <w:rsid w:val="0036102D"/>
    <w:rsid w:val="003610E1"/>
    <w:rsid w:val="00361333"/>
    <w:rsid w:val="003614CC"/>
    <w:rsid w:val="0036170A"/>
    <w:rsid w:val="00361710"/>
    <w:rsid w:val="0036189C"/>
    <w:rsid w:val="003618A8"/>
    <w:rsid w:val="00361909"/>
    <w:rsid w:val="00361D50"/>
    <w:rsid w:val="00361FD7"/>
    <w:rsid w:val="003620D6"/>
    <w:rsid w:val="003622D7"/>
    <w:rsid w:val="00362485"/>
    <w:rsid w:val="00362525"/>
    <w:rsid w:val="003625CC"/>
    <w:rsid w:val="003626D0"/>
    <w:rsid w:val="00362900"/>
    <w:rsid w:val="00362CD8"/>
    <w:rsid w:val="00362CF8"/>
    <w:rsid w:val="003634C8"/>
    <w:rsid w:val="0036353F"/>
    <w:rsid w:val="0036374C"/>
    <w:rsid w:val="00363AAC"/>
    <w:rsid w:val="00363AFA"/>
    <w:rsid w:val="00363C73"/>
    <w:rsid w:val="00363CAA"/>
    <w:rsid w:val="003645A6"/>
    <w:rsid w:val="00364765"/>
    <w:rsid w:val="003647C6"/>
    <w:rsid w:val="00364C76"/>
    <w:rsid w:val="00364D08"/>
    <w:rsid w:val="00364F09"/>
    <w:rsid w:val="003653A7"/>
    <w:rsid w:val="00365841"/>
    <w:rsid w:val="0036584A"/>
    <w:rsid w:val="00365AD2"/>
    <w:rsid w:val="00365E7B"/>
    <w:rsid w:val="00365FB7"/>
    <w:rsid w:val="0036607C"/>
    <w:rsid w:val="003664A8"/>
    <w:rsid w:val="003665C1"/>
    <w:rsid w:val="00366727"/>
    <w:rsid w:val="00366804"/>
    <w:rsid w:val="00366A41"/>
    <w:rsid w:val="00366BBA"/>
    <w:rsid w:val="00366E34"/>
    <w:rsid w:val="00366E69"/>
    <w:rsid w:val="00366F08"/>
    <w:rsid w:val="0036716A"/>
    <w:rsid w:val="003671BE"/>
    <w:rsid w:val="00367243"/>
    <w:rsid w:val="003674F9"/>
    <w:rsid w:val="00367515"/>
    <w:rsid w:val="003676AF"/>
    <w:rsid w:val="00367829"/>
    <w:rsid w:val="00367978"/>
    <w:rsid w:val="00367A89"/>
    <w:rsid w:val="00367BE9"/>
    <w:rsid w:val="00367F9F"/>
    <w:rsid w:val="003702E1"/>
    <w:rsid w:val="00370495"/>
    <w:rsid w:val="00370582"/>
    <w:rsid w:val="00370B63"/>
    <w:rsid w:val="00370CE3"/>
    <w:rsid w:val="00370E57"/>
    <w:rsid w:val="00370EF5"/>
    <w:rsid w:val="00370F2D"/>
    <w:rsid w:val="00371122"/>
    <w:rsid w:val="00371273"/>
    <w:rsid w:val="00371308"/>
    <w:rsid w:val="003713C9"/>
    <w:rsid w:val="00371A88"/>
    <w:rsid w:val="00371C8D"/>
    <w:rsid w:val="003722D4"/>
    <w:rsid w:val="00372345"/>
    <w:rsid w:val="003723BF"/>
    <w:rsid w:val="00372427"/>
    <w:rsid w:val="00372485"/>
    <w:rsid w:val="00372497"/>
    <w:rsid w:val="003726F4"/>
    <w:rsid w:val="0037273F"/>
    <w:rsid w:val="00372B0D"/>
    <w:rsid w:val="00373200"/>
    <w:rsid w:val="003732A1"/>
    <w:rsid w:val="0037337F"/>
    <w:rsid w:val="003736A8"/>
    <w:rsid w:val="00373787"/>
    <w:rsid w:val="00373820"/>
    <w:rsid w:val="00373AD9"/>
    <w:rsid w:val="00373B82"/>
    <w:rsid w:val="00373E93"/>
    <w:rsid w:val="00373F70"/>
    <w:rsid w:val="003740D5"/>
    <w:rsid w:val="00374183"/>
    <w:rsid w:val="00374201"/>
    <w:rsid w:val="003743C4"/>
    <w:rsid w:val="003743F9"/>
    <w:rsid w:val="00374665"/>
    <w:rsid w:val="00374755"/>
    <w:rsid w:val="00374905"/>
    <w:rsid w:val="00374990"/>
    <w:rsid w:val="003749B7"/>
    <w:rsid w:val="00374A52"/>
    <w:rsid w:val="00374B4B"/>
    <w:rsid w:val="00374C7C"/>
    <w:rsid w:val="00374E85"/>
    <w:rsid w:val="003754E5"/>
    <w:rsid w:val="00375B77"/>
    <w:rsid w:val="00375E2F"/>
    <w:rsid w:val="00375EF5"/>
    <w:rsid w:val="00375F5F"/>
    <w:rsid w:val="0037628E"/>
    <w:rsid w:val="00376533"/>
    <w:rsid w:val="003766DA"/>
    <w:rsid w:val="003767A5"/>
    <w:rsid w:val="00376A46"/>
    <w:rsid w:val="00376B3F"/>
    <w:rsid w:val="00376BDE"/>
    <w:rsid w:val="00376C50"/>
    <w:rsid w:val="00376C9B"/>
    <w:rsid w:val="00376F18"/>
    <w:rsid w:val="0037720C"/>
    <w:rsid w:val="00377480"/>
    <w:rsid w:val="00377665"/>
    <w:rsid w:val="003779BD"/>
    <w:rsid w:val="00377D55"/>
    <w:rsid w:val="00377ECC"/>
    <w:rsid w:val="00377EF4"/>
    <w:rsid w:val="00377F03"/>
    <w:rsid w:val="00377F19"/>
    <w:rsid w:val="00380002"/>
    <w:rsid w:val="003800D5"/>
    <w:rsid w:val="003801D3"/>
    <w:rsid w:val="003801FD"/>
    <w:rsid w:val="003802B6"/>
    <w:rsid w:val="0038036C"/>
    <w:rsid w:val="0038038F"/>
    <w:rsid w:val="00380780"/>
    <w:rsid w:val="003807A7"/>
    <w:rsid w:val="003809E4"/>
    <w:rsid w:val="00380E9C"/>
    <w:rsid w:val="0038129D"/>
    <w:rsid w:val="00381C9B"/>
    <w:rsid w:val="00381D15"/>
    <w:rsid w:val="00381DBA"/>
    <w:rsid w:val="00381DC1"/>
    <w:rsid w:val="00381EF1"/>
    <w:rsid w:val="00381F0F"/>
    <w:rsid w:val="00382005"/>
    <w:rsid w:val="0038201D"/>
    <w:rsid w:val="003820DD"/>
    <w:rsid w:val="0038214C"/>
    <w:rsid w:val="003822C3"/>
    <w:rsid w:val="003825DC"/>
    <w:rsid w:val="00382702"/>
    <w:rsid w:val="00382721"/>
    <w:rsid w:val="00382AFA"/>
    <w:rsid w:val="00382D99"/>
    <w:rsid w:val="003830CF"/>
    <w:rsid w:val="0038330E"/>
    <w:rsid w:val="003834C9"/>
    <w:rsid w:val="003835B2"/>
    <w:rsid w:val="003835D3"/>
    <w:rsid w:val="003835F2"/>
    <w:rsid w:val="0038367F"/>
    <w:rsid w:val="0038395D"/>
    <w:rsid w:val="00383965"/>
    <w:rsid w:val="00383A7E"/>
    <w:rsid w:val="00383B68"/>
    <w:rsid w:val="00383C69"/>
    <w:rsid w:val="00383D63"/>
    <w:rsid w:val="00383EFA"/>
    <w:rsid w:val="00383F00"/>
    <w:rsid w:val="0038423E"/>
    <w:rsid w:val="00384245"/>
    <w:rsid w:val="003842BA"/>
    <w:rsid w:val="0038457D"/>
    <w:rsid w:val="00384640"/>
    <w:rsid w:val="00384784"/>
    <w:rsid w:val="0038487D"/>
    <w:rsid w:val="00384E86"/>
    <w:rsid w:val="00384F9D"/>
    <w:rsid w:val="00385254"/>
    <w:rsid w:val="003852AB"/>
    <w:rsid w:val="0038564C"/>
    <w:rsid w:val="00385804"/>
    <w:rsid w:val="00385C9B"/>
    <w:rsid w:val="00385D25"/>
    <w:rsid w:val="00385DF2"/>
    <w:rsid w:val="00385F18"/>
    <w:rsid w:val="00386135"/>
    <w:rsid w:val="00386264"/>
    <w:rsid w:val="00386567"/>
    <w:rsid w:val="0038660A"/>
    <w:rsid w:val="00386831"/>
    <w:rsid w:val="003868D3"/>
    <w:rsid w:val="0038693E"/>
    <w:rsid w:val="00386A4E"/>
    <w:rsid w:val="00386C69"/>
    <w:rsid w:val="00386CB0"/>
    <w:rsid w:val="00386DAF"/>
    <w:rsid w:val="00386EAD"/>
    <w:rsid w:val="00387028"/>
    <w:rsid w:val="003870ED"/>
    <w:rsid w:val="0038779E"/>
    <w:rsid w:val="0038781E"/>
    <w:rsid w:val="003879E9"/>
    <w:rsid w:val="00387C2B"/>
    <w:rsid w:val="00387CEA"/>
    <w:rsid w:val="00387EDE"/>
    <w:rsid w:val="00387F6A"/>
    <w:rsid w:val="00387FBB"/>
    <w:rsid w:val="00390134"/>
    <w:rsid w:val="003901E6"/>
    <w:rsid w:val="0039040A"/>
    <w:rsid w:val="00390579"/>
    <w:rsid w:val="00390583"/>
    <w:rsid w:val="0039088C"/>
    <w:rsid w:val="003909E9"/>
    <w:rsid w:val="003912D0"/>
    <w:rsid w:val="003912ED"/>
    <w:rsid w:val="00391352"/>
    <w:rsid w:val="003913EB"/>
    <w:rsid w:val="00391458"/>
    <w:rsid w:val="0039159D"/>
    <w:rsid w:val="0039169F"/>
    <w:rsid w:val="003917E2"/>
    <w:rsid w:val="00391F18"/>
    <w:rsid w:val="00391FDA"/>
    <w:rsid w:val="00392064"/>
    <w:rsid w:val="00392189"/>
    <w:rsid w:val="003921CC"/>
    <w:rsid w:val="00392348"/>
    <w:rsid w:val="0039237E"/>
    <w:rsid w:val="0039244D"/>
    <w:rsid w:val="003925B1"/>
    <w:rsid w:val="00392853"/>
    <w:rsid w:val="0039314A"/>
    <w:rsid w:val="003933E8"/>
    <w:rsid w:val="003934E1"/>
    <w:rsid w:val="0039366C"/>
    <w:rsid w:val="0039374C"/>
    <w:rsid w:val="0039388F"/>
    <w:rsid w:val="003938C1"/>
    <w:rsid w:val="003938DC"/>
    <w:rsid w:val="0039393D"/>
    <w:rsid w:val="003939D5"/>
    <w:rsid w:val="00393B2B"/>
    <w:rsid w:val="00393C28"/>
    <w:rsid w:val="00393D48"/>
    <w:rsid w:val="00393E63"/>
    <w:rsid w:val="00393FDB"/>
    <w:rsid w:val="00394031"/>
    <w:rsid w:val="003944F2"/>
    <w:rsid w:val="003946C7"/>
    <w:rsid w:val="0039476D"/>
    <w:rsid w:val="00394A70"/>
    <w:rsid w:val="00394C41"/>
    <w:rsid w:val="00394C57"/>
    <w:rsid w:val="003955ED"/>
    <w:rsid w:val="0039566B"/>
    <w:rsid w:val="00395CA0"/>
    <w:rsid w:val="00395D84"/>
    <w:rsid w:val="00395DD8"/>
    <w:rsid w:val="00395F4B"/>
    <w:rsid w:val="00396026"/>
    <w:rsid w:val="003961CE"/>
    <w:rsid w:val="003962C2"/>
    <w:rsid w:val="00396528"/>
    <w:rsid w:val="003968F5"/>
    <w:rsid w:val="00396990"/>
    <w:rsid w:val="00396C92"/>
    <w:rsid w:val="00396DC2"/>
    <w:rsid w:val="00396E74"/>
    <w:rsid w:val="00396ECD"/>
    <w:rsid w:val="0039720E"/>
    <w:rsid w:val="0039754C"/>
    <w:rsid w:val="003976EB"/>
    <w:rsid w:val="00397784"/>
    <w:rsid w:val="00397975"/>
    <w:rsid w:val="00397A5D"/>
    <w:rsid w:val="00397B99"/>
    <w:rsid w:val="00397EFE"/>
    <w:rsid w:val="00397F30"/>
    <w:rsid w:val="003A006C"/>
    <w:rsid w:val="003A00FF"/>
    <w:rsid w:val="003A0435"/>
    <w:rsid w:val="003A04DB"/>
    <w:rsid w:val="003A0B99"/>
    <w:rsid w:val="003A0C3E"/>
    <w:rsid w:val="003A0C5C"/>
    <w:rsid w:val="003A115A"/>
    <w:rsid w:val="003A11DD"/>
    <w:rsid w:val="003A1298"/>
    <w:rsid w:val="003A137D"/>
    <w:rsid w:val="003A1420"/>
    <w:rsid w:val="003A159D"/>
    <w:rsid w:val="003A1751"/>
    <w:rsid w:val="003A1B83"/>
    <w:rsid w:val="003A1C1F"/>
    <w:rsid w:val="003A1CC1"/>
    <w:rsid w:val="003A1D3A"/>
    <w:rsid w:val="003A2178"/>
    <w:rsid w:val="003A23A2"/>
    <w:rsid w:val="003A250F"/>
    <w:rsid w:val="003A2548"/>
    <w:rsid w:val="003A2A9F"/>
    <w:rsid w:val="003A2B96"/>
    <w:rsid w:val="003A2E0E"/>
    <w:rsid w:val="003A2F26"/>
    <w:rsid w:val="003A2FB1"/>
    <w:rsid w:val="003A3000"/>
    <w:rsid w:val="003A30CC"/>
    <w:rsid w:val="003A3168"/>
    <w:rsid w:val="003A34EF"/>
    <w:rsid w:val="003A35E0"/>
    <w:rsid w:val="003A376C"/>
    <w:rsid w:val="003A3886"/>
    <w:rsid w:val="003A38B6"/>
    <w:rsid w:val="003A3D0E"/>
    <w:rsid w:val="003A3E31"/>
    <w:rsid w:val="003A3E74"/>
    <w:rsid w:val="003A432C"/>
    <w:rsid w:val="003A45D4"/>
    <w:rsid w:val="003A460A"/>
    <w:rsid w:val="003A48B5"/>
    <w:rsid w:val="003A4DF7"/>
    <w:rsid w:val="003A4DFA"/>
    <w:rsid w:val="003A4F21"/>
    <w:rsid w:val="003A51A2"/>
    <w:rsid w:val="003A5259"/>
    <w:rsid w:val="003A56AA"/>
    <w:rsid w:val="003A587F"/>
    <w:rsid w:val="003A59AB"/>
    <w:rsid w:val="003A5CE7"/>
    <w:rsid w:val="003A5E57"/>
    <w:rsid w:val="003A5E99"/>
    <w:rsid w:val="003A5F5B"/>
    <w:rsid w:val="003A6005"/>
    <w:rsid w:val="003A60CE"/>
    <w:rsid w:val="003A60D0"/>
    <w:rsid w:val="003A61F0"/>
    <w:rsid w:val="003A6269"/>
    <w:rsid w:val="003A63A0"/>
    <w:rsid w:val="003A648D"/>
    <w:rsid w:val="003A64E7"/>
    <w:rsid w:val="003A6553"/>
    <w:rsid w:val="003A66C2"/>
    <w:rsid w:val="003A66D0"/>
    <w:rsid w:val="003A67AC"/>
    <w:rsid w:val="003A6896"/>
    <w:rsid w:val="003A689C"/>
    <w:rsid w:val="003A699B"/>
    <w:rsid w:val="003A6EC9"/>
    <w:rsid w:val="003A6FB3"/>
    <w:rsid w:val="003A6FF5"/>
    <w:rsid w:val="003A70E0"/>
    <w:rsid w:val="003A71EF"/>
    <w:rsid w:val="003A77E5"/>
    <w:rsid w:val="003A789A"/>
    <w:rsid w:val="003A7AD7"/>
    <w:rsid w:val="003A7AF1"/>
    <w:rsid w:val="003A7BA7"/>
    <w:rsid w:val="003A7D5B"/>
    <w:rsid w:val="003A7E57"/>
    <w:rsid w:val="003A7E6E"/>
    <w:rsid w:val="003A7FD7"/>
    <w:rsid w:val="003B096C"/>
    <w:rsid w:val="003B0BDB"/>
    <w:rsid w:val="003B0D63"/>
    <w:rsid w:val="003B0F70"/>
    <w:rsid w:val="003B10D8"/>
    <w:rsid w:val="003B11F5"/>
    <w:rsid w:val="003B12EC"/>
    <w:rsid w:val="003B131E"/>
    <w:rsid w:val="003B16CD"/>
    <w:rsid w:val="003B1733"/>
    <w:rsid w:val="003B1772"/>
    <w:rsid w:val="003B181A"/>
    <w:rsid w:val="003B1972"/>
    <w:rsid w:val="003B1F16"/>
    <w:rsid w:val="003B2026"/>
    <w:rsid w:val="003B2045"/>
    <w:rsid w:val="003B2182"/>
    <w:rsid w:val="003B24E5"/>
    <w:rsid w:val="003B260E"/>
    <w:rsid w:val="003B2675"/>
    <w:rsid w:val="003B275E"/>
    <w:rsid w:val="003B28B4"/>
    <w:rsid w:val="003B290E"/>
    <w:rsid w:val="003B3154"/>
    <w:rsid w:val="003B331F"/>
    <w:rsid w:val="003B37BD"/>
    <w:rsid w:val="003B3AD9"/>
    <w:rsid w:val="003B3F59"/>
    <w:rsid w:val="003B433B"/>
    <w:rsid w:val="003B4429"/>
    <w:rsid w:val="003B4466"/>
    <w:rsid w:val="003B452B"/>
    <w:rsid w:val="003B4755"/>
    <w:rsid w:val="003B47CE"/>
    <w:rsid w:val="003B4857"/>
    <w:rsid w:val="003B4FB9"/>
    <w:rsid w:val="003B50E1"/>
    <w:rsid w:val="003B5187"/>
    <w:rsid w:val="003B54A6"/>
    <w:rsid w:val="003B54C9"/>
    <w:rsid w:val="003B5664"/>
    <w:rsid w:val="003B5832"/>
    <w:rsid w:val="003B59C2"/>
    <w:rsid w:val="003B5B88"/>
    <w:rsid w:val="003B5BFC"/>
    <w:rsid w:val="003B5F03"/>
    <w:rsid w:val="003B6063"/>
    <w:rsid w:val="003B6140"/>
    <w:rsid w:val="003B62AD"/>
    <w:rsid w:val="003B63AD"/>
    <w:rsid w:val="003B63B8"/>
    <w:rsid w:val="003B6479"/>
    <w:rsid w:val="003B6841"/>
    <w:rsid w:val="003B6876"/>
    <w:rsid w:val="003B6F46"/>
    <w:rsid w:val="003B737D"/>
    <w:rsid w:val="003B73A1"/>
    <w:rsid w:val="003B74BF"/>
    <w:rsid w:val="003B75F5"/>
    <w:rsid w:val="003B7689"/>
    <w:rsid w:val="003B773A"/>
    <w:rsid w:val="003B7831"/>
    <w:rsid w:val="003B7945"/>
    <w:rsid w:val="003B7BBA"/>
    <w:rsid w:val="003B7D5F"/>
    <w:rsid w:val="003B7F06"/>
    <w:rsid w:val="003C017E"/>
    <w:rsid w:val="003C01E4"/>
    <w:rsid w:val="003C033A"/>
    <w:rsid w:val="003C03B8"/>
    <w:rsid w:val="003C0407"/>
    <w:rsid w:val="003C0624"/>
    <w:rsid w:val="003C0728"/>
    <w:rsid w:val="003C074F"/>
    <w:rsid w:val="003C0785"/>
    <w:rsid w:val="003C0860"/>
    <w:rsid w:val="003C0C90"/>
    <w:rsid w:val="003C0E3C"/>
    <w:rsid w:val="003C0E82"/>
    <w:rsid w:val="003C1068"/>
    <w:rsid w:val="003C120B"/>
    <w:rsid w:val="003C121A"/>
    <w:rsid w:val="003C1258"/>
    <w:rsid w:val="003C14AF"/>
    <w:rsid w:val="003C1685"/>
    <w:rsid w:val="003C194B"/>
    <w:rsid w:val="003C1B3E"/>
    <w:rsid w:val="003C1BC4"/>
    <w:rsid w:val="003C1D98"/>
    <w:rsid w:val="003C1E10"/>
    <w:rsid w:val="003C1EAF"/>
    <w:rsid w:val="003C1F39"/>
    <w:rsid w:val="003C1F9B"/>
    <w:rsid w:val="003C24F8"/>
    <w:rsid w:val="003C2842"/>
    <w:rsid w:val="003C29F5"/>
    <w:rsid w:val="003C2AAB"/>
    <w:rsid w:val="003C2C1C"/>
    <w:rsid w:val="003C2DA3"/>
    <w:rsid w:val="003C2DE6"/>
    <w:rsid w:val="003C2ECF"/>
    <w:rsid w:val="003C3157"/>
    <w:rsid w:val="003C32AD"/>
    <w:rsid w:val="003C3347"/>
    <w:rsid w:val="003C3365"/>
    <w:rsid w:val="003C3463"/>
    <w:rsid w:val="003C36B1"/>
    <w:rsid w:val="003C3755"/>
    <w:rsid w:val="003C377E"/>
    <w:rsid w:val="003C3E2D"/>
    <w:rsid w:val="003C3F7E"/>
    <w:rsid w:val="003C4049"/>
    <w:rsid w:val="003C42D6"/>
    <w:rsid w:val="003C4303"/>
    <w:rsid w:val="003C47E6"/>
    <w:rsid w:val="003C480B"/>
    <w:rsid w:val="003C49C5"/>
    <w:rsid w:val="003C4D1A"/>
    <w:rsid w:val="003C4D32"/>
    <w:rsid w:val="003C4FA2"/>
    <w:rsid w:val="003C50B6"/>
    <w:rsid w:val="003C5249"/>
    <w:rsid w:val="003C5446"/>
    <w:rsid w:val="003C55C4"/>
    <w:rsid w:val="003C55F2"/>
    <w:rsid w:val="003C5836"/>
    <w:rsid w:val="003C59E2"/>
    <w:rsid w:val="003C5A1E"/>
    <w:rsid w:val="003C5BF0"/>
    <w:rsid w:val="003C5D8B"/>
    <w:rsid w:val="003C5E69"/>
    <w:rsid w:val="003C5FA3"/>
    <w:rsid w:val="003C60E3"/>
    <w:rsid w:val="003C62FA"/>
    <w:rsid w:val="003C6536"/>
    <w:rsid w:val="003C65EE"/>
    <w:rsid w:val="003C6C7E"/>
    <w:rsid w:val="003C6F94"/>
    <w:rsid w:val="003C71D7"/>
    <w:rsid w:val="003C72D6"/>
    <w:rsid w:val="003C74AA"/>
    <w:rsid w:val="003C7649"/>
    <w:rsid w:val="003C769A"/>
    <w:rsid w:val="003C7709"/>
    <w:rsid w:val="003C776C"/>
    <w:rsid w:val="003C77E0"/>
    <w:rsid w:val="003C7C47"/>
    <w:rsid w:val="003C7CFA"/>
    <w:rsid w:val="003D0078"/>
    <w:rsid w:val="003D00CC"/>
    <w:rsid w:val="003D042E"/>
    <w:rsid w:val="003D0600"/>
    <w:rsid w:val="003D0B8F"/>
    <w:rsid w:val="003D0C4E"/>
    <w:rsid w:val="003D0C66"/>
    <w:rsid w:val="003D0F87"/>
    <w:rsid w:val="003D1082"/>
    <w:rsid w:val="003D14C8"/>
    <w:rsid w:val="003D1782"/>
    <w:rsid w:val="003D17D7"/>
    <w:rsid w:val="003D190E"/>
    <w:rsid w:val="003D1A67"/>
    <w:rsid w:val="003D1BD9"/>
    <w:rsid w:val="003D1FC6"/>
    <w:rsid w:val="003D209A"/>
    <w:rsid w:val="003D20F2"/>
    <w:rsid w:val="003D25F4"/>
    <w:rsid w:val="003D2678"/>
    <w:rsid w:val="003D267C"/>
    <w:rsid w:val="003D26CA"/>
    <w:rsid w:val="003D2750"/>
    <w:rsid w:val="003D2890"/>
    <w:rsid w:val="003D2CAD"/>
    <w:rsid w:val="003D2D35"/>
    <w:rsid w:val="003D2EC6"/>
    <w:rsid w:val="003D32C0"/>
    <w:rsid w:val="003D36E7"/>
    <w:rsid w:val="003D3823"/>
    <w:rsid w:val="003D3A2C"/>
    <w:rsid w:val="003D3B6A"/>
    <w:rsid w:val="003D3C04"/>
    <w:rsid w:val="003D3C39"/>
    <w:rsid w:val="003D3C8F"/>
    <w:rsid w:val="003D412C"/>
    <w:rsid w:val="003D4173"/>
    <w:rsid w:val="003D41C2"/>
    <w:rsid w:val="003D454A"/>
    <w:rsid w:val="003D477E"/>
    <w:rsid w:val="003D480D"/>
    <w:rsid w:val="003D494D"/>
    <w:rsid w:val="003D4DB2"/>
    <w:rsid w:val="003D50DA"/>
    <w:rsid w:val="003D533B"/>
    <w:rsid w:val="003D5423"/>
    <w:rsid w:val="003D5534"/>
    <w:rsid w:val="003D567E"/>
    <w:rsid w:val="003D57F0"/>
    <w:rsid w:val="003D5824"/>
    <w:rsid w:val="003D5B07"/>
    <w:rsid w:val="003D5E26"/>
    <w:rsid w:val="003D5E30"/>
    <w:rsid w:val="003D6089"/>
    <w:rsid w:val="003D6384"/>
    <w:rsid w:val="003D64F0"/>
    <w:rsid w:val="003D6C40"/>
    <w:rsid w:val="003D6E8F"/>
    <w:rsid w:val="003D6FDE"/>
    <w:rsid w:val="003D70CE"/>
    <w:rsid w:val="003D7130"/>
    <w:rsid w:val="003D71A3"/>
    <w:rsid w:val="003D736B"/>
    <w:rsid w:val="003D73A7"/>
    <w:rsid w:val="003D73B6"/>
    <w:rsid w:val="003D7430"/>
    <w:rsid w:val="003D7556"/>
    <w:rsid w:val="003D7601"/>
    <w:rsid w:val="003D76A9"/>
    <w:rsid w:val="003D7758"/>
    <w:rsid w:val="003D796D"/>
    <w:rsid w:val="003D7A13"/>
    <w:rsid w:val="003D7A6F"/>
    <w:rsid w:val="003D7B24"/>
    <w:rsid w:val="003D7C09"/>
    <w:rsid w:val="003D7ECA"/>
    <w:rsid w:val="003E0061"/>
    <w:rsid w:val="003E0309"/>
    <w:rsid w:val="003E0618"/>
    <w:rsid w:val="003E08F6"/>
    <w:rsid w:val="003E0B82"/>
    <w:rsid w:val="003E0CCB"/>
    <w:rsid w:val="003E0D93"/>
    <w:rsid w:val="003E101B"/>
    <w:rsid w:val="003E104B"/>
    <w:rsid w:val="003E1090"/>
    <w:rsid w:val="003E13EC"/>
    <w:rsid w:val="003E1AEA"/>
    <w:rsid w:val="003E1BCF"/>
    <w:rsid w:val="003E1C96"/>
    <w:rsid w:val="003E1D05"/>
    <w:rsid w:val="003E1F6C"/>
    <w:rsid w:val="003E28D3"/>
    <w:rsid w:val="003E2B8A"/>
    <w:rsid w:val="003E2C0F"/>
    <w:rsid w:val="003E2CC6"/>
    <w:rsid w:val="003E2F8B"/>
    <w:rsid w:val="003E3036"/>
    <w:rsid w:val="003E3051"/>
    <w:rsid w:val="003E30D1"/>
    <w:rsid w:val="003E3210"/>
    <w:rsid w:val="003E331F"/>
    <w:rsid w:val="003E33C1"/>
    <w:rsid w:val="003E3688"/>
    <w:rsid w:val="003E373A"/>
    <w:rsid w:val="003E389C"/>
    <w:rsid w:val="003E393E"/>
    <w:rsid w:val="003E3A63"/>
    <w:rsid w:val="003E3E7C"/>
    <w:rsid w:val="003E3FA3"/>
    <w:rsid w:val="003E4128"/>
    <w:rsid w:val="003E41B7"/>
    <w:rsid w:val="003E4491"/>
    <w:rsid w:val="003E454D"/>
    <w:rsid w:val="003E467E"/>
    <w:rsid w:val="003E4780"/>
    <w:rsid w:val="003E4861"/>
    <w:rsid w:val="003E4909"/>
    <w:rsid w:val="003E4AA0"/>
    <w:rsid w:val="003E4CFB"/>
    <w:rsid w:val="003E5327"/>
    <w:rsid w:val="003E5567"/>
    <w:rsid w:val="003E5627"/>
    <w:rsid w:val="003E5AF1"/>
    <w:rsid w:val="003E5EE5"/>
    <w:rsid w:val="003E5FE3"/>
    <w:rsid w:val="003E6002"/>
    <w:rsid w:val="003E6028"/>
    <w:rsid w:val="003E6052"/>
    <w:rsid w:val="003E6161"/>
    <w:rsid w:val="003E61A6"/>
    <w:rsid w:val="003E6276"/>
    <w:rsid w:val="003E64A5"/>
    <w:rsid w:val="003E6861"/>
    <w:rsid w:val="003E68B4"/>
    <w:rsid w:val="003E6A10"/>
    <w:rsid w:val="003E6A57"/>
    <w:rsid w:val="003E6E70"/>
    <w:rsid w:val="003E7282"/>
    <w:rsid w:val="003E73E1"/>
    <w:rsid w:val="003E7576"/>
    <w:rsid w:val="003E7578"/>
    <w:rsid w:val="003E75CC"/>
    <w:rsid w:val="003E78E0"/>
    <w:rsid w:val="003E7AE2"/>
    <w:rsid w:val="003E7DA2"/>
    <w:rsid w:val="003E7F6B"/>
    <w:rsid w:val="003F0279"/>
    <w:rsid w:val="003F04A6"/>
    <w:rsid w:val="003F050D"/>
    <w:rsid w:val="003F081B"/>
    <w:rsid w:val="003F0B00"/>
    <w:rsid w:val="003F0C94"/>
    <w:rsid w:val="003F0D62"/>
    <w:rsid w:val="003F0DC2"/>
    <w:rsid w:val="003F0E2F"/>
    <w:rsid w:val="003F0E36"/>
    <w:rsid w:val="003F0F01"/>
    <w:rsid w:val="003F0F18"/>
    <w:rsid w:val="003F0F23"/>
    <w:rsid w:val="003F0F85"/>
    <w:rsid w:val="003F0FB8"/>
    <w:rsid w:val="003F0FEA"/>
    <w:rsid w:val="003F10EE"/>
    <w:rsid w:val="003F121F"/>
    <w:rsid w:val="003F1430"/>
    <w:rsid w:val="003F14E3"/>
    <w:rsid w:val="003F15AC"/>
    <w:rsid w:val="003F15F1"/>
    <w:rsid w:val="003F15F2"/>
    <w:rsid w:val="003F16F6"/>
    <w:rsid w:val="003F170B"/>
    <w:rsid w:val="003F1715"/>
    <w:rsid w:val="003F19B3"/>
    <w:rsid w:val="003F1EF4"/>
    <w:rsid w:val="003F1F70"/>
    <w:rsid w:val="003F1FD1"/>
    <w:rsid w:val="003F209B"/>
    <w:rsid w:val="003F20F1"/>
    <w:rsid w:val="003F217F"/>
    <w:rsid w:val="003F21D8"/>
    <w:rsid w:val="003F22F2"/>
    <w:rsid w:val="003F2387"/>
    <w:rsid w:val="003F25EE"/>
    <w:rsid w:val="003F2603"/>
    <w:rsid w:val="003F2780"/>
    <w:rsid w:val="003F2854"/>
    <w:rsid w:val="003F28B9"/>
    <w:rsid w:val="003F2A64"/>
    <w:rsid w:val="003F2D28"/>
    <w:rsid w:val="003F3477"/>
    <w:rsid w:val="003F3544"/>
    <w:rsid w:val="003F35BB"/>
    <w:rsid w:val="003F3B96"/>
    <w:rsid w:val="003F3C31"/>
    <w:rsid w:val="003F3E94"/>
    <w:rsid w:val="003F3ECB"/>
    <w:rsid w:val="003F3F38"/>
    <w:rsid w:val="003F43E8"/>
    <w:rsid w:val="003F4916"/>
    <w:rsid w:val="003F4A1D"/>
    <w:rsid w:val="003F4B01"/>
    <w:rsid w:val="003F4CC2"/>
    <w:rsid w:val="003F4D4F"/>
    <w:rsid w:val="003F4DC7"/>
    <w:rsid w:val="003F4EE5"/>
    <w:rsid w:val="003F4F1A"/>
    <w:rsid w:val="003F4F7C"/>
    <w:rsid w:val="003F4F9A"/>
    <w:rsid w:val="003F5080"/>
    <w:rsid w:val="003F5235"/>
    <w:rsid w:val="003F56A7"/>
    <w:rsid w:val="003F5784"/>
    <w:rsid w:val="003F5857"/>
    <w:rsid w:val="003F5AA7"/>
    <w:rsid w:val="003F5B96"/>
    <w:rsid w:val="003F5C91"/>
    <w:rsid w:val="003F5E39"/>
    <w:rsid w:val="003F6068"/>
    <w:rsid w:val="003F6121"/>
    <w:rsid w:val="003F67CB"/>
    <w:rsid w:val="003F6B42"/>
    <w:rsid w:val="003F6B44"/>
    <w:rsid w:val="003F6C65"/>
    <w:rsid w:val="003F6DC0"/>
    <w:rsid w:val="003F6DFB"/>
    <w:rsid w:val="003F6EBB"/>
    <w:rsid w:val="003F75C0"/>
    <w:rsid w:val="003F764C"/>
    <w:rsid w:val="003F7707"/>
    <w:rsid w:val="003F7715"/>
    <w:rsid w:val="003F77A5"/>
    <w:rsid w:val="003F78CD"/>
    <w:rsid w:val="003F7A26"/>
    <w:rsid w:val="003F7BD1"/>
    <w:rsid w:val="003F7C60"/>
    <w:rsid w:val="003F7CB3"/>
    <w:rsid w:val="003F7CF2"/>
    <w:rsid w:val="003F7F92"/>
    <w:rsid w:val="004004D3"/>
    <w:rsid w:val="004007A2"/>
    <w:rsid w:val="00400AD1"/>
    <w:rsid w:val="00400D83"/>
    <w:rsid w:val="00400DDE"/>
    <w:rsid w:val="00401081"/>
    <w:rsid w:val="0040112F"/>
    <w:rsid w:val="00401142"/>
    <w:rsid w:val="0040115F"/>
    <w:rsid w:val="00401281"/>
    <w:rsid w:val="004014EC"/>
    <w:rsid w:val="00401980"/>
    <w:rsid w:val="004019F8"/>
    <w:rsid w:val="00401A51"/>
    <w:rsid w:val="00401C90"/>
    <w:rsid w:val="00401CE6"/>
    <w:rsid w:val="00401F11"/>
    <w:rsid w:val="004020EB"/>
    <w:rsid w:val="00402224"/>
    <w:rsid w:val="0040223D"/>
    <w:rsid w:val="004025D9"/>
    <w:rsid w:val="00402777"/>
    <w:rsid w:val="0040277A"/>
    <w:rsid w:val="004027E4"/>
    <w:rsid w:val="00402AD2"/>
    <w:rsid w:val="00402C6F"/>
    <w:rsid w:val="00402CDC"/>
    <w:rsid w:val="00402E64"/>
    <w:rsid w:val="0040333F"/>
    <w:rsid w:val="004033A4"/>
    <w:rsid w:val="00403485"/>
    <w:rsid w:val="0040354C"/>
    <w:rsid w:val="00403550"/>
    <w:rsid w:val="00403560"/>
    <w:rsid w:val="00403568"/>
    <w:rsid w:val="0040356D"/>
    <w:rsid w:val="0040359A"/>
    <w:rsid w:val="004035A8"/>
    <w:rsid w:val="00403686"/>
    <w:rsid w:val="00403744"/>
    <w:rsid w:val="00403799"/>
    <w:rsid w:val="004038DF"/>
    <w:rsid w:val="00403A34"/>
    <w:rsid w:val="00403B20"/>
    <w:rsid w:val="00403B36"/>
    <w:rsid w:val="00403BC0"/>
    <w:rsid w:val="00403D02"/>
    <w:rsid w:val="00403F11"/>
    <w:rsid w:val="00403FEF"/>
    <w:rsid w:val="00404032"/>
    <w:rsid w:val="00404400"/>
    <w:rsid w:val="0040450C"/>
    <w:rsid w:val="004045B7"/>
    <w:rsid w:val="004045BA"/>
    <w:rsid w:val="004047FA"/>
    <w:rsid w:val="0040482D"/>
    <w:rsid w:val="004048F7"/>
    <w:rsid w:val="00404CFF"/>
    <w:rsid w:val="00404D9B"/>
    <w:rsid w:val="00404DC2"/>
    <w:rsid w:val="00404E24"/>
    <w:rsid w:val="00404E32"/>
    <w:rsid w:val="00404E55"/>
    <w:rsid w:val="00404E81"/>
    <w:rsid w:val="0040500D"/>
    <w:rsid w:val="0040502E"/>
    <w:rsid w:val="004050A7"/>
    <w:rsid w:val="0040512E"/>
    <w:rsid w:val="0040544B"/>
    <w:rsid w:val="004054C2"/>
    <w:rsid w:val="00405669"/>
    <w:rsid w:val="00405CCD"/>
    <w:rsid w:val="00405D60"/>
    <w:rsid w:val="00405DF1"/>
    <w:rsid w:val="0040607A"/>
    <w:rsid w:val="004063E9"/>
    <w:rsid w:val="00406503"/>
    <w:rsid w:val="004066C4"/>
    <w:rsid w:val="00406822"/>
    <w:rsid w:val="00406882"/>
    <w:rsid w:val="00406BCD"/>
    <w:rsid w:val="00406C20"/>
    <w:rsid w:val="00406C6E"/>
    <w:rsid w:val="00406FA3"/>
    <w:rsid w:val="0040713D"/>
    <w:rsid w:val="00407228"/>
    <w:rsid w:val="00407235"/>
    <w:rsid w:val="00407345"/>
    <w:rsid w:val="0040746D"/>
    <w:rsid w:val="00407AB7"/>
    <w:rsid w:val="00407B6F"/>
    <w:rsid w:val="00407CD1"/>
    <w:rsid w:val="00410054"/>
    <w:rsid w:val="0041028A"/>
    <w:rsid w:val="004102FF"/>
    <w:rsid w:val="004104C8"/>
    <w:rsid w:val="004106B1"/>
    <w:rsid w:val="0041071D"/>
    <w:rsid w:val="00410748"/>
    <w:rsid w:val="00410939"/>
    <w:rsid w:val="00410BD8"/>
    <w:rsid w:val="00410C97"/>
    <w:rsid w:val="00410CC5"/>
    <w:rsid w:val="00411041"/>
    <w:rsid w:val="004110BA"/>
    <w:rsid w:val="0041126B"/>
    <w:rsid w:val="00411308"/>
    <w:rsid w:val="00411632"/>
    <w:rsid w:val="00411889"/>
    <w:rsid w:val="00411AB3"/>
    <w:rsid w:val="00411C36"/>
    <w:rsid w:val="00411CA1"/>
    <w:rsid w:val="00411D76"/>
    <w:rsid w:val="004122AB"/>
    <w:rsid w:val="0041249F"/>
    <w:rsid w:val="00412553"/>
    <w:rsid w:val="00412632"/>
    <w:rsid w:val="004127D5"/>
    <w:rsid w:val="00412B4A"/>
    <w:rsid w:val="00412B8E"/>
    <w:rsid w:val="00412D29"/>
    <w:rsid w:val="00412D3B"/>
    <w:rsid w:val="00412EDB"/>
    <w:rsid w:val="00412F44"/>
    <w:rsid w:val="00412F72"/>
    <w:rsid w:val="00413305"/>
    <w:rsid w:val="0041345B"/>
    <w:rsid w:val="004134CD"/>
    <w:rsid w:val="004135B1"/>
    <w:rsid w:val="004137B1"/>
    <w:rsid w:val="00413A38"/>
    <w:rsid w:val="00413AD0"/>
    <w:rsid w:val="00413B26"/>
    <w:rsid w:val="00413C4A"/>
    <w:rsid w:val="00413EFC"/>
    <w:rsid w:val="004142CF"/>
    <w:rsid w:val="004144B3"/>
    <w:rsid w:val="00414574"/>
    <w:rsid w:val="004145D9"/>
    <w:rsid w:val="004147A8"/>
    <w:rsid w:val="004147E1"/>
    <w:rsid w:val="004149D6"/>
    <w:rsid w:val="00414A69"/>
    <w:rsid w:val="00414AFC"/>
    <w:rsid w:val="00414C1B"/>
    <w:rsid w:val="00414E24"/>
    <w:rsid w:val="00414E97"/>
    <w:rsid w:val="00414F39"/>
    <w:rsid w:val="00415198"/>
    <w:rsid w:val="004151A7"/>
    <w:rsid w:val="00415310"/>
    <w:rsid w:val="0041534A"/>
    <w:rsid w:val="0041539F"/>
    <w:rsid w:val="0041562F"/>
    <w:rsid w:val="0041586B"/>
    <w:rsid w:val="004159D0"/>
    <w:rsid w:val="00415AC4"/>
    <w:rsid w:val="00415C45"/>
    <w:rsid w:val="004160DA"/>
    <w:rsid w:val="00416185"/>
    <w:rsid w:val="004162B1"/>
    <w:rsid w:val="004164D7"/>
    <w:rsid w:val="00416553"/>
    <w:rsid w:val="00416851"/>
    <w:rsid w:val="00416A83"/>
    <w:rsid w:val="00416AE1"/>
    <w:rsid w:val="00416B24"/>
    <w:rsid w:val="00416B2A"/>
    <w:rsid w:val="004171F7"/>
    <w:rsid w:val="00417369"/>
    <w:rsid w:val="004173EF"/>
    <w:rsid w:val="00417B40"/>
    <w:rsid w:val="00417BC7"/>
    <w:rsid w:val="00417C1C"/>
    <w:rsid w:val="00417C3A"/>
    <w:rsid w:val="00417D6E"/>
    <w:rsid w:val="00417E11"/>
    <w:rsid w:val="00417EF2"/>
    <w:rsid w:val="00417FDF"/>
    <w:rsid w:val="00420006"/>
    <w:rsid w:val="00420049"/>
    <w:rsid w:val="0042020E"/>
    <w:rsid w:val="0042030A"/>
    <w:rsid w:val="004204AE"/>
    <w:rsid w:val="00420532"/>
    <w:rsid w:val="004205F0"/>
    <w:rsid w:val="004206D6"/>
    <w:rsid w:val="004208A2"/>
    <w:rsid w:val="00420B18"/>
    <w:rsid w:val="00420E51"/>
    <w:rsid w:val="00421035"/>
    <w:rsid w:val="00421385"/>
    <w:rsid w:val="00421453"/>
    <w:rsid w:val="004214AF"/>
    <w:rsid w:val="004214D2"/>
    <w:rsid w:val="0042160A"/>
    <w:rsid w:val="00421709"/>
    <w:rsid w:val="00421733"/>
    <w:rsid w:val="004218ED"/>
    <w:rsid w:val="00421BF1"/>
    <w:rsid w:val="00421FC0"/>
    <w:rsid w:val="00421FFB"/>
    <w:rsid w:val="0042208D"/>
    <w:rsid w:val="00422178"/>
    <w:rsid w:val="0042243D"/>
    <w:rsid w:val="004224A9"/>
    <w:rsid w:val="004224AC"/>
    <w:rsid w:val="0042250E"/>
    <w:rsid w:val="00422565"/>
    <w:rsid w:val="00422913"/>
    <w:rsid w:val="004229CA"/>
    <w:rsid w:val="00422C6D"/>
    <w:rsid w:val="00422C82"/>
    <w:rsid w:val="00422CEA"/>
    <w:rsid w:val="00422DEB"/>
    <w:rsid w:val="00422E99"/>
    <w:rsid w:val="0042320F"/>
    <w:rsid w:val="004232A3"/>
    <w:rsid w:val="004236AE"/>
    <w:rsid w:val="00423763"/>
    <w:rsid w:val="0042381D"/>
    <w:rsid w:val="0042389F"/>
    <w:rsid w:val="00423AC8"/>
    <w:rsid w:val="00423AEB"/>
    <w:rsid w:val="00423C14"/>
    <w:rsid w:val="0042449E"/>
    <w:rsid w:val="00424857"/>
    <w:rsid w:val="004249E8"/>
    <w:rsid w:val="00424C41"/>
    <w:rsid w:val="00424D1F"/>
    <w:rsid w:val="00424EF5"/>
    <w:rsid w:val="00425057"/>
    <w:rsid w:val="00425142"/>
    <w:rsid w:val="00425159"/>
    <w:rsid w:val="0042543C"/>
    <w:rsid w:val="0042552C"/>
    <w:rsid w:val="004256E1"/>
    <w:rsid w:val="00425B0F"/>
    <w:rsid w:val="00425B59"/>
    <w:rsid w:val="00425C2C"/>
    <w:rsid w:val="00425C60"/>
    <w:rsid w:val="00425F12"/>
    <w:rsid w:val="004266E8"/>
    <w:rsid w:val="0042694D"/>
    <w:rsid w:val="00426BB2"/>
    <w:rsid w:val="00426BF2"/>
    <w:rsid w:val="00426BF4"/>
    <w:rsid w:val="00426C53"/>
    <w:rsid w:val="00426C77"/>
    <w:rsid w:val="00426D9E"/>
    <w:rsid w:val="00426E6E"/>
    <w:rsid w:val="00426E78"/>
    <w:rsid w:val="004270B0"/>
    <w:rsid w:val="004270DE"/>
    <w:rsid w:val="004272D5"/>
    <w:rsid w:val="0042762F"/>
    <w:rsid w:val="0042767C"/>
    <w:rsid w:val="00427844"/>
    <w:rsid w:val="00427A9D"/>
    <w:rsid w:val="00427DC7"/>
    <w:rsid w:val="00427E38"/>
    <w:rsid w:val="00427F1E"/>
    <w:rsid w:val="00430A2C"/>
    <w:rsid w:val="00430C90"/>
    <w:rsid w:val="00431170"/>
    <w:rsid w:val="0043120A"/>
    <w:rsid w:val="00431259"/>
    <w:rsid w:val="00431496"/>
    <w:rsid w:val="00431613"/>
    <w:rsid w:val="0043168C"/>
    <w:rsid w:val="004316A3"/>
    <w:rsid w:val="00431714"/>
    <w:rsid w:val="00431792"/>
    <w:rsid w:val="00431C08"/>
    <w:rsid w:val="00431CD0"/>
    <w:rsid w:val="00431CE6"/>
    <w:rsid w:val="00431EF0"/>
    <w:rsid w:val="00431F3D"/>
    <w:rsid w:val="00432050"/>
    <w:rsid w:val="00432399"/>
    <w:rsid w:val="0043244C"/>
    <w:rsid w:val="00432632"/>
    <w:rsid w:val="0043278F"/>
    <w:rsid w:val="0043288C"/>
    <w:rsid w:val="004328A7"/>
    <w:rsid w:val="0043296D"/>
    <w:rsid w:val="0043297A"/>
    <w:rsid w:val="00432EB2"/>
    <w:rsid w:val="00433033"/>
    <w:rsid w:val="00433064"/>
    <w:rsid w:val="00433236"/>
    <w:rsid w:val="0043330C"/>
    <w:rsid w:val="004333B8"/>
    <w:rsid w:val="00433A73"/>
    <w:rsid w:val="00433B31"/>
    <w:rsid w:val="00433E0B"/>
    <w:rsid w:val="00434049"/>
    <w:rsid w:val="00434318"/>
    <w:rsid w:val="0043461D"/>
    <w:rsid w:val="00434695"/>
    <w:rsid w:val="004348F6"/>
    <w:rsid w:val="00434C6F"/>
    <w:rsid w:val="00434D7C"/>
    <w:rsid w:val="00434EC5"/>
    <w:rsid w:val="00434F3F"/>
    <w:rsid w:val="0043506F"/>
    <w:rsid w:val="00435206"/>
    <w:rsid w:val="004354F6"/>
    <w:rsid w:val="004355E4"/>
    <w:rsid w:val="00435617"/>
    <w:rsid w:val="00435662"/>
    <w:rsid w:val="00435664"/>
    <w:rsid w:val="004356C7"/>
    <w:rsid w:val="004356EF"/>
    <w:rsid w:val="00435770"/>
    <w:rsid w:val="0043582C"/>
    <w:rsid w:val="00435BDE"/>
    <w:rsid w:val="00436206"/>
    <w:rsid w:val="00436419"/>
    <w:rsid w:val="00436799"/>
    <w:rsid w:val="00436D9A"/>
    <w:rsid w:val="00436E85"/>
    <w:rsid w:val="0043714F"/>
    <w:rsid w:val="004371FC"/>
    <w:rsid w:val="00437359"/>
    <w:rsid w:val="0043767C"/>
    <w:rsid w:val="0043789A"/>
    <w:rsid w:val="00437A95"/>
    <w:rsid w:val="00437C00"/>
    <w:rsid w:val="00437C3C"/>
    <w:rsid w:val="00437D16"/>
    <w:rsid w:val="00437FCE"/>
    <w:rsid w:val="0044022D"/>
    <w:rsid w:val="004406E7"/>
    <w:rsid w:val="004407D1"/>
    <w:rsid w:val="00440941"/>
    <w:rsid w:val="004409DE"/>
    <w:rsid w:val="00440EBB"/>
    <w:rsid w:val="00441055"/>
    <w:rsid w:val="0044108D"/>
    <w:rsid w:val="00441221"/>
    <w:rsid w:val="00441543"/>
    <w:rsid w:val="00441676"/>
    <w:rsid w:val="004416F4"/>
    <w:rsid w:val="004417B5"/>
    <w:rsid w:val="00441B6B"/>
    <w:rsid w:val="00441B6D"/>
    <w:rsid w:val="00441C91"/>
    <w:rsid w:val="00441D70"/>
    <w:rsid w:val="00441FF9"/>
    <w:rsid w:val="00442001"/>
    <w:rsid w:val="0044200B"/>
    <w:rsid w:val="00442886"/>
    <w:rsid w:val="004428B9"/>
    <w:rsid w:val="00442E64"/>
    <w:rsid w:val="00443108"/>
    <w:rsid w:val="00443215"/>
    <w:rsid w:val="004432FE"/>
    <w:rsid w:val="0044360E"/>
    <w:rsid w:val="0044379D"/>
    <w:rsid w:val="004438B5"/>
    <w:rsid w:val="004439C3"/>
    <w:rsid w:val="00443A41"/>
    <w:rsid w:val="00443A9C"/>
    <w:rsid w:val="00443BEE"/>
    <w:rsid w:val="00443C2F"/>
    <w:rsid w:val="00443DC1"/>
    <w:rsid w:val="00443F75"/>
    <w:rsid w:val="00444142"/>
    <w:rsid w:val="004442D0"/>
    <w:rsid w:val="00444413"/>
    <w:rsid w:val="004444D7"/>
    <w:rsid w:val="004445C4"/>
    <w:rsid w:val="004445D6"/>
    <w:rsid w:val="00444600"/>
    <w:rsid w:val="0044460B"/>
    <w:rsid w:val="0044461D"/>
    <w:rsid w:val="00444BD5"/>
    <w:rsid w:val="00444D18"/>
    <w:rsid w:val="00444DD7"/>
    <w:rsid w:val="004450DE"/>
    <w:rsid w:val="0044514F"/>
    <w:rsid w:val="004459EE"/>
    <w:rsid w:val="00445B1C"/>
    <w:rsid w:val="00445CE1"/>
    <w:rsid w:val="00445D7E"/>
    <w:rsid w:val="00445F28"/>
    <w:rsid w:val="00446036"/>
    <w:rsid w:val="004460BF"/>
    <w:rsid w:val="004460FA"/>
    <w:rsid w:val="0044638D"/>
    <w:rsid w:val="0044642F"/>
    <w:rsid w:val="00446712"/>
    <w:rsid w:val="00446743"/>
    <w:rsid w:val="00446C53"/>
    <w:rsid w:val="00446E7F"/>
    <w:rsid w:val="00446EAB"/>
    <w:rsid w:val="00447037"/>
    <w:rsid w:val="004473D9"/>
    <w:rsid w:val="00447645"/>
    <w:rsid w:val="00447678"/>
    <w:rsid w:val="0044771D"/>
    <w:rsid w:val="0044773B"/>
    <w:rsid w:val="00447875"/>
    <w:rsid w:val="00447BF8"/>
    <w:rsid w:val="00447C10"/>
    <w:rsid w:val="00450008"/>
    <w:rsid w:val="0045024E"/>
    <w:rsid w:val="00450331"/>
    <w:rsid w:val="004503F1"/>
    <w:rsid w:val="0045085C"/>
    <w:rsid w:val="004508CC"/>
    <w:rsid w:val="004509E1"/>
    <w:rsid w:val="00450A52"/>
    <w:rsid w:val="00450B27"/>
    <w:rsid w:val="00450C5C"/>
    <w:rsid w:val="00450F76"/>
    <w:rsid w:val="00450F8B"/>
    <w:rsid w:val="0045101C"/>
    <w:rsid w:val="004510DF"/>
    <w:rsid w:val="00451158"/>
    <w:rsid w:val="004511B7"/>
    <w:rsid w:val="0045124C"/>
    <w:rsid w:val="0045124D"/>
    <w:rsid w:val="004512A9"/>
    <w:rsid w:val="0045134D"/>
    <w:rsid w:val="00451394"/>
    <w:rsid w:val="004513CF"/>
    <w:rsid w:val="004513DC"/>
    <w:rsid w:val="004514F5"/>
    <w:rsid w:val="0045155A"/>
    <w:rsid w:val="00451648"/>
    <w:rsid w:val="00451817"/>
    <w:rsid w:val="00451987"/>
    <w:rsid w:val="00451B04"/>
    <w:rsid w:val="00451CB8"/>
    <w:rsid w:val="00451CF8"/>
    <w:rsid w:val="00451D20"/>
    <w:rsid w:val="00451F32"/>
    <w:rsid w:val="004520F9"/>
    <w:rsid w:val="004521A9"/>
    <w:rsid w:val="00452201"/>
    <w:rsid w:val="004523EA"/>
    <w:rsid w:val="004526F2"/>
    <w:rsid w:val="00452AAB"/>
    <w:rsid w:val="00452DB3"/>
    <w:rsid w:val="00452E89"/>
    <w:rsid w:val="00453125"/>
    <w:rsid w:val="00453134"/>
    <w:rsid w:val="0045339B"/>
    <w:rsid w:val="004533FF"/>
    <w:rsid w:val="00453A6D"/>
    <w:rsid w:val="00453F76"/>
    <w:rsid w:val="0045419E"/>
    <w:rsid w:val="00454223"/>
    <w:rsid w:val="0045427A"/>
    <w:rsid w:val="00454465"/>
    <w:rsid w:val="004544FF"/>
    <w:rsid w:val="00454596"/>
    <w:rsid w:val="00454625"/>
    <w:rsid w:val="00454652"/>
    <w:rsid w:val="004548DA"/>
    <w:rsid w:val="00454A7E"/>
    <w:rsid w:val="00454B1C"/>
    <w:rsid w:val="00454BC1"/>
    <w:rsid w:val="00454DF2"/>
    <w:rsid w:val="004550EE"/>
    <w:rsid w:val="00455110"/>
    <w:rsid w:val="004551C2"/>
    <w:rsid w:val="004551D8"/>
    <w:rsid w:val="0045592A"/>
    <w:rsid w:val="00455981"/>
    <w:rsid w:val="00455D2C"/>
    <w:rsid w:val="00455F7D"/>
    <w:rsid w:val="0045605D"/>
    <w:rsid w:val="004561FA"/>
    <w:rsid w:val="004562EE"/>
    <w:rsid w:val="004564FE"/>
    <w:rsid w:val="0045685C"/>
    <w:rsid w:val="00456A04"/>
    <w:rsid w:val="00456D5B"/>
    <w:rsid w:val="00456EC3"/>
    <w:rsid w:val="00456F55"/>
    <w:rsid w:val="00457055"/>
    <w:rsid w:val="004570E3"/>
    <w:rsid w:val="004570FF"/>
    <w:rsid w:val="00457342"/>
    <w:rsid w:val="004575C6"/>
    <w:rsid w:val="00457757"/>
    <w:rsid w:val="00457A67"/>
    <w:rsid w:val="00457C2B"/>
    <w:rsid w:val="00457CC9"/>
    <w:rsid w:val="00457CDF"/>
    <w:rsid w:val="00457D52"/>
    <w:rsid w:val="00457D9E"/>
    <w:rsid w:val="00457FD4"/>
    <w:rsid w:val="0046027E"/>
    <w:rsid w:val="004604BD"/>
    <w:rsid w:val="004604F5"/>
    <w:rsid w:val="00460552"/>
    <w:rsid w:val="004605A5"/>
    <w:rsid w:val="0046060E"/>
    <w:rsid w:val="004607DF"/>
    <w:rsid w:val="00460897"/>
    <w:rsid w:val="00460945"/>
    <w:rsid w:val="00460A7B"/>
    <w:rsid w:val="00460AFD"/>
    <w:rsid w:val="00460D8C"/>
    <w:rsid w:val="004610F9"/>
    <w:rsid w:val="0046119C"/>
    <w:rsid w:val="004611C7"/>
    <w:rsid w:val="00461213"/>
    <w:rsid w:val="004612AA"/>
    <w:rsid w:val="0046135B"/>
    <w:rsid w:val="004613F1"/>
    <w:rsid w:val="00461468"/>
    <w:rsid w:val="004614E6"/>
    <w:rsid w:val="0046175F"/>
    <w:rsid w:val="00461846"/>
    <w:rsid w:val="004618B7"/>
    <w:rsid w:val="00461960"/>
    <w:rsid w:val="004619F3"/>
    <w:rsid w:val="00461BD3"/>
    <w:rsid w:val="00461D47"/>
    <w:rsid w:val="00462001"/>
    <w:rsid w:val="00462096"/>
    <w:rsid w:val="004621D8"/>
    <w:rsid w:val="00462472"/>
    <w:rsid w:val="00462610"/>
    <w:rsid w:val="004628AA"/>
    <w:rsid w:val="00462FBC"/>
    <w:rsid w:val="004631A3"/>
    <w:rsid w:val="00463606"/>
    <w:rsid w:val="00463A70"/>
    <w:rsid w:val="00463E59"/>
    <w:rsid w:val="004640DE"/>
    <w:rsid w:val="00464305"/>
    <w:rsid w:val="0046437B"/>
    <w:rsid w:val="004644E8"/>
    <w:rsid w:val="004645B8"/>
    <w:rsid w:val="004648F7"/>
    <w:rsid w:val="00464957"/>
    <w:rsid w:val="0046499B"/>
    <w:rsid w:val="00464C3E"/>
    <w:rsid w:val="00464E35"/>
    <w:rsid w:val="0046504D"/>
    <w:rsid w:val="004650D1"/>
    <w:rsid w:val="00465115"/>
    <w:rsid w:val="00465170"/>
    <w:rsid w:val="004654C5"/>
    <w:rsid w:val="004655E5"/>
    <w:rsid w:val="00465854"/>
    <w:rsid w:val="004659CD"/>
    <w:rsid w:val="00465D07"/>
    <w:rsid w:val="00465F58"/>
    <w:rsid w:val="00466372"/>
    <w:rsid w:val="00466450"/>
    <w:rsid w:val="004664AA"/>
    <w:rsid w:val="004664D5"/>
    <w:rsid w:val="00466864"/>
    <w:rsid w:val="004668EE"/>
    <w:rsid w:val="00466909"/>
    <w:rsid w:val="00466A79"/>
    <w:rsid w:val="004672CA"/>
    <w:rsid w:val="0046799F"/>
    <w:rsid w:val="00467B4A"/>
    <w:rsid w:val="00470121"/>
    <w:rsid w:val="00470203"/>
    <w:rsid w:val="00470D05"/>
    <w:rsid w:val="00470D82"/>
    <w:rsid w:val="004711C0"/>
    <w:rsid w:val="004716C4"/>
    <w:rsid w:val="004718CC"/>
    <w:rsid w:val="0047190F"/>
    <w:rsid w:val="00471BD1"/>
    <w:rsid w:val="00471C51"/>
    <w:rsid w:val="00472098"/>
    <w:rsid w:val="004721C5"/>
    <w:rsid w:val="004723CA"/>
    <w:rsid w:val="004725AD"/>
    <w:rsid w:val="00472978"/>
    <w:rsid w:val="00472B73"/>
    <w:rsid w:val="00472C5C"/>
    <w:rsid w:val="004730EF"/>
    <w:rsid w:val="00473291"/>
    <w:rsid w:val="0047337C"/>
    <w:rsid w:val="00473456"/>
    <w:rsid w:val="00473551"/>
    <w:rsid w:val="00473649"/>
    <w:rsid w:val="00473697"/>
    <w:rsid w:val="00473768"/>
    <w:rsid w:val="00473863"/>
    <w:rsid w:val="004738E3"/>
    <w:rsid w:val="004738F1"/>
    <w:rsid w:val="00473BC5"/>
    <w:rsid w:val="00473BF5"/>
    <w:rsid w:val="00473D3C"/>
    <w:rsid w:val="00473E8E"/>
    <w:rsid w:val="00473F45"/>
    <w:rsid w:val="004745E5"/>
    <w:rsid w:val="0047490D"/>
    <w:rsid w:val="00474A49"/>
    <w:rsid w:val="00474AE5"/>
    <w:rsid w:val="00475043"/>
    <w:rsid w:val="00475076"/>
    <w:rsid w:val="0047529C"/>
    <w:rsid w:val="004753EB"/>
    <w:rsid w:val="004758FB"/>
    <w:rsid w:val="00475990"/>
    <w:rsid w:val="00475A71"/>
    <w:rsid w:val="00475B36"/>
    <w:rsid w:val="00475B41"/>
    <w:rsid w:val="00475E5E"/>
    <w:rsid w:val="00475F5F"/>
    <w:rsid w:val="00475FCF"/>
    <w:rsid w:val="004761AF"/>
    <w:rsid w:val="004768F0"/>
    <w:rsid w:val="00476B6C"/>
    <w:rsid w:val="00476EB9"/>
    <w:rsid w:val="004770B8"/>
    <w:rsid w:val="00477104"/>
    <w:rsid w:val="00477226"/>
    <w:rsid w:val="004773BD"/>
    <w:rsid w:val="0047792A"/>
    <w:rsid w:val="0047794D"/>
    <w:rsid w:val="00477ABD"/>
    <w:rsid w:val="00477AF5"/>
    <w:rsid w:val="00480114"/>
    <w:rsid w:val="00480203"/>
    <w:rsid w:val="004804E6"/>
    <w:rsid w:val="004805D6"/>
    <w:rsid w:val="00480935"/>
    <w:rsid w:val="0048096B"/>
    <w:rsid w:val="00480990"/>
    <w:rsid w:val="00480A7A"/>
    <w:rsid w:val="00480A9F"/>
    <w:rsid w:val="00480DCA"/>
    <w:rsid w:val="00480F66"/>
    <w:rsid w:val="004810B1"/>
    <w:rsid w:val="00481346"/>
    <w:rsid w:val="00481695"/>
    <w:rsid w:val="00481724"/>
    <w:rsid w:val="0048174C"/>
    <w:rsid w:val="004817DD"/>
    <w:rsid w:val="00481902"/>
    <w:rsid w:val="00481C13"/>
    <w:rsid w:val="00481F94"/>
    <w:rsid w:val="00481FD9"/>
    <w:rsid w:val="00482564"/>
    <w:rsid w:val="00482622"/>
    <w:rsid w:val="00482625"/>
    <w:rsid w:val="00482670"/>
    <w:rsid w:val="0048279D"/>
    <w:rsid w:val="00482BE2"/>
    <w:rsid w:val="00482DA9"/>
    <w:rsid w:val="00482DE9"/>
    <w:rsid w:val="00482EC8"/>
    <w:rsid w:val="00482FF8"/>
    <w:rsid w:val="0048330A"/>
    <w:rsid w:val="0048336D"/>
    <w:rsid w:val="0048344F"/>
    <w:rsid w:val="00483618"/>
    <w:rsid w:val="004836DE"/>
    <w:rsid w:val="004838D5"/>
    <w:rsid w:val="0048398D"/>
    <w:rsid w:val="004839B4"/>
    <w:rsid w:val="004839FA"/>
    <w:rsid w:val="00483A30"/>
    <w:rsid w:val="00483AA0"/>
    <w:rsid w:val="00483AB5"/>
    <w:rsid w:val="00483B82"/>
    <w:rsid w:val="00483CBC"/>
    <w:rsid w:val="00483D9A"/>
    <w:rsid w:val="00483EFC"/>
    <w:rsid w:val="00483F68"/>
    <w:rsid w:val="00483FAA"/>
    <w:rsid w:val="004842A3"/>
    <w:rsid w:val="004844BD"/>
    <w:rsid w:val="00484547"/>
    <w:rsid w:val="0048466F"/>
    <w:rsid w:val="00484691"/>
    <w:rsid w:val="004847B9"/>
    <w:rsid w:val="00484AA8"/>
    <w:rsid w:val="00484D86"/>
    <w:rsid w:val="00484EAC"/>
    <w:rsid w:val="00484F17"/>
    <w:rsid w:val="00484FA7"/>
    <w:rsid w:val="00485164"/>
    <w:rsid w:val="00485298"/>
    <w:rsid w:val="00485527"/>
    <w:rsid w:val="00485761"/>
    <w:rsid w:val="0048581C"/>
    <w:rsid w:val="004858CE"/>
    <w:rsid w:val="00485F64"/>
    <w:rsid w:val="004861AD"/>
    <w:rsid w:val="0048623A"/>
    <w:rsid w:val="0048635D"/>
    <w:rsid w:val="00486368"/>
    <w:rsid w:val="00486442"/>
    <w:rsid w:val="004866B1"/>
    <w:rsid w:val="0048679A"/>
    <w:rsid w:val="004867B9"/>
    <w:rsid w:val="004867CB"/>
    <w:rsid w:val="0048685A"/>
    <w:rsid w:val="0048698A"/>
    <w:rsid w:val="00486A70"/>
    <w:rsid w:val="00486ACC"/>
    <w:rsid w:val="00486C7D"/>
    <w:rsid w:val="00486D7C"/>
    <w:rsid w:val="00486DDE"/>
    <w:rsid w:val="00486E15"/>
    <w:rsid w:val="00486E89"/>
    <w:rsid w:val="00486EBF"/>
    <w:rsid w:val="004871D7"/>
    <w:rsid w:val="00487383"/>
    <w:rsid w:val="00487562"/>
    <w:rsid w:val="0048766A"/>
    <w:rsid w:val="004877B5"/>
    <w:rsid w:val="00487ADF"/>
    <w:rsid w:val="00487D61"/>
    <w:rsid w:val="00487F6D"/>
    <w:rsid w:val="0049011D"/>
    <w:rsid w:val="00490176"/>
    <w:rsid w:val="00490331"/>
    <w:rsid w:val="0049055A"/>
    <w:rsid w:val="004905CC"/>
    <w:rsid w:val="00490624"/>
    <w:rsid w:val="00490784"/>
    <w:rsid w:val="00490D0D"/>
    <w:rsid w:val="00490D88"/>
    <w:rsid w:val="00491293"/>
    <w:rsid w:val="00491343"/>
    <w:rsid w:val="0049136F"/>
    <w:rsid w:val="004917F7"/>
    <w:rsid w:val="0049193C"/>
    <w:rsid w:val="00491940"/>
    <w:rsid w:val="00491DE7"/>
    <w:rsid w:val="00491E84"/>
    <w:rsid w:val="00491EC6"/>
    <w:rsid w:val="00491FFF"/>
    <w:rsid w:val="0049244F"/>
    <w:rsid w:val="0049254E"/>
    <w:rsid w:val="0049258B"/>
    <w:rsid w:val="00492683"/>
    <w:rsid w:val="0049280E"/>
    <w:rsid w:val="00492A8F"/>
    <w:rsid w:val="00492AEE"/>
    <w:rsid w:val="00492BDA"/>
    <w:rsid w:val="00492BE5"/>
    <w:rsid w:val="00493053"/>
    <w:rsid w:val="00493632"/>
    <w:rsid w:val="004936C3"/>
    <w:rsid w:val="004937C3"/>
    <w:rsid w:val="00493951"/>
    <w:rsid w:val="00493A4F"/>
    <w:rsid w:val="00493BBE"/>
    <w:rsid w:val="00493EC7"/>
    <w:rsid w:val="00494119"/>
    <w:rsid w:val="004942D7"/>
    <w:rsid w:val="00494578"/>
    <w:rsid w:val="004945F6"/>
    <w:rsid w:val="00494635"/>
    <w:rsid w:val="00494F5B"/>
    <w:rsid w:val="00495246"/>
    <w:rsid w:val="004954BE"/>
    <w:rsid w:val="004954F2"/>
    <w:rsid w:val="0049569C"/>
    <w:rsid w:val="00495722"/>
    <w:rsid w:val="004957E1"/>
    <w:rsid w:val="00495A96"/>
    <w:rsid w:val="00495BB3"/>
    <w:rsid w:val="00495C68"/>
    <w:rsid w:val="00495CBB"/>
    <w:rsid w:val="00495DB5"/>
    <w:rsid w:val="00495E44"/>
    <w:rsid w:val="00496027"/>
    <w:rsid w:val="00496139"/>
    <w:rsid w:val="00496257"/>
    <w:rsid w:val="00496B3C"/>
    <w:rsid w:val="00496B53"/>
    <w:rsid w:val="00496B55"/>
    <w:rsid w:val="00496C3C"/>
    <w:rsid w:val="00496D25"/>
    <w:rsid w:val="00496E13"/>
    <w:rsid w:val="00496E83"/>
    <w:rsid w:val="00496E86"/>
    <w:rsid w:val="00496EC8"/>
    <w:rsid w:val="004975E3"/>
    <w:rsid w:val="004977ED"/>
    <w:rsid w:val="00497E1D"/>
    <w:rsid w:val="00497E24"/>
    <w:rsid w:val="00497E73"/>
    <w:rsid w:val="00497F4A"/>
    <w:rsid w:val="004A01B9"/>
    <w:rsid w:val="004A0391"/>
    <w:rsid w:val="004A051A"/>
    <w:rsid w:val="004A0777"/>
    <w:rsid w:val="004A0978"/>
    <w:rsid w:val="004A0BF8"/>
    <w:rsid w:val="004A0CB0"/>
    <w:rsid w:val="004A11A2"/>
    <w:rsid w:val="004A129B"/>
    <w:rsid w:val="004A1706"/>
    <w:rsid w:val="004A1E8E"/>
    <w:rsid w:val="004A1ECB"/>
    <w:rsid w:val="004A1FD4"/>
    <w:rsid w:val="004A2093"/>
    <w:rsid w:val="004A2108"/>
    <w:rsid w:val="004A214B"/>
    <w:rsid w:val="004A225E"/>
    <w:rsid w:val="004A2457"/>
    <w:rsid w:val="004A25F7"/>
    <w:rsid w:val="004A2C6C"/>
    <w:rsid w:val="004A2C7D"/>
    <w:rsid w:val="004A2CCD"/>
    <w:rsid w:val="004A2DB0"/>
    <w:rsid w:val="004A2DF1"/>
    <w:rsid w:val="004A2E36"/>
    <w:rsid w:val="004A2F00"/>
    <w:rsid w:val="004A3184"/>
    <w:rsid w:val="004A3378"/>
    <w:rsid w:val="004A34C3"/>
    <w:rsid w:val="004A3672"/>
    <w:rsid w:val="004A3E76"/>
    <w:rsid w:val="004A42C4"/>
    <w:rsid w:val="004A4497"/>
    <w:rsid w:val="004A4615"/>
    <w:rsid w:val="004A49F0"/>
    <w:rsid w:val="004A4FF8"/>
    <w:rsid w:val="004A5310"/>
    <w:rsid w:val="004A5359"/>
    <w:rsid w:val="004A56BB"/>
    <w:rsid w:val="004A56FC"/>
    <w:rsid w:val="004A57B7"/>
    <w:rsid w:val="004A58AE"/>
    <w:rsid w:val="004A59E9"/>
    <w:rsid w:val="004A5ABE"/>
    <w:rsid w:val="004A5B1D"/>
    <w:rsid w:val="004A5B3A"/>
    <w:rsid w:val="004A5F36"/>
    <w:rsid w:val="004A6033"/>
    <w:rsid w:val="004A61D1"/>
    <w:rsid w:val="004A62F1"/>
    <w:rsid w:val="004A64D8"/>
    <w:rsid w:val="004A6712"/>
    <w:rsid w:val="004A69A1"/>
    <w:rsid w:val="004A6A3D"/>
    <w:rsid w:val="004A6AF7"/>
    <w:rsid w:val="004A6D62"/>
    <w:rsid w:val="004A6DBE"/>
    <w:rsid w:val="004A6DCC"/>
    <w:rsid w:val="004A6F6D"/>
    <w:rsid w:val="004A70D6"/>
    <w:rsid w:val="004A7297"/>
    <w:rsid w:val="004A7A05"/>
    <w:rsid w:val="004A7BE9"/>
    <w:rsid w:val="004A7C05"/>
    <w:rsid w:val="004A7D9C"/>
    <w:rsid w:val="004A7DD3"/>
    <w:rsid w:val="004A7F18"/>
    <w:rsid w:val="004B0147"/>
    <w:rsid w:val="004B024F"/>
    <w:rsid w:val="004B0402"/>
    <w:rsid w:val="004B0798"/>
    <w:rsid w:val="004B0926"/>
    <w:rsid w:val="004B09AD"/>
    <w:rsid w:val="004B0B5F"/>
    <w:rsid w:val="004B0BC9"/>
    <w:rsid w:val="004B0C95"/>
    <w:rsid w:val="004B0D0E"/>
    <w:rsid w:val="004B0D5E"/>
    <w:rsid w:val="004B12ED"/>
    <w:rsid w:val="004B13B5"/>
    <w:rsid w:val="004B13B7"/>
    <w:rsid w:val="004B1524"/>
    <w:rsid w:val="004B1751"/>
    <w:rsid w:val="004B1792"/>
    <w:rsid w:val="004B1A1B"/>
    <w:rsid w:val="004B1A7C"/>
    <w:rsid w:val="004B1CE7"/>
    <w:rsid w:val="004B200C"/>
    <w:rsid w:val="004B2065"/>
    <w:rsid w:val="004B20DD"/>
    <w:rsid w:val="004B22BE"/>
    <w:rsid w:val="004B25A9"/>
    <w:rsid w:val="004B27E4"/>
    <w:rsid w:val="004B282A"/>
    <w:rsid w:val="004B2B14"/>
    <w:rsid w:val="004B2C80"/>
    <w:rsid w:val="004B2C9D"/>
    <w:rsid w:val="004B2E76"/>
    <w:rsid w:val="004B2F4A"/>
    <w:rsid w:val="004B318A"/>
    <w:rsid w:val="004B3196"/>
    <w:rsid w:val="004B3292"/>
    <w:rsid w:val="004B32FC"/>
    <w:rsid w:val="004B34EB"/>
    <w:rsid w:val="004B37EC"/>
    <w:rsid w:val="004B3C2A"/>
    <w:rsid w:val="004B4517"/>
    <w:rsid w:val="004B47A7"/>
    <w:rsid w:val="004B47BB"/>
    <w:rsid w:val="004B48A7"/>
    <w:rsid w:val="004B4ACF"/>
    <w:rsid w:val="004B4D15"/>
    <w:rsid w:val="004B4D5A"/>
    <w:rsid w:val="004B5129"/>
    <w:rsid w:val="004B52C5"/>
    <w:rsid w:val="004B55BD"/>
    <w:rsid w:val="004B55CB"/>
    <w:rsid w:val="004B5845"/>
    <w:rsid w:val="004B5A81"/>
    <w:rsid w:val="004B5C7D"/>
    <w:rsid w:val="004B5CC0"/>
    <w:rsid w:val="004B5EDA"/>
    <w:rsid w:val="004B5F7B"/>
    <w:rsid w:val="004B614B"/>
    <w:rsid w:val="004B61D0"/>
    <w:rsid w:val="004B669B"/>
    <w:rsid w:val="004B6990"/>
    <w:rsid w:val="004B6B93"/>
    <w:rsid w:val="004B6F9A"/>
    <w:rsid w:val="004B7186"/>
    <w:rsid w:val="004B7309"/>
    <w:rsid w:val="004B74D0"/>
    <w:rsid w:val="004B7869"/>
    <w:rsid w:val="004B7BEA"/>
    <w:rsid w:val="004B7CC1"/>
    <w:rsid w:val="004B7CD9"/>
    <w:rsid w:val="004B7DED"/>
    <w:rsid w:val="004C0253"/>
    <w:rsid w:val="004C03CC"/>
    <w:rsid w:val="004C0522"/>
    <w:rsid w:val="004C0698"/>
    <w:rsid w:val="004C0751"/>
    <w:rsid w:val="004C0A01"/>
    <w:rsid w:val="004C0B59"/>
    <w:rsid w:val="004C0D98"/>
    <w:rsid w:val="004C1099"/>
    <w:rsid w:val="004C12B9"/>
    <w:rsid w:val="004C189E"/>
    <w:rsid w:val="004C191F"/>
    <w:rsid w:val="004C1B7A"/>
    <w:rsid w:val="004C1BC7"/>
    <w:rsid w:val="004C1E1C"/>
    <w:rsid w:val="004C1E28"/>
    <w:rsid w:val="004C1ED2"/>
    <w:rsid w:val="004C23B6"/>
    <w:rsid w:val="004C2429"/>
    <w:rsid w:val="004C24FE"/>
    <w:rsid w:val="004C28DA"/>
    <w:rsid w:val="004C29FD"/>
    <w:rsid w:val="004C2BC0"/>
    <w:rsid w:val="004C2D3B"/>
    <w:rsid w:val="004C2F9D"/>
    <w:rsid w:val="004C2FA2"/>
    <w:rsid w:val="004C3259"/>
    <w:rsid w:val="004C33C8"/>
    <w:rsid w:val="004C36AF"/>
    <w:rsid w:val="004C3AEB"/>
    <w:rsid w:val="004C3B26"/>
    <w:rsid w:val="004C3B3B"/>
    <w:rsid w:val="004C3C79"/>
    <w:rsid w:val="004C3CAE"/>
    <w:rsid w:val="004C3CF7"/>
    <w:rsid w:val="004C3E55"/>
    <w:rsid w:val="004C3F0D"/>
    <w:rsid w:val="004C3F1C"/>
    <w:rsid w:val="004C414E"/>
    <w:rsid w:val="004C477B"/>
    <w:rsid w:val="004C47E5"/>
    <w:rsid w:val="004C4916"/>
    <w:rsid w:val="004C4952"/>
    <w:rsid w:val="004C4966"/>
    <w:rsid w:val="004C4A09"/>
    <w:rsid w:val="004C4A1E"/>
    <w:rsid w:val="004C4A5B"/>
    <w:rsid w:val="004C4A96"/>
    <w:rsid w:val="004C4B32"/>
    <w:rsid w:val="004C4BD1"/>
    <w:rsid w:val="004C4BD5"/>
    <w:rsid w:val="004C4C2D"/>
    <w:rsid w:val="004C4DFB"/>
    <w:rsid w:val="004C4F64"/>
    <w:rsid w:val="004C5078"/>
    <w:rsid w:val="004C5105"/>
    <w:rsid w:val="004C5111"/>
    <w:rsid w:val="004C5458"/>
    <w:rsid w:val="004C54C5"/>
    <w:rsid w:val="004C54DB"/>
    <w:rsid w:val="004C55CF"/>
    <w:rsid w:val="004C57E6"/>
    <w:rsid w:val="004C58A8"/>
    <w:rsid w:val="004C58EF"/>
    <w:rsid w:val="004C5D93"/>
    <w:rsid w:val="004C5E68"/>
    <w:rsid w:val="004C60EC"/>
    <w:rsid w:val="004C60EF"/>
    <w:rsid w:val="004C61E7"/>
    <w:rsid w:val="004C6216"/>
    <w:rsid w:val="004C62B7"/>
    <w:rsid w:val="004C63A5"/>
    <w:rsid w:val="004C6473"/>
    <w:rsid w:val="004C64C3"/>
    <w:rsid w:val="004C6723"/>
    <w:rsid w:val="004C6831"/>
    <w:rsid w:val="004C6B70"/>
    <w:rsid w:val="004C6C06"/>
    <w:rsid w:val="004C6C76"/>
    <w:rsid w:val="004C6DDB"/>
    <w:rsid w:val="004C7092"/>
    <w:rsid w:val="004C77E1"/>
    <w:rsid w:val="004C7AC7"/>
    <w:rsid w:val="004C7C48"/>
    <w:rsid w:val="004C7DA1"/>
    <w:rsid w:val="004D011B"/>
    <w:rsid w:val="004D016B"/>
    <w:rsid w:val="004D01B3"/>
    <w:rsid w:val="004D0372"/>
    <w:rsid w:val="004D05D3"/>
    <w:rsid w:val="004D08E1"/>
    <w:rsid w:val="004D09C6"/>
    <w:rsid w:val="004D0A91"/>
    <w:rsid w:val="004D0DAB"/>
    <w:rsid w:val="004D1652"/>
    <w:rsid w:val="004D167F"/>
    <w:rsid w:val="004D1E94"/>
    <w:rsid w:val="004D20C2"/>
    <w:rsid w:val="004D215C"/>
    <w:rsid w:val="004D216D"/>
    <w:rsid w:val="004D219F"/>
    <w:rsid w:val="004D26B9"/>
    <w:rsid w:val="004D284B"/>
    <w:rsid w:val="004D2899"/>
    <w:rsid w:val="004D28D5"/>
    <w:rsid w:val="004D290E"/>
    <w:rsid w:val="004D2C74"/>
    <w:rsid w:val="004D304A"/>
    <w:rsid w:val="004D3E56"/>
    <w:rsid w:val="004D3F1B"/>
    <w:rsid w:val="004D411B"/>
    <w:rsid w:val="004D423A"/>
    <w:rsid w:val="004D44D2"/>
    <w:rsid w:val="004D456C"/>
    <w:rsid w:val="004D4821"/>
    <w:rsid w:val="004D4B0E"/>
    <w:rsid w:val="004D4D05"/>
    <w:rsid w:val="004D5103"/>
    <w:rsid w:val="004D514F"/>
    <w:rsid w:val="004D518B"/>
    <w:rsid w:val="004D525B"/>
    <w:rsid w:val="004D532F"/>
    <w:rsid w:val="004D5437"/>
    <w:rsid w:val="004D5629"/>
    <w:rsid w:val="004D56FF"/>
    <w:rsid w:val="004D5A1C"/>
    <w:rsid w:val="004D5A96"/>
    <w:rsid w:val="004D5B6F"/>
    <w:rsid w:val="004D5C1B"/>
    <w:rsid w:val="004D5CBD"/>
    <w:rsid w:val="004D6117"/>
    <w:rsid w:val="004D62D0"/>
    <w:rsid w:val="004D6468"/>
    <w:rsid w:val="004D6985"/>
    <w:rsid w:val="004D69C9"/>
    <w:rsid w:val="004D6C7C"/>
    <w:rsid w:val="004D6EB5"/>
    <w:rsid w:val="004D6F3D"/>
    <w:rsid w:val="004D6F45"/>
    <w:rsid w:val="004D6F64"/>
    <w:rsid w:val="004D71E1"/>
    <w:rsid w:val="004D7375"/>
    <w:rsid w:val="004D754F"/>
    <w:rsid w:val="004D7897"/>
    <w:rsid w:val="004D7B5A"/>
    <w:rsid w:val="004D7D96"/>
    <w:rsid w:val="004D7FA0"/>
    <w:rsid w:val="004E002B"/>
    <w:rsid w:val="004E0206"/>
    <w:rsid w:val="004E03C4"/>
    <w:rsid w:val="004E065D"/>
    <w:rsid w:val="004E09D7"/>
    <w:rsid w:val="004E0A4E"/>
    <w:rsid w:val="004E0E56"/>
    <w:rsid w:val="004E0E74"/>
    <w:rsid w:val="004E0F59"/>
    <w:rsid w:val="004E0F83"/>
    <w:rsid w:val="004E11FE"/>
    <w:rsid w:val="004E121C"/>
    <w:rsid w:val="004E128E"/>
    <w:rsid w:val="004E145F"/>
    <w:rsid w:val="004E151E"/>
    <w:rsid w:val="004E16F7"/>
    <w:rsid w:val="004E1738"/>
    <w:rsid w:val="004E1A75"/>
    <w:rsid w:val="004E1C6F"/>
    <w:rsid w:val="004E23E2"/>
    <w:rsid w:val="004E27CE"/>
    <w:rsid w:val="004E299D"/>
    <w:rsid w:val="004E29E3"/>
    <w:rsid w:val="004E2ADE"/>
    <w:rsid w:val="004E2D41"/>
    <w:rsid w:val="004E2E45"/>
    <w:rsid w:val="004E3662"/>
    <w:rsid w:val="004E36B8"/>
    <w:rsid w:val="004E373D"/>
    <w:rsid w:val="004E3828"/>
    <w:rsid w:val="004E39D3"/>
    <w:rsid w:val="004E3CE4"/>
    <w:rsid w:val="004E3D23"/>
    <w:rsid w:val="004E3FAE"/>
    <w:rsid w:val="004E410F"/>
    <w:rsid w:val="004E4298"/>
    <w:rsid w:val="004E44F6"/>
    <w:rsid w:val="004E44FD"/>
    <w:rsid w:val="004E4772"/>
    <w:rsid w:val="004E492D"/>
    <w:rsid w:val="004E4B9F"/>
    <w:rsid w:val="004E4FA2"/>
    <w:rsid w:val="004E4FA9"/>
    <w:rsid w:val="004E508A"/>
    <w:rsid w:val="004E53B6"/>
    <w:rsid w:val="004E54CF"/>
    <w:rsid w:val="004E55E1"/>
    <w:rsid w:val="004E569E"/>
    <w:rsid w:val="004E56C7"/>
    <w:rsid w:val="004E56FF"/>
    <w:rsid w:val="004E5767"/>
    <w:rsid w:val="004E5912"/>
    <w:rsid w:val="004E5A78"/>
    <w:rsid w:val="004E5C66"/>
    <w:rsid w:val="004E5CCE"/>
    <w:rsid w:val="004E5F83"/>
    <w:rsid w:val="004E60B4"/>
    <w:rsid w:val="004E6157"/>
    <w:rsid w:val="004E616D"/>
    <w:rsid w:val="004E6186"/>
    <w:rsid w:val="004E62C1"/>
    <w:rsid w:val="004E655B"/>
    <w:rsid w:val="004E65C6"/>
    <w:rsid w:val="004E66F0"/>
    <w:rsid w:val="004E6812"/>
    <w:rsid w:val="004E685A"/>
    <w:rsid w:val="004E6A5F"/>
    <w:rsid w:val="004E6BFB"/>
    <w:rsid w:val="004E6D0F"/>
    <w:rsid w:val="004E725B"/>
    <w:rsid w:val="004E726D"/>
    <w:rsid w:val="004E7553"/>
    <w:rsid w:val="004E764C"/>
    <w:rsid w:val="004E7B8E"/>
    <w:rsid w:val="004E7BED"/>
    <w:rsid w:val="004E7E35"/>
    <w:rsid w:val="004F0088"/>
    <w:rsid w:val="004F04EF"/>
    <w:rsid w:val="004F07C6"/>
    <w:rsid w:val="004F088C"/>
    <w:rsid w:val="004F0922"/>
    <w:rsid w:val="004F09A7"/>
    <w:rsid w:val="004F09EE"/>
    <w:rsid w:val="004F0AEE"/>
    <w:rsid w:val="004F0DA6"/>
    <w:rsid w:val="004F0E55"/>
    <w:rsid w:val="004F0E6D"/>
    <w:rsid w:val="004F0E7A"/>
    <w:rsid w:val="004F0F97"/>
    <w:rsid w:val="004F105E"/>
    <w:rsid w:val="004F1450"/>
    <w:rsid w:val="004F1466"/>
    <w:rsid w:val="004F15F6"/>
    <w:rsid w:val="004F16F8"/>
    <w:rsid w:val="004F1997"/>
    <w:rsid w:val="004F19C8"/>
    <w:rsid w:val="004F1B26"/>
    <w:rsid w:val="004F1BDE"/>
    <w:rsid w:val="004F1CBC"/>
    <w:rsid w:val="004F1E51"/>
    <w:rsid w:val="004F23B4"/>
    <w:rsid w:val="004F24AA"/>
    <w:rsid w:val="004F2B2B"/>
    <w:rsid w:val="004F2B82"/>
    <w:rsid w:val="004F2B90"/>
    <w:rsid w:val="004F2CEE"/>
    <w:rsid w:val="004F2EC2"/>
    <w:rsid w:val="004F3134"/>
    <w:rsid w:val="004F3471"/>
    <w:rsid w:val="004F3623"/>
    <w:rsid w:val="004F3911"/>
    <w:rsid w:val="004F3B8A"/>
    <w:rsid w:val="004F3E64"/>
    <w:rsid w:val="004F3FDD"/>
    <w:rsid w:val="004F4085"/>
    <w:rsid w:val="004F416B"/>
    <w:rsid w:val="004F41BB"/>
    <w:rsid w:val="004F43C3"/>
    <w:rsid w:val="004F4446"/>
    <w:rsid w:val="004F46A4"/>
    <w:rsid w:val="004F4772"/>
    <w:rsid w:val="004F5285"/>
    <w:rsid w:val="004F53F7"/>
    <w:rsid w:val="004F545C"/>
    <w:rsid w:val="004F556E"/>
    <w:rsid w:val="004F5611"/>
    <w:rsid w:val="004F591C"/>
    <w:rsid w:val="004F5B2E"/>
    <w:rsid w:val="004F5B7A"/>
    <w:rsid w:val="004F5C4F"/>
    <w:rsid w:val="004F5C5A"/>
    <w:rsid w:val="004F5CC1"/>
    <w:rsid w:val="004F6192"/>
    <w:rsid w:val="004F63D6"/>
    <w:rsid w:val="004F65E7"/>
    <w:rsid w:val="004F6693"/>
    <w:rsid w:val="004F6750"/>
    <w:rsid w:val="004F6A77"/>
    <w:rsid w:val="004F6C95"/>
    <w:rsid w:val="004F6CD3"/>
    <w:rsid w:val="004F6DE4"/>
    <w:rsid w:val="004F6F01"/>
    <w:rsid w:val="004F77BA"/>
    <w:rsid w:val="004F79D1"/>
    <w:rsid w:val="004F7C4C"/>
    <w:rsid w:val="004F7DA0"/>
    <w:rsid w:val="004F7EEB"/>
    <w:rsid w:val="004F7F44"/>
    <w:rsid w:val="004F7F5D"/>
    <w:rsid w:val="0050017B"/>
    <w:rsid w:val="005002A3"/>
    <w:rsid w:val="005006BA"/>
    <w:rsid w:val="00500744"/>
    <w:rsid w:val="00500B5B"/>
    <w:rsid w:val="00500D94"/>
    <w:rsid w:val="00500E1B"/>
    <w:rsid w:val="00501063"/>
    <w:rsid w:val="00501342"/>
    <w:rsid w:val="00501413"/>
    <w:rsid w:val="005014E4"/>
    <w:rsid w:val="00501A55"/>
    <w:rsid w:val="00501C2D"/>
    <w:rsid w:val="00501C57"/>
    <w:rsid w:val="00501FC3"/>
    <w:rsid w:val="0050216D"/>
    <w:rsid w:val="005023F9"/>
    <w:rsid w:val="00502790"/>
    <w:rsid w:val="00502B14"/>
    <w:rsid w:val="00502BAA"/>
    <w:rsid w:val="00502C2D"/>
    <w:rsid w:val="00502DCC"/>
    <w:rsid w:val="00502F25"/>
    <w:rsid w:val="00503005"/>
    <w:rsid w:val="005034C4"/>
    <w:rsid w:val="00503768"/>
    <w:rsid w:val="005037B4"/>
    <w:rsid w:val="0050396A"/>
    <w:rsid w:val="00503B44"/>
    <w:rsid w:val="00503DB4"/>
    <w:rsid w:val="00503DD3"/>
    <w:rsid w:val="00503E10"/>
    <w:rsid w:val="00503E84"/>
    <w:rsid w:val="00504146"/>
    <w:rsid w:val="005045E4"/>
    <w:rsid w:val="00504804"/>
    <w:rsid w:val="00504ABF"/>
    <w:rsid w:val="00504CF2"/>
    <w:rsid w:val="00504D44"/>
    <w:rsid w:val="0050511D"/>
    <w:rsid w:val="0050522B"/>
    <w:rsid w:val="005057E2"/>
    <w:rsid w:val="005058E6"/>
    <w:rsid w:val="00505E35"/>
    <w:rsid w:val="00505F6C"/>
    <w:rsid w:val="00506037"/>
    <w:rsid w:val="00506211"/>
    <w:rsid w:val="005064A0"/>
    <w:rsid w:val="005064B5"/>
    <w:rsid w:val="00506527"/>
    <w:rsid w:val="005067A7"/>
    <w:rsid w:val="00506A53"/>
    <w:rsid w:val="00506A58"/>
    <w:rsid w:val="0050700A"/>
    <w:rsid w:val="0050798C"/>
    <w:rsid w:val="005079BF"/>
    <w:rsid w:val="00507B29"/>
    <w:rsid w:val="00507B65"/>
    <w:rsid w:val="00507C6D"/>
    <w:rsid w:val="005100E2"/>
    <w:rsid w:val="0051024C"/>
    <w:rsid w:val="00510540"/>
    <w:rsid w:val="005105C1"/>
    <w:rsid w:val="005108DC"/>
    <w:rsid w:val="00510BA6"/>
    <w:rsid w:val="00510CC1"/>
    <w:rsid w:val="00510CFD"/>
    <w:rsid w:val="00510E87"/>
    <w:rsid w:val="00510EC8"/>
    <w:rsid w:val="00511030"/>
    <w:rsid w:val="00511448"/>
    <w:rsid w:val="00511454"/>
    <w:rsid w:val="005118A0"/>
    <w:rsid w:val="0051193F"/>
    <w:rsid w:val="00511A24"/>
    <w:rsid w:val="00511AA8"/>
    <w:rsid w:val="00511C38"/>
    <w:rsid w:val="00511D11"/>
    <w:rsid w:val="00511DAF"/>
    <w:rsid w:val="00511E08"/>
    <w:rsid w:val="00511F0E"/>
    <w:rsid w:val="00511F79"/>
    <w:rsid w:val="00512048"/>
    <w:rsid w:val="00512474"/>
    <w:rsid w:val="0051253F"/>
    <w:rsid w:val="00512544"/>
    <w:rsid w:val="005125BE"/>
    <w:rsid w:val="00512673"/>
    <w:rsid w:val="0051269A"/>
    <w:rsid w:val="0051285B"/>
    <w:rsid w:val="00512C87"/>
    <w:rsid w:val="00512DC0"/>
    <w:rsid w:val="00513037"/>
    <w:rsid w:val="005131C9"/>
    <w:rsid w:val="005131DC"/>
    <w:rsid w:val="0051350E"/>
    <w:rsid w:val="005136CB"/>
    <w:rsid w:val="005136FD"/>
    <w:rsid w:val="0051386A"/>
    <w:rsid w:val="0051390F"/>
    <w:rsid w:val="00513C15"/>
    <w:rsid w:val="00513CC4"/>
    <w:rsid w:val="00513D1D"/>
    <w:rsid w:val="00513E58"/>
    <w:rsid w:val="00513EFC"/>
    <w:rsid w:val="005143C6"/>
    <w:rsid w:val="00514465"/>
    <w:rsid w:val="0051474A"/>
    <w:rsid w:val="005147EF"/>
    <w:rsid w:val="00514927"/>
    <w:rsid w:val="00514B89"/>
    <w:rsid w:val="00514E7A"/>
    <w:rsid w:val="00515051"/>
    <w:rsid w:val="005152D0"/>
    <w:rsid w:val="00515305"/>
    <w:rsid w:val="005153C6"/>
    <w:rsid w:val="0051540A"/>
    <w:rsid w:val="0051588D"/>
    <w:rsid w:val="00515A61"/>
    <w:rsid w:val="00515B9B"/>
    <w:rsid w:val="00515D18"/>
    <w:rsid w:val="00515DA2"/>
    <w:rsid w:val="0051604B"/>
    <w:rsid w:val="005161E5"/>
    <w:rsid w:val="005162D0"/>
    <w:rsid w:val="005163DC"/>
    <w:rsid w:val="005165D1"/>
    <w:rsid w:val="005169E3"/>
    <w:rsid w:val="005170DC"/>
    <w:rsid w:val="0051774E"/>
    <w:rsid w:val="00517AD9"/>
    <w:rsid w:val="00517BDF"/>
    <w:rsid w:val="0052012C"/>
    <w:rsid w:val="005202BD"/>
    <w:rsid w:val="0052037A"/>
    <w:rsid w:val="0052037D"/>
    <w:rsid w:val="00520415"/>
    <w:rsid w:val="00520652"/>
    <w:rsid w:val="0052080C"/>
    <w:rsid w:val="00521134"/>
    <w:rsid w:val="00521516"/>
    <w:rsid w:val="00521691"/>
    <w:rsid w:val="005218FD"/>
    <w:rsid w:val="005219E7"/>
    <w:rsid w:val="00521A4A"/>
    <w:rsid w:val="00521B78"/>
    <w:rsid w:val="00521EDE"/>
    <w:rsid w:val="005221DD"/>
    <w:rsid w:val="0052225A"/>
    <w:rsid w:val="00522378"/>
    <w:rsid w:val="00522468"/>
    <w:rsid w:val="005224D5"/>
    <w:rsid w:val="005224F0"/>
    <w:rsid w:val="0052254F"/>
    <w:rsid w:val="00522855"/>
    <w:rsid w:val="00522A35"/>
    <w:rsid w:val="00522A4F"/>
    <w:rsid w:val="00522B08"/>
    <w:rsid w:val="00522C23"/>
    <w:rsid w:val="00522C8C"/>
    <w:rsid w:val="00522D34"/>
    <w:rsid w:val="00522DDD"/>
    <w:rsid w:val="00522EC1"/>
    <w:rsid w:val="00523028"/>
    <w:rsid w:val="005231CF"/>
    <w:rsid w:val="00523369"/>
    <w:rsid w:val="0052340F"/>
    <w:rsid w:val="005234B2"/>
    <w:rsid w:val="005235D2"/>
    <w:rsid w:val="00523B5C"/>
    <w:rsid w:val="00523C31"/>
    <w:rsid w:val="00523C5F"/>
    <w:rsid w:val="00523F00"/>
    <w:rsid w:val="0052407A"/>
    <w:rsid w:val="0052419F"/>
    <w:rsid w:val="005241CF"/>
    <w:rsid w:val="00524368"/>
    <w:rsid w:val="0052452A"/>
    <w:rsid w:val="0052468B"/>
    <w:rsid w:val="005247E9"/>
    <w:rsid w:val="0052537F"/>
    <w:rsid w:val="005253C5"/>
    <w:rsid w:val="00525745"/>
    <w:rsid w:val="0052578D"/>
    <w:rsid w:val="005257F8"/>
    <w:rsid w:val="00525815"/>
    <w:rsid w:val="005258C4"/>
    <w:rsid w:val="005258D7"/>
    <w:rsid w:val="005259D4"/>
    <w:rsid w:val="00525A2A"/>
    <w:rsid w:val="00525ED8"/>
    <w:rsid w:val="00526214"/>
    <w:rsid w:val="005263D9"/>
    <w:rsid w:val="005264B3"/>
    <w:rsid w:val="005266A6"/>
    <w:rsid w:val="005266A8"/>
    <w:rsid w:val="005266B7"/>
    <w:rsid w:val="00526741"/>
    <w:rsid w:val="0052677F"/>
    <w:rsid w:val="005268DC"/>
    <w:rsid w:val="00526992"/>
    <w:rsid w:val="00526DE6"/>
    <w:rsid w:val="00526E0F"/>
    <w:rsid w:val="00526E50"/>
    <w:rsid w:val="00526ED3"/>
    <w:rsid w:val="00526F99"/>
    <w:rsid w:val="00527352"/>
    <w:rsid w:val="00527360"/>
    <w:rsid w:val="0052737D"/>
    <w:rsid w:val="0052742A"/>
    <w:rsid w:val="0052792A"/>
    <w:rsid w:val="00527A50"/>
    <w:rsid w:val="00527E47"/>
    <w:rsid w:val="005301B2"/>
    <w:rsid w:val="005304A7"/>
    <w:rsid w:val="005305ED"/>
    <w:rsid w:val="005306F7"/>
    <w:rsid w:val="0053076B"/>
    <w:rsid w:val="005308BD"/>
    <w:rsid w:val="00530DF9"/>
    <w:rsid w:val="00531299"/>
    <w:rsid w:val="005313E5"/>
    <w:rsid w:val="005315AD"/>
    <w:rsid w:val="00531742"/>
    <w:rsid w:val="00531898"/>
    <w:rsid w:val="005318D3"/>
    <w:rsid w:val="00531921"/>
    <w:rsid w:val="00531A3F"/>
    <w:rsid w:val="00531ACB"/>
    <w:rsid w:val="00531B15"/>
    <w:rsid w:val="00531B9A"/>
    <w:rsid w:val="00531D15"/>
    <w:rsid w:val="00531F32"/>
    <w:rsid w:val="005320A1"/>
    <w:rsid w:val="005320A8"/>
    <w:rsid w:val="005320D0"/>
    <w:rsid w:val="0053266E"/>
    <w:rsid w:val="00532695"/>
    <w:rsid w:val="00532843"/>
    <w:rsid w:val="00532A1A"/>
    <w:rsid w:val="00532B17"/>
    <w:rsid w:val="00532B89"/>
    <w:rsid w:val="00532E07"/>
    <w:rsid w:val="005331CB"/>
    <w:rsid w:val="005331E5"/>
    <w:rsid w:val="00533437"/>
    <w:rsid w:val="0053356E"/>
    <w:rsid w:val="00533686"/>
    <w:rsid w:val="00533698"/>
    <w:rsid w:val="005336B7"/>
    <w:rsid w:val="005337F3"/>
    <w:rsid w:val="00533AB4"/>
    <w:rsid w:val="00534120"/>
    <w:rsid w:val="00534225"/>
    <w:rsid w:val="00534251"/>
    <w:rsid w:val="005342B2"/>
    <w:rsid w:val="005342E7"/>
    <w:rsid w:val="00534366"/>
    <w:rsid w:val="005343A6"/>
    <w:rsid w:val="0053442F"/>
    <w:rsid w:val="005344DE"/>
    <w:rsid w:val="005346C3"/>
    <w:rsid w:val="00534A91"/>
    <w:rsid w:val="00534B33"/>
    <w:rsid w:val="00534EDC"/>
    <w:rsid w:val="00534EE6"/>
    <w:rsid w:val="00535048"/>
    <w:rsid w:val="005350D8"/>
    <w:rsid w:val="005352CF"/>
    <w:rsid w:val="00535433"/>
    <w:rsid w:val="005354B2"/>
    <w:rsid w:val="0053551C"/>
    <w:rsid w:val="00535653"/>
    <w:rsid w:val="00535756"/>
    <w:rsid w:val="00535895"/>
    <w:rsid w:val="0053594F"/>
    <w:rsid w:val="00535A5E"/>
    <w:rsid w:val="00535AC2"/>
    <w:rsid w:val="00535B80"/>
    <w:rsid w:val="00535C9B"/>
    <w:rsid w:val="00535E1B"/>
    <w:rsid w:val="00535EC4"/>
    <w:rsid w:val="00536371"/>
    <w:rsid w:val="005366C7"/>
    <w:rsid w:val="005368E4"/>
    <w:rsid w:val="00536B0C"/>
    <w:rsid w:val="00536D04"/>
    <w:rsid w:val="00536EB3"/>
    <w:rsid w:val="005372B9"/>
    <w:rsid w:val="00537313"/>
    <w:rsid w:val="00537604"/>
    <w:rsid w:val="00537B30"/>
    <w:rsid w:val="00537B8E"/>
    <w:rsid w:val="00537BEA"/>
    <w:rsid w:val="00537CBB"/>
    <w:rsid w:val="0054027E"/>
    <w:rsid w:val="005403AA"/>
    <w:rsid w:val="00540512"/>
    <w:rsid w:val="00540617"/>
    <w:rsid w:val="00540878"/>
    <w:rsid w:val="0054091B"/>
    <w:rsid w:val="00540971"/>
    <w:rsid w:val="005409E2"/>
    <w:rsid w:val="00540A6F"/>
    <w:rsid w:val="00540AA5"/>
    <w:rsid w:val="00540BE8"/>
    <w:rsid w:val="00540E0E"/>
    <w:rsid w:val="00540E1D"/>
    <w:rsid w:val="00540F21"/>
    <w:rsid w:val="00541203"/>
    <w:rsid w:val="0054125C"/>
    <w:rsid w:val="00541372"/>
    <w:rsid w:val="005414A9"/>
    <w:rsid w:val="00541943"/>
    <w:rsid w:val="00541D62"/>
    <w:rsid w:val="00542156"/>
    <w:rsid w:val="00542377"/>
    <w:rsid w:val="0054272B"/>
    <w:rsid w:val="00542872"/>
    <w:rsid w:val="005429F5"/>
    <w:rsid w:val="00542AAB"/>
    <w:rsid w:val="00542B28"/>
    <w:rsid w:val="00542BDC"/>
    <w:rsid w:val="00542C10"/>
    <w:rsid w:val="00542CC2"/>
    <w:rsid w:val="00542E82"/>
    <w:rsid w:val="00542F5F"/>
    <w:rsid w:val="00542FD5"/>
    <w:rsid w:val="0054369D"/>
    <w:rsid w:val="00543806"/>
    <w:rsid w:val="00543887"/>
    <w:rsid w:val="00543954"/>
    <w:rsid w:val="00543A1C"/>
    <w:rsid w:val="0054430B"/>
    <w:rsid w:val="0054446B"/>
    <w:rsid w:val="0054459C"/>
    <w:rsid w:val="005445DE"/>
    <w:rsid w:val="005446B4"/>
    <w:rsid w:val="0054477F"/>
    <w:rsid w:val="0054486A"/>
    <w:rsid w:val="005449B0"/>
    <w:rsid w:val="00544A5F"/>
    <w:rsid w:val="00544D7B"/>
    <w:rsid w:val="00544EB4"/>
    <w:rsid w:val="00544F18"/>
    <w:rsid w:val="00544F3C"/>
    <w:rsid w:val="0054514C"/>
    <w:rsid w:val="00545260"/>
    <w:rsid w:val="0054578A"/>
    <w:rsid w:val="00545CD2"/>
    <w:rsid w:val="00545DCC"/>
    <w:rsid w:val="00545E1F"/>
    <w:rsid w:val="00545E83"/>
    <w:rsid w:val="00546216"/>
    <w:rsid w:val="005463CE"/>
    <w:rsid w:val="005464CB"/>
    <w:rsid w:val="00546560"/>
    <w:rsid w:val="00546643"/>
    <w:rsid w:val="00546825"/>
    <w:rsid w:val="00546842"/>
    <w:rsid w:val="005468BF"/>
    <w:rsid w:val="00546911"/>
    <w:rsid w:val="00546A4E"/>
    <w:rsid w:val="0054750F"/>
    <w:rsid w:val="00547515"/>
    <w:rsid w:val="0054751A"/>
    <w:rsid w:val="00547542"/>
    <w:rsid w:val="005476DE"/>
    <w:rsid w:val="005476EB"/>
    <w:rsid w:val="005478CD"/>
    <w:rsid w:val="00547A29"/>
    <w:rsid w:val="00547BDB"/>
    <w:rsid w:val="00547C04"/>
    <w:rsid w:val="00547F53"/>
    <w:rsid w:val="00547FCF"/>
    <w:rsid w:val="00550111"/>
    <w:rsid w:val="005501EC"/>
    <w:rsid w:val="00550244"/>
    <w:rsid w:val="0055025A"/>
    <w:rsid w:val="005507AD"/>
    <w:rsid w:val="00550A85"/>
    <w:rsid w:val="00550C0B"/>
    <w:rsid w:val="00550DAF"/>
    <w:rsid w:val="00550E19"/>
    <w:rsid w:val="00551084"/>
    <w:rsid w:val="00551356"/>
    <w:rsid w:val="00551485"/>
    <w:rsid w:val="00551782"/>
    <w:rsid w:val="005518B9"/>
    <w:rsid w:val="00551BA2"/>
    <w:rsid w:val="00551CBA"/>
    <w:rsid w:val="00551CC2"/>
    <w:rsid w:val="00551D14"/>
    <w:rsid w:val="00551D3A"/>
    <w:rsid w:val="00551E1F"/>
    <w:rsid w:val="00551E47"/>
    <w:rsid w:val="0055237B"/>
    <w:rsid w:val="0055251E"/>
    <w:rsid w:val="0055274B"/>
    <w:rsid w:val="00552884"/>
    <w:rsid w:val="00552ACA"/>
    <w:rsid w:val="00552C19"/>
    <w:rsid w:val="00552C57"/>
    <w:rsid w:val="00552D68"/>
    <w:rsid w:val="00552D97"/>
    <w:rsid w:val="00553017"/>
    <w:rsid w:val="0055303D"/>
    <w:rsid w:val="0055376C"/>
    <w:rsid w:val="00553819"/>
    <w:rsid w:val="00553892"/>
    <w:rsid w:val="00553C4C"/>
    <w:rsid w:val="00553DCD"/>
    <w:rsid w:val="005544D1"/>
    <w:rsid w:val="00554709"/>
    <w:rsid w:val="00554787"/>
    <w:rsid w:val="00554A3E"/>
    <w:rsid w:val="00554CA8"/>
    <w:rsid w:val="00554CBA"/>
    <w:rsid w:val="00554F09"/>
    <w:rsid w:val="005550E0"/>
    <w:rsid w:val="00555197"/>
    <w:rsid w:val="00555407"/>
    <w:rsid w:val="005555F8"/>
    <w:rsid w:val="005557E9"/>
    <w:rsid w:val="00555835"/>
    <w:rsid w:val="00555BF6"/>
    <w:rsid w:val="00556007"/>
    <w:rsid w:val="0055613B"/>
    <w:rsid w:val="00556223"/>
    <w:rsid w:val="00556370"/>
    <w:rsid w:val="00556949"/>
    <w:rsid w:val="00556AEE"/>
    <w:rsid w:val="00556D4E"/>
    <w:rsid w:val="00556E0A"/>
    <w:rsid w:val="00556EB6"/>
    <w:rsid w:val="00556FB0"/>
    <w:rsid w:val="005570C2"/>
    <w:rsid w:val="00557167"/>
    <w:rsid w:val="005578C7"/>
    <w:rsid w:val="005579FC"/>
    <w:rsid w:val="00557EAB"/>
    <w:rsid w:val="00557EEE"/>
    <w:rsid w:val="005600BD"/>
    <w:rsid w:val="00560434"/>
    <w:rsid w:val="00560443"/>
    <w:rsid w:val="0056049D"/>
    <w:rsid w:val="00560634"/>
    <w:rsid w:val="005606CD"/>
    <w:rsid w:val="005606F8"/>
    <w:rsid w:val="00560775"/>
    <w:rsid w:val="005608C1"/>
    <w:rsid w:val="00560955"/>
    <w:rsid w:val="00560A75"/>
    <w:rsid w:val="00560DC9"/>
    <w:rsid w:val="00561063"/>
    <w:rsid w:val="00561333"/>
    <w:rsid w:val="005613CF"/>
    <w:rsid w:val="005615C0"/>
    <w:rsid w:val="0056168A"/>
    <w:rsid w:val="005618DD"/>
    <w:rsid w:val="005619D6"/>
    <w:rsid w:val="00561A46"/>
    <w:rsid w:val="00561B26"/>
    <w:rsid w:val="005621A1"/>
    <w:rsid w:val="005621F6"/>
    <w:rsid w:val="005623EB"/>
    <w:rsid w:val="005624EF"/>
    <w:rsid w:val="0056265F"/>
    <w:rsid w:val="00562805"/>
    <w:rsid w:val="005629EA"/>
    <w:rsid w:val="00562A8A"/>
    <w:rsid w:val="00562CBC"/>
    <w:rsid w:val="00562D72"/>
    <w:rsid w:val="00562F22"/>
    <w:rsid w:val="005631DD"/>
    <w:rsid w:val="00563276"/>
    <w:rsid w:val="005632FE"/>
    <w:rsid w:val="00563581"/>
    <w:rsid w:val="0056391D"/>
    <w:rsid w:val="00563957"/>
    <w:rsid w:val="005639F3"/>
    <w:rsid w:val="00563AA6"/>
    <w:rsid w:val="00563B61"/>
    <w:rsid w:val="00563DAC"/>
    <w:rsid w:val="00563EF1"/>
    <w:rsid w:val="00563F4F"/>
    <w:rsid w:val="00563F85"/>
    <w:rsid w:val="00564148"/>
    <w:rsid w:val="005641C9"/>
    <w:rsid w:val="00564500"/>
    <w:rsid w:val="0056464D"/>
    <w:rsid w:val="00564735"/>
    <w:rsid w:val="00564B81"/>
    <w:rsid w:val="00564D00"/>
    <w:rsid w:val="00564D58"/>
    <w:rsid w:val="00564EB6"/>
    <w:rsid w:val="00564EE3"/>
    <w:rsid w:val="00564F9A"/>
    <w:rsid w:val="005652E1"/>
    <w:rsid w:val="0056564D"/>
    <w:rsid w:val="005657D9"/>
    <w:rsid w:val="0056598C"/>
    <w:rsid w:val="00565CE8"/>
    <w:rsid w:val="00565D2A"/>
    <w:rsid w:val="00565E0F"/>
    <w:rsid w:val="0056620F"/>
    <w:rsid w:val="00566547"/>
    <w:rsid w:val="0056655D"/>
    <w:rsid w:val="005665EC"/>
    <w:rsid w:val="005666CE"/>
    <w:rsid w:val="005668CF"/>
    <w:rsid w:val="005669D7"/>
    <w:rsid w:val="00566A5A"/>
    <w:rsid w:val="00566AB4"/>
    <w:rsid w:val="00566BF4"/>
    <w:rsid w:val="00566C4F"/>
    <w:rsid w:val="00566C73"/>
    <w:rsid w:val="00566D1D"/>
    <w:rsid w:val="005670AD"/>
    <w:rsid w:val="0056740F"/>
    <w:rsid w:val="00567564"/>
    <w:rsid w:val="00567703"/>
    <w:rsid w:val="00567988"/>
    <w:rsid w:val="00567B6D"/>
    <w:rsid w:val="00567CF2"/>
    <w:rsid w:val="00567DB8"/>
    <w:rsid w:val="00567E06"/>
    <w:rsid w:val="00567E2D"/>
    <w:rsid w:val="00567ED7"/>
    <w:rsid w:val="00567EF3"/>
    <w:rsid w:val="005701A6"/>
    <w:rsid w:val="005705AF"/>
    <w:rsid w:val="00570815"/>
    <w:rsid w:val="00570845"/>
    <w:rsid w:val="00570C83"/>
    <w:rsid w:val="00570DD8"/>
    <w:rsid w:val="00571221"/>
    <w:rsid w:val="00571450"/>
    <w:rsid w:val="005716A9"/>
    <w:rsid w:val="00571A58"/>
    <w:rsid w:val="005720BB"/>
    <w:rsid w:val="00572206"/>
    <w:rsid w:val="0057233A"/>
    <w:rsid w:val="005724B8"/>
    <w:rsid w:val="005725EC"/>
    <w:rsid w:val="00572783"/>
    <w:rsid w:val="005727C8"/>
    <w:rsid w:val="005727E0"/>
    <w:rsid w:val="005727F9"/>
    <w:rsid w:val="00572A42"/>
    <w:rsid w:val="00572AF3"/>
    <w:rsid w:val="005730FD"/>
    <w:rsid w:val="0057312F"/>
    <w:rsid w:val="00573333"/>
    <w:rsid w:val="005735FB"/>
    <w:rsid w:val="00573812"/>
    <w:rsid w:val="00573B43"/>
    <w:rsid w:val="00573DE2"/>
    <w:rsid w:val="00573DE6"/>
    <w:rsid w:val="00573F05"/>
    <w:rsid w:val="00573FD4"/>
    <w:rsid w:val="005746CB"/>
    <w:rsid w:val="005747CE"/>
    <w:rsid w:val="0057494C"/>
    <w:rsid w:val="005749AB"/>
    <w:rsid w:val="00574D17"/>
    <w:rsid w:val="00574E2A"/>
    <w:rsid w:val="00574EB9"/>
    <w:rsid w:val="00574EE1"/>
    <w:rsid w:val="00575150"/>
    <w:rsid w:val="005752E8"/>
    <w:rsid w:val="005753EE"/>
    <w:rsid w:val="0057571C"/>
    <w:rsid w:val="00575772"/>
    <w:rsid w:val="005757ED"/>
    <w:rsid w:val="00575A5F"/>
    <w:rsid w:val="00575AC5"/>
    <w:rsid w:val="00575BC4"/>
    <w:rsid w:val="00575E0A"/>
    <w:rsid w:val="00575FDB"/>
    <w:rsid w:val="0057605D"/>
    <w:rsid w:val="00576410"/>
    <w:rsid w:val="005769A9"/>
    <w:rsid w:val="00576B8F"/>
    <w:rsid w:val="00576C1B"/>
    <w:rsid w:val="00576C5D"/>
    <w:rsid w:val="00576FC8"/>
    <w:rsid w:val="0057703D"/>
    <w:rsid w:val="005770F5"/>
    <w:rsid w:val="00577173"/>
    <w:rsid w:val="005778CB"/>
    <w:rsid w:val="00577A05"/>
    <w:rsid w:val="00577B67"/>
    <w:rsid w:val="00577B7F"/>
    <w:rsid w:val="00577DD3"/>
    <w:rsid w:val="00577DD9"/>
    <w:rsid w:val="00580A4A"/>
    <w:rsid w:val="00580D1A"/>
    <w:rsid w:val="00580F70"/>
    <w:rsid w:val="00581347"/>
    <w:rsid w:val="005814CD"/>
    <w:rsid w:val="0058152F"/>
    <w:rsid w:val="00581739"/>
    <w:rsid w:val="005818CE"/>
    <w:rsid w:val="00581903"/>
    <w:rsid w:val="00581A36"/>
    <w:rsid w:val="00581AC9"/>
    <w:rsid w:val="00581B8C"/>
    <w:rsid w:val="00581F7F"/>
    <w:rsid w:val="005821FB"/>
    <w:rsid w:val="005823DE"/>
    <w:rsid w:val="00582574"/>
    <w:rsid w:val="0058268E"/>
    <w:rsid w:val="00582748"/>
    <w:rsid w:val="0058280E"/>
    <w:rsid w:val="005828C6"/>
    <w:rsid w:val="005828CA"/>
    <w:rsid w:val="00582A46"/>
    <w:rsid w:val="00582ACF"/>
    <w:rsid w:val="00582C0C"/>
    <w:rsid w:val="00582C28"/>
    <w:rsid w:val="00582EBB"/>
    <w:rsid w:val="00582F3B"/>
    <w:rsid w:val="00582F59"/>
    <w:rsid w:val="005830A7"/>
    <w:rsid w:val="00583159"/>
    <w:rsid w:val="005832BC"/>
    <w:rsid w:val="005833AA"/>
    <w:rsid w:val="00583BE8"/>
    <w:rsid w:val="00583EE7"/>
    <w:rsid w:val="00583FC5"/>
    <w:rsid w:val="00584295"/>
    <w:rsid w:val="00584971"/>
    <w:rsid w:val="005849F8"/>
    <w:rsid w:val="00584AAB"/>
    <w:rsid w:val="00584BA6"/>
    <w:rsid w:val="00584FCE"/>
    <w:rsid w:val="005850D1"/>
    <w:rsid w:val="00585360"/>
    <w:rsid w:val="005854F1"/>
    <w:rsid w:val="00585A0D"/>
    <w:rsid w:val="00585A69"/>
    <w:rsid w:val="00585C4B"/>
    <w:rsid w:val="00585CE0"/>
    <w:rsid w:val="00585DAE"/>
    <w:rsid w:val="00585E3E"/>
    <w:rsid w:val="00585E58"/>
    <w:rsid w:val="00585E8F"/>
    <w:rsid w:val="00585F88"/>
    <w:rsid w:val="00585FA4"/>
    <w:rsid w:val="00586112"/>
    <w:rsid w:val="00586170"/>
    <w:rsid w:val="005861BC"/>
    <w:rsid w:val="00586295"/>
    <w:rsid w:val="005863AE"/>
    <w:rsid w:val="005863FF"/>
    <w:rsid w:val="00586665"/>
    <w:rsid w:val="00586707"/>
    <w:rsid w:val="0058673E"/>
    <w:rsid w:val="00586AC9"/>
    <w:rsid w:val="00586AF5"/>
    <w:rsid w:val="00586B9E"/>
    <w:rsid w:val="00586DF0"/>
    <w:rsid w:val="00586E6F"/>
    <w:rsid w:val="00586EEC"/>
    <w:rsid w:val="00587221"/>
    <w:rsid w:val="00587289"/>
    <w:rsid w:val="005873E8"/>
    <w:rsid w:val="00587422"/>
    <w:rsid w:val="00587635"/>
    <w:rsid w:val="00587649"/>
    <w:rsid w:val="00587BE4"/>
    <w:rsid w:val="00587E47"/>
    <w:rsid w:val="005901CB"/>
    <w:rsid w:val="005902D9"/>
    <w:rsid w:val="005904B0"/>
    <w:rsid w:val="005904DE"/>
    <w:rsid w:val="00590711"/>
    <w:rsid w:val="00590836"/>
    <w:rsid w:val="00590B76"/>
    <w:rsid w:val="00590BAF"/>
    <w:rsid w:val="00590C55"/>
    <w:rsid w:val="0059131F"/>
    <w:rsid w:val="00591401"/>
    <w:rsid w:val="0059143E"/>
    <w:rsid w:val="005915A4"/>
    <w:rsid w:val="00591754"/>
    <w:rsid w:val="0059176F"/>
    <w:rsid w:val="00591C2C"/>
    <w:rsid w:val="00591DD4"/>
    <w:rsid w:val="00591E52"/>
    <w:rsid w:val="00591ED1"/>
    <w:rsid w:val="00592356"/>
    <w:rsid w:val="005926FC"/>
    <w:rsid w:val="00592DFF"/>
    <w:rsid w:val="0059311E"/>
    <w:rsid w:val="005931C9"/>
    <w:rsid w:val="00593376"/>
    <w:rsid w:val="00593774"/>
    <w:rsid w:val="005938DF"/>
    <w:rsid w:val="00593DF7"/>
    <w:rsid w:val="00593F21"/>
    <w:rsid w:val="00594108"/>
    <w:rsid w:val="00594484"/>
    <w:rsid w:val="005949A4"/>
    <w:rsid w:val="005949E2"/>
    <w:rsid w:val="00594A68"/>
    <w:rsid w:val="00594CEC"/>
    <w:rsid w:val="00594E9C"/>
    <w:rsid w:val="00594F84"/>
    <w:rsid w:val="005950C0"/>
    <w:rsid w:val="0059527F"/>
    <w:rsid w:val="005953E9"/>
    <w:rsid w:val="005955B6"/>
    <w:rsid w:val="00595821"/>
    <w:rsid w:val="00595C0D"/>
    <w:rsid w:val="00595D07"/>
    <w:rsid w:val="00595E6C"/>
    <w:rsid w:val="00595EEA"/>
    <w:rsid w:val="00596007"/>
    <w:rsid w:val="0059618C"/>
    <w:rsid w:val="005962DB"/>
    <w:rsid w:val="00596397"/>
    <w:rsid w:val="005965AE"/>
    <w:rsid w:val="0059660F"/>
    <w:rsid w:val="0059667B"/>
    <w:rsid w:val="00596853"/>
    <w:rsid w:val="0059693D"/>
    <w:rsid w:val="0059699D"/>
    <w:rsid w:val="005969A8"/>
    <w:rsid w:val="00596C2F"/>
    <w:rsid w:val="00596DC9"/>
    <w:rsid w:val="00596FEF"/>
    <w:rsid w:val="005971B6"/>
    <w:rsid w:val="00597400"/>
    <w:rsid w:val="0059752B"/>
    <w:rsid w:val="00597915"/>
    <w:rsid w:val="0059795A"/>
    <w:rsid w:val="00597AC5"/>
    <w:rsid w:val="00597CA2"/>
    <w:rsid w:val="00597CA8"/>
    <w:rsid w:val="00597CC4"/>
    <w:rsid w:val="00597CF5"/>
    <w:rsid w:val="00597EF1"/>
    <w:rsid w:val="00597F38"/>
    <w:rsid w:val="005A01AF"/>
    <w:rsid w:val="005A02E4"/>
    <w:rsid w:val="005A03A9"/>
    <w:rsid w:val="005A0431"/>
    <w:rsid w:val="005A04F1"/>
    <w:rsid w:val="005A099B"/>
    <w:rsid w:val="005A0A94"/>
    <w:rsid w:val="005A0ACB"/>
    <w:rsid w:val="005A0B3A"/>
    <w:rsid w:val="005A0BCC"/>
    <w:rsid w:val="005A10C4"/>
    <w:rsid w:val="005A14A4"/>
    <w:rsid w:val="005A1620"/>
    <w:rsid w:val="005A1631"/>
    <w:rsid w:val="005A165F"/>
    <w:rsid w:val="005A1B6D"/>
    <w:rsid w:val="005A1C4F"/>
    <w:rsid w:val="005A1D6E"/>
    <w:rsid w:val="005A1E05"/>
    <w:rsid w:val="005A1EFE"/>
    <w:rsid w:val="005A1F9F"/>
    <w:rsid w:val="005A2794"/>
    <w:rsid w:val="005A2D9C"/>
    <w:rsid w:val="005A2FAE"/>
    <w:rsid w:val="005A30FC"/>
    <w:rsid w:val="005A32B7"/>
    <w:rsid w:val="005A32BF"/>
    <w:rsid w:val="005A32F7"/>
    <w:rsid w:val="005A3552"/>
    <w:rsid w:val="005A35C4"/>
    <w:rsid w:val="005A372B"/>
    <w:rsid w:val="005A40F3"/>
    <w:rsid w:val="005A4103"/>
    <w:rsid w:val="005A44FF"/>
    <w:rsid w:val="005A469A"/>
    <w:rsid w:val="005A4915"/>
    <w:rsid w:val="005A4BB0"/>
    <w:rsid w:val="005A4CEB"/>
    <w:rsid w:val="005A5134"/>
    <w:rsid w:val="005A5148"/>
    <w:rsid w:val="005A52E7"/>
    <w:rsid w:val="005A544D"/>
    <w:rsid w:val="005A5556"/>
    <w:rsid w:val="005A55FE"/>
    <w:rsid w:val="005A56C1"/>
    <w:rsid w:val="005A5706"/>
    <w:rsid w:val="005A5752"/>
    <w:rsid w:val="005A5D15"/>
    <w:rsid w:val="005A5DE9"/>
    <w:rsid w:val="005A5FC3"/>
    <w:rsid w:val="005A60DE"/>
    <w:rsid w:val="005A610C"/>
    <w:rsid w:val="005A6385"/>
    <w:rsid w:val="005A63CF"/>
    <w:rsid w:val="005A656C"/>
    <w:rsid w:val="005A664E"/>
    <w:rsid w:val="005A6847"/>
    <w:rsid w:val="005A6A11"/>
    <w:rsid w:val="005A6AC6"/>
    <w:rsid w:val="005A7118"/>
    <w:rsid w:val="005A754D"/>
    <w:rsid w:val="005A75B0"/>
    <w:rsid w:val="005A7812"/>
    <w:rsid w:val="005A789D"/>
    <w:rsid w:val="005A7922"/>
    <w:rsid w:val="005A797B"/>
    <w:rsid w:val="005A79EC"/>
    <w:rsid w:val="005A79FF"/>
    <w:rsid w:val="005A7F0E"/>
    <w:rsid w:val="005B019C"/>
    <w:rsid w:val="005B0223"/>
    <w:rsid w:val="005B05BB"/>
    <w:rsid w:val="005B087F"/>
    <w:rsid w:val="005B0899"/>
    <w:rsid w:val="005B0ADC"/>
    <w:rsid w:val="005B0D68"/>
    <w:rsid w:val="005B0E7D"/>
    <w:rsid w:val="005B106A"/>
    <w:rsid w:val="005B112E"/>
    <w:rsid w:val="005B123E"/>
    <w:rsid w:val="005B140F"/>
    <w:rsid w:val="005B147D"/>
    <w:rsid w:val="005B148A"/>
    <w:rsid w:val="005B15C8"/>
    <w:rsid w:val="005B1613"/>
    <w:rsid w:val="005B1635"/>
    <w:rsid w:val="005B176C"/>
    <w:rsid w:val="005B1874"/>
    <w:rsid w:val="005B20CE"/>
    <w:rsid w:val="005B21D7"/>
    <w:rsid w:val="005B23AF"/>
    <w:rsid w:val="005B2893"/>
    <w:rsid w:val="005B295E"/>
    <w:rsid w:val="005B29EE"/>
    <w:rsid w:val="005B2C29"/>
    <w:rsid w:val="005B2E7F"/>
    <w:rsid w:val="005B2F0D"/>
    <w:rsid w:val="005B2F89"/>
    <w:rsid w:val="005B30AA"/>
    <w:rsid w:val="005B310A"/>
    <w:rsid w:val="005B31C7"/>
    <w:rsid w:val="005B3272"/>
    <w:rsid w:val="005B33B5"/>
    <w:rsid w:val="005B370F"/>
    <w:rsid w:val="005B3860"/>
    <w:rsid w:val="005B3A07"/>
    <w:rsid w:val="005B3CEF"/>
    <w:rsid w:val="005B3D65"/>
    <w:rsid w:val="005B401D"/>
    <w:rsid w:val="005B41B3"/>
    <w:rsid w:val="005B41CC"/>
    <w:rsid w:val="005B41CF"/>
    <w:rsid w:val="005B4294"/>
    <w:rsid w:val="005B44CA"/>
    <w:rsid w:val="005B4521"/>
    <w:rsid w:val="005B45C3"/>
    <w:rsid w:val="005B45FE"/>
    <w:rsid w:val="005B47EE"/>
    <w:rsid w:val="005B4815"/>
    <w:rsid w:val="005B49EC"/>
    <w:rsid w:val="005B4A5B"/>
    <w:rsid w:val="005B4A6B"/>
    <w:rsid w:val="005B4A73"/>
    <w:rsid w:val="005B4C76"/>
    <w:rsid w:val="005B4E3B"/>
    <w:rsid w:val="005B52CB"/>
    <w:rsid w:val="005B544E"/>
    <w:rsid w:val="005B57CB"/>
    <w:rsid w:val="005B58CD"/>
    <w:rsid w:val="005B590B"/>
    <w:rsid w:val="005B5939"/>
    <w:rsid w:val="005B5997"/>
    <w:rsid w:val="005B5A76"/>
    <w:rsid w:val="005B5C0D"/>
    <w:rsid w:val="005B5C79"/>
    <w:rsid w:val="005B5E34"/>
    <w:rsid w:val="005B5E70"/>
    <w:rsid w:val="005B5E92"/>
    <w:rsid w:val="005B60A8"/>
    <w:rsid w:val="005B621D"/>
    <w:rsid w:val="005B6423"/>
    <w:rsid w:val="005B6549"/>
    <w:rsid w:val="005B657C"/>
    <w:rsid w:val="005B6A5E"/>
    <w:rsid w:val="005B6A6A"/>
    <w:rsid w:val="005B6AE7"/>
    <w:rsid w:val="005B708D"/>
    <w:rsid w:val="005B7609"/>
    <w:rsid w:val="005B7938"/>
    <w:rsid w:val="005B7D9E"/>
    <w:rsid w:val="005B7F2A"/>
    <w:rsid w:val="005C00C4"/>
    <w:rsid w:val="005C01CD"/>
    <w:rsid w:val="005C071D"/>
    <w:rsid w:val="005C0791"/>
    <w:rsid w:val="005C08BE"/>
    <w:rsid w:val="005C0FB5"/>
    <w:rsid w:val="005C1049"/>
    <w:rsid w:val="005C1055"/>
    <w:rsid w:val="005C1204"/>
    <w:rsid w:val="005C1BB2"/>
    <w:rsid w:val="005C2111"/>
    <w:rsid w:val="005C22A1"/>
    <w:rsid w:val="005C2475"/>
    <w:rsid w:val="005C25FB"/>
    <w:rsid w:val="005C26CD"/>
    <w:rsid w:val="005C2A58"/>
    <w:rsid w:val="005C2B3C"/>
    <w:rsid w:val="005C2B63"/>
    <w:rsid w:val="005C2E38"/>
    <w:rsid w:val="005C317A"/>
    <w:rsid w:val="005C31D8"/>
    <w:rsid w:val="005C3202"/>
    <w:rsid w:val="005C3449"/>
    <w:rsid w:val="005C34B4"/>
    <w:rsid w:val="005C34EF"/>
    <w:rsid w:val="005C3543"/>
    <w:rsid w:val="005C3772"/>
    <w:rsid w:val="005C3A59"/>
    <w:rsid w:val="005C3AAD"/>
    <w:rsid w:val="005C3C92"/>
    <w:rsid w:val="005C3F4A"/>
    <w:rsid w:val="005C413E"/>
    <w:rsid w:val="005C4165"/>
    <w:rsid w:val="005C4201"/>
    <w:rsid w:val="005C421C"/>
    <w:rsid w:val="005C4A77"/>
    <w:rsid w:val="005C51AA"/>
    <w:rsid w:val="005C51F4"/>
    <w:rsid w:val="005C51F5"/>
    <w:rsid w:val="005C520D"/>
    <w:rsid w:val="005C572C"/>
    <w:rsid w:val="005C5874"/>
    <w:rsid w:val="005C59DA"/>
    <w:rsid w:val="005C61FD"/>
    <w:rsid w:val="005C62D4"/>
    <w:rsid w:val="005C66B2"/>
    <w:rsid w:val="005C6954"/>
    <w:rsid w:val="005C6C8B"/>
    <w:rsid w:val="005C6CE8"/>
    <w:rsid w:val="005C6F42"/>
    <w:rsid w:val="005C7308"/>
    <w:rsid w:val="005C7419"/>
    <w:rsid w:val="005C7C6C"/>
    <w:rsid w:val="005C7D5E"/>
    <w:rsid w:val="005C7F44"/>
    <w:rsid w:val="005D002B"/>
    <w:rsid w:val="005D00B6"/>
    <w:rsid w:val="005D0457"/>
    <w:rsid w:val="005D051E"/>
    <w:rsid w:val="005D0625"/>
    <w:rsid w:val="005D0899"/>
    <w:rsid w:val="005D0B41"/>
    <w:rsid w:val="005D0E5A"/>
    <w:rsid w:val="005D1141"/>
    <w:rsid w:val="005D1400"/>
    <w:rsid w:val="005D1401"/>
    <w:rsid w:val="005D154A"/>
    <w:rsid w:val="005D1569"/>
    <w:rsid w:val="005D161F"/>
    <w:rsid w:val="005D16C8"/>
    <w:rsid w:val="005D1A4A"/>
    <w:rsid w:val="005D1B41"/>
    <w:rsid w:val="005D1C3D"/>
    <w:rsid w:val="005D214E"/>
    <w:rsid w:val="005D2197"/>
    <w:rsid w:val="005D2376"/>
    <w:rsid w:val="005D2502"/>
    <w:rsid w:val="005D26AE"/>
    <w:rsid w:val="005D28CB"/>
    <w:rsid w:val="005D2DA7"/>
    <w:rsid w:val="005D344D"/>
    <w:rsid w:val="005D3583"/>
    <w:rsid w:val="005D3622"/>
    <w:rsid w:val="005D37BA"/>
    <w:rsid w:val="005D3E18"/>
    <w:rsid w:val="005D3E8C"/>
    <w:rsid w:val="005D3ED1"/>
    <w:rsid w:val="005D3FBB"/>
    <w:rsid w:val="005D40BB"/>
    <w:rsid w:val="005D420E"/>
    <w:rsid w:val="005D45ED"/>
    <w:rsid w:val="005D46C3"/>
    <w:rsid w:val="005D47C5"/>
    <w:rsid w:val="005D47F3"/>
    <w:rsid w:val="005D4921"/>
    <w:rsid w:val="005D49BF"/>
    <w:rsid w:val="005D4AA5"/>
    <w:rsid w:val="005D4ACD"/>
    <w:rsid w:val="005D4C11"/>
    <w:rsid w:val="005D4D67"/>
    <w:rsid w:val="005D554C"/>
    <w:rsid w:val="005D55C1"/>
    <w:rsid w:val="005D5B24"/>
    <w:rsid w:val="005D5BDB"/>
    <w:rsid w:val="005D5D6A"/>
    <w:rsid w:val="005D602E"/>
    <w:rsid w:val="005D6134"/>
    <w:rsid w:val="005D625F"/>
    <w:rsid w:val="005D6269"/>
    <w:rsid w:val="005D62A4"/>
    <w:rsid w:val="005D635F"/>
    <w:rsid w:val="005D6371"/>
    <w:rsid w:val="005D6759"/>
    <w:rsid w:val="005D67D9"/>
    <w:rsid w:val="005D67E8"/>
    <w:rsid w:val="005D6831"/>
    <w:rsid w:val="005D693D"/>
    <w:rsid w:val="005D6B17"/>
    <w:rsid w:val="005D6BB6"/>
    <w:rsid w:val="005D6D23"/>
    <w:rsid w:val="005D6E1F"/>
    <w:rsid w:val="005D6F4E"/>
    <w:rsid w:val="005D723D"/>
    <w:rsid w:val="005D735F"/>
    <w:rsid w:val="005D7417"/>
    <w:rsid w:val="005D750D"/>
    <w:rsid w:val="005D75D6"/>
    <w:rsid w:val="005D760B"/>
    <w:rsid w:val="005D77FB"/>
    <w:rsid w:val="005D786F"/>
    <w:rsid w:val="005D79FD"/>
    <w:rsid w:val="005D7C73"/>
    <w:rsid w:val="005D7EF5"/>
    <w:rsid w:val="005E030B"/>
    <w:rsid w:val="005E039B"/>
    <w:rsid w:val="005E06D8"/>
    <w:rsid w:val="005E06F9"/>
    <w:rsid w:val="005E08FF"/>
    <w:rsid w:val="005E0995"/>
    <w:rsid w:val="005E0B69"/>
    <w:rsid w:val="005E0C7C"/>
    <w:rsid w:val="005E0CE6"/>
    <w:rsid w:val="005E0D7D"/>
    <w:rsid w:val="005E0D9D"/>
    <w:rsid w:val="005E0DFD"/>
    <w:rsid w:val="005E0F55"/>
    <w:rsid w:val="005E0F78"/>
    <w:rsid w:val="005E133B"/>
    <w:rsid w:val="005E15E0"/>
    <w:rsid w:val="005E17DB"/>
    <w:rsid w:val="005E1831"/>
    <w:rsid w:val="005E1BA8"/>
    <w:rsid w:val="005E1DAE"/>
    <w:rsid w:val="005E1F02"/>
    <w:rsid w:val="005E1F13"/>
    <w:rsid w:val="005E20D8"/>
    <w:rsid w:val="005E2248"/>
    <w:rsid w:val="005E2309"/>
    <w:rsid w:val="005E23DF"/>
    <w:rsid w:val="005E250B"/>
    <w:rsid w:val="005E272C"/>
    <w:rsid w:val="005E2884"/>
    <w:rsid w:val="005E2B12"/>
    <w:rsid w:val="005E2D79"/>
    <w:rsid w:val="005E2E20"/>
    <w:rsid w:val="005E2EBE"/>
    <w:rsid w:val="005E2F09"/>
    <w:rsid w:val="005E2F72"/>
    <w:rsid w:val="005E2F77"/>
    <w:rsid w:val="005E3012"/>
    <w:rsid w:val="005E3638"/>
    <w:rsid w:val="005E3ACD"/>
    <w:rsid w:val="005E3BD4"/>
    <w:rsid w:val="005E3C77"/>
    <w:rsid w:val="005E3C89"/>
    <w:rsid w:val="005E3DAB"/>
    <w:rsid w:val="005E3DDE"/>
    <w:rsid w:val="005E3DFB"/>
    <w:rsid w:val="005E3FEA"/>
    <w:rsid w:val="005E411C"/>
    <w:rsid w:val="005E4215"/>
    <w:rsid w:val="005E4264"/>
    <w:rsid w:val="005E4480"/>
    <w:rsid w:val="005E451C"/>
    <w:rsid w:val="005E453E"/>
    <w:rsid w:val="005E45C5"/>
    <w:rsid w:val="005E473D"/>
    <w:rsid w:val="005E476D"/>
    <w:rsid w:val="005E484D"/>
    <w:rsid w:val="005E4C6B"/>
    <w:rsid w:val="005E4D42"/>
    <w:rsid w:val="005E4EAC"/>
    <w:rsid w:val="005E50CC"/>
    <w:rsid w:val="005E5199"/>
    <w:rsid w:val="005E54B6"/>
    <w:rsid w:val="005E57B5"/>
    <w:rsid w:val="005E5AC9"/>
    <w:rsid w:val="005E5B3E"/>
    <w:rsid w:val="005E5B8A"/>
    <w:rsid w:val="005E5D05"/>
    <w:rsid w:val="005E60A1"/>
    <w:rsid w:val="005E6155"/>
    <w:rsid w:val="005E624D"/>
    <w:rsid w:val="005E642D"/>
    <w:rsid w:val="005E64A0"/>
    <w:rsid w:val="005E65CB"/>
    <w:rsid w:val="005E665D"/>
    <w:rsid w:val="005E6693"/>
    <w:rsid w:val="005E6844"/>
    <w:rsid w:val="005E6F4B"/>
    <w:rsid w:val="005E7226"/>
    <w:rsid w:val="005E7251"/>
    <w:rsid w:val="005E73A4"/>
    <w:rsid w:val="005E7416"/>
    <w:rsid w:val="005E75F5"/>
    <w:rsid w:val="005E77C1"/>
    <w:rsid w:val="005E78A2"/>
    <w:rsid w:val="005E78D5"/>
    <w:rsid w:val="005E7900"/>
    <w:rsid w:val="005E7A57"/>
    <w:rsid w:val="005E7B66"/>
    <w:rsid w:val="005E7C6A"/>
    <w:rsid w:val="005E7C75"/>
    <w:rsid w:val="005E7DBF"/>
    <w:rsid w:val="005F0109"/>
    <w:rsid w:val="005F0157"/>
    <w:rsid w:val="005F03B4"/>
    <w:rsid w:val="005F0510"/>
    <w:rsid w:val="005F0581"/>
    <w:rsid w:val="005F0670"/>
    <w:rsid w:val="005F06F0"/>
    <w:rsid w:val="005F079C"/>
    <w:rsid w:val="005F0A3D"/>
    <w:rsid w:val="005F0EEB"/>
    <w:rsid w:val="005F0FC4"/>
    <w:rsid w:val="005F159C"/>
    <w:rsid w:val="005F15C6"/>
    <w:rsid w:val="005F1616"/>
    <w:rsid w:val="005F16F8"/>
    <w:rsid w:val="005F195B"/>
    <w:rsid w:val="005F1A20"/>
    <w:rsid w:val="005F1C30"/>
    <w:rsid w:val="005F1E11"/>
    <w:rsid w:val="005F232A"/>
    <w:rsid w:val="005F24B0"/>
    <w:rsid w:val="005F2512"/>
    <w:rsid w:val="005F253D"/>
    <w:rsid w:val="005F28D1"/>
    <w:rsid w:val="005F2C16"/>
    <w:rsid w:val="005F2CD2"/>
    <w:rsid w:val="005F2CF5"/>
    <w:rsid w:val="005F2F02"/>
    <w:rsid w:val="005F3080"/>
    <w:rsid w:val="005F32A5"/>
    <w:rsid w:val="005F379E"/>
    <w:rsid w:val="005F3AB5"/>
    <w:rsid w:val="005F3B7F"/>
    <w:rsid w:val="005F3CA8"/>
    <w:rsid w:val="005F3EC8"/>
    <w:rsid w:val="005F4056"/>
    <w:rsid w:val="005F4177"/>
    <w:rsid w:val="005F4352"/>
    <w:rsid w:val="005F448A"/>
    <w:rsid w:val="005F4571"/>
    <w:rsid w:val="005F5133"/>
    <w:rsid w:val="005F52E9"/>
    <w:rsid w:val="005F55AF"/>
    <w:rsid w:val="005F55E0"/>
    <w:rsid w:val="005F5AB9"/>
    <w:rsid w:val="005F5C58"/>
    <w:rsid w:val="005F5D3D"/>
    <w:rsid w:val="005F60BE"/>
    <w:rsid w:val="005F6159"/>
    <w:rsid w:val="005F61A0"/>
    <w:rsid w:val="005F6233"/>
    <w:rsid w:val="005F645E"/>
    <w:rsid w:val="005F66B7"/>
    <w:rsid w:val="005F66D5"/>
    <w:rsid w:val="005F678B"/>
    <w:rsid w:val="005F68F9"/>
    <w:rsid w:val="005F6970"/>
    <w:rsid w:val="005F6A8E"/>
    <w:rsid w:val="005F6BD5"/>
    <w:rsid w:val="005F6CC6"/>
    <w:rsid w:val="005F6D0F"/>
    <w:rsid w:val="005F6E0E"/>
    <w:rsid w:val="005F6FA2"/>
    <w:rsid w:val="005F7003"/>
    <w:rsid w:val="005F706B"/>
    <w:rsid w:val="005F71ED"/>
    <w:rsid w:val="005F7505"/>
    <w:rsid w:val="005F76C0"/>
    <w:rsid w:val="005F7971"/>
    <w:rsid w:val="005F7E27"/>
    <w:rsid w:val="005F7E69"/>
    <w:rsid w:val="005F7E76"/>
    <w:rsid w:val="0060027B"/>
    <w:rsid w:val="0060052B"/>
    <w:rsid w:val="00600546"/>
    <w:rsid w:val="006006A7"/>
    <w:rsid w:val="0060071D"/>
    <w:rsid w:val="00600742"/>
    <w:rsid w:val="00600D0B"/>
    <w:rsid w:val="00600E82"/>
    <w:rsid w:val="00601016"/>
    <w:rsid w:val="006010A4"/>
    <w:rsid w:val="00601113"/>
    <w:rsid w:val="006012C1"/>
    <w:rsid w:val="00601421"/>
    <w:rsid w:val="006014E9"/>
    <w:rsid w:val="00601912"/>
    <w:rsid w:val="006019E5"/>
    <w:rsid w:val="00601A12"/>
    <w:rsid w:val="00601CCA"/>
    <w:rsid w:val="00601D75"/>
    <w:rsid w:val="00602277"/>
    <w:rsid w:val="006023A1"/>
    <w:rsid w:val="006027DA"/>
    <w:rsid w:val="006027EF"/>
    <w:rsid w:val="00602803"/>
    <w:rsid w:val="00602857"/>
    <w:rsid w:val="00602C6F"/>
    <w:rsid w:val="00602CA4"/>
    <w:rsid w:val="00602EB7"/>
    <w:rsid w:val="00602F42"/>
    <w:rsid w:val="0060304E"/>
    <w:rsid w:val="00603060"/>
    <w:rsid w:val="00603087"/>
    <w:rsid w:val="006032A0"/>
    <w:rsid w:val="006036D9"/>
    <w:rsid w:val="006037B0"/>
    <w:rsid w:val="00603905"/>
    <w:rsid w:val="006039ED"/>
    <w:rsid w:val="00603BB8"/>
    <w:rsid w:val="00603BF8"/>
    <w:rsid w:val="00603D6D"/>
    <w:rsid w:val="0060400E"/>
    <w:rsid w:val="006040CD"/>
    <w:rsid w:val="00604192"/>
    <w:rsid w:val="006042A6"/>
    <w:rsid w:val="00604315"/>
    <w:rsid w:val="0060457B"/>
    <w:rsid w:val="00604581"/>
    <w:rsid w:val="00604A08"/>
    <w:rsid w:val="00604A50"/>
    <w:rsid w:val="00604C70"/>
    <w:rsid w:val="00604D50"/>
    <w:rsid w:val="00604D88"/>
    <w:rsid w:val="00604E26"/>
    <w:rsid w:val="00604EC3"/>
    <w:rsid w:val="006051E5"/>
    <w:rsid w:val="0060523F"/>
    <w:rsid w:val="006052A8"/>
    <w:rsid w:val="006052CF"/>
    <w:rsid w:val="00605336"/>
    <w:rsid w:val="00605545"/>
    <w:rsid w:val="006055E2"/>
    <w:rsid w:val="00605652"/>
    <w:rsid w:val="006058F0"/>
    <w:rsid w:val="0060594E"/>
    <w:rsid w:val="00605962"/>
    <w:rsid w:val="0060598C"/>
    <w:rsid w:val="00605998"/>
    <w:rsid w:val="006059AB"/>
    <w:rsid w:val="006059F9"/>
    <w:rsid w:val="006063E5"/>
    <w:rsid w:val="00606547"/>
    <w:rsid w:val="00606598"/>
    <w:rsid w:val="006065B5"/>
    <w:rsid w:val="00606890"/>
    <w:rsid w:val="00606A07"/>
    <w:rsid w:val="00606D18"/>
    <w:rsid w:val="00607131"/>
    <w:rsid w:val="0060756B"/>
    <w:rsid w:val="006076F2"/>
    <w:rsid w:val="0060777B"/>
    <w:rsid w:val="00607791"/>
    <w:rsid w:val="00607B8D"/>
    <w:rsid w:val="006101CD"/>
    <w:rsid w:val="006103FA"/>
    <w:rsid w:val="006105F2"/>
    <w:rsid w:val="006107D3"/>
    <w:rsid w:val="00610830"/>
    <w:rsid w:val="0061096C"/>
    <w:rsid w:val="006109A3"/>
    <w:rsid w:val="00610CF6"/>
    <w:rsid w:val="0061103E"/>
    <w:rsid w:val="0061106B"/>
    <w:rsid w:val="0061116D"/>
    <w:rsid w:val="00611218"/>
    <w:rsid w:val="0061128A"/>
    <w:rsid w:val="006112DD"/>
    <w:rsid w:val="006115AC"/>
    <w:rsid w:val="00611710"/>
    <w:rsid w:val="00611C8C"/>
    <w:rsid w:val="00611F2E"/>
    <w:rsid w:val="00611F5C"/>
    <w:rsid w:val="006120BC"/>
    <w:rsid w:val="00612286"/>
    <w:rsid w:val="00612783"/>
    <w:rsid w:val="006127B3"/>
    <w:rsid w:val="00612CD7"/>
    <w:rsid w:val="00612E16"/>
    <w:rsid w:val="00612E76"/>
    <w:rsid w:val="00612E94"/>
    <w:rsid w:val="006131C1"/>
    <w:rsid w:val="006131D3"/>
    <w:rsid w:val="006132FC"/>
    <w:rsid w:val="0061341B"/>
    <w:rsid w:val="0061344E"/>
    <w:rsid w:val="006138F4"/>
    <w:rsid w:val="00613968"/>
    <w:rsid w:val="00613ADA"/>
    <w:rsid w:val="00613ADF"/>
    <w:rsid w:val="00613B3A"/>
    <w:rsid w:val="006140AF"/>
    <w:rsid w:val="006140E7"/>
    <w:rsid w:val="0061441A"/>
    <w:rsid w:val="00614568"/>
    <w:rsid w:val="00614611"/>
    <w:rsid w:val="0061461C"/>
    <w:rsid w:val="006146B9"/>
    <w:rsid w:val="006146F4"/>
    <w:rsid w:val="006147B7"/>
    <w:rsid w:val="00614902"/>
    <w:rsid w:val="00614924"/>
    <w:rsid w:val="006149F7"/>
    <w:rsid w:val="00614B23"/>
    <w:rsid w:val="00614C0D"/>
    <w:rsid w:val="00614F81"/>
    <w:rsid w:val="0061509E"/>
    <w:rsid w:val="006150F6"/>
    <w:rsid w:val="006153ED"/>
    <w:rsid w:val="006154D1"/>
    <w:rsid w:val="0061583F"/>
    <w:rsid w:val="006158A5"/>
    <w:rsid w:val="00615B51"/>
    <w:rsid w:val="00615DA2"/>
    <w:rsid w:val="00615F9A"/>
    <w:rsid w:val="00616161"/>
    <w:rsid w:val="006162A3"/>
    <w:rsid w:val="006162C8"/>
    <w:rsid w:val="00616385"/>
    <w:rsid w:val="00616649"/>
    <w:rsid w:val="0061672C"/>
    <w:rsid w:val="006167FA"/>
    <w:rsid w:val="00616A71"/>
    <w:rsid w:val="00616C7D"/>
    <w:rsid w:val="00616E09"/>
    <w:rsid w:val="00616FD6"/>
    <w:rsid w:val="00617058"/>
    <w:rsid w:val="00617064"/>
    <w:rsid w:val="00617439"/>
    <w:rsid w:val="00617469"/>
    <w:rsid w:val="00617473"/>
    <w:rsid w:val="00617608"/>
    <w:rsid w:val="00617820"/>
    <w:rsid w:val="00617829"/>
    <w:rsid w:val="00617BDF"/>
    <w:rsid w:val="00617CC4"/>
    <w:rsid w:val="00617D00"/>
    <w:rsid w:val="0062002F"/>
    <w:rsid w:val="00620047"/>
    <w:rsid w:val="00620068"/>
    <w:rsid w:val="006201DE"/>
    <w:rsid w:val="006203C1"/>
    <w:rsid w:val="006206A2"/>
    <w:rsid w:val="006207C8"/>
    <w:rsid w:val="006207CF"/>
    <w:rsid w:val="00620B16"/>
    <w:rsid w:val="00620EDD"/>
    <w:rsid w:val="00621098"/>
    <w:rsid w:val="0062114B"/>
    <w:rsid w:val="0062126F"/>
    <w:rsid w:val="0062141B"/>
    <w:rsid w:val="006214FC"/>
    <w:rsid w:val="00621694"/>
    <w:rsid w:val="00621806"/>
    <w:rsid w:val="00621832"/>
    <w:rsid w:val="00621955"/>
    <w:rsid w:val="0062198A"/>
    <w:rsid w:val="00621BB4"/>
    <w:rsid w:val="00621BFE"/>
    <w:rsid w:val="00621D2E"/>
    <w:rsid w:val="00621F26"/>
    <w:rsid w:val="00622014"/>
    <w:rsid w:val="0062222B"/>
    <w:rsid w:val="006223A5"/>
    <w:rsid w:val="00622915"/>
    <w:rsid w:val="00622952"/>
    <w:rsid w:val="00622A3B"/>
    <w:rsid w:val="00622B92"/>
    <w:rsid w:val="00622EEA"/>
    <w:rsid w:val="00622F3E"/>
    <w:rsid w:val="006230CB"/>
    <w:rsid w:val="006231EC"/>
    <w:rsid w:val="0062330B"/>
    <w:rsid w:val="00623487"/>
    <w:rsid w:val="006235C7"/>
    <w:rsid w:val="00623812"/>
    <w:rsid w:val="00623908"/>
    <w:rsid w:val="0062396C"/>
    <w:rsid w:val="00623AAE"/>
    <w:rsid w:val="00623FD3"/>
    <w:rsid w:val="00623FF9"/>
    <w:rsid w:val="0062423A"/>
    <w:rsid w:val="0062423C"/>
    <w:rsid w:val="006245A2"/>
    <w:rsid w:val="0062490E"/>
    <w:rsid w:val="0062496F"/>
    <w:rsid w:val="006249D0"/>
    <w:rsid w:val="00624A42"/>
    <w:rsid w:val="00624CC2"/>
    <w:rsid w:val="00624CD5"/>
    <w:rsid w:val="00624E2C"/>
    <w:rsid w:val="00624FC6"/>
    <w:rsid w:val="00625159"/>
    <w:rsid w:val="00625165"/>
    <w:rsid w:val="00625203"/>
    <w:rsid w:val="00625577"/>
    <w:rsid w:val="00625626"/>
    <w:rsid w:val="006256FF"/>
    <w:rsid w:val="00625733"/>
    <w:rsid w:val="006257FB"/>
    <w:rsid w:val="00625861"/>
    <w:rsid w:val="00625A7B"/>
    <w:rsid w:val="00625EFF"/>
    <w:rsid w:val="00625F48"/>
    <w:rsid w:val="00625F65"/>
    <w:rsid w:val="00626171"/>
    <w:rsid w:val="00626511"/>
    <w:rsid w:val="006265E7"/>
    <w:rsid w:val="00626667"/>
    <w:rsid w:val="00626971"/>
    <w:rsid w:val="00626985"/>
    <w:rsid w:val="006269F2"/>
    <w:rsid w:val="00626A4F"/>
    <w:rsid w:val="00626CD3"/>
    <w:rsid w:val="00626D03"/>
    <w:rsid w:val="00626E3F"/>
    <w:rsid w:val="00626F0E"/>
    <w:rsid w:val="00627063"/>
    <w:rsid w:val="006271E7"/>
    <w:rsid w:val="0062753E"/>
    <w:rsid w:val="0062778F"/>
    <w:rsid w:val="0062782A"/>
    <w:rsid w:val="006278E5"/>
    <w:rsid w:val="00627AB3"/>
    <w:rsid w:val="00627B64"/>
    <w:rsid w:val="00627BA7"/>
    <w:rsid w:val="00627D4E"/>
    <w:rsid w:val="00627F65"/>
    <w:rsid w:val="0063010F"/>
    <w:rsid w:val="006301E0"/>
    <w:rsid w:val="0063051F"/>
    <w:rsid w:val="00630581"/>
    <w:rsid w:val="0063069F"/>
    <w:rsid w:val="006309BE"/>
    <w:rsid w:val="00630B13"/>
    <w:rsid w:val="00630B8A"/>
    <w:rsid w:val="00630DE9"/>
    <w:rsid w:val="00630E7E"/>
    <w:rsid w:val="00630F99"/>
    <w:rsid w:val="00631235"/>
    <w:rsid w:val="006312E6"/>
    <w:rsid w:val="00631AE2"/>
    <w:rsid w:val="00631CE9"/>
    <w:rsid w:val="00631DEF"/>
    <w:rsid w:val="00631F76"/>
    <w:rsid w:val="006322E3"/>
    <w:rsid w:val="006324BF"/>
    <w:rsid w:val="006326FF"/>
    <w:rsid w:val="006328D7"/>
    <w:rsid w:val="0063293B"/>
    <w:rsid w:val="006329D0"/>
    <w:rsid w:val="00632B89"/>
    <w:rsid w:val="00632C7F"/>
    <w:rsid w:val="00632C8C"/>
    <w:rsid w:val="00632EED"/>
    <w:rsid w:val="00632F14"/>
    <w:rsid w:val="00632FED"/>
    <w:rsid w:val="00633060"/>
    <w:rsid w:val="006331DE"/>
    <w:rsid w:val="00633308"/>
    <w:rsid w:val="0063337B"/>
    <w:rsid w:val="006333AB"/>
    <w:rsid w:val="0063346D"/>
    <w:rsid w:val="00633565"/>
    <w:rsid w:val="00633D26"/>
    <w:rsid w:val="00634056"/>
    <w:rsid w:val="006341F7"/>
    <w:rsid w:val="006342DE"/>
    <w:rsid w:val="00634458"/>
    <w:rsid w:val="00634478"/>
    <w:rsid w:val="006344B5"/>
    <w:rsid w:val="0063467A"/>
    <w:rsid w:val="00634888"/>
    <w:rsid w:val="006349B8"/>
    <w:rsid w:val="006349DC"/>
    <w:rsid w:val="00634B3A"/>
    <w:rsid w:val="00634DF0"/>
    <w:rsid w:val="00634EC9"/>
    <w:rsid w:val="00634EEE"/>
    <w:rsid w:val="00634FEE"/>
    <w:rsid w:val="006351DE"/>
    <w:rsid w:val="00635472"/>
    <w:rsid w:val="0063555D"/>
    <w:rsid w:val="00635A14"/>
    <w:rsid w:val="00635B2F"/>
    <w:rsid w:val="00635C15"/>
    <w:rsid w:val="00635F2B"/>
    <w:rsid w:val="006362BA"/>
    <w:rsid w:val="00636427"/>
    <w:rsid w:val="006364DA"/>
    <w:rsid w:val="006364E4"/>
    <w:rsid w:val="0063677F"/>
    <w:rsid w:val="006367CC"/>
    <w:rsid w:val="0063688B"/>
    <w:rsid w:val="006368B6"/>
    <w:rsid w:val="00636923"/>
    <w:rsid w:val="00636C19"/>
    <w:rsid w:val="00636DA2"/>
    <w:rsid w:val="00636FB9"/>
    <w:rsid w:val="00637164"/>
    <w:rsid w:val="006371C0"/>
    <w:rsid w:val="00637277"/>
    <w:rsid w:val="0063787E"/>
    <w:rsid w:val="00637CEE"/>
    <w:rsid w:val="00637CF7"/>
    <w:rsid w:val="00637F0F"/>
    <w:rsid w:val="00640006"/>
    <w:rsid w:val="0064011E"/>
    <w:rsid w:val="0064012A"/>
    <w:rsid w:val="00640145"/>
    <w:rsid w:val="006404D1"/>
    <w:rsid w:val="00640522"/>
    <w:rsid w:val="00640524"/>
    <w:rsid w:val="006405CF"/>
    <w:rsid w:val="006407B1"/>
    <w:rsid w:val="00640814"/>
    <w:rsid w:val="00640964"/>
    <w:rsid w:val="006409EC"/>
    <w:rsid w:val="00640B5F"/>
    <w:rsid w:val="00640DE4"/>
    <w:rsid w:val="006413CB"/>
    <w:rsid w:val="00641625"/>
    <w:rsid w:val="00641938"/>
    <w:rsid w:val="006419E6"/>
    <w:rsid w:val="00641A49"/>
    <w:rsid w:val="00641B02"/>
    <w:rsid w:val="00641F1F"/>
    <w:rsid w:val="00641FEA"/>
    <w:rsid w:val="00642046"/>
    <w:rsid w:val="0064217B"/>
    <w:rsid w:val="00642212"/>
    <w:rsid w:val="00642341"/>
    <w:rsid w:val="006426F3"/>
    <w:rsid w:val="0064279F"/>
    <w:rsid w:val="0064293E"/>
    <w:rsid w:val="00642B6A"/>
    <w:rsid w:val="00642C26"/>
    <w:rsid w:val="00642C69"/>
    <w:rsid w:val="00642E58"/>
    <w:rsid w:val="006432E4"/>
    <w:rsid w:val="00643472"/>
    <w:rsid w:val="006435EA"/>
    <w:rsid w:val="0064365C"/>
    <w:rsid w:val="00643741"/>
    <w:rsid w:val="006438FE"/>
    <w:rsid w:val="00643CEA"/>
    <w:rsid w:val="00643E41"/>
    <w:rsid w:val="00643EBC"/>
    <w:rsid w:val="00643ECE"/>
    <w:rsid w:val="00644020"/>
    <w:rsid w:val="006440E2"/>
    <w:rsid w:val="00644112"/>
    <w:rsid w:val="00644175"/>
    <w:rsid w:val="00644368"/>
    <w:rsid w:val="00644373"/>
    <w:rsid w:val="006444BC"/>
    <w:rsid w:val="006444CD"/>
    <w:rsid w:val="006445DF"/>
    <w:rsid w:val="00644833"/>
    <w:rsid w:val="006448BD"/>
    <w:rsid w:val="006448F0"/>
    <w:rsid w:val="00644B70"/>
    <w:rsid w:val="00644C57"/>
    <w:rsid w:val="00644CF7"/>
    <w:rsid w:val="00644D7F"/>
    <w:rsid w:val="00644DC6"/>
    <w:rsid w:val="0064519D"/>
    <w:rsid w:val="006451E1"/>
    <w:rsid w:val="006453EC"/>
    <w:rsid w:val="00645495"/>
    <w:rsid w:val="006455BC"/>
    <w:rsid w:val="006455CC"/>
    <w:rsid w:val="00645915"/>
    <w:rsid w:val="00645B12"/>
    <w:rsid w:val="006467A4"/>
    <w:rsid w:val="00646947"/>
    <w:rsid w:val="00646C60"/>
    <w:rsid w:val="00646CC4"/>
    <w:rsid w:val="00646E6C"/>
    <w:rsid w:val="0064710A"/>
    <w:rsid w:val="006471D4"/>
    <w:rsid w:val="00647801"/>
    <w:rsid w:val="00647A48"/>
    <w:rsid w:val="00647AD4"/>
    <w:rsid w:val="00647F2A"/>
    <w:rsid w:val="0065004D"/>
    <w:rsid w:val="00650328"/>
    <w:rsid w:val="006503C7"/>
    <w:rsid w:val="0065067A"/>
    <w:rsid w:val="006508B5"/>
    <w:rsid w:val="006508E8"/>
    <w:rsid w:val="00650B5F"/>
    <w:rsid w:val="00650D17"/>
    <w:rsid w:val="00650DD6"/>
    <w:rsid w:val="00651065"/>
    <w:rsid w:val="006513B2"/>
    <w:rsid w:val="006515B9"/>
    <w:rsid w:val="00651651"/>
    <w:rsid w:val="006516F0"/>
    <w:rsid w:val="006519C3"/>
    <w:rsid w:val="00651B78"/>
    <w:rsid w:val="00651B9B"/>
    <w:rsid w:val="00651C6C"/>
    <w:rsid w:val="00652297"/>
    <w:rsid w:val="006522E8"/>
    <w:rsid w:val="0065248E"/>
    <w:rsid w:val="00652766"/>
    <w:rsid w:val="0065287E"/>
    <w:rsid w:val="006528C3"/>
    <w:rsid w:val="00652A8E"/>
    <w:rsid w:val="00652B30"/>
    <w:rsid w:val="00652B80"/>
    <w:rsid w:val="00653006"/>
    <w:rsid w:val="006531CF"/>
    <w:rsid w:val="00653344"/>
    <w:rsid w:val="006533AF"/>
    <w:rsid w:val="00653A3B"/>
    <w:rsid w:val="00653BC9"/>
    <w:rsid w:val="00653DD5"/>
    <w:rsid w:val="00653E9E"/>
    <w:rsid w:val="00653EE3"/>
    <w:rsid w:val="00653F44"/>
    <w:rsid w:val="00654518"/>
    <w:rsid w:val="00654711"/>
    <w:rsid w:val="006547E3"/>
    <w:rsid w:val="0065485E"/>
    <w:rsid w:val="00654881"/>
    <w:rsid w:val="006548BA"/>
    <w:rsid w:val="00654B59"/>
    <w:rsid w:val="00654E31"/>
    <w:rsid w:val="00654E93"/>
    <w:rsid w:val="006551A0"/>
    <w:rsid w:val="0065520A"/>
    <w:rsid w:val="00655390"/>
    <w:rsid w:val="006553E0"/>
    <w:rsid w:val="00655453"/>
    <w:rsid w:val="006554AC"/>
    <w:rsid w:val="006554AD"/>
    <w:rsid w:val="006555D5"/>
    <w:rsid w:val="006556E5"/>
    <w:rsid w:val="0065576A"/>
    <w:rsid w:val="00655775"/>
    <w:rsid w:val="00655ACC"/>
    <w:rsid w:val="00655B18"/>
    <w:rsid w:val="00655BD9"/>
    <w:rsid w:val="00655D6D"/>
    <w:rsid w:val="00655E6D"/>
    <w:rsid w:val="00655F25"/>
    <w:rsid w:val="00656026"/>
    <w:rsid w:val="00656073"/>
    <w:rsid w:val="00656345"/>
    <w:rsid w:val="00656467"/>
    <w:rsid w:val="006564AC"/>
    <w:rsid w:val="00656529"/>
    <w:rsid w:val="0065657B"/>
    <w:rsid w:val="006565F1"/>
    <w:rsid w:val="00656A0C"/>
    <w:rsid w:val="00656AE9"/>
    <w:rsid w:val="00656D54"/>
    <w:rsid w:val="00656D57"/>
    <w:rsid w:val="00656DC6"/>
    <w:rsid w:val="00656F3D"/>
    <w:rsid w:val="00656F59"/>
    <w:rsid w:val="0065711C"/>
    <w:rsid w:val="006572E5"/>
    <w:rsid w:val="0065733F"/>
    <w:rsid w:val="00657441"/>
    <w:rsid w:val="006575D0"/>
    <w:rsid w:val="00657626"/>
    <w:rsid w:val="006576EB"/>
    <w:rsid w:val="006579FA"/>
    <w:rsid w:val="00657AA8"/>
    <w:rsid w:val="00657AE2"/>
    <w:rsid w:val="00657C38"/>
    <w:rsid w:val="00657D7D"/>
    <w:rsid w:val="00657FFD"/>
    <w:rsid w:val="00660038"/>
    <w:rsid w:val="00660093"/>
    <w:rsid w:val="0066017B"/>
    <w:rsid w:val="00660411"/>
    <w:rsid w:val="00660511"/>
    <w:rsid w:val="0066089A"/>
    <w:rsid w:val="006609C7"/>
    <w:rsid w:val="00660B34"/>
    <w:rsid w:val="00660B50"/>
    <w:rsid w:val="00660BAF"/>
    <w:rsid w:val="00660EC6"/>
    <w:rsid w:val="00660F1B"/>
    <w:rsid w:val="00660F91"/>
    <w:rsid w:val="00661164"/>
    <w:rsid w:val="00661311"/>
    <w:rsid w:val="0066135C"/>
    <w:rsid w:val="006616DB"/>
    <w:rsid w:val="00661745"/>
    <w:rsid w:val="00661806"/>
    <w:rsid w:val="00661A74"/>
    <w:rsid w:val="00662302"/>
    <w:rsid w:val="00662394"/>
    <w:rsid w:val="006625A5"/>
    <w:rsid w:val="006627C4"/>
    <w:rsid w:val="006629C2"/>
    <w:rsid w:val="006629D8"/>
    <w:rsid w:val="00662A69"/>
    <w:rsid w:val="00662C5E"/>
    <w:rsid w:val="00662CDE"/>
    <w:rsid w:val="00662ED1"/>
    <w:rsid w:val="00662F5B"/>
    <w:rsid w:val="00662FBE"/>
    <w:rsid w:val="0066306D"/>
    <w:rsid w:val="00663341"/>
    <w:rsid w:val="006635D7"/>
    <w:rsid w:val="00663799"/>
    <w:rsid w:val="006638FE"/>
    <w:rsid w:val="00663A48"/>
    <w:rsid w:val="00663AAA"/>
    <w:rsid w:val="00663E87"/>
    <w:rsid w:val="00664110"/>
    <w:rsid w:val="00664186"/>
    <w:rsid w:val="0066420A"/>
    <w:rsid w:val="00664365"/>
    <w:rsid w:val="00664572"/>
    <w:rsid w:val="006647C1"/>
    <w:rsid w:val="0066483A"/>
    <w:rsid w:val="00664A2B"/>
    <w:rsid w:val="00664B31"/>
    <w:rsid w:val="00664B99"/>
    <w:rsid w:val="00664BAB"/>
    <w:rsid w:val="00664C09"/>
    <w:rsid w:val="00664D17"/>
    <w:rsid w:val="00665A00"/>
    <w:rsid w:val="00665C6F"/>
    <w:rsid w:val="00665E64"/>
    <w:rsid w:val="00665EDB"/>
    <w:rsid w:val="00665F62"/>
    <w:rsid w:val="00666084"/>
    <w:rsid w:val="00666109"/>
    <w:rsid w:val="00666259"/>
    <w:rsid w:val="00666520"/>
    <w:rsid w:val="00666524"/>
    <w:rsid w:val="006665F4"/>
    <w:rsid w:val="0066661D"/>
    <w:rsid w:val="0066695C"/>
    <w:rsid w:val="00666A28"/>
    <w:rsid w:val="00666A56"/>
    <w:rsid w:val="00666C20"/>
    <w:rsid w:val="00666EA5"/>
    <w:rsid w:val="006671F3"/>
    <w:rsid w:val="00667644"/>
    <w:rsid w:val="00667C5B"/>
    <w:rsid w:val="00667E60"/>
    <w:rsid w:val="00667EA0"/>
    <w:rsid w:val="00667F64"/>
    <w:rsid w:val="0067007B"/>
    <w:rsid w:val="00670098"/>
    <w:rsid w:val="00670204"/>
    <w:rsid w:val="00670205"/>
    <w:rsid w:val="006703A5"/>
    <w:rsid w:val="00670455"/>
    <w:rsid w:val="006704FC"/>
    <w:rsid w:val="006704FF"/>
    <w:rsid w:val="006709F7"/>
    <w:rsid w:val="00670AB6"/>
    <w:rsid w:val="006712EE"/>
    <w:rsid w:val="00671381"/>
    <w:rsid w:val="00671609"/>
    <w:rsid w:val="00671716"/>
    <w:rsid w:val="006717C1"/>
    <w:rsid w:val="006717DB"/>
    <w:rsid w:val="0067196D"/>
    <w:rsid w:val="00671B15"/>
    <w:rsid w:val="00671D72"/>
    <w:rsid w:val="00671E45"/>
    <w:rsid w:val="00672083"/>
    <w:rsid w:val="0067250B"/>
    <w:rsid w:val="00672514"/>
    <w:rsid w:val="0067260F"/>
    <w:rsid w:val="00672A7E"/>
    <w:rsid w:val="00672ADD"/>
    <w:rsid w:val="00672B4E"/>
    <w:rsid w:val="00672D42"/>
    <w:rsid w:val="00672D6F"/>
    <w:rsid w:val="00672F46"/>
    <w:rsid w:val="00672FDB"/>
    <w:rsid w:val="006730FB"/>
    <w:rsid w:val="006731A1"/>
    <w:rsid w:val="006731C5"/>
    <w:rsid w:val="0067332A"/>
    <w:rsid w:val="0067363F"/>
    <w:rsid w:val="006737D7"/>
    <w:rsid w:val="00673979"/>
    <w:rsid w:val="00673A97"/>
    <w:rsid w:val="00673BF8"/>
    <w:rsid w:val="00673C6A"/>
    <w:rsid w:val="00673D60"/>
    <w:rsid w:val="00673E32"/>
    <w:rsid w:val="00673E76"/>
    <w:rsid w:val="00674086"/>
    <w:rsid w:val="0067417C"/>
    <w:rsid w:val="006741D3"/>
    <w:rsid w:val="00674202"/>
    <w:rsid w:val="006742E7"/>
    <w:rsid w:val="00674353"/>
    <w:rsid w:val="00674440"/>
    <w:rsid w:val="00674471"/>
    <w:rsid w:val="006748ED"/>
    <w:rsid w:val="00674B0E"/>
    <w:rsid w:val="00674BE9"/>
    <w:rsid w:val="00674D52"/>
    <w:rsid w:val="00674D5B"/>
    <w:rsid w:val="006750F6"/>
    <w:rsid w:val="00675194"/>
    <w:rsid w:val="006751AC"/>
    <w:rsid w:val="0067569A"/>
    <w:rsid w:val="006757D0"/>
    <w:rsid w:val="006758E8"/>
    <w:rsid w:val="00675C53"/>
    <w:rsid w:val="00675D7E"/>
    <w:rsid w:val="00675DCD"/>
    <w:rsid w:val="00676123"/>
    <w:rsid w:val="0067616E"/>
    <w:rsid w:val="00676232"/>
    <w:rsid w:val="00676360"/>
    <w:rsid w:val="006763F1"/>
    <w:rsid w:val="00676409"/>
    <w:rsid w:val="006764D9"/>
    <w:rsid w:val="0067658A"/>
    <w:rsid w:val="00676596"/>
    <w:rsid w:val="006765D3"/>
    <w:rsid w:val="00676687"/>
    <w:rsid w:val="006766A6"/>
    <w:rsid w:val="00676AD6"/>
    <w:rsid w:val="00676B48"/>
    <w:rsid w:val="00677312"/>
    <w:rsid w:val="00677639"/>
    <w:rsid w:val="00677720"/>
    <w:rsid w:val="0067794D"/>
    <w:rsid w:val="00677B0F"/>
    <w:rsid w:val="00677CDF"/>
    <w:rsid w:val="00677DDF"/>
    <w:rsid w:val="0068008C"/>
    <w:rsid w:val="00680353"/>
    <w:rsid w:val="0068035D"/>
    <w:rsid w:val="0068041B"/>
    <w:rsid w:val="006807B5"/>
    <w:rsid w:val="006807BB"/>
    <w:rsid w:val="00680856"/>
    <w:rsid w:val="006809D4"/>
    <w:rsid w:val="00680B2E"/>
    <w:rsid w:val="00680B7A"/>
    <w:rsid w:val="00680C7F"/>
    <w:rsid w:val="00680FD9"/>
    <w:rsid w:val="006811DC"/>
    <w:rsid w:val="006813EF"/>
    <w:rsid w:val="00681403"/>
    <w:rsid w:val="0068164A"/>
    <w:rsid w:val="00681659"/>
    <w:rsid w:val="006816C0"/>
    <w:rsid w:val="00681733"/>
    <w:rsid w:val="00681A81"/>
    <w:rsid w:val="00681B3A"/>
    <w:rsid w:val="00681C62"/>
    <w:rsid w:val="00681E8E"/>
    <w:rsid w:val="00681F2A"/>
    <w:rsid w:val="00682033"/>
    <w:rsid w:val="00682084"/>
    <w:rsid w:val="00682349"/>
    <w:rsid w:val="00682A0E"/>
    <w:rsid w:val="00682DBE"/>
    <w:rsid w:val="00683000"/>
    <w:rsid w:val="006830ED"/>
    <w:rsid w:val="006831A7"/>
    <w:rsid w:val="006831BF"/>
    <w:rsid w:val="006839DD"/>
    <w:rsid w:val="00683A14"/>
    <w:rsid w:val="00683AFE"/>
    <w:rsid w:val="00683CC3"/>
    <w:rsid w:val="00683CFF"/>
    <w:rsid w:val="00683D6A"/>
    <w:rsid w:val="00683FD8"/>
    <w:rsid w:val="00684083"/>
    <w:rsid w:val="00684320"/>
    <w:rsid w:val="006845EB"/>
    <w:rsid w:val="00684604"/>
    <w:rsid w:val="006846B6"/>
    <w:rsid w:val="00684816"/>
    <w:rsid w:val="0068492C"/>
    <w:rsid w:val="00684CC8"/>
    <w:rsid w:val="00685040"/>
    <w:rsid w:val="0068525F"/>
    <w:rsid w:val="006852EA"/>
    <w:rsid w:val="00685511"/>
    <w:rsid w:val="006857A6"/>
    <w:rsid w:val="006857EC"/>
    <w:rsid w:val="006859C0"/>
    <w:rsid w:val="0068612C"/>
    <w:rsid w:val="006865E6"/>
    <w:rsid w:val="006869C0"/>
    <w:rsid w:val="00686C14"/>
    <w:rsid w:val="00686C19"/>
    <w:rsid w:val="00686C60"/>
    <w:rsid w:val="00686C73"/>
    <w:rsid w:val="00686D83"/>
    <w:rsid w:val="00686EF7"/>
    <w:rsid w:val="006870C1"/>
    <w:rsid w:val="00687230"/>
    <w:rsid w:val="00687327"/>
    <w:rsid w:val="006874C0"/>
    <w:rsid w:val="0068760F"/>
    <w:rsid w:val="00687673"/>
    <w:rsid w:val="00687708"/>
    <w:rsid w:val="006877F1"/>
    <w:rsid w:val="00687805"/>
    <w:rsid w:val="0068788D"/>
    <w:rsid w:val="00687AF5"/>
    <w:rsid w:val="00687EAF"/>
    <w:rsid w:val="00687F79"/>
    <w:rsid w:val="006900A5"/>
    <w:rsid w:val="00690382"/>
    <w:rsid w:val="00690444"/>
    <w:rsid w:val="0069045C"/>
    <w:rsid w:val="00690548"/>
    <w:rsid w:val="006906DD"/>
    <w:rsid w:val="0069073B"/>
    <w:rsid w:val="00690819"/>
    <w:rsid w:val="00690B15"/>
    <w:rsid w:val="00690B93"/>
    <w:rsid w:val="00690D88"/>
    <w:rsid w:val="0069104F"/>
    <w:rsid w:val="00691051"/>
    <w:rsid w:val="006910D1"/>
    <w:rsid w:val="00691737"/>
    <w:rsid w:val="006917D6"/>
    <w:rsid w:val="00691CC0"/>
    <w:rsid w:val="00691EB8"/>
    <w:rsid w:val="00692039"/>
    <w:rsid w:val="006920BB"/>
    <w:rsid w:val="0069215E"/>
    <w:rsid w:val="006922A6"/>
    <w:rsid w:val="0069235F"/>
    <w:rsid w:val="00692484"/>
    <w:rsid w:val="00692628"/>
    <w:rsid w:val="00692CB8"/>
    <w:rsid w:val="00692CDE"/>
    <w:rsid w:val="00692D05"/>
    <w:rsid w:val="00692FBE"/>
    <w:rsid w:val="00693073"/>
    <w:rsid w:val="00693348"/>
    <w:rsid w:val="006937E8"/>
    <w:rsid w:val="0069390A"/>
    <w:rsid w:val="0069393E"/>
    <w:rsid w:val="00693D1E"/>
    <w:rsid w:val="00693D6C"/>
    <w:rsid w:val="00693E5B"/>
    <w:rsid w:val="00693E6B"/>
    <w:rsid w:val="00693E80"/>
    <w:rsid w:val="006940CE"/>
    <w:rsid w:val="00694259"/>
    <w:rsid w:val="006942E6"/>
    <w:rsid w:val="00694442"/>
    <w:rsid w:val="0069464E"/>
    <w:rsid w:val="006948E9"/>
    <w:rsid w:val="00694AC4"/>
    <w:rsid w:val="00694DA4"/>
    <w:rsid w:val="00694E3B"/>
    <w:rsid w:val="00694E69"/>
    <w:rsid w:val="00694F29"/>
    <w:rsid w:val="00694F7A"/>
    <w:rsid w:val="00695093"/>
    <w:rsid w:val="00695306"/>
    <w:rsid w:val="00695423"/>
    <w:rsid w:val="0069553C"/>
    <w:rsid w:val="00695589"/>
    <w:rsid w:val="00695648"/>
    <w:rsid w:val="00695673"/>
    <w:rsid w:val="0069579B"/>
    <w:rsid w:val="00695811"/>
    <w:rsid w:val="00695921"/>
    <w:rsid w:val="00695D18"/>
    <w:rsid w:val="00695E19"/>
    <w:rsid w:val="00695F85"/>
    <w:rsid w:val="006961BD"/>
    <w:rsid w:val="006961E3"/>
    <w:rsid w:val="006962DD"/>
    <w:rsid w:val="0069658A"/>
    <w:rsid w:val="006966B4"/>
    <w:rsid w:val="006966D4"/>
    <w:rsid w:val="006967BE"/>
    <w:rsid w:val="0069683F"/>
    <w:rsid w:val="00696BFF"/>
    <w:rsid w:val="00696D43"/>
    <w:rsid w:val="00696FBD"/>
    <w:rsid w:val="00697180"/>
    <w:rsid w:val="006972F6"/>
    <w:rsid w:val="00697313"/>
    <w:rsid w:val="006977FF"/>
    <w:rsid w:val="006978B7"/>
    <w:rsid w:val="00697BB5"/>
    <w:rsid w:val="00697DA6"/>
    <w:rsid w:val="00697E44"/>
    <w:rsid w:val="00697E4E"/>
    <w:rsid w:val="00697F19"/>
    <w:rsid w:val="00697F2F"/>
    <w:rsid w:val="00697F7D"/>
    <w:rsid w:val="00697FF7"/>
    <w:rsid w:val="006A01FA"/>
    <w:rsid w:val="006A03B9"/>
    <w:rsid w:val="006A079E"/>
    <w:rsid w:val="006A092A"/>
    <w:rsid w:val="006A0E9E"/>
    <w:rsid w:val="006A1182"/>
    <w:rsid w:val="006A1191"/>
    <w:rsid w:val="006A146A"/>
    <w:rsid w:val="006A15DC"/>
    <w:rsid w:val="006A1642"/>
    <w:rsid w:val="006A1D94"/>
    <w:rsid w:val="006A1DA1"/>
    <w:rsid w:val="006A1F13"/>
    <w:rsid w:val="006A2222"/>
    <w:rsid w:val="006A22C9"/>
    <w:rsid w:val="006A25C7"/>
    <w:rsid w:val="006A29C7"/>
    <w:rsid w:val="006A2CE0"/>
    <w:rsid w:val="006A2D1B"/>
    <w:rsid w:val="006A2D38"/>
    <w:rsid w:val="006A2EE3"/>
    <w:rsid w:val="006A2F58"/>
    <w:rsid w:val="006A3198"/>
    <w:rsid w:val="006A3567"/>
    <w:rsid w:val="006A3A69"/>
    <w:rsid w:val="006A4044"/>
    <w:rsid w:val="006A4198"/>
    <w:rsid w:val="006A4204"/>
    <w:rsid w:val="006A499A"/>
    <w:rsid w:val="006A4AAD"/>
    <w:rsid w:val="006A4B8B"/>
    <w:rsid w:val="006A4C6B"/>
    <w:rsid w:val="006A4CCA"/>
    <w:rsid w:val="006A4E3E"/>
    <w:rsid w:val="006A4F56"/>
    <w:rsid w:val="006A5049"/>
    <w:rsid w:val="006A51F5"/>
    <w:rsid w:val="006A54FA"/>
    <w:rsid w:val="006A57CD"/>
    <w:rsid w:val="006A59F0"/>
    <w:rsid w:val="006A5ADD"/>
    <w:rsid w:val="006A5B83"/>
    <w:rsid w:val="006A5CA2"/>
    <w:rsid w:val="006A5D9B"/>
    <w:rsid w:val="006A5DD9"/>
    <w:rsid w:val="006A6049"/>
    <w:rsid w:val="006A627D"/>
    <w:rsid w:val="006A63B7"/>
    <w:rsid w:val="006A6496"/>
    <w:rsid w:val="006A64AF"/>
    <w:rsid w:val="006A66C9"/>
    <w:rsid w:val="006A68D0"/>
    <w:rsid w:val="006A699F"/>
    <w:rsid w:val="006A69F7"/>
    <w:rsid w:val="006A6BAA"/>
    <w:rsid w:val="006A6DA2"/>
    <w:rsid w:val="006A7210"/>
    <w:rsid w:val="006A7251"/>
    <w:rsid w:val="006A73F7"/>
    <w:rsid w:val="006A78A4"/>
    <w:rsid w:val="006A78CA"/>
    <w:rsid w:val="006A79AD"/>
    <w:rsid w:val="006A7A06"/>
    <w:rsid w:val="006A7AB2"/>
    <w:rsid w:val="006A7B73"/>
    <w:rsid w:val="006A7E43"/>
    <w:rsid w:val="006B0091"/>
    <w:rsid w:val="006B05C8"/>
    <w:rsid w:val="006B0966"/>
    <w:rsid w:val="006B0A0C"/>
    <w:rsid w:val="006B0AA3"/>
    <w:rsid w:val="006B0B02"/>
    <w:rsid w:val="006B0B7E"/>
    <w:rsid w:val="006B0C6D"/>
    <w:rsid w:val="006B0C86"/>
    <w:rsid w:val="006B10A1"/>
    <w:rsid w:val="006B10F2"/>
    <w:rsid w:val="006B11C9"/>
    <w:rsid w:val="006B131C"/>
    <w:rsid w:val="006B131F"/>
    <w:rsid w:val="006B17EB"/>
    <w:rsid w:val="006B1A40"/>
    <w:rsid w:val="006B1B62"/>
    <w:rsid w:val="006B1B75"/>
    <w:rsid w:val="006B1F24"/>
    <w:rsid w:val="006B1FD7"/>
    <w:rsid w:val="006B20F2"/>
    <w:rsid w:val="006B227F"/>
    <w:rsid w:val="006B2460"/>
    <w:rsid w:val="006B2497"/>
    <w:rsid w:val="006B250D"/>
    <w:rsid w:val="006B27FC"/>
    <w:rsid w:val="006B28D9"/>
    <w:rsid w:val="006B2A04"/>
    <w:rsid w:val="006B2A54"/>
    <w:rsid w:val="006B2B5D"/>
    <w:rsid w:val="006B2B6E"/>
    <w:rsid w:val="006B2CCB"/>
    <w:rsid w:val="006B312B"/>
    <w:rsid w:val="006B338B"/>
    <w:rsid w:val="006B35AC"/>
    <w:rsid w:val="006B3675"/>
    <w:rsid w:val="006B371F"/>
    <w:rsid w:val="006B39D5"/>
    <w:rsid w:val="006B3C24"/>
    <w:rsid w:val="006B4001"/>
    <w:rsid w:val="006B4435"/>
    <w:rsid w:val="006B464E"/>
    <w:rsid w:val="006B46B7"/>
    <w:rsid w:val="006B4949"/>
    <w:rsid w:val="006B49F0"/>
    <w:rsid w:val="006B4A15"/>
    <w:rsid w:val="006B4A8A"/>
    <w:rsid w:val="006B4C2B"/>
    <w:rsid w:val="006B510B"/>
    <w:rsid w:val="006B52DE"/>
    <w:rsid w:val="006B53D9"/>
    <w:rsid w:val="006B5470"/>
    <w:rsid w:val="006B55E3"/>
    <w:rsid w:val="006B5717"/>
    <w:rsid w:val="006B571F"/>
    <w:rsid w:val="006B582F"/>
    <w:rsid w:val="006B5BC8"/>
    <w:rsid w:val="006B5EB2"/>
    <w:rsid w:val="006B5F58"/>
    <w:rsid w:val="006B6040"/>
    <w:rsid w:val="006B6059"/>
    <w:rsid w:val="006B61DC"/>
    <w:rsid w:val="006B629F"/>
    <w:rsid w:val="006B6379"/>
    <w:rsid w:val="006B677B"/>
    <w:rsid w:val="006B67B3"/>
    <w:rsid w:val="006B67F9"/>
    <w:rsid w:val="006B6881"/>
    <w:rsid w:val="006B6DC5"/>
    <w:rsid w:val="006B7203"/>
    <w:rsid w:val="006B735F"/>
    <w:rsid w:val="006B744D"/>
    <w:rsid w:val="006B7867"/>
    <w:rsid w:val="006B79FD"/>
    <w:rsid w:val="006B7ABD"/>
    <w:rsid w:val="006B7B24"/>
    <w:rsid w:val="006B7B51"/>
    <w:rsid w:val="006B7CC9"/>
    <w:rsid w:val="006B7D2B"/>
    <w:rsid w:val="006C001D"/>
    <w:rsid w:val="006C0546"/>
    <w:rsid w:val="006C055B"/>
    <w:rsid w:val="006C064C"/>
    <w:rsid w:val="006C0B7F"/>
    <w:rsid w:val="006C0BE8"/>
    <w:rsid w:val="006C0BFE"/>
    <w:rsid w:val="006C0C02"/>
    <w:rsid w:val="006C0C1F"/>
    <w:rsid w:val="006C0CD6"/>
    <w:rsid w:val="006C0CEB"/>
    <w:rsid w:val="006C13CE"/>
    <w:rsid w:val="006C1428"/>
    <w:rsid w:val="006C158E"/>
    <w:rsid w:val="006C1631"/>
    <w:rsid w:val="006C17AF"/>
    <w:rsid w:val="006C1956"/>
    <w:rsid w:val="006C19E2"/>
    <w:rsid w:val="006C1C18"/>
    <w:rsid w:val="006C1D69"/>
    <w:rsid w:val="006C1EEE"/>
    <w:rsid w:val="006C1FCA"/>
    <w:rsid w:val="006C215C"/>
    <w:rsid w:val="006C21CE"/>
    <w:rsid w:val="006C22DA"/>
    <w:rsid w:val="006C245C"/>
    <w:rsid w:val="006C260C"/>
    <w:rsid w:val="006C2664"/>
    <w:rsid w:val="006C26AB"/>
    <w:rsid w:val="006C28B4"/>
    <w:rsid w:val="006C29CB"/>
    <w:rsid w:val="006C29D0"/>
    <w:rsid w:val="006C2A33"/>
    <w:rsid w:val="006C2E0C"/>
    <w:rsid w:val="006C2E72"/>
    <w:rsid w:val="006C3073"/>
    <w:rsid w:val="006C308E"/>
    <w:rsid w:val="006C3093"/>
    <w:rsid w:val="006C337B"/>
    <w:rsid w:val="006C36CB"/>
    <w:rsid w:val="006C36E4"/>
    <w:rsid w:val="006C36FE"/>
    <w:rsid w:val="006C371C"/>
    <w:rsid w:val="006C377C"/>
    <w:rsid w:val="006C3820"/>
    <w:rsid w:val="006C390C"/>
    <w:rsid w:val="006C39B0"/>
    <w:rsid w:val="006C39F2"/>
    <w:rsid w:val="006C3B1E"/>
    <w:rsid w:val="006C3CBB"/>
    <w:rsid w:val="006C47FD"/>
    <w:rsid w:val="006C4A03"/>
    <w:rsid w:val="006C4D1C"/>
    <w:rsid w:val="006C4D3B"/>
    <w:rsid w:val="006C50D3"/>
    <w:rsid w:val="006C52ED"/>
    <w:rsid w:val="006C53CC"/>
    <w:rsid w:val="006C53D6"/>
    <w:rsid w:val="006C56B6"/>
    <w:rsid w:val="006C59A3"/>
    <w:rsid w:val="006C5A5F"/>
    <w:rsid w:val="006C5B8D"/>
    <w:rsid w:val="006C5C19"/>
    <w:rsid w:val="006C5C2E"/>
    <w:rsid w:val="006C5DE6"/>
    <w:rsid w:val="006C6051"/>
    <w:rsid w:val="006C60DB"/>
    <w:rsid w:val="006C61E1"/>
    <w:rsid w:val="006C620F"/>
    <w:rsid w:val="006C626D"/>
    <w:rsid w:val="006C62A4"/>
    <w:rsid w:val="006C6487"/>
    <w:rsid w:val="006C6710"/>
    <w:rsid w:val="006C6872"/>
    <w:rsid w:val="006C6AF8"/>
    <w:rsid w:val="006C6E82"/>
    <w:rsid w:val="006C6FB8"/>
    <w:rsid w:val="006C6FC0"/>
    <w:rsid w:val="006C7081"/>
    <w:rsid w:val="006C70A0"/>
    <w:rsid w:val="006C7970"/>
    <w:rsid w:val="006C7A38"/>
    <w:rsid w:val="006C7D35"/>
    <w:rsid w:val="006C7D78"/>
    <w:rsid w:val="006C7DBB"/>
    <w:rsid w:val="006D002E"/>
    <w:rsid w:val="006D0214"/>
    <w:rsid w:val="006D022B"/>
    <w:rsid w:val="006D0401"/>
    <w:rsid w:val="006D059F"/>
    <w:rsid w:val="006D073D"/>
    <w:rsid w:val="006D0ED5"/>
    <w:rsid w:val="006D1186"/>
    <w:rsid w:val="006D14A0"/>
    <w:rsid w:val="006D14C2"/>
    <w:rsid w:val="006D1694"/>
    <w:rsid w:val="006D16A5"/>
    <w:rsid w:val="006D18E5"/>
    <w:rsid w:val="006D19F0"/>
    <w:rsid w:val="006D1AA6"/>
    <w:rsid w:val="006D1DBE"/>
    <w:rsid w:val="006D1F6F"/>
    <w:rsid w:val="006D1F90"/>
    <w:rsid w:val="006D1FD9"/>
    <w:rsid w:val="006D1FE5"/>
    <w:rsid w:val="006D222E"/>
    <w:rsid w:val="006D22C4"/>
    <w:rsid w:val="006D239E"/>
    <w:rsid w:val="006D27CB"/>
    <w:rsid w:val="006D29DA"/>
    <w:rsid w:val="006D2CD6"/>
    <w:rsid w:val="006D2D8A"/>
    <w:rsid w:val="006D2DA6"/>
    <w:rsid w:val="006D2DF0"/>
    <w:rsid w:val="006D2F08"/>
    <w:rsid w:val="006D312B"/>
    <w:rsid w:val="006D31D2"/>
    <w:rsid w:val="006D32B1"/>
    <w:rsid w:val="006D32D2"/>
    <w:rsid w:val="006D3863"/>
    <w:rsid w:val="006D3B0A"/>
    <w:rsid w:val="006D3B0E"/>
    <w:rsid w:val="006D3DDD"/>
    <w:rsid w:val="006D3E80"/>
    <w:rsid w:val="006D3FB0"/>
    <w:rsid w:val="006D401D"/>
    <w:rsid w:val="006D41D4"/>
    <w:rsid w:val="006D4557"/>
    <w:rsid w:val="006D46D4"/>
    <w:rsid w:val="006D489F"/>
    <w:rsid w:val="006D4A44"/>
    <w:rsid w:val="006D4A90"/>
    <w:rsid w:val="006D4C9A"/>
    <w:rsid w:val="006D4CE1"/>
    <w:rsid w:val="006D5191"/>
    <w:rsid w:val="006D52ED"/>
    <w:rsid w:val="006D576C"/>
    <w:rsid w:val="006D5865"/>
    <w:rsid w:val="006D5871"/>
    <w:rsid w:val="006D5E52"/>
    <w:rsid w:val="006D5F72"/>
    <w:rsid w:val="006D6002"/>
    <w:rsid w:val="006D6008"/>
    <w:rsid w:val="006D6535"/>
    <w:rsid w:val="006D6560"/>
    <w:rsid w:val="006D65F7"/>
    <w:rsid w:val="006D6A53"/>
    <w:rsid w:val="006D71A4"/>
    <w:rsid w:val="006D74BE"/>
    <w:rsid w:val="006D7507"/>
    <w:rsid w:val="006D7612"/>
    <w:rsid w:val="006D7770"/>
    <w:rsid w:val="006D7955"/>
    <w:rsid w:val="006D79F1"/>
    <w:rsid w:val="006D7A25"/>
    <w:rsid w:val="006E01EB"/>
    <w:rsid w:val="006E028A"/>
    <w:rsid w:val="006E0303"/>
    <w:rsid w:val="006E05B3"/>
    <w:rsid w:val="006E063E"/>
    <w:rsid w:val="006E0822"/>
    <w:rsid w:val="006E0B8C"/>
    <w:rsid w:val="006E0F8E"/>
    <w:rsid w:val="006E102B"/>
    <w:rsid w:val="006E12A5"/>
    <w:rsid w:val="006E16CF"/>
    <w:rsid w:val="006E1804"/>
    <w:rsid w:val="006E1C7C"/>
    <w:rsid w:val="006E1C86"/>
    <w:rsid w:val="006E1C92"/>
    <w:rsid w:val="006E1CC0"/>
    <w:rsid w:val="006E1D2A"/>
    <w:rsid w:val="006E1E30"/>
    <w:rsid w:val="006E1F0B"/>
    <w:rsid w:val="006E20F1"/>
    <w:rsid w:val="006E21B0"/>
    <w:rsid w:val="006E21E6"/>
    <w:rsid w:val="006E23D7"/>
    <w:rsid w:val="006E2472"/>
    <w:rsid w:val="006E253A"/>
    <w:rsid w:val="006E267E"/>
    <w:rsid w:val="006E2B39"/>
    <w:rsid w:val="006E2B46"/>
    <w:rsid w:val="006E3387"/>
    <w:rsid w:val="006E3447"/>
    <w:rsid w:val="006E3750"/>
    <w:rsid w:val="006E391C"/>
    <w:rsid w:val="006E3939"/>
    <w:rsid w:val="006E39DC"/>
    <w:rsid w:val="006E3B1F"/>
    <w:rsid w:val="006E3C43"/>
    <w:rsid w:val="006E3CD8"/>
    <w:rsid w:val="006E3D65"/>
    <w:rsid w:val="006E3D95"/>
    <w:rsid w:val="006E4162"/>
    <w:rsid w:val="006E41B5"/>
    <w:rsid w:val="006E41F1"/>
    <w:rsid w:val="006E42A4"/>
    <w:rsid w:val="006E449E"/>
    <w:rsid w:val="006E4559"/>
    <w:rsid w:val="006E4704"/>
    <w:rsid w:val="006E472E"/>
    <w:rsid w:val="006E47B9"/>
    <w:rsid w:val="006E47FE"/>
    <w:rsid w:val="006E4892"/>
    <w:rsid w:val="006E4A6A"/>
    <w:rsid w:val="006E4B1B"/>
    <w:rsid w:val="006E4C0E"/>
    <w:rsid w:val="006E4D4C"/>
    <w:rsid w:val="006E4D53"/>
    <w:rsid w:val="006E4E88"/>
    <w:rsid w:val="006E4F93"/>
    <w:rsid w:val="006E50E7"/>
    <w:rsid w:val="006E52A9"/>
    <w:rsid w:val="006E5445"/>
    <w:rsid w:val="006E54C1"/>
    <w:rsid w:val="006E5948"/>
    <w:rsid w:val="006E5A56"/>
    <w:rsid w:val="006E5A5C"/>
    <w:rsid w:val="006E5E24"/>
    <w:rsid w:val="006E60A0"/>
    <w:rsid w:val="006E61C8"/>
    <w:rsid w:val="006E6232"/>
    <w:rsid w:val="006E672E"/>
    <w:rsid w:val="006E6766"/>
    <w:rsid w:val="006E6C75"/>
    <w:rsid w:val="006E6FEA"/>
    <w:rsid w:val="006E731C"/>
    <w:rsid w:val="006E75CA"/>
    <w:rsid w:val="006E7761"/>
    <w:rsid w:val="006E7CCF"/>
    <w:rsid w:val="006E7D93"/>
    <w:rsid w:val="006E7E81"/>
    <w:rsid w:val="006E7F4D"/>
    <w:rsid w:val="006F02C5"/>
    <w:rsid w:val="006F0372"/>
    <w:rsid w:val="006F06FF"/>
    <w:rsid w:val="006F0873"/>
    <w:rsid w:val="006F0957"/>
    <w:rsid w:val="006F0C91"/>
    <w:rsid w:val="006F0D79"/>
    <w:rsid w:val="006F0E12"/>
    <w:rsid w:val="006F0FD7"/>
    <w:rsid w:val="006F0FE0"/>
    <w:rsid w:val="006F14EA"/>
    <w:rsid w:val="006F195A"/>
    <w:rsid w:val="006F1A01"/>
    <w:rsid w:val="006F1A24"/>
    <w:rsid w:val="006F1B10"/>
    <w:rsid w:val="006F2011"/>
    <w:rsid w:val="006F2288"/>
    <w:rsid w:val="006F2537"/>
    <w:rsid w:val="006F2565"/>
    <w:rsid w:val="006F27CF"/>
    <w:rsid w:val="006F281D"/>
    <w:rsid w:val="006F2867"/>
    <w:rsid w:val="006F292B"/>
    <w:rsid w:val="006F29DF"/>
    <w:rsid w:val="006F2A11"/>
    <w:rsid w:val="006F2A36"/>
    <w:rsid w:val="006F2ADA"/>
    <w:rsid w:val="006F2B62"/>
    <w:rsid w:val="006F2CE6"/>
    <w:rsid w:val="006F31CF"/>
    <w:rsid w:val="006F3327"/>
    <w:rsid w:val="006F333C"/>
    <w:rsid w:val="006F3422"/>
    <w:rsid w:val="006F37CC"/>
    <w:rsid w:val="006F380B"/>
    <w:rsid w:val="006F3865"/>
    <w:rsid w:val="006F3B05"/>
    <w:rsid w:val="006F3B85"/>
    <w:rsid w:val="006F3CC3"/>
    <w:rsid w:val="006F3D80"/>
    <w:rsid w:val="006F3DB1"/>
    <w:rsid w:val="006F3DF2"/>
    <w:rsid w:val="006F3E04"/>
    <w:rsid w:val="006F3E60"/>
    <w:rsid w:val="006F3F6D"/>
    <w:rsid w:val="006F47E2"/>
    <w:rsid w:val="006F4B35"/>
    <w:rsid w:val="006F4FBE"/>
    <w:rsid w:val="006F5901"/>
    <w:rsid w:val="006F5A12"/>
    <w:rsid w:val="006F5B1C"/>
    <w:rsid w:val="006F5B72"/>
    <w:rsid w:val="006F5BFD"/>
    <w:rsid w:val="006F6064"/>
    <w:rsid w:val="006F60E2"/>
    <w:rsid w:val="006F6584"/>
    <w:rsid w:val="006F66E3"/>
    <w:rsid w:val="006F6B66"/>
    <w:rsid w:val="006F6BB9"/>
    <w:rsid w:val="006F6D43"/>
    <w:rsid w:val="006F6EE9"/>
    <w:rsid w:val="006F6F10"/>
    <w:rsid w:val="006F7246"/>
    <w:rsid w:val="006F73BE"/>
    <w:rsid w:val="006F7578"/>
    <w:rsid w:val="006F7628"/>
    <w:rsid w:val="006F77CB"/>
    <w:rsid w:val="006F787C"/>
    <w:rsid w:val="006F78C0"/>
    <w:rsid w:val="006F78C6"/>
    <w:rsid w:val="006F7992"/>
    <w:rsid w:val="006F7D5F"/>
    <w:rsid w:val="006F7E9E"/>
    <w:rsid w:val="006F7EE3"/>
    <w:rsid w:val="0070028D"/>
    <w:rsid w:val="007005EE"/>
    <w:rsid w:val="00700822"/>
    <w:rsid w:val="00700B77"/>
    <w:rsid w:val="00700E0B"/>
    <w:rsid w:val="00701014"/>
    <w:rsid w:val="00701132"/>
    <w:rsid w:val="00701134"/>
    <w:rsid w:val="00701182"/>
    <w:rsid w:val="007011E9"/>
    <w:rsid w:val="0070133D"/>
    <w:rsid w:val="0070155E"/>
    <w:rsid w:val="007017EB"/>
    <w:rsid w:val="00701BEB"/>
    <w:rsid w:val="00701C57"/>
    <w:rsid w:val="00701D2B"/>
    <w:rsid w:val="00701F87"/>
    <w:rsid w:val="00702304"/>
    <w:rsid w:val="0070290C"/>
    <w:rsid w:val="007029A3"/>
    <w:rsid w:val="00702A4B"/>
    <w:rsid w:val="00702A8B"/>
    <w:rsid w:val="00703113"/>
    <w:rsid w:val="0070340B"/>
    <w:rsid w:val="007036F2"/>
    <w:rsid w:val="007038A1"/>
    <w:rsid w:val="00704164"/>
    <w:rsid w:val="0070435D"/>
    <w:rsid w:val="007045AE"/>
    <w:rsid w:val="0070463B"/>
    <w:rsid w:val="007046A6"/>
    <w:rsid w:val="007046B9"/>
    <w:rsid w:val="0070475E"/>
    <w:rsid w:val="00704838"/>
    <w:rsid w:val="00704973"/>
    <w:rsid w:val="00704AC5"/>
    <w:rsid w:val="00704BAD"/>
    <w:rsid w:val="00704D50"/>
    <w:rsid w:val="007056AF"/>
    <w:rsid w:val="007057B8"/>
    <w:rsid w:val="007057CA"/>
    <w:rsid w:val="007058D1"/>
    <w:rsid w:val="0070594B"/>
    <w:rsid w:val="00705A6D"/>
    <w:rsid w:val="00705B15"/>
    <w:rsid w:val="00705BFC"/>
    <w:rsid w:val="00705E52"/>
    <w:rsid w:val="00705E90"/>
    <w:rsid w:val="00705FA8"/>
    <w:rsid w:val="00706223"/>
    <w:rsid w:val="007063F1"/>
    <w:rsid w:val="00706493"/>
    <w:rsid w:val="007065CF"/>
    <w:rsid w:val="007066B9"/>
    <w:rsid w:val="0070694C"/>
    <w:rsid w:val="0070695D"/>
    <w:rsid w:val="00706AF2"/>
    <w:rsid w:val="00706D2D"/>
    <w:rsid w:val="00706DD0"/>
    <w:rsid w:val="00706E11"/>
    <w:rsid w:val="00706E4E"/>
    <w:rsid w:val="00707554"/>
    <w:rsid w:val="00707651"/>
    <w:rsid w:val="0070781D"/>
    <w:rsid w:val="0070791C"/>
    <w:rsid w:val="0070797D"/>
    <w:rsid w:val="00707A1E"/>
    <w:rsid w:val="00707C2B"/>
    <w:rsid w:val="00710022"/>
    <w:rsid w:val="00710061"/>
    <w:rsid w:val="007100E7"/>
    <w:rsid w:val="0071014B"/>
    <w:rsid w:val="00710230"/>
    <w:rsid w:val="00710247"/>
    <w:rsid w:val="00710483"/>
    <w:rsid w:val="007105BF"/>
    <w:rsid w:val="007105DA"/>
    <w:rsid w:val="0071060D"/>
    <w:rsid w:val="007108F9"/>
    <w:rsid w:val="00710970"/>
    <w:rsid w:val="00710971"/>
    <w:rsid w:val="007109C6"/>
    <w:rsid w:val="00710E19"/>
    <w:rsid w:val="00710FB0"/>
    <w:rsid w:val="00711134"/>
    <w:rsid w:val="00711165"/>
    <w:rsid w:val="007115B1"/>
    <w:rsid w:val="0071161E"/>
    <w:rsid w:val="0071176F"/>
    <w:rsid w:val="00711A5F"/>
    <w:rsid w:val="00711B05"/>
    <w:rsid w:val="00711BF9"/>
    <w:rsid w:val="00711C6D"/>
    <w:rsid w:val="00711DD0"/>
    <w:rsid w:val="00711E7A"/>
    <w:rsid w:val="007123FA"/>
    <w:rsid w:val="007123FD"/>
    <w:rsid w:val="0071242F"/>
    <w:rsid w:val="007127AE"/>
    <w:rsid w:val="0071280B"/>
    <w:rsid w:val="00712BE8"/>
    <w:rsid w:val="00712C5B"/>
    <w:rsid w:val="00712D93"/>
    <w:rsid w:val="00712E78"/>
    <w:rsid w:val="00712F9D"/>
    <w:rsid w:val="00713288"/>
    <w:rsid w:val="00713396"/>
    <w:rsid w:val="0071340A"/>
    <w:rsid w:val="0071383C"/>
    <w:rsid w:val="007138DF"/>
    <w:rsid w:val="00713904"/>
    <w:rsid w:val="00713BDF"/>
    <w:rsid w:val="00713D66"/>
    <w:rsid w:val="00713F42"/>
    <w:rsid w:val="007141A7"/>
    <w:rsid w:val="007141B4"/>
    <w:rsid w:val="00714597"/>
    <w:rsid w:val="007146B3"/>
    <w:rsid w:val="007146F1"/>
    <w:rsid w:val="007147A9"/>
    <w:rsid w:val="0071489E"/>
    <w:rsid w:val="00714A31"/>
    <w:rsid w:val="00714C1E"/>
    <w:rsid w:val="00714C60"/>
    <w:rsid w:val="00714E3B"/>
    <w:rsid w:val="00714F22"/>
    <w:rsid w:val="00714FED"/>
    <w:rsid w:val="0071512A"/>
    <w:rsid w:val="00715287"/>
    <w:rsid w:val="00715560"/>
    <w:rsid w:val="007155F6"/>
    <w:rsid w:val="00715722"/>
    <w:rsid w:val="00715BAF"/>
    <w:rsid w:val="00715BF4"/>
    <w:rsid w:val="00715F24"/>
    <w:rsid w:val="00716325"/>
    <w:rsid w:val="00716B3F"/>
    <w:rsid w:val="00716BC0"/>
    <w:rsid w:val="00716CB9"/>
    <w:rsid w:val="00716CF2"/>
    <w:rsid w:val="00716E05"/>
    <w:rsid w:val="00716E67"/>
    <w:rsid w:val="00716F2F"/>
    <w:rsid w:val="0071701A"/>
    <w:rsid w:val="0071711B"/>
    <w:rsid w:val="007173D8"/>
    <w:rsid w:val="00717956"/>
    <w:rsid w:val="00717E26"/>
    <w:rsid w:val="00717F4F"/>
    <w:rsid w:val="00717F85"/>
    <w:rsid w:val="007200B4"/>
    <w:rsid w:val="007200CC"/>
    <w:rsid w:val="007201F3"/>
    <w:rsid w:val="00720253"/>
    <w:rsid w:val="007203DC"/>
    <w:rsid w:val="00720523"/>
    <w:rsid w:val="00720556"/>
    <w:rsid w:val="0072062C"/>
    <w:rsid w:val="0072077A"/>
    <w:rsid w:val="0072088B"/>
    <w:rsid w:val="0072089A"/>
    <w:rsid w:val="007208E2"/>
    <w:rsid w:val="00720A26"/>
    <w:rsid w:val="00720A73"/>
    <w:rsid w:val="00720C65"/>
    <w:rsid w:val="00720E63"/>
    <w:rsid w:val="00720E90"/>
    <w:rsid w:val="00720F6D"/>
    <w:rsid w:val="00720FC5"/>
    <w:rsid w:val="00721032"/>
    <w:rsid w:val="0072114B"/>
    <w:rsid w:val="00721178"/>
    <w:rsid w:val="007211EC"/>
    <w:rsid w:val="007211FD"/>
    <w:rsid w:val="00721307"/>
    <w:rsid w:val="007213C8"/>
    <w:rsid w:val="00721461"/>
    <w:rsid w:val="00721689"/>
    <w:rsid w:val="00721A2D"/>
    <w:rsid w:val="00721B55"/>
    <w:rsid w:val="00721C02"/>
    <w:rsid w:val="00721EDF"/>
    <w:rsid w:val="007221C3"/>
    <w:rsid w:val="007221C8"/>
    <w:rsid w:val="007221CE"/>
    <w:rsid w:val="00722343"/>
    <w:rsid w:val="00722570"/>
    <w:rsid w:val="00722653"/>
    <w:rsid w:val="007229C6"/>
    <w:rsid w:val="00722CA5"/>
    <w:rsid w:val="00723335"/>
    <w:rsid w:val="0072345A"/>
    <w:rsid w:val="00723616"/>
    <w:rsid w:val="007238B1"/>
    <w:rsid w:val="007238FA"/>
    <w:rsid w:val="00723BAB"/>
    <w:rsid w:val="00723D5A"/>
    <w:rsid w:val="00723DA9"/>
    <w:rsid w:val="00723F16"/>
    <w:rsid w:val="00723F1E"/>
    <w:rsid w:val="00723F82"/>
    <w:rsid w:val="00724173"/>
    <w:rsid w:val="007242C5"/>
    <w:rsid w:val="00724338"/>
    <w:rsid w:val="007246A4"/>
    <w:rsid w:val="00724772"/>
    <w:rsid w:val="00724C16"/>
    <w:rsid w:val="00724C42"/>
    <w:rsid w:val="00724DF6"/>
    <w:rsid w:val="00724F48"/>
    <w:rsid w:val="00724F93"/>
    <w:rsid w:val="00724FCD"/>
    <w:rsid w:val="007254B9"/>
    <w:rsid w:val="00725667"/>
    <w:rsid w:val="00725697"/>
    <w:rsid w:val="007256FC"/>
    <w:rsid w:val="00725798"/>
    <w:rsid w:val="00725856"/>
    <w:rsid w:val="00725884"/>
    <w:rsid w:val="00725BEE"/>
    <w:rsid w:val="00725E63"/>
    <w:rsid w:val="00725FA3"/>
    <w:rsid w:val="00725FE3"/>
    <w:rsid w:val="0072627E"/>
    <w:rsid w:val="007265FF"/>
    <w:rsid w:val="00726659"/>
    <w:rsid w:val="00726A27"/>
    <w:rsid w:val="00726AA2"/>
    <w:rsid w:val="00726B0B"/>
    <w:rsid w:val="00726CE4"/>
    <w:rsid w:val="007272CF"/>
    <w:rsid w:val="007273B0"/>
    <w:rsid w:val="007273B9"/>
    <w:rsid w:val="007277B9"/>
    <w:rsid w:val="00727844"/>
    <w:rsid w:val="007278B8"/>
    <w:rsid w:val="007278C0"/>
    <w:rsid w:val="00727F54"/>
    <w:rsid w:val="00727FC9"/>
    <w:rsid w:val="00730079"/>
    <w:rsid w:val="00730274"/>
    <w:rsid w:val="0073036C"/>
    <w:rsid w:val="007305F4"/>
    <w:rsid w:val="0073082E"/>
    <w:rsid w:val="00730857"/>
    <w:rsid w:val="00730872"/>
    <w:rsid w:val="00730949"/>
    <w:rsid w:val="00730C23"/>
    <w:rsid w:val="00730D6C"/>
    <w:rsid w:val="00730FC5"/>
    <w:rsid w:val="007310A4"/>
    <w:rsid w:val="0073128E"/>
    <w:rsid w:val="007312D8"/>
    <w:rsid w:val="00731317"/>
    <w:rsid w:val="00731459"/>
    <w:rsid w:val="007315EA"/>
    <w:rsid w:val="00731776"/>
    <w:rsid w:val="00731BB0"/>
    <w:rsid w:val="00731D5E"/>
    <w:rsid w:val="00731F24"/>
    <w:rsid w:val="00732115"/>
    <w:rsid w:val="007321FA"/>
    <w:rsid w:val="00732487"/>
    <w:rsid w:val="00732523"/>
    <w:rsid w:val="00732610"/>
    <w:rsid w:val="00732740"/>
    <w:rsid w:val="00732C63"/>
    <w:rsid w:val="00732F55"/>
    <w:rsid w:val="00732F69"/>
    <w:rsid w:val="00733138"/>
    <w:rsid w:val="00733316"/>
    <w:rsid w:val="00733510"/>
    <w:rsid w:val="00733667"/>
    <w:rsid w:val="00733831"/>
    <w:rsid w:val="00733A10"/>
    <w:rsid w:val="00733A33"/>
    <w:rsid w:val="00733CA1"/>
    <w:rsid w:val="00733CBB"/>
    <w:rsid w:val="00733D3B"/>
    <w:rsid w:val="00733F61"/>
    <w:rsid w:val="00734143"/>
    <w:rsid w:val="007341F6"/>
    <w:rsid w:val="00734218"/>
    <w:rsid w:val="00734470"/>
    <w:rsid w:val="007345F5"/>
    <w:rsid w:val="007346B3"/>
    <w:rsid w:val="0073471A"/>
    <w:rsid w:val="007347A7"/>
    <w:rsid w:val="00734A7E"/>
    <w:rsid w:val="00734BF2"/>
    <w:rsid w:val="00735059"/>
    <w:rsid w:val="007351C0"/>
    <w:rsid w:val="00735302"/>
    <w:rsid w:val="0073539F"/>
    <w:rsid w:val="0073542E"/>
    <w:rsid w:val="00735679"/>
    <w:rsid w:val="00735904"/>
    <w:rsid w:val="00735AD3"/>
    <w:rsid w:val="00735AE9"/>
    <w:rsid w:val="00735B0D"/>
    <w:rsid w:val="00735C51"/>
    <w:rsid w:val="00735D63"/>
    <w:rsid w:val="00735E15"/>
    <w:rsid w:val="00735EF8"/>
    <w:rsid w:val="00735F66"/>
    <w:rsid w:val="007360D2"/>
    <w:rsid w:val="007366BC"/>
    <w:rsid w:val="0073694F"/>
    <w:rsid w:val="00736AAD"/>
    <w:rsid w:val="00737499"/>
    <w:rsid w:val="007375C8"/>
    <w:rsid w:val="007378F8"/>
    <w:rsid w:val="007379C7"/>
    <w:rsid w:val="007379D1"/>
    <w:rsid w:val="00737C74"/>
    <w:rsid w:val="00737CA8"/>
    <w:rsid w:val="00737D03"/>
    <w:rsid w:val="00737E47"/>
    <w:rsid w:val="0074006E"/>
    <w:rsid w:val="00740185"/>
    <w:rsid w:val="00740469"/>
    <w:rsid w:val="00740499"/>
    <w:rsid w:val="0074068A"/>
    <w:rsid w:val="007406CF"/>
    <w:rsid w:val="007406F7"/>
    <w:rsid w:val="007407A2"/>
    <w:rsid w:val="00740A10"/>
    <w:rsid w:val="00740B28"/>
    <w:rsid w:val="00740CC4"/>
    <w:rsid w:val="00740EAC"/>
    <w:rsid w:val="00740F55"/>
    <w:rsid w:val="00741124"/>
    <w:rsid w:val="0074113B"/>
    <w:rsid w:val="00741428"/>
    <w:rsid w:val="0074148F"/>
    <w:rsid w:val="00741551"/>
    <w:rsid w:val="00741636"/>
    <w:rsid w:val="00741723"/>
    <w:rsid w:val="007417A3"/>
    <w:rsid w:val="007419E9"/>
    <w:rsid w:val="00741C3A"/>
    <w:rsid w:val="00741C8A"/>
    <w:rsid w:val="00741CA9"/>
    <w:rsid w:val="00741ED7"/>
    <w:rsid w:val="00741F72"/>
    <w:rsid w:val="00742042"/>
    <w:rsid w:val="00742060"/>
    <w:rsid w:val="00742448"/>
    <w:rsid w:val="0074282F"/>
    <w:rsid w:val="007428D1"/>
    <w:rsid w:val="00742A39"/>
    <w:rsid w:val="00742F23"/>
    <w:rsid w:val="0074302B"/>
    <w:rsid w:val="0074314E"/>
    <w:rsid w:val="00743161"/>
    <w:rsid w:val="0074336F"/>
    <w:rsid w:val="0074337C"/>
    <w:rsid w:val="007433F2"/>
    <w:rsid w:val="00743811"/>
    <w:rsid w:val="007439EE"/>
    <w:rsid w:val="00743AD9"/>
    <w:rsid w:val="00743BD6"/>
    <w:rsid w:val="00743D8D"/>
    <w:rsid w:val="00743EFB"/>
    <w:rsid w:val="00743F85"/>
    <w:rsid w:val="00744260"/>
    <w:rsid w:val="0074428E"/>
    <w:rsid w:val="0074455A"/>
    <w:rsid w:val="00744690"/>
    <w:rsid w:val="007446C0"/>
    <w:rsid w:val="00744956"/>
    <w:rsid w:val="00744B0E"/>
    <w:rsid w:val="00744BC5"/>
    <w:rsid w:val="00744FC6"/>
    <w:rsid w:val="0074529B"/>
    <w:rsid w:val="007452E6"/>
    <w:rsid w:val="00745590"/>
    <w:rsid w:val="0074567B"/>
    <w:rsid w:val="0074571A"/>
    <w:rsid w:val="00745812"/>
    <w:rsid w:val="0074596E"/>
    <w:rsid w:val="00745A5C"/>
    <w:rsid w:val="00745BF5"/>
    <w:rsid w:val="0074605F"/>
    <w:rsid w:val="00746067"/>
    <w:rsid w:val="0074623B"/>
    <w:rsid w:val="0074682A"/>
    <w:rsid w:val="00746AA5"/>
    <w:rsid w:val="00746BCE"/>
    <w:rsid w:val="00746CC2"/>
    <w:rsid w:val="00746FFE"/>
    <w:rsid w:val="0074721D"/>
    <w:rsid w:val="00747373"/>
    <w:rsid w:val="007475E9"/>
    <w:rsid w:val="00747667"/>
    <w:rsid w:val="0074777E"/>
    <w:rsid w:val="007477AB"/>
    <w:rsid w:val="007477BB"/>
    <w:rsid w:val="0074794C"/>
    <w:rsid w:val="00747A95"/>
    <w:rsid w:val="00747ABB"/>
    <w:rsid w:val="00747E94"/>
    <w:rsid w:val="00747F32"/>
    <w:rsid w:val="00747F3D"/>
    <w:rsid w:val="00747FD1"/>
    <w:rsid w:val="0075000E"/>
    <w:rsid w:val="007503B6"/>
    <w:rsid w:val="00750486"/>
    <w:rsid w:val="0075056C"/>
    <w:rsid w:val="00750A54"/>
    <w:rsid w:val="00750ADA"/>
    <w:rsid w:val="00750C51"/>
    <w:rsid w:val="00750D23"/>
    <w:rsid w:val="00750EC9"/>
    <w:rsid w:val="00750FC2"/>
    <w:rsid w:val="007512D0"/>
    <w:rsid w:val="007515F3"/>
    <w:rsid w:val="00751679"/>
    <w:rsid w:val="00751907"/>
    <w:rsid w:val="0075195E"/>
    <w:rsid w:val="00751F9F"/>
    <w:rsid w:val="00752036"/>
    <w:rsid w:val="0075261E"/>
    <w:rsid w:val="0075263C"/>
    <w:rsid w:val="00752684"/>
    <w:rsid w:val="00752693"/>
    <w:rsid w:val="0075269E"/>
    <w:rsid w:val="007526BC"/>
    <w:rsid w:val="007528B0"/>
    <w:rsid w:val="00752918"/>
    <w:rsid w:val="00752AE2"/>
    <w:rsid w:val="00752BB1"/>
    <w:rsid w:val="00752FEE"/>
    <w:rsid w:val="0075375D"/>
    <w:rsid w:val="007538B9"/>
    <w:rsid w:val="00753AA6"/>
    <w:rsid w:val="00753DBB"/>
    <w:rsid w:val="00753DBD"/>
    <w:rsid w:val="00753F26"/>
    <w:rsid w:val="00754128"/>
    <w:rsid w:val="00754240"/>
    <w:rsid w:val="0075445D"/>
    <w:rsid w:val="0075463D"/>
    <w:rsid w:val="00754743"/>
    <w:rsid w:val="00754BC8"/>
    <w:rsid w:val="00754C83"/>
    <w:rsid w:val="00754D1A"/>
    <w:rsid w:val="00754D5A"/>
    <w:rsid w:val="00755268"/>
    <w:rsid w:val="007552F0"/>
    <w:rsid w:val="0075548D"/>
    <w:rsid w:val="007554E4"/>
    <w:rsid w:val="00755589"/>
    <w:rsid w:val="007556D5"/>
    <w:rsid w:val="00755818"/>
    <w:rsid w:val="00755B16"/>
    <w:rsid w:val="00755CA5"/>
    <w:rsid w:val="00755F40"/>
    <w:rsid w:val="0075618B"/>
    <w:rsid w:val="007563F5"/>
    <w:rsid w:val="007567E6"/>
    <w:rsid w:val="00756823"/>
    <w:rsid w:val="0075688F"/>
    <w:rsid w:val="0075689B"/>
    <w:rsid w:val="00756A2D"/>
    <w:rsid w:val="00756AAD"/>
    <w:rsid w:val="00756C13"/>
    <w:rsid w:val="00756FCC"/>
    <w:rsid w:val="0075714D"/>
    <w:rsid w:val="0075729E"/>
    <w:rsid w:val="007573E5"/>
    <w:rsid w:val="00757565"/>
    <w:rsid w:val="00757775"/>
    <w:rsid w:val="007577E8"/>
    <w:rsid w:val="00757ABE"/>
    <w:rsid w:val="00757CA1"/>
    <w:rsid w:val="0076013D"/>
    <w:rsid w:val="0076015A"/>
    <w:rsid w:val="0076017E"/>
    <w:rsid w:val="007602D9"/>
    <w:rsid w:val="007602FA"/>
    <w:rsid w:val="0076043B"/>
    <w:rsid w:val="0076064D"/>
    <w:rsid w:val="00760963"/>
    <w:rsid w:val="00760ADE"/>
    <w:rsid w:val="00760C98"/>
    <w:rsid w:val="00760E21"/>
    <w:rsid w:val="00760F01"/>
    <w:rsid w:val="0076108C"/>
    <w:rsid w:val="007614E6"/>
    <w:rsid w:val="00761847"/>
    <w:rsid w:val="00761B6B"/>
    <w:rsid w:val="00761C47"/>
    <w:rsid w:val="00761E5C"/>
    <w:rsid w:val="00761EFD"/>
    <w:rsid w:val="007620A4"/>
    <w:rsid w:val="007623EC"/>
    <w:rsid w:val="007623F3"/>
    <w:rsid w:val="00762616"/>
    <w:rsid w:val="00762A99"/>
    <w:rsid w:val="00762FDD"/>
    <w:rsid w:val="00763069"/>
    <w:rsid w:val="0076326A"/>
    <w:rsid w:val="007632E0"/>
    <w:rsid w:val="00763308"/>
    <w:rsid w:val="00763374"/>
    <w:rsid w:val="007633E0"/>
    <w:rsid w:val="00763464"/>
    <w:rsid w:val="00763844"/>
    <w:rsid w:val="00763C87"/>
    <w:rsid w:val="00763CCE"/>
    <w:rsid w:val="0076404D"/>
    <w:rsid w:val="00764174"/>
    <w:rsid w:val="007642E7"/>
    <w:rsid w:val="007644DD"/>
    <w:rsid w:val="007645FD"/>
    <w:rsid w:val="00764B3D"/>
    <w:rsid w:val="00764F9F"/>
    <w:rsid w:val="0076509E"/>
    <w:rsid w:val="0076516B"/>
    <w:rsid w:val="007653BE"/>
    <w:rsid w:val="00765456"/>
    <w:rsid w:val="007655F4"/>
    <w:rsid w:val="00765663"/>
    <w:rsid w:val="007656E3"/>
    <w:rsid w:val="007657DE"/>
    <w:rsid w:val="00765BE2"/>
    <w:rsid w:val="00765DA5"/>
    <w:rsid w:val="00765DC8"/>
    <w:rsid w:val="00765DF8"/>
    <w:rsid w:val="00765F98"/>
    <w:rsid w:val="0076642D"/>
    <w:rsid w:val="00766537"/>
    <w:rsid w:val="00766749"/>
    <w:rsid w:val="00766AED"/>
    <w:rsid w:val="00766C01"/>
    <w:rsid w:val="00766CAD"/>
    <w:rsid w:val="007672A6"/>
    <w:rsid w:val="007672E6"/>
    <w:rsid w:val="007675C9"/>
    <w:rsid w:val="00767A9E"/>
    <w:rsid w:val="00767C1B"/>
    <w:rsid w:val="00767C7D"/>
    <w:rsid w:val="00767E23"/>
    <w:rsid w:val="00767EF0"/>
    <w:rsid w:val="00770271"/>
    <w:rsid w:val="0077038C"/>
    <w:rsid w:val="0077039E"/>
    <w:rsid w:val="00770698"/>
    <w:rsid w:val="00770706"/>
    <w:rsid w:val="007707F5"/>
    <w:rsid w:val="00770A1F"/>
    <w:rsid w:val="00770AC9"/>
    <w:rsid w:val="00770B3F"/>
    <w:rsid w:val="00770E04"/>
    <w:rsid w:val="00770E3E"/>
    <w:rsid w:val="00770EA3"/>
    <w:rsid w:val="00770EF2"/>
    <w:rsid w:val="00771107"/>
    <w:rsid w:val="007712DB"/>
    <w:rsid w:val="007714A9"/>
    <w:rsid w:val="00771501"/>
    <w:rsid w:val="00771744"/>
    <w:rsid w:val="00771797"/>
    <w:rsid w:val="00771813"/>
    <w:rsid w:val="00771960"/>
    <w:rsid w:val="00771AE9"/>
    <w:rsid w:val="00771B55"/>
    <w:rsid w:val="00771BDA"/>
    <w:rsid w:val="00771CAA"/>
    <w:rsid w:val="00771FEC"/>
    <w:rsid w:val="0077216B"/>
    <w:rsid w:val="0077244E"/>
    <w:rsid w:val="0077246D"/>
    <w:rsid w:val="00772805"/>
    <w:rsid w:val="00772994"/>
    <w:rsid w:val="00772A4E"/>
    <w:rsid w:val="00772A57"/>
    <w:rsid w:val="00772CEE"/>
    <w:rsid w:val="00773291"/>
    <w:rsid w:val="00773528"/>
    <w:rsid w:val="00773590"/>
    <w:rsid w:val="0077376C"/>
    <w:rsid w:val="007737CF"/>
    <w:rsid w:val="007738B6"/>
    <w:rsid w:val="007738F1"/>
    <w:rsid w:val="00773935"/>
    <w:rsid w:val="007739EC"/>
    <w:rsid w:val="00773A0C"/>
    <w:rsid w:val="00773A71"/>
    <w:rsid w:val="00773BB3"/>
    <w:rsid w:val="00773D13"/>
    <w:rsid w:val="00773FD7"/>
    <w:rsid w:val="00774258"/>
    <w:rsid w:val="00774304"/>
    <w:rsid w:val="007745B9"/>
    <w:rsid w:val="00774779"/>
    <w:rsid w:val="00774AD3"/>
    <w:rsid w:val="00774B5A"/>
    <w:rsid w:val="00774C07"/>
    <w:rsid w:val="00774F1D"/>
    <w:rsid w:val="00774F88"/>
    <w:rsid w:val="00774FDB"/>
    <w:rsid w:val="007751D1"/>
    <w:rsid w:val="00775292"/>
    <w:rsid w:val="0077545E"/>
    <w:rsid w:val="007755E2"/>
    <w:rsid w:val="007756A8"/>
    <w:rsid w:val="00775751"/>
    <w:rsid w:val="00775828"/>
    <w:rsid w:val="0077595C"/>
    <w:rsid w:val="00775B05"/>
    <w:rsid w:val="00775D13"/>
    <w:rsid w:val="00775DF6"/>
    <w:rsid w:val="00775E31"/>
    <w:rsid w:val="00775ECB"/>
    <w:rsid w:val="00775F49"/>
    <w:rsid w:val="00775F61"/>
    <w:rsid w:val="00775FEA"/>
    <w:rsid w:val="0077601D"/>
    <w:rsid w:val="007761F8"/>
    <w:rsid w:val="00776290"/>
    <w:rsid w:val="007762E0"/>
    <w:rsid w:val="00776305"/>
    <w:rsid w:val="00776334"/>
    <w:rsid w:val="00776369"/>
    <w:rsid w:val="007763AA"/>
    <w:rsid w:val="00776412"/>
    <w:rsid w:val="0077648B"/>
    <w:rsid w:val="007764CF"/>
    <w:rsid w:val="00776534"/>
    <w:rsid w:val="0077676A"/>
    <w:rsid w:val="007769A5"/>
    <w:rsid w:val="00776ACE"/>
    <w:rsid w:val="00776D7E"/>
    <w:rsid w:val="00776E61"/>
    <w:rsid w:val="00776F94"/>
    <w:rsid w:val="007773F9"/>
    <w:rsid w:val="007774AC"/>
    <w:rsid w:val="00777892"/>
    <w:rsid w:val="00777A05"/>
    <w:rsid w:val="00777A64"/>
    <w:rsid w:val="00777B03"/>
    <w:rsid w:val="00777BA2"/>
    <w:rsid w:val="00777BAF"/>
    <w:rsid w:val="00777BF5"/>
    <w:rsid w:val="00777C58"/>
    <w:rsid w:val="007800C2"/>
    <w:rsid w:val="007802E9"/>
    <w:rsid w:val="00780773"/>
    <w:rsid w:val="00780B20"/>
    <w:rsid w:val="00781095"/>
    <w:rsid w:val="00781408"/>
    <w:rsid w:val="0078198F"/>
    <w:rsid w:val="00782058"/>
    <w:rsid w:val="007822C8"/>
    <w:rsid w:val="00782448"/>
    <w:rsid w:val="007824E6"/>
    <w:rsid w:val="0078276B"/>
    <w:rsid w:val="00782804"/>
    <w:rsid w:val="00782AAA"/>
    <w:rsid w:val="00782B57"/>
    <w:rsid w:val="00782C12"/>
    <w:rsid w:val="00782CE8"/>
    <w:rsid w:val="00782FAA"/>
    <w:rsid w:val="00782FB9"/>
    <w:rsid w:val="007830A3"/>
    <w:rsid w:val="007830BF"/>
    <w:rsid w:val="007832B1"/>
    <w:rsid w:val="007836CC"/>
    <w:rsid w:val="00783977"/>
    <w:rsid w:val="00783D32"/>
    <w:rsid w:val="00783F5E"/>
    <w:rsid w:val="007840D8"/>
    <w:rsid w:val="0078417C"/>
    <w:rsid w:val="0078421C"/>
    <w:rsid w:val="00784364"/>
    <w:rsid w:val="007843E2"/>
    <w:rsid w:val="00784509"/>
    <w:rsid w:val="00784522"/>
    <w:rsid w:val="0078457D"/>
    <w:rsid w:val="007846E2"/>
    <w:rsid w:val="00784901"/>
    <w:rsid w:val="00784980"/>
    <w:rsid w:val="00784AD0"/>
    <w:rsid w:val="00784E1A"/>
    <w:rsid w:val="00784F7F"/>
    <w:rsid w:val="00785429"/>
    <w:rsid w:val="007854F2"/>
    <w:rsid w:val="00785588"/>
    <w:rsid w:val="00785593"/>
    <w:rsid w:val="0078567D"/>
    <w:rsid w:val="00785852"/>
    <w:rsid w:val="00785876"/>
    <w:rsid w:val="0078596B"/>
    <w:rsid w:val="00785BD6"/>
    <w:rsid w:val="00785CD5"/>
    <w:rsid w:val="00785E2C"/>
    <w:rsid w:val="007860BE"/>
    <w:rsid w:val="0078621D"/>
    <w:rsid w:val="00786248"/>
    <w:rsid w:val="007862E9"/>
    <w:rsid w:val="00786345"/>
    <w:rsid w:val="00786408"/>
    <w:rsid w:val="0078640A"/>
    <w:rsid w:val="00786A5A"/>
    <w:rsid w:val="00786CD2"/>
    <w:rsid w:val="00786DE5"/>
    <w:rsid w:val="00787028"/>
    <w:rsid w:val="0078704B"/>
    <w:rsid w:val="007878BD"/>
    <w:rsid w:val="00787938"/>
    <w:rsid w:val="00787B81"/>
    <w:rsid w:val="00787F7B"/>
    <w:rsid w:val="0079020F"/>
    <w:rsid w:val="00790360"/>
    <w:rsid w:val="00790490"/>
    <w:rsid w:val="0079055A"/>
    <w:rsid w:val="007906B8"/>
    <w:rsid w:val="0079093C"/>
    <w:rsid w:val="00790AB5"/>
    <w:rsid w:val="00790C3C"/>
    <w:rsid w:val="00790DFF"/>
    <w:rsid w:val="00790F06"/>
    <w:rsid w:val="00791175"/>
    <w:rsid w:val="00791530"/>
    <w:rsid w:val="0079160C"/>
    <w:rsid w:val="0079188E"/>
    <w:rsid w:val="00791B0D"/>
    <w:rsid w:val="00791EB9"/>
    <w:rsid w:val="00791ECB"/>
    <w:rsid w:val="007921D4"/>
    <w:rsid w:val="007921E8"/>
    <w:rsid w:val="007924F9"/>
    <w:rsid w:val="007924FC"/>
    <w:rsid w:val="00792539"/>
    <w:rsid w:val="00792709"/>
    <w:rsid w:val="007929E8"/>
    <w:rsid w:val="00792D8C"/>
    <w:rsid w:val="00793045"/>
    <w:rsid w:val="00793150"/>
    <w:rsid w:val="00793228"/>
    <w:rsid w:val="00793596"/>
    <w:rsid w:val="007935A7"/>
    <w:rsid w:val="00793737"/>
    <w:rsid w:val="0079380E"/>
    <w:rsid w:val="00793B86"/>
    <w:rsid w:val="00793B9D"/>
    <w:rsid w:val="00793C83"/>
    <w:rsid w:val="00793D43"/>
    <w:rsid w:val="00793D53"/>
    <w:rsid w:val="00793EE2"/>
    <w:rsid w:val="00794069"/>
    <w:rsid w:val="0079414E"/>
    <w:rsid w:val="007943FD"/>
    <w:rsid w:val="007944C7"/>
    <w:rsid w:val="00794524"/>
    <w:rsid w:val="00794731"/>
    <w:rsid w:val="007948D3"/>
    <w:rsid w:val="007949F6"/>
    <w:rsid w:val="007951CB"/>
    <w:rsid w:val="0079545E"/>
    <w:rsid w:val="007954A1"/>
    <w:rsid w:val="00795675"/>
    <w:rsid w:val="007956F8"/>
    <w:rsid w:val="00795C00"/>
    <w:rsid w:val="00795FA6"/>
    <w:rsid w:val="007961AF"/>
    <w:rsid w:val="007961CF"/>
    <w:rsid w:val="007962D6"/>
    <w:rsid w:val="00796DC0"/>
    <w:rsid w:val="00796E0E"/>
    <w:rsid w:val="00796F25"/>
    <w:rsid w:val="007970F0"/>
    <w:rsid w:val="00797148"/>
    <w:rsid w:val="00797256"/>
    <w:rsid w:val="00797499"/>
    <w:rsid w:val="00797603"/>
    <w:rsid w:val="007978B4"/>
    <w:rsid w:val="00797ABF"/>
    <w:rsid w:val="00797E03"/>
    <w:rsid w:val="00797ECC"/>
    <w:rsid w:val="00797FA7"/>
    <w:rsid w:val="007A000A"/>
    <w:rsid w:val="007A01A9"/>
    <w:rsid w:val="007A020D"/>
    <w:rsid w:val="007A05C4"/>
    <w:rsid w:val="007A05CE"/>
    <w:rsid w:val="007A0E90"/>
    <w:rsid w:val="007A0F64"/>
    <w:rsid w:val="007A1208"/>
    <w:rsid w:val="007A1249"/>
    <w:rsid w:val="007A13D7"/>
    <w:rsid w:val="007A143E"/>
    <w:rsid w:val="007A1D49"/>
    <w:rsid w:val="007A1D63"/>
    <w:rsid w:val="007A1FC7"/>
    <w:rsid w:val="007A205C"/>
    <w:rsid w:val="007A2139"/>
    <w:rsid w:val="007A26EE"/>
    <w:rsid w:val="007A27ED"/>
    <w:rsid w:val="007A289A"/>
    <w:rsid w:val="007A2A55"/>
    <w:rsid w:val="007A2AD7"/>
    <w:rsid w:val="007A2E98"/>
    <w:rsid w:val="007A2F46"/>
    <w:rsid w:val="007A3089"/>
    <w:rsid w:val="007A30C8"/>
    <w:rsid w:val="007A32F9"/>
    <w:rsid w:val="007A33B5"/>
    <w:rsid w:val="007A34F6"/>
    <w:rsid w:val="007A3526"/>
    <w:rsid w:val="007A3839"/>
    <w:rsid w:val="007A3BA3"/>
    <w:rsid w:val="007A3D3C"/>
    <w:rsid w:val="007A3D42"/>
    <w:rsid w:val="007A3DF5"/>
    <w:rsid w:val="007A3E4A"/>
    <w:rsid w:val="007A3E51"/>
    <w:rsid w:val="007A3FDE"/>
    <w:rsid w:val="007A410A"/>
    <w:rsid w:val="007A41F8"/>
    <w:rsid w:val="007A4207"/>
    <w:rsid w:val="007A47AC"/>
    <w:rsid w:val="007A49A7"/>
    <w:rsid w:val="007A4F7D"/>
    <w:rsid w:val="007A501E"/>
    <w:rsid w:val="007A5039"/>
    <w:rsid w:val="007A50A0"/>
    <w:rsid w:val="007A535D"/>
    <w:rsid w:val="007A53FD"/>
    <w:rsid w:val="007A5E1C"/>
    <w:rsid w:val="007A5EE3"/>
    <w:rsid w:val="007A6046"/>
    <w:rsid w:val="007A6563"/>
    <w:rsid w:val="007A675C"/>
    <w:rsid w:val="007A6950"/>
    <w:rsid w:val="007A6A99"/>
    <w:rsid w:val="007A6B14"/>
    <w:rsid w:val="007A6CC0"/>
    <w:rsid w:val="007A6CCA"/>
    <w:rsid w:val="007A6CDC"/>
    <w:rsid w:val="007A6CF4"/>
    <w:rsid w:val="007A6FA2"/>
    <w:rsid w:val="007A7228"/>
    <w:rsid w:val="007A741A"/>
    <w:rsid w:val="007A782B"/>
    <w:rsid w:val="007A7988"/>
    <w:rsid w:val="007A7A5C"/>
    <w:rsid w:val="007A7F58"/>
    <w:rsid w:val="007A7FEC"/>
    <w:rsid w:val="007B0185"/>
    <w:rsid w:val="007B05E8"/>
    <w:rsid w:val="007B05FD"/>
    <w:rsid w:val="007B0734"/>
    <w:rsid w:val="007B07D6"/>
    <w:rsid w:val="007B0839"/>
    <w:rsid w:val="007B089B"/>
    <w:rsid w:val="007B09DE"/>
    <w:rsid w:val="007B0B75"/>
    <w:rsid w:val="007B0DA1"/>
    <w:rsid w:val="007B0DC7"/>
    <w:rsid w:val="007B0E44"/>
    <w:rsid w:val="007B123E"/>
    <w:rsid w:val="007B1499"/>
    <w:rsid w:val="007B16F2"/>
    <w:rsid w:val="007B1789"/>
    <w:rsid w:val="007B1BBF"/>
    <w:rsid w:val="007B1C9A"/>
    <w:rsid w:val="007B1D23"/>
    <w:rsid w:val="007B1D7F"/>
    <w:rsid w:val="007B1E90"/>
    <w:rsid w:val="007B2084"/>
    <w:rsid w:val="007B21C2"/>
    <w:rsid w:val="007B241C"/>
    <w:rsid w:val="007B27EC"/>
    <w:rsid w:val="007B2918"/>
    <w:rsid w:val="007B2960"/>
    <w:rsid w:val="007B297C"/>
    <w:rsid w:val="007B29E6"/>
    <w:rsid w:val="007B2B4A"/>
    <w:rsid w:val="007B2C20"/>
    <w:rsid w:val="007B2CCE"/>
    <w:rsid w:val="007B2D00"/>
    <w:rsid w:val="007B3004"/>
    <w:rsid w:val="007B337C"/>
    <w:rsid w:val="007B3463"/>
    <w:rsid w:val="007B34CE"/>
    <w:rsid w:val="007B355D"/>
    <w:rsid w:val="007B361E"/>
    <w:rsid w:val="007B37CF"/>
    <w:rsid w:val="007B37FA"/>
    <w:rsid w:val="007B3869"/>
    <w:rsid w:val="007B3C42"/>
    <w:rsid w:val="007B3E17"/>
    <w:rsid w:val="007B40D6"/>
    <w:rsid w:val="007B4469"/>
    <w:rsid w:val="007B44D8"/>
    <w:rsid w:val="007B450C"/>
    <w:rsid w:val="007B45E4"/>
    <w:rsid w:val="007B4702"/>
    <w:rsid w:val="007B471E"/>
    <w:rsid w:val="007B48E2"/>
    <w:rsid w:val="007B4A9B"/>
    <w:rsid w:val="007B4E7A"/>
    <w:rsid w:val="007B5030"/>
    <w:rsid w:val="007B50DA"/>
    <w:rsid w:val="007B52BB"/>
    <w:rsid w:val="007B53A3"/>
    <w:rsid w:val="007B54A9"/>
    <w:rsid w:val="007B54C6"/>
    <w:rsid w:val="007B5555"/>
    <w:rsid w:val="007B56E8"/>
    <w:rsid w:val="007B5862"/>
    <w:rsid w:val="007B5964"/>
    <w:rsid w:val="007B5BE3"/>
    <w:rsid w:val="007B5E4D"/>
    <w:rsid w:val="007B5F9C"/>
    <w:rsid w:val="007B6081"/>
    <w:rsid w:val="007B608C"/>
    <w:rsid w:val="007B6287"/>
    <w:rsid w:val="007B6461"/>
    <w:rsid w:val="007B6837"/>
    <w:rsid w:val="007B6AB8"/>
    <w:rsid w:val="007B71BF"/>
    <w:rsid w:val="007B71F9"/>
    <w:rsid w:val="007B7393"/>
    <w:rsid w:val="007B7587"/>
    <w:rsid w:val="007B77F0"/>
    <w:rsid w:val="007B7838"/>
    <w:rsid w:val="007B7980"/>
    <w:rsid w:val="007B7ADA"/>
    <w:rsid w:val="007B7B08"/>
    <w:rsid w:val="007B7F13"/>
    <w:rsid w:val="007B7FF2"/>
    <w:rsid w:val="007C00AE"/>
    <w:rsid w:val="007C00C2"/>
    <w:rsid w:val="007C018B"/>
    <w:rsid w:val="007C0440"/>
    <w:rsid w:val="007C0798"/>
    <w:rsid w:val="007C080B"/>
    <w:rsid w:val="007C0858"/>
    <w:rsid w:val="007C0979"/>
    <w:rsid w:val="007C09ED"/>
    <w:rsid w:val="007C0B06"/>
    <w:rsid w:val="007C0DE9"/>
    <w:rsid w:val="007C0DEF"/>
    <w:rsid w:val="007C0E0A"/>
    <w:rsid w:val="007C129F"/>
    <w:rsid w:val="007C12F2"/>
    <w:rsid w:val="007C1346"/>
    <w:rsid w:val="007C1582"/>
    <w:rsid w:val="007C182B"/>
    <w:rsid w:val="007C1AAE"/>
    <w:rsid w:val="007C1D81"/>
    <w:rsid w:val="007C1D93"/>
    <w:rsid w:val="007C1EC1"/>
    <w:rsid w:val="007C1EC9"/>
    <w:rsid w:val="007C22EF"/>
    <w:rsid w:val="007C24E6"/>
    <w:rsid w:val="007C25CB"/>
    <w:rsid w:val="007C2610"/>
    <w:rsid w:val="007C26FA"/>
    <w:rsid w:val="007C2BFB"/>
    <w:rsid w:val="007C2DE5"/>
    <w:rsid w:val="007C3075"/>
    <w:rsid w:val="007C313A"/>
    <w:rsid w:val="007C31DA"/>
    <w:rsid w:val="007C331C"/>
    <w:rsid w:val="007C3321"/>
    <w:rsid w:val="007C33B9"/>
    <w:rsid w:val="007C355B"/>
    <w:rsid w:val="007C36A4"/>
    <w:rsid w:val="007C3ADA"/>
    <w:rsid w:val="007C3AE2"/>
    <w:rsid w:val="007C3E9E"/>
    <w:rsid w:val="007C41DA"/>
    <w:rsid w:val="007C4562"/>
    <w:rsid w:val="007C4A36"/>
    <w:rsid w:val="007C4DD0"/>
    <w:rsid w:val="007C4E10"/>
    <w:rsid w:val="007C54D4"/>
    <w:rsid w:val="007C5721"/>
    <w:rsid w:val="007C57A1"/>
    <w:rsid w:val="007C5837"/>
    <w:rsid w:val="007C58D4"/>
    <w:rsid w:val="007C597F"/>
    <w:rsid w:val="007C5B22"/>
    <w:rsid w:val="007C5BDD"/>
    <w:rsid w:val="007C5D5A"/>
    <w:rsid w:val="007C5FF8"/>
    <w:rsid w:val="007C607F"/>
    <w:rsid w:val="007C67F9"/>
    <w:rsid w:val="007C68DB"/>
    <w:rsid w:val="007C6C80"/>
    <w:rsid w:val="007C6E3B"/>
    <w:rsid w:val="007C6F10"/>
    <w:rsid w:val="007C6F5A"/>
    <w:rsid w:val="007C6F6C"/>
    <w:rsid w:val="007C713B"/>
    <w:rsid w:val="007C71D3"/>
    <w:rsid w:val="007C7363"/>
    <w:rsid w:val="007C7743"/>
    <w:rsid w:val="007C789B"/>
    <w:rsid w:val="007C79DD"/>
    <w:rsid w:val="007C7C5B"/>
    <w:rsid w:val="007C7E41"/>
    <w:rsid w:val="007D00FF"/>
    <w:rsid w:val="007D0101"/>
    <w:rsid w:val="007D0192"/>
    <w:rsid w:val="007D058B"/>
    <w:rsid w:val="007D05E6"/>
    <w:rsid w:val="007D0949"/>
    <w:rsid w:val="007D0BC1"/>
    <w:rsid w:val="007D0DF2"/>
    <w:rsid w:val="007D0DF9"/>
    <w:rsid w:val="007D0F13"/>
    <w:rsid w:val="007D0FE5"/>
    <w:rsid w:val="007D1097"/>
    <w:rsid w:val="007D1494"/>
    <w:rsid w:val="007D1A97"/>
    <w:rsid w:val="007D1B9F"/>
    <w:rsid w:val="007D1BF0"/>
    <w:rsid w:val="007D1CFA"/>
    <w:rsid w:val="007D1D2B"/>
    <w:rsid w:val="007D1E05"/>
    <w:rsid w:val="007D1E4F"/>
    <w:rsid w:val="007D1F2E"/>
    <w:rsid w:val="007D1F5B"/>
    <w:rsid w:val="007D2163"/>
    <w:rsid w:val="007D21FA"/>
    <w:rsid w:val="007D2246"/>
    <w:rsid w:val="007D2333"/>
    <w:rsid w:val="007D2415"/>
    <w:rsid w:val="007D24F9"/>
    <w:rsid w:val="007D2A2E"/>
    <w:rsid w:val="007D2CA9"/>
    <w:rsid w:val="007D2CD6"/>
    <w:rsid w:val="007D2CE8"/>
    <w:rsid w:val="007D2DFB"/>
    <w:rsid w:val="007D3063"/>
    <w:rsid w:val="007D312E"/>
    <w:rsid w:val="007D3193"/>
    <w:rsid w:val="007D31D1"/>
    <w:rsid w:val="007D3257"/>
    <w:rsid w:val="007D3302"/>
    <w:rsid w:val="007D34CA"/>
    <w:rsid w:val="007D3956"/>
    <w:rsid w:val="007D3C19"/>
    <w:rsid w:val="007D3C93"/>
    <w:rsid w:val="007D3CEB"/>
    <w:rsid w:val="007D3DAA"/>
    <w:rsid w:val="007D3F1A"/>
    <w:rsid w:val="007D3F25"/>
    <w:rsid w:val="007D4399"/>
    <w:rsid w:val="007D4553"/>
    <w:rsid w:val="007D46D5"/>
    <w:rsid w:val="007D48A3"/>
    <w:rsid w:val="007D4DE7"/>
    <w:rsid w:val="007D4E6A"/>
    <w:rsid w:val="007D505C"/>
    <w:rsid w:val="007D5304"/>
    <w:rsid w:val="007D5352"/>
    <w:rsid w:val="007D5368"/>
    <w:rsid w:val="007D565C"/>
    <w:rsid w:val="007D59AA"/>
    <w:rsid w:val="007D59E0"/>
    <w:rsid w:val="007D5DCC"/>
    <w:rsid w:val="007D5E0D"/>
    <w:rsid w:val="007D5E70"/>
    <w:rsid w:val="007D5F12"/>
    <w:rsid w:val="007D5FD1"/>
    <w:rsid w:val="007D60DB"/>
    <w:rsid w:val="007D6160"/>
    <w:rsid w:val="007D6A80"/>
    <w:rsid w:val="007D6D8B"/>
    <w:rsid w:val="007D6E4C"/>
    <w:rsid w:val="007D700C"/>
    <w:rsid w:val="007D723F"/>
    <w:rsid w:val="007D74E8"/>
    <w:rsid w:val="007D7570"/>
    <w:rsid w:val="007D7ACA"/>
    <w:rsid w:val="007D7E3A"/>
    <w:rsid w:val="007E03FC"/>
    <w:rsid w:val="007E0C11"/>
    <w:rsid w:val="007E0D0D"/>
    <w:rsid w:val="007E1336"/>
    <w:rsid w:val="007E1368"/>
    <w:rsid w:val="007E1E92"/>
    <w:rsid w:val="007E1FBC"/>
    <w:rsid w:val="007E24F6"/>
    <w:rsid w:val="007E2580"/>
    <w:rsid w:val="007E2603"/>
    <w:rsid w:val="007E2793"/>
    <w:rsid w:val="007E284C"/>
    <w:rsid w:val="007E2B19"/>
    <w:rsid w:val="007E2C4C"/>
    <w:rsid w:val="007E2F65"/>
    <w:rsid w:val="007E2FA0"/>
    <w:rsid w:val="007E3336"/>
    <w:rsid w:val="007E359E"/>
    <w:rsid w:val="007E37A2"/>
    <w:rsid w:val="007E37F0"/>
    <w:rsid w:val="007E3A13"/>
    <w:rsid w:val="007E3B2A"/>
    <w:rsid w:val="007E3B5A"/>
    <w:rsid w:val="007E3B7B"/>
    <w:rsid w:val="007E3BDA"/>
    <w:rsid w:val="007E3C89"/>
    <w:rsid w:val="007E3D1E"/>
    <w:rsid w:val="007E3DBE"/>
    <w:rsid w:val="007E3EAF"/>
    <w:rsid w:val="007E3F7D"/>
    <w:rsid w:val="007E401B"/>
    <w:rsid w:val="007E415E"/>
    <w:rsid w:val="007E4308"/>
    <w:rsid w:val="007E4399"/>
    <w:rsid w:val="007E43FA"/>
    <w:rsid w:val="007E448E"/>
    <w:rsid w:val="007E44C4"/>
    <w:rsid w:val="007E46C6"/>
    <w:rsid w:val="007E4738"/>
    <w:rsid w:val="007E4CF9"/>
    <w:rsid w:val="007E4D8A"/>
    <w:rsid w:val="007E4FC9"/>
    <w:rsid w:val="007E54F6"/>
    <w:rsid w:val="007E591D"/>
    <w:rsid w:val="007E5A14"/>
    <w:rsid w:val="007E5A2D"/>
    <w:rsid w:val="007E5AB1"/>
    <w:rsid w:val="007E5CFC"/>
    <w:rsid w:val="007E5D48"/>
    <w:rsid w:val="007E5D52"/>
    <w:rsid w:val="007E5E72"/>
    <w:rsid w:val="007E6037"/>
    <w:rsid w:val="007E6059"/>
    <w:rsid w:val="007E6168"/>
    <w:rsid w:val="007E65DA"/>
    <w:rsid w:val="007E6684"/>
    <w:rsid w:val="007E675B"/>
    <w:rsid w:val="007E686A"/>
    <w:rsid w:val="007E6C38"/>
    <w:rsid w:val="007E6DEC"/>
    <w:rsid w:val="007E6E19"/>
    <w:rsid w:val="007E6FB8"/>
    <w:rsid w:val="007E6FDC"/>
    <w:rsid w:val="007E700D"/>
    <w:rsid w:val="007E70E3"/>
    <w:rsid w:val="007E730A"/>
    <w:rsid w:val="007E7365"/>
    <w:rsid w:val="007E7420"/>
    <w:rsid w:val="007E7480"/>
    <w:rsid w:val="007E74AF"/>
    <w:rsid w:val="007E756E"/>
    <w:rsid w:val="007E7683"/>
    <w:rsid w:val="007E7700"/>
    <w:rsid w:val="007E7784"/>
    <w:rsid w:val="007E796C"/>
    <w:rsid w:val="007E79F3"/>
    <w:rsid w:val="007E7AF8"/>
    <w:rsid w:val="007E7CFA"/>
    <w:rsid w:val="007E7D7E"/>
    <w:rsid w:val="007E7D8D"/>
    <w:rsid w:val="007E7E5B"/>
    <w:rsid w:val="007F02E9"/>
    <w:rsid w:val="007F04FC"/>
    <w:rsid w:val="007F0804"/>
    <w:rsid w:val="007F08A7"/>
    <w:rsid w:val="007F0944"/>
    <w:rsid w:val="007F09B5"/>
    <w:rsid w:val="007F0C96"/>
    <w:rsid w:val="007F0EE4"/>
    <w:rsid w:val="007F0F45"/>
    <w:rsid w:val="007F0F66"/>
    <w:rsid w:val="007F1139"/>
    <w:rsid w:val="007F11DC"/>
    <w:rsid w:val="007F1292"/>
    <w:rsid w:val="007F13DC"/>
    <w:rsid w:val="007F1418"/>
    <w:rsid w:val="007F149A"/>
    <w:rsid w:val="007F163A"/>
    <w:rsid w:val="007F1652"/>
    <w:rsid w:val="007F1765"/>
    <w:rsid w:val="007F17B0"/>
    <w:rsid w:val="007F17EE"/>
    <w:rsid w:val="007F1802"/>
    <w:rsid w:val="007F19D0"/>
    <w:rsid w:val="007F1ABC"/>
    <w:rsid w:val="007F1D79"/>
    <w:rsid w:val="007F1DD7"/>
    <w:rsid w:val="007F1EC1"/>
    <w:rsid w:val="007F2439"/>
    <w:rsid w:val="007F246D"/>
    <w:rsid w:val="007F2656"/>
    <w:rsid w:val="007F272F"/>
    <w:rsid w:val="007F2B09"/>
    <w:rsid w:val="007F2B35"/>
    <w:rsid w:val="007F2F9E"/>
    <w:rsid w:val="007F2FA5"/>
    <w:rsid w:val="007F3050"/>
    <w:rsid w:val="007F341A"/>
    <w:rsid w:val="007F36E3"/>
    <w:rsid w:val="007F394F"/>
    <w:rsid w:val="007F3971"/>
    <w:rsid w:val="007F4274"/>
    <w:rsid w:val="007F442A"/>
    <w:rsid w:val="007F4735"/>
    <w:rsid w:val="007F4793"/>
    <w:rsid w:val="007F47E4"/>
    <w:rsid w:val="007F47E6"/>
    <w:rsid w:val="007F49FA"/>
    <w:rsid w:val="007F4B58"/>
    <w:rsid w:val="007F4C46"/>
    <w:rsid w:val="007F5309"/>
    <w:rsid w:val="007F54B6"/>
    <w:rsid w:val="007F54C4"/>
    <w:rsid w:val="007F5811"/>
    <w:rsid w:val="007F596E"/>
    <w:rsid w:val="007F5C81"/>
    <w:rsid w:val="007F5D46"/>
    <w:rsid w:val="007F5DCE"/>
    <w:rsid w:val="007F5E69"/>
    <w:rsid w:val="007F5E8D"/>
    <w:rsid w:val="007F5EAE"/>
    <w:rsid w:val="007F5FFC"/>
    <w:rsid w:val="007F60ED"/>
    <w:rsid w:val="007F6122"/>
    <w:rsid w:val="007F61B1"/>
    <w:rsid w:val="007F6238"/>
    <w:rsid w:val="007F6820"/>
    <w:rsid w:val="007F6AD3"/>
    <w:rsid w:val="007F6E9A"/>
    <w:rsid w:val="007F6F8D"/>
    <w:rsid w:val="007F7A82"/>
    <w:rsid w:val="007F7B38"/>
    <w:rsid w:val="007F7C05"/>
    <w:rsid w:val="007F7C20"/>
    <w:rsid w:val="007F7E1D"/>
    <w:rsid w:val="007F7E58"/>
    <w:rsid w:val="007F7F26"/>
    <w:rsid w:val="007F7FC6"/>
    <w:rsid w:val="00800075"/>
    <w:rsid w:val="0080010F"/>
    <w:rsid w:val="008001C5"/>
    <w:rsid w:val="008001C8"/>
    <w:rsid w:val="00800271"/>
    <w:rsid w:val="008003D0"/>
    <w:rsid w:val="008005AD"/>
    <w:rsid w:val="008005F8"/>
    <w:rsid w:val="0080089E"/>
    <w:rsid w:val="008008C2"/>
    <w:rsid w:val="00800913"/>
    <w:rsid w:val="00800938"/>
    <w:rsid w:val="00800B4D"/>
    <w:rsid w:val="00800BEE"/>
    <w:rsid w:val="00800CCD"/>
    <w:rsid w:val="00800E90"/>
    <w:rsid w:val="0080106D"/>
    <w:rsid w:val="008011A4"/>
    <w:rsid w:val="008012B9"/>
    <w:rsid w:val="0080140B"/>
    <w:rsid w:val="0080141E"/>
    <w:rsid w:val="00801536"/>
    <w:rsid w:val="0080153C"/>
    <w:rsid w:val="00801AD4"/>
    <w:rsid w:val="00801F87"/>
    <w:rsid w:val="00802016"/>
    <w:rsid w:val="00802351"/>
    <w:rsid w:val="00802400"/>
    <w:rsid w:val="0080240A"/>
    <w:rsid w:val="008024DA"/>
    <w:rsid w:val="00802621"/>
    <w:rsid w:val="00802671"/>
    <w:rsid w:val="0080295D"/>
    <w:rsid w:val="00803121"/>
    <w:rsid w:val="0080340C"/>
    <w:rsid w:val="0080378E"/>
    <w:rsid w:val="00803802"/>
    <w:rsid w:val="00803E0D"/>
    <w:rsid w:val="0080410D"/>
    <w:rsid w:val="0080425E"/>
    <w:rsid w:val="008044D4"/>
    <w:rsid w:val="00804756"/>
    <w:rsid w:val="00804DD5"/>
    <w:rsid w:val="00804F17"/>
    <w:rsid w:val="00804F8F"/>
    <w:rsid w:val="008052D5"/>
    <w:rsid w:val="00805374"/>
    <w:rsid w:val="00805B83"/>
    <w:rsid w:val="00805D0B"/>
    <w:rsid w:val="00805D4D"/>
    <w:rsid w:val="00805DEA"/>
    <w:rsid w:val="00805EA7"/>
    <w:rsid w:val="00805FE7"/>
    <w:rsid w:val="0080616E"/>
    <w:rsid w:val="00806270"/>
    <w:rsid w:val="0080662C"/>
    <w:rsid w:val="0080682B"/>
    <w:rsid w:val="00806960"/>
    <w:rsid w:val="00806A6A"/>
    <w:rsid w:val="00806BCC"/>
    <w:rsid w:val="00806BF3"/>
    <w:rsid w:val="00806CFF"/>
    <w:rsid w:val="00806D6C"/>
    <w:rsid w:val="00806DBE"/>
    <w:rsid w:val="0080708D"/>
    <w:rsid w:val="008071E2"/>
    <w:rsid w:val="008076C6"/>
    <w:rsid w:val="008076F3"/>
    <w:rsid w:val="00807804"/>
    <w:rsid w:val="00807AB0"/>
    <w:rsid w:val="00807DC4"/>
    <w:rsid w:val="00807E54"/>
    <w:rsid w:val="00807FE3"/>
    <w:rsid w:val="0081001E"/>
    <w:rsid w:val="00810424"/>
    <w:rsid w:val="008104B6"/>
    <w:rsid w:val="00810AB4"/>
    <w:rsid w:val="00810D48"/>
    <w:rsid w:val="00810FFF"/>
    <w:rsid w:val="008112DD"/>
    <w:rsid w:val="00811364"/>
    <w:rsid w:val="00811389"/>
    <w:rsid w:val="00811459"/>
    <w:rsid w:val="00811475"/>
    <w:rsid w:val="008116E2"/>
    <w:rsid w:val="00811B80"/>
    <w:rsid w:val="00811C8B"/>
    <w:rsid w:val="00811D12"/>
    <w:rsid w:val="008120F5"/>
    <w:rsid w:val="00812129"/>
    <w:rsid w:val="008123FD"/>
    <w:rsid w:val="00812402"/>
    <w:rsid w:val="00812446"/>
    <w:rsid w:val="00812519"/>
    <w:rsid w:val="008126D2"/>
    <w:rsid w:val="00812C12"/>
    <w:rsid w:val="00813082"/>
    <w:rsid w:val="00813163"/>
    <w:rsid w:val="008131D5"/>
    <w:rsid w:val="008132EC"/>
    <w:rsid w:val="00813504"/>
    <w:rsid w:val="008135A1"/>
    <w:rsid w:val="00813A08"/>
    <w:rsid w:val="00813B35"/>
    <w:rsid w:val="00813B97"/>
    <w:rsid w:val="00813E95"/>
    <w:rsid w:val="00813EFD"/>
    <w:rsid w:val="00813F32"/>
    <w:rsid w:val="00814144"/>
    <w:rsid w:val="00814546"/>
    <w:rsid w:val="0081469F"/>
    <w:rsid w:val="00814981"/>
    <w:rsid w:val="00814D18"/>
    <w:rsid w:val="008150DC"/>
    <w:rsid w:val="008152BB"/>
    <w:rsid w:val="00815313"/>
    <w:rsid w:val="00815354"/>
    <w:rsid w:val="008153C8"/>
    <w:rsid w:val="0081549D"/>
    <w:rsid w:val="008155DB"/>
    <w:rsid w:val="008155ED"/>
    <w:rsid w:val="00815754"/>
    <w:rsid w:val="00815A5C"/>
    <w:rsid w:val="00815D5B"/>
    <w:rsid w:val="00815F3A"/>
    <w:rsid w:val="0081601D"/>
    <w:rsid w:val="00816383"/>
    <w:rsid w:val="008164A2"/>
    <w:rsid w:val="00816569"/>
    <w:rsid w:val="00816778"/>
    <w:rsid w:val="00816878"/>
    <w:rsid w:val="00816A14"/>
    <w:rsid w:val="00816AF7"/>
    <w:rsid w:val="00816E7F"/>
    <w:rsid w:val="00816F25"/>
    <w:rsid w:val="00817149"/>
    <w:rsid w:val="008172A2"/>
    <w:rsid w:val="00817482"/>
    <w:rsid w:val="0081756C"/>
    <w:rsid w:val="00817815"/>
    <w:rsid w:val="00817927"/>
    <w:rsid w:val="00817938"/>
    <w:rsid w:val="00817B56"/>
    <w:rsid w:val="00817B70"/>
    <w:rsid w:val="00817BAD"/>
    <w:rsid w:val="00820357"/>
    <w:rsid w:val="00820595"/>
    <w:rsid w:val="008207F4"/>
    <w:rsid w:val="00820984"/>
    <w:rsid w:val="00820B07"/>
    <w:rsid w:val="00820BCA"/>
    <w:rsid w:val="00820D67"/>
    <w:rsid w:val="00820EE3"/>
    <w:rsid w:val="008212C2"/>
    <w:rsid w:val="00821666"/>
    <w:rsid w:val="0082192F"/>
    <w:rsid w:val="008219F8"/>
    <w:rsid w:val="00821A88"/>
    <w:rsid w:val="00821C9F"/>
    <w:rsid w:val="00821D52"/>
    <w:rsid w:val="00821D70"/>
    <w:rsid w:val="00821FB0"/>
    <w:rsid w:val="00822077"/>
    <w:rsid w:val="008220C9"/>
    <w:rsid w:val="00822325"/>
    <w:rsid w:val="0082246A"/>
    <w:rsid w:val="008225BF"/>
    <w:rsid w:val="008225FD"/>
    <w:rsid w:val="008227A2"/>
    <w:rsid w:val="00822936"/>
    <w:rsid w:val="008229DF"/>
    <w:rsid w:val="00822DE8"/>
    <w:rsid w:val="00822EE5"/>
    <w:rsid w:val="0082322E"/>
    <w:rsid w:val="00823284"/>
    <w:rsid w:val="0082330E"/>
    <w:rsid w:val="008233B7"/>
    <w:rsid w:val="008235BB"/>
    <w:rsid w:val="00823733"/>
    <w:rsid w:val="0082377D"/>
    <w:rsid w:val="00823AA8"/>
    <w:rsid w:val="00823C96"/>
    <w:rsid w:val="0082415E"/>
    <w:rsid w:val="00824465"/>
    <w:rsid w:val="008246FF"/>
    <w:rsid w:val="00824736"/>
    <w:rsid w:val="0082474C"/>
    <w:rsid w:val="008248FC"/>
    <w:rsid w:val="0082495D"/>
    <w:rsid w:val="008249AA"/>
    <w:rsid w:val="00824CBC"/>
    <w:rsid w:val="00824CEA"/>
    <w:rsid w:val="00824E02"/>
    <w:rsid w:val="00824EFA"/>
    <w:rsid w:val="00824F70"/>
    <w:rsid w:val="00825049"/>
    <w:rsid w:val="008252E9"/>
    <w:rsid w:val="008253A9"/>
    <w:rsid w:val="00825431"/>
    <w:rsid w:val="0082555E"/>
    <w:rsid w:val="008255BA"/>
    <w:rsid w:val="008255EE"/>
    <w:rsid w:val="008256ED"/>
    <w:rsid w:val="00825821"/>
    <w:rsid w:val="00825D1F"/>
    <w:rsid w:val="00826325"/>
    <w:rsid w:val="00826497"/>
    <w:rsid w:val="008266EE"/>
    <w:rsid w:val="00826930"/>
    <w:rsid w:val="00826970"/>
    <w:rsid w:val="00826B60"/>
    <w:rsid w:val="00826D46"/>
    <w:rsid w:val="00826E3E"/>
    <w:rsid w:val="00826FA2"/>
    <w:rsid w:val="008270E5"/>
    <w:rsid w:val="008273F7"/>
    <w:rsid w:val="00827878"/>
    <w:rsid w:val="00827901"/>
    <w:rsid w:val="00827B52"/>
    <w:rsid w:val="00827BCD"/>
    <w:rsid w:val="00827D33"/>
    <w:rsid w:val="00827D84"/>
    <w:rsid w:val="00827E1E"/>
    <w:rsid w:val="00827E47"/>
    <w:rsid w:val="00827EAC"/>
    <w:rsid w:val="00827EB2"/>
    <w:rsid w:val="00827ED3"/>
    <w:rsid w:val="008301D3"/>
    <w:rsid w:val="008302D7"/>
    <w:rsid w:val="008304F1"/>
    <w:rsid w:val="00830554"/>
    <w:rsid w:val="00830956"/>
    <w:rsid w:val="00830A4A"/>
    <w:rsid w:val="00830BE9"/>
    <w:rsid w:val="00830BF6"/>
    <w:rsid w:val="00830F8F"/>
    <w:rsid w:val="008312AC"/>
    <w:rsid w:val="00831398"/>
    <w:rsid w:val="00831684"/>
    <w:rsid w:val="0083171B"/>
    <w:rsid w:val="00831856"/>
    <w:rsid w:val="0083194D"/>
    <w:rsid w:val="00831983"/>
    <w:rsid w:val="00831984"/>
    <w:rsid w:val="00831AC3"/>
    <w:rsid w:val="00831C76"/>
    <w:rsid w:val="00831DC5"/>
    <w:rsid w:val="00832192"/>
    <w:rsid w:val="008321F7"/>
    <w:rsid w:val="008322CF"/>
    <w:rsid w:val="008322D5"/>
    <w:rsid w:val="008322FA"/>
    <w:rsid w:val="00832384"/>
    <w:rsid w:val="00832437"/>
    <w:rsid w:val="00832553"/>
    <w:rsid w:val="00832B52"/>
    <w:rsid w:val="00832C18"/>
    <w:rsid w:val="00832D74"/>
    <w:rsid w:val="00832DC7"/>
    <w:rsid w:val="00833105"/>
    <w:rsid w:val="0083355A"/>
    <w:rsid w:val="00833630"/>
    <w:rsid w:val="008336C0"/>
    <w:rsid w:val="00833727"/>
    <w:rsid w:val="00833891"/>
    <w:rsid w:val="008339E9"/>
    <w:rsid w:val="00833E3B"/>
    <w:rsid w:val="00833FD1"/>
    <w:rsid w:val="00834018"/>
    <w:rsid w:val="00834093"/>
    <w:rsid w:val="008340DF"/>
    <w:rsid w:val="008347CE"/>
    <w:rsid w:val="008348F1"/>
    <w:rsid w:val="00834A80"/>
    <w:rsid w:val="00834BBF"/>
    <w:rsid w:val="00834C45"/>
    <w:rsid w:val="00834CC7"/>
    <w:rsid w:val="00834D39"/>
    <w:rsid w:val="00834D68"/>
    <w:rsid w:val="00834DB2"/>
    <w:rsid w:val="00834E6E"/>
    <w:rsid w:val="00834EE1"/>
    <w:rsid w:val="008351A3"/>
    <w:rsid w:val="008355C0"/>
    <w:rsid w:val="00835CA3"/>
    <w:rsid w:val="00836073"/>
    <w:rsid w:val="008360F5"/>
    <w:rsid w:val="0083668C"/>
    <w:rsid w:val="008366BF"/>
    <w:rsid w:val="00836878"/>
    <w:rsid w:val="008368D7"/>
    <w:rsid w:val="00836A1F"/>
    <w:rsid w:val="00836C57"/>
    <w:rsid w:val="00836E72"/>
    <w:rsid w:val="00836FCE"/>
    <w:rsid w:val="0083708D"/>
    <w:rsid w:val="00837099"/>
    <w:rsid w:val="008376A5"/>
    <w:rsid w:val="0083786B"/>
    <w:rsid w:val="008379FB"/>
    <w:rsid w:val="00837CBD"/>
    <w:rsid w:val="00837D5D"/>
    <w:rsid w:val="00837E05"/>
    <w:rsid w:val="00840215"/>
    <w:rsid w:val="0084035E"/>
    <w:rsid w:val="008404EB"/>
    <w:rsid w:val="00840506"/>
    <w:rsid w:val="008408FF"/>
    <w:rsid w:val="008409FA"/>
    <w:rsid w:val="00840CA0"/>
    <w:rsid w:val="00840D3E"/>
    <w:rsid w:val="00840F32"/>
    <w:rsid w:val="00841234"/>
    <w:rsid w:val="008415CB"/>
    <w:rsid w:val="00841609"/>
    <w:rsid w:val="008416C2"/>
    <w:rsid w:val="0084187F"/>
    <w:rsid w:val="00841BD1"/>
    <w:rsid w:val="00841C83"/>
    <w:rsid w:val="00841C99"/>
    <w:rsid w:val="00841D9B"/>
    <w:rsid w:val="00842318"/>
    <w:rsid w:val="008423A1"/>
    <w:rsid w:val="00842557"/>
    <w:rsid w:val="0084274C"/>
    <w:rsid w:val="00842BA9"/>
    <w:rsid w:val="00842F1E"/>
    <w:rsid w:val="008434C3"/>
    <w:rsid w:val="008435B7"/>
    <w:rsid w:val="00843748"/>
    <w:rsid w:val="00844096"/>
    <w:rsid w:val="008441F9"/>
    <w:rsid w:val="0084434E"/>
    <w:rsid w:val="0084463C"/>
    <w:rsid w:val="00844865"/>
    <w:rsid w:val="0084487D"/>
    <w:rsid w:val="008448BD"/>
    <w:rsid w:val="00844962"/>
    <w:rsid w:val="00844A1E"/>
    <w:rsid w:val="00844A39"/>
    <w:rsid w:val="00844A78"/>
    <w:rsid w:val="00844B18"/>
    <w:rsid w:val="00844C6C"/>
    <w:rsid w:val="00844D2B"/>
    <w:rsid w:val="00844EA9"/>
    <w:rsid w:val="00845317"/>
    <w:rsid w:val="0084535A"/>
    <w:rsid w:val="008453EC"/>
    <w:rsid w:val="008454BB"/>
    <w:rsid w:val="00845633"/>
    <w:rsid w:val="00845972"/>
    <w:rsid w:val="00845A77"/>
    <w:rsid w:val="00845DBA"/>
    <w:rsid w:val="00845E07"/>
    <w:rsid w:val="00845EBD"/>
    <w:rsid w:val="0084601F"/>
    <w:rsid w:val="00846114"/>
    <w:rsid w:val="00846839"/>
    <w:rsid w:val="00846897"/>
    <w:rsid w:val="008469FD"/>
    <w:rsid w:val="00846A47"/>
    <w:rsid w:val="00846A84"/>
    <w:rsid w:val="00846E32"/>
    <w:rsid w:val="00846F2B"/>
    <w:rsid w:val="00847314"/>
    <w:rsid w:val="00847512"/>
    <w:rsid w:val="008475AA"/>
    <w:rsid w:val="008478AE"/>
    <w:rsid w:val="00847ADC"/>
    <w:rsid w:val="00847B19"/>
    <w:rsid w:val="00847B82"/>
    <w:rsid w:val="00847F0D"/>
    <w:rsid w:val="00850017"/>
    <w:rsid w:val="0085002A"/>
    <w:rsid w:val="00850318"/>
    <w:rsid w:val="008504FC"/>
    <w:rsid w:val="00850889"/>
    <w:rsid w:val="00850AD7"/>
    <w:rsid w:val="00850D48"/>
    <w:rsid w:val="00850D68"/>
    <w:rsid w:val="00850DFB"/>
    <w:rsid w:val="00851200"/>
    <w:rsid w:val="008513CC"/>
    <w:rsid w:val="0085146C"/>
    <w:rsid w:val="008515F5"/>
    <w:rsid w:val="0085176A"/>
    <w:rsid w:val="0085181F"/>
    <w:rsid w:val="008519FF"/>
    <w:rsid w:val="00851A0F"/>
    <w:rsid w:val="00851BB5"/>
    <w:rsid w:val="00851E20"/>
    <w:rsid w:val="00851F3F"/>
    <w:rsid w:val="00852085"/>
    <w:rsid w:val="00852470"/>
    <w:rsid w:val="0085249D"/>
    <w:rsid w:val="0085267E"/>
    <w:rsid w:val="008526D7"/>
    <w:rsid w:val="008528E8"/>
    <w:rsid w:val="00852A07"/>
    <w:rsid w:val="00852C23"/>
    <w:rsid w:val="00852D79"/>
    <w:rsid w:val="00852FC4"/>
    <w:rsid w:val="008531D7"/>
    <w:rsid w:val="008532FE"/>
    <w:rsid w:val="00853586"/>
    <w:rsid w:val="00853729"/>
    <w:rsid w:val="0085389C"/>
    <w:rsid w:val="00853923"/>
    <w:rsid w:val="00853CAB"/>
    <w:rsid w:val="00854189"/>
    <w:rsid w:val="00854515"/>
    <w:rsid w:val="0085477B"/>
    <w:rsid w:val="00854AD1"/>
    <w:rsid w:val="00854D12"/>
    <w:rsid w:val="00854F14"/>
    <w:rsid w:val="00854F15"/>
    <w:rsid w:val="00855059"/>
    <w:rsid w:val="0085511D"/>
    <w:rsid w:val="00855192"/>
    <w:rsid w:val="00855259"/>
    <w:rsid w:val="00855587"/>
    <w:rsid w:val="0085585E"/>
    <w:rsid w:val="008559CB"/>
    <w:rsid w:val="008559EC"/>
    <w:rsid w:val="00855AE2"/>
    <w:rsid w:val="00855CCC"/>
    <w:rsid w:val="00855E27"/>
    <w:rsid w:val="00855F9F"/>
    <w:rsid w:val="008560CD"/>
    <w:rsid w:val="008561EC"/>
    <w:rsid w:val="00856380"/>
    <w:rsid w:val="008563CE"/>
    <w:rsid w:val="00856637"/>
    <w:rsid w:val="00856812"/>
    <w:rsid w:val="00856C54"/>
    <w:rsid w:val="00856D2F"/>
    <w:rsid w:val="00856D7C"/>
    <w:rsid w:val="00856EDC"/>
    <w:rsid w:val="00857064"/>
    <w:rsid w:val="008570F2"/>
    <w:rsid w:val="0085715B"/>
    <w:rsid w:val="00857219"/>
    <w:rsid w:val="00857239"/>
    <w:rsid w:val="008573A6"/>
    <w:rsid w:val="00857430"/>
    <w:rsid w:val="00857814"/>
    <w:rsid w:val="00857B1B"/>
    <w:rsid w:val="00857C35"/>
    <w:rsid w:val="00857F1B"/>
    <w:rsid w:val="00857FE8"/>
    <w:rsid w:val="00860131"/>
    <w:rsid w:val="008603F2"/>
    <w:rsid w:val="008607D1"/>
    <w:rsid w:val="00860818"/>
    <w:rsid w:val="008609A4"/>
    <w:rsid w:val="008609E3"/>
    <w:rsid w:val="00860E1C"/>
    <w:rsid w:val="008610BC"/>
    <w:rsid w:val="008610D2"/>
    <w:rsid w:val="008615BC"/>
    <w:rsid w:val="0086176D"/>
    <w:rsid w:val="008617AD"/>
    <w:rsid w:val="00861A2E"/>
    <w:rsid w:val="00861ABD"/>
    <w:rsid w:val="00861B39"/>
    <w:rsid w:val="00861B50"/>
    <w:rsid w:val="00861C18"/>
    <w:rsid w:val="00861D41"/>
    <w:rsid w:val="00861E1D"/>
    <w:rsid w:val="00862077"/>
    <w:rsid w:val="008621E4"/>
    <w:rsid w:val="0086225D"/>
    <w:rsid w:val="008623B5"/>
    <w:rsid w:val="008623D1"/>
    <w:rsid w:val="00862404"/>
    <w:rsid w:val="0086249A"/>
    <w:rsid w:val="008627A9"/>
    <w:rsid w:val="008627CE"/>
    <w:rsid w:val="008629C1"/>
    <w:rsid w:val="00862CBA"/>
    <w:rsid w:val="00862D25"/>
    <w:rsid w:val="00862EAF"/>
    <w:rsid w:val="00862EE3"/>
    <w:rsid w:val="00862F90"/>
    <w:rsid w:val="00863123"/>
    <w:rsid w:val="008631FA"/>
    <w:rsid w:val="00863233"/>
    <w:rsid w:val="00863296"/>
    <w:rsid w:val="008632B2"/>
    <w:rsid w:val="00863462"/>
    <w:rsid w:val="008634AF"/>
    <w:rsid w:val="00863733"/>
    <w:rsid w:val="008639DD"/>
    <w:rsid w:val="00863A7E"/>
    <w:rsid w:val="00863E7E"/>
    <w:rsid w:val="00864002"/>
    <w:rsid w:val="008642B8"/>
    <w:rsid w:val="008646D0"/>
    <w:rsid w:val="00864725"/>
    <w:rsid w:val="0086473F"/>
    <w:rsid w:val="00864751"/>
    <w:rsid w:val="00864A17"/>
    <w:rsid w:val="00865368"/>
    <w:rsid w:val="008653F9"/>
    <w:rsid w:val="00865716"/>
    <w:rsid w:val="008657D1"/>
    <w:rsid w:val="008659E4"/>
    <w:rsid w:val="00865CE9"/>
    <w:rsid w:val="00865E4D"/>
    <w:rsid w:val="00866089"/>
    <w:rsid w:val="00866103"/>
    <w:rsid w:val="008664F8"/>
    <w:rsid w:val="00866A28"/>
    <w:rsid w:val="00866BBD"/>
    <w:rsid w:val="00866F54"/>
    <w:rsid w:val="00866FA1"/>
    <w:rsid w:val="0086701A"/>
    <w:rsid w:val="0086710B"/>
    <w:rsid w:val="00867309"/>
    <w:rsid w:val="0086753C"/>
    <w:rsid w:val="00867810"/>
    <w:rsid w:val="00867AB1"/>
    <w:rsid w:val="00867B61"/>
    <w:rsid w:val="00867B86"/>
    <w:rsid w:val="00867D55"/>
    <w:rsid w:val="00867FD7"/>
    <w:rsid w:val="0087013B"/>
    <w:rsid w:val="0087027A"/>
    <w:rsid w:val="008703BD"/>
    <w:rsid w:val="00870450"/>
    <w:rsid w:val="0087076A"/>
    <w:rsid w:val="00870A3D"/>
    <w:rsid w:val="00870ABA"/>
    <w:rsid w:val="00870BD4"/>
    <w:rsid w:val="00870E7C"/>
    <w:rsid w:val="00871041"/>
    <w:rsid w:val="008710E1"/>
    <w:rsid w:val="00871112"/>
    <w:rsid w:val="0087164E"/>
    <w:rsid w:val="008716E5"/>
    <w:rsid w:val="00871829"/>
    <w:rsid w:val="00871869"/>
    <w:rsid w:val="00871951"/>
    <w:rsid w:val="008719C6"/>
    <w:rsid w:val="00871A99"/>
    <w:rsid w:val="00871C99"/>
    <w:rsid w:val="00871CE8"/>
    <w:rsid w:val="00872101"/>
    <w:rsid w:val="008723A4"/>
    <w:rsid w:val="00872695"/>
    <w:rsid w:val="008727A3"/>
    <w:rsid w:val="008727EC"/>
    <w:rsid w:val="00872916"/>
    <w:rsid w:val="0087298C"/>
    <w:rsid w:val="00872D18"/>
    <w:rsid w:val="00872D28"/>
    <w:rsid w:val="00872EC3"/>
    <w:rsid w:val="008730FE"/>
    <w:rsid w:val="008732AA"/>
    <w:rsid w:val="00873339"/>
    <w:rsid w:val="008734DA"/>
    <w:rsid w:val="0087369D"/>
    <w:rsid w:val="00873A57"/>
    <w:rsid w:val="00873CA0"/>
    <w:rsid w:val="00873E85"/>
    <w:rsid w:val="00873EBD"/>
    <w:rsid w:val="00873EE9"/>
    <w:rsid w:val="00873F79"/>
    <w:rsid w:val="00874030"/>
    <w:rsid w:val="0087420F"/>
    <w:rsid w:val="0087454A"/>
    <w:rsid w:val="00874634"/>
    <w:rsid w:val="008746B5"/>
    <w:rsid w:val="008749F5"/>
    <w:rsid w:val="00874CDD"/>
    <w:rsid w:val="00874FED"/>
    <w:rsid w:val="00875000"/>
    <w:rsid w:val="00875127"/>
    <w:rsid w:val="0087512E"/>
    <w:rsid w:val="0087516B"/>
    <w:rsid w:val="00875253"/>
    <w:rsid w:val="00875358"/>
    <w:rsid w:val="008753C1"/>
    <w:rsid w:val="00875684"/>
    <w:rsid w:val="00875B60"/>
    <w:rsid w:val="00875CC5"/>
    <w:rsid w:val="00875D27"/>
    <w:rsid w:val="00875EF2"/>
    <w:rsid w:val="0087604D"/>
    <w:rsid w:val="008760AF"/>
    <w:rsid w:val="00876172"/>
    <w:rsid w:val="0087619F"/>
    <w:rsid w:val="008762D2"/>
    <w:rsid w:val="00876477"/>
    <w:rsid w:val="0087670F"/>
    <w:rsid w:val="00876DC8"/>
    <w:rsid w:val="00876FF4"/>
    <w:rsid w:val="0087711D"/>
    <w:rsid w:val="008771CE"/>
    <w:rsid w:val="0087744A"/>
    <w:rsid w:val="00877648"/>
    <w:rsid w:val="008777C4"/>
    <w:rsid w:val="0087785D"/>
    <w:rsid w:val="008778A3"/>
    <w:rsid w:val="00877EA3"/>
    <w:rsid w:val="00880437"/>
    <w:rsid w:val="00880C5E"/>
    <w:rsid w:val="00880D05"/>
    <w:rsid w:val="00880D34"/>
    <w:rsid w:val="00880D87"/>
    <w:rsid w:val="00880E62"/>
    <w:rsid w:val="00881613"/>
    <w:rsid w:val="008816DF"/>
    <w:rsid w:val="00881897"/>
    <w:rsid w:val="00881973"/>
    <w:rsid w:val="00881BFE"/>
    <w:rsid w:val="00881C5B"/>
    <w:rsid w:val="00881CA9"/>
    <w:rsid w:val="00881D36"/>
    <w:rsid w:val="00881D52"/>
    <w:rsid w:val="00882052"/>
    <w:rsid w:val="00882115"/>
    <w:rsid w:val="008823D7"/>
    <w:rsid w:val="00882545"/>
    <w:rsid w:val="008825F4"/>
    <w:rsid w:val="008828B4"/>
    <w:rsid w:val="008829D2"/>
    <w:rsid w:val="00882A0A"/>
    <w:rsid w:val="00882A96"/>
    <w:rsid w:val="00882EF8"/>
    <w:rsid w:val="00883099"/>
    <w:rsid w:val="0088330E"/>
    <w:rsid w:val="0088354F"/>
    <w:rsid w:val="00883628"/>
    <w:rsid w:val="008837F6"/>
    <w:rsid w:val="008839EC"/>
    <w:rsid w:val="00883FDC"/>
    <w:rsid w:val="00884090"/>
    <w:rsid w:val="008841BF"/>
    <w:rsid w:val="008842C1"/>
    <w:rsid w:val="00884377"/>
    <w:rsid w:val="008843B0"/>
    <w:rsid w:val="00884587"/>
    <w:rsid w:val="008846E2"/>
    <w:rsid w:val="00884967"/>
    <w:rsid w:val="008849AA"/>
    <w:rsid w:val="00884A92"/>
    <w:rsid w:val="00884AB9"/>
    <w:rsid w:val="00884EEF"/>
    <w:rsid w:val="00884F1D"/>
    <w:rsid w:val="00884F8C"/>
    <w:rsid w:val="00884F93"/>
    <w:rsid w:val="00884F99"/>
    <w:rsid w:val="0088503E"/>
    <w:rsid w:val="00885116"/>
    <w:rsid w:val="00885181"/>
    <w:rsid w:val="00885544"/>
    <w:rsid w:val="008855CA"/>
    <w:rsid w:val="0088564A"/>
    <w:rsid w:val="0088587E"/>
    <w:rsid w:val="00885A86"/>
    <w:rsid w:val="00885AC5"/>
    <w:rsid w:val="00885B36"/>
    <w:rsid w:val="00885C95"/>
    <w:rsid w:val="00886073"/>
    <w:rsid w:val="00886104"/>
    <w:rsid w:val="0088619D"/>
    <w:rsid w:val="0088634E"/>
    <w:rsid w:val="008863ED"/>
    <w:rsid w:val="008865A3"/>
    <w:rsid w:val="00886811"/>
    <w:rsid w:val="008868B5"/>
    <w:rsid w:val="00886A56"/>
    <w:rsid w:val="00886BE0"/>
    <w:rsid w:val="00886DBA"/>
    <w:rsid w:val="00886F79"/>
    <w:rsid w:val="00886F95"/>
    <w:rsid w:val="008872E2"/>
    <w:rsid w:val="0088738B"/>
    <w:rsid w:val="008873A2"/>
    <w:rsid w:val="008876D3"/>
    <w:rsid w:val="00887751"/>
    <w:rsid w:val="008877B7"/>
    <w:rsid w:val="008877D0"/>
    <w:rsid w:val="00887A4A"/>
    <w:rsid w:val="00887E68"/>
    <w:rsid w:val="00887EA3"/>
    <w:rsid w:val="00887F0A"/>
    <w:rsid w:val="00887F6B"/>
    <w:rsid w:val="008908EE"/>
    <w:rsid w:val="00890B6F"/>
    <w:rsid w:val="00890E86"/>
    <w:rsid w:val="00890EA8"/>
    <w:rsid w:val="00890F48"/>
    <w:rsid w:val="00890F7B"/>
    <w:rsid w:val="0089132D"/>
    <w:rsid w:val="0089143F"/>
    <w:rsid w:val="008918D3"/>
    <w:rsid w:val="00891AB0"/>
    <w:rsid w:val="00891AE4"/>
    <w:rsid w:val="00891DF2"/>
    <w:rsid w:val="00891E9F"/>
    <w:rsid w:val="00891EDB"/>
    <w:rsid w:val="00892A5A"/>
    <w:rsid w:val="00892EF4"/>
    <w:rsid w:val="00892F20"/>
    <w:rsid w:val="00892F51"/>
    <w:rsid w:val="00892FA5"/>
    <w:rsid w:val="008930B4"/>
    <w:rsid w:val="00893277"/>
    <w:rsid w:val="0089357C"/>
    <w:rsid w:val="0089377E"/>
    <w:rsid w:val="00893866"/>
    <w:rsid w:val="008938E3"/>
    <w:rsid w:val="00893AB8"/>
    <w:rsid w:val="00893BF6"/>
    <w:rsid w:val="00893CD0"/>
    <w:rsid w:val="00893D8C"/>
    <w:rsid w:val="00893DE9"/>
    <w:rsid w:val="0089404D"/>
    <w:rsid w:val="00894152"/>
    <w:rsid w:val="0089425C"/>
    <w:rsid w:val="008945D5"/>
    <w:rsid w:val="008945FD"/>
    <w:rsid w:val="00894863"/>
    <w:rsid w:val="00894CA6"/>
    <w:rsid w:val="00894D5F"/>
    <w:rsid w:val="00894E1F"/>
    <w:rsid w:val="00894EB4"/>
    <w:rsid w:val="00894EE2"/>
    <w:rsid w:val="0089505F"/>
    <w:rsid w:val="00895191"/>
    <w:rsid w:val="008951F5"/>
    <w:rsid w:val="0089528C"/>
    <w:rsid w:val="008953AD"/>
    <w:rsid w:val="008955A0"/>
    <w:rsid w:val="008957F8"/>
    <w:rsid w:val="00895CA3"/>
    <w:rsid w:val="00896106"/>
    <w:rsid w:val="00896278"/>
    <w:rsid w:val="008962DD"/>
    <w:rsid w:val="00896383"/>
    <w:rsid w:val="00896460"/>
    <w:rsid w:val="00896600"/>
    <w:rsid w:val="00896852"/>
    <w:rsid w:val="00896915"/>
    <w:rsid w:val="00896B56"/>
    <w:rsid w:val="00896DB0"/>
    <w:rsid w:val="008970D0"/>
    <w:rsid w:val="008971A4"/>
    <w:rsid w:val="008972DE"/>
    <w:rsid w:val="008972FA"/>
    <w:rsid w:val="008974D7"/>
    <w:rsid w:val="00897579"/>
    <w:rsid w:val="00897A01"/>
    <w:rsid w:val="00897A15"/>
    <w:rsid w:val="00897BD1"/>
    <w:rsid w:val="00897E88"/>
    <w:rsid w:val="00897FCA"/>
    <w:rsid w:val="008A002C"/>
    <w:rsid w:val="008A0058"/>
    <w:rsid w:val="008A0469"/>
    <w:rsid w:val="008A047A"/>
    <w:rsid w:val="008A04C8"/>
    <w:rsid w:val="008A0616"/>
    <w:rsid w:val="008A0638"/>
    <w:rsid w:val="008A0AA9"/>
    <w:rsid w:val="008A0AB6"/>
    <w:rsid w:val="008A0D98"/>
    <w:rsid w:val="008A0EF2"/>
    <w:rsid w:val="008A1018"/>
    <w:rsid w:val="008A1027"/>
    <w:rsid w:val="008A1085"/>
    <w:rsid w:val="008A1205"/>
    <w:rsid w:val="008A157A"/>
    <w:rsid w:val="008A1829"/>
    <w:rsid w:val="008A1832"/>
    <w:rsid w:val="008A1972"/>
    <w:rsid w:val="008A19A5"/>
    <w:rsid w:val="008A19D0"/>
    <w:rsid w:val="008A1A41"/>
    <w:rsid w:val="008A1C8F"/>
    <w:rsid w:val="008A1D38"/>
    <w:rsid w:val="008A1ED0"/>
    <w:rsid w:val="008A272B"/>
    <w:rsid w:val="008A27FB"/>
    <w:rsid w:val="008A2911"/>
    <w:rsid w:val="008A2962"/>
    <w:rsid w:val="008A296A"/>
    <w:rsid w:val="008A2B67"/>
    <w:rsid w:val="008A2B6A"/>
    <w:rsid w:val="008A2EAC"/>
    <w:rsid w:val="008A2F57"/>
    <w:rsid w:val="008A3068"/>
    <w:rsid w:val="008A3189"/>
    <w:rsid w:val="008A31E2"/>
    <w:rsid w:val="008A32BF"/>
    <w:rsid w:val="008A32F9"/>
    <w:rsid w:val="008A334E"/>
    <w:rsid w:val="008A336D"/>
    <w:rsid w:val="008A33EC"/>
    <w:rsid w:val="008A3561"/>
    <w:rsid w:val="008A35AE"/>
    <w:rsid w:val="008A3643"/>
    <w:rsid w:val="008A36B7"/>
    <w:rsid w:val="008A3776"/>
    <w:rsid w:val="008A383E"/>
    <w:rsid w:val="008A3C54"/>
    <w:rsid w:val="008A3F18"/>
    <w:rsid w:val="008A3FDA"/>
    <w:rsid w:val="008A40AB"/>
    <w:rsid w:val="008A471C"/>
    <w:rsid w:val="008A476E"/>
    <w:rsid w:val="008A4830"/>
    <w:rsid w:val="008A49A6"/>
    <w:rsid w:val="008A4A28"/>
    <w:rsid w:val="008A4D08"/>
    <w:rsid w:val="008A4EB4"/>
    <w:rsid w:val="008A500A"/>
    <w:rsid w:val="008A5284"/>
    <w:rsid w:val="008A52FF"/>
    <w:rsid w:val="008A5532"/>
    <w:rsid w:val="008A579B"/>
    <w:rsid w:val="008A59F5"/>
    <w:rsid w:val="008A5A0E"/>
    <w:rsid w:val="008A5C6A"/>
    <w:rsid w:val="008A5CEB"/>
    <w:rsid w:val="008A5DAE"/>
    <w:rsid w:val="008A5DB7"/>
    <w:rsid w:val="008A611F"/>
    <w:rsid w:val="008A633D"/>
    <w:rsid w:val="008A6913"/>
    <w:rsid w:val="008A69BF"/>
    <w:rsid w:val="008A6AAB"/>
    <w:rsid w:val="008A6AB0"/>
    <w:rsid w:val="008A6B17"/>
    <w:rsid w:val="008A6D41"/>
    <w:rsid w:val="008A6DB8"/>
    <w:rsid w:val="008A6DFC"/>
    <w:rsid w:val="008A6E48"/>
    <w:rsid w:val="008A6E71"/>
    <w:rsid w:val="008A722B"/>
    <w:rsid w:val="008A73E2"/>
    <w:rsid w:val="008A74E4"/>
    <w:rsid w:val="008A753F"/>
    <w:rsid w:val="008A771E"/>
    <w:rsid w:val="008A77E4"/>
    <w:rsid w:val="008A7B63"/>
    <w:rsid w:val="008A7E98"/>
    <w:rsid w:val="008A7FAF"/>
    <w:rsid w:val="008B01BC"/>
    <w:rsid w:val="008B0733"/>
    <w:rsid w:val="008B07FE"/>
    <w:rsid w:val="008B095D"/>
    <w:rsid w:val="008B098E"/>
    <w:rsid w:val="008B0B2D"/>
    <w:rsid w:val="008B0BD2"/>
    <w:rsid w:val="008B0DCB"/>
    <w:rsid w:val="008B0F43"/>
    <w:rsid w:val="008B0F86"/>
    <w:rsid w:val="008B1028"/>
    <w:rsid w:val="008B10CD"/>
    <w:rsid w:val="008B1216"/>
    <w:rsid w:val="008B1692"/>
    <w:rsid w:val="008B18C6"/>
    <w:rsid w:val="008B1C02"/>
    <w:rsid w:val="008B1D0F"/>
    <w:rsid w:val="008B21BC"/>
    <w:rsid w:val="008B236F"/>
    <w:rsid w:val="008B249D"/>
    <w:rsid w:val="008B253E"/>
    <w:rsid w:val="008B25AD"/>
    <w:rsid w:val="008B267C"/>
    <w:rsid w:val="008B2C2E"/>
    <w:rsid w:val="008B2EC6"/>
    <w:rsid w:val="008B3280"/>
    <w:rsid w:val="008B35A0"/>
    <w:rsid w:val="008B3891"/>
    <w:rsid w:val="008B38A0"/>
    <w:rsid w:val="008B38CA"/>
    <w:rsid w:val="008B3911"/>
    <w:rsid w:val="008B3A25"/>
    <w:rsid w:val="008B3B70"/>
    <w:rsid w:val="008B4083"/>
    <w:rsid w:val="008B40A6"/>
    <w:rsid w:val="008B41AB"/>
    <w:rsid w:val="008B4211"/>
    <w:rsid w:val="008B44D5"/>
    <w:rsid w:val="008B44EF"/>
    <w:rsid w:val="008B4715"/>
    <w:rsid w:val="008B4724"/>
    <w:rsid w:val="008B495A"/>
    <w:rsid w:val="008B4A03"/>
    <w:rsid w:val="008B4B69"/>
    <w:rsid w:val="008B4B9F"/>
    <w:rsid w:val="008B4BA8"/>
    <w:rsid w:val="008B4BC0"/>
    <w:rsid w:val="008B4E50"/>
    <w:rsid w:val="008B50E6"/>
    <w:rsid w:val="008B5285"/>
    <w:rsid w:val="008B569F"/>
    <w:rsid w:val="008B5720"/>
    <w:rsid w:val="008B5DD7"/>
    <w:rsid w:val="008B5DE3"/>
    <w:rsid w:val="008B5DE6"/>
    <w:rsid w:val="008B5E20"/>
    <w:rsid w:val="008B5E21"/>
    <w:rsid w:val="008B5F11"/>
    <w:rsid w:val="008B610D"/>
    <w:rsid w:val="008B6520"/>
    <w:rsid w:val="008B659F"/>
    <w:rsid w:val="008B66B3"/>
    <w:rsid w:val="008B6993"/>
    <w:rsid w:val="008B6C2D"/>
    <w:rsid w:val="008B6FC2"/>
    <w:rsid w:val="008B6FF0"/>
    <w:rsid w:val="008B70F3"/>
    <w:rsid w:val="008B71C4"/>
    <w:rsid w:val="008B76DF"/>
    <w:rsid w:val="008B79C1"/>
    <w:rsid w:val="008B7ABD"/>
    <w:rsid w:val="008B7C56"/>
    <w:rsid w:val="008B7D79"/>
    <w:rsid w:val="008C0092"/>
    <w:rsid w:val="008C00C6"/>
    <w:rsid w:val="008C04AF"/>
    <w:rsid w:val="008C0633"/>
    <w:rsid w:val="008C06C0"/>
    <w:rsid w:val="008C0881"/>
    <w:rsid w:val="008C0907"/>
    <w:rsid w:val="008C0AFA"/>
    <w:rsid w:val="008C0ED4"/>
    <w:rsid w:val="008C0F24"/>
    <w:rsid w:val="008C0FF9"/>
    <w:rsid w:val="008C1020"/>
    <w:rsid w:val="008C1022"/>
    <w:rsid w:val="008C10F4"/>
    <w:rsid w:val="008C1312"/>
    <w:rsid w:val="008C151C"/>
    <w:rsid w:val="008C16E1"/>
    <w:rsid w:val="008C173E"/>
    <w:rsid w:val="008C1E36"/>
    <w:rsid w:val="008C1F2B"/>
    <w:rsid w:val="008C219D"/>
    <w:rsid w:val="008C21C8"/>
    <w:rsid w:val="008C2260"/>
    <w:rsid w:val="008C2425"/>
    <w:rsid w:val="008C2451"/>
    <w:rsid w:val="008C24C5"/>
    <w:rsid w:val="008C28D9"/>
    <w:rsid w:val="008C2ABE"/>
    <w:rsid w:val="008C2CAF"/>
    <w:rsid w:val="008C2E7A"/>
    <w:rsid w:val="008C2E82"/>
    <w:rsid w:val="008C2E93"/>
    <w:rsid w:val="008C2F33"/>
    <w:rsid w:val="008C3030"/>
    <w:rsid w:val="008C3442"/>
    <w:rsid w:val="008C34A8"/>
    <w:rsid w:val="008C34BD"/>
    <w:rsid w:val="008C35A5"/>
    <w:rsid w:val="008C35DB"/>
    <w:rsid w:val="008C384A"/>
    <w:rsid w:val="008C3C47"/>
    <w:rsid w:val="008C4158"/>
    <w:rsid w:val="008C41C6"/>
    <w:rsid w:val="008C41F5"/>
    <w:rsid w:val="008C4387"/>
    <w:rsid w:val="008C46D5"/>
    <w:rsid w:val="008C4753"/>
    <w:rsid w:val="008C47AD"/>
    <w:rsid w:val="008C4A9C"/>
    <w:rsid w:val="008C4BCE"/>
    <w:rsid w:val="008C4BF4"/>
    <w:rsid w:val="008C4CB2"/>
    <w:rsid w:val="008C4DEB"/>
    <w:rsid w:val="008C4FFA"/>
    <w:rsid w:val="008C526E"/>
    <w:rsid w:val="008C546C"/>
    <w:rsid w:val="008C560A"/>
    <w:rsid w:val="008C5757"/>
    <w:rsid w:val="008C5833"/>
    <w:rsid w:val="008C5B13"/>
    <w:rsid w:val="008C5C38"/>
    <w:rsid w:val="008C5DB4"/>
    <w:rsid w:val="008C6333"/>
    <w:rsid w:val="008C64BF"/>
    <w:rsid w:val="008C65F7"/>
    <w:rsid w:val="008C668E"/>
    <w:rsid w:val="008C68CD"/>
    <w:rsid w:val="008C6A69"/>
    <w:rsid w:val="008C6B87"/>
    <w:rsid w:val="008C7359"/>
    <w:rsid w:val="008C7621"/>
    <w:rsid w:val="008C7702"/>
    <w:rsid w:val="008C7758"/>
    <w:rsid w:val="008C77BA"/>
    <w:rsid w:val="008C7BD8"/>
    <w:rsid w:val="008D02D9"/>
    <w:rsid w:val="008D04F4"/>
    <w:rsid w:val="008D0924"/>
    <w:rsid w:val="008D09DD"/>
    <w:rsid w:val="008D0B43"/>
    <w:rsid w:val="008D0D41"/>
    <w:rsid w:val="008D0E2B"/>
    <w:rsid w:val="008D0EE6"/>
    <w:rsid w:val="008D0FED"/>
    <w:rsid w:val="008D10F6"/>
    <w:rsid w:val="008D113C"/>
    <w:rsid w:val="008D1154"/>
    <w:rsid w:val="008D1312"/>
    <w:rsid w:val="008D149C"/>
    <w:rsid w:val="008D16D4"/>
    <w:rsid w:val="008D1701"/>
    <w:rsid w:val="008D176F"/>
    <w:rsid w:val="008D17EC"/>
    <w:rsid w:val="008D18E8"/>
    <w:rsid w:val="008D1A73"/>
    <w:rsid w:val="008D1E57"/>
    <w:rsid w:val="008D20C1"/>
    <w:rsid w:val="008D2134"/>
    <w:rsid w:val="008D21BC"/>
    <w:rsid w:val="008D28A4"/>
    <w:rsid w:val="008D297D"/>
    <w:rsid w:val="008D2B88"/>
    <w:rsid w:val="008D2BB7"/>
    <w:rsid w:val="008D2D3E"/>
    <w:rsid w:val="008D2F9F"/>
    <w:rsid w:val="008D33BF"/>
    <w:rsid w:val="008D35B9"/>
    <w:rsid w:val="008D3753"/>
    <w:rsid w:val="008D37D2"/>
    <w:rsid w:val="008D38D0"/>
    <w:rsid w:val="008D3DBE"/>
    <w:rsid w:val="008D44E4"/>
    <w:rsid w:val="008D46B0"/>
    <w:rsid w:val="008D4786"/>
    <w:rsid w:val="008D4DDA"/>
    <w:rsid w:val="008D4EAD"/>
    <w:rsid w:val="008D4FA6"/>
    <w:rsid w:val="008D5142"/>
    <w:rsid w:val="008D5292"/>
    <w:rsid w:val="008D52CC"/>
    <w:rsid w:val="008D55F5"/>
    <w:rsid w:val="008D5660"/>
    <w:rsid w:val="008D569B"/>
    <w:rsid w:val="008D5858"/>
    <w:rsid w:val="008D5AD0"/>
    <w:rsid w:val="008D5B2F"/>
    <w:rsid w:val="008D5DA0"/>
    <w:rsid w:val="008D5FD5"/>
    <w:rsid w:val="008D624B"/>
    <w:rsid w:val="008D6308"/>
    <w:rsid w:val="008D633E"/>
    <w:rsid w:val="008D63D6"/>
    <w:rsid w:val="008D6528"/>
    <w:rsid w:val="008D6722"/>
    <w:rsid w:val="008D697C"/>
    <w:rsid w:val="008D6C35"/>
    <w:rsid w:val="008D6C45"/>
    <w:rsid w:val="008D6E66"/>
    <w:rsid w:val="008D6FD9"/>
    <w:rsid w:val="008D7090"/>
    <w:rsid w:val="008D73EF"/>
    <w:rsid w:val="008D73F6"/>
    <w:rsid w:val="008D76B4"/>
    <w:rsid w:val="008D7923"/>
    <w:rsid w:val="008D79AE"/>
    <w:rsid w:val="008D7A02"/>
    <w:rsid w:val="008D7F99"/>
    <w:rsid w:val="008E02FD"/>
    <w:rsid w:val="008E0428"/>
    <w:rsid w:val="008E05C7"/>
    <w:rsid w:val="008E06CF"/>
    <w:rsid w:val="008E075E"/>
    <w:rsid w:val="008E07B9"/>
    <w:rsid w:val="008E0920"/>
    <w:rsid w:val="008E094D"/>
    <w:rsid w:val="008E0B01"/>
    <w:rsid w:val="008E0B3E"/>
    <w:rsid w:val="008E0D07"/>
    <w:rsid w:val="008E0D08"/>
    <w:rsid w:val="008E0D13"/>
    <w:rsid w:val="008E0E65"/>
    <w:rsid w:val="008E1132"/>
    <w:rsid w:val="008E1480"/>
    <w:rsid w:val="008E16B5"/>
    <w:rsid w:val="008E1927"/>
    <w:rsid w:val="008E1AA5"/>
    <w:rsid w:val="008E1B01"/>
    <w:rsid w:val="008E1BCA"/>
    <w:rsid w:val="008E1BE8"/>
    <w:rsid w:val="008E1EA7"/>
    <w:rsid w:val="008E1EAB"/>
    <w:rsid w:val="008E1F82"/>
    <w:rsid w:val="008E1FCA"/>
    <w:rsid w:val="008E2000"/>
    <w:rsid w:val="008E216D"/>
    <w:rsid w:val="008E2178"/>
    <w:rsid w:val="008E2328"/>
    <w:rsid w:val="008E245E"/>
    <w:rsid w:val="008E2552"/>
    <w:rsid w:val="008E2C24"/>
    <w:rsid w:val="008E2C68"/>
    <w:rsid w:val="008E2CAE"/>
    <w:rsid w:val="008E2F49"/>
    <w:rsid w:val="008E2F58"/>
    <w:rsid w:val="008E3055"/>
    <w:rsid w:val="008E3295"/>
    <w:rsid w:val="008E3408"/>
    <w:rsid w:val="008E3524"/>
    <w:rsid w:val="008E354D"/>
    <w:rsid w:val="008E3893"/>
    <w:rsid w:val="008E3925"/>
    <w:rsid w:val="008E3ABE"/>
    <w:rsid w:val="008E3DAB"/>
    <w:rsid w:val="008E3E8F"/>
    <w:rsid w:val="008E4222"/>
    <w:rsid w:val="008E439D"/>
    <w:rsid w:val="008E44B6"/>
    <w:rsid w:val="008E4596"/>
    <w:rsid w:val="008E45A3"/>
    <w:rsid w:val="008E4672"/>
    <w:rsid w:val="008E4767"/>
    <w:rsid w:val="008E4835"/>
    <w:rsid w:val="008E498B"/>
    <w:rsid w:val="008E4B24"/>
    <w:rsid w:val="008E4CF0"/>
    <w:rsid w:val="008E5022"/>
    <w:rsid w:val="008E504B"/>
    <w:rsid w:val="008E51C6"/>
    <w:rsid w:val="008E56C0"/>
    <w:rsid w:val="008E58A0"/>
    <w:rsid w:val="008E5907"/>
    <w:rsid w:val="008E5A57"/>
    <w:rsid w:val="008E5C17"/>
    <w:rsid w:val="008E5DD7"/>
    <w:rsid w:val="008E6134"/>
    <w:rsid w:val="008E6306"/>
    <w:rsid w:val="008E6367"/>
    <w:rsid w:val="008E63DD"/>
    <w:rsid w:val="008E6403"/>
    <w:rsid w:val="008E65EE"/>
    <w:rsid w:val="008E660B"/>
    <w:rsid w:val="008E674A"/>
    <w:rsid w:val="008E6761"/>
    <w:rsid w:val="008E67C9"/>
    <w:rsid w:val="008E6BE8"/>
    <w:rsid w:val="008E6D4A"/>
    <w:rsid w:val="008E6D71"/>
    <w:rsid w:val="008E6D89"/>
    <w:rsid w:val="008E6F90"/>
    <w:rsid w:val="008E700A"/>
    <w:rsid w:val="008E709B"/>
    <w:rsid w:val="008E716E"/>
    <w:rsid w:val="008E7347"/>
    <w:rsid w:val="008E735E"/>
    <w:rsid w:val="008E739E"/>
    <w:rsid w:val="008E7410"/>
    <w:rsid w:val="008E74BA"/>
    <w:rsid w:val="008E76F5"/>
    <w:rsid w:val="008E7798"/>
    <w:rsid w:val="008E7878"/>
    <w:rsid w:val="008E78DA"/>
    <w:rsid w:val="008E79D8"/>
    <w:rsid w:val="008E7A37"/>
    <w:rsid w:val="008E7A6E"/>
    <w:rsid w:val="008E7A8C"/>
    <w:rsid w:val="008E7BDB"/>
    <w:rsid w:val="008E7FB1"/>
    <w:rsid w:val="008F0074"/>
    <w:rsid w:val="008F00A8"/>
    <w:rsid w:val="008F01B6"/>
    <w:rsid w:val="008F0347"/>
    <w:rsid w:val="008F04FE"/>
    <w:rsid w:val="008F0741"/>
    <w:rsid w:val="008F0785"/>
    <w:rsid w:val="008F085D"/>
    <w:rsid w:val="008F0C0A"/>
    <w:rsid w:val="008F0D51"/>
    <w:rsid w:val="008F1156"/>
    <w:rsid w:val="008F13EE"/>
    <w:rsid w:val="008F1520"/>
    <w:rsid w:val="008F19E9"/>
    <w:rsid w:val="008F1B86"/>
    <w:rsid w:val="008F1D3B"/>
    <w:rsid w:val="008F1D74"/>
    <w:rsid w:val="008F1DC0"/>
    <w:rsid w:val="008F2167"/>
    <w:rsid w:val="008F2187"/>
    <w:rsid w:val="008F224B"/>
    <w:rsid w:val="008F2295"/>
    <w:rsid w:val="008F250A"/>
    <w:rsid w:val="008F2547"/>
    <w:rsid w:val="008F25EB"/>
    <w:rsid w:val="008F2707"/>
    <w:rsid w:val="008F29DF"/>
    <w:rsid w:val="008F2A71"/>
    <w:rsid w:val="008F2AC5"/>
    <w:rsid w:val="008F2E3F"/>
    <w:rsid w:val="008F2F63"/>
    <w:rsid w:val="008F323B"/>
    <w:rsid w:val="008F3298"/>
    <w:rsid w:val="008F334F"/>
    <w:rsid w:val="008F36E9"/>
    <w:rsid w:val="008F3B06"/>
    <w:rsid w:val="008F3C64"/>
    <w:rsid w:val="008F3CB5"/>
    <w:rsid w:val="008F3D29"/>
    <w:rsid w:val="008F3EF5"/>
    <w:rsid w:val="008F4020"/>
    <w:rsid w:val="008F4101"/>
    <w:rsid w:val="008F428E"/>
    <w:rsid w:val="008F46C7"/>
    <w:rsid w:val="008F46EF"/>
    <w:rsid w:val="008F4AF4"/>
    <w:rsid w:val="008F4C0B"/>
    <w:rsid w:val="008F4E31"/>
    <w:rsid w:val="008F4F10"/>
    <w:rsid w:val="008F50D5"/>
    <w:rsid w:val="008F546C"/>
    <w:rsid w:val="008F558E"/>
    <w:rsid w:val="008F5600"/>
    <w:rsid w:val="008F5655"/>
    <w:rsid w:val="008F56C6"/>
    <w:rsid w:val="008F57A5"/>
    <w:rsid w:val="008F57CD"/>
    <w:rsid w:val="008F5C5A"/>
    <w:rsid w:val="008F5E05"/>
    <w:rsid w:val="008F6097"/>
    <w:rsid w:val="008F671E"/>
    <w:rsid w:val="008F6BC7"/>
    <w:rsid w:val="008F6E27"/>
    <w:rsid w:val="008F6E7C"/>
    <w:rsid w:val="008F7178"/>
    <w:rsid w:val="008F737F"/>
    <w:rsid w:val="008F751E"/>
    <w:rsid w:val="008F7720"/>
    <w:rsid w:val="008F776C"/>
    <w:rsid w:val="008F7947"/>
    <w:rsid w:val="008F7BA4"/>
    <w:rsid w:val="008F7D0B"/>
    <w:rsid w:val="008F7D45"/>
    <w:rsid w:val="008F7D51"/>
    <w:rsid w:val="008F7EC7"/>
    <w:rsid w:val="0090025F"/>
    <w:rsid w:val="00900740"/>
    <w:rsid w:val="0090074D"/>
    <w:rsid w:val="0090081B"/>
    <w:rsid w:val="0090082D"/>
    <w:rsid w:val="009009A1"/>
    <w:rsid w:val="00900BAE"/>
    <w:rsid w:val="00900EE3"/>
    <w:rsid w:val="00901434"/>
    <w:rsid w:val="009016BD"/>
    <w:rsid w:val="009017F2"/>
    <w:rsid w:val="009019D8"/>
    <w:rsid w:val="00901CAD"/>
    <w:rsid w:val="0090203B"/>
    <w:rsid w:val="0090214E"/>
    <w:rsid w:val="00902575"/>
    <w:rsid w:val="00902A0D"/>
    <w:rsid w:val="00902B4E"/>
    <w:rsid w:val="00902C9F"/>
    <w:rsid w:val="00902EB7"/>
    <w:rsid w:val="00902F3C"/>
    <w:rsid w:val="00903207"/>
    <w:rsid w:val="00903278"/>
    <w:rsid w:val="00903285"/>
    <w:rsid w:val="009032BB"/>
    <w:rsid w:val="00903637"/>
    <w:rsid w:val="009036CC"/>
    <w:rsid w:val="009037A6"/>
    <w:rsid w:val="009037C3"/>
    <w:rsid w:val="00903BC6"/>
    <w:rsid w:val="00903C76"/>
    <w:rsid w:val="00903D13"/>
    <w:rsid w:val="00903ED9"/>
    <w:rsid w:val="00903F0E"/>
    <w:rsid w:val="00903FF5"/>
    <w:rsid w:val="009041A5"/>
    <w:rsid w:val="00904211"/>
    <w:rsid w:val="00904847"/>
    <w:rsid w:val="00904ECB"/>
    <w:rsid w:val="00904FD2"/>
    <w:rsid w:val="00905043"/>
    <w:rsid w:val="00905063"/>
    <w:rsid w:val="00905096"/>
    <w:rsid w:val="009051BA"/>
    <w:rsid w:val="009051DF"/>
    <w:rsid w:val="009052D0"/>
    <w:rsid w:val="009052DD"/>
    <w:rsid w:val="0090567B"/>
    <w:rsid w:val="009058FB"/>
    <w:rsid w:val="00906108"/>
    <w:rsid w:val="009063D5"/>
    <w:rsid w:val="0090657A"/>
    <w:rsid w:val="00906740"/>
    <w:rsid w:val="009068A5"/>
    <w:rsid w:val="009068FB"/>
    <w:rsid w:val="00906C87"/>
    <w:rsid w:val="00906D5C"/>
    <w:rsid w:val="00906F40"/>
    <w:rsid w:val="0090711C"/>
    <w:rsid w:val="0090731E"/>
    <w:rsid w:val="0090768F"/>
    <w:rsid w:val="009077C8"/>
    <w:rsid w:val="009078A1"/>
    <w:rsid w:val="00907BEA"/>
    <w:rsid w:val="00907EB0"/>
    <w:rsid w:val="00907FCC"/>
    <w:rsid w:val="009101F1"/>
    <w:rsid w:val="00910A9D"/>
    <w:rsid w:val="00910AFD"/>
    <w:rsid w:val="00910BD9"/>
    <w:rsid w:val="00910CC0"/>
    <w:rsid w:val="00910FB6"/>
    <w:rsid w:val="0091102D"/>
    <w:rsid w:val="00911068"/>
    <w:rsid w:val="00911598"/>
    <w:rsid w:val="00911FDC"/>
    <w:rsid w:val="00912132"/>
    <w:rsid w:val="0091229A"/>
    <w:rsid w:val="00912788"/>
    <w:rsid w:val="0091296B"/>
    <w:rsid w:val="00912BBB"/>
    <w:rsid w:val="00912D2F"/>
    <w:rsid w:val="00912D8C"/>
    <w:rsid w:val="00912FC2"/>
    <w:rsid w:val="009130E5"/>
    <w:rsid w:val="00913183"/>
    <w:rsid w:val="0091336B"/>
    <w:rsid w:val="0091342E"/>
    <w:rsid w:val="00913709"/>
    <w:rsid w:val="0091383E"/>
    <w:rsid w:val="00913881"/>
    <w:rsid w:val="00913C34"/>
    <w:rsid w:val="00913E4E"/>
    <w:rsid w:val="00913E9F"/>
    <w:rsid w:val="00913FA8"/>
    <w:rsid w:val="009140DD"/>
    <w:rsid w:val="009141DC"/>
    <w:rsid w:val="009141FF"/>
    <w:rsid w:val="00914283"/>
    <w:rsid w:val="009142A1"/>
    <w:rsid w:val="009142C9"/>
    <w:rsid w:val="0091455F"/>
    <w:rsid w:val="00914A36"/>
    <w:rsid w:val="00914C6C"/>
    <w:rsid w:val="00914CE5"/>
    <w:rsid w:val="00914F85"/>
    <w:rsid w:val="00915156"/>
    <w:rsid w:val="00915292"/>
    <w:rsid w:val="009156C9"/>
    <w:rsid w:val="009157F4"/>
    <w:rsid w:val="00915865"/>
    <w:rsid w:val="00915954"/>
    <w:rsid w:val="00915AC0"/>
    <w:rsid w:val="00915B1C"/>
    <w:rsid w:val="00915D25"/>
    <w:rsid w:val="00915D5E"/>
    <w:rsid w:val="00915D63"/>
    <w:rsid w:val="00915DAF"/>
    <w:rsid w:val="00915DC5"/>
    <w:rsid w:val="00915ED0"/>
    <w:rsid w:val="00915F70"/>
    <w:rsid w:val="009163F0"/>
    <w:rsid w:val="0091661D"/>
    <w:rsid w:val="00916626"/>
    <w:rsid w:val="009167A9"/>
    <w:rsid w:val="009167BB"/>
    <w:rsid w:val="00916A03"/>
    <w:rsid w:val="00916AD1"/>
    <w:rsid w:val="00916F76"/>
    <w:rsid w:val="0091707D"/>
    <w:rsid w:val="0091722B"/>
    <w:rsid w:val="009173B1"/>
    <w:rsid w:val="009174F3"/>
    <w:rsid w:val="009177D9"/>
    <w:rsid w:val="0091797D"/>
    <w:rsid w:val="00917B5E"/>
    <w:rsid w:val="00920194"/>
    <w:rsid w:val="009201AD"/>
    <w:rsid w:val="0092043C"/>
    <w:rsid w:val="00920711"/>
    <w:rsid w:val="00920A37"/>
    <w:rsid w:val="00920A55"/>
    <w:rsid w:val="00920DE7"/>
    <w:rsid w:val="009211C3"/>
    <w:rsid w:val="00921297"/>
    <w:rsid w:val="00921521"/>
    <w:rsid w:val="00921820"/>
    <w:rsid w:val="009218D0"/>
    <w:rsid w:val="00921A36"/>
    <w:rsid w:val="00921BD7"/>
    <w:rsid w:val="00921CB5"/>
    <w:rsid w:val="00921DE9"/>
    <w:rsid w:val="009221B8"/>
    <w:rsid w:val="009221BA"/>
    <w:rsid w:val="009222C0"/>
    <w:rsid w:val="0092234F"/>
    <w:rsid w:val="00922537"/>
    <w:rsid w:val="0092258E"/>
    <w:rsid w:val="0092264C"/>
    <w:rsid w:val="009228CC"/>
    <w:rsid w:val="00922906"/>
    <w:rsid w:val="00922923"/>
    <w:rsid w:val="0092294A"/>
    <w:rsid w:val="00922BD6"/>
    <w:rsid w:val="00922EFB"/>
    <w:rsid w:val="00923621"/>
    <w:rsid w:val="0092381C"/>
    <w:rsid w:val="0092399E"/>
    <w:rsid w:val="00923B69"/>
    <w:rsid w:val="00923BB3"/>
    <w:rsid w:val="00923CBA"/>
    <w:rsid w:val="00923E63"/>
    <w:rsid w:val="0092413D"/>
    <w:rsid w:val="009241BF"/>
    <w:rsid w:val="0092428D"/>
    <w:rsid w:val="00924418"/>
    <w:rsid w:val="009244C0"/>
    <w:rsid w:val="0092471A"/>
    <w:rsid w:val="009248C3"/>
    <w:rsid w:val="00924B57"/>
    <w:rsid w:val="00924BD8"/>
    <w:rsid w:val="00924BDB"/>
    <w:rsid w:val="00924C4B"/>
    <w:rsid w:val="00924E3F"/>
    <w:rsid w:val="00924F40"/>
    <w:rsid w:val="009250C1"/>
    <w:rsid w:val="00925377"/>
    <w:rsid w:val="0092554A"/>
    <w:rsid w:val="00925637"/>
    <w:rsid w:val="00925645"/>
    <w:rsid w:val="00925651"/>
    <w:rsid w:val="00925738"/>
    <w:rsid w:val="00925A27"/>
    <w:rsid w:val="00925B2A"/>
    <w:rsid w:val="00925C2C"/>
    <w:rsid w:val="00925E8B"/>
    <w:rsid w:val="00925F96"/>
    <w:rsid w:val="0092626F"/>
    <w:rsid w:val="00926303"/>
    <w:rsid w:val="0092662F"/>
    <w:rsid w:val="00926703"/>
    <w:rsid w:val="009267BF"/>
    <w:rsid w:val="00926B6D"/>
    <w:rsid w:val="00926BA1"/>
    <w:rsid w:val="00926D33"/>
    <w:rsid w:val="00926ECA"/>
    <w:rsid w:val="00926F94"/>
    <w:rsid w:val="00927098"/>
    <w:rsid w:val="00927135"/>
    <w:rsid w:val="009273AB"/>
    <w:rsid w:val="00927445"/>
    <w:rsid w:val="009274B1"/>
    <w:rsid w:val="00927691"/>
    <w:rsid w:val="009276E7"/>
    <w:rsid w:val="00927A5F"/>
    <w:rsid w:val="00927ABE"/>
    <w:rsid w:val="00927AD7"/>
    <w:rsid w:val="00927D38"/>
    <w:rsid w:val="00927D67"/>
    <w:rsid w:val="00927D7E"/>
    <w:rsid w:val="00927F4F"/>
    <w:rsid w:val="00927F70"/>
    <w:rsid w:val="0093020B"/>
    <w:rsid w:val="00930418"/>
    <w:rsid w:val="00930510"/>
    <w:rsid w:val="00930529"/>
    <w:rsid w:val="0093069A"/>
    <w:rsid w:val="009306B6"/>
    <w:rsid w:val="009307C4"/>
    <w:rsid w:val="00930BE1"/>
    <w:rsid w:val="00930D48"/>
    <w:rsid w:val="00930E8E"/>
    <w:rsid w:val="00930EFE"/>
    <w:rsid w:val="00931198"/>
    <w:rsid w:val="009315EF"/>
    <w:rsid w:val="00931AFE"/>
    <w:rsid w:val="00931B0C"/>
    <w:rsid w:val="00931B0F"/>
    <w:rsid w:val="00931B27"/>
    <w:rsid w:val="00931B7E"/>
    <w:rsid w:val="00931C42"/>
    <w:rsid w:val="00931EC3"/>
    <w:rsid w:val="0093222D"/>
    <w:rsid w:val="009327D9"/>
    <w:rsid w:val="00932885"/>
    <w:rsid w:val="00932B7B"/>
    <w:rsid w:val="00932B94"/>
    <w:rsid w:val="00932CFE"/>
    <w:rsid w:val="00932D4F"/>
    <w:rsid w:val="00932E36"/>
    <w:rsid w:val="00933194"/>
    <w:rsid w:val="0093329E"/>
    <w:rsid w:val="0093361C"/>
    <w:rsid w:val="00933932"/>
    <w:rsid w:val="00933BD5"/>
    <w:rsid w:val="00933F91"/>
    <w:rsid w:val="00933FE7"/>
    <w:rsid w:val="009342BC"/>
    <w:rsid w:val="0093436F"/>
    <w:rsid w:val="0093480F"/>
    <w:rsid w:val="00934FDE"/>
    <w:rsid w:val="00935023"/>
    <w:rsid w:val="00935052"/>
    <w:rsid w:val="009350BB"/>
    <w:rsid w:val="00935124"/>
    <w:rsid w:val="009353B9"/>
    <w:rsid w:val="0093542E"/>
    <w:rsid w:val="009357D6"/>
    <w:rsid w:val="0093582A"/>
    <w:rsid w:val="00935917"/>
    <w:rsid w:val="0093599B"/>
    <w:rsid w:val="00935B63"/>
    <w:rsid w:val="00935CEB"/>
    <w:rsid w:val="00935F5D"/>
    <w:rsid w:val="00935F90"/>
    <w:rsid w:val="00935FCF"/>
    <w:rsid w:val="00936006"/>
    <w:rsid w:val="0093606E"/>
    <w:rsid w:val="00936148"/>
    <w:rsid w:val="009361B8"/>
    <w:rsid w:val="009363C7"/>
    <w:rsid w:val="00936467"/>
    <w:rsid w:val="00936699"/>
    <w:rsid w:val="009367B4"/>
    <w:rsid w:val="00936BF7"/>
    <w:rsid w:val="00936DE7"/>
    <w:rsid w:val="00936E05"/>
    <w:rsid w:val="00936E95"/>
    <w:rsid w:val="00936F1A"/>
    <w:rsid w:val="00937211"/>
    <w:rsid w:val="0093736E"/>
    <w:rsid w:val="0093747A"/>
    <w:rsid w:val="00937597"/>
    <w:rsid w:val="009376A1"/>
    <w:rsid w:val="00937810"/>
    <w:rsid w:val="0093783E"/>
    <w:rsid w:val="00937EA2"/>
    <w:rsid w:val="00937F46"/>
    <w:rsid w:val="0094024D"/>
    <w:rsid w:val="009403DF"/>
    <w:rsid w:val="00940478"/>
    <w:rsid w:val="0094050A"/>
    <w:rsid w:val="0094071D"/>
    <w:rsid w:val="0094078F"/>
    <w:rsid w:val="009408CC"/>
    <w:rsid w:val="00940935"/>
    <w:rsid w:val="00940C12"/>
    <w:rsid w:val="00940CB6"/>
    <w:rsid w:val="00940D21"/>
    <w:rsid w:val="00940E2A"/>
    <w:rsid w:val="00940F85"/>
    <w:rsid w:val="00940FA3"/>
    <w:rsid w:val="00941067"/>
    <w:rsid w:val="00941196"/>
    <w:rsid w:val="009411C5"/>
    <w:rsid w:val="009413AD"/>
    <w:rsid w:val="009414CF"/>
    <w:rsid w:val="00941512"/>
    <w:rsid w:val="009415DA"/>
    <w:rsid w:val="009418B8"/>
    <w:rsid w:val="009419AF"/>
    <w:rsid w:val="00941CC0"/>
    <w:rsid w:val="00941DD8"/>
    <w:rsid w:val="00941FB0"/>
    <w:rsid w:val="009420C3"/>
    <w:rsid w:val="009426D4"/>
    <w:rsid w:val="00942C1E"/>
    <w:rsid w:val="00942CCB"/>
    <w:rsid w:val="00943028"/>
    <w:rsid w:val="0094310B"/>
    <w:rsid w:val="00943296"/>
    <w:rsid w:val="009432EC"/>
    <w:rsid w:val="0094362A"/>
    <w:rsid w:val="00943752"/>
    <w:rsid w:val="009437AE"/>
    <w:rsid w:val="0094390D"/>
    <w:rsid w:val="00943B12"/>
    <w:rsid w:val="00943C51"/>
    <w:rsid w:val="00943E54"/>
    <w:rsid w:val="0094400A"/>
    <w:rsid w:val="00944109"/>
    <w:rsid w:val="009441E3"/>
    <w:rsid w:val="00944376"/>
    <w:rsid w:val="00944618"/>
    <w:rsid w:val="0094480F"/>
    <w:rsid w:val="0094483D"/>
    <w:rsid w:val="009448FE"/>
    <w:rsid w:val="009449E1"/>
    <w:rsid w:val="00944B7B"/>
    <w:rsid w:val="00944CB4"/>
    <w:rsid w:val="00944CBA"/>
    <w:rsid w:val="00944E4C"/>
    <w:rsid w:val="00944F21"/>
    <w:rsid w:val="00945095"/>
    <w:rsid w:val="00945514"/>
    <w:rsid w:val="009455C2"/>
    <w:rsid w:val="0094569E"/>
    <w:rsid w:val="009456B2"/>
    <w:rsid w:val="009456C1"/>
    <w:rsid w:val="00945726"/>
    <w:rsid w:val="00945742"/>
    <w:rsid w:val="0094576F"/>
    <w:rsid w:val="0094594F"/>
    <w:rsid w:val="0094607E"/>
    <w:rsid w:val="00946274"/>
    <w:rsid w:val="00946512"/>
    <w:rsid w:val="00946695"/>
    <w:rsid w:val="00946759"/>
    <w:rsid w:val="00946767"/>
    <w:rsid w:val="009467C1"/>
    <w:rsid w:val="00946819"/>
    <w:rsid w:val="00946889"/>
    <w:rsid w:val="009468D4"/>
    <w:rsid w:val="00946967"/>
    <w:rsid w:val="0094696A"/>
    <w:rsid w:val="00946981"/>
    <w:rsid w:val="00946C39"/>
    <w:rsid w:val="00946C67"/>
    <w:rsid w:val="00946DFE"/>
    <w:rsid w:val="00946E06"/>
    <w:rsid w:val="00946E59"/>
    <w:rsid w:val="00946E9D"/>
    <w:rsid w:val="00947080"/>
    <w:rsid w:val="0094715A"/>
    <w:rsid w:val="00947186"/>
    <w:rsid w:val="0094741C"/>
    <w:rsid w:val="009475C3"/>
    <w:rsid w:val="0094762F"/>
    <w:rsid w:val="00947745"/>
    <w:rsid w:val="00947754"/>
    <w:rsid w:val="009477EB"/>
    <w:rsid w:val="009478DD"/>
    <w:rsid w:val="009478F6"/>
    <w:rsid w:val="009479BB"/>
    <w:rsid w:val="00947B08"/>
    <w:rsid w:val="00947E1D"/>
    <w:rsid w:val="00947F25"/>
    <w:rsid w:val="00950159"/>
    <w:rsid w:val="009501FB"/>
    <w:rsid w:val="00950274"/>
    <w:rsid w:val="009504AA"/>
    <w:rsid w:val="009507B1"/>
    <w:rsid w:val="009508A3"/>
    <w:rsid w:val="009509DF"/>
    <w:rsid w:val="00950A4A"/>
    <w:rsid w:val="00950AC7"/>
    <w:rsid w:val="00950DD0"/>
    <w:rsid w:val="00950EE8"/>
    <w:rsid w:val="00950F2B"/>
    <w:rsid w:val="00950FDA"/>
    <w:rsid w:val="00951234"/>
    <w:rsid w:val="00951357"/>
    <w:rsid w:val="0095144E"/>
    <w:rsid w:val="009517E9"/>
    <w:rsid w:val="009519A3"/>
    <w:rsid w:val="00951B2E"/>
    <w:rsid w:val="00951E2E"/>
    <w:rsid w:val="00951E99"/>
    <w:rsid w:val="00951F95"/>
    <w:rsid w:val="00952055"/>
    <w:rsid w:val="00952353"/>
    <w:rsid w:val="009523F8"/>
    <w:rsid w:val="009524FC"/>
    <w:rsid w:val="009529BF"/>
    <w:rsid w:val="00952A3D"/>
    <w:rsid w:val="00952AF8"/>
    <w:rsid w:val="00952B1E"/>
    <w:rsid w:val="00952D98"/>
    <w:rsid w:val="00952E8E"/>
    <w:rsid w:val="0095303F"/>
    <w:rsid w:val="009531B7"/>
    <w:rsid w:val="009536D0"/>
    <w:rsid w:val="00953BDC"/>
    <w:rsid w:val="00953BEB"/>
    <w:rsid w:val="0095416E"/>
    <w:rsid w:val="009541D6"/>
    <w:rsid w:val="009542CD"/>
    <w:rsid w:val="00954447"/>
    <w:rsid w:val="0095464D"/>
    <w:rsid w:val="00954719"/>
    <w:rsid w:val="009548E8"/>
    <w:rsid w:val="0095490B"/>
    <w:rsid w:val="0095495B"/>
    <w:rsid w:val="00954EAE"/>
    <w:rsid w:val="009552A0"/>
    <w:rsid w:val="009553DB"/>
    <w:rsid w:val="00955500"/>
    <w:rsid w:val="00955B8D"/>
    <w:rsid w:val="00955DE8"/>
    <w:rsid w:val="00955E09"/>
    <w:rsid w:val="00955FF0"/>
    <w:rsid w:val="00956209"/>
    <w:rsid w:val="0095622B"/>
    <w:rsid w:val="0095662E"/>
    <w:rsid w:val="00956AA1"/>
    <w:rsid w:val="00956AAB"/>
    <w:rsid w:val="00956BA7"/>
    <w:rsid w:val="00956D3E"/>
    <w:rsid w:val="00956D8E"/>
    <w:rsid w:val="00956E28"/>
    <w:rsid w:val="00956EB1"/>
    <w:rsid w:val="00956F84"/>
    <w:rsid w:val="0095709B"/>
    <w:rsid w:val="009573BA"/>
    <w:rsid w:val="00957BA9"/>
    <w:rsid w:val="00957C06"/>
    <w:rsid w:val="00957CA9"/>
    <w:rsid w:val="00957E72"/>
    <w:rsid w:val="00957F1E"/>
    <w:rsid w:val="009600C5"/>
    <w:rsid w:val="00960147"/>
    <w:rsid w:val="009606B9"/>
    <w:rsid w:val="00960A33"/>
    <w:rsid w:val="00960C51"/>
    <w:rsid w:val="00960EB9"/>
    <w:rsid w:val="009614C1"/>
    <w:rsid w:val="009616CE"/>
    <w:rsid w:val="009616E4"/>
    <w:rsid w:val="00961776"/>
    <w:rsid w:val="00961802"/>
    <w:rsid w:val="00961880"/>
    <w:rsid w:val="00961A50"/>
    <w:rsid w:val="00961BF0"/>
    <w:rsid w:val="0096207B"/>
    <w:rsid w:val="00962254"/>
    <w:rsid w:val="009623A9"/>
    <w:rsid w:val="009624D7"/>
    <w:rsid w:val="009624EF"/>
    <w:rsid w:val="00962652"/>
    <w:rsid w:val="00962698"/>
    <w:rsid w:val="0096289B"/>
    <w:rsid w:val="009629E1"/>
    <w:rsid w:val="009629F0"/>
    <w:rsid w:val="00962BB7"/>
    <w:rsid w:val="00962CB5"/>
    <w:rsid w:val="00962DDE"/>
    <w:rsid w:val="00963018"/>
    <w:rsid w:val="009633C8"/>
    <w:rsid w:val="0096342B"/>
    <w:rsid w:val="00963576"/>
    <w:rsid w:val="009635C2"/>
    <w:rsid w:val="009636C2"/>
    <w:rsid w:val="0096376F"/>
    <w:rsid w:val="00963904"/>
    <w:rsid w:val="00963E2A"/>
    <w:rsid w:val="00963E6D"/>
    <w:rsid w:val="00964152"/>
    <w:rsid w:val="00964171"/>
    <w:rsid w:val="009641AD"/>
    <w:rsid w:val="00964275"/>
    <w:rsid w:val="009642C1"/>
    <w:rsid w:val="00964330"/>
    <w:rsid w:val="00964508"/>
    <w:rsid w:val="00964510"/>
    <w:rsid w:val="009645A5"/>
    <w:rsid w:val="0096460D"/>
    <w:rsid w:val="00964638"/>
    <w:rsid w:val="009647F6"/>
    <w:rsid w:val="00964B94"/>
    <w:rsid w:val="00964D9E"/>
    <w:rsid w:val="00964EDB"/>
    <w:rsid w:val="00964F07"/>
    <w:rsid w:val="00965292"/>
    <w:rsid w:val="00965581"/>
    <w:rsid w:val="00965599"/>
    <w:rsid w:val="009655AE"/>
    <w:rsid w:val="009656DB"/>
    <w:rsid w:val="00965789"/>
    <w:rsid w:val="00965AB1"/>
    <w:rsid w:val="00965B70"/>
    <w:rsid w:val="00965B74"/>
    <w:rsid w:val="00965BFF"/>
    <w:rsid w:val="00965D83"/>
    <w:rsid w:val="00965EB8"/>
    <w:rsid w:val="00966370"/>
    <w:rsid w:val="009664C0"/>
    <w:rsid w:val="00966683"/>
    <w:rsid w:val="009666CF"/>
    <w:rsid w:val="00966849"/>
    <w:rsid w:val="00966DA3"/>
    <w:rsid w:val="00966E0C"/>
    <w:rsid w:val="00967144"/>
    <w:rsid w:val="0096715F"/>
    <w:rsid w:val="0096736A"/>
    <w:rsid w:val="0096742D"/>
    <w:rsid w:val="00967493"/>
    <w:rsid w:val="00967ABE"/>
    <w:rsid w:val="00967ADF"/>
    <w:rsid w:val="00967EC7"/>
    <w:rsid w:val="0097031E"/>
    <w:rsid w:val="00970364"/>
    <w:rsid w:val="00970428"/>
    <w:rsid w:val="00970530"/>
    <w:rsid w:val="0097072E"/>
    <w:rsid w:val="00970760"/>
    <w:rsid w:val="00970810"/>
    <w:rsid w:val="009709CF"/>
    <w:rsid w:val="00970A60"/>
    <w:rsid w:val="00970D9C"/>
    <w:rsid w:val="00970DDB"/>
    <w:rsid w:val="00970E63"/>
    <w:rsid w:val="00970FDF"/>
    <w:rsid w:val="00971060"/>
    <w:rsid w:val="00971206"/>
    <w:rsid w:val="009713DA"/>
    <w:rsid w:val="009714B6"/>
    <w:rsid w:val="00971580"/>
    <w:rsid w:val="00971914"/>
    <w:rsid w:val="00971937"/>
    <w:rsid w:val="00971980"/>
    <w:rsid w:val="00971ABC"/>
    <w:rsid w:val="00971B1C"/>
    <w:rsid w:val="00971BCF"/>
    <w:rsid w:val="00971C38"/>
    <w:rsid w:val="00971E3F"/>
    <w:rsid w:val="00971FB9"/>
    <w:rsid w:val="0097212E"/>
    <w:rsid w:val="00972221"/>
    <w:rsid w:val="00972793"/>
    <w:rsid w:val="009727DC"/>
    <w:rsid w:val="0097289E"/>
    <w:rsid w:val="0097293F"/>
    <w:rsid w:val="00972B03"/>
    <w:rsid w:val="00972D79"/>
    <w:rsid w:val="00972DAA"/>
    <w:rsid w:val="00972F4C"/>
    <w:rsid w:val="00973146"/>
    <w:rsid w:val="009734C4"/>
    <w:rsid w:val="00973539"/>
    <w:rsid w:val="00973745"/>
    <w:rsid w:val="009737ED"/>
    <w:rsid w:val="00973BD2"/>
    <w:rsid w:val="00973FC9"/>
    <w:rsid w:val="00974363"/>
    <w:rsid w:val="0097436F"/>
    <w:rsid w:val="00974425"/>
    <w:rsid w:val="00974485"/>
    <w:rsid w:val="009745C5"/>
    <w:rsid w:val="0097485E"/>
    <w:rsid w:val="00974982"/>
    <w:rsid w:val="00974C10"/>
    <w:rsid w:val="00974D03"/>
    <w:rsid w:val="00974DC2"/>
    <w:rsid w:val="009750FC"/>
    <w:rsid w:val="009751E3"/>
    <w:rsid w:val="00975321"/>
    <w:rsid w:val="0097536B"/>
    <w:rsid w:val="009754CF"/>
    <w:rsid w:val="0097588E"/>
    <w:rsid w:val="009759C8"/>
    <w:rsid w:val="00975EDD"/>
    <w:rsid w:val="00975F30"/>
    <w:rsid w:val="009760D3"/>
    <w:rsid w:val="009761B2"/>
    <w:rsid w:val="009761D3"/>
    <w:rsid w:val="00976265"/>
    <w:rsid w:val="00976373"/>
    <w:rsid w:val="00976814"/>
    <w:rsid w:val="00976905"/>
    <w:rsid w:val="00976927"/>
    <w:rsid w:val="0097692E"/>
    <w:rsid w:val="00976D6E"/>
    <w:rsid w:val="00976D7C"/>
    <w:rsid w:val="00976F45"/>
    <w:rsid w:val="00976F57"/>
    <w:rsid w:val="00977039"/>
    <w:rsid w:val="009770C6"/>
    <w:rsid w:val="00977434"/>
    <w:rsid w:val="009776F5"/>
    <w:rsid w:val="009777B1"/>
    <w:rsid w:val="0097790A"/>
    <w:rsid w:val="0097794F"/>
    <w:rsid w:val="00977990"/>
    <w:rsid w:val="009779E3"/>
    <w:rsid w:val="00977A39"/>
    <w:rsid w:val="00977BE3"/>
    <w:rsid w:val="00977E7A"/>
    <w:rsid w:val="009800E4"/>
    <w:rsid w:val="00980279"/>
    <w:rsid w:val="009802B6"/>
    <w:rsid w:val="009803FE"/>
    <w:rsid w:val="00980460"/>
    <w:rsid w:val="00980A0A"/>
    <w:rsid w:val="00980A7B"/>
    <w:rsid w:val="00980CCF"/>
    <w:rsid w:val="00980FAC"/>
    <w:rsid w:val="00981097"/>
    <w:rsid w:val="0098128C"/>
    <w:rsid w:val="009813A3"/>
    <w:rsid w:val="009813EC"/>
    <w:rsid w:val="009814A4"/>
    <w:rsid w:val="00981884"/>
    <w:rsid w:val="00981898"/>
    <w:rsid w:val="009818DC"/>
    <w:rsid w:val="00981B7D"/>
    <w:rsid w:val="00981BAB"/>
    <w:rsid w:val="00981CCC"/>
    <w:rsid w:val="00981D0D"/>
    <w:rsid w:val="00981D53"/>
    <w:rsid w:val="009820B5"/>
    <w:rsid w:val="0098213A"/>
    <w:rsid w:val="00982158"/>
    <w:rsid w:val="009824A7"/>
    <w:rsid w:val="009825DD"/>
    <w:rsid w:val="00982637"/>
    <w:rsid w:val="00982A57"/>
    <w:rsid w:val="00982C09"/>
    <w:rsid w:val="00982C5C"/>
    <w:rsid w:val="00983050"/>
    <w:rsid w:val="009830B0"/>
    <w:rsid w:val="00983469"/>
    <w:rsid w:val="00983624"/>
    <w:rsid w:val="0098367A"/>
    <w:rsid w:val="00983691"/>
    <w:rsid w:val="00983908"/>
    <w:rsid w:val="0098393B"/>
    <w:rsid w:val="00983AD8"/>
    <w:rsid w:val="00983AE2"/>
    <w:rsid w:val="00983BA9"/>
    <w:rsid w:val="00983C09"/>
    <w:rsid w:val="00983C3A"/>
    <w:rsid w:val="00983E29"/>
    <w:rsid w:val="00983EB7"/>
    <w:rsid w:val="009841FF"/>
    <w:rsid w:val="0098420E"/>
    <w:rsid w:val="00984470"/>
    <w:rsid w:val="00984496"/>
    <w:rsid w:val="0098465A"/>
    <w:rsid w:val="00984B57"/>
    <w:rsid w:val="00984DA0"/>
    <w:rsid w:val="00984F3B"/>
    <w:rsid w:val="0098565E"/>
    <w:rsid w:val="00985946"/>
    <w:rsid w:val="00985984"/>
    <w:rsid w:val="009859D9"/>
    <w:rsid w:val="00985B2A"/>
    <w:rsid w:val="00985D50"/>
    <w:rsid w:val="00985F22"/>
    <w:rsid w:val="00985F80"/>
    <w:rsid w:val="00986023"/>
    <w:rsid w:val="00986042"/>
    <w:rsid w:val="00986070"/>
    <w:rsid w:val="00986315"/>
    <w:rsid w:val="0098661F"/>
    <w:rsid w:val="00986AA4"/>
    <w:rsid w:val="00986B8A"/>
    <w:rsid w:val="00986C8C"/>
    <w:rsid w:val="00986DB5"/>
    <w:rsid w:val="00986E55"/>
    <w:rsid w:val="009870B9"/>
    <w:rsid w:val="00987108"/>
    <w:rsid w:val="00987169"/>
    <w:rsid w:val="009871D6"/>
    <w:rsid w:val="009871DE"/>
    <w:rsid w:val="00987241"/>
    <w:rsid w:val="0098767C"/>
    <w:rsid w:val="009877C4"/>
    <w:rsid w:val="00987861"/>
    <w:rsid w:val="0098794D"/>
    <w:rsid w:val="00987A34"/>
    <w:rsid w:val="00987C61"/>
    <w:rsid w:val="00987DE0"/>
    <w:rsid w:val="00987EA2"/>
    <w:rsid w:val="00987F39"/>
    <w:rsid w:val="00987F7D"/>
    <w:rsid w:val="00987FE0"/>
    <w:rsid w:val="009900BA"/>
    <w:rsid w:val="0099022B"/>
    <w:rsid w:val="00990244"/>
    <w:rsid w:val="00990262"/>
    <w:rsid w:val="00990276"/>
    <w:rsid w:val="00990490"/>
    <w:rsid w:val="00990519"/>
    <w:rsid w:val="00990588"/>
    <w:rsid w:val="009905F5"/>
    <w:rsid w:val="00990682"/>
    <w:rsid w:val="00990A4B"/>
    <w:rsid w:val="00990B93"/>
    <w:rsid w:val="00990C33"/>
    <w:rsid w:val="00990CB1"/>
    <w:rsid w:val="00990D1D"/>
    <w:rsid w:val="00990D65"/>
    <w:rsid w:val="00990D66"/>
    <w:rsid w:val="00991027"/>
    <w:rsid w:val="009910C2"/>
    <w:rsid w:val="009914D7"/>
    <w:rsid w:val="0099158C"/>
    <w:rsid w:val="00991599"/>
    <w:rsid w:val="009915A1"/>
    <w:rsid w:val="0099183A"/>
    <w:rsid w:val="009919BE"/>
    <w:rsid w:val="00991AE2"/>
    <w:rsid w:val="009920F0"/>
    <w:rsid w:val="0099224B"/>
    <w:rsid w:val="009925DF"/>
    <w:rsid w:val="00992805"/>
    <w:rsid w:val="00992B3C"/>
    <w:rsid w:val="00992BC1"/>
    <w:rsid w:val="00992E9F"/>
    <w:rsid w:val="00993036"/>
    <w:rsid w:val="009930E7"/>
    <w:rsid w:val="00993424"/>
    <w:rsid w:val="0099356B"/>
    <w:rsid w:val="00993AE8"/>
    <w:rsid w:val="00993AF2"/>
    <w:rsid w:val="00993E47"/>
    <w:rsid w:val="00993E8B"/>
    <w:rsid w:val="00993FFC"/>
    <w:rsid w:val="009942F8"/>
    <w:rsid w:val="00994316"/>
    <w:rsid w:val="00994587"/>
    <w:rsid w:val="009947AC"/>
    <w:rsid w:val="00994CA7"/>
    <w:rsid w:val="00994EE2"/>
    <w:rsid w:val="0099502F"/>
    <w:rsid w:val="0099503C"/>
    <w:rsid w:val="009952C5"/>
    <w:rsid w:val="009954DD"/>
    <w:rsid w:val="00995549"/>
    <w:rsid w:val="0099554B"/>
    <w:rsid w:val="00995570"/>
    <w:rsid w:val="0099577C"/>
    <w:rsid w:val="0099584D"/>
    <w:rsid w:val="00995B9C"/>
    <w:rsid w:val="00995E64"/>
    <w:rsid w:val="0099601B"/>
    <w:rsid w:val="0099604C"/>
    <w:rsid w:val="009963D2"/>
    <w:rsid w:val="0099659F"/>
    <w:rsid w:val="009965A9"/>
    <w:rsid w:val="00996B92"/>
    <w:rsid w:val="00996EE4"/>
    <w:rsid w:val="00996FC8"/>
    <w:rsid w:val="00997117"/>
    <w:rsid w:val="009971DF"/>
    <w:rsid w:val="0099765B"/>
    <w:rsid w:val="0099774A"/>
    <w:rsid w:val="00997766"/>
    <w:rsid w:val="009977D9"/>
    <w:rsid w:val="009979B7"/>
    <w:rsid w:val="00997B10"/>
    <w:rsid w:val="00997D8A"/>
    <w:rsid w:val="009A021C"/>
    <w:rsid w:val="009A0533"/>
    <w:rsid w:val="009A0568"/>
    <w:rsid w:val="009A0745"/>
    <w:rsid w:val="009A079F"/>
    <w:rsid w:val="009A0849"/>
    <w:rsid w:val="009A0C0A"/>
    <w:rsid w:val="009A0F6A"/>
    <w:rsid w:val="009A0FE7"/>
    <w:rsid w:val="009A1514"/>
    <w:rsid w:val="009A1994"/>
    <w:rsid w:val="009A1BD4"/>
    <w:rsid w:val="009A1D50"/>
    <w:rsid w:val="009A1ED3"/>
    <w:rsid w:val="009A2010"/>
    <w:rsid w:val="009A2116"/>
    <w:rsid w:val="009A224D"/>
    <w:rsid w:val="009A23B6"/>
    <w:rsid w:val="009A25CC"/>
    <w:rsid w:val="009A267E"/>
    <w:rsid w:val="009A278B"/>
    <w:rsid w:val="009A2A97"/>
    <w:rsid w:val="009A2BB5"/>
    <w:rsid w:val="009A2BE7"/>
    <w:rsid w:val="009A2C53"/>
    <w:rsid w:val="009A2D42"/>
    <w:rsid w:val="009A2F7A"/>
    <w:rsid w:val="009A351E"/>
    <w:rsid w:val="009A37D8"/>
    <w:rsid w:val="009A3A2D"/>
    <w:rsid w:val="009A3C56"/>
    <w:rsid w:val="009A3CF7"/>
    <w:rsid w:val="009A3ED6"/>
    <w:rsid w:val="009A4053"/>
    <w:rsid w:val="009A4094"/>
    <w:rsid w:val="009A40F5"/>
    <w:rsid w:val="009A41DE"/>
    <w:rsid w:val="009A425A"/>
    <w:rsid w:val="009A4320"/>
    <w:rsid w:val="009A4624"/>
    <w:rsid w:val="009A46DE"/>
    <w:rsid w:val="009A579D"/>
    <w:rsid w:val="009A591C"/>
    <w:rsid w:val="009A5AE5"/>
    <w:rsid w:val="009A5B73"/>
    <w:rsid w:val="009A5BC2"/>
    <w:rsid w:val="009A5C29"/>
    <w:rsid w:val="009A5C2F"/>
    <w:rsid w:val="009A5DDB"/>
    <w:rsid w:val="009A5DE7"/>
    <w:rsid w:val="009A5FCC"/>
    <w:rsid w:val="009A64AB"/>
    <w:rsid w:val="009A6A3E"/>
    <w:rsid w:val="009A6A93"/>
    <w:rsid w:val="009A6AA7"/>
    <w:rsid w:val="009A6B39"/>
    <w:rsid w:val="009A6BB8"/>
    <w:rsid w:val="009A6C51"/>
    <w:rsid w:val="009A6D6E"/>
    <w:rsid w:val="009A6E75"/>
    <w:rsid w:val="009A73BF"/>
    <w:rsid w:val="009A7561"/>
    <w:rsid w:val="009A7825"/>
    <w:rsid w:val="009A7C78"/>
    <w:rsid w:val="009A7CDA"/>
    <w:rsid w:val="009A7F27"/>
    <w:rsid w:val="009A7F59"/>
    <w:rsid w:val="009B010A"/>
    <w:rsid w:val="009B020B"/>
    <w:rsid w:val="009B023E"/>
    <w:rsid w:val="009B029B"/>
    <w:rsid w:val="009B0477"/>
    <w:rsid w:val="009B0860"/>
    <w:rsid w:val="009B0C4A"/>
    <w:rsid w:val="009B0D2D"/>
    <w:rsid w:val="009B0DFD"/>
    <w:rsid w:val="009B0E73"/>
    <w:rsid w:val="009B0EF4"/>
    <w:rsid w:val="009B11E6"/>
    <w:rsid w:val="009B126A"/>
    <w:rsid w:val="009B13AA"/>
    <w:rsid w:val="009B1484"/>
    <w:rsid w:val="009B1558"/>
    <w:rsid w:val="009B1AA8"/>
    <w:rsid w:val="009B1BD1"/>
    <w:rsid w:val="009B1BD9"/>
    <w:rsid w:val="009B1C8E"/>
    <w:rsid w:val="009B236D"/>
    <w:rsid w:val="009B24A5"/>
    <w:rsid w:val="009B25FD"/>
    <w:rsid w:val="009B2601"/>
    <w:rsid w:val="009B2705"/>
    <w:rsid w:val="009B27E8"/>
    <w:rsid w:val="009B2827"/>
    <w:rsid w:val="009B29F4"/>
    <w:rsid w:val="009B2E7D"/>
    <w:rsid w:val="009B2F00"/>
    <w:rsid w:val="009B3267"/>
    <w:rsid w:val="009B32B3"/>
    <w:rsid w:val="009B33E0"/>
    <w:rsid w:val="009B3613"/>
    <w:rsid w:val="009B378E"/>
    <w:rsid w:val="009B3834"/>
    <w:rsid w:val="009B3970"/>
    <w:rsid w:val="009B3986"/>
    <w:rsid w:val="009B3AAA"/>
    <w:rsid w:val="009B3C09"/>
    <w:rsid w:val="009B3CDA"/>
    <w:rsid w:val="009B4027"/>
    <w:rsid w:val="009B41F6"/>
    <w:rsid w:val="009B4239"/>
    <w:rsid w:val="009B4499"/>
    <w:rsid w:val="009B44AF"/>
    <w:rsid w:val="009B44BC"/>
    <w:rsid w:val="009B461B"/>
    <w:rsid w:val="009B4651"/>
    <w:rsid w:val="009B47BE"/>
    <w:rsid w:val="009B484C"/>
    <w:rsid w:val="009B4926"/>
    <w:rsid w:val="009B49CC"/>
    <w:rsid w:val="009B4C5E"/>
    <w:rsid w:val="009B4C8A"/>
    <w:rsid w:val="009B4CC9"/>
    <w:rsid w:val="009B4E9E"/>
    <w:rsid w:val="009B5146"/>
    <w:rsid w:val="009B5190"/>
    <w:rsid w:val="009B5419"/>
    <w:rsid w:val="009B5633"/>
    <w:rsid w:val="009B5679"/>
    <w:rsid w:val="009B58B6"/>
    <w:rsid w:val="009B5AFD"/>
    <w:rsid w:val="009B5F50"/>
    <w:rsid w:val="009B6110"/>
    <w:rsid w:val="009B6321"/>
    <w:rsid w:val="009B68D6"/>
    <w:rsid w:val="009B6AC9"/>
    <w:rsid w:val="009B6B26"/>
    <w:rsid w:val="009B6EAF"/>
    <w:rsid w:val="009B6F04"/>
    <w:rsid w:val="009B6F39"/>
    <w:rsid w:val="009B7077"/>
    <w:rsid w:val="009B7105"/>
    <w:rsid w:val="009B71A1"/>
    <w:rsid w:val="009B7357"/>
    <w:rsid w:val="009B744F"/>
    <w:rsid w:val="009B745D"/>
    <w:rsid w:val="009B757B"/>
    <w:rsid w:val="009B7F51"/>
    <w:rsid w:val="009B7FAC"/>
    <w:rsid w:val="009B7FB3"/>
    <w:rsid w:val="009B7FFB"/>
    <w:rsid w:val="009C00D8"/>
    <w:rsid w:val="009C01C8"/>
    <w:rsid w:val="009C0321"/>
    <w:rsid w:val="009C0356"/>
    <w:rsid w:val="009C038F"/>
    <w:rsid w:val="009C067F"/>
    <w:rsid w:val="009C082F"/>
    <w:rsid w:val="009C0C6E"/>
    <w:rsid w:val="009C0E84"/>
    <w:rsid w:val="009C0F87"/>
    <w:rsid w:val="009C100E"/>
    <w:rsid w:val="009C1439"/>
    <w:rsid w:val="009C15CB"/>
    <w:rsid w:val="009C1690"/>
    <w:rsid w:val="009C180B"/>
    <w:rsid w:val="009C18C4"/>
    <w:rsid w:val="009C18E1"/>
    <w:rsid w:val="009C1A91"/>
    <w:rsid w:val="009C1F8F"/>
    <w:rsid w:val="009C2042"/>
    <w:rsid w:val="009C2169"/>
    <w:rsid w:val="009C22CA"/>
    <w:rsid w:val="009C2457"/>
    <w:rsid w:val="009C2493"/>
    <w:rsid w:val="009C27B9"/>
    <w:rsid w:val="009C2927"/>
    <w:rsid w:val="009C2A00"/>
    <w:rsid w:val="009C2C36"/>
    <w:rsid w:val="009C2C88"/>
    <w:rsid w:val="009C2F46"/>
    <w:rsid w:val="009C30AD"/>
    <w:rsid w:val="009C32CC"/>
    <w:rsid w:val="009C360E"/>
    <w:rsid w:val="009C3877"/>
    <w:rsid w:val="009C39B3"/>
    <w:rsid w:val="009C3BB1"/>
    <w:rsid w:val="009C3E33"/>
    <w:rsid w:val="009C432E"/>
    <w:rsid w:val="009C47FE"/>
    <w:rsid w:val="009C48E6"/>
    <w:rsid w:val="009C524E"/>
    <w:rsid w:val="009C55AF"/>
    <w:rsid w:val="009C5A41"/>
    <w:rsid w:val="009C5A8E"/>
    <w:rsid w:val="009C5B2A"/>
    <w:rsid w:val="009C5C03"/>
    <w:rsid w:val="009C5EE5"/>
    <w:rsid w:val="009C6067"/>
    <w:rsid w:val="009C6337"/>
    <w:rsid w:val="009C64BA"/>
    <w:rsid w:val="009C6547"/>
    <w:rsid w:val="009C6699"/>
    <w:rsid w:val="009C6733"/>
    <w:rsid w:val="009C6881"/>
    <w:rsid w:val="009C6886"/>
    <w:rsid w:val="009C69EC"/>
    <w:rsid w:val="009C6A22"/>
    <w:rsid w:val="009C6CFF"/>
    <w:rsid w:val="009C6EAC"/>
    <w:rsid w:val="009C6ED5"/>
    <w:rsid w:val="009C7210"/>
    <w:rsid w:val="009C73E9"/>
    <w:rsid w:val="009C747A"/>
    <w:rsid w:val="009C7519"/>
    <w:rsid w:val="009C76AC"/>
    <w:rsid w:val="009C76D2"/>
    <w:rsid w:val="009C7759"/>
    <w:rsid w:val="009C77A6"/>
    <w:rsid w:val="009C78ED"/>
    <w:rsid w:val="009C7BEE"/>
    <w:rsid w:val="009C7F9E"/>
    <w:rsid w:val="009D028C"/>
    <w:rsid w:val="009D043D"/>
    <w:rsid w:val="009D0483"/>
    <w:rsid w:val="009D0485"/>
    <w:rsid w:val="009D04C6"/>
    <w:rsid w:val="009D0538"/>
    <w:rsid w:val="009D07C8"/>
    <w:rsid w:val="009D090F"/>
    <w:rsid w:val="009D0B5C"/>
    <w:rsid w:val="009D0C2B"/>
    <w:rsid w:val="009D0C67"/>
    <w:rsid w:val="009D0F4F"/>
    <w:rsid w:val="009D0F87"/>
    <w:rsid w:val="009D11B7"/>
    <w:rsid w:val="009D1433"/>
    <w:rsid w:val="009D1636"/>
    <w:rsid w:val="009D194F"/>
    <w:rsid w:val="009D24B3"/>
    <w:rsid w:val="009D252F"/>
    <w:rsid w:val="009D25E5"/>
    <w:rsid w:val="009D26F4"/>
    <w:rsid w:val="009D27AC"/>
    <w:rsid w:val="009D2812"/>
    <w:rsid w:val="009D2863"/>
    <w:rsid w:val="009D2875"/>
    <w:rsid w:val="009D2A8A"/>
    <w:rsid w:val="009D2B61"/>
    <w:rsid w:val="009D2BA4"/>
    <w:rsid w:val="009D2DD3"/>
    <w:rsid w:val="009D2EC8"/>
    <w:rsid w:val="009D302B"/>
    <w:rsid w:val="009D3302"/>
    <w:rsid w:val="009D39A6"/>
    <w:rsid w:val="009D3D69"/>
    <w:rsid w:val="009D3D97"/>
    <w:rsid w:val="009D423D"/>
    <w:rsid w:val="009D44D3"/>
    <w:rsid w:val="009D460D"/>
    <w:rsid w:val="009D4A0A"/>
    <w:rsid w:val="009D4B7A"/>
    <w:rsid w:val="009D4C85"/>
    <w:rsid w:val="009D4DEB"/>
    <w:rsid w:val="009D5093"/>
    <w:rsid w:val="009D50FE"/>
    <w:rsid w:val="009D5583"/>
    <w:rsid w:val="009D5627"/>
    <w:rsid w:val="009D5722"/>
    <w:rsid w:val="009D5821"/>
    <w:rsid w:val="009D5AE0"/>
    <w:rsid w:val="009D5ED2"/>
    <w:rsid w:val="009D5F15"/>
    <w:rsid w:val="009D5F53"/>
    <w:rsid w:val="009D5FF0"/>
    <w:rsid w:val="009D6205"/>
    <w:rsid w:val="009D66A6"/>
    <w:rsid w:val="009D66B8"/>
    <w:rsid w:val="009D6B06"/>
    <w:rsid w:val="009D6C71"/>
    <w:rsid w:val="009D6C8A"/>
    <w:rsid w:val="009D6CD3"/>
    <w:rsid w:val="009D714D"/>
    <w:rsid w:val="009D71B9"/>
    <w:rsid w:val="009D7227"/>
    <w:rsid w:val="009D736A"/>
    <w:rsid w:val="009D77D2"/>
    <w:rsid w:val="009D7A4A"/>
    <w:rsid w:val="009D7ABE"/>
    <w:rsid w:val="009D7C60"/>
    <w:rsid w:val="009D7D88"/>
    <w:rsid w:val="009D7E5F"/>
    <w:rsid w:val="009E01D6"/>
    <w:rsid w:val="009E026F"/>
    <w:rsid w:val="009E0409"/>
    <w:rsid w:val="009E0554"/>
    <w:rsid w:val="009E0575"/>
    <w:rsid w:val="009E0631"/>
    <w:rsid w:val="009E0782"/>
    <w:rsid w:val="009E0AFF"/>
    <w:rsid w:val="009E0D8F"/>
    <w:rsid w:val="009E1044"/>
    <w:rsid w:val="009E11D9"/>
    <w:rsid w:val="009E136C"/>
    <w:rsid w:val="009E1424"/>
    <w:rsid w:val="009E1440"/>
    <w:rsid w:val="009E1572"/>
    <w:rsid w:val="009E16C5"/>
    <w:rsid w:val="009E16D0"/>
    <w:rsid w:val="009E1718"/>
    <w:rsid w:val="009E18F4"/>
    <w:rsid w:val="009E1D8B"/>
    <w:rsid w:val="009E1DFA"/>
    <w:rsid w:val="009E1FCA"/>
    <w:rsid w:val="009E2051"/>
    <w:rsid w:val="009E2092"/>
    <w:rsid w:val="009E25BB"/>
    <w:rsid w:val="009E27A3"/>
    <w:rsid w:val="009E281C"/>
    <w:rsid w:val="009E28A2"/>
    <w:rsid w:val="009E2917"/>
    <w:rsid w:val="009E2A2D"/>
    <w:rsid w:val="009E2A65"/>
    <w:rsid w:val="009E2BE3"/>
    <w:rsid w:val="009E2E57"/>
    <w:rsid w:val="009E2EBF"/>
    <w:rsid w:val="009E2F66"/>
    <w:rsid w:val="009E3132"/>
    <w:rsid w:val="009E31E3"/>
    <w:rsid w:val="009E34B1"/>
    <w:rsid w:val="009E352F"/>
    <w:rsid w:val="009E354C"/>
    <w:rsid w:val="009E38FD"/>
    <w:rsid w:val="009E394D"/>
    <w:rsid w:val="009E3A77"/>
    <w:rsid w:val="009E3CAE"/>
    <w:rsid w:val="009E3D4F"/>
    <w:rsid w:val="009E3F3A"/>
    <w:rsid w:val="009E417E"/>
    <w:rsid w:val="009E420D"/>
    <w:rsid w:val="009E4333"/>
    <w:rsid w:val="009E46C2"/>
    <w:rsid w:val="009E4729"/>
    <w:rsid w:val="009E4974"/>
    <w:rsid w:val="009E524F"/>
    <w:rsid w:val="009E532E"/>
    <w:rsid w:val="009E5375"/>
    <w:rsid w:val="009E53B3"/>
    <w:rsid w:val="009E5475"/>
    <w:rsid w:val="009E580E"/>
    <w:rsid w:val="009E58A7"/>
    <w:rsid w:val="009E5CB4"/>
    <w:rsid w:val="009E6012"/>
    <w:rsid w:val="009E63FA"/>
    <w:rsid w:val="009E645E"/>
    <w:rsid w:val="009E66BC"/>
    <w:rsid w:val="009E69CD"/>
    <w:rsid w:val="009E6CE1"/>
    <w:rsid w:val="009E6E42"/>
    <w:rsid w:val="009E6FE0"/>
    <w:rsid w:val="009E707F"/>
    <w:rsid w:val="009E72B9"/>
    <w:rsid w:val="009E72F8"/>
    <w:rsid w:val="009E74B4"/>
    <w:rsid w:val="009E766F"/>
    <w:rsid w:val="009E772A"/>
    <w:rsid w:val="009E796C"/>
    <w:rsid w:val="009E7BB4"/>
    <w:rsid w:val="009E7DA3"/>
    <w:rsid w:val="009E7FB0"/>
    <w:rsid w:val="009E7FB7"/>
    <w:rsid w:val="009E7FCB"/>
    <w:rsid w:val="009F0638"/>
    <w:rsid w:val="009F07B4"/>
    <w:rsid w:val="009F09BE"/>
    <w:rsid w:val="009F0A91"/>
    <w:rsid w:val="009F0CBF"/>
    <w:rsid w:val="009F0DD5"/>
    <w:rsid w:val="009F1376"/>
    <w:rsid w:val="009F1395"/>
    <w:rsid w:val="009F13D6"/>
    <w:rsid w:val="009F19B8"/>
    <w:rsid w:val="009F1AF8"/>
    <w:rsid w:val="009F1BB6"/>
    <w:rsid w:val="009F1BCF"/>
    <w:rsid w:val="009F1CEE"/>
    <w:rsid w:val="009F1DCA"/>
    <w:rsid w:val="009F227B"/>
    <w:rsid w:val="009F2281"/>
    <w:rsid w:val="009F22F1"/>
    <w:rsid w:val="009F2CA1"/>
    <w:rsid w:val="009F2E47"/>
    <w:rsid w:val="009F316B"/>
    <w:rsid w:val="009F33A2"/>
    <w:rsid w:val="009F3481"/>
    <w:rsid w:val="009F34BC"/>
    <w:rsid w:val="009F34E6"/>
    <w:rsid w:val="009F3768"/>
    <w:rsid w:val="009F37AB"/>
    <w:rsid w:val="009F38D8"/>
    <w:rsid w:val="009F3B40"/>
    <w:rsid w:val="009F3F2C"/>
    <w:rsid w:val="009F3F7E"/>
    <w:rsid w:val="009F4276"/>
    <w:rsid w:val="009F42E4"/>
    <w:rsid w:val="009F4A89"/>
    <w:rsid w:val="009F4B9F"/>
    <w:rsid w:val="009F4C6B"/>
    <w:rsid w:val="009F4EEB"/>
    <w:rsid w:val="009F528E"/>
    <w:rsid w:val="009F53CA"/>
    <w:rsid w:val="009F543F"/>
    <w:rsid w:val="009F5601"/>
    <w:rsid w:val="009F56A6"/>
    <w:rsid w:val="009F5710"/>
    <w:rsid w:val="009F5CC2"/>
    <w:rsid w:val="009F5D50"/>
    <w:rsid w:val="009F5DA5"/>
    <w:rsid w:val="009F5DEE"/>
    <w:rsid w:val="009F5E77"/>
    <w:rsid w:val="009F6010"/>
    <w:rsid w:val="009F616D"/>
    <w:rsid w:val="009F637F"/>
    <w:rsid w:val="009F67DC"/>
    <w:rsid w:val="009F6A99"/>
    <w:rsid w:val="009F6B60"/>
    <w:rsid w:val="009F6CEB"/>
    <w:rsid w:val="009F6D94"/>
    <w:rsid w:val="009F6EEB"/>
    <w:rsid w:val="009F7275"/>
    <w:rsid w:val="009F72BD"/>
    <w:rsid w:val="009F75BE"/>
    <w:rsid w:val="009F765B"/>
    <w:rsid w:val="009F78A8"/>
    <w:rsid w:val="009F7939"/>
    <w:rsid w:val="009F798F"/>
    <w:rsid w:val="009F7A74"/>
    <w:rsid w:val="009F7D79"/>
    <w:rsid w:val="009F7DFD"/>
    <w:rsid w:val="009F7EAB"/>
    <w:rsid w:val="00A00010"/>
    <w:rsid w:val="00A0010F"/>
    <w:rsid w:val="00A002C1"/>
    <w:rsid w:val="00A0034B"/>
    <w:rsid w:val="00A00492"/>
    <w:rsid w:val="00A00523"/>
    <w:rsid w:val="00A00553"/>
    <w:rsid w:val="00A00604"/>
    <w:rsid w:val="00A0071A"/>
    <w:rsid w:val="00A0073B"/>
    <w:rsid w:val="00A00752"/>
    <w:rsid w:val="00A007D3"/>
    <w:rsid w:val="00A00903"/>
    <w:rsid w:val="00A00A8E"/>
    <w:rsid w:val="00A00C3D"/>
    <w:rsid w:val="00A00C4A"/>
    <w:rsid w:val="00A00E1C"/>
    <w:rsid w:val="00A00FEE"/>
    <w:rsid w:val="00A0130F"/>
    <w:rsid w:val="00A014AA"/>
    <w:rsid w:val="00A0157B"/>
    <w:rsid w:val="00A01B9E"/>
    <w:rsid w:val="00A01D28"/>
    <w:rsid w:val="00A01F07"/>
    <w:rsid w:val="00A01F21"/>
    <w:rsid w:val="00A01F48"/>
    <w:rsid w:val="00A02133"/>
    <w:rsid w:val="00A02297"/>
    <w:rsid w:val="00A02419"/>
    <w:rsid w:val="00A0245C"/>
    <w:rsid w:val="00A024DE"/>
    <w:rsid w:val="00A02703"/>
    <w:rsid w:val="00A02A5A"/>
    <w:rsid w:val="00A02AD6"/>
    <w:rsid w:val="00A02C41"/>
    <w:rsid w:val="00A02CA3"/>
    <w:rsid w:val="00A02CE6"/>
    <w:rsid w:val="00A02DFE"/>
    <w:rsid w:val="00A02F8A"/>
    <w:rsid w:val="00A03165"/>
    <w:rsid w:val="00A03284"/>
    <w:rsid w:val="00A033EA"/>
    <w:rsid w:val="00A03586"/>
    <w:rsid w:val="00A03599"/>
    <w:rsid w:val="00A0390D"/>
    <w:rsid w:val="00A03A7D"/>
    <w:rsid w:val="00A03BCB"/>
    <w:rsid w:val="00A03E22"/>
    <w:rsid w:val="00A03FF6"/>
    <w:rsid w:val="00A0410A"/>
    <w:rsid w:val="00A04372"/>
    <w:rsid w:val="00A04776"/>
    <w:rsid w:val="00A04A13"/>
    <w:rsid w:val="00A04BA3"/>
    <w:rsid w:val="00A04D70"/>
    <w:rsid w:val="00A04E58"/>
    <w:rsid w:val="00A0506D"/>
    <w:rsid w:val="00A050F2"/>
    <w:rsid w:val="00A051CF"/>
    <w:rsid w:val="00A0532B"/>
    <w:rsid w:val="00A05414"/>
    <w:rsid w:val="00A055A1"/>
    <w:rsid w:val="00A055F2"/>
    <w:rsid w:val="00A0569F"/>
    <w:rsid w:val="00A057EE"/>
    <w:rsid w:val="00A0581F"/>
    <w:rsid w:val="00A059F2"/>
    <w:rsid w:val="00A05C05"/>
    <w:rsid w:val="00A05D26"/>
    <w:rsid w:val="00A05E91"/>
    <w:rsid w:val="00A05FA5"/>
    <w:rsid w:val="00A06180"/>
    <w:rsid w:val="00A063DB"/>
    <w:rsid w:val="00A06698"/>
    <w:rsid w:val="00A066DE"/>
    <w:rsid w:val="00A0674A"/>
    <w:rsid w:val="00A067CC"/>
    <w:rsid w:val="00A06B48"/>
    <w:rsid w:val="00A06CCA"/>
    <w:rsid w:val="00A06D01"/>
    <w:rsid w:val="00A06D5F"/>
    <w:rsid w:val="00A06FD6"/>
    <w:rsid w:val="00A06FE0"/>
    <w:rsid w:val="00A07096"/>
    <w:rsid w:val="00A0712E"/>
    <w:rsid w:val="00A0713C"/>
    <w:rsid w:val="00A07318"/>
    <w:rsid w:val="00A0731C"/>
    <w:rsid w:val="00A074C6"/>
    <w:rsid w:val="00A075D2"/>
    <w:rsid w:val="00A07618"/>
    <w:rsid w:val="00A0761D"/>
    <w:rsid w:val="00A0780F"/>
    <w:rsid w:val="00A07961"/>
    <w:rsid w:val="00A07A03"/>
    <w:rsid w:val="00A07ABD"/>
    <w:rsid w:val="00A07F16"/>
    <w:rsid w:val="00A1003A"/>
    <w:rsid w:val="00A100C1"/>
    <w:rsid w:val="00A1011B"/>
    <w:rsid w:val="00A1041B"/>
    <w:rsid w:val="00A1049C"/>
    <w:rsid w:val="00A105A6"/>
    <w:rsid w:val="00A105CC"/>
    <w:rsid w:val="00A107BC"/>
    <w:rsid w:val="00A10BBC"/>
    <w:rsid w:val="00A10E4E"/>
    <w:rsid w:val="00A10F8B"/>
    <w:rsid w:val="00A1109B"/>
    <w:rsid w:val="00A11215"/>
    <w:rsid w:val="00A11370"/>
    <w:rsid w:val="00A114FD"/>
    <w:rsid w:val="00A1177D"/>
    <w:rsid w:val="00A11919"/>
    <w:rsid w:val="00A11A0B"/>
    <w:rsid w:val="00A11AA9"/>
    <w:rsid w:val="00A11ABE"/>
    <w:rsid w:val="00A11BFE"/>
    <w:rsid w:val="00A11D3A"/>
    <w:rsid w:val="00A11E04"/>
    <w:rsid w:val="00A11F11"/>
    <w:rsid w:val="00A11F51"/>
    <w:rsid w:val="00A120A4"/>
    <w:rsid w:val="00A12223"/>
    <w:rsid w:val="00A122E6"/>
    <w:rsid w:val="00A1245E"/>
    <w:rsid w:val="00A1253C"/>
    <w:rsid w:val="00A12664"/>
    <w:rsid w:val="00A12683"/>
    <w:rsid w:val="00A12857"/>
    <w:rsid w:val="00A12B2B"/>
    <w:rsid w:val="00A12C30"/>
    <w:rsid w:val="00A12D3C"/>
    <w:rsid w:val="00A12FC0"/>
    <w:rsid w:val="00A13167"/>
    <w:rsid w:val="00A13854"/>
    <w:rsid w:val="00A138D3"/>
    <w:rsid w:val="00A13AA8"/>
    <w:rsid w:val="00A13B21"/>
    <w:rsid w:val="00A13DD7"/>
    <w:rsid w:val="00A13E38"/>
    <w:rsid w:val="00A13F20"/>
    <w:rsid w:val="00A13FC1"/>
    <w:rsid w:val="00A143D8"/>
    <w:rsid w:val="00A143EC"/>
    <w:rsid w:val="00A14659"/>
    <w:rsid w:val="00A14706"/>
    <w:rsid w:val="00A1482D"/>
    <w:rsid w:val="00A14998"/>
    <w:rsid w:val="00A14F7E"/>
    <w:rsid w:val="00A14FF3"/>
    <w:rsid w:val="00A152F4"/>
    <w:rsid w:val="00A156C0"/>
    <w:rsid w:val="00A157F6"/>
    <w:rsid w:val="00A15A09"/>
    <w:rsid w:val="00A15A23"/>
    <w:rsid w:val="00A15B06"/>
    <w:rsid w:val="00A15D53"/>
    <w:rsid w:val="00A15F58"/>
    <w:rsid w:val="00A16073"/>
    <w:rsid w:val="00A16320"/>
    <w:rsid w:val="00A1652A"/>
    <w:rsid w:val="00A16652"/>
    <w:rsid w:val="00A16A22"/>
    <w:rsid w:val="00A16BA1"/>
    <w:rsid w:val="00A16CF8"/>
    <w:rsid w:val="00A16D10"/>
    <w:rsid w:val="00A16D72"/>
    <w:rsid w:val="00A16FCC"/>
    <w:rsid w:val="00A170BF"/>
    <w:rsid w:val="00A170D1"/>
    <w:rsid w:val="00A172CD"/>
    <w:rsid w:val="00A175C4"/>
    <w:rsid w:val="00A17825"/>
    <w:rsid w:val="00A179B9"/>
    <w:rsid w:val="00A17B53"/>
    <w:rsid w:val="00A17DF8"/>
    <w:rsid w:val="00A2017F"/>
    <w:rsid w:val="00A20428"/>
    <w:rsid w:val="00A204A9"/>
    <w:rsid w:val="00A204F8"/>
    <w:rsid w:val="00A20593"/>
    <w:rsid w:val="00A2086F"/>
    <w:rsid w:val="00A20B4E"/>
    <w:rsid w:val="00A211A4"/>
    <w:rsid w:val="00A21228"/>
    <w:rsid w:val="00A21371"/>
    <w:rsid w:val="00A213DA"/>
    <w:rsid w:val="00A2159D"/>
    <w:rsid w:val="00A2164A"/>
    <w:rsid w:val="00A216AC"/>
    <w:rsid w:val="00A21843"/>
    <w:rsid w:val="00A21865"/>
    <w:rsid w:val="00A21C84"/>
    <w:rsid w:val="00A21C87"/>
    <w:rsid w:val="00A21E19"/>
    <w:rsid w:val="00A21F63"/>
    <w:rsid w:val="00A22115"/>
    <w:rsid w:val="00A221AB"/>
    <w:rsid w:val="00A222E5"/>
    <w:rsid w:val="00A22331"/>
    <w:rsid w:val="00A224CE"/>
    <w:rsid w:val="00A22522"/>
    <w:rsid w:val="00A2288C"/>
    <w:rsid w:val="00A22909"/>
    <w:rsid w:val="00A22988"/>
    <w:rsid w:val="00A22AC7"/>
    <w:rsid w:val="00A22B5D"/>
    <w:rsid w:val="00A22D26"/>
    <w:rsid w:val="00A22D79"/>
    <w:rsid w:val="00A232DF"/>
    <w:rsid w:val="00A2337B"/>
    <w:rsid w:val="00A233D4"/>
    <w:rsid w:val="00A2372E"/>
    <w:rsid w:val="00A237B8"/>
    <w:rsid w:val="00A23CAE"/>
    <w:rsid w:val="00A23DA9"/>
    <w:rsid w:val="00A2440B"/>
    <w:rsid w:val="00A24637"/>
    <w:rsid w:val="00A246D2"/>
    <w:rsid w:val="00A24960"/>
    <w:rsid w:val="00A24AFD"/>
    <w:rsid w:val="00A24CC5"/>
    <w:rsid w:val="00A24DBB"/>
    <w:rsid w:val="00A24E89"/>
    <w:rsid w:val="00A24F5C"/>
    <w:rsid w:val="00A25015"/>
    <w:rsid w:val="00A254C7"/>
    <w:rsid w:val="00A25745"/>
    <w:rsid w:val="00A2574A"/>
    <w:rsid w:val="00A257E2"/>
    <w:rsid w:val="00A25AA0"/>
    <w:rsid w:val="00A25CAD"/>
    <w:rsid w:val="00A25D4D"/>
    <w:rsid w:val="00A25D73"/>
    <w:rsid w:val="00A25EE0"/>
    <w:rsid w:val="00A25F5E"/>
    <w:rsid w:val="00A261A9"/>
    <w:rsid w:val="00A2634E"/>
    <w:rsid w:val="00A2637B"/>
    <w:rsid w:val="00A264D5"/>
    <w:rsid w:val="00A265CC"/>
    <w:rsid w:val="00A26603"/>
    <w:rsid w:val="00A26767"/>
    <w:rsid w:val="00A2683B"/>
    <w:rsid w:val="00A26AEE"/>
    <w:rsid w:val="00A26B57"/>
    <w:rsid w:val="00A26C4A"/>
    <w:rsid w:val="00A26D0A"/>
    <w:rsid w:val="00A26EE7"/>
    <w:rsid w:val="00A26EFD"/>
    <w:rsid w:val="00A270BA"/>
    <w:rsid w:val="00A2712A"/>
    <w:rsid w:val="00A2743E"/>
    <w:rsid w:val="00A2753C"/>
    <w:rsid w:val="00A2760C"/>
    <w:rsid w:val="00A27868"/>
    <w:rsid w:val="00A278EF"/>
    <w:rsid w:val="00A2796D"/>
    <w:rsid w:val="00A279BA"/>
    <w:rsid w:val="00A279E1"/>
    <w:rsid w:val="00A27B02"/>
    <w:rsid w:val="00A27D65"/>
    <w:rsid w:val="00A304B3"/>
    <w:rsid w:val="00A304F4"/>
    <w:rsid w:val="00A30559"/>
    <w:rsid w:val="00A30684"/>
    <w:rsid w:val="00A30B5B"/>
    <w:rsid w:val="00A30D39"/>
    <w:rsid w:val="00A30F65"/>
    <w:rsid w:val="00A31514"/>
    <w:rsid w:val="00A316ED"/>
    <w:rsid w:val="00A31941"/>
    <w:rsid w:val="00A31A53"/>
    <w:rsid w:val="00A31D65"/>
    <w:rsid w:val="00A31E73"/>
    <w:rsid w:val="00A320B8"/>
    <w:rsid w:val="00A3220F"/>
    <w:rsid w:val="00A324D2"/>
    <w:rsid w:val="00A32648"/>
    <w:rsid w:val="00A326B0"/>
    <w:rsid w:val="00A3278A"/>
    <w:rsid w:val="00A32899"/>
    <w:rsid w:val="00A328E9"/>
    <w:rsid w:val="00A3297D"/>
    <w:rsid w:val="00A32CC3"/>
    <w:rsid w:val="00A32F96"/>
    <w:rsid w:val="00A33025"/>
    <w:rsid w:val="00A330D7"/>
    <w:rsid w:val="00A331AC"/>
    <w:rsid w:val="00A33240"/>
    <w:rsid w:val="00A332FF"/>
    <w:rsid w:val="00A333DB"/>
    <w:rsid w:val="00A333F0"/>
    <w:rsid w:val="00A33421"/>
    <w:rsid w:val="00A3344E"/>
    <w:rsid w:val="00A33534"/>
    <w:rsid w:val="00A3353F"/>
    <w:rsid w:val="00A3356B"/>
    <w:rsid w:val="00A335F4"/>
    <w:rsid w:val="00A336AD"/>
    <w:rsid w:val="00A33B85"/>
    <w:rsid w:val="00A33CA9"/>
    <w:rsid w:val="00A33F06"/>
    <w:rsid w:val="00A33F4C"/>
    <w:rsid w:val="00A33FAC"/>
    <w:rsid w:val="00A3402C"/>
    <w:rsid w:val="00A342FF"/>
    <w:rsid w:val="00A34432"/>
    <w:rsid w:val="00A344D1"/>
    <w:rsid w:val="00A346CB"/>
    <w:rsid w:val="00A347A5"/>
    <w:rsid w:val="00A349AC"/>
    <w:rsid w:val="00A34EAA"/>
    <w:rsid w:val="00A353CF"/>
    <w:rsid w:val="00A3555E"/>
    <w:rsid w:val="00A355CB"/>
    <w:rsid w:val="00A35A62"/>
    <w:rsid w:val="00A35B41"/>
    <w:rsid w:val="00A35CEA"/>
    <w:rsid w:val="00A35D20"/>
    <w:rsid w:val="00A35EFE"/>
    <w:rsid w:val="00A35FC9"/>
    <w:rsid w:val="00A35FEB"/>
    <w:rsid w:val="00A363BD"/>
    <w:rsid w:val="00A36C64"/>
    <w:rsid w:val="00A36F41"/>
    <w:rsid w:val="00A376D0"/>
    <w:rsid w:val="00A37C53"/>
    <w:rsid w:val="00A40064"/>
    <w:rsid w:val="00A40482"/>
    <w:rsid w:val="00A40608"/>
    <w:rsid w:val="00A40631"/>
    <w:rsid w:val="00A40738"/>
    <w:rsid w:val="00A407D8"/>
    <w:rsid w:val="00A40871"/>
    <w:rsid w:val="00A4087B"/>
    <w:rsid w:val="00A40B1E"/>
    <w:rsid w:val="00A40E1E"/>
    <w:rsid w:val="00A41173"/>
    <w:rsid w:val="00A41285"/>
    <w:rsid w:val="00A412AB"/>
    <w:rsid w:val="00A41515"/>
    <w:rsid w:val="00A4193E"/>
    <w:rsid w:val="00A419C7"/>
    <w:rsid w:val="00A41A55"/>
    <w:rsid w:val="00A41A6D"/>
    <w:rsid w:val="00A41AEA"/>
    <w:rsid w:val="00A41B31"/>
    <w:rsid w:val="00A41B3E"/>
    <w:rsid w:val="00A41C07"/>
    <w:rsid w:val="00A41C4D"/>
    <w:rsid w:val="00A41D3B"/>
    <w:rsid w:val="00A41E67"/>
    <w:rsid w:val="00A41E9E"/>
    <w:rsid w:val="00A41F01"/>
    <w:rsid w:val="00A4217D"/>
    <w:rsid w:val="00A42307"/>
    <w:rsid w:val="00A424BE"/>
    <w:rsid w:val="00A428DF"/>
    <w:rsid w:val="00A42A1A"/>
    <w:rsid w:val="00A42B92"/>
    <w:rsid w:val="00A42F8D"/>
    <w:rsid w:val="00A43396"/>
    <w:rsid w:val="00A434EE"/>
    <w:rsid w:val="00A43531"/>
    <w:rsid w:val="00A43713"/>
    <w:rsid w:val="00A43897"/>
    <w:rsid w:val="00A438F2"/>
    <w:rsid w:val="00A43C42"/>
    <w:rsid w:val="00A43E86"/>
    <w:rsid w:val="00A440E0"/>
    <w:rsid w:val="00A4424A"/>
    <w:rsid w:val="00A44281"/>
    <w:rsid w:val="00A442EF"/>
    <w:rsid w:val="00A44637"/>
    <w:rsid w:val="00A4477F"/>
    <w:rsid w:val="00A44A18"/>
    <w:rsid w:val="00A44A6A"/>
    <w:rsid w:val="00A450D8"/>
    <w:rsid w:val="00A45495"/>
    <w:rsid w:val="00A4570A"/>
    <w:rsid w:val="00A4575F"/>
    <w:rsid w:val="00A45901"/>
    <w:rsid w:val="00A459EA"/>
    <w:rsid w:val="00A45BA4"/>
    <w:rsid w:val="00A45D15"/>
    <w:rsid w:val="00A45E7B"/>
    <w:rsid w:val="00A461FD"/>
    <w:rsid w:val="00A46284"/>
    <w:rsid w:val="00A462CA"/>
    <w:rsid w:val="00A462FB"/>
    <w:rsid w:val="00A46524"/>
    <w:rsid w:val="00A465A3"/>
    <w:rsid w:val="00A4677D"/>
    <w:rsid w:val="00A468E6"/>
    <w:rsid w:val="00A46C02"/>
    <w:rsid w:val="00A46C64"/>
    <w:rsid w:val="00A46CB1"/>
    <w:rsid w:val="00A46F57"/>
    <w:rsid w:val="00A47137"/>
    <w:rsid w:val="00A4746F"/>
    <w:rsid w:val="00A47666"/>
    <w:rsid w:val="00A479A3"/>
    <w:rsid w:val="00A479BF"/>
    <w:rsid w:val="00A47A48"/>
    <w:rsid w:val="00A47A7E"/>
    <w:rsid w:val="00A47BA0"/>
    <w:rsid w:val="00A47D7D"/>
    <w:rsid w:val="00A50196"/>
    <w:rsid w:val="00A50248"/>
    <w:rsid w:val="00A50303"/>
    <w:rsid w:val="00A50334"/>
    <w:rsid w:val="00A50648"/>
    <w:rsid w:val="00A50776"/>
    <w:rsid w:val="00A5081B"/>
    <w:rsid w:val="00A5093C"/>
    <w:rsid w:val="00A50C55"/>
    <w:rsid w:val="00A50C5E"/>
    <w:rsid w:val="00A50CD2"/>
    <w:rsid w:val="00A50F6C"/>
    <w:rsid w:val="00A51191"/>
    <w:rsid w:val="00A5144F"/>
    <w:rsid w:val="00A51685"/>
    <w:rsid w:val="00A519AE"/>
    <w:rsid w:val="00A51C81"/>
    <w:rsid w:val="00A51D1A"/>
    <w:rsid w:val="00A51D73"/>
    <w:rsid w:val="00A51FF5"/>
    <w:rsid w:val="00A5219E"/>
    <w:rsid w:val="00A52315"/>
    <w:rsid w:val="00A52373"/>
    <w:rsid w:val="00A527DB"/>
    <w:rsid w:val="00A52929"/>
    <w:rsid w:val="00A5294B"/>
    <w:rsid w:val="00A52988"/>
    <w:rsid w:val="00A52B6C"/>
    <w:rsid w:val="00A52CF8"/>
    <w:rsid w:val="00A52D2A"/>
    <w:rsid w:val="00A52F23"/>
    <w:rsid w:val="00A53015"/>
    <w:rsid w:val="00A5311B"/>
    <w:rsid w:val="00A531CF"/>
    <w:rsid w:val="00A531EA"/>
    <w:rsid w:val="00A53245"/>
    <w:rsid w:val="00A53287"/>
    <w:rsid w:val="00A5335A"/>
    <w:rsid w:val="00A53482"/>
    <w:rsid w:val="00A53490"/>
    <w:rsid w:val="00A53574"/>
    <w:rsid w:val="00A53892"/>
    <w:rsid w:val="00A538EE"/>
    <w:rsid w:val="00A5392D"/>
    <w:rsid w:val="00A53B2B"/>
    <w:rsid w:val="00A53C9A"/>
    <w:rsid w:val="00A53ECF"/>
    <w:rsid w:val="00A53FB4"/>
    <w:rsid w:val="00A54042"/>
    <w:rsid w:val="00A5418D"/>
    <w:rsid w:val="00A54416"/>
    <w:rsid w:val="00A5451A"/>
    <w:rsid w:val="00A5474E"/>
    <w:rsid w:val="00A54750"/>
    <w:rsid w:val="00A54874"/>
    <w:rsid w:val="00A549B0"/>
    <w:rsid w:val="00A54B4C"/>
    <w:rsid w:val="00A54C7C"/>
    <w:rsid w:val="00A54C8F"/>
    <w:rsid w:val="00A54F19"/>
    <w:rsid w:val="00A5510C"/>
    <w:rsid w:val="00A55519"/>
    <w:rsid w:val="00A557F8"/>
    <w:rsid w:val="00A5589E"/>
    <w:rsid w:val="00A559C1"/>
    <w:rsid w:val="00A55BEF"/>
    <w:rsid w:val="00A55C6C"/>
    <w:rsid w:val="00A55DC2"/>
    <w:rsid w:val="00A5619A"/>
    <w:rsid w:val="00A5646A"/>
    <w:rsid w:val="00A56524"/>
    <w:rsid w:val="00A565CE"/>
    <w:rsid w:val="00A56735"/>
    <w:rsid w:val="00A56820"/>
    <w:rsid w:val="00A56AC7"/>
    <w:rsid w:val="00A56AFA"/>
    <w:rsid w:val="00A56D61"/>
    <w:rsid w:val="00A57100"/>
    <w:rsid w:val="00A5724F"/>
    <w:rsid w:val="00A57493"/>
    <w:rsid w:val="00A5761F"/>
    <w:rsid w:val="00A577A1"/>
    <w:rsid w:val="00A57834"/>
    <w:rsid w:val="00A579D5"/>
    <w:rsid w:val="00A579DB"/>
    <w:rsid w:val="00A57C68"/>
    <w:rsid w:val="00A57D0E"/>
    <w:rsid w:val="00A57D1D"/>
    <w:rsid w:val="00A600D8"/>
    <w:rsid w:val="00A601B2"/>
    <w:rsid w:val="00A601CB"/>
    <w:rsid w:val="00A602E8"/>
    <w:rsid w:val="00A607AC"/>
    <w:rsid w:val="00A60841"/>
    <w:rsid w:val="00A608A3"/>
    <w:rsid w:val="00A60E07"/>
    <w:rsid w:val="00A60E53"/>
    <w:rsid w:val="00A60EC2"/>
    <w:rsid w:val="00A60FDE"/>
    <w:rsid w:val="00A61108"/>
    <w:rsid w:val="00A61193"/>
    <w:rsid w:val="00A61391"/>
    <w:rsid w:val="00A61641"/>
    <w:rsid w:val="00A6169B"/>
    <w:rsid w:val="00A61ABF"/>
    <w:rsid w:val="00A61AF3"/>
    <w:rsid w:val="00A61BB6"/>
    <w:rsid w:val="00A61BB7"/>
    <w:rsid w:val="00A61C30"/>
    <w:rsid w:val="00A61C3C"/>
    <w:rsid w:val="00A61DF6"/>
    <w:rsid w:val="00A61F4C"/>
    <w:rsid w:val="00A6216D"/>
    <w:rsid w:val="00A62380"/>
    <w:rsid w:val="00A623E3"/>
    <w:rsid w:val="00A623E9"/>
    <w:rsid w:val="00A6264F"/>
    <w:rsid w:val="00A62738"/>
    <w:rsid w:val="00A62815"/>
    <w:rsid w:val="00A6290D"/>
    <w:rsid w:val="00A62AF9"/>
    <w:rsid w:val="00A62D19"/>
    <w:rsid w:val="00A62F41"/>
    <w:rsid w:val="00A62F47"/>
    <w:rsid w:val="00A62FF4"/>
    <w:rsid w:val="00A63032"/>
    <w:rsid w:val="00A6336E"/>
    <w:rsid w:val="00A6341C"/>
    <w:rsid w:val="00A6357E"/>
    <w:rsid w:val="00A63677"/>
    <w:rsid w:val="00A63721"/>
    <w:rsid w:val="00A63784"/>
    <w:rsid w:val="00A63925"/>
    <w:rsid w:val="00A6395C"/>
    <w:rsid w:val="00A6396B"/>
    <w:rsid w:val="00A63BC8"/>
    <w:rsid w:val="00A63C22"/>
    <w:rsid w:val="00A63DB4"/>
    <w:rsid w:val="00A6407D"/>
    <w:rsid w:val="00A64139"/>
    <w:rsid w:val="00A64234"/>
    <w:rsid w:val="00A64334"/>
    <w:rsid w:val="00A644CA"/>
    <w:rsid w:val="00A645E2"/>
    <w:rsid w:val="00A64A1B"/>
    <w:rsid w:val="00A64AFB"/>
    <w:rsid w:val="00A64C0C"/>
    <w:rsid w:val="00A64D29"/>
    <w:rsid w:val="00A64D89"/>
    <w:rsid w:val="00A64DE6"/>
    <w:rsid w:val="00A64DF4"/>
    <w:rsid w:val="00A6532B"/>
    <w:rsid w:val="00A65382"/>
    <w:rsid w:val="00A65507"/>
    <w:rsid w:val="00A656A7"/>
    <w:rsid w:val="00A6591E"/>
    <w:rsid w:val="00A65AA6"/>
    <w:rsid w:val="00A65ACE"/>
    <w:rsid w:val="00A65C5D"/>
    <w:rsid w:val="00A65CAF"/>
    <w:rsid w:val="00A65F60"/>
    <w:rsid w:val="00A65FBF"/>
    <w:rsid w:val="00A66055"/>
    <w:rsid w:val="00A6614E"/>
    <w:rsid w:val="00A664F1"/>
    <w:rsid w:val="00A66757"/>
    <w:rsid w:val="00A66ABE"/>
    <w:rsid w:val="00A66BE3"/>
    <w:rsid w:val="00A66C79"/>
    <w:rsid w:val="00A66C9F"/>
    <w:rsid w:val="00A66CE4"/>
    <w:rsid w:val="00A66F12"/>
    <w:rsid w:val="00A66F49"/>
    <w:rsid w:val="00A67386"/>
    <w:rsid w:val="00A67489"/>
    <w:rsid w:val="00A674EA"/>
    <w:rsid w:val="00A67605"/>
    <w:rsid w:val="00A67721"/>
    <w:rsid w:val="00A67735"/>
    <w:rsid w:val="00A67AD3"/>
    <w:rsid w:val="00A67B72"/>
    <w:rsid w:val="00A67BC5"/>
    <w:rsid w:val="00A67E40"/>
    <w:rsid w:val="00A67E47"/>
    <w:rsid w:val="00A67EFC"/>
    <w:rsid w:val="00A67F3A"/>
    <w:rsid w:val="00A70011"/>
    <w:rsid w:val="00A7005B"/>
    <w:rsid w:val="00A70285"/>
    <w:rsid w:val="00A703C7"/>
    <w:rsid w:val="00A707A0"/>
    <w:rsid w:val="00A707D3"/>
    <w:rsid w:val="00A70836"/>
    <w:rsid w:val="00A708E5"/>
    <w:rsid w:val="00A70944"/>
    <w:rsid w:val="00A70AB7"/>
    <w:rsid w:val="00A70ADF"/>
    <w:rsid w:val="00A70B64"/>
    <w:rsid w:val="00A70BE0"/>
    <w:rsid w:val="00A7120A"/>
    <w:rsid w:val="00A71466"/>
    <w:rsid w:val="00A71481"/>
    <w:rsid w:val="00A7172A"/>
    <w:rsid w:val="00A71886"/>
    <w:rsid w:val="00A71905"/>
    <w:rsid w:val="00A71906"/>
    <w:rsid w:val="00A719DC"/>
    <w:rsid w:val="00A71A72"/>
    <w:rsid w:val="00A71ADE"/>
    <w:rsid w:val="00A71C23"/>
    <w:rsid w:val="00A71E0A"/>
    <w:rsid w:val="00A71FB3"/>
    <w:rsid w:val="00A7202B"/>
    <w:rsid w:val="00A72035"/>
    <w:rsid w:val="00A7206B"/>
    <w:rsid w:val="00A720A8"/>
    <w:rsid w:val="00A7222D"/>
    <w:rsid w:val="00A72508"/>
    <w:rsid w:val="00A72707"/>
    <w:rsid w:val="00A7294C"/>
    <w:rsid w:val="00A72A61"/>
    <w:rsid w:val="00A72B9A"/>
    <w:rsid w:val="00A72ED9"/>
    <w:rsid w:val="00A73003"/>
    <w:rsid w:val="00A730C2"/>
    <w:rsid w:val="00A730E1"/>
    <w:rsid w:val="00A73117"/>
    <w:rsid w:val="00A73119"/>
    <w:rsid w:val="00A7315C"/>
    <w:rsid w:val="00A739BD"/>
    <w:rsid w:val="00A73A8E"/>
    <w:rsid w:val="00A73ACC"/>
    <w:rsid w:val="00A73E4C"/>
    <w:rsid w:val="00A740B9"/>
    <w:rsid w:val="00A741F8"/>
    <w:rsid w:val="00A7444A"/>
    <w:rsid w:val="00A7458B"/>
    <w:rsid w:val="00A7463E"/>
    <w:rsid w:val="00A748E0"/>
    <w:rsid w:val="00A74B5E"/>
    <w:rsid w:val="00A74B88"/>
    <w:rsid w:val="00A74BAB"/>
    <w:rsid w:val="00A74D2B"/>
    <w:rsid w:val="00A74E3E"/>
    <w:rsid w:val="00A74FB7"/>
    <w:rsid w:val="00A750AF"/>
    <w:rsid w:val="00A75124"/>
    <w:rsid w:val="00A75176"/>
    <w:rsid w:val="00A752D8"/>
    <w:rsid w:val="00A7545B"/>
    <w:rsid w:val="00A75AA3"/>
    <w:rsid w:val="00A75EE7"/>
    <w:rsid w:val="00A75FD5"/>
    <w:rsid w:val="00A75FFB"/>
    <w:rsid w:val="00A7618E"/>
    <w:rsid w:val="00A761C5"/>
    <w:rsid w:val="00A76241"/>
    <w:rsid w:val="00A76356"/>
    <w:rsid w:val="00A7669D"/>
    <w:rsid w:val="00A769A8"/>
    <w:rsid w:val="00A769C2"/>
    <w:rsid w:val="00A76AAE"/>
    <w:rsid w:val="00A76B20"/>
    <w:rsid w:val="00A76D0D"/>
    <w:rsid w:val="00A76D36"/>
    <w:rsid w:val="00A76DA7"/>
    <w:rsid w:val="00A76E68"/>
    <w:rsid w:val="00A76E91"/>
    <w:rsid w:val="00A76FB1"/>
    <w:rsid w:val="00A77345"/>
    <w:rsid w:val="00A775C0"/>
    <w:rsid w:val="00A776AC"/>
    <w:rsid w:val="00A77BF1"/>
    <w:rsid w:val="00A80113"/>
    <w:rsid w:val="00A802FB"/>
    <w:rsid w:val="00A8074E"/>
    <w:rsid w:val="00A808B6"/>
    <w:rsid w:val="00A809D2"/>
    <w:rsid w:val="00A80A2C"/>
    <w:rsid w:val="00A80A6A"/>
    <w:rsid w:val="00A80AA6"/>
    <w:rsid w:val="00A80B28"/>
    <w:rsid w:val="00A80FA7"/>
    <w:rsid w:val="00A813B3"/>
    <w:rsid w:val="00A81523"/>
    <w:rsid w:val="00A81619"/>
    <w:rsid w:val="00A8169D"/>
    <w:rsid w:val="00A81854"/>
    <w:rsid w:val="00A81A68"/>
    <w:rsid w:val="00A81B9B"/>
    <w:rsid w:val="00A81BED"/>
    <w:rsid w:val="00A81D34"/>
    <w:rsid w:val="00A81DBA"/>
    <w:rsid w:val="00A81DE4"/>
    <w:rsid w:val="00A81EC4"/>
    <w:rsid w:val="00A82062"/>
    <w:rsid w:val="00A822CB"/>
    <w:rsid w:val="00A822F7"/>
    <w:rsid w:val="00A822F8"/>
    <w:rsid w:val="00A82416"/>
    <w:rsid w:val="00A824E8"/>
    <w:rsid w:val="00A82717"/>
    <w:rsid w:val="00A827B4"/>
    <w:rsid w:val="00A827C5"/>
    <w:rsid w:val="00A82835"/>
    <w:rsid w:val="00A82843"/>
    <w:rsid w:val="00A82916"/>
    <w:rsid w:val="00A8292B"/>
    <w:rsid w:val="00A82B2E"/>
    <w:rsid w:val="00A82C39"/>
    <w:rsid w:val="00A82D3E"/>
    <w:rsid w:val="00A82E7F"/>
    <w:rsid w:val="00A82F72"/>
    <w:rsid w:val="00A82FD8"/>
    <w:rsid w:val="00A83067"/>
    <w:rsid w:val="00A836A2"/>
    <w:rsid w:val="00A8379E"/>
    <w:rsid w:val="00A83BFD"/>
    <w:rsid w:val="00A83D7C"/>
    <w:rsid w:val="00A83ECB"/>
    <w:rsid w:val="00A83F96"/>
    <w:rsid w:val="00A84022"/>
    <w:rsid w:val="00A84293"/>
    <w:rsid w:val="00A842F8"/>
    <w:rsid w:val="00A84313"/>
    <w:rsid w:val="00A84795"/>
    <w:rsid w:val="00A84807"/>
    <w:rsid w:val="00A84C95"/>
    <w:rsid w:val="00A84E16"/>
    <w:rsid w:val="00A84FA0"/>
    <w:rsid w:val="00A85096"/>
    <w:rsid w:val="00A85144"/>
    <w:rsid w:val="00A85791"/>
    <w:rsid w:val="00A857F6"/>
    <w:rsid w:val="00A85A44"/>
    <w:rsid w:val="00A85AB0"/>
    <w:rsid w:val="00A85B50"/>
    <w:rsid w:val="00A85E3F"/>
    <w:rsid w:val="00A85F00"/>
    <w:rsid w:val="00A85F3E"/>
    <w:rsid w:val="00A85F55"/>
    <w:rsid w:val="00A85FF1"/>
    <w:rsid w:val="00A863DD"/>
    <w:rsid w:val="00A866C4"/>
    <w:rsid w:val="00A86B29"/>
    <w:rsid w:val="00A86CA6"/>
    <w:rsid w:val="00A86DC2"/>
    <w:rsid w:val="00A86EB5"/>
    <w:rsid w:val="00A87203"/>
    <w:rsid w:val="00A872A5"/>
    <w:rsid w:val="00A872D1"/>
    <w:rsid w:val="00A87359"/>
    <w:rsid w:val="00A8740F"/>
    <w:rsid w:val="00A87C55"/>
    <w:rsid w:val="00A87CE6"/>
    <w:rsid w:val="00A87D88"/>
    <w:rsid w:val="00A87DE2"/>
    <w:rsid w:val="00A87F3A"/>
    <w:rsid w:val="00A90683"/>
    <w:rsid w:val="00A9094D"/>
    <w:rsid w:val="00A90973"/>
    <w:rsid w:val="00A90EF7"/>
    <w:rsid w:val="00A90F6E"/>
    <w:rsid w:val="00A9125D"/>
    <w:rsid w:val="00A91442"/>
    <w:rsid w:val="00A9155B"/>
    <w:rsid w:val="00A9157D"/>
    <w:rsid w:val="00A9164C"/>
    <w:rsid w:val="00A9196B"/>
    <w:rsid w:val="00A91B88"/>
    <w:rsid w:val="00A91CCE"/>
    <w:rsid w:val="00A91DFB"/>
    <w:rsid w:val="00A91E94"/>
    <w:rsid w:val="00A91FB1"/>
    <w:rsid w:val="00A91FFC"/>
    <w:rsid w:val="00A92233"/>
    <w:rsid w:val="00A9249F"/>
    <w:rsid w:val="00A92531"/>
    <w:rsid w:val="00A925AE"/>
    <w:rsid w:val="00A925F3"/>
    <w:rsid w:val="00A92632"/>
    <w:rsid w:val="00A92665"/>
    <w:rsid w:val="00A9287B"/>
    <w:rsid w:val="00A92B41"/>
    <w:rsid w:val="00A92C28"/>
    <w:rsid w:val="00A92D65"/>
    <w:rsid w:val="00A93082"/>
    <w:rsid w:val="00A93223"/>
    <w:rsid w:val="00A93303"/>
    <w:rsid w:val="00A93310"/>
    <w:rsid w:val="00A93325"/>
    <w:rsid w:val="00A933EB"/>
    <w:rsid w:val="00A93474"/>
    <w:rsid w:val="00A934A5"/>
    <w:rsid w:val="00A937B4"/>
    <w:rsid w:val="00A93AC9"/>
    <w:rsid w:val="00A93B02"/>
    <w:rsid w:val="00A93C3C"/>
    <w:rsid w:val="00A93DC4"/>
    <w:rsid w:val="00A93DE9"/>
    <w:rsid w:val="00A93EB3"/>
    <w:rsid w:val="00A940E0"/>
    <w:rsid w:val="00A940F5"/>
    <w:rsid w:val="00A94317"/>
    <w:rsid w:val="00A9480A"/>
    <w:rsid w:val="00A949CC"/>
    <w:rsid w:val="00A94B1C"/>
    <w:rsid w:val="00A94C7C"/>
    <w:rsid w:val="00A94FEA"/>
    <w:rsid w:val="00A954DD"/>
    <w:rsid w:val="00A9582D"/>
    <w:rsid w:val="00A95CD4"/>
    <w:rsid w:val="00A95DBA"/>
    <w:rsid w:val="00A95E7A"/>
    <w:rsid w:val="00A9620C"/>
    <w:rsid w:val="00A96335"/>
    <w:rsid w:val="00A963DF"/>
    <w:rsid w:val="00A964C2"/>
    <w:rsid w:val="00A967FD"/>
    <w:rsid w:val="00A96963"/>
    <w:rsid w:val="00A96AE7"/>
    <w:rsid w:val="00A96C17"/>
    <w:rsid w:val="00A96C1C"/>
    <w:rsid w:val="00A96C7F"/>
    <w:rsid w:val="00A97055"/>
    <w:rsid w:val="00A970F4"/>
    <w:rsid w:val="00A9711D"/>
    <w:rsid w:val="00A9713D"/>
    <w:rsid w:val="00A97162"/>
    <w:rsid w:val="00A9724F"/>
    <w:rsid w:val="00A973AB"/>
    <w:rsid w:val="00A974CC"/>
    <w:rsid w:val="00A97754"/>
    <w:rsid w:val="00A977B4"/>
    <w:rsid w:val="00AA02B3"/>
    <w:rsid w:val="00AA0565"/>
    <w:rsid w:val="00AA0A06"/>
    <w:rsid w:val="00AA0A74"/>
    <w:rsid w:val="00AA0C57"/>
    <w:rsid w:val="00AA0D17"/>
    <w:rsid w:val="00AA0DB6"/>
    <w:rsid w:val="00AA0ED1"/>
    <w:rsid w:val="00AA0F6E"/>
    <w:rsid w:val="00AA13A3"/>
    <w:rsid w:val="00AA147C"/>
    <w:rsid w:val="00AA149C"/>
    <w:rsid w:val="00AA14D5"/>
    <w:rsid w:val="00AA220E"/>
    <w:rsid w:val="00AA2396"/>
    <w:rsid w:val="00AA250F"/>
    <w:rsid w:val="00AA2690"/>
    <w:rsid w:val="00AA2A47"/>
    <w:rsid w:val="00AA2DE5"/>
    <w:rsid w:val="00AA335A"/>
    <w:rsid w:val="00AA34A5"/>
    <w:rsid w:val="00AA3669"/>
    <w:rsid w:val="00AA36C4"/>
    <w:rsid w:val="00AA390B"/>
    <w:rsid w:val="00AA3A15"/>
    <w:rsid w:val="00AA3A1E"/>
    <w:rsid w:val="00AA3B35"/>
    <w:rsid w:val="00AA3BC6"/>
    <w:rsid w:val="00AA3C32"/>
    <w:rsid w:val="00AA3C4F"/>
    <w:rsid w:val="00AA3E35"/>
    <w:rsid w:val="00AA45F0"/>
    <w:rsid w:val="00AA464B"/>
    <w:rsid w:val="00AA4A2A"/>
    <w:rsid w:val="00AA4B98"/>
    <w:rsid w:val="00AA4C7E"/>
    <w:rsid w:val="00AA4EE3"/>
    <w:rsid w:val="00AA5127"/>
    <w:rsid w:val="00AA51D1"/>
    <w:rsid w:val="00AA5273"/>
    <w:rsid w:val="00AA5291"/>
    <w:rsid w:val="00AA5515"/>
    <w:rsid w:val="00AA59DE"/>
    <w:rsid w:val="00AA5B4C"/>
    <w:rsid w:val="00AA5CFB"/>
    <w:rsid w:val="00AA5D6F"/>
    <w:rsid w:val="00AA60C6"/>
    <w:rsid w:val="00AA6240"/>
    <w:rsid w:val="00AA6356"/>
    <w:rsid w:val="00AA6398"/>
    <w:rsid w:val="00AA6424"/>
    <w:rsid w:val="00AA658F"/>
    <w:rsid w:val="00AA66FD"/>
    <w:rsid w:val="00AA67BB"/>
    <w:rsid w:val="00AA6837"/>
    <w:rsid w:val="00AA6C6A"/>
    <w:rsid w:val="00AA6CA5"/>
    <w:rsid w:val="00AA6D15"/>
    <w:rsid w:val="00AA6F00"/>
    <w:rsid w:val="00AA6FBA"/>
    <w:rsid w:val="00AA7197"/>
    <w:rsid w:val="00AA76F1"/>
    <w:rsid w:val="00AA7764"/>
    <w:rsid w:val="00AA7B72"/>
    <w:rsid w:val="00AA7BBA"/>
    <w:rsid w:val="00AA7C6C"/>
    <w:rsid w:val="00AA7C99"/>
    <w:rsid w:val="00AA7CEE"/>
    <w:rsid w:val="00AA7E3E"/>
    <w:rsid w:val="00AA7EE2"/>
    <w:rsid w:val="00AA7F8E"/>
    <w:rsid w:val="00AA7F8F"/>
    <w:rsid w:val="00AB0048"/>
    <w:rsid w:val="00AB0259"/>
    <w:rsid w:val="00AB06A4"/>
    <w:rsid w:val="00AB0C3B"/>
    <w:rsid w:val="00AB0E6F"/>
    <w:rsid w:val="00AB127C"/>
    <w:rsid w:val="00AB154A"/>
    <w:rsid w:val="00AB156C"/>
    <w:rsid w:val="00AB1BDB"/>
    <w:rsid w:val="00AB1C5E"/>
    <w:rsid w:val="00AB1D23"/>
    <w:rsid w:val="00AB1DDA"/>
    <w:rsid w:val="00AB20E1"/>
    <w:rsid w:val="00AB2234"/>
    <w:rsid w:val="00AB2340"/>
    <w:rsid w:val="00AB2495"/>
    <w:rsid w:val="00AB286A"/>
    <w:rsid w:val="00AB2DF5"/>
    <w:rsid w:val="00AB2E0E"/>
    <w:rsid w:val="00AB33C9"/>
    <w:rsid w:val="00AB34BE"/>
    <w:rsid w:val="00AB351F"/>
    <w:rsid w:val="00AB3655"/>
    <w:rsid w:val="00AB3772"/>
    <w:rsid w:val="00AB384F"/>
    <w:rsid w:val="00AB39C9"/>
    <w:rsid w:val="00AB3DC1"/>
    <w:rsid w:val="00AB3E3A"/>
    <w:rsid w:val="00AB3F05"/>
    <w:rsid w:val="00AB421E"/>
    <w:rsid w:val="00AB43FB"/>
    <w:rsid w:val="00AB447A"/>
    <w:rsid w:val="00AB4677"/>
    <w:rsid w:val="00AB46BA"/>
    <w:rsid w:val="00AB46C8"/>
    <w:rsid w:val="00AB4D15"/>
    <w:rsid w:val="00AB4E20"/>
    <w:rsid w:val="00AB4EE6"/>
    <w:rsid w:val="00AB50CE"/>
    <w:rsid w:val="00AB551A"/>
    <w:rsid w:val="00AB5608"/>
    <w:rsid w:val="00AB579B"/>
    <w:rsid w:val="00AB59C6"/>
    <w:rsid w:val="00AB5D5F"/>
    <w:rsid w:val="00AB65A6"/>
    <w:rsid w:val="00AB66BB"/>
    <w:rsid w:val="00AB67D6"/>
    <w:rsid w:val="00AB6814"/>
    <w:rsid w:val="00AB6A49"/>
    <w:rsid w:val="00AB6B15"/>
    <w:rsid w:val="00AB6E48"/>
    <w:rsid w:val="00AB7171"/>
    <w:rsid w:val="00AB7181"/>
    <w:rsid w:val="00AB77FB"/>
    <w:rsid w:val="00AB7817"/>
    <w:rsid w:val="00AB7B49"/>
    <w:rsid w:val="00AC002C"/>
    <w:rsid w:val="00AC016E"/>
    <w:rsid w:val="00AC044B"/>
    <w:rsid w:val="00AC04BA"/>
    <w:rsid w:val="00AC0838"/>
    <w:rsid w:val="00AC096B"/>
    <w:rsid w:val="00AC09DD"/>
    <w:rsid w:val="00AC0BE1"/>
    <w:rsid w:val="00AC0E39"/>
    <w:rsid w:val="00AC0E68"/>
    <w:rsid w:val="00AC10C1"/>
    <w:rsid w:val="00AC11E7"/>
    <w:rsid w:val="00AC1200"/>
    <w:rsid w:val="00AC13AE"/>
    <w:rsid w:val="00AC13C4"/>
    <w:rsid w:val="00AC1440"/>
    <w:rsid w:val="00AC17D5"/>
    <w:rsid w:val="00AC182C"/>
    <w:rsid w:val="00AC188F"/>
    <w:rsid w:val="00AC1B55"/>
    <w:rsid w:val="00AC1C72"/>
    <w:rsid w:val="00AC1CEB"/>
    <w:rsid w:val="00AC1F27"/>
    <w:rsid w:val="00AC22F2"/>
    <w:rsid w:val="00AC24BD"/>
    <w:rsid w:val="00AC270C"/>
    <w:rsid w:val="00AC296B"/>
    <w:rsid w:val="00AC2E50"/>
    <w:rsid w:val="00AC2F3E"/>
    <w:rsid w:val="00AC33A9"/>
    <w:rsid w:val="00AC33F5"/>
    <w:rsid w:val="00AC37E3"/>
    <w:rsid w:val="00AC3BF9"/>
    <w:rsid w:val="00AC3CC3"/>
    <w:rsid w:val="00AC3EAA"/>
    <w:rsid w:val="00AC434A"/>
    <w:rsid w:val="00AC45F2"/>
    <w:rsid w:val="00AC468C"/>
    <w:rsid w:val="00AC477A"/>
    <w:rsid w:val="00AC48C7"/>
    <w:rsid w:val="00AC499C"/>
    <w:rsid w:val="00AC49BF"/>
    <w:rsid w:val="00AC4A54"/>
    <w:rsid w:val="00AC4DC9"/>
    <w:rsid w:val="00AC51A8"/>
    <w:rsid w:val="00AC52D2"/>
    <w:rsid w:val="00AC54AE"/>
    <w:rsid w:val="00AC596C"/>
    <w:rsid w:val="00AC5BC4"/>
    <w:rsid w:val="00AC5DA7"/>
    <w:rsid w:val="00AC5E92"/>
    <w:rsid w:val="00AC6091"/>
    <w:rsid w:val="00AC6333"/>
    <w:rsid w:val="00AC686C"/>
    <w:rsid w:val="00AC68CC"/>
    <w:rsid w:val="00AC68EF"/>
    <w:rsid w:val="00AC6993"/>
    <w:rsid w:val="00AC6A6D"/>
    <w:rsid w:val="00AC6E5D"/>
    <w:rsid w:val="00AC70DB"/>
    <w:rsid w:val="00AC75A1"/>
    <w:rsid w:val="00AC75E2"/>
    <w:rsid w:val="00AC79B3"/>
    <w:rsid w:val="00AC7CA2"/>
    <w:rsid w:val="00AC7CAB"/>
    <w:rsid w:val="00AC7CBE"/>
    <w:rsid w:val="00AC7F0F"/>
    <w:rsid w:val="00AD00AB"/>
    <w:rsid w:val="00AD03B6"/>
    <w:rsid w:val="00AD040B"/>
    <w:rsid w:val="00AD0480"/>
    <w:rsid w:val="00AD0786"/>
    <w:rsid w:val="00AD09E7"/>
    <w:rsid w:val="00AD0A6B"/>
    <w:rsid w:val="00AD0AA6"/>
    <w:rsid w:val="00AD0AB0"/>
    <w:rsid w:val="00AD0B4E"/>
    <w:rsid w:val="00AD0C98"/>
    <w:rsid w:val="00AD141F"/>
    <w:rsid w:val="00AD1457"/>
    <w:rsid w:val="00AD149D"/>
    <w:rsid w:val="00AD1516"/>
    <w:rsid w:val="00AD1890"/>
    <w:rsid w:val="00AD18AC"/>
    <w:rsid w:val="00AD1AC2"/>
    <w:rsid w:val="00AD1B3B"/>
    <w:rsid w:val="00AD1BBF"/>
    <w:rsid w:val="00AD1F55"/>
    <w:rsid w:val="00AD1F63"/>
    <w:rsid w:val="00AD1FD9"/>
    <w:rsid w:val="00AD22C8"/>
    <w:rsid w:val="00AD292A"/>
    <w:rsid w:val="00AD2988"/>
    <w:rsid w:val="00AD2A0A"/>
    <w:rsid w:val="00AD2A14"/>
    <w:rsid w:val="00AD2E4C"/>
    <w:rsid w:val="00AD2E5F"/>
    <w:rsid w:val="00AD3082"/>
    <w:rsid w:val="00AD30A2"/>
    <w:rsid w:val="00AD30C5"/>
    <w:rsid w:val="00AD30E9"/>
    <w:rsid w:val="00AD32B1"/>
    <w:rsid w:val="00AD32B4"/>
    <w:rsid w:val="00AD33D1"/>
    <w:rsid w:val="00AD347E"/>
    <w:rsid w:val="00AD34AC"/>
    <w:rsid w:val="00AD3BAC"/>
    <w:rsid w:val="00AD3C4E"/>
    <w:rsid w:val="00AD3C8B"/>
    <w:rsid w:val="00AD4918"/>
    <w:rsid w:val="00AD49D1"/>
    <w:rsid w:val="00AD4AD0"/>
    <w:rsid w:val="00AD4B36"/>
    <w:rsid w:val="00AD4E74"/>
    <w:rsid w:val="00AD4F75"/>
    <w:rsid w:val="00AD51D8"/>
    <w:rsid w:val="00AD52D5"/>
    <w:rsid w:val="00AD5436"/>
    <w:rsid w:val="00AD5495"/>
    <w:rsid w:val="00AD54AB"/>
    <w:rsid w:val="00AD5557"/>
    <w:rsid w:val="00AD560B"/>
    <w:rsid w:val="00AD56CF"/>
    <w:rsid w:val="00AD5734"/>
    <w:rsid w:val="00AD5978"/>
    <w:rsid w:val="00AD5A9A"/>
    <w:rsid w:val="00AD5B8C"/>
    <w:rsid w:val="00AD5BE3"/>
    <w:rsid w:val="00AD5CAD"/>
    <w:rsid w:val="00AD5E1C"/>
    <w:rsid w:val="00AD60C0"/>
    <w:rsid w:val="00AD60CD"/>
    <w:rsid w:val="00AD615E"/>
    <w:rsid w:val="00AD62B4"/>
    <w:rsid w:val="00AD64AB"/>
    <w:rsid w:val="00AD64B6"/>
    <w:rsid w:val="00AD675D"/>
    <w:rsid w:val="00AD6778"/>
    <w:rsid w:val="00AD682B"/>
    <w:rsid w:val="00AD6845"/>
    <w:rsid w:val="00AD68FC"/>
    <w:rsid w:val="00AD6A29"/>
    <w:rsid w:val="00AD6A2F"/>
    <w:rsid w:val="00AD6AAB"/>
    <w:rsid w:val="00AD6C8C"/>
    <w:rsid w:val="00AD6E2A"/>
    <w:rsid w:val="00AD6ED2"/>
    <w:rsid w:val="00AD708D"/>
    <w:rsid w:val="00AD70CB"/>
    <w:rsid w:val="00AD7532"/>
    <w:rsid w:val="00AD7AB5"/>
    <w:rsid w:val="00AD7B78"/>
    <w:rsid w:val="00AD7E03"/>
    <w:rsid w:val="00AD7FBF"/>
    <w:rsid w:val="00AE01F3"/>
    <w:rsid w:val="00AE0607"/>
    <w:rsid w:val="00AE06F0"/>
    <w:rsid w:val="00AE091D"/>
    <w:rsid w:val="00AE0AA5"/>
    <w:rsid w:val="00AE0B13"/>
    <w:rsid w:val="00AE0BCB"/>
    <w:rsid w:val="00AE0C2A"/>
    <w:rsid w:val="00AE1292"/>
    <w:rsid w:val="00AE12B0"/>
    <w:rsid w:val="00AE12D0"/>
    <w:rsid w:val="00AE1395"/>
    <w:rsid w:val="00AE13EB"/>
    <w:rsid w:val="00AE15FA"/>
    <w:rsid w:val="00AE1D98"/>
    <w:rsid w:val="00AE1E22"/>
    <w:rsid w:val="00AE1F8A"/>
    <w:rsid w:val="00AE22B2"/>
    <w:rsid w:val="00AE22B6"/>
    <w:rsid w:val="00AE2360"/>
    <w:rsid w:val="00AE2ADB"/>
    <w:rsid w:val="00AE2C87"/>
    <w:rsid w:val="00AE2CDE"/>
    <w:rsid w:val="00AE3329"/>
    <w:rsid w:val="00AE3368"/>
    <w:rsid w:val="00AE338E"/>
    <w:rsid w:val="00AE35F4"/>
    <w:rsid w:val="00AE3680"/>
    <w:rsid w:val="00AE36B4"/>
    <w:rsid w:val="00AE376D"/>
    <w:rsid w:val="00AE3ADE"/>
    <w:rsid w:val="00AE3B60"/>
    <w:rsid w:val="00AE3C54"/>
    <w:rsid w:val="00AE4007"/>
    <w:rsid w:val="00AE41A8"/>
    <w:rsid w:val="00AE4305"/>
    <w:rsid w:val="00AE4404"/>
    <w:rsid w:val="00AE4770"/>
    <w:rsid w:val="00AE4915"/>
    <w:rsid w:val="00AE4996"/>
    <w:rsid w:val="00AE4A81"/>
    <w:rsid w:val="00AE4ADD"/>
    <w:rsid w:val="00AE4E2A"/>
    <w:rsid w:val="00AE4E78"/>
    <w:rsid w:val="00AE4EEF"/>
    <w:rsid w:val="00AE5074"/>
    <w:rsid w:val="00AE523A"/>
    <w:rsid w:val="00AE53A1"/>
    <w:rsid w:val="00AE5536"/>
    <w:rsid w:val="00AE5589"/>
    <w:rsid w:val="00AE56AE"/>
    <w:rsid w:val="00AE57C1"/>
    <w:rsid w:val="00AE5843"/>
    <w:rsid w:val="00AE5BCB"/>
    <w:rsid w:val="00AE5C57"/>
    <w:rsid w:val="00AE5DA0"/>
    <w:rsid w:val="00AE61C9"/>
    <w:rsid w:val="00AE642E"/>
    <w:rsid w:val="00AE64CF"/>
    <w:rsid w:val="00AE6575"/>
    <w:rsid w:val="00AE665B"/>
    <w:rsid w:val="00AE66E8"/>
    <w:rsid w:val="00AE6938"/>
    <w:rsid w:val="00AE6A4C"/>
    <w:rsid w:val="00AE6B5E"/>
    <w:rsid w:val="00AE6E18"/>
    <w:rsid w:val="00AE6F93"/>
    <w:rsid w:val="00AE6FC1"/>
    <w:rsid w:val="00AE6FEA"/>
    <w:rsid w:val="00AE721D"/>
    <w:rsid w:val="00AE723C"/>
    <w:rsid w:val="00AE777F"/>
    <w:rsid w:val="00AE7793"/>
    <w:rsid w:val="00AE7A04"/>
    <w:rsid w:val="00AE7F86"/>
    <w:rsid w:val="00AF00A5"/>
    <w:rsid w:val="00AF0181"/>
    <w:rsid w:val="00AF01F0"/>
    <w:rsid w:val="00AF03CD"/>
    <w:rsid w:val="00AF04FA"/>
    <w:rsid w:val="00AF053D"/>
    <w:rsid w:val="00AF0961"/>
    <w:rsid w:val="00AF0977"/>
    <w:rsid w:val="00AF0A39"/>
    <w:rsid w:val="00AF0B6F"/>
    <w:rsid w:val="00AF0DBA"/>
    <w:rsid w:val="00AF1047"/>
    <w:rsid w:val="00AF133D"/>
    <w:rsid w:val="00AF1390"/>
    <w:rsid w:val="00AF1424"/>
    <w:rsid w:val="00AF1516"/>
    <w:rsid w:val="00AF17F3"/>
    <w:rsid w:val="00AF1B11"/>
    <w:rsid w:val="00AF1B39"/>
    <w:rsid w:val="00AF1DAD"/>
    <w:rsid w:val="00AF1E17"/>
    <w:rsid w:val="00AF1E3A"/>
    <w:rsid w:val="00AF1F4F"/>
    <w:rsid w:val="00AF21D0"/>
    <w:rsid w:val="00AF2484"/>
    <w:rsid w:val="00AF2504"/>
    <w:rsid w:val="00AF251C"/>
    <w:rsid w:val="00AF281D"/>
    <w:rsid w:val="00AF2833"/>
    <w:rsid w:val="00AF2E49"/>
    <w:rsid w:val="00AF2ECE"/>
    <w:rsid w:val="00AF2EDD"/>
    <w:rsid w:val="00AF354E"/>
    <w:rsid w:val="00AF3606"/>
    <w:rsid w:val="00AF381A"/>
    <w:rsid w:val="00AF3877"/>
    <w:rsid w:val="00AF3927"/>
    <w:rsid w:val="00AF392A"/>
    <w:rsid w:val="00AF3964"/>
    <w:rsid w:val="00AF3B7A"/>
    <w:rsid w:val="00AF3B7E"/>
    <w:rsid w:val="00AF3C0E"/>
    <w:rsid w:val="00AF3E35"/>
    <w:rsid w:val="00AF3E61"/>
    <w:rsid w:val="00AF40DE"/>
    <w:rsid w:val="00AF42EA"/>
    <w:rsid w:val="00AF4661"/>
    <w:rsid w:val="00AF4842"/>
    <w:rsid w:val="00AF4A3A"/>
    <w:rsid w:val="00AF4C58"/>
    <w:rsid w:val="00AF4D39"/>
    <w:rsid w:val="00AF4E8C"/>
    <w:rsid w:val="00AF4F63"/>
    <w:rsid w:val="00AF4F7E"/>
    <w:rsid w:val="00AF50D6"/>
    <w:rsid w:val="00AF516D"/>
    <w:rsid w:val="00AF519C"/>
    <w:rsid w:val="00AF5245"/>
    <w:rsid w:val="00AF5407"/>
    <w:rsid w:val="00AF5507"/>
    <w:rsid w:val="00AF56AE"/>
    <w:rsid w:val="00AF5951"/>
    <w:rsid w:val="00AF596B"/>
    <w:rsid w:val="00AF5A3B"/>
    <w:rsid w:val="00AF5EC6"/>
    <w:rsid w:val="00AF5F34"/>
    <w:rsid w:val="00AF63E7"/>
    <w:rsid w:val="00AF6419"/>
    <w:rsid w:val="00AF6637"/>
    <w:rsid w:val="00AF689A"/>
    <w:rsid w:val="00AF697D"/>
    <w:rsid w:val="00AF6A78"/>
    <w:rsid w:val="00AF6A82"/>
    <w:rsid w:val="00AF6AA5"/>
    <w:rsid w:val="00AF6AD6"/>
    <w:rsid w:val="00AF6C63"/>
    <w:rsid w:val="00AF6E17"/>
    <w:rsid w:val="00AF700F"/>
    <w:rsid w:val="00AF70D2"/>
    <w:rsid w:val="00AF7136"/>
    <w:rsid w:val="00AF7464"/>
    <w:rsid w:val="00AF74B6"/>
    <w:rsid w:val="00AF76C3"/>
    <w:rsid w:val="00AF7994"/>
    <w:rsid w:val="00AF7AB2"/>
    <w:rsid w:val="00AF7BE2"/>
    <w:rsid w:val="00AF7C80"/>
    <w:rsid w:val="00AF7C96"/>
    <w:rsid w:val="00AF7D6A"/>
    <w:rsid w:val="00AF7E64"/>
    <w:rsid w:val="00B00014"/>
    <w:rsid w:val="00B0054D"/>
    <w:rsid w:val="00B00623"/>
    <w:rsid w:val="00B0078D"/>
    <w:rsid w:val="00B007C4"/>
    <w:rsid w:val="00B00924"/>
    <w:rsid w:val="00B00A15"/>
    <w:rsid w:val="00B00DED"/>
    <w:rsid w:val="00B010E2"/>
    <w:rsid w:val="00B0115E"/>
    <w:rsid w:val="00B014BB"/>
    <w:rsid w:val="00B0151D"/>
    <w:rsid w:val="00B01586"/>
    <w:rsid w:val="00B0165D"/>
    <w:rsid w:val="00B016D2"/>
    <w:rsid w:val="00B016F2"/>
    <w:rsid w:val="00B017F7"/>
    <w:rsid w:val="00B01A1A"/>
    <w:rsid w:val="00B01B60"/>
    <w:rsid w:val="00B01C44"/>
    <w:rsid w:val="00B01D8F"/>
    <w:rsid w:val="00B01E21"/>
    <w:rsid w:val="00B0208A"/>
    <w:rsid w:val="00B02098"/>
    <w:rsid w:val="00B02207"/>
    <w:rsid w:val="00B022C8"/>
    <w:rsid w:val="00B02830"/>
    <w:rsid w:val="00B02B8C"/>
    <w:rsid w:val="00B02C23"/>
    <w:rsid w:val="00B031F3"/>
    <w:rsid w:val="00B0334B"/>
    <w:rsid w:val="00B03649"/>
    <w:rsid w:val="00B0384B"/>
    <w:rsid w:val="00B03916"/>
    <w:rsid w:val="00B03A00"/>
    <w:rsid w:val="00B03A9B"/>
    <w:rsid w:val="00B03AD2"/>
    <w:rsid w:val="00B03B45"/>
    <w:rsid w:val="00B03B79"/>
    <w:rsid w:val="00B04149"/>
    <w:rsid w:val="00B04810"/>
    <w:rsid w:val="00B048E3"/>
    <w:rsid w:val="00B04955"/>
    <w:rsid w:val="00B04CA2"/>
    <w:rsid w:val="00B050E7"/>
    <w:rsid w:val="00B052A4"/>
    <w:rsid w:val="00B052E1"/>
    <w:rsid w:val="00B0569A"/>
    <w:rsid w:val="00B056A2"/>
    <w:rsid w:val="00B05A83"/>
    <w:rsid w:val="00B05C06"/>
    <w:rsid w:val="00B05CC1"/>
    <w:rsid w:val="00B05DB1"/>
    <w:rsid w:val="00B05DD5"/>
    <w:rsid w:val="00B05EDE"/>
    <w:rsid w:val="00B061C0"/>
    <w:rsid w:val="00B064EF"/>
    <w:rsid w:val="00B06862"/>
    <w:rsid w:val="00B0689B"/>
    <w:rsid w:val="00B06B5C"/>
    <w:rsid w:val="00B06D2E"/>
    <w:rsid w:val="00B06D4E"/>
    <w:rsid w:val="00B06D8F"/>
    <w:rsid w:val="00B06E36"/>
    <w:rsid w:val="00B06F50"/>
    <w:rsid w:val="00B06FB6"/>
    <w:rsid w:val="00B070CB"/>
    <w:rsid w:val="00B070DD"/>
    <w:rsid w:val="00B072F1"/>
    <w:rsid w:val="00B07338"/>
    <w:rsid w:val="00B073EA"/>
    <w:rsid w:val="00B07593"/>
    <w:rsid w:val="00B07661"/>
    <w:rsid w:val="00B07869"/>
    <w:rsid w:val="00B07A49"/>
    <w:rsid w:val="00B07B15"/>
    <w:rsid w:val="00B07D8E"/>
    <w:rsid w:val="00B07DB7"/>
    <w:rsid w:val="00B10075"/>
    <w:rsid w:val="00B101CF"/>
    <w:rsid w:val="00B101EA"/>
    <w:rsid w:val="00B1035F"/>
    <w:rsid w:val="00B106B3"/>
    <w:rsid w:val="00B10805"/>
    <w:rsid w:val="00B1081E"/>
    <w:rsid w:val="00B1097A"/>
    <w:rsid w:val="00B10C5D"/>
    <w:rsid w:val="00B10CE8"/>
    <w:rsid w:val="00B10D9E"/>
    <w:rsid w:val="00B10E79"/>
    <w:rsid w:val="00B10FA1"/>
    <w:rsid w:val="00B1146C"/>
    <w:rsid w:val="00B1153E"/>
    <w:rsid w:val="00B11592"/>
    <w:rsid w:val="00B115A4"/>
    <w:rsid w:val="00B115F4"/>
    <w:rsid w:val="00B11624"/>
    <w:rsid w:val="00B11663"/>
    <w:rsid w:val="00B1172D"/>
    <w:rsid w:val="00B119BF"/>
    <w:rsid w:val="00B11BCA"/>
    <w:rsid w:val="00B11BDB"/>
    <w:rsid w:val="00B11C8D"/>
    <w:rsid w:val="00B11E93"/>
    <w:rsid w:val="00B12186"/>
    <w:rsid w:val="00B121FE"/>
    <w:rsid w:val="00B1220C"/>
    <w:rsid w:val="00B125DE"/>
    <w:rsid w:val="00B127F8"/>
    <w:rsid w:val="00B12819"/>
    <w:rsid w:val="00B12901"/>
    <w:rsid w:val="00B12AD6"/>
    <w:rsid w:val="00B12E38"/>
    <w:rsid w:val="00B12F23"/>
    <w:rsid w:val="00B12F25"/>
    <w:rsid w:val="00B1308D"/>
    <w:rsid w:val="00B13165"/>
    <w:rsid w:val="00B13347"/>
    <w:rsid w:val="00B138CE"/>
    <w:rsid w:val="00B13A79"/>
    <w:rsid w:val="00B13F92"/>
    <w:rsid w:val="00B13FDD"/>
    <w:rsid w:val="00B1418B"/>
    <w:rsid w:val="00B141C3"/>
    <w:rsid w:val="00B14271"/>
    <w:rsid w:val="00B144BE"/>
    <w:rsid w:val="00B144EE"/>
    <w:rsid w:val="00B14A46"/>
    <w:rsid w:val="00B14BF4"/>
    <w:rsid w:val="00B14F12"/>
    <w:rsid w:val="00B14FA3"/>
    <w:rsid w:val="00B150BE"/>
    <w:rsid w:val="00B1539F"/>
    <w:rsid w:val="00B154AB"/>
    <w:rsid w:val="00B15DC4"/>
    <w:rsid w:val="00B15F4C"/>
    <w:rsid w:val="00B15FCD"/>
    <w:rsid w:val="00B16219"/>
    <w:rsid w:val="00B162C9"/>
    <w:rsid w:val="00B1633E"/>
    <w:rsid w:val="00B16395"/>
    <w:rsid w:val="00B16473"/>
    <w:rsid w:val="00B16693"/>
    <w:rsid w:val="00B167CA"/>
    <w:rsid w:val="00B16A6B"/>
    <w:rsid w:val="00B16C08"/>
    <w:rsid w:val="00B16D6E"/>
    <w:rsid w:val="00B16F3A"/>
    <w:rsid w:val="00B17635"/>
    <w:rsid w:val="00B17902"/>
    <w:rsid w:val="00B17944"/>
    <w:rsid w:val="00B17B48"/>
    <w:rsid w:val="00B17DE5"/>
    <w:rsid w:val="00B17F2D"/>
    <w:rsid w:val="00B20028"/>
    <w:rsid w:val="00B20399"/>
    <w:rsid w:val="00B20677"/>
    <w:rsid w:val="00B20908"/>
    <w:rsid w:val="00B20CA8"/>
    <w:rsid w:val="00B20D49"/>
    <w:rsid w:val="00B20D55"/>
    <w:rsid w:val="00B20D6E"/>
    <w:rsid w:val="00B20EB6"/>
    <w:rsid w:val="00B21220"/>
    <w:rsid w:val="00B21353"/>
    <w:rsid w:val="00B214DB"/>
    <w:rsid w:val="00B215EE"/>
    <w:rsid w:val="00B21641"/>
    <w:rsid w:val="00B21772"/>
    <w:rsid w:val="00B21792"/>
    <w:rsid w:val="00B218A9"/>
    <w:rsid w:val="00B21B6D"/>
    <w:rsid w:val="00B21BB8"/>
    <w:rsid w:val="00B21C0C"/>
    <w:rsid w:val="00B21C2F"/>
    <w:rsid w:val="00B21ED8"/>
    <w:rsid w:val="00B22164"/>
    <w:rsid w:val="00B224E7"/>
    <w:rsid w:val="00B225A1"/>
    <w:rsid w:val="00B2266A"/>
    <w:rsid w:val="00B226A7"/>
    <w:rsid w:val="00B226CA"/>
    <w:rsid w:val="00B22728"/>
    <w:rsid w:val="00B2287C"/>
    <w:rsid w:val="00B22882"/>
    <w:rsid w:val="00B22EB2"/>
    <w:rsid w:val="00B22F51"/>
    <w:rsid w:val="00B22FF2"/>
    <w:rsid w:val="00B23081"/>
    <w:rsid w:val="00B231CA"/>
    <w:rsid w:val="00B23219"/>
    <w:rsid w:val="00B23335"/>
    <w:rsid w:val="00B2343D"/>
    <w:rsid w:val="00B23518"/>
    <w:rsid w:val="00B23551"/>
    <w:rsid w:val="00B2362E"/>
    <w:rsid w:val="00B23B49"/>
    <w:rsid w:val="00B23CE3"/>
    <w:rsid w:val="00B23DC5"/>
    <w:rsid w:val="00B23DF0"/>
    <w:rsid w:val="00B23F53"/>
    <w:rsid w:val="00B2421A"/>
    <w:rsid w:val="00B24548"/>
    <w:rsid w:val="00B245C2"/>
    <w:rsid w:val="00B246AB"/>
    <w:rsid w:val="00B24729"/>
    <w:rsid w:val="00B24752"/>
    <w:rsid w:val="00B248F6"/>
    <w:rsid w:val="00B24929"/>
    <w:rsid w:val="00B24B08"/>
    <w:rsid w:val="00B24C4E"/>
    <w:rsid w:val="00B24E0B"/>
    <w:rsid w:val="00B24E3E"/>
    <w:rsid w:val="00B24F9A"/>
    <w:rsid w:val="00B25099"/>
    <w:rsid w:val="00B250E0"/>
    <w:rsid w:val="00B25135"/>
    <w:rsid w:val="00B25398"/>
    <w:rsid w:val="00B2545D"/>
    <w:rsid w:val="00B2567B"/>
    <w:rsid w:val="00B2592B"/>
    <w:rsid w:val="00B2592C"/>
    <w:rsid w:val="00B2594D"/>
    <w:rsid w:val="00B25D16"/>
    <w:rsid w:val="00B261F6"/>
    <w:rsid w:val="00B26364"/>
    <w:rsid w:val="00B26446"/>
    <w:rsid w:val="00B2658A"/>
    <w:rsid w:val="00B2665C"/>
    <w:rsid w:val="00B2665F"/>
    <w:rsid w:val="00B266EC"/>
    <w:rsid w:val="00B2683D"/>
    <w:rsid w:val="00B268AD"/>
    <w:rsid w:val="00B26BC4"/>
    <w:rsid w:val="00B26F54"/>
    <w:rsid w:val="00B26F7E"/>
    <w:rsid w:val="00B27156"/>
    <w:rsid w:val="00B273CD"/>
    <w:rsid w:val="00B27442"/>
    <w:rsid w:val="00B27756"/>
    <w:rsid w:val="00B2786E"/>
    <w:rsid w:val="00B279DF"/>
    <w:rsid w:val="00B27A02"/>
    <w:rsid w:val="00B27C7A"/>
    <w:rsid w:val="00B27E66"/>
    <w:rsid w:val="00B27F4D"/>
    <w:rsid w:val="00B27F80"/>
    <w:rsid w:val="00B3052E"/>
    <w:rsid w:val="00B30639"/>
    <w:rsid w:val="00B30645"/>
    <w:rsid w:val="00B30757"/>
    <w:rsid w:val="00B30777"/>
    <w:rsid w:val="00B308AF"/>
    <w:rsid w:val="00B309E5"/>
    <w:rsid w:val="00B30B37"/>
    <w:rsid w:val="00B30C1F"/>
    <w:rsid w:val="00B30C67"/>
    <w:rsid w:val="00B30D47"/>
    <w:rsid w:val="00B30D50"/>
    <w:rsid w:val="00B30E69"/>
    <w:rsid w:val="00B30EC7"/>
    <w:rsid w:val="00B31167"/>
    <w:rsid w:val="00B311AC"/>
    <w:rsid w:val="00B311D7"/>
    <w:rsid w:val="00B3127A"/>
    <w:rsid w:val="00B31843"/>
    <w:rsid w:val="00B31B79"/>
    <w:rsid w:val="00B31CDC"/>
    <w:rsid w:val="00B31D46"/>
    <w:rsid w:val="00B31DCC"/>
    <w:rsid w:val="00B31FE1"/>
    <w:rsid w:val="00B32112"/>
    <w:rsid w:val="00B3229A"/>
    <w:rsid w:val="00B322F2"/>
    <w:rsid w:val="00B32441"/>
    <w:rsid w:val="00B325D3"/>
    <w:rsid w:val="00B326B7"/>
    <w:rsid w:val="00B329D8"/>
    <w:rsid w:val="00B32A58"/>
    <w:rsid w:val="00B32B73"/>
    <w:rsid w:val="00B32BB9"/>
    <w:rsid w:val="00B32C44"/>
    <w:rsid w:val="00B32C56"/>
    <w:rsid w:val="00B32D87"/>
    <w:rsid w:val="00B32E64"/>
    <w:rsid w:val="00B32FF5"/>
    <w:rsid w:val="00B33035"/>
    <w:rsid w:val="00B333BB"/>
    <w:rsid w:val="00B335EF"/>
    <w:rsid w:val="00B336A6"/>
    <w:rsid w:val="00B3394C"/>
    <w:rsid w:val="00B339B2"/>
    <w:rsid w:val="00B33AE1"/>
    <w:rsid w:val="00B33CCC"/>
    <w:rsid w:val="00B33EA0"/>
    <w:rsid w:val="00B341E2"/>
    <w:rsid w:val="00B34694"/>
    <w:rsid w:val="00B3495F"/>
    <w:rsid w:val="00B34BCE"/>
    <w:rsid w:val="00B34CBC"/>
    <w:rsid w:val="00B34E64"/>
    <w:rsid w:val="00B34EC3"/>
    <w:rsid w:val="00B3516F"/>
    <w:rsid w:val="00B35391"/>
    <w:rsid w:val="00B35664"/>
    <w:rsid w:val="00B356A3"/>
    <w:rsid w:val="00B356F7"/>
    <w:rsid w:val="00B356FE"/>
    <w:rsid w:val="00B358BC"/>
    <w:rsid w:val="00B35A46"/>
    <w:rsid w:val="00B36282"/>
    <w:rsid w:val="00B3636D"/>
    <w:rsid w:val="00B365C7"/>
    <w:rsid w:val="00B36757"/>
    <w:rsid w:val="00B368D1"/>
    <w:rsid w:val="00B36909"/>
    <w:rsid w:val="00B36A57"/>
    <w:rsid w:val="00B36C13"/>
    <w:rsid w:val="00B37275"/>
    <w:rsid w:val="00B372E6"/>
    <w:rsid w:val="00B3739C"/>
    <w:rsid w:val="00B375A3"/>
    <w:rsid w:val="00B376CC"/>
    <w:rsid w:val="00B37803"/>
    <w:rsid w:val="00B37C38"/>
    <w:rsid w:val="00B37D5C"/>
    <w:rsid w:val="00B37D91"/>
    <w:rsid w:val="00B37DC1"/>
    <w:rsid w:val="00B37EF0"/>
    <w:rsid w:val="00B37F41"/>
    <w:rsid w:val="00B4013B"/>
    <w:rsid w:val="00B401A0"/>
    <w:rsid w:val="00B40231"/>
    <w:rsid w:val="00B402BF"/>
    <w:rsid w:val="00B407CD"/>
    <w:rsid w:val="00B40A4D"/>
    <w:rsid w:val="00B40ABE"/>
    <w:rsid w:val="00B40D59"/>
    <w:rsid w:val="00B40D6A"/>
    <w:rsid w:val="00B4100A"/>
    <w:rsid w:val="00B411A5"/>
    <w:rsid w:val="00B41569"/>
    <w:rsid w:val="00B41673"/>
    <w:rsid w:val="00B4171E"/>
    <w:rsid w:val="00B41A74"/>
    <w:rsid w:val="00B41B11"/>
    <w:rsid w:val="00B41B6F"/>
    <w:rsid w:val="00B41E2C"/>
    <w:rsid w:val="00B42018"/>
    <w:rsid w:val="00B423E2"/>
    <w:rsid w:val="00B423F0"/>
    <w:rsid w:val="00B42525"/>
    <w:rsid w:val="00B42529"/>
    <w:rsid w:val="00B42741"/>
    <w:rsid w:val="00B427EC"/>
    <w:rsid w:val="00B4285C"/>
    <w:rsid w:val="00B4288C"/>
    <w:rsid w:val="00B42913"/>
    <w:rsid w:val="00B42B79"/>
    <w:rsid w:val="00B42CEB"/>
    <w:rsid w:val="00B42EE4"/>
    <w:rsid w:val="00B430FE"/>
    <w:rsid w:val="00B43262"/>
    <w:rsid w:val="00B4333B"/>
    <w:rsid w:val="00B433CA"/>
    <w:rsid w:val="00B43496"/>
    <w:rsid w:val="00B4356C"/>
    <w:rsid w:val="00B435E9"/>
    <w:rsid w:val="00B43993"/>
    <w:rsid w:val="00B43A78"/>
    <w:rsid w:val="00B43B89"/>
    <w:rsid w:val="00B43FAE"/>
    <w:rsid w:val="00B440B9"/>
    <w:rsid w:val="00B44100"/>
    <w:rsid w:val="00B442F5"/>
    <w:rsid w:val="00B44771"/>
    <w:rsid w:val="00B448FE"/>
    <w:rsid w:val="00B45085"/>
    <w:rsid w:val="00B45811"/>
    <w:rsid w:val="00B45A63"/>
    <w:rsid w:val="00B45B13"/>
    <w:rsid w:val="00B45FBA"/>
    <w:rsid w:val="00B4611A"/>
    <w:rsid w:val="00B4672E"/>
    <w:rsid w:val="00B4685A"/>
    <w:rsid w:val="00B46873"/>
    <w:rsid w:val="00B469F8"/>
    <w:rsid w:val="00B46CBA"/>
    <w:rsid w:val="00B46D1B"/>
    <w:rsid w:val="00B46E2B"/>
    <w:rsid w:val="00B46F38"/>
    <w:rsid w:val="00B46F94"/>
    <w:rsid w:val="00B47216"/>
    <w:rsid w:val="00B47241"/>
    <w:rsid w:val="00B47380"/>
    <w:rsid w:val="00B4787A"/>
    <w:rsid w:val="00B478FC"/>
    <w:rsid w:val="00B47F42"/>
    <w:rsid w:val="00B50118"/>
    <w:rsid w:val="00B501C2"/>
    <w:rsid w:val="00B50463"/>
    <w:rsid w:val="00B5053A"/>
    <w:rsid w:val="00B5059A"/>
    <w:rsid w:val="00B506EF"/>
    <w:rsid w:val="00B50A05"/>
    <w:rsid w:val="00B50C50"/>
    <w:rsid w:val="00B511AA"/>
    <w:rsid w:val="00B512BA"/>
    <w:rsid w:val="00B514B1"/>
    <w:rsid w:val="00B51543"/>
    <w:rsid w:val="00B5166A"/>
    <w:rsid w:val="00B517EC"/>
    <w:rsid w:val="00B5184B"/>
    <w:rsid w:val="00B518DF"/>
    <w:rsid w:val="00B51B1B"/>
    <w:rsid w:val="00B51D94"/>
    <w:rsid w:val="00B51DCF"/>
    <w:rsid w:val="00B51FA2"/>
    <w:rsid w:val="00B52080"/>
    <w:rsid w:val="00B52192"/>
    <w:rsid w:val="00B5247E"/>
    <w:rsid w:val="00B524D4"/>
    <w:rsid w:val="00B52635"/>
    <w:rsid w:val="00B52721"/>
    <w:rsid w:val="00B52786"/>
    <w:rsid w:val="00B52951"/>
    <w:rsid w:val="00B5297D"/>
    <w:rsid w:val="00B52D26"/>
    <w:rsid w:val="00B52DB1"/>
    <w:rsid w:val="00B53184"/>
    <w:rsid w:val="00B53295"/>
    <w:rsid w:val="00B535A4"/>
    <w:rsid w:val="00B535FA"/>
    <w:rsid w:val="00B53615"/>
    <w:rsid w:val="00B53873"/>
    <w:rsid w:val="00B538FF"/>
    <w:rsid w:val="00B53919"/>
    <w:rsid w:val="00B539EB"/>
    <w:rsid w:val="00B53A2C"/>
    <w:rsid w:val="00B53E8E"/>
    <w:rsid w:val="00B542C1"/>
    <w:rsid w:val="00B54501"/>
    <w:rsid w:val="00B545EB"/>
    <w:rsid w:val="00B54698"/>
    <w:rsid w:val="00B54791"/>
    <w:rsid w:val="00B54962"/>
    <w:rsid w:val="00B54A65"/>
    <w:rsid w:val="00B54C34"/>
    <w:rsid w:val="00B54F1F"/>
    <w:rsid w:val="00B55151"/>
    <w:rsid w:val="00B55175"/>
    <w:rsid w:val="00B5526B"/>
    <w:rsid w:val="00B55350"/>
    <w:rsid w:val="00B55611"/>
    <w:rsid w:val="00B557CE"/>
    <w:rsid w:val="00B558CA"/>
    <w:rsid w:val="00B55A5D"/>
    <w:rsid w:val="00B55B18"/>
    <w:rsid w:val="00B55D94"/>
    <w:rsid w:val="00B55E24"/>
    <w:rsid w:val="00B56360"/>
    <w:rsid w:val="00B56693"/>
    <w:rsid w:val="00B56990"/>
    <w:rsid w:val="00B56D44"/>
    <w:rsid w:val="00B56D5C"/>
    <w:rsid w:val="00B56DB9"/>
    <w:rsid w:val="00B5716E"/>
    <w:rsid w:val="00B57284"/>
    <w:rsid w:val="00B57287"/>
    <w:rsid w:val="00B572B9"/>
    <w:rsid w:val="00B572D5"/>
    <w:rsid w:val="00B5730F"/>
    <w:rsid w:val="00B5753C"/>
    <w:rsid w:val="00B5763B"/>
    <w:rsid w:val="00B5787D"/>
    <w:rsid w:val="00B57A8C"/>
    <w:rsid w:val="00B57FD3"/>
    <w:rsid w:val="00B6003C"/>
    <w:rsid w:val="00B600A4"/>
    <w:rsid w:val="00B6014B"/>
    <w:rsid w:val="00B60346"/>
    <w:rsid w:val="00B6036C"/>
    <w:rsid w:val="00B60BE1"/>
    <w:rsid w:val="00B60F9B"/>
    <w:rsid w:val="00B611F7"/>
    <w:rsid w:val="00B613B4"/>
    <w:rsid w:val="00B6144C"/>
    <w:rsid w:val="00B6157A"/>
    <w:rsid w:val="00B616A5"/>
    <w:rsid w:val="00B616C5"/>
    <w:rsid w:val="00B61AF6"/>
    <w:rsid w:val="00B61E0E"/>
    <w:rsid w:val="00B61F03"/>
    <w:rsid w:val="00B61FD8"/>
    <w:rsid w:val="00B623A5"/>
    <w:rsid w:val="00B626E4"/>
    <w:rsid w:val="00B629F7"/>
    <w:rsid w:val="00B62A48"/>
    <w:rsid w:val="00B62DBA"/>
    <w:rsid w:val="00B62E96"/>
    <w:rsid w:val="00B62EC4"/>
    <w:rsid w:val="00B62F96"/>
    <w:rsid w:val="00B62FA1"/>
    <w:rsid w:val="00B630C1"/>
    <w:rsid w:val="00B631B4"/>
    <w:rsid w:val="00B634F1"/>
    <w:rsid w:val="00B63524"/>
    <w:rsid w:val="00B63866"/>
    <w:rsid w:val="00B63937"/>
    <w:rsid w:val="00B639F6"/>
    <w:rsid w:val="00B63AC8"/>
    <w:rsid w:val="00B63C3B"/>
    <w:rsid w:val="00B63DDB"/>
    <w:rsid w:val="00B63E5B"/>
    <w:rsid w:val="00B641A1"/>
    <w:rsid w:val="00B64463"/>
    <w:rsid w:val="00B646B7"/>
    <w:rsid w:val="00B64D03"/>
    <w:rsid w:val="00B64D25"/>
    <w:rsid w:val="00B64DDF"/>
    <w:rsid w:val="00B64FC1"/>
    <w:rsid w:val="00B6508C"/>
    <w:rsid w:val="00B650D9"/>
    <w:rsid w:val="00B6588E"/>
    <w:rsid w:val="00B65BB4"/>
    <w:rsid w:val="00B65BFF"/>
    <w:rsid w:val="00B65CCE"/>
    <w:rsid w:val="00B65DA8"/>
    <w:rsid w:val="00B6602D"/>
    <w:rsid w:val="00B6611B"/>
    <w:rsid w:val="00B661C4"/>
    <w:rsid w:val="00B661DD"/>
    <w:rsid w:val="00B662FC"/>
    <w:rsid w:val="00B66348"/>
    <w:rsid w:val="00B664C0"/>
    <w:rsid w:val="00B666E3"/>
    <w:rsid w:val="00B666EA"/>
    <w:rsid w:val="00B66A19"/>
    <w:rsid w:val="00B66DAB"/>
    <w:rsid w:val="00B66E58"/>
    <w:rsid w:val="00B6741C"/>
    <w:rsid w:val="00B679E5"/>
    <w:rsid w:val="00B67BB1"/>
    <w:rsid w:val="00B67C25"/>
    <w:rsid w:val="00B7017A"/>
    <w:rsid w:val="00B70301"/>
    <w:rsid w:val="00B703D4"/>
    <w:rsid w:val="00B7051C"/>
    <w:rsid w:val="00B706DE"/>
    <w:rsid w:val="00B7070E"/>
    <w:rsid w:val="00B708C2"/>
    <w:rsid w:val="00B70AE9"/>
    <w:rsid w:val="00B70F4C"/>
    <w:rsid w:val="00B70FFA"/>
    <w:rsid w:val="00B70FFC"/>
    <w:rsid w:val="00B71147"/>
    <w:rsid w:val="00B712FC"/>
    <w:rsid w:val="00B71439"/>
    <w:rsid w:val="00B71888"/>
    <w:rsid w:val="00B71898"/>
    <w:rsid w:val="00B718F5"/>
    <w:rsid w:val="00B719D5"/>
    <w:rsid w:val="00B71CB6"/>
    <w:rsid w:val="00B71F41"/>
    <w:rsid w:val="00B71F98"/>
    <w:rsid w:val="00B72194"/>
    <w:rsid w:val="00B721F6"/>
    <w:rsid w:val="00B725CE"/>
    <w:rsid w:val="00B72691"/>
    <w:rsid w:val="00B72A50"/>
    <w:rsid w:val="00B72F13"/>
    <w:rsid w:val="00B72F4A"/>
    <w:rsid w:val="00B72FA9"/>
    <w:rsid w:val="00B731D6"/>
    <w:rsid w:val="00B73239"/>
    <w:rsid w:val="00B7324F"/>
    <w:rsid w:val="00B73378"/>
    <w:rsid w:val="00B734F0"/>
    <w:rsid w:val="00B73661"/>
    <w:rsid w:val="00B73662"/>
    <w:rsid w:val="00B73A9A"/>
    <w:rsid w:val="00B73E2C"/>
    <w:rsid w:val="00B73F24"/>
    <w:rsid w:val="00B74124"/>
    <w:rsid w:val="00B743D4"/>
    <w:rsid w:val="00B7440B"/>
    <w:rsid w:val="00B745A4"/>
    <w:rsid w:val="00B74824"/>
    <w:rsid w:val="00B748F8"/>
    <w:rsid w:val="00B74993"/>
    <w:rsid w:val="00B74BCB"/>
    <w:rsid w:val="00B74E45"/>
    <w:rsid w:val="00B74F81"/>
    <w:rsid w:val="00B753AC"/>
    <w:rsid w:val="00B7557B"/>
    <w:rsid w:val="00B75622"/>
    <w:rsid w:val="00B75D7E"/>
    <w:rsid w:val="00B7601A"/>
    <w:rsid w:val="00B760EC"/>
    <w:rsid w:val="00B76262"/>
    <w:rsid w:val="00B76631"/>
    <w:rsid w:val="00B768B2"/>
    <w:rsid w:val="00B76933"/>
    <w:rsid w:val="00B7698D"/>
    <w:rsid w:val="00B76A84"/>
    <w:rsid w:val="00B76D1F"/>
    <w:rsid w:val="00B76DD6"/>
    <w:rsid w:val="00B771CD"/>
    <w:rsid w:val="00B7732D"/>
    <w:rsid w:val="00B7741A"/>
    <w:rsid w:val="00B774AC"/>
    <w:rsid w:val="00B777E5"/>
    <w:rsid w:val="00B77C0F"/>
    <w:rsid w:val="00B77C8F"/>
    <w:rsid w:val="00B77E1A"/>
    <w:rsid w:val="00B77E53"/>
    <w:rsid w:val="00B80332"/>
    <w:rsid w:val="00B80355"/>
    <w:rsid w:val="00B805A6"/>
    <w:rsid w:val="00B805F0"/>
    <w:rsid w:val="00B8065A"/>
    <w:rsid w:val="00B806CD"/>
    <w:rsid w:val="00B80871"/>
    <w:rsid w:val="00B8087F"/>
    <w:rsid w:val="00B808A2"/>
    <w:rsid w:val="00B808B9"/>
    <w:rsid w:val="00B80C4C"/>
    <w:rsid w:val="00B80F78"/>
    <w:rsid w:val="00B8112A"/>
    <w:rsid w:val="00B8147B"/>
    <w:rsid w:val="00B8164D"/>
    <w:rsid w:val="00B817DC"/>
    <w:rsid w:val="00B81829"/>
    <w:rsid w:val="00B81832"/>
    <w:rsid w:val="00B818C9"/>
    <w:rsid w:val="00B81961"/>
    <w:rsid w:val="00B81A2F"/>
    <w:rsid w:val="00B82006"/>
    <w:rsid w:val="00B822A0"/>
    <w:rsid w:val="00B826B3"/>
    <w:rsid w:val="00B82B95"/>
    <w:rsid w:val="00B82D3D"/>
    <w:rsid w:val="00B82E22"/>
    <w:rsid w:val="00B82EB1"/>
    <w:rsid w:val="00B83166"/>
    <w:rsid w:val="00B83234"/>
    <w:rsid w:val="00B8326B"/>
    <w:rsid w:val="00B83336"/>
    <w:rsid w:val="00B83504"/>
    <w:rsid w:val="00B83528"/>
    <w:rsid w:val="00B83827"/>
    <w:rsid w:val="00B83A5C"/>
    <w:rsid w:val="00B83AE2"/>
    <w:rsid w:val="00B83C27"/>
    <w:rsid w:val="00B83D36"/>
    <w:rsid w:val="00B83EB7"/>
    <w:rsid w:val="00B840C8"/>
    <w:rsid w:val="00B84479"/>
    <w:rsid w:val="00B8459F"/>
    <w:rsid w:val="00B84602"/>
    <w:rsid w:val="00B84838"/>
    <w:rsid w:val="00B84A56"/>
    <w:rsid w:val="00B84BC3"/>
    <w:rsid w:val="00B84BDD"/>
    <w:rsid w:val="00B84C46"/>
    <w:rsid w:val="00B84D8B"/>
    <w:rsid w:val="00B84E64"/>
    <w:rsid w:val="00B852C1"/>
    <w:rsid w:val="00B853E3"/>
    <w:rsid w:val="00B854C4"/>
    <w:rsid w:val="00B85531"/>
    <w:rsid w:val="00B857F5"/>
    <w:rsid w:val="00B85D6A"/>
    <w:rsid w:val="00B86063"/>
    <w:rsid w:val="00B86183"/>
    <w:rsid w:val="00B86295"/>
    <w:rsid w:val="00B8655E"/>
    <w:rsid w:val="00B866F6"/>
    <w:rsid w:val="00B86C5D"/>
    <w:rsid w:val="00B86CA1"/>
    <w:rsid w:val="00B86E17"/>
    <w:rsid w:val="00B86F07"/>
    <w:rsid w:val="00B8703B"/>
    <w:rsid w:val="00B871C2"/>
    <w:rsid w:val="00B87254"/>
    <w:rsid w:val="00B87683"/>
    <w:rsid w:val="00B8774E"/>
    <w:rsid w:val="00B87788"/>
    <w:rsid w:val="00B8797C"/>
    <w:rsid w:val="00B87983"/>
    <w:rsid w:val="00B879DD"/>
    <w:rsid w:val="00B87C4D"/>
    <w:rsid w:val="00B87C96"/>
    <w:rsid w:val="00B87D4E"/>
    <w:rsid w:val="00B87D9F"/>
    <w:rsid w:val="00B87E21"/>
    <w:rsid w:val="00B90390"/>
    <w:rsid w:val="00B90392"/>
    <w:rsid w:val="00B90884"/>
    <w:rsid w:val="00B908B3"/>
    <w:rsid w:val="00B908E6"/>
    <w:rsid w:val="00B909AE"/>
    <w:rsid w:val="00B90E60"/>
    <w:rsid w:val="00B90ECE"/>
    <w:rsid w:val="00B90F1B"/>
    <w:rsid w:val="00B90FD0"/>
    <w:rsid w:val="00B91003"/>
    <w:rsid w:val="00B9102B"/>
    <w:rsid w:val="00B91032"/>
    <w:rsid w:val="00B910C8"/>
    <w:rsid w:val="00B91385"/>
    <w:rsid w:val="00B91390"/>
    <w:rsid w:val="00B919DF"/>
    <w:rsid w:val="00B91A0B"/>
    <w:rsid w:val="00B91A38"/>
    <w:rsid w:val="00B91BE1"/>
    <w:rsid w:val="00B91D91"/>
    <w:rsid w:val="00B91E44"/>
    <w:rsid w:val="00B91E76"/>
    <w:rsid w:val="00B9205E"/>
    <w:rsid w:val="00B9250A"/>
    <w:rsid w:val="00B92812"/>
    <w:rsid w:val="00B9289B"/>
    <w:rsid w:val="00B92964"/>
    <w:rsid w:val="00B92A7A"/>
    <w:rsid w:val="00B92ACD"/>
    <w:rsid w:val="00B92B06"/>
    <w:rsid w:val="00B92CC5"/>
    <w:rsid w:val="00B9302F"/>
    <w:rsid w:val="00B9321F"/>
    <w:rsid w:val="00B934B5"/>
    <w:rsid w:val="00B93562"/>
    <w:rsid w:val="00B9358A"/>
    <w:rsid w:val="00B93923"/>
    <w:rsid w:val="00B93A80"/>
    <w:rsid w:val="00B93AEE"/>
    <w:rsid w:val="00B93D3A"/>
    <w:rsid w:val="00B93DFC"/>
    <w:rsid w:val="00B93E29"/>
    <w:rsid w:val="00B94037"/>
    <w:rsid w:val="00B940A3"/>
    <w:rsid w:val="00B94166"/>
    <w:rsid w:val="00B94248"/>
    <w:rsid w:val="00B9426C"/>
    <w:rsid w:val="00B942E0"/>
    <w:rsid w:val="00B946B5"/>
    <w:rsid w:val="00B9483C"/>
    <w:rsid w:val="00B94B2A"/>
    <w:rsid w:val="00B94B50"/>
    <w:rsid w:val="00B94D71"/>
    <w:rsid w:val="00B94F78"/>
    <w:rsid w:val="00B951AB"/>
    <w:rsid w:val="00B955FC"/>
    <w:rsid w:val="00B9577A"/>
    <w:rsid w:val="00B95853"/>
    <w:rsid w:val="00B95A7D"/>
    <w:rsid w:val="00B95E57"/>
    <w:rsid w:val="00B9642F"/>
    <w:rsid w:val="00B965F7"/>
    <w:rsid w:val="00B96745"/>
    <w:rsid w:val="00B96A90"/>
    <w:rsid w:val="00B96B0E"/>
    <w:rsid w:val="00B96B18"/>
    <w:rsid w:val="00B96CB4"/>
    <w:rsid w:val="00B9708B"/>
    <w:rsid w:val="00B974D0"/>
    <w:rsid w:val="00B976F7"/>
    <w:rsid w:val="00B97917"/>
    <w:rsid w:val="00B97946"/>
    <w:rsid w:val="00B979F8"/>
    <w:rsid w:val="00B97AA5"/>
    <w:rsid w:val="00B97C2B"/>
    <w:rsid w:val="00B97C2C"/>
    <w:rsid w:val="00B97CE8"/>
    <w:rsid w:val="00B97DD6"/>
    <w:rsid w:val="00BA006A"/>
    <w:rsid w:val="00BA01D4"/>
    <w:rsid w:val="00BA04D3"/>
    <w:rsid w:val="00BA053A"/>
    <w:rsid w:val="00BA08D8"/>
    <w:rsid w:val="00BA0977"/>
    <w:rsid w:val="00BA0A97"/>
    <w:rsid w:val="00BA0CEF"/>
    <w:rsid w:val="00BA0D82"/>
    <w:rsid w:val="00BA0DED"/>
    <w:rsid w:val="00BA1043"/>
    <w:rsid w:val="00BA10F5"/>
    <w:rsid w:val="00BA198E"/>
    <w:rsid w:val="00BA1A3C"/>
    <w:rsid w:val="00BA1CDA"/>
    <w:rsid w:val="00BA1D8D"/>
    <w:rsid w:val="00BA1DA8"/>
    <w:rsid w:val="00BA2158"/>
    <w:rsid w:val="00BA22BD"/>
    <w:rsid w:val="00BA238E"/>
    <w:rsid w:val="00BA238F"/>
    <w:rsid w:val="00BA25B6"/>
    <w:rsid w:val="00BA2720"/>
    <w:rsid w:val="00BA2746"/>
    <w:rsid w:val="00BA280C"/>
    <w:rsid w:val="00BA28E2"/>
    <w:rsid w:val="00BA2968"/>
    <w:rsid w:val="00BA29BB"/>
    <w:rsid w:val="00BA2AF7"/>
    <w:rsid w:val="00BA3347"/>
    <w:rsid w:val="00BA350D"/>
    <w:rsid w:val="00BA39B4"/>
    <w:rsid w:val="00BA3BC5"/>
    <w:rsid w:val="00BA3C0E"/>
    <w:rsid w:val="00BA3DB6"/>
    <w:rsid w:val="00BA3DE3"/>
    <w:rsid w:val="00BA3EAC"/>
    <w:rsid w:val="00BA4009"/>
    <w:rsid w:val="00BA4065"/>
    <w:rsid w:val="00BA408F"/>
    <w:rsid w:val="00BA4178"/>
    <w:rsid w:val="00BA41F2"/>
    <w:rsid w:val="00BA42F0"/>
    <w:rsid w:val="00BA4391"/>
    <w:rsid w:val="00BA4999"/>
    <w:rsid w:val="00BA49FE"/>
    <w:rsid w:val="00BA4A55"/>
    <w:rsid w:val="00BA4EC8"/>
    <w:rsid w:val="00BA4F90"/>
    <w:rsid w:val="00BA52F7"/>
    <w:rsid w:val="00BA5389"/>
    <w:rsid w:val="00BA547E"/>
    <w:rsid w:val="00BA5532"/>
    <w:rsid w:val="00BA55DE"/>
    <w:rsid w:val="00BA577C"/>
    <w:rsid w:val="00BA5C9E"/>
    <w:rsid w:val="00BA612C"/>
    <w:rsid w:val="00BA6238"/>
    <w:rsid w:val="00BA6299"/>
    <w:rsid w:val="00BA6377"/>
    <w:rsid w:val="00BA63A5"/>
    <w:rsid w:val="00BA6539"/>
    <w:rsid w:val="00BA65A2"/>
    <w:rsid w:val="00BA66E1"/>
    <w:rsid w:val="00BA6A92"/>
    <w:rsid w:val="00BA6B8C"/>
    <w:rsid w:val="00BA6EDF"/>
    <w:rsid w:val="00BA72E2"/>
    <w:rsid w:val="00BA72EB"/>
    <w:rsid w:val="00BA7361"/>
    <w:rsid w:val="00BA753F"/>
    <w:rsid w:val="00BA761B"/>
    <w:rsid w:val="00BA7869"/>
    <w:rsid w:val="00BA7B02"/>
    <w:rsid w:val="00BA7B72"/>
    <w:rsid w:val="00BA7C23"/>
    <w:rsid w:val="00BA7D51"/>
    <w:rsid w:val="00BA7D5B"/>
    <w:rsid w:val="00BB0100"/>
    <w:rsid w:val="00BB020D"/>
    <w:rsid w:val="00BB0630"/>
    <w:rsid w:val="00BB063C"/>
    <w:rsid w:val="00BB06A2"/>
    <w:rsid w:val="00BB0C30"/>
    <w:rsid w:val="00BB0C9E"/>
    <w:rsid w:val="00BB0F57"/>
    <w:rsid w:val="00BB1069"/>
    <w:rsid w:val="00BB13F6"/>
    <w:rsid w:val="00BB14F8"/>
    <w:rsid w:val="00BB1654"/>
    <w:rsid w:val="00BB18FC"/>
    <w:rsid w:val="00BB195B"/>
    <w:rsid w:val="00BB1A90"/>
    <w:rsid w:val="00BB1AF1"/>
    <w:rsid w:val="00BB1B7A"/>
    <w:rsid w:val="00BB1CD1"/>
    <w:rsid w:val="00BB1D2F"/>
    <w:rsid w:val="00BB2215"/>
    <w:rsid w:val="00BB22AF"/>
    <w:rsid w:val="00BB232C"/>
    <w:rsid w:val="00BB254B"/>
    <w:rsid w:val="00BB25D1"/>
    <w:rsid w:val="00BB25DC"/>
    <w:rsid w:val="00BB2717"/>
    <w:rsid w:val="00BB28E8"/>
    <w:rsid w:val="00BB2990"/>
    <w:rsid w:val="00BB2C2D"/>
    <w:rsid w:val="00BB2C83"/>
    <w:rsid w:val="00BB2D9E"/>
    <w:rsid w:val="00BB2DA1"/>
    <w:rsid w:val="00BB3207"/>
    <w:rsid w:val="00BB32A9"/>
    <w:rsid w:val="00BB333C"/>
    <w:rsid w:val="00BB3412"/>
    <w:rsid w:val="00BB3542"/>
    <w:rsid w:val="00BB3934"/>
    <w:rsid w:val="00BB3947"/>
    <w:rsid w:val="00BB3952"/>
    <w:rsid w:val="00BB3D09"/>
    <w:rsid w:val="00BB3D41"/>
    <w:rsid w:val="00BB3D87"/>
    <w:rsid w:val="00BB3E87"/>
    <w:rsid w:val="00BB40BF"/>
    <w:rsid w:val="00BB4258"/>
    <w:rsid w:val="00BB45A1"/>
    <w:rsid w:val="00BB4741"/>
    <w:rsid w:val="00BB4802"/>
    <w:rsid w:val="00BB48BD"/>
    <w:rsid w:val="00BB4917"/>
    <w:rsid w:val="00BB4BA5"/>
    <w:rsid w:val="00BB4CB6"/>
    <w:rsid w:val="00BB4ED9"/>
    <w:rsid w:val="00BB4EE2"/>
    <w:rsid w:val="00BB569D"/>
    <w:rsid w:val="00BB5991"/>
    <w:rsid w:val="00BB5E41"/>
    <w:rsid w:val="00BB61F9"/>
    <w:rsid w:val="00BB631C"/>
    <w:rsid w:val="00BB6335"/>
    <w:rsid w:val="00BB66A0"/>
    <w:rsid w:val="00BB68D9"/>
    <w:rsid w:val="00BB6906"/>
    <w:rsid w:val="00BB6977"/>
    <w:rsid w:val="00BB6B5C"/>
    <w:rsid w:val="00BB6B9D"/>
    <w:rsid w:val="00BB6C5E"/>
    <w:rsid w:val="00BB6F13"/>
    <w:rsid w:val="00BB6F9F"/>
    <w:rsid w:val="00BB70E8"/>
    <w:rsid w:val="00BB7462"/>
    <w:rsid w:val="00BB7615"/>
    <w:rsid w:val="00BB7638"/>
    <w:rsid w:val="00BB7686"/>
    <w:rsid w:val="00BB77E3"/>
    <w:rsid w:val="00BB7802"/>
    <w:rsid w:val="00BB7C99"/>
    <w:rsid w:val="00BB7E14"/>
    <w:rsid w:val="00BB7F00"/>
    <w:rsid w:val="00BC0157"/>
    <w:rsid w:val="00BC0187"/>
    <w:rsid w:val="00BC0598"/>
    <w:rsid w:val="00BC06A5"/>
    <w:rsid w:val="00BC071E"/>
    <w:rsid w:val="00BC0815"/>
    <w:rsid w:val="00BC08D9"/>
    <w:rsid w:val="00BC0982"/>
    <w:rsid w:val="00BC09EE"/>
    <w:rsid w:val="00BC0A34"/>
    <w:rsid w:val="00BC0C98"/>
    <w:rsid w:val="00BC0CCC"/>
    <w:rsid w:val="00BC0D3D"/>
    <w:rsid w:val="00BC0E6A"/>
    <w:rsid w:val="00BC110E"/>
    <w:rsid w:val="00BC114E"/>
    <w:rsid w:val="00BC13DE"/>
    <w:rsid w:val="00BC1446"/>
    <w:rsid w:val="00BC145A"/>
    <w:rsid w:val="00BC1474"/>
    <w:rsid w:val="00BC1568"/>
    <w:rsid w:val="00BC1671"/>
    <w:rsid w:val="00BC18F9"/>
    <w:rsid w:val="00BC1B2E"/>
    <w:rsid w:val="00BC1C0C"/>
    <w:rsid w:val="00BC1C2D"/>
    <w:rsid w:val="00BC1D64"/>
    <w:rsid w:val="00BC214E"/>
    <w:rsid w:val="00BC21BE"/>
    <w:rsid w:val="00BC233F"/>
    <w:rsid w:val="00BC23F9"/>
    <w:rsid w:val="00BC2403"/>
    <w:rsid w:val="00BC2969"/>
    <w:rsid w:val="00BC2995"/>
    <w:rsid w:val="00BC2C45"/>
    <w:rsid w:val="00BC2E90"/>
    <w:rsid w:val="00BC303B"/>
    <w:rsid w:val="00BC3069"/>
    <w:rsid w:val="00BC3074"/>
    <w:rsid w:val="00BC3195"/>
    <w:rsid w:val="00BC3202"/>
    <w:rsid w:val="00BC3421"/>
    <w:rsid w:val="00BC357B"/>
    <w:rsid w:val="00BC37F3"/>
    <w:rsid w:val="00BC38BE"/>
    <w:rsid w:val="00BC3967"/>
    <w:rsid w:val="00BC3B64"/>
    <w:rsid w:val="00BC3C46"/>
    <w:rsid w:val="00BC3D59"/>
    <w:rsid w:val="00BC3EEB"/>
    <w:rsid w:val="00BC3FBA"/>
    <w:rsid w:val="00BC4011"/>
    <w:rsid w:val="00BC4012"/>
    <w:rsid w:val="00BC4157"/>
    <w:rsid w:val="00BC4168"/>
    <w:rsid w:val="00BC420A"/>
    <w:rsid w:val="00BC4337"/>
    <w:rsid w:val="00BC455A"/>
    <w:rsid w:val="00BC45CB"/>
    <w:rsid w:val="00BC4850"/>
    <w:rsid w:val="00BC4AFB"/>
    <w:rsid w:val="00BC4C55"/>
    <w:rsid w:val="00BC50AB"/>
    <w:rsid w:val="00BC51A7"/>
    <w:rsid w:val="00BC5246"/>
    <w:rsid w:val="00BC5295"/>
    <w:rsid w:val="00BC5553"/>
    <w:rsid w:val="00BC564C"/>
    <w:rsid w:val="00BC578C"/>
    <w:rsid w:val="00BC57B2"/>
    <w:rsid w:val="00BC57D1"/>
    <w:rsid w:val="00BC5862"/>
    <w:rsid w:val="00BC5A2D"/>
    <w:rsid w:val="00BC5E44"/>
    <w:rsid w:val="00BC6220"/>
    <w:rsid w:val="00BC642C"/>
    <w:rsid w:val="00BC668D"/>
    <w:rsid w:val="00BC68FF"/>
    <w:rsid w:val="00BC697A"/>
    <w:rsid w:val="00BC6FB1"/>
    <w:rsid w:val="00BC707B"/>
    <w:rsid w:val="00BC732C"/>
    <w:rsid w:val="00BC74A2"/>
    <w:rsid w:val="00BC74D4"/>
    <w:rsid w:val="00BC7902"/>
    <w:rsid w:val="00BC7AFB"/>
    <w:rsid w:val="00BC7C7C"/>
    <w:rsid w:val="00BC7CC3"/>
    <w:rsid w:val="00BC7D26"/>
    <w:rsid w:val="00BC7DAD"/>
    <w:rsid w:val="00BC7DCC"/>
    <w:rsid w:val="00BD03D5"/>
    <w:rsid w:val="00BD06DB"/>
    <w:rsid w:val="00BD0A25"/>
    <w:rsid w:val="00BD0CF0"/>
    <w:rsid w:val="00BD0D3D"/>
    <w:rsid w:val="00BD10EA"/>
    <w:rsid w:val="00BD12BC"/>
    <w:rsid w:val="00BD1363"/>
    <w:rsid w:val="00BD13C3"/>
    <w:rsid w:val="00BD15F8"/>
    <w:rsid w:val="00BD16DD"/>
    <w:rsid w:val="00BD18A5"/>
    <w:rsid w:val="00BD18E3"/>
    <w:rsid w:val="00BD1A42"/>
    <w:rsid w:val="00BD1B86"/>
    <w:rsid w:val="00BD1E5C"/>
    <w:rsid w:val="00BD22B0"/>
    <w:rsid w:val="00BD2324"/>
    <w:rsid w:val="00BD2854"/>
    <w:rsid w:val="00BD2A29"/>
    <w:rsid w:val="00BD2ADD"/>
    <w:rsid w:val="00BD2AFC"/>
    <w:rsid w:val="00BD2CBB"/>
    <w:rsid w:val="00BD2E7A"/>
    <w:rsid w:val="00BD3071"/>
    <w:rsid w:val="00BD310B"/>
    <w:rsid w:val="00BD3233"/>
    <w:rsid w:val="00BD3364"/>
    <w:rsid w:val="00BD3627"/>
    <w:rsid w:val="00BD362A"/>
    <w:rsid w:val="00BD3748"/>
    <w:rsid w:val="00BD3A2F"/>
    <w:rsid w:val="00BD3B3A"/>
    <w:rsid w:val="00BD3B89"/>
    <w:rsid w:val="00BD3BBB"/>
    <w:rsid w:val="00BD3D03"/>
    <w:rsid w:val="00BD3FF4"/>
    <w:rsid w:val="00BD4084"/>
    <w:rsid w:val="00BD409B"/>
    <w:rsid w:val="00BD41F9"/>
    <w:rsid w:val="00BD4349"/>
    <w:rsid w:val="00BD4364"/>
    <w:rsid w:val="00BD4421"/>
    <w:rsid w:val="00BD45D2"/>
    <w:rsid w:val="00BD4751"/>
    <w:rsid w:val="00BD4835"/>
    <w:rsid w:val="00BD4A6B"/>
    <w:rsid w:val="00BD4D19"/>
    <w:rsid w:val="00BD4FDC"/>
    <w:rsid w:val="00BD513F"/>
    <w:rsid w:val="00BD5180"/>
    <w:rsid w:val="00BD5189"/>
    <w:rsid w:val="00BD523C"/>
    <w:rsid w:val="00BD55F8"/>
    <w:rsid w:val="00BD5A1B"/>
    <w:rsid w:val="00BD5C55"/>
    <w:rsid w:val="00BD5D7D"/>
    <w:rsid w:val="00BD6036"/>
    <w:rsid w:val="00BD6139"/>
    <w:rsid w:val="00BD668E"/>
    <w:rsid w:val="00BD6835"/>
    <w:rsid w:val="00BD68FA"/>
    <w:rsid w:val="00BD6930"/>
    <w:rsid w:val="00BD6B2B"/>
    <w:rsid w:val="00BD6BCA"/>
    <w:rsid w:val="00BD6ED9"/>
    <w:rsid w:val="00BD7063"/>
    <w:rsid w:val="00BD7139"/>
    <w:rsid w:val="00BD78EF"/>
    <w:rsid w:val="00BD7FDE"/>
    <w:rsid w:val="00BE0271"/>
    <w:rsid w:val="00BE03C0"/>
    <w:rsid w:val="00BE0CBA"/>
    <w:rsid w:val="00BE0D49"/>
    <w:rsid w:val="00BE0D8E"/>
    <w:rsid w:val="00BE0F78"/>
    <w:rsid w:val="00BE1049"/>
    <w:rsid w:val="00BE110F"/>
    <w:rsid w:val="00BE1368"/>
    <w:rsid w:val="00BE15AA"/>
    <w:rsid w:val="00BE15FE"/>
    <w:rsid w:val="00BE1741"/>
    <w:rsid w:val="00BE1954"/>
    <w:rsid w:val="00BE1AC3"/>
    <w:rsid w:val="00BE1ECD"/>
    <w:rsid w:val="00BE1FBB"/>
    <w:rsid w:val="00BE21F9"/>
    <w:rsid w:val="00BE2580"/>
    <w:rsid w:val="00BE2602"/>
    <w:rsid w:val="00BE266D"/>
    <w:rsid w:val="00BE26BF"/>
    <w:rsid w:val="00BE290D"/>
    <w:rsid w:val="00BE2987"/>
    <w:rsid w:val="00BE2A0B"/>
    <w:rsid w:val="00BE2A4F"/>
    <w:rsid w:val="00BE2C03"/>
    <w:rsid w:val="00BE2C77"/>
    <w:rsid w:val="00BE2E26"/>
    <w:rsid w:val="00BE2EC4"/>
    <w:rsid w:val="00BE31B4"/>
    <w:rsid w:val="00BE3252"/>
    <w:rsid w:val="00BE342F"/>
    <w:rsid w:val="00BE3508"/>
    <w:rsid w:val="00BE3899"/>
    <w:rsid w:val="00BE3938"/>
    <w:rsid w:val="00BE3974"/>
    <w:rsid w:val="00BE3AAD"/>
    <w:rsid w:val="00BE3ACE"/>
    <w:rsid w:val="00BE3AF5"/>
    <w:rsid w:val="00BE3BEB"/>
    <w:rsid w:val="00BE3E77"/>
    <w:rsid w:val="00BE4054"/>
    <w:rsid w:val="00BE41C9"/>
    <w:rsid w:val="00BE423D"/>
    <w:rsid w:val="00BE42A8"/>
    <w:rsid w:val="00BE42E7"/>
    <w:rsid w:val="00BE4546"/>
    <w:rsid w:val="00BE49C1"/>
    <w:rsid w:val="00BE4AA9"/>
    <w:rsid w:val="00BE4C11"/>
    <w:rsid w:val="00BE4E7D"/>
    <w:rsid w:val="00BE5076"/>
    <w:rsid w:val="00BE5243"/>
    <w:rsid w:val="00BE52F9"/>
    <w:rsid w:val="00BE562A"/>
    <w:rsid w:val="00BE5642"/>
    <w:rsid w:val="00BE57A2"/>
    <w:rsid w:val="00BE59A7"/>
    <w:rsid w:val="00BE5AF9"/>
    <w:rsid w:val="00BE5E41"/>
    <w:rsid w:val="00BE60CE"/>
    <w:rsid w:val="00BE61E8"/>
    <w:rsid w:val="00BE6358"/>
    <w:rsid w:val="00BE638C"/>
    <w:rsid w:val="00BE63C2"/>
    <w:rsid w:val="00BE6527"/>
    <w:rsid w:val="00BE66D0"/>
    <w:rsid w:val="00BE68BE"/>
    <w:rsid w:val="00BE68D6"/>
    <w:rsid w:val="00BE6921"/>
    <w:rsid w:val="00BE6A74"/>
    <w:rsid w:val="00BE6B3F"/>
    <w:rsid w:val="00BE6B92"/>
    <w:rsid w:val="00BE6D14"/>
    <w:rsid w:val="00BE71C0"/>
    <w:rsid w:val="00BE72FD"/>
    <w:rsid w:val="00BE7372"/>
    <w:rsid w:val="00BE744A"/>
    <w:rsid w:val="00BE7839"/>
    <w:rsid w:val="00BE78F7"/>
    <w:rsid w:val="00BE7914"/>
    <w:rsid w:val="00BE7A6C"/>
    <w:rsid w:val="00BE7C11"/>
    <w:rsid w:val="00BE7CE8"/>
    <w:rsid w:val="00BF0290"/>
    <w:rsid w:val="00BF04FA"/>
    <w:rsid w:val="00BF06A4"/>
    <w:rsid w:val="00BF06C4"/>
    <w:rsid w:val="00BF0985"/>
    <w:rsid w:val="00BF0C53"/>
    <w:rsid w:val="00BF0D4A"/>
    <w:rsid w:val="00BF11E4"/>
    <w:rsid w:val="00BF15AF"/>
    <w:rsid w:val="00BF1615"/>
    <w:rsid w:val="00BF16B5"/>
    <w:rsid w:val="00BF170D"/>
    <w:rsid w:val="00BF1A0D"/>
    <w:rsid w:val="00BF1D32"/>
    <w:rsid w:val="00BF1D3A"/>
    <w:rsid w:val="00BF1DD4"/>
    <w:rsid w:val="00BF1F73"/>
    <w:rsid w:val="00BF21D7"/>
    <w:rsid w:val="00BF23B7"/>
    <w:rsid w:val="00BF29F1"/>
    <w:rsid w:val="00BF2BEA"/>
    <w:rsid w:val="00BF2D85"/>
    <w:rsid w:val="00BF310E"/>
    <w:rsid w:val="00BF3183"/>
    <w:rsid w:val="00BF320A"/>
    <w:rsid w:val="00BF3486"/>
    <w:rsid w:val="00BF3A74"/>
    <w:rsid w:val="00BF3B7F"/>
    <w:rsid w:val="00BF3C23"/>
    <w:rsid w:val="00BF3EA9"/>
    <w:rsid w:val="00BF3FDD"/>
    <w:rsid w:val="00BF4296"/>
    <w:rsid w:val="00BF4448"/>
    <w:rsid w:val="00BF446D"/>
    <w:rsid w:val="00BF45A8"/>
    <w:rsid w:val="00BF45AA"/>
    <w:rsid w:val="00BF4804"/>
    <w:rsid w:val="00BF4A4B"/>
    <w:rsid w:val="00BF504F"/>
    <w:rsid w:val="00BF509B"/>
    <w:rsid w:val="00BF50D1"/>
    <w:rsid w:val="00BF5109"/>
    <w:rsid w:val="00BF5240"/>
    <w:rsid w:val="00BF527A"/>
    <w:rsid w:val="00BF553E"/>
    <w:rsid w:val="00BF55D5"/>
    <w:rsid w:val="00BF5661"/>
    <w:rsid w:val="00BF57BD"/>
    <w:rsid w:val="00BF5880"/>
    <w:rsid w:val="00BF5DB9"/>
    <w:rsid w:val="00BF5F16"/>
    <w:rsid w:val="00BF5F99"/>
    <w:rsid w:val="00BF6087"/>
    <w:rsid w:val="00BF610C"/>
    <w:rsid w:val="00BF6216"/>
    <w:rsid w:val="00BF622E"/>
    <w:rsid w:val="00BF6470"/>
    <w:rsid w:val="00BF6522"/>
    <w:rsid w:val="00BF65C4"/>
    <w:rsid w:val="00BF688D"/>
    <w:rsid w:val="00BF6899"/>
    <w:rsid w:val="00BF68B4"/>
    <w:rsid w:val="00BF6A65"/>
    <w:rsid w:val="00BF6AF2"/>
    <w:rsid w:val="00BF7089"/>
    <w:rsid w:val="00BF70CF"/>
    <w:rsid w:val="00BF7187"/>
    <w:rsid w:val="00BF72FA"/>
    <w:rsid w:val="00BF741E"/>
    <w:rsid w:val="00BF75F7"/>
    <w:rsid w:val="00BF770C"/>
    <w:rsid w:val="00BF77C0"/>
    <w:rsid w:val="00BF785E"/>
    <w:rsid w:val="00BF7873"/>
    <w:rsid w:val="00BF7E01"/>
    <w:rsid w:val="00BF7F20"/>
    <w:rsid w:val="00BF7FC7"/>
    <w:rsid w:val="00C0034B"/>
    <w:rsid w:val="00C0060B"/>
    <w:rsid w:val="00C00656"/>
    <w:rsid w:val="00C008F1"/>
    <w:rsid w:val="00C00A8B"/>
    <w:rsid w:val="00C00AB5"/>
    <w:rsid w:val="00C00B58"/>
    <w:rsid w:val="00C00BAC"/>
    <w:rsid w:val="00C00BD4"/>
    <w:rsid w:val="00C00CF9"/>
    <w:rsid w:val="00C00D1B"/>
    <w:rsid w:val="00C00D9E"/>
    <w:rsid w:val="00C0121C"/>
    <w:rsid w:val="00C01386"/>
    <w:rsid w:val="00C013EE"/>
    <w:rsid w:val="00C015D5"/>
    <w:rsid w:val="00C01754"/>
    <w:rsid w:val="00C01A6C"/>
    <w:rsid w:val="00C01E90"/>
    <w:rsid w:val="00C02093"/>
    <w:rsid w:val="00C021D5"/>
    <w:rsid w:val="00C023A7"/>
    <w:rsid w:val="00C026F4"/>
    <w:rsid w:val="00C026FD"/>
    <w:rsid w:val="00C0277D"/>
    <w:rsid w:val="00C02791"/>
    <w:rsid w:val="00C02BD4"/>
    <w:rsid w:val="00C02C49"/>
    <w:rsid w:val="00C02F17"/>
    <w:rsid w:val="00C02F26"/>
    <w:rsid w:val="00C03030"/>
    <w:rsid w:val="00C030F8"/>
    <w:rsid w:val="00C03154"/>
    <w:rsid w:val="00C03173"/>
    <w:rsid w:val="00C032EF"/>
    <w:rsid w:val="00C03763"/>
    <w:rsid w:val="00C037BB"/>
    <w:rsid w:val="00C03DC7"/>
    <w:rsid w:val="00C03ED1"/>
    <w:rsid w:val="00C03F1E"/>
    <w:rsid w:val="00C040BC"/>
    <w:rsid w:val="00C04110"/>
    <w:rsid w:val="00C047BA"/>
    <w:rsid w:val="00C04B65"/>
    <w:rsid w:val="00C04E17"/>
    <w:rsid w:val="00C04FDD"/>
    <w:rsid w:val="00C051D5"/>
    <w:rsid w:val="00C052DF"/>
    <w:rsid w:val="00C053A1"/>
    <w:rsid w:val="00C053C9"/>
    <w:rsid w:val="00C05476"/>
    <w:rsid w:val="00C05597"/>
    <w:rsid w:val="00C055EB"/>
    <w:rsid w:val="00C059CC"/>
    <w:rsid w:val="00C05B76"/>
    <w:rsid w:val="00C05D7A"/>
    <w:rsid w:val="00C05D86"/>
    <w:rsid w:val="00C05E24"/>
    <w:rsid w:val="00C05FA4"/>
    <w:rsid w:val="00C05FD4"/>
    <w:rsid w:val="00C0602C"/>
    <w:rsid w:val="00C06059"/>
    <w:rsid w:val="00C06173"/>
    <w:rsid w:val="00C06441"/>
    <w:rsid w:val="00C06840"/>
    <w:rsid w:val="00C06869"/>
    <w:rsid w:val="00C068B5"/>
    <w:rsid w:val="00C06987"/>
    <w:rsid w:val="00C06B2B"/>
    <w:rsid w:val="00C06C55"/>
    <w:rsid w:val="00C06CE6"/>
    <w:rsid w:val="00C06D59"/>
    <w:rsid w:val="00C06DC9"/>
    <w:rsid w:val="00C0708E"/>
    <w:rsid w:val="00C070DB"/>
    <w:rsid w:val="00C0726A"/>
    <w:rsid w:val="00C07329"/>
    <w:rsid w:val="00C0738F"/>
    <w:rsid w:val="00C07636"/>
    <w:rsid w:val="00C07777"/>
    <w:rsid w:val="00C07B3B"/>
    <w:rsid w:val="00C07B50"/>
    <w:rsid w:val="00C07EAC"/>
    <w:rsid w:val="00C102E6"/>
    <w:rsid w:val="00C1060E"/>
    <w:rsid w:val="00C106EC"/>
    <w:rsid w:val="00C10929"/>
    <w:rsid w:val="00C10D64"/>
    <w:rsid w:val="00C10D81"/>
    <w:rsid w:val="00C11150"/>
    <w:rsid w:val="00C111F0"/>
    <w:rsid w:val="00C1125F"/>
    <w:rsid w:val="00C11424"/>
    <w:rsid w:val="00C11F7E"/>
    <w:rsid w:val="00C12123"/>
    <w:rsid w:val="00C121A7"/>
    <w:rsid w:val="00C121AC"/>
    <w:rsid w:val="00C121C5"/>
    <w:rsid w:val="00C122D4"/>
    <w:rsid w:val="00C1260F"/>
    <w:rsid w:val="00C127A2"/>
    <w:rsid w:val="00C12899"/>
    <w:rsid w:val="00C1295D"/>
    <w:rsid w:val="00C12C16"/>
    <w:rsid w:val="00C12D8B"/>
    <w:rsid w:val="00C12E7E"/>
    <w:rsid w:val="00C1349A"/>
    <w:rsid w:val="00C136A2"/>
    <w:rsid w:val="00C139E8"/>
    <w:rsid w:val="00C13BB5"/>
    <w:rsid w:val="00C1442C"/>
    <w:rsid w:val="00C1443A"/>
    <w:rsid w:val="00C146DA"/>
    <w:rsid w:val="00C146F6"/>
    <w:rsid w:val="00C14AE1"/>
    <w:rsid w:val="00C14EEF"/>
    <w:rsid w:val="00C1509F"/>
    <w:rsid w:val="00C1512F"/>
    <w:rsid w:val="00C152C8"/>
    <w:rsid w:val="00C15331"/>
    <w:rsid w:val="00C153FD"/>
    <w:rsid w:val="00C156A1"/>
    <w:rsid w:val="00C156BE"/>
    <w:rsid w:val="00C15788"/>
    <w:rsid w:val="00C158BE"/>
    <w:rsid w:val="00C15A75"/>
    <w:rsid w:val="00C15CB2"/>
    <w:rsid w:val="00C15DF4"/>
    <w:rsid w:val="00C15E3C"/>
    <w:rsid w:val="00C15F20"/>
    <w:rsid w:val="00C1618B"/>
    <w:rsid w:val="00C16198"/>
    <w:rsid w:val="00C16421"/>
    <w:rsid w:val="00C166A9"/>
    <w:rsid w:val="00C16B4C"/>
    <w:rsid w:val="00C16FC2"/>
    <w:rsid w:val="00C1770D"/>
    <w:rsid w:val="00C1799B"/>
    <w:rsid w:val="00C179E5"/>
    <w:rsid w:val="00C17A42"/>
    <w:rsid w:val="00C17B06"/>
    <w:rsid w:val="00C2026C"/>
    <w:rsid w:val="00C20502"/>
    <w:rsid w:val="00C207B4"/>
    <w:rsid w:val="00C2083D"/>
    <w:rsid w:val="00C20A6A"/>
    <w:rsid w:val="00C20C64"/>
    <w:rsid w:val="00C20EA1"/>
    <w:rsid w:val="00C20F7E"/>
    <w:rsid w:val="00C21555"/>
    <w:rsid w:val="00C21749"/>
    <w:rsid w:val="00C21C33"/>
    <w:rsid w:val="00C21CA8"/>
    <w:rsid w:val="00C21D40"/>
    <w:rsid w:val="00C21DE8"/>
    <w:rsid w:val="00C22228"/>
    <w:rsid w:val="00C225FD"/>
    <w:rsid w:val="00C22791"/>
    <w:rsid w:val="00C228E2"/>
    <w:rsid w:val="00C23007"/>
    <w:rsid w:val="00C23080"/>
    <w:rsid w:val="00C2323F"/>
    <w:rsid w:val="00C23521"/>
    <w:rsid w:val="00C237FF"/>
    <w:rsid w:val="00C239FF"/>
    <w:rsid w:val="00C23ABE"/>
    <w:rsid w:val="00C23AF2"/>
    <w:rsid w:val="00C2408D"/>
    <w:rsid w:val="00C2443A"/>
    <w:rsid w:val="00C2464C"/>
    <w:rsid w:val="00C2481D"/>
    <w:rsid w:val="00C24875"/>
    <w:rsid w:val="00C2491F"/>
    <w:rsid w:val="00C24A08"/>
    <w:rsid w:val="00C24A53"/>
    <w:rsid w:val="00C2510D"/>
    <w:rsid w:val="00C252CB"/>
    <w:rsid w:val="00C25331"/>
    <w:rsid w:val="00C25465"/>
    <w:rsid w:val="00C25545"/>
    <w:rsid w:val="00C2593E"/>
    <w:rsid w:val="00C25B59"/>
    <w:rsid w:val="00C25B7E"/>
    <w:rsid w:val="00C25CA4"/>
    <w:rsid w:val="00C25D5C"/>
    <w:rsid w:val="00C26086"/>
    <w:rsid w:val="00C260CC"/>
    <w:rsid w:val="00C261F4"/>
    <w:rsid w:val="00C26221"/>
    <w:rsid w:val="00C26250"/>
    <w:rsid w:val="00C26527"/>
    <w:rsid w:val="00C2686C"/>
    <w:rsid w:val="00C268C3"/>
    <w:rsid w:val="00C2698B"/>
    <w:rsid w:val="00C26C13"/>
    <w:rsid w:val="00C27077"/>
    <w:rsid w:val="00C271EA"/>
    <w:rsid w:val="00C274AC"/>
    <w:rsid w:val="00C277A3"/>
    <w:rsid w:val="00C27DE9"/>
    <w:rsid w:val="00C27F80"/>
    <w:rsid w:val="00C3039A"/>
    <w:rsid w:val="00C3049E"/>
    <w:rsid w:val="00C30523"/>
    <w:rsid w:val="00C3064B"/>
    <w:rsid w:val="00C30DA2"/>
    <w:rsid w:val="00C31206"/>
    <w:rsid w:val="00C313CC"/>
    <w:rsid w:val="00C313FF"/>
    <w:rsid w:val="00C31480"/>
    <w:rsid w:val="00C3158B"/>
    <w:rsid w:val="00C31881"/>
    <w:rsid w:val="00C319E1"/>
    <w:rsid w:val="00C31AA8"/>
    <w:rsid w:val="00C31DBB"/>
    <w:rsid w:val="00C322B2"/>
    <w:rsid w:val="00C32367"/>
    <w:rsid w:val="00C324E5"/>
    <w:rsid w:val="00C326FA"/>
    <w:rsid w:val="00C327BD"/>
    <w:rsid w:val="00C32A31"/>
    <w:rsid w:val="00C32A95"/>
    <w:rsid w:val="00C32B47"/>
    <w:rsid w:val="00C32B9F"/>
    <w:rsid w:val="00C32BC2"/>
    <w:rsid w:val="00C32E63"/>
    <w:rsid w:val="00C3302E"/>
    <w:rsid w:val="00C330D6"/>
    <w:rsid w:val="00C331C6"/>
    <w:rsid w:val="00C3321C"/>
    <w:rsid w:val="00C334BB"/>
    <w:rsid w:val="00C338AB"/>
    <w:rsid w:val="00C33C20"/>
    <w:rsid w:val="00C33C33"/>
    <w:rsid w:val="00C33D0D"/>
    <w:rsid w:val="00C33E8A"/>
    <w:rsid w:val="00C33F46"/>
    <w:rsid w:val="00C34238"/>
    <w:rsid w:val="00C3428D"/>
    <w:rsid w:val="00C346A5"/>
    <w:rsid w:val="00C34982"/>
    <w:rsid w:val="00C34A05"/>
    <w:rsid w:val="00C34AA0"/>
    <w:rsid w:val="00C34C7B"/>
    <w:rsid w:val="00C34C7C"/>
    <w:rsid w:val="00C34E58"/>
    <w:rsid w:val="00C34E9A"/>
    <w:rsid w:val="00C35228"/>
    <w:rsid w:val="00C35420"/>
    <w:rsid w:val="00C356E0"/>
    <w:rsid w:val="00C35919"/>
    <w:rsid w:val="00C35BD2"/>
    <w:rsid w:val="00C35CCE"/>
    <w:rsid w:val="00C35E18"/>
    <w:rsid w:val="00C3619E"/>
    <w:rsid w:val="00C36817"/>
    <w:rsid w:val="00C3681D"/>
    <w:rsid w:val="00C3687A"/>
    <w:rsid w:val="00C368C2"/>
    <w:rsid w:val="00C369F9"/>
    <w:rsid w:val="00C36A04"/>
    <w:rsid w:val="00C36BF7"/>
    <w:rsid w:val="00C36E94"/>
    <w:rsid w:val="00C36FFE"/>
    <w:rsid w:val="00C373EE"/>
    <w:rsid w:val="00C37454"/>
    <w:rsid w:val="00C3778C"/>
    <w:rsid w:val="00C37978"/>
    <w:rsid w:val="00C379C2"/>
    <w:rsid w:val="00C37D0E"/>
    <w:rsid w:val="00C37DB5"/>
    <w:rsid w:val="00C37F59"/>
    <w:rsid w:val="00C37FA1"/>
    <w:rsid w:val="00C37FA2"/>
    <w:rsid w:val="00C4002C"/>
    <w:rsid w:val="00C400D7"/>
    <w:rsid w:val="00C4011A"/>
    <w:rsid w:val="00C4027F"/>
    <w:rsid w:val="00C4032F"/>
    <w:rsid w:val="00C40581"/>
    <w:rsid w:val="00C407DC"/>
    <w:rsid w:val="00C408D7"/>
    <w:rsid w:val="00C40AB5"/>
    <w:rsid w:val="00C40C96"/>
    <w:rsid w:val="00C40EA1"/>
    <w:rsid w:val="00C41050"/>
    <w:rsid w:val="00C410A4"/>
    <w:rsid w:val="00C4130D"/>
    <w:rsid w:val="00C41635"/>
    <w:rsid w:val="00C41C62"/>
    <w:rsid w:val="00C41CA9"/>
    <w:rsid w:val="00C41EDC"/>
    <w:rsid w:val="00C41F21"/>
    <w:rsid w:val="00C41F8A"/>
    <w:rsid w:val="00C4209F"/>
    <w:rsid w:val="00C4215E"/>
    <w:rsid w:val="00C42305"/>
    <w:rsid w:val="00C42715"/>
    <w:rsid w:val="00C42A3D"/>
    <w:rsid w:val="00C42C41"/>
    <w:rsid w:val="00C42C75"/>
    <w:rsid w:val="00C42D24"/>
    <w:rsid w:val="00C42D41"/>
    <w:rsid w:val="00C42E0A"/>
    <w:rsid w:val="00C42E56"/>
    <w:rsid w:val="00C42E73"/>
    <w:rsid w:val="00C43651"/>
    <w:rsid w:val="00C43771"/>
    <w:rsid w:val="00C438E0"/>
    <w:rsid w:val="00C43A26"/>
    <w:rsid w:val="00C43BD7"/>
    <w:rsid w:val="00C43DE2"/>
    <w:rsid w:val="00C43F62"/>
    <w:rsid w:val="00C43FFD"/>
    <w:rsid w:val="00C44047"/>
    <w:rsid w:val="00C4430A"/>
    <w:rsid w:val="00C443C3"/>
    <w:rsid w:val="00C4478C"/>
    <w:rsid w:val="00C44858"/>
    <w:rsid w:val="00C44BA0"/>
    <w:rsid w:val="00C44C8A"/>
    <w:rsid w:val="00C44E18"/>
    <w:rsid w:val="00C45155"/>
    <w:rsid w:val="00C454BA"/>
    <w:rsid w:val="00C454BF"/>
    <w:rsid w:val="00C455ED"/>
    <w:rsid w:val="00C455F7"/>
    <w:rsid w:val="00C4584A"/>
    <w:rsid w:val="00C45A1E"/>
    <w:rsid w:val="00C45B2B"/>
    <w:rsid w:val="00C45C19"/>
    <w:rsid w:val="00C45E6D"/>
    <w:rsid w:val="00C4638A"/>
    <w:rsid w:val="00C4643A"/>
    <w:rsid w:val="00C465B1"/>
    <w:rsid w:val="00C46691"/>
    <w:rsid w:val="00C4671E"/>
    <w:rsid w:val="00C46BAB"/>
    <w:rsid w:val="00C46C52"/>
    <w:rsid w:val="00C46FB7"/>
    <w:rsid w:val="00C473E1"/>
    <w:rsid w:val="00C474AA"/>
    <w:rsid w:val="00C47525"/>
    <w:rsid w:val="00C47533"/>
    <w:rsid w:val="00C47842"/>
    <w:rsid w:val="00C479F2"/>
    <w:rsid w:val="00C47B4B"/>
    <w:rsid w:val="00C47C80"/>
    <w:rsid w:val="00C47D1A"/>
    <w:rsid w:val="00C5002C"/>
    <w:rsid w:val="00C5006C"/>
    <w:rsid w:val="00C501C0"/>
    <w:rsid w:val="00C50378"/>
    <w:rsid w:val="00C50544"/>
    <w:rsid w:val="00C5061F"/>
    <w:rsid w:val="00C5099F"/>
    <w:rsid w:val="00C50C99"/>
    <w:rsid w:val="00C50DB2"/>
    <w:rsid w:val="00C510B8"/>
    <w:rsid w:val="00C51305"/>
    <w:rsid w:val="00C51428"/>
    <w:rsid w:val="00C51B53"/>
    <w:rsid w:val="00C51BBB"/>
    <w:rsid w:val="00C51C6B"/>
    <w:rsid w:val="00C51CC6"/>
    <w:rsid w:val="00C51E30"/>
    <w:rsid w:val="00C51F40"/>
    <w:rsid w:val="00C5211B"/>
    <w:rsid w:val="00C5227E"/>
    <w:rsid w:val="00C523C3"/>
    <w:rsid w:val="00C52B0F"/>
    <w:rsid w:val="00C52B23"/>
    <w:rsid w:val="00C52BA7"/>
    <w:rsid w:val="00C52ECD"/>
    <w:rsid w:val="00C52F1C"/>
    <w:rsid w:val="00C5311D"/>
    <w:rsid w:val="00C53130"/>
    <w:rsid w:val="00C531C2"/>
    <w:rsid w:val="00C5340C"/>
    <w:rsid w:val="00C535D6"/>
    <w:rsid w:val="00C53754"/>
    <w:rsid w:val="00C53840"/>
    <w:rsid w:val="00C5390D"/>
    <w:rsid w:val="00C53B4C"/>
    <w:rsid w:val="00C53BF8"/>
    <w:rsid w:val="00C53EAC"/>
    <w:rsid w:val="00C53F50"/>
    <w:rsid w:val="00C53F9C"/>
    <w:rsid w:val="00C542D3"/>
    <w:rsid w:val="00C542DA"/>
    <w:rsid w:val="00C542EF"/>
    <w:rsid w:val="00C54362"/>
    <w:rsid w:val="00C5439F"/>
    <w:rsid w:val="00C5498F"/>
    <w:rsid w:val="00C54C62"/>
    <w:rsid w:val="00C54EB2"/>
    <w:rsid w:val="00C55235"/>
    <w:rsid w:val="00C552B0"/>
    <w:rsid w:val="00C5549B"/>
    <w:rsid w:val="00C558A9"/>
    <w:rsid w:val="00C558CA"/>
    <w:rsid w:val="00C55A56"/>
    <w:rsid w:val="00C55B37"/>
    <w:rsid w:val="00C55EE7"/>
    <w:rsid w:val="00C563C9"/>
    <w:rsid w:val="00C566CB"/>
    <w:rsid w:val="00C56701"/>
    <w:rsid w:val="00C56898"/>
    <w:rsid w:val="00C568F7"/>
    <w:rsid w:val="00C56C77"/>
    <w:rsid w:val="00C56E0A"/>
    <w:rsid w:val="00C57031"/>
    <w:rsid w:val="00C571C3"/>
    <w:rsid w:val="00C57577"/>
    <w:rsid w:val="00C57655"/>
    <w:rsid w:val="00C5780D"/>
    <w:rsid w:val="00C57982"/>
    <w:rsid w:val="00C57C91"/>
    <w:rsid w:val="00C57CAC"/>
    <w:rsid w:val="00C57DFF"/>
    <w:rsid w:val="00C57EB8"/>
    <w:rsid w:val="00C60128"/>
    <w:rsid w:val="00C60B62"/>
    <w:rsid w:val="00C60BAE"/>
    <w:rsid w:val="00C60C35"/>
    <w:rsid w:val="00C60FEE"/>
    <w:rsid w:val="00C613F2"/>
    <w:rsid w:val="00C615C7"/>
    <w:rsid w:val="00C61627"/>
    <w:rsid w:val="00C617BB"/>
    <w:rsid w:val="00C618C3"/>
    <w:rsid w:val="00C618D4"/>
    <w:rsid w:val="00C61AED"/>
    <w:rsid w:val="00C61FE5"/>
    <w:rsid w:val="00C62174"/>
    <w:rsid w:val="00C6226B"/>
    <w:rsid w:val="00C62CB2"/>
    <w:rsid w:val="00C62DEA"/>
    <w:rsid w:val="00C62E51"/>
    <w:rsid w:val="00C62F38"/>
    <w:rsid w:val="00C6306C"/>
    <w:rsid w:val="00C6333A"/>
    <w:rsid w:val="00C633AB"/>
    <w:rsid w:val="00C6353D"/>
    <w:rsid w:val="00C63707"/>
    <w:rsid w:val="00C638AC"/>
    <w:rsid w:val="00C63A47"/>
    <w:rsid w:val="00C63ADD"/>
    <w:rsid w:val="00C63BB5"/>
    <w:rsid w:val="00C63BBC"/>
    <w:rsid w:val="00C63BCE"/>
    <w:rsid w:val="00C63CE3"/>
    <w:rsid w:val="00C63D7E"/>
    <w:rsid w:val="00C63F7B"/>
    <w:rsid w:val="00C640B9"/>
    <w:rsid w:val="00C64100"/>
    <w:rsid w:val="00C64349"/>
    <w:rsid w:val="00C643C2"/>
    <w:rsid w:val="00C645F4"/>
    <w:rsid w:val="00C6467E"/>
    <w:rsid w:val="00C64856"/>
    <w:rsid w:val="00C648EA"/>
    <w:rsid w:val="00C64963"/>
    <w:rsid w:val="00C64A06"/>
    <w:rsid w:val="00C64A74"/>
    <w:rsid w:val="00C64C5A"/>
    <w:rsid w:val="00C64C85"/>
    <w:rsid w:val="00C64CD0"/>
    <w:rsid w:val="00C64DBA"/>
    <w:rsid w:val="00C64DD4"/>
    <w:rsid w:val="00C650EF"/>
    <w:rsid w:val="00C65347"/>
    <w:rsid w:val="00C6553C"/>
    <w:rsid w:val="00C6571D"/>
    <w:rsid w:val="00C6591B"/>
    <w:rsid w:val="00C65A25"/>
    <w:rsid w:val="00C65ACF"/>
    <w:rsid w:val="00C65CE2"/>
    <w:rsid w:val="00C65D02"/>
    <w:rsid w:val="00C65EFB"/>
    <w:rsid w:val="00C65F61"/>
    <w:rsid w:val="00C661A5"/>
    <w:rsid w:val="00C663DA"/>
    <w:rsid w:val="00C6670D"/>
    <w:rsid w:val="00C66737"/>
    <w:rsid w:val="00C6684F"/>
    <w:rsid w:val="00C66858"/>
    <w:rsid w:val="00C6692B"/>
    <w:rsid w:val="00C669C7"/>
    <w:rsid w:val="00C669CD"/>
    <w:rsid w:val="00C66B7C"/>
    <w:rsid w:val="00C66CBC"/>
    <w:rsid w:val="00C66D64"/>
    <w:rsid w:val="00C66FCE"/>
    <w:rsid w:val="00C66FFB"/>
    <w:rsid w:val="00C674F5"/>
    <w:rsid w:val="00C67587"/>
    <w:rsid w:val="00C67683"/>
    <w:rsid w:val="00C67732"/>
    <w:rsid w:val="00C6793A"/>
    <w:rsid w:val="00C67A9B"/>
    <w:rsid w:val="00C67D4B"/>
    <w:rsid w:val="00C7000C"/>
    <w:rsid w:val="00C70102"/>
    <w:rsid w:val="00C70144"/>
    <w:rsid w:val="00C70292"/>
    <w:rsid w:val="00C702CB"/>
    <w:rsid w:val="00C70310"/>
    <w:rsid w:val="00C70393"/>
    <w:rsid w:val="00C7041E"/>
    <w:rsid w:val="00C70A5F"/>
    <w:rsid w:val="00C70B1C"/>
    <w:rsid w:val="00C70B7B"/>
    <w:rsid w:val="00C70E70"/>
    <w:rsid w:val="00C71426"/>
    <w:rsid w:val="00C714EA"/>
    <w:rsid w:val="00C719FB"/>
    <w:rsid w:val="00C71B78"/>
    <w:rsid w:val="00C71DC1"/>
    <w:rsid w:val="00C71EEF"/>
    <w:rsid w:val="00C71F0D"/>
    <w:rsid w:val="00C7209E"/>
    <w:rsid w:val="00C72276"/>
    <w:rsid w:val="00C72296"/>
    <w:rsid w:val="00C727C3"/>
    <w:rsid w:val="00C72AE3"/>
    <w:rsid w:val="00C72C0F"/>
    <w:rsid w:val="00C72E96"/>
    <w:rsid w:val="00C72ED8"/>
    <w:rsid w:val="00C72FCF"/>
    <w:rsid w:val="00C72FE0"/>
    <w:rsid w:val="00C7311E"/>
    <w:rsid w:val="00C731DC"/>
    <w:rsid w:val="00C7344C"/>
    <w:rsid w:val="00C73611"/>
    <w:rsid w:val="00C7372D"/>
    <w:rsid w:val="00C7387B"/>
    <w:rsid w:val="00C739A9"/>
    <w:rsid w:val="00C73B56"/>
    <w:rsid w:val="00C73BAF"/>
    <w:rsid w:val="00C73C5A"/>
    <w:rsid w:val="00C73F1D"/>
    <w:rsid w:val="00C741C7"/>
    <w:rsid w:val="00C7436F"/>
    <w:rsid w:val="00C74661"/>
    <w:rsid w:val="00C74840"/>
    <w:rsid w:val="00C74894"/>
    <w:rsid w:val="00C748CA"/>
    <w:rsid w:val="00C74A29"/>
    <w:rsid w:val="00C74D36"/>
    <w:rsid w:val="00C74EF6"/>
    <w:rsid w:val="00C75000"/>
    <w:rsid w:val="00C75065"/>
    <w:rsid w:val="00C75306"/>
    <w:rsid w:val="00C75564"/>
    <w:rsid w:val="00C755E7"/>
    <w:rsid w:val="00C757FF"/>
    <w:rsid w:val="00C75B21"/>
    <w:rsid w:val="00C75B72"/>
    <w:rsid w:val="00C75F8D"/>
    <w:rsid w:val="00C76047"/>
    <w:rsid w:val="00C76225"/>
    <w:rsid w:val="00C7623E"/>
    <w:rsid w:val="00C762E9"/>
    <w:rsid w:val="00C76307"/>
    <w:rsid w:val="00C76394"/>
    <w:rsid w:val="00C765B8"/>
    <w:rsid w:val="00C766B1"/>
    <w:rsid w:val="00C76761"/>
    <w:rsid w:val="00C767F7"/>
    <w:rsid w:val="00C76BD9"/>
    <w:rsid w:val="00C76DB4"/>
    <w:rsid w:val="00C76DCA"/>
    <w:rsid w:val="00C76EFF"/>
    <w:rsid w:val="00C76FDD"/>
    <w:rsid w:val="00C77107"/>
    <w:rsid w:val="00C771CC"/>
    <w:rsid w:val="00C77279"/>
    <w:rsid w:val="00C77380"/>
    <w:rsid w:val="00C77411"/>
    <w:rsid w:val="00C77440"/>
    <w:rsid w:val="00C775C7"/>
    <w:rsid w:val="00C77B3F"/>
    <w:rsid w:val="00C77B79"/>
    <w:rsid w:val="00C77E03"/>
    <w:rsid w:val="00C77EC3"/>
    <w:rsid w:val="00C77EFC"/>
    <w:rsid w:val="00C77FBF"/>
    <w:rsid w:val="00C8030D"/>
    <w:rsid w:val="00C8045C"/>
    <w:rsid w:val="00C805F8"/>
    <w:rsid w:val="00C80669"/>
    <w:rsid w:val="00C8067F"/>
    <w:rsid w:val="00C809C4"/>
    <w:rsid w:val="00C80C82"/>
    <w:rsid w:val="00C80D0A"/>
    <w:rsid w:val="00C80DCA"/>
    <w:rsid w:val="00C80E6A"/>
    <w:rsid w:val="00C80E85"/>
    <w:rsid w:val="00C80F14"/>
    <w:rsid w:val="00C80FBB"/>
    <w:rsid w:val="00C81146"/>
    <w:rsid w:val="00C8136F"/>
    <w:rsid w:val="00C81371"/>
    <w:rsid w:val="00C816A6"/>
    <w:rsid w:val="00C81BAA"/>
    <w:rsid w:val="00C81CE2"/>
    <w:rsid w:val="00C81F73"/>
    <w:rsid w:val="00C82142"/>
    <w:rsid w:val="00C824B3"/>
    <w:rsid w:val="00C826B8"/>
    <w:rsid w:val="00C826CC"/>
    <w:rsid w:val="00C82869"/>
    <w:rsid w:val="00C82935"/>
    <w:rsid w:val="00C82C3D"/>
    <w:rsid w:val="00C82D18"/>
    <w:rsid w:val="00C82EE5"/>
    <w:rsid w:val="00C82F72"/>
    <w:rsid w:val="00C83082"/>
    <w:rsid w:val="00C832A2"/>
    <w:rsid w:val="00C832AC"/>
    <w:rsid w:val="00C835C4"/>
    <w:rsid w:val="00C83690"/>
    <w:rsid w:val="00C836DF"/>
    <w:rsid w:val="00C83960"/>
    <w:rsid w:val="00C83A97"/>
    <w:rsid w:val="00C83D53"/>
    <w:rsid w:val="00C83F75"/>
    <w:rsid w:val="00C84266"/>
    <w:rsid w:val="00C8468D"/>
    <w:rsid w:val="00C850C4"/>
    <w:rsid w:val="00C8530C"/>
    <w:rsid w:val="00C855E2"/>
    <w:rsid w:val="00C85658"/>
    <w:rsid w:val="00C857F5"/>
    <w:rsid w:val="00C858C8"/>
    <w:rsid w:val="00C85907"/>
    <w:rsid w:val="00C85B6C"/>
    <w:rsid w:val="00C85F9F"/>
    <w:rsid w:val="00C86696"/>
    <w:rsid w:val="00C86772"/>
    <w:rsid w:val="00C86812"/>
    <w:rsid w:val="00C86909"/>
    <w:rsid w:val="00C86A8C"/>
    <w:rsid w:val="00C86D5C"/>
    <w:rsid w:val="00C86EF8"/>
    <w:rsid w:val="00C871D9"/>
    <w:rsid w:val="00C87567"/>
    <w:rsid w:val="00C8761A"/>
    <w:rsid w:val="00C87674"/>
    <w:rsid w:val="00C8767D"/>
    <w:rsid w:val="00C879AB"/>
    <w:rsid w:val="00C87CBE"/>
    <w:rsid w:val="00C87CE3"/>
    <w:rsid w:val="00C87E26"/>
    <w:rsid w:val="00C87E52"/>
    <w:rsid w:val="00C87E8A"/>
    <w:rsid w:val="00C87FD8"/>
    <w:rsid w:val="00C9027E"/>
    <w:rsid w:val="00C902FA"/>
    <w:rsid w:val="00C905A8"/>
    <w:rsid w:val="00C90623"/>
    <w:rsid w:val="00C9062E"/>
    <w:rsid w:val="00C90897"/>
    <w:rsid w:val="00C90AE4"/>
    <w:rsid w:val="00C90F0B"/>
    <w:rsid w:val="00C91194"/>
    <w:rsid w:val="00C912EF"/>
    <w:rsid w:val="00C91319"/>
    <w:rsid w:val="00C913D6"/>
    <w:rsid w:val="00C91717"/>
    <w:rsid w:val="00C9174D"/>
    <w:rsid w:val="00C91825"/>
    <w:rsid w:val="00C9182D"/>
    <w:rsid w:val="00C91E33"/>
    <w:rsid w:val="00C91E3E"/>
    <w:rsid w:val="00C91F67"/>
    <w:rsid w:val="00C923B6"/>
    <w:rsid w:val="00C924EC"/>
    <w:rsid w:val="00C92691"/>
    <w:rsid w:val="00C92932"/>
    <w:rsid w:val="00C9297E"/>
    <w:rsid w:val="00C92EE0"/>
    <w:rsid w:val="00C9303A"/>
    <w:rsid w:val="00C931B8"/>
    <w:rsid w:val="00C93501"/>
    <w:rsid w:val="00C93507"/>
    <w:rsid w:val="00C935C4"/>
    <w:rsid w:val="00C93BAE"/>
    <w:rsid w:val="00C93EEE"/>
    <w:rsid w:val="00C93FAF"/>
    <w:rsid w:val="00C940A6"/>
    <w:rsid w:val="00C941CF"/>
    <w:rsid w:val="00C9437D"/>
    <w:rsid w:val="00C94462"/>
    <w:rsid w:val="00C94474"/>
    <w:rsid w:val="00C944AF"/>
    <w:rsid w:val="00C9455A"/>
    <w:rsid w:val="00C94A04"/>
    <w:rsid w:val="00C94B99"/>
    <w:rsid w:val="00C94BA8"/>
    <w:rsid w:val="00C94C37"/>
    <w:rsid w:val="00C95049"/>
    <w:rsid w:val="00C95069"/>
    <w:rsid w:val="00C951C5"/>
    <w:rsid w:val="00C954E4"/>
    <w:rsid w:val="00C95B06"/>
    <w:rsid w:val="00C95BEB"/>
    <w:rsid w:val="00C95C6C"/>
    <w:rsid w:val="00C95DE6"/>
    <w:rsid w:val="00C95EE8"/>
    <w:rsid w:val="00C96113"/>
    <w:rsid w:val="00C964E6"/>
    <w:rsid w:val="00C96716"/>
    <w:rsid w:val="00C968A9"/>
    <w:rsid w:val="00C96991"/>
    <w:rsid w:val="00C96ACB"/>
    <w:rsid w:val="00C96B18"/>
    <w:rsid w:val="00C96B4D"/>
    <w:rsid w:val="00C96C8F"/>
    <w:rsid w:val="00C96F3F"/>
    <w:rsid w:val="00C97049"/>
    <w:rsid w:val="00C973DB"/>
    <w:rsid w:val="00C9744E"/>
    <w:rsid w:val="00C97736"/>
    <w:rsid w:val="00C977DE"/>
    <w:rsid w:val="00C977FA"/>
    <w:rsid w:val="00C9781F"/>
    <w:rsid w:val="00C9783A"/>
    <w:rsid w:val="00C97862"/>
    <w:rsid w:val="00C9787D"/>
    <w:rsid w:val="00C97AA1"/>
    <w:rsid w:val="00C97B69"/>
    <w:rsid w:val="00C97CDB"/>
    <w:rsid w:val="00CA0643"/>
    <w:rsid w:val="00CA06A1"/>
    <w:rsid w:val="00CA08B2"/>
    <w:rsid w:val="00CA0B31"/>
    <w:rsid w:val="00CA0CA5"/>
    <w:rsid w:val="00CA0F63"/>
    <w:rsid w:val="00CA0F7C"/>
    <w:rsid w:val="00CA103F"/>
    <w:rsid w:val="00CA11FB"/>
    <w:rsid w:val="00CA12F6"/>
    <w:rsid w:val="00CA1378"/>
    <w:rsid w:val="00CA1499"/>
    <w:rsid w:val="00CA14D3"/>
    <w:rsid w:val="00CA1DCA"/>
    <w:rsid w:val="00CA1EF7"/>
    <w:rsid w:val="00CA1FBB"/>
    <w:rsid w:val="00CA2148"/>
    <w:rsid w:val="00CA25CA"/>
    <w:rsid w:val="00CA26B5"/>
    <w:rsid w:val="00CA27FB"/>
    <w:rsid w:val="00CA29E0"/>
    <w:rsid w:val="00CA29E1"/>
    <w:rsid w:val="00CA2A33"/>
    <w:rsid w:val="00CA2B06"/>
    <w:rsid w:val="00CA2C14"/>
    <w:rsid w:val="00CA2CEA"/>
    <w:rsid w:val="00CA2D29"/>
    <w:rsid w:val="00CA2E73"/>
    <w:rsid w:val="00CA2EB3"/>
    <w:rsid w:val="00CA3223"/>
    <w:rsid w:val="00CA345A"/>
    <w:rsid w:val="00CA3466"/>
    <w:rsid w:val="00CA34BF"/>
    <w:rsid w:val="00CA34FF"/>
    <w:rsid w:val="00CA3A4E"/>
    <w:rsid w:val="00CA3DB9"/>
    <w:rsid w:val="00CA4133"/>
    <w:rsid w:val="00CA4183"/>
    <w:rsid w:val="00CA4214"/>
    <w:rsid w:val="00CA4303"/>
    <w:rsid w:val="00CA4331"/>
    <w:rsid w:val="00CA4592"/>
    <w:rsid w:val="00CA45B1"/>
    <w:rsid w:val="00CA4642"/>
    <w:rsid w:val="00CA4B2D"/>
    <w:rsid w:val="00CA4BA3"/>
    <w:rsid w:val="00CA4E92"/>
    <w:rsid w:val="00CA50C2"/>
    <w:rsid w:val="00CA50D8"/>
    <w:rsid w:val="00CA5116"/>
    <w:rsid w:val="00CA57FE"/>
    <w:rsid w:val="00CA58E4"/>
    <w:rsid w:val="00CA5ACC"/>
    <w:rsid w:val="00CA6065"/>
    <w:rsid w:val="00CA62AF"/>
    <w:rsid w:val="00CA62D1"/>
    <w:rsid w:val="00CA654F"/>
    <w:rsid w:val="00CA6568"/>
    <w:rsid w:val="00CA656F"/>
    <w:rsid w:val="00CA68D7"/>
    <w:rsid w:val="00CA6A26"/>
    <w:rsid w:val="00CA6E6D"/>
    <w:rsid w:val="00CA6E9A"/>
    <w:rsid w:val="00CA6EDC"/>
    <w:rsid w:val="00CA6EF3"/>
    <w:rsid w:val="00CA6FFF"/>
    <w:rsid w:val="00CA745A"/>
    <w:rsid w:val="00CA74DB"/>
    <w:rsid w:val="00CA77FF"/>
    <w:rsid w:val="00CA7A35"/>
    <w:rsid w:val="00CA7B52"/>
    <w:rsid w:val="00CA7B97"/>
    <w:rsid w:val="00CA7F8B"/>
    <w:rsid w:val="00CA7FFC"/>
    <w:rsid w:val="00CB026F"/>
    <w:rsid w:val="00CB039B"/>
    <w:rsid w:val="00CB04B7"/>
    <w:rsid w:val="00CB06B1"/>
    <w:rsid w:val="00CB07DD"/>
    <w:rsid w:val="00CB0C8D"/>
    <w:rsid w:val="00CB0CC3"/>
    <w:rsid w:val="00CB0CF2"/>
    <w:rsid w:val="00CB0DD0"/>
    <w:rsid w:val="00CB0E3B"/>
    <w:rsid w:val="00CB1275"/>
    <w:rsid w:val="00CB146C"/>
    <w:rsid w:val="00CB160C"/>
    <w:rsid w:val="00CB1765"/>
    <w:rsid w:val="00CB1A4B"/>
    <w:rsid w:val="00CB1C51"/>
    <w:rsid w:val="00CB1CCD"/>
    <w:rsid w:val="00CB1E82"/>
    <w:rsid w:val="00CB1EA8"/>
    <w:rsid w:val="00CB20D6"/>
    <w:rsid w:val="00CB21E0"/>
    <w:rsid w:val="00CB24C8"/>
    <w:rsid w:val="00CB294A"/>
    <w:rsid w:val="00CB2EB2"/>
    <w:rsid w:val="00CB2ECB"/>
    <w:rsid w:val="00CB2FE8"/>
    <w:rsid w:val="00CB3461"/>
    <w:rsid w:val="00CB346C"/>
    <w:rsid w:val="00CB3735"/>
    <w:rsid w:val="00CB383F"/>
    <w:rsid w:val="00CB38D7"/>
    <w:rsid w:val="00CB3AE6"/>
    <w:rsid w:val="00CB3AFB"/>
    <w:rsid w:val="00CB3B07"/>
    <w:rsid w:val="00CB3C3E"/>
    <w:rsid w:val="00CB3D9E"/>
    <w:rsid w:val="00CB4523"/>
    <w:rsid w:val="00CB46D4"/>
    <w:rsid w:val="00CB48C3"/>
    <w:rsid w:val="00CB48F8"/>
    <w:rsid w:val="00CB4994"/>
    <w:rsid w:val="00CB49E5"/>
    <w:rsid w:val="00CB4A37"/>
    <w:rsid w:val="00CB4BA8"/>
    <w:rsid w:val="00CB4F47"/>
    <w:rsid w:val="00CB50B2"/>
    <w:rsid w:val="00CB51F7"/>
    <w:rsid w:val="00CB52CB"/>
    <w:rsid w:val="00CB52D7"/>
    <w:rsid w:val="00CB5352"/>
    <w:rsid w:val="00CB544A"/>
    <w:rsid w:val="00CB550B"/>
    <w:rsid w:val="00CB5657"/>
    <w:rsid w:val="00CB5700"/>
    <w:rsid w:val="00CB582C"/>
    <w:rsid w:val="00CB5855"/>
    <w:rsid w:val="00CB599B"/>
    <w:rsid w:val="00CB6153"/>
    <w:rsid w:val="00CB61BC"/>
    <w:rsid w:val="00CB61F4"/>
    <w:rsid w:val="00CB62A4"/>
    <w:rsid w:val="00CB6333"/>
    <w:rsid w:val="00CB6696"/>
    <w:rsid w:val="00CB67A9"/>
    <w:rsid w:val="00CB6942"/>
    <w:rsid w:val="00CB6B75"/>
    <w:rsid w:val="00CB6B87"/>
    <w:rsid w:val="00CB6C24"/>
    <w:rsid w:val="00CB6C40"/>
    <w:rsid w:val="00CB6D3D"/>
    <w:rsid w:val="00CB6D4B"/>
    <w:rsid w:val="00CB6D54"/>
    <w:rsid w:val="00CB6D56"/>
    <w:rsid w:val="00CB6DC1"/>
    <w:rsid w:val="00CB6DE3"/>
    <w:rsid w:val="00CB7124"/>
    <w:rsid w:val="00CB714A"/>
    <w:rsid w:val="00CB768D"/>
    <w:rsid w:val="00CB77F4"/>
    <w:rsid w:val="00CB782A"/>
    <w:rsid w:val="00CB7908"/>
    <w:rsid w:val="00CB7CC3"/>
    <w:rsid w:val="00CB7DE8"/>
    <w:rsid w:val="00CB7E58"/>
    <w:rsid w:val="00CC0021"/>
    <w:rsid w:val="00CC0162"/>
    <w:rsid w:val="00CC0442"/>
    <w:rsid w:val="00CC0680"/>
    <w:rsid w:val="00CC06C2"/>
    <w:rsid w:val="00CC0741"/>
    <w:rsid w:val="00CC0810"/>
    <w:rsid w:val="00CC0836"/>
    <w:rsid w:val="00CC0849"/>
    <w:rsid w:val="00CC0D2E"/>
    <w:rsid w:val="00CC1114"/>
    <w:rsid w:val="00CC115E"/>
    <w:rsid w:val="00CC1291"/>
    <w:rsid w:val="00CC164A"/>
    <w:rsid w:val="00CC16B3"/>
    <w:rsid w:val="00CC1AE5"/>
    <w:rsid w:val="00CC1B61"/>
    <w:rsid w:val="00CC1B9D"/>
    <w:rsid w:val="00CC1CBF"/>
    <w:rsid w:val="00CC1E2A"/>
    <w:rsid w:val="00CC1EFF"/>
    <w:rsid w:val="00CC1FE8"/>
    <w:rsid w:val="00CC2090"/>
    <w:rsid w:val="00CC25FC"/>
    <w:rsid w:val="00CC290F"/>
    <w:rsid w:val="00CC2C08"/>
    <w:rsid w:val="00CC2F8F"/>
    <w:rsid w:val="00CC30A0"/>
    <w:rsid w:val="00CC310F"/>
    <w:rsid w:val="00CC329E"/>
    <w:rsid w:val="00CC3449"/>
    <w:rsid w:val="00CC354E"/>
    <w:rsid w:val="00CC36F0"/>
    <w:rsid w:val="00CC3714"/>
    <w:rsid w:val="00CC39A0"/>
    <w:rsid w:val="00CC3C9F"/>
    <w:rsid w:val="00CC3CE7"/>
    <w:rsid w:val="00CC4136"/>
    <w:rsid w:val="00CC458E"/>
    <w:rsid w:val="00CC477A"/>
    <w:rsid w:val="00CC4832"/>
    <w:rsid w:val="00CC495D"/>
    <w:rsid w:val="00CC49EF"/>
    <w:rsid w:val="00CC4A0F"/>
    <w:rsid w:val="00CC4A2C"/>
    <w:rsid w:val="00CC4DEB"/>
    <w:rsid w:val="00CC5050"/>
    <w:rsid w:val="00CC50C2"/>
    <w:rsid w:val="00CC5637"/>
    <w:rsid w:val="00CC5BAE"/>
    <w:rsid w:val="00CC5C65"/>
    <w:rsid w:val="00CC5EFE"/>
    <w:rsid w:val="00CC6008"/>
    <w:rsid w:val="00CC601B"/>
    <w:rsid w:val="00CC6022"/>
    <w:rsid w:val="00CC61B7"/>
    <w:rsid w:val="00CC622C"/>
    <w:rsid w:val="00CC651A"/>
    <w:rsid w:val="00CC655F"/>
    <w:rsid w:val="00CC66B0"/>
    <w:rsid w:val="00CC6732"/>
    <w:rsid w:val="00CC6993"/>
    <w:rsid w:val="00CC69BF"/>
    <w:rsid w:val="00CC6ACD"/>
    <w:rsid w:val="00CC6B26"/>
    <w:rsid w:val="00CC6B77"/>
    <w:rsid w:val="00CC6D16"/>
    <w:rsid w:val="00CC6DC3"/>
    <w:rsid w:val="00CC72D1"/>
    <w:rsid w:val="00CC77D9"/>
    <w:rsid w:val="00CC782B"/>
    <w:rsid w:val="00CC783F"/>
    <w:rsid w:val="00CC78A3"/>
    <w:rsid w:val="00CC796D"/>
    <w:rsid w:val="00CC79F8"/>
    <w:rsid w:val="00CC7BB1"/>
    <w:rsid w:val="00CC7C4B"/>
    <w:rsid w:val="00CC7CA6"/>
    <w:rsid w:val="00CC7D29"/>
    <w:rsid w:val="00CC7E79"/>
    <w:rsid w:val="00CD0253"/>
    <w:rsid w:val="00CD0620"/>
    <w:rsid w:val="00CD0835"/>
    <w:rsid w:val="00CD088C"/>
    <w:rsid w:val="00CD09A2"/>
    <w:rsid w:val="00CD09C3"/>
    <w:rsid w:val="00CD0AD9"/>
    <w:rsid w:val="00CD0BEB"/>
    <w:rsid w:val="00CD0F1F"/>
    <w:rsid w:val="00CD1052"/>
    <w:rsid w:val="00CD1086"/>
    <w:rsid w:val="00CD1197"/>
    <w:rsid w:val="00CD1368"/>
    <w:rsid w:val="00CD143B"/>
    <w:rsid w:val="00CD18BD"/>
    <w:rsid w:val="00CD1969"/>
    <w:rsid w:val="00CD19FE"/>
    <w:rsid w:val="00CD1ADC"/>
    <w:rsid w:val="00CD1D19"/>
    <w:rsid w:val="00CD1D29"/>
    <w:rsid w:val="00CD2067"/>
    <w:rsid w:val="00CD20A0"/>
    <w:rsid w:val="00CD2295"/>
    <w:rsid w:val="00CD258C"/>
    <w:rsid w:val="00CD2974"/>
    <w:rsid w:val="00CD2A57"/>
    <w:rsid w:val="00CD2C21"/>
    <w:rsid w:val="00CD2FEE"/>
    <w:rsid w:val="00CD3321"/>
    <w:rsid w:val="00CD342C"/>
    <w:rsid w:val="00CD3616"/>
    <w:rsid w:val="00CD366B"/>
    <w:rsid w:val="00CD3A3C"/>
    <w:rsid w:val="00CD3AC6"/>
    <w:rsid w:val="00CD3C13"/>
    <w:rsid w:val="00CD3C33"/>
    <w:rsid w:val="00CD3C9D"/>
    <w:rsid w:val="00CD3CF1"/>
    <w:rsid w:val="00CD3D29"/>
    <w:rsid w:val="00CD3E30"/>
    <w:rsid w:val="00CD3E4A"/>
    <w:rsid w:val="00CD3EF4"/>
    <w:rsid w:val="00CD428E"/>
    <w:rsid w:val="00CD44EA"/>
    <w:rsid w:val="00CD452F"/>
    <w:rsid w:val="00CD467E"/>
    <w:rsid w:val="00CD4AE1"/>
    <w:rsid w:val="00CD4BF6"/>
    <w:rsid w:val="00CD51A0"/>
    <w:rsid w:val="00CD51E4"/>
    <w:rsid w:val="00CD531F"/>
    <w:rsid w:val="00CD557D"/>
    <w:rsid w:val="00CD59B1"/>
    <w:rsid w:val="00CD5AE6"/>
    <w:rsid w:val="00CD5CFC"/>
    <w:rsid w:val="00CD5D7B"/>
    <w:rsid w:val="00CD5E35"/>
    <w:rsid w:val="00CD62A3"/>
    <w:rsid w:val="00CD62C4"/>
    <w:rsid w:val="00CD6663"/>
    <w:rsid w:val="00CD6937"/>
    <w:rsid w:val="00CD6984"/>
    <w:rsid w:val="00CD6A67"/>
    <w:rsid w:val="00CD6ACF"/>
    <w:rsid w:val="00CD6BBD"/>
    <w:rsid w:val="00CD6C3E"/>
    <w:rsid w:val="00CD6C7E"/>
    <w:rsid w:val="00CD6DD8"/>
    <w:rsid w:val="00CD6EF8"/>
    <w:rsid w:val="00CD6F0B"/>
    <w:rsid w:val="00CD6FB2"/>
    <w:rsid w:val="00CD72EC"/>
    <w:rsid w:val="00CD75F9"/>
    <w:rsid w:val="00CD763B"/>
    <w:rsid w:val="00CD7753"/>
    <w:rsid w:val="00CD7937"/>
    <w:rsid w:val="00CD79BA"/>
    <w:rsid w:val="00CE007F"/>
    <w:rsid w:val="00CE0376"/>
    <w:rsid w:val="00CE061A"/>
    <w:rsid w:val="00CE063B"/>
    <w:rsid w:val="00CE0754"/>
    <w:rsid w:val="00CE090B"/>
    <w:rsid w:val="00CE0F11"/>
    <w:rsid w:val="00CE0F12"/>
    <w:rsid w:val="00CE107D"/>
    <w:rsid w:val="00CE10F5"/>
    <w:rsid w:val="00CE1144"/>
    <w:rsid w:val="00CE1729"/>
    <w:rsid w:val="00CE175A"/>
    <w:rsid w:val="00CE17B4"/>
    <w:rsid w:val="00CE1982"/>
    <w:rsid w:val="00CE1BB0"/>
    <w:rsid w:val="00CE1D90"/>
    <w:rsid w:val="00CE1DB2"/>
    <w:rsid w:val="00CE1F23"/>
    <w:rsid w:val="00CE20F2"/>
    <w:rsid w:val="00CE2459"/>
    <w:rsid w:val="00CE25A7"/>
    <w:rsid w:val="00CE296F"/>
    <w:rsid w:val="00CE2D59"/>
    <w:rsid w:val="00CE2DAE"/>
    <w:rsid w:val="00CE2E94"/>
    <w:rsid w:val="00CE2F64"/>
    <w:rsid w:val="00CE3064"/>
    <w:rsid w:val="00CE3443"/>
    <w:rsid w:val="00CE366A"/>
    <w:rsid w:val="00CE37C2"/>
    <w:rsid w:val="00CE392A"/>
    <w:rsid w:val="00CE3AF1"/>
    <w:rsid w:val="00CE3B6A"/>
    <w:rsid w:val="00CE3BB5"/>
    <w:rsid w:val="00CE3C4E"/>
    <w:rsid w:val="00CE3C96"/>
    <w:rsid w:val="00CE43D4"/>
    <w:rsid w:val="00CE43D6"/>
    <w:rsid w:val="00CE4555"/>
    <w:rsid w:val="00CE46CC"/>
    <w:rsid w:val="00CE48F6"/>
    <w:rsid w:val="00CE492C"/>
    <w:rsid w:val="00CE49EA"/>
    <w:rsid w:val="00CE4F71"/>
    <w:rsid w:val="00CE5044"/>
    <w:rsid w:val="00CE51A8"/>
    <w:rsid w:val="00CE5264"/>
    <w:rsid w:val="00CE52D6"/>
    <w:rsid w:val="00CE5442"/>
    <w:rsid w:val="00CE5447"/>
    <w:rsid w:val="00CE5710"/>
    <w:rsid w:val="00CE58EF"/>
    <w:rsid w:val="00CE5911"/>
    <w:rsid w:val="00CE5B5C"/>
    <w:rsid w:val="00CE5ED0"/>
    <w:rsid w:val="00CE5F84"/>
    <w:rsid w:val="00CE5F8C"/>
    <w:rsid w:val="00CE600C"/>
    <w:rsid w:val="00CE61BB"/>
    <w:rsid w:val="00CE64EC"/>
    <w:rsid w:val="00CE653E"/>
    <w:rsid w:val="00CE6669"/>
    <w:rsid w:val="00CE6726"/>
    <w:rsid w:val="00CE67E2"/>
    <w:rsid w:val="00CE6A05"/>
    <w:rsid w:val="00CE6AF3"/>
    <w:rsid w:val="00CE6CAD"/>
    <w:rsid w:val="00CE6F04"/>
    <w:rsid w:val="00CE70B8"/>
    <w:rsid w:val="00CE723D"/>
    <w:rsid w:val="00CE72CC"/>
    <w:rsid w:val="00CE7320"/>
    <w:rsid w:val="00CE73D0"/>
    <w:rsid w:val="00CE74EA"/>
    <w:rsid w:val="00CE7556"/>
    <w:rsid w:val="00CE76D2"/>
    <w:rsid w:val="00CE7921"/>
    <w:rsid w:val="00CE7ABA"/>
    <w:rsid w:val="00CE7BBF"/>
    <w:rsid w:val="00CE7C10"/>
    <w:rsid w:val="00CF0085"/>
    <w:rsid w:val="00CF05EC"/>
    <w:rsid w:val="00CF0753"/>
    <w:rsid w:val="00CF083F"/>
    <w:rsid w:val="00CF0A0E"/>
    <w:rsid w:val="00CF0BFE"/>
    <w:rsid w:val="00CF0C4D"/>
    <w:rsid w:val="00CF0ED6"/>
    <w:rsid w:val="00CF0FFA"/>
    <w:rsid w:val="00CF1248"/>
    <w:rsid w:val="00CF13A7"/>
    <w:rsid w:val="00CF16BB"/>
    <w:rsid w:val="00CF170D"/>
    <w:rsid w:val="00CF189B"/>
    <w:rsid w:val="00CF19EA"/>
    <w:rsid w:val="00CF1E25"/>
    <w:rsid w:val="00CF1FD4"/>
    <w:rsid w:val="00CF21F1"/>
    <w:rsid w:val="00CF2435"/>
    <w:rsid w:val="00CF259F"/>
    <w:rsid w:val="00CF272C"/>
    <w:rsid w:val="00CF2991"/>
    <w:rsid w:val="00CF29E7"/>
    <w:rsid w:val="00CF2B05"/>
    <w:rsid w:val="00CF2C6E"/>
    <w:rsid w:val="00CF2F95"/>
    <w:rsid w:val="00CF32CA"/>
    <w:rsid w:val="00CF3344"/>
    <w:rsid w:val="00CF33C0"/>
    <w:rsid w:val="00CF34C5"/>
    <w:rsid w:val="00CF3560"/>
    <w:rsid w:val="00CF3589"/>
    <w:rsid w:val="00CF35EE"/>
    <w:rsid w:val="00CF369B"/>
    <w:rsid w:val="00CF369D"/>
    <w:rsid w:val="00CF36A1"/>
    <w:rsid w:val="00CF3892"/>
    <w:rsid w:val="00CF38C9"/>
    <w:rsid w:val="00CF395D"/>
    <w:rsid w:val="00CF3D83"/>
    <w:rsid w:val="00CF3DBB"/>
    <w:rsid w:val="00CF3E1A"/>
    <w:rsid w:val="00CF3E8E"/>
    <w:rsid w:val="00CF3EF5"/>
    <w:rsid w:val="00CF3FA8"/>
    <w:rsid w:val="00CF437D"/>
    <w:rsid w:val="00CF4425"/>
    <w:rsid w:val="00CF4518"/>
    <w:rsid w:val="00CF453A"/>
    <w:rsid w:val="00CF4AB0"/>
    <w:rsid w:val="00CF4C15"/>
    <w:rsid w:val="00CF4ED9"/>
    <w:rsid w:val="00CF50E0"/>
    <w:rsid w:val="00CF5570"/>
    <w:rsid w:val="00CF59CC"/>
    <w:rsid w:val="00CF5A25"/>
    <w:rsid w:val="00CF5A26"/>
    <w:rsid w:val="00CF5C85"/>
    <w:rsid w:val="00CF5E1D"/>
    <w:rsid w:val="00CF5F4C"/>
    <w:rsid w:val="00CF6091"/>
    <w:rsid w:val="00CF6134"/>
    <w:rsid w:val="00CF61E9"/>
    <w:rsid w:val="00CF6353"/>
    <w:rsid w:val="00CF6368"/>
    <w:rsid w:val="00CF66BC"/>
    <w:rsid w:val="00CF67C0"/>
    <w:rsid w:val="00CF6DEA"/>
    <w:rsid w:val="00CF6EC5"/>
    <w:rsid w:val="00CF6EDC"/>
    <w:rsid w:val="00CF6F87"/>
    <w:rsid w:val="00CF6FCD"/>
    <w:rsid w:val="00CF6FD8"/>
    <w:rsid w:val="00CF72F7"/>
    <w:rsid w:val="00CF72FD"/>
    <w:rsid w:val="00CF7B05"/>
    <w:rsid w:val="00CF7C57"/>
    <w:rsid w:val="00CF7C5F"/>
    <w:rsid w:val="00CF7D7A"/>
    <w:rsid w:val="00D00032"/>
    <w:rsid w:val="00D0006E"/>
    <w:rsid w:val="00D00116"/>
    <w:rsid w:val="00D00136"/>
    <w:rsid w:val="00D006F5"/>
    <w:rsid w:val="00D0073F"/>
    <w:rsid w:val="00D007E0"/>
    <w:rsid w:val="00D008FF"/>
    <w:rsid w:val="00D00E28"/>
    <w:rsid w:val="00D00F05"/>
    <w:rsid w:val="00D00FFF"/>
    <w:rsid w:val="00D0104A"/>
    <w:rsid w:val="00D013AF"/>
    <w:rsid w:val="00D014A9"/>
    <w:rsid w:val="00D0151C"/>
    <w:rsid w:val="00D019A5"/>
    <w:rsid w:val="00D019B1"/>
    <w:rsid w:val="00D01AA8"/>
    <w:rsid w:val="00D01B75"/>
    <w:rsid w:val="00D01EA5"/>
    <w:rsid w:val="00D01FBD"/>
    <w:rsid w:val="00D0225B"/>
    <w:rsid w:val="00D02383"/>
    <w:rsid w:val="00D02572"/>
    <w:rsid w:val="00D025CB"/>
    <w:rsid w:val="00D0265B"/>
    <w:rsid w:val="00D0269E"/>
    <w:rsid w:val="00D026CD"/>
    <w:rsid w:val="00D02854"/>
    <w:rsid w:val="00D02D6A"/>
    <w:rsid w:val="00D02EF8"/>
    <w:rsid w:val="00D02FA3"/>
    <w:rsid w:val="00D032C8"/>
    <w:rsid w:val="00D033AB"/>
    <w:rsid w:val="00D03462"/>
    <w:rsid w:val="00D035FD"/>
    <w:rsid w:val="00D03798"/>
    <w:rsid w:val="00D03E07"/>
    <w:rsid w:val="00D03F0C"/>
    <w:rsid w:val="00D03F6C"/>
    <w:rsid w:val="00D04130"/>
    <w:rsid w:val="00D04147"/>
    <w:rsid w:val="00D04450"/>
    <w:rsid w:val="00D0450F"/>
    <w:rsid w:val="00D046C0"/>
    <w:rsid w:val="00D0488E"/>
    <w:rsid w:val="00D04C58"/>
    <w:rsid w:val="00D04E46"/>
    <w:rsid w:val="00D05179"/>
    <w:rsid w:val="00D05365"/>
    <w:rsid w:val="00D05543"/>
    <w:rsid w:val="00D058C5"/>
    <w:rsid w:val="00D0599F"/>
    <w:rsid w:val="00D059EE"/>
    <w:rsid w:val="00D05D29"/>
    <w:rsid w:val="00D05D6C"/>
    <w:rsid w:val="00D05F2E"/>
    <w:rsid w:val="00D062EC"/>
    <w:rsid w:val="00D066F5"/>
    <w:rsid w:val="00D0675E"/>
    <w:rsid w:val="00D06947"/>
    <w:rsid w:val="00D069FA"/>
    <w:rsid w:val="00D06AA0"/>
    <w:rsid w:val="00D06BCA"/>
    <w:rsid w:val="00D06DEF"/>
    <w:rsid w:val="00D06E3C"/>
    <w:rsid w:val="00D075B4"/>
    <w:rsid w:val="00D07611"/>
    <w:rsid w:val="00D0770F"/>
    <w:rsid w:val="00D0784C"/>
    <w:rsid w:val="00D07C86"/>
    <w:rsid w:val="00D07F3F"/>
    <w:rsid w:val="00D07FD9"/>
    <w:rsid w:val="00D10373"/>
    <w:rsid w:val="00D10399"/>
    <w:rsid w:val="00D10468"/>
    <w:rsid w:val="00D1069D"/>
    <w:rsid w:val="00D10998"/>
    <w:rsid w:val="00D10D6E"/>
    <w:rsid w:val="00D10F93"/>
    <w:rsid w:val="00D11027"/>
    <w:rsid w:val="00D110A8"/>
    <w:rsid w:val="00D11271"/>
    <w:rsid w:val="00D112F2"/>
    <w:rsid w:val="00D1186A"/>
    <w:rsid w:val="00D11A95"/>
    <w:rsid w:val="00D11B56"/>
    <w:rsid w:val="00D11D49"/>
    <w:rsid w:val="00D11E8C"/>
    <w:rsid w:val="00D122C0"/>
    <w:rsid w:val="00D12395"/>
    <w:rsid w:val="00D12632"/>
    <w:rsid w:val="00D12807"/>
    <w:rsid w:val="00D12BCD"/>
    <w:rsid w:val="00D12D8E"/>
    <w:rsid w:val="00D12F0F"/>
    <w:rsid w:val="00D13044"/>
    <w:rsid w:val="00D13135"/>
    <w:rsid w:val="00D132E8"/>
    <w:rsid w:val="00D134CD"/>
    <w:rsid w:val="00D134D1"/>
    <w:rsid w:val="00D13966"/>
    <w:rsid w:val="00D13C4B"/>
    <w:rsid w:val="00D13D47"/>
    <w:rsid w:val="00D13F03"/>
    <w:rsid w:val="00D13F3E"/>
    <w:rsid w:val="00D13F6F"/>
    <w:rsid w:val="00D142C9"/>
    <w:rsid w:val="00D14327"/>
    <w:rsid w:val="00D14712"/>
    <w:rsid w:val="00D1485D"/>
    <w:rsid w:val="00D148CC"/>
    <w:rsid w:val="00D14A39"/>
    <w:rsid w:val="00D14A9A"/>
    <w:rsid w:val="00D14E97"/>
    <w:rsid w:val="00D14FA3"/>
    <w:rsid w:val="00D15119"/>
    <w:rsid w:val="00D1524B"/>
    <w:rsid w:val="00D155E5"/>
    <w:rsid w:val="00D15629"/>
    <w:rsid w:val="00D1564E"/>
    <w:rsid w:val="00D1571F"/>
    <w:rsid w:val="00D15810"/>
    <w:rsid w:val="00D15881"/>
    <w:rsid w:val="00D15AD6"/>
    <w:rsid w:val="00D15C87"/>
    <w:rsid w:val="00D15E24"/>
    <w:rsid w:val="00D15E43"/>
    <w:rsid w:val="00D15E88"/>
    <w:rsid w:val="00D15FAA"/>
    <w:rsid w:val="00D16133"/>
    <w:rsid w:val="00D16677"/>
    <w:rsid w:val="00D16695"/>
    <w:rsid w:val="00D16928"/>
    <w:rsid w:val="00D16B67"/>
    <w:rsid w:val="00D16CF0"/>
    <w:rsid w:val="00D16D4E"/>
    <w:rsid w:val="00D16FE3"/>
    <w:rsid w:val="00D17024"/>
    <w:rsid w:val="00D170E8"/>
    <w:rsid w:val="00D175C3"/>
    <w:rsid w:val="00D1787B"/>
    <w:rsid w:val="00D17BC5"/>
    <w:rsid w:val="00D17BFD"/>
    <w:rsid w:val="00D17C15"/>
    <w:rsid w:val="00D17CAD"/>
    <w:rsid w:val="00D17FE4"/>
    <w:rsid w:val="00D20048"/>
    <w:rsid w:val="00D20260"/>
    <w:rsid w:val="00D20709"/>
    <w:rsid w:val="00D2071A"/>
    <w:rsid w:val="00D2080B"/>
    <w:rsid w:val="00D20862"/>
    <w:rsid w:val="00D2097B"/>
    <w:rsid w:val="00D20A74"/>
    <w:rsid w:val="00D20DBC"/>
    <w:rsid w:val="00D20E6D"/>
    <w:rsid w:val="00D2109E"/>
    <w:rsid w:val="00D212B4"/>
    <w:rsid w:val="00D21451"/>
    <w:rsid w:val="00D21DA6"/>
    <w:rsid w:val="00D22238"/>
    <w:rsid w:val="00D225A9"/>
    <w:rsid w:val="00D22775"/>
    <w:rsid w:val="00D2295E"/>
    <w:rsid w:val="00D22CE4"/>
    <w:rsid w:val="00D22D8F"/>
    <w:rsid w:val="00D22D90"/>
    <w:rsid w:val="00D22DBE"/>
    <w:rsid w:val="00D22FE8"/>
    <w:rsid w:val="00D23181"/>
    <w:rsid w:val="00D23239"/>
    <w:rsid w:val="00D234CA"/>
    <w:rsid w:val="00D2388C"/>
    <w:rsid w:val="00D239F7"/>
    <w:rsid w:val="00D23AF0"/>
    <w:rsid w:val="00D23C06"/>
    <w:rsid w:val="00D23CB7"/>
    <w:rsid w:val="00D23F85"/>
    <w:rsid w:val="00D240B5"/>
    <w:rsid w:val="00D24183"/>
    <w:rsid w:val="00D241AC"/>
    <w:rsid w:val="00D24526"/>
    <w:rsid w:val="00D24869"/>
    <w:rsid w:val="00D24A22"/>
    <w:rsid w:val="00D24ACE"/>
    <w:rsid w:val="00D24B03"/>
    <w:rsid w:val="00D24F86"/>
    <w:rsid w:val="00D24FF0"/>
    <w:rsid w:val="00D2517E"/>
    <w:rsid w:val="00D2562F"/>
    <w:rsid w:val="00D25669"/>
    <w:rsid w:val="00D25713"/>
    <w:rsid w:val="00D258E8"/>
    <w:rsid w:val="00D25DD9"/>
    <w:rsid w:val="00D25E91"/>
    <w:rsid w:val="00D26447"/>
    <w:rsid w:val="00D268B6"/>
    <w:rsid w:val="00D268DF"/>
    <w:rsid w:val="00D26939"/>
    <w:rsid w:val="00D2695F"/>
    <w:rsid w:val="00D26A05"/>
    <w:rsid w:val="00D26B78"/>
    <w:rsid w:val="00D26B80"/>
    <w:rsid w:val="00D26C7A"/>
    <w:rsid w:val="00D272E6"/>
    <w:rsid w:val="00D27385"/>
    <w:rsid w:val="00D273CA"/>
    <w:rsid w:val="00D27534"/>
    <w:rsid w:val="00D2771F"/>
    <w:rsid w:val="00D27903"/>
    <w:rsid w:val="00D27BB2"/>
    <w:rsid w:val="00D27BBF"/>
    <w:rsid w:val="00D27CA1"/>
    <w:rsid w:val="00D27DE1"/>
    <w:rsid w:val="00D27F41"/>
    <w:rsid w:val="00D3029A"/>
    <w:rsid w:val="00D30AF8"/>
    <w:rsid w:val="00D30C17"/>
    <w:rsid w:val="00D31048"/>
    <w:rsid w:val="00D3128C"/>
    <w:rsid w:val="00D31826"/>
    <w:rsid w:val="00D3189E"/>
    <w:rsid w:val="00D31A39"/>
    <w:rsid w:val="00D31BA7"/>
    <w:rsid w:val="00D31C5F"/>
    <w:rsid w:val="00D31D24"/>
    <w:rsid w:val="00D32092"/>
    <w:rsid w:val="00D321B6"/>
    <w:rsid w:val="00D321BF"/>
    <w:rsid w:val="00D322CA"/>
    <w:rsid w:val="00D3271B"/>
    <w:rsid w:val="00D327D4"/>
    <w:rsid w:val="00D327D6"/>
    <w:rsid w:val="00D32922"/>
    <w:rsid w:val="00D32C2F"/>
    <w:rsid w:val="00D3302E"/>
    <w:rsid w:val="00D3308F"/>
    <w:rsid w:val="00D331BD"/>
    <w:rsid w:val="00D331C4"/>
    <w:rsid w:val="00D3322A"/>
    <w:rsid w:val="00D332C8"/>
    <w:rsid w:val="00D33375"/>
    <w:rsid w:val="00D335C9"/>
    <w:rsid w:val="00D3382F"/>
    <w:rsid w:val="00D33940"/>
    <w:rsid w:val="00D33CD9"/>
    <w:rsid w:val="00D33D1A"/>
    <w:rsid w:val="00D33EEE"/>
    <w:rsid w:val="00D34364"/>
    <w:rsid w:val="00D34563"/>
    <w:rsid w:val="00D3486E"/>
    <w:rsid w:val="00D34A8B"/>
    <w:rsid w:val="00D34C3E"/>
    <w:rsid w:val="00D34D9E"/>
    <w:rsid w:val="00D34DE4"/>
    <w:rsid w:val="00D34DFA"/>
    <w:rsid w:val="00D34DFB"/>
    <w:rsid w:val="00D35089"/>
    <w:rsid w:val="00D356C2"/>
    <w:rsid w:val="00D357AE"/>
    <w:rsid w:val="00D359B0"/>
    <w:rsid w:val="00D359BE"/>
    <w:rsid w:val="00D35C53"/>
    <w:rsid w:val="00D35E58"/>
    <w:rsid w:val="00D35E73"/>
    <w:rsid w:val="00D35F09"/>
    <w:rsid w:val="00D35F71"/>
    <w:rsid w:val="00D35F92"/>
    <w:rsid w:val="00D3601F"/>
    <w:rsid w:val="00D36106"/>
    <w:rsid w:val="00D36441"/>
    <w:rsid w:val="00D36612"/>
    <w:rsid w:val="00D366AA"/>
    <w:rsid w:val="00D3673D"/>
    <w:rsid w:val="00D368BF"/>
    <w:rsid w:val="00D3691E"/>
    <w:rsid w:val="00D36B7B"/>
    <w:rsid w:val="00D36BCD"/>
    <w:rsid w:val="00D370FF"/>
    <w:rsid w:val="00D37165"/>
    <w:rsid w:val="00D371B7"/>
    <w:rsid w:val="00D372E7"/>
    <w:rsid w:val="00D37552"/>
    <w:rsid w:val="00D378C9"/>
    <w:rsid w:val="00D37CAB"/>
    <w:rsid w:val="00D40167"/>
    <w:rsid w:val="00D4025B"/>
    <w:rsid w:val="00D40484"/>
    <w:rsid w:val="00D4050C"/>
    <w:rsid w:val="00D4051B"/>
    <w:rsid w:val="00D4064E"/>
    <w:rsid w:val="00D406E8"/>
    <w:rsid w:val="00D409ED"/>
    <w:rsid w:val="00D40C5C"/>
    <w:rsid w:val="00D41018"/>
    <w:rsid w:val="00D41264"/>
    <w:rsid w:val="00D412BD"/>
    <w:rsid w:val="00D4133A"/>
    <w:rsid w:val="00D41347"/>
    <w:rsid w:val="00D4164B"/>
    <w:rsid w:val="00D41ACD"/>
    <w:rsid w:val="00D41B76"/>
    <w:rsid w:val="00D41CD1"/>
    <w:rsid w:val="00D41D24"/>
    <w:rsid w:val="00D41FE6"/>
    <w:rsid w:val="00D423DB"/>
    <w:rsid w:val="00D4247F"/>
    <w:rsid w:val="00D424C2"/>
    <w:rsid w:val="00D42626"/>
    <w:rsid w:val="00D429C1"/>
    <w:rsid w:val="00D42A2B"/>
    <w:rsid w:val="00D42AE2"/>
    <w:rsid w:val="00D42B81"/>
    <w:rsid w:val="00D42D2A"/>
    <w:rsid w:val="00D42F1A"/>
    <w:rsid w:val="00D42F3E"/>
    <w:rsid w:val="00D42F5D"/>
    <w:rsid w:val="00D4310C"/>
    <w:rsid w:val="00D43155"/>
    <w:rsid w:val="00D431CF"/>
    <w:rsid w:val="00D43324"/>
    <w:rsid w:val="00D43534"/>
    <w:rsid w:val="00D43641"/>
    <w:rsid w:val="00D43AC7"/>
    <w:rsid w:val="00D43B4E"/>
    <w:rsid w:val="00D43DFA"/>
    <w:rsid w:val="00D43F3C"/>
    <w:rsid w:val="00D44073"/>
    <w:rsid w:val="00D4425E"/>
    <w:rsid w:val="00D443C7"/>
    <w:rsid w:val="00D4443F"/>
    <w:rsid w:val="00D445F5"/>
    <w:rsid w:val="00D44793"/>
    <w:rsid w:val="00D44A51"/>
    <w:rsid w:val="00D44D70"/>
    <w:rsid w:val="00D44E9B"/>
    <w:rsid w:val="00D450D4"/>
    <w:rsid w:val="00D450F3"/>
    <w:rsid w:val="00D45165"/>
    <w:rsid w:val="00D4521D"/>
    <w:rsid w:val="00D452F8"/>
    <w:rsid w:val="00D45643"/>
    <w:rsid w:val="00D45698"/>
    <w:rsid w:val="00D45A43"/>
    <w:rsid w:val="00D45D8C"/>
    <w:rsid w:val="00D45F8D"/>
    <w:rsid w:val="00D464B0"/>
    <w:rsid w:val="00D46735"/>
    <w:rsid w:val="00D4673A"/>
    <w:rsid w:val="00D467BD"/>
    <w:rsid w:val="00D468A4"/>
    <w:rsid w:val="00D46930"/>
    <w:rsid w:val="00D4699D"/>
    <w:rsid w:val="00D46B27"/>
    <w:rsid w:val="00D46CB9"/>
    <w:rsid w:val="00D46E6C"/>
    <w:rsid w:val="00D46F41"/>
    <w:rsid w:val="00D47183"/>
    <w:rsid w:val="00D47266"/>
    <w:rsid w:val="00D47380"/>
    <w:rsid w:val="00D4741A"/>
    <w:rsid w:val="00D4763D"/>
    <w:rsid w:val="00D47743"/>
    <w:rsid w:val="00D47A7F"/>
    <w:rsid w:val="00D47AEB"/>
    <w:rsid w:val="00D47B67"/>
    <w:rsid w:val="00D47C54"/>
    <w:rsid w:val="00D47D58"/>
    <w:rsid w:val="00D47ED1"/>
    <w:rsid w:val="00D47F26"/>
    <w:rsid w:val="00D50070"/>
    <w:rsid w:val="00D5009F"/>
    <w:rsid w:val="00D501EF"/>
    <w:rsid w:val="00D50290"/>
    <w:rsid w:val="00D50629"/>
    <w:rsid w:val="00D508DC"/>
    <w:rsid w:val="00D509A0"/>
    <w:rsid w:val="00D50A00"/>
    <w:rsid w:val="00D50AA1"/>
    <w:rsid w:val="00D50B1D"/>
    <w:rsid w:val="00D50BC7"/>
    <w:rsid w:val="00D50DB9"/>
    <w:rsid w:val="00D50DD1"/>
    <w:rsid w:val="00D51259"/>
    <w:rsid w:val="00D51302"/>
    <w:rsid w:val="00D5131B"/>
    <w:rsid w:val="00D513A1"/>
    <w:rsid w:val="00D51549"/>
    <w:rsid w:val="00D51909"/>
    <w:rsid w:val="00D51AF9"/>
    <w:rsid w:val="00D51B67"/>
    <w:rsid w:val="00D51CD7"/>
    <w:rsid w:val="00D52213"/>
    <w:rsid w:val="00D522E0"/>
    <w:rsid w:val="00D522E9"/>
    <w:rsid w:val="00D52365"/>
    <w:rsid w:val="00D524B5"/>
    <w:rsid w:val="00D52589"/>
    <w:rsid w:val="00D52837"/>
    <w:rsid w:val="00D528FD"/>
    <w:rsid w:val="00D52C43"/>
    <w:rsid w:val="00D52CE7"/>
    <w:rsid w:val="00D52DA8"/>
    <w:rsid w:val="00D52DB5"/>
    <w:rsid w:val="00D5304F"/>
    <w:rsid w:val="00D530D0"/>
    <w:rsid w:val="00D530FD"/>
    <w:rsid w:val="00D5384E"/>
    <w:rsid w:val="00D53B1C"/>
    <w:rsid w:val="00D53BE8"/>
    <w:rsid w:val="00D53C52"/>
    <w:rsid w:val="00D540FD"/>
    <w:rsid w:val="00D54140"/>
    <w:rsid w:val="00D54555"/>
    <w:rsid w:val="00D549BD"/>
    <w:rsid w:val="00D54A95"/>
    <w:rsid w:val="00D54C4F"/>
    <w:rsid w:val="00D54E31"/>
    <w:rsid w:val="00D5502F"/>
    <w:rsid w:val="00D5508D"/>
    <w:rsid w:val="00D552C5"/>
    <w:rsid w:val="00D553DC"/>
    <w:rsid w:val="00D555C4"/>
    <w:rsid w:val="00D5563B"/>
    <w:rsid w:val="00D556DC"/>
    <w:rsid w:val="00D558D4"/>
    <w:rsid w:val="00D5595A"/>
    <w:rsid w:val="00D55A80"/>
    <w:rsid w:val="00D55B55"/>
    <w:rsid w:val="00D55BF2"/>
    <w:rsid w:val="00D55CED"/>
    <w:rsid w:val="00D55D8D"/>
    <w:rsid w:val="00D56176"/>
    <w:rsid w:val="00D56186"/>
    <w:rsid w:val="00D56335"/>
    <w:rsid w:val="00D563C7"/>
    <w:rsid w:val="00D5659F"/>
    <w:rsid w:val="00D567A9"/>
    <w:rsid w:val="00D56826"/>
    <w:rsid w:val="00D56992"/>
    <w:rsid w:val="00D56A25"/>
    <w:rsid w:val="00D56A32"/>
    <w:rsid w:val="00D57248"/>
    <w:rsid w:val="00D57331"/>
    <w:rsid w:val="00D573A3"/>
    <w:rsid w:val="00D573B0"/>
    <w:rsid w:val="00D57BAD"/>
    <w:rsid w:val="00D57BC7"/>
    <w:rsid w:val="00D57C84"/>
    <w:rsid w:val="00D57CE5"/>
    <w:rsid w:val="00D57D2E"/>
    <w:rsid w:val="00D57DD7"/>
    <w:rsid w:val="00D57F58"/>
    <w:rsid w:val="00D60137"/>
    <w:rsid w:val="00D60281"/>
    <w:rsid w:val="00D60292"/>
    <w:rsid w:val="00D6050C"/>
    <w:rsid w:val="00D605C1"/>
    <w:rsid w:val="00D607D1"/>
    <w:rsid w:val="00D60892"/>
    <w:rsid w:val="00D6091D"/>
    <w:rsid w:val="00D60DAA"/>
    <w:rsid w:val="00D60DD4"/>
    <w:rsid w:val="00D60E3F"/>
    <w:rsid w:val="00D6102A"/>
    <w:rsid w:val="00D61243"/>
    <w:rsid w:val="00D61273"/>
    <w:rsid w:val="00D6175D"/>
    <w:rsid w:val="00D61994"/>
    <w:rsid w:val="00D619DB"/>
    <w:rsid w:val="00D61A6F"/>
    <w:rsid w:val="00D61A7F"/>
    <w:rsid w:val="00D61B33"/>
    <w:rsid w:val="00D61C3F"/>
    <w:rsid w:val="00D61D87"/>
    <w:rsid w:val="00D61E47"/>
    <w:rsid w:val="00D61EF2"/>
    <w:rsid w:val="00D61EF3"/>
    <w:rsid w:val="00D620C0"/>
    <w:rsid w:val="00D620CC"/>
    <w:rsid w:val="00D624D1"/>
    <w:rsid w:val="00D625B1"/>
    <w:rsid w:val="00D62942"/>
    <w:rsid w:val="00D62A3E"/>
    <w:rsid w:val="00D62D39"/>
    <w:rsid w:val="00D62DAF"/>
    <w:rsid w:val="00D62E0B"/>
    <w:rsid w:val="00D62E0D"/>
    <w:rsid w:val="00D62E1C"/>
    <w:rsid w:val="00D62E52"/>
    <w:rsid w:val="00D630A1"/>
    <w:rsid w:val="00D63189"/>
    <w:rsid w:val="00D63248"/>
    <w:rsid w:val="00D632A8"/>
    <w:rsid w:val="00D632C2"/>
    <w:rsid w:val="00D632ED"/>
    <w:rsid w:val="00D6346F"/>
    <w:rsid w:val="00D6356C"/>
    <w:rsid w:val="00D635DC"/>
    <w:rsid w:val="00D635F8"/>
    <w:rsid w:val="00D6383B"/>
    <w:rsid w:val="00D639DD"/>
    <w:rsid w:val="00D639E1"/>
    <w:rsid w:val="00D63A40"/>
    <w:rsid w:val="00D63AFE"/>
    <w:rsid w:val="00D63C9F"/>
    <w:rsid w:val="00D63D8C"/>
    <w:rsid w:val="00D63E58"/>
    <w:rsid w:val="00D63EAC"/>
    <w:rsid w:val="00D640B7"/>
    <w:rsid w:val="00D643B3"/>
    <w:rsid w:val="00D64572"/>
    <w:rsid w:val="00D647E3"/>
    <w:rsid w:val="00D64BA3"/>
    <w:rsid w:val="00D64CE1"/>
    <w:rsid w:val="00D64D0A"/>
    <w:rsid w:val="00D64F63"/>
    <w:rsid w:val="00D6507F"/>
    <w:rsid w:val="00D6517A"/>
    <w:rsid w:val="00D651E8"/>
    <w:rsid w:val="00D6526C"/>
    <w:rsid w:val="00D654E7"/>
    <w:rsid w:val="00D655A9"/>
    <w:rsid w:val="00D6573A"/>
    <w:rsid w:val="00D65801"/>
    <w:rsid w:val="00D658A8"/>
    <w:rsid w:val="00D65BFF"/>
    <w:rsid w:val="00D65C21"/>
    <w:rsid w:val="00D65F41"/>
    <w:rsid w:val="00D65FE2"/>
    <w:rsid w:val="00D66061"/>
    <w:rsid w:val="00D66132"/>
    <w:rsid w:val="00D665D7"/>
    <w:rsid w:val="00D66680"/>
    <w:rsid w:val="00D666FB"/>
    <w:rsid w:val="00D6685F"/>
    <w:rsid w:val="00D669D6"/>
    <w:rsid w:val="00D66CA5"/>
    <w:rsid w:val="00D66E21"/>
    <w:rsid w:val="00D66EBF"/>
    <w:rsid w:val="00D66F99"/>
    <w:rsid w:val="00D66FA6"/>
    <w:rsid w:val="00D67460"/>
    <w:rsid w:val="00D675B3"/>
    <w:rsid w:val="00D67652"/>
    <w:rsid w:val="00D6766F"/>
    <w:rsid w:val="00D676E9"/>
    <w:rsid w:val="00D67733"/>
    <w:rsid w:val="00D67890"/>
    <w:rsid w:val="00D67909"/>
    <w:rsid w:val="00D679DA"/>
    <w:rsid w:val="00D67A77"/>
    <w:rsid w:val="00D67B54"/>
    <w:rsid w:val="00D67BCB"/>
    <w:rsid w:val="00D67D80"/>
    <w:rsid w:val="00D67F76"/>
    <w:rsid w:val="00D703B6"/>
    <w:rsid w:val="00D7040F"/>
    <w:rsid w:val="00D70416"/>
    <w:rsid w:val="00D70622"/>
    <w:rsid w:val="00D707DC"/>
    <w:rsid w:val="00D70D16"/>
    <w:rsid w:val="00D70D5B"/>
    <w:rsid w:val="00D70DF3"/>
    <w:rsid w:val="00D70E26"/>
    <w:rsid w:val="00D71019"/>
    <w:rsid w:val="00D71475"/>
    <w:rsid w:val="00D71734"/>
    <w:rsid w:val="00D719F3"/>
    <w:rsid w:val="00D71CA3"/>
    <w:rsid w:val="00D71D6E"/>
    <w:rsid w:val="00D71E8B"/>
    <w:rsid w:val="00D72103"/>
    <w:rsid w:val="00D723F1"/>
    <w:rsid w:val="00D724B2"/>
    <w:rsid w:val="00D724F9"/>
    <w:rsid w:val="00D726E5"/>
    <w:rsid w:val="00D726FE"/>
    <w:rsid w:val="00D7277C"/>
    <w:rsid w:val="00D728E1"/>
    <w:rsid w:val="00D72C1D"/>
    <w:rsid w:val="00D72C8B"/>
    <w:rsid w:val="00D72FC3"/>
    <w:rsid w:val="00D730BC"/>
    <w:rsid w:val="00D733D6"/>
    <w:rsid w:val="00D73457"/>
    <w:rsid w:val="00D735F7"/>
    <w:rsid w:val="00D73871"/>
    <w:rsid w:val="00D73912"/>
    <w:rsid w:val="00D739FD"/>
    <w:rsid w:val="00D73C45"/>
    <w:rsid w:val="00D73CAE"/>
    <w:rsid w:val="00D73E09"/>
    <w:rsid w:val="00D73E5B"/>
    <w:rsid w:val="00D73FD4"/>
    <w:rsid w:val="00D74062"/>
    <w:rsid w:val="00D7416D"/>
    <w:rsid w:val="00D742A8"/>
    <w:rsid w:val="00D742C6"/>
    <w:rsid w:val="00D74312"/>
    <w:rsid w:val="00D7449C"/>
    <w:rsid w:val="00D7486A"/>
    <w:rsid w:val="00D7489F"/>
    <w:rsid w:val="00D74A09"/>
    <w:rsid w:val="00D74A0F"/>
    <w:rsid w:val="00D74E01"/>
    <w:rsid w:val="00D7517A"/>
    <w:rsid w:val="00D752A9"/>
    <w:rsid w:val="00D7568D"/>
    <w:rsid w:val="00D756D7"/>
    <w:rsid w:val="00D75813"/>
    <w:rsid w:val="00D758C3"/>
    <w:rsid w:val="00D75DEF"/>
    <w:rsid w:val="00D75E9D"/>
    <w:rsid w:val="00D75ECE"/>
    <w:rsid w:val="00D75F9C"/>
    <w:rsid w:val="00D76056"/>
    <w:rsid w:val="00D761FF"/>
    <w:rsid w:val="00D765A9"/>
    <w:rsid w:val="00D7670D"/>
    <w:rsid w:val="00D7686E"/>
    <w:rsid w:val="00D769DC"/>
    <w:rsid w:val="00D76C8F"/>
    <w:rsid w:val="00D76CF3"/>
    <w:rsid w:val="00D76DC9"/>
    <w:rsid w:val="00D771A1"/>
    <w:rsid w:val="00D77516"/>
    <w:rsid w:val="00D77583"/>
    <w:rsid w:val="00D776B4"/>
    <w:rsid w:val="00D776C0"/>
    <w:rsid w:val="00D7777D"/>
    <w:rsid w:val="00D777A9"/>
    <w:rsid w:val="00D77A23"/>
    <w:rsid w:val="00D77A9C"/>
    <w:rsid w:val="00D77C11"/>
    <w:rsid w:val="00D77CE2"/>
    <w:rsid w:val="00D77EDC"/>
    <w:rsid w:val="00D77F52"/>
    <w:rsid w:val="00D8002F"/>
    <w:rsid w:val="00D8015E"/>
    <w:rsid w:val="00D803FB"/>
    <w:rsid w:val="00D8043D"/>
    <w:rsid w:val="00D8044C"/>
    <w:rsid w:val="00D805F5"/>
    <w:rsid w:val="00D8062B"/>
    <w:rsid w:val="00D80756"/>
    <w:rsid w:val="00D8098A"/>
    <w:rsid w:val="00D80A26"/>
    <w:rsid w:val="00D80CBB"/>
    <w:rsid w:val="00D80CEA"/>
    <w:rsid w:val="00D80DF9"/>
    <w:rsid w:val="00D80EE5"/>
    <w:rsid w:val="00D810DA"/>
    <w:rsid w:val="00D81182"/>
    <w:rsid w:val="00D8123A"/>
    <w:rsid w:val="00D816A2"/>
    <w:rsid w:val="00D817DF"/>
    <w:rsid w:val="00D8180D"/>
    <w:rsid w:val="00D818D5"/>
    <w:rsid w:val="00D819D6"/>
    <w:rsid w:val="00D819E9"/>
    <w:rsid w:val="00D819F2"/>
    <w:rsid w:val="00D819FD"/>
    <w:rsid w:val="00D81A4C"/>
    <w:rsid w:val="00D81BD7"/>
    <w:rsid w:val="00D81D17"/>
    <w:rsid w:val="00D81EFF"/>
    <w:rsid w:val="00D82050"/>
    <w:rsid w:val="00D820EC"/>
    <w:rsid w:val="00D8249D"/>
    <w:rsid w:val="00D82885"/>
    <w:rsid w:val="00D828CF"/>
    <w:rsid w:val="00D82ACF"/>
    <w:rsid w:val="00D82B06"/>
    <w:rsid w:val="00D82B41"/>
    <w:rsid w:val="00D82DEF"/>
    <w:rsid w:val="00D82EE0"/>
    <w:rsid w:val="00D82F3F"/>
    <w:rsid w:val="00D82FF2"/>
    <w:rsid w:val="00D83086"/>
    <w:rsid w:val="00D83133"/>
    <w:rsid w:val="00D83394"/>
    <w:rsid w:val="00D83494"/>
    <w:rsid w:val="00D83560"/>
    <w:rsid w:val="00D836A0"/>
    <w:rsid w:val="00D83773"/>
    <w:rsid w:val="00D83C92"/>
    <w:rsid w:val="00D83DF5"/>
    <w:rsid w:val="00D83EB9"/>
    <w:rsid w:val="00D848E7"/>
    <w:rsid w:val="00D84ECB"/>
    <w:rsid w:val="00D84FD7"/>
    <w:rsid w:val="00D850EF"/>
    <w:rsid w:val="00D85226"/>
    <w:rsid w:val="00D8522B"/>
    <w:rsid w:val="00D8523D"/>
    <w:rsid w:val="00D853CE"/>
    <w:rsid w:val="00D85543"/>
    <w:rsid w:val="00D8559A"/>
    <w:rsid w:val="00D856DB"/>
    <w:rsid w:val="00D85AAC"/>
    <w:rsid w:val="00D85C90"/>
    <w:rsid w:val="00D85D4E"/>
    <w:rsid w:val="00D85D93"/>
    <w:rsid w:val="00D85DFD"/>
    <w:rsid w:val="00D85F89"/>
    <w:rsid w:val="00D8624A"/>
    <w:rsid w:val="00D863B8"/>
    <w:rsid w:val="00D863CA"/>
    <w:rsid w:val="00D86472"/>
    <w:rsid w:val="00D86555"/>
    <w:rsid w:val="00D86637"/>
    <w:rsid w:val="00D868A6"/>
    <w:rsid w:val="00D868B1"/>
    <w:rsid w:val="00D86932"/>
    <w:rsid w:val="00D86AC4"/>
    <w:rsid w:val="00D86FA0"/>
    <w:rsid w:val="00D86FC6"/>
    <w:rsid w:val="00D8739F"/>
    <w:rsid w:val="00D87468"/>
    <w:rsid w:val="00D8759C"/>
    <w:rsid w:val="00D87704"/>
    <w:rsid w:val="00D87B94"/>
    <w:rsid w:val="00D87DBD"/>
    <w:rsid w:val="00D87EF5"/>
    <w:rsid w:val="00D9022C"/>
    <w:rsid w:val="00D9041D"/>
    <w:rsid w:val="00D90468"/>
    <w:rsid w:val="00D9063E"/>
    <w:rsid w:val="00D90797"/>
    <w:rsid w:val="00D908F3"/>
    <w:rsid w:val="00D90E50"/>
    <w:rsid w:val="00D90ED9"/>
    <w:rsid w:val="00D9101F"/>
    <w:rsid w:val="00D916DC"/>
    <w:rsid w:val="00D917B7"/>
    <w:rsid w:val="00D91A7A"/>
    <w:rsid w:val="00D91AA3"/>
    <w:rsid w:val="00D91D0C"/>
    <w:rsid w:val="00D91D24"/>
    <w:rsid w:val="00D91DFA"/>
    <w:rsid w:val="00D91E0F"/>
    <w:rsid w:val="00D91F5A"/>
    <w:rsid w:val="00D9237A"/>
    <w:rsid w:val="00D9242B"/>
    <w:rsid w:val="00D9244C"/>
    <w:rsid w:val="00D924B1"/>
    <w:rsid w:val="00D925BD"/>
    <w:rsid w:val="00D92715"/>
    <w:rsid w:val="00D927EB"/>
    <w:rsid w:val="00D92963"/>
    <w:rsid w:val="00D929FC"/>
    <w:rsid w:val="00D92A90"/>
    <w:rsid w:val="00D92D49"/>
    <w:rsid w:val="00D92E7C"/>
    <w:rsid w:val="00D92E97"/>
    <w:rsid w:val="00D92EC1"/>
    <w:rsid w:val="00D92EF1"/>
    <w:rsid w:val="00D92F01"/>
    <w:rsid w:val="00D930D9"/>
    <w:rsid w:val="00D932DA"/>
    <w:rsid w:val="00D9359F"/>
    <w:rsid w:val="00D939E8"/>
    <w:rsid w:val="00D93C37"/>
    <w:rsid w:val="00D93EBB"/>
    <w:rsid w:val="00D9412C"/>
    <w:rsid w:val="00D943E4"/>
    <w:rsid w:val="00D94429"/>
    <w:rsid w:val="00D944C3"/>
    <w:rsid w:val="00D94677"/>
    <w:rsid w:val="00D948AF"/>
    <w:rsid w:val="00D94DE4"/>
    <w:rsid w:val="00D94F67"/>
    <w:rsid w:val="00D94FDD"/>
    <w:rsid w:val="00D95AD4"/>
    <w:rsid w:val="00D95BE4"/>
    <w:rsid w:val="00D95CED"/>
    <w:rsid w:val="00D95E07"/>
    <w:rsid w:val="00D96080"/>
    <w:rsid w:val="00D9609F"/>
    <w:rsid w:val="00D9628D"/>
    <w:rsid w:val="00D965A0"/>
    <w:rsid w:val="00D966C9"/>
    <w:rsid w:val="00D96A24"/>
    <w:rsid w:val="00D96DC1"/>
    <w:rsid w:val="00D96DEA"/>
    <w:rsid w:val="00D96E0C"/>
    <w:rsid w:val="00D971CE"/>
    <w:rsid w:val="00D9732B"/>
    <w:rsid w:val="00D973D8"/>
    <w:rsid w:val="00D97401"/>
    <w:rsid w:val="00D976DA"/>
    <w:rsid w:val="00D97720"/>
    <w:rsid w:val="00D97842"/>
    <w:rsid w:val="00D978CD"/>
    <w:rsid w:val="00D97AC5"/>
    <w:rsid w:val="00D97F65"/>
    <w:rsid w:val="00D97F7A"/>
    <w:rsid w:val="00DA03E8"/>
    <w:rsid w:val="00DA05A1"/>
    <w:rsid w:val="00DA09E5"/>
    <w:rsid w:val="00DA0B87"/>
    <w:rsid w:val="00DA0FB4"/>
    <w:rsid w:val="00DA10AF"/>
    <w:rsid w:val="00DA1125"/>
    <w:rsid w:val="00DA1710"/>
    <w:rsid w:val="00DA1782"/>
    <w:rsid w:val="00DA1B9E"/>
    <w:rsid w:val="00DA1E0A"/>
    <w:rsid w:val="00DA1F56"/>
    <w:rsid w:val="00DA1F75"/>
    <w:rsid w:val="00DA204D"/>
    <w:rsid w:val="00DA217E"/>
    <w:rsid w:val="00DA2302"/>
    <w:rsid w:val="00DA24AC"/>
    <w:rsid w:val="00DA24E9"/>
    <w:rsid w:val="00DA254E"/>
    <w:rsid w:val="00DA266B"/>
    <w:rsid w:val="00DA2693"/>
    <w:rsid w:val="00DA29BA"/>
    <w:rsid w:val="00DA2C56"/>
    <w:rsid w:val="00DA2CCF"/>
    <w:rsid w:val="00DA2ECF"/>
    <w:rsid w:val="00DA3182"/>
    <w:rsid w:val="00DA32BE"/>
    <w:rsid w:val="00DA32FD"/>
    <w:rsid w:val="00DA3350"/>
    <w:rsid w:val="00DA33B9"/>
    <w:rsid w:val="00DA3494"/>
    <w:rsid w:val="00DA3537"/>
    <w:rsid w:val="00DA3756"/>
    <w:rsid w:val="00DA38FB"/>
    <w:rsid w:val="00DA3A24"/>
    <w:rsid w:val="00DA3DAF"/>
    <w:rsid w:val="00DA4393"/>
    <w:rsid w:val="00DA4549"/>
    <w:rsid w:val="00DA491C"/>
    <w:rsid w:val="00DA49AE"/>
    <w:rsid w:val="00DA4D2E"/>
    <w:rsid w:val="00DA4DF8"/>
    <w:rsid w:val="00DA4E41"/>
    <w:rsid w:val="00DA50D4"/>
    <w:rsid w:val="00DA5266"/>
    <w:rsid w:val="00DA5430"/>
    <w:rsid w:val="00DA545B"/>
    <w:rsid w:val="00DA545C"/>
    <w:rsid w:val="00DA546E"/>
    <w:rsid w:val="00DA5826"/>
    <w:rsid w:val="00DA5922"/>
    <w:rsid w:val="00DA5AAA"/>
    <w:rsid w:val="00DA5F56"/>
    <w:rsid w:val="00DA604E"/>
    <w:rsid w:val="00DA6127"/>
    <w:rsid w:val="00DA6201"/>
    <w:rsid w:val="00DA626E"/>
    <w:rsid w:val="00DA62D0"/>
    <w:rsid w:val="00DA6503"/>
    <w:rsid w:val="00DA65CD"/>
    <w:rsid w:val="00DA661B"/>
    <w:rsid w:val="00DA6ACA"/>
    <w:rsid w:val="00DA6D1E"/>
    <w:rsid w:val="00DA6D8D"/>
    <w:rsid w:val="00DA7160"/>
    <w:rsid w:val="00DA7237"/>
    <w:rsid w:val="00DA72B7"/>
    <w:rsid w:val="00DA798E"/>
    <w:rsid w:val="00DA79B8"/>
    <w:rsid w:val="00DA7B0C"/>
    <w:rsid w:val="00DA7B1C"/>
    <w:rsid w:val="00DA7B66"/>
    <w:rsid w:val="00DA7E6E"/>
    <w:rsid w:val="00DA7FEA"/>
    <w:rsid w:val="00DB0123"/>
    <w:rsid w:val="00DB023C"/>
    <w:rsid w:val="00DB0382"/>
    <w:rsid w:val="00DB0480"/>
    <w:rsid w:val="00DB053F"/>
    <w:rsid w:val="00DB0542"/>
    <w:rsid w:val="00DB05AF"/>
    <w:rsid w:val="00DB0655"/>
    <w:rsid w:val="00DB06EA"/>
    <w:rsid w:val="00DB072B"/>
    <w:rsid w:val="00DB0D59"/>
    <w:rsid w:val="00DB0F1A"/>
    <w:rsid w:val="00DB117A"/>
    <w:rsid w:val="00DB121B"/>
    <w:rsid w:val="00DB125B"/>
    <w:rsid w:val="00DB13CD"/>
    <w:rsid w:val="00DB1739"/>
    <w:rsid w:val="00DB17A3"/>
    <w:rsid w:val="00DB19D0"/>
    <w:rsid w:val="00DB1CD9"/>
    <w:rsid w:val="00DB1E82"/>
    <w:rsid w:val="00DB1F0F"/>
    <w:rsid w:val="00DB2109"/>
    <w:rsid w:val="00DB211C"/>
    <w:rsid w:val="00DB23DA"/>
    <w:rsid w:val="00DB25C5"/>
    <w:rsid w:val="00DB25CC"/>
    <w:rsid w:val="00DB2718"/>
    <w:rsid w:val="00DB2B12"/>
    <w:rsid w:val="00DB2C14"/>
    <w:rsid w:val="00DB2C2D"/>
    <w:rsid w:val="00DB2D9B"/>
    <w:rsid w:val="00DB2ECD"/>
    <w:rsid w:val="00DB3759"/>
    <w:rsid w:val="00DB375B"/>
    <w:rsid w:val="00DB37C9"/>
    <w:rsid w:val="00DB3893"/>
    <w:rsid w:val="00DB39CF"/>
    <w:rsid w:val="00DB3B84"/>
    <w:rsid w:val="00DB3D48"/>
    <w:rsid w:val="00DB3F30"/>
    <w:rsid w:val="00DB3F38"/>
    <w:rsid w:val="00DB424B"/>
    <w:rsid w:val="00DB4478"/>
    <w:rsid w:val="00DB44C8"/>
    <w:rsid w:val="00DB4614"/>
    <w:rsid w:val="00DB47D7"/>
    <w:rsid w:val="00DB495F"/>
    <w:rsid w:val="00DB4A01"/>
    <w:rsid w:val="00DB4FBA"/>
    <w:rsid w:val="00DB5173"/>
    <w:rsid w:val="00DB5501"/>
    <w:rsid w:val="00DB55F0"/>
    <w:rsid w:val="00DB59AD"/>
    <w:rsid w:val="00DB5A48"/>
    <w:rsid w:val="00DB5B8F"/>
    <w:rsid w:val="00DB5C32"/>
    <w:rsid w:val="00DB6396"/>
    <w:rsid w:val="00DB63B9"/>
    <w:rsid w:val="00DB64C7"/>
    <w:rsid w:val="00DB6AAE"/>
    <w:rsid w:val="00DB6C7A"/>
    <w:rsid w:val="00DB6D20"/>
    <w:rsid w:val="00DB6E94"/>
    <w:rsid w:val="00DB70EF"/>
    <w:rsid w:val="00DB72D0"/>
    <w:rsid w:val="00DB73C1"/>
    <w:rsid w:val="00DB74A3"/>
    <w:rsid w:val="00DB7528"/>
    <w:rsid w:val="00DB7868"/>
    <w:rsid w:val="00DB7873"/>
    <w:rsid w:val="00DB7886"/>
    <w:rsid w:val="00DB7A92"/>
    <w:rsid w:val="00DB7AA9"/>
    <w:rsid w:val="00DB7AAF"/>
    <w:rsid w:val="00DB7AD7"/>
    <w:rsid w:val="00DB7CF5"/>
    <w:rsid w:val="00DB7F3B"/>
    <w:rsid w:val="00DB7F4D"/>
    <w:rsid w:val="00DB7FDD"/>
    <w:rsid w:val="00DC0003"/>
    <w:rsid w:val="00DC0144"/>
    <w:rsid w:val="00DC01FF"/>
    <w:rsid w:val="00DC024B"/>
    <w:rsid w:val="00DC02E1"/>
    <w:rsid w:val="00DC0A4D"/>
    <w:rsid w:val="00DC0B10"/>
    <w:rsid w:val="00DC0D76"/>
    <w:rsid w:val="00DC10D4"/>
    <w:rsid w:val="00DC1308"/>
    <w:rsid w:val="00DC13DB"/>
    <w:rsid w:val="00DC13F7"/>
    <w:rsid w:val="00DC1463"/>
    <w:rsid w:val="00DC14D2"/>
    <w:rsid w:val="00DC1586"/>
    <w:rsid w:val="00DC173E"/>
    <w:rsid w:val="00DC1757"/>
    <w:rsid w:val="00DC187B"/>
    <w:rsid w:val="00DC1984"/>
    <w:rsid w:val="00DC20B2"/>
    <w:rsid w:val="00DC25EE"/>
    <w:rsid w:val="00DC267C"/>
    <w:rsid w:val="00DC2846"/>
    <w:rsid w:val="00DC28B5"/>
    <w:rsid w:val="00DC2ACF"/>
    <w:rsid w:val="00DC2C4A"/>
    <w:rsid w:val="00DC2F64"/>
    <w:rsid w:val="00DC3423"/>
    <w:rsid w:val="00DC362E"/>
    <w:rsid w:val="00DC3725"/>
    <w:rsid w:val="00DC3727"/>
    <w:rsid w:val="00DC3BE3"/>
    <w:rsid w:val="00DC3CF0"/>
    <w:rsid w:val="00DC4439"/>
    <w:rsid w:val="00DC4526"/>
    <w:rsid w:val="00DC4A99"/>
    <w:rsid w:val="00DC4B96"/>
    <w:rsid w:val="00DC4BA4"/>
    <w:rsid w:val="00DC4EB3"/>
    <w:rsid w:val="00DC4EFB"/>
    <w:rsid w:val="00DC500F"/>
    <w:rsid w:val="00DC504E"/>
    <w:rsid w:val="00DC555C"/>
    <w:rsid w:val="00DC560B"/>
    <w:rsid w:val="00DC58EF"/>
    <w:rsid w:val="00DC598A"/>
    <w:rsid w:val="00DC5EB2"/>
    <w:rsid w:val="00DC5F1D"/>
    <w:rsid w:val="00DC62DE"/>
    <w:rsid w:val="00DC649C"/>
    <w:rsid w:val="00DC6579"/>
    <w:rsid w:val="00DC69BE"/>
    <w:rsid w:val="00DC6BD5"/>
    <w:rsid w:val="00DC6EB9"/>
    <w:rsid w:val="00DC6EF4"/>
    <w:rsid w:val="00DC6F01"/>
    <w:rsid w:val="00DC7044"/>
    <w:rsid w:val="00DC71FB"/>
    <w:rsid w:val="00DC7302"/>
    <w:rsid w:val="00DC794A"/>
    <w:rsid w:val="00DC79BE"/>
    <w:rsid w:val="00DC7B1C"/>
    <w:rsid w:val="00DC7B4A"/>
    <w:rsid w:val="00DC7D84"/>
    <w:rsid w:val="00DC7E51"/>
    <w:rsid w:val="00DD0057"/>
    <w:rsid w:val="00DD00B4"/>
    <w:rsid w:val="00DD02AF"/>
    <w:rsid w:val="00DD037C"/>
    <w:rsid w:val="00DD03E8"/>
    <w:rsid w:val="00DD04F0"/>
    <w:rsid w:val="00DD0AE2"/>
    <w:rsid w:val="00DD0C1C"/>
    <w:rsid w:val="00DD0CEE"/>
    <w:rsid w:val="00DD0D52"/>
    <w:rsid w:val="00DD15B1"/>
    <w:rsid w:val="00DD1848"/>
    <w:rsid w:val="00DD1A43"/>
    <w:rsid w:val="00DD1A45"/>
    <w:rsid w:val="00DD1DA1"/>
    <w:rsid w:val="00DD1F2C"/>
    <w:rsid w:val="00DD1FED"/>
    <w:rsid w:val="00DD2035"/>
    <w:rsid w:val="00DD2245"/>
    <w:rsid w:val="00DD2309"/>
    <w:rsid w:val="00DD23A6"/>
    <w:rsid w:val="00DD23FA"/>
    <w:rsid w:val="00DD23FD"/>
    <w:rsid w:val="00DD2574"/>
    <w:rsid w:val="00DD25C5"/>
    <w:rsid w:val="00DD27B6"/>
    <w:rsid w:val="00DD2832"/>
    <w:rsid w:val="00DD29E7"/>
    <w:rsid w:val="00DD2B89"/>
    <w:rsid w:val="00DD2BA8"/>
    <w:rsid w:val="00DD2F9A"/>
    <w:rsid w:val="00DD303B"/>
    <w:rsid w:val="00DD33FC"/>
    <w:rsid w:val="00DD3619"/>
    <w:rsid w:val="00DD36BA"/>
    <w:rsid w:val="00DD36C8"/>
    <w:rsid w:val="00DD38CD"/>
    <w:rsid w:val="00DD3C0C"/>
    <w:rsid w:val="00DD3D9E"/>
    <w:rsid w:val="00DD3DC9"/>
    <w:rsid w:val="00DD3FFD"/>
    <w:rsid w:val="00DD400B"/>
    <w:rsid w:val="00DD415F"/>
    <w:rsid w:val="00DD416A"/>
    <w:rsid w:val="00DD430A"/>
    <w:rsid w:val="00DD4382"/>
    <w:rsid w:val="00DD4759"/>
    <w:rsid w:val="00DD493A"/>
    <w:rsid w:val="00DD497A"/>
    <w:rsid w:val="00DD4994"/>
    <w:rsid w:val="00DD4B35"/>
    <w:rsid w:val="00DD4F4F"/>
    <w:rsid w:val="00DD50F5"/>
    <w:rsid w:val="00DD55DA"/>
    <w:rsid w:val="00DD560E"/>
    <w:rsid w:val="00DD57F8"/>
    <w:rsid w:val="00DD5882"/>
    <w:rsid w:val="00DD58C7"/>
    <w:rsid w:val="00DD5B56"/>
    <w:rsid w:val="00DD5BB2"/>
    <w:rsid w:val="00DD5C0F"/>
    <w:rsid w:val="00DD5E46"/>
    <w:rsid w:val="00DD627B"/>
    <w:rsid w:val="00DD6305"/>
    <w:rsid w:val="00DD648C"/>
    <w:rsid w:val="00DD666F"/>
    <w:rsid w:val="00DD68E3"/>
    <w:rsid w:val="00DD69FD"/>
    <w:rsid w:val="00DD6A53"/>
    <w:rsid w:val="00DD6D8C"/>
    <w:rsid w:val="00DD6ECA"/>
    <w:rsid w:val="00DD6EFD"/>
    <w:rsid w:val="00DD71AF"/>
    <w:rsid w:val="00DD73C2"/>
    <w:rsid w:val="00DD763E"/>
    <w:rsid w:val="00DD7650"/>
    <w:rsid w:val="00DD7670"/>
    <w:rsid w:val="00DD76B6"/>
    <w:rsid w:val="00DD771E"/>
    <w:rsid w:val="00DD7AF7"/>
    <w:rsid w:val="00DD7C85"/>
    <w:rsid w:val="00DD7F2D"/>
    <w:rsid w:val="00DE0483"/>
    <w:rsid w:val="00DE08EB"/>
    <w:rsid w:val="00DE0B6A"/>
    <w:rsid w:val="00DE0BED"/>
    <w:rsid w:val="00DE0D37"/>
    <w:rsid w:val="00DE0ED2"/>
    <w:rsid w:val="00DE120D"/>
    <w:rsid w:val="00DE18A1"/>
    <w:rsid w:val="00DE1B07"/>
    <w:rsid w:val="00DE1B3A"/>
    <w:rsid w:val="00DE1F53"/>
    <w:rsid w:val="00DE22AC"/>
    <w:rsid w:val="00DE24B6"/>
    <w:rsid w:val="00DE2577"/>
    <w:rsid w:val="00DE262D"/>
    <w:rsid w:val="00DE2910"/>
    <w:rsid w:val="00DE2F92"/>
    <w:rsid w:val="00DE319B"/>
    <w:rsid w:val="00DE3214"/>
    <w:rsid w:val="00DE34C9"/>
    <w:rsid w:val="00DE3554"/>
    <w:rsid w:val="00DE35BB"/>
    <w:rsid w:val="00DE3671"/>
    <w:rsid w:val="00DE36FB"/>
    <w:rsid w:val="00DE38FA"/>
    <w:rsid w:val="00DE3B3A"/>
    <w:rsid w:val="00DE3B43"/>
    <w:rsid w:val="00DE3E34"/>
    <w:rsid w:val="00DE4005"/>
    <w:rsid w:val="00DE419C"/>
    <w:rsid w:val="00DE420D"/>
    <w:rsid w:val="00DE4408"/>
    <w:rsid w:val="00DE44A6"/>
    <w:rsid w:val="00DE4B80"/>
    <w:rsid w:val="00DE4C2D"/>
    <w:rsid w:val="00DE4C88"/>
    <w:rsid w:val="00DE4C97"/>
    <w:rsid w:val="00DE4CE9"/>
    <w:rsid w:val="00DE4D9D"/>
    <w:rsid w:val="00DE4E49"/>
    <w:rsid w:val="00DE4FE7"/>
    <w:rsid w:val="00DE52E1"/>
    <w:rsid w:val="00DE533E"/>
    <w:rsid w:val="00DE55D8"/>
    <w:rsid w:val="00DE57D3"/>
    <w:rsid w:val="00DE57FD"/>
    <w:rsid w:val="00DE591C"/>
    <w:rsid w:val="00DE5990"/>
    <w:rsid w:val="00DE5BCA"/>
    <w:rsid w:val="00DE6062"/>
    <w:rsid w:val="00DE60AB"/>
    <w:rsid w:val="00DE6325"/>
    <w:rsid w:val="00DE6774"/>
    <w:rsid w:val="00DE6939"/>
    <w:rsid w:val="00DE6950"/>
    <w:rsid w:val="00DE6A6D"/>
    <w:rsid w:val="00DE6C61"/>
    <w:rsid w:val="00DE6E5D"/>
    <w:rsid w:val="00DE716F"/>
    <w:rsid w:val="00DE71DD"/>
    <w:rsid w:val="00DE738A"/>
    <w:rsid w:val="00DE7439"/>
    <w:rsid w:val="00DE7553"/>
    <w:rsid w:val="00DE778A"/>
    <w:rsid w:val="00DE77AE"/>
    <w:rsid w:val="00DE77FA"/>
    <w:rsid w:val="00DE796B"/>
    <w:rsid w:val="00DE7A95"/>
    <w:rsid w:val="00DE7B01"/>
    <w:rsid w:val="00DE7B4D"/>
    <w:rsid w:val="00DE7D01"/>
    <w:rsid w:val="00DE7D59"/>
    <w:rsid w:val="00DF08E3"/>
    <w:rsid w:val="00DF0ADA"/>
    <w:rsid w:val="00DF0AE5"/>
    <w:rsid w:val="00DF0B9B"/>
    <w:rsid w:val="00DF0BEE"/>
    <w:rsid w:val="00DF10E0"/>
    <w:rsid w:val="00DF12EF"/>
    <w:rsid w:val="00DF1511"/>
    <w:rsid w:val="00DF1A41"/>
    <w:rsid w:val="00DF1A5E"/>
    <w:rsid w:val="00DF1FA4"/>
    <w:rsid w:val="00DF200D"/>
    <w:rsid w:val="00DF2362"/>
    <w:rsid w:val="00DF2414"/>
    <w:rsid w:val="00DF254D"/>
    <w:rsid w:val="00DF25F9"/>
    <w:rsid w:val="00DF34FE"/>
    <w:rsid w:val="00DF3771"/>
    <w:rsid w:val="00DF3774"/>
    <w:rsid w:val="00DF3B98"/>
    <w:rsid w:val="00DF3C5F"/>
    <w:rsid w:val="00DF3D5D"/>
    <w:rsid w:val="00DF3EBD"/>
    <w:rsid w:val="00DF407F"/>
    <w:rsid w:val="00DF4111"/>
    <w:rsid w:val="00DF437D"/>
    <w:rsid w:val="00DF4503"/>
    <w:rsid w:val="00DF4970"/>
    <w:rsid w:val="00DF4A17"/>
    <w:rsid w:val="00DF4A1E"/>
    <w:rsid w:val="00DF4AD0"/>
    <w:rsid w:val="00DF4AE1"/>
    <w:rsid w:val="00DF4B22"/>
    <w:rsid w:val="00DF4B66"/>
    <w:rsid w:val="00DF4BE1"/>
    <w:rsid w:val="00DF4D47"/>
    <w:rsid w:val="00DF4DF9"/>
    <w:rsid w:val="00DF4E6E"/>
    <w:rsid w:val="00DF4EFA"/>
    <w:rsid w:val="00DF5010"/>
    <w:rsid w:val="00DF5044"/>
    <w:rsid w:val="00DF5266"/>
    <w:rsid w:val="00DF5541"/>
    <w:rsid w:val="00DF55EA"/>
    <w:rsid w:val="00DF56AA"/>
    <w:rsid w:val="00DF56AF"/>
    <w:rsid w:val="00DF5AE1"/>
    <w:rsid w:val="00DF5B74"/>
    <w:rsid w:val="00DF5D30"/>
    <w:rsid w:val="00DF5DE2"/>
    <w:rsid w:val="00DF69FA"/>
    <w:rsid w:val="00DF6A4C"/>
    <w:rsid w:val="00DF6C39"/>
    <w:rsid w:val="00DF6DFE"/>
    <w:rsid w:val="00DF6ED0"/>
    <w:rsid w:val="00DF70C5"/>
    <w:rsid w:val="00DF72B8"/>
    <w:rsid w:val="00DF748B"/>
    <w:rsid w:val="00DF74C5"/>
    <w:rsid w:val="00DF7574"/>
    <w:rsid w:val="00DF76D6"/>
    <w:rsid w:val="00DF78E7"/>
    <w:rsid w:val="00E00256"/>
    <w:rsid w:val="00E0028C"/>
    <w:rsid w:val="00E003BE"/>
    <w:rsid w:val="00E004A8"/>
    <w:rsid w:val="00E005AD"/>
    <w:rsid w:val="00E006E4"/>
    <w:rsid w:val="00E0095A"/>
    <w:rsid w:val="00E00B1E"/>
    <w:rsid w:val="00E00BF6"/>
    <w:rsid w:val="00E00E44"/>
    <w:rsid w:val="00E00E79"/>
    <w:rsid w:val="00E00FE5"/>
    <w:rsid w:val="00E01007"/>
    <w:rsid w:val="00E0126C"/>
    <w:rsid w:val="00E012D5"/>
    <w:rsid w:val="00E01496"/>
    <w:rsid w:val="00E015BF"/>
    <w:rsid w:val="00E0167E"/>
    <w:rsid w:val="00E016CB"/>
    <w:rsid w:val="00E0181F"/>
    <w:rsid w:val="00E01992"/>
    <w:rsid w:val="00E02242"/>
    <w:rsid w:val="00E02397"/>
    <w:rsid w:val="00E02A68"/>
    <w:rsid w:val="00E02E23"/>
    <w:rsid w:val="00E02F17"/>
    <w:rsid w:val="00E02F75"/>
    <w:rsid w:val="00E032D9"/>
    <w:rsid w:val="00E03368"/>
    <w:rsid w:val="00E038C7"/>
    <w:rsid w:val="00E03D2D"/>
    <w:rsid w:val="00E03DDA"/>
    <w:rsid w:val="00E04249"/>
    <w:rsid w:val="00E043C5"/>
    <w:rsid w:val="00E047FB"/>
    <w:rsid w:val="00E0485C"/>
    <w:rsid w:val="00E04FE9"/>
    <w:rsid w:val="00E05256"/>
    <w:rsid w:val="00E05274"/>
    <w:rsid w:val="00E052EB"/>
    <w:rsid w:val="00E055DA"/>
    <w:rsid w:val="00E05602"/>
    <w:rsid w:val="00E05855"/>
    <w:rsid w:val="00E058D4"/>
    <w:rsid w:val="00E05A4E"/>
    <w:rsid w:val="00E05B93"/>
    <w:rsid w:val="00E05C08"/>
    <w:rsid w:val="00E06535"/>
    <w:rsid w:val="00E065A1"/>
    <w:rsid w:val="00E06677"/>
    <w:rsid w:val="00E06696"/>
    <w:rsid w:val="00E069F1"/>
    <w:rsid w:val="00E06A8C"/>
    <w:rsid w:val="00E06E0C"/>
    <w:rsid w:val="00E073A5"/>
    <w:rsid w:val="00E073D2"/>
    <w:rsid w:val="00E075B4"/>
    <w:rsid w:val="00E07621"/>
    <w:rsid w:val="00E0767B"/>
    <w:rsid w:val="00E07684"/>
    <w:rsid w:val="00E077C6"/>
    <w:rsid w:val="00E07D3D"/>
    <w:rsid w:val="00E07DDF"/>
    <w:rsid w:val="00E07F67"/>
    <w:rsid w:val="00E10524"/>
    <w:rsid w:val="00E10626"/>
    <w:rsid w:val="00E106E5"/>
    <w:rsid w:val="00E10AAA"/>
    <w:rsid w:val="00E10B5D"/>
    <w:rsid w:val="00E11010"/>
    <w:rsid w:val="00E110E0"/>
    <w:rsid w:val="00E110E4"/>
    <w:rsid w:val="00E11107"/>
    <w:rsid w:val="00E1161D"/>
    <w:rsid w:val="00E11679"/>
    <w:rsid w:val="00E11927"/>
    <w:rsid w:val="00E11A8C"/>
    <w:rsid w:val="00E11CCB"/>
    <w:rsid w:val="00E11DDE"/>
    <w:rsid w:val="00E11FA8"/>
    <w:rsid w:val="00E1237F"/>
    <w:rsid w:val="00E124AF"/>
    <w:rsid w:val="00E1269C"/>
    <w:rsid w:val="00E12834"/>
    <w:rsid w:val="00E1287D"/>
    <w:rsid w:val="00E12905"/>
    <w:rsid w:val="00E12BD8"/>
    <w:rsid w:val="00E12FDB"/>
    <w:rsid w:val="00E132E7"/>
    <w:rsid w:val="00E13363"/>
    <w:rsid w:val="00E135E6"/>
    <w:rsid w:val="00E1381E"/>
    <w:rsid w:val="00E139FF"/>
    <w:rsid w:val="00E13B5C"/>
    <w:rsid w:val="00E13D3E"/>
    <w:rsid w:val="00E13D5C"/>
    <w:rsid w:val="00E13DFC"/>
    <w:rsid w:val="00E13F1B"/>
    <w:rsid w:val="00E13F39"/>
    <w:rsid w:val="00E142F0"/>
    <w:rsid w:val="00E14419"/>
    <w:rsid w:val="00E14438"/>
    <w:rsid w:val="00E145EB"/>
    <w:rsid w:val="00E1460C"/>
    <w:rsid w:val="00E1472D"/>
    <w:rsid w:val="00E148B5"/>
    <w:rsid w:val="00E149BC"/>
    <w:rsid w:val="00E14B9C"/>
    <w:rsid w:val="00E14C8E"/>
    <w:rsid w:val="00E14EA0"/>
    <w:rsid w:val="00E14F56"/>
    <w:rsid w:val="00E14F58"/>
    <w:rsid w:val="00E14FAE"/>
    <w:rsid w:val="00E15095"/>
    <w:rsid w:val="00E151B6"/>
    <w:rsid w:val="00E152A9"/>
    <w:rsid w:val="00E15371"/>
    <w:rsid w:val="00E15554"/>
    <w:rsid w:val="00E155DD"/>
    <w:rsid w:val="00E157F1"/>
    <w:rsid w:val="00E15875"/>
    <w:rsid w:val="00E159C7"/>
    <w:rsid w:val="00E15A32"/>
    <w:rsid w:val="00E15A74"/>
    <w:rsid w:val="00E15C37"/>
    <w:rsid w:val="00E15D85"/>
    <w:rsid w:val="00E162C1"/>
    <w:rsid w:val="00E162F4"/>
    <w:rsid w:val="00E16363"/>
    <w:rsid w:val="00E16423"/>
    <w:rsid w:val="00E1644D"/>
    <w:rsid w:val="00E1662A"/>
    <w:rsid w:val="00E167F1"/>
    <w:rsid w:val="00E16886"/>
    <w:rsid w:val="00E169D4"/>
    <w:rsid w:val="00E169E9"/>
    <w:rsid w:val="00E16B05"/>
    <w:rsid w:val="00E16DDD"/>
    <w:rsid w:val="00E1707F"/>
    <w:rsid w:val="00E1708D"/>
    <w:rsid w:val="00E17128"/>
    <w:rsid w:val="00E1742F"/>
    <w:rsid w:val="00E17480"/>
    <w:rsid w:val="00E174DE"/>
    <w:rsid w:val="00E1777C"/>
    <w:rsid w:val="00E1777F"/>
    <w:rsid w:val="00E17B45"/>
    <w:rsid w:val="00E17E29"/>
    <w:rsid w:val="00E17F6D"/>
    <w:rsid w:val="00E202A2"/>
    <w:rsid w:val="00E204B5"/>
    <w:rsid w:val="00E2053B"/>
    <w:rsid w:val="00E2054D"/>
    <w:rsid w:val="00E2089B"/>
    <w:rsid w:val="00E209AF"/>
    <w:rsid w:val="00E20DD0"/>
    <w:rsid w:val="00E21056"/>
    <w:rsid w:val="00E21235"/>
    <w:rsid w:val="00E212D4"/>
    <w:rsid w:val="00E21440"/>
    <w:rsid w:val="00E2159D"/>
    <w:rsid w:val="00E216CF"/>
    <w:rsid w:val="00E2170C"/>
    <w:rsid w:val="00E217CC"/>
    <w:rsid w:val="00E2181D"/>
    <w:rsid w:val="00E21A30"/>
    <w:rsid w:val="00E21B5C"/>
    <w:rsid w:val="00E21D6C"/>
    <w:rsid w:val="00E21EB9"/>
    <w:rsid w:val="00E21F8B"/>
    <w:rsid w:val="00E222AF"/>
    <w:rsid w:val="00E22325"/>
    <w:rsid w:val="00E22486"/>
    <w:rsid w:val="00E22573"/>
    <w:rsid w:val="00E2263D"/>
    <w:rsid w:val="00E2281A"/>
    <w:rsid w:val="00E2284D"/>
    <w:rsid w:val="00E22D36"/>
    <w:rsid w:val="00E22EE6"/>
    <w:rsid w:val="00E23378"/>
    <w:rsid w:val="00E23A2E"/>
    <w:rsid w:val="00E23CAD"/>
    <w:rsid w:val="00E23D36"/>
    <w:rsid w:val="00E23E09"/>
    <w:rsid w:val="00E24104"/>
    <w:rsid w:val="00E2421E"/>
    <w:rsid w:val="00E2423F"/>
    <w:rsid w:val="00E24698"/>
    <w:rsid w:val="00E248F1"/>
    <w:rsid w:val="00E249B0"/>
    <w:rsid w:val="00E24A6F"/>
    <w:rsid w:val="00E24AA1"/>
    <w:rsid w:val="00E24B94"/>
    <w:rsid w:val="00E24E30"/>
    <w:rsid w:val="00E24FD8"/>
    <w:rsid w:val="00E25064"/>
    <w:rsid w:val="00E250E0"/>
    <w:rsid w:val="00E25242"/>
    <w:rsid w:val="00E25584"/>
    <w:rsid w:val="00E25595"/>
    <w:rsid w:val="00E25668"/>
    <w:rsid w:val="00E2566F"/>
    <w:rsid w:val="00E257F6"/>
    <w:rsid w:val="00E2580E"/>
    <w:rsid w:val="00E25821"/>
    <w:rsid w:val="00E25873"/>
    <w:rsid w:val="00E258D1"/>
    <w:rsid w:val="00E25962"/>
    <w:rsid w:val="00E25E54"/>
    <w:rsid w:val="00E25E75"/>
    <w:rsid w:val="00E25E9B"/>
    <w:rsid w:val="00E26598"/>
    <w:rsid w:val="00E269AB"/>
    <w:rsid w:val="00E26A5A"/>
    <w:rsid w:val="00E26D44"/>
    <w:rsid w:val="00E26D81"/>
    <w:rsid w:val="00E271CD"/>
    <w:rsid w:val="00E2739A"/>
    <w:rsid w:val="00E27439"/>
    <w:rsid w:val="00E27650"/>
    <w:rsid w:val="00E27A2C"/>
    <w:rsid w:val="00E27C1C"/>
    <w:rsid w:val="00E27F8E"/>
    <w:rsid w:val="00E30212"/>
    <w:rsid w:val="00E302D0"/>
    <w:rsid w:val="00E303A7"/>
    <w:rsid w:val="00E303BB"/>
    <w:rsid w:val="00E3079B"/>
    <w:rsid w:val="00E30900"/>
    <w:rsid w:val="00E309EA"/>
    <w:rsid w:val="00E30C3A"/>
    <w:rsid w:val="00E30C49"/>
    <w:rsid w:val="00E30CFF"/>
    <w:rsid w:val="00E30D84"/>
    <w:rsid w:val="00E30F39"/>
    <w:rsid w:val="00E311CB"/>
    <w:rsid w:val="00E3124F"/>
    <w:rsid w:val="00E31257"/>
    <w:rsid w:val="00E3142D"/>
    <w:rsid w:val="00E318E6"/>
    <w:rsid w:val="00E318F5"/>
    <w:rsid w:val="00E31BFC"/>
    <w:rsid w:val="00E31C89"/>
    <w:rsid w:val="00E32073"/>
    <w:rsid w:val="00E320CA"/>
    <w:rsid w:val="00E3216E"/>
    <w:rsid w:val="00E322BD"/>
    <w:rsid w:val="00E322E6"/>
    <w:rsid w:val="00E324E3"/>
    <w:rsid w:val="00E325EE"/>
    <w:rsid w:val="00E3278D"/>
    <w:rsid w:val="00E327B6"/>
    <w:rsid w:val="00E32893"/>
    <w:rsid w:val="00E32961"/>
    <w:rsid w:val="00E32C8E"/>
    <w:rsid w:val="00E32D4A"/>
    <w:rsid w:val="00E32E46"/>
    <w:rsid w:val="00E32F53"/>
    <w:rsid w:val="00E3305B"/>
    <w:rsid w:val="00E33458"/>
    <w:rsid w:val="00E33749"/>
    <w:rsid w:val="00E33A8B"/>
    <w:rsid w:val="00E33A99"/>
    <w:rsid w:val="00E33B22"/>
    <w:rsid w:val="00E33C2F"/>
    <w:rsid w:val="00E3404E"/>
    <w:rsid w:val="00E342FD"/>
    <w:rsid w:val="00E34401"/>
    <w:rsid w:val="00E34953"/>
    <w:rsid w:val="00E34957"/>
    <w:rsid w:val="00E34A5E"/>
    <w:rsid w:val="00E34BFC"/>
    <w:rsid w:val="00E34C84"/>
    <w:rsid w:val="00E34CE2"/>
    <w:rsid w:val="00E35228"/>
    <w:rsid w:val="00E35297"/>
    <w:rsid w:val="00E3549D"/>
    <w:rsid w:val="00E356AA"/>
    <w:rsid w:val="00E35707"/>
    <w:rsid w:val="00E35917"/>
    <w:rsid w:val="00E35A91"/>
    <w:rsid w:val="00E35DCC"/>
    <w:rsid w:val="00E35E0C"/>
    <w:rsid w:val="00E360C8"/>
    <w:rsid w:val="00E361A1"/>
    <w:rsid w:val="00E364CA"/>
    <w:rsid w:val="00E36522"/>
    <w:rsid w:val="00E36574"/>
    <w:rsid w:val="00E3657B"/>
    <w:rsid w:val="00E36836"/>
    <w:rsid w:val="00E36A1E"/>
    <w:rsid w:val="00E36AA1"/>
    <w:rsid w:val="00E36C48"/>
    <w:rsid w:val="00E36C6F"/>
    <w:rsid w:val="00E36F19"/>
    <w:rsid w:val="00E37015"/>
    <w:rsid w:val="00E3727F"/>
    <w:rsid w:val="00E37403"/>
    <w:rsid w:val="00E3741D"/>
    <w:rsid w:val="00E37625"/>
    <w:rsid w:val="00E37AB8"/>
    <w:rsid w:val="00E37BD4"/>
    <w:rsid w:val="00E37DCF"/>
    <w:rsid w:val="00E37E0E"/>
    <w:rsid w:val="00E40216"/>
    <w:rsid w:val="00E40278"/>
    <w:rsid w:val="00E403B3"/>
    <w:rsid w:val="00E403BB"/>
    <w:rsid w:val="00E40620"/>
    <w:rsid w:val="00E4088B"/>
    <w:rsid w:val="00E40A6D"/>
    <w:rsid w:val="00E40F03"/>
    <w:rsid w:val="00E411DA"/>
    <w:rsid w:val="00E41606"/>
    <w:rsid w:val="00E416A1"/>
    <w:rsid w:val="00E41886"/>
    <w:rsid w:val="00E41BCA"/>
    <w:rsid w:val="00E41DA0"/>
    <w:rsid w:val="00E41ECB"/>
    <w:rsid w:val="00E41FE2"/>
    <w:rsid w:val="00E4208D"/>
    <w:rsid w:val="00E42205"/>
    <w:rsid w:val="00E42352"/>
    <w:rsid w:val="00E42375"/>
    <w:rsid w:val="00E42402"/>
    <w:rsid w:val="00E42676"/>
    <w:rsid w:val="00E4274F"/>
    <w:rsid w:val="00E4275A"/>
    <w:rsid w:val="00E42C0F"/>
    <w:rsid w:val="00E42EE6"/>
    <w:rsid w:val="00E43086"/>
    <w:rsid w:val="00E4308E"/>
    <w:rsid w:val="00E43142"/>
    <w:rsid w:val="00E434B9"/>
    <w:rsid w:val="00E43727"/>
    <w:rsid w:val="00E4385C"/>
    <w:rsid w:val="00E43CA1"/>
    <w:rsid w:val="00E43CAA"/>
    <w:rsid w:val="00E43D7E"/>
    <w:rsid w:val="00E43E88"/>
    <w:rsid w:val="00E440A0"/>
    <w:rsid w:val="00E44573"/>
    <w:rsid w:val="00E44596"/>
    <w:rsid w:val="00E44690"/>
    <w:rsid w:val="00E44872"/>
    <w:rsid w:val="00E44AB5"/>
    <w:rsid w:val="00E44AB6"/>
    <w:rsid w:val="00E44D25"/>
    <w:rsid w:val="00E44DC4"/>
    <w:rsid w:val="00E44EC7"/>
    <w:rsid w:val="00E45013"/>
    <w:rsid w:val="00E45406"/>
    <w:rsid w:val="00E4547F"/>
    <w:rsid w:val="00E45610"/>
    <w:rsid w:val="00E457D6"/>
    <w:rsid w:val="00E45843"/>
    <w:rsid w:val="00E45844"/>
    <w:rsid w:val="00E45EF2"/>
    <w:rsid w:val="00E4625D"/>
    <w:rsid w:val="00E4637C"/>
    <w:rsid w:val="00E46485"/>
    <w:rsid w:val="00E464D9"/>
    <w:rsid w:val="00E46529"/>
    <w:rsid w:val="00E46804"/>
    <w:rsid w:val="00E46B99"/>
    <w:rsid w:val="00E46C80"/>
    <w:rsid w:val="00E474DF"/>
    <w:rsid w:val="00E4756D"/>
    <w:rsid w:val="00E475BB"/>
    <w:rsid w:val="00E476A9"/>
    <w:rsid w:val="00E47722"/>
    <w:rsid w:val="00E4772A"/>
    <w:rsid w:val="00E4773E"/>
    <w:rsid w:val="00E47895"/>
    <w:rsid w:val="00E47B0A"/>
    <w:rsid w:val="00E5020D"/>
    <w:rsid w:val="00E50286"/>
    <w:rsid w:val="00E5035F"/>
    <w:rsid w:val="00E50561"/>
    <w:rsid w:val="00E50584"/>
    <w:rsid w:val="00E508B5"/>
    <w:rsid w:val="00E50A1D"/>
    <w:rsid w:val="00E50F49"/>
    <w:rsid w:val="00E50FA9"/>
    <w:rsid w:val="00E51014"/>
    <w:rsid w:val="00E514AF"/>
    <w:rsid w:val="00E514BA"/>
    <w:rsid w:val="00E51B5B"/>
    <w:rsid w:val="00E51DF4"/>
    <w:rsid w:val="00E51EEF"/>
    <w:rsid w:val="00E52138"/>
    <w:rsid w:val="00E5220C"/>
    <w:rsid w:val="00E5250A"/>
    <w:rsid w:val="00E525DD"/>
    <w:rsid w:val="00E52629"/>
    <w:rsid w:val="00E5281E"/>
    <w:rsid w:val="00E528A9"/>
    <w:rsid w:val="00E52BC8"/>
    <w:rsid w:val="00E52D8A"/>
    <w:rsid w:val="00E531F6"/>
    <w:rsid w:val="00E53526"/>
    <w:rsid w:val="00E5355F"/>
    <w:rsid w:val="00E53872"/>
    <w:rsid w:val="00E53CCC"/>
    <w:rsid w:val="00E53D92"/>
    <w:rsid w:val="00E54151"/>
    <w:rsid w:val="00E54201"/>
    <w:rsid w:val="00E54333"/>
    <w:rsid w:val="00E544A5"/>
    <w:rsid w:val="00E547CE"/>
    <w:rsid w:val="00E54881"/>
    <w:rsid w:val="00E54BFB"/>
    <w:rsid w:val="00E54CA4"/>
    <w:rsid w:val="00E54FB3"/>
    <w:rsid w:val="00E54FDB"/>
    <w:rsid w:val="00E55031"/>
    <w:rsid w:val="00E5506A"/>
    <w:rsid w:val="00E551A2"/>
    <w:rsid w:val="00E55237"/>
    <w:rsid w:val="00E555B0"/>
    <w:rsid w:val="00E5561C"/>
    <w:rsid w:val="00E5577E"/>
    <w:rsid w:val="00E559EC"/>
    <w:rsid w:val="00E55B28"/>
    <w:rsid w:val="00E55CAB"/>
    <w:rsid w:val="00E55CC7"/>
    <w:rsid w:val="00E55DB2"/>
    <w:rsid w:val="00E55EE2"/>
    <w:rsid w:val="00E55F0C"/>
    <w:rsid w:val="00E55F48"/>
    <w:rsid w:val="00E5614C"/>
    <w:rsid w:val="00E5616C"/>
    <w:rsid w:val="00E5617D"/>
    <w:rsid w:val="00E5618C"/>
    <w:rsid w:val="00E561C0"/>
    <w:rsid w:val="00E562C0"/>
    <w:rsid w:val="00E562DB"/>
    <w:rsid w:val="00E563D7"/>
    <w:rsid w:val="00E56459"/>
    <w:rsid w:val="00E56651"/>
    <w:rsid w:val="00E568E3"/>
    <w:rsid w:val="00E56A7D"/>
    <w:rsid w:val="00E56A8D"/>
    <w:rsid w:val="00E56AC4"/>
    <w:rsid w:val="00E56E70"/>
    <w:rsid w:val="00E56E7E"/>
    <w:rsid w:val="00E56F7D"/>
    <w:rsid w:val="00E57122"/>
    <w:rsid w:val="00E572C0"/>
    <w:rsid w:val="00E57680"/>
    <w:rsid w:val="00E57773"/>
    <w:rsid w:val="00E57880"/>
    <w:rsid w:val="00E578E4"/>
    <w:rsid w:val="00E578FA"/>
    <w:rsid w:val="00E579C4"/>
    <w:rsid w:val="00E57B9E"/>
    <w:rsid w:val="00E57D81"/>
    <w:rsid w:val="00E57F54"/>
    <w:rsid w:val="00E60B9D"/>
    <w:rsid w:val="00E60C39"/>
    <w:rsid w:val="00E60E19"/>
    <w:rsid w:val="00E60FF0"/>
    <w:rsid w:val="00E61039"/>
    <w:rsid w:val="00E61042"/>
    <w:rsid w:val="00E610BB"/>
    <w:rsid w:val="00E611A2"/>
    <w:rsid w:val="00E61363"/>
    <w:rsid w:val="00E61526"/>
    <w:rsid w:val="00E61565"/>
    <w:rsid w:val="00E61700"/>
    <w:rsid w:val="00E618D2"/>
    <w:rsid w:val="00E6192E"/>
    <w:rsid w:val="00E61A2B"/>
    <w:rsid w:val="00E61A4E"/>
    <w:rsid w:val="00E61AAA"/>
    <w:rsid w:val="00E61BE0"/>
    <w:rsid w:val="00E61C1D"/>
    <w:rsid w:val="00E6200F"/>
    <w:rsid w:val="00E625F7"/>
    <w:rsid w:val="00E62D03"/>
    <w:rsid w:val="00E62D2C"/>
    <w:rsid w:val="00E62D68"/>
    <w:rsid w:val="00E62E54"/>
    <w:rsid w:val="00E62EB0"/>
    <w:rsid w:val="00E6307D"/>
    <w:rsid w:val="00E6321B"/>
    <w:rsid w:val="00E63337"/>
    <w:rsid w:val="00E633AF"/>
    <w:rsid w:val="00E63A15"/>
    <w:rsid w:val="00E63AE7"/>
    <w:rsid w:val="00E63BBE"/>
    <w:rsid w:val="00E63CBC"/>
    <w:rsid w:val="00E63CCC"/>
    <w:rsid w:val="00E63F7D"/>
    <w:rsid w:val="00E640D3"/>
    <w:rsid w:val="00E644ED"/>
    <w:rsid w:val="00E645BD"/>
    <w:rsid w:val="00E646EE"/>
    <w:rsid w:val="00E64731"/>
    <w:rsid w:val="00E648A1"/>
    <w:rsid w:val="00E648D8"/>
    <w:rsid w:val="00E6497B"/>
    <w:rsid w:val="00E64A2F"/>
    <w:rsid w:val="00E64AFF"/>
    <w:rsid w:val="00E64B1F"/>
    <w:rsid w:val="00E64B46"/>
    <w:rsid w:val="00E64E55"/>
    <w:rsid w:val="00E6509B"/>
    <w:rsid w:val="00E654F7"/>
    <w:rsid w:val="00E654FB"/>
    <w:rsid w:val="00E6563F"/>
    <w:rsid w:val="00E65DA7"/>
    <w:rsid w:val="00E6604A"/>
    <w:rsid w:val="00E66213"/>
    <w:rsid w:val="00E6632F"/>
    <w:rsid w:val="00E6634A"/>
    <w:rsid w:val="00E663F4"/>
    <w:rsid w:val="00E666AA"/>
    <w:rsid w:val="00E666D5"/>
    <w:rsid w:val="00E666F2"/>
    <w:rsid w:val="00E66718"/>
    <w:rsid w:val="00E66BA6"/>
    <w:rsid w:val="00E66C0C"/>
    <w:rsid w:val="00E66C55"/>
    <w:rsid w:val="00E66DD4"/>
    <w:rsid w:val="00E6705D"/>
    <w:rsid w:val="00E67088"/>
    <w:rsid w:val="00E670E6"/>
    <w:rsid w:val="00E6712C"/>
    <w:rsid w:val="00E67277"/>
    <w:rsid w:val="00E675D0"/>
    <w:rsid w:val="00E677D7"/>
    <w:rsid w:val="00E67801"/>
    <w:rsid w:val="00E6794A"/>
    <w:rsid w:val="00E6799E"/>
    <w:rsid w:val="00E679B8"/>
    <w:rsid w:val="00E67B68"/>
    <w:rsid w:val="00E67CBA"/>
    <w:rsid w:val="00E700DD"/>
    <w:rsid w:val="00E7015B"/>
    <w:rsid w:val="00E70413"/>
    <w:rsid w:val="00E70426"/>
    <w:rsid w:val="00E7059F"/>
    <w:rsid w:val="00E70642"/>
    <w:rsid w:val="00E706BA"/>
    <w:rsid w:val="00E70885"/>
    <w:rsid w:val="00E708C1"/>
    <w:rsid w:val="00E70A27"/>
    <w:rsid w:val="00E70B1D"/>
    <w:rsid w:val="00E70FB5"/>
    <w:rsid w:val="00E71190"/>
    <w:rsid w:val="00E711CF"/>
    <w:rsid w:val="00E714F4"/>
    <w:rsid w:val="00E717C9"/>
    <w:rsid w:val="00E71872"/>
    <w:rsid w:val="00E71A0A"/>
    <w:rsid w:val="00E71CE5"/>
    <w:rsid w:val="00E71E90"/>
    <w:rsid w:val="00E71FC9"/>
    <w:rsid w:val="00E72318"/>
    <w:rsid w:val="00E72363"/>
    <w:rsid w:val="00E72548"/>
    <w:rsid w:val="00E725B6"/>
    <w:rsid w:val="00E72B5C"/>
    <w:rsid w:val="00E72BFF"/>
    <w:rsid w:val="00E73221"/>
    <w:rsid w:val="00E7327D"/>
    <w:rsid w:val="00E73318"/>
    <w:rsid w:val="00E73368"/>
    <w:rsid w:val="00E7353D"/>
    <w:rsid w:val="00E737ED"/>
    <w:rsid w:val="00E73B09"/>
    <w:rsid w:val="00E73C5B"/>
    <w:rsid w:val="00E73DD6"/>
    <w:rsid w:val="00E73F33"/>
    <w:rsid w:val="00E74082"/>
    <w:rsid w:val="00E740FD"/>
    <w:rsid w:val="00E7430E"/>
    <w:rsid w:val="00E74386"/>
    <w:rsid w:val="00E74596"/>
    <w:rsid w:val="00E7482E"/>
    <w:rsid w:val="00E748CC"/>
    <w:rsid w:val="00E74A05"/>
    <w:rsid w:val="00E74E76"/>
    <w:rsid w:val="00E74E7F"/>
    <w:rsid w:val="00E7500F"/>
    <w:rsid w:val="00E75040"/>
    <w:rsid w:val="00E75140"/>
    <w:rsid w:val="00E752A6"/>
    <w:rsid w:val="00E75415"/>
    <w:rsid w:val="00E755B5"/>
    <w:rsid w:val="00E7570D"/>
    <w:rsid w:val="00E762D6"/>
    <w:rsid w:val="00E763F9"/>
    <w:rsid w:val="00E76451"/>
    <w:rsid w:val="00E76473"/>
    <w:rsid w:val="00E7653C"/>
    <w:rsid w:val="00E7692F"/>
    <w:rsid w:val="00E769B4"/>
    <w:rsid w:val="00E76CB4"/>
    <w:rsid w:val="00E771B6"/>
    <w:rsid w:val="00E771DE"/>
    <w:rsid w:val="00E7737B"/>
    <w:rsid w:val="00E775B1"/>
    <w:rsid w:val="00E77905"/>
    <w:rsid w:val="00E77980"/>
    <w:rsid w:val="00E77D5A"/>
    <w:rsid w:val="00E77D96"/>
    <w:rsid w:val="00E77E51"/>
    <w:rsid w:val="00E80105"/>
    <w:rsid w:val="00E8017E"/>
    <w:rsid w:val="00E803A7"/>
    <w:rsid w:val="00E804E9"/>
    <w:rsid w:val="00E80571"/>
    <w:rsid w:val="00E8077F"/>
    <w:rsid w:val="00E808EB"/>
    <w:rsid w:val="00E80919"/>
    <w:rsid w:val="00E80973"/>
    <w:rsid w:val="00E80A4B"/>
    <w:rsid w:val="00E80AAD"/>
    <w:rsid w:val="00E80CF0"/>
    <w:rsid w:val="00E80E3E"/>
    <w:rsid w:val="00E80F7B"/>
    <w:rsid w:val="00E810A7"/>
    <w:rsid w:val="00E810EB"/>
    <w:rsid w:val="00E81232"/>
    <w:rsid w:val="00E8152A"/>
    <w:rsid w:val="00E8175C"/>
    <w:rsid w:val="00E81860"/>
    <w:rsid w:val="00E81A48"/>
    <w:rsid w:val="00E81B08"/>
    <w:rsid w:val="00E81C84"/>
    <w:rsid w:val="00E81E4F"/>
    <w:rsid w:val="00E81E5D"/>
    <w:rsid w:val="00E82014"/>
    <w:rsid w:val="00E822E2"/>
    <w:rsid w:val="00E822F5"/>
    <w:rsid w:val="00E8234A"/>
    <w:rsid w:val="00E82555"/>
    <w:rsid w:val="00E82807"/>
    <w:rsid w:val="00E82A46"/>
    <w:rsid w:val="00E82CB8"/>
    <w:rsid w:val="00E82D6F"/>
    <w:rsid w:val="00E82FB8"/>
    <w:rsid w:val="00E83131"/>
    <w:rsid w:val="00E831C7"/>
    <w:rsid w:val="00E83276"/>
    <w:rsid w:val="00E834D1"/>
    <w:rsid w:val="00E834FA"/>
    <w:rsid w:val="00E835BF"/>
    <w:rsid w:val="00E836E6"/>
    <w:rsid w:val="00E837F3"/>
    <w:rsid w:val="00E83B06"/>
    <w:rsid w:val="00E83BA2"/>
    <w:rsid w:val="00E83C0C"/>
    <w:rsid w:val="00E83E30"/>
    <w:rsid w:val="00E84319"/>
    <w:rsid w:val="00E84391"/>
    <w:rsid w:val="00E84740"/>
    <w:rsid w:val="00E84758"/>
    <w:rsid w:val="00E8477C"/>
    <w:rsid w:val="00E84807"/>
    <w:rsid w:val="00E848E1"/>
    <w:rsid w:val="00E84924"/>
    <w:rsid w:val="00E849F1"/>
    <w:rsid w:val="00E84E17"/>
    <w:rsid w:val="00E84E52"/>
    <w:rsid w:val="00E84FB1"/>
    <w:rsid w:val="00E8505F"/>
    <w:rsid w:val="00E850A3"/>
    <w:rsid w:val="00E855F6"/>
    <w:rsid w:val="00E85637"/>
    <w:rsid w:val="00E85836"/>
    <w:rsid w:val="00E85A8D"/>
    <w:rsid w:val="00E85B14"/>
    <w:rsid w:val="00E85BCF"/>
    <w:rsid w:val="00E85C0F"/>
    <w:rsid w:val="00E85F75"/>
    <w:rsid w:val="00E860FB"/>
    <w:rsid w:val="00E8648B"/>
    <w:rsid w:val="00E866C1"/>
    <w:rsid w:val="00E86A64"/>
    <w:rsid w:val="00E86A65"/>
    <w:rsid w:val="00E86ADE"/>
    <w:rsid w:val="00E86F1C"/>
    <w:rsid w:val="00E872E5"/>
    <w:rsid w:val="00E872EB"/>
    <w:rsid w:val="00E87463"/>
    <w:rsid w:val="00E8759E"/>
    <w:rsid w:val="00E87663"/>
    <w:rsid w:val="00E87921"/>
    <w:rsid w:val="00E87A45"/>
    <w:rsid w:val="00E87A56"/>
    <w:rsid w:val="00E87A96"/>
    <w:rsid w:val="00E87A9B"/>
    <w:rsid w:val="00E87CDF"/>
    <w:rsid w:val="00E87EBD"/>
    <w:rsid w:val="00E87F96"/>
    <w:rsid w:val="00E87FB2"/>
    <w:rsid w:val="00E900C4"/>
    <w:rsid w:val="00E901BF"/>
    <w:rsid w:val="00E90268"/>
    <w:rsid w:val="00E902DD"/>
    <w:rsid w:val="00E902ED"/>
    <w:rsid w:val="00E903AF"/>
    <w:rsid w:val="00E90520"/>
    <w:rsid w:val="00E90557"/>
    <w:rsid w:val="00E9059C"/>
    <w:rsid w:val="00E9068C"/>
    <w:rsid w:val="00E90A82"/>
    <w:rsid w:val="00E90C5F"/>
    <w:rsid w:val="00E90CA5"/>
    <w:rsid w:val="00E90DE1"/>
    <w:rsid w:val="00E90F4D"/>
    <w:rsid w:val="00E9129F"/>
    <w:rsid w:val="00E916B4"/>
    <w:rsid w:val="00E91792"/>
    <w:rsid w:val="00E91AD4"/>
    <w:rsid w:val="00E91CCB"/>
    <w:rsid w:val="00E91E07"/>
    <w:rsid w:val="00E91EED"/>
    <w:rsid w:val="00E91F67"/>
    <w:rsid w:val="00E92325"/>
    <w:rsid w:val="00E9238F"/>
    <w:rsid w:val="00E92429"/>
    <w:rsid w:val="00E9268E"/>
    <w:rsid w:val="00E926A2"/>
    <w:rsid w:val="00E92999"/>
    <w:rsid w:val="00E92AC5"/>
    <w:rsid w:val="00E92C36"/>
    <w:rsid w:val="00E93044"/>
    <w:rsid w:val="00E930A4"/>
    <w:rsid w:val="00E93200"/>
    <w:rsid w:val="00E93230"/>
    <w:rsid w:val="00E93406"/>
    <w:rsid w:val="00E93629"/>
    <w:rsid w:val="00E9395E"/>
    <w:rsid w:val="00E939B8"/>
    <w:rsid w:val="00E93B5C"/>
    <w:rsid w:val="00E93DDD"/>
    <w:rsid w:val="00E93F0C"/>
    <w:rsid w:val="00E93F6A"/>
    <w:rsid w:val="00E94033"/>
    <w:rsid w:val="00E9412D"/>
    <w:rsid w:val="00E94156"/>
    <w:rsid w:val="00E942A1"/>
    <w:rsid w:val="00E9441B"/>
    <w:rsid w:val="00E9443B"/>
    <w:rsid w:val="00E9446A"/>
    <w:rsid w:val="00E94A97"/>
    <w:rsid w:val="00E94C24"/>
    <w:rsid w:val="00E94CEC"/>
    <w:rsid w:val="00E94E23"/>
    <w:rsid w:val="00E94EEF"/>
    <w:rsid w:val="00E95064"/>
    <w:rsid w:val="00E951A6"/>
    <w:rsid w:val="00E95208"/>
    <w:rsid w:val="00E9543A"/>
    <w:rsid w:val="00E954B0"/>
    <w:rsid w:val="00E95592"/>
    <w:rsid w:val="00E956CA"/>
    <w:rsid w:val="00E95939"/>
    <w:rsid w:val="00E95F4E"/>
    <w:rsid w:val="00E9600E"/>
    <w:rsid w:val="00E9603C"/>
    <w:rsid w:val="00E9605E"/>
    <w:rsid w:val="00E96308"/>
    <w:rsid w:val="00E96795"/>
    <w:rsid w:val="00E96A58"/>
    <w:rsid w:val="00E96C42"/>
    <w:rsid w:val="00E9708F"/>
    <w:rsid w:val="00E97118"/>
    <w:rsid w:val="00E971D9"/>
    <w:rsid w:val="00E9728A"/>
    <w:rsid w:val="00E972BC"/>
    <w:rsid w:val="00E97427"/>
    <w:rsid w:val="00E975BB"/>
    <w:rsid w:val="00E9772B"/>
    <w:rsid w:val="00E97878"/>
    <w:rsid w:val="00E97FBA"/>
    <w:rsid w:val="00EA001E"/>
    <w:rsid w:val="00EA00B6"/>
    <w:rsid w:val="00EA0188"/>
    <w:rsid w:val="00EA01A1"/>
    <w:rsid w:val="00EA03D0"/>
    <w:rsid w:val="00EA04EF"/>
    <w:rsid w:val="00EA0D17"/>
    <w:rsid w:val="00EA0E2A"/>
    <w:rsid w:val="00EA0EB2"/>
    <w:rsid w:val="00EA110B"/>
    <w:rsid w:val="00EA119A"/>
    <w:rsid w:val="00EA134F"/>
    <w:rsid w:val="00EA139C"/>
    <w:rsid w:val="00EA13B3"/>
    <w:rsid w:val="00EA1483"/>
    <w:rsid w:val="00EA14B9"/>
    <w:rsid w:val="00EA1859"/>
    <w:rsid w:val="00EA1894"/>
    <w:rsid w:val="00EA1937"/>
    <w:rsid w:val="00EA19CF"/>
    <w:rsid w:val="00EA19DF"/>
    <w:rsid w:val="00EA1A32"/>
    <w:rsid w:val="00EA1ACC"/>
    <w:rsid w:val="00EA1C1F"/>
    <w:rsid w:val="00EA1CD9"/>
    <w:rsid w:val="00EA1D97"/>
    <w:rsid w:val="00EA1DC6"/>
    <w:rsid w:val="00EA205D"/>
    <w:rsid w:val="00EA20FD"/>
    <w:rsid w:val="00EA21D0"/>
    <w:rsid w:val="00EA237D"/>
    <w:rsid w:val="00EA245A"/>
    <w:rsid w:val="00EA2527"/>
    <w:rsid w:val="00EA2A4D"/>
    <w:rsid w:val="00EA2B94"/>
    <w:rsid w:val="00EA2B97"/>
    <w:rsid w:val="00EA2C7E"/>
    <w:rsid w:val="00EA2E5C"/>
    <w:rsid w:val="00EA2FEC"/>
    <w:rsid w:val="00EA315B"/>
    <w:rsid w:val="00EA33AC"/>
    <w:rsid w:val="00EA34FF"/>
    <w:rsid w:val="00EA3CED"/>
    <w:rsid w:val="00EA3D64"/>
    <w:rsid w:val="00EA3DC0"/>
    <w:rsid w:val="00EA4156"/>
    <w:rsid w:val="00EA44F3"/>
    <w:rsid w:val="00EA499A"/>
    <w:rsid w:val="00EA4C5B"/>
    <w:rsid w:val="00EA4D99"/>
    <w:rsid w:val="00EA4F78"/>
    <w:rsid w:val="00EA50C0"/>
    <w:rsid w:val="00EA51F0"/>
    <w:rsid w:val="00EA537E"/>
    <w:rsid w:val="00EA5A23"/>
    <w:rsid w:val="00EA5A85"/>
    <w:rsid w:val="00EA5AB8"/>
    <w:rsid w:val="00EA5AC2"/>
    <w:rsid w:val="00EA5BDA"/>
    <w:rsid w:val="00EA5CE3"/>
    <w:rsid w:val="00EA5E88"/>
    <w:rsid w:val="00EA5EB1"/>
    <w:rsid w:val="00EA5FC6"/>
    <w:rsid w:val="00EA60D4"/>
    <w:rsid w:val="00EA6230"/>
    <w:rsid w:val="00EA62F3"/>
    <w:rsid w:val="00EA6364"/>
    <w:rsid w:val="00EA6459"/>
    <w:rsid w:val="00EA66CC"/>
    <w:rsid w:val="00EA6972"/>
    <w:rsid w:val="00EA6A9A"/>
    <w:rsid w:val="00EA6AE1"/>
    <w:rsid w:val="00EA6BBE"/>
    <w:rsid w:val="00EA6C79"/>
    <w:rsid w:val="00EA6F0D"/>
    <w:rsid w:val="00EA6F19"/>
    <w:rsid w:val="00EA71C5"/>
    <w:rsid w:val="00EA728F"/>
    <w:rsid w:val="00EA7496"/>
    <w:rsid w:val="00EA75F2"/>
    <w:rsid w:val="00EA7677"/>
    <w:rsid w:val="00EA777B"/>
    <w:rsid w:val="00EA79D8"/>
    <w:rsid w:val="00EA7A7A"/>
    <w:rsid w:val="00EA7C54"/>
    <w:rsid w:val="00EA7D96"/>
    <w:rsid w:val="00EA7E3C"/>
    <w:rsid w:val="00EB0144"/>
    <w:rsid w:val="00EB01B3"/>
    <w:rsid w:val="00EB03BA"/>
    <w:rsid w:val="00EB03D7"/>
    <w:rsid w:val="00EB046A"/>
    <w:rsid w:val="00EB0494"/>
    <w:rsid w:val="00EB0672"/>
    <w:rsid w:val="00EB07FE"/>
    <w:rsid w:val="00EB0A6F"/>
    <w:rsid w:val="00EB0EDC"/>
    <w:rsid w:val="00EB0F07"/>
    <w:rsid w:val="00EB0FAB"/>
    <w:rsid w:val="00EB1035"/>
    <w:rsid w:val="00EB1067"/>
    <w:rsid w:val="00EB11A8"/>
    <w:rsid w:val="00EB16F2"/>
    <w:rsid w:val="00EB16F6"/>
    <w:rsid w:val="00EB185C"/>
    <w:rsid w:val="00EB1BAB"/>
    <w:rsid w:val="00EB1D2D"/>
    <w:rsid w:val="00EB1D6F"/>
    <w:rsid w:val="00EB1E18"/>
    <w:rsid w:val="00EB22F8"/>
    <w:rsid w:val="00EB2701"/>
    <w:rsid w:val="00EB27B1"/>
    <w:rsid w:val="00EB2851"/>
    <w:rsid w:val="00EB29D6"/>
    <w:rsid w:val="00EB2A7D"/>
    <w:rsid w:val="00EB2D34"/>
    <w:rsid w:val="00EB2FAD"/>
    <w:rsid w:val="00EB322A"/>
    <w:rsid w:val="00EB334E"/>
    <w:rsid w:val="00EB3499"/>
    <w:rsid w:val="00EB35CC"/>
    <w:rsid w:val="00EB37CA"/>
    <w:rsid w:val="00EB38E0"/>
    <w:rsid w:val="00EB391B"/>
    <w:rsid w:val="00EB3AC6"/>
    <w:rsid w:val="00EB3F9A"/>
    <w:rsid w:val="00EB4192"/>
    <w:rsid w:val="00EB41CE"/>
    <w:rsid w:val="00EB41F4"/>
    <w:rsid w:val="00EB43EE"/>
    <w:rsid w:val="00EB465C"/>
    <w:rsid w:val="00EB46CA"/>
    <w:rsid w:val="00EB4A9E"/>
    <w:rsid w:val="00EB4D0E"/>
    <w:rsid w:val="00EB4E40"/>
    <w:rsid w:val="00EB4EAC"/>
    <w:rsid w:val="00EB4EDF"/>
    <w:rsid w:val="00EB4F55"/>
    <w:rsid w:val="00EB4F8F"/>
    <w:rsid w:val="00EB5120"/>
    <w:rsid w:val="00EB53E7"/>
    <w:rsid w:val="00EB56DC"/>
    <w:rsid w:val="00EB5820"/>
    <w:rsid w:val="00EB5D74"/>
    <w:rsid w:val="00EB5DF3"/>
    <w:rsid w:val="00EB5E3B"/>
    <w:rsid w:val="00EB5F19"/>
    <w:rsid w:val="00EB6715"/>
    <w:rsid w:val="00EB6795"/>
    <w:rsid w:val="00EB6964"/>
    <w:rsid w:val="00EB6CB4"/>
    <w:rsid w:val="00EB6D17"/>
    <w:rsid w:val="00EB7090"/>
    <w:rsid w:val="00EB7106"/>
    <w:rsid w:val="00EB74E7"/>
    <w:rsid w:val="00EB7517"/>
    <w:rsid w:val="00EB75C0"/>
    <w:rsid w:val="00EB7667"/>
    <w:rsid w:val="00EB76D4"/>
    <w:rsid w:val="00EB777B"/>
    <w:rsid w:val="00EB77FF"/>
    <w:rsid w:val="00EB7D8F"/>
    <w:rsid w:val="00EB7E2A"/>
    <w:rsid w:val="00EB7E3C"/>
    <w:rsid w:val="00EC025C"/>
    <w:rsid w:val="00EC03F9"/>
    <w:rsid w:val="00EC0426"/>
    <w:rsid w:val="00EC043A"/>
    <w:rsid w:val="00EC0649"/>
    <w:rsid w:val="00EC06E6"/>
    <w:rsid w:val="00EC082E"/>
    <w:rsid w:val="00EC0CA2"/>
    <w:rsid w:val="00EC0CE6"/>
    <w:rsid w:val="00EC0D1D"/>
    <w:rsid w:val="00EC105A"/>
    <w:rsid w:val="00EC1217"/>
    <w:rsid w:val="00EC13B3"/>
    <w:rsid w:val="00EC1432"/>
    <w:rsid w:val="00EC14E1"/>
    <w:rsid w:val="00EC15F9"/>
    <w:rsid w:val="00EC1BBE"/>
    <w:rsid w:val="00EC1FCC"/>
    <w:rsid w:val="00EC2038"/>
    <w:rsid w:val="00EC26DC"/>
    <w:rsid w:val="00EC2942"/>
    <w:rsid w:val="00EC2B68"/>
    <w:rsid w:val="00EC2B94"/>
    <w:rsid w:val="00EC2F1A"/>
    <w:rsid w:val="00EC3096"/>
    <w:rsid w:val="00EC31D6"/>
    <w:rsid w:val="00EC35F6"/>
    <w:rsid w:val="00EC3766"/>
    <w:rsid w:val="00EC39BC"/>
    <w:rsid w:val="00EC3AEF"/>
    <w:rsid w:val="00EC3B8D"/>
    <w:rsid w:val="00EC4454"/>
    <w:rsid w:val="00EC4969"/>
    <w:rsid w:val="00EC49EB"/>
    <w:rsid w:val="00EC4A0C"/>
    <w:rsid w:val="00EC4B4E"/>
    <w:rsid w:val="00EC4BEA"/>
    <w:rsid w:val="00EC4C96"/>
    <w:rsid w:val="00EC4D93"/>
    <w:rsid w:val="00EC50F5"/>
    <w:rsid w:val="00EC5138"/>
    <w:rsid w:val="00EC5144"/>
    <w:rsid w:val="00EC5190"/>
    <w:rsid w:val="00EC54E7"/>
    <w:rsid w:val="00EC56B6"/>
    <w:rsid w:val="00EC5CD7"/>
    <w:rsid w:val="00EC5CD8"/>
    <w:rsid w:val="00EC5FD3"/>
    <w:rsid w:val="00EC6089"/>
    <w:rsid w:val="00EC6184"/>
    <w:rsid w:val="00EC61B1"/>
    <w:rsid w:val="00EC64F3"/>
    <w:rsid w:val="00EC6561"/>
    <w:rsid w:val="00EC689D"/>
    <w:rsid w:val="00EC6B6A"/>
    <w:rsid w:val="00EC6B75"/>
    <w:rsid w:val="00EC6BBD"/>
    <w:rsid w:val="00EC6D20"/>
    <w:rsid w:val="00EC6EA3"/>
    <w:rsid w:val="00EC6FE8"/>
    <w:rsid w:val="00EC70A8"/>
    <w:rsid w:val="00EC7177"/>
    <w:rsid w:val="00EC7236"/>
    <w:rsid w:val="00EC7898"/>
    <w:rsid w:val="00EC7936"/>
    <w:rsid w:val="00EC79C2"/>
    <w:rsid w:val="00EC7BC3"/>
    <w:rsid w:val="00EC7D17"/>
    <w:rsid w:val="00EC7D2B"/>
    <w:rsid w:val="00EC7E46"/>
    <w:rsid w:val="00EC7F27"/>
    <w:rsid w:val="00EC7FB4"/>
    <w:rsid w:val="00ED020A"/>
    <w:rsid w:val="00ED02F4"/>
    <w:rsid w:val="00ED036B"/>
    <w:rsid w:val="00ED03AA"/>
    <w:rsid w:val="00ED0919"/>
    <w:rsid w:val="00ED09BC"/>
    <w:rsid w:val="00ED0A47"/>
    <w:rsid w:val="00ED0B22"/>
    <w:rsid w:val="00ED0B69"/>
    <w:rsid w:val="00ED0C22"/>
    <w:rsid w:val="00ED118D"/>
    <w:rsid w:val="00ED15FF"/>
    <w:rsid w:val="00ED1769"/>
    <w:rsid w:val="00ED17C9"/>
    <w:rsid w:val="00ED1927"/>
    <w:rsid w:val="00ED1A09"/>
    <w:rsid w:val="00ED1B3F"/>
    <w:rsid w:val="00ED1BB6"/>
    <w:rsid w:val="00ED1BC5"/>
    <w:rsid w:val="00ED1F15"/>
    <w:rsid w:val="00ED24FD"/>
    <w:rsid w:val="00ED25A2"/>
    <w:rsid w:val="00ED269D"/>
    <w:rsid w:val="00ED28FC"/>
    <w:rsid w:val="00ED29E5"/>
    <w:rsid w:val="00ED2B47"/>
    <w:rsid w:val="00ED2CB6"/>
    <w:rsid w:val="00ED2D88"/>
    <w:rsid w:val="00ED2E5C"/>
    <w:rsid w:val="00ED2E67"/>
    <w:rsid w:val="00ED3072"/>
    <w:rsid w:val="00ED3078"/>
    <w:rsid w:val="00ED3396"/>
    <w:rsid w:val="00ED33C6"/>
    <w:rsid w:val="00ED36A9"/>
    <w:rsid w:val="00ED391D"/>
    <w:rsid w:val="00ED3AA7"/>
    <w:rsid w:val="00ED3B40"/>
    <w:rsid w:val="00ED42ED"/>
    <w:rsid w:val="00ED4571"/>
    <w:rsid w:val="00ED470A"/>
    <w:rsid w:val="00ED4836"/>
    <w:rsid w:val="00ED4903"/>
    <w:rsid w:val="00ED4916"/>
    <w:rsid w:val="00ED4963"/>
    <w:rsid w:val="00ED49F6"/>
    <w:rsid w:val="00ED4A59"/>
    <w:rsid w:val="00ED4C4F"/>
    <w:rsid w:val="00ED4D24"/>
    <w:rsid w:val="00ED522E"/>
    <w:rsid w:val="00ED52EC"/>
    <w:rsid w:val="00ED5371"/>
    <w:rsid w:val="00ED53E0"/>
    <w:rsid w:val="00ED542F"/>
    <w:rsid w:val="00ED5701"/>
    <w:rsid w:val="00ED5723"/>
    <w:rsid w:val="00ED578B"/>
    <w:rsid w:val="00ED578F"/>
    <w:rsid w:val="00ED59C0"/>
    <w:rsid w:val="00ED5C02"/>
    <w:rsid w:val="00ED5C29"/>
    <w:rsid w:val="00ED6011"/>
    <w:rsid w:val="00ED649A"/>
    <w:rsid w:val="00ED6659"/>
    <w:rsid w:val="00ED6A21"/>
    <w:rsid w:val="00ED6A87"/>
    <w:rsid w:val="00ED6CA9"/>
    <w:rsid w:val="00ED6CE5"/>
    <w:rsid w:val="00ED6EE8"/>
    <w:rsid w:val="00ED732E"/>
    <w:rsid w:val="00ED745E"/>
    <w:rsid w:val="00ED76D8"/>
    <w:rsid w:val="00ED7A44"/>
    <w:rsid w:val="00ED7BCF"/>
    <w:rsid w:val="00ED7C57"/>
    <w:rsid w:val="00ED7E9D"/>
    <w:rsid w:val="00ED7FD5"/>
    <w:rsid w:val="00EE02F0"/>
    <w:rsid w:val="00EE03E8"/>
    <w:rsid w:val="00EE04C9"/>
    <w:rsid w:val="00EE061F"/>
    <w:rsid w:val="00EE07BB"/>
    <w:rsid w:val="00EE0827"/>
    <w:rsid w:val="00EE086D"/>
    <w:rsid w:val="00EE087A"/>
    <w:rsid w:val="00EE0A20"/>
    <w:rsid w:val="00EE0C4E"/>
    <w:rsid w:val="00EE0C8E"/>
    <w:rsid w:val="00EE111D"/>
    <w:rsid w:val="00EE1404"/>
    <w:rsid w:val="00EE14FD"/>
    <w:rsid w:val="00EE154F"/>
    <w:rsid w:val="00EE16F1"/>
    <w:rsid w:val="00EE18A7"/>
    <w:rsid w:val="00EE19E6"/>
    <w:rsid w:val="00EE1A67"/>
    <w:rsid w:val="00EE1B8B"/>
    <w:rsid w:val="00EE1B91"/>
    <w:rsid w:val="00EE1F6B"/>
    <w:rsid w:val="00EE2009"/>
    <w:rsid w:val="00EE2322"/>
    <w:rsid w:val="00EE252B"/>
    <w:rsid w:val="00EE25BA"/>
    <w:rsid w:val="00EE25EF"/>
    <w:rsid w:val="00EE25F7"/>
    <w:rsid w:val="00EE2942"/>
    <w:rsid w:val="00EE29EE"/>
    <w:rsid w:val="00EE2A73"/>
    <w:rsid w:val="00EE2BF8"/>
    <w:rsid w:val="00EE2EF5"/>
    <w:rsid w:val="00EE2FEC"/>
    <w:rsid w:val="00EE32D9"/>
    <w:rsid w:val="00EE354D"/>
    <w:rsid w:val="00EE3575"/>
    <w:rsid w:val="00EE37B3"/>
    <w:rsid w:val="00EE3903"/>
    <w:rsid w:val="00EE3AB0"/>
    <w:rsid w:val="00EE3B86"/>
    <w:rsid w:val="00EE3F44"/>
    <w:rsid w:val="00EE418F"/>
    <w:rsid w:val="00EE41C4"/>
    <w:rsid w:val="00EE41F6"/>
    <w:rsid w:val="00EE422B"/>
    <w:rsid w:val="00EE429D"/>
    <w:rsid w:val="00EE438A"/>
    <w:rsid w:val="00EE43FB"/>
    <w:rsid w:val="00EE4435"/>
    <w:rsid w:val="00EE44F6"/>
    <w:rsid w:val="00EE475B"/>
    <w:rsid w:val="00EE4826"/>
    <w:rsid w:val="00EE4934"/>
    <w:rsid w:val="00EE4C42"/>
    <w:rsid w:val="00EE4CB8"/>
    <w:rsid w:val="00EE4FA4"/>
    <w:rsid w:val="00EE5130"/>
    <w:rsid w:val="00EE5158"/>
    <w:rsid w:val="00EE52F5"/>
    <w:rsid w:val="00EE5548"/>
    <w:rsid w:val="00EE578B"/>
    <w:rsid w:val="00EE5AFC"/>
    <w:rsid w:val="00EE5B10"/>
    <w:rsid w:val="00EE5B31"/>
    <w:rsid w:val="00EE5C73"/>
    <w:rsid w:val="00EE5FB3"/>
    <w:rsid w:val="00EE6084"/>
    <w:rsid w:val="00EE6227"/>
    <w:rsid w:val="00EE6705"/>
    <w:rsid w:val="00EE6746"/>
    <w:rsid w:val="00EE6907"/>
    <w:rsid w:val="00EE6B4E"/>
    <w:rsid w:val="00EE6CBE"/>
    <w:rsid w:val="00EE6FC8"/>
    <w:rsid w:val="00EE75B0"/>
    <w:rsid w:val="00EE7672"/>
    <w:rsid w:val="00EE77D6"/>
    <w:rsid w:val="00EE7835"/>
    <w:rsid w:val="00EE79F5"/>
    <w:rsid w:val="00EE7C8C"/>
    <w:rsid w:val="00EE7D8C"/>
    <w:rsid w:val="00EE7DD9"/>
    <w:rsid w:val="00EE7EBC"/>
    <w:rsid w:val="00EE7F79"/>
    <w:rsid w:val="00EE7FAA"/>
    <w:rsid w:val="00EF0078"/>
    <w:rsid w:val="00EF0165"/>
    <w:rsid w:val="00EF034E"/>
    <w:rsid w:val="00EF057B"/>
    <w:rsid w:val="00EF05B7"/>
    <w:rsid w:val="00EF0643"/>
    <w:rsid w:val="00EF071E"/>
    <w:rsid w:val="00EF07B4"/>
    <w:rsid w:val="00EF11FC"/>
    <w:rsid w:val="00EF130A"/>
    <w:rsid w:val="00EF1684"/>
    <w:rsid w:val="00EF16EA"/>
    <w:rsid w:val="00EF1935"/>
    <w:rsid w:val="00EF1A0F"/>
    <w:rsid w:val="00EF1AAB"/>
    <w:rsid w:val="00EF1C28"/>
    <w:rsid w:val="00EF1C48"/>
    <w:rsid w:val="00EF1C98"/>
    <w:rsid w:val="00EF22B7"/>
    <w:rsid w:val="00EF238F"/>
    <w:rsid w:val="00EF27FB"/>
    <w:rsid w:val="00EF29E3"/>
    <w:rsid w:val="00EF29E4"/>
    <w:rsid w:val="00EF2EB2"/>
    <w:rsid w:val="00EF30CE"/>
    <w:rsid w:val="00EF3191"/>
    <w:rsid w:val="00EF3241"/>
    <w:rsid w:val="00EF33B3"/>
    <w:rsid w:val="00EF3A21"/>
    <w:rsid w:val="00EF3C23"/>
    <w:rsid w:val="00EF3CDA"/>
    <w:rsid w:val="00EF3F75"/>
    <w:rsid w:val="00EF4135"/>
    <w:rsid w:val="00EF4194"/>
    <w:rsid w:val="00EF4223"/>
    <w:rsid w:val="00EF4225"/>
    <w:rsid w:val="00EF4340"/>
    <w:rsid w:val="00EF4386"/>
    <w:rsid w:val="00EF46BD"/>
    <w:rsid w:val="00EF481D"/>
    <w:rsid w:val="00EF4A61"/>
    <w:rsid w:val="00EF4D04"/>
    <w:rsid w:val="00EF4EE2"/>
    <w:rsid w:val="00EF550C"/>
    <w:rsid w:val="00EF5706"/>
    <w:rsid w:val="00EF5BCF"/>
    <w:rsid w:val="00EF6003"/>
    <w:rsid w:val="00EF6196"/>
    <w:rsid w:val="00EF6199"/>
    <w:rsid w:val="00EF62F0"/>
    <w:rsid w:val="00EF66DD"/>
    <w:rsid w:val="00EF6783"/>
    <w:rsid w:val="00EF6B24"/>
    <w:rsid w:val="00EF6CE2"/>
    <w:rsid w:val="00EF6FA2"/>
    <w:rsid w:val="00EF715A"/>
    <w:rsid w:val="00EF724A"/>
    <w:rsid w:val="00EF741D"/>
    <w:rsid w:val="00EF74E3"/>
    <w:rsid w:val="00EF7561"/>
    <w:rsid w:val="00EF7564"/>
    <w:rsid w:val="00EF7568"/>
    <w:rsid w:val="00EF7595"/>
    <w:rsid w:val="00EF76D1"/>
    <w:rsid w:val="00EF77A5"/>
    <w:rsid w:val="00EF77C5"/>
    <w:rsid w:val="00EF7846"/>
    <w:rsid w:val="00EF7A30"/>
    <w:rsid w:val="00EF7BE1"/>
    <w:rsid w:val="00F00303"/>
    <w:rsid w:val="00F006BA"/>
    <w:rsid w:val="00F00863"/>
    <w:rsid w:val="00F00952"/>
    <w:rsid w:val="00F00964"/>
    <w:rsid w:val="00F00B4E"/>
    <w:rsid w:val="00F00B91"/>
    <w:rsid w:val="00F00C91"/>
    <w:rsid w:val="00F00E1A"/>
    <w:rsid w:val="00F01118"/>
    <w:rsid w:val="00F011EA"/>
    <w:rsid w:val="00F012E9"/>
    <w:rsid w:val="00F01301"/>
    <w:rsid w:val="00F01337"/>
    <w:rsid w:val="00F01655"/>
    <w:rsid w:val="00F016DD"/>
    <w:rsid w:val="00F019DF"/>
    <w:rsid w:val="00F01AA6"/>
    <w:rsid w:val="00F01EA9"/>
    <w:rsid w:val="00F01FC6"/>
    <w:rsid w:val="00F02060"/>
    <w:rsid w:val="00F02198"/>
    <w:rsid w:val="00F02199"/>
    <w:rsid w:val="00F024C9"/>
    <w:rsid w:val="00F02675"/>
    <w:rsid w:val="00F02A42"/>
    <w:rsid w:val="00F02FE9"/>
    <w:rsid w:val="00F0304A"/>
    <w:rsid w:val="00F03230"/>
    <w:rsid w:val="00F0339C"/>
    <w:rsid w:val="00F03609"/>
    <w:rsid w:val="00F038FD"/>
    <w:rsid w:val="00F03B8A"/>
    <w:rsid w:val="00F03C3C"/>
    <w:rsid w:val="00F03D43"/>
    <w:rsid w:val="00F03E52"/>
    <w:rsid w:val="00F03ED9"/>
    <w:rsid w:val="00F03F95"/>
    <w:rsid w:val="00F04049"/>
    <w:rsid w:val="00F0405C"/>
    <w:rsid w:val="00F04088"/>
    <w:rsid w:val="00F0408B"/>
    <w:rsid w:val="00F0437D"/>
    <w:rsid w:val="00F043A6"/>
    <w:rsid w:val="00F04606"/>
    <w:rsid w:val="00F0464A"/>
    <w:rsid w:val="00F046DF"/>
    <w:rsid w:val="00F04755"/>
    <w:rsid w:val="00F04851"/>
    <w:rsid w:val="00F04A66"/>
    <w:rsid w:val="00F04B93"/>
    <w:rsid w:val="00F04D19"/>
    <w:rsid w:val="00F04FF9"/>
    <w:rsid w:val="00F0503C"/>
    <w:rsid w:val="00F05215"/>
    <w:rsid w:val="00F05289"/>
    <w:rsid w:val="00F05301"/>
    <w:rsid w:val="00F05532"/>
    <w:rsid w:val="00F056F4"/>
    <w:rsid w:val="00F056F5"/>
    <w:rsid w:val="00F05A1B"/>
    <w:rsid w:val="00F05A80"/>
    <w:rsid w:val="00F05CFF"/>
    <w:rsid w:val="00F05D03"/>
    <w:rsid w:val="00F05E4E"/>
    <w:rsid w:val="00F05FF6"/>
    <w:rsid w:val="00F060C2"/>
    <w:rsid w:val="00F06167"/>
    <w:rsid w:val="00F061FF"/>
    <w:rsid w:val="00F062A5"/>
    <w:rsid w:val="00F062E8"/>
    <w:rsid w:val="00F06406"/>
    <w:rsid w:val="00F0645C"/>
    <w:rsid w:val="00F06520"/>
    <w:rsid w:val="00F066A2"/>
    <w:rsid w:val="00F06803"/>
    <w:rsid w:val="00F06814"/>
    <w:rsid w:val="00F0681A"/>
    <w:rsid w:val="00F06834"/>
    <w:rsid w:val="00F06969"/>
    <w:rsid w:val="00F06A11"/>
    <w:rsid w:val="00F06C21"/>
    <w:rsid w:val="00F06D2C"/>
    <w:rsid w:val="00F06E14"/>
    <w:rsid w:val="00F06F60"/>
    <w:rsid w:val="00F071F6"/>
    <w:rsid w:val="00F073A4"/>
    <w:rsid w:val="00F073A6"/>
    <w:rsid w:val="00F0742D"/>
    <w:rsid w:val="00F074A2"/>
    <w:rsid w:val="00F0762B"/>
    <w:rsid w:val="00F07705"/>
    <w:rsid w:val="00F0792A"/>
    <w:rsid w:val="00F07B66"/>
    <w:rsid w:val="00F1003F"/>
    <w:rsid w:val="00F101D0"/>
    <w:rsid w:val="00F10321"/>
    <w:rsid w:val="00F10351"/>
    <w:rsid w:val="00F1056C"/>
    <w:rsid w:val="00F1073C"/>
    <w:rsid w:val="00F1075A"/>
    <w:rsid w:val="00F10928"/>
    <w:rsid w:val="00F1094F"/>
    <w:rsid w:val="00F10B77"/>
    <w:rsid w:val="00F10BC6"/>
    <w:rsid w:val="00F10C59"/>
    <w:rsid w:val="00F10DE0"/>
    <w:rsid w:val="00F110FF"/>
    <w:rsid w:val="00F111E3"/>
    <w:rsid w:val="00F114B5"/>
    <w:rsid w:val="00F115AD"/>
    <w:rsid w:val="00F11795"/>
    <w:rsid w:val="00F119F2"/>
    <w:rsid w:val="00F11A0C"/>
    <w:rsid w:val="00F11E54"/>
    <w:rsid w:val="00F12369"/>
    <w:rsid w:val="00F125E2"/>
    <w:rsid w:val="00F12995"/>
    <w:rsid w:val="00F12E6F"/>
    <w:rsid w:val="00F12F0C"/>
    <w:rsid w:val="00F13304"/>
    <w:rsid w:val="00F13539"/>
    <w:rsid w:val="00F13735"/>
    <w:rsid w:val="00F137DC"/>
    <w:rsid w:val="00F1380A"/>
    <w:rsid w:val="00F13885"/>
    <w:rsid w:val="00F13A16"/>
    <w:rsid w:val="00F13A45"/>
    <w:rsid w:val="00F13E33"/>
    <w:rsid w:val="00F140B1"/>
    <w:rsid w:val="00F14279"/>
    <w:rsid w:val="00F142AC"/>
    <w:rsid w:val="00F143D8"/>
    <w:rsid w:val="00F14406"/>
    <w:rsid w:val="00F144AE"/>
    <w:rsid w:val="00F144B8"/>
    <w:rsid w:val="00F14791"/>
    <w:rsid w:val="00F147A0"/>
    <w:rsid w:val="00F14AC5"/>
    <w:rsid w:val="00F14CE1"/>
    <w:rsid w:val="00F14F46"/>
    <w:rsid w:val="00F150BA"/>
    <w:rsid w:val="00F150BF"/>
    <w:rsid w:val="00F1579E"/>
    <w:rsid w:val="00F157D5"/>
    <w:rsid w:val="00F1610A"/>
    <w:rsid w:val="00F164BC"/>
    <w:rsid w:val="00F1652F"/>
    <w:rsid w:val="00F169BC"/>
    <w:rsid w:val="00F16BB8"/>
    <w:rsid w:val="00F16D81"/>
    <w:rsid w:val="00F16E23"/>
    <w:rsid w:val="00F16E56"/>
    <w:rsid w:val="00F16F98"/>
    <w:rsid w:val="00F17076"/>
    <w:rsid w:val="00F1713B"/>
    <w:rsid w:val="00F171CB"/>
    <w:rsid w:val="00F17232"/>
    <w:rsid w:val="00F172C7"/>
    <w:rsid w:val="00F173AA"/>
    <w:rsid w:val="00F17865"/>
    <w:rsid w:val="00F17914"/>
    <w:rsid w:val="00F179D4"/>
    <w:rsid w:val="00F17A5D"/>
    <w:rsid w:val="00F17AA8"/>
    <w:rsid w:val="00F17BC2"/>
    <w:rsid w:val="00F17D70"/>
    <w:rsid w:val="00F17F21"/>
    <w:rsid w:val="00F20125"/>
    <w:rsid w:val="00F2035D"/>
    <w:rsid w:val="00F204E4"/>
    <w:rsid w:val="00F205A1"/>
    <w:rsid w:val="00F20828"/>
    <w:rsid w:val="00F20959"/>
    <w:rsid w:val="00F20AFE"/>
    <w:rsid w:val="00F20B94"/>
    <w:rsid w:val="00F20BA0"/>
    <w:rsid w:val="00F20C45"/>
    <w:rsid w:val="00F20E8A"/>
    <w:rsid w:val="00F211E7"/>
    <w:rsid w:val="00F213D7"/>
    <w:rsid w:val="00F214A7"/>
    <w:rsid w:val="00F2156B"/>
    <w:rsid w:val="00F215C9"/>
    <w:rsid w:val="00F215DA"/>
    <w:rsid w:val="00F217AA"/>
    <w:rsid w:val="00F219AC"/>
    <w:rsid w:val="00F21AA6"/>
    <w:rsid w:val="00F21B6B"/>
    <w:rsid w:val="00F21D13"/>
    <w:rsid w:val="00F21D6C"/>
    <w:rsid w:val="00F21F29"/>
    <w:rsid w:val="00F21F33"/>
    <w:rsid w:val="00F21F5C"/>
    <w:rsid w:val="00F22221"/>
    <w:rsid w:val="00F22312"/>
    <w:rsid w:val="00F226F5"/>
    <w:rsid w:val="00F227BC"/>
    <w:rsid w:val="00F22941"/>
    <w:rsid w:val="00F22A23"/>
    <w:rsid w:val="00F22CBF"/>
    <w:rsid w:val="00F22E94"/>
    <w:rsid w:val="00F22F8A"/>
    <w:rsid w:val="00F2338C"/>
    <w:rsid w:val="00F23446"/>
    <w:rsid w:val="00F23448"/>
    <w:rsid w:val="00F234CA"/>
    <w:rsid w:val="00F2356E"/>
    <w:rsid w:val="00F23C85"/>
    <w:rsid w:val="00F23E4C"/>
    <w:rsid w:val="00F2405F"/>
    <w:rsid w:val="00F2424B"/>
    <w:rsid w:val="00F245DA"/>
    <w:rsid w:val="00F246F4"/>
    <w:rsid w:val="00F2492A"/>
    <w:rsid w:val="00F249B0"/>
    <w:rsid w:val="00F24B26"/>
    <w:rsid w:val="00F24B79"/>
    <w:rsid w:val="00F24C2E"/>
    <w:rsid w:val="00F24CB7"/>
    <w:rsid w:val="00F24F8E"/>
    <w:rsid w:val="00F25062"/>
    <w:rsid w:val="00F25386"/>
    <w:rsid w:val="00F25492"/>
    <w:rsid w:val="00F25DBF"/>
    <w:rsid w:val="00F25EAF"/>
    <w:rsid w:val="00F25EDB"/>
    <w:rsid w:val="00F25F5C"/>
    <w:rsid w:val="00F25F9E"/>
    <w:rsid w:val="00F2606B"/>
    <w:rsid w:val="00F2623D"/>
    <w:rsid w:val="00F264B4"/>
    <w:rsid w:val="00F264C7"/>
    <w:rsid w:val="00F26508"/>
    <w:rsid w:val="00F265FF"/>
    <w:rsid w:val="00F26621"/>
    <w:rsid w:val="00F26622"/>
    <w:rsid w:val="00F26770"/>
    <w:rsid w:val="00F26857"/>
    <w:rsid w:val="00F26A36"/>
    <w:rsid w:val="00F26B78"/>
    <w:rsid w:val="00F26C4E"/>
    <w:rsid w:val="00F26C68"/>
    <w:rsid w:val="00F26E3C"/>
    <w:rsid w:val="00F26FDC"/>
    <w:rsid w:val="00F2705B"/>
    <w:rsid w:val="00F27098"/>
    <w:rsid w:val="00F2709D"/>
    <w:rsid w:val="00F270E9"/>
    <w:rsid w:val="00F27163"/>
    <w:rsid w:val="00F271BD"/>
    <w:rsid w:val="00F27338"/>
    <w:rsid w:val="00F274FA"/>
    <w:rsid w:val="00F276FC"/>
    <w:rsid w:val="00F279AA"/>
    <w:rsid w:val="00F27BE2"/>
    <w:rsid w:val="00F27C23"/>
    <w:rsid w:val="00F27C74"/>
    <w:rsid w:val="00F30070"/>
    <w:rsid w:val="00F30111"/>
    <w:rsid w:val="00F30165"/>
    <w:rsid w:val="00F30348"/>
    <w:rsid w:val="00F304AE"/>
    <w:rsid w:val="00F3095E"/>
    <w:rsid w:val="00F309B3"/>
    <w:rsid w:val="00F30C13"/>
    <w:rsid w:val="00F30F69"/>
    <w:rsid w:val="00F3107F"/>
    <w:rsid w:val="00F3140E"/>
    <w:rsid w:val="00F31487"/>
    <w:rsid w:val="00F314F3"/>
    <w:rsid w:val="00F31553"/>
    <w:rsid w:val="00F31EAF"/>
    <w:rsid w:val="00F321E3"/>
    <w:rsid w:val="00F322BC"/>
    <w:rsid w:val="00F324A7"/>
    <w:rsid w:val="00F3269E"/>
    <w:rsid w:val="00F32810"/>
    <w:rsid w:val="00F329E0"/>
    <w:rsid w:val="00F329E5"/>
    <w:rsid w:val="00F32A3E"/>
    <w:rsid w:val="00F32ABA"/>
    <w:rsid w:val="00F32BBF"/>
    <w:rsid w:val="00F32D2B"/>
    <w:rsid w:val="00F3308E"/>
    <w:rsid w:val="00F332A6"/>
    <w:rsid w:val="00F33516"/>
    <w:rsid w:val="00F33633"/>
    <w:rsid w:val="00F338E1"/>
    <w:rsid w:val="00F338E3"/>
    <w:rsid w:val="00F33A72"/>
    <w:rsid w:val="00F33C56"/>
    <w:rsid w:val="00F33D24"/>
    <w:rsid w:val="00F33D8A"/>
    <w:rsid w:val="00F33EB0"/>
    <w:rsid w:val="00F33F0F"/>
    <w:rsid w:val="00F33F76"/>
    <w:rsid w:val="00F3412E"/>
    <w:rsid w:val="00F3451F"/>
    <w:rsid w:val="00F347C7"/>
    <w:rsid w:val="00F347FB"/>
    <w:rsid w:val="00F34848"/>
    <w:rsid w:val="00F349DA"/>
    <w:rsid w:val="00F34B61"/>
    <w:rsid w:val="00F34C99"/>
    <w:rsid w:val="00F34F77"/>
    <w:rsid w:val="00F35172"/>
    <w:rsid w:val="00F352C5"/>
    <w:rsid w:val="00F35323"/>
    <w:rsid w:val="00F3586D"/>
    <w:rsid w:val="00F358F2"/>
    <w:rsid w:val="00F359FF"/>
    <w:rsid w:val="00F35C3D"/>
    <w:rsid w:val="00F35D9C"/>
    <w:rsid w:val="00F35E1D"/>
    <w:rsid w:val="00F35FA8"/>
    <w:rsid w:val="00F36162"/>
    <w:rsid w:val="00F361C6"/>
    <w:rsid w:val="00F363B2"/>
    <w:rsid w:val="00F366F8"/>
    <w:rsid w:val="00F36A4E"/>
    <w:rsid w:val="00F36AF5"/>
    <w:rsid w:val="00F36BEC"/>
    <w:rsid w:val="00F36CDB"/>
    <w:rsid w:val="00F36D4B"/>
    <w:rsid w:val="00F37023"/>
    <w:rsid w:val="00F37297"/>
    <w:rsid w:val="00F37378"/>
    <w:rsid w:val="00F3757A"/>
    <w:rsid w:val="00F375BC"/>
    <w:rsid w:val="00F37702"/>
    <w:rsid w:val="00F37785"/>
    <w:rsid w:val="00F377E9"/>
    <w:rsid w:val="00F37968"/>
    <w:rsid w:val="00F37A6E"/>
    <w:rsid w:val="00F37B23"/>
    <w:rsid w:val="00F37F2D"/>
    <w:rsid w:val="00F40456"/>
    <w:rsid w:val="00F405CF"/>
    <w:rsid w:val="00F405F8"/>
    <w:rsid w:val="00F406A3"/>
    <w:rsid w:val="00F40959"/>
    <w:rsid w:val="00F40979"/>
    <w:rsid w:val="00F40A8B"/>
    <w:rsid w:val="00F40A93"/>
    <w:rsid w:val="00F40DF3"/>
    <w:rsid w:val="00F40E33"/>
    <w:rsid w:val="00F40E3E"/>
    <w:rsid w:val="00F40EAC"/>
    <w:rsid w:val="00F40EF2"/>
    <w:rsid w:val="00F4103A"/>
    <w:rsid w:val="00F410A9"/>
    <w:rsid w:val="00F4126F"/>
    <w:rsid w:val="00F4141E"/>
    <w:rsid w:val="00F4183F"/>
    <w:rsid w:val="00F41910"/>
    <w:rsid w:val="00F41921"/>
    <w:rsid w:val="00F41AA7"/>
    <w:rsid w:val="00F41B09"/>
    <w:rsid w:val="00F41B32"/>
    <w:rsid w:val="00F4213A"/>
    <w:rsid w:val="00F42163"/>
    <w:rsid w:val="00F4220C"/>
    <w:rsid w:val="00F42499"/>
    <w:rsid w:val="00F42579"/>
    <w:rsid w:val="00F426C4"/>
    <w:rsid w:val="00F42A70"/>
    <w:rsid w:val="00F42D46"/>
    <w:rsid w:val="00F42E2A"/>
    <w:rsid w:val="00F42EA8"/>
    <w:rsid w:val="00F4321A"/>
    <w:rsid w:val="00F4338B"/>
    <w:rsid w:val="00F43435"/>
    <w:rsid w:val="00F434A0"/>
    <w:rsid w:val="00F4373B"/>
    <w:rsid w:val="00F43A63"/>
    <w:rsid w:val="00F43AFD"/>
    <w:rsid w:val="00F43D7B"/>
    <w:rsid w:val="00F43EBF"/>
    <w:rsid w:val="00F43F80"/>
    <w:rsid w:val="00F44021"/>
    <w:rsid w:val="00F4402C"/>
    <w:rsid w:val="00F4422C"/>
    <w:rsid w:val="00F4452D"/>
    <w:rsid w:val="00F44550"/>
    <w:rsid w:val="00F44585"/>
    <w:rsid w:val="00F44618"/>
    <w:rsid w:val="00F44792"/>
    <w:rsid w:val="00F44877"/>
    <w:rsid w:val="00F4496C"/>
    <w:rsid w:val="00F44B1A"/>
    <w:rsid w:val="00F44F3A"/>
    <w:rsid w:val="00F44F3C"/>
    <w:rsid w:val="00F4502F"/>
    <w:rsid w:val="00F4508F"/>
    <w:rsid w:val="00F45346"/>
    <w:rsid w:val="00F45385"/>
    <w:rsid w:val="00F4547F"/>
    <w:rsid w:val="00F456AF"/>
    <w:rsid w:val="00F45738"/>
    <w:rsid w:val="00F459AE"/>
    <w:rsid w:val="00F45E02"/>
    <w:rsid w:val="00F45FBA"/>
    <w:rsid w:val="00F46037"/>
    <w:rsid w:val="00F460B4"/>
    <w:rsid w:val="00F46368"/>
    <w:rsid w:val="00F4648D"/>
    <w:rsid w:val="00F46943"/>
    <w:rsid w:val="00F46951"/>
    <w:rsid w:val="00F46B3C"/>
    <w:rsid w:val="00F46B6B"/>
    <w:rsid w:val="00F46C62"/>
    <w:rsid w:val="00F46CF4"/>
    <w:rsid w:val="00F46DE6"/>
    <w:rsid w:val="00F46E9B"/>
    <w:rsid w:val="00F4711E"/>
    <w:rsid w:val="00F47253"/>
    <w:rsid w:val="00F4747B"/>
    <w:rsid w:val="00F475E1"/>
    <w:rsid w:val="00F476C0"/>
    <w:rsid w:val="00F47896"/>
    <w:rsid w:val="00F47906"/>
    <w:rsid w:val="00F47B1E"/>
    <w:rsid w:val="00F47E50"/>
    <w:rsid w:val="00F47E9A"/>
    <w:rsid w:val="00F47ED2"/>
    <w:rsid w:val="00F47F8E"/>
    <w:rsid w:val="00F502A1"/>
    <w:rsid w:val="00F503C5"/>
    <w:rsid w:val="00F50696"/>
    <w:rsid w:val="00F506C9"/>
    <w:rsid w:val="00F5072D"/>
    <w:rsid w:val="00F50BFE"/>
    <w:rsid w:val="00F50DDA"/>
    <w:rsid w:val="00F51073"/>
    <w:rsid w:val="00F51139"/>
    <w:rsid w:val="00F514D3"/>
    <w:rsid w:val="00F51746"/>
    <w:rsid w:val="00F518BB"/>
    <w:rsid w:val="00F51CED"/>
    <w:rsid w:val="00F51D94"/>
    <w:rsid w:val="00F51F10"/>
    <w:rsid w:val="00F520CF"/>
    <w:rsid w:val="00F52185"/>
    <w:rsid w:val="00F521C3"/>
    <w:rsid w:val="00F521FF"/>
    <w:rsid w:val="00F5254E"/>
    <w:rsid w:val="00F52584"/>
    <w:rsid w:val="00F52633"/>
    <w:rsid w:val="00F52694"/>
    <w:rsid w:val="00F5271B"/>
    <w:rsid w:val="00F529A5"/>
    <w:rsid w:val="00F52A0E"/>
    <w:rsid w:val="00F52D62"/>
    <w:rsid w:val="00F52DF1"/>
    <w:rsid w:val="00F52FBB"/>
    <w:rsid w:val="00F5301B"/>
    <w:rsid w:val="00F5310D"/>
    <w:rsid w:val="00F53242"/>
    <w:rsid w:val="00F53437"/>
    <w:rsid w:val="00F53668"/>
    <w:rsid w:val="00F53990"/>
    <w:rsid w:val="00F53AFB"/>
    <w:rsid w:val="00F53B5D"/>
    <w:rsid w:val="00F53D3D"/>
    <w:rsid w:val="00F53DB8"/>
    <w:rsid w:val="00F53E7C"/>
    <w:rsid w:val="00F53F76"/>
    <w:rsid w:val="00F5412B"/>
    <w:rsid w:val="00F542CF"/>
    <w:rsid w:val="00F54382"/>
    <w:rsid w:val="00F5447B"/>
    <w:rsid w:val="00F5466A"/>
    <w:rsid w:val="00F546D1"/>
    <w:rsid w:val="00F547FB"/>
    <w:rsid w:val="00F54A8D"/>
    <w:rsid w:val="00F54D3B"/>
    <w:rsid w:val="00F551A7"/>
    <w:rsid w:val="00F553EA"/>
    <w:rsid w:val="00F5576F"/>
    <w:rsid w:val="00F5582D"/>
    <w:rsid w:val="00F55C9A"/>
    <w:rsid w:val="00F55DCD"/>
    <w:rsid w:val="00F55DE1"/>
    <w:rsid w:val="00F55FE3"/>
    <w:rsid w:val="00F56415"/>
    <w:rsid w:val="00F56640"/>
    <w:rsid w:val="00F56687"/>
    <w:rsid w:val="00F568A0"/>
    <w:rsid w:val="00F568E2"/>
    <w:rsid w:val="00F56928"/>
    <w:rsid w:val="00F569A7"/>
    <w:rsid w:val="00F569E7"/>
    <w:rsid w:val="00F56A07"/>
    <w:rsid w:val="00F56CF7"/>
    <w:rsid w:val="00F56D50"/>
    <w:rsid w:val="00F56D65"/>
    <w:rsid w:val="00F57224"/>
    <w:rsid w:val="00F57491"/>
    <w:rsid w:val="00F575D1"/>
    <w:rsid w:val="00F57617"/>
    <w:rsid w:val="00F5772E"/>
    <w:rsid w:val="00F5796C"/>
    <w:rsid w:val="00F57AAB"/>
    <w:rsid w:val="00F57C37"/>
    <w:rsid w:val="00F57CC4"/>
    <w:rsid w:val="00F57EE4"/>
    <w:rsid w:val="00F57F40"/>
    <w:rsid w:val="00F57FD9"/>
    <w:rsid w:val="00F60149"/>
    <w:rsid w:val="00F603AE"/>
    <w:rsid w:val="00F6046F"/>
    <w:rsid w:val="00F605DE"/>
    <w:rsid w:val="00F605FC"/>
    <w:rsid w:val="00F609AF"/>
    <w:rsid w:val="00F60A80"/>
    <w:rsid w:val="00F60D5A"/>
    <w:rsid w:val="00F60F00"/>
    <w:rsid w:val="00F6141A"/>
    <w:rsid w:val="00F614C0"/>
    <w:rsid w:val="00F6156B"/>
    <w:rsid w:val="00F6162B"/>
    <w:rsid w:val="00F61A55"/>
    <w:rsid w:val="00F61AC1"/>
    <w:rsid w:val="00F61BCA"/>
    <w:rsid w:val="00F61C11"/>
    <w:rsid w:val="00F61D22"/>
    <w:rsid w:val="00F61D56"/>
    <w:rsid w:val="00F61D80"/>
    <w:rsid w:val="00F625E3"/>
    <w:rsid w:val="00F62BB7"/>
    <w:rsid w:val="00F62BBF"/>
    <w:rsid w:val="00F62CA7"/>
    <w:rsid w:val="00F62D2C"/>
    <w:rsid w:val="00F62DD5"/>
    <w:rsid w:val="00F62DEF"/>
    <w:rsid w:val="00F630D4"/>
    <w:rsid w:val="00F6324B"/>
    <w:rsid w:val="00F632F1"/>
    <w:rsid w:val="00F635E0"/>
    <w:rsid w:val="00F638B2"/>
    <w:rsid w:val="00F638D1"/>
    <w:rsid w:val="00F63AD1"/>
    <w:rsid w:val="00F63EA5"/>
    <w:rsid w:val="00F64461"/>
    <w:rsid w:val="00F644EC"/>
    <w:rsid w:val="00F646CB"/>
    <w:rsid w:val="00F6472D"/>
    <w:rsid w:val="00F64871"/>
    <w:rsid w:val="00F64939"/>
    <w:rsid w:val="00F64A78"/>
    <w:rsid w:val="00F64AD5"/>
    <w:rsid w:val="00F64B55"/>
    <w:rsid w:val="00F64C35"/>
    <w:rsid w:val="00F64D13"/>
    <w:rsid w:val="00F64D8E"/>
    <w:rsid w:val="00F650FB"/>
    <w:rsid w:val="00F6525C"/>
    <w:rsid w:val="00F6554C"/>
    <w:rsid w:val="00F655ED"/>
    <w:rsid w:val="00F6560E"/>
    <w:rsid w:val="00F6593F"/>
    <w:rsid w:val="00F659C8"/>
    <w:rsid w:val="00F65B93"/>
    <w:rsid w:val="00F65BD5"/>
    <w:rsid w:val="00F65C55"/>
    <w:rsid w:val="00F65D90"/>
    <w:rsid w:val="00F65DF5"/>
    <w:rsid w:val="00F65F22"/>
    <w:rsid w:val="00F65F91"/>
    <w:rsid w:val="00F66230"/>
    <w:rsid w:val="00F66251"/>
    <w:rsid w:val="00F663A1"/>
    <w:rsid w:val="00F66453"/>
    <w:rsid w:val="00F66468"/>
    <w:rsid w:val="00F666AF"/>
    <w:rsid w:val="00F6681F"/>
    <w:rsid w:val="00F668C4"/>
    <w:rsid w:val="00F66AF1"/>
    <w:rsid w:val="00F66B19"/>
    <w:rsid w:val="00F66CEE"/>
    <w:rsid w:val="00F66F2A"/>
    <w:rsid w:val="00F66F69"/>
    <w:rsid w:val="00F66FC2"/>
    <w:rsid w:val="00F66FD3"/>
    <w:rsid w:val="00F67109"/>
    <w:rsid w:val="00F67192"/>
    <w:rsid w:val="00F671DB"/>
    <w:rsid w:val="00F675C3"/>
    <w:rsid w:val="00F67614"/>
    <w:rsid w:val="00F678BD"/>
    <w:rsid w:val="00F67A24"/>
    <w:rsid w:val="00F70141"/>
    <w:rsid w:val="00F70275"/>
    <w:rsid w:val="00F70469"/>
    <w:rsid w:val="00F70526"/>
    <w:rsid w:val="00F70544"/>
    <w:rsid w:val="00F707B6"/>
    <w:rsid w:val="00F708CB"/>
    <w:rsid w:val="00F70982"/>
    <w:rsid w:val="00F70AB2"/>
    <w:rsid w:val="00F70DBC"/>
    <w:rsid w:val="00F70F21"/>
    <w:rsid w:val="00F70FD3"/>
    <w:rsid w:val="00F71169"/>
    <w:rsid w:val="00F71614"/>
    <w:rsid w:val="00F716F4"/>
    <w:rsid w:val="00F71945"/>
    <w:rsid w:val="00F71E1C"/>
    <w:rsid w:val="00F7223E"/>
    <w:rsid w:val="00F722AB"/>
    <w:rsid w:val="00F722E0"/>
    <w:rsid w:val="00F72646"/>
    <w:rsid w:val="00F7276A"/>
    <w:rsid w:val="00F72898"/>
    <w:rsid w:val="00F72953"/>
    <w:rsid w:val="00F72A5D"/>
    <w:rsid w:val="00F72C67"/>
    <w:rsid w:val="00F72F82"/>
    <w:rsid w:val="00F730A9"/>
    <w:rsid w:val="00F7318A"/>
    <w:rsid w:val="00F734D4"/>
    <w:rsid w:val="00F73520"/>
    <w:rsid w:val="00F736D1"/>
    <w:rsid w:val="00F737CC"/>
    <w:rsid w:val="00F737F8"/>
    <w:rsid w:val="00F73975"/>
    <w:rsid w:val="00F739A0"/>
    <w:rsid w:val="00F73A5B"/>
    <w:rsid w:val="00F73B42"/>
    <w:rsid w:val="00F73DF7"/>
    <w:rsid w:val="00F73F46"/>
    <w:rsid w:val="00F73F8B"/>
    <w:rsid w:val="00F74221"/>
    <w:rsid w:val="00F7441F"/>
    <w:rsid w:val="00F749A9"/>
    <w:rsid w:val="00F749FB"/>
    <w:rsid w:val="00F74AF6"/>
    <w:rsid w:val="00F74B14"/>
    <w:rsid w:val="00F74E43"/>
    <w:rsid w:val="00F74ECC"/>
    <w:rsid w:val="00F74F38"/>
    <w:rsid w:val="00F74FE0"/>
    <w:rsid w:val="00F751D8"/>
    <w:rsid w:val="00F7528A"/>
    <w:rsid w:val="00F754D1"/>
    <w:rsid w:val="00F75823"/>
    <w:rsid w:val="00F75959"/>
    <w:rsid w:val="00F75A90"/>
    <w:rsid w:val="00F75C06"/>
    <w:rsid w:val="00F75E30"/>
    <w:rsid w:val="00F760CA"/>
    <w:rsid w:val="00F760D4"/>
    <w:rsid w:val="00F760D8"/>
    <w:rsid w:val="00F7617F"/>
    <w:rsid w:val="00F7661E"/>
    <w:rsid w:val="00F76624"/>
    <w:rsid w:val="00F767A5"/>
    <w:rsid w:val="00F76A9C"/>
    <w:rsid w:val="00F76EF0"/>
    <w:rsid w:val="00F77201"/>
    <w:rsid w:val="00F7738A"/>
    <w:rsid w:val="00F77421"/>
    <w:rsid w:val="00F7763A"/>
    <w:rsid w:val="00F7763E"/>
    <w:rsid w:val="00F77642"/>
    <w:rsid w:val="00F776D0"/>
    <w:rsid w:val="00F776D3"/>
    <w:rsid w:val="00F77A0C"/>
    <w:rsid w:val="00F77AD8"/>
    <w:rsid w:val="00F77C29"/>
    <w:rsid w:val="00F77CD8"/>
    <w:rsid w:val="00F77D6C"/>
    <w:rsid w:val="00F77EF4"/>
    <w:rsid w:val="00F80241"/>
    <w:rsid w:val="00F803A2"/>
    <w:rsid w:val="00F80590"/>
    <w:rsid w:val="00F80616"/>
    <w:rsid w:val="00F8070E"/>
    <w:rsid w:val="00F8071F"/>
    <w:rsid w:val="00F8073C"/>
    <w:rsid w:val="00F807DC"/>
    <w:rsid w:val="00F80A2C"/>
    <w:rsid w:val="00F80C46"/>
    <w:rsid w:val="00F8102A"/>
    <w:rsid w:val="00F8106E"/>
    <w:rsid w:val="00F810A9"/>
    <w:rsid w:val="00F812B9"/>
    <w:rsid w:val="00F815D7"/>
    <w:rsid w:val="00F81624"/>
    <w:rsid w:val="00F817C8"/>
    <w:rsid w:val="00F8180C"/>
    <w:rsid w:val="00F81BBE"/>
    <w:rsid w:val="00F81FAF"/>
    <w:rsid w:val="00F821D1"/>
    <w:rsid w:val="00F82366"/>
    <w:rsid w:val="00F824DD"/>
    <w:rsid w:val="00F8264D"/>
    <w:rsid w:val="00F82912"/>
    <w:rsid w:val="00F82A73"/>
    <w:rsid w:val="00F82B1A"/>
    <w:rsid w:val="00F82C35"/>
    <w:rsid w:val="00F82CD0"/>
    <w:rsid w:val="00F82EFF"/>
    <w:rsid w:val="00F83004"/>
    <w:rsid w:val="00F83058"/>
    <w:rsid w:val="00F83141"/>
    <w:rsid w:val="00F831DC"/>
    <w:rsid w:val="00F8326E"/>
    <w:rsid w:val="00F8369A"/>
    <w:rsid w:val="00F83848"/>
    <w:rsid w:val="00F83875"/>
    <w:rsid w:val="00F838A8"/>
    <w:rsid w:val="00F83C81"/>
    <w:rsid w:val="00F83D5A"/>
    <w:rsid w:val="00F83EF3"/>
    <w:rsid w:val="00F8447D"/>
    <w:rsid w:val="00F847ED"/>
    <w:rsid w:val="00F84826"/>
    <w:rsid w:val="00F848A1"/>
    <w:rsid w:val="00F84B03"/>
    <w:rsid w:val="00F84FDB"/>
    <w:rsid w:val="00F851AF"/>
    <w:rsid w:val="00F8536D"/>
    <w:rsid w:val="00F8569A"/>
    <w:rsid w:val="00F8574D"/>
    <w:rsid w:val="00F8576E"/>
    <w:rsid w:val="00F85A9C"/>
    <w:rsid w:val="00F85AAA"/>
    <w:rsid w:val="00F85B17"/>
    <w:rsid w:val="00F85B18"/>
    <w:rsid w:val="00F85BED"/>
    <w:rsid w:val="00F85CB0"/>
    <w:rsid w:val="00F85D08"/>
    <w:rsid w:val="00F85E06"/>
    <w:rsid w:val="00F85E49"/>
    <w:rsid w:val="00F85FBA"/>
    <w:rsid w:val="00F85FE9"/>
    <w:rsid w:val="00F8619F"/>
    <w:rsid w:val="00F864C6"/>
    <w:rsid w:val="00F867F9"/>
    <w:rsid w:val="00F86922"/>
    <w:rsid w:val="00F86AEA"/>
    <w:rsid w:val="00F86CDD"/>
    <w:rsid w:val="00F87257"/>
    <w:rsid w:val="00F872D1"/>
    <w:rsid w:val="00F90032"/>
    <w:rsid w:val="00F900E0"/>
    <w:rsid w:val="00F90508"/>
    <w:rsid w:val="00F90609"/>
    <w:rsid w:val="00F90841"/>
    <w:rsid w:val="00F90A67"/>
    <w:rsid w:val="00F90B26"/>
    <w:rsid w:val="00F90DED"/>
    <w:rsid w:val="00F90FE0"/>
    <w:rsid w:val="00F91288"/>
    <w:rsid w:val="00F91290"/>
    <w:rsid w:val="00F9129B"/>
    <w:rsid w:val="00F9132F"/>
    <w:rsid w:val="00F915EF"/>
    <w:rsid w:val="00F91753"/>
    <w:rsid w:val="00F919F1"/>
    <w:rsid w:val="00F91A4C"/>
    <w:rsid w:val="00F91B91"/>
    <w:rsid w:val="00F91CC2"/>
    <w:rsid w:val="00F91D70"/>
    <w:rsid w:val="00F91FC7"/>
    <w:rsid w:val="00F91FD4"/>
    <w:rsid w:val="00F9212A"/>
    <w:rsid w:val="00F92315"/>
    <w:rsid w:val="00F9238B"/>
    <w:rsid w:val="00F923C0"/>
    <w:rsid w:val="00F92565"/>
    <w:rsid w:val="00F92577"/>
    <w:rsid w:val="00F926B5"/>
    <w:rsid w:val="00F92739"/>
    <w:rsid w:val="00F927D4"/>
    <w:rsid w:val="00F92899"/>
    <w:rsid w:val="00F92A3B"/>
    <w:rsid w:val="00F93030"/>
    <w:rsid w:val="00F9307E"/>
    <w:rsid w:val="00F93156"/>
    <w:rsid w:val="00F93238"/>
    <w:rsid w:val="00F9347F"/>
    <w:rsid w:val="00F93753"/>
    <w:rsid w:val="00F939F5"/>
    <w:rsid w:val="00F93A91"/>
    <w:rsid w:val="00F93F45"/>
    <w:rsid w:val="00F93FB8"/>
    <w:rsid w:val="00F94274"/>
    <w:rsid w:val="00F942BA"/>
    <w:rsid w:val="00F94809"/>
    <w:rsid w:val="00F94A9A"/>
    <w:rsid w:val="00F94AE7"/>
    <w:rsid w:val="00F94DDC"/>
    <w:rsid w:val="00F9537B"/>
    <w:rsid w:val="00F95392"/>
    <w:rsid w:val="00F9545D"/>
    <w:rsid w:val="00F954F0"/>
    <w:rsid w:val="00F95579"/>
    <w:rsid w:val="00F95761"/>
    <w:rsid w:val="00F95A76"/>
    <w:rsid w:val="00F95B8E"/>
    <w:rsid w:val="00F95BC9"/>
    <w:rsid w:val="00F95DD3"/>
    <w:rsid w:val="00F95F3E"/>
    <w:rsid w:val="00F9606F"/>
    <w:rsid w:val="00F96185"/>
    <w:rsid w:val="00F96530"/>
    <w:rsid w:val="00F96615"/>
    <w:rsid w:val="00F966BF"/>
    <w:rsid w:val="00F966FA"/>
    <w:rsid w:val="00F96881"/>
    <w:rsid w:val="00F96A0B"/>
    <w:rsid w:val="00F96CD6"/>
    <w:rsid w:val="00F96CF2"/>
    <w:rsid w:val="00F96EF5"/>
    <w:rsid w:val="00F96FC5"/>
    <w:rsid w:val="00F970DB"/>
    <w:rsid w:val="00F97229"/>
    <w:rsid w:val="00F97234"/>
    <w:rsid w:val="00F97441"/>
    <w:rsid w:val="00F974EB"/>
    <w:rsid w:val="00F9753B"/>
    <w:rsid w:val="00F9759D"/>
    <w:rsid w:val="00F975E9"/>
    <w:rsid w:val="00F97E63"/>
    <w:rsid w:val="00F97F75"/>
    <w:rsid w:val="00FA00E7"/>
    <w:rsid w:val="00FA0565"/>
    <w:rsid w:val="00FA06F7"/>
    <w:rsid w:val="00FA07EB"/>
    <w:rsid w:val="00FA11E5"/>
    <w:rsid w:val="00FA136E"/>
    <w:rsid w:val="00FA15B2"/>
    <w:rsid w:val="00FA1623"/>
    <w:rsid w:val="00FA192B"/>
    <w:rsid w:val="00FA19EC"/>
    <w:rsid w:val="00FA1AC9"/>
    <w:rsid w:val="00FA1B7D"/>
    <w:rsid w:val="00FA1C5E"/>
    <w:rsid w:val="00FA1C86"/>
    <w:rsid w:val="00FA1D49"/>
    <w:rsid w:val="00FA1D9B"/>
    <w:rsid w:val="00FA1F7C"/>
    <w:rsid w:val="00FA2199"/>
    <w:rsid w:val="00FA23DB"/>
    <w:rsid w:val="00FA250E"/>
    <w:rsid w:val="00FA2650"/>
    <w:rsid w:val="00FA275A"/>
    <w:rsid w:val="00FA27B3"/>
    <w:rsid w:val="00FA27DF"/>
    <w:rsid w:val="00FA29A2"/>
    <w:rsid w:val="00FA29BF"/>
    <w:rsid w:val="00FA2A3C"/>
    <w:rsid w:val="00FA2DB8"/>
    <w:rsid w:val="00FA2F57"/>
    <w:rsid w:val="00FA3153"/>
    <w:rsid w:val="00FA3455"/>
    <w:rsid w:val="00FA3628"/>
    <w:rsid w:val="00FA3D36"/>
    <w:rsid w:val="00FA3E5D"/>
    <w:rsid w:val="00FA3EB6"/>
    <w:rsid w:val="00FA42BB"/>
    <w:rsid w:val="00FA42FA"/>
    <w:rsid w:val="00FA4362"/>
    <w:rsid w:val="00FA4368"/>
    <w:rsid w:val="00FA4555"/>
    <w:rsid w:val="00FA4654"/>
    <w:rsid w:val="00FA49FA"/>
    <w:rsid w:val="00FA4A9B"/>
    <w:rsid w:val="00FA4E17"/>
    <w:rsid w:val="00FA4F7C"/>
    <w:rsid w:val="00FA5026"/>
    <w:rsid w:val="00FA5096"/>
    <w:rsid w:val="00FA5379"/>
    <w:rsid w:val="00FA53B2"/>
    <w:rsid w:val="00FA5639"/>
    <w:rsid w:val="00FA575A"/>
    <w:rsid w:val="00FA5872"/>
    <w:rsid w:val="00FA5980"/>
    <w:rsid w:val="00FA5A54"/>
    <w:rsid w:val="00FA5AAC"/>
    <w:rsid w:val="00FA5B4F"/>
    <w:rsid w:val="00FA5D09"/>
    <w:rsid w:val="00FA5ED4"/>
    <w:rsid w:val="00FA602A"/>
    <w:rsid w:val="00FA6062"/>
    <w:rsid w:val="00FA6129"/>
    <w:rsid w:val="00FA615B"/>
    <w:rsid w:val="00FA6210"/>
    <w:rsid w:val="00FA674E"/>
    <w:rsid w:val="00FA67E0"/>
    <w:rsid w:val="00FA698B"/>
    <w:rsid w:val="00FA6B2F"/>
    <w:rsid w:val="00FA6B4E"/>
    <w:rsid w:val="00FA6EE4"/>
    <w:rsid w:val="00FA6F69"/>
    <w:rsid w:val="00FA70F7"/>
    <w:rsid w:val="00FA7204"/>
    <w:rsid w:val="00FA72DF"/>
    <w:rsid w:val="00FA7311"/>
    <w:rsid w:val="00FA7440"/>
    <w:rsid w:val="00FA74A5"/>
    <w:rsid w:val="00FA78C5"/>
    <w:rsid w:val="00FA79A9"/>
    <w:rsid w:val="00FA7AB2"/>
    <w:rsid w:val="00FA7BB0"/>
    <w:rsid w:val="00FA7D4B"/>
    <w:rsid w:val="00FA7DB0"/>
    <w:rsid w:val="00FB05CB"/>
    <w:rsid w:val="00FB082C"/>
    <w:rsid w:val="00FB0DC6"/>
    <w:rsid w:val="00FB104C"/>
    <w:rsid w:val="00FB131B"/>
    <w:rsid w:val="00FB166E"/>
    <w:rsid w:val="00FB1815"/>
    <w:rsid w:val="00FB1A81"/>
    <w:rsid w:val="00FB1B1B"/>
    <w:rsid w:val="00FB1BA2"/>
    <w:rsid w:val="00FB1F00"/>
    <w:rsid w:val="00FB1F11"/>
    <w:rsid w:val="00FB218C"/>
    <w:rsid w:val="00FB2513"/>
    <w:rsid w:val="00FB2886"/>
    <w:rsid w:val="00FB28CC"/>
    <w:rsid w:val="00FB28DC"/>
    <w:rsid w:val="00FB29A4"/>
    <w:rsid w:val="00FB2B0D"/>
    <w:rsid w:val="00FB2C55"/>
    <w:rsid w:val="00FB2E7F"/>
    <w:rsid w:val="00FB2EB9"/>
    <w:rsid w:val="00FB2F34"/>
    <w:rsid w:val="00FB3474"/>
    <w:rsid w:val="00FB354C"/>
    <w:rsid w:val="00FB370D"/>
    <w:rsid w:val="00FB38BA"/>
    <w:rsid w:val="00FB3A55"/>
    <w:rsid w:val="00FB3D6F"/>
    <w:rsid w:val="00FB3D91"/>
    <w:rsid w:val="00FB40DE"/>
    <w:rsid w:val="00FB41AC"/>
    <w:rsid w:val="00FB4438"/>
    <w:rsid w:val="00FB4943"/>
    <w:rsid w:val="00FB4A40"/>
    <w:rsid w:val="00FB4BA2"/>
    <w:rsid w:val="00FB4BC5"/>
    <w:rsid w:val="00FB4CE2"/>
    <w:rsid w:val="00FB50BB"/>
    <w:rsid w:val="00FB5177"/>
    <w:rsid w:val="00FB5276"/>
    <w:rsid w:val="00FB5648"/>
    <w:rsid w:val="00FB577B"/>
    <w:rsid w:val="00FB5842"/>
    <w:rsid w:val="00FB58F2"/>
    <w:rsid w:val="00FB59D2"/>
    <w:rsid w:val="00FB5ADF"/>
    <w:rsid w:val="00FB5CA5"/>
    <w:rsid w:val="00FB5CB8"/>
    <w:rsid w:val="00FB5CBB"/>
    <w:rsid w:val="00FB5E58"/>
    <w:rsid w:val="00FB5EA6"/>
    <w:rsid w:val="00FB6057"/>
    <w:rsid w:val="00FB6220"/>
    <w:rsid w:val="00FB636F"/>
    <w:rsid w:val="00FB6480"/>
    <w:rsid w:val="00FB6733"/>
    <w:rsid w:val="00FB6973"/>
    <w:rsid w:val="00FB6AA4"/>
    <w:rsid w:val="00FB72B2"/>
    <w:rsid w:val="00FB799D"/>
    <w:rsid w:val="00FB7B1C"/>
    <w:rsid w:val="00FC02A3"/>
    <w:rsid w:val="00FC0617"/>
    <w:rsid w:val="00FC0670"/>
    <w:rsid w:val="00FC06CC"/>
    <w:rsid w:val="00FC07B9"/>
    <w:rsid w:val="00FC089E"/>
    <w:rsid w:val="00FC0ACC"/>
    <w:rsid w:val="00FC0DBB"/>
    <w:rsid w:val="00FC0DFF"/>
    <w:rsid w:val="00FC0EA0"/>
    <w:rsid w:val="00FC138D"/>
    <w:rsid w:val="00FC13EF"/>
    <w:rsid w:val="00FC13F0"/>
    <w:rsid w:val="00FC14D5"/>
    <w:rsid w:val="00FC15DD"/>
    <w:rsid w:val="00FC1859"/>
    <w:rsid w:val="00FC185F"/>
    <w:rsid w:val="00FC1A9F"/>
    <w:rsid w:val="00FC1B41"/>
    <w:rsid w:val="00FC1E1E"/>
    <w:rsid w:val="00FC1E38"/>
    <w:rsid w:val="00FC1E75"/>
    <w:rsid w:val="00FC1FC4"/>
    <w:rsid w:val="00FC2328"/>
    <w:rsid w:val="00FC24D5"/>
    <w:rsid w:val="00FC258E"/>
    <w:rsid w:val="00FC26A4"/>
    <w:rsid w:val="00FC29E7"/>
    <w:rsid w:val="00FC2AAD"/>
    <w:rsid w:val="00FC2CCE"/>
    <w:rsid w:val="00FC2E57"/>
    <w:rsid w:val="00FC342D"/>
    <w:rsid w:val="00FC39E0"/>
    <w:rsid w:val="00FC3A69"/>
    <w:rsid w:val="00FC3B63"/>
    <w:rsid w:val="00FC3C74"/>
    <w:rsid w:val="00FC3CB0"/>
    <w:rsid w:val="00FC3E11"/>
    <w:rsid w:val="00FC3F33"/>
    <w:rsid w:val="00FC3FD2"/>
    <w:rsid w:val="00FC4233"/>
    <w:rsid w:val="00FC450B"/>
    <w:rsid w:val="00FC4535"/>
    <w:rsid w:val="00FC45F8"/>
    <w:rsid w:val="00FC45FC"/>
    <w:rsid w:val="00FC4803"/>
    <w:rsid w:val="00FC4A7B"/>
    <w:rsid w:val="00FC4C30"/>
    <w:rsid w:val="00FC4D8E"/>
    <w:rsid w:val="00FC4E21"/>
    <w:rsid w:val="00FC4E50"/>
    <w:rsid w:val="00FC4E78"/>
    <w:rsid w:val="00FC4F9C"/>
    <w:rsid w:val="00FC5171"/>
    <w:rsid w:val="00FC51E0"/>
    <w:rsid w:val="00FC52DF"/>
    <w:rsid w:val="00FC5316"/>
    <w:rsid w:val="00FC54DF"/>
    <w:rsid w:val="00FC58DE"/>
    <w:rsid w:val="00FC594E"/>
    <w:rsid w:val="00FC59E5"/>
    <w:rsid w:val="00FC5A47"/>
    <w:rsid w:val="00FC5BB4"/>
    <w:rsid w:val="00FC5E7F"/>
    <w:rsid w:val="00FC5F33"/>
    <w:rsid w:val="00FC5F6D"/>
    <w:rsid w:val="00FC6023"/>
    <w:rsid w:val="00FC614F"/>
    <w:rsid w:val="00FC61B8"/>
    <w:rsid w:val="00FC6350"/>
    <w:rsid w:val="00FC63A3"/>
    <w:rsid w:val="00FC63D1"/>
    <w:rsid w:val="00FC63F9"/>
    <w:rsid w:val="00FC6422"/>
    <w:rsid w:val="00FC645D"/>
    <w:rsid w:val="00FC67EE"/>
    <w:rsid w:val="00FC699A"/>
    <w:rsid w:val="00FC6A75"/>
    <w:rsid w:val="00FC6D36"/>
    <w:rsid w:val="00FC6DF5"/>
    <w:rsid w:val="00FC6E49"/>
    <w:rsid w:val="00FC73E6"/>
    <w:rsid w:val="00FC7545"/>
    <w:rsid w:val="00FC77BF"/>
    <w:rsid w:val="00FC78E3"/>
    <w:rsid w:val="00FC7B31"/>
    <w:rsid w:val="00FC7E23"/>
    <w:rsid w:val="00FD0011"/>
    <w:rsid w:val="00FD0107"/>
    <w:rsid w:val="00FD0239"/>
    <w:rsid w:val="00FD0324"/>
    <w:rsid w:val="00FD0520"/>
    <w:rsid w:val="00FD0543"/>
    <w:rsid w:val="00FD0882"/>
    <w:rsid w:val="00FD09E3"/>
    <w:rsid w:val="00FD0BA6"/>
    <w:rsid w:val="00FD0CCC"/>
    <w:rsid w:val="00FD0F6A"/>
    <w:rsid w:val="00FD1007"/>
    <w:rsid w:val="00FD1066"/>
    <w:rsid w:val="00FD1073"/>
    <w:rsid w:val="00FD11B2"/>
    <w:rsid w:val="00FD1232"/>
    <w:rsid w:val="00FD134C"/>
    <w:rsid w:val="00FD13A5"/>
    <w:rsid w:val="00FD13C2"/>
    <w:rsid w:val="00FD13FD"/>
    <w:rsid w:val="00FD1762"/>
    <w:rsid w:val="00FD191E"/>
    <w:rsid w:val="00FD1B22"/>
    <w:rsid w:val="00FD1DC2"/>
    <w:rsid w:val="00FD1DE2"/>
    <w:rsid w:val="00FD1FA8"/>
    <w:rsid w:val="00FD202C"/>
    <w:rsid w:val="00FD216C"/>
    <w:rsid w:val="00FD21F3"/>
    <w:rsid w:val="00FD2209"/>
    <w:rsid w:val="00FD2301"/>
    <w:rsid w:val="00FD277E"/>
    <w:rsid w:val="00FD27F1"/>
    <w:rsid w:val="00FD2A1E"/>
    <w:rsid w:val="00FD2B27"/>
    <w:rsid w:val="00FD2BC7"/>
    <w:rsid w:val="00FD2C2F"/>
    <w:rsid w:val="00FD2D40"/>
    <w:rsid w:val="00FD2DBB"/>
    <w:rsid w:val="00FD3086"/>
    <w:rsid w:val="00FD31BC"/>
    <w:rsid w:val="00FD342A"/>
    <w:rsid w:val="00FD344A"/>
    <w:rsid w:val="00FD378C"/>
    <w:rsid w:val="00FD3831"/>
    <w:rsid w:val="00FD3877"/>
    <w:rsid w:val="00FD38E9"/>
    <w:rsid w:val="00FD39FE"/>
    <w:rsid w:val="00FD3B31"/>
    <w:rsid w:val="00FD3CD6"/>
    <w:rsid w:val="00FD3D51"/>
    <w:rsid w:val="00FD3DF1"/>
    <w:rsid w:val="00FD40F3"/>
    <w:rsid w:val="00FD42FC"/>
    <w:rsid w:val="00FD433A"/>
    <w:rsid w:val="00FD444C"/>
    <w:rsid w:val="00FD44EE"/>
    <w:rsid w:val="00FD4A85"/>
    <w:rsid w:val="00FD4EB7"/>
    <w:rsid w:val="00FD4EEA"/>
    <w:rsid w:val="00FD4FE5"/>
    <w:rsid w:val="00FD509A"/>
    <w:rsid w:val="00FD52A6"/>
    <w:rsid w:val="00FD5375"/>
    <w:rsid w:val="00FD53F2"/>
    <w:rsid w:val="00FD566B"/>
    <w:rsid w:val="00FD5923"/>
    <w:rsid w:val="00FD5A1C"/>
    <w:rsid w:val="00FD5B12"/>
    <w:rsid w:val="00FD5BAA"/>
    <w:rsid w:val="00FD5C61"/>
    <w:rsid w:val="00FD5C70"/>
    <w:rsid w:val="00FD5D37"/>
    <w:rsid w:val="00FD5D3C"/>
    <w:rsid w:val="00FD5D48"/>
    <w:rsid w:val="00FD5D9C"/>
    <w:rsid w:val="00FD5E19"/>
    <w:rsid w:val="00FD5ED1"/>
    <w:rsid w:val="00FD60B3"/>
    <w:rsid w:val="00FD61E3"/>
    <w:rsid w:val="00FD621C"/>
    <w:rsid w:val="00FD6496"/>
    <w:rsid w:val="00FD662A"/>
    <w:rsid w:val="00FD6894"/>
    <w:rsid w:val="00FD6B12"/>
    <w:rsid w:val="00FD6B58"/>
    <w:rsid w:val="00FD70FC"/>
    <w:rsid w:val="00FD7164"/>
    <w:rsid w:val="00FD71B5"/>
    <w:rsid w:val="00FD742A"/>
    <w:rsid w:val="00FD7532"/>
    <w:rsid w:val="00FD772B"/>
    <w:rsid w:val="00FD77DF"/>
    <w:rsid w:val="00FD7BC2"/>
    <w:rsid w:val="00FD7C02"/>
    <w:rsid w:val="00FD7C8F"/>
    <w:rsid w:val="00FD7DAD"/>
    <w:rsid w:val="00FE01E4"/>
    <w:rsid w:val="00FE045B"/>
    <w:rsid w:val="00FE0A6C"/>
    <w:rsid w:val="00FE0B21"/>
    <w:rsid w:val="00FE0BB6"/>
    <w:rsid w:val="00FE0E2F"/>
    <w:rsid w:val="00FE1261"/>
    <w:rsid w:val="00FE14D9"/>
    <w:rsid w:val="00FE16E4"/>
    <w:rsid w:val="00FE1823"/>
    <w:rsid w:val="00FE1D64"/>
    <w:rsid w:val="00FE1DAE"/>
    <w:rsid w:val="00FE1EA1"/>
    <w:rsid w:val="00FE1F16"/>
    <w:rsid w:val="00FE1F7B"/>
    <w:rsid w:val="00FE1F95"/>
    <w:rsid w:val="00FE2049"/>
    <w:rsid w:val="00FE2220"/>
    <w:rsid w:val="00FE27D6"/>
    <w:rsid w:val="00FE2E4D"/>
    <w:rsid w:val="00FE2F25"/>
    <w:rsid w:val="00FE2FE6"/>
    <w:rsid w:val="00FE302D"/>
    <w:rsid w:val="00FE319C"/>
    <w:rsid w:val="00FE372D"/>
    <w:rsid w:val="00FE3794"/>
    <w:rsid w:val="00FE37FA"/>
    <w:rsid w:val="00FE40DB"/>
    <w:rsid w:val="00FE428B"/>
    <w:rsid w:val="00FE46F4"/>
    <w:rsid w:val="00FE4824"/>
    <w:rsid w:val="00FE487A"/>
    <w:rsid w:val="00FE4AE2"/>
    <w:rsid w:val="00FE4B87"/>
    <w:rsid w:val="00FE4BE0"/>
    <w:rsid w:val="00FE5230"/>
    <w:rsid w:val="00FE5366"/>
    <w:rsid w:val="00FE58C8"/>
    <w:rsid w:val="00FE5B7F"/>
    <w:rsid w:val="00FE5E0C"/>
    <w:rsid w:val="00FE5E81"/>
    <w:rsid w:val="00FE5F22"/>
    <w:rsid w:val="00FE655F"/>
    <w:rsid w:val="00FE6B03"/>
    <w:rsid w:val="00FE6FEE"/>
    <w:rsid w:val="00FE7078"/>
    <w:rsid w:val="00FE72A9"/>
    <w:rsid w:val="00FE74A9"/>
    <w:rsid w:val="00FE750D"/>
    <w:rsid w:val="00FE75A0"/>
    <w:rsid w:val="00FE7679"/>
    <w:rsid w:val="00FE781F"/>
    <w:rsid w:val="00FE7950"/>
    <w:rsid w:val="00FE796B"/>
    <w:rsid w:val="00FE799D"/>
    <w:rsid w:val="00FE7A6B"/>
    <w:rsid w:val="00FE7B93"/>
    <w:rsid w:val="00FE7BA9"/>
    <w:rsid w:val="00FE7C62"/>
    <w:rsid w:val="00FE7D19"/>
    <w:rsid w:val="00FE7F4A"/>
    <w:rsid w:val="00FF025F"/>
    <w:rsid w:val="00FF034B"/>
    <w:rsid w:val="00FF0356"/>
    <w:rsid w:val="00FF0569"/>
    <w:rsid w:val="00FF08BE"/>
    <w:rsid w:val="00FF0A4C"/>
    <w:rsid w:val="00FF0A57"/>
    <w:rsid w:val="00FF0ADA"/>
    <w:rsid w:val="00FF0F90"/>
    <w:rsid w:val="00FF146D"/>
    <w:rsid w:val="00FF14BA"/>
    <w:rsid w:val="00FF199D"/>
    <w:rsid w:val="00FF1A24"/>
    <w:rsid w:val="00FF1AB0"/>
    <w:rsid w:val="00FF1C19"/>
    <w:rsid w:val="00FF1E5B"/>
    <w:rsid w:val="00FF1E83"/>
    <w:rsid w:val="00FF1EEC"/>
    <w:rsid w:val="00FF1F0F"/>
    <w:rsid w:val="00FF2011"/>
    <w:rsid w:val="00FF206E"/>
    <w:rsid w:val="00FF24E4"/>
    <w:rsid w:val="00FF2576"/>
    <w:rsid w:val="00FF293A"/>
    <w:rsid w:val="00FF29F0"/>
    <w:rsid w:val="00FF2BEA"/>
    <w:rsid w:val="00FF2D97"/>
    <w:rsid w:val="00FF316F"/>
    <w:rsid w:val="00FF3509"/>
    <w:rsid w:val="00FF3555"/>
    <w:rsid w:val="00FF36CD"/>
    <w:rsid w:val="00FF3897"/>
    <w:rsid w:val="00FF3A62"/>
    <w:rsid w:val="00FF3B66"/>
    <w:rsid w:val="00FF3C69"/>
    <w:rsid w:val="00FF3D63"/>
    <w:rsid w:val="00FF400B"/>
    <w:rsid w:val="00FF4044"/>
    <w:rsid w:val="00FF458D"/>
    <w:rsid w:val="00FF4882"/>
    <w:rsid w:val="00FF4A2A"/>
    <w:rsid w:val="00FF4AA2"/>
    <w:rsid w:val="00FF4B26"/>
    <w:rsid w:val="00FF4B3F"/>
    <w:rsid w:val="00FF4E1C"/>
    <w:rsid w:val="00FF52FC"/>
    <w:rsid w:val="00FF5446"/>
    <w:rsid w:val="00FF5481"/>
    <w:rsid w:val="00FF5512"/>
    <w:rsid w:val="00FF561D"/>
    <w:rsid w:val="00FF576F"/>
    <w:rsid w:val="00FF59A9"/>
    <w:rsid w:val="00FF5F9B"/>
    <w:rsid w:val="00FF6035"/>
    <w:rsid w:val="00FF609E"/>
    <w:rsid w:val="00FF6123"/>
    <w:rsid w:val="00FF6849"/>
    <w:rsid w:val="00FF69C2"/>
    <w:rsid w:val="00FF6AFE"/>
    <w:rsid w:val="00FF6D06"/>
    <w:rsid w:val="00FF6E0A"/>
    <w:rsid w:val="00FF6E3E"/>
    <w:rsid w:val="00FF6EF5"/>
    <w:rsid w:val="00FF6EFC"/>
    <w:rsid w:val="00FF7142"/>
    <w:rsid w:val="00FF72F2"/>
    <w:rsid w:val="00FF7529"/>
    <w:rsid w:val="00FF775A"/>
    <w:rsid w:val="00FF79AF"/>
    <w:rsid w:val="00FF7AE0"/>
    <w:rsid w:val="00FF7B5D"/>
    <w:rsid w:val="00FF7E6B"/>
    <w:rsid w:val="013A3890"/>
    <w:rsid w:val="01B545D3"/>
    <w:rsid w:val="02397B4D"/>
    <w:rsid w:val="0437F1C7"/>
    <w:rsid w:val="044708A9"/>
    <w:rsid w:val="05252071"/>
    <w:rsid w:val="0526A1E2"/>
    <w:rsid w:val="0559E0FA"/>
    <w:rsid w:val="077152C4"/>
    <w:rsid w:val="0785B527"/>
    <w:rsid w:val="0933BC11"/>
    <w:rsid w:val="096F845D"/>
    <w:rsid w:val="0AE3BAD6"/>
    <w:rsid w:val="0C3816B6"/>
    <w:rsid w:val="0E4A37D0"/>
    <w:rsid w:val="0EA3AA2D"/>
    <w:rsid w:val="0F86A96A"/>
    <w:rsid w:val="0FB9F78E"/>
    <w:rsid w:val="1028038F"/>
    <w:rsid w:val="1088BB5B"/>
    <w:rsid w:val="1109102C"/>
    <w:rsid w:val="1157DBEA"/>
    <w:rsid w:val="122B844C"/>
    <w:rsid w:val="1260DDED"/>
    <w:rsid w:val="130F2FF5"/>
    <w:rsid w:val="138C71B4"/>
    <w:rsid w:val="13D025AC"/>
    <w:rsid w:val="13EF4BDA"/>
    <w:rsid w:val="14107D2D"/>
    <w:rsid w:val="14939177"/>
    <w:rsid w:val="163C1F83"/>
    <w:rsid w:val="16D4379F"/>
    <w:rsid w:val="186A453C"/>
    <w:rsid w:val="195CD836"/>
    <w:rsid w:val="19DFB92D"/>
    <w:rsid w:val="1A4460DA"/>
    <w:rsid w:val="1AB6D55D"/>
    <w:rsid w:val="1B7D08CA"/>
    <w:rsid w:val="1BDEB967"/>
    <w:rsid w:val="1C47097A"/>
    <w:rsid w:val="1CE33515"/>
    <w:rsid w:val="1D72ACC4"/>
    <w:rsid w:val="1D90EF8E"/>
    <w:rsid w:val="1FA52500"/>
    <w:rsid w:val="20C8532A"/>
    <w:rsid w:val="211C4A3A"/>
    <w:rsid w:val="2247A42C"/>
    <w:rsid w:val="232FDB46"/>
    <w:rsid w:val="236BDCAC"/>
    <w:rsid w:val="2445C767"/>
    <w:rsid w:val="244E35CE"/>
    <w:rsid w:val="26CA7FB0"/>
    <w:rsid w:val="2AEFC441"/>
    <w:rsid w:val="2B423498"/>
    <w:rsid w:val="2D676DDC"/>
    <w:rsid w:val="2EB2FC73"/>
    <w:rsid w:val="2F2F3474"/>
    <w:rsid w:val="2F40F320"/>
    <w:rsid w:val="3083EE72"/>
    <w:rsid w:val="30F83155"/>
    <w:rsid w:val="340B37D5"/>
    <w:rsid w:val="34197669"/>
    <w:rsid w:val="350085FC"/>
    <w:rsid w:val="370D84CB"/>
    <w:rsid w:val="38DEF8EB"/>
    <w:rsid w:val="39BEA15E"/>
    <w:rsid w:val="39EC3658"/>
    <w:rsid w:val="3A69CA08"/>
    <w:rsid w:val="3AC7B98B"/>
    <w:rsid w:val="3DD3D02E"/>
    <w:rsid w:val="3ED29AB4"/>
    <w:rsid w:val="40698768"/>
    <w:rsid w:val="4160B98A"/>
    <w:rsid w:val="416252FD"/>
    <w:rsid w:val="4180C730"/>
    <w:rsid w:val="41E93B7F"/>
    <w:rsid w:val="4409444F"/>
    <w:rsid w:val="44BDFEEF"/>
    <w:rsid w:val="45692347"/>
    <w:rsid w:val="45CA2DA7"/>
    <w:rsid w:val="45D283A9"/>
    <w:rsid w:val="460868EF"/>
    <w:rsid w:val="460FE51F"/>
    <w:rsid w:val="47516537"/>
    <w:rsid w:val="47A53640"/>
    <w:rsid w:val="47C41F95"/>
    <w:rsid w:val="4987AA8A"/>
    <w:rsid w:val="4A2E679F"/>
    <w:rsid w:val="4A4A48AE"/>
    <w:rsid w:val="4D095476"/>
    <w:rsid w:val="4D240FF4"/>
    <w:rsid w:val="4D309C28"/>
    <w:rsid w:val="4ED50BF0"/>
    <w:rsid w:val="4F7A15F0"/>
    <w:rsid w:val="4FE215BF"/>
    <w:rsid w:val="50C38A46"/>
    <w:rsid w:val="518F7313"/>
    <w:rsid w:val="51A565CC"/>
    <w:rsid w:val="51A599DF"/>
    <w:rsid w:val="51AE2072"/>
    <w:rsid w:val="52469139"/>
    <w:rsid w:val="529B4054"/>
    <w:rsid w:val="5367391B"/>
    <w:rsid w:val="536FF890"/>
    <w:rsid w:val="5561735C"/>
    <w:rsid w:val="55723C21"/>
    <w:rsid w:val="57478391"/>
    <w:rsid w:val="5A12F05F"/>
    <w:rsid w:val="5AAF21D5"/>
    <w:rsid w:val="5C041D64"/>
    <w:rsid w:val="5C7A99FB"/>
    <w:rsid w:val="5D011A1E"/>
    <w:rsid w:val="62AC59B3"/>
    <w:rsid w:val="64017ADB"/>
    <w:rsid w:val="66EC0B2B"/>
    <w:rsid w:val="67BB6885"/>
    <w:rsid w:val="696987C6"/>
    <w:rsid w:val="6987C8B8"/>
    <w:rsid w:val="6A34E3F7"/>
    <w:rsid w:val="6A37A7A5"/>
    <w:rsid w:val="6AB63CA8"/>
    <w:rsid w:val="6B490C32"/>
    <w:rsid w:val="6BF67E6E"/>
    <w:rsid w:val="6C1B8074"/>
    <w:rsid w:val="6C5E3DD3"/>
    <w:rsid w:val="6E1ECCE5"/>
    <w:rsid w:val="6E745638"/>
    <w:rsid w:val="6F7E72B2"/>
    <w:rsid w:val="709A9ABE"/>
    <w:rsid w:val="714511B4"/>
    <w:rsid w:val="715609AB"/>
    <w:rsid w:val="719A3A27"/>
    <w:rsid w:val="71F16887"/>
    <w:rsid w:val="729FF655"/>
    <w:rsid w:val="7327952C"/>
    <w:rsid w:val="73637D52"/>
    <w:rsid w:val="75412E6F"/>
    <w:rsid w:val="76730E65"/>
    <w:rsid w:val="771B3FEE"/>
    <w:rsid w:val="79B4EC21"/>
    <w:rsid w:val="7AD4675A"/>
    <w:rsid w:val="7BFE56C0"/>
    <w:rsid w:val="7CC939C0"/>
    <w:rsid w:val="7D98E27D"/>
    <w:rsid w:val="7E042FAA"/>
    <w:rsid w:val="7E9F53A8"/>
    <w:rsid w:val="7F634CCA"/>
    <w:rsid w:val="7F7577E2"/>
  </w:rsids>
  <m:mathPr>
    <m:mathFont m:val="Cambria Math"/>
    <m:brkBin m:val="before"/>
    <m:brkBinSub m:val="--"/>
    <m:smallFrac/>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red,#4d4d4f"/>
    </o:shapedefaults>
    <o:shapelayout v:ext="edit">
      <o:idmap v:ext="edit" data="2"/>
    </o:shapelayout>
  </w:shapeDefaults>
  <w:decimalSymbol w:val="."/>
  <w:listSeparator w:val=","/>
  <w14:docId w14:val="5220AC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AU" w:eastAsia="en-AU"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2" w:qFormat="1"/>
    <w:lsdException w:name="heading 4" w:uiPriority="2"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List Number 5" w:semiHidden="1"/>
    <w:lsdException w:name="Title" w:semiHidden="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lsdException w:name="Block Text" w:semiHidden="1"/>
    <w:lsdException w:name="Hyperlink" w:uiPriority="99" w:qFormat="1"/>
    <w:lsdException w:name="Strong" w:semiHidden="1"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qFormat="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qFormat/>
    <w:rsid w:val="005C34EF"/>
    <w:pPr>
      <w:spacing w:after="240" w:line="240" w:lineRule="atLeast"/>
    </w:pPr>
    <w:rPr>
      <w:rFonts w:ascii="Arial" w:hAnsi="Arial"/>
      <w:sz w:val="20"/>
    </w:rPr>
  </w:style>
  <w:style w:type="paragraph" w:styleId="Heading1">
    <w:name w:val="heading 1"/>
    <w:basedOn w:val="Normal"/>
    <w:next w:val="Normal"/>
    <w:link w:val="Heading1Char"/>
    <w:uiPriority w:val="1"/>
    <w:qFormat/>
    <w:rsid w:val="00C55235"/>
    <w:pPr>
      <w:keepNext/>
      <w:pageBreakBefore/>
      <w:widowControl w:val="0"/>
      <w:spacing w:after="360" w:line="550" w:lineRule="exact"/>
      <w:outlineLvl w:val="0"/>
    </w:pPr>
    <w:rPr>
      <w:rFonts w:cs="Arial"/>
      <w:bCs/>
      <w:color w:val="323232"/>
      <w:kern w:val="32"/>
      <w:sz w:val="53"/>
      <w:szCs w:val="32"/>
    </w:rPr>
  </w:style>
  <w:style w:type="paragraph" w:styleId="Heading2">
    <w:name w:val="heading 2"/>
    <w:basedOn w:val="Normal"/>
    <w:next w:val="Paragraph"/>
    <w:link w:val="Heading2Char"/>
    <w:qFormat/>
    <w:rsid w:val="00C55235"/>
    <w:pPr>
      <w:keepNext/>
      <w:spacing w:before="320" w:after="60"/>
      <w:outlineLvl w:val="1"/>
    </w:pPr>
    <w:rPr>
      <w:rFonts w:cs="Arial"/>
      <w:b/>
      <w:bCs/>
      <w:iCs/>
      <w:sz w:val="28"/>
      <w:szCs w:val="28"/>
    </w:rPr>
  </w:style>
  <w:style w:type="paragraph" w:styleId="Heading3">
    <w:name w:val="heading 3"/>
    <w:basedOn w:val="Normal"/>
    <w:next w:val="Normal"/>
    <w:link w:val="Heading3Char"/>
    <w:uiPriority w:val="2"/>
    <w:qFormat/>
    <w:rsid w:val="00C55235"/>
    <w:pPr>
      <w:keepNext/>
      <w:spacing w:before="60" w:after="60"/>
      <w:outlineLvl w:val="2"/>
    </w:pPr>
    <w:rPr>
      <w:rFonts w:cs="Arial"/>
      <w:b/>
      <w:bCs/>
      <w:szCs w:val="26"/>
    </w:rPr>
  </w:style>
  <w:style w:type="paragraph" w:styleId="Heading4">
    <w:name w:val="heading 4"/>
    <w:basedOn w:val="BodySubHeader"/>
    <w:next w:val="Normal"/>
    <w:uiPriority w:val="2"/>
    <w:qFormat/>
    <w:rsid w:val="005B2F0D"/>
    <w:pPr>
      <w:outlineLvl w:val="3"/>
    </w:pPr>
    <w:rPr>
      <w:rFonts w:cs="Arial"/>
    </w:rPr>
  </w:style>
  <w:style w:type="paragraph" w:styleId="Heading5">
    <w:name w:val="heading 5"/>
    <w:basedOn w:val="Normal"/>
    <w:next w:val="Normal"/>
    <w:semiHidden/>
    <w:qFormat/>
    <w:rsid w:val="00AD5436"/>
    <w:pPr>
      <w:numPr>
        <w:ilvl w:val="4"/>
        <w:numId w:val="5"/>
      </w:numPr>
      <w:spacing w:before="240" w:after="60"/>
      <w:outlineLvl w:val="4"/>
    </w:pPr>
    <w:rPr>
      <w:b/>
      <w:bCs/>
      <w:i/>
      <w:iCs/>
      <w:sz w:val="26"/>
      <w:szCs w:val="26"/>
    </w:rPr>
  </w:style>
  <w:style w:type="paragraph" w:styleId="Heading6">
    <w:name w:val="heading 6"/>
    <w:basedOn w:val="Normal"/>
    <w:next w:val="Normal"/>
    <w:semiHidden/>
    <w:qFormat/>
    <w:rsid w:val="00AD5436"/>
    <w:pPr>
      <w:numPr>
        <w:ilvl w:val="5"/>
        <w:numId w:val="5"/>
      </w:numPr>
      <w:spacing w:before="240" w:after="60"/>
      <w:outlineLvl w:val="5"/>
    </w:pPr>
    <w:rPr>
      <w:rFonts w:ascii="Times New Roman" w:hAnsi="Times New Roman"/>
      <w:b/>
      <w:bCs/>
      <w:sz w:val="22"/>
      <w:szCs w:val="22"/>
    </w:rPr>
  </w:style>
  <w:style w:type="paragraph" w:styleId="Heading7">
    <w:name w:val="heading 7"/>
    <w:basedOn w:val="Normal"/>
    <w:next w:val="Normal"/>
    <w:semiHidden/>
    <w:qFormat/>
    <w:rsid w:val="00AD5436"/>
    <w:pPr>
      <w:numPr>
        <w:ilvl w:val="6"/>
        <w:numId w:val="5"/>
      </w:numPr>
      <w:spacing w:before="240" w:after="60"/>
      <w:outlineLvl w:val="6"/>
    </w:pPr>
    <w:rPr>
      <w:rFonts w:ascii="Times New Roman" w:hAnsi="Times New Roman"/>
      <w:sz w:val="24"/>
    </w:rPr>
  </w:style>
  <w:style w:type="paragraph" w:styleId="Heading8">
    <w:name w:val="heading 8"/>
    <w:basedOn w:val="Normal"/>
    <w:next w:val="Normal"/>
    <w:semiHidden/>
    <w:qFormat/>
    <w:rsid w:val="00AD5436"/>
    <w:pPr>
      <w:numPr>
        <w:ilvl w:val="7"/>
        <w:numId w:val="5"/>
      </w:numPr>
      <w:spacing w:before="240" w:after="60"/>
      <w:outlineLvl w:val="7"/>
    </w:pPr>
    <w:rPr>
      <w:rFonts w:ascii="Times New Roman" w:hAnsi="Times New Roman"/>
      <w:i/>
      <w:iCs/>
      <w:sz w:val="24"/>
    </w:rPr>
  </w:style>
  <w:style w:type="paragraph" w:styleId="Heading9">
    <w:name w:val="heading 9"/>
    <w:basedOn w:val="Normal"/>
    <w:next w:val="Normal"/>
    <w:semiHidden/>
    <w:qFormat/>
    <w:rsid w:val="00AD5436"/>
    <w:pPr>
      <w:numPr>
        <w:ilvl w:val="8"/>
        <w:numId w:val="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70791C"/>
    <w:pPr>
      <w:tabs>
        <w:tab w:val="center" w:pos="4153"/>
        <w:tab w:val="right" w:pos="8306"/>
      </w:tabs>
      <w:spacing w:line="240" w:lineRule="auto"/>
    </w:pPr>
    <w:rPr>
      <w:sz w:val="16"/>
    </w:rPr>
  </w:style>
  <w:style w:type="paragraph" w:styleId="Footer">
    <w:name w:val="footer"/>
    <w:basedOn w:val="Normal"/>
    <w:link w:val="FooterChar"/>
    <w:semiHidden/>
    <w:qFormat/>
    <w:rsid w:val="0094078F"/>
    <w:pPr>
      <w:tabs>
        <w:tab w:val="right" w:pos="113"/>
      </w:tabs>
      <w:spacing w:line="240" w:lineRule="auto"/>
    </w:pPr>
    <w:rPr>
      <w:color w:val="323232"/>
      <w:sz w:val="16"/>
    </w:rPr>
  </w:style>
  <w:style w:type="character" w:customStyle="1" w:styleId="FooterChar">
    <w:name w:val="Footer Char"/>
    <w:basedOn w:val="DefaultParagraphFont"/>
    <w:link w:val="Footer"/>
    <w:semiHidden/>
    <w:rsid w:val="00EC2B68"/>
    <w:rPr>
      <w:rFonts w:ascii="Arial" w:hAnsi="Arial"/>
      <w:color w:val="323232"/>
      <w:sz w:val="16"/>
    </w:rPr>
  </w:style>
  <w:style w:type="paragraph" w:customStyle="1" w:styleId="Reporttitle">
    <w:name w:val="Report title"/>
    <w:basedOn w:val="Normal"/>
    <w:uiPriority w:val="19"/>
    <w:qFormat/>
    <w:rsid w:val="00A51D1A"/>
    <w:pPr>
      <w:spacing w:after="0" w:line="560" w:lineRule="exact"/>
    </w:pPr>
    <w:rPr>
      <w:b/>
      <w:spacing w:val="-28"/>
      <w:sz w:val="53"/>
    </w:rPr>
  </w:style>
  <w:style w:type="paragraph" w:customStyle="1" w:styleId="Reportsubtitle">
    <w:name w:val="Report subtitle"/>
    <w:basedOn w:val="Normal"/>
    <w:uiPriority w:val="20"/>
    <w:qFormat/>
    <w:rsid w:val="00950159"/>
    <w:pPr>
      <w:spacing w:after="200" w:line="560" w:lineRule="exact"/>
    </w:pPr>
    <w:rPr>
      <w:color w:val="323232"/>
      <w:spacing w:val="-28"/>
      <w:sz w:val="53"/>
    </w:rPr>
  </w:style>
  <w:style w:type="table" w:styleId="TableGrid">
    <w:name w:val="Table Grid"/>
    <w:basedOn w:val="TableNormal"/>
    <w:uiPriority w:val="59"/>
    <w:rsid w:val="00226819"/>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date">
    <w:name w:val="Report date"/>
    <w:basedOn w:val="Reportsubtitle"/>
    <w:uiPriority w:val="21"/>
    <w:qFormat/>
    <w:rsid w:val="00950159"/>
    <w:pPr>
      <w:spacing w:after="1200" w:line="240" w:lineRule="auto"/>
    </w:pPr>
    <w:rPr>
      <w:caps/>
      <w:spacing w:val="-10"/>
      <w:sz w:val="20"/>
    </w:rPr>
  </w:style>
  <w:style w:type="paragraph" w:customStyle="1" w:styleId="Tableheaderrow">
    <w:name w:val="Table header row"/>
    <w:basedOn w:val="Normal"/>
    <w:uiPriority w:val="14"/>
    <w:qFormat/>
    <w:rsid w:val="00774FDB"/>
    <w:pPr>
      <w:spacing w:after="0"/>
    </w:pPr>
    <w:rPr>
      <w:b/>
    </w:rPr>
  </w:style>
  <w:style w:type="paragraph" w:customStyle="1" w:styleId="PageNumber">
    <w:name w:val="PageNumber"/>
    <w:basedOn w:val="Normal"/>
    <w:semiHidden/>
    <w:rsid w:val="0070791C"/>
    <w:pPr>
      <w:spacing w:line="240" w:lineRule="auto"/>
    </w:pPr>
    <w:rPr>
      <w:sz w:val="16"/>
    </w:rPr>
  </w:style>
  <w:style w:type="paragraph" w:customStyle="1" w:styleId="Copyright">
    <w:name w:val="Copyright"/>
    <w:basedOn w:val="Normal"/>
    <w:semiHidden/>
    <w:rsid w:val="00454596"/>
    <w:pPr>
      <w:spacing w:line="160" w:lineRule="exact"/>
    </w:pPr>
    <w:rPr>
      <w:color w:val="4D4D4F"/>
      <w:sz w:val="13"/>
    </w:rPr>
  </w:style>
  <w:style w:type="paragraph" w:styleId="TOCHeading">
    <w:name w:val="TOC Heading"/>
    <w:basedOn w:val="Normal"/>
    <w:semiHidden/>
    <w:qFormat/>
    <w:rsid w:val="00950159"/>
    <w:pPr>
      <w:spacing w:before="1200" w:line="240" w:lineRule="auto"/>
    </w:pPr>
    <w:rPr>
      <w:b/>
      <w:color w:val="323232"/>
      <w:spacing w:val="-28"/>
      <w:sz w:val="53"/>
    </w:rPr>
  </w:style>
  <w:style w:type="paragraph" w:styleId="Caption">
    <w:name w:val="caption"/>
    <w:aliases w:val="Caption table"/>
    <w:basedOn w:val="Normal"/>
    <w:next w:val="Normal"/>
    <w:semiHidden/>
    <w:qFormat/>
    <w:rsid w:val="00E8152A"/>
    <w:pPr>
      <w:numPr>
        <w:numId w:val="9"/>
      </w:numPr>
      <w:spacing w:after="0"/>
    </w:pPr>
    <w:rPr>
      <w:b/>
      <w:bCs/>
      <w:color w:val="323232"/>
      <w:szCs w:val="20"/>
    </w:rPr>
  </w:style>
  <w:style w:type="paragraph" w:customStyle="1" w:styleId="BodySubHeader">
    <w:name w:val="BodySubHeader"/>
    <w:basedOn w:val="Normal"/>
    <w:next w:val="Normal"/>
    <w:qFormat/>
    <w:rsid w:val="00146CE6"/>
    <w:pPr>
      <w:spacing w:before="240" w:after="0"/>
    </w:pPr>
    <w:rPr>
      <w:b/>
      <w:i/>
    </w:rPr>
  </w:style>
  <w:style w:type="paragraph" w:styleId="ListBullet">
    <w:name w:val="List Bullet"/>
    <w:aliases w:val="List Bullet 1"/>
    <w:basedOn w:val="Normal"/>
    <w:link w:val="ListBulletChar"/>
    <w:qFormat/>
    <w:rsid w:val="001C6AEE"/>
    <w:pPr>
      <w:numPr>
        <w:numId w:val="1"/>
      </w:numPr>
      <w:spacing w:after="80"/>
    </w:pPr>
  </w:style>
  <w:style w:type="paragraph" w:styleId="ListBullet2">
    <w:name w:val="List Bullet 2"/>
    <w:basedOn w:val="Normal"/>
    <w:semiHidden/>
    <w:qFormat/>
    <w:rsid w:val="001C6AEE"/>
    <w:pPr>
      <w:numPr>
        <w:numId w:val="2"/>
      </w:numPr>
      <w:spacing w:after="80"/>
    </w:pPr>
  </w:style>
  <w:style w:type="paragraph" w:styleId="ListNumber">
    <w:name w:val="List Number"/>
    <w:basedOn w:val="Normal"/>
    <w:qFormat/>
    <w:rsid w:val="00C24A53"/>
    <w:pPr>
      <w:numPr>
        <w:numId w:val="3"/>
      </w:numPr>
      <w:spacing w:after="80"/>
    </w:pPr>
  </w:style>
  <w:style w:type="paragraph" w:styleId="ListNumber2">
    <w:name w:val="List Number 2"/>
    <w:basedOn w:val="Normal"/>
    <w:semiHidden/>
    <w:qFormat/>
    <w:rsid w:val="004A70D6"/>
    <w:pPr>
      <w:numPr>
        <w:numId w:val="4"/>
      </w:numPr>
      <w:spacing w:after="80"/>
      <w:ind w:left="828" w:hanging="357"/>
    </w:pPr>
  </w:style>
  <w:style w:type="paragraph" w:customStyle="1" w:styleId="URLEmail">
    <w:name w:val="URL/Email"/>
    <w:basedOn w:val="Normal"/>
    <w:semiHidden/>
    <w:rsid w:val="00302480"/>
    <w:rPr>
      <w:color w:val="4D4D4F"/>
      <w:spacing w:val="4"/>
    </w:rPr>
  </w:style>
  <w:style w:type="paragraph" w:customStyle="1" w:styleId="Execsummaryheading">
    <w:name w:val="Exec summary heading"/>
    <w:basedOn w:val="Normal"/>
    <w:uiPriority w:val="22"/>
    <w:qFormat/>
    <w:rsid w:val="006B52DE"/>
    <w:pPr>
      <w:pageBreakBefore/>
      <w:spacing w:after="1440" w:line="550" w:lineRule="exact"/>
    </w:pPr>
    <w:rPr>
      <w:b/>
      <w:color w:val="323232"/>
      <w:spacing w:val="-18"/>
      <w:sz w:val="53"/>
    </w:rPr>
  </w:style>
  <w:style w:type="character" w:styleId="PageNumber0">
    <w:name w:val="page number"/>
    <w:basedOn w:val="DefaultParagraphFont"/>
    <w:semiHidden/>
    <w:rsid w:val="00542377"/>
  </w:style>
  <w:style w:type="paragraph" w:styleId="ListContinue5">
    <w:name w:val="List Continue 5"/>
    <w:basedOn w:val="Normal"/>
    <w:semiHidden/>
    <w:rsid w:val="00EC2B68"/>
    <w:pPr>
      <w:spacing w:after="120"/>
      <w:ind w:left="1415"/>
      <w:contextualSpacing/>
    </w:pPr>
  </w:style>
  <w:style w:type="paragraph" w:customStyle="1" w:styleId="Paragraphbeforelist">
    <w:name w:val="Paragraph before list"/>
    <w:basedOn w:val="Paragraph"/>
    <w:uiPriority w:val="4"/>
    <w:qFormat/>
    <w:rsid w:val="00E077C6"/>
    <w:pPr>
      <w:keepNext/>
      <w:spacing w:after="80"/>
    </w:pPr>
  </w:style>
  <w:style w:type="paragraph" w:styleId="TOC1">
    <w:name w:val="toc 1"/>
    <w:basedOn w:val="Normal"/>
    <w:next w:val="Normal"/>
    <w:uiPriority w:val="39"/>
    <w:qFormat/>
    <w:rsid w:val="007A6CC0"/>
    <w:pPr>
      <w:tabs>
        <w:tab w:val="right" w:pos="7660"/>
      </w:tabs>
      <w:spacing w:before="280" w:after="80" w:line="320" w:lineRule="exact"/>
      <w:ind w:right="851"/>
    </w:pPr>
    <w:rPr>
      <w:b/>
      <w:noProof/>
      <w:spacing w:val="-14"/>
      <w:sz w:val="28"/>
    </w:rPr>
  </w:style>
  <w:style w:type="paragraph" w:styleId="TOC2">
    <w:name w:val="toc 2"/>
    <w:basedOn w:val="Normal"/>
    <w:next w:val="Normal"/>
    <w:uiPriority w:val="39"/>
    <w:qFormat/>
    <w:rsid w:val="007A6CC0"/>
    <w:pPr>
      <w:tabs>
        <w:tab w:val="right" w:pos="7660"/>
      </w:tabs>
      <w:spacing w:after="80" w:line="300" w:lineRule="exact"/>
      <w:ind w:left="885" w:hanging="885"/>
    </w:pPr>
    <w:rPr>
      <w:noProof/>
      <w:spacing w:val="-14"/>
      <w:sz w:val="26"/>
      <w:szCs w:val="26"/>
    </w:rPr>
  </w:style>
  <w:style w:type="paragraph" w:styleId="TableofFigures">
    <w:name w:val="table of figures"/>
    <w:basedOn w:val="Normal"/>
    <w:next w:val="Normal"/>
    <w:semiHidden/>
    <w:rsid w:val="00AD3082"/>
    <w:pPr>
      <w:tabs>
        <w:tab w:val="right" w:pos="7615"/>
      </w:tabs>
      <w:spacing w:line="320" w:lineRule="exact"/>
    </w:pPr>
    <w:rPr>
      <w:noProof/>
      <w:color w:val="808285"/>
      <w:sz w:val="28"/>
    </w:rPr>
  </w:style>
  <w:style w:type="paragraph" w:styleId="TOC3">
    <w:name w:val="toc 3"/>
    <w:basedOn w:val="Normal"/>
    <w:next w:val="Normal"/>
    <w:uiPriority w:val="39"/>
    <w:qFormat/>
    <w:rsid w:val="007A6CC0"/>
    <w:pPr>
      <w:tabs>
        <w:tab w:val="right" w:pos="7661"/>
      </w:tabs>
      <w:spacing w:after="80" w:line="240" w:lineRule="auto"/>
    </w:pPr>
    <w:rPr>
      <w:noProof/>
      <w:sz w:val="22"/>
      <w:szCs w:val="22"/>
    </w:rPr>
  </w:style>
  <w:style w:type="character" w:styleId="Hyperlink">
    <w:name w:val="Hyperlink"/>
    <w:aliases w:val="CEO_Hyperlink"/>
    <w:basedOn w:val="DefaultParagraphFont"/>
    <w:uiPriority w:val="99"/>
    <w:qFormat/>
    <w:rsid w:val="00C35CCE"/>
    <w:rPr>
      <w:color w:val="0000FF"/>
      <w:u w:val="single" w:color="0000FF"/>
    </w:rPr>
  </w:style>
  <w:style w:type="character" w:styleId="FootnoteReference">
    <w:name w:val="footnote reference"/>
    <w:aliases w:val="Appel note de bas de p,Appel note de bas de p + 11 pt,Italic,Footnote,Appel note de bas de p1,Appel note de bas de p2,Appel note de bas de p3,Footnote Reference/,(NECG) Footnote Reference,(NECG) Footnote Reference1,o,Style 12"/>
    <w:basedOn w:val="DefaultParagraphFont"/>
    <w:uiPriority w:val="99"/>
    <w:qFormat/>
    <w:rsid w:val="00566AB4"/>
    <w:rPr>
      <w:rFonts w:ascii="Arial" w:hAnsi="Arial"/>
      <w:vertAlign w:val="superscript"/>
    </w:rPr>
  </w:style>
  <w:style w:type="paragraph" w:styleId="FootnoteText">
    <w:name w:val="footnote text"/>
    <w:aliases w:val="Footnote text,ACMA Footnote Text,footnote text,Footnote Text Char1,Footnote Text Char Char,Footnote Text Char1 Char Char,Footnote Text Char Char Char Char,Footnote Text Char1 Char Char Char Char,Footnote Text Char Char Char Char Char Char"/>
    <w:basedOn w:val="Normal"/>
    <w:link w:val="FootnoteTextChar"/>
    <w:uiPriority w:val="99"/>
    <w:qFormat/>
    <w:rsid w:val="00C65ACF"/>
    <w:pPr>
      <w:spacing w:after="0" w:line="200" w:lineRule="atLeast"/>
    </w:pPr>
    <w:rPr>
      <w:sz w:val="16"/>
      <w:szCs w:val="16"/>
    </w:rPr>
  </w:style>
  <w:style w:type="paragraph" w:customStyle="1" w:styleId="TableBody">
    <w:name w:val="Table Body"/>
    <w:basedOn w:val="Normal"/>
    <w:qFormat/>
    <w:rsid w:val="00774FDB"/>
    <w:pPr>
      <w:spacing w:after="0" w:line="240" w:lineRule="auto"/>
    </w:pPr>
  </w:style>
  <w:style w:type="character" w:styleId="CommentReference">
    <w:name w:val="annotation reference"/>
    <w:basedOn w:val="DefaultParagraphFont"/>
    <w:uiPriority w:val="99"/>
    <w:semiHidden/>
    <w:rsid w:val="00EE7F79"/>
    <w:rPr>
      <w:sz w:val="16"/>
      <w:szCs w:val="16"/>
    </w:rPr>
  </w:style>
  <w:style w:type="paragraph" w:styleId="CommentText">
    <w:name w:val="annotation text"/>
    <w:basedOn w:val="Normal"/>
    <w:link w:val="CommentTextChar"/>
    <w:uiPriority w:val="99"/>
    <w:semiHidden/>
    <w:rsid w:val="00EE7F79"/>
    <w:pPr>
      <w:spacing w:line="240" w:lineRule="auto"/>
    </w:pPr>
    <w:rPr>
      <w:szCs w:val="20"/>
    </w:rPr>
  </w:style>
  <w:style w:type="character" w:customStyle="1" w:styleId="CommentTextChar">
    <w:name w:val="Comment Text Char"/>
    <w:basedOn w:val="DefaultParagraphFont"/>
    <w:link w:val="CommentText"/>
    <w:uiPriority w:val="99"/>
    <w:semiHidden/>
    <w:rsid w:val="00EE7F79"/>
    <w:rPr>
      <w:rFonts w:ascii="Arial" w:hAnsi="Arial"/>
    </w:rPr>
  </w:style>
  <w:style w:type="paragraph" w:styleId="CommentSubject">
    <w:name w:val="annotation subject"/>
    <w:basedOn w:val="CommentText"/>
    <w:next w:val="CommentText"/>
    <w:link w:val="CommentSubjectChar"/>
    <w:semiHidden/>
    <w:rsid w:val="00EE7F79"/>
    <w:rPr>
      <w:b/>
      <w:bCs/>
    </w:rPr>
  </w:style>
  <w:style w:type="character" w:customStyle="1" w:styleId="CommentSubjectChar">
    <w:name w:val="Comment Subject Char"/>
    <w:basedOn w:val="CommentTextChar"/>
    <w:link w:val="CommentSubject"/>
    <w:semiHidden/>
    <w:rsid w:val="00EE7F79"/>
    <w:rPr>
      <w:rFonts w:ascii="Arial" w:hAnsi="Arial"/>
      <w:b/>
      <w:bCs/>
    </w:rPr>
  </w:style>
  <w:style w:type="character" w:styleId="FollowedHyperlink">
    <w:name w:val="FollowedHyperlink"/>
    <w:basedOn w:val="DefaultParagraphFont"/>
    <w:semiHidden/>
    <w:rsid w:val="00F60F00"/>
    <w:rPr>
      <w:color w:val="800080" w:themeColor="followedHyperlink"/>
      <w:u w:val="single"/>
    </w:rPr>
  </w:style>
  <w:style w:type="character" w:styleId="PlaceholderText">
    <w:name w:val="Placeholder Text"/>
    <w:basedOn w:val="DefaultParagraphFont"/>
    <w:uiPriority w:val="99"/>
    <w:semiHidden/>
    <w:rsid w:val="00C97736"/>
    <w:rPr>
      <w:color w:val="808080"/>
    </w:rPr>
  </w:style>
  <w:style w:type="paragraph" w:customStyle="1" w:styleId="ACMAInstructions">
    <w:name w:val="ACMA_Instructions"/>
    <w:basedOn w:val="Normal"/>
    <w:unhideWhenUsed/>
    <w:qFormat/>
    <w:rsid w:val="00BF610C"/>
    <w:pPr>
      <w:spacing w:after="200"/>
    </w:pPr>
    <w:rPr>
      <w:rFonts w:cs="Arial"/>
      <w:b/>
      <w:vanish/>
      <w:sz w:val="24"/>
    </w:rPr>
  </w:style>
  <w:style w:type="paragraph" w:customStyle="1" w:styleId="CorporateAddresses">
    <w:name w:val="Corporate Addresses"/>
    <w:basedOn w:val="Normal"/>
    <w:semiHidden/>
    <w:rsid w:val="0005011A"/>
    <w:pPr>
      <w:spacing w:line="140" w:lineRule="exact"/>
    </w:pPr>
    <w:rPr>
      <w:color w:val="4D4D4F"/>
      <w:sz w:val="13"/>
    </w:rPr>
  </w:style>
  <w:style w:type="paragraph" w:customStyle="1" w:styleId="Bulletlevel1">
    <w:name w:val="Bullet level 1"/>
    <w:basedOn w:val="ListBullet"/>
    <w:uiPriority w:val="5"/>
    <w:qFormat/>
    <w:rsid w:val="00A824E8"/>
    <w:rPr>
      <w:rFonts w:cs="Arial"/>
    </w:rPr>
  </w:style>
  <w:style w:type="paragraph" w:customStyle="1" w:styleId="ACMACorporateAddressHeader">
    <w:name w:val="ACMA_CorporateAddressHeader"/>
    <w:basedOn w:val="Normal"/>
    <w:next w:val="ACMACorporateAddresses"/>
    <w:semiHidden/>
    <w:unhideWhenUsed/>
    <w:qFormat/>
    <w:rsid w:val="00FC07B9"/>
    <w:pPr>
      <w:tabs>
        <w:tab w:val="left" w:pos="142"/>
      </w:tabs>
      <w:spacing w:before="240" w:after="0" w:line="140" w:lineRule="exact"/>
    </w:pPr>
    <w:rPr>
      <w:b/>
      <w:sz w:val="13"/>
    </w:rPr>
  </w:style>
  <w:style w:type="paragraph" w:customStyle="1" w:styleId="ACMACorporateAddresses">
    <w:name w:val="ACMA_CorporateAddresses"/>
    <w:basedOn w:val="ACMACorporateAddressHeader"/>
    <w:semiHidden/>
    <w:unhideWhenUsed/>
    <w:qFormat/>
    <w:rsid w:val="00FC07B9"/>
    <w:pPr>
      <w:spacing w:before="0" w:after="120"/>
    </w:pPr>
    <w:rPr>
      <w:b w:val="0"/>
    </w:rPr>
  </w:style>
  <w:style w:type="paragraph" w:customStyle="1" w:styleId="ACMACopyrightHeader">
    <w:name w:val="ACMA_CopyrightHeader"/>
    <w:basedOn w:val="ACMACorporateAddressHeader"/>
    <w:semiHidden/>
    <w:unhideWhenUsed/>
    <w:qFormat/>
    <w:rsid w:val="00950159"/>
    <w:pPr>
      <w:spacing w:before="3000"/>
    </w:pPr>
  </w:style>
  <w:style w:type="paragraph" w:customStyle="1" w:styleId="ACMACClogo">
    <w:name w:val="ACMA_CClogo"/>
    <w:semiHidden/>
    <w:unhideWhenUsed/>
    <w:qFormat/>
    <w:rsid w:val="00623FF9"/>
    <w:pPr>
      <w:spacing w:before="160" w:after="120"/>
    </w:pPr>
    <w:rPr>
      <w:rFonts w:ascii="Arial" w:hAnsi="Arial"/>
      <w:b/>
      <w:sz w:val="13"/>
    </w:rPr>
  </w:style>
  <w:style w:type="paragraph" w:customStyle="1" w:styleId="ListBulletLast">
    <w:name w:val="List Bullet Last"/>
    <w:basedOn w:val="ListBullet"/>
    <w:qFormat/>
    <w:rsid w:val="00146CE6"/>
    <w:pPr>
      <w:spacing w:after="240"/>
    </w:pPr>
    <w:rPr>
      <w:rFonts w:cs="Arial"/>
    </w:rPr>
  </w:style>
  <w:style w:type="paragraph" w:customStyle="1" w:styleId="ListNumberLast">
    <w:name w:val="List Number Last"/>
    <w:basedOn w:val="ListNumber"/>
    <w:qFormat/>
    <w:rsid w:val="00C16198"/>
    <w:pPr>
      <w:spacing w:after="240"/>
      <w:ind w:left="357" w:hanging="357"/>
    </w:pPr>
    <w:rPr>
      <w:rFonts w:cs="Arial"/>
    </w:rPr>
  </w:style>
  <w:style w:type="paragraph" w:customStyle="1" w:styleId="ACMATableHeader">
    <w:name w:val="ACMA_TableHeader"/>
    <w:basedOn w:val="Normal"/>
    <w:qFormat/>
    <w:rsid w:val="00D9063E"/>
    <w:pPr>
      <w:keepNext/>
      <w:numPr>
        <w:numId w:val="27"/>
      </w:numPr>
      <w:spacing w:after="160" w:line="240" w:lineRule="auto"/>
      <w:ind w:left="1134" w:hanging="1134"/>
    </w:pPr>
    <w:rPr>
      <w:b/>
      <w:bCs/>
      <w:color w:val="323232"/>
      <w:szCs w:val="20"/>
    </w:rPr>
  </w:style>
  <w:style w:type="paragraph" w:customStyle="1" w:styleId="ACMANotes">
    <w:name w:val="ACMA_Notes"/>
    <w:semiHidden/>
    <w:rsid w:val="00FF206E"/>
    <w:pPr>
      <w:spacing w:before="80"/>
    </w:pPr>
    <w:rPr>
      <w:rFonts w:ascii="Arial" w:hAnsi="Arial" w:cs="Arial"/>
      <w:i/>
      <w:sz w:val="16"/>
    </w:rPr>
  </w:style>
  <w:style w:type="paragraph" w:customStyle="1" w:styleId="Numberlistlevel1">
    <w:name w:val="Number list level 1"/>
    <w:basedOn w:val="ListNumber"/>
    <w:uiPriority w:val="9"/>
    <w:qFormat/>
    <w:rsid w:val="004A70D6"/>
  </w:style>
  <w:style w:type="character" w:styleId="Emphasis">
    <w:name w:val="Emphasis"/>
    <w:basedOn w:val="DefaultParagraphFont"/>
    <w:semiHidden/>
    <w:qFormat/>
    <w:rsid w:val="006D576C"/>
    <w:rPr>
      <w:i/>
      <w:iCs/>
    </w:rPr>
  </w:style>
  <w:style w:type="paragraph" w:customStyle="1" w:styleId="ListNumber2Last">
    <w:name w:val="List Number 2 Last"/>
    <w:basedOn w:val="ListNumber2"/>
    <w:semiHidden/>
    <w:qFormat/>
    <w:rsid w:val="00E35707"/>
    <w:pPr>
      <w:spacing w:after="240"/>
      <w:ind w:left="907"/>
    </w:pPr>
    <w:rPr>
      <w:rFonts w:cs="Arial"/>
    </w:rPr>
  </w:style>
  <w:style w:type="paragraph" w:customStyle="1" w:styleId="Spaceaftertable">
    <w:name w:val="Space after table"/>
    <w:basedOn w:val="Normal"/>
    <w:uiPriority w:val="99"/>
    <w:qFormat/>
    <w:rsid w:val="00C2083D"/>
    <w:rPr>
      <w:rFonts w:cs="Arial"/>
    </w:rPr>
  </w:style>
  <w:style w:type="paragraph" w:customStyle="1" w:styleId="FooterLeft">
    <w:name w:val="Footer Left"/>
    <w:basedOn w:val="Footer"/>
    <w:semiHidden/>
    <w:qFormat/>
    <w:rsid w:val="00950159"/>
    <w:pPr>
      <w:framePr w:w="1440" w:h="357" w:hRule="exact" w:vSpace="425" w:wrap="around" w:vAnchor="page" w:hAnchor="page" w:x="935" w:y="15871"/>
      <w:pBdr>
        <w:top w:val="single" w:sz="4" w:space="1" w:color="auto"/>
      </w:pBdr>
    </w:pPr>
    <w:rPr>
      <w:rFonts w:cs="Arial"/>
    </w:rPr>
  </w:style>
  <w:style w:type="paragraph" w:customStyle="1" w:styleId="ACMAFigureHeader">
    <w:name w:val="ACMA_FigureHeader"/>
    <w:qFormat/>
    <w:rsid w:val="003F10EE"/>
    <w:pPr>
      <w:numPr>
        <w:numId w:val="6"/>
      </w:numPr>
      <w:tabs>
        <w:tab w:val="clear" w:pos="1304"/>
        <w:tab w:val="num" w:pos="1021"/>
      </w:tabs>
      <w:spacing w:after="160"/>
      <w:ind w:left="1021"/>
    </w:pPr>
    <w:rPr>
      <w:rFonts w:ascii="Arial" w:hAnsi="Arial"/>
      <w:b/>
      <w:bCs/>
      <w:color w:val="323232"/>
      <w:sz w:val="20"/>
      <w:szCs w:val="20"/>
    </w:rPr>
  </w:style>
  <w:style w:type="paragraph" w:customStyle="1" w:styleId="Captionfigure">
    <w:name w:val="Caption figure"/>
    <w:basedOn w:val="Caption"/>
    <w:semiHidden/>
    <w:qFormat/>
    <w:rsid w:val="00E8152A"/>
    <w:pPr>
      <w:keepNext/>
      <w:numPr>
        <w:numId w:val="8"/>
      </w:numPr>
    </w:pPr>
    <w:rPr>
      <w:rFonts w:cs="Arial"/>
    </w:rPr>
  </w:style>
  <w:style w:type="paragraph" w:customStyle="1" w:styleId="GridTable31">
    <w:name w:val="Grid Table 31"/>
    <w:basedOn w:val="Normal"/>
    <w:semiHidden/>
    <w:qFormat/>
    <w:rsid w:val="00971914"/>
    <w:pPr>
      <w:spacing w:after="0" w:line="240" w:lineRule="auto"/>
    </w:pPr>
    <w:rPr>
      <w:b/>
      <w:color w:val="4D4D4F"/>
      <w:spacing w:val="-28"/>
      <w:sz w:val="53"/>
    </w:rPr>
  </w:style>
  <w:style w:type="character" w:customStyle="1" w:styleId="HeaderChar">
    <w:name w:val="Header Char"/>
    <w:link w:val="Header"/>
    <w:semiHidden/>
    <w:rsid w:val="00971914"/>
    <w:rPr>
      <w:rFonts w:ascii="Arial" w:hAnsi="Arial"/>
      <w:sz w:val="16"/>
    </w:rPr>
  </w:style>
  <w:style w:type="character" w:customStyle="1" w:styleId="Heading1Char">
    <w:name w:val="Heading 1 Char"/>
    <w:basedOn w:val="DefaultParagraphFont"/>
    <w:link w:val="Heading1"/>
    <w:uiPriority w:val="1"/>
    <w:rsid w:val="00F5310D"/>
    <w:rPr>
      <w:rFonts w:ascii="Arial" w:hAnsi="Arial" w:cs="Arial"/>
      <w:bCs/>
      <w:color w:val="323232"/>
      <w:kern w:val="32"/>
      <w:sz w:val="53"/>
      <w:szCs w:val="32"/>
    </w:rPr>
  </w:style>
  <w:style w:type="character" w:customStyle="1" w:styleId="Heading2Char">
    <w:name w:val="Heading 2 Char"/>
    <w:basedOn w:val="DefaultParagraphFont"/>
    <w:link w:val="Heading2"/>
    <w:rsid w:val="00800CCD"/>
    <w:rPr>
      <w:rFonts w:ascii="Arial" w:hAnsi="Arial" w:cs="Arial"/>
      <w:b/>
      <w:bCs/>
      <w:iCs/>
      <w:sz w:val="28"/>
      <w:szCs w:val="28"/>
    </w:rPr>
  </w:style>
  <w:style w:type="character" w:styleId="UnresolvedMention">
    <w:name w:val="Unresolved Mention"/>
    <w:basedOn w:val="DefaultParagraphFont"/>
    <w:uiPriority w:val="99"/>
    <w:unhideWhenUsed/>
    <w:rsid w:val="006B52DE"/>
    <w:rPr>
      <w:color w:val="605E5C"/>
      <w:shd w:val="clear" w:color="auto" w:fill="E1DFDD"/>
    </w:rPr>
  </w:style>
  <w:style w:type="character" w:customStyle="1" w:styleId="Heading3Char">
    <w:name w:val="Heading 3 Char"/>
    <w:basedOn w:val="DefaultParagraphFont"/>
    <w:link w:val="Heading3"/>
    <w:uiPriority w:val="2"/>
    <w:rsid w:val="00800CCD"/>
    <w:rPr>
      <w:rFonts w:ascii="Arial" w:hAnsi="Arial" w:cs="Arial"/>
      <w:b/>
      <w:bCs/>
      <w:sz w:val="20"/>
      <w:szCs w:val="26"/>
    </w:rPr>
  </w:style>
  <w:style w:type="paragraph" w:customStyle="1" w:styleId="Paragraph">
    <w:name w:val="Paragraph"/>
    <w:basedOn w:val="Normal"/>
    <w:qFormat/>
    <w:rsid w:val="00A824E8"/>
    <w:rPr>
      <w:rFonts w:cs="Arial"/>
    </w:rPr>
  </w:style>
  <w:style w:type="paragraph" w:customStyle="1" w:styleId="Bulletlevel2">
    <w:name w:val="Bullet level 2"/>
    <w:basedOn w:val="ListBullet2"/>
    <w:uiPriority w:val="7"/>
    <w:qFormat/>
    <w:rsid w:val="00A824E8"/>
    <w:rPr>
      <w:rFonts w:cs="Arial"/>
    </w:rPr>
  </w:style>
  <w:style w:type="paragraph" w:customStyle="1" w:styleId="Bulletlevel1last">
    <w:name w:val="Bullet level 1 last"/>
    <w:basedOn w:val="ListBulletLast"/>
    <w:uiPriority w:val="6"/>
    <w:qFormat/>
    <w:rsid w:val="00A824E8"/>
  </w:style>
  <w:style w:type="paragraph" w:customStyle="1" w:styleId="Numberlistlevel2">
    <w:name w:val="Number list level 2"/>
    <w:basedOn w:val="ListNumber2"/>
    <w:uiPriority w:val="11"/>
    <w:qFormat/>
    <w:rsid w:val="004A70D6"/>
  </w:style>
  <w:style w:type="paragraph" w:customStyle="1" w:styleId="Numberlistlast">
    <w:name w:val="Number list last"/>
    <w:basedOn w:val="ListNumberLast"/>
    <w:uiPriority w:val="10"/>
    <w:qFormat/>
    <w:rsid w:val="004A70D6"/>
  </w:style>
  <w:style w:type="paragraph" w:customStyle="1" w:styleId="Numberlistlevel2last">
    <w:name w:val="Number list level 2 last"/>
    <w:basedOn w:val="Numberlistlevel2"/>
    <w:uiPriority w:val="12"/>
    <w:qFormat/>
    <w:rsid w:val="004A70D6"/>
    <w:pPr>
      <w:spacing w:after="240"/>
    </w:pPr>
  </w:style>
  <w:style w:type="paragraph" w:customStyle="1" w:styleId="Bulletlevel2last">
    <w:name w:val="Bullet level 2 last"/>
    <w:basedOn w:val="Bulletlevel2"/>
    <w:uiPriority w:val="8"/>
    <w:qFormat/>
    <w:rsid w:val="004A70D6"/>
    <w:pPr>
      <w:spacing w:after="240"/>
    </w:pPr>
  </w:style>
  <w:style w:type="table" w:customStyle="1" w:styleId="ACMAtablestyle">
    <w:name w:val="ACMA table style"/>
    <w:basedOn w:val="TableNormal"/>
    <w:uiPriority w:val="99"/>
    <w:rsid w:val="0063346D"/>
    <w:rPr>
      <w:rFonts w:ascii="Arial" w:hAnsi="Arial"/>
      <w:sz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blStylePr w:type="firstRow">
      <w:rPr>
        <w:rFonts w:ascii="Arial" w:hAnsi="Arial"/>
        <w:b w:val="0"/>
        <w:color w:val="FFFFFF" w:themeColor="background1"/>
        <w:sz w:val="20"/>
      </w:rPr>
      <w:tblPr/>
      <w:trPr>
        <w:tblHeader/>
      </w:trPr>
      <w:tcPr>
        <w:tcBorders>
          <w:top w:val="single" w:sz="4" w:space="0" w:color="auto"/>
          <w:left w:val="single" w:sz="4" w:space="0" w:color="auto"/>
          <w:bottom w:val="single" w:sz="4" w:space="0" w:color="auto"/>
          <w:right w:val="single" w:sz="4" w:space="0" w:color="auto"/>
          <w:insideH w:val="nil"/>
          <w:insideV w:val="nil"/>
        </w:tcBorders>
        <w:shd w:val="clear" w:color="auto" w:fill="404040" w:themeFill="text1" w:themeFillTint="BF"/>
      </w:tcPr>
    </w:tblStylePr>
    <w:tblStylePr w:type="band1Horz">
      <w:rPr>
        <w:rFonts w:ascii="Arial" w:hAnsi="Arial"/>
        <w:sz w:val="20"/>
      </w:rPr>
      <w:tblPr/>
      <w:tcPr>
        <w:shd w:val="clear" w:color="auto" w:fill="F2F2F2" w:themeFill="background1" w:themeFillShade="F2"/>
      </w:tcPr>
    </w:tblStylePr>
    <w:tblStylePr w:type="band2Horz">
      <w:rPr>
        <w:rFonts w:ascii="Arial" w:hAnsi="Arial"/>
        <w:sz w:val="20"/>
      </w:rPr>
    </w:tblStylePr>
  </w:style>
  <w:style w:type="paragraph" w:customStyle="1" w:styleId="Tableheading">
    <w:name w:val="Table heading"/>
    <w:basedOn w:val="ACMATableHeader"/>
    <w:next w:val="Paragraph"/>
    <w:uiPriority w:val="13"/>
    <w:qFormat/>
    <w:rsid w:val="00EC7BC3"/>
    <w:pPr>
      <w:numPr>
        <w:numId w:val="12"/>
      </w:numPr>
      <w:spacing w:line="240" w:lineRule="atLeast"/>
      <w:ind w:left="1134" w:hanging="1134"/>
    </w:pPr>
  </w:style>
  <w:style w:type="paragraph" w:customStyle="1" w:styleId="Tableorfigurenote">
    <w:name w:val="Table or figure note"/>
    <w:basedOn w:val="ACMANotes"/>
    <w:uiPriority w:val="17"/>
    <w:qFormat/>
    <w:rsid w:val="00930510"/>
    <w:pPr>
      <w:spacing w:after="240"/>
    </w:pPr>
  </w:style>
  <w:style w:type="paragraph" w:customStyle="1" w:styleId="Figureheading">
    <w:name w:val="Figure heading"/>
    <w:basedOn w:val="ACMAFigureHeader"/>
    <w:next w:val="Paragraph"/>
    <w:uiPriority w:val="16"/>
    <w:qFormat/>
    <w:rsid w:val="0063346D"/>
    <w:pPr>
      <w:keepNext/>
      <w:spacing w:line="240" w:lineRule="atLeast"/>
    </w:pPr>
  </w:style>
  <w:style w:type="paragraph" w:customStyle="1" w:styleId="Tableorfigurenotemultiple">
    <w:name w:val="Table or figure note multiple"/>
    <w:basedOn w:val="Tableorfigurenote"/>
    <w:uiPriority w:val="18"/>
    <w:qFormat/>
    <w:rsid w:val="00930510"/>
    <w:pPr>
      <w:spacing w:after="80"/>
    </w:pPr>
  </w:style>
  <w:style w:type="paragraph" w:styleId="BalloonText">
    <w:name w:val="Balloon Text"/>
    <w:basedOn w:val="Normal"/>
    <w:link w:val="BalloonTextChar"/>
    <w:semiHidden/>
    <w:unhideWhenUsed/>
    <w:rsid w:val="003933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3933E8"/>
    <w:rPr>
      <w:rFonts w:ascii="Segoe UI" w:hAnsi="Segoe UI" w:cs="Segoe UI"/>
      <w:sz w:val="18"/>
      <w:szCs w:val="18"/>
    </w:rPr>
  </w:style>
  <w:style w:type="paragraph" w:customStyle="1" w:styleId="Note">
    <w:name w:val="Note"/>
    <w:basedOn w:val="ACMANotes"/>
    <w:uiPriority w:val="23"/>
    <w:semiHidden/>
    <w:qFormat/>
    <w:rsid w:val="00D61243"/>
  </w:style>
  <w:style w:type="paragraph" w:customStyle="1" w:styleId="ACMABulletLevel1">
    <w:name w:val="ACMA Bullet Level 1"/>
    <w:rsid w:val="005C34EF"/>
    <w:pPr>
      <w:numPr>
        <w:numId w:val="10"/>
      </w:numPr>
      <w:tabs>
        <w:tab w:val="num" w:pos="-31680"/>
      </w:tabs>
      <w:spacing w:after="120"/>
    </w:pPr>
    <w:rPr>
      <w:szCs w:val="20"/>
      <w:lang w:eastAsia="en-US"/>
    </w:rPr>
  </w:style>
  <w:style w:type="paragraph" w:customStyle="1" w:styleId="Protectivemarking">
    <w:name w:val="Protective marking"/>
    <w:basedOn w:val="ACMABulletLevel1"/>
    <w:uiPriority w:val="99"/>
    <w:qFormat/>
    <w:rsid w:val="005C34EF"/>
    <w:pPr>
      <w:numPr>
        <w:numId w:val="0"/>
      </w:numPr>
      <w:tabs>
        <w:tab w:val="left" w:pos="720"/>
      </w:tabs>
      <w:spacing w:after="0"/>
      <w:jc w:val="center"/>
    </w:pPr>
    <w:rPr>
      <w:rFonts w:ascii="Arial" w:hAnsi="Arial" w:cs="Arial"/>
      <w:b/>
      <w:bCs/>
      <w:color w:val="FF0000"/>
      <w:sz w:val="32"/>
      <w:szCs w:val="24"/>
    </w:rPr>
  </w:style>
  <w:style w:type="paragraph" w:styleId="ListParagraph">
    <w:name w:val="List Paragraph"/>
    <w:aliases w:val="List Paragraph1"/>
    <w:basedOn w:val="Normal"/>
    <w:uiPriority w:val="34"/>
    <w:qFormat/>
    <w:rsid w:val="000E168D"/>
    <w:pPr>
      <w:ind w:left="720"/>
      <w:contextualSpacing/>
    </w:pPr>
  </w:style>
  <w:style w:type="character" w:styleId="Strong">
    <w:name w:val="Strong"/>
    <w:basedOn w:val="DefaultParagraphFont"/>
    <w:uiPriority w:val="22"/>
    <w:qFormat/>
    <w:rsid w:val="00DE7553"/>
    <w:rPr>
      <w:b/>
      <w:bCs/>
    </w:rPr>
  </w:style>
  <w:style w:type="paragraph" w:customStyle="1" w:styleId="ACMASpaceaftertable">
    <w:name w:val="ACMA_Space after table"/>
    <w:basedOn w:val="Normal"/>
    <w:qFormat/>
    <w:rsid w:val="00DE7553"/>
    <w:rPr>
      <w:rFonts w:cs="Arial"/>
    </w:rPr>
  </w:style>
  <w:style w:type="character" w:customStyle="1" w:styleId="ListBulletChar">
    <w:name w:val="List Bullet Char"/>
    <w:aliases w:val="List Bullet 1 Char"/>
    <w:basedOn w:val="DefaultParagraphFont"/>
    <w:link w:val="ListBullet"/>
    <w:rsid w:val="00DE7553"/>
    <w:rPr>
      <w:rFonts w:ascii="Arial" w:hAnsi="Arial"/>
      <w:sz w:val="20"/>
    </w:rPr>
  </w:style>
  <w:style w:type="character" w:customStyle="1" w:styleId="FootnoteTextChar">
    <w:name w:val="Footnote Text Char"/>
    <w:aliases w:val="Footnote text Char,ACMA Footnote Text Char,footnote text Char,Footnote Text Char1 Char,Footnote Text Char Char Char,Footnote Text Char1 Char Char Char,Footnote Text Char Char Char Char Char,Footnote Text Char1 Char Char Char Char Char"/>
    <w:basedOn w:val="DefaultParagraphFont"/>
    <w:link w:val="FootnoteText"/>
    <w:uiPriority w:val="99"/>
    <w:qFormat/>
    <w:rsid w:val="00C65ACF"/>
    <w:rPr>
      <w:rFonts w:ascii="Arial" w:hAnsi="Arial"/>
      <w:sz w:val="16"/>
      <w:szCs w:val="16"/>
    </w:rPr>
  </w:style>
  <w:style w:type="paragraph" w:customStyle="1" w:styleId="ExecSummaryHeading0">
    <w:name w:val="Exec Summary Heading"/>
    <w:basedOn w:val="Normal"/>
    <w:rsid w:val="00BF7873"/>
    <w:pPr>
      <w:spacing w:after="1440" w:line="550" w:lineRule="exact"/>
    </w:pPr>
    <w:rPr>
      <w:b/>
      <w:color w:val="4D4D4F"/>
      <w:spacing w:val="-18"/>
      <w:sz w:val="53"/>
    </w:rPr>
  </w:style>
  <w:style w:type="paragraph" w:styleId="Revision">
    <w:name w:val="Revision"/>
    <w:hidden/>
    <w:semiHidden/>
    <w:rsid w:val="00CA2C14"/>
    <w:rPr>
      <w:rFonts w:ascii="Arial" w:hAnsi="Arial"/>
      <w:sz w:val="20"/>
    </w:rPr>
  </w:style>
  <w:style w:type="paragraph" w:customStyle="1" w:styleId="TableHeading0">
    <w:name w:val="Table Heading"/>
    <w:basedOn w:val="ACMATableHeader"/>
    <w:qFormat/>
    <w:rsid w:val="00D943E4"/>
    <w:pPr>
      <w:ind w:left="720" w:hanging="720"/>
    </w:pPr>
  </w:style>
  <w:style w:type="paragraph" w:customStyle="1" w:styleId="Recommendation">
    <w:name w:val="Recommendation"/>
    <w:basedOn w:val="Heading3"/>
    <w:link w:val="RecommendationChar"/>
    <w:rsid w:val="006C13CE"/>
    <w:pPr>
      <w:pBdr>
        <w:top w:val="single" w:sz="4" w:space="1" w:color="auto"/>
        <w:left w:val="single" w:sz="4" w:space="4" w:color="auto"/>
        <w:bottom w:val="single" w:sz="4" w:space="1" w:color="auto"/>
        <w:right w:val="single" w:sz="4" w:space="4" w:color="auto"/>
      </w:pBdr>
      <w:shd w:val="clear" w:color="auto" w:fill="D9D9D9" w:themeFill="background1" w:themeFillShade="D9"/>
    </w:pPr>
    <w:rPr>
      <w:b w:val="0"/>
    </w:rPr>
  </w:style>
  <w:style w:type="character" w:customStyle="1" w:styleId="RecommendationChar">
    <w:name w:val="Recommendation Char"/>
    <w:aliases w:val="List Paragraph Char,List Paragraph1 Char"/>
    <w:basedOn w:val="Heading3Char"/>
    <w:link w:val="Recommendation"/>
    <w:rsid w:val="006C13CE"/>
    <w:rPr>
      <w:rFonts w:ascii="Arial" w:hAnsi="Arial" w:cs="Arial"/>
      <w:b w:val="0"/>
      <w:bCs/>
      <w:sz w:val="20"/>
      <w:szCs w:val="26"/>
      <w:shd w:val="clear" w:color="auto" w:fill="D9D9D9" w:themeFill="background1" w:themeFillShade="D9"/>
    </w:rPr>
  </w:style>
  <w:style w:type="paragraph" w:customStyle="1" w:styleId="ACMANumberedList">
    <w:name w:val="ACMA Numbered List"/>
    <w:rsid w:val="0009570A"/>
    <w:pPr>
      <w:numPr>
        <w:numId w:val="39"/>
      </w:numPr>
      <w:spacing w:before="20" w:after="20"/>
    </w:pPr>
    <w:rPr>
      <w:szCs w:val="20"/>
      <w:lang w:eastAsia="en-US"/>
    </w:rPr>
  </w:style>
  <w:style w:type="paragraph" w:customStyle="1" w:styleId="Tabletext">
    <w:name w:val="Tabletext"/>
    <w:aliases w:val="tt"/>
    <w:basedOn w:val="Normal"/>
    <w:rsid w:val="004214AF"/>
    <w:pPr>
      <w:spacing w:before="60" w:after="0"/>
    </w:pPr>
    <w:rPr>
      <w:rFonts w:ascii="Times New Roman" w:hAnsi="Times New Roman"/>
      <w:szCs w:val="20"/>
    </w:rPr>
  </w:style>
  <w:style w:type="paragraph" w:customStyle="1" w:styleId="TableHeading1">
    <w:name w:val="TableHeading"/>
    <w:aliases w:val="th"/>
    <w:basedOn w:val="Normal"/>
    <w:next w:val="Tabletext"/>
    <w:rsid w:val="004214AF"/>
    <w:pPr>
      <w:keepNext/>
      <w:spacing w:before="60" w:after="0"/>
    </w:pPr>
    <w:rPr>
      <w:rFonts w:ascii="Times New Roman" w:hAnsi="Times New Roman"/>
      <w:b/>
      <w:szCs w:val="20"/>
    </w:rPr>
  </w:style>
  <w:style w:type="paragraph" w:customStyle="1" w:styleId="pf0">
    <w:name w:val="pf0"/>
    <w:basedOn w:val="Normal"/>
    <w:rsid w:val="00FF6849"/>
    <w:pPr>
      <w:spacing w:before="100" w:beforeAutospacing="1" w:after="100" w:afterAutospacing="1" w:line="240" w:lineRule="auto"/>
    </w:pPr>
    <w:rPr>
      <w:rFonts w:ascii="Times New Roman" w:hAnsi="Times New Roman"/>
      <w:sz w:val="24"/>
    </w:rPr>
  </w:style>
  <w:style w:type="character" w:styleId="Mention">
    <w:name w:val="Mention"/>
    <w:basedOn w:val="DefaultParagraphFont"/>
    <w:uiPriority w:val="99"/>
    <w:unhideWhenUsed/>
    <w:rsid w:val="00E61A4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20563">
      <w:bodyDiv w:val="1"/>
      <w:marLeft w:val="0"/>
      <w:marRight w:val="0"/>
      <w:marTop w:val="0"/>
      <w:marBottom w:val="0"/>
      <w:divBdr>
        <w:top w:val="none" w:sz="0" w:space="0" w:color="auto"/>
        <w:left w:val="none" w:sz="0" w:space="0" w:color="auto"/>
        <w:bottom w:val="none" w:sz="0" w:space="0" w:color="auto"/>
        <w:right w:val="none" w:sz="0" w:space="0" w:color="auto"/>
      </w:divBdr>
    </w:div>
    <w:div w:id="134874445">
      <w:bodyDiv w:val="1"/>
      <w:marLeft w:val="0"/>
      <w:marRight w:val="0"/>
      <w:marTop w:val="0"/>
      <w:marBottom w:val="0"/>
      <w:divBdr>
        <w:top w:val="none" w:sz="0" w:space="0" w:color="auto"/>
        <w:left w:val="none" w:sz="0" w:space="0" w:color="auto"/>
        <w:bottom w:val="none" w:sz="0" w:space="0" w:color="auto"/>
        <w:right w:val="none" w:sz="0" w:space="0" w:color="auto"/>
      </w:divBdr>
    </w:div>
    <w:div w:id="153844154">
      <w:bodyDiv w:val="1"/>
      <w:marLeft w:val="0"/>
      <w:marRight w:val="0"/>
      <w:marTop w:val="0"/>
      <w:marBottom w:val="0"/>
      <w:divBdr>
        <w:top w:val="none" w:sz="0" w:space="0" w:color="auto"/>
        <w:left w:val="none" w:sz="0" w:space="0" w:color="auto"/>
        <w:bottom w:val="none" w:sz="0" w:space="0" w:color="auto"/>
        <w:right w:val="none" w:sz="0" w:space="0" w:color="auto"/>
      </w:divBdr>
    </w:div>
    <w:div w:id="162858849">
      <w:bodyDiv w:val="1"/>
      <w:marLeft w:val="0"/>
      <w:marRight w:val="0"/>
      <w:marTop w:val="0"/>
      <w:marBottom w:val="0"/>
      <w:divBdr>
        <w:top w:val="none" w:sz="0" w:space="0" w:color="auto"/>
        <w:left w:val="none" w:sz="0" w:space="0" w:color="auto"/>
        <w:bottom w:val="none" w:sz="0" w:space="0" w:color="auto"/>
        <w:right w:val="none" w:sz="0" w:space="0" w:color="auto"/>
      </w:divBdr>
    </w:div>
    <w:div w:id="282813674">
      <w:bodyDiv w:val="1"/>
      <w:marLeft w:val="0"/>
      <w:marRight w:val="0"/>
      <w:marTop w:val="0"/>
      <w:marBottom w:val="0"/>
      <w:divBdr>
        <w:top w:val="none" w:sz="0" w:space="0" w:color="auto"/>
        <w:left w:val="none" w:sz="0" w:space="0" w:color="auto"/>
        <w:bottom w:val="none" w:sz="0" w:space="0" w:color="auto"/>
        <w:right w:val="none" w:sz="0" w:space="0" w:color="auto"/>
      </w:divBdr>
    </w:div>
    <w:div w:id="355234654">
      <w:bodyDiv w:val="1"/>
      <w:marLeft w:val="0"/>
      <w:marRight w:val="0"/>
      <w:marTop w:val="0"/>
      <w:marBottom w:val="0"/>
      <w:divBdr>
        <w:top w:val="none" w:sz="0" w:space="0" w:color="auto"/>
        <w:left w:val="none" w:sz="0" w:space="0" w:color="auto"/>
        <w:bottom w:val="none" w:sz="0" w:space="0" w:color="auto"/>
        <w:right w:val="none" w:sz="0" w:space="0" w:color="auto"/>
      </w:divBdr>
    </w:div>
    <w:div w:id="388649486">
      <w:bodyDiv w:val="1"/>
      <w:marLeft w:val="0"/>
      <w:marRight w:val="0"/>
      <w:marTop w:val="0"/>
      <w:marBottom w:val="0"/>
      <w:divBdr>
        <w:top w:val="none" w:sz="0" w:space="0" w:color="auto"/>
        <w:left w:val="none" w:sz="0" w:space="0" w:color="auto"/>
        <w:bottom w:val="none" w:sz="0" w:space="0" w:color="auto"/>
        <w:right w:val="none" w:sz="0" w:space="0" w:color="auto"/>
      </w:divBdr>
    </w:div>
    <w:div w:id="436294983">
      <w:bodyDiv w:val="1"/>
      <w:marLeft w:val="0"/>
      <w:marRight w:val="0"/>
      <w:marTop w:val="0"/>
      <w:marBottom w:val="0"/>
      <w:divBdr>
        <w:top w:val="none" w:sz="0" w:space="0" w:color="auto"/>
        <w:left w:val="none" w:sz="0" w:space="0" w:color="auto"/>
        <w:bottom w:val="none" w:sz="0" w:space="0" w:color="auto"/>
        <w:right w:val="none" w:sz="0" w:space="0" w:color="auto"/>
      </w:divBdr>
    </w:div>
    <w:div w:id="486753484">
      <w:bodyDiv w:val="1"/>
      <w:marLeft w:val="0"/>
      <w:marRight w:val="0"/>
      <w:marTop w:val="0"/>
      <w:marBottom w:val="0"/>
      <w:divBdr>
        <w:top w:val="none" w:sz="0" w:space="0" w:color="auto"/>
        <w:left w:val="none" w:sz="0" w:space="0" w:color="auto"/>
        <w:bottom w:val="none" w:sz="0" w:space="0" w:color="auto"/>
        <w:right w:val="none" w:sz="0" w:space="0" w:color="auto"/>
      </w:divBdr>
    </w:div>
    <w:div w:id="503521221">
      <w:bodyDiv w:val="1"/>
      <w:marLeft w:val="0"/>
      <w:marRight w:val="0"/>
      <w:marTop w:val="0"/>
      <w:marBottom w:val="0"/>
      <w:divBdr>
        <w:top w:val="none" w:sz="0" w:space="0" w:color="auto"/>
        <w:left w:val="none" w:sz="0" w:space="0" w:color="auto"/>
        <w:bottom w:val="none" w:sz="0" w:space="0" w:color="auto"/>
        <w:right w:val="none" w:sz="0" w:space="0" w:color="auto"/>
      </w:divBdr>
    </w:div>
    <w:div w:id="510805006">
      <w:bodyDiv w:val="1"/>
      <w:marLeft w:val="0"/>
      <w:marRight w:val="0"/>
      <w:marTop w:val="0"/>
      <w:marBottom w:val="0"/>
      <w:divBdr>
        <w:top w:val="none" w:sz="0" w:space="0" w:color="auto"/>
        <w:left w:val="none" w:sz="0" w:space="0" w:color="auto"/>
        <w:bottom w:val="none" w:sz="0" w:space="0" w:color="auto"/>
        <w:right w:val="none" w:sz="0" w:space="0" w:color="auto"/>
      </w:divBdr>
    </w:div>
    <w:div w:id="511382550">
      <w:bodyDiv w:val="1"/>
      <w:marLeft w:val="0"/>
      <w:marRight w:val="0"/>
      <w:marTop w:val="0"/>
      <w:marBottom w:val="0"/>
      <w:divBdr>
        <w:top w:val="none" w:sz="0" w:space="0" w:color="auto"/>
        <w:left w:val="none" w:sz="0" w:space="0" w:color="auto"/>
        <w:bottom w:val="none" w:sz="0" w:space="0" w:color="auto"/>
        <w:right w:val="none" w:sz="0" w:space="0" w:color="auto"/>
      </w:divBdr>
    </w:div>
    <w:div w:id="576784553">
      <w:bodyDiv w:val="1"/>
      <w:marLeft w:val="0"/>
      <w:marRight w:val="0"/>
      <w:marTop w:val="0"/>
      <w:marBottom w:val="0"/>
      <w:divBdr>
        <w:top w:val="none" w:sz="0" w:space="0" w:color="auto"/>
        <w:left w:val="none" w:sz="0" w:space="0" w:color="auto"/>
        <w:bottom w:val="none" w:sz="0" w:space="0" w:color="auto"/>
        <w:right w:val="none" w:sz="0" w:space="0" w:color="auto"/>
      </w:divBdr>
    </w:div>
    <w:div w:id="629633777">
      <w:bodyDiv w:val="1"/>
      <w:marLeft w:val="0"/>
      <w:marRight w:val="0"/>
      <w:marTop w:val="0"/>
      <w:marBottom w:val="0"/>
      <w:divBdr>
        <w:top w:val="none" w:sz="0" w:space="0" w:color="auto"/>
        <w:left w:val="none" w:sz="0" w:space="0" w:color="auto"/>
        <w:bottom w:val="none" w:sz="0" w:space="0" w:color="auto"/>
        <w:right w:val="none" w:sz="0" w:space="0" w:color="auto"/>
      </w:divBdr>
    </w:div>
    <w:div w:id="738601133">
      <w:bodyDiv w:val="1"/>
      <w:marLeft w:val="0"/>
      <w:marRight w:val="0"/>
      <w:marTop w:val="0"/>
      <w:marBottom w:val="0"/>
      <w:divBdr>
        <w:top w:val="none" w:sz="0" w:space="0" w:color="auto"/>
        <w:left w:val="none" w:sz="0" w:space="0" w:color="auto"/>
        <w:bottom w:val="none" w:sz="0" w:space="0" w:color="auto"/>
        <w:right w:val="none" w:sz="0" w:space="0" w:color="auto"/>
      </w:divBdr>
    </w:div>
    <w:div w:id="742147494">
      <w:bodyDiv w:val="1"/>
      <w:marLeft w:val="0"/>
      <w:marRight w:val="0"/>
      <w:marTop w:val="0"/>
      <w:marBottom w:val="0"/>
      <w:divBdr>
        <w:top w:val="none" w:sz="0" w:space="0" w:color="auto"/>
        <w:left w:val="none" w:sz="0" w:space="0" w:color="auto"/>
        <w:bottom w:val="none" w:sz="0" w:space="0" w:color="auto"/>
        <w:right w:val="none" w:sz="0" w:space="0" w:color="auto"/>
      </w:divBdr>
    </w:div>
    <w:div w:id="797917737">
      <w:bodyDiv w:val="1"/>
      <w:marLeft w:val="0"/>
      <w:marRight w:val="0"/>
      <w:marTop w:val="0"/>
      <w:marBottom w:val="0"/>
      <w:divBdr>
        <w:top w:val="none" w:sz="0" w:space="0" w:color="auto"/>
        <w:left w:val="none" w:sz="0" w:space="0" w:color="auto"/>
        <w:bottom w:val="none" w:sz="0" w:space="0" w:color="auto"/>
        <w:right w:val="none" w:sz="0" w:space="0" w:color="auto"/>
      </w:divBdr>
    </w:div>
    <w:div w:id="800264682">
      <w:bodyDiv w:val="1"/>
      <w:marLeft w:val="0"/>
      <w:marRight w:val="0"/>
      <w:marTop w:val="0"/>
      <w:marBottom w:val="0"/>
      <w:divBdr>
        <w:top w:val="none" w:sz="0" w:space="0" w:color="auto"/>
        <w:left w:val="none" w:sz="0" w:space="0" w:color="auto"/>
        <w:bottom w:val="none" w:sz="0" w:space="0" w:color="auto"/>
        <w:right w:val="none" w:sz="0" w:space="0" w:color="auto"/>
      </w:divBdr>
    </w:div>
    <w:div w:id="801001390">
      <w:bodyDiv w:val="1"/>
      <w:marLeft w:val="0"/>
      <w:marRight w:val="0"/>
      <w:marTop w:val="0"/>
      <w:marBottom w:val="0"/>
      <w:divBdr>
        <w:top w:val="none" w:sz="0" w:space="0" w:color="auto"/>
        <w:left w:val="none" w:sz="0" w:space="0" w:color="auto"/>
        <w:bottom w:val="none" w:sz="0" w:space="0" w:color="auto"/>
        <w:right w:val="none" w:sz="0" w:space="0" w:color="auto"/>
      </w:divBdr>
    </w:div>
    <w:div w:id="832721868">
      <w:bodyDiv w:val="1"/>
      <w:marLeft w:val="0"/>
      <w:marRight w:val="0"/>
      <w:marTop w:val="0"/>
      <w:marBottom w:val="0"/>
      <w:divBdr>
        <w:top w:val="none" w:sz="0" w:space="0" w:color="auto"/>
        <w:left w:val="none" w:sz="0" w:space="0" w:color="auto"/>
        <w:bottom w:val="none" w:sz="0" w:space="0" w:color="auto"/>
        <w:right w:val="none" w:sz="0" w:space="0" w:color="auto"/>
      </w:divBdr>
    </w:div>
    <w:div w:id="906961568">
      <w:bodyDiv w:val="1"/>
      <w:marLeft w:val="0"/>
      <w:marRight w:val="0"/>
      <w:marTop w:val="0"/>
      <w:marBottom w:val="0"/>
      <w:divBdr>
        <w:top w:val="none" w:sz="0" w:space="0" w:color="auto"/>
        <w:left w:val="none" w:sz="0" w:space="0" w:color="auto"/>
        <w:bottom w:val="none" w:sz="0" w:space="0" w:color="auto"/>
        <w:right w:val="none" w:sz="0" w:space="0" w:color="auto"/>
      </w:divBdr>
    </w:div>
    <w:div w:id="971718018">
      <w:bodyDiv w:val="1"/>
      <w:marLeft w:val="0"/>
      <w:marRight w:val="0"/>
      <w:marTop w:val="0"/>
      <w:marBottom w:val="0"/>
      <w:divBdr>
        <w:top w:val="none" w:sz="0" w:space="0" w:color="auto"/>
        <w:left w:val="none" w:sz="0" w:space="0" w:color="auto"/>
        <w:bottom w:val="none" w:sz="0" w:space="0" w:color="auto"/>
        <w:right w:val="none" w:sz="0" w:space="0" w:color="auto"/>
      </w:divBdr>
    </w:div>
    <w:div w:id="1054161836">
      <w:bodyDiv w:val="1"/>
      <w:marLeft w:val="0"/>
      <w:marRight w:val="0"/>
      <w:marTop w:val="0"/>
      <w:marBottom w:val="0"/>
      <w:divBdr>
        <w:top w:val="none" w:sz="0" w:space="0" w:color="auto"/>
        <w:left w:val="none" w:sz="0" w:space="0" w:color="auto"/>
        <w:bottom w:val="none" w:sz="0" w:space="0" w:color="auto"/>
        <w:right w:val="none" w:sz="0" w:space="0" w:color="auto"/>
      </w:divBdr>
    </w:div>
    <w:div w:id="1106385601">
      <w:bodyDiv w:val="1"/>
      <w:marLeft w:val="0"/>
      <w:marRight w:val="0"/>
      <w:marTop w:val="0"/>
      <w:marBottom w:val="0"/>
      <w:divBdr>
        <w:top w:val="none" w:sz="0" w:space="0" w:color="auto"/>
        <w:left w:val="none" w:sz="0" w:space="0" w:color="auto"/>
        <w:bottom w:val="none" w:sz="0" w:space="0" w:color="auto"/>
        <w:right w:val="none" w:sz="0" w:space="0" w:color="auto"/>
      </w:divBdr>
    </w:div>
    <w:div w:id="1111438610">
      <w:bodyDiv w:val="1"/>
      <w:marLeft w:val="0"/>
      <w:marRight w:val="0"/>
      <w:marTop w:val="0"/>
      <w:marBottom w:val="0"/>
      <w:divBdr>
        <w:top w:val="none" w:sz="0" w:space="0" w:color="auto"/>
        <w:left w:val="none" w:sz="0" w:space="0" w:color="auto"/>
        <w:bottom w:val="none" w:sz="0" w:space="0" w:color="auto"/>
        <w:right w:val="none" w:sz="0" w:space="0" w:color="auto"/>
      </w:divBdr>
    </w:div>
    <w:div w:id="1162038876">
      <w:bodyDiv w:val="1"/>
      <w:marLeft w:val="0"/>
      <w:marRight w:val="0"/>
      <w:marTop w:val="0"/>
      <w:marBottom w:val="0"/>
      <w:divBdr>
        <w:top w:val="none" w:sz="0" w:space="0" w:color="auto"/>
        <w:left w:val="none" w:sz="0" w:space="0" w:color="auto"/>
        <w:bottom w:val="none" w:sz="0" w:space="0" w:color="auto"/>
        <w:right w:val="none" w:sz="0" w:space="0" w:color="auto"/>
      </w:divBdr>
    </w:div>
    <w:div w:id="1187868813">
      <w:bodyDiv w:val="1"/>
      <w:marLeft w:val="0"/>
      <w:marRight w:val="0"/>
      <w:marTop w:val="0"/>
      <w:marBottom w:val="0"/>
      <w:divBdr>
        <w:top w:val="none" w:sz="0" w:space="0" w:color="auto"/>
        <w:left w:val="none" w:sz="0" w:space="0" w:color="auto"/>
        <w:bottom w:val="none" w:sz="0" w:space="0" w:color="auto"/>
        <w:right w:val="none" w:sz="0" w:space="0" w:color="auto"/>
      </w:divBdr>
    </w:div>
    <w:div w:id="1259145536">
      <w:bodyDiv w:val="1"/>
      <w:marLeft w:val="0"/>
      <w:marRight w:val="0"/>
      <w:marTop w:val="0"/>
      <w:marBottom w:val="0"/>
      <w:divBdr>
        <w:top w:val="none" w:sz="0" w:space="0" w:color="auto"/>
        <w:left w:val="none" w:sz="0" w:space="0" w:color="auto"/>
        <w:bottom w:val="none" w:sz="0" w:space="0" w:color="auto"/>
        <w:right w:val="none" w:sz="0" w:space="0" w:color="auto"/>
      </w:divBdr>
    </w:div>
    <w:div w:id="1294561069">
      <w:bodyDiv w:val="1"/>
      <w:marLeft w:val="0"/>
      <w:marRight w:val="0"/>
      <w:marTop w:val="0"/>
      <w:marBottom w:val="0"/>
      <w:divBdr>
        <w:top w:val="none" w:sz="0" w:space="0" w:color="auto"/>
        <w:left w:val="none" w:sz="0" w:space="0" w:color="auto"/>
        <w:bottom w:val="none" w:sz="0" w:space="0" w:color="auto"/>
        <w:right w:val="none" w:sz="0" w:space="0" w:color="auto"/>
      </w:divBdr>
    </w:div>
    <w:div w:id="1299260179">
      <w:bodyDiv w:val="1"/>
      <w:marLeft w:val="0"/>
      <w:marRight w:val="0"/>
      <w:marTop w:val="0"/>
      <w:marBottom w:val="0"/>
      <w:divBdr>
        <w:top w:val="none" w:sz="0" w:space="0" w:color="auto"/>
        <w:left w:val="none" w:sz="0" w:space="0" w:color="auto"/>
        <w:bottom w:val="none" w:sz="0" w:space="0" w:color="auto"/>
        <w:right w:val="none" w:sz="0" w:space="0" w:color="auto"/>
      </w:divBdr>
    </w:div>
    <w:div w:id="1336834675">
      <w:bodyDiv w:val="1"/>
      <w:marLeft w:val="0"/>
      <w:marRight w:val="0"/>
      <w:marTop w:val="0"/>
      <w:marBottom w:val="0"/>
      <w:divBdr>
        <w:top w:val="none" w:sz="0" w:space="0" w:color="auto"/>
        <w:left w:val="none" w:sz="0" w:space="0" w:color="auto"/>
        <w:bottom w:val="none" w:sz="0" w:space="0" w:color="auto"/>
        <w:right w:val="none" w:sz="0" w:space="0" w:color="auto"/>
      </w:divBdr>
    </w:div>
    <w:div w:id="1344167665">
      <w:bodyDiv w:val="1"/>
      <w:marLeft w:val="0"/>
      <w:marRight w:val="0"/>
      <w:marTop w:val="0"/>
      <w:marBottom w:val="0"/>
      <w:divBdr>
        <w:top w:val="none" w:sz="0" w:space="0" w:color="auto"/>
        <w:left w:val="none" w:sz="0" w:space="0" w:color="auto"/>
        <w:bottom w:val="none" w:sz="0" w:space="0" w:color="auto"/>
        <w:right w:val="none" w:sz="0" w:space="0" w:color="auto"/>
      </w:divBdr>
    </w:div>
    <w:div w:id="1376855819">
      <w:bodyDiv w:val="1"/>
      <w:marLeft w:val="0"/>
      <w:marRight w:val="0"/>
      <w:marTop w:val="0"/>
      <w:marBottom w:val="0"/>
      <w:divBdr>
        <w:top w:val="none" w:sz="0" w:space="0" w:color="auto"/>
        <w:left w:val="none" w:sz="0" w:space="0" w:color="auto"/>
        <w:bottom w:val="none" w:sz="0" w:space="0" w:color="auto"/>
        <w:right w:val="none" w:sz="0" w:space="0" w:color="auto"/>
      </w:divBdr>
    </w:div>
    <w:div w:id="1409771268">
      <w:bodyDiv w:val="1"/>
      <w:marLeft w:val="0"/>
      <w:marRight w:val="0"/>
      <w:marTop w:val="0"/>
      <w:marBottom w:val="0"/>
      <w:divBdr>
        <w:top w:val="none" w:sz="0" w:space="0" w:color="auto"/>
        <w:left w:val="none" w:sz="0" w:space="0" w:color="auto"/>
        <w:bottom w:val="none" w:sz="0" w:space="0" w:color="auto"/>
        <w:right w:val="none" w:sz="0" w:space="0" w:color="auto"/>
      </w:divBdr>
    </w:div>
    <w:div w:id="1432117205">
      <w:bodyDiv w:val="1"/>
      <w:marLeft w:val="0"/>
      <w:marRight w:val="0"/>
      <w:marTop w:val="0"/>
      <w:marBottom w:val="0"/>
      <w:divBdr>
        <w:top w:val="none" w:sz="0" w:space="0" w:color="auto"/>
        <w:left w:val="none" w:sz="0" w:space="0" w:color="auto"/>
        <w:bottom w:val="none" w:sz="0" w:space="0" w:color="auto"/>
        <w:right w:val="none" w:sz="0" w:space="0" w:color="auto"/>
      </w:divBdr>
    </w:div>
    <w:div w:id="1477724970">
      <w:bodyDiv w:val="1"/>
      <w:marLeft w:val="0"/>
      <w:marRight w:val="0"/>
      <w:marTop w:val="0"/>
      <w:marBottom w:val="0"/>
      <w:divBdr>
        <w:top w:val="none" w:sz="0" w:space="0" w:color="auto"/>
        <w:left w:val="none" w:sz="0" w:space="0" w:color="auto"/>
        <w:bottom w:val="none" w:sz="0" w:space="0" w:color="auto"/>
        <w:right w:val="none" w:sz="0" w:space="0" w:color="auto"/>
      </w:divBdr>
    </w:div>
    <w:div w:id="1544899409">
      <w:bodyDiv w:val="1"/>
      <w:marLeft w:val="0"/>
      <w:marRight w:val="0"/>
      <w:marTop w:val="0"/>
      <w:marBottom w:val="0"/>
      <w:divBdr>
        <w:top w:val="none" w:sz="0" w:space="0" w:color="auto"/>
        <w:left w:val="none" w:sz="0" w:space="0" w:color="auto"/>
        <w:bottom w:val="none" w:sz="0" w:space="0" w:color="auto"/>
        <w:right w:val="none" w:sz="0" w:space="0" w:color="auto"/>
      </w:divBdr>
    </w:div>
    <w:div w:id="1553732240">
      <w:bodyDiv w:val="1"/>
      <w:marLeft w:val="0"/>
      <w:marRight w:val="0"/>
      <w:marTop w:val="0"/>
      <w:marBottom w:val="0"/>
      <w:divBdr>
        <w:top w:val="none" w:sz="0" w:space="0" w:color="auto"/>
        <w:left w:val="none" w:sz="0" w:space="0" w:color="auto"/>
        <w:bottom w:val="none" w:sz="0" w:space="0" w:color="auto"/>
        <w:right w:val="none" w:sz="0" w:space="0" w:color="auto"/>
      </w:divBdr>
    </w:div>
    <w:div w:id="1555851044">
      <w:bodyDiv w:val="1"/>
      <w:marLeft w:val="0"/>
      <w:marRight w:val="0"/>
      <w:marTop w:val="0"/>
      <w:marBottom w:val="0"/>
      <w:divBdr>
        <w:top w:val="none" w:sz="0" w:space="0" w:color="auto"/>
        <w:left w:val="none" w:sz="0" w:space="0" w:color="auto"/>
        <w:bottom w:val="none" w:sz="0" w:space="0" w:color="auto"/>
        <w:right w:val="none" w:sz="0" w:space="0" w:color="auto"/>
      </w:divBdr>
    </w:div>
    <w:div w:id="1566910818">
      <w:bodyDiv w:val="1"/>
      <w:marLeft w:val="0"/>
      <w:marRight w:val="0"/>
      <w:marTop w:val="0"/>
      <w:marBottom w:val="0"/>
      <w:divBdr>
        <w:top w:val="none" w:sz="0" w:space="0" w:color="auto"/>
        <w:left w:val="none" w:sz="0" w:space="0" w:color="auto"/>
        <w:bottom w:val="none" w:sz="0" w:space="0" w:color="auto"/>
        <w:right w:val="none" w:sz="0" w:space="0" w:color="auto"/>
      </w:divBdr>
    </w:div>
    <w:div w:id="1573274260">
      <w:bodyDiv w:val="1"/>
      <w:marLeft w:val="0"/>
      <w:marRight w:val="0"/>
      <w:marTop w:val="0"/>
      <w:marBottom w:val="0"/>
      <w:divBdr>
        <w:top w:val="none" w:sz="0" w:space="0" w:color="auto"/>
        <w:left w:val="none" w:sz="0" w:space="0" w:color="auto"/>
        <w:bottom w:val="none" w:sz="0" w:space="0" w:color="auto"/>
        <w:right w:val="none" w:sz="0" w:space="0" w:color="auto"/>
      </w:divBdr>
    </w:div>
    <w:div w:id="1706902286">
      <w:bodyDiv w:val="1"/>
      <w:marLeft w:val="0"/>
      <w:marRight w:val="0"/>
      <w:marTop w:val="0"/>
      <w:marBottom w:val="0"/>
      <w:divBdr>
        <w:top w:val="none" w:sz="0" w:space="0" w:color="auto"/>
        <w:left w:val="none" w:sz="0" w:space="0" w:color="auto"/>
        <w:bottom w:val="none" w:sz="0" w:space="0" w:color="auto"/>
        <w:right w:val="none" w:sz="0" w:space="0" w:color="auto"/>
      </w:divBdr>
    </w:div>
    <w:div w:id="1724987020">
      <w:bodyDiv w:val="1"/>
      <w:marLeft w:val="0"/>
      <w:marRight w:val="0"/>
      <w:marTop w:val="0"/>
      <w:marBottom w:val="0"/>
      <w:divBdr>
        <w:top w:val="none" w:sz="0" w:space="0" w:color="auto"/>
        <w:left w:val="none" w:sz="0" w:space="0" w:color="auto"/>
        <w:bottom w:val="none" w:sz="0" w:space="0" w:color="auto"/>
        <w:right w:val="none" w:sz="0" w:space="0" w:color="auto"/>
      </w:divBdr>
    </w:div>
    <w:div w:id="1756902882">
      <w:bodyDiv w:val="1"/>
      <w:marLeft w:val="0"/>
      <w:marRight w:val="0"/>
      <w:marTop w:val="0"/>
      <w:marBottom w:val="0"/>
      <w:divBdr>
        <w:top w:val="none" w:sz="0" w:space="0" w:color="auto"/>
        <w:left w:val="none" w:sz="0" w:space="0" w:color="auto"/>
        <w:bottom w:val="none" w:sz="0" w:space="0" w:color="auto"/>
        <w:right w:val="none" w:sz="0" w:space="0" w:color="auto"/>
      </w:divBdr>
    </w:div>
    <w:div w:id="1788503495">
      <w:bodyDiv w:val="1"/>
      <w:marLeft w:val="0"/>
      <w:marRight w:val="0"/>
      <w:marTop w:val="0"/>
      <w:marBottom w:val="0"/>
      <w:divBdr>
        <w:top w:val="none" w:sz="0" w:space="0" w:color="auto"/>
        <w:left w:val="none" w:sz="0" w:space="0" w:color="auto"/>
        <w:bottom w:val="none" w:sz="0" w:space="0" w:color="auto"/>
        <w:right w:val="none" w:sz="0" w:space="0" w:color="auto"/>
      </w:divBdr>
    </w:div>
    <w:div w:id="1835997081">
      <w:bodyDiv w:val="1"/>
      <w:marLeft w:val="0"/>
      <w:marRight w:val="0"/>
      <w:marTop w:val="0"/>
      <w:marBottom w:val="0"/>
      <w:divBdr>
        <w:top w:val="none" w:sz="0" w:space="0" w:color="auto"/>
        <w:left w:val="none" w:sz="0" w:space="0" w:color="auto"/>
        <w:bottom w:val="none" w:sz="0" w:space="0" w:color="auto"/>
        <w:right w:val="none" w:sz="0" w:space="0" w:color="auto"/>
      </w:divBdr>
    </w:div>
    <w:div w:id="1840924906">
      <w:bodyDiv w:val="1"/>
      <w:marLeft w:val="0"/>
      <w:marRight w:val="0"/>
      <w:marTop w:val="0"/>
      <w:marBottom w:val="0"/>
      <w:divBdr>
        <w:top w:val="none" w:sz="0" w:space="0" w:color="auto"/>
        <w:left w:val="none" w:sz="0" w:space="0" w:color="auto"/>
        <w:bottom w:val="none" w:sz="0" w:space="0" w:color="auto"/>
        <w:right w:val="none" w:sz="0" w:space="0" w:color="auto"/>
      </w:divBdr>
    </w:div>
    <w:div w:id="1925912315">
      <w:bodyDiv w:val="1"/>
      <w:marLeft w:val="0"/>
      <w:marRight w:val="0"/>
      <w:marTop w:val="0"/>
      <w:marBottom w:val="0"/>
      <w:divBdr>
        <w:top w:val="none" w:sz="0" w:space="0" w:color="auto"/>
        <w:left w:val="none" w:sz="0" w:space="0" w:color="auto"/>
        <w:bottom w:val="none" w:sz="0" w:space="0" w:color="auto"/>
        <w:right w:val="none" w:sz="0" w:space="0" w:color="auto"/>
      </w:divBdr>
    </w:div>
    <w:div w:id="1967277794">
      <w:bodyDiv w:val="1"/>
      <w:marLeft w:val="0"/>
      <w:marRight w:val="0"/>
      <w:marTop w:val="0"/>
      <w:marBottom w:val="0"/>
      <w:divBdr>
        <w:top w:val="none" w:sz="0" w:space="0" w:color="auto"/>
        <w:left w:val="none" w:sz="0" w:space="0" w:color="auto"/>
        <w:bottom w:val="none" w:sz="0" w:space="0" w:color="auto"/>
        <w:right w:val="none" w:sz="0" w:space="0" w:color="auto"/>
      </w:divBdr>
    </w:div>
    <w:div w:id="1978335253">
      <w:bodyDiv w:val="1"/>
      <w:marLeft w:val="0"/>
      <w:marRight w:val="0"/>
      <w:marTop w:val="0"/>
      <w:marBottom w:val="0"/>
      <w:divBdr>
        <w:top w:val="none" w:sz="0" w:space="0" w:color="auto"/>
        <w:left w:val="none" w:sz="0" w:space="0" w:color="auto"/>
        <w:bottom w:val="none" w:sz="0" w:space="0" w:color="auto"/>
        <w:right w:val="none" w:sz="0" w:space="0" w:color="auto"/>
      </w:divBdr>
    </w:div>
    <w:div w:id="2049798897">
      <w:bodyDiv w:val="1"/>
      <w:marLeft w:val="0"/>
      <w:marRight w:val="0"/>
      <w:marTop w:val="0"/>
      <w:marBottom w:val="0"/>
      <w:divBdr>
        <w:top w:val="none" w:sz="0" w:space="0" w:color="auto"/>
        <w:left w:val="none" w:sz="0" w:space="0" w:color="auto"/>
        <w:bottom w:val="none" w:sz="0" w:space="0" w:color="auto"/>
        <w:right w:val="none" w:sz="0" w:space="0" w:color="auto"/>
      </w:divBdr>
    </w:div>
    <w:div w:id="2123527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acma.gov.au/consultations/2019-08/optimising-3400-3575-mhz-band-consultation-122019" TargetMode="External"/><Relationship Id="rId117" Type="http://schemas.openxmlformats.org/officeDocument/2006/relationships/footer" Target="footer9.xml"/><Relationship Id="rId21" Type="http://schemas.openxmlformats.org/officeDocument/2006/relationships/header" Target="header6.xml"/><Relationship Id="rId42" Type="http://schemas.openxmlformats.org/officeDocument/2006/relationships/hyperlink" Target="https://digitaleconomy.pmc.gov.au/sites/default/files/2021-07/digital-economy-strategy.pdf" TargetMode="External"/><Relationship Id="rId47" Type="http://schemas.openxmlformats.org/officeDocument/2006/relationships/hyperlink" Target="https://www.pmc.gov.au/resource-centre/domestic-policy/action-plan-critical-technologies" TargetMode="External"/><Relationship Id="rId63" Type="http://schemas.openxmlformats.org/officeDocument/2006/relationships/image" Target="media/image8.png"/><Relationship Id="rId68" Type="http://schemas.openxmlformats.org/officeDocument/2006/relationships/image" Target="media/image13.png"/><Relationship Id="rId84" Type="http://schemas.openxmlformats.org/officeDocument/2006/relationships/image" Target="media/image28.png"/><Relationship Id="rId89" Type="http://schemas.openxmlformats.org/officeDocument/2006/relationships/hyperlink" Target="https://www.acma.gov.au/radcomms-licensing-and-allocation-reform" TargetMode="External"/><Relationship Id="rId112" Type="http://schemas.openxmlformats.org/officeDocument/2006/relationships/hyperlink" Target="https://www.legislation.gov.au/" TargetMode="External"/><Relationship Id="rId16" Type="http://schemas.openxmlformats.org/officeDocument/2006/relationships/hyperlink" Target="mailto:info@acma.gov.au" TargetMode="External"/><Relationship Id="rId107" Type="http://schemas.openxmlformats.org/officeDocument/2006/relationships/diagramData" Target="diagrams/data1.xml"/><Relationship Id="rId11" Type="http://schemas.openxmlformats.org/officeDocument/2006/relationships/footer" Target="footer2.xml"/><Relationship Id="rId32" Type="http://schemas.openxmlformats.org/officeDocument/2006/relationships/hyperlink" Target="https://www.acma.gov.au/fyso-2018-22-annual-progress-report" TargetMode="External"/><Relationship Id="rId37" Type="http://schemas.openxmlformats.org/officeDocument/2006/relationships/hyperlink" Target="https://www.legislation.gov.au/Series/F2020L01661" TargetMode="External"/><Relationship Id="rId53" Type="http://schemas.openxmlformats.org/officeDocument/2006/relationships/hyperlink" Target="https://www.acma.gov.au/consultations/2020-07/planning-options-3700-4200-mhz-band-consultation-222020" TargetMode="External"/><Relationship Id="rId58" Type="http://schemas.openxmlformats.org/officeDocument/2006/relationships/hyperlink" Target="https://www.acma.gov.au/publications/2020-02/guide/area-wide-licensing-acma-approach-introducing-area-wide-licences" TargetMode="External"/><Relationship Id="rId74" Type="http://schemas.openxmlformats.org/officeDocument/2006/relationships/image" Target="media/image19.png"/><Relationship Id="rId79" Type="http://schemas.openxmlformats.org/officeDocument/2006/relationships/image" Target="media/image24.png"/><Relationship Id="rId102" Type="http://schemas.openxmlformats.org/officeDocument/2006/relationships/hyperlink" Target="https://www.acma.gov.au/have-your-say" TargetMode="External"/><Relationship Id="rId5" Type="http://schemas.openxmlformats.org/officeDocument/2006/relationships/webSettings" Target="webSettings.xml"/><Relationship Id="rId61" Type="http://schemas.openxmlformats.org/officeDocument/2006/relationships/hyperlink" Target="https://www.acma.gov.au/consultations/2020-07/planning-options-3700-4200-mhz-band-consultation-222020" TargetMode="External"/><Relationship Id="rId82" Type="http://schemas.openxmlformats.org/officeDocument/2006/relationships/hyperlink" Target="https://www.acma.gov.au/publications/2019-08/instruction/frequency-coordination-procedures-earth-station-protection-zones" TargetMode="External"/><Relationship Id="rId90" Type="http://schemas.openxmlformats.org/officeDocument/2006/relationships/image" Target="media/image29.emf"/><Relationship Id="rId95" Type="http://schemas.openxmlformats.org/officeDocument/2006/relationships/image" Target="media/image33.png"/><Relationship Id="rId19" Type="http://schemas.openxmlformats.org/officeDocument/2006/relationships/footer" Target="footer3.xml"/><Relationship Id="rId14" Type="http://schemas.openxmlformats.org/officeDocument/2006/relationships/image" Target="media/image3.png"/><Relationship Id="rId22" Type="http://schemas.openxmlformats.org/officeDocument/2006/relationships/header" Target="header7.xml"/><Relationship Id="rId27" Type="http://schemas.openxmlformats.org/officeDocument/2006/relationships/hyperlink" Target="https://www.acma.gov.au/consultations/2020-07/planning-options-3700-4200-mhz-band-consultation-222020" TargetMode="External"/><Relationship Id="rId30" Type="http://schemas.openxmlformats.org/officeDocument/2006/relationships/image" Target="media/image4.emf"/><Relationship Id="rId35" Type="http://schemas.openxmlformats.org/officeDocument/2006/relationships/hyperlink" Target="https://www.acma.gov.au/consultations/2019-08/optimising-3400-3575-mhz-band-consultation-122019" TargetMode="External"/><Relationship Id="rId43" Type="http://schemas.openxmlformats.org/officeDocument/2006/relationships/hyperlink" Target="https://www.infrastructure.gov.au/media-centre/publications/5g-enabling-future-economy" TargetMode="External"/><Relationship Id="rId48" Type="http://schemas.openxmlformats.org/officeDocument/2006/relationships/hyperlink" Target="https://www.legislation.gov.au/Series/C2020A00151" TargetMode="External"/><Relationship Id="rId56" Type="http://schemas.openxmlformats.org/officeDocument/2006/relationships/hyperlink" Target="https://aus01.safelinks.protection.outlook.com/?url=https%3A%2F%2Fwww.cambiumnetworks.com%2Fwp-content%2Fuploads%2F2019%2F08%2FCambium_Networks_data_sheet_3GHz_PMP_450m.pdf&amp;data=04%7C01%7CDavid.Goggin%40acma.gov.au%7Cc59a765ffd6d4b1d7d8708d9f68db43b%7C0dac7f39d20c4e718af371ee7e268a2b%7C0%7C0%7C637811910744014890%7CUnknown%7CTWFpbGZsb3d8eyJWIjoiMC4wLjAwMDAiLCJQIjoiV2luMzIiLCJBTiI6Ik1haWwiLCJXVCI6Mn0%3D%7C3000&amp;sdata=DWrSrnB8Uds7Ujlz%2BLoVEzr60RfuVkeiDi8gUNuVDMM%3D&amp;reserved=0" TargetMode="External"/><Relationship Id="rId64" Type="http://schemas.openxmlformats.org/officeDocument/2006/relationships/image" Target="media/image9.png"/><Relationship Id="rId69" Type="http://schemas.openxmlformats.org/officeDocument/2006/relationships/image" Target="media/image14.png"/><Relationship Id="rId77" Type="http://schemas.openxmlformats.org/officeDocument/2006/relationships/image" Target="media/image22.png"/><Relationship Id="rId100" Type="http://schemas.openxmlformats.org/officeDocument/2006/relationships/image" Target="media/image38.emf"/><Relationship Id="rId105" Type="http://schemas.openxmlformats.org/officeDocument/2006/relationships/hyperlink" Target="https://www.acma.gov.au/privacy-policy" TargetMode="External"/><Relationship Id="rId113" Type="http://schemas.openxmlformats.org/officeDocument/2006/relationships/hyperlink" Target="https://acma.gov.au/convert-hcis-area-description-placemark-0" TargetMode="External"/><Relationship Id="rId118" Type="http://schemas.openxmlformats.org/officeDocument/2006/relationships/hyperlink" Target="https://acma.gov.au/convert-hcis-area-description-placemark-0" TargetMode="External"/><Relationship Id="rId8" Type="http://schemas.openxmlformats.org/officeDocument/2006/relationships/header" Target="header1.xml"/><Relationship Id="rId51" Type="http://schemas.openxmlformats.org/officeDocument/2006/relationships/hyperlink" Target="https://www.acma.gov.au/spectrum-licence-technical-liaison-groups" TargetMode="External"/><Relationship Id="rId72" Type="http://schemas.openxmlformats.org/officeDocument/2006/relationships/image" Target="media/image17.png"/><Relationship Id="rId80" Type="http://schemas.openxmlformats.org/officeDocument/2006/relationships/image" Target="media/image25.png"/><Relationship Id="rId85" Type="http://schemas.openxmlformats.org/officeDocument/2006/relationships/hyperlink" Target="https://www.acma.gov.au/current-and-past-spectrum-embargoes" TargetMode="External"/><Relationship Id="rId93" Type="http://schemas.openxmlformats.org/officeDocument/2006/relationships/image" Target="media/image31.emf"/><Relationship Id="rId98" Type="http://schemas.openxmlformats.org/officeDocument/2006/relationships/image" Target="media/image36.emf"/><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footer" Target="footer7.xml"/><Relationship Id="rId33" Type="http://schemas.openxmlformats.org/officeDocument/2006/relationships/hyperlink" Target="https://www.acma.gov.au/publications/2020-02/report/future-use-15-ghz-and-36-ghz-bands-discussion-paper" TargetMode="External"/><Relationship Id="rId38" Type="http://schemas.openxmlformats.org/officeDocument/2006/relationships/hyperlink" Target="https://www.acma.gov.au/consultations/2021-08/planning-wireless-broadband-use-urban-areas-3400-3475-mhz-band-consultation-312021" TargetMode="External"/><Relationship Id="rId46" Type="http://schemas.openxmlformats.org/officeDocument/2006/relationships/hyperlink" Target="https://www.aph.gov.au/Parliamentary_Business/Committees/House/Communications/5G/Report" TargetMode="External"/><Relationship Id="rId59" Type="http://schemas.openxmlformats.org/officeDocument/2006/relationships/hyperlink" Target="https://www.acma.gov.au/consultations/2019-08/optimising-3400-3575-mhz-band-consultation-122019" TargetMode="External"/><Relationship Id="rId67" Type="http://schemas.openxmlformats.org/officeDocument/2006/relationships/image" Target="media/image12.png"/><Relationship Id="rId103" Type="http://schemas.openxmlformats.org/officeDocument/2006/relationships/hyperlink" Target="mailto:SpectrumAllocations@acma.gov.au" TargetMode="External"/><Relationship Id="rId108" Type="http://schemas.openxmlformats.org/officeDocument/2006/relationships/diagramLayout" Target="diagrams/layout1.xml"/><Relationship Id="rId116" Type="http://schemas.openxmlformats.org/officeDocument/2006/relationships/footer" Target="footer8.xml"/><Relationship Id="rId20" Type="http://schemas.openxmlformats.org/officeDocument/2006/relationships/footer" Target="footer4.xml"/><Relationship Id="rId41" Type="http://schemas.openxmlformats.org/officeDocument/2006/relationships/hyperlink" Target="https://www.legislation.gov.au/Series/F2022N00015" TargetMode="External"/><Relationship Id="rId54" Type="http://schemas.openxmlformats.org/officeDocument/2006/relationships/image" Target="media/image5.emf"/><Relationship Id="rId62" Type="http://schemas.openxmlformats.org/officeDocument/2006/relationships/image" Target="media/image7.png"/><Relationship Id="rId70" Type="http://schemas.openxmlformats.org/officeDocument/2006/relationships/image" Target="media/image15.png"/><Relationship Id="rId75" Type="http://schemas.openxmlformats.org/officeDocument/2006/relationships/image" Target="media/image20.png"/><Relationship Id="rId83" Type="http://schemas.openxmlformats.org/officeDocument/2006/relationships/image" Target="media/image27.png"/><Relationship Id="rId88" Type="http://schemas.openxmlformats.org/officeDocument/2006/relationships/hyperlink" Target="https://www.acma.gov.au/publications/2021-09/plan/five-year-spectrum-outlook-2021-26" TargetMode="External"/><Relationship Id="rId91" Type="http://schemas.openxmlformats.org/officeDocument/2006/relationships/image" Target="media/image30.png"/><Relationship Id="rId96" Type="http://schemas.openxmlformats.org/officeDocument/2006/relationships/image" Target="media/image34.png"/><Relationship Id="rId111"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reativecommons.org/licenses/by/4.0/" TargetMode="External"/><Relationship Id="rId23" Type="http://schemas.openxmlformats.org/officeDocument/2006/relationships/footer" Target="footer5.xml"/><Relationship Id="rId28" Type="http://schemas.openxmlformats.org/officeDocument/2006/relationships/hyperlink" Target="https://www.legislation.gov.au/Series/F2022N00015" TargetMode="External"/><Relationship Id="rId36" Type="http://schemas.openxmlformats.org/officeDocument/2006/relationships/hyperlink" Target="https://www.acma.gov.au/consultations/2019-08/optimising-3400-3575-mhz-band-consultation-122019" TargetMode="External"/><Relationship Id="rId49" Type="http://schemas.openxmlformats.org/officeDocument/2006/relationships/hyperlink" Target="https://www.accc.gov.au/about-us/consultations-submissions" TargetMode="External"/><Relationship Id="rId57" Type="http://schemas.openxmlformats.org/officeDocument/2006/relationships/hyperlink" Target="https://www.wia.org.au/members/bandplans/data/" TargetMode="External"/><Relationship Id="rId106" Type="http://schemas.openxmlformats.org/officeDocument/2006/relationships/hyperlink" Target="https://www.legislation.gov.au/Series/C2020A00151" TargetMode="External"/><Relationship Id="rId114" Type="http://schemas.openxmlformats.org/officeDocument/2006/relationships/header" Target="header8.xml"/><Relationship Id="rId119" Type="http://schemas.openxmlformats.org/officeDocument/2006/relationships/hyperlink" Target="https://acma.gov.au/convert-hcis-area-description-placemark-0" TargetMode="External"/><Relationship Id="rId10" Type="http://schemas.openxmlformats.org/officeDocument/2006/relationships/footer" Target="footer1.xml"/><Relationship Id="rId31" Type="http://schemas.openxmlformats.org/officeDocument/2006/relationships/hyperlink" Target="https://www.acma.gov.au/publications/2019-07/plan/five-year-spectrum-outlook-2017-21" TargetMode="External"/><Relationship Id="rId44" Type="http://schemas.openxmlformats.org/officeDocument/2006/relationships/hyperlink" Target="https://www.industry.gov.au/news-media/australias-tech-future" TargetMode="External"/><Relationship Id="rId52" Type="http://schemas.openxmlformats.org/officeDocument/2006/relationships/hyperlink" Target="https://www.acma.gov.au/consultations/2019-08/optimising-3400-3575-mhz-band-consultation-122019" TargetMode="External"/><Relationship Id="rId60" Type="http://schemas.openxmlformats.org/officeDocument/2006/relationships/hyperlink" Target="https://www.acma.gov.au/consultations/2021-08/planning-wireless-broadband-use-urban-areas-3400-3475-mhz-band-consultation-312021" TargetMode="External"/><Relationship Id="rId65" Type="http://schemas.openxmlformats.org/officeDocument/2006/relationships/image" Target="media/image10.png"/><Relationship Id="rId73" Type="http://schemas.openxmlformats.org/officeDocument/2006/relationships/image" Target="media/image18.png"/><Relationship Id="rId78" Type="http://schemas.openxmlformats.org/officeDocument/2006/relationships/image" Target="media/image23.png"/><Relationship Id="rId81" Type="http://schemas.openxmlformats.org/officeDocument/2006/relationships/image" Target="media/image26.png"/><Relationship Id="rId86" Type="http://schemas.openxmlformats.org/officeDocument/2006/relationships/hyperlink" Target="https://www.acma.gov.au/consultations/2020-07/planning-options-3700-4200-mhz-band-consultation-222020" TargetMode="External"/><Relationship Id="rId94" Type="http://schemas.openxmlformats.org/officeDocument/2006/relationships/image" Target="media/image32.png"/><Relationship Id="rId99" Type="http://schemas.openxmlformats.org/officeDocument/2006/relationships/image" Target="media/image37.png"/><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http://i.creativecommons.org/l/by/3.0/88x31.png" TargetMode="External"/><Relationship Id="rId18" Type="http://schemas.openxmlformats.org/officeDocument/2006/relationships/header" Target="header5.xml"/><Relationship Id="rId39" Type="http://schemas.openxmlformats.org/officeDocument/2006/relationships/hyperlink" Target="https://www.acma.gov.au/consultations/2019-09/planning-3700-4200-mhz-band-consultation-272019" TargetMode="External"/><Relationship Id="rId109" Type="http://schemas.openxmlformats.org/officeDocument/2006/relationships/diagramQuickStyle" Target="diagrams/quickStyle1.xml"/><Relationship Id="rId34" Type="http://schemas.openxmlformats.org/officeDocument/2006/relationships/hyperlink" Target="https://www.acma.gov.au/future-approach-36-ghz-band" TargetMode="External"/><Relationship Id="rId50" Type="http://schemas.openxmlformats.org/officeDocument/2006/relationships/hyperlink" Target="https://aus01.safelinks.protection.outlook.com/?url=https%3A%2F%2Fwww.cambiumnetworks.com%2Fwp-content%2Fuploads%2F2019%2F08%2FCambium_Networks_data_sheet_3GHz_PMP_450m.pdf&amp;data=04%7C01%7CDavid.Goggin%40acma.gov.au%7Cc59a765ffd6d4b1d7d8708d9f68db43b%7C0dac7f39d20c4e718af371ee7e268a2b%7C0%7C0%7C637811910744014890%7CUnknown%7CTWFpbGZsb3d8eyJWIjoiMC4wLjAwMDAiLCJQIjoiV2luMzIiLCJBTiI6Ik1haWwiLCJXVCI6Mn0%3D%7C3000&amp;sdata=DWrSrnB8Uds7Ujlz%2BLoVEzr60RfuVkeiDi8gUNuVDMM%3D&amp;reserved=0" TargetMode="External"/><Relationship Id="rId55" Type="http://schemas.openxmlformats.org/officeDocument/2006/relationships/image" Target="media/image6.emf"/><Relationship Id="rId76" Type="http://schemas.openxmlformats.org/officeDocument/2006/relationships/image" Target="media/image21.png"/><Relationship Id="rId97" Type="http://schemas.openxmlformats.org/officeDocument/2006/relationships/image" Target="media/image35.png"/><Relationship Id="rId104" Type="http://schemas.openxmlformats.org/officeDocument/2006/relationships/hyperlink" Target="https://www.acma.gov.au/publication-submissions" TargetMode="Externa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6.png"/><Relationship Id="rId92" Type="http://schemas.openxmlformats.org/officeDocument/2006/relationships/hyperlink" Target="https://www.legislation.gov.au/Details/F2021C00941" TargetMode="External"/><Relationship Id="rId2" Type="http://schemas.openxmlformats.org/officeDocument/2006/relationships/numbering" Target="numbering.xml"/><Relationship Id="rId29" Type="http://schemas.openxmlformats.org/officeDocument/2006/relationships/hyperlink" Target="https://www.acma.gov.au/consultations/2021-08/planning-wireless-broadband-use-urban-areas-3400-3475-mhz-band-consultation-312021" TargetMode="External"/><Relationship Id="rId24" Type="http://schemas.openxmlformats.org/officeDocument/2006/relationships/footer" Target="footer6.xml"/><Relationship Id="rId40" Type="http://schemas.openxmlformats.org/officeDocument/2006/relationships/hyperlink" Target="https://www.legislation.gov.au/Series/C2004A04465" TargetMode="External"/><Relationship Id="rId45" Type="http://schemas.openxmlformats.org/officeDocument/2006/relationships/hyperlink" Target="https://www.infrastructure.gov.au/department/ips/government_responses/government-response-next-gen-future.aspx" TargetMode="External"/><Relationship Id="rId66" Type="http://schemas.openxmlformats.org/officeDocument/2006/relationships/image" Target="media/image11.png"/><Relationship Id="rId87" Type="http://schemas.openxmlformats.org/officeDocument/2006/relationships/hyperlink" Target="https://www.acma.gov.au/consultations/2020-07/planning-options-3700-4200-mhz-band-consultation-222020" TargetMode="External"/><Relationship Id="rId110" Type="http://schemas.openxmlformats.org/officeDocument/2006/relationships/diagramColors" Target="diagrams/colors1.xml"/><Relationship Id="rId115" Type="http://schemas.openxmlformats.org/officeDocument/2006/relationships/header" Target="header9.xml"/></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s://acma.gov.au/"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gsacom.com/paper/mid-band-spectrum-member-report-october-2021/" TargetMode="External"/><Relationship Id="rId2" Type="http://schemas.openxmlformats.org/officeDocument/2006/relationships/hyperlink" Target="https://www.acma.gov.au/publications/2021-08/plan/acmas-corporate-plan-2021-22" TargetMode="External"/><Relationship Id="rId1" Type="http://schemas.openxmlformats.org/officeDocument/2006/relationships/hyperlink" Target="https://www.acma.gov.au/publications/2021-09/plan/five-year-spectrum-outlook-2021-26" TargetMode="External"/><Relationship Id="rId4" Type="http://schemas.openxmlformats.org/officeDocument/2006/relationships/hyperlink" Target="https://www.legislation.gov.au/Series/C2005A00044"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B0A35B6-E133-4A0D-9E19-30CE7688D67D}"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en-AU"/>
        </a:p>
      </dgm:t>
    </dgm:pt>
    <dgm:pt modelId="{A457363F-A1F3-425E-8061-2E3318AD096D}">
      <dgm:prSet phldrT="[Text]" custT="1"/>
      <dgm:spPr/>
      <dgm:t>
        <a:bodyPr/>
        <a:lstStyle/>
        <a:p>
          <a:r>
            <a:rPr lang="en-AU" sz="1000">
              <a:latin typeface="Arial" panose="020B0604020202020204" pitchFamily="34" charset="0"/>
              <a:cs typeface="Arial" panose="020B0604020202020204" pitchFamily="34" charset="0"/>
            </a:rPr>
            <a:t>1</a:t>
          </a:r>
        </a:p>
      </dgm:t>
    </dgm:pt>
    <dgm:pt modelId="{B1772C5E-063F-4447-B413-69DA664075FF}" type="parTrans" cxnId="{90F84D57-1279-425B-9A4A-FAF5774E218E}">
      <dgm:prSet/>
      <dgm:spPr/>
      <dgm:t>
        <a:bodyPr/>
        <a:lstStyle/>
        <a:p>
          <a:endParaRPr lang="en-AU"/>
        </a:p>
      </dgm:t>
    </dgm:pt>
    <dgm:pt modelId="{85A07D4A-7391-4D27-9809-4435A743BE3E}" type="sibTrans" cxnId="{90F84D57-1279-425B-9A4A-FAF5774E218E}">
      <dgm:prSet/>
      <dgm:spPr/>
      <dgm:t>
        <a:bodyPr/>
        <a:lstStyle/>
        <a:p>
          <a:endParaRPr lang="en-AU"/>
        </a:p>
      </dgm:t>
    </dgm:pt>
    <dgm:pt modelId="{D4B7DBFE-BDA4-4F82-AF74-C0E19CE459B5}">
      <dgm:prSet phldrT="[Text]" custT="1"/>
      <dgm:spPr/>
      <dgm:t>
        <a:bodyPr/>
        <a:lstStyle/>
        <a:p>
          <a:r>
            <a:rPr lang="en-AU" sz="1000">
              <a:latin typeface="Arial" panose="020B0604020202020204" pitchFamily="34" charset="0"/>
              <a:cs typeface="Arial" panose="020B0604020202020204" pitchFamily="34" charset="0"/>
            </a:rPr>
            <a:t>Proposal to re-allocate spectrum</a:t>
          </a:r>
        </a:p>
      </dgm:t>
    </dgm:pt>
    <dgm:pt modelId="{4C4A237B-7E7A-4B79-A537-17B752809828}" type="parTrans" cxnId="{EFF3683C-9984-4A32-9EB9-DD11E5C206DE}">
      <dgm:prSet/>
      <dgm:spPr/>
      <dgm:t>
        <a:bodyPr/>
        <a:lstStyle/>
        <a:p>
          <a:endParaRPr lang="en-AU"/>
        </a:p>
      </dgm:t>
    </dgm:pt>
    <dgm:pt modelId="{156CCFD0-5B4D-4570-8A8B-DE195EDBA6D0}" type="sibTrans" cxnId="{EFF3683C-9984-4A32-9EB9-DD11E5C206DE}">
      <dgm:prSet/>
      <dgm:spPr/>
      <dgm:t>
        <a:bodyPr/>
        <a:lstStyle/>
        <a:p>
          <a:endParaRPr lang="en-AU"/>
        </a:p>
      </dgm:t>
    </dgm:pt>
    <dgm:pt modelId="{B5040F94-B485-462C-887C-99DE3248A147}">
      <dgm:prSet phldrT="[Text]" custT="1"/>
      <dgm:spPr/>
      <dgm:t>
        <a:bodyPr/>
        <a:lstStyle/>
        <a:p>
          <a:r>
            <a:rPr lang="en-AU" sz="1000">
              <a:latin typeface="Arial" panose="020B0604020202020204" pitchFamily="34" charset="0"/>
              <a:cs typeface="Arial" panose="020B0604020202020204" pitchFamily="34" charset="0"/>
            </a:rPr>
            <a:t>2</a:t>
          </a:r>
        </a:p>
      </dgm:t>
    </dgm:pt>
    <dgm:pt modelId="{4012A6D7-A6E2-4B86-99DA-AF77F5201740}" type="parTrans" cxnId="{51914E03-D209-4F28-91C8-11B564B60010}">
      <dgm:prSet/>
      <dgm:spPr/>
      <dgm:t>
        <a:bodyPr/>
        <a:lstStyle/>
        <a:p>
          <a:endParaRPr lang="en-AU"/>
        </a:p>
      </dgm:t>
    </dgm:pt>
    <dgm:pt modelId="{7143B0BC-9A5E-4260-9F0A-C7BA41BC3221}" type="sibTrans" cxnId="{51914E03-D209-4F28-91C8-11B564B60010}">
      <dgm:prSet/>
      <dgm:spPr/>
      <dgm:t>
        <a:bodyPr/>
        <a:lstStyle/>
        <a:p>
          <a:endParaRPr lang="en-AU"/>
        </a:p>
      </dgm:t>
    </dgm:pt>
    <dgm:pt modelId="{84CAE1B0-E561-4E80-9595-F6954CE02CB4}">
      <dgm:prSet phldrT="[Text]" custT="1"/>
      <dgm:spPr/>
      <dgm:t>
        <a:bodyPr/>
        <a:lstStyle/>
        <a:p>
          <a:r>
            <a:rPr lang="en-AU" sz="1000">
              <a:latin typeface="Arial" panose="020B0604020202020204" pitchFamily="34" charset="0"/>
              <a:cs typeface="Arial" panose="020B0604020202020204" pitchFamily="34" charset="0"/>
            </a:rPr>
            <a:t>Re-allocation declaration</a:t>
          </a:r>
        </a:p>
      </dgm:t>
    </dgm:pt>
    <dgm:pt modelId="{ED86A8FA-9112-44C8-A9D3-1730F52C1E20}" type="parTrans" cxnId="{55F98BD9-23E7-4369-920F-18A6229A52AA}">
      <dgm:prSet/>
      <dgm:spPr/>
      <dgm:t>
        <a:bodyPr/>
        <a:lstStyle/>
        <a:p>
          <a:endParaRPr lang="en-AU"/>
        </a:p>
      </dgm:t>
    </dgm:pt>
    <dgm:pt modelId="{B1FACAA2-725F-458D-9702-6AC743549924}" type="sibTrans" cxnId="{55F98BD9-23E7-4369-920F-18A6229A52AA}">
      <dgm:prSet/>
      <dgm:spPr/>
      <dgm:t>
        <a:bodyPr/>
        <a:lstStyle/>
        <a:p>
          <a:endParaRPr lang="en-AU"/>
        </a:p>
      </dgm:t>
    </dgm:pt>
    <dgm:pt modelId="{F425D275-1FAA-4BCF-8CD6-8CF9FD49831F}">
      <dgm:prSet custT="1"/>
      <dgm:spPr/>
      <dgm:t>
        <a:bodyPr/>
        <a:lstStyle/>
        <a:p>
          <a:r>
            <a:rPr lang="en-AU" sz="1000">
              <a:latin typeface="Arial" panose="020B0604020202020204" pitchFamily="34" charset="0"/>
              <a:cs typeface="Arial" panose="020B0604020202020204" pitchFamily="34" charset="0"/>
            </a:rPr>
            <a:t>3</a:t>
          </a:r>
        </a:p>
      </dgm:t>
    </dgm:pt>
    <dgm:pt modelId="{2CF27962-D83E-4F45-BBEE-34B6313A97DC}" type="parTrans" cxnId="{E0C18F94-24FD-4202-96E8-F9BBB6C4425B}">
      <dgm:prSet/>
      <dgm:spPr/>
      <dgm:t>
        <a:bodyPr/>
        <a:lstStyle/>
        <a:p>
          <a:endParaRPr lang="en-AU"/>
        </a:p>
      </dgm:t>
    </dgm:pt>
    <dgm:pt modelId="{FC851200-194C-41AA-AEDC-865C98492856}" type="sibTrans" cxnId="{E0C18F94-24FD-4202-96E8-F9BBB6C4425B}">
      <dgm:prSet/>
      <dgm:spPr/>
      <dgm:t>
        <a:bodyPr/>
        <a:lstStyle/>
        <a:p>
          <a:endParaRPr lang="en-AU"/>
        </a:p>
      </dgm:t>
    </dgm:pt>
    <dgm:pt modelId="{20F22B3D-73C5-41BD-827E-DAFAC1AB7224}">
      <dgm:prSet custT="1"/>
      <dgm:spPr/>
      <dgm:t>
        <a:bodyPr/>
        <a:lstStyle/>
        <a:p>
          <a:r>
            <a:rPr lang="en-AU" sz="1000">
              <a:latin typeface="Arial" panose="020B0604020202020204" pitchFamily="34" charset="0"/>
              <a:cs typeface="Arial" panose="020B0604020202020204" pitchFamily="34" charset="0"/>
            </a:rPr>
            <a:t>Draft allocation instruments</a:t>
          </a:r>
        </a:p>
      </dgm:t>
    </dgm:pt>
    <dgm:pt modelId="{63F2BC6F-9F26-4DF7-A1BC-7CB2F8AB1E6C}" type="parTrans" cxnId="{5470E1F0-07A4-4C2C-89E6-ACD79EA44E39}">
      <dgm:prSet/>
      <dgm:spPr/>
      <dgm:t>
        <a:bodyPr/>
        <a:lstStyle/>
        <a:p>
          <a:endParaRPr lang="en-AU"/>
        </a:p>
      </dgm:t>
    </dgm:pt>
    <dgm:pt modelId="{22F25878-4486-46D2-B6D4-105858073CC9}" type="sibTrans" cxnId="{5470E1F0-07A4-4C2C-89E6-ACD79EA44E39}">
      <dgm:prSet/>
      <dgm:spPr/>
      <dgm:t>
        <a:bodyPr/>
        <a:lstStyle/>
        <a:p>
          <a:endParaRPr lang="en-AU"/>
        </a:p>
      </dgm:t>
    </dgm:pt>
    <dgm:pt modelId="{F926E193-C876-4E12-9CED-C8C23BBA4997}">
      <dgm:prSet custT="1"/>
      <dgm:spPr/>
      <dgm:t>
        <a:bodyPr/>
        <a:lstStyle/>
        <a:p>
          <a:r>
            <a:rPr lang="en-AU" sz="1000">
              <a:latin typeface="Arial" panose="020B0604020202020204" pitchFamily="34" charset="0"/>
              <a:cs typeface="Arial" panose="020B0604020202020204" pitchFamily="34" charset="0"/>
            </a:rPr>
            <a:t>4</a:t>
          </a:r>
        </a:p>
      </dgm:t>
    </dgm:pt>
    <dgm:pt modelId="{86EC7F22-104D-486D-8225-6841C57D7889}" type="parTrans" cxnId="{A7D7C1D9-3D6B-4944-9549-4F4629C9C936}">
      <dgm:prSet/>
      <dgm:spPr/>
      <dgm:t>
        <a:bodyPr/>
        <a:lstStyle/>
        <a:p>
          <a:endParaRPr lang="en-AU"/>
        </a:p>
      </dgm:t>
    </dgm:pt>
    <dgm:pt modelId="{2C2921DE-D6A4-4273-A295-F05D8FF4D703}" type="sibTrans" cxnId="{A7D7C1D9-3D6B-4944-9549-4F4629C9C936}">
      <dgm:prSet/>
      <dgm:spPr/>
      <dgm:t>
        <a:bodyPr/>
        <a:lstStyle/>
        <a:p>
          <a:endParaRPr lang="en-AU"/>
        </a:p>
      </dgm:t>
    </dgm:pt>
    <dgm:pt modelId="{4A42D425-1A7A-4617-A354-B6CB62022EA6}">
      <dgm:prSet custT="1"/>
      <dgm:spPr/>
      <dgm:t>
        <a:bodyPr/>
        <a:lstStyle/>
        <a:p>
          <a:r>
            <a:rPr lang="en-AU" sz="1000">
              <a:latin typeface="Arial" panose="020B0604020202020204" pitchFamily="34" charset="0"/>
              <a:cs typeface="Arial" panose="020B0604020202020204" pitchFamily="34" charset="0"/>
            </a:rPr>
            <a:t>Final allocation instruments</a:t>
          </a:r>
        </a:p>
      </dgm:t>
      <dgm:extLst>
        <a:ext uri="{E40237B7-FDA0-4F09-8148-C483321AD2D9}">
          <dgm14:cNvPr xmlns:dgm14="http://schemas.microsoft.com/office/drawing/2010/diagram" id="0" name="">
            <a:extLst>
              <a:ext uri="{C183D7F6-B498-43B3-948B-1728B52AA6E4}">
                <adec:decorative xmlns:adec="http://schemas.microsoft.com/office/drawing/2017/decorative" val="1"/>
              </a:ext>
            </a:extLst>
          </dgm14:cNvPr>
        </a:ext>
      </dgm:extLst>
    </dgm:pt>
    <dgm:pt modelId="{5B33DE86-C5C1-40B0-8B54-B5E03A3B72B0}" type="parTrans" cxnId="{47738A79-2E19-4ED4-860E-8A0C495A3EAE}">
      <dgm:prSet/>
      <dgm:spPr/>
      <dgm:t>
        <a:bodyPr/>
        <a:lstStyle/>
        <a:p>
          <a:endParaRPr lang="en-AU"/>
        </a:p>
      </dgm:t>
    </dgm:pt>
    <dgm:pt modelId="{B3E8E3E2-BB57-4E07-A28A-14411E2BE7A3}" type="sibTrans" cxnId="{47738A79-2E19-4ED4-860E-8A0C495A3EAE}">
      <dgm:prSet/>
      <dgm:spPr/>
      <dgm:t>
        <a:bodyPr/>
        <a:lstStyle/>
        <a:p>
          <a:endParaRPr lang="en-AU"/>
        </a:p>
      </dgm:t>
    </dgm:pt>
    <dgm:pt modelId="{DD2ED188-F0F2-44B1-BF7A-E5FD160FB693}">
      <dgm:prSet custT="1"/>
      <dgm:spPr/>
      <dgm:t>
        <a:bodyPr/>
        <a:lstStyle/>
        <a:p>
          <a:r>
            <a:rPr lang="en-AU" sz="1000">
              <a:latin typeface="Arial" panose="020B0604020202020204" pitchFamily="34" charset="0"/>
              <a:cs typeface="Arial" panose="020B0604020202020204" pitchFamily="34" charset="0"/>
            </a:rPr>
            <a:t>5</a:t>
          </a:r>
        </a:p>
      </dgm:t>
    </dgm:pt>
    <dgm:pt modelId="{AD82BA23-F92D-49CD-924B-6FC91AED211F}" type="parTrans" cxnId="{38F0EA85-8FD6-4214-8A6E-F56E1F803464}">
      <dgm:prSet/>
      <dgm:spPr/>
      <dgm:t>
        <a:bodyPr/>
        <a:lstStyle/>
        <a:p>
          <a:endParaRPr lang="en-AU"/>
        </a:p>
      </dgm:t>
    </dgm:pt>
    <dgm:pt modelId="{664B057E-24EF-41D6-AC8A-E44A3BA088DD}" type="sibTrans" cxnId="{38F0EA85-8FD6-4214-8A6E-F56E1F803464}">
      <dgm:prSet/>
      <dgm:spPr/>
      <dgm:t>
        <a:bodyPr/>
        <a:lstStyle/>
        <a:p>
          <a:endParaRPr lang="en-AU"/>
        </a:p>
      </dgm:t>
    </dgm:pt>
    <dgm:pt modelId="{8EB8B761-819A-4158-9C8B-F230FA2773DE}">
      <dgm:prSet custT="1"/>
      <dgm:spPr/>
      <dgm:t>
        <a:bodyPr/>
        <a:lstStyle/>
        <a:p>
          <a:r>
            <a:rPr lang="en-AU" sz="1000">
              <a:latin typeface="Arial" panose="020B0604020202020204" pitchFamily="34" charset="0"/>
              <a:cs typeface="Arial" panose="020B0604020202020204" pitchFamily="34" charset="0"/>
            </a:rPr>
            <a:t>Allocation</a:t>
          </a:r>
        </a:p>
      </dgm:t>
    </dgm:pt>
    <dgm:pt modelId="{90CF7975-8F49-4C4A-9FB2-D4AF7E077480}" type="parTrans" cxnId="{45459615-6C6C-4D4A-98B5-EE6312B28C86}">
      <dgm:prSet/>
      <dgm:spPr/>
      <dgm:t>
        <a:bodyPr/>
        <a:lstStyle/>
        <a:p>
          <a:endParaRPr lang="en-AU"/>
        </a:p>
      </dgm:t>
    </dgm:pt>
    <dgm:pt modelId="{10C18FFD-63AE-4C5C-810F-3ECC16EE9AB8}" type="sibTrans" cxnId="{45459615-6C6C-4D4A-98B5-EE6312B28C86}">
      <dgm:prSet/>
      <dgm:spPr/>
      <dgm:t>
        <a:bodyPr/>
        <a:lstStyle/>
        <a:p>
          <a:endParaRPr lang="en-AU"/>
        </a:p>
      </dgm:t>
    </dgm:pt>
    <dgm:pt modelId="{BD853109-4D85-4000-BED4-EEC24D750ED4}" type="pres">
      <dgm:prSet presAssocID="{7B0A35B6-E133-4A0D-9E19-30CE7688D67D}" presName="linearFlow" presStyleCnt="0">
        <dgm:presLayoutVars>
          <dgm:dir/>
          <dgm:animLvl val="lvl"/>
          <dgm:resizeHandles val="exact"/>
        </dgm:presLayoutVars>
      </dgm:prSet>
      <dgm:spPr/>
    </dgm:pt>
    <dgm:pt modelId="{53116820-6FB7-4136-B895-DF61CF714062}" type="pres">
      <dgm:prSet presAssocID="{A457363F-A1F3-425E-8061-2E3318AD096D}" presName="composite" presStyleCnt="0"/>
      <dgm:spPr/>
    </dgm:pt>
    <dgm:pt modelId="{EBC1B2A5-6837-42E3-BE1A-39701BB31141}" type="pres">
      <dgm:prSet presAssocID="{A457363F-A1F3-425E-8061-2E3318AD096D}" presName="parentText" presStyleLbl="alignNode1" presStyleIdx="0" presStyleCnt="5">
        <dgm:presLayoutVars>
          <dgm:chMax val="1"/>
          <dgm:bulletEnabled val="1"/>
        </dgm:presLayoutVars>
      </dgm:prSet>
      <dgm:spPr/>
    </dgm:pt>
    <dgm:pt modelId="{426726A5-FF95-4BC2-80DC-B31E0CEECFB4}" type="pres">
      <dgm:prSet presAssocID="{A457363F-A1F3-425E-8061-2E3318AD096D}" presName="descendantText" presStyleLbl="alignAcc1" presStyleIdx="0" presStyleCnt="5">
        <dgm:presLayoutVars>
          <dgm:bulletEnabled val="1"/>
        </dgm:presLayoutVars>
      </dgm:prSet>
      <dgm:spPr/>
    </dgm:pt>
    <dgm:pt modelId="{397364F0-2115-4DAF-A1DD-3AA316F2B21B}" type="pres">
      <dgm:prSet presAssocID="{85A07D4A-7391-4D27-9809-4435A743BE3E}" presName="sp" presStyleCnt="0"/>
      <dgm:spPr/>
    </dgm:pt>
    <dgm:pt modelId="{A8F27D9A-DFEF-47F3-BD84-A1C90A3428CB}" type="pres">
      <dgm:prSet presAssocID="{B5040F94-B485-462C-887C-99DE3248A147}" presName="composite" presStyleCnt="0"/>
      <dgm:spPr/>
    </dgm:pt>
    <dgm:pt modelId="{74C15F4E-F3F5-4057-B32E-062AF6190E4C}" type="pres">
      <dgm:prSet presAssocID="{B5040F94-B485-462C-887C-99DE3248A147}" presName="parentText" presStyleLbl="alignNode1" presStyleIdx="1" presStyleCnt="5">
        <dgm:presLayoutVars>
          <dgm:chMax val="1"/>
          <dgm:bulletEnabled val="1"/>
        </dgm:presLayoutVars>
      </dgm:prSet>
      <dgm:spPr/>
    </dgm:pt>
    <dgm:pt modelId="{01B6FE3D-441F-45A6-9F5C-F0F8C3FCC888}" type="pres">
      <dgm:prSet presAssocID="{B5040F94-B485-462C-887C-99DE3248A147}" presName="descendantText" presStyleLbl="alignAcc1" presStyleIdx="1" presStyleCnt="5">
        <dgm:presLayoutVars>
          <dgm:bulletEnabled val="1"/>
        </dgm:presLayoutVars>
      </dgm:prSet>
      <dgm:spPr/>
    </dgm:pt>
    <dgm:pt modelId="{3C6150FA-FCCE-43CC-9831-58FA1ABDE4B8}" type="pres">
      <dgm:prSet presAssocID="{7143B0BC-9A5E-4260-9F0A-C7BA41BC3221}" presName="sp" presStyleCnt="0"/>
      <dgm:spPr/>
    </dgm:pt>
    <dgm:pt modelId="{F8224974-D328-4C8E-A744-41CC3B204F93}" type="pres">
      <dgm:prSet presAssocID="{F425D275-1FAA-4BCF-8CD6-8CF9FD49831F}" presName="composite" presStyleCnt="0"/>
      <dgm:spPr/>
    </dgm:pt>
    <dgm:pt modelId="{FAE15DBF-EBB1-407C-961C-3259CCF7D072}" type="pres">
      <dgm:prSet presAssocID="{F425D275-1FAA-4BCF-8CD6-8CF9FD49831F}" presName="parentText" presStyleLbl="alignNode1" presStyleIdx="2" presStyleCnt="5">
        <dgm:presLayoutVars>
          <dgm:chMax val="1"/>
          <dgm:bulletEnabled val="1"/>
        </dgm:presLayoutVars>
      </dgm:prSet>
      <dgm:spPr/>
    </dgm:pt>
    <dgm:pt modelId="{CD1271A6-EAF9-4D0E-8BC0-F5022BEE84D5}" type="pres">
      <dgm:prSet presAssocID="{F425D275-1FAA-4BCF-8CD6-8CF9FD49831F}" presName="descendantText" presStyleLbl="alignAcc1" presStyleIdx="2" presStyleCnt="5">
        <dgm:presLayoutVars>
          <dgm:bulletEnabled val="1"/>
        </dgm:presLayoutVars>
      </dgm:prSet>
      <dgm:spPr/>
    </dgm:pt>
    <dgm:pt modelId="{6932502D-1563-49EB-9147-0BF83C425A65}" type="pres">
      <dgm:prSet presAssocID="{FC851200-194C-41AA-AEDC-865C98492856}" presName="sp" presStyleCnt="0"/>
      <dgm:spPr/>
    </dgm:pt>
    <dgm:pt modelId="{8D185033-FF48-499F-AC99-2FBB915CBC1D}" type="pres">
      <dgm:prSet presAssocID="{F926E193-C876-4E12-9CED-C8C23BBA4997}" presName="composite" presStyleCnt="0"/>
      <dgm:spPr/>
    </dgm:pt>
    <dgm:pt modelId="{E6B43C46-4244-4DEE-BD04-212192EC5AF9}" type="pres">
      <dgm:prSet presAssocID="{F926E193-C876-4E12-9CED-C8C23BBA4997}" presName="parentText" presStyleLbl="alignNode1" presStyleIdx="3" presStyleCnt="5">
        <dgm:presLayoutVars>
          <dgm:chMax val="1"/>
          <dgm:bulletEnabled val="1"/>
        </dgm:presLayoutVars>
      </dgm:prSet>
      <dgm:spPr/>
    </dgm:pt>
    <dgm:pt modelId="{473FCF06-01E9-4908-B372-A53A687D11B0}" type="pres">
      <dgm:prSet presAssocID="{F926E193-C876-4E12-9CED-C8C23BBA4997}" presName="descendantText" presStyleLbl="alignAcc1" presStyleIdx="3" presStyleCnt="5">
        <dgm:presLayoutVars>
          <dgm:bulletEnabled val="1"/>
        </dgm:presLayoutVars>
      </dgm:prSet>
      <dgm:spPr/>
    </dgm:pt>
    <dgm:pt modelId="{3499CFAF-41FE-4723-8E28-45274A2E22A8}" type="pres">
      <dgm:prSet presAssocID="{2C2921DE-D6A4-4273-A295-F05D8FF4D703}" presName="sp" presStyleCnt="0"/>
      <dgm:spPr/>
    </dgm:pt>
    <dgm:pt modelId="{0D720A85-4719-4BAE-9D9B-EA50DFC7B6A4}" type="pres">
      <dgm:prSet presAssocID="{DD2ED188-F0F2-44B1-BF7A-E5FD160FB693}" presName="composite" presStyleCnt="0"/>
      <dgm:spPr/>
    </dgm:pt>
    <dgm:pt modelId="{0B108BB5-124A-4FCD-8337-9D0D6389A3FD}" type="pres">
      <dgm:prSet presAssocID="{DD2ED188-F0F2-44B1-BF7A-E5FD160FB693}" presName="parentText" presStyleLbl="alignNode1" presStyleIdx="4" presStyleCnt="5">
        <dgm:presLayoutVars>
          <dgm:chMax val="1"/>
          <dgm:bulletEnabled val="1"/>
        </dgm:presLayoutVars>
      </dgm:prSet>
      <dgm:spPr/>
    </dgm:pt>
    <dgm:pt modelId="{CA813DB1-38EB-4956-93E3-551B98C3E03A}" type="pres">
      <dgm:prSet presAssocID="{DD2ED188-F0F2-44B1-BF7A-E5FD160FB693}" presName="descendantText" presStyleLbl="alignAcc1" presStyleIdx="4" presStyleCnt="5">
        <dgm:presLayoutVars>
          <dgm:bulletEnabled val="1"/>
        </dgm:presLayoutVars>
      </dgm:prSet>
      <dgm:spPr/>
    </dgm:pt>
  </dgm:ptLst>
  <dgm:cxnLst>
    <dgm:cxn modelId="{75891B02-2479-4E1F-980E-F9A810866CBC}" type="presOf" srcId="{7B0A35B6-E133-4A0D-9E19-30CE7688D67D}" destId="{BD853109-4D85-4000-BED4-EEC24D750ED4}" srcOrd="0" destOrd="0" presId="urn:microsoft.com/office/officeart/2005/8/layout/chevron2"/>
    <dgm:cxn modelId="{51914E03-D209-4F28-91C8-11B564B60010}" srcId="{7B0A35B6-E133-4A0D-9E19-30CE7688D67D}" destId="{B5040F94-B485-462C-887C-99DE3248A147}" srcOrd="1" destOrd="0" parTransId="{4012A6D7-A6E2-4B86-99DA-AF77F5201740}" sibTransId="{7143B0BC-9A5E-4260-9F0A-C7BA41BC3221}"/>
    <dgm:cxn modelId="{A52BDD05-2C93-46F9-A759-BC78CD057092}" type="presOf" srcId="{F425D275-1FAA-4BCF-8CD6-8CF9FD49831F}" destId="{FAE15DBF-EBB1-407C-961C-3259CCF7D072}" srcOrd="0" destOrd="0" presId="urn:microsoft.com/office/officeart/2005/8/layout/chevron2"/>
    <dgm:cxn modelId="{45459615-6C6C-4D4A-98B5-EE6312B28C86}" srcId="{DD2ED188-F0F2-44B1-BF7A-E5FD160FB693}" destId="{8EB8B761-819A-4158-9C8B-F230FA2773DE}" srcOrd="0" destOrd="0" parTransId="{90CF7975-8F49-4C4A-9FB2-D4AF7E077480}" sibTransId="{10C18FFD-63AE-4C5C-810F-3ECC16EE9AB8}"/>
    <dgm:cxn modelId="{EFF3683C-9984-4A32-9EB9-DD11E5C206DE}" srcId="{A457363F-A1F3-425E-8061-2E3318AD096D}" destId="{D4B7DBFE-BDA4-4F82-AF74-C0E19CE459B5}" srcOrd="0" destOrd="0" parTransId="{4C4A237B-7E7A-4B79-A537-17B752809828}" sibTransId="{156CCFD0-5B4D-4570-8A8B-DE195EDBA6D0}"/>
    <dgm:cxn modelId="{1C923F5E-44FA-417A-8A5F-464A38DDFC4D}" type="presOf" srcId="{A457363F-A1F3-425E-8061-2E3318AD096D}" destId="{EBC1B2A5-6837-42E3-BE1A-39701BB31141}" srcOrd="0" destOrd="0" presId="urn:microsoft.com/office/officeart/2005/8/layout/chevron2"/>
    <dgm:cxn modelId="{24137A70-CC73-4673-9CE9-F28209B35410}" type="presOf" srcId="{DD2ED188-F0F2-44B1-BF7A-E5FD160FB693}" destId="{0B108BB5-124A-4FCD-8337-9D0D6389A3FD}" srcOrd="0" destOrd="0" presId="urn:microsoft.com/office/officeart/2005/8/layout/chevron2"/>
    <dgm:cxn modelId="{314A4A51-4D59-4C6E-B9E1-22B0164F3961}" type="presOf" srcId="{8EB8B761-819A-4158-9C8B-F230FA2773DE}" destId="{CA813DB1-38EB-4956-93E3-551B98C3E03A}" srcOrd="0" destOrd="0" presId="urn:microsoft.com/office/officeart/2005/8/layout/chevron2"/>
    <dgm:cxn modelId="{B7161375-DE59-4EB2-8747-3D79F6B9EC85}" type="presOf" srcId="{20F22B3D-73C5-41BD-827E-DAFAC1AB7224}" destId="{CD1271A6-EAF9-4D0E-8BC0-F5022BEE84D5}" srcOrd="0" destOrd="0" presId="urn:microsoft.com/office/officeart/2005/8/layout/chevron2"/>
    <dgm:cxn modelId="{90F84D57-1279-425B-9A4A-FAF5774E218E}" srcId="{7B0A35B6-E133-4A0D-9E19-30CE7688D67D}" destId="{A457363F-A1F3-425E-8061-2E3318AD096D}" srcOrd="0" destOrd="0" parTransId="{B1772C5E-063F-4447-B413-69DA664075FF}" sibTransId="{85A07D4A-7391-4D27-9809-4435A743BE3E}"/>
    <dgm:cxn modelId="{47738A79-2E19-4ED4-860E-8A0C495A3EAE}" srcId="{F926E193-C876-4E12-9CED-C8C23BBA4997}" destId="{4A42D425-1A7A-4617-A354-B6CB62022EA6}" srcOrd="0" destOrd="0" parTransId="{5B33DE86-C5C1-40B0-8B54-B5E03A3B72B0}" sibTransId="{B3E8E3E2-BB57-4E07-A28A-14411E2BE7A3}"/>
    <dgm:cxn modelId="{38F0EA85-8FD6-4214-8A6E-F56E1F803464}" srcId="{7B0A35B6-E133-4A0D-9E19-30CE7688D67D}" destId="{DD2ED188-F0F2-44B1-BF7A-E5FD160FB693}" srcOrd="4" destOrd="0" parTransId="{AD82BA23-F92D-49CD-924B-6FC91AED211F}" sibTransId="{664B057E-24EF-41D6-AC8A-E44A3BA088DD}"/>
    <dgm:cxn modelId="{0C89DE85-369E-4F23-8393-B5CFAC0FFCCA}" type="presOf" srcId="{84CAE1B0-E561-4E80-9595-F6954CE02CB4}" destId="{01B6FE3D-441F-45A6-9F5C-F0F8C3FCC888}" srcOrd="0" destOrd="0" presId="urn:microsoft.com/office/officeart/2005/8/layout/chevron2"/>
    <dgm:cxn modelId="{E0C18F94-24FD-4202-96E8-F9BBB6C4425B}" srcId="{7B0A35B6-E133-4A0D-9E19-30CE7688D67D}" destId="{F425D275-1FAA-4BCF-8CD6-8CF9FD49831F}" srcOrd="2" destOrd="0" parTransId="{2CF27962-D83E-4F45-BBEE-34B6313A97DC}" sibTransId="{FC851200-194C-41AA-AEDC-865C98492856}"/>
    <dgm:cxn modelId="{C2EFDC97-7244-49D9-8D74-8AF253AEF194}" type="presOf" srcId="{F926E193-C876-4E12-9CED-C8C23BBA4997}" destId="{E6B43C46-4244-4DEE-BD04-212192EC5AF9}" srcOrd="0" destOrd="0" presId="urn:microsoft.com/office/officeart/2005/8/layout/chevron2"/>
    <dgm:cxn modelId="{21D7359B-A355-4DBF-B4C3-C47AF64E090F}" type="presOf" srcId="{D4B7DBFE-BDA4-4F82-AF74-C0E19CE459B5}" destId="{426726A5-FF95-4BC2-80DC-B31E0CEECFB4}" srcOrd="0" destOrd="0" presId="urn:microsoft.com/office/officeart/2005/8/layout/chevron2"/>
    <dgm:cxn modelId="{3835B5BE-46E9-4C69-A72A-65EF1216B73D}" type="presOf" srcId="{B5040F94-B485-462C-887C-99DE3248A147}" destId="{74C15F4E-F3F5-4057-B32E-062AF6190E4C}" srcOrd="0" destOrd="0" presId="urn:microsoft.com/office/officeart/2005/8/layout/chevron2"/>
    <dgm:cxn modelId="{6FC13BC7-8FBB-432B-9431-0DAF76707906}" type="presOf" srcId="{4A42D425-1A7A-4617-A354-B6CB62022EA6}" destId="{473FCF06-01E9-4908-B372-A53A687D11B0}" srcOrd="0" destOrd="0" presId="urn:microsoft.com/office/officeart/2005/8/layout/chevron2"/>
    <dgm:cxn modelId="{5470E1F0-07A4-4C2C-89E6-ACD79EA44E39}" srcId="{F425D275-1FAA-4BCF-8CD6-8CF9FD49831F}" destId="{20F22B3D-73C5-41BD-827E-DAFAC1AB7224}" srcOrd="0" destOrd="0" parTransId="{63F2BC6F-9F26-4DF7-A1BC-7CB2F8AB1E6C}" sibTransId="{22F25878-4486-46D2-B6D4-105858073CC9}"/>
    <dgm:cxn modelId="{55F98BD9-23E7-4369-920F-18A6229A52AA}" srcId="{B5040F94-B485-462C-887C-99DE3248A147}" destId="{84CAE1B0-E561-4E80-9595-F6954CE02CB4}" srcOrd="0" destOrd="0" parTransId="{ED86A8FA-9112-44C8-A9D3-1730F52C1E20}" sibTransId="{B1FACAA2-725F-458D-9702-6AC743549924}"/>
    <dgm:cxn modelId="{A7D7C1D9-3D6B-4944-9549-4F4629C9C936}" srcId="{7B0A35B6-E133-4A0D-9E19-30CE7688D67D}" destId="{F926E193-C876-4E12-9CED-C8C23BBA4997}" srcOrd="3" destOrd="0" parTransId="{86EC7F22-104D-486D-8225-6841C57D7889}" sibTransId="{2C2921DE-D6A4-4273-A295-F05D8FF4D703}"/>
    <dgm:cxn modelId="{155A2D5B-8BB5-40E9-A6F8-A733504245D7}" type="presParOf" srcId="{BD853109-4D85-4000-BED4-EEC24D750ED4}" destId="{53116820-6FB7-4136-B895-DF61CF714062}" srcOrd="0" destOrd="0" presId="urn:microsoft.com/office/officeart/2005/8/layout/chevron2"/>
    <dgm:cxn modelId="{D7815CF4-A240-4868-90D4-8D30F902DF43}" type="presParOf" srcId="{53116820-6FB7-4136-B895-DF61CF714062}" destId="{EBC1B2A5-6837-42E3-BE1A-39701BB31141}" srcOrd="0" destOrd="0" presId="urn:microsoft.com/office/officeart/2005/8/layout/chevron2"/>
    <dgm:cxn modelId="{1A9A1CCF-E3F2-4AC1-AC42-D8586ADC82E4}" type="presParOf" srcId="{53116820-6FB7-4136-B895-DF61CF714062}" destId="{426726A5-FF95-4BC2-80DC-B31E0CEECFB4}" srcOrd="1" destOrd="0" presId="urn:microsoft.com/office/officeart/2005/8/layout/chevron2"/>
    <dgm:cxn modelId="{82A66A1C-13A2-4379-99ED-B5274A9621CA}" type="presParOf" srcId="{BD853109-4D85-4000-BED4-EEC24D750ED4}" destId="{397364F0-2115-4DAF-A1DD-3AA316F2B21B}" srcOrd="1" destOrd="0" presId="urn:microsoft.com/office/officeart/2005/8/layout/chevron2"/>
    <dgm:cxn modelId="{6574A88C-D7A9-46BC-B767-9E346101FED0}" type="presParOf" srcId="{BD853109-4D85-4000-BED4-EEC24D750ED4}" destId="{A8F27D9A-DFEF-47F3-BD84-A1C90A3428CB}" srcOrd="2" destOrd="0" presId="urn:microsoft.com/office/officeart/2005/8/layout/chevron2"/>
    <dgm:cxn modelId="{EB9C54FD-D286-495D-BDFF-0F81EC41DBCF}" type="presParOf" srcId="{A8F27D9A-DFEF-47F3-BD84-A1C90A3428CB}" destId="{74C15F4E-F3F5-4057-B32E-062AF6190E4C}" srcOrd="0" destOrd="0" presId="urn:microsoft.com/office/officeart/2005/8/layout/chevron2"/>
    <dgm:cxn modelId="{CDD4F39A-AFEF-453B-A248-FD161E3C7E56}" type="presParOf" srcId="{A8F27D9A-DFEF-47F3-BD84-A1C90A3428CB}" destId="{01B6FE3D-441F-45A6-9F5C-F0F8C3FCC888}" srcOrd="1" destOrd="0" presId="urn:microsoft.com/office/officeart/2005/8/layout/chevron2"/>
    <dgm:cxn modelId="{DF0A4F64-B964-4CC6-A431-726C53336B35}" type="presParOf" srcId="{BD853109-4D85-4000-BED4-EEC24D750ED4}" destId="{3C6150FA-FCCE-43CC-9831-58FA1ABDE4B8}" srcOrd="3" destOrd="0" presId="urn:microsoft.com/office/officeart/2005/8/layout/chevron2"/>
    <dgm:cxn modelId="{A9664180-06F7-4E90-81F1-0988172CBC99}" type="presParOf" srcId="{BD853109-4D85-4000-BED4-EEC24D750ED4}" destId="{F8224974-D328-4C8E-A744-41CC3B204F93}" srcOrd="4" destOrd="0" presId="urn:microsoft.com/office/officeart/2005/8/layout/chevron2"/>
    <dgm:cxn modelId="{137AFD3D-C5E6-4F09-8897-F33B0BD53784}" type="presParOf" srcId="{F8224974-D328-4C8E-A744-41CC3B204F93}" destId="{FAE15DBF-EBB1-407C-961C-3259CCF7D072}" srcOrd="0" destOrd="0" presId="urn:microsoft.com/office/officeart/2005/8/layout/chevron2"/>
    <dgm:cxn modelId="{56DA06F3-B161-48EA-BF4A-FCEACF693B2B}" type="presParOf" srcId="{F8224974-D328-4C8E-A744-41CC3B204F93}" destId="{CD1271A6-EAF9-4D0E-8BC0-F5022BEE84D5}" srcOrd="1" destOrd="0" presId="urn:microsoft.com/office/officeart/2005/8/layout/chevron2"/>
    <dgm:cxn modelId="{38101FE7-7B4A-404C-87D4-46D1AFF8031B}" type="presParOf" srcId="{BD853109-4D85-4000-BED4-EEC24D750ED4}" destId="{6932502D-1563-49EB-9147-0BF83C425A65}" srcOrd="5" destOrd="0" presId="urn:microsoft.com/office/officeart/2005/8/layout/chevron2"/>
    <dgm:cxn modelId="{7F2BC445-14D7-4106-A21D-5F126C2088C7}" type="presParOf" srcId="{BD853109-4D85-4000-BED4-EEC24D750ED4}" destId="{8D185033-FF48-499F-AC99-2FBB915CBC1D}" srcOrd="6" destOrd="0" presId="urn:microsoft.com/office/officeart/2005/8/layout/chevron2"/>
    <dgm:cxn modelId="{F3ABE759-3646-4B5F-A014-C71FD6433F12}" type="presParOf" srcId="{8D185033-FF48-499F-AC99-2FBB915CBC1D}" destId="{E6B43C46-4244-4DEE-BD04-212192EC5AF9}" srcOrd="0" destOrd="0" presId="urn:microsoft.com/office/officeart/2005/8/layout/chevron2"/>
    <dgm:cxn modelId="{1EF49F14-5857-4C1A-A6FB-81C8F7322CAC}" type="presParOf" srcId="{8D185033-FF48-499F-AC99-2FBB915CBC1D}" destId="{473FCF06-01E9-4908-B372-A53A687D11B0}" srcOrd="1" destOrd="0" presId="urn:microsoft.com/office/officeart/2005/8/layout/chevron2"/>
    <dgm:cxn modelId="{08CAF25D-2BD3-444D-8662-67A4EE88CCAA}" type="presParOf" srcId="{BD853109-4D85-4000-BED4-EEC24D750ED4}" destId="{3499CFAF-41FE-4723-8E28-45274A2E22A8}" srcOrd="7" destOrd="0" presId="urn:microsoft.com/office/officeart/2005/8/layout/chevron2"/>
    <dgm:cxn modelId="{BB923557-02F5-4A82-B23A-03B9575C717E}" type="presParOf" srcId="{BD853109-4D85-4000-BED4-EEC24D750ED4}" destId="{0D720A85-4719-4BAE-9D9B-EA50DFC7B6A4}" srcOrd="8" destOrd="0" presId="urn:microsoft.com/office/officeart/2005/8/layout/chevron2"/>
    <dgm:cxn modelId="{8D284282-1963-4EDB-A3D7-C9883AE9E173}" type="presParOf" srcId="{0D720A85-4719-4BAE-9D9B-EA50DFC7B6A4}" destId="{0B108BB5-124A-4FCD-8337-9D0D6389A3FD}" srcOrd="0" destOrd="0" presId="urn:microsoft.com/office/officeart/2005/8/layout/chevron2"/>
    <dgm:cxn modelId="{E860BFEF-ABFB-4DC5-9A53-A295284D162B}" type="presParOf" srcId="{0D720A85-4719-4BAE-9D9B-EA50DFC7B6A4}" destId="{CA813DB1-38EB-4956-93E3-551B98C3E03A}" srcOrd="1" destOrd="0" presId="urn:microsoft.com/office/officeart/2005/8/layout/chevron2"/>
  </dgm:cxnLst>
  <dgm:bg/>
  <dgm:whole/>
  <dgm:extLst>
    <a:ext uri="http://schemas.microsoft.com/office/drawing/2008/diagram">
      <dsp:dataModelExt xmlns:dsp="http://schemas.microsoft.com/office/drawing/2008/diagram" relId="rId1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BC1B2A5-6837-42E3-BE1A-39701BB31141}">
      <dsp:nvSpPr>
        <dsp:cNvPr id="0" name=""/>
        <dsp:cNvSpPr/>
      </dsp:nvSpPr>
      <dsp:spPr>
        <a:xfrm rot="5400000">
          <a:off x="-100317" y="101323"/>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1</a:t>
          </a:r>
        </a:p>
      </dsp:txBody>
      <dsp:txXfrm rot="-5400000">
        <a:off x="0" y="235079"/>
        <a:ext cx="468146" cy="200634"/>
      </dsp:txXfrm>
    </dsp:sp>
    <dsp:sp modelId="{426726A5-FF95-4BC2-80DC-B31E0CEECFB4}">
      <dsp:nvSpPr>
        <dsp:cNvPr id="0" name=""/>
        <dsp:cNvSpPr/>
      </dsp:nvSpPr>
      <dsp:spPr>
        <a:xfrm rot="5400000">
          <a:off x="2452262" y="-1983108"/>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Proposal to re-allocate spectrum</a:t>
          </a:r>
        </a:p>
      </dsp:txBody>
      <dsp:txXfrm rot="-5400000">
        <a:off x="468147" y="22228"/>
        <a:ext cx="4381717" cy="392265"/>
      </dsp:txXfrm>
    </dsp:sp>
    <dsp:sp modelId="{74C15F4E-F3F5-4057-B32E-062AF6190E4C}">
      <dsp:nvSpPr>
        <dsp:cNvPr id="0" name=""/>
        <dsp:cNvSpPr/>
      </dsp:nvSpPr>
      <dsp:spPr>
        <a:xfrm rot="5400000">
          <a:off x="-100317" y="644031"/>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2</a:t>
          </a:r>
        </a:p>
      </dsp:txBody>
      <dsp:txXfrm rot="-5400000">
        <a:off x="0" y="777787"/>
        <a:ext cx="468146" cy="200634"/>
      </dsp:txXfrm>
    </dsp:sp>
    <dsp:sp modelId="{01B6FE3D-441F-45A6-9F5C-F0F8C3FCC888}">
      <dsp:nvSpPr>
        <dsp:cNvPr id="0" name=""/>
        <dsp:cNvSpPr/>
      </dsp:nvSpPr>
      <dsp:spPr>
        <a:xfrm rot="5400000">
          <a:off x="2452262" y="-1440401"/>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Re-allocation declaration</a:t>
          </a:r>
        </a:p>
      </dsp:txBody>
      <dsp:txXfrm rot="-5400000">
        <a:off x="468147" y="564935"/>
        <a:ext cx="4381717" cy="392265"/>
      </dsp:txXfrm>
    </dsp:sp>
    <dsp:sp modelId="{FAE15DBF-EBB1-407C-961C-3259CCF7D072}">
      <dsp:nvSpPr>
        <dsp:cNvPr id="0" name=""/>
        <dsp:cNvSpPr/>
      </dsp:nvSpPr>
      <dsp:spPr>
        <a:xfrm rot="5400000">
          <a:off x="-100317" y="1186739"/>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3</a:t>
          </a:r>
        </a:p>
      </dsp:txBody>
      <dsp:txXfrm rot="-5400000">
        <a:off x="0" y="1320495"/>
        <a:ext cx="468146" cy="200634"/>
      </dsp:txXfrm>
    </dsp:sp>
    <dsp:sp modelId="{CD1271A6-EAF9-4D0E-8BC0-F5022BEE84D5}">
      <dsp:nvSpPr>
        <dsp:cNvPr id="0" name=""/>
        <dsp:cNvSpPr/>
      </dsp:nvSpPr>
      <dsp:spPr>
        <a:xfrm rot="5400000">
          <a:off x="2452262" y="-897693"/>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Draft allocation instruments</a:t>
          </a:r>
        </a:p>
      </dsp:txBody>
      <dsp:txXfrm rot="-5400000">
        <a:off x="468147" y="1107643"/>
        <a:ext cx="4381717" cy="392265"/>
      </dsp:txXfrm>
    </dsp:sp>
    <dsp:sp modelId="{E6B43C46-4244-4DEE-BD04-212192EC5AF9}">
      <dsp:nvSpPr>
        <dsp:cNvPr id="0" name=""/>
        <dsp:cNvSpPr/>
      </dsp:nvSpPr>
      <dsp:spPr>
        <a:xfrm rot="5400000">
          <a:off x="-100317" y="1729446"/>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4</a:t>
          </a:r>
        </a:p>
      </dsp:txBody>
      <dsp:txXfrm rot="-5400000">
        <a:off x="0" y="1863202"/>
        <a:ext cx="468146" cy="200634"/>
      </dsp:txXfrm>
    </dsp:sp>
    <dsp:sp modelId="{473FCF06-01E9-4908-B372-A53A687D11B0}">
      <dsp:nvSpPr>
        <dsp:cNvPr id="0" name=""/>
        <dsp:cNvSpPr/>
      </dsp:nvSpPr>
      <dsp:spPr>
        <a:xfrm rot="5400000">
          <a:off x="2452262" y="-354985"/>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Final allocation instruments</a:t>
          </a:r>
        </a:p>
      </dsp:txBody>
      <dsp:txXfrm rot="-5400000">
        <a:off x="468147" y="1650351"/>
        <a:ext cx="4381717" cy="392265"/>
      </dsp:txXfrm>
    </dsp:sp>
    <dsp:sp modelId="{0B108BB5-124A-4FCD-8337-9D0D6389A3FD}">
      <dsp:nvSpPr>
        <dsp:cNvPr id="0" name=""/>
        <dsp:cNvSpPr/>
      </dsp:nvSpPr>
      <dsp:spPr>
        <a:xfrm rot="5400000">
          <a:off x="-100317" y="2272154"/>
          <a:ext cx="668780" cy="468146"/>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AU" sz="1000" kern="1200">
              <a:latin typeface="Arial" panose="020B0604020202020204" pitchFamily="34" charset="0"/>
              <a:cs typeface="Arial" panose="020B0604020202020204" pitchFamily="34" charset="0"/>
            </a:rPr>
            <a:t>5</a:t>
          </a:r>
        </a:p>
      </dsp:txBody>
      <dsp:txXfrm rot="-5400000">
        <a:off x="0" y="2405910"/>
        <a:ext cx="468146" cy="200634"/>
      </dsp:txXfrm>
    </dsp:sp>
    <dsp:sp modelId="{CA813DB1-38EB-4956-93E3-551B98C3E03A}">
      <dsp:nvSpPr>
        <dsp:cNvPr id="0" name=""/>
        <dsp:cNvSpPr/>
      </dsp:nvSpPr>
      <dsp:spPr>
        <a:xfrm rot="5400000">
          <a:off x="2452262" y="187722"/>
          <a:ext cx="434707" cy="440293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AU" sz="1000" kern="1200">
              <a:latin typeface="Arial" panose="020B0604020202020204" pitchFamily="34" charset="0"/>
              <a:cs typeface="Arial" panose="020B0604020202020204" pitchFamily="34" charset="0"/>
            </a:rPr>
            <a:t>Allocation</a:t>
          </a:r>
        </a:p>
      </dsp:txBody>
      <dsp:txXfrm rot="-5400000">
        <a:off x="468147" y="2193059"/>
        <a:ext cx="4381717" cy="392265"/>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D02495-42FF-4AB9-99FB-933F4294FA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29365</Words>
  <Characters>167387</Characters>
  <Application>Microsoft Office Word</Application>
  <DocSecurity>0</DocSecurity>
  <Lines>1394</Lines>
  <Paragraphs>392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196360</CharactersWithSpaces>
  <SharedDoc>false</SharedDoc>
  <HyperlinkBase/>
  <HLinks>
    <vt:vector size="348" baseType="variant">
      <vt:variant>
        <vt:i4>5701657</vt:i4>
      </vt:variant>
      <vt:variant>
        <vt:i4>276</vt:i4>
      </vt:variant>
      <vt:variant>
        <vt:i4>0</vt:i4>
      </vt:variant>
      <vt:variant>
        <vt:i4>5</vt:i4>
      </vt:variant>
      <vt:variant>
        <vt:lpwstr>https://acma.gov.au/convert-hcis-area-description-placemark-0</vt:lpwstr>
      </vt:variant>
      <vt:variant>
        <vt:lpwstr/>
      </vt:variant>
      <vt:variant>
        <vt:i4>5701657</vt:i4>
      </vt:variant>
      <vt:variant>
        <vt:i4>273</vt:i4>
      </vt:variant>
      <vt:variant>
        <vt:i4>0</vt:i4>
      </vt:variant>
      <vt:variant>
        <vt:i4>5</vt:i4>
      </vt:variant>
      <vt:variant>
        <vt:lpwstr>https://acma.gov.au/convert-hcis-area-description-placemark-0</vt:lpwstr>
      </vt:variant>
      <vt:variant>
        <vt:lpwstr/>
      </vt:variant>
      <vt:variant>
        <vt:i4>5701657</vt:i4>
      </vt:variant>
      <vt:variant>
        <vt:i4>270</vt:i4>
      </vt:variant>
      <vt:variant>
        <vt:i4>0</vt:i4>
      </vt:variant>
      <vt:variant>
        <vt:i4>5</vt:i4>
      </vt:variant>
      <vt:variant>
        <vt:lpwstr>https://acma.gov.au/convert-hcis-area-description-placemark-0</vt:lpwstr>
      </vt:variant>
      <vt:variant>
        <vt:lpwstr/>
      </vt:variant>
      <vt:variant>
        <vt:i4>2687022</vt:i4>
      </vt:variant>
      <vt:variant>
        <vt:i4>267</vt:i4>
      </vt:variant>
      <vt:variant>
        <vt:i4>0</vt:i4>
      </vt:variant>
      <vt:variant>
        <vt:i4>5</vt:i4>
      </vt:variant>
      <vt:variant>
        <vt:lpwstr>https://www.legislation.gov.au/</vt:lpwstr>
      </vt:variant>
      <vt:variant>
        <vt:lpwstr/>
      </vt:variant>
      <vt:variant>
        <vt:i4>393244</vt:i4>
      </vt:variant>
      <vt:variant>
        <vt:i4>264</vt:i4>
      </vt:variant>
      <vt:variant>
        <vt:i4>0</vt:i4>
      </vt:variant>
      <vt:variant>
        <vt:i4>5</vt:i4>
      </vt:variant>
      <vt:variant>
        <vt:lpwstr>https://www.legislation.gov.au/Series/C2020A00151</vt:lpwstr>
      </vt:variant>
      <vt:variant>
        <vt:lpwstr/>
      </vt:variant>
      <vt:variant>
        <vt:i4>2097192</vt:i4>
      </vt:variant>
      <vt:variant>
        <vt:i4>261</vt:i4>
      </vt:variant>
      <vt:variant>
        <vt:i4>0</vt:i4>
      </vt:variant>
      <vt:variant>
        <vt:i4>5</vt:i4>
      </vt:variant>
      <vt:variant>
        <vt:lpwstr>https://www.acma.gov.au/privacy-policy</vt:lpwstr>
      </vt:variant>
      <vt:variant>
        <vt:lpwstr/>
      </vt:variant>
      <vt:variant>
        <vt:i4>3473455</vt:i4>
      </vt:variant>
      <vt:variant>
        <vt:i4>258</vt:i4>
      </vt:variant>
      <vt:variant>
        <vt:i4>0</vt:i4>
      </vt:variant>
      <vt:variant>
        <vt:i4>5</vt:i4>
      </vt:variant>
      <vt:variant>
        <vt:lpwstr>https://www.acma.gov.au/publication-submissions</vt:lpwstr>
      </vt:variant>
      <vt:variant>
        <vt:lpwstr/>
      </vt:variant>
      <vt:variant>
        <vt:i4>6619153</vt:i4>
      </vt:variant>
      <vt:variant>
        <vt:i4>255</vt:i4>
      </vt:variant>
      <vt:variant>
        <vt:i4>0</vt:i4>
      </vt:variant>
      <vt:variant>
        <vt:i4>5</vt:i4>
      </vt:variant>
      <vt:variant>
        <vt:lpwstr>mailto:SpectrumAllocations@acma.gov.au</vt:lpwstr>
      </vt:variant>
      <vt:variant>
        <vt:lpwstr/>
      </vt:variant>
      <vt:variant>
        <vt:i4>5308427</vt:i4>
      </vt:variant>
      <vt:variant>
        <vt:i4>252</vt:i4>
      </vt:variant>
      <vt:variant>
        <vt:i4>0</vt:i4>
      </vt:variant>
      <vt:variant>
        <vt:i4>5</vt:i4>
      </vt:variant>
      <vt:variant>
        <vt:lpwstr>https://www.acma.gov.au/have-your-say</vt:lpwstr>
      </vt:variant>
      <vt:variant>
        <vt:lpwstr/>
      </vt:variant>
      <vt:variant>
        <vt:i4>8126497</vt:i4>
      </vt:variant>
      <vt:variant>
        <vt:i4>246</vt:i4>
      </vt:variant>
      <vt:variant>
        <vt:i4>0</vt:i4>
      </vt:variant>
      <vt:variant>
        <vt:i4>5</vt:i4>
      </vt:variant>
      <vt:variant>
        <vt:lpwstr>https://www.legislation.gov.au/Details/F2021C00941</vt:lpwstr>
      </vt:variant>
      <vt:variant>
        <vt:lpwstr/>
      </vt:variant>
      <vt:variant>
        <vt:i4>6029331</vt:i4>
      </vt:variant>
      <vt:variant>
        <vt:i4>243</vt:i4>
      </vt:variant>
      <vt:variant>
        <vt:i4>0</vt:i4>
      </vt:variant>
      <vt:variant>
        <vt:i4>5</vt:i4>
      </vt:variant>
      <vt:variant>
        <vt:lpwstr>https://www.acma.gov.au/radcomms-licensing-and-allocation-reform</vt:lpwstr>
      </vt:variant>
      <vt:variant>
        <vt:lpwstr/>
      </vt:variant>
      <vt:variant>
        <vt:i4>1835008</vt:i4>
      </vt:variant>
      <vt:variant>
        <vt:i4>240</vt:i4>
      </vt:variant>
      <vt:variant>
        <vt:i4>0</vt:i4>
      </vt:variant>
      <vt:variant>
        <vt:i4>5</vt:i4>
      </vt:variant>
      <vt:variant>
        <vt:lpwstr>https://www.acma.gov.au/publications/2021-09/plan/five-year-spectrum-outlook-2021-26</vt:lpwstr>
      </vt:variant>
      <vt:variant>
        <vt:lpwstr/>
      </vt:variant>
      <vt:variant>
        <vt:i4>393240</vt:i4>
      </vt:variant>
      <vt:variant>
        <vt:i4>237</vt:i4>
      </vt:variant>
      <vt:variant>
        <vt:i4>0</vt:i4>
      </vt:variant>
      <vt:variant>
        <vt:i4>5</vt:i4>
      </vt:variant>
      <vt:variant>
        <vt:lpwstr>https://www.acma.gov.au/consultations/2020-07/planning-options-3700-4200-mhz-band-consultation-222020</vt:lpwstr>
      </vt:variant>
      <vt:variant>
        <vt:lpwstr/>
      </vt:variant>
      <vt:variant>
        <vt:i4>393240</vt:i4>
      </vt:variant>
      <vt:variant>
        <vt:i4>234</vt:i4>
      </vt:variant>
      <vt:variant>
        <vt:i4>0</vt:i4>
      </vt:variant>
      <vt:variant>
        <vt:i4>5</vt:i4>
      </vt:variant>
      <vt:variant>
        <vt:lpwstr>https://www.acma.gov.au/consultations/2020-07/planning-options-3700-4200-mhz-band-consultation-222020</vt:lpwstr>
      </vt:variant>
      <vt:variant>
        <vt:lpwstr/>
      </vt:variant>
      <vt:variant>
        <vt:i4>3342443</vt:i4>
      </vt:variant>
      <vt:variant>
        <vt:i4>231</vt:i4>
      </vt:variant>
      <vt:variant>
        <vt:i4>0</vt:i4>
      </vt:variant>
      <vt:variant>
        <vt:i4>5</vt:i4>
      </vt:variant>
      <vt:variant>
        <vt:lpwstr>https://www.acma.gov.au/current-and-past-spectrum-embargoes</vt:lpwstr>
      </vt:variant>
      <vt:variant>
        <vt:lpwstr/>
      </vt:variant>
      <vt:variant>
        <vt:i4>1310808</vt:i4>
      </vt:variant>
      <vt:variant>
        <vt:i4>228</vt:i4>
      </vt:variant>
      <vt:variant>
        <vt:i4>0</vt:i4>
      </vt:variant>
      <vt:variant>
        <vt:i4>5</vt:i4>
      </vt:variant>
      <vt:variant>
        <vt:lpwstr>https://www.acma.gov.au/publications/2019-08/instruction/frequency-coordination-procedures-earth-station-protection-zones</vt:lpwstr>
      </vt:variant>
      <vt:variant>
        <vt:lpwstr/>
      </vt:variant>
      <vt:variant>
        <vt:i4>393240</vt:i4>
      </vt:variant>
      <vt:variant>
        <vt:i4>225</vt:i4>
      </vt:variant>
      <vt:variant>
        <vt:i4>0</vt:i4>
      </vt:variant>
      <vt:variant>
        <vt:i4>5</vt:i4>
      </vt:variant>
      <vt:variant>
        <vt:lpwstr>https://www.acma.gov.au/consultations/2020-07/planning-options-3700-4200-mhz-band-consultation-222020</vt:lpwstr>
      </vt:variant>
      <vt:variant>
        <vt:lpwstr/>
      </vt:variant>
      <vt:variant>
        <vt:i4>131151</vt:i4>
      </vt:variant>
      <vt:variant>
        <vt:i4>222</vt:i4>
      </vt:variant>
      <vt:variant>
        <vt:i4>0</vt:i4>
      </vt:variant>
      <vt:variant>
        <vt:i4>5</vt:i4>
      </vt:variant>
      <vt:variant>
        <vt:lpwstr>https://www.acma.gov.au/consultations/2021-08/planning-wireless-broadband-use-urban-areas-3400-3475-mhz-band-consultation-312021</vt:lpwstr>
      </vt:variant>
      <vt:variant>
        <vt:lpwstr/>
      </vt:variant>
      <vt:variant>
        <vt:i4>7864375</vt:i4>
      </vt:variant>
      <vt:variant>
        <vt:i4>219</vt:i4>
      </vt:variant>
      <vt:variant>
        <vt:i4>0</vt:i4>
      </vt:variant>
      <vt:variant>
        <vt:i4>5</vt:i4>
      </vt:variant>
      <vt:variant>
        <vt:lpwstr>https://www.acma.gov.au/consultations/2019-08/optimising-3400-3575-mhz-band-consultation-122019</vt:lpwstr>
      </vt:variant>
      <vt:variant>
        <vt:lpwstr/>
      </vt:variant>
      <vt:variant>
        <vt:i4>3866748</vt:i4>
      </vt:variant>
      <vt:variant>
        <vt:i4>216</vt:i4>
      </vt:variant>
      <vt:variant>
        <vt:i4>0</vt:i4>
      </vt:variant>
      <vt:variant>
        <vt:i4>5</vt:i4>
      </vt:variant>
      <vt:variant>
        <vt:lpwstr>https://www.acma.gov.au/publications/2020-02/guide/area-wide-licensing-acma-approach-introducing-area-wide-licences</vt:lpwstr>
      </vt:variant>
      <vt:variant>
        <vt:lpwstr/>
      </vt:variant>
      <vt:variant>
        <vt:i4>6357090</vt:i4>
      </vt:variant>
      <vt:variant>
        <vt:i4>213</vt:i4>
      </vt:variant>
      <vt:variant>
        <vt:i4>0</vt:i4>
      </vt:variant>
      <vt:variant>
        <vt:i4>5</vt:i4>
      </vt:variant>
      <vt:variant>
        <vt:lpwstr>https://www.wia.org.au/members/bandplans/data/</vt:lpwstr>
      </vt:variant>
      <vt:variant>
        <vt:lpwstr/>
      </vt:variant>
      <vt:variant>
        <vt:i4>5832722</vt:i4>
      </vt:variant>
      <vt:variant>
        <vt:i4>210</vt:i4>
      </vt:variant>
      <vt:variant>
        <vt:i4>0</vt:i4>
      </vt:variant>
      <vt:variant>
        <vt:i4>5</vt:i4>
      </vt:variant>
      <vt:variant>
        <vt:lpwstr>https://aus01.safelinks.protection.outlook.com/?url=https%3A%2F%2Fwww.cambiumnetworks.com%2Fwp-content%2Fuploads%2F2019%2F08%2FCambium_Networks_data_sheet_3GHz_PMP_450m.pdf&amp;data=04%7C01%7CDavid.Goggin%40acma.gov.au%7Cc59a765ffd6d4b1d7d8708d9f68db43b%7C0dac7f39d20c4e718af371ee7e268a2b%7C0%7C0%7C637811910744014890%7CUnknown%7CTWFpbGZsb3d8eyJWIjoiMC4wLjAwMDAiLCJQIjoiV2luMzIiLCJBTiI6Ik1haWwiLCJXVCI6Mn0%3D%7C3000&amp;sdata=DWrSrnB8Uds7Ujlz%2BLoVEzr60RfuVkeiDi8gUNuVDMM%3D&amp;reserved=0</vt:lpwstr>
      </vt:variant>
      <vt:variant>
        <vt:lpwstr/>
      </vt:variant>
      <vt:variant>
        <vt:i4>393240</vt:i4>
      </vt:variant>
      <vt:variant>
        <vt:i4>207</vt:i4>
      </vt:variant>
      <vt:variant>
        <vt:i4>0</vt:i4>
      </vt:variant>
      <vt:variant>
        <vt:i4>5</vt:i4>
      </vt:variant>
      <vt:variant>
        <vt:lpwstr>https://www.acma.gov.au/consultations/2020-07/planning-options-3700-4200-mhz-band-consultation-222020</vt:lpwstr>
      </vt:variant>
      <vt:variant>
        <vt:lpwstr/>
      </vt:variant>
      <vt:variant>
        <vt:i4>7864375</vt:i4>
      </vt:variant>
      <vt:variant>
        <vt:i4>204</vt:i4>
      </vt:variant>
      <vt:variant>
        <vt:i4>0</vt:i4>
      </vt:variant>
      <vt:variant>
        <vt:i4>5</vt:i4>
      </vt:variant>
      <vt:variant>
        <vt:lpwstr>https://www.acma.gov.au/consultations/2019-08/optimising-3400-3575-mhz-band-consultation-122019</vt:lpwstr>
      </vt:variant>
      <vt:variant>
        <vt:lpwstr/>
      </vt:variant>
      <vt:variant>
        <vt:i4>196675</vt:i4>
      </vt:variant>
      <vt:variant>
        <vt:i4>201</vt:i4>
      </vt:variant>
      <vt:variant>
        <vt:i4>0</vt:i4>
      </vt:variant>
      <vt:variant>
        <vt:i4>5</vt:i4>
      </vt:variant>
      <vt:variant>
        <vt:lpwstr>https://www.acma.gov.au/spectrum-licence-technical-liaison-groups</vt:lpwstr>
      </vt:variant>
      <vt:variant>
        <vt:lpwstr/>
      </vt:variant>
      <vt:variant>
        <vt:i4>5832722</vt:i4>
      </vt:variant>
      <vt:variant>
        <vt:i4>198</vt:i4>
      </vt:variant>
      <vt:variant>
        <vt:i4>0</vt:i4>
      </vt:variant>
      <vt:variant>
        <vt:i4>5</vt:i4>
      </vt:variant>
      <vt:variant>
        <vt:lpwstr>https://aus01.safelinks.protection.outlook.com/?url=https%3A%2F%2Fwww.cambiumnetworks.com%2Fwp-content%2Fuploads%2F2019%2F08%2FCambium_Networks_data_sheet_3GHz_PMP_450m.pdf&amp;data=04%7C01%7CDavid.Goggin%40acma.gov.au%7Cc59a765ffd6d4b1d7d8708d9f68db43b%7C0dac7f39d20c4e718af371ee7e268a2b%7C0%7C0%7C637811910744014890%7CUnknown%7CTWFpbGZsb3d8eyJWIjoiMC4wLjAwMDAiLCJQIjoiV2luMzIiLCJBTiI6Ik1haWwiLCJXVCI6Mn0%3D%7C3000&amp;sdata=DWrSrnB8Uds7Ujlz%2BLoVEzr60RfuVkeiDi8gUNuVDMM%3D&amp;reserved=0</vt:lpwstr>
      </vt:variant>
      <vt:variant>
        <vt:lpwstr/>
      </vt:variant>
      <vt:variant>
        <vt:i4>2949167</vt:i4>
      </vt:variant>
      <vt:variant>
        <vt:i4>195</vt:i4>
      </vt:variant>
      <vt:variant>
        <vt:i4>0</vt:i4>
      </vt:variant>
      <vt:variant>
        <vt:i4>5</vt:i4>
      </vt:variant>
      <vt:variant>
        <vt:lpwstr>https://www.accc.gov.au/about-us/consultations-submissions</vt:lpwstr>
      </vt:variant>
      <vt:variant>
        <vt:lpwstr/>
      </vt:variant>
      <vt:variant>
        <vt:i4>393244</vt:i4>
      </vt:variant>
      <vt:variant>
        <vt:i4>192</vt:i4>
      </vt:variant>
      <vt:variant>
        <vt:i4>0</vt:i4>
      </vt:variant>
      <vt:variant>
        <vt:i4>5</vt:i4>
      </vt:variant>
      <vt:variant>
        <vt:lpwstr>https://www.legislation.gov.au/Series/C2020A00151</vt:lpwstr>
      </vt:variant>
      <vt:variant>
        <vt:lpwstr/>
      </vt:variant>
      <vt:variant>
        <vt:i4>6094922</vt:i4>
      </vt:variant>
      <vt:variant>
        <vt:i4>189</vt:i4>
      </vt:variant>
      <vt:variant>
        <vt:i4>0</vt:i4>
      </vt:variant>
      <vt:variant>
        <vt:i4>5</vt:i4>
      </vt:variant>
      <vt:variant>
        <vt:lpwstr>https://www.pmc.gov.au/resource-centre/domestic-policy/action-plan-critical-technologies</vt:lpwstr>
      </vt:variant>
      <vt:variant>
        <vt:lpwstr/>
      </vt:variant>
      <vt:variant>
        <vt:i4>2424913</vt:i4>
      </vt:variant>
      <vt:variant>
        <vt:i4>186</vt:i4>
      </vt:variant>
      <vt:variant>
        <vt:i4>0</vt:i4>
      </vt:variant>
      <vt:variant>
        <vt:i4>5</vt:i4>
      </vt:variant>
      <vt:variant>
        <vt:lpwstr>https://www.aph.gov.au/Parliamentary_Business/Committees/House/Communications/5G/Report</vt:lpwstr>
      </vt:variant>
      <vt:variant>
        <vt:lpwstr/>
      </vt:variant>
      <vt:variant>
        <vt:i4>1310825</vt:i4>
      </vt:variant>
      <vt:variant>
        <vt:i4>183</vt:i4>
      </vt:variant>
      <vt:variant>
        <vt:i4>0</vt:i4>
      </vt:variant>
      <vt:variant>
        <vt:i4>5</vt:i4>
      </vt:variant>
      <vt:variant>
        <vt:lpwstr>https://www.infrastructure.gov.au/department/ips/government_responses/government-response-next-gen-future.aspx</vt:lpwstr>
      </vt:variant>
      <vt:variant>
        <vt:lpwstr/>
      </vt:variant>
      <vt:variant>
        <vt:i4>5373953</vt:i4>
      </vt:variant>
      <vt:variant>
        <vt:i4>180</vt:i4>
      </vt:variant>
      <vt:variant>
        <vt:i4>0</vt:i4>
      </vt:variant>
      <vt:variant>
        <vt:i4>5</vt:i4>
      </vt:variant>
      <vt:variant>
        <vt:lpwstr>https://www.industry.gov.au/news-media/australias-tech-future</vt:lpwstr>
      </vt:variant>
      <vt:variant>
        <vt:lpwstr/>
      </vt:variant>
      <vt:variant>
        <vt:i4>2818094</vt:i4>
      </vt:variant>
      <vt:variant>
        <vt:i4>177</vt:i4>
      </vt:variant>
      <vt:variant>
        <vt:i4>0</vt:i4>
      </vt:variant>
      <vt:variant>
        <vt:i4>5</vt:i4>
      </vt:variant>
      <vt:variant>
        <vt:lpwstr>https://www.infrastructure.gov.au/media-centre/publications/5g-enabling-future-economy</vt:lpwstr>
      </vt:variant>
      <vt:variant>
        <vt:lpwstr/>
      </vt:variant>
      <vt:variant>
        <vt:i4>6750249</vt:i4>
      </vt:variant>
      <vt:variant>
        <vt:i4>174</vt:i4>
      </vt:variant>
      <vt:variant>
        <vt:i4>0</vt:i4>
      </vt:variant>
      <vt:variant>
        <vt:i4>5</vt:i4>
      </vt:variant>
      <vt:variant>
        <vt:lpwstr>https://digitaleconomy.pmc.gov.au/sites/default/files/2021-07/digital-economy-strategy.pdf</vt:lpwstr>
      </vt:variant>
      <vt:variant>
        <vt:lpwstr/>
      </vt:variant>
      <vt:variant>
        <vt:i4>851994</vt:i4>
      </vt:variant>
      <vt:variant>
        <vt:i4>171</vt:i4>
      </vt:variant>
      <vt:variant>
        <vt:i4>0</vt:i4>
      </vt:variant>
      <vt:variant>
        <vt:i4>5</vt:i4>
      </vt:variant>
      <vt:variant>
        <vt:lpwstr>https://www.legislation.gov.au/Series/F2022N00015</vt:lpwstr>
      </vt:variant>
      <vt:variant>
        <vt:lpwstr/>
      </vt:variant>
      <vt:variant>
        <vt:i4>196637</vt:i4>
      </vt:variant>
      <vt:variant>
        <vt:i4>168</vt:i4>
      </vt:variant>
      <vt:variant>
        <vt:i4>0</vt:i4>
      </vt:variant>
      <vt:variant>
        <vt:i4>5</vt:i4>
      </vt:variant>
      <vt:variant>
        <vt:lpwstr>https://www.legislation.gov.au/Series/C2004A04465</vt:lpwstr>
      </vt:variant>
      <vt:variant>
        <vt:lpwstr/>
      </vt:variant>
      <vt:variant>
        <vt:i4>2162773</vt:i4>
      </vt:variant>
      <vt:variant>
        <vt:i4>165</vt:i4>
      </vt:variant>
      <vt:variant>
        <vt:i4>0</vt:i4>
      </vt:variant>
      <vt:variant>
        <vt:i4>5</vt:i4>
      </vt:variant>
      <vt:variant>
        <vt:lpwstr>https://www.acma.gov.au/sites/default/files/2021-01/Replanning the 3700-4200 MHz band_Outcomes paper.docx</vt:lpwstr>
      </vt:variant>
      <vt:variant>
        <vt:lpwstr/>
      </vt:variant>
      <vt:variant>
        <vt:i4>720970</vt:i4>
      </vt:variant>
      <vt:variant>
        <vt:i4>162</vt:i4>
      </vt:variant>
      <vt:variant>
        <vt:i4>0</vt:i4>
      </vt:variant>
      <vt:variant>
        <vt:i4>5</vt:i4>
      </vt:variant>
      <vt:variant>
        <vt:lpwstr>https://www.acma.gov.au/consultations/2019-09/planning-3700-4200-mhz-band-consultation-272019</vt:lpwstr>
      </vt:variant>
      <vt:variant>
        <vt:lpwstr/>
      </vt:variant>
      <vt:variant>
        <vt:i4>393240</vt:i4>
      </vt:variant>
      <vt:variant>
        <vt:i4>159</vt:i4>
      </vt:variant>
      <vt:variant>
        <vt:i4>0</vt:i4>
      </vt:variant>
      <vt:variant>
        <vt:i4>5</vt:i4>
      </vt:variant>
      <vt:variant>
        <vt:lpwstr>https://www.acma.gov.au/consultations/2020-07/planning-options-3700-4200-mhz-band-consultation-222020</vt:lpwstr>
      </vt:variant>
      <vt:variant>
        <vt:lpwstr/>
      </vt:variant>
      <vt:variant>
        <vt:i4>131151</vt:i4>
      </vt:variant>
      <vt:variant>
        <vt:i4>156</vt:i4>
      </vt:variant>
      <vt:variant>
        <vt:i4>0</vt:i4>
      </vt:variant>
      <vt:variant>
        <vt:i4>5</vt:i4>
      </vt:variant>
      <vt:variant>
        <vt:lpwstr>https://www.acma.gov.au/consultations/2021-08/planning-wireless-broadband-use-urban-areas-3400-3475-mhz-band-consultation-312021</vt:lpwstr>
      </vt:variant>
      <vt:variant>
        <vt:lpwstr/>
      </vt:variant>
      <vt:variant>
        <vt:i4>131151</vt:i4>
      </vt:variant>
      <vt:variant>
        <vt:i4>153</vt:i4>
      </vt:variant>
      <vt:variant>
        <vt:i4>0</vt:i4>
      </vt:variant>
      <vt:variant>
        <vt:i4>5</vt:i4>
      </vt:variant>
      <vt:variant>
        <vt:lpwstr>https://www.acma.gov.au/consultations/2021-08/planning-wireless-broadband-use-urban-areas-3400-3475-mhz-band-consultation-312021</vt:lpwstr>
      </vt:variant>
      <vt:variant>
        <vt:lpwstr/>
      </vt:variant>
      <vt:variant>
        <vt:i4>589854</vt:i4>
      </vt:variant>
      <vt:variant>
        <vt:i4>150</vt:i4>
      </vt:variant>
      <vt:variant>
        <vt:i4>0</vt:i4>
      </vt:variant>
      <vt:variant>
        <vt:i4>5</vt:i4>
      </vt:variant>
      <vt:variant>
        <vt:lpwstr>https://www.legislation.gov.au/Series/F2020L01661</vt:lpwstr>
      </vt:variant>
      <vt:variant>
        <vt:lpwstr/>
      </vt:variant>
      <vt:variant>
        <vt:i4>7864375</vt:i4>
      </vt:variant>
      <vt:variant>
        <vt:i4>147</vt:i4>
      </vt:variant>
      <vt:variant>
        <vt:i4>0</vt:i4>
      </vt:variant>
      <vt:variant>
        <vt:i4>5</vt:i4>
      </vt:variant>
      <vt:variant>
        <vt:lpwstr>https://www.acma.gov.au/consultations/2019-08/optimising-3400-3575-mhz-band-consultation-122019</vt:lpwstr>
      </vt:variant>
      <vt:variant>
        <vt:lpwstr/>
      </vt:variant>
      <vt:variant>
        <vt:i4>7864375</vt:i4>
      </vt:variant>
      <vt:variant>
        <vt:i4>144</vt:i4>
      </vt:variant>
      <vt:variant>
        <vt:i4>0</vt:i4>
      </vt:variant>
      <vt:variant>
        <vt:i4>5</vt:i4>
      </vt:variant>
      <vt:variant>
        <vt:lpwstr>https://www.acma.gov.au/consultations/2019-08/optimising-3400-3575-mhz-band-consultation-122019</vt:lpwstr>
      </vt:variant>
      <vt:variant>
        <vt:lpwstr/>
      </vt:variant>
      <vt:variant>
        <vt:i4>6750250</vt:i4>
      </vt:variant>
      <vt:variant>
        <vt:i4>141</vt:i4>
      </vt:variant>
      <vt:variant>
        <vt:i4>0</vt:i4>
      </vt:variant>
      <vt:variant>
        <vt:i4>5</vt:i4>
      </vt:variant>
      <vt:variant>
        <vt:lpwstr>https://www.acma.gov.au/future-approach-36-ghz-band</vt:lpwstr>
      </vt:variant>
      <vt:variant>
        <vt:lpwstr/>
      </vt:variant>
      <vt:variant>
        <vt:i4>2818102</vt:i4>
      </vt:variant>
      <vt:variant>
        <vt:i4>138</vt:i4>
      </vt:variant>
      <vt:variant>
        <vt:i4>0</vt:i4>
      </vt:variant>
      <vt:variant>
        <vt:i4>5</vt:i4>
      </vt:variant>
      <vt:variant>
        <vt:lpwstr>https://www.acma.gov.au/publications/2020-02/report/future-use-15-ghz-and-36-ghz-bands-discussion-paper</vt:lpwstr>
      </vt:variant>
      <vt:variant>
        <vt:lpwstr/>
      </vt:variant>
      <vt:variant>
        <vt:i4>3080247</vt:i4>
      </vt:variant>
      <vt:variant>
        <vt:i4>135</vt:i4>
      </vt:variant>
      <vt:variant>
        <vt:i4>0</vt:i4>
      </vt:variant>
      <vt:variant>
        <vt:i4>5</vt:i4>
      </vt:variant>
      <vt:variant>
        <vt:lpwstr>https://www.acma.gov.au/fyso-2018-22-annual-progress-report</vt:lpwstr>
      </vt:variant>
      <vt:variant>
        <vt:lpwstr/>
      </vt:variant>
      <vt:variant>
        <vt:i4>1376270</vt:i4>
      </vt:variant>
      <vt:variant>
        <vt:i4>132</vt:i4>
      </vt:variant>
      <vt:variant>
        <vt:i4>0</vt:i4>
      </vt:variant>
      <vt:variant>
        <vt:i4>5</vt:i4>
      </vt:variant>
      <vt:variant>
        <vt:lpwstr>https://www.acma.gov.au/publications/2019-07/plan/five-year-spectrum-outlook-2017-21</vt:lpwstr>
      </vt:variant>
      <vt:variant>
        <vt:lpwstr/>
      </vt:variant>
      <vt:variant>
        <vt:i4>131151</vt:i4>
      </vt:variant>
      <vt:variant>
        <vt:i4>129</vt:i4>
      </vt:variant>
      <vt:variant>
        <vt:i4>0</vt:i4>
      </vt:variant>
      <vt:variant>
        <vt:i4>5</vt:i4>
      </vt:variant>
      <vt:variant>
        <vt:lpwstr>https://www.acma.gov.au/consultations/2021-08/planning-wireless-broadband-use-urban-areas-3400-3475-mhz-band-consultation-312021</vt:lpwstr>
      </vt:variant>
      <vt:variant>
        <vt:lpwstr/>
      </vt:variant>
      <vt:variant>
        <vt:i4>851994</vt:i4>
      </vt:variant>
      <vt:variant>
        <vt:i4>126</vt:i4>
      </vt:variant>
      <vt:variant>
        <vt:i4>0</vt:i4>
      </vt:variant>
      <vt:variant>
        <vt:i4>5</vt:i4>
      </vt:variant>
      <vt:variant>
        <vt:lpwstr>https://www.legislation.gov.au/Series/F2022N00015</vt:lpwstr>
      </vt:variant>
      <vt:variant>
        <vt:lpwstr/>
      </vt:variant>
      <vt:variant>
        <vt:i4>393240</vt:i4>
      </vt:variant>
      <vt:variant>
        <vt:i4>123</vt:i4>
      </vt:variant>
      <vt:variant>
        <vt:i4>0</vt:i4>
      </vt:variant>
      <vt:variant>
        <vt:i4>5</vt:i4>
      </vt:variant>
      <vt:variant>
        <vt:lpwstr>https://www.acma.gov.au/consultations/2020-07/planning-options-3700-4200-mhz-band-consultation-222020</vt:lpwstr>
      </vt:variant>
      <vt:variant>
        <vt:lpwstr/>
      </vt:variant>
      <vt:variant>
        <vt:i4>7864375</vt:i4>
      </vt:variant>
      <vt:variant>
        <vt:i4>120</vt:i4>
      </vt:variant>
      <vt:variant>
        <vt:i4>0</vt:i4>
      </vt:variant>
      <vt:variant>
        <vt:i4>5</vt:i4>
      </vt:variant>
      <vt:variant>
        <vt:lpwstr>https://www.acma.gov.au/consultations/2019-08/optimising-3400-3575-mhz-band-consultation-122019</vt:lpwstr>
      </vt:variant>
      <vt:variant>
        <vt:lpwstr/>
      </vt:variant>
      <vt:variant>
        <vt:i4>6225960</vt:i4>
      </vt:variant>
      <vt:variant>
        <vt:i4>3</vt:i4>
      </vt:variant>
      <vt:variant>
        <vt:i4>0</vt:i4>
      </vt:variant>
      <vt:variant>
        <vt:i4>5</vt:i4>
      </vt:variant>
      <vt:variant>
        <vt:lpwstr>mailto:info@acma.gov.au</vt:lpwstr>
      </vt:variant>
      <vt:variant>
        <vt:lpwstr/>
      </vt:variant>
      <vt:variant>
        <vt:i4>5308424</vt:i4>
      </vt:variant>
      <vt:variant>
        <vt:i4>0</vt:i4>
      </vt:variant>
      <vt:variant>
        <vt:i4>0</vt:i4>
      </vt:variant>
      <vt:variant>
        <vt:i4>5</vt:i4>
      </vt:variant>
      <vt:variant>
        <vt:lpwstr>https://creativecommons.org/licenses/by/4.0/</vt:lpwstr>
      </vt:variant>
      <vt:variant>
        <vt:lpwstr/>
      </vt:variant>
      <vt:variant>
        <vt:i4>327704</vt:i4>
      </vt:variant>
      <vt:variant>
        <vt:i4>9</vt:i4>
      </vt:variant>
      <vt:variant>
        <vt:i4>0</vt:i4>
      </vt:variant>
      <vt:variant>
        <vt:i4>5</vt:i4>
      </vt:variant>
      <vt:variant>
        <vt:lpwstr>https://www.legislation.gov.au/Series/C2005A00044</vt:lpwstr>
      </vt:variant>
      <vt:variant>
        <vt:lpwstr/>
      </vt:variant>
      <vt:variant>
        <vt:i4>2490490</vt:i4>
      </vt:variant>
      <vt:variant>
        <vt:i4>6</vt:i4>
      </vt:variant>
      <vt:variant>
        <vt:i4>0</vt:i4>
      </vt:variant>
      <vt:variant>
        <vt:i4>5</vt:i4>
      </vt:variant>
      <vt:variant>
        <vt:lpwstr>https://gsacom.com/paper/mid-band-spectrum-member-report-october-2021/</vt:lpwstr>
      </vt:variant>
      <vt:variant>
        <vt:lpwstr/>
      </vt:variant>
      <vt:variant>
        <vt:i4>2752626</vt:i4>
      </vt:variant>
      <vt:variant>
        <vt:i4>3</vt:i4>
      </vt:variant>
      <vt:variant>
        <vt:i4>0</vt:i4>
      </vt:variant>
      <vt:variant>
        <vt:i4>5</vt:i4>
      </vt:variant>
      <vt:variant>
        <vt:lpwstr>https://www.acma.gov.au/publications/2021-08/plan/acmas-corporate-plan-2021-22</vt:lpwstr>
      </vt:variant>
      <vt:variant>
        <vt:lpwstr/>
      </vt:variant>
      <vt:variant>
        <vt:i4>1835008</vt:i4>
      </vt:variant>
      <vt:variant>
        <vt:i4>0</vt:i4>
      </vt:variant>
      <vt:variant>
        <vt:i4>0</vt:i4>
      </vt:variant>
      <vt:variant>
        <vt:i4>5</vt:i4>
      </vt:variant>
      <vt:variant>
        <vt:lpwstr>https://www.acma.gov.au/publications/2021-09/plan/five-year-spectrum-outlook-2021-26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2022-03-31T01:04:00Z</dcterms:created>
  <dcterms:modified xsi:type="dcterms:W3CDTF">2022-04-01T05:18:00Z</dcterms:modified>
  <cp:category/>
</cp:coreProperties>
</file>