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29162B" w14:textId="17874A27" w:rsidR="00F06E14" w:rsidRPr="00E162C4" w:rsidRDefault="2685142F" w:rsidP="00A51D1A">
      <w:pPr>
        <w:pStyle w:val="Reporttitle"/>
      </w:pPr>
      <w:bookmarkStart w:id="0" w:name="_Hlk96942576"/>
      <w:r>
        <w:t>Proposed spectrum re-allocation declaration for the 3.4 GHz and 3.7 GHz bands</w:t>
      </w:r>
      <w:bookmarkEnd w:id="0"/>
    </w:p>
    <w:p w14:paraId="3844778B" w14:textId="6F2C5AD7" w:rsidR="00F06E14" w:rsidRPr="00E162C4" w:rsidRDefault="001D73C4" w:rsidP="00F06E14">
      <w:pPr>
        <w:pStyle w:val="Reportsubtitle"/>
      </w:pPr>
      <w:r>
        <w:t>Outcomes paper</w:t>
      </w:r>
    </w:p>
    <w:p w14:paraId="35AAD628" w14:textId="14BA430D" w:rsidR="00C97736" w:rsidRPr="00E162C4" w:rsidRDefault="001D73C4" w:rsidP="00EC2B68">
      <w:pPr>
        <w:pStyle w:val="Reportdate"/>
        <w:spacing w:after="720"/>
        <w:rPr>
          <w:rFonts w:cs="Arial"/>
        </w:rPr>
        <w:sectPr w:rsidR="00C97736" w:rsidRPr="00E162C4" w:rsidSect="0021426C">
          <w:headerReference w:type="default" r:id="rId8"/>
          <w:footerReference w:type="default" r:id="rId9"/>
          <w:headerReference w:type="first" r:id="rId10"/>
          <w:pgSz w:w="11906" w:h="16838" w:code="9"/>
          <w:pgMar w:top="3924" w:right="992" w:bottom="1440" w:left="1134" w:header="709" w:footer="454" w:gutter="0"/>
          <w:cols w:space="708"/>
          <w:docGrid w:linePitch="360"/>
        </w:sectPr>
      </w:pPr>
      <w:r>
        <w:t>July 2022</w:t>
      </w:r>
    </w:p>
    <w:p w14:paraId="75E67B05" w14:textId="77777777" w:rsidR="0005011A" w:rsidRPr="00E162C4" w:rsidRDefault="0005011A" w:rsidP="00FC07B9">
      <w:pPr>
        <w:pStyle w:val="ACMACorporateAddressHeader"/>
      </w:pPr>
      <w:r w:rsidRPr="00E162C4">
        <w:lastRenderedPageBreak/>
        <w:t>Canberra</w:t>
      </w:r>
    </w:p>
    <w:p w14:paraId="260A5B64" w14:textId="77777777" w:rsidR="0005011A" w:rsidRPr="00E162C4" w:rsidRDefault="0005011A" w:rsidP="00FC07B9">
      <w:pPr>
        <w:pStyle w:val="ACMACorporateAddresses"/>
      </w:pPr>
      <w:r w:rsidRPr="00E162C4">
        <w:t xml:space="preserve">Red Building </w:t>
      </w:r>
      <w:r w:rsidRPr="00E162C4">
        <w:br/>
        <w:t>Benjamin Offices</w:t>
      </w:r>
      <w:r w:rsidRPr="00E162C4">
        <w:br/>
        <w:t xml:space="preserve">Chan Street </w:t>
      </w:r>
      <w:r w:rsidRPr="00E162C4">
        <w:br/>
        <w:t>Belconnen ACT</w:t>
      </w:r>
    </w:p>
    <w:p w14:paraId="7660C672" w14:textId="77777777" w:rsidR="0005011A" w:rsidRPr="00E162C4" w:rsidRDefault="0005011A" w:rsidP="00FC07B9">
      <w:pPr>
        <w:pStyle w:val="ACMACorporateAddresses"/>
      </w:pPr>
      <w:r w:rsidRPr="00E162C4">
        <w:t>PO Box 78</w:t>
      </w:r>
      <w:r w:rsidRPr="00E162C4">
        <w:br/>
        <w:t>Belconnen ACT 2616</w:t>
      </w:r>
    </w:p>
    <w:p w14:paraId="79A9E950" w14:textId="77777777" w:rsidR="00FE1823" w:rsidRPr="00E162C4" w:rsidRDefault="0005011A" w:rsidP="00FC07B9">
      <w:pPr>
        <w:pStyle w:val="ACMACorporateAddresses"/>
      </w:pPr>
      <w:r w:rsidRPr="00E162C4">
        <w:t>T</w:t>
      </w:r>
      <w:r w:rsidR="00537604" w:rsidRPr="00E162C4">
        <w:tab/>
      </w:r>
      <w:r w:rsidRPr="00E162C4">
        <w:t>+61 2 6219 5555</w:t>
      </w:r>
      <w:r w:rsidRPr="00E162C4">
        <w:br/>
        <w:t>F</w:t>
      </w:r>
      <w:r w:rsidR="00537604" w:rsidRPr="00E162C4">
        <w:tab/>
      </w:r>
      <w:r w:rsidRPr="00E162C4">
        <w:t>+61 2 6219 5353</w:t>
      </w:r>
    </w:p>
    <w:p w14:paraId="0668A378" w14:textId="77777777" w:rsidR="0005011A" w:rsidRPr="00E162C4" w:rsidRDefault="0005011A" w:rsidP="00FC07B9">
      <w:pPr>
        <w:pStyle w:val="ACMACorporateAddressHeader"/>
      </w:pPr>
      <w:r w:rsidRPr="00E162C4">
        <w:t>Melbourne</w:t>
      </w:r>
    </w:p>
    <w:p w14:paraId="7753DA61" w14:textId="77777777" w:rsidR="0005011A" w:rsidRPr="00E162C4" w:rsidRDefault="0005011A" w:rsidP="00FC07B9">
      <w:pPr>
        <w:pStyle w:val="ACMACorporateAddresses"/>
      </w:pPr>
      <w:r w:rsidRPr="00E162C4">
        <w:t xml:space="preserve">Level 32 </w:t>
      </w:r>
      <w:r w:rsidRPr="00E162C4">
        <w:br/>
        <w:t>Melbourne Central Tower</w:t>
      </w:r>
      <w:r w:rsidRPr="00E162C4">
        <w:br/>
        <w:t xml:space="preserve">360 Elizabeth Street </w:t>
      </w:r>
      <w:r w:rsidR="008C10F4" w:rsidRPr="00E162C4">
        <w:br/>
      </w:r>
      <w:r w:rsidRPr="00E162C4">
        <w:t>Melbourne VIC</w:t>
      </w:r>
    </w:p>
    <w:p w14:paraId="66EDA662" w14:textId="77777777" w:rsidR="0005011A" w:rsidRPr="00E162C4" w:rsidRDefault="0005011A" w:rsidP="00FC07B9">
      <w:pPr>
        <w:pStyle w:val="ACMACorporateAddresses"/>
      </w:pPr>
      <w:r w:rsidRPr="00E162C4">
        <w:t>PO Box 13112</w:t>
      </w:r>
      <w:r w:rsidRPr="00E162C4">
        <w:br/>
        <w:t xml:space="preserve">Law Courts </w:t>
      </w:r>
      <w:r w:rsidRPr="00E162C4">
        <w:br/>
        <w:t>Melbourne VIC 8010</w:t>
      </w:r>
    </w:p>
    <w:p w14:paraId="4614F437" w14:textId="77777777" w:rsidR="0005011A" w:rsidRPr="00E162C4" w:rsidRDefault="0005011A" w:rsidP="00FC07B9">
      <w:pPr>
        <w:pStyle w:val="ACMACorporateAddresses"/>
      </w:pPr>
      <w:r w:rsidRPr="00E162C4">
        <w:t>T</w:t>
      </w:r>
      <w:r w:rsidR="00140318" w:rsidRPr="00E162C4">
        <w:tab/>
      </w:r>
      <w:r w:rsidRPr="00E162C4">
        <w:t>+61 3 9963 6800</w:t>
      </w:r>
      <w:r w:rsidRPr="00E162C4">
        <w:br/>
        <w:t>F</w:t>
      </w:r>
      <w:r w:rsidR="00140318" w:rsidRPr="00E162C4">
        <w:tab/>
      </w:r>
      <w:r w:rsidRPr="00E162C4">
        <w:t>+61 3 9963 6899</w:t>
      </w:r>
    </w:p>
    <w:p w14:paraId="2CE9AA10" w14:textId="77777777" w:rsidR="0005011A" w:rsidRPr="00E162C4" w:rsidRDefault="0005011A" w:rsidP="00FC07B9">
      <w:pPr>
        <w:pStyle w:val="ACMACorporateAddressHeader"/>
      </w:pPr>
      <w:r w:rsidRPr="00E162C4">
        <w:t>Sydney</w:t>
      </w:r>
    </w:p>
    <w:p w14:paraId="1B2DF79D" w14:textId="77777777" w:rsidR="0005011A" w:rsidRPr="00E162C4" w:rsidRDefault="0005011A" w:rsidP="00FC07B9">
      <w:pPr>
        <w:pStyle w:val="ACMACorporateAddresses"/>
      </w:pPr>
      <w:r w:rsidRPr="00E162C4">
        <w:t xml:space="preserve">Level 5 </w:t>
      </w:r>
      <w:r w:rsidRPr="00E162C4">
        <w:br/>
        <w:t>The Bay Centre</w:t>
      </w:r>
      <w:r w:rsidRPr="00E162C4">
        <w:br/>
        <w:t xml:space="preserve">65 Pirrama Road </w:t>
      </w:r>
      <w:r w:rsidRPr="00E162C4">
        <w:br/>
        <w:t>Pyrmont NSW</w:t>
      </w:r>
    </w:p>
    <w:p w14:paraId="4D8106AB" w14:textId="77777777" w:rsidR="0005011A" w:rsidRPr="00E162C4" w:rsidRDefault="0005011A" w:rsidP="00FC07B9">
      <w:pPr>
        <w:pStyle w:val="ACMACorporateAddresses"/>
      </w:pPr>
      <w:r w:rsidRPr="00E162C4">
        <w:t>PO Box Q500</w:t>
      </w:r>
      <w:r w:rsidRPr="00E162C4">
        <w:br/>
        <w:t xml:space="preserve">Queen Victoria Building </w:t>
      </w:r>
      <w:r w:rsidRPr="00E162C4">
        <w:br/>
        <w:t>NSW 1230</w:t>
      </w:r>
    </w:p>
    <w:p w14:paraId="69E9B6A5" w14:textId="77777777" w:rsidR="0005011A" w:rsidRPr="00E162C4" w:rsidRDefault="0005011A" w:rsidP="00FC07B9">
      <w:pPr>
        <w:pStyle w:val="ACMACorporateAddresses"/>
      </w:pPr>
      <w:r w:rsidRPr="00E162C4">
        <w:t>T</w:t>
      </w:r>
      <w:r w:rsidR="00140318" w:rsidRPr="00E162C4">
        <w:tab/>
      </w:r>
      <w:r w:rsidRPr="00E162C4">
        <w:t>+61 2 9334 7700</w:t>
      </w:r>
      <w:r w:rsidR="00140318" w:rsidRPr="00E162C4">
        <w:t xml:space="preserve"> or</w:t>
      </w:r>
      <w:r w:rsidRPr="00E162C4">
        <w:t xml:space="preserve"> 1800 226 667</w:t>
      </w:r>
      <w:r w:rsidRPr="00E162C4">
        <w:br/>
        <w:t>F</w:t>
      </w:r>
      <w:r w:rsidR="00140318" w:rsidRPr="00E162C4">
        <w:tab/>
      </w:r>
      <w:r w:rsidRPr="00E162C4">
        <w:t>+61 2 9334 7799</w:t>
      </w:r>
    </w:p>
    <w:p w14:paraId="4610C0B1" w14:textId="77777777" w:rsidR="00140318" w:rsidRPr="00E162C4" w:rsidRDefault="00140318" w:rsidP="00FC07B9">
      <w:pPr>
        <w:pStyle w:val="ACMACopyrightHeader"/>
      </w:pPr>
      <w:r w:rsidRPr="00E162C4">
        <w:t>Copyright notice</w:t>
      </w:r>
    </w:p>
    <w:p w14:paraId="0BBD1D99" w14:textId="77777777" w:rsidR="00140318" w:rsidRPr="00E162C4" w:rsidRDefault="00623FF9" w:rsidP="00623FF9">
      <w:pPr>
        <w:pStyle w:val="ACMACClogo"/>
      </w:pPr>
      <w:r w:rsidRPr="00E162C4">
        <w:rPr>
          <w:noProof/>
        </w:rPr>
        <w:drawing>
          <wp:inline distT="0" distB="0" distL="0" distR="0" wp14:anchorId="3A5E126B" wp14:editId="45F55FD3">
            <wp:extent cx="838200" cy="295275"/>
            <wp:effectExtent l="0" t="0" r="0" b="0"/>
            <wp:docPr id="1" name="Picture 1" title="Creative Commons logo">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y">
                      <a:hlinkClick r:id="rId11"/>
                    </pic:cNvPr>
                    <pic:cNvPicPr>
                      <a:picLocks noChangeAspect="1" noChangeArrowheads="1"/>
                    </pic:cNvPicPr>
                  </pic:nvPicPr>
                  <pic:blipFill>
                    <a:blip r:embed="rId12" cstate="print"/>
                    <a:srcRect/>
                    <a:stretch>
                      <a:fillRect/>
                    </a:stretch>
                  </pic:blipFill>
                  <pic:spPr bwMode="auto">
                    <a:xfrm>
                      <a:off x="0" y="0"/>
                      <a:ext cx="838200" cy="295275"/>
                    </a:xfrm>
                    <a:prstGeom prst="rect">
                      <a:avLst/>
                    </a:prstGeom>
                    <a:noFill/>
                  </pic:spPr>
                </pic:pic>
              </a:graphicData>
            </a:graphic>
          </wp:inline>
        </w:drawing>
      </w:r>
    </w:p>
    <w:p w14:paraId="71251B25" w14:textId="14EB86C4" w:rsidR="00AA2DE5" w:rsidRPr="00E162C4" w:rsidRDefault="00683329" w:rsidP="00AA2DE5">
      <w:pPr>
        <w:pStyle w:val="ACMACorporateAddresses"/>
        <w:rPr>
          <w:rStyle w:val="Hyperlink"/>
        </w:rPr>
      </w:pPr>
      <w:hyperlink r:id="rId13" w:history="1">
        <w:r w:rsidR="00AA2DE5" w:rsidRPr="00E162C4">
          <w:rPr>
            <w:rStyle w:val="Hyperlink"/>
          </w:rPr>
          <w:t>https://creativecommons.org/licenses/by/4.0/</w:t>
        </w:r>
      </w:hyperlink>
    </w:p>
    <w:p w14:paraId="378F4CDC" w14:textId="77777777" w:rsidR="00AA2DE5" w:rsidRPr="00E162C4" w:rsidRDefault="00AA2DE5" w:rsidP="00AA2DE5">
      <w:pPr>
        <w:pStyle w:val="ACMACorporateAddresses"/>
      </w:pPr>
      <w:r w:rsidRPr="00E162C4">
        <w:t xml:space="preserve">With the exception of coats of arms, logos, emblems, images, other third-party material or devices protected by a trademark, this content is made available under the terms of the Creative Commons Attribution 4.0 International (CC BY 4.0) licence. </w:t>
      </w:r>
    </w:p>
    <w:p w14:paraId="0F84557D" w14:textId="77777777" w:rsidR="00AA2DE5" w:rsidRPr="00E162C4" w:rsidRDefault="00AA2DE5" w:rsidP="00AA2DE5">
      <w:pPr>
        <w:pStyle w:val="ACMACorporateAddresses"/>
      </w:pPr>
      <w:r w:rsidRPr="00E162C4">
        <w:t>We request attribution as © Commonwealth of Australia (Australian Communications and Media Authority) 20</w:t>
      </w:r>
      <w:r w:rsidR="00C41F21" w:rsidRPr="00E162C4">
        <w:t>2</w:t>
      </w:r>
      <w:r w:rsidR="00E162C4">
        <w:t>2</w:t>
      </w:r>
      <w:r w:rsidRPr="00E162C4">
        <w:t>.</w:t>
      </w:r>
    </w:p>
    <w:p w14:paraId="62D04D69" w14:textId="77777777" w:rsidR="00AA2DE5" w:rsidRPr="00E162C4" w:rsidRDefault="00AA2DE5" w:rsidP="00AA2DE5">
      <w:pPr>
        <w:pStyle w:val="ACMACorporateAddresses"/>
      </w:pPr>
      <w:r w:rsidRPr="00E162C4">
        <w:t>All other rights are reserved.</w:t>
      </w:r>
    </w:p>
    <w:p w14:paraId="6C36AD67" w14:textId="77777777" w:rsidR="00AA2DE5" w:rsidRPr="00E162C4" w:rsidRDefault="00AA2DE5" w:rsidP="00AA2DE5">
      <w:pPr>
        <w:pStyle w:val="ACMACorporateAddresses"/>
      </w:pPr>
      <w:r w:rsidRPr="00E162C4">
        <w:t xml:space="preserve">The Australian Communications and Media Authority has undertaken reasonable enquiries to identify material owned by third parties and secure permission for its reproduction. Permission may need to be obtained from third parties to re-use their material. </w:t>
      </w:r>
    </w:p>
    <w:p w14:paraId="08A736B7" w14:textId="77777777" w:rsidR="00AA2DE5" w:rsidRPr="00E162C4" w:rsidRDefault="00AA2DE5" w:rsidP="00AA2DE5">
      <w:pPr>
        <w:pStyle w:val="ACMACorporateAddresses"/>
      </w:pPr>
      <w:r w:rsidRPr="00E162C4">
        <w:t>Written enquiries may be sent to:</w:t>
      </w:r>
    </w:p>
    <w:p w14:paraId="11EACC58" w14:textId="2A9DC22E" w:rsidR="00AA2DE5" w:rsidRPr="00E162C4" w:rsidRDefault="00AA2DE5" w:rsidP="00AA2DE5">
      <w:pPr>
        <w:pStyle w:val="ACMACorporateAddresses"/>
        <w:rPr>
          <w:rStyle w:val="Hyperlink"/>
        </w:rPr>
      </w:pPr>
      <w:r w:rsidRPr="00E162C4">
        <w:t xml:space="preserve">Manager, Editorial </w:t>
      </w:r>
      <w:r w:rsidR="000245E5" w:rsidRPr="00E162C4">
        <w:t>Services</w:t>
      </w:r>
      <w:r w:rsidRPr="00E162C4">
        <w:br/>
        <w:t>PO Box 13112</w:t>
      </w:r>
      <w:r w:rsidRPr="00E162C4">
        <w:br/>
        <w:t>Law Courts</w:t>
      </w:r>
      <w:r w:rsidRPr="00E162C4">
        <w:br/>
        <w:t>Melbourne VIC 8010</w:t>
      </w:r>
      <w:r w:rsidRPr="00E162C4">
        <w:br/>
        <w:t xml:space="preserve">Email: </w:t>
      </w:r>
      <w:hyperlink r:id="rId14" w:history="1">
        <w:r w:rsidRPr="00E162C4">
          <w:rPr>
            <w:rStyle w:val="Hyperlink"/>
          </w:rPr>
          <w:t>info@acma.gov.au</w:t>
        </w:r>
      </w:hyperlink>
    </w:p>
    <w:p w14:paraId="77AE18D8" w14:textId="77777777" w:rsidR="00D16FE3" w:rsidRPr="00E162C4" w:rsidRDefault="00D16FE3" w:rsidP="00D16FE3">
      <w:pPr>
        <w:pStyle w:val="ACMACorporateAddresses"/>
        <w:rPr>
          <w:rStyle w:val="Hyperlink"/>
        </w:rPr>
      </w:pPr>
    </w:p>
    <w:p w14:paraId="6CFBFE3E" w14:textId="77777777" w:rsidR="00D16FE3" w:rsidRPr="00E162C4" w:rsidRDefault="00D16FE3" w:rsidP="00D16FE3">
      <w:pPr>
        <w:pStyle w:val="ACMACorporateAddresses"/>
        <w:sectPr w:rsidR="00D16FE3" w:rsidRPr="00E162C4">
          <w:headerReference w:type="even" r:id="rId15"/>
          <w:headerReference w:type="default" r:id="rId16"/>
          <w:footerReference w:type="even" r:id="rId17"/>
          <w:footerReference w:type="default" r:id="rId18"/>
          <w:pgSz w:w="11906" w:h="16838" w:code="9"/>
          <w:pgMar w:top="3924" w:right="1797" w:bottom="697" w:left="1134" w:header="709" w:footer="119" w:gutter="0"/>
          <w:cols w:space="708"/>
          <w:docGrid w:linePitch="360"/>
        </w:sectPr>
      </w:pPr>
    </w:p>
    <w:p w14:paraId="4542A303" w14:textId="3A6D11E0" w:rsidR="00997FA2" w:rsidRDefault="006A3ECF">
      <w:pPr>
        <w:pStyle w:val="TOC1"/>
        <w:rPr>
          <w:rFonts w:asciiTheme="minorHAnsi" w:eastAsiaTheme="minorEastAsia" w:hAnsiTheme="minorHAnsi" w:cstheme="minorBidi"/>
          <w:b w:val="0"/>
          <w:spacing w:val="0"/>
          <w:sz w:val="22"/>
          <w:szCs w:val="22"/>
        </w:rPr>
      </w:pPr>
      <w:r w:rsidRPr="00E162C4">
        <w:rPr>
          <w:rFonts w:cs="Arial"/>
        </w:rPr>
        <w:lastRenderedPageBreak/>
        <w:fldChar w:fldCharType="begin"/>
      </w:r>
      <w:r w:rsidRPr="00E162C4">
        <w:rPr>
          <w:rFonts w:cs="Arial"/>
        </w:rPr>
        <w:instrText xml:space="preserve"> TOC \o "1-2" \h \z \t "Exec summary heading,1" </w:instrText>
      </w:r>
      <w:r w:rsidRPr="00E162C4">
        <w:rPr>
          <w:rFonts w:cs="Arial"/>
        </w:rPr>
        <w:fldChar w:fldCharType="separate"/>
      </w:r>
      <w:hyperlink w:anchor="_Toc108697858" w:history="1">
        <w:r w:rsidR="00997FA2" w:rsidRPr="00A61EB8">
          <w:rPr>
            <w:rStyle w:val="Hyperlink"/>
          </w:rPr>
          <w:t>Executive summary</w:t>
        </w:r>
        <w:r w:rsidR="00997FA2">
          <w:rPr>
            <w:webHidden/>
          </w:rPr>
          <w:tab/>
        </w:r>
        <w:r w:rsidR="00997FA2">
          <w:rPr>
            <w:webHidden/>
          </w:rPr>
          <w:fldChar w:fldCharType="begin"/>
        </w:r>
        <w:r w:rsidR="00997FA2">
          <w:rPr>
            <w:webHidden/>
          </w:rPr>
          <w:instrText xml:space="preserve"> PAGEREF _Toc108697858 \h </w:instrText>
        </w:r>
        <w:r w:rsidR="00997FA2">
          <w:rPr>
            <w:webHidden/>
          </w:rPr>
        </w:r>
        <w:r w:rsidR="00997FA2">
          <w:rPr>
            <w:webHidden/>
          </w:rPr>
          <w:fldChar w:fldCharType="separate"/>
        </w:r>
        <w:r w:rsidR="00683329">
          <w:rPr>
            <w:webHidden/>
          </w:rPr>
          <w:t>1</w:t>
        </w:r>
        <w:r w:rsidR="00997FA2">
          <w:rPr>
            <w:webHidden/>
          </w:rPr>
          <w:fldChar w:fldCharType="end"/>
        </w:r>
      </w:hyperlink>
    </w:p>
    <w:p w14:paraId="287471A6" w14:textId="468B84B1" w:rsidR="00997FA2" w:rsidRDefault="00683329">
      <w:pPr>
        <w:pStyle w:val="TOC1"/>
        <w:rPr>
          <w:rFonts w:asciiTheme="minorHAnsi" w:eastAsiaTheme="minorEastAsia" w:hAnsiTheme="minorHAnsi" w:cstheme="minorBidi"/>
          <w:b w:val="0"/>
          <w:spacing w:val="0"/>
          <w:sz w:val="22"/>
          <w:szCs w:val="22"/>
        </w:rPr>
      </w:pPr>
      <w:hyperlink w:anchor="_Toc108697859" w:history="1">
        <w:r w:rsidR="00997FA2" w:rsidRPr="00A61EB8">
          <w:rPr>
            <w:rStyle w:val="Hyperlink"/>
          </w:rPr>
          <w:t>Introduction</w:t>
        </w:r>
        <w:r w:rsidR="00997FA2">
          <w:rPr>
            <w:webHidden/>
          </w:rPr>
          <w:tab/>
        </w:r>
        <w:r w:rsidR="00997FA2">
          <w:rPr>
            <w:webHidden/>
          </w:rPr>
          <w:fldChar w:fldCharType="begin"/>
        </w:r>
        <w:r w:rsidR="00997FA2">
          <w:rPr>
            <w:webHidden/>
          </w:rPr>
          <w:instrText xml:space="preserve"> PAGEREF _Toc108697859 \h </w:instrText>
        </w:r>
        <w:r w:rsidR="00997FA2">
          <w:rPr>
            <w:webHidden/>
          </w:rPr>
        </w:r>
        <w:r w:rsidR="00997FA2">
          <w:rPr>
            <w:webHidden/>
          </w:rPr>
          <w:fldChar w:fldCharType="separate"/>
        </w:r>
        <w:r>
          <w:rPr>
            <w:webHidden/>
          </w:rPr>
          <w:t>3</w:t>
        </w:r>
        <w:r w:rsidR="00997FA2">
          <w:rPr>
            <w:webHidden/>
          </w:rPr>
          <w:fldChar w:fldCharType="end"/>
        </w:r>
      </w:hyperlink>
    </w:p>
    <w:p w14:paraId="1638B2B1" w14:textId="0757B83D" w:rsidR="00997FA2" w:rsidRDefault="00683329">
      <w:pPr>
        <w:pStyle w:val="TOC2"/>
        <w:rPr>
          <w:rFonts w:asciiTheme="minorHAnsi" w:eastAsiaTheme="minorEastAsia" w:hAnsiTheme="minorHAnsi" w:cstheme="minorBidi"/>
          <w:spacing w:val="0"/>
          <w:sz w:val="22"/>
          <w:szCs w:val="22"/>
        </w:rPr>
      </w:pPr>
      <w:hyperlink w:anchor="_Toc108697860" w:history="1">
        <w:r w:rsidR="00997FA2" w:rsidRPr="00A61EB8">
          <w:rPr>
            <w:rStyle w:val="Hyperlink"/>
          </w:rPr>
          <w:t>Legislative context and policy environment</w:t>
        </w:r>
        <w:r w:rsidR="00997FA2">
          <w:rPr>
            <w:webHidden/>
          </w:rPr>
          <w:tab/>
        </w:r>
        <w:r w:rsidR="00997FA2">
          <w:rPr>
            <w:webHidden/>
          </w:rPr>
          <w:fldChar w:fldCharType="begin"/>
        </w:r>
        <w:r w:rsidR="00997FA2">
          <w:rPr>
            <w:webHidden/>
          </w:rPr>
          <w:instrText xml:space="preserve"> PAGEREF _Toc108697860 \h </w:instrText>
        </w:r>
        <w:r w:rsidR="00997FA2">
          <w:rPr>
            <w:webHidden/>
          </w:rPr>
        </w:r>
        <w:r w:rsidR="00997FA2">
          <w:rPr>
            <w:webHidden/>
          </w:rPr>
          <w:fldChar w:fldCharType="separate"/>
        </w:r>
        <w:r>
          <w:rPr>
            <w:webHidden/>
          </w:rPr>
          <w:t>3</w:t>
        </w:r>
        <w:r w:rsidR="00997FA2">
          <w:rPr>
            <w:webHidden/>
          </w:rPr>
          <w:fldChar w:fldCharType="end"/>
        </w:r>
      </w:hyperlink>
    </w:p>
    <w:p w14:paraId="182BEB6C" w14:textId="5FABB024" w:rsidR="00997FA2" w:rsidRDefault="00683329">
      <w:pPr>
        <w:pStyle w:val="TOC2"/>
        <w:rPr>
          <w:rFonts w:asciiTheme="minorHAnsi" w:eastAsiaTheme="minorEastAsia" w:hAnsiTheme="minorHAnsi" w:cstheme="minorBidi"/>
          <w:spacing w:val="0"/>
          <w:sz w:val="22"/>
          <w:szCs w:val="22"/>
        </w:rPr>
      </w:pPr>
      <w:hyperlink w:anchor="_Toc108697861" w:history="1">
        <w:r w:rsidR="00997FA2" w:rsidRPr="00A61EB8">
          <w:rPr>
            <w:rStyle w:val="Hyperlink"/>
          </w:rPr>
          <w:t>Re</w:t>
        </w:r>
        <w:r w:rsidR="00997FA2" w:rsidRPr="00A61EB8">
          <w:rPr>
            <w:rStyle w:val="Hyperlink"/>
          </w:rPr>
          <w:noBreakHyphen/>
          <w:t>allocation process</w:t>
        </w:r>
        <w:r w:rsidR="00997FA2">
          <w:rPr>
            <w:webHidden/>
          </w:rPr>
          <w:tab/>
        </w:r>
        <w:r w:rsidR="00997FA2">
          <w:rPr>
            <w:webHidden/>
          </w:rPr>
          <w:fldChar w:fldCharType="begin"/>
        </w:r>
        <w:r w:rsidR="00997FA2">
          <w:rPr>
            <w:webHidden/>
          </w:rPr>
          <w:instrText xml:space="preserve"> PAGEREF _Toc108697861 \h </w:instrText>
        </w:r>
        <w:r w:rsidR="00997FA2">
          <w:rPr>
            <w:webHidden/>
          </w:rPr>
        </w:r>
        <w:r w:rsidR="00997FA2">
          <w:rPr>
            <w:webHidden/>
          </w:rPr>
          <w:fldChar w:fldCharType="separate"/>
        </w:r>
        <w:r>
          <w:rPr>
            <w:webHidden/>
          </w:rPr>
          <w:t>4</w:t>
        </w:r>
        <w:r w:rsidR="00997FA2">
          <w:rPr>
            <w:webHidden/>
          </w:rPr>
          <w:fldChar w:fldCharType="end"/>
        </w:r>
      </w:hyperlink>
    </w:p>
    <w:p w14:paraId="67F34DC5" w14:textId="46B597D6" w:rsidR="00997FA2" w:rsidRDefault="00683329">
      <w:pPr>
        <w:pStyle w:val="TOC1"/>
        <w:rPr>
          <w:rFonts w:asciiTheme="minorHAnsi" w:eastAsiaTheme="minorEastAsia" w:hAnsiTheme="minorHAnsi" w:cstheme="minorBidi"/>
          <w:b w:val="0"/>
          <w:spacing w:val="0"/>
          <w:sz w:val="22"/>
          <w:szCs w:val="22"/>
        </w:rPr>
      </w:pPr>
      <w:hyperlink w:anchor="_Toc108697862" w:history="1">
        <w:r w:rsidR="00997FA2" w:rsidRPr="00A61EB8">
          <w:rPr>
            <w:rStyle w:val="Hyperlink"/>
          </w:rPr>
          <w:t>Summary of submissions</w:t>
        </w:r>
        <w:r w:rsidR="00997FA2">
          <w:rPr>
            <w:webHidden/>
          </w:rPr>
          <w:tab/>
        </w:r>
        <w:r w:rsidR="00997FA2">
          <w:rPr>
            <w:webHidden/>
          </w:rPr>
          <w:fldChar w:fldCharType="begin"/>
        </w:r>
        <w:r w:rsidR="00997FA2">
          <w:rPr>
            <w:webHidden/>
          </w:rPr>
          <w:instrText xml:space="preserve"> PAGEREF _Toc108697862 \h </w:instrText>
        </w:r>
        <w:r w:rsidR="00997FA2">
          <w:rPr>
            <w:webHidden/>
          </w:rPr>
        </w:r>
        <w:r w:rsidR="00997FA2">
          <w:rPr>
            <w:webHidden/>
          </w:rPr>
          <w:fldChar w:fldCharType="separate"/>
        </w:r>
        <w:r>
          <w:rPr>
            <w:webHidden/>
          </w:rPr>
          <w:t>5</w:t>
        </w:r>
        <w:r w:rsidR="00997FA2">
          <w:rPr>
            <w:webHidden/>
          </w:rPr>
          <w:fldChar w:fldCharType="end"/>
        </w:r>
      </w:hyperlink>
    </w:p>
    <w:p w14:paraId="7BFB7FF7" w14:textId="672D8EFF" w:rsidR="00997FA2" w:rsidRDefault="00683329">
      <w:pPr>
        <w:pStyle w:val="TOC2"/>
        <w:rPr>
          <w:rFonts w:asciiTheme="minorHAnsi" w:eastAsiaTheme="minorEastAsia" w:hAnsiTheme="minorHAnsi" w:cstheme="minorBidi"/>
          <w:spacing w:val="0"/>
          <w:sz w:val="22"/>
          <w:szCs w:val="22"/>
        </w:rPr>
      </w:pPr>
      <w:hyperlink w:anchor="_Toc108697863" w:history="1">
        <w:r w:rsidR="00997FA2" w:rsidRPr="00A61EB8">
          <w:rPr>
            <w:rStyle w:val="Hyperlink"/>
          </w:rPr>
          <w:t>Responses to issues for comment</w:t>
        </w:r>
        <w:r w:rsidR="00997FA2">
          <w:rPr>
            <w:webHidden/>
          </w:rPr>
          <w:tab/>
        </w:r>
        <w:r w:rsidR="00997FA2">
          <w:rPr>
            <w:webHidden/>
          </w:rPr>
          <w:fldChar w:fldCharType="begin"/>
        </w:r>
        <w:r w:rsidR="00997FA2">
          <w:rPr>
            <w:webHidden/>
          </w:rPr>
          <w:instrText xml:space="preserve"> PAGEREF _Toc108697863 \h </w:instrText>
        </w:r>
        <w:r w:rsidR="00997FA2">
          <w:rPr>
            <w:webHidden/>
          </w:rPr>
        </w:r>
        <w:r w:rsidR="00997FA2">
          <w:rPr>
            <w:webHidden/>
          </w:rPr>
          <w:fldChar w:fldCharType="separate"/>
        </w:r>
        <w:r>
          <w:rPr>
            <w:webHidden/>
          </w:rPr>
          <w:t>5</w:t>
        </w:r>
        <w:r w:rsidR="00997FA2">
          <w:rPr>
            <w:webHidden/>
          </w:rPr>
          <w:fldChar w:fldCharType="end"/>
        </w:r>
      </w:hyperlink>
    </w:p>
    <w:p w14:paraId="7A691B2A" w14:textId="784E3654" w:rsidR="00997FA2" w:rsidRDefault="00683329">
      <w:pPr>
        <w:pStyle w:val="TOC1"/>
        <w:rPr>
          <w:rFonts w:asciiTheme="minorHAnsi" w:eastAsiaTheme="minorEastAsia" w:hAnsiTheme="minorHAnsi" w:cstheme="minorBidi"/>
          <w:b w:val="0"/>
          <w:spacing w:val="0"/>
          <w:sz w:val="22"/>
          <w:szCs w:val="22"/>
        </w:rPr>
      </w:pPr>
      <w:hyperlink w:anchor="_Toc108697864" w:history="1">
        <w:r w:rsidR="00997FA2" w:rsidRPr="00A61EB8">
          <w:rPr>
            <w:rStyle w:val="Hyperlink"/>
          </w:rPr>
          <w:t>Consultation outcomes</w:t>
        </w:r>
        <w:r w:rsidR="00997FA2">
          <w:rPr>
            <w:webHidden/>
          </w:rPr>
          <w:tab/>
        </w:r>
        <w:r w:rsidR="00997FA2">
          <w:rPr>
            <w:webHidden/>
          </w:rPr>
          <w:fldChar w:fldCharType="begin"/>
        </w:r>
        <w:r w:rsidR="00997FA2">
          <w:rPr>
            <w:webHidden/>
          </w:rPr>
          <w:instrText xml:space="preserve"> PAGEREF _Toc108697864 \h </w:instrText>
        </w:r>
        <w:r w:rsidR="00997FA2">
          <w:rPr>
            <w:webHidden/>
          </w:rPr>
        </w:r>
        <w:r w:rsidR="00997FA2">
          <w:rPr>
            <w:webHidden/>
          </w:rPr>
          <w:fldChar w:fldCharType="separate"/>
        </w:r>
        <w:r>
          <w:rPr>
            <w:webHidden/>
          </w:rPr>
          <w:t>11</w:t>
        </w:r>
        <w:r w:rsidR="00997FA2">
          <w:rPr>
            <w:webHidden/>
          </w:rPr>
          <w:fldChar w:fldCharType="end"/>
        </w:r>
      </w:hyperlink>
    </w:p>
    <w:p w14:paraId="2D4424F4" w14:textId="62EE7C63" w:rsidR="00997FA2" w:rsidRDefault="00683329">
      <w:pPr>
        <w:pStyle w:val="TOC2"/>
        <w:rPr>
          <w:rFonts w:asciiTheme="minorHAnsi" w:eastAsiaTheme="minorEastAsia" w:hAnsiTheme="minorHAnsi" w:cstheme="minorBidi"/>
          <w:spacing w:val="0"/>
          <w:sz w:val="22"/>
          <w:szCs w:val="22"/>
        </w:rPr>
      </w:pPr>
      <w:hyperlink w:anchor="_Toc108697865" w:history="1">
        <w:r w:rsidR="00997FA2" w:rsidRPr="00A61EB8">
          <w:rPr>
            <w:rStyle w:val="Hyperlink"/>
          </w:rPr>
          <w:t>Urban excise</w:t>
        </w:r>
        <w:r w:rsidR="00997FA2">
          <w:rPr>
            <w:webHidden/>
          </w:rPr>
          <w:tab/>
        </w:r>
        <w:r w:rsidR="00997FA2">
          <w:rPr>
            <w:webHidden/>
          </w:rPr>
          <w:fldChar w:fldCharType="begin"/>
        </w:r>
        <w:r w:rsidR="00997FA2">
          <w:rPr>
            <w:webHidden/>
          </w:rPr>
          <w:instrText xml:space="preserve"> PAGEREF _Toc108697865 \h </w:instrText>
        </w:r>
        <w:r w:rsidR="00997FA2">
          <w:rPr>
            <w:webHidden/>
          </w:rPr>
        </w:r>
        <w:r w:rsidR="00997FA2">
          <w:rPr>
            <w:webHidden/>
          </w:rPr>
          <w:fldChar w:fldCharType="separate"/>
        </w:r>
        <w:r>
          <w:rPr>
            <w:webHidden/>
          </w:rPr>
          <w:t>12</w:t>
        </w:r>
        <w:r w:rsidR="00997FA2">
          <w:rPr>
            <w:webHidden/>
          </w:rPr>
          <w:fldChar w:fldCharType="end"/>
        </w:r>
      </w:hyperlink>
    </w:p>
    <w:p w14:paraId="2A4A6083" w14:textId="198742B0" w:rsidR="00997FA2" w:rsidRDefault="00683329">
      <w:pPr>
        <w:pStyle w:val="TOC2"/>
        <w:rPr>
          <w:rFonts w:asciiTheme="minorHAnsi" w:eastAsiaTheme="minorEastAsia" w:hAnsiTheme="minorHAnsi" w:cstheme="minorBidi"/>
          <w:spacing w:val="0"/>
          <w:sz w:val="22"/>
          <w:szCs w:val="22"/>
        </w:rPr>
      </w:pPr>
      <w:hyperlink w:anchor="_Toc108697866" w:history="1">
        <w:r w:rsidR="00997FA2" w:rsidRPr="00A61EB8">
          <w:rPr>
            <w:rStyle w:val="Hyperlink"/>
          </w:rPr>
          <w:t>Planning options</w:t>
        </w:r>
        <w:r w:rsidR="00997FA2">
          <w:rPr>
            <w:webHidden/>
          </w:rPr>
          <w:tab/>
        </w:r>
        <w:r w:rsidR="00997FA2">
          <w:rPr>
            <w:webHidden/>
          </w:rPr>
          <w:fldChar w:fldCharType="begin"/>
        </w:r>
        <w:r w:rsidR="00997FA2">
          <w:rPr>
            <w:webHidden/>
          </w:rPr>
          <w:instrText xml:space="preserve"> PAGEREF _Toc108697866 \h </w:instrText>
        </w:r>
        <w:r w:rsidR="00997FA2">
          <w:rPr>
            <w:webHidden/>
          </w:rPr>
        </w:r>
        <w:r w:rsidR="00997FA2">
          <w:rPr>
            <w:webHidden/>
          </w:rPr>
          <w:fldChar w:fldCharType="separate"/>
        </w:r>
        <w:r>
          <w:rPr>
            <w:webHidden/>
          </w:rPr>
          <w:t>14</w:t>
        </w:r>
        <w:r w:rsidR="00997FA2">
          <w:rPr>
            <w:webHidden/>
          </w:rPr>
          <w:fldChar w:fldCharType="end"/>
        </w:r>
      </w:hyperlink>
    </w:p>
    <w:p w14:paraId="02653A17" w14:textId="4F1DF8E2" w:rsidR="00997FA2" w:rsidRDefault="00683329">
      <w:pPr>
        <w:pStyle w:val="TOC2"/>
        <w:rPr>
          <w:rFonts w:asciiTheme="minorHAnsi" w:eastAsiaTheme="minorEastAsia" w:hAnsiTheme="minorHAnsi" w:cstheme="minorBidi"/>
          <w:spacing w:val="0"/>
          <w:sz w:val="22"/>
          <w:szCs w:val="22"/>
        </w:rPr>
      </w:pPr>
      <w:hyperlink w:anchor="_Toc108697867" w:history="1">
        <w:r w:rsidR="00997FA2" w:rsidRPr="00A61EB8">
          <w:rPr>
            <w:rStyle w:val="Hyperlink"/>
          </w:rPr>
          <w:t>Parts of the spectrum for re-allocation</w:t>
        </w:r>
        <w:r w:rsidR="00997FA2">
          <w:rPr>
            <w:webHidden/>
          </w:rPr>
          <w:tab/>
        </w:r>
        <w:r w:rsidR="00997FA2">
          <w:rPr>
            <w:webHidden/>
          </w:rPr>
          <w:fldChar w:fldCharType="begin"/>
        </w:r>
        <w:r w:rsidR="00997FA2">
          <w:rPr>
            <w:webHidden/>
          </w:rPr>
          <w:instrText xml:space="preserve"> PAGEREF _Toc108697867 \h </w:instrText>
        </w:r>
        <w:r w:rsidR="00997FA2">
          <w:rPr>
            <w:webHidden/>
          </w:rPr>
        </w:r>
        <w:r w:rsidR="00997FA2">
          <w:rPr>
            <w:webHidden/>
          </w:rPr>
          <w:fldChar w:fldCharType="separate"/>
        </w:r>
        <w:r>
          <w:rPr>
            <w:webHidden/>
          </w:rPr>
          <w:t>19</w:t>
        </w:r>
        <w:r w:rsidR="00997FA2">
          <w:rPr>
            <w:webHidden/>
          </w:rPr>
          <w:fldChar w:fldCharType="end"/>
        </w:r>
      </w:hyperlink>
    </w:p>
    <w:p w14:paraId="00723630" w14:textId="11C3E34B" w:rsidR="00997FA2" w:rsidRDefault="00683329">
      <w:pPr>
        <w:pStyle w:val="TOC2"/>
        <w:rPr>
          <w:rFonts w:asciiTheme="minorHAnsi" w:eastAsiaTheme="minorEastAsia" w:hAnsiTheme="minorHAnsi" w:cstheme="minorBidi"/>
          <w:spacing w:val="0"/>
          <w:sz w:val="22"/>
          <w:szCs w:val="22"/>
        </w:rPr>
      </w:pPr>
      <w:hyperlink w:anchor="_Toc108697868" w:history="1">
        <w:r w:rsidR="00997FA2" w:rsidRPr="00A61EB8">
          <w:rPr>
            <w:rStyle w:val="Hyperlink"/>
          </w:rPr>
          <w:t>Licence type</w:t>
        </w:r>
        <w:r w:rsidR="00997FA2">
          <w:rPr>
            <w:webHidden/>
          </w:rPr>
          <w:tab/>
        </w:r>
        <w:r w:rsidR="00997FA2">
          <w:rPr>
            <w:webHidden/>
          </w:rPr>
          <w:fldChar w:fldCharType="begin"/>
        </w:r>
        <w:r w:rsidR="00997FA2">
          <w:rPr>
            <w:webHidden/>
          </w:rPr>
          <w:instrText xml:space="preserve"> PAGEREF _Toc108697868 \h </w:instrText>
        </w:r>
        <w:r w:rsidR="00997FA2">
          <w:rPr>
            <w:webHidden/>
          </w:rPr>
        </w:r>
        <w:r w:rsidR="00997FA2">
          <w:rPr>
            <w:webHidden/>
          </w:rPr>
          <w:fldChar w:fldCharType="separate"/>
        </w:r>
        <w:r>
          <w:rPr>
            <w:webHidden/>
          </w:rPr>
          <w:t>22</w:t>
        </w:r>
        <w:r w:rsidR="00997FA2">
          <w:rPr>
            <w:webHidden/>
          </w:rPr>
          <w:fldChar w:fldCharType="end"/>
        </w:r>
      </w:hyperlink>
    </w:p>
    <w:p w14:paraId="38957AE6" w14:textId="1DA16707" w:rsidR="00997FA2" w:rsidRDefault="00683329">
      <w:pPr>
        <w:pStyle w:val="TOC2"/>
        <w:rPr>
          <w:rFonts w:asciiTheme="minorHAnsi" w:eastAsiaTheme="minorEastAsia" w:hAnsiTheme="minorHAnsi" w:cstheme="minorBidi"/>
          <w:spacing w:val="0"/>
          <w:sz w:val="22"/>
          <w:szCs w:val="22"/>
        </w:rPr>
      </w:pPr>
      <w:hyperlink w:anchor="_Toc108697869" w:history="1">
        <w:r w:rsidR="00997FA2" w:rsidRPr="00A61EB8">
          <w:rPr>
            <w:rStyle w:val="Hyperlink"/>
          </w:rPr>
          <w:t>Re-allocation period and deadline</w:t>
        </w:r>
        <w:r w:rsidR="00997FA2">
          <w:rPr>
            <w:webHidden/>
          </w:rPr>
          <w:tab/>
        </w:r>
        <w:r w:rsidR="00997FA2">
          <w:rPr>
            <w:webHidden/>
          </w:rPr>
          <w:fldChar w:fldCharType="begin"/>
        </w:r>
        <w:r w:rsidR="00997FA2">
          <w:rPr>
            <w:webHidden/>
          </w:rPr>
          <w:instrText xml:space="preserve"> PAGEREF _Toc108697869 \h </w:instrText>
        </w:r>
        <w:r w:rsidR="00997FA2">
          <w:rPr>
            <w:webHidden/>
          </w:rPr>
        </w:r>
        <w:r w:rsidR="00997FA2">
          <w:rPr>
            <w:webHidden/>
          </w:rPr>
          <w:fldChar w:fldCharType="separate"/>
        </w:r>
        <w:r>
          <w:rPr>
            <w:webHidden/>
          </w:rPr>
          <w:t>23</w:t>
        </w:r>
        <w:r w:rsidR="00997FA2">
          <w:rPr>
            <w:webHidden/>
          </w:rPr>
          <w:fldChar w:fldCharType="end"/>
        </w:r>
      </w:hyperlink>
    </w:p>
    <w:p w14:paraId="5998A183" w14:textId="63421BFF" w:rsidR="00997FA2" w:rsidRDefault="00683329">
      <w:pPr>
        <w:pStyle w:val="TOC2"/>
        <w:rPr>
          <w:rFonts w:asciiTheme="minorHAnsi" w:eastAsiaTheme="minorEastAsia" w:hAnsiTheme="minorHAnsi" w:cstheme="minorBidi"/>
          <w:spacing w:val="0"/>
          <w:sz w:val="22"/>
          <w:szCs w:val="22"/>
        </w:rPr>
      </w:pPr>
      <w:hyperlink w:anchor="_Toc108697870" w:history="1">
        <w:r w:rsidR="00997FA2" w:rsidRPr="00A61EB8">
          <w:rPr>
            <w:rStyle w:val="Hyperlink"/>
          </w:rPr>
          <w:t>Managing interference into radio altimeters</w:t>
        </w:r>
        <w:r w:rsidR="00997FA2">
          <w:rPr>
            <w:webHidden/>
          </w:rPr>
          <w:tab/>
        </w:r>
        <w:r w:rsidR="00997FA2">
          <w:rPr>
            <w:webHidden/>
          </w:rPr>
          <w:fldChar w:fldCharType="begin"/>
        </w:r>
        <w:r w:rsidR="00997FA2">
          <w:rPr>
            <w:webHidden/>
          </w:rPr>
          <w:instrText xml:space="preserve"> PAGEREF _Toc108697870 \h </w:instrText>
        </w:r>
        <w:r w:rsidR="00997FA2">
          <w:rPr>
            <w:webHidden/>
          </w:rPr>
        </w:r>
        <w:r w:rsidR="00997FA2">
          <w:rPr>
            <w:webHidden/>
          </w:rPr>
          <w:fldChar w:fldCharType="separate"/>
        </w:r>
        <w:r>
          <w:rPr>
            <w:webHidden/>
          </w:rPr>
          <w:t>24</w:t>
        </w:r>
        <w:r w:rsidR="00997FA2">
          <w:rPr>
            <w:webHidden/>
          </w:rPr>
          <w:fldChar w:fldCharType="end"/>
        </w:r>
      </w:hyperlink>
    </w:p>
    <w:p w14:paraId="4F791520" w14:textId="2DC9DCA4" w:rsidR="00997FA2" w:rsidRDefault="00683329">
      <w:pPr>
        <w:pStyle w:val="TOC1"/>
        <w:rPr>
          <w:rFonts w:asciiTheme="minorHAnsi" w:eastAsiaTheme="minorEastAsia" w:hAnsiTheme="minorHAnsi" w:cstheme="minorBidi"/>
          <w:b w:val="0"/>
          <w:spacing w:val="0"/>
          <w:sz w:val="22"/>
          <w:szCs w:val="22"/>
        </w:rPr>
      </w:pPr>
      <w:hyperlink w:anchor="_Toc108697871" w:history="1">
        <w:r w:rsidR="00997FA2" w:rsidRPr="00A61EB8">
          <w:rPr>
            <w:rStyle w:val="Hyperlink"/>
          </w:rPr>
          <w:t>Next steps</w:t>
        </w:r>
        <w:r w:rsidR="00997FA2">
          <w:rPr>
            <w:webHidden/>
          </w:rPr>
          <w:tab/>
        </w:r>
        <w:r w:rsidR="00997FA2">
          <w:rPr>
            <w:webHidden/>
          </w:rPr>
          <w:fldChar w:fldCharType="begin"/>
        </w:r>
        <w:r w:rsidR="00997FA2">
          <w:rPr>
            <w:webHidden/>
          </w:rPr>
          <w:instrText xml:space="preserve"> PAGEREF _Toc108697871 \h </w:instrText>
        </w:r>
        <w:r w:rsidR="00997FA2">
          <w:rPr>
            <w:webHidden/>
          </w:rPr>
        </w:r>
        <w:r w:rsidR="00997FA2">
          <w:rPr>
            <w:webHidden/>
          </w:rPr>
          <w:fldChar w:fldCharType="separate"/>
        </w:r>
        <w:r>
          <w:rPr>
            <w:webHidden/>
          </w:rPr>
          <w:t>25</w:t>
        </w:r>
        <w:r w:rsidR="00997FA2">
          <w:rPr>
            <w:webHidden/>
          </w:rPr>
          <w:fldChar w:fldCharType="end"/>
        </w:r>
      </w:hyperlink>
    </w:p>
    <w:p w14:paraId="732C5419" w14:textId="60D91002" w:rsidR="00997FA2" w:rsidRDefault="00683329">
      <w:pPr>
        <w:pStyle w:val="TOC1"/>
        <w:rPr>
          <w:rFonts w:asciiTheme="minorHAnsi" w:eastAsiaTheme="minorEastAsia" w:hAnsiTheme="minorHAnsi" w:cstheme="minorBidi"/>
          <w:b w:val="0"/>
          <w:spacing w:val="0"/>
          <w:sz w:val="22"/>
          <w:szCs w:val="22"/>
        </w:rPr>
      </w:pPr>
      <w:hyperlink w:anchor="_Toc108697872" w:history="1">
        <w:r w:rsidR="00997FA2" w:rsidRPr="00A61EB8">
          <w:rPr>
            <w:rStyle w:val="Hyperlink"/>
          </w:rPr>
          <w:t>Appendix A: Spectrum re</w:t>
        </w:r>
        <w:r w:rsidR="00997FA2" w:rsidRPr="00A61EB8">
          <w:rPr>
            <w:rStyle w:val="Hyperlink"/>
          </w:rPr>
          <w:noBreakHyphen/>
          <w:t>allocation process</w:t>
        </w:r>
        <w:r w:rsidR="00997FA2">
          <w:rPr>
            <w:webHidden/>
          </w:rPr>
          <w:tab/>
        </w:r>
        <w:r w:rsidR="00997FA2">
          <w:rPr>
            <w:webHidden/>
          </w:rPr>
          <w:fldChar w:fldCharType="begin"/>
        </w:r>
        <w:r w:rsidR="00997FA2">
          <w:rPr>
            <w:webHidden/>
          </w:rPr>
          <w:instrText xml:space="preserve"> PAGEREF _Toc108697872 \h </w:instrText>
        </w:r>
        <w:r w:rsidR="00997FA2">
          <w:rPr>
            <w:webHidden/>
          </w:rPr>
        </w:r>
        <w:r w:rsidR="00997FA2">
          <w:rPr>
            <w:webHidden/>
          </w:rPr>
          <w:fldChar w:fldCharType="separate"/>
        </w:r>
        <w:r>
          <w:rPr>
            <w:webHidden/>
          </w:rPr>
          <w:t>26</w:t>
        </w:r>
        <w:r w:rsidR="00997FA2">
          <w:rPr>
            <w:webHidden/>
          </w:rPr>
          <w:fldChar w:fldCharType="end"/>
        </w:r>
      </w:hyperlink>
    </w:p>
    <w:p w14:paraId="06A33D5E" w14:textId="0FBF6852" w:rsidR="00997FA2" w:rsidRDefault="00683329">
      <w:pPr>
        <w:pStyle w:val="TOC2"/>
        <w:rPr>
          <w:rFonts w:asciiTheme="minorHAnsi" w:eastAsiaTheme="minorEastAsia" w:hAnsiTheme="minorHAnsi" w:cstheme="minorBidi"/>
          <w:spacing w:val="0"/>
          <w:sz w:val="22"/>
          <w:szCs w:val="22"/>
        </w:rPr>
      </w:pPr>
      <w:hyperlink w:anchor="_Toc108697873" w:history="1">
        <w:r w:rsidR="00997FA2" w:rsidRPr="00A61EB8">
          <w:rPr>
            <w:rStyle w:val="Hyperlink"/>
          </w:rPr>
          <w:t>Main steps in the re</w:t>
        </w:r>
        <w:r w:rsidR="00997FA2" w:rsidRPr="00A61EB8">
          <w:rPr>
            <w:rStyle w:val="Hyperlink"/>
          </w:rPr>
          <w:noBreakHyphen/>
          <w:t>allocation process</w:t>
        </w:r>
        <w:r w:rsidR="00997FA2">
          <w:rPr>
            <w:webHidden/>
          </w:rPr>
          <w:tab/>
        </w:r>
        <w:r w:rsidR="00997FA2">
          <w:rPr>
            <w:webHidden/>
          </w:rPr>
          <w:fldChar w:fldCharType="begin"/>
        </w:r>
        <w:r w:rsidR="00997FA2">
          <w:rPr>
            <w:webHidden/>
          </w:rPr>
          <w:instrText xml:space="preserve"> PAGEREF _Toc108697873 \h </w:instrText>
        </w:r>
        <w:r w:rsidR="00997FA2">
          <w:rPr>
            <w:webHidden/>
          </w:rPr>
        </w:r>
        <w:r w:rsidR="00997FA2">
          <w:rPr>
            <w:webHidden/>
          </w:rPr>
          <w:fldChar w:fldCharType="separate"/>
        </w:r>
        <w:r>
          <w:rPr>
            <w:webHidden/>
          </w:rPr>
          <w:t>26</w:t>
        </w:r>
        <w:r w:rsidR="00997FA2">
          <w:rPr>
            <w:webHidden/>
          </w:rPr>
          <w:fldChar w:fldCharType="end"/>
        </w:r>
      </w:hyperlink>
    </w:p>
    <w:p w14:paraId="3F760369" w14:textId="3FA27389" w:rsidR="00997FA2" w:rsidRDefault="00683329">
      <w:pPr>
        <w:pStyle w:val="TOC1"/>
        <w:rPr>
          <w:rFonts w:asciiTheme="minorHAnsi" w:eastAsiaTheme="minorEastAsia" w:hAnsiTheme="minorHAnsi" w:cstheme="minorBidi"/>
          <w:b w:val="0"/>
          <w:spacing w:val="0"/>
          <w:sz w:val="22"/>
          <w:szCs w:val="22"/>
        </w:rPr>
      </w:pPr>
      <w:hyperlink w:anchor="_Toc108697874" w:history="1">
        <w:r w:rsidR="00997FA2" w:rsidRPr="00A61EB8">
          <w:rPr>
            <w:rStyle w:val="Hyperlink"/>
          </w:rPr>
          <w:t>Appendix B: List of consultation respondents</w:t>
        </w:r>
        <w:r w:rsidR="00997FA2">
          <w:rPr>
            <w:webHidden/>
          </w:rPr>
          <w:tab/>
        </w:r>
        <w:r w:rsidR="00997FA2">
          <w:rPr>
            <w:webHidden/>
          </w:rPr>
          <w:fldChar w:fldCharType="begin"/>
        </w:r>
        <w:r w:rsidR="00997FA2">
          <w:rPr>
            <w:webHidden/>
          </w:rPr>
          <w:instrText xml:space="preserve"> PAGEREF _Toc108697874 \h </w:instrText>
        </w:r>
        <w:r w:rsidR="00997FA2">
          <w:rPr>
            <w:webHidden/>
          </w:rPr>
        </w:r>
        <w:r w:rsidR="00997FA2">
          <w:rPr>
            <w:webHidden/>
          </w:rPr>
          <w:fldChar w:fldCharType="separate"/>
        </w:r>
        <w:r>
          <w:rPr>
            <w:webHidden/>
          </w:rPr>
          <w:t>29</w:t>
        </w:r>
        <w:r w:rsidR="00997FA2">
          <w:rPr>
            <w:webHidden/>
          </w:rPr>
          <w:fldChar w:fldCharType="end"/>
        </w:r>
      </w:hyperlink>
    </w:p>
    <w:p w14:paraId="12207571" w14:textId="4E45EBD2" w:rsidR="004D56FF" w:rsidRPr="00E162C4" w:rsidRDefault="006A3ECF">
      <w:pPr>
        <w:rPr>
          <w:rFonts w:cs="Arial"/>
        </w:rPr>
        <w:sectPr w:rsidR="004D56FF" w:rsidRPr="00E162C4" w:rsidSect="00C77380">
          <w:headerReference w:type="even" r:id="rId19"/>
          <w:headerReference w:type="default" r:id="rId20"/>
          <w:footerReference w:type="even" r:id="rId21"/>
          <w:footerReference w:type="default" r:id="rId22"/>
          <w:footerReference w:type="first" r:id="rId23"/>
          <w:pgSz w:w="11906" w:h="16838" w:code="9"/>
          <w:pgMar w:top="3646" w:right="3101" w:bottom="1134" w:left="1134" w:header="709" w:footer="119" w:gutter="0"/>
          <w:cols w:space="708"/>
          <w:titlePg/>
          <w:docGrid w:linePitch="360"/>
        </w:sectPr>
      </w:pPr>
      <w:r w:rsidRPr="00E162C4">
        <w:rPr>
          <w:rFonts w:cs="Arial"/>
          <w:noProof/>
          <w:spacing w:val="-14"/>
          <w:sz w:val="28"/>
        </w:rPr>
        <w:fldChar w:fldCharType="end"/>
      </w:r>
    </w:p>
    <w:p w14:paraId="024620D5" w14:textId="0BA8D8FD" w:rsidR="009D6C71" w:rsidRPr="00E162C4" w:rsidRDefault="009D6C71" w:rsidP="009174F3">
      <w:pPr>
        <w:pStyle w:val="Execsummaryheading"/>
      </w:pPr>
      <w:bookmarkStart w:id="1" w:name="_Toc108697858"/>
      <w:r w:rsidRPr="00E162C4">
        <w:lastRenderedPageBreak/>
        <w:t>Executive summary</w:t>
      </w:r>
      <w:bookmarkEnd w:id="1"/>
    </w:p>
    <w:p w14:paraId="75D5B587" w14:textId="47F6D4DB" w:rsidR="003253EE" w:rsidRPr="00E162C4" w:rsidRDefault="00C645DB" w:rsidP="003253EE">
      <w:bookmarkStart w:id="2" w:name="_Toc433122125"/>
      <w:r>
        <w:t xml:space="preserve">This </w:t>
      </w:r>
      <w:r w:rsidR="001D2CE5">
        <w:t xml:space="preserve">outcomes </w:t>
      </w:r>
      <w:r w:rsidR="005C690F">
        <w:t xml:space="preserve">paper </w:t>
      </w:r>
      <w:r w:rsidR="001D2CE5">
        <w:t xml:space="preserve">describes the </w:t>
      </w:r>
      <w:r w:rsidR="00574E7E">
        <w:t xml:space="preserve">spectrum </w:t>
      </w:r>
      <w:r w:rsidR="001D2CE5">
        <w:t>p</w:t>
      </w:r>
      <w:r w:rsidR="00983C7F">
        <w:t xml:space="preserve">lanning </w:t>
      </w:r>
      <w:r w:rsidR="00CD3152">
        <w:t>decisions</w:t>
      </w:r>
      <w:r w:rsidR="00983C7F">
        <w:t xml:space="preserve"> </w:t>
      </w:r>
      <w:r w:rsidR="00A70D47">
        <w:t xml:space="preserve">the </w:t>
      </w:r>
      <w:r w:rsidR="005602FC">
        <w:t>Australian Communications and Media Authority</w:t>
      </w:r>
      <w:r w:rsidR="005602FC" w:rsidDel="005602FC">
        <w:t xml:space="preserve"> </w:t>
      </w:r>
      <w:r w:rsidR="00A70D47">
        <w:t xml:space="preserve">has </w:t>
      </w:r>
      <w:r w:rsidR="00700595">
        <w:t xml:space="preserve">adopted </w:t>
      </w:r>
      <w:r w:rsidR="00DB1AF3">
        <w:t>in the 3</w:t>
      </w:r>
      <w:r w:rsidR="0016116E">
        <w:t>.4</w:t>
      </w:r>
      <w:r w:rsidR="00881A6D">
        <w:t>–</w:t>
      </w:r>
      <w:r w:rsidR="0016116E">
        <w:t>4.0 GHz frequency range</w:t>
      </w:r>
      <w:r w:rsidR="00E35C88">
        <w:t>,</w:t>
      </w:r>
      <w:r w:rsidR="008E334B">
        <w:t xml:space="preserve"> </w:t>
      </w:r>
      <w:r w:rsidR="00574E7E">
        <w:t xml:space="preserve">in response to </w:t>
      </w:r>
      <w:r w:rsidR="001E6448">
        <w:t>the</w:t>
      </w:r>
      <w:r w:rsidR="000C740D">
        <w:t xml:space="preserve"> </w:t>
      </w:r>
      <w:hyperlink r:id="rId24" w:history="1">
        <w:r w:rsidR="00C52396" w:rsidRPr="4307CAF0">
          <w:rPr>
            <w:rStyle w:val="Hyperlink"/>
            <w:i/>
          </w:rPr>
          <w:t>Proposed spectrum re-allocation declaration for the 3.4 GHz and 3.7</w:t>
        </w:r>
        <w:r w:rsidR="006C45A0" w:rsidRPr="4F53681C">
          <w:rPr>
            <w:rStyle w:val="Hyperlink"/>
            <w:i/>
            <w:iCs/>
          </w:rPr>
          <w:t> </w:t>
        </w:r>
        <w:r w:rsidR="00C52396" w:rsidRPr="4307CAF0">
          <w:rPr>
            <w:rStyle w:val="Hyperlink"/>
            <w:i/>
          </w:rPr>
          <w:t>GHz bands</w:t>
        </w:r>
      </w:hyperlink>
      <w:r w:rsidR="00BC1DC4">
        <w:t xml:space="preserve"> </w:t>
      </w:r>
      <w:r w:rsidR="001E6448">
        <w:t xml:space="preserve">consultation paper </w:t>
      </w:r>
      <w:r w:rsidR="00BC1DC4">
        <w:t xml:space="preserve">(the </w:t>
      </w:r>
      <w:r w:rsidR="00881A6D">
        <w:t>r</w:t>
      </w:r>
      <w:r w:rsidR="00BC1DC4">
        <w:t>e-allocation</w:t>
      </w:r>
      <w:r w:rsidR="001E6448">
        <w:t xml:space="preserve"> paper</w:t>
      </w:r>
      <w:r w:rsidR="00BC1DC4">
        <w:t>).</w:t>
      </w:r>
      <w:r w:rsidR="00490FA4">
        <w:t xml:space="preserve"> It </w:t>
      </w:r>
      <w:r w:rsidR="00881A6D">
        <w:t>details</w:t>
      </w:r>
      <w:r w:rsidR="00490FA4">
        <w:t xml:space="preserve"> how those </w:t>
      </w:r>
      <w:r w:rsidR="005E04DD">
        <w:t xml:space="preserve">planning </w:t>
      </w:r>
      <w:r w:rsidR="00F31327">
        <w:t>decisions</w:t>
      </w:r>
      <w:r w:rsidR="005E04DD">
        <w:t xml:space="preserve"> have been incorporated into the </w:t>
      </w:r>
      <w:hyperlink r:id="rId25" w:history="1">
        <w:r w:rsidR="00217513" w:rsidRPr="000E6A1F">
          <w:rPr>
            <w:rStyle w:val="Hyperlink"/>
            <w:iCs/>
          </w:rPr>
          <w:t xml:space="preserve">Radiocommunications (Spectrum Re-allocation – </w:t>
        </w:r>
        <w:r w:rsidR="00E502AC" w:rsidRPr="000E6A1F">
          <w:rPr>
            <w:rStyle w:val="Hyperlink"/>
            <w:iCs/>
          </w:rPr>
          <w:t>3.4 GHz</w:t>
        </w:r>
        <w:r w:rsidR="00217513" w:rsidRPr="000E6A1F">
          <w:rPr>
            <w:rStyle w:val="Hyperlink"/>
            <w:iCs/>
          </w:rPr>
          <w:t xml:space="preserve"> and 3.7</w:t>
        </w:r>
        <w:r w:rsidR="00F31327" w:rsidRPr="000E6A1F">
          <w:rPr>
            <w:rStyle w:val="Hyperlink"/>
            <w:iCs/>
          </w:rPr>
          <w:t> </w:t>
        </w:r>
        <w:r w:rsidR="00217513" w:rsidRPr="000E6A1F">
          <w:rPr>
            <w:rStyle w:val="Hyperlink"/>
            <w:iCs/>
          </w:rPr>
          <w:t>GHz Bands) Declaration 2022</w:t>
        </w:r>
      </w:hyperlink>
      <w:r w:rsidR="00217513">
        <w:t xml:space="preserve"> (the re-allocation declaration).</w:t>
      </w:r>
      <w:r w:rsidR="00F705C2">
        <w:t xml:space="preserve"> </w:t>
      </w:r>
      <w:r w:rsidR="00C864BB">
        <w:t xml:space="preserve">Finally, it outlines </w:t>
      </w:r>
      <w:r w:rsidR="00355C12">
        <w:t>an indicative</w:t>
      </w:r>
      <w:r w:rsidR="00C864BB">
        <w:t xml:space="preserve"> time</w:t>
      </w:r>
      <w:r w:rsidR="00355C12">
        <w:t>table</w:t>
      </w:r>
      <w:r w:rsidR="00C864BB">
        <w:t xml:space="preserve"> for </w:t>
      </w:r>
      <w:r w:rsidR="001256CE">
        <w:t xml:space="preserve">developing the technical and allocation frameworks necessary </w:t>
      </w:r>
      <w:r w:rsidR="00044234">
        <w:t>to conduct an allocation of spectrum licences</w:t>
      </w:r>
      <w:r w:rsidR="00362C7D">
        <w:t xml:space="preserve"> in the </w:t>
      </w:r>
      <w:r w:rsidR="00234390">
        <w:t xml:space="preserve">3.4 GHz </w:t>
      </w:r>
      <w:r w:rsidR="00255C1A">
        <w:t>band</w:t>
      </w:r>
      <w:r w:rsidR="003270DF">
        <w:t xml:space="preserve"> (3400</w:t>
      </w:r>
      <w:r w:rsidR="00881A6D">
        <w:t>–</w:t>
      </w:r>
      <w:r w:rsidR="003270DF">
        <w:t>3575 MHz)</w:t>
      </w:r>
      <w:r w:rsidR="00255C1A">
        <w:t xml:space="preserve"> in regional areas</w:t>
      </w:r>
      <w:r w:rsidR="00234390">
        <w:t xml:space="preserve"> and </w:t>
      </w:r>
      <w:r w:rsidR="0086318F">
        <w:t xml:space="preserve">the </w:t>
      </w:r>
      <w:r w:rsidR="00234390">
        <w:t>3.7 GHz</w:t>
      </w:r>
      <w:r w:rsidR="00DB7701">
        <w:t xml:space="preserve"> (3700</w:t>
      </w:r>
      <w:r w:rsidR="00881A6D">
        <w:t>–</w:t>
      </w:r>
      <w:r w:rsidR="00DB7701">
        <w:t>3800 MHz)</w:t>
      </w:r>
      <w:r w:rsidR="00234390">
        <w:t xml:space="preserve"> </w:t>
      </w:r>
      <w:r w:rsidR="00362C7D">
        <w:t>band</w:t>
      </w:r>
      <w:r w:rsidR="003D16AF">
        <w:t xml:space="preserve"> in Q3 2023.</w:t>
      </w:r>
    </w:p>
    <w:p w14:paraId="74704862" w14:textId="1D4B4D74" w:rsidR="002542F1" w:rsidRDefault="00881A6D" w:rsidP="003253EE">
      <w:r>
        <w:t xml:space="preserve">We </w:t>
      </w:r>
      <w:r w:rsidR="00902D9E">
        <w:t>received 31 submissions to the</w:t>
      </w:r>
      <w:r w:rsidR="00BC1DC4">
        <w:t xml:space="preserve"> </w:t>
      </w:r>
      <w:r>
        <w:t>r</w:t>
      </w:r>
      <w:r w:rsidR="00BC1DC4">
        <w:t>e-allocation</w:t>
      </w:r>
      <w:r w:rsidR="00902D9E">
        <w:t xml:space="preserve"> </w:t>
      </w:r>
      <w:r w:rsidR="001E6448">
        <w:t>paper</w:t>
      </w:r>
      <w:r w:rsidR="00E11125">
        <w:t>. Th</w:t>
      </w:r>
      <w:r w:rsidR="00BC1DC4">
        <w:t>is</w:t>
      </w:r>
      <w:r w:rsidR="002A2414">
        <w:t xml:space="preserve"> paper</w:t>
      </w:r>
      <w:r w:rsidR="00E11125">
        <w:t xml:space="preserve"> summarises</w:t>
      </w:r>
      <w:r w:rsidR="00430CCE">
        <w:t xml:space="preserve"> these submissions, </w:t>
      </w:r>
      <w:r w:rsidR="00FA0E53">
        <w:t>analyses the</w:t>
      </w:r>
      <w:r w:rsidR="001D1DFD">
        <w:t xml:space="preserve">ir proposals </w:t>
      </w:r>
      <w:r w:rsidR="002C6B78">
        <w:t xml:space="preserve">against </w:t>
      </w:r>
      <w:r w:rsidR="00247902">
        <w:t xml:space="preserve">the </w:t>
      </w:r>
      <w:r w:rsidR="00F836A5">
        <w:t xml:space="preserve">object of the </w:t>
      </w:r>
      <w:hyperlink r:id="rId26" w:history="1">
        <w:r w:rsidR="005602FC">
          <w:rPr>
            <w:rStyle w:val="Hyperlink"/>
            <w:i/>
          </w:rPr>
          <w:t>Radiocommunications Act 1992</w:t>
        </w:r>
      </w:hyperlink>
      <w:r w:rsidR="005602FC" w:rsidRPr="004B6863">
        <w:rPr>
          <w:rStyle w:val="Hyperlink"/>
          <w:iCs/>
          <w:u w:val="none"/>
        </w:rPr>
        <w:t xml:space="preserve"> </w:t>
      </w:r>
      <w:r w:rsidR="009D63A6">
        <w:t>(t</w:t>
      </w:r>
      <w:r w:rsidR="009D63A6" w:rsidRPr="00E06380">
        <w:t>he Act</w:t>
      </w:r>
      <w:r w:rsidR="009D63A6">
        <w:t xml:space="preserve">) and the </w:t>
      </w:r>
      <w:hyperlink r:id="rId27" w:history="1">
        <w:r w:rsidR="009D63A6">
          <w:rPr>
            <w:rStyle w:val="Hyperlink"/>
          </w:rPr>
          <w:t>ministerial policy statement</w:t>
        </w:r>
      </w:hyperlink>
      <w:r w:rsidR="009D63A6">
        <w:t xml:space="preserve"> (MPS)</w:t>
      </w:r>
      <w:r w:rsidR="009D743D">
        <w:t xml:space="preserve"> as applied to these bands, and describes how </w:t>
      </w:r>
      <w:r>
        <w:t>we</w:t>
      </w:r>
      <w:r w:rsidR="009D743D">
        <w:t xml:space="preserve"> rea</w:t>
      </w:r>
      <w:r w:rsidR="00CD3152">
        <w:t xml:space="preserve">ched </w:t>
      </w:r>
      <w:r>
        <w:t xml:space="preserve">the </w:t>
      </w:r>
      <w:r w:rsidR="006570F0">
        <w:t>planning decisions</w:t>
      </w:r>
      <w:r w:rsidR="00DE242F">
        <w:t xml:space="preserve">. Full copies of the public submissions are available </w:t>
      </w:r>
      <w:r w:rsidR="3A1833FF">
        <w:t xml:space="preserve">on </w:t>
      </w:r>
      <w:r w:rsidR="00DE242F">
        <w:t xml:space="preserve">the </w:t>
      </w:r>
      <w:hyperlink r:id="rId28" w:history="1">
        <w:r w:rsidR="00DE242F" w:rsidRPr="00C05376">
          <w:rPr>
            <w:rStyle w:val="Hyperlink"/>
          </w:rPr>
          <w:t>consultation website</w:t>
        </w:r>
      </w:hyperlink>
      <w:r w:rsidR="00DE242F">
        <w:t>.</w:t>
      </w:r>
    </w:p>
    <w:p w14:paraId="1E50CB93" w14:textId="1874ACCF" w:rsidR="0026117A" w:rsidRDefault="00881A6D" w:rsidP="003253EE">
      <w:r>
        <w:t>We have</w:t>
      </w:r>
      <w:r w:rsidR="000F7909">
        <w:t xml:space="preserve"> made the following </w:t>
      </w:r>
      <w:r w:rsidR="0076198E">
        <w:t xml:space="preserve">planning decisions </w:t>
      </w:r>
      <w:r>
        <w:t>for</w:t>
      </w:r>
      <w:r w:rsidR="0076198E">
        <w:t xml:space="preserve"> the </w:t>
      </w:r>
      <w:r w:rsidR="00E409D3">
        <w:t>3.4</w:t>
      </w:r>
      <w:r>
        <w:t>–</w:t>
      </w:r>
      <w:r w:rsidR="00E409D3">
        <w:t>4.0 GHz frequency range</w:t>
      </w:r>
      <w:r>
        <w:t>.</w:t>
      </w:r>
    </w:p>
    <w:p w14:paraId="4734421F" w14:textId="4AC0FBD4" w:rsidR="00982BFF" w:rsidRDefault="00982BFF" w:rsidP="4307CAF0">
      <w:pPr>
        <w:pStyle w:val="Heading4"/>
      </w:pPr>
      <w:r>
        <w:t>Urban excise areas</w:t>
      </w:r>
    </w:p>
    <w:p w14:paraId="7F9D2D8D" w14:textId="287B960E" w:rsidR="00982BFF" w:rsidRDefault="00982BFF" w:rsidP="003253EE">
      <w:r>
        <w:t>Spectrum in the 3400</w:t>
      </w:r>
      <w:r w:rsidR="00881A6D">
        <w:t>–</w:t>
      </w:r>
      <w:r>
        <w:t xml:space="preserve">3475 MHz frequency range in urban excise areas will be allocated via apparatus licences (Option B in the </w:t>
      </w:r>
      <w:r w:rsidR="00881A6D">
        <w:t>r</w:t>
      </w:r>
      <w:r w:rsidR="008D30E2">
        <w:t xml:space="preserve">e-allocation </w:t>
      </w:r>
      <w:r>
        <w:t xml:space="preserve">paper). Stakeholder feedback indicated that apparatus licences were more appropriate </w:t>
      </w:r>
      <w:r w:rsidR="00485869">
        <w:t xml:space="preserve">than spectrum licences </w:t>
      </w:r>
      <w:r>
        <w:t xml:space="preserve">given the </w:t>
      </w:r>
      <w:r w:rsidR="00DD2A07">
        <w:t>demand for restricted cell local area wireless broadband (LA WBB)</w:t>
      </w:r>
      <w:r w:rsidR="00DD2A07" w:rsidDel="00CE595A">
        <w:t xml:space="preserve"> </w:t>
      </w:r>
      <w:r w:rsidR="00DD2A07">
        <w:t>in the urban excise areas</w:t>
      </w:r>
      <w:r w:rsidR="00881A6D">
        <w:t>,</w:t>
      </w:r>
      <w:r w:rsidR="00706A53">
        <w:t xml:space="preserve"> and the likely</w:t>
      </w:r>
      <w:r w:rsidR="00DD2A07">
        <w:t xml:space="preserve"> </w:t>
      </w:r>
      <w:r>
        <w:t>lower</w:t>
      </w:r>
      <w:r w:rsidR="00881A6D">
        <w:t>-</w:t>
      </w:r>
      <w:r w:rsidR="007605E9">
        <w:t xml:space="preserve">spectrum </w:t>
      </w:r>
      <w:r>
        <w:t>utility</w:t>
      </w:r>
      <w:r w:rsidR="00706A53">
        <w:t xml:space="preserve"> and</w:t>
      </w:r>
      <w:r>
        <w:t xml:space="preserve"> </w:t>
      </w:r>
      <w:r w:rsidR="00A31E80">
        <w:t>reduced</w:t>
      </w:r>
      <w:r>
        <w:t xml:space="preserve"> benefits of spectrum licences for future defragmentation activities</w:t>
      </w:r>
      <w:r w:rsidR="00354D52">
        <w:t>.</w:t>
      </w:r>
      <w:r w:rsidR="00364F8B">
        <w:t xml:space="preserve"> </w:t>
      </w:r>
    </w:p>
    <w:p w14:paraId="0BC18F04" w14:textId="2838592D" w:rsidR="006032C8" w:rsidRDefault="00AD4CC4" w:rsidP="00B919B4">
      <w:pPr>
        <w:pStyle w:val="Heading4"/>
      </w:pPr>
      <w:r w:rsidRPr="00E26781">
        <w:t>38</w:t>
      </w:r>
      <w:r w:rsidR="004044C2" w:rsidRPr="00E1430B">
        <w:t>00</w:t>
      </w:r>
      <w:r w:rsidR="00881A6D">
        <w:t>–</w:t>
      </w:r>
      <w:r w:rsidR="004044C2" w:rsidRPr="00E1430B">
        <w:t>4000 MHz frequency range</w:t>
      </w:r>
    </w:p>
    <w:p w14:paraId="090600B8" w14:textId="42CD2B37" w:rsidR="00AD4CC4" w:rsidRDefault="007E0AAF" w:rsidP="004B6863">
      <w:pPr>
        <w:pStyle w:val="Paragraphbeforelist"/>
      </w:pPr>
      <w:r>
        <w:t>S</w:t>
      </w:r>
      <w:r w:rsidR="0082635E">
        <w:t xml:space="preserve">pectrum </w:t>
      </w:r>
      <w:r>
        <w:t>in the 3800</w:t>
      </w:r>
      <w:r w:rsidR="00881A6D">
        <w:t>–</w:t>
      </w:r>
      <w:r>
        <w:t xml:space="preserve">4000 MHz frequency range </w:t>
      </w:r>
      <w:r w:rsidR="00ED1779">
        <w:t xml:space="preserve">will be allocated </w:t>
      </w:r>
      <w:r w:rsidR="00A031ED">
        <w:t xml:space="preserve">as </w:t>
      </w:r>
      <w:r w:rsidR="00881A6D">
        <w:t>a</w:t>
      </w:r>
      <w:r w:rsidR="00A031ED">
        <w:t>rea</w:t>
      </w:r>
      <w:r w:rsidR="00881A6D">
        <w:t>-w</w:t>
      </w:r>
      <w:r w:rsidR="00A031ED">
        <w:t xml:space="preserve">ide </w:t>
      </w:r>
      <w:r w:rsidR="00881A6D">
        <w:t>l</w:t>
      </w:r>
      <w:r w:rsidR="00A031ED">
        <w:t>icences (AWLs)</w:t>
      </w:r>
      <w:r>
        <w:t>,</w:t>
      </w:r>
      <w:r w:rsidR="00A031ED">
        <w:t xml:space="preserve"> using the </w:t>
      </w:r>
      <w:r w:rsidR="00E52CE4">
        <w:t xml:space="preserve">following </w:t>
      </w:r>
      <w:r w:rsidR="00A031ED">
        <w:t>segmentation approach:</w:t>
      </w:r>
    </w:p>
    <w:p w14:paraId="5ED71920" w14:textId="53FFB312" w:rsidR="00A031ED" w:rsidRDefault="00E52CE4" w:rsidP="004B6863">
      <w:pPr>
        <w:pStyle w:val="Bulletlevel1"/>
      </w:pPr>
      <w:r>
        <w:t>3800</w:t>
      </w:r>
      <w:r w:rsidR="00881A6D">
        <w:t>–</w:t>
      </w:r>
      <w:r>
        <w:t>3950 MHz: macro-cell LA WBB services</w:t>
      </w:r>
    </w:p>
    <w:p w14:paraId="1CFAF4A8" w14:textId="1385AE6E" w:rsidR="00E52CE4" w:rsidRDefault="00E52CE4" w:rsidP="004B6863">
      <w:pPr>
        <w:pStyle w:val="Bulletlevel1last"/>
      </w:pPr>
      <w:r>
        <w:t>3950</w:t>
      </w:r>
      <w:r w:rsidR="00881A6D">
        <w:t>–</w:t>
      </w:r>
      <w:r>
        <w:t xml:space="preserve">4000 MHz: </w:t>
      </w:r>
      <w:r w:rsidR="009E7216">
        <w:t>restricted cell LA WBB services</w:t>
      </w:r>
      <w:r w:rsidR="0086318F">
        <w:t>.</w:t>
      </w:r>
    </w:p>
    <w:p w14:paraId="2B049B68" w14:textId="0F6C3B5D" w:rsidR="00995640" w:rsidRDefault="004A356A" w:rsidP="004B6863">
      <w:pPr>
        <w:pStyle w:val="Paragraph"/>
      </w:pPr>
      <w:r>
        <w:t xml:space="preserve">This approach </w:t>
      </w:r>
      <w:r w:rsidR="004C4867">
        <w:t xml:space="preserve">will help </w:t>
      </w:r>
      <w:r>
        <w:t>simplif</w:t>
      </w:r>
      <w:r w:rsidR="004C4867">
        <w:t>y</w:t>
      </w:r>
      <w:r w:rsidR="00B33931">
        <w:t xml:space="preserve"> technical arrangements and</w:t>
      </w:r>
      <w:r>
        <w:t xml:space="preserve"> the coordination of services</w:t>
      </w:r>
      <w:r w:rsidR="00B33931">
        <w:t xml:space="preserve">. </w:t>
      </w:r>
      <w:r w:rsidR="001A7796">
        <w:t>In combination with spectrum in urban excise areas, i</w:t>
      </w:r>
      <w:r w:rsidR="00B33931">
        <w:t xml:space="preserve">t </w:t>
      </w:r>
      <w:r w:rsidR="007106C5">
        <w:t xml:space="preserve">also </w:t>
      </w:r>
      <w:r w:rsidR="00B33931">
        <w:t>ensures there are</w:t>
      </w:r>
      <w:r w:rsidR="007106C5">
        <w:t xml:space="preserve"> </w:t>
      </w:r>
      <w:r w:rsidR="00125B38">
        <w:t xml:space="preserve">spectrum options for the </w:t>
      </w:r>
      <w:r w:rsidR="000A69CE">
        <w:t xml:space="preserve">different </w:t>
      </w:r>
      <w:r w:rsidR="0040782C">
        <w:t>LA WBB use cases</w:t>
      </w:r>
      <w:r w:rsidR="00CD2527">
        <w:t>. This will</w:t>
      </w:r>
      <w:r w:rsidR="0040782C">
        <w:t xml:space="preserve"> </w:t>
      </w:r>
      <w:r w:rsidR="006B0882">
        <w:t>support</w:t>
      </w:r>
      <w:r w:rsidR="00DD1BC4">
        <w:t xml:space="preserve"> </w:t>
      </w:r>
      <w:r w:rsidR="007A3C91">
        <w:t xml:space="preserve">wireless internet </w:t>
      </w:r>
      <w:r w:rsidR="001A671A">
        <w:t xml:space="preserve">service </w:t>
      </w:r>
      <w:r w:rsidR="007A7822">
        <w:t xml:space="preserve">providers, </w:t>
      </w:r>
      <w:r w:rsidR="007A3C91">
        <w:t>mine site</w:t>
      </w:r>
      <w:r w:rsidR="006E1D8F">
        <w:t xml:space="preserve"> operations</w:t>
      </w:r>
      <w:r w:rsidR="007A3C91">
        <w:t xml:space="preserve"> </w:t>
      </w:r>
      <w:r w:rsidR="00AC69B7">
        <w:t xml:space="preserve">as well as </w:t>
      </w:r>
      <w:r w:rsidR="00995640">
        <w:t xml:space="preserve">highly </w:t>
      </w:r>
      <w:r w:rsidR="00995640" w:rsidRPr="00FC2E87">
        <w:rPr>
          <w:szCs w:val="20"/>
        </w:rPr>
        <w:t xml:space="preserve">localised </w:t>
      </w:r>
      <w:r w:rsidR="00995640">
        <w:rPr>
          <w:szCs w:val="20"/>
        </w:rPr>
        <w:t xml:space="preserve">public, </w:t>
      </w:r>
      <w:r w:rsidR="00995640" w:rsidRPr="00FC2E87">
        <w:rPr>
          <w:szCs w:val="20"/>
        </w:rPr>
        <w:t xml:space="preserve">private and enterprise networks, including </w:t>
      </w:r>
      <w:r w:rsidR="00CE0158">
        <w:rPr>
          <w:szCs w:val="20"/>
        </w:rPr>
        <w:t xml:space="preserve">those </w:t>
      </w:r>
      <w:r w:rsidR="00995640" w:rsidRPr="00FC2E87">
        <w:rPr>
          <w:szCs w:val="20"/>
        </w:rPr>
        <w:t xml:space="preserve">at </w:t>
      </w:r>
      <w:r w:rsidR="00995640">
        <w:t>warehouses, factories, airports, ports, transport hubs, hospitals, schools and smart buildings.</w:t>
      </w:r>
    </w:p>
    <w:p w14:paraId="48F60DCA" w14:textId="7C46933B" w:rsidR="00A31E80" w:rsidRDefault="008B2D42" w:rsidP="4307CAF0">
      <w:r>
        <w:t>Importantly</w:t>
      </w:r>
      <w:r w:rsidR="008D441E">
        <w:t>,</w:t>
      </w:r>
      <w:r>
        <w:t xml:space="preserve"> </w:t>
      </w:r>
      <w:r w:rsidR="003764F4">
        <w:t>t</w:t>
      </w:r>
      <w:r w:rsidR="00D446D2">
        <w:t xml:space="preserve">his segmentation only applies to </w:t>
      </w:r>
      <w:r w:rsidR="00E06380">
        <w:t>wireless broadband (</w:t>
      </w:r>
      <w:r w:rsidR="00D446D2">
        <w:t>WBB</w:t>
      </w:r>
      <w:r w:rsidR="00E06380">
        <w:t>)</w:t>
      </w:r>
      <w:r w:rsidR="00D446D2">
        <w:t xml:space="preserve"> services and not </w:t>
      </w:r>
      <w:r w:rsidR="00C66BC8">
        <w:t xml:space="preserve">to </w:t>
      </w:r>
      <w:r w:rsidR="00D446D2">
        <w:t>point</w:t>
      </w:r>
      <w:r w:rsidR="003B367C">
        <w:t>-</w:t>
      </w:r>
      <w:r w:rsidR="00D446D2">
        <w:t>to</w:t>
      </w:r>
      <w:r w:rsidR="003B367C">
        <w:t>-</w:t>
      </w:r>
      <w:r w:rsidR="00D446D2">
        <w:t>point or satellite services.</w:t>
      </w:r>
    </w:p>
    <w:p w14:paraId="77F57347" w14:textId="0A81733A" w:rsidR="004044C2" w:rsidRDefault="00D55C85" w:rsidP="00C813E7">
      <w:pPr>
        <w:pStyle w:val="Heading4"/>
        <w:keepNext/>
        <w:keepLines/>
      </w:pPr>
      <w:r>
        <w:lastRenderedPageBreak/>
        <w:t>3400</w:t>
      </w:r>
      <w:r w:rsidR="008D441E">
        <w:t>–</w:t>
      </w:r>
      <w:r>
        <w:t>3800 MHz frequency range</w:t>
      </w:r>
    </w:p>
    <w:p w14:paraId="5FB7E82B" w14:textId="2EC88DD7" w:rsidR="009A7DF7" w:rsidRDefault="006B438E" w:rsidP="00C813E7">
      <w:pPr>
        <w:pStyle w:val="Paragraphbeforelist"/>
        <w:keepNext/>
        <w:keepLines/>
      </w:pPr>
      <w:r>
        <w:t>Spectrum in the 3400</w:t>
      </w:r>
      <w:r w:rsidR="008D441E">
        <w:t>–</w:t>
      </w:r>
      <w:r>
        <w:t xml:space="preserve">3800 MHz frequency range will be </w:t>
      </w:r>
      <w:r w:rsidR="00293D0A">
        <w:t>re-</w:t>
      </w:r>
      <w:r>
        <w:t xml:space="preserve">allocated </w:t>
      </w:r>
      <w:r w:rsidR="00293D0A">
        <w:t>for</w:t>
      </w:r>
      <w:r>
        <w:t xml:space="preserve"> </w:t>
      </w:r>
      <w:r w:rsidR="00DB1A43">
        <w:t xml:space="preserve">the issue of </w:t>
      </w:r>
      <w:r>
        <w:t>spectrum licen</w:t>
      </w:r>
      <w:r w:rsidR="004963F9">
        <w:t>ces</w:t>
      </w:r>
      <w:r w:rsidR="001011AD">
        <w:t xml:space="preserve"> in accordance with</w:t>
      </w:r>
      <w:r w:rsidR="005913B6">
        <w:t xml:space="preserve"> Option 3 </w:t>
      </w:r>
      <w:r w:rsidR="00852BB9">
        <w:t xml:space="preserve">in the </w:t>
      </w:r>
      <w:r w:rsidR="008D441E">
        <w:t xml:space="preserve">re-allocation </w:t>
      </w:r>
      <w:r w:rsidR="00852BB9">
        <w:t>paper</w:t>
      </w:r>
      <w:r w:rsidR="00FB1441">
        <w:t xml:space="preserve">, with a variation </w:t>
      </w:r>
      <w:r w:rsidR="00F44CB6">
        <w:t xml:space="preserve">that </w:t>
      </w:r>
      <w:r w:rsidR="009A7DF7">
        <w:t xml:space="preserve">the following areas </w:t>
      </w:r>
      <w:r w:rsidR="002077CF">
        <w:t xml:space="preserve">will also be </w:t>
      </w:r>
      <w:r w:rsidR="00BB7073">
        <w:t xml:space="preserve">re-allocated </w:t>
      </w:r>
      <w:r w:rsidR="006E4558">
        <w:t>in the 3750</w:t>
      </w:r>
      <w:r w:rsidR="008D441E">
        <w:t>–</w:t>
      </w:r>
      <w:r w:rsidR="006E4558">
        <w:t>3800 MHz frequency range</w:t>
      </w:r>
      <w:r w:rsidR="00BE0241">
        <w:t>, in addition to metropolitan areas</w:t>
      </w:r>
      <w:r w:rsidR="009A7DF7">
        <w:t>:</w:t>
      </w:r>
    </w:p>
    <w:p w14:paraId="7378C625" w14:textId="603C01A9" w:rsidR="009A7DF7" w:rsidRDefault="008D441E" w:rsidP="00C813E7">
      <w:pPr>
        <w:pStyle w:val="Bulletlevel1"/>
        <w:keepNext/>
        <w:keepLines/>
      </w:pPr>
      <w:r>
        <w:t>m</w:t>
      </w:r>
      <w:r w:rsidR="009A7DF7">
        <w:t xml:space="preserve">ajor </w:t>
      </w:r>
      <w:r>
        <w:t>r</w:t>
      </w:r>
      <w:r w:rsidR="009A7DF7">
        <w:t xml:space="preserve">egional </w:t>
      </w:r>
      <w:r>
        <w:t>c</w:t>
      </w:r>
      <w:r w:rsidR="009A7DF7">
        <w:t>entres 1 (Ballarat</w:t>
      </w:r>
      <w:r w:rsidR="004C4F17">
        <w:t xml:space="preserve"> and Bendigo</w:t>
      </w:r>
      <w:r w:rsidR="009A7DF7">
        <w:t>, Toowoomba)</w:t>
      </w:r>
    </w:p>
    <w:p w14:paraId="21F534D0" w14:textId="28FD65B4" w:rsidR="009A7DF7" w:rsidRDefault="008D441E" w:rsidP="00C813E7">
      <w:pPr>
        <w:pStyle w:val="Bulletlevel1"/>
        <w:keepNext/>
        <w:keepLines/>
      </w:pPr>
      <w:r>
        <w:t>r</w:t>
      </w:r>
      <w:r w:rsidR="009A7DF7">
        <w:t xml:space="preserve">egional </w:t>
      </w:r>
      <w:r>
        <w:t>a</w:t>
      </w:r>
      <w:r w:rsidR="009A7DF7">
        <w:t>rea 2 (</w:t>
      </w:r>
      <w:r>
        <w:t>r</w:t>
      </w:r>
      <w:r w:rsidR="009A7DF7">
        <w:t>egional N</w:t>
      </w:r>
      <w:r w:rsidR="00CC25BD">
        <w:t xml:space="preserve">ew </w:t>
      </w:r>
      <w:r w:rsidR="009A7DF7">
        <w:t>S</w:t>
      </w:r>
      <w:r w:rsidR="00CC25BD">
        <w:t xml:space="preserve">outh </w:t>
      </w:r>
      <w:r w:rsidR="009A7DF7">
        <w:t>W</w:t>
      </w:r>
      <w:r w:rsidR="00CC25BD">
        <w:t>ales</w:t>
      </w:r>
      <w:r w:rsidR="009A7DF7">
        <w:t xml:space="preserve"> </w:t>
      </w:r>
      <w:r w:rsidR="00CC25BD">
        <w:t xml:space="preserve">south, </w:t>
      </w:r>
      <w:r>
        <w:t>r</w:t>
      </w:r>
      <w:r w:rsidR="00CC25BD">
        <w:t xml:space="preserve">egional Queensland, </w:t>
      </w:r>
      <w:r>
        <w:t>r</w:t>
      </w:r>
      <w:r w:rsidR="00CC25BD">
        <w:t>egional South Australia</w:t>
      </w:r>
      <w:r w:rsidR="00BE0241">
        <w:t xml:space="preserve">, </w:t>
      </w:r>
      <w:r>
        <w:t>r</w:t>
      </w:r>
      <w:r w:rsidR="00BE0241">
        <w:t xml:space="preserve">egional Victoria, </w:t>
      </w:r>
      <w:r>
        <w:t>r</w:t>
      </w:r>
      <w:r w:rsidR="00344805">
        <w:t xml:space="preserve">egional </w:t>
      </w:r>
      <w:r w:rsidR="00A413DC">
        <w:t xml:space="preserve">Western Australia central, </w:t>
      </w:r>
      <w:r>
        <w:t>r</w:t>
      </w:r>
      <w:r w:rsidR="00A413DC">
        <w:t xml:space="preserve">egional Western Australia </w:t>
      </w:r>
      <w:r w:rsidR="0078010A">
        <w:t>south)</w:t>
      </w:r>
    </w:p>
    <w:p w14:paraId="59819C29" w14:textId="1C33655D" w:rsidR="0077493F" w:rsidRDefault="008D441E" w:rsidP="004B6863">
      <w:pPr>
        <w:pStyle w:val="Bulletlevel1last"/>
      </w:pPr>
      <w:r>
        <w:t>r</w:t>
      </w:r>
      <w:r w:rsidR="0077493F">
        <w:t>egional WA central</w:t>
      </w:r>
      <w:r>
        <w:t>.</w:t>
      </w:r>
    </w:p>
    <w:p w14:paraId="721E3570" w14:textId="0DFA9FC0" w:rsidR="00CF5301" w:rsidRDefault="00905835" w:rsidP="004B6863">
      <w:pPr>
        <w:pStyle w:val="Paragraphbeforelist"/>
      </w:pPr>
      <w:r>
        <w:t>We</w:t>
      </w:r>
      <w:r w:rsidR="00A570CD">
        <w:t xml:space="preserve"> consider this approach best balances </w:t>
      </w:r>
      <w:r w:rsidR="009678C9">
        <w:t xml:space="preserve">likely </w:t>
      </w:r>
      <w:r w:rsidR="00314DC4">
        <w:t xml:space="preserve">spectrum </w:t>
      </w:r>
      <w:r w:rsidR="009819A1">
        <w:t>demand</w:t>
      </w:r>
      <w:r w:rsidR="00C770E8">
        <w:t xml:space="preserve"> for </w:t>
      </w:r>
      <w:r w:rsidR="008D441E">
        <w:t>wide-area wireless broadband (</w:t>
      </w:r>
      <w:r w:rsidR="003D7B19">
        <w:t>WA WBB</w:t>
      </w:r>
      <w:r w:rsidR="008D441E">
        <w:t>)</w:t>
      </w:r>
      <w:r w:rsidR="003D7B19">
        <w:t xml:space="preserve"> </w:t>
      </w:r>
      <w:r w:rsidR="00DF240A">
        <w:t>and</w:t>
      </w:r>
      <w:r w:rsidR="0032634F">
        <w:t xml:space="preserve"> LA WBB </w:t>
      </w:r>
      <w:r w:rsidR="009678C9">
        <w:t xml:space="preserve">uses and </w:t>
      </w:r>
      <w:r w:rsidR="00314DC4">
        <w:t>services</w:t>
      </w:r>
      <w:r w:rsidR="008D441E">
        <w:t>, because</w:t>
      </w:r>
      <w:r w:rsidR="00CF5301">
        <w:t>:</w:t>
      </w:r>
      <w:r w:rsidR="00E80179">
        <w:t xml:space="preserve"> </w:t>
      </w:r>
    </w:p>
    <w:p w14:paraId="6E780143" w14:textId="629F43B5" w:rsidR="002C0B6F" w:rsidRDefault="008D441E" w:rsidP="004B6863">
      <w:pPr>
        <w:pStyle w:val="Bulletlevel1"/>
      </w:pPr>
      <w:r>
        <w:t>i</w:t>
      </w:r>
      <w:r w:rsidR="002C0B6F">
        <w:t>t consolidates spectrum</w:t>
      </w:r>
      <w:r>
        <w:t>-</w:t>
      </w:r>
      <w:r w:rsidR="002C0B6F">
        <w:t xml:space="preserve"> and apparatus</w:t>
      </w:r>
      <w:r>
        <w:t>-</w:t>
      </w:r>
      <w:r w:rsidR="002C0B6F">
        <w:t xml:space="preserve">licence </w:t>
      </w:r>
      <w:r w:rsidR="00C64C50">
        <w:t>arrangements</w:t>
      </w:r>
    </w:p>
    <w:p w14:paraId="5F8F95E4" w14:textId="6CD8F292" w:rsidR="00BA3884" w:rsidRDefault="008D441E" w:rsidP="004B6863">
      <w:pPr>
        <w:pStyle w:val="Bulletlevel1"/>
      </w:pPr>
      <w:r>
        <w:t>i</w:t>
      </w:r>
      <w:r w:rsidR="00E80179">
        <w:t>t</w:t>
      </w:r>
      <w:r w:rsidR="0032634F">
        <w:t xml:space="preserve"> </w:t>
      </w:r>
      <w:r w:rsidR="00235C20">
        <w:t xml:space="preserve">helps to </w:t>
      </w:r>
      <w:r w:rsidR="006C5BCC">
        <w:t xml:space="preserve">maximise spectrum utility </w:t>
      </w:r>
      <w:r w:rsidR="00857E80">
        <w:t xml:space="preserve">by </w:t>
      </w:r>
      <w:r w:rsidR="001F6549">
        <w:t xml:space="preserve">reducing the impact of orphaned spectrum and </w:t>
      </w:r>
      <w:r w:rsidR="00AF2B34">
        <w:t xml:space="preserve">the amount of </w:t>
      </w:r>
      <w:r w:rsidR="00F02A2E">
        <w:t xml:space="preserve">spectrum encompassed in </w:t>
      </w:r>
      <w:r w:rsidR="008C1610">
        <w:t xml:space="preserve">restricted use </w:t>
      </w:r>
      <w:r w:rsidR="00F02A2E">
        <w:t>bands</w:t>
      </w:r>
      <w:r w:rsidR="008C1610">
        <w:t xml:space="preserve">, </w:t>
      </w:r>
      <w:r w:rsidR="00015A48">
        <w:t>a</w:t>
      </w:r>
      <w:r w:rsidR="00BA5B92">
        <w:t>s well as</w:t>
      </w:r>
      <w:r w:rsidR="00015A48">
        <w:t xml:space="preserve"> </w:t>
      </w:r>
      <w:r w:rsidR="00AB6171">
        <w:t xml:space="preserve">reducing the impact of </w:t>
      </w:r>
      <w:r w:rsidR="00356CE6">
        <w:t>areas of reduced utility (</w:t>
      </w:r>
      <w:r w:rsidR="00C77CD7">
        <w:t>sometimes referred to as ‘</w:t>
      </w:r>
      <w:r w:rsidR="00AB6171">
        <w:t>dead zones</w:t>
      </w:r>
      <w:r w:rsidR="00C77CD7">
        <w:t>’)</w:t>
      </w:r>
      <w:r w:rsidR="00AB6171">
        <w:t xml:space="preserve"> by </w:t>
      </w:r>
      <w:r w:rsidR="00835DF2">
        <w:t>set</w:t>
      </w:r>
      <w:r w:rsidR="00015A48">
        <w:t>ting</w:t>
      </w:r>
      <w:r w:rsidR="002C63EB">
        <w:t xml:space="preserve"> AWL and spectrum</w:t>
      </w:r>
      <w:r w:rsidR="00293210">
        <w:t xml:space="preserve"> </w:t>
      </w:r>
      <w:r w:rsidR="007432F2">
        <w:t xml:space="preserve">licence </w:t>
      </w:r>
      <w:r w:rsidR="002C63EB">
        <w:t>ar</w:t>
      </w:r>
      <w:r w:rsidR="006B0DE3">
        <w:t>e</w:t>
      </w:r>
      <w:r w:rsidR="002C63EB">
        <w:t xml:space="preserve">a </w:t>
      </w:r>
      <w:r w:rsidR="007432F2">
        <w:t>boun</w:t>
      </w:r>
      <w:r w:rsidR="00115747">
        <w:t xml:space="preserve">daries </w:t>
      </w:r>
      <w:r w:rsidR="00835DF2">
        <w:t>in lower population density</w:t>
      </w:r>
      <w:r w:rsidR="00713108">
        <w:t xml:space="preserve"> areas</w:t>
      </w:r>
    </w:p>
    <w:p w14:paraId="29452628" w14:textId="4CEC79A4" w:rsidR="00BA3884" w:rsidRDefault="008D441E" w:rsidP="004B6863">
      <w:pPr>
        <w:pStyle w:val="Bulletlevel1"/>
      </w:pPr>
      <w:r>
        <w:t>t</w:t>
      </w:r>
      <w:r w:rsidR="00261D7D">
        <w:t>he</w:t>
      </w:r>
      <w:r w:rsidR="00D878BF">
        <w:t xml:space="preserve"> total amount of useable spectrum available for AWLs in all areas (except regional WA central)</w:t>
      </w:r>
      <w:r w:rsidR="00FF1927">
        <w:t xml:space="preserve"> is </w:t>
      </w:r>
      <w:r w:rsidR="00D57429">
        <w:t xml:space="preserve">similar or greater </w:t>
      </w:r>
      <w:r w:rsidR="00651561">
        <w:t xml:space="preserve">to </w:t>
      </w:r>
      <w:r w:rsidR="00FA6D91">
        <w:t xml:space="preserve">previous </w:t>
      </w:r>
      <w:r w:rsidR="0089544E">
        <w:t xml:space="preserve">planning decisions </w:t>
      </w:r>
      <w:r w:rsidR="00D57658">
        <w:t xml:space="preserve">(detailed under Option 1 in the </w:t>
      </w:r>
      <w:r w:rsidR="00881A6D">
        <w:t>r</w:t>
      </w:r>
      <w:r w:rsidR="00D57658">
        <w:t xml:space="preserve">e-allocation paper) </w:t>
      </w:r>
      <w:r w:rsidR="00E528CB">
        <w:t>when the impacts of restricted use bands are considered</w:t>
      </w:r>
    </w:p>
    <w:p w14:paraId="1871020F" w14:textId="03F9FA04" w:rsidR="001A6F96" w:rsidRDefault="00E528CB" w:rsidP="004B6863">
      <w:pPr>
        <w:pStyle w:val="Bulletlevel1"/>
      </w:pPr>
      <w:r>
        <w:t>there are options for AWLs to access portions of the 3400</w:t>
      </w:r>
      <w:r w:rsidR="008D441E">
        <w:t>–</w:t>
      </w:r>
      <w:r>
        <w:t>3800 MHz frequency range</w:t>
      </w:r>
      <w:r w:rsidR="008D441E">
        <w:t xml:space="preserve"> in most metropolitan and regional areas</w:t>
      </w:r>
      <w:r w:rsidR="00F623D1">
        <w:t xml:space="preserve">. </w:t>
      </w:r>
      <w:r w:rsidR="00157D27">
        <w:t xml:space="preserve">Submissions from </w:t>
      </w:r>
      <w:r w:rsidR="005C2CDE">
        <w:t xml:space="preserve">the </w:t>
      </w:r>
      <w:r>
        <w:t>LA WBB</w:t>
      </w:r>
      <w:r w:rsidR="005C2CDE">
        <w:t xml:space="preserve"> </w:t>
      </w:r>
      <w:r w:rsidR="003062BA">
        <w:t xml:space="preserve">community </w:t>
      </w:r>
      <w:r w:rsidR="00157D27">
        <w:t>expressed</w:t>
      </w:r>
      <w:r>
        <w:t xml:space="preserve"> interest </w:t>
      </w:r>
      <w:r w:rsidR="00157D27">
        <w:t>in this</w:t>
      </w:r>
      <w:r>
        <w:t xml:space="preserve"> </w:t>
      </w:r>
      <w:r w:rsidR="00253B26">
        <w:t xml:space="preserve">approach </w:t>
      </w:r>
      <w:r>
        <w:t xml:space="preserve">as it </w:t>
      </w:r>
      <w:r w:rsidR="009C1CC0">
        <w:t xml:space="preserve">provides the flexibility to </w:t>
      </w:r>
      <w:r>
        <w:t xml:space="preserve">support both 4G and 5G technologies  </w:t>
      </w:r>
    </w:p>
    <w:p w14:paraId="308C0089" w14:textId="543FCF61" w:rsidR="00A265A9" w:rsidRDefault="008D441E" w:rsidP="004B6863">
      <w:pPr>
        <w:pStyle w:val="Bulletlevel1last"/>
      </w:pPr>
      <w:r>
        <w:t>i</w:t>
      </w:r>
      <w:r w:rsidR="00E528CB">
        <w:t>t balances the impact on existing point</w:t>
      </w:r>
      <w:r w:rsidR="005602FC">
        <w:t>-</w:t>
      </w:r>
      <w:r w:rsidR="00E528CB">
        <w:t>to</w:t>
      </w:r>
      <w:r w:rsidR="005602FC">
        <w:t>-</w:t>
      </w:r>
      <w:r w:rsidR="00E528CB">
        <w:t>point, point</w:t>
      </w:r>
      <w:r w:rsidR="005602FC">
        <w:t>-</w:t>
      </w:r>
      <w:r w:rsidR="00E528CB">
        <w:t>to</w:t>
      </w:r>
      <w:r w:rsidR="005602FC">
        <w:t>-</w:t>
      </w:r>
      <w:r w:rsidR="00E528CB">
        <w:t>multipoint and satellite service licences with the demand for spectrum for WBB services.</w:t>
      </w:r>
    </w:p>
    <w:p w14:paraId="419E1C07" w14:textId="365C7D8D" w:rsidR="002179B2" w:rsidRDefault="00514073" w:rsidP="000D1842">
      <w:r>
        <w:t>We have</w:t>
      </w:r>
      <w:r w:rsidR="000D1842">
        <w:t xml:space="preserve"> also made m</w:t>
      </w:r>
      <w:r w:rsidR="00B153F6">
        <w:t xml:space="preserve">inor variations to </w:t>
      </w:r>
      <w:r w:rsidR="006E5235">
        <w:t>the regional area 2 definitions</w:t>
      </w:r>
      <w:r w:rsidR="006A73E1">
        <w:t>. This was</w:t>
      </w:r>
      <w:r w:rsidR="006E5235">
        <w:t xml:space="preserve"> to </w:t>
      </w:r>
      <w:r w:rsidR="00B153F6">
        <w:t xml:space="preserve">align </w:t>
      </w:r>
      <w:r w:rsidR="006A73E1">
        <w:t xml:space="preserve">the </w:t>
      </w:r>
      <w:r w:rsidR="005E2EE5">
        <w:t xml:space="preserve">geographic areas in </w:t>
      </w:r>
      <w:r w:rsidR="00510DE9">
        <w:t xml:space="preserve">the </w:t>
      </w:r>
      <w:r w:rsidR="007114BA">
        <w:t xml:space="preserve">3.7 GHz band with </w:t>
      </w:r>
      <w:r w:rsidR="00510DE9">
        <w:t xml:space="preserve">the </w:t>
      </w:r>
      <w:r w:rsidR="00ED701C">
        <w:t xml:space="preserve">lot definitions used in the </w:t>
      </w:r>
      <w:r w:rsidR="006A73E1">
        <w:t>allocation</w:t>
      </w:r>
      <w:r w:rsidR="00ED701C">
        <w:t xml:space="preserve"> of spectrum </w:t>
      </w:r>
      <w:r w:rsidR="00BA5477">
        <w:t xml:space="preserve">in the </w:t>
      </w:r>
      <w:r w:rsidR="007114BA">
        <w:t xml:space="preserve">frequency adjacent 3.6 GHz </w:t>
      </w:r>
      <w:r w:rsidR="00510DE9">
        <w:t>band</w:t>
      </w:r>
      <w:r w:rsidR="00CB570B">
        <w:t xml:space="preserve"> (3.575</w:t>
      </w:r>
      <w:r w:rsidR="005602FC">
        <w:t>–</w:t>
      </w:r>
      <w:r w:rsidR="00CB570B">
        <w:t>3.7 GHz in metropolitan and regional areas)</w:t>
      </w:r>
      <w:r w:rsidR="006A73E1">
        <w:t xml:space="preserve">. </w:t>
      </w:r>
      <w:r w:rsidR="00C765F3">
        <w:t xml:space="preserve">These </w:t>
      </w:r>
      <w:r w:rsidR="00925AB8">
        <w:t>changes</w:t>
      </w:r>
      <w:r w:rsidR="00E7329F">
        <w:t xml:space="preserve"> </w:t>
      </w:r>
      <w:r w:rsidR="0086176F">
        <w:t>are expected to</w:t>
      </w:r>
      <w:r w:rsidR="00C55963">
        <w:t xml:space="preserve"> </w:t>
      </w:r>
      <w:r w:rsidR="00C35A61">
        <w:t>facilitate</w:t>
      </w:r>
      <w:r w:rsidR="002C1DE5">
        <w:t xml:space="preserve"> future</w:t>
      </w:r>
      <w:r w:rsidR="00C35A61">
        <w:t xml:space="preserve"> </w:t>
      </w:r>
      <w:r w:rsidR="00234F0E">
        <w:t xml:space="preserve">possible </w:t>
      </w:r>
      <w:r w:rsidR="007767B8">
        <w:t xml:space="preserve">spectrum licence </w:t>
      </w:r>
      <w:r w:rsidR="00C35A61">
        <w:t>defragmentation activities</w:t>
      </w:r>
      <w:r w:rsidR="007534AC">
        <w:t xml:space="preserve"> </w:t>
      </w:r>
      <w:r w:rsidR="009B3DAC">
        <w:t xml:space="preserve">and reduce the risk of small </w:t>
      </w:r>
      <w:r w:rsidR="002D250D">
        <w:t>low</w:t>
      </w:r>
      <w:r w:rsidR="005602FC">
        <w:t>-</w:t>
      </w:r>
      <w:r w:rsidR="002D250D">
        <w:t xml:space="preserve">utility areas arising from such </w:t>
      </w:r>
      <w:r w:rsidR="00F80A78">
        <w:t>a process</w:t>
      </w:r>
      <w:r w:rsidR="007114BA">
        <w:t>.</w:t>
      </w:r>
      <w:r w:rsidR="00C35A61">
        <w:t xml:space="preserve"> </w:t>
      </w:r>
    </w:p>
    <w:p w14:paraId="33F249C2" w14:textId="154968EF" w:rsidR="00B153F6" w:rsidRDefault="00973033" w:rsidP="000D1842">
      <w:r>
        <w:t xml:space="preserve">Consistent with proposals made in the </w:t>
      </w:r>
      <w:r w:rsidR="00881A6D">
        <w:t>re-allocation paper</w:t>
      </w:r>
      <w:r w:rsidR="008C2156">
        <w:t xml:space="preserve">, </w:t>
      </w:r>
      <w:r w:rsidR="003316D6">
        <w:t xml:space="preserve">Earth Station Protection Zones </w:t>
      </w:r>
      <w:r w:rsidR="000A3446">
        <w:t xml:space="preserve">(ESPZs) </w:t>
      </w:r>
      <w:r w:rsidR="003316D6">
        <w:t xml:space="preserve">will </w:t>
      </w:r>
      <w:r w:rsidR="00623E36">
        <w:t>not be re-allocated in</w:t>
      </w:r>
      <w:r w:rsidR="003316D6">
        <w:t xml:space="preserve"> the 3.4 GHz and 3.7 GHz bands to protect </w:t>
      </w:r>
      <w:r w:rsidR="00E50065">
        <w:t>satellite services</w:t>
      </w:r>
      <w:r w:rsidR="00B200D3">
        <w:t>, with the exception of Quirindi</w:t>
      </w:r>
      <w:r w:rsidR="00BE4C0A">
        <w:t xml:space="preserve"> in the 3.4 GHz band, </w:t>
      </w:r>
      <w:r w:rsidR="009E7855">
        <w:t xml:space="preserve">which is already </w:t>
      </w:r>
      <w:r w:rsidR="00801CD8">
        <w:t>subject to spectrum licensing.</w:t>
      </w:r>
    </w:p>
    <w:p w14:paraId="5AE6CBCB" w14:textId="1493215F" w:rsidR="00374399" w:rsidRDefault="00374399" w:rsidP="00BB160A">
      <w:pPr>
        <w:pStyle w:val="Heading4"/>
      </w:pPr>
      <w:r>
        <w:t>Re-allocation period and deadline</w:t>
      </w:r>
    </w:p>
    <w:p w14:paraId="1CFC4F72" w14:textId="3C4B6314" w:rsidR="001B587A" w:rsidRDefault="0032509E" w:rsidP="000D1842">
      <w:r>
        <w:t xml:space="preserve">We </w:t>
      </w:r>
      <w:r w:rsidR="008F42C9">
        <w:t>have set a re-allocation period of 5 years to ensure reasonable transition arrangements for ex</w:t>
      </w:r>
      <w:r w:rsidR="00B7322C">
        <w:t xml:space="preserve">isting licensees </w:t>
      </w:r>
      <w:r w:rsidR="005602FC">
        <w:t xml:space="preserve">affected </w:t>
      </w:r>
      <w:r w:rsidR="000D4A64">
        <w:t xml:space="preserve">by the re-allocation declaration. </w:t>
      </w:r>
      <w:r w:rsidR="00DA0713">
        <w:t xml:space="preserve">Our intention to </w:t>
      </w:r>
      <w:r w:rsidR="00CA267B">
        <w:t xml:space="preserve">provide for licence commencement shortly after the auction will enable </w:t>
      </w:r>
      <w:r w:rsidR="00667490">
        <w:t xml:space="preserve">licensees to </w:t>
      </w:r>
      <w:r w:rsidR="00A656F9">
        <w:t>deploy</w:t>
      </w:r>
      <w:r w:rsidR="00DA0713">
        <w:t xml:space="preserve"> </w:t>
      </w:r>
      <w:r w:rsidR="00A53445">
        <w:t>network equipment</w:t>
      </w:r>
      <w:r w:rsidR="00A656F9">
        <w:t xml:space="preserve"> </w:t>
      </w:r>
      <w:r w:rsidR="005F508C">
        <w:t xml:space="preserve">where they </w:t>
      </w:r>
      <w:r w:rsidR="00B62902">
        <w:t>will not cause interference to incumbent services.</w:t>
      </w:r>
      <w:r w:rsidR="005F508C">
        <w:t xml:space="preserve"> </w:t>
      </w:r>
    </w:p>
    <w:p w14:paraId="5A03EFD2" w14:textId="41581EBF" w:rsidR="00374399" w:rsidRDefault="00630F37" w:rsidP="4307CAF0">
      <w:r>
        <w:t xml:space="preserve">We have extended the re-allocation deadline from 4 years (as proposed in the </w:t>
      </w:r>
      <w:r w:rsidR="00881A6D">
        <w:t>re-allocation paper</w:t>
      </w:r>
      <w:r>
        <w:t xml:space="preserve">) to </w:t>
      </w:r>
      <w:r w:rsidR="005602FC">
        <w:t>5 </w:t>
      </w:r>
      <w:r w:rsidR="00835BFD">
        <w:t xml:space="preserve">years, </w:t>
      </w:r>
      <w:r w:rsidR="00E062B1">
        <w:t>to maximise the opportunity to allocate all of the available spectrum before the re-allocation deadline expires.</w:t>
      </w:r>
    </w:p>
    <w:p w14:paraId="2F51E426" w14:textId="2CB365E1" w:rsidR="001D73C4" w:rsidRPr="00E162C4" w:rsidRDefault="001D73C4">
      <w:pPr>
        <w:pStyle w:val="Heading1"/>
      </w:pPr>
      <w:bookmarkStart w:id="3" w:name="_Toc108697859"/>
      <w:bookmarkEnd w:id="2"/>
      <w:r>
        <w:lastRenderedPageBreak/>
        <w:t>Introduction</w:t>
      </w:r>
      <w:bookmarkEnd w:id="3"/>
    </w:p>
    <w:p w14:paraId="2F10F493" w14:textId="15DABF35" w:rsidR="00102E07" w:rsidRDefault="00102E07" w:rsidP="00102E07">
      <w:pPr>
        <w:pStyle w:val="Paragraphbeforelist"/>
      </w:pPr>
      <w:r>
        <w:t xml:space="preserve">In recent years, the Australian Communications and Media Authority has undertaken multiple streams of work </w:t>
      </w:r>
      <w:r w:rsidR="002C7093">
        <w:t>to</w:t>
      </w:r>
      <w:r>
        <w:t xml:space="preserve"> replan and optimis</w:t>
      </w:r>
      <w:r w:rsidR="00A375E1">
        <w:t>e</w:t>
      </w:r>
      <w:r>
        <w:t xml:space="preserve"> arrangements across the 3400–4200 MHz frequency range. This includes:</w:t>
      </w:r>
    </w:p>
    <w:p w14:paraId="388364CC" w14:textId="77777777" w:rsidR="00102E07" w:rsidRDefault="00102E07" w:rsidP="00102E07">
      <w:pPr>
        <w:pStyle w:val="Bulletlevel1"/>
        <w:numPr>
          <w:ilvl w:val="0"/>
          <w:numId w:val="30"/>
        </w:numPr>
      </w:pPr>
      <w:r>
        <w:t>optimising arrangements in the 3400–3575 MHz frequency range, including excising unused parts of NBN Co’s spectrum holdings in metropolitan areas</w:t>
      </w:r>
    </w:p>
    <w:p w14:paraId="49684517" w14:textId="77777777" w:rsidR="00423092" w:rsidRDefault="00102E07" w:rsidP="00423092">
      <w:pPr>
        <w:pStyle w:val="Bulletlevel1last"/>
        <w:numPr>
          <w:ilvl w:val="0"/>
          <w:numId w:val="30"/>
        </w:numPr>
        <w:spacing w:after="80"/>
      </w:pPr>
      <w:r>
        <w:t>new planning arrangements for the 3700–4000 MHz frequency range</w:t>
      </w:r>
    </w:p>
    <w:p w14:paraId="23BEC532" w14:textId="03E60E07" w:rsidR="00102E07" w:rsidRDefault="00423092" w:rsidP="00102E07">
      <w:pPr>
        <w:pStyle w:val="Bulletlevel1last"/>
        <w:numPr>
          <w:ilvl w:val="0"/>
          <w:numId w:val="30"/>
        </w:numPr>
      </w:pPr>
      <w:r>
        <w:t>planning for wireless broadband (WBB) use of urban areas in the 3400</w:t>
      </w:r>
      <w:r w:rsidR="005602FC">
        <w:t>–</w:t>
      </w:r>
      <w:r>
        <w:t>3475 MHz band</w:t>
      </w:r>
      <w:r w:rsidR="00102E07">
        <w:t>.</w:t>
      </w:r>
    </w:p>
    <w:p w14:paraId="54F232CA" w14:textId="70342C0D" w:rsidR="00AA3A03" w:rsidRDefault="0086318F" w:rsidP="66D634AD">
      <w:pPr>
        <w:spacing w:line="240" w:lineRule="auto"/>
        <w:rPr>
          <w:rFonts w:ascii="Times New Roman" w:hAnsi="Times New Roman"/>
          <w:sz w:val="24"/>
        </w:rPr>
      </w:pPr>
      <w:r>
        <w:t>I</w:t>
      </w:r>
      <w:r w:rsidR="3A6FC911">
        <w:t>n March 2022</w:t>
      </w:r>
      <w:r w:rsidR="00CB31F5">
        <w:t>,</w:t>
      </w:r>
      <w:r w:rsidR="3A6FC911">
        <w:t xml:space="preserve"> we released the </w:t>
      </w:r>
      <w:hyperlink r:id="rId29" w:history="1">
        <w:r w:rsidR="3A6FC911" w:rsidRPr="004B6863">
          <w:rPr>
            <w:rStyle w:val="Hyperlink"/>
            <w:i/>
            <w:iCs/>
          </w:rPr>
          <w:t>Proposed spectrum re-allocation declaration for the 3.4</w:t>
        </w:r>
        <w:r w:rsidR="00670AC1" w:rsidRPr="004B6863">
          <w:rPr>
            <w:rStyle w:val="Hyperlink"/>
            <w:i/>
            <w:iCs/>
          </w:rPr>
          <w:t> </w:t>
        </w:r>
        <w:r w:rsidR="3A6FC911" w:rsidRPr="004B6863">
          <w:rPr>
            <w:rStyle w:val="Hyperlink"/>
            <w:i/>
            <w:iCs/>
          </w:rPr>
          <w:t>GHz and 3.7 GHz bands</w:t>
        </w:r>
      </w:hyperlink>
      <w:r w:rsidR="3A6FC911">
        <w:t xml:space="preserve"> consultation paper</w:t>
      </w:r>
      <w:r w:rsidR="6343F804">
        <w:t xml:space="preserve"> (the </w:t>
      </w:r>
      <w:r w:rsidR="00881A6D">
        <w:t>re-allocation paper</w:t>
      </w:r>
      <w:r w:rsidR="6343F804">
        <w:t>)</w:t>
      </w:r>
      <w:r w:rsidR="3A6FC911">
        <w:t>.</w:t>
      </w:r>
      <w:r w:rsidR="005602FC">
        <w:t xml:space="preserve"> </w:t>
      </w:r>
      <w:r w:rsidR="6343F804">
        <w:t xml:space="preserve">The </w:t>
      </w:r>
      <w:r w:rsidR="00881A6D">
        <w:t>re-allocation paper</w:t>
      </w:r>
      <w:r w:rsidR="6343F804">
        <w:t xml:space="preserve"> progressed discussion on use of </w:t>
      </w:r>
      <w:r w:rsidR="2747F49C">
        <w:t xml:space="preserve">defined </w:t>
      </w:r>
      <w:r w:rsidR="6343F804">
        <w:t>urban areas in the 3400</w:t>
      </w:r>
      <w:r w:rsidR="005602FC">
        <w:t>–</w:t>
      </w:r>
      <w:r w:rsidR="6343F804">
        <w:t xml:space="preserve">3475 MHz band </w:t>
      </w:r>
      <w:r w:rsidR="2747F49C">
        <w:t>(referred to as urban excise)</w:t>
      </w:r>
      <w:r w:rsidR="00B1172E">
        <w:rPr>
          <w:rStyle w:val="FootnoteReference"/>
        </w:rPr>
        <w:footnoteReference w:id="2"/>
      </w:r>
      <w:r w:rsidR="2747F49C">
        <w:t xml:space="preserve"> </w:t>
      </w:r>
      <w:r w:rsidR="6343F804">
        <w:t xml:space="preserve">and identified </w:t>
      </w:r>
      <w:r w:rsidR="3A6FC911">
        <w:t>3 options for spectrum that could be considered for inclusion in a re-allocation declaration</w:t>
      </w:r>
      <w:r w:rsidR="00A375E1">
        <w:t xml:space="preserve"> under section 153B of the </w:t>
      </w:r>
      <w:hyperlink r:id="rId30" w:history="1">
        <w:r w:rsidR="005602FC">
          <w:rPr>
            <w:rStyle w:val="Hyperlink"/>
            <w:i/>
          </w:rPr>
          <w:t>Radiocommunications Act 1992</w:t>
        </w:r>
      </w:hyperlink>
      <w:r w:rsidR="005602FC" w:rsidRPr="004B6863">
        <w:rPr>
          <w:rStyle w:val="Hyperlink"/>
          <w:iCs/>
          <w:color w:val="auto"/>
          <w:u w:val="none"/>
        </w:rPr>
        <w:t xml:space="preserve"> (the Act)</w:t>
      </w:r>
      <w:r w:rsidR="3A6FC911">
        <w:t>.</w:t>
      </w:r>
      <w:r w:rsidR="00E25025">
        <w:t xml:space="preserve"> </w:t>
      </w:r>
      <w:r w:rsidR="002604CB">
        <w:t>Initial v</w:t>
      </w:r>
      <w:r w:rsidR="00E25025">
        <w:t xml:space="preserve">iews were also sought on </w:t>
      </w:r>
      <w:r w:rsidR="00580E46">
        <w:t>several</w:t>
      </w:r>
      <w:r w:rsidR="00FE6E7C">
        <w:t xml:space="preserve"> allocation</w:t>
      </w:r>
      <w:r w:rsidR="005602FC">
        <w:t>-</w:t>
      </w:r>
      <w:r w:rsidR="00FE6E7C">
        <w:t>related issue</w:t>
      </w:r>
      <w:r w:rsidR="007B495A">
        <w:t>s</w:t>
      </w:r>
      <w:r w:rsidR="002604CB">
        <w:t>.</w:t>
      </w:r>
      <w:r w:rsidR="3A6FC911">
        <w:t xml:space="preserve"> </w:t>
      </w:r>
      <w:r w:rsidR="6343F804">
        <w:t xml:space="preserve">Consultation closed </w:t>
      </w:r>
      <w:r w:rsidR="005602FC">
        <w:t>in</w:t>
      </w:r>
      <w:r w:rsidR="6343F804">
        <w:t xml:space="preserve"> May 2022</w:t>
      </w:r>
      <w:r w:rsidR="005602FC">
        <w:t>, and we received 31</w:t>
      </w:r>
      <w:r w:rsidR="6343F804">
        <w:t xml:space="preserve"> submissions. </w:t>
      </w:r>
      <w:bookmarkStart w:id="4" w:name="_Hlk89161004"/>
    </w:p>
    <w:p w14:paraId="26DD46D1" w14:textId="0C24EAC0" w:rsidR="00B1172E" w:rsidRPr="00AA3A03" w:rsidRDefault="2747F49C" w:rsidP="66D634AD">
      <w:pPr>
        <w:spacing w:after="0" w:line="240" w:lineRule="auto"/>
        <w:rPr>
          <w:rFonts w:ascii="Times New Roman" w:hAnsi="Times New Roman"/>
          <w:sz w:val="24"/>
        </w:rPr>
      </w:pPr>
      <w:r>
        <w:t>This paper provides a summary of submissions received</w:t>
      </w:r>
      <w:r w:rsidR="769FC133">
        <w:t xml:space="preserve"> to the </w:t>
      </w:r>
      <w:r w:rsidR="00881A6D">
        <w:t>re-allocation paper</w:t>
      </w:r>
      <w:r>
        <w:t xml:space="preserve">. </w:t>
      </w:r>
      <w:r w:rsidR="00A405D7">
        <w:t>It </w:t>
      </w:r>
      <w:r>
        <w:t>also provides the outcomes o</w:t>
      </w:r>
      <w:r w:rsidR="769FC133">
        <w:t xml:space="preserve">f the </w:t>
      </w:r>
      <w:r>
        <w:t xml:space="preserve">consultation process </w:t>
      </w:r>
      <w:r w:rsidR="005602FC">
        <w:t>for</w:t>
      </w:r>
      <w:r>
        <w:t xml:space="preserve"> </w:t>
      </w:r>
      <w:r w:rsidR="769FC133">
        <w:t xml:space="preserve">the </w:t>
      </w:r>
      <w:r>
        <w:t xml:space="preserve">use of urban excise areas and the </w:t>
      </w:r>
      <w:r w:rsidR="003A7C5B">
        <w:t>re-allocation</w:t>
      </w:r>
      <w:r>
        <w:t xml:space="preserve"> of spectrum for the issue of spectrum licences in the 3.</w:t>
      </w:r>
      <w:r w:rsidR="00A405D7">
        <w:t>4 </w:t>
      </w:r>
      <w:r>
        <w:t xml:space="preserve">GHz and 3.7 GHz bands. </w:t>
      </w:r>
    </w:p>
    <w:p w14:paraId="0345CD99" w14:textId="77777777" w:rsidR="00102E07" w:rsidRDefault="00102E07" w:rsidP="00102E07">
      <w:pPr>
        <w:pStyle w:val="Heading2"/>
      </w:pPr>
      <w:bookmarkStart w:id="5" w:name="_Toc96940979"/>
      <w:bookmarkStart w:id="6" w:name="_Toc108697860"/>
      <w:bookmarkEnd w:id="4"/>
      <w:r>
        <w:t>Legislative context and policy environment</w:t>
      </w:r>
      <w:bookmarkEnd w:id="5"/>
      <w:bookmarkEnd w:id="6"/>
    </w:p>
    <w:p w14:paraId="27ED2812" w14:textId="1A32DCAD" w:rsidR="00102E07" w:rsidRDefault="00102E07" w:rsidP="00102E07">
      <w:pPr>
        <w:ind w:right="16"/>
      </w:pPr>
      <w:r>
        <w:t xml:space="preserve">Planning and allocating communications infrastructure resources, including spectrum, is a key priority for the ACMA. We aim to plan and allocate spectrum transparently, efficiently and consistently with our </w:t>
      </w:r>
      <w:r w:rsidR="0086318F">
        <w:t>legal</w:t>
      </w:r>
      <w:r>
        <w:t xml:space="preserve"> obligations, to address changing demand to support innovative communications services.</w:t>
      </w:r>
      <w:r>
        <w:rPr>
          <w:vertAlign w:val="superscript"/>
        </w:rPr>
        <w:footnoteReference w:id="3"/>
      </w:r>
      <w:r>
        <w:t xml:space="preserve"> </w:t>
      </w:r>
    </w:p>
    <w:p w14:paraId="50270AF0" w14:textId="77777777" w:rsidR="00102E07" w:rsidRDefault="00102E07" w:rsidP="00102E07">
      <w:pPr>
        <w:pStyle w:val="Heading3"/>
        <w:ind w:right="16"/>
      </w:pPr>
      <w:bookmarkStart w:id="7" w:name="_Guiding_legislation_and"/>
      <w:bookmarkStart w:id="8" w:name="_Ref78198576"/>
      <w:bookmarkEnd w:id="7"/>
      <w:r>
        <w:t xml:space="preserve">Guiding legislation </w:t>
      </w:r>
      <w:bookmarkEnd w:id="8"/>
    </w:p>
    <w:p w14:paraId="04DB8636" w14:textId="161147CE" w:rsidR="00102E07" w:rsidRDefault="00102E07" w:rsidP="00102E07">
      <w:pPr>
        <w:pStyle w:val="Paragraphbeforelist"/>
      </w:pPr>
      <w:r>
        <w:t>The ACMA’s decisions are guided by the object of the Act to promote the long</w:t>
      </w:r>
      <w:r>
        <w:rPr>
          <w:rFonts w:ascii="Cambria Math" w:hAnsi="Cambria Math" w:cs="Cambria Math"/>
        </w:rPr>
        <w:noBreakHyphen/>
      </w:r>
      <w:r>
        <w:t>term public interest derived from the use of the spectrum by providing for the management of the spectrum in a manner that:</w:t>
      </w:r>
    </w:p>
    <w:p w14:paraId="74B8841B" w14:textId="77777777" w:rsidR="00102E07" w:rsidRDefault="00102E07" w:rsidP="00102E07">
      <w:pPr>
        <w:pStyle w:val="ListParagraph"/>
        <w:numPr>
          <w:ilvl w:val="0"/>
          <w:numId w:val="31"/>
        </w:numPr>
        <w:spacing w:after="80"/>
        <w:ind w:right="17" w:hanging="357"/>
        <w:contextualSpacing w:val="0"/>
        <w:rPr>
          <w:rFonts w:cs="Arial"/>
          <w:szCs w:val="20"/>
        </w:rPr>
      </w:pPr>
      <w:r>
        <w:rPr>
          <w:rFonts w:cs="Arial"/>
          <w:szCs w:val="20"/>
        </w:rPr>
        <w:t>facilitates the efficient planning, allocation and use of the spectrum</w:t>
      </w:r>
    </w:p>
    <w:p w14:paraId="65B0EC61" w14:textId="77777777" w:rsidR="00102E07" w:rsidRDefault="00102E07" w:rsidP="00102E07">
      <w:pPr>
        <w:pStyle w:val="ListParagraph"/>
        <w:numPr>
          <w:ilvl w:val="0"/>
          <w:numId w:val="31"/>
        </w:numPr>
        <w:spacing w:after="80"/>
        <w:ind w:right="17" w:hanging="357"/>
        <w:contextualSpacing w:val="0"/>
        <w:rPr>
          <w:rFonts w:cs="Arial"/>
          <w:szCs w:val="20"/>
        </w:rPr>
      </w:pPr>
      <w:r>
        <w:rPr>
          <w:rFonts w:cs="Arial"/>
          <w:szCs w:val="20"/>
        </w:rPr>
        <w:t>facilitates the use of the spectrum for:</w:t>
      </w:r>
    </w:p>
    <w:p w14:paraId="4F6926B8" w14:textId="77777777" w:rsidR="00102E07" w:rsidRDefault="00102E07" w:rsidP="00102E07">
      <w:pPr>
        <w:pStyle w:val="ListParagraph"/>
        <w:numPr>
          <w:ilvl w:val="1"/>
          <w:numId w:val="32"/>
        </w:numPr>
        <w:spacing w:after="80"/>
        <w:ind w:left="709" w:right="17" w:hanging="357"/>
        <w:contextualSpacing w:val="0"/>
        <w:rPr>
          <w:rFonts w:cs="Arial"/>
          <w:szCs w:val="20"/>
        </w:rPr>
      </w:pPr>
      <w:r>
        <w:rPr>
          <w:rFonts w:cs="Arial"/>
          <w:szCs w:val="20"/>
        </w:rPr>
        <w:t>commercial purposes</w:t>
      </w:r>
    </w:p>
    <w:p w14:paraId="0FFF46C0" w14:textId="77777777" w:rsidR="00102E07" w:rsidRDefault="00102E07" w:rsidP="00102E07">
      <w:pPr>
        <w:pStyle w:val="ListParagraph"/>
        <w:numPr>
          <w:ilvl w:val="1"/>
          <w:numId w:val="32"/>
        </w:numPr>
        <w:spacing w:after="80"/>
        <w:ind w:left="709" w:right="17" w:hanging="357"/>
        <w:contextualSpacing w:val="0"/>
        <w:rPr>
          <w:rFonts w:cs="Arial"/>
          <w:szCs w:val="20"/>
        </w:rPr>
      </w:pPr>
      <w:r>
        <w:rPr>
          <w:rFonts w:cs="Arial"/>
          <w:szCs w:val="20"/>
        </w:rPr>
        <w:t>defence purposes, national security purposes and other non</w:t>
      </w:r>
      <w:r>
        <w:rPr>
          <w:rFonts w:ascii="Cambria Math" w:hAnsi="Cambria Math" w:cs="Cambria Math"/>
          <w:szCs w:val="20"/>
        </w:rPr>
        <w:noBreakHyphen/>
      </w:r>
      <w:r>
        <w:rPr>
          <w:rFonts w:cs="Arial"/>
          <w:szCs w:val="20"/>
        </w:rPr>
        <w:t>commercial purposes (including public safety and community purposes)</w:t>
      </w:r>
    </w:p>
    <w:p w14:paraId="4F49E86D" w14:textId="77777777" w:rsidR="00102E07" w:rsidRDefault="00102E07" w:rsidP="00102E07">
      <w:pPr>
        <w:pStyle w:val="ListParagraph"/>
        <w:numPr>
          <w:ilvl w:val="0"/>
          <w:numId w:val="31"/>
        </w:numPr>
        <w:spacing w:line="276" w:lineRule="auto"/>
        <w:ind w:left="357" w:right="17" w:hanging="357"/>
        <w:rPr>
          <w:rFonts w:cs="Arial"/>
          <w:szCs w:val="20"/>
        </w:rPr>
      </w:pPr>
      <w:r>
        <w:rPr>
          <w:rFonts w:cs="Arial"/>
          <w:szCs w:val="20"/>
        </w:rPr>
        <w:t>supports the communications policy objectives of the Australian Government.</w:t>
      </w:r>
    </w:p>
    <w:p w14:paraId="61666BAC" w14:textId="7514847B" w:rsidR="00102E07" w:rsidRDefault="00102E07" w:rsidP="00102E07">
      <w:pPr>
        <w:pStyle w:val="Paragraph"/>
      </w:pPr>
      <w:r>
        <w:t>The proposed terms of the re-allocation declarations for parts of the spectrum are informed by and</w:t>
      </w:r>
      <w:r w:rsidR="005602FC">
        <w:t xml:space="preserve">, </w:t>
      </w:r>
      <w:r>
        <w:t>consistent with</w:t>
      </w:r>
      <w:r w:rsidR="005602FC">
        <w:t>,</w:t>
      </w:r>
      <w:r>
        <w:t xml:space="preserve"> the object of the Act.</w:t>
      </w:r>
    </w:p>
    <w:p w14:paraId="313D89AA" w14:textId="16B13982" w:rsidR="00102E07" w:rsidRDefault="0008FB3C" w:rsidP="00102E07">
      <w:pPr>
        <w:pStyle w:val="Heading3"/>
      </w:pPr>
      <w:r>
        <w:lastRenderedPageBreak/>
        <w:t>Ministerial Policy Statement</w:t>
      </w:r>
      <w:r w:rsidR="00525147">
        <w:t xml:space="preserve"> (MPS)</w:t>
      </w:r>
    </w:p>
    <w:p w14:paraId="20D712FB" w14:textId="2F2B51CE" w:rsidR="00102E07" w:rsidRDefault="00E523CF" w:rsidP="00102E07">
      <w:pPr>
        <w:pStyle w:val="Paragraphbeforelist"/>
      </w:pPr>
      <w:r>
        <w:t>On 1 February 2022</w:t>
      </w:r>
      <w:r w:rsidR="00685B17">
        <w:t>,</w:t>
      </w:r>
      <w:r w:rsidR="00325CAD">
        <w:t xml:space="preserve"> t</w:t>
      </w:r>
      <w:r w:rsidR="00102E07">
        <w:t xml:space="preserve">he </w:t>
      </w:r>
      <w:r w:rsidR="0010059D">
        <w:t>then</w:t>
      </w:r>
      <w:r w:rsidR="00102E07">
        <w:t xml:space="preserve"> Minister for Communications, Urban Infrastructure, Cities and the Arts </w:t>
      </w:r>
      <w:r w:rsidR="00A375E1">
        <w:t xml:space="preserve">made </w:t>
      </w:r>
      <w:r w:rsidR="00102E07">
        <w:t>a</w:t>
      </w:r>
      <w:r w:rsidR="009D63A6">
        <w:t>n</w:t>
      </w:r>
      <w:r w:rsidR="00102E07">
        <w:t xml:space="preserve"> </w:t>
      </w:r>
      <w:hyperlink r:id="rId31" w:history="1">
        <w:r w:rsidR="00102E07" w:rsidRPr="0083122F">
          <w:rPr>
            <w:rStyle w:val="Hyperlink"/>
          </w:rPr>
          <w:t>MPS</w:t>
        </w:r>
      </w:hyperlink>
      <w:r w:rsidR="00102E07">
        <w:t xml:space="preserve"> </w:t>
      </w:r>
      <w:r w:rsidR="00A375E1">
        <w:t>specifying</w:t>
      </w:r>
      <w:r w:rsidR="00102E07">
        <w:t xml:space="preserve"> the following </w:t>
      </w:r>
      <w:r w:rsidR="00A375E1">
        <w:t>policy</w:t>
      </w:r>
      <w:r w:rsidR="00102E07">
        <w:t xml:space="preserve"> objectives</w:t>
      </w:r>
      <w:r w:rsidR="00A375E1">
        <w:t xml:space="preserve"> that apply to the 3.4-4.0 GHz frequency band</w:t>
      </w:r>
      <w:r w:rsidR="00102E07">
        <w:t>:</w:t>
      </w:r>
    </w:p>
    <w:p w14:paraId="75FFE0F3" w14:textId="77777777" w:rsidR="00102E07" w:rsidRDefault="00102E07" w:rsidP="00102E07">
      <w:pPr>
        <w:pStyle w:val="Bulletlevel1"/>
        <w:numPr>
          <w:ilvl w:val="0"/>
          <w:numId w:val="30"/>
        </w:numPr>
      </w:pPr>
      <w:r>
        <w:t xml:space="preserve">supporting the deployment of new and innovative technology, including 5G </w:t>
      </w:r>
    </w:p>
    <w:p w14:paraId="7465CC33" w14:textId="77777777" w:rsidR="00102E07" w:rsidRDefault="00102E07" w:rsidP="00102E07">
      <w:pPr>
        <w:pStyle w:val="Bulletlevel1"/>
        <w:numPr>
          <w:ilvl w:val="0"/>
          <w:numId w:val="30"/>
        </w:numPr>
      </w:pPr>
      <w:r>
        <w:t xml:space="preserve">supporting a range of use-cases and users </w:t>
      </w:r>
    </w:p>
    <w:p w14:paraId="0057BF89" w14:textId="77777777" w:rsidR="00102E07" w:rsidRDefault="00102E07" w:rsidP="00102E07">
      <w:pPr>
        <w:pStyle w:val="Bulletlevel1"/>
        <w:numPr>
          <w:ilvl w:val="0"/>
          <w:numId w:val="30"/>
        </w:numPr>
      </w:pPr>
      <w:r>
        <w:t xml:space="preserve">supporting digital connectivity and investment in regional Australia </w:t>
      </w:r>
    </w:p>
    <w:p w14:paraId="415B99C0" w14:textId="77777777" w:rsidR="00102E07" w:rsidRDefault="00102E07" w:rsidP="00102E07">
      <w:pPr>
        <w:pStyle w:val="Bulletlevel1last"/>
        <w:numPr>
          <w:ilvl w:val="0"/>
          <w:numId w:val="30"/>
        </w:numPr>
      </w:pPr>
      <w:r>
        <w:t xml:space="preserve">promoting competitive markets. </w:t>
      </w:r>
    </w:p>
    <w:p w14:paraId="72263051" w14:textId="4DBF9301" w:rsidR="00102E07" w:rsidRDefault="615AA7E1" w:rsidP="00102E07">
      <w:pPr>
        <w:pStyle w:val="Paragraph"/>
      </w:pPr>
      <w:r>
        <w:t>As required by section 28C of the Act, the</w:t>
      </w:r>
      <w:r w:rsidR="00102E07">
        <w:t xml:space="preserve"> ACMA must have regard to the MPS in exercising its powers and performing its </w:t>
      </w:r>
      <w:r w:rsidR="00A375E1">
        <w:t xml:space="preserve">functions </w:t>
      </w:r>
      <w:r w:rsidR="00102E07">
        <w:t>under the Act.</w:t>
      </w:r>
    </w:p>
    <w:p w14:paraId="5D869908" w14:textId="26DD5567" w:rsidR="00102E07" w:rsidRDefault="00102E07" w:rsidP="00102E07">
      <w:pPr>
        <w:pStyle w:val="Heading2"/>
      </w:pPr>
      <w:bookmarkStart w:id="9" w:name="_Toc96940981"/>
      <w:bookmarkStart w:id="10" w:name="_Toc108697861"/>
      <w:r>
        <w:t>Re</w:t>
      </w:r>
      <w:r>
        <w:noBreakHyphen/>
        <w:t>allocation process</w:t>
      </w:r>
      <w:bookmarkEnd w:id="9"/>
      <w:bookmarkEnd w:id="10"/>
    </w:p>
    <w:p w14:paraId="0FA9AD10" w14:textId="49775CDD" w:rsidR="00102E07" w:rsidRDefault="00102E07" w:rsidP="00102E07">
      <w:pPr>
        <w:pStyle w:val="Paragraph"/>
      </w:pPr>
      <w:r>
        <w:t>Part 3.6 of the Act sets out the process for the re</w:t>
      </w:r>
      <w:r>
        <w:noBreakHyphen/>
        <w:t xml:space="preserve">allocation of encumbered spectrum. The re-allocation process has changed from previous processes, as the Act has been amended by the </w:t>
      </w:r>
      <w:r w:rsidR="00006816">
        <w:rPr>
          <w:i/>
          <w:iCs/>
        </w:rPr>
        <w:t xml:space="preserve">Radiocommunications Legislation Amendment (Reform and </w:t>
      </w:r>
      <w:r>
        <w:rPr>
          <w:i/>
        </w:rPr>
        <w:t>Modernisation</w:t>
      </w:r>
      <w:r w:rsidR="00006816">
        <w:rPr>
          <w:i/>
          <w:iCs/>
        </w:rPr>
        <w:t>)</w:t>
      </w:r>
      <w:r>
        <w:rPr>
          <w:i/>
        </w:rPr>
        <w:t xml:space="preserve"> Act</w:t>
      </w:r>
      <w:r w:rsidR="00006816">
        <w:rPr>
          <w:i/>
          <w:iCs/>
        </w:rPr>
        <w:t xml:space="preserve"> 2020</w:t>
      </w:r>
      <w:r>
        <w:t xml:space="preserve">. The main steps of the process, including allocation of spectrum, are detailed in Appendix A. </w:t>
      </w:r>
    </w:p>
    <w:p w14:paraId="7B60FA87" w14:textId="2BEE0DB3" w:rsidR="00102E07" w:rsidRDefault="3A6FC911" w:rsidP="00102E07">
      <w:pPr>
        <w:pStyle w:val="Paragraph"/>
      </w:pPr>
      <w:r>
        <w:t xml:space="preserve">Under the Act, the ACMA may make spectrum available by declaring parts of the spectrum for </w:t>
      </w:r>
      <w:r w:rsidR="003A7C5B">
        <w:t>re-allocation</w:t>
      </w:r>
      <w:r>
        <w:t xml:space="preserve">. </w:t>
      </w:r>
    </w:p>
    <w:p w14:paraId="52780454" w14:textId="77777777" w:rsidR="00102E07" w:rsidRDefault="00102E07" w:rsidP="00102E07">
      <w:pPr>
        <w:pStyle w:val="Paragraphbeforelist"/>
        <w:keepLines/>
      </w:pPr>
      <w:r>
        <w:t>A re</w:t>
      </w:r>
      <w:r>
        <w:noBreakHyphen/>
        <w:t>allocation declaration made by the ACMA under section 153B of the Act must specify:</w:t>
      </w:r>
    </w:p>
    <w:p w14:paraId="614AEAF2" w14:textId="77777777" w:rsidR="00102E07" w:rsidRDefault="00102E07" w:rsidP="00102E07">
      <w:pPr>
        <w:pStyle w:val="ListBullet"/>
        <w:keepNext/>
        <w:keepLines/>
        <w:numPr>
          <w:ilvl w:val="0"/>
          <w:numId w:val="33"/>
        </w:numPr>
        <w:tabs>
          <w:tab w:val="left" w:pos="720"/>
        </w:tabs>
        <w:ind w:left="295" w:hanging="295"/>
        <w:rPr>
          <w:rFonts w:cs="Arial"/>
        </w:rPr>
      </w:pPr>
      <w:r>
        <w:rPr>
          <w:rFonts w:cs="Arial"/>
        </w:rPr>
        <w:t>for each part of the spectrum specified in the re</w:t>
      </w:r>
      <w:r>
        <w:rPr>
          <w:rFonts w:cs="Arial"/>
        </w:rPr>
        <w:noBreakHyphen/>
        <w:t>allocation declaration, the geographic area(s) to which the declaration applies</w:t>
      </w:r>
    </w:p>
    <w:p w14:paraId="12243D5A" w14:textId="3261A3F3" w:rsidR="00102E07" w:rsidRDefault="00102E07" w:rsidP="00102E07">
      <w:pPr>
        <w:pStyle w:val="ListBullet"/>
        <w:numPr>
          <w:ilvl w:val="0"/>
          <w:numId w:val="33"/>
        </w:numPr>
        <w:tabs>
          <w:tab w:val="left" w:pos="720"/>
        </w:tabs>
        <w:ind w:left="295" w:hanging="295"/>
        <w:rPr>
          <w:rFonts w:cs="Arial"/>
        </w:rPr>
      </w:pPr>
      <w:r>
        <w:rPr>
          <w:rFonts w:cs="Arial"/>
        </w:rPr>
        <w:t>for each part of the spectrum specified in the re</w:t>
      </w:r>
      <w:r>
        <w:rPr>
          <w:rFonts w:cs="Arial"/>
        </w:rPr>
        <w:noBreakHyphen/>
        <w:t>allocation declaration, whether the part should be re-allocated by issuing spectrum licences or apparatus licences</w:t>
      </w:r>
      <w:r w:rsidR="005B0754">
        <w:rPr>
          <w:rFonts w:cs="Arial"/>
        </w:rPr>
        <w:t xml:space="preserve"> or a combination of the 2</w:t>
      </w:r>
    </w:p>
    <w:p w14:paraId="72884071" w14:textId="2E5CFF7D" w:rsidR="00D25204" w:rsidRPr="000F49D6" w:rsidRDefault="00D25204" w:rsidP="000F49D6">
      <w:pPr>
        <w:pStyle w:val="ListBullet"/>
        <w:numPr>
          <w:ilvl w:val="0"/>
          <w:numId w:val="33"/>
        </w:numPr>
        <w:tabs>
          <w:tab w:val="left" w:pos="720"/>
        </w:tabs>
        <w:ind w:left="295" w:hanging="295"/>
        <w:rPr>
          <w:rFonts w:cs="Arial"/>
        </w:rPr>
      </w:pPr>
      <w:r>
        <w:rPr>
          <w:rFonts w:cs="Arial"/>
        </w:rPr>
        <w:t>the re-allocation period in relation to the parts of the spectrum specified</w:t>
      </w:r>
    </w:p>
    <w:p w14:paraId="13526DB4" w14:textId="77777777" w:rsidR="00102E07" w:rsidRDefault="00102E07" w:rsidP="00102E07">
      <w:pPr>
        <w:pStyle w:val="ListBulletLast"/>
        <w:numPr>
          <w:ilvl w:val="0"/>
          <w:numId w:val="33"/>
        </w:numPr>
        <w:tabs>
          <w:tab w:val="left" w:pos="720"/>
        </w:tabs>
        <w:ind w:left="295" w:hanging="295"/>
      </w:pPr>
      <w:r>
        <w:t>the re</w:t>
      </w:r>
      <w:r>
        <w:noBreakHyphen/>
        <w:t>allocation deadline that applies to the re-allocation declaration.</w:t>
      </w:r>
    </w:p>
    <w:p w14:paraId="61EBBB6A" w14:textId="4AAF7DB1" w:rsidR="002275B4" w:rsidRDefault="002275B4" w:rsidP="000F49D6">
      <w:pPr>
        <w:pStyle w:val="Paragraph"/>
      </w:pPr>
      <w:r>
        <w:t xml:space="preserve">The re-allocation period must be specified in the spectrum re-allocation declaration (but cannot be before the declaration commences) and must run for at least </w:t>
      </w:r>
      <w:r w:rsidR="000722A4">
        <w:t>12 </w:t>
      </w:r>
      <w:r>
        <w:t xml:space="preserve">months. During this time, incumbent </w:t>
      </w:r>
      <w:r w:rsidRPr="000F49D6">
        <w:t>apparat</w:t>
      </w:r>
      <w:r w:rsidRPr="0043635B">
        <w:t>us</w:t>
      </w:r>
      <w:r>
        <w:t xml:space="preserve"> licensees may continue to operate radiocommunications devices in accordance with their apparatus licences. At the end of the </w:t>
      </w:r>
      <w:r w:rsidR="003A7C5B">
        <w:t>re-allocation</w:t>
      </w:r>
      <w:r>
        <w:t xml:space="preserve"> period, incumbent licensees’ apparatus licences are cancelled in accordance with section 153H of the Act. </w:t>
      </w:r>
    </w:p>
    <w:p w14:paraId="5C475B38" w14:textId="0FB8CDE0" w:rsidR="00102E07" w:rsidRDefault="3A6FC911" w:rsidP="00102E07">
      <w:pPr>
        <w:pStyle w:val="Paragraph"/>
      </w:pPr>
      <w:r>
        <w:t>The re</w:t>
      </w:r>
      <w:r w:rsidR="005B0754">
        <w:t>-</w:t>
      </w:r>
      <w:r>
        <w:t>allocation deadline sets the date by which the ACMA must have allocated at least one licence within the re-allocated spectrum. If no licence is allocated before that date, the re</w:t>
      </w:r>
      <w:r w:rsidR="003A7C5B">
        <w:t>-</w:t>
      </w:r>
      <w:r>
        <w:t>allocation declaration is taken to be revoked</w:t>
      </w:r>
      <w:r w:rsidR="005602FC">
        <w:t>,</w:t>
      </w:r>
      <w:r>
        <w:t xml:space="preserve"> in accordance with section 153K of the Act. The re</w:t>
      </w:r>
      <w:r w:rsidR="003A7C5B">
        <w:t>-</w:t>
      </w:r>
      <w:r>
        <w:t xml:space="preserve">allocation deadline </w:t>
      </w:r>
      <w:r w:rsidR="523CEA2D">
        <w:t>must not be later than</w:t>
      </w:r>
      <w:r>
        <w:t xml:space="preserve"> the end of the </w:t>
      </w:r>
      <w:r w:rsidR="003A7C5B">
        <w:t xml:space="preserve">re-allocation </w:t>
      </w:r>
      <w:r>
        <w:t>period.</w:t>
      </w:r>
    </w:p>
    <w:p w14:paraId="4D9EA561" w14:textId="77777777" w:rsidR="00102E07" w:rsidRDefault="00102E07" w:rsidP="001D73C4">
      <w:pPr>
        <w:pStyle w:val="Paragraph"/>
      </w:pPr>
    </w:p>
    <w:p w14:paraId="76235C1A" w14:textId="1D350752" w:rsidR="00102E07" w:rsidRPr="00E162C4" w:rsidRDefault="00102E07" w:rsidP="00102E07">
      <w:pPr>
        <w:pStyle w:val="Heading1"/>
      </w:pPr>
      <w:bookmarkStart w:id="11" w:name="_Toc108697862"/>
      <w:r>
        <w:lastRenderedPageBreak/>
        <w:t xml:space="preserve">Summary </w:t>
      </w:r>
      <w:r w:rsidR="00163528">
        <w:t>of</w:t>
      </w:r>
      <w:r>
        <w:t xml:space="preserve"> submissions</w:t>
      </w:r>
      <w:bookmarkEnd w:id="11"/>
    </w:p>
    <w:p w14:paraId="66669DA7" w14:textId="7542401A" w:rsidR="00AA3A03" w:rsidRDefault="5AB4F051" w:rsidP="00AA3A03">
      <w:pPr>
        <w:pStyle w:val="Paragraph"/>
        <w:rPr>
          <w:szCs w:val="20"/>
        </w:rPr>
      </w:pPr>
      <w:r w:rsidRPr="009F7A8A">
        <w:t>Thirty-one</w:t>
      </w:r>
      <w:r w:rsidR="769FC133" w:rsidRPr="009F7A8A">
        <w:rPr>
          <w:szCs w:val="20"/>
        </w:rPr>
        <w:t xml:space="preserve"> submissions were received to the </w:t>
      </w:r>
      <w:r w:rsidR="00881A6D">
        <w:rPr>
          <w:szCs w:val="20"/>
        </w:rPr>
        <w:t>re-allocation paper</w:t>
      </w:r>
      <w:r w:rsidR="769FC133" w:rsidRPr="009F7A8A">
        <w:rPr>
          <w:szCs w:val="20"/>
        </w:rPr>
        <w:t xml:space="preserve">, including </w:t>
      </w:r>
      <w:r w:rsidR="000722A4" w:rsidRPr="004A5D00">
        <w:rPr>
          <w:szCs w:val="20"/>
        </w:rPr>
        <w:t>4</w:t>
      </w:r>
      <w:r w:rsidR="000722A4">
        <w:rPr>
          <w:szCs w:val="20"/>
        </w:rPr>
        <w:t> </w:t>
      </w:r>
      <w:r w:rsidR="769FC133" w:rsidRPr="004A5D00">
        <w:rPr>
          <w:szCs w:val="20"/>
        </w:rPr>
        <w:t>confidential submission</w:t>
      </w:r>
      <w:r w:rsidR="008A3E6C" w:rsidRPr="004A5D00">
        <w:rPr>
          <w:szCs w:val="20"/>
        </w:rPr>
        <w:t>s</w:t>
      </w:r>
      <w:r w:rsidR="769FC133">
        <w:rPr>
          <w:szCs w:val="20"/>
        </w:rPr>
        <w:t xml:space="preserve">. </w:t>
      </w:r>
      <w:r w:rsidR="769FC133">
        <w:t xml:space="preserve">The public submissions can be found on the </w:t>
      </w:r>
      <w:hyperlink r:id="rId32">
        <w:r w:rsidR="769FC133" w:rsidRPr="66D634AD">
          <w:rPr>
            <w:rStyle w:val="Hyperlink"/>
          </w:rPr>
          <w:t>ACMA’s website</w:t>
        </w:r>
      </w:hyperlink>
      <w:r w:rsidR="769FC133" w:rsidRPr="66D634AD">
        <w:rPr>
          <w:rStyle w:val="Hyperlink"/>
        </w:rPr>
        <w:t>,</w:t>
      </w:r>
      <w:r w:rsidR="769FC133">
        <w:t xml:space="preserve"> </w:t>
      </w:r>
      <w:r w:rsidR="7B674454">
        <w:t xml:space="preserve">and </w:t>
      </w:r>
      <w:r w:rsidR="769FC133">
        <w:t xml:space="preserve">a list of </w:t>
      </w:r>
      <w:r w:rsidR="00823364">
        <w:t xml:space="preserve">public </w:t>
      </w:r>
      <w:r w:rsidR="769FC133">
        <w:t xml:space="preserve">submitters is provided at </w:t>
      </w:r>
      <w:hyperlink r:id="rId33" w:anchor="_Appendix_C:_List" w:history="1">
        <w:r w:rsidR="769FC133" w:rsidRPr="66D634AD">
          <w:rPr>
            <w:rStyle w:val="Hyperlink"/>
          </w:rPr>
          <w:t xml:space="preserve">Appendix </w:t>
        </w:r>
        <w:r w:rsidR="00076B68">
          <w:rPr>
            <w:rStyle w:val="Hyperlink"/>
          </w:rPr>
          <w:t>B</w:t>
        </w:r>
      </w:hyperlink>
      <w:r w:rsidR="769FC133">
        <w:t xml:space="preserve">. </w:t>
      </w:r>
    </w:p>
    <w:p w14:paraId="3CB21CCA" w14:textId="2A018048" w:rsidR="00102E07" w:rsidRPr="00AA3A03" w:rsidRDefault="3A6FC911" w:rsidP="66D634AD">
      <w:pPr>
        <w:rPr>
          <w:rFonts w:cs="Arial"/>
          <w:szCs w:val="20"/>
        </w:rPr>
      </w:pPr>
      <w:r w:rsidRPr="00AA3A03">
        <w:rPr>
          <w:rFonts w:cs="Arial"/>
          <w:szCs w:val="20"/>
        </w:rPr>
        <w:t xml:space="preserve">This section summarises responses to the issues for comment in the </w:t>
      </w:r>
      <w:r w:rsidR="00881A6D">
        <w:rPr>
          <w:rFonts w:cs="Arial"/>
          <w:szCs w:val="20"/>
        </w:rPr>
        <w:t>re-allocation paper</w:t>
      </w:r>
      <w:r w:rsidRPr="00AA3A03">
        <w:rPr>
          <w:rFonts w:cs="Arial"/>
          <w:szCs w:val="20"/>
        </w:rPr>
        <w:t xml:space="preserve">. </w:t>
      </w:r>
    </w:p>
    <w:p w14:paraId="18074322" w14:textId="08F938CD" w:rsidR="00102E07" w:rsidRPr="00AA3A03" w:rsidRDefault="5ACBB2D1" w:rsidP="00102E07">
      <w:pPr>
        <w:pStyle w:val="Heading2"/>
      </w:pPr>
      <w:bookmarkStart w:id="12" w:name="_Toc90895202"/>
      <w:bookmarkStart w:id="13" w:name="_Toc108697863"/>
      <w:r>
        <w:t>Responses to i</w:t>
      </w:r>
      <w:r w:rsidR="3A6FC911">
        <w:t>ssues for comment</w:t>
      </w:r>
      <w:bookmarkEnd w:id="12"/>
      <w:bookmarkEnd w:id="13"/>
      <w:r w:rsidR="3A6FC911">
        <w:t xml:space="preserve"> </w:t>
      </w:r>
    </w:p>
    <w:p w14:paraId="644EAEB4" w14:textId="7B637D21" w:rsidR="00447AC9" w:rsidRPr="00CF0085" w:rsidRDefault="0A1D1902" w:rsidP="004B6863">
      <w:pPr>
        <w:pStyle w:val="Heading3"/>
        <w:pBdr>
          <w:top w:val="single" w:sz="4" w:space="1" w:color="auto"/>
          <w:left w:val="single" w:sz="4" w:space="4" w:color="auto"/>
          <w:bottom w:val="single" w:sz="4" w:space="1" w:color="auto"/>
          <w:right w:val="single" w:sz="4" w:space="4" w:color="auto"/>
        </w:pBdr>
        <w:shd w:val="clear" w:color="auto" w:fill="F2F2F2" w:themeFill="background1" w:themeFillShade="F2"/>
        <w:spacing w:before="240"/>
      </w:pPr>
      <w:r>
        <w:t>The ACMA’s preferred planning approach: urban excise spectrum</w:t>
      </w:r>
    </w:p>
    <w:p w14:paraId="568FA838" w14:textId="29569FBB" w:rsidR="00447AC9" w:rsidRDefault="0A1D1902" w:rsidP="004A5D00">
      <w:pPr>
        <w:pStyle w:val="Paragraph"/>
        <w:pBdr>
          <w:top w:val="single" w:sz="4" w:space="1" w:color="auto"/>
          <w:left w:val="single" w:sz="4" w:space="4" w:color="auto"/>
          <w:bottom w:val="single" w:sz="4" w:space="1" w:color="auto"/>
          <w:right w:val="single" w:sz="4" w:space="4" w:color="auto"/>
        </w:pBdr>
        <w:shd w:val="clear" w:color="auto" w:fill="F2F2F2" w:themeFill="background1" w:themeFillShade="F2"/>
        <w:spacing w:after="80"/>
      </w:pPr>
      <w:r>
        <w:t>Do you have comments on our preferred approach to:</w:t>
      </w:r>
    </w:p>
    <w:p w14:paraId="3278B35F" w14:textId="29569FBB" w:rsidR="00447AC9" w:rsidRDefault="0A1D1902" w:rsidP="004A5D00">
      <w:pPr>
        <w:pStyle w:val="Paragraph"/>
        <w:numPr>
          <w:ilvl w:val="0"/>
          <w:numId w:val="42"/>
        </w:numPr>
        <w:pBdr>
          <w:top w:val="single" w:sz="4" w:space="1" w:color="auto"/>
          <w:left w:val="single" w:sz="4" w:space="4" w:color="auto"/>
          <w:bottom w:val="single" w:sz="4" w:space="1" w:color="auto"/>
          <w:right w:val="single" w:sz="4" w:space="4" w:color="auto"/>
        </w:pBdr>
        <w:shd w:val="clear" w:color="auto" w:fill="F2F2F2" w:themeFill="background1" w:themeFillShade="F2"/>
        <w:spacing w:after="80"/>
      </w:pPr>
      <w:r>
        <w:t>issue spectrum licences in the 3400–3475 MHz frequency range in urban excise areas in accordance with Option A?</w:t>
      </w:r>
    </w:p>
    <w:p w14:paraId="12D69D1E" w14:textId="16A30ECB" w:rsidR="00447AC9" w:rsidRDefault="0A1D1902" w:rsidP="004A5D00">
      <w:pPr>
        <w:pStyle w:val="Paragraph"/>
        <w:numPr>
          <w:ilvl w:val="0"/>
          <w:numId w:val="42"/>
        </w:numPr>
        <w:pBdr>
          <w:top w:val="single" w:sz="4" w:space="1" w:color="auto"/>
          <w:left w:val="single" w:sz="4" w:space="4" w:color="auto"/>
          <w:bottom w:val="single" w:sz="4" w:space="1" w:color="auto"/>
          <w:right w:val="single" w:sz="4" w:space="4" w:color="auto"/>
        </w:pBdr>
        <w:shd w:val="clear" w:color="auto" w:fill="F2F2F2" w:themeFill="background1" w:themeFillShade="F2"/>
        <w:spacing w:after="80"/>
      </w:pPr>
      <w:r>
        <w:t>allocate spectrum in the 3800</w:t>
      </w:r>
      <w:r w:rsidR="00D2138C">
        <w:t>–</w:t>
      </w:r>
      <w:r>
        <w:t>4000 MHz band for LA WBB use using the segmentation approach?</w:t>
      </w:r>
    </w:p>
    <w:p w14:paraId="07C54165" w14:textId="7BE90407" w:rsidR="000C0204" w:rsidRDefault="00225794" w:rsidP="004B6863">
      <w:pPr>
        <w:pStyle w:val="Paragraph"/>
        <w:spacing w:before="240"/>
      </w:pPr>
      <w:r>
        <w:t xml:space="preserve">Submissions were </w:t>
      </w:r>
      <w:r w:rsidR="000C0204">
        <w:t>divided</w:t>
      </w:r>
      <w:r>
        <w:t xml:space="preserve"> on which of </w:t>
      </w:r>
      <w:r w:rsidR="005602FC">
        <w:t>o</w:t>
      </w:r>
      <w:r>
        <w:t>ption</w:t>
      </w:r>
      <w:r w:rsidR="005602FC">
        <w:t>s</w:t>
      </w:r>
      <w:r>
        <w:t xml:space="preserve"> A </w:t>
      </w:r>
      <w:r w:rsidR="005602FC">
        <w:t xml:space="preserve">or </w:t>
      </w:r>
      <w:r>
        <w:t xml:space="preserve">B should be implemented. </w:t>
      </w:r>
    </w:p>
    <w:p w14:paraId="6DCEF0C0" w14:textId="4D995E61" w:rsidR="00225794" w:rsidRDefault="00225794" w:rsidP="004B6863">
      <w:pPr>
        <w:pStyle w:val="Paragraph"/>
      </w:pPr>
      <w:r>
        <w:t xml:space="preserve">In general, </w:t>
      </w:r>
      <w:r w:rsidR="00632A42">
        <w:t xml:space="preserve">submissions representing </w:t>
      </w:r>
      <w:r w:rsidRPr="003A5176">
        <w:t>WA WBB</w:t>
      </w:r>
      <w:r>
        <w:t xml:space="preserve"> interests supported spectrum licensing under Option A</w:t>
      </w:r>
      <w:r w:rsidR="005602FC">
        <w:t>,</w:t>
      </w:r>
      <w:r>
        <w:t xml:space="preserve"> while </w:t>
      </w:r>
      <w:r w:rsidR="00632A42">
        <w:t xml:space="preserve">those with </w:t>
      </w:r>
      <w:r>
        <w:t>private/enterprise interests supported Option B. Pivotel</w:t>
      </w:r>
      <w:r w:rsidR="00D2138C">
        <w:t>’s</w:t>
      </w:r>
      <w:r>
        <w:t xml:space="preserve"> </w:t>
      </w:r>
      <w:r w:rsidR="00D2138C">
        <w:t xml:space="preserve">support of </w:t>
      </w:r>
      <w:r>
        <w:t>Option A</w:t>
      </w:r>
      <w:r w:rsidR="00D2138C">
        <w:t xml:space="preserve"> </w:t>
      </w:r>
      <w:r>
        <w:t>was linked to a proposal to limit the re-allocation declaration to the 3400</w:t>
      </w:r>
      <w:r w:rsidR="00D2138C">
        <w:t>–</w:t>
      </w:r>
      <w:r>
        <w:t>3750 MHz frequency range in regional and metro areas. ARCIA stated that spectrum auctions suited larger operators more than smaller ones, where apparatus licence arrangements are better suited for such cases. ARCIA further stated it is important that some spectrum is reserved for private/enterprise use cases</w:t>
      </w:r>
      <w:r w:rsidR="00D2138C">
        <w:t>,</w:t>
      </w:r>
      <w:r>
        <w:t xml:space="preserve"> as has been done in other countries such as France, UK and US. </w:t>
      </w:r>
    </w:p>
    <w:p w14:paraId="36F6DDAD" w14:textId="0FC688A2" w:rsidR="00225794" w:rsidRDefault="00225794" w:rsidP="00A405D7">
      <w:pPr>
        <w:pStyle w:val="Paragraph"/>
      </w:pPr>
      <w:bookmarkStart w:id="14" w:name="_Hlk103848800"/>
      <w:r>
        <w:t>A key th</w:t>
      </w:r>
      <w:r w:rsidRPr="00753ECE">
        <w:t xml:space="preserve">eme from </w:t>
      </w:r>
      <w:r w:rsidR="00632A42" w:rsidRPr="00753ECE">
        <w:t xml:space="preserve">submissions representing </w:t>
      </w:r>
      <w:r w:rsidR="001D209D" w:rsidRPr="00753ECE">
        <w:t>LA</w:t>
      </w:r>
      <w:r w:rsidR="001D209D" w:rsidRPr="003A5176">
        <w:t xml:space="preserve"> WBB</w:t>
      </w:r>
      <w:r>
        <w:t xml:space="preserve"> interests was a preference to gain access to spectrum in the 3400</w:t>
      </w:r>
      <w:r w:rsidR="0005312B">
        <w:t>–</w:t>
      </w:r>
      <w:r>
        <w:t>3800</w:t>
      </w:r>
      <w:r w:rsidR="005C594B">
        <w:t> </w:t>
      </w:r>
      <w:r>
        <w:t xml:space="preserve">MHz frequency range (referred to as 4G spectrum). This is the frequency range standardised for 4G equipment. They argued that 4G equipment currently costs less and would support a faster rollout of services, while the 5G equipment ecosystem will take time to mature.  </w:t>
      </w:r>
    </w:p>
    <w:bookmarkEnd w:id="14"/>
    <w:p w14:paraId="37A30D4A" w14:textId="5F567737" w:rsidR="00225794" w:rsidRDefault="00225794" w:rsidP="00225794">
      <w:pPr>
        <w:pStyle w:val="Paragraph"/>
      </w:pPr>
      <w:r>
        <w:t>There was strong support for implementing a segmentation approach in the 3800</w:t>
      </w:r>
      <w:r w:rsidR="00632A42">
        <w:t>–</w:t>
      </w:r>
      <w:r>
        <w:t xml:space="preserve">4000 MHz range. NBN Co was the only </w:t>
      </w:r>
      <w:r w:rsidR="005E78D7">
        <w:t>submitter</w:t>
      </w:r>
      <w:r>
        <w:t xml:space="preserve"> </w:t>
      </w:r>
      <w:r w:rsidR="00632A42">
        <w:t xml:space="preserve">that </w:t>
      </w:r>
      <w:r>
        <w:t>supported a top-down</w:t>
      </w:r>
      <w:r w:rsidR="00632A42">
        <w:t>,</w:t>
      </w:r>
      <w:r>
        <w:t xml:space="preserve"> </w:t>
      </w:r>
      <w:r w:rsidR="00CA6BBC">
        <w:t>bottom-up</w:t>
      </w:r>
      <w:r>
        <w:t xml:space="preserve"> approach. Most submissions either supported, or did not comment on, how much of the 3800</w:t>
      </w:r>
      <w:r w:rsidR="00632A42">
        <w:t>–</w:t>
      </w:r>
      <w:r>
        <w:t>4000 MHz band should be segmented for restricted cell use</w:t>
      </w:r>
      <w:r w:rsidR="00632A42">
        <w:t xml:space="preserve">; </w:t>
      </w:r>
      <w:r>
        <w:t>Pivotel proposed 40 MHz</w:t>
      </w:r>
      <w:r w:rsidR="00632A42">
        <w:t>,</w:t>
      </w:r>
      <w:r>
        <w:t xml:space="preserve"> Dense Air proposed 100 MHz. </w:t>
      </w:r>
    </w:p>
    <w:p w14:paraId="0541A8C0" w14:textId="0DDB6A02" w:rsidR="00225794" w:rsidRPr="00F14C59" w:rsidRDefault="004665D0" w:rsidP="00225794">
      <w:pPr>
        <w:pStyle w:val="Paragraph"/>
      </w:pPr>
      <w:r>
        <w:t>Both Optus and TPG recommended delay</w:t>
      </w:r>
      <w:r w:rsidR="00DB4318">
        <w:t>ing</w:t>
      </w:r>
      <w:r>
        <w:t xml:space="preserve"> the allocation of urban excise areas until other parts of the 3400</w:t>
      </w:r>
      <w:r w:rsidR="00632A42">
        <w:t>–</w:t>
      </w:r>
      <w:r>
        <w:t xml:space="preserve">3800 MHz band have been released, or until NBN Co </w:t>
      </w:r>
      <w:r w:rsidR="002E6A7D">
        <w:t xml:space="preserve">has </w:t>
      </w:r>
      <w:r>
        <w:t xml:space="preserve">transitioned to 5G </w:t>
      </w:r>
      <w:r w:rsidR="00F96741">
        <w:t>– a</w:t>
      </w:r>
      <w:r w:rsidR="00225794">
        <w:t xml:space="preserve">lthough Optus suggested that the Canberra area could be allocated sooner as it aligns with the existing spectrum licence metro boundary. TPG </w:t>
      </w:r>
      <w:r w:rsidR="005C780C">
        <w:t xml:space="preserve">identified that because of </w:t>
      </w:r>
      <w:r w:rsidR="00225794">
        <w:t>coordinat</w:t>
      </w:r>
      <w:r w:rsidR="009465A0">
        <w:t>ion required</w:t>
      </w:r>
      <w:r w:rsidR="00225794">
        <w:t xml:space="preserve"> with adjacent area NBN Co services, </w:t>
      </w:r>
      <w:r w:rsidR="009465A0">
        <w:t xml:space="preserve">the </w:t>
      </w:r>
      <w:r w:rsidR="00225794">
        <w:t xml:space="preserve">utility of urban excise areas </w:t>
      </w:r>
      <w:r w:rsidR="000A6EDC">
        <w:t>would be</w:t>
      </w:r>
      <w:r w:rsidR="00225794">
        <w:t xml:space="preserve"> limited to either very low power or in-building </w:t>
      </w:r>
      <w:r w:rsidR="000A6EDC">
        <w:t>deployments</w:t>
      </w:r>
      <w:r w:rsidR="00225794">
        <w:t xml:space="preserve"> only. They believed that </w:t>
      </w:r>
      <w:r w:rsidR="00934485">
        <w:t xml:space="preserve">spectrum </w:t>
      </w:r>
      <w:r w:rsidR="00225794">
        <w:t xml:space="preserve">utility </w:t>
      </w:r>
      <w:r w:rsidR="009A3A5E">
        <w:t>c</w:t>
      </w:r>
      <w:r w:rsidR="00225794">
        <w:t xml:space="preserve">ould increase when NBN Co implement 5G across their network. Optus </w:t>
      </w:r>
      <w:r w:rsidR="00B6462B">
        <w:t>noted</w:t>
      </w:r>
      <w:r w:rsidR="00225794">
        <w:t xml:space="preserve"> that the geographic boundaries for the urban excise </w:t>
      </w:r>
      <w:r w:rsidR="009A3A5E">
        <w:t>has</w:t>
      </w:r>
      <w:r w:rsidR="00225794">
        <w:t xml:space="preserve"> the potential to further complicate the defragmentation of the </w:t>
      </w:r>
      <w:r w:rsidR="006C545B">
        <w:t>broader 3400</w:t>
      </w:r>
      <w:r w:rsidR="00632A42">
        <w:t>–</w:t>
      </w:r>
      <w:r w:rsidR="006C545B">
        <w:t xml:space="preserve">3800 MHz </w:t>
      </w:r>
      <w:r w:rsidR="00225794">
        <w:t>band in the long term</w:t>
      </w:r>
      <w:r w:rsidR="006C545B">
        <w:t xml:space="preserve">. </w:t>
      </w:r>
      <w:r w:rsidR="00EE5E27">
        <w:t xml:space="preserve">Optus </w:t>
      </w:r>
      <w:r w:rsidR="00225794" w:rsidRPr="00F14C59">
        <w:t>encourage</w:t>
      </w:r>
      <w:r w:rsidR="006C545B" w:rsidRPr="00F14C59">
        <w:t>d</w:t>
      </w:r>
      <w:r w:rsidR="00225794" w:rsidRPr="00F14C59">
        <w:t xml:space="preserve"> the ACMA to reconsider the need to re-allocate this spectrum unless metro/urban fringe geographic boundaries can be sufficiently aligned.  </w:t>
      </w:r>
    </w:p>
    <w:p w14:paraId="0CBE8F5D" w14:textId="357E7757" w:rsidR="002D737F" w:rsidRDefault="002D737F" w:rsidP="002D737F">
      <w:pPr>
        <w:pStyle w:val="Paragraph"/>
        <w:spacing w:before="240"/>
      </w:pPr>
      <w:bookmarkStart w:id="15" w:name="_Hlk103847989"/>
      <w:r w:rsidRPr="00427234">
        <w:lastRenderedPageBreak/>
        <w:t>Table 1</w:t>
      </w:r>
      <w:r w:rsidRPr="00F14C59">
        <w:t xml:space="preserve"> provides a summary of submissions related to the options for use of urban excise areas and the 3800</w:t>
      </w:r>
      <w:r w:rsidR="00632A42">
        <w:t>–</w:t>
      </w:r>
      <w:r w:rsidRPr="00F14C59">
        <w:t>4000 MHz fre</w:t>
      </w:r>
      <w:r>
        <w:t xml:space="preserve">quency range. </w:t>
      </w:r>
    </w:p>
    <w:p w14:paraId="058EA27A" w14:textId="519BAA64" w:rsidR="002D737F" w:rsidRDefault="002D737F" w:rsidP="002D737F">
      <w:pPr>
        <w:pStyle w:val="Tableheading"/>
      </w:pPr>
      <w:r>
        <w:t>Summary of submissions related to use of urban excise areas</w:t>
      </w:r>
    </w:p>
    <w:tbl>
      <w:tblPr>
        <w:tblStyle w:val="ACMAtablestyle"/>
        <w:tblW w:w="7366" w:type="dxa"/>
        <w:tblLayout w:type="fixed"/>
        <w:tblLook w:val="01E0" w:firstRow="1" w:lastRow="1" w:firstColumn="1" w:lastColumn="1" w:noHBand="0" w:noVBand="0"/>
        <w:tblCaption w:val="Table title to go here"/>
        <w:tblDescription w:val="Table description to go here"/>
      </w:tblPr>
      <w:tblGrid>
        <w:gridCol w:w="2830"/>
        <w:gridCol w:w="2268"/>
        <w:gridCol w:w="2268"/>
      </w:tblGrid>
      <w:tr w:rsidR="002D737F" w:rsidRPr="006D46E5" w14:paraId="765CDEEE" w14:textId="77777777" w:rsidTr="0057413B">
        <w:trPr>
          <w:cnfStyle w:val="100000000000" w:firstRow="1" w:lastRow="0" w:firstColumn="0" w:lastColumn="0" w:oddVBand="0" w:evenVBand="0" w:oddHBand="0" w:evenHBand="0" w:firstRowFirstColumn="0" w:firstRowLastColumn="0" w:lastRowFirstColumn="0" w:lastRowLastColumn="0"/>
        </w:trPr>
        <w:tc>
          <w:tcPr>
            <w:tcW w:w="2830" w:type="dxa"/>
          </w:tcPr>
          <w:p w14:paraId="4BFBE4EE" w14:textId="77777777" w:rsidR="002D737F" w:rsidRPr="00930510" w:rsidRDefault="002D737F" w:rsidP="0057413B">
            <w:pPr>
              <w:pStyle w:val="Tableheaderrow"/>
            </w:pPr>
            <w:r>
              <w:t>Submitter</w:t>
            </w:r>
          </w:p>
        </w:tc>
        <w:tc>
          <w:tcPr>
            <w:tcW w:w="2268" w:type="dxa"/>
          </w:tcPr>
          <w:p w14:paraId="198A6AA9" w14:textId="4FB50950" w:rsidR="002D737F" w:rsidRPr="00930510" w:rsidRDefault="002D737F" w:rsidP="0057413B">
            <w:pPr>
              <w:pStyle w:val="Tableheaderrow"/>
            </w:pPr>
            <w:r>
              <w:t xml:space="preserve">Urban excise </w:t>
            </w:r>
            <w:r w:rsidR="00632A42">
              <w:t>o</w:t>
            </w:r>
            <w:r>
              <w:t>ption</w:t>
            </w:r>
          </w:p>
        </w:tc>
        <w:tc>
          <w:tcPr>
            <w:tcW w:w="2268" w:type="dxa"/>
          </w:tcPr>
          <w:p w14:paraId="6E2A93F5" w14:textId="77777777" w:rsidR="002D737F" w:rsidRDefault="002D737F" w:rsidP="0057413B">
            <w:pPr>
              <w:pStyle w:val="Tableheaderrow"/>
            </w:pPr>
            <w:r>
              <w:t xml:space="preserve">Approach in </w:t>
            </w:r>
          </w:p>
          <w:p w14:paraId="727B118A" w14:textId="6F33318E" w:rsidR="002D737F" w:rsidRPr="00930510" w:rsidRDefault="002D737F" w:rsidP="0057413B">
            <w:pPr>
              <w:pStyle w:val="Tableheaderrow"/>
            </w:pPr>
            <w:r>
              <w:t>3800</w:t>
            </w:r>
            <w:r w:rsidR="00632A42">
              <w:t>–</w:t>
            </w:r>
            <w:r>
              <w:t xml:space="preserve">4000 MHz </w:t>
            </w:r>
          </w:p>
        </w:tc>
      </w:tr>
      <w:tr w:rsidR="002D737F" w:rsidRPr="006D46E5" w14:paraId="73DE15B6" w14:textId="77777777" w:rsidTr="0057413B">
        <w:trPr>
          <w:cnfStyle w:val="000000100000" w:firstRow="0" w:lastRow="0" w:firstColumn="0" w:lastColumn="0" w:oddVBand="0" w:evenVBand="0" w:oddHBand="1" w:evenHBand="0" w:firstRowFirstColumn="0" w:firstRowLastColumn="0" w:lastRowFirstColumn="0" w:lastRowLastColumn="0"/>
        </w:trPr>
        <w:tc>
          <w:tcPr>
            <w:tcW w:w="2830" w:type="dxa"/>
          </w:tcPr>
          <w:p w14:paraId="63E13DC8" w14:textId="5C294A0D" w:rsidR="002D737F" w:rsidRPr="00930510" w:rsidRDefault="002D737F" w:rsidP="0057413B">
            <w:pPr>
              <w:pStyle w:val="TableBody"/>
            </w:pPr>
            <w:r>
              <w:t>AMTA, Ericsson, Nokia, Optus, Pivotel, Telstra, TPG</w:t>
            </w:r>
          </w:p>
        </w:tc>
        <w:tc>
          <w:tcPr>
            <w:tcW w:w="2268" w:type="dxa"/>
          </w:tcPr>
          <w:p w14:paraId="530BFC18" w14:textId="77777777" w:rsidR="002D737F" w:rsidRPr="00930510" w:rsidRDefault="002D737F" w:rsidP="0057413B">
            <w:pPr>
              <w:pStyle w:val="TableBody"/>
            </w:pPr>
            <w:r>
              <w:t>Option A</w:t>
            </w:r>
          </w:p>
        </w:tc>
        <w:tc>
          <w:tcPr>
            <w:tcW w:w="2268" w:type="dxa"/>
          </w:tcPr>
          <w:p w14:paraId="0DD307C7" w14:textId="77777777" w:rsidR="002D737F" w:rsidRPr="00930510" w:rsidRDefault="002D737F" w:rsidP="0057413B">
            <w:pPr>
              <w:pStyle w:val="TableBody"/>
            </w:pPr>
            <w:r>
              <w:t>Segmentation</w:t>
            </w:r>
          </w:p>
        </w:tc>
      </w:tr>
      <w:tr w:rsidR="002D737F" w:rsidRPr="006D46E5" w14:paraId="4B856748" w14:textId="77777777" w:rsidTr="0057413B">
        <w:trPr>
          <w:cnfStyle w:val="000000010000" w:firstRow="0" w:lastRow="0" w:firstColumn="0" w:lastColumn="0" w:oddVBand="0" w:evenVBand="0" w:oddHBand="0" w:evenHBand="1" w:firstRowFirstColumn="0" w:firstRowLastColumn="0" w:lastRowFirstColumn="0" w:lastRowLastColumn="0"/>
        </w:trPr>
        <w:tc>
          <w:tcPr>
            <w:tcW w:w="2830" w:type="dxa"/>
          </w:tcPr>
          <w:p w14:paraId="29F3DEB4" w14:textId="23AE6E6B" w:rsidR="002D737F" w:rsidRDefault="002D737F" w:rsidP="0057413B">
            <w:pPr>
              <w:pStyle w:val="TableBody"/>
            </w:pPr>
            <w:r>
              <w:t xml:space="preserve">ARCIA, DB Telecommunications, </w:t>
            </w:r>
          </w:p>
          <w:p w14:paraId="0BB37556" w14:textId="77777777" w:rsidR="002D737F" w:rsidRPr="00930510" w:rsidRDefault="002D737F" w:rsidP="0057413B">
            <w:pPr>
              <w:pStyle w:val="TableBody"/>
            </w:pPr>
            <w:r>
              <w:t>Dense Air</w:t>
            </w:r>
          </w:p>
        </w:tc>
        <w:tc>
          <w:tcPr>
            <w:tcW w:w="2268" w:type="dxa"/>
          </w:tcPr>
          <w:p w14:paraId="7EA924D4" w14:textId="77777777" w:rsidR="002D737F" w:rsidRPr="00930510" w:rsidRDefault="002D737F" w:rsidP="0057413B">
            <w:pPr>
              <w:pStyle w:val="TableBody"/>
            </w:pPr>
            <w:r>
              <w:t>Option B</w:t>
            </w:r>
          </w:p>
        </w:tc>
        <w:tc>
          <w:tcPr>
            <w:tcW w:w="2268" w:type="dxa"/>
          </w:tcPr>
          <w:p w14:paraId="39F6C8E2" w14:textId="77777777" w:rsidR="002D737F" w:rsidRPr="00930510" w:rsidRDefault="002D737F" w:rsidP="0057413B">
            <w:pPr>
              <w:pStyle w:val="TableBody"/>
            </w:pPr>
            <w:r>
              <w:t>Segmentation</w:t>
            </w:r>
          </w:p>
        </w:tc>
      </w:tr>
      <w:tr w:rsidR="002D737F" w:rsidRPr="006D46E5" w14:paraId="0A040B9E" w14:textId="77777777" w:rsidTr="0057413B">
        <w:trPr>
          <w:cnfStyle w:val="000000100000" w:firstRow="0" w:lastRow="0" w:firstColumn="0" w:lastColumn="0" w:oddVBand="0" w:evenVBand="0" w:oddHBand="1" w:evenHBand="0" w:firstRowFirstColumn="0" w:firstRowLastColumn="0" w:lastRowFirstColumn="0" w:lastRowLastColumn="0"/>
        </w:trPr>
        <w:tc>
          <w:tcPr>
            <w:tcW w:w="2830" w:type="dxa"/>
          </w:tcPr>
          <w:p w14:paraId="57D8258C" w14:textId="77777777" w:rsidR="002D737F" w:rsidRPr="00930510" w:rsidRDefault="002D737F" w:rsidP="0057413B">
            <w:pPr>
              <w:pStyle w:val="TableBody"/>
            </w:pPr>
            <w:r>
              <w:t>NBN Co</w:t>
            </w:r>
          </w:p>
        </w:tc>
        <w:tc>
          <w:tcPr>
            <w:tcW w:w="2268" w:type="dxa"/>
          </w:tcPr>
          <w:p w14:paraId="1A255762" w14:textId="77777777" w:rsidR="002D737F" w:rsidRPr="00930510" w:rsidRDefault="002D737F" w:rsidP="0057413B">
            <w:pPr>
              <w:pStyle w:val="TableBody"/>
            </w:pPr>
            <w:r>
              <w:t>Option B</w:t>
            </w:r>
          </w:p>
        </w:tc>
        <w:tc>
          <w:tcPr>
            <w:tcW w:w="2268" w:type="dxa"/>
          </w:tcPr>
          <w:p w14:paraId="2596172E" w14:textId="1A00F938" w:rsidR="002D737F" w:rsidRPr="00930510" w:rsidRDefault="002D737F" w:rsidP="0057413B">
            <w:pPr>
              <w:pStyle w:val="TableBody"/>
            </w:pPr>
            <w:r>
              <w:t>Top down</w:t>
            </w:r>
            <w:r w:rsidR="00632A42">
              <w:t xml:space="preserve">, </w:t>
            </w:r>
            <w:r>
              <w:t>bottom up</w:t>
            </w:r>
          </w:p>
        </w:tc>
      </w:tr>
      <w:tr w:rsidR="002D737F" w:rsidRPr="006D46E5" w14:paraId="53386B54" w14:textId="77777777" w:rsidTr="0057413B">
        <w:trPr>
          <w:cnfStyle w:val="000000010000" w:firstRow="0" w:lastRow="0" w:firstColumn="0" w:lastColumn="0" w:oddVBand="0" w:evenVBand="0" w:oddHBand="0" w:evenHBand="1" w:firstRowFirstColumn="0" w:firstRowLastColumn="0" w:lastRowFirstColumn="0" w:lastRowLastColumn="0"/>
        </w:trPr>
        <w:tc>
          <w:tcPr>
            <w:tcW w:w="2830" w:type="dxa"/>
          </w:tcPr>
          <w:p w14:paraId="583E5FF3" w14:textId="7C87A994" w:rsidR="002D737F" w:rsidRPr="00930510" w:rsidRDefault="00AF1E9F" w:rsidP="0057413B">
            <w:pPr>
              <w:pStyle w:val="TableBody"/>
            </w:pPr>
            <w:r>
              <w:t>Communications Alliance – Satellite Services Working Group</w:t>
            </w:r>
          </w:p>
        </w:tc>
        <w:tc>
          <w:tcPr>
            <w:tcW w:w="2268" w:type="dxa"/>
          </w:tcPr>
          <w:p w14:paraId="6BF3C5EA" w14:textId="7B8192D1" w:rsidR="002D737F" w:rsidRPr="00930510" w:rsidRDefault="00632A42" w:rsidP="0057413B">
            <w:pPr>
              <w:pStyle w:val="TableBody"/>
            </w:pPr>
            <w:r>
              <w:t>–</w:t>
            </w:r>
          </w:p>
        </w:tc>
        <w:tc>
          <w:tcPr>
            <w:tcW w:w="2268" w:type="dxa"/>
          </w:tcPr>
          <w:p w14:paraId="01FC9DA5" w14:textId="77777777" w:rsidR="002D737F" w:rsidRDefault="002D737F" w:rsidP="0057413B">
            <w:pPr>
              <w:pStyle w:val="TableBody"/>
            </w:pPr>
            <w:r>
              <w:t>Segmentation</w:t>
            </w:r>
          </w:p>
        </w:tc>
      </w:tr>
      <w:bookmarkEnd w:id="15"/>
    </w:tbl>
    <w:p w14:paraId="3E3B8733" w14:textId="77777777" w:rsidR="002D737F" w:rsidRDefault="002D737F" w:rsidP="00225794">
      <w:pPr>
        <w:pStyle w:val="Paragraph"/>
      </w:pPr>
    </w:p>
    <w:p w14:paraId="17B62BC6" w14:textId="5743F273" w:rsidR="005A111E" w:rsidRDefault="7ED7A4C7" w:rsidP="005A111E">
      <w:pPr>
        <w:pStyle w:val="Heading3"/>
        <w:pBdr>
          <w:top w:val="single" w:sz="4" w:space="1" w:color="auto"/>
          <w:left w:val="single" w:sz="4" w:space="1" w:color="auto"/>
          <w:bottom w:val="single" w:sz="4" w:space="1" w:color="auto"/>
          <w:right w:val="single" w:sz="4" w:space="1" w:color="auto"/>
        </w:pBdr>
        <w:shd w:val="clear" w:color="auto" w:fill="F2F2F2" w:themeFill="background1" w:themeFillShade="F2"/>
        <w:rPr>
          <w:b w:val="0"/>
          <w:bCs w:val="0"/>
        </w:rPr>
      </w:pPr>
      <w:r>
        <w:t>The ACMA’s preferred planning approach: 3400–3575 MHz and 3700–3800 MHz</w:t>
      </w:r>
    </w:p>
    <w:p w14:paraId="42BA1662" w14:textId="5743F273" w:rsidR="005A111E" w:rsidRDefault="7ED7A4C7" w:rsidP="005A111E">
      <w:pPr>
        <w:pStyle w:val="Paragraph"/>
        <w:pBdr>
          <w:top w:val="single" w:sz="4" w:space="1" w:color="auto"/>
          <w:left w:val="single" w:sz="4" w:space="1" w:color="auto"/>
          <w:bottom w:val="single" w:sz="4" w:space="1" w:color="auto"/>
          <w:right w:val="single" w:sz="4" w:space="1" w:color="auto"/>
        </w:pBdr>
        <w:shd w:val="clear" w:color="auto" w:fill="F2F2F2" w:themeFill="background1" w:themeFillShade="F2"/>
      </w:pPr>
      <w:r>
        <w:t xml:space="preserve">Do you have comments on our preferred planning option (Option 3), which updates the previous preliminary planning decisions (Option 1)? </w:t>
      </w:r>
    </w:p>
    <w:p w14:paraId="3D0A87C9" w14:textId="4A03518A" w:rsidR="002E7795" w:rsidRDefault="75B93F8C" w:rsidP="004A5D00">
      <w:pPr>
        <w:pStyle w:val="Paragraph"/>
        <w:spacing w:before="360"/>
      </w:pPr>
      <w:r>
        <w:t xml:space="preserve">A key theme in submissions </w:t>
      </w:r>
      <w:r w:rsidR="00632A42">
        <w:t xml:space="preserve">representing </w:t>
      </w:r>
      <w:r>
        <w:t>LA WBB interests was a preference to gain access to spectrum in the 3400</w:t>
      </w:r>
      <w:r w:rsidR="00632A42">
        <w:t>–</w:t>
      </w:r>
      <w:r>
        <w:t>3800 MHz frequency range (referred to as 4G spectrum)</w:t>
      </w:r>
      <w:r w:rsidR="00632A42">
        <w:t>, as discussed earlier.</w:t>
      </w:r>
      <w:r>
        <w:t xml:space="preserve"> For this reason</w:t>
      </w:r>
      <w:r w:rsidR="00632A42">
        <w:t>,</w:t>
      </w:r>
      <w:r>
        <w:t xml:space="preserve"> ARCIA and DB Telecommunications preferred Option 1</w:t>
      </w:r>
      <w:r w:rsidR="006C0995">
        <w:t xml:space="preserve"> (and possibly </w:t>
      </w:r>
      <w:r w:rsidR="00D00A16">
        <w:t>O</w:t>
      </w:r>
      <w:r w:rsidR="006C0995">
        <w:t>ption 2)</w:t>
      </w:r>
      <w:r>
        <w:t xml:space="preserve">. </w:t>
      </w:r>
      <w:r w:rsidR="002F618C">
        <w:t>Field Solution</w:t>
      </w:r>
      <w:r w:rsidR="00D618A9">
        <w:t>s</w:t>
      </w:r>
      <w:r w:rsidR="002F618C">
        <w:t xml:space="preserve"> Group </w:t>
      </w:r>
      <w:r>
        <w:t>also proposed a modification to Option 3</w:t>
      </w:r>
      <w:r w:rsidR="00632A42">
        <w:t>,</w:t>
      </w:r>
      <w:r w:rsidR="5A574B5D">
        <w:t xml:space="preserve"> </w:t>
      </w:r>
      <w:r w:rsidR="451346C0">
        <w:t>where</w:t>
      </w:r>
      <w:r>
        <w:t xml:space="preserve"> only the 3400</w:t>
      </w:r>
      <w:r w:rsidR="00632A42">
        <w:t>–</w:t>
      </w:r>
      <w:r>
        <w:t xml:space="preserve">3750 MHz frequency range </w:t>
      </w:r>
      <w:r w:rsidR="3953E754">
        <w:t xml:space="preserve">was included in any </w:t>
      </w:r>
      <w:r>
        <w:t>re-allocation declaration. This option would make the 3750</w:t>
      </w:r>
      <w:r w:rsidR="00632A42">
        <w:t>–</w:t>
      </w:r>
      <w:r>
        <w:t xml:space="preserve">3800 MHz frequency range available for LA WBB use in both regional and metro areas  </w:t>
      </w:r>
    </w:p>
    <w:p w14:paraId="580806C8" w14:textId="1A1EFCDA" w:rsidR="002E7795" w:rsidRDefault="75B93F8C" w:rsidP="002E7795">
      <w:pPr>
        <w:pStyle w:val="Paragraph"/>
      </w:pPr>
      <w:r>
        <w:t>Dense Air, NBN Co, Nokia and Pivotel indicated support for Option 3. Dense Air and Pivotel were interested in the timely release of apparatus</w:t>
      </w:r>
      <w:r w:rsidR="00632A42">
        <w:t>-</w:t>
      </w:r>
      <w:r>
        <w:t>licensed spectrum in the 3800</w:t>
      </w:r>
      <w:r w:rsidR="00632A42">
        <w:t>–</w:t>
      </w:r>
      <w:r>
        <w:t>4000 MHz frequency range. Nokia indicated they s</w:t>
      </w:r>
      <w:r w:rsidRPr="5B4E4045">
        <w:rPr>
          <w:rStyle w:val="normaltextrun"/>
          <w:color w:val="000000" w:themeColor="text1"/>
        </w:rPr>
        <w:t xml:space="preserve">ee strong demand for spectrum to support private/enterprise solutions, and such services could be provided by either private or mobile network operators. </w:t>
      </w:r>
    </w:p>
    <w:p w14:paraId="46F8FB8D" w14:textId="1F9BFBA3" w:rsidR="002E7795" w:rsidRDefault="75B93F8C" w:rsidP="5B4E4045">
      <w:pPr>
        <w:pStyle w:val="Paragraph"/>
        <w:rPr>
          <w:rStyle w:val="normaltextrun"/>
          <w:color w:val="000000"/>
          <w:shd w:val="clear" w:color="auto" w:fill="FFFFFF"/>
        </w:rPr>
      </w:pPr>
      <w:r>
        <w:t>Submissions from AMTA, Optus, Telstra and TPG indicated strong support for a future defragmentation of spectrum licence holdings in the 3400</w:t>
      </w:r>
      <w:r w:rsidR="00632A42">
        <w:t>–</w:t>
      </w:r>
      <w:r>
        <w:t xml:space="preserve">3800 MHz frequency range, </w:t>
      </w:r>
      <w:r w:rsidR="16A83234">
        <w:t>including</w:t>
      </w:r>
      <w:r>
        <w:t xml:space="preserve"> implementing arrangements that help reduce any barriers to such defragmentation. Optus encouraged the </w:t>
      </w:r>
      <w:r w:rsidRPr="5B4E4045">
        <w:rPr>
          <w:rStyle w:val="normaltextrun"/>
          <w:color w:val="000000"/>
          <w:shd w:val="clear" w:color="auto" w:fill="FFFFFF"/>
        </w:rPr>
        <w:t>ACMA to consider how it may assist defragmentation of the 3.4 GHz band in a timely and effective manner prior to auction</w:t>
      </w:r>
      <w:r w:rsidR="000722A4">
        <w:rPr>
          <w:rStyle w:val="normaltextrun"/>
          <w:color w:val="000000"/>
          <w:shd w:val="clear" w:color="auto" w:fill="FFFFFF"/>
        </w:rPr>
        <w:t>,</w:t>
      </w:r>
      <w:r w:rsidRPr="5B4E4045">
        <w:rPr>
          <w:rStyle w:val="normaltextrun"/>
          <w:color w:val="000000"/>
          <w:shd w:val="clear" w:color="auto" w:fill="FFFFFF"/>
        </w:rPr>
        <w:t xml:space="preserve"> and certainly before any further allocation or renewal of spectrum licences in 2030. </w:t>
      </w:r>
      <w:r>
        <w:t xml:space="preserve">AMTA, Optus, Telstra and TPG identified that Option 3 resulted in </w:t>
      </w:r>
      <w:r w:rsidRPr="5B4E4045">
        <w:rPr>
          <w:rStyle w:val="normaltextrun"/>
          <w:color w:val="000000"/>
          <w:shd w:val="clear" w:color="auto" w:fill="FFFFFF"/>
        </w:rPr>
        <w:t>15 MHz less spectrum in regional area 2 and 50 MHz less spectrum in major regional centres 1</w:t>
      </w:r>
      <w:r w:rsidR="000722A4">
        <w:rPr>
          <w:rStyle w:val="normaltextrun"/>
          <w:color w:val="000000"/>
          <w:shd w:val="clear" w:color="auto" w:fill="FFFFFF"/>
        </w:rPr>
        <w:t>,</w:t>
      </w:r>
      <w:r w:rsidRPr="5B4E4045">
        <w:rPr>
          <w:rStyle w:val="normaltextrun"/>
          <w:color w:val="000000"/>
          <w:shd w:val="clear" w:color="auto" w:fill="FFFFFF"/>
        </w:rPr>
        <w:t xml:space="preserve"> compared to Option 1. They also saw little benefit in retaining the 3475</w:t>
      </w:r>
      <w:r w:rsidR="00632A42">
        <w:t>–</w:t>
      </w:r>
      <w:r w:rsidRPr="5B4E4045">
        <w:rPr>
          <w:rStyle w:val="normaltextrun"/>
          <w:color w:val="000000"/>
          <w:shd w:val="clear" w:color="auto" w:fill="FFFFFF"/>
        </w:rPr>
        <w:t>3542.5 MHz frequency range for AWLs due to the impact of restricted use bands and implications for a future defragmentation of spectrum licences. </w:t>
      </w:r>
    </w:p>
    <w:p w14:paraId="58D72258" w14:textId="1AF8D77F" w:rsidR="002E7795" w:rsidRDefault="75B93F8C" w:rsidP="002E7795">
      <w:pPr>
        <w:pStyle w:val="Paragraph"/>
      </w:pPr>
      <w:r>
        <w:t>AMTA, Optus, Telstra and TPG proposed an alternative to Option 3</w:t>
      </w:r>
      <w:r w:rsidR="000722A4">
        <w:t>,</w:t>
      </w:r>
      <w:r>
        <w:t xml:space="preserve"> where the entire 3400</w:t>
      </w:r>
      <w:r w:rsidR="00632A42">
        <w:t>–</w:t>
      </w:r>
      <w:r>
        <w:t xml:space="preserve">3800 MHz frequency range is re-allocated in metropolitan and regional areas. They indicated this would facilitate access to larger contiguous channels for WA WBB use and reduce geographic fragmentation of AWL and spectrum licence arrangements across metropolitan and regional areas. A key part of their argument was to maximise </w:t>
      </w:r>
      <w:r>
        <w:lastRenderedPageBreak/>
        <w:t>access to valuable mid-band spectrum and reduce, as far as possible, barriers to a future whole</w:t>
      </w:r>
      <w:r w:rsidR="00632A42">
        <w:t>-</w:t>
      </w:r>
      <w:r>
        <w:t>of</w:t>
      </w:r>
      <w:r w:rsidR="00632A42">
        <w:t>-</w:t>
      </w:r>
      <w:r>
        <w:t>band defragmentation and enable spectrum licensees to access the same spectrum in both metropolitan and adjacent regional areas</w:t>
      </w:r>
      <w:r w:rsidR="00953C1C">
        <w:t xml:space="preserve"> to reduce the impact of dead zones</w:t>
      </w:r>
      <w:r>
        <w:t xml:space="preserve">. </w:t>
      </w:r>
      <w:r w:rsidR="00632A42">
        <w:t>If</w:t>
      </w:r>
      <w:r>
        <w:t xml:space="preserve"> their preferred approach </w:t>
      </w:r>
      <w:r w:rsidR="00A5562F">
        <w:t>was</w:t>
      </w:r>
      <w:r>
        <w:t xml:space="preserve"> not adopted, AMTA proposed that</w:t>
      </w:r>
      <w:r w:rsidR="00D5323E">
        <w:t>,</w:t>
      </w:r>
      <w:r>
        <w:t xml:space="preserve"> at a minimum</w:t>
      </w:r>
      <w:r w:rsidR="00D5323E">
        <w:t>,</w:t>
      </w:r>
      <w:r>
        <w:t xml:space="preserve"> the 3750</w:t>
      </w:r>
      <w:r w:rsidR="00632A42">
        <w:t>–</w:t>
      </w:r>
      <w:r>
        <w:t>3800</w:t>
      </w:r>
      <w:r w:rsidR="00D5323E">
        <w:t> </w:t>
      </w:r>
      <w:r>
        <w:t xml:space="preserve">MHz frequency range should also be re-allocated in </w:t>
      </w:r>
      <w:r w:rsidRPr="5B4E4045">
        <w:rPr>
          <w:rStyle w:val="normaltextrun"/>
          <w:color w:val="000000"/>
          <w:bdr w:val="none" w:sz="0" w:space="0" w:color="auto" w:frame="1"/>
        </w:rPr>
        <w:t>major regional centres 1 and regional area</w:t>
      </w:r>
      <w:r w:rsidR="00A5562F">
        <w:rPr>
          <w:rStyle w:val="normaltextrun"/>
          <w:color w:val="000000"/>
          <w:bdr w:val="none" w:sz="0" w:space="0" w:color="auto" w:frame="1"/>
        </w:rPr>
        <w:t> </w:t>
      </w:r>
      <w:r w:rsidRPr="5B4E4045">
        <w:rPr>
          <w:rStyle w:val="normaltextrun"/>
          <w:color w:val="000000"/>
          <w:bdr w:val="none" w:sz="0" w:space="0" w:color="auto" w:frame="1"/>
        </w:rPr>
        <w:t xml:space="preserve">2. </w:t>
      </w:r>
      <w:r>
        <w:t xml:space="preserve"> </w:t>
      </w:r>
    </w:p>
    <w:p w14:paraId="504D66CE" w14:textId="34C783BD" w:rsidR="002E7795" w:rsidRDefault="75B93F8C" w:rsidP="002E7795">
      <w:pPr>
        <w:pStyle w:val="Paragraph"/>
      </w:pPr>
      <w:r>
        <w:t>AMTA, Optus, Telstra and TPG further proposed that spectrum at ESPZs should</w:t>
      </w:r>
      <w:r w:rsidR="00892E92">
        <w:t xml:space="preserve"> not</w:t>
      </w:r>
      <w:r>
        <w:t xml:space="preserve"> be re-allocated in the 3.7 GHz band to align with 3.6 GHz areas, but should be re-allocated in the 3.4 GHz band to align with existing 3.4 GHz regional spectrum licence areas. Again, the idea behind this was to remove another possible barrier to a future defragmentation </w:t>
      </w:r>
      <w:r w:rsidRPr="5B4E4045">
        <w:rPr>
          <w:rStyle w:val="normaltextrun"/>
          <w:color w:val="000000"/>
          <w:shd w:val="clear" w:color="auto" w:fill="FFFFFF"/>
        </w:rPr>
        <w:t>as it is heavily reliant on geographical areas being uniform over as much of the band as possible.</w:t>
      </w:r>
    </w:p>
    <w:p w14:paraId="446DC8B3" w14:textId="606A2937" w:rsidR="002E7795" w:rsidRDefault="75B93F8C" w:rsidP="002E7795">
      <w:pPr>
        <w:pStyle w:val="Paragraph"/>
      </w:pPr>
      <w:r>
        <w:t>Telstra also proposed that the 3400</w:t>
      </w:r>
      <w:r w:rsidR="00632A42">
        <w:t>–</w:t>
      </w:r>
      <w:r>
        <w:t>3425 MHz and 3400</w:t>
      </w:r>
      <w:r w:rsidR="00632A42">
        <w:t>–</w:t>
      </w:r>
      <w:r>
        <w:t>3442.5 MHz frequency ranges be made available for AWLs in major regional centres 1 and regional area 1</w:t>
      </w:r>
      <w:r w:rsidR="00632A42">
        <w:t>,</w:t>
      </w:r>
      <w:r>
        <w:t xml:space="preserve"> respectively. They argued that this would not only provide access to 4G spectrum for LA WBB use, but they believed most incumbent </w:t>
      </w:r>
      <w:r w:rsidR="00B25856">
        <w:t>point-to-multipoint (</w:t>
      </w:r>
      <w:r>
        <w:t>PMP</w:t>
      </w:r>
      <w:r w:rsidR="00B25856">
        <w:t>)</w:t>
      </w:r>
      <w:r>
        <w:t xml:space="preserve"> licences in the 3475</w:t>
      </w:r>
      <w:r w:rsidR="00632A42">
        <w:t>–</w:t>
      </w:r>
      <w:r>
        <w:t>3542.5</w:t>
      </w:r>
      <w:r w:rsidR="00905CCB">
        <w:t> </w:t>
      </w:r>
      <w:r>
        <w:t xml:space="preserve">MHz band could retune their existing </w:t>
      </w:r>
      <w:r w:rsidR="00905CCB">
        <w:t>equipment</w:t>
      </w:r>
      <w:r>
        <w:t xml:space="preserve"> into these frequency ranges</w:t>
      </w:r>
      <w:r w:rsidR="00632A42">
        <w:t xml:space="preserve"> as</w:t>
      </w:r>
      <w:r>
        <w:t xml:space="preserve"> incumbent PMP re-</w:t>
      </w:r>
      <w:r w:rsidR="00575B2A">
        <w:t>tuning</w:t>
      </w:r>
      <w:r>
        <w:t xml:space="preserve"> could occur faster and at lower expense. AMTA supported such an approach if the ACMA </w:t>
      </w:r>
      <w:r w:rsidR="00632A42">
        <w:t xml:space="preserve">could </w:t>
      </w:r>
      <w:r>
        <w:t>make provisions for AWLs in the 3400</w:t>
      </w:r>
      <w:r w:rsidR="00632A42">
        <w:t>–</w:t>
      </w:r>
      <w:r>
        <w:t xml:space="preserve">3800 MHz frequency range. </w:t>
      </w:r>
    </w:p>
    <w:p w14:paraId="42B94907" w14:textId="16F2C716" w:rsidR="002E7795" w:rsidRDefault="75B93F8C" w:rsidP="002E7795">
      <w:pPr>
        <w:pStyle w:val="Paragraph"/>
      </w:pPr>
      <w:r>
        <w:t xml:space="preserve">ASTRA, the </w:t>
      </w:r>
      <w:r w:rsidR="00AF1E9F">
        <w:t>Communications Alliance Satellite Services Working Group (CA-SSWG)</w:t>
      </w:r>
      <w:r>
        <w:t xml:space="preserve"> and SBS were concerned about the proposed re-allocation of spectrum in the 3700</w:t>
      </w:r>
      <w:r w:rsidR="00632A42">
        <w:t>–</w:t>
      </w:r>
      <w:r>
        <w:t xml:space="preserve">3800 MHz frequency range. The </w:t>
      </w:r>
      <w:r w:rsidR="00AF1E9F">
        <w:t>CA-</w:t>
      </w:r>
      <w:r>
        <w:t>SSWG recommended that this spectrum should not be re-allocated in regional area 1</w:t>
      </w:r>
      <w:r w:rsidR="00632A42">
        <w:t xml:space="preserve"> </w:t>
      </w:r>
      <w:r>
        <w:t>due to the area</w:t>
      </w:r>
      <w:r w:rsidR="00097304">
        <w:t>’</w:t>
      </w:r>
      <w:r>
        <w:t xml:space="preserve">s low population density resulting in a likely low density of WBB deployments. ASTRA suggested they could support the introduction of new services </w:t>
      </w:r>
      <w:r w:rsidR="00632A42">
        <w:t xml:space="preserve">if </w:t>
      </w:r>
      <w:r>
        <w:t xml:space="preserve">incumbent </w:t>
      </w:r>
      <w:r w:rsidR="00B25856" w:rsidRPr="003A5176">
        <w:t>fixed satellite service (</w:t>
      </w:r>
      <w:r w:rsidRPr="003A5176">
        <w:t>FSS</w:t>
      </w:r>
      <w:r w:rsidR="00B25856" w:rsidRPr="003A5176">
        <w:t>)</w:t>
      </w:r>
      <w:r>
        <w:t xml:space="preserve"> earth stations could continue operating and </w:t>
      </w:r>
      <w:r w:rsidR="00097304">
        <w:t>were</w:t>
      </w:r>
      <w:r>
        <w:t xml:space="preserve"> afforded ongoing protection. SBS stated the importance of the 3700</w:t>
      </w:r>
      <w:r w:rsidR="00632A42">
        <w:t>–</w:t>
      </w:r>
      <w:r>
        <w:t xml:space="preserve">3800 MHz band for the collection of international content. While they are investigating different delivery options, FSS collection is currently the most cost effective and </w:t>
      </w:r>
      <w:r w:rsidR="004F447D">
        <w:t xml:space="preserve">SBS </w:t>
      </w:r>
      <w:r>
        <w:t xml:space="preserve">would need additional funding to adopt other measures. </w:t>
      </w:r>
    </w:p>
    <w:p w14:paraId="3DD32D8F" w14:textId="0E3A0243" w:rsidR="00447AC9" w:rsidRDefault="75B93F8C">
      <w:pPr>
        <w:pStyle w:val="Paragraph"/>
        <w:spacing w:before="240"/>
      </w:pPr>
      <w:r>
        <w:t xml:space="preserve">WIA acknowledged that </w:t>
      </w:r>
      <w:r w:rsidR="000144B9">
        <w:t xml:space="preserve">their </w:t>
      </w:r>
      <w:r>
        <w:t>current Amateur Service Band Plan is able to accommodate Option 3 by defining arrangements for amateur use in the 3300</w:t>
      </w:r>
      <w:r w:rsidR="00632A42">
        <w:t>–</w:t>
      </w:r>
      <w:r>
        <w:t>3400</w:t>
      </w:r>
      <w:r w:rsidR="004F3F7F">
        <w:t> </w:t>
      </w:r>
      <w:r>
        <w:t>MHz frequency range. However, they expressed concern over the slow erosion of spectrum for amateur use in the 3300</w:t>
      </w:r>
      <w:r w:rsidR="00632A42">
        <w:t>–</w:t>
      </w:r>
      <w:r>
        <w:t xml:space="preserve">3600 MHz and other bands. </w:t>
      </w:r>
      <w:r w:rsidR="5ACBB2D1">
        <w:t xml:space="preserve"> </w:t>
      </w:r>
    </w:p>
    <w:p w14:paraId="0CB1A2DF" w14:textId="5AB41BDD" w:rsidR="0088655B" w:rsidRDefault="0088655B" w:rsidP="0088655B">
      <w:pPr>
        <w:pStyle w:val="Paragraph"/>
      </w:pPr>
      <w:r w:rsidRPr="003A50A5">
        <w:t>Table 2</w:t>
      </w:r>
      <w:r w:rsidRPr="00F14C59">
        <w:t xml:space="preserve"> provides</w:t>
      </w:r>
      <w:r>
        <w:t xml:space="preserve"> a summary of submissions related to </w:t>
      </w:r>
      <w:r w:rsidR="004F3F7F">
        <w:t xml:space="preserve">re-allocation </w:t>
      </w:r>
      <w:r>
        <w:t>options.</w:t>
      </w:r>
    </w:p>
    <w:p w14:paraId="3F7709E4" w14:textId="77777777" w:rsidR="0088655B" w:rsidRDefault="0088655B">
      <w:pPr>
        <w:spacing w:after="0" w:line="240" w:lineRule="auto"/>
        <w:rPr>
          <w:rFonts w:cs="Arial"/>
        </w:rPr>
      </w:pPr>
      <w:r>
        <w:br w:type="page"/>
      </w:r>
    </w:p>
    <w:p w14:paraId="15C20ED2" w14:textId="4C742BF6" w:rsidR="0088655B" w:rsidRDefault="0088655B" w:rsidP="0088655B">
      <w:pPr>
        <w:pStyle w:val="Tableheading"/>
      </w:pPr>
      <w:r>
        <w:lastRenderedPageBreak/>
        <w:t>Summary of submissions related to re-allocation options</w:t>
      </w:r>
    </w:p>
    <w:tbl>
      <w:tblPr>
        <w:tblStyle w:val="ACMAtablestyle"/>
        <w:tblW w:w="7792" w:type="dxa"/>
        <w:tblLayout w:type="fixed"/>
        <w:tblLook w:val="01E0" w:firstRow="1" w:lastRow="1" w:firstColumn="1" w:lastColumn="1" w:noHBand="0" w:noVBand="0"/>
        <w:tblCaption w:val="Table title to go here"/>
        <w:tblDescription w:val="Table description to go here"/>
      </w:tblPr>
      <w:tblGrid>
        <w:gridCol w:w="4815"/>
        <w:gridCol w:w="2977"/>
      </w:tblGrid>
      <w:tr w:rsidR="0088655B" w:rsidRPr="006D46E5" w14:paraId="4EF51A77" w14:textId="77777777" w:rsidTr="00701F3F">
        <w:trPr>
          <w:cnfStyle w:val="100000000000" w:firstRow="1" w:lastRow="0" w:firstColumn="0" w:lastColumn="0" w:oddVBand="0" w:evenVBand="0" w:oddHBand="0" w:evenHBand="0" w:firstRowFirstColumn="0" w:firstRowLastColumn="0" w:lastRowFirstColumn="0" w:lastRowLastColumn="0"/>
        </w:trPr>
        <w:tc>
          <w:tcPr>
            <w:tcW w:w="4815" w:type="dxa"/>
          </w:tcPr>
          <w:p w14:paraId="50BF3E8B" w14:textId="77777777" w:rsidR="0088655B" w:rsidRPr="00930510" w:rsidRDefault="0088655B" w:rsidP="0057413B">
            <w:pPr>
              <w:pStyle w:val="Tableheaderrow"/>
            </w:pPr>
            <w:r>
              <w:t>Option</w:t>
            </w:r>
          </w:p>
        </w:tc>
        <w:tc>
          <w:tcPr>
            <w:tcW w:w="2977" w:type="dxa"/>
          </w:tcPr>
          <w:p w14:paraId="7B09B8D1" w14:textId="5EF63404" w:rsidR="00D66BC6" w:rsidRDefault="00B65B89" w:rsidP="0057413B">
            <w:pPr>
              <w:pStyle w:val="Tableheaderrow"/>
            </w:pPr>
            <w:r>
              <w:t xml:space="preserve">Submitters that supported </w:t>
            </w:r>
          </w:p>
          <w:p w14:paraId="53CF336F" w14:textId="0EED7C58" w:rsidR="0088655B" w:rsidRPr="00930510" w:rsidRDefault="00B65B89" w:rsidP="00701F3F">
            <w:pPr>
              <w:pStyle w:val="Tableheaderrow"/>
            </w:pPr>
            <w:r>
              <w:t xml:space="preserve">the </w:t>
            </w:r>
            <w:r w:rsidR="00701F3F">
              <w:t>o</w:t>
            </w:r>
            <w:r>
              <w:t>ption</w:t>
            </w:r>
          </w:p>
        </w:tc>
      </w:tr>
      <w:tr w:rsidR="0088655B" w:rsidRPr="006D46E5" w14:paraId="60C28A7B" w14:textId="77777777" w:rsidTr="004B6863">
        <w:trPr>
          <w:cnfStyle w:val="000000100000" w:firstRow="0" w:lastRow="0" w:firstColumn="0" w:lastColumn="0" w:oddVBand="0" w:evenVBand="0" w:oddHBand="1" w:evenHBand="0" w:firstRowFirstColumn="0" w:firstRowLastColumn="0" w:lastRowFirstColumn="0" w:lastRowLastColumn="0"/>
        </w:trPr>
        <w:tc>
          <w:tcPr>
            <w:tcW w:w="4815" w:type="dxa"/>
          </w:tcPr>
          <w:p w14:paraId="2C052BB6" w14:textId="77777777" w:rsidR="0088655B" w:rsidRPr="00930510" w:rsidRDefault="0088655B" w:rsidP="0057413B">
            <w:pPr>
              <w:pStyle w:val="TableBody"/>
            </w:pPr>
            <w:r>
              <w:t>Option 1 (possibly Option 2)</w:t>
            </w:r>
          </w:p>
        </w:tc>
        <w:tc>
          <w:tcPr>
            <w:tcW w:w="2977" w:type="dxa"/>
          </w:tcPr>
          <w:p w14:paraId="5D6AAED8" w14:textId="77777777" w:rsidR="0088655B" w:rsidRPr="00930510" w:rsidRDefault="0088655B" w:rsidP="0057413B">
            <w:pPr>
              <w:pStyle w:val="TableBody"/>
            </w:pPr>
            <w:r>
              <w:t xml:space="preserve">ARCIA, DB telecommunications </w:t>
            </w:r>
          </w:p>
        </w:tc>
      </w:tr>
      <w:tr w:rsidR="0088655B" w:rsidRPr="006D46E5" w14:paraId="1759E763" w14:textId="77777777" w:rsidTr="004B6863">
        <w:trPr>
          <w:cnfStyle w:val="000000010000" w:firstRow="0" w:lastRow="0" w:firstColumn="0" w:lastColumn="0" w:oddVBand="0" w:evenVBand="0" w:oddHBand="0" w:evenHBand="1" w:firstRowFirstColumn="0" w:firstRowLastColumn="0" w:lastRowFirstColumn="0" w:lastRowLastColumn="0"/>
        </w:trPr>
        <w:tc>
          <w:tcPr>
            <w:tcW w:w="4815" w:type="dxa"/>
          </w:tcPr>
          <w:p w14:paraId="22476DBF" w14:textId="77777777" w:rsidR="0088655B" w:rsidRPr="00930510" w:rsidRDefault="0088655B" w:rsidP="0057413B">
            <w:pPr>
              <w:pStyle w:val="TableBody"/>
            </w:pPr>
            <w:r>
              <w:t>Option 3</w:t>
            </w:r>
          </w:p>
        </w:tc>
        <w:tc>
          <w:tcPr>
            <w:tcW w:w="2977" w:type="dxa"/>
          </w:tcPr>
          <w:p w14:paraId="294A02CB" w14:textId="77777777" w:rsidR="0088655B" w:rsidRPr="00930510" w:rsidRDefault="0088655B" w:rsidP="0057413B">
            <w:pPr>
              <w:pStyle w:val="TableBody"/>
            </w:pPr>
            <w:r>
              <w:t>Dense Air, NBN Co, Nokia, Pivotel</w:t>
            </w:r>
          </w:p>
        </w:tc>
      </w:tr>
      <w:tr w:rsidR="0088655B" w:rsidRPr="006D46E5" w14:paraId="21F53830" w14:textId="77777777" w:rsidTr="004B6863">
        <w:trPr>
          <w:cnfStyle w:val="000000100000" w:firstRow="0" w:lastRow="0" w:firstColumn="0" w:lastColumn="0" w:oddVBand="0" w:evenVBand="0" w:oddHBand="1" w:evenHBand="0" w:firstRowFirstColumn="0" w:firstRowLastColumn="0" w:lastRowFirstColumn="0" w:lastRowLastColumn="0"/>
        </w:trPr>
        <w:tc>
          <w:tcPr>
            <w:tcW w:w="4815" w:type="dxa"/>
          </w:tcPr>
          <w:p w14:paraId="6F0E78EF" w14:textId="0784BBDA" w:rsidR="0088655B" w:rsidRDefault="0088655B" w:rsidP="0057413B">
            <w:pPr>
              <w:pStyle w:val="TableBody"/>
            </w:pPr>
            <w:r>
              <w:t>Only re-allocate 3400</w:t>
            </w:r>
            <w:r w:rsidR="007A69DE">
              <w:t>–</w:t>
            </w:r>
            <w:r>
              <w:t>3750 MHz in metro and regional areas</w:t>
            </w:r>
          </w:p>
        </w:tc>
        <w:tc>
          <w:tcPr>
            <w:tcW w:w="2977" w:type="dxa"/>
          </w:tcPr>
          <w:p w14:paraId="19425CF7" w14:textId="4B1636BD" w:rsidR="0088655B" w:rsidRPr="00320319" w:rsidRDefault="00D618A9" w:rsidP="0057413B">
            <w:pPr>
              <w:pStyle w:val="TableBody"/>
            </w:pPr>
            <w:r>
              <w:t>Field Solutions Group</w:t>
            </w:r>
          </w:p>
        </w:tc>
      </w:tr>
      <w:tr w:rsidR="0088655B" w:rsidRPr="006D46E5" w14:paraId="33ABEF4A" w14:textId="77777777" w:rsidTr="004B6863">
        <w:trPr>
          <w:cnfStyle w:val="000000010000" w:firstRow="0" w:lastRow="0" w:firstColumn="0" w:lastColumn="0" w:oddVBand="0" w:evenVBand="0" w:oddHBand="0" w:evenHBand="1" w:firstRowFirstColumn="0" w:firstRowLastColumn="0" w:lastRowFirstColumn="0" w:lastRowLastColumn="0"/>
        </w:trPr>
        <w:tc>
          <w:tcPr>
            <w:tcW w:w="4815" w:type="dxa"/>
          </w:tcPr>
          <w:p w14:paraId="577955B7" w14:textId="11394C7B" w:rsidR="0088655B" w:rsidRDefault="0088655B" w:rsidP="0057413B">
            <w:pPr>
              <w:pStyle w:val="TableBody"/>
            </w:pPr>
            <w:r>
              <w:t>Re-allocate 3400</w:t>
            </w:r>
            <w:r w:rsidR="007A69DE">
              <w:t>–</w:t>
            </w:r>
            <w:r>
              <w:t xml:space="preserve">3800 MHz in all metro and regional areas </w:t>
            </w:r>
          </w:p>
        </w:tc>
        <w:tc>
          <w:tcPr>
            <w:tcW w:w="2977" w:type="dxa"/>
          </w:tcPr>
          <w:p w14:paraId="64DA23DF" w14:textId="77777777" w:rsidR="0088655B" w:rsidRPr="00320319" w:rsidRDefault="0088655B" w:rsidP="0057413B">
            <w:pPr>
              <w:pStyle w:val="TableBody"/>
            </w:pPr>
            <w:r>
              <w:t>AMTA, Optus, Telstra, TPG</w:t>
            </w:r>
          </w:p>
          <w:p w14:paraId="1F9F0C6A" w14:textId="77777777" w:rsidR="0088655B" w:rsidRPr="00320319" w:rsidRDefault="0088655B" w:rsidP="0057413B">
            <w:pPr>
              <w:pStyle w:val="TableBody"/>
            </w:pPr>
          </w:p>
        </w:tc>
      </w:tr>
      <w:tr w:rsidR="0088655B" w:rsidRPr="006D46E5" w14:paraId="798E8E38" w14:textId="77777777" w:rsidTr="004B6863">
        <w:trPr>
          <w:cnfStyle w:val="000000100000" w:firstRow="0" w:lastRow="0" w:firstColumn="0" w:lastColumn="0" w:oddVBand="0" w:evenVBand="0" w:oddHBand="1" w:evenHBand="0" w:firstRowFirstColumn="0" w:firstRowLastColumn="0" w:lastRowFirstColumn="0" w:lastRowLastColumn="0"/>
        </w:trPr>
        <w:tc>
          <w:tcPr>
            <w:tcW w:w="4815" w:type="dxa"/>
          </w:tcPr>
          <w:p w14:paraId="6607A6DF" w14:textId="626A6AF8" w:rsidR="0088655B" w:rsidRDefault="0088655B" w:rsidP="0057413B">
            <w:pPr>
              <w:pStyle w:val="TableBody"/>
            </w:pPr>
            <w:r>
              <w:t>Re-allocate same areas and frequencies as Option 3 and also re-allocate major regional centres 1 and regional area 2 in 3750</w:t>
            </w:r>
            <w:r w:rsidR="007A69DE">
              <w:t>–</w:t>
            </w:r>
            <w:r>
              <w:t xml:space="preserve">3800 MHz </w:t>
            </w:r>
          </w:p>
        </w:tc>
        <w:tc>
          <w:tcPr>
            <w:tcW w:w="2977" w:type="dxa"/>
          </w:tcPr>
          <w:p w14:paraId="4E99B3AB" w14:textId="17656D48" w:rsidR="0088655B" w:rsidRPr="00320319" w:rsidRDefault="0088655B" w:rsidP="0057413B">
            <w:pPr>
              <w:pStyle w:val="TableBody"/>
            </w:pPr>
            <w:r>
              <w:t>AMTA, Optus, Telstra, TPG</w:t>
            </w:r>
            <w:r w:rsidR="004D5F45">
              <w:t xml:space="preserve"> (fallback option)</w:t>
            </w:r>
          </w:p>
        </w:tc>
      </w:tr>
      <w:tr w:rsidR="0088655B" w:rsidRPr="006D46E5" w14:paraId="253E443E" w14:textId="77777777" w:rsidTr="004B6863">
        <w:trPr>
          <w:cnfStyle w:val="000000010000" w:firstRow="0" w:lastRow="0" w:firstColumn="0" w:lastColumn="0" w:oddVBand="0" w:evenVBand="0" w:oddHBand="0" w:evenHBand="1" w:firstRowFirstColumn="0" w:firstRowLastColumn="0" w:lastRowFirstColumn="0" w:lastRowLastColumn="0"/>
        </w:trPr>
        <w:tc>
          <w:tcPr>
            <w:tcW w:w="4815" w:type="dxa"/>
          </w:tcPr>
          <w:p w14:paraId="6CF2F825" w14:textId="0A8DD18D" w:rsidR="0088655B" w:rsidRDefault="0088655B" w:rsidP="0057413B">
            <w:pPr>
              <w:pStyle w:val="TableBody"/>
            </w:pPr>
            <w:r>
              <w:t>Re-allocate 3475</w:t>
            </w:r>
            <w:r w:rsidR="00ED32EF">
              <w:t>–</w:t>
            </w:r>
            <w:r>
              <w:t>3800 MHz in all metro and regional areas, reserve 3400</w:t>
            </w:r>
            <w:r w:rsidR="007A69DE">
              <w:t>–</w:t>
            </w:r>
            <w:r>
              <w:t>3425/3442.5 MHz for AWL in major regional centres 2 and regional area 1</w:t>
            </w:r>
          </w:p>
        </w:tc>
        <w:tc>
          <w:tcPr>
            <w:tcW w:w="2977" w:type="dxa"/>
          </w:tcPr>
          <w:p w14:paraId="4026A2BF" w14:textId="77777777" w:rsidR="0088655B" w:rsidRPr="00320319" w:rsidRDefault="0088655B" w:rsidP="0057413B">
            <w:pPr>
              <w:pStyle w:val="TableBody"/>
            </w:pPr>
            <w:r>
              <w:t>Telstra</w:t>
            </w:r>
          </w:p>
        </w:tc>
      </w:tr>
    </w:tbl>
    <w:p w14:paraId="60147AA3" w14:textId="54E541E5" w:rsidR="0088655B" w:rsidRPr="004A5D00" w:rsidRDefault="0088655B" w:rsidP="004B6863">
      <w:pPr>
        <w:pStyle w:val="Paragraph"/>
        <w:tabs>
          <w:tab w:val="left" w:pos="4707"/>
        </w:tabs>
      </w:pPr>
    </w:p>
    <w:p w14:paraId="548AA177" w14:textId="35F2D698" w:rsidR="24FCBA5A" w:rsidRDefault="7A773DB6" w:rsidP="01F36A8B">
      <w:pPr>
        <w:pStyle w:val="Heading3"/>
        <w:pBdr>
          <w:top w:val="single" w:sz="4" w:space="1" w:color="auto"/>
          <w:left w:val="single" w:sz="4" w:space="4" w:color="auto"/>
          <w:bottom w:val="single" w:sz="4" w:space="1" w:color="auto"/>
          <w:right w:val="single" w:sz="4" w:space="4" w:color="auto"/>
        </w:pBdr>
        <w:shd w:val="clear" w:color="auto" w:fill="F2F2F2" w:themeFill="background1" w:themeFillShade="F2"/>
      </w:pPr>
      <w:r>
        <w:t xml:space="preserve">Licence type </w:t>
      </w:r>
    </w:p>
    <w:p w14:paraId="20C3EE4B" w14:textId="100C37DD" w:rsidR="24FCBA5A" w:rsidRDefault="7A773DB6" w:rsidP="01F36A8B">
      <w:pPr>
        <w:pStyle w:val="Paragraph"/>
        <w:pBdr>
          <w:top w:val="single" w:sz="4" w:space="1" w:color="auto"/>
          <w:left w:val="single" w:sz="4" w:space="4" w:color="auto"/>
          <w:bottom w:val="single" w:sz="4" w:space="1" w:color="auto"/>
          <w:right w:val="single" w:sz="4" w:space="4" w:color="auto"/>
        </w:pBdr>
        <w:shd w:val="clear" w:color="auto" w:fill="F2F2F2" w:themeFill="background1" w:themeFillShade="F2"/>
      </w:pPr>
      <w:r>
        <w:t xml:space="preserve">If the ACMA makes a re-allocation declaration, do you have comments on our proposal to issue spectrum licences in the 3.4 GHz (including in regional areas and in urban excise areas) and 3.7 GHz bands? </w:t>
      </w:r>
    </w:p>
    <w:p w14:paraId="281BAF67" w14:textId="6FD8B3CF" w:rsidR="24FCBA5A" w:rsidRDefault="00A405D7" w:rsidP="004B6863">
      <w:pPr>
        <w:pStyle w:val="Paragraphbeforelist"/>
        <w:shd w:val="clear" w:color="auto" w:fill="FFFFFF" w:themeFill="background1"/>
        <w:spacing w:before="240"/>
      </w:pPr>
      <w:r>
        <w:t xml:space="preserve">Submitters </w:t>
      </w:r>
      <w:r w:rsidR="5D98E4BB">
        <w:t xml:space="preserve">broadly agreed that parts of the spectrum subject to re-allocation should be re-allocated by using spectrum licences. </w:t>
      </w:r>
      <w:r w:rsidR="6C5F459A">
        <w:t>However, 2</w:t>
      </w:r>
      <w:r w:rsidR="40011272">
        <w:t xml:space="preserve"> respondents disagreed:</w:t>
      </w:r>
    </w:p>
    <w:p w14:paraId="39B755BC" w14:textId="0B1478D3" w:rsidR="24FCBA5A" w:rsidRPr="00C0503D" w:rsidRDefault="40011272" w:rsidP="01F36A8B">
      <w:pPr>
        <w:pStyle w:val="ListBullet"/>
        <w:shd w:val="clear" w:color="auto" w:fill="FFFFFF" w:themeFill="background1"/>
        <w:rPr>
          <w:rFonts w:eastAsia="Arial"/>
        </w:rPr>
      </w:pPr>
      <w:r w:rsidRPr="00C0503D">
        <w:rPr>
          <w:rFonts w:eastAsia="Arial"/>
        </w:rPr>
        <w:t>CA</w:t>
      </w:r>
      <w:r w:rsidR="00AF1E9F">
        <w:rPr>
          <w:rFonts w:eastAsia="Arial"/>
        </w:rPr>
        <w:t>-</w:t>
      </w:r>
      <w:r w:rsidRPr="00C0503D">
        <w:rPr>
          <w:rFonts w:eastAsia="Arial"/>
        </w:rPr>
        <w:t>SSWG opposed spectrum licensing in some parts of the 3.7 GHz band in regional areas</w:t>
      </w:r>
      <w:r w:rsidRPr="00C0503D">
        <w:t xml:space="preserve">, due to the sparse population in those areas. It proposed that regional areas should be licensed on a shared basis.  </w:t>
      </w:r>
      <w:r w:rsidRPr="00C0503D">
        <w:rPr>
          <w:rFonts w:eastAsia="Arial"/>
        </w:rPr>
        <w:t xml:space="preserve"> </w:t>
      </w:r>
    </w:p>
    <w:p w14:paraId="78C390BD" w14:textId="37D94062" w:rsidR="0051644C" w:rsidRDefault="40011272" w:rsidP="01F36A8B">
      <w:pPr>
        <w:pStyle w:val="ListBulletLast"/>
        <w:shd w:val="clear" w:color="auto" w:fill="FFFFFF" w:themeFill="background1"/>
        <w:rPr>
          <w:rFonts w:eastAsia="Arial"/>
        </w:rPr>
      </w:pPr>
      <w:r w:rsidRPr="01F36A8B">
        <w:rPr>
          <w:rFonts w:eastAsia="Arial"/>
        </w:rPr>
        <w:t>ARCIA opposed spectrum licensing the 3.4/3.7</w:t>
      </w:r>
      <w:r>
        <w:t xml:space="preserve"> GHz bands, arguing that the </w:t>
      </w:r>
      <w:r w:rsidRPr="01F36A8B">
        <w:rPr>
          <w:rFonts w:eastAsia="Arial"/>
        </w:rPr>
        <w:t>spectrum licensing model did not suit the long-term investment requirements for enterprise use.</w:t>
      </w:r>
    </w:p>
    <w:p w14:paraId="77B8C55C" w14:textId="2B6BFDC3" w:rsidR="564EFBF1" w:rsidRDefault="564EFBF1" w:rsidP="7EB58DFB">
      <w:pPr>
        <w:pStyle w:val="Paragraph"/>
      </w:pPr>
      <w:r>
        <w:t>R</w:t>
      </w:r>
      <w:r w:rsidR="7EB58DFB">
        <w:t xml:space="preserve">espondents from the aviation industry expressed concerns about interference, stating that </w:t>
      </w:r>
      <w:r w:rsidR="005B46BD">
        <w:t>any</w:t>
      </w:r>
      <w:r w:rsidR="00742044">
        <w:t xml:space="preserve"> </w:t>
      </w:r>
      <w:r w:rsidR="00C8168C">
        <w:t>WBB use in the 3.4</w:t>
      </w:r>
      <w:r w:rsidR="00A405D7">
        <w:t>–</w:t>
      </w:r>
      <w:r w:rsidR="00C8168C">
        <w:t>4.0 GHz frequency range</w:t>
      </w:r>
      <w:r w:rsidR="7EB58DFB">
        <w:t xml:space="preserve"> should not disrupt aviation operations or safety.</w:t>
      </w:r>
    </w:p>
    <w:p w14:paraId="5CE071FE" w14:textId="107B1E0C" w:rsidR="7EB58DFB" w:rsidRDefault="7A773DB6" w:rsidP="004B6863">
      <w:pPr>
        <w:pStyle w:val="Heading3"/>
        <w:keepLines/>
        <w:pBdr>
          <w:top w:val="single" w:sz="4" w:space="1" w:color="auto"/>
          <w:left w:val="single" w:sz="4" w:space="4" w:color="auto"/>
          <w:bottom w:val="single" w:sz="4" w:space="1" w:color="auto"/>
          <w:right w:val="single" w:sz="4" w:space="4" w:color="auto"/>
        </w:pBdr>
        <w:shd w:val="clear" w:color="auto" w:fill="F2F2F2" w:themeFill="background1" w:themeFillShade="F2"/>
      </w:pPr>
      <w:r>
        <w:lastRenderedPageBreak/>
        <w:t xml:space="preserve">Parts of the spectrum </w:t>
      </w:r>
    </w:p>
    <w:p w14:paraId="20CD9B00" w14:textId="50867627" w:rsidR="7EB58DFB" w:rsidRDefault="7A773DB6" w:rsidP="004B6863">
      <w:pPr>
        <w:pStyle w:val="Paragraphbeforelist"/>
        <w:keepNext/>
        <w:keepLines/>
        <w:pBdr>
          <w:top w:val="single" w:sz="4" w:space="1" w:color="auto"/>
          <w:left w:val="single" w:sz="4" w:space="4" w:color="auto"/>
          <w:bottom w:val="single" w:sz="4" w:space="1" w:color="auto"/>
          <w:right w:val="single" w:sz="4" w:space="4" w:color="auto"/>
        </w:pBdr>
        <w:shd w:val="clear" w:color="auto" w:fill="F2F2F2" w:themeFill="background1" w:themeFillShade="F2"/>
      </w:pPr>
      <w:r>
        <w:t xml:space="preserve">If the ACMA makes a re-allocation declaration, do you have comments on our proposal to declare for re-allocation the parts of the spectrum as follows? </w:t>
      </w:r>
    </w:p>
    <w:p w14:paraId="6C80AD9A" w14:textId="268CBE77" w:rsidR="7EB58DFB" w:rsidRDefault="7A773DB6" w:rsidP="004B6863">
      <w:pPr>
        <w:pStyle w:val="ListBullet"/>
        <w:keepNext/>
        <w:keepLines/>
        <w:pBdr>
          <w:top w:val="single" w:sz="4" w:space="1" w:color="auto"/>
          <w:left w:val="single" w:sz="4" w:space="4" w:color="auto"/>
          <w:bottom w:val="single" w:sz="4" w:space="1" w:color="auto"/>
          <w:right w:val="single" w:sz="4" w:space="4" w:color="auto"/>
        </w:pBdr>
        <w:shd w:val="clear" w:color="auto" w:fill="F2F2F2" w:themeFill="background1" w:themeFillShade="F2"/>
      </w:pPr>
      <w:r>
        <w:t xml:space="preserve">75 MHz (3400–3475 MHz) in urban excise areas </w:t>
      </w:r>
    </w:p>
    <w:p w14:paraId="3B1A993B" w14:textId="52A4E51F" w:rsidR="7EB58DFB" w:rsidRDefault="7A773DB6" w:rsidP="004B6863">
      <w:pPr>
        <w:pStyle w:val="ListBullet"/>
        <w:keepNext/>
        <w:keepLines/>
        <w:pBdr>
          <w:top w:val="single" w:sz="4" w:space="1" w:color="auto"/>
          <w:left w:val="single" w:sz="4" w:space="4" w:color="auto"/>
          <w:bottom w:val="single" w:sz="4" w:space="1" w:color="auto"/>
          <w:right w:val="single" w:sz="4" w:space="4" w:color="auto"/>
        </w:pBdr>
        <w:shd w:val="clear" w:color="auto" w:fill="F2F2F2" w:themeFill="background1" w:themeFillShade="F2"/>
      </w:pPr>
      <w:r w:rsidRPr="01F36A8B">
        <w:rPr>
          <w:rFonts w:cs="Arial"/>
        </w:rPr>
        <w:t xml:space="preserve">42.5 MHz (3400–3442.5 MHz) in regional area 1 </w:t>
      </w:r>
    </w:p>
    <w:p w14:paraId="309B1707" w14:textId="312552FA" w:rsidR="7EB58DFB" w:rsidRDefault="7A773DB6" w:rsidP="004B6863">
      <w:pPr>
        <w:pStyle w:val="ListBullet"/>
        <w:keepNext/>
        <w:keepLines/>
        <w:pBdr>
          <w:top w:val="single" w:sz="4" w:space="1" w:color="auto"/>
          <w:left w:val="single" w:sz="4" w:space="4" w:color="auto"/>
          <w:bottom w:val="single" w:sz="4" w:space="1" w:color="auto"/>
          <w:right w:val="single" w:sz="4" w:space="4" w:color="auto"/>
        </w:pBdr>
        <w:shd w:val="clear" w:color="auto" w:fill="F2F2F2" w:themeFill="background1" w:themeFillShade="F2"/>
      </w:pPr>
      <w:r w:rsidRPr="01F36A8B">
        <w:rPr>
          <w:rFonts w:cs="Arial"/>
        </w:rPr>
        <w:t xml:space="preserve">25 MHz (3400–3425 MHz) in major regional centres 2 </w:t>
      </w:r>
    </w:p>
    <w:p w14:paraId="1A1EEF62" w14:textId="2813A84F" w:rsidR="7EB58DFB" w:rsidRDefault="7A773DB6" w:rsidP="004B6863">
      <w:pPr>
        <w:pStyle w:val="ListBullet"/>
        <w:keepNext/>
        <w:keepLines/>
        <w:pBdr>
          <w:top w:val="single" w:sz="4" w:space="1" w:color="auto"/>
          <w:left w:val="single" w:sz="4" w:space="4" w:color="auto"/>
          <w:bottom w:val="single" w:sz="4" w:space="1" w:color="auto"/>
          <w:right w:val="single" w:sz="4" w:space="4" w:color="auto"/>
        </w:pBdr>
        <w:shd w:val="clear" w:color="auto" w:fill="F2F2F2" w:themeFill="background1" w:themeFillShade="F2"/>
      </w:pPr>
      <w:r w:rsidRPr="01F36A8B">
        <w:rPr>
          <w:rFonts w:cs="Arial"/>
        </w:rPr>
        <w:t xml:space="preserve">67.5 MHz (3475–3542.5 MHz) in regional area 1 </w:t>
      </w:r>
    </w:p>
    <w:p w14:paraId="65140B32" w14:textId="20390886" w:rsidR="7EB58DFB" w:rsidRDefault="7A773DB6" w:rsidP="004B6863">
      <w:pPr>
        <w:pStyle w:val="ListBullet"/>
        <w:keepNext/>
        <w:keepLines/>
        <w:pBdr>
          <w:top w:val="single" w:sz="4" w:space="1" w:color="auto"/>
          <w:left w:val="single" w:sz="4" w:space="4" w:color="auto"/>
          <w:bottom w:val="single" w:sz="4" w:space="1" w:color="auto"/>
          <w:right w:val="single" w:sz="4" w:space="4" w:color="auto"/>
        </w:pBdr>
        <w:shd w:val="clear" w:color="auto" w:fill="F2F2F2" w:themeFill="background1" w:themeFillShade="F2"/>
      </w:pPr>
      <w:r w:rsidRPr="01F36A8B">
        <w:rPr>
          <w:rFonts w:cs="Arial"/>
        </w:rPr>
        <w:t xml:space="preserve">35 MHz (3475–3510 MHz) in regional area 2 </w:t>
      </w:r>
    </w:p>
    <w:p w14:paraId="7286678E" w14:textId="6181FF56" w:rsidR="7EB58DFB" w:rsidRDefault="7A773DB6" w:rsidP="004B6863">
      <w:pPr>
        <w:pStyle w:val="ListBullet"/>
        <w:keepNext/>
        <w:keepLines/>
        <w:pBdr>
          <w:top w:val="single" w:sz="4" w:space="1" w:color="auto"/>
          <w:left w:val="single" w:sz="4" w:space="4" w:color="auto"/>
          <w:bottom w:val="single" w:sz="4" w:space="1" w:color="auto"/>
          <w:right w:val="single" w:sz="4" w:space="4" w:color="auto"/>
        </w:pBdr>
        <w:shd w:val="clear" w:color="auto" w:fill="F2F2F2" w:themeFill="background1" w:themeFillShade="F2"/>
      </w:pPr>
      <w:r w:rsidRPr="01F36A8B">
        <w:rPr>
          <w:rFonts w:cs="Arial"/>
        </w:rPr>
        <w:t xml:space="preserve">50 MHz (3492.5–3542.5 MHz) in major regional centres 2 </w:t>
      </w:r>
    </w:p>
    <w:p w14:paraId="340BBD5A" w14:textId="0B33430C" w:rsidR="7EB58DFB" w:rsidRDefault="7A773DB6" w:rsidP="004B6863">
      <w:pPr>
        <w:pStyle w:val="ListBullet"/>
        <w:keepNext/>
        <w:keepLines/>
        <w:pBdr>
          <w:top w:val="single" w:sz="4" w:space="1" w:color="auto"/>
          <w:left w:val="single" w:sz="4" w:space="4" w:color="auto"/>
          <w:bottom w:val="single" w:sz="4" w:space="1" w:color="auto"/>
          <w:right w:val="single" w:sz="4" w:space="4" w:color="auto"/>
        </w:pBdr>
        <w:shd w:val="clear" w:color="auto" w:fill="F2F2F2" w:themeFill="background1" w:themeFillShade="F2"/>
      </w:pPr>
      <w:r w:rsidRPr="01F36A8B">
        <w:rPr>
          <w:rFonts w:cs="Arial"/>
        </w:rPr>
        <w:t xml:space="preserve">100 MHz (3475–3575 MHz) in regional Western Australia central </w:t>
      </w:r>
    </w:p>
    <w:p w14:paraId="641B7C6A" w14:textId="3E272DB4" w:rsidR="7EB58DFB" w:rsidRDefault="7A773DB6" w:rsidP="004B6863">
      <w:pPr>
        <w:pStyle w:val="ListBullet"/>
        <w:keepNext/>
        <w:keepLines/>
        <w:pBdr>
          <w:top w:val="single" w:sz="4" w:space="1" w:color="auto"/>
          <w:left w:val="single" w:sz="4" w:space="4" w:color="auto"/>
          <w:bottom w:val="single" w:sz="4" w:space="1" w:color="auto"/>
          <w:right w:val="single" w:sz="4" w:space="4" w:color="auto"/>
        </w:pBdr>
        <w:shd w:val="clear" w:color="auto" w:fill="F2F2F2" w:themeFill="background1" w:themeFillShade="F2"/>
      </w:pPr>
      <w:r w:rsidRPr="01F36A8B">
        <w:rPr>
          <w:rFonts w:cs="Arial"/>
        </w:rPr>
        <w:t xml:space="preserve">50 MHz (3700–3750 MHz) in all regional areas </w:t>
      </w:r>
    </w:p>
    <w:p w14:paraId="6500E50B" w14:textId="34532937" w:rsidR="7EB58DFB" w:rsidRDefault="7A773DB6" w:rsidP="004B6863">
      <w:pPr>
        <w:pStyle w:val="ListBulletLast"/>
        <w:keepNext/>
        <w:keepLines/>
        <w:pBdr>
          <w:top w:val="single" w:sz="4" w:space="1" w:color="auto"/>
          <w:left w:val="single" w:sz="4" w:space="4" w:color="auto"/>
          <w:bottom w:val="single" w:sz="4" w:space="1" w:color="auto"/>
          <w:right w:val="single" w:sz="4" w:space="4" w:color="auto"/>
        </w:pBdr>
        <w:shd w:val="clear" w:color="auto" w:fill="F2F2F2" w:themeFill="background1" w:themeFillShade="F2"/>
      </w:pPr>
      <w:r>
        <w:t>100 MHz (3700–3800 MHz) in metropolitan areas (including Hobart)</w:t>
      </w:r>
    </w:p>
    <w:p w14:paraId="5DB3BD5F" w14:textId="68F2E3C6" w:rsidR="7EB58DFB" w:rsidRDefault="7A773DB6" w:rsidP="7EB58DFB">
      <w:pPr>
        <w:pStyle w:val="Paragraph"/>
      </w:pPr>
      <w:r>
        <w:t xml:space="preserve">Submissions mostly </w:t>
      </w:r>
      <w:r w:rsidRPr="00A75A7D">
        <w:t>agreed with all or parts of th</w:t>
      </w:r>
      <w:r w:rsidR="004F447D">
        <w:t xml:space="preserve">is </w:t>
      </w:r>
      <w:r w:rsidRPr="00A75A7D">
        <w:t>proposal, or proposed variations to the proposal</w:t>
      </w:r>
      <w:r w:rsidR="3368DF58" w:rsidRPr="00A75A7D">
        <w:t xml:space="preserve"> (</w:t>
      </w:r>
      <w:r w:rsidR="4D1754CB" w:rsidRPr="008D3223">
        <w:t>as summarised above under the ‘Planning options’ issue for comment</w:t>
      </w:r>
      <w:r w:rsidR="4D1754CB" w:rsidRPr="00A75A7D">
        <w:t>)</w:t>
      </w:r>
      <w:r w:rsidRPr="00A75A7D">
        <w:t>.</w:t>
      </w:r>
      <w:r>
        <w:t xml:space="preserve">  </w:t>
      </w:r>
    </w:p>
    <w:p w14:paraId="34665282" w14:textId="33DE2551" w:rsidR="00FC4C67" w:rsidRDefault="6B7E9040" w:rsidP="001D73C4">
      <w:pPr>
        <w:pStyle w:val="Paragraph"/>
      </w:pPr>
      <w:r>
        <w:t>Both DB Telecommunications and Boeing opposed the proposal, and instead advocated for a reversion to the ACMA’s original preliminary planning decision</w:t>
      </w:r>
      <w:r w:rsidR="009B00F7">
        <w:t xml:space="preserve"> (referred to as Option 1 in the </w:t>
      </w:r>
      <w:r w:rsidR="00881A6D">
        <w:t>re-allocation paper</w:t>
      </w:r>
      <w:r w:rsidR="009B00F7">
        <w:t>)</w:t>
      </w:r>
      <w:r>
        <w:t>.</w:t>
      </w:r>
    </w:p>
    <w:p w14:paraId="7F7C1229" w14:textId="6E5D0BBB" w:rsidR="7EB58DFB" w:rsidRDefault="7A773DB6" w:rsidP="01F36A8B">
      <w:pPr>
        <w:pStyle w:val="Heading3"/>
        <w:pBdr>
          <w:top w:val="single" w:sz="4" w:space="1" w:color="auto"/>
          <w:left w:val="single" w:sz="4" w:space="4" w:color="auto"/>
          <w:bottom w:val="single" w:sz="4" w:space="1" w:color="auto"/>
          <w:right w:val="single" w:sz="4" w:space="4" w:color="auto"/>
        </w:pBdr>
        <w:shd w:val="clear" w:color="auto" w:fill="F2F2F2" w:themeFill="background1" w:themeFillShade="F2"/>
      </w:pPr>
      <w:r>
        <w:t xml:space="preserve">Reallocation period and deadline </w:t>
      </w:r>
    </w:p>
    <w:p w14:paraId="27C3F819" w14:textId="7DF95DEF" w:rsidR="7EB58DFB" w:rsidRDefault="7A773DB6" w:rsidP="01F36A8B">
      <w:pPr>
        <w:pStyle w:val="Paragraph"/>
        <w:pBdr>
          <w:top w:val="single" w:sz="4" w:space="1" w:color="auto"/>
          <w:left w:val="single" w:sz="4" w:space="4" w:color="auto"/>
          <w:bottom w:val="single" w:sz="4" w:space="1" w:color="auto"/>
          <w:right w:val="single" w:sz="4" w:space="4" w:color="auto"/>
        </w:pBdr>
        <w:shd w:val="clear" w:color="auto" w:fill="F2F2F2" w:themeFill="background1" w:themeFillShade="F2"/>
      </w:pPr>
      <w:r>
        <w:t xml:space="preserve">If the ACMA makes a re-allocation declaration, do you have comments on our proposal for a re-allocation period of 5 years from the commencement of the </w:t>
      </w:r>
      <w:r w:rsidR="003A7C5B">
        <w:t>re-allocation</w:t>
      </w:r>
      <w:r>
        <w:t xml:space="preserve"> declaration, and a </w:t>
      </w:r>
      <w:r w:rsidR="003A7C5B">
        <w:t>re-allocation</w:t>
      </w:r>
      <w:r>
        <w:t xml:space="preserve"> deadline of 12 months before the end of the re-allocation period?  </w:t>
      </w:r>
    </w:p>
    <w:p w14:paraId="4F1A93A0" w14:textId="1E03EA28" w:rsidR="24FCBA5A" w:rsidRDefault="4A0039AD" w:rsidP="01F36A8B">
      <w:pPr>
        <w:pStyle w:val="Paragraph"/>
        <w:rPr>
          <w:rFonts w:eastAsia="Arial"/>
        </w:rPr>
      </w:pPr>
      <w:r>
        <w:t xml:space="preserve">Optus and TPG proposed a 2-year re-allocation period across the 3.4/3.7 GHz bands, citing the need to access the spectrum </w:t>
      </w:r>
      <w:r w:rsidR="0080638E">
        <w:t>earlier</w:t>
      </w:r>
      <w:r w:rsidR="0022565C">
        <w:t xml:space="preserve"> than the proposed 5 years</w:t>
      </w:r>
      <w:r>
        <w:t>.</w:t>
      </w:r>
      <w:r w:rsidR="210633A7">
        <w:t xml:space="preserve"> </w:t>
      </w:r>
      <w:r w:rsidR="40011272">
        <w:t xml:space="preserve">Telstra proposed a 2-year re-allocation period in metropolitan areas and a 5-year </w:t>
      </w:r>
      <w:r w:rsidR="003A7C5B">
        <w:t>re-allocation</w:t>
      </w:r>
      <w:r w:rsidR="40011272">
        <w:t xml:space="preserve"> period in regional areas. AMTA proposed a 2-year reallocation period for the whole 3.4</w:t>
      </w:r>
      <w:r w:rsidR="10B625A8">
        <w:t> </w:t>
      </w:r>
      <w:r w:rsidR="40011272">
        <w:t>GHz band and the 3.7 GHz band in metropolitan areas</w:t>
      </w:r>
      <w:r w:rsidR="342CC80B">
        <w:t xml:space="preserve">, in order to facilitate restacking </w:t>
      </w:r>
      <w:r w:rsidR="3F357F41">
        <w:t xml:space="preserve">activities as soon </w:t>
      </w:r>
      <w:r w:rsidR="00396D33">
        <w:t xml:space="preserve">as possible </w:t>
      </w:r>
      <w:r w:rsidR="3F357F41">
        <w:t>after the auction</w:t>
      </w:r>
      <w:r w:rsidR="5D5CE868">
        <w:t>.</w:t>
      </w:r>
      <w:r w:rsidR="40011272">
        <w:t xml:space="preserve"> Ericsson broadly supported AMTA’s submission.</w:t>
      </w:r>
    </w:p>
    <w:p w14:paraId="3593DF7B" w14:textId="3541897B" w:rsidR="24FCBA5A" w:rsidRDefault="40011272" w:rsidP="01F36A8B">
      <w:pPr>
        <w:pStyle w:val="Paragraph"/>
        <w:rPr>
          <w:rFonts w:eastAsia="Arial"/>
        </w:rPr>
      </w:pPr>
      <w:r w:rsidRPr="01F36A8B">
        <w:rPr>
          <w:rFonts w:eastAsia="Arial"/>
        </w:rPr>
        <w:t>Pivotel</w:t>
      </w:r>
      <w:r>
        <w:t xml:space="preserve"> supported a re-allocation period of less than 5 years, but </w:t>
      </w:r>
      <w:r w:rsidR="6B430C1E">
        <w:t>stated</w:t>
      </w:r>
      <w:r>
        <w:t xml:space="preserve"> that there were difficulties for incumbent licensees to move out of the bands.</w:t>
      </w:r>
      <w:r w:rsidR="008373DD">
        <w:t xml:space="preserve"> </w:t>
      </w:r>
    </w:p>
    <w:p w14:paraId="79ED5A26" w14:textId="0F73EDD2" w:rsidR="24FCBA5A" w:rsidRDefault="40011272" w:rsidP="01F36A8B">
      <w:pPr>
        <w:pStyle w:val="Paragraph"/>
        <w:rPr>
          <w:rFonts w:eastAsia="Arial"/>
        </w:rPr>
      </w:pPr>
      <w:r w:rsidRPr="01F36A8B">
        <w:rPr>
          <w:rFonts w:eastAsia="Arial"/>
        </w:rPr>
        <w:t xml:space="preserve">NBN Co, DB Telecommunications, </w:t>
      </w:r>
      <w:r>
        <w:t>Nokia, CA</w:t>
      </w:r>
      <w:r w:rsidR="00AF1E9F">
        <w:t>-</w:t>
      </w:r>
      <w:r>
        <w:t>SSWG, and Boeing all supported a 5</w:t>
      </w:r>
      <w:r w:rsidR="004F447D">
        <w:noBreakHyphen/>
      </w:r>
      <w:r>
        <w:t>year re-allocation period.</w:t>
      </w:r>
      <w:r w:rsidRPr="01F36A8B">
        <w:rPr>
          <w:rFonts w:eastAsia="Arial"/>
        </w:rPr>
        <w:t xml:space="preserve"> SBS </w:t>
      </w:r>
      <w:r>
        <w:t>supported a 5-year re-allocation period, but with the option to extend</w:t>
      </w:r>
      <w:r w:rsidR="6BAFD7F7">
        <w:t>, taking into account public interest</w:t>
      </w:r>
      <w:r w:rsidR="25DCB3E4">
        <w:t xml:space="preserve"> benefits</w:t>
      </w:r>
      <w:r>
        <w:t>.</w:t>
      </w:r>
    </w:p>
    <w:p w14:paraId="60823864" w14:textId="666D2474" w:rsidR="24FCBA5A" w:rsidRDefault="25DCB3E4" w:rsidP="01F36A8B">
      <w:pPr>
        <w:pStyle w:val="Paragraph"/>
      </w:pPr>
      <w:r>
        <w:t xml:space="preserve">Submissions </w:t>
      </w:r>
      <w:r w:rsidR="005754E5">
        <w:t xml:space="preserve">that </w:t>
      </w:r>
      <w:r>
        <w:t>addressed the issue all</w:t>
      </w:r>
      <w:r w:rsidR="177FCD1B">
        <w:t xml:space="preserve"> supported a re-allocation deadline</w:t>
      </w:r>
      <w:r w:rsidR="00220FDD">
        <w:t xml:space="preserve"> of 12</w:t>
      </w:r>
      <w:r w:rsidR="000E6A1F">
        <w:t> </w:t>
      </w:r>
      <w:r w:rsidR="00220FDD">
        <w:t>months before the end of the re-allocation period</w:t>
      </w:r>
      <w:r w:rsidR="177FCD1B">
        <w:t>.</w:t>
      </w:r>
    </w:p>
    <w:p w14:paraId="09A3472F" w14:textId="77C08FEB" w:rsidR="005739EE" w:rsidRPr="00E162C4" w:rsidRDefault="00386236" w:rsidP="005739EE">
      <w:pPr>
        <w:pStyle w:val="Heading3"/>
      </w:pPr>
      <w:r>
        <w:t xml:space="preserve">Other issues raised: </w:t>
      </w:r>
      <w:r w:rsidR="00191386">
        <w:t>Coexistence with</w:t>
      </w:r>
      <w:r w:rsidR="005739EE">
        <w:t xml:space="preserve"> radio altimeters</w:t>
      </w:r>
      <w:r w:rsidR="005739EE" w:rsidRPr="00E162C4">
        <w:t xml:space="preserve"> </w:t>
      </w:r>
    </w:p>
    <w:p w14:paraId="35B7E6AB" w14:textId="77777777" w:rsidR="00C813E7" w:rsidRDefault="00FD0E37" w:rsidP="005754E5">
      <w:pPr>
        <w:pStyle w:val="Paragraph"/>
      </w:pPr>
      <w:r>
        <w:t xml:space="preserve">While the </w:t>
      </w:r>
      <w:r w:rsidR="00630AA1">
        <w:t>consultation</w:t>
      </w:r>
      <w:r>
        <w:t xml:space="preserve"> did not discuss the issue</w:t>
      </w:r>
      <w:r w:rsidR="005754E5">
        <w:t xml:space="preserve"> of c</w:t>
      </w:r>
      <w:r w:rsidR="005754E5" w:rsidRPr="005754E5">
        <w:t>oexistence with radio altimeters</w:t>
      </w:r>
      <w:r>
        <w:t xml:space="preserve"> specifically </w:t>
      </w:r>
      <w:r w:rsidR="005754E5">
        <w:t>(</w:t>
      </w:r>
      <w:r>
        <w:t xml:space="preserve">as it would be raised </w:t>
      </w:r>
      <w:r w:rsidR="00630AA1">
        <w:t>in the future consideration of technical frameworks</w:t>
      </w:r>
      <w:r w:rsidR="005754E5">
        <w:t>)</w:t>
      </w:r>
      <w:r w:rsidR="00B84BDB">
        <w:t xml:space="preserve">, </w:t>
      </w:r>
      <w:r w:rsidR="00630AA1">
        <w:t>s</w:t>
      </w:r>
      <w:r w:rsidR="002C586D">
        <w:t xml:space="preserve">ubmissions </w:t>
      </w:r>
      <w:r w:rsidR="008750D6">
        <w:t xml:space="preserve">from several </w:t>
      </w:r>
      <w:r w:rsidR="00C52418">
        <w:t>a</w:t>
      </w:r>
      <w:r w:rsidR="008750D6">
        <w:t xml:space="preserve">irports, </w:t>
      </w:r>
      <w:r w:rsidR="00A80B62">
        <w:t>the Australian Airport Association, the Honourable Company of Air Pilots</w:t>
      </w:r>
      <w:r w:rsidR="00C91136">
        <w:t xml:space="preserve"> and </w:t>
      </w:r>
      <w:r w:rsidR="008750D6">
        <w:t xml:space="preserve">the </w:t>
      </w:r>
      <w:r w:rsidR="00A80B62">
        <w:t>Civil</w:t>
      </w:r>
      <w:r w:rsidR="008750D6">
        <w:t xml:space="preserve"> Aviation </w:t>
      </w:r>
      <w:r w:rsidR="00C52418">
        <w:t>Safety</w:t>
      </w:r>
      <w:r w:rsidR="008750D6">
        <w:t xml:space="preserve"> Authority (CASA)</w:t>
      </w:r>
      <w:r w:rsidR="0056738F">
        <w:t xml:space="preserve"> </w:t>
      </w:r>
      <w:r w:rsidR="0083064C">
        <w:t xml:space="preserve">(collectively referred to as </w:t>
      </w:r>
      <w:r w:rsidR="005754E5">
        <w:t>‘a</w:t>
      </w:r>
      <w:r w:rsidR="00AD70BF">
        <w:t>viation</w:t>
      </w:r>
      <w:r w:rsidR="0083064C">
        <w:t xml:space="preserve"> </w:t>
      </w:r>
      <w:r w:rsidR="00456E3E">
        <w:t>representatives’</w:t>
      </w:r>
      <w:r w:rsidR="0083064C">
        <w:t xml:space="preserve">) </w:t>
      </w:r>
      <w:r w:rsidR="008C47AC">
        <w:t xml:space="preserve">expressed </w:t>
      </w:r>
      <w:r w:rsidR="00852F50">
        <w:t xml:space="preserve">concern </w:t>
      </w:r>
      <w:r w:rsidR="008C47AC">
        <w:t>that the proposed re-allocation of spectrum in the 3.4 GHz and 3.</w:t>
      </w:r>
      <w:r w:rsidR="005754E5">
        <w:t>7 </w:t>
      </w:r>
      <w:r w:rsidR="008C47AC">
        <w:t xml:space="preserve">GHz bands has the potential to </w:t>
      </w:r>
      <w:r w:rsidR="00290414">
        <w:t xml:space="preserve">affect the operation of aircraft at airports across Australia. </w:t>
      </w:r>
    </w:p>
    <w:p w14:paraId="14778C1A" w14:textId="52482B74" w:rsidR="000A089C" w:rsidRDefault="0075763D" w:rsidP="005754E5">
      <w:pPr>
        <w:pStyle w:val="Paragraph"/>
      </w:pPr>
      <w:r>
        <w:lastRenderedPageBreak/>
        <w:t>The</w:t>
      </w:r>
      <w:r w:rsidR="003F6EA9">
        <w:t>ir</w:t>
      </w:r>
      <w:r>
        <w:t xml:space="preserve"> concern relate</w:t>
      </w:r>
      <w:r w:rsidR="003C7F37">
        <w:t>d</w:t>
      </w:r>
      <w:r>
        <w:t xml:space="preserve"> to potential interference </w:t>
      </w:r>
      <w:r w:rsidR="0046539E">
        <w:t xml:space="preserve">to radio altimeters from </w:t>
      </w:r>
      <w:r>
        <w:t>the rollout of 5G services</w:t>
      </w:r>
      <w:r w:rsidR="0046539E">
        <w:t xml:space="preserve"> in those bands.</w:t>
      </w:r>
      <w:r w:rsidR="003C7F37">
        <w:t xml:space="preserve"> These systems are used </w:t>
      </w:r>
      <w:r w:rsidR="00660FDA">
        <w:t xml:space="preserve">to measure aircraft height above ground level below </w:t>
      </w:r>
      <w:r w:rsidR="0026479E">
        <w:t xml:space="preserve">an </w:t>
      </w:r>
      <w:r w:rsidR="00660FDA">
        <w:t xml:space="preserve">aircraft </w:t>
      </w:r>
      <w:r w:rsidR="00C05281">
        <w:t>under a range of operational scenarios</w:t>
      </w:r>
      <w:r w:rsidR="005754E5">
        <w:t>,</w:t>
      </w:r>
      <w:r w:rsidR="00C05281">
        <w:t xml:space="preserve"> including</w:t>
      </w:r>
      <w:r w:rsidR="0026479E">
        <w:t xml:space="preserve"> at low altitudes on app</w:t>
      </w:r>
      <w:r w:rsidR="000D3EE3">
        <w:t>roach to an airport’s runway.</w:t>
      </w:r>
      <w:r w:rsidR="00565FB1">
        <w:t xml:space="preserve"> </w:t>
      </w:r>
    </w:p>
    <w:p w14:paraId="57EE7ED6" w14:textId="37B14A9E" w:rsidR="005739EE" w:rsidRDefault="00481E9D" w:rsidP="004A5D00">
      <w:pPr>
        <w:pStyle w:val="Paragraph"/>
        <w:spacing w:after="80"/>
      </w:pPr>
      <w:r>
        <w:t>T</w:t>
      </w:r>
      <w:r w:rsidR="00D52908">
        <w:t xml:space="preserve">here is </w:t>
      </w:r>
      <w:r w:rsidR="00CE697A">
        <w:t>on</w:t>
      </w:r>
      <w:r w:rsidR="00D52908">
        <w:t xml:space="preserve">going </w:t>
      </w:r>
      <w:r w:rsidR="00CE697A">
        <w:t xml:space="preserve">work </w:t>
      </w:r>
      <w:r w:rsidR="00626347">
        <w:t xml:space="preserve">both domestically and </w:t>
      </w:r>
      <w:r w:rsidR="00A44FDD">
        <w:t xml:space="preserve">overseas </w:t>
      </w:r>
      <w:r w:rsidR="00D52908">
        <w:t xml:space="preserve">to </w:t>
      </w:r>
      <w:r w:rsidR="00A44FDD">
        <w:t>better</w:t>
      </w:r>
      <w:r w:rsidR="00D52908">
        <w:t xml:space="preserve"> </w:t>
      </w:r>
      <w:r w:rsidR="00CE697A">
        <w:t>quantify</w:t>
      </w:r>
      <w:r w:rsidR="00D52908">
        <w:t xml:space="preserve"> the risk and possible mitigation measures.</w:t>
      </w:r>
      <w:r w:rsidR="00F4081D">
        <w:t xml:space="preserve"> </w:t>
      </w:r>
      <w:r w:rsidR="00BB1218">
        <w:t>Aviation</w:t>
      </w:r>
      <w:r w:rsidR="0083064C">
        <w:t xml:space="preserve"> </w:t>
      </w:r>
      <w:r w:rsidR="003B1604">
        <w:t xml:space="preserve">representatives </w:t>
      </w:r>
      <w:r w:rsidR="00017346">
        <w:t xml:space="preserve">requested that suitable </w:t>
      </w:r>
      <w:r w:rsidR="00E02F3E">
        <w:t>measures</w:t>
      </w:r>
      <w:r w:rsidR="00017346">
        <w:t xml:space="preserve"> be put in place</w:t>
      </w:r>
      <w:r w:rsidR="004072CF">
        <w:t>, at least</w:t>
      </w:r>
      <w:r w:rsidR="00460134">
        <w:t xml:space="preserve"> on an interim basis</w:t>
      </w:r>
      <w:r w:rsidR="004072CF">
        <w:t>,</w:t>
      </w:r>
      <w:r w:rsidR="00460134">
        <w:t xml:space="preserve"> </w:t>
      </w:r>
      <w:r w:rsidR="009F555D">
        <w:t xml:space="preserve">to manage </w:t>
      </w:r>
      <w:r w:rsidR="00AD0E16">
        <w:t>coexistence issues</w:t>
      </w:r>
      <w:r w:rsidR="009F555D">
        <w:t xml:space="preserve"> </w:t>
      </w:r>
      <w:r w:rsidR="00460134">
        <w:t xml:space="preserve">until the full extent of the </w:t>
      </w:r>
      <w:r w:rsidR="00BC5F75">
        <w:t xml:space="preserve">risks are </w:t>
      </w:r>
      <w:r w:rsidR="006133D2">
        <w:t xml:space="preserve">better </w:t>
      </w:r>
      <w:r w:rsidR="00BC5F75">
        <w:t>understood</w:t>
      </w:r>
      <w:r w:rsidR="00477FE8">
        <w:t xml:space="preserve">. </w:t>
      </w:r>
      <w:r w:rsidR="00432F53">
        <w:t>To achieve this</w:t>
      </w:r>
      <w:r w:rsidR="005754E5">
        <w:t>,</w:t>
      </w:r>
      <w:r w:rsidR="00432F53">
        <w:t xml:space="preserve"> </w:t>
      </w:r>
      <w:r w:rsidR="006043C3">
        <w:t xml:space="preserve">they </w:t>
      </w:r>
      <w:r w:rsidR="00721CBA">
        <w:t>propos</w:t>
      </w:r>
      <w:r w:rsidR="006043C3">
        <w:t>ed</w:t>
      </w:r>
      <w:r w:rsidR="00721CBA">
        <w:t xml:space="preserve"> to</w:t>
      </w:r>
      <w:r w:rsidR="00432F53">
        <w:t>:</w:t>
      </w:r>
    </w:p>
    <w:p w14:paraId="43F5171B" w14:textId="31B6502E" w:rsidR="00432F53" w:rsidRPr="004A5D00" w:rsidRDefault="005754E5" w:rsidP="00432F53">
      <w:pPr>
        <w:pStyle w:val="ListBullet"/>
        <w:shd w:val="clear" w:color="auto" w:fill="FFFFFF" w:themeFill="background1"/>
        <w:rPr>
          <w:rFonts w:eastAsia="Arial" w:cs="Arial"/>
        </w:rPr>
      </w:pPr>
      <w:r>
        <w:rPr>
          <w:rFonts w:eastAsia="Arial" w:cs="Arial"/>
        </w:rPr>
        <w:t>e</w:t>
      </w:r>
      <w:r w:rsidR="00432F53" w:rsidRPr="004A5D00">
        <w:rPr>
          <w:rFonts w:eastAsia="Arial" w:cs="Arial"/>
        </w:rPr>
        <w:t>stablish an exclusion and/or restricted operating area in and around airport</w:t>
      </w:r>
      <w:r w:rsidR="003A7C5B">
        <w:rPr>
          <w:rFonts w:eastAsia="Arial" w:cs="Arial"/>
        </w:rPr>
        <w:t>s</w:t>
      </w:r>
      <w:r w:rsidR="00561180" w:rsidRPr="004A5D00">
        <w:rPr>
          <w:rFonts w:eastAsia="Arial" w:cs="Arial"/>
        </w:rPr>
        <w:t xml:space="preserve">, similar to </w:t>
      </w:r>
      <w:r w:rsidR="00321682">
        <w:rPr>
          <w:rFonts w:eastAsia="Arial" w:cs="Arial"/>
        </w:rPr>
        <w:t xml:space="preserve">mitigations </w:t>
      </w:r>
      <w:r w:rsidR="00561180" w:rsidRPr="004A5D00">
        <w:rPr>
          <w:rFonts w:eastAsia="Arial" w:cs="Arial"/>
        </w:rPr>
        <w:t>adopted in</w:t>
      </w:r>
      <w:r w:rsidR="00432F53" w:rsidRPr="004A5D00">
        <w:rPr>
          <w:rFonts w:eastAsia="Arial" w:cs="Arial"/>
        </w:rPr>
        <w:t xml:space="preserve"> Canada and France  </w:t>
      </w:r>
    </w:p>
    <w:p w14:paraId="7627B212" w14:textId="0B94AAD6" w:rsidR="005D1EA6" w:rsidRDefault="005754E5" w:rsidP="00432F53">
      <w:pPr>
        <w:pStyle w:val="ListBullet"/>
        <w:shd w:val="clear" w:color="auto" w:fill="FFFFFF" w:themeFill="background1"/>
        <w:rPr>
          <w:rFonts w:eastAsia="Arial" w:cs="Arial"/>
        </w:rPr>
      </w:pPr>
      <w:r>
        <w:rPr>
          <w:rFonts w:eastAsia="Arial" w:cs="Arial"/>
        </w:rPr>
        <w:t>r</w:t>
      </w:r>
      <w:r w:rsidR="005D1EA6">
        <w:rPr>
          <w:rFonts w:eastAsia="Arial" w:cs="Arial"/>
        </w:rPr>
        <w:t xml:space="preserve">educe transmitter power </w:t>
      </w:r>
      <w:r>
        <w:rPr>
          <w:rFonts w:eastAsia="Arial" w:cs="Arial"/>
        </w:rPr>
        <w:t xml:space="preserve">near </w:t>
      </w:r>
      <w:r w:rsidR="005D1EA6">
        <w:rPr>
          <w:rFonts w:eastAsia="Arial" w:cs="Arial"/>
        </w:rPr>
        <w:t>airports</w:t>
      </w:r>
      <w:r w:rsidR="00220C5C">
        <w:rPr>
          <w:rFonts w:eastAsia="Arial" w:cs="Arial"/>
        </w:rPr>
        <w:t xml:space="preserve"> or </w:t>
      </w:r>
      <w:r>
        <w:rPr>
          <w:rFonts w:eastAsia="Arial" w:cs="Arial"/>
        </w:rPr>
        <w:t>near</w:t>
      </w:r>
      <w:r w:rsidR="00220C5C">
        <w:rPr>
          <w:rFonts w:eastAsia="Arial" w:cs="Arial"/>
        </w:rPr>
        <w:t xml:space="preserve"> airport flight path approaches</w:t>
      </w:r>
    </w:p>
    <w:p w14:paraId="0EFB112C" w14:textId="4FC0D648" w:rsidR="004967C6" w:rsidRDefault="005754E5" w:rsidP="00432F53">
      <w:pPr>
        <w:pStyle w:val="ListBullet"/>
        <w:shd w:val="clear" w:color="auto" w:fill="FFFFFF" w:themeFill="background1"/>
        <w:rPr>
          <w:rFonts w:eastAsia="Arial" w:cs="Arial"/>
        </w:rPr>
      </w:pPr>
      <w:r>
        <w:rPr>
          <w:rFonts w:eastAsia="Arial" w:cs="Arial"/>
        </w:rPr>
        <w:t>l</w:t>
      </w:r>
      <w:r w:rsidR="00975624">
        <w:rPr>
          <w:rFonts w:eastAsia="Arial" w:cs="Arial"/>
        </w:rPr>
        <w:t>imit 5G antennas to pointing below the horizon</w:t>
      </w:r>
    </w:p>
    <w:p w14:paraId="59D45D4F" w14:textId="33E964C5" w:rsidR="005739EE" w:rsidRDefault="005754E5" w:rsidP="004A5D00">
      <w:pPr>
        <w:pStyle w:val="ListBulletLast"/>
        <w:shd w:val="clear" w:color="auto" w:fill="FFFFFF" w:themeFill="background1"/>
        <w:rPr>
          <w:rFonts w:eastAsia="Arial"/>
        </w:rPr>
      </w:pPr>
      <w:r>
        <w:rPr>
          <w:rFonts w:eastAsia="Arial"/>
        </w:rPr>
        <w:t>f</w:t>
      </w:r>
      <w:r w:rsidR="008F4399">
        <w:rPr>
          <w:rFonts w:eastAsia="Arial"/>
        </w:rPr>
        <w:t>it more modern radio altimeters to existing aircraft</w:t>
      </w:r>
      <w:r w:rsidR="00432F53" w:rsidRPr="01F36A8B">
        <w:rPr>
          <w:rFonts w:eastAsia="Arial"/>
        </w:rPr>
        <w:t>.</w:t>
      </w:r>
    </w:p>
    <w:p w14:paraId="0CB7B3FD" w14:textId="617FF515" w:rsidR="00B84BDB" w:rsidRPr="004A5D00" w:rsidRDefault="00B84BDB" w:rsidP="00186977">
      <w:pPr>
        <w:pStyle w:val="Paragraph"/>
        <w:rPr>
          <w:rFonts w:eastAsia="Arial"/>
        </w:rPr>
      </w:pPr>
      <w:r>
        <w:t xml:space="preserve">In submissions made to </w:t>
      </w:r>
      <w:r w:rsidR="005754E5">
        <w:t xml:space="preserve">our consultation on the </w:t>
      </w:r>
      <w:hyperlink r:id="rId34" w:history="1">
        <w:r w:rsidR="005754E5">
          <w:rPr>
            <w:rStyle w:val="Hyperlink"/>
          </w:rPr>
          <w:t>a</w:t>
        </w:r>
        <w:r w:rsidRPr="00AF0B4A">
          <w:rPr>
            <w:rStyle w:val="Hyperlink"/>
          </w:rPr>
          <w:t>llocation of AWLs in the 3.4-4.0</w:t>
        </w:r>
        <w:r w:rsidR="00A108E0">
          <w:rPr>
            <w:rStyle w:val="Hyperlink"/>
          </w:rPr>
          <w:t xml:space="preserve"> </w:t>
        </w:r>
        <w:r w:rsidRPr="00AF0B4A">
          <w:rPr>
            <w:rStyle w:val="Hyperlink"/>
          </w:rPr>
          <w:t>GHz band in remote Australia</w:t>
        </w:r>
      </w:hyperlink>
      <w:r>
        <w:t xml:space="preserve">, AMTA, Optus and Telstra considered that no additional measures beyond a 200 MHz guard band </w:t>
      </w:r>
      <w:r w:rsidR="008143F7">
        <w:t xml:space="preserve">were </w:t>
      </w:r>
      <w:r>
        <w:t>required to manage interference between WBB and radio altimeters. It was noted that to date</w:t>
      </w:r>
      <w:r w:rsidR="00015A6B">
        <w:t>,</w:t>
      </w:r>
      <w:r>
        <w:t xml:space="preserve"> </w:t>
      </w:r>
      <w:r w:rsidR="00FC7232">
        <w:t xml:space="preserve">given that </w:t>
      </w:r>
      <w:r>
        <w:t xml:space="preserve">no clear correlation </w:t>
      </w:r>
      <w:r w:rsidR="00DA30BC">
        <w:t xml:space="preserve">between </w:t>
      </w:r>
      <w:r>
        <w:t>radio altimeter malfunctions/warning</w:t>
      </w:r>
      <w:r w:rsidR="008143F7">
        <w:t>s</w:t>
      </w:r>
      <w:r>
        <w:t xml:space="preserve"> </w:t>
      </w:r>
      <w:r w:rsidR="003A7C5B">
        <w:t xml:space="preserve">and WBB use </w:t>
      </w:r>
      <w:r>
        <w:t xml:space="preserve">has been established, measures should not be implemented to mitigate against an </w:t>
      </w:r>
      <w:r w:rsidR="00661783">
        <w:t>‘</w:t>
      </w:r>
      <w:r>
        <w:t>alleged issue</w:t>
      </w:r>
      <w:r w:rsidR="00661783">
        <w:t>’</w:t>
      </w:r>
      <w:r>
        <w:t xml:space="preserve"> that is not understood or defined. </w:t>
      </w:r>
    </w:p>
    <w:p w14:paraId="6E0B9237" w14:textId="21FE48C0" w:rsidR="00102E07" w:rsidRPr="00E162C4" w:rsidRDefault="00753ECE" w:rsidP="00102E07">
      <w:pPr>
        <w:pStyle w:val="Heading1"/>
      </w:pPr>
      <w:bookmarkStart w:id="16" w:name="_Toc108697864"/>
      <w:r>
        <w:lastRenderedPageBreak/>
        <w:t>C</w:t>
      </w:r>
      <w:r w:rsidR="00102E07">
        <w:t>onsultation</w:t>
      </w:r>
      <w:r>
        <w:t xml:space="preserve"> outcomes</w:t>
      </w:r>
      <w:bookmarkEnd w:id="16"/>
    </w:p>
    <w:p w14:paraId="1A9A42F3" w14:textId="04EA099D" w:rsidR="00695CD6" w:rsidRDefault="00FB3ABA" w:rsidP="004901DC">
      <w:pPr>
        <w:pStyle w:val="Paragraph"/>
        <w:spacing w:after="80"/>
      </w:pPr>
      <w:r>
        <w:t xml:space="preserve">This </w:t>
      </w:r>
      <w:r w:rsidR="005721D1">
        <w:t xml:space="preserve">section </w:t>
      </w:r>
      <w:r w:rsidR="008406AE">
        <w:t xml:space="preserve">presents the outcomes </w:t>
      </w:r>
      <w:r w:rsidR="00E77DE2">
        <w:t xml:space="preserve">of the </w:t>
      </w:r>
      <w:hyperlink r:id="rId35" w:history="1">
        <w:r w:rsidR="008143F7">
          <w:rPr>
            <w:rStyle w:val="Hyperlink"/>
          </w:rPr>
          <w:t>p</w:t>
        </w:r>
        <w:r w:rsidR="00E77DE2" w:rsidRPr="004B6863">
          <w:rPr>
            <w:rStyle w:val="Hyperlink"/>
          </w:rPr>
          <w:t>roposed spectrum re-allocation declaration for the 3.4</w:t>
        </w:r>
        <w:r w:rsidR="00283FDD" w:rsidRPr="004B6863">
          <w:rPr>
            <w:rStyle w:val="Hyperlink"/>
          </w:rPr>
          <w:t> </w:t>
        </w:r>
        <w:r w:rsidR="00E77DE2" w:rsidRPr="004B6863">
          <w:rPr>
            <w:rStyle w:val="Hyperlink"/>
          </w:rPr>
          <w:t>GHz and 3.7 GHz bands</w:t>
        </w:r>
      </w:hyperlink>
      <w:r w:rsidR="00E77DE2" w:rsidRPr="008143F7">
        <w:t xml:space="preserve"> </w:t>
      </w:r>
      <w:r w:rsidR="00E77DE2">
        <w:t>consultation process.</w:t>
      </w:r>
      <w:r w:rsidR="001362E4">
        <w:t xml:space="preserve"> This process sought to</w:t>
      </w:r>
      <w:r w:rsidR="00B908A9">
        <w:t>:</w:t>
      </w:r>
    </w:p>
    <w:p w14:paraId="2223DF5F" w14:textId="32FDF9C1" w:rsidR="00CE0737" w:rsidRDefault="00CE0737" w:rsidP="00CE0737">
      <w:pPr>
        <w:pStyle w:val="Bulletlevel1"/>
      </w:pPr>
      <w:r>
        <w:t>determine how to make urban excise areas in the 3400</w:t>
      </w:r>
      <w:r w:rsidR="008143F7">
        <w:t>–</w:t>
      </w:r>
      <w:r>
        <w:t>3475 MHz band available for WBB use</w:t>
      </w:r>
    </w:p>
    <w:p w14:paraId="1794418F" w14:textId="7D359BAE" w:rsidR="00695CD6" w:rsidRDefault="00625D0F" w:rsidP="00695CD6">
      <w:pPr>
        <w:pStyle w:val="Bulletlevel1"/>
      </w:pPr>
      <w:r>
        <w:t>d</w:t>
      </w:r>
      <w:r w:rsidR="006B1BD4">
        <w:t xml:space="preserve">efine the terms of </w:t>
      </w:r>
      <w:r w:rsidR="009A1A9D">
        <w:t xml:space="preserve">one or more re-allocation declarations for the </w:t>
      </w:r>
      <w:r w:rsidR="00AA5C75">
        <w:t>3.4 GHz and 3.</w:t>
      </w:r>
      <w:r w:rsidR="008143F7">
        <w:t>7 </w:t>
      </w:r>
      <w:r w:rsidR="00AA5C75">
        <w:t>GHz bands</w:t>
      </w:r>
      <w:r w:rsidR="00695CD6">
        <w:t xml:space="preserve"> </w:t>
      </w:r>
    </w:p>
    <w:p w14:paraId="492F1BCE" w14:textId="0CA266B0" w:rsidR="00695CD6" w:rsidRDefault="001B6F0F" w:rsidP="00695CD6">
      <w:pPr>
        <w:pStyle w:val="Bulletlevel1"/>
        <w:spacing w:after="240"/>
      </w:pPr>
      <w:r>
        <w:t>obtain initial views on a range of allocation</w:t>
      </w:r>
      <w:r w:rsidR="008143F7">
        <w:t>-</w:t>
      </w:r>
      <w:r>
        <w:t>related matters</w:t>
      </w:r>
      <w:r w:rsidR="008143F7">
        <w:t>,</w:t>
      </w:r>
      <w:r w:rsidR="00E374DB">
        <w:t xml:space="preserve"> including </w:t>
      </w:r>
      <w:r w:rsidR="00E374DB" w:rsidRPr="7EB58DFB">
        <w:rPr>
          <w:rFonts w:eastAsia="Arial"/>
        </w:rPr>
        <w:t>licence term and commencement, lot configuration and auction methodology</w:t>
      </w:r>
      <w:r w:rsidR="00235B25">
        <w:t>.</w:t>
      </w:r>
    </w:p>
    <w:p w14:paraId="0632D921" w14:textId="5CBD4390" w:rsidR="00EB49A4" w:rsidRDefault="00D90D0C" w:rsidP="00EB49A4">
      <w:r>
        <w:t>For urban excise areas</w:t>
      </w:r>
      <w:r w:rsidR="008143F7">
        <w:t>, we</w:t>
      </w:r>
      <w:r>
        <w:t xml:space="preserve"> </w:t>
      </w:r>
      <w:r w:rsidR="00EB49A4">
        <w:t>plan to implement Option B. This option will make the 3400</w:t>
      </w:r>
      <w:r w:rsidR="008143F7">
        <w:t>–</w:t>
      </w:r>
      <w:r w:rsidR="00EB49A4">
        <w:t>3475</w:t>
      </w:r>
      <w:r w:rsidR="00661783">
        <w:t> </w:t>
      </w:r>
      <w:r w:rsidR="00EB49A4">
        <w:t>MHz frequency range available for restricted cell LA WBB use via the issue of apparatus licences in urban excise areas.</w:t>
      </w:r>
      <w:r>
        <w:t xml:space="preserve"> </w:t>
      </w:r>
      <w:r w:rsidR="008143F7">
        <w:t xml:space="preserve">We </w:t>
      </w:r>
      <w:r w:rsidR="00EB49A4" w:rsidRPr="004A5D00">
        <w:t>will</w:t>
      </w:r>
      <w:r w:rsidR="006B1C07">
        <w:t xml:space="preserve"> also</w:t>
      </w:r>
      <w:r w:rsidR="00EB49A4" w:rsidRPr="004A5D00">
        <w:t xml:space="preserve"> implement a segmentation approach in the 3800</w:t>
      </w:r>
      <w:r w:rsidR="008143F7">
        <w:t>–</w:t>
      </w:r>
      <w:r w:rsidR="00EB49A4" w:rsidRPr="004A5D00">
        <w:t xml:space="preserve">4000 MHz frequency range. </w:t>
      </w:r>
      <w:r w:rsidR="008143F7">
        <w:t>Our</w:t>
      </w:r>
      <w:r w:rsidR="00EB49A4" w:rsidRPr="004A5D00">
        <w:t xml:space="preserve"> preliminary view is that the 3950</w:t>
      </w:r>
      <w:r w:rsidR="008143F7">
        <w:t>–</w:t>
      </w:r>
      <w:r w:rsidR="00EB49A4" w:rsidRPr="004A5D00">
        <w:t>4000 MHz frequency should be segmented for restricted cell use.</w:t>
      </w:r>
    </w:p>
    <w:p w14:paraId="125FF455" w14:textId="63322311" w:rsidR="00D336C0" w:rsidRDefault="008143F7" w:rsidP="00D336C0">
      <w:pPr>
        <w:pStyle w:val="Paragraph"/>
      </w:pPr>
      <w:r>
        <w:t>We have</w:t>
      </w:r>
      <w:r w:rsidR="00CC15B8" w:rsidRPr="00A75A7D">
        <w:t xml:space="preserve"> </w:t>
      </w:r>
      <w:r w:rsidR="006B728F" w:rsidRPr="00A75A7D">
        <w:t xml:space="preserve">also </w:t>
      </w:r>
      <w:r w:rsidR="007D7AA1" w:rsidRPr="00A75A7D">
        <w:t xml:space="preserve">made </w:t>
      </w:r>
      <w:r w:rsidR="00962C71" w:rsidRPr="00A75A7D">
        <w:t xml:space="preserve">a </w:t>
      </w:r>
      <w:hyperlink r:id="rId36" w:history="1">
        <w:r w:rsidR="00962C71" w:rsidRPr="008143F7">
          <w:rPr>
            <w:rStyle w:val="Hyperlink"/>
          </w:rPr>
          <w:t xml:space="preserve">re-allocation declaration for the </w:t>
        </w:r>
        <w:r w:rsidR="00CC15B8" w:rsidRPr="008143F7">
          <w:rPr>
            <w:rStyle w:val="Hyperlink"/>
          </w:rPr>
          <w:t>3.4 GHz and 3.7 G</w:t>
        </w:r>
        <w:r w:rsidR="001C358E" w:rsidRPr="008143F7">
          <w:rPr>
            <w:rStyle w:val="Hyperlink"/>
          </w:rPr>
          <w:t>H</w:t>
        </w:r>
        <w:r w:rsidR="00CC15B8" w:rsidRPr="008143F7">
          <w:rPr>
            <w:rStyle w:val="Hyperlink"/>
          </w:rPr>
          <w:t>z bands</w:t>
        </w:r>
      </w:hyperlink>
      <w:r w:rsidR="00CC15B8" w:rsidRPr="00A75A7D">
        <w:t>.</w:t>
      </w:r>
      <w:r w:rsidR="001C358E" w:rsidRPr="00A75A7D">
        <w:t xml:space="preserve"> </w:t>
      </w:r>
      <w:r w:rsidR="00D336C0" w:rsidRPr="00186977">
        <w:t>Table 3</w:t>
      </w:r>
      <w:r w:rsidR="00D336C0" w:rsidRPr="00A75A7D">
        <w:t xml:space="preserve"> contains</w:t>
      </w:r>
      <w:r w:rsidR="00D336C0">
        <w:t xml:space="preserve"> a summary of the terms of </w:t>
      </w:r>
      <w:r w:rsidR="00CC15B8">
        <w:t>this</w:t>
      </w:r>
      <w:r w:rsidR="00D336C0">
        <w:t xml:space="preserve"> declaration. </w:t>
      </w:r>
    </w:p>
    <w:p w14:paraId="744BE7F5" w14:textId="79050207" w:rsidR="00DA110F" w:rsidRDefault="006B1C07" w:rsidP="00EB49A4">
      <w:r>
        <w:t xml:space="preserve">Further detail on </w:t>
      </w:r>
      <w:r w:rsidR="00E5059D">
        <w:t xml:space="preserve">how these outcomes </w:t>
      </w:r>
      <w:r w:rsidR="008143F7">
        <w:t xml:space="preserve">were decided </w:t>
      </w:r>
      <w:r w:rsidR="00E5059D">
        <w:t xml:space="preserve">follows. </w:t>
      </w:r>
    </w:p>
    <w:p w14:paraId="01E81B90" w14:textId="29138159" w:rsidR="00DE2D5C" w:rsidRDefault="00B6115D" w:rsidP="00DE2D5C">
      <w:pPr>
        <w:pStyle w:val="Paragraph"/>
        <w:rPr>
          <w:rFonts w:eastAsia="Arial"/>
        </w:rPr>
      </w:pPr>
      <w:r>
        <w:rPr>
          <w:rFonts w:eastAsia="Arial"/>
        </w:rPr>
        <w:t>Please note that t</w:t>
      </w:r>
      <w:r w:rsidR="005862A2">
        <w:rPr>
          <w:rFonts w:eastAsia="Arial"/>
        </w:rPr>
        <w:t xml:space="preserve">his paper does not provide any </w:t>
      </w:r>
      <w:r w:rsidR="000E0A7B">
        <w:rPr>
          <w:rFonts w:eastAsia="Arial"/>
        </w:rPr>
        <w:t xml:space="preserve">outcomes </w:t>
      </w:r>
      <w:r w:rsidR="008143F7">
        <w:rPr>
          <w:rFonts w:eastAsia="Arial"/>
        </w:rPr>
        <w:t xml:space="preserve">about </w:t>
      </w:r>
      <w:r w:rsidR="005862A2">
        <w:rPr>
          <w:rFonts w:eastAsia="Arial"/>
        </w:rPr>
        <w:t>allocation</w:t>
      </w:r>
      <w:r w:rsidR="008143F7">
        <w:rPr>
          <w:rFonts w:eastAsia="Arial"/>
        </w:rPr>
        <w:t>-</w:t>
      </w:r>
      <w:r w:rsidR="00403E1B">
        <w:rPr>
          <w:rFonts w:eastAsia="Arial"/>
        </w:rPr>
        <w:t>related matters</w:t>
      </w:r>
      <w:r w:rsidR="000E0A7B">
        <w:rPr>
          <w:rFonts w:eastAsia="Arial"/>
        </w:rPr>
        <w:t xml:space="preserve">. </w:t>
      </w:r>
      <w:r w:rsidR="008143F7">
        <w:rPr>
          <w:rFonts w:eastAsia="Arial"/>
        </w:rPr>
        <w:t>F</w:t>
      </w:r>
      <w:r w:rsidR="00FC745A">
        <w:rPr>
          <w:rFonts w:eastAsia="Arial"/>
        </w:rPr>
        <w:t>eedback provided</w:t>
      </w:r>
      <w:r w:rsidR="00840DD3">
        <w:rPr>
          <w:rFonts w:eastAsia="Arial"/>
        </w:rPr>
        <w:t xml:space="preserve"> </w:t>
      </w:r>
      <w:r w:rsidR="008143F7">
        <w:rPr>
          <w:rFonts w:eastAsia="Arial"/>
        </w:rPr>
        <w:t xml:space="preserve">on allocation-related matters </w:t>
      </w:r>
      <w:r w:rsidR="00840DD3">
        <w:rPr>
          <w:rFonts w:eastAsia="Arial"/>
        </w:rPr>
        <w:t xml:space="preserve">will help inform the development of </w:t>
      </w:r>
      <w:r w:rsidR="00115801">
        <w:rPr>
          <w:rFonts w:eastAsia="Arial"/>
        </w:rPr>
        <w:t>allocation instruments</w:t>
      </w:r>
      <w:r w:rsidR="00840DD3">
        <w:rPr>
          <w:rFonts w:eastAsia="Arial"/>
        </w:rPr>
        <w:t xml:space="preserve"> for the allocation of spectrum licences in the 3.</w:t>
      </w:r>
      <w:r w:rsidR="008143F7">
        <w:rPr>
          <w:rFonts w:eastAsia="Arial"/>
        </w:rPr>
        <w:t>4 </w:t>
      </w:r>
      <w:r w:rsidR="00840DD3">
        <w:rPr>
          <w:rFonts w:eastAsia="Arial"/>
        </w:rPr>
        <w:t xml:space="preserve">GHz and 3.7 GHz bands. </w:t>
      </w:r>
      <w:r w:rsidR="00E34A54">
        <w:rPr>
          <w:rFonts w:eastAsia="Arial"/>
        </w:rPr>
        <w:t>W</w:t>
      </w:r>
      <w:r w:rsidR="00DE2D5C" w:rsidRPr="7EB58DFB">
        <w:rPr>
          <w:rFonts w:eastAsia="Arial"/>
        </w:rPr>
        <w:t>e will continue to consult with stakeholders</w:t>
      </w:r>
      <w:r w:rsidR="00E34A54">
        <w:rPr>
          <w:rFonts w:eastAsia="Arial"/>
        </w:rPr>
        <w:t xml:space="preserve"> on these issues</w:t>
      </w:r>
      <w:r w:rsidR="002C12F0">
        <w:rPr>
          <w:rFonts w:eastAsia="Arial"/>
        </w:rPr>
        <w:t xml:space="preserve"> in the lead up to</w:t>
      </w:r>
      <w:r w:rsidR="008143F7">
        <w:rPr>
          <w:rFonts w:eastAsia="Arial"/>
        </w:rPr>
        <w:t>,</w:t>
      </w:r>
      <w:r w:rsidR="002C12F0">
        <w:rPr>
          <w:rFonts w:eastAsia="Arial"/>
        </w:rPr>
        <w:t xml:space="preserve"> and as part of</w:t>
      </w:r>
      <w:r w:rsidR="008143F7">
        <w:rPr>
          <w:rFonts w:eastAsia="Arial"/>
        </w:rPr>
        <w:t>,</w:t>
      </w:r>
      <w:r w:rsidR="002C12F0">
        <w:rPr>
          <w:rFonts w:eastAsia="Arial"/>
        </w:rPr>
        <w:t xml:space="preserve"> a public consultation on </w:t>
      </w:r>
      <w:r w:rsidR="00115801">
        <w:rPr>
          <w:rFonts w:eastAsia="Arial"/>
        </w:rPr>
        <w:t>the allocation instruments</w:t>
      </w:r>
      <w:r w:rsidR="00DE2D5C" w:rsidRPr="7EB58DFB">
        <w:rPr>
          <w:rFonts w:eastAsia="Arial"/>
        </w:rPr>
        <w:t xml:space="preserve">. </w:t>
      </w:r>
    </w:p>
    <w:p w14:paraId="2A404076" w14:textId="77777777" w:rsidR="00DE2D5C" w:rsidRDefault="00DE2D5C" w:rsidP="00EB49A4"/>
    <w:p w14:paraId="68B5C912" w14:textId="77777777" w:rsidR="00DA110F" w:rsidRDefault="00DA110F">
      <w:pPr>
        <w:spacing w:after="0" w:line="240" w:lineRule="auto"/>
      </w:pPr>
      <w:r>
        <w:br w:type="page"/>
      </w:r>
    </w:p>
    <w:p w14:paraId="5B8F957A" w14:textId="35CE6D4B" w:rsidR="002D1C29" w:rsidRDefault="7B5A35D2" w:rsidP="017999D9">
      <w:pPr>
        <w:pStyle w:val="ACMATableHeader"/>
      </w:pPr>
      <w:bookmarkStart w:id="17" w:name="_Ref4141806"/>
      <w:r>
        <w:lastRenderedPageBreak/>
        <w:t xml:space="preserve">Terms of the re-allocation </w:t>
      </w:r>
      <w:bookmarkEnd w:id="17"/>
      <w:r>
        <w:t>declaration</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85" w:type="dxa"/>
          <w:left w:w="57" w:type="dxa"/>
          <w:bottom w:w="85" w:type="dxa"/>
          <w:right w:w="57" w:type="dxa"/>
        </w:tblCellMar>
        <w:tblLook w:val="01E0" w:firstRow="1" w:lastRow="1" w:firstColumn="1" w:lastColumn="1" w:noHBand="0" w:noVBand="0"/>
        <w:tblCaption w:val="Table title to go here"/>
        <w:tblDescription w:val="Table description to go here"/>
      </w:tblPr>
      <w:tblGrid>
        <w:gridCol w:w="2405"/>
        <w:gridCol w:w="5954"/>
      </w:tblGrid>
      <w:tr w:rsidR="002D1C29" w:rsidRPr="006D46E5" w14:paraId="7AEC92DD" w14:textId="77777777" w:rsidTr="00701F3F">
        <w:tc>
          <w:tcPr>
            <w:tcW w:w="2405" w:type="dxa"/>
            <w:shd w:val="clear" w:color="auto" w:fill="404040" w:themeFill="text1" w:themeFillTint="BF"/>
          </w:tcPr>
          <w:p w14:paraId="2E6648C8" w14:textId="77777777" w:rsidR="002D1C29" w:rsidRPr="006D46E5" w:rsidRDefault="002D1C29" w:rsidP="00724530">
            <w:pPr>
              <w:pStyle w:val="TableHeading0"/>
              <w:keepLines/>
              <w:rPr>
                <w:rFonts w:cs="Arial"/>
                <w:color w:val="FFFFFF" w:themeColor="background1"/>
              </w:rPr>
            </w:pPr>
            <w:r>
              <w:rPr>
                <w:rFonts w:cs="Arial"/>
                <w:color w:val="FFFFFF" w:themeColor="background1"/>
              </w:rPr>
              <w:t>Element of declaration</w:t>
            </w:r>
          </w:p>
        </w:tc>
        <w:tc>
          <w:tcPr>
            <w:tcW w:w="5954" w:type="dxa"/>
            <w:shd w:val="clear" w:color="auto" w:fill="404040" w:themeFill="text1" w:themeFillTint="BF"/>
          </w:tcPr>
          <w:p w14:paraId="2502E3DE" w14:textId="007F8E1D" w:rsidR="002D1C29" w:rsidRPr="006D46E5" w:rsidRDefault="417F0598" w:rsidP="00724530">
            <w:pPr>
              <w:pStyle w:val="TableHeading0"/>
              <w:keepLines/>
              <w:ind w:left="720" w:hanging="720"/>
              <w:rPr>
                <w:rFonts w:cs="Arial"/>
                <w:color w:val="FFFFFF" w:themeColor="background1"/>
              </w:rPr>
            </w:pPr>
            <w:r w:rsidRPr="7EB58DFB">
              <w:rPr>
                <w:rFonts w:cs="Arial"/>
                <w:color w:val="FFFFFF" w:themeColor="background1"/>
              </w:rPr>
              <w:t>The re-allocation declaration</w:t>
            </w:r>
          </w:p>
        </w:tc>
      </w:tr>
      <w:tr w:rsidR="002D1C29" w:rsidRPr="006D46E5" w14:paraId="3030B7D1" w14:textId="77777777" w:rsidTr="00701F3F">
        <w:tc>
          <w:tcPr>
            <w:tcW w:w="2405" w:type="dxa"/>
          </w:tcPr>
          <w:p w14:paraId="60CB129B" w14:textId="77777777" w:rsidR="002D1C29" w:rsidRPr="006D46E5" w:rsidRDefault="002D1C29" w:rsidP="00724530">
            <w:pPr>
              <w:pStyle w:val="TableBody"/>
              <w:keepNext/>
              <w:keepLines/>
              <w:rPr>
                <w:rFonts w:cs="Arial"/>
              </w:rPr>
            </w:pPr>
            <w:r>
              <w:rPr>
                <w:rFonts w:cs="Arial"/>
              </w:rPr>
              <w:t>Licence type</w:t>
            </w:r>
          </w:p>
        </w:tc>
        <w:tc>
          <w:tcPr>
            <w:tcW w:w="5954" w:type="dxa"/>
          </w:tcPr>
          <w:p w14:paraId="6995BAEB" w14:textId="77777777" w:rsidR="002D1C29" w:rsidRPr="006D46E5" w:rsidRDefault="002D1C29" w:rsidP="00724530">
            <w:pPr>
              <w:pStyle w:val="TableBody"/>
              <w:keepNext/>
              <w:keepLines/>
              <w:rPr>
                <w:rFonts w:cs="Arial"/>
              </w:rPr>
            </w:pPr>
            <w:r>
              <w:rPr>
                <w:rFonts w:cs="Arial"/>
              </w:rPr>
              <w:t>Spectrum licences</w:t>
            </w:r>
          </w:p>
        </w:tc>
      </w:tr>
      <w:tr w:rsidR="002D1C29" w:rsidRPr="006D46E5" w14:paraId="01FECD47" w14:textId="77777777" w:rsidTr="00701F3F">
        <w:trPr>
          <w:trHeight w:val="20"/>
        </w:trPr>
        <w:tc>
          <w:tcPr>
            <w:tcW w:w="2405" w:type="dxa"/>
            <w:shd w:val="clear" w:color="auto" w:fill="F2F2F2" w:themeFill="background1" w:themeFillShade="F2"/>
          </w:tcPr>
          <w:p w14:paraId="58089CB9" w14:textId="77777777" w:rsidR="002D1C29" w:rsidRPr="006D46E5" w:rsidRDefault="002D1C29" w:rsidP="00724530">
            <w:pPr>
              <w:pStyle w:val="TableBody"/>
              <w:keepNext/>
              <w:keepLines/>
              <w:rPr>
                <w:rFonts w:cs="Arial"/>
              </w:rPr>
            </w:pPr>
            <w:r>
              <w:rPr>
                <w:rFonts w:cs="Arial"/>
              </w:rPr>
              <w:t>Parts of the spectrum</w:t>
            </w:r>
          </w:p>
        </w:tc>
        <w:tc>
          <w:tcPr>
            <w:tcW w:w="5954" w:type="dxa"/>
            <w:shd w:val="clear" w:color="auto" w:fill="F2F2F2" w:themeFill="background1" w:themeFillShade="F2"/>
          </w:tcPr>
          <w:p w14:paraId="5D715034" w14:textId="77777777" w:rsidR="002D1C29" w:rsidRPr="004A5D00" w:rsidRDefault="002D1C29" w:rsidP="00724530">
            <w:pPr>
              <w:pStyle w:val="Paragraphbeforelist"/>
              <w:keepLines/>
            </w:pPr>
            <w:r w:rsidRPr="004A5D00">
              <w:t xml:space="preserve">The frequency ranges: </w:t>
            </w:r>
          </w:p>
          <w:p w14:paraId="5F1EC36A" w14:textId="77777777" w:rsidR="002D1C29" w:rsidRPr="004A5D00" w:rsidRDefault="2840B5F4" w:rsidP="00724530">
            <w:pPr>
              <w:pStyle w:val="Bulletlevel1"/>
              <w:keepNext/>
              <w:keepLines/>
            </w:pPr>
            <w:r w:rsidRPr="004A5D00">
              <w:t>3400–3425 MHz in major regional centres 2</w:t>
            </w:r>
          </w:p>
          <w:p w14:paraId="3A3BA242" w14:textId="77777777" w:rsidR="002D1C29" w:rsidRPr="004A5D00" w:rsidRDefault="2840B5F4" w:rsidP="00724530">
            <w:pPr>
              <w:pStyle w:val="Bulletlevel1"/>
              <w:keepNext/>
              <w:keepLines/>
            </w:pPr>
            <w:r w:rsidRPr="004A5D00">
              <w:t>3400–3442.5 MHz in regional area 1</w:t>
            </w:r>
          </w:p>
          <w:p w14:paraId="1CCC9545" w14:textId="77777777" w:rsidR="002D1C29" w:rsidRPr="004A5D00" w:rsidRDefault="2840B5F4" w:rsidP="00724530">
            <w:pPr>
              <w:pStyle w:val="Bulletlevel1"/>
              <w:keepNext/>
              <w:keepLines/>
            </w:pPr>
            <w:r w:rsidRPr="004A5D00">
              <w:t>3475–3492.5 MHz in regional areas 1 and 2</w:t>
            </w:r>
          </w:p>
          <w:p w14:paraId="6F8742FE" w14:textId="77777777" w:rsidR="002D1C29" w:rsidRPr="004A5D00" w:rsidRDefault="2840B5F4" w:rsidP="00724530">
            <w:pPr>
              <w:pStyle w:val="Bulletlevel1"/>
              <w:keepNext/>
              <w:keepLines/>
            </w:pPr>
            <w:r w:rsidRPr="004A5D00">
              <w:t>3492.5–3510 MHz in major regional centres, and regional areas 1 and 2</w:t>
            </w:r>
          </w:p>
          <w:p w14:paraId="3321FCB1" w14:textId="77777777" w:rsidR="002D1C29" w:rsidRPr="004A5D00" w:rsidRDefault="2840B5F4" w:rsidP="00724530">
            <w:pPr>
              <w:pStyle w:val="Bulletlevel1"/>
              <w:keepNext/>
              <w:keepLines/>
            </w:pPr>
            <w:r w:rsidRPr="004A5D00">
              <w:t xml:space="preserve">3510–3542.5 MHz in major regional centres 2 and regional area 1 </w:t>
            </w:r>
          </w:p>
          <w:p w14:paraId="39E7D3DD" w14:textId="77777777" w:rsidR="002D1C29" w:rsidRPr="004A5D00" w:rsidRDefault="2840B5F4" w:rsidP="00701F3F">
            <w:pPr>
              <w:pStyle w:val="Bulletlevel1last"/>
              <w:keepNext/>
              <w:keepLines/>
              <w:spacing w:after="120"/>
            </w:pPr>
            <w:r w:rsidRPr="004A5D00">
              <w:t xml:space="preserve">3475–3575 MHz in regional Western Australia central. </w:t>
            </w:r>
          </w:p>
          <w:p w14:paraId="0DB79CA8" w14:textId="77777777" w:rsidR="002D1C29" w:rsidRPr="004A5D00" w:rsidRDefault="002D1C29" w:rsidP="00701F3F">
            <w:pPr>
              <w:pStyle w:val="Paragraph"/>
              <w:keepNext/>
              <w:keepLines/>
              <w:spacing w:after="120"/>
            </w:pPr>
            <w:r w:rsidRPr="004A5D00">
              <w:t xml:space="preserve">This part of the spectrum is referred to as the </w:t>
            </w:r>
            <w:r w:rsidRPr="004A5D00">
              <w:rPr>
                <w:i/>
                <w:iCs/>
              </w:rPr>
              <w:t>regional 3.4 GHz band</w:t>
            </w:r>
            <w:r w:rsidRPr="004A5D00">
              <w:t xml:space="preserve"> in this paper. The regional 3.4 GHz band forms a part of the 3.4 GHz band.</w:t>
            </w:r>
          </w:p>
          <w:p w14:paraId="4D47769B" w14:textId="77777777" w:rsidR="002D1C29" w:rsidRPr="004A5D00" w:rsidRDefault="002D1C29" w:rsidP="00724530">
            <w:pPr>
              <w:pStyle w:val="Paragraphbeforelist"/>
              <w:keepLines/>
            </w:pPr>
            <w:r w:rsidRPr="004A5D00">
              <w:t xml:space="preserve">The frequency ranges: </w:t>
            </w:r>
          </w:p>
          <w:p w14:paraId="499E0089" w14:textId="77777777" w:rsidR="002D1C29" w:rsidRPr="004A5D00" w:rsidRDefault="2840B5F4" w:rsidP="00724530">
            <w:pPr>
              <w:pStyle w:val="Bulletlevel1"/>
              <w:keepNext/>
              <w:keepLines/>
            </w:pPr>
            <w:r w:rsidRPr="004A5D00">
              <w:t>3700–3750 MHz in all metropolitan and regional areas</w:t>
            </w:r>
          </w:p>
          <w:p w14:paraId="4D8754A5" w14:textId="7E5FD281" w:rsidR="002D1C29" w:rsidRPr="004A5D00" w:rsidRDefault="2840B5F4" w:rsidP="00701F3F">
            <w:pPr>
              <w:pStyle w:val="Bulletlevel1last"/>
              <w:keepNext/>
              <w:keepLines/>
              <w:spacing w:after="120"/>
            </w:pPr>
            <w:r w:rsidRPr="004A5D00">
              <w:t>3750–3800 MHz in all metropolitan areas</w:t>
            </w:r>
            <w:r w:rsidR="00E801A0">
              <w:t xml:space="preserve"> (including Hobart)</w:t>
            </w:r>
            <w:r w:rsidR="00C0063E" w:rsidRPr="004A5D00">
              <w:t>, major regional centres 1</w:t>
            </w:r>
            <w:r w:rsidR="0077493F">
              <w:t>,</w:t>
            </w:r>
            <w:r w:rsidR="00C0063E" w:rsidRPr="004A5D00">
              <w:t xml:space="preserve"> regional area 2</w:t>
            </w:r>
            <w:r w:rsidR="0077493F">
              <w:t xml:space="preserve"> and regional WA central</w:t>
            </w:r>
            <w:r w:rsidR="00C0063E" w:rsidRPr="004A5D00">
              <w:t>.</w:t>
            </w:r>
          </w:p>
          <w:p w14:paraId="5BC725B7" w14:textId="77777777" w:rsidR="002D1C29" w:rsidRPr="00E7443E" w:rsidRDefault="002D1C29" w:rsidP="00724530">
            <w:pPr>
              <w:pStyle w:val="TableBody"/>
              <w:keepNext/>
              <w:keepLines/>
            </w:pPr>
            <w:r w:rsidRPr="004A5D00">
              <w:t xml:space="preserve">This part of the spectrum is referred to as the </w:t>
            </w:r>
            <w:r w:rsidRPr="004A5D00">
              <w:rPr>
                <w:i/>
                <w:iCs/>
              </w:rPr>
              <w:t>3.7 GHz band</w:t>
            </w:r>
            <w:r w:rsidRPr="004A5D00">
              <w:t xml:space="preserve"> in this paper.</w:t>
            </w:r>
          </w:p>
        </w:tc>
      </w:tr>
      <w:tr w:rsidR="002D1C29" w:rsidRPr="006D46E5" w14:paraId="164CC29E" w14:textId="77777777" w:rsidTr="00701F3F">
        <w:tc>
          <w:tcPr>
            <w:tcW w:w="2405" w:type="dxa"/>
            <w:shd w:val="clear" w:color="auto" w:fill="FFFFFF" w:themeFill="background1"/>
          </w:tcPr>
          <w:p w14:paraId="2715D092" w14:textId="77777777" w:rsidR="002D1C29" w:rsidRDefault="002D1C29" w:rsidP="00724530">
            <w:pPr>
              <w:pStyle w:val="TableBody"/>
              <w:keepNext/>
              <w:keepLines/>
              <w:rPr>
                <w:rFonts w:cs="Arial"/>
              </w:rPr>
            </w:pPr>
            <w:r>
              <w:rPr>
                <w:rFonts w:cs="Arial"/>
              </w:rPr>
              <w:t>Re-allocation period</w:t>
            </w:r>
          </w:p>
        </w:tc>
        <w:tc>
          <w:tcPr>
            <w:tcW w:w="5954" w:type="dxa"/>
            <w:shd w:val="clear" w:color="auto" w:fill="FFFFFF" w:themeFill="background1"/>
          </w:tcPr>
          <w:p w14:paraId="0AEF383A" w14:textId="10007497" w:rsidR="002D1C29" w:rsidRDefault="002D1C29" w:rsidP="00724530">
            <w:pPr>
              <w:pStyle w:val="TableBody"/>
              <w:keepNext/>
              <w:keepLines/>
              <w:rPr>
                <w:rFonts w:cs="Arial"/>
              </w:rPr>
            </w:pPr>
            <w:r>
              <w:rPr>
                <w:rFonts w:cs="Arial"/>
              </w:rPr>
              <w:t>Five years from the commencement of the re-allocation declaration.</w:t>
            </w:r>
          </w:p>
        </w:tc>
      </w:tr>
      <w:tr w:rsidR="002D1C29" w:rsidRPr="006D46E5" w14:paraId="3B83AAC2" w14:textId="77777777" w:rsidTr="00701F3F">
        <w:tc>
          <w:tcPr>
            <w:tcW w:w="2405" w:type="dxa"/>
            <w:shd w:val="clear" w:color="auto" w:fill="F2F2F2" w:themeFill="background1" w:themeFillShade="F2"/>
          </w:tcPr>
          <w:p w14:paraId="19D2EE0F" w14:textId="77777777" w:rsidR="002D1C29" w:rsidRPr="00F209FA" w:rsidRDefault="002D1C29" w:rsidP="00724530">
            <w:pPr>
              <w:pStyle w:val="TableBody"/>
              <w:keepNext/>
              <w:keepLines/>
              <w:rPr>
                <w:rFonts w:cs="Arial"/>
              </w:rPr>
            </w:pPr>
            <w:r w:rsidRPr="00F209FA">
              <w:rPr>
                <w:rFonts w:cs="Arial"/>
              </w:rPr>
              <w:t>Re-allocation deadline</w:t>
            </w:r>
          </w:p>
        </w:tc>
        <w:tc>
          <w:tcPr>
            <w:tcW w:w="5954" w:type="dxa"/>
            <w:shd w:val="clear" w:color="auto" w:fill="F2F2F2" w:themeFill="background1" w:themeFillShade="F2"/>
          </w:tcPr>
          <w:p w14:paraId="4C0373F0" w14:textId="774045A7" w:rsidR="002D1C29" w:rsidRPr="00F209FA" w:rsidRDefault="00967ECB" w:rsidP="00724530">
            <w:pPr>
              <w:pStyle w:val="TableBody"/>
              <w:keepNext/>
              <w:keepLines/>
              <w:rPr>
                <w:rFonts w:cs="Arial"/>
              </w:rPr>
            </w:pPr>
            <w:r>
              <w:rPr>
                <w:rFonts w:cs="Arial"/>
              </w:rPr>
              <w:t>T</w:t>
            </w:r>
            <w:r w:rsidR="2EF8F887" w:rsidRPr="001328CA">
              <w:rPr>
                <w:rFonts w:cs="Arial"/>
              </w:rPr>
              <w:t>he end of the re-allocation period.</w:t>
            </w:r>
          </w:p>
        </w:tc>
      </w:tr>
    </w:tbl>
    <w:p w14:paraId="011B98D9" w14:textId="611CEE18" w:rsidR="009F48BC" w:rsidRDefault="7B5A35D2" w:rsidP="01F36A8B">
      <w:pPr>
        <w:pStyle w:val="Tableorfigurenote"/>
      </w:pPr>
      <w:r>
        <w:t xml:space="preserve">Note: Definitions for the geographic areas associated with the frequency ranges </w:t>
      </w:r>
      <w:r w:rsidR="0592521C">
        <w:t xml:space="preserve">that will be included in the </w:t>
      </w:r>
      <w:r>
        <w:t xml:space="preserve">re-allocation can be found in </w:t>
      </w:r>
      <w:hyperlink r:id="rId37" w:history="1">
        <w:r w:rsidR="00CA74F2" w:rsidRPr="000E6A1F">
          <w:rPr>
            <w:rStyle w:val="Hyperlink"/>
          </w:rPr>
          <w:t xml:space="preserve">Radiocommunications (Spectrum Re-allocation – </w:t>
        </w:r>
        <w:r w:rsidR="00CA74F2" w:rsidRPr="000E6A1F">
          <w:rPr>
            <w:rStyle w:val="Hyperlink"/>
            <w:iCs/>
          </w:rPr>
          <w:t>3.4 GHz</w:t>
        </w:r>
        <w:r w:rsidR="00CA74F2" w:rsidRPr="000E6A1F">
          <w:rPr>
            <w:rStyle w:val="Hyperlink"/>
          </w:rPr>
          <w:t xml:space="preserve"> and 3.7</w:t>
        </w:r>
        <w:r w:rsidR="00CA74F2" w:rsidRPr="000E6A1F">
          <w:rPr>
            <w:rStyle w:val="Hyperlink"/>
            <w:iCs/>
          </w:rPr>
          <w:t> </w:t>
        </w:r>
        <w:r w:rsidR="00CA74F2" w:rsidRPr="000E6A1F">
          <w:rPr>
            <w:rStyle w:val="Hyperlink"/>
          </w:rPr>
          <w:t>GHz Bands) Declaration 2022</w:t>
        </w:r>
      </w:hyperlink>
      <w:r>
        <w:t xml:space="preserve">. </w:t>
      </w:r>
    </w:p>
    <w:p w14:paraId="0DAC126F" w14:textId="77777777" w:rsidR="00D27B1E" w:rsidRPr="00252FC0" w:rsidRDefault="00D27B1E" w:rsidP="00D27B1E">
      <w:pPr>
        <w:pStyle w:val="Heading2"/>
      </w:pPr>
      <w:bookmarkStart w:id="18" w:name="_Toc108697865"/>
      <w:r>
        <w:t>Urban excise</w:t>
      </w:r>
      <w:bookmarkEnd w:id="18"/>
    </w:p>
    <w:p w14:paraId="1D4BE07A" w14:textId="6C55F4F8" w:rsidR="00D27B1E" w:rsidRDefault="00D27B1E" w:rsidP="00D27B1E">
      <w:pPr>
        <w:pStyle w:val="Paragraph"/>
      </w:pPr>
      <w:r>
        <w:t xml:space="preserve">The </w:t>
      </w:r>
      <w:r w:rsidR="00881A6D">
        <w:t>re-allocation paper</w:t>
      </w:r>
      <w:r>
        <w:t xml:space="preserve"> further considered options for use of urban excise areas in the context of work </w:t>
      </w:r>
      <w:r>
        <w:rPr>
          <w:szCs w:val="20"/>
        </w:rPr>
        <w:t>underway to develop planning and allocation arrangements across the broader 3400</w:t>
      </w:r>
      <w:r>
        <w:t>–</w:t>
      </w:r>
      <w:r>
        <w:rPr>
          <w:szCs w:val="20"/>
        </w:rPr>
        <w:t>4000 MHz frequency range. This included how different WBB use-cases</w:t>
      </w:r>
      <w:r w:rsidR="004A5A04">
        <w:rPr>
          <w:szCs w:val="20"/>
        </w:rPr>
        <w:t xml:space="preserve"> </w:t>
      </w:r>
      <w:r>
        <w:rPr>
          <w:szCs w:val="20"/>
        </w:rPr>
        <w:t>can be accommodated within the 3400</w:t>
      </w:r>
      <w:r>
        <w:t>–</w:t>
      </w:r>
      <w:r>
        <w:rPr>
          <w:szCs w:val="20"/>
        </w:rPr>
        <w:t xml:space="preserve">4000 MHz band in the most efficient manner. </w:t>
      </w:r>
    </w:p>
    <w:p w14:paraId="02EF6BFC" w14:textId="38A3AC6E" w:rsidR="00D27B1E" w:rsidRDefault="00D27B1E" w:rsidP="00D27B1E">
      <w:pPr>
        <w:pStyle w:val="Paragraphbeforelist"/>
        <w:spacing w:after="240"/>
      </w:pPr>
      <w:r>
        <w:rPr>
          <w:szCs w:val="20"/>
        </w:rPr>
        <w:t>Guided by the M</w:t>
      </w:r>
      <w:r w:rsidR="00367958">
        <w:rPr>
          <w:szCs w:val="20"/>
        </w:rPr>
        <w:t>PS</w:t>
      </w:r>
      <w:r>
        <w:rPr>
          <w:szCs w:val="20"/>
        </w:rPr>
        <w:t>, 2 options were identified for making urban excise areas available in the context of the broader 3400</w:t>
      </w:r>
      <w:r>
        <w:t>–</w:t>
      </w:r>
      <w:r>
        <w:rPr>
          <w:szCs w:val="20"/>
        </w:rPr>
        <w:t xml:space="preserve">4000 MHz band that will support different WBB use-cases. </w:t>
      </w:r>
      <w:r>
        <w:t>Under both these options, feedback was sought on how to make the 3800</w:t>
      </w:r>
      <w:r w:rsidR="008143F7">
        <w:t>–</w:t>
      </w:r>
      <w:r>
        <w:t>4000 MHz spectrum available for the different LA WBB use cases.</w:t>
      </w:r>
    </w:p>
    <w:p w14:paraId="360E56D9" w14:textId="61FEFB7E" w:rsidR="00D27B1E" w:rsidRDefault="00D27B1E" w:rsidP="00D27B1E">
      <w:pPr>
        <w:pStyle w:val="Paragraph"/>
      </w:pPr>
      <w:r>
        <w:t xml:space="preserve">In the </w:t>
      </w:r>
      <w:r w:rsidR="00881A6D">
        <w:t>re-allocation paper</w:t>
      </w:r>
      <w:r>
        <w:t xml:space="preserve">, </w:t>
      </w:r>
      <w:r w:rsidR="008143F7">
        <w:t>we</w:t>
      </w:r>
      <w:r>
        <w:t xml:space="preserve"> identified</w:t>
      </w:r>
      <w:r w:rsidR="00864853">
        <w:t xml:space="preserve"> </w:t>
      </w:r>
      <w:r w:rsidR="008143F7">
        <w:t xml:space="preserve">our </w:t>
      </w:r>
      <w:r w:rsidR="00864853">
        <w:t>preferred approach</w:t>
      </w:r>
      <w:r w:rsidR="00CE25CB">
        <w:t xml:space="preserve"> as </w:t>
      </w:r>
      <w:r>
        <w:t xml:space="preserve">Option A </w:t>
      </w:r>
      <w:r w:rsidR="00F90804">
        <w:t xml:space="preserve">for the urban excise areas (spectrum licensing) </w:t>
      </w:r>
      <w:r>
        <w:t xml:space="preserve">and segmentation </w:t>
      </w:r>
      <w:r w:rsidR="00D81A5B">
        <w:t xml:space="preserve">of spectrum </w:t>
      </w:r>
      <w:r w:rsidR="0088723D">
        <w:t>in the 3800</w:t>
      </w:r>
      <w:r w:rsidR="0008734E">
        <w:t>–</w:t>
      </w:r>
      <w:r w:rsidR="0088723D">
        <w:t>400</w:t>
      </w:r>
      <w:r w:rsidR="00AD0F1A">
        <w:t xml:space="preserve">0 MHz frequency range </w:t>
      </w:r>
      <w:r w:rsidR="00937F4C">
        <w:t xml:space="preserve">to support different </w:t>
      </w:r>
      <w:r w:rsidR="00D81A5B">
        <w:t xml:space="preserve">LA WBB </w:t>
      </w:r>
      <w:r w:rsidR="000A1879">
        <w:t xml:space="preserve">use </w:t>
      </w:r>
      <w:r w:rsidR="00937F4C">
        <w:t>case</w:t>
      </w:r>
      <w:r w:rsidR="00C513B9">
        <w:t>s</w:t>
      </w:r>
      <w:r>
        <w:t xml:space="preserve">. If a segmentation approach </w:t>
      </w:r>
      <w:r w:rsidR="00BC76B1">
        <w:t xml:space="preserve">were </w:t>
      </w:r>
      <w:r>
        <w:t>adopted, it was proposed that 50</w:t>
      </w:r>
      <w:r w:rsidR="00C82358">
        <w:t> </w:t>
      </w:r>
      <w:r>
        <w:t>MHz from 3950</w:t>
      </w:r>
      <w:r w:rsidR="0008734E">
        <w:t>–</w:t>
      </w:r>
      <w:r>
        <w:t>4000 MHz be reserved for restricted cell operations.</w:t>
      </w:r>
    </w:p>
    <w:p w14:paraId="5F26946E" w14:textId="77777777" w:rsidR="00D27B1E" w:rsidRPr="00E162C4" w:rsidRDefault="00D27B1E" w:rsidP="00D27B1E">
      <w:pPr>
        <w:pStyle w:val="Heading3"/>
      </w:pPr>
      <w:r>
        <w:lastRenderedPageBreak/>
        <w:t>Approach for urban excise areas</w:t>
      </w:r>
      <w:r w:rsidRPr="00E162C4">
        <w:t xml:space="preserve"> </w:t>
      </w:r>
    </w:p>
    <w:p w14:paraId="6E55843E" w14:textId="19D26BF4" w:rsidR="00D27B1E" w:rsidRDefault="00D27B1E" w:rsidP="004A5D00">
      <w:pPr>
        <w:pStyle w:val="Paragraph"/>
        <w:spacing w:after="80"/>
      </w:pPr>
      <w:r>
        <w:t>After considering submissions</w:t>
      </w:r>
      <w:r w:rsidR="001A7319">
        <w:t>,</w:t>
      </w:r>
      <w:r>
        <w:t xml:space="preserve"> </w:t>
      </w:r>
      <w:r w:rsidR="0008734E">
        <w:t xml:space="preserve">we </w:t>
      </w:r>
      <w:r>
        <w:t>plan to implement Option B in urban excise areas. This option will make the 3400</w:t>
      </w:r>
      <w:r w:rsidR="0008734E">
        <w:t>–</w:t>
      </w:r>
      <w:r>
        <w:t xml:space="preserve">3475 MHz frequency range available for restricted cell LA WBB use via the issue of apparatus licences in urban excise areas. </w:t>
      </w:r>
      <w:r w:rsidR="0008734E">
        <w:t>We decided on</w:t>
      </w:r>
      <w:r>
        <w:t xml:space="preserve"> this position based </w:t>
      </w:r>
      <w:r w:rsidR="00030095">
        <w:t>on</w:t>
      </w:r>
      <w:r>
        <w:t>:</w:t>
      </w:r>
    </w:p>
    <w:p w14:paraId="61BF3116" w14:textId="5F2B2D12" w:rsidR="00D27B1E" w:rsidRDefault="00D27B1E" w:rsidP="00D27B1E">
      <w:pPr>
        <w:pStyle w:val="Paragraph"/>
        <w:numPr>
          <w:ilvl w:val="0"/>
          <w:numId w:val="44"/>
        </w:numPr>
        <w:spacing w:after="80"/>
      </w:pPr>
      <w:r>
        <w:t xml:space="preserve">A combination of the small size and additional restrictions on use to protect NBN Co services in adjacent areas limits the utility of urban excise areas for macro-cell deployments. </w:t>
      </w:r>
    </w:p>
    <w:p w14:paraId="7ECB0EDA" w14:textId="4363239E" w:rsidR="00D27B1E" w:rsidRDefault="00D27B1E" w:rsidP="00D27B1E">
      <w:pPr>
        <w:pStyle w:val="Paragraph"/>
        <w:numPr>
          <w:ilvl w:val="0"/>
          <w:numId w:val="44"/>
        </w:numPr>
        <w:spacing w:after="80"/>
      </w:pPr>
      <w:r>
        <w:t>We recognise that, in general, a single licence type across the 3400–3800 MHz frequency range in metropolitan and regional areas would facilitate a future defragmentation of spectrum licence holdings. However, there may be limited benefit apply</w:t>
      </w:r>
      <w:r w:rsidR="005B7A2B">
        <w:t>ing</w:t>
      </w:r>
      <w:r>
        <w:t xml:space="preserve"> this logic to urban excise areas. The small size of these area</w:t>
      </w:r>
      <w:r w:rsidR="005B7A2B">
        <w:t>s</w:t>
      </w:r>
      <w:r>
        <w:t xml:space="preserve"> inextricably links them to NBN Co’s adjacent area spectrum holdings. Given the most logical spectrum licence defragmentation scenario is for NBN Co’s licence holdings to remain at the bottom of the 3400</w:t>
      </w:r>
      <w:r w:rsidR="0008734E">
        <w:t>–</w:t>
      </w:r>
      <w:r>
        <w:t>3800 MHz frequency range (where they already are), a scenario where urban excise areas in the 3400</w:t>
      </w:r>
      <w:r w:rsidR="0008734E">
        <w:t>–</w:t>
      </w:r>
      <w:r>
        <w:t xml:space="preserve">3475 MHz form </w:t>
      </w:r>
      <w:r w:rsidR="0025342D">
        <w:t xml:space="preserve">a </w:t>
      </w:r>
      <w:r>
        <w:t>significant role in a defrag process is unlikely.</w:t>
      </w:r>
      <w:r w:rsidR="009625CE">
        <w:t xml:space="preserve"> </w:t>
      </w:r>
    </w:p>
    <w:p w14:paraId="4F05B6AF" w14:textId="63BFECC5" w:rsidR="00D27B1E" w:rsidRDefault="005309EA" w:rsidP="004A5D00">
      <w:pPr>
        <w:pStyle w:val="Paragraph"/>
        <w:numPr>
          <w:ilvl w:val="0"/>
          <w:numId w:val="44"/>
        </w:numPr>
      </w:pPr>
      <w:r>
        <w:t xml:space="preserve">In line with </w:t>
      </w:r>
      <w:r w:rsidR="001C4FEC">
        <w:t xml:space="preserve">the policy objectives set out in </w:t>
      </w:r>
      <w:r w:rsidR="00EC4B33">
        <w:t>sections</w:t>
      </w:r>
      <w:r w:rsidR="0007781C">
        <w:t xml:space="preserve"> 2 and 3 of the </w:t>
      </w:r>
      <w:r w:rsidR="00603C92">
        <w:t>MPS</w:t>
      </w:r>
      <w:r w:rsidR="0007781C">
        <w:t>,</w:t>
      </w:r>
      <w:r w:rsidR="00603C92">
        <w:t xml:space="preserve"> </w:t>
      </w:r>
      <w:r w:rsidR="0007781C">
        <w:t>w</w:t>
      </w:r>
      <w:r w:rsidR="00D27B1E">
        <w:t>e recognise there is growing demand for spectrum to support highly</w:t>
      </w:r>
      <w:r w:rsidR="0008734E">
        <w:t>-</w:t>
      </w:r>
      <w:r w:rsidR="00D27B1E">
        <w:rPr>
          <w:szCs w:val="20"/>
        </w:rPr>
        <w:t xml:space="preserve">localised private and enterprise networks providing </w:t>
      </w:r>
      <w:r w:rsidR="00EC4B33">
        <w:rPr>
          <w:szCs w:val="20"/>
        </w:rPr>
        <w:t xml:space="preserve">innovative new </w:t>
      </w:r>
      <w:r w:rsidR="00D27B1E">
        <w:rPr>
          <w:szCs w:val="20"/>
        </w:rPr>
        <w:t xml:space="preserve">services at </w:t>
      </w:r>
      <w:r w:rsidR="00D27B1E">
        <w:t xml:space="preserve">warehouses, factories, airports, ports, transport hubs, hospitals, schools and smart buildings. </w:t>
      </w:r>
      <w:r w:rsidR="00735D2C">
        <w:t>Significant d</w:t>
      </w:r>
      <w:r w:rsidR="00D27B1E">
        <w:t xml:space="preserve">emand is expected in and around metropolitan areas. Facilitating access to mid-band spectrum is expected to further enable </w:t>
      </w:r>
      <w:r w:rsidR="00D27B1E">
        <w:rPr>
          <w:szCs w:val="20"/>
        </w:rPr>
        <w:t xml:space="preserve">the adoption of new technologies by industry to support the </w:t>
      </w:r>
      <w:r w:rsidR="0008734E">
        <w:rPr>
          <w:szCs w:val="20"/>
        </w:rPr>
        <w:t>i</w:t>
      </w:r>
      <w:r w:rsidR="00D27B1E">
        <w:rPr>
          <w:szCs w:val="20"/>
        </w:rPr>
        <w:t xml:space="preserve">nternet of </w:t>
      </w:r>
      <w:r w:rsidR="0008734E">
        <w:rPr>
          <w:szCs w:val="20"/>
        </w:rPr>
        <w:t>t</w:t>
      </w:r>
      <w:r w:rsidR="00D27B1E">
        <w:rPr>
          <w:szCs w:val="20"/>
        </w:rPr>
        <w:t>hings (IoT), intelligent transport systems (ITS), smart cities, smart utility applications and other Industry 4.0</w:t>
      </w:r>
      <w:r w:rsidR="00D27B1E">
        <w:rPr>
          <w:rStyle w:val="FootnoteReference"/>
          <w:szCs w:val="20"/>
        </w:rPr>
        <w:footnoteReference w:id="4"/>
      </w:r>
      <w:r w:rsidR="00D27B1E">
        <w:rPr>
          <w:szCs w:val="20"/>
        </w:rPr>
        <w:t xml:space="preserve"> </w:t>
      </w:r>
      <w:r w:rsidR="00D27B1E">
        <w:t xml:space="preserve">opportunities. </w:t>
      </w:r>
    </w:p>
    <w:p w14:paraId="293E2A39" w14:textId="54EB27C5" w:rsidR="00D27B1E" w:rsidRPr="00E162C4" w:rsidRDefault="00D27B1E" w:rsidP="00D27B1E">
      <w:pPr>
        <w:pStyle w:val="Heading3"/>
      </w:pPr>
      <w:r>
        <w:t>Approach for the 3800</w:t>
      </w:r>
      <w:r w:rsidR="0008734E">
        <w:t>–</w:t>
      </w:r>
      <w:r>
        <w:t>4000 MHz</w:t>
      </w:r>
      <w:r w:rsidRPr="00E162C4">
        <w:t xml:space="preserve"> </w:t>
      </w:r>
      <w:r>
        <w:t>frequency range</w:t>
      </w:r>
    </w:p>
    <w:p w14:paraId="50E68D98" w14:textId="4315B617" w:rsidR="00D27B1E" w:rsidRDefault="00D27B1E" w:rsidP="00D27B1E">
      <w:r>
        <w:t xml:space="preserve">There was strong support in submissions to the </w:t>
      </w:r>
      <w:r w:rsidR="00881A6D">
        <w:t>re-allocation paper</w:t>
      </w:r>
      <w:r>
        <w:t xml:space="preserve"> for the segmentation approach to be adopted in the 3800</w:t>
      </w:r>
      <w:r w:rsidR="0008734E">
        <w:t>–</w:t>
      </w:r>
      <w:r>
        <w:t>4000 MHz range. NBN Co was the only supporter of the top</w:t>
      </w:r>
      <w:r w:rsidR="006F2904">
        <w:t>-</w:t>
      </w:r>
      <w:r>
        <w:t>down</w:t>
      </w:r>
      <w:r w:rsidR="0008734E">
        <w:t xml:space="preserve">, </w:t>
      </w:r>
      <w:r>
        <w:t>bottom</w:t>
      </w:r>
      <w:r w:rsidR="006F2904">
        <w:t>-</w:t>
      </w:r>
      <w:r>
        <w:t xml:space="preserve">up approach. </w:t>
      </w:r>
    </w:p>
    <w:p w14:paraId="37D2E599" w14:textId="55BDD3D9" w:rsidR="00D27B1E" w:rsidRDefault="0008734E" w:rsidP="00D27B1E">
      <w:r>
        <w:t xml:space="preserve">We </w:t>
      </w:r>
      <w:r w:rsidR="00D27B1E">
        <w:t xml:space="preserve">consider there are clear benefits to the segmentation approach. This includes simplifying </w:t>
      </w:r>
      <w:r w:rsidR="00190662">
        <w:t>the</w:t>
      </w:r>
      <w:r w:rsidR="00D27B1E">
        <w:t xml:space="preserve"> coordination of services, especially during the initial release of spectrum.</w:t>
      </w:r>
      <w:r w:rsidR="00190662">
        <w:t xml:space="preserve"> I</w:t>
      </w:r>
      <w:r w:rsidR="00D27B1E">
        <w:t xml:space="preserve">t </w:t>
      </w:r>
      <w:r w:rsidR="00190662">
        <w:t>also</w:t>
      </w:r>
      <w:r w:rsidR="00D27B1E">
        <w:t xml:space="preserve"> helps provide options for private/enterprise users as demand for spectrum emerges.</w:t>
      </w:r>
      <w:r w:rsidR="00DB146F">
        <w:t xml:space="preserve"> In line with the policy objectives of the MPS, this </w:t>
      </w:r>
      <w:r w:rsidR="008926C7">
        <w:t>app</w:t>
      </w:r>
      <w:r w:rsidR="00DB7D84">
        <w:t>roach</w:t>
      </w:r>
      <w:r w:rsidR="00C730D2">
        <w:t xml:space="preserve"> is expected to</w:t>
      </w:r>
      <w:r w:rsidR="00DB7D84">
        <w:t xml:space="preserve"> support </w:t>
      </w:r>
      <w:r w:rsidR="00AB78B8">
        <w:t xml:space="preserve">a range of </w:t>
      </w:r>
      <w:r w:rsidR="00C24B0E">
        <w:t xml:space="preserve">use-cases </w:t>
      </w:r>
      <w:r w:rsidR="00EA2476">
        <w:t>and users</w:t>
      </w:r>
      <w:r>
        <w:t>,</w:t>
      </w:r>
      <w:r w:rsidR="00EA2476">
        <w:t xml:space="preserve"> as well as </w:t>
      </w:r>
      <w:r w:rsidR="00DB7D84">
        <w:t>the development of new and inno</w:t>
      </w:r>
      <w:r w:rsidR="00AB2D9C">
        <w:t>vative</w:t>
      </w:r>
      <w:r w:rsidR="00DB7D84">
        <w:t xml:space="preserve"> techno</w:t>
      </w:r>
      <w:r w:rsidR="00AB2D9C">
        <w:t>lo</w:t>
      </w:r>
      <w:r w:rsidR="00DB7D84">
        <w:t>gy</w:t>
      </w:r>
      <w:r w:rsidR="00AB2D9C">
        <w:t>.</w:t>
      </w:r>
    </w:p>
    <w:p w14:paraId="30BEEF35" w14:textId="1BC8F940" w:rsidR="00D27B1E" w:rsidRDefault="00D27B1E" w:rsidP="00D27B1E">
      <w:r>
        <w:t>There was some support for segmenting the 3800</w:t>
      </w:r>
      <w:r w:rsidR="0008734E">
        <w:t>–</w:t>
      </w:r>
      <w:r>
        <w:t>3950 MHz frequency range for macro-cell LA WBB use and the 3950</w:t>
      </w:r>
      <w:r w:rsidR="0008734E">
        <w:t>–</w:t>
      </w:r>
      <w:r>
        <w:t xml:space="preserve">4000 MHz frequency range for restricted cell LA WBB use. </w:t>
      </w:r>
      <w:r w:rsidR="00250C00">
        <w:t>O</w:t>
      </w:r>
      <w:r>
        <w:t>ptions of 40 MHz and 100 MHz restricted cell segments were also proposed. There was also mention of the benefits in having restricted cell LA WBB at the top of the band</w:t>
      </w:r>
      <w:r w:rsidR="00D4315C">
        <w:t>,</w:t>
      </w:r>
      <w:r>
        <w:t xml:space="preserve"> to reduced potential </w:t>
      </w:r>
      <w:r w:rsidR="00716DC8">
        <w:t>coexistence issues with</w:t>
      </w:r>
      <w:r>
        <w:t xml:space="preserve"> radio altimeters. </w:t>
      </w:r>
    </w:p>
    <w:p w14:paraId="27EB88D1" w14:textId="413810F7" w:rsidR="00D27B1E" w:rsidRDefault="0008734E" w:rsidP="00D27B1E">
      <w:r>
        <w:t xml:space="preserve">We </w:t>
      </w:r>
      <w:r w:rsidR="00D27B1E">
        <w:t xml:space="preserve">consider that segmenting the </w:t>
      </w:r>
      <w:r w:rsidR="00250C00">
        <w:t>3950</w:t>
      </w:r>
      <w:r>
        <w:t>–</w:t>
      </w:r>
      <w:r w:rsidR="00D27B1E">
        <w:t xml:space="preserve">4000 MHz </w:t>
      </w:r>
      <w:r w:rsidR="007B2E49">
        <w:t>frequency range</w:t>
      </w:r>
      <w:r w:rsidR="00D27B1E">
        <w:t xml:space="preserve"> for restricted cell use is </w:t>
      </w:r>
      <w:r>
        <w:t xml:space="preserve">our </w:t>
      </w:r>
      <w:r w:rsidR="007B2E49">
        <w:t>preferred</w:t>
      </w:r>
      <w:r w:rsidR="00D27B1E">
        <w:t xml:space="preserve"> approach. </w:t>
      </w:r>
    </w:p>
    <w:p w14:paraId="11EC751F" w14:textId="1EEF9EE3" w:rsidR="00D27B1E" w:rsidRDefault="00D27B1E" w:rsidP="00D27B1E">
      <w:r>
        <w:t xml:space="preserve">It is worth noting that segmentation </w:t>
      </w:r>
      <w:r w:rsidR="00670CAB">
        <w:t xml:space="preserve">is </w:t>
      </w:r>
      <w:r>
        <w:t xml:space="preserve">only </w:t>
      </w:r>
      <w:r w:rsidR="00670CAB">
        <w:t xml:space="preserve">intended to </w:t>
      </w:r>
      <w:r>
        <w:t xml:space="preserve">apply to WBB services. Existing point-to-point and </w:t>
      </w:r>
      <w:r w:rsidR="001A7319">
        <w:t>FSS</w:t>
      </w:r>
      <w:r>
        <w:t xml:space="preserve"> earth station licences w</w:t>
      </w:r>
      <w:r w:rsidR="009B639B">
        <w:t>ill</w:t>
      </w:r>
      <w:r>
        <w:t xml:space="preserve"> not be affected. Also, prospective </w:t>
      </w:r>
      <w:r>
        <w:lastRenderedPageBreak/>
        <w:t xml:space="preserve">new point-to-point and FSS earth station licences </w:t>
      </w:r>
      <w:r w:rsidR="00DE3D41">
        <w:t>may</w:t>
      </w:r>
      <w:r w:rsidR="003A7C5B">
        <w:t xml:space="preserve"> </w:t>
      </w:r>
      <w:r w:rsidR="00DE3D41">
        <w:t xml:space="preserve">be </w:t>
      </w:r>
      <w:r>
        <w:t>license</w:t>
      </w:r>
      <w:r w:rsidR="00DE3D41">
        <w:t>d</w:t>
      </w:r>
      <w:r>
        <w:t xml:space="preserve"> anywhere in the 3800</w:t>
      </w:r>
      <w:r w:rsidR="0008734E">
        <w:t>–</w:t>
      </w:r>
      <w:r>
        <w:t xml:space="preserve">4000 MHz frequency range on a first-in-time coordinated basis. </w:t>
      </w:r>
    </w:p>
    <w:p w14:paraId="5C4A8464" w14:textId="1C2F5C99" w:rsidR="00A54243" w:rsidRPr="00E162C4" w:rsidRDefault="00161EBD" w:rsidP="00A54243">
      <w:pPr>
        <w:pStyle w:val="Heading3"/>
      </w:pPr>
      <w:r>
        <w:t>O</w:t>
      </w:r>
      <w:r w:rsidR="00B40620">
        <w:t>utcomes</w:t>
      </w:r>
    </w:p>
    <w:p w14:paraId="4FD6F480" w14:textId="115E47B6" w:rsidR="006043C3" w:rsidRPr="00701F3F" w:rsidRDefault="006043C3" w:rsidP="00701F3F">
      <w:pPr>
        <w:pStyle w:val="Paragraph"/>
      </w:pPr>
      <w:r w:rsidRPr="00701F3F">
        <w:t>We plan to implement Option B in urban excise areas. This option will make the 3400–3475 MHz frequency range available for restricted cell LA WBB use via the issue of apparatus licences in urban excise areas.</w:t>
      </w:r>
    </w:p>
    <w:p w14:paraId="046EA4DA" w14:textId="0D291375" w:rsidR="006043C3" w:rsidRPr="00701F3F" w:rsidRDefault="006043C3" w:rsidP="00701F3F">
      <w:pPr>
        <w:pStyle w:val="Paragraph"/>
      </w:pPr>
      <w:r w:rsidRPr="00701F3F">
        <w:t>We will implement a segmentation approach in the 3800–4000 MHz frequency range. Our preliminary view is that the 3950–4000 MHz frequency should be segmented for restricted cell use.</w:t>
      </w:r>
    </w:p>
    <w:p w14:paraId="3755ECC5" w14:textId="090E1D03" w:rsidR="00D27B1E" w:rsidRPr="00701F3F" w:rsidRDefault="006043C3" w:rsidP="00701F3F">
      <w:pPr>
        <w:pStyle w:val="Paragraph"/>
      </w:pPr>
      <w:r w:rsidRPr="00701F3F">
        <w:t xml:space="preserve">We will consult with the 3.4–4.0 GHz technical liaison group (TLG) to seek its advice on draft technical arrangements for access to urban excise areas and the 3800–4000 MHz band (refer to the </w:t>
      </w:r>
      <w:hyperlink r:id="rId38" w:history="1">
        <w:r w:rsidRPr="00701F3F">
          <w:rPr>
            <w:rStyle w:val="Hyperlink"/>
          </w:rPr>
          <w:t>ACMA website for how TLGs work</w:t>
        </w:r>
      </w:hyperlink>
      <w:r w:rsidRPr="00701F3F">
        <w:t>). Once this advice has been received, we will consult on the final arrangements. We aim to do this in combination with consultation on updates to the 3.4 GHz spectrum licence technical framework.</w:t>
      </w:r>
    </w:p>
    <w:p w14:paraId="7960FBFA" w14:textId="780AB191" w:rsidR="000312C2" w:rsidRDefault="4F9F2827" w:rsidP="000312C2">
      <w:pPr>
        <w:pStyle w:val="Heading2"/>
      </w:pPr>
      <w:bookmarkStart w:id="19" w:name="_Toc108697866"/>
      <w:r>
        <w:t>Planning options</w:t>
      </w:r>
      <w:bookmarkEnd w:id="19"/>
    </w:p>
    <w:p w14:paraId="3799B528" w14:textId="7D7BBB40" w:rsidR="00782B24" w:rsidRDefault="00782B24" w:rsidP="00782B24">
      <w:pPr>
        <w:pStyle w:val="Paragraph"/>
        <w:spacing w:after="80"/>
      </w:pPr>
      <w:r>
        <w:t xml:space="preserve">In general, submissions supported </w:t>
      </w:r>
      <w:bookmarkStart w:id="20" w:name="_Hlk104897749"/>
      <w:r>
        <w:t>the concept of consolidating AWL and spectrum licence arrangements in the 3400</w:t>
      </w:r>
      <w:r w:rsidR="0008734E">
        <w:t>–</w:t>
      </w:r>
      <w:r>
        <w:t>4000 MHz with the following caveats</w:t>
      </w:r>
      <w:bookmarkEnd w:id="20"/>
      <w:r>
        <w:t xml:space="preserve">: </w:t>
      </w:r>
    </w:p>
    <w:p w14:paraId="1EC790E8" w14:textId="3BCBA41C" w:rsidR="00782B24" w:rsidRDefault="00782B24" w:rsidP="00782B24">
      <w:pPr>
        <w:pStyle w:val="Paragraph"/>
        <w:numPr>
          <w:ilvl w:val="0"/>
          <w:numId w:val="44"/>
        </w:numPr>
        <w:spacing w:after="80"/>
      </w:pPr>
      <w:r>
        <w:t xml:space="preserve">LA WBB </w:t>
      </w:r>
      <w:r w:rsidR="0008734E">
        <w:t xml:space="preserve">proponents </w:t>
      </w:r>
      <w:r>
        <w:t xml:space="preserve">wanted to maximise the amount of spectrum available for AWL use and secure access to </w:t>
      </w:r>
      <w:r w:rsidR="00CE20C4">
        <w:t>‘</w:t>
      </w:r>
      <w:r>
        <w:t>4G spectrum</w:t>
      </w:r>
      <w:r w:rsidR="00CE20C4">
        <w:t>’</w:t>
      </w:r>
      <w:r>
        <w:t xml:space="preserve"> as it would provide access to lower cost equipment and enable faster rollouts (until the 5G ecosystem matures).</w:t>
      </w:r>
    </w:p>
    <w:p w14:paraId="690ED1CC" w14:textId="7D873BC4" w:rsidR="00782B24" w:rsidRDefault="00782B24" w:rsidP="00782B24">
      <w:pPr>
        <w:pStyle w:val="Paragraph"/>
        <w:numPr>
          <w:ilvl w:val="0"/>
          <w:numId w:val="44"/>
        </w:numPr>
        <w:spacing w:after="80"/>
      </w:pPr>
      <w:r>
        <w:t xml:space="preserve">WA WBB </w:t>
      </w:r>
      <w:r w:rsidR="0008734E">
        <w:t xml:space="preserve">proponents </w:t>
      </w:r>
      <w:r>
        <w:t>want</w:t>
      </w:r>
      <w:r w:rsidR="00B96959">
        <w:t>ed</w:t>
      </w:r>
      <w:r>
        <w:t xml:space="preserve"> to maximise the amount of spectrum they could obtain and minimise the number of boundaries (frequency and geographic) with AWLs. They also would like to ensure the same total amount of area (in both regional and metro areas) is subject to spectrum licensing across the 3400</w:t>
      </w:r>
      <w:r w:rsidR="0008734E">
        <w:t>–</w:t>
      </w:r>
      <w:r>
        <w:t xml:space="preserve">3800 MHz frequency range. This latter point would help remove barriers to any future defragmentation of </w:t>
      </w:r>
      <w:r w:rsidR="001A7319">
        <w:t xml:space="preserve">spectrum licences </w:t>
      </w:r>
      <w:r>
        <w:t>as well as enabling licensees to access common spectrum across metro and regional areas to reduce the impact of dead zones</w:t>
      </w:r>
      <w:r w:rsidR="0008734E">
        <w:t>.</w:t>
      </w:r>
      <w:r>
        <w:rPr>
          <w:rStyle w:val="FootnoteReference"/>
        </w:rPr>
        <w:footnoteReference w:id="5"/>
      </w:r>
    </w:p>
    <w:p w14:paraId="78935DD1" w14:textId="2E1DC01E" w:rsidR="00782B24" w:rsidRDefault="001A7319" w:rsidP="00782B24">
      <w:pPr>
        <w:pStyle w:val="Paragraph"/>
        <w:numPr>
          <w:ilvl w:val="0"/>
          <w:numId w:val="44"/>
        </w:numPr>
      </w:pPr>
      <w:r>
        <w:t>FSS</w:t>
      </w:r>
      <w:r w:rsidR="00782B24">
        <w:t xml:space="preserve"> </w:t>
      </w:r>
      <w:r w:rsidR="0008734E">
        <w:t xml:space="preserve">proponents </w:t>
      </w:r>
      <w:r w:rsidR="00782B24">
        <w:t>want</w:t>
      </w:r>
      <w:r w:rsidR="00B96959">
        <w:t>ed</w:t>
      </w:r>
      <w:r w:rsidR="00782B24">
        <w:t xml:space="preserve"> to minimise the impact on incumbent licences and increase the amount of </w:t>
      </w:r>
      <w:r w:rsidR="00B96959">
        <w:t>spectrum in the</w:t>
      </w:r>
      <w:r w:rsidR="00782B24">
        <w:t xml:space="preserve"> 3700</w:t>
      </w:r>
      <w:r w:rsidR="0008734E">
        <w:t>–</w:t>
      </w:r>
      <w:r w:rsidR="00782B24">
        <w:t xml:space="preserve">3800 MHz </w:t>
      </w:r>
      <w:r w:rsidR="00B96959">
        <w:t xml:space="preserve">frequency range </w:t>
      </w:r>
      <w:r w:rsidR="00782B24">
        <w:t>they can access</w:t>
      </w:r>
      <w:r w:rsidR="000230AD">
        <w:t xml:space="preserve"> into </w:t>
      </w:r>
      <w:r w:rsidR="0008734E">
        <w:t>t</w:t>
      </w:r>
      <w:r w:rsidR="000230AD">
        <w:t>he future</w:t>
      </w:r>
      <w:r w:rsidR="00782B24">
        <w:t>. In the event they are required to re-locate</w:t>
      </w:r>
      <w:r w:rsidR="00866A47">
        <w:t>,</w:t>
      </w:r>
      <w:r w:rsidR="00782B24">
        <w:t xml:space="preserve"> they are interested in compensation.</w:t>
      </w:r>
    </w:p>
    <w:p w14:paraId="061C9EE9" w14:textId="6BB6A977" w:rsidR="00415C13" w:rsidRDefault="003558AC" w:rsidP="005060EB">
      <w:pPr>
        <w:pStyle w:val="Paragraph"/>
      </w:pPr>
      <w:r>
        <w:t>S</w:t>
      </w:r>
      <w:r w:rsidR="00782B24">
        <w:t xml:space="preserve">ubmissions </w:t>
      </w:r>
      <w:r w:rsidR="003E6520">
        <w:t xml:space="preserve">to the </w:t>
      </w:r>
      <w:r w:rsidR="00881A6D">
        <w:t>re-allocation paper</w:t>
      </w:r>
      <w:r w:rsidR="003E6520">
        <w:t xml:space="preserve"> </w:t>
      </w:r>
      <w:r w:rsidR="00782B24">
        <w:t xml:space="preserve">identified </w:t>
      </w:r>
      <w:r w:rsidR="003E6520">
        <w:t xml:space="preserve">several </w:t>
      </w:r>
      <w:r w:rsidR="00DF4965">
        <w:t xml:space="preserve">variations </w:t>
      </w:r>
      <w:r w:rsidR="004826BC">
        <w:t>to O</w:t>
      </w:r>
      <w:r w:rsidR="00F32405">
        <w:t>ption</w:t>
      </w:r>
      <w:r w:rsidR="00A53584">
        <w:t xml:space="preserve"> </w:t>
      </w:r>
      <w:r w:rsidR="004826BC">
        <w:t xml:space="preserve">3 </w:t>
      </w:r>
      <w:r w:rsidR="00A53584">
        <w:t xml:space="preserve">(refer to the </w:t>
      </w:r>
      <w:r w:rsidR="00A53584">
        <w:rPr>
          <w:i/>
          <w:iCs/>
        </w:rPr>
        <w:t xml:space="preserve">Summary of submission </w:t>
      </w:r>
      <w:r w:rsidR="00A53584">
        <w:t>section)</w:t>
      </w:r>
      <w:r w:rsidR="00782B24">
        <w:t>.</w:t>
      </w:r>
      <w:r w:rsidR="00F32405">
        <w:t xml:space="preserve"> </w:t>
      </w:r>
      <w:r w:rsidR="0014022B">
        <w:t>Mostly</w:t>
      </w:r>
      <w:r w:rsidR="00716814">
        <w:t xml:space="preserve"> </w:t>
      </w:r>
      <w:r w:rsidR="00562463">
        <w:t>these</w:t>
      </w:r>
      <w:r w:rsidR="00716814">
        <w:t xml:space="preserve"> </w:t>
      </w:r>
      <w:r w:rsidR="00DF4965">
        <w:t xml:space="preserve">variations related to </w:t>
      </w:r>
      <w:r w:rsidR="00547727">
        <w:t>which areas in the 3750</w:t>
      </w:r>
      <w:r w:rsidR="00866A47">
        <w:t>–</w:t>
      </w:r>
      <w:r w:rsidR="00547727">
        <w:t xml:space="preserve">3800 MHz frequency range should </w:t>
      </w:r>
      <w:r w:rsidR="008E1B6A">
        <w:t xml:space="preserve">(or shouldn’t) </w:t>
      </w:r>
      <w:r w:rsidR="00547727">
        <w:t>be re-allocated for spectrum licensing</w:t>
      </w:r>
      <w:r w:rsidR="00FD35ED">
        <w:t>.</w:t>
      </w:r>
      <w:r w:rsidR="00CB0F9F">
        <w:t xml:space="preserve"> </w:t>
      </w:r>
    </w:p>
    <w:p w14:paraId="7FF8E451" w14:textId="4A360CCC" w:rsidR="005060EB" w:rsidRDefault="00CB0F9F" w:rsidP="005060EB">
      <w:pPr>
        <w:pStyle w:val="Paragraph"/>
      </w:pPr>
      <w:r>
        <w:t xml:space="preserve">Telstra also proposed </w:t>
      </w:r>
      <w:r w:rsidR="007A059A">
        <w:t xml:space="preserve">an option </w:t>
      </w:r>
      <w:r w:rsidR="00415C13">
        <w:t xml:space="preserve">to make arrangements for </w:t>
      </w:r>
      <w:r w:rsidR="007A059A">
        <w:t xml:space="preserve">AWL </w:t>
      </w:r>
      <w:r w:rsidR="00EE134B">
        <w:t xml:space="preserve">spectrum spaces </w:t>
      </w:r>
      <w:r w:rsidR="00415C13">
        <w:t>in the 3400</w:t>
      </w:r>
      <w:r w:rsidR="00866A47">
        <w:t>–</w:t>
      </w:r>
      <w:r w:rsidR="00415C13">
        <w:t>3425 MHz and 3400</w:t>
      </w:r>
      <w:r w:rsidR="00866A47">
        <w:t>–</w:t>
      </w:r>
      <w:r w:rsidR="00415C13">
        <w:t>3442.5 MHz bands</w:t>
      </w:r>
      <w:r w:rsidR="007A059A">
        <w:t xml:space="preserve"> in major regional centres 2 and regional area 1</w:t>
      </w:r>
      <w:r w:rsidR="00866A47">
        <w:t>,</w:t>
      </w:r>
      <w:r w:rsidR="00415C13">
        <w:t xml:space="preserve"> respectively</w:t>
      </w:r>
      <w:r w:rsidR="007A059A">
        <w:t xml:space="preserve">. </w:t>
      </w:r>
      <w:r w:rsidR="00866A47">
        <w:t>T</w:t>
      </w:r>
      <w:r w:rsidR="000D43B0">
        <w:t xml:space="preserve">his </w:t>
      </w:r>
      <w:r w:rsidR="00EB3256">
        <w:t>approach</w:t>
      </w:r>
      <w:r w:rsidR="000D43B0">
        <w:t xml:space="preserve"> </w:t>
      </w:r>
      <w:r w:rsidR="00516C77">
        <w:t xml:space="preserve">was </w:t>
      </w:r>
      <w:r w:rsidR="00866A47">
        <w:t xml:space="preserve">intended </w:t>
      </w:r>
      <w:r w:rsidR="00516C77">
        <w:t xml:space="preserve">to </w:t>
      </w:r>
      <w:r w:rsidR="009531CA">
        <w:t xml:space="preserve">facilitate </w:t>
      </w:r>
      <w:r w:rsidR="00516C77">
        <w:t xml:space="preserve">a faster </w:t>
      </w:r>
      <w:r w:rsidR="009531CA">
        <w:t xml:space="preserve">and less costly </w:t>
      </w:r>
      <w:r w:rsidR="00516C77">
        <w:t xml:space="preserve">transition of PMP licences from </w:t>
      </w:r>
      <w:r w:rsidR="0016581B">
        <w:t xml:space="preserve">spectrum </w:t>
      </w:r>
      <w:r w:rsidR="00516C77">
        <w:t>re-</w:t>
      </w:r>
      <w:r w:rsidR="0016581B">
        <w:t>allocated for the issue fo</w:t>
      </w:r>
      <w:r w:rsidR="00B5784F">
        <w:t>r</w:t>
      </w:r>
      <w:r w:rsidR="0016581B">
        <w:t xml:space="preserve"> spectrum licences</w:t>
      </w:r>
      <w:r w:rsidR="00516C77">
        <w:t xml:space="preserve">. </w:t>
      </w:r>
      <w:r w:rsidR="00415C13">
        <w:t xml:space="preserve">This </w:t>
      </w:r>
      <w:r w:rsidR="004F388E">
        <w:t xml:space="preserve">appears to be on </w:t>
      </w:r>
      <w:r w:rsidR="00415C13">
        <w:t xml:space="preserve">the assumption that existing equipment </w:t>
      </w:r>
      <w:r w:rsidR="004F388E">
        <w:t>i</w:t>
      </w:r>
      <w:r w:rsidR="00415C13">
        <w:t>s only re</w:t>
      </w:r>
      <w:r w:rsidR="004F388E">
        <w:t>-tuneable</w:t>
      </w:r>
      <w:r w:rsidR="00415C13">
        <w:t xml:space="preserve"> within the 3400</w:t>
      </w:r>
      <w:r w:rsidR="00866A47">
        <w:t>–</w:t>
      </w:r>
      <w:r w:rsidR="00415C13">
        <w:t>3500/3600 MHz frequency range.</w:t>
      </w:r>
    </w:p>
    <w:p w14:paraId="7880A3D8" w14:textId="1695C9C0" w:rsidR="00D272E0" w:rsidRPr="00E162C4" w:rsidRDefault="00D272E0" w:rsidP="00D272E0">
      <w:pPr>
        <w:pStyle w:val="Heading3"/>
      </w:pPr>
      <w:r>
        <w:t xml:space="preserve">Consideration of </w:t>
      </w:r>
      <w:r w:rsidR="00866A47">
        <w:t>o</w:t>
      </w:r>
      <w:r>
        <w:t>ptions 1 and 2</w:t>
      </w:r>
      <w:r w:rsidRPr="00E162C4">
        <w:t xml:space="preserve"> </w:t>
      </w:r>
    </w:p>
    <w:p w14:paraId="3B8232C0" w14:textId="777E49A7" w:rsidR="00653D05" w:rsidRDefault="009D69B0" w:rsidP="00D272E0">
      <w:pPr>
        <w:pStyle w:val="Paragraph"/>
      </w:pPr>
      <w:r>
        <w:t xml:space="preserve">There was some </w:t>
      </w:r>
      <w:r w:rsidR="0095351B">
        <w:t xml:space="preserve">support from </w:t>
      </w:r>
      <w:r w:rsidR="0095351B" w:rsidRPr="006043C3">
        <w:t>LA WBB interests</w:t>
      </w:r>
      <w:r w:rsidR="0095351B">
        <w:t xml:space="preserve"> in implementing Option 1 and possibly Option 2. </w:t>
      </w:r>
      <w:r w:rsidR="000B4B33">
        <w:t>The main reason</w:t>
      </w:r>
      <w:r w:rsidR="00866A47">
        <w:t>s</w:t>
      </w:r>
      <w:r w:rsidR="000B4B33">
        <w:t xml:space="preserve"> for supporting these options were </w:t>
      </w:r>
      <w:r w:rsidR="00AB0756">
        <w:t xml:space="preserve">that </w:t>
      </w:r>
      <w:r w:rsidR="00D30C26">
        <w:t xml:space="preserve">they </w:t>
      </w:r>
      <w:r w:rsidR="00D30C26">
        <w:lastRenderedPageBreak/>
        <w:t xml:space="preserve">provide LA WBB operators with access to 4G spectrum </w:t>
      </w:r>
      <w:r w:rsidR="00BD2C7F">
        <w:t xml:space="preserve">(limited to below 3800 MHz by the </w:t>
      </w:r>
      <w:r w:rsidR="00942C69">
        <w:t xml:space="preserve">current </w:t>
      </w:r>
      <w:r w:rsidR="00BD670D">
        <w:t xml:space="preserve">3GPP </w:t>
      </w:r>
      <w:r w:rsidR="00BD2C7F">
        <w:t>standards)</w:t>
      </w:r>
      <w:r w:rsidR="00D30C26">
        <w:t xml:space="preserve"> in regional areas and they do not impact incumbent PMP licences. </w:t>
      </w:r>
    </w:p>
    <w:p w14:paraId="530E15C4" w14:textId="3C231766" w:rsidR="005000B0" w:rsidRDefault="00661ABB" w:rsidP="005000B0">
      <w:pPr>
        <w:pStyle w:val="Paragraph"/>
      </w:pPr>
      <w:r>
        <w:t xml:space="preserve">While we acknowledge the arguments for LA WBB operators wanting access to 4G spectrum, we consider the equipment ecosystem and associated costs can be expected to change in the short term. </w:t>
      </w:r>
      <w:r w:rsidR="006B2F86">
        <w:t>We note</w:t>
      </w:r>
      <w:r>
        <w:t xml:space="preserve"> demand for </w:t>
      </w:r>
      <w:r w:rsidR="00FA1768">
        <w:t xml:space="preserve">5G </w:t>
      </w:r>
      <w:r>
        <w:t xml:space="preserve">devices operating in </w:t>
      </w:r>
      <w:r w:rsidRPr="00A75A7D">
        <w:t>some or all of the 3800</w:t>
      </w:r>
      <w:r w:rsidR="00866A47">
        <w:t>–</w:t>
      </w:r>
      <w:r w:rsidRPr="00A75A7D">
        <w:t>4200</w:t>
      </w:r>
      <w:r w:rsidR="007078B4" w:rsidRPr="00A75A7D">
        <w:t> </w:t>
      </w:r>
      <w:r w:rsidRPr="00A75A7D">
        <w:t xml:space="preserve">MHz </w:t>
      </w:r>
      <w:r w:rsidR="002D7FF0" w:rsidRPr="00A75A7D">
        <w:t xml:space="preserve">frequency </w:t>
      </w:r>
      <w:r w:rsidRPr="00A75A7D">
        <w:t xml:space="preserve">range in Japan, </w:t>
      </w:r>
      <w:r w:rsidR="006043C3">
        <w:t xml:space="preserve">the </w:t>
      </w:r>
      <w:r w:rsidRPr="006043C3">
        <w:t xml:space="preserve">UK and </w:t>
      </w:r>
      <w:r w:rsidR="00866A47" w:rsidRPr="006043C3">
        <w:t>the US</w:t>
      </w:r>
      <w:r w:rsidR="00866A47">
        <w:t>,</w:t>
      </w:r>
      <w:r w:rsidR="00403C53" w:rsidRPr="00A75A7D">
        <w:t xml:space="preserve"> as well as a general global demand for devices in the 3300</w:t>
      </w:r>
      <w:r w:rsidR="00866A47">
        <w:t>–</w:t>
      </w:r>
      <w:r w:rsidR="00403C53" w:rsidRPr="00A75A7D">
        <w:t>3800</w:t>
      </w:r>
      <w:r w:rsidR="003015D0" w:rsidRPr="00A75A7D">
        <w:t> </w:t>
      </w:r>
      <w:r w:rsidR="00403C53" w:rsidRPr="00A75A7D">
        <w:t>MHz frequency range</w:t>
      </w:r>
      <w:r w:rsidRPr="00A75A7D">
        <w:t>. As an example</w:t>
      </w:r>
      <w:r w:rsidR="005A6FCF" w:rsidRPr="00A75A7D">
        <w:t>,</w:t>
      </w:r>
      <w:r w:rsidRPr="00A75A7D">
        <w:t xml:space="preserve"> </w:t>
      </w:r>
      <w:r w:rsidRPr="00602A88">
        <w:t>Figure 1</w:t>
      </w:r>
      <w:r w:rsidRPr="00A75A7D">
        <w:t xml:space="preserve"> shows the increase in availability of 5G devices compared to 4G devices in the 3300</w:t>
      </w:r>
      <w:r w:rsidR="00866A47">
        <w:t>–</w:t>
      </w:r>
      <w:r w:rsidRPr="00A75A7D">
        <w:t>4200 MHz band</w:t>
      </w:r>
      <w:r>
        <w:t xml:space="preserve"> from 2015 to May 2022.</w:t>
      </w:r>
      <w:r w:rsidR="005A6FCF">
        <w:t xml:space="preserve"> </w:t>
      </w:r>
      <w:r w:rsidR="005000B0">
        <w:t xml:space="preserve">For </w:t>
      </w:r>
      <w:r w:rsidR="005A6FCF">
        <w:t>this r</w:t>
      </w:r>
      <w:r w:rsidR="005000B0">
        <w:t xml:space="preserve">eason, while providing LA WBB with access to 4G spectrum remains a consideration for the ACMA, it is not a determining factor in the choice of the best </w:t>
      </w:r>
      <w:r w:rsidR="004276F4">
        <w:t>long-term</w:t>
      </w:r>
      <w:r w:rsidR="005000B0">
        <w:t xml:space="preserve"> arrangements for the 3400</w:t>
      </w:r>
      <w:r w:rsidR="00866A47">
        <w:t>–</w:t>
      </w:r>
      <w:r w:rsidR="005000B0">
        <w:t xml:space="preserve">4000 MHz band.  </w:t>
      </w:r>
    </w:p>
    <w:p w14:paraId="306A3490" w14:textId="77777777" w:rsidR="005A6FCF" w:rsidRPr="00053DE0" w:rsidRDefault="00661ABB" w:rsidP="005A6FCF">
      <w:pPr>
        <w:pStyle w:val="Figureheading"/>
        <w:spacing w:after="120"/>
      </w:pPr>
      <w:r>
        <w:t xml:space="preserve">  </w:t>
      </w:r>
      <w:r w:rsidR="005A6FCF">
        <w:t>Number of 4G and 5G devices by year</w:t>
      </w:r>
    </w:p>
    <w:p w14:paraId="756F3620" w14:textId="10893ACF" w:rsidR="005A6FCF" w:rsidRDefault="00EF5F40" w:rsidP="005A6FCF">
      <w:r>
        <w:rPr>
          <w:noProof/>
        </w:rPr>
        <w:drawing>
          <wp:inline distT="0" distB="0" distL="0" distR="0" wp14:anchorId="463F336B" wp14:editId="09873969">
            <wp:extent cx="5514975" cy="3019425"/>
            <wp:effectExtent l="0" t="0" r="9525" b="9525"/>
            <wp:docPr id="3" name="Chart 3" descr="If you need help accessing or reading this diagram, please contact the ACMA's Customer Service Centre by phone on 1300 850 115 or by email at info@acma.gov.au">
              <a:extLst xmlns:a="http://schemas.openxmlformats.org/drawingml/2006/main">
                <a:ext uri="{FF2B5EF4-FFF2-40B4-BE49-F238E27FC236}">
                  <a16:creationId xmlns:a16="http://schemas.microsoft.com/office/drawing/2014/main" id="{88AE87D5-F17C-4BD5-B662-9D506E4E08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67C6435" w14:textId="65B21265" w:rsidR="005A6FCF" w:rsidRPr="003E0153" w:rsidRDefault="005A6FCF" w:rsidP="005A6FCF">
      <w:pPr>
        <w:pStyle w:val="Tableorfigurenote"/>
      </w:pPr>
      <w:r>
        <w:t xml:space="preserve">Device numbers were taken from the </w:t>
      </w:r>
      <w:hyperlink r:id="rId40" w:history="1">
        <w:r w:rsidRPr="003176D5">
          <w:rPr>
            <w:rStyle w:val="Hyperlink"/>
          </w:rPr>
          <w:t>Global mobile Suppliers Association (GSA) GAMBOD</w:t>
        </w:r>
      </w:hyperlink>
      <w:r>
        <w:t xml:space="preserve"> database on </w:t>
      </w:r>
      <w:r w:rsidR="001F0525">
        <w:t>12 July</w:t>
      </w:r>
      <w:r>
        <w:t xml:space="preserve"> 2022. 4G devices numbers apply to 3GPP bands </w:t>
      </w:r>
      <w:r w:rsidRPr="003B6ABC">
        <w:t>42 (3400</w:t>
      </w:r>
      <w:r w:rsidR="00AB0756">
        <w:t>–</w:t>
      </w:r>
      <w:r w:rsidRPr="003B6ABC">
        <w:t>3600 MHz), 43 (3600</w:t>
      </w:r>
      <w:r w:rsidR="00D14FDA">
        <w:t>–</w:t>
      </w:r>
      <w:r w:rsidRPr="003B6ABC">
        <w:t>3800 MHz), 48 (3550</w:t>
      </w:r>
      <w:r w:rsidR="00D14FDA">
        <w:t>–</w:t>
      </w:r>
      <w:r w:rsidRPr="003B6ABC">
        <w:t>3700 MHz)</w:t>
      </w:r>
      <w:r>
        <w:t xml:space="preserve">. 5G devices numbers apply to 3GPP bands </w:t>
      </w:r>
      <w:r w:rsidRPr="003B6ABC">
        <w:t>n77 (3300</w:t>
      </w:r>
      <w:r w:rsidR="00D14FDA">
        <w:t>–</w:t>
      </w:r>
      <w:r w:rsidRPr="003B6ABC">
        <w:t>4200 MHz)</w:t>
      </w:r>
      <w:r>
        <w:t xml:space="preserve"> and</w:t>
      </w:r>
      <w:r w:rsidRPr="003B6ABC">
        <w:t xml:space="preserve"> n78 (3300</w:t>
      </w:r>
      <w:r w:rsidR="00D14FDA">
        <w:t>–</w:t>
      </w:r>
      <w:r w:rsidRPr="003B6ABC">
        <w:t>3800 MHz)</w:t>
      </w:r>
      <w:r>
        <w:t>.</w:t>
      </w:r>
    </w:p>
    <w:p w14:paraId="07C41A8B" w14:textId="77725287" w:rsidR="00CB298B" w:rsidRDefault="007005E6" w:rsidP="00CB298B">
      <w:pPr>
        <w:pStyle w:val="Paragraph"/>
      </w:pPr>
      <w:r>
        <w:t xml:space="preserve">In the </w:t>
      </w:r>
      <w:r w:rsidR="00881A6D">
        <w:t>re-allocation paper</w:t>
      </w:r>
      <w:r>
        <w:t xml:space="preserve">, </w:t>
      </w:r>
      <w:r w:rsidR="00866A47">
        <w:t xml:space="preserve">we </w:t>
      </w:r>
      <w:r>
        <w:t xml:space="preserve">acknowledged that adopting Option 3 would impact </w:t>
      </w:r>
      <w:r w:rsidR="003462EE">
        <w:t>31</w:t>
      </w:r>
      <w:r w:rsidR="009F2633">
        <w:t xml:space="preserve"> </w:t>
      </w:r>
      <w:r>
        <w:t>incumbent PMP licen</w:t>
      </w:r>
      <w:r w:rsidR="009F2633">
        <w:t>ces</w:t>
      </w:r>
      <w:r>
        <w:t>. This may require additional capital and operational expenditure for affected PMP licensees</w:t>
      </w:r>
      <w:r w:rsidR="00A27762">
        <w:t>,</w:t>
      </w:r>
      <w:r>
        <w:t xml:space="preserve"> depending on whether existing equipment </w:t>
      </w:r>
      <w:r w:rsidR="009F2633">
        <w:t>can</w:t>
      </w:r>
      <w:r>
        <w:t xml:space="preserve"> be re-tuned within the 3750</w:t>
      </w:r>
      <w:r w:rsidR="00866A47">
        <w:t>–</w:t>
      </w:r>
      <w:r>
        <w:t xml:space="preserve">4000 MHz frequency range. However, </w:t>
      </w:r>
      <w:r w:rsidR="00866A47">
        <w:t xml:space="preserve">we </w:t>
      </w:r>
      <w:r>
        <w:t>also stated that we consider the benefits realised from implementing Option 3 (in particular</w:t>
      </w:r>
      <w:r w:rsidR="00866A47">
        <w:t>,</w:t>
      </w:r>
      <w:r>
        <w:t xml:space="preserve"> consolidating AWL and SL arrangements) outweigh these disadvantages. To reduce the impact on PMP licensees, it was proposed to have </w:t>
      </w:r>
      <w:r w:rsidRPr="00552C57">
        <w:t>an extended 5-year re-allocation period</w:t>
      </w:r>
      <w:r>
        <w:t xml:space="preserve"> and reserve spectrum for them to</w:t>
      </w:r>
      <w:r w:rsidRPr="00552C57">
        <w:t xml:space="preserve"> relocate into in the 3750</w:t>
      </w:r>
      <w:r>
        <w:t>–</w:t>
      </w:r>
      <w:r w:rsidRPr="00552C57">
        <w:t>4000</w:t>
      </w:r>
      <w:r w:rsidR="008D0208">
        <w:t> </w:t>
      </w:r>
      <w:r w:rsidRPr="00552C57">
        <w:t xml:space="preserve">MHz </w:t>
      </w:r>
      <w:r>
        <w:t>frequency range at any time during this period</w:t>
      </w:r>
      <w:r w:rsidRPr="00552C57">
        <w:t>.</w:t>
      </w:r>
      <w:r>
        <w:t xml:space="preserve"> </w:t>
      </w:r>
      <w:r w:rsidR="00FF1984">
        <w:t>Also, b</w:t>
      </w:r>
      <w:r w:rsidR="00013920">
        <w:t xml:space="preserve">ased on </w:t>
      </w:r>
      <w:r w:rsidR="0025292D">
        <w:t>Register of Radiocommunications Licences (RRL)</w:t>
      </w:r>
      <w:r w:rsidR="00013920">
        <w:t xml:space="preserve"> data, </w:t>
      </w:r>
      <w:r w:rsidR="00FF1984">
        <w:t xml:space="preserve">it appears that </w:t>
      </w:r>
      <w:r w:rsidR="00453DE3">
        <w:t xml:space="preserve">at least </w:t>
      </w:r>
      <w:r w:rsidR="008D0208">
        <w:t>19</w:t>
      </w:r>
      <w:r w:rsidR="00453DE3">
        <w:t xml:space="preserve"> of the </w:t>
      </w:r>
      <w:r w:rsidR="008D0208">
        <w:t>31</w:t>
      </w:r>
      <w:r w:rsidR="008C1CFF">
        <w:t xml:space="preserve"> </w:t>
      </w:r>
      <w:r w:rsidR="00453DE3">
        <w:t>PMP licences have equipment that could be retuned up to 3900 MHz</w:t>
      </w:r>
      <w:r w:rsidR="003555C5">
        <w:t>.</w:t>
      </w:r>
      <w:r w:rsidR="00691C9E">
        <w:t xml:space="preserve"> </w:t>
      </w:r>
      <w:r w:rsidR="003555C5">
        <w:t>T</w:t>
      </w:r>
      <w:r w:rsidR="00691C9E">
        <w:t xml:space="preserve">his should </w:t>
      </w:r>
      <w:r w:rsidR="00CB498B">
        <w:t xml:space="preserve">help to </w:t>
      </w:r>
      <w:r w:rsidR="00691C9E">
        <w:t>reduce the costs of any retuning activity and</w:t>
      </w:r>
      <w:r w:rsidR="0029064D">
        <w:t xml:space="preserve"> enable a faster retune</w:t>
      </w:r>
      <w:r w:rsidR="00453DE3">
        <w:t xml:space="preserve">. </w:t>
      </w:r>
    </w:p>
    <w:p w14:paraId="601A78B0" w14:textId="035783CC" w:rsidR="00CF4F7F" w:rsidRDefault="00CF4F7F" w:rsidP="00CB298B">
      <w:pPr>
        <w:pStyle w:val="Paragraph"/>
      </w:pPr>
      <w:r>
        <w:lastRenderedPageBreak/>
        <w:t>In terms of the satellite industry’s request for compensation for any relocation or retuning, the ACMA does not have the legislative authority to provide compensation to affected licensees</w:t>
      </w:r>
      <w:r w:rsidR="0034428A">
        <w:t>.</w:t>
      </w:r>
    </w:p>
    <w:p w14:paraId="5D3FBBD4" w14:textId="391739E0" w:rsidR="0014171C" w:rsidRDefault="003C112B" w:rsidP="0014171C">
      <w:pPr>
        <w:rPr>
          <w:shd w:val="clear" w:color="auto" w:fill="F2F2F2" w:themeFill="background1" w:themeFillShade="F2"/>
        </w:rPr>
      </w:pPr>
      <w:r>
        <w:t>After cons</w:t>
      </w:r>
      <w:r w:rsidR="00AE3C69">
        <w:t xml:space="preserve">idering the </w:t>
      </w:r>
      <w:r w:rsidR="00F532D5">
        <w:t>relevant policy objectives for the allocation</w:t>
      </w:r>
      <w:r w:rsidR="525589A8">
        <w:t xml:space="preserve"> and the views expressed in response to our consultation process</w:t>
      </w:r>
      <w:r w:rsidR="00AE3C69">
        <w:t>,</w:t>
      </w:r>
      <w:r w:rsidR="0014171C">
        <w:t xml:space="preserve"> </w:t>
      </w:r>
      <w:r w:rsidR="00866A47">
        <w:t xml:space="preserve">we </w:t>
      </w:r>
      <w:r w:rsidR="0014171C">
        <w:t xml:space="preserve">consider that the benefits of consolidating AWL and spectrum licence arrangements in the </w:t>
      </w:r>
      <w:r w:rsidR="002A148F">
        <w:t>3.4</w:t>
      </w:r>
      <w:r w:rsidR="00866A47">
        <w:t>–</w:t>
      </w:r>
      <w:r w:rsidR="002A148F">
        <w:t>4.0 GHz</w:t>
      </w:r>
      <w:r w:rsidR="0014171C">
        <w:t xml:space="preserve"> band under Option 3 or one </w:t>
      </w:r>
      <w:r w:rsidR="11DA849F">
        <w:t xml:space="preserve">of </w:t>
      </w:r>
      <w:r w:rsidR="0014171C">
        <w:t xml:space="preserve">the variations proposed, outweigh the benefits associated with Option 1 and Option 2. </w:t>
      </w:r>
    </w:p>
    <w:p w14:paraId="3D13A41A" w14:textId="4B142B87" w:rsidR="004F388E" w:rsidRPr="00E162C4" w:rsidRDefault="004F388E" w:rsidP="004F388E">
      <w:pPr>
        <w:pStyle w:val="Heading3"/>
      </w:pPr>
      <w:r>
        <w:t xml:space="preserve">Consideration of </w:t>
      </w:r>
      <w:r w:rsidR="00A303C5">
        <w:t>AWL arrangements in the 3400</w:t>
      </w:r>
      <w:r w:rsidR="00866A47">
        <w:t>–</w:t>
      </w:r>
      <w:r w:rsidR="00A303C5">
        <w:t>3425/3442.5 MHz band</w:t>
      </w:r>
    </w:p>
    <w:p w14:paraId="67248DA4" w14:textId="5BCBFA7C" w:rsidR="00A303C5" w:rsidRDefault="00A303C5" w:rsidP="004B6863">
      <w:pPr>
        <w:pStyle w:val="Paragraphbeforelist"/>
      </w:pPr>
      <w:r w:rsidRPr="00B441DC">
        <w:t>Telstra propos</w:t>
      </w:r>
      <w:r w:rsidR="00536E90" w:rsidRPr="00B441DC">
        <w:t>ed</w:t>
      </w:r>
      <w:r w:rsidRPr="00B441DC">
        <w:t xml:space="preserve"> </w:t>
      </w:r>
      <w:r w:rsidR="00536E90" w:rsidRPr="00B441DC">
        <w:t xml:space="preserve">an option </w:t>
      </w:r>
      <w:r w:rsidR="007F198C" w:rsidRPr="00B441DC">
        <w:t xml:space="preserve">to </w:t>
      </w:r>
      <w:r w:rsidR="00536E90" w:rsidRPr="00B441DC">
        <w:t xml:space="preserve">make </w:t>
      </w:r>
      <w:r w:rsidRPr="00B441DC">
        <w:t>the 3400</w:t>
      </w:r>
      <w:r w:rsidR="00B441DC">
        <w:t>–</w:t>
      </w:r>
      <w:r w:rsidRPr="00B441DC">
        <w:t>3425 MHz and 3400</w:t>
      </w:r>
      <w:r w:rsidR="00B441DC">
        <w:t>–</w:t>
      </w:r>
      <w:r w:rsidRPr="00B441DC">
        <w:t>3442.5</w:t>
      </w:r>
      <w:r w:rsidR="00D06BFB" w:rsidRPr="00B441DC">
        <w:t> </w:t>
      </w:r>
      <w:r w:rsidRPr="00B441DC">
        <w:t xml:space="preserve">MHz bands available for AWL in major regional centres 2 and regional area 1. </w:t>
      </w:r>
      <w:r w:rsidR="00B441DC">
        <w:t>We</w:t>
      </w:r>
      <w:r w:rsidRPr="00B441DC">
        <w:t xml:space="preserve"> </w:t>
      </w:r>
      <w:r w:rsidR="00B441DC">
        <w:t xml:space="preserve">do </w:t>
      </w:r>
      <w:r w:rsidRPr="00B441DC">
        <w:t xml:space="preserve">not </w:t>
      </w:r>
      <w:r w:rsidR="00B441DC">
        <w:t>consider this a</w:t>
      </w:r>
      <w:r w:rsidR="00B441DC" w:rsidRPr="00B441DC">
        <w:t xml:space="preserve"> </w:t>
      </w:r>
      <w:r w:rsidRPr="00B441DC">
        <w:t>preferred appr</w:t>
      </w:r>
      <w:r w:rsidR="005976E8" w:rsidRPr="00B441DC">
        <w:t>o</w:t>
      </w:r>
      <w:r w:rsidRPr="00B441DC">
        <w:t>ach for the following reasons:</w:t>
      </w:r>
    </w:p>
    <w:p w14:paraId="005AC8BD" w14:textId="77777777" w:rsidR="00A303C5" w:rsidRDefault="00A303C5" w:rsidP="004B6863">
      <w:pPr>
        <w:pStyle w:val="Bulletlevel1"/>
      </w:pPr>
      <w:r>
        <w:t xml:space="preserve">It results in fragmented AWL arrangements. </w:t>
      </w:r>
    </w:p>
    <w:p w14:paraId="35D3AD50" w14:textId="536A3652" w:rsidR="00A303C5" w:rsidRDefault="00A303C5" w:rsidP="004B6863">
      <w:pPr>
        <w:pStyle w:val="Bulletlevel1"/>
      </w:pPr>
      <w:r>
        <w:t>It results in small</w:t>
      </w:r>
      <w:r w:rsidR="00B441DC">
        <w:t>,</w:t>
      </w:r>
      <w:r>
        <w:t xml:space="preserve"> usable portions of AWL spectrum in the 3400</w:t>
      </w:r>
      <w:r w:rsidR="00B441DC">
        <w:t>–</w:t>
      </w:r>
      <w:r>
        <w:t>3425 MHz (25</w:t>
      </w:r>
      <w:r w:rsidR="00D04F2E">
        <w:t> </w:t>
      </w:r>
      <w:r>
        <w:t>MHz) and 3400</w:t>
      </w:r>
      <w:r w:rsidR="00B441DC">
        <w:t>–</w:t>
      </w:r>
      <w:r>
        <w:t>3442.5 MHz (40 MHz</w:t>
      </w:r>
      <w:r w:rsidR="00B441DC">
        <w:t>,</w:t>
      </w:r>
      <w:r>
        <w:t xml:space="preserve"> in practice) </w:t>
      </w:r>
      <w:r w:rsidR="004C57DD">
        <w:t xml:space="preserve">bands </w:t>
      </w:r>
      <w:r>
        <w:t>in major regional centres 2 and regional area 1</w:t>
      </w:r>
      <w:r w:rsidR="00B441DC">
        <w:t>,</w:t>
      </w:r>
      <w:r>
        <w:t xml:space="preserve"> respectively. When the effects of a restricted use band are considered</w:t>
      </w:r>
      <w:r w:rsidR="00B441DC">
        <w:t>,</w:t>
      </w:r>
      <w:r>
        <w:t xml:space="preserve"> the amount of usable spectrum reduces by a further 15 MHz.  </w:t>
      </w:r>
    </w:p>
    <w:p w14:paraId="14ACA7D0" w14:textId="63F6E9EA" w:rsidR="00A303C5" w:rsidRDefault="00A303C5" w:rsidP="004B6863">
      <w:pPr>
        <w:pStyle w:val="Bulletlevel1"/>
      </w:pPr>
      <w:r>
        <w:t>It impact</w:t>
      </w:r>
      <w:r w:rsidR="007F198C">
        <w:t>s adversely</w:t>
      </w:r>
      <w:r>
        <w:t xml:space="preserve"> NBN Co’s ability to further defragment and align </w:t>
      </w:r>
      <w:r w:rsidR="002A148F">
        <w:t xml:space="preserve">its </w:t>
      </w:r>
      <w:r>
        <w:t>spectrum holdings across different geographical areas in the 3400</w:t>
      </w:r>
      <w:r w:rsidR="00B441DC">
        <w:t>–</w:t>
      </w:r>
      <w:r>
        <w:t>3425/3442.5 MHz frequency range. This could have flow on effects for defragmentation in remaining portions of the 3400</w:t>
      </w:r>
      <w:r w:rsidR="00B441DC">
        <w:t>–</w:t>
      </w:r>
      <w:r>
        <w:t xml:space="preserve">3800 MHz frequency range. </w:t>
      </w:r>
    </w:p>
    <w:p w14:paraId="4D369E28" w14:textId="127891CC" w:rsidR="00D5726A" w:rsidRDefault="00B441DC" w:rsidP="004B6863">
      <w:pPr>
        <w:pStyle w:val="Bulletlevel1"/>
      </w:pPr>
      <w:r>
        <w:t xml:space="preserve">Six </w:t>
      </w:r>
      <w:r w:rsidR="00A303C5">
        <w:t xml:space="preserve">of the </w:t>
      </w:r>
      <w:r w:rsidR="00D04F2E">
        <w:t>31</w:t>
      </w:r>
      <w:r w:rsidR="00A303C5">
        <w:t xml:space="preserve"> </w:t>
      </w:r>
      <w:r w:rsidR="003E273D">
        <w:t>incumbent</w:t>
      </w:r>
      <w:r w:rsidR="00A303C5">
        <w:t xml:space="preserve"> PMP licences </w:t>
      </w:r>
      <w:r w:rsidR="00E030BA">
        <w:t>receive no</w:t>
      </w:r>
      <w:r w:rsidR="00A303C5">
        <w:t xml:space="preserve"> benefit from this </w:t>
      </w:r>
      <w:r w:rsidR="0027636B">
        <w:t>approach</w:t>
      </w:r>
      <w:r w:rsidR="00A303C5">
        <w:t>. This is because 4 of them are located in regional area 2, one has a licen</w:t>
      </w:r>
      <w:r w:rsidR="00CF3818">
        <w:t>s</w:t>
      </w:r>
      <w:r w:rsidR="00A303C5">
        <w:t xml:space="preserve">ed bandwidth that is too large, and one is located in the Roma ESPZ.    </w:t>
      </w:r>
    </w:p>
    <w:p w14:paraId="3E517A52" w14:textId="2C1600DD" w:rsidR="004F388E" w:rsidRDefault="00A303C5" w:rsidP="004B6863">
      <w:pPr>
        <w:pStyle w:val="Bulletlevel1last"/>
      </w:pPr>
      <w:r>
        <w:t xml:space="preserve">Based on RRL data, it appears that at least </w:t>
      </w:r>
      <w:r w:rsidR="00B3483E">
        <w:t>19</w:t>
      </w:r>
      <w:r>
        <w:t xml:space="preserve"> of the </w:t>
      </w:r>
      <w:r w:rsidR="00B3483E">
        <w:t>31</w:t>
      </w:r>
      <w:r>
        <w:t xml:space="preserve"> PMP licences have equipment that could be retuned up to 3900 MHz</w:t>
      </w:r>
      <w:r w:rsidR="00EC1E35">
        <w:t>.</w:t>
      </w:r>
      <w:r>
        <w:t xml:space="preserve"> </w:t>
      </w:r>
      <w:r w:rsidR="00EC1E35">
        <w:t>T</w:t>
      </w:r>
      <w:r>
        <w:t>his</w:t>
      </w:r>
      <w:r w:rsidR="00B3483E">
        <w:t>,</w:t>
      </w:r>
      <w:r>
        <w:t xml:space="preserve"> </w:t>
      </w:r>
      <w:r w:rsidR="00F70452">
        <w:t>in combination with the mitigation measures proposed for PMP licences</w:t>
      </w:r>
      <w:r w:rsidR="00B3483E">
        <w:t>,</w:t>
      </w:r>
      <w:r w:rsidR="00F70452">
        <w:t xml:space="preserve"> </w:t>
      </w:r>
      <w:r>
        <w:t>should help to reduce the costs of any retuning activity and enable a faster retune</w:t>
      </w:r>
      <w:r w:rsidR="00EC1E35">
        <w:t xml:space="preserve"> for these licences</w:t>
      </w:r>
      <w:r>
        <w:t xml:space="preserve">. </w:t>
      </w:r>
    </w:p>
    <w:p w14:paraId="495E96E3" w14:textId="211EA51E" w:rsidR="0077228D" w:rsidRPr="00E162C4" w:rsidRDefault="0077228D" w:rsidP="0077228D">
      <w:pPr>
        <w:pStyle w:val="Heading3"/>
      </w:pPr>
      <w:r>
        <w:t>Consideration of Options 3 and proposed variations to it</w:t>
      </w:r>
      <w:r w:rsidRPr="00E162C4">
        <w:t xml:space="preserve"> </w:t>
      </w:r>
    </w:p>
    <w:p w14:paraId="2BA1B5F0" w14:textId="7484B81C" w:rsidR="0087342B" w:rsidRDefault="0087342B" w:rsidP="0087342B">
      <w:pPr>
        <w:pStyle w:val="Paragraph"/>
      </w:pPr>
      <w:r>
        <w:t xml:space="preserve">Based on </w:t>
      </w:r>
      <w:r w:rsidR="002A148F">
        <w:t>the</w:t>
      </w:r>
      <w:r>
        <w:t xml:space="preserve"> discussion in the preceding sections, there is a good case to re-allocate those metropolitan and regional areas in the 3400</w:t>
      </w:r>
      <w:r w:rsidR="00B441DC">
        <w:t>–</w:t>
      </w:r>
      <w:r>
        <w:t xml:space="preserve">3570 MHz frequency range that are not already subject to spectrum licensing. </w:t>
      </w:r>
      <w:r w:rsidR="004A3C7F">
        <w:t xml:space="preserve">However, </w:t>
      </w:r>
      <w:r w:rsidR="004E78AB">
        <w:t xml:space="preserve">submissions to the </w:t>
      </w:r>
      <w:r w:rsidR="00881A6D">
        <w:t>re-allocation paper</w:t>
      </w:r>
      <w:r w:rsidR="00EA2C2B">
        <w:t xml:space="preserve"> had different views on </w:t>
      </w:r>
      <w:r>
        <w:t>what (if any) areas in the 3750</w:t>
      </w:r>
      <w:r w:rsidR="00B441DC">
        <w:t>–</w:t>
      </w:r>
      <w:r>
        <w:t>3800 MHz frequency range should be re-allocated for spectrum licensing in metropolitan and regional areas.</w:t>
      </w:r>
    </w:p>
    <w:p w14:paraId="75CD704E" w14:textId="0B68FAD9" w:rsidR="0087342B" w:rsidRDefault="00B441DC" w:rsidP="0087342B">
      <w:r>
        <w:t xml:space="preserve">We </w:t>
      </w:r>
      <w:r w:rsidR="0087342B">
        <w:t>consider that the 3750</w:t>
      </w:r>
      <w:r>
        <w:t>–</w:t>
      </w:r>
      <w:r w:rsidR="0087342B">
        <w:t>3800 MHz frequency range should be re-allocated in metropolitan areas. This position takes into account the decision to make the 3400</w:t>
      </w:r>
      <w:r>
        <w:t>–</w:t>
      </w:r>
      <w:r w:rsidR="0087342B">
        <w:t xml:space="preserve">3475 MHz frequency range available for LA WBB use in urban excise areas. </w:t>
      </w:r>
      <w:r w:rsidR="00E83EC9">
        <w:t>Also, m</w:t>
      </w:r>
      <w:r w:rsidR="0087342B">
        <w:t xml:space="preserve">etropolitan areas have the highest population density and are traditionally the areas of greatest demand by industry. Re-allocating them would enable existing spectrum licensees, </w:t>
      </w:r>
      <w:r w:rsidR="00D71A8E">
        <w:t>and/</w:t>
      </w:r>
      <w:r w:rsidR="0087342B">
        <w:t xml:space="preserve">or other prospective spectrum licensees, to obtain in the order of </w:t>
      </w:r>
      <w:r>
        <w:t>100 </w:t>
      </w:r>
      <w:r w:rsidR="0087342B">
        <w:t xml:space="preserve">MHz (this is </w:t>
      </w:r>
      <w:r w:rsidR="00B10E7D">
        <w:t xml:space="preserve">currently </w:t>
      </w:r>
      <w:r w:rsidR="0087342B">
        <w:t>the largest 5G</w:t>
      </w:r>
      <w:r w:rsidR="000A66D6">
        <w:t xml:space="preserve"> </w:t>
      </w:r>
      <w:r w:rsidR="0087342B">
        <w:t>channel bandwidth)</w:t>
      </w:r>
      <w:r w:rsidR="000A66D6">
        <w:t xml:space="preserve"> </w:t>
      </w:r>
      <w:r w:rsidR="00CB3A86">
        <w:t xml:space="preserve">of total spectrum holdings </w:t>
      </w:r>
      <w:r w:rsidR="000A66D6">
        <w:t>in these key markets</w:t>
      </w:r>
      <w:r w:rsidR="0087342B">
        <w:t xml:space="preserve">. The flow on benefits of this includes </w:t>
      </w:r>
      <w:r w:rsidR="00AD1AF2">
        <w:t xml:space="preserve">enhancing </w:t>
      </w:r>
      <w:r w:rsidR="0087342B">
        <w:t>network capacity</w:t>
      </w:r>
      <w:r w:rsidR="00AA5750">
        <w:t xml:space="preserve"> with </w:t>
      </w:r>
      <w:r w:rsidR="0087342B">
        <w:t xml:space="preserve">reduced rollout costs. </w:t>
      </w:r>
    </w:p>
    <w:p w14:paraId="655A6269" w14:textId="42C779C3" w:rsidR="0087342B" w:rsidRDefault="0087342B" w:rsidP="0087342B">
      <w:r>
        <w:t>In deciding whether to re-allocate any additional areas (beyond metropolitan areas) in the 3750</w:t>
      </w:r>
      <w:r w:rsidR="00B441DC">
        <w:t>–</w:t>
      </w:r>
      <w:r>
        <w:t>3800</w:t>
      </w:r>
      <w:r w:rsidR="00BE7658">
        <w:t> </w:t>
      </w:r>
      <w:r>
        <w:t>MHz frequency range</w:t>
      </w:r>
      <w:r w:rsidR="00B441DC">
        <w:t>, we</w:t>
      </w:r>
      <w:r>
        <w:t xml:space="preserve"> considered numerous factors. This </w:t>
      </w:r>
      <w:r w:rsidR="00B441DC">
        <w:t xml:space="preserve">included </w:t>
      </w:r>
      <w:r w:rsidR="006F0418">
        <w:t>aims</w:t>
      </w:r>
      <w:r>
        <w:t xml:space="preserve"> identified in the re-allocation paper</w:t>
      </w:r>
      <w:r w:rsidR="00CC28C3">
        <w:t>, the policy objectives of the MPS</w:t>
      </w:r>
      <w:r>
        <w:t xml:space="preserve"> </w:t>
      </w:r>
      <w:r w:rsidR="00B441DC">
        <w:t xml:space="preserve">and </w:t>
      </w:r>
      <w:r>
        <w:t xml:space="preserve">key issues raised in </w:t>
      </w:r>
      <w:r w:rsidRPr="00A75A7D">
        <w:t>submission</w:t>
      </w:r>
      <w:r w:rsidR="00F07878" w:rsidRPr="00A75A7D">
        <w:t>s</w:t>
      </w:r>
      <w:r w:rsidRPr="00A75A7D">
        <w:t xml:space="preserve">. </w:t>
      </w:r>
      <w:r w:rsidRPr="00715650">
        <w:t>Table 4</w:t>
      </w:r>
      <w:r w:rsidRPr="00A75A7D">
        <w:t xml:space="preserve"> provides</w:t>
      </w:r>
      <w:r>
        <w:t xml:space="preserve"> a comparison of different approaches against these factors. </w:t>
      </w:r>
    </w:p>
    <w:p w14:paraId="577E3C92" w14:textId="77777777" w:rsidR="0087342B" w:rsidRDefault="0087342B" w:rsidP="0087342B">
      <w:pPr>
        <w:pStyle w:val="Tableheading"/>
        <w:sectPr w:rsidR="0087342B" w:rsidSect="004B6863">
          <w:headerReference w:type="even" r:id="rId41"/>
          <w:headerReference w:type="default" r:id="rId42"/>
          <w:footerReference w:type="even" r:id="rId43"/>
          <w:footerReference w:type="default" r:id="rId44"/>
          <w:pgSz w:w="11906" w:h="16838" w:code="9"/>
          <w:pgMar w:top="1945" w:right="3101" w:bottom="1134" w:left="1134" w:header="709" w:footer="119" w:gutter="0"/>
          <w:pgNumType w:start="1"/>
          <w:cols w:space="708"/>
          <w:docGrid w:linePitch="360"/>
        </w:sectPr>
      </w:pPr>
    </w:p>
    <w:p w14:paraId="20E6927F" w14:textId="332EDD7F" w:rsidR="0087342B" w:rsidRDefault="0087342B" w:rsidP="0087342B">
      <w:pPr>
        <w:pStyle w:val="Tableheading"/>
        <w:spacing w:after="120"/>
      </w:pPr>
      <w:r>
        <w:lastRenderedPageBreak/>
        <w:t>Comparison of the different re-allocation approaches for the 3750</w:t>
      </w:r>
      <w:r w:rsidR="00B441DC">
        <w:t>–</w:t>
      </w:r>
      <w:r>
        <w:t>3800 MHz frequency range</w:t>
      </w:r>
    </w:p>
    <w:tbl>
      <w:tblPr>
        <w:tblStyle w:val="TableGrid"/>
        <w:tblW w:w="15329" w:type="dxa"/>
        <w:tblCellMar>
          <w:top w:w="28" w:type="dxa"/>
          <w:left w:w="28" w:type="dxa"/>
          <w:bottom w:w="28" w:type="dxa"/>
          <w:right w:w="28" w:type="dxa"/>
        </w:tblCellMar>
        <w:tblLook w:val="04A0" w:firstRow="1" w:lastRow="0" w:firstColumn="1" w:lastColumn="0" w:noHBand="0" w:noVBand="1"/>
      </w:tblPr>
      <w:tblGrid>
        <w:gridCol w:w="3686"/>
        <w:gridCol w:w="3544"/>
        <w:gridCol w:w="4111"/>
        <w:gridCol w:w="3988"/>
      </w:tblGrid>
      <w:tr w:rsidR="00091495" w:rsidRPr="00353AF5" w14:paraId="41AC91CE" w14:textId="77777777" w:rsidTr="004B6863">
        <w:trPr>
          <w:trHeight w:val="306"/>
        </w:trPr>
        <w:tc>
          <w:tcPr>
            <w:tcW w:w="3686" w:type="dxa"/>
            <w:tcBorders>
              <w:top w:val="nil"/>
              <w:left w:val="nil"/>
            </w:tcBorders>
            <w:shd w:val="clear" w:color="auto" w:fill="auto"/>
          </w:tcPr>
          <w:p w14:paraId="488EC35D" w14:textId="77777777" w:rsidR="0087342B" w:rsidRPr="00251F96" w:rsidRDefault="0087342B" w:rsidP="00913FE5">
            <w:pPr>
              <w:pStyle w:val="TableBody"/>
              <w:rPr>
                <w:rFonts w:cs="Arial"/>
                <w:b/>
                <w:bCs/>
                <w:sz w:val="18"/>
                <w:szCs w:val="18"/>
              </w:rPr>
            </w:pPr>
          </w:p>
        </w:tc>
        <w:tc>
          <w:tcPr>
            <w:tcW w:w="3544" w:type="dxa"/>
            <w:shd w:val="clear" w:color="auto" w:fill="F2F2F2" w:themeFill="background1" w:themeFillShade="F2"/>
            <w:tcMar>
              <w:left w:w="57" w:type="dxa"/>
              <w:right w:w="57" w:type="dxa"/>
            </w:tcMar>
          </w:tcPr>
          <w:p w14:paraId="27E9AD97" w14:textId="27F40F41" w:rsidR="0087342B" w:rsidRPr="00251F96" w:rsidRDefault="0087342B" w:rsidP="00913FE5">
            <w:pPr>
              <w:spacing w:after="0"/>
              <w:rPr>
                <w:rFonts w:cs="Arial"/>
                <w:b/>
                <w:bCs/>
                <w:sz w:val="18"/>
                <w:szCs w:val="18"/>
              </w:rPr>
            </w:pPr>
            <w:r w:rsidRPr="00251F96">
              <w:rPr>
                <w:rFonts w:cs="Arial"/>
                <w:b/>
                <w:bCs/>
                <w:sz w:val="18"/>
                <w:szCs w:val="18"/>
              </w:rPr>
              <w:t>Option 3</w:t>
            </w:r>
            <w:r>
              <w:rPr>
                <w:rFonts w:cs="Arial"/>
                <w:b/>
                <w:bCs/>
                <w:sz w:val="18"/>
                <w:szCs w:val="18"/>
              </w:rPr>
              <w:t xml:space="preserve"> (from </w:t>
            </w:r>
            <w:r w:rsidR="00881A6D">
              <w:rPr>
                <w:rFonts w:cs="Arial"/>
                <w:b/>
                <w:bCs/>
                <w:sz w:val="18"/>
                <w:szCs w:val="18"/>
              </w:rPr>
              <w:t>re-allocation paper</w:t>
            </w:r>
            <w:r>
              <w:rPr>
                <w:rFonts w:cs="Arial"/>
                <w:b/>
                <w:bCs/>
                <w:sz w:val="18"/>
                <w:szCs w:val="18"/>
              </w:rPr>
              <w:t>)</w:t>
            </w:r>
          </w:p>
        </w:tc>
        <w:tc>
          <w:tcPr>
            <w:tcW w:w="4111" w:type="dxa"/>
            <w:shd w:val="clear" w:color="auto" w:fill="F2F2F2" w:themeFill="background1" w:themeFillShade="F2"/>
          </w:tcPr>
          <w:p w14:paraId="4AB5356C" w14:textId="58F9FA57" w:rsidR="0087342B" w:rsidRPr="00FA1272" w:rsidRDefault="0087342B" w:rsidP="0024515A">
            <w:pPr>
              <w:spacing w:after="0"/>
              <w:rPr>
                <w:rFonts w:cs="Arial"/>
                <w:b/>
                <w:bCs/>
                <w:sz w:val="18"/>
                <w:szCs w:val="18"/>
              </w:rPr>
            </w:pPr>
            <w:r w:rsidRPr="0005038D">
              <w:rPr>
                <w:rFonts w:cs="Arial"/>
                <w:b/>
                <w:bCs/>
                <w:sz w:val="18"/>
                <w:szCs w:val="18"/>
              </w:rPr>
              <w:t xml:space="preserve">Option 3 </w:t>
            </w:r>
            <w:r w:rsidR="009E44FD">
              <w:rPr>
                <w:rFonts w:cs="Arial"/>
                <w:b/>
                <w:bCs/>
                <w:sz w:val="18"/>
                <w:szCs w:val="18"/>
              </w:rPr>
              <w:t>+</w:t>
            </w:r>
            <w:r w:rsidRPr="0005038D">
              <w:rPr>
                <w:rFonts w:cs="Arial"/>
                <w:b/>
                <w:bCs/>
                <w:sz w:val="18"/>
                <w:szCs w:val="18"/>
              </w:rPr>
              <w:t xml:space="preserve"> major regional centres 1</w:t>
            </w:r>
            <w:r w:rsidR="0019582B">
              <w:rPr>
                <w:rFonts w:cs="Arial"/>
                <w:b/>
                <w:bCs/>
                <w:sz w:val="18"/>
                <w:szCs w:val="18"/>
              </w:rPr>
              <w:t xml:space="preserve">, </w:t>
            </w:r>
            <w:r w:rsidR="00D3418D">
              <w:rPr>
                <w:rFonts w:cs="Arial"/>
                <w:b/>
                <w:bCs/>
                <w:sz w:val="18"/>
                <w:szCs w:val="18"/>
              </w:rPr>
              <w:t>regional WA central</w:t>
            </w:r>
            <w:r w:rsidRPr="0005038D">
              <w:rPr>
                <w:rFonts w:cs="Arial"/>
                <w:b/>
                <w:bCs/>
                <w:sz w:val="18"/>
                <w:szCs w:val="18"/>
              </w:rPr>
              <w:t xml:space="preserve"> and regional area 2 in 3750</w:t>
            </w:r>
            <w:r w:rsidR="00B441DC">
              <w:t>–</w:t>
            </w:r>
            <w:r w:rsidRPr="0005038D">
              <w:rPr>
                <w:rFonts w:cs="Arial"/>
                <w:b/>
                <w:bCs/>
                <w:sz w:val="18"/>
                <w:szCs w:val="18"/>
              </w:rPr>
              <w:t xml:space="preserve">3800 </w:t>
            </w:r>
            <w:r w:rsidR="00F70D3D" w:rsidRPr="0005038D">
              <w:rPr>
                <w:rFonts w:cs="Arial"/>
                <w:b/>
                <w:bCs/>
                <w:sz w:val="18"/>
                <w:szCs w:val="18"/>
              </w:rPr>
              <w:t>MHz</w:t>
            </w:r>
            <w:r w:rsidR="00721F02">
              <w:rPr>
                <w:rFonts w:cs="Arial"/>
                <w:b/>
                <w:bCs/>
                <w:sz w:val="18"/>
                <w:szCs w:val="18"/>
              </w:rPr>
              <w:t xml:space="preserve"> (</w:t>
            </w:r>
            <w:r w:rsidR="00FC736A">
              <w:rPr>
                <w:rFonts w:cs="Arial"/>
                <w:b/>
                <w:bCs/>
                <w:sz w:val="18"/>
                <w:szCs w:val="18"/>
              </w:rPr>
              <w:t>Variation</w:t>
            </w:r>
            <w:r w:rsidR="00721F02">
              <w:rPr>
                <w:rFonts w:cs="Arial"/>
                <w:b/>
                <w:bCs/>
                <w:sz w:val="18"/>
                <w:szCs w:val="18"/>
              </w:rPr>
              <w:t xml:space="preserve"> 1)</w:t>
            </w:r>
          </w:p>
        </w:tc>
        <w:tc>
          <w:tcPr>
            <w:tcW w:w="3988" w:type="dxa"/>
            <w:shd w:val="clear" w:color="auto" w:fill="F2F2F2" w:themeFill="background1" w:themeFillShade="F2"/>
          </w:tcPr>
          <w:p w14:paraId="24CF5996" w14:textId="0905D19F" w:rsidR="0087342B" w:rsidRPr="0005038D" w:rsidRDefault="0087342B" w:rsidP="0024515A">
            <w:pPr>
              <w:spacing w:after="0"/>
              <w:rPr>
                <w:rFonts w:cs="Arial"/>
                <w:b/>
                <w:bCs/>
                <w:sz w:val="18"/>
                <w:szCs w:val="18"/>
              </w:rPr>
            </w:pPr>
            <w:r w:rsidRPr="00FA1272">
              <w:rPr>
                <w:rFonts w:cs="Arial"/>
                <w:b/>
                <w:bCs/>
                <w:sz w:val="18"/>
                <w:szCs w:val="18"/>
              </w:rPr>
              <w:t>Re-allocate 3400</w:t>
            </w:r>
            <w:r w:rsidR="00B441DC">
              <w:t>–</w:t>
            </w:r>
            <w:r w:rsidRPr="00FA1272">
              <w:rPr>
                <w:rFonts w:cs="Arial"/>
                <w:b/>
                <w:bCs/>
                <w:sz w:val="18"/>
                <w:szCs w:val="18"/>
              </w:rPr>
              <w:t>3800 MHz in all metro and regional areas</w:t>
            </w:r>
            <w:r w:rsidR="00F70D3D">
              <w:rPr>
                <w:rFonts w:cs="Arial"/>
                <w:b/>
                <w:bCs/>
                <w:sz w:val="18"/>
                <w:szCs w:val="18"/>
              </w:rPr>
              <w:br/>
            </w:r>
            <w:r w:rsidR="00721F02">
              <w:rPr>
                <w:rFonts w:cs="Arial"/>
                <w:b/>
                <w:bCs/>
                <w:sz w:val="18"/>
                <w:szCs w:val="18"/>
              </w:rPr>
              <w:t>(</w:t>
            </w:r>
            <w:r w:rsidR="00FC736A">
              <w:rPr>
                <w:rFonts w:cs="Arial"/>
                <w:b/>
                <w:bCs/>
                <w:sz w:val="18"/>
                <w:szCs w:val="18"/>
              </w:rPr>
              <w:t>Variation</w:t>
            </w:r>
            <w:r w:rsidR="00721F02">
              <w:rPr>
                <w:rFonts w:cs="Arial"/>
                <w:b/>
                <w:bCs/>
                <w:sz w:val="18"/>
                <w:szCs w:val="18"/>
              </w:rPr>
              <w:t xml:space="preserve"> 2)</w:t>
            </w:r>
          </w:p>
        </w:tc>
      </w:tr>
      <w:tr w:rsidR="0087342B" w:rsidRPr="0051294D" w14:paraId="55E71413" w14:textId="77777777" w:rsidTr="004B6863">
        <w:tc>
          <w:tcPr>
            <w:tcW w:w="3686" w:type="dxa"/>
            <w:shd w:val="clear" w:color="auto" w:fill="F2F2F2" w:themeFill="background1" w:themeFillShade="F2"/>
          </w:tcPr>
          <w:p w14:paraId="14625C29" w14:textId="3F477776" w:rsidR="0087342B" w:rsidRPr="00350043" w:rsidRDefault="0087342B" w:rsidP="00913FE5">
            <w:pPr>
              <w:pStyle w:val="TableBody"/>
              <w:rPr>
                <w:rFonts w:cs="Arial"/>
                <w:b/>
                <w:bCs/>
                <w:sz w:val="18"/>
                <w:szCs w:val="18"/>
              </w:rPr>
            </w:pPr>
            <w:r w:rsidRPr="00350043">
              <w:rPr>
                <w:rFonts w:cs="Arial"/>
                <w:b/>
                <w:bCs/>
                <w:sz w:val="18"/>
                <w:szCs w:val="18"/>
              </w:rPr>
              <w:t xml:space="preserve">Consolidated AWL and </w:t>
            </w:r>
            <w:r>
              <w:rPr>
                <w:rFonts w:cs="Arial"/>
                <w:b/>
                <w:bCs/>
                <w:sz w:val="18"/>
                <w:szCs w:val="18"/>
              </w:rPr>
              <w:t>spectrum licence (</w:t>
            </w:r>
            <w:r w:rsidRPr="00350043">
              <w:rPr>
                <w:rFonts w:cs="Arial"/>
                <w:b/>
                <w:bCs/>
                <w:sz w:val="18"/>
                <w:szCs w:val="18"/>
              </w:rPr>
              <w:t>SL</w:t>
            </w:r>
            <w:r>
              <w:rPr>
                <w:rFonts w:cs="Arial"/>
                <w:b/>
                <w:bCs/>
                <w:sz w:val="18"/>
                <w:szCs w:val="18"/>
              </w:rPr>
              <w:t>)</w:t>
            </w:r>
            <w:r w:rsidRPr="00350043">
              <w:rPr>
                <w:rFonts w:cs="Arial"/>
                <w:b/>
                <w:bCs/>
                <w:sz w:val="18"/>
                <w:szCs w:val="18"/>
              </w:rPr>
              <w:t xml:space="preserve"> arrangements</w:t>
            </w:r>
          </w:p>
        </w:tc>
        <w:tc>
          <w:tcPr>
            <w:tcW w:w="3544" w:type="dxa"/>
            <w:tcMar>
              <w:left w:w="57" w:type="dxa"/>
              <w:right w:w="57" w:type="dxa"/>
            </w:tcMar>
          </w:tcPr>
          <w:p w14:paraId="1C765FF2" w14:textId="77777777" w:rsidR="0087342B" w:rsidRPr="00251F96" w:rsidRDefault="0087342B" w:rsidP="00913FE5">
            <w:pPr>
              <w:spacing w:after="0"/>
              <w:rPr>
                <w:rFonts w:cs="Arial"/>
                <w:sz w:val="18"/>
                <w:szCs w:val="18"/>
              </w:rPr>
            </w:pPr>
            <w:r w:rsidRPr="00251F96">
              <w:rPr>
                <w:rFonts w:cs="Arial"/>
                <w:sz w:val="18"/>
                <w:szCs w:val="18"/>
              </w:rPr>
              <w:t>Yes</w:t>
            </w:r>
          </w:p>
        </w:tc>
        <w:tc>
          <w:tcPr>
            <w:tcW w:w="4111" w:type="dxa"/>
          </w:tcPr>
          <w:p w14:paraId="044B9298" w14:textId="77777777" w:rsidR="0087342B" w:rsidRPr="00BA0B90" w:rsidRDefault="0087342B" w:rsidP="0024515A">
            <w:pPr>
              <w:spacing w:after="0"/>
              <w:rPr>
                <w:rFonts w:cs="Arial"/>
                <w:sz w:val="18"/>
                <w:szCs w:val="18"/>
              </w:rPr>
            </w:pPr>
            <w:r w:rsidRPr="00350043">
              <w:rPr>
                <w:rFonts w:cs="Arial"/>
                <w:sz w:val="18"/>
                <w:szCs w:val="18"/>
              </w:rPr>
              <w:t>Yes</w:t>
            </w:r>
          </w:p>
        </w:tc>
        <w:tc>
          <w:tcPr>
            <w:tcW w:w="3988" w:type="dxa"/>
          </w:tcPr>
          <w:p w14:paraId="6243963A" w14:textId="77777777" w:rsidR="0087342B" w:rsidRPr="002D77B5" w:rsidRDefault="0087342B" w:rsidP="0024515A">
            <w:pPr>
              <w:spacing w:after="0"/>
              <w:rPr>
                <w:rFonts w:cs="Arial"/>
                <w:sz w:val="18"/>
                <w:szCs w:val="18"/>
              </w:rPr>
            </w:pPr>
            <w:r w:rsidRPr="00BA0B90">
              <w:rPr>
                <w:rFonts w:cs="Arial"/>
                <w:sz w:val="18"/>
                <w:szCs w:val="18"/>
              </w:rPr>
              <w:t>Yes</w:t>
            </w:r>
          </w:p>
        </w:tc>
      </w:tr>
      <w:tr w:rsidR="0087342B" w:rsidRPr="0051294D" w14:paraId="69AD41C5" w14:textId="77777777" w:rsidTr="004B6863">
        <w:tc>
          <w:tcPr>
            <w:tcW w:w="3686" w:type="dxa"/>
            <w:shd w:val="clear" w:color="auto" w:fill="F2F2F2" w:themeFill="background1" w:themeFillShade="F2"/>
          </w:tcPr>
          <w:p w14:paraId="1CF9F10D" w14:textId="33BEB446" w:rsidR="0087342B" w:rsidRPr="00350043" w:rsidRDefault="0087342B" w:rsidP="00913FE5">
            <w:pPr>
              <w:pStyle w:val="TableBody"/>
              <w:rPr>
                <w:rFonts w:cs="Arial"/>
                <w:b/>
                <w:bCs/>
                <w:sz w:val="18"/>
                <w:szCs w:val="18"/>
              </w:rPr>
            </w:pPr>
            <w:r w:rsidRPr="00350043">
              <w:rPr>
                <w:rFonts w:cs="Arial"/>
                <w:b/>
                <w:bCs/>
                <w:sz w:val="18"/>
                <w:szCs w:val="18"/>
              </w:rPr>
              <w:t>Arrangements in multiples of 5/10 MHz</w:t>
            </w:r>
          </w:p>
        </w:tc>
        <w:tc>
          <w:tcPr>
            <w:tcW w:w="3544" w:type="dxa"/>
            <w:tcMar>
              <w:left w:w="57" w:type="dxa"/>
              <w:right w:w="57" w:type="dxa"/>
            </w:tcMar>
          </w:tcPr>
          <w:p w14:paraId="3BA13286" w14:textId="77777777" w:rsidR="0087342B" w:rsidRPr="00251F96" w:rsidRDefault="0087342B" w:rsidP="00913FE5">
            <w:pPr>
              <w:spacing w:after="0"/>
              <w:rPr>
                <w:rFonts w:cs="Arial"/>
                <w:sz w:val="18"/>
                <w:szCs w:val="18"/>
              </w:rPr>
            </w:pPr>
            <w:r w:rsidRPr="00251F96">
              <w:rPr>
                <w:rFonts w:cs="Arial"/>
                <w:sz w:val="18"/>
                <w:szCs w:val="18"/>
              </w:rPr>
              <w:t>Yes</w:t>
            </w:r>
          </w:p>
        </w:tc>
        <w:tc>
          <w:tcPr>
            <w:tcW w:w="4111" w:type="dxa"/>
          </w:tcPr>
          <w:p w14:paraId="321C1E5D" w14:textId="77777777" w:rsidR="0087342B" w:rsidRPr="00BA0B90" w:rsidRDefault="0087342B" w:rsidP="0024515A">
            <w:pPr>
              <w:spacing w:after="0"/>
              <w:rPr>
                <w:rFonts w:cs="Arial"/>
                <w:sz w:val="18"/>
                <w:szCs w:val="18"/>
              </w:rPr>
            </w:pPr>
            <w:r w:rsidRPr="00350043">
              <w:rPr>
                <w:rFonts w:cs="Arial"/>
                <w:sz w:val="18"/>
                <w:szCs w:val="18"/>
              </w:rPr>
              <w:t>Yes</w:t>
            </w:r>
          </w:p>
        </w:tc>
        <w:tc>
          <w:tcPr>
            <w:tcW w:w="3988" w:type="dxa"/>
          </w:tcPr>
          <w:p w14:paraId="7BC5ADE6" w14:textId="77777777" w:rsidR="0087342B" w:rsidRPr="002D77B5" w:rsidRDefault="0087342B" w:rsidP="0024515A">
            <w:pPr>
              <w:spacing w:after="0"/>
              <w:rPr>
                <w:rFonts w:cs="Arial"/>
                <w:sz w:val="18"/>
                <w:szCs w:val="18"/>
              </w:rPr>
            </w:pPr>
            <w:r w:rsidRPr="00BA0B90">
              <w:rPr>
                <w:rFonts w:cs="Arial"/>
                <w:sz w:val="18"/>
                <w:szCs w:val="18"/>
              </w:rPr>
              <w:t>Yes</w:t>
            </w:r>
          </w:p>
        </w:tc>
      </w:tr>
      <w:tr w:rsidR="0087342B" w:rsidRPr="0051294D" w14:paraId="16B6C2B1" w14:textId="77777777" w:rsidTr="004B6863">
        <w:tc>
          <w:tcPr>
            <w:tcW w:w="3686" w:type="dxa"/>
            <w:shd w:val="clear" w:color="auto" w:fill="F2F2F2" w:themeFill="background1" w:themeFillShade="F2"/>
          </w:tcPr>
          <w:p w14:paraId="36C10E17" w14:textId="3616A311" w:rsidR="0087342B" w:rsidRPr="00251F96" w:rsidRDefault="0087342B" w:rsidP="00913FE5">
            <w:pPr>
              <w:spacing w:after="0"/>
              <w:rPr>
                <w:rFonts w:cs="Arial"/>
                <w:b/>
                <w:bCs/>
                <w:sz w:val="18"/>
                <w:szCs w:val="18"/>
              </w:rPr>
            </w:pPr>
            <w:r w:rsidRPr="00251F96">
              <w:rPr>
                <w:rFonts w:cs="Arial"/>
                <w:b/>
                <w:bCs/>
                <w:sz w:val="18"/>
                <w:szCs w:val="18"/>
              </w:rPr>
              <w:t>Spectrum incorporated in restricted use bands (RBs)</w:t>
            </w:r>
          </w:p>
        </w:tc>
        <w:tc>
          <w:tcPr>
            <w:tcW w:w="3544" w:type="dxa"/>
            <w:tcMar>
              <w:left w:w="57" w:type="dxa"/>
              <w:right w:w="57" w:type="dxa"/>
            </w:tcMar>
          </w:tcPr>
          <w:p w14:paraId="274654EF" w14:textId="77777777" w:rsidR="0087342B" w:rsidRPr="00BA0B90" w:rsidRDefault="0087342B" w:rsidP="00913FE5">
            <w:pPr>
              <w:spacing w:after="0"/>
              <w:rPr>
                <w:rFonts w:cs="Arial"/>
                <w:sz w:val="18"/>
                <w:szCs w:val="18"/>
              </w:rPr>
            </w:pPr>
            <w:r w:rsidRPr="00BA0B90">
              <w:rPr>
                <w:rFonts w:cs="Arial"/>
                <w:sz w:val="18"/>
                <w:szCs w:val="18"/>
              </w:rPr>
              <w:t>Up to 15 MHz</w:t>
            </w:r>
          </w:p>
        </w:tc>
        <w:tc>
          <w:tcPr>
            <w:tcW w:w="4111" w:type="dxa"/>
          </w:tcPr>
          <w:p w14:paraId="503520BA" w14:textId="77777777" w:rsidR="0087342B" w:rsidRPr="002D77B5" w:rsidRDefault="0087342B" w:rsidP="0024515A">
            <w:pPr>
              <w:spacing w:after="0"/>
              <w:rPr>
                <w:rFonts w:cs="Arial"/>
                <w:sz w:val="18"/>
                <w:szCs w:val="18"/>
              </w:rPr>
            </w:pPr>
            <w:r w:rsidRPr="00350043">
              <w:rPr>
                <w:rFonts w:cs="Arial"/>
                <w:sz w:val="18"/>
                <w:szCs w:val="18"/>
              </w:rPr>
              <w:t>Up to 15 MHz</w:t>
            </w:r>
          </w:p>
        </w:tc>
        <w:tc>
          <w:tcPr>
            <w:tcW w:w="3988" w:type="dxa"/>
          </w:tcPr>
          <w:p w14:paraId="2135597D" w14:textId="77777777" w:rsidR="0087342B" w:rsidRPr="002D77B5" w:rsidRDefault="0087342B" w:rsidP="0024515A">
            <w:pPr>
              <w:spacing w:after="0"/>
              <w:rPr>
                <w:rFonts w:cs="Arial"/>
                <w:sz w:val="18"/>
                <w:szCs w:val="18"/>
              </w:rPr>
            </w:pPr>
            <w:r w:rsidRPr="00350043">
              <w:rPr>
                <w:rFonts w:cs="Arial"/>
                <w:sz w:val="18"/>
                <w:szCs w:val="18"/>
              </w:rPr>
              <w:t>Up to 15 MHz</w:t>
            </w:r>
          </w:p>
        </w:tc>
      </w:tr>
      <w:tr w:rsidR="0087342B" w:rsidRPr="0051294D" w14:paraId="3F876303" w14:textId="77777777" w:rsidTr="004B6863">
        <w:tc>
          <w:tcPr>
            <w:tcW w:w="3686" w:type="dxa"/>
            <w:shd w:val="clear" w:color="auto" w:fill="F2F2F2" w:themeFill="background1" w:themeFillShade="F2"/>
          </w:tcPr>
          <w:p w14:paraId="7C57AF34" w14:textId="093ABAF6" w:rsidR="0087342B" w:rsidRPr="00251F96" w:rsidRDefault="0087342B" w:rsidP="00913FE5">
            <w:pPr>
              <w:spacing w:after="0"/>
              <w:rPr>
                <w:rFonts w:cs="Arial"/>
                <w:b/>
                <w:bCs/>
                <w:sz w:val="18"/>
                <w:szCs w:val="18"/>
              </w:rPr>
            </w:pPr>
            <w:r w:rsidRPr="00251F96">
              <w:rPr>
                <w:rFonts w:cs="Arial"/>
                <w:b/>
                <w:bCs/>
                <w:sz w:val="18"/>
                <w:szCs w:val="18"/>
              </w:rPr>
              <w:t xml:space="preserve">Change in total spectrum for SL </w:t>
            </w:r>
            <w:r>
              <w:rPr>
                <w:rFonts w:cs="Arial"/>
                <w:b/>
                <w:bCs/>
                <w:sz w:val="18"/>
                <w:szCs w:val="18"/>
              </w:rPr>
              <w:t>in 3.4</w:t>
            </w:r>
            <w:r w:rsidR="00B441DC">
              <w:t>–</w:t>
            </w:r>
            <w:r>
              <w:rPr>
                <w:rFonts w:cs="Arial"/>
                <w:b/>
                <w:bCs/>
                <w:sz w:val="18"/>
                <w:szCs w:val="18"/>
              </w:rPr>
              <w:t>4 GHz</w:t>
            </w:r>
          </w:p>
          <w:p w14:paraId="4AE952DA" w14:textId="16CD951B" w:rsidR="0087342B" w:rsidRPr="00BA0B90" w:rsidRDefault="0087342B" w:rsidP="00913FE5">
            <w:pPr>
              <w:spacing w:after="0"/>
              <w:rPr>
                <w:rFonts w:cs="Arial"/>
                <w:b/>
                <w:bCs/>
                <w:sz w:val="18"/>
                <w:szCs w:val="18"/>
              </w:rPr>
            </w:pPr>
            <w:r w:rsidRPr="00BA0B90">
              <w:rPr>
                <w:rFonts w:cs="Arial"/>
                <w:b/>
                <w:bCs/>
                <w:sz w:val="18"/>
                <w:szCs w:val="18"/>
              </w:rPr>
              <w:t>(</w:t>
            </w:r>
            <w:r w:rsidR="00B441DC">
              <w:rPr>
                <w:rFonts w:cs="Arial"/>
                <w:b/>
                <w:bCs/>
                <w:sz w:val="18"/>
                <w:szCs w:val="18"/>
              </w:rPr>
              <w:t>c</w:t>
            </w:r>
            <w:r w:rsidRPr="00BA0B90">
              <w:rPr>
                <w:rFonts w:cs="Arial"/>
                <w:b/>
                <w:bCs/>
                <w:sz w:val="18"/>
                <w:szCs w:val="18"/>
              </w:rPr>
              <w:t>ompared to Option 1</w:t>
            </w:r>
            <w:r>
              <w:rPr>
                <w:rFonts w:cs="Arial"/>
                <w:b/>
                <w:bCs/>
                <w:sz w:val="18"/>
                <w:szCs w:val="18"/>
              </w:rPr>
              <w:t xml:space="preserve"> from the </w:t>
            </w:r>
            <w:r w:rsidR="00881A6D">
              <w:rPr>
                <w:rFonts w:cs="Arial"/>
                <w:b/>
                <w:bCs/>
                <w:sz w:val="18"/>
                <w:szCs w:val="18"/>
              </w:rPr>
              <w:t>re-allocation paper</w:t>
            </w:r>
            <w:r w:rsidRPr="00BA0B90">
              <w:rPr>
                <w:rFonts w:cs="Arial"/>
                <w:b/>
                <w:bCs/>
                <w:sz w:val="18"/>
                <w:szCs w:val="18"/>
              </w:rPr>
              <w:t>)</w:t>
            </w:r>
          </w:p>
        </w:tc>
        <w:tc>
          <w:tcPr>
            <w:tcW w:w="3544" w:type="dxa"/>
            <w:tcMar>
              <w:left w:w="57" w:type="dxa"/>
              <w:right w:w="57" w:type="dxa"/>
            </w:tcMar>
          </w:tcPr>
          <w:p w14:paraId="741C63DD" w14:textId="45D14798" w:rsidR="0087342B" w:rsidRPr="00251F96" w:rsidRDefault="0087342B" w:rsidP="00913FE5">
            <w:pPr>
              <w:spacing w:after="0"/>
              <w:rPr>
                <w:rFonts w:cs="Arial"/>
                <w:sz w:val="18"/>
                <w:szCs w:val="18"/>
              </w:rPr>
            </w:pPr>
            <w:r w:rsidRPr="002D77B5">
              <w:rPr>
                <w:rFonts w:cs="Arial"/>
                <w:sz w:val="18"/>
                <w:szCs w:val="18"/>
              </w:rPr>
              <w:t xml:space="preserve">15 MHz less in </w:t>
            </w:r>
            <w:r w:rsidR="006C2F68">
              <w:rPr>
                <w:rFonts w:cs="Arial"/>
                <w:sz w:val="18"/>
                <w:szCs w:val="18"/>
              </w:rPr>
              <w:t>r</w:t>
            </w:r>
            <w:r w:rsidRPr="00251F96">
              <w:rPr>
                <w:rFonts w:cs="Arial"/>
                <w:sz w:val="18"/>
                <w:szCs w:val="18"/>
              </w:rPr>
              <w:t xml:space="preserve">egional </w:t>
            </w:r>
            <w:r w:rsidR="001E15D3">
              <w:rPr>
                <w:rFonts w:cs="Arial"/>
                <w:sz w:val="18"/>
                <w:szCs w:val="18"/>
              </w:rPr>
              <w:t>a</w:t>
            </w:r>
            <w:r w:rsidRPr="00251F96">
              <w:rPr>
                <w:rFonts w:cs="Arial"/>
                <w:sz w:val="18"/>
                <w:szCs w:val="18"/>
              </w:rPr>
              <w:t xml:space="preserve">rea 2, </w:t>
            </w:r>
          </w:p>
          <w:p w14:paraId="5F4DEF9A" w14:textId="7F98F367" w:rsidR="0087342B" w:rsidRDefault="0087342B" w:rsidP="00913FE5">
            <w:pPr>
              <w:spacing w:after="0"/>
              <w:rPr>
                <w:rFonts w:cs="Arial"/>
                <w:sz w:val="18"/>
                <w:szCs w:val="18"/>
              </w:rPr>
            </w:pPr>
            <w:r w:rsidRPr="00BA0B90">
              <w:rPr>
                <w:rFonts w:cs="Arial"/>
                <w:sz w:val="18"/>
                <w:szCs w:val="18"/>
              </w:rPr>
              <w:t>50 MHz less in major regional centres 1</w:t>
            </w:r>
            <w:r w:rsidR="00075A96">
              <w:rPr>
                <w:rFonts w:cs="Arial"/>
                <w:sz w:val="18"/>
                <w:szCs w:val="18"/>
              </w:rPr>
              <w:t>,</w:t>
            </w:r>
          </w:p>
          <w:p w14:paraId="002FF9FE" w14:textId="25645A04" w:rsidR="00372CC0" w:rsidRPr="00BA0B90" w:rsidRDefault="00E556B1" w:rsidP="00913FE5">
            <w:pPr>
              <w:spacing w:after="0"/>
              <w:rPr>
                <w:rFonts w:cs="Arial"/>
                <w:sz w:val="18"/>
                <w:szCs w:val="18"/>
              </w:rPr>
            </w:pPr>
            <w:r>
              <w:rPr>
                <w:rFonts w:cs="Arial"/>
                <w:sz w:val="18"/>
                <w:szCs w:val="18"/>
              </w:rPr>
              <w:t>17.5</w:t>
            </w:r>
            <w:r w:rsidR="0061043B">
              <w:rPr>
                <w:rFonts w:cs="Arial"/>
                <w:sz w:val="18"/>
                <w:szCs w:val="18"/>
              </w:rPr>
              <w:t xml:space="preserve"> MHz more in</w:t>
            </w:r>
            <w:r w:rsidR="005524CE">
              <w:rPr>
                <w:rFonts w:cs="Arial"/>
                <w:sz w:val="18"/>
                <w:szCs w:val="18"/>
              </w:rPr>
              <w:t xml:space="preserve"> regional WA central</w:t>
            </w:r>
            <w:r>
              <w:rPr>
                <w:rFonts w:cs="Arial"/>
                <w:sz w:val="18"/>
                <w:szCs w:val="18"/>
              </w:rPr>
              <w:t xml:space="preserve"> and</w:t>
            </w:r>
            <w:r w:rsidR="006C2F68">
              <w:rPr>
                <w:rFonts w:cs="Arial"/>
                <w:sz w:val="18"/>
                <w:szCs w:val="18"/>
              </w:rPr>
              <w:t xml:space="preserve"> regional area 1</w:t>
            </w:r>
            <w:r w:rsidR="0095236F">
              <w:rPr>
                <w:rFonts w:cs="Arial"/>
                <w:sz w:val="18"/>
                <w:szCs w:val="18"/>
              </w:rPr>
              <w:t xml:space="preserve"> </w:t>
            </w:r>
          </w:p>
        </w:tc>
        <w:tc>
          <w:tcPr>
            <w:tcW w:w="4111" w:type="dxa"/>
          </w:tcPr>
          <w:p w14:paraId="72A0377D" w14:textId="29BEADA1" w:rsidR="0087342B" w:rsidRDefault="0087342B" w:rsidP="0024515A">
            <w:pPr>
              <w:spacing w:after="0"/>
              <w:rPr>
                <w:rFonts w:cs="Arial"/>
                <w:sz w:val="18"/>
                <w:szCs w:val="18"/>
              </w:rPr>
            </w:pPr>
            <w:r w:rsidRPr="00350043">
              <w:rPr>
                <w:rFonts w:cs="Arial"/>
                <w:sz w:val="18"/>
                <w:szCs w:val="18"/>
              </w:rPr>
              <w:t>35 MHz more in regional area 2</w:t>
            </w:r>
            <w:r w:rsidR="00075A96">
              <w:rPr>
                <w:rFonts w:cs="Arial"/>
                <w:sz w:val="18"/>
                <w:szCs w:val="18"/>
              </w:rPr>
              <w:t>,</w:t>
            </w:r>
            <w:r w:rsidRPr="00350043">
              <w:rPr>
                <w:rFonts w:cs="Arial"/>
                <w:sz w:val="18"/>
                <w:szCs w:val="18"/>
              </w:rPr>
              <w:t xml:space="preserve"> </w:t>
            </w:r>
          </w:p>
          <w:p w14:paraId="74E70C4B" w14:textId="1317D308" w:rsidR="001D75CA" w:rsidRDefault="001D75CA" w:rsidP="0024515A">
            <w:pPr>
              <w:spacing w:after="0"/>
              <w:rPr>
                <w:rFonts w:cs="Arial"/>
                <w:sz w:val="18"/>
                <w:szCs w:val="18"/>
              </w:rPr>
            </w:pPr>
            <w:r>
              <w:rPr>
                <w:rFonts w:cs="Arial"/>
                <w:sz w:val="18"/>
                <w:szCs w:val="18"/>
              </w:rPr>
              <w:t>17.5 MHz more in regional area 1</w:t>
            </w:r>
            <w:r w:rsidR="00075A96">
              <w:rPr>
                <w:rFonts w:cs="Arial"/>
                <w:sz w:val="18"/>
                <w:szCs w:val="18"/>
              </w:rPr>
              <w:t>,</w:t>
            </w:r>
          </w:p>
          <w:p w14:paraId="4B963D8B" w14:textId="530EE1CD" w:rsidR="00AD7D59" w:rsidRPr="002D77B5" w:rsidRDefault="00EC47D5" w:rsidP="0024515A">
            <w:pPr>
              <w:spacing w:after="0"/>
              <w:rPr>
                <w:rFonts w:cs="Arial"/>
                <w:sz w:val="18"/>
                <w:szCs w:val="18"/>
              </w:rPr>
            </w:pPr>
            <w:r>
              <w:rPr>
                <w:rFonts w:cs="Arial"/>
                <w:sz w:val="18"/>
                <w:szCs w:val="18"/>
              </w:rPr>
              <w:t>6</w:t>
            </w:r>
            <w:r w:rsidR="00AD7D59">
              <w:rPr>
                <w:rFonts w:cs="Arial"/>
                <w:sz w:val="18"/>
                <w:szCs w:val="18"/>
              </w:rPr>
              <w:t xml:space="preserve">7.5 MHz more in regional WA central </w:t>
            </w:r>
          </w:p>
        </w:tc>
        <w:tc>
          <w:tcPr>
            <w:tcW w:w="3988" w:type="dxa"/>
          </w:tcPr>
          <w:p w14:paraId="579B3319" w14:textId="7E4A4270" w:rsidR="0018646A" w:rsidRPr="00251F96" w:rsidRDefault="0018646A" w:rsidP="0018646A">
            <w:pPr>
              <w:spacing w:after="0"/>
              <w:rPr>
                <w:rFonts w:cs="Arial"/>
                <w:sz w:val="18"/>
                <w:szCs w:val="18"/>
              </w:rPr>
            </w:pPr>
            <w:r>
              <w:rPr>
                <w:rFonts w:cs="Arial"/>
                <w:sz w:val="18"/>
                <w:szCs w:val="18"/>
              </w:rPr>
              <w:t>3</w:t>
            </w:r>
            <w:r w:rsidRPr="002D77B5">
              <w:rPr>
                <w:rFonts w:cs="Arial"/>
                <w:sz w:val="18"/>
                <w:szCs w:val="18"/>
              </w:rPr>
              <w:t xml:space="preserve">5 MHz </w:t>
            </w:r>
            <w:r w:rsidR="007526A5">
              <w:rPr>
                <w:rFonts w:cs="Arial"/>
                <w:sz w:val="18"/>
                <w:szCs w:val="18"/>
              </w:rPr>
              <w:t>more</w:t>
            </w:r>
            <w:r w:rsidRPr="002D77B5">
              <w:rPr>
                <w:rFonts w:cs="Arial"/>
                <w:sz w:val="18"/>
                <w:szCs w:val="18"/>
              </w:rPr>
              <w:t xml:space="preserve"> in </w:t>
            </w:r>
            <w:r>
              <w:rPr>
                <w:rFonts w:cs="Arial"/>
                <w:sz w:val="18"/>
                <w:szCs w:val="18"/>
              </w:rPr>
              <w:t>r</w:t>
            </w:r>
            <w:r w:rsidRPr="00251F96">
              <w:rPr>
                <w:rFonts w:cs="Arial"/>
                <w:sz w:val="18"/>
                <w:szCs w:val="18"/>
              </w:rPr>
              <w:t xml:space="preserve">egional </w:t>
            </w:r>
            <w:r>
              <w:rPr>
                <w:rFonts w:cs="Arial"/>
                <w:sz w:val="18"/>
                <w:szCs w:val="18"/>
              </w:rPr>
              <w:t>a</w:t>
            </w:r>
            <w:r w:rsidRPr="00251F96">
              <w:rPr>
                <w:rFonts w:cs="Arial"/>
                <w:sz w:val="18"/>
                <w:szCs w:val="18"/>
              </w:rPr>
              <w:t xml:space="preserve">rea 2, </w:t>
            </w:r>
          </w:p>
          <w:p w14:paraId="700DBDD1" w14:textId="4F959E65" w:rsidR="00804966" w:rsidRDefault="00804966" w:rsidP="0018646A">
            <w:pPr>
              <w:spacing w:after="0"/>
              <w:rPr>
                <w:rFonts w:cs="Arial"/>
                <w:sz w:val="18"/>
                <w:szCs w:val="18"/>
              </w:rPr>
            </w:pPr>
            <w:r>
              <w:rPr>
                <w:rFonts w:cs="Arial"/>
                <w:sz w:val="18"/>
                <w:szCs w:val="18"/>
              </w:rPr>
              <w:t>50 MHz more in major regional centres 2</w:t>
            </w:r>
            <w:r w:rsidR="00075A96">
              <w:rPr>
                <w:rFonts w:cs="Arial"/>
                <w:sz w:val="18"/>
                <w:szCs w:val="18"/>
              </w:rPr>
              <w:t>,</w:t>
            </w:r>
          </w:p>
          <w:p w14:paraId="5DC3E725" w14:textId="293D23B9" w:rsidR="0087342B" w:rsidRPr="002D77B5" w:rsidRDefault="00A10EDE" w:rsidP="0018646A">
            <w:pPr>
              <w:spacing w:after="0"/>
              <w:rPr>
                <w:rFonts w:cs="Arial"/>
                <w:sz w:val="18"/>
                <w:szCs w:val="18"/>
              </w:rPr>
            </w:pPr>
            <w:r>
              <w:rPr>
                <w:rFonts w:cs="Arial"/>
                <w:sz w:val="18"/>
                <w:szCs w:val="18"/>
              </w:rPr>
              <w:t>6</w:t>
            </w:r>
            <w:r w:rsidR="0018646A">
              <w:rPr>
                <w:rFonts w:cs="Arial"/>
                <w:sz w:val="18"/>
                <w:szCs w:val="18"/>
              </w:rPr>
              <w:t>7.5 MHz more in regional WA central and regional area 1</w:t>
            </w:r>
          </w:p>
        </w:tc>
      </w:tr>
      <w:tr w:rsidR="0087342B" w:rsidRPr="0051294D" w14:paraId="18F005E5" w14:textId="77777777" w:rsidTr="004B6863">
        <w:tc>
          <w:tcPr>
            <w:tcW w:w="3686" w:type="dxa"/>
            <w:shd w:val="clear" w:color="auto" w:fill="F2F2F2" w:themeFill="background1" w:themeFillShade="F2"/>
          </w:tcPr>
          <w:p w14:paraId="47EE4B7F" w14:textId="2D232431" w:rsidR="0087342B" w:rsidRPr="00251F96" w:rsidRDefault="0087342B" w:rsidP="00913FE5">
            <w:pPr>
              <w:spacing w:after="0"/>
              <w:rPr>
                <w:rFonts w:cs="Arial"/>
                <w:b/>
                <w:bCs/>
                <w:sz w:val="18"/>
                <w:szCs w:val="18"/>
              </w:rPr>
            </w:pPr>
            <w:r w:rsidRPr="00251F96">
              <w:rPr>
                <w:rFonts w:cs="Arial"/>
                <w:b/>
                <w:bCs/>
                <w:sz w:val="18"/>
                <w:szCs w:val="18"/>
              </w:rPr>
              <w:t xml:space="preserve">Change in total spectrum for AWL </w:t>
            </w:r>
            <w:r>
              <w:rPr>
                <w:rFonts w:cs="Arial"/>
                <w:b/>
                <w:bCs/>
                <w:sz w:val="18"/>
                <w:szCs w:val="18"/>
              </w:rPr>
              <w:t>3.4</w:t>
            </w:r>
            <w:r w:rsidR="00B441DC">
              <w:t>–</w:t>
            </w:r>
            <w:r>
              <w:rPr>
                <w:rFonts w:cs="Arial"/>
                <w:b/>
                <w:bCs/>
                <w:sz w:val="18"/>
                <w:szCs w:val="18"/>
              </w:rPr>
              <w:t>4 GHz</w:t>
            </w:r>
          </w:p>
          <w:p w14:paraId="1BD32613" w14:textId="383047D0" w:rsidR="0087342B" w:rsidRPr="00BA0B90" w:rsidRDefault="0087342B" w:rsidP="00913FE5">
            <w:pPr>
              <w:spacing w:after="0"/>
              <w:rPr>
                <w:rFonts w:cs="Arial"/>
                <w:b/>
                <w:bCs/>
                <w:sz w:val="18"/>
                <w:szCs w:val="18"/>
              </w:rPr>
            </w:pPr>
            <w:r w:rsidRPr="00BA0B90">
              <w:rPr>
                <w:rFonts w:cs="Arial"/>
                <w:b/>
                <w:bCs/>
                <w:sz w:val="18"/>
                <w:szCs w:val="18"/>
              </w:rPr>
              <w:t>(</w:t>
            </w:r>
            <w:r w:rsidR="00B441DC">
              <w:rPr>
                <w:rFonts w:cs="Arial"/>
                <w:b/>
                <w:bCs/>
                <w:sz w:val="18"/>
                <w:szCs w:val="18"/>
              </w:rPr>
              <w:t>c</w:t>
            </w:r>
            <w:r w:rsidRPr="00BA0B90">
              <w:rPr>
                <w:rFonts w:cs="Arial"/>
                <w:b/>
                <w:bCs/>
                <w:sz w:val="18"/>
                <w:szCs w:val="18"/>
              </w:rPr>
              <w:t>ompared to Option 1</w:t>
            </w:r>
            <w:r>
              <w:rPr>
                <w:rFonts w:cs="Arial"/>
                <w:b/>
                <w:bCs/>
                <w:sz w:val="18"/>
                <w:szCs w:val="18"/>
              </w:rPr>
              <w:t xml:space="preserve"> from the </w:t>
            </w:r>
            <w:r w:rsidR="00881A6D">
              <w:rPr>
                <w:rFonts w:cs="Arial"/>
                <w:b/>
                <w:bCs/>
                <w:sz w:val="18"/>
                <w:szCs w:val="18"/>
              </w:rPr>
              <w:t>re-allocation paper</w:t>
            </w:r>
            <w:r w:rsidRPr="00BA0B90">
              <w:rPr>
                <w:rFonts w:cs="Arial"/>
                <w:b/>
                <w:bCs/>
                <w:sz w:val="18"/>
                <w:szCs w:val="18"/>
              </w:rPr>
              <w:t>)</w:t>
            </w:r>
          </w:p>
        </w:tc>
        <w:tc>
          <w:tcPr>
            <w:tcW w:w="3544" w:type="dxa"/>
            <w:tcMar>
              <w:left w:w="57" w:type="dxa"/>
              <w:right w:w="57" w:type="dxa"/>
            </w:tcMar>
          </w:tcPr>
          <w:p w14:paraId="43D2DFC7" w14:textId="7A656E60" w:rsidR="00402D18" w:rsidRPr="00251F96" w:rsidRDefault="00402D18" w:rsidP="00402D18">
            <w:pPr>
              <w:spacing w:after="0"/>
              <w:rPr>
                <w:rFonts w:cs="Arial"/>
                <w:sz w:val="18"/>
                <w:szCs w:val="18"/>
              </w:rPr>
            </w:pPr>
            <w:r w:rsidRPr="002D77B5">
              <w:rPr>
                <w:rFonts w:cs="Arial"/>
                <w:sz w:val="18"/>
                <w:szCs w:val="18"/>
              </w:rPr>
              <w:t xml:space="preserve">15 MHz </w:t>
            </w:r>
            <w:r>
              <w:rPr>
                <w:rFonts w:cs="Arial"/>
                <w:sz w:val="18"/>
                <w:szCs w:val="18"/>
              </w:rPr>
              <w:t>more</w:t>
            </w:r>
            <w:r w:rsidRPr="002D77B5">
              <w:rPr>
                <w:rFonts w:cs="Arial"/>
                <w:sz w:val="18"/>
                <w:szCs w:val="18"/>
              </w:rPr>
              <w:t xml:space="preserve"> in </w:t>
            </w:r>
            <w:r>
              <w:rPr>
                <w:rFonts w:cs="Arial"/>
                <w:sz w:val="18"/>
                <w:szCs w:val="18"/>
              </w:rPr>
              <w:t>r</w:t>
            </w:r>
            <w:r w:rsidRPr="00251F96">
              <w:rPr>
                <w:rFonts w:cs="Arial"/>
                <w:sz w:val="18"/>
                <w:szCs w:val="18"/>
              </w:rPr>
              <w:t xml:space="preserve">egional </w:t>
            </w:r>
            <w:r>
              <w:rPr>
                <w:rFonts w:cs="Arial"/>
                <w:sz w:val="18"/>
                <w:szCs w:val="18"/>
              </w:rPr>
              <w:t>a</w:t>
            </w:r>
            <w:r w:rsidRPr="00251F96">
              <w:rPr>
                <w:rFonts w:cs="Arial"/>
                <w:sz w:val="18"/>
                <w:szCs w:val="18"/>
              </w:rPr>
              <w:t xml:space="preserve">rea 2, </w:t>
            </w:r>
          </w:p>
          <w:p w14:paraId="0BDFB2CF" w14:textId="14078FB5" w:rsidR="00402D18" w:rsidRDefault="00402D18" w:rsidP="00402D18">
            <w:pPr>
              <w:spacing w:after="0"/>
              <w:rPr>
                <w:rFonts w:cs="Arial"/>
                <w:sz w:val="18"/>
                <w:szCs w:val="18"/>
              </w:rPr>
            </w:pPr>
            <w:r w:rsidRPr="00BA0B90">
              <w:rPr>
                <w:rFonts w:cs="Arial"/>
                <w:sz w:val="18"/>
                <w:szCs w:val="18"/>
              </w:rPr>
              <w:t xml:space="preserve">50 MHz </w:t>
            </w:r>
            <w:r>
              <w:rPr>
                <w:rFonts w:cs="Arial"/>
                <w:sz w:val="18"/>
                <w:szCs w:val="18"/>
              </w:rPr>
              <w:t>more</w:t>
            </w:r>
            <w:r w:rsidRPr="00BA0B90">
              <w:rPr>
                <w:rFonts w:cs="Arial"/>
                <w:sz w:val="18"/>
                <w:szCs w:val="18"/>
              </w:rPr>
              <w:t xml:space="preserve"> in major regional centres 1</w:t>
            </w:r>
            <w:r w:rsidR="00075A96">
              <w:rPr>
                <w:rFonts w:cs="Arial"/>
                <w:sz w:val="18"/>
                <w:szCs w:val="18"/>
              </w:rPr>
              <w:t>,</w:t>
            </w:r>
          </w:p>
          <w:p w14:paraId="0E685FB4" w14:textId="38AB8C99" w:rsidR="0087342B" w:rsidRPr="002D77B5" w:rsidRDefault="00402D18" w:rsidP="00402D18">
            <w:pPr>
              <w:spacing w:after="0"/>
              <w:rPr>
                <w:rFonts w:cs="Arial"/>
                <w:sz w:val="18"/>
                <w:szCs w:val="18"/>
              </w:rPr>
            </w:pPr>
            <w:r>
              <w:rPr>
                <w:rFonts w:cs="Arial"/>
                <w:sz w:val="18"/>
                <w:szCs w:val="18"/>
              </w:rPr>
              <w:t>17.5 MHz less in regional WA central and regional area 1</w:t>
            </w:r>
          </w:p>
        </w:tc>
        <w:tc>
          <w:tcPr>
            <w:tcW w:w="4111" w:type="dxa"/>
          </w:tcPr>
          <w:p w14:paraId="7D7D4EE5" w14:textId="6E5FFDC2" w:rsidR="0039432A" w:rsidRDefault="0039432A" w:rsidP="0039432A">
            <w:pPr>
              <w:spacing w:after="0"/>
              <w:rPr>
                <w:rFonts w:cs="Arial"/>
                <w:sz w:val="18"/>
                <w:szCs w:val="18"/>
              </w:rPr>
            </w:pPr>
            <w:r w:rsidRPr="00350043">
              <w:rPr>
                <w:rFonts w:cs="Arial"/>
                <w:sz w:val="18"/>
                <w:szCs w:val="18"/>
              </w:rPr>
              <w:t xml:space="preserve">35 MHz </w:t>
            </w:r>
            <w:r>
              <w:rPr>
                <w:rFonts w:cs="Arial"/>
                <w:sz w:val="18"/>
                <w:szCs w:val="18"/>
              </w:rPr>
              <w:t>less</w:t>
            </w:r>
            <w:r w:rsidRPr="00350043">
              <w:rPr>
                <w:rFonts w:cs="Arial"/>
                <w:sz w:val="18"/>
                <w:szCs w:val="18"/>
              </w:rPr>
              <w:t xml:space="preserve"> in regional area 2</w:t>
            </w:r>
            <w:r w:rsidR="00075A96">
              <w:rPr>
                <w:rFonts w:cs="Arial"/>
                <w:sz w:val="18"/>
                <w:szCs w:val="18"/>
              </w:rPr>
              <w:t>,</w:t>
            </w:r>
            <w:r w:rsidRPr="00350043">
              <w:rPr>
                <w:rFonts w:cs="Arial"/>
                <w:sz w:val="18"/>
                <w:szCs w:val="18"/>
              </w:rPr>
              <w:t xml:space="preserve"> </w:t>
            </w:r>
          </w:p>
          <w:p w14:paraId="4B48A8E4" w14:textId="7396F5C2" w:rsidR="0039432A" w:rsidRDefault="0039432A" w:rsidP="0039432A">
            <w:pPr>
              <w:spacing w:after="0"/>
              <w:rPr>
                <w:rFonts w:cs="Arial"/>
                <w:sz w:val="18"/>
                <w:szCs w:val="18"/>
              </w:rPr>
            </w:pPr>
            <w:r>
              <w:rPr>
                <w:rFonts w:cs="Arial"/>
                <w:sz w:val="18"/>
                <w:szCs w:val="18"/>
              </w:rPr>
              <w:t>17.5 MHz less in regional area 1</w:t>
            </w:r>
            <w:r w:rsidR="00075A96">
              <w:rPr>
                <w:rFonts w:cs="Arial"/>
                <w:sz w:val="18"/>
                <w:szCs w:val="18"/>
              </w:rPr>
              <w:t>,</w:t>
            </w:r>
          </w:p>
          <w:p w14:paraId="552C23BA" w14:textId="7C457956" w:rsidR="00402D18" w:rsidRPr="002D77B5" w:rsidRDefault="0039432A" w:rsidP="0039432A">
            <w:pPr>
              <w:spacing w:after="0"/>
              <w:rPr>
                <w:rFonts w:cs="Arial"/>
                <w:sz w:val="18"/>
                <w:szCs w:val="18"/>
              </w:rPr>
            </w:pPr>
            <w:r>
              <w:rPr>
                <w:rFonts w:cs="Arial"/>
                <w:sz w:val="18"/>
                <w:szCs w:val="18"/>
              </w:rPr>
              <w:t>67.5 MHz less in regional WA central</w:t>
            </w:r>
          </w:p>
        </w:tc>
        <w:tc>
          <w:tcPr>
            <w:tcW w:w="3988" w:type="dxa"/>
          </w:tcPr>
          <w:p w14:paraId="61BD4748" w14:textId="336C34DA" w:rsidR="00F44CC6" w:rsidRPr="00251F96" w:rsidRDefault="00F44CC6" w:rsidP="00F44CC6">
            <w:pPr>
              <w:spacing w:after="0"/>
              <w:rPr>
                <w:rFonts w:cs="Arial"/>
                <w:sz w:val="18"/>
                <w:szCs w:val="18"/>
              </w:rPr>
            </w:pPr>
            <w:r>
              <w:rPr>
                <w:rFonts w:cs="Arial"/>
                <w:sz w:val="18"/>
                <w:szCs w:val="18"/>
              </w:rPr>
              <w:t>3</w:t>
            </w:r>
            <w:r w:rsidRPr="002D77B5">
              <w:rPr>
                <w:rFonts w:cs="Arial"/>
                <w:sz w:val="18"/>
                <w:szCs w:val="18"/>
              </w:rPr>
              <w:t xml:space="preserve">5 MHz </w:t>
            </w:r>
            <w:r>
              <w:rPr>
                <w:rFonts w:cs="Arial"/>
                <w:sz w:val="18"/>
                <w:szCs w:val="18"/>
              </w:rPr>
              <w:t>less</w:t>
            </w:r>
            <w:r w:rsidRPr="002D77B5">
              <w:rPr>
                <w:rFonts w:cs="Arial"/>
                <w:sz w:val="18"/>
                <w:szCs w:val="18"/>
              </w:rPr>
              <w:t xml:space="preserve"> in </w:t>
            </w:r>
            <w:r>
              <w:rPr>
                <w:rFonts w:cs="Arial"/>
                <w:sz w:val="18"/>
                <w:szCs w:val="18"/>
              </w:rPr>
              <w:t>r</w:t>
            </w:r>
            <w:r w:rsidRPr="00251F96">
              <w:rPr>
                <w:rFonts w:cs="Arial"/>
                <w:sz w:val="18"/>
                <w:szCs w:val="18"/>
              </w:rPr>
              <w:t xml:space="preserve">egional </w:t>
            </w:r>
            <w:r>
              <w:rPr>
                <w:rFonts w:cs="Arial"/>
                <w:sz w:val="18"/>
                <w:szCs w:val="18"/>
              </w:rPr>
              <w:t>a</w:t>
            </w:r>
            <w:r w:rsidRPr="00251F96">
              <w:rPr>
                <w:rFonts w:cs="Arial"/>
                <w:sz w:val="18"/>
                <w:szCs w:val="18"/>
              </w:rPr>
              <w:t xml:space="preserve">rea 2, </w:t>
            </w:r>
          </w:p>
          <w:p w14:paraId="35647F68" w14:textId="39EA58DE" w:rsidR="00F44CC6" w:rsidRDefault="00F44CC6" w:rsidP="00F44CC6">
            <w:pPr>
              <w:spacing w:after="0"/>
              <w:rPr>
                <w:rFonts w:cs="Arial"/>
                <w:sz w:val="18"/>
                <w:szCs w:val="18"/>
              </w:rPr>
            </w:pPr>
            <w:r>
              <w:rPr>
                <w:rFonts w:cs="Arial"/>
                <w:sz w:val="18"/>
                <w:szCs w:val="18"/>
              </w:rPr>
              <w:t>50 MHz less in major regional centres 2</w:t>
            </w:r>
            <w:r w:rsidR="00075A96">
              <w:rPr>
                <w:rFonts w:cs="Arial"/>
                <w:sz w:val="18"/>
                <w:szCs w:val="18"/>
              </w:rPr>
              <w:t>,</w:t>
            </w:r>
          </w:p>
          <w:p w14:paraId="19637E46" w14:textId="598DA28A" w:rsidR="0087342B" w:rsidRPr="002D77B5" w:rsidRDefault="00F44CC6" w:rsidP="00F44CC6">
            <w:pPr>
              <w:spacing w:after="0"/>
              <w:rPr>
                <w:rFonts w:cs="Arial"/>
                <w:sz w:val="18"/>
                <w:szCs w:val="18"/>
              </w:rPr>
            </w:pPr>
            <w:r>
              <w:rPr>
                <w:rFonts w:cs="Arial"/>
                <w:sz w:val="18"/>
                <w:szCs w:val="18"/>
              </w:rPr>
              <w:t>67.5 MHz less in regional WA central and regional area 1</w:t>
            </w:r>
          </w:p>
        </w:tc>
      </w:tr>
      <w:tr w:rsidR="0087342B" w:rsidRPr="0051294D" w14:paraId="0C8733C5" w14:textId="77777777" w:rsidTr="00701F3F">
        <w:tc>
          <w:tcPr>
            <w:tcW w:w="3686" w:type="dxa"/>
            <w:shd w:val="clear" w:color="auto" w:fill="F2F2F2" w:themeFill="background1" w:themeFillShade="F2"/>
          </w:tcPr>
          <w:p w14:paraId="4B1EDA16" w14:textId="77777777" w:rsidR="0087342B" w:rsidRPr="00251F96" w:rsidRDefault="0087342B" w:rsidP="00913FE5">
            <w:pPr>
              <w:spacing w:after="0"/>
              <w:rPr>
                <w:rFonts w:cs="Arial"/>
                <w:b/>
                <w:bCs/>
                <w:sz w:val="18"/>
                <w:szCs w:val="18"/>
              </w:rPr>
            </w:pPr>
            <w:r w:rsidRPr="00251F96">
              <w:rPr>
                <w:rFonts w:cs="Arial"/>
                <w:b/>
                <w:bCs/>
                <w:sz w:val="18"/>
                <w:szCs w:val="18"/>
              </w:rPr>
              <w:t>4G spectrum</w:t>
            </w:r>
            <w:r>
              <w:rPr>
                <w:rFonts w:cs="Arial"/>
                <w:b/>
                <w:bCs/>
                <w:sz w:val="18"/>
                <w:szCs w:val="18"/>
              </w:rPr>
              <w:t xml:space="preserve"> for LA WBB</w:t>
            </w:r>
          </w:p>
        </w:tc>
        <w:tc>
          <w:tcPr>
            <w:tcW w:w="3544" w:type="dxa"/>
            <w:tcMar>
              <w:left w:w="57" w:type="dxa"/>
              <w:right w:w="57" w:type="dxa"/>
            </w:tcMar>
          </w:tcPr>
          <w:p w14:paraId="79A16B29" w14:textId="015EFE1B" w:rsidR="0087342B" w:rsidRDefault="0087342B" w:rsidP="0024515A">
            <w:pPr>
              <w:spacing w:after="0"/>
              <w:rPr>
                <w:rFonts w:cs="Arial"/>
                <w:sz w:val="18"/>
                <w:szCs w:val="18"/>
              </w:rPr>
            </w:pPr>
            <w:r>
              <w:rPr>
                <w:rFonts w:cs="Arial"/>
                <w:sz w:val="18"/>
                <w:szCs w:val="18"/>
              </w:rPr>
              <w:t>75 MHz in urban excise</w:t>
            </w:r>
            <w:r w:rsidR="00075A96">
              <w:rPr>
                <w:rFonts w:cs="Arial"/>
                <w:sz w:val="18"/>
                <w:szCs w:val="18"/>
              </w:rPr>
              <w:t>,</w:t>
            </w:r>
          </w:p>
          <w:p w14:paraId="4098F6AF" w14:textId="77777777" w:rsidR="0087342B" w:rsidRDefault="0087342B" w:rsidP="0024515A">
            <w:pPr>
              <w:spacing w:after="0"/>
              <w:rPr>
                <w:rFonts w:cs="Arial"/>
                <w:sz w:val="18"/>
                <w:szCs w:val="18"/>
              </w:rPr>
            </w:pPr>
            <w:r w:rsidRPr="00BA0B90">
              <w:rPr>
                <w:rFonts w:cs="Arial"/>
                <w:sz w:val="18"/>
                <w:szCs w:val="18"/>
              </w:rPr>
              <w:t>50 MHz in all regional areas</w:t>
            </w:r>
          </w:p>
          <w:p w14:paraId="473C7BE7" w14:textId="77777777" w:rsidR="0087342B" w:rsidRPr="00251F96" w:rsidRDefault="0087342B" w:rsidP="00913FE5">
            <w:pPr>
              <w:spacing w:after="0"/>
              <w:rPr>
                <w:rFonts w:cs="Arial"/>
                <w:sz w:val="18"/>
                <w:szCs w:val="18"/>
              </w:rPr>
            </w:pPr>
          </w:p>
        </w:tc>
        <w:tc>
          <w:tcPr>
            <w:tcW w:w="4111" w:type="dxa"/>
          </w:tcPr>
          <w:p w14:paraId="766A2F12" w14:textId="3446F134" w:rsidR="0087342B" w:rsidRDefault="0087342B" w:rsidP="0024515A">
            <w:pPr>
              <w:spacing w:after="0"/>
              <w:rPr>
                <w:rFonts w:cs="Arial"/>
                <w:sz w:val="18"/>
                <w:szCs w:val="18"/>
              </w:rPr>
            </w:pPr>
            <w:r>
              <w:rPr>
                <w:rFonts w:cs="Arial"/>
                <w:sz w:val="18"/>
                <w:szCs w:val="18"/>
              </w:rPr>
              <w:t>75 MHz in urban excise</w:t>
            </w:r>
            <w:r w:rsidR="00075A96">
              <w:rPr>
                <w:rFonts w:cs="Arial"/>
                <w:sz w:val="18"/>
                <w:szCs w:val="18"/>
              </w:rPr>
              <w:t>,</w:t>
            </w:r>
            <w:r w:rsidRPr="00BA0B90">
              <w:rPr>
                <w:rFonts w:cs="Arial"/>
                <w:sz w:val="18"/>
                <w:szCs w:val="18"/>
              </w:rPr>
              <w:t xml:space="preserve"> </w:t>
            </w:r>
          </w:p>
          <w:p w14:paraId="629CC3CB" w14:textId="77777777" w:rsidR="0087342B" w:rsidRDefault="0087342B" w:rsidP="0024515A">
            <w:pPr>
              <w:spacing w:after="0"/>
              <w:rPr>
                <w:rFonts w:cs="Arial"/>
                <w:sz w:val="18"/>
                <w:szCs w:val="18"/>
              </w:rPr>
            </w:pPr>
            <w:r w:rsidRPr="00BA0B90">
              <w:rPr>
                <w:rFonts w:cs="Arial"/>
                <w:sz w:val="18"/>
                <w:szCs w:val="18"/>
              </w:rPr>
              <w:t>50 MHz in regional area 1 and major regional centres 2</w:t>
            </w:r>
            <w:r>
              <w:rPr>
                <w:rFonts w:cs="Arial"/>
                <w:sz w:val="18"/>
                <w:szCs w:val="18"/>
              </w:rPr>
              <w:t xml:space="preserve"> </w:t>
            </w:r>
          </w:p>
        </w:tc>
        <w:tc>
          <w:tcPr>
            <w:tcW w:w="3988" w:type="dxa"/>
          </w:tcPr>
          <w:p w14:paraId="33101F22" w14:textId="77777777" w:rsidR="0087342B" w:rsidRDefault="0087342B" w:rsidP="0024515A">
            <w:pPr>
              <w:spacing w:after="0"/>
              <w:rPr>
                <w:rFonts w:cs="Arial"/>
                <w:sz w:val="18"/>
                <w:szCs w:val="18"/>
              </w:rPr>
            </w:pPr>
            <w:r>
              <w:rPr>
                <w:rFonts w:cs="Arial"/>
                <w:sz w:val="18"/>
                <w:szCs w:val="18"/>
              </w:rPr>
              <w:t>75 MHz in urban excise</w:t>
            </w:r>
          </w:p>
        </w:tc>
      </w:tr>
      <w:tr w:rsidR="0087342B" w:rsidRPr="0051294D" w14:paraId="3082A57B" w14:textId="77777777" w:rsidTr="00701F3F">
        <w:tc>
          <w:tcPr>
            <w:tcW w:w="3686" w:type="dxa"/>
            <w:shd w:val="clear" w:color="auto" w:fill="F2F2F2" w:themeFill="background1" w:themeFillShade="F2"/>
          </w:tcPr>
          <w:p w14:paraId="39D9CCEE" w14:textId="77777777" w:rsidR="0087342B" w:rsidRPr="00BA0B90" w:rsidRDefault="0087342B" w:rsidP="00913FE5">
            <w:pPr>
              <w:spacing w:after="0"/>
              <w:rPr>
                <w:rFonts w:cs="Arial"/>
                <w:b/>
                <w:bCs/>
                <w:sz w:val="18"/>
                <w:szCs w:val="18"/>
              </w:rPr>
            </w:pPr>
            <w:r w:rsidRPr="00251F96">
              <w:rPr>
                <w:rFonts w:cs="Arial"/>
                <w:b/>
                <w:bCs/>
                <w:sz w:val="18"/>
                <w:szCs w:val="18"/>
              </w:rPr>
              <w:t>AWL-SL geographical boundaries between regional and metro areas</w:t>
            </w:r>
          </w:p>
        </w:tc>
        <w:tc>
          <w:tcPr>
            <w:tcW w:w="3544" w:type="dxa"/>
            <w:tcMar>
              <w:left w:w="57" w:type="dxa"/>
              <w:right w:w="57" w:type="dxa"/>
            </w:tcMar>
          </w:tcPr>
          <w:p w14:paraId="19CD76C5" w14:textId="3E7B4D78" w:rsidR="0087342B" w:rsidRPr="00BA0B90" w:rsidRDefault="0087342B">
            <w:pPr>
              <w:spacing w:after="0"/>
              <w:rPr>
                <w:rFonts w:cs="Arial"/>
                <w:sz w:val="18"/>
                <w:szCs w:val="18"/>
              </w:rPr>
            </w:pPr>
            <w:r>
              <w:rPr>
                <w:rFonts w:cs="Arial"/>
                <w:sz w:val="18"/>
                <w:szCs w:val="18"/>
              </w:rPr>
              <w:t>AWL-SL boundary at edge of metro areas in</w:t>
            </w:r>
            <w:r w:rsidRPr="00BA0B90">
              <w:rPr>
                <w:rFonts w:cs="Arial"/>
                <w:sz w:val="18"/>
                <w:szCs w:val="18"/>
              </w:rPr>
              <w:t xml:space="preserve"> 3750</w:t>
            </w:r>
            <w:r w:rsidR="00B441DC">
              <w:t>–</w:t>
            </w:r>
            <w:r w:rsidRPr="00BA0B90">
              <w:rPr>
                <w:rFonts w:cs="Arial"/>
                <w:sz w:val="18"/>
                <w:szCs w:val="18"/>
              </w:rPr>
              <w:t>3800 MHz</w:t>
            </w:r>
            <w:r w:rsidR="00117B86">
              <w:rPr>
                <w:rFonts w:cs="Arial"/>
                <w:sz w:val="18"/>
                <w:szCs w:val="18"/>
              </w:rPr>
              <w:t xml:space="preserve">. </w:t>
            </w:r>
            <w:r w:rsidRPr="00BA0B90">
              <w:rPr>
                <w:rFonts w:cs="Arial"/>
                <w:sz w:val="18"/>
                <w:szCs w:val="18"/>
              </w:rPr>
              <w:t>Dead zone impact at metro area boundary</w:t>
            </w:r>
            <w:r>
              <w:rPr>
                <w:rFonts w:cs="Arial"/>
                <w:sz w:val="18"/>
                <w:szCs w:val="18"/>
              </w:rPr>
              <w:t xml:space="preserve"> for both AWLs and SLs</w:t>
            </w:r>
          </w:p>
        </w:tc>
        <w:tc>
          <w:tcPr>
            <w:tcW w:w="4111" w:type="dxa"/>
          </w:tcPr>
          <w:p w14:paraId="7D142429" w14:textId="127A8B4B" w:rsidR="0087342B" w:rsidRDefault="0087342B">
            <w:pPr>
              <w:spacing w:after="0"/>
              <w:rPr>
                <w:rFonts w:cs="Arial"/>
                <w:sz w:val="18"/>
                <w:szCs w:val="18"/>
              </w:rPr>
            </w:pPr>
            <w:r>
              <w:rPr>
                <w:rFonts w:cs="Arial"/>
                <w:sz w:val="18"/>
                <w:szCs w:val="18"/>
              </w:rPr>
              <w:t>AWL-SL boundary at edge of regional area 2 in</w:t>
            </w:r>
            <w:r w:rsidRPr="00350043">
              <w:rPr>
                <w:rFonts w:cs="Arial"/>
                <w:sz w:val="18"/>
                <w:szCs w:val="18"/>
              </w:rPr>
              <w:t xml:space="preserve"> 3750</w:t>
            </w:r>
            <w:r w:rsidR="00B441DC">
              <w:t>–</w:t>
            </w:r>
            <w:r w:rsidRPr="00350043">
              <w:rPr>
                <w:rFonts w:cs="Arial"/>
                <w:sz w:val="18"/>
                <w:szCs w:val="18"/>
              </w:rPr>
              <w:t>3800 MHz</w:t>
            </w:r>
            <w:r w:rsidR="00367EBF">
              <w:rPr>
                <w:rFonts w:cs="Arial"/>
                <w:sz w:val="18"/>
                <w:szCs w:val="18"/>
              </w:rPr>
              <w:t xml:space="preserve">. </w:t>
            </w:r>
            <w:r w:rsidR="00D16959" w:rsidRPr="00BA0B90">
              <w:rPr>
                <w:rFonts w:cs="Arial"/>
                <w:sz w:val="18"/>
                <w:szCs w:val="18"/>
              </w:rPr>
              <w:t xml:space="preserve">Dead zone impact at </w:t>
            </w:r>
            <w:r w:rsidR="000B0DA7">
              <w:rPr>
                <w:rFonts w:cs="Arial"/>
                <w:sz w:val="18"/>
                <w:szCs w:val="18"/>
              </w:rPr>
              <w:t>regional area 2</w:t>
            </w:r>
            <w:r w:rsidR="00D16959" w:rsidRPr="00BA0B90">
              <w:rPr>
                <w:rFonts w:cs="Arial"/>
                <w:sz w:val="18"/>
                <w:szCs w:val="18"/>
              </w:rPr>
              <w:t xml:space="preserve"> boundary</w:t>
            </w:r>
            <w:r w:rsidR="00D16959">
              <w:rPr>
                <w:rFonts w:cs="Arial"/>
                <w:sz w:val="18"/>
                <w:szCs w:val="18"/>
              </w:rPr>
              <w:t xml:space="preserve"> for both AWLs and SLs. </w:t>
            </w:r>
            <w:r w:rsidR="00C9579C">
              <w:rPr>
                <w:rFonts w:cs="Arial"/>
                <w:sz w:val="18"/>
                <w:szCs w:val="18"/>
              </w:rPr>
              <w:t xml:space="preserve">The impact of dead zones between </w:t>
            </w:r>
            <w:r w:rsidR="00A30706">
              <w:rPr>
                <w:rFonts w:cs="Arial"/>
                <w:sz w:val="18"/>
                <w:szCs w:val="18"/>
              </w:rPr>
              <w:t>SLs</w:t>
            </w:r>
            <w:r w:rsidR="00C9579C">
              <w:rPr>
                <w:rFonts w:cs="Arial"/>
                <w:sz w:val="18"/>
                <w:szCs w:val="18"/>
              </w:rPr>
              <w:t xml:space="preserve"> could be minimised if a single licensee obtains licences on the same frequency in adjacent areas</w:t>
            </w:r>
          </w:p>
        </w:tc>
        <w:tc>
          <w:tcPr>
            <w:tcW w:w="3988" w:type="dxa"/>
          </w:tcPr>
          <w:p w14:paraId="0944D3EB" w14:textId="722A16A1" w:rsidR="0087342B" w:rsidRDefault="0087342B">
            <w:pPr>
              <w:spacing w:after="0"/>
              <w:rPr>
                <w:rFonts w:cs="Arial"/>
                <w:sz w:val="18"/>
                <w:szCs w:val="18"/>
              </w:rPr>
            </w:pPr>
            <w:r>
              <w:rPr>
                <w:rFonts w:cs="Arial"/>
                <w:sz w:val="18"/>
                <w:szCs w:val="18"/>
              </w:rPr>
              <w:t>No AWL-SL boundaries in regional and metro areas</w:t>
            </w:r>
            <w:r w:rsidR="00117B86">
              <w:rPr>
                <w:rFonts w:cs="Arial"/>
                <w:sz w:val="18"/>
                <w:szCs w:val="18"/>
              </w:rPr>
              <w:t xml:space="preserve">. </w:t>
            </w:r>
            <w:r>
              <w:rPr>
                <w:rFonts w:cs="Arial"/>
                <w:sz w:val="18"/>
                <w:szCs w:val="18"/>
              </w:rPr>
              <w:t xml:space="preserve">The impact of dead zones </w:t>
            </w:r>
            <w:r w:rsidR="00044906">
              <w:rPr>
                <w:rFonts w:cs="Arial"/>
                <w:sz w:val="18"/>
                <w:szCs w:val="18"/>
              </w:rPr>
              <w:t xml:space="preserve">between </w:t>
            </w:r>
            <w:r w:rsidR="00A30706">
              <w:rPr>
                <w:rFonts w:cs="Arial"/>
                <w:sz w:val="18"/>
                <w:szCs w:val="18"/>
              </w:rPr>
              <w:t>SLs</w:t>
            </w:r>
            <w:r w:rsidR="0096411D">
              <w:rPr>
                <w:rFonts w:cs="Arial"/>
                <w:sz w:val="18"/>
                <w:szCs w:val="18"/>
              </w:rPr>
              <w:t xml:space="preserve"> </w:t>
            </w:r>
            <w:r>
              <w:rPr>
                <w:rFonts w:cs="Arial"/>
                <w:sz w:val="18"/>
                <w:szCs w:val="18"/>
              </w:rPr>
              <w:t>could be minimised if a single licensee obtains licences on the same frequency in adjacent areas</w:t>
            </w:r>
          </w:p>
        </w:tc>
      </w:tr>
      <w:tr w:rsidR="0087342B" w:rsidRPr="0051294D" w14:paraId="7C7ED062" w14:textId="77777777" w:rsidTr="00701F3F">
        <w:tc>
          <w:tcPr>
            <w:tcW w:w="3686" w:type="dxa"/>
            <w:shd w:val="clear" w:color="auto" w:fill="F2F2F2" w:themeFill="background1" w:themeFillShade="F2"/>
          </w:tcPr>
          <w:p w14:paraId="1F13219F" w14:textId="30ACD9BE" w:rsidR="0087342B" w:rsidRPr="00251F96" w:rsidRDefault="0087342B" w:rsidP="00913FE5">
            <w:pPr>
              <w:spacing w:after="0"/>
              <w:rPr>
                <w:rFonts w:cs="Arial"/>
                <w:b/>
                <w:bCs/>
                <w:sz w:val="18"/>
                <w:szCs w:val="18"/>
              </w:rPr>
            </w:pPr>
            <w:r>
              <w:rPr>
                <w:rFonts w:cs="Arial"/>
                <w:b/>
                <w:bCs/>
                <w:sz w:val="18"/>
                <w:szCs w:val="18"/>
              </w:rPr>
              <w:t>Affected p</w:t>
            </w:r>
            <w:r w:rsidRPr="00251F96">
              <w:rPr>
                <w:rFonts w:cs="Arial"/>
                <w:b/>
                <w:bCs/>
                <w:sz w:val="18"/>
                <w:szCs w:val="18"/>
              </w:rPr>
              <w:t>oint-to-point licences in 3750</w:t>
            </w:r>
            <w:r w:rsidR="00B441DC">
              <w:t>–</w:t>
            </w:r>
            <w:r w:rsidRPr="00251F96">
              <w:rPr>
                <w:rFonts w:cs="Arial"/>
                <w:b/>
                <w:bCs/>
                <w:sz w:val="18"/>
                <w:szCs w:val="18"/>
              </w:rPr>
              <w:t>3800 MH</w:t>
            </w:r>
            <w:r>
              <w:rPr>
                <w:rFonts w:cs="Arial"/>
                <w:b/>
                <w:bCs/>
                <w:sz w:val="18"/>
                <w:szCs w:val="18"/>
              </w:rPr>
              <w:t>z</w:t>
            </w:r>
          </w:p>
        </w:tc>
        <w:tc>
          <w:tcPr>
            <w:tcW w:w="3544" w:type="dxa"/>
            <w:tcMar>
              <w:left w:w="57" w:type="dxa"/>
              <w:right w:w="57" w:type="dxa"/>
            </w:tcMar>
          </w:tcPr>
          <w:p w14:paraId="3BFDA49B" w14:textId="77777777" w:rsidR="0087342B" w:rsidRPr="00BA0B90" w:rsidRDefault="0087342B" w:rsidP="00913FE5">
            <w:pPr>
              <w:spacing w:after="0"/>
              <w:rPr>
                <w:rFonts w:cs="Arial"/>
                <w:sz w:val="18"/>
                <w:szCs w:val="18"/>
              </w:rPr>
            </w:pPr>
            <w:r w:rsidRPr="00BA0B90">
              <w:rPr>
                <w:rFonts w:cs="Arial"/>
                <w:sz w:val="18"/>
                <w:szCs w:val="18"/>
              </w:rPr>
              <w:t>11 licences</w:t>
            </w:r>
          </w:p>
        </w:tc>
        <w:tc>
          <w:tcPr>
            <w:tcW w:w="4111" w:type="dxa"/>
          </w:tcPr>
          <w:p w14:paraId="0CA0B1F7" w14:textId="77777777" w:rsidR="0087342B" w:rsidRPr="002D77B5" w:rsidRDefault="0087342B" w:rsidP="0024515A">
            <w:pPr>
              <w:spacing w:after="0"/>
              <w:rPr>
                <w:rFonts w:cs="Arial"/>
                <w:sz w:val="18"/>
                <w:szCs w:val="18"/>
              </w:rPr>
            </w:pPr>
            <w:r w:rsidRPr="00350043">
              <w:rPr>
                <w:rFonts w:cs="Arial"/>
                <w:sz w:val="18"/>
                <w:szCs w:val="18"/>
              </w:rPr>
              <w:t>14 licences</w:t>
            </w:r>
          </w:p>
        </w:tc>
        <w:tc>
          <w:tcPr>
            <w:tcW w:w="3988" w:type="dxa"/>
          </w:tcPr>
          <w:p w14:paraId="0BD81A8A" w14:textId="77777777" w:rsidR="0087342B" w:rsidRPr="002D77B5" w:rsidRDefault="0087342B" w:rsidP="0024515A">
            <w:pPr>
              <w:spacing w:after="0"/>
              <w:rPr>
                <w:rFonts w:cs="Arial"/>
                <w:sz w:val="18"/>
                <w:szCs w:val="18"/>
              </w:rPr>
            </w:pPr>
            <w:r w:rsidRPr="00350043">
              <w:rPr>
                <w:rFonts w:cs="Arial"/>
                <w:sz w:val="18"/>
                <w:szCs w:val="18"/>
              </w:rPr>
              <w:t>43 licences</w:t>
            </w:r>
          </w:p>
        </w:tc>
      </w:tr>
      <w:tr w:rsidR="0087342B" w:rsidRPr="0051294D" w14:paraId="0C537FA8" w14:textId="77777777" w:rsidTr="00701F3F">
        <w:tc>
          <w:tcPr>
            <w:tcW w:w="3686" w:type="dxa"/>
            <w:shd w:val="clear" w:color="auto" w:fill="F2F2F2" w:themeFill="background1" w:themeFillShade="F2"/>
          </w:tcPr>
          <w:p w14:paraId="280D3EE8" w14:textId="53B30FB4" w:rsidR="0087342B" w:rsidRPr="00251F96" w:rsidRDefault="0087342B" w:rsidP="00913FE5">
            <w:pPr>
              <w:spacing w:after="0"/>
              <w:rPr>
                <w:rFonts w:cs="Arial"/>
                <w:b/>
                <w:bCs/>
                <w:sz w:val="18"/>
                <w:szCs w:val="18"/>
              </w:rPr>
            </w:pPr>
            <w:r>
              <w:rPr>
                <w:rFonts w:cs="Arial"/>
                <w:b/>
                <w:bCs/>
                <w:sz w:val="18"/>
                <w:szCs w:val="18"/>
              </w:rPr>
              <w:t xml:space="preserve">Affected </w:t>
            </w:r>
            <w:r w:rsidRPr="00251F96">
              <w:rPr>
                <w:rFonts w:cs="Arial"/>
                <w:b/>
                <w:bCs/>
                <w:sz w:val="18"/>
                <w:szCs w:val="18"/>
              </w:rPr>
              <w:t>FSS earth receive licences in 3750</w:t>
            </w:r>
            <w:r w:rsidR="00B441DC">
              <w:t>–</w:t>
            </w:r>
            <w:r w:rsidRPr="00251F96">
              <w:rPr>
                <w:rFonts w:cs="Arial"/>
                <w:b/>
                <w:bCs/>
                <w:sz w:val="18"/>
                <w:szCs w:val="18"/>
              </w:rPr>
              <w:t>3800 MHz</w:t>
            </w:r>
          </w:p>
        </w:tc>
        <w:tc>
          <w:tcPr>
            <w:tcW w:w="3544" w:type="dxa"/>
            <w:tcMar>
              <w:left w:w="57" w:type="dxa"/>
              <w:right w:w="57" w:type="dxa"/>
            </w:tcMar>
          </w:tcPr>
          <w:p w14:paraId="1F331523" w14:textId="77777777" w:rsidR="0087342B" w:rsidRPr="00BA0B90" w:rsidRDefault="0087342B" w:rsidP="00913FE5">
            <w:pPr>
              <w:spacing w:after="0"/>
              <w:rPr>
                <w:rFonts w:cs="Arial"/>
                <w:sz w:val="18"/>
                <w:szCs w:val="18"/>
              </w:rPr>
            </w:pPr>
            <w:r w:rsidRPr="00BA0B90">
              <w:rPr>
                <w:rFonts w:cs="Arial"/>
                <w:sz w:val="18"/>
                <w:szCs w:val="18"/>
              </w:rPr>
              <w:t>20 licences</w:t>
            </w:r>
          </w:p>
        </w:tc>
        <w:tc>
          <w:tcPr>
            <w:tcW w:w="4111" w:type="dxa"/>
          </w:tcPr>
          <w:p w14:paraId="05BEA4CD" w14:textId="77777777" w:rsidR="0087342B" w:rsidRPr="002D77B5" w:rsidRDefault="0087342B" w:rsidP="0024515A">
            <w:pPr>
              <w:spacing w:after="0"/>
              <w:rPr>
                <w:rFonts w:cs="Arial"/>
                <w:sz w:val="18"/>
                <w:szCs w:val="18"/>
              </w:rPr>
            </w:pPr>
            <w:r w:rsidRPr="00350043">
              <w:rPr>
                <w:rFonts w:cs="Arial"/>
                <w:sz w:val="18"/>
                <w:szCs w:val="18"/>
              </w:rPr>
              <w:t>20 licences</w:t>
            </w:r>
          </w:p>
        </w:tc>
        <w:tc>
          <w:tcPr>
            <w:tcW w:w="3988" w:type="dxa"/>
          </w:tcPr>
          <w:p w14:paraId="7DC51214" w14:textId="77777777" w:rsidR="0087342B" w:rsidRPr="002D77B5" w:rsidRDefault="0087342B" w:rsidP="0024515A">
            <w:pPr>
              <w:spacing w:after="0"/>
              <w:rPr>
                <w:rFonts w:cs="Arial"/>
                <w:sz w:val="18"/>
                <w:szCs w:val="18"/>
              </w:rPr>
            </w:pPr>
            <w:r w:rsidRPr="00350043">
              <w:rPr>
                <w:rFonts w:cs="Arial"/>
                <w:sz w:val="18"/>
                <w:szCs w:val="18"/>
              </w:rPr>
              <w:t>20 licences</w:t>
            </w:r>
          </w:p>
        </w:tc>
      </w:tr>
      <w:tr w:rsidR="0087342B" w:rsidRPr="0051294D" w14:paraId="2D3513AB" w14:textId="77777777" w:rsidTr="004B6863">
        <w:tc>
          <w:tcPr>
            <w:tcW w:w="3686" w:type="dxa"/>
            <w:shd w:val="clear" w:color="auto" w:fill="F2F2F2" w:themeFill="background1" w:themeFillShade="F2"/>
          </w:tcPr>
          <w:p w14:paraId="55FF4123" w14:textId="0492EC5F" w:rsidR="0087342B" w:rsidRPr="00251F96" w:rsidRDefault="000E6D00" w:rsidP="00913FE5">
            <w:pPr>
              <w:spacing w:after="0"/>
              <w:rPr>
                <w:rFonts w:cs="Arial"/>
                <w:b/>
                <w:bCs/>
                <w:sz w:val="18"/>
                <w:szCs w:val="18"/>
              </w:rPr>
            </w:pPr>
            <w:r>
              <w:rPr>
                <w:rFonts w:cs="Arial"/>
                <w:b/>
                <w:bCs/>
                <w:sz w:val="18"/>
                <w:szCs w:val="18"/>
              </w:rPr>
              <w:t>Affect</w:t>
            </w:r>
            <w:r w:rsidR="00B701E6">
              <w:rPr>
                <w:rFonts w:cs="Arial"/>
                <w:b/>
                <w:bCs/>
                <w:sz w:val="18"/>
                <w:szCs w:val="18"/>
              </w:rPr>
              <w:t>ed</w:t>
            </w:r>
            <w:r w:rsidR="0087342B" w:rsidRPr="00251F96">
              <w:rPr>
                <w:rFonts w:cs="Arial"/>
                <w:b/>
                <w:bCs/>
                <w:sz w:val="18"/>
                <w:szCs w:val="18"/>
              </w:rPr>
              <w:t xml:space="preserve"> PMP licences in 3475</w:t>
            </w:r>
            <w:r w:rsidR="00B441DC">
              <w:t>–</w:t>
            </w:r>
            <w:r w:rsidR="0087342B" w:rsidRPr="00251F96">
              <w:rPr>
                <w:rFonts w:cs="Arial"/>
                <w:b/>
                <w:bCs/>
                <w:sz w:val="18"/>
                <w:szCs w:val="18"/>
              </w:rPr>
              <w:t>3542.5 MHz</w:t>
            </w:r>
            <w:r w:rsidR="000F7346">
              <w:rPr>
                <w:rFonts w:cs="Arial"/>
                <w:b/>
                <w:bCs/>
                <w:sz w:val="18"/>
                <w:szCs w:val="18"/>
              </w:rPr>
              <w:t>*</w:t>
            </w:r>
          </w:p>
        </w:tc>
        <w:tc>
          <w:tcPr>
            <w:tcW w:w="3544" w:type="dxa"/>
            <w:tcMar>
              <w:left w:w="57" w:type="dxa"/>
              <w:right w:w="57" w:type="dxa"/>
            </w:tcMar>
          </w:tcPr>
          <w:p w14:paraId="3C72AE10" w14:textId="77777777" w:rsidR="0087342B" w:rsidRPr="00BA0B90" w:rsidRDefault="0087342B" w:rsidP="00913FE5">
            <w:pPr>
              <w:spacing w:after="0"/>
              <w:rPr>
                <w:rFonts w:cs="Arial"/>
                <w:sz w:val="18"/>
                <w:szCs w:val="18"/>
              </w:rPr>
            </w:pPr>
            <w:r w:rsidRPr="00BA0B90">
              <w:rPr>
                <w:rFonts w:cs="Arial"/>
                <w:sz w:val="18"/>
                <w:szCs w:val="18"/>
              </w:rPr>
              <w:t>31 licences</w:t>
            </w:r>
          </w:p>
          <w:p w14:paraId="168C6731" w14:textId="1802A376" w:rsidR="0087342B" w:rsidRPr="002D77B5" w:rsidRDefault="0087342B" w:rsidP="00913FE5">
            <w:pPr>
              <w:spacing w:after="0"/>
              <w:rPr>
                <w:rFonts w:cs="Arial"/>
                <w:sz w:val="18"/>
                <w:szCs w:val="18"/>
              </w:rPr>
            </w:pPr>
            <w:r w:rsidRPr="002D77B5">
              <w:rPr>
                <w:rFonts w:cs="Arial"/>
                <w:sz w:val="18"/>
                <w:szCs w:val="18"/>
              </w:rPr>
              <w:t>(</w:t>
            </w:r>
            <w:r w:rsidR="00810AB1">
              <w:rPr>
                <w:rFonts w:cs="Arial"/>
                <w:sz w:val="18"/>
                <w:szCs w:val="18"/>
              </w:rPr>
              <w:t xml:space="preserve">all </w:t>
            </w:r>
            <w:r w:rsidRPr="002D77B5">
              <w:rPr>
                <w:rFonts w:cs="Arial"/>
                <w:sz w:val="18"/>
                <w:szCs w:val="18"/>
              </w:rPr>
              <w:t>retune above 3750 MHz)</w:t>
            </w:r>
          </w:p>
        </w:tc>
        <w:tc>
          <w:tcPr>
            <w:tcW w:w="4111" w:type="dxa"/>
          </w:tcPr>
          <w:p w14:paraId="247C6319" w14:textId="583356B7" w:rsidR="0087342B" w:rsidRPr="002D77B5" w:rsidRDefault="0087342B">
            <w:pPr>
              <w:spacing w:after="0"/>
              <w:rPr>
                <w:rFonts w:cs="Arial"/>
                <w:sz w:val="18"/>
                <w:szCs w:val="18"/>
              </w:rPr>
            </w:pPr>
            <w:r w:rsidRPr="00350043">
              <w:rPr>
                <w:rFonts w:cs="Arial"/>
                <w:sz w:val="18"/>
                <w:szCs w:val="18"/>
              </w:rPr>
              <w:t>31 licences</w:t>
            </w:r>
            <w:r w:rsidR="00810AB1">
              <w:rPr>
                <w:rFonts w:cs="Arial"/>
                <w:sz w:val="18"/>
                <w:szCs w:val="18"/>
              </w:rPr>
              <w:t xml:space="preserve"> </w:t>
            </w:r>
            <w:r w:rsidRPr="00350043">
              <w:rPr>
                <w:rFonts w:cs="Arial"/>
                <w:sz w:val="18"/>
                <w:szCs w:val="18"/>
              </w:rPr>
              <w:t xml:space="preserve">(4 </w:t>
            </w:r>
            <w:r w:rsidR="00151A8C">
              <w:rPr>
                <w:rFonts w:cs="Arial"/>
                <w:sz w:val="18"/>
                <w:szCs w:val="18"/>
              </w:rPr>
              <w:t>licence</w:t>
            </w:r>
            <w:r w:rsidR="000A2186">
              <w:rPr>
                <w:rFonts w:cs="Arial"/>
                <w:sz w:val="18"/>
                <w:szCs w:val="18"/>
              </w:rPr>
              <w:t>s</w:t>
            </w:r>
            <w:r w:rsidR="00151A8C">
              <w:rPr>
                <w:rFonts w:cs="Arial"/>
                <w:sz w:val="18"/>
                <w:szCs w:val="18"/>
              </w:rPr>
              <w:t xml:space="preserve"> </w:t>
            </w:r>
            <w:r>
              <w:rPr>
                <w:rFonts w:cs="Arial"/>
                <w:sz w:val="18"/>
                <w:szCs w:val="18"/>
              </w:rPr>
              <w:t>must</w:t>
            </w:r>
            <w:r w:rsidRPr="00251F96">
              <w:rPr>
                <w:rFonts w:cs="Arial"/>
                <w:sz w:val="18"/>
                <w:szCs w:val="18"/>
              </w:rPr>
              <w:t xml:space="preserve"> retune above</w:t>
            </w:r>
            <w:r w:rsidR="005B28AE">
              <w:rPr>
                <w:rFonts w:cs="Arial"/>
                <w:sz w:val="18"/>
                <w:szCs w:val="18"/>
              </w:rPr>
              <w:t xml:space="preserve"> </w:t>
            </w:r>
            <w:r w:rsidRPr="00251F96">
              <w:rPr>
                <w:rFonts w:cs="Arial"/>
                <w:sz w:val="18"/>
                <w:szCs w:val="18"/>
              </w:rPr>
              <w:t>3800 MHz</w:t>
            </w:r>
            <w:r w:rsidR="00810AB1">
              <w:rPr>
                <w:rFonts w:cs="Arial"/>
                <w:sz w:val="18"/>
                <w:szCs w:val="18"/>
              </w:rPr>
              <w:t>, other</w:t>
            </w:r>
            <w:r w:rsidR="00F15587">
              <w:rPr>
                <w:rFonts w:cs="Arial"/>
                <w:sz w:val="18"/>
                <w:szCs w:val="18"/>
              </w:rPr>
              <w:t xml:space="preserve"> licences</w:t>
            </w:r>
            <w:r w:rsidR="00810AB1">
              <w:rPr>
                <w:rFonts w:cs="Arial"/>
                <w:sz w:val="18"/>
                <w:szCs w:val="18"/>
              </w:rPr>
              <w:t xml:space="preserve"> retune above 3750</w:t>
            </w:r>
            <w:r w:rsidR="00117B86">
              <w:rPr>
                <w:rFonts w:cs="Arial"/>
                <w:sz w:val="18"/>
                <w:szCs w:val="18"/>
              </w:rPr>
              <w:t> </w:t>
            </w:r>
            <w:r w:rsidR="00810AB1">
              <w:rPr>
                <w:rFonts w:cs="Arial"/>
                <w:sz w:val="18"/>
                <w:szCs w:val="18"/>
              </w:rPr>
              <w:t>MHz</w:t>
            </w:r>
            <w:r w:rsidRPr="00251F96">
              <w:rPr>
                <w:rFonts w:cs="Arial"/>
                <w:sz w:val="18"/>
                <w:szCs w:val="18"/>
              </w:rPr>
              <w:t>)</w:t>
            </w:r>
          </w:p>
        </w:tc>
        <w:tc>
          <w:tcPr>
            <w:tcW w:w="3988" w:type="dxa"/>
          </w:tcPr>
          <w:p w14:paraId="52F288BA" w14:textId="77777777" w:rsidR="0087342B" w:rsidRPr="00350043" w:rsidRDefault="0087342B" w:rsidP="00913FE5">
            <w:pPr>
              <w:spacing w:after="0"/>
              <w:rPr>
                <w:rFonts w:cs="Arial"/>
                <w:sz w:val="18"/>
                <w:szCs w:val="18"/>
              </w:rPr>
            </w:pPr>
            <w:r w:rsidRPr="00350043">
              <w:rPr>
                <w:rFonts w:cs="Arial"/>
                <w:sz w:val="18"/>
                <w:szCs w:val="18"/>
              </w:rPr>
              <w:t>31 licences</w:t>
            </w:r>
          </w:p>
          <w:p w14:paraId="3D742ED2" w14:textId="77777777" w:rsidR="0087342B" w:rsidRPr="002D77B5" w:rsidRDefault="0087342B" w:rsidP="0024515A">
            <w:pPr>
              <w:spacing w:after="0"/>
              <w:rPr>
                <w:rFonts w:cs="Arial"/>
                <w:sz w:val="18"/>
                <w:szCs w:val="18"/>
              </w:rPr>
            </w:pPr>
            <w:r w:rsidRPr="00350043">
              <w:rPr>
                <w:rFonts w:cs="Arial"/>
                <w:sz w:val="18"/>
                <w:szCs w:val="18"/>
              </w:rPr>
              <w:t>(all retune above 3800 MHz)</w:t>
            </w:r>
          </w:p>
        </w:tc>
      </w:tr>
    </w:tbl>
    <w:p w14:paraId="2C3BB31A" w14:textId="106A7355" w:rsidR="000F7346" w:rsidRDefault="000F7346" w:rsidP="004B6863">
      <w:pPr>
        <w:pStyle w:val="Tableorfigurenote"/>
      </w:pPr>
      <w:r>
        <w:t>* One PMP licence is located in the Roma ESPZ. This licence would not be able to retune under any option.</w:t>
      </w:r>
    </w:p>
    <w:p w14:paraId="684057BE" w14:textId="5290E549" w:rsidR="0087342B" w:rsidRDefault="0087342B" w:rsidP="00701F3F">
      <w:pPr>
        <w:pStyle w:val="ListParagraph"/>
        <w:numPr>
          <w:ilvl w:val="0"/>
          <w:numId w:val="81"/>
        </w:numPr>
        <w:sectPr w:rsidR="0087342B" w:rsidSect="003A1697">
          <w:pgSz w:w="16838" w:h="11906" w:orient="landscape" w:code="9"/>
          <w:pgMar w:top="1134" w:right="1945" w:bottom="1134" w:left="1134" w:header="709" w:footer="119" w:gutter="0"/>
          <w:cols w:space="708"/>
          <w:docGrid w:linePitch="360"/>
        </w:sectPr>
      </w:pPr>
    </w:p>
    <w:p w14:paraId="11501E6A" w14:textId="2DE74C28" w:rsidR="00543CBC" w:rsidRDefault="00543CBC" w:rsidP="00543CBC">
      <w:pPr>
        <w:pStyle w:val="Paragraph"/>
      </w:pPr>
      <w:r>
        <w:lastRenderedPageBreak/>
        <w:t>All the options presented in Table 4 meet the original aims for reconsidering the planning options for the band</w:t>
      </w:r>
      <w:r w:rsidR="009332A3">
        <w:t xml:space="preserve"> and</w:t>
      </w:r>
      <w:r w:rsidR="003B0D9F">
        <w:t xml:space="preserve"> the policy objectives set out in sections 2</w:t>
      </w:r>
      <w:r w:rsidR="00845B29">
        <w:t xml:space="preserve"> and</w:t>
      </w:r>
      <w:r w:rsidR="003B0D9F">
        <w:t xml:space="preserve"> 3 of the MPS</w:t>
      </w:r>
      <w:r>
        <w:t xml:space="preserve">. They all </w:t>
      </w:r>
      <w:r w:rsidR="000410D6">
        <w:t>balance</w:t>
      </w:r>
      <w:r>
        <w:t xml:space="preserve"> access for both spectrum and apparatus licence use, support a range of use-cases and users, </w:t>
      </w:r>
      <w:r w:rsidR="006F60F5">
        <w:t xml:space="preserve">support the deployment of new and innovative </w:t>
      </w:r>
      <w:r w:rsidR="0047566E">
        <w:t xml:space="preserve">technologies, </w:t>
      </w:r>
      <w:r w:rsidR="003A1697">
        <w:t xml:space="preserve">and </w:t>
      </w:r>
      <w:r>
        <w:t>reduce the impact of orphaned spectrum and the amount of spectrum encompassed in restricted-use bands. While all the options have similar impacts on incumbent services</w:t>
      </w:r>
      <w:r w:rsidRPr="003A1697">
        <w:t xml:space="preserve">, </w:t>
      </w:r>
      <w:r w:rsidR="003A1697">
        <w:t>V</w:t>
      </w:r>
      <w:r w:rsidR="0056447D" w:rsidRPr="003A1697">
        <w:t>ariation</w:t>
      </w:r>
      <w:r w:rsidRPr="003A1697">
        <w:t xml:space="preserve"> 2</w:t>
      </w:r>
      <w:r>
        <w:t xml:space="preserve"> has a higher impact on point-to-point services. Option 3 provides access to the most ‘4G spectrum’ for AWLs</w:t>
      </w:r>
      <w:r w:rsidR="003A1697">
        <w:t>,</w:t>
      </w:r>
      <w:r>
        <w:t xml:space="preserve"> while </w:t>
      </w:r>
      <w:r w:rsidR="003A1697">
        <w:t>V</w:t>
      </w:r>
      <w:r w:rsidR="0056447D">
        <w:t>ariation</w:t>
      </w:r>
      <w:r>
        <w:t xml:space="preserve"> 2 provides the least </w:t>
      </w:r>
      <w:r w:rsidR="003A1697">
        <w:t>–</w:t>
      </w:r>
      <w:r>
        <w:t xml:space="preserve"> as noted above</w:t>
      </w:r>
      <w:r w:rsidR="003A1697">
        <w:t>, we</w:t>
      </w:r>
      <w:r>
        <w:t xml:space="preserve"> </w:t>
      </w:r>
      <w:r w:rsidR="003A1697">
        <w:t>do</w:t>
      </w:r>
      <w:r>
        <w:t xml:space="preserve"> not consider this to be a major deciding factor. </w:t>
      </w:r>
    </w:p>
    <w:p w14:paraId="54A04E9F" w14:textId="1D6159D9" w:rsidR="00543CBC" w:rsidRDefault="00543CBC" w:rsidP="00543CBC">
      <w:pPr>
        <w:pStyle w:val="Paragraph"/>
      </w:pPr>
      <w:r>
        <w:t xml:space="preserve">For all options, the amount of spectrum available for AWLs is the same as the original Option 1 in metro areas. The two </w:t>
      </w:r>
      <w:r w:rsidR="0056447D">
        <w:t>variation</w:t>
      </w:r>
      <w:r>
        <w:t xml:space="preserve">s to Option 3 also result in the same amount of spectrum in major regional centres 1 as the original Option 1. There is also nominally 35 MHz less spectrum for AWLs in regional area 2 under these </w:t>
      </w:r>
      <w:r w:rsidR="00333404">
        <w:t xml:space="preserve">2 </w:t>
      </w:r>
      <w:r w:rsidR="0056447D">
        <w:t>variation</w:t>
      </w:r>
      <w:r>
        <w:t xml:space="preserve">s. However, due to the impact of restricted use bands under Option 1, the actual difference in usable spectrum for AWLs is small. </w:t>
      </w:r>
      <w:r w:rsidR="0056447D">
        <w:t>Variation</w:t>
      </w:r>
      <w:r>
        <w:t xml:space="preserve"> 2 also results in 67.5</w:t>
      </w:r>
      <w:r w:rsidR="00104128">
        <w:t> </w:t>
      </w:r>
      <w:r>
        <w:t xml:space="preserve">MHz less spectrum for AWLs in regional area 1. This is the regional area with the most incumbent </w:t>
      </w:r>
      <w:r w:rsidR="001A5FE3" w:rsidRPr="00837816">
        <w:t>PMP</w:t>
      </w:r>
      <w:r>
        <w:t xml:space="preserve"> licences in the 3.4 GHz and 3.6 GHz bands that are affected by the re-allocation of spectrum. </w:t>
      </w:r>
      <w:r w:rsidR="0056447D">
        <w:t>Variation</w:t>
      </w:r>
      <w:r>
        <w:t xml:space="preserve"> 1</w:t>
      </w:r>
      <w:r w:rsidR="006043C3">
        <w:t>,</w:t>
      </w:r>
      <w:r>
        <w:t xml:space="preserve"> therefore</w:t>
      </w:r>
      <w:r w:rsidR="006043C3">
        <w:t>,</w:t>
      </w:r>
      <w:r>
        <w:t xml:space="preserve"> provides access to more spectrum for AWLs in areas that incumbent PMP licen</w:t>
      </w:r>
      <w:r w:rsidR="003F326E">
        <w:t>se</w:t>
      </w:r>
      <w:r>
        <w:t>es are likely to want to move their services i</w:t>
      </w:r>
      <w:r w:rsidRPr="006043C3">
        <w:t>n</w:t>
      </w:r>
      <w:r w:rsidR="00333404" w:rsidRPr="006043C3">
        <w:t xml:space="preserve"> to</w:t>
      </w:r>
      <w:r w:rsidRPr="006043C3">
        <w:t>.</w:t>
      </w:r>
    </w:p>
    <w:p w14:paraId="1E3FF92F" w14:textId="5AC4D1AD" w:rsidR="002F7A5E" w:rsidRDefault="00543CBC">
      <w:pPr>
        <w:pStyle w:val="Paragraph"/>
      </w:pPr>
      <w:r>
        <w:t xml:space="preserve">Perhaps the most significant difference between the options is </w:t>
      </w:r>
      <w:r w:rsidR="003A7C5B">
        <w:t xml:space="preserve">apparent </w:t>
      </w:r>
      <w:r>
        <w:t xml:space="preserve">when considering the issue of geographical boundaries between </w:t>
      </w:r>
      <w:r w:rsidR="001A5FE3">
        <w:t xml:space="preserve">spectrum licences </w:t>
      </w:r>
      <w:r>
        <w:t>and AWL</w:t>
      </w:r>
      <w:r w:rsidR="001A5FE3">
        <w:t>s</w:t>
      </w:r>
      <w:r>
        <w:t>. The original Option 3 would place the boundaries in or close to metro areas</w:t>
      </w:r>
      <w:r w:rsidR="00333404">
        <w:t>,</w:t>
      </w:r>
      <w:r>
        <w:t xml:space="preserve"> which is the most </w:t>
      </w:r>
      <w:r w:rsidR="0040103C">
        <w:t>inefficient</w:t>
      </w:r>
      <w:r>
        <w:t xml:space="preserve"> position for WA WBB networks. </w:t>
      </w:r>
      <w:r w:rsidR="0056447D">
        <w:t>Variation</w:t>
      </w:r>
      <w:r>
        <w:t xml:space="preserve"> 2 helps to remove or reduce the boundary issue between regional and metro areas for WA WBB operators but reduces the amount of spectrum </w:t>
      </w:r>
      <w:r w:rsidR="00127700">
        <w:t xml:space="preserve">for </w:t>
      </w:r>
      <w:r>
        <w:t xml:space="preserve">LA WBB in regional areas. </w:t>
      </w:r>
      <w:r w:rsidR="00333404">
        <w:t xml:space="preserve">We </w:t>
      </w:r>
      <w:r>
        <w:t xml:space="preserve">consider that </w:t>
      </w:r>
      <w:r w:rsidR="00333404">
        <w:t>V</w:t>
      </w:r>
      <w:r w:rsidR="0056447D">
        <w:t>ariation</w:t>
      </w:r>
      <w:r>
        <w:t xml:space="preserve"> 1 strikes the right balance here. It provides an opportunity for WA WBB operators to minimise the impact of dead</w:t>
      </w:r>
      <w:r w:rsidR="003E14B3">
        <w:t xml:space="preserve"> </w:t>
      </w:r>
      <w:r>
        <w:t xml:space="preserve">zones in and around metro areas and provides LA WBB operators with access to additional spectrum in regional area 1. </w:t>
      </w:r>
      <w:r w:rsidR="0056447D">
        <w:t>Variation</w:t>
      </w:r>
      <w:r>
        <w:t xml:space="preserve"> 1 also has a lower impact on point-to-point links than </w:t>
      </w:r>
      <w:r w:rsidR="0056447D">
        <w:t>Variation</w:t>
      </w:r>
      <w:r>
        <w:t xml:space="preserve"> 2.</w:t>
      </w:r>
      <w:r w:rsidR="00F1167B">
        <w:t xml:space="preserve"> </w:t>
      </w:r>
    </w:p>
    <w:p w14:paraId="358F203C" w14:textId="6F6A8603" w:rsidR="008217B4" w:rsidRDefault="00ED59AD" w:rsidP="00027C51">
      <w:pPr>
        <w:pStyle w:val="Paragraph"/>
      </w:pPr>
      <w:r>
        <w:t xml:space="preserve">The issue of </w:t>
      </w:r>
      <w:r w:rsidR="00DE0FE8">
        <w:t xml:space="preserve">exclusion of </w:t>
      </w:r>
      <w:r>
        <w:t>ESPZ</w:t>
      </w:r>
      <w:r w:rsidR="007F4008">
        <w:t>s</w:t>
      </w:r>
      <w:r>
        <w:t xml:space="preserve"> </w:t>
      </w:r>
      <w:r w:rsidR="00DE0FE8">
        <w:t xml:space="preserve">from </w:t>
      </w:r>
      <w:r w:rsidR="007F4008">
        <w:t xml:space="preserve">the geographic areas proposed for re-allocation </w:t>
      </w:r>
      <w:r>
        <w:t>is relevant for all options</w:t>
      </w:r>
      <w:r w:rsidR="00E94256">
        <w:t xml:space="preserve"> (and variations)</w:t>
      </w:r>
      <w:r>
        <w:t xml:space="preserve"> under consideration. </w:t>
      </w:r>
      <w:r w:rsidR="00D2731E">
        <w:t xml:space="preserve">Mobile network </w:t>
      </w:r>
      <w:r w:rsidR="00EC0C8F">
        <w:t>operators</w:t>
      </w:r>
      <w:r w:rsidR="00D2731E">
        <w:t xml:space="preserve"> </w:t>
      </w:r>
      <w:r w:rsidR="00344542">
        <w:t xml:space="preserve">supported </w:t>
      </w:r>
      <w:r w:rsidR="00682F1F">
        <w:t>the creation of ESPZs in the 3.7 GHz band but proposed th</w:t>
      </w:r>
      <w:r w:rsidR="000F5446">
        <w:t xml:space="preserve">ese areas should be re-allocated in the 3.4 GHz band. </w:t>
      </w:r>
    </w:p>
    <w:p w14:paraId="2E6C160E" w14:textId="377BFE80" w:rsidR="0066651F" w:rsidRPr="00F520E2" w:rsidRDefault="00333404" w:rsidP="00027C51">
      <w:pPr>
        <w:pStyle w:val="Paragraph"/>
      </w:pPr>
      <w:r>
        <w:t xml:space="preserve">We </w:t>
      </w:r>
      <w:r w:rsidR="00A33FCC">
        <w:t xml:space="preserve">originally announced </w:t>
      </w:r>
      <w:r>
        <w:t xml:space="preserve">our </w:t>
      </w:r>
      <w:r w:rsidR="00A33FCC">
        <w:t>views on this issue as part of the outcomes for the</w:t>
      </w:r>
      <w:r w:rsidR="00CF3202">
        <w:t xml:space="preserve"> 2019</w:t>
      </w:r>
      <w:r w:rsidR="00A33FCC">
        <w:t xml:space="preserve"> </w:t>
      </w:r>
      <w:hyperlink r:id="rId45" w:history="1">
        <w:r>
          <w:rPr>
            <w:rStyle w:val="Hyperlink"/>
          </w:rPr>
          <w:t>o</w:t>
        </w:r>
        <w:r w:rsidR="00CF3202" w:rsidRPr="00027C51">
          <w:rPr>
            <w:rStyle w:val="Hyperlink"/>
          </w:rPr>
          <w:t>ptimising arrangements for the 3400–3575 MHz band</w:t>
        </w:r>
      </w:hyperlink>
      <w:r w:rsidR="00CF3202" w:rsidRPr="00027C51">
        <w:t xml:space="preserve"> consultation process.</w:t>
      </w:r>
      <w:r w:rsidR="004679E2" w:rsidRPr="00027C51">
        <w:t xml:space="preserve"> In addition, th</w:t>
      </w:r>
      <w:r w:rsidR="000F5E93" w:rsidRPr="00027C51">
        <w:t>ose parts of the</w:t>
      </w:r>
      <w:r w:rsidR="004679E2" w:rsidRPr="00027C51">
        <w:t xml:space="preserve"> 3.4 GHz band </w:t>
      </w:r>
      <w:r w:rsidR="000F5E93" w:rsidRPr="00027C51">
        <w:t xml:space="preserve">not currently subject to spectrum licensing </w:t>
      </w:r>
      <w:r w:rsidR="004679E2" w:rsidRPr="00027C51">
        <w:t>w</w:t>
      </w:r>
      <w:r w:rsidR="000F5E93" w:rsidRPr="00027C51">
        <w:t>ere</w:t>
      </w:r>
      <w:r w:rsidR="004679E2" w:rsidRPr="00027C51">
        <w:t xml:space="preserve"> </w:t>
      </w:r>
      <w:r w:rsidR="000F5E93" w:rsidRPr="00027C51">
        <w:t xml:space="preserve">added to </w:t>
      </w:r>
      <w:r w:rsidR="004E1644" w:rsidRPr="00027C51">
        <w:t xml:space="preserve">RALI MS44 Frequency coordination procedures for the earth station protection zones as part of the </w:t>
      </w:r>
      <w:hyperlink r:id="rId46" w:history="1">
        <w:r w:rsidR="004E1644" w:rsidRPr="00027C51">
          <w:rPr>
            <w:rStyle w:val="Hyperlink"/>
          </w:rPr>
          <w:t xml:space="preserve">2021 </w:t>
        </w:r>
        <w:r>
          <w:rPr>
            <w:rStyle w:val="Hyperlink"/>
          </w:rPr>
          <w:t>p</w:t>
        </w:r>
        <w:r w:rsidR="004E1644" w:rsidRPr="00027C51">
          <w:rPr>
            <w:rStyle w:val="Hyperlink"/>
          </w:rPr>
          <w:t>lanning for wireless broadband use of urban areas in the 3400–3475 MHz band</w:t>
        </w:r>
      </w:hyperlink>
      <w:r w:rsidR="004E1644" w:rsidRPr="00027C51">
        <w:t xml:space="preserve"> consultation process. This outcome was </w:t>
      </w:r>
      <w:r w:rsidR="00F520E2" w:rsidRPr="00027C51">
        <w:t xml:space="preserve">unanimously supported in submissions to that process. </w:t>
      </w:r>
    </w:p>
    <w:p w14:paraId="0A68B1FF" w14:textId="722012E1" w:rsidR="00DC7798" w:rsidRDefault="00333404" w:rsidP="00027C51">
      <w:pPr>
        <w:pStyle w:val="Paragraph"/>
        <w:spacing w:after="80"/>
      </w:pPr>
      <w:r>
        <w:rPr>
          <w:szCs w:val="20"/>
        </w:rPr>
        <w:t xml:space="preserve">We </w:t>
      </w:r>
      <w:r w:rsidR="009C7C17" w:rsidRPr="00027C51">
        <w:rPr>
          <w:szCs w:val="20"/>
        </w:rPr>
        <w:t xml:space="preserve">consider the </w:t>
      </w:r>
      <w:r w:rsidR="00731D94" w:rsidRPr="00027C51">
        <w:rPr>
          <w:szCs w:val="20"/>
        </w:rPr>
        <w:t xml:space="preserve">preservation of </w:t>
      </w:r>
      <w:r w:rsidR="00B501D4" w:rsidRPr="00027C51">
        <w:rPr>
          <w:szCs w:val="20"/>
        </w:rPr>
        <w:t xml:space="preserve">access </w:t>
      </w:r>
      <w:r w:rsidR="00DC7798" w:rsidRPr="00027C51">
        <w:rPr>
          <w:szCs w:val="20"/>
        </w:rPr>
        <w:t>options for the</w:t>
      </w:r>
      <w:r w:rsidR="00DC7798">
        <w:t xml:space="preserve"> use of these areas to support satellite services</w:t>
      </w:r>
      <w:r w:rsidR="00D33B4F">
        <w:t xml:space="preserve"> should be maintained</w:t>
      </w:r>
      <w:r w:rsidR="009462BB">
        <w:t>. Therefore</w:t>
      </w:r>
      <w:r w:rsidR="0056447D">
        <w:t>,</w:t>
      </w:r>
      <w:r w:rsidR="009462BB">
        <w:t xml:space="preserve"> </w:t>
      </w:r>
      <w:r w:rsidR="00EB537C">
        <w:t xml:space="preserve">consistent with proposals in the </w:t>
      </w:r>
      <w:r w:rsidR="00881A6D">
        <w:t>re-allocation paper</w:t>
      </w:r>
      <w:r w:rsidR="00D61D71">
        <w:t>,</w:t>
      </w:r>
      <w:r w:rsidR="00763D4F">
        <w:t xml:space="preserve"> </w:t>
      </w:r>
      <w:r w:rsidR="00733E6A">
        <w:t>we will</w:t>
      </w:r>
      <w:r w:rsidR="00DC7798">
        <w:t xml:space="preserve"> exclude the following ESPZs from our re-allocation declaration:</w:t>
      </w:r>
    </w:p>
    <w:p w14:paraId="6D8146B2" w14:textId="58629693" w:rsidR="00DC7798" w:rsidRPr="001E4379" w:rsidRDefault="00DC7798" w:rsidP="00DC7798">
      <w:pPr>
        <w:pStyle w:val="Bulletlevel1"/>
      </w:pPr>
      <w:r>
        <w:t>regional 3.4 GHz</w:t>
      </w:r>
      <w:r w:rsidR="001A5FE3">
        <w:t xml:space="preserve"> band</w:t>
      </w:r>
      <w:r>
        <w:t>: Moree, Roma and Uralla</w:t>
      </w:r>
    </w:p>
    <w:p w14:paraId="13820A4F" w14:textId="4243441D" w:rsidR="00DC7798" w:rsidRPr="001E4379" w:rsidRDefault="00DC7798" w:rsidP="00DC7798">
      <w:pPr>
        <w:pStyle w:val="Bulletlevel1last"/>
      </w:pPr>
      <w:r>
        <w:t>3.7 GHz</w:t>
      </w:r>
      <w:r w:rsidR="001A5FE3">
        <w:t xml:space="preserve"> band</w:t>
      </w:r>
      <w:r>
        <w:t>: Moree, Quirindi, Roma and Uralla.</w:t>
      </w:r>
    </w:p>
    <w:p w14:paraId="26013C4B" w14:textId="53813D5E" w:rsidR="00DC7798" w:rsidRDefault="00BA001F" w:rsidP="00EB2B7E">
      <w:pPr>
        <w:pStyle w:val="Paragraph"/>
        <w:keepNext/>
        <w:keepLines/>
      </w:pPr>
      <w:r>
        <w:lastRenderedPageBreak/>
        <w:t>It is noted that t</w:t>
      </w:r>
      <w:r w:rsidR="00DC7798">
        <w:t xml:space="preserve">he Quirindi ESPZ is </w:t>
      </w:r>
      <w:r w:rsidR="001A5FE3">
        <w:t>excluded from</w:t>
      </w:r>
      <w:r w:rsidR="00DC7798">
        <w:t xml:space="preserve"> the regional 3.4 GHz band as it is already either completely or mostly subject to spectrum licensing in adjacent frequency ranges. For this reason,</w:t>
      </w:r>
      <w:r w:rsidR="002E1EDF">
        <w:t xml:space="preserve"> and consistent with</w:t>
      </w:r>
      <w:r w:rsidR="0015547B">
        <w:t xml:space="preserve"> proposals in the </w:t>
      </w:r>
      <w:r w:rsidR="00881A6D">
        <w:t>re-allocation paper</w:t>
      </w:r>
      <w:r w:rsidR="0015547B">
        <w:t>,</w:t>
      </w:r>
      <w:r w:rsidR="00DC7798">
        <w:t xml:space="preserve"> it is only </w:t>
      </w:r>
      <w:r w:rsidR="00CE46E3">
        <w:t>excluded</w:t>
      </w:r>
      <w:r w:rsidR="00DC7798">
        <w:t xml:space="preserve"> from the 3.7 GHz band portion of the re-allocation declaration.</w:t>
      </w:r>
    </w:p>
    <w:p w14:paraId="4CE3285A" w14:textId="7B8E9683" w:rsidR="007371BC" w:rsidRPr="00E162C4" w:rsidRDefault="0CD4CDFF" w:rsidP="007371BC">
      <w:pPr>
        <w:pStyle w:val="Heading2"/>
      </w:pPr>
      <w:bookmarkStart w:id="21" w:name="_Toc108697867"/>
      <w:r>
        <w:t xml:space="preserve">Parts of the spectrum </w:t>
      </w:r>
      <w:r w:rsidR="71F35C84">
        <w:t>for re-allocation</w:t>
      </w:r>
      <w:bookmarkEnd w:id="21"/>
    </w:p>
    <w:p w14:paraId="2745B20F" w14:textId="201C3443" w:rsidR="7EB58DFB" w:rsidRDefault="7EB58DFB" w:rsidP="7EB58DFB">
      <w:pPr>
        <w:pStyle w:val="Paragraph"/>
        <w:rPr>
          <w:szCs w:val="20"/>
        </w:rPr>
      </w:pPr>
      <w:r w:rsidRPr="7EB58DFB">
        <w:rPr>
          <w:szCs w:val="20"/>
        </w:rPr>
        <w:t xml:space="preserve">Submissions mostly supported all or parts of </w:t>
      </w:r>
      <w:r w:rsidR="00333404">
        <w:rPr>
          <w:szCs w:val="20"/>
        </w:rPr>
        <w:t>our</w:t>
      </w:r>
      <w:r w:rsidRPr="7EB58DFB">
        <w:rPr>
          <w:szCs w:val="20"/>
        </w:rPr>
        <w:t xml:space="preserve"> proposal, or proposed variations to the proposal.  </w:t>
      </w:r>
    </w:p>
    <w:p w14:paraId="4C4C2770" w14:textId="2B00CECA" w:rsidR="007371BC" w:rsidRDefault="0F5735B5" w:rsidP="7EB58DFB">
      <w:pPr>
        <w:pStyle w:val="Paragraph"/>
        <w:rPr>
          <w:rFonts w:eastAsia="Arial"/>
          <w:color w:val="000000" w:themeColor="text1"/>
        </w:rPr>
      </w:pPr>
      <w:r w:rsidRPr="01F36A8B">
        <w:rPr>
          <w:rFonts w:eastAsia="Arial"/>
          <w:color w:val="000000" w:themeColor="text1"/>
        </w:rPr>
        <w:t>Having taken views expressed by consultation submissions into account, the parts of the spectrum declared for re-allocation are in line with the planning decision</w:t>
      </w:r>
      <w:r w:rsidR="0D73B20B" w:rsidRPr="01F36A8B">
        <w:rPr>
          <w:rFonts w:eastAsia="Arial"/>
          <w:color w:val="000000" w:themeColor="text1"/>
        </w:rPr>
        <w:t>s</w:t>
      </w:r>
      <w:r w:rsidRPr="01F36A8B">
        <w:rPr>
          <w:rFonts w:eastAsia="Arial"/>
          <w:color w:val="000000" w:themeColor="text1"/>
        </w:rPr>
        <w:t xml:space="preserve"> outlined above.</w:t>
      </w:r>
    </w:p>
    <w:p w14:paraId="31FDCCA5" w14:textId="2C3884B9" w:rsidR="00BE4A83" w:rsidRDefault="00BE4A83" w:rsidP="7EB58DFB">
      <w:pPr>
        <w:pStyle w:val="Paragraph"/>
        <w:rPr>
          <w:rFonts w:eastAsia="Arial"/>
          <w:color w:val="000000" w:themeColor="text1"/>
        </w:rPr>
      </w:pPr>
      <w:r>
        <w:rPr>
          <w:rFonts w:eastAsia="Arial"/>
          <w:color w:val="000000" w:themeColor="text1"/>
        </w:rPr>
        <w:t xml:space="preserve">With the adoption of the above planning option, </w:t>
      </w:r>
      <w:r w:rsidR="001D3D56">
        <w:rPr>
          <w:rFonts w:eastAsia="Arial"/>
          <w:color w:val="000000" w:themeColor="text1"/>
        </w:rPr>
        <w:t xml:space="preserve">we have identified some </w:t>
      </w:r>
      <w:r w:rsidR="006E05A2">
        <w:rPr>
          <w:rFonts w:eastAsia="Arial"/>
          <w:color w:val="000000" w:themeColor="text1"/>
        </w:rPr>
        <w:t xml:space="preserve">areas where the boundary of </w:t>
      </w:r>
      <w:r w:rsidR="00837816">
        <w:rPr>
          <w:rFonts w:eastAsia="Arial"/>
          <w:color w:val="000000" w:themeColor="text1"/>
        </w:rPr>
        <w:t>r</w:t>
      </w:r>
      <w:r w:rsidR="006E05A2" w:rsidRPr="00837816">
        <w:rPr>
          <w:rFonts w:eastAsia="Arial"/>
          <w:color w:val="000000" w:themeColor="text1"/>
        </w:rPr>
        <w:t xml:space="preserve">egional </w:t>
      </w:r>
      <w:r w:rsidR="00837816">
        <w:rPr>
          <w:rFonts w:eastAsia="Arial"/>
          <w:color w:val="000000" w:themeColor="text1"/>
        </w:rPr>
        <w:t>a</w:t>
      </w:r>
      <w:r w:rsidR="006E05A2" w:rsidRPr="00837816">
        <w:rPr>
          <w:rFonts w:eastAsia="Arial"/>
          <w:color w:val="000000" w:themeColor="text1"/>
        </w:rPr>
        <w:t>rea 2</w:t>
      </w:r>
      <w:r w:rsidR="006E05A2">
        <w:rPr>
          <w:rFonts w:eastAsia="Arial"/>
          <w:color w:val="000000" w:themeColor="text1"/>
        </w:rPr>
        <w:t xml:space="preserve"> does not align with </w:t>
      </w:r>
      <w:r w:rsidR="001B2DA0">
        <w:rPr>
          <w:rFonts w:eastAsia="Arial"/>
          <w:color w:val="000000" w:themeColor="text1"/>
        </w:rPr>
        <w:t>the regional areas in the adjacent 3.6 GHz band.</w:t>
      </w:r>
      <w:r w:rsidR="003D2623">
        <w:rPr>
          <w:rFonts w:eastAsia="Arial"/>
          <w:color w:val="000000" w:themeColor="text1"/>
        </w:rPr>
        <w:t xml:space="preserve"> </w:t>
      </w:r>
      <w:r w:rsidR="00DA7EC1">
        <w:rPr>
          <w:rFonts w:eastAsia="Arial"/>
          <w:color w:val="000000" w:themeColor="text1"/>
        </w:rPr>
        <w:t>Mobile network operator</w:t>
      </w:r>
      <w:r w:rsidR="00887A03">
        <w:rPr>
          <w:rFonts w:eastAsia="Arial"/>
          <w:color w:val="000000" w:themeColor="text1"/>
        </w:rPr>
        <w:t xml:space="preserve"> submissions </w:t>
      </w:r>
      <w:r w:rsidR="00F9590D">
        <w:rPr>
          <w:rFonts w:eastAsia="Arial"/>
          <w:color w:val="000000" w:themeColor="text1"/>
        </w:rPr>
        <w:t>emphasised</w:t>
      </w:r>
      <w:r w:rsidR="008A376A">
        <w:rPr>
          <w:rFonts w:eastAsia="Arial"/>
          <w:color w:val="000000" w:themeColor="text1"/>
        </w:rPr>
        <w:t xml:space="preserve"> the importance of aligning the 3.7 GHz geographic areas with the adjacent </w:t>
      </w:r>
      <w:r w:rsidR="002573F4">
        <w:rPr>
          <w:rFonts w:eastAsia="Arial"/>
          <w:color w:val="000000" w:themeColor="text1"/>
        </w:rPr>
        <w:t xml:space="preserve">3.6 GHz band to assist with future defragmentation of spectrum holdings. </w:t>
      </w:r>
    </w:p>
    <w:p w14:paraId="7E6B5B3E" w14:textId="143DF4DB" w:rsidR="002573F4" w:rsidRDefault="002573F4" w:rsidP="7EB58DFB">
      <w:pPr>
        <w:pStyle w:val="Paragraph"/>
        <w:rPr>
          <w:rFonts w:eastAsia="Arial"/>
          <w:color w:val="000000" w:themeColor="text1"/>
        </w:rPr>
      </w:pPr>
      <w:r>
        <w:rPr>
          <w:rFonts w:eastAsia="Arial"/>
          <w:color w:val="000000" w:themeColor="text1"/>
        </w:rPr>
        <w:t xml:space="preserve">Therefore, </w:t>
      </w:r>
      <w:r w:rsidR="00333404">
        <w:rPr>
          <w:rFonts w:eastAsia="Arial"/>
          <w:color w:val="000000" w:themeColor="text1"/>
        </w:rPr>
        <w:t>we have</w:t>
      </w:r>
      <w:r>
        <w:rPr>
          <w:rFonts w:eastAsia="Arial"/>
          <w:color w:val="000000" w:themeColor="text1"/>
        </w:rPr>
        <w:t xml:space="preserve"> adopted some minor changes to the </w:t>
      </w:r>
      <w:r w:rsidR="00837816">
        <w:rPr>
          <w:rFonts w:eastAsia="Arial"/>
          <w:color w:val="000000" w:themeColor="text1"/>
        </w:rPr>
        <w:t>r</w:t>
      </w:r>
      <w:r w:rsidR="0003355C">
        <w:rPr>
          <w:rFonts w:eastAsia="Arial"/>
          <w:color w:val="000000" w:themeColor="text1"/>
        </w:rPr>
        <w:t xml:space="preserve">egional </w:t>
      </w:r>
      <w:r w:rsidR="00837816">
        <w:rPr>
          <w:rFonts w:eastAsia="Arial"/>
          <w:color w:val="000000" w:themeColor="text1"/>
        </w:rPr>
        <w:t>a</w:t>
      </w:r>
      <w:r w:rsidR="0003355C">
        <w:rPr>
          <w:rFonts w:eastAsia="Arial"/>
          <w:color w:val="000000" w:themeColor="text1"/>
        </w:rPr>
        <w:t xml:space="preserve">rea 2 definition </w:t>
      </w:r>
      <w:r w:rsidR="006B3A00">
        <w:rPr>
          <w:rFonts w:eastAsia="Arial"/>
          <w:color w:val="000000" w:themeColor="text1"/>
        </w:rPr>
        <w:t>in the 3750</w:t>
      </w:r>
      <w:r w:rsidR="001207ED">
        <w:rPr>
          <w:rFonts w:eastAsia="Arial"/>
          <w:color w:val="000000" w:themeColor="text1"/>
        </w:rPr>
        <w:t>–</w:t>
      </w:r>
      <w:r w:rsidR="006B3A00">
        <w:rPr>
          <w:rFonts w:eastAsia="Arial"/>
          <w:color w:val="000000" w:themeColor="text1"/>
        </w:rPr>
        <w:t xml:space="preserve">3800 MHz frequency range </w:t>
      </w:r>
      <w:r w:rsidR="0003355C">
        <w:rPr>
          <w:rFonts w:eastAsia="Arial"/>
          <w:color w:val="000000" w:themeColor="text1"/>
        </w:rPr>
        <w:t>to align its boundaries with regional 3.6 GHz boundaries.</w:t>
      </w:r>
      <w:r w:rsidR="006B3A00">
        <w:rPr>
          <w:rFonts w:eastAsia="Arial"/>
          <w:color w:val="000000" w:themeColor="text1"/>
        </w:rPr>
        <w:t xml:space="preserve"> Note that the definition of </w:t>
      </w:r>
      <w:r w:rsidR="00837816">
        <w:rPr>
          <w:rFonts w:eastAsia="Arial"/>
          <w:color w:val="000000" w:themeColor="text1"/>
        </w:rPr>
        <w:t>r</w:t>
      </w:r>
      <w:r w:rsidR="006B3A00">
        <w:rPr>
          <w:rFonts w:eastAsia="Arial"/>
          <w:color w:val="000000" w:themeColor="text1"/>
        </w:rPr>
        <w:t xml:space="preserve">egional </w:t>
      </w:r>
      <w:r w:rsidR="00837816">
        <w:rPr>
          <w:rFonts w:eastAsia="Arial"/>
          <w:color w:val="000000" w:themeColor="text1"/>
        </w:rPr>
        <w:t>a</w:t>
      </w:r>
      <w:r w:rsidR="006B3A00">
        <w:rPr>
          <w:rFonts w:eastAsia="Arial"/>
          <w:color w:val="000000" w:themeColor="text1"/>
        </w:rPr>
        <w:t>rea 2 is unchanged in other frequency ranges, where it does align with existing 3.4 GHz boundaries.</w:t>
      </w:r>
    </w:p>
    <w:p w14:paraId="1E17037C" w14:textId="7004EED0" w:rsidR="0003355C" w:rsidRDefault="00550B2F" w:rsidP="004B6863">
      <w:pPr>
        <w:pStyle w:val="Heading3"/>
        <w:rPr>
          <w:rFonts w:eastAsia="Arial"/>
        </w:rPr>
      </w:pPr>
      <w:r w:rsidRPr="004A5D00">
        <w:rPr>
          <w:rFonts w:eastAsia="Arial"/>
        </w:rPr>
        <w:t>Regional New South Wales north</w:t>
      </w:r>
    </w:p>
    <w:p w14:paraId="3A45E1E7" w14:textId="27E73D6B" w:rsidR="009408FE" w:rsidRDefault="00751EF7" w:rsidP="7EB58DFB">
      <w:pPr>
        <w:pStyle w:val="Paragraph"/>
        <w:rPr>
          <w:rFonts w:eastAsia="Arial"/>
          <w:color w:val="000000" w:themeColor="text1"/>
        </w:rPr>
      </w:pPr>
      <w:r>
        <w:rPr>
          <w:rFonts w:eastAsia="Arial"/>
          <w:color w:val="000000" w:themeColor="text1"/>
        </w:rPr>
        <w:t>With the exclusion of Quirindi from re-allocation</w:t>
      </w:r>
      <w:r w:rsidR="00DA7EC1">
        <w:rPr>
          <w:rFonts w:eastAsia="Arial"/>
          <w:color w:val="000000" w:themeColor="text1"/>
        </w:rPr>
        <w:t xml:space="preserve"> in the 3.7 GHz band</w:t>
      </w:r>
      <w:r>
        <w:rPr>
          <w:rFonts w:eastAsia="Arial"/>
          <w:color w:val="000000" w:themeColor="text1"/>
        </w:rPr>
        <w:t xml:space="preserve">, this leaves the </w:t>
      </w:r>
      <w:r w:rsidR="00837816">
        <w:rPr>
          <w:rFonts w:eastAsia="Arial"/>
          <w:color w:val="000000" w:themeColor="text1"/>
        </w:rPr>
        <w:t>r</w:t>
      </w:r>
      <w:r>
        <w:rPr>
          <w:rFonts w:eastAsia="Arial"/>
          <w:color w:val="000000" w:themeColor="text1"/>
        </w:rPr>
        <w:t>egional New South Wales north area (</w:t>
      </w:r>
      <w:r w:rsidR="00371D89">
        <w:rPr>
          <w:rFonts w:eastAsia="Arial"/>
          <w:color w:val="000000" w:themeColor="text1"/>
        </w:rPr>
        <w:t>Tamworth and surrounds) separate from other areas</w:t>
      </w:r>
      <w:r w:rsidR="009D0ADD">
        <w:rPr>
          <w:rFonts w:eastAsia="Arial"/>
          <w:color w:val="000000" w:themeColor="text1"/>
        </w:rPr>
        <w:t>, refer to Figure 2</w:t>
      </w:r>
      <w:r w:rsidR="00371D89">
        <w:rPr>
          <w:rFonts w:eastAsia="Arial"/>
          <w:color w:val="000000" w:themeColor="text1"/>
        </w:rPr>
        <w:t>.</w:t>
      </w:r>
      <w:r w:rsidR="006E7547">
        <w:rPr>
          <w:rFonts w:eastAsia="Arial"/>
          <w:color w:val="000000" w:themeColor="text1"/>
        </w:rPr>
        <w:t xml:space="preserve"> We have decided to exclude this area from re-allocation due to its lower utility and </w:t>
      </w:r>
      <w:r w:rsidR="00D031B0">
        <w:rPr>
          <w:rFonts w:eastAsia="Arial"/>
          <w:color w:val="000000" w:themeColor="text1"/>
        </w:rPr>
        <w:t xml:space="preserve">difficulty in managing deployments near boundaries. </w:t>
      </w:r>
    </w:p>
    <w:p w14:paraId="19633E9E" w14:textId="6DAC656F" w:rsidR="001207ED" w:rsidRPr="00701F3F" w:rsidRDefault="001207ED" w:rsidP="00701F3F">
      <w:pPr>
        <w:pStyle w:val="Figureheading"/>
        <w:numPr>
          <w:ilvl w:val="0"/>
          <w:numId w:val="16"/>
        </w:numPr>
        <w:rPr>
          <w:rFonts w:eastAsia="Arial"/>
        </w:rPr>
      </w:pPr>
      <w:r w:rsidRPr="00B12F49">
        <w:rPr>
          <w:rFonts w:eastAsia="Arial"/>
        </w:rPr>
        <w:lastRenderedPageBreak/>
        <w:t xml:space="preserve">Regional New South Wales </w:t>
      </w:r>
      <w:r w:rsidR="00C1367F">
        <w:rPr>
          <w:rFonts w:eastAsia="Arial"/>
        </w:rPr>
        <w:t>n</w:t>
      </w:r>
      <w:r w:rsidRPr="00B12F49">
        <w:rPr>
          <w:rFonts w:eastAsia="Arial"/>
        </w:rPr>
        <w:t>orth</w:t>
      </w:r>
    </w:p>
    <w:p w14:paraId="31E7B10E" w14:textId="4ADFA075" w:rsidR="00550B2F" w:rsidRDefault="00C86E66" w:rsidP="7EB58DFB">
      <w:pPr>
        <w:pStyle w:val="Paragraph"/>
        <w:rPr>
          <w:rFonts w:eastAsia="Arial"/>
          <w:color w:val="000000" w:themeColor="text1"/>
        </w:rPr>
      </w:pPr>
      <w:r>
        <w:rPr>
          <w:noProof/>
        </w:rPr>
        <w:drawing>
          <wp:inline distT="0" distB="0" distL="0" distR="0" wp14:anchorId="0D34A56A" wp14:editId="04BFA9E7">
            <wp:extent cx="4871085" cy="4490720"/>
            <wp:effectExtent l="0" t="0" r="5715" b="5080"/>
            <wp:docPr id="5" name="Picture 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p&#10;&#10;Description automatically generated"/>
                    <pic:cNvPicPr>
                      <a:picLocks noChangeAspect="1" noChangeArrowheads="1"/>
                    </pic:cNvPicPr>
                  </pic:nvPicPr>
                  <pic:blipFill>
                    <a:blip r:embed="rId47" r:link="rId48">
                      <a:extLst>
                        <a:ext uri="{28A0092B-C50C-407E-A947-70E740481C1C}">
                          <a14:useLocalDpi xmlns:a14="http://schemas.microsoft.com/office/drawing/2010/main" val="0"/>
                        </a:ext>
                      </a:extLst>
                    </a:blip>
                    <a:srcRect/>
                    <a:stretch>
                      <a:fillRect/>
                    </a:stretch>
                  </pic:blipFill>
                  <pic:spPr bwMode="auto">
                    <a:xfrm>
                      <a:off x="0" y="0"/>
                      <a:ext cx="4871085" cy="4490720"/>
                    </a:xfrm>
                    <a:prstGeom prst="rect">
                      <a:avLst/>
                    </a:prstGeom>
                    <a:noFill/>
                    <a:ln>
                      <a:noFill/>
                    </a:ln>
                  </pic:spPr>
                </pic:pic>
              </a:graphicData>
            </a:graphic>
          </wp:inline>
        </w:drawing>
      </w:r>
    </w:p>
    <w:p w14:paraId="0AA70E04" w14:textId="738A2A0B" w:rsidR="00D031B0" w:rsidRPr="004A5D00" w:rsidRDefault="00D031B0" w:rsidP="00701F3F">
      <w:pPr>
        <w:pStyle w:val="Heading3"/>
        <w:rPr>
          <w:rFonts w:eastAsia="Arial"/>
        </w:rPr>
      </w:pPr>
      <w:r w:rsidRPr="004A5D00">
        <w:rPr>
          <w:rFonts w:eastAsia="Arial"/>
        </w:rPr>
        <w:t>Regional Victoria</w:t>
      </w:r>
    </w:p>
    <w:p w14:paraId="262F5040" w14:textId="29C2D457" w:rsidR="00D031B0" w:rsidRDefault="00B00644" w:rsidP="7EB58DFB">
      <w:pPr>
        <w:pStyle w:val="Paragraph"/>
        <w:rPr>
          <w:rFonts w:eastAsia="Arial"/>
          <w:color w:val="000000" w:themeColor="text1"/>
        </w:rPr>
      </w:pPr>
      <w:r>
        <w:rPr>
          <w:rFonts w:eastAsia="Arial"/>
          <w:color w:val="000000" w:themeColor="text1"/>
        </w:rPr>
        <w:t xml:space="preserve">The southern boundary of </w:t>
      </w:r>
      <w:r w:rsidR="00837816" w:rsidRPr="004B6863">
        <w:rPr>
          <w:rFonts w:eastAsia="Arial"/>
          <w:color w:val="000000" w:themeColor="text1"/>
        </w:rPr>
        <w:t>r</w:t>
      </w:r>
      <w:r w:rsidRPr="00100C75">
        <w:rPr>
          <w:rFonts w:eastAsia="Arial"/>
          <w:color w:val="000000" w:themeColor="text1"/>
        </w:rPr>
        <w:t xml:space="preserve">egional </w:t>
      </w:r>
      <w:r w:rsidR="00837816" w:rsidRPr="004B6863">
        <w:rPr>
          <w:rFonts w:eastAsia="Arial"/>
          <w:color w:val="000000" w:themeColor="text1"/>
        </w:rPr>
        <w:t>a</w:t>
      </w:r>
      <w:r w:rsidRPr="00100C75">
        <w:rPr>
          <w:rFonts w:eastAsia="Arial"/>
          <w:color w:val="000000" w:themeColor="text1"/>
        </w:rPr>
        <w:t>rea 2</w:t>
      </w:r>
      <w:r>
        <w:rPr>
          <w:rFonts w:eastAsia="Arial"/>
          <w:color w:val="000000" w:themeColor="text1"/>
        </w:rPr>
        <w:t xml:space="preserve"> in Victoria does not align with the southern boundary of the 3.6 GHz </w:t>
      </w:r>
      <w:r w:rsidR="00837816">
        <w:rPr>
          <w:rFonts w:eastAsia="Arial"/>
          <w:color w:val="000000" w:themeColor="text1"/>
        </w:rPr>
        <w:t>r</w:t>
      </w:r>
      <w:r>
        <w:rPr>
          <w:rFonts w:eastAsia="Arial"/>
          <w:color w:val="000000" w:themeColor="text1"/>
        </w:rPr>
        <w:t>egional Victoria area</w:t>
      </w:r>
      <w:r w:rsidR="000411D2">
        <w:rPr>
          <w:rFonts w:eastAsia="Arial"/>
          <w:color w:val="000000" w:themeColor="text1"/>
        </w:rPr>
        <w:t>, refer to Figure 3</w:t>
      </w:r>
      <w:r>
        <w:rPr>
          <w:rFonts w:eastAsia="Arial"/>
          <w:color w:val="000000" w:themeColor="text1"/>
        </w:rPr>
        <w:t xml:space="preserve">. Therefore, we have moved the </w:t>
      </w:r>
      <w:r w:rsidR="00837816">
        <w:rPr>
          <w:rFonts w:eastAsia="Arial"/>
          <w:color w:val="000000" w:themeColor="text1"/>
        </w:rPr>
        <w:t>r</w:t>
      </w:r>
      <w:r>
        <w:rPr>
          <w:rFonts w:eastAsia="Arial"/>
          <w:color w:val="000000" w:themeColor="text1"/>
        </w:rPr>
        <w:t xml:space="preserve">egional </w:t>
      </w:r>
      <w:r w:rsidR="00837816">
        <w:rPr>
          <w:rFonts w:eastAsia="Arial"/>
          <w:color w:val="000000" w:themeColor="text1"/>
        </w:rPr>
        <w:t>a</w:t>
      </w:r>
      <w:r>
        <w:rPr>
          <w:rFonts w:eastAsia="Arial"/>
          <w:color w:val="000000" w:themeColor="text1"/>
        </w:rPr>
        <w:t xml:space="preserve">rea 2 southern boundary further north so that it does align </w:t>
      </w:r>
      <w:r w:rsidR="008620CB">
        <w:rPr>
          <w:rFonts w:eastAsia="Arial"/>
          <w:color w:val="000000" w:themeColor="text1"/>
        </w:rPr>
        <w:t xml:space="preserve">with the 3.6 GHz </w:t>
      </w:r>
      <w:r w:rsidR="00837816">
        <w:rPr>
          <w:rFonts w:eastAsia="Arial"/>
          <w:color w:val="000000" w:themeColor="text1"/>
        </w:rPr>
        <w:t>r</w:t>
      </w:r>
      <w:r w:rsidR="008620CB">
        <w:rPr>
          <w:rFonts w:eastAsia="Arial"/>
          <w:color w:val="000000" w:themeColor="text1"/>
        </w:rPr>
        <w:t xml:space="preserve">egional Victoria area. </w:t>
      </w:r>
    </w:p>
    <w:p w14:paraId="5D654446" w14:textId="173C669F" w:rsidR="001207ED" w:rsidRPr="00701F3F" w:rsidRDefault="001207ED" w:rsidP="00701F3F">
      <w:pPr>
        <w:pStyle w:val="Figureheading"/>
        <w:numPr>
          <w:ilvl w:val="0"/>
          <w:numId w:val="16"/>
        </w:numPr>
        <w:rPr>
          <w:rFonts w:eastAsia="Arial"/>
        </w:rPr>
      </w:pPr>
      <w:r w:rsidRPr="00B12F49">
        <w:rPr>
          <w:rFonts w:eastAsia="Arial"/>
        </w:rPr>
        <w:t>Regional Victoria</w:t>
      </w:r>
      <w:r w:rsidR="00043C9A" w:rsidRPr="00701F3F">
        <w:rPr>
          <w:rFonts w:eastAsia="Arial"/>
        </w:rPr>
        <w:t xml:space="preserve"> – southern </w:t>
      </w:r>
      <w:r w:rsidR="00B12F49">
        <w:rPr>
          <w:rFonts w:eastAsia="Arial"/>
        </w:rPr>
        <w:t>border</w:t>
      </w:r>
    </w:p>
    <w:p w14:paraId="36AAC316" w14:textId="7A3E6418" w:rsidR="00952989" w:rsidRDefault="006D577C" w:rsidP="7EB58DFB">
      <w:pPr>
        <w:pStyle w:val="Paragraph"/>
        <w:rPr>
          <w:rFonts w:eastAsia="Arial"/>
          <w:b/>
          <w:bCs/>
          <w:color w:val="000000" w:themeColor="text1"/>
        </w:rPr>
      </w:pPr>
      <w:r>
        <w:rPr>
          <w:noProof/>
        </w:rPr>
        <w:drawing>
          <wp:inline distT="0" distB="0" distL="0" distR="0" wp14:anchorId="454E47FE" wp14:editId="414A3A54">
            <wp:extent cx="2352527" cy="2163919"/>
            <wp:effectExtent l="0" t="0" r="0" b="8255"/>
            <wp:docPr id="10" name="Picture 1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p&#10;&#10;Description automatically generated"/>
                    <pic:cNvPicPr>
                      <a:picLocks noChangeAspect="1" noChangeArrowheads="1"/>
                    </pic:cNvPicPr>
                  </pic:nvPicPr>
                  <pic:blipFill>
                    <a:blip r:embed="rId49" r:link="rId50">
                      <a:extLst>
                        <a:ext uri="{28A0092B-C50C-407E-A947-70E740481C1C}">
                          <a14:useLocalDpi xmlns:a14="http://schemas.microsoft.com/office/drawing/2010/main" val="0"/>
                        </a:ext>
                      </a:extLst>
                    </a:blip>
                    <a:srcRect/>
                    <a:stretch>
                      <a:fillRect/>
                    </a:stretch>
                  </pic:blipFill>
                  <pic:spPr bwMode="auto">
                    <a:xfrm>
                      <a:off x="0" y="0"/>
                      <a:ext cx="2399942" cy="2207533"/>
                    </a:xfrm>
                    <a:prstGeom prst="rect">
                      <a:avLst/>
                    </a:prstGeom>
                    <a:noFill/>
                    <a:ln>
                      <a:noFill/>
                    </a:ln>
                  </pic:spPr>
                </pic:pic>
              </a:graphicData>
            </a:graphic>
          </wp:inline>
        </w:drawing>
      </w:r>
      <w:r w:rsidR="006848C5">
        <w:rPr>
          <w:rFonts w:eastAsia="Arial"/>
          <w:color w:val="000000" w:themeColor="text1"/>
        </w:rPr>
        <w:t xml:space="preserve"> </w:t>
      </w:r>
      <w:r w:rsidR="00952989">
        <w:rPr>
          <w:noProof/>
        </w:rPr>
        <w:drawing>
          <wp:inline distT="0" distB="0" distL="0" distR="0" wp14:anchorId="45D946E2" wp14:editId="65B3466F">
            <wp:extent cx="2367023" cy="2177254"/>
            <wp:effectExtent l="0" t="0" r="0" b="0"/>
            <wp:docPr id="11" name="Picture 11"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map&#10;&#10;Description automatically generated"/>
                    <pic:cNvPicPr>
                      <a:picLocks noChangeAspect="1" noChangeArrowheads="1"/>
                    </pic:cNvPicPr>
                  </pic:nvPicPr>
                  <pic:blipFill>
                    <a:blip r:embed="rId51" r:link="rId52">
                      <a:extLst>
                        <a:ext uri="{28A0092B-C50C-407E-A947-70E740481C1C}">
                          <a14:useLocalDpi xmlns:a14="http://schemas.microsoft.com/office/drawing/2010/main" val="0"/>
                        </a:ext>
                      </a:extLst>
                    </a:blip>
                    <a:srcRect/>
                    <a:stretch>
                      <a:fillRect/>
                    </a:stretch>
                  </pic:blipFill>
                  <pic:spPr bwMode="auto">
                    <a:xfrm>
                      <a:off x="0" y="0"/>
                      <a:ext cx="2479918" cy="2281098"/>
                    </a:xfrm>
                    <a:prstGeom prst="rect">
                      <a:avLst/>
                    </a:prstGeom>
                    <a:noFill/>
                    <a:ln>
                      <a:noFill/>
                    </a:ln>
                  </pic:spPr>
                </pic:pic>
              </a:graphicData>
            </a:graphic>
          </wp:inline>
        </w:drawing>
      </w:r>
    </w:p>
    <w:p w14:paraId="3D030CFB" w14:textId="3A6B04FA" w:rsidR="008620CB" w:rsidRPr="004A5D00" w:rsidRDefault="00662211" w:rsidP="00701F3F">
      <w:pPr>
        <w:pStyle w:val="Heading3"/>
        <w:rPr>
          <w:rFonts w:eastAsia="Arial"/>
        </w:rPr>
      </w:pPr>
      <w:r w:rsidRPr="004A5D00">
        <w:rPr>
          <w:rFonts w:eastAsia="Arial"/>
        </w:rPr>
        <w:lastRenderedPageBreak/>
        <w:t>Regional New South Wales south</w:t>
      </w:r>
    </w:p>
    <w:p w14:paraId="0ABDAB5E" w14:textId="421466CD" w:rsidR="00662211" w:rsidRDefault="00662211" w:rsidP="7EB58DFB">
      <w:pPr>
        <w:pStyle w:val="Paragraph"/>
        <w:rPr>
          <w:rFonts w:eastAsia="Arial"/>
          <w:color w:val="000000" w:themeColor="text1"/>
        </w:rPr>
      </w:pPr>
      <w:r>
        <w:rPr>
          <w:rFonts w:eastAsia="Arial"/>
          <w:color w:val="000000" w:themeColor="text1"/>
        </w:rPr>
        <w:t>There are minor misalignments be</w:t>
      </w:r>
      <w:r w:rsidRPr="00837816">
        <w:rPr>
          <w:rFonts w:eastAsia="Arial"/>
          <w:color w:val="000000" w:themeColor="text1"/>
        </w:rPr>
        <w:t xml:space="preserve">tween the northern and southern borders of </w:t>
      </w:r>
      <w:r w:rsidR="00837816" w:rsidRPr="00837816">
        <w:rPr>
          <w:rFonts w:eastAsia="Arial"/>
          <w:color w:val="000000" w:themeColor="text1"/>
        </w:rPr>
        <w:t>r</w:t>
      </w:r>
      <w:r w:rsidR="00757CB6" w:rsidRPr="00837816">
        <w:rPr>
          <w:rFonts w:eastAsia="Arial"/>
          <w:color w:val="000000" w:themeColor="text1"/>
        </w:rPr>
        <w:t xml:space="preserve">egional </w:t>
      </w:r>
      <w:r w:rsidR="00837816" w:rsidRPr="00837816">
        <w:rPr>
          <w:rFonts w:eastAsia="Arial"/>
          <w:color w:val="000000" w:themeColor="text1"/>
        </w:rPr>
        <w:t>a</w:t>
      </w:r>
      <w:r w:rsidR="00757CB6" w:rsidRPr="00837816">
        <w:rPr>
          <w:rFonts w:eastAsia="Arial"/>
          <w:color w:val="000000" w:themeColor="text1"/>
        </w:rPr>
        <w:t xml:space="preserve">rea 2 </w:t>
      </w:r>
      <w:r w:rsidR="0099669F" w:rsidRPr="00837816">
        <w:rPr>
          <w:rFonts w:eastAsia="Arial"/>
          <w:color w:val="000000" w:themeColor="text1"/>
        </w:rPr>
        <w:t xml:space="preserve">and the 3.6 GHz </w:t>
      </w:r>
      <w:r w:rsidR="001207ED" w:rsidRPr="00837816">
        <w:rPr>
          <w:rFonts w:eastAsia="Arial"/>
          <w:color w:val="000000" w:themeColor="text1"/>
        </w:rPr>
        <w:t>r</w:t>
      </w:r>
      <w:r w:rsidR="0099669F" w:rsidRPr="00837816">
        <w:rPr>
          <w:rFonts w:eastAsia="Arial"/>
          <w:color w:val="000000" w:themeColor="text1"/>
        </w:rPr>
        <w:t xml:space="preserve">egional </w:t>
      </w:r>
      <w:r w:rsidR="001207ED" w:rsidRPr="00837816">
        <w:rPr>
          <w:rFonts w:eastAsia="Arial"/>
          <w:color w:val="000000" w:themeColor="text1"/>
        </w:rPr>
        <w:t>s</w:t>
      </w:r>
      <w:r w:rsidR="0099669F" w:rsidRPr="00837816">
        <w:rPr>
          <w:rFonts w:eastAsia="Arial"/>
          <w:color w:val="000000" w:themeColor="text1"/>
        </w:rPr>
        <w:t>outhern/</w:t>
      </w:r>
      <w:r w:rsidR="001207ED" w:rsidRPr="00837816">
        <w:rPr>
          <w:rFonts w:eastAsia="Arial"/>
          <w:color w:val="000000" w:themeColor="text1"/>
        </w:rPr>
        <w:t>w</w:t>
      </w:r>
      <w:r w:rsidR="0099669F" w:rsidRPr="00837816">
        <w:rPr>
          <w:rFonts w:eastAsia="Arial"/>
          <w:color w:val="000000" w:themeColor="text1"/>
        </w:rPr>
        <w:t>estern</w:t>
      </w:r>
      <w:r w:rsidR="0099669F">
        <w:rPr>
          <w:rFonts w:eastAsia="Arial"/>
          <w:color w:val="000000" w:themeColor="text1"/>
        </w:rPr>
        <w:t xml:space="preserve"> New South Wales area</w:t>
      </w:r>
      <w:r w:rsidR="00C1367F">
        <w:rPr>
          <w:rFonts w:eastAsia="Arial"/>
          <w:color w:val="000000" w:themeColor="text1"/>
        </w:rPr>
        <w:t>, refer to Figure</w:t>
      </w:r>
      <w:r w:rsidR="00A9465F">
        <w:rPr>
          <w:rFonts w:eastAsia="Arial"/>
          <w:color w:val="000000" w:themeColor="text1"/>
        </w:rPr>
        <w:t>s</w:t>
      </w:r>
      <w:r w:rsidR="00C1367F">
        <w:rPr>
          <w:rFonts w:eastAsia="Arial"/>
          <w:color w:val="000000" w:themeColor="text1"/>
        </w:rPr>
        <w:t xml:space="preserve"> 4</w:t>
      </w:r>
      <w:r w:rsidR="00A9465F">
        <w:rPr>
          <w:rFonts w:eastAsia="Arial"/>
          <w:color w:val="000000" w:themeColor="text1"/>
        </w:rPr>
        <w:t xml:space="preserve"> and 5</w:t>
      </w:r>
      <w:r w:rsidR="0099669F">
        <w:rPr>
          <w:rFonts w:eastAsia="Arial"/>
          <w:color w:val="000000" w:themeColor="text1"/>
        </w:rPr>
        <w:t xml:space="preserve">. </w:t>
      </w:r>
      <w:r w:rsidR="006B3A00">
        <w:rPr>
          <w:rFonts w:eastAsia="Arial"/>
          <w:color w:val="000000" w:themeColor="text1"/>
        </w:rPr>
        <w:t xml:space="preserve">We have made minor adjustments to </w:t>
      </w:r>
      <w:r w:rsidR="00837816">
        <w:rPr>
          <w:rFonts w:eastAsia="Arial"/>
          <w:color w:val="000000" w:themeColor="text1"/>
        </w:rPr>
        <w:t>r</w:t>
      </w:r>
      <w:r w:rsidR="006B3A00">
        <w:rPr>
          <w:rFonts w:eastAsia="Arial"/>
          <w:color w:val="000000" w:themeColor="text1"/>
        </w:rPr>
        <w:t xml:space="preserve">egional </w:t>
      </w:r>
      <w:r w:rsidR="00837816">
        <w:rPr>
          <w:rFonts w:eastAsia="Arial"/>
          <w:color w:val="000000" w:themeColor="text1"/>
        </w:rPr>
        <w:t>a</w:t>
      </w:r>
      <w:r w:rsidR="006B3A00">
        <w:rPr>
          <w:rFonts w:eastAsia="Arial"/>
          <w:color w:val="000000" w:themeColor="text1"/>
        </w:rPr>
        <w:t xml:space="preserve">rea 2 so that they do align. </w:t>
      </w:r>
    </w:p>
    <w:p w14:paraId="5E6E778F" w14:textId="6673E6AE" w:rsidR="00675C6B" w:rsidRPr="00B12F49" w:rsidRDefault="001207ED" w:rsidP="00701F3F">
      <w:pPr>
        <w:pStyle w:val="Figureheading"/>
        <w:tabs>
          <w:tab w:val="num" w:pos="993"/>
        </w:tabs>
        <w:ind w:left="993" w:hanging="993"/>
        <w:rPr>
          <w:rFonts w:eastAsia="Arial"/>
        </w:rPr>
      </w:pPr>
      <w:r w:rsidRPr="00B12F49">
        <w:rPr>
          <w:rFonts w:eastAsia="Arial"/>
        </w:rPr>
        <w:t xml:space="preserve">Regional New South Wales south: </w:t>
      </w:r>
      <w:r w:rsidR="00FD5F4B" w:rsidRPr="00701F3F">
        <w:rPr>
          <w:rFonts w:eastAsia="Arial"/>
        </w:rPr>
        <w:t>n</w:t>
      </w:r>
      <w:r w:rsidR="00675C6B" w:rsidRPr="00701F3F">
        <w:rPr>
          <w:rFonts w:eastAsia="Arial"/>
        </w:rPr>
        <w:t xml:space="preserve">orthern </w:t>
      </w:r>
      <w:r w:rsidR="00B12F49">
        <w:rPr>
          <w:rFonts w:eastAsia="Arial"/>
        </w:rPr>
        <w:t>border</w:t>
      </w:r>
    </w:p>
    <w:p w14:paraId="6BEAF77D" w14:textId="2A8A2BA4" w:rsidR="006D577C" w:rsidRDefault="006F121B" w:rsidP="7EB58DFB">
      <w:pPr>
        <w:pStyle w:val="Paragraph"/>
        <w:rPr>
          <w:rFonts w:eastAsia="Arial"/>
          <w:color w:val="000000" w:themeColor="text1"/>
        </w:rPr>
      </w:pPr>
      <w:r>
        <w:rPr>
          <w:noProof/>
        </w:rPr>
        <w:drawing>
          <wp:inline distT="0" distB="0" distL="0" distR="0" wp14:anchorId="261CADDE" wp14:editId="546CF0BD">
            <wp:extent cx="2382710" cy="2308474"/>
            <wp:effectExtent l="0" t="0" r="0" b="0"/>
            <wp:docPr id="19" name="Picture 1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p&#10;&#10;Description automatically generated"/>
                    <pic:cNvPicPr>
                      <a:picLocks noChangeAspect="1" noChangeArrowheads="1"/>
                    </pic:cNvPicPr>
                  </pic:nvPicPr>
                  <pic:blipFill>
                    <a:blip r:embed="rId53" r:link="rId54">
                      <a:extLst>
                        <a:ext uri="{28A0092B-C50C-407E-A947-70E740481C1C}">
                          <a14:useLocalDpi xmlns:a14="http://schemas.microsoft.com/office/drawing/2010/main" val="0"/>
                        </a:ext>
                      </a:extLst>
                    </a:blip>
                    <a:srcRect/>
                    <a:stretch>
                      <a:fillRect/>
                    </a:stretch>
                  </pic:blipFill>
                  <pic:spPr bwMode="auto">
                    <a:xfrm>
                      <a:off x="0" y="0"/>
                      <a:ext cx="2417869" cy="2342538"/>
                    </a:xfrm>
                    <a:prstGeom prst="rect">
                      <a:avLst/>
                    </a:prstGeom>
                    <a:noFill/>
                    <a:ln>
                      <a:noFill/>
                    </a:ln>
                  </pic:spPr>
                </pic:pic>
              </a:graphicData>
            </a:graphic>
          </wp:inline>
        </w:drawing>
      </w:r>
      <w:r>
        <w:rPr>
          <w:rFonts w:eastAsia="Arial"/>
          <w:color w:val="000000" w:themeColor="text1"/>
        </w:rPr>
        <w:t xml:space="preserve"> </w:t>
      </w:r>
      <w:r w:rsidR="00B04062">
        <w:rPr>
          <w:noProof/>
        </w:rPr>
        <w:drawing>
          <wp:inline distT="0" distB="0" distL="0" distR="0" wp14:anchorId="09E4784E" wp14:editId="0D57AB7D">
            <wp:extent cx="2365487" cy="2291787"/>
            <wp:effectExtent l="0" t="0" r="0" b="0"/>
            <wp:docPr id="13" name="Picture 1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p&#10;&#10;Description automatically generated"/>
                    <pic:cNvPicPr>
                      <a:picLocks noChangeAspect="1" noChangeArrowheads="1"/>
                    </pic:cNvPicPr>
                  </pic:nvPicPr>
                  <pic:blipFill>
                    <a:blip r:embed="rId55" r:link="rId56">
                      <a:extLst>
                        <a:ext uri="{28A0092B-C50C-407E-A947-70E740481C1C}">
                          <a14:useLocalDpi xmlns:a14="http://schemas.microsoft.com/office/drawing/2010/main" val="0"/>
                        </a:ext>
                      </a:extLst>
                    </a:blip>
                    <a:srcRect/>
                    <a:stretch>
                      <a:fillRect/>
                    </a:stretch>
                  </pic:blipFill>
                  <pic:spPr bwMode="auto">
                    <a:xfrm>
                      <a:off x="0" y="0"/>
                      <a:ext cx="2389061" cy="2314627"/>
                    </a:xfrm>
                    <a:prstGeom prst="rect">
                      <a:avLst/>
                    </a:prstGeom>
                    <a:noFill/>
                    <a:ln>
                      <a:noFill/>
                    </a:ln>
                  </pic:spPr>
                </pic:pic>
              </a:graphicData>
            </a:graphic>
          </wp:inline>
        </w:drawing>
      </w:r>
      <w:r w:rsidR="00957A5E">
        <w:rPr>
          <w:rFonts w:eastAsia="Arial"/>
          <w:color w:val="000000" w:themeColor="text1"/>
        </w:rPr>
        <w:t xml:space="preserve"> </w:t>
      </w:r>
    </w:p>
    <w:p w14:paraId="56B80AA3" w14:textId="2EDD2F6D" w:rsidR="006848C5" w:rsidRPr="00B12F49" w:rsidRDefault="001207ED" w:rsidP="00701F3F">
      <w:pPr>
        <w:pStyle w:val="Figureheading"/>
        <w:tabs>
          <w:tab w:val="num" w:pos="993"/>
        </w:tabs>
        <w:ind w:left="993" w:hanging="993"/>
        <w:rPr>
          <w:rFonts w:eastAsia="Arial"/>
        </w:rPr>
      </w:pPr>
      <w:r w:rsidRPr="00701F3F">
        <w:rPr>
          <w:rFonts w:eastAsia="Arial"/>
        </w:rPr>
        <w:t>Regional New South Wales south</w:t>
      </w:r>
      <w:r w:rsidR="00FD5F4B" w:rsidRPr="00701F3F">
        <w:rPr>
          <w:rFonts w:eastAsia="Arial"/>
        </w:rPr>
        <w:t xml:space="preserve"> – sou</w:t>
      </w:r>
      <w:r w:rsidR="00675C6B" w:rsidRPr="00701F3F">
        <w:rPr>
          <w:rFonts w:eastAsia="Arial"/>
        </w:rPr>
        <w:t xml:space="preserve">thern </w:t>
      </w:r>
      <w:r w:rsidR="00B12F49">
        <w:rPr>
          <w:rFonts w:eastAsia="Arial"/>
        </w:rPr>
        <w:t>border</w:t>
      </w:r>
    </w:p>
    <w:p w14:paraId="6E84F206" w14:textId="74C7D37D" w:rsidR="00675C6B" w:rsidRDefault="00675C6B" w:rsidP="7EB58DFB">
      <w:pPr>
        <w:pStyle w:val="Paragraph"/>
        <w:rPr>
          <w:rFonts w:eastAsia="Arial"/>
          <w:color w:val="000000" w:themeColor="text1"/>
        </w:rPr>
      </w:pPr>
      <w:r>
        <w:rPr>
          <w:noProof/>
        </w:rPr>
        <w:drawing>
          <wp:inline distT="0" distB="0" distL="0" distR="0" wp14:anchorId="449C8982" wp14:editId="6EB71B32">
            <wp:extent cx="2401747" cy="2330049"/>
            <wp:effectExtent l="0" t="0" r="0" b="0"/>
            <wp:docPr id="20" name="Picture 2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p&#10;&#10;Description automatically generated"/>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2419504" cy="2347276"/>
                    </a:xfrm>
                    <a:prstGeom prst="rect">
                      <a:avLst/>
                    </a:prstGeom>
                    <a:noFill/>
                    <a:ln>
                      <a:noFill/>
                    </a:ln>
                  </pic:spPr>
                </pic:pic>
              </a:graphicData>
            </a:graphic>
          </wp:inline>
        </w:drawing>
      </w:r>
      <w:r>
        <w:rPr>
          <w:rFonts w:eastAsia="Arial"/>
          <w:color w:val="000000" w:themeColor="text1"/>
        </w:rPr>
        <w:t xml:space="preserve"> </w:t>
      </w:r>
      <w:r w:rsidR="00A94241">
        <w:rPr>
          <w:noProof/>
        </w:rPr>
        <w:drawing>
          <wp:inline distT="0" distB="0" distL="0" distR="0" wp14:anchorId="787D69B0" wp14:editId="21715C0E">
            <wp:extent cx="2401747" cy="2327544"/>
            <wp:effectExtent l="0" t="0" r="0" b="0"/>
            <wp:docPr id="21" name="Picture 2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p&#10;&#10;Description automatically generated"/>
                    <pic:cNvPicPr>
                      <a:picLocks noChangeAspect="1" noChangeArrowheads="1"/>
                    </pic:cNvPicPr>
                  </pic:nvPicPr>
                  <pic:blipFill>
                    <a:blip r:embed="rId59" r:link="rId60">
                      <a:extLst>
                        <a:ext uri="{28A0092B-C50C-407E-A947-70E740481C1C}">
                          <a14:useLocalDpi xmlns:a14="http://schemas.microsoft.com/office/drawing/2010/main" val="0"/>
                        </a:ext>
                      </a:extLst>
                    </a:blip>
                    <a:srcRect/>
                    <a:stretch>
                      <a:fillRect/>
                    </a:stretch>
                  </pic:blipFill>
                  <pic:spPr bwMode="auto">
                    <a:xfrm>
                      <a:off x="0" y="0"/>
                      <a:ext cx="2415272" cy="2340651"/>
                    </a:xfrm>
                    <a:prstGeom prst="rect">
                      <a:avLst/>
                    </a:prstGeom>
                    <a:noFill/>
                    <a:ln>
                      <a:noFill/>
                    </a:ln>
                  </pic:spPr>
                </pic:pic>
              </a:graphicData>
            </a:graphic>
          </wp:inline>
        </w:drawing>
      </w:r>
    </w:p>
    <w:p w14:paraId="3AF7434C" w14:textId="733050BF" w:rsidR="00A94241" w:rsidRDefault="00424EE8" w:rsidP="00C813E7">
      <w:pPr>
        <w:pStyle w:val="Heading3"/>
        <w:keepLines/>
        <w:rPr>
          <w:rFonts w:eastAsia="Arial"/>
        </w:rPr>
      </w:pPr>
      <w:r w:rsidRPr="004A5D00">
        <w:rPr>
          <w:rFonts w:eastAsia="Arial"/>
        </w:rPr>
        <w:lastRenderedPageBreak/>
        <w:t>Regional South Australia</w:t>
      </w:r>
    </w:p>
    <w:p w14:paraId="580F56ED" w14:textId="3F46AA97" w:rsidR="00391425" w:rsidRDefault="00391425" w:rsidP="00C813E7">
      <w:pPr>
        <w:pStyle w:val="Paragraph"/>
        <w:keepNext/>
        <w:keepLines/>
        <w:rPr>
          <w:rFonts w:eastAsia="Arial"/>
          <w:color w:val="000000" w:themeColor="text1"/>
        </w:rPr>
      </w:pPr>
      <w:r>
        <w:rPr>
          <w:rFonts w:eastAsia="Arial"/>
          <w:color w:val="000000" w:themeColor="text1"/>
        </w:rPr>
        <w:t xml:space="preserve">There is a small misalignment on the eastern </w:t>
      </w:r>
      <w:r w:rsidRPr="00837816">
        <w:rPr>
          <w:rFonts w:eastAsia="Arial"/>
          <w:color w:val="000000" w:themeColor="text1"/>
        </w:rPr>
        <w:t xml:space="preserve">border of </w:t>
      </w:r>
      <w:r w:rsidR="00837816" w:rsidRPr="00837816">
        <w:rPr>
          <w:rFonts w:eastAsia="Arial"/>
          <w:color w:val="000000" w:themeColor="text1"/>
        </w:rPr>
        <w:t>r</w:t>
      </w:r>
      <w:r w:rsidRPr="00837816">
        <w:rPr>
          <w:rFonts w:eastAsia="Arial"/>
          <w:color w:val="000000" w:themeColor="text1"/>
        </w:rPr>
        <w:t xml:space="preserve">egional </w:t>
      </w:r>
      <w:r w:rsidR="00837816" w:rsidRPr="00837816">
        <w:rPr>
          <w:rFonts w:eastAsia="Arial"/>
          <w:color w:val="000000" w:themeColor="text1"/>
        </w:rPr>
        <w:t>a</w:t>
      </w:r>
      <w:r w:rsidRPr="00837816">
        <w:rPr>
          <w:rFonts w:eastAsia="Arial"/>
          <w:color w:val="000000" w:themeColor="text1"/>
        </w:rPr>
        <w:t xml:space="preserve">rea 2 and the </w:t>
      </w:r>
      <w:r w:rsidR="00742C25" w:rsidRPr="00837816">
        <w:rPr>
          <w:rFonts w:eastAsia="Arial"/>
          <w:color w:val="000000" w:themeColor="text1"/>
        </w:rPr>
        <w:t xml:space="preserve">3.6 GHz </w:t>
      </w:r>
      <w:r w:rsidR="00837816" w:rsidRPr="00837816">
        <w:rPr>
          <w:rFonts w:eastAsia="Arial"/>
          <w:color w:val="000000" w:themeColor="text1"/>
        </w:rPr>
        <w:t>r</w:t>
      </w:r>
      <w:r w:rsidR="00742C25" w:rsidRPr="00837816">
        <w:rPr>
          <w:rFonts w:eastAsia="Arial"/>
          <w:color w:val="000000" w:themeColor="text1"/>
        </w:rPr>
        <w:t>egional South Australia area</w:t>
      </w:r>
      <w:r w:rsidR="00A9465F">
        <w:rPr>
          <w:rFonts w:eastAsia="Arial"/>
          <w:color w:val="000000" w:themeColor="text1"/>
        </w:rPr>
        <w:t>, refer to Figure 6</w:t>
      </w:r>
      <w:r w:rsidR="00742C25" w:rsidRPr="00837816">
        <w:rPr>
          <w:rFonts w:eastAsia="Arial"/>
          <w:color w:val="000000" w:themeColor="text1"/>
        </w:rPr>
        <w:t xml:space="preserve">. We have made minor adjustments to </w:t>
      </w:r>
      <w:r w:rsidR="00837816" w:rsidRPr="00837816">
        <w:rPr>
          <w:rFonts w:eastAsia="Arial"/>
          <w:color w:val="000000" w:themeColor="text1"/>
        </w:rPr>
        <w:t>r</w:t>
      </w:r>
      <w:r w:rsidR="00742C25" w:rsidRPr="00837816">
        <w:rPr>
          <w:rFonts w:eastAsia="Arial"/>
          <w:color w:val="000000" w:themeColor="text1"/>
        </w:rPr>
        <w:t xml:space="preserve">egional </w:t>
      </w:r>
      <w:r w:rsidR="00837816" w:rsidRPr="00837816">
        <w:rPr>
          <w:rFonts w:eastAsia="Arial"/>
          <w:color w:val="000000" w:themeColor="text1"/>
        </w:rPr>
        <w:t>a</w:t>
      </w:r>
      <w:r w:rsidR="00D16B61" w:rsidRPr="00837816">
        <w:rPr>
          <w:rFonts w:eastAsia="Arial"/>
          <w:color w:val="000000" w:themeColor="text1"/>
        </w:rPr>
        <w:t>rea 2 so that they</w:t>
      </w:r>
      <w:r w:rsidR="00E73819" w:rsidRPr="00837816">
        <w:rPr>
          <w:rFonts w:eastAsia="Arial"/>
          <w:color w:val="000000" w:themeColor="text1"/>
        </w:rPr>
        <w:t xml:space="preserve"> </w:t>
      </w:r>
      <w:r w:rsidR="00D16B61" w:rsidRPr="00837816">
        <w:rPr>
          <w:rFonts w:eastAsia="Arial"/>
          <w:color w:val="000000" w:themeColor="text1"/>
        </w:rPr>
        <w:t>align.</w:t>
      </w:r>
    </w:p>
    <w:p w14:paraId="684E2585" w14:textId="76714654" w:rsidR="001207ED" w:rsidRPr="00701F3F" w:rsidRDefault="001207ED" w:rsidP="00C813E7">
      <w:pPr>
        <w:pStyle w:val="Figureheading"/>
        <w:keepLines/>
        <w:tabs>
          <w:tab w:val="num" w:pos="993"/>
        </w:tabs>
        <w:ind w:left="993" w:hanging="993"/>
        <w:rPr>
          <w:rFonts w:eastAsia="Arial"/>
          <w:color w:val="auto"/>
        </w:rPr>
      </w:pPr>
      <w:r w:rsidRPr="00B12F49">
        <w:rPr>
          <w:rFonts w:eastAsia="Arial"/>
        </w:rPr>
        <w:t xml:space="preserve">Regional South Australia </w:t>
      </w:r>
      <w:r w:rsidR="00B12F49">
        <w:rPr>
          <w:rFonts w:eastAsia="Arial"/>
        </w:rPr>
        <w:t>– eastern border</w:t>
      </w:r>
    </w:p>
    <w:p w14:paraId="52905F5B" w14:textId="5AD8DC73" w:rsidR="00D16B61" w:rsidRPr="00391425" w:rsidRDefault="007A5AC1" w:rsidP="00C813E7">
      <w:pPr>
        <w:pStyle w:val="Paragraph"/>
        <w:keepNext/>
        <w:keepLines/>
        <w:rPr>
          <w:rFonts w:eastAsia="Arial"/>
          <w:color w:val="000000" w:themeColor="text1"/>
        </w:rPr>
      </w:pPr>
      <w:r>
        <w:rPr>
          <w:rFonts w:eastAsia="Arial"/>
          <w:color w:val="000000" w:themeColor="text1"/>
        </w:rPr>
        <w:t xml:space="preserve"> </w:t>
      </w:r>
      <w:r w:rsidR="001054EF">
        <w:rPr>
          <w:noProof/>
        </w:rPr>
        <w:drawing>
          <wp:inline distT="0" distB="0" distL="0" distR="0" wp14:anchorId="79BA044A" wp14:editId="0899D25C">
            <wp:extent cx="2332299" cy="2260240"/>
            <wp:effectExtent l="0" t="0" r="0" b="6985"/>
            <wp:docPr id="23" name="Picture 2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p&#10;&#10;Description automatically generated"/>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2357569" cy="2284730"/>
                    </a:xfrm>
                    <a:prstGeom prst="rect">
                      <a:avLst/>
                    </a:prstGeom>
                    <a:noFill/>
                    <a:ln>
                      <a:noFill/>
                    </a:ln>
                  </pic:spPr>
                </pic:pic>
              </a:graphicData>
            </a:graphic>
          </wp:inline>
        </w:drawing>
      </w:r>
      <w:r w:rsidR="00087324">
        <w:rPr>
          <w:rFonts w:eastAsia="Arial"/>
          <w:color w:val="000000" w:themeColor="text1"/>
        </w:rPr>
        <w:t xml:space="preserve"> </w:t>
      </w:r>
      <w:r w:rsidR="00087324">
        <w:rPr>
          <w:noProof/>
        </w:rPr>
        <w:drawing>
          <wp:inline distT="0" distB="0" distL="0" distR="0" wp14:anchorId="07428DB3" wp14:editId="3AAEDD86">
            <wp:extent cx="2340963" cy="2268638"/>
            <wp:effectExtent l="0" t="0" r="2540" b="0"/>
            <wp:docPr id="24" name="Picture 2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p&#10;&#10;Description automatically generated"/>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2347465" cy="2274939"/>
                    </a:xfrm>
                    <a:prstGeom prst="rect">
                      <a:avLst/>
                    </a:prstGeom>
                    <a:noFill/>
                    <a:ln>
                      <a:noFill/>
                    </a:ln>
                  </pic:spPr>
                </pic:pic>
              </a:graphicData>
            </a:graphic>
          </wp:inline>
        </w:drawing>
      </w:r>
    </w:p>
    <w:p w14:paraId="0442AA3A" w14:textId="7D3E0B3C" w:rsidR="003525C9" w:rsidRPr="00E162C4" w:rsidRDefault="45CC8FA8" w:rsidP="003525C9">
      <w:pPr>
        <w:pStyle w:val="Heading2"/>
      </w:pPr>
      <w:bookmarkStart w:id="22" w:name="_Toc108697868"/>
      <w:r>
        <w:t xml:space="preserve">Licence </w:t>
      </w:r>
      <w:r w:rsidR="1139D0B6">
        <w:t>t</w:t>
      </w:r>
      <w:r>
        <w:t>ype</w:t>
      </w:r>
      <w:bookmarkEnd w:id="22"/>
    </w:p>
    <w:p w14:paraId="72D311AB" w14:textId="03A044D3" w:rsidR="24FCBA5A" w:rsidRPr="00CB15AF" w:rsidRDefault="40011272" w:rsidP="01F36A8B">
      <w:pPr>
        <w:pStyle w:val="Paragraph"/>
        <w:rPr>
          <w:rFonts w:eastAsia="Arial"/>
        </w:rPr>
      </w:pPr>
      <w:r w:rsidRPr="01F36A8B">
        <w:rPr>
          <w:rFonts w:eastAsia="Arial"/>
        </w:rPr>
        <w:t xml:space="preserve">The </w:t>
      </w:r>
      <w:r w:rsidR="00DA7EC1">
        <w:rPr>
          <w:rFonts w:eastAsia="Arial"/>
        </w:rPr>
        <w:t>regional</w:t>
      </w:r>
      <w:r w:rsidRPr="01F36A8B">
        <w:rPr>
          <w:rFonts w:eastAsia="Arial"/>
        </w:rPr>
        <w:t xml:space="preserve"> 3.4 GHz and 3.7 GHz bands </w:t>
      </w:r>
      <w:r w:rsidR="0D73B20B" w:rsidRPr="5E1BD7A5">
        <w:rPr>
          <w:rFonts w:eastAsia="Arial"/>
        </w:rPr>
        <w:t>have</w:t>
      </w:r>
      <w:r w:rsidR="0D73B20B" w:rsidRPr="01F36A8B">
        <w:rPr>
          <w:rFonts w:eastAsia="Arial"/>
        </w:rPr>
        <w:t xml:space="preserve"> been</w:t>
      </w:r>
      <w:r w:rsidR="58890A12" w:rsidRPr="01F36A8B">
        <w:rPr>
          <w:rFonts w:eastAsia="Arial"/>
        </w:rPr>
        <w:t xml:space="preserve"> declared for</w:t>
      </w:r>
      <w:r w:rsidRPr="01F36A8B">
        <w:rPr>
          <w:rFonts w:eastAsia="Arial"/>
        </w:rPr>
        <w:t xml:space="preserve"> re-allocat</w:t>
      </w:r>
      <w:r w:rsidR="58890A12" w:rsidRPr="01F36A8B">
        <w:rPr>
          <w:rFonts w:eastAsia="Arial"/>
        </w:rPr>
        <w:t>ion</w:t>
      </w:r>
      <w:r w:rsidRPr="01F36A8B">
        <w:rPr>
          <w:rFonts w:eastAsia="Arial"/>
        </w:rPr>
        <w:t xml:space="preserve"> by issuing spectrum licences.</w:t>
      </w:r>
    </w:p>
    <w:p w14:paraId="1654062A" w14:textId="4ED592DC" w:rsidR="7EB58DFB" w:rsidRDefault="7EB58DFB" w:rsidP="00D9185C">
      <w:pPr>
        <w:pStyle w:val="Paragraph"/>
        <w:rPr>
          <w:szCs w:val="20"/>
        </w:rPr>
      </w:pPr>
      <w:r>
        <w:t>Most submissions supported spectrum licensing for some or all parts of the spectrum</w:t>
      </w:r>
      <w:r w:rsidR="004F31DB">
        <w:t>,</w:t>
      </w:r>
      <w:r>
        <w:t xml:space="preserve"> subject to the re-allocation declaration.</w:t>
      </w:r>
    </w:p>
    <w:p w14:paraId="2CFCD3BC" w14:textId="150B29AA" w:rsidR="007F58BC" w:rsidRDefault="58890A12" w:rsidP="01F36A8B">
      <w:pPr>
        <w:pStyle w:val="Paragraph"/>
        <w:rPr>
          <w:rFonts w:eastAsia="Arial"/>
        </w:rPr>
      </w:pPr>
      <w:r w:rsidRPr="01F36A8B">
        <w:rPr>
          <w:rFonts w:eastAsia="Arial"/>
        </w:rPr>
        <w:t>Submissions</w:t>
      </w:r>
      <w:r w:rsidR="40011272" w:rsidRPr="01F36A8B">
        <w:rPr>
          <w:rFonts w:eastAsia="Arial"/>
        </w:rPr>
        <w:t xml:space="preserve"> indicated that the primary use for spectrum in the 3.4/3.7 GHz bands would be for the deployment of WA WBB services. Spectrum licensing the 3.4/3.7 GHz bands would </w:t>
      </w:r>
      <w:r w:rsidR="2D3F8FEC" w:rsidRPr="01F36A8B">
        <w:rPr>
          <w:rFonts w:eastAsia="Arial"/>
        </w:rPr>
        <w:t xml:space="preserve">best </w:t>
      </w:r>
      <w:r w:rsidR="40011272" w:rsidRPr="01F36A8B">
        <w:rPr>
          <w:rFonts w:eastAsia="Arial"/>
        </w:rPr>
        <w:t>meet the continually</w:t>
      </w:r>
      <w:r w:rsidR="004F31DB">
        <w:rPr>
          <w:rFonts w:eastAsia="Arial"/>
        </w:rPr>
        <w:t>-</w:t>
      </w:r>
      <w:r w:rsidR="40011272" w:rsidRPr="01F36A8B">
        <w:rPr>
          <w:rFonts w:eastAsia="Arial"/>
        </w:rPr>
        <w:t xml:space="preserve">growing demand </w:t>
      </w:r>
      <w:r w:rsidR="58466C67" w:rsidRPr="01F36A8B">
        <w:rPr>
          <w:rFonts w:eastAsia="Arial"/>
        </w:rPr>
        <w:t>expressed for this spectrum</w:t>
      </w:r>
      <w:r w:rsidR="6B43B3D0" w:rsidRPr="01F36A8B">
        <w:rPr>
          <w:rFonts w:eastAsia="Arial"/>
        </w:rPr>
        <w:t>.</w:t>
      </w:r>
    </w:p>
    <w:p w14:paraId="56117206" w14:textId="00678E68" w:rsidR="00366D0D" w:rsidRPr="001E591D" w:rsidRDefault="6B43B3D0" w:rsidP="01F36A8B">
      <w:pPr>
        <w:pStyle w:val="Paragraph"/>
      </w:pPr>
      <w:r w:rsidRPr="7EB58DFB">
        <w:rPr>
          <w:rFonts w:eastAsia="Arial"/>
        </w:rPr>
        <w:t xml:space="preserve">Although </w:t>
      </w:r>
      <w:r w:rsidR="272C78F2" w:rsidRPr="7EB58DFB">
        <w:rPr>
          <w:rFonts w:eastAsia="Arial"/>
        </w:rPr>
        <w:t>s</w:t>
      </w:r>
      <w:r w:rsidR="272C78F2">
        <w:t>pectrum licences have historically been used to facilitate the rollout of WA WBB networks</w:t>
      </w:r>
      <w:r>
        <w:t>, a</w:t>
      </w:r>
      <w:r w:rsidR="272C78F2">
        <w:t>n inherent feature of spectrum licensing is technological flexibility. The technical framework for spectrum licences, while usually optimised for an expected technology, generally specifies only generic technical details and limitations</w:t>
      </w:r>
      <w:r w:rsidR="001E591D">
        <w:rPr>
          <w:vertAlign w:val="superscript"/>
        </w:rPr>
        <w:footnoteReference w:id="6"/>
      </w:r>
      <w:r w:rsidR="004F31DB">
        <w:t xml:space="preserve"> –</w:t>
      </w:r>
      <w:r w:rsidR="272C78F2">
        <w:t xml:space="preserve"> </w:t>
      </w:r>
      <w:r w:rsidR="004F31DB">
        <w:t>it</w:t>
      </w:r>
      <w:r w:rsidR="272C78F2">
        <w:t xml:space="preserve"> does not expressly mandate a particular type of technology or service. This allows a licensee to deploy any technology as long as it complies with the terms and conditions of the licence, without intervention from the </w:t>
      </w:r>
      <w:r w:rsidR="00CB570B">
        <w:t>ACMA</w:t>
      </w:r>
      <w:r w:rsidR="272C78F2">
        <w:t xml:space="preserve">. It is up to the licensee to manage interference between radiocommunications devices, although this can be mitigated by the adoption of international standards. </w:t>
      </w:r>
      <w:r w:rsidR="003532CC" w:rsidRPr="003532CC">
        <w:t>In line with the MPS for this allocation, we consider that this feature of spectrum licensing supports a wide range of WBB use-cases and users, in the medium- and long-term, as well as the deployment of 5G technologies.</w:t>
      </w:r>
    </w:p>
    <w:p w14:paraId="3578899B" w14:textId="1F47D591" w:rsidR="00946533" w:rsidRDefault="40011272" w:rsidP="01F36A8B">
      <w:pPr>
        <w:pStyle w:val="Paragraph"/>
        <w:rPr>
          <w:rFonts w:eastAsia="Arial"/>
        </w:rPr>
      </w:pPr>
      <w:r w:rsidRPr="01F36A8B">
        <w:rPr>
          <w:rFonts w:eastAsia="Arial"/>
        </w:rPr>
        <w:t xml:space="preserve">Additionally, spectrum licensing the 3.4/3.7 GHz bands will remove a regulatory barrier to </w:t>
      </w:r>
      <w:r w:rsidR="083612FC" w:rsidRPr="01F36A8B">
        <w:rPr>
          <w:rFonts w:eastAsia="Arial"/>
        </w:rPr>
        <w:t>defragmenting</w:t>
      </w:r>
      <w:r w:rsidRPr="01F36A8B">
        <w:rPr>
          <w:rFonts w:eastAsia="Arial"/>
        </w:rPr>
        <w:t xml:space="preserve"> </w:t>
      </w:r>
      <w:r w:rsidR="493D3A52" w:rsidRPr="01F36A8B">
        <w:rPr>
          <w:rFonts w:eastAsia="Arial"/>
        </w:rPr>
        <w:t xml:space="preserve">part or all of the </w:t>
      </w:r>
      <w:r w:rsidR="6D5A81C8" w:rsidRPr="01F36A8B">
        <w:rPr>
          <w:rFonts w:eastAsia="Arial"/>
        </w:rPr>
        <w:t>3.4</w:t>
      </w:r>
      <w:r w:rsidR="004F31DB">
        <w:t>–</w:t>
      </w:r>
      <w:r w:rsidR="6D5A81C8" w:rsidRPr="01F36A8B">
        <w:rPr>
          <w:rFonts w:eastAsia="Arial"/>
        </w:rPr>
        <w:t>3.8 GHz frequency range</w:t>
      </w:r>
      <w:r w:rsidRPr="01F36A8B">
        <w:rPr>
          <w:rFonts w:eastAsia="Arial"/>
        </w:rPr>
        <w:t xml:space="preserve">. </w:t>
      </w:r>
      <w:r w:rsidR="19ECD124">
        <w:t xml:space="preserve">Spectrum licences are more conducive to spectrum trading than apparatus licences, due to their ability to be sub-divided for trading and technological flexibility. </w:t>
      </w:r>
      <w:r w:rsidRPr="01F36A8B">
        <w:rPr>
          <w:rFonts w:eastAsia="Arial"/>
        </w:rPr>
        <w:t xml:space="preserve">The adjacent parts of the spectrum, such as </w:t>
      </w:r>
      <w:r w:rsidR="116A5338" w:rsidRPr="01F36A8B">
        <w:rPr>
          <w:rFonts w:eastAsia="Arial"/>
        </w:rPr>
        <w:t>the 3.4</w:t>
      </w:r>
      <w:r w:rsidR="004F31DB">
        <w:rPr>
          <w:rFonts w:eastAsia="Arial"/>
        </w:rPr>
        <w:t>–</w:t>
      </w:r>
      <w:r w:rsidR="116A5338" w:rsidRPr="01F36A8B">
        <w:rPr>
          <w:rFonts w:eastAsia="Arial"/>
        </w:rPr>
        <w:t>3.</w:t>
      </w:r>
      <w:r w:rsidR="043B97FB" w:rsidRPr="01F36A8B">
        <w:rPr>
          <w:rFonts w:eastAsia="Arial"/>
        </w:rPr>
        <w:t xml:space="preserve">575 GHz frequency range in some metropolitan and </w:t>
      </w:r>
      <w:r w:rsidR="043B97FB" w:rsidRPr="01F36A8B">
        <w:rPr>
          <w:rFonts w:eastAsia="Arial"/>
        </w:rPr>
        <w:lastRenderedPageBreak/>
        <w:t>regional areas</w:t>
      </w:r>
      <w:r w:rsidR="70538549" w:rsidRPr="01F36A8B">
        <w:rPr>
          <w:rFonts w:eastAsia="Arial"/>
        </w:rPr>
        <w:t xml:space="preserve"> </w:t>
      </w:r>
      <w:r w:rsidR="007D1A3F">
        <w:rPr>
          <w:rFonts w:eastAsia="Arial"/>
        </w:rPr>
        <w:t>that</w:t>
      </w:r>
      <w:r w:rsidR="007D1A3F" w:rsidRPr="01F36A8B">
        <w:rPr>
          <w:rFonts w:eastAsia="Arial"/>
        </w:rPr>
        <w:t xml:space="preserve"> </w:t>
      </w:r>
      <w:r w:rsidR="70538549" w:rsidRPr="01F36A8B">
        <w:rPr>
          <w:rFonts w:eastAsia="Arial"/>
        </w:rPr>
        <w:t>was auctioned in 2000</w:t>
      </w:r>
      <w:r w:rsidRPr="01F36A8B">
        <w:rPr>
          <w:rFonts w:eastAsia="Arial"/>
        </w:rPr>
        <w:t>, and the 3.6 GHz band</w:t>
      </w:r>
      <w:r w:rsidR="043B97FB" w:rsidRPr="01F36A8B">
        <w:rPr>
          <w:rFonts w:eastAsia="Arial"/>
        </w:rPr>
        <w:t xml:space="preserve"> </w:t>
      </w:r>
      <w:r w:rsidR="007D1A3F">
        <w:rPr>
          <w:rFonts w:eastAsia="Arial"/>
        </w:rPr>
        <w:t>that</w:t>
      </w:r>
      <w:r w:rsidR="007D1A3F" w:rsidRPr="01F36A8B">
        <w:rPr>
          <w:rFonts w:eastAsia="Arial"/>
        </w:rPr>
        <w:t xml:space="preserve"> </w:t>
      </w:r>
      <w:r w:rsidRPr="01F36A8B">
        <w:rPr>
          <w:rFonts w:eastAsia="Arial"/>
        </w:rPr>
        <w:t>was auctioned in 2018</w:t>
      </w:r>
      <w:r w:rsidR="007D1A3F">
        <w:rPr>
          <w:rFonts w:eastAsia="Arial"/>
        </w:rPr>
        <w:t>,</w:t>
      </w:r>
      <w:r w:rsidRPr="01F36A8B">
        <w:rPr>
          <w:rFonts w:eastAsia="Arial"/>
        </w:rPr>
        <w:t xml:space="preserve"> are all currently spectrum licensed.</w:t>
      </w:r>
    </w:p>
    <w:p w14:paraId="3C5773F2" w14:textId="699D6AE4" w:rsidR="00062442" w:rsidRPr="00E162C4" w:rsidRDefault="00062442" w:rsidP="00062442">
      <w:pPr>
        <w:pStyle w:val="Heading2"/>
      </w:pPr>
      <w:bookmarkStart w:id="23" w:name="_Toc108697869"/>
      <w:r>
        <w:t>Re-allocation period and deadline</w:t>
      </w:r>
      <w:bookmarkEnd w:id="23"/>
    </w:p>
    <w:p w14:paraId="7AAF2C02" w14:textId="57D79BA2" w:rsidR="0D4DC242" w:rsidRPr="004A5D00" w:rsidRDefault="0D4DC242" w:rsidP="53F94363">
      <w:pPr>
        <w:pStyle w:val="Paragraph"/>
        <w:rPr>
          <w:rFonts w:eastAsia="Calibri"/>
          <w:szCs w:val="20"/>
        </w:rPr>
      </w:pPr>
      <w:r w:rsidRPr="004A5D00">
        <w:rPr>
          <w:rFonts w:eastAsia="Calibri"/>
          <w:szCs w:val="20"/>
        </w:rPr>
        <w:t xml:space="preserve">The </w:t>
      </w:r>
      <w:r w:rsidR="004F715A">
        <w:rPr>
          <w:rFonts w:eastAsia="Calibri"/>
          <w:szCs w:val="20"/>
        </w:rPr>
        <w:t>ACMA has set a</w:t>
      </w:r>
      <w:r>
        <w:rPr>
          <w:rFonts w:eastAsia="Calibri"/>
          <w:szCs w:val="20"/>
        </w:rPr>
        <w:t xml:space="preserve"> </w:t>
      </w:r>
      <w:r w:rsidRPr="004A5D00">
        <w:rPr>
          <w:rFonts w:eastAsia="Calibri"/>
          <w:szCs w:val="20"/>
        </w:rPr>
        <w:t xml:space="preserve">re-allocation period for the </w:t>
      </w:r>
      <w:r w:rsidR="00CB570B">
        <w:rPr>
          <w:rFonts w:eastAsia="Calibri"/>
          <w:szCs w:val="20"/>
        </w:rPr>
        <w:t>regional</w:t>
      </w:r>
      <w:r w:rsidRPr="004A5D00">
        <w:rPr>
          <w:rFonts w:eastAsia="Calibri"/>
          <w:szCs w:val="20"/>
        </w:rPr>
        <w:t xml:space="preserve"> 3.4 GHz and 3.7 GHz bands </w:t>
      </w:r>
      <w:r w:rsidR="004F715A">
        <w:rPr>
          <w:rFonts w:eastAsia="Calibri"/>
          <w:szCs w:val="20"/>
        </w:rPr>
        <w:t>of</w:t>
      </w:r>
      <w:r w:rsidRPr="004A5D00">
        <w:rPr>
          <w:rFonts w:eastAsia="Calibri"/>
          <w:szCs w:val="20"/>
        </w:rPr>
        <w:t xml:space="preserve"> 5 years from the commencement of the re-allocation declaration.</w:t>
      </w:r>
    </w:p>
    <w:p w14:paraId="0942F2B7" w14:textId="67A16C0F" w:rsidR="0D4DC242" w:rsidRPr="004A5D00" w:rsidRDefault="0D4DC242" w:rsidP="004A5D00">
      <w:pPr>
        <w:pStyle w:val="Paragraphbeforelist"/>
        <w:rPr>
          <w:rFonts w:eastAsia="Calibri"/>
        </w:rPr>
      </w:pPr>
      <w:r w:rsidRPr="004A5D00">
        <w:rPr>
          <w:rFonts w:eastAsia="Calibri"/>
        </w:rPr>
        <w:t>Our decision was based on the following factors:</w:t>
      </w:r>
    </w:p>
    <w:p w14:paraId="5D8059ED" w14:textId="302A3CED" w:rsidR="0D4DC242" w:rsidRPr="00C03EE7" w:rsidRDefault="0D4DC242" w:rsidP="004A5D00">
      <w:pPr>
        <w:pStyle w:val="ListBullet"/>
        <w:rPr>
          <w:rFonts w:eastAsia="Arial" w:cs="Arial"/>
          <w:szCs w:val="20"/>
        </w:rPr>
      </w:pPr>
      <w:r w:rsidRPr="008068A8">
        <w:rPr>
          <w:rFonts w:cs="Arial"/>
          <w:szCs w:val="20"/>
        </w:rPr>
        <w:t>A longer re-allocation period provides sufficient time for PMP licensees to transition to other spectrum and satellite services to re-tune or re-locate to other spectrum.</w:t>
      </w:r>
      <w:r w:rsidR="00D556B4">
        <w:rPr>
          <w:rFonts w:cs="Arial"/>
          <w:szCs w:val="20"/>
        </w:rPr>
        <w:t xml:space="preserve"> Ensuring licensees </w:t>
      </w:r>
      <w:r w:rsidR="003216EE">
        <w:rPr>
          <w:rFonts w:cs="Arial"/>
          <w:szCs w:val="20"/>
        </w:rPr>
        <w:t>have</w:t>
      </w:r>
      <w:r w:rsidR="001B7F08">
        <w:rPr>
          <w:rFonts w:cs="Arial"/>
          <w:szCs w:val="20"/>
        </w:rPr>
        <w:t xml:space="preserve"> both</w:t>
      </w:r>
      <w:r w:rsidR="003216EE">
        <w:rPr>
          <w:rFonts w:cs="Arial"/>
          <w:szCs w:val="20"/>
        </w:rPr>
        <w:t xml:space="preserve"> sufficient time to transition their services to alternative arrangements</w:t>
      </w:r>
      <w:r w:rsidR="00CA3B34">
        <w:rPr>
          <w:rFonts w:cs="Arial"/>
          <w:szCs w:val="20"/>
        </w:rPr>
        <w:t>, as well</w:t>
      </w:r>
      <w:r w:rsidR="001B7F08">
        <w:rPr>
          <w:rFonts w:cs="Arial"/>
          <w:szCs w:val="20"/>
        </w:rPr>
        <w:t xml:space="preserve"> as</w:t>
      </w:r>
      <w:r w:rsidR="00D556B4">
        <w:rPr>
          <w:rFonts w:cs="Arial"/>
          <w:szCs w:val="20"/>
        </w:rPr>
        <w:t xml:space="preserve"> the opportunity to get a return on their sunk investments</w:t>
      </w:r>
      <w:r w:rsidR="001F115C">
        <w:rPr>
          <w:rFonts w:cs="Arial"/>
          <w:szCs w:val="20"/>
        </w:rPr>
        <w:t xml:space="preserve"> is consistent with the object of the Act</w:t>
      </w:r>
      <w:r w:rsidR="001B7F08">
        <w:rPr>
          <w:rFonts w:cs="Arial"/>
          <w:szCs w:val="20"/>
        </w:rPr>
        <w:t>; that is, th</w:t>
      </w:r>
      <w:r w:rsidR="008B51EA">
        <w:rPr>
          <w:rFonts w:cs="Arial"/>
          <w:szCs w:val="20"/>
        </w:rPr>
        <w:t xml:space="preserve">at the spectrum is efficiently used and </w:t>
      </w:r>
      <w:r w:rsidR="008D43C4">
        <w:rPr>
          <w:rFonts w:cs="Arial"/>
          <w:szCs w:val="20"/>
        </w:rPr>
        <w:t>that commercial use is facilitated</w:t>
      </w:r>
      <w:r w:rsidR="001F115C">
        <w:rPr>
          <w:rFonts w:cs="Arial"/>
          <w:szCs w:val="20"/>
        </w:rPr>
        <w:t>.</w:t>
      </w:r>
    </w:p>
    <w:p w14:paraId="0DD491AA" w14:textId="17216612" w:rsidR="0D4DC242" w:rsidRPr="00C13161" w:rsidRDefault="0D4DC242" w:rsidP="004A5D00">
      <w:pPr>
        <w:pStyle w:val="ListBullet"/>
        <w:rPr>
          <w:rFonts w:eastAsia="Arial" w:cs="Arial"/>
          <w:szCs w:val="20"/>
        </w:rPr>
      </w:pPr>
      <w:r w:rsidRPr="00C03EE7">
        <w:rPr>
          <w:rFonts w:cs="Arial"/>
          <w:szCs w:val="20"/>
        </w:rPr>
        <w:t xml:space="preserve">Licence </w:t>
      </w:r>
      <w:r w:rsidR="00CB570B">
        <w:rPr>
          <w:rFonts w:cs="Arial"/>
          <w:szCs w:val="20"/>
        </w:rPr>
        <w:t>issue and</w:t>
      </w:r>
      <w:r w:rsidRPr="00C03EE7">
        <w:rPr>
          <w:rFonts w:cs="Arial"/>
          <w:szCs w:val="20"/>
        </w:rPr>
        <w:t xml:space="preserve"> commencement shortly after the auction enables deployments where it does</w:t>
      </w:r>
      <w:r w:rsidR="00D65482">
        <w:rPr>
          <w:rFonts w:cs="Arial"/>
          <w:szCs w:val="20"/>
        </w:rPr>
        <w:t xml:space="preserve"> not</w:t>
      </w:r>
      <w:r w:rsidRPr="00C03EE7">
        <w:rPr>
          <w:rFonts w:cs="Arial"/>
          <w:szCs w:val="20"/>
        </w:rPr>
        <w:t xml:space="preserve"> cause interference to incumbents.</w:t>
      </w:r>
      <w:r w:rsidR="005A118E">
        <w:rPr>
          <w:rFonts w:cs="Arial"/>
          <w:szCs w:val="20"/>
        </w:rPr>
        <w:t xml:space="preserve"> This supports the deployment of new and innovative </w:t>
      </w:r>
      <w:r w:rsidR="00800598">
        <w:rPr>
          <w:rFonts w:cs="Arial"/>
          <w:szCs w:val="20"/>
        </w:rPr>
        <w:t>technologies, consistent with the MPS.</w:t>
      </w:r>
    </w:p>
    <w:p w14:paraId="0F8F1769" w14:textId="7713F5DF" w:rsidR="58CB20EF" w:rsidRPr="008068A8" w:rsidRDefault="0D4DC242" w:rsidP="004A5D00">
      <w:pPr>
        <w:pStyle w:val="ListBulletLast"/>
      </w:pPr>
      <w:r w:rsidRPr="00C13161">
        <w:t>Keeping the same re-allocation period across all spectrum promotes substitutability of spectrum at auction.</w:t>
      </w:r>
    </w:p>
    <w:p w14:paraId="1B0D7C3A" w14:textId="584C0452" w:rsidR="00C60E5A" w:rsidRDefault="5558E7A6" w:rsidP="00E55086">
      <w:pPr>
        <w:pStyle w:val="Paragraph"/>
      </w:pPr>
      <w:r>
        <w:t xml:space="preserve">We anticipate a re-allocation period of 5 years will not substantially inhibit new spectrum licensees in the </w:t>
      </w:r>
      <w:r w:rsidR="00CB570B">
        <w:t xml:space="preserve">regional </w:t>
      </w:r>
      <w:r>
        <w:t>3.4</w:t>
      </w:r>
      <w:r w:rsidR="00CB570B">
        <w:t xml:space="preserve"> and </w:t>
      </w:r>
      <w:r>
        <w:t xml:space="preserve">3.7 GHz bands to deploy services and will strike </w:t>
      </w:r>
      <w:r w:rsidR="7A773DB6">
        <w:t xml:space="preserve">a balance between enabling access to the spectrum by new services and </w:t>
      </w:r>
      <w:r w:rsidR="007D1A3F">
        <w:t xml:space="preserve">providing </w:t>
      </w:r>
      <w:r w:rsidR="7A773DB6">
        <w:t xml:space="preserve">time for incumbent </w:t>
      </w:r>
      <w:r w:rsidR="00CB570B">
        <w:t xml:space="preserve">apparatus </w:t>
      </w:r>
      <w:r w:rsidR="7A773DB6">
        <w:t xml:space="preserve">licensees to investigate and implement alternative </w:t>
      </w:r>
      <w:r>
        <w:t xml:space="preserve">options. </w:t>
      </w:r>
      <w:r w:rsidR="173DB199">
        <w:t xml:space="preserve">Spectrum in the lower part of the </w:t>
      </w:r>
      <w:r w:rsidR="00CB570B">
        <w:t xml:space="preserve">regional </w:t>
      </w:r>
      <w:r w:rsidR="173DB199">
        <w:t>3.4 GHz band (that is, in regional areas between 3.4</w:t>
      </w:r>
      <w:r w:rsidR="007D1A3F">
        <w:t>–</w:t>
      </w:r>
      <w:r w:rsidR="173DB199">
        <w:t>3.4425 GHz</w:t>
      </w:r>
      <w:r w:rsidR="007D1A3F">
        <w:t>)</w:t>
      </w:r>
      <w:r w:rsidR="173DB199">
        <w:t xml:space="preserve"> is unencumbered. For spectrum that is encumbered, w</w:t>
      </w:r>
      <w:r w:rsidR="71AA8BE6">
        <w:t>e</w:t>
      </w:r>
      <w:r>
        <w:t xml:space="preserve"> </w:t>
      </w:r>
      <w:r w:rsidR="7A773DB6" w:rsidRPr="01F36A8B">
        <w:rPr>
          <w:rFonts w:eastAsia="Arial"/>
        </w:rPr>
        <w:t xml:space="preserve">will implement policies to support the transition and/or clearance of incumbent services during the </w:t>
      </w:r>
      <w:r w:rsidR="003A7C5B">
        <w:rPr>
          <w:rFonts w:eastAsia="Arial"/>
        </w:rPr>
        <w:t>re-allocation</w:t>
      </w:r>
      <w:r w:rsidR="7A773DB6" w:rsidRPr="01F36A8B">
        <w:rPr>
          <w:rFonts w:eastAsia="Arial"/>
        </w:rPr>
        <w:t xml:space="preserve"> period.</w:t>
      </w:r>
      <w:r w:rsidR="40011272">
        <w:t xml:space="preserve"> </w:t>
      </w:r>
    </w:p>
    <w:p w14:paraId="5CB0F788" w14:textId="0580F846" w:rsidR="003467DE" w:rsidRPr="004B6863" w:rsidRDefault="003467DE" w:rsidP="00E55086">
      <w:pPr>
        <w:pStyle w:val="Paragraph"/>
        <w:rPr>
          <w:b/>
          <w:bCs/>
        </w:rPr>
      </w:pPr>
      <w:r w:rsidRPr="004B6863">
        <w:rPr>
          <w:b/>
          <w:bCs/>
        </w:rPr>
        <w:t xml:space="preserve">It is important to note that only </w:t>
      </w:r>
      <w:r w:rsidR="006E6B7C" w:rsidRPr="004B6863">
        <w:rPr>
          <w:b/>
          <w:bCs/>
        </w:rPr>
        <w:t xml:space="preserve">licensed </w:t>
      </w:r>
      <w:r w:rsidRPr="004B6863">
        <w:rPr>
          <w:b/>
          <w:bCs/>
        </w:rPr>
        <w:t xml:space="preserve">incumbent services will be afforded protection </w:t>
      </w:r>
      <w:r w:rsidR="006E6B7C" w:rsidRPr="004B6863">
        <w:rPr>
          <w:b/>
          <w:bCs/>
        </w:rPr>
        <w:t>during the re-allocation period.</w:t>
      </w:r>
    </w:p>
    <w:p w14:paraId="71C5AA7B" w14:textId="774E9E25" w:rsidR="003525C9" w:rsidRPr="008C1C17" w:rsidRDefault="23C76A49" w:rsidP="008C1C17">
      <w:pPr>
        <w:pStyle w:val="Paragraph"/>
      </w:pPr>
      <w:r>
        <w:t>Our preliminary</w:t>
      </w:r>
      <w:r w:rsidR="0BC155E5">
        <w:t xml:space="preserve"> view, expressed in the </w:t>
      </w:r>
      <w:r w:rsidR="544DE77E">
        <w:t>re</w:t>
      </w:r>
      <w:r w:rsidR="0BC155E5">
        <w:t>-allocation paper</w:t>
      </w:r>
      <w:r w:rsidR="46F600D4">
        <w:t xml:space="preserve">, is that licences </w:t>
      </w:r>
      <w:r w:rsidR="007D1A3F">
        <w:t xml:space="preserve">should be </w:t>
      </w:r>
      <w:r w:rsidR="00CB570B">
        <w:t xml:space="preserve">issued and </w:t>
      </w:r>
      <w:r w:rsidR="46F600D4">
        <w:t xml:space="preserve">commence </w:t>
      </w:r>
      <w:r w:rsidR="00A46C17">
        <w:t xml:space="preserve">shortly </w:t>
      </w:r>
      <w:r w:rsidR="46F600D4">
        <w:t xml:space="preserve">after the auction so that new spectrum licensees can commence </w:t>
      </w:r>
      <w:r w:rsidR="001D7256">
        <w:t xml:space="preserve">network </w:t>
      </w:r>
      <w:r w:rsidR="46F600D4">
        <w:t>deploy</w:t>
      </w:r>
      <w:r w:rsidR="001D7256">
        <w:t>ments</w:t>
      </w:r>
      <w:r w:rsidR="46F600D4">
        <w:t xml:space="preserve"> </w:t>
      </w:r>
      <w:r w:rsidR="009D2F7E">
        <w:t>where it does not caus</w:t>
      </w:r>
      <w:r w:rsidR="007C303C">
        <w:t>e interference to incumbent licensees</w:t>
      </w:r>
      <w:r w:rsidR="46F600D4">
        <w:t>. We will consult further on licence commencement when we consult on the draft allocation instruments for this auction.</w:t>
      </w:r>
    </w:p>
    <w:p w14:paraId="0A81DE5B" w14:textId="3C980692" w:rsidR="415F6A47" w:rsidRDefault="415F6A47" w:rsidP="415F6A47">
      <w:pPr>
        <w:pStyle w:val="Paragraph"/>
        <w:rPr>
          <w:szCs w:val="20"/>
        </w:rPr>
      </w:pPr>
      <w:r w:rsidRPr="415F6A47">
        <w:rPr>
          <w:szCs w:val="20"/>
        </w:rPr>
        <w:t xml:space="preserve">We </w:t>
      </w:r>
      <w:r w:rsidR="003A7C5B">
        <w:rPr>
          <w:szCs w:val="20"/>
        </w:rPr>
        <w:t xml:space="preserve">initially </w:t>
      </w:r>
      <w:r w:rsidRPr="415F6A47">
        <w:rPr>
          <w:szCs w:val="20"/>
        </w:rPr>
        <w:t>proposed a re-allocation deadline of 4 years. Submissions supported this proposal.</w:t>
      </w:r>
    </w:p>
    <w:p w14:paraId="65840BDC" w14:textId="72A40DA2" w:rsidR="415F6A47" w:rsidRDefault="00181453" w:rsidP="004A5D00">
      <w:pPr>
        <w:pStyle w:val="Paragraphbeforelist"/>
      </w:pPr>
      <w:r>
        <w:t>However, w</w:t>
      </w:r>
      <w:r w:rsidR="415F6A47" w:rsidRPr="415F6A47">
        <w:t xml:space="preserve">e </w:t>
      </w:r>
      <w:r w:rsidR="007843EA">
        <w:t>have</w:t>
      </w:r>
      <w:r w:rsidR="415F6A47" w:rsidRPr="415F6A47">
        <w:t xml:space="preserve"> decided to implement a re-allocation deadline</w:t>
      </w:r>
      <w:r w:rsidR="006B48A8">
        <w:t xml:space="preserve"> on the same day as the end of the re-allocation period</w:t>
      </w:r>
      <w:r w:rsidR="007D1A3F">
        <w:t>;</w:t>
      </w:r>
      <w:r>
        <w:t xml:space="preserve"> that is</w:t>
      </w:r>
      <w:r w:rsidR="007D1A3F">
        <w:t>,</w:t>
      </w:r>
      <w:r>
        <w:t xml:space="preserve"> 5 years from t</w:t>
      </w:r>
      <w:r w:rsidR="006B7E3F">
        <w:t>he commencement of the re-allocation declaration.</w:t>
      </w:r>
      <w:r w:rsidR="415F6A47" w:rsidRPr="415F6A47">
        <w:t xml:space="preserve"> There is no longer a requirement under the Act for the re-allocation deadline to be 12 months before the end of the re-allocation period</w:t>
      </w:r>
      <w:r w:rsidR="48F0B69B">
        <w:t>. We</w:t>
      </w:r>
      <w:r w:rsidR="415F6A47" w:rsidRPr="415F6A47">
        <w:t xml:space="preserve"> have decided to align the re-allocation period and re-allocation deadline</w:t>
      </w:r>
      <w:r w:rsidR="00D07188">
        <w:t xml:space="preserve"> because:</w:t>
      </w:r>
    </w:p>
    <w:p w14:paraId="7FFC1D7D" w14:textId="320F7B22" w:rsidR="415F6A47" w:rsidRDefault="007D1A3F" w:rsidP="004A5D00">
      <w:pPr>
        <w:pStyle w:val="ListBullet"/>
      </w:pPr>
      <w:r>
        <w:t>a</w:t>
      </w:r>
      <w:r w:rsidR="415F6A47" w:rsidRPr="003D2071">
        <w:t xml:space="preserve"> </w:t>
      </w:r>
      <w:r w:rsidR="2899E5D0">
        <w:t xml:space="preserve">longer re-allocation deadline </w:t>
      </w:r>
      <w:r w:rsidR="2899E5D0" w:rsidRPr="00AE2193">
        <w:t>provide</w:t>
      </w:r>
      <w:r w:rsidR="2899E5D0">
        <w:t>s</w:t>
      </w:r>
      <w:r w:rsidR="415F6A47" w:rsidRPr="00AE2193">
        <w:t xml:space="preserve"> the greatest opportunity to allocate this highly valued spectrum, to promote efficient spectrum use</w:t>
      </w:r>
    </w:p>
    <w:p w14:paraId="648137A3" w14:textId="16F39E1F" w:rsidR="4FBB9E20" w:rsidRDefault="007D1A3F" w:rsidP="004A5D00">
      <w:pPr>
        <w:pStyle w:val="ListBulletLast"/>
      </w:pPr>
      <w:r>
        <w:t>t</w:t>
      </w:r>
      <w:r w:rsidR="415F6A47" w:rsidRPr="00AE2193">
        <w:t>here is a possibility that some sp</w:t>
      </w:r>
      <w:r w:rsidR="415F6A47" w:rsidRPr="001947AA">
        <w:t xml:space="preserve">ectrum may be unsold at auction, due to the interplay of existing holdings and misaligned geographic areas. </w:t>
      </w:r>
    </w:p>
    <w:p w14:paraId="01B40E10" w14:textId="77777777" w:rsidR="009B6716" w:rsidRPr="00E162C4" w:rsidRDefault="009B6716" w:rsidP="0034428A">
      <w:pPr>
        <w:pStyle w:val="Heading2"/>
      </w:pPr>
      <w:bookmarkStart w:id="24" w:name="_Toc108697870"/>
      <w:r>
        <w:lastRenderedPageBreak/>
        <w:t>Managing interference into radio altimeters</w:t>
      </w:r>
      <w:bookmarkEnd w:id="24"/>
      <w:r w:rsidRPr="00E162C4">
        <w:t xml:space="preserve"> </w:t>
      </w:r>
    </w:p>
    <w:p w14:paraId="5E771B47" w14:textId="486753D4" w:rsidR="0009223C" w:rsidRDefault="002B6F9A" w:rsidP="195A1216">
      <w:pPr>
        <w:pStyle w:val="Paragraph"/>
      </w:pPr>
      <w:r>
        <w:t xml:space="preserve">The ACMA is monitoring international developments </w:t>
      </w:r>
      <w:r w:rsidR="00534595">
        <w:t>regarding the risk of interference from WBB</w:t>
      </w:r>
      <w:r w:rsidR="00272631">
        <w:t xml:space="preserve"> systems</w:t>
      </w:r>
      <w:r w:rsidR="00534595">
        <w:t xml:space="preserve"> (including 5G) into radio </w:t>
      </w:r>
      <w:r w:rsidR="004B075C">
        <w:t>altimeters</w:t>
      </w:r>
      <w:r w:rsidR="007D1A3F">
        <w:t>,</w:t>
      </w:r>
      <w:r w:rsidR="004B075C">
        <w:t xml:space="preserve"> along with any </w:t>
      </w:r>
      <w:r w:rsidR="00EC73F6">
        <w:t xml:space="preserve">mitigation </w:t>
      </w:r>
      <w:r w:rsidR="004B075C">
        <w:t xml:space="preserve">measures being implemented to manage this. </w:t>
      </w:r>
      <w:r w:rsidR="00CE280F">
        <w:t xml:space="preserve">These </w:t>
      </w:r>
      <w:r w:rsidR="00AB3A64">
        <w:t xml:space="preserve">developments will help inform </w:t>
      </w:r>
      <w:r w:rsidR="006C3B6A">
        <w:t xml:space="preserve">any </w:t>
      </w:r>
      <w:r w:rsidR="00A95B03">
        <w:t>temporary</w:t>
      </w:r>
      <w:r w:rsidR="006C3B6A">
        <w:t xml:space="preserve"> or long-term arrangements </w:t>
      </w:r>
      <w:r w:rsidR="00A95B03">
        <w:t>put in place to manage this issue</w:t>
      </w:r>
      <w:r w:rsidR="003E3631">
        <w:t xml:space="preserve"> domestically</w:t>
      </w:r>
      <w:r w:rsidR="00A95B03">
        <w:t xml:space="preserve">. </w:t>
      </w:r>
      <w:r w:rsidR="00D42864">
        <w:t>To date</w:t>
      </w:r>
      <w:r w:rsidR="007D1A3F">
        <w:t xml:space="preserve">, we are </w:t>
      </w:r>
      <w:r w:rsidR="00D42864">
        <w:t xml:space="preserve">not aware of any radio altimeter interference reports being causally linked to 5G. However, we acknowledge </w:t>
      </w:r>
      <w:r w:rsidR="00AB2F9F">
        <w:t>this does not mean</w:t>
      </w:r>
      <w:r w:rsidR="004B13D2">
        <w:t xml:space="preserve"> there is no</w:t>
      </w:r>
      <w:r w:rsidR="006D7800">
        <w:t xml:space="preserve"> risk of inference. </w:t>
      </w:r>
    </w:p>
    <w:p w14:paraId="1F0A1870" w14:textId="077341FC" w:rsidR="00F61B8C" w:rsidRPr="004A5D00" w:rsidRDefault="008E26E9" w:rsidP="195A1216">
      <w:pPr>
        <w:pStyle w:val="Paragraph"/>
      </w:pPr>
      <w:r>
        <w:t xml:space="preserve">Given the possible safety implications, </w:t>
      </w:r>
      <w:r w:rsidR="007D1A3F">
        <w:t xml:space="preserve">we </w:t>
      </w:r>
      <w:r w:rsidR="00E72E6E">
        <w:t xml:space="preserve">will continue to work with stakeholders </w:t>
      </w:r>
      <w:r w:rsidR="0017705B">
        <w:t>on the issue</w:t>
      </w:r>
      <w:r w:rsidR="002024E3">
        <w:t xml:space="preserve">. </w:t>
      </w:r>
      <w:r w:rsidR="007A22A6">
        <w:t xml:space="preserve">This will be done </w:t>
      </w:r>
      <w:r w:rsidR="00CC18E9">
        <w:t xml:space="preserve">with </w:t>
      </w:r>
      <w:r w:rsidR="00B45D25">
        <w:t>advice</w:t>
      </w:r>
      <w:r w:rsidR="00185E9B">
        <w:t xml:space="preserve"> </w:t>
      </w:r>
      <w:r w:rsidR="00D141D2">
        <w:t>from</w:t>
      </w:r>
      <w:r w:rsidR="007A22A6">
        <w:t xml:space="preserve"> the 3.4-4.0 GHz TLG </w:t>
      </w:r>
      <w:r w:rsidR="00A27E8B">
        <w:t xml:space="preserve">and other </w:t>
      </w:r>
      <w:r w:rsidR="00BC37DE">
        <w:t>intere</w:t>
      </w:r>
      <w:r w:rsidR="00C61715">
        <w:t>sts</w:t>
      </w:r>
      <w:r w:rsidR="00BC37DE">
        <w:t xml:space="preserve"> </w:t>
      </w:r>
      <w:r w:rsidR="007A22A6">
        <w:t xml:space="preserve">before any proposals </w:t>
      </w:r>
      <w:r>
        <w:t>for</w:t>
      </w:r>
      <w:r w:rsidR="002E63BD">
        <w:t xml:space="preserve"> regional and metropolitan areas </w:t>
      </w:r>
      <w:r w:rsidR="007A22A6">
        <w:t>are publicly consulted on.</w:t>
      </w:r>
      <w:r w:rsidR="0074304C">
        <w:t xml:space="preserve"> This issue is also under consideration as part of the </w:t>
      </w:r>
      <w:hyperlink r:id="rId65" w:history="1">
        <w:r w:rsidR="007D1A3F">
          <w:rPr>
            <w:rStyle w:val="Hyperlink"/>
          </w:rPr>
          <w:t>proposed allocation of AWLs in the 3.4–4.0 GHz band in remote areas</w:t>
        </w:r>
      </w:hyperlink>
      <w:r w:rsidR="0074304C">
        <w:t>.</w:t>
      </w:r>
    </w:p>
    <w:p w14:paraId="6DF99EC0" w14:textId="7980E6AB" w:rsidR="000A24F3" w:rsidRDefault="000A24F3" w:rsidP="000A24F3">
      <w:pPr>
        <w:pStyle w:val="Paragraph"/>
      </w:pPr>
    </w:p>
    <w:p w14:paraId="53F936DD" w14:textId="136D94FE" w:rsidR="00FE38C0" w:rsidRDefault="00FE38C0" w:rsidP="00FE38C0">
      <w:pPr>
        <w:pStyle w:val="Paragraph"/>
        <w:rPr>
          <w:rFonts w:eastAsia="Arial"/>
        </w:rPr>
      </w:pPr>
    </w:p>
    <w:p w14:paraId="204FBEFD" w14:textId="6611D773" w:rsidR="00946533" w:rsidRPr="00E162C4" w:rsidRDefault="00946533" w:rsidP="00946533">
      <w:pPr>
        <w:pStyle w:val="Heading1"/>
      </w:pPr>
      <w:bookmarkStart w:id="25" w:name="_Toc108697871"/>
      <w:r>
        <w:lastRenderedPageBreak/>
        <w:t>Next steps</w:t>
      </w:r>
      <w:bookmarkEnd w:id="25"/>
    </w:p>
    <w:p w14:paraId="67D9FE37" w14:textId="77777777" w:rsidR="00AF1E9F" w:rsidRDefault="001F4971" w:rsidP="004A5D00">
      <w:pPr>
        <w:pStyle w:val="Paragraph"/>
      </w:pPr>
      <w:r w:rsidRPr="008576A8">
        <w:t xml:space="preserve">Table </w:t>
      </w:r>
      <w:r w:rsidR="000A5215" w:rsidRPr="008576A8">
        <w:t>5</w:t>
      </w:r>
      <w:r w:rsidR="001F34A6" w:rsidRPr="00393357">
        <w:t xml:space="preserve"> </w:t>
      </w:r>
      <w:r w:rsidRPr="00393357">
        <w:t xml:space="preserve">provides an </w:t>
      </w:r>
      <w:r w:rsidR="001F34A6" w:rsidRPr="00393357">
        <w:t>indicative timetable for the next steps</w:t>
      </w:r>
      <w:r w:rsidRPr="00393357">
        <w:t xml:space="preserve"> the ACMA will undertake to</w:t>
      </w:r>
      <w:r w:rsidR="001F34A6" w:rsidRPr="00393357">
        <w:t xml:space="preserve"> </w:t>
      </w:r>
      <w:r w:rsidRPr="00393357">
        <w:t xml:space="preserve">make spectrum in the </w:t>
      </w:r>
      <w:r w:rsidR="00FF008D">
        <w:t xml:space="preserve">regional </w:t>
      </w:r>
      <w:r w:rsidRPr="00393357">
        <w:t xml:space="preserve">3.4 GHz and 3.7 GHz bands available. </w:t>
      </w:r>
    </w:p>
    <w:p w14:paraId="7FC79F73" w14:textId="41058AF4" w:rsidR="00777BDF" w:rsidRPr="00393357" w:rsidRDefault="00AF1E9F" w:rsidP="004A5D00">
      <w:pPr>
        <w:pStyle w:val="Paragraph"/>
      </w:pPr>
      <w:r>
        <w:t>C</w:t>
      </w:r>
      <w:r w:rsidR="003E4A3B" w:rsidRPr="00393357">
        <w:t xml:space="preserve">ompletion of these activities is dependent on a variety of factors, including feedback received from stakeholders and </w:t>
      </w:r>
      <w:r w:rsidR="007D1A3F">
        <w:t xml:space="preserve">our </w:t>
      </w:r>
      <w:r w:rsidR="003E4A3B" w:rsidRPr="00393357">
        <w:t>consideration</w:t>
      </w:r>
      <w:r w:rsidR="007D1A3F">
        <w:t xml:space="preserve">, and </w:t>
      </w:r>
      <w:r>
        <w:t>additional</w:t>
      </w:r>
      <w:r w:rsidR="007D1A3F">
        <w:t xml:space="preserve"> consultation</w:t>
      </w:r>
      <w:r>
        <w:t xml:space="preserve"> if required</w:t>
      </w:r>
      <w:r w:rsidR="003E4A3B" w:rsidRPr="00393357">
        <w:t xml:space="preserve">. </w:t>
      </w:r>
      <w:r w:rsidR="00777BDF" w:rsidRPr="00393357">
        <w:t xml:space="preserve">We will release further information </w:t>
      </w:r>
      <w:r w:rsidR="00C00CD7" w:rsidRPr="00393357">
        <w:t xml:space="preserve">and </w:t>
      </w:r>
      <w:r w:rsidR="009F0517" w:rsidRPr="00393357">
        <w:t xml:space="preserve">provide an </w:t>
      </w:r>
      <w:r w:rsidR="00C00CD7" w:rsidRPr="00393357">
        <w:t>update</w:t>
      </w:r>
      <w:r w:rsidR="006C5E93" w:rsidRPr="00393357">
        <w:t xml:space="preserve"> on</w:t>
      </w:r>
      <w:r w:rsidR="00C00CD7" w:rsidRPr="00393357">
        <w:t xml:space="preserve"> </w:t>
      </w:r>
      <w:r w:rsidR="009F0517" w:rsidRPr="00393357">
        <w:t xml:space="preserve">timing </w:t>
      </w:r>
      <w:r w:rsidR="00463040" w:rsidRPr="00393357">
        <w:t>as</w:t>
      </w:r>
      <w:r w:rsidR="009F0517" w:rsidRPr="00393357">
        <w:t xml:space="preserve"> part of each step of the process.</w:t>
      </w:r>
      <w:r w:rsidR="00777BDF" w:rsidRPr="00393357">
        <w:t xml:space="preserve"> </w:t>
      </w:r>
    </w:p>
    <w:p w14:paraId="2B6B7355" w14:textId="0CB07E06" w:rsidR="005506EE" w:rsidRPr="00393357" w:rsidRDefault="005506EE" w:rsidP="004B6863">
      <w:pPr>
        <w:pStyle w:val="Tableheading"/>
      </w:pPr>
      <w:bookmarkStart w:id="26" w:name="_Ref4150533"/>
      <w:r>
        <w:t>Indicative timetable</w:t>
      </w:r>
      <w:bookmarkEnd w:id="26"/>
    </w:p>
    <w:tbl>
      <w:tblPr>
        <w:tblStyle w:val="ACMAtablestyle"/>
        <w:tblW w:w="0" w:type="auto"/>
        <w:tblLook w:val="04A0" w:firstRow="1" w:lastRow="0" w:firstColumn="1" w:lastColumn="0" w:noHBand="0" w:noVBand="1"/>
      </w:tblPr>
      <w:tblGrid>
        <w:gridCol w:w="5382"/>
        <w:gridCol w:w="2268"/>
      </w:tblGrid>
      <w:tr w:rsidR="005506EE" w:rsidRPr="00393357" w14:paraId="0D852ED0" w14:textId="77777777" w:rsidTr="4F9A1107">
        <w:trPr>
          <w:cnfStyle w:val="100000000000" w:firstRow="1" w:lastRow="0" w:firstColumn="0" w:lastColumn="0" w:oddVBand="0" w:evenVBand="0" w:oddHBand="0" w:evenHBand="0" w:firstRowFirstColumn="0" w:firstRowLastColumn="0" w:lastRowFirstColumn="0" w:lastRowLastColumn="0"/>
          <w:trHeight w:val="199"/>
        </w:trPr>
        <w:tc>
          <w:tcPr>
            <w:tcW w:w="5382" w:type="dxa"/>
          </w:tcPr>
          <w:p w14:paraId="54343DDF" w14:textId="77777777" w:rsidR="005506EE" w:rsidRPr="00393357" w:rsidRDefault="005506EE" w:rsidP="00CE7F9C">
            <w:pPr>
              <w:pStyle w:val="Tableheaderrow"/>
              <w:keepNext/>
              <w:keepLines/>
            </w:pPr>
            <w:r w:rsidRPr="00393357">
              <w:t xml:space="preserve">Action </w:t>
            </w:r>
          </w:p>
        </w:tc>
        <w:tc>
          <w:tcPr>
            <w:tcW w:w="2268" w:type="dxa"/>
          </w:tcPr>
          <w:p w14:paraId="7336847A" w14:textId="77777777" w:rsidR="005506EE" w:rsidRPr="00393357" w:rsidRDefault="005506EE" w:rsidP="00CE7F9C">
            <w:pPr>
              <w:pStyle w:val="Tableheaderrow"/>
              <w:keepNext/>
              <w:keepLines/>
            </w:pPr>
            <w:r w:rsidRPr="00393357">
              <w:t>Date</w:t>
            </w:r>
          </w:p>
        </w:tc>
      </w:tr>
      <w:tr w:rsidR="005506EE" w:rsidRPr="00393357" w14:paraId="1991570D" w14:textId="77777777" w:rsidTr="4F9A1107">
        <w:trPr>
          <w:cnfStyle w:val="000000100000" w:firstRow="0" w:lastRow="0" w:firstColumn="0" w:lastColumn="0" w:oddVBand="0" w:evenVBand="0" w:oddHBand="1" w:evenHBand="0" w:firstRowFirstColumn="0" w:firstRowLastColumn="0" w:lastRowFirstColumn="0" w:lastRowLastColumn="0"/>
        </w:trPr>
        <w:tc>
          <w:tcPr>
            <w:tcW w:w="5382" w:type="dxa"/>
          </w:tcPr>
          <w:p w14:paraId="2459C158" w14:textId="540082DB" w:rsidR="005506EE" w:rsidRPr="00393357" w:rsidRDefault="005506EE" w:rsidP="00CE7F9C">
            <w:pPr>
              <w:pStyle w:val="TableBody"/>
              <w:keepNext/>
              <w:keepLines/>
            </w:pPr>
            <w:r w:rsidRPr="00393357">
              <w:t>Make a re</w:t>
            </w:r>
            <w:r w:rsidRPr="00393357">
              <w:noBreakHyphen/>
              <w:t>allocation declaration in accordance with section 153B of the Act</w:t>
            </w:r>
          </w:p>
        </w:tc>
        <w:tc>
          <w:tcPr>
            <w:tcW w:w="2268" w:type="dxa"/>
          </w:tcPr>
          <w:p w14:paraId="225B09BD" w14:textId="58FD54B7" w:rsidR="005506EE" w:rsidRPr="00393357" w:rsidRDefault="005506EE" w:rsidP="00CE7F9C">
            <w:pPr>
              <w:pStyle w:val="TableBody"/>
              <w:keepNext/>
              <w:keepLines/>
            </w:pPr>
            <w:r w:rsidRPr="00393357">
              <w:t>July 2022</w:t>
            </w:r>
          </w:p>
        </w:tc>
      </w:tr>
      <w:tr w:rsidR="00062442" w:rsidRPr="00393357" w14:paraId="67B963E2" w14:textId="77777777" w:rsidTr="4F9A1107">
        <w:trPr>
          <w:cnfStyle w:val="000000010000" w:firstRow="0" w:lastRow="0" w:firstColumn="0" w:lastColumn="0" w:oddVBand="0" w:evenVBand="0" w:oddHBand="0" w:evenHBand="1" w:firstRowFirstColumn="0" w:firstRowLastColumn="0" w:lastRowFirstColumn="0" w:lastRowLastColumn="0"/>
        </w:trPr>
        <w:tc>
          <w:tcPr>
            <w:tcW w:w="5382" w:type="dxa"/>
          </w:tcPr>
          <w:p w14:paraId="2B8078EC" w14:textId="69DF5550" w:rsidR="004E1A7E" w:rsidRPr="00393357" w:rsidRDefault="00062442" w:rsidP="004B6863">
            <w:pPr>
              <w:pStyle w:val="Paragraphbeforelist"/>
            </w:pPr>
            <w:r w:rsidRPr="00393357">
              <w:t>3.4</w:t>
            </w:r>
            <w:r w:rsidR="00AF1E9F">
              <w:t>–</w:t>
            </w:r>
            <w:r w:rsidRPr="00393357">
              <w:t>4.0 TLG</w:t>
            </w:r>
            <w:r w:rsidR="009A047C" w:rsidRPr="00393357">
              <w:t xml:space="preserve"> provides advice on</w:t>
            </w:r>
            <w:r w:rsidR="004E1A7E" w:rsidRPr="00393357">
              <w:t>:</w:t>
            </w:r>
            <w:r w:rsidR="009A047C" w:rsidRPr="00393357">
              <w:t xml:space="preserve"> </w:t>
            </w:r>
          </w:p>
          <w:p w14:paraId="1F977DCC" w14:textId="771C10AE" w:rsidR="00062442" w:rsidRPr="00393357" w:rsidRDefault="009A047C" w:rsidP="004B6863">
            <w:pPr>
              <w:pStyle w:val="Bulletlevel1"/>
            </w:pPr>
            <w:r w:rsidRPr="00393357">
              <w:t>updates to the spectrum licence technical framework to support 3.4</w:t>
            </w:r>
            <w:r w:rsidR="00FF008D">
              <w:t xml:space="preserve"> GHz </w:t>
            </w:r>
            <w:r w:rsidRPr="00393357">
              <w:t>and 3.7 GHz spectrum</w:t>
            </w:r>
          </w:p>
          <w:p w14:paraId="15AEC43A" w14:textId="6FA9B44F" w:rsidR="004E1A7E" w:rsidRPr="00393357" w:rsidRDefault="004E1A7E" w:rsidP="004B6863">
            <w:pPr>
              <w:pStyle w:val="Bulletlevel1"/>
              <w:spacing w:after="0"/>
            </w:pPr>
            <w:r w:rsidRPr="00393357">
              <w:t>technical arrangements for urban excise areas</w:t>
            </w:r>
          </w:p>
        </w:tc>
        <w:tc>
          <w:tcPr>
            <w:tcW w:w="2268" w:type="dxa"/>
          </w:tcPr>
          <w:p w14:paraId="6CAA98EB" w14:textId="37D8D38D" w:rsidR="00062442" w:rsidRPr="00393357" w:rsidRDefault="00062442" w:rsidP="00CE7F9C">
            <w:pPr>
              <w:pStyle w:val="TableBody"/>
              <w:keepNext/>
              <w:keepLines/>
            </w:pPr>
            <w:r w:rsidRPr="00393357">
              <w:t>Q3</w:t>
            </w:r>
            <w:r w:rsidR="00AF1E9F">
              <w:t>–</w:t>
            </w:r>
            <w:r w:rsidRPr="00393357">
              <w:t>Q4 2022</w:t>
            </w:r>
          </w:p>
        </w:tc>
      </w:tr>
      <w:tr w:rsidR="005506EE" w:rsidRPr="00393357" w14:paraId="76F5DB85" w14:textId="77777777" w:rsidTr="4F9A1107">
        <w:trPr>
          <w:cnfStyle w:val="000000100000" w:firstRow="0" w:lastRow="0" w:firstColumn="0" w:lastColumn="0" w:oddVBand="0" w:evenVBand="0" w:oddHBand="1" w:evenHBand="0" w:firstRowFirstColumn="0" w:firstRowLastColumn="0" w:lastRowFirstColumn="0" w:lastRowLastColumn="0"/>
        </w:trPr>
        <w:tc>
          <w:tcPr>
            <w:tcW w:w="5382" w:type="dxa"/>
          </w:tcPr>
          <w:p w14:paraId="77C55AD2" w14:textId="77777777" w:rsidR="005506EE" w:rsidRPr="00393357" w:rsidRDefault="005506EE" w:rsidP="00CE7F9C">
            <w:pPr>
              <w:pStyle w:val="TableBody"/>
              <w:keepNext/>
              <w:keepLines/>
            </w:pPr>
            <w:r w:rsidRPr="00393357">
              <w:t>Release draft allocation rules, marketing plan and technical instruments for the allocation of spectrum for public comment</w:t>
            </w:r>
          </w:p>
        </w:tc>
        <w:tc>
          <w:tcPr>
            <w:tcW w:w="2268" w:type="dxa"/>
          </w:tcPr>
          <w:p w14:paraId="693A26F8" w14:textId="77777777" w:rsidR="005506EE" w:rsidRPr="008576A8" w:rsidRDefault="005506EE" w:rsidP="00CE7F9C">
            <w:pPr>
              <w:pStyle w:val="TableBody"/>
              <w:keepNext/>
              <w:keepLines/>
            </w:pPr>
            <w:r w:rsidRPr="00393357">
              <w:t>Q4 2022</w:t>
            </w:r>
          </w:p>
        </w:tc>
      </w:tr>
      <w:tr w:rsidR="005506EE" w14:paraId="1727E6F7" w14:textId="77777777" w:rsidTr="4F9A1107">
        <w:trPr>
          <w:cnfStyle w:val="000000010000" w:firstRow="0" w:lastRow="0" w:firstColumn="0" w:lastColumn="0" w:oddVBand="0" w:evenVBand="0" w:oddHBand="0" w:evenHBand="1" w:firstRowFirstColumn="0" w:firstRowLastColumn="0" w:lastRowFirstColumn="0" w:lastRowLastColumn="0"/>
        </w:trPr>
        <w:tc>
          <w:tcPr>
            <w:tcW w:w="5382" w:type="dxa"/>
          </w:tcPr>
          <w:p w14:paraId="50F37EF1" w14:textId="77777777" w:rsidR="005506EE" w:rsidRPr="00393357" w:rsidRDefault="005506EE" w:rsidP="00CE7F9C">
            <w:pPr>
              <w:pStyle w:val="TableBody"/>
              <w:keepNext/>
              <w:keepLines/>
            </w:pPr>
            <w:r w:rsidRPr="00393357">
              <w:t>Commence auction process</w:t>
            </w:r>
          </w:p>
        </w:tc>
        <w:tc>
          <w:tcPr>
            <w:tcW w:w="2268" w:type="dxa"/>
          </w:tcPr>
          <w:p w14:paraId="2859C6AF" w14:textId="1F4BA265" w:rsidR="005506EE" w:rsidRDefault="00B45C45" w:rsidP="00CE7F9C">
            <w:pPr>
              <w:pStyle w:val="TableBody"/>
              <w:keepNext/>
              <w:keepLines/>
            </w:pPr>
            <w:r w:rsidRPr="008576A8">
              <w:t>Q3</w:t>
            </w:r>
            <w:r w:rsidRPr="00393357">
              <w:t xml:space="preserve"> </w:t>
            </w:r>
            <w:r w:rsidR="005506EE" w:rsidRPr="00393357">
              <w:t>2023</w:t>
            </w:r>
          </w:p>
        </w:tc>
      </w:tr>
      <w:tr w:rsidR="005506EE" w14:paraId="45738F2D" w14:textId="77777777" w:rsidTr="4F9A1107">
        <w:trPr>
          <w:cnfStyle w:val="000000100000" w:firstRow="0" w:lastRow="0" w:firstColumn="0" w:lastColumn="0" w:oddVBand="0" w:evenVBand="0" w:oddHBand="1" w:evenHBand="0" w:firstRowFirstColumn="0" w:firstRowLastColumn="0" w:lastRowFirstColumn="0" w:lastRowLastColumn="0"/>
        </w:trPr>
        <w:tc>
          <w:tcPr>
            <w:tcW w:w="5382" w:type="dxa"/>
          </w:tcPr>
          <w:p w14:paraId="326018CA" w14:textId="14389ADF" w:rsidR="005506EE" w:rsidRDefault="005506EE" w:rsidP="00CE7F9C">
            <w:pPr>
              <w:pStyle w:val="TableBody"/>
              <w:keepNext/>
              <w:keepLines/>
            </w:pPr>
            <w:r>
              <w:t>Re-allocation period</w:t>
            </w:r>
            <w:r w:rsidR="00B77354">
              <w:t xml:space="preserve"> ends</w:t>
            </w:r>
            <w:r>
              <w:t>/</w:t>
            </w:r>
            <w:r w:rsidR="00B77354">
              <w:t xml:space="preserve">re-allocation </w:t>
            </w:r>
            <w:r>
              <w:t>deadline</w:t>
            </w:r>
          </w:p>
        </w:tc>
        <w:tc>
          <w:tcPr>
            <w:tcW w:w="2268" w:type="dxa"/>
          </w:tcPr>
          <w:p w14:paraId="2BA3C970" w14:textId="13095FA5" w:rsidR="005506EE" w:rsidRDefault="007F6586" w:rsidP="00CE7F9C">
            <w:pPr>
              <w:pStyle w:val="TableBody"/>
              <w:keepNext/>
              <w:keepLines/>
            </w:pPr>
            <w:r>
              <w:t xml:space="preserve">July </w:t>
            </w:r>
            <w:r w:rsidR="00EC2400">
              <w:t>2027</w:t>
            </w:r>
          </w:p>
        </w:tc>
      </w:tr>
    </w:tbl>
    <w:p w14:paraId="08B6F617" w14:textId="77777777" w:rsidR="00102E07" w:rsidRPr="00E162C4" w:rsidRDefault="00102E07" w:rsidP="001D73C4">
      <w:pPr>
        <w:pStyle w:val="Paragraph"/>
      </w:pPr>
    </w:p>
    <w:p w14:paraId="06973122" w14:textId="7D3ADF23" w:rsidR="00B83C9F" w:rsidRPr="00E162C4" w:rsidRDefault="00B83C9F" w:rsidP="00B83C9F">
      <w:pPr>
        <w:pStyle w:val="Heading1"/>
      </w:pPr>
      <w:bookmarkStart w:id="27" w:name="_Toc108697872"/>
      <w:bookmarkStart w:id="28" w:name="_Toc348105641"/>
      <w:r w:rsidRPr="00E162C4">
        <w:lastRenderedPageBreak/>
        <w:t xml:space="preserve">Appendix A: </w:t>
      </w:r>
      <w:r w:rsidR="00C411B7" w:rsidRPr="00240DC7">
        <w:t>Spectrum re</w:t>
      </w:r>
      <w:r w:rsidR="00C411B7" w:rsidRPr="00240DC7">
        <w:noBreakHyphen/>
        <w:t>allocation process</w:t>
      </w:r>
      <w:bookmarkEnd w:id="27"/>
    </w:p>
    <w:p w14:paraId="5197CAEE" w14:textId="67DC387A" w:rsidR="00E215E9" w:rsidRDefault="00E215E9" w:rsidP="004B6863">
      <w:pPr>
        <w:pStyle w:val="Paragraph"/>
      </w:pPr>
      <w:r>
        <w:t>Processes for the re-allocation of spectrum are set out in Part 3.6 of the Act. This enables us to either issue spectrum licences in accordance with Part 3.2 of the Act, or apparatus licences in accordance with Part 3.3 of the Act. In this case, we propose to re</w:t>
      </w:r>
      <w:r>
        <w:noBreakHyphen/>
        <w:t xml:space="preserve">allocate spectrum in the </w:t>
      </w:r>
      <w:r w:rsidR="00FF008D">
        <w:t>regional</w:t>
      </w:r>
      <w:r>
        <w:t xml:space="preserve"> 3.4 GHz and 3.7 GHz bands by issuing spectrum licences.</w:t>
      </w:r>
    </w:p>
    <w:p w14:paraId="4750E793" w14:textId="1076D273" w:rsidR="00E215E9" w:rsidRPr="003C59E2" w:rsidRDefault="00E215E9" w:rsidP="00E215E9">
      <w:r>
        <w:t>The spectrum re</w:t>
      </w:r>
      <w:r>
        <w:noBreakHyphen/>
        <w:t xml:space="preserve">allocation process has changed since our most recent auction (the 850/900 MHz band auction held in late 2021), due to the effect of the </w:t>
      </w:r>
      <w:hyperlink r:id="rId66" w:history="1">
        <w:r w:rsidRPr="003C59E2">
          <w:rPr>
            <w:rStyle w:val="Hyperlink"/>
            <w:i/>
            <w:iCs/>
          </w:rPr>
          <w:t>Radiocommunications Legislation Amendment (Reform and Modernisation) Act 2020</w:t>
        </w:r>
      </w:hyperlink>
      <w:r>
        <w:t>. Although the ACMA leads the spectrum re</w:t>
      </w:r>
      <w:r>
        <w:noBreakHyphen/>
        <w:t>allocation process under the Act, the Act does not limit the Minister for Communications</w:t>
      </w:r>
      <w:r w:rsidR="00AF1E9F">
        <w:t>’</w:t>
      </w:r>
      <w:r w:rsidR="007E2E0C">
        <w:t xml:space="preserve"> </w:t>
      </w:r>
      <w:r>
        <w:t>power to direct the ACMA on aspects of the allocation process.</w:t>
      </w:r>
      <w:r>
        <w:rPr>
          <w:rStyle w:val="FootnoteReference"/>
        </w:rPr>
        <w:footnoteReference w:id="7"/>
      </w:r>
    </w:p>
    <w:p w14:paraId="05D0C773" w14:textId="77777777" w:rsidR="00E215E9" w:rsidRPr="006F741C" w:rsidRDefault="00E215E9" w:rsidP="00E215E9">
      <w:pPr>
        <w:pStyle w:val="Heading2"/>
        <w:spacing w:line="276" w:lineRule="auto"/>
      </w:pPr>
      <w:bookmarkStart w:id="29" w:name="_Toc408494381"/>
      <w:bookmarkStart w:id="30" w:name="_Toc408846623"/>
      <w:bookmarkStart w:id="31" w:name="_Toc409015493"/>
      <w:bookmarkStart w:id="32" w:name="_Toc409528657"/>
      <w:bookmarkStart w:id="33" w:name="_Toc409016986"/>
      <w:bookmarkStart w:id="34" w:name="_Toc496277349"/>
      <w:bookmarkStart w:id="35" w:name="_Toc496277748"/>
      <w:bookmarkStart w:id="36" w:name="_Toc496527259"/>
      <w:bookmarkStart w:id="37" w:name="_Toc496527434"/>
      <w:bookmarkStart w:id="38" w:name="_Toc8207151"/>
      <w:bookmarkStart w:id="39" w:name="_Toc96941006"/>
      <w:bookmarkStart w:id="40" w:name="_Toc108697873"/>
      <w:r w:rsidRPr="002301F0">
        <w:t xml:space="preserve">Main steps in the </w:t>
      </w:r>
      <w:r>
        <w:t>re</w:t>
      </w:r>
      <w:r>
        <w:noBreakHyphen/>
        <w:t>allocation</w:t>
      </w:r>
      <w:r w:rsidRPr="002301F0">
        <w:t xml:space="preserve"> process</w:t>
      </w:r>
      <w:bookmarkEnd w:id="29"/>
      <w:bookmarkEnd w:id="30"/>
      <w:bookmarkEnd w:id="31"/>
      <w:bookmarkEnd w:id="32"/>
      <w:bookmarkEnd w:id="33"/>
      <w:bookmarkEnd w:id="34"/>
      <w:bookmarkEnd w:id="35"/>
      <w:bookmarkEnd w:id="36"/>
      <w:bookmarkEnd w:id="37"/>
      <w:bookmarkEnd w:id="38"/>
      <w:bookmarkEnd w:id="39"/>
      <w:bookmarkEnd w:id="40"/>
    </w:p>
    <w:p w14:paraId="35804079" w14:textId="39744A56" w:rsidR="00E215E9" w:rsidRDefault="00E215E9" w:rsidP="00E215E9">
      <w:r w:rsidRPr="00177B4E">
        <w:t xml:space="preserve">The main steps in the </w:t>
      </w:r>
      <w:r>
        <w:t>re</w:t>
      </w:r>
      <w:r>
        <w:noBreakHyphen/>
        <w:t>allocation</w:t>
      </w:r>
      <w:r w:rsidRPr="00177B4E">
        <w:t xml:space="preserve"> process are </w:t>
      </w:r>
      <w:r w:rsidRPr="00E128F7">
        <w:t xml:space="preserve">shown in </w:t>
      </w:r>
      <w:r w:rsidRPr="008576A8">
        <w:t xml:space="preserve">Figure </w:t>
      </w:r>
      <w:r w:rsidR="00AF1E9F">
        <w:t>7</w:t>
      </w:r>
      <w:r w:rsidRPr="00E128F7">
        <w:t>. Generally, we follow these steps after we have consulted on planning decisions in the band, and have decided that a re-allocation process is the most appropriate way</w:t>
      </w:r>
      <w:r>
        <w:t xml:space="preserve"> to make spectrum available for other uses. As with all of our spectrum planning and allocations, we are guided by the object of the Act and government policy.  </w:t>
      </w:r>
    </w:p>
    <w:p w14:paraId="1436368E" w14:textId="77777777" w:rsidR="00E215E9" w:rsidRDefault="00E215E9" w:rsidP="00AF1E9F">
      <w:pPr>
        <w:pStyle w:val="Figureheading"/>
      </w:pPr>
      <w:bookmarkStart w:id="41" w:name="_Ref31719378"/>
      <w:r w:rsidRPr="002A01B8">
        <w:t xml:space="preserve">The </w:t>
      </w:r>
      <w:r>
        <w:t>re</w:t>
      </w:r>
      <w:r>
        <w:noBreakHyphen/>
        <w:t>allocation</w:t>
      </w:r>
      <w:r w:rsidRPr="002A01B8">
        <w:t xml:space="preserve"> process</w:t>
      </w:r>
      <w:bookmarkStart w:id="42" w:name="_Hlk6492924"/>
      <w:bookmarkEnd w:id="41"/>
    </w:p>
    <w:p w14:paraId="7ED79BD5" w14:textId="77777777" w:rsidR="00E215E9" w:rsidRPr="00F50E63" w:rsidRDefault="00E215E9" w:rsidP="00E215E9">
      <w:pPr>
        <w:pStyle w:val="ACMASpaceaftertable"/>
      </w:pPr>
      <w:r>
        <w:rPr>
          <w:noProof/>
        </w:rPr>
        <w:drawing>
          <wp:inline distT="0" distB="0" distL="0" distR="0" wp14:anchorId="408C0160" wp14:editId="561DA567">
            <wp:extent cx="4871085" cy="2841625"/>
            <wp:effectExtent l="0" t="19050" r="24765" b="34925"/>
            <wp:docPr id="2" name="Diagram 2" descr="The re allocation process pictured as a series of steps"/>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7" r:lo="rId68" r:qs="rId69" r:cs="rId70"/>
              </a:graphicData>
            </a:graphic>
          </wp:inline>
        </w:drawing>
      </w:r>
    </w:p>
    <w:p w14:paraId="308227B3" w14:textId="77777777" w:rsidR="00E215E9" w:rsidRPr="00815498" w:rsidRDefault="00E215E9" w:rsidP="00E215E9">
      <w:pPr>
        <w:pStyle w:val="BodySubHeader"/>
        <w:rPr>
          <w:rStyle w:val="Strong"/>
          <w:b/>
        </w:rPr>
      </w:pPr>
      <w:bookmarkStart w:id="43" w:name="_Toc496277350"/>
      <w:bookmarkStart w:id="44" w:name="_Toc496277749"/>
      <w:bookmarkStart w:id="45" w:name="_Toc496527260"/>
      <w:bookmarkStart w:id="46" w:name="_Toc496527435"/>
      <w:bookmarkEnd w:id="42"/>
      <w:r w:rsidRPr="00394D59">
        <w:t>Step 1</w:t>
      </w:r>
      <w:r>
        <w:t xml:space="preserve">: </w:t>
      </w:r>
      <w:bookmarkEnd w:id="43"/>
      <w:bookmarkEnd w:id="44"/>
      <w:bookmarkEnd w:id="45"/>
      <w:bookmarkEnd w:id="46"/>
      <w:r>
        <w:t>Proposal to re-allocate spectrum and invitation to comment</w:t>
      </w:r>
      <w:r w:rsidRPr="00394D59">
        <w:t xml:space="preserve"> </w:t>
      </w:r>
    </w:p>
    <w:p w14:paraId="0C39D878" w14:textId="305F36E1" w:rsidR="00E215E9" w:rsidRDefault="00E215E9" w:rsidP="00E215E9">
      <w:r>
        <w:t>As the re-allocation declaration is a legislative instrument, the first step in the spectrum re</w:t>
      </w:r>
      <w:r>
        <w:noBreakHyphen/>
        <w:t>allocation process is for the ACMA to consult on a proposed spectrum re</w:t>
      </w:r>
      <w:r>
        <w:noBreakHyphen/>
        <w:t xml:space="preserve">allocation declaration. In this step, we </w:t>
      </w:r>
      <w:r w:rsidRPr="002301F0">
        <w:t xml:space="preserve">set out the </w:t>
      </w:r>
      <w:r>
        <w:t>frequency ranges and geographic areas</w:t>
      </w:r>
      <w:r w:rsidRPr="002301F0">
        <w:t xml:space="preserve"> </w:t>
      </w:r>
      <w:r>
        <w:t xml:space="preserve">for the </w:t>
      </w:r>
      <w:r w:rsidRPr="002301F0">
        <w:lastRenderedPageBreak/>
        <w:t xml:space="preserve">spectrum </w:t>
      </w:r>
      <w:r>
        <w:t>we</w:t>
      </w:r>
      <w:r w:rsidRPr="002301F0">
        <w:t xml:space="preserve"> believe should be re</w:t>
      </w:r>
      <w:r>
        <w:t>-</w:t>
      </w:r>
      <w:r w:rsidRPr="002301F0">
        <w:t>allocated</w:t>
      </w:r>
      <w:r>
        <w:t>. We</w:t>
      </w:r>
      <w:r w:rsidRPr="002301F0">
        <w:t xml:space="preserve"> </w:t>
      </w:r>
      <w:r>
        <w:t>also propose a re</w:t>
      </w:r>
      <w:r>
        <w:noBreakHyphen/>
        <w:t>allocation</w:t>
      </w:r>
      <w:r w:rsidRPr="002301F0">
        <w:t xml:space="preserve"> period</w:t>
      </w:r>
      <w:r w:rsidRPr="006F741C">
        <w:t xml:space="preserve"> within which the </w:t>
      </w:r>
      <w:r>
        <w:t>re</w:t>
      </w:r>
      <w:r>
        <w:noBreakHyphen/>
        <w:t>allocation</w:t>
      </w:r>
      <w:r w:rsidRPr="002301F0">
        <w:t xml:space="preserve"> process is to be completed. </w:t>
      </w:r>
    </w:p>
    <w:p w14:paraId="2232304A" w14:textId="4FC9234A" w:rsidR="00E215E9" w:rsidRPr="006F741C" w:rsidRDefault="00E215E9" w:rsidP="00E215E9">
      <w:r>
        <w:t>We</w:t>
      </w:r>
      <w:r w:rsidRPr="002301F0">
        <w:t xml:space="preserve"> may also specify other</w:t>
      </w:r>
      <w:r>
        <w:t xml:space="preserve"> relevant</w:t>
      </w:r>
      <w:r w:rsidRPr="002301F0">
        <w:t xml:space="preserve"> items. </w:t>
      </w:r>
      <w:r>
        <w:t xml:space="preserve">To meet our forward allocation workplan and capture and consider as many stakeholder views as we can, we conduct preliminary consultation on policy settings for the proposed allocation. This may include lot configuration, licence term and commencement, and allocation methodology. </w:t>
      </w:r>
    </w:p>
    <w:p w14:paraId="7A733F4D" w14:textId="77777777" w:rsidR="00E215E9" w:rsidRDefault="00E215E9" w:rsidP="00E215E9">
      <w:r>
        <w:t>We undertake public consultation at this stage so that all interested parties are able to comment on both the proposed re</w:t>
      </w:r>
      <w:r>
        <w:noBreakHyphen/>
        <w:t>allocation of spectrum, and aspects of the proposed allocation process. Generally, the consultation period will last for at least 28 days.</w:t>
      </w:r>
    </w:p>
    <w:p w14:paraId="3250648F" w14:textId="77777777" w:rsidR="00E215E9" w:rsidRPr="006F741C" w:rsidRDefault="00E215E9" w:rsidP="00E215E9">
      <w:r>
        <w:t>The outcome of consultation at this stage will determine the drafting of the spectrum re</w:t>
      </w:r>
      <w:r>
        <w:noBreakHyphen/>
        <w:t>allocation declaration.</w:t>
      </w:r>
    </w:p>
    <w:p w14:paraId="512E97E4" w14:textId="77777777" w:rsidR="00E215E9" w:rsidRPr="00BB53BC" w:rsidRDefault="00E215E9" w:rsidP="00E215E9">
      <w:pPr>
        <w:pStyle w:val="BodySubHeader"/>
      </w:pPr>
      <w:bookmarkStart w:id="47" w:name="_Toc496277352"/>
      <w:bookmarkStart w:id="48" w:name="_Toc496277751"/>
      <w:bookmarkStart w:id="49" w:name="_Toc496527262"/>
      <w:bookmarkStart w:id="50" w:name="_Toc496527437"/>
      <w:r w:rsidRPr="00BB53BC">
        <w:t xml:space="preserve">Step </w:t>
      </w:r>
      <w:r>
        <w:t>2: S</w:t>
      </w:r>
      <w:r w:rsidRPr="00BB53BC">
        <w:t xml:space="preserve">pectrum </w:t>
      </w:r>
      <w:r>
        <w:t>re</w:t>
      </w:r>
      <w:r>
        <w:noBreakHyphen/>
        <w:t>allocation</w:t>
      </w:r>
      <w:r w:rsidRPr="00BB53BC">
        <w:t xml:space="preserve"> declaration</w:t>
      </w:r>
      <w:bookmarkEnd w:id="47"/>
      <w:bookmarkEnd w:id="48"/>
      <w:bookmarkEnd w:id="49"/>
      <w:bookmarkEnd w:id="50"/>
      <w:r w:rsidRPr="00BB53BC">
        <w:t xml:space="preserve"> </w:t>
      </w:r>
    </w:p>
    <w:p w14:paraId="0385ECC9" w14:textId="77777777" w:rsidR="00E215E9" w:rsidRDefault="00E215E9" w:rsidP="00E215E9">
      <w:pPr>
        <w:pStyle w:val="Paragraph"/>
      </w:pPr>
      <w:r>
        <w:t>Subject to the outcomes of our consultation in Step 1, the ACMA may make a spectrum re</w:t>
      </w:r>
      <w:r>
        <w:noBreakHyphen/>
        <w:t>allocation declaration in accordance with section 153B of the Act.</w:t>
      </w:r>
      <w:r w:rsidRPr="002301F0">
        <w:t xml:space="preserve"> </w:t>
      </w:r>
    </w:p>
    <w:p w14:paraId="43D97E29" w14:textId="77777777" w:rsidR="00E215E9" w:rsidRDefault="00E215E9" w:rsidP="00E215E9">
      <w:pPr>
        <w:pStyle w:val="Paragraphbeforelist"/>
      </w:pPr>
      <w:r>
        <w:t>A re</w:t>
      </w:r>
      <w:r>
        <w:noBreakHyphen/>
        <w:t>allocation</w:t>
      </w:r>
      <w:r w:rsidRPr="00BB2FAA">
        <w:t xml:space="preserve"> declaration </w:t>
      </w:r>
      <w:r>
        <w:t>must</w:t>
      </w:r>
      <w:r w:rsidRPr="00BB2FAA">
        <w:t xml:space="preserve"> set out: </w:t>
      </w:r>
    </w:p>
    <w:p w14:paraId="09C9CC01" w14:textId="77777777" w:rsidR="00E215E9" w:rsidRDefault="00E215E9" w:rsidP="00E215E9">
      <w:pPr>
        <w:pStyle w:val="ListBullet"/>
      </w:pPr>
      <w:r>
        <w:t xml:space="preserve">parts of the </w:t>
      </w:r>
      <w:r w:rsidRPr="00777BAF">
        <w:t>spectrum to be re</w:t>
      </w:r>
      <w:r>
        <w:t>-</w:t>
      </w:r>
      <w:r w:rsidRPr="00777BAF">
        <w:t>allocated</w:t>
      </w:r>
      <w:r>
        <w:t xml:space="preserve"> (frequency ranges)</w:t>
      </w:r>
    </w:p>
    <w:p w14:paraId="1DA4056D" w14:textId="77777777" w:rsidR="00E215E9" w:rsidRPr="00777BAF" w:rsidRDefault="00E215E9" w:rsidP="00E215E9">
      <w:pPr>
        <w:pStyle w:val="ListBullet"/>
      </w:pPr>
      <w:r>
        <w:t>specified areas applicable to each part of the spectrum (geographic boundaries)</w:t>
      </w:r>
    </w:p>
    <w:p w14:paraId="3870EFE1" w14:textId="77777777" w:rsidR="00E215E9" w:rsidRPr="00F46DE6" w:rsidRDefault="00E215E9" w:rsidP="00E215E9">
      <w:pPr>
        <w:pStyle w:val="ListBullet"/>
      </w:pPr>
      <w:r>
        <w:t>re</w:t>
      </w:r>
      <w:r>
        <w:noBreakHyphen/>
        <w:t>allocation</w:t>
      </w:r>
      <w:r w:rsidRPr="00BB2FAA">
        <w:t xml:space="preserve"> </w:t>
      </w:r>
      <w:r w:rsidRPr="00F46DE6">
        <w:t>period</w:t>
      </w:r>
    </w:p>
    <w:p w14:paraId="5FAF56F0" w14:textId="77777777" w:rsidR="00E215E9" w:rsidRPr="00777BAF" w:rsidRDefault="00E215E9" w:rsidP="00E215E9">
      <w:pPr>
        <w:pStyle w:val="ListBullet"/>
      </w:pPr>
      <w:r>
        <w:t>re</w:t>
      </w:r>
      <w:r>
        <w:noBreakHyphen/>
        <w:t>allocation</w:t>
      </w:r>
      <w:r w:rsidRPr="00777BAF">
        <w:t xml:space="preserve"> deadline</w:t>
      </w:r>
    </w:p>
    <w:p w14:paraId="64A72AF9" w14:textId="3D54A6CD" w:rsidR="00E215E9" w:rsidRPr="00F50E63" w:rsidRDefault="00E215E9" w:rsidP="00E215E9">
      <w:pPr>
        <w:pStyle w:val="ListBulletLast"/>
      </w:pPr>
      <w:r w:rsidRPr="00F50E63">
        <w:t xml:space="preserve">whether </w:t>
      </w:r>
      <w:r w:rsidRPr="00F46DE6">
        <w:t>the</w:t>
      </w:r>
      <w:r>
        <w:t xml:space="preserve"> spectrum will be re-allocated by the issue of </w:t>
      </w:r>
      <w:r w:rsidRPr="00F50E63">
        <w:t>spectrum</w:t>
      </w:r>
      <w:r>
        <w:t xml:space="preserve"> licences</w:t>
      </w:r>
      <w:r w:rsidRPr="00F50E63">
        <w:t xml:space="preserve"> or apparatus licences</w:t>
      </w:r>
      <w:r w:rsidR="009E2138">
        <w:t xml:space="preserve">, or a combination of the </w:t>
      </w:r>
      <w:r w:rsidR="00AF1E9F">
        <w:t>2</w:t>
      </w:r>
      <w:r w:rsidRPr="00F50E63">
        <w:t xml:space="preserve">. </w:t>
      </w:r>
    </w:p>
    <w:p w14:paraId="7C2880F9" w14:textId="77777777" w:rsidR="00E215E9" w:rsidRPr="006F741C" w:rsidRDefault="00E215E9" w:rsidP="00E215E9">
      <w:pPr>
        <w:pStyle w:val="Paragraph"/>
      </w:pPr>
      <w:r>
        <w:t>At the end of t</w:t>
      </w:r>
      <w:r w:rsidRPr="002301F0">
        <w:t xml:space="preserve">he </w:t>
      </w:r>
      <w:r>
        <w:t>re</w:t>
      </w:r>
      <w:r>
        <w:noBreakHyphen/>
        <w:t>allocation</w:t>
      </w:r>
      <w:r w:rsidRPr="002301F0">
        <w:t xml:space="preserve"> period</w:t>
      </w:r>
      <w:r>
        <w:t xml:space="preserve">, all </w:t>
      </w:r>
      <w:r w:rsidRPr="006F741C">
        <w:t xml:space="preserve">incumbent apparatus licences </w:t>
      </w:r>
      <w:r>
        <w:t>are cancelled, leaving</w:t>
      </w:r>
      <w:r w:rsidRPr="006F741C">
        <w:t xml:space="preserve"> </w:t>
      </w:r>
      <w:r w:rsidRPr="002301F0">
        <w:t>the spectrum available for use by new licensees</w:t>
      </w:r>
      <w:r>
        <w:t>.</w:t>
      </w:r>
      <w:r w:rsidRPr="002301F0">
        <w:t xml:space="preserve"> The </w:t>
      </w:r>
      <w:r>
        <w:t>re</w:t>
      </w:r>
      <w:r>
        <w:noBreakHyphen/>
        <w:t>allocation</w:t>
      </w:r>
      <w:r w:rsidRPr="002301F0">
        <w:t xml:space="preserve"> period </w:t>
      </w:r>
      <w:r>
        <w:t>is specified in the re</w:t>
      </w:r>
      <w:r>
        <w:noBreakHyphen/>
        <w:t>allocation declaration. It must not be before the re</w:t>
      </w:r>
      <w:r>
        <w:noBreakHyphen/>
        <w:t>allocation declaration commences and must run for at least 12 months.</w:t>
      </w:r>
    </w:p>
    <w:p w14:paraId="38E8CD97" w14:textId="7CB6A5F4" w:rsidR="00E215E9" w:rsidRDefault="00E215E9" w:rsidP="00E215E9">
      <w:r>
        <w:t>The ACMA must also set a re</w:t>
      </w:r>
      <w:r>
        <w:noBreakHyphen/>
        <w:t xml:space="preserve">allocation deadline. </w:t>
      </w:r>
      <w:r w:rsidRPr="002301F0">
        <w:t xml:space="preserve">The </w:t>
      </w:r>
      <w:r>
        <w:t>re</w:t>
      </w:r>
      <w:r>
        <w:noBreakHyphen/>
        <w:t>allocation</w:t>
      </w:r>
      <w:r w:rsidRPr="002301F0">
        <w:t xml:space="preserve"> deadline is significant because if the ACMA does not </w:t>
      </w:r>
      <w:r>
        <w:t>allocate</w:t>
      </w:r>
      <w:r w:rsidRPr="002301F0">
        <w:t xml:space="preserve"> at least one licence before th</w:t>
      </w:r>
      <w:r>
        <w:t>is</w:t>
      </w:r>
      <w:r w:rsidRPr="002301F0">
        <w:t xml:space="preserve"> deadline, the </w:t>
      </w:r>
      <w:r>
        <w:t>re</w:t>
      </w:r>
      <w:r>
        <w:noBreakHyphen/>
        <w:t xml:space="preserve">allocation </w:t>
      </w:r>
      <w:r w:rsidRPr="002301F0">
        <w:t xml:space="preserve">declaration </w:t>
      </w:r>
      <w:r>
        <w:t xml:space="preserve">is </w:t>
      </w:r>
      <w:r w:rsidRPr="002301F0">
        <w:t>revoked</w:t>
      </w:r>
      <w:r>
        <w:t xml:space="preserve">. </w:t>
      </w:r>
    </w:p>
    <w:p w14:paraId="5623DA84" w14:textId="77777777" w:rsidR="00E215E9" w:rsidRPr="00C0100E" w:rsidRDefault="00E215E9" w:rsidP="00E215E9">
      <w:pPr>
        <w:pStyle w:val="BodySubHeader"/>
        <w:keepNext/>
      </w:pPr>
      <w:bookmarkStart w:id="51" w:name="_Toc496277353"/>
      <w:bookmarkStart w:id="52" w:name="_Toc496277752"/>
      <w:bookmarkStart w:id="53" w:name="_Toc496527263"/>
      <w:bookmarkStart w:id="54" w:name="_Toc496527438"/>
      <w:r w:rsidRPr="00BB53BC">
        <w:t xml:space="preserve">Step </w:t>
      </w:r>
      <w:r>
        <w:t>3: D</w:t>
      </w:r>
      <w:r w:rsidRPr="00BB53BC">
        <w:t xml:space="preserve">raft allocation </w:t>
      </w:r>
      <w:r>
        <w:t>and technical</w:t>
      </w:r>
      <w:r w:rsidRPr="00BB53BC">
        <w:t xml:space="preserve"> instruments</w:t>
      </w:r>
      <w:bookmarkEnd w:id="51"/>
      <w:bookmarkEnd w:id="52"/>
      <w:bookmarkEnd w:id="53"/>
      <w:bookmarkEnd w:id="54"/>
      <w:r w:rsidRPr="00BB53BC">
        <w:t xml:space="preserve"> </w:t>
      </w:r>
    </w:p>
    <w:p w14:paraId="3882F0CA" w14:textId="77777777" w:rsidR="00E215E9" w:rsidRPr="006F741C" w:rsidRDefault="00E215E9" w:rsidP="00E215E9">
      <w:pPr>
        <w:rPr>
          <w:rFonts w:cs="Arial"/>
        </w:rPr>
      </w:pPr>
      <w:r>
        <w:rPr>
          <w:rFonts w:cs="Arial"/>
        </w:rPr>
        <w:t>Once the ACMA has made a spectrum re</w:t>
      </w:r>
      <w:r>
        <w:rPr>
          <w:rFonts w:cs="Arial"/>
        </w:rPr>
        <w:noBreakHyphen/>
        <w:t>allocation declaration, we</w:t>
      </w:r>
      <w:r w:rsidRPr="002301F0">
        <w:rPr>
          <w:rFonts w:cs="Arial"/>
        </w:rPr>
        <w:t xml:space="preserve"> must make a number of instruments to conduct </w:t>
      </w:r>
      <w:r>
        <w:rPr>
          <w:rFonts w:cs="Arial"/>
        </w:rPr>
        <w:t>an</w:t>
      </w:r>
      <w:r w:rsidRPr="002301F0">
        <w:rPr>
          <w:rFonts w:cs="Arial"/>
        </w:rPr>
        <w:t xml:space="preserve"> </w:t>
      </w:r>
      <w:r>
        <w:rPr>
          <w:rFonts w:cs="Arial"/>
        </w:rPr>
        <w:t>allocation</w:t>
      </w:r>
      <w:r w:rsidRPr="002301F0">
        <w:rPr>
          <w:rFonts w:cs="Arial"/>
        </w:rPr>
        <w:t xml:space="preserve"> of </w:t>
      </w:r>
      <w:r>
        <w:rPr>
          <w:rFonts w:cs="Arial"/>
        </w:rPr>
        <w:t>spectrum</w:t>
      </w:r>
      <w:r w:rsidRPr="002301F0">
        <w:rPr>
          <w:rFonts w:cs="Arial"/>
        </w:rPr>
        <w:t>. These include a marketing plan under section 39A</w:t>
      </w:r>
      <w:r>
        <w:rPr>
          <w:rFonts w:cs="Arial"/>
        </w:rPr>
        <w:t xml:space="preserve"> of the Act, </w:t>
      </w:r>
      <w:r w:rsidRPr="002301F0">
        <w:rPr>
          <w:rFonts w:cs="Arial"/>
        </w:rPr>
        <w:t xml:space="preserve">an allocation procedures </w:t>
      </w:r>
      <w:r>
        <w:rPr>
          <w:rFonts w:cs="Arial"/>
        </w:rPr>
        <w:t>determination under sections 60 and 294, and various instruments setting out the technical framework that will apply to licences allocated as a result of the re</w:t>
      </w:r>
      <w:r>
        <w:rPr>
          <w:rFonts w:cs="Arial"/>
        </w:rPr>
        <w:noBreakHyphen/>
        <w:t>allocation process</w:t>
      </w:r>
      <w:r w:rsidRPr="002301F0">
        <w:rPr>
          <w:rFonts w:cs="Arial"/>
        </w:rPr>
        <w:t xml:space="preserve">. </w:t>
      </w:r>
    </w:p>
    <w:p w14:paraId="125C525F" w14:textId="5BBBA3C7" w:rsidR="00E215E9" w:rsidRPr="006F741C" w:rsidRDefault="00E215E9" w:rsidP="00E215E9">
      <w:pPr>
        <w:rPr>
          <w:rFonts w:cs="Arial"/>
          <w:b/>
          <w:i/>
        </w:rPr>
      </w:pPr>
      <w:r>
        <w:rPr>
          <w:rFonts w:cs="Arial"/>
        </w:rPr>
        <w:t>Generally</w:t>
      </w:r>
      <w:r w:rsidRPr="002301F0">
        <w:rPr>
          <w:rFonts w:cs="Arial"/>
        </w:rPr>
        <w:t xml:space="preserve">, </w:t>
      </w:r>
      <w:r>
        <w:rPr>
          <w:rFonts w:cs="Arial"/>
        </w:rPr>
        <w:t>a</w:t>
      </w:r>
      <w:r w:rsidRPr="002301F0">
        <w:rPr>
          <w:rFonts w:cs="Arial"/>
        </w:rPr>
        <w:t xml:space="preserve"> </w:t>
      </w:r>
      <w:r>
        <w:rPr>
          <w:rFonts w:cs="Arial"/>
        </w:rPr>
        <w:t>m</w:t>
      </w:r>
      <w:r w:rsidRPr="003D3B87">
        <w:rPr>
          <w:rFonts w:cs="Arial"/>
        </w:rPr>
        <w:t xml:space="preserve">arketing </w:t>
      </w:r>
      <w:r>
        <w:rPr>
          <w:rFonts w:cs="Arial"/>
        </w:rPr>
        <w:t>p</w:t>
      </w:r>
      <w:r w:rsidRPr="003D3B87">
        <w:rPr>
          <w:rFonts w:cs="Arial"/>
        </w:rPr>
        <w:t xml:space="preserve">lan </w:t>
      </w:r>
      <w:r>
        <w:rPr>
          <w:rFonts w:cs="Arial"/>
        </w:rPr>
        <w:t xml:space="preserve">sets </w:t>
      </w:r>
      <w:r w:rsidRPr="002301F0">
        <w:rPr>
          <w:rFonts w:cs="Arial"/>
        </w:rPr>
        <w:t>out information about the spectrum available and describe</w:t>
      </w:r>
      <w:r>
        <w:rPr>
          <w:rFonts w:cs="Arial"/>
        </w:rPr>
        <w:t>s</w:t>
      </w:r>
      <w:r w:rsidRPr="002301F0">
        <w:rPr>
          <w:rFonts w:cs="Arial"/>
        </w:rPr>
        <w:t xml:space="preserve"> </w:t>
      </w:r>
      <w:r w:rsidRPr="00821355">
        <w:rPr>
          <w:rFonts w:cs="Arial"/>
        </w:rPr>
        <w:t xml:space="preserve">the </w:t>
      </w:r>
      <w:r>
        <w:rPr>
          <w:rFonts w:cs="Arial"/>
        </w:rPr>
        <w:t xml:space="preserve">proposed </w:t>
      </w:r>
      <w:r w:rsidRPr="00821355">
        <w:rPr>
          <w:rFonts w:cs="Arial"/>
        </w:rPr>
        <w:t xml:space="preserve">licence conditions </w:t>
      </w:r>
      <w:r>
        <w:rPr>
          <w:rFonts w:cs="Arial"/>
        </w:rPr>
        <w:t>for</w:t>
      </w:r>
      <w:r w:rsidRPr="00821355">
        <w:rPr>
          <w:rFonts w:cs="Arial"/>
        </w:rPr>
        <w:t xml:space="preserve"> the spectrum licences issued</w:t>
      </w:r>
      <w:r>
        <w:rPr>
          <w:rFonts w:cs="Arial"/>
        </w:rPr>
        <w:t>. It</w:t>
      </w:r>
      <w:r w:rsidRPr="003D3B87">
        <w:rPr>
          <w:rFonts w:cs="Arial"/>
        </w:rPr>
        <w:t xml:space="preserve"> </w:t>
      </w:r>
      <w:r w:rsidRPr="002301F0">
        <w:rPr>
          <w:rFonts w:cs="Arial"/>
        </w:rPr>
        <w:t xml:space="preserve">might specify the type of </w:t>
      </w:r>
      <w:r>
        <w:rPr>
          <w:rFonts w:cs="Arial"/>
        </w:rPr>
        <w:t>allocation</w:t>
      </w:r>
      <w:r w:rsidRPr="002301F0">
        <w:rPr>
          <w:rFonts w:cs="Arial"/>
        </w:rPr>
        <w:t xml:space="preserve"> method </w:t>
      </w:r>
      <w:r>
        <w:rPr>
          <w:rFonts w:cs="Arial"/>
        </w:rPr>
        <w:t>and</w:t>
      </w:r>
      <w:r w:rsidRPr="002301F0">
        <w:rPr>
          <w:rFonts w:cs="Arial"/>
        </w:rPr>
        <w:t xml:space="preserve"> how the spectrum will be </w:t>
      </w:r>
      <w:r w:rsidR="00614953">
        <w:rPr>
          <w:rFonts w:cs="Arial"/>
        </w:rPr>
        <w:t>apportioned</w:t>
      </w:r>
      <w:r w:rsidRPr="002301F0">
        <w:rPr>
          <w:rFonts w:cs="Arial"/>
        </w:rPr>
        <w:t xml:space="preserve"> into lots</w:t>
      </w:r>
      <w:r>
        <w:rPr>
          <w:rFonts w:cs="Arial"/>
        </w:rPr>
        <w:t>. We</w:t>
      </w:r>
      <w:r w:rsidDel="00B06FB6">
        <w:rPr>
          <w:rFonts w:cs="Arial"/>
        </w:rPr>
        <w:t xml:space="preserve"> </w:t>
      </w:r>
      <w:r>
        <w:rPr>
          <w:rFonts w:cs="Arial"/>
        </w:rPr>
        <w:t xml:space="preserve">may prepare </w:t>
      </w:r>
      <w:r w:rsidRPr="006F741C">
        <w:rPr>
          <w:rFonts w:cs="Arial"/>
        </w:rPr>
        <w:t xml:space="preserve">a </w:t>
      </w:r>
      <w:r>
        <w:rPr>
          <w:rFonts w:cs="Arial"/>
        </w:rPr>
        <w:t xml:space="preserve">draft </w:t>
      </w:r>
      <w:r w:rsidRPr="006F741C">
        <w:rPr>
          <w:rFonts w:cs="Arial"/>
        </w:rPr>
        <w:t xml:space="preserve">sample spectrum licence </w:t>
      </w:r>
      <w:r w:rsidRPr="002301F0">
        <w:rPr>
          <w:rFonts w:cs="Arial"/>
        </w:rPr>
        <w:t xml:space="preserve">defining the area and frequency band of the licence and setting out licence conditions, including emission limits, </w:t>
      </w:r>
      <w:r>
        <w:rPr>
          <w:rFonts w:cs="Arial"/>
        </w:rPr>
        <w:t xml:space="preserve">relevant </w:t>
      </w:r>
      <w:r w:rsidRPr="002301F0">
        <w:rPr>
          <w:rFonts w:cs="Arial"/>
        </w:rPr>
        <w:t>technical advisory guidelines and statutory obligations.</w:t>
      </w:r>
      <w:r w:rsidRPr="00821355">
        <w:t xml:space="preserve"> </w:t>
      </w:r>
      <w:r w:rsidRPr="00821355">
        <w:rPr>
          <w:rFonts w:cs="Arial"/>
        </w:rPr>
        <w:t>This is usually included in the marketing plan.</w:t>
      </w:r>
    </w:p>
    <w:p w14:paraId="7AD0C9F2" w14:textId="77777777" w:rsidR="00E215E9" w:rsidRDefault="00E215E9" w:rsidP="00E215E9">
      <w:pPr>
        <w:rPr>
          <w:rFonts w:cs="Arial"/>
        </w:rPr>
      </w:pPr>
      <w:r>
        <w:rPr>
          <w:rFonts w:cs="Arial"/>
        </w:rPr>
        <w:t>The allocation procedures determination</w:t>
      </w:r>
      <w:r w:rsidRPr="002301F0">
        <w:rPr>
          <w:rFonts w:cs="Arial"/>
        </w:rPr>
        <w:t xml:space="preserve"> sets out</w:t>
      </w:r>
      <w:r>
        <w:rPr>
          <w:rFonts w:cs="Arial"/>
        </w:rPr>
        <w:t>,</w:t>
      </w:r>
      <w:r w:rsidRPr="002301F0">
        <w:rPr>
          <w:rFonts w:cs="Arial"/>
        </w:rPr>
        <w:t xml:space="preserve"> in greater detail</w:t>
      </w:r>
      <w:r>
        <w:rPr>
          <w:rFonts w:cs="Arial"/>
        </w:rPr>
        <w:t>,</w:t>
      </w:r>
      <w:r w:rsidRPr="002301F0">
        <w:rPr>
          <w:rFonts w:cs="Arial"/>
        </w:rPr>
        <w:t xml:space="preserve"> the elements of the chosen allocation method. For example, the procedures will detail the </w:t>
      </w:r>
      <w:r>
        <w:rPr>
          <w:rFonts w:cs="Arial"/>
        </w:rPr>
        <w:t xml:space="preserve">allocation </w:t>
      </w:r>
      <w:r>
        <w:rPr>
          <w:rFonts w:cs="Arial"/>
        </w:rPr>
        <w:lastRenderedPageBreak/>
        <w:t xml:space="preserve">method and, if that method is an auction, the </w:t>
      </w:r>
      <w:r w:rsidRPr="002301F0">
        <w:rPr>
          <w:rFonts w:cs="Arial"/>
        </w:rPr>
        <w:t xml:space="preserve">auction method and auction rules, </w:t>
      </w:r>
      <w:r>
        <w:rPr>
          <w:rFonts w:cs="Arial"/>
        </w:rPr>
        <w:t xml:space="preserve">including any </w:t>
      </w:r>
      <w:r w:rsidRPr="002301F0">
        <w:rPr>
          <w:rFonts w:cs="Arial"/>
        </w:rPr>
        <w:t xml:space="preserve">registration requirements, fees, </w:t>
      </w:r>
      <w:r>
        <w:rPr>
          <w:rFonts w:cs="Arial"/>
        </w:rPr>
        <w:t>starting</w:t>
      </w:r>
      <w:r w:rsidRPr="002301F0">
        <w:rPr>
          <w:rFonts w:cs="Arial"/>
        </w:rPr>
        <w:t xml:space="preserve"> prices, and methods of payment</w:t>
      </w:r>
      <w:r>
        <w:rPr>
          <w:rFonts w:cs="Arial"/>
        </w:rPr>
        <w:t xml:space="preserve">. </w:t>
      </w:r>
    </w:p>
    <w:p w14:paraId="36E03509" w14:textId="77777777" w:rsidR="00E215E9" w:rsidRDefault="00E215E9" w:rsidP="00E215E9">
      <w:pPr>
        <w:rPr>
          <w:rFonts w:cs="Arial"/>
        </w:rPr>
      </w:pPr>
      <w:r>
        <w:rPr>
          <w:rFonts w:cs="Arial"/>
        </w:rPr>
        <w:t>When drafting the allocation procedures, the ACMA must consult with the ACCC about imposing limits on how much spectrum any one person may obtain (spectrum licence limits) and whether the ACMA must give information obtained during the allocation process to the ACCC.</w:t>
      </w:r>
    </w:p>
    <w:p w14:paraId="525F784E" w14:textId="77777777" w:rsidR="00E215E9" w:rsidRDefault="00E215E9" w:rsidP="00E215E9">
      <w:pPr>
        <w:pStyle w:val="Paragraphbeforelist"/>
      </w:pPr>
      <w:r>
        <w:t>T</w:t>
      </w:r>
      <w:r w:rsidRPr="002301F0">
        <w:t xml:space="preserve">here are a number of instruments that implement the technical framework for </w:t>
      </w:r>
      <w:r>
        <w:t>a</w:t>
      </w:r>
      <w:r w:rsidRPr="002301F0">
        <w:t xml:space="preserve"> band.</w:t>
      </w:r>
      <w:r>
        <w:t xml:space="preserve"> T</w:t>
      </w:r>
      <w:r w:rsidRPr="002301F0">
        <w:t xml:space="preserve">hese </w:t>
      </w:r>
      <w:r>
        <w:t>may</w:t>
      </w:r>
      <w:r w:rsidRPr="002301F0">
        <w:t xml:space="preserve"> comprise</w:t>
      </w:r>
      <w:r>
        <w:t>:</w:t>
      </w:r>
    </w:p>
    <w:p w14:paraId="3397209A" w14:textId="77777777" w:rsidR="00E215E9" w:rsidRDefault="00E215E9" w:rsidP="00E215E9">
      <w:pPr>
        <w:pStyle w:val="ListBullet"/>
        <w:rPr>
          <w:rFonts w:cs="Arial"/>
        </w:rPr>
      </w:pPr>
      <w:r>
        <w:rPr>
          <w:rFonts w:cs="Arial"/>
        </w:rPr>
        <w:t>a determination made</w:t>
      </w:r>
      <w:r w:rsidRPr="002301F0">
        <w:rPr>
          <w:rFonts w:cs="Arial"/>
        </w:rPr>
        <w:t xml:space="preserve"> under </w:t>
      </w:r>
      <w:r>
        <w:rPr>
          <w:rFonts w:cs="Arial"/>
        </w:rPr>
        <w:t>sub</w:t>
      </w:r>
      <w:r w:rsidRPr="002301F0">
        <w:rPr>
          <w:rFonts w:cs="Arial"/>
        </w:rPr>
        <w:t>section 145</w:t>
      </w:r>
      <w:r>
        <w:rPr>
          <w:rFonts w:cs="Arial"/>
        </w:rPr>
        <w:t xml:space="preserve">(4) of the Act – which establish unacceptable levels of interference </w:t>
      </w:r>
      <w:r w:rsidRPr="00631E12">
        <w:rPr>
          <w:rFonts w:cs="Arial"/>
        </w:rPr>
        <w:t xml:space="preserve">for radiocommunications transmitters proposed to be operated under the spectrum licences </w:t>
      </w:r>
    </w:p>
    <w:p w14:paraId="47CA8CBC" w14:textId="77777777" w:rsidR="00E215E9" w:rsidRDefault="00E215E9" w:rsidP="00E215E9">
      <w:pPr>
        <w:pStyle w:val="ListBulletLast"/>
      </w:pPr>
      <w:r>
        <w:t>r</w:t>
      </w:r>
      <w:r w:rsidRPr="002301F0">
        <w:t xml:space="preserve">adiocommunications </w:t>
      </w:r>
      <w:r>
        <w:t>a</w:t>
      </w:r>
      <w:r w:rsidRPr="002301F0">
        <w:t xml:space="preserve">dvisory </w:t>
      </w:r>
      <w:r>
        <w:t>g</w:t>
      </w:r>
      <w:r w:rsidRPr="002301F0">
        <w:t xml:space="preserve">uidelines </w:t>
      </w:r>
      <w:r>
        <w:t>made</w:t>
      </w:r>
      <w:r w:rsidRPr="002301F0">
        <w:t xml:space="preserve"> under section 262</w:t>
      </w:r>
      <w:r>
        <w:t xml:space="preserve"> of the Act – </w:t>
      </w:r>
      <w:r w:rsidRPr="002301F0">
        <w:t>which assist licensees to coordinate with other radiocommunications services</w:t>
      </w:r>
      <w:r>
        <w:t xml:space="preserve"> and may be incorporated into spectrum licence conditions</w:t>
      </w:r>
      <w:r w:rsidRPr="002301F0">
        <w:t>.</w:t>
      </w:r>
      <w:r>
        <w:t xml:space="preserve"> </w:t>
      </w:r>
    </w:p>
    <w:p w14:paraId="5CBBF086" w14:textId="77777777" w:rsidR="00085FC0" w:rsidRPr="006F741C" w:rsidRDefault="00085FC0" w:rsidP="00112549">
      <w:pPr>
        <w:pStyle w:val="Paragraph"/>
      </w:pPr>
      <w:r>
        <w:t>Subject to the outcomes of this consultation and the ACMA having made a spectrum re</w:t>
      </w:r>
      <w:r>
        <w:noBreakHyphen/>
        <w:t>allocation declaration, we will complete the instruments required for the allocation of spectrum licences under step 4.</w:t>
      </w:r>
    </w:p>
    <w:p w14:paraId="6CA87A38" w14:textId="77777777" w:rsidR="00E215E9" w:rsidRPr="0013185C" w:rsidRDefault="00E215E9" w:rsidP="00E215E9">
      <w:pPr>
        <w:pStyle w:val="BodySubHeader"/>
      </w:pPr>
      <w:bookmarkStart w:id="55" w:name="_Toc496277354"/>
      <w:bookmarkStart w:id="56" w:name="_Toc496277753"/>
      <w:bookmarkStart w:id="57" w:name="_Toc496527264"/>
      <w:bookmarkStart w:id="58" w:name="_Toc496527439"/>
      <w:r w:rsidRPr="0013185C">
        <w:t xml:space="preserve">Step </w:t>
      </w:r>
      <w:r>
        <w:t>4: F</w:t>
      </w:r>
      <w:r w:rsidRPr="0013185C">
        <w:t xml:space="preserve">inal allocation </w:t>
      </w:r>
      <w:r>
        <w:t>and technical</w:t>
      </w:r>
      <w:r w:rsidRPr="0013185C">
        <w:t xml:space="preserve"> instruments</w:t>
      </w:r>
      <w:bookmarkEnd w:id="55"/>
      <w:bookmarkEnd w:id="56"/>
      <w:bookmarkEnd w:id="57"/>
      <w:bookmarkEnd w:id="58"/>
    </w:p>
    <w:p w14:paraId="1665A5B1" w14:textId="3F88544B" w:rsidR="00E215E9" w:rsidRPr="006F741C" w:rsidRDefault="00E215E9" w:rsidP="00E215E9">
      <w:pPr>
        <w:rPr>
          <w:rFonts w:cs="Arial"/>
        </w:rPr>
      </w:pPr>
      <w:r w:rsidRPr="002301F0">
        <w:rPr>
          <w:rFonts w:cs="Arial"/>
        </w:rPr>
        <w:t>After consultation</w:t>
      </w:r>
      <w:r>
        <w:rPr>
          <w:rFonts w:cs="Arial"/>
        </w:rPr>
        <w:t xml:space="preserve"> on the draft allocation and technical instruments</w:t>
      </w:r>
      <w:r w:rsidRPr="002301F0">
        <w:rPr>
          <w:rFonts w:cs="Arial"/>
        </w:rPr>
        <w:t xml:space="preserve">, </w:t>
      </w:r>
      <w:r>
        <w:rPr>
          <w:rFonts w:cs="Arial"/>
        </w:rPr>
        <w:t xml:space="preserve">we </w:t>
      </w:r>
      <w:r w:rsidRPr="002301F0">
        <w:rPr>
          <w:rFonts w:cs="Arial"/>
        </w:rPr>
        <w:t>make final versions of the allocation instruments.</w:t>
      </w:r>
      <w:r w:rsidRPr="002301F0" w:rsidDel="00453125">
        <w:rPr>
          <w:rFonts w:cs="Arial"/>
        </w:rPr>
        <w:t xml:space="preserve"> </w:t>
      </w:r>
      <w:r>
        <w:rPr>
          <w:rFonts w:cs="Arial"/>
        </w:rPr>
        <w:t>If t</w:t>
      </w:r>
      <w:r w:rsidRPr="002301F0">
        <w:rPr>
          <w:rFonts w:cs="Arial"/>
        </w:rPr>
        <w:t xml:space="preserve">hese </w:t>
      </w:r>
      <w:r w:rsidRPr="00631E12">
        <w:rPr>
          <w:rFonts w:cs="Arial"/>
        </w:rPr>
        <w:t>instruments are legislative instruments</w:t>
      </w:r>
      <w:r>
        <w:rPr>
          <w:rFonts w:cs="Arial"/>
        </w:rPr>
        <w:t>,</w:t>
      </w:r>
      <w:r w:rsidRPr="00631E12">
        <w:rPr>
          <w:rFonts w:cs="Arial"/>
        </w:rPr>
        <w:t xml:space="preserve"> </w:t>
      </w:r>
      <w:r>
        <w:rPr>
          <w:rFonts w:cs="Arial"/>
        </w:rPr>
        <w:t>they</w:t>
      </w:r>
      <w:r w:rsidRPr="00631E12">
        <w:rPr>
          <w:rFonts w:cs="Arial"/>
        </w:rPr>
        <w:t xml:space="preserve"> must</w:t>
      </w:r>
      <w:r w:rsidRPr="002301F0">
        <w:rPr>
          <w:rFonts w:cs="Arial"/>
        </w:rPr>
        <w:t xml:space="preserve"> be published on the </w:t>
      </w:r>
      <w:hyperlink r:id="rId72" w:history="1">
        <w:r>
          <w:rPr>
            <w:rStyle w:val="Hyperlink"/>
            <w:rFonts w:cs="Arial"/>
          </w:rPr>
          <w:t>Federal Register of Legislation</w:t>
        </w:r>
      </w:hyperlink>
      <w:r w:rsidRPr="002301F0">
        <w:rPr>
          <w:rFonts w:cs="Arial"/>
        </w:rPr>
        <w:t>.</w:t>
      </w:r>
      <w:r>
        <w:rPr>
          <w:rFonts w:cs="Arial"/>
        </w:rPr>
        <w:t xml:space="preserve"> These are usually released along with the rest of the allocation information, in Step 5.</w:t>
      </w:r>
    </w:p>
    <w:p w14:paraId="549227C7" w14:textId="77777777" w:rsidR="00E215E9" w:rsidRPr="00BB53BC" w:rsidRDefault="00E215E9" w:rsidP="00E215E9">
      <w:pPr>
        <w:pStyle w:val="BodySubHeader"/>
      </w:pPr>
      <w:bookmarkStart w:id="59" w:name="_Toc496277355"/>
      <w:bookmarkStart w:id="60" w:name="_Toc496277754"/>
      <w:bookmarkStart w:id="61" w:name="_Toc496527265"/>
      <w:bookmarkStart w:id="62" w:name="_Toc496527440"/>
      <w:r w:rsidRPr="00BB53BC">
        <w:t xml:space="preserve">Step </w:t>
      </w:r>
      <w:r>
        <w:t xml:space="preserve">5: </w:t>
      </w:r>
      <w:bookmarkEnd w:id="59"/>
      <w:bookmarkEnd w:id="60"/>
      <w:bookmarkEnd w:id="61"/>
      <w:bookmarkEnd w:id="62"/>
      <w:r>
        <w:t xml:space="preserve">Allocation </w:t>
      </w:r>
    </w:p>
    <w:p w14:paraId="060CEB24" w14:textId="25E60959" w:rsidR="00E215E9" w:rsidRPr="006F741C" w:rsidRDefault="00E215E9" w:rsidP="00E215E9">
      <w:pPr>
        <w:rPr>
          <w:rFonts w:cs="Arial"/>
        </w:rPr>
      </w:pPr>
      <w:r w:rsidRPr="002301F0">
        <w:rPr>
          <w:rFonts w:cs="Arial"/>
        </w:rPr>
        <w:t xml:space="preserve">Once the allocation instruments </w:t>
      </w:r>
      <w:r>
        <w:rPr>
          <w:rFonts w:cs="Arial"/>
        </w:rPr>
        <w:t>are</w:t>
      </w:r>
      <w:r w:rsidRPr="002301F0">
        <w:rPr>
          <w:rFonts w:cs="Arial"/>
        </w:rPr>
        <w:t xml:space="preserve"> </w:t>
      </w:r>
      <w:r>
        <w:rPr>
          <w:rFonts w:cs="Arial"/>
        </w:rPr>
        <w:t>made and come into effect</w:t>
      </w:r>
      <w:r w:rsidRPr="002301F0">
        <w:rPr>
          <w:rFonts w:cs="Arial"/>
        </w:rPr>
        <w:t xml:space="preserve">, </w:t>
      </w:r>
      <w:r>
        <w:rPr>
          <w:rFonts w:cs="Arial"/>
        </w:rPr>
        <w:t>we release an applicant information package and</w:t>
      </w:r>
      <w:r w:rsidRPr="002301F0">
        <w:rPr>
          <w:rFonts w:cs="Arial"/>
        </w:rPr>
        <w:t xml:space="preserve"> invite interested parties to register </w:t>
      </w:r>
      <w:r>
        <w:rPr>
          <w:rFonts w:cs="Arial"/>
        </w:rPr>
        <w:t>to participate in</w:t>
      </w:r>
      <w:r w:rsidRPr="002301F0">
        <w:rPr>
          <w:rFonts w:cs="Arial"/>
        </w:rPr>
        <w:t xml:space="preserve"> the </w:t>
      </w:r>
      <w:r>
        <w:rPr>
          <w:rFonts w:cs="Arial"/>
        </w:rPr>
        <w:t>allocation</w:t>
      </w:r>
      <w:r w:rsidRPr="002301F0">
        <w:rPr>
          <w:rFonts w:cs="Arial"/>
        </w:rPr>
        <w:t xml:space="preserve">. </w:t>
      </w:r>
      <w:r>
        <w:rPr>
          <w:rFonts w:cs="Arial"/>
        </w:rPr>
        <w:t xml:space="preserve">If a </w:t>
      </w:r>
      <w:r w:rsidRPr="002301F0">
        <w:rPr>
          <w:rFonts w:cs="Arial"/>
        </w:rPr>
        <w:t>computer system</w:t>
      </w:r>
      <w:r>
        <w:rPr>
          <w:rFonts w:cs="Arial"/>
        </w:rPr>
        <w:t xml:space="preserve"> and/or software</w:t>
      </w:r>
      <w:r w:rsidRPr="002301F0">
        <w:rPr>
          <w:rFonts w:cs="Arial"/>
        </w:rPr>
        <w:t xml:space="preserve"> </w:t>
      </w:r>
      <w:r>
        <w:rPr>
          <w:rFonts w:cs="Arial"/>
        </w:rPr>
        <w:t xml:space="preserve">is used for </w:t>
      </w:r>
      <w:r w:rsidRPr="002301F0">
        <w:rPr>
          <w:rFonts w:cs="Arial"/>
        </w:rPr>
        <w:t>the a</w:t>
      </w:r>
      <w:r>
        <w:rPr>
          <w:rFonts w:cs="Arial"/>
        </w:rPr>
        <w:t xml:space="preserve">llocation process, registered bidders </w:t>
      </w:r>
      <w:r w:rsidR="00085FC0">
        <w:rPr>
          <w:rFonts w:cs="Arial"/>
        </w:rPr>
        <w:t xml:space="preserve">will generally </w:t>
      </w:r>
      <w:r>
        <w:rPr>
          <w:rFonts w:cs="Arial"/>
        </w:rPr>
        <w:t xml:space="preserve">have </w:t>
      </w:r>
      <w:r w:rsidRPr="002301F0">
        <w:rPr>
          <w:rFonts w:cs="Arial"/>
        </w:rPr>
        <w:t xml:space="preserve">an opportunity to trial </w:t>
      </w:r>
      <w:r>
        <w:rPr>
          <w:rFonts w:cs="Arial"/>
        </w:rPr>
        <w:t>it</w:t>
      </w:r>
      <w:r w:rsidRPr="002301F0">
        <w:rPr>
          <w:rFonts w:cs="Arial"/>
        </w:rPr>
        <w:t xml:space="preserve">. </w:t>
      </w:r>
    </w:p>
    <w:p w14:paraId="6232F82B" w14:textId="4F141B54" w:rsidR="00B83C9F" w:rsidRPr="00C6391B" w:rsidRDefault="00E215E9" w:rsidP="00C6391B">
      <w:pPr>
        <w:spacing w:line="276" w:lineRule="auto"/>
        <w:rPr>
          <w:rFonts w:cs="Arial"/>
        </w:rPr>
      </w:pPr>
      <w:r w:rsidRPr="002301F0">
        <w:rPr>
          <w:rFonts w:cs="Arial"/>
        </w:rPr>
        <w:t xml:space="preserve">After completion of the </w:t>
      </w:r>
      <w:r>
        <w:rPr>
          <w:rFonts w:cs="Arial"/>
        </w:rPr>
        <w:t>allocation</w:t>
      </w:r>
      <w:r w:rsidRPr="002301F0">
        <w:rPr>
          <w:rFonts w:cs="Arial"/>
        </w:rPr>
        <w:t xml:space="preserve"> process</w:t>
      </w:r>
      <w:r>
        <w:rPr>
          <w:rFonts w:cs="Arial"/>
        </w:rPr>
        <w:t>, we</w:t>
      </w:r>
      <w:r w:rsidRPr="002301F0">
        <w:rPr>
          <w:rFonts w:cs="Arial"/>
        </w:rPr>
        <w:t xml:space="preserve"> issue invoices for the </w:t>
      </w:r>
      <w:r>
        <w:rPr>
          <w:rFonts w:cs="Arial"/>
        </w:rPr>
        <w:t xml:space="preserve">amount of </w:t>
      </w:r>
      <w:r w:rsidRPr="002301F0">
        <w:rPr>
          <w:rFonts w:cs="Arial"/>
        </w:rPr>
        <w:t xml:space="preserve">winning </w:t>
      </w:r>
      <w:r>
        <w:rPr>
          <w:rFonts w:cs="Arial"/>
        </w:rPr>
        <w:t xml:space="preserve">high </w:t>
      </w:r>
      <w:r w:rsidRPr="002301F0">
        <w:rPr>
          <w:rFonts w:cs="Arial"/>
        </w:rPr>
        <w:t xml:space="preserve">bids. </w:t>
      </w:r>
      <w:r>
        <w:rPr>
          <w:rFonts w:cs="Arial"/>
        </w:rPr>
        <w:t>O</w:t>
      </w:r>
      <w:r w:rsidRPr="002301F0">
        <w:rPr>
          <w:rFonts w:cs="Arial"/>
        </w:rPr>
        <w:t xml:space="preserve">n payment, </w:t>
      </w:r>
      <w:r>
        <w:rPr>
          <w:rFonts w:cs="Arial"/>
        </w:rPr>
        <w:t>we</w:t>
      </w:r>
      <w:r w:rsidRPr="002301F0">
        <w:rPr>
          <w:rFonts w:cs="Arial"/>
        </w:rPr>
        <w:t xml:space="preserve"> prepare and send out the spectrum licence</w:t>
      </w:r>
      <w:r>
        <w:rPr>
          <w:rFonts w:cs="Arial"/>
        </w:rPr>
        <w:t>s</w:t>
      </w:r>
      <w:r w:rsidRPr="002301F0">
        <w:rPr>
          <w:rFonts w:cs="Arial"/>
        </w:rPr>
        <w:t xml:space="preserve"> to successful bidders.</w:t>
      </w:r>
    </w:p>
    <w:p w14:paraId="3BA8C844" w14:textId="7D36962F" w:rsidR="00140ACF" w:rsidRPr="00E162C4" w:rsidRDefault="00140ACF" w:rsidP="00140ACF">
      <w:pPr>
        <w:pStyle w:val="Heading1"/>
      </w:pPr>
      <w:bookmarkStart w:id="63" w:name="_Toc108697874"/>
      <w:bookmarkEnd w:id="28"/>
      <w:r w:rsidRPr="00E162C4">
        <w:lastRenderedPageBreak/>
        <w:t xml:space="preserve">Appendix </w:t>
      </w:r>
      <w:r w:rsidR="001328CA">
        <w:t>B</w:t>
      </w:r>
      <w:r w:rsidRPr="00E162C4">
        <w:t xml:space="preserve">: </w:t>
      </w:r>
      <w:r>
        <w:t>List of consultation respondents</w:t>
      </w:r>
      <w:bookmarkEnd w:id="63"/>
    </w:p>
    <w:p w14:paraId="1F2636BA" w14:textId="7918C0F1" w:rsidR="00140ACF" w:rsidRDefault="00AF1E9F" w:rsidP="006022BB">
      <w:pPr>
        <w:pStyle w:val="Paragraph"/>
        <w:spacing w:after="80"/>
      </w:pPr>
      <w:r>
        <w:t xml:space="preserve">We </w:t>
      </w:r>
      <w:r w:rsidR="00140ACF">
        <w:t xml:space="preserve">consulted on </w:t>
      </w:r>
      <w:hyperlink r:id="rId73" w:history="1">
        <w:r w:rsidR="00140ACF" w:rsidRPr="00140ACF">
          <w:rPr>
            <w:rStyle w:val="Hyperlink"/>
          </w:rPr>
          <w:t>proposed spectrum re-allocation declaration for the 3.4 GHz and 3.7 GHz bands</w:t>
        </w:r>
      </w:hyperlink>
      <w:r w:rsidR="00140ACF">
        <w:t xml:space="preserve"> from 2 March to 4 May 2022. </w:t>
      </w:r>
      <w:r w:rsidR="00E6565E">
        <w:t>Thirty-one</w:t>
      </w:r>
      <w:r w:rsidR="00140ACF">
        <w:t xml:space="preserve"> submissions were received to this consultation. </w:t>
      </w:r>
      <w:r w:rsidR="00D07188">
        <w:t>A</w:t>
      </w:r>
      <w:r w:rsidR="00C3121B">
        <w:t xml:space="preserve"> list of </w:t>
      </w:r>
      <w:r w:rsidR="00C629BF">
        <w:t xml:space="preserve">the </w:t>
      </w:r>
      <w:r w:rsidR="00C3121B">
        <w:t xml:space="preserve">submitters </w:t>
      </w:r>
      <w:r w:rsidR="00D07188">
        <w:t>who provided non-confidential responses</w:t>
      </w:r>
      <w:r w:rsidR="00C629BF">
        <w:t xml:space="preserve"> </w:t>
      </w:r>
      <w:r w:rsidR="00C3121B">
        <w:t>i</w:t>
      </w:r>
      <w:r w:rsidR="00251A39">
        <w:t xml:space="preserve">s </w:t>
      </w:r>
      <w:r w:rsidR="00D07188">
        <w:t>as follows:</w:t>
      </w:r>
    </w:p>
    <w:p w14:paraId="25CCBF7D" w14:textId="1CCBB2DD" w:rsidR="00140ACF" w:rsidRDefault="00140ACF" w:rsidP="00140ACF">
      <w:pPr>
        <w:pStyle w:val="Bulletlevel1"/>
        <w:numPr>
          <w:ilvl w:val="0"/>
          <w:numId w:val="30"/>
        </w:numPr>
      </w:pPr>
      <w:r>
        <w:t>Australian Airlines Pilots’ Association (AusALPA)</w:t>
      </w:r>
    </w:p>
    <w:p w14:paraId="4D998FB1" w14:textId="1760B7E6" w:rsidR="00140ACF" w:rsidRDefault="00140ACF" w:rsidP="00140ACF">
      <w:pPr>
        <w:pStyle w:val="Bulletlevel1"/>
        <w:numPr>
          <w:ilvl w:val="0"/>
          <w:numId w:val="30"/>
        </w:numPr>
      </w:pPr>
      <w:r>
        <w:t>Australia Airport Association (AAA)</w:t>
      </w:r>
    </w:p>
    <w:p w14:paraId="0C995D47" w14:textId="788BC9E1" w:rsidR="00140ACF" w:rsidRDefault="00140ACF" w:rsidP="00140ACF">
      <w:pPr>
        <w:pStyle w:val="Bulletlevel1"/>
        <w:numPr>
          <w:ilvl w:val="0"/>
          <w:numId w:val="30"/>
        </w:numPr>
      </w:pPr>
      <w:r>
        <w:t>The Australian Mobile Telecommunications Association (AMTA)</w:t>
      </w:r>
    </w:p>
    <w:p w14:paraId="729C212A" w14:textId="77777777" w:rsidR="00140ACF" w:rsidRDefault="00140ACF" w:rsidP="00140ACF">
      <w:pPr>
        <w:pStyle w:val="Bulletlevel1"/>
        <w:numPr>
          <w:ilvl w:val="0"/>
          <w:numId w:val="30"/>
        </w:numPr>
      </w:pPr>
      <w:r>
        <w:t>The Australian Radio Communications Industry Association (ARCIA)</w:t>
      </w:r>
    </w:p>
    <w:p w14:paraId="4874BD5E" w14:textId="482A2CD5" w:rsidR="00140ACF" w:rsidRDefault="00140ACF" w:rsidP="00140ACF">
      <w:pPr>
        <w:pStyle w:val="Bulletlevel1"/>
        <w:numPr>
          <w:ilvl w:val="0"/>
          <w:numId w:val="30"/>
        </w:numPr>
      </w:pPr>
      <w:r>
        <w:t>Australian Subscription Television and Radio Association (ASTRA)</w:t>
      </w:r>
    </w:p>
    <w:p w14:paraId="1506C3B2" w14:textId="0098F0EA" w:rsidR="00140ACF" w:rsidRDefault="00140ACF" w:rsidP="00140ACF">
      <w:pPr>
        <w:pStyle w:val="Bulletlevel1"/>
        <w:numPr>
          <w:ilvl w:val="0"/>
          <w:numId w:val="30"/>
        </w:numPr>
      </w:pPr>
      <w:r>
        <w:t xml:space="preserve">Boeing Australia Holdings </w:t>
      </w:r>
    </w:p>
    <w:p w14:paraId="065EF6E3" w14:textId="34F8A76B" w:rsidR="00140ACF" w:rsidRDefault="00644FF3" w:rsidP="00140ACF">
      <w:pPr>
        <w:pStyle w:val="Bulletlevel1"/>
        <w:numPr>
          <w:ilvl w:val="0"/>
          <w:numId w:val="30"/>
        </w:numPr>
      </w:pPr>
      <w:r>
        <w:t>Brisbane</w:t>
      </w:r>
      <w:r w:rsidR="00140ACF">
        <w:t xml:space="preserve"> Airport Corporation</w:t>
      </w:r>
    </w:p>
    <w:p w14:paraId="423B7309" w14:textId="218CF539" w:rsidR="00644FF3" w:rsidRDefault="00644FF3" w:rsidP="00140ACF">
      <w:pPr>
        <w:pStyle w:val="Bulletlevel1"/>
        <w:numPr>
          <w:ilvl w:val="0"/>
          <w:numId w:val="30"/>
        </w:numPr>
      </w:pPr>
      <w:r>
        <w:t>Civil Aviation Safety Authority (CASA)</w:t>
      </w:r>
    </w:p>
    <w:p w14:paraId="37A847A7" w14:textId="5674659C" w:rsidR="00644FF3" w:rsidRDefault="00644FF3" w:rsidP="00140ACF">
      <w:pPr>
        <w:pStyle w:val="Bulletlevel1"/>
        <w:numPr>
          <w:ilvl w:val="0"/>
          <w:numId w:val="30"/>
        </w:numPr>
      </w:pPr>
      <w:r>
        <w:t>Communications Alliance – Satellite Services Working Group (CA-SSWG)</w:t>
      </w:r>
    </w:p>
    <w:p w14:paraId="08E84720" w14:textId="747BB251" w:rsidR="00140ACF" w:rsidRDefault="00140ACF" w:rsidP="00140ACF">
      <w:pPr>
        <w:pStyle w:val="Bulletlevel1"/>
        <w:numPr>
          <w:ilvl w:val="0"/>
          <w:numId w:val="30"/>
        </w:numPr>
      </w:pPr>
      <w:r>
        <w:t>DB Telecommunications</w:t>
      </w:r>
    </w:p>
    <w:p w14:paraId="03470D5A" w14:textId="0C6D0C13" w:rsidR="00644FF3" w:rsidRDefault="00644FF3" w:rsidP="00140ACF">
      <w:pPr>
        <w:pStyle w:val="Bulletlevel1"/>
        <w:numPr>
          <w:ilvl w:val="0"/>
          <w:numId w:val="30"/>
        </w:numPr>
      </w:pPr>
      <w:r>
        <w:t>Dense Air Networks</w:t>
      </w:r>
    </w:p>
    <w:p w14:paraId="74DB903A" w14:textId="3505BDA6" w:rsidR="00644FF3" w:rsidRDefault="00644FF3" w:rsidP="00140ACF">
      <w:pPr>
        <w:pStyle w:val="Bulletlevel1"/>
        <w:numPr>
          <w:ilvl w:val="0"/>
          <w:numId w:val="30"/>
        </w:numPr>
      </w:pPr>
      <w:r>
        <w:t>Ericsson</w:t>
      </w:r>
    </w:p>
    <w:p w14:paraId="7091F050" w14:textId="6798C02A" w:rsidR="00FB1A16" w:rsidRDefault="00FB1A16" w:rsidP="00140ACF">
      <w:pPr>
        <w:pStyle w:val="Bulletlevel1"/>
      </w:pPr>
      <w:r>
        <w:t>Field Solutions Group</w:t>
      </w:r>
    </w:p>
    <w:p w14:paraId="6BB04B0F" w14:textId="7C1F1BBE" w:rsidR="00B76E53" w:rsidRDefault="00B76E53" w:rsidP="00140ACF">
      <w:pPr>
        <w:pStyle w:val="Bulletlevel1"/>
      </w:pPr>
      <w:r>
        <w:t>Mr Gordon Jones</w:t>
      </w:r>
    </w:p>
    <w:p w14:paraId="230FED03" w14:textId="7E610957" w:rsidR="00644FF3" w:rsidRDefault="00644FF3" w:rsidP="00140ACF">
      <w:pPr>
        <w:pStyle w:val="Bulletlevel1"/>
        <w:numPr>
          <w:ilvl w:val="0"/>
          <w:numId w:val="30"/>
        </w:numPr>
      </w:pPr>
      <w:r>
        <w:t>The Honourable Company of Air Pilots (HCAP)</w:t>
      </w:r>
    </w:p>
    <w:p w14:paraId="40B010B7" w14:textId="1DFFE8CB" w:rsidR="00ED17BC" w:rsidRDefault="00ED17BC" w:rsidP="00140ACF">
      <w:pPr>
        <w:pStyle w:val="Bulletlevel1"/>
      </w:pPr>
      <w:r>
        <w:t>Melbourne Airport</w:t>
      </w:r>
    </w:p>
    <w:p w14:paraId="7EE2442A" w14:textId="44BA7890" w:rsidR="00140ACF" w:rsidRDefault="00140ACF" w:rsidP="00140ACF">
      <w:pPr>
        <w:pStyle w:val="Bulletlevel1"/>
        <w:numPr>
          <w:ilvl w:val="0"/>
          <w:numId w:val="30"/>
        </w:numPr>
      </w:pPr>
      <w:r>
        <w:t>NBN Co</w:t>
      </w:r>
    </w:p>
    <w:p w14:paraId="4FF20706" w14:textId="3A977CE8" w:rsidR="00644FF3" w:rsidRDefault="00644FF3" w:rsidP="00140ACF">
      <w:pPr>
        <w:pStyle w:val="Bulletlevel1"/>
        <w:numPr>
          <w:ilvl w:val="0"/>
          <w:numId w:val="30"/>
        </w:numPr>
      </w:pPr>
      <w:r>
        <w:t>Nokia</w:t>
      </w:r>
    </w:p>
    <w:p w14:paraId="609FAF24" w14:textId="112F7C69" w:rsidR="00644FF3" w:rsidRDefault="00644FF3" w:rsidP="00140ACF">
      <w:pPr>
        <w:pStyle w:val="Bulletlevel1"/>
        <w:numPr>
          <w:ilvl w:val="0"/>
          <w:numId w:val="30"/>
        </w:numPr>
      </w:pPr>
      <w:r>
        <w:t>NSW Police Force – Aviation Command</w:t>
      </w:r>
    </w:p>
    <w:p w14:paraId="495DEF93" w14:textId="65C48249" w:rsidR="00140ACF" w:rsidRDefault="00140ACF" w:rsidP="00140ACF">
      <w:pPr>
        <w:pStyle w:val="Bulletlevel1"/>
        <w:numPr>
          <w:ilvl w:val="0"/>
          <w:numId w:val="30"/>
        </w:numPr>
      </w:pPr>
      <w:r>
        <w:t>Optus</w:t>
      </w:r>
    </w:p>
    <w:p w14:paraId="3EC728ED" w14:textId="24A0DC6C" w:rsidR="00644FF3" w:rsidRDefault="00644FF3" w:rsidP="00140ACF">
      <w:pPr>
        <w:pStyle w:val="Bulletlevel1"/>
        <w:numPr>
          <w:ilvl w:val="0"/>
          <w:numId w:val="30"/>
        </w:numPr>
      </w:pPr>
      <w:r>
        <w:t>Pivotel</w:t>
      </w:r>
    </w:p>
    <w:p w14:paraId="60D2009E" w14:textId="0A90E465" w:rsidR="00C91136" w:rsidRDefault="00C91136" w:rsidP="00140ACF">
      <w:pPr>
        <w:pStyle w:val="Bulletlevel1"/>
        <w:numPr>
          <w:ilvl w:val="0"/>
          <w:numId w:val="30"/>
        </w:numPr>
      </w:pPr>
      <w:r>
        <w:t>Perth Airport</w:t>
      </w:r>
    </w:p>
    <w:p w14:paraId="4A34EE08" w14:textId="26B14F81" w:rsidR="00644FF3" w:rsidRDefault="00644FF3" w:rsidP="00140ACF">
      <w:pPr>
        <w:pStyle w:val="Bulletlevel1"/>
        <w:numPr>
          <w:ilvl w:val="0"/>
          <w:numId w:val="30"/>
        </w:numPr>
      </w:pPr>
      <w:r>
        <w:t>Queensland Transport and Main Roads</w:t>
      </w:r>
    </w:p>
    <w:p w14:paraId="7B43DFAD" w14:textId="31851B4C" w:rsidR="00E469D0" w:rsidRDefault="00E469D0" w:rsidP="00140ACF">
      <w:pPr>
        <w:pStyle w:val="Bulletlevel1"/>
        <w:numPr>
          <w:ilvl w:val="0"/>
          <w:numId w:val="30"/>
        </w:numPr>
      </w:pPr>
      <w:r>
        <w:t>Special Broadcasting Service (SBS)</w:t>
      </w:r>
    </w:p>
    <w:p w14:paraId="5A751164" w14:textId="606E09D5" w:rsidR="00E469D0" w:rsidRDefault="00E469D0" w:rsidP="00140ACF">
      <w:pPr>
        <w:pStyle w:val="Bulletlevel1"/>
        <w:numPr>
          <w:ilvl w:val="0"/>
          <w:numId w:val="30"/>
        </w:numPr>
      </w:pPr>
      <w:r>
        <w:t>Shure Incorporated</w:t>
      </w:r>
    </w:p>
    <w:p w14:paraId="79AD84E0" w14:textId="48263508" w:rsidR="00E469D0" w:rsidRDefault="00E469D0" w:rsidP="00E469D0">
      <w:pPr>
        <w:pStyle w:val="Bulletlevel1"/>
        <w:numPr>
          <w:ilvl w:val="0"/>
          <w:numId w:val="30"/>
        </w:numPr>
      </w:pPr>
      <w:r>
        <w:t>Sydney Airport Corporation Limited</w:t>
      </w:r>
    </w:p>
    <w:p w14:paraId="7DED67CE" w14:textId="6E376702" w:rsidR="00140ACF" w:rsidRDefault="00140ACF" w:rsidP="00E469D0">
      <w:pPr>
        <w:pStyle w:val="Bulletlevel1last"/>
        <w:numPr>
          <w:ilvl w:val="0"/>
          <w:numId w:val="30"/>
        </w:numPr>
        <w:spacing w:after="80"/>
      </w:pPr>
      <w:r>
        <w:t>Telstra</w:t>
      </w:r>
    </w:p>
    <w:p w14:paraId="5E77B348" w14:textId="182A6155" w:rsidR="00E469D0" w:rsidRDefault="00E469D0" w:rsidP="00E469D0">
      <w:pPr>
        <w:pStyle w:val="Bulletlevel1last"/>
        <w:numPr>
          <w:ilvl w:val="0"/>
          <w:numId w:val="30"/>
        </w:numPr>
        <w:spacing w:after="80"/>
      </w:pPr>
      <w:r>
        <w:t>TPG</w:t>
      </w:r>
    </w:p>
    <w:p w14:paraId="2CE4A783" w14:textId="298C693E" w:rsidR="00E469D0" w:rsidRDefault="00E469D0" w:rsidP="00E469D0">
      <w:pPr>
        <w:pStyle w:val="Bulletlevel1last"/>
        <w:numPr>
          <w:ilvl w:val="0"/>
          <w:numId w:val="30"/>
        </w:numPr>
        <w:spacing w:after="80"/>
      </w:pPr>
      <w:r>
        <w:t>Wireless Institute of Australia (WIA)</w:t>
      </w:r>
      <w:r w:rsidR="006022BB">
        <w:t>.</w:t>
      </w:r>
    </w:p>
    <w:p w14:paraId="5517B4B7" w14:textId="63F09237" w:rsidR="00140ACF" w:rsidRDefault="00140ACF" w:rsidP="00140ACF">
      <w:pPr>
        <w:pStyle w:val="Paragraphbeforelist"/>
      </w:pPr>
    </w:p>
    <w:p w14:paraId="2B782824" w14:textId="77777777" w:rsidR="00140ACF" w:rsidRPr="00E162C4" w:rsidRDefault="00140ACF" w:rsidP="00B1172E">
      <w:pPr>
        <w:spacing w:after="60"/>
        <w:ind w:right="-1260"/>
      </w:pPr>
    </w:p>
    <w:sectPr w:rsidR="00140ACF" w:rsidRPr="00E162C4" w:rsidSect="000F2928">
      <w:headerReference w:type="even" r:id="rId74"/>
      <w:headerReference w:type="default" r:id="rId75"/>
      <w:footerReference w:type="even" r:id="rId76"/>
      <w:footerReference w:type="default" r:id="rId77"/>
      <w:pgSz w:w="11906" w:h="16838" w:code="9"/>
      <w:pgMar w:top="1945" w:right="3101" w:bottom="1134" w:left="1134" w:header="709" w:footer="11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2872FD" w14:textId="77777777" w:rsidR="00E344C0" w:rsidRDefault="00E344C0">
      <w:r>
        <w:separator/>
      </w:r>
    </w:p>
  </w:endnote>
  <w:endnote w:type="continuationSeparator" w:id="0">
    <w:p w14:paraId="6147129E" w14:textId="77777777" w:rsidR="00E344C0" w:rsidRDefault="00E344C0">
      <w:r>
        <w:continuationSeparator/>
      </w:r>
    </w:p>
  </w:endnote>
  <w:endnote w:type="continuationNotice" w:id="1">
    <w:p w14:paraId="2F2ACCE8" w14:textId="77777777" w:rsidR="00E344C0" w:rsidRDefault="00E344C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HelveticaNeueLT Std Lt">
    <w:panose1 w:val="020B0403020202020204"/>
    <w:charset w:val="00"/>
    <w:family w:val="swiss"/>
    <w:notTrueType/>
    <w:pitch w:val="variable"/>
    <w:sig w:usb0="800000AF" w:usb1="4000204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NeueLT Std">
    <w:panose1 w:val="020B0604020202020204"/>
    <w:charset w:val="00"/>
    <w:family w:val="swiss"/>
    <w:notTrueType/>
    <w:pitch w:val="variable"/>
    <w:sig w:usb0="800000AF" w:usb1="4000204A" w:usb2="00000000" w:usb3="00000000" w:csb0="00000001" w:csb1="00000000"/>
  </w:font>
  <w:font w:name="Vrinda">
    <w:panose1 w:val="00000400000000000000"/>
    <w:charset w:val="00"/>
    <w:family w:val="swiss"/>
    <w:pitch w:val="variable"/>
    <w:sig w:usb0="0001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BA479" w14:textId="77777777" w:rsidR="005E250B" w:rsidRDefault="005E250B" w:rsidP="005E250B">
    <w:pPr>
      <w:pStyle w:val="Footer"/>
      <w:jc w:val="right"/>
    </w:pPr>
    <w:r w:rsidRPr="005E250B">
      <w:rPr>
        <w:noProof/>
        <w:vertAlign w:val="subscript"/>
      </w:rPr>
      <w:drawing>
        <wp:inline distT="0" distB="0" distL="0" distR="0" wp14:anchorId="2ABAC2CB" wp14:editId="59CFB552">
          <wp:extent cx="1066800" cy="277368"/>
          <wp:effectExtent l="0" t="0" r="0" b="0"/>
          <wp:docPr id="15" name="Picture 15" descr="acma.gov.au">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cma.gov.au">
                    <a:hlinkClick r:id="rId1"/>
                  </pic:cNvPr>
                  <pic:cNvPicPr/>
                </pic:nvPicPr>
                <pic:blipFill>
                  <a:blip r:embed="rId2"/>
                  <a:stretch>
                    <a:fillRect/>
                  </a:stretch>
                </pic:blipFill>
                <pic:spPr>
                  <a:xfrm>
                    <a:off x="0" y="0"/>
                    <a:ext cx="1133985" cy="294836"/>
                  </a:xfrm>
                  <a:prstGeom prst="rect">
                    <a:avLst/>
                  </a:prstGeom>
                </pic:spPr>
              </pic:pic>
            </a:graphicData>
          </a:graphic>
        </wp:inline>
      </w:drawing>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AF2A5" w14:textId="77777777" w:rsidR="00C053A1" w:rsidRPr="00622A3B" w:rsidRDefault="00C053A1" w:rsidP="00447037">
    <w:pPr>
      <w:pStyle w:val="Footer"/>
      <w:framePr w:w="1440" w:h="357" w:hRule="exact" w:vSpace="425" w:wrap="around" w:vAnchor="page" w:hAnchor="page" w:x="7335" w:y="16166"/>
      <w:pBdr>
        <w:top w:val="single" w:sz="4" w:space="1" w:color="auto"/>
      </w:pBdr>
      <w:tabs>
        <w:tab w:val="clear" w:pos="113"/>
        <w:tab w:val="left" w:pos="397"/>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575AC5">
      <w:rPr>
        <w:color w:val="505050"/>
      </w:rPr>
      <w:fldChar w:fldCharType="begin"/>
    </w:r>
    <w:r w:rsidRPr="00575AC5">
      <w:rPr>
        <w:color w:val="505050"/>
      </w:rPr>
      <w:instrText xml:space="preserve"> PAGE  \* Arabic  \* MERGEFORMAT </w:instrText>
    </w:r>
    <w:r w:rsidRPr="00575AC5">
      <w:rPr>
        <w:color w:val="505050"/>
      </w:rPr>
      <w:fldChar w:fldCharType="separate"/>
    </w:r>
    <w:r w:rsidR="00DD1A43">
      <w:rPr>
        <w:noProof/>
        <w:color w:val="505050"/>
      </w:rPr>
      <w:t>1</w:t>
    </w:r>
    <w:r w:rsidRPr="00575AC5">
      <w:rPr>
        <w:color w:val="505050"/>
      </w:rPr>
      <w:fldChar w:fldCharType="end"/>
    </w:r>
  </w:p>
  <w:p w14:paraId="236B9D8D" w14:textId="77777777" w:rsidR="00C053A1" w:rsidRPr="00A5474E" w:rsidRDefault="00C053A1" w:rsidP="00A5474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560523" w14:textId="77777777" w:rsidR="00C053A1" w:rsidRDefault="00C053A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17C088" w14:textId="77777777" w:rsidR="00C053A1" w:rsidRDefault="00C053A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4B57C5" w14:textId="77777777" w:rsidR="00971914" w:rsidRPr="00622A3B" w:rsidRDefault="00971914" w:rsidP="00971914">
    <w:pPr>
      <w:pStyle w:val="Footer"/>
      <w:framePr w:w="1334" w:h="357" w:hRule="exact" w:vSpace="425" w:wrap="around" w:vAnchor="page" w:hAnchor="page" w:x="1156" w:y="16166"/>
      <w:pBdr>
        <w:top w:val="single" w:sz="4" w:space="1" w:color="auto"/>
      </w:pBdr>
      <w:tabs>
        <w:tab w:val="clear" w:pos="113"/>
        <w:tab w:val="left" w:pos="284"/>
      </w:tabs>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sidR="000C6AB4">
      <w:rPr>
        <w:noProof/>
        <w:color w:val="505050"/>
      </w:rPr>
      <w:t>iv</w:t>
    </w:r>
    <w:r w:rsidRPr="002E4DDC">
      <w:rPr>
        <w:color w:val="505050"/>
      </w:rPr>
      <w:fldChar w:fldCharType="end"/>
    </w:r>
  </w:p>
  <w:p w14:paraId="5A731BBF" w14:textId="77777777" w:rsidR="00C053A1" w:rsidRPr="00A5474E" w:rsidRDefault="00C053A1" w:rsidP="00A5474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801E0" w14:textId="77777777" w:rsidR="00971914" w:rsidRPr="00622A3B" w:rsidRDefault="00971914" w:rsidP="00971914">
    <w:pPr>
      <w:pStyle w:val="Footer"/>
      <w:framePr w:w="1334" w:h="357" w:hRule="exact" w:vSpace="425" w:wrap="around" w:vAnchor="page" w:hAnchor="page" w:x="7335" w:y="16166"/>
      <w:pBdr>
        <w:top w:val="single" w:sz="4" w:space="1" w:color="auto"/>
      </w:pBdr>
      <w:tabs>
        <w:tab w:val="clear" w:pos="113"/>
        <w:tab w:val="left" w:pos="284"/>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sidR="000C6AB4">
      <w:rPr>
        <w:noProof/>
        <w:color w:val="505050"/>
      </w:rPr>
      <w:t>v</w:t>
    </w:r>
    <w:r w:rsidRPr="002E4DDC">
      <w:rPr>
        <w:color w:val="505050"/>
      </w:rPr>
      <w:fldChar w:fldCharType="end"/>
    </w:r>
  </w:p>
  <w:p w14:paraId="6D6CC9DC" w14:textId="77777777" w:rsidR="00C053A1" w:rsidRPr="00A5474E" w:rsidRDefault="00C053A1" w:rsidP="00A5474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2474A6" w14:textId="77777777" w:rsidR="00C053A1" w:rsidRPr="00622A3B" w:rsidRDefault="00C053A1" w:rsidP="0094078F">
    <w:pPr>
      <w:pStyle w:val="Footer"/>
      <w:framePr w:w="1334" w:h="357" w:hRule="exact" w:vSpace="425" w:wrap="around" w:vAnchor="page" w:hAnchor="page" w:x="7335" w:y="16166"/>
      <w:pBdr>
        <w:top w:val="single" w:sz="4" w:space="1" w:color="auto"/>
      </w:pBdr>
      <w:tabs>
        <w:tab w:val="clear" w:pos="113"/>
        <w:tab w:val="left" w:pos="284"/>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sidR="00DD1A43">
      <w:rPr>
        <w:noProof/>
        <w:color w:val="505050"/>
      </w:rPr>
      <w:t>iii</w:t>
    </w:r>
    <w:r w:rsidRPr="002E4DDC">
      <w:rPr>
        <w:color w:val="505050"/>
      </w:rPr>
      <w:fldChar w:fldCharType="end"/>
    </w:r>
  </w:p>
  <w:p w14:paraId="579C0123" w14:textId="77777777" w:rsidR="00C053A1" w:rsidRPr="00A5474E" w:rsidRDefault="00C053A1" w:rsidP="00A5474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995E30" w14:textId="77777777" w:rsidR="0087342B" w:rsidRPr="00622A3B" w:rsidRDefault="0087342B" w:rsidP="00B43262">
    <w:pPr>
      <w:pStyle w:val="FooterLeft"/>
      <w:framePr w:wrap="around" w:x="1141" w:y="16166"/>
      <w:tabs>
        <w:tab w:val="clear" w:pos="113"/>
        <w:tab w:val="right" w:pos="397"/>
      </w:tabs>
    </w:pPr>
    <w:r w:rsidRPr="00575AC5">
      <w:fldChar w:fldCharType="begin"/>
    </w:r>
    <w:r w:rsidRPr="00575AC5">
      <w:instrText xml:space="preserve"> PAGE  \* Arabic  \* MERGEFORMAT </w:instrText>
    </w:r>
    <w:r w:rsidRPr="00575AC5">
      <w:fldChar w:fldCharType="separate"/>
    </w:r>
    <w:r>
      <w:rPr>
        <w:noProof/>
      </w:rPr>
      <w:t>6</w:t>
    </w:r>
    <w:r w:rsidRPr="00575AC5">
      <w:fldChar w:fldCharType="end"/>
    </w:r>
    <w:r w:rsidRPr="0094078F">
      <w:tab/>
    </w:r>
    <w:r w:rsidRPr="00622A3B">
      <w:t>|</w:t>
    </w:r>
    <w:r>
      <w:tab/>
    </w:r>
    <w:r w:rsidRPr="00622A3B">
      <w:rPr>
        <w:b/>
        <w:noProof/>
        <w:spacing w:val="-16"/>
        <w:sz w:val="20"/>
        <w:szCs w:val="20"/>
      </w:rPr>
      <w:t>a</w:t>
    </w:r>
    <w:r w:rsidRPr="00622A3B">
      <w:rPr>
        <w:b/>
        <w:noProof/>
        <w:spacing w:val="-15"/>
        <w:sz w:val="20"/>
        <w:szCs w:val="20"/>
      </w:rPr>
      <w:t>c</w:t>
    </w:r>
    <w:r w:rsidRPr="00622A3B">
      <w:rPr>
        <w:b/>
        <w:noProof/>
        <w:spacing w:val="-16"/>
        <w:sz w:val="20"/>
        <w:szCs w:val="20"/>
      </w:rPr>
      <w:t>m</w:t>
    </w:r>
    <w:r w:rsidRPr="00622A3B">
      <w:rPr>
        <w:b/>
        <w:noProof/>
        <w:spacing w:val="-14"/>
        <w:sz w:val="20"/>
        <w:szCs w:val="20"/>
      </w:rPr>
      <w:t>a</w:t>
    </w:r>
  </w:p>
  <w:p w14:paraId="3FBF37DF" w14:textId="77777777" w:rsidR="0087342B" w:rsidRPr="00A5474E" w:rsidRDefault="0087342B" w:rsidP="00A5474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810F00" w14:textId="77777777" w:rsidR="0087342B" w:rsidRPr="00622A3B" w:rsidRDefault="0087342B" w:rsidP="00447037">
    <w:pPr>
      <w:pStyle w:val="Footer"/>
      <w:framePr w:w="1440" w:h="357" w:hRule="exact" w:vSpace="425" w:wrap="around" w:vAnchor="page" w:hAnchor="page" w:x="7335" w:y="16166"/>
      <w:pBdr>
        <w:top w:val="single" w:sz="4" w:space="1" w:color="auto"/>
      </w:pBdr>
      <w:tabs>
        <w:tab w:val="clear" w:pos="113"/>
        <w:tab w:val="left" w:pos="397"/>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575AC5">
      <w:rPr>
        <w:color w:val="505050"/>
      </w:rPr>
      <w:fldChar w:fldCharType="begin"/>
    </w:r>
    <w:r w:rsidRPr="00575AC5">
      <w:rPr>
        <w:color w:val="505050"/>
      </w:rPr>
      <w:instrText xml:space="preserve"> PAGE  \* Arabic  \* MERGEFORMAT </w:instrText>
    </w:r>
    <w:r w:rsidRPr="00575AC5">
      <w:rPr>
        <w:color w:val="505050"/>
      </w:rPr>
      <w:fldChar w:fldCharType="separate"/>
    </w:r>
    <w:r>
      <w:rPr>
        <w:noProof/>
        <w:color w:val="505050"/>
      </w:rPr>
      <w:t>1</w:t>
    </w:r>
    <w:r w:rsidRPr="00575AC5">
      <w:rPr>
        <w:color w:val="505050"/>
      </w:rPr>
      <w:fldChar w:fldCharType="end"/>
    </w:r>
  </w:p>
  <w:p w14:paraId="07293BD6" w14:textId="77777777" w:rsidR="0087342B" w:rsidRPr="00A5474E" w:rsidRDefault="0087342B" w:rsidP="00A5474E">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19D0C" w14:textId="77777777" w:rsidR="00C053A1" w:rsidRPr="00622A3B" w:rsidRDefault="00C053A1" w:rsidP="00B43262">
    <w:pPr>
      <w:pStyle w:val="FooterLeft"/>
      <w:framePr w:wrap="around" w:x="1141" w:y="16166"/>
      <w:tabs>
        <w:tab w:val="clear" w:pos="113"/>
        <w:tab w:val="right" w:pos="397"/>
      </w:tabs>
    </w:pPr>
    <w:r w:rsidRPr="00575AC5">
      <w:fldChar w:fldCharType="begin"/>
    </w:r>
    <w:r w:rsidRPr="00575AC5">
      <w:instrText xml:space="preserve"> PAGE  \* Arabic  \* MERGEFORMAT </w:instrText>
    </w:r>
    <w:r w:rsidRPr="00575AC5">
      <w:fldChar w:fldCharType="separate"/>
    </w:r>
    <w:r w:rsidR="00DD1A43">
      <w:rPr>
        <w:noProof/>
      </w:rPr>
      <w:t>6</w:t>
    </w:r>
    <w:r w:rsidRPr="00575AC5">
      <w:fldChar w:fldCharType="end"/>
    </w:r>
    <w:r w:rsidRPr="0094078F">
      <w:tab/>
    </w:r>
    <w:r w:rsidRPr="00622A3B">
      <w:t>|</w:t>
    </w:r>
    <w:r>
      <w:tab/>
    </w:r>
    <w:r w:rsidRPr="00622A3B">
      <w:rPr>
        <w:b/>
        <w:noProof/>
        <w:spacing w:val="-16"/>
        <w:sz w:val="20"/>
        <w:szCs w:val="20"/>
      </w:rPr>
      <w:t>a</w:t>
    </w:r>
    <w:r w:rsidRPr="00622A3B">
      <w:rPr>
        <w:b/>
        <w:noProof/>
        <w:spacing w:val="-15"/>
        <w:sz w:val="20"/>
        <w:szCs w:val="20"/>
      </w:rPr>
      <w:t>c</w:t>
    </w:r>
    <w:r w:rsidRPr="00622A3B">
      <w:rPr>
        <w:b/>
        <w:noProof/>
        <w:spacing w:val="-16"/>
        <w:sz w:val="20"/>
        <w:szCs w:val="20"/>
      </w:rPr>
      <w:t>m</w:t>
    </w:r>
    <w:r w:rsidRPr="00622A3B">
      <w:rPr>
        <w:b/>
        <w:noProof/>
        <w:spacing w:val="-14"/>
        <w:sz w:val="20"/>
        <w:szCs w:val="20"/>
      </w:rPr>
      <w:t>a</w:t>
    </w:r>
  </w:p>
  <w:p w14:paraId="1C92A888" w14:textId="77777777" w:rsidR="00C053A1" w:rsidRPr="00A5474E" w:rsidRDefault="00C053A1" w:rsidP="00A547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D59B36" w14:textId="77777777" w:rsidR="00E344C0" w:rsidRDefault="00E344C0" w:rsidP="00EA0969">
      <w:pPr>
        <w:spacing w:after="0"/>
      </w:pPr>
      <w:r>
        <w:separator/>
      </w:r>
    </w:p>
  </w:footnote>
  <w:footnote w:type="continuationSeparator" w:id="0">
    <w:p w14:paraId="044972CF" w14:textId="77777777" w:rsidR="00E344C0" w:rsidRDefault="00E344C0">
      <w:r>
        <w:continuationSeparator/>
      </w:r>
    </w:p>
  </w:footnote>
  <w:footnote w:type="continuationNotice" w:id="1">
    <w:p w14:paraId="1B66C172" w14:textId="77777777" w:rsidR="00E344C0" w:rsidRDefault="00E344C0">
      <w:pPr>
        <w:spacing w:after="0" w:line="240" w:lineRule="auto"/>
      </w:pPr>
    </w:p>
  </w:footnote>
  <w:footnote w:id="2">
    <w:p w14:paraId="0F39FF8C" w14:textId="01639F3D" w:rsidR="00B1172E" w:rsidRPr="00E06380" w:rsidRDefault="00B1172E" w:rsidP="00B1172E">
      <w:pPr>
        <w:pStyle w:val="FootnoteText"/>
      </w:pPr>
      <w:r w:rsidRPr="00E06380">
        <w:rPr>
          <w:rStyle w:val="FootnoteReference"/>
        </w:rPr>
        <w:footnoteRef/>
      </w:r>
      <w:r w:rsidRPr="00E06380">
        <w:t xml:space="preserve"> The associated urban excise areas are defined in </w:t>
      </w:r>
      <w:hyperlink r:id="rId1" w:anchor="_Appendix_A:_Geographical" w:history="1">
        <w:r w:rsidRPr="00E06380">
          <w:rPr>
            <w:rStyle w:val="Hyperlink"/>
          </w:rPr>
          <w:t>Appendix A</w:t>
        </w:r>
      </w:hyperlink>
      <w:r w:rsidRPr="00E06380">
        <w:t>.</w:t>
      </w:r>
    </w:p>
  </w:footnote>
  <w:footnote w:id="3">
    <w:p w14:paraId="38836277" w14:textId="4975DF18" w:rsidR="00102E07" w:rsidRDefault="00102E07" w:rsidP="00102E07">
      <w:pPr>
        <w:pStyle w:val="FootnoteText"/>
      </w:pPr>
      <w:r w:rsidRPr="00E06380">
        <w:rPr>
          <w:rStyle w:val="FootnoteReference"/>
        </w:rPr>
        <w:footnoteRef/>
      </w:r>
      <w:r w:rsidRPr="00E06380">
        <w:t xml:space="preserve"> </w:t>
      </w:r>
      <w:r w:rsidR="00E06380">
        <w:t xml:space="preserve">Australian Communications and </w:t>
      </w:r>
      <w:r w:rsidR="0045297B">
        <w:t>M</w:t>
      </w:r>
      <w:r w:rsidR="00E06380">
        <w:t>edia Authority (</w:t>
      </w:r>
      <w:r w:rsidRPr="00E06380">
        <w:t>ACMA</w:t>
      </w:r>
      <w:r w:rsidR="0045297B">
        <w:t>),</w:t>
      </w:r>
      <w:r w:rsidRPr="00E06380">
        <w:t xml:space="preserve"> </w:t>
      </w:r>
      <w:hyperlink r:id="rId2" w:history="1">
        <w:r w:rsidRPr="00E06380">
          <w:rPr>
            <w:rStyle w:val="Hyperlink"/>
            <w:i/>
            <w:iCs/>
          </w:rPr>
          <w:t>Corporate plan 2021–22</w:t>
        </w:r>
      </w:hyperlink>
      <w:r w:rsidR="0045297B">
        <w:rPr>
          <w:i/>
          <w:iCs/>
        </w:rPr>
        <w:t xml:space="preserve">, </w:t>
      </w:r>
      <w:r w:rsidR="0045297B" w:rsidRPr="004B6863">
        <w:t xml:space="preserve">ACMA website, 2021, </w:t>
      </w:r>
      <w:r w:rsidR="0045297B">
        <w:t>accessed 11 July 2022.</w:t>
      </w:r>
    </w:p>
  </w:footnote>
  <w:footnote w:id="4">
    <w:p w14:paraId="39BEAC98" w14:textId="77777777" w:rsidR="00D27B1E" w:rsidRDefault="00D27B1E" w:rsidP="00D27B1E">
      <w:pPr>
        <w:pStyle w:val="FootnoteText"/>
      </w:pPr>
      <w:r>
        <w:rPr>
          <w:rStyle w:val="FootnoteReference"/>
        </w:rPr>
        <w:footnoteRef/>
      </w:r>
      <w:r>
        <w:t xml:space="preserve"> Industry 4.0 or the fourth industrial revolution refers to the </w:t>
      </w:r>
      <w:r w:rsidRPr="001B2D2A">
        <w:t>transform</w:t>
      </w:r>
      <w:r>
        <w:t>ation of</w:t>
      </w:r>
      <w:r w:rsidRPr="001B2D2A">
        <w:t xml:space="preserve"> how businesses operate by connecting the physical with the digital world. Artificial intelligence, advanced automation and robotics are examples of Industry 4.0 technologies.</w:t>
      </w:r>
      <w:r>
        <w:t xml:space="preserve"> </w:t>
      </w:r>
    </w:p>
  </w:footnote>
  <w:footnote w:id="5">
    <w:p w14:paraId="665EADA2" w14:textId="5AE5C77E" w:rsidR="00782B24" w:rsidRDefault="00782B24" w:rsidP="00782B24">
      <w:pPr>
        <w:pStyle w:val="FootnoteText"/>
      </w:pPr>
      <w:r>
        <w:rPr>
          <w:rStyle w:val="FootnoteReference"/>
        </w:rPr>
        <w:footnoteRef/>
      </w:r>
      <w:r>
        <w:t xml:space="preserve"> Dead zones are areas near the geographical border of a </w:t>
      </w:r>
      <w:r w:rsidR="00C550ED">
        <w:t xml:space="preserve">spectrum licence </w:t>
      </w:r>
      <w:r>
        <w:t>(or AWL) where there are restrictions on the deployment of services to limit the level of emission</w:t>
      </w:r>
      <w:r w:rsidR="00866A47">
        <w:t>s</w:t>
      </w:r>
      <w:r>
        <w:t xml:space="preserve"> leaving the licence area. </w:t>
      </w:r>
    </w:p>
  </w:footnote>
  <w:footnote w:id="6">
    <w:p w14:paraId="56988406" w14:textId="77777777" w:rsidR="001E591D" w:rsidRDefault="001E591D" w:rsidP="001E591D">
      <w:pPr>
        <w:pStyle w:val="FootnoteText"/>
      </w:pPr>
      <w:r>
        <w:rPr>
          <w:rStyle w:val="FootnoteReference"/>
        </w:rPr>
        <w:footnoteRef/>
      </w:r>
      <w:r>
        <w:t xml:space="preserve"> Technical details and limitations include maximum in-band transmit power and unwanted emissions limits as well as the authorised frequency range and geographical area of the licence. </w:t>
      </w:r>
    </w:p>
  </w:footnote>
  <w:footnote w:id="7">
    <w:p w14:paraId="4A5F3EFA" w14:textId="233E65DE" w:rsidR="00E215E9" w:rsidRPr="00F749FB" w:rsidRDefault="00E215E9" w:rsidP="00E215E9">
      <w:pPr>
        <w:pStyle w:val="FootnoteText"/>
      </w:pPr>
      <w:r>
        <w:rPr>
          <w:rStyle w:val="FootnoteReference"/>
        </w:rPr>
        <w:footnoteRef/>
      </w:r>
      <w:r>
        <w:t xml:space="preserve"> The minister is able to direct the ACMA in relation to the performance of its functions and the exercise of its powers, in accordance with section 14 of the </w:t>
      </w:r>
      <w:hyperlink r:id="rId3" w:history="1">
        <w:r w:rsidRPr="00355CAA">
          <w:rPr>
            <w:rStyle w:val="Hyperlink"/>
            <w:i/>
            <w:iCs/>
          </w:rPr>
          <w:t>Australian Communications and Media Authority Act 2005</w:t>
        </w:r>
      </w:hyperlink>
      <w:r w:rsidR="00FF008D">
        <w:t>, and has some specific directions powers under the Act.</w:t>
      </w:r>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4EEE2" w14:textId="77777777" w:rsidR="00C053A1" w:rsidRPr="00A5474E" w:rsidRDefault="0021426C" w:rsidP="00A5474E">
    <w:pPr>
      <w:pStyle w:val="Header"/>
    </w:pPr>
    <w:r>
      <w:rPr>
        <w:noProof/>
      </w:rPr>
      <w:drawing>
        <wp:inline distT="0" distB="0" distL="0" distR="0" wp14:anchorId="720E3084" wp14:editId="25683B61">
          <wp:extent cx="6210300" cy="571134"/>
          <wp:effectExtent l="0" t="0" r="0" b="0"/>
          <wp:docPr id="14" name="Picture 14" descr="A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cussion-paper-header-block.pdf"/>
                  <pic:cNvPicPr/>
                </pic:nvPicPr>
                <pic:blipFill>
                  <a:blip r:embed="rId1"/>
                  <a:stretch>
                    <a:fillRect/>
                  </a:stretch>
                </pic:blipFill>
                <pic:spPr>
                  <a:xfrm>
                    <a:off x="0" y="0"/>
                    <a:ext cx="6210300" cy="571134"/>
                  </a:xfrm>
                  <a:prstGeom prst="rect">
                    <a:avLst/>
                  </a:prstGeom>
                </pic:spPr>
              </pic:pic>
            </a:graphicData>
          </a:graphic>
        </wp:inline>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6AE74" w14:textId="77777777" w:rsidR="00C053A1" w:rsidRDefault="00C053A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1B7F30" w14:textId="77777777" w:rsidR="00C053A1" w:rsidRPr="00A5474E" w:rsidRDefault="00C053A1" w:rsidP="00594E9C">
    <w:pPr>
      <w:pStyle w:val="TOCHeading"/>
    </w:pPr>
    <w:r w:rsidRPr="0029593B">
      <w:t>Contents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300D68" w14:textId="633DCB62" w:rsidR="00C053A1" w:rsidRDefault="00C053A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F8E7F2" w14:textId="77777777" w:rsidR="00C053A1" w:rsidRDefault="00C053A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7678" w:type="dxa"/>
      <w:tblLayout w:type="fixed"/>
      <w:tblCellMar>
        <w:left w:w="0" w:type="dxa"/>
        <w:right w:w="0" w:type="dxa"/>
      </w:tblCellMar>
      <w:tblLook w:val="01E0" w:firstRow="1" w:lastRow="1" w:firstColumn="1" w:lastColumn="1" w:noHBand="0" w:noVBand="0"/>
    </w:tblPr>
    <w:tblGrid>
      <w:gridCol w:w="7678"/>
    </w:tblGrid>
    <w:tr w:rsidR="00971914" w14:paraId="7FCAD402" w14:textId="77777777" w:rsidTr="00724530">
      <w:trPr>
        <w:trHeight w:hRule="exact" w:val="988"/>
      </w:trPr>
      <w:tc>
        <w:tcPr>
          <w:tcW w:w="7678" w:type="dxa"/>
          <w:shd w:val="clear" w:color="auto" w:fill="auto"/>
        </w:tcPr>
        <w:p w14:paraId="5866EE25" w14:textId="77777777" w:rsidR="00971914" w:rsidRDefault="00971914" w:rsidP="00971914">
          <w:pPr>
            <w:pStyle w:val="Header"/>
          </w:pPr>
        </w:p>
      </w:tc>
    </w:tr>
    <w:tr w:rsidR="00971914" w14:paraId="2A08C116" w14:textId="77777777" w:rsidTr="00724530">
      <w:tc>
        <w:tcPr>
          <w:tcW w:w="7678" w:type="dxa"/>
          <w:shd w:val="clear" w:color="auto" w:fill="auto"/>
        </w:tcPr>
        <w:p w14:paraId="23345760" w14:textId="77777777" w:rsidR="00971914" w:rsidRDefault="00971914" w:rsidP="00971914">
          <w:pPr>
            <w:pStyle w:val="GridTable31"/>
          </w:pPr>
          <w:r>
            <w:t xml:space="preserve">Contents </w:t>
          </w:r>
          <w:r w:rsidRPr="00915B1C">
            <w:rPr>
              <w:b w:val="0"/>
              <w:spacing w:val="0"/>
              <w:sz w:val="28"/>
              <w:szCs w:val="28"/>
            </w:rPr>
            <w:t>(Continued)</w:t>
          </w:r>
        </w:p>
      </w:tc>
    </w:tr>
    <w:tr w:rsidR="00971914" w14:paraId="4B801B94" w14:textId="77777777" w:rsidTr="00724530">
      <w:trPr>
        <w:trHeight w:val="1220"/>
      </w:trPr>
      <w:tc>
        <w:tcPr>
          <w:tcW w:w="7678" w:type="dxa"/>
          <w:shd w:val="clear" w:color="auto" w:fill="auto"/>
        </w:tcPr>
        <w:p w14:paraId="2CE44036" w14:textId="77777777" w:rsidR="00971914" w:rsidRDefault="00971914" w:rsidP="00971914"/>
      </w:tc>
    </w:tr>
  </w:tbl>
  <w:p w14:paraId="0CAECCF1" w14:textId="77777777" w:rsidR="00971914" w:rsidRDefault="00971914" w:rsidP="00971914">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7678" w:type="dxa"/>
      <w:tblLayout w:type="fixed"/>
      <w:tblCellMar>
        <w:left w:w="0" w:type="dxa"/>
        <w:right w:w="0" w:type="dxa"/>
      </w:tblCellMar>
      <w:tblLook w:val="01E0" w:firstRow="1" w:lastRow="1" w:firstColumn="1" w:lastColumn="1" w:noHBand="0" w:noVBand="0"/>
    </w:tblPr>
    <w:tblGrid>
      <w:gridCol w:w="7678"/>
    </w:tblGrid>
    <w:tr w:rsidR="00971914" w14:paraId="298D1A79" w14:textId="77777777" w:rsidTr="00724530">
      <w:trPr>
        <w:trHeight w:hRule="exact" w:val="988"/>
      </w:trPr>
      <w:tc>
        <w:tcPr>
          <w:tcW w:w="7678" w:type="dxa"/>
          <w:shd w:val="clear" w:color="auto" w:fill="auto"/>
        </w:tcPr>
        <w:p w14:paraId="72B51FAD" w14:textId="77777777" w:rsidR="00971914" w:rsidRDefault="00971914" w:rsidP="00971914">
          <w:pPr>
            <w:pStyle w:val="Header"/>
          </w:pPr>
        </w:p>
      </w:tc>
    </w:tr>
    <w:tr w:rsidR="00971914" w14:paraId="3DA79F71" w14:textId="77777777" w:rsidTr="00724530">
      <w:tc>
        <w:tcPr>
          <w:tcW w:w="7678" w:type="dxa"/>
          <w:shd w:val="clear" w:color="auto" w:fill="auto"/>
        </w:tcPr>
        <w:p w14:paraId="253D59B8" w14:textId="77777777" w:rsidR="00971914" w:rsidRDefault="00971914" w:rsidP="00971914">
          <w:pPr>
            <w:pStyle w:val="GridTable31"/>
          </w:pPr>
          <w:r>
            <w:t xml:space="preserve">Contents </w:t>
          </w:r>
          <w:r w:rsidRPr="00915B1C">
            <w:rPr>
              <w:b w:val="0"/>
              <w:spacing w:val="0"/>
              <w:sz w:val="28"/>
              <w:szCs w:val="28"/>
            </w:rPr>
            <w:t>(Continued)</w:t>
          </w:r>
        </w:p>
      </w:tc>
    </w:tr>
    <w:tr w:rsidR="00971914" w14:paraId="2967CA3F" w14:textId="77777777" w:rsidTr="00724530">
      <w:trPr>
        <w:trHeight w:val="1220"/>
      </w:trPr>
      <w:tc>
        <w:tcPr>
          <w:tcW w:w="7678" w:type="dxa"/>
          <w:shd w:val="clear" w:color="auto" w:fill="auto"/>
        </w:tcPr>
        <w:p w14:paraId="629C8359" w14:textId="77777777" w:rsidR="00971914" w:rsidRDefault="00971914" w:rsidP="00971914"/>
      </w:tc>
    </w:tr>
  </w:tbl>
  <w:p w14:paraId="0DC68F5B" w14:textId="77777777" w:rsidR="00C053A1" w:rsidRPr="00A5474E" w:rsidRDefault="00C053A1" w:rsidP="00A5474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C3B41" w14:textId="77777777" w:rsidR="0087342B" w:rsidRDefault="0087342B">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BF60C" w14:textId="77777777" w:rsidR="0087342B" w:rsidRDefault="0087342B">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01FF2" w14:textId="77777777" w:rsidR="00C053A1" w:rsidRDefault="00C053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75F22F60"/>
    <w:lvl w:ilvl="0">
      <w:start w:val="1"/>
      <w:numFmt w:val="lowerRoman"/>
      <w:pStyle w:val="ListNumber2"/>
      <w:lvlText w:val="%1."/>
      <w:lvlJc w:val="right"/>
      <w:pPr>
        <w:ind w:left="717" w:hanging="360"/>
      </w:pPr>
      <w:rPr>
        <w:rFonts w:hint="default"/>
      </w:rPr>
    </w:lvl>
  </w:abstractNum>
  <w:abstractNum w:abstractNumId="1" w15:restartNumberingAfterBreak="0">
    <w:nsid w:val="FFFFFF83"/>
    <w:multiLevelType w:val="singleLevel"/>
    <w:tmpl w:val="909E78BC"/>
    <w:lvl w:ilvl="0">
      <w:start w:val="1"/>
      <w:numFmt w:val="bullet"/>
      <w:pStyle w:val="ListBullet2"/>
      <w:lvlText w:val="&gt;"/>
      <w:lvlJc w:val="left"/>
      <w:pPr>
        <w:tabs>
          <w:tab w:val="num" w:pos="845"/>
        </w:tabs>
        <w:ind w:left="845" w:hanging="544"/>
      </w:pPr>
      <w:rPr>
        <w:rFonts w:ascii="HelveticaNeueLT Std Lt" w:hAnsi="HelveticaNeueLT Std Lt" w:hint="default"/>
        <w:sz w:val="20"/>
      </w:rPr>
    </w:lvl>
  </w:abstractNum>
  <w:abstractNum w:abstractNumId="2" w15:restartNumberingAfterBreak="0">
    <w:nsid w:val="FFFFFF88"/>
    <w:multiLevelType w:val="singleLevel"/>
    <w:tmpl w:val="51B60EB2"/>
    <w:lvl w:ilvl="0">
      <w:start w:val="1"/>
      <w:numFmt w:val="decimal"/>
      <w:pStyle w:val="ListNumber"/>
      <w:lvlText w:val="%1."/>
      <w:lvlJc w:val="left"/>
      <w:pPr>
        <w:ind w:left="360" w:hanging="360"/>
      </w:pPr>
      <w:rPr>
        <w:rFonts w:hint="default"/>
        <w:b w:val="0"/>
        <w:bCs/>
        <w:caps/>
        <w:sz w:val="20"/>
      </w:rPr>
    </w:lvl>
  </w:abstractNum>
  <w:abstractNum w:abstractNumId="3" w15:restartNumberingAfterBreak="0">
    <w:nsid w:val="FFFFFF89"/>
    <w:multiLevelType w:val="singleLevel"/>
    <w:tmpl w:val="E552FEBA"/>
    <w:lvl w:ilvl="0">
      <w:start w:val="1"/>
      <w:numFmt w:val="bullet"/>
      <w:pStyle w:val="ListBullet"/>
      <w:lvlText w:val="&gt;"/>
      <w:lvlJc w:val="left"/>
      <w:pPr>
        <w:tabs>
          <w:tab w:val="num" w:pos="295"/>
        </w:tabs>
        <w:ind w:left="295" w:hanging="295"/>
      </w:pPr>
      <w:rPr>
        <w:rFonts w:ascii="HelveticaNeueLT Std Lt" w:hAnsi="HelveticaNeueLT Std Lt" w:hint="default"/>
        <w:sz w:val="20"/>
      </w:rPr>
    </w:lvl>
  </w:abstractNum>
  <w:abstractNum w:abstractNumId="4" w15:restartNumberingAfterBreak="0">
    <w:nsid w:val="02AF1222"/>
    <w:multiLevelType w:val="hybridMultilevel"/>
    <w:tmpl w:val="BC6E3CCC"/>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036F55C8"/>
    <w:multiLevelType w:val="hybridMultilevel"/>
    <w:tmpl w:val="FFFFFFFF"/>
    <w:lvl w:ilvl="0" w:tplc="387E9DF2">
      <w:start w:val="1"/>
      <w:numFmt w:val="bullet"/>
      <w:lvlText w:val=""/>
      <w:lvlJc w:val="left"/>
      <w:pPr>
        <w:ind w:left="720" w:hanging="360"/>
      </w:pPr>
      <w:rPr>
        <w:rFonts w:ascii="Symbol" w:hAnsi="Symbol" w:hint="default"/>
      </w:rPr>
    </w:lvl>
    <w:lvl w:ilvl="1" w:tplc="E6E2F282">
      <w:start w:val="1"/>
      <w:numFmt w:val="lowerLetter"/>
      <w:lvlText w:val="%2."/>
      <w:lvlJc w:val="left"/>
      <w:pPr>
        <w:ind w:left="1440" w:hanging="360"/>
      </w:pPr>
    </w:lvl>
    <w:lvl w:ilvl="2" w:tplc="075CA1B6">
      <w:start w:val="1"/>
      <w:numFmt w:val="lowerRoman"/>
      <w:lvlText w:val="%3."/>
      <w:lvlJc w:val="right"/>
      <w:pPr>
        <w:ind w:left="2160" w:hanging="180"/>
      </w:pPr>
    </w:lvl>
    <w:lvl w:ilvl="3" w:tplc="6E74EBF0">
      <w:start w:val="1"/>
      <w:numFmt w:val="decimal"/>
      <w:lvlText w:val="%4."/>
      <w:lvlJc w:val="left"/>
      <w:pPr>
        <w:ind w:left="2880" w:hanging="360"/>
      </w:pPr>
    </w:lvl>
    <w:lvl w:ilvl="4" w:tplc="19C85C28">
      <w:start w:val="1"/>
      <w:numFmt w:val="lowerLetter"/>
      <w:lvlText w:val="%5."/>
      <w:lvlJc w:val="left"/>
      <w:pPr>
        <w:ind w:left="3600" w:hanging="360"/>
      </w:pPr>
    </w:lvl>
    <w:lvl w:ilvl="5" w:tplc="E892BC0C">
      <w:start w:val="1"/>
      <w:numFmt w:val="lowerRoman"/>
      <w:lvlText w:val="%6."/>
      <w:lvlJc w:val="right"/>
      <w:pPr>
        <w:ind w:left="4320" w:hanging="180"/>
      </w:pPr>
    </w:lvl>
    <w:lvl w:ilvl="6" w:tplc="CF906A8C">
      <w:start w:val="1"/>
      <w:numFmt w:val="decimal"/>
      <w:lvlText w:val="%7."/>
      <w:lvlJc w:val="left"/>
      <w:pPr>
        <w:ind w:left="5040" w:hanging="360"/>
      </w:pPr>
    </w:lvl>
    <w:lvl w:ilvl="7" w:tplc="F30805C6">
      <w:start w:val="1"/>
      <w:numFmt w:val="lowerLetter"/>
      <w:lvlText w:val="%8."/>
      <w:lvlJc w:val="left"/>
      <w:pPr>
        <w:ind w:left="5760" w:hanging="360"/>
      </w:pPr>
    </w:lvl>
    <w:lvl w:ilvl="8" w:tplc="C9BA7AA8">
      <w:start w:val="1"/>
      <w:numFmt w:val="lowerRoman"/>
      <w:lvlText w:val="%9."/>
      <w:lvlJc w:val="right"/>
      <w:pPr>
        <w:ind w:left="6480" w:hanging="180"/>
      </w:pPr>
    </w:lvl>
  </w:abstractNum>
  <w:abstractNum w:abstractNumId="6" w15:restartNumberingAfterBreak="0">
    <w:nsid w:val="039A601B"/>
    <w:multiLevelType w:val="hybridMultilevel"/>
    <w:tmpl w:val="7E60B742"/>
    <w:lvl w:ilvl="0" w:tplc="44EEC084">
      <w:start w:val="1"/>
      <w:numFmt w:val="bullet"/>
      <w:lvlText w:val="&gt;"/>
      <w:lvlJc w:val="left"/>
      <w:pPr>
        <w:ind w:left="360" w:hanging="360"/>
      </w:pPr>
      <w:rPr>
        <w:rFonts w:ascii="HelveticaNeueLT Std" w:hAnsi="HelveticaNeueLT Std"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 w15:restartNumberingAfterBreak="0">
    <w:nsid w:val="04642511"/>
    <w:multiLevelType w:val="hybridMultilevel"/>
    <w:tmpl w:val="FFFFFFFF"/>
    <w:lvl w:ilvl="0" w:tplc="6CF0C7CC">
      <w:start w:val="1"/>
      <w:numFmt w:val="bullet"/>
      <w:lvlText w:val=""/>
      <w:lvlJc w:val="left"/>
      <w:pPr>
        <w:ind w:left="720" w:hanging="360"/>
      </w:pPr>
      <w:rPr>
        <w:rFonts w:ascii="Symbol" w:hAnsi="Symbol" w:hint="default"/>
      </w:rPr>
    </w:lvl>
    <w:lvl w:ilvl="1" w:tplc="6624099A">
      <w:start w:val="1"/>
      <w:numFmt w:val="lowerLetter"/>
      <w:lvlText w:val="%2."/>
      <w:lvlJc w:val="left"/>
      <w:pPr>
        <w:ind w:left="1440" w:hanging="360"/>
      </w:pPr>
    </w:lvl>
    <w:lvl w:ilvl="2" w:tplc="DC0669DC">
      <w:start w:val="1"/>
      <w:numFmt w:val="lowerRoman"/>
      <w:lvlText w:val="%3."/>
      <w:lvlJc w:val="right"/>
      <w:pPr>
        <w:ind w:left="2160" w:hanging="180"/>
      </w:pPr>
    </w:lvl>
    <w:lvl w:ilvl="3" w:tplc="9AD2D56A">
      <w:start w:val="1"/>
      <w:numFmt w:val="decimal"/>
      <w:lvlText w:val="%4."/>
      <w:lvlJc w:val="left"/>
      <w:pPr>
        <w:ind w:left="2880" w:hanging="360"/>
      </w:pPr>
    </w:lvl>
    <w:lvl w:ilvl="4" w:tplc="C816A812">
      <w:start w:val="1"/>
      <w:numFmt w:val="lowerLetter"/>
      <w:lvlText w:val="%5."/>
      <w:lvlJc w:val="left"/>
      <w:pPr>
        <w:ind w:left="3600" w:hanging="360"/>
      </w:pPr>
    </w:lvl>
    <w:lvl w:ilvl="5" w:tplc="5C80EE48">
      <w:start w:val="1"/>
      <w:numFmt w:val="lowerRoman"/>
      <w:lvlText w:val="%6."/>
      <w:lvlJc w:val="right"/>
      <w:pPr>
        <w:ind w:left="4320" w:hanging="180"/>
      </w:pPr>
    </w:lvl>
    <w:lvl w:ilvl="6" w:tplc="0478F110">
      <w:start w:val="1"/>
      <w:numFmt w:val="decimal"/>
      <w:lvlText w:val="%7."/>
      <w:lvlJc w:val="left"/>
      <w:pPr>
        <w:ind w:left="5040" w:hanging="360"/>
      </w:pPr>
    </w:lvl>
    <w:lvl w:ilvl="7" w:tplc="92647AD2">
      <w:start w:val="1"/>
      <w:numFmt w:val="lowerLetter"/>
      <w:lvlText w:val="%8."/>
      <w:lvlJc w:val="left"/>
      <w:pPr>
        <w:ind w:left="5760" w:hanging="360"/>
      </w:pPr>
    </w:lvl>
    <w:lvl w:ilvl="8" w:tplc="27A6627A">
      <w:start w:val="1"/>
      <w:numFmt w:val="lowerRoman"/>
      <w:lvlText w:val="%9."/>
      <w:lvlJc w:val="right"/>
      <w:pPr>
        <w:ind w:left="6480" w:hanging="180"/>
      </w:pPr>
    </w:lvl>
  </w:abstractNum>
  <w:abstractNum w:abstractNumId="8" w15:restartNumberingAfterBreak="0">
    <w:nsid w:val="05EA1873"/>
    <w:multiLevelType w:val="hybridMultilevel"/>
    <w:tmpl w:val="4D5AD10E"/>
    <w:lvl w:ilvl="0" w:tplc="FE9EAA6A">
      <w:start w:val="1"/>
      <w:numFmt w:val="bullet"/>
      <w:lvlText w:val="&gt;"/>
      <w:lvlJc w:val="left"/>
      <w:pPr>
        <w:ind w:left="780" w:hanging="360"/>
      </w:pPr>
      <w:rPr>
        <w:rFonts w:ascii="Vrinda" w:hAnsi="Vrinda" w:cs="Times New Roman" w:hint="default"/>
        <w:b w:val="0"/>
        <w:sz w:val="20"/>
        <w:szCs w:val="20"/>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9" w15:restartNumberingAfterBreak="0">
    <w:nsid w:val="087C268C"/>
    <w:multiLevelType w:val="hybridMultilevel"/>
    <w:tmpl w:val="E0A6CA9A"/>
    <w:lvl w:ilvl="0" w:tplc="44EEC084">
      <w:start w:val="1"/>
      <w:numFmt w:val="bullet"/>
      <w:lvlText w:val="&gt;"/>
      <w:lvlJc w:val="left"/>
      <w:pPr>
        <w:ind w:left="720" w:hanging="360"/>
      </w:pPr>
      <w:rPr>
        <w:rFonts w:ascii="HelveticaNeueLT Std" w:hAnsi="HelveticaNeueLT Std"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0CDC7968"/>
    <w:multiLevelType w:val="hybridMultilevel"/>
    <w:tmpl w:val="B6B00FDA"/>
    <w:lvl w:ilvl="0" w:tplc="720EF648">
      <w:start w:val="1"/>
      <w:numFmt w:val="bullet"/>
      <w:lvlText w:val="&gt;"/>
      <w:lvlJc w:val="left"/>
      <w:pPr>
        <w:ind w:left="720" w:hanging="360"/>
      </w:pPr>
      <w:rPr>
        <w:rFonts w:ascii="HelveticaNeueLT Std Lt" w:hAnsi="HelveticaNeueLT Std Lt" w:hint="default"/>
      </w:rPr>
    </w:lvl>
    <w:lvl w:ilvl="1" w:tplc="C1C67910">
      <w:start w:val="1"/>
      <w:numFmt w:val="bullet"/>
      <w:lvlText w:val="o"/>
      <w:lvlJc w:val="left"/>
      <w:pPr>
        <w:ind w:left="1440" w:hanging="360"/>
      </w:pPr>
      <w:rPr>
        <w:rFonts w:ascii="Courier New" w:hAnsi="Courier New" w:hint="default"/>
      </w:rPr>
    </w:lvl>
    <w:lvl w:ilvl="2" w:tplc="F1F27120">
      <w:start w:val="1"/>
      <w:numFmt w:val="bullet"/>
      <w:lvlText w:val=""/>
      <w:lvlJc w:val="left"/>
      <w:pPr>
        <w:ind w:left="2160" w:hanging="360"/>
      </w:pPr>
      <w:rPr>
        <w:rFonts w:ascii="Wingdings" w:hAnsi="Wingdings" w:hint="default"/>
      </w:rPr>
    </w:lvl>
    <w:lvl w:ilvl="3" w:tplc="5A980A76">
      <w:start w:val="1"/>
      <w:numFmt w:val="bullet"/>
      <w:lvlText w:val=""/>
      <w:lvlJc w:val="left"/>
      <w:pPr>
        <w:ind w:left="2880" w:hanging="360"/>
      </w:pPr>
      <w:rPr>
        <w:rFonts w:ascii="Symbol" w:hAnsi="Symbol" w:hint="default"/>
      </w:rPr>
    </w:lvl>
    <w:lvl w:ilvl="4" w:tplc="BA861F46">
      <w:start w:val="1"/>
      <w:numFmt w:val="bullet"/>
      <w:lvlText w:val="o"/>
      <w:lvlJc w:val="left"/>
      <w:pPr>
        <w:ind w:left="3600" w:hanging="360"/>
      </w:pPr>
      <w:rPr>
        <w:rFonts w:ascii="Courier New" w:hAnsi="Courier New" w:hint="default"/>
      </w:rPr>
    </w:lvl>
    <w:lvl w:ilvl="5" w:tplc="0B8C6EC8">
      <w:start w:val="1"/>
      <w:numFmt w:val="bullet"/>
      <w:lvlText w:val=""/>
      <w:lvlJc w:val="left"/>
      <w:pPr>
        <w:ind w:left="4320" w:hanging="360"/>
      </w:pPr>
      <w:rPr>
        <w:rFonts w:ascii="Wingdings" w:hAnsi="Wingdings" w:hint="default"/>
      </w:rPr>
    </w:lvl>
    <w:lvl w:ilvl="6" w:tplc="732E07D0">
      <w:start w:val="1"/>
      <w:numFmt w:val="bullet"/>
      <w:lvlText w:val=""/>
      <w:lvlJc w:val="left"/>
      <w:pPr>
        <w:ind w:left="5040" w:hanging="360"/>
      </w:pPr>
      <w:rPr>
        <w:rFonts w:ascii="Symbol" w:hAnsi="Symbol" w:hint="default"/>
      </w:rPr>
    </w:lvl>
    <w:lvl w:ilvl="7" w:tplc="23ACC776">
      <w:start w:val="1"/>
      <w:numFmt w:val="bullet"/>
      <w:lvlText w:val="o"/>
      <w:lvlJc w:val="left"/>
      <w:pPr>
        <w:ind w:left="5760" w:hanging="360"/>
      </w:pPr>
      <w:rPr>
        <w:rFonts w:ascii="Courier New" w:hAnsi="Courier New" w:hint="default"/>
      </w:rPr>
    </w:lvl>
    <w:lvl w:ilvl="8" w:tplc="B10CCE32">
      <w:start w:val="1"/>
      <w:numFmt w:val="bullet"/>
      <w:lvlText w:val=""/>
      <w:lvlJc w:val="left"/>
      <w:pPr>
        <w:ind w:left="6480" w:hanging="360"/>
      </w:pPr>
      <w:rPr>
        <w:rFonts w:ascii="Wingdings" w:hAnsi="Wingdings" w:hint="default"/>
      </w:rPr>
    </w:lvl>
  </w:abstractNum>
  <w:abstractNum w:abstractNumId="11" w15:restartNumberingAfterBreak="0">
    <w:nsid w:val="125F06CD"/>
    <w:multiLevelType w:val="hybridMultilevel"/>
    <w:tmpl w:val="4E0A330C"/>
    <w:lvl w:ilvl="0" w:tplc="D80CBE78">
      <w:start w:val="1"/>
      <w:numFmt w:val="bullet"/>
      <w:lvlText w:val="&gt;"/>
      <w:lvlJc w:val="left"/>
      <w:pPr>
        <w:ind w:left="720" w:hanging="360"/>
      </w:pPr>
      <w:rPr>
        <w:rFonts w:ascii="HelveticaNeueLT Std Lt" w:hAnsi="HelveticaNeueLT Std Lt" w:hint="default"/>
      </w:rPr>
    </w:lvl>
    <w:lvl w:ilvl="1" w:tplc="9188821A">
      <w:start w:val="1"/>
      <w:numFmt w:val="bullet"/>
      <w:lvlText w:val="o"/>
      <w:lvlJc w:val="left"/>
      <w:pPr>
        <w:ind w:left="1440" w:hanging="360"/>
      </w:pPr>
      <w:rPr>
        <w:rFonts w:ascii="Courier New" w:hAnsi="Courier New" w:hint="default"/>
      </w:rPr>
    </w:lvl>
    <w:lvl w:ilvl="2" w:tplc="C928A444">
      <w:start w:val="1"/>
      <w:numFmt w:val="bullet"/>
      <w:lvlText w:val=""/>
      <w:lvlJc w:val="left"/>
      <w:pPr>
        <w:ind w:left="2160" w:hanging="360"/>
      </w:pPr>
      <w:rPr>
        <w:rFonts w:ascii="Wingdings" w:hAnsi="Wingdings" w:hint="default"/>
      </w:rPr>
    </w:lvl>
    <w:lvl w:ilvl="3" w:tplc="55BCA998">
      <w:start w:val="1"/>
      <w:numFmt w:val="bullet"/>
      <w:lvlText w:val=""/>
      <w:lvlJc w:val="left"/>
      <w:pPr>
        <w:ind w:left="2880" w:hanging="360"/>
      </w:pPr>
      <w:rPr>
        <w:rFonts w:ascii="Symbol" w:hAnsi="Symbol" w:hint="default"/>
      </w:rPr>
    </w:lvl>
    <w:lvl w:ilvl="4" w:tplc="D1E4995C">
      <w:start w:val="1"/>
      <w:numFmt w:val="bullet"/>
      <w:lvlText w:val="o"/>
      <w:lvlJc w:val="left"/>
      <w:pPr>
        <w:ind w:left="3600" w:hanging="360"/>
      </w:pPr>
      <w:rPr>
        <w:rFonts w:ascii="Courier New" w:hAnsi="Courier New" w:hint="default"/>
      </w:rPr>
    </w:lvl>
    <w:lvl w:ilvl="5" w:tplc="CC487C0E">
      <w:start w:val="1"/>
      <w:numFmt w:val="bullet"/>
      <w:lvlText w:val=""/>
      <w:lvlJc w:val="left"/>
      <w:pPr>
        <w:ind w:left="4320" w:hanging="360"/>
      </w:pPr>
      <w:rPr>
        <w:rFonts w:ascii="Wingdings" w:hAnsi="Wingdings" w:hint="default"/>
      </w:rPr>
    </w:lvl>
    <w:lvl w:ilvl="6" w:tplc="83CA45E0">
      <w:start w:val="1"/>
      <w:numFmt w:val="bullet"/>
      <w:lvlText w:val=""/>
      <w:lvlJc w:val="left"/>
      <w:pPr>
        <w:ind w:left="5040" w:hanging="360"/>
      </w:pPr>
      <w:rPr>
        <w:rFonts w:ascii="Symbol" w:hAnsi="Symbol" w:hint="default"/>
      </w:rPr>
    </w:lvl>
    <w:lvl w:ilvl="7" w:tplc="0EE010A4">
      <w:start w:val="1"/>
      <w:numFmt w:val="bullet"/>
      <w:lvlText w:val="o"/>
      <w:lvlJc w:val="left"/>
      <w:pPr>
        <w:ind w:left="5760" w:hanging="360"/>
      </w:pPr>
      <w:rPr>
        <w:rFonts w:ascii="Courier New" w:hAnsi="Courier New" w:hint="default"/>
      </w:rPr>
    </w:lvl>
    <w:lvl w:ilvl="8" w:tplc="B5063016">
      <w:start w:val="1"/>
      <w:numFmt w:val="bullet"/>
      <w:lvlText w:val=""/>
      <w:lvlJc w:val="left"/>
      <w:pPr>
        <w:ind w:left="6480" w:hanging="360"/>
      </w:pPr>
      <w:rPr>
        <w:rFonts w:ascii="Wingdings" w:hAnsi="Wingdings" w:hint="default"/>
      </w:rPr>
    </w:lvl>
  </w:abstractNum>
  <w:abstractNum w:abstractNumId="12" w15:restartNumberingAfterBreak="0">
    <w:nsid w:val="12DC4302"/>
    <w:multiLevelType w:val="hybridMultilevel"/>
    <w:tmpl w:val="442217EA"/>
    <w:lvl w:ilvl="0" w:tplc="3E303AD8">
      <w:start w:val="1"/>
      <w:numFmt w:val="bullet"/>
      <w:lvlText w:val="&gt;"/>
      <w:lvlJc w:val="left"/>
      <w:pPr>
        <w:ind w:left="360" w:hanging="360"/>
      </w:pPr>
      <w:rPr>
        <w:rFonts w:ascii="HelveticaNeueLT Std Lt" w:hAnsi="HelveticaNeueLT Std Lt" w:hint="default"/>
        <w:sz w:val="20"/>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 w15:restartNumberingAfterBreak="0">
    <w:nsid w:val="13293CD2"/>
    <w:multiLevelType w:val="hybridMultilevel"/>
    <w:tmpl w:val="FFFFFFFF"/>
    <w:lvl w:ilvl="0" w:tplc="29843098">
      <w:start w:val="1"/>
      <w:numFmt w:val="bullet"/>
      <w:lvlText w:val=""/>
      <w:lvlJc w:val="left"/>
      <w:pPr>
        <w:ind w:left="720" w:hanging="360"/>
      </w:pPr>
      <w:rPr>
        <w:rFonts w:ascii="Symbol" w:hAnsi="Symbol" w:hint="default"/>
      </w:rPr>
    </w:lvl>
    <w:lvl w:ilvl="1" w:tplc="8AAC4AA0">
      <w:start w:val="1"/>
      <w:numFmt w:val="lowerLetter"/>
      <w:lvlText w:val="%2."/>
      <w:lvlJc w:val="left"/>
      <w:pPr>
        <w:ind w:left="1440" w:hanging="360"/>
      </w:pPr>
    </w:lvl>
    <w:lvl w:ilvl="2" w:tplc="29D654D2">
      <w:start w:val="1"/>
      <w:numFmt w:val="lowerRoman"/>
      <w:lvlText w:val="%3."/>
      <w:lvlJc w:val="right"/>
      <w:pPr>
        <w:ind w:left="2160" w:hanging="180"/>
      </w:pPr>
    </w:lvl>
    <w:lvl w:ilvl="3" w:tplc="6C5C8972">
      <w:start w:val="1"/>
      <w:numFmt w:val="decimal"/>
      <w:lvlText w:val="%4."/>
      <w:lvlJc w:val="left"/>
      <w:pPr>
        <w:ind w:left="2880" w:hanging="360"/>
      </w:pPr>
    </w:lvl>
    <w:lvl w:ilvl="4" w:tplc="481CC2E6">
      <w:start w:val="1"/>
      <w:numFmt w:val="lowerLetter"/>
      <w:lvlText w:val="%5."/>
      <w:lvlJc w:val="left"/>
      <w:pPr>
        <w:ind w:left="3600" w:hanging="360"/>
      </w:pPr>
    </w:lvl>
    <w:lvl w:ilvl="5" w:tplc="645C9A4C">
      <w:start w:val="1"/>
      <w:numFmt w:val="lowerRoman"/>
      <w:lvlText w:val="%6."/>
      <w:lvlJc w:val="right"/>
      <w:pPr>
        <w:ind w:left="4320" w:hanging="180"/>
      </w:pPr>
    </w:lvl>
    <w:lvl w:ilvl="6" w:tplc="EE7232AE">
      <w:start w:val="1"/>
      <w:numFmt w:val="decimal"/>
      <w:lvlText w:val="%7."/>
      <w:lvlJc w:val="left"/>
      <w:pPr>
        <w:ind w:left="5040" w:hanging="360"/>
      </w:pPr>
    </w:lvl>
    <w:lvl w:ilvl="7" w:tplc="BB4AB4F8">
      <w:start w:val="1"/>
      <w:numFmt w:val="lowerLetter"/>
      <w:lvlText w:val="%8."/>
      <w:lvlJc w:val="left"/>
      <w:pPr>
        <w:ind w:left="5760" w:hanging="360"/>
      </w:pPr>
    </w:lvl>
    <w:lvl w:ilvl="8" w:tplc="014AD802">
      <w:start w:val="1"/>
      <w:numFmt w:val="lowerRoman"/>
      <w:lvlText w:val="%9."/>
      <w:lvlJc w:val="right"/>
      <w:pPr>
        <w:ind w:left="6480" w:hanging="180"/>
      </w:pPr>
    </w:lvl>
  </w:abstractNum>
  <w:abstractNum w:abstractNumId="14" w15:restartNumberingAfterBreak="0">
    <w:nsid w:val="15F80C2D"/>
    <w:multiLevelType w:val="hybridMultilevel"/>
    <w:tmpl w:val="FFFFFFFF"/>
    <w:lvl w:ilvl="0" w:tplc="9BDA7108">
      <w:start w:val="1"/>
      <w:numFmt w:val="bullet"/>
      <w:lvlText w:val=""/>
      <w:lvlJc w:val="left"/>
      <w:pPr>
        <w:ind w:left="720" w:hanging="360"/>
      </w:pPr>
      <w:rPr>
        <w:rFonts w:ascii="Symbol" w:hAnsi="Symbol" w:hint="default"/>
      </w:rPr>
    </w:lvl>
    <w:lvl w:ilvl="1" w:tplc="E006C96E">
      <w:start w:val="1"/>
      <w:numFmt w:val="lowerLetter"/>
      <w:lvlText w:val="%2."/>
      <w:lvlJc w:val="left"/>
      <w:pPr>
        <w:ind w:left="1440" w:hanging="360"/>
      </w:pPr>
    </w:lvl>
    <w:lvl w:ilvl="2" w:tplc="33688B74">
      <w:start w:val="1"/>
      <w:numFmt w:val="lowerRoman"/>
      <w:lvlText w:val="%3."/>
      <w:lvlJc w:val="right"/>
      <w:pPr>
        <w:ind w:left="2160" w:hanging="180"/>
      </w:pPr>
    </w:lvl>
    <w:lvl w:ilvl="3" w:tplc="828CAF60">
      <w:start w:val="1"/>
      <w:numFmt w:val="decimal"/>
      <w:lvlText w:val="%4."/>
      <w:lvlJc w:val="left"/>
      <w:pPr>
        <w:ind w:left="2880" w:hanging="360"/>
      </w:pPr>
    </w:lvl>
    <w:lvl w:ilvl="4" w:tplc="8E061180">
      <w:start w:val="1"/>
      <w:numFmt w:val="lowerLetter"/>
      <w:lvlText w:val="%5."/>
      <w:lvlJc w:val="left"/>
      <w:pPr>
        <w:ind w:left="3600" w:hanging="360"/>
      </w:pPr>
    </w:lvl>
    <w:lvl w:ilvl="5" w:tplc="C9926C86">
      <w:start w:val="1"/>
      <w:numFmt w:val="lowerRoman"/>
      <w:lvlText w:val="%6."/>
      <w:lvlJc w:val="right"/>
      <w:pPr>
        <w:ind w:left="4320" w:hanging="180"/>
      </w:pPr>
    </w:lvl>
    <w:lvl w:ilvl="6" w:tplc="D5581050">
      <w:start w:val="1"/>
      <w:numFmt w:val="decimal"/>
      <w:lvlText w:val="%7."/>
      <w:lvlJc w:val="left"/>
      <w:pPr>
        <w:ind w:left="5040" w:hanging="360"/>
      </w:pPr>
    </w:lvl>
    <w:lvl w:ilvl="7" w:tplc="1E806A92">
      <w:start w:val="1"/>
      <w:numFmt w:val="lowerLetter"/>
      <w:lvlText w:val="%8."/>
      <w:lvlJc w:val="left"/>
      <w:pPr>
        <w:ind w:left="5760" w:hanging="360"/>
      </w:pPr>
    </w:lvl>
    <w:lvl w:ilvl="8" w:tplc="037887D6">
      <w:start w:val="1"/>
      <w:numFmt w:val="lowerRoman"/>
      <w:lvlText w:val="%9."/>
      <w:lvlJc w:val="right"/>
      <w:pPr>
        <w:ind w:left="6480" w:hanging="180"/>
      </w:pPr>
    </w:lvl>
  </w:abstractNum>
  <w:abstractNum w:abstractNumId="15" w15:restartNumberingAfterBreak="0">
    <w:nsid w:val="18E304D1"/>
    <w:multiLevelType w:val="hybridMultilevel"/>
    <w:tmpl w:val="0DC6C46A"/>
    <w:lvl w:ilvl="0" w:tplc="C164A6C6">
      <w:start w:val="1"/>
      <w:numFmt w:val="bullet"/>
      <w:lvlText w:val="&gt;"/>
      <w:lvlJc w:val="left"/>
      <w:pPr>
        <w:ind w:left="720" w:hanging="360"/>
      </w:pPr>
    </w:lvl>
    <w:lvl w:ilvl="1" w:tplc="70DAE014">
      <w:start w:val="1"/>
      <w:numFmt w:val="lowerLetter"/>
      <w:lvlText w:val="%2."/>
      <w:lvlJc w:val="left"/>
      <w:pPr>
        <w:ind w:left="1440" w:hanging="360"/>
      </w:pPr>
    </w:lvl>
    <w:lvl w:ilvl="2" w:tplc="FF6A31C8">
      <w:start w:val="1"/>
      <w:numFmt w:val="lowerRoman"/>
      <w:lvlText w:val="%3."/>
      <w:lvlJc w:val="right"/>
      <w:pPr>
        <w:ind w:left="2160" w:hanging="180"/>
      </w:pPr>
    </w:lvl>
    <w:lvl w:ilvl="3" w:tplc="55703B20">
      <w:start w:val="1"/>
      <w:numFmt w:val="decimal"/>
      <w:lvlText w:val="%4."/>
      <w:lvlJc w:val="left"/>
      <w:pPr>
        <w:ind w:left="2880" w:hanging="360"/>
      </w:pPr>
    </w:lvl>
    <w:lvl w:ilvl="4" w:tplc="8C2E6A92">
      <w:start w:val="1"/>
      <w:numFmt w:val="lowerLetter"/>
      <w:lvlText w:val="%5."/>
      <w:lvlJc w:val="left"/>
      <w:pPr>
        <w:ind w:left="3600" w:hanging="360"/>
      </w:pPr>
    </w:lvl>
    <w:lvl w:ilvl="5" w:tplc="EE62CE96">
      <w:start w:val="1"/>
      <w:numFmt w:val="lowerRoman"/>
      <w:lvlText w:val="%6."/>
      <w:lvlJc w:val="right"/>
      <w:pPr>
        <w:ind w:left="4320" w:hanging="180"/>
      </w:pPr>
    </w:lvl>
    <w:lvl w:ilvl="6" w:tplc="0884109A">
      <w:start w:val="1"/>
      <w:numFmt w:val="decimal"/>
      <w:lvlText w:val="%7."/>
      <w:lvlJc w:val="left"/>
      <w:pPr>
        <w:ind w:left="5040" w:hanging="360"/>
      </w:pPr>
    </w:lvl>
    <w:lvl w:ilvl="7" w:tplc="5B88CC6A">
      <w:start w:val="1"/>
      <w:numFmt w:val="lowerLetter"/>
      <w:lvlText w:val="%8."/>
      <w:lvlJc w:val="left"/>
      <w:pPr>
        <w:ind w:left="5760" w:hanging="360"/>
      </w:pPr>
    </w:lvl>
    <w:lvl w:ilvl="8" w:tplc="B85AD71E">
      <w:start w:val="1"/>
      <w:numFmt w:val="lowerRoman"/>
      <w:lvlText w:val="%9."/>
      <w:lvlJc w:val="right"/>
      <w:pPr>
        <w:ind w:left="6480" w:hanging="180"/>
      </w:pPr>
    </w:lvl>
  </w:abstractNum>
  <w:abstractNum w:abstractNumId="16" w15:restartNumberingAfterBreak="0">
    <w:nsid w:val="19EE0743"/>
    <w:multiLevelType w:val="hybridMultilevel"/>
    <w:tmpl w:val="FFFFFFFF"/>
    <w:lvl w:ilvl="0" w:tplc="6FF484B2">
      <w:start w:val="1"/>
      <w:numFmt w:val="bullet"/>
      <w:lvlText w:val="&gt;"/>
      <w:lvlJc w:val="left"/>
      <w:pPr>
        <w:ind w:left="720" w:hanging="360"/>
      </w:pPr>
    </w:lvl>
    <w:lvl w:ilvl="1" w:tplc="02CCB1E2">
      <w:start w:val="1"/>
      <w:numFmt w:val="lowerLetter"/>
      <w:lvlText w:val="%2."/>
      <w:lvlJc w:val="left"/>
      <w:pPr>
        <w:ind w:left="1440" w:hanging="360"/>
      </w:pPr>
    </w:lvl>
    <w:lvl w:ilvl="2" w:tplc="A0F0892C">
      <w:start w:val="1"/>
      <w:numFmt w:val="lowerRoman"/>
      <w:lvlText w:val="%3."/>
      <w:lvlJc w:val="right"/>
      <w:pPr>
        <w:ind w:left="2160" w:hanging="180"/>
      </w:pPr>
    </w:lvl>
    <w:lvl w:ilvl="3" w:tplc="FDC40168">
      <w:start w:val="1"/>
      <w:numFmt w:val="decimal"/>
      <w:lvlText w:val="%4."/>
      <w:lvlJc w:val="left"/>
      <w:pPr>
        <w:ind w:left="2880" w:hanging="360"/>
      </w:pPr>
    </w:lvl>
    <w:lvl w:ilvl="4" w:tplc="2E74793C">
      <w:start w:val="1"/>
      <w:numFmt w:val="lowerLetter"/>
      <w:lvlText w:val="%5."/>
      <w:lvlJc w:val="left"/>
      <w:pPr>
        <w:ind w:left="3600" w:hanging="360"/>
      </w:pPr>
    </w:lvl>
    <w:lvl w:ilvl="5" w:tplc="501A64FA">
      <w:start w:val="1"/>
      <w:numFmt w:val="lowerRoman"/>
      <w:lvlText w:val="%6."/>
      <w:lvlJc w:val="right"/>
      <w:pPr>
        <w:ind w:left="4320" w:hanging="180"/>
      </w:pPr>
    </w:lvl>
    <w:lvl w:ilvl="6" w:tplc="414A2364">
      <w:start w:val="1"/>
      <w:numFmt w:val="decimal"/>
      <w:lvlText w:val="%7."/>
      <w:lvlJc w:val="left"/>
      <w:pPr>
        <w:ind w:left="5040" w:hanging="360"/>
      </w:pPr>
    </w:lvl>
    <w:lvl w:ilvl="7" w:tplc="03FAEC5A">
      <w:start w:val="1"/>
      <w:numFmt w:val="lowerLetter"/>
      <w:lvlText w:val="%8."/>
      <w:lvlJc w:val="left"/>
      <w:pPr>
        <w:ind w:left="5760" w:hanging="360"/>
      </w:pPr>
    </w:lvl>
    <w:lvl w:ilvl="8" w:tplc="BD2279DA">
      <w:start w:val="1"/>
      <w:numFmt w:val="lowerRoman"/>
      <w:lvlText w:val="%9."/>
      <w:lvlJc w:val="right"/>
      <w:pPr>
        <w:ind w:left="6480" w:hanging="180"/>
      </w:pPr>
    </w:lvl>
  </w:abstractNum>
  <w:abstractNum w:abstractNumId="17" w15:restartNumberingAfterBreak="0">
    <w:nsid w:val="1BB822F6"/>
    <w:multiLevelType w:val="hybridMultilevel"/>
    <w:tmpl w:val="AF32863A"/>
    <w:lvl w:ilvl="0" w:tplc="0C090001">
      <w:start w:val="20"/>
      <w:numFmt w:val="bullet"/>
      <w:lvlText w:val=""/>
      <w:lvlJc w:val="left"/>
      <w:pPr>
        <w:ind w:left="720" w:hanging="360"/>
      </w:pPr>
      <w:rPr>
        <w:rFonts w:ascii="Symbol" w:eastAsia="Times New Roma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1C436BE9"/>
    <w:multiLevelType w:val="hybridMultilevel"/>
    <w:tmpl w:val="FFFFFFFF"/>
    <w:lvl w:ilvl="0" w:tplc="25E89B48">
      <w:start w:val="1"/>
      <w:numFmt w:val="bullet"/>
      <w:lvlText w:val="·"/>
      <w:lvlJc w:val="left"/>
      <w:pPr>
        <w:ind w:left="720" w:hanging="360"/>
      </w:pPr>
      <w:rPr>
        <w:rFonts w:ascii="Symbol" w:hAnsi="Symbol" w:hint="default"/>
      </w:rPr>
    </w:lvl>
    <w:lvl w:ilvl="1" w:tplc="B2EA2E00">
      <w:start w:val="1"/>
      <w:numFmt w:val="bullet"/>
      <w:lvlText w:val="o"/>
      <w:lvlJc w:val="left"/>
      <w:pPr>
        <w:ind w:left="1440" w:hanging="360"/>
      </w:pPr>
      <w:rPr>
        <w:rFonts w:ascii="Courier New" w:hAnsi="Courier New" w:hint="default"/>
      </w:rPr>
    </w:lvl>
    <w:lvl w:ilvl="2" w:tplc="17F8DF22">
      <w:start w:val="1"/>
      <w:numFmt w:val="bullet"/>
      <w:lvlText w:val=""/>
      <w:lvlJc w:val="left"/>
      <w:pPr>
        <w:ind w:left="2160" w:hanging="360"/>
      </w:pPr>
      <w:rPr>
        <w:rFonts w:ascii="Wingdings" w:hAnsi="Wingdings" w:hint="default"/>
      </w:rPr>
    </w:lvl>
    <w:lvl w:ilvl="3" w:tplc="AEB6FA0E">
      <w:start w:val="1"/>
      <w:numFmt w:val="bullet"/>
      <w:lvlText w:val=""/>
      <w:lvlJc w:val="left"/>
      <w:pPr>
        <w:ind w:left="2880" w:hanging="360"/>
      </w:pPr>
      <w:rPr>
        <w:rFonts w:ascii="Symbol" w:hAnsi="Symbol" w:hint="default"/>
      </w:rPr>
    </w:lvl>
    <w:lvl w:ilvl="4" w:tplc="8DD6D86E">
      <w:start w:val="1"/>
      <w:numFmt w:val="bullet"/>
      <w:lvlText w:val="o"/>
      <w:lvlJc w:val="left"/>
      <w:pPr>
        <w:ind w:left="3600" w:hanging="360"/>
      </w:pPr>
      <w:rPr>
        <w:rFonts w:ascii="Courier New" w:hAnsi="Courier New" w:hint="default"/>
      </w:rPr>
    </w:lvl>
    <w:lvl w:ilvl="5" w:tplc="91B8CDF8">
      <w:start w:val="1"/>
      <w:numFmt w:val="bullet"/>
      <w:lvlText w:val=""/>
      <w:lvlJc w:val="left"/>
      <w:pPr>
        <w:ind w:left="4320" w:hanging="360"/>
      </w:pPr>
      <w:rPr>
        <w:rFonts w:ascii="Wingdings" w:hAnsi="Wingdings" w:hint="default"/>
      </w:rPr>
    </w:lvl>
    <w:lvl w:ilvl="6" w:tplc="5FA016EC">
      <w:start w:val="1"/>
      <w:numFmt w:val="bullet"/>
      <w:lvlText w:val=""/>
      <w:lvlJc w:val="left"/>
      <w:pPr>
        <w:ind w:left="5040" w:hanging="360"/>
      </w:pPr>
      <w:rPr>
        <w:rFonts w:ascii="Symbol" w:hAnsi="Symbol" w:hint="default"/>
      </w:rPr>
    </w:lvl>
    <w:lvl w:ilvl="7" w:tplc="A85E9B92">
      <w:start w:val="1"/>
      <w:numFmt w:val="bullet"/>
      <w:lvlText w:val="o"/>
      <w:lvlJc w:val="left"/>
      <w:pPr>
        <w:ind w:left="5760" w:hanging="360"/>
      </w:pPr>
      <w:rPr>
        <w:rFonts w:ascii="Courier New" w:hAnsi="Courier New" w:hint="default"/>
      </w:rPr>
    </w:lvl>
    <w:lvl w:ilvl="8" w:tplc="BB843FFC">
      <w:start w:val="1"/>
      <w:numFmt w:val="bullet"/>
      <w:lvlText w:val=""/>
      <w:lvlJc w:val="left"/>
      <w:pPr>
        <w:ind w:left="6480" w:hanging="360"/>
      </w:pPr>
      <w:rPr>
        <w:rFonts w:ascii="Wingdings" w:hAnsi="Wingdings" w:hint="default"/>
      </w:rPr>
    </w:lvl>
  </w:abstractNum>
  <w:abstractNum w:abstractNumId="19" w15:restartNumberingAfterBreak="0">
    <w:nsid w:val="1F3903E9"/>
    <w:multiLevelType w:val="hybridMultilevel"/>
    <w:tmpl w:val="FFFFFFFF"/>
    <w:lvl w:ilvl="0" w:tplc="3F42507E">
      <w:start w:val="1"/>
      <w:numFmt w:val="bullet"/>
      <w:lvlText w:val=""/>
      <w:lvlJc w:val="left"/>
      <w:pPr>
        <w:ind w:left="720" w:hanging="360"/>
      </w:pPr>
      <w:rPr>
        <w:rFonts w:ascii="Symbol" w:hAnsi="Symbol" w:hint="default"/>
      </w:rPr>
    </w:lvl>
    <w:lvl w:ilvl="1" w:tplc="7F3EEC26">
      <w:start w:val="1"/>
      <w:numFmt w:val="lowerLetter"/>
      <w:lvlText w:val="%2."/>
      <w:lvlJc w:val="left"/>
      <w:pPr>
        <w:ind w:left="1440" w:hanging="360"/>
      </w:pPr>
    </w:lvl>
    <w:lvl w:ilvl="2" w:tplc="1ADE3B2C">
      <w:start w:val="1"/>
      <w:numFmt w:val="lowerRoman"/>
      <w:lvlText w:val="%3."/>
      <w:lvlJc w:val="right"/>
      <w:pPr>
        <w:ind w:left="2160" w:hanging="180"/>
      </w:pPr>
    </w:lvl>
    <w:lvl w:ilvl="3" w:tplc="4FC6C700">
      <w:start w:val="1"/>
      <w:numFmt w:val="decimal"/>
      <w:lvlText w:val="%4."/>
      <w:lvlJc w:val="left"/>
      <w:pPr>
        <w:ind w:left="2880" w:hanging="360"/>
      </w:pPr>
    </w:lvl>
    <w:lvl w:ilvl="4" w:tplc="F6B2A0C4">
      <w:start w:val="1"/>
      <w:numFmt w:val="lowerLetter"/>
      <w:lvlText w:val="%5."/>
      <w:lvlJc w:val="left"/>
      <w:pPr>
        <w:ind w:left="3600" w:hanging="360"/>
      </w:pPr>
    </w:lvl>
    <w:lvl w:ilvl="5" w:tplc="0D48C134">
      <w:start w:val="1"/>
      <w:numFmt w:val="lowerRoman"/>
      <w:lvlText w:val="%6."/>
      <w:lvlJc w:val="right"/>
      <w:pPr>
        <w:ind w:left="4320" w:hanging="180"/>
      </w:pPr>
    </w:lvl>
    <w:lvl w:ilvl="6" w:tplc="6AC47154">
      <w:start w:val="1"/>
      <w:numFmt w:val="decimal"/>
      <w:lvlText w:val="%7."/>
      <w:lvlJc w:val="left"/>
      <w:pPr>
        <w:ind w:left="5040" w:hanging="360"/>
      </w:pPr>
    </w:lvl>
    <w:lvl w:ilvl="7" w:tplc="24EE2666">
      <w:start w:val="1"/>
      <w:numFmt w:val="lowerLetter"/>
      <w:lvlText w:val="%8."/>
      <w:lvlJc w:val="left"/>
      <w:pPr>
        <w:ind w:left="5760" w:hanging="360"/>
      </w:pPr>
    </w:lvl>
    <w:lvl w:ilvl="8" w:tplc="6B9A704C">
      <w:start w:val="1"/>
      <w:numFmt w:val="lowerRoman"/>
      <w:lvlText w:val="%9."/>
      <w:lvlJc w:val="right"/>
      <w:pPr>
        <w:ind w:left="6480" w:hanging="180"/>
      </w:pPr>
    </w:lvl>
  </w:abstractNum>
  <w:abstractNum w:abstractNumId="20" w15:restartNumberingAfterBreak="0">
    <w:nsid w:val="21ED410D"/>
    <w:multiLevelType w:val="hybridMultilevel"/>
    <w:tmpl w:val="7EB088E2"/>
    <w:lvl w:ilvl="0" w:tplc="FE9EAA6A">
      <w:start w:val="1"/>
      <w:numFmt w:val="bullet"/>
      <w:lvlText w:val="&gt;"/>
      <w:lvlJc w:val="left"/>
      <w:pPr>
        <w:ind w:left="720" w:hanging="360"/>
      </w:pPr>
      <w:rPr>
        <w:rFonts w:ascii="Vrinda" w:hAnsi="Vrinda" w:cs="Times New Roman" w:hint="default"/>
        <w:b w:val="0"/>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24A91603"/>
    <w:multiLevelType w:val="hybridMultilevel"/>
    <w:tmpl w:val="2A6E461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25393195"/>
    <w:multiLevelType w:val="hybridMultilevel"/>
    <w:tmpl w:val="FFFFFFFF"/>
    <w:lvl w:ilvl="0" w:tplc="BBB8396A">
      <w:start w:val="1"/>
      <w:numFmt w:val="bullet"/>
      <w:lvlText w:val=""/>
      <w:lvlJc w:val="left"/>
      <w:pPr>
        <w:ind w:left="720" w:hanging="360"/>
      </w:pPr>
      <w:rPr>
        <w:rFonts w:ascii="Symbol" w:hAnsi="Symbol" w:hint="default"/>
      </w:rPr>
    </w:lvl>
    <w:lvl w:ilvl="1" w:tplc="0A8043DE">
      <w:start w:val="1"/>
      <w:numFmt w:val="lowerLetter"/>
      <w:lvlText w:val="%2."/>
      <w:lvlJc w:val="left"/>
      <w:pPr>
        <w:ind w:left="1440" w:hanging="360"/>
      </w:pPr>
    </w:lvl>
    <w:lvl w:ilvl="2" w:tplc="2DF8F542">
      <w:start w:val="1"/>
      <w:numFmt w:val="lowerRoman"/>
      <w:lvlText w:val="%3."/>
      <w:lvlJc w:val="right"/>
      <w:pPr>
        <w:ind w:left="2160" w:hanging="180"/>
      </w:pPr>
    </w:lvl>
    <w:lvl w:ilvl="3" w:tplc="A0660B74">
      <w:start w:val="1"/>
      <w:numFmt w:val="decimal"/>
      <w:lvlText w:val="%4."/>
      <w:lvlJc w:val="left"/>
      <w:pPr>
        <w:ind w:left="2880" w:hanging="360"/>
      </w:pPr>
    </w:lvl>
    <w:lvl w:ilvl="4" w:tplc="DF7893E4">
      <w:start w:val="1"/>
      <w:numFmt w:val="lowerLetter"/>
      <w:lvlText w:val="%5."/>
      <w:lvlJc w:val="left"/>
      <w:pPr>
        <w:ind w:left="3600" w:hanging="360"/>
      </w:pPr>
    </w:lvl>
    <w:lvl w:ilvl="5" w:tplc="2954F820">
      <w:start w:val="1"/>
      <w:numFmt w:val="lowerRoman"/>
      <w:lvlText w:val="%6."/>
      <w:lvlJc w:val="right"/>
      <w:pPr>
        <w:ind w:left="4320" w:hanging="180"/>
      </w:pPr>
    </w:lvl>
    <w:lvl w:ilvl="6" w:tplc="7CECF7F2">
      <w:start w:val="1"/>
      <w:numFmt w:val="decimal"/>
      <w:lvlText w:val="%7."/>
      <w:lvlJc w:val="left"/>
      <w:pPr>
        <w:ind w:left="5040" w:hanging="360"/>
      </w:pPr>
    </w:lvl>
    <w:lvl w:ilvl="7" w:tplc="B502B3B4">
      <w:start w:val="1"/>
      <w:numFmt w:val="lowerLetter"/>
      <w:lvlText w:val="%8."/>
      <w:lvlJc w:val="left"/>
      <w:pPr>
        <w:ind w:left="5760" w:hanging="360"/>
      </w:pPr>
    </w:lvl>
    <w:lvl w:ilvl="8" w:tplc="95A694F0">
      <w:start w:val="1"/>
      <w:numFmt w:val="lowerRoman"/>
      <w:lvlText w:val="%9."/>
      <w:lvlJc w:val="right"/>
      <w:pPr>
        <w:ind w:left="6480" w:hanging="180"/>
      </w:pPr>
    </w:lvl>
  </w:abstractNum>
  <w:abstractNum w:abstractNumId="23" w15:restartNumberingAfterBreak="0">
    <w:nsid w:val="25D17B3F"/>
    <w:multiLevelType w:val="hybridMultilevel"/>
    <w:tmpl w:val="FFFFFFFF"/>
    <w:lvl w:ilvl="0" w:tplc="EF46E658">
      <w:start w:val="1"/>
      <w:numFmt w:val="bullet"/>
      <w:lvlText w:val=""/>
      <w:lvlJc w:val="left"/>
      <w:pPr>
        <w:ind w:left="720" w:hanging="360"/>
      </w:pPr>
      <w:rPr>
        <w:rFonts w:ascii="Symbol" w:hAnsi="Symbol" w:hint="default"/>
      </w:rPr>
    </w:lvl>
    <w:lvl w:ilvl="1" w:tplc="47C84FF0">
      <w:start w:val="1"/>
      <w:numFmt w:val="lowerLetter"/>
      <w:lvlText w:val="%2."/>
      <w:lvlJc w:val="left"/>
      <w:pPr>
        <w:ind w:left="1440" w:hanging="360"/>
      </w:pPr>
    </w:lvl>
    <w:lvl w:ilvl="2" w:tplc="375423B6">
      <w:start w:val="1"/>
      <w:numFmt w:val="lowerRoman"/>
      <w:lvlText w:val="%3."/>
      <w:lvlJc w:val="right"/>
      <w:pPr>
        <w:ind w:left="2160" w:hanging="180"/>
      </w:pPr>
    </w:lvl>
    <w:lvl w:ilvl="3" w:tplc="749AAFF4">
      <w:start w:val="1"/>
      <w:numFmt w:val="decimal"/>
      <w:lvlText w:val="%4."/>
      <w:lvlJc w:val="left"/>
      <w:pPr>
        <w:ind w:left="2880" w:hanging="360"/>
      </w:pPr>
    </w:lvl>
    <w:lvl w:ilvl="4" w:tplc="D85865BA">
      <w:start w:val="1"/>
      <w:numFmt w:val="lowerLetter"/>
      <w:lvlText w:val="%5."/>
      <w:lvlJc w:val="left"/>
      <w:pPr>
        <w:ind w:left="3600" w:hanging="360"/>
      </w:pPr>
    </w:lvl>
    <w:lvl w:ilvl="5" w:tplc="0E2E3652">
      <w:start w:val="1"/>
      <w:numFmt w:val="lowerRoman"/>
      <w:lvlText w:val="%6."/>
      <w:lvlJc w:val="right"/>
      <w:pPr>
        <w:ind w:left="4320" w:hanging="180"/>
      </w:pPr>
    </w:lvl>
    <w:lvl w:ilvl="6" w:tplc="7A3CD90A">
      <w:start w:val="1"/>
      <w:numFmt w:val="decimal"/>
      <w:lvlText w:val="%7."/>
      <w:lvlJc w:val="left"/>
      <w:pPr>
        <w:ind w:left="5040" w:hanging="360"/>
      </w:pPr>
    </w:lvl>
    <w:lvl w:ilvl="7" w:tplc="D5C0AA30">
      <w:start w:val="1"/>
      <w:numFmt w:val="lowerLetter"/>
      <w:lvlText w:val="%8."/>
      <w:lvlJc w:val="left"/>
      <w:pPr>
        <w:ind w:left="5760" w:hanging="360"/>
      </w:pPr>
    </w:lvl>
    <w:lvl w:ilvl="8" w:tplc="7F2E7BDE">
      <w:start w:val="1"/>
      <w:numFmt w:val="lowerRoman"/>
      <w:lvlText w:val="%9."/>
      <w:lvlJc w:val="right"/>
      <w:pPr>
        <w:ind w:left="6480" w:hanging="180"/>
      </w:pPr>
    </w:lvl>
  </w:abstractNum>
  <w:abstractNum w:abstractNumId="24" w15:restartNumberingAfterBreak="0">
    <w:nsid w:val="261F2B11"/>
    <w:multiLevelType w:val="hybridMultilevel"/>
    <w:tmpl w:val="FFFFFFFF"/>
    <w:lvl w:ilvl="0" w:tplc="D9F400D8">
      <w:start w:val="1"/>
      <w:numFmt w:val="bullet"/>
      <w:lvlText w:val="·"/>
      <w:lvlJc w:val="left"/>
      <w:pPr>
        <w:ind w:left="720" w:hanging="360"/>
      </w:pPr>
      <w:rPr>
        <w:rFonts w:ascii="Symbol" w:hAnsi="Symbol" w:hint="default"/>
      </w:rPr>
    </w:lvl>
    <w:lvl w:ilvl="1" w:tplc="C1D250DC">
      <w:start w:val="1"/>
      <w:numFmt w:val="bullet"/>
      <w:lvlText w:val="o"/>
      <w:lvlJc w:val="left"/>
      <w:pPr>
        <w:ind w:left="1440" w:hanging="360"/>
      </w:pPr>
      <w:rPr>
        <w:rFonts w:ascii="Courier New" w:hAnsi="Courier New" w:hint="default"/>
      </w:rPr>
    </w:lvl>
    <w:lvl w:ilvl="2" w:tplc="5C5EDA76">
      <w:start w:val="1"/>
      <w:numFmt w:val="bullet"/>
      <w:lvlText w:val=""/>
      <w:lvlJc w:val="left"/>
      <w:pPr>
        <w:ind w:left="2160" w:hanging="360"/>
      </w:pPr>
      <w:rPr>
        <w:rFonts w:ascii="Wingdings" w:hAnsi="Wingdings" w:hint="default"/>
      </w:rPr>
    </w:lvl>
    <w:lvl w:ilvl="3" w:tplc="866204B4">
      <w:start w:val="1"/>
      <w:numFmt w:val="bullet"/>
      <w:lvlText w:val=""/>
      <w:lvlJc w:val="left"/>
      <w:pPr>
        <w:ind w:left="2880" w:hanging="360"/>
      </w:pPr>
      <w:rPr>
        <w:rFonts w:ascii="Symbol" w:hAnsi="Symbol" w:hint="default"/>
      </w:rPr>
    </w:lvl>
    <w:lvl w:ilvl="4" w:tplc="DF1CDC74">
      <w:start w:val="1"/>
      <w:numFmt w:val="bullet"/>
      <w:lvlText w:val="o"/>
      <w:lvlJc w:val="left"/>
      <w:pPr>
        <w:ind w:left="3600" w:hanging="360"/>
      </w:pPr>
      <w:rPr>
        <w:rFonts w:ascii="Courier New" w:hAnsi="Courier New" w:hint="default"/>
      </w:rPr>
    </w:lvl>
    <w:lvl w:ilvl="5" w:tplc="00A4D5F6">
      <w:start w:val="1"/>
      <w:numFmt w:val="bullet"/>
      <w:lvlText w:val=""/>
      <w:lvlJc w:val="left"/>
      <w:pPr>
        <w:ind w:left="4320" w:hanging="360"/>
      </w:pPr>
      <w:rPr>
        <w:rFonts w:ascii="Wingdings" w:hAnsi="Wingdings" w:hint="default"/>
      </w:rPr>
    </w:lvl>
    <w:lvl w:ilvl="6" w:tplc="D938E8C8">
      <w:start w:val="1"/>
      <w:numFmt w:val="bullet"/>
      <w:lvlText w:val=""/>
      <w:lvlJc w:val="left"/>
      <w:pPr>
        <w:ind w:left="5040" w:hanging="360"/>
      </w:pPr>
      <w:rPr>
        <w:rFonts w:ascii="Symbol" w:hAnsi="Symbol" w:hint="default"/>
      </w:rPr>
    </w:lvl>
    <w:lvl w:ilvl="7" w:tplc="F3B63F6A">
      <w:start w:val="1"/>
      <w:numFmt w:val="bullet"/>
      <w:lvlText w:val="o"/>
      <w:lvlJc w:val="left"/>
      <w:pPr>
        <w:ind w:left="5760" w:hanging="360"/>
      </w:pPr>
      <w:rPr>
        <w:rFonts w:ascii="Courier New" w:hAnsi="Courier New" w:hint="default"/>
      </w:rPr>
    </w:lvl>
    <w:lvl w:ilvl="8" w:tplc="48568D42">
      <w:start w:val="1"/>
      <w:numFmt w:val="bullet"/>
      <w:lvlText w:val=""/>
      <w:lvlJc w:val="left"/>
      <w:pPr>
        <w:ind w:left="6480" w:hanging="360"/>
      </w:pPr>
      <w:rPr>
        <w:rFonts w:ascii="Wingdings" w:hAnsi="Wingdings" w:hint="default"/>
      </w:rPr>
    </w:lvl>
  </w:abstractNum>
  <w:abstractNum w:abstractNumId="25" w15:restartNumberingAfterBreak="0">
    <w:nsid w:val="279A6A15"/>
    <w:multiLevelType w:val="hybridMultilevel"/>
    <w:tmpl w:val="FFFFFFFF"/>
    <w:lvl w:ilvl="0" w:tplc="07BAD306">
      <w:start w:val="1"/>
      <w:numFmt w:val="bullet"/>
      <w:lvlText w:val=""/>
      <w:lvlJc w:val="left"/>
      <w:pPr>
        <w:ind w:left="720" w:hanging="360"/>
      </w:pPr>
      <w:rPr>
        <w:rFonts w:ascii="Symbol" w:hAnsi="Symbol" w:hint="default"/>
      </w:rPr>
    </w:lvl>
    <w:lvl w:ilvl="1" w:tplc="39E8C4D2">
      <w:start w:val="1"/>
      <w:numFmt w:val="lowerLetter"/>
      <w:lvlText w:val="%2."/>
      <w:lvlJc w:val="left"/>
      <w:pPr>
        <w:ind w:left="1440" w:hanging="360"/>
      </w:pPr>
    </w:lvl>
    <w:lvl w:ilvl="2" w:tplc="3822DA74">
      <w:start w:val="1"/>
      <w:numFmt w:val="lowerRoman"/>
      <w:lvlText w:val="%3."/>
      <w:lvlJc w:val="right"/>
      <w:pPr>
        <w:ind w:left="2160" w:hanging="180"/>
      </w:pPr>
    </w:lvl>
    <w:lvl w:ilvl="3" w:tplc="0EDC7B36">
      <w:start w:val="1"/>
      <w:numFmt w:val="decimal"/>
      <w:lvlText w:val="%4."/>
      <w:lvlJc w:val="left"/>
      <w:pPr>
        <w:ind w:left="2880" w:hanging="360"/>
      </w:pPr>
    </w:lvl>
    <w:lvl w:ilvl="4" w:tplc="45F673D0">
      <w:start w:val="1"/>
      <w:numFmt w:val="lowerLetter"/>
      <w:lvlText w:val="%5."/>
      <w:lvlJc w:val="left"/>
      <w:pPr>
        <w:ind w:left="3600" w:hanging="360"/>
      </w:pPr>
    </w:lvl>
    <w:lvl w:ilvl="5" w:tplc="61F46C80">
      <w:start w:val="1"/>
      <w:numFmt w:val="lowerRoman"/>
      <w:lvlText w:val="%6."/>
      <w:lvlJc w:val="right"/>
      <w:pPr>
        <w:ind w:left="4320" w:hanging="180"/>
      </w:pPr>
    </w:lvl>
    <w:lvl w:ilvl="6" w:tplc="0C962490">
      <w:start w:val="1"/>
      <w:numFmt w:val="decimal"/>
      <w:lvlText w:val="%7."/>
      <w:lvlJc w:val="left"/>
      <w:pPr>
        <w:ind w:left="5040" w:hanging="360"/>
      </w:pPr>
    </w:lvl>
    <w:lvl w:ilvl="7" w:tplc="2A788A94">
      <w:start w:val="1"/>
      <w:numFmt w:val="lowerLetter"/>
      <w:lvlText w:val="%8."/>
      <w:lvlJc w:val="left"/>
      <w:pPr>
        <w:ind w:left="5760" w:hanging="360"/>
      </w:pPr>
    </w:lvl>
    <w:lvl w:ilvl="8" w:tplc="CB922AE0">
      <w:start w:val="1"/>
      <w:numFmt w:val="lowerRoman"/>
      <w:lvlText w:val="%9."/>
      <w:lvlJc w:val="right"/>
      <w:pPr>
        <w:ind w:left="6480" w:hanging="180"/>
      </w:pPr>
    </w:lvl>
  </w:abstractNum>
  <w:abstractNum w:abstractNumId="26" w15:restartNumberingAfterBreak="0">
    <w:nsid w:val="2E301DD4"/>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27" w15:restartNumberingAfterBreak="0">
    <w:nsid w:val="2F5A5080"/>
    <w:multiLevelType w:val="hybridMultilevel"/>
    <w:tmpl w:val="BE2AF6CE"/>
    <w:lvl w:ilvl="0" w:tplc="D05E2434">
      <w:start w:val="1"/>
      <w:numFmt w:val="bullet"/>
      <w:lvlText w:val="●"/>
      <w:lvlJc w:val="left"/>
      <w:pPr>
        <w:ind w:left="357" w:hanging="357"/>
      </w:pPr>
      <w:rPr>
        <w:rFonts w:ascii="Arial" w:hAnsi="Arial" w:cs="Arial" w:hint="default"/>
        <w:sz w:val="20"/>
        <w:szCs w:val="20"/>
      </w:rPr>
    </w:lvl>
    <w:lvl w:ilvl="1" w:tplc="04090003">
      <w:start w:val="1"/>
      <w:numFmt w:val="bullet"/>
      <w:lvlText w:val="o"/>
      <w:lvlJc w:val="left"/>
      <w:pPr>
        <w:tabs>
          <w:tab w:val="num" w:pos="1728"/>
        </w:tabs>
        <w:ind w:left="1728" w:hanging="360"/>
      </w:pPr>
      <w:rPr>
        <w:rFonts w:ascii="Courier New" w:hAnsi="Courier New" w:cs="Times New Roman" w:hint="default"/>
      </w:rPr>
    </w:lvl>
    <w:lvl w:ilvl="2" w:tplc="04090005">
      <w:start w:val="1"/>
      <w:numFmt w:val="bullet"/>
      <w:lvlText w:val=""/>
      <w:lvlJc w:val="left"/>
      <w:pPr>
        <w:tabs>
          <w:tab w:val="num" w:pos="2448"/>
        </w:tabs>
        <w:ind w:left="2448" w:hanging="360"/>
      </w:pPr>
      <w:rPr>
        <w:rFonts w:ascii="Wingdings" w:hAnsi="Wingdings" w:hint="default"/>
      </w:rPr>
    </w:lvl>
    <w:lvl w:ilvl="3" w:tplc="04090001">
      <w:start w:val="1"/>
      <w:numFmt w:val="bullet"/>
      <w:lvlText w:val=""/>
      <w:lvlJc w:val="left"/>
      <w:pPr>
        <w:tabs>
          <w:tab w:val="num" w:pos="3168"/>
        </w:tabs>
        <w:ind w:left="3168" w:hanging="360"/>
      </w:pPr>
      <w:rPr>
        <w:rFonts w:ascii="Symbol" w:hAnsi="Symbol" w:hint="default"/>
      </w:rPr>
    </w:lvl>
    <w:lvl w:ilvl="4" w:tplc="04090003">
      <w:start w:val="1"/>
      <w:numFmt w:val="bullet"/>
      <w:lvlText w:val="o"/>
      <w:lvlJc w:val="left"/>
      <w:pPr>
        <w:tabs>
          <w:tab w:val="num" w:pos="3888"/>
        </w:tabs>
        <w:ind w:left="3888" w:hanging="360"/>
      </w:pPr>
      <w:rPr>
        <w:rFonts w:ascii="Courier New" w:hAnsi="Courier New" w:cs="Times New Roman" w:hint="default"/>
      </w:rPr>
    </w:lvl>
    <w:lvl w:ilvl="5" w:tplc="04090005">
      <w:start w:val="1"/>
      <w:numFmt w:val="bullet"/>
      <w:lvlText w:val=""/>
      <w:lvlJc w:val="left"/>
      <w:pPr>
        <w:tabs>
          <w:tab w:val="num" w:pos="4608"/>
        </w:tabs>
        <w:ind w:left="4608" w:hanging="360"/>
      </w:pPr>
      <w:rPr>
        <w:rFonts w:ascii="Wingdings" w:hAnsi="Wingdings" w:hint="default"/>
      </w:rPr>
    </w:lvl>
    <w:lvl w:ilvl="6" w:tplc="04090001">
      <w:start w:val="1"/>
      <w:numFmt w:val="bullet"/>
      <w:lvlText w:val=""/>
      <w:lvlJc w:val="left"/>
      <w:pPr>
        <w:tabs>
          <w:tab w:val="num" w:pos="5328"/>
        </w:tabs>
        <w:ind w:left="5328" w:hanging="360"/>
      </w:pPr>
      <w:rPr>
        <w:rFonts w:ascii="Symbol" w:hAnsi="Symbol" w:hint="default"/>
      </w:rPr>
    </w:lvl>
    <w:lvl w:ilvl="7" w:tplc="04090003">
      <w:start w:val="1"/>
      <w:numFmt w:val="bullet"/>
      <w:lvlText w:val="o"/>
      <w:lvlJc w:val="left"/>
      <w:pPr>
        <w:tabs>
          <w:tab w:val="num" w:pos="6048"/>
        </w:tabs>
        <w:ind w:left="6048" w:hanging="360"/>
      </w:pPr>
      <w:rPr>
        <w:rFonts w:ascii="Courier New" w:hAnsi="Courier New" w:cs="Times New Roman" w:hint="default"/>
      </w:rPr>
    </w:lvl>
    <w:lvl w:ilvl="8" w:tplc="04090005">
      <w:start w:val="1"/>
      <w:numFmt w:val="bullet"/>
      <w:lvlText w:val=""/>
      <w:lvlJc w:val="left"/>
      <w:pPr>
        <w:tabs>
          <w:tab w:val="num" w:pos="6768"/>
        </w:tabs>
        <w:ind w:left="6768" w:hanging="360"/>
      </w:pPr>
      <w:rPr>
        <w:rFonts w:ascii="Wingdings" w:hAnsi="Wingdings" w:hint="default"/>
      </w:rPr>
    </w:lvl>
  </w:abstractNum>
  <w:abstractNum w:abstractNumId="28" w15:restartNumberingAfterBreak="0">
    <w:nsid w:val="30CE1B0D"/>
    <w:multiLevelType w:val="hybridMultilevel"/>
    <w:tmpl w:val="FFFFFFFF"/>
    <w:lvl w:ilvl="0" w:tplc="EB744CA2">
      <w:start w:val="1"/>
      <w:numFmt w:val="bullet"/>
      <w:lvlText w:val=""/>
      <w:lvlJc w:val="left"/>
      <w:pPr>
        <w:ind w:left="720" w:hanging="360"/>
      </w:pPr>
      <w:rPr>
        <w:rFonts w:ascii="Symbol" w:hAnsi="Symbol" w:hint="default"/>
      </w:rPr>
    </w:lvl>
    <w:lvl w:ilvl="1" w:tplc="4B7EAB0E">
      <w:start w:val="1"/>
      <w:numFmt w:val="lowerLetter"/>
      <w:lvlText w:val="%2."/>
      <w:lvlJc w:val="left"/>
      <w:pPr>
        <w:ind w:left="1440" w:hanging="360"/>
      </w:pPr>
    </w:lvl>
    <w:lvl w:ilvl="2" w:tplc="E1AC1C94">
      <w:start w:val="1"/>
      <w:numFmt w:val="lowerRoman"/>
      <w:lvlText w:val="%3."/>
      <w:lvlJc w:val="right"/>
      <w:pPr>
        <w:ind w:left="2160" w:hanging="180"/>
      </w:pPr>
    </w:lvl>
    <w:lvl w:ilvl="3" w:tplc="C758F666">
      <w:start w:val="1"/>
      <w:numFmt w:val="decimal"/>
      <w:lvlText w:val="%4."/>
      <w:lvlJc w:val="left"/>
      <w:pPr>
        <w:ind w:left="2880" w:hanging="360"/>
      </w:pPr>
    </w:lvl>
    <w:lvl w:ilvl="4" w:tplc="3DDA5D28">
      <w:start w:val="1"/>
      <w:numFmt w:val="lowerLetter"/>
      <w:lvlText w:val="%5."/>
      <w:lvlJc w:val="left"/>
      <w:pPr>
        <w:ind w:left="3600" w:hanging="360"/>
      </w:pPr>
    </w:lvl>
    <w:lvl w:ilvl="5" w:tplc="6596B75C">
      <w:start w:val="1"/>
      <w:numFmt w:val="lowerRoman"/>
      <w:lvlText w:val="%6."/>
      <w:lvlJc w:val="right"/>
      <w:pPr>
        <w:ind w:left="4320" w:hanging="180"/>
      </w:pPr>
    </w:lvl>
    <w:lvl w:ilvl="6" w:tplc="C4883C62">
      <w:start w:val="1"/>
      <w:numFmt w:val="decimal"/>
      <w:lvlText w:val="%7."/>
      <w:lvlJc w:val="left"/>
      <w:pPr>
        <w:ind w:left="5040" w:hanging="360"/>
      </w:pPr>
    </w:lvl>
    <w:lvl w:ilvl="7" w:tplc="F28692B4">
      <w:start w:val="1"/>
      <w:numFmt w:val="lowerLetter"/>
      <w:lvlText w:val="%8."/>
      <w:lvlJc w:val="left"/>
      <w:pPr>
        <w:ind w:left="5760" w:hanging="360"/>
      </w:pPr>
    </w:lvl>
    <w:lvl w:ilvl="8" w:tplc="763C7800">
      <w:start w:val="1"/>
      <w:numFmt w:val="lowerRoman"/>
      <w:lvlText w:val="%9."/>
      <w:lvlJc w:val="right"/>
      <w:pPr>
        <w:ind w:left="6480" w:hanging="180"/>
      </w:pPr>
    </w:lvl>
  </w:abstractNum>
  <w:abstractNum w:abstractNumId="29" w15:restartNumberingAfterBreak="0">
    <w:nsid w:val="320A5690"/>
    <w:multiLevelType w:val="hybridMultilevel"/>
    <w:tmpl w:val="FFFFFFFF"/>
    <w:lvl w:ilvl="0" w:tplc="3A180DD8">
      <w:start w:val="1"/>
      <w:numFmt w:val="bullet"/>
      <w:lvlText w:val=""/>
      <w:lvlJc w:val="left"/>
      <w:pPr>
        <w:ind w:left="720" w:hanging="360"/>
      </w:pPr>
      <w:rPr>
        <w:rFonts w:ascii="Symbol" w:hAnsi="Symbol" w:hint="default"/>
      </w:rPr>
    </w:lvl>
    <w:lvl w:ilvl="1" w:tplc="9A4CC362">
      <w:start w:val="1"/>
      <w:numFmt w:val="lowerLetter"/>
      <w:lvlText w:val="%2."/>
      <w:lvlJc w:val="left"/>
      <w:pPr>
        <w:ind w:left="1440" w:hanging="360"/>
      </w:pPr>
    </w:lvl>
    <w:lvl w:ilvl="2" w:tplc="41D618A6">
      <w:start w:val="1"/>
      <w:numFmt w:val="lowerRoman"/>
      <w:lvlText w:val="%3."/>
      <w:lvlJc w:val="right"/>
      <w:pPr>
        <w:ind w:left="2160" w:hanging="180"/>
      </w:pPr>
    </w:lvl>
    <w:lvl w:ilvl="3" w:tplc="12661CFA">
      <w:start w:val="1"/>
      <w:numFmt w:val="decimal"/>
      <w:lvlText w:val="%4."/>
      <w:lvlJc w:val="left"/>
      <w:pPr>
        <w:ind w:left="2880" w:hanging="360"/>
      </w:pPr>
    </w:lvl>
    <w:lvl w:ilvl="4" w:tplc="0EFC3994">
      <w:start w:val="1"/>
      <w:numFmt w:val="lowerLetter"/>
      <w:lvlText w:val="%5."/>
      <w:lvlJc w:val="left"/>
      <w:pPr>
        <w:ind w:left="3600" w:hanging="360"/>
      </w:pPr>
    </w:lvl>
    <w:lvl w:ilvl="5" w:tplc="38183980">
      <w:start w:val="1"/>
      <w:numFmt w:val="lowerRoman"/>
      <w:lvlText w:val="%6."/>
      <w:lvlJc w:val="right"/>
      <w:pPr>
        <w:ind w:left="4320" w:hanging="180"/>
      </w:pPr>
    </w:lvl>
    <w:lvl w:ilvl="6" w:tplc="543CFFEE">
      <w:start w:val="1"/>
      <w:numFmt w:val="decimal"/>
      <w:lvlText w:val="%7."/>
      <w:lvlJc w:val="left"/>
      <w:pPr>
        <w:ind w:left="5040" w:hanging="360"/>
      </w:pPr>
    </w:lvl>
    <w:lvl w:ilvl="7" w:tplc="F85C8F16">
      <w:start w:val="1"/>
      <w:numFmt w:val="lowerLetter"/>
      <w:lvlText w:val="%8."/>
      <w:lvlJc w:val="left"/>
      <w:pPr>
        <w:ind w:left="5760" w:hanging="360"/>
      </w:pPr>
    </w:lvl>
    <w:lvl w:ilvl="8" w:tplc="CEB69C3A">
      <w:start w:val="1"/>
      <w:numFmt w:val="lowerRoman"/>
      <w:lvlText w:val="%9."/>
      <w:lvlJc w:val="right"/>
      <w:pPr>
        <w:ind w:left="6480" w:hanging="180"/>
      </w:pPr>
    </w:lvl>
  </w:abstractNum>
  <w:abstractNum w:abstractNumId="30" w15:restartNumberingAfterBreak="0">
    <w:nsid w:val="324E224B"/>
    <w:multiLevelType w:val="hybridMultilevel"/>
    <w:tmpl w:val="822C647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1" w15:restartNumberingAfterBreak="0">
    <w:nsid w:val="35A77699"/>
    <w:multiLevelType w:val="hybridMultilevel"/>
    <w:tmpl w:val="73E0FA24"/>
    <w:lvl w:ilvl="0" w:tplc="F510059A">
      <w:start w:val="1"/>
      <w:numFmt w:val="decimal"/>
      <w:lvlText w:val="Table %1"/>
      <w:lvlJc w:val="left"/>
      <w:pPr>
        <w:ind w:left="720" w:hanging="360"/>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37503D16"/>
    <w:multiLevelType w:val="hybridMultilevel"/>
    <w:tmpl w:val="4572A5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39221FAD"/>
    <w:multiLevelType w:val="hybridMultilevel"/>
    <w:tmpl w:val="FFFFFFFF"/>
    <w:lvl w:ilvl="0" w:tplc="BAECA7C8">
      <w:start w:val="1"/>
      <w:numFmt w:val="bullet"/>
      <w:lvlText w:val=""/>
      <w:lvlJc w:val="left"/>
      <w:pPr>
        <w:ind w:left="720" w:hanging="360"/>
      </w:pPr>
      <w:rPr>
        <w:rFonts w:ascii="Symbol" w:hAnsi="Symbol" w:hint="default"/>
      </w:rPr>
    </w:lvl>
    <w:lvl w:ilvl="1" w:tplc="30D2521C">
      <w:start w:val="1"/>
      <w:numFmt w:val="lowerLetter"/>
      <w:lvlText w:val="%2."/>
      <w:lvlJc w:val="left"/>
      <w:pPr>
        <w:ind w:left="1440" w:hanging="360"/>
      </w:pPr>
    </w:lvl>
    <w:lvl w:ilvl="2" w:tplc="8552165E">
      <w:start w:val="1"/>
      <w:numFmt w:val="lowerRoman"/>
      <w:lvlText w:val="%3."/>
      <w:lvlJc w:val="right"/>
      <w:pPr>
        <w:ind w:left="2160" w:hanging="180"/>
      </w:pPr>
    </w:lvl>
    <w:lvl w:ilvl="3" w:tplc="77DE1A44">
      <w:start w:val="1"/>
      <w:numFmt w:val="decimal"/>
      <w:lvlText w:val="%4."/>
      <w:lvlJc w:val="left"/>
      <w:pPr>
        <w:ind w:left="2880" w:hanging="360"/>
      </w:pPr>
    </w:lvl>
    <w:lvl w:ilvl="4" w:tplc="1D161838">
      <w:start w:val="1"/>
      <w:numFmt w:val="lowerLetter"/>
      <w:lvlText w:val="%5."/>
      <w:lvlJc w:val="left"/>
      <w:pPr>
        <w:ind w:left="3600" w:hanging="360"/>
      </w:pPr>
    </w:lvl>
    <w:lvl w:ilvl="5" w:tplc="784EAB9E">
      <w:start w:val="1"/>
      <w:numFmt w:val="lowerRoman"/>
      <w:lvlText w:val="%6."/>
      <w:lvlJc w:val="right"/>
      <w:pPr>
        <w:ind w:left="4320" w:hanging="180"/>
      </w:pPr>
    </w:lvl>
    <w:lvl w:ilvl="6" w:tplc="79449620">
      <w:start w:val="1"/>
      <w:numFmt w:val="decimal"/>
      <w:lvlText w:val="%7."/>
      <w:lvlJc w:val="left"/>
      <w:pPr>
        <w:ind w:left="5040" w:hanging="360"/>
      </w:pPr>
    </w:lvl>
    <w:lvl w:ilvl="7" w:tplc="AD60C10E">
      <w:start w:val="1"/>
      <w:numFmt w:val="lowerLetter"/>
      <w:lvlText w:val="%8."/>
      <w:lvlJc w:val="left"/>
      <w:pPr>
        <w:ind w:left="5760" w:hanging="360"/>
      </w:pPr>
    </w:lvl>
    <w:lvl w:ilvl="8" w:tplc="DCD2FE76">
      <w:start w:val="1"/>
      <w:numFmt w:val="lowerRoman"/>
      <w:lvlText w:val="%9."/>
      <w:lvlJc w:val="right"/>
      <w:pPr>
        <w:ind w:left="6480" w:hanging="180"/>
      </w:pPr>
    </w:lvl>
  </w:abstractNum>
  <w:abstractNum w:abstractNumId="34" w15:restartNumberingAfterBreak="0">
    <w:nsid w:val="3A690A8B"/>
    <w:multiLevelType w:val="hybridMultilevel"/>
    <w:tmpl w:val="FFFFFFFF"/>
    <w:lvl w:ilvl="0" w:tplc="60BED478">
      <w:start w:val="1"/>
      <w:numFmt w:val="bullet"/>
      <w:lvlText w:val=""/>
      <w:lvlJc w:val="left"/>
      <w:pPr>
        <w:ind w:left="720" w:hanging="360"/>
      </w:pPr>
      <w:rPr>
        <w:rFonts w:ascii="Symbol" w:hAnsi="Symbol" w:hint="default"/>
      </w:rPr>
    </w:lvl>
    <w:lvl w:ilvl="1" w:tplc="9D2A052A">
      <w:start w:val="1"/>
      <w:numFmt w:val="lowerLetter"/>
      <w:lvlText w:val="%2."/>
      <w:lvlJc w:val="left"/>
      <w:pPr>
        <w:ind w:left="1440" w:hanging="360"/>
      </w:pPr>
    </w:lvl>
    <w:lvl w:ilvl="2" w:tplc="83B63FE2">
      <w:start w:val="1"/>
      <w:numFmt w:val="lowerRoman"/>
      <w:lvlText w:val="%3."/>
      <w:lvlJc w:val="right"/>
      <w:pPr>
        <w:ind w:left="2160" w:hanging="180"/>
      </w:pPr>
    </w:lvl>
    <w:lvl w:ilvl="3" w:tplc="4D2C1412">
      <w:start w:val="1"/>
      <w:numFmt w:val="decimal"/>
      <w:lvlText w:val="%4."/>
      <w:lvlJc w:val="left"/>
      <w:pPr>
        <w:ind w:left="2880" w:hanging="360"/>
      </w:pPr>
    </w:lvl>
    <w:lvl w:ilvl="4" w:tplc="7B8C06B2">
      <w:start w:val="1"/>
      <w:numFmt w:val="lowerLetter"/>
      <w:lvlText w:val="%5."/>
      <w:lvlJc w:val="left"/>
      <w:pPr>
        <w:ind w:left="3600" w:hanging="360"/>
      </w:pPr>
    </w:lvl>
    <w:lvl w:ilvl="5" w:tplc="58C86A7E">
      <w:start w:val="1"/>
      <w:numFmt w:val="lowerRoman"/>
      <w:lvlText w:val="%6."/>
      <w:lvlJc w:val="right"/>
      <w:pPr>
        <w:ind w:left="4320" w:hanging="180"/>
      </w:pPr>
    </w:lvl>
    <w:lvl w:ilvl="6" w:tplc="02889E8A">
      <w:start w:val="1"/>
      <w:numFmt w:val="decimal"/>
      <w:lvlText w:val="%7."/>
      <w:lvlJc w:val="left"/>
      <w:pPr>
        <w:ind w:left="5040" w:hanging="360"/>
      </w:pPr>
    </w:lvl>
    <w:lvl w:ilvl="7" w:tplc="7FAEB6DA">
      <w:start w:val="1"/>
      <w:numFmt w:val="lowerLetter"/>
      <w:lvlText w:val="%8."/>
      <w:lvlJc w:val="left"/>
      <w:pPr>
        <w:ind w:left="5760" w:hanging="360"/>
      </w:pPr>
    </w:lvl>
    <w:lvl w:ilvl="8" w:tplc="6E4A879E">
      <w:start w:val="1"/>
      <w:numFmt w:val="lowerRoman"/>
      <w:lvlText w:val="%9."/>
      <w:lvlJc w:val="right"/>
      <w:pPr>
        <w:ind w:left="6480" w:hanging="180"/>
      </w:pPr>
    </w:lvl>
  </w:abstractNum>
  <w:abstractNum w:abstractNumId="35" w15:restartNumberingAfterBreak="0">
    <w:nsid w:val="3B6D0B0F"/>
    <w:multiLevelType w:val="hybridMultilevel"/>
    <w:tmpl w:val="F7B0A404"/>
    <w:lvl w:ilvl="0" w:tplc="FE9EAA6A">
      <w:start w:val="1"/>
      <w:numFmt w:val="bullet"/>
      <w:lvlText w:val="&gt;"/>
      <w:lvlJc w:val="left"/>
      <w:pPr>
        <w:ind w:left="360" w:hanging="360"/>
      </w:pPr>
      <w:rPr>
        <w:rFonts w:ascii="Vrinda" w:hAnsi="Vrinda" w:hint="default"/>
        <w:b w:val="0"/>
        <w:sz w:val="20"/>
        <w:szCs w:val="20"/>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6" w15:restartNumberingAfterBreak="0">
    <w:nsid w:val="4228313C"/>
    <w:multiLevelType w:val="hybridMultilevel"/>
    <w:tmpl w:val="FFFFFFFF"/>
    <w:lvl w:ilvl="0" w:tplc="1C6472EC">
      <w:start w:val="1"/>
      <w:numFmt w:val="bullet"/>
      <w:lvlText w:val=""/>
      <w:lvlJc w:val="left"/>
      <w:pPr>
        <w:ind w:left="720" w:hanging="360"/>
      </w:pPr>
      <w:rPr>
        <w:rFonts w:ascii="Symbol" w:hAnsi="Symbol" w:hint="default"/>
      </w:rPr>
    </w:lvl>
    <w:lvl w:ilvl="1" w:tplc="21FC3140">
      <w:start w:val="1"/>
      <w:numFmt w:val="lowerLetter"/>
      <w:lvlText w:val="%2."/>
      <w:lvlJc w:val="left"/>
      <w:pPr>
        <w:ind w:left="1440" w:hanging="360"/>
      </w:pPr>
    </w:lvl>
    <w:lvl w:ilvl="2" w:tplc="E63C1F1A">
      <w:start w:val="1"/>
      <w:numFmt w:val="lowerRoman"/>
      <w:lvlText w:val="%3."/>
      <w:lvlJc w:val="right"/>
      <w:pPr>
        <w:ind w:left="2160" w:hanging="180"/>
      </w:pPr>
    </w:lvl>
    <w:lvl w:ilvl="3" w:tplc="88A24816">
      <w:start w:val="1"/>
      <w:numFmt w:val="decimal"/>
      <w:lvlText w:val="%4."/>
      <w:lvlJc w:val="left"/>
      <w:pPr>
        <w:ind w:left="2880" w:hanging="360"/>
      </w:pPr>
    </w:lvl>
    <w:lvl w:ilvl="4" w:tplc="DF7C2502">
      <w:start w:val="1"/>
      <w:numFmt w:val="lowerLetter"/>
      <w:lvlText w:val="%5."/>
      <w:lvlJc w:val="left"/>
      <w:pPr>
        <w:ind w:left="3600" w:hanging="360"/>
      </w:pPr>
    </w:lvl>
    <w:lvl w:ilvl="5" w:tplc="03B45ADA">
      <w:start w:val="1"/>
      <w:numFmt w:val="lowerRoman"/>
      <w:lvlText w:val="%6."/>
      <w:lvlJc w:val="right"/>
      <w:pPr>
        <w:ind w:left="4320" w:hanging="180"/>
      </w:pPr>
    </w:lvl>
    <w:lvl w:ilvl="6" w:tplc="B476995C">
      <w:start w:val="1"/>
      <w:numFmt w:val="decimal"/>
      <w:lvlText w:val="%7."/>
      <w:lvlJc w:val="left"/>
      <w:pPr>
        <w:ind w:left="5040" w:hanging="360"/>
      </w:pPr>
    </w:lvl>
    <w:lvl w:ilvl="7" w:tplc="F7CCEDAC">
      <w:start w:val="1"/>
      <w:numFmt w:val="lowerLetter"/>
      <w:lvlText w:val="%8."/>
      <w:lvlJc w:val="left"/>
      <w:pPr>
        <w:ind w:left="5760" w:hanging="360"/>
      </w:pPr>
    </w:lvl>
    <w:lvl w:ilvl="8" w:tplc="6B8AFFF0">
      <w:start w:val="1"/>
      <w:numFmt w:val="lowerRoman"/>
      <w:lvlText w:val="%9."/>
      <w:lvlJc w:val="right"/>
      <w:pPr>
        <w:ind w:left="6480" w:hanging="180"/>
      </w:pPr>
    </w:lvl>
  </w:abstractNum>
  <w:abstractNum w:abstractNumId="37" w15:restartNumberingAfterBreak="0">
    <w:nsid w:val="429B76B8"/>
    <w:multiLevelType w:val="hybridMultilevel"/>
    <w:tmpl w:val="723AB036"/>
    <w:lvl w:ilvl="0" w:tplc="4CD289F2">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15:restartNumberingAfterBreak="0">
    <w:nsid w:val="42B43732"/>
    <w:multiLevelType w:val="hybridMultilevel"/>
    <w:tmpl w:val="FFFFFFFF"/>
    <w:lvl w:ilvl="0" w:tplc="72664A2E">
      <w:start w:val="1"/>
      <w:numFmt w:val="bullet"/>
      <w:lvlText w:val="·"/>
      <w:lvlJc w:val="left"/>
      <w:pPr>
        <w:ind w:left="720" w:hanging="360"/>
      </w:pPr>
      <w:rPr>
        <w:rFonts w:ascii="Symbol" w:hAnsi="Symbol" w:hint="default"/>
      </w:rPr>
    </w:lvl>
    <w:lvl w:ilvl="1" w:tplc="1FD6DC78">
      <w:start w:val="1"/>
      <w:numFmt w:val="bullet"/>
      <w:lvlText w:val="o"/>
      <w:lvlJc w:val="left"/>
      <w:pPr>
        <w:ind w:left="1440" w:hanging="360"/>
      </w:pPr>
      <w:rPr>
        <w:rFonts w:ascii="Courier New" w:hAnsi="Courier New" w:hint="default"/>
      </w:rPr>
    </w:lvl>
    <w:lvl w:ilvl="2" w:tplc="9B7A03D6">
      <w:start w:val="1"/>
      <w:numFmt w:val="bullet"/>
      <w:lvlText w:val=""/>
      <w:lvlJc w:val="left"/>
      <w:pPr>
        <w:ind w:left="2160" w:hanging="360"/>
      </w:pPr>
      <w:rPr>
        <w:rFonts w:ascii="Wingdings" w:hAnsi="Wingdings" w:hint="default"/>
      </w:rPr>
    </w:lvl>
    <w:lvl w:ilvl="3" w:tplc="67A0C9DC">
      <w:start w:val="1"/>
      <w:numFmt w:val="bullet"/>
      <w:lvlText w:val=""/>
      <w:lvlJc w:val="left"/>
      <w:pPr>
        <w:ind w:left="2880" w:hanging="360"/>
      </w:pPr>
      <w:rPr>
        <w:rFonts w:ascii="Symbol" w:hAnsi="Symbol" w:hint="default"/>
      </w:rPr>
    </w:lvl>
    <w:lvl w:ilvl="4" w:tplc="799A9730">
      <w:start w:val="1"/>
      <w:numFmt w:val="bullet"/>
      <w:lvlText w:val="o"/>
      <w:lvlJc w:val="left"/>
      <w:pPr>
        <w:ind w:left="3600" w:hanging="360"/>
      </w:pPr>
      <w:rPr>
        <w:rFonts w:ascii="Courier New" w:hAnsi="Courier New" w:hint="default"/>
      </w:rPr>
    </w:lvl>
    <w:lvl w:ilvl="5" w:tplc="7B2E192C">
      <w:start w:val="1"/>
      <w:numFmt w:val="bullet"/>
      <w:lvlText w:val=""/>
      <w:lvlJc w:val="left"/>
      <w:pPr>
        <w:ind w:left="4320" w:hanging="360"/>
      </w:pPr>
      <w:rPr>
        <w:rFonts w:ascii="Wingdings" w:hAnsi="Wingdings" w:hint="default"/>
      </w:rPr>
    </w:lvl>
    <w:lvl w:ilvl="6" w:tplc="252EB91E">
      <w:start w:val="1"/>
      <w:numFmt w:val="bullet"/>
      <w:lvlText w:val=""/>
      <w:lvlJc w:val="left"/>
      <w:pPr>
        <w:ind w:left="5040" w:hanging="360"/>
      </w:pPr>
      <w:rPr>
        <w:rFonts w:ascii="Symbol" w:hAnsi="Symbol" w:hint="default"/>
      </w:rPr>
    </w:lvl>
    <w:lvl w:ilvl="7" w:tplc="30D4AC24">
      <w:start w:val="1"/>
      <w:numFmt w:val="bullet"/>
      <w:lvlText w:val="o"/>
      <w:lvlJc w:val="left"/>
      <w:pPr>
        <w:ind w:left="5760" w:hanging="360"/>
      </w:pPr>
      <w:rPr>
        <w:rFonts w:ascii="Courier New" w:hAnsi="Courier New" w:hint="default"/>
      </w:rPr>
    </w:lvl>
    <w:lvl w:ilvl="8" w:tplc="791C8972">
      <w:start w:val="1"/>
      <w:numFmt w:val="bullet"/>
      <w:lvlText w:val=""/>
      <w:lvlJc w:val="left"/>
      <w:pPr>
        <w:ind w:left="6480" w:hanging="360"/>
      </w:pPr>
      <w:rPr>
        <w:rFonts w:ascii="Wingdings" w:hAnsi="Wingdings" w:hint="default"/>
      </w:rPr>
    </w:lvl>
  </w:abstractNum>
  <w:abstractNum w:abstractNumId="39" w15:restartNumberingAfterBreak="0">
    <w:nsid w:val="430433D1"/>
    <w:multiLevelType w:val="hybridMultilevel"/>
    <w:tmpl w:val="FFFFFFFF"/>
    <w:lvl w:ilvl="0" w:tplc="51BE65E0">
      <w:start w:val="1"/>
      <w:numFmt w:val="bullet"/>
      <w:lvlText w:val=""/>
      <w:lvlJc w:val="left"/>
      <w:pPr>
        <w:ind w:left="720" w:hanging="360"/>
      </w:pPr>
      <w:rPr>
        <w:rFonts w:ascii="Symbol" w:hAnsi="Symbol" w:hint="default"/>
      </w:rPr>
    </w:lvl>
    <w:lvl w:ilvl="1" w:tplc="BBB0F4A8">
      <w:start w:val="1"/>
      <w:numFmt w:val="lowerLetter"/>
      <w:lvlText w:val="%2."/>
      <w:lvlJc w:val="left"/>
      <w:pPr>
        <w:ind w:left="1440" w:hanging="360"/>
      </w:pPr>
    </w:lvl>
    <w:lvl w:ilvl="2" w:tplc="8C8E9850">
      <w:start w:val="1"/>
      <w:numFmt w:val="lowerRoman"/>
      <w:lvlText w:val="%3."/>
      <w:lvlJc w:val="right"/>
      <w:pPr>
        <w:ind w:left="2160" w:hanging="180"/>
      </w:pPr>
    </w:lvl>
    <w:lvl w:ilvl="3" w:tplc="A720E150">
      <w:start w:val="1"/>
      <w:numFmt w:val="decimal"/>
      <w:lvlText w:val="%4."/>
      <w:lvlJc w:val="left"/>
      <w:pPr>
        <w:ind w:left="2880" w:hanging="360"/>
      </w:pPr>
    </w:lvl>
    <w:lvl w:ilvl="4" w:tplc="40020746">
      <w:start w:val="1"/>
      <w:numFmt w:val="lowerLetter"/>
      <w:lvlText w:val="%5."/>
      <w:lvlJc w:val="left"/>
      <w:pPr>
        <w:ind w:left="3600" w:hanging="360"/>
      </w:pPr>
    </w:lvl>
    <w:lvl w:ilvl="5" w:tplc="7A0E0722">
      <w:start w:val="1"/>
      <w:numFmt w:val="lowerRoman"/>
      <w:lvlText w:val="%6."/>
      <w:lvlJc w:val="right"/>
      <w:pPr>
        <w:ind w:left="4320" w:hanging="180"/>
      </w:pPr>
    </w:lvl>
    <w:lvl w:ilvl="6" w:tplc="E0105810">
      <w:start w:val="1"/>
      <w:numFmt w:val="decimal"/>
      <w:lvlText w:val="%7."/>
      <w:lvlJc w:val="left"/>
      <w:pPr>
        <w:ind w:left="5040" w:hanging="360"/>
      </w:pPr>
    </w:lvl>
    <w:lvl w:ilvl="7" w:tplc="F1B8C06E">
      <w:start w:val="1"/>
      <w:numFmt w:val="lowerLetter"/>
      <w:lvlText w:val="%8."/>
      <w:lvlJc w:val="left"/>
      <w:pPr>
        <w:ind w:left="5760" w:hanging="360"/>
      </w:pPr>
    </w:lvl>
    <w:lvl w:ilvl="8" w:tplc="F3D4B56C">
      <w:start w:val="1"/>
      <w:numFmt w:val="lowerRoman"/>
      <w:lvlText w:val="%9."/>
      <w:lvlJc w:val="right"/>
      <w:pPr>
        <w:ind w:left="6480" w:hanging="180"/>
      </w:pPr>
    </w:lvl>
  </w:abstractNum>
  <w:abstractNum w:abstractNumId="40" w15:restartNumberingAfterBreak="0">
    <w:nsid w:val="436673AC"/>
    <w:multiLevelType w:val="hybridMultilevel"/>
    <w:tmpl w:val="A4945F22"/>
    <w:lvl w:ilvl="0" w:tplc="FE9EAA6A">
      <w:start w:val="1"/>
      <w:numFmt w:val="bullet"/>
      <w:lvlText w:val="&gt;"/>
      <w:lvlJc w:val="left"/>
      <w:pPr>
        <w:ind w:left="360" w:hanging="360"/>
      </w:pPr>
      <w:rPr>
        <w:rFonts w:ascii="Vrinda" w:hAnsi="Vrinda" w:cs="Times New Roman" w:hint="default"/>
        <w:b w:val="0"/>
        <w:sz w:val="20"/>
        <w:szCs w:val="20"/>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41" w15:restartNumberingAfterBreak="0">
    <w:nsid w:val="47FF3777"/>
    <w:multiLevelType w:val="hybridMultilevel"/>
    <w:tmpl w:val="FFFFFFFF"/>
    <w:lvl w:ilvl="0" w:tplc="09348180">
      <w:start w:val="1"/>
      <w:numFmt w:val="bullet"/>
      <w:lvlText w:val=""/>
      <w:lvlJc w:val="left"/>
      <w:pPr>
        <w:ind w:left="720" w:hanging="360"/>
      </w:pPr>
      <w:rPr>
        <w:rFonts w:ascii="Symbol" w:hAnsi="Symbol" w:hint="default"/>
      </w:rPr>
    </w:lvl>
    <w:lvl w:ilvl="1" w:tplc="8E20D01C">
      <w:start w:val="1"/>
      <w:numFmt w:val="lowerLetter"/>
      <w:lvlText w:val="%2."/>
      <w:lvlJc w:val="left"/>
      <w:pPr>
        <w:ind w:left="1440" w:hanging="360"/>
      </w:pPr>
    </w:lvl>
    <w:lvl w:ilvl="2" w:tplc="72A80E76">
      <w:start w:val="1"/>
      <w:numFmt w:val="lowerRoman"/>
      <w:lvlText w:val="%3."/>
      <w:lvlJc w:val="right"/>
      <w:pPr>
        <w:ind w:left="2160" w:hanging="180"/>
      </w:pPr>
    </w:lvl>
    <w:lvl w:ilvl="3" w:tplc="2548C890">
      <w:start w:val="1"/>
      <w:numFmt w:val="decimal"/>
      <w:lvlText w:val="%4."/>
      <w:lvlJc w:val="left"/>
      <w:pPr>
        <w:ind w:left="2880" w:hanging="360"/>
      </w:pPr>
    </w:lvl>
    <w:lvl w:ilvl="4" w:tplc="E808FB5C">
      <w:start w:val="1"/>
      <w:numFmt w:val="lowerLetter"/>
      <w:lvlText w:val="%5."/>
      <w:lvlJc w:val="left"/>
      <w:pPr>
        <w:ind w:left="3600" w:hanging="360"/>
      </w:pPr>
    </w:lvl>
    <w:lvl w:ilvl="5" w:tplc="B1603C0E">
      <w:start w:val="1"/>
      <w:numFmt w:val="lowerRoman"/>
      <w:lvlText w:val="%6."/>
      <w:lvlJc w:val="right"/>
      <w:pPr>
        <w:ind w:left="4320" w:hanging="180"/>
      </w:pPr>
    </w:lvl>
    <w:lvl w:ilvl="6" w:tplc="79A2CFAE">
      <w:start w:val="1"/>
      <w:numFmt w:val="decimal"/>
      <w:lvlText w:val="%7."/>
      <w:lvlJc w:val="left"/>
      <w:pPr>
        <w:ind w:left="5040" w:hanging="360"/>
      </w:pPr>
    </w:lvl>
    <w:lvl w:ilvl="7" w:tplc="E1BA246C">
      <w:start w:val="1"/>
      <w:numFmt w:val="lowerLetter"/>
      <w:lvlText w:val="%8."/>
      <w:lvlJc w:val="left"/>
      <w:pPr>
        <w:ind w:left="5760" w:hanging="360"/>
      </w:pPr>
    </w:lvl>
    <w:lvl w:ilvl="8" w:tplc="B3262842">
      <w:start w:val="1"/>
      <w:numFmt w:val="lowerRoman"/>
      <w:lvlText w:val="%9."/>
      <w:lvlJc w:val="right"/>
      <w:pPr>
        <w:ind w:left="6480" w:hanging="180"/>
      </w:pPr>
    </w:lvl>
  </w:abstractNum>
  <w:abstractNum w:abstractNumId="42" w15:restartNumberingAfterBreak="0">
    <w:nsid w:val="4A9E4622"/>
    <w:multiLevelType w:val="hybridMultilevel"/>
    <w:tmpl w:val="FFFFFFFF"/>
    <w:lvl w:ilvl="0" w:tplc="93C0D8D8">
      <w:start w:val="1"/>
      <w:numFmt w:val="bullet"/>
      <w:lvlText w:val=""/>
      <w:lvlJc w:val="left"/>
      <w:pPr>
        <w:ind w:left="720" w:hanging="360"/>
      </w:pPr>
      <w:rPr>
        <w:rFonts w:ascii="Symbol" w:hAnsi="Symbol" w:hint="default"/>
      </w:rPr>
    </w:lvl>
    <w:lvl w:ilvl="1" w:tplc="533A565E">
      <w:start w:val="1"/>
      <w:numFmt w:val="lowerLetter"/>
      <w:lvlText w:val="%2."/>
      <w:lvlJc w:val="left"/>
      <w:pPr>
        <w:ind w:left="1440" w:hanging="360"/>
      </w:pPr>
    </w:lvl>
    <w:lvl w:ilvl="2" w:tplc="CA7C9FD8">
      <w:start w:val="1"/>
      <w:numFmt w:val="lowerRoman"/>
      <w:lvlText w:val="%3."/>
      <w:lvlJc w:val="right"/>
      <w:pPr>
        <w:ind w:left="2160" w:hanging="180"/>
      </w:pPr>
    </w:lvl>
    <w:lvl w:ilvl="3" w:tplc="92F6658C">
      <w:start w:val="1"/>
      <w:numFmt w:val="decimal"/>
      <w:lvlText w:val="%4."/>
      <w:lvlJc w:val="left"/>
      <w:pPr>
        <w:ind w:left="2880" w:hanging="360"/>
      </w:pPr>
    </w:lvl>
    <w:lvl w:ilvl="4" w:tplc="0FFECFF8">
      <w:start w:val="1"/>
      <w:numFmt w:val="lowerLetter"/>
      <w:lvlText w:val="%5."/>
      <w:lvlJc w:val="left"/>
      <w:pPr>
        <w:ind w:left="3600" w:hanging="360"/>
      </w:pPr>
    </w:lvl>
    <w:lvl w:ilvl="5" w:tplc="D9669D6C">
      <w:start w:val="1"/>
      <w:numFmt w:val="lowerRoman"/>
      <w:lvlText w:val="%6."/>
      <w:lvlJc w:val="right"/>
      <w:pPr>
        <w:ind w:left="4320" w:hanging="180"/>
      </w:pPr>
    </w:lvl>
    <w:lvl w:ilvl="6" w:tplc="D1BCAEC0">
      <w:start w:val="1"/>
      <w:numFmt w:val="decimal"/>
      <w:lvlText w:val="%7."/>
      <w:lvlJc w:val="left"/>
      <w:pPr>
        <w:ind w:left="5040" w:hanging="360"/>
      </w:pPr>
    </w:lvl>
    <w:lvl w:ilvl="7" w:tplc="9BAC8B9A">
      <w:start w:val="1"/>
      <w:numFmt w:val="lowerLetter"/>
      <w:lvlText w:val="%8."/>
      <w:lvlJc w:val="left"/>
      <w:pPr>
        <w:ind w:left="5760" w:hanging="360"/>
      </w:pPr>
    </w:lvl>
    <w:lvl w:ilvl="8" w:tplc="1AD60DA4">
      <w:start w:val="1"/>
      <w:numFmt w:val="lowerRoman"/>
      <w:lvlText w:val="%9."/>
      <w:lvlJc w:val="right"/>
      <w:pPr>
        <w:ind w:left="6480" w:hanging="180"/>
      </w:pPr>
    </w:lvl>
  </w:abstractNum>
  <w:abstractNum w:abstractNumId="43" w15:restartNumberingAfterBreak="0">
    <w:nsid w:val="4B53650E"/>
    <w:multiLevelType w:val="hybridMultilevel"/>
    <w:tmpl w:val="FFFFFFFF"/>
    <w:lvl w:ilvl="0" w:tplc="35D0CEEA">
      <w:start w:val="1"/>
      <w:numFmt w:val="bullet"/>
      <w:lvlText w:val=""/>
      <w:lvlJc w:val="left"/>
      <w:pPr>
        <w:ind w:left="720" w:hanging="360"/>
      </w:pPr>
      <w:rPr>
        <w:rFonts w:ascii="Symbol" w:hAnsi="Symbol" w:hint="default"/>
      </w:rPr>
    </w:lvl>
    <w:lvl w:ilvl="1" w:tplc="80361836">
      <w:start w:val="1"/>
      <w:numFmt w:val="lowerLetter"/>
      <w:lvlText w:val="%2."/>
      <w:lvlJc w:val="left"/>
      <w:pPr>
        <w:ind w:left="1440" w:hanging="360"/>
      </w:pPr>
    </w:lvl>
    <w:lvl w:ilvl="2" w:tplc="27346EAC">
      <w:start w:val="1"/>
      <w:numFmt w:val="lowerRoman"/>
      <w:lvlText w:val="%3."/>
      <w:lvlJc w:val="right"/>
      <w:pPr>
        <w:ind w:left="2160" w:hanging="180"/>
      </w:pPr>
    </w:lvl>
    <w:lvl w:ilvl="3" w:tplc="3F10B094">
      <w:start w:val="1"/>
      <w:numFmt w:val="decimal"/>
      <w:lvlText w:val="%4."/>
      <w:lvlJc w:val="left"/>
      <w:pPr>
        <w:ind w:left="2880" w:hanging="360"/>
      </w:pPr>
    </w:lvl>
    <w:lvl w:ilvl="4" w:tplc="9EDA7910">
      <w:start w:val="1"/>
      <w:numFmt w:val="lowerLetter"/>
      <w:lvlText w:val="%5."/>
      <w:lvlJc w:val="left"/>
      <w:pPr>
        <w:ind w:left="3600" w:hanging="360"/>
      </w:pPr>
    </w:lvl>
    <w:lvl w:ilvl="5" w:tplc="FB905932">
      <w:start w:val="1"/>
      <w:numFmt w:val="lowerRoman"/>
      <w:lvlText w:val="%6."/>
      <w:lvlJc w:val="right"/>
      <w:pPr>
        <w:ind w:left="4320" w:hanging="180"/>
      </w:pPr>
    </w:lvl>
    <w:lvl w:ilvl="6" w:tplc="3AD466E4">
      <w:start w:val="1"/>
      <w:numFmt w:val="decimal"/>
      <w:lvlText w:val="%7."/>
      <w:lvlJc w:val="left"/>
      <w:pPr>
        <w:ind w:left="5040" w:hanging="360"/>
      </w:pPr>
    </w:lvl>
    <w:lvl w:ilvl="7" w:tplc="D8B88980">
      <w:start w:val="1"/>
      <w:numFmt w:val="lowerLetter"/>
      <w:lvlText w:val="%8."/>
      <w:lvlJc w:val="left"/>
      <w:pPr>
        <w:ind w:left="5760" w:hanging="360"/>
      </w:pPr>
    </w:lvl>
    <w:lvl w:ilvl="8" w:tplc="9ED289F2">
      <w:start w:val="1"/>
      <w:numFmt w:val="lowerRoman"/>
      <w:lvlText w:val="%9."/>
      <w:lvlJc w:val="right"/>
      <w:pPr>
        <w:ind w:left="6480" w:hanging="180"/>
      </w:pPr>
    </w:lvl>
  </w:abstractNum>
  <w:abstractNum w:abstractNumId="44" w15:restartNumberingAfterBreak="0">
    <w:nsid w:val="4E7A73BF"/>
    <w:multiLevelType w:val="hybridMultilevel"/>
    <w:tmpl w:val="FFFFFFFF"/>
    <w:lvl w:ilvl="0" w:tplc="59FC6BBE">
      <w:start w:val="1"/>
      <w:numFmt w:val="bullet"/>
      <w:lvlText w:val=""/>
      <w:lvlJc w:val="left"/>
      <w:pPr>
        <w:ind w:left="720" w:hanging="360"/>
      </w:pPr>
      <w:rPr>
        <w:rFonts w:ascii="Symbol" w:hAnsi="Symbol" w:hint="default"/>
      </w:rPr>
    </w:lvl>
    <w:lvl w:ilvl="1" w:tplc="C6984A22">
      <w:start w:val="1"/>
      <w:numFmt w:val="lowerLetter"/>
      <w:lvlText w:val="%2."/>
      <w:lvlJc w:val="left"/>
      <w:pPr>
        <w:ind w:left="1440" w:hanging="360"/>
      </w:pPr>
    </w:lvl>
    <w:lvl w:ilvl="2" w:tplc="85AA620A">
      <w:start w:val="1"/>
      <w:numFmt w:val="lowerRoman"/>
      <w:lvlText w:val="%3."/>
      <w:lvlJc w:val="right"/>
      <w:pPr>
        <w:ind w:left="2160" w:hanging="180"/>
      </w:pPr>
    </w:lvl>
    <w:lvl w:ilvl="3" w:tplc="92881116">
      <w:start w:val="1"/>
      <w:numFmt w:val="decimal"/>
      <w:lvlText w:val="%4."/>
      <w:lvlJc w:val="left"/>
      <w:pPr>
        <w:ind w:left="2880" w:hanging="360"/>
      </w:pPr>
    </w:lvl>
    <w:lvl w:ilvl="4" w:tplc="D2FC87F2">
      <w:start w:val="1"/>
      <w:numFmt w:val="lowerLetter"/>
      <w:lvlText w:val="%5."/>
      <w:lvlJc w:val="left"/>
      <w:pPr>
        <w:ind w:left="3600" w:hanging="360"/>
      </w:pPr>
    </w:lvl>
    <w:lvl w:ilvl="5" w:tplc="E34A2ADC">
      <w:start w:val="1"/>
      <w:numFmt w:val="lowerRoman"/>
      <w:lvlText w:val="%6."/>
      <w:lvlJc w:val="right"/>
      <w:pPr>
        <w:ind w:left="4320" w:hanging="180"/>
      </w:pPr>
    </w:lvl>
    <w:lvl w:ilvl="6" w:tplc="B050970A">
      <w:start w:val="1"/>
      <w:numFmt w:val="decimal"/>
      <w:lvlText w:val="%7."/>
      <w:lvlJc w:val="left"/>
      <w:pPr>
        <w:ind w:left="5040" w:hanging="360"/>
      </w:pPr>
    </w:lvl>
    <w:lvl w:ilvl="7" w:tplc="06EE2AAC">
      <w:start w:val="1"/>
      <w:numFmt w:val="lowerLetter"/>
      <w:lvlText w:val="%8."/>
      <w:lvlJc w:val="left"/>
      <w:pPr>
        <w:ind w:left="5760" w:hanging="360"/>
      </w:pPr>
    </w:lvl>
    <w:lvl w:ilvl="8" w:tplc="836C4D82">
      <w:start w:val="1"/>
      <w:numFmt w:val="lowerRoman"/>
      <w:lvlText w:val="%9."/>
      <w:lvlJc w:val="right"/>
      <w:pPr>
        <w:ind w:left="6480" w:hanging="180"/>
      </w:pPr>
    </w:lvl>
  </w:abstractNum>
  <w:abstractNum w:abstractNumId="45" w15:restartNumberingAfterBreak="0">
    <w:nsid w:val="50EF2C7D"/>
    <w:multiLevelType w:val="hybridMultilevel"/>
    <w:tmpl w:val="FFFFFFFF"/>
    <w:lvl w:ilvl="0" w:tplc="F7DA0E42">
      <w:start w:val="1"/>
      <w:numFmt w:val="decimal"/>
      <w:lvlText w:val="%1."/>
      <w:lvlJc w:val="left"/>
      <w:pPr>
        <w:ind w:left="720" w:hanging="360"/>
      </w:pPr>
    </w:lvl>
    <w:lvl w:ilvl="1" w:tplc="7B8E9210">
      <w:start w:val="1"/>
      <w:numFmt w:val="lowerLetter"/>
      <w:lvlText w:val="%2."/>
      <w:lvlJc w:val="left"/>
      <w:pPr>
        <w:ind w:left="1440" w:hanging="360"/>
      </w:pPr>
    </w:lvl>
    <w:lvl w:ilvl="2" w:tplc="18582976">
      <w:start w:val="1"/>
      <w:numFmt w:val="lowerRoman"/>
      <w:lvlText w:val="%3."/>
      <w:lvlJc w:val="right"/>
      <w:pPr>
        <w:ind w:left="2160" w:hanging="180"/>
      </w:pPr>
    </w:lvl>
    <w:lvl w:ilvl="3" w:tplc="ECBA5472">
      <w:start w:val="1"/>
      <w:numFmt w:val="decimal"/>
      <w:lvlText w:val="%4."/>
      <w:lvlJc w:val="left"/>
      <w:pPr>
        <w:ind w:left="2880" w:hanging="360"/>
      </w:pPr>
    </w:lvl>
    <w:lvl w:ilvl="4" w:tplc="2CF28570">
      <w:start w:val="1"/>
      <w:numFmt w:val="lowerLetter"/>
      <w:lvlText w:val="%5."/>
      <w:lvlJc w:val="left"/>
      <w:pPr>
        <w:ind w:left="3600" w:hanging="360"/>
      </w:pPr>
    </w:lvl>
    <w:lvl w:ilvl="5" w:tplc="A33E1732">
      <w:start w:val="1"/>
      <w:numFmt w:val="lowerRoman"/>
      <w:lvlText w:val="%6."/>
      <w:lvlJc w:val="right"/>
      <w:pPr>
        <w:ind w:left="4320" w:hanging="180"/>
      </w:pPr>
    </w:lvl>
    <w:lvl w:ilvl="6" w:tplc="19507AE0">
      <w:start w:val="1"/>
      <w:numFmt w:val="decimal"/>
      <w:lvlText w:val="%7."/>
      <w:lvlJc w:val="left"/>
      <w:pPr>
        <w:ind w:left="5040" w:hanging="360"/>
      </w:pPr>
    </w:lvl>
    <w:lvl w:ilvl="7" w:tplc="806E7DB8">
      <w:start w:val="1"/>
      <w:numFmt w:val="lowerLetter"/>
      <w:lvlText w:val="%8."/>
      <w:lvlJc w:val="left"/>
      <w:pPr>
        <w:ind w:left="5760" w:hanging="360"/>
      </w:pPr>
    </w:lvl>
    <w:lvl w:ilvl="8" w:tplc="7E3EA532">
      <w:start w:val="1"/>
      <w:numFmt w:val="lowerRoman"/>
      <w:lvlText w:val="%9."/>
      <w:lvlJc w:val="right"/>
      <w:pPr>
        <w:ind w:left="6480" w:hanging="180"/>
      </w:pPr>
    </w:lvl>
  </w:abstractNum>
  <w:abstractNum w:abstractNumId="46" w15:restartNumberingAfterBreak="0">
    <w:nsid w:val="55AA21F0"/>
    <w:multiLevelType w:val="hybridMultilevel"/>
    <w:tmpl w:val="9B5CB936"/>
    <w:lvl w:ilvl="0" w:tplc="BC3E19B8">
      <w:start w:val="1"/>
      <w:numFmt w:val="decimal"/>
      <w:pStyle w:val="ACMATableHeader"/>
      <w:lvlText w:val="Table %1:"/>
      <w:lvlJc w:val="left"/>
      <w:pPr>
        <w:tabs>
          <w:tab w:val="num" w:pos="964"/>
        </w:tabs>
        <w:ind w:left="964" w:hanging="9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6221613"/>
    <w:multiLevelType w:val="hybridMultilevel"/>
    <w:tmpl w:val="FFFFFFFF"/>
    <w:lvl w:ilvl="0" w:tplc="30163F32">
      <w:start w:val="1"/>
      <w:numFmt w:val="bullet"/>
      <w:lvlText w:val=""/>
      <w:lvlJc w:val="left"/>
      <w:pPr>
        <w:ind w:left="720" w:hanging="360"/>
      </w:pPr>
      <w:rPr>
        <w:rFonts w:ascii="Symbol" w:hAnsi="Symbol" w:hint="default"/>
      </w:rPr>
    </w:lvl>
    <w:lvl w:ilvl="1" w:tplc="E994754A">
      <w:start w:val="1"/>
      <w:numFmt w:val="lowerLetter"/>
      <w:lvlText w:val="%2."/>
      <w:lvlJc w:val="left"/>
      <w:pPr>
        <w:ind w:left="1440" w:hanging="360"/>
      </w:pPr>
    </w:lvl>
    <w:lvl w:ilvl="2" w:tplc="2AFA0E3E">
      <w:start w:val="1"/>
      <w:numFmt w:val="lowerRoman"/>
      <w:lvlText w:val="%3."/>
      <w:lvlJc w:val="right"/>
      <w:pPr>
        <w:ind w:left="2160" w:hanging="180"/>
      </w:pPr>
    </w:lvl>
    <w:lvl w:ilvl="3" w:tplc="A10E2B28">
      <w:start w:val="1"/>
      <w:numFmt w:val="decimal"/>
      <w:lvlText w:val="%4."/>
      <w:lvlJc w:val="left"/>
      <w:pPr>
        <w:ind w:left="2880" w:hanging="360"/>
      </w:pPr>
    </w:lvl>
    <w:lvl w:ilvl="4" w:tplc="0EEA6CDA">
      <w:start w:val="1"/>
      <w:numFmt w:val="lowerLetter"/>
      <w:lvlText w:val="%5."/>
      <w:lvlJc w:val="left"/>
      <w:pPr>
        <w:ind w:left="3600" w:hanging="360"/>
      </w:pPr>
    </w:lvl>
    <w:lvl w:ilvl="5" w:tplc="4FA4A118">
      <w:start w:val="1"/>
      <w:numFmt w:val="lowerRoman"/>
      <w:lvlText w:val="%6."/>
      <w:lvlJc w:val="right"/>
      <w:pPr>
        <w:ind w:left="4320" w:hanging="180"/>
      </w:pPr>
    </w:lvl>
    <w:lvl w:ilvl="6" w:tplc="BD584DF8">
      <w:start w:val="1"/>
      <w:numFmt w:val="decimal"/>
      <w:lvlText w:val="%7."/>
      <w:lvlJc w:val="left"/>
      <w:pPr>
        <w:ind w:left="5040" w:hanging="360"/>
      </w:pPr>
    </w:lvl>
    <w:lvl w:ilvl="7" w:tplc="8050090E">
      <w:start w:val="1"/>
      <w:numFmt w:val="lowerLetter"/>
      <w:lvlText w:val="%8."/>
      <w:lvlJc w:val="left"/>
      <w:pPr>
        <w:ind w:left="5760" w:hanging="360"/>
      </w:pPr>
    </w:lvl>
    <w:lvl w:ilvl="8" w:tplc="9D8ECE60">
      <w:start w:val="1"/>
      <w:numFmt w:val="lowerRoman"/>
      <w:lvlText w:val="%9."/>
      <w:lvlJc w:val="right"/>
      <w:pPr>
        <w:ind w:left="6480" w:hanging="180"/>
      </w:pPr>
    </w:lvl>
  </w:abstractNum>
  <w:abstractNum w:abstractNumId="48" w15:restartNumberingAfterBreak="0">
    <w:nsid w:val="5A954D2D"/>
    <w:multiLevelType w:val="hybridMultilevel"/>
    <w:tmpl w:val="DD50C584"/>
    <w:lvl w:ilvl="0" w:tplc="0C090017">
      <w:start w:val="1"/>
      <w:numFmt w:val="lowerLetter"/>
      <w:lvlText w:val="%1)"/>
      <w:lvlJc w:val="left"/>
      <w:pPr>
        <w:ind w:left="360" w:hanging="360"/>
      </w:pPr>
    </w:lvl>
    <w:lvl w:ilvl="1" w:tplc="E444AD82">
      <w:start w:val="1"/>
      <w:numFmt w:val="lowerRoman"/>
      <w:lvlText w:val="(%2)"/>
      <w:lvlJc w:val="left"/>
      <w:pPr>
        <w:ind w:left="1080" w:hanging="360"/>
      </w:pPr>
    </w:lvl>
    <w:lvl w:ilvl="2" w:tplc="0C09001B">
      <w:start w:val="1"/>
      <w:numFmt w:val="lowerRoman"/>
      <w:lvlText w:val="%3."/>
      <w:lvlJc w:val="right"/>
      <w:pPr>
        <w:ind w:left="1800" w:hanging="180"/>
      </w:pPr>
    </w:lvl>
    <w:lvl w:ilvl="3" w:tplc="0C09000F">
      <w:start w:val="1"/>
      <w:numFmt w:val="decimal"/>
      <w:lvlText w:val="%4."/>
      <w:lvlJc w:val="left"/>
      <w:pPr>
        <w:ind w:left="2520" w:hanging="360"/>
      </w:pPr>
    </w:lvl>
    <w:lvl w:ilvl="4" w:tplc="0C090019">
      <w:start w:val="1"/>
      <w:numFmt w:val="lowerLetter"/>
      <w:lvlText w:val="%5."/>
      <w:lvlJc w:val="left"/>
      <w:pPr>
        <w:ind w:left="3240" w:hanging="360"/>
      </w:pPr>
    </w:lvl>
    <w:lvl w:ilvl="5" w:tplc="0C09001B">
      <w:start w:val="1"/>
      <w:numFmt w:val="lowerRoman"/>
      <w:lvlText w:val="%6."/>
      <w:lvlJc w:val="right"/>
      <w:pPr>
        <w:ind w:left="3960" w:hanging="180"/>
      </w:pPr>
    </w:lvl>
    <w:lvl w:ilvl="6" w:tplc="0C09000F">
      <w:start w:val="1"/>
      <w:numFmt w:val="decimal"/>
      <w:lvlText w:val="%7."/>
      <w:lvlJc w:val="left"/>
      <w:pPr>
        <w:ind w:left="4680" w:hanging="360"/>
      </w:pPr>
    </w:lvl>
    <w:lvl w:ilvl="7" w:tplc="0C090019">
      <w:start w:val="1"/>
      <w:numFmt w:val="lowerLetter"/>
      <w:lvlText w:val="%8."/>
      <w:lvlJc w:val="left"/>
      <w:pPr>
        <w:ind w:left="5400" w:hanging="360"/>
      </w:pPr>
    </w:lvl>
    <w:lvl w:ilvl="8" w:tplc="0C09001B">
      <w:start w:val="1"/>
      <w:numFmt w:val="lowerRoman"/>
      <w:lvlText w:val="%9."/>
      <w:lvlJc w:val="right"/>
      <w:pPr>
        <w:ind w:left="6120" w:hanging="180"/>
      </w:pPr>
    </w:lvl>
  </w:abstractNum>
  <w:abstractNum w:abstractNumId="49" w15:restartNumberingAfterBreak="0">
    <w:nsid w:val="5B96565A"/>
    <w:multiLevelType w:val="hybridMultilevel"/>
    <w:tmpl w:val="FFFFFFFF"/>
    <w:lvl w:ilvl="0" w:tplc="1D4060E6">
      <w:start w:val="1"/>
      <w:numFmt w:val="bullet"/>
      <w:lvlText w:val=""/>
      <w:lvlJc w:val="left"/>
      <w:pPr>
        <w:ind w:left="720" w:hanging="360"/>
      </w:pPr>
      <w:rPr>
        <w:rFonts w:ascii="Symbol" w:hAnsi="Symbol" w:hint="default"/>
      </w:rPr>
    </w:lvl>
    <w:lvl w:ilvl="1" w:tplc="DCE038BC">
      <w:start w:val="1"/>
      <w:numFmt w:val="lowerLetter"/>
      <w:lvlText w:val="%2."/>
      <w:lvlJc w:val="left"/>
      <w:pPr>
        <w:ind w:left="1440" w:hanging="360"/>
      </w:pPr>
    </w:lvl>
    <w:lvl w:ilvl="2" w:tplc="EC1439BE">
      <w:start w:val="1"/>
      <w:numFmt w:val="lowerRoman"/>
      <w:lvlText w:val="%3."/>
      <w:lvlJc w:val="right"/>
      <w:pPr>
        <w:ind w:left="2160" w:hanging="180"/>
      </w:pPr>
    </w:lvl>
    <w:lvl w:ilvl="3" w:tplc="947E17A6">
      <w:start w:val="1"/>
      <w:numFmt w:val="decimal"/>
      <w:lvlText w:val="%4."/>
      <w:lvlJc w:val="left"/>
      <w:pPr>
        <w:ind w:left="2880" w:hanging="360"/>
      </w:pPr>
    </w:lvl>
    <w:lvl w:ilvl="4" w:tplc="A1D2A2F4">
      <w:start w:val="1"/>
      <w:numFmt w:val="lowerLetter"/>
      <w:lvlText w:val="%5."/>
      <w:lvlJc w:val="left"/>
      <w:pPr>
        <w:ind w:left="3600" w:hanging="360"/>
      </w:pPr>
    </w:lvl>
    <w:lvl w:ilvl="5" w:tplc="D4ECF27C">
      <w:start w:val="1"/>
      <w:numFmt w:val="lowerRoman"/>
      <w:lvlText w:val="%6."/>
      <w:lvlJc w:val="right"/>
      <w:pPr>
        <w:ind w:left="4320" w:hanging="180"/>
      </w:pPr>
    </w:lvl>
    <w:lvl w:ilvl="6" w:tplc="0D7006A8">
      <w:start w:val="1"/>
      <w:numFmt w:val="decimal"/>
      <w:lvlText w:val="%7."/>
      <w:lvlJc w:val="left"/>
      <w:pPr>
        <w:ind w:left="5040" w:hanging="360"/>
      </w:pPr>
    </w:lvl>
    <w:lvl w:ilvl="7" w:tplc="C060C2A2">
      <w:start w:val="1"/>
      <w:numFmt w:val="lowerLetter"/>
      <w:lvlText w:val="%8."/>
      <w:lvlJc w:val="left"/>
      <w:pPr>
        <w:ind w:left="5760" w:hanging="360"/>
      </w:pPr>
    </w:lvl>
    <w:lvl w:ilvl="8" w:tplc="6B5AEFA8">
      <w:start w:val="1"/>
      <w:numFmt w:val="lowerRoman"/>
      <w:lvlText w:val="%9."/>
      <w:lvlJc w:val="right"/>
      <w:pPr>
        <w:ind w:left="6480" w:hanging="180"/>
      </w:pPr>
    </w:lvl>
  </w:abstractNum>
  <w:abstractNum w:abstractNumId="50" w15:restartNumberingAfterBreak="0">
    <w:nsid w:val="5C18441C"/>
    <w:multiLevelType w:val="hybridMultilevel"/>
    <w:tmpl w:val="7758CB28"/>
    <w:lvl w:ilvl="0" w:tplc="FE9EAA6A">
      <w:start w:val="1"/>
      <w:numFmt w:val="bullet"/>
      <w:lvlText w:val="&gt;"/>
      <w:lvlJc w:val="left"/>
      <w:pPr>
        <w:ind w:left="360" w:hanging="360"/>
      </w:pPr>
      <w:rPr>
        <w:rFonts w:ascii="Vrinda" w:hAnsi="Vrinda" w:hint="default"/>
        <w:b w:val="0"/>
        <w:sz w:val="20"/>
        <w:szCs w:val="20"/>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1" w15:restartNumberingAfterBreak="0">
    <w:nsid w:val="5D973D2A"/>
    <w:multiLevelType w:val="hybridMultilevel"/>
    <w:tmpl w:val="FFFFFFFF"/>
    <w:lvl w:ilvl="0" w:tplc="5314B470">
      <w:start w:val="1"/>
      <w:numFmt w:val="bullet"/>
      <w:lvlText w:val=""/>
      <w:lvlJc w:val="left"/>
      <w:pPr>
        <w:ind w:left="720" w:hanging="360"/>
      </w:pPr>
      <w:rPr>
        <w:rFonts w:ascii="Symbol" w:hAnsi="Symbol" w:hint="default"/>
      </w:rPr>
    </w:lvl>
    <w:lvl w:ilvl="1" w:tplc="E50CBC94">
      <w:start w:val="1"/>
      <w:numFmt w:val="lowerLetter"/>
      <w:lvlText w:val="%2."/>
      <w:lvlJc w:val="left"/>
      <w:pPr>
        <w:ind w:left="1440" w:hanging="360"/>
      </w:pPr>
    </w:lvl>
    <w:lvl w:ilvl="2" w:tplc="F3A21BC8">
      <w:start w:val="1"/>
      <w:numFmt w:val="lowerRoman"/>
      <w:lvlText w:val="%3."/>
      <w:lvlJc w:val="right"/>
      <w:pPr>
        <w:ind w:left="2160" w:hanging="180"/>
      </w:pPr>
    </w:lvl>
    <w:lvl w:ilvl="3" w:tplc="3F40E05A">
      <w:start w:val="1"/>
      <w:numFmt w:val="decimal"/>
      <w:lvlText w:val="%4."/>
      <w:lvlJc w:val="left"/>
      <w:pPr>
        <w:ind w:left="2880" w:hanging="360"/>
      </w:pPr>
    </w:lvl>
    <w:lvl w:ilvl="4" w:tplc="86F61694">
      <w:start w:val="1"/>
      <w:numFmt w:val="lowerLetter"/>
      <w:lvlText w:val="%5."/>
      <w:lvlJc w:val="left"/>
      <w:pPr>
        <w:ind w:left="3600" w:hanging="360"/>
      </w:pPr>
    </w:lvl>
    <w:lvl w:ilvl="5" w:tplc="91C0E5A8">
      <w:start w:val="1"/>
      <w:numFmt w:val="lowerRoman"/>
      <w:lvlText w:val="%6."/>
      <w:lvlJc w:val="right"/>
      <w:pPr>
        <w:ind w:left="4320" w:hanging="180"/>
      </w:pPr>
    </w:lvl>
    <w:lvl w:ilvl="6" w:tplc="06CC2526">
      <w:start w:val="1"/>
      <w:numFmt w:val="decimal"/>
      <w:lvlText w:val="%7."/>
      <w:lvlJc w:val="left"/>
      <w:pPr>
        <w:ind w:left="5040" w:hanging="360"/>
      </w:pPr>
    </w:lvl>
    <w:lvl w:ilvl="7" w:tplc="92623F7C">
      <w:start w:val="1"/>
      <w:numFmt w:val="lowerLetter"/>
      <w:lvlText w:val="%8."/>
      <w:lvlJc w:val="left"/>
      <w:pPr>
        <w:ind w:left="5760" w:hanging="360"/>
      </w:pPr>
    </w:lvl>
    <w:lvl w:ilvl="8" w:tplc="EB2CA9D0">
      <w:start w:val="1"/>
      <w:numFmt w:val="lowerRoman"/>
      <w:lvlText w:val="%9."/>
      <w:lvlJc w:val="right"/>
      <w:pPr>
        <w:ind w:left="6480" w:hanging="180"/>
      </w:pPr>
    </w:lvl>
  </w:abstractNum>
  <w:abstractNum w:abstractNumId="52" w15:restartNumberingAfterBreak="0">
    <w:nsid w:val="5DAA0C14"/>
    <w:multiLevelType w:val="hybridMultilevel"/>
    <w:tmpl w:val="FFFFFFFF"/>
    <w:lvl w:ilvl="0" w:tplc="251E6D2A">
      <w:start w:val="1"/>
      <w:numFmt w:val="bullet"/>
      <w:lvlText w:val=""/>
      <w:lvlJc w:val="left"/>
      <w:pPr>
        <w:ind w:left="720" w:hanging="360"/>
      </w:pPr>
      <w:rPr>
        <w:rFonts w:ascii="Symbol" w:hAnsi="Symbol" w:hint="default"/>
      </w:rPr>
    </w:lvl>
    <w:lvl w:ilvl="1" w:tplc="4F5AB898">
      <w:start w:val="1"/>
      <w:numFmt w:val="lowerLetter"/>
      <w:lvlText w:val="%2."/>
      <w:lvlJc w:val="left"/>
      <w:pPr>
        <w:ind w:left="1440" w:hanging="360"/>
      </w:pPr>
    </w:lvl>
    <w:lvl w:ilvl="2" w:tplc="57A8512C">
      <w:start w:val="1"/>
      <w:numFmt w:val="lowerRoman"/>
      <w:lvlText w:val="%3."/>
      <w:lvlJc w:val="right"/>
      <w:pPr>
        <w:ind w:left="2160" w:hanging="180"/>
      </w:pPr>
    </w:lvl>
    <w:lvl w:ilvl="3" w:tplc="8EB2E274">
      <w:start w:val="1"/>
      <w:numFmt w:val="decimal"/>
      <w:lvlText w:val="%4."/>
      <w:lvlJc w:val="left"/>
      <w:pPr>
        <w:ind w:left="2880" w:hanging="360"/>
      </w:pPr>
    </w:lvl>
    <w:lvl w:ilvl="4" w:tplc="25F6BD9E">
      <w:start w:val="1"/>
      <w:numFmt w:val="lowerLetter"/>
      <w:lvlText w:val="%5."/>
      <w:lvlJc w:val="left"/>
      <w:pPr>
        <w:ind w:left="3600" w:hanging="360"/>
      </w:pPr>
    </w:lvl>
    <w:lvl w:ilvl="5" w:tplc="005AF412">
      <w:start w:val="1"/>
      <w:numFmt w:val="lowerRoman"/>
      <w:lvlText w:val="%6."/>
      <w:lvlJc w:val="right"/>
      <w:pPr>
        <w:ind w:left="4320" w:hanging="180"/>
      </w:pPr>
    </w:lvl>
    <w:lvl w:ilvl="6" w:tplc="FE8CF26E">
      <w:start w:val="1"/>
      <w:numFmt w:val="decimal"/>
      <w:lvlText w:val="%7."/>
      <w:lvlJc w:val="left"/>
      <w:pPr>
        <w:ind w:left="5040" w:hanging="360"/>
      </w:pPr>
    </w:lvl>
    <w:lvl w:ilvl="7" w:tplc="22AEEC8E">
      <w:start w:val="1"/>
      <w:numFmt w:val="lowerLetter"/>
      <w:lvlText w:val="%8."/>
      <w:lvlJc w:val="left"/>
      <w:pPr>
        <w:ind w:left="5760" w:hanging="360"/>
      </w:pPr>
    </w:lvl>
    <w:lvl w:ilvl="8" w:tplc="C6DA2DBE">
      <w:start w:val="1"/>
      <w:numFmt w:val="lowerRoman"/>
      <w:lvlText w:val="%9."/>
      <w:lvlJc w:val="right"/>
      <w:pPr>
        <w:ind w:left="6480" w:hanging="180"/>
      </w:pPr>
    </w:lvl>
  </w:abstractNum>
  <w:abstractNum w:abstractNumId="53" w15:restartNumberingAfterBreak="0">
    <w:nsid w:val="60BA17F9"/>
    <w:multiLevelType w:val="hybridMultilevel"/>
    <w:tmpl w:val="FFFFFFFF"/>
    <w:lvl w:ilvl="0" w:tplc="9B70A862">
      <w:start w:val="1"/>
      <w:numFmt w:val="bullet"/>
      <w:lvlText w:val=""/>
      <w:lvlJc w:val="left"/>
      <w:pPr>
        <w:ind w:left="720" w:hanging="360"/>
      </w:pPr>
      <w:rPr>
        <w:rFonts w:ascii="Symbol" w:hAnsi="Symbol" w:hint="default"/>
      </w:rPr>
    </w:lvl>
    <w:lvl w:ilvl="1" w:tplc="31CA73CA">
      <w:start w:val="1"/>
      <w:numFmt w:val="lowerLetter"/>
      <w:lvlText w:val="%2."/>
      <w:lvlJc w:val="left"/>
      <w:pPr>
        <w:ind w:left="1440" w:hanging="360"/>
      </w:pPr>
    </w:lvl>
    <w:lvl w:ilvl="2" w:tplc="82E28F30">
      <w:start w:val="1"/>
      <w:numFmt w:val="lowerRoman"/>
      <w:lvlText w:val="%3."/>
      <w:lvlJc w:val="right"/>
      <w:pPr>
        <w:ind w:left="2160" w:hanging="180"/>
      </w:pPr>
    </w:lvl>
    <w:lvl w:ilvl="3" w:tplc="95BA8950">
      <w:start w:val="1"/>
      <w:numFmt w:val="decimal"/>
      <w:lvlText w:val="%4."/>
      <w:lvlJc w:val="left"/>
      <w:pPr>
        <w:ind w:left="2880" w:hanging="360"/>
      </w:pPr>
    </w:lvl>
    <w:lvl w:ilvl="4" w:tplc="60BEE032">
      <w:start w:val="1"/>
      <w:numFmt w:val="lowerLetter"/>
      <w:lvlText w:val="%5."/>
      <w:lvlJc w:val="left"/>
      <w:pPr>
        <w:ind w:left="3600" w:hanging="360"/>
      </w:pPr>
    </w:lvl>
    <w:lvl w:ilvl="5" w:tplc="69DCABEE">
      <w:start w:val="1"/>
      <w:numFmt w:val="lowerRoman"/>
      <w:lvlText w:val="%6."/>
      <w:lvlJc w:val="right"/>
      <w:pPr>
        <w:ind w:left="4320" w:hanging="180"/>
      </w:pPr>
    </w:lvl>
    <w:lvl w:ilvl="6" w:tplc="416A0686">
      <w:start w:val="1"/>
      <w:numFmt w:val="decimal"/>
      <w:lvlText w:val="%7."/>
      <w:lvlJc w:val="left"/>
      <w:pPr>
        <w:ind w:left="5040" w:hanging="360"/>
      </w:pPr>
    </w:lvl>
    <w:lvl w:ilvl="7" w:tplc="B28C5BD4">
      <w:start w:val="1"/>
      <w:numFmt w:val="lowerLetter"/>
      <w:lvlText w:val="%8."/>
      <w:lvlJc w:val="left"/>
      <w:pPr>
        <w:ind w:left="5760" w:hanging="360"/>
      </w:pPr>
    </w:lvl>
    <w:lvl w:ilvl="8" w:tplc="49C0DF16">
      <w:start w:val="1"/>
      <w:numFmt w:val="lowerRoman"/>
      <w:lvlText w:val="%9."/>
      <w:lvlJc w:val="right"/>
      <w:pPr>
        <w:ind w:left="6480" w:hanging="180"/>
      </w:pPr>
    </w:lvl>
  </w:abstractNum>
  <w:abstractNum w:abstractNumId="54" w15:restartNumberingAfterBreak="0">
    <w:nsid w:val="614028CE"/>
    <w:multiLevelType w:val="hybridMultilevel"/>
    <w:tmpl w:val="55F03F30"/>
    <w:lvl w:ilvl="0" w:tplc="FE9EAA6A">
      <w:start w:val="1"/>
      <w:numFmt w:val="bullet"/>
      <w:lvlText w:val="&gt;"/>
      <w:lvlJc w:val="left"/>
      <w:pPr>
        <w:ind w:left="720" w:hanging="360"/>
      </w:pPr>
      <w:rPr>
        <w:rFonts w:ascii="Vrinda" w:hAnsi="Vrinda" w:hint="default"/>
        <w:b w:val="0"/>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5" w15:restartNumberingAfterBreak="0">
    <w:nsid w:val="63C30333"/>
    <w:multiLevelType w:val="hybridMultilevel"/>
    <w:tmpl w:val="A5FC2D54"/>
    <w:lvl w:ilvl="0" w:tplc="65EA47EC">
      <w:start w:val="1"/>
      <w:numFmt w:val="decimal"/>
      <w:pStyle w:val="Captionfigure"/>
      <w:lvlText w:val="Figure %1:"/>
      <w:lvlJc w:val="left"/>
      <w:pPr>
        <w:tabs>
          <w:tab w:val="num" w:pos="1021"/>
        </w:tabs>
        <w:ind w:left="1021" w:hanging="1021"/>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4333B17"/>
    <w:multiLevelType w:val="hybridMultilevel"/>
    <w:tmpl w:val="FFFFFFFF"/>
    <w:lvl w:ilvl="0" w:tplc="48043220">
      <w:start w:val="1"/>
      <w:numFmt w:val="bullet"/>
      <w:lvlText w:val="·"/>
      <w:lvlJc w:val="left"/>
      <w:pPr>
        <w:ind w:left="720" w:hanging="360"/>
      </w:pPr>
      <w:rPr>
        <w:rFonts w:ascii="Symbol" w:hAnsi="Symbol" w:hint="default"/>
      </w:rPr>
    </w:lvl>
    <w:lvl w:ilvl="1" w:tplc="5DF4CEBA">
      <w:start w:val="1"/>
      <w:numFmt w:val="bullet"/>
      <w:lvlText w:val="o"/>
      <w:lvlJc w:val="left"/>
      <w:pPr>
        <w:ind w:left="1440" w:hanging="360"/>
      </w:pPr>
      <w:rPr>
        <w:rFonts w:ascii="Courier New" w:hAnsi="Courier New" w:hint="default"/>
      </w:rPr>
    </w:lvl>
    <w:lvl w:ilvl="2" w:tplc="3A1480E2">
      <w:start w:val="1"/>
      <w:numFmt w:val="bullet"/>
      <w:lvlText w:val=""/>
      <w:lvlJc w:val="left"/>
      <w:pPr>
        <w:ind w:left="2160" w:hanging="360"/>
      </w:pPr>
      <w:rPr>
        <w:rFonts w:ascii="Wingdings" w:hAnsi="Wingdings" w:hint="default"/>
      </w:rPr>
    </w:lvl>
    <w:lvl w:ilvl="3" w:tplc="F28ECE50">
      <w:start w:val="1"/>
      <w:numFmt w:val="bullet"/>
      <w:lvlText w:val=""/>
      <w:lvlJc w:val="left"/>
      <w:pPr>
        <w:ind w:left="2880" w:hanging="360"/>
      </w:pPr>
      <w:rPr>
        <w:rFonts w:ascii="Symbol" w:hAnsi="Symbol" w:hint="default"/>
      </w:rPr>
    </w:lvl>
    <w:lvl w:ilvl="4" w:tplc="65E47016">
      <w:start w:val="1"/>
      <w:numFmt w:val="bullet"/>
      <w:lvlText w:val="o"/>
      <w:lvlJc w:val="left"/>
      <w:pPr>
        <w:ind w:left="3600" w:hanging="360"/>
      </w:pPr>
      <w:rPr>
        <w:rFonts w:ascii="Courier New" w:hAnsi="Courier New" w:hint="default"/>
      </w:rPr>
    </w:lvl>
    <w:lvl w:ilvl="5" w:tplc="8ACC3A84">
      <w:start w:val="1"/>
      <w:numFmt w:val="bullet"/>
      <w:lvlText w:val=""/>
      <w:lvlJc w:val="left"/>
      <w:pPr>
        <w:ind w:left="4320" w:hanging="360"/>
      </w:pPr>
      <w:rPr>
        <w:rFonts w:ascii="Wingdings" w:hAnsi="Wingdings" w:hint="default"/>
      </w:rPr>
    </w:lvl>
    <w:lvl w:ilvl="6" w:tplc="64DCD46E">
      <w:start w:val="1"/>
      <w:numFmt w:val="bullet"/>
      <w:lvlText w:val=""/>
      <w:lvlJc w:val="left"/>
      <w:pPr>
        <w:ind w:left="5040" w:hanging="360"/>
      </w:pPr>
      <w:rPr>
        <w:rFonts w:ascii="Symbol" w:hAnsi="Symbol" w:hint="default"/>
      </w:rPr>
    </w:lvl>
    <w:lvl w:ilvl="7" w:tplc="08E80E8A">
      <w:start w:val="1"/>
      <w:numFmt w:val="bullet"/>
      <w:lvlText w:val="o"/>
      <w:lvlJc w:val="left"/>
      <w:pPr>
        <w:ind w:left="5760" w:hanging="360"/>
      </w:pPr>
      <w:rPr>
        <w:rFonts w:ascii="Courier New" w:hAnsi="Courier New" w:hint="default"/>
      </w:rPr>
    </w:lvl>
    <w:lvl w:ilvl="8" w:tplc="407091DE">
      <w:start w:val="1"/>
      <w:numFmt w:val="bullet"/>
      <w:lvlText w:val=""/>
      <w:lvlJc w:val="left"/>
      <w:pPr>
        <w:ind w:left="6480" w:hanging="360"/>
      </w:pPr>
      <w:rPr>
        <w:rFonts w:ascii="Wingdings" w:hAnsi="Wingdings" w:hint="default"/>
      </w:rPr>
    </w:lvl>
  </w:abstractNum>
  <w:abstractNum w:abstractNumId="57" w15:restartNumberingAfterBreak="0">
    <w:nsid w:val="65071478"/>
    <w:multiLevelType w:val="hybridMultilevel"/>
    <w:tmpl w:val="16D2B96E"/>
    <w:lvl w:ilvl="0" w:tplc="3A9CF91A">
      <w:start w:val="1"/>
      <w:numFmt w:val="decimal"/>
      <w:pStyle w:val="ACMAFigureHeader"/>
      <w:lvlText w:val="Figure %1: "/>
      <w:lvlJc w:val="left"/>
      <w:pPr>
        <w:tabs>
          <w:tab w:val="num" w:pos="1021"/>
        </w:tabs>
        <w:ind w:left="1021" w:hanging="1021"/>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6650ADA"/>
    <w:multiLevelType w:val="hybridMultilevel"/>
    <w:tmpl w:val="04268D6C"/>
    <w:lvl w:ilvl="0" w:tplc="D5688462">
      <w:start w:val="1"/>
      <w:numFmt w:val="bullet"/>
      <w:lvlText w:val="&gt;"/>
      <w:lvlJc w:val="left"/>
      <w:pPr>
        <w:ind w:left="720" w:hanging="360"/>
      </w:pPr>
      <w:rPr>
        <w:rFonts w:ascii="HelveticaNeueLT Std Lt" w:hAnsi="HelveticaNeueLT Std Lt" w:hint="default"/>
      </w:rPr>
    </w:lvl>
    <w:lvl w:ilvl="1" w:tplc="486EFE74">
      <w:start w:val="1"/>
      <w:numFmt w:val="bullet"/>
      <w:lvlText w:val="o"/>
      <w:lvlJc w:val="left"/>
      <w:pPr>
        <w:ind w:left="1440" w:hanging="360"/>
      </w:pPr>
      <w:rPr>
        <w:rFonts w:ascii="Courier New" w:hAnsi="Courier New" w:hint="default"/>
      </w:rPr>
    </w:lvl>
    <w:lvl w:ilvl="2" w:tplc="48B0FA08">
      <w:start w:val="1"/>
      <w:numFmt w:val="bullet"/>
      <w:lvlText w:val=""/>
      <w:lvlJc w:val="left"/>
      <w:pPr>
        <w:ind w:left="2160" w:hanging="360"/>
      </w:pPr>
      <w:rPr>
        <w:rFonts w:ascii="Wingdings" w:hAnsi="Wingdings" w:hint="default"/>
      </w:rPr>
    </w:lvl>
    <w:lvl w:ilvl="3" w:tplc="AA669C5E">
      <w:start w:val="1"/>
      <w:numFmt w:val="bullet"/>
      <w:lvlText w:val=""/>
      <w:lvlJc w:val="left"/>
      <w:pPr>
        <w:ind w:left="2880" w:hanging="360"/>
      </w:pPr>
      <w:rPr>
        <w:rFonts w:ascii="Symbol" w:hAnsi="Symbol" w:hint="default"/>
      </w:rPr>
    </w:lvl>
    <w:lvl w:ilvl="4" w:tplc="40C64752">
      <w:start w:val="1"/>
      <w:numFmt w:val="bullet"/>
      <w:lvlText w:val="o"/>
      <w:lvlJc w:val="left"/>
      <w:pPr>
        <w:ind w:left="3600" w:hanging="360"/>
      </w:pPr>
      <w:rPr>
        <w:rFonts w:ascii="Courier New" w:hAnsi="Courier New" w:hint="default"/>
      </w:rPr>
    </w:lvl>
    <w:lvl w:ilvl="5" w:tplc="700E407C">
      <w:start w:val="1"/>
      <w:numFmt w:val="bullet"/>
      <w:lvlText w:val=""/>
      <w:lvlJc w:val="left"/>
      <w:pPr>
        <w:ind w:left="4320" w:hanging="360"/>
      </w:pPr>
      <w:rPr>
        <w:rFonts w:ascii="Wingdings" w:hAnsi="Wingdings" w:hint="default"/>
      </w:rPr>
    </w:lvl>
    <w:lvl w:ilvl="6" w:tplc="2E6097F8">
      <w:start w:val="1"/>
      <w:numFmt w:val="bullet"/>
      <w:lvlText w:val=""/>
      <w:lvlJc w:val="left"/>
      <w:pPr>
        <w:ind w:left="5040" w:hanging="360"/>
      </w:pPr>
      <w:rPr>
        <w:rFonts w:ascii="Symbol" w:hAnsi="Symbol" w:hint="default"/>
      </w:rPr>
    </w:lvl>
    <w:lvl w:ilvl="7" w:tplc="8E447166">
      <w:start w:val="1"/>
      <w:numFmt w:val="bullet"/>
      <w:lvlText w:val="o"/>
      <w:lvlJc w:val="left"/>
      <w:pPr>
        <w:ind w:left="5760" w:hanging="360"/>
      </w:pPr>
      <w:rPr>
        <w:rFonts w:ascii="Courier New" w:hAnsi="Courier New" w:hint="default"/>
      </w:rPr>
    </w:lvl>
    <w:lvl w:ilvl="8" w:tplc="CDE2D0B8">
      <w:start w:val="1"/>
      <w:numFmt w:val="bullet"/>
      <w:lvlText w:val=""/>
      <w:lvlJc w:val="left"/>
      <w:pPr>
        <w:ind w:left="6480" w:hanging="360"/>
      </w:pPr>
      <w:rPr>
        <w:rFonts w:ascii="Wingdings" w:hAnsi="Wingdings" w:hint="default"/>
      </w:rPr>
    </w:lvl>
  </w:abstractNum>
  <w:abstractNum w:abstractNumId="59" w15:restartNumberingAfterBreak="0">
    <w:nsid w:val="69FF3580"/>
    <w:multiLevelType w:val="hybridMultilevel"/>
    <w:tmpl w:val="4CBA056A"/>
    <w:lvl w:ilvl="0" w:tplc="F96658F2">
      <w:start w:val="1"/>
      <w:numFmt w:val="decimal"/>
      <w:lvlText w:val="Table %1"/>
      <w:lvlJc w:val="left"/>
      <w:pPr>
        <w:ind w:left="720" w:hanging="360"/>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0" w15:restartNumberingAfterBreak="0">
    <w:nsid w:val="6B5D1A07"/>
    <w:multiLevelType w:val="hybridMultilevel"/>
    <w:tmpl w:val="FFFFFFFF"/>
    <w:lvl w:ilvl="0" w:tplc="8E06F2BC">
      <w:start w:val="1"/>
      <w:numFmt w:val="bullet"/>
      <w:lvlText w:val="&gt;"/>
      <w:lvlJc w:val="left"/>
      <w:pPr>
        <w:ind w:left="720" w:hanging="360"/>
      </w:pPr>
      <w:rPr>
        <w:rFonts w:ascii="Arial" w:hAnsi="Arial" w:hint="default"/>
      </w:rPr>
    </w:lvl>
    <w:lvl w:ilvl="1" w:tplc="9A4A8D8E">
      <w:start w:val="1"/>
      <w:numFmt w:val="bullet"/>
      <w:lvlText w:val="o"/>
      <w:lvlJc w:val="left"/>
      <w:pPr>
        <w:ind w:left="1440" w:hanging="360"/>
      </w:pPr>
      <w:rPr>
        <w:rFonts w:ascii="Courier New" w:hAnsi="Courier New" w:hint="default"/>
      </w:rPr>
    </w:lvl>
    <w:lvl w:ilvl="2" w:tplc="23CCD18E">
      <w:start w:val="1"/>
      <w:numFmt w:val="bullet"/>
      <w:lvlText w:val=""/>
      <w:lvlJc w:val="left"/>
      <w:pPr>
        <w:ind w:left="2160" w:hanging="360"/>
      </w:pPr>
      <w:rPr>
        <w:rFonts w:ascii="Wingdings" w:hAnsi="Wingdings" w:hint="default"/>
      </w:rPr>
    </w:lvl>
    <w:lvl w:ilvl="3" w:tplc="D4ECF660">
      <w:start w:val="1"/>
      <w:numFmt w:val="bullet"/>
      <w:lvlText w:val=""/>
      <w:lvlJc w:val="left"/>
      <w:pPr>
        <w:ind w:left="2880" w:hanging="360"/>
      </w:pPr>
      <w:rPr>
        <w:rFonts w:ascii="Symbol" w:hAnsi="Symbol" w:hint="default"/>
      </w:rPr>
    </w:lvl>
    <w:lvl w:ilvl="4" w:tplc="45C02584">
      <w:start w:val="1"/>
      <w:numFmt w:val="bullet"/>
      <w:lvlText w:val="o"/>
      <w:lvlJc w:val="left"/>
      <w:pPr>
        <w:ind w:left="3600" w:hanging="360"/>
      </w:pPr>
      <w:rPr>
        <w:rFonts w:ascii="Courier New" w:hAnsi="Courier New" w:hint="default"/>
      </w:rPr>
    </w:lvl>
    <w:lvl w:ilvl="5" w:tplc="801AD602">
      <w:start w:val="1"/>
      <w:numFmt w:val="bullet"/>
      <w:lvlText w:val=""/>
      <w:lvlJc w:val="left"/>
      <w:pPr>
        <w:ind w:left="4320" w:hanging="360"/>
      </w:pPr>
      <w:rPr>
        <w:rFonts w:ascii="Wingdings" w:hAnsi="Wingdings" w:hint="default"/>
      </w:rPr>
    </w:lvl>
    <w:lvl w:ilvl="6" w:tplc="A4A0108C">
      <w:start w:val="1"/>
      <w:numFmt w:val="bullet"/>
      <w:lvlText w:val=""/>
      <w:lvlJc w:val="left"/>
      <w:pPr>
        <w:ind w:left="5040" w:hanging="360"/>
      </w:pPr>
      <w:rPr>
        <w:rFonts w:ascii="Symbol" w:hAnsi="Symbol" w:hint="default"/>
      </w:rPr>
    </w:lvl>
    <w:lvl w:ilvl="7" w:tplc="4686F620">
      <w:start w:val="1"/>
      <w:numFmt w:val="bullet"/>
      <w:lvlText w:val="o"/>
      <w:lvlJc w:val="left"/>
      <w:pPr>
        <w:ind w:left="5760" w:hanging="360"/>
      </w:pPr>
      <w:rPr>
        <w:rFonts w:ascii="Courier New" w:hAnsi="Courier New" w:hint="default"/>
      </w:rPr>
    </w:lvl>
    <w:lvl w:ilvl="8" w:tplc="DA2087AA">
      <w:start w:val="1"/>
      <w:numFmt w:val="bullet"/>
      <w:lvlText w:val=""/>
      <w:lvlJc w:val="left"/>
      <w:pPr>
        <w:ind w:left="6480" w:hanging="360"/>
      </w:pPr>
      <w:rPr>
        <w:rFonts w:ascii="Wingdings" w:hAnsi="Wingdings" w:hint="default"/>
      </w:rPr>
    </w:lvl>
  </w:abstractNum>
  <w:abstractNum w:abstractNumId="61" w15:restartNumberingAfterBreak="0">
    <w:nsid w:val="6D757AE6"/>
    <w:multiLevelType w:val="hybridMultilevel"/>
    <w:tmpl w:val="4BAEE1E2"/>
    <w:lvl w:ilvl="0" w:tplc="0DA4929C">
      <w:start w:val="1"/>
      <w:numFmt w:val="decimal"/>
      <w:pStyle w:val="Caption"/>
      <w:lvlText w:val="Table %1:"/>
      <w:lvlJc w:val="left"/>
      <w:pPr>
        <w:tabs>
          <w:tab w:val="num" w:pos="964"/>
        </w:tabs>
        <w:ind w:left="964" w:hanging="9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FF30932"/>
    <w:multiLevelType w:val="hybridMultilevel"/>
    <w:tmpl w:val="FFFFFFFF"/>
    <w:lvl w:ilvl="0" w:tplc="E4C86C86">
      <w:start w:val="1"/>
      <w:numFmt w:val="bullet"/>
      <w:lvlText w:val=""/>
      <w:lvlJc w:val="left"/>
      <w:pPr>
        <w:ind w:left="720" w:hanging="360"/>
      </w:pPr>
      <w:rPr>
        <w:rFonts w:ascii="Symbol" w:hAnsi="Symbol" w:hint="default"/>
      </w:rPr>
    </w:lvl>
    <w:lvl w:ilvl="1" w:tplc="AAAAB768">
      <w:start w:val="1"/>
      <w:numFmt w:val="lowerLetter"/>
      <w:lvlText w:val="%2."/>
      <w:lvlJc w:val="left"/>
      <w:pPr>
        <w:ind w:left="1440" w:hanging="360"/>
      </w:pPr>
    </w:lvl>
    <w:lvl w:ilvl="2" w:tplc="9792477A">
      <w:start w:val="1"/>
      <w:numFmt w:val="lowerRoman"/>
      <w:lvlText w:val="%3."/>
      <w:lvlJc w:val="right"/>
      <w:pPr>
        <w:ind w:left="2160" w:hanging="180"/>
      </w:pPr>
    </w:lvl>
    <w:lvl w:ilvl="3" w:tplc="8BAA77CC">
      <w:start w:val="1"/>
      <w:numFmt w:val="decimal"/>
      <w:lvlText w:val="%4."/>
      <w:lvlJc w:val="left"/>
      <w:pPr>
        <w:ind w:left="2880" w:hanging="360"/>
      </w:pPr>
    </w:lvl>
    <w:lvl w:ilvl="4" w:tplc="63B233EA">
      <w:start w:val="1"/>
      <w:numFmt w:val="lowerLetter"/>
      <w:lvlText w:val="%5."/>
      <w:lvlJc w:val="left"/>
      <w:pPr>
        <w:ind w:left="3600" w:hanging="360"/>
      </w:pPr>
    </w:lvl>
    <w:lvl w:ilvl="5" w:tplc="E490FC36">
      <w:start w:val="1"/>
      <w:numFmt w:val="lowerRoman"/>
      <w:lvlText w:val="%6."/>
      <w:lvlJc w:val="right"/>
      <w:pPr>
        <w:ind w:left="4320" w:hanging="180"/>
      </w:pPr>
    </w:lvl>
    <w:lvl w:ilvl="6" w:tplc="4C329280">
      <w:start w:val="1"/>
      <w:numFmt w:val="decimal"/>
      <w:lvlText w:val="%7."/>
      <w:lvlJc w:val="left"/>
      <w:pPr>
        <w:ind w:left="5040" w:hanging="360"/>
      </w:pPr>
    </w:lvl>
    <w:lvl w:ilvl="7" w:tplc="C40A45FC">
      <w:start w:val="1"/>
      <w:numFmt w:val="lowerLetter"/>
      <w:lvlText w:val="%8."/>
      <w:lvlJc w:val="left"/>
      <w:pPr>
        <w:ind w:left="5760" w:hanging="360"/>
      </w:pPr>
    </w:lvl>
    <w:lvl w:ilvl="8" w:tplc="6500491C">
      <w:start w:val="1"/>
      <w:numFmt w:val="lowerRoman"/>
      <w:lvlText w:val="%9."/>
      <w:lvlJc w:val="right"/>
      <w:pPr>
        <w:ind w:left="6480" w:hanging="180"/>
      </w:pPr>
    </w:lvl>
  </w:abstractNum>
  <w:abstractNum w:abstractNumId="63" w15:restartNumberingAfterBreak="0">
    <w:nsid w:val="70B80F42"/>
    <w:multiLevelType w:val="hybridMultilevel"/>
    <w:tmpl w:val="FFFFFFFF"/>
    <w:lvl w:ilvl="0" w:tplc="25605F8E">
      <w:start w:val="1"/>
      <w:numFmt w:val="bullet"/>
      <w:lvlText w:val=""/>
      <w:lvlJc w:val="left"/>
      <w:pPr>
        <w:ind w:left="720" w:hanging="360"/>
      </w:pPr>
      <w:rPr>
        <w:rFonts w:ascii="Symbol" w:hAnsi="Symbol" w:hint="default"/>
      </w:rPr>
    </w:lvl>
    <w:lvl w:ilvl="1" w:tplc="5834564E">
      <w:start w:val="1"/>
      <w:numFmt w:val="lowerLetter"/>
      <w:lvlText w:val="%2."/>
      <w:lvlJc w:val="left"/>
      <w:pPr>
        <w:ind w:left="1440" w:hanging="360"/>
      </w:pPr>
    </w:lvl>
    <w:lvl w:ilvl="2" w:tplc="7DBE737A">
      <w:start w:val="1"/>
      <w:numFmt w:val="lowerRoman"/>
      <w:lvlText w:val="%3."/>
      <w:lvlJc w:val="right"/>
      <w:pPr>
        <w:ind w:left="2160" w:hanging="180"/>
      </w:pPr>
    </w:lvl>
    <w:lvl w:ilvl="3" w:tplc="7B888FF2">
      <w:start w:val="1"/>
      <w:numFmt w:val="decimal"/>
      <w:lvlText w:val="%4."/>
      <w:lvlJc w:val="left"/>
      <w:pPr>
        <w:ind w:left="2880" w:hanging="360"/>
      </w:pPr>
    </w:lvl>
    <w:lvl w:ilvl="4" w:tplc="DD92B484">
      <w:start w:val="1"/>
      <w:numFmt w:val="lowerLetter"/>
      <w:lvlText w:val="%5."/>
      <w:lvlJc w:val="left"/>
      <w:pPr>
        <w:ind w:left="3600" w:hanging="360"/>
      </w:pPr>
    </w:lvl>
    <w:lvl w:ilvl="5" w:tplc="9F703D28">
      <w:start w:val="1"/>
      <w:numFmt w:val="lowerRoman"/>
      <w:lvlText w:val="%6."/>
      <w:lvlJc w:val="right"/>
      <w:pPr>
        <w:ind w:left="4320" w:hanging="180"/>
      </w:pPr>
    </w:lvl>
    <w:lvl w:ilvl="6" w:tplc="92C04720">
      <w:start w:val="1"/>
      <w:numFmt w:val="decimal"/>
      <w:lvlText w:val="%7."/>
      <w:lvlJc w:val="left"/>
      <w:pPr>
        <w:ind w:left="5040" w:hanging="360"/>
      </w:pPr>
    </w:lvl>
    <w:lvl w:ilvl="7" w:tplc="0E1CBDA6">
      <w:start w:val="1"/>
      <w:numFmt w:val="lowerLetter"/>
      <w:lvlText w:val="%8."/>
      <w:lvlJc w:val="left"/>
      <w:pPr>
        <w:ind w:left="5760" w:hanging="360"/>
      </w:pPr>
    </w:lvl>
    <w:lvl w:ilvl="8" w:tplc="FF420BE6">
      <w:start w:val="1"/>
      <w:numFmt w:val="lowerRoman"/>
      <w:lvlText w:val="%9."/>
      <w:lvlJc w:val="right"/>
      <w:pPr>
        <w:ind w:left="6480" w:hanging="180"/>
      </w:pPr>
    </w:lvl>
  </w:abstractNum>
  <w:abstractNum w:abstractNumId="64" w15:restartNumberingAfterBreak="0">
    <w:nsid w:val="7AAA2A27"/>
    <w:multiLevelType w:val="hybridMultilevel"/>
    <w:tmpl w:val="A554010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5" w15:restartNumberingAfterBreak="0">
    <w:nsid w:val="7BB06595"/>
    <w:multiLevelType w:val="hybridMultilevel"/>
    <w:tmpl w:val="FFFFFFFF"/>
    <w:lvl w:ilvl="0" w:tplc="8FCC1E4C">
      <w:start w:val="1"/>
      <w:numFmt w:val="bullet"/>
      <w:lvlText w:val=""/>
      <w:lvlJc w:val="left"/>
      <w:pPr>
        <w:ind w:left="720" w:hanging="360"/>
      </w:pPr>
      <w:rPr>
        <w:rFonts w:ascii="Symbol" w:hAnsi="Symbol" w:hint="default"/>
      </w:rPr>
    </w:lvl>
    <w:lvl w:ilvl="1" w:tplc="90161110">
      <w:start w:val="1"/>
      <w:numFmt w:val="lowerLetter"/>
      <w:lvlText w:val="%2."/>
      <w:lvlJc w:val="left"/>
      <w:pPr>
        <w:ind w:left="1440" w:hanging="360"/>
      </w:pPr>
    </w:lvl>
    <w:lvl w:ilvl="2" w:tplc="1668EE1C">
      <w:start w:val="1"/>
      <w:numFmt w:val="lowerRoman"/>
      <w:lvlText w:val="%3."/>
      <w:lvlJc w:val="right"/>
      <w:pPr>
        <w:ind w:left="2160" w:hanging="180"/>
      </w:pPr>
    </w:lvl>
    <w:lvl w:ilvl="3" w:tplc="700E3A1C">
      <w:start w:val="1"/>
      <w:numFmt w:val="decimal"/>
      <w:lvlText w:val="%4."/>
      <w:lvlJc w:val="left"/>
      <w:pPr>
        <w:ind w:left="2880" w:hanging="360"/>
      </w:pPr>
    </w:lvl>
    <w:lvl w:ilvl="4" w:tplc="D77A110E">
      <w:start w:val="1"/>
      <w:numFmt w:val="lowerLetter"/>
      <w:lvlText w:val="%5."/>
      <w:lvlJc w:val="left"/>
      <w:pPr>
        <w:ind w:left="3600" w:hanging="360"/>
      </w:pPr>
    </w:lvl>
    <w:lvl w:ilvl="5" w:tplc="C2F49580">
      <w:start w:val="1"/>
      <w:numFmt w:val="lowerRoman"/>
      <w:lvlText w:val="%6."/>
      <w:lvlJc w:val="right"/>
      <w:pPr>
        <w:ind w:left="4320" w:hanging="180"/>
      </w:pPr>
    </w:lvl>
    <w:lvl w:ilvl="6" w:tplc="F0464492">
      <w:start w:val="1"/>
      <w:numFmt w:val="decimal"/>
      <w:lvlText w:val="%7."/>
      <w:lvlJc w:val="left"/>
      <w:pPr>
        <w:ind w:left="5040" w:hanging="360"/>
      </w:pPr>
    </w:lvl>
    <w:lvl w:ilvl="7" w:tplc="266A3ACA">
      <w:start w:val="1"/>
      <w:numFmt w:val="lowerLetter"/>
      <w:lvlText w:val="%8."/>
      <w:lvlJc w:val="left"/>
      <w:pPr>
        <w:ind w:left="5760" w:hanging="360"/>
      </w:pPr>
    </w:lvl>
    <w:lvl w:ilvl="8" w:tplc="D3BEA746">
      <w:start w:val="1"/>
      <w:numFmt w:val="lowerRoman"/>
      <w:lvlText w:val="%9."/>
      <w:lvlJc w:val="right"/>
      <w:pPr>
        <w:ind w:left="6480" w:hanging="180"/>
      </w:pPr>
    </w:lvl>
  </w:abstractNum>
  <w:abstractNum w:abstractNumId="66" w15:restartNumberingAfterBreak="0">
    <w:nsid w:val="7C1D2EEE"/>
    <w:multiLevelType w:val="hybridMultilevel"/>
    <w:tmpl w:val="FFFFFFFF"/>
    <w:lvl w:ilvl="0" w:tplc="5E2C35AA">
      <w:start w:val="1"/>
      <w:numFmt w:val="bullet"/>
      <w:lvlText w:val=""/>
      <w:lvlJc w:val="left"/>
      <w:pPr>
        <w:ind w:left="720" w:hanging="360"/>
      </w:pPr>
      <w:rPr>
        <w:rFonts w:ascii="Symbol" w:hAnsi="Symbol" w:hint="default"/>
      </w:rPr>
    </w:lvl>
    <w:lvl w:ilvl="1" w:tplc="09869D74">
      <w:start w:val="1"/>
      <w:numFmt w:val="lowerLetter"/>
      <w:lvlText w:val="%2."/>
      <w:lvlJc w:val="left"/>
      <w:pPr>
        <w:ind w:left="1440" w:hanging="360"/>
      </w:pPr>
    </w:lvl>
    <w:lvl w:ilvl="2" w:tplc="1B12CB3C">
      <w:start w:val="1"/>
      <w:numFmt w:val="lowerRoman"/>
      <w:lvlText w:val="%3."/>
      <w:lvlJc w:val="right"/>
      <w:pPr>
        <w:ind w:left="2160" w:hanging="180"/>
      </w:pPr>
    </w:lvl>
    <w:lvl w:ilvl="3" w:tplc="3FB2FC88">
      <w:start w:val="1"/>
      <w:numFmt w:val="decimal"/>
      <w:lvlText w:val="%4."/>
      <w:lvlJc w:val="left"/>
      <w:pPr>
        <w:ind w:left="2880" w:hanging="360"/>
      </w:pPr>
    </w:lvl>
    <w:lvl w:ilvl="4" w:tplc="9E0235EC">
      <w:start w:val="1"/>
      <w:numFmt w:val="lowerLetter"/>
      <w:lvlText w:val="%5."/>
      <w:lvlJc w:val="left"/>
      <w:pPr>
        <w:ind w:left="3600" w:hanging="360"/>
      </w:pPr>
    </w:lvl>
    <w:lvl w:ilvl="5" w:tplc="10165E3A">
      <w:start w:val="1"/>
      <w:numFmt w:val="lowerRoman"/>
      <w:lvlText w:val="%6."/>
      <w:lvlJc w:val="right"/>
      <w:pPr>
        <w:ind w:left="4320" w:hanging="180"/>
      </w:pPr>
    </w:lvl>
    <w:lvl w:ilvl="6" w:tplc="5B24017E">
      <w:start w:val="1"/>
      <w:numFmt w:val="decimal"/>
      <w:lvlText w:val="%7."/>
      <w:lvlJc w:val="left"/>
      <w:pPr>
        <w:ind w:left="5040" w:hanging="360"/>
      </w:pPr>
    </w:lvl>
    <w:lvl w:ilvl="7" w:tplc="A22AC47C">
      <w:start w:val="1"/>
      <w:numFmt w:val="lowerLetter"/>
      <w:lvlText w:val="%8."/>
      <w:lvlJc w:val="left"/>
      <w:pPr>
        <w:ind w:left="5760" w:hanging="360"/>
      </w:pPr>
    </w:lvl>
    <w:lvl w:ilvl="8" w:tplc="3AD8D26E">
      <w:start w:val="1"/>
      <w:numFmt w:val="lowerRoman"/>
      <w:lvlText w:val="%9."/>
      <w:lvlJc w:val="right"/>
      <w:pPr>
        <w:ind w:left="6480" w:hanging="180"/>
      </w:pPr>
    </w:lvl>
  </w:abstractNum>
  <w:abstractNum w:abstractNumId="67" w15:restartNumberingAfterBreak="0">
    <w:nsid w:val="7D8C2CB8"/>
    <w:multiLevelType w:val="hybridMultilevel"/>
    <w:tmpl w:val="FFFFFFFF"/>
    <w:lvl w:ilvl="0" w:tplc="939C6B80">
      <w:start w:val="1"/>
      <w:numFmt w:val="bullet"/>
      <w:lvlText w:val=""/>
      <w:lvlJc w:val="left"/>
      <w:pPr>
        <w:ind w:left="720" w:hanging="360"/>
      </w:pPr>
      <w:rPr>
        <w:rFonts w:ascii="Symbol" w:hAnsi="Symbol" w:hint="default"/>
      </w:rPr>
    </w:lvl>
    <w:lvl w:ilvl="1" w:tplc="8F72AC04">
      <w:start w:val="1"/>
      <w:numFmt w:val="lowerLetter"/>
      <w:lvlText w:val="%2."/>
      <w:lvlJc w:val="left"/>
      <w:pPr>
        <w:ind w:left="1440" w:hanging="360"/>
      </w:pPr>
    </w:lvl>
    <w:lvl w:ilvl="2" w:tplc="B9CA2050">
      <w:start w:val="1"/>
      <w:numFmt w:val="lowerRoman"/>
      <w:lvlText w:val="%3."/>
      <w:lvlJc w:val="right"/>
      <w:pPr>
        <w:ind w:left="2160" w:hanging="180"/>
      </w:pPr>
    </w:lvl>
    <w:lvl w:ilvl="3" w:tplc="EA6CF2C4">
      <w:start w:val="1"/>
      <w:numFmt w:val="decimal"/>
      <w:lvlText w:val="%4."/>
      <w:lvlJc w:val="left"/>
      <w:pPr>
        <w:ind w:left="2880" w:hanging="360"/>
      </w:pPr>
    </w:lvl>
    <w:lvl w:ilvl="4" w:tplc="13FE6B1A">
      <w:start w:val="1"/>
      <w:numFmt w:val="lowerLetter"/>
      <w:lvlText w:val="%5."/>
      <w:lvlJc w:val="left"/>
      <w:pPr>
        <w:ind w:left="3600" w:hanging="360"/>
      </w:pPr>
    </w:lvl>
    <w:lvl w:ilvl="5" w:tplc="272C20FA">
      <w:start w:val="1"/>
      <w:numFmt w:val="lowerRoman"/>
      <w:lvlText w:val="%6."/>
      <w:lvlJc w:val="right"/>
      <w:pPr>
        <w:ind w:left="4320" w:hanging="180"/>
      </w:pPr>
    </w:lvl>
    <w:lvl w:ilvl="6" w:tplc="6FD81910">
      <w:start w:val="1"/>
      <w:numFmt w:val="decimal"/>
      <w:lvlText w:val="%7."/>
      <w:lvlJc w:val="left"/>
      <w:pPr>
        <w:ind w:left="5040" w:hanging="360"/>
      </w:pPr>
    </w:lvl>
    <w:lvl w:ilvl="7" w:tplc="E4B82482">
      <w:start w:val="1"/>
      <w:numFmt w:val="lowerLetter"/>
      <w:lvlText w:val="%8."/>
      <w:lvlJc w:val="left"/>
      <w:pPr>
        <w:ind w:left="5760" w:hanging="360"/>
      </w:pPr>
    </w:lvl>
    <w:lvl w:ilvl="8" w:tplc="F460A350">
      <w:start w:val="1"/>
      <w:numFmt w:val="lowerRoman"/>
      <w:lvlText w:val="%9."/>
      <w:lvlJc w:val="right"/>
      <w:pPr>
        <w:ind w:left="6480" w:hanging="180"/>
      </w:pPr>
    </w:lvl>
  </w:abstractNum>
  <w:abstractNum w:abstractNumId="68" w15:restartNumberingAfterBreak="0">
    <w:nsid w:val="7E027592"/>
    <w:multiLevelType w:val="hybridMultilevel"/>
    <w:tmpl w:val="597A2230"/>
    <w:lvl w:ilvl="0" w:tplc="0C090017">
      <w:start w:val="1"/>
      <w:numFmt w:val="lowerLetter"/>
      <w:lvlText w:val="%1)"/>
      <w:lvlJc w:val="left"/>
      <w:pPr>
        <w:ind w:left="360" w:hanging="360"/>
      </w:pPr>
    </w:lvl>
    <w:lvl w:ilvl="1" w:tplc="0C090019">
      <w:start w:val="1"/>
      <w:numFmt w:val="lowerLetter"/>
      <w:lvlText w:val="%2."/>
      <w:lvlJc w:val="left"/>
      <w:pPr>
        <w:ind w:left="1080" w:hanging="360"/>
      </w:pPr>
    </w:lvl>
    <w:lvl w:ilvl="2" w:tplc="0C09001B">
      <w:start w:val="1"/>
      <w:numFmt w:val="lowerRoman"/>
      <w:lvlText w:val="%3."/>
      <w:lvlJc w:val="right"/>
      <w:pPr>
        <w:ind w:left="1800" w:hanging="180"/>
      </w:pPr>
    </w:lvl>
    <w:lvl w:ilvl="3" w:tplc="0C09000F">
      <w:start w:val="1"/>
      <w:numFmt w:val="decimal"/>
      <w:lvlText w:val="%4."/>
      <w:lvlJc w:val="left"/>
      <w:pPr>
        <w:ind w:left="2520" w:hanging="360"/>
      </w:pPr>
    </w:lvl>
    <w:lvl w:ilvl="4" w:tplc="0C090019">
      <w:start w:val="1"/>
      <w:numFmt w:val="lowerLetter"/>
      <w:lvlText w:val="%5."/>
      <w:lvlJc w:val="left"/>
      <w:pPr>
        <w:ind w:left="3240" w:hanging="360"/>
      </w:pPr>
    </w:lvl>
    <w:lvl w:ilvl="5" w:tplc="0C09001B">
      <w:start w:val="1"/>
      <w:numFmt w:val="lowerRoman"/>
      <w:lvlText w:val="%6."/>
      <w:lvlJc w:val="right"/>
      <w:pPr>
        <w:ind w:left="3960" w:hanging="180"/>
      </w:pPr>
    </w:lvl>
    <w:lvl w:ilvl="6" w:tplc="0C09000F">
      <w:start w:val="1"/>
      <w:numFmt w:val="decimal"/>
      <w:lvlText w:val="%7."/>
      <w:lvlJc w:val="left"/>
      <w:pPr>
        <w:ind w:left="4680" w:hanging="360"/>
      </w:pPr>
    </w:lvl>
    <w:lvl w:ilvl="7" w:tplc="0C090019">
      <w:start w:val="1"/>
      <w:numFmt w:val="lowerLetter"/>
      <w:lvlText w:val="%8."/>
      <w:lvlJc w:val="left"/>
      <w:pPr>
        <w:ind w:left="5400" w:hanging="360"/>
      </w:pPr>
    </w:lvl>
    <w:lvl w:ilvl="8" w:tplc="0C09001B">
      <w:start w:val="1"/>
      <w:numFmt w:val="lowerRoman"/>
      <w:lvlText w:val="%9."/>
      <w:lvlJc w:val="right"/>
      <w:pPr>
        <w:ind w:left="6120" w:hanging="180"/>
      </w:pPr>
    </w:lvl>
  </w:abstractNum>
  <w:abstractNum w:abstractNumId="69" w15:restartNumberingAfterBreak="0">
    <w:nsid w:val="7FC90508"/>
    <w:multiLevelType w:val="hybridMultilevel"/>
    <w:tmpl w:val="FFFFFFFF"/>
    <w:lvl w:ilvl="0" w:tplc="FFFFFFFF">
      <w:start w:val="1"/>
      <w:numFmt w:val="bullet"/>
      <w:lvlText w:val="·"/>
      <w:lvlJc w:val="left"/>
      <w:pPr>
        <w:ind w:left="720" w:hanging="360"/>
      </w:pPr>
      <w:rPr>
        <w:rFonts w:ascii="Symbol" w:hAnsi="Symbol" w:hint="default"/>
      </w:rPr>
    </w:lvl>
    <w:lvl w:ilvl="1" w:tplc="59A6AE70">
      <w:start w:val="1"/>
      <w:numFmt w:val="bullet"/>
      <w:lvlText w:val="o"/>
      <w:lvlJc w:val="left"/>
      <w:pPr>
        <w:ind w:left="1440" w:hanging="360"/>
      </w:pPr>
      <w:rPr>
        <w:rFonts w:ascii="Courier New" w:hAnsi="Courier New" w:hint="default"/>
      </w:rPr>
    </w:lvl>
    <w:lvl w:ilvl="2" w:tplc="6A165A52">
      <w:start w:val="1"/>
      <w:numFmt w:val="bullet"/>
      <w:lvlText w:val=""/>
      <w:lvlJc w:val="left"/>
      <w:pPr>
        <w:ind w:left="2160" w:hanging="360"/>
      </w:pPr>
      <w:rPr>
        <w:rFonts w:ascii="Wingdings" w:hAnsi="Wingdings" w:hint="default"/>
      </w:rPr>
    </w:lvl>
    <w:lvl w:ilvl="3" w:tplc="963C0216">
      <w:start w:val="1"/>
      <w:numFmt w:val="bullet"/>
      <w:lvlText w:val=""/>
      <w:lvlJc w:val="left"/>
      <w:pPr>
        <w:ind w:left="2880" w:hanging="360"/>
      </w:pPr>
      <w:rPr>
        <w:rFonts w:ascii="Symbol" w:hAnsi="Symbol" w:hint="default"/>
      </w:rPr>
    </w:lvl>
    <w:lvl w:ilvl="4" w:tplc="4F48F1CC">
      <w:start w:val="1"/>
      <w:numFmt w:val="bullet"/>
      <w:lvlText w:val="o"/>
      <w:lvlJc w:val="left"/>
      <w:pPr>
        <w:ind w:left="3600" w:hanging="360"/>
      </w:pPr>
      <w:rPr>
        <w:rFonts w:ascii="Courier New" w:hAnsi="Courier New" w:hint="default"/>
      </w:rPr>
    </w:lvl>
    <w:lvl w:ilvl="5" w:tplc="A4B8BEE2">
      <w:start w:val="1"/>
      <w:numFmt w:val="bullet"/>
      <w:lvlText w:val=""/>
      <w:lvlJc w:val="left"/>
      <w:pPr>
        <w:ind w:left="4320" w:hanging="360"/>
      </w:pPr>
      <w:rPr>
        <w:rFonts w:ascii="Wingdings" w:hAnsi="Wingdings" w:hint="default"/>
      </w:rPr>
    </w:lvl>
    <w:lvl w:ilvl="6" w:tplc="5EB4B4F8">
      <w:start w:val="1"/>
      <w:numFmt w:val="bullet"/>
      <w:lvlText w:val=""/>
      <w:lvlJc w:val="left"/>
      <w:pPr>
        <w:ind w:left="5040" w:hanging="360"/>
      </w:pPr>
      <w:rPr>
        <w:rFonts w:ascii="Symbol" w:hAnsi="Symbol" w:hint="default"/>
      </w:rPr>
    </w:lvl>
    <w:lvl w:ilvl="7" w:tplc="0292101E">
      <w:start w:val="1"/>
      <w:numFmt w:val="bullet"/>
      <w:lvlText w:val="o"/>
      <w:lvlJc w:val="left"/>
      <w:pPr>
        <w:ind w:left="5760" w:hanging="360"/>
      </w:pPr>
      <w:rPr>
        <w:rFonts w:ascii="Courier New" w:hAnsi="Courier New" w:hint="default"/>
      </w:rPr>
    </w:lvl>
    <w:lvl w:ilvl="8" w:tplc="A9664790">
      <w:start w:val="1"/>
      <w:numFmt w:val="bullet"/>
      <w:lvlText w:val=""/>
      <w:lvlJc w:val="left"/>
      <w:pPr>
        <w:ind w:left="6480" w:hanging="360"/>
      </w:pPr>
      <w:rPr>
        <w:rFonts w:ascii="Wingdings" w:hAnsi="Wingdings" w:hint="default"/>
      </w:rPr>
    </w:lvl>
  </w:abstractNum>
  <w:num w:numId="1">
    <w:abstractNumId w:val="11"/>
  </w:num>
  <w:num w:numId="2">
    <w:abstractNumId w:val="10"/>
  </w:num>
  <w:num w:numId="3">
    <w:abstractNumId w:val="58"/>
  </w:num>
  <w:num w:numId="4">
    <w:abstractNumId w:val="15"/>
  </w:num>
  <w:num w:numId="5">
    <w:abstractNumId w:val="56"/>
  </w:num>
  <w:num w:numId="6">
    <w:abstractNumId w:val="38"/>
  </w:num>
  <w:num w:numId="7">
    <w:abstractNumId w:val="18"/>
  </w:num>
  <w:num w:numId="8">
    <w:abstractNumId w:val="69"/>
  </w:num>
  <w:num w:numId="9">
    <w:abstractNumId w:val="24"/>
  </w:num>
  <w:num w:numId="10">
    <w:abstractNumId w:val="60"/>
  </w:num>
  <w:num w:numId="11">
    <w:abstractNumId w:val="3"/>
  </w:num>
  <w:num w:numId="12">
    <w:abstractNumId w:val="1"/>
  </w:num>
  <w:num w:numId="13">
    <w:abstractNumId w:val="2"/>
  </w:num>
  <w:num w:numId="14">
    <w:abstractNumId w:val="0"/>
  </w:num>
  <w:num w:numId="15">
    <w:abstractNumId w:val="26"/>
  </w:num>
  <w:num w:numId="16">
    <w:abstractNumId w:val="57"/>
  </w:num>
  <w:num w:numId="17">
    <w:abstractNumId w:val="46"/>
  </w:num>
  <w:num w:numId="18">
    <w:abstractNumId w:val="55"/>
  </w:num>
  <w:num w:numId="19">
    <w:abstractNumId w:val="61"/>
  </w:num>
  <w:num w:numId="20">
    <w:abstractNumId w:val="9"/>
  </w:num>
  <w:num w:numId="21">
    <w:abstractNumId w:val="4"/>
  </w:num>
  <w:num w:numId="22">
    <w:abstractNumId w:val="3"/>
  </w:num>
  <w:num w:numId="23">
    <w:abstractNumId w:val="2"/>
    <w:lvlOverride w:ilvl="0">
      <w:startOverride w:val="1"/>
    </w:lvlOverride>
  </w:num>
  <w:num w:numId="24">
    <w:abstractNumId w:val="2"/>
    <w:lvlOverride w:ilvl="0">
      <w:startOverride w:val="1"/>
    </w:lvlOverride>
  </w:num>
  <w:num w:numId="25">
    <w:abstractNumId w:val="2"/>
    <w:lvlOverride w:ilvl="0">
      <w:startOverride w:val="1"/>
    </w:lvlOverride>
  </w:num>
  <w:num w:numId="26">
    <w:abstractNumId w:val="27"/>
  </w:num>
  <w:num w:numId="27">
    <w:abstractNumId w:val="2"/>
    <w:lvlOverride w:ilvl="0">
      <w:startOverride w:val="1"/>
    </w:lvlOverride>
  </w:num>
  <w:num w:numId="28">
    <w:abstractNumId w:val="3"/>
  </w:num>
  <w:num w:numId="29">
    <w:abstractNumId w:val="3"/>
  </w:num>
  <w:num w:numId="30">
    <w:abstractNumId w:val="3"/>
  </w:num>
  <w:num w:numId="3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0"/>
  </w:num>
  <w:num w:numId="3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9"/>
  </w:num>
  <w:num w:numId="37">
    <w:abstractNumId w:val="31"/>
  </w:num>
  <w:num w:numId="38">
    <w:abstractNumId w:val="16"/>
  </w:num>
  <w:num w:numId="39">
    <w:abstractNumId w:val="37"/>
  </w:num>
  <w:num w:numId="40">
    <w:abstractNumId w:val="54"/>
  </w:num>
  <w:num w:numId="41">
    <w:abstractNumId w:val="48"/>
  </w:num>
  <w:num w:numId="42">
    <w:abstractNumId w:val="50"/>
  </w:num>
  <w:num w:numId="43">
    <w:abstractNumId w:val="6"/>
  </w:num>
  <w:num w:numId="44">
    <w:abstractNumId w:val="12"/>
  </w:num>
  <w:num w:numId="45">
    <w:abstractNumId w:val="30"/>
  </w:num>
  <w:num w:numId="46">
    <w:abstractNumId w:val="45"/>
  </w:num>
  <w:num w:numId="47">
    <w:abstractNumId w:val="66"/>
  </w:num>
  <w:num w:numId="48">
    <w:abstractNumId w:val="39"/>
  </w:num>
  <w:num w:numId="49">
    <w:abstractNumId w:val="19"/>
  </w:num>
  <w:num w:numId="50">
    <w:abstractNumId w:val="22"/>
  </w:num>
  <w:num w:numId="51">
    <w:abstractNumId w:val="42"/>
  </w:num>
  <w:num w:numId="52">
    <w:abstractNumId w:val="28"/>
  </w:num>
  <w:num w:numId="53">
    <w:abstractNumId w:val="23"/>
  </w:num>
  <w:num w:numId="54">
    <w:abstractNumId w:val="7"/>
  </w:num>
  <w:num w:numId="55">
    <w:abstractNumId w:val="36"/>
  </w:num>
  <w:num w:numId="56">
    <w:abstractNumId w:val="5"/>
  </w:num>
  <w:num w:numId="57">
    <w:abstractNumId w:val="67"/>
  </w:num>
  <w:num w:numId="58">
    <w:abstractNumId w:val="65"/>
  </w:num>
  <w:num w:numId="59">
    <w:abstractNumId w:val="44"/>
  </w:num>
  <w:num w:numId="60">
    <w:abstractNumId w:val="53"/>
  </w:num>
  <w:num w:numId="61">
    <w:abstractNumId w:val="62"/>
  </w:num>
  <w:num w:numId="62">
    <w:abstractNumId w:val="52"/>
  </w:num>
  <w:num w:numId="63">
    <w:abstractNumId w:val="51"/>
  </w:num>
  <w:num w:numId="64">
    <w:abstractNumId w:val="25"/>
  </w:num>
  <w:num w:numId="65">
    <w:abstractNumId w:val="47"/>
  </w:num>
  <w:num w:numId="66">
    <w:abstractNumId w:val="29"/>
  </w:num>
  <w:num w:numId="67">
    <w:abstractNumId w:val="63"/>
  </w:num>
  <w:num w:numId="68">
    <w:abstractNumId w:val="41"/>
  </w:num>
  <w:num w:numId="69">
    <w:abstractNumId w:val="34"/>
  </w:num>
  <w:num w:numId="70">
    <w:abstractNumId w:val="33"/>
  </w:num>
  <w:num w:numId="71">
    <w:abstractNumId w:val="43"/>
  </w:num>
  <w:num w:numId="72">
    <w:abstractNumId w:val="13"/>
  </w:num>
  <w:num w:numId="73">
    <w:abstractNumId w:val="49"/>
  </w:num>
  <w:num w:numId="74">
    <w:abstractNumId w:val="14"/>
  </w:num>
  <w:num w:numId="75">
    <w:abstractNumId w:val="64"/>
  </w:num>
  <w:num w:numId="76">
    <w:abstractNumId w:val="32"/>
  </w:num>
  <w:num w:numId="77">
    <w:abstractNumId w:val="35"/>
  </w:num>
  <w:num w:numId="78">
    <w:abstractNumId w:val="21"/>
  </w:num>
  <w:num w:numId="79">
    <w:abstractNumId w:val="20"/>
  </w:num>
  <w:num w:numId="80">
    <w:abstractNumId w:val="8"/>
  </w:num>
  <w:num w:numId="81">
    <w:abstractNumId w:val="17"/>
  </w:num>
  <w:num w:numId="82">
    <w:abstractNumId w:val="57"/>
  </w:num>
  <w:num w:numId="83">
    <w:abstractNumId w:val="57"/>
  </w:num>
  <w:num w:numId="84">
    <w:abstractNumId w:val="57"/>
  </w:num>
  <w:num w:numId="85">
    <w:abstractNumId w:val="46"/>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stylePaneFormatFilter w:val="D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1"/>
  <w:defaultTabStop w:val="284"/>
  <w:evenAndOddHeaders/>
  <w:drawingGridHorizontalSpacing w:val="100"/>
  <w:displayHorizontalDrawingGridEvery w:val="2"/>
  <w:characterSpacingControl w:val="doNotCompress"/>
  <w:hdrShapeDefaults>
    <o:shapedefaults v:ext="edit" spidmax="14337">
      <o:colormru v:ext="edit" colors="red,#4d4d4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73C4"/>
    <w:rsid w:val="00000263"/>
    <w:rsid w:val="00000858"/>
    <w:rsid w:val="00001943"/>
    <w:rsid w:val="00001990"/>
    <w:rsid w:val="00001F2E"/>
    <w:rsid w:val="0000302A"/>
    <w:rsid w:val="000045A2"/>
    <w:rsid w:val="00004C2F"/>
    <w:rsid w:val="00004EFA"/>
    <w:rsid w:val="00005C42"/>
    <w:rsid w:val="00006082"/>
    <w:rsid w:val="00006816"/>
    <w:rsid w:val="00007688"/>
    <w:rsid w:val="00010667"/>
    <w:rsid w:val="000106E3"/>
    <w:rsid w:val="00010814"/>
    <w:rsid w:val="000113E9"/>
    <w:rsid w:val="00011EAC"/>
    <w:rsid w:val="000121B2"/>
    <w:rsid w:val="00012459"/>
    <w:rsid w:val="000129D5"/>
    <w:rsid w:val="00012CE3"/>
    <w:rsid w:val="00013117"/>
    <w:rsid w:val="00013920"/>
    <w:rsid w:val="000144B9"/>
    <w:rsid w:val="00014839"/>
    <w:rsid w:val="00015A48"/>
    <w:rsid w:val="00015A6B"/>
    <w:rsid w:val="00015AE7"/>
    <w:rsid w:val="00015C9F"/>
    <w:rsid w:val="00016E21"/>
    <w:rsid w:val="00017144"/>
    <w:rsid w:val="0001719C"/>
    <w:rsid w:val="00017346"/>
    <w:rsid w:val="00017BDB"/>
    <w:rsid w:val="00017DA3"/>
    <w:rsid w:val="0002224E"/>
    <w:rsid w:val="000228D8"/>
    <w:rsid w:val="000229EE"/>
    <w:rsid w:val="00022BCC"/>
    <w:rsid w:val="00022CC7"/>
    <w:rsid w:val="00022E2B"/>
    <w:rsid w:val="000230AD"/>
    <w:rsid w:val="000236AA"/>
    <w:rsid w:val="00023A36"/>
    <w:rsid w:val="0002450A"/>
    <w:rsid w:val="000245E5"/>
    <w:rsid w:val="0002654E"/>
    <w:rsid w:val="00026F91"/>
    <w:rsid w:val="000272DD"/>
    <w:rsid w:val="00027C51"/>
    <w:rsid w:val="00027F36"/>
    <w:rsid w:val="00030095"/>
    <w:rsid w:val="00030ED3"/>
    <w:rsid w:val="000312C2"/>
    <w:rsid w:val="00032555"/>
    <w:rsid w:val="00032621"/>
    <w:rsid w:val="00032D3B"/>
    <w:rsid w:val="000333A3"/>
    <w:rsid w:val="0003355C"/>
    <w:rsid w:val="0003402B"/>
    <w:rsid w:val="00034511"/>
    <w:rsid w:val="00035779"/>
    <w:rsid w:val="00036CFB"/>
    <w:rsid w:val="00040DEC"/>
    <w:rsid w:val="000410D6"/>
    <w:rsid w:val="000411D2"/>
    <w:rsid w:val="00043C9A"/>
    <w:rsid w:val="00044234"/>
    <w:rsid w:val="00044906"/>
    <w:rsid w:val="00045EF4"/>
    <w:rsid w:val="0004764C"/>
    <w:rsid w:val="000476D6"/>
    <w:rsid w:val="0005011A"/>
    <w:rsid w:val="0005045A"/>
    <w:rsid w:val="00051309"/>
    <w:rsid w:val="0005198F"/>
    <w:rsid w:val="00051C1E"/>
    <w:rsid w:val="0005312B"/>
    <w:rsid w:val="000539F9"/>
    <w:rsid w:val="00053DCE"/>
    <w:rsid w:val="00053FC4"/>
    <w:rsid w:val="00054C27"/>
    <w:rsid w:val="000554B0"/>
    <w:rsid w:val="00055930"/>
    <w:rsid w:val="00055E09"/>
    <w:rsid w:val="00055EC3"/>
    <w:rsid w:val="000563CE"/>
    <w:rsid w:val="00056997"/>
    <w:rsid w:val="00056ED9"/>
    <w:rsid w:val="00056F76"/>
    <w:rsid w:val="000606B2"/>
    <w:rsid w:val="00060960"/>
    <w:rsid w:val="000610E7"/>
    <w:rsid w:val="00062442"/>
    <w:rsid w:val="000629F0"/>
    <w:rsid w:val="00063451"/>
    <w:rsid w:val="000659B6"/>
    <w:rsid w:val="0006686F"/>
    <w:rsid w:val="0006722A"/>
    <w:rsid w:val="0006752B"/>
    <w:rsid w:val="00070942"/>
    <w:rsid w:val="00070D60"/>
    <w:rsid w:val="000722A4"/>
    <w:rsid w:val="0007237F"/>
    <w:rsid w:val="000727EA"/>
    <w:rsid w:val="000732CF"/>
    <w:rsid w:val="000737B6"/>
    <w:rsid w:val="00073C6A"/>
    <w:rsid w:val="000742C0"/>
    <w:rsid w:val="0007593B"/>
    <w:rsid w:val="00075A96"/>
    <w:rsid w:val="00075B96"/>
    <w:rsid w:val="00075C42"/>
    <w:rsid w:val="00076306"/>
    <w:rsid w:val="0007631B"/>
    <w:rsid w:val="00076B68"/>
    <w:rsid w:val="00077450"/>
    <w:rsid w:val="0007781C"/>
    <w:rsid w:val="00077921"/>
    <w:rsid w:val="00077A8E"/>
    <w:rsid w:val="0008055A"/>
    <w:rsid w:val="0008071C"/>
    <w:rsid w:val="0008196A"/>
    <w:rsid w:val="0008199E"/>
    <w:rsid w:val="000821CA"/>
    <w:rsid w:val="000831FE"/>
    <w:rsid w:val="00083286"/>
    <w:rsid w:val="0008361A"/>
    <w:rsid w:val="00084312"/>
    <w:rsid w:val="000848A2"/>
    <w:rsid w:val="00085FC0"/>
    <w:rsid w:val="000861E1"/>
    <w:rsid w:val="00087324"/>
    <w:rsid w:val="0008734E"/>
    <w:rsid w:val="0008FB3C"/>
    <w:rsid w:val="000904DB"/>
    <w:rsid w:val="00090853"/>
    <w:rsid w:val="00091495"/>
    <w:rsid w:val="000915ED"/>
    <w:rsid w:val="0009209D"/>
    <w:rsid w:val="0009223C"/>
    <w:rsid w:val="00092A56"/>
    <w:rsid w:val="000937F0"/>
    <w:rsid w:val="00093CC8"/>
    <w:rsid w:val="0009463C"/>
    <w:rsid w:val="00094A26"/>
    <w:rsid w:val="00095314"/>
    <w:rsid w:val="000953A8"/>
    <w:rsid w:val="000954F6"/>
    <w:rsid w:val="0009558B"/>
    <w:rsid w:val="0009647B"/>
    <w:rsid w:val="000969A8"/>
    <w:rsid w:val="000969BD"/>
    <w:rsid w:val="000969BF"/>
    <w:rsid w:val="00097304"/>
    <w:rsid w:val="000A0176"/>
    <w:rsid w:val="000A03F1"/>
    <w:rsid w:val="000A089C"/>
    <w:rsid w:val="000A0C22"/>
    <w:rsid w:val="000A0DE8"/>
    <w:rsid w:val="000A0E63"/>
    <w:rsid w:val="000A0F13"/>
    <w:rsid w:val="000A1153"/>
    <w:rsid w:val="000A1400"/>
    <w:rsid w:val="000A1879"/>
    <w:rsid w:val="000A1A6B"/>
    <w:rsid w:val="000A2186"/>
    <w:rsid w:val="000A24F3"/>
    <w:rsid w:val="000A252E"/>
    <w:rsid w:val="000A3446"/>
    <w:rsid w:val="000A3C32"/>
    <w:rsid w:val="000A3C43"/>
    <w:rsid w:val="000A4A51"/>
    <w:rsid w:val="000A4A67"/>
    <w:rsid w:val="000A5215"/>
    <w:rsid w:val="000A5D2B"/>
    <w:rsid w:val="000A6299"/>
    <w:rsid w:val="000A66D6"/>
    <w:rsid w:val="000A69CE"/>
    <w:rsid w:val="000A6EDC"/>
    <w:rsid w:val="000A7ACD"/>
    <w:rsid w:val="000B09E7"/>
    <w:rsid w:val="000B0DA7"/>
    <w:rsid w:val="000B259F"/>
    <w:rsid w:val="000B38B0"/>
    <w:rsid w:val="000B4664"/>
    <w:rsid w:val="000B4B33"/>
    <w:rsid w:val="000B5DE3"/>
    <w:rsid w:val="000B6DB1"/>
    <w:rsid w:val="000C0204"/>
    <w:rsid w:val="000C0A57"/>
    <w:rsid w:val="000C0AAF"/>
    <w:rsid w:val="000C1DB7"/>
    <w:rsid w:val="000C230C"/>
    <w:rsid w:val="000C3345"/>
    <w:rsid w:val="000C462E"/>
    <w:rsid w:val="000C6AB4"/>
    <w:rsid w:val="000C740D"/>
    <w:rsid w:val="000C7C02"/>
    <w:rsid w:val="000D15E7"/>
    <w:rsid w:val="000D1842"/>
    <w:rsid w:val="000D3766"/>
    <w:rsid w:val="000D3997"/>
    <w:rsid w:val="000D3BF1"/>
    <w:rsid w:val="000D3EE3"/>
    <w:rsid w:val="000D43B0"/>
    <w:rsid w:val="000D4504"/>
    <w:rsid w:val="000D47D8"/>
    <w:rsid w:val="000D4A64"/>
    <w:rsid w:val="000D5307"/>
    <w:rsid w:val="000D6356"/>
    <w:rsid w:val="000D6C61"/>
    <w:rsid w:val="000D71D9"/>
    <w:rsid w:val="000D734A"/>
    <w:rsid w:val="000D76E0"/>
    <w:rsid w:val="000D772A"/>
    <w:rsid w:val="000D7E8B"/>
    <w:rsid w:val="000E0A7B"/>
    <w:rsid w:val="000E0DAA"/>
    <w:rsid w:val="000E1575"/>
    <w:rsid w:val="000E2AE5"/>
    <w:rsid w:val="000E3BCC"/>
    <w:rsid w:val="000E4449"/>
    <w:rsid w:val="000E4C81"/>
    <w:rsid w:val="000E52D4"/>
    <w:rsid w:val="000E6097"/>
    <w:rsid w:val="000E6A1F"/>
    <w:rsid w:val="000E6D00"/>
    <w:rsid w:val="000E743B"/>
    <w:rsid w:val="000F0239"/>
    <w:rsid w:val="000F0442"/>
    <w:rsid w:val="000F09F0"/>
    <w:rsid w:val="000F1631"/>
    <w:rsid w:val="000F20F7"/>
    <w:rsid w:val="000F210A"/>
    <w:rsid w:val="000F2928"/>
    <w:rsid w:val="000F33F4"/>
    <w:rsid w:val="000F49D6"/>
    <w:rsid w:val="000F5446"/>
    <w:rsid w:val="000F54FC"/>
    <w:rsid w:val="000F5DFA"/>
    <w:rsid w:val="000F5E93"/>
    <w:rsid w:val="000F7346"/>
    <w:rsid w:val="000F7909"/>
    <w:rsid w:val="0010059D"/>
    <w:rsid w:val="00100792"/>
    <w:rsid w:val="00100C70"/>
    <w:rsid w:val="00100C75"/>
    <w:rsid w:val="001011AD"/>
    <w:rsid w:val="00102E07"/>
    <w:rsid w:val="00102E7C"/>
    <w:rsid w:val="001033EA"/>
    <w:rsid w:val="00103829"/>
    <w:rsid w:val="00103B30"/>
    <w:rsid w:val="00104128"/>
    <w:rsid w:val="00104328"/>
    <w:rsid w:val="00104F4C"/>
    <w:rsid w:val="00105032"/>
    <w:rsid w:val="001054EF"/>
    <w:rsid w:val="00105603"/>
    <w:rsid w:val="001064F3"/>
    <w:rsid w:val="00106998"/>
    <w:rsid w:val="00106EF5"/>
    <w:rsid w:val="0010737E"/>
    <w:rsid w:val="00107714"/>
    <w:rsid w:val="001105FA"/>
    <w:rsid w:val="00110A98"/>
    <w:rsid w:val="00110D87"/>
    <w:rsid w:val="00110F1C"/>
    <w:rsid w:val="00111B55"/>
    <w:rsid w:val="00111CBF"/>
    <w:rsid w:val="00111FCE"/>
    <w:rsid w:val="00112549"/>
    <w:rsid w:val="00112611"/>
    <w:rsid w:val="00112926"/>
    <w:rsid w:val="00113BA9"/>
    <w:rsid w:val="00114286"/>
    <w:rsid w:val="00115747"/>
    <w:rsid w:val="00115801"/>
    <w:rsid w:val="00115881"/>
    <w:rsid w:val="00115900"/>
    <w:rsid w:val="00117B86"/>
    <w:rsid w:val="00120173"/>
    <w:rsid w:val="001204C1"/>
    <w:rsid w:val="001207ED"/>
    <w:rsid w:val="001229A5"/>
    <w:rsid w:val="00122FF3"/>
    <w:rsid w:val="0012312E"/>
    <w:rsid w:val="00123396"/>
    <w:rsid w:val="001236B1"/>
    <w:rsid w:val="0012489B"/>
    <w:rsid w:val="00125080"/>
    <w:rsid w:val="001253CE"/>
    <w:rsid w:val="001256CE"/>
    <w:rsid w:val="00125B38"/>
    <w:rsid w:val="0012609B"/>
    <w:rsid w:val="001262B0"/>
    <w:rsid w:val="00127700"/>
    <w:rsid w:val="001278D8"/>
    <w:rsid w:val="00127D11"/>
    <w:rsid w:val="00130017"/>
    <w:rsid w:val="0013053D"/>
    <w:rsid w:val="00130F91"/>
    <w:rsid w:val="00131D0A"/>
    <w:rsid w:val="001320C4"/>
    <w:rsid w:val="001325AC"/>
    <w:rsid w:val="001328CA"/>
    <w:rsid w:val="0013471B"/>
    <w:rsid w:val="001349ED"/>
    <w:rsid w:val="00134EBE"/>
    <w:rsid w:val="001362E4"/>
    <w:rsid w:val="0013647B"/>
    <w:rsid w:val="00136DA3"/>
    <w:rsid w:val="00137424"/>
    <w:rsid w:val="001378D7"/>
    <w:rsid w:val="0014022B"/>
    <w:rsid w:val="00140318"/>
    <w:rsid w:val="00140ACF"/>
    <w:rsid w:val="0014171C"/>
    <w:rsid w:val="00141AD9"/>
    <w:rsid w:val="00143040"/>
    <w:rsid w:val="00143510"/>
    <w:rsid w:val="00143650"/>
    <w:rsid w:val="00144188"/>
    <w:rsid w:val="00144762"/>
    <w:rsid w:val="00144C1D"/>
    <w:rsid w:val="00144D0A"/>
    <w:rsid w:val="00145280"/>
    <w:rsid w:val="00145D87"/>
    <w:rsid w:val="00146851"/>
    <w:rsid w:val="00146C4B"/>
    <w:rsid w:val="00146CE6"/>
    <w:rsid w:val="001473B5"/>
    <w:rsid w:val="00150D39"/>
    <w:rsid w:val="00150DF9"/>
    <w:rsid w:val="00151A8C"/>
    <w:rsid w:val="00152903"/>
    <w:rsid w:val="0015291D"/>
    <w:rsid w:val="00152CA8"/>
    <w:rsid w:val="00152EAB"/>
    <w:rsid w:val="00153FD5"/>
    <w:rsid w:val="001545CF"/>
    <w:rsid w:val="0015547B"/>
    <w:rsid w:val="001557D6"/>
    <w:rsid w:val="001557F8"/>
    <w:rsid w:val="0015614F"/>
    <w:rsid w:val="0015715F"/>
    <w:rsid w:val="001577C2"/>
    <w:rsid w:val="00157D27"/>
    <w:rsid w:val="00160EA1"/>
    <w:rsid w:val="0016116E"/>
    <w:rsid w:val="00161783"/>
    <w:rsid w:val="00161D0F"/>
    <w:rsid w:val="00161EBD"/>
    <w:rsid w:val="00163107"/>
    <w:rsid w:val="001633C4"/>
    <w:rsid w:val="00163528"/>
    <w:rsid w:val="00163B4D"/>
    <w:rsid w:val="00163E7B"/>
    <w:rsid w:val="00164D11"/>
    <w:rsid w:val="0016581B"/>
    <w:rsid w:val="001678E0"/>
    <w:rsid w:val="001704D5"/>
    <w:rsid w:val="00170623"/>
    <w:rsid w:val="00170D64"/>
    <w:rsid w:val="00170DFC"/>
    <w:rsid w:val="0017134B"/>
    <w:rsid w:val="00171591"/>
    <w:rsid w:val="001721B6"/>
    <w:rsid w:val="001738FE"/>
    <w:rsid w:val="00173981"/>
    <w:rsid w:val="00173C47"/>
    <w:rsid w:val="0017550A"/>
    <w:rsid w:val="00175EAE"/>
    <w:rsid w:val="00176427"/>
    <w:rsid w:val="00176BF4"/>
    <w:rsid w:val="0017705B"/>
    <w:rsid w:val="0017719D"/>
    <w:rsid w:val="00177203"/>
    <w:rsid w:val="001806AD"/>
    <w:rsid w:val="00180D74"/>
    <w:rsid w:val="001813C4"/>
    <w:rsid w:val="00181453"/>
    <w:rsid w:val="00182909"/>
    <w:rsid w:val="00182B26"/>
    <w:rsid w:val="001838A9"/>
    <w:rsid w:val="00183FD7"/>
    <w:rsid w:val="001848F9"/>
    <w:rsid w:val="00184B60"/>
    <w:rsid w:val="0018504C"/>
    <w:rsid w:val="00185ADF"/>
    <w:rsid w:val="00185CAB"/>
    <w:rsid w:val="00185E9B"/>
    <w:rsid w:val="0018646A"/>
    <w:rsid w:val="00186977"/>
    <w:rsid w:val="00186CFE"/>
    <w:rsid w:val="001875B7"/>
    <w:rsid w:val="00187CB3"/>
    <w:rsid w:val="00190451"/>
    <w:rsid w:val="0019050A"/>
    <w:rsid w:val="00190662"/>
    <w:rsid w:val="001910D4"/>
    <w:rsid w:val="00191386"/>
    <w:rsid w:val="0019173C"/>
    <w:rsid w:val="001922C2"/>
    <w:rsid w:val="00193F0C"/>
    <w:rsid w:val="001947AA"/>
    <w:rsid w:val="0019582B"/>
    <w:rsid w:val="00196C64"/>
    <w:rsid w:val="00196E1D"/>
    <w:rsid w:val="0019752A"/>
    <w:rsid w:val="001976E3"/>
    <w:rsid w:val="001A006F"/>
    <w:rsid w:val="001A3232"/>
    <w:rsid w:val="001A44EC"/>
    <w:rsid w:val="001A50BF"/>
    <w:rsid w:val="001A545A"/>
    <w:rsid w:val="001A56F0"/>
    <w:rsid w:val="001A5F00"/>
    <w:rsid w:val="001A5FE3"/>
    <w:rsid w:val="001A6602"/>
    <w:rsid w:val="001A671A"/>
    <w:rsid w:val="001A6F96"/>
    <w:rsid w:val="001A7319"/>
    <w:rsid w:val="001A7796"/>
    <w:rsid w:val="001A7BE0"/>
    <w:rsid w:val="001B0AA1"/>
    <w:rsid w:val="001B167A"/>
    <w:rsid w:val="001B175D"/>
    <w:rsid w:val="001B1934"/>
    <w:rsid w:val="001B1D25"/>
    <w:rsid w:val="001B294B"/>
    <w:rsid w:val="001B2B3E"/>
    <w:rsid w:val="001B2DA0"/>
    <w:rsid w:val="001B45AD"/>
    <w:rsid w:val="001B4D95"/>
    <w:rsid w:val="001B5860"/>
    <w:rsid w:val="001B587A"/>
    <w:rsid w:val="001B58AA"/>
    <w:rsid w:val="001B6A6A"/>
    <w:rsid w:val="001B6A7E"/>
    <w:rsid w:val="001B6F0F"/>
    <w:rsid w:val="001B6FD0"/>
    <w:rsid w:val="001B7E48"/>
    <w:rsid w:val="001B7F08"/>
    <w:rsid w:val="001C131F"/>
    <w:rsid w:val="001C17CE"/>
    <w:rsid w:val="001C1F5A"/>
    <w:rsid w:val="001C235A"/>
    <w:rsid w:val="001C243F"/>
    <w:rsid w:val="001C2937"/>
    <w:rsid w:val="001C358E"/>
    <w:rsid w:val="001C36CA"/>
    <w:rsid w:val="001C3A92"/>
    <w:rsid w:val="001C44D1"/>
    <w:rsid w:val="001C4BCC"/>
    <w:rsid w:val="001C4FEC"/>
    <w:rsid w:val="001C6AEE"/>
    <w:rsid w:val="001C6C1F"/>
    <w:rsid w:val="001C7630"/>
    <w:rsid w:val="001C7F24"/>
    <w:rsid w:val="001D0DFB"/>
    <w:rsid w:val="001D1919"/>
    <w:rsid w:val="001D1DFD"/>
    <w:rsid w:val="001D209D"/>
    <w:rsid w:val="001D2178"/>
    <w:rsid w:val="001D29B3"/>
    <w:rsid w:val="001D2AFB"/>
    <w:rsid w:val="001D2B91"/>
    <w:rsid w:val="001D2CE5"/>
    <w:rsid w:val="001D3BD2"/>
    <w:rsid w:val="001D3D56"/>
    <w:rsid w:val="001D49B2"/>
    <w:rsid w:val="001D4C81"/>
    <w:rsid w:val="001D59E8"/>
    <w:rsid w:val="001D68F1"/>
    <w:rsid w:val="001D6D15"/>
    <w:rsid w:val="001D7256"/>
    <w:rsid w:val="001D73C4"/>
    <w:rsid w:val="001D75CA"/>
    <w:rsid w:val="001E15D3"/>
    <w:rsid w:val="001E16A3"/>
    <w:rsid w:val="001E16D3"/>
    <w:rsid w:val="001E2D67"/>
    <w:rsid w:val="001E3D24"/>
    <w:rsid w:val="001E4DC2"/>
    <w:rsid w:val="001E5888"/>
    <w:rsid w:val="001E591D"/>
    <w:rsid w:val="001E5EA1"/>
    <w:rsid w:val="001E6002"/>
    <w:rsid w:val="001E6448"/>
    <w:rsid w:val="001E7110"/>
    <w:rsid w:val="001E77A8"/>
    <w:rsid w:val="001E78B3"/>
    <w:rsid w:val="001F0069"/>
    <w:rsid w:val="001F0525"/>
    <w:rsid w:val="001F057E"/>
    <w:rsid w:val="001F0B7B"/>
    <w:rsid w:val="001F115C"/>
    <w:rsid w:val="001F25BA"/>
    <w:rsid w:val="001F30DD"/>
    <w:rsid w:val="001F34A6"/>
    <w:rsid w:val="001F3BDA"/>
    <w:rsid w:val="001F47A6"/>
    <w:rsid w:val="001F4971"/>
    <w:rsid w:val="001F4A02"/>
    <w:rsid w:val="001F4D6C"/>
    <w:rsid w:val="001F50F7"/>
    <w:rsid w:val="001F5E8C"/>
    <w:rsid w:val="001F6549"/>
    <w:rsid w:val="001F6BAB"/>
    <w:rsid w:val="001F723C"/>
    <w:rsid w:val="001F7558"/>
    <w:rsid w:val="001F7D06"/>
    <w:rsid w:val="001F7F93"/>
    <w:rsid w:val="002010A3"/>
    <w:rsid w:val="00201356"/>
    <w:rsid w:val="00201EE2"/>
    <w:rsid w:val="002024E3"/>
    <w:rsid w:val="002049E5"/>
    <w:rsid w:val="00205A4B"/>
    <w:rsid w:val="00205AC0"/>
    <w:rsid w:val="00205B57"/>
    <w:rsid w:val="00206091"/>
    <w:rsid w:val="00206A40"/>
    <w:rsid w:val="00206F4D"/>
    <w:rsid w:val="002077CF"/>
    <w:rsid w:val="002077DC"/>
    <w:rsid w:val="002108DF"/>
    <w:rsid w:val="00210BC5"/>
    <w:rsid w:val="002124F7"/>
    <w:rsid w:val="00212F09"/>
    <w:rsid w:val="0021426C"/>
    <w:rsid w:val="002157E0"/>
    <w:rsid w:val="00215C00"/>
    <w:rsid w:val="00216126"/>
    <w:rsid w:val="002164FD"/>
    <w:rsid w:val="00216A57"/>
    <w:rsid w:val="00217448"/>
    <w:rsid w:val="00217513"/>
    <w:rsid w:val="00217571"/>
    <w:rsid w:val="002179B2"/>
    <w:rsid w:val="00217F6C"/>
    <w:rsid w:val="00220C5C"/>
    <w:rsid w:val="00220FDD"/>
    <w:rsid w:val="00221D2A"/>
    <w:rsid w:val="0022218A"/>
    <w:rsid w:val="00222430"/>
    <w:rsid w:val="00223308"/>
    <w:rsid w:val="0022334F"/>
    <w:rsid w:val="0022370F"/>
    <w:rsid w:val="00224FDF"/>
    <w:rsid w:val="0022565C"/>
    <w:rsid w:val="00225794"/>
    <w:rsid w:val="002265E4"/>
    <w:rsid w:val="00226819"/>
    <w:rsid w:val="00227507"/>
    <w:rsid w:val="002275B4"/>
    <w:rsid w:val="00230661"/>
    <w:rsid w:val="00230C51"/>
    <w:rsid w:val="00230F4D"/>
    <w:rsid w:val="00233101"/>
    <w:rsid w:val="00233817"/>
    <w:rsid w:val="00234390"/>
    <w:rsid w:val="00234496"/>
    <w:rsid w:val="00234EDD"/>
    <w:rsid w:val="00234F0E"/>
    <w:rsid w:val="0023539A"/>
    <w:rsid w:val="00235B25"/>
    <w:rsid w:val="00235C20"/>
    <w:rsid w:val="0023612C"/>
    <w:rsid w:val="002367FF"/>
    <w:rsid w:val="002373A9"/>
    <w:rsid w:val="00240432"/>
    <w:rsid w:val="00240CE9"/>
    <w:rsid w:val="00241153"/>
    <w:rsid w:val="00241427"/>
    <w:rsid w:val="002434BA"/>
    <w:rsid w:val="0024515A"/>
    <w:rsid w:val="00246089"/>
    <w:rsid w:val="00246093"/>
    <w:rsid w:val="002460F7"/>
    <w:rsid w:val="002463FB"/>
    <w:rsid w:val="00246702"/>
    <w:rsid w:val="00247902"/>
    <w:rsid w:val="00247C59"/>
    <w:rsid w:val="00247F2E"/>
    <w:rsid w:val="00250118"/>
    <w:rsid w:val="00250431"/>
    <w:rsid w:val="0025094B"/>
    <w:rsid w:val="00250ADC"/>
    <w:rsid w:val="00250B07"/>
    <w:rsid w:val="00250C00"/>
    <w:rsid w:val="0025117D"/>
    <w:rsid w:val="00251A39"/>
    <w:rsid w:val="0025292D"/>
    <w:rsid w:val="00252F5C"/>
    <w:rsid w:val="00252FC0"/>
    <w:rsid w:val="0025342D"/>
    <w:rsid w:val="00253B26"/>
    <w:rsid w:val="0025426D"/>
    <w:rsid w:val="002542F1"/>
    <w:rsid w:val="002557F3"/>
    <w:rsid w:val="00255C1A"/>
    <w:rsid w:val="0025686D"/>
    <w:rsid w:val="00256B52"/>
    <w:rsid w:val="00257043"/>
    <w:rsid w:val="002573F4"/>
    <w:rsid w:val="00257553"/>
    <w:rsid w:val="0025780D"/>
    <w:rsid w:val="00257BC8"/>
    <w:rsid w:val="00257DC5"/>
    <w:rsid w:val="002604CB"/>
    <w:rsid w:val="00260C5D"/>
    <w:rsid w:val="00260FB2"/>
    <w:rsid w:val="0026117A"/>
    <w:rsid w:val="00261D7D"/>
    <w:rsid w:val="00262026"/>
    <w:rsid w:val="00262128"/>
    <w:rsid w:val="00262370"/>
    <w:rsid w:val="00262451"/>
    <w:rsid w:val="0026277D"/>
    <w:rsid w:val="00262E45"/>
    <w:rsid w:val="00263ED7"/>
    <w:rsid w:val="0026433E"/>
    <w:rsid w:val="00264646"/>
    <w:rsid w:val="0026479E"/>
    <w:rsid w:val="00264D18"/>
    <w:rsid w:val="00267B89"/>
    <w:rsid w:val="002704F9"/>
    <w:rsid w:val="002706A8"/>
    <w:rsid w:val="00270D6A"/>
    <w:rsid w:val="0027165D"/>
    <w:rsid w:val="00271900"/>
    <w:rsid w:val="00271EB7"/>
    <w:rsid w:val="00272631"/>
    <w:rsid w:val="00272E08"/>
    <w:rsid w:val="00273CEB"/>
    <w:rsid w:val="002743CD"/>
    <w:rsid w:val="00275F94"/>
    <w:rsid w:val="0027636B"/>
    <w:rsid w:val="00280979"/>
    <w:rsid w:val="00281C89"/>
    <w:rsid w:val="00281EA7"/>
    <w:rsid w:val="00281F8A"/>
    <w:rsid w:val="0028282F"/>
    <w:rsid w:val="0028286C"/>
    <w:rsid w:val="00283049"/>
    <w:rsid w:val="00283FDD"/>
    <w:rsid w:val="002850DC"/>
    <w:rsid w:val="0028522B"/>
    <w:rsid w:val="00285EB9"/>
    <w:rsid w:val="00286681"/>
    <w:rsid w:val="002874F5"/>
    <w:rsid w:val="0028782B"/>
    <w:rsid w:val="00287C85"/>
    <w:rsid w:val="00290414"/>
    <w:rsid w:val="0029055E"/>
    <w:rsid w:val="0029064D"/>
    <w:rsid w:val="00291B83"/>
    <w:rsid w:val="00292405"/>
    <w:rsid w:val="00293210"/>
    <w:rsid w:val="00293950"/>
    <w:rsid w:val="00293CD2"/>
    <w:rsid w:val="00293D0A"/>
    <w:rsid w:val="00293D4C"/>
    <w:rsid w:val="002943B5"/>
    <w:rsid w:val="0029450C"/>
    <w:rsid w:val="00294D0D"/>
    <w:rsid w:val="0029518D"/>
    <w:rsid w:val="0029593B"/>
    <w:rsid w:val="00295E10"/>
    <w:rsid w:val="0029690E"/>
    <w:rsid w:val="00296A84"/>
    <w:rsid w:val="00296E8A"/>
    <w:rsid w:val="00297C10"/>
    <w:rsid w:val="00297D98"/>
    <w:rsid w:val="00297FC5"/>
    <w:rsid w:val="002A0163"/>
    <w:rsid w:val="002A0417"/>
    <w:rsid w:val="002A09D4"/>
    <w:rsid w:val="002A147A"/>
    <w:rsid w:val="002A148F"/>
    <w:rsid w:val="002A16D8"/>
    <w:rsid w:val="002A1B0A"/>
    <w:rsid w:val="002A1BC8"/>
    <w:rsid w:val="002A2414"/>
    <w:rsid w:val="002A3C64"/>
    <w:rsid w:val="002A3EF2"/>
    <w:rsid w:val="002A4400"/>
    <w:rsid w:val="002A475F"/>
    <w:rsid w:val="002A47AD"/>
    <w:rsid w:val="002A510F"/>
    <w:rsid w:val="002A5FBA"/>
    <w:rsid w:val="002A613A"/>
    <w:rsid w:val="002A649D"/>
    <w:rsid w:val="002A6C31"/>
    <w:rsid w:val="002B03C9"/>
    <w:rsid w:val="002B0DED"/>
    <w:rsid w:val="002B19A2"/>
    <w:rsid w:val="002B22E3"/>
    <w:rsid w:val="002B32AB"/>
    <w:rsid w:val="002B381A"/>
    <w:rsid w:val="002B3864"/>
    <w:rsid w:val="002B4FCC"/>
    <w:rsid w:val="002B5069"/>
    <w:rsid w:val="002B6C55"/>
    <w:rsid w:val="002B6F9A"/>
    <w:rsid w:val="002B7408"/>
    <w:rsid w:val="002B7CFD"/>
    <w:rsid w:val="002C0530"/>
    <w:rsid w:val="002C0984"/>
    <w:rsid w:val="002C0B6F"/>
    <w:rsid w:val="002C12F0"/>
    <w:rsid w:val="002C1DE5"/>
    <w:rsid w:val="002C210F"/>
    <w:rsid w:val="002C2432"/>
    <w:rsid w:val="002C247C"/>
    <w:rsid w:val="002C2FE0"/>
    <w:rsid w:val="002C3907"/>
    <w:rsid w:val="002C3D74"/>
    <w:rsid w:val="002C464B"/>
    <w:rsid w:val="002C586D"/>
    <w:rsid w:val="002C6315"/>
    <w:rsid w:val="002C63EB"/>
    <w:rsid w:val="002C6B78"/>
    <w:rsid w:val="002C706C"/>
    <w:rsid w:val="002C7093"/>
    <w:rsid w:val="002C7B19"/>
    <w:rsid w:val="002C7BC8"/>
    <w:rsid w:val="002D1C29"/>
    <w:rsid w:val="002D250D"/>
    <w:rsid w:val="002D274E"/>
    <w:rsid w:val="002D3600"/>
    <w:rsid w:val="002D39AA"/>
    <w:rsid w:val="002D52B8"/>
    <w:rsid w:val="002D617C"/>
    <w:rsid w:val="002D737F"/>
    <w:rsid w:val="002D741C"/>
    <w:rsid w:val="002D7E1C"/>
    <w:rsid w:val="002D7FF0"/>
    <w:rsid w:val="002E013B"/>
    <w:rsid w:val="002E1451"/>
    <w:rsid w:val="002E1EDF"/>
    <w:rsid w:val="002E2193"/>
    <w:rsid w:val="002E4C1A"/>
    <w:rsid w:val="002E4DDC"/>
    <w:rsid w:val="002E4FB7"/>
    <w:rsid w:val="002E63BD"/>
    <w:rsid w:val="002E6A7D"/>
    <w:rsid w:val="002E7795"/>
    <w:rsid w:val="002E79EC"/>
    <w:rsid w:val="002F2A5D"/>
    <w:rsid w:val="002F2DA1"/>
    <w:rsid w:val="002F618C"/>
    <w:rsid w:val="002F6B2A"/>
    <w:rsid w:val="002F7A5E"/>
    <w:rsid w:val="002F7DC3"/>
    <w:rsid w:val="00300623"/>
    <w:rsid w:val="003015D0"/>
    <w:rsid w:val="00302480"/>
    <w:rsid w:val="00302758"/>
    <w:rsid w:val="0030377F"/>
    <w:rsid w:val="003037F4"/>
    <w:rsid w:val="003049EF"/>
    <w:rsid w:val="00304DEC"/>
    <w:rsid w:val="003054DE"/>
    <w:rsid w:val="003062BA"/>
    <w:rsid w:val="0030692F"/>
    <w:rsid w:val="00306A7F"/>
    <w:rsid w:val="00306A94"/>
    <w:rsid w:val="00306AE9"/>
    <w:rsid w:val="0031004C"/>
    <w:rsid w:val="003109C7"/>
    <w:rsid w:val="003129BE"/>
    <w:rsid w:val="00314259"/>
    <w:rsid w:val="00314DC4"/>
    <w:rsid w:val="003165E6"/>
    <w:rsid w:val="00317151"/>
    <w:rsid w:val="003215B5"/>
    <w:rsid w:val="00321682"/>
    <w:rsid w:val="003216EE"/>
    <w:rsid w:val="003221CF"/>
    <w:rsid w:val="0032243F"/>
    <w:rsid w:val="00322D72"/>
    <w:rsid w:val="003233B7"/>
    <w:rsid w:val="003233ED"/>
    <w:rsid w:val="00324D9F"/>
    <w:rsid w:val="0032509E"/>
    <w:rsid w:val="003253EE"/>
    <w:rsid w:val="00325CAD"/>
    <w:rsid w:val="00326142"/>
    <w:rsid w:val="0032634F"/>
    <w:rsid w:val="003266BF"/>
    <w:rsid w:val="00326B09"/>
    <w:rsid w:val="003270DF"/>
    <w:rsid w:val="00327948"/>
    <w:rsid w:val="00327F1B"/>
    <w:rsid w:val="0033000F"/>
    <w:rsid w:val="00330F58"/>
    <w:rsid w:val="003311FC"/>
    <w:rsid w:val="003316D6"/>
    <w:rsid w:val="00331DA8"/>
    <w:rsid w:val="00332011"/>
    <w:rsid w:val="00332518"/>
    <w:rsid w:val="00332925"/>
    <w:rsid w:val="00332E3F"/>
    <w:rsid w:val="0033317E"/>
    <w:rsid w:val="003332ED"/>
    <w:rsid w:val="00333404"/>
    <w:rsid w:val="003341DA"/>
    <w:rsid w:val="00336046"/>
    <w:rsid w:val="003368DC"/>
    <w:rsid w:val="00336C49"/>
    <w:rsid w:val="003373CD"/>
    <w:rsid w:val="0033776D"/>
    <w:rsid w:val="00337CEC"/>
    <w:rsid w:val="00340020"/>
    <w:rsid w:val="00340F7D"/>
    <w:rsid w:val="00341438"/>
    <w:rsid w:val="00341E31"/>
    <w:rsid w:val="003437A1"/>
    <w:rsid w:val="00343FDE"/>
    <w:rsid w:val="0034428A"/>
    <w:rsid w:val="00344437"/>
    <w:rsid w:val="00344542"/>
    <w:rsid w:val="00344805"/>
    <w:rsid w:val="0034490B"/>
    <w:rsid w:val="00344C1A"/>
    <w:rsid w:val="00345927"/>
    <w:rsid w:val="00345D63"/>
    <w:rsid w:val="003462EE"/>
    <w:rsid w:val="003467DE"/>
    <w:rsid w:val="00346B94"/>
    <w:rsid w:val="0034735D"/>
    <w:rsid w:val="00347DF0"/>
    <w:rsid w:val="003503DC"/>
    <w:rsid w:val="00350584"/>
    <w:rsid w:val="003509A1"/>
    <w:rsid w:val="003512CC"/>
    <w:rsid w:val="00351696"/>
    <w:rsid w:val="00351697"/>
    <w:rsid w:val="00351857"/>
    <w:rsid w:val="003525C9"/>
    <w:rsid w:val="00352AE6"/>
    <w:rsid w:val="003532CC"/>
    <w:rsid w:val="00353C1A"/>
    <w:rsid w:val="00353FB9"/>
    <w:rsid w:val="00354448"/>
    <w:rsid w:val="003545D5"/>
    <w:rsid w:val="003545E8"/>
    <w:rsid w:val="00354948"/>
    <w:rsid w:val="00354D52"/>
    <w:rsid w:val="003555C5"/>
    <w:rsid w:val="003558AC"/>
    <w:rsid w:val="00355A7E"/>
    <w:rsid w:val="00355C12"/>
    <w:rsid w:val="00355D67"/>
    <w:rsid w:val="00356CE6"/>
    <w:rsid w:val="00356DF3"/>
    <w:rsid w:val="00360A7F"/>
    <w:rsid w:val="003610E1"/>
    <w:rsid w:val="00361B89"/>
    <w:rsid w:val="00362C7D"/>
    <w:rsid w:val="00363B53"/>
    <w:rsid w:val="00363BD7"/>
    <w:rsid w:val="003640CA"/>
    <w:rsid w:val="003645A4"/>
    <w:rsid w:val="00364F8B"/>
    <w:rsid w:val="00365BB4"/>
    <w:rsid w:val="00366D0D"/>
    <w:rsid w:val="003671BE"/>
    <w:rsid w:val="00367958"/>
    <w:rsid w:val="00367BB5"/>
    <w:rsid w:val="00367D9F"/>
    <w:rsid w:val="00367EBF"/>
    <w:rsid w:val="00370816"/>
    <w:rsid w:val="0037138C"/>
    <w:rsid w:val="003715E3"/>
    <w:rsid w:val="00371B7C"/>
    <w:rsid w:val="00371D89"/>
    <w:rsid w:val="00372485"/>
    <w:rsid w:val="003726C8"/>
    <w:rsid w:val="00372CC0"/>
    <w:rsid w:val="00372E14"/>
    <w:rsid w:val="00373200"/>
    <w:rsid w:val="003734EB"/>
    <w:rsid w:val="003742E5"/>
    <w:rsid w:val="00374399"/>
    <w:rsid w:val="00375EF5"/>
    <w:rsid w:val="003762AB"/>
    <w:rsid w:val="003764F4"/>
    <w:rsid w:val="003767A5"/>
    <w:rsid w:val="00377020"/>
    <w:rsid w:val="00377075"/>
    <w:rsid w:val="00377556"/>
    <w:rsid w:val="00377846"/>
    <w:rsid w:val="003803BD"/>
    <w:rsid w:val="00380975"/>
    <w:rsid w:val="00381D15"/>
    <w:rsid w:val="00382C46"/>
    <w:rsid w:val="003834AE"/>
    <w:rsid w:val="00383E48"/>
    <w:rsid w:val="003840B9"/>
    <w:rsid w:val="003840BF"/>
    <w:rsid w:val="00385254"/>
    <w:rsid w:val="003857EA"/>
    <w:rsid w:val="00385F23"/>
    <w:rsid w:val="00386236"/>
    <w:rsid w:val="003903FA"/>
    <w:rsid w:val="00390D91"/>
    <w:rsid w:val="00391425"/>
    <w:rsid w:val="00391827"/>
    <w:rsid w:val="003918C6"/>
    <w:rsid w:val="0039190E"/>
    <w:rsid w:val="00391A2C"/>
    <w:rsid w:val="00391D4D"/>
    <w:rsid w:val="00391E8F"/>
    <w:rsid w:val="003923FA"/>
    <w:rsid w:val="0039275C"/>
    <w:rsid w:val="00393357"/>
    <w:rsid w:val="003933E8"/>
    <w:rsid w:val="00393D27"/>
    <w:rsid w:val="00394031"/>
    <w:rsid w:val="0039432A"/>
    <w:rsid w:val="0039450D"/>
    <w:rsid w:val="00396D33"/>
    <w:rsid w:val="00396DC2"/>
    <w:rsid w:val="003971F1"/>
    <w:rsid w:val="0039767D"/>
    <w:rsid w:val="00397844"/>
    <w:rsid w:val="003A04DB"/>
    <w:rsid w:val="003A13CC"/>
    <w:rsid w:val="003A1697"/>
    <w:rsid w:val="003A1E9A"/>
    <w:rsid w:val="003A308C"/>
    <w:rsid w:val="003A32E1"/>
    <w:rsid w:val="003A36FF"/>
    <w:rsid w:val="003A3A26"/>
    <w:rsid w:val="003A3AAA"/>
    <w:rsid w:val="003A3E39"/>
    <w:rsid w:val="003A50A5"/>
    <w:rsid w:val="003A5176"/>
    <w:rsid w:val="003A5F5B"/>
    <w:rsid w:val="003A70B1"/>
    <w:rsid w:val="003A789A"/>
    <w:rsid w:val="003A7C5B"/>
    <w:rsid w:val="003B0829"/>
    <w:rsid w:val="003B08AC"/>
    <w:rsid w:val="003B0D9F"/>
    <w:rsid w:val="003B12EC"/>
    <w:rsid w:val="003B1604"/>
    <w:rsid w:val="003B220D"/>
    <w:rsid w:val="003B2355"/>
    <w:rsid w:val="003B367C"/>
    <w:rsid w:val="003B4AD4"/>
    <w:rsid w:val="003B4CF1"/>
    <w:rsid w:val="003B765A"/>
    <w:rsid w:val="003C03B8"/>
    <w:rsid w:val="003C112B"/>
    <w:rsid w:val="003C2172"/>
    <w:rsid w:val="003C271E"/>
    <w:rsid w:val="003C2720"/>
    <w:rsid w:val="003C3764"/>
    <w:rsid w:val="003C51E9"/>
    <w:rsid w:val="003C5729"/>
    <w:rsid w:val="003C66B2"/>
    <w:rsid w:val="003C6B62"/>
    <w:rsid w:val="003C6EFA"/>
    <w:rsid w:val="003C7002"/>
    <w:rsid w:val="003C72BE"/>
    <w:rsid w:val="003C7774"/>
    <w:rsid w:val="003C77E0"/>
    <w:rsid w:val="003C78E3"/>
    <w:rsid w:val="003C7B9A"/>
    <w:rsid w:val="003C7BAA"/>
    <w:rsid w:val="003C7E1E"/>
    <w:rsid w:val="003C7F37"/>
    <w:rsid w:val="003D0665"/>
    <w:rsid w:val="003D16AF"/>
    <w:rsid w:val="003D17D7"/>
    <w:rsid w:val="003D2071"/>
    <w:rsid w:val="003D21F6"/>
    <w:rsid w:val="003D2623"/>
    <w:rsid w:val="003D2678"/>
    <w:rsid w:val="003D3BCF"/>
    <w:rsid w:val="003D498A"/>
    <w:rsid w:val="003D5288"/>
    <w:rsid w:val="003D542A"/>
    <w:rsid w:val="003D5705"/>
    <w:rsid w:val="003D5DB0"/>
    <w:rsid w:val="003D6B12"/>
    <w:rsid w:val="003D71A3"/>
    <w:rsid w:val="003D7B19"/>
    <w:rsid w:val="003E0595"/>
    <w:rsid w:val="003E0A9E"/>
    <w:rsid w:val="003E14B3"/>
    <w:rsid w:val="003E1A92"/>
    <w:rsid w:val="003E1CCE"/>
    <w:rsid w:val="003E1FD7"/>
    <w:rsid w:val="003E2159"/>
    <w:rsid w:val="003E254B"/>
    <w:rsid w:val="003E273D"/>
    <w:rsid w:val="003E2B8A"/>
    <w:rsid w:val="003E2D10"/>
    <w:rsid w:val="003E3631"/>
    <w:rsid w:val="003E440C"/>
    <w:rsid w:val="003E4A3B"/>
    <w:rsid w:val="003E6520"/>
    <w:rsid w:val="003E76CE"/>
    <w:rsid w:val="003F0A77"/>
    <w:rsid w:val="003F10EE"/>
    <w:rsid w:val="003F16F6"/>
    <w:rsid w:val="003F229B"/>
    <w:rsid w:val="003F2E7B"/>
    <w:rsid w:val="003F3222"/>
    <w:rsid w:val="003F326E"/>
    <w:rsid w:val="003F3578"/>
    <w:rsid w:val="003F3B95"/>
    <w:rsid w:val="003F3F45"/>
    <w:rsid w:val="003F4DC7"/>
    <w:rsid w:val="003F5235"/>
    <w:rsid w:val="003F5D81"/>
    <w:rsid w:val="003F5FEB"/>
    <w:rsid w:val="003F68DF"/>
    <w:rsid w:val="003F6EA9"/>
    <w:rsid w:val="00400269"/>
    <w:rsid w:val="00400EAB"/>
    <w:rsid w:val="00400F58"/>
    <w:rsid w:val="0040103C"/>
    <w:rsid w:val="00401238"/>
    <w:rsid w:val="00401866"/>
    <w:rsid w:val="00402481"/>
    <w:rsid w:val="004025BE"/>
    <w:rsid w:val="004027E4"/>
    <w:rsid w:val="00402D18"/>
    <w:rsid w:val="00403C53"/>
    <w:rsid w:val="00403E1B"/>
    <w:rsid w:val="00404047"/>
    <w:rsid w:val="004044C2"/>
    <w:rsid w:val="0040648A"/>
    <w:rsid w:val="0040693C"/>
    <w:rsid w:val="004072CF"/>
    <w:rsid w:val="0040782C"/>
    <w:rsid w:val="0041071D"/>
    <w:rsid w:val="0041119B"/>
    <w:rsid w:val="0041301E"/>
    <w:rsid w:val="00413453"/>
    <w:rsid w:val="004147B7"/>
    <w:rsid w:val="00414AFC"/>
    <w:rsid w:val="00414EB2"/>
    <w:rsid w:val="00414F91"/>
    <w:rsid w:val="004151A7"/>
    <w:rsid w:val="00415310"/>
    <w:rsid w:val="00415C13"/>
    <w:rsid w:val="00415EF1"/>
    <w:rsid w:val="004160F9"/>
    <w:rsid w:val="004173D7"/>
    <w:rsid w:val="00417609"/>
    <w:rsid w:val="00417CD2"/>
    <w:rsid w:val="00421709"/>
    <w:rsid w:val="00422131"/>
    <w:rsid w:val="00422704"/>
    <w:rsid w:val="00422E2A"/>
    <w:rsid w:val="00423058"/>
    <w:rsid w:val="00423092"/>
    <w:rsid w:val="004230DA"/>
    <w:rsid w:val="00423763"/>
    <w:rsid w:val="0042400A"/>
    <w:rsid w:val="0042477A"/>
    <w:rsid w:val="00424A6F"/>
    <w:rsid w:val="00424EE8"/>
    <w:rsid w:val="00426070"/>
    <w:rsid w:val="00426A65"/>
    <w:rsid w:val="00426DC3"/>
    <w:rsid w:val="004271B6"/>
    <w:rsid w:val="00427234"/>
    <w:rsid w:val="0042762F"/>
    <w:rsid w:val="004276F4"/>
    <w:rsid w:val="004277DF"/>
    <w:rsid w:val="00427D75"/>
    <w:rsid w:val="00427DC7"/>
    <w:rsid w:val="0043025F"/>
    <w:rsid w:val="00430CCE"/>
    <w:rsid w:val="00430F68"/>
    <w:rsid w:val="00431613"/>
    <w:rsid w:val="00431792"/>
    <w:rsid w:val="00432527"/>
    <w:rsid w:val="004327E1"/>
    <w:rsid w:val="0043297A"/>
    <w:rsid w:val="00432EB2"/>
    <w:rsid w:val="00432F20"/>
    <w:rsid w:val="00432F53"/>
    <w:rsid w:val="00433097"/>
    <w:rsid w:val="00433182"/>
    <w:rsid w:val="004337F9"/>
    <w:rsid w:val="004338A6"/>
    <w:rsid w:val="00433EC2"/>
    <w:rsid w:val="004341B9"/>
    <w:rsid w:val="00434354"/>
    <w:rsid w:val="0043635B"/>
    <w:rsid w:val="004363D1"/>
    <w:rsid w:val="0043714F"/>
    <w:rsid w:val="0044010C"/>
    <w:rsid w:val="0044045B"/>
    <w:rsid w:val="004406FC"/>
    <w:rsid w:val="00440A85"/>
    <w:rsid w:val="00440AD4"/>
    <w:rsid w:val="00440C4F"/>
    <w:rsid w:val="00441478"/>
    <w:rsid w:val="004418AD"/>
    <w:rsid w:val="00441EF8"/>
    <w:rsid w:val="004438B5"/>
    <w:rsid w:val="00443C29"/>
    <w:rsid w:val="00445520"/>
    <w:rsid w:val="004459A1"/>
    <w:rsid w:val="00446499"/>
    <w:rsid w:val="004464FF"/>
    <w:rsid w:val="00446F1A"/>
    <w:rsid w:val="00447037"/>
    <w:rsid w:val="00447AC9"/>
    <w:rsid w:val="004509C4"/>
    <w:rsid w:val="0045124D"/>
    <w:rsid w:val="0045297B"/>
    <w:rsid w:val="00453A32"/>
    <w:rsid w:val="00453DE3"/>
    <w:rsid w:val="00454596"/>
    <w:rsid w:val="0045550A"/>
    <w:rsid w:val="00455F05"/>
    <w:rsid w:val="0045605D"/>
    <w:rsid w:val="00456581"/>
    <w:rsid w:val="00456E3E"/>
    <w:rsid w:val="004573B0"/>
    <w:rsid w:val="004579B7"/>
    <w:rsid w:val="00460134"/>
    <w:rsid w:val="004607FA"/>
    <w:rsid w:val="004608EF"/>
    <w:rsid w:val="00461090"/>
    <w:rsid w:val="0046135B"/>
    <w:rsid w:val="0046186C"/>
    <w:rsid w:val="00461D47"/>
    <w:rsid w:val="00461DC4"/>
    <w:rsid w:val="00462592"/>
    <w:rsid w:val="00462BD9"/>
    <w:rsid w:val="00463040"/>
    <w:rsid w:val="00464AB4"/>
    <w:rsid w:val="0046539E"/>
    <w:rsid w:val="004658AF"/>
    <w:rsid w:val="00465BF9"/>
    <w:rsid w:val="004665D0"/>
    <w:rsid w:val="00467077"/>
    <w:rsid w:val="00467253"/>
    <w:rsid w:val="00467935"/>
    <w:rsid w:val="004679E2"/>
    <w:rsid w:val="00470F27"/>
    <w:rsid w:val="004710B7"/>
    <w:rsid w:val="004718CC"/>
    <w:rsid w:val="004723F6"/>
    <w:rsid w:val="0047253F"/>
    <w:rsid w:val="00473313"/>
    <w:rsid w:val="00473B67"/>
    <w:rsid w:val="00473CCA"/>
    <w:rsid w:val="00474404"/>
    <w:rsid w:val="00474FDA"/>
    <w:rsid w:val="0047566E"/>
    <w:rsid w:val="00476CA5"/>
    <w:rsid w:val="00477FE8"/>
    <w:rsid w:val="0048091C"/>
    <w:rsid w:val="00481695"/>
    <w:rsid w:val="00481D6C"/>
    <w:rsid w:val="00481E9D"/>
    <w:rsid w:val="00482093"/>
    <w:rsid w:val="004826BC"/>
    <w:rsid w:val="004831F6"/>
    <w:rsid w:val="004834CD"/>
    <w:rsid w:val="004839AC"/>
    <w:rsid w:val="00485036"/>
    <w:rsid w:val="00485869"/>
    <w:rsid w:val="00485FEF"/>
    <w:rsid w:val="00486FF6"/>
    <w:rsid w:val="004870A2"/>
    <w:rsid w:val="0048756F"/>
    <w:rsid w:val="004901DC"/>
    <w:rsid w:val="00490699"/>
    <w:rsid w:val="0049069D"/>
    <w:rsid w:val="00490FA4"/>
    <w:rsid w:val="00491A45"/>
    <w:rsid w:val="00491F7E"/>
    <w:rsid w:val="004931A3"/>
    <w:rsid w:val="00493E0D"/>
    <w:rsid w:val="00494C53"/>
    <w:rsid w:val="00494DAF"/>
    <w:rsid w:val="00495713"/>
    <w:rsid w:val="00495A96"/>
    <w:rsid w:val="00495BB3"/>
    <w:rsid w:val="00495F05"/>
    <w:rsid w:val="004960F3"/>
    <w:rsid w:val="004963F9"/>
    <w:rsid w:val="004966B0"/>
    <w:rsid w:val="004967C6"/>
    <w:rsid w:val="004971DE"/>
    <w:rsid w:val="004A1F31"/>
    <w:rsid w:val="004A2150"/>
    <w:rsid w:val="004A22EC"/>
    <w:rsid w:val="004A356A"/>
    <w:rsid w:val="004A3C7F"/>
    <w:rsid w:val="004A56BB"/>
    <w:rsid w:val="004A5A04"/>
    <w:rsid w:val="004A5D00"/>
    <w:rsid w:val="004A5D78"/>
    <w:rsid w:val="004A64A0"/>
    <w:rsid w:val="004A6592"/>
    <w:rsid w:val="004A69A5"/>
    <w:rsid w:val="004A70D6"/>
    <w:rsid w:val="004A723D"/>
    <w:rsid w:val="004B075C"/>
    <w:rsid w:val="004B0E6A"/>
    <w:rsid w:val="004B1013"/>
    <w:rsid w:val="004B13D2"/>
    <w:rsid w:val="004B1751"/>
    <w:rsid w:val="004B1BF9"/>
    <w:rsid w:val="004B1EFC"/>
    <w:rsid w:val="004B3CBA"/>
    <w:rsid w:val="004B4EFE"/>
    <w:rsid w:val="004B51E4"/>
    <w:rsid w:val="004B5685"/>
    <w:rsid w:val="004B633C"/>
    <w:rsid w:val="004B67F7"/>
    <w:rsid w:val="004B6863"/>
    <w:rsid w:val="004B6FC5"/>
    <w:rsid w:val="004C0253"/>
    <w:rsid w:val="004C071B"/>
    <w:rsid w:val="004C0A1F"/>
    <w:rsid w:val="004C18EE"/>
    <w:rsid w:val="004C197D"/>
    <w:rsid w:val="004C3487"/>
    <w:rsid w:val="004C3FC7"/>
    <w:rsid w:val="004C4867"/>
    <w:rsid w:val="004C4D12"/>
    <w:rsid w:val="004C4F17"/>
    <w:rsid w:val="004C57DD"/>
    <w:rsid w:val="004C66E0"/>
    <w:rsid w:val="004C7644"/>
    <w:rsid w:val="004D025D"/>
    <w:rsid w:val="004D0693"/>
    <w:rsid w:val="004D0FA9"/>
    <w:rsid w:val="004D20C9"/>
    <w:rsid w:val="004D28AF"/>
    <w:rsid w:val="004D40EE"/>
    <w:rsid w:val="004D4306"/>
    <w:rsid w:val="004D56FF"/>
    <w:rsid w:val="004D5F45"/>
    <w:rsid w:val="004D631F"/>
    <w:rsid w:val="004D6F5E"/>
    <w:rsid w:val="004D7299"/>
    <w:rsid w:val="004E036C"/>
    <w:rsid w:val="004E14F7"/>
    <w:rsid w:val="004E1644"/>
    <w:rsid w:val="004E1A7E"/>
    <w:rsid w:val="004E1E1B"/>
    <w:rsid w:val="004E39D3"/>
    <w:rsid w:val="004E3D7D"/>
    <w:rsid w:val="004E4048"/>
    <w:rsid w:val="004E452D"/>
    <w:rsid w:val="004E508A"/>
    <w:rsid w:val="004E616D"/>
    <w:rsid w:val="004E6EE5"/>
    <w:rsid w:val="004E78AB"/>
    <w:rsid w:val="004F1BDE"/>
    <w:rsid w:val="004F2CEE"/>
    <w:rsid w:val="004F31DB"/>
    <w:rsid w:val="004F3468"/>
    <w:rsid w:val="004F388E"/>
    <w:rsid w:val="004F3E5B"/>
    <w:rsid w:val="004F3F7F"/>
    <w:rsid w:val="004F447D"/>
    <w:rsid w:val="004F460A"/>
    <w:rsid w:val="004F4E7F"/>
    <w:rsid w:val="004F556E"/>
    <w:rsid w:val="004F591C"/>
    <w:rsid w:val="004F5A29"/>
    <w:rsid w:val="004F715A"/>
    <w:rsid w:val="004F73B8"/>
    <w:rsid w:val="004F7941"/>
    <w:rsid w:val="004F7DDD"/>
    <w:rsid w:val="004F7F44"/>
    <w:rsid w:val="005000B0"/>
    <w:rsid w:val="00500F67"/>
    <w:rsid w:val="0050109D"/>
    <w:rsid w:val="0050136F"/>
    <w:rsid w:val="00501826"/>
    <w:rsid w:val="0050182D"/>
    <w:rsid w:val="00501DD4"/>
    <w:rsid w:val="00502878"/>
    <w:rsid w:val="005037B4"/>
    <w:rsid w:val="005048BF"/>
    <w:rsid w:val="00505FC8"/>
    <w:rsid w:val="005060EB"/>
    <w:rsid w:val="005079BF"/>
    <w:rsid w:val="00510DE9"/>
    <w:rsid w:val="005111D0"/>
    <w:rsid w:val="00511506"/>
    <w:rsid w:val="0051269A"/>
    <w:rsid w:val="005134B6"/>
    <w:rsid w:val="00514073"/>
    <w:rsid w:val="00514770"/>
    <w:rsid w:val="005151AD"/>
    <w:rsid w:val="0051644C"/>
    <w:rsid w:val="00516465"/>
    <w:rsid w:val="00516909"/>
    <w:rsid w:val="00516C77"/>
    <w:rsid w:val="00516D96"/>
    <w:rsid w:val="00517D73"/>
    <w:rsid w:val="00517E6D"/>
    <w:rsid w:val="0052034F"/>
    <w:rsid w:val="0052075A"/>
    <w:rsid w:val="005208DF"/>
    <w:rsid w:val="005219E7"/>
    <w:rsid w:val="00521AC7"/>
    <w:rsid w:val="00522793"/>
    <w:rsid w:val="00523357"/>
    <w:rsid w:val="0052362C"/>
    <w:rsid w:val="00523789"/>
    <w:rsid w:val="00523CC1"/>
    <w:rsid w:val="00524875"/>
    <w:rsid w:val="00524D4C"/>
    <w:rsid w:val="00524E34"/>
    <w:rsid w:val="005250AF"/>
    <w:rsid w:val="00525147"/>
    <w:rsid w:val="0052526A"/>
    <w:rsid w:val="0052550E"/>
    <w:rsid w:val="00526AF8"/>
    <w:rsid w:val="005309EA"/>
    <w:rsid w:val="0053164B"/>
    <w:rsid w:val="00531B9A"/>
    <w:rsid w:val="00531D15"/>
    <w:rsid w:val="00532366"/>
    <w:rsid w:val="0053260E"/>
    <w:rsid w:val="00533381"/>
    <w:rsid w:val="00533612"/>
    <w:rsid w:val="00534595"/>
    <w:rsid w:val="00534848"/>
    <w:rsid w:val="00534EB7"/>
    <w:rsid w:val="005353BF"/>
    <w:rsid w:val="0053549C"/>
    <w:rsid w:val="0053571B"/>
    <w:rsid w:val="00536E90"/>
    <w:rsid w:val="00536F78"/>
    <w:rsid w:val="00537604"/>
    <w:rsid w:val="00537B8D"/>
    <w:rsid w:val="0054086E"/>
    <w:rsid w:val="0054153C"/>
    <w:rsid w:val="0054195B"/>
    <w:rsid w:val="00542377"/>
    <w:rsid w:val="005426AF"/>
    <w:rsid w:val="005426F7"/>
    <w:rsid w:val="0054290B"/>
    <w:rsid w:val="00543CBC"/>
    <w:rsid w:val="00544E1F"/>
    <w:rsid w:val="0054593D"/>
    <w:rsid w:val="005476EB"/>
    <w:rsid w:val="00547727"/>
    <w:rsid w:val="005506EE"/>
    <w:rsid w:val="00550B2F"/>
    <w:rsid w:val="00551782"/>
    <w:rsid w:val="005524CE"/>
    <w:rsid w:val="00552C6F"/>
    <w:rsid w:val="00552DD1"/>
    <w:rsid w:val="00554580"/>
    <w:rsid w:val="00554BF6"/>
    <w:rsid w:val="0055516C"/>
    <w:rsid w:val="00556697"/>
    <w:rsid w:val="0055742B"/>
    <w:rsid w:val="00557B90"/>
    <w:rsid w:val="005602FC"/>
    <w:rsid w:val="0056032F"/>
    <w:rsid w:val="00560455"/>
    <w:rsid w:val="00560556"/>
    <w:rsid w:val="00561180"/>
    <w:rsid w:val="005614DA"/>
    <w:rsid w:val="00561BFD"/>
    <w:rsid w:val="00562463"/>
    <w:rsid w:val="00562517"/>
    <w:rsid w:val="00563EF1"/>
    <w:rsid w:val="0056447D"/>
    <w:rsid w:val="005645BD"/>
    <w:rsid w:val="00564988"/>
    <w:rsid w:val="00564EF0"/>
    <w:rsid w:val="00565106"/>
    <w:rsid w:val="00565BDA"/>
    <w:rsid w:val="00565FB1"/>
    <w:rsid w:val="00566AB4"/>
    <w:rsid w:val="00566D79"/>
    <w:rsid w:val="0056738F"/>
    <w:rsid w:val="0056792B"/>
    <w:rsid w:val="00570748"/>
    <w:rsid w:val="00570840"/>
    <w:rsid w:val="00570EF8"/>
    <w:rsid w:val="00571EDE"/>
    <w:rsid w:val="005721D1"/>
    <w:rsid w:val="00572833"/>
    <w:rsid w:val="00573168"/>
    <w:rsid w:val="00573812"/>
    <w:rsid w:val="005739EE"/>
    <w:rsid w:val="00573B3E"/>
    <w:rsid w:val="005740DA"/>
    <w:rsid w:val="0057413B"/>
    <w:rsid w:val="005743CD"/>
    <w:rsid w:val="00574E7E"/>
    <w:rsid w:val="005754E5"/>
    <w:rsid w:val="00575562"/>
    <w:rsid w:val="00575AC5"/>
    <w:rsid w:val="00575B2A"/>
    <w:rsid w:val="00575BE1"/>
    <w:rsid w:val="0057605D"/>
    <w:rsid w:val="0057644F"/>
    <w:rsid w:val="00576DD4"/>
    <w:rsid w:val="0057730B"/>
    <w:rsid w:val="0057782B"/>
    <w:rsid w:val="00580E46"/>
    <w:rsid w:val="00581347"/>
    <w:rsid w:val="005817B5"/>
    <w:rsid w:val="00581AC9"/>
    <w:rsid w:val="00583B71"/>
    <w:rsid w:val="00584142"/>
    <w:rsid w:val="005849F8"/>
    <w:rsid w:val="00584B51"/>
    <w:rsid w:val="00584EC4"/>
    <w:rsid w:val="00585BFB"/>
    <w:rsid w:val="005860C5"/>
    <w:rsid w:val="005862A2"/>
    <w:rsid w:val="005864A5"/>
    <w:rsid w:val="00586511"/>
    <w:rsid w:val="00586648"/>
    <w:rsid w:val="00586ACD"/>
    <w:rsid w:val="00586AEA"/>
    <w:rsid w:val="00587A68"/>
    <w:rsid w:val="00587E7B"/>
    <w:rsid w:val="0059054B"/>
    <w:rsid w:val="00590B7B"/>
    <w:rsid w:val="005913B6"/>
    <w:rsid w:val="0059197C"/>
    <w:rsid w:val="00593319"/>
    <w:rsid w:val="00593333"/>
    <w:rsid w:val="00593561"/>
    <w:rsid w:val="005938DF"/>
    <w:rsid w:val="00593A4C"/>
    <w:rsid w:val="00593EA8"/>
    <w:rsid w:val="00594999"/>
    <w:rsid w:val="00594E9C"/>
    <w:rsid w:val="005951A1"/>
    <w:rsid w:val="0059546B"/>
    <w:rsid w:val="00595F55"/>
    <w:rsid w:val="005969FD"/>
    <w:rsid w:val="00596CB1"/>
    <w:rsid w:val="005976E8"/>
    <w:rsid w:val="005A099B"/>
    <w:rsid w:val="005A111E"/>
    <w:rsid w:val="005A118E"/>
    <w:rsid w:val="005A1225"/>
    <w:rsid w:val="005A175E"/>
    <w:rsid w:val="005A1F02"/>
    <w:rsid w:val="005A2078"/>
    <w:rsid w:val="005A213F"/>
    <w:rsid w:val="005A2D9C"/>
    <w:rsid w:val="005A2FC3"/>
    <w:rsid w:val="005A3A76"/>
    <w:rsid w:val="005A4A6E"/>
    <w:rsid w:val="005A50F4"/>
    <w:rsid w:val="005A539A"/>
    <w:rsid w:val="005A55FE"/>
    <w:rsid w:val="005A6A11"/>
    <w:rsid w:val="005A6FCF"/>
    <w:rsid w:val="005B0754"/>
    <w:rsid w:val="005B14D4"/>
    <w:rsid w:val="005B28AE"/>
    <w:rsid w:val="005B29C7"/>
    <w:rsid w:val="005B2F0D"/>
    <w:rsid w:val="005B367A"/>
    <w:rsid w:val="005B38C0"/>
    <w:rsid w:val="005B3937"/>
    <w:rsid w:val="005B3BB4"/>
    <w:rsid w:val="005B4089"/>
    <w:rsid w:val="005B46BD"/>
    <w:rsid w:val="005B4AED"/>
    <w:rsid w:val="005B52EC"/>
    <w:rsid w:val="005B544D"/>
    <w:rsid w:val="005B5494"/>
    <w:rsid w:val="005B7131"/>
    <w:rsid w:val="005B7A2B"/>
    <w:rsid w:val="005C090B"/>
    <w:rsid w:val="005C0F17"/>
    <w:rsid w:val="005C0FA0"/>
    <w:rsid w:val="005C1844"/>
    <w:rsid w:val="005C1AAD"/>
    <w:rsid w:val="005C1EB0"/>
    <w:rsid w:val="005C2CDE"/>
    <w:rsid w:val="005C2EE2"/>
    <w:rsid w:val="005C34EF"/>
    <w:rsid w:val="005C39C6"/>
    <w:rsid w:val="005C3D79"/>
    <w:rsid w:val="005C4BF2"/>
    <w:rsid w:val="005C51F7"/>
    <w:rsid w:val="005C5302"/>
    <w:rsid w:val="005C56C1"/>
    <w:rsid w:val="005C594B"/>
    <w:rsid w:val="005C690F"/>
    <w:rsid w:val="005C69D6"/>
    <w:rsid w:val="005C6ACD"/>
    <w:rsid w:val="005C780C"/>
    <w:rsid w:val="005C7B30"/>
    <w:rsid w:val="005C7B83"/>
    <w:rsid w:val="005D00AF"/>
    <w:rsid w:val="005D1676"/>
    <w:rsid w:val="005D1A19"/>
    <w:rsid w:val="005D1EA6"/>
    <w:rsid w:val="005D1FE1"/>
    <w:rsid w:val="005D2502"/>
    <w:rsid w:val="005D2F22"/>
    <w:rsid w:val="005D3D76"/>
    <w:rsid w:val="005D3E7A"/>
    <w:rsid w:val="005D40BB"/>
    <w:rsid w:val="005D47F3"/>
    <w:rsid w:val="005D49BF"/>
    <w:rsid w:val="005D4AA5"/>
    <w:rsid w:val="005D518E"/>
    <w:rsid w:val="005D6F4E"/>
    <w:rsid w:val="005D78EE"/>
    <w:rsid w:val="005D7C73"/>
    <w:rsid w:val="005D7EFA"/>
    <w:rsid w:val="005E0010"/>
    <w:rsid w:val="005E04DD"/>
    <w:rsid w:val="005E1D3B"/>
    <w:rsid w:val="005E22D7"/>
    <w:rsid w:val="005E250B"/>
    <w:rsid w:val="005E2EE5"/>
    <w:rsid w:val="005E3ACD"/>
    <w:rsid w:val="005E3B6E"/>
    <w:rsid w:val="005E40BB"/>
    <w:rsid w:val="005E460C"/>
    <w:rsid w:val="005E4E2E"/>
    <w:rsid w:val="005E51D4"/>
    <w:rsid w:val="005E7226"/>
    <w:rsid w:val="005E74AD"/>
    <w:rsid w:val="005E788E"/>
    <w:rsid w:val="005E78D7"/>
    <w:rsid w:val="005E7A57"/>
    <w:rsid w:val="005E7F91"/>
    <w:rsid w:val="005F03EF"/>
    <w:rsid w:val="005F044D"/>
    <w:rsid w:val="005F08FF"/>
    <w:rsid w:val="005F17E8"/>
    <w:rsid w:val="005F24B0"/>
    <w:rsid w:val="005F28F0"/>
    <w:rsid w:val="005F508C"/>
    <w:rsid w:val="005F711B"/>
    <w:rsid w:val="005F7591"/>
    <w:rsid w:val="005F7636"/>
    <w:rsid w:val="006002AA"/>
    <w:rsid w:val="006014C0"/>
    <w:rsid w:val="00601F54"/>
    <w:rsid w:val="006022BB"/>
    <w:rsid w:val="00602A88"/>
    <w:rsid w:val="006032C8"/>
    <w:rsid w:val="00603484"/>
    <w:rsid w:val="00603C92"/>
    <w:rsid w:val="00604315"/>
    <w:rsid w:val="006043C3"/>
    <w:rsid w:val="00604D45"/>
    <w:rsid w:val="00604E26"/>
    <w:rsid w:val="0060523F"/>
    <w:rsid w:val="006052CF"/>
    <w:rsid w:val="00606858"/>
    <w:rsid w:val="00606F28"/>
    <w:rsid w:val="0060702D"/>
    <w:rsid w:val="0060798B"/>
    <w:rsid w:val="00607AB9"/>
    <w:rsid w:val="00607B8D"/>
    <w:rsid w:val="0061043B"/>
    <w:rsid w:val="00610740"/>
    <w:rsid w:val="00610BE7"/>
    <w:rsid w:val="00610F53"/>
    <w:rsid w:val="00611F5C"/>
    <w:rsid w:val="00611FBF"/>
    <w:rsid w:val="006128B7"/>
    <w:rsid w:val="006130F6"/>
    <w:rsid w:val="006133D2"/>
    <w:rsid w:val="00614423"/>
    <w:rsid w:val="00614953"/>
    <w:rsid w:val="00615B1E"/>
    <w:rsid w:val="006168CF"/>
    <w:rsid w:val="0061695A"/>
    <w:rsid w:val="00616BF4"/>
    <w:rsid w:val="00616E09"/>
    <w:rsid w:val="00621AFF"/>
    <w:rsid w:val="006225C9"/>
    <w:rsid w:val="00622A3B"/>
    <w:rsid w:val="00622EEA"/>
    <w:rsid w:val="0062396C"/>
    <w:rsid w:val="00623E36"/>
    <w:rsid w:val="00623FF9"/>
    <w:rsid w:val="0062437D"/>
    <w:rsid w:val="0062563E"/>
    <w:rsid w:val="006259D3"/>
    <w:rsid w:val="00625D0F"/>
    <w:rsid w:val="00625D90"/>
    <w:rsid w:val="00625EF9"/>
    <w:rsid w:val="00626339"/>
    <w:rsid w:val="00626347"/>
    <w:rsid w:val="006265F2"/>
    <w:rsid w:val="00626FF6"/>
    <w:rsid w:val="00627D4E"/>
    <w:rsid w:val="00627DAA"/>
    <w:rsid w:val="00630AA1"/>
    <w:rsid w:val="00630CF9"/>
    <w:rsid w:val="00630F12"/>
    <w:rsid w:val="00630F37"/>
    <w:rsid w:val="006319B2"/>
    <w:rsid w:val="00632194"/>
    <w:rsid w:val="00632A42"/>
    <w:rsid w:val="00632B89"/>
    <w:rsid w:val="00632FE2"/>
    <w:rsid w:val="0063346D"/>
    <w:rsid w:val="006342E8"/>
    <w:rsid w:val="0063444D"/>
    <w:rsid w:val="00634478"/>
    <w:rsid w:val="00634B1B"/>
    <w:rsid w:val="00635067"/>
    <w:rsid w:val="00635506"/>
    <w:rsid w:val="00636D72"/>
    <w:rsid w:val="00636EBB"/>
    <w:rsid w:val="0064009E"/>
    <w:rsid w:val="006404ED"/>
    <w:rsid w:val="00641B2A"/>
    <w:rsid w:val="00643285"/>
    <w:rsid w:val="006432C5"/>
    <w:rsid w:val="0064417A"/>
    <w:rsid w:val="00644373"/>
    <w:rsid w:val="00644986"/>
    <w:rsid w:val="00644FF3"/>
    <w:rsid w:val="00645311"/>
    <w:rsid w:val="00645915"/>
    <w:rsid w:val="00646C95"/>
    <w:rsid w:val="00646CC4"/>
    <w:rsid w:val="0064724B"/>
    <w:rsid w:val="00647979"/>
    <w:rsid w:val="0065035A"/>
    <w:rsid w:val="00651561"/>
    <w:rsid w:val="006519C3"/>
    <w:rsid w:val="00652B30"/>
    <w:rsid w:val="00653D05"/>
    <w:rsid w:val="0065444C"/>
    <w:rsid w:val="006550F1"/>
    <w:rsid w:val="00656345"/>
    <w:rsid w:val="006566A9"/>
    <w:rsid w:val="00656DC6"/>
    <w:rsid w:val="00656F16"/>
    <w:rsid w:val="006570F0"/>
    <w:rsid w:val="0065719C"/>
    <w:rsid w:val="00657C1E"/>
    <w:rsid w:val="00657C24"/>
    <w:rsid w:val="00660665"/>
    <w:rsid w:val="0066073C"/>
    <w:rsid w:val="00660741"/>
    <w:rsid w:val="0066076A"/>
    <w:rsid w:val="0066087E"/>
    <w:rsid w:val="006609BF"/>
    <w:rsid w:val="00660EC6"/>
    <w:rsid w:val="00660FDA"/>
    <w:rsid w:val="00661783"/>
    <w:rsid w:val="0066188C"/>
    <w:rsid w:val="00661ABB"/>
    <w:rsid w:val="00662211"/>
    <w:rsid w:val="00662637"/>
    <w:rsid w:val="00662DDF"/>
    <w:rsid w:val="006631A4"/>
    <w:rsid w:val="00663CDB"/>
    <w:rsid w:val="00664110"/>
    <w:rsid w:val="00664484"/>
    <w:rsid w:val="00664D17"/>
    <w:rsid w:val="0066530C"/>
    <w:rsid w:val="006655A1"/>
    <w:rsid w:val="00665A4A"/>
    <w:rsid w:val="00666221"/>
    <w:rsid w:val="00666339"/>
    <w:rsid w:val="0066651F"/>
    <w:rsid w:val="00666520"/>
    <w:rsid w:val="006665B5"/>
    <w:rsid w:val="00666E87"/>
    <w:rsid w:val="00667490"/>
    <w:rsid w:val="00667C5B"/>
    <w:rsid w:val="00670A02"/>
    <w:rsid w:val="00670AC1"/>
    <w:rsid w:val="00670CAB"/>
    <w:rsid w:val="006721B1"/>
    <w:rsid w:val="0067398F"/>
    <w:rsid w:val="00675167"/>
    <w:rsid w:val="0067569C"/>
    <w:rsid w:val="00675BFF"/>
    <w:rsid w:val="00675C6B"/>
    <w:rsid w:val="00676931"/>
    <w:rsid w:val="00676DC8"/>
    <w:rsid w:val="0067787B"/>
    <w:rsid w:val="00681735"/>
    <w:rsid w:val="006817DB"/>
    <w:rsid w:val="00682F1F"/>
    <w:rsid w:val="00682F77"/>
    <w:rsid w:val="00683329"/>
    <w:rsid w:val="006848C5"/>
    <w:rsid w:val="00685158"/>
    <w:rsid w:val="00685540"/>
    <w:rsid w:val="00685B17"/>
    <w:rsid w:val="00686276"/>
    <w:rsid w:val="006868FC"/>
    <w:rsid w:val="00687010"/>
    <w:rsid w:val="0068705E"/>
    <w:rsid w:val="00687DB7"/>
    <w:rsid w:val="00690C79"/>
    <w:rsid w:val="00690F81"/>
    <w:rsid w:val="006913EB"/>
    <w:rsid w:val="00691864"/>
    <w:rsid w:val="00691C9E"/>
    <w:rsid w:val="00691EB8"/>
    <w:rsid w:val="006924B2"/>
    <w:rsid w:val="00692CDE"/>
    <w:rsid w:val="00692DD3"/>
    <w:rsid w:val="00693073"/>
    <w:rsid w:val="0069377F"/>
    <w:rsid w:val="0069510A"/>
    <w:rsid w:val="006958AF"/>
    <w:rsid w:val="00695CD6"/>
    <w:rsid w:val="00695D88"/>
    <w:rsid w:val="00695EE3"/>
    <w:rsid w:val="006964EF"/>
    <w:rsid w:val="00696877"/>
    <w:rsid w:val="006970F4"/>
    <w:rsid w:val="00697446"/>
    <w:rsid w:val="006977FF"/>
    <w:rsid w:val="006979BE"/>
    <w:rsid w:val="006A01FA"/>
    <w:rsid w:val="006A0E9E"/>
    <w:rsid w:val="006A124B"/>
    <w:rsid w:val="006A25C7"/>
    <w:rsid w:val="006A3D13"/>
    <w:rsid w:val="006A3ECF"/>
    <w:rsid w:val="006A4807"/>
    <w:rsid w:val="006A492E"/>
    <w:rsid w:val="006A4AAD"/>
    <w:rsid w:val="006A4BFA"/>
    <w:rsid w:val="006A4CCA"/>
    <w:rsid w:val="006A4D7D"/>
    <w:rsid w:val="006A6940"/>
    <w:rsid w:val="006A6DA2"/>
    <w:rsid w:val="006A73E1"/>
    <w:rsid w:val="006A755B"/>
    <w:rsid w:val="006A79D2"/>
    <w:rsid w:val="006A7AB2"/>
    <w:rsid w:val="006B023B"/>
    <w:rsid w:val="006B0765"/>
    <w:rsid w:val="006B0882"/>
    <w:rsid w:val="006B0912"/>
    <w:rsid w:val="006B0DE3"/>
    <w:rsid w:val="006B0E7C"/>
    <w:rsid w:val="006B1BD4"/>
    <w:rsid w:val="006B1C07"/>
    <w:rsid w:val="006B1F77"/>
    <w:rsid w:val="006B21FA"/>
    <w:rsid w:val="006B25ED"/>
    <w:rsid w:val="006B2F86"/>
    <w:rsid w:val="006B3A00"/>
    <w:rsid w:val="006B438E"/>
    <w:rsid w:val="006B48A8"/>
    <w:rsid w:val="006B52DE"/>
    <w:rsid w:val="006B5717"/>
    <w:rsid w:val="006B573A"/>
    <w:rsid w:val="006B582F"/>
    <w:rsid w:val="006B5A1C"/>
    <w:rsid w:val="006B5EB2"/>
    <w:rsid w:val="006B6FE2"/>
    <w:rsid w:val="006B713A"/>
    <w:rsid w:val="006B728F"/>
    <w:rsid w:val="006B73F7"/>
    <w:rsid w:val="006B74BF"/>
    <w:rsid w:val="006B7B92"/>
    <w:rsid w:val="006B7E3F"/>
    <w:rsid w:val="006C0474"/>
    <w:rsid w:val="006C048B"/>
    <w:rsid w:val="006C0995"/>
    <w:rsid w:val="006C0CEB"/>
    <w:rsid w:val="006C1631"/>
    <w:rsid w:val="006C1B57"/>
    <w:rsid w:val="006C2F68"/>
    <w:rsid w:val="006C3536"/>
    <w:rsid w:val="006C37FD"/>
    <w:rsid w:val="006C3B1E"/>
    <w:rsid w:val="006C3B6A"/>
    <w:rsid w:val="006C45A0"/>
    <w:rsid w:val="006C47FD"/>
    <w:rsid w:val="006C545B"/>
    <w:rsid w:val="006C5BCC"/>
    <w:rsid w:val="006C5BCD"/>
    <w:rsid w:val="006C5C19"/>
    <w:rsid w:val="006C5C4E"/>
    <w:rsid w:val="006C5E93"/>
    <w:rsid w:val="006C5FD4"/>
    <w:rsid w:val="006C66C2"/>
    <w:rsid w:val="006C70A0"/>
    <w:rsid w:val="006C786E"/>
    <w:rsid w:val="006C7B37"/>
    <w:rsid w:val="006C7CDB"/>
    <w:rsid w:val="006D0409"/>
    <w:rsid w:val="006D04CF"/>
    <w:rsid w:val="006D12A9"/>
    <w:rsid w:val="006D1C21"/>
    <w:rsid w:val="006D25F7"/>
    <w:rsid w:val="006D27CB"/>
    <w:rsid w:val="006D2ECC"/>
    <w:rsid w:val="006D2F08"/>
    <w:rsid w:val="006D35C8"/>
    <w:rsid w:val="006D3997"/>
    <w:rsid w:val="006D404E"/>
    <w:rsid w:val="006D5648"/>
    <w:rsid w:val="006D576C"/>
    <w:rsid w:val="006D577C"/>
    <w:rsid w:val="006D57DE"/>
    <w:rsid w:val="006D5865"/>
    <w:rsid w:val="006D6DDF"/>
    <w:rsid w:val="006D7800"/>
    <w:rsid w:val="006D7E2C"/>
    <w:rsid w:val="006E05A2"/>
    <w:rsid w:val="006E07D0"/>
    <w:rsid w:val="006E0999"/>
    <w:rsid w:val="006E0AEE"/>
    <w:rsid w:val="006E1D8F"/>
    <w:rsid w:val="006E2196"/>
    <w:rsid w:val="006E2B43"/>
    <w:rsid w:val="006E4558"/>
    <w:rsid w:val="006E4B1B"/>
    <w:rsid w:val="006E4FED"/>
    <w:rsid w:val="006E5235"/>
    <w:rsid w:val="006E5445"/>
    <w:rsid w:val="006E58AE"/>
    <w:rsid w:val="006E6B7C"/>
    <w:rsid w:val="006E7547"/>
    <w:rsid w:val="006E7D1D"/>
    <w:rsid w:val="006E7D93"/>
    <w:rsid w:val="006F0157"/>
    <w:rsid w:val="006F0418"/>
    <w:rsid w:val="006F09E7"/>
    <w:rsid w:val="006F120C"/>
    <w:rsid w:val="006F121B"/>
    <w:rsid w:val="006F1D7C"/>
    <w:rsid w:val="006F2904"/>
    <w:rsid w:val="006F33BD"/>
    <w:rsid w:val="006F441B"/>
    <w:rsid w:val="006F4E50"/>
    <w:rsid w:val="006F5309"/>
    <w:rsid w:val="006F60F5"/>
    <w:rsid w:val="006F6565"/>
    <w:rsid w:val="006F70F2"/>
    <w:rsid w:val="006F7F72"/>
    <w:rsid w:val="00700595"/>
    <w:rsid w:val="007005E6"/>
    <w:rsid w:val="0070133D"/>
    <w:rsid w:val="00701F3F"/>
    <w:rsid w:val="007024E3"/>
    <w:rsid w:val="007026AE"/>
    <w:rsid w:val="007029A3"/>
    <w:rsid w:val="00702EEF"/>
    <w:rsid w:val="00704032"/>
    <w:rsid w:val="00704D6F"/>
    <w:rsid w:val="00704FB0"/>
    <w:rsid w:val="007055E5"/>
    <w:rsid w:val="00705EDD"/>
    <w:rsid w:val="00706A53"/>
    <w:rsid w:val="00706E4E"/>
    <w:rsid w:val="007070B1"/>
    <w:rsid w:val="007078B4"/>
    <w:rsid w:val="0070791C"/>
    <w:rsid w:val="007102D1"/>
    <w:rsid w:val="007106C5"/>
    <w:rsid w:val="00710E8A"/>
    <w:rsid w:val="007114BA"/>
    <w:rsid w:val="0071180A"/>
    <w:rsid w:val="0071185B"/>
    <w:rsid w:val="00711C06"/>
    <w:rsid w:val="007120C8"/>
    <w:rsid w:val="00712347"/>
    <w:rsid w:val="00712947"/>
    <w:rsid w:val="00713108"/>
    <w:rsid w:val="007136B0"/>
    <w:rsid w:val="0071383C"/>
    <w:rsid w:val="007141A7"/>
    <w:rsid w:val="00714921"/>
    <w:rsid w:val="00714D4C"/>
    <w:rsid w:val="00715650"/>
    <w:rsid w:val="00715657"/>
    <w:rsid w:val="00715722"/>
    <w:rsid w:val="007157ED"/>
    <w:rsid w:val="00715B75"/>
    <w:rsid w:val="00715BAF"/>
    <w:rsid w:val="00715C09"/>
    <w:rsid w:val="0071669E"/>
    <w:rsid w:val="00716814"/>
    <w:rsid w:val="00716DC8"/>
    <w:rsid w:val="00716EB0"/>
    <w:rsid w:val="007176AC"/>
    <w:rsid w:val="00717CC6"/>
    <w:rsid w:val="00721032"/>
    <w:rsid w:val="00721B55"/>
    <w:rsid w:val="00721CBA"/>
    <w:rsid w:val="00721F02"/>
    <w:rsid w:val="00722578"/>
    <w:rsid w:val="00722630"/>
    <w:rsid w:val="007228BB"/>
    <w:rsid w:val="007232FE"/>
    <w:rsid w:val="0072380F"/>
    <w:rsid w:val="00723E26"/>
    <w:rsid w:val="00724466"/>
    <w:rsid w:val="00724530"/>
    <w:rsid w:val="00724864"/>
    <w:rsid w:val="00724949"/>
    <w:rsid w:val="00724A23"/>
    <w:rsid w:val="00724B32"/>
    <w:rsid w:val="00725BE6"/>
    <w:rsid w:val="00725F67"/>
    <w:rsid w:val="00726695"/>
    <w:rsid w:val="00726CE4"/>
    <w:rsid w:val="00727CE4"/>
    <w:rsid w:val="00727F81"/>
    <w:rsid w:val="00730178"/>
    <w:rsid w:val="0073042C"/>
    <w:rsid w:val="00731D94"/>
    <w:rsid w:val="007333B0"/>
    <w:rsid w:val="00733E6A"/>
    <w:rsid w:val="00734143"/>
    <w:rsid w:val="007343FF"/>
    <w:rsid w:val="0073443F"/>
    <w:rsid w:val="00734996"/>
    <w:rsid w:val="0073515B"/>
    <w:rsid w:val="00735D2C"/>
    <w:rsid w:val="0073607C"/>
    <w:rsid w:val="007369B0"/>
    <w:rsid w:val="007371BC"/>
    <w:rsid w:val="00737E47"/>
    <w:rsid w:val="00740EAC"/>
    <w:rsid w:val="00742044"/>
    <w:rsid w:val="00742C25"/>
    <w:rsid w:val="0074304C"/>
    <w:rsid w:val="007432F2"/>
    <w:rsid w:val="00743346"/>
    <w:rsid w:val="0074393D"/>
    <w:rsid w:val="007445B6"/>
    <w:rsid w:val="007447AA"/>
    <w:rsid w:val="00744956"/>
    <w:rsid w:val="00744A75"/>
    <w:rsid w:val="00745A5C"/>
    <w:rsid w:val="0074605F"/>
    <w:rsid w:val="00747E94"/>
    <w:rsid w:val="00751428"/>
    <w:rsid w:val="0075160F"/>
    <w:rsid w:val="007519CF"/>
    <w:rsid w:val="00751E9C"/>
    <w:rsid w:val="00751EF7"/>
    <w:rsid w:val="007526A5"/>
    <w:rsid w:val="007534AC"/>
    <w:rsid w:val="00753840"/>
    <w:rsid w:val="00753ECE"/>
    <w:rsid w:val="00754C83"/>
    <w:rsid w:val="00755C72"/>
    <w:rsid w:val="0075763D"/>
    <w:rsid w:val="0075786B"/>
    <w:rsid w:val="00757CB6"/>
    <w:rsid w:val="007601E0"/>
    <w:rsid w:val="007605E9"/>
    <w:rsid w:val="00761009"/>
    <w:rsid w:val="0076198E"/>
    <w:rsid w:val="00761E5C"/>
    <w:rsid w:val="00762485"/>
    <w:rsid w:val="00762A14"/>
    <w:rsid w:val="0076309C"/>
    <w:rsid w:val="00763164"/>
    <w:rsid w:val="007631C7"/>
    <w:rsid w:val="00763D4F"/>
    <w:rsid w:val="00763DDA"/>
    <w:rsid w:val="0076425C"/>
    <w:rsid w:val="00765135"/>
    <w:rsid w:val="00765DF8"/>
    <w:rsid w:val="00766749"/>
    <w:rsid w:val="0076729D"/>
    <w:rsid w:val="0076797D"/>
    <w:rsid w:val="00767C1B"/>
    <w:rsid w:val="0077028D"/>
    <w:rsid w:val="007705FF"/>
    <w:rsid w:val="0077061A"/>
    <w:rsid w:val="00770B3F"/>
    <w:rsid w:val="007714A9"/>
    <w:rsid w:val="00771EBF"/>
    <w:rsid w:val="0077228D"/>
    <w:rsid w:val="0077419D"/>
    <w:rsid w:val="007742A4"/>
    <w:rsid w:val="0077465C"/>
    <w:rsid w:val="0077493F"/>
    <w:rsid w:val="00774F88"/>
    <w:rsid w:val="00774FDB"/>
    <w:rsid w:val="007758B2"/>
    <w:rsid w:val="00775E86"/>
    <w:rsid w:val="00776433"/>
    <w:rsid w:val="007767B8"/>
    <w:rsid w:val="00777BA2"/>
    <w:rsid w:val="00777BDF"/>
    <w:rsid w:val="0078010A"/>
    <w:rsid w:val="00781408"/>
    <w:rsid w:val="00782B24"/>
    <w:rsid w:val="007841BD"/>
    <w:rsid w:val="007843EA"/>
    <w:rsid w:val="00784F4C"/>
    <w:rsid w:val="00784F7F"/>
    <w:rsid w:val="007878BD"/>
    <w:rsid w:val="00790590"/>
    <w:rsid w:val="00790DAC"/>
    <w:rsid w:val="0079152A"/>
    <w:rsid w:val="007916B9"/>
    <w:rsid w:val="00791FA6"/>
    <w:rsid w:val="00792130"/>
    <w:rsid w:val="00793050"/>
    <w:rsid w:val="00793278"/>
    <w:rsid w:val="00793AF3"/>
    <w:rsid w:val="007943D8"/>
    <w:rsid w:val="00794422"/>
    <w:rsid w:val="00794ECF"/>
    <w:rsid w:val="0079503C"/>
    <w:rsid w:val="00795590"/>
    <w:rsid w:val="007957CC"/>
    <w:rsid w:val="007961CC"/>
    <w:rsid w:val="00796645"/>
    <w:rsid w:val="00796F25"/>
    <w:rsid w:val="00797C30"/>
    <w:rsid w:val="007A059A"/>
    <w:rsid w:val="007A1BA2"/>
    <w:rsid w:val="007A22A6"/>
    <w:rsid w:val="007A2724"/>
    <w:rsid w:val="007A2E81"/>
    <w:rsid w:val="007A2E98"/>
    <w:rsid w:val="007A300F"/>
    <w:rsid w:val="007A33DD"/>
    <w:rsid w:val="007A3A60"/>
    <w:rsid w:val="007A3BA3"/>
    <w:rsid w:val="007A3C91"/>
    <w:rsid w:val="007A480E"/>
    <w:rsid w:val="007A5AC1"/>
    <w:rsid w:val="007A6403"/>
    <w:rsid w:val="007A69DE"/>
    <w:rsid w:val="007A6CC0"/>
    <w:rsid w:val="007A77A9"/>
    <w:rsid w:val="007A7822"/>
    <w:rsid w:val="007A7B43"/>
    <w:rsid w:val="007A7FEC"/>
    <w:rsid w:val="007B0D68"/>
    <w:rsid w:val="007B1499"/>
    <w:rsid w:val="007B1AD8"/>
    <w:rsid w:val="007B1BBF"/>
    <w:rsid w:val="007B2960"/>
    <w:rsid w:val="007B2E49"/>
    <w:rsid w:val="007B31BD"/>
    <w:rsid w:val="007B355D"/>
    <w:rsid w:val="007B4267"/>
    <w:rsid w:val="007B495A"/>
    <w:rsid w:val="007B57D0"/>
    <w:rsid w:val="007B6D06"/>
    <w:rsid w:val="007B6FB9"/>
    <w:rsid w:val="007B7980"/>
    <w:rsid w:val="007B7C51"/>
    <w:rsid w:val="007C06A5"/>
    <w:rsid w:val="007C0DEF"/>
    <w:rsid w:val="007C110E"/>
    <w:rsid w:val="007C141D"/>
    <w:rsid w:val="007C301F"/>
    <w:rsid w:val="007C303C"/>
    <w:rsid w:val="007C5D5A"/>
    <w:rsid w:val="007C607F"/>
    <w:rsid w:val="007C6D74"/>
    <w:rsid w:val="007C79DD"/>
    <w:rsid w:val="007C7C11"/>
    <w:rsid w:val="007D0837"/>
    <w:rsid w:val="007D1A3F"/>
    <w:rsid w:val="007D1A97"/>
    <w:rsid w:val="007D231A"/>
    <w:rsid w:val="007D2CD6"/>
    <w:rsid w:val="007D2CD9"/>
    <w:rsid w:val="007D3063"/>
    <w:rsid w:val="007D3CEB"/>
    <w:rsid w:val="007D4BAB"/>
    <w:rsid w:val="007D51B0"/>
    <w:rsid w:val="007D5706"/>
    <w:rsid w:val="007D6110"/>
    <w:rsid w:val="007D64D4"/>
    <w:rsid w:val="007D7AA1"/>
    <w:rsid w:val="007E00BE"/>
    <w:rsid w:val="007E0AAF"/>
    <w:rsid w:val="007E182D"/>
    <w:rsid w:val="007E2655"/>
    <w:rsid w:val="007E2CF5"/>
    <w:rsid w:val="007E2D56"/>
    <w:rsid w:val="007E2E0C"/>
    <w:rsid w:val="007E3DCC"/>
    <w:rsid w:val="007E49F8"/>
    <w:rsid w:val="007E4E5E"/>
    <w:rsid w:val="007E668D"/>
    <w:rsid w:val="007E689C"/>
    <w:rsid w:val="007E6AA7"/>
    <w:rsid w:val="007E6CA4"/>
    <w:rsid w:val="007E7652"/>
    <w:rsid w:val="007E7683"/>
    <w:rsid w:val="007E78D3"/>
    <w:rsid w:val="007F06E4"/>
    <w:rsid w:val="007F0B99"/>
    <w:rsid w:val="007F195E"/>
    <w:rsid w:val="007F198C"/>
    <w:rsid w:val="007F1B8B"/>
    <w:rsid w:val="007F3184"/>
    <w:rsid w:val="007F34FB"/>
    <w:rsid w:val="007F4008"/>
    <w:rsid w:val="007F49FA"/>
    <w:rsid w:val="007F4DFC"/>
    <w:rsid w:val="007F5005"/>
    <w:rsid w:val="007F54C4"/>
    <w:rsid w:val="007F5726"/>
    <w:rsid w:val="007F58BC"/>
    <w:rsid w:val="007F6586"/>
    <w:rsid w:val="007F6A85"/>
    <w:rsid w:val="007F6E9A"/>
    <w:rsid w:val="00800598"/>
    <w:rsid w:val="008006F8"/>
    <w:rsid w:val="0080084A"/>
    <w:rsid w:val="00800CCD"/>
    <w:rsid w:val="00801062"/>
    <w:rsid w:val="008013CF"/>
    <w:rsid w:val="008015E4"/>
    <w:rsid w:val="0080162B"/>
    <w:rsid w:val="00801732"/>
    <w:rsid w:val="00801CD5"/>
    <w:rsid w:val="00801CD8"/>
    <w:rsid w:val="00801FEB"/>
    <w:rsid w:val="00802450"/>
    <w:rsid w:val="00803118"/>
    <w:rsid w:val="00803F6F"/>
    <w:rsid w:val="00803FA6"/>
    <w:rsid w:val="008044D4"/>
    <w:rsid w:val="00804966"/>
    <w:rsid w:val="008049E6"/>
    <w:rsid w:val="008058C3"/>
    <w:rsid w:val="00805D22"/>
    <w:rsid w:val="0080638E"/>
    <w:rsid w:val="008068A8"/>
    <w:rsid w:val="00807B33"/>
    <w:rsid w:val="008109C0"/>
    <w:rsid w:val="00810AB1"/>
    <w:rsid w:val="00810AB4"/>
    <w:rsid w:val="008123D0"/>
    <w:rsid w:val="008133E9"/>
    <w:rsid w:val="008134FB"/>
    <w:rsid w:val="00814322"/>
    <w:rsid w:val="008143DC"/>
    <w:rsid w:val="008143F7"/>
    <w:rsid w:val="0081624D"/>
    <w:rsid w:val="0081776C"/>
    <w:rsid w:val="008177DA"/>
    <w:rsid w:val="00817B56"/>
    <w:rsid w:val="008203FB"/>
    <w:rsid w:val="00820572"/>
    <w:rsid w:val="00821562"/>
    <w:rsid w:val="008217B4"/>
    <w:rsid w:val="00821A88"/>
    <w:rsid w:val="00822F08"/>
    <w:rsid w:val="0082322E"/>
    <w:rsid w:val="00823364"/>
    <w:rsid w:val="00823BA7"/>
    <w:rsid w:val="00823C82"/>
    <w:rsid w:val="0082495D"/>
    <w:rsid w:val="00824D94"/>
    <w:rsid w:val="0082561E"/>
    <w:rsid w:val="0082635E"/>
    <w:rsid w:val="008267C5"/>
    <w:rsid w:val="0083064C"/>
    <w:rsid w:val="0083122F"/>
    <w:rsid w:val="008312CD"/>
    <w:rsid w:val="00831575"/>
    <w:rsid w:val="00831AC3"/>
    <w:rsid w:val="0083295A"/>
    <w:rsid w:val="00833EA4"/>
    <w:rsid w:val="008341CB"/>
    <w:rsid w:val="008351B5"/>
    <w:rsid w:val="00835A8B"/>
    <w:rsid w:val="00835BFD"/>
    <w:rsid w:val="00835DF2"/>
    <w:rsid w:val="008365A5"/>
    <w:rsid w:val="00836C31"/>
    <w:rsid w:val="00836FCE"/>
    <w:rsid w:val="00837103"/>
    <w:rsid w:val="008372B0"/>
    <w:rsid w:val="008373DD"/>
    <w:rsid w:val="00837816"/>
    <w:rsid w:val="00837BCA"/>
    <w:rsid w:val="008406AE"/>
    <w:rsid w:val="008408FF"/>
    <w:rsid w:val="00840DD3"/>
    <w:rsid w:val="008414B9"/>
    <w:rsid w:val="00841C80"/>
    <w:rsid w:val="00842B16"/>
    <w:rsid w:val="00844375"/>
    <w:rsid w:val="00844EEE"/>
    <w:rsid w:val="0084557D"/>
    <w:rsid w:val="00845B29"/>
    <w:rsid w:val="00846542"/>
    <w:rsid w:val="00846883"/>
    <w:rsid w:val="00847B70"/>
    <w:rsid w:val="00850ADE"/>
    <w:rsid w:val="008517FA"/>
    <w:rsid w:val="00851F3F"/>
    <w:rsid w:val="00851F49"/>
    <w:rsid w:val="00852BB9"/>
    <w:rsid w:val="00852D43"/>
    <w:rsid w:val="00852DFE"/>
    <w:rsid w:val="00852F50"/>
    <w:rsid w:val="0085349C"/>
    <w:rsid w:val="00853C88"/>
    <w:rsid w:val="008541B2"/>
    <w:rsid w:val="0085566F"/>
    <w:rsid w:val="0085615F"/>
    <w:rsid w:val="00856EDC"/>
    <w:rsid w:val="008576A8"/>
    <w:rsid w:val="00857E80"/>
    <w:rsid w:val="0086031A"/>
    <w:rsid w:val="0086176F"/>
    <w:rsid w:val="00861824"/>
    <w:rsid w:val="00861C35"/>
    <w:rsid w:val="008620CB"/>
    <w:rsid w:val="0086227C"/>
    <w:rsid w:val="008623B5"/>
    <w:rsid w:val="00862DD1"/>
    <w:rsid w:val="0086318F"/>
    <w:rsid w:val="008634B3"/>
    <w:rsid w:val="00864853"/>
    <w:rsid w:val="0086560D"/>
    <w:rsid w:val="008668EE"/>
    <w:rsid w:val="00866A47"/>
    <w:rsid w:val="00866B71"/>
    <w:rsid w:val="0086794B"/>
    <w:rsid w:val="00867B94"/>
    <w:rsid w:val="00870534"/>
    <w:rsid w:val="00870ABA"/>
    <w:rsid w:val="00870BEB"/>
    <w:rsid w:val="008710E1"/>
    <w:rsid w:val="008716E5"/>
    <w:rsid w:val="008721F7"/>
    <w:rsid w:val="0087247F"/>
    <w:rsid w:val="00872D4D"/>
    <w:rsid w:val="0087342B"/>
    <w:rsid w:val="00873A3A"/>
    <w:rsid w:val="00873D95"/>
    <w:rsid w:val="00874F57"/>
    <w:rsid w:val="00875099"/>
    <w:rsid w:val="008750D6"/>
    <w:rsid w:val="00876DE7"/>
    <w:rsid w:val="008814E1"/>
    <w:rsid w:val="00881A6D"/>
    <w:rsid w:val="00881CA9"/>
    <w:rsid w:val="00881F0C"/>
    <w:rsid w:val="00882407"/>
    <w:rsid w:val="0088341E"/>
    <w:rsid w:val="00883628"/>
    <w:rsid w:val="00884299"/>
    <w:rsid w:val="00885544"/>
    <w:rsid w:val="0088634E"/>
    <w:rsid w:val="0088655B"/>
    <w:rsid w:val="008866B7"/>
    <w:rsid w:val="00886718"/>
    <w:rsid w:val="0088723D"/>
    <w:rsid w:val="00887A03"/>
    <w:rsid w:val="0089201A"/>
    <w:rsid w:val="008926C7"/>
    <w:rsid w:val="00892E92"/>
    <w:rsid w:val="00893271"/>
    <w:rsid w:val="00893319"/>
    <w:rsid w:val="00893347"/>
    <w:rsid w:val="00893AB8"/>
    <w:rsid w:val="0089544E"/>
    <w:rsid w:val="00895604"/>
    <w:rsid w:val="008A04C8"/>
    <w:rsid w:val="008A117C"/>
    <w:rsid w:val="008A376A"/>
    <w:rsid w:val="008A38F9"/>
    <w:rsid w:val="008A3E6C"/>
    <w:rsid w:val="008A4066"/>
    <w:rsid w:val="008A4200"/>
    <w:rsid w:val="008A45C7"/>
    <w:rsid w:val="008A669E"/>
    <w:rsid w:val="008A6913"/>
    <w:rsid w:val="008A6CE5"/>
    <w:rsid w:val="008A6E7A"/>
    <w:rsid w:val="008A7CCE"/>
    <w:rsid w:val="008B061B"/>
    <w:rsid w:val="008B0696"/>
    <w:rsid w:val="008B0C39"/>
    <w:rsid w:val="008B1671"/>
    <w:rsid w:val="008B1AFB"/>
    <w:rsid w:val="008B2D42"/>
    <w:rsid w:val="008B315D"/>
    <w:rsid w:val="008B340C"/>
    <w:rsid w:val="008B40E0"/>
    <w:rsid w:val="008B4E89"/>
    <w:rsid w:val="008B4EBA"/>
    <w:rsid w:val="008B50B5"/>
    <w:rsid w:val="008B51EA"/>
    <w:rsid w:val="008B70F3"/>
    <w:rsid w:val="008B71C4"/>
    <w:rsid w:val="008B76DF"/>
    <w:rsid w:val="008C10F4"/>
    <w:rsid w:val="008C1429"/>
    <w:rsid w:val="008C1610"/>
    <w:rsid w:val="008C1C17"/>
    <w:rsid w:val="008C1CD5"/>
    <w:rsid w:val="008C1CFF"/>
    <w:rsid w:val="008C2156"/>
    <w:rsid w:val="008C2948"/>
    <w:rsid w:val="008C31C9"/>
    <w:rsid w:val="008C3243"/>
    <w:rsid w:val="008C34E2"/>
    <w:rsid w:val="008C3673"/>
    <w:rsid w:val="008C3CF7"/>
    <w:rsid w:val="008C427B"/>
    <w:rsid w:val="008C456E"/>
    <w:rsid w:val="008C47AC"/>
    <w:rsid w:val="008C5E21"/>
    <w:rsid w:val="008C5E7F"/>
    <w:rsid w:val="008C65F7"/>
    <w:rsid w:val="008C6A14"/>
    <w:rsid w:val="008C6D0F"/>
    <w:rsid w:val="008C7E02"/>
    <w:rsid w:val="008C7ECA"/>
    <w:rsid w:val="008D0208"/>
    <w:rsid w:val="008D0249"/>
    <w:rsid w:val="008D08FE"/>
    <w:rsid w:val="008D0D6F"/>
    <w:rsid w:val="008D26B8"/>
    <w:rsid w:val="008D30E2"/>
    <w:rsid w:val="008D3223"/>
    <w:rsid w:val="008D3399"/>
    <w:rsid w:val="008D3694"/>
    <w:rsid w:val="008D37DE"/>
    <w:rsid w:val="008D3C17"/>
    <w:rsid w:val="008D43C4"/>
    <w:rsid w:val="008D441E"/>
    <w:rsid w:val="008D4933"/>
    <w:rsid w:val="008D7AE3"/>
    <w:rsid w:val="008D7BDC"/>
    <w:rsid w:val="008E0428"/>
    <w:rsid w:val="008E1ACE"/>
    <w:rsid w:val="008E1B6A"/>
    <w:rsid w:val="008E201A"/>
    <w:rsid w:val="008E251D"/>
    <w:rsid w:val="008E26E9"/>
    <w:rsid w:val="008E334B"/>
    <w:rsid w:val="008E3544"/>
    <w:rsid w:val="008E41A9"/>
    <w:rsid w:val="008E4767"/>
    <w:rsid w:val="008E4E56"/>
    <w:rsid w:val="008E5172"/>
    <w:rsid w:val="008E7A8C"/>
    <w:rsid w:val="008F2AC6"/>
    <w:rsid w:val="008F2B94"/>
    <w:rsid w:val="008F3977"/>
    <w:rsid w:val="008F42C9"/>
    <w:rsid w:val="008F4399"/>
    <w:rsid w:val="008F4607"/>
    <w:rsid w:val="008F4A7D"/>
    <w:rsid w:val="008F4EEE"/>
    <w:rsid w:val="008F6996"/>
    <w:rsid w:val="008F7263"/>
    <w:rsid w:val="008F7D1C"/>
    <w:rsid w:val="008F7DC4"/>
    <w:rsid w:val="00901A4B"/>
    <w:rsid w:val="0090203B"/>
    <w:rsid w:val="00902089"/>
    <w:rsid w:val="00902D9E"/>
    <w:rsid w:val="0090321B"/>
    <w:rsid w:val="00903285"/>
    <w:rsid w:val="009040D2"/>
    <w:rsid w:val="0090558B"/>
    <w:rsid w:val="00905835"/>
    <w:rsid w:val="00905BA1"/>
    <w:rsid w:val="00905CCB"/>
    <w:rsid w:val="00905F13"/>
    <w:rsid w:val="00906F40"/>
    <w:rsid w:val="0090731E"/>
    <w:rsid w:val="00907C07"/>
    <w:rsid w:val="00910154"/>
    <w:rsid w:val="00910618"/>
    <w:rsid w:val="009109C6"/>
    <w:rsid w:val="00911A48"/>
    <w:rsid w:val="0091259E"/>
    <w:rsid w:val="00913FE5"/>
    <w:rsid w:val="009153C9"/>
    <w:rsid w:val="00915542"/>
    <w:rsid w:val="00915B1C"/>
    <w:rsid w:val="009174F3"/>
    <w:rsid w:val="00917945"/>
    <w:rsid w:val="0091797D"/>
    <w:rsid w:val="00920EA1"/>
    <w:rsid w:val="00922723"/>
    <w:rsid w:val="00923103"/>
    <w:rsid w:val="00923172"/>
    <w:rsid w:val="009237A9"/>
    <w:rsid w:val="00923B92"/>
    <w:rsid w:val="00923CBA"/>
    <w:rsid w:val="009249EA"/>
    <w:rsid w:val="00925312"/>
    <w:rsid w:val="009257D2"/>
    <w:rsid w:val="00925AB8"/>
    <w:rsid w:val="00926703"/>
    <w:rsid w:val="00927691"/>
    <w:rsid w:val="00927A5F"/>
    <w:rsid w:val="00930388"/>
    <w:rsid w:val="00930510"/>
    <w:rsid w:val="0093059D"/>
    <w:rsid w:val="009310EB"/>
    <w:rsid w:val="00931E20"/>
    <w:rsid w:val="0093280B"/>
    <w:rsid w:val="00932AC8"/>
    <w:rsid w:val="00932F0E"/>
    <w:rsid w:val="009332A3"/>
    <w:rsid w:val="009337FD"/>
    <w:rsid w:val="00933923"/>
    <w:rsid w:val="00934273"/>
    <w:rsid w:val="00934485"/>
    <w:rsid w:val="00934BBA"/>
    <w:rsid w:val="00935ABC"/>
    <w:rsid w:val="00935B63"/>
    <w:rsid w:val="00935D2E"/>
    <w:rsid w:val="009369EC"/>
    <w:rsid w:val="00936BD4"/>
    <w:rsid w:val="00936E95"/>
    <w:rsid w:val="0093763C"/>
    <w:rsid w:val="00937F4C"/>
    <w:rsid w:val="0094078F"/>
    <w:rsid w:val="009408FE"/>
    <w:rsid w:val="00940AC4"/>
    <w:rsid w:val="00940FA3"/>
    <w:rsid w:val="00941EB8"/>
    <w:rsid w:val="00941FB0"/>
    <w:rsid w:val="009426D4"/>
    <w:rsid w:val="0094291B"/>
    <w:rsid w:val="00942AB0"/>
    <w:rsid w:val="00942C69"/>
    <w:rsid w:val="009437B0"/>
    <w:rsid w:val="00945FA6"/>
    <w:rsid w:val="009462BB"/>
    <w:rsid w:val="00946533"/>
    <w:rsid w:val="009465A0"/>
    <w:rsid w:val="00946BDC"/>
    <w:rsid w:val="00947388"/>
    <w:rsid w:val="00947F25"/>
    <w:rsid w:val="00950159"/>
    <w:rsid w:val="009510DF"/>
    <w:rsid w:val="00951605"/>
    <w:rsid w:val="0095168A"/>
    <w:rsid w:val="0095236F"/>
    <w:rsid w:val="00952989"/>
    <w:rsid w:val="00952BC7"/>
    <w:rsid w:val="009531CA"/>
    <w:rsid w:val="0095349F"/>
    <w:rsid w:val="0095351B"/>
    <w:rsid w:val="00953C1C"/>
    <w:rsid w:val="00954554"/>
    <w:rsid w:val="0095490B"/>
    <w:rsid w:val="009555AC"/>
    <w:rsid w:val="009555F2"/>
    <w:rsid w:val="009560D3"/>
    <w:rsid w:val="00956C4D"/>
    <w:rsid w:val="009576B7"/>
    <w:rsid w:val="00957A5E"/>
    <w:rsid w:val="00960A33"/>
    <w:rsid w:val="00960EEB"/>
    <w:rsid w:val="00961067"/>
    <w:rsid w:val="009618CF"/>
    <w:rsid w:val="00961B81"/>
    <w:rsid w:val="009625CE"/>
    <w:rsid w:val="00962C71"/>
    <w:rsid w:val="0096322E"/>
    <w:rsid w:val="00963B07"/>
    <w:rsid w:val="0096411D"/>
    <w:rsid w:val="0096418A"/>
    <w:rsid w:val="009644AF"/>
    <w:rsid w:val="009655AC"/>
    <w:rsid w:val="00965B80"/>
    <w:rsid w:val="00965EEF"/>
    <w:rsid w:val="00966541"/>
    <w:rsid w:val="0096678A"/>
    <w:rsid w:val="009678C9"/>
    <w:rsid w:val="00967CEF"/>
    <w:rsid w:val="00967ECB"/>
    <w:rsid w:val="00970699"/>
    <w:rsid w:val="0097080F"/>
    <w:rsid w:val="0097132D"/>
    <w:rsid w:val="009714B8"/>
    <w:rsid w:val="00971914"/>
    <w:rsid w:val="009722A3"/>
    <w:rsid w:val="00973033"/>
    <w:rsid w:val="00974363"/>
    <w:rsid w:val="00974FDC"/>
    <w:rsid w:val="0097528E"/>
    <w:rsid w:val="009755F0"/>
    <w:rsid w:val="00975624"/>
    <w:rsid w:val="00975C44"/>
    <w:rsid w:val="00975CD7"/>
    <w:rsid w:val="009763EB"/>
    <w:rsid w:val="009778BC"/>
    <w:rsid w:val="00977C85"/>
    <w:rsid w:val="00980CB1"/>
    <w:rsid w:val="0098105F"/>
    <w:rsid w:val="009812F7"/>
    <w:rsid w:val="00981898"/>
    <w:rsid w:val="009819A1"/>
    <w:rsid w:val="00981FA7"/>
    <w:rsid w:val="00982BFF"/>
    <w:rsid w:val="009838AB"/>
    <w:rsid w:val="00983C7F"/>
    <w:rsid w:val="0098495F"/>
    <w:rsid w:val="00985473"/>
    <w:rsid w:val="00985708"/>
    <w:rsid w:val="00985E20"/>
    <w:rsid w:val="00985F0B"/>
    <w:rsid w:val="00985F6D"/>
    <w:rsid w:val="00986235"/>
    <w:rsid w:val="009878A3"/>
    <w:rsid w:val="0099072F"/>
    <w:rsid w:val="0099131E"/>
    <w:rsid w:val="00992A22"/>
    <w:rsid w:val="009933DE"/>
    <w:rsid w:val="00993EA0"/>
    <w:rsid w:val="009940DB"/>
    <w:rsid w:val="00994719"/>
    <w:rsid w:val="009947AF"/>
    <w:rsid w:val="009949FD"/>
    <w:rsid w:val="00994C1F"/>
    <w:rsid w:val="00995208"/>
    <w:rsid w:val="00995640"/>
    <w:rsid w:val="0099577C"/>
    <w:rsid w:val="00995BDC"/>
    <w:rsid w:val="00996143"/>
    <w:rsid w:val="0099669F"/>
    <w:rsid w:val="009967C6"/>
    <w:rsid w:val="00997772"/>
    <w:rsid w:val="00997A0D"/>
    <w:rsid w:val="00997FA2"/>
    <w:rsid w:val="009A021C"/>
    <w:rsid w:val="009A047C"/>
    <w:rsid w:val="009A08D6"/>
    <w:rsid w:val="009A0FF3"/>
    <w:rsid w:val="009A1A9D"/>
    <w:rsid w:val="009A25CC"/>
    <w:rsid w:val="009A2869"/>
    <w:rsid w:val="009A2C81"/>
    <w:rsid w:val="009A3A5E"/>
    <w:rsid w:val="009A3F68"/>
    <w:rsid w:val="009A4160"/>
    <w:rsid w:val="009A43C2"/>
    <w:rsid w:val="009A4743"/>
    <w:rsid w:val="009A4D5A"/>
    <w:rsid w:val="009A6840"/>
    <w:rsid w:val="009A6920"/>
    <w:rsid w:val="009A6D5A"/>
    <w:rsid w:val="009A7CA7"/>
    <w:rsid w:val="009A7DF7"/>
    <w:rsid w:val="009B00F7"/>
    <w:rsid w:val="009B083A"/>
    <w:rsid w:val="009B0976"/>
    <w:rsid w:val="009B0A36"/>
    <w:rsid w:val="009B0B2B"/>
    <w:rsid w:val="009B24A5"/>
    <w:rsid w:val="009B2601"/>
    <w:rsid w:val="009B2EB7"/>
    <w:rsid w:val="009B3DAC"/>
    <w:rsid w:val="009B3EE8"/>
    <w:rsid w:val="009B4E9E"/>
    <w:rsid w:val="009B639B"/>
    <w:rsid w:val="009B6716"/>
    <w:rsid w:val="009B7416"/>
    <w:rsid w:val="009B7D61"/>
    <w:rsid w:val="009C09AE"/>
    <w:rsid w:val="009C0A78"/>
    <w:rsid w:val="009C0E71"/>
    <w:rsid w:val="009C0FC0"/>
    <w:rsid w:val="009C14C4"/>
    <w:rsid w:val="009C1690"/>
    <w:rsid w:val="009C1CC0"/>
    <w:rsid w:val="009C226A"/>
    <w:rsid w:val="009C25CA"/>
    <w:rsid w:val="009C2F33"/>
    <w:rsid w:val="009C2FEC"/>
    <w:rsid w:val="009C4364"/>
    <w:rsid w:val="009C5963"/>
    <w:rsid w:val="009C5C28"/>
    <w:rsid w:val="009C6070"/>
    <w:rsid w:val="009C687A"/>
    <w:rsid w:val="009C6881"/>
    <w:rsid w:val="009C69CA"/>
    <w:rsid w:val="009C7759"/>
    <w:rsid w:val="009C7967"/>
    <w:rsid w:val="009C7C17"/>
    <w:rsid w:val="009D043D"/>
    <w:rsid w:val="009D07C8"/>
    <w:rsid w:val="009D0ADD"/>
    <w:rsid w:val="009D0AFD"/>
    <w:rsid w:val="009D19BA"/>
    <w:rsid w:val="009D1FED"/>
    <w:rsid w:val="009D2176"/>
    <w:rsid w:val="009D21AC"/>
    <w:rsid w:val="009D2F7E"/>
    <w:rsid w:val="009D3574"/>
    <w:rsid w:val="009D406C"/>
    <w:rsid w:val="009D4C85"/>
    <w:rsid w:val="009D4F9A"/>
    <w:rsid w:val="009D63A6"/>
    <w:rsid w:val="009D69B0"/>
    <w:rsid w:val="009D6C71"/>
    <w:rsid w:val="009D6F8D"/>
    <w:rsid w:val="009D743D"/>
    <w:rsid w:val="009E02A2"/>
    <w:rsid w:val="009E0631"/>
    <w:rsid w:val="009E0FD0"/>
    <w:rsid w:val="009E10E4"/>
    <w:rsid w:val="009E16D0"/>
    <w:rsid w:val="009E1A1A"/>
    <w:rsid w:val="009E2051"/>
    <w:rsid w:val="009E2138"/>
    <w:rsid w:val="009E38FD"/>
    <w:rsid w:val="009E3A6A"/>
    <w:rsid w:val="009E44FD"/>
    <w:rsid w:val="009E4EC5"/>
    <w:rsid w:val="009E7216"/>
    <w:rsid w:val="009E72C5"/>
    <w:rsid w:val="009E75BE"/>
    <w:rsid w:val="009E7855"/>
    <w:rsid w:val="009E793B"/>
    <w:rsid w:val="009F0318"/>
    <w:rsid w:val="009F0517"/>
    <w:rsid w:val="009F13D6"/>
    <w:rsid w:val="009F1AE1"/>
    <w:rsid w:val="009F22C4"/>
    <w:rsid w:val="009F2618"/>
    <w:rsid w:val="009F2633"/>
    <w:rsid w:val="009F2770"/>
    <w:rsid w:val="009F39D2"/>
    <w:rsid w:val="009F3DBB"/>
    <w:rsid w:val="009F48BC"/>
    <w:rsid w:val="009F49C2"/>
    <w:rsid w:val="009F4AB9"/>
    <w:rsid w:val="009F4C13"/>
    <w:rsid w:val="009F4C6B"/>
    <w:rsid w:val="009F555D"/>
    <w:rsid w:val="009F5D6F"/>
    <w:rsid w:val="009F666A"/>
    <w:rsid w:val="009F71B0"/>
    <w:rsid w:val="009F78A8"/>
    <w:rsid w:val="009F7A8A"/>
    <w:rsid w:val="00A0013F"/>
    <w:rsid w:val="00A017E0"/>
    <w:rsid w:val="00A01E4C"/>
    <w:rsid w:val="00A02268"/>
    <w:rsid w:val="00A02AD6"/>
    <w:rsid w:val="00A031ED"/>
    <w:rsid w:val="00A035EE"/>
    <w:rsid w:val="00A03BB1"/>
    <w:rsid w:val="00A04F6E"/>
    <w:rsid w:val="00A07096"/>
    <w:rsid w:val="00A0722D"/>
    <w:rsid w:val="00A07318"/>
    <w:rsid w:val="00A10022"/>
    <w:rsid w:val="00A105F3"/>
    <w:rsid w:val="00A108E0"/>
    <w:rsid w:val="00A10C75"/>
    <w:rsid w:val="00A10CF9"/>
    <w:rsid w:val="00A10E61"/>
    <w:rsid w:val="00A10EDE"/>
    <w:rsid w:val="00A1121F"/>
    <w:rsid w:val="00A11370"/>
    <w:rsid w:val="00A11847"/>
    <w:rsid w:val="00A120FB"/>
    <w:rsid w:val="00A1287F"/>
    <w:rsid w:val="00A13EC6"/>
    <w:rsid w:val="00A13F5A"/>
    <w:rsid w:val="00A14579"/>
    <w:rsid w:val="00A14F05"/>
    <w:rsid w:val="00A15E59"/>
    <w:rsid w:val="00A15F81"/>
    <w:rsid w:val="00A16235"/>
    <w:rsid w:val="00A164E7"/>
    <w:rsid w:val="00A16E03"/>
    <w:rsid w:val="00A224CE"/>
    <w:rsid w:val="00A22522"/>
    <w:rsid w:val="00A22CC2"/>
    <w:rsid w:val="00A23379"/>
    <w:rsid w:val="00A235B2"/>
    <w:rsid w:val="00A24A32"/>
    <w:rsid w:val="00A24AFD"/>
    <w:rsid w:val="00A24F5C"/>
    <w:rsid w:val="00A25929"/>
    <w:rsid w:val="00A259F8"/>
    <w:rsid w:val="00A25CD2"/>
    <w:rsid w:val="00A25DF4"/>
    <w:rsid w:val="00A2617C"/>
    <w:rsid w:val="00A265A9"/>
    <w:rsid w:val="00A273EA"/>
    <w:rsid w:val="00A27762"/>
    <w:rsid w:val="00A27E8B"/>
    <w:rsid w:val="00A30285"/>
    <w:rsid w:val="00A303C5"/>
    <w:rsid w:val="00A30706"/>
    <w:rsid w:val="00A3103B"/>
    <w:rsid w:val="00A3110A"/>
    <w:rsid w:val="00A31CE8"/>
    <w:rsid w:val="00A31E80"/>
    <w:rsid w:val="00A32729"/>
    <w:rsid w:val="00A32A99"/>
    <w:rsid w:val="00A32F96"/>
    <w:rsid w:val="00A33C62"/>
    <w:rsid w:val="00A33E7D"/>
    <w:rsid w:val="00A33FCC"/>
    <w:rsid w:val="00A34132"/>
    <w:rsid w:val="00A34234"/>
    <w:rsid w:val="00A361A6"/>
    <w:rsid w:val="00A36318"/>
    <w:rsid w:val="00A36E90"/>
    <w:rsid w:val="00A36F41"/>
    <w:rsid w:val="00A375E1"/>
    <w:rsid w:val="00A376E1"/>
    <w:rsid w:val="00A37D51"/>
    <w:rsid w:val="00A405D7"/>
    <w:rsid w:val="00A407BA"/>
    <w:rsid w:val="00A40871"/>
    <w:rsid w:val="00A408D0"/>
    <w:rsid w:val="00A40B93"/>
    <w:rsid w:val="00A412AB"/>
    <w:rsid w:val="00A413DC"/>
    <w:rsid w:val="00A418F4"/>
    <w:rsid w:val="00A4193E"/>
    <w:rsid w:val="00A42EB4"/>
    <w:rsid w:val="00A43A44"/>
    <w:rsid w:val="00A440E0"/>
    <w:rsid w:val="00A442EF"/>
    <w:rsid w:val="00A44FDD"/>
    <w:rsid w:val="00A455C1"/>
    <w:rsid w:val="00A4626B"/>
    <w:rsid w:val="00A46337"/>
    <w:rsid w:val="00A46527"/>
    <w:rsid w:val="00A46C17"/>
    <w:rsid w:val="00A46D5D"/>
    <w:rsid w:val="00A501C0"/>
    <w:rsid w:val="00A50297"/>
    <w:rsid w:val="00A5146D"/>
    <w:rsid w:val="00A51943"/>
    <w:rsid w:val="00A51D1A"/>
    <w:rsid w:val="00A5228E"/>
    <w:rsid w:val="00A53445"/>
    <w:rsid w:val="00A53584"/>
    <w:rsid w:val="00A5418D"/>
    <w:rsid w:val="00A54243"/>
    <w:rsid w:val="00A5474E"/>
    <w:rsid w:val="00A54A86"/>
    <w:rsid w:val="00A5562F"/>
    <w:rsid w:val="00A5601F"/>
    <w:rsid w:val="00A56484"/>
    <w:rsid w:val="00A56D42"/>
    <w:rsid w:val="00A570CD"/>
    <w:rsid w:val="00A627F0"/>
    <w:rsid w:val="00A63072"/>
    <w:rsid w:val="00A63125"/>
    <w:rsid w:val="00A64234"/>
    <w:rsid w:val="00A64950"/>
    <w:rsid w:val="00A64C71"/>
    <w:rsid w:val="00A653EE"/>
    <w:rsid w:val="00A656F9"/>
    <w:rsid w:val="00A65D15"/>
    <w:rsid w:val="00A66FA7"/>
    <w:rsid w:val="00A67378"/>
    <w:rsid w:val="00A67A0D"/>
    <w:rsid w:val="00A67DFE"/>
    <w:rsid w:val="00A708BC"/>
    <w:rsid w:val="00A70ADF"/>
    <w:rsid w:val="00A70D47"/>
    <w:rsid w:val="00A713B7"/>
    <w:rsid w:val="00A71466"/>
    <w:rsid w:val="00A71CE4"/>
    <w:rsid w:val="00A7231D"/>
    <w:rsid w:val="00A72573"/>
    <w:rsid w:val="00A72D38"/>
    <w:rsid w:val="00A73696"/>
    <w:rsid w:val="00A741C7"/>
    <w:rsid w:val="00A7432E"/>
    <w:rsid w:val="00A7480B"/>
    <w:rsid w:val="00A74B5E"/>
    <w:rsid w:val="00A75A7D"/>
    <w:rsid w:val="00A7667B"/>
    <w:rsid w:val="00A76AE8"/>
    <w:rsid w:val="00A77931"/>
    <w:rsid w:val="00A804C0"/>
    <w:rsid w:val="00A80B62"/>
    <w:rsid w:val="00A8105B"/>
    <w:rsid w:val="00A813C7"/>
    <w:rsid w:val="00A81B7C"/>
    <w:rsid w:val="00A81BED"/>
    <w:rsid w:val="00A81EC4"/>
    <w:rsid w:val="00A823FA"/>
    <w:rsid w:val="00A824E8"/>
    <w:rsid w:val="00A82661"/>
    <w:rsid w:val="00A82EA2"/>
    <w:rsid w:val="00A83A48"/>
    <w:rsid w:val="00A85263"/>
    <w:rsid w:val="00A852FC"/>
    <w:rsid w:val="00A85C35"/>
    <w:rsid w:val="00A8746C"/>
    <w:rsid w:val="00A90073"/>
    <w:rsid w:val="00A9181E"/>
    <w:rsid w:val="00A920CB"/>
    <w:rsid w:val="00A92892"/>
    <w:rsid w:val="00A92AF6"/>
    <w:rsid w:val="00A92EEA"/>
    <w:rsid w:val="00A93021"/>
    <w:rsid w:val="00A93BAD"/>
    <w:rsid w:val="00A93F11"/>
    <w:rsid w:val="00A940AB"/>
    <w:rsid w:val="00A94241"/>
    <w:rsid w:val="00A9465F"/>
    <w:rsid w:val="00A94D2F"/>
    <w:rsid w:val="00A95B03"/>
    <w:rsid w:val="00A9623D"/>
    <w:rsid w:val="00A967FD"/>
    <w:rsid w:val="00AA0993"/>
    <w:rsid w:val="00AA0DAE"/>
    <w:rsid w:val="00AA0FB3"/>
    <w:rsid w:val="00AA1754"/>
    <w:rsid w:val="00AA2679"/>
    <w:rsid w:val="00AA2DE5"/>
    <w:rsid w:val="00AA37A5"/>
    <w:rsid w:val="00AA3A03"/>
    <w:rsid w:val="00AA3AFC"/>
    <w:rsid w:val="00AA4062"/>
    <w:rsid w:val="00AA5750"/>
    <w:rsid w:val="00AA5C75"/>
    <w:rsid w:val="00AA5DB3"/>
    <w:rsid w:val="00AA7409"/>
    <w:rsid w:val="00AA7444"/>
    <w:rsid w:val="00AA7830"/>
    <w:rsid w:val="00AA783C"/>
    <w:rsid w:val="00AA7B36"/>
    <w:rsid w:val="00AB0756"/>
    <w:rsid w:val="00AB156C"/>
    <w:rsid w:val="00AB1D1F"/>
    <w:rsid w:val="00AB2D9C"/>
    <w:rsid w:val="00AB2F9F"/>
    <w:rsid w:val="00AB37ED"/>
    <w:rsid w:val="00AB39B7"/>
    <w:rsid w:val="00AB3A64"/>
    <w:rsid w:val="00AB3B5C"/>
    <w:rsid w:val="00AB4023"/>
    <w:rsid w:val="00AB4C39"/>
    <w:rsid w:val="00AB5E24"/>
    <w:rsid w:val="00AB6087"/>
    <w:rsid w:val="00AB6171"/>
    <w:rsid w:val="00AB6814"/>
    <w:rsid w:val="00AB700B"/>
    <w:rsid w:val="00AB78B8"/>
    <w:rsid w:val="00AB7B43"/>
    <w:rsid w:val="00AB7DB9"/>
    <w:rsid w:val="00AB7EA3"/>
    <w:rsid w:val="00AB7F34"/>
    <w:rsid w:val="00AC04BA"/>
    <w:rsid w:val="00AC060A"/>
    <w:rsid w:val="00AC0E39"/>
    <w:rsid w:val="00AC0F00"/>
    <w:rsid w:val="00AC3912"/>
    <w:rsid w:val="00AC44E7"/>
    <w:rsid w:val="00AC5F1B"/>
    <w:rsid w:val="00AC5F7C"/>
    <w:rsid w:val="00AC6174"/>
    <w:rsid w:val="00AC69B7"/>
    <w:rsid w:val="00AC6DEA"/>
    <w:rsid w:val="00AC78B9"/>
    <w:rsid w:val="00AC7C6D"/>
    <w:rsid w:val="00AD0377"/>
    <w:rsid w:val="00AD0529"/>
    <w:rsid w:val="00AD06A8"/>
    <w:rsid w:val="00AD0E16"/>
    <w:rsid w:val="00AD0F1A"/>
    <w:rsid w:val="00AD1AF2"/>
    <w:rsid w:val="00AD3082"/>
    <w:rsid w:val="00AD32B4"/>
    <w:rsid w:val="00AD34EF"/>
    <w:rsid w:val="00AD45D4"/>
    <w:rsid w:val="00AD4AD0"/>
    <w:rsid w:val="00AD4C60"/>
    <w:rsid w:val="00AD4CC4"/>
    <w:rsid w:val="00AD5436"/>
    <w:rsid w:val="00AD562A"/>
    <w:rsid w:val="00AD5E5E"/>
    <w:rsid w:val="00AD5F27"/>
    <w:rsid w:val="00AD60CD"/>
    <w:rsid w:val="00AD6193"/>
    <w:rsid w:val="00AD6610"/>
    <w:rsid w:val="00AD6C5C"/>
    <w:rsid w:val="00AD6C8C"/>
    <w:rsid w:val="00AD70BF"/>
    <w:rsid w:val="00AD7D59"/>
    <w:rsid w:val="00AE006D"/>
    <w:rsid w:val="00AE02BC"/>
    <w:rsid w:val="00AE078B"/>
    <w:rsid w:val="00AE091D"/>
    <w:rsid w:val="00AE09E8"/>
    <w:rsid w:val="00AE1623"/>
    <w:rsid w:val="00AE1C1B"/>
    <w:rsid w:val="00AE1D05"/>
    <w:rsid w:val="00AE2193"/>
    <w:rsid w:val="00AE2A46"/>
    <w:rsid w:val="00AE30E6"/>
    <w:rsid w:val="00AE3B60"/>
    <w:rsid w:val="00AE3C69"/>
    <w:rsid w:val="00AE52C4"/>
    <w:rsid w:val="00AE53A1"/>
    <w:rsid w:val="00AE7DC3"/>
    <w:rsid w:val="00AF04F1"/>
    <w:rsid w:val="00AF0B4A"/>
    <w:rsid w:val="00AF11F8"/>
    <w:rsid w:val="00AF1698"/>
    <w:rsid w:val="00AF16A7"/>
    <w:rsid w:val="00AF1BFA"/>
    <w:rsid w:val="00AF1C57"/>
    <w:rsid w:val="00AF1CD0"/>
    <w:rsid w:val="00AF1E9F"/>
    <w:rsid w:val="00AF238B"/>
    <w:rsid w:val="00AF2484"/>
    <w:rsid w:val="00AF2B34"/>
    <w:rsid w:val="00AF39D9"/>
    <w:rsid w:val="00AF4730"/>
    <w:rsid w:val="00AF5566"/>
    <w:rsid w:val="00AF635D"/>
    <w:rsid w:val="00AF63E7"/>
    <w:rsid w:val="00AF68A7"/>
    <w:rsid w:val="00AF6E17"/>
    <w:rsid w:val="00B00644"/>
    <w:rsid w:val="00B0165D"/>
    <w:rsid w:val="00B01B60"/>
    <w:rsid w:val="00B01C44"/>
    <w:rsid w:val="00B0246B"/>
    <w:rsid w:val="00B031F3"/>
    <w:rsid w:val="00B03A78"/>
    <w:rsid w:val="00B04062"/>
    <w:rsid w:val="00B052A4"/>
    <w:rsid w:val="00B058E0"/>
    <w:rsid w:val="00B06B17"/>
    <w:rsid w:val="00B06F0D"/>
    <w:rsid w:val="00B07629"/>
    <w:rsid w:val="00B10E7D"/>
    <w:rsid w:val="00B11496"/>
    <w:rsid w:val="00B1172E"/>
    <w:rsid w:val="00B11C01"/>
    <w:rsid w:val="00B11CB5"/>
    <w:rsid w:val="00B125CA"/>
    <w:rsid w:val="00B125DE"/>
    <w:rsid w:val="00B125E6"/>
    <w:rsid w:val="00B12733"/>
    <w:rsid w:val="00B12F49"/>
    <w:rsid w:val="00B1386C"/>
    <w:rsid w:val="00B13FDD"/>
    <w:rsid w:val="00B14BCE"/>
    <w:rsid w:val="00B15060"/>
    <w:rsid w:val="00B153F6"/>
    <w:rsid w:val="00B15E50"/>
    <w:rsid w:val="00B16054"/>
    <w:rsid w:val="00B17C52"/>
    <w:rsid w:val="00B200D3"/>
    <w:rsid w:val="00B20528"/>
    <w:rsid w:val="00B21707"/>
    <w:rsid w:val="00B21966"/>
    <w:rsid w:val="00B22EB2"/>
    <w:rsid w:val="00B23E4F"/>
    <w:rsid w:val="00B24333"/>
    <w:rsid w:val="00B247EA"/>
    <w:rsid w:val="00B24866"/>
    <w:rsid w:val="00B25856"/>
    <w:rsid w:val="00B25C97"/>
    <w:rsid w:val="00B26A38"/>
    <w:rsid w:val="00B27442"/>
    <w:rsid w:val="00B30CBD"/>
    <w:rsid w:val="00B31167"/>
    <w:rsid w:val="00B31270"/>
    <w:rsid w:val="00B3186D"/>
    <w:rsid w:val="00B32448"/>
    <w:rsid w:val="00B3271C"/>
    <w:rsid w:val="00B32919"/>
    <w:rsid w:val="00B329D8"/>
    <w:rsid w:val="00B32BB9"/>
    <w:rsid w:val="00B33215"/>
    <w:rsid w:val="00B33931"/>
    <w:rsid w:val="00B33AE1"/>
    <w:rsid w:val="00B3483E"/>
    <w:rsid w:val="00B35386"/>
    <w:rsid w:val="00B35594"/>
    <w:rsid w:val="00B37C38"/>
    <w:rsid w:val="00B40620"/>
    <w:rsid w:val="00B406CB"/>
    <w:rsid w:val="00B42483"/>
    <w:rsid w:val="00B4288C"/>
    <w:rsid w:val="00B43081"/>
    <w:rsid w:val="00B43262"/>
    <w:rsid w:val="00B44100"/>
    <w:rsid w:val="00B441DC"/>
    <w:rsid w:val="00B4450B"/>
    <w:rsid w:val="00B44996"/>
    <w:rsid w:val="00B457A4"/>
    <w:rsid w:val="00B459C5"/>
    <w:rsid w:val="00B45C45"/>
    <w:rsid w:val="00B45D25"/>
    <w:rsid w:val="00B45FD1"/>
    <w:rsid w:val="00B463D4"/>
    <w:rsid w:val="00B4669E"/>
    <w:rsid w:val="00B46B83"/>
    <w:rsid w:val="00B46CBA"/>
    <w:rsid w:val="00B46F94"/>
    <w:rsid w:val="00B47202"/>
    <w:rsid w:val="00B477A1"/>
    <w:rsid w:val="00B47B8D"/>
    <w:rsid w:val="00B501D4"/>
    <w:rsid w:val="00B50A24"/>
    <w:rsid w:val="00B50D4E"/>
    <w:rsid w:val="00B514AD"/>
    <w:rsid w:val="00B51FDD"/>
    <w:rsid w:val="00B522D8"/>
    <w:rsid w:val="00B54645"/>
    <w:rsid w:val="00B54AEF"/>
    <w:rsid w:val="00B54FE6"/>
    <w:rsid w:val="00B55253"/>
    <w:rsid w:val="00B55564"/>
    <w:rsid w:val="00B5562B"/>
    <w:rsid w:val="00B55B40"/>
    <w:rsid w:val="00B55FB7"/>
    <w:rsid w:val="00B56670"/>
    <w:rsid w:val="00B5784F"/>
    <w:rsid w:val="00B6003C"/>
    <w:rsid w:val="00B60927"/>
    <w:rsid w:val="00B60EAC"/>
    <w:rsid w:val="00B6115D"/>
    <w:rsid w:val="00B61F03"/>
    <w:rsid w:val="00B62390"/>
    <w:rsid w:val="00B626E4"/>
    <w:rsid w:val="00B6275C"/>
    <w:rsid w:val="00B62902"/>
    <w:rsid w:val="00B62C13"/>
    <w:rsid w:val="00B62DDE"/>
    <w:rsid w:val="00B6462B"/>
    <w:rsid w:val="00B65B89"/>
    <w:rsid w:val="00B65DD9"/>
    <w:rsid w:val="00B663FB"/>
    <w:rsid w:val="00B66EB2"/>
    <w:rsid w:val="00B67291"/>
    <w:rsid w:val="00B701E6"/>
    <w:rsid w:val="00B70DAB"/>
    <w:rsid w:val="00B7141D"/>
    <w:rsid w:val="00B71972"/>
    <w:rsid w:val="00B71AB6"/>
    <w:rsid w:val="00B72203"/>
    <w:rsid w:val="00B72D51"/>
    <w:rsid w:val="00B72F4A"/>
    <w:rsid w:val="00B7322C"/>
    <w:rsid w:val="00B73A19"/>
    <w:rsid w:val="00B743F2"/>
    <w:rsid w:val="00B745B2"/>
    <w:rsid w:val="00B74672"/>
    <w:rsid w:val="00B75D3F"/>
    <w:rsid w:val="00B76176"/>
    <w:rsid w:val="00B76ABD"/>
    <w:rsid w:val="00B76E53"/>
    <w:rsid w:val="00B77354"/>
    <w:rsid w:val="00B77D0D"/>
    <w:rsid w:val="00B8004B"/>
    <w:rsid w:val="00B8013E"/>
    <w:rsid w:val="00B815E0"/>
    <w:rsid w:val="00B81FC0"/>
    <w:rsid w:val="00B82DD5"/>
    <w:rsid w:val="00B8350B"/>
    <w:rsid w:val="00B83C27"/>
    <w:rsid w:val="00B83C9F"/>
    <w:rsid w:val="00B84BC3"/>
    <w:rsid w:val="00B84BDB"/>
    <w:rsid w:val="00B84BDD"/>
    <w:rsid w:val="00B850A8"/>
    <w:rsid w:val="00B85469"/>
    <w:rsid w:val="00B85698"/>
    <w:rsid w:val="00B86645"/>
    <w:rsid w:val="00B87313"/>
    <w:rsid w:val="00B87BEE"/>
    <w:rsid w:val="00B908A9"/>
    <w:rsid w:val="00B919B4"/>
    <w:rsid w:val="00B91C79"/>
    <w:rsid w:val="00B91FB2"/>
    <w:rsid w:val="00B92812"/>
    <w:rsid w:val="00B9450D"/>
    <w:rsid w:val="00B95097"/>
    <w:rsid w:val="00B96959"/>
    <w:rsid w:val="00B97051"/>
    <w:rsid w:val="00B97FDB"/>
    <w:rsid w:val="00BA001F"/>
    <w:rsid w:val="00BA15F7"/>
    <w:rsid w:val="00BA20E5"/>
    <w:rsid w:val="00BA2AF7"/>
    <w:rsid w:val="00BA3884"/>
    <w:rsid w:val="00BA45F8"/>
    <w:rsid w:val="00BA4661"/>
    <w:rsid w:val="00BA4698"/>
    <w:rsid w:val="00BA5365"/>
    <w:rsid w:val="00BA5477"/>
    <w:rsid w:val="00BA5B92"/>
    <w:rsid w:val="00BA66BC"/>
    <w:rsid w:val="00BB1218"/>
    <w:rsid w:val="00BB160A"/>
    <w:rsid w:val="00BB1813"/>
    <w:rsid w:val="00BB20EA"/>
    <w:rsid w:val="00BB24C3"/>
    <w:rsid w:val="00BB45A1"/>
    <w:rsid w:val="00BB5D2D"/>
    <w:rsid w:val="00BB6335"/>
    <w:rsid w:val="00BB636D"/>
    <w:rsid w:val="00BB6CE4"/>
    <w:rsid w:val="00BB7073"/>
    <w:rsid w:val="00BB7468"/>
    <w:rsid w:val="00BB7686"/>
    <w:rsid w:val="00BB7802"/>
    <w:rsid w:val="00BC0145"/>
    <w:rsid w:val="00BC07AD"/>
    <w:rsid w:val="00BC08DA"/>
    <w:rsid w:val="00BC1DC4"/>
    <w:rsid w:val="00BC23D8"/>
    <w:rsid w:val="00BC23F9"/>
    <w:rsid w:val="00BC27E5"/>
    <w:rsid w:val="00BC2E73"/>
    <w:rsid w:val="00BC3226"/>
    <w:rsid w:val="00BC333E"/>
    <w:rsid w:val="00BC3421"/>
    <w:rsid w:val="00BC343D"/>
    <w:rsid w:val="00BC34FA"/>
    <w:rsid w:val="00BC3663"/>
    <w:rsid w:val="00BC37DE"/>
    <w:rsid w:val="00BC3CBB"/>
    <w:rsid w:val="00BC51AF"/>
    <w:rsid w:val="00BC579A"/>
    <w:rsid w:val="00BC58C4"/>
    <w:rsid w:val="00BC5F75"/>
    <w:rsid w:val="00BC6AE6"/>
    <w:rsid w:val="00BC732C"/>
    <w:rsid w:val="00BC76B1"/>
    <w:rsid w:val="00BD046B"/>
    <w:rsid w:val="00BD13C7"/>
    <w:rsid w:val="00BD1996"/>
    <w:rsid w:val="00BD2509"/>
    <w:rsid w:val="00BD2C7F"/>
    <w:rsid w:val="00BD346A"/>
    <w:rsid w:val="00BD371B"/>
    <w:rsid w:val="00BD39D6"/>
    <w:rsid w:val="00BD4421"/>
    <w:rsid w:val="00BD670D"/>
    <w:rsid w:val="00BD685C"/>
    <w:rsid w:val="00BD6CCA"/>
    <w:rsid w:val="00BD7FA8"/>
    <w:rsid w:val="00BE0241"/>
    <w:rsid w:val="00BE03AF"/>
    <w:rsid w:val="00BE0DD2"/>
    <w:rsid w:val="00BE1755"/>
    <w:rsid w:val="00BE2390"/>
    <w:rsid w:val="00BE2580"/>
    <w:rsid w:val="00BE266D"/>
    <w:rsid w:val="00BE3938"/>
    <w:rsid w:val="00BE3BBC"/>
    <w:rsid w:val="00BE41C3"/>
    <w:rsid w:val="00BE48A3"/>
    <w:rsid w:val="00BE4A83"/>
    <w:rsid w:val="00BE4C0A"/>
    <w:rsid w:val="00BE4C11"/>
    <w:rsid w:val="00BE5BD2"/>
    <w:rsid w:val="00BE5C8E"/>
    <w:rsid w:val="00BE62CF"/>
    <w:rsid w:val="00BE71C0"/>
    <w:rsid w:val="00BE7658"/>
    <w:rsid w:val="00BE7932"/>
    <w:rsid w:val="00BE7D75"/>
    <w:rsid w:val="00BF0238"/>
    <w:rsid w:val="00BF0481"/>
    <w:rsid w:val="00BF0B21"/>
    <w:rsid w:val="00BF196F"/>
    <w:rsid w:val="00BF1D1B"/>
    <w:rsid w:val="00BF4018"/>
    <w:rsid w:val="00BF4451"/>
    <w:rsid w:val="00BF55B6"/>
    <w:rsid w:val="00BF610C"/>
    <w:rsid w:val="00BF6497"/>
    <w:rsid w:val="00BF7D3B"/>
    <w:rsid w:val="00C002F9"/>
    <w:rsid w:val="00C0060B"/>
    <w:rsid w:val="00C0063E"/>
    <w:rsid w:val="00C00CD7"/>
    <w:rsid w:val="00C01015"/>
    <w:rsid w:val="00C01659"/>
    <w:rsid w:val="00C01A6C"/>
    <w:rsid w:val="00C02484"/>
    <w:rsid w:val="00C024A5"/>
    <w:rsid w:val="00C0277D"/>
    <w:rsid w:val="00C02F26"/>
    <w:rsid w:val="00C033AD"/>
    <w:rsid w:val="00C03EE7"/>
    <w:rsid w:val="00C040AC"/>
    <w:rsid w:val="00C040D3"/>
    <w:rsid w:val="00C0503D"/>
    <w:rsid w:val="00C05281"/>
    <w:rsid w:val="00C05376"/>
    <w:rsid w:val="00C053A1"/>
    <w:rsid w:val="00C078E1"/>
    <w:rsid w:val="00C120DE"/>
    <w:rsid w:val="00C12B57"/>
    <w:rsid w:val="00C12D69"/>
    <w:rsid w:val="00C12E09"/>
    <w:rsid w:val="00C13161"/>
    <w:rsid w:val="00C1341C"/>
    <w:rsid w:val="00C1367F"/>
    <w:rsid w:val="00C1442F"/>
    <w:rsid w:val="00C14573"/>
    <w:rsid w:val="00C15150"/>
    <w:rsid w:val="00C153B0"/>
    <w:rsid w:val="00C15759"/>
    <w:rsid w:val="00C15B62"/>
    <w:rsid w:val="00C16198"/>
    <w:rsid w:val="00C16B90"/>
    <w:rsid w:val="00C16C40"/>
    <w:rsid w:val="00C16C4B"/>
    <w:rsid w:val="00C17C90"/>
    <w:rsid w:val="00C2008D"/>
    <w:rsid w:val="00C202E0"/>
    <w:rsid w:val="00C20336"/>
    <w:rsid w:val="00C2066A"/>
    <w:rsid w:val="00C207FC"/>
    <w:rsid w:val="00C2083D"/>
    <w:rsid w:val="00C211C6"/>
    <w:rsid w:val="00C21FF6"/>
    <w:rsid w:val="00C22095"/>
    <w:rsid w:val="00C2295A"/>
    <w:rsid w:val="00C22BE0"/>
    <w:rsid w:val="00C22FD1"/>
    <w:rsid w:val="00C23266"/>
    <w:rsid w:val="00C2422E"/>
    <w:rsid w:val="00C24466"/>
    <w:rsid w:val="00C246A3"/>
    <w:rsid w:val="00C24A53"/>
    <w:rsid w:val="00C24B0E"/>
    <w:rsid w:val="00C24D05"/>
    <w:rsid w:val="00C254C4"/>
    <w:rsid w:val="00C261D2"/>
    <w:rsid w:val="00C26D97"/>
    <w:rsid w:val="00C26EE1"/>
    <w:rsid w:val="00C26F47"/>
    <w:rsid w:val="00C27335"/>
    <w:rsid w:val="00C30099"/>
    <w:rsid w:val="00C3121B"/>
    <w:rsid w:val="00C31FFD"/>
    <w:rsid w:val="00C32643"/>
    <w:rsid w:val="00C327B9"/>
    <w:rsid w:val="00C32B93"/>
    <w:rsid w:val="00C33040"/>
    <w:rsid w:val="00C330CA"/>
    <w:rsid w:val="00C33986"/>
    <w:rsid w:val="00C34294"/>
    <w:rsid w:val="00C34A05"/>
    <w:rsid w:val="00C3588C"/>
    <w:rsid w:val="00C35A61"/>
    <w:rsid w:val="00C35CCE"/>
    <w:rsid w:val="00C3604D"/>
    <w:rsid w:val="00C365E7"/>
    <w:rsid w:val="00C36C3F"/>
    <w:rsid w:val="00C37BC4"/>
    <w:rsid w:val="00C37C21"/>
    <w:rsid w:val="00C40317"/>
    <w:rsid w:val="00C4032F"/>
    <w:rsid w:val="00C405CB"/>
    <w:rsid w:val="00C40F3D"/>
    <w:rsid w:val="00C411B7"/>
    <w:rsid w:val="00C41F21"/>
    <w:rsid w:val="00C44047"/>
    <w:rsid w:val="00C444D3"/>
    <w:rsid w:val="00C44F70"/>
    <w:rsid w:val="00C450FF"/>
    <w:rsid w:val="00C45155"/>
    <w:rsid w:val="00C45690"/>
    <w:rsid w:val="00C47137"/>
    <w:rsid w:val="00C47531"/>
    <w:rsid w:val="00C4798F"/>
    <w:rsid w:val="00C50167"/>
    <w:rsid w:val="00C5030F"/>
    <w:rsid w:val="00C50B9E"/>
    <w:rsid w:val="00C510C9"/>
    <w:rsid w:val="00C513B9"/>
    <w:rsid w:val="00C51446"/>
    <w:rsid w:val="00C51C54"/>
    <w:rsid w:val="00C520F6"/>
    <w:rsid w:val="00C52396"/>
    <w:rsid w:val="00C52418"/>
    <w:rsid w:val="00C52438"/>
    <w:rsid w:val="00C53BBF"/>
    <w:rsid w:val="00C54736"/>
    <w:rsid w:val="00C548AC"/>
    <w:rsid w:val="00C5498F"/>
    <w:rsid w:val="00C54FE6"/>
    <w:rsid w:val="00C550ED"/>
    <w:rsid w:val="00C5520A"/>
    <w:rsid w:val="00C55235"/>
    <w:rsid w:val="00C55963"/>
    <w:rsid w:val="00C55C57"/>
    <w:rsid w:val="00C56BB9"/>
    <w:rsid w:val="00C57358"/>
    <w:rsid w:val="00C574FF"/>
    <w:rsid w:val="00C60E5A"/>
    <w:rsid w:val="00C61715"/>
    <w:rsid w:val="00C62155"/>
    <w:rsid w:val="00C629BF"/>
    <w:rsid w:val="00C63460"/>
    <w:rsid w:val="00C6391B"/>
    <w:rsid w:val="00C642AA"/>
    <w:rsid w:val="00C645DB"/>
    <w:rsid w:val="00C64B29"/>
    <w:rsid w:val="00C64C50"/>
    <w:rsid w:val="00C64CD0"/>
    <w:rsid w:val="00C64ED3"/>
    <w:rsid w:val="00C65A70"/>
    <w:rsid w:val="00C65D48"/>
    <w:rsid w:val="00C65E0E"/>
    <w:rsid w:val="00C65F61"/>
    <w:rsid w:val="00C660A3"/>
    <w:rsid w:val="00C6684F"/>
    <w:rsid w:val="00C66AAB"/>
    <w:rsid w:val="00C66BC8"/>
    <w:rsid w:val="00C671EF"/>
    <w:rsid w:val="00C6757A"/>
    <w:rsid w:val="00C70E70"/>
    <w:rsid w:val="00C7201F"/>
    <w:rsid w:val="00C727E7"/>
    <w:rsid w:val="00C730D2"/>
    <w:rsid w:val="00C75AB2"/>
    <w:rsid w:val="00C75C91"/>
    <w:rsid w:val="00C75DA8"/>
    <w:rsid w:val="00C75E80"/>
    <w:rsid w:val="00C75F8D"/>
    <w:rsid w:val="00C76207"/>
    <w:rsid w:val="00C765F3"/>
    <w:rsid w:val="00C76A61"/>
    <w:rsid w:val="00C76BF0"/>
    <w:rsid w:val="00C770E8"/>
    <w:rsid w:val="00C7726B"/>
    <w:rsid w:val="00C77380"/>
    <w:rsid w:val="00C7784F"/>
    <w:rsid w:val="00C77CD7"/>
    <w:rsid w:val="00C80253"/>
    <w:rsid w:val="00C809B4"/>
    <w:rsid w:val="00C80A99"/>
    <w:rsid w:val="00C813E7"/>
    <w:rsid w:val="00C81662"/>
    <w:rsid w:val="00C8168C"/>
    <w:rsid w:val="00C81A0B"/>
    <w:rsid w:val="00C81A9B"/>
    <w:rsid w:val="00C81EE0"/>
    <w:rsid w:val="00C82358"/>
    <w:rsid w:val="00C82F91"/>
    <w:rsid w:val="00C8481D"/>
    <w:rsid w:val="00C864BB"/>
    <w:rsid w:val="00C86927"/>
    <w:rsid w:val="00C86DA1"/>
    <w:rsid w:val="00C86E66"/>
    <w:rsid w:val="00C87E8A"/>
    <w:rsid w:val="00C90418"/>
    <w:rsid w:val="00C91136"/>
    <w:rsid w:val="00C9123F"/>
    <w:rsid w:val="00C913D6"/>
    <w:rsid w:val="00C92428"/>
    <w:rsid w:val="00C92493"/>
    <w:rsid w:val="00C93501"/>
    <w:rsid w:val="00C93B09"/>
    <w:rsid w:val="00C944BA"/>
    <w:rsid w:val="00C947B6"/>
    <w:rsid w:val="00C954F3"/>
    <w:rsid w:val="00C95683"/>
    <w:rsid w:val="00C9579C"/>
    <w:rsid w:val="00C95885"/>
    <w:rsid w:val="00C95932"/>
    <w:rsid w:val="00C9635F"/>
    <w:rsid w:val="00C97736"/>
    <w:rsid w:val="00CA1045"/>
    <w:rsid w:val="00CA1921"/>
    <w:rsid w:val="00CA1DC9"/>
    <w:rsid w:val="00CA267B"/>
    <w:rsid w:val="00CA319E"/>
    <w:rsid w:val="00CA345A"/>
    <w:rsid w:val="00CA3B34"/>
    <w:rsid w:val="00CA4044"/>
    <w:rsid w:val="00CA562D"/>
    <w:rsid w:val="00CA5B04"/>
    <w:rsid w:val="00CA6351"/>
    <w:rsid w:val="00CA640B"/>
    <w:rsid w:val="00CA660E"/>
    <w:rsid w:val="00CA6BBC"/>
    <w:rsid w:val="00CA74F2"/>
    <w:rsid w:val="00CA7EF6"/>
    <w:rsid w:val="00CB01A9"/>
    <w:rsid w:val="00CB03EA"/>
    <w:rsid w:val="00CB0754"/>
    <w:rsid w:val="00CB0EB4"/>
    <w:rsid w:val="00CB0F9F"/>
    <w:rsid w:val="00CB14EB"/>
    <w:rsid w:val="00CB15AF"/>
    <w:rsid w:val="00CB1E82"/>
    <w:rsid w:val="00CB20D2"/>
    <w:rsid w:val="00CB22F0"/>
    <w:rsid w:val="00CB298B"/>
    <w:rsid w:val="00CB2E66"/>
    <w:rsid w:val="00CB30B7"/>
    <w:rsid w:val="00CB31F5"/>
    <w:rsid w:val="00CB3A0B"/>
    <w:rsid w:val="00CB3A86"/>
    <w:rsid w:val="00CB3B1F"/>
    <w:rsid w:val="00CB498B"/>
    <w:rsid w:val="00CB4BA8"/>
    <w:rsid w:val="00CB4E8A"/>
    <w:rsid w:val="00CB5295"/>
    <w:rsid w:val="00CB52D7"/>
    <w:rsid w:val="00CB570B"/>
    <w:rsid w:val="00CB5812"/>
    <w:rsid w:val="00CC01DC"/>
    <w:rsid w:val="00CC0DA2"/>
    <w:rsid w:val="00CC0FA8"/>
    <w:rsid w:val="00CC12CB"/>
    <w:rsid w:val="00CC15B8"/>
    <w:rsid w:val="00CC18E9"/>
    <w:rsid w:val="00CC25BD"/>
    <w:rsid w:val="00CC28C3"/>
    <w:rsid w:val="00CC2D29"/>
    <w:rsid w:val="00CC361B"/>
    <w:rsid w:val="00CC378A"/>
    <w:rsid w:val="00CC37CD"/>
    <w:rsid w:val="00CC43AF"/>
    <w:rsid w:val="00CC46DE"/>
    <w:rsid w:val="00CC517E"/>
    <w:rsid w:val="00CC5400"/>
    <w:rsid w:val="00CC5D98"/>
    <w:rsid w:val="00CC6732"/>
    <w:rsid w:val="00CC6A6D"/>
    <w:rsid w:val="00CC6F00"/>
    <w:rsid w:val="00CD0A15"/>
    <w:rsid w:val="00CD0A48"/>
    <w:rsid w:val="00CD2119"/>
    <w:rsid w:val="00CD2527"/>
    <w:rsid w:val="00CD275E"/>
    <w:rsid w:val="00CD3152"/>
    <w:rsid w:val="00CD3395"/>
    <w:rsid w:val="00CD4AF3"/>
    <w:rsid w:val="00CD4F48"/>
    <w:rsid w:val="00CD52A8"/>
    <w:rsid w:val="00CD5B62"/>
    <w:rsid w:val="00CD5B6D"/>
    <w:rsid w:val="00CD6159"/>
    <w:rsid w:val="00CD6ACF"/>
    <w:rsid w:val="00CD6C01"/>
    <w:rsid w:val="00CD6D8F"/>
    <w:rsid w:val="00CD7300"/>
    <w:rsid w:val="00CD7632"/>
    <w:rsid w:val="00CD7B81"/>
    <w:rsid w:val="00CD7F00"/>
    <w:rsid w:val="00CE0158"/>
    <w:rsid w:val="00CE0737"/>
    <w:rsid w:val="00CE0848"/>
    <w:rsid w:val="00CE20C4"/>
    <w:rsid w:val="00CE25CB"/>
    <w:rsid w:val="00CE280F"/>
    <w:rsid w:val="00CE2AE9"/>
    <w:rsid w:val="00CE3C96"/>
    <w:rsid w:val="00CE4297"/>
    <w:rsid w:val="00CE46E3"/>
    <w:rsid w:val="00CE472E"/>
    <w:rsid w:val="00CE51A8"/>
    <w:rsid w:val="00CE595A"/>
    <w:rsid w:val="00CE5EFC"/>
    <w:rsid w:val="00CE697A"/>
    <w:rsid w:val="00CE710E"/>
    <w:rsid w:val="00CE71EC"/>
    <w:rsid w:val="00CE7525"/>
    <w:rsid w:val="00CE7F9C"/>
    <w:rsid w:val="00CF0270"/>
    <w:rsid w:val="00CF0BFE"/>
    <w:rsid w:val="00CF110E"/>
    <w:rsid w:val="00CF17A5"/>
    <w:rsid w:val="00CF1837"/>
    <w:rsid w:val="00CF2E7B"/>
    <w:rsid w:val="00CF3117"/>
    <w:rsid w:val="00CF3202"/>
    <w:rsid w:val="00CF369B"/>
    <w:rsid w:val="00CF3818"/>
    <w:rsid w:val="00CF471B"/>
    <w:rsid w:val="00CF4724"/>
    <w:rsid w:val="00CF4995"/>
    <w:rsid w:val="00CF4DCB"/>
    <w:rsid w:val="00CF4F7F"/>
    <w:rsid w:val="00CF5301"/>
    <w:rsid w:val="00D00A16"/>
    <w:rsid w:val="00D00E28"/>
    <w:rsid w:val="00D0132B"/>
    <w:rsid w:val="00D0216E"/>
    <w:rsid w:val="00D0269E"/>
    <w:rsid w:val="00D029B7"/>
    <w:rsid w:val="00D031B0"/>
    <w:rsid w:val="00D03276"/>
    <w:rsid w:val="00D033DD"/>
    <w:rsid w:val="00D0340B"/>
    <w:rsid w:val="00D03815"/>
    <w:rsid w:val="00D03D20"/>
    <w:rsid w:val="00D0467F"/>
    <w:rsid w:val="00D0482E"/>
    <w:rsid w:val="00D04F2E"/>
    <w:rsid w:val="00D051A4"/>
    <w:rsid w:val="00D05D6C"/>
    <w:rsid w:val="00D06552"/>
    <w:rsid w:val="00D06BFB"/>
    <w:rsid w:val="00D06CA9"/>
    <w:rsid w:val="00D07188"/>
    <w:rsid w:val="00D07827"/>
    <w:rsid w:val="00D07EB9"/>
    <w:rsid w:val="00D07EDA"/>
    <w:rsid w:val="00D10779"/>
    <w:rsid w:val="00D11034"/>
    <w:rsid w:val="00D11351"/>
    <w:rsid w:val="00D11C3E"/>
    <w:rsid w:val="00D1390F"/>
    <w:rsid w:val="00D13DC6"/>
    <w:rsid w:val="00D141D2"/>
    <w:rsid w:val="00D14FDA"/>
    <w:rsid w:val="00D15709"/>
    <w:rsid w:val="00D15810"/>
    <w:rsid w:val="00D15EBF"/>
    <w:rsid w:val="00D16959"/>
    <w:rsid w:val="00D16B61"/>
    <w:rsid w:val="00D16D4E"/>
    <w:rsid w:val="00D16FE3"/>
    <w:rsid w:val="00D17C2C"/>
    <w:rsid w:val="00D2041B"/>
    <w:rsid w:val="00D204E4"/>
    <w:rsid w:val="00D211FD"/>
    <w:rsid w:val="00D2138C"/>
    <w:rsid w:val="00D226F8"/>
    <w:rsid w:val="00D2294A"/>
    <w:rsid w:val="00D22E19"/>
    <w:rsid w:val="00D23036"/>
    <w:rsid w:val="00D231C9"/>
    <w:rsid w:val="00D23EB2"/>
    <w:rsid w:val="00D23F1B"/>
    <w:rsid w:val="00D24553"/>
    <w:rsid w:val="00D25163"/>
    <w:rsid w:val="00D25204"/>
    <w:rsid w:val="00D25375"/>
    <w:rsid w:val="00D25B20"/>
    <w:rsid w:val="00D25E03"/>
    <w:rsid w:val="00D26270"/>
    <w:rsid w:val="00D26DAB"/>
    <w:rsid w:val="00D272E0"/>
    <w:rsid w:val="00D2731E"/>
    <w:rsid w:val="00D27615"/>
    <w:rsid w:val="00D27B1E"/>
    <w:rsid w:val="00D27F41"/>
    <w:rsid w:val="00D30C26"/>
    <w:rsid w:val="00D30DA5"/>
    <w:rsid w:val="00D32285"/>
    <w:rsid w:val="00D32E8A"/>
    <w:rsid w:val="00D33546"/>
    <w:rsid w:val="00D336C0"/>
    <w:rsid w:val="00D33B4F"/>
    <w:rsid w:val="00D33BAE"/>
    <w:rsid w:val="00D3418D"/>
    <w:rsid w:val="00D34B8F"/>
    <w:rsid w:val="00D36441"/>
    <w:rsid w:val="00D3734D"/>
    <w:rsid w:val="00D4064E"/>
    <w:rsid w:val="00D409F7"/>
    <w:rsid w:val="00D41367"/>
    <w:rsid w:val="00D413E4"/>
    <w:rsid w:val="00D4159B"/>
    <w:rsid w:val="00D42371"/>
    <w:rsid w:val="00D426BD"/>
    <w:rsid w:val="00D42864"/>
    <w:rsid w:val="00D42AB5"/>
    <w:rsid w:val="00D4315C"/>
    <w:rsid w:val="00D43B47"/>
    <w:rsid w:val="00D442F1"/>
    <w:rsid w:val="00D446D2"/>
    <w:rsid w:val="00D449FC"/>
    <w:rsid w:val="00D44E9B"/>
    <w:rsid w:val="00D450ED"/>
    <w:rsid w:val="00D45F38"/>
    <w:rsid w:val="00D464DE"/>
    <w:rsid w:val="00D46957"/>
    <w:rsid w:val="00D47625"/>
    <w:rsid w:val="00D47AEB"/>
    <w:rsid w:val="00D50B69"/>
    <w:rsid w:val="00D50DB9"/>
    <w:rsid w:val="00D50E0E"/>
    <w:rsid w:val="00D51302"/>
    <w:rsid w:val="00D51926"/>
    <w:rsid w:val="00D5230B"/>
    <w:rsid w:val="00D52908"/>
    <w:rsid w:val="00D52C43"/>
    <w:rsid w:val="00D5323E"/>
    <w:rsid w:val="00D53842"/>
    <w:rsid w:val="00D53F41"/>
    <w:rsid w:val="00D556B4"/>
    <w:rsid w:val="00D55C85"/>
    <w:rsid w:val="00D5635A"/>
    <w:rsid w:val="00D56A0B"/>
    <w:rsid w:val="00D5726A"/>
    <w:rsid w:val="00D57429"/>
    <w:rsid w:val="00D57658"/>
    <w:rsid w:val="00D61243"/>
    <w:rsid w:val="00D618A9"/>
    <w:rsid w:val="00D61D71"/>
    <w:rsid w:val="00D62397"/>
    <w:rsid w:val="00D63218"/>
    <w:rsid w:val="00D63A93"/>
    <w:rsid w:val="00D642D9"/>
    <w:rsid w:val="00D6507F"/>
    <w:rsid w:val="00D65482"/>
    <w:rsid w:val="00D65D70"/>
    <w:rsid w:val="00D66BC6"/>
    <w:rsid w:val="00D70527"/>
    <w:rsid w:val="00D706E9"/>
    <w:rsid w:val="00D71A8E"/>
    <w:rsid w:val="00D730BC"/>
    <w:rsid w:val="00D73912"/>
    <w:rsid w:val="00D73C88"/>
    <w:rsid w:val="00D740A5"/>
    <w:rsid w:val="00D742F9"/>
    <w:rsid w:val="00D75420"/>
    <w:rsid w:val="00D75940"/>
    <w:rsid w:val="00D75A8A"/>
    <w:rsid w:val="00D77B3F"/>
    <w:rsid w:val="00D77D28"/>
    <w:rsid w:val="00D77F88"/>
    <w:rsid w:val="00D80BEB"/>
    <w:rsid w:val="00D80F7A"/>
    <w:rsid w:val="00D81A5B"/>
    <w:rsid w:val="00D824E1"/>
    <w:rsid w:val="00D82AEA"/>
    <w:rsid w:val="00D85226"/>
    <w:rsid w:val="00D85DC0"/>
    <w:rsid w:val="00D86AC3"/>
    <w:rsid w:val="00D878BF"/>
    <w:rsid w:val="00D87B94"/>
    <w:rsid w:val="00D90448"/>
    <w:rsid w:val="00D90D0C"/>
    <w:rsid w:val="00D90E39"/>
    <w:rsid w:val="00D90F2F"/>
    <w:rsid w:val="00D9185C"/>
    <w:rsid w:val="00D91E3A"/>
    <w:rsid w:val="00D92467"/>
    <w:rsid w:val="00D92D49"/>
    <w:rsid w:val="00D92EC1"/>
    <w:rsid w:val="00D92F92"/>
    <w:rsid w:val="00D9316B"/>
    <w:rsid w:val="00D93CF1"/>
    <w:rsid w:val="00D94931"/>
    <w:rsid w:val="00D95030"/>
    <w:rsid w:val="00D95834"/>
    <w:rsid w:val="00D95BA2"/>
    <w:rsid w:val="00D95C6A"/>
    <w:rsid w:val="00D96DEA"/>
    <w:rsid w:val="00D976E5"/>
    <w:rsid w:val="00DA0713"/>
    <w:rsid w:val="00DA0D8E"/>
    <w:rsid w:val="00DA10C8"/>
    <w:rsid w:val="00DA110F"/>
    <w:rsid w:val="00DA30BC"/>
    <w:rsid w:val="00DA3FB3"/>
    <w:rsid w:val="00DA4B54"/>
    <w:rsid w:val="00DA4B72"/>
    <w:rsid w:val="00DA4E41"/>
    <w:rsid w:val="00DA4E99"/>
    <w:rsid w:val="00DA610C"/>
    <w:rsid w:val="00DA6A90"/>
    <w:rsid w:val="00DA7EC1"/>
    <w:rsid w:val="00DA7F23"/>
    <w:rsid w:val="00DB03FE"/>
    <w:rsid w:val="00DB117A"/>
    <w:rsid w:val="00DB146F"/>
    <w:rsid w:val="00DB1A43"/>
    <w:rsid w:val="00DB1AF3"/>
    <w:rsid w:val="00DB1E92"/>
    <w:rsid w:val="00DB3803"/>
    <w:rsid w:val="00DB39B1"/>
    <w:rsid w:val="00DB4318"/>
    <w:rsid w:val="00DB5173"/>
    <w:rsid w:val="00DB525C"/>
    <w:rsid w:val="00DB7006"/>
    <w:rsid w:val="00DB7701"/>
    <w:rsid w:val="00DB7873"/>
    <w:rsid w:val="00DB7D84"/>
    <w:rsid w:val="00DC187B"/>
    <w:rsid w:val="00DC1BC0"/>
    <w:rsid w:val="00DC225E"/>
    <w:rsid w:val="00DC26F6"/>
    <w:rsid w:val="00DC3F3D"/>
    <w:rsid w:val="00DC578C"/>
    <w:rsid w:val="00DC60CA"/>
    <w:rsid w:val="00DC6457"/>
    <w:rsid w:val="00DC760B"/>
    <w:rsid w:val="00DC7798"/>
    <w:rsid w:val="00DC7ED2"/>
    <w:rsid w:val="00DD0A61"/>
    <w:rsid w:val="00DD1007"/>
    <w:rsid w:val="00DD1A04"/>
    <w:rsid w:val="00DD1A43"/>
    <w:rsid w:val="00DD1BC4"/>
    <w:rsid w:val="00DD2211"/>
    <w:rsid w:val="00DD2A07"/>
    <w:rsid w:val="00DD3825"/>
    <w:rsid w:val="00DD3B75"/>
    <w:rsid w:val="00DD459F"/>
    <w:rsid w:val="00DD5992"/>
    <w:rsid w:val="00DD5CB6"/>
    <w:rsid w:val="00DD5EED"/>
    <w:rsid w:val="00DD73C2"/>
    <w:rsid w:val="00DD75FB"/>
    <w:rsid w:val="00DD7E65"/>
    <w:rsid w:val="00DE00BB"/>
    <w:rsid w:val="00DE0A62"/>
    <w:rsid w:val="00DE0F7F"/>
    <w:rsid w:val="00DE0FE8"/>
    <w:rsid w:val="00DE1475"/>
    <w:rsid w:val="00DE14CB"/>
    <w:rsid w:val="00DE1A21"/>
    <w:rsid w:val="00DE242F"/>
    <w:rsid w:val="00DE2D5C"/>
    <w:rsid w:val="00DE319B"/>
    <w:rsid w:val="00DE390E"/>
    <w:rsid w:val="00DE3D41"/>
    <w:rsid w:val="00DE4DB1"/>
    <w:rsid w:val="00DE5A2F"/>
    <w:rsid w:val="00DE7181"/>
    <w:rsid w:val="00DF0587"/>
    <w:rsid w:val="00DF0E94"/>
    <w:rsid w:val="00DF1A39"/>
    <w:rsid w:val="00DF207E"/>
    <w:rsid w:val="00DF240A"/>
    <w:rsid w:val="00DF34FE"/>
    <w:rsid w:val="00DF3984"/>
    <w:rsid w:val="00DF4965"/>
    <w:rsid w:val="00DF56AA"/>
    <w:rsid w:val="00DF56AF"/>
    <w:rsid w:val="00DF5BF5"/>
    <w:rsid w:val="00DF5E7A"/>
    <w:rsid w:val="00DF66F5"/>
    <w:rsid w:val="00DF691F"/>
    <w:rsid w:val="00DF78E7"/>
    <w:rsid w:val="00DF7EF1"/>
    <w:rsid w:val="00E000BF"/>
    <w:rsid w:val="00E00445"/>
    <w:rsid w:val="00E00BFC"/>
    <w:rsid w:val="00E00E49"/>
    <w:rsid w:val="00E0230A"/>
    <w:rsid w:val="00E02F3E"/>
    <w:rsid w:val="00E030BA"/>
    <w:rsid w:val="00E0397F"/>
    <w:rsid w:val="00E051F1"/>
    <w:rsid w:val="00E0601C"/>
    <w:rsid w:val="00E062B1"/>
    <w:rsid w:val="00E06380"/>
    <w:rsid w:val="00E06C19"/>
    <w:rsid w:val="00E10F07"/>
    <w:rsid w:val="00E110E0"/>
    <w:rsid w:val="00E11125"/>
    <w:rsid w:val="00E12294"/>
    <w:rsid w:val="00E12846"/>
    <w:rsid w:val="00E128F7"/>
    <w:rsid w:val="00E1311B"/>
    <w:rsid w:val="00E13599"/>
    <w:rsid w:val="00E1430B"/>
    <w:rsid w:val="00E14623"/>
    <w:rsid w:val="00E15371"/>
    <w:rsid w:val="00E154AB"/>
    <w:rsid w:val="00E15B3B"/>
    <w:rsid w:val="00E15B59"/>
    <w:rsid w:val="00E162C4"/>
    <w:rsid w:val="00E165A5"/>
    <w:rsid w:val="00E17461"/>
    <w:rsid w:val="00E21056"/>
    <w:rsid w:val="00E215A4"/>
    <w:rsid w:val="00E215E9"/>
    <w:rsid w:val="00E219AD"/>
    <w:rsid w:val="00E23C06"/>
    <w:rsid w:val="00E24104"/>
    <w:rsid w:val="00E25025"/>
    <w:rsid w:val="00E25080"/>
    <w:rsid w:val="00E250BE"/>
    <w:rsid w:val="00E26079"/>
    <w:rsid w:val="00E26217"/>
    <w:rsid w:val="00E266D1"/>
    <w:rsid w:val="00E26781"/>
    <w:rsid w:val="00E302D0"/>
    <w:rsid w:val="00E31525"/>
    <w:rsid w:val="00E3181A"/>
    <w:rsid w:val="00E31AE9"/>
    <w:rsid w:val="00E32490"/>
    <w:rsid w:val="00E32F48"/>
    <w:rsid w:val="00E33C05"/>
    <w:rsid w:val="00E343F2"/>
    <w:rsid w:val="00E344C0"/>
    <w:rsid w:val="00E34A54"/>
    <w:rsid w:val="00E35707"/>
    <w:rsid w:val="00E35C88"/>
    <w:rsid w:val="00E366D3"/>
    <w:rsid w:val="00E36AA1"/>
    <w:rsid w:val="00E374DB"/>
    <w:rsid w:val="00E3773E"/>
    <w:rsid w:val="00E40361"/>
    <w:rsid w:val="00E409D3"/>
    <w:rsid w:val="00E40A4F"/>
    <w:rsid w:val="00E40F22"/>
    <w:rsid w:val="00E41249"/>
    <w:rsid w:val="00E41ECB"/>
    <w:rsid w:val="00E41F8C"/>
    <w:rsid w:val="00E42676"/>
    <w:rsid w:val="00E42BA5"/>
    <w:rsid w:val="00E43792"/>
    <w:rsid w:val="00E44A97"/>
    <w:rsid w:val="00E44E3B"/>
    <w:rsid w:val="00E44EB7"/>
    <w:rsid w:val="00E468F7"/>
    <w:rsid w:val="00E469D0"/>
    <w:rsid w:val="00E46BFD"/>
    <w:rsid w:val="00E46DC2"/>
    <w:rsid w:val="00E46FA4"/>
    <w:rsid w:val="00E50065"/>
    <w:rsid w:val="00E5018B"/>
    <w:rsid w:val="00E502AC"/>
    <w:rsid w:val="00E5059D"/>
    <w:rsid w:val="00E523CF"/>
    <w:rsid w:val="00E528CB"/>
    <w:rsid w:val="00E52CE4"/>
    <w:rsid w:val="00E5344A"/>
    <w:rsid w:val="00E53893"/>
    <w:rsid w:val="00E54142"/>
    <w:rsid w:val="00E5426D"/>
    <w:rsid w:val="00E546B9"/>
    <w:rsid w:val="00E54DA6"/>
    <w:rsid w:val="00E54FDB"/>
    <w:rsid w:val="00E55078"/>
    <w:rsid w:val="00E55086"/>
    <w:rsid w:val="00E550C1"/>
    <w:rsid w:val="00E556B1"/>
    <w:rsid w:val="00E5582C"/>
    <w:rsid w:val="00E55F5E"/>
    <w:rsid w:val="00E55FEE"/>
    <w:rsid w:val="00E5617D"/>
    <w:rsid w:val="00E563D7"/>
    <w:rsid w:val="00E57CDD"/>
    <w:rsid w:val="00E60879"/>
    <w:rsid w:val="00E6168E"/>
    <w:rsid w:val="00E6565E"/>
    <w:rsid w:val="00E663F4"/>
    <w:rsid w:val="00E666F2"/>
    <w:rsid w:val="00E66DD4"/>
    <w:rsid w:val="00E66EAA"/>
    <w:rsid w:val="00E7017C"/>
    <w:rsid w:val="00E71872"/>
    <w:rsid w:val="00E72539"/>
    <w:rsid w:val="00E72E6E"/>
    <w:rsid w:val="00E7329F"/>
    <w:rsid w:val="00E73819"/>
    <w:rsid w:val="00E73883"/>
    <w:rsid w:val="00E742AA"/>
    <w:rsid w:val="00E743E4"/>
    <w:rsid w:val="00E7443E"/>
    <w:rsid w:val="00E748CC"/>
    <w:rsid w:val="00E74F15"/>
    <w:rsid w:val="00E75415"/>
    <w:rsid w:val="00E775B1"/>
    <w:rsid w:val="00E77682"/>
    <w:rsid w:val="00E776FB"/>
    <w:rsid w:val="00E77DE2"/>
    <w:rsid w:val="00E80159"/>
    <w:rsid w:val="00E80179"/>
    <w:rsid w:val="00E801A0"/>
    <w:rsid w:val="00E8059D"/>
    <w:rsid w:val="00E80E25"/>
    <w:rsid w:val="00E80EE2"/>
    <w:rsid w:val="00E810A7"/>
    <w:rsid w:val="00E8141F"/>
    <w:rsid w:val="00E8152A"/>
    <w:rsid w:val="00E81F82"/>
    <w:rsid w:val="00E81FC3"/>
    <w:rsid w:val="00E827A7"/>
    <w:rsid w:val="00E82FF8"/>
    <w:rsid w:val="00E83105"/>
    <w:rsid w:val="00E83EC9"/>
    <w:rsid w:val="00E83F05"/>
    <w:rsid w:val="00E84582"/>
    <w:rsid w:val="00E85CAB"/>
    <w:rsid w:val="00E86338"/>
    <w:rsid w:val="00E8636B"/>
    <w:rsid w:val="00E86492"/>
    <w:rsid w:val="00E86772"/>
    <w:rsid w:val="00E867C9"/>
    <w:rsid w:val="00E868A8"/>
    <w:rsid w:val="00E90A68"/>
    <w:rsid w:val="00E91478"/>
    <w:rsid w:val="00E92267"/>
    <w:rsid w:val="00E927E2"/>
    <w:rsid w:val="00E929A1"/>
    <w:rsid w:val="00E92C05"/>
    <w:rsid w:val="00E93529"/>
    <w:rsid w:val="00E93614"/>
    <w:rsid w:val="00E93629"/>
    <w:rsid w:val="00E937EA"/>
    <w:rsid w:val="00E93B5C"/>
    <w:rsid w:val="00E94256"/>
    <w:rsid w:val="00E94CEC"/>
    <w:rsid w:val="00E95930"/>
    <w:rsid w:val="00E95FC0"/>
    <w:rsid w:val="00E97255"/>
    <w:rsid w:val="00E978CE"/>
    <w:rsid w:val="00EA04EF"/>
    <w:rsid w:val="00EA0969"/>
    <w:rsid w:val="00EA0BEA"/>
    <w:rsid w:val="00EA0FA3"/>
    <w:rsid w:val="00EA11E2"/>
    <w:rsid w:val="00EA1C4D"/>
    <w:rsid w:val="00EA203D"/>
    <w:rsid w:val="00EA2476"/>
    <w:rsid w:val="00EA25BF"/>
    <w:rsid w:val="00EA2B55"/>
    <w:rsid w:val="00EA2C2B"/>
    <w:rsid w:val="00EA3A77"/>
    <w:rsid w:val="00EA53C3"/>
    <w:rsid w:val="00EA64B2"/>
    <w:rsid w:val="00EA6C79"/>
    <w:rsid w:val="00EA6F19"/>
    <w:rsid w:val="00EA72B2"/>
    <w:rsid w:val="00EB006F"/>
    <w:rsid w:val="00EB03CC"/>
    <w:rsid w:val="00EB0671"/>
    <w:rsid w:val="00EB0966"/>
    <w:rsid w:val="00EB0BC0"/>
    <w:rsid w:val="00EB1035"/>
    <w:rsid w:val="00EB127B"/>
    <w:rsid w:val="00EB1864"/>
    <w:rsid w:val="00EB2B7E"/>
    <w:rsid w:val="00EB3256"/>
    <w:rsid w:val="00EB49A4"/>
    <w:rsid w:val="00EB537C"/>
    <w:rsid w:val="00EB5C3B"/>
    <w:rsid w:val="00EB6C6A"/>
    <w:rsid w:val="00EB6F31"/>
    <w:rsid w:val="00EB7090"/>
    <w:rsid w:val="00EB75E5"/>
    <w:rsid w:val="00EB7611"/>
    <w:rsid w:val="00EB766A"/>
    <w:rsid w:val="00EC0C8F"/>
    <w:rsid w:val="00EC10BC"/>
    <w:rsid w:val="00EC1BBE"/>
    <w:rsid w:val="00EC1CF9"/>
    <w:rsid w:val="00EC1E35"/>
    <w:rsid w:val="00EC2400"/>
    <w:rsid w:val="00EC251E"/>
    <w:rsid w:val="00EC2B68"/>
    <w:rsid w:val="00EC3AEF"/>
    <w:rsid w:val="00EC3F75"/>
    <w:rsid w:val="00EC41E8"/>
    <w:rsid w:val="00EC47D5"/>
    <w:rsid w:val="00EC4B33"/>
    <w:rsid w:val="00EC5CD7"/>
    <w:rsid w:val="00EC6450"/>
    <w:rsid w:val="00EC6487"/>
    <w:rsid w:val="00EC6E01"/>
    <w:rsid w:val="00EC73F6"/>
    <w:rsid w:val="00ED04F0"/>
    <w:rsid w:val="00ED076B"/>
    <w:rsid w:val="00ED1779"/>
    <w:rsid w:val="00ED17BC"/>
    <w:rsid w:val="00ED17EF"/>
    <w:rsid w:val="00ED227E"/>
    <w:rsid w:val="00ED239D"/>
    <w:rsid w:val="00ED32EF"/>
    <w:rsid w:val="00ED351C"/>
    <w:rsid w:val="00ED3B48"/>
    <w:rsid w:val="00ED4159"/>
    <w:rsid w:val="00ED4EBE"/>
    <w:rsid w:val="00ED59AD"/>
    <w:rsid w:val="00ED6DA7"/>
    <w:rsid w:val="00ED701C"/>
    <w:rsid w:val="00ED7E80"/>
    <w:rsid w:val="00EE00F8"/>
    <w:rsid w:val="00EE0342"/>
    <w:rsid w:val="00EE0491"/>
    <w:rsid w:val="00EE0B8A"/>
    <w:rsid w:val="00EE134B"/>
    <w:rsid w:val="00EE1645"/>
    <w:rsid w:val="00EE250A"/>
    <w:rsid w:val="00EE25E1"/>
    <w:rsid w:val="00EE2BDC"/>
    <w:rsid w:val="00EE2ED0"/>
    <w:rsid w:val="00EE2F45"/>
    <w:rsid w:val="00EE42CF"/>
    <w:rsid w:val="00EE524C"/>
    <w:rsid w:val="00EE5E27"/>
    <w:rsid w:val="00EE5FB3"/>
    <w:rsid w:val="00EE622D"/>
    <w:rsid w:val="00EE7BA1"/>
    <w:rsid w:val="00EE7F79"/>
    <w:rsid w:val="00EF060A"/>
    <w:rsid w:val="00EF0AC3"/>
    <w:rsid w:val="00EF0E51"/>
    <w:rsid w:val="00EF13D3"/>
    <w:rsid w:val="00EF1DCA"/>
    <w:rsid w:val="00EF202B"/>
    <w:rsid w:val="00EF2ADD"/>
    <w:rsid w:val="00EF2D0D"/>
    <w:rsid w:val="00EF3AFB"/>
    <w:rsid w:val="00EF4245"/>
    <w:rsid w:val="00EF547E"/>
    <w:rsid w:val="00EF5F40"/>
    <w:rsid w:val="00EF653D"/>
    <w:rsid w:val="00EF6828"/>
    <w:rsid w:val="00EF715A"/>
    <w:rsid w:val="00EF749D"/>
    <w:rsid w:val="00EF7DE3"/>
    <w:rsid w:val="00EF7F64"/>
    <w:rsid w:val="00F00613"/>
    <w:rsid w:val="00F00AF6"/>
    <w:rsid w:val="00F01651"/>
    <w:rsid w:val="00F025D1"/>
    <w:rsid w:val="00F02A2E"/>
    <w:rsid w:val="00F02DE5"/>
    <w:rsid w:val="00F03157"/>
    <w:rsid w:val="00F0477F"/>
    <w:rsid w:val="00F048F1"/>
    <w:rsid w:val="00F04A3F"/>
    <w:rsid w:val="00F04CE3"/>
    <w:rsid w:val="00F04EB4"/>
    <w:rsid w:val="00F06E14"/>
    <w:rsid w:val="00F06E7B"/>
    <w:rsid w:val="00F07038"/>
    <w:rsid w:val="00F073FF"/>
    <w:rsid w:val="00F075C0"/>
    <w:rsid w:val="00F07878"/>
    <w:rsid w:val="00F07E25"/>
    <w:rsid w:val="00F1084D"/>
    <w:rsid w:val="00F109EC"/>
    <w:rsid w:val="00F1167B"/>
    <w:rsid w:val="00F139B8"/>
    <w:rsid w:val="00F13BD7"/>
    <w:rsid w:val="00F14C59"/>
    <w:rsid w:val="00F14CEC"/>
    <w:rsid w:val="00F15587"/>
    <w:rsid w:val="00F179D4"/>
    <w:rsid w:val="00F17B67"/>
    <w:rsid w:val="00F2007F"/>
    <w:rsid w:val="00F209FA"/>
    <w:rsid w:val="00F22A23"/>
    <w:rsid w:val="00F22ECA"/>
    <w:rsid w:val="00F22F35"/>
    <w:rsid w:val="00F237E0"/>
    <w:rsid w:val="00F2643D"/>
    <w:rsid w:val="00F26BA3"/>
    <w:rsid w:val="00F279F2"/>
    <w:rsid w:val="00F309B8"/>
    <w:rsid w:val="00F30CE4"/>
    <w:rsid w:val="00F30ED9"/>
    <w:rsid w:val="00F31161"/>
    <w:rsid w:val="00F31327"/>
    <w:rsid w:val="00F31E95"/>
    <w:rsid w:val="00F321FB"/>
    <w:rsid w:val="00F32405"/>
    <w:rsid w:val="00F328C2"/>
    <w:rsid w:val="00F33760"/>
    <w:rsid w:val="00F33C56"/>
    <w:rsid w:val="00F347C7"/>
    <w:rsid w:val="00F34848"/>
    <w:rsid w:val="00F35031"/>
    <w:rsid w:val="00F3514A"/>
    <w:rsid w:val="00F35A11"/>
    <w:rsid w:val="00F361D7"/>
    <w:rsid w:val="00F3650F"/>
    <w:rsid w:val="00F37D3A"/>
    <w:rsid w:val="00F4081D"/>
    <w:rsid w:val="00F41CCA"/>
    <w:rsid w:val="00F42D46"/>
    <w:rsid w:val="00F4496C"/>
    <w:rsid w:val="00F44CB6"/>
    <w:rsid w:val="00F44CC6"/>
    <w:rsid w:val="00F44F3A"/>
    <w:rsid w:val="00F44F89"/>
    <w:rsid w:val="00F45B28"/>
    <w:rsid w:val="00F45B9F"/>
    <w:rsid w:val="00F46733"/>
    <w:rsid w:val="00F4706C"/>
    <w:rsid w:val="00F47152"/>
    <w:rsid w:val="00F477ED"/>
    <w:rsid w:val="00F47AEA"/>
    <w:rsid w:val="00F500CA"/>
    <w:rsid w:val="00F5105F"/>
    <w:rsid w:val="00F51DD5"/>
    <w:rsid w:val="00F51F10"/>
    <w:rsid w:val="00F5201E"/>
    <w:rsid w:val="00F520E2"/>
    <w:rsid w:val="00F529A5"/>
    <w:rsid w:val="00F5310D"/>
    <w:rsid w:val="00F532D5"/>
    <w:rsid w:val="00F533B1"/>
    <w:rsid w:val="00F538ED"/>
    <w:rsid w:val="00F544B1"/>
    <w:rsid w:val="00F55488"/>
    <w:rsid w:val="00F5658F"/>
    <w:rsid w:val="00F57696"/>
    <w:rsid w:val="00F60F00"/>
    <w:rsid w:val="00F611A8"/>
    <w:rsid w:val="00F614C0"/>
    <w:rsid w:val="00F61B8C"/>
    <w:rsid w:val="00F623D1"/>
    <w:rsid w:val="00F62868"/>
    <w:rsid w:val="00F62D1F"/>
    <w:rsid w:val="00F63120"/>
    <w:rsid w:val="00F63748"/>
    <w:rsid w:val="00F63A88"/>
    <w:rsid w:val="00F65A46"/>
    <w:rsid w:val="00F665B8"/>
    <w:rsid w:val="00F70452"/>
    <w:rsid w:val="00F705C2"/>
    <w:rsid w:val="00F708BD"/>
    <w:rsid w:val="00F70D3D"/>
    <w:rsid w:val="00F70FCD"/>
    <w:rsid w:val="00F72981"/>
    <w:rsid w:val="00F72CF0"/>
    <w:rsid w:val="00F73E1C"/>
    <w:rsid w:val="00F77CA8"/>
    <w:rsid w:val="00F80235"/>
    <w:rsid w:val="00F80A78"/>
    <w:rsid w:val="00F81373"/>
    <w:rsid w:val="00F814E1"/>
    <w:rsid w:val="00F8228B"/>
    <w:rsid w:val="00F829CD"/>
    <w:rsid w:val="00F82C33"/>
    <w:rsid w:val="00F836A5"/>
    <w:rsid w:val="00F83848"/>
    <w:rsid w:val="00F83ADE"/>
    <w:rsid w:val="00F83B49"/>
    <w:rsid w:val="00F85CD8"/>
    <w:rsid w:val="00F85E29"/>
    <w:rsid w:val="00F86190"/>
    <w:rsid w:val="00F901F3"/>
    <w:rsid w:val="00F90804"/>
    <w:rsid w:val="00F90EAF"/>
    <w:rsid w:val="00F9129F"/>
    <w:rsid w:val="00F92D91"/>
    <w:rsid w:val="00F93BC0"/>
    <w:rsid w:val="00F9590D"/>
    <w:rsid w:val="00F95936"/>
    <w:rsid w:val="00F95FF1"/>
    <w:rsid w:val="00F96741"/>
    <w:rsid w:val="00F975E9"/>
    <w:rsid w:val="00FA02C8"/>
    <w:rsid w:val="00FA0E53"/>
    <w:rsid w:val="00FA1016"/>
    <w:rsid w:val="00FA1768"/>
    <w:rsid w:val="00FA1B7D"/>
    <w:rsid w:val="00FA1DC9"/>
    <w:rsid w:val="00FA2F6C"/>
    <w:rsid w:val="00FA317D"/>
    <w:rsid w:val="00FA345F"/>
    <w:rsid w:val="00FA3D69"/>
    <w:rsid w:val="00FA3E76"/>
    <w:rsid w:val="00FA4052"/>
    <w:rsid w:val="00FA4AD6"/>
    <w:rsid w:val="00FA5459"/>
    <w:rsid w:val="00FA5A3C"/>
    <w:rsid w:val="00FA6A7D"/>
    <w:rsid w:val="00FA6D91"/>
    <w:rsid w:val="00FA744D"/>
    <w:rsid w:val="00FB0C32"/>
    <w:rsid w:val="00FB0CD6"/>
    <w:rsid w:val="00FB1441"/>
    <w:rsid w:val="00FB180A"/>
    <w:rsid w:val="00FB1A16"/>
    <w:rsid w:val="00FB1BD0"/>
    <w:rsid w:val="00FB1C57"/>
    <w:rsid w:val="00FB1CB4"/>
    <w:rsid w:val="00FB1FBD"/>
    <w:rsid w:val="00FB2D04"/>
    <w:rsid w:val="00FB3A0E"/>
    <w:rsid w:val="00FB3ABA"/>
    <w:rsid w:val="00FB4CC5"/>
    <w:rsid w:val="00FB4DAF"/>
    <w:rsid w:val="00FB58B1"/>
    <w:rsid w:val="00FB5A80"/>
    <w:rsid w:val="00FB6137"/>
    <w:rsid w:val="00FC07B9"/>
    <w:rsid w:val="00FC09B4"/>
    <w:rsid w:val="00FC0ED1"/>
    <w:rsid w:val="00FC11AC"/>
    <w:rsid w:val="00FC11AD"/>
    <w:rsid w:val="00FC217C"/>
    <w:rsid w:val="00FC2591"/>
    <w:rsid w:val="00FC4C67"/>
    <w:rsid w:val="00FC4E21"/>
    <w:rsid w:val="00FC5F6D"/>
    <w:rsid w:val="00FC706A"/>
    <w:rsid w:val="00FC7232"/>
    <w:rsid w:val="00FC736A"/>
    <w:rsid w:val="00FC7434"/>
    <w:rsid w:val="00FC745A"/>
    <w:rsid w:val="00FC7813"/>
    <w:rsid w:val="00FC7DAA"/>
    <w:rsid w:val="00FD0107"/>
    <w:rsid w:val="00FD0A68"/>
    <w:rsid w:val="00FD0E37"/>
    <w:rsid w:val="00FD0F79"/>
    <w:rsid w:val="00FD2C2F"/>
    <w:rsid w:val="00FD35ED"/>
    <w:rsid w:val="00FD3B31"/>
    <w:rsid w:val="00FD50BF"/>
    <w:rsid w:val="00FD5F4B"/>
    <w:rsid w:val="00FD74C3"/>
    <w:rsid w:val="00FD76A2"/>
    <w:rsid w:val="00FE1823"/>
    <w:rsid w:val="00FE1D86"/>
    <w:rsid w:val="00FE1E45"/>
    <w:rsid w:val="00FE2116"/>
    <w:rsid w:val="00FE2E9F"/>
    <w:rsid w:val="00FE3028"/>
    <w:rsid w:val="00FE38C0"/>
    <w:rsid w:val="00FE43A7"/>
    <w:rsid w:val="00FE4664"/>
    <w:rsid w:val="00FE487A"/>
    <w:rsid w:val="00FE500C"/>
    <w:rsid w:val="00FE5AF5"/>
    <w:rsid w:val="00FE6E7C"/>
    <w:rsid w:val="00FE7039"/>
    <w:rsid w:val="00FE74CA"/>
    <w:rsid w:val="00FE7DC8"/>
    <w:rsid w:val="00FF008D"/>
    <w:rsid w:val="00FF00B3"/>
    <w:rsid w:val="00FF0509"/>
    <w:rsid w:val="00FF0569"/>
    <w:rsid w:val="00FF0BA6"/>
    <w:rsid w:val="00FF0F8A"/>
    <w:rsid w:val="00FF1927"/>
    <w:rsid w:val="00FF1984"/>
    <w:rsid w:val="00FF1FE9"/>
    <w:rsid w:val="00FF206E"/>
    <w:rsid w:val="00FF28D1"/>
    <w:rsid w:val="00FF3875"/>
    <w:rsid w:val="00FF3C69"/>
    <w:rsid w:val="00FF40B6"/>
    <w:rsid w:val="00FF40D1"/>
    <w:rsid w:val="00FF4C1C"/>
    <w:rsid w:val="00FF4E25"/>
    <w:rsid w:val="00FF6E0A"/>
    <w:rsid w:val="00FF703F"/>
    <w:rsid w:val="01279E62"/>
    <w:rsid w:val="0128B0E2"/>
    <w:rsid w:val="015600D7"/>
    <w:rsid w:val="017999D9"/>
    <w:rsid w:val="017A8CCB"/>
    <w:rsid w:val="017C8485"/>
    <w:rsid w:val="01B81579"/>
    <w:rsid w:val="01C046E4"/>
    <w:rsid w:val="01F36A8B"/>
    <w:rsid w:val="0203EC5E"/>
    <w:rsid w:val="020CB155"/>
    <w:rsid w:val="021102F0"/>
    <w:rsid w:val="0213D208"/>
    <w:rsid w:val="0233593E"/>
    <w:rsid w:val="02650DA9"/>
    <w:rsid w:val="026625B7"/>
    <w:rsid w:val="02AC9144"/>
    <w:rsid w:val="02B162D6"/>
    <w:rsid w:val="03309522"/>
    <w:rsid w:val="0379FF3D"/>
    <w:rsid w:val="038C8345"/>
    <w:rsid w:val="0396501E"/>
    <w:rsid w:val="0398F8F0"/>
    <w:rsid w:val="03A6A154"/>
    <w:rsid w:val="0431F91A"/>
    <w:rsid w:val="043B97FB"/>
    <w:rsid w:val="044B95E2"/>
    <w:rsid w:val="0461E7FC"/>
    <w:rsid w:val="049099B5"/>
    <w:rsid w:val="049E13B8"/>
    <w:rsid w:val="04BFD5E8"/>
    <w:rsid w:val="04D76A0F"/>
    <w:rsid w:val="0541C527"/>
    <w:rsid w:val="0577B5EB"/>
    <w:rsid w:val="0579B439"/>
    <w:rsid w:val="057E9CA6"/>
    <w:rsid w:val="0584A75C"/>
    <w:rsid w:val="0592521C"/>
    <w:rsid w:val="05E2C729"/>
    <w:rsid w:val="05E76643"/>
    <w:rsid w:val="0609D4A4"/>
    <w:rsid w:val="06150DCC"/>
    <w:rsid w:val="0641AD15"/>
    <w:rsid w:val="0698A2B6"/>
    <w:rsid w:val="06B343ED"/>
    <w:rsid w:val="072A3BB8"/>
    <w:rsid w:val="07DDCAB2"/>
    <w:rsid w:val="083612FC"/>
    <w:rsid w:val="08870212"/>
    <w:rsid w:val="08A9C3F6"/>
    <w:rsid w:val="08D8B48D"/>
    <w:rsid w:val="0983F274"/>
    <w:rsid w:val="098D372B"/>
    <w:rsid w:val="09D48F52"/>
    <w:rsid w:val="0A1CD5FF"/>
    <w:rsid w:val="0A1D1902"/>
    <w:rsid w:val="0A3CA423"/>
    <w:rsid w:val="0AAC9AA5"/>
    <w:rsid w:val="0AB1E86B"/>
    <w:rsid w:val="0AB50646"/>
    <w:rsid w:val="0B1FAE74"/>
    <w:rsid w:val="0B552B3A"/>
    <w:rsid w:val="0B86F4D5"/>
    <w:rsid w:val="0B9B3215"/>
    <w:rsid w:val="0BC155E5"/>
    <w:rsid w:val="0BDC830E"/>
    <w:rsid w:val="0BFE4C84"/>
    <w:rsid w:val="0C06097E"/>
    <w:rsid w:val="0C861305"/>
    <w:rsid w:val="0CD4CDFF"/>
    <w:rsid w:val="0D4DC242"/>
    <w:rsid w:val="0D73B20B"/>
    <w:rsid w:val="0DC5FF12"/>
    <w:rsid w:val="0DEAF67C"/>
    <w:rsid w:val="0DF3D203"/>
    <w:rsid w:val="0E3DBAFC"/>
    <w:rsid w:val="0ECC4D70"/>
    <w:rsid w:val="0F5735B5"/>
    <w:rsid w:val="0F6A640B"/>
    <w:rsid w:val="0FB89DE3"/>
    <w:rsid w:val="0FE51727"/>
    <w:rsid w:val="1097A5AD"/>
    <w:rsid w:val="1097D147"/>
    <w:rsid w:val="10988C84"/>
    <w:rsid w:val="10AC6DB5"/>
    <w:rsid w:val="10B625A8"/>
    <w:rsid w:val="10C2BC59"/>
    <w:rsid w:val="1139D0B6"/>
    <w:rsid w:val="116A5338"/>
    <w:rsid w:val="119DBE66"/>
    <w:rsid w:val="11A49DB1"/>
    <w:rsid w:val="11DA849F"/>
    <w:rsid w:val="12193CC3"/>
    <w:rsid w:val="1225A16A"/>
    <w:rsid w:val="122E6B69"/>
    <w:rsid w:val="12CC0CCD"/>
    <w:rsid w:val="12E73FF5"/>
    <w:rsid w:val="1373FCB8"/>
    <w:rsid w:val="13AA593E"/>
    <w:rsid w:val="13E97ED6"/>
    <w:rsid w:val="13F9709F"/>
    <w:rsid w:val="140A6B21"/>
    <w:rsid w:val="1449391D"/>
    <w:rsid w:val="146F97E3"/>
    <w:rsid w:val="1475CFC6"/>
    <w:rsid w:val="14B19F1E"/>
    <w:rsid w:val="14B30551"/>
    <w:rsid w:val="14B54EAD"/>
    <w:rsid w:val="156E84BA"/>
    <w:rsid w:val="15BF6161"/>
    <w:rsid w:val="1602A702"/>
    <w:rsid w:val="161D8D97"/>
    <w:rsid w:val="1644D93B"/>
    <w:rsid w:val="16A83234"/>
    <w:rsid w:val="16A929F6"/>
    <w:rsid w:val="16C6BFED"/>
    <w:rsid w:val="16F3126D"/>
    <w:rsid w:val="16FCCD56"/>
    <w:rsid w:val="170C9FD1"/>
    <w:rsid w:val="173DB199"/>
    <w:rsid w:val="177FCD1B"/>
    <w:rsid w:val="17803D71"/>
    <w:rsid w:val="17B70E0D"/>
    <w:rsid w:val="17C4B0B1"/>
    <w:rsid w:val="17CC79C9"/>
    <w:rsid w:val="17DB1661"/>
    <w:rsid w:val="17DC28A5"/>
    <w:rsid w:val="18134AD7"/>
    <w:rsid w:val="18175601"/>
    <w:rsid w:val="1821EDA5"/>
    <w:rsid w:val="1829929F"/>
    <w:rsid w:val="18EF10B8"/>
    <w:rsid w:val="18F4EEA5"/>
    <w:rsid w:val="192D08D2"/>
    <w:rsid w:val="195A1216"/>
    <w:rsid w:val="19BA71C6"/>
    <w:rsid w:val="19ECD124"/>
    <w:rsid w:val="1A0BFDB9"/>
    <w:rsid w:val="1A7397F9"/>
    <w:rsid w:val="1A7E819E"/>
    <w:rsid w:val="1ABA3FFB"/>
    <w:rsid w:val="1ABCA122"/>
    <w:rsid w:val="1AE78487"/>
    <w:rsid w:val="1AFBD473"/>
    <w:rsid w:val="1B51E497"/>
    <w:rsid w:val="1B95EEA6"/>
    <w:rsid w:val="1BCEC719"/>
    <w:rsid w:val="1BE3251F"/>
    <w:rsid w:val="1C055A7B"/>
    <w:rsid w:val="1C22B7CB"/>
    <w:rsid w:val="1C47183E"/>
    <w:rsid w:val="1C4C8FC9"/>
    <w:rsid w:val="1C83667D"/>
    <w:rsid w:val="1C8F9723"/>
    <w:rsid w:val="1C97D16C"/>
    <w:rsid w:val="1D10823E"/>
    <w:rsid w:val="1D474BBA"/>
    <w:rsid w:val="1D7540AB"/>
    <w:rsid w:val="1DACEA74"/>
    <w:rsid w:val="1E30D1A0"/>
    <w:rsid w:val="1EC1BD61"/>
    <w:rsid w:val="1EF5B8C1"/>
    <w:rsid w:val="1EF5E5AF"/>
    <w:rsid w:val="1F260BAE"/>
    <w:rsid w:val="1F3BF771"/>
    <w:rsid w:val="1F43A726"/>
    <w:rsid w:val="1F963FCA"/>
    <w:rsid w:val="1FBB342F"/>
    <w:rsid w:val="20090A72"/>
    <w:rsid w:val="205B234D"/>
    <w:rsid w:val="206DF8F1"/>
    <w:rsid w:val="2083FFE0"/>
    <w:rsid w:val="20A9AF7D"/>
    <w:rsid w:val="20D4CB99"/>
    <w:rsid w:val="20EF8F01"/>
    <w:rsid w:val="20FC6DA3"/>
    <w:rsid w:val="210633A7"/>
    <w:rsid w:val="210B4473"/>
    <w:rsid w:val="21427845"/>
    <w:rsid w:val="219E2B41"/>
    <w:rsid w:val="22B30CB0"/>
    <w:rsid w:val="230CC329"/>
    <w:rsid w:val="230D1067"/>
    <w:rsid w:val="2331CB90"/>
    <w:rsid w:val="23370197"/>
    <w:rsid w:val="235F89C3"/>
    <w:rsid w:val="2393F4BB"/>
    <w:rsid w:val="23C76A49"/>
    <w:rsid w:val="23FC999D"/>
    <w:rsid w:val="2458573C"/>
    <w:rsid w:val="249474D0"/>
    <w:rsid w:val="2494FF18"/>
    <w:rsid w:val="24E13432"/>
    <w:rsid w:val="24FCBA5A"/>
    <w:rsid w:val="2536ED72"/>
    <w:rsid w:val="253CD9DE"/>
    <w:rsid w:val="2540883F"/>
    <w:rsid w:val="25543D79"/>
    <w:rsid w:val="25AD0C1A"/>
    <w:rsid w:val="25CFDAE4"/>
    <w:rsid w:val="25DCB3E4"/>
    <w:rsid w:val="2646DDD8"/>
    <w:rsid w:val="266B94A7"/>
    <w:rsid w:val="2685142F"/>
    <w:rsid w:val="26F93685"/>
    <w:rsid w:val="27147864"/>
    <w:rsid w:val="2721EA2C"/>
    <w:rsid w:val="272C78F2"/>
    <w:rsid w:val="2747F49C"/>
    <w:rsid w:val="277B2B8F"/>
    <w:rsid w:val="27B5FF09"/>
    <w:rsid w:val="28053CB3"/>
    <w:rsid w:val="2840B5F4"/>
    <w:rsid w:val="2846F2DF"/>
    <w:rsid w:val="288BDE3B"/>
    <w:rsid w:val="2899E5D0"/>
    <w:rsid w:val="292DA437"/>
    <w:rsid w:val="294D8387"/>
    <w:rsid w:val="2A029FB1"/>
    <w:rsid w:val="2A51CC9A"/>
    <w:rsid w:val="2A67473A"/>
    <w:rsid w:val="2A8A0E49"/>
    <w:rsid w:val="2B5EEDF0"/>
    <w:rsid w:val="2B97B18D"/>
    <w:rsid w:val="2BBB7237"/>
    <w:rsid w:val="2BE2CC01"/>
    <w:rsid w:val="2BE828AC"/>
    <w:rsid w:val="2BEF6C8D"/>
    <w:rsid w:val="2BF000DD"/>
    <w:rsid w:val="2C16F7FD"/>
    <w:rsid w:val="2C6234E2"/>
    <w:rsid w:val="2C763869"/>
    <w:rsid w:val="2C8FF6A3"/>
    <w:rsid w:val="2CA83E52"/>
    <w:rsid w:val="2CB039D0"/>
    <w:rsid w:val="2CB6B035"/>
    <w:rsid w:val="2CEADDF2"/>
    <w:rsid w:val="2D3F8FEC"/>
    <w:rsid w:val="2D9EF5A2"/>
    <w:rsid w:val="2DA57998"/>
    <w:rsid w:val="2DB12CE5"/>
    <w:rsid w:val="2DB4D203"/>
    <w:rsid w:val="2DE887C9"/>
    <w:rsid w:val="2E0E61BD"/>
    <w:rsid w:val="2E16B91A"/>
    <w:rsid w:val="2E467622"/>
    <w:rsid w:val="2EA64FBA"/>
    <w:rsid w:val="2EA8BD47"/>
    <w:rsid w:val="2ECBAFCC"/>
    <w:rsid w:val="2EEFDF03"/>
    <w:rsid w:val="2EF8F887"/>
    <w:rsid w:val="2F257507"/>
    <w:rsid w:val="307BAD84"/>
    <w:rsid w:val="308A346F"/>
    <w:rsid w:val="30F2CC3E"/>
    <w:rsid w:val="30FD49F8"/>
    <w:rsid w:val="310948CB"/>
    <w:rsid w:val="3116A51F"/>
    <w:rsid w:val="311724E2"/>
    <w:rsid w:val="31306D6D"/>
    <w:rsid w:val="3187061F"/>
    <w:rsid w:val="3190B857"/>
    <w:rsid w:val="319C3445"/>
    <w:rsid w:val="31EF9FDD"/>
    <w:rsid w:val="32CFF414"/>
    <w:rsid w:val="32D4E0B2"/>
    <w:rsid w:val="33252440"/>
    <w:rsid w:val="33283E49"/>
    <w:rsid w:val="3368DF58"/>
    <w:rsid w:val="3417066D"/>
    <w:rsid w:val="342CC80B"/>
    <w:rsid w:val="345D7A98"/>
    <w:rsid w:val="34655D2A"/>
    <w:rsid w:val="34B788AB"/>
    <w:rsid w:val="34DBF1A4"/>
    <w:rsid w:val="34F7D3DE"/>
    <w:rsid w:val="3513A514"/>
    <w:rsid w:val="3564B3EC"/>
    <w:rsid w:val="35F07B4B"/>
    <w:rsid w:val="35FF92F6"/>
    <w:rsid w:val="362315D6"/>
    <w:rsid w:val="364AE262"/>
    <w:rsid w:val="366F146B"/>
    <w:rsid w:val="36B8539D"/>
    <w:rsid w:val="377EE6CA"/>
    <w:rsid w:val="37D94B89"/>
    <w:rsid w:val="37DA98DE"/>
    <w:rsid w:val="38765D5F"/>
    <w:rsid w:val="393F2DAE"/>
    <w:rsid w:val="3953E754"/>
    <w:rsid w:val="3955E456"/>
    <w:rsid w:val="39ABB4C4"/>
    <w:rsid w:val="39DB9329"/>
    <w:rsid w:val="39E37466"/>
    <w:rsid w:val="3A0366B2"/>
    <w:rsid w:val="3A1833FF"/>
    <w:rsid w:val="3A6FC911"/>
    <w:rsid w:val="3A8D009A"/>
    <w:rsid w:val="3B557D78"/>
    <w:rsid w:val="3BE1904D"/>
    <w:rsid w:val="3BE4F021"/>
    <w:rsid w:val="3BFAD541"/>
    <w:rsid w:val="3C25584C"/>
    <w:rsid w:val="3C45C1F5"/>
    <w:rsid w:val="3C603177"/>
    <w:rsid w:val="3CC1DE28"/>
    <w:rsid w:val="3CCFE4B8"/>
    <w:rsid w:val="3CD19901"/>
    <w:rsid w:val="3CE4C7AF"/>
    <w:rsid w:val="3D0DDE16"/>
    <w:rsid w:val="3D16DCBA"/>
    <w:rsid w:val="3D229E2C"/>
    <w:rsid w:val="3D8AD1F2"/>
    <w:rsid w:val="3D96B23C"/>
    <w:rsid w:val="3DBC2C73"/>
    <w:rsid w:val="3DC2CE25"/>
    <w:rsid w:val="3E191E64"/>
    <w:rsid w:val="3E729B49"/>
    <w:rsid w:val="3EB5A7F7"/>
    <w:rsid w:val="3F357F41"/>
    <w:rsid w:val="40011272"/>
    <w:rsid w:val="40183815"/>
    <w:rsid w:val="40603070"/>
    <w:rsid w:val="406BAB3F"/>
    <w:rsid w:val="40865411"/>
    <w:rsid w:val="40869092"/>
    <w:rsid w:val="40A3CEA3"/>
    <w:rsid w:val="40B402DA"/>
    <w:rsid w:val="40F09147"/>
    <w:rsid w:val="4130C573"/>
    <w:rsid w:val="414195C1"/>
    <w:rsid w:val="415F6A47"/>
    <w:rsid w:val="41689030"/>
    <w:rsid w:val="417F0598"/>
    <w:rsid w:val="41A0F991"/>
    <w:rsid w:val="41F52EA2"/>
    <w:rsid w:val="42117FD0"/>
    <w:rsid w:val="422EA463"/>
    <w:rsid w:val="42469AE2"/>
    <w:rsid w:val="424ED6F2"/>
    <w:rsid w:val="42C95E31"/>
    <w:rsid w:val="42E1441E"/>
    <w:rsid w:val="4307CAF0"/>
    <w:rsid w:val="436DDF05"/>
    <w:rsid w:val="43A66504"/>
    <w:rsid w:val="440753A5"/>
    <w:rsid w:val="4441E34E"/>
    <w:rsid w:val="44451437"/>
    <w:rsid w:val="445457C6"/>
    <w:rsid w:val="445F41A5"/>
    <w:rsid w:val="44D7D29B"/>
    <w:rsid w:val="44EC5D2B"/>
    <w:rsid w:val="44F4D4C9"/>
    <w:rsid w:val="44FE00C7"/>
    <w:rsid w:val="4508CA14"/>
    <w:rsid w:val="451346C0"/>
    <w:rsid w:val="4531A23E"/>
    <w:rsid w:val="45338AF4"/>
    <w:rsid w:val="458C933F"/>
    <w:rsid w:val="45C90870"/>
    <w:rsid w:val="45CC8FA8"/>
    <w:rsid w:val="45CF1B4C"/>
    <w:rsid w:val="462AAB25"/>
    <w:rsid w:val="46804424"/>
    <w:rsid w:val="468DDCFB"/>
    <w:rsid w:val="46A4DE0C"/>
    <w:rsid w:val="46F600D4"/>
    <w:rsid w:val="46FFD16C"/>
    <w:rsid w:val="47727145"/>
    <w:rsid w:val="47B69C9B"/>
    <w:rsid w:val="4806843A"/>
    <w:rsid w:val="48596512"/>
    <w:rsid w:val="488A49AF"/>
    <w:rsid w:val="48F0B69B"/>
    <w:rsid w:val="493D3A52"/>
    <w:rsid w:val="497F2E11"/>
    <w:rsid w:val="49C6BAAF"/>
    <w:rsid w:val="49D31D05"/>
    <w:rsid w:val="49E442FE"/>
    <w:rsid w:val="4A0039AD"/>
    <w:rsid w:val="4A12DC44"/>
    <w:rsid w:val="4A6F7AFC"/>
    <w:rsid w:val="4AA897B6"/>
    <w:rsid w:val="4B2E9B38"/>
    <w:rsid w:val="4B8DB7A3"/>
    <w:rsid w:val="4BB59DC9"/>
    <w:rsid w:val="4BB6B696"/>
    <w:rsid w:val="4BE44B90"/>
    <w:rsid w:val="4C56D779"/>
    <w:rsid w:val="4C618142"/>
    <w:rsid w:val="4C736BE9"/>
    <w:rsid w:val="4C9DE8B8"/>
    <w:rsid w:val="4CA4408B"/>
    <w:rsid w:val="4CFD5089"/>
    <w:rsid w:val="4D1754CB"/>
    <w:rsid w:val="4D3F1256"/>
    <w:rsid w:val="4D422800"/>
    <w:rsid w:val="4DD675D8"/>
    <w:rsid w:val="4DE8EFBB"/>
    <w:rsid w:val="4E53427E"/>
    <w:rsid w:val="4E563FA6"/>
    <w:rsid w:val="4E5D56C0"/>
    <w:rsid w:val="4EBEF0C5"/>
    <w:rsid w:val="4F4BE490"/>
    <w:rsid w:val="4F53681C"/>
    <w:rsid w:val="4F593247"/>
    <w:rsid w:val="4F67134B"/>
    <w:rsid w:val="4F9A1107"/>
    <w:rsid w:val="4F9F2827"/>
    <w:rsid w:val="4FBB9E20"/>
    <w:rsid w:val="50314529"/>
    <w:rsid w:val="5052E5B3"/>
    <w:rsid w:val="505DC1D9"/>
    <w:rsid w:val="50F5C4DC"/>
    <w:rsid w:val="510DD1D3"/>
    <w:rsid w:val="511666FA"/>
    <w:rsid w:val="5120BA58"/>
    <w:rsid w:val="51781D9D"/>
    <w:rsid w:val="51A5BFD0"/>
    <w:rsid w:val="521EC39C"/>
    <w:rsid w:val="5235B551"/>
    <w:rsid w:val="523CEA2D"/>
    <w:rsid w:val="524B57B3"/>
    <w:rsid w:val="525589A8"/>
    <w:rsid w:val="52BCD38A"/>
    <w:rsid w:val="52F34667"/>
    <w:rsid w:val="531E6047"/>
    <w:rsid w:val="5338A72B"/>
    <w:rsid w:val="5355C857"/>
    <w:rsid w:val="5378E9CB"/>
    <w:rsid w:val="53923617"/>
    <w:rsid w:val="53C7A416"/>
    <w:rsid w:val="53F94363"/>
    <w:rsid w:val="54328730"/>
    <w:rsid w:val="543396FD"/>
    <w:rsid w:val="544DE77E"/>
    <w:rsid w:val="5488E3DF"/>
    <w:rsid w:val="54F7F3C9"/>
    <w:rsid w:val="5533F0B8"/>
    <w:rsid w:val="5558E7A6"/>
    <w:rsid w:val="558CDE13"/>
    <w:rsid w:val="55BD7327"/>
    <w:rsid w:val="55DE386E"/>
    <w:rsid w:val="55E7DD04"/>
    <w:rsid w:val="55F1B47F"/>
    <w:rsid w:val="561D44C7"/>
    <w:rsid w:val="5635A1F9"/>
    <w:rsid w:val="563A223D"/>
    <w:rsid w:val="564EFBF1"/>
    <w:rsid w:val="5650547C"/>
    <w:rsid w:val="566737A9"/>
    <w:rsid w:val="5671EE19"/>
    <w:rsid w:val="567C6E74"/>
    <w:rsid w:val="567D747C"/>
    <w:rsid w:val="56AD653C"/>
    <w:rsid w:val="56BB99BE"/>
    <w:rsid w:val="56C4F4E7"/>
    <w:rsid w:val="5719F5A0"/>
    <w:rsid w:val="574B1BCF"/>
    <w:rsid w:val="5754C602"/>
    <w:rsid w:val="57AEB788"/>
    <w:rsid w:val="57CC5B4E"/>
    <w:rsid w:val="57D31E71"/>
    <w:rsid w:val="580C90DB"/>
    <w:rsid w:val="5810A895"/>
    <w:rsid w:val="58466C67"/>
    <w:rsid w:val="58890A12"/>
    <w:rsid w:val="58CB20EF"/>
    <w:rsid w:val="590F75CE"/>
    <w:rsid w:val="594150F5"/>
    <w:rsid w:val="59A07A31"/>
    <w:rsid w:val="5A229E5B"/>
    <w:rsid w:val="5A4BD811"/>
    <w:rsid w:val="5A574B5D"/>
    <w:rsid w:val="5A6A4CCB"/>
    <w:rsid w:val="5A97B542"/>
    <w:rsid w:val="5A9F8645"/>
    <w:rsid w:val="5AAFB3F4"/>
    <w:rsid w:val="5AB4F051"/>
    <w:rsid w:val="5ACBB2D1"/>
    <w:rsid w:val="5B348D97"/>
    <w:rsid w:val="5B42E42F"/>
    <w:rsid w:val="5B4E4045"/>
    <w:rsid w:val="5C2ED872"/>
    <w:rsid w:val="5C662482"/>
    <w:rsid w:val="5CEE0324"/>
    <w:rsid w:val="5D0415DB"/>
    <w:rsid w:val="5D072523"/>
    <w:rsid w:val="5D16F4F0"/>
    <w:rsid w:val="5D5CE868"/>
    <w:rsid w:val="5D98E4BB"/>
    <w:rsid w:val="5DDB4AC2"/>
    <w:rsid w:val="5E01947A"/>
    <w:rsid w:val="5E0DB445"/>
    <w:rsid w:val="5E1BD7A5"/>
    <w:rsid w:val="5E20AEFA"/>
    <w:rsid w:val="5E2F1FDE"/>
    <w:rsid w:val="5EA8D9B5"/>
    <w:rsid w:val="5EEBE99F"/>
    <w:rsid w:val="5F056F83"/>
    <w:rsid w:val="5F1066FC"/>
    <w:rsid w:val="5F44EB0A"/>
    <w:rsid w:val="5F520BE8"/>
    <w:rsid w:val="5F57FE4B"/>
    <w:rsid w:val="5F804954"/>
    <w:rsid w:val="5FD3AA8A"/>
    <w:rsid w:val="5FD740A7"/>
    <w:rsid w:val="5FF8BABC"/>
    <w:rsid w:val="6050835B"/>
    <w:rsid w:val="6062752D"/>
    <w:rsid w:val="60B7DD90"/>
    <w:rsid w:val="60EAE82E"/>
    <w:rsid w:val="61211253"/>
    <w:rsid w:val="615AA7E1"/>
    <w:rsid w:val="61E77C92"/>
    <w:rsid w:val="61E87AF9"/>
    <w:rsid w:val="61E946E5"/>
    <w:rsid w:val="62007044"/>
    <w:rsid w:val="6278061F"/>
    <w:rsid w:val="62909D6D"/>
    <w:rsid w:val="6291F56A"/>
    <w:rsid w:val="632C9254"/>
    <w:rsid w:val="6343F804"/>
    <w:rsid w:val="634F10B1"/>
    <w:rsid w:val="635EBB68"/>
    <w:rsid w:val="63634286"/>
    <w:rsid w:val="6374658C"/>
    <w:rsid w:val="637899D8"/>
    <w:rsid w:val="63AC7F75"/>
    <w:rsid w:val="63FCA3C4"/>
    <w:rsid w:val="64116A35"/>
    <w:rsid w:val="648620D1"/>
    <w:rsid w:val="64B14FF4"/>
    <w:rsid w:val="64B39925"/>
    <w:rsid w:val="64BDA853"/>
    <w:rsid w:val="64E8D498"/>
    <w:rsid w:val="64FF2E11"/>
    <w:rsid w:val="65119107"/>
    <w:rsid w:val="652E9A3B"/>
    <w:rsid w:val="65323C76"/>
    <w:rsid w:val="65412035"/>
    <w:rsid w:val="659ACBED"/>
    <w:rsid w:val="6626ED93"/>
    <w:rsid w:val="6633DEC4"/>
    <w:rsid w:val="666105A8"/>
    <w:rsid w:val="66A25DF3"/>
    <w:rsid w:val="66B6CA47"/>
    <w:rsid w:val="66BAC819"/>
    <w:rsid w:val="66CA1570"/>
    <w:rsid w:val="66D634AD"/>
    <w:rsid w:val="66E5B6DD"/>
    <w:rsid w:val="67206D0D"/>
    <w:rsid w:val="672DBDF2"/>
    <w:rsid w:val="67688161"/>
    <w:rsid w:val="67DD4717"/>
    <w:rsid w:val="67E7A761"/>
    <w:rsid w:val="67F18D0B"/>
    <w:rsid w:val="681A2FA7"/>
    <w:rsid w:val="68200331"/>
    <w:rsid w:val="688092C5"/>
    <w:rsid w:val="68B74602"/>
    <w:rsid w:val="68D7919C"/>
    <w:rsid w:val="69058328"/>
    <w:rsid w:val="69364A06"/>
    <w:rsid w:val="6995B282"/>
    <w:rsid w:val="69A0EC92"/>
    <w:rsid w:val="69CA4755"/>
    <w:rsid w:val="69D3E091"/>
    <w:rsid w:val="69E16FF9"/>
    <w:rsid w:val="6A63F882"/>
    <w:rsid w:val="6AA4109E"/>
    <w:rsid w:val="6ADB0085"/>
    <w:rsid w:val="6B430C1E"/>
    <w:rsid w:val="6B43B3D0"/>
    <w:rsid w:val="6B65184B"/>
    <w:rsid w:val="6B76063F"/>
    <w:rsid w:val="6B7B9A72"/>
    <w:rsid w:val="6B7E9040"/>
    <w:rsid w:val="6B81F614"/>
    <w:rsid w:val="6B9ED1AE"/>
    <w:rsid w:val="6BAFD7F7"/>
    <w:rsid w:val="6BDA6D1A"/>
    <w:rsid w:val="6C5F459A"/>
    <w:rsid w:val="6C6B23D3"/>
    <w:rsid w:val="6C852B36"/>
    <w:rsid w:val="6CA690DA"/>
    <w:rsid w:val="6CB3B03C"/>
    <w:rsid w:val="6CC851D1"/>
    <w:rsid w:val="6D1134AD"/>
    <w:rsid w:val="6D1AA4FB"/>
    <w:rsid w:val="6D5A81C8"/>
    <w:rsid w:val="6DA3DF82"/>
    <w:rsid w:val="6DAC9833"/>
    <w:rsid w:val="6DD10567"/>
    <w:rsid w:val="6E0CEA0C"/>
    <w:rsid w:val="6E1FAD6F"/>
    <w:rsid w:val="6E281822"/>
    <w:rsid w:val="6E556B8D"/>
    <w:rsid w:val="6E97EA5E"/>
    <w:rsid w:val="6EC342FD"/>
    <w:rsid w:val="6F1C96BA"/>
    <w:rsid w:val="6F58737C"/>
    <w:rsid w:val="6F8D5CED"/>
    <w:rsid w:val="6F999334"/>
    <w:rsid w:val="6FDC43F6"/>
    <w:rsid w:val="7017DD51"/>
    <w:rsid w:val="7029F1B9"/>
    <w:rsid w:val="7050FAEE"/>
    <w:rsid w:val="70538549"/>
    <w:rsid w:val="70575AFF"/>
    <w:rsid w:val="7077938D"/>
    <w:rsid w:val="7081C9EA"/>
    <w:rsid w:val="709A2B55"/>
    <w:rsid w:val="70A8BC2E"/>
    <w:rsid w:val="70E33901"/>
    <w:rsid w:val="70F76C6F"/>
    <w:rsid w:val="7142D07A"/>
    <w:rsid w:val="71452018"/>
    <w:rsid w:val="716BD826"/>
    <w:rsid w:val="71AA8BE6"/>
    <w:rsid w:val="71C53BA9"/>
    <w:rsid w:val="71DE52FF"/>
    <w:rsid w:val="71F35C84"/>
    <w:rsid w:val="725F1C14"/>
    <w:rsid w:val="7266992C"/>
    <w:rsid w:val="727A9479"/>
    <w:rsid w:val="72FAC26E"/>
    <w:rsid w:val="73182E21"/>
    <w:rsid w:val="733F4530"/>
    <w:rsid w:val="733F5639"/>
    <w:rsid w:val="738710F2"/>
    <w:rsid w:val="73C2A8C5"/>
    <w:rsid w:val="73D1ECFE"/>
    <w:rsid w:val="7432D999"/>
    <w:rsid w:val="747085C2"/>
    <w:rsid w:val="748B7826"/>
    <w:rsid w:val="74E669C1"/>
    <w:rsid w:val="756ACAF2"/>
    <w:rsid w:val="757BEF21"/>
    <w:rsid w:val="7582A2A9"/>
    <w:rsid w:val="75B93F8C"/>
    <w:rsid w:val="75BACEC1"/>
    <w:rsid w:val="75EA20BB"/>
    <w:rsid w:val="75EE2096"/>
    <w:rsid w:val="7623E900"/>
    <w:rsid w:val="769FC133"/>
    <w:rsid w:val="76A649AD"/>
    <w:rsid w:val="76D3F871"/>
    <w:rsid w:val="76E32918"/>
    <w:rsid w:val="76F19C33"/>
    <w:rsid w:val="773F40E7"/>
    <w:rsid w:val="7755F793"/>
    <w:rsid w:val="775ECBC1"/>
    <w:rsid w:val="776E4658"/>
    <w:rsid w:val="7798F19A"/>
    <w:rsid w:val="77ACC5FD"/>
    <w:rsid w:val="77C213C9"/>
    <w:rsid w:val="77C357E2"/>
    <w:rsid w:val="781DC31D"/>
    <w:rsid w:val="78807583"/>
    <w:rsid w:val="78B12202"/>
    <w:rsid w:val="78BF18A2"/>
    <w:rsid w:val="78E9F194"/>
    <w:rsid w:val="79256766"/>
    <w:rsid w:val="7952613D"/>
    <w:rsid w:val="79665147"/>
    <w:rsid w:val="7983F085"/>
    <w:rsid w:val="79966C56"/>
    <w:rsid w:val="79AECA1E"/>
    <w:rsid w:val="79EA445D"/>
    <w:rsid w:val="79EFF0A9"/>
    <w:rsid w:val="7A2C78C5"/>
    <w:rsid w:val="7A55B78A"/>
    <w:rsid w:val="7A75D1B9"/>
    <w:rsid w:val="7A773DB6"/>
    <w:rsid w:val="7A85A009"/>
    <w:rsid w:val="7AA16909"/>
    <w:rsid w:val="7AB182AB"/>
    <w:rsid w:val="7AC11C7D"/>
    <w:rsid w:val="7AC35ADB"/>
    <w:rsid w:val="7AC62D59"/>
    <w:rsid w:val="7AFAC99D"/>
    <w:rsid w:val="7B0C2B13"/>
    <w:rsid w:val="7B5A35D2"/>
    <w:rsid w:val="7B674454"/>
    <w:rsid w:val="7BCE3098"/>
    <w:rsid w:val="7BD31F76"/>
    <w:rsid w:val="7C114FD8"/>
    <w:rsid w:val="7C1A17E7"/>
    <w:rsid w:val="7C5617BC"/>
    <w:rsid w:val="7C5D9127"/>
    <w:rsid w:val="7C8975F9"/>
    <w:rsid w:val="7CE77299"/>
    <w:rsid w:val="7D16F55F"/>
    <w:rsid w:val="7D5D70ED"/>
    <w:rsid w:val="7D8492D7"/>
    <w:rsid w:val="7DCC1EEB"/>
    <w:rsid w:val="7DD9B0C7"/>
    <w:rsid w:val="7DFF85B0"/>
    <w:rsid w:val="7E2CD316"/>
    <w:rsid w:val="7E33C39E"/>
    <w:rsid w:val="7EA3FE15"/>
    <w:rsid w:val="7EB58DFB"/>
    <w:rsid w:val="7EBE9106"/>
    <w:rsid w:val="7ED7A4C7"/>
    <w:rsid w:val="7EE6D64F"/>
    <w:rsid w:val="7F307246"/>
    <w:rsid w:val="7F3533CC"/>
    <w:rsid w:val="7F74C801"/>
    <w:rsid w:val="7FD1B373"/>
  </w:rsids>
  <m:mathPr>
    <m:mathFont m:val="Cambria Math"/>
    <m:brkBin m:val="before"/>
    <m:brkBinSub m:val="--"/>
    <m:smallFrac/>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4337">
      <o:colormru v:ext="edit" colors="red,#4d4d4f"/>
    </o:shapedefaults>
    <o:shapelayout v:ext="edit">
      <o:idmap v:ext="edit" data="1"/>
    </o:shapelayout>
  </w:shapeDefaults>
  <w:decimalSymbol w:val="."/>
  <w:listSeparator w:val=","/>
  <w14:docId w14:val="4AB1D0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AU" w:eastAsia="en-AU"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index 1" w:semiHidden="1" w:unhideWhenUsed="1"/>
    <w:lsdException w:name="index 2" w:semiHidden="1"/>
    <w:lsdException w:name="index 3" w:semiHidden="1"/>
    <w:lsdException w:name="index 4" w:semiHidden="1"/>
    <w:lsdException w:name="index 5" w:semiHidden="1"/>
    <w:lsdException w:name="index 6" w:semiHidden="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qFormat="1"/>
    <w:lsdException w:name="List Number 3" w:semiHidden="1" w:unhideWhenUsed="1"/>
    <w:lsdException w:name="List Number 4" w:semiHidden="1" w:unhideWhenUsed="1"/>
    <w:lsdException w:name="List Number 5" w:semiHidden="1"/>
    <w:lsdException w:name="Title" w:semiHidden="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lsdException w:name="Block Text" w:semiHidden="1"/>
    <w:lsdException w:name="Hyperlink" w:uiPriority="99" w:qFormat="1"/>
    <w:lsdException w:name="Strong" w:semiHidden="1"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qFormat="1"/>
    <w:lsdException w:name="Quote" w:semiHidden="1"/>
    <w:lsdException w:name="Intense Quote"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lsdException w:name="Intense Emphasis" w:semiHidden="1"/>
    <w:lsdException w:name="Subtle Reference" w:semiHidden="1"/>
    <w:lsdException w:name="Intense Reference" w:semiHidden="1"/>
    <w:lsdException w:name="Book Title" w:semiHidden="1"/>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semiHidden/>
    <w:qFormat/>
    <w:rsid w:val="00390D91"/>
    <w:pPr>
      <w:spacing w:after="240" w:line="240" w:lineRule="atLeast"/>
    </w:pPr>
    <w:rPr>
      <w:rFonts w:ascii="Arial" w:hAnsi="Arial"/>
      <w:sz w:val="20"/>
    </w:rPr>
  </w:style>
  <w:style w:type="paragraph" w:styleId="Heading1">
    <w:name w:val="heading 1"/>
    <w:basedOn w:val="Normal"/>
    <w:next w:val="Normal"/>
    <w:link w:val="Heading1Char"/>
    <w:uiPriority w:val="1"/>
    <w:qFormat/>
    <w:rsid w:val="00C55235"/>
    <w:pPr>
      <w:keepNext/>
      <w:pageBreakBefore/>
      <w:widowControl w:val="0"/>
      <w:spacing w:after="360" w:line="550" w:lineRule="exact"/>
      <w:outlineLvl w:val="0"/>
    </w:pPr>
    <w:rPr>
      <w:rFonts w:cs="Arial"/>
      <w:bCs/>
      <w:color w:val="323232"/>
      <w:kern w:val="32"/>
      <w:sz w:val="53"/>
      <w:szCs w:val="32"/>
    </w:rPr>
  </w:style>
  <w:style w:type="paragraph" w:styleId="Heading2">
    <w:name w:val="heading 2"/>
    <w:basedOn w:val="Normal"/>
    <w:next w:val="Paragraph"/>
    <w:link w:val="Heading2Char"/>
    <w:qFormat/>
    <w:rsid w:val="00C55235"/>
    <w:pPr>
      <w:keepNext/>
      <w:spacing w:before="320" w:after="60"/>
      <w:outlineLvl w:val="1"/>
    </w:pPr>
    <w:rPr>
      <w:rFonts w:cs="Arial"/>
      <w:b/>
      <w:bCs/>
      <w:iCs/>
      <w:sz w:val="28"/>
      <w:szCs w:val="28"/>
    </w:rPr>
  </w:style>
  <w:style w:type="paragraph" w:styleId="Heading3">
    <w:name w:val="heading 3"/>
    <w:basedOn w:val="Normal"/>
    <w:next w:val="Normal"/>
    <w:link w:val="Heading3Char"/>
    <w:uiPriority w:val="2"/>
    <w:qFormat/>
    <w:rsid w:val="00C55235"/>
    <w:pPr>
      <w:keepNext/>
      <w:spacing w:before="60" w:after="60"/>
      <w:outlineLvl w:val="2"/>
    </w:pPr>
    <w:rPr>
      <w:rFonts w:cs="Arial"/>
      <w:b/>
      <w:bCs/>
      <w:szCs w:val="26"/>
    </w:rPr>
  </w:style>
  <w:style w:type="paragraph" w:styleId="Heading4">
    <w:name w:val="heading 4"/>
    <w:basedOn w:val="BodySubHeader"/>
    <w:next w:val="Normal"/>
    <w:link w:val="Heading4Char"/>
    <w:uiPriority w:val="3"/>
    <w:qFormat/>
    <w:rsid w:val="005B2F0D"/>
    <w:pPr>
      <w:outlineLvl w:val="3"/>
    </w:pPr>
    <w:rPr>
      <w:rFonts w:cs="Arial"/>
    </w:rPr>
  </w:style>
  <w:style w:type="paragraph" w:styleId="Heading5">
    <w:name w:val="heading 5"/>
    <w:basedOn w:val="Normal"/>
    <w:next w:val="Normal"/>
    <w:semiHidden/>
    <w:qFormat/>
    <w:rsid w:val="00AD5436"/>
    <w:pPr>
      <w:numPr>
        <w:ilvl w:val="4"/>
        <w:numId w:val="15"/>
      </w:numPr>
      <w:spacing w:before="240" w:after="60"/>
      <w:outlineLvl w:val="4"/>
    </w:pPr>
    <w:rPr>
      <w:b/>
      <w:bCs/>
      <w:i/>
      <w:iCs/>
      <w:sz w:val="26"/>
      <w:szCs w:val="26"/>
    </w:rPr>
  </w:style>
  <w:style w:type="paragraph" w:styleId="Heading6">
    <w:name w:val="heading 6"/>
    <w:basedOn w:val="Normal"/>
    <w:next w:val="Normal"/>
    <w:semiHidden/>
    <w:qFormat/>
    <w:rsid w:val="00AD5436"/>
    <w:pPr>
      <w:numPr>
        <w:ilvl w:val="5"/>
        <w:numId w:val="15"/>
      </w:numPr>
      <w:spacing w:before="240" w:after="60"/>
      <w:outlineLvl w:val="5"/>
    </w:pPr>
    <w:rPr>
      <w:rFonts w:ascii="Times New Roman" w:hAnsi="Times New Roman"/>
      <w:b/>
      <w:bCs/>
      <w:sz w:val="22"/>
      <w:szCs w:val="22"/>
    </w:rPr>
  </w:style>
  <w:style w:type="paragraph" w:styleId="Heading7">
    <w:name w:val="heading 7"/>
    <w:basedOn w:val="Normal"/>
    <w:next w:val="Normal"/>
    <w:semiHidden/>
    <w:qFormat/>
    <w:rsid w:val="00AD5436"/>
    <w:pPr>
      <w:numPr>
        <w:ilvl w:val="6"/>
        <w:numId w:val="15"/>
      </w:numPr>
      <w:spacing w:before="240" w:after="60"/>
      <w:outlineLvl w:val="6"/>
    </w:pPr>
    <w:rPr>
      <w:rFonts w:ascii="Times New Roman" w:hAnsi="Times New Roman"/>
      <w:sz w:val="24"/>
    </w:rPr>
  </w:style>
  <w:style w:type="paragraph" w:styleId="Heading8">
    <w:name w:val="heading 8"/>
    <w:basedOn w:val="Normal"/>
    <w:next w:val="Normal"/>
    <w:semiHidden/>
    <w:qFormat/>
    <w:rsid w:val="00AD5436"/>
    <w:pPr>
      <w:numPr>
        <w:ilvl w:val="7"/>
        <w:numId w:val="15"/>
      </w:numPr>
      <w:spacing w:before="240" w:after="60"/>
      <w:outlineLvl w:val="7"/>
    </w:pPr>
    <w:rPr>
      <w:rFonts w:ascii="Times New Roman" w:hAnsi="Times New Roman"/>
      <w:i/>
      <w:iCs/>
      <w:sz w:val="24"/>
    </w:rPr>
  </w:style>
  <w:style w:type="paragraph" w:styleId="Heading9">
    <w:name w:val="heading 9"/>
    <w:basedOn w:val="Normal"/>
    <w:next w:val="Normal"/>
    <w:semiHidden/>
    <w:qFormat/>
    <w:rsid w:val="00AD5436"/>
    <w:pPr>
      <w:numPr>
        <w:ilvl w:val="8"/>
        <w:numId w:val="15"/>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rsid w:val="0070791C"/>
    <w:pPr>
      <w:tabs>
        <w:tab w:val="center" w:pos="4153"/>
        <w:tab w:val="right" w:pos="8306"/>
      </w:tabs>
      <w:spacing w:line="240" w:lineRule="auto"/>
    </w:pPr>
    <w:rPr>
      <w:sz w:val="16"/>
    </w:rPr>
  </w:style>
  <w:style w:type="paragraph" w:styleId="Footer">
    <w:name w:val="footer"/>
    <w:basedOn w:val="Normal"/>
    <w:link w:val="FooterChar"/>
    <w:semiHidden/>
    <w:qFormat/>
    <w:rsid w:val="0094078F"/>
    <w:pPr>
      <w:tabs>
        <w:tab w:val="right" w:pos="113"/>
      </w:tabs>
      <w:spacing w:line="240" w:lineRule="auto"/>
    </w:pPr>
    <w:rPr>
      <w:color w:val="323232"/>
      <w:sz w:val="16"/>
    </w:rPr>
  </w:style>
  <w:style w:type="character" w:customStyle="1" w:styleId="FooterChar">
    <w:name w:val="Footer Char"/>
    <w:basedOn w:val="DefaultParagraphFont"/>
    <w:link w:val="Footer"/>
    <w:semiHidden/>
    <w:rsid w:val="00EC2B68"/>
    <w:rPr>
      <w:rFonts w:ascii="Arial" w:hAnsi="Arial"/>
      <w:color w:val="323232"/>
      <w:sz w:val="16"/>
    </w:rPr>
  </w:style>
  <w:style w:type="paragraph" w:customStyle="1" w:styleId="Reporttitle">
    <w:name w:val="Report title"/>
    <w:basedOn w:val="Normal"/>
    <w:uiPriority w:val="19"/>
    <w:qFormat/>
    <w:rsid w:val="00A51D1A"/>
    <w:pPr>
      <w:spacing w:after="0" w:line="560" w:lineRule="exact"/>
    </w:pPr>
    <w:rPr>
      <w:b/>
      <w:spacing w:val="-28"/>
      <w:sz w:val="53"/>
    </w:rPr>
  </w:style>
  <w:style w:type="paragraph" w:customStyle="1" w:styleId="Reportsubtitle">
    <w:name w:val="Report subtitle"/>
    <w:basedOn w:val="Normal"/>
    <w:uiPriority w:val="20"/>
    <w:qFormat/>
    <w:rsid w:val="00950159"/>
    <w:pPr>
      <w:spacing w:after="200" w:line="560" w:lineRule="exact"/>
    </w:pPr>
    <w:rPr>
      <w:color w:val="323232"/>
      <w:spacing w:val="-28"/>
      <w:sz w:val="53"/>
    </w:rPr>
  </w:style>
  <w:style w:type="table" w:styleId="TableGrid">
    <w:name w:val="Table Grid"/>
    <w:basedOn w:val="TableNormal"/>
    <w:uiPriority w:val="39"/>
    <w:rsid w:val="00226819"/>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date">
    <w:name w:val="Report date"/>
    <w:basedOn w:val="Reportsubtitle"/>
    <w:uiPriority w:val="21"/>
    <w:qFormat/>
    <w:rsid w:val="00950159"/>
    <w:pPr>
      <w:spacing w:after="1200" w:line="240" w:lineRule="auto"/>
    </w:pPr>
    <w:rPr>
      <w:caps/>
      <w:spacing w:val="-10"/>
      <w:sz w:val="20"/>
    </w:rPr>
  </w:style>
  <w:style w:type="paragraph" w:customStyle="1" w:styleId="Tableheaderrow">
    <w:name w:val="Table header row"/>
    <w:basedOn w:val="Normal"/>
    <w:uiPriority w:val="14"/>
    <w:qFormat/>
    <w:rsid w:val="00774FDB"/>
    <w:pPr>
      <w:spacing w:after="0"/>
    </w:pPr>
    <w:rPr>
      <w:b/>
    </w:rPr>
  </w:style>
  <w:style w:type="paragraph" w:customStyle="1" w:styleId="PageNumber">
    <w:name w:val="PageNumber"/>
    <w:basedOn w:val="Normal"/>
    <w:semiHidden/>
    <w:rsid w:val="0070791C"/>
    <w:pPr>
      <w:spacing w:line="240" w:lineRule="auto"/>
    </w:pPr>
    <w:rPr>
      <w:sz w:val="16"/>
    </w:rPr>
  </w:style>
  <w:style w:type="paragraph" w:customStyle="1" w:styleId="Copyright">
    <w:name w:val="Copyright"/>
    <w:basedOn w:val="Normal"/>
    <w:semiHidden/>
    <w:rsid w:val="00454596"/>
    <w:pPr>
      <w:spacing w:line="160" w:lineRule="exact"/>
    </w:pPr>
    <w:rPr>
      <w:color w:val="4D4D4F"/>
      <w:sz w:val="13"/>
    </w:rPr>
  </w:style>
  <w:style w:type="paragraph" w:styleId="TOCHeading">
    <w:name w:val="TOC Heading"/>
    <w:basedOn w:val="Normal"/>
    <w:semiHidden/>
    <w:qFormat/>
    <w:rsid w:val="00950159"/>
    <w:pPr>
      <w:spacing w:before="1200" w:line="240" w:lineRule="auto"/>
    </w:pPr>
    <w:rPr>
      <w:b/>
      <w:color w:val="323232"/>
      <w:spacing w:val="-28"/>
      <w:sz w:val="53"/>
    </w:rPr>
  </w:style>
  <w:style w:type="paragraph" w:styleId="Caption">
    <w:name w:val="caption"/>
    <w:aliases w:val="Caption table"/>
    <w:basedOn w:val="Normal"/>
    <w:next w:val="Normal"/>
    <w:semiHidden/>
    <w:qFormat/>
    <w:rsid w:val="00E8152A"/>
    <w:pPr>
      <w:numPr>
        <w:numId w:val="19"/>
      </w:numPr>
      <w:spacing w:after="0"/>
    </w:pPr>
    <w:rPr>
      <w:b/>
      <w:bCs/>
      <w:color w:val="323232"/>
      <w:szCs w:val="20"/>
    </w:rPr>
  </w:style>
  <w:style w:type="paragraph" w:customStyle="1" w:styleId="BodySubHeader">
    <w:name w:val="BodySubHeader"/>
    <w:basedOn w:val="Normal"/>
    <w:next w:val="Normal"/>
    <w:qFormat/>
    <w:rsid w:val="00146CE6"/>
    <w:pPr>
      <w:spacing w:before="240" w:after="0"/>
    </w:pPr>
    <w:rPr>
      <w:b/>
      <w:i/>
    </w:rPr>
  </w:style>
  <w:style w:type="paragraph" w:styleId="ListBullet">
    <w:name w:val="List Bullet"/>
    <w:aliases w:val="List Bullet 1"/>
    <w:basedOn w:val="Normal"/>
    <w:link w:val="ListBulletChar"/>
    <w:qFormat/>
    <w:rsid w:val="001C6AEE"/>
    <w:pPr>
      <w:numPr>
        <w:numId w:val="11"/>
      </w:numPr>
      <w:spacing w:after="80"/>
    </w:pPr>
  </w:style>
  <w:style w:type="paragraph" w:styleId="ListBullet2">
    <w:name w:val="List Bullet 2"/>
    <w:basedOn w:val="Normal"/>
    <w:semiHidden/>
    <w:qFormat/>
    <w:rsid w:val="001C6AEE"/>
    <w:pPr>
      <w:numPr>
        <w:numId w:val="12"/>
      </w:numPr>
      <w:spacing w:after="80"/>
    </w:pPr>
  </w:style>
  <w:style w:type="paragraph" w:styleId="ListNumber">
    <w:name w:val="List Number"/>
    <w:basedOn w:val="Normal"/>
    <w:semiHidden/>
    <w:qFormat/>
    <w:rsid w:val="00C24A53"/>
    <w:pPr>
      <w:numPr>
        <w:numId w:val="13"/>
      </w:numPr>
      <w:spacing w:after="80"/>
    </w:pPr>
  </w:style>
  <w:style w:type="paragraph" w:styleId="ListNumber2">
    <w:name w:val="List Number 2"/>
    <w:basedOn w:val="Normal"/>
    <w:semiHidden/>
    <w:qFormat/>
    <w:rsid w:val="004A70D6"/>
    <w:pPr>
      <w:numPr>
        <w:numId w:val="14"/>
      </w:numPr>
      <w:spacing w:after="80"/>
      <w:ind w:left="828" w:hanging="357"/>
    </w:pPr>
  </w:style>
  <w:style w:type="paragraph" w:customStyle="1" w:styleId="URLEmail">
    <w:name w:val="URL/Email"/>
    <w:basedOn w:val="Normal"/>
    <w:semiHidden/>
    <w:rsid w:val="00302480"/>
    <w:rPr>
      <w:color w:val="4D4D4F"/>
      <w:spacing w:val="4"/>
    </w:rPr>
  </w:style>
  <w:style w:type="paragraph" w:customStyle="1" w:styleId="Execsummaryheading">
    <w:name w:val="Exec summary heading"/>
    <w:basedOn w:val="Normal"/>
    <w:uiPriority w:val="22"/>
    <w:qFormat/>
    <w:rsid w:val="006B52DE"/>
    <w:pPr>
      <w:pageBreakBefore/>
      <w:spacing w:after="1440" w:line="550" w:lineRule="exact"/>
    </w:pPr>
    <w:rPr>
      <w:b/>
      <w:color w:val="323232"/>
      <w:spacing w:val="-18"/>
      <w:sz w:val="53"/>
    </w:rPr>
  </w:style>
  <w:style w:type="character" w:styleId="PageNumber0">
    <w:name w:val="page number"/>
    <w:basedOn w:val="DefaultParagraphFont"/>
    <w:semiHidden/>
    <w:rsid w:val="00542377"/>
  </w:style>
  <w:style w:type="paragraph" w:styleId="ListContinue5">
    <w:name w:val="List Continue 5"/>
    <w:basedOn w:val="Normal"/>
    <w:semiHidden/>
    <w:rsid w:val="00EC2B68"/>
    <w:pPr>
      <w:spacing w:after="120"/>
      <w:ind w:left="1415"/>
      <w:contextualSpacing/>
    </w:pPr>
  </w:style>
  <w:style w:type="paragraph" w:customStyle="1" w:styleId="Paragraphbeforelist">
    <w:name w:val="Paragraph before list"/>
    <w:basedOn w:val="Paragraph"/>
    <w:uiPriority w:val="4"/>
    <w:qFormat/>
    <w:rsid w:val="00C87E8A"/>
    <w:pPr>
      <w:spacing w:after="80"/>
    </w:pPr>
  </w:style>
  <w:style w:type="paragraph" w:styleId="TOC1">
    <w:name w:val="toc 1"/>
    <w:basedOn w:val="Normal"/>
    <w:next w:val="Normal"/>
    <w:uiPriority w:val="39"/>
    <w:qFormat/>
    <w:rsid w:val="007A6CC0"/>
    <w:pPr>
      <w:tabs>
        <w:tab w:val="right" w:pos="7660"/>
      </w:tabs>
      <w:spacing w:before="280" w:after="80" w:line="320" w:lineRule="exact"/>
      <w:ind w:right="851"/>
    </w:pPr>
    <w:rPr>
      <w:b/>
      <w:noProof/>
      <w:spacing w:val="-14"/>
      <w:sz w:val="28"/>
    </w:rPr>
  </w:style>
  <w:style w:type="paragraph" w:styleId="TOC2">
    <w:name w:val="toc 2"/>
    <w:basedOn w:val="Normal"/>
    <w:next w:val="Normal"/>
    <w:uiPriority w:val="39"/>
    <w:qFormat/>
    <w:rsid w:val="007A6CC0"/>
    <w:pPr>
      <w:tabs>
        <w:tab w:val="right" w:pos="7660"/>
      </w:tabs>
      <w:spacing w:after="80" w:line="300" w:lineRule="exact"/>
      <w:ind w:left="885" w:hanging="885"/>
    </w:pPr>
    <w:rPr>
      <w:noProof/>
      <w:spacing w:val="-14"/>
      <w:sz w:val="26"/>
      <w:szCs w:val="26"/>
    </w:rPr>
  </w:style>
  <w:style w:type="paragraph" w:styleId="TableofFigures">
    <w:name w:val="table of figures"/>
    <w:basedOn w:val="Normal"/>
    <w:next w:val="Normal"/>
    <w:semiHidden/>
    <w:rsid w:val="00AD3082"/>
    <w:pPr>
      <w:tabs>
        <w:tab w:val="right" w:pos="7615"/>
      </w:tabs>
      <w:spacing w:line="320" w:lineRule="exact"/>
    </w:pPr>
    <w:rPr>
      <w:noProof/>
      <w:color w:val="808285"/>
      <w:sz w:val="28"/>
    </w:rPr>
  </w:style>
  <w:style w:type="paragraph" w:styleId="TOC3">
    <w:name w:val="toc 3"/>
    <w:basedOn w:val="Normal"/>
    <w:next w:val="Normal"/>
    <w:uiPriority w:val="39"/>
    <w:qFormat/>
    <w:rsid w:val="007A6CC0"/>
    <w:pPr>
      <w:tabs>
        <w:tab w:val="right" w:pos="7661"/>
      </w:tabs>
      <w:spacing w:after="80" w:line="240" w:lineRule="auto"/>
    </w:pPr>
    <w:rPr>
      <w:noProof/>
      <w:sz w:val="22"/>
      <w:szCs w:val="22"/>
    </w:rPr>
  </w:style>
  <w:style w:type="character" w:styleId="Hyperlink">
    <w:name w:val="Hyperlink"/>
    <w:aliases w:val="CEO_Hyperlink"/>
    <w:basedOn w:val="DefaultParagraphFont"/>
    <w:uiPriority w:val="99"/>
    <w:qFormat/>
    <w:rsid w:val="00C35CCE"/>
    <w:rPr>
      <w:color w:val="0000FF"/>
      <w:u w:val="single" w:color="0000FF"/>
    </w:rPr>
  </w:style>
  <w:style w:type="character" w:styleId="FootnoteReference">
    <w:name w:val="footnote reference"/>
    <w:aliases w:val="Appel note de bas de p,Appel note de bas de p + 11 pt,Italic,Footnote,Appel note de bas de p1,Appel note de bas de p2,Appel note de bas de p3,Footnote Reference/,(NECG) Footnote Reference,(NECG) Footnote Reference1,o,Style 12"/>
    <w:basedOn w:val="DefaultParagraphFont"/>
    <w:uiPriority w:val="99"/>
    <w:qFormat/>
    <w:rsid w:val="00566AB4"/>
    <w:rPr>
      <w:rFonts w:ascii="Arial" w:hAnsi="Arial"/>
      <w:vertAlign w:val="superscript"/>
    </w:rPr>
  </w:style>
  <w:style w:type="paragraph" w:styleId="FootnoteText">
    <w:name w:val="footnote text"/>
    <w:aliases w:val="Footnote text,ACMA Footnote Text,footnote text,Footnote Text Char Char,Footnote Text Char1 Char Char,Footnote Text Char Char Char Char,Footnote Text Char1 Char Char Char Char,Footnote Text Char Char Char Char Char Char,ABA Footnote Text,f"/>
    <w:basedOn w:val="Normal"/>
    <w:link w:val="FootnoteTextChar"/>
    <w:uiPriority w:val="99"/>
    <w:qFormat/>
    <w:rsid w:val="00C24466"/>
    <w:pPr>
      <w:spacing w:after="0" w:line="200" w:lineRule="atLeast"/>
    </w:pPr>
    <w:rPr>
      <w:sz w:val="16"/>
      <w:szCs w:val="16"/>
    </w:rPr>
  </w:style>
  <w:style w:type="paragraph" w:customStyle="1" w:styleId="TableBody">
    <w:name w:val="Table Body"/>
    <w:basedOn w:val="Normal"/>
    <w:qFormat/>
    <w:rsid w:val="00774FDB"/>
    <w:pPr>
      <w:spacing w:after="0" w:line="240" w:lineRule="auto"/>
    </w:pPr>
  </w:style>
  <w:style w:type="character" w:styleId="CommentReference">
    <w:name w:val="annotation reference"/>
    <w:basedOn w:val="DefaultParagraphFont"/>
    <w:semiHidden/>
    <w:rsid w:val="00EE7F79"/>
    <w:rPr>
      <w:sz w:val="16"/>
      <w:szCs w:val="16"/>
    </w:rPr>
  </w:style>
  <w:style w:type="paragraph" w:styleId="CommentText">
    <w:name w:val="annotation text"/>
    <w:basedOn w:val="Normal"/>
    <w:link w:val="CommentTextChar"/>
    <w:semiHidden/>
    <w:qFormat/>
    <w:rsid w:val="00EE7F79"/>
    <w:pPr>
      <w:spacing w:line="240" w:lineRule="auto"/>
    </w:pPr>
    <w:rPr>
      <w:szCs w:val="20"/>
    </w:rPr>
  </w:style>
  <w:style w:type="character" w:customStyle="1" w:styleId="CommentTextChar">
    <w:name w:val="Comment Text Char"/>
    <w:basedOn w:val="DefaultParagraphFont"/>
    <w:link w:val="CommentText"/>
    <w:semiHidden/>
    <w:rsid w:val="00EE7F79"/>
    <w:rPr>
      <w:rFonts w:ascii="Arial" w:hAnsi="Arial"/>
    </w:rPr>
  </w:style>
  <w:style w:type="paragraph" w:styleId="CommentSubject">
    <w:name w:val="annotation subject"/>
    <w:basedOn w:val="CommentText"/>
    <w:next w:val="CommentText"/>
    <w:link w:val="CommentSubjectChar"/>
    <w:semiHidden/>
    <w:rsid w:val="00EE7F79"/>
    <w:rPr>
      <w:b/>
      <w:bCs/>
    </w:rPr>
  </w:style>
  <w:style w:type="character" w:customStyle="1" w:styleId="CommentSubjectChar">
    <w:name w:val="Comment Subject Char"/>
    <w:basedOn w:val="CommentTextChar"/>
    <w:link w:val="CommentSubject"/>
    <w:semiHidden/>
    <w:rsid w:val="00EE7F79"/>
    <w:rPr>
      <w:rFonts w:ascii="Arial" w:hAnsi="Arial"/>
      <w:b/>
      <w:bCs/>
    </w:rPr>
  </w:style>
  <w:style w:type="character" w:styleId="FollowedHyperlink">
    <w:name w:val="FollowedHyperlink"/>
    <w:basedOn w:val="DefaultParagraphFont"/>
    <w:semiHidden/>
    <w:rsid w:val="00F60F00"/>
    <w:rPr>
      <w:color w:val="800080" w:themeColor="followedHyperlink"/>
      <w:u w:val="single"/>
    </w:rPr>
  </w:style>
  <w:style w:type="character" w:styleId="PlaceholderText">
    <w:name w:val="Placeholder Text"/>
    <w:basedOn w:val="DefaultParagraphFont"/>
    <w:uiPriority w:val="99"/>
    <w:semiHidden/>
    <w:rsid w:val="00C97736"/>
    <w:rPr>
      <w:color w:val="808080"/>
    </w:rPr>
  </w:style>
  <w:style w:type="paragraph" w:customStyle="1" w:styleId="ACMAInstructions">
    <w:name w:val="ACMA_Instructions"/>
    <w:basedOn w:val="Normal"/>
    <w:semiHidden/>
    <w:unhideWhenUsed/>
    <w:qFormat/>
    <w:rsid w:val="00BF610C"/>
    <w:pPr>
      <w:spacing w:after="200"/>
    </w:pPr>
    <w:rPr>
      <w:rFonts w:cs="Arial"/>
      <w:b/>
      <w:vanish/>
      <w:sz w:val="24"/>
    </w:rPr>
  </w:style>
  <w:style w:type="paragraph" w:customStyle="1" w:styleId="CorporateAddresses">
    <w:name w:val="Corporate Addresses"/>
    <w:basedOn w:val="Normal"/>
    <w:semiHidden/>
    <w:rsid w:val="0005011A"/>
    <w:pPr>
      <w:spacing w:line="140" w:lineRule="exact"/>
    </w:pPr>
    <w:rPr>
      <w:color w:val="4D4D4F"/>
      <w:sz w:val="13"/>
    </w:rPr>
  </w:style>
  <w:style w:type="paragraph" w:customStyle="1" w:styleId="Bulletlevel1">
    <w:name w:val="Bullet level 1"/>
    <w:basedOn w:val="ListBullet"/>
    <w:uiPriority w:val="5"/>
    <w:qFormat/>
    <w:rsid w:val="00A824E8"/>
    <w:rPr>
      <w:rFonts w:cs="Arial"/>
    </w:rPr>
  </w:style>
  <w:style w:type="paragraph" w:customStyle="1" w:styleId="ACMACorporateAddressHeader">
    <w:name w:val="ACMA_CorporateAddressHeader"/>
    <w:basedOn w:val="Normal"/>
    <w:next w:val="ACMACorporateAddresses"/>
    <w:semiHidden/>
    <w:unhideWhenUsed/>
    <w:qFormat/>
    <w:rsid w:val="00FC07B9"/>
    <w:pPr>
      <w:tabs>
        <w:tab w:val="left" w:pos="142"/>
      </w:tabs>
      <w:spacing w:before="240" w:after="0" w:line="140" w:lineRule="exact"/>
    </w:pPr>
    <w:rPr>
      <w:b/>
      <w:sz w:val="13"/>
    </w:rPr>
  </w:style>
  <w:style w:type="paragraph" w:customStyle="1" w:styleId="ACMACorporateAddresses">
    <w:name w:val="ACMA_CorporateAddresses"/>
    <w:basedOn w:val="ACMACorporateAddressHeader"/>
    <w:semiHidden/>
    <w:unhideWhenUsed/>
    <w:qFormat/>
    <w:rsid w:val="00FC07B9"/>
    <w:pPr>
      <w:spacing w:before="0" w:after="120"/>
    </w:pPr>
    <w:rPr>
      <w:b w:val="0"/>
    </w:rPr>
  </w:style>
  <w:style w:type="paragraph" w:customStyle="1" w:styleId="ACMACopyrightHeader">
    <w:name w:val="ACMA_CopyrightHeader"/>
    <w:basedOn w:val="ACMACorporateAddressHeader"/>
    <w:semiHidden/>
    <w:unhideWhenUsed/>
    <w:qFormat/>
    <w:rsid w:val="00950159"/>
    <w:pPr>
      <w:spacing w:before="3000"/>
    </w:pPr>
  </w:style>
  <w:style w:type="paragraph" w:customStyle="1" w:styleId="ACMACClogo">
    <w:name w:val="ACMA_CClogo"/>
    <w:semiHidden/>
    <w:unhideWhenUsed/>
    <w:qFormat/>
    <w:rsid w:val="00623FF9"/>
    <w:pPr>
      <w:spacing w:before="160" w:after="120"/>
    </w:pPr>
    <w:rPr>
      <w:rFonts w:ascii="Arial" w:hAnsi="Arial"/>
      <w:b/>
      <w:sz w:val="13"/>
    </w:rPr>
  </w:style>
  <w:style w:type="paragraph" w:customStyle="1" w:styleId="ListBulletLast">
    <w:name w:val="List Bullet Last"/>
    <w:basedOn w:val="ListBullet"/>
    <w:qFormat/>
    <w:rsid w:val="00146CE6"/>
    <w:pPr>
      <w:spacing w:after="240"/>
    </w:pPr>
    <w:rPr>
      <w:rFonts w:cs="Arial"/>
    </w:rPr>
  </w:style>
  <w:style w:type="paragraph" w:customStyle="1" w:styleId="ListNumberLast">
    <w:name w:val="List Number Last"/>
    <w:basedOn w:val="ListNumber"/>
    <w:semiHidden/>
    <w:qFormat/>
    <w:rsid w:val="00C16198"/>
    <w:pPr>
      <w:spacing w:after="240"/>
      <w:ind w:left="357" w:hanging="357"/>
    </w:pPr>
    <w:rPr>
      <w:rFonts w:cs="Arial"/>
    </w:rPr>
  </w:style>
  <w:style w:type="paragraph" w:customStyle="1" w:styleId="ACMATableHeader">
    <w:name w:val="ACMA_TableHeader"/>
    <w:qFormat/>
    <w:rsid w:val="003F10EE"/>
    <w:pPr>
      <w:numPr>
        <w:numId w:val="85"/>
      </w:numPr>
      <w:spacing w:after="160"/>
    </w:pPr>
    <w:rPr>
      <w:rFonts w:ascii="Arial" w:hAnsi="Arial"/>
      <w:b/>
      <w:bCs/>
      <w:color w:val="323232"/>
      <w:sz w:val="20"/>
      <w:szCs w:val="20"/>
    </w:rPr>
  </w:style>
  <w:style w:type="paragraph" w:customStyle="1" w:styleId="ACMANotes">
    <w:name w:val="ACMA_Notes"/>
    <w:semiHidden/>
    <w:rsid w:val="00FF206E"/>
    <w:pPr>
      <w:spacing w:before="80"/>
    </w:pPr>
    <w:rPr>
      <w:rFonts w:ascii="Arial" w:hAnsi="Arial" w:cs="Arial"/>
      <w:i/>
      <w:sz w:val="16"/>
    </w:rPr>
  </w:style>
  <w:style w:type="paragraph" w:customStyle="1" w:styleId="Numberlistlevel1">
    <w:name w:val="Number list level 1"/>
    <w:basedOn w:val="ListNumber"/>
    <w:uiPriority w:val="9"/>
    <w:qFormat/>
    <w:rsid w:val="004A70D6"/>
  </w:style>
  <w:style w:type="character" w:styleId="Emphasis">
    <w:name w:val="Emphasis"/>
    <w:basedOn w:val="DefaultParagraphFont"/>
    <w:semiHidden/>
    <w:qFormat/>
    <w:rsid w:val="006D576C"/>
    <w:rPr>
      <w:i/>
      <w:iCs/>
    </w:rPr>
  </w:style>
  <w:style w:type="paragraph" w:customStyle="1" w:styleId="ListNumber2Last">
    <w:name w:val="List Number 2 Last"/>
    <w:basedOn w:val="ListNumber2"/>
    <w:semiHidden/>
    <w:qFormat/>
    <w:rsid w:val="00E35707"/>
    <w:pPr>
      <w:spacing w:after="240"/>
      <w:ind w:left="907"/>
    </w:pPr>
    <w:rPr>
      <w:rFonts w:cs="Arial"/>
    </w:rPr>
  </w:style>
  <w:style w:type="paragraph" w:customStyle="1" w:styleId="Spaceaftertable">
    <w:name w:val="Space after table"/>
    <w:basedOn w:val="Normal"/>
    <w:uiPriority w:val="99"/>
    <w:qFormat/>
    <w:rsid w:val="00C2083D"/>
    <w:rPr>
      <w:rFonts w:cs="Arial"/>
    </w:rPr>
  </w:style>
  <w:style w:type="paragraph" w:customStyle="1" w:styleId="FooterLeft">
    <w:name w:val="Footer Left"/>
    <w:basedOn w:val="Footer"/>
    <w:semiHidden/>
    <w:qFormat/>
    <w:rsid w:val="00950159"/>
    <w:pPr>
      <w:framePr w:w="1440" w:h="357" w:hRule="exact" w:vSpace="425" w:wrap="around" w:vAnchor="page" w:hAnchor="page" w:x="935" w:y="15871"/>
      <w:pBdr>
        <w:top w:val="single" w:sz="4" w:space="1" w:color="auto"/>
      </w:pBdr>
    </w:pPr>
    <w:rPr>
      <w:rFonts w:cs="Arial"/>
    </w:rPr>
  </w:style>
  <w:style w:type="paragraph" w:customStyle="1" w:styleId="ACMAFigureHeader">
    <w:name w:val="ACMA_FigureHeader"/>
    <w:qFormat/>
    <w:rsid w:val="003F10EE"/>
    <w:pPr>
      <w:numPr>
        <w:numId w:val="84"/>
      </w:numPr>
      <w:spacing w:after="160"/>
    </w:pPr>
    <w:rPr>
      <w:rFonts w:ascii="Arial" w:hAnsi="Arial"/>
      <w:b/>
      <w:bCs/>
      <w:color w:val="323232"/>
      <w:sz w:val="20"/>
      <w:szCs w:val="20"/>
    </w:rPr>
  </w:style>
  <w:style w:type="paragraph" w:customStyle="1" w:styleId="Captionfigure">
    <w:name w:val="Caption figure"/>
    <w:basedOn w:val="Caption"/>
    <w:semiHidden/>
    <w:qFormat/>
    <w:rsid w:val="00E8152A"/>
    <w:pPr>
      <w:keepNext/>
      <w:numPr>
        <w:numId w:val="18"/>
      </w:numPr>
    </w:pPr>
    <w:rPr>
      <w:rFonts w:cs="Arial"/>
    </w:rPr>
  </w:style>
  <w:style w:type="paragraph" w:customStyle="1" w:styleId="GridTable31">
    <w:name w:val="Grid Table 31"/>
    <w:basedOn w:val="Normal"/>
    <w:semiHidden/>
    <w:qFormat/>
    <w:rsid w:val="00971914"/>
    <w:pPr>
      <w:spacing w:after="0" w:line="240" w:lineRule="auto"/>
    </w:pPr>
    <w:rPr>
      <w:b/>
      <w:color w:val="4D4D4F"/>
      <w:spacing w:val="-28"/>
      <w:sz w:val="53"/>
    </w:rPr>
  </w:style>
  <w:style w:type="character" w:customStyle="1" w:styleId="HeaderChar">
    <w:name w:val="Header Char"/>
    <w:link w:val="Header"/>
    <w:semiHidden/>
    <w:rsid w:val="00971914"/>
    <w:rPr>
      <w:rFonts w:ascii="Arial" w:hAnsi="Arial"/>
      <w:sz w:val="16"/>
    </w:rPr>
  </w:style>
  <w:style w:type="character" w:customStyle="1" w:styleId="Heading1Char">
    <w:name w:val="Heading 1 Char"/>
    <w:basedOn w:val="DefaultParagraphFont"/>
    <w:link w:val="Heading1"/>
    <w:uiPriority w:val="1"/>
    <w:rsid w:val="00F5310D"/>
    <w:rPr>
      <w:rFonts w:ascii="Arial" w:hAnsi="Arial" w:cs="Arial"/>
      <w:bCs/>
      <w:color w:val="323232"/>
      <w:kern w:val="32"/>
      <w:sz w:val="53"/>
      <w:szCs w:val="32"/>
    </w:rPr>
  </w:style>
  <w:style w:type="character" w:customStyle="1" w:styleId="Heading2Char">
    <w:name w:val="Heading 2 Char"/>
    <w:basedOn w:val="DefaultParagraphFont"/>
    <w:link w:val="Heading2"/>
    <w:rsid w:val="00800CCD"/>
    <w:rPr>
      <w:rFonts w:ascii="Arial" w:hAnsi="Arial" w:cs="Arial"/>
      <w:b/>
      <w:bCs/>
      <w:iCs/>
      <w:sz w:val="28"/>
      <w:szCs w:val="28"/>
    </w:rPr>
  </w:style>
  <w:style w:type="character" w:styleId="UnresolvedMention">
    <w:name w:val="Unresolved Mention"/>
    <w:basedOn w:val="DefaultParagraphFont"/>
    <w:uiPriority w:val="99"/>
    <w:semiHidden/>
    <w:unhideWhenUsed/>
    <w:rsid w:val="006B52DE"/>
    <w:rPr>
      <w:color w:val="605E5C"/>
      <w:shd w:val="clear" w:color="auto" w:fill="E1DFDD"/>
    </w:rPr>
  </w:style>
  <w:style w:type="character" w:customStyle="1" w:styleId="Heading3Char">
    <w:name w:val="Heading 3 Char"/>
    <w:basedOn w:val="DefaultParagraphFont"/>
    <w:link w:val="Heading3"/>
    <w:uiPriority w:val="2"/>
    <w:rsid w:val="00390D91"/>
    <w:rPr>
      <w:rFonts w:ascii="Arial" w:hAnsi="Arial" w:cs="Arial"/>
      <w:b/>
      <w:bCs/>
      <w:sz w:val="20"/>
      <w:szCs w:val="26"/>
    </w:rPr>
  </w:style>
  <w:style w:type="paragraph" w:customStyle="1" w:styleId="Paragraph">
    <w:name w:val="Paragraph"/>
    <w:basedOn w:val="Normal"/>
    <w:qFormat/>
    <w:rsid w:val="00A824E8"/>
    <w:rPr>
      <w:rFonts w:cs="Arial"/>
    </w:rPr>
  </w:style>
  <w:style w:type="paragraph" w:customStyle="1" w:styleId="Bulletlevel2">
    <w:name w:val="Bullet level 2"/>
    <w:basedOn w:val="ListBullet2"/>
    <w:uiPriority w:val="7"/>
    <w:qFormat/>
    <w:rsid w:val="00D43B47"/>
    <w:pPr>
      <w:ind w:left="590" w:hanging="295"/>
    </w:pPr>
    <w:rPr>
      <w:rFonts w:cs="Arial"/>
    </w:rPr>
  </w:style>
  <w:style w:type="paragraph" w:customStyle="1" w:styleId="Bulletlevel1last">
    <w:name w:val="Bullet level 1 last"/>
    <w:basedOn w:val="ListBulletLast"/>
    <w:uiPriority w:val="6"/>
    <w:qFormat/>
    <w:rsid w:val="00A824E8"/>
  </w:style>
  <w:style w:type="paragraph" w:customStyle="1" w:styleId="Numberlistlevel2">
    <w:name w:val="Number list level 2"/>
    <w:basedOn w:val="ListNumber2"/>
    <w:uiPriority w:val="11"/>
    <w:qFormat/>
    <w:rsid w:val="00801FEB"/>
    <w:pPr>
      <w:ind w:left="766" w:hanging="295"/>
    </w:pPr>
  </w:style>
  <w:style w:type="paragraph" w:customStyle="1" w:styleId="Numberlistlast">
    <w:name w:val="Number list last"/>
    <w:basedOn w:val="ListNumberLast"/>
    <w:uiPriority w:val="10"/>
    <w:qFormat/>
    <w:rsid w:val="004A70D6"/>
  </w:style>
  <w:style w:type="paragraph" w:customStyle="1" w:styleId="Numberlistlevel2last">
    <w:name w:val="Number list level 2 last"/>
    <w:basedOn w:val="Numberlistlevel2"/>
    <w:uiPriority w:val="12"/>
    <w:qFormat/>
    <w:rsid w:val="004A70D6"/>
    <w:pPr>
      <w:spacing w:after="240"/>
    </w:pPr>
  </w:style>
  <w:style w:type="paragraph" w:customStyle="1" w:styleId="Bulletlevel2last">
    <w:name w:val="Bullet level 2 last"/>
    <w:basedOn w:val="Bulletlevel2"/>
    <w:uiPriority w:val="8"/>
    <w:qFormat/>
    <w:rsid w:val="004A70D6"/>
    <w:pPr>
      <w:spacing w:after="240"/>
    </w:pPr>
  </w:style>
  <w:style w:type="table" w:customStyle="1" w:styleId="ACMAtablestyle">
    <w:name w:val="ACMA table style"/>
    <w:basedOn w:val="TableNormal"/>
    <w:uiPriority w:val="99"/>
    <w:rsid w:val="003803BD"/>
    <w:rPr>
      <w:rFonts w:ascii="Arial" w:hAnsi="Arial"/>
      <w:sz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57" w:type="dxa"/>
        <w:bottom w:w="85" w:type="dxa"/>
        <w:right w:w="57" w:type="dxa"/>
      </w:tblCellMar>
    </w:tblPr>
    <w:tblStylePr w:type="firstRow">
      <w:rPr>
        <w:rFonts w:ascii="Arial" w:hAnsi="Arial"/>
        <w:b w:val="0"/>
        <w:color w:val="FFFFFF" w:themeColor="background1"/>
        <w:sz w:val="20"/>
      </w:rPr>
      <w:tblPr/>
      <w:trPr>
        <w:tblHeader/>
      </w:trPr>
      <w:tcPr>
        <w:tcBorders>
          <w:top w:val="single" w:sz="4" w:space="0" w:color="auto"/>
          <w:left w:val="single" w:sz="4" w:space="0" w:color="auto"/>
          <w:bottom w:val="single" w:sz="4" w:space="0" w:color="auto"/>
          <w:right w:val="single" w:sz="4" w:space="0" w:color="auto"/>
          <w:insideH w:val="nil"/>
          <w:insideV w:val="nil"/>
        </w:tcBorders>
        <w:shd w:val="clear" w:color="auto" w:fill="404040" w:themeFill="text1" w:themeFillTint="BF"/>
      </w:tcPr>
    </w:tblStylePr>
    <w:tblStylePr w:type="band1Horz">
      <w:rPr>
        <w:rFonts w:ascii="Arial" w:hAnsi="Arial"/>
        <w:sz w:val="20"/>
      </w:rPr>
    </w:tblStylePr>
    <w:tblStylePr w:type="band2Horz">
      <w:rPr>
        <w:rFonts w:ascii="Arial" w:hAnsi="Arial"/>
        <w:sz w:val="20"/>
      </w:rPr>
      <w:tblPr/>
      <w:tcPr>
        <w:shd w:val="clear" w:color="auto" w:fill="F2F2F2" w:themeFill="background1" w:themeFillShade="F2"/>
      </w:tcPr>
    </w:tblStylePr>
  </w:style>
  <w:style w:type="paragraph" w:customStyle="1" w:styleId="Tableheading">
    <w:name w:val="Table heading"/>
    <w:basedOn w:val="ACMATableHeader"/>
    <w:next w:val="Paragraph"/>
    <w:uiPriority w:val="13"/>
    <w:qFormat/>
    <w:rsid w:val="00753ECE"/>
    <w:pPr>
      <w:keepNext/>
      <w:spacing w:line="240" w:lineRule="atLeast"/>
    </w:pPr>
  </w:style>
  <w:style w:type="paragraph" w:customStyle="1" w:styleId="Tableorfigurenote">
    <w:name w:val="Table or figure note"/>
    <w:basedOn w:val="ACMANotes"/>
    <w:uiPriority w:val="17"/>
    <w:qFormat/>
    <w:rsid w:val="00930510"/>
    <w:pPr>
      <w:spacing w:after="240"/>
    </w:pPr>
  </w:style>
  <w:style w:type="paragraph" w:customStyle="1" w:styleId="Figureheading">
    <w:name w:val="Figure heading"/>
    <w:basedOn w:val="ACMAFigureHeader"/>
    <w:next w:val="Paragraph"/>
    <w:uiPriority w:val="16"/>
    <w:qFormat/>
    <w:rsid w:val="00753ECE"/>
    <w:pPr>
      <w:keepNext/>
      <w:spacing w:line="240" w:lineRule="atLeast"/>
    </w:pPr>
  </w:style>
  <w:style w:type="paragraph" w:customStyle="1" w:styleId="Tableorfigurenotemultiple">
    <w:name w:val="Table or figure note multiple"/>
    <w:basedOn w:val="Tableorfigurenote"/>
    <w:uiPriority w:val="18"/>
    <w:qFormat/>
    <w:rsid w:val="00930510"/>
    <w:pPr>
      <w:spacing w:after="80"/>
    </w:pPr>
  </w:style>
  <w:style w:type="paragraph" w:styleId="BalloonText">
    <w:name w:val="Balloon Text"/>
    <w:basedOn w:val="Normal"/>
    <w:link w:val="BalloonTextChar"/>
    <w:semiHidden/>
    <w:unhideWhenUsed/>
    <w:rsid w:val="003933E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3933E8"/>
    <w:rPr>
      <w:rFonts w:ascii="Segoe UI" w:hAnsi="Segoe UI" w:cs="Segoe UI"/>
      <w:sz w:val="18"/>
      <w:szCs w:val="18"/>
    </w:rPr>
  </w:style>
  <w:style w:type="paragraph" w:customStyle="1" w:styleId="Note">
    <w:name w:val="Note"/>
    <w:basedOn w:val="ACMANotes"/>
    <w:uiPriority w:val="23"/>
    <w:semiHidden/>
    <w:qFormat/>
    <w:rsid w:val="00D61243"/>
  </w:style>
  <w:style w:type="paragraph" w:customStyle="1" w:styleId="Protectivemarking">
    <w:name w:val="Protective marking"/>
    <w:basedOn w:val="Normal"/>
    <w:uiPriority w:val="99"/>
    <w:qFormat/>
    <w:rsid w:val="00390D91"/>
    <w:pPr>
      <w:tabs>
        <w:tab w:val="left" w:pos="720"/>
      </w:tabs>
      <w:spacing w:after="0" w:line="240" w:lineRule="auto"/>
      <w:jc w:val="center"/>
    </w:pPr>
    <w:rPr>
      <w:rFonts w:cs="Arial"/>
      <w:b/>
      <w:bCs/>
      <w:color w:val="FF0000"/>
      <w:sz w:val="32"/>
      <w:lang w:eastAsia="en-US"/>
    </w:rPr>
  </w:style>
  <w:style w:type="paragraph" w:styleId="Revision">
    <w:name w:val="Revision"/>
    <w:hidden/>
    <w:semiHidden/>
    <w:rsid w:val="00023A36"/>
    <w:rPr>
      <w:rFonts w:ascii="Arial" w:hAnsi="Arial"/>
      <w:sz w:val="20"/>
    </w:rPr>
  </w:style>
  <w:style w:type="character" w:customStyle="1" w:styleId="Heading4Char">
    <w:name w:val="Heading 4 Char"/>
    <w:basedOn w:val="DefaultParagraphFont"/>
    <w:link w:val="Heading4"/>
    <w:uiPriority w:val="3"/>
    <w:rsid w:val="00102E07"/>
    <w:rPr>
      <w:rFonts w:ascii="Arial" w:hAnsi="Arial" w:cs="Arial"/>
      <w:b/>
      <w:i/>
      <w:sz w:val="20"/>
    </w:rPr>
  </w:style>
  <w:style w:type="character" w:customStyle="1" w:styleId="FootnoteTextChar">
    <w:name w:val="Footnote Text Char"/>
    <w:aliases w:val="Footnote text Char,ACMA Footnote Text Char,footnote text Char,Footnote Text Char Char Char,Footnote Text Char1 Char Char Char,Footnote Text Char Char Char Char Char,Footnote Text Char1 Char Char Char Char Char,ABA Footnote Text Char"/>
    <w:basedOn w:val="DefaultParagraphFont"/>
    <w:link w:val="FootnoteText"/>
    <w:uiPriority w:val="99"/>
    <w:qFormat/>
    <w:locked/>
    <w:rsid w:val="00102E07"/>
    <w:rPr>
      <w:rFonts w:ascii="Arial" w:hAnsi="Arial"/>
      <w:sz w:val="16"/>
      <w:szCs w:val="16"/>
    </w:rPr>
  </w:style>
  <w:style w:type="character" w:customStyle="1" w:styleId="ListBulletChar">
    <w:name w:val="List Bullet Char"/>
    <w:aliases w:val="List Bullet 1 Char"/>
    <w:basedOn w:val="DefaultParagraphFont"/>
    <w:link w:val="ListBullet"/>
    <w:locked/>
    <w:rsid w:val="00102E07"/>
    <w:rPr>
      <w:rFonts w:ascii="Arial" w:hAnsi="Arial"/>
      <w:sz w:val="20"/>
    </w:rPr>
  </w:style>
  <w:style w:type="paragraph" w:styleId="ListParagraph">
    <w:name w:val="List Paragraph"/>
    <w:aliases w:val="List Paragraph1"/>
    <w:basedOn w:val="Normal"/>
    <w:uiPriority w:val="34"/>
    <w:qFormat/>
    <w:rsid w:val="00102E07"/>
    <w:pPr>
      <w:ind w:left="720"/>
      <w:contextualSpacing/>
    </w:pPr>
  </w:style>
  <w:style w:type="paragraph" w:customStyle="1" w:styleId="TableHeading0">
    <w:name w:val="Table Heading"/>
    <w:basedOn w:val="Normal"/>
    <w:qFormat/>
    <w:rsid w:val="00B1172E"/>
    <w:pPr>
      <w:spacing w:after="0"/>
    </w:pPr>
    <w:rPr>
      <w:b/>
    </w:rPr>
  </w:style>
  <w:style w:type="paragraph" w:customStyle="1" w:styleId="ACMANumberedList">
    <w:name w:val="ACMA Numbered List"/>
    <w:basedOn w:val="Normal"/>
    <w:uiPriority w:val="1"/>
    <w:rsid w:val="1C055A7B"/>
    <w:pPr>
      <w:tabs>
        <w:tab w:val="num" w:pos="720"/>
      </w:tabs>
      <w:spacing w:before="20" w:after="20"/>
      <w:ind w:left="720" w:hanging="360"/>
    </w:pPr>
    <w:rPr>
      <w:sz w:val="24"/>
      <w:lang w:eastAsia="en-US"/>
    </w:rPr>
  </w:style>
  <w:style w:type="character" w:styleId="Strong">
    <w:name w:val="Strong"/>
    <w:basedOn w:val="DefaultParagraphFont"/>
    <w:uiPriority w:val="22"/>
    <w:qFormat/>
    <w:rsid w:val="00E215E9"/>
    <w:rPr>
      <w:b/>
      <w:bCs/>
    </w:rPr>
  </w:style>
  <w:style w:type="paragraph" w:customStyle="1" w:styleId="ACMASpaceaftertable">
    <w:name w:val="ACMA_Space after table"/>
    <w:basedOn w:val="Normal"/>
    <w:qFormat/>
    <w:rsid w:val="00E215E9"/>
    <w:rPr>
      <w:rFonts w:cs="Arial"/>
    </w:rPr>
  </w:style>
  <w:style w:type="character" w:customStyle="1" w:styleId="normaltextrun">
    <w:name w:val="normaltextrun"/>
    <w:basedOn w:val="DefaultParagraphFont"/>
    <w:rsid w:val="002E779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101203">
      <w:bodyDiv w:val="1"/>
      <w:marLeft w:val="0"/>
      <w:marRight w:val="0"/>
      <w:marTop w:val="0"/>
      <w:marBottom w:val="0"/>
      <w:divBdr>
        <w:top w:val="none" w:sz="0" w:space="0" w:color="auto"/>
        <w:left w:val="none" w:sz="0" w:space="0" w:color="auto"/>
        <w:bottom w:val="none" w:sz="0" w:space="0" w:color="auto"/>
        <w:right w:val="none" w:sz="0" w:space="0" w:color="auto"/>
      </w:divBdr>
    </w:div>
    <w:div w:id="252785555">
      <w:bodyDiv w:val="1"/>
      <w:marLeft w:val="0"/>
      <w:marRight w:val="0"/>
      <w:marTop w:val="0"/>
      <w:marBottom w:val="0"/>
      <w:divBdr>
        <w:top w:val="none" w:sz="0" w:space="0" w:color="auto"/>
        <w:left w:val="none" w:sz="0" w:space="0" w:color="auto"/>
        <w:bottom w:val="none" w:sz="0" w:space="0" w:color="auto"/>
        <w:right w:val="none" w:sz="0" w:space="0" w:color="auto"/>
      </w:divBdr>
    </w:div>
    <w:div w:id="282813674">
      <w:bodyDiv w:val="1"/>
      <w:marLeft w:val="0"/>
      <w:marRight w:val="0"/>
      <w:marTop w:val="0"/>
      <w:marBottom w:val="0"/>
      <w:divBdr>
        <w:top w:val="none" w:sz="0" w:space="0" w:color="auto"/>
        <w:left w:val="none" w:sz="0" w:space="0" w:color="auto"/>
        <w:bottom w:val="none" w:sz="0" w:space="0" w:color="auto"/>
        <w:right w:val="none" w:sz="0" w:space="0" w:color="auto"/>
      </w:divBdr>
    </w:div>
    <w:div w:id="333342401">
      <w:bodyDiv w:val="1"/>
      <w:marLeft w:val="0"/>
      <w:marRight w:val="0"/>
      <w:marTop w:val="0"/>
      <w:marBottom w:val="0"/>
      <w:divBdr>
        <w:top w:val="none" w:sz="0" w:space="0" w:color="auto"/>
        <w:left w:val="none" w:sz="0" w:space="0" w:color="auto"/>
        <w:bottom w:val="none" w:sz="0" w:space="0" w:color="auto"/>
        <w:right w:val="none" w:sz="0" w:space="0" w:color="auto"/>
      </w:divBdr>
    </w:div>
    <w:div w:id="576784553">
      <w:bodyDiv w:val="1"/>
      <w:marLeft w:val="0"/>
      <w:marRight w:val="0"/>
      <w:marTop w:val="0"/>
      <w:marBottom w:val="0"/>
      <w:divBdr>
        <w:top w:val="none" w:sz="0" w:space="0" w:color="auto"/>
        <w:left w:val="none" w:sz="0" w:space="0" w:color="auto"/>
        <w:bottom w:val="none" w:sz="0" w:space="0" w:color="auto"/>
        <w:right w:val="none" w:sz="0" w:space="0" w:color="auto"/>
      </w:divBdr>
    </w:div>
    <w:div w:id="691344811">
      <w:bodyDiv w:val="1"/>
      <w:marLeft w:val="0"/>
      <w:marRight w:val="0"/>
      <w:marTop w:val="0"/>
      <w:marBottom w:val="0"/>
      <w:divBdr>
        <w:top w:val="none" w:sz="0" w:space="0" w:color="auto"/>
        <w:left w:val="none" w:sz="0" w:space="0" w:color="auto"/>
        <w:bottom w:val="none" w:sz="0" w:space="0" w:color="auto"/>
        <w:right w:val="none" w:sz="0" w:space="0" w:color="auto"/>
      </w:divBdr>
    </w:div>
    <w:div w:id="759717952">
      <w:bodyDiv w:val="1"/>
      <w:marLeft w:val="0"/>
      <w:marRight w:val="0"/>
      <w:marTop w:val="0"/>
      <w:marBottom w:val="0"/>
      <w:divBdr>
        <w:top w:val="none" w:sz="0" w:space="0" w:color="auto"/>
        <w:left w:val="none" w:sz="0" w:space="0" w:color="auto"/>
        <w:bottom w:val="none" w:sz="0" w:space="0" w:color="auto"/>
        <w:right w:val="none" w:sz="0" w:space="0" w:color="auto"/>
      </w:divBdr>
    </w:div>
    <w:div w:id="984579890">
      <w:bodyDiv w:val="1"/>
      <w:marLeft w:val="0"/>
      <w:marRight w:val="0"/>
      <w:marTop w:val="0"/>
      <w:marBottom w:val="0"/>
      <w:divBdr>
        <w:top w:val="none" w:sz="0" w:space="0" w:color="auto"/>
        <w:left w:val="none" w:sz="0" w:space="0" w:color="auto"/>
        <w:bottom w:val="none" w:sz="0" w:space="0" w:color="auto"/>
        <w:right w:val="none" w:sz="0" w:space="0" w:color="auto"/>
      </w:divBdr>
    </w:div>
    <w:div w:id="1062869930">
      <w:bodyDiv w:val="1"/>
      <w:marLeft w:val="0"/>
      <w:marRight w:val="0"/>
      <w:marTop w:val="0"/>
      <w:marBottom w:val="0"/>
      <w:divBdr>
        <w:top w:val="none" w:sz="0" w:space="0" w:color="auto"/>
        <w:left w:val="none" w:sz="0" w:space="0" w:color="auto"/>
        <w:bottom w:val="none" w:sz="0" w:space="0" w:color="auto"/>
        <w:right w:val="none" w:sz="0" w:space="0" w:color="auto"/>
      </w:divBdr>
    </w:div>
    <w:div w:id="1409771268">
      <w:bodyDiv w:val="1"/>
      <w:marLeft w:val="0"/>
      <w:marRight w:val="0"/>
      <w:marTop w:val="0"/>
      <w:marBottom w:val="0"/>
      <w:divBdr>
        <w:top w:val="none" w:sz="0" w:space="0" w:color="auto"/>
        <w:left w:val="none" w:sz="0" w:space="0" w:color="auto"/>
        <w:bottom w:val="none" w:sz="0" w:space="0" w:color="auto"/>
        <w:right w:val="none" w:sz="0" w:space="0" w:color="auto"/>
      </w:divBdr>
    </w:div>
    <w:div w:id="1427724629">
      <w:bodyDiv w:val="1"/>
      <w:marLeft w:val="0"/>
      <w:marRight w:val="0"/>
      <w:marTop w:val="0"/>
      <w:marBottom w:val="0"/>
      <w:divBdr>
        <w:top w:val="none" w:sz="0" w:space="0" w:color="auto"/>
        <w:left w:val="none" w:sz="0" w:space="0" w:color="auto"/>
        <w:bottom w:val="none" w:sz="0" w:space="0" w:color="auto"/>
        <w:right w:val="none" w:sz="0" w:space="0" w:color="auto"/>
      </w:divBdr>
    </w:div>
    <w:div w:id="1566910818">
      <w:bodyDiv w:val="1"/>
      <w:marLeft w:val="0"/>
      <w:marRight w:val="0"/>
      <w:marTop w:val="0"/>
      <w:marBottom w:val="0"/>
      <w:divBdr>
        <w:top w:val="none" w:sz="0" w:space="0" w:color="auto"/>
        <w:left w:val="none" w:sz="0" w:space="0" w:color="auto"/>
        <w:bottom w:val="none" w:sz="0" w:space="0" w:color="auto"/>
        <w:right w:val="none" w:sz="0" w:space="0" w:color="auto"/>
      </w:divBdr>
    </w:div>
    <w:div w:id="1574392044">
      <w:bodyDiv w:val="1"/>
      <w:marLeft w:val="0"/>
      <w:marRight w:val="0"/>
      <w:marTop w:val="0"/>
      <w:marBottom w:val="0"/>
      <w:divBdr>
        <w:top w:val="none" w:sz="0" w:space="0" w:color="auto"/>
        <w:left w:val="none" w:sz="0" w:space="0" w:color="auto"/>
        <w:bottom w:val="none" w:sz="0" w:space="0" w:color="auto"/>
        <w:right w:val="none" w:sz="0" w:space="0" w:color="auto"/>
      </w:divBdr>
    </w:div>
    <w:div w:id="1666318947">
      <w:bodyDiv w:val="1"/>
      <w:marLeft w:val="0"/>
      <w:marRight w:val="0"/>
      <w:marTop w:val="0"/>
      <w:marBottom w:val="0"/>
      <w:divBdr>
        <w:top w:val="none" w:sz="0" w:space="0" w:color="auto"/>
        <w:left w:val="none" w:sz="0" w:space="0" w:color="auto"/>
        <w:bottom w:val="none" w:sz="0" w:space="0" w:color="auto"/>
        <w:right w:val="none" w:sz="0" w:space="0" w:color="auto"/>
      </w:divBdr>
    </w:div>
    <w:div w:id="1776752271">
      <w:bodyDiv w:val="1"/>
      <w:marLeft w:val="0"/>
      <w:marRight w:val="0"/>
      <w:marTop w:val="0"/>
      <w:marBottom w:val="0"/>
      <w:divBdr>
        <w:top w:val="none" w:sz="0" w:space="0" w:color="auto"/>
        <w:left w:val="none" w:sz="0" w:space="0" w:color="auto"/>
        <w:bottom w:val="none" w:sz="0" w:space="0" w:color="auto"/>
        <w:right w:val="none" w:sz="0" w:space="0" w:color="auto"/>
      </w:divBdr>
    </w:div>
    <w:div w:id="1783571715">
      <w:bodyDiv w:val="1"/>
      <w:marLeft w:val="0"/>
      <w:marRight w:val="0"/>
      <w:marTop w:val="0"/>
      <w:marBottom w:val="0"/>
      <w:divBdr>
        <w:top w:val="none" w:sz="0" w:space="0" w:color="auto"/>
        <w:left w:val="none" w:sz="0" w:space="0" w:color="auto"/>
        <w:bottom w:val="none" w:sz="0" w:space="0" w:color="auto"/>
        <w:right w:val="none" w:sz="0" w:space="0" w:color="auto"/>
      </w:divBdr>
    </w:div>
    <w:div w:id="1787846179">
      <w:bodyDiv w:val="1"/>
      <w:marLeft w:val="0"/>
      <w:marRight w:val="0"/>
      <w:marTop w:val="0"/>
      <w:marBottom w:val="0"/>
      <w:divBdr>
        <w:top w:val="none" w:sz="0" w:space="0" w:color="auto"/>
        <w:left w:val="none" w:sz="0" w:space="0" w:color="auto"/>
        <w:bottom w:val="none" w:sz="0" w:space="0" w:color="auto"/>
        <w:right w:val="none" w:sz="0" w:space="0" w:color="auto"/>
      </w:divBdr>
    </w:div>
    <w:div w:id="1925912315">
      <w:bodyDiv w:val="1"/>
      <w:marLeft w:val="0"/>
      <w:marRight w:val="0"/>
      <w:marTop w:val="0"/>
      <w:marBottom w:val="0"/>
      <w:divBdr>
        <w:top w:val="none" w:sz="0" w:space="0" w:color="auto"/>
        <w:left w:val="none" w:sz="0" w:space="0" w:color="auto"/>
        <w:bottom w:val="none" w:sz="0" w:space="0" w:color="auto"/>
        <w:right w:val="none" w:sz="0" w:space="0" w:color="auto"/>
      </w:divBdr>
    </w:div>
    <w:div w:id="1991131348">
      <w:bodyDiv w:val="1"/>
      <w:marLeft w:val="0"/>
      <w:marRight w:val="0"/>
      <w:marTop w:val="0"/>
      <w:marBottom w:val="0"/>
      <w:divBdr>
        <w:top w:val="none" w:sz="0" w:space="0" w:color="auto"/>
        <w:left w:val="none" w:sz="0" w:space="0" w:color="auto"/>
        <w:bottom w:val="none" w:sz="0" w:space="0" w:color="auto"/>
        <w:right w:val="none" w:sz="0" w:space="0" w:color="auto"/>
      </w:divBdr>
    </w:div>
    <w:div w:id="1994025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legislation.gov.au/Series/C2004A04465" TargetMode="External"/><Relationship Id="rId21" Type="http://schemas.openxmlformats.org/officeDocument/2006/relationships/footer" Target="footer4.xml"/><Relationship Id="rId42" Type="http://schemas.openxmlformats.org/officeDocument/2006/relationships/header" Target="header8.xml"/><Relationship Id="rId47" Type="http://schemas.openxmlformats.org/officeDocument/2006/relationships/image" Target="media/image4.jpeg"/><Relationship Id="rId63" Type="http://schemas.openxmlformats.org/officeDocument/2006/relationships/image" Target="media/image12.jpeg"/><Relationship Id="rId68" Type="http://schemas.openxmlformats.org/officeDocument/2006/relationships/diagramLayout" Target="diagrams/layout1.xml"/><Relationship Id="rId16" Type="http://schemas.openxmlformats.org/officeDocument/2006/relationships/header" Target="header4.xml"/><Relationship Id="rId11" Type="http://schemas.openxmlformats.org/officeDocument/2006/relationships/hyperlink" Target="http://i.creativecommons.org/l/by/3.0/88x31.png" TargetMode="External"/><Relationship Id="rId24" Type="http://schemas.openxmlformats.org/officeDocument/2006/relationships/hyperlink" Target="https://www.acma.gov.au/consultations/2022-03/proposed-spectrum-re-allocation-declaration-34-ghz-and-37-ghz-bands-ifc-102022" TargetMode="External"/><Relationship Id="rId32" Type="http://schemas.openxmlformats.org/officeDocument/2006/relationships/hyperlink" Target="https://www.acma.gov.au/consultations/2022-03/proposed-spectrum-re-allocation-declaration-34-ghz-and-37-ghz-bands-ifc-102022" TargetMode="External"/><Relationship Id="rId37" Type="http://schemas.openxmlformats.org/officeDocument/2006/relationships/hyperlink" Target="https://www.legislation.gov.au/Details/F2022L00983" TargetMode="External"/><Relationship Id="rId40" Type="http://schemas.openxmlformats.org/officeDocument/2006/relationships/hyperlink" Target="https://gsacom.com/" TargetMode="External"/><Relationship Id="rId45" Type="http://schemas.openxmlformats.org/officeDocument/2006/relationships/hyperlink" Target="https://www.acma.gov.au/consultations/2019-08/optimising-3400-3575-mhz-band-consultation-122019" TargetMode="External"/><Relationship Id="rId53" Type="http://schemas.openxmlformats.org/officeDocument/2006/relationships/image" Target="media/image7.jpeg"/><Relationship Id="rId58" Type="http://schemas.openxmlformats.org/officeDocument/2006/relationships/image" Target="cid:image007.jpg@01D87A6A.A1179930" TargetMode="External"/><Relationship Id="rId66" Type="http://schemas.openxmlformats.org/officeDocument/2006/relationships/hyperlink" Target="https://www.legislation.gov.au/Series/C2020A00151" TargetMode="External"/><Relationship Id="rId74" Type="http://schemas.openxmlformats.org/officeDocument/2006/relationships/header" Target="header9.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11.jpeg"/><Relationship Id="rId19" Type="http://schemas.openxmlformats.org/officeDocument/2006/relationships/header" Target="header5.xml"/><Relationship Id="rId14" Type="http://schemas.openxmlformats.org/officeDocument/2006/relationships/hyperlink" Target="mailto:info@acma.gov.au" TargetMode="External"/><Relationship Id="rId22" Type="http://schemas.openxmlformats.org/officeDocument/2006/relationships/footer" Target="footer5.xml"/><Relationship Id="rId27" Type="http://schemas.openxmlformats.org/officeDocument/2006/relationships/hyperlink" Target="https://www.legislation.gov.au/Series/F2022N00015" TargetMode="External"/><Relationship Id="rId30" Type="http://schemas.openxmlformats.org/officeDocument/2006/relationships/hyperlink" Target="https://www.legislation.gov.au/Series/C2004A04465" TargetMode="External"/><Relationship Id="rId35" Type="http://schemas.openxmlformats.org/officeDocument/2006/relationships/hyperlink" Target="https://www.acma.gov.au/consultations/2022-03/proposed-spectrum-re-allocation-declaration-34-ghz-and-37-ghz-bands-ifc-102022" TargetMode="External"/><Relationship Id="rId43" Type="http://schemas.openxmlformats.org/officeDocument/2006/relationships/footer" Target="footer7.xml"/><Relationship Id="rId48" Type="http://schemas.openxmlformats.org/officeDocument/2006/relationships/image" Target="cid:image003.jpg@01D87A67.796286F0" TargetMode="External"/><Relationship Id="rId56" Type="http://schemas.openxmlformats.org/officeDocument/2006/relationships/image" Target="cid:image005.jpg@01D87A69.6FDD2BB0" TargetMode="External"/><Relationship Id="rId64" Type="http://schemas.openxmlformats.org/officeDocument/2006/relationships/image" Target="cid:image009.jpg@01D87A6B.8B81D260" TargetMode="External"/><Relationship Id="rId69" Type="http://schemas.openxmlformats.org/officeDocument/2006/relationships/diagramQuickStyle" Target="diagrams/quickStyle1.xml"/><Relationship Id="rId77" Type="http://schemas.openxmlformats.org/officeDocument/2006/relationships/footer" Target="footer10.xml"/><Relationship Id="rId8" Type="http://schemas.openxmlformats.org/officeDocument/2006/relationships/header" Target="header1.xml"/><Relationship Id="rId51" Type="http://schemas.openxmlformats.org/officeDocument/2006/relationships/image" Target="media/image6.jpeg"/><Relationship Id="rId72" Type="http://schemas.openxmlformats.org/officeDocument/2006/relationships/hyperlink" Target="https://www.legislation.gov.au/"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footer" Target="footer2.xml"/><Relationship Id="rId25" Type="http://schemas.openxmlformats.org/officeDocument/2006/relationships/hyperlink" Target="https://www.legislation.gov.au/Details/F2022L00983" TargetMode="External"/><Relationship Id="rId33" Type="http://schemas.openxmlformats.org/officeDocument/2006/relationships/hyperlink" Target="https://acmagovau-my.sharepoint.com/personal/david_goggin_acma_gov_au/Documents/Downloads/Planning%20for%20wireless%20broadband%20in%20urban%20areas%20in%203400-3475%20MHz%20-%20outcomes%20paper%20(4).docx" TargetMode="External"/><Relationship Id="rId38" Type="http://schemas.openxmlformats.org/officeDocument/2006/relationships/hyperlink" Target="https://www.acma.gov.au/spectrum-licence-technical-liaison-groups" TargetMode="External"/><Relationship Id="rId46" Type="http://schemas.openxmlformats.org/officeDocument/2006/relationships/hyperlink" Target="https://www.acma.gov.au/consultations/2021-08/planning-wireless-broadband-use-urban-areas-3400-3475-mhz-band-consultation-312021" TargetMode="External"/><Relationship Id="rId59" Type="http://schemas.openxmlformats.org/officeDocument/2006/relationships/image" Target="media/image10.jpeg"/><Relationship Id="rId67" Type="http://schemas.openxmlformats.org/officeDocument/2006/relationships/diagramData" Target="diagrams/data1.xml"/><Relationship Id="rId20" Type="http://schemas.openxmlformats.org/officeDocument/2006/relationships/header" Target="header6.xml"/><Relationship Id="rId41" Type="http://schemas.openxmlformats.org/officeDocument/2006/relationships/header" Target="header7.xml"/><Relationship Id="rId54" Type="http://schemas.openxmlformats.org/officeDocument/2006/relationships/image" Target="cid:image004.jpg@01D87A69.6FDD2BB0" TargetMode="External"/><Relationship Id="rId62" Type="http://schemas.openxmlformats.org/officeDocument/2006/relationships/image" Target="cid:image008.jpg@01D87A6B.8B81D260" TargetMode="External"/><Relationship Id="rId70" Type="http://schemas.openxmlformats.org/officeDocument/2006/relationships/diagramColors" Target="diagrams/colors1.xml"/><Relationship Id="rId75"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footer" Target="footer6.xml"/><Relationship Id="rId28" Type="http://schemas.openxmlformats.org/officeDocument/2006/relationships/hyperlink" Target="https://www.acma.gov.au/consultations/2022-03/proposed-spectrum-re-allocation-declaration-34-ghz-and-37-ghz-bands-ifc-102022" TargetMode="External"/><Relationship Id="rId36" Type="http://schemas.openxmlformats.org/officeDocument/2006/relationships/hyperlink" Target="https://www.legislation.gov.au/Details/F2022C00281" TargetMode="External"/><Relationship Id="rId49" Type="http://schemas.openxmlformats.org/officeDocument/2006/relationships/image" Target="media/image5.jpeg"/><Relationship Id="rId57" Type="http://schemas.openxmlformats.org/officeDocument/2006/relationships/image" Target="media/image9.jpeg"/><Relationship Id="rId10" Type="http://schemas.openxmlformats.org/officeDocument/2006/relationships/header" Target="header2.xml"/><Relationship Id="rId31" Type="http://schemas.openxmlformats.org/officeDocument/2006/relationships/hyperlink" Target="https://www.legislation.gov.au/Series/F2022N00015" TargetMode="External"/><Relationship Id="rId44" Type="http://schemas.openxmlformats.org/officeDocument/2006/relationships/footer" Target="footer8.xml"/><Relationship Id="rId52" Type="http://schemas.openxmlformats.org/officeDocument/2006/relationships/image" Target="cid:image002.jpg@01D87A66.114D2170" TargetMode="External"/><Relationship Id="rId60" Type="http://schemas.openxmlformats.org/officeDocument/2006/relationships/image" Target="cid:image006.jpg@01D87A6A.A1179930" TargetMode="External"/><Relationship Id="rId65" Type="http://schemas.openxmlformats.org/officeDocument/2006/relationships/hyperlink" Target="https://www.acma.gov.au/consultations/2022-02/allocation-awls-34-40-ghz-band-remote-australia-ifc-112022" TargetMode="External"/><Relationship Id="rId73" Type="http://schemas.openxmlformats.org/officeDocument/2006/relationships/hyperlink" Target="https://www.acma.gov.au/consultations/2022-03/proposed-spectrum-re-allocation-declaration-34-ghz-and-37-ghz-bands-ifc-102022"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s://creativecommons.org/licenses/by/4.0/" TargetMode="External"/><Relationship Id="rId18" Type="http://schemas.openxmlformats.org/officeDocument/2006/relationships/footer" Target="footer3.xml"/><Relationship Id="rId39" Type="http://schemas.openxmlformats.org/officeDocument/2006/relationships/chart" Target="charts/chart1.xml"/><Relationship Id="rId34" Type="http://schemas.openxmlformats.org/officeDocument/2006/relationships/hyperlink" Target="https://www.acma.gov.au/consultations/2022-02/allocation-awls-34-40-ghz-band-remote-australia-ifc-112022" TargetMode="External"/><Relationship Id="rId50" Type="http://schemas.openxmlformats.org/officeDocument/2006/relationships/image" Target="cid:image001.jpg@01D87A66.114D2170" TargetMode="External"/><Relationship Id="rId55" Type="http://schemas.openxmlformats.org/officeDocument/2006/relationships/image" Target="media/image8.jpeg"/><Relationship Id="rId76" Type="http://schemas.openxmlformats.org/officeDocument/2006/relationships/footer" Target="footer9.xml"/><Relationship Id="rId7" Type="http://schemas.openxmlformats.org/officeDocument/2006/relationships/endnotes" Target="endnotes.xml"/><Relationship Id="rId71" Type="http://schemas.microsoft.com/office/2007/relationships/diagramDrawing" Target="diagrams/drawing1.xml"/><Relationship Id="rId2" Type="http://schemas.openxmlformats.org/officeDocument/2006/relationships/numbering" Target="numbering.xml"/><Relationship Id="rId29" Type="http://schemas.openxmlformats.org/officeDocument/2006/relationships/hyperlink" Target="https://www.acma.gov.au/consultations/2022-03/proposed-spectrum-re-allocation-declaration-34-ghz-and-37-ghz-bands-ifc-102022"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hyperlink" Target="https://acma.gov.au/"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legislation.gov.au/Series/C2005A00044" TargetMode="External"/><Relationship Id="rId2" Type="http://schemas.openxmlformats.org/officeDocument/2006/relationships/hyperlink" Target="https://www.acma.gov.au/publications/2021-08/plan/acmas-corporate-plan-2021-22" TargetMode="External"/><Relationship Id="rId1" Type="http://schemas.openxmlformats.org/officeDocument/2006/relationships/hyperlink" Target="https://acmagovau-my.sharepoint.com/personal/david_goggin_acma_gov_au/Documents/Downloads/Planning%20for%20wireless%20broadband%20in%20urban%20areas%20in%203400-3475%20MHz%20-%20outcomes%20paper%20(4).docx"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Book2"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Sheet1!$C$5</c:f>
              <c:strCache>
                <c:ptCount val="1"/>
                <c:pt idx="0">
                  <c:v>4G</c:v>
                </c:pt>
              </c:strCache>
            </c:strRef>
          </c:tx>
          <c:spPr>
            <a:ln w="28575" cap="rnd">
              <a:solidFill>
                <a:schemeClr val="accent1"/>
              </a:solidFill>
              <a:round/>
            </a:ln>
            <a:effectLst/>
          </c:spPr>
          <c:marker>
            <c:symbol val="none"/>
          </c:marker>
          <c:cat>
            <c:numRef>
              <c:f>Sheet1!$B$6:$B$13</c:f>
              <c:numCache>
                <c:formatCode>General</c:formatCode>
                <c:ptCount val="8"/>
                <c:pt idx="0">
                  <c:v>2015</c:v>
                </c:pt>
                <c:pt idx="1">
                  <c:v>2016</c:v>
                </c:pt>
                <c:pt idx="2">
                  <c:v>2017</c:v>
                </c:pt>
                <c:pt idx="3">
                  <c:v>2018</c:v>
                </c:pt>
                <c:pt idx="4">
                  <c:v>2019</c:v>
                </c:pt>
                <c:pt idx="5">
                  <c:v>2020</c:v>
                </c:pt>
                <c:pt idx="6">
                  <c:v>2021</c:v>
                </c:pt>
                <c:pt idx="7">
                  <c:v>2022</c:v>
                </c:pt>
              </c:numCache>
            </c:numRef>
          </c:cat>
          <c:val>
            <c:numRef>
              <c:f>Sheet1!$C$6:$C$13</c:f>
              <c:numCache>
                <c:formatCode>General</c:formatCode>
                <c:ptCount val="8"/>
                <c:pt idx="0">
                  <c:v>29</c:v>
                </c:pt>
                <c:pt idx="1">
                  <c:v>95</c:v>
                </c:pt>
                <c:pt idx="2">
                  <c:v>148</c:v>
                </c:pt>
                <c:pt idx="3">
                  <c:v>236</c:v>
                </c:pt>
                <c:pt idx="4">
                  <c:v>328</c:v>
                </c:pt>
                <c:pt idx="5">
                  <c:v>566</c:v>
                </c:pt>
                <c:pt idx="6">
                  <c:v>963</c:v>
                </c:pt>
                <c:pt idx="7">
                  <c:v>1012</c:v>
                </c:pt>
              </c:numCache>
            </c:numRef>
          </c:val>
          <c:smooth val="0"/>
          <c:extLst>
            <c:ext xmlns:c16="http://schemas.microsoft.com/office/drawing/2014/chart" uri="{C3380CC4-5D6E-409C-BE32-E72D297353CC}">
              <c16:uniqueId val="{00000000-887A-4C27-A757-3E308C195DF4}"/>
            </c:ext>
          </c:extLst>
        </c:ser>
        <c:ser>
          <c:idx val="1"/>
          <c:order val="1"/>
          <c:tx>
            <c:strRef>
              <c:f>Sheet1!$D$5</c:f>
              <c:strCache>
                <c:ptCount val="1"/>
                <c:pt idx="0">
                  <c:v>5G (n77)</c:v>
                </c:pt>
              </c:strCache>
            </c:strRef>
          </c:tx>
          <c:spPr>
            <a:ln w="28575" cap="rnd">
              <a:solidFill>
                <a:schemeClr val="accent2"/>
              </a:solidFill>
              <a:round/>
            </a:ln>
            <a:effectLst/>
          </c:spPr>
          <c:marker>
            <c:symbol val="none"/>
          </c:marker>
          <c:cat>
            <c:numRef>
              <c:f>Sheet1!$B$6:$B$13</c:f>
              <c:numCache>
                <c:formatCode>General</c:formatCode>
                <c:ptCount val="8"/>
                <c:pt idx="0">
                  <c:v>2015</c:v>
                </c:pt>
                <c:pt idx="1">
                  <c:v>2016</c:v>
                </c:pt>
                <c:pt idx="2">
                  <c:v>2017</c:v>
                </c:pt>
                <c:pt idx="3">
                  <c:v>2018</c:v>
                </c:pt>
                <c:pt idx="4">
                  <c:v>2019</c:v>
                </c:pt>
                <c:pt idx="5">
                  <c:v>2020</c:v>
                </c:pt>
                <c:pt idx="6">
                  <c:v>2021</c:v>
                </c:pt>
                <c:pt idx="7">
                  <c:v>2022</c:v>
                </c:pt>
              </c:numCache>
            </c:numRef>
          </c:cat>
          <c:val>
            <c:numRef>
              <c:f>Sheet1!$D$6:$D$13</c:f>
              <c:numCache>
                <c:formatCode>General</c:formatCode>
                <c:ptCount val="8"/>
                <c:pt idx="0">
                  <c:v>0</c:v>
                </c:pt>
                <c:pt idx="1">
                  <c:v>0</c:v>
                </c:pt>
                <c:pt idx="2">
                  <c:v>0</c:v>
                </c:pt>
                <c:pt idx="3">
                  <c:v>0</c:v>
                </c:pt>
                <c:pt idx="4">
                  <c:v>50</c:v>
                </c:pt>
                <c:pt idx="5">
                  <c:v>226</c:v>
                </c:pt>
                <c:pt idx="6">
                  <c:v>655</c:v>
                </c:pt>
                <c:pt idx="7">
                  <c:v>799</c:v>
                </c:pt>
              </c:numCache>
            </c:numRef>
          </c:val>
          <c:smooth val="0"/>
          <c:extLst>
            <c:ext xmlns:c16="http://schemas.microsoft.com/office/drawing/2014/chart" uri="{C3380CC4-5D6E-409C-BE32-E72D297353CC}">
              <c16:uniqueId val="{00000001-887A-4C27-A757-3E308C195DF4}"/>
            </c:ext>
          </c:extLst>
        </c:ser>
        <c:ser>
          <c:idx val="2"/>
          <c:order val="2"/>
          <c:tx>
            <c:strRef>
              <c:f>Sheet1!$E$5</c:f>
              <c:strCache>
                <c:ptCount val="1"/>
                <c:pt idx="0">
                  <c:v>5G (n78)</c:v>
                </c:pt>
              </c:strCache>
            </c:strRef>
          </c:tx>
          <c:spPr>
            <a:ln w="28575" cap="rnd">
              <a:solidFill>
                <a:schemeClr val="accent3"/>
              </a:solidFill>
              <a:round/>
            </a:ln>
            <a:effectLst/>
          </c:spPr>
          <c:marker>
            <c:symbol val="none"/>
          </c:marker>
          <c:cat>
            <c:numRef>
              <c:f>Sheet1!$B$6:$B$13</c:f>
              <c:numCache>
                <c:formatCode>General</c:formatCode>
                <c:ptCount val="8"/>
                <c:pt idx="0">
                  <c:v>2015</c:v>
                </c:pt>
                <c:pt idx="1">
                  <c:v>2016</c:v>
                </c:pt>
                <c:pt idx="2">
                  <c:v>2017</c:v>
                </c:pt>
                <c:pt idx="3">
                  <c:v>2018</c:v>
                </c:pt>
                <c:pt idx="4">
                  <c:v>2019</c:v>
                </c:pt>
                <c:pt idx="5">
                  <c:v>2020</c:v>
                </c:pt>
                <c:pt idx="6">
                  <c:v>2021</c:v>
                </c:pt>
                <c:pt idx="7">
                  <c:v>2022</c:v>
                </c:pt>
              </c:numCache>
            </c:numRef>
          </c:cat>
          <c:val>
            <c:numRef>
              <c:f>Sheet1!$E$6:$E$13</c:f>
              <c:numCache>
                <c:formatCode>General</c:formatCode>
                <c:ptCount val="8"/>
                <c:pt idx="0">
                  <c:v>0</c:v>
                </c:pt>
                <c:pt idx="1">
                  <c:v>0</c:v>
                </c:pt>
                <c:pt idx="2">
                  <c:v>0</c:v>
                </c:pt>
                <c:pt idx="3">
                  <c:v>0</c:v>
                </c:pt>
                <c:pt idx="4">
                  <c:v>91</c:v>
                </c:pt>
                <c:pt idx="5">
                  <c:v>335</c:v>
                </c:pt>
                <c:pt idx="6">
                  <c:v>845</c:v>
                </c:pt>
                <c:pt idx="7">
                  <c:v>1018</c:v>
                </c:pt>
              </c:numCache>
            </c:numRef>
          </c:val>
          <c:smooth val="0"/>
          <c:extLst>
            <c:ext xmlns:c16="http://schemas.microsoft.com/office/drawing/2014/chart" uri="{C3380CC4-5D6E-409C-BE32-E72D297353CC}">
              <c16:uniqueId val="{00000002-887A-4C27-A757-3E308C195DF4}"/>
            </c:ext>
          </c:extLst>
        </c:ser>
        <c:ser>
          <c:idx val="3"/>
          <c:order val="3"/>
          <c:tx>
            <c:strRef>
              <c:f>Sheet1!$F$5</c:f>
              <c:strCache>
                <c:ptCount val="1"/>
                <c:pt idx="0">
                  <c:v>5G (n77 and/or n78)</c:v>
                </c:pt>
              </c:strCache>
            </c:strRef>
          </c:tx>
          <c:spPr>
            <a:ln w="28575" cap="rnd">
              <a:solidFill>
                <a:schemeClr val="tx1"/>
              </a:solidFill>
              <a:prstDash val="dashDot"/>
              <a:round/>
            </a:ln>
            <a:effectLst/>
          </c:spPr>
          <c:marker>
            <c:symbol val="none"/>
          </c:marker>
          <c:cat>
            <c:numRef>
              <c:f>Sheet1!$B$6:$B$13</c:f>
              <c:numCache>
                <c:formatCode>General</c:formatCode>
                <c:ptCount val="8"/>
                <c:pt idx="0">
                  <c:v>2015</c:v>
                </c:pt>
                <c:pt idx="1">
                  <c:v>2016</c:v>
                </c:pt>
                <c:pt idx="2">
                  <c:v>2017</c:v>
                </c:pt>
                <c:pt idx="3">
                  <c:v>2018</c:v>
                </c:pt>
                <c:pt idx="4">
                  <c:v>2019</c:v>
                </c:pt>
                <c:pt idx="5">
                  <c:v>2020</c:v>
                </c:pt>
                <c:pt idx="6">
                  <c:v>2021</c:v>
                </c:pt>
                <c:pt idx="7">
                  <c:v>2022</c:v>
                </c:pt>
              </c:numCache>
            </c:numRef>
          </c:cat>
          <c:val>
            <c:numRef>
              <c:f>Sheet1!$F$6:$F$13</c:f>
              <c:numCache>
                <c:formatCode>General</c:formatCode>
                <c:ptCount val="8"/>
                <c:pt idx="0">
                  <c:v>0</c:v>
                </c:pt>
                <c:pt idx="1">
                  <c:v>0</c:v>
                </c:pt>
                <c:pt idx="2">
                  <c:v>0</c:v>
                </c:pt>
                <c:pt idx="3">
                  <c:v>0</c:v>
                </c:pt>
                <c:pt idx="4">
                  <c:v>91</c:v>
                </c:pt>
                <c:pt idx="5">
                  <c:v>337</c:v>
                </c:pt>
                <c:pt idx="6">
                  <c:v>860</c:v>
                </c:pt>
                <c:pt idx="7">
                  <c:v>1039</c:v>
                </c:pt>
              </c:numCache>
            </c:numRef>
          </c:val>
          <c:smooth val="0"/>
          <c:extLst>
            <c:ext xmlns:c16="http://schemas.microsoft.com/office/drawing/2014/chart" uri="{C3380CC4-5D6E-409C-BE32-E72D297353CC}">
              <c16:uniqueId val="{00000003-887A-4C27-A757-3E308C195DF4}"/>
            </c:ext>
          </c:extLst>
        </c:ser>
        <c:dLbls>
          <c:showLegendKey val="0"/>
          <c:showVal val="0"/>
          <c:showCatName val="0"/>
          <c:showSerName val="0"/>
          <c:showPercent val="0"/>
          <c:showBubbleSize val="0"/>
        </c:dLbls>
        <c:smooth val="0"/>
        <c:axId val="1765622608"/>
        <c:axId val="1765623024"/>
      </c:lineChart>
      <c:catAx>
        <c:axId val="176562260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5623024"/>
        <c:crosses val="autoZero"/>
        <c:auto val="1"/>
        <c:lblAlgn val="ctr"/>
        <c:lblOffset val="100"/>
        <c:noMultiLvlLbl val="0"/>
      </c:catAx>
      <c:valAx>
        <c:axId val="1765623024"/>
        <c:scaling>
          <c:orientation val="minMax"/>
          <c:max val="11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5622608"/>
        <c:crossesAt val="1"/>
        <c:crossBetween val="midCat"/>
        <c:majorUnit val="1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B0A35B6-E133-4A0D-9E19-30CE7688D67D}" type="doc">
      <dgm:prSet loTypeId="urn:microsoft.com/office/officeart/2005/8/layout/chevron2" loCatId="process" qsTypeId="urn:microsoft.com/office/officeart/2005/8/quickstyle/simple1" qsCatId="simple" csTypeId="urn:microsoft.com/office/officeart/2005/8/colors/accent1_2" csCatId="accent1" phldr="1"/>
      <dgm:spPr/>
      <dgm:t>
        <a:bodyPr/>
        <a:lstStyle/>
        <a:p>
          <a:endParaRPr lang="en-AU"/>
        </a:p>
      </dgm:t>
    </dgm:pt>
    <dgm:pt modelId="{A457363F-A1F3-425E-8061-2E3318AD096D}">
      <dgm:prSet phldrT="[Text]" custT="1"/>
      <dgm:spPr/>
      <dgm:t>
        <a:bodyPr/>
        <a:lstStyle/>
        <a:p>
          <a:r>
            <a:rPr lang="en-AU" sz="1000">
              <a:latin typeface="Arial" panose="020B0604020202020204" pitchFamily="34" charset="0"/>
              <a:cs typeface="Arial" panose="020B0604020202020204" pitchFamily="34" charset="0"/>
            </a:rPr>
            <a:t>1</a:t>
          </a:r>
        </a:p>
      </dgm:t>
    </dgm:pt>
    <dgm:pt modelId="{B1772C5E-063F-4447-B413-69DA664075FF}" type="parTrans" cxnId="{90F84D57-1279-425B-9A4A-FAF5774E218E}">
      <dgm:prSet/>
      <dgm:spPr/>
      <dgm:t>
        <a:bodyPr/>
        <a:lstStyle/>
        <a:p>
          <a:endParaRPr lang="en-AU"/>
        </a:p>
      </dgm:t>
    </dgm:pt>
    <dgm:pt modelId="{85A07D4A-7391-4D27-9809-4435A743BE3E}" type="sibTrans" cxnId="{90F84D57-1279-425B-9A4A-FAF5774E218E}">
      <dgm:prSet/>
      <dgm:spPr/>
      <dgm:t>
        <a:bodyPr/>
        <a:lstStyle/>
        <a:p>
          <a:endParaRPr lang="en-AU"/>
        </a:p>
      </dgm:t>
    </dgm:pt>
    <dgm:pt modelId="{D4B7DBFE-BDA4-4F82-AF74-C0E19CE459B5}">
      <dgm:prSet phldrT="[Text]" custT="1"/>
      <dgm:spPr/>
      <dgm:t>
        <a:bodyPr/>
        <a:lstStyle/>
        <a:p>
          <a:r>
            <a:rPr lang="en-AU" sz="1000">
              <a:latin typeface="Arial" panose="020B0604020202020204" pitchFamily="34" charset="0"/>
              <a:cs typeface="Arial" panose="020B0604020202020204" pitchFamily="34" charset="0"/>
            </a:rPr>
            <a:t>Proposal to re-allocate spectrum</a:t>
          </a:r>
        </a:p>
      </dgm:t>
    </dgm:pt>
    <dgm:pt modelId="{4C4A237B-7E7A-4B79-A537-17B752809828}" type="parTrans" cxnId="{EFF3683C-9984-4A32-9EB9-DD11E5C206DE}">
      <dgm:prSet/>
      <dgm:spPr/>
      <dgm:t>
        <a:bodyPr/>
        <a:lstStyle/>
        <a:p>
          <a:endParaRPr lang="en-AU"/>
        </a:p>
      </dgm:t>
    </dgm:pt>
    <dgm:pt modelId="{156CCFD0-5B4D-4570-8A8B-DE195EDBA6D0}" type="sibTrans" cxnId="{EFF3683C-9984-4A32-9EB9-DD11E5C206DE}">
      <dgm:prSet/>
      <dgm:spPr/>
      <dgm:t>
        <a:bodyPr/>
        <a:lstStyle/>
        <a:p>
          <a:endParaRPr lang="en-AU"/>
        </a:p>
      </dgm:t>
    </dgm:pt>
    <dgm:pt modelId="{B5040F94-B485-462C-887C-99DE3248A147}">
      <dgm:prSet phldrT="[Text]" custT="1"/>
      <dgm:spPr/>
      <dgm:t>
        <a:bodyPr/>
        <a:lstStyle/>
        <a:p>
          <a:r>
            <a:rPr lang="en-AU" sz="1000">
              <a:latin typeface="Arial" panose="020B0604020202020204" pitchFamily="34" charset="0"/>
              <a:cs typeface="Arial" panose="020B0604020202020204" pitchFamily="34" charset="0"/>
            </a:rPr>
            <a:t>2</a:t>
          </a:r>
        </a:p>
      </dgm:t>
    </dgm:pt>
    <dgm:pt modelId="{4012A6D7-A6E2-4B86-99DA-AF77F5201740}" type="parTrans" cxnId="{51914E03-D209-4F28-91C8-11B564B60010}">
      <dgm:prSet/>
      <dgm:spPr/>
      <dgm:t>
        <a:bodyPr/>
        <a:lstStyle/>
        <a:p>
          <a:endParaRPr lang="en-AU"/>
        </a:p>
      </dgm:t>
    </dgm:pt>
    <dgm:pt modelId="{7143B0BC-9A5E-4260-9F0A-C7BA41BC3221}" type="sibTrans" cxnId="{51914E03-D209-4F28-91C8-11B564B60010}">
      <dgm:prSet/>
      <dgm:spPr/>
      <dgm:t>
        <a:bodyPr/>
        <a:lstStyle/>
        <a:p>
          <a:endParaRPr lang="en-AU"/>
        </a:p>
      </dgm:t>
    </dgm:pt>
    <dgm:pt modelId="{84CAE1B0-E561-4E80-9595-F6954CE02CB4}">
      <dgm:prSet phldrT="[Text]" custT="1"/>
      <dgm:spPr/>
      <dgm:t>
        <a:bodyPr/>
        <a:lstStyle/>
        <a:p>
          <a:r>
            <a:rPr lang="en-AU" sz="1000">
              <a:latin typeface="Arial" panose="020B0604020202020204" pitchFamily="34" charset="0"/>
              <a:cs typeface="Arial" panose="020B0604020202020204" pitchFamily="34" charset="0"/>
            </a:rPr>
            <a:t>Re-allocation declaration</a:t>
          </a:r>
        </a:p>
      </dgm:t>
    </dgm:pt>
    <dgm:pt modelId="{ED86A8FA-9112-44C8-A9D3-1730F52C1E20}" type="parTrans" cxnId="{55F98BD9-23E7-4369-920F-18A6229A52AA}">
      <dgm:prSet/>
      <dgm:spPr/>
      <dgm:t>
        <a:bodyPr/>
        <a:lstStyle/>
        <a:p>
          <a:endParaRPr lang="en-AU"/>
        </a:p>
      </dgm:t>
    </dgm:pt>
    <dgm:pt modelId="{B1FACAA2-725F-458D-9702-6AC743549924}" type="sibTrans" cxnId="{55F98BD9-23E7-4369-920F-18A6229A52AA}">
      <dgm:prSet/>
      <dgm:spPr/>
      <dgm:t>
        <a:bodyPr/>
        <a:lstStyle/>
        <a:p>
          <a:endParaRPr lang="en-AU"/>
        </a:p>
      </dgm:t>
    </dgm:pt>
    <dgm:pt modelId="{F425D275-1FAA-4BCF-8CD6-8CF9FD49831F}">
      <dgm:prSet custT="1"/>
      <dgm:spPr/>
      <dgm:t>
        <a:bodyPr/>
        <a:lstStyle/>
        <a:p>
          <a:r>
            <a:rPr lang="en-AU" sz="1000">
              <a:latin typeface="Arial" panose="020B0604020202020204" pitchFamily="34" charset="0"/>
              <a:cs typeface="Arial" panose="020B0604020202020204" pitchFamily="34" charset="0"/>
            </a:rPr>
            <a:t>3</a:t>
          </a:r>
        </a:p>
      </dgm:t>
    </dgm:pt>
    <dgm:pt modelId="{2CF27962-D83E-4F45-BBEE-34B6313A97DC}" type="parTrans" cxnId="{E0C18F94-24FD-4202-96E8-F9BBB6C4425B}">
      <dgm:prSet/>
      <dgm:spPr/>
      <dgm:t>
        <a:bodyPr/>
        <a:lstStyle/>
        <a:p>
          <a:endParaRPr lang="en-AU"/>
        </a:p>
      </dgm:t>
    </dgm:pt>
    <dgm:pt modelId="{FC851200-194C-41AA-AEDC-865C98492856}" type="sibTrans" cxnId="{E0C18F94-24FD-4202-96E8-F9BBB6C4425B}">
      <dgm:prSet/>
      <dgm:spPr/>
      <dgm:t>
        <a:bodyPr/>
        <a:lstStyle/>
        <a:p>
          <a:endParaRPr lang="en-AU"/>
        </a:p>
      </dgm:t>
    </dgm:pt>
    <dgm:pt modelId="{20F22B3D-73C5-41BD-827E-DAFAC1AB7224}">
      <dgm:prSet custT="1"/>
      <dgm:spPr/>
      <dgm:t>
        <a:bodyPr/>
        <a:lstStyle/>
        <a:p>
          <a:r>
            <a:rPr lang="en-AU" sz="1000">
              <a:latin typeface="Arial" panose="020B0604020202020204" pitchFamily="34" charset="0"/>
              <a:cs typeface="Arial" panose="020B0604020202020204" pitchFamily="34" charset="0"/>
            </a:rPr>
            <a:t>Draft allocation instruments</a:t>
          </a:r>
        </a:p>
      </dgm:t>
    </dgm:pt>
    <dgm:pt modelId="{63F2BC6F-9F26-4DF7-A1BC-7CB2F8AB1E6C}" type="parTrans" cxnId="{5470E1F0-07A4-4C2C-89E6-ACD79EA44E39}">
      <dgm:prSet/>
      <dgm:spPr/>
      <dgm:t>
        <a:bodyPr/>
        <a:lstStyle/>
        <a:p>
          <a:endParaRPr lang="en-AU"/>
        </a:p>
      </dgm:t>
    </dgm:pt>
    <dgm:pt modelId="{22F25878-4486-46D2-B6D4-105858073CC9}" type="sibTrans" cxnId="{5470E1F0-07A4-4C2C-89E6-ACD79EA44E39}">
      <dgm:prSet/>
      <dgm:spPr/>
      <dgm:t>
        <a:bodyPr/>
        <a:lstStyle/>
        <a:p>
          <a:endParaRPr lang="en-AU"/>
        </a:p>
      </dgm:t>
    </dgm:pt>
    <dgm:pt modelId="{F926E193-C876-4E12-9CED-C8C23BBA4997}">
      <dgm:prSet custT="1"/>
      <dgm:spPr/>
      <dgm:t>
        <a:bodyPr/>
        <a:lstStyle/>
        <a:p>
          <a:r>
            <a:rPr lang="en-AU" sz="1000">
              <a:latin typeface="Arial" panose="020B0604020202020204" pitchFamily="34" charset="0"/>
              <a:cs typeface="Arial" panose="020B0604020202020204" pitchFamily="34" charset="0"/>
            </a:rPr>
            <a:t>4</a:t>
          </a:r>
        </a:p>
      </dgm:t>
    </dgm:pt>
    <dgm:pt modelId="{86EC7F22-104D-486D-8225-6841C57D7889}" type="parTrans" cxnId="{A7D7C1D9-3D6B-4944-9549-4F4629C9C936}">
      <dgm:prSet/>
      <dgm:spPr/>
      <dgm:t>
        <a:bodyPr/>
        <a:lstStyle/>
        <a:p>
          <a:endParaRPr lang="en-AU"/>
        </a:p>
      </dgm:t>
    </dgm:pt>
    <dgm:pt modelId="{2C2921DE-D6A4-4273-A295-F05D8FF4D703}" type="sibTrans" cxnId="{A7D7C1D9-3D6B-4944-9549-4F4629C9C936}">
      <dgm:prSet/>
      <dgm:spPr/>
      <dgm:t>
        <a:bodyPr/>
        <a:lstStyle/>
        <a:p>
          <a:endParaRPr lang="en-AU"/>
        </a:p>
      </dgm:t>
    </dgm:pt>
    <dgm:pt modelId="{4A42D425-1A7A-4617-A354-B6CB62022EA6}">
      <dgm:prSet custT="1"/>
      <dgm:spPr/>
      <dgm:t>
        <a:bodyPr/>
        <a:lstStyle/>
        <a:p>
          <a:r>
            <a:rPr lang="en-AU" sz="1000">
              <a:latin typeface="Arial" panose="020B0604020202020204" pitchFamily="34" charset="0"/>
              <a:cs typeface="Arial" panose="020B0604020202020204" pitchFamily="34" charset="0"/>
            </a:rPr>
            <a:t>Final allocation instruments</a:t>
          </a: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5B33DE86-C5C1-40B0-8B54-B5E03A3B72B0}" type="parTrans" cxnId="{47738A79-2E19-4ED4-860E-8A0C495A3EAE}">
      <dgm:prSet/>
      <dgm:spPr/>
      <dgm:t>
        <a:bodyPr/>
        <a:lstStyle/>
        <a:p>
          <a:endParaRPr lang="en-AU"/>
        </a:p>
      </dgm:t>
    </dgm:pt>
    <dgm:pt modelId="{B3E8E3E2-BB57-4E07-A28A-14411E2BE7A3}" type="sibTrans" cxnId="{47738A79-2E19-4ED4-860E-8A0C495A3EAE}">
      <dgm:prSet/>
      <dgm:spPr/>
      <dgm:t>
        <a:bodyPr/>
        <a:lstStyle/>
        <a:p>
          <a:endParaRPr lang="en-AU"/>
        </a:p>
      </dgm:t>
    </dgm:pt>
    <dgm:pt modelId="{DD2ED188-F0F2-44B1-BF7A-E5FD160FB693}">
      <dgm:prSet custT="1"/>
      <dgm:spPr/>
      <dgm:t>
        <a:bodyPr/>
        <a:lstStyle/>
        <a:p>
          <a:r>
            <a:rPr lang="en-AU" sz="1000">
              <a:latin typeface="Arial" panose="020B0604020202020204" pitchFamily="34" charset="0"/>
              <a:cs typeface="Arial" panose="020B0604020202020204" pitchFamily="34" charset="0"/>
            </a:rPr>
            <a:t>5</a:t>
          </a:r>
        </a:p>
      </dgm:t>
    </dgm:pt>
    <dgm:pt modelId="{AD82BA23-F92D-49CD-924B-6FC91AED211F}" type="parTrans" cxnId="{38F0EA85-8FD6-4214-8A6E-F56E1F803464}">
      <dgm:prSet/>
      <dgm:spPr/>
      <dgm:t>
        <a:bodyPr/>
        <a:lstStyle/>
        <a:p>
          <a:endParaRPr lang="en-AU"/>
        </a:p>
      </dgm:t>
    </dgm:pt>
    <dgm:pt modelId="{664B057E-24EF-41D6-AC8A-E44A3BA088DD}" type="sibTrans" cxnId="{38F0EA85-8FD6-4214-8A6E-F56E1F803464}">
      <dgm:prSet/>
      <dgm:spPr/>
      <dgm:t>
        <a:bodyPr/>
        <a:lstStyle/>
        <a:p>
          <a:endParaRPr lang="en-AU"/>
        </a:p>
      </dgm:t>
    </dgm:pt>
    <dgm:pt modelId="{8EB8B761-819A-4158-9C8B-F230FA2773DE}">
      <dgm:prSet custT="1"/>
      <dgm:spPr/>
      <dgm:t>
        <a:bodyPr/>
        <a:lstStyle/>
        <a:p>
          <a:r>
            <a:rPr lang="en-AU" sz="1000">
              <a:latin typeface="Arial" panose="020B0604020202020204" pitchFamily="34" charset="0"/>
              <a:cs typeface="Arial" panose="020B0604020202020204" pitchFamily="34" charset="0"/>
            </a:rPr>
            <a:t>Allocation</a:t>
          </a:r>
        </a:p>
      </dgm:t>
    </dgm:pt>
    <dgm:pt modelId="{90CF7975-8F49-4C4A-9FB2-D4AF7E077480}" type="parTrans" cxnId="{45459615-6C6C-4D4A-98B5-EE6312B28C86}">
      <dgm:prSet/>
      <dgm:spPr/>
      <dgm:t>
        <a:bodyPr/>
        <a:lstStyle/>
        <a:p>
          <a:endParaRPr lang="en-AU"/>
        </a:p>
      </dgm:t>
    </dgm:pt>
    <dgm:pt modelId="{10C18FFD-63AE-4C5C-810F-3ECC16EE9AB8}" type="sibTrans" cxnId="{45459615-6C6C-4D4A-98B5-EE6312B28C86}">
      <dgm:prSet/>
      <dgm:spPr/>
      <dgm:t>
        <a:bodyPr/>
        <a:lstStyle/>
        <a:p>
          <a:endParaRPr lang="en-AU"/>
        </a:p>
      </dgm:t>
    </dgm:pt>
    <dgm:pt modelId="{BD853109-4D85-4000-BED4-EEC24D750ED4}" type="pres">
      <dgm:prSet presAssocID="{7B0A35B6-E133-4A0D-9E19-30CE7688D67D}" presName="linearFlow" presStyleCnt="0">
        <dgm:presLayoutVars>
          <dgm:dir/>
          <dgm:animLvl val="lvl"/>
          <dgm:resizeHandles val="exact"/>
        </dgm:presLayoutVars>
      </dgm:prSet>
      <dgm:spPr/>
    </dgm:pt>
    <dgm:pt modelId="{53116820-6FB7-4136-B895-DF61CF714062}" type="pres">
      <dgm:prSet presAssocID="{A457363F-A1F3-425E-8061-2E3318AD096D}" presName="composite" presStyleCnt="0"/>
      <dgm:spPr/>
    </dgm:pt>
    <dgm:pt modelId="{EBC1B2A5-6837-42E3-BE1A-39701BB31141}" type="pres">
      <dgm:prSet presAssocID="{A457363F-A1F3-425E-8061-2E3318AD096D}" presName="parentText" presStyleLbl="alignNode1" presStyleIdx="0" presStyleCnt="5">
        <dgm:presLayoutVars>
          <dgm:chMax val="1"/>
          <dgm:bulletEnabled val="1"/>
        </dgm:presLayoutVars>
      </dgm:prSet>
      <dgm:spPr/>
    </dgm:pt>
    <dgm:pt modelId="{426726A5-FF95-4BC2-80DC-B31E0CEECFB4}" type="pres">
      <dgm:prSet presAssocID="{A457363F-A1F3-425E-8061-2E3318AD096D}" presName="descendantText" presStyleLbl="alignAcc1" presStyleIdx="0" presStyleCnt="5">
        <dgm:presLayoutVars>
          <dgm:bulletEnabled val="1"/>
        </dgm:presLayoutVars>
      </dgm:prSet>
      <dgm:spPr/>
    </dgm:pt>
    <dgm:pt modelId="{397364F0-2115-4DAF-A1DD-3AA316F2B21B}" type="pres">
      <dgm:prSet presAssocID="{85A07D4A-7391-4D27-9809-4435A743BE3E}" presName="sp" presStyleCnt="0"/>
      <dgm:spPr/>
    </dgm:pt>
    <dgm:pt modelId="{A8F27D9A-DFEF-47F3-BD84-A1C90A3428CB}" type="pres">
      <dgm:prSet presAssocID="{B5040F94-B485-462C-887C-99DE3248A147}" presName="composite" presStyleCnt="0"/>
      <dgm:spPr/>
    </dgm:pt>
    <dgm:pt modelId="{74C15F4E-F3F5-4057-B32E-062AF6190E4C}" type="pres">
      <dgm:prSet presAssocID="{B5040F94-B485-462C-887C-99DE3248A147}" presName="parentText" presStyleLbl="alignNode1" presStyleIdx="1" presStyleCnt="5">
        <dgm:presLayoutVars>
          <dgm:chMax val="1"/>
          <dgm:bulletEnabled val="1"/>
        </dgm:presLayoutVars>
      </dgm:prSet>
      <dgm:spPr/>
    </dgm:pt>
    <dgm:pt modelId="{01B6FE3D-441F-45A6-9F5C-F0F8C3FCC888}" type="pres">
      <dgm:prSet presAssocID="{B5040F94-B485-462C-887C-99DE3248A147}" presName="descendantText" presStyleLbl="alignAcc1" presStyleIdx="1" presStyleCnt="5">
        <dgm:presLayoutVars>
          <dgm:bulletEnabled val="1"/>
        </dgm:presLayoutVars>
      </dgm:prSet>
      <dgm:spPr/>
    </dgm:pt>
    <dgm:pt modelId="{3C6150FA-FCCE-43CC-9831-58FA1ABDE4B8}" type="pres">
      <dgm:prSet presAssocID="{7143B0BC-9A5E-4260-9F0A-C7BA41BC3221}" presName="sp" presStyleCnt="0"/>
      <dgm:spPr/>
    </dgm:pt>
    <dgm:pt modelId="{F8224974-D328-4C8E-A744-41CC3B204F93}" type="pres">
      <dgm:prSet presAssocID="{F425D275-1FAA-4BCF-8CD6-8CF9FD49831F}" presName="composite" presStyleCnt="0"/>
      <dgm:spPr/>
    </dgm:pt>
    <dgm:pt modelId="{FAE15DBF-EBB1-407C-961C-3259CCF7D072}" type="pres">
      <dgm:prSet presAssocID="{F425D275-1FAA-4BCF-8CD6-8CF9FD49831F}" presName="parentText" presStyleLbl="alignNode1" presStyleIdx="2" presStyleCnt="5">
        <dgm:presLayoutVars>
          <dgm:chMax val="1"/>
          <dgm:bulletEnabled val="1"/>
        </dgm:presLayoutVars>
      </dgm:prSet>
      <dgm:spPr/>
    </dgm:pt>
    <dgm:pt modelId="{CD1271A6-EAF9-4D0E-8BC0-F5022BEE84D5}" type="pres">
      <dgm:prSet presAssocID="{F425D275-1FAA-4BCF-8CD6-8CF9FD49831F}" presName="descendantText" presStyleLbl="alignAcc1" presStyleIdx="2" presStyleCnt="5">
        <dgm:presLayoutVars>
          <dgm:bulletEnabled val="1"/>
        </dgm:presLayoutVars>
      </dgm:prSet>
      <dgm:spPr/>
    </dgm:pt>
    <dgm:pt modelId="{6932502D-1563-49EB-9147-0BF83C425A65}" type="pres">
      <dgm:prSet presAssocID="{FC851200-194C-41AA-AEDC-865C98492856}" presName="sp" presStyleCnt="0"/>
      <dgm:spPr/>
    </dgm:pt>
    <dgm:pt modelId="{8D185033-FF48-499F-AC99-2FBB915CBC1D}" type="pres">
      <dgm:prSet presAssocID="{F926E193-C876-4E12-9CED-C8C23BBA4997}" presName="composite" presStyleCnt="0"/>
      <dgm:spPr/>
    </dgm:pt>
    <dgm:pt modelId="{E6B43C46-4244-4DEE-BD04-212192EC5AF9}" type="pres">
      <dgm:prSet presAssocID="{F926E193-C876-4E12-9CED-C8C23BBA4997}" presName="parentText" presStyleLbl="alignNode1" presStyleIdx="3" presStyleCnt="5">
        <dgm:presLayoutVars>
          <dgm:chMax val="1"/>
          <dgm:bulletEnabled val="1"/>
        </dgm:presLayoutVars>
      </dgm:prSet>
      <dgm:spPr/>
    </dgm:pt>
    <dgm:pt modelId="{473FCF06-01E9-4908-B372-A53A687D11B0}" type="pres">
      <dgm:prSet presAssocID="{F926E193-C876-4E12-9CED-C8C23BBA4997}" presName="descendantText" presStyleLbl="alignAcc1" presStyleIdx="3" presStyleCnt="5">
        <dgm:presLayoutVars>
          <dgm:bulletEnabled val="1"/>
        </dgm:presLayoutVars>
      </dgm:prSet>
      <dgm:spPr/>
    </dgm:pt>
    <dgm:pt modelId="{3499CFAF-41FE-4723-8E28-45274A2E22A8}" type="pres">
      <dgm:prSet presAssocID="{2C2921DE-D6A4-4273-A295-F05D8FF4D703}" presName="sp" presStyleCnt="0"/>
      <dgm:spPr/>
    </dgm:pt>
    <dgm:pt modelId="{0D720A85-4719-4BAE-9D9B-EA50DFC7B6A4}" type="pres">
      <dgm:prSet presAssocID="{DD2ED188-F0F2-44B1-BF7A-E5FD160FB693}" presName="composite" presStyleCnt="0"/>
      <dgm:spPr/>
    </dgm:pt>
    <dgm:pt modelId="{0B108BB5-124A-4FCD-8337-9D0D6389A3FD}" type="pres">
      <dgm:prSet presAssocID="{DD2ED188-F0F2-44B1-BF7A-E5FD160FB693}" presName="parentText" presStyleLbl="alignNode1" presStyleIdx="4" presStyleCnt="5">
        <dgm:presLayoutVars>
          <dgm:chMax val="1"/>
          <dgm:bulletEnabled val="1"/>
        </dgm:presLayoutVars>
      </dgm:prSet>
      <dgm:spPr/>
    </dgm:pt>
    <dgm:pt modelId="{CA813DB1-38EB-4956-93E3-551B98C3E03A}" type="pres">
      <dgm:prSet presAssocID="{DD2ED188-F0F2-44B1-BF7A-E5FD160FB693}" presName="descendantText" presStyleLbl="alignAcc1" presStyleIdx="4" presStyleCnt="5">
        <dgm:presLayoutVars>
          <dgm:bulletEnabled val="1"/>
        </dgm:presLayoutVars>
      </dgm:prSet>
      <dgm:spPr/>
    </dgm:pt>
  </dgm:ptLst>
  <dgm:cxnLst>
    <dgm:cxn modelId="{75891B02-2479-4E1F-980E-F9A810866CBC}" type="presOf" srcId="{7B0A35B6-E133-4A0D-9E19-30CE7688D67D}" destId="{BD853109-4D85-4000-BED4-EEC24D750ED4}" srcOrd="0" destOrd="0" presId="urn:microsoft.com/office/officeart/2005/8/layout/chevron2"/>
    <dgm:cxn modelId="{51914E03-D209-4F28-91C8-11B564B60010}" srcId="{7B0A35B6-E133-4A0D-9E19-30CE7688D67D}" destId="{B5040F94-B485-462C-887C-99DE3248A147}" srcOrd="1" destOrd="0" parTransId="{4012A6D7-A6E2-4B86-99DA-AF77F5201740}" sibTransId="{7143B0BC-9A5E-4260-9F0A-C7BA41BC3221}"/>
    <dgm:cxn modelId="{A52BDD05-2C93-46F9-A759-BC78CD057092}" type="presOf" srcId="{F425D275-1FAA-4BCF-8CD6-8CF9FD49831F}" destId="{FAE15DBF-EBB1-407C-961C-3259CCF7D072}" srcOrd="0" destOrd="0" presId="urn:microsoft.com/office/officeart/2005/8/layout/chevron2"/>
    <dgm:cxn modelId="{45459615-6C6C-4D4A-98B5-EE6312B28C86}" srcId="{DD2ED188-F0F2-44B1-BF7A-E5FD160FB693}" destId="{8EB8B761-819A-4158-9C8B-F230FA2773DE}" srcOrd="0" destOrd="0" parTransId="{90CF7975-8F49-4C4A-9FB2-D4AF7E077480}" sibTransId="{10C18FFD-63AE-4C5C-810F-3ECC16EE9AB8}"/>
    <dgm:cxn modelId="{EFF3683C-9984-4A32-9EB9-DD11E5C206DE}" srcId="{A457363F-A1F3-425E-8061-2E3318AD096D}" destId="{D4B7DBFE-BDA4-4F82-AF74-C0E19CE459B5}" srcOrd="0" destOrd="0" parTransId="{4C4A237B-7E7A-4B79-A537-17B752809828}" sibTransId="{156CCFD0-5B4D-4570-8A8B-DE195EDBA6D0}"/>
    <dgm:cxn modelId="{1C923F5E-44FA-417A-8A5F-464A38DDFC4D}" type="presOf" srcId="{A457363F-A1F3-425E-8061-2E3318AD096D}" destId="{EBC1B2A5-6837-42E3-BE1A-39701BB31141}" srcOrd="0" destOrd="0" presId="urn:microsoft.com/office/officeart/2005/8/layout/chevron2"/>
    <dgm:cxn modelId="{24137A70-CC73-4673-9CE9-F28209B35410}" type="presOf" srcId="{DD2ED188-F0F2-44B1-BF7A-E5FD160FB693}" destId="{0B108BB5-124A-4FCD-8337-9D0D6389A3FD}" srcOrd="0" destOrd="0" presId="urn:microsoft.com/office/officeart/2005/8/layout/chevron2"/>
    <dgm:cxn modelId="{314A4A51-4D59-4C6E-B9E1-22B0164F3961}" type="presOf" srcId="{8EB8B761-819A-4158-9C8B-F230FA2773DE}" destId="{CA813DB1-38EB-4956-93E3-551B98C3E03A}" srcOrd="0" destOrd="0" presId="urn:microsoft.com/office/officeart/2005/8/layout/chevron2"/>
    <dgm:cxn modelId="{B7161375-DE59-4EB2-8747-3D79F6B9EC85}" type="presOf" srcId="{20F22B3D-73C5-41BD-827E-DAFAC1AB7224}" destId="{CD1271A6-EAF9-4D0E-8BC0-F5022BEE84D5}" srcOrd="0" destOrd="0" presId="urn:microsoft.com/office/officeart/2005/8/layout/chevron2"/>
    <dgm:cxn modelId="{90F84D57-1279-425B-9A4A-FAF5774E218E}" srcId="{7B0A35B6-E133-4A0D-9E19-30CE7688D67D}" destId="{A457363F-A1F3-425E-8061-2E3318AD096D}" srcOrd="0" destOrd="0" parTransId="{B1772C5E-063F-4447-B413-69DA664075FF}" sibTransId="{85A07D4A-7391-4D27-9809-4435A743BE3E}"/>
    <dgm:cxn modelId="{47738A79-2E19-4ED4-860E-8A0C495A3EAE}" srcId="{F926E193-C876-4E12-9CED-C8C23BBA4997}" destId="{4A42D425-1A7A-4617-A354-B6CB62022EA6}" srcOrd="0" destOrd="0" parTransId="{5B33DE86-C5C1-40B0-8B54-B5E03A3B72B0}" sibTransId="{B3E8E3E2-BB57-4E07-A28A-14411E2BE7A3}"/>
    <dgm:cxn modelId="{0C89DE85-369E-4F23-8393-B5CFAC0FFCCA}" type="presOf" srcId="{84CAE1B0-E561-4E80-9595-F6954CE02CB4}" destId="{01B6FE3D-441F-45A6-9F5C-F0F8C3FCC888}" srcOrd="0" destOrd="0" presId="urn:microsoft.com/office/officeart/2005/8/layout/chevron2"/>
    <dgm:cxn modelId="{38F0EA85-8FD6-4214-8A6E-F56E1F803464}" srcId="{7B0A35B6-E133-4A0D-9E19-30CE7688D67D}" destId="{DD2ED188-F0F2-44B1-BF7A-E5FD160FB693}" srcOrd="4" destOrd="0" parTransId="{AD82BA23-F92D-49CD-924B-6FC91AED211F}" sibTransId="{664B057E-24EF-41D6-AC8A-E44A3BA088DD}"/>
    <dgm:cxn modelId="{E0C18F94-24FD-4202-96E8-F9BBB6C4425B}" srcId="{7B0A35B6-E133-4A0D-9E19-30CE7688D67D}" destId="{F425D275-1FAA-4BCF-8CD6-8CF9FD49831F}" srcOrd="2" destOrd="0" parTransId="{2CF27962-D83E-4F45-BBEE-34B6313A97DC}" sibTransId="{FC851200-194C-41AA-AEDC-865C98492856}"/>
    <dgm:cxn modelId="{C2EFDC97-7244-49D9-8D74-8AF253AEF194}" type="presOf" srcId="{F926E193-C876-4E12-9CED-C8C23BBA4997}" destId="{E6B43C46-4244-4DEE-BD04-212192EC5AF9}" srcOrd="0" destOrd="0" presId="urn:microsoft.com/office/officeart/2005/8/layout/chevron2"/>
    <dgm:cxn modelId="{21D7359B-A355-4DBF-B4C3-C47AF64E090F}" type="presOf" srcId="{D4B7DBFE-BDA4-4F82-AF74-C0E19CE459B5}" destId="{426726A5-FF95-4BC2-80DC-B31E0CEECFB4}" srcOrd="0" destOrd="0" presId="urn:microsoft.com/office/officeart/2005/8/layout/chevron2"/>
    <dgm:cxn modelId="{3835B5BE-46E9-4C69-A72A-65EF1216B73D}" type="presOf" srcId="{B5040F94-B485-462C-887C-99DE3248A147}" destId="{74C15F4E-F3F5-4057-B32E-062AF6190E4C}" srcOrd="0" destOrd="0" presId="urn:microsoft.com/office/officeart/2005/8/layout/chevron2"/>
    <dgm:cxn modelId="{6FC13BC7-8FBB-432B-9431-0DAF76707906}" type="presOf" srcId="{4A42D425-1A7A-4617-A354-B6CB62022EA6}" destId="{473FCF06-01E9-4908-B372-A53A687D11B0}" srcOrd="0" destOrd="0" presId="urn:microsoft.com/office/officeart/2005/8/layout/chevron2"/>
    <dgm:cxn modelId="{55F98BD9-23E7-4369-920F-18A6229A52AA}" srcId="{B5040F94-B485-462C-887C-99DE3248A147}" destId="{84CAE1B0-E561-4E80-9595-F6954CE02CB4}" srcOrd="0" destOrd="0" parTransId="{ED86A8FA-9112-44C8-A9D3-1730F52C1E20}" sibTransId="{B1FACAA2-725F-458D-9702-6AC743549924}"/>
    <dgm:cxn modelId="{A7D7C1D9-3D6B-4944-9549-4F4629C9C936}" srcId="{7B0A35B6-E133-4A0D-9E19-30CE7688D67D}" destId="{F926E193-C876-4E12-9CED-C8C23BBA4997}" srcOrd="3" destOrd="0" parTransId="{86EC7F22-104D-486D-8225-6841C57D7889}" sibTransId="{2C2921DE-D6A4-4273-A295-F05D8FF4D703}"/>
    <dgm:cxn modelId="{5470E1F0-07A4-4C2C-89E6-ACD79EA44E39}" srcId="{F425D275-1FAA-4BCF-8CD6-8CF9FD49831F}" destId="{20F22B3D-73C5-41BD-827E-DAFAC1AB7224}" srcOrd="0" destOrd="0" parTransId="{63F2BC6F-9F26-4DF7-A1BC-7CB2F8AB1E6C}" sibTransId="{22F25878-4486-46D2-B6D4-105858073CC9}"/>
    <dgm:cxn modelId="{155A2D5B-8BB5-40E9-A6F8-A733504245D7}" type="presParOf" srcId="{BD853109-4D85-4000-BED4-EEC24D750ED4}" destId="{53116820-6FB7-4136-B895-DF61CF714062}" srcOrd="0" destOrd="0" presId="urn:microsoft.com/office/officeart/2005/8/layout/chevron2"/>
    <dgm:cxn modelId="{D7815CF4-A240-4868-90D4-8D30F902DF43}" type="presParOf" srcId="{53116820-6FB7-4136-B895-DF61CF714062}" destId="{EBC1B2A5-6837-42E3-BE1A-39701BB31141}" srcOrd="0" destOrd="0" presId="urn:microsoft.com/office/officeart/2005/8/layout/chevron2"/>
    <dgm:cxn modelId="{1A9A1CCF-E3F2-4AC1-AC42-D8586ADC82E4}" type="presParOf" srcId="{53116820-6FB7-4136-B895-DF61CF714062}" destId="{426726A5-FF95-4BC2-80DC-B31E0CEECFB4}" srcOrd="1" destOrd="0" presId="urn:microsoft.com/office/officeart/2005/8/layout/chevron2"/>
    <dgm:cxn modelId="{82A66A1C-13A2-4379-99ED-B5274A9621CA}" type="presParOf" srcId="{BD853109-4D85-4000-BED4-EEC24D750ED4}" destId="{397364F0-2115-4DAF-A1DD-3AA316F2B21B}" srcOrd="1" destOrd="0" presId="urn:microsoft.com/office/officeart/2005/8/layout/chevron2"/>
    <dgm:cxn modelId="{6574A88C-D7A9-46BC-B767-9E346101FED0}" type="presParOf" srcId="{BD853109-4D85-4000-BED4-EEC24D750ED4}" destId="{A8F27D9A-DFEF-47F3-BD84-A1C90A3428CB}" srcOrd="2" destOrd="0" presId="urn:microsoft.com/office/officeart/2005/8/layout/chevron2"/>
    <dgm:cxn modelId="{EB9C54FD-D286-495D-BDFF-0F81EC41DBCF}" type="presParOf" srcId="{A8F27D9A-DFEF-47F3-BD84-A1C90A3428CB}" destId="{74C15F4E-F3F5-4057-B32E-062AF6190E4C}" srcOrd="0" destOrd="0" presId="urn:microsoft.com/office/officeart/2005/8/layout/chevron2"/>
    <dgm:cxn modelId="{CDD4F39A-AFEF-453B-A248-FD161E3C7E56}" type="presParOf" srcId="{A8F27D9A-DFEF-47F3-BD84-A1C90A3428CB}" destId="{01B6FE3D-441F-45A6-9F5C-F0F8C3FCC888}" srcOrd="1" destOrd="0" presId="urn:microsoft.com/office/officeart/2005/8/layout/chevron2"/>
    <dgm:cxn modelId="{DF0A4F64-B964-4CC6-A431-726C53336B35}" type="presParOf" srcId="{BD853109-4D85-4000-BED4-EEC24D750ED4}" destId="{3C6150FA-FCCE-43CC-9831-58FA1ABDE4B8}" srcOrd="3" destOrd="0" presId="urn:microsoft.com/office/officeart/2005/8/layout/chevron2"/>
    <dgm:cxn modelId="{A9664180-06F7-4E90-81F1-0988172CBC99}" type="presParOf" srcId="{BD853109-4D85-4000-BED4-EEC24D750ED4}" destId="{F8224974-D328-4C8E-A744-41CC3B204F93}" srcOrd="4" destOrd="0" presId="urn:microsoft.com/office/officeart/2005/8/layout/chevron2"/>
    <dgm:cxn modelId="{137AFD3D-C5E6-4F09-8897-F33B0BD53784}" type="presParOf" srcId="{F8224974-D328-4C8E-A744-41CC3B204F93}" destId="{FAE15DBF-EBB1-407C-961C-3259CCF7D072}" srcOrd="0" destOrd="0" presId="urn:microsoft.com/office/officeart/2005/8/layout/chevron2"/>
    <dgm:cxn modelId="{56DA06F3-B161-48EA-BF4A-FCEACF693B2B}" type="presParOf" srcId="{F8224974-D328-4C8E-A744-41CC3B204F93}" destId="{CD1271A6-EAF9-4D0E-8BC0-F5022BEE84D5}" srcOrd="1" destOrd="0" presId="urn:microsoft.com/office/officeart/2005/8/layout/chevron2"/>
    <dgm:cxn modelId="{38101FE7-7B4A-404C-87D4-46D1AFF8031B}" type="presParOf" srcId="{BD853109-4D85-4000-BED4-EEC24D750ED4}" destId="{6932502D-1563-49EB-9147-0BF83C425A65}" srcOrd="5" destOrd="0" presId="urn:microsoft.com/office/officeart/2005/8/layout/chevron2"/>
    <dgm:cxn modelId="{7F2BC445-14D7-4106-A21D-5F126C2088C7}" type="presParOf" srcId="{BD853109-4D85-4000-BED4-EEC24D750ED4}" destId="{8D185033-FF48-499F-AC99-2FBB915CBC1D}" srcOrd="6" destOrd="0" presId="urn:microsoft.com/office/officeart/2005/8/layout/chevron2"/>
    <dgm:cxn modelId="{F3ABE759-3646-4B5F-A014-C71FD6433F12}" type="presParOf" srcId="{8D185033-FF48-499F-AC99-2FBB915CBC1D}" destId="{E6B43C46-4244-4DEE-BD04-212192EC5AF9}" srcOrd="0" destOrd="0" presId="urn:microsoft.com/office/officeart/2005/8/layout/chevron2"/>
    <dgm:cxn modelId="{1EF49F14-5857-4C1A-A6FB-81C8F7322CAC}" type="presParOf" srcId="{8D185033-FF48-499F-AC99-2FBB915CBC1D}" destId="{473FCF06-01E9-4908-B372-A53A687D11B0}" srcOrd="1" destOrd="0" presId="urn:microsoft.com/office/officeart/2005/8/layout/chevron2"/>
    <dgm:cxn modelId="{08CAF25D-2BD3-444D-8662-67A4EE88CCAA}" type="presParOf" srcId="{BD853109-4D85-4000-BED4-EEC24D750ED4}" destId="{3499CFAF-41FE-4723-8E28-45274A2E22A8}" srcOrd="7" destOrd="0" presId="urn:microsoft.com/office/officeart/2005/8/layout/chevron2"/>
    <dgm:cxn modelId="{BB923557-02F5-4A82-B23A-03B9575C717E}" type="presParOf" srcId="{BD853109-4D85-4000-BED4-EEC24D750ED4}" destId="{0D720A85-4719-4BAE-9D9B-EA50DFC7B6A4}" srcOrd="8" destOrd="0" presId="urn:microsoft.com/office/officeart/2005/8/layout/chevron2"/>
    <dgm:cxn modelId="{8D284282-1963-4EDB-A3D7-C9883AE9E173}" type="presParOf" srcId="{0D720A85-4719-4BAE-9D9B-EA50DFC7B6A4}" destId="{0B108BB5-124A-4FCD-8337-9D0D6389A3FD}" srcOrd="0" destOrd="0" presId="urn:microsoft.com/office/officeart/2005/8/layout/chevron2"/>
    <dgm:cxn modelId="{E860BFEF-ABFB-4DC5-9A53-A295284D162B}" type="presParOf" srcId="{0D720A85-4719-4BAE-9D9B-EA50DFC7B6A4}" destId="{CA813DB1-38EB-4956-93E3-551B98C3E03A}" srcOrd="1" destOrd="0" presId="urn:microsoft.com/office/officeart/2005/8/layout/chevron2"/>
  </dgm:cxnLst>
  <dgm:bg/>
  <dgm:whole/>
  <dgm:extLst>
    <a:ext uri="http://schemas.microsoft.com/office/drawing/2008/diagram">
      <dsp:dataModelExt xmlns:dsp="http://schemas.microsoft.com/office/drawing/2008/diagram" relId="rId7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BC1B2A5-6837-42E3-BE1A-39701BB31141}">
      <dsp:nvSpPr>
        <dsp:cNvPr id="0" name=""/>
        <dsp:cNvSpPr/>
      </dsp:nvSpPr>
      <dsp:spPr>
        <a:xfrm rot="5400000">
          <a:off x="-100317" y="101323"/>
          <a:ext cx="668780" cy="46814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AU" sz="1000" kern="1200">
              <a:latin typeface="Arial" panose="020B0604020202020204" pitchFamily="34" charset="0"/>
              <a:cs typeface="Arial" panose="020B0604020202020204" pitchFamily="34" charset="0"/>
            </a:rPr>
            <a:t>1</a:t>
          </a:r>
        </a:p>
      </dsp:txBody>
      <dsp:txXfrm rot="-5400000">
        <a:off x="0" y="235079"/>
        <a:ext cx="468146" cy="200634"/>
      </dsp:txXfrm>
    </dsp:sp>
    <dsp:sp modelId="{426726A5-FF95-4BC2-80DC-B31E0CEECFB4}">
      <dsp:nvSpPr>
        <dsp:cNvPr id="0" name=""/>
        <dsp:cNvSpPr/>
      </dsp:nvSpPr>
      <dsp:spPr>
        <a:xfrm rot="5400000">
          <a:off x="2452262" y="-1983108"/>
          <a:ext cx="434707" cy="4402938"/>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en-AU" sz="1000" kern="1200">
              <a:latin typeface="Arial" panose="020B0604020202020204" pitchFamily="34" charset="0"/>
              <a:cs typeface="Arial" panose="020B0604020202020204" pitchFamily="34" charset="0"/>
            </a:rPr>
            <a:t>Proposal to re-allocate spectrum</a:t>
          </a:r>
        </a:p>
      </dsp:txBody>
      <dsp:txXfrm rot="-5400000">
        <a:off x="468147" y="22228"/>
        <a:ext cx="4381717" cy="392265"/>
      </dsp:txXfrm>
    </dsp:sp>
    <dsp:sp modelId="{74C15F4E-F3F5-4057-B32E-062AF6190E4C}">
      <dsp:nvSpPr>
        <dsp:cNvPr id="0" name=""/>
        <dsp:cNvSpPr/>
      </dsp:nvSpPr>
      <dsp:spPr>
        <a:xfrm rot="5400000">
          <a:off x="-100317" y="644031"/>
          <a:ext cx="668780" cy="46814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AU" sz="1000" kern="1200">
              <a:latin typeface="Arial" panose="020B0604020202020204" pitchFamily="34" charset="0"/>
              <a:cs typeface="Arial" panose="020B0604020202020204" pitchFamily="34" charset="0"/>
            </a:rPr>
            <a:t>2</a:t>
          </a:r>
        </a:p>
      </dsp:txBody>
      <dsp:txXfrm rot="-5400000">
        <a:off x="0" y="777787"/>
        <a:ext cx="468146" cy="200634"/>
      </dsp:txXfrm>
    </dsp:sp>
    <dsp:sp modelId="{01B6FE3D-441F-45A6-9F5C-F0F8C3FCC888}">
      <dsp:nvSpPr>
        <dsp:cNvPr id="0" name=""/>
        <dsp:cNvSpPr/>
      </dsp:nvSpPr>
      <dsp:spPr>
        <a:xfrm rot="5400000">
          <a:off x="2452262" y="-1440401"/>
          <a:ext cx="434707" cy="4402938"/>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en-AU" sz="1000" kern="1200">
              <a:latin typeface="Arial" panose="020B0604020202020204" pitchFamily="34" charset="0"/>
              <a:cs typeface="Arial" panose="020B0604020202020204" pitchFamily="34" charset="0"/>
            </a:rPr>
            <a:t>Re-allocation declaration</a:t>
          </a:r>
        </a:p>
      </dsp:txBody>
      <dsp:txXfrm rot="-5400000">
        <a:off x="468147" y="564935"/>
        <a:ext cx="4381717" cy="392265"/>
      </dsp:txXfrm>
    </dsp:sp>
    <dsp:sp modelId="{FAE15DBF-EBB1-407C-961C-3259CCF7D072}">
      <dsp:nvSpPr>
        <dsp:cNvPr id="0" name=""/>
        <dsp:cNvSpPr/>
      </dsp:nvSpPr>
      <dsp:spPr>
        <a:xfrm rot="5400000">
          <a:off x="-100317" y="1186739"/>
          <a:ext cx="668780" cy="46814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AU" sz="1000" kern="1200">
              <a:latin typeface="Arial" panose="020B0604020202020204" pitchFamily="34" charset="0"/>
              <a:cs typeface="Arial" panose="020B0604020202020204" pitchFamily="34" charset="0"/>
            </a:rPr>
            <a:t>3</a:t>
          </a:r>
        </a:p>
      </dsp:txBody>
      <dsp:txXfrm rot="-5400000">
        <a:off x="0" y="1320495"/>
        <a:ext cx="468146" cy="200634"/>
      </dsp:txXfrm>
    </dsp:sp>
    <dsp:sp modelId="{CD1271A6-EAF9-4D0E-8BC0-F5022BEE84D5}">
      <dsp:nvSpPr>
        <dsp:cNvPr id="0" name=""/>
        <dsp:cNvSpPr/>
      </dsp:nvSpPr>
      <dsp:spPr>
        <a:xfrm rot="5400000">
          <a:off x="2452262" y="-897693"/>
          <a:ext cx="434707" cy="4402938"/>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en-AU" sz="1000" kern="1200">
              <a:latin typeface="Arial" panose="020B0604020202020204" pitchFamily="34" charset="0"/>
              <a:cs typeface="Arial" panose="020B0604020202020204" pitchFamily="34" charset="0"/>
            </a:rPr>
            <a:t>Draft allocation instruments</a:t>
          </a:r>
        </a:p>
      </dsp:txBody>
      <dsp:txXfrm rot="-5400000">
        <a:off x="468147" y="1107643"/>
        <a:ext cx="4381717" cy="392265"/>
      </dsp:txXfrm>
    </dsp:sp>
    <dsp:sp modelId="{E6B43C46-4244-4DEE-BD04-212192EC5AF9}">
      <dsp:nvSpPr>
        <dsp:cNvPr id="0" name=""/>
        <dsp:cNvSpPr/>
      </dsp:nvSpPr>
      <dsp:spPr>
        <a:xfrm rot="5400000">
          <a:off x="-100317" y="1729446"/>
          <a:ext cx="668780" cy="46814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AU" sz="1000" kern="1200">
              <a:latin typeface="Arial" panose="020B0604020202020204" pitchFamily="34" charset="0"/>
              <a:cs typeface="Arial" panose="020B0604020202020204" pitchFamily="34" charset="0"/>
            </a:rPr>
            <a:t>4</a:t>
          </a:r>
        </a:p>
      </dsp:txBody>
      <dsp:txXfrm rot="-5400000">
        <a:off x="0" y="1863202"/>
        <a:ext cx="468146" cy="200634"/>
      </dsp:txXfrm>
    </dsp:sp>
    <dsp:sp modelId="{473FCF06-01E9-4908-B372-A53A687D11B0}">
      <dsp:nvSpPr>
        <dsp:cNvPr id="0" name=""/>
        <dsp:cNvSpPr/>
      </dsp:nvSpPr>
      <dsp:spPr>
        <a:xfrm rot="5400000">
          <a:off x="2452262" y="-354985"/>
          <a:ext cx="434707" cy="4402938"/>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en-AU" sz="1000" kern="1200">
              <a:latin typeface="Arial" panose="020B0604020202020204" pitchFamily="34" charset="0"/>
              <a:cs typeface="Arial" panose="020B0604020202020204" pitchFamily="34" charset="0"/>
            </a:rPr>
            <a:t>Final allocation instruments</a:t>
          </a:r>
        </a:p>
      </dsp:txBody>
      <dsp:txXfrm rot="-5400000">
        <a:off x="468147" y="1650351"/>
        <a:ext cx="4381717" cy="392265"/>
      </dsp:txXfrm>
    </dsp:sp>
    <dsp:sp modelId="{0B108BB5-124A-4FCD-8337-9D0D6389A3FD}">
      <dsp:nvSpPr>
        <dsp:cNvPr id="0" name=""/>
        <dsp:cNvSpPr/>
      </dsp:nvSpPr>
      <dsp:spPr>
        <a:xfrm rot="5400000">
          <a:off x="-100317" y="2272154"/>
          <a:ext cx="668780" cy="46814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AU" sz="1000" kern="1200">
              <a:latin typeface="Arial" panose="020B0604020202020204" pitchFamily="34" charset="0"/>
              <a:cs typeface="Arial" panose="020B0604020202020204" pitchFamily="34" charset="0"/>
            </a:rPr>
            <a:t>5</a:t>
          </a:r>
        </a:p>
      </dsp:txBody>
      <dsp:txXfrm rot="-5400000">
        <a:off x="0" y="2405910"/>
        <a:ext cx="468146" cy="200634"/>
      </dsp:txXfrm>
    </dsp:sp>
    <dsp:sp modelId="{CA813DB1-38EB-4956-93E3-551B98C3E03A}">
      <dsp:nvSpPr>
        <dsp:cNvPr id="0" name=""/>
        <dsp:cNvSpPr/>
      </dsp:nvSpPr>
      <dsp:spPr>
        <a:xfrm rot="5400000">
          <a:off x="2452262" y="187722"/>
          <a:ext cx="434707" cy="4402938"/>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en-AU" sz="1000" kern="1200">
              <a:latin typeface="Arial" panose="020B0604020202020204" pitchFamily="34" charset="0"/>
              <a:cs typeface="Arial" panose="020B0604020202020204" pitchFamily="34" charset="0"/>
            </a:rPr>
            <a:t>Allocation</a:t>
          </a:r>
        </a:p>
      </dsp:txBody>
      <dsp:txXfrm rot="-5400000">
        <a:off x="468147" y="2193059"/>
        <a:ext cx="4381717" cy="392265"/>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7F8262-1C21-46BC-9DE5-9254E2ABE8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10564</Words>
  <Characters>60221</Characters>
  <Application>Microsoft Office Word</Application>
  <DocSecurity>0</DocSecurity>
  <Lines>501</Lines>
  <Paragraphs>141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70644</CharactersWithSpaces>
  <SharedDoc>false</SharedDoc>
  <HyperlinkBase/>
  <HLinks>
    <vt:vector size="252" baseType="variant">
      <vt:variant>
        <vt:i4>4718676</vt:i4>
      </vt:variant>
      <vt:variant>
        <vt:i4>165</vt:i4>
      </vt:variant>
      <vt:variant>
        <vt:i4>0</vt:i4>
      </vt:variant>
      <vt:variant>
        <vt:i4>5</vt:i4>
      </vt:variant>
      <vt:variant>
        <vt:lpwstr>https://www.acma.gov.au/consultations/2022-03/proposed-spectrum-re-allocation-declaration-34-ghz-and-37-ghz-bands-ifc-102022</vt:lpwstr>
      </vt:variant>
      <vt:variant>
        <vt:lpwstr/>
      </vt:variant>
      <vt:variant>
        <vt:i4>4718676</vt:i4>
      </vt:variant>
      <vt:variant>
        <vt:i4>162</vt:i4>
      </vt:variant>
      <vt:variant>
        <vt:i4>0</vt:i4>
      </vt:variant>
      <vt:variant>
        <vt:i4>5</vt:i4>
      </vt:variant>
      <vt:variant>
        <vt:lpwstr>https://www.acma.gov.au/consultations/2022-03/proposed-spectrum-re-allocation-declaration-34-ghz-and-37-ghz-bands-ifc-102022</vt:lpwstr>
      </vt:variant>
      <vt:variant>
        <vt:lpwstr/>
      </vt:variant>
      <vt:variant>
        <vt:i4>2687022</vt:i4>
      </vt:variant>
      <vt:variant>
        <vt:i4>159</vt:i4>
      </vt:variant>
      <vt:variant>
        <vt:i4>0</vt:i4>
      </vt:variant>
      <vt:variant>
        <vt:i4>5</vt:i4>
      </vt:variant>
      <vt:variant>
        <vt:lpwstr>https://www.legislation.gov.au/</vt:lpwstr>
      </vt:variant>
      <vt:variant>
        <vt:lpwstr/>
      </vt:variant>
      <vt:variant>
        <vt:i4>393244</vt:i4>
      </vt:variant>
      <vt:variant>
        <vt:i4>156</vt:i4>
      </vt:variant>
      <vt:variant>
        <vt:i4>0</vt:i4>
      </vt:variant>
      <vt:variant>
        <vt:i4>5</vt:i4>
      </vt:variant>
      <vt:variant>
        <vt:lpwstr>https://www.legislation.gov.au/Series/C2020A00151</vt:lpwstr>
      </vt:variant>
      <vt:variant>
        <vt:lpwstr/>
      </vt:variant>
      <vt:variant>
        <vt:i4>196698</vt:i4>
      </vt:variant>
      <vt:variant>
        <vt:i4>153</vt:i4>
      </vt:variant>
      <vt:variant>
        <vt:i4>0</vt:i4>
      </vt:variant>
      <vt:variant>
        <vt:i4>5</vt:i4>
      </vt:variant>
      <vt:variant>
        <vt:lpwstr>https://www.acma.gov.au/consultations/2022-02/allocation-awls-34-40-ghz-band-remote-australia-ifc-112022</vt:lpwstr>
      </vt:variant>
      <vt:variant>
        <vt:lpwstr/>
      </vt:variant>
      <vt:variant>
        <vt:i4>131151</vt:i4>
      </vt:variant>
      <vt:variant>
        <vt:i4>150</vt:i4>
      </vt:variant>
      <vt:variant>
        <vt:i4>0</vt:i4>
      </vt:variant>
      <vt:variant>
        <vt:i4>5</vt:i4>
      </vt:variant>
      <vt:variant>
        <vt:lpwstr>https://www.acma.gov.au/consultations/2021-08/planning-wireless-broadband-use-urban-areas-3400-3475-mhz-band-consultation-312021</vt:lpwstr>
      </vt:variant>
      <vt:variant>
        <vt:lpwstr/>
      </vt:variant>
      <vt:variant>
        <vt:i4>7864375</vt:i4>
      </vt:variant>
      <vt:variant>
        <vt:i4>147</vt:i4>
      </vt:variant>
      <vt:variant>
        <vt:i4>0</vt:i4>
      </vt:variant>
      <vt:variant>
        <vt:i4>5</vt:i4>
      </vt:variant>
      <vt:variant>
        <vt:lpwstr>https://www.acma.gov.au/consultations/2019-08/optimising-3400-3575-mhz-band-consultation-122019</vt:lpwstr>
      </vt:variant>
      <vt:variant>
        <vt:lpwstr/>
      </vt:variant>
      <vt:variant>
        <vt:i4>6422632</vt:i4>
      </vt:variant>
      <vt:variant>
        <vt:i4>144</vt:i4>
      </vt:variant>
      <vt:variant>
        <vt:i4>0</vt:i4>
      </vt:variant>
      <vt:variant>
        <vt:i4>5</vt:i4>
      </vt:variant>
      <vt:variant>
        <vt:lpwstr>https://gsacom.com/</vt:lpwstr>
      </vt:variant>
      <vt:variant>
        <vt:lpwstr/>
      </vt:variant>
      <vt:variant>
        <vt:i4>7602221</vt:i4>
      </vt:variant>
      <vt:variant>
        <vt:i4>141</vt:i4>
      </vt:variant>
      <vt:variant>
        <vt:i4>0</vt:i4>
      </vt:variant>
      <vt:variant>
        <vt:i4>5</vt:i4>
      </vt:variant>
      <vt:variant>
        <vt:lpwstr>https://www.legislation.gov.au/Details/F2022C00281</vt:lpwstr>
      </vt:variant>
      <vt:variant>
        <vt:lpwstr/>
      </vt:variant>
      <vt:variant>
        <vt:i4>4718676</vt:i4>
      </vt:variant>
      <vt:variant>
        <vt:i4>138</vt:i4>
      </vt:variant>
      <vt:variant>
        <vt:i4>0</vt:i4>
      </vt:variant>
      <vt:variant>
        <vt:i4>5</vt:i4>
      </vt:variant>
      <vt:variant>
        <vt:lpwstr>https://www.acma.gov.au/consultations/2022-03/proposed-spectrum-re-allocation-declaration-34-ghz-and-37-ghz-bands-ifc-102022</vt:lpwstr>
      </vt:variant>
      <vt:variant>
        <vt:lpwstr/>
      </vt:variant>
      <vt:variant>
        <vt:i4>196698</vt:i4>
      </vt:variant>
      <vt:variant>
        <vt:i4>135</vt:i4>
      </vt:variant>
      <vt:variant>
        <vt:i4>0</vt:i4>
      </vt:variant>
      <vt:variant>
        <vt:i4>5</vt:i4>
      </vt:variant>
      <vt:variant>
        <vt:lpwstr>https://www.acma.gov.au/consultations/2022-02/allocation-awls-34-40-ghz-band-remote-australia-ifc-112022</vt:lpwstr>
      </vt:variant>
      <vt:variant>
        <vt:lpwstr/>
      </vt:variant>
      <vt:variant>
        <vt:i4>3473493</vt:i4>
      </vt:variant>
      <vt:variant>
        <vt:i4>132</vt:i4>
      </vt:variant>
      <vt:variant>
        <vt:i4>0</vt:i4>
      </vt:variant>
      <vt:variant>
        <vt:i4>5</vt:i4>
      </vt:variant>
      <vt:variant>
        <vt:lpwstr>https://acmagovau-my.sharepoint.com/personal/david_goggin_acma_gov_au/Documents/Downloads/Planning for wireless broadband in urban areas in 3400-3475 MHz - outcomes paper (4).docx</vt:lpwstr>
      </vt:variant>
      <vt:variant>
        <vt:lpwstr>_Appendix_C:_List</vt:lpwstr>
      </vt:variant>
      <vt:variant>
        <vt:i4>4718676</vt:i4>
      </vt:variant>
      <vt:variant>
        <vt:i4>129</vt:i4>
      </vt:variant>
      <vt:variant>
        <vt:i4>0</vt:i4>
      </vt:variant>
      <vt:variant>
        <vt:i4>5</vt:i4>
      </vt:variant>
      <vt:variant>
        <vt:lpwstr>https://www.acma.gov.au/consultations/2022-03/proposed-spectrum-re-allocation-declaration-34-ghz-and-37-ghz-bands-ifc-102022</vt:lpwstr>
      </vt:variant>
      <vt:variant>
        <vt:lpwstr/>
      </vt:variant>
      <vt:variant>
        <vt:i4>851994</vt:i4>
      </vt:variant>
      <vt:variant>
        <vt:i4>126</vt:i4>
      </vt:variant>
      <vt:variant>
        <vt:i4>0</vt:i4>
      </vt:variant>
      <vt:variant>
        <vt:i4>5</vt:i4>
      </vt:variant>
      <vt:variant>
        <vt:lpwstr>https://www.legislation.gov.au/Series/F2022N00015</vt:lpwstr>
      </vt:variant>
      <vt:variant>
        <vt:lpwstr/>
      </vt:variant>
      <vt:variant>
        <vt:i4>4718676</vt:i4>
      </vt:variant>
      <vt:variant>
        <vt:i4>123</vt:i4>
      </vt:variant>
      <vt:variant>
        <vt:i4>0</vt:i4>
      </vt:variant>
      <vt:variant>
        <vt:i4>5</vt:i4>
      </vt:variant>
      <vt:variant>
        <vt:lpwstr>https://www.acma.gov.au/consultations/2022-03/proposed-spectrum-re-allocation-declaration-34-ghz-and-37-ghz-bands-ifc-102022</vt:lpwstr>
      </vt:variant>
      <vt:variant>
        <vt:lpwstr/>
      </vt:variant>
      <vt:variant>
        <vt:i4>4718676</vt:i4>
      </vt:variant>
      <vt:variant>
        <vt:i4>120</vt:i4>
      </vt:variant>
      <vt:variant>
        <vt:i4>0</vt:i4>
      </vt:variant>
      <vt:variant>
        <vt:i4>5</vt:i4>
      </vt:variant>
      <vt:variant>
        <vt:lpwstr>https://www.acma.gov.au/consultations/2022-03/proposed-spectrum-re-allocation-declaration-34-ghz-and-37-ghz-bands-ifc-102022</vt:lpwstr>
      </vt:variant>
      <vt:variant>
        <vt:lpwstr/>
      </vt:variant>
      <vt:variant>
        <vt:i4>851994</vt:i4>
      </vt:variant>
      <vt:variant>
        <vt:i4>117</vt:i4>
      </vt:variant>
      <vt:variant>
        <vt:i4>0</vt:i4>
      </vt:variant>
      <vt:variant>
        <vt:i4>5</vt:i4>
      </vt:variant>
      <vt:variant>
        <vt:lpwstr>https://www.legislation.gov.au/Series/F2022N00015</vt:lpwstr>
      </vt:variant>
      <vt:variant>
        <vt:lpwstr/>
      </vt:variant>
      <vt:variant>
        <vt:i4>196637</vt:i4>
      </vt:variant>
      <vt:variant>
        <vt:i4>114</vt:i4>
      </vt:variant>
      <vt:variant>
        <vt:i4>0</vt:i4>
      </vt:variant>
      <vt:variant>
        <vt:i4>5</vt:i4>
      </vt:variant>
      <vt:variant>
        <vt:lpwstr>https://www.legislation.gov.au/Series/C2004A04465</vt:lpwstr>
      </vt:variant>
      <vt:variant>
        <vt:lpwstr/>
      </vt:variant>
      <vt:variant>
        <vt:i4>4718676</vt:i4>
      </vt:variant>
      <vt:variant>
        <vt:i4>111</vt:i4>
      </vt:variant>
      <vt:variant>
        <vt:i4>0</vt:i4>
      </vt:variant>
      <vt:variant>
        <vt:i4>5</vt:i4>
      </vt:variant>
      <vt:variant>
        <vt:lpwstr>https://www.acma.gov.au/consultations/2022-03/proposed-spectrum-re-allocation-declaration-34-ghz-and-37-ghz-bands-ifc-102022</vt:lpwstr>
      </vt:variant>
      <vt:variant>
        <vt:lpwstr/>
      </vt:variant>
      <vt:variant>
        <vt:i4>1179703</vt:i4>
      </vt:variant>
      <vt:variant>
        <vt:i4>104</vt:i4>
      </vt:variant>
      <vt:variant>
        <vt:i4>0</vt:i4>
      </vt:variant>
      <vt:variant>
        <vt:i4>5</vt:i4>
      </vt:variant>
      <vt:variant>
        <vt:lpwstr/>
      </vt:variant>
      <vt:variant>
        <vt:lpwstr>_Toc107307111</vt:lpwstr>
      </vt:variant>
      <vt:variant>
        <vt:i4>1179703</vt:i4>
      </vt:variant>
      <vt:variant>
        <vt:i4>98</vt:i4>
      </vt:variant>
      <vt:variant>
        <vt:i4>0</vt:i4>
      </vt:variant>
      <vt:variant>
        <vt:i4>5</vt:i4>
      </vt:variant>
      <vt:variant>
        <vt:lpwstr/>
      </vt:variant>
      <vt:variant>
        <vt:lpwstr>_Toc107307110</vt:lpwstr>
      </vt:variant>
      <vt:variant>
        <vt:i4>1245239</vt:i4>
      </vt:variant>
      <vt:variant>
        <vt:i4>92</vt:i4>
      </vt:variant>
      <vt:variant>
        <vt:i4>0</vt:i4>
      </vt:variant>
      <vt:variant>
        <vt:i4>5</vt:i4>
      </vt:variant>
      <vt:variant>
        <vt:lpwstr/>
      </vt:variant>
      <vt:variant>
        <vt:lpwstr>_Toc107307109</vt:lpwstr>
      </vt:variant>
      <vt:variant>
        <vt:i4>1245239</vt:i4>
      </vt:variant>
      <vt:variant>
        <vt:i4>86</vt:i4>
      </vt:variant>
      <vt:variant>
        <vt:i4>0</vt:i4>
      </vt:variant>
      <vt:variant>
        <vt:i4>5</vt:i4>
      </vt:variant>
      <vt:variant>
        <vt:lpwstr/>
      </vt:variant>
      <vt:variant>
        <vt:lpwstr>_Toc107307108</vt:lpwstr>
      </vt:variant>
      <vt:variant>
        <vt:i4>1245239</vt:i4>
      </vt:variant>
      <vt:variant>
        <vt:i4>80</vt:i4>
      </vt:variant>
      <vt:variant>
        <vt:i4>0</vt:i4>
      </vt:variant>
      <vt:variant>
        <vt:i4>5</vt:i4>
      </vt:variant>
      <vt:variant>
        <vt:lpwstr/>
      </vt:variant>
      <vt:variant>
        <vt:lpwstr>_Toc107307107</vt:lpwstr>
      </vt:variant>
      <vt:variant>
        <vt:i4>1245239</vt:i4>
      </vt:variant>
      <vt:variant>
        <vt:i4>74</vt:i4>
      </vt:variant>
      <vt:variant>
        <vt:i4>0</vt:i4>
      </vt:variant>
      <vt:variant>
        <vt:i4>5</vt:i4>
      </vt:variant>
      <vt:variant>
        <vt:lpwstr/>
      </vt:variant>
      <vt:variant>
        <vt:lpwstr>_Toc107307106</vt:lpwstr>
      </vt:variant>
      <vt:variant>
        <vt:i4>1245239</vt:i4>
      </vt:variant>
      <vt:variant>
        <vt:i4>68</vt:i4>
      </vt:variant>
      <vt:variant>
        <vt:i4>0</vt:i4>
      </vt:variant>
      <vt:variant>
        <vt:i4>5</vt:i4>
      </vt:variant>
      <vt:variant>
        <vt:lpwstr/>
      </vt:variant>
      <vt:variant>
        <vt:lpwstr>_Toc107307105</vt:lpwstr>
      </vt:variant>
      <vt:variant>
        <vt:i4>1245239</vt:i4>
      </vt:variant>
      <vt:variant>
        <vt:i4>62</vt:i4>
      </vt:variant>
      <vt:variant>
        <vt:i4>0</vt:i4>
      </vt:variant>
      <vt:variant>
        <vt:i4>5</vt:i4>
      </vt:variant>
      <vt:variant>
        <vt:lpwstr/>
      </vt:variant>
      <vt:variant>
        <vt:lpwstr>_Toc107307104</vt:lpwstr>
      </vt:variant>
      <vt:variant>
        <vt:i4>1245239</vt:i4>
      </vt:variant>
      <vt:variant>
        <vt:i4>56</vt:i4>
      </vt:variant>
      <vt:variant>
        <vt:i4>0</vt:i4>
      </vt:variant>
      <vt:variant>
        <vt:i4>5</vt:i4>
      </vt:variant>
      <vt:variant>
        <vt:lpwstr/>
      </vt:variant>
      <vt:variant>
        <vt:lpwstr>_Toc107307103</vt:lpwstr>
      </vt:variant>
      <vt:variant>
        <vt:i4>1245239</vt:i4>
      </vt:variant>
      <vt:variant>
        <vt:i4>50</vt:i4>
      </vt:variant>
      <vt:variant>
        <vt:i4>0</vt:i4>
      </vt:variant>
      <vt:variant>
        <vt:i4>5</vt:i4>
      </vt:variant>
      <vt:variant>
        <vt:lpwstr/>
      </vt:variant>
      <vt:variant>
        <vt:lpwstr>_Toc107307102</vt:lpwstr>
      </vt:variant>
      <vt:variant>
        <vt:i4>1245239</vt:i4>
      </vt:variant>
      <vt:variant>
        <vt:i4>44</vt:i4>
      </vt:variant>
      <vt:variant>
        <vt:i4>0</vt:i4>
      </vt:variant>
      <vt:variant>
        <vt:i4>5</vt:i4>
      </vt:variant>
      <vt:variant>
        <vt:lpwstr/>
      </vt:variant>
      <vt:variant>
        <vt:lpwstr>_Toc107307101</vt:lpwstr>
      </vt:variant>
      <vt:variant>
        <vt:i4>1245239</vt:i4>
      </vt:variant>
      <vt:variant>
        <vt:i4>38</vt:i4>
      </vt:variant>
      <vt:variant>
        <vt:i4>0</vt:i4>
      </vt:variant>
      <vt:variant>
        <vt:i4>5</vt:i4>
      </vt:variant>
      <vt:variant>
        <vt:lpwstr/>
      </vt:variant>
      <vt:variant>
        <vt:lpwstr>_Toc107307100</vt:lpwstr>
      </vt:variant>
      <vt:variant>
        <vt:i4>1703990</vt:i4>
      </vt:variant>
      <vt:variant>
        <vt:i4>32</vt:i4>
      </vt:variant>
      <vt:variant>
        <vt:i4>0</vt:i4>
      </vt:variant>
      <vt:variant>
        <vt:i4>5</vt:i4>
      </vt:variant>
      <vt:variant>
        <vt:lpwstr/>
      </vt:variant>
      <vt:variant>
        <vt:lpwstr>_Toc107307099</vt:lpwstr>
      </vt:variant>
      <vt:variant>
        <vt:i4>1703990</vt:i4>
      </vt:variant>
      <vt:variant>
        <vt:i4>26</vt:i4>
      </vt:variant>
      <vt:variant>
        <vt:i4>0</vt:i4>
      </vt:variant>
      <vt:variant>
        <vt:i4>5</vt:i4>
      </vt:variant>
      <vt:variant>
        <vt:lpwstr/>
      </vt:variant>
      <vt:variant>
        <vt:lpwstr>_Toc107307098</vt:lpwstr>
      </vt:variant>
      <vt:variant>
        <vt:i4>1703990</vt:i4>
      </vt:variant>
      <vt:variant>
        <vt:i4>20</vt:i4>
      </vt:variant>
      <vt:variant>
        <vt:i4>0</vt:i4>
      </vt:variant>
      <vt:variant>
        <vt:i4>5</vt:i4>
      </vt:variant>
      <vt:variant>
        <vt:lpwstr/>
      </vt:variant>
      <vt:variant>
        <vt:lpwstr>_Toc107307097</vt:lpwstr>
      </vt:variant>
      <vt:variant>
        <vt:i4>1703990</vt:i4>
      </vt:variant>
      <vt:variant>
        <vt:i4>14</vt:i4>
      </vt:variant>
      <vt:variant>
        <vt:i4>0</vt:i4>
      </vt:variant>
      <vt:variant>
        <vt:i4>5</vt:i4>
      </vt:variant>
      <vt:variant>
        <vt:lpwstr/>
      </vt:variant>
      <vt:variant>
        <vt:lpwstr>_Toc107307096</vt:lpwstr>
      </vt:variant>
      <vt:variant>
        <vt:i4>1703990</vt:i4>
      </vt:variant>
      <vt:variant>
        <vt:i4>8</vt:i4>
      </vt:variant>
      <vt:variant>
        <vt:i4>0</vt:i4>
      </vt:variant>
      <vt:variant>
        <vt:i4>5</vt:i4>
      </vt:variant>
      <vt:variant>
        <vt:lpwstr/>
      </vt:variant>
      <vt:variant>
        <vt:lpwstr>_Toc107307095</vt:lpwstr>
      </vt:variant>
      <vt:variant>
        <vt:i4>6225960</vt:i4>
      </vt:variant>
      <vt:variant>
        <vt:i4>3</vt:i4>
      </vt:variant>
      <vt:variant>
        <vt:i4>0</vt:i4>
      </vt:variant>
      <vt:variant>
        <vt:i4>5</vt:i4>
      </vt:variant>
      <vt:variant>
        <vt:lpwstr>mailto:info@acma.gov.au</vt:lpwstr>
      </vt:variant>
      <vt:variant>
        <vt:lpwstr/>
      </vt:variant>
      <vt:variant>
        <vt:i4>5308424</vt:i4>
      </vt:variant>
      <vt:variant>
        <vt:i4>0</vt:i4>
      </vt:variant>
      <vt:variant>
        <vt:i4>0</vt:i4>
      </vt:variant>
      <vt:variant>
        <vt:i4>5</vt:i4>
      </vt:variant>
      <vt:variant>
        <vt:lpwstr>https://creativecommons.org/licenses/by/4.0/</vt:lpwstr>
      </vt:variant>
      <vt:variant>
        <vt:lpwstr/>
      </vt:variant>
      <vt:variant>
        <vt:i4>327704</vt:i4>
      </vt:variant>
      <vt:variant>
        <vt:i4>6</vt:i4>
      </vt:variant>
      <vt:variant>
        <vt:i4>0</vt:i4>
      </vt:variant>
      <vt:variant>
        <vt:i4>5</vt:i4>
      </vt:variant>
      <vt:variant>
        <vt:lpwstr>https://www.legislation.gov.au/Series/C2005A00044</vt:lpwstr>
      </vt:variant>
      <vt:variant>
        <vt:lpwstr/>
      </vt:variant>
      <vt:variant>
        <vt:i4>2752626</vt:i4>
      </vt:variant>
      <vt:variant>
        <vt:i4>3</vt:i4>
      </vt:variant>
      <vt:variant>
        <vt:i4>0</vt:i4>
      </vt:variant>
      <vt:variant>
        <vt:i4>5</vt:i4>
      </vt:variant>
      <vt:variant>
        <vt:lpwstr>https://www.acma.gov.au/publications/2021-08/plan/acmas-corporate-plan-2021-22</vt:lpwstr>
      </vt:variant>
      <vt:variant>
        <vt:lpwstr/>
      </vt:variant>
      <vt:variant>
        <vt:i4>2621526</vt:i4>
      </vt:variant>
      <vt:variant>
        <vt:i4>0</vt:i4>
      </vt:variant>
      <vt:variant>
        <vt:i4>0</vt:i4>
      </vt:variant>
      <vt:variant>
        <vt:i4>5</vt:i4>
      </vt:variant>
      <vt:variant>
        <vt:lpwstr>https://acmagovau-my.sharepoint.com/personal/david_goggin_acma_gov_au/Documents/Downloads/Planning for wireless broadband in urban areas in 3400-3475 MHz - outcomes paper (4).docx</vt:lpwstr>
      </vt:variant>
      <vt:variant>
        <vt:lpwstr>_Appendix_A:_Geographical</vt:lpwstr>
      </vt:variant>
      <vt:variant>
        <vt:i4>196675</vt:i4>
      </vt:variant>
      <vt:variant>
        <vt:i4>0</vt:i4>
      </vt:variant>
      <vt:variant>
        <vt:i4>0</vt:i4>
      </vt:variant>
      <vt:variant>
        <vt:i4>5</vt:i4>
      </vt:variant>
      <vt:variant>
        <vt:lpwstr>https://www.acma.gov.au/spectrum-licence-technical-liaison-groups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2022-07-15T05:42:00Z</dcterms:created>
  <dcterms:modified xsi:type="dcterms:W3CDTF">2022-07-15T05:43:00Z</dcterms:modified>
  <cp:category/>
</cp:coreProperties>
</file>