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ADFD2" w14:textId="5B61DE48" w:rsidR="00BE459D" w:rsidRPr="003243FA" w:rsidRDefault="00B30A6C" w:rsidP="0033104B">
      <w:pPr>
        <w:pStyle w:val="ACMAHeading1"/>
        <w:spacing w:before="960" w:after="240"/>
      </w:pPr>
      <w:r w:rsidRPr="002B0831">
        <w:t>Investigation</w:t>
      </w:r>
      <w:r>
        <w:t xml:space="preserve"> </w:t>
      </w:r>
      <w:r w:rsidR="0079419E">
        <w:t>r</w:t>
      </w:r>
      <w:r>
        <w:t xml:space="preserve">eport </w:t>
      </w:r>
      <w:r w:rsidR="0079419E">
        <w:t>n</w:t>
      </w:r>
      <w:r>
        <w:t xml:space="preserve">o. </w:t>
      </w:r>
      <w:r w:rsidR="00EF41B0" w:rsidRPr="00086452">
        <w:rPr>
          <w:rStyle w:val="Emphasis"/>
          <w:i w:val="0"/>
        </w:rPr>
        <w:t>B</w:t>
      </w:r>
      <w:r w:rsidR="00EF41B0" w:rsidRPr="003243FA">
        <w:rPr>
          <w:rStyle w:val="Emphasis"/>
          <w:i w:val="0"/>
        </w:rPr>
        <w:t>I-</w:t>
      </w:r>
      <w:r w:rsidR="00273C58" w:rsidRPr="003243FA">
        <w:rPr>
          <w:rStyle w:val="Emphasis"/>
          <w:i w:val="0"/>
        </w:rPr>
        <w:t>656</w:t>
      </w:r>
    </w:p>
    <w:tbl>
      <w:tblPr>
        <w:tblStyle w:val="TableGrid"/>
        <w:tblW w:w="8336" w:type="dxa"/>
        <w:tblLook w:val="0420" w:firstRow="1" w:lastRow="0" w:firstColumn="0" w:lastColumn="0" w:noHBand="0" w:noVBand="1"/>
      </w:tblPr>
      <w:tblGrid>
        <w:gridCol w:w="2612"/>
        <w:gridCol w:w="5724"/>
      </w:tblGrid>
      <w:tr w:rsidR="005E47E5" w:rsidRPr="003243FA" w14:paraId="76771938"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Pr>
          <w:p w14:paraId="4E7954D4" w14:textId="77777777" w:rsidR="005E47E5" w:rsidRPr="003243FA" w:rsidRDefault="003E08A5" w:rsidP="0033104B">
            <w:pPr>
              <w:pStyle w:val="ACMATableHeading"/>
            </w:pPr>
            <w:bookmarkStart w:id="0" w:name="ColumnTitle"/>
            <w:r w:rsidRPr="003243FA">
              <w:t>Summary</w:t>
            </w:r>
          </w:p>
        </w:tc>
        <w:tc>
          <w:tcPr>
            <w:tcW w:w="5724" w:type="dxa"/>
          </w:tcPr>
          <w:p w14:paraId="1FB8252E" w14:textId="77777777" w:rsidR="005E47E5" w:rsidRPr="003243FA" w:rsidRDefault="005E47E5" w:rsidP="001645DC">
            <w:pPr>
              <w:pStyle w:val="ACMATableHeading"/>
            </w:pPr>
          </w:p>
        </w:tc>
      </w:tr>
      <w:bookmarkEnd w:id="0"/>
      <w:tr w:rsidR="005E47E5" w:rsidRPr="003243FA" w14:paraId="3A08F4EE" w14:textId="77777777" w:rsidTr="00FE5622">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20F6C6F" w14:textId="0D172EAE" w:rsidR="005E47E5" w:rsidRPr="003243FA" w:rsidRDefault="00B30A6C" w:rsidP="0033104B">
            <w:pPr>
              <w:pStyle w:val="ACMATableBody"/>
              <w:rPr>
                <w:b/>
              </w:rPr>
            </w:pPr>
            <w:r w:rsidRPr="003243FA">
              <w:rPr>
                <w:b/>
              </w:rPr>
              <w:t>License</w:t>
            </w:r>
            <w:r w:rsidR="00F117C1" w:rsidRPr="003243FA">
              <w:rPr>
                <w:b/>
              </w:rPr>
              <w:t>e</w:t>
            </w:r>
            <w:r w:rsidR="00D154CF" w:rsidRPr="003243FA">
              <w:rPr>
                <w:b/>
              </w:rPr>
              <w:t xml:space="preserve"> [service]</w:t>
            </w:r>
          </w:p>
        </w:tc>
        <w:tc>
          <w:tcPr>
            <w:tcW w:w="5724" w:type="dxa"/>
            <w:tcBorders>
              <w:top w:val="single" w:sz="4" w:space="0" w:color="auto"/>
              <w:left w:val="single" w:sz="4" w:space="0" w:color="auto"/>
              <w:bottom w:val="single" w:sz="4" w:space="0" w:color="auto"/>
            </w:tcBorders>
            <w:shd w:val="clear" w:color="auto" w:fill="auto"/>
          </w:tcPr>
          <w:p w14:paraId="34BFB82A" w14:textId="0E359FD4" w:rsidR="005E47E5" w:rsidRPr="003243FA" w:rsidRDefault="0050011C" w:rsidP="0033104B">
            <w:pPr>
              <w:pStyle w:val="ACMATableBody"/>
            </w:pPr>
            <w:r w:rsidRPr="003243FA">
              <w:t>Foxtel Cable Television Pty Limited</w:t>
            </w:r>
            <w:r w:rsidR="00D154CF" w:rsidRPr="003243FA">
              <w:t xml:space="preserve"> [beIN Sports 2]</w:t>
            </w:r>
          </w:p>
        </w:tc>
      </w:tr>
      <w:tr w:rsidR="00137D9A" w:rsidRPr="003243FA" w14:paraId="008FC987" w14:textId="77777777" w:rsidTr="00137D9A">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2FCA806" w14:textId="36A1F8AD" w:rsidR="00137D9A" w:rsidRPr="003243FA" w:rsidRDefault="00137D9A" w:rsidP="00137D9A">
            <w:pPr>
              <w:pStyle w:val="ACMATableBody"/>
              <w:rPr>
                <w:b/>
              </w:rPr>
            </w:pPr>
            <w:r>
              <w:rPr>
                <w:b/>
              </w:rPr>
              <w:t>Finding</w:t>
            </w:r>
          </w:p>
        </w:tc>
        <w:tc>
          <w:tcPr>
            <w:tcW w:w="5724" w:type="dxa"/>
            <w:tcBorders>
              <w:top w:val="single" w:sz="4" w:space="0" w:color="auto"/>
              <w:left w:val="single" w:sz="4" w:space="0" w:color="auto"/>
              <w:bottom w:val="single" w:sz="4" w:space="0" w:color="auto"/>
            </w:tcBorders>
            <w:shd w:val="clear" w:color="auto" w:fill="auto"/>
          </w:tcPr>
          <w:p w14:paraId="41C6BEBA" w14:textId="7ECDD6D1" w:rsidR="00137D9A" w:rsidRPr="003243FA" w:rsidRDefault="00137D9A" w:rsidP="00137D9A">
            <w:pPr>
              <w:pStyle w:val="ACMATableBody"/>
            </w:pPr>
            <w:r>
              <w:rPr>
                <w:rFonts w:cs="Arial"/>
              </w:rPr>
              <w:t>No b</w:t>
            </w:r>
            <w:r w:rsidRPr="003243FA">
              <w:rPr>
                <w:rFonts w:cs="Arial"/>
              </w:rPr>
              <w:t xml:space="preserve">reach of clause 2 of </w:t>
            </w:r>
            <w:r w:rsidRPr="003243FA">
              <w:t xml:space="preserve">Appendix A to the </w:t>
            </w:r>
            <w:r w:rsidRPr="003243FA">
              <w:rPr>
                <w:rFonts w:cs="Arial"/>
              </w:rPr>
              <w:t>Subscription Broadcast Television Codes of Practice 2013 [Betting Advertising during a Live Sporting Event]</w:t>
            </w:r>
          </w:p>
        </w:tc>
      </w:tr>
      <w:tr w:rsidR="00137D9A" w:rsidRPr="003243FA" w14:paraId="4DC649AE" w14:textId="77777777" w:rsidTr="00137D9A">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57FFCC3A" w14:textId="137DC264" w:rsidR="00137D9A" w:rsidRDefault="00137D9A" w:rsidP="00137D9A">
            <w:pPr>
              <w:pStyle w:val="ACMATableBody"/>
              <w:rPr>
                <w:b/>
              </w:rPr>
            </w:pPr>
            <w:r w:rsidRPr="003243FA">
              <w:rPr>
                <w:b/>
              </w:rPr>
              <w:t>Relevant legislation</w:t>
            </w:r>
            <w:r w:rsidR="00AC4934">
              <w:rPr>
                <w:b/>
              </w:rPr>
              <w:t>/Code</w:t>
            </w:r>
          </w:p>
        </w:tc>
        <w:tc>
          <w:tcPr>
            <w:tcW w:w="5724" w:type="dxa"/>
            <w:tcBorders>
              <w:top w:val="single" w:sz="4" w:space="0" w:color="auto"/>
              <w:left w:val="single" w:sz="4" w:space="0" w:color="auto"/>
              <w:bottom w:val="single" w:sz="4" w:space="0" w:color="auto"/>
            </w:tcBorders>
            <w:shd w:val="clear" w:color="auto" w:fill="auto"/>
          </w:tcPr>
          <w:p w14:paraId="0C966BCE" w14:textId="089FA242" w:rsidR="00137D9A" w:rsidRPr="003243FA" w:rsidRDefault="00137D9A" w:rsidP="00137D9A">
            <w:pPr>
              <w:pStyle w:val="ACMATableBody"/>
              <w:rPr>
                <w:iCs/>
              </w:rPr>
            </w:pPr>
            <w:r w:rsidRPr="003243FA">
              <w:rPr>
                <w:i/>
              </w:rPr>
              <w:t xml:space="preserve">Broadcasting Services Act 1992 </w:t>
            </w:r>
            <w:r w:rsidRPr="003243FA">
              <w:rPr>
                <w:iCs/>
              </w:rPr>
              <w:t xml:space="preserve">(the </w:t>
            </w:r>
            <w:r w:rsidRPr="003243FA">
              <w:rPr>
                <w:b/>
                <w:bCs/>
                <w:iCs/>
              </w:rPr>
              <w:t>BSA</w:t>
            </w:r>
            <w:r w:rsidRPr="003243FA">
              <w:rPr>
                <w:iCs/>
              </w:rPr>
              <w:t>)</w:t>
            </w:r>
          </w:p>
          <w:p w14:paraId="0B4AC077" w14:textId="01B27536" w:rsidR="00137D9A" w:rsidRDefault="00137D9A" w:rsidP="00137D9A">
            <w:pPr>
              <w:pStyle w:val="ACMATableBody"/>
              <w:rPr>
                <w:rFonts w:cs="Arial"/>
              </w:rPr>
            </w:pPr>
            <w:r w:rsidRPr="003243FA">
              <w:rPr>
                <w:rFonts w:cs="Arial"/>
              </w:rPr>
              <w:t xml:space="preserve">Subscription Broadcast Television Codes of Practice 2013 </w:t>
            </w:r>
            <w:r>
              <w:rPr>
                <w:rFonts w:cs="Arial"/>
              </w:rPr>
              <w:t xml:space="preserve">(the </w:t>
            </w:r>
            <w:r w:rsidRPr="004A5C3A">
              <w:rPr>
                <w:rFonts w:cs="Arial"/>
                <w:b/>
                <w:bCs/>
              </w:rPr>
              <w:t>Code</w:t>
            </w:r>
            <w:r>
              <w:rPr>
                <w:rFonts w:cs="Arial"/>
              </w:rPr>
              <w:t>)</w:t>
            </w:r>
          </w:p>
        </w:tc>
      </w:tr>
      <w:tr w:rsidR="00137D9A" w:rsidRPr="003243FA" w14:paraId="0199C742" w14:textId="77777777" w:rsidTr="00137D9A">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65D4C31C" w14:textId="139374B1" w:rsidR="00137D9A" w:rsidRPr="003243FA" w:rsidRDefault="00137D9A" w:rsidP="00137D9A">
            <w:pPr>
              <w:pStyle w:val="ACMATableBody"/>
              <w:rPr>
                <w:b/>
              </w:rPr>
            </w:pPr>
            <w:r w:rsidRPr="003243FA">
              <w:rPr>
                <w:b/>
              </w:rPr>
              <w:t>Program</w:t>
            </w:r>
            <w:r>
              <w:rPr>
                <w:b/>
              </w:rPr>
              <w:t xml:space="preserve"> [type]</w:t>
            </w:r>
          </w:p>
        </w:tc>
        <w:tc>
          <w:tcPr>
            <w:tcW w:w="5724" w:type="dxa"/>
            <w:tcBorders>
              <w:top w:val="single" w:sz="4" w:space="0" w:color="auto"/>
              <w:left w:val="single" w:sz="4" w:space="0" w:color="auto"/>
              <w:bottom w:val="single" w:sz="4" w:space="0" w:color="auto"/>
            </w:tcBorders>
            <w:shd w:val="clear" w:color="auto" w:fill="auto"/>
          </w:tcPr>
          <w:p w14:paraId="2E4E016F" w14:textId="78F4E76D" w:rsidR="00137D9A" w:rsidRPr="003243FA" w:rsidRDefault="00137D9A" w:rsidP="00137D9A">
            <w:pPr>
              <w:pStyle w:val="ACMATableBody"/>
              <w:rPr>
                <w:i/>
              </w:rPr>
            </w:pPr>
            <w:r w:rsidRPr="003243FA">
              <w:rPr>
                <w:iCs/>
              </w:rPr>
              <w:t>WTA San Jose Quarter finals – Gauff vs Badosa</w:t>
            </w:r>
            <w:r>
              <w:rPr>
                <w:iCs/>
              </w:rPr>
              <w:t xml:space="preserve"> [live sport]</w:t>
            </w:r>
          </w:p>
        </w:tc>
      </w:tr>
      <w:tr w:rsidR="00137D9A" w:rsidRPr="003243FA" w14:paraId="3CF06902" w14:textId="77777777" w:rsidTr="00137D9A">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3129D291" w14:textId="0CE0F614" w:rsidR="00137D9A" w:rsidRPr="003243FA" w:rsidRDefault="00137D9A" w:rsidP="00137D9A">
            <w:pPr>
              <w:pStyle w:val="ACMATableBody"/>
              <w:rPr>
                <w:b/>
              </w:rPr>
            </w:pPr>
            <w:r w:rsidRPr="003243FA">
              <w:rPr>
                <w:b/>
              </w:rPr>
              <w:t>Date of broadcast</w:t>
            </w:r>
          </w:p>
        </w:tc>
        <w:tc>
          <w:tcPr>
            <w:tcW w:w="5724" w:type="dxa"/>
            <w:tcBorders>
              <w:top w:val="single" w:sz="4" w:space="0" w:color="auto"/>
              <w:left w:val="single" w:sz="4" w:space="0" w:color="auto"/>
              <w:bottom w:val="single" w:sz="4" w:space="0" w:color="auto"/>
            </w:tcBorders>
            <w:shd w:val="clear" w:color="auto" w:fill="auto"/>
          </w:tcPr>
          <w:p w14:paraId="2C7FC68A" w14:textId="2D4D0953" w:rsidR="00137D9A" w:rsidRPr="003243FA" w:rsidRDefault="00137D9A" w:rsidP="00137D9A">
            <w:pPr>
              <w:pStyle w:val="ACMATableBody"/>
              <w:rPr>
                <w:iCs/>
              </w:rPr>
            </w:pPr>
            <w:r w:rsidRPr="003243FA">
              <w:t>6 August 2022</w:t>
            </w:r>
          </w:p>
        </w:tc>
      </w:tr>
      <w:tr w:rsidR="00AF280D" w:rsidRPr="003243FA" w14:paraId="3F9C62A1" w14:textId="77777777" w:rsidTr="00AF280D">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15E2342A" w14:textId="288C4835" w:rsidR="00AF280D" w:rsidRPr="003243FA" w:rsidRDefault="00AF280D" w:rsidP="00137D9A">
            <w:pPr>
              <w:pStyle w:val="ACMATableBody"/>
              <w:rPr>
                <w:b/>
              </w:rPr>
            </w:pPr>
            <w:r>
              <w:rPr>
                <w:b/>
              </w:rPr>
              <w:t>Date finalised</w:t>
            </w:r>
          </w:p>
        </w:tc>
        <w:tc>
          <w:tcPr>
            <w:tcW w:w="5724" w:type="dxa"/>
            <w:tcBorders>
              <w:top w:val="single" w:sz="4" w:space="0" w:color="auto"/>
              <w:left w:val="single" w:sz="4" w:space="0" w:color="auto"/>
              <w:bottom w:val="single" w:sz="4" w:space="0" w:color="auto"/>
            </w:tcBorders>
            <w:shd w:val="clear" w:color="auto" w:fill="auto"/>
          </w:tcPr>
          <w:p w14:paraId="21F7EF19" w14:textId="2189557B" w:rsidR="00AF280D" w:rsidRPr="003243FA" w:rsidRDefault="008C62CB" w:rsidP="00137D9A">
            <w:pPr>
              <w:pStyle w:val="ACMATableBody"/>
            </w:pPr>
            <w:r>
              <w:t>18 August 2023</w:t>
            </w:r>
          </w:p>
        </w:tc>
      </w:tr>
      <w:tr w:rsidR="00137D9A" w:rsidRPr="003243FA" w14:paraId="54A44BE3" w14:textId="77777777" w:rsidTr="001645DC">
        <w:trPr>
          <w:cnfStyle w:val="100000000000" w:firstRow="1" w:lastRow="0" w:firstColumn="0" w:lastColumn="0" w:oddVBand="0" w:evenVBand="0" w:oddHBand="0" w:evenHBand="0" w:firstRowFirstColumn="0" w:firstRowLastColumn="0" w:lastRowFirstColumn="0" w:lastRowLastColumn="0"/>
          <w:tblHeader/>
        </w:trPr>
        <w:tc>
          <w:tcPr>
            <w:tcW w:w="2612" w:type="dxa"/>
            <w:tcBorders>
              <w:top w:val="single" w:sz="4" w:space="0" w:color="auto"/>
              <w:bottom w:val="single" w:sz="4" w:space="0" w:color="auto"/>
              <w:right w:val="single" w:sz="4" w:space="0" w:color="auto"/>
            </w:tcBorders>
            <w:shd w:val="clear" w:color="auto" w:fill="auto"/>
          </w:tcPr>
          <w:p w14:paraId="04A927DB" w14:textId="68B24ED9" w:rsidR="00137D9A" w:rsidRPr="003243FA" w:rsidRDefault="00137D9A" w:rsidP="00137D9A">
            <w:pPr>
              <w:pStyle w:val="ACMATableBody"/>
              <w:rPr>
                <w:b/>
              </w:rPr>
            </w:pPr>
            <w:r w:rsidRPr="003243FA">
              <w:rPr>
                <w:b/>
              </w:rPr>
              <w:t>Type of service</w:t>
            </w:r>
          </w:p>
        </w:tc>
        <w:tc>
          <w:tcPr>
            <w:tcW w:w="5724" w:type="dxa"/>
            <w:tcBorders>
              <w:top w:val="single" w:sz="4" w:space="0" w:color="auto"/>
              <w:left w:val="single" w:sz="4" w:space="0" w:color="auto"/>
              <w:bottom w:val="single" w:sz="4" w:space="0" w:color="auto"/>
            </w:tcBorders>
            <w:shd w:val="clear" w:color="auto" w:fill="auto"/>
          </w:tcPr>
          <w:p w14:paraId="5E328EFC" w14:textId="3FE77716" w:rsidR="00137D9A" w:rsidRPr="003243FA" w:rsidRDefault="00137D9A" w:rsidP="00137D9A">
            <w:pPr>
              <w:pStyle w:val="ACMATableBody"/>
              <w:rPr>
                <w:rFonts w:cs="Arial"/>
              </w:rPr>
            </w:pPr>
            <w:r w:rsidRPr="003243FA">
              <w:t xml:space="preserve">Subscription </w:t>
            </w:r>
            <w:r w:rsidRPr="00AB7CC5">
              <w:t xml:space="preserve">Broadcasting </w:t>
            </w:r>
            <w:r w:rsidR="00211948">
              <w:t xml:space="preserve">– </w:t>
            </w:r>
            <w:r>
              <w:t>Television</w:t>
            </w:r>
          </w:p>
        </w:tc>
      </w:tr>
    </w:tbl>
    <w:p w14:paraId="778C10BD" w14:textId="77777777" w:rsidR="001C6546" w:rsidRPr="003243FA" w:rsidRDefault="00D668E3" w:rsidP="00972DB3">
      <w:pPr>
        <w:pStyle w:val="ACMABodyText"/>
        <w:rPr>
          <w:rFonts w:eastAsiaTheme="minorHAnsi"/>
          <w:i/>
        </w:rPr>
      </w:pPr>
      <w:r w:rsidRPr="003243FA">
        <w:br w:type="page"/>
      </w:r>
    </w:p>
    <w:p w14:paraId="536B1EBE" w14:textId="77777777" w:rsidR="001C6546" w:rsidRPr="003243FA" w:rsidRDefault="007B047A" w:rsidP="001C6546">
      <w:pPr>
        <w:pStyle w:val="ACMAHeading2"/>
      </w:pPr>
      <w:r w:rsidRPr="003243FA">
        <w:lastRenderedPageBreak/>
        <w:t>Background</w:t>
      </w:r>
    </w:p>
    <w:p w14:paraId="4F873112" w14:textId="5C3698A3" w:rsidR="00281F78" w:rsidRPr="003243FA" w:rsidRDefault="001C6546" w:rsidP="001C6546">
      <w:pPr>
        <w:pStyle w:val="ACMABodyText"/>
      </w:pPr>
      <w:r w:rsidRPr="003243FA">
        <w:t xml:space="preserve">In </w:t>
      </w:r>
      <w:r w:rsidR="00F131A3" w:rsidRPr="003243FA">
        <w:t>S</w:t>
      </w:r>
      <w:r w:rsidR="00FD6C6F" w:rsidRPr="003243FA">
        <w:t>epte</w:t>
      </w:r>
      <w:r w:rsidR="00F131A3" w:rsidRPr="003243FA">
        <w:t>mber</w:t>
      </w:r>
      <w:r w:rsidR="00DF73AF" w:rsidRPr="003243FA">
        <w:t xml:space="preserve"> 2022</w:t>
      </w:r>
      <w:r w:rsidRPr="003243FA">
        <w:t xml:space="preserve">, the Australian Communications and Media Authority (the </w:t>
      </w:r>
      <w:r w:rsidRPr="003243FA">
        <w:rPr>
          <w:b/>
          <w:bCs/>
        </w:rPr>
        <w:t>ACMA</w:t>
      </w:r>
      <w:r w:rsidRPr="003243FA">
        <w:t xml:space="preserve">) commenced an investigation </w:t>
      </w:r>
      <w:r w:rsidR="00205CDE" w:rsidRPr="003243FA">
        <w:t>under</w:t>
      </w:r>
      <w:r w:rsidR="00CD2711" w:rsidRPr="003243FA">
        <w:t xml:space="preserve"> </w:t>
      </w:r>
      <w:r w:rsidR="00205CDE" w:rsidRPr="003243FA">
        <w:t xml:space="preserve">the </w:t>
      </w:r>
      <w:r w:rsidR="00205CDE" w:rsidRPr="003243FA">
        <w:rPr>
          <w:i/>
        </w:rPr>
        <w:t xml:space="preserve">Broadcasting Services Act 1992 </w:t>
      </w:r>
      <w:r w:rsidR="00205CDE" w:rsidRPr="003243FA">
        <w:t xml:space="preserve">(the </w:t>
      </w:r>
      <w:r w:rsidR="00205CDE" w:rsidRPr="003243FA">
        <w:rPr>
          <w:b/>
          <w:bCs/>
        </w:rPr>
        <w:t>BSA</w:t>
      </w:r>
      <w:r w:rsidR="00205CDE" w:rsidRPr="003243FA">
        <w:t xml:space="preserve">) </w:t>
      </w:r>
      <w:r w:rsidR="00550001" w:rsidRPr="003243FA">
        <w:t>into</w:t>
      </w:r>
      <w:r w:rsidR="00213AFF" w:rsidRPr="003243FA">
        <w:t xml:space="preserve"> </w:t>
      </w:r>
      <w:r w:rsidR="00077236" w:rsidRPr="003243FA">
        <w:t xml:space="preserve">the </w:t>
      </w:r>
      <w:r w:rsidR="007B2895" w:rsidRPr="003243FA">
        <w:t xml:space="preserve">possible </w:t>
      </w:r>
      <w:r w:rsidR="00077236" w:rsidRPr="003243FA">
        <w:t xml:space="preserve">streaming of </w:t>
      </w:r>
      <w:r w:rsidR="00604F3F">
        <w:t xml:space="preserve">an </w:t>
      </w:r>
      <w:r w:rsidR="000F22B7" w:rsidRPr="003243FA">
        <w:t xml:space="preserve">advertisement </w:t>
      </w:r>
      <w:r w:rsidR="00A97C94" w:rsidRPr="003243FA">
        <w:t xml:space="preserve">for </w:t>
      </w:r>
      <w:r w:rsidR="00221559">
        <w:t>[</w:t>
      </w:r>
      <w:r w:rsidR="000E7808">
        <w:t>Betting</w:t>
      </w:r>
      <w:r w:rsidR="00221559">
        <w:t xml:space="preserve"> </w:t>
      </w:r>
      <w:r w:rsidR="00CC11BE">
        <w:t>C</w:t>
      </w:r>
      <w:r w:rsidR="00221559">
        <w:t>ompany 1]</w:t>
      </w:r>
      <w:r w:rsidR="00975168">
        <w:t>.</w:t>
      </w:r>
      <w:r w:rsidR="00221559">
        <w:t xml:space="preserve"> </w:t>
      </w:r>
      <w:r w:rsidR="000F22B7" w:rsidRPr="003243FA">
        <w:rPr>
          <w:i/>
          <w:iCs/>
        </w:rPr>
        <w:t xml:space="preserve"> </w:t>
      </w:r>
    </w:p>
    <w:p w14:paraId="10725569" w14:textId="55C7BA10" w:rsidR="001C6546" w:rsidRPr="003243FA" w:rsidRDefault="00281F78" w:rsidP="001C6546">
      <w:pPr>
        <w:pStyle w:val="ACMABodyText"/>
      </w:pPr>
      <w:r w:rsidRPr="003243FA">
        <w:t>Th</w:t>
      </w:r>
      <w:r w:rsidR="00123436" w:rsidRPr="003243FA">
        <w:t>e</w:t>
      </w:r>
      <w:r w:rsidR="00123436" w:rsidRPr="003243FA">
        <w:rPr>
          <w:i/>
          <w:iCs/>
        </w:rPr>
        <w:t xml:space="preserve"> </w:t>
      </w:r>
      <w:r w:rsidR="00BD031A">
        <w:t>a</w:t>
      </w:r>
      <w:r w:rsidR="00BD031A" w:rsidRPr="003243FA">
        <w:t xml:space="preserve">dvertisement </w:t>
      </w:r>
      <w:r w:rsidR="007B2895" w:rsidRPr="003243FA">
        <w:t>appeared to have been</w:t>
      </w:r>
      <w:r w:rsidR="00077236" w:rsidRPr="003243FA">
        <w:t xml:space="preserve"> streamed </w:t>
      </w:r>
      <w:r w:rsidR="007B2895" w:rsidRPr="003243FA">
        <w:t>by Streamotion Pty Ltd (the</w:t>
      </w:r>
      <w:r w:rsidR="007B2895" w:rsidRPr="003243FA">
        <w:rPr>
          <w:b/>
          <w:bCs/>
        </w:rPr>
        <w:t xml:space="preserve"> Provider</w:t>
      </w:r>
      <w:r w:rsidR="007B2895" w:rsidRPr="003243FA">
        <w:t xml:space="preserve">) </w:t>
      </w:r>
      <w:r w:rsidR="00697911" w:rsidRPr="003243FA">
        <w:t xml:space="preserve">on multiple occasions </w:t>
      </w:r>
      <w:r w:rsidR="007B2895" w:rsidRPr="003243FA">
        <w:t xml:space="preserve">between 10:30 am to 11:30 am AEST </w:t>
      </w:r>
      <w:r w:rsidR="00EB036C" w:rsidRPr="003243FA">
        <w:t xml:space="preserve">during </w:t>
      </w:r>
      <w:r w:rsidR="00077236" w:rsidRPr="003243FA">
        <w:t xml:space="preserve">a </w:t>
      </w:r>
      <w:r w:rsidR="00EB036C" w:rsidRPr="003243FA">
        <w:t>live tennis</w:t>
      </w:r>
      <w:r w:rsidR="00077236" w:rsidRPr="003243FA">
        <w:t xml:space="preserve"> match</w:t>
      </w:r>
      <w:r w:rsidR="00EB036C" w:rsidRPr="003243FA">
        <w:t xml:space="preserve"> </w:t>
      </w:r>
      <w:r w:rsidR="00232B67" w:rsidRPr="003243FA">
        <w:t>(</w:t>
      </w:r>
      <w:r w:rsidR="00EB036C" w:rsidRPr="003243FA">
        <w:t>WTA San Jose Quarter finals – Gauff vs Badosa</w:t>
      </w:r>
      <w:r w:rsidR="00232B67" w:rsidRPr="003243FA">
        <w:t>)</w:t>
      </w:r>
      <w:r w:rsidR="00EB036C" w:rsidRPr="003243FA">
        <w:t xml:space="preserve"> </w:t>
      </w:r>
      <w:r w:rsidR="00F916C6" w:rsidRPr="003243FA">
        <w:t>(</w:t>
      </w:r>
      <w:r w:rsidR="00077236" w:rsidRPr="003243FA">
        <w:t xml:space="preserve">the </w:t>
      </w:r>
      <w:r w:rsidR="00D87D26" w:rsidRPr="003243FA">
        <w:rPr>
          <w:b/>
          <w:bCs/>
        </w:rPr>
        <w:t>T</w:t>
      </w:r>
      <w:r w:rsidR="00F916C6" w:rsidRPr="003243FA">
        <w:rPr>
          <w:b/>
          <w:bCs/>
        </w:rPr>
        <w:t xml:space="preserve">ennis </w:t>
      </w:r>
      <w:r w:rsidR="00D87D26" w:rsidRPr="003243FA">
        <w:rPr>
          <w:b/>
          <w:bCs/>
        </w:rPr>
        <w:t>M</w:t>
      </w:r>
      <w:r w:rsidR="00F916C6" w:rsidRPr="003243FA">
        <w:rPr>
          <w:b/>
          <w:bCs/>
        </w:rPr>
        <w:t>atch</w:t>
      </w:r>
      <w:r w:rsidR="00F916C6" w:rsidRPr="003243FA">
        <w:t xml:space="preserve">) </w:t>
      </w:r>
      <w:r w:rsidR="00077236" w:rsidRPr="003243FA">
        <w:t xml:space="preserve">on Kayo Sports </w:t>
      </w:r>
      <w:r w:rsidR="001C6546" w:rsidRPr="003243FA">
        <w:t xml:space="preserve">on </w:t>
      </w:r>
      <w:r w:rsidR="00701627" w:rsidRPr="003243FA">
        <w:t>6 August 2022</w:t>
      </w:r>
      <w:r w:rsidR="007E323D" w:rsidRPr="003243FA">
        <w:t>.</w:t>
      </w:r>
    </w:p>
    <w:p w14:paraId="02BC431E" w14:textId="47944F12" w:rsidR="00E200AF" w:rsidRDefault="00205CDE" w:rsidP="002A71CE">
      <w:pPr>
        <w:pStyle w:val="ACMABodyText"/>
      </w:pPr>
      <w:r w:rsidRPr="003243FA">
        <w:t xml:space="preserve">The </w:t>
      </w:r>
      <w:r w:rsidR="00213AFF" w:rsidRPr="003243FA">
        <w:t xml:space="preserve">ACMA </w:t>
      </w:r>
      <w:r w:rsidR="00A23AD4" w:rsidRPr="003243FA">
        <w:t xml:space="preserve">commenced </w:t>
      </w:r>
      <w:r w:rsidR="00D37F5E" w:rsidRPr="003243FA">
        <w:t>the</w:t>
      </w:r>
      <w:r w:rsidR="00A23AD4" w:rsidRPr="003243FA">
        <w:t xml:space="preserve"> investigation </w:t>
      </w:r>
      <w:r w:rsidR="00FB304F" w:rsidRPr="003243FA">
        <w:t>after</w:t>
      </w:r>
      <w:r w:rsidR="00F22466" w:rsidRPr="003243FA">
        <w:t xml:space="preserve"> its monitoring activities</w:t>
      </w:r>
      <w:r w:rsidR="00343AB8" w:rsidRPr="003243FA">
        <w:t xml:space="preserve"> </w:t>
      </w:r>
      <w:r w:rsidR="00FB304F" w:rsidRPr="003243FA">
        <w:t>identif</w:t>
      </w:r>
      <w:r w:rsidR="00342386" w:rsidRPr="003243FA">
        <w:t>ied</w:t>
      </w:r>
      <w:r w:rsidR="00343AB8" w:rsidRPr="003243FA">
        <w:t xml:space="preserve"> </w:t>
      </w:r>
      <w:r w:rsidR="001754BB" w:rsidRPr="003243FA">
        <w:t xml:space="preserve">that </w:t>
      </w:r>
      <w:r w:rsidR="00343AB8" w:rsidRPr="003243FA">
        <w:t>the</w:t>
      </w:r>
      <w:r w:rsidR="00E74EA5" w:rsidRPr="003243FA">
        <w:t xml:space="preserve"> </w:t>
      </w:r>
      <w:r w:rsidR="00E200AF">
        <w:t>a</w:t>
      </w:r>
      <w:r w:rsidR="00E200AF" w:rsidRPr="003243FA">
        <w:t xml:space="preserve">dvertisement </w:t>
      </w:r>
      <w:r w:rsidR="00514482" w:rsidRPr="003243FA">
        <w:t xml:space="preserve">had </w:t>
      </w:r>
      <w:r w:rsidR="00342386" w:rsidRPr="003243FA">
        <w:t xml:space="preserve">potentially </w:t>
      </w:r>
      <w:r w:rsidR="00514482" w:rsidRPr="003243FA">
        <w:t>been</w:t>
      </w:r>
      <w:r w:rsidR="00FD6C6F" w:rsidRPr="003243FA">
        <w:t xml:space="preserve"> </w:t>
      </w:r>
      <w:r w:rsidR="00077236" w:rsidRPr="003243FA">
        <w:t xml:space="preserve">streamed </w:t>
      </w:r>
      <w:r w:rsidR="00FD6C6F" w:rsidRPr="003243FA">
        <w:t>in breach of the</w:t>
      </w:r>
      <w:r w:rsidR="002A71CE" w:rsidRPr="003243FA">
        <w:t xml:space="preserve"> </w:t>
      </w:r>
      <w:r w:rsidR="002A71CE" w:rsidRPr="003243FA">
        <w:rPr>
          <w:i/>
          <w:iCs/>
        </w:rPr>
        <w:t>Broadcasting Services (Online Content Service Provider Rules) 2018</w:t>
      </w:r>
      <w:r w:rsidR="00DF2912" w:rsidRPr="003243FA">
        <w:rPr>
          <w:i/>
          <w:iCs/>
        </w:rPr>
        <w:t xml:space="preserve"> </w:t>
      </w:r>
      <w:r w:rsidR="002A71CE" w:rsidRPr="003243FA">
        <w:t xml:space="preserve">(the </w:t>
      </w:r>
      <w:r w:rsidR="002A71CE" w:rsidRPr="003243FA">
        <w:rPr>
          <w:b/>
          <w:bCs/>
        </w:rPr>
        <w:t>Online Content Rules</w:t>
      </w:r>
      <w:r w:rsidR="002A71CE" w:rsidRPr="003243FA">
        <w:t>)</w:t>
      </w:r>
      <w:r w:rsidR="00FD6C6F" w:rsidRPr="003243FA">
        <w:t>.</w:t>
      </w:r>
      <w:r w:rsidR="00916ACA" w:rsidRPr="003243FA">
        <w:t xml:space="preserve"> </w:t>
      </w:r>
    </w:p>
    <w:p w14:paraId="0329000C" w14:textId="66B32C6D" w:rsidR="003428BC" w:rsidRDefault="00916ACA" w:rsidP="002A71CE">
      <w:pPr>
        <w:pStyle w:val="ACMABodyText"/>
      </w:pPr>
      <w:r w:rsidRPr="003243FA">
        <w:t>Specifically, t</w:t>
      </w:r>
      <w:r w:rsidR="003428BC" w:rsidRPr="003243FA">
        <w:t>he ACMA’s monitoring i</w:t>
      </w:r>
      <w:r w:rsidR="007B2895" w:rsidRPr="003243FA">
        <w:t>ndicat</w:t>
      </w:r>
      <w:r w:rsidR="003428BC" w:rsidRPr="003243FA">
        <w:t xml:space="preserve">ed that a gambling advertisement had been </w:t>
      </w:r>
      <w:r w:rsidR="009A6B43" w:rsidRPr="003243FA">
        <w:t xml:space="preserve">streamed </w:t>
      </w:r>
      <w:r w:rsidR="003428BC" w:rsidRPr="003243FA">
        <w:t>between the first and second set, at approximately 10</w:t>
      </w:r>
      <w:r w:rsidR="002C00C8" w:rsidRPr="003243FA">
        <w:t>:</w:t>
      </w:r>
      <w:r w:rsidR="003428BC" w:rsidRPr="003243FA">
        <w:t>30 am and at every change of ends during the second set.</w:t>
      </w:r>
    </w:p>
    <w:p w14:paraId="5684B6B5" w14:textId="0298B718" w:rsidR="00604F3F" w:rsidRPr="003243FA" w:rsidRDefault="00604F3F" w:rsidP="002A71CE">
      <w:pPr>
        <w:pStyle w:val="ACMABodyText"/>
      </w:pPr>
      <w:r>
        <w:t>During the course of the investigation</w:t>
      </w:r>
      <w:r w:rsidR="00E00ED1">
        <w:t>,</w:t>
      </w:r>
      <w:r>
        <w:t xml:space="preserve"> it became apparent that an advertisement for [Betting Company 2] was also streamed during the Tennis Match.</w:t>
      </w:r>
    </w:p>
    <w:p w14:paraId="6092AF67" w14:textId="1DE94794" w:rsidR="00207E8D" w:rsidRPr="003243FA" w:rsidRDefault="00207E8D" w:rsidP="001C6546">
      <w:pPr>
        <w:pStyle w:val="ACMABodyText"/>
        <w:rPr>
          <w:i/>
          <w:iCs/>
        </w:rPr>
      </w:pPr>
      <w:r w:rsidRPr="003243FA">
        <w:rPr>
          <w:i/>
          <w:iCs/>
        </w:rPr>
        <w:t>Exempt simulcast service</w:t>
      </w:r>
    </w:p>
    <w:p w14:paraId="67925A94" w14:textId="3A4DE813" w:rsidR="00A00E7A" w:rsidRPr="003243FA" w:rsidRDefault="00077236" w:rsidP="001C6546">
      <w:pPr>
        <w:pStyle w:val="ACMABodyText"/>
      </w:pPr>
      <w:r w:rsidRPr="003243FA">
        <w:t>Following consideration of information submitted by the</w:t>
      </w:r>
      <w:r w:rsidR="00532A39" w:rsidRPr="003243FA">
        <w:t xml:space="preserve"> Provider</w:t>
      </w:r>
      <w:r w:rsidR="00FB304F" w:rsidRPr="003243FA">
        <w:t>,</w:t>
      </w:r>
      <w:r w:rsidR="00A411B5" w:rsidRPr="003243FA">
        <w:t xml:space="preserve"> </w:t>
      </w:r>
      <w:r w:rsidR="007B2895" w:rsidRPr="003243FA">
        <w:t xml:space="preserve">which </w:t>
      </w:r>
      <w:r w:rsidR="00FB304F" w:rsidRPr="003243FA">
        <w:t>stat</w:t>
      </w:r>
      <w:r w:rsidR="007B2895" w:rsidRPr="003243FA">
        <w:t>ed</w:t>
      </w:r>
      <w:r w:rsidR="00FB304F" w:rsidRPr="003243FA">
        <w:t xml:space="preserve"> </w:t>
      </w:r>
      <w:r w:rsidR="00A411B5" w:rsidRPr="003243FA">
        <w:t xml:space="preserve">that the </w:t>
      </w:r>
      <w:r w:rsidR="00A411B5" w:rsidRPr="003243FA">
        <w:rPr>
          <w:iCs/>
          <w:lang w:eastAsia="en-AU"/>
        </w:rPr>
        <w:t xml:space="preserve">live stream of the Tennis Match was an exact simulcast of </w:t>
      </w:r>
      <w:r w:rsidR="001A0152" w:rsidRPr="003243FA">
        <w:rPr>
          <w:lang w:eastAsia="en-AU"/>
        </w:rPr>
        <w:t>Foxtel Cable Television Pty Limited’s</w:t>
      </w:r>
      <w:r w:rsidR="001A0152" w:rsidRPr="003243FA">
        <w:rPr>
          <w:i/>
          <w:iCs/>
          <w:lang w:eastAsia="en-AU"/>
        </w:rPr>
        <w:t xml:space="preserve"> </w:t>
      </w:r>
      <w:r w:rsidR="001A0152" w:rsidRPr="003243FA">
        <w:rPr>
          <w:iCs/>
          <w:lang w:eastAsia="en-AU"/>
        </w:rPr>
        <w:t xml:space="preserve">(the </w:t>
      </w:r>
      <w:r w:rsidR="001A0152" w:rsidRPr="003243FA">
        <w:rPr>
          <w:b/>
          <w:bCs/>
          <w:iCs/>
          <w:lang w:eastAsia="en-AU"/>
        </w:rPr>
        <w:t xml:space="preserve">Licensee’s) </w:t>
      </w:r>
      <w:r w:rsidR="00A411B5" w:rsidRPr="003243FA">
        <w:rPr>
          <w:iCs/>
          <w:lang w:eastAsia="en-AU"/>
        </w:rPr>
        <w:t>beIN Sports 2 subscription broadcasting service</w:t>
      </w:r>
      <w:r w:rsidRPr="003243FA">
        <w:t>, t</w:t>
      </w:r>
      <w:r w:rsidR="009D3591" w:rsidRPr="003243FA">
        <w:t xml:space="preserve">he ACMA </w:t>
      </w:r>
      <w:r w:rsidR="00A411B5" w:rsidRPr="003243FA">
        <w:t xml:space="preserve">found that the live coverage of the Tennis Match on Kayo Sports was an exempt </w:t>
      </w:r>
      <w:r w:rsidR="006B1CD7" w:rsidRPr="003243FA">
        <w:t xml:space="preserve">online </w:t>
      </w:r>
      <w:r w:rsidR="00A411B5" w:rsidRPr="003243FA">
        <w:t xml:space="preserve">simulcast service for the purposes of clause </w:t>
      </w:r>
      <w:r w:rsidR="002A71CE" w:rsidRPr="003243FA">
        <w:t xml:space="preserve">4 </w:t>
      </w:r>
      <w:r w:rsidR="00A411B5" w:rsidRPr="003243FA">
        <w:t>of Schedule 8 to the BSA</w:t>
      </w:r>
      <w:r w:rsidR="00A00E7A" w:rsidRPr="003243FA">
        <w:t xml:space="preserve"> and therefore not subject to the Online Content Rules</w:t>
      </w:r>
      <w:r w:rsidR="00A411B5" w:rsidRPr="003243FA">
        <w:t xml:space="preserve">. </w:t>
      </w:r>
    </w:p>
    <w:p w14:paraId="46C63422" w14:textId="1D9AD283" w:rsidR="00072F03" w:rsidRPr="003243FA" w:rsidRDefault="006860C5" w:rsidP="006860C5">
      <w:pPr>
        <w:pStyle w:val="ACMABodyText"/>
      </w:pPr>
      <w:r w:rsidRPr="003243FA">
        <w:t>As</w:t>
      </w:r>
      <w:r w:rsidR="006B1CD7" w:rsidRPr="003243FA">
        <w:t xml:space="preserve"> </w:t>
      </w:r>
      <w:r w:rsidR="00FC598A" w:rsidRPr="003243FA">
        <w:t xml:space="preserve">the </w:t>
      </w:r>
      <w:r w:rsidR="00EC6325" w:rsidRPr="003243FA">
        <w:rPr>
          <w:iCs/>
        </w:rPr>
        <w:t>stream of the Tennis Match</w:t>
      </w:r>
      <w:r w:rsidR="00EC6325" w:rsidRPr="003243FA">
        <w:rPr>
          <w:i/>
        </w:rPr>
        <w:t xml:space="preserve"> </w:t>
      </w:r>
      <w:r w:rsidR="006B1CD7" w:rsidRPr="003243FA">
        <w:t>on Kay</w:t>
      </w:r>
      <w:r w:rsidR="00FC598A" w:rsidRPr="003243FA">
        <w:t>o</w:t>
      </w:r>
      <w:r w:rsidR="006B1CD7" w:rsidRPr="003243FA">
        <w:t xml:space="preserve"> Sports was</w:t>
      </w:r>
      <w:r w:rsidRPr="003243FA">
        <w:t xml:space="preserve"> an exempt </w:t>
      </w:r>
      <w:r w:rsidR="006B1CD7" w:rsidRPr="003243FA">
        <w:t xml:space="preserve">online </w:t>
      </w:r>
      <w:r w:rsidRPr="003243FA">
        <w:t>simulcast service</w:t>
      </w:r>
      <w:r w:rsidR="0017400A" w:rsidRPr="003243FA">
        <w:t xml:space="preserve"> and not subject to the Online Content Rules</w:t>
      </w:r>
      <w:r w:rsidRPr="003243FA">
        <w:t>,</w:t>
      </w:r>
      <w:r w:rsidR="00D5076E" w:rsidRPr="003243FA">
        <w:t xml:space="preserve"> the ACMA</w:t>
      </w:r>
      <w:r w:rsidR="0033684A" w:rsidRPr="003243FA">
        <w:t xml:space="preserve"> decided to</w:t>
      </w:r>
      <w:r w:rsidR="00D5076E" w:rsidRPr="003243FA">
        <w:t xml:space="preserve"> investigate </w:t>
      </w:r>
      <w:r w:rsidR="004B002E" w:rsidRPr="003243FA">
        <w:t>whether</w:t>
      </w:r>
      <w:r w:rsidR="00072F03" w:rsidRPr="003243FA">
        <w:t xml:space="preserve"> the corresponding broadcasting service</w:t>
      </w:r>
      <w:r w:rsidR="002A24E5" w:rsidRPr="003243FA">
        <w:t xml:space="preserve"> </w:t>
      </w:r>
      <w:r w:rsidR="006B1CD7" w:rsidRPr="003243FA">
        <w:t>(</w:t>
      </w:r>
      <w:r w:rsidR="005119EB" w:rsidRPr="003243FA">
        <w:t xml:space="preserve">the Licensee’s </w:t>
      </w:r>
      <w:r w:rsidR="002A24E5" w:rsidRPr="003243FA">
        <w:t>beIN Sports 2</w:t>
      </w:r>
      <w:r w:rsidR="0072280E" w:rsidRPr="003243FA">
        <w:t xml:space="preserve"> subscription broadcasting service</w:t>
      </w:r>
      <w:r w:rsidR="002A24E5" w:rsidRPr="003243FA">
        <w:t>)</w:t>
      </w:r>
      <w:r w:rsidR="004B002E" w:rsidRPr="003243FA">
        <w:t xml:space="preserve"> complied</w:t>
      </w:r>
      <w:r w:rsidR="00791EBA" w:rsidRPr="003243FA">
        <w:t xml:space="preserve"> </w:t>
      </w:r>
      <w:r w:rsidR="00CC4A8E" w:rsidRPr="003243FA">
        <w:t>with</w:t>
      </w:r>
      <w:r w:rsidR="00072F03" w:rsidRPr="003243FA">
        <w:t xml:space="preserve"> the relevant broadcasting code of practice which is</w:t>
      </w:r>
      <w:r w:rsidR="00207E8D" w:rsidRPr="003243FA">
        <w:t>, i</w:t>
      </w:r>
      <w:r w:rsidR="00072F03" w:rsidRPr="003243FA">
        <w:t xml:space="preserve">n this case, the </w:t>
      </w:r>
      <w:r w:rsidR="00072F03" w:rsidRPr="003243FA">
        <w:rPr>
          <w:rFonts w:cs="Arial"/>
        </w:rPr>
        <w:t>Subscription Broadcast Television Codes of Practice 2013 (the</w:t>
      </w:r>
      <w:r w:rsidR="00072F03" w:rsidRPr="003243FA">
        <w:rPr>
          <w:rFonts w:cs="Arial"/>
          <w:b/>
          <w:bCs/>
        </w:rPr>
        <w:t xml:space="preserve"> Code</w:t>
      </w:r>
      <w:r w:rsidR="00072F03" w:rsidRPr="003243FA">
        <w:rPr>
          <w:rFonts w:cs="Arial"/>
        </w:rPr>
        <w:t>)</w:t>
      </w:r>
      <w:r w:rsidR="00CE69AB">
        <w:rPr>
          <w:rFonts w:cs="Arial"/>
        </w:rPr>
        <w:t>.</w:t>
      </w:r>
    </w:p>
    <w:p w14:paraId="4DC08945" w14:textId="1A4209FD" w:rsidR="00207E8D" w:rsidRPr="003243FA" w:rsidRDefault="00207E8D" w:rsidP="006860C5">
      <w:pPr>
        <w:pStyle w:val="ACMABodyText"/>
        <w:rPr>
          <w:i/>
          <w:iCs/>
        </w:rPr>
      </w:pPr>
      <w:r w:rsidRPr="003243FA">
        <w:rPr>
          <w:i/>
          <w:iCs/>
        </w:rPr>
        <w:t>Live Sporting Event</w:t>
      </w:r>
    </w:p>
    <w:p w14:paraId="781EAA63" w14:textId="3C5176FB" w:rsidR="006860C5" w:rsidRPr="003243FA" w:rsidRDefault="00207E8D" w:rsidP="006860C5">
      <w:pPr>
        <w:pStyle w:val="ACMABodyText"/>
      </w:pPr>
      <w:r w:rsidRPr="003243FA">
        <w:t>As noted above, the</w:t>
      </w:r>
      <w:r w:rsidR="006860C5" w:rsidRPr="003243FA">
        <w:t xml:space="preserve"> Tennis Match was broadcast live-to-air on beIN Sports 2 on 6 August 2022. </w:t>
      </w:r>
    </w:p>
    <w:p w14:paraId="4B7B86C9" w14:textId="578AB7F1" w:rsidR="006860C5" w:rsidRPr="003243FA" w:rsidRDefault="006860C5" w:rsidP="006860C5">
      <w:pPr>
        <w:pStyle w:val="ACMABodyText"/>
      </w:pPr>
      <w:r w:rsidRPr="003243FA">
        <w:t xml:space="preserve">Under clause 21 of Appendix A to the Code, a Live Sporting Event </w:t>
      </w:r>
      <w:r w:rsidRPr="003243FA">
        <w:rPr>
          <w:rFonts w:eastAsia="Calibri" w:cs="Arial"/>
          <w:szCs w:val="22"/>
        </w:rPr>
        <w:t>means a live-to-air broadcast of a sporting event that includes Play, where</w:t>
      </w:r>
      <w:r w:rsidRPr="003243FA">
        <w:t xml:space="preserve"> Play is defined as the ‘period of the actual run of play or active progress of the sporting event or game which is the subject of the Live Sporting Event’.</w:t>
      </w:r>
    </w:p>
    <w:p w14:paraId="5FC03AD8" w14:textId="7FBF75E8" w:rsidR="006860C5" w:rsidRPr="003243FA" w:rsidRDefault="00CB15D3" w:rsidP="00CB15D3">
      <w:pPr>
        <w:pStyle w:val="ACMABodyText"/>
      </w:pPr>
      <w:bookmarkStart w:id="1" w:name="_Hlk124773049"/>
      <w:r w:rsidRPr="003243FA">
        <w:t xml:space="preserve">The Licensee has provided submissions that the Tennis Match was broadcast live, therefore </w:t>
      </w:r>
      <w:bookmarkEnd w:id="1"/>
      <w:r w:rsidR="006860C5" w:rsidRPr="003243FA">
        <w:t xml:space="preserve">the ACMA </w:t>
      </w:r>
      <w:r w:rsidR="00E06809" w:rsidRPr="003243FA">
        <w:t>is satisfied</w:t>
      </w:r>
      <w:r w:rsidR="006860C5" w:rsidRPr="003243FA">
        <w:t xml:space="preserve"> that the Tennis Match was a Live Sporting Event for the purposes of the Code.</w:t>
      </w:r>
    </w:p>
    <w:p w14:paraId="2725D1D5" w14:textId="6F1B51EB" w:rsidR="00D61AB5" w:rsidRPr="003243FA" w:rsidRDefault="00E06809" w:rsidP="006860C5">
      <w:pPr>
        <w:pStyle w:val="ACMABodyText"/>
      </w:pPr>
      <w:r w:rsidRPr="003243FA">
        <w:t>T</w:t>
      </w:r>
      <w:r w:rsidR="00A411B5" w:rsidRPr="003243FA">
        <w:t xml:space="preserve">he ACMA has </w:t>
      </w:r>
      <w:r w:rsidR="009D3591" w:rsidRPr="003243FA">
        <w:t>investigate</w:t>
      </w:r>
      <w:r w:rsidR="00F03742" w:rsidRPr="003243FA">
        <w:t>d</w:t>
      </w:r>
      <w:r w:rsidR="006526F9" w:rsidRPr="003243FA">
        <w:t xml:space="preserve"> </w:t>
      </w:r>
      <w:r w:rsidR="00077236" w:rsidRPr="003243FA">
        <w:t>the Licensee</w:t>
      </w:r>
      <w:r w:rsidR="004734B2" w:rsidRPr="003243FA">
        <w:t>’s</w:t>
      </w:r>
      <w:r w:rsidR="009D3591" w:rsidRPr="003243FA">
        <w:t xml:space="preserve"> compliance </w:t>
      </w:r>
      <w:r w:rsidR="00013EAC" w:rsidRPr="003243FA">
        <w:t>with</w:t>
      </w:r>
      <w:r w:rsidR="00AE0CFB" w:rsidRPr="003243FA">
        <w:t xml:space="preserve"> </w:t>
      </w:r>
      <w:r w:rsidR="002E1064" w:rsidRPr="003243FA">
        <w:t xml:space="preserve">Appendix A to </w:t>
      </w:r>
      <w:r w:rsidR="00B309D4" w:rsidRPr="003243FA">
        <w:rPr>
          <w:rFonts w:cs="Arial"/>
        </w:rPr>
        <w:t>the</w:t>
      </w:r>
      <w:r w:rsidR="00B309D4" w:rsidRPr="003243FA">
        <w:rPr>
          <w:rFonts w:cs="Arial"/>
          <w:b/>
          <w:bCs/>
        </w:rPr>
        <w:t xml:space="preserve"> </w:t>
      </w:r>
      <w:r w:rsidR="00B309D4" w:rsidRPr="003243FA">
        <w:rPr>
          <w:rFonts w:cs="Arial"/>
        </w:rPr>
        <w:t>Code</w:t>
      </w:r>
      <w:r w:rsidR="002E1064" w:rsidRPr="003243FA">
        <w:t>.</w:t>
      </w:r>
    </w:p>
    <w:p w14:paraId="790E648D" w14:textId="4BE73ABA" w:rsidR="00513335" w:rsidRPr="003243FA" w:rsidRDefault="00513335" w:rsidP="00513335">
      <w:pPr>
        <w:pStyle w:val="ACMAHeading2"/>
      </w:pPr>
      <w:r w:rsidRPr="003243FA">
        <w:lastRenderedPageBreak/>
        <w:t xml:space="preserve">Issue </w:t>
      </w:r>
      <w:r w:rsidR="00A00E7A" w:rsidRPr="003243FA">
        <w:t>1</w:t>
      </w:r>
      <w:r w:rsidRPr="003243FA">
        <w:t xml:space="preserve">: </w:t>
      </w:r>
      <w:r w:rsidR="00D37F5E" w:rsidRPr="003243FA">
        <w:t>Broadcast of Betting Advertising</w:t>
      </w:r>
    </w:p>
    <w:p w14:paraId="38347161" w14:textId="17497E6A" w:rsidR="00513335" w:rsidRPr="003243FA" w:rsidRDefault="00513335" w:rsidP="00513335">
      <w:pPr>
        <w:pStyle w:val="ACMAHeading2"/>
      </w:pPr>
      <w:r w:rsidRPr="003243FA">
        <w:t>Finding</w:t>
      </w:r>
    </w:p>
    <w:p w14:paraId="4EEE6F54" w14:textId="05DE31C9" w:rsidR="00513335" w:rsidRPr="003243FA" w:rsidRDefault="00513335" w:rsidP="00513335">
      <w:pPr>
        <w:pStyle w:val="ACMABodyText"/>
      </w:pPr>
      <w:r w:rsidRPr="003243FA">
        <w:t>The ACMA</w:t>
      </w:r>
      <w:r w:rsidR="00A00E7A" w:rsidRPr="003243FA">
        <w:t xml:space="preserve"> </w:t>
      </w:r>
      <w:r w:rsidR="00775877">
        <w:t>find</w:t>
      </w:r>
      <w:r w:rsidR="0018740E">
        <w:t>s</w:t>
      </w:r>
      <w:r w:rsidRPr="003243FA">
        <w:t xml:space="preserve"> that </w:t>
      </w:r>
      <w:r w:rsidR="00A85AD4" w:rsidRPr="003243FA">
        <w:t>the Licensee</w:t>
      </w:r>
      <w:r w:rsidR="00FF3CFD" w:rsidRPr="003243FA">
        <w:t xml:space="preserve"> </w:t>
      </w:r>
      <w:r w:rsidR="0018740E">
        <w:t xml:space="preserve">did not </w:t>
      </w:r>
      <w:r w:rsidR="00FF3CFD" w:rsidRPr="003243FA">
        <w:t xml:space="preserve">breach </w:t>
      </w:r>
      <w:r w:rsidRPr="003243FA">
        <w:t xml:space="preserve">clause 2 of Appendix A to the Code in relation to the </w:t>
      </w:r>
      <w:r w:rsidR="00A00E7A" w:rsidRPr="003243FA">
        <w:t xml:space="preserve">broadcast of gambling advertisements during live coverage of the </w:t>
      </w:r>
      <w:r w:rsidR="00296AE3" w:rsidRPr="003243FA">
        <w:t>Tennis Match</w:t>
      </w:r>
      <w:r w:rsidRPr="003243FA">
        <w:t xml:space="preserve">. </w:t>
      </w:r>
    </w:p>
    <w:p w14:paraId="2C31C23B" w14:textId="77777777" w:rsidR="00513335" w:rsidRPr="003243FA" w:rsidDel="00A32790" w:rsidRDefault="00513335" w:rsidP="00513335">
      <w:pPr>
        <w:pStyle w:val="ACMAHeading2"/>
      </w:pPr>
      <w:r w:rsidRPr="003243FA" w:rsidDel="00A32790">
        <w:t>Reasons</w:t>
      </w:r>
    </w:p>
    <w:p w14:paraId="57E5E9F6" w14:textId="77777777" w:rsidR="00513335" w:rsidRPr="003243FA" w:rsidRDefault="00513335" w:rsidP="00513335">
      <w:pPr>
        <w:pStyle w:val="ACMABodyText"/>
      </w:pPr>
      <w:bookmarkStart w:id="2" w:name="_Hlk15566159"/>
      <w:r w:rsidRPr="003243FA">
        <w:t xml:space="preserve">The ACMA asked the following questions: </w:t>
      </w:r>
    </w:p>
    <w:p w14:paraId="7801CA74" w14:textId="4C9288F6" w:rsidR="00513335" w:rsidRPr="003243FA" w:rsidRDefault="00A85AD4" w:rsidP="00875167">
      <w:pPr>
        <w:pStyle w:val="ListParagraph"/>
        <w:numPr>
          <w:ilvl w:val="0"/>
          <w:numId w:val="6"/>
        </w:numPr>
        <w:suppressAutoHyphens/>
        <w:spacing w:before="0" w:after="120" w:line="240" w:lineRule="atLeast"/>
        <w:contextualSpacing w:val="0"/>
        <w:rPr>
          <w:i w:val="0"/>
        </w:rPr>
      </w:pPr>
      <w:r w:rsidRPr="003243FA">
        <w:rPr>
          <w:i w:val="0"/>
        </w:rPr>
        <w:t>Were</w:t>
      </w:r>
      <w:r w:rsidR="00513335" w:rsidRPr="003243FA">
        <w:rPr>
          <w:i w:val="0"/>
        </w:rPr>
        <w:t xml:space="preserve"> advertisements </w:t>
      </w:r>
      <w:r w:rsidRPr="003243FA">
        <w:rPr>
          <w:i w:val="0"/>
        </w:rPr>
        <w:t xml:space="preserve">that </w:t>
      </w:r>
      <w:r w:rsidR="00513335" w:rsidRPr="003243FA">
        <w:rPr>
          <w:i w:val="0"/>
        </w:rPr>
        <w:t>f</w:t>
      </w:r>
      <w:r w:rsidRPr="003243FA">
        <w:rPr>
          <w:i w:val="0"/>
        </w:rPr>
        <w:t>e</w:t>
      </w:r>
      <w:r w:rsidR="00513335" w:rsidRPr="003243FA">
        <w:rPr>
          <w:i w:val="0"/>
        </w:rPr>
        <w:t>ll within the definition of Betting Advertising</w:t>
      </w:r>
      <w:r w:rsidR="006D167D" w:rsidRPr="003243FA">
        <w:rPr>
          <w:i w:val="0"/>
        </w:rPr>
        <w:t xml:space="preserve"> shown during the Tennis Match</w:t>
      </w:r>
      <w:r w:rsidR="00513335" w:rsidRPr="003243FA">
        <w:rPr>
          <w:i w:val="0"/>
        </w:rPr>
        <w:t>?</w:t>
      </w:r>
    </w:p>
    <w:p w14:paraId="77C0B8A7" w14:textId="77777777" w:rsidR="00513335" w:rsidRPr="003243FA" w:rsidRDefault="00513335" w:rsidP="00875167">
      <w:pPr>
        <w:pStyle w:val="ListParagraph"/>
        <w:numPr>
          <w:ilvl w:val="0"/>
          <w:numId w:val="6"/>
        </w:numPr>
        <w:suppressAutoHyphens/>
        <w:spacing w:before="0" w:after="120" w:line="240" w:lineRule="atLeast"/>
        <w:contextualSpacing w:val="0"/>
        <w:rPr>
          <w:i w:val="0"/>
        </w:rPr>
      </w:pPr>
      <w:r w:rsidRPr="003243FA">
        <w:rPr>
          <w:i w:val="0"/>
        </w:rPr>
        <w:t>What were the relevant restrictions?</w:t>
      </w:r>
    </w:p>
    <w:p w14:paraId="3778C9E4" w14:textId="77777777" w:rsidR="00513335" w:rsidRPr="003243FA" w:rsidRDefault="00513335" w:rsidP="00875167">
      <w:pPr>
        <w:pStyle w:val="ListParagraph"/>
        <w:numPr>
          <w:ilvl w:val="0"/>
          <w:numId w:val="6"/>
        </w:numPr>
        <w:suppressAutoHyphens/>
        <w:spacing w:before="0" w:line="240" w:lineRule="atLeast"/>
        <w:contextualSpacing w:val="0"/>
        <w:rPr>
          <w:i w:val="0"/>
        </w:rPr>
      </w:pPr>
      <w:bookmarkStart w:id="3" w:name="_Hlk15566094"/>
      <w:bookmarkEnd w:id="2"/>
      <w:r w:rsidRPr="003243FA">
        <w:rPr>
          <w:i w:val="0"/>
        </w:rPr>
        <w:t>Was Betting Advertising</w:t>
      </w:r>
      <w:bookmarkEnd w:id="3"/>
      <w:r w:rsidRPr="003243FA">
        <w:rPr>
          <w:i w:val="0"/>
        </w:rPr>
        <w:t xml:space="preserve"> shown at prohibited times during the Live Sporting Event?</w:t>
      </w:r>
    </w:p>
    <w:p w14:paraId="63A49925" w14:textId="5366B2B5" w:rsidR="00DD451D" w:rsidRPr="003243FA" w:rsidRDefault="00DD451D" w:rsidP="00875167">
      <w:pPr>
        <w:pStyle w:val="ACMABodyText"/>
        <w:numPr>
          <w:ilvl w:val="0"/>
          <w:numId w:val="3"/>
        </w:numPr>
        <w:rPr>
          <w:b/>
          <w:bCs/>
          <w:i/>
          <w:iCs/>
        </w:rPr>
      </w:pPr>
      <w:r w:rsidRPr="003243FA">
        <w:rPr>
          <w:b/>
          <w:bCs/>
          <w:iCs/>
        </w:rPr>
        <w:t xml:space="preserve">Were advertisements </w:t>
      </w:r>
      <w:r w:rsidR="00C7267A" w:rsidRPr="003243FA">
        <w:rPr>
          <w:b/>
          <w:bCs/>
        </w:rPr>
        <w:t>that fell within the definition of Betting Advertising shown during the Tennis Match</w:t>
      </w:r>
      <w:r w:rsidRPr="003243FA">
        <w:rPr>
          <w:b/>
          <w:bCs/>
          <w:iCs/>
        </w:rPr>
        <w:t>?</w:t>
      </w:r>
    </w:p>
    <w:p w14:paraId="734513AE" w14:textId="79BA3107" w:rsidR="00513335" w:rsidRPr="003243FA" w:rsidRDefault="00513335" w:rsidP="003330BA">
      <w:pPr>
        <w:suppressAutoHyphens/>
        <w:spacing w:before="0" w:after="120" w:line="240" w:lineRule="atLeast"/>
        <w:rPr>
          <w:i w:val="0"/>
          <w:snapToGrid w:val="0"/>
          <w:szCs w:val="20"/>
        </w:rPr>
      </w:pPr>
      <w:r w:rsidRPr="003243FA">
        <w:rPr>
          <w:i w:val="0"/>
          <w:snapToGrid w:val="0"/>
          <w:szCs w:val="20"/>
        </w:rPr>
        <w:t>Betting Advertising is defined</w:t>
      </w:r>
      <w:r w:rsidR="004145C0" w:rsidRPr="003243FA">
        <w:rPr>
          <w:i w:val="0"/>
          <w:snapToGrid w:val="0"/>
          <w:szCs w:val="20"/>
        </w:rPr>
        <w:t xml:space="preserve"> in clause 21 of Appendix A to the Code</w:t>
      </w:r>
      <w:r w:rsidR="00DB116B" w:rsidRPr="003243FA">
        <w:rPr>
          <w:rFonts w:eastAsia="Calibri" w:cs="Arial"/>
          <w:i w:val="0"/>
          <w:szCs w:val="22"/>
        </w:rPr>
        <w:t xml:space="preserve"> to include any writing, still or moving pictures, signs, symbols or other visual images or any audible message(s) (or any combination of those things) that comprises</w:t>
      </w:r>
      <w:r w:rsidRPr="003243FA">
        <w:rPr>
          <w:i w:val="0"/>
          <w:snapToGrid w:val="0"/>
          <w:szCs w:val="20"/>
        </w:rPr>
        <w:t xml:space="preserve"> a distinct promotional reference to:</w:t>
      </w:r>
    </w:p>
    <w:p w14:paraId="3C10FB76" w14:textId="77777777" w:rsidR="00513335" w:rsidRPr="003243FA" w:rsidRDefault="00513335" w:rsidP="00875167">
      <w:pPr>
        <w:pStyle w:val="ListParagraph"/>
        <w:numPr>
          <w:ilvl w:val="0"/>
          <w:numId w:val="4"/>
        </w:numPr>
        <w:suppressAutoHyphens/>
        <w:spacing w:before="0" w:after="120" w:line="240" w:lineRule="atLeast"/>
        <w:ind w:left="720"/>
        <w:rPr>
          <w:i w:val="0"/>
          <w:snapToGrid w:val="0"/>
          <w:szCs w:val="20"/>
        </w:rPr>
      </w:pPr>
      <w:r w:rsidRPr="003243FA">
        <w:rPr>
          <w:i w:val="0"/>
          <w:snapToGrid w:val="0"/>
          <w:szCs w:val="20"/>
        </w:rPr>
        <w:t>a gambling or betting service; or</w:t>
      </w:r>
    </w:p>
    <w:p w14:paraId="728BC471" w14:textId="77777777" w:rsidR="00513335" w:rsidRPr="003243FA" w:rsidRDefault="00513335" w:rsidP="00875167">
      <w:pPr>
        <w:pStyle w:val="ListParagraph"/>
        <w:numPr>
          <w:ilvl w:val="0"/>
          <w:numId w:val="4"/>
        </w:numPr>
        <w:suppressAutoHyphens/>
        <w:spacing w:before="0" w:line="240" w:lineRule="atLeast"/>
        <w:ind w:left="720"/>
        <w:rPr>
          <w:i w:val="0"/>
          <w:snapToGrid w:val="0"/>
          <w:szCs w:val="20"/>
        </w:rPr>
      </w:pPr>
      <w:r w:rsidRPr="003243FA">
        <w:rPr>
          <w:i w:val="0"/>
          <w:snapToGrid w:val="0"/>
          <w:szCs w:val="20"/>
        </w:rPr>
        <w:t>a gambling or betting organisation (including generic information about a gambling or betting organisation’s brand, business or services).</w:t>
      </w:r>
    </w:p>
    <w:p w14:paraId="32CED1F0" w14:textId="38289EF9" w:rsidR="001C3970" w:rsidRPr="003243FA" w:rsidRDefault="00D37F5E" w:rsidP="003330BA">
      <w:pPr>
        <w:pStyle w:val="ACMABodyText"/>
      </w:pPr>
      <w:r w:rsidRPr="003243FA">
        <w:t>The</w:t>
      </w:r>
      <w:r w:rsidR="001C3970" w:rsidRPr="003243FA">
        <w:t xml:space="preserve"> </w:t>
      </w:r>
      <w:r w:rsidR="00565D6F" w:rsidRPr="003243FA">
        <w:t xml:space="preserve">recording </w:t>
      </w:r>
      <w:r w:rsidR="001C3970" w:rsidRPr="003243FA">
        <w:t>of the Tennis Match provided by the Licensee indicated that a</w:t>
      </w:r>
      <w:r w:rsidR="00513335" w:rsidRPr="003243FA">
        <w:t xml:space="preserve">dvertisements </w:t>
      </w:r>
      <w:r w:rsidR="00B80514" w:rsidRPr="003243FA">
        <w:t xml:space="preserve">promoting services </w:t>
      </w:r>
      <w:r w:rsidR="007310E7" w:rsidRPr="003243FA">
        <w:t xml:space="preserve">offered </w:t>
      </w:r>
      <w:r w:rsidR="00B80514" w:rsidRPr="003243FA">
        <w:t>by</w:t>
      </w:r>
      <w:r w:rsidR="00513335" w:rsidRPr="003243FA">
        <w:t xml:space="preserve"> </w:t>
      </w:r>
      <w:r w:rsidR="00CA6881" w:rsidRPr="00CA6881">
        <w:t>[Betting Company 1]</w:t>
      </w:r>
      <w:r w:rsidR="00CA6881" w:rsidRPr="00CA6881">
        <w:rPr>
          <w:i/>
          <w:iCs/>
        </w:rPr>
        <w:t xml:space="preserve"> </w:t>
      </w:r>
      <w:r w:rsidR="00513335" w:rsidRPr="003243FA">
        <w:t xml:space="preserve">were broadcast during coverage of the </w:t>
      </w:r>
      <w:r w:rsidR="00AD5D19" w:rsidRPr="003243FA">
        <w:t>Tennis Match</w:t>
      </w:r>
      <w:r w:rsidR="00513335" w:rsidRPr="003243FA">
        <w:t xml:space="preserve">. </w:t>
      </w:r>
    </w:p>
    <w:p w14:paraId="3FF5BC66" w14:textId="10C4DB59" w:rsidR="00513335" w:rsidRPr="003243FA" w:rsidRDefault="00CA6881" w:rsidP="003330BA">
      <w:pPr>
        <w:pStyle w:val="ACMABodyText"/>
      </w:pPr>
      <w:r>
        <w:t>[</w:t>
      </w:r>
      <w:r w:rsidR="00DF7A8D" w:rsidRPr="00DF7A8D">
        <w:t>Betting Company 1</w:t>
      </w:r>
      <w:r>
        <w:t>]</w:t>
      </w:r>
      <w:r w:rsidR="00DF7A8D" w:rsidRPr="003243FA">
        <w:t xml:space="preserve"> </w:t>
      </w:r>
      <w:r w:rsidR="00837606" w:rsidRPr="003243FA">
        <w:t>provides</w:t>
      </w:r>
      <w:r w:rsidR="00513335" w:rsidRPr="003243FA">
        <w:t xml:space="preserve"> services </w:t>
      </w:r>
      <w:r w:rsidR="00A71B81" w:rsidRPr="003243FA">
        <w:t xml:space="preserve">for </w:t>
      </w:r>
      <w:r w:rsidR="007F04A5" w:rsidRPr="003243FA">
        <w:t>‘</w:t>
      </w:r>
      <w:r w:rsidR="00EC51D6" w:rsidRPr="003243FA">
        <w:t xml:space="preserve">sports and racing betting products </w:t>
      </w:r>
      <w:r w:rsidR="00A71B81" w:rsidRPr="003243FA">
        <w:t>as well as</w:t>
      </w:r>
      <w:r w:rsidR="00EC51D6" w:rsidRPr="003243FA">
        <w:t xml:space="preserve"> online and telephone clients via its online wagering platform and mobile applications</w:t>
      </w:r>
      <w:r w:rsidR="007F04A5" w:rsidRPr="003243FA">
        <w:t>’</w:t>
      </w:r>
      <w:r w:rsidR="001E3CD3" w:rsidRPr="003243FA">
        <w:t>.</w:t>
      </w:r>
      <w:r w:rsidR="007F04A5" w:rsidRPr="003243FA">
        <w:rPr>
          <w:rStyle w:val="FootnoteReference"/>
        </w:rPr>
        <w:footnoteReference w:id="2"/>
      </w:r>
      <w:r w:rsidR="00EC51D6" w:rsidRPr="003243FA" w:rsidDel="00EC51D6">
        <w:t xml:space="preserve"> </w:t>
      </w:r>
      <w:r w:rsidRPr="006C5CF6">
        <w:t>[Betting Company 1]</w:t>
      </w:r>
      <w:r w:rsidR="00513335" w:rsidRPr="003243FA">
        <w:rPr>
          <w:i/>
          <w:iCs/>
        </w:rPr>
        <w:t xml:space="preserve"> </w:t>
      </w:r>
      <w:r w:rsidR="0096689C" w:rsidRPr="003243FA">
        <w:t xml:space="preserve">is </w:t>
      </w:r>
      <w:r w:rsidR="00513335" w:rsidRPr="003243FA">
        <w:t>listed on the ACMA’s Register of Licensed Interactive Wagering Services</w:t>
      </w:r>
      <w:r w:rsidR="00334CEF" w:rsidRPr="003243FA">
        <w:t xml:space="preserve"> and</w:t>
      </w:r>
      <w:r w:rsidR="001C3970" w:rsidRPr="003243FA">
        <w:t xml:space="preserve"> is licensed by the Northern Territory Racing Commission as an online gambling service.</w:t>
      </w:r>
    </w:p>
    <w:p w14:paraId="51497CAE" w14:textId="72F6EC1B" w:rsidR="00513335" w:rsidRPr="003243FA" w:rsidRDefault="00513335" w:rsidP="003330BA">
      <w:pPr>
        <w:pStyle w:val="ACMABodyText"/>
        <w:rPr>
          <w:i/>
          <w:lang w:eastAsia="en-AU"/>
        </w:rPr>
      </w:pPr>
      <w:bookmarkStart w:id="4" w:name="_Hlk124786280"/>
      <w:r w:rsidRPr="003243FA">
        <w:rPr>
          <w:lang w:eastAsia="en-AU"/>
        </w:rPr>
        <w:t xml:space="preserve">Accordingly, </w:t>
      </w:r>
      <w:r w:rsidR="001C3970" w:rsidRPr="003243FA">
        <w:rPr>
          <w:lang w:eastAsia="en-AU"/>
        </w:rPr>
        <w:t>the ACMA considers</w:t>
      </w:r>
      <w:r w:rsidR="00E06809" w:rsidRPr="003243FA">
        <w:rPr>
          <w:lang w:eastAsia="en-AU"/>
        </w:rPr>
        <w:t xml:space="preserve"> that</w:t>
      </w:r>
      <w:r w:rsidR="001C3970" w:rsidRPr="003243FA">
        <w:rPr>
          <w:lang w:eastAsia="en-AU"/>
        </w:rPr>
        <w:t xml:space="preserve"> </w:t>
      </w:r>
      <w:r w:rsidR="00CA6881" w:rsidRPr="006C5CF6">
        <w:t>[Betting Company 1]</w:t>
      </w:r>
      <w:r w:rsidR="00774695">
        <w:t xml:space="preserve"> </w:t>
      </w:r>
      <w:r w:rsidR="00E06809" w:rsidRPr="003243FA">
        <w:rPr>
          <w:lang w:eastAsia="en-AU"/>
        </w:rPr>
        <w:t xml:space="preserve">is </w:t>
      </w:r>
      <w:r w:rsidR="00654846" w:rsidRPr="003243FA">
        <w:rPr>
          <w:lang w:eastAsia="en-AU"/>
        </w:rPr>
        <w:t xml:space="preserve">a </w:t>
      </w:r>
      <w:r w:rsidRPr="003243FA">
        <w:rPr>
          <w:lang w:eastAsia="en-AU"/>
        </w:rPr>
        <w:t>gambling or betting service</w:t>
      </w:r>
      <w:r w:rsidR="00E06809" w:rsidRPr="003243FA">
        <w:rPr>
          <w:lang w:eastAsia="en-AU"/>
        </w:rPr>
        <w:t>,</w:t>
      </w:r>
      <w:r w:rsidRPr="003243FA">
        <w:rPr>
          <w:lang w:eastAsia="en-AU"/>
        </w:rPr>
        <w:t xml:space="preserve"> and</w:t>
      </w:r>
      <w:r w:rsidR="00292B88" w:rsidRPr="003243FA">
        <w:rPr>
          <w:lang w:eastAsia="en-AU"/>
        </w:rPr>
        <w:t xml:space="preserve"> </w:t>
      </w:r>
      <w:r w:rsidR="00E06809" w:rsidRPr="003243FA">
        <w:rPr>
          <w:lang w:eastAsia="en-AU"/>
        </w:rPr>
        <w:t xml:space="preserve">that </w:t>
      </w:r>
      <w:r w:rsidRPr="003243FA">
        <w:rPr>
          <w:lang w:eastAsia="en-AU"/>
        </w:rPr>
        <w:t>advertisements for</w:t>
      </w:r>
      <w:r w:rsidR="00E06809" w:rsidRPr="003243FA">
        <w:rPr>
          <w:lang w:eastAsia="en-AU"/>
        </w:rPr>
        <w:t xml:space="preserve"> it</w:t>
      </w:r>
      <w:r w:rsidRPr="003243FA">
        <w:rPr>
          <w:lang w:eastAsia="en-AU"/>
        </w:rPr>
        <w:t xml:space="preserve"> fall within the definition of </w:t>
      </w:r>
      <w:r w:rsidRPr="003243FA">
        <w:t>Betting Advertising</w:t>
      </w:r>
      <w:r w:rsidRPr="003243FA">
        <w:rPr>
          <w:lang w:eastAsia="en-AU"/>
        </w:rPr>
        <w:t xml:space="preserve"> under Appendix A to the Code. </w:t>
      </w:r>
    </w:p>
    <w:bookmarkEnd w:id="4"/>
    <w:p w14:paraId="19EDE1CC" w14:textId="25448B2C" w:rsidR="00513335" w:rsidRPr="003243FA" w:rsidRDefault="00513335" w:rsidP="00875167">
      <w:pPr>
        <w:pStyle w:val="ACMABodyText"/>
        <w:numPr>
          <w:ilvl w:val="0"/>
          <w:numId w:val="3"/>
        </w:numPr>
        <w:rPr>
          <w:b/>
          <w:bCs/>
          <w:iCs/>
        </w:rPr>
      </w:pPr>
      <w:r w:rsidRPr="003243FA">
        <w:rPr>
          <w:b/>
          <w:bCs/>
          <w:iCs/>
        </w:rPr>
        <w:t>What were the relevant restrictions?</w:t>
      </w:r>
    </w:p>
    <w:p w14:paraId="3ECEF69C" w14:textId="6E3EC394" w:rsidR="00B855B9" w:rsidRPr="003243FA" w:rsidRDefault="00141758" w:rsidP="003330BA">
      <w:pPr>
        <w:pStyle w:val="ACMABodyText"/>
        <w:spacing w:after="120"/>
        <w:rPr>
          <w:iCs/>
        </w:rPr>
      </w:pPr>
      <w:r w:rsidRPr="003243FA">
        <w:rPr>
          <w:iCs/>
        </w:rPr>
        <w:t>Clause 1 of Appendix A sets out the restrictions on the broadcast of betting advertis</w:t>
      </w:r>
      <w:r w:rsidR="0002348C" w:rsidRPr="003243FA">
        <w:rPr>
          <w:iCs/>
        </w:rPr>
        <w:t>ing</w:t>
      </w:r>
      <w:r w:rsidRPr="003243FA">
        <w:rPr>
          <w:iCs/>
        </w:rPr>
        <w:t xml:space="preserve"> during a Live Sporting Event </w:t>
      </w:r>
      <w:r w:rsidR="0002348C" w:rsidRPr="003243FA">
        <w:rPr>
          <w:iCs/>
        </w:rPr>
        <w:t>between 5</w:t>
      </w:r>
      <w:r w:rsidR="00B77D63" w:rsidRPr="003243FA">
        <w:rPr>
          <w:iCs/>
        </w:rPr>
        <w:t>:</w:t>
      </w:r>
      <w:r w:rsidR="0002348C" w:rsidRPr="003243FA">
        <w:rPr>
          <w:iCs/>
        </w:rPr>
        <w:t>00</w:t>
      </w:r>
      <w:r w:rsidR="00B77D63" w:rsidRPr="003243FA">
        <w:rPr>
          <w:iCs/>
        </w:rPr>
        <w:t xml:space="preserve"> </w:t>
      </w:r>
      <w:r w:rsidR="0002348C" w:rsidRPr="003243FA">
        <w:rPr>
          <w:iCs/>
        </w:rPr>
        <w:t>am and 8</w:t>
      </w:r>
      <w:r w:rsidR="00B77D63" w:rsidRPr="003243FA">
        <w:rPr>
          <w:iCs/>
        </w:rPr>
        <w:t>:</w:t>
      </w:r>
      <w:r w:rsidR="0002348C" w:rsidRPr="003243FA">
        <w:rPr>
          <w:iCs/>
        </w:rPr>
        <w:t>30</w:t>
      </w:r>
      <w:r w:rsidR="00B77D63" w:rsidRPr="003243FA">
        <w:rPr>
          <w:iCs/>
        </w:rPr>
        <w:t xml:space="preserve"> </w:t>
      </w:r>
      <w:r w:rsidR="0002348C" w:rsidRPr="003243FA">
        <w:rPr>
          <w:iCs/>
        </w:rPr>
        <w:t>pm</w:t>
      </w:r>
      <w:r w:rsidR="00B855B9">
        <w:rPr>
          <w:iCs/>
        </w:rPr>
        <w:t>, which covers the period of time that the Tennis Match was broadcast</w:t>
      </w:r>
      <w:r w:rsidR="0002348C" w:rsidRPr="003243FA">
        <w:rPr>
          <w:iCs/>
        </w:rPr>
        <w:t xml:space="preserve">. </w:t>
      </w:r>
      <w:r w:rsidR="00B855B9">
        <w:rPr>
          <w:iCs/>
        </w:rPr>
        <w:t xml:space="preserve">However, clause 10 of Appendix A states that the clause 1 restrictions do not apply to </w:t>
      </w:r>
      <w:r w:rsidR="00A448C6" w:rsidRPr="003243FA">
        <w:rPr>
          <w:iCs/>
        </w:rPr>
        <w:t>Low Audience Share Channel</w:t>
      </w:r>
      <w:r w:rsidR="00B34ED9">
        <w:rPr>
          <w:iCs/>
        </w:rPr>
        <w:t>s</w:t>
      </w:r>
      <w:r w:rsidR="00BB547B">
        <w:rPr>
          <w:iCs/>
        </w:rPr>
        <w:t xml:space="preserve">, </w:t>
      </w:r>
      <w:r w:rsidR="00BB547B" w:rsidRPr="003243FA">
        <w:rPr>
          <w:iCs/>
        </w:rPr>
        <w:t>as defined in clause 21 of Appendix A</w:t>
      </w:r>
      <w:r w:rsidR="00B855B9">
        <w:rPr>
          <w:iCs/>
        </w:rPr>
        <w:t>.</w:t>
      </w:r>
    </w:p>
    <w:p w14:paraId="00F60A93" w14:textId="11B77271" w:rsidR="007F04A5" w:rsidRPr="003243FA" w:rsidRDefault="00EE6465" w:rsidP="003330BA">
      <w:pPr>
        <w:pStyle w:val="ACMABodyText"/>
        <w:spacing w:after="120"/>
        <w:rPr>
          <w:iCs/>
        </w:rPr>
      </w:pPr>
      <w:r>
        <w:rPr>
          <w:iCs/>
        </w:rPr>
        <w:lastRenderedPageBreak/>
        <w:t xml:space="preserve">For Low Audience Share Channels, </w:t>
      </w:r>
      <w:r w:rsidR="0002348C" w:rsidRPr="003243FA">
        <w:rPr>
          <w:iCs/>
        </w:rPr>
        <w:t>clause 11</w:t>
      </w:r>
      <w:r w:rsidR="00C60B65" w:rsidRPr="003243FA">
        <w:rPr>
          <w:iCs/>
        </w:rPr>
        <w:t xml:space="preserve"> of Appendix A</w:t>
      </w:r>
      <w:r>
        <w:rPr>
          <w:iCs/>
        </w:rPr>
        <w:t xml:space="preserve"> states that </w:t>
      </w:r>
      <w:r w:rsidR="0002348C" w:rsidRPr="003243FA">
        <w:rPr>
          <w:iCs/>
        </w:rPr>
        <w:t xml:space="preserve">the restrictions </w:t>
      </w:r>
      <w:r>
        <w:rPr>
          <w:iCs/>
        </w:rPr>
        <w:t xml:space="preserve">set out in clause 2 of Appendix A, </w:t>
      </w:r>
      <w:r w:rsidR="00172958">
        <w:rPr>
          <w:iCs/>
        </w:rPr>
        <w:t>covering the</w:t>
      </w:r>
      <w:r w:rsidR="00B77D63" w:rsidRPr="003243FA">
        <w:rPr>
          <w:iCs/>
        </w:rPr>
        <w:t xml:space="preserve"> period </w:t>
      </w:r>
      <w:r w:rsidR="007F04A5" w:rsidRPr="003243FA">
        <w:rPr>
          <w:iCs/>
        </w:rPr>
        <w:t>8</w:t>
      </w:r>
      <w:r w:rsidR="00B77D63" w:rsidRPr="003243FA">
        <w:rPr>
          <w:iCs/>
        </w:rPr>
        <w:t>:</w:t>
      </w:r>
      <w:r w:rsidR="007F04A5" w:rsidRPr="003243FA">
        <w:rPr>
          <w:iCs/>
        </w:rPr>
        <w:t>30</w:t>
      </w:r>
      <w:r w:rsidR="00B77D63" w:rsidRPr="003243FA">
        <w:rPr>
          <w:iCs/>
        </w:rPr>
        <w:t xml:space="preserve"> </w:t>
      </w:r>
      <w:r w:rsidR="007F04A5" w:rsidRPr="003243FA">
        <w:rPr>
          <w:iCs/>
        </w:rPr>
        <w:t>pm to 5</w:t>
      </w:r>
      <w:r w:rsidR="00B77D63" w:rsidRPr="003243FA">
        <w:rPr>
          <w:iCs/>
        </w:rPr>
        <w:t>:</w:t>
      </w:r>
      <w:r w:rsidR="007F04A5" w:rsidRPr="003243FA">
        <w:rPr>
          <w:iCs/>
        </w:rPr>
        <w:t>00</w:t>
      </w:r>
      <w:r w:rsidR="00B77D63" w:rsidRPr="003243FA">
        <w:rPr>
          <w:iCs/>
        </w:rPr>
        <w:t xml:space="preserve"> </w:t>
      </w:r>
      <w:r w:rsidR="007F04A5" w:rsidRPr="003243FA">
        <w:rPr>
          <w:iCs/>
        </w:rPr>
        <w:t>am</w:t>
      </w:r>
      <w:r w:rsidR="00B77D63" w:rsidRPr="003243FA">
        <w:rPr>
          <w:iCs/>
        </w:rPr>
        <w:t>,</w:t>
      </w:r>
      <w:r w:rsidR="007F04A5" w:rsidRPr="003243FA">
        <w:rPr>
          <w:iCs/>
        </w:rPr>
        <w:t xml:space="preserve"> </w:t>
      </w:r>
      <w:r w:rsidR="0002348C" w:rsidRPr="003243FA">
        <w:rPr>
          <w:iCs/>
        </w:rPr>
        <w:t>apply at all times</w:t>
      </w:r>
      <w:r w:rsidR="005D6AC0">
        <w:rPr>
          <w:iCs/>
        </w:rPr>
        <w:t>.</w:t>
      </w:r>
      <w:r w:rsidR="0002348C" w:rsidRPr="003243FA">
        <w:rPr>
          <w:iCs/>
        </w:rPr>
        <w:t xml:space="preserve"> </w:t>
      </w:r>
    </w:p>
    <w:p w14:paraId="418C7334" w14:textId="6F570B95" w:rsidR="0002348C" w:rsidRPr="003243FA" w:rsidRDefault="007F04A5" w:rsidP="003330BA">
      <w:pPr>
        <w:pStyle w:val="ACMABodyText"/>
        <w:spacing w:after="120"/>
        <w:rPr>
          <w:iCs/>
        </w:rPr>
      </w:pPr>
      <w:r w:rsidRPr="003243FA">
        <w:rPr>
          <w:iCs/>
        </w:rPr>
        <w:t>For the restrictions on Low Audience Channels to apply, t</w:t>
      </w:r>
      <w:r w:rsidR="0002348C" w:rsidRPr="003243FA">
        <w:rPr>
          <w:iCs/>
        </w:rPr>
        <w:t>he Licensee</w:t>
      </w:r>
      <w:r w:rsidRPr="003243FA">
        <w:rPr>
          <w:iCs/>
        </w:rPr>
        <w:t xml:space="preserve"> must have</w:t>
      </w:r>
      <w:r w:rsidR="0002348C" w:rsidRPr="003243FA">
        <w:rPr>
          <w:iCs/>
        </w:rPr>
        <w:t xml:space="preserve"> informed prospective viewers that this was the case </w:t>
      </w:r>
      <w:r w:rsidRPr="003243FA">
        <w:rPr>
          <w:iCs/>
        </w:rPr>
        <w:t>(clause 13</w:t>
      </w:r>
      <w:r w:rsidR="00504186" w:rsidRPr="003243FA">
        <w:rPr>
          <w:iCs/>
        </w:rPr>
        <w:t xml:space="preserve"> of Appendix A</w:t>
      </w:r>
      <w:r w:rsidRPr="003243FA">
        <w:rPr>
          <w:iCs/>
        </w:rPr>
        <w:t xml:space="preserve">) </w:t>
      </w:r>
      <w:r w:rsidR="0002348C" w:rsidRPr="003243FA">
        <w:rPr>
          <w:iCs/>
        </w:rPr>
        <w:t xml:space="preserve">and the Live Sporting Event </w:t>
      </w:r>
      <w:r w:rsidR="00855425" w:rsidRPr="003243FA">
        <w:rPr>
          <w:iCs/>
        </w:rPr>
        <w:t>must</w:t>
      </w:r>
      <w:r w:rsidR="0002348C" w:rsidRPr="003243FA">
        <w:rPr>
          <w:iCs/>
        </w:rPr>
        <w:t xml:space="preserve"> not</w:t>
      </w:r>
      <w:r w:rsidR="00855425" w:rsidRPr="003243FA">
        <w:rPr>
          <w:iCs/>
        </w:rPr>
        <w:t xml:space="preserve"> be</w:t>
      </w:r>
      <w:r w:rsidR="0002348C" w:rsidRPr="003243FA">
        <w:rPr>
          <w:iCs/>
        </w:rPr>
        <w:t xml:space="preserve"> a Listed Event</w:t>
      </w:r>
      <w:r w:rsidRPr="003243FA">
        <w:rPr>
          <w:iCs/>
        </w:rPr>
        <w:t xml:space="preserve"> (clause 1</w:t>
      </w:r>
      <w:r w:rsidR="009E6718" w:rsidRPr="003243FA">
        <w:rPr>
          <w:iCs/>
        </w:rPr>
        <w:t>1</w:t>
      </w:r>
      <w:r w:rsidR="00504186" w:rsidRPr="003243FA">
        <w:rPr>
          <w:iCs/>
        </w:rPr>
        <w:t xml:space="preserve"> of Appendix A</w:t>
      </w:r>
      <w:r w:rsidRPr="003243FA">
        <w:rPr>
          <w:iCs/>
        </w:rPr>
        <w:t>)</w:t>
      </w:r>
      <w:r w:rsidR="0002348C" w:rsidRPr="003243FA">
        <w:rPr>
          <w:iCs/>
        </w:rPr>
        <w:t>.</w:t>
      </w:r>
    </w:p>
    <w:p w14:paraId="7FE6F6F8" w14:textId="46E14B7E" w:rsidR="00621421" w:rsidRPr="003243FA" w:rsidRDefault="0002348C" w:rsidP="003330BA">
      <w:pPr>
        <w:pStyle w:val="ACMABodyText"/>
        <w:spacing w:after="120"/>
        <w:rPr>
          <w:iCs/>
        </w:rPr>
      </w:pPr>
      <w:r w:rsidRPr="003243FA">
        <w:rPr>
          <w:iCs/>
        </w:rPr>
        <w:t>Therefore, to determine which restrictions applied to the Tennis Match,</w:t>
      </w:r>
      <w:r w:rsidR="00621421" w:rsidRPr="003243FA">
        <w:rPr>
          <w:iCs/>
        </w:rPr>
        <w:t xml:space="preserve"> </w:t>
      </w:r>
      <w:r w:rsidR="001C3970" w:rsidRPr="003243FA">
        <w:rPr>
          <w:iCs/>
        </w:rPr>
        <w:t xml:space="preserve">the ACMA has considered </w:t>
      </w:r>
      <w:r w:rsidR="00621421" w:rsidRPr="003243FA">
        <w:rPr>
          <w:iCs/>
        </w:rPr>
        <w:t>whether:</w:t>
      </w:r>
    </w:p>
    <w:p w14:paraId="5A9D775C" w14:textId="3B79FCE8" w:rsidR="00621421" w:rsidRPr="003243FA" w:rsidRDefault="00621421" w:rsidP="00875167">
      <w:pPr>
        <w:pStyle w:val="ListParagraph"/>
        <w:numPr>
          <w:ilvl w:val="0"/>
          <w:numId w:val="10"/>
        </w:numPr>
        <w:suppressAutoHyphens/>
        <w:spacing w:before="0" w:after="120" w:line="240" w:lineRule="atLeast"/>
        <w:contextualSpacing w:val="0"/>
        <w:rPr>
          <w:i w:val="0"/>
        </w:rPr>
      </w:pPr>
      <w:r w:rsidRPr="003243FA">
        <w:rPr>
          <w:i w:val="0"/>
        </w:rPr>
        <w:t xml:space="preserve">beIN Sports 2 was a Low Audience Share Channel. </w:t>
      </w:r>
    </w:p>
    <w:p w14:paraId="1BB21121" w14:textId="5F23B450" w:rsidR="00621421" w:rsidRPr="003243FA" w:rsidRDefault="00E06809" w:rsidP="00875167">
      <w:pPr>
        <w:pStyle w:val="ListParagraph"/>
        <w:numPr>
          <w:ilvl w:val="0"/>
          <w:numId w:val="10"/>
        </w:numPr>
        <w:suppressAutoHyphens/>
        <w:spacing w:before="0" w:after="120" w:line="240" w:lineRule="atLeast"/>
        <w:contextualSpacing w:val="0"/>
        <w:rPr>
          <w:i w:val="0"/>
        </w:rPr>
      </w:pPr>
      <w:r w:rsidRPr="003243FA">
        <w:rPr>
          <w:i w:val="0"/>
        </w:rPr>
        <w:t>t</w:t>
      </w:r>
      <w:r w:rsidR="002D77C5" w:rsidRPr="003243FA">
        <w:rPr>
          <w:i w:val="0"/>
        </w:rPr>
        <w:t xml:space="preserve">he Licensee </w:t>
      </w:r>
      <w:r w:rsidR="00621421" w:rsidRPr="003243FA">
        <w:rPr>
          <w:i w:val="0"/>
        </w:rPr>
        <w:t>fulfilled the conditions in clause 13</w:t>
      </w:r>
      <w:r w:rsidR="004331CB" w:rsidRPr="003243FA">
        <w:rPr>
          <w:i w:val="0"/>
        </w:rPr>
        <w:t xml:space="preserve"> of Appendix A</w:t>
      </w:r>
      <w:r w:rsidR="00621421" w:rsidRPr="003243FA">
        <w:rPr>
          <w:i w:val="0"/>
        </w:rPr>
        <w:t xml:space="preserve"> of the </w:t>
      </w:r>
      <w:r w:rsidR="00322716" w:rsidRPr="003243FA">
        <w:rPr>
          <w:i w:val="0"/>
        </w:rPr>
        <w:t>Code</w:t>
      </w:r>
      <w:r w:rsidR="00621421" w:rsidRPr="003243FA">
        <w:rPr>
          <w:i w:val="0"/>
        </w:rPr>
        <w:t xml:space="preserve"> </w:t>
      </w:r>
      <w:r w:rsidR="009934BF" w:rsidRPr="003243FA">
        <w:rPr>
          <w:i w:val="0"/>
        </w:rPr>
        <w:t>by</w:t>
      </w:r>
      <w:r w:rsidR="00621421" w:rsidRPr="003243FA">
        <w:rPr>
          <w:i w:val="0"/>
        </w:rPr>
        <w:t xml:space="preserve"> inform</w:t>
      </w:r>
      <w:r w:rsidR="009934BF" w:rsidRPr="003243FA">
        <w:rPr>
          <w:i w:val="0"/>
        </w:rPr>
        <w:t>ing</w:t>
      </w:r>
      <w:r w:rsidR="00621421" w:rsidRPr="003243FA">
        <w:rPr>
          <w:i w:val="0"/>
        </w:rPr>
        <w:t xml:space="preserve"> viewers about the Low Audience Share Channel exemptions that apply to beIN Sports 2. </w:t>
      </w:r>
    </w:p>
    <w:p w14:paraId="3AAE167B" w14:textId="1468890C" w:rsidR="001C3970" w:rsidRPr="003243FA" w:rsidRDefault="00E06809" w:rsidP="00875167">
      <w:pPr>
        <w:pStyle w:val="ListParagraph"/>
        <w:numPr>
          <w:ilvl w:val="0"/>
          <w:numId w:val="10"/>
        </w:numPr>
        <w:suppressAutoHyphens/>
        <w:spacing w:before="0" w:after="120" w:line="240" w:lineRule="atLeast"/>
        <w:contextualSpacing w:val="0"/>
        <w:rPr>
          <w:i w:val="0"/>
        </w:rPr>
      </w:pPr>
      <w:r w:rsidRPr="003243FA">
        <w:rPr>
          <w:i w:val="0"/>
        </w:rPr>
        <w:t>t</w:t>
      </w:r>
      <w:r w:rsidR="001C3970" w:rsidRPr="003243FA">
        <w:rPr>
          <w:i w:val="0"/>
        </w:rPr>
        <w:t>he Tennis Match was a ‘Listed Event’.</w:t>
      </w:r>
    </w:p>
    <w:p w14:paraId="0C6FB62E" w14:textId="03B41C41" w:rsidR="00513335" w:rsidRPr="003243FA" w:rsidRDefault="00513335" w:rsidP="00875167">
      <w:pPr>
        <w:pStyle w:val="ACMABodyText"/>
        <w:numPr>
          <w:ilvl w:val="0"/>
          <w:numId w:val="5"/>
        </w:numPr>
        <w:ind w:left="284" w:hanging="142"/>
        <w:rPr>
          <w:u w:val="single"/>
        </w:rPr>
      </w:pPr>
      <w:r w:rsidRPr="003243FA">
        <w:rPr>
          <w:u w:val="single"/>
        </w:rPr>
        <w:t xml:space="preserve">Was </w:t>
      </w:r>
      <w:r w:rsidR="00EC6C8E" w:rsidRPr="003243FA">
        <w:rPr>
          <w:u w:val="single"/>
        </w:rPr>
        <w:t>beI</w:t>
      </w:r>
      <w:r w:rsidR="00621421" w:rsidRPr="003243FA">
        <w:rPr>
          <w:u w:val="single"/>
        </w:rPr>
        <w:t>N</w:t>
      </w:r>
      <w:r w:rsidR="00EC6C8E" w:rsidRPr="003243FA">
        <w:rPr>
          <w:u w:val="single"/>
        </w:rPr>
        <w:t xml:space="preserve"> Sports 2</w:t>
      </w:r>
      <w:r w:rsidRPr="003243FA">
        <w:rPr>
          <w:u w:val="single"/>
        </w:rPr>
        <w:t xml:space="preserve"> a ‘Low Audience Share Channel’ for the purposes of the </w:t>
      </w:r>
      <w:r w:rsidR="009934BF" w:rsidRPr="003243FA">
        <w:rPr>
          <w:u w:val="single"/>
        </w:rPr>
        <w:t>Tennis Match</w:t>
      </w:r>
      <w:r w:rsidRPr="003243FA">
        <w:rPr>
          <w:u w:val="single"/>
        </w:rPr>
        <w:t xml:space="preserve">? </w:t>
      </w:r>
    </w:p>
    <w:p w14:paraId="34ACC519" w14:textId="77C93BF3" w:rsidR="00513335" w:rsidRPr="003243FA" w:rsidRDefault="00513335" w:rsidP="003330BA">
      <w:pPr>
        <w:pStyle w:val="ACMABodyText"/>
      </w:pPr>
      <w:r w:rsidRPr="003243FA">
        <w:t>Under</w:t>
      </w:r>
      <w:r w:rsidR="00B516DA" w:rsidRPr="003243FA">
        <w:t xml:space="preserve"> clause 21</w:t>
      </w:r>
      <w:r w:rsidR="004331CB" w:rsidRPr="003243FA">
        <w:t xml:space="preserve"> of Appendix A</w:t>
      </w:r>
      <w:r w:rsidR="00B516DA" w:rsidRPr="003243FA">
        <w:t xml:space="preserve"> </w:t>
      </w:r>
      <w:r w:rsidR="004331CB" w:rsidRPr="003243FA">
        <w:t xml:space="preserve">to </w:t>
      </w:r>
      <w:r w:rsidRPr="003243FA">
        <w:t>the Code</w:t>
      </w:r>
      <w:r w:rsidR="00487317" w:rsidRPr="003243FA">
        <w:t>,</w:t>
      </w:r>
      <w:r w:rsidRPr="003243FA">
        <w:t xml:space="preserve"> a ‘Low Audience Share Channel’ </w:t>
      </w:r>
      <w:r w:rsidR="00B516DA" w:rsidRPr="003243FA">
        <w:t>is</w:t>
      </w:r>
      <w:r w:rsidRPr="003243FA">
        <w:t xml:space="preserve"> a television sports channel that has an average share of the metropolitan broadcast television (free-to-air television and subscription television) audience of 0.5% or smaller</w:t>
      </w:r>
      <w:r w:rsidR="00F437F2" w:rsidRPr="003243FA">
        <w:t>,</w:t>
      </w:r>
      <w:r w:rsidRPr="003243FA">
        <w:t xml:space="preserve"> over a period of the three previous consecutive financial years.</w:t>
      </w:r>
    </w:p>
    <w:p w14:paraId="4A7D58CE" w14:textId="7E0DBFC7" w:rsidR="00513335" w:rsidRPr="003243FA" w:rsidRDefault="005E7B8A" w:rsidP="003330BA">
      <w:pPr>
        <w:pStyle w:val="ACMABodyText"/>
        <w:rPr>
          <w:lang w:eastAsia="en-AU"/>
        </w:rPr>
      </w:pPr>
      <w:r w:rsidRPr="003243FA">
        <w:rPr>
          <w:lang w:eastAsia="en-AU"/>
        </w:rPr>
        <w:t xml:space="preserve">Under </w:t>
      </w:r>
      <w:r w:rsidR="00A035F2" w:rsidRPr="003243FA">
        <w:rPr>
          <w:lang w:eastAsia="en-AU"/>
        </w:rPr>
        <w:t>sub</w:t>
      </w:r>
      <w:r w:rsidRPr="003243FA">
        <w:rPr>
          <w:lang w:eastAsia="en-AU"/>
        </w:rPr>
        <w:t>clause 20</w:t>
      </w:r>
      <w:r w:rsidR="00583BF1" w:rsidRPr="003243FA">
        <w:rPr>
          <w:lang w:eastAsia="en-AU"/>
        </w:rPr>
        <w:t>(c)</w:t>
      </w:r>
      <w:r w:rsidR="00A035F2" w:rsidRPr="003243FA">
        <w:rPr>
          <w:lang w:eastAsia="en-AU"/>
        </w:rPr>
        <w:t xml:space="preserve"> of Appendix A</w:t>
      </w:r>
      <w:r w:rsidR="00583BF1" w:rsidRPr="003243FA">
        <w:rPr>
          <w:lang w:eastAsia="en-AU"/>
        </w:rPr>
        <w:t>,</w:t>
      </w:r>
      <w:r w:rsidR="00513335" w:rsidRPr="003243FA">
        <w:rPr>
          <w:lang w:eastAsia="en-AU"/>
        </w:rPr>
        <w:t xml:space="preserve"> </w:t>
      </w:r>
      <w:r w:rsidR="00513335" w:rsidRPr="003243FA">
        <w:rPr>
          <w:rFonts w:cs="Arial"/>
        </w:rPr>
        <w:t xml:space="preserve">the </w:t>
      </w:r>
      <w:r w:rsidR="006018D7" w:rsidRPr="003243FA">
        <w:rPr>
          <w:rFonts w:cs="Arial"/>
        </w:rPr>
        <w:t xml:space="preserve">audience </w:t>
      </w:r>
      <w:r w:rsidR="00485EFD" w:rsidRPr="003243FA">
        <w:rPr>
          <w:rFonts w:cs="Arial"/>
        </w:rPr>
        <w:t xml:space="preserve">share </w:t>
      </w:r>
      <w:r w:rsidR="006018D7" w:rsidRPr="003243FA">
        <w:rPr>
          <w:rFonts w:cs="Arial"/>
        </w:rPr>
        <w:t xml:space="preserve">of beIN Sports 2 is taken </w:t>
      </w:r>
      <w:r w:rsidR="00583BF1" w:rsidRPr="003243FA">
        <w:rPr>
          <w:rFonts w:cs="Arial"/>
        </w:rPr>
        <w:t xml:space="preserve">to be </w:t>
      </w:r>
      <w:r w:rsidR="006018D7" w:rsidRPr="003243FA">
        <w:rPr>
          <w:rFonts w:cs="Arial"/>
        </w:rPr>
        <w:t xml:space="preserve">the aggregate of all </w:t>
      </w:r>
      <w:r w:rsidR="00A035F2" w:rsidRPr="003243FA">
        <w:rPr>
          <w:rFonts w:cs="Arial"/>
        </w:rPr>
        <w:t xml:space="preserve">Related Channels (in this case, all </w:t>
      </w:r>
      <w:r w:rsidR="00583BF1" w:rsidRPr="003243FA">
        <w:rPr>
          <w:rFonts w:cs="Arial"/>
        </w:rPr>
        <w:t xml:space="preserve">co-branded </w:t>
      </w:r>
      <w:r w:rsidR="006018D7" w:rsidRPr="003243FA">
        <w:rPr>
          <w:rFonts w:cs="Arial"/>
        </w:rPr>
        <w:t>beIN Sports channels</w:t>
      </w:r>
      <w:r w:rsidR="00A035F2" w:rsidRPr="003243FA">
        <w:rPr>
          <w:rFonts w:cs="Arial"/>
        </w:rPr>
        <w:t>)</w:t>
      </w:r>
      <w:r w:rsidR="00485EFD" w:rsidRPr="003243FA">
        <w:rPr>
          <w:rFonts w:cs="Arial"/>
        </w:rPr>
        <w:t xml:space="preserve">. </w:t>
      </w:r>
      <w:r w:rsidR="0008029E" w:rsidRPr="003243FA">
        <w:rPr>
          <w:rFonts w:cs="Arial"/>
        </w:rPr>
        <w:t>T</w:t>
      </w:r>
      <w:r w:rsidR="00485EFD" w:rsidRPr="003243FA">
        <w:rPr>
          <w:rFonts w:cs="Arial"/>
        </w:rPr>
        <w:t>he Licensee</w:t>
      </w:r>
      <w:r w:rsidR="0008029E" w:rsidRPr="003243FA">
        <w:rPr>
          <w:rFonts w:cs="Arial"/>
        </w:rPr>
        <w:t xml:space="preserve"> provided audience data that </w:t>
      </w:r>
      <w:r w:rsidR="00646692" w:rsidRPr="003243FA">
        <w:rPr>
          <w:rFonts w:cs="Arial"/>
        </w:rPr>
        <w:t>demonstrated</w:t>
      </w:r>
      <w:r w:rsidR="00485EFD" w:rsidRPr="003243FA">
        <w:rPr>
          <w:rFonts w:cs="Arial"/>
        </w:rPr>
        <w:t xml:space="preserve"> </w:t>
      </w:r>
      <w:r w:rsidR="00201A0D" w:rsidRPr="003243FA">
        <w:rPr>
          <w:rFonts w:cs="Arial"/>
        </w:rPr>
        <w:t>that aggregate has been below 0.5% for the last three financial years.</w:t>
      </w:r>
      <w:r w:rsidR="00020BC3" w:rsidRPr="003243FA">
        <w:rPr>
          <w:rFonts w:cs="Arial"/>
        </w:rPr>
        <w:t xml:space="preserve"> Therefore, </w:t>
      </w:r>
      <w:r w:rsidR="00C65163" w:rsidRPr="003243FA">
        <w:rPr>
          <w:rFonts w:cs="Arial"/>
        </w:rPr>
        <w:t xml:space="preserve">for the purposes of </w:t>
      </w:r>
      <w:r w:rsidR="00D32C86" w:rsidRPr="003243FA">
        <w:rPr>
          <w:rFonts w:cs="Arial"/>
        </w:rPr>
        <w:t xml:space="preserve">Appendix A to the Code, </w:t>
      </w:r>
      <w:r w:rsidR="009B0DFA" w:rsidRPr="003243FA">
        <w:t>beI</w:t>
      </w:r>
      <w:r w:rsidR="00BC671E" w:rsidRPr="003243FA">
        <w:t>N</w:t>
      </w:r>
      <w:r w:rsidR="009B0DFA" w:rsidRPr="003243FA">
        <w:t xml:space="preserve"> Sports 2</w:t>
      </w:r>
      <w:r w:rsidR="008A2A38" w:rsidRPr="003243FA">
        <w:t xml:space="preserve"> </w:t>
      </w:r>
      <w:r w:rsidR="001F6BA2" w:rsidRPr="003243FA">
        <w:t>i</w:t>
      </w:r>
      <w:r w:rsidR="008A2A38" w:rsidRPr="003243FA">
        <w:t>s</w:t>
      </w:r>
      <w:r w:rsidR="00513335" w:rsidRPr="003243FA">
        <w:rPr>
          <w:rFonts w:cs="Arial"/>
        </w:rPr>
        <w:t xml:space="preserve"> a Low Audience Share Channel</w:t>
      </w:r>
      <w:r w:rsidR="00513335" w:rsidRPr="003243FA">
        <w:rPr>
          <w:lang w:eastAsia="en-AU"/>
        </w:rPr>
        <w:t xml:space="preserve">. </w:t>
      </w:r>
    </w:p>
    <w:p w14:paraId="19835B0B" w14:textId="4D8AF909" w:rsidR="00513335" w:rsidRPr="003243FA" w:rsidRDefault="00513335" w:rsidP="00875167">
      <w:pPr>
        <w:pStyle w:val="ACMABodyText"/>
        <w:numPr>
          <w:ilvl w:val="0"/>
          <w:numId w:val="5"/>
        </w:numPr>
        <w:ind w:left="284" w:hanging="142"/>
        <w:rPr>
          <w:u w:val="single"/>
        </w:rPr>
      </w:pPr>
      <w:r w:rsidRPr="003243FA">
        <w:rPr>
          <w:u w:val="single"/>
        </w:rPr>
        <w:t xml:space="preserve">Did </w:t>
      </w:r>
      <w:r w:rsidR="00C72C4E" w:rsidRPr="003243FA">
        <w:rPr>
          <w:u w:val="single"/>
        </w:rPr>
        <w:t xml:space="preserve">the Licensee </w:t>
      </w:r>
      <w:r w:rsidRPr="003243FA">
        <w:rPr>
          <w:u w:val="single"/>
        </w:rPr>
        <w:t>inform</w:t>
      </w:r>
      <w:r w:rsidR="007C3C7A" w:rsidRPr="003243FA">
        <w:rPr>
          <w:u w:val="single"/>
        </w:rPr>
        <w:t xml:space="preserve"> beI</w:t>
      </w:r>
      <w:r w:rsidR="009934BF" w:rsidRPr="003243FA">
        <w:rPr>
          <w:u w:val="single"/>
        </w:rPr>
        <w:t>N</w:t>
      </w:r>
      <w:r w:rsidR="007C3C7A" w:rsidRPr="003243FA">
        <w:rPr>
          <w:u w:val="single"/>
        </w:rPr>
        <w:t xml:space="preserve"> Sports 2 </w:t>
      </w:r>
      <w:r w:rsidRPr="003243FA">
        <w:rPr>
          <w:u w:val="single"/>
        </w:rPr>
        <w:t>audiences about the Low Audience Share Channel exemptions?</w:t>
      </w:r>
    </w:p>
    <w:p w14:paraId="79ABC5C7" w14:textId="708321B6" w:rsidR="009D133F" w:rsidRPr="003243FA" w:rsidRDefault="009D133F" w:rsidP="003330BA">
      <w:pPr>
        <w:pStyle w:val="ACMABodyText"/>
        <w:spacing w:after="120"/>
      </w:pPr>
      <w:r w:rsidRPr="003243FA">
        <w:t>I</w:t>
      </w:r>
      <w:r w:rsidR="00513335" w:rsidRPr="003243FA">
        <w:t xml:space="preserve">n order to rely on the rules </w:t>
      </w:r>
      <w:r w:rsidR="00716FC0" w:rsidRPr="003243FA">
        <w:t>that apply to</w:t>
      </w:r>
      <w:r w:rsidR="00513335" w:rsidRPr="003243FA">
        <w:t xml:space="preserve"> </w:t>
      </w:r>
      <w:r w:rsidR="009934BF" w:rsidRPr="003243FA">
        <w:t>L</w:t>
      </w:r>
      <w:r w:rsidR="00513335" w:rsidRPr="003243FA">
        <w:t xml:space="preserve">ow </w:t>
      </w:r>
      <w:r w:rsidR="009934BF" w:rsidRPr="003243FA">
        <w:t>A</w:t>
      </w:r>
      <w:r w:rsidR="00513335" w:rsidRPr="003243FA">
        <w:t xml:space="preserve">udience </w:t>
      </w:r>
      <w:r w:rsidR="009934BF" w:rsidRPr="003243FA">
        <w:t>S</w:t>
      </w:r>
      <w:r w:rsidR="00513335" w:rsidRPr="003243FA">
        <w:t xml:space="preserve">hare channels, </w:t>
      </w:r>
      <w:r w:rsidRPr="003243FA">
        <w:t>under clause 13 of Appendix A to the Code:</w:t>
      </w:r>
    </w:p>
    <w:p w14:paraId="66497CB1" w14:textId="033B38C4" w:rsidR="00F740AE" w:rsidRPr="003243FA" w:rsidRDefault="009D133F" w:rsidP="009102A8">
      <w:pPr>
        <w:pStyle w:val="ACMABodyText"/>
        <w:spacing w:after="120"/>
        <w:ind w:left="720"/>
        <w:rPr>
          <w:sz w:val="18"/>
          <w:szCs w:val="18"/>
        </w:rPr>
      </w:pPr>
      <w:r w:rsidRPr="003243FA">
        <w:rPr>
          <w:sz w:val="18"/>
          <w:szCs w:val="18"/>
        </w:rPr>
        <w:t xml:space="preserve">The Licensee </w:t>
      </w:r>
      <w:r w:rsidR="005D2AE1" w:rsidRPr="003243FA">
        <w:rPr>
          <w:sz w:val="18"/>
          <w:szCs w:val="18"/>
        </w:rPr>
        <w:t xml:space="preserve">must </w:t>
      </w:r>
      <w:r w:rsidR="00513335" w:rsidRPr="003243FA">
        <w:rPr>
          <w:sz w:val="18"/>
          <w:szCs w:val="18"/>
        </w:rPr>
        <w:t xml:space="preserve">draw to the reasonable attention of prospective viewers of </w:t>
      </w:r>
      <w:r w:rsidR="00662AFB" w:rsidRPr="003243FA">
        <w:rPr>
          <w:sz w:val="18"/>
          <w:szCs w:val="18"/>
        </w:rPr>
        <w:t>any Low Audience Share</w:t>
      </w:r>
      <w:r w:rsidR="00D33BAE" w:rsidRPr="003243FA">
        <w:rPr>
          <w:sz w:val="18"/>
          <w:szCs w:val="18"/>
        </w:rPr>
        <w:t xml:space="preserve"> </w:t>
      </w:r>
      <w:r w:rsidR="00662AFB" w:rsidRPr="003243FA">
        <w:rPr>
          <w:sz w:val="18"/>
          <w:szCs w:val="18"/>
        </w:rPr>
        <w:t>C</w:t>
      </w:r>
      <w:r w:rsidR="00D33BAE" w:rsidRPr="003243FA">
        <w:rPr>
          <w:sz w:val="18"/>
          <w:szCs w:val="18"/>
        </w:rPr>
        <w:t>hannel</w:t>
      </w:r>
      <w:r w:rsidR="00513335" w:rsidRPr="003243FA">
        <w:rPr>
          <w:sz w:val="18"/>
          <w:szCs w:val="18"/>
        </w:rPr>
        <w:t xml:space="preserve"> that the restrictions in clauses (1) and (3) do not apply to that channel, including through notification: </w:t>
      </w:r>
    </w:p>
    <w:p w14:paraId="717FA997" w14:textId="77777777" w:rsidR="00F740AE" w:rsidRPr="003243FA" w:rsidRDefault="00513335" w:rsidP="009102A8">
      <w:pPr>
        <w:pStyle w:val="ACMABodyText"/>
        <w:spacing w:after="120"/>
        <w:ind w:left="1434" w:firstLine="6"/>
        <w:rPr>
          <w:sz w:val="18"/>
          <w:szCs w:val="18"/>
        </w:rPr>
      </w:pPr>
      <w:r w:rsidRPr="003243FA">
        <w:rPr>
          <w:sz w:val="18"/>
          <w:szCs w:val="18"/>
        </w:rPr>
        <w:t xml:space="preserve">a) on its website; and </w:t>
      </w:r>
    </w:p>
    <w:p w14:paraId="5F487A61" w14:textId="4173EC93" w:rsidR="00513335" w:rsidRPr="003243FA" w:rsidRDefault="00513335" w:rsidP="009102A8">
      <w:pPr>
        <w:pStyle w:val="ACMABodyText"/>
        <w:ind w:left="1435"/>
        <w:rPr>
          <w:sz w:val="18"/>
          <w:szCs w:val="18"/>
        </w:rPr>
      </w:pPr>
      <w:r w:rsidRPr="003243FA">
        <w:rPr>
          <w:sz w:val="18"/>
          <w:szCs w:val="18"/>
        </w:rPr>
        <w:t xml:space="preserve">b) in any promotional material that includes the </w:t>
      </w:r>
      <w:r w:rsidR="00D33BAE" w:rsidRPr="003243FA">
        <w:rPr>
          <w:sz w:val="18"/>
          <w:szCs w:val="18"/>
        </w:rPr>
        <w:t>Licensee</w:t>
      </w:r>
      <w:r w:rsidRPr="003243FA">
        <w:rPr>
          <w:sz w:val="18"/>
          <w:szCs w:val="18"/>
        </w:rPr>
        <w:t xml:space="preserve">’s pricing and packaging for </w:t>
      </w:r>
      <w:r w:rsidR="0030552F" w:rsidRPr="003243FA">
        <w:rPr>
          <w:sz w:val="18"/>
          <w:szCs w:val="18"/>
        </w:rPr>
        <w:t>any Low Audience Share C</w:t>
      </w:r>
      <w:r w:rsidR="00D33BAE" w:rsidRPr="003243FA">
        <w:rPr>
          <w:sz w:val="18"/>
          <w:szCs w:val="18"/>
        </w:rPr>
        <w:t>hannel</w:t>
      </w:r>
      <w:r w:rsidR="009E3807" w:rsidRPr="003243FA">
        <w:rPr>
          <w:sz w:val="18"/>
          <w:szCs w:val="18"/>
        </w:rPr>
        <w:t>(</w:t>
      </w:r>
      <w:r w:rsidR="0030552F" w:rsidRPr="003243FA">
        <w:rPr>
          <w:sz w:val="18"/>
          <w:szCs w:val="18"/>
        </w:rPr>
        <w:t>s</w:t>
      </w:r>
      <w:r w:rsidR="009E3807" w:rsidRPr="003243FA">
        <w:rPr>
          <w:sz w:val="18"/>
          <w:szCs w:val="18"/>
        </w:rPr>
        <w:t>)</w:t>
      </w:r>
      <w:r w:rsidRPr="003243FA">
        <w:rPr>
          <w:sz w:val="18"/>
          <w:szCs w:val="18"/>
        </w:rPr>
        <w:t>.</w:t>
      </w:r>
    </w:p>
    <w:p w14:paraId="1E9EA90F" w14:textId="71B13D06" w:rsidR="00BE09C6" w:rsidRPr="003243FA" w:rsidRDefault="00716FC0" w:rsidP="00892220">
      <w:pPr>
        <w:pStyle w:val="ACMABodyText"/>
        <w:spacing w:after="120"/>
      </w:pPr>
      <w:r w:rsidRPr="003243FA">
        <w:t>T</w:t>
      </w:r>
      <w:r w:rsidR="006A5B05" w:rsidRPr="003243FA">
        <w:t>he</w:t>
      </w:r>
      <w:r w:rsidR="000349BC" w:rsidRPr="003243FA">
        <w:t xml:space="preserve"> Licensee </w:t>
      </w:r>
      <w:r w:rsidRPr="003243FA">
        <w:t xml:space="preserve">has </w:t>
      </w:r>
      <w:r w:rsidR="00BC5B05" w:rsidRPr="003243FA">
        <w:t xml:space="preserve">advised the </w:t>
      </w:r>
      <w:r w:rsidR="000349BC" w:rsidRPr="003243FA">
        <w:t>ACMA</w:t>
      </w:r>
      <w:r w:rsidR="00D50547" w:rsidRPr="003243FA">
        <w:t xml:space="preserve"> </w:t>
      </w:r>
      <w:r w:rsidR="00BC5B05" w:rsidRPr="003243FA">
        <w:t>that it</w:t>
      </w:r>
      <w:r w:rsidR="00141758" w:rsidRPr="003243FA">
        <w:t xml:space="preserve"> </w:t>
      </w:r>
      <w:r w:rsidR="0033664E" w:rsidRPr="003243FA">
        <w:t>complies with the requirements set out under clause 13 of Appendix A to the Code in relation to Low Audience Share Channels</w:t>
      </w:r>
      <w:r w:rsidR="00BE09C6" w:rsidRPr="003243FA">
        <w:t xml:space="preserve">. </w:t>
      </w:r>
    </w:p>
    <w:p w14:paraId="6D75C1EF" w14:textId="773E459F" w:rsidR="00141758" w:rsidRPr="003243FA" w:rsidRDefault="00BE09C6" w:rsidP="00BE09C6">
      <w:pPr>
        <w:pStyle w:val="ACMABodyText"/>
        <w:spacing w:after="120"/>
      </w:pPr>
      <w:r w:rsidRPr="003243FA">
        <w:t>The Licensee stated that it informs beIN Sports 2 audiences</w:t>
      </w:r>
      <w:r w:rsidRPr="003243FA">
        <w:rPr>
          <w:b/>
          <w:bCs/>
          <w:i/>
          <w:iCs/>
        </w:rPr>
        <w:t xml:space="preserve"> </w:t>
      </w:r>
      <w:r w:rsidRPr="003243FA">
        <w:t xml:space="preserve">about the advertising restrictions that apply to it as a Low Audience Share Channel by providing this information on its </w:t>
      </w:r>
      <w:hyperlink r:id="rId8" w:history="1">
        <w:r w:rsidRPr="003243FA">
          <w:rPr>
            <w:rStyle w:val="Hyperlink"/>
          </w:rPr>
          <w:t>website</w:t>
        </w:r>
      </w:hyperlink>
      <w:r w:rsidRPr="003243FA">
        <w:t xml:space="preserve"> and in promotional materials that include the pricing and packaging for beIN Sports 2 (via this </w:t>
      </w:r>
      <w:hyperlink r:id="rId9" w:history="1">
        <w:r w:rsidRPr="003243FA">
          <w:rPr>
            <w:rStyle w:val="Hyperlink"/>
          </w:rPr>
          <w:t>link</w:t>
        </w:r>
      </w:hyperlink>
      <w:r w:rsidRPr="003243FA">
        <w:t xml:space="preserve">). </w:t>
      </w:r>
    </w:p>
    <w:p w14:paraId="5872DC0E" w14:textId="329C9E87" w:rsidR="00D33BAE" w:rsidRDefault="00716FC0" w:rsidP="009102A8">
      <w:pPr>
        <w:pStyle w:val="ACMABodyText"/>
        <w:spacing w:after="120"/>
        <w:rPr>
          <w:bCs/>
        </w:rPr>
      </w:pPr>
      <w:r w:rsidRPr="003243FA">
        <w:rPr>
          <w:bCs/>
        </w:rPr>
        <w:t xml:space="preserve">Taking this information into account, </w:t>
      </w:r>
      <w:r w:rsidR="00141758" w:rsidRPr="003243FA">
        <w:rPr>
          <w:bCs/>
        </w:rPr>
        <w:t>t</w:t>
      </w:r>
      <w:r w:rsidR="00513335" w:rsidRPr="003243FA">
        <w:rPr>
          <w:bCs/>
        </w:rPr>
        <w:t xml:space="preserve">he ACMA is satisfied that </w:t>
      </w:r>
      <w:r w:rsidR="00D33BAE" w:rsidRPr="003243FA">
        <w:rPr>
          <w:bCs/>
        </w:rPr>
        <w:t>the Licensee</w:t>
      </w:r>
      <w:r w:rsidR="00513335" w:rsidRPr="003243FA">
        <w:rPr>
          <w:bCs/>
        </w:rPr>
        <w:t xml:space="preserve"> </w:t>
      </w:r>
      <w:r w:rsidR="005326AE" w:rsidRPr="003243FA">
        <w:rPr>
          <w:bCs/>
        </w:rPr>
        <w:t xml:space="preserve">has </w:t>
      </w:r>
      <w:r w:rsidR="00513335" w:rsidRPr="003243FA">
        <w:rPr>
          <w:bCs/>
        </w:rPr>
        <w:t xml:space="preserve">complied </w:t>
      </w:r>
      <w:bookmarkStart w:id="5" w:name="_Hlk33541501"/>
      <w:r w:rsidR="00513335" w:rsidRPr="003243FA">
        <w:rPr>
          <w:bCs/>
        </w:rPr>
        <w:t>with the requirements under clause 13 of Appendix A to the Code</w:t>
      </w:r>
      <w:bookmarkEnd w:id="5"/>
      <w:r w:rsidR="00513335" w:rsidRPr="003243FA">
        <w:rPr>
          <w:bCs/>
        </w:rPr>
        <w:t>.</w:t>
      </w:r>
    </w:p>
    <w:p w14:paraId="3D7A7A95" w14:textId="3C6519C5" w:rsidR="000C758D" w:rsidRDefault="000C758D" w:rsidP="009102A8">
      <w:pPr>
        <w:pStyle w:val="ACMABodyText"/>
        <w:spacing w:after="120"/>
        <w:rPr>
          <w:bCs/>
        </w:rPr>
      </w:pPr>
    </w:p>
    <w:p w14:paraId="0D9A6C17" w14:textId="13AD5D78" w:rsidR="000C758D" w:rsidRDefault="000C758D" w:rsidP="009102A8">
      <w:pPr>
        <w:pStyle w:val="ACMABodyText"/>
        <w:spacing w:after="120"/>
        <w:rPr>
          <w:bCs/>
        </w:rPr>
      </w:pPr>
    </w:p>
    <w:p w14:paraId="7CE78268" w14:textId="77777777" w:rsidR="000C758D" w:rsidRPr="003243FA" w:rsidRDefault="000C758D" w:rsidP="009102A8">
      <w:pPr>
        <w:pStyle w:val="ACMABodyText"/>
        <w:spacing w:after="120"/>
        <w:rPr>
          <w:bCs/>
        </w:rPr>
      </w:pPr>
    </w:p>
    <w:p w14:paraId="111776CB" w14:textId="77777777" w:rsidR="00BC5B05" w:rsidRPr="003243FA" w:rsidRDefault="00BC5B05" w:rsidP="00875167">
      <w:pPr>
        <w:pStyle w:val="ACMABodyText"/>
        <w:numPr>
          <w:ilvl w:val="0"/>
          <w:numId w:val="5"/>
        </w:numPr>
        <w:ind w:left="284" w:hanging="142"/>
        <w:rPr>
          <w:u w:val="single"/>
        </w:rPr>
      </w:pPr>
      <w:r w:rsidRPr="003243FA">
        <w:rPr>
          <w:u w:val="single"/>
        </w:rPr>
        <w:lastRenderedPageBreak/>
        <w:t>Was the Tennis Match a ‘Listed Event’?</w:t>
      </w:r>
    </w:p>
    <w:p w14:paraId="4C3500E5" w14:textId="6979EB38" w:rsidR="00BC5B05" w:rsidRPr="003243FA" w:rsidRDefault="00BC5B05" w:rsidP="00BC5B05">
      <w:pPr>
        <w:pStyle w:val="ACMABodyText"/>
        <w:spacing w:after="120"/>
      </w:pPr>
      <w:r w:rsidRPr="003243FA">
        <w:t>The Code define</w:t>
      </w:r>
      <w:r w:rsidR="00DB4FD8">
        <w:t>s</w:t>
      </w:r>
      <w:r w:rsidRPr="003243FA">
        <w:t xml:space="preserve"> </w:t>
      </w:r>
      <w:r w:rsidR="00971D4C" w:rsidRPr="003243FA">
        <w:t xml:space="preserve">a </w:t>
      </w:r>
      <w:r w:rsidRPr="003243FA">
        <w:t xml:space="preserve">Listed Event as </w:t>
      </w:r>
      <w:r w:rsidR="00971D4C" w:rsidRPr="003243FA">
        <w:t xml:space="preserve">a </w:t>
      </w:r>
      <w:r w:rsidRPr="003243FA">
        <w:t xml:space="preserve">live sporting event that </w:t>
      </w:r>
      <w:r w:rsidR="00971D4C" w:rsidRPr="003243FA">
        <w:t>is</w:t>
      </w:r>
      <w:r w:rsidRPr="003243FA">
        <w:t xml:space="preserve"> included in the </w:t>
      </w:r>
      <w:r w:rsidRPr="003243FA">
        <w:rPr>
          <w:i/>
          <w:iCs/>
        </w:rPr>
        <w:t>Broadcasting Services (Events) Notice (No. 1) 2010</w:t>
      </w:r>
      <w:r w:rsidRPr="003243FA">
        <w:t xml:space="preserve"> (the </w:t>
      </w:r>
      <w:r w:rsidRPr="003243FA">
        <w:rPr>
          <w:b/>
          <w:bCs/>
        </w:rPr>
        <w:t>Notice</w:t>
      </w:r>
      <w:r w:rsidRPr="003243FA">
        <w:t>) (as amended or replaced from time to time).</w:t>
      </w:r>
    </w:p>
    <w:p w14:paraId="28701F0B" w14:textId="41B3802F" w:rsidR="00BC5B05" w:rsidRPr="003243FA" w:rsidRDefault="00BC5B05" w:rsidP="00BC5B05">
      <w:pPr>
        <w:pStyle w:val="ACMABodyText"/>
        <w:spacing w:after="120"/>
      </w:pPr>
      <w:r w:rsidRPr="003243FA">
        <w:t xml:space="preserve">The ACMA reviewed </w:t>
      </w:r>
      <w:r w:rsidR="00F5251E">
        <w:t>a</w:t>
      </w:r>
      <w:r w:rsidR="00F5251E" w:rsidRPr="003243FA">
        <w:t xml:space="preserve"> </w:t>
      </w:r>
      <w:r w:rsidR="00141758" w:rsidRPr="003243FA">
        <w:t xml:space="preserve">version of the </w:t>
      </w:r>
      <w:r w:rsidRPr="003243FA">
        <w:t>Notice</w:t>
      </w:r>
      <w:r w:rsidR="008A54F5" w:rsidRPr="003243FA">
        <w:rPr>
          <w:rStyle w:val="FootnoteReference"/>
          <w:i/>
          <w:iCs/>
        </w:rPr>
        <w:footnoteReference w:id="3"/>
      </w:r>
      <w:r w:rsidRPr="003243FA">
        <w:t xml:space="preserve"> </w:t>
      </w:r>
      <w:r w:rsidR="00F5251E">
        <w:t xml:space="preserve">in place at the time of the broadcast </w:t>
      </w:r>
      <w:r w:rsidRPr="003243FA">
        <w:t xml:space="preserve">and the Tennis Match was not included. </w:t>
      </w:r>
    </w:p>
    <w:p w14:paraId="7063B845" w14:textId="391094EE" w:rsidR="00BC5B05" w:rsidRPr="003243FA" w:rsidRDefault="00141758" w:rsidP="00BC5B05">
      <w:pPr>
        <w:pStyle w:val="ACMABodyText"/>
        <w:spacing w:after="120"/>
        <w:rPr>
          <w:rFonts w:cs="Arial"/>
        </w:rPr>
      </w:pPr>
      <w:r w:rsidRPr="003243FA">
        <w:t>Therefore</w:t>
      </w:r>
      <w:r w:rsidR="00BC5B05" w:rsidRPr="003243FA">
        <w:t>, the Tennis Match was not a ‘Listed Event’ as defined in the Code.</w:t>
      </w:r>
      <w:r w:rsidR="00BC5B05" w:rsidRPr="003243FA">
        <w:rPr>
          <w:lang w:eastAsia="en-AU"/>
        </w:rPr>
        <w:t xml:space="preserve"> </w:t>
      </w:r>
    </w:p>
    <w:p w14:paraId="6766ADBA" w14:textId="7E8EFE82" w:rsidR="00513335" w:rsidRPr="003243FA" w:rsidRDefault="00513335" w:rsidP="00875167">
      <w:pPr>
        <w:pStyle w:val="ACMABodyText"/>
        <w:numPr>
          <w:ilvl w:val="0"/>
          <w:numId w:val="3"/>
        </w:numPr>
        <w:rPr>
          <w:b/>
          <w:bCs/>
          <w:iCs/>
        </w:rPr>
      </w:pPr>
      <w:r w:rsidRPr="003243FA">
        <w:rPr>
          <w:b/>
          <w:bCs/>
          <w:iCs/>
        </w:rPr>
        <w:t>Was Betting Advertising shown at prohibited times during the Live Sporting Event?</w:t>
      </w:r>
    </w:p>
    <w:p w14:paraId="6494BD46" w14:textId="2802B35A" w:rsidR="00DF36CB" w:rsidRPr="003243FA" w:rsidRDefault="003B4A9C" w:rsidP="003330BA">
      <w:pPr>
        <w:pStyle w:val="ACMABodyText"/>
      </w:pPr>
      <w:r w:rsidRPr="003243FA">
        <w:t xml:space="preserve">Based on the </w:t>
      </w:r>
      <w:r w:rsidR="00CE3EB1" w:rsidRPr="003243FA">
        <w:t xml:space="preserve">answers to </w:t>
      </w:r>
      <w:r w:rsidR="001F6BA2" w:rsidRPr="003243FA">
        <w:t xml:space="preserve">the </w:t>
      </w:r>
      <w:r w:rsidR="00CE3EB1" w:rsidRPr="003243FA">
        <w:t>three questions in the preceding section,</w:t>
      </w:r>
      <w:r w:rsidR="00D33BAE" w:rsidRPr="003243FA">
        <w:t xml:space="preserve"> </w:t>
      </w:r>
      <w:r w:rsidR="001D3111" w:rsidRPr="003243FA">
        <w:t>t</w:t>
      </w:r>
      <w:r w:rsidR="007F0FB1" w:rsidRPr="003243FA">
        <w:t>he</w:t>
      </w:r>
      <w:r w:rsidR="00DF36CB" w:rsidRPr="003243FA">
        <w:t xml:space="preserve"> betting advertising restrictions in clause 1 of Appendix A of the Code </w:t>
      </w:r>
      <w:r w:rsidR="001D3111" w:rsidRPr="003243FA">
        <w:t>(</w:t>
      </w:r>
      <w:r w:rsidR="00DF36CB" w:rsidRPr="003243FA">
        <w:t>rules for 5</w:t>
      </w:r>
      <w:r w:rsidR="00E95A65" w:rsidRPr="003243FA">
        <w:t>:</w:t>
      </w:r>
      <w:r w:rsidR="00DF36CB" w:rsidRPr="003243FA">
        <w:t>00</w:t>
      </w:r>
      <w:r w:rsidR="00E95A65" w:rsidRPr="003243FA">
        <w:t xml:space="preserve"> </w:t>
      </w:r>
      <w:r w:rsidR="00DF36CB" w:rsidRPr="003243FA">
        <w:t>am to 8</w:t>
      </w:r>
      <w:r w:rsidR="00E95A65" w:rsidRPr="003243FA">
        <w:t>:</w:t>
      </w:r>
      <w:r w:rsidR="00DF36CB" w:rsidRPr="003243FA">
        <w:t>30</w:t>
      </w:r>
      <w:r w:rsidR="00E95A65" w:rsidRPr="003243FA">
        <w:t xml:space="preserve"> </w:t>
      </w:r>
      <w:r w:rsidR="00DF36CB" w:rsidRPr="003243FA">
        <w:t>pm</w:t>
      </w:r>
      <w:r w:rsidR="001D3111" w:rsidRPr="003243FA">
        <w:t xml:space="preserve">) </w:t>
      </w:r>
      <w:r w:rsidR="00D33BAE" w:rsidRPr="003243FA">
        <w:t>d</w:t>
      </w:r>
      <w:r w:rsidR="00716FC0" w:rsidRPr="003243FA">
        <w:t>id</w:t>
      </w:r>
      <w:r w:rsidR="00DF36CB" w:rsidRPr="003243FA">
        <w:t xml:space="preserve"> not apply</w:t>
      </w:r>
      <w:r w:rsidR="00D33BAE" w:rsidRPr="003243FA">
        <w:t xml:space="preserve"> to live coverage of the Tennis Match</w:t>
      </w:r>
      <w:r w:rsidR="00DF36CB" w:rsidRPr="003243FA">
        <w:t xml:space="preserve">, with the rules </w:t>
      </w:r>
      <w:r w:rsidR="004316BA" w:rsidRPr="003243FA">
        <w:t>specified in</w:t>
      </w:r>
      <w:r w:rsidR="00DF36CB" w:rsidRPr="003243FA">
        <w:t xml:space="preserve"> clause 2 of Appendix A of the Code </w:t>
      </w:r>
      <w:r w:rsidR="00440AC5" w:rsidRPr="003243FA">
        <w:t>(</w:t>
      </w:r>
      <w:r w:rsidR="00D33BAE" w:rsidRPr="003243FA">
        <w:t xml:space="preserve">the </w:t>
      </w:r>
      <w:r w:rsidR="00DF36CB" w:rsidRPr="003243FA">
        <w:t>rules for 8</w:t>
      </w:r>
      <w:r w:rsidR="007A1495" w:rsidRPr="003243FA">
        <w:t>:</w:t>
      </w:r>
      <w:r w:rsidR="00DF36CB" w:rsidRPr="003243FA">
        <w:t>30</w:t>
      </w:r>
      <w:r w:rsidR="007A1495" w:rsidRPr="003243FA">
        <w:t xml:space="preserve"> </w:t>
      </w:r>
      <w:r w:rsidR="00DF36CB" w:rsidRPr="003243FA">
        <w:t>pm to 5</w:t>
      </w:r>
      <w:r w:rsidR="007A1495" w:rsidRPr="003243FA">
        <w:t>:</w:t>
      </w:r>
      <w:r w:rsidR="00DF36CB" w:rsidRPr="003243FA">
        <w:t>00</w:t>
      </w:r>
      <w:r w:rsidR="007A1495" w:rsidRPr="003243FA">
        <w:t xml:space="preserve"> </w:t>
      </w:r>
      <w:r w:rsidR="00DF36CB" w:rsidRPr="003243FA">
        <w:t>am</w:t>
      </w:r>
      <w:r w:rsidR="00440AC5" w:rsidRPr="003243FA">
        <w:t>)</w:t>
      </w:r>
      <w:r w:rsidR="00DF36CB" w:rsidRPr="003243FA">
        <w:t xml:space="preserve"> being applicable.</w:t>
      </w:r>
    </w:p>
    <w:p w14:paraId="220F55C9" w14:textId="1C7E510F" w:rsidR="00E62FF8" w:rsidRPr="003243FA" w:rsidRDefault="002E0892" w:rsidP="009F032D">
      <w:pPr>
        <w:pStyle w:val="ACMABodyText"/>
      </w:pPr>
      <w:r w:rsidRPr="003243FA">
        <w:t xml:space="preserve">Clause 2 of Appendix A </w:t>
      </w:r>
      <w:r w:rsidR="007E5A36" w:rsidRPr="003243FA">
        <w:t>allow</w:t>
      </w:r>
      <w:r w:rsidRPr="003243FA">
        <w:t>s</w:t>
      </w:r>
      <w:r w:rsidR="007E5A36" w:rsidRPr="003243FA">
        <w:t xml:space="preserve"> for betting advertising during Scheduled Breaks in Play. Scheduled breaks in tennis are de</w:t>
      </w:r>
      <w:r w:rsidR="00D33BAE" w:rsidRPr="003243FA">
        <w:t>fined</w:t>
      </w:r>
      <w:r w:rsidR="007E5A36" w:rsidRPr="003243FA">
        <w:t xml:space="preserve"> in </w:t>
      </w:r>
      <w:r w:rsidR="00D33BAE" w:rsidRPr="003243FA">
        <w:t xml:space="preserve">clause 21 </w:t>
      </w:r>
      <w:r w:rsidR="009A7519" w:rsidRPr="003243FA">
        <w:t xml:space="preserve">of Appendix A to </w:t>
      </w:r>
      <w:r w:rsidR="007E5A36" w:rsidRPr="003243FA">
        <w:t>the Code as ‘between each set’ and ‘a distinct break of at least 90 seconds (including when during a Session the broadcast switches from one match still in Play to another match in Play at the same time), such break to occur not more than once every hour’.</w:t>
      </w:r>
    </w:p>
    <w:p w14:paraId="73F1A586" w14:textId="1975ED61" w:rsidR="00934EB7" w:rsidRPr="003243FA" w:rsidRDefault="00716FC0" w:rsidP="003330BA">
      <w:pPr>
        <w:pStyle w:val="ACMAQuoteindented"/>
        <w:ind w:left="0"/>
        <w:rPr>
          <w:sz w:val="20"/>
        </w:rPr>
      </w:pPr>
      <w:r w:rsidRPr="003243FA">
        <w:rPr>
          <w:sz w:val="20"/>
        </w:rPr>
        <w:t>The</w:t>
      </w:r>
      <w:r w:rsidR="00FB06AF" w:rsidRPr="003243FA">
        <w:rPr>
          <w:sz w:val="20"/>
        </w:rPr>
        <w:t xml:space="preserve"> </w:t>
      </w:r>
      <w:r w:rsidR="00381BD6" w:rsidRPr="003243FA">
        <w:rPr>
          <w:sz w:val="20"/>
        </w:rPr>
        <w:t>L</w:t>
      </w:r>
      <w:r w:rsidR="007E5A36" w:rsidRPr="003243FA">
        <w:rPr>
          <w:sz w:val="20"/>
        </w:rPr>
        <w:t xml:space="preserve">icensee confirmed that </w:t>
      </w:r>
      <w:r w:rsidR="00D33BAE" w:rsidRPr="003243FA">
        <w:rPr>
          <w:sz w:val="20"/>
        </w:rPr>
        <w:t xml:space="preserve">the </w:t>
      </w:r>
      <w:r w:rsidR="00517571">
        <w:rPr>
          <w:sz w:val="20"/>
        </w:rPr>
        <w:t xml:space="preserve">[Betting Company 1] </w:t>
      </w:r>
      <w:r w:rsidR="003C0F89">
        <w:rPr>
          <w:sz w:val="20"/>
        </w:rPr>
        <w:t>a</w:t>
      </w:r>
      <w:r w:rsidR="007E5A36" w:rsidRPr="003243FA">
        <w:rPr>
          <w:sz w:val="20"/>
        </w:rPr>
        <w:t xml:space="preserve">dvertisement was broadcast between the first and second set of the </w:t>
      </w:r>
      <w:r w:rsidR="00D33BAE" w:rsidRPr="003243FA">
        <w:rPr>
          <w:sz w:val="20"/>
        </w:rPr>
        <w:t>T</w:t>
      </w:r>
      <w:r w:rsidR="007E5A36" w:rsidRPr="003243FA">
        <w:rPr>
          <w:sz w:val="20"/>
        </w:rPr>
        <w:t xml:space="preserve">ennis </w:t>
      </w:r>
      <w:r w:rsidR="00D33BAE" w:rsidRPr="003243FA">
        <w:rPr>
          <w:sz w:val="20"/>
        </w:rPr>
        <w:t>M</w:t>
      </w:r>
      <w:r w:rsidR="007E5A36" w:rsidRPr="003243FA">
        <w:rPr>
          <w:sz w:val="20"/>
        </w:rPr>
        <w:t>atch</w:t>
      </w:r>
      <w:r w:rsidR="001F6BA2" w:rsidRPr="003243FA">
        <w:rPr>
          <w:sz w:val="20"/>
        </w:rPr>
        <w:t xml:space="preserve"> at </w:t>
      </w:r>
      <w:r w:rsidR="00417CD6" w:rsidRPr="003243FA">
        <w:rPr>
          <w:sz w:val="20"/>
        </w:rPr>
        <w:t>10</w:t>
      </w:r>
      <w:r w:rsidR="00BE3F10" w:rsidRPr="003243FA">
        <w:rPr>
          <w:sz w:val="20"/>
        </w:rPr>
        <w:t>:</w:t>
      </w:r>
      <w:r w:rsidR="00417CD6" w:rsidRPr="003243FA">
        <w:rPr>
          <w:sz w:val="20"/>
        </w:rPr>
        <w:t>36</w:t>
      </w:r>
      <w:r w:rsidR="00BE3F10" w:rsidRPr="003243FA">
        <w:rPr>
          <w:sz w:val="20"/>
        </w:rPr>
        <w:t> </w:t>
      </w:r>
      <w:r w:rsidR="00417CD6" w:rsidRPr="003243FA">
        <w:rPr>
          <w:sz w:val="20"/>
        </w:rPr>
        <w:t>am</w:t>
      </w:r>
      <w:r w:rsidR="007E5A36" w:rsidRPr="003243FA">
        <w:rPr>
          <w:sz w:val="20"/>
        </w:rPr>
        <w:t xml:space="preserve">, noting ‘between each set’ is a Scheduled Break in Play. </w:t>
      </w:r>
      <w:r w:rsidR="00934EB7" w:rsidRPr="003243FA">
        <w:rPr>
          <w:sz w:val="20"/>
        </w:rPr>
        <w:t>The ACMA a</w:t>
      </w:r>
      <w:r w:rsidR="00BE3F10" w:rsidRPr="003243FA">
        <w:rPr>
          <w:sz w:val="20"/>
        </w:rPr>
        <w:t>ccepts</w:t>
      </w:r>
      <w:r w:rsidR="00934EB7" w:rsidRPr="003243FA">
        <w:rPr>
          <w:sz w:val="20"/>
        </w:rPr>
        <w:t xml:space="preserve"> this submission.</w:t>
      </w:r>
    </w:p>
    <w:p w14:paraId="12754E4E" w14:textId="16C0A5E2" w:rsidR="00FC6429" w:rsidRPr="003243FA" w:rsidRDefault="007E5A36" w:rsidP="008F512C">
      <w:pPr>
        <w:pStyle w:val="ACMAQuoteindented"/>
        <w:ind w:left="0"/>
        <w:rPr>
          <w:sz w:val="20"/>
        </w:rPr>
      </w:pPr>
      <w:r w:rsidRPr="003243FA">
        <w:rPr>
          <w:sz w:val="20"/>
        </w:rPr>
        <w:t xml:space="preserve">The </w:t>
      </w:r>
      <w:r w:rsidR="00D33BAE" w:rsidRPr="003243FA">
        <w:rPr>
          <w:sz w:val="20"/>
        </w:rPr>
        <w:t>L</w:t>
      </w:r>
      <w:r w:rsidRPr="003243FA">
        <w:rPr>
          <w:sz w:val="20"/>
        </w:rPr>
        <w:t xml:space="preserve">icensee also noted </w:t>
      </w:r>
      <w:r w:rsidR="00541736" w:rsidRPr="003243FA">
        <w:rPr>
          <w:sz w:val="20"/>
        </w:rPr>
        <w:t xml:space="preserve">that </w:t>
      </w:r>
      <w:r w:rsidR="00747675" w:rsidRPr="003243FA">
        <w:rPr>
          <w:sz w:val="20"/>
        </w:rPr>
        <w:t xml:space="preserve">the </w:t>
      </w:r>
      <w:r w:rsidR="00716FC0" w:rsidRPr="003243FA">
        <w:rPr>
          <w:sz w:val="20"/>
        </w:rPr>
        <w:t>c</w:t>
      </w:r>
      <w:r w:rsidR="00747675" w:rsidRPr="003243FA">
        <w:rPr>
          <w:sz w:val="20"/>
        </w:rPr>
        <w:t xml:space="preserve">hannel </w:t>
      </w:r>
      <w:r w:rsidR="00716FC0" w:rsidRPr="003243FA">
        <w:rPr>
          <w:sz w:val="20"/>
        </w:rPr>
        <w:t>s</w:t>
      </w:r>
      <w:r w:rsidR="00747675" w:rsidRPr="003243FA">
        <w:rPr>
          <w:sz w:val="20"/>
        </w:rPr>
        <w:t>upplier</w:t>
      </w:r>
      <w:r w:rsidR="00C462A5" w:rsidRPr="003243FA">
        <w:rPr>
          <w:sz w:val="20"/>
        </w:rPr>
        <w:t>,</w:t>
      </w:r>
      <w:r w:rsidR="00747675" w:rsidRPr="003243FA">
        <w:rPr>
          <w:sz w:val="20"/>
        </w:rPr>
        <w:t xml:space="preserve"> </w:t>
      </w:r>
      <w:r w:rsidR="00C462A5" w:rsidRPr="003243FA">
        <w:rPr>
          <w:sz w:val="20"/>
        </w:rPr>
        <w:t>beIN Sports Australia Pty Ltd (</w:t>
      </w:r>
      <w:r w:rsidR="00C462A5" w:rsidRPr="003243FA">
        <w:rPr>
          <w:b/>
          <w:bCs/>
          <w:sz w:val="20"/>
        </w:rPr>
        <w:t>beI</w:t>
      </w:r>
      <w:r w:rsidR="0009672A" w:rsidRPr="003243FA">
        <w:rPr>
          <w:b/>
          <w:bCs/>
          <w:sz w:val="20"/>
        </w:rPr>
        <w:t>N</w:t>
      </w:r>
      <w:r w:rsidR="00C462A5" w:rsidRPr="003243FA">
        <w:rPr>
          <w:b/>
          <w:bCs/>
          <w:sz w:val="20"/>
        </w:rPr>
        <w:t xml:space="preserve"> Sports</w:t>
      </w:r>
      <w:r w:rsidR="00C462A5" w:rsidRPr="003243FA">
        <w:rPr>
          <w:sz w:val="20"/>
        </w:rPr>
        <w:t>)</w:t>
      </w:r>
      <w:r w:rsidR="001D2765" w:rsidRPr="003243FA">
        <w:rPr>
          <w:sz w:val="20"/>
        </w:rPr>
        <w:t>, which</w:t>
      </w:r>
      <w:r w:rsidR="00FA4453" w:rsidRPr="003243FA">
        <w:rPr>
          <w:sz w:val="20"/>
        </w:rPr>
        <w:t xml:space="preserve"> produces and </w:t>
      </w:r>
      <w:r w:rsidR="00716FC0" w:rsidRPr="003243FA">
        <w:rPr>
          <w:sz w:val="20"/>
        </w:rPr>
        <w:t>supplie</w:t>
      </w:r>
      <w:r w:rsidR="00FA4453" w:rsidRPr="003243FA">
        <w:rPr>
          <w:sz w:val="20"/>
        </w:rPr>
        <w:t>s beI</w:t>
      </w:r>
      <w:r w:rsidR="0009672A" w:rsidRPr="003243FA">
        <w:rPr>
          <w:sz w:val="20"/>
        </w:rPr>
        <w:t>N</w:t>
      </w:r>
      <w:r w:rsidR="00FA4453" w:rsidRPr="003243FA">
        <w:rPr>
          <w:sz w:val="20"/>
        </w:rPr>
        <w:t xml:space="preserve"> Sports 2, </w:t>
      </w:r>
      <w:r w:rsidR="008F512C" w:rsidRPr="003243FA">
        <w:rPr>
          <w:sz w:val="20"/>
        </w:rPr>
        <w:t xml:space="preserve">confirmed </w:t>
      </w:r>
      <w:r w:rsidR="00054229" w:rsidRPr="003243FA">
        <w:rPr>
          <w:sz w:val="20"/>
        </w:rPr>
        <w:t xml:space="preserve">that </w:t>
      </w:r>
      <w:r w:rsidR="008F512C" w:rsidRPr="003243FA">
        <w:rPr>
          <w:sz w:val="20"/>
        </w:rPr>
        <w:t xml:space="preserve">there were </w:t>
      </w:r>
      <w:r w:rsidR="00054229" w:rsidRPr="003243FA">
        <w:rPr>
          <w:sz w:val="20"/>
        </w:rPr>
        <w:t>six</w:t>
      </w:r>
      <w:r w:rsidR="008F512C" w:rsidRPr="003243FA">
        <w:rPr>
          <w:sz w:val="20"/>
        </w:rPr>
        <w:t xml:space="preserve"> </w:t>
      </w:r>
      <w:r w:rsidR="00517571">
        <w:rPr>
          <w:sz w:val="20"/>
        </w:rPr>
        <w:t xml:space="preserve">[Betting Company 1] </w:t>
      </w:r>
      <w:r w:rsidR="00280C0A">
        <w:rPr>
          <w:sz w:val="20"/>
        </w:rPr>
        <w:t>a</w:t>
      </w:r>
      <w:r w:rsidR="008F512C" w:rsidRPr="003243FA">
        <w:rPr>
          <w:sz w:val="20"/>
        </w:rPr>
        <w:t xml:space="preserve">dvertisements broadcast </w:t>
      </w:r>
      <w:r w:rsidR="009E1AEA" w:rsidRPr="003243FA">
        <w:rPr>
          <w:sz w:val="20"/>
        </w:rPr>
        <w:t>between</w:t>
      </w:r>
      <w:r w:rsidR="008F512C" w:rsidRPr="003243FA">
        <w:rPr>
          <w:sz w:val="20"/>
        </w:rPr>
        <w:t xml:space="preserve"> </w:t>
      </w:r>
      <w:r w:rsidR="00664025" w:rsidRPr="003243FA">
        <w:rPr>
          <w:sz w:val="20"/>
        </w:rPr>
        <w:t>10</w:t>
      </w:r>
      <w:r w:rsidR="009E1AEA" w:rsidRPr="003243FA">
        <w:rPr>
          <w:sz w:val="20"/>
        </w:rPr>
        <w:t>:</w:t>
      </w:r>
      <w:r w:rsidR="00664025" w:rsidRPr="003243FA">
        <w:rPr>
          <w:sz w:val="20"/>
        </w:rPr>
        <w:t>30</w:t>
      </w:r>
      <w:r w:rsidR="001F6BA2" w:rsidRPr="003243FA">
        <w:rPr>
          <w:sz w:val="20"/>
        </w:rPr>
        <w:t xml:space="preserve"> </w:t>
      </w:r>
      <w:r w:rsidR="00664025" w:rsidRPr="003243FA">
        <w:rPr>
          <w:sz w:val="20"/>
        </w:rPr>
        <w:t xml:space="preserve">am </w:t>
      </w:r>
      <w:r w:rsidR="009E1AEA" w:rsidRPr="003243FA">
        <w:rPr>
          <w:sz w:val="20"/>
        </w:rPr>
        <w:t>and</w:t>
      </w:r>
      <w:r w:rsidR="00664025" w:rsidRPr="003243FA">
        <w:rPr>
          <w:sz w:val="20"/>
        </w:rPr>
        <w:t xml:space="preserve"> 11</w:t>
      </w:r>
      <w:r w:rsidR="009E1AEA" w:rsidRPr="003243FA">
        <w:rPr>
          <w:sz w:val="20"/>
        </w:rPr>
        <w:t>:</w:t>
      </w:r>
      <w:r w:rsidR="00664025" w:rsidRPr="003243FA">
        <w:rPr>
          <w:sz w:val="20"/>
        </w:rPr>
        <w:t>30</w:t>
      </w:r>
      <w:r w:rsidR="009E1AEA" w:rsidRPr="003243FA">
        <w:rPr>
          <w:sz w:val="20"/>
        </w:rPr>
        <w:t xml:space="preserve"> </w:t>
      </w:r>
      <w:r w:rsidR="00664025" w:rsidRPr="003243FA">
        <w:rPr>
          <w:sz w:val="20"/>
        </w:rPr>
        <w:t>am</w:t>
      </w:r>
      <w:r w:rsidR="008F512C" w:rsidRPr="003243FA">
        <w:rPr>
          <w:sz w:val="20"/>
        </w:rPr>
        <w:t>.</w:t>
      </w:r>
      <w:r w:rsidR="00664025" w:rsidRPr="003243FA">
        <w:rPr>
          <w:sz w:val="20"/>
        </w:rPr>
        <w:t xml:space="preserve"> </w:t>
      </w:r>
    </w:p>
    <w:p w14:paraId="2B65DB35" w14:textId="3A444CCF" w:rsidR="001511F8" w:rsidRDefault="00664025" w:rsidP="003330BA">
      <w:pPr>
        <w:pStyle w:val="ACMAQuoteindented"/>
        <w:ind w:left="0"/>
        <w:rPr>
          <w:sz w:val="20"/>
        </w:rPr>
      </w:pPr>
      <w:r w:rsidRPr="003243FA">
        <w:rPr>
          <w:sz w:val="20"/>
        </w:rPr>
        <w:t>Three of these</w:t>
      </w:r>
      <w:r w:rsidR="008F512C" w:rsidRPr="003243FA">
        <w:rPr>
          <w:sz w:val="20"/>
        </w:rPr>
        <w:t xml:space="preserve"> </w:t>
      </w:r>
      <w:r w:rsidR="00280C0A">
        <w:rPr>
          <w:sz w:val="20"/>
        </w:rPr>
        <w:t>a</w:t>
      </w:r>
      <w:r w:rsidR="008F512C" w:rsidRPr="003243FA">
        <w:rPr>
          <w:sz w:val="20"/>
        </w:rPr>
        <w:t xml:space="preserve">dvertisements were broadcast after Play of the </w:t>
      </w:r>
      <w:r w:rsidR="00B9106B" w:rsidRPr="003243FA">
        <w:rPr>
          <w:sz w:val="20"/>
        </w:rPr>
        <w:t xml:space="preserve">Tennis </w:t>
      </w:r>
      <w:r w:rsidR="008F512C" w:rsidRPr="003243FA">
        <w:rPr>
          <w:sz w:val="20"/>
        </w:rPr>
        <w:t xml:space="preserve">Match had concluded, which </w:t>
      </w:r>
      <w:r w:rsidR="00716FC0" w:rsidRPr="003243FA">
        <w:rPr>
          <w:sz w:val="20"/>
        </w:rPr>
        <w:t xml:space="preserve">is allowed under </w:t>
      </w:r>
      <w:r w:rsidR="008F512C" w:rsidRPr="003243FA">
        <w:rPr>
          <w:sz w:val="20"/>
        </w:rPr>
        <w:t>clause 2 of Appendix A to the Code.</w:t>
      </w:r>
      <w:r w:rsidR="00FC6429" w:rsidRPr="003243FA">
        <w:rPr>
          <w:sz w:val="20"/>
        </w:rPr>
        <w:t xml:space="preserve"> </w:t>
      </w:r>
      <w:r w:rsidR="008F512C" w:rsidRPr="003243FA">
        <w:rPr>
          <w:sz w:val="20"/>
        </w:rPr>
        <w:t>T</w:t>
      </w:r>
      <w:r w:rsidR="00FC6429" w:rsidRPr="003243FA">
        <w:rPr>
          <w:sz w:val="20"/>
        </w:rPr>
        <w:t>he other</w:t>
      </w:r>
      <w:r w:rsidR="009E1AEA" w:rsidRPr="003243FA">
        <w:rPr>
          <w:sz w:val="20"/>
        </w:rPr>
        <w:t xml:space="preserve"> </w:t>
      </w:r>
      <w:r w:rsidR="001F6BA2" w:rsidRPr="003243FA">
        <w:rPr>
          <w:sz w:val="20"/>
        </w:rPr>
        <w:t xml:space="preserve">three </w:t>
      </w:r>
      <w:r w:rsidR="00280C0A">
        <w:rPr>
          <w:sz w:val="20"/>
        </w:rPr>
        <w:t>a</w:t>
      </w:r>
      <w:r w:rsidR="008F512C" w:rsidRPr="003243FA">
        <w:rPr>
          <w:sz w:val="20"/>
        </w:rPr>
        <w:t xml:space="preserve">dvertisements </w:t>
      </w:r>
      <w:r w:rsidR="00FC6429" w:rsidRPr="003243FA">
        <w:rPr>
          <w:sz w:val="20"/>
        </w:rPr>
        <w:t xml:space="preserve">were </w:t>
      </w:r>
      <w:r w:rsidR="008F512C" w:rsidRPr="003243FA">
        <w:rPr>
          <w:sz w:val="20"/>
        </w:rPr>
        <w:t>broadcast</w:t>
      </w:r>
      <w:r w:rsidR="00C722E7" w:rsidRPr="003243FA">
        <w:rPr>
          <w:sz w:val="20"/>
        </w:rPr>
        <w:t xml:space="preserve"> </w:t>
      </w:r>
      <w:r w:rsidR="008F512C" w:rsidRPr="003243FA">
        <w:rPr>
          <w:sz w:val="20"/>
        </w:rPr>
        <w:t xml:space="preserve">during advertisement breaks at </w:t>
      </w:r>
      <w:r w:rsidR="001F6BA2" w:rsidRPr="003243FA">
        <w:rPr>
          <w:sz w:val="20"/>
        </w:rPr>
        <w:t>three</w:t>
      </w:r>
      <w:r w:rsidR="008F512C" w:rsidRPr="003243FA">
        <w:rPr>
          <w:sz w:val="20"/>
        </w:rPr>
        <w:t xml:space="preserve"> change of ends </w:t>
      </w:r>
      <w:r w:rsidR="00DF723B" w:rsidRPr="003243FA">
        <w:rPr>
          <w:sz w:val="20"/>
        </w:rPr>
        <w:t>during</w:t>
      </w:r>
      <w:r w:rsidR="00DF723B">
        <w:rPr>
          <w:sz w:val="20"/>
        </w:rPr>
        <w:t xml:space="preserve"> the second set </w:t>
      </w:r>
      <w:r w:rsidR="008F512C" w:rsidRPr="001759A7">
        <w:rPr>
          <w:sz w:val="20"/>
        </w:rPr>
        <w:t xml:space="preserve">of the </w:t>
      </w:r>
      <w:r w:rsidR="006229A6">
        <w:rPr>
          <w:sz w:val="20"/>
        </w:rPr>
        <w:t xml:space="preserve">Tennis </w:t>
      </w:r>
      <w:r w:rsidR="008F512C" w:rsidRPr="001759A7">
        <w:rPr>
          <w:sz w:val="20"/>
        </w:rPr>
        <w:t>Match</w:t>
      </w:r>
      <w:r w:rsidR="00BE3949">
        <w:rPr>
          <w:sz w:val="20"/>
        </w:rPr>
        <w:t xml:space="preserve">, </w:t>
      </w:r>
      <w:r w:rsidR="00BE3949">
        <w:rPr>
          <w:iCs/>
          <w:sz w:val="20"/>
        </w:rPr>
        <w:t xml:space="preserve">which </w:t>
      </w:r>
      <w:r w:rsidR="00E86DD9">
        <w:rPr>
          <w:iCs/>
          <w:sz w:val="20"/>
        </w:rPr>
        <w:t>is</w:t>
      </w:r>
      <w:r w:rsidR="00BE3949" w:rsidRPr="007E4184">
        <w:rPr>
          <w:iCs/>
          <w:sz w:val="20"/>
        </w:rPr>
        <w:t xml:space="preserve"> not </w:t>
      </w:r>
      <w:r w:rsidR="00E86DD9">
        <w:rPr>
          <w:iCs/>
          <w:sz w:val="20"/>
        </w:rPr>
        <w:t xml:space="preserve">a </w:t>
      </w:r>
      <w:r w:rsidR="00BE3949" w:rsidRPr="007E4184">
        <w:rPr>
          <w:iCs/>
          <w:sz w:val="20"/>
        </w:rPr>
        <w:t>defined Scheduled Break in tennis</w:t>
      </w:r>
      <w:r w:rsidR="00DF723B">
        <w:rPr>
          <w:sz w:val="20"/>
        </w:rPr>
        <w:t>.</w:t>
      </w:r>
      <w:r w:rsidR="008F512C" w:rsidRPr="001759A7">
        <w:rPr>
          <w:sz w:val="20"/>
        </w:rPr>
        <w:t xml:space="preserve"> </w:t>
      </w:r>
      <w:r w:rsidR="001D2765">
        <w:rPr>
          <w:sz w:val="20"/>
        </w:rPr>
        <w:t>The ACMA’s review of the copy of the broadcast has confirmed this information.</w:t>
      </w:r>
      <w:r w:rsidR="008F512C" w:rsidRPr="001759A7">
        <w:rPr>
          <w:sz w:val="20"/>
        </w:rPr>
        <w:t xml:space="preserve">   </w:t>
      </w:r>
    </w:p>
    <w:p w14:paraId="1906933A" w14:textId="6943642F" w:rsidR="000D25A4" w:rsidRDefault="00DF01D3" w:rsidP="003330BA">
      <w:pPr>
        <w:pStyle w:val="ACMAQuoteindented"/>
        <w:ind w:left="0"/>
        <w:rPr>
          <w:sz w:val="20"/>
        </w:rPr>
      </w:pPr>
      <w:r>
        <w:rPr>
          <w:sz w:val="20"/>
        </w:rPr>
        <w:t xml:space="preserve">The Licensee also provided </w:t>
      </w:r>
      <w:r w:rsidR="00DB6857">
        <w:rPr>
          <w:sz w:val="20"/>
        </w:rPr>
        <w:t xml:space="preserve">information from </w:t>
      </w:r>
      <w:r w:rsidR="00F564A2">
        <w:rPr>
          <w:sz w:val="20"/>
        </w:rPr>
        <w:t>beI</w:t>
      </w:r>
      <w:r w:rsidR="005338AE">
        <w:rPr>
          <w:sz w:val="20"/>
        </w:rPr>
        <w:t>N</w:t>
      </w:r>
      <w:r w:rsidR="00F564A2">
        <w:rPr>
          <w:sz w:val="20"/>
        </w:rPr>
        <w:t xml:space="preserve"> Sports</w:t>
      </w:r>
      <w:r w:rsidR="00C4587A">
        <w:rPr>
          <w:sz w:val="20"/>
        </w:rPr>
        <w:t xml:space="preserve"> that </w:t>
      </w:r>
      <w:r w:rsidR="001F6BA2">
        <w:rPr>
          <w:sz w:val="20"/>
        </w:rPr>
        <w:t>eight</w:t>
      </w:r>
      <w:r w:rsidR="00C81849">
        <w:rPr>
          <w:sz w:val="20"/>
        </w:rPr>
        <w:t xml:space="preserve"> </w:t>
      </w:r>
      <w:r w:rsidR="005338AE">
        <w:rPr>
          <w:sz w:val="20"/>
        </w:rPr>
        <w:t xml:space="preserve">additional </w:t>
      </w:r>
      <w:r w:rsidR="00280C0A">
        <w:rPr>
          <w:sz w:val="20"/>
        </w:rPr>
        <w:t>a</w:t>
      </w:r>
      <w:r w:rsidR="00C81849">
        <w:rPr>
          <w:sz w:val="20"/>
        </w:rPr>
        <w:t>dvertisements were broadcast during the</w:t>
      </w:r>
      <w:r w:rsidR="00D247E2">
        <w:rPr>
          <w:sz w:val="20"/>
        </w:rPr>
        <w:t xml:space="preserve"> first set of the</w:t>
      </w:r>
      <w:r w:rsidR="00C81849">
        <w:rPr>
          <w:sz w:val="20"/>
        </w:rPr>
        <w:t xml:space="preserve"> Tennis Match</w:t>
      </w:r>
      <w:r w:rsidR="00D247E2">
        <w:rPr>
          <w:sz w:val="20"/>
        </w:rPr>
        <w:t>,</w:t>
      </w:r>
      <w:r w:rsidR="00C81849">
        <w:rPr>
          <w:sz w:val="20"/>
        </w:rPr>
        <w:t xml:space="preserve"> </w:t>
      </w:r>
      <w:r w:rsidR="005338AE">
        <w:rPr>
          <w:sz w:val="20"/>
        </w:rPr>
        <w:t>in contravention of</w:t>
      </w:r>
      <w:r w:rsidR="00C81849">
        <w:rPr>
          <w:sz w:val="20"/>
        </w:rPr>
        <w:t xml:space="preserve"> the Code</w:t>
      </w:r>
      <w:r w:rsidR="000D25A4">
        <w:rPr>
          <w:sz w:val="20"/>
        </w:rPr>
        <w:t>:</w:t>
      </w:r>
    </w:p>
    <w:p w14:paraId="7DC1751B" w14:textId="1E497314" w:rsidR="000D25A4" w:rsidRDefault="000D25A4" w:rsidP="00891CF8">
      <w:pPr>
        <w:pStyle w:val="ACMAQuoteindented"/>
        <w:ind w:left="720"/>
      </w:pPr>
      <w:r>
        <w:t xml:space="preserve">• Three </w:t>
      </w:r>
      <w:r w:rsidR="003C0F89" w:rsidRPr="003C0F89">
        <w:t xml:space="preserve">[Betting Company </w:t>
      </w:r>
      <w:r w:rsidR="003C0F89">
        <w:t>2</w:t>
      </w:r>
      <w:r w:rsidR="003C0F89" w:rsidRPr="003C0F89">
        <w:t>]</w:t>
      </w:r>
      <w:r>
        <w:t xml:space="preserve"> Betting Advertisement billboards were broadcast during advertisement breaks</w:t>
      </w:r>
      <w:r w:rsidR="00547143">
        <w:t xml:space="preserve"> </w:t>
      </w:r>
      <w:r>
        <w:t xml:space="preserve">at the change of ends after game 3(09:47), game 5(09:58) and game 7(10:07) of the first set of the Tennis Match which is not a defined Scheduled Break of Play in tennis. </w:t>
      </w:r>
    </w:p>
    <w:p w14:paraId="073313FE" w14:textId="6A386112" w:rsidR="000D25A4" w:rsidRDefault="000D25A4" w:rsidP="00891CF8">
      <w:pPr>
        <w:pStyle w:val="ACMAQuoteindented"/>
        <w:ind w:left="720"/>
        <w:rPr>
          <w:sz w:val="20"/>
        </w:rPr>
      </w:pPr>
      <w:r>
        <w:t xml:space="preserve">• Five </w:t>
      </w:r>
      <w:r w:rsidR="003C0F89" w:rsidRPr="003C0F89">
        <w:t>[Betting Company 1]</w:t>
      </w:r>
      <w:r>
        <w:t xml:space="preserve"> Betting Advertisements were broadcast during advertisement breaks at the change of ends after game 3(09:47), game 5(09:58), game 7(10:07), game 9(10:15) and game 11(10:25) in the first set of the Tennis Match which is not a defined Scheduled Break of Play in tennis.</w:t>
      </w:r>
    </w:p>
    <w:p w14:paraId="7DD96AC6" w14:textId="181B803F" w:rsidR="00DF01D3" w:rsidRDefault="003F0A93" w:rsidP="003330BA">
      <w:pPr>
        <w:pStyle w:val="ACMAQuoteindented"/>
        <w:ind w:left="0"/>
        <w:rPr>
          <w:sz w:val="20"/>
        </w:rPr>
      </w:pPr>
      <w:r>
        <w:rPr>
          <w:sz w:val="20"/>
        </w:rPr>
        <w:t xml:space="preserve">These additional instances have also been confirmed by the ACMA </w:t>
      </w:r>
      <w:r w:rsidR="00B44A3E">
        <w:rPr>
          <w:sz w:val="20"/>
        </w:rPr>
        <w:t>by examining</w:t>
      </w:r>
      <w:r>
        <w:rPr>
          <w:sz w:val="20"/>
        </w:rPr>
        <w:t xml:space="preserve"> the </w:t>
      </w:r>
      <w:r w:rsidR="00B9526E" w:rsidRPr="003E6F30">
        <w:rPr>
          <w:sz w:val="20"/>
        </w:rPr>
        <w:t>recording</w:t>
      </w:r>
      <w:r w:rsidR="00B9526E">
        <w:rPr>
          <w:sz w:val="20"/>
        </w:rPr>
        <w:t xml:space="preserve"> </w:t>
      </w:r>
      <w:r>
        <w:rPr>
          <w:sz w:val="20"/>
        </w:rPr>
        <w:t>of the broadcast provided by the Licensee.</w:t>
      </w:r>
    </w:p>
    <w:p w14:paraId="17660054" w14:textId="02D07E3E" w:rsidR="00B41392" w:rsidRDefault="00D64324" w:rsidP="00B41392">
      <w:pPr>
        <w:pStyle w:val="ACMAQuoteindented"/>
        <w:ind w:left="0"/>
        <w:rPr>
          <w:sz w:val="20"/>
        </w:rPr>
      </w:pPr>
      <w:r>
        <w:rPr>
          <w:sz w:val="20"/>
        </w:rPr>
        <w:lastRenderedPageBreak/>
        <w:t xml:space="preserve">As a </w:t>
      </w:r>
      <w:r w:rsidR="00987D02">
        <w:rPr>
          <w:sz w:val="20"/>
        </w:rPr>
        <w:t xml:space="preserve">change of ends is not </w:t>
      </w:r>
      <w:r>
        <w:rPr>
          <w:sz w:val="20"/>
        </w:rPr>
        <w:t xml:space="preserve">a </w:t>
      </w:r>
      <w:r w:rsidR="00987D02">
        <w:rPr>
          <w:sz w:val="20"/>
        </w:rPr>
        <w:t>defined Scheduled Break</w:t>
      </w:r>
      <w:r>
        <w:rPr>
          <w:sz w:val="20"/>
        </w:rPr>
        <w:t xml:space="preserve"> in tennis, </w:t>
      </w:r>
      <w:r w:rsidR="000C3221" w:rsidRPr="005A4ECE">
        <w:rPr>
          <w:sz w:val="20"/>
        </w:rPr>
        <w:t>from the evidence provided by the Licensee</w:t>
      </w:r>
      <w:r w:rsidR="00227857" w:rsidRPr="00702EBD">
        <w:rPr>
          <w:sz w:val="20"/>
        </w:rPr>
        <w:t>, t</w:t>
      </w:r>
      <w:r w:rsidR="001511F8" w:rsidRPr="00721E1C">
        <w:rPr>
          <w:sz w:val="20"/>
        </w:rPr>
        <w:t xml:space="preserve">he </w:t>
      </w:r>
      <w:r w:rsidR="00517571">
        <w:rPr>
          <w:sz w:val="20"/>
        </w:rPr>
        <w:t xml:space="preserve">[Betting Company 1] </w:t>
      </w:r>
      <w:r w:rsidR="00CB6A53">
        <w:rPr>
          <w:sz w:val="20"/>
        </w:rPr>
        <w:t>a</w:t>
      </w:r>
      <w:r w:rsidR="00CB6A53" w:rsidRPr="00721E1C">
        <w:rPr>
          <w:sz w:val="20"/>
        </w:rPr>
        <w:t xml:space="preserve">dvertisement </w:t>
      </w:r>
      <w:r w:rsidR="00B41392" w:rsidRPr="005A4ECE">
        <w:rPr>
          <w:sz w:val="20"/>
        </w:rPr>
        <w:t>w</w:t>
      </w:r>
      <w:r w:rsidR="00987D02" w:rsidRPr="005A4ECE">
        <w:rPr>
          <w:sz w:val="20"/>
        </w:rPr>
        <w:t>as</w:t>
      </w:r>
      <w:r w:rsidR="00B41392" w:rsidRPr="005A4ECE">
        <w:rPr>
          <w:sz w:val="20"/>
        </w:rPr>
        <w:t xml:space="preserve"> </w:t>
      </w:r>
      <w:r w:rsidR="00541736" w:rsidRPr="005A4ECE">
        <w:rPr>
          <w:sz w:val="20"/>
        </w:rPr>
        <w:t xml:space="preserve">broadcast </w:t>
      </w:r>
      <w:r w:rsidR="00C85EC1" w:rsidRPr="005A4ECE">
        <w:rPr>
          <w:sz w:val="20"/>
        </w:rPr>
        <w:t xml:space="preserve">on </w:t>
      </w:r>
      <w:r w:rsidR="001D2765">
        <w:rPr>
          <w:sz w:val="20"/>
        </w:rPr>
        <w:t xml:space="preserve">a total of </w:t>
      </w:r>
      <w:r w:rsidR="00250067" w:rsidRPr="00E77537">
        <w:rPr>
          <w:sz w:val="20"/>
        </w:rPr>
        <w:t>eight</w:t>
      </w:r>
      <w:r w:rsidR="00C856F7">
        <w:rPr>
          <w:sz w:val="20"/>
        </w:rPr>
        <w:t xml:space="preserve"> </w:t>
      </w:r>
      <w:r w:rsidR="00C85EC1" w:rsidRPr="00702EBD">
        <w:rPr>
          <w:sz w:val="20"/>
        </w:rPr>
        <w:t>occasions</w:t>
      </w:r>
      <w:r w:rsidR="005E34CC">
        <w:rPr>
          <w:sz w:val="20"/>
        </w:rPr>
        <w:t xml:space="preserve">, throughout the </w:t>
      </w:r>
      <w:r w:rsidR="00A86B5C">
        <w:rPr>
          <w:sz w:val="20"/>
        </w:rPr>
        <w:t>T</w:t>
      </w:r>
      <w:r w:rsidR="005E34CC">
        <w:rPr>
          <w:sz w:val="20"/>
        </w:rPr>
        <w:t xml:space="preserve">ennis </w:t>
      </w:r>
      <w:r w:rsidR="00A86B5C">
        <w:rPr>
          <w:sz w:val="20"/>
        </w:rPr>
        <w:t>M</w:t>
      </w:r>
      <w:r w:rsidR="005E34CC">
        <w:rPr>
          <w:sz w:val="20"/>
        </w:rPr>
        <w:t>atch,</w:t>
      </w:r>
      <w:r w:rsidR="00C85EC1" w:rsidRPr="00702EBD">
        <w:rPr>
          <w:sz w:val="20"/>
        </w:rPr>
        <w:t xml:space="preserve"> </w:t>
      </w:r>
      <w:r w:rsidR="00541736" w:rsidRPr="00721E1C">
        <w:rPr>
          <w:sz w:val="20"/>
        </w:rPr>
        <w:t xml:space="preserve">at times </w:t>
      </w:r>
      <w:bookmarkStart w:id="6" w:name="_Hlk124516503"/>
      <w:r w:rsidR="00541736" w:rsidRPr="00721E1C">
        <w:rPr>
          <w:sz w:val="20"/>
        </w:rPr>
        <w:t xml:space="preserve">not </w:t>
      </w:r>
      <w:r w:rsidR="001D2765">
        <w:rPr>
          <w:sz w:val="20"/>
        </w:rPr>
        <w:t>permitted</w:t>
      </w:r>
      <w:r w:rsidR="00DF01D3" w:rsidRPr="005A4ECE">
        <w:rPr>
          <w:sz w:val="20"/>
        </w:rPr>
        <w:t xml:space="preserve"> under clause 2</w:t>
      </w:r>
      <w:r w:rsidR="00671F96">
        <w:rPr>
          <w:sz w:val="20"/>
        </w:rPr>
        <w:t xml:space="preserve"> of Appendix A</w:t>
      </w:r>
      <w:bookmarkEnd w:id="6"/>
      <w:r>
        <w:rPr>
          <w:sz w:val="20"/>
        </w:rPr>
        <w:t>.</w:t>
      </w:r>
      <w:r w:rsidR="00DF01D3" w:rsidRPr="005A4ECE">
        <w:rPr>
          <w:sz w:val="20"/>
        </w:rPr>
        <w:t xml:space="preserve"> </w:t>
      </w:r>
      <w:r>
        <w:rPr>
          <w:sz w:val="20"/>
        </w:rPr>
        <w:t>A</w:t>
      </w:r>
      <w:r w:rsidR="00711F43" w:rsidRPr="005A4ECE">
        <w:rPr>
          <w:sz w:val="20"/>
        </w:rPr>
        <w:t>ccording</w:t>
      </w:r>
      <w:r w:rsidR="00D22EB6" w:rsidRPr="005A4ECE">
        <w:rPr>
          <w:sz w:val="20"/>
        </w:rPr>
        <w:t>ly</w:t>
      </w:r>
      <w:r w:rsidR="00711F43" w:rsidRPr="005A4ECE">
        <w:rPr>
          <w:sz w:val="20"/>
        </w:rPr>
        <w:t xml:space="preserve">, </w:t>
      </w:r>
      <w:r w:rsidR="00B41392" w:rsidRPr="005A4ECE">
        <w:rPr>
          <w:sz w:val="20"/>
        </w:rPr>
        <w:t xml:space="preserve">the </w:t>
      </w:r>
      <w:r w:rsidR="00F7119D" w:rsidRPr="005A4ECE">
        <w:rPr>
          <w:sz w:val="20"/>
        </w:rPr>
        <w:t xml:space="preserve">ACMA’s view is that the </w:t>
      </w:r>
      <w:r w:rsidR="00B41392" w:rsidRPr="005A4ECE">
        <w:rPr>
          <w:sz w:val="20"/>
        </w:rPr>
        <w:t xml:space="preserve">broadcast of these </w:t>
      </w:r>
      <w:r w:rsidR="007F1C8C" w:rsidRPr="00891CF8">
        <w:rPr>
          <w:sz w:val="20"/>
        </w:rPr>
        <w:t xml:space="preserve">eight </w:t>
      </w:r>
      <w:r w:rsidR="00B41392" w:rsidRPr="005A4ECE">
        <w:rPr>
          <w:sz w:val="20"/>
        </w:rPr>
        <w:t xml:space="preserve">advertisements </w:t>
      </w:r>
      <w:r w:rsidR="00D247E2">
        <w:rPr>
          <w:sz w:val="20"/>
        </w:rPr>
        <w:t>wa</w:t>
      </w:r>
      <w:r w:rsidR="001F6BA2">
        <w:rPr>
          <w:sz w:val="20"/>
        </w:rPr>
        <w:t>s</w:t>
      </w:r>
      <w:r w:rsidR="00B41392" w:rsidRPr="005A4ECE">
        <w:rPr>
          <w:sz w:val="20"/>
        </w:rPr>
        <w:t xml:space="preserve"> in contravention of the prohibition </w:t>
      </w:r>
      <w:r>
        <w:rPr>
          <w:sz w:val="20"/>
        </w:rPr>
        <w:t>on the broadcast of betting advertisements in</w:t>
      </w:r>
      <w:r w:rsidR="00B41392" w:rsidRPr="005A4ECE">
        <w:rPr>
          <w:sz w:val="20"/>
        </w:rPr>
        <w:t xml:space="preserve"> the Code.</w:t>
      </w:r>
    </w:p>
    <w:p w14:paraId="005457D2" w14:textId="3F4364A8" w:rsidR="003939DD" w:rsidRDefault="00EB7913" w:rsidP="007E4184">
      <w:pPr>
        <w:pStyle w:val="ACMABodyText"/>
      </w:pPr>
      <w:r w:rsidRPr="002802E9">
        <w:t xml:space="preserve">The </w:t>
      </w:r>
      <w:r w:rsidRPr="00A035F2">
        <w:t>A</w:t>
      </w:r>
      <w:r w:rsidRPr="00A803EB">
        <w:t>CMA</w:t>
      </w:r>
      <w:r w:rsidRPr="00C1376C">
        <w:t xml:space="preserve"> also notes</w:t>
      </w:r>
      <w:r w:rsidR="00502CD8">
        <w:t>, and has verified,</w:t>
      </w:r>
      <w:r w:rsidRPr="00C1376C">
        <w:t xml:space="preserve"> the </w:t>
      </w:r>
      <w:r w:rsidR="00502CD8">
        <w:t>admission</w:t>
      </w:r>
      <w:r w:rsidR="004F1D9E" w:rsidRPr="00C1376C">
        <w:t xml:space="preserve"> by the Licensee that</w:t>
      </w:r>
      <w:r w:rsidR="009627C1" w:rsidRPr="00C1376C">
        <w:t xml:space="preserve"> </w:t>
      </w:r>
      <w:r w:rsidRPr="00C1376C">
        <w:t xml:space="preserve">betting advertisements in the form of </w:t>
      </w:r>
      <w:r w:rsidR="001F6BA2">
        <w:t>three</w:t>
      </w:r>
      <w:r w:rsidR="00063712" w:rsidRPr="00C1376C">
        <w:t xml:space="preserve"> </w:t>
      </w:r>
      <w:r w:rsidR="00CB6A53" w:rsidRPr="00CB6A53">
        <w:t xml:space="preserve">[Betting Company </w:t>
      </w:r>
      <w:r w:rsidR="00CB6A53">
        <w:t>2</w:t>
      </w:r>
      <w:r w:rsidR="00CB6A53" w:rsidRPr="00CB6A53">
        <w:t>]</w:t>
      </w:r>
      <w:r w:rsidRPr="00C1376C">
        <w:t xml:space="preserve"> billboards</w:t>
      </w:r>
      <w:r w:rsidR="00502CD8">
        <w:t xml:space="preserve"> were broadcast in contravention of the Code.</w:t>
      </w:r>
      <w:r w:rsidR="00561004" w:rsidRPr="00C1376C">
        <w:t xml:space="preserve"> </w:t>
      </w:r>
    </w:p>
    <w:p w14:paraId="0DC0FE28" w14:textId="1387B7F0" w:rsidR="00D64324" w:rsidRPr="00C1376C" w:rsidRDefault="00CB6A53" w:rsidP="007E4184">
      <w:pPr>
        <w:pStyle w:val="ACMABodyText"/>
      </w:pPr>
      <w:r w:rsidRPr="00CB6A53">
        <w:t xml:space="preserve">[Betting Company </w:t>
      </w:r>
      <w:r>
        <w:t>2</w:t>
      </w:r>
      <w:r w:rsidRPr="00CB6A53">
        <w:t>]</w:t>
      </w:r>
      <w:r w:rsidR="003D3EC8" w:rsidRPr="00C1376C">
        <w:t xml:space="preserve"> is also </w:t>
      </w:r>
      <w:r w:rsidR="008D5434" w:rsidRPr="00891CF8">
        <w:t>listed on the ACMA’s Register</w:t>
      </w:r>
      <w:r w:rsidR="00502CD8">
        <w:t xml:space="preserve"> of Licensed Interactive Wagering Services.</w:t>
      </w:r>
      <w:r w:rsidR="008D5434" w:rsidRPr="00891CF8">
        <w:t xml:space="preserve"> </w:t>
      </w:r>
      <w:r w:rsidR="00502CD8">
        <w:t>T</w:t>
      </w:r>
      <w:r w:rsidR="00502CD8">
        <w:rPr>
          <w:lang w:eastAsia="en-AU"/>
        </w:rPr>
        <w:t xml:space="preserve">he ACMA considers that </w:t>
      </w:r>
      <w:r w:rsidRPr="00CB6A53">
        <w:rPr>
          <w:lang w:eastAsia="en-AU"/>
        </w:rPr>
        <w:t xml:space="preserve">[Betting Company </w:t>
      </w:r>
      <w:r>
        <w:rPr>
          <w:lang w:eastAsia="en-AU"/>
        </w:rPr>
        <w:t>2</w:t>
      </w:r>
      <w:r w:rsidRPr="00CB6A53">
        <w:rPr>
          <w:lang w:eastAsia="en-AU"/>
        </w:rPr>
        <w:t>]</w:t>
      </w:r>
      <w:r w:rsidR="00502CD8">
        <w:rPr>
          <w:lang w:eastAsia="en-AU"/>
        </w:rPr>
        <w:t xml:space="preserve"> is a </w:t>
      </w:r>
      <w:r w:rsidR="00502CD8" w:rsidRPr="004B0F55">
        <w:rPr>
          <w:lang w:eastAsia="en-AU"/>
        </w:rPr>
        <w:t>gambling or betting service</w:t>
      </w:r>
      <w:r w:rsidR="00502CD8">
        <w:rPr>
          <w:lang w:eastAsia="en-AU"/>
        </w:rPr>
        <w:t xml:space="preserve">, and that the billboard advertisements for it fall within the definition of </w:t>
      </w:r>
      <w:r w:rsidR="00502CD8">
        <w:t>Betting Advertising</w:t>
      </w:r>
      <w:r w:rsidR="00502CD8">
        <w:rPr>
          <w:lang w:eastAsia="en-AU"/>
        </w:rPr>
        <w:t xml:space="preserve"> under Appendix A to the Code</w:t>
      </w:r>
      <w:r w:rsidR="00502CD8" w:rsidRPr="004B0F55">
        <w:rPr>
          <w:lang w:eastAsia="en-AU"/>
        </w:rPr>
        <w:t xml:space="preserve">. </w:t>
      </w:r>
      <w:r w:rsidR="00502CD8">
        <w:rPr>
          <w:lang w:eastAsia="en-AU"/>
        </w:rPr>
        <w:t xml:space="preserve">The ACMA’s view is that the broadcast of the three </w:t>
      </w:r>
      <w:r w:rsidRPr="00CB6A53">
        <w:rPr>
          <w:lang w:eastAsia="en-AU"/>
        </w:rPr>
        <w:t xml:space="preserve">[Betting Company </w:t>
      </w:r>
      <w:r>
        <w:rPr>
          <w:lang w:eastAsia="en-AU"/>
        </w:rPr>
        <w:t>2</w:t>
      </w:r>
      <w:r w:rsidRPr="00CB6A53">
        <w:rPr>
          <w:lang w:eastAsia="en-AU"/>
        </w:rPr>
        <w:t>]</w:t>
      </w:r>
      <w:r w:rsidR="00502CD8">
        <w:rPr>
          <w:lang w:eastAsia="en-AU"/>
        </w:rPr>
        <w:t xml:space="preserve"> advertisements</w:t>
      </w:r>
      <w:r w:rsidR="00561004" w:rsidRPr="002802E9">
        <w:t xml:space="preserve"> c</w:t>
      </w:r>
      <w:r w:rsidR="00561004" w:rsidRPr="00A035F2">
        <w:t>o</w:t>
      </w:r>
      <w:r w:rsidR="00561004" w:rsidRPr="00A803EB">
        <w:t>ntr</w:t>
      </w:r>
      <w:r w:rsidR="00561004" w:rsidRPr="00C1376C">
        <w:t>aven</w:t>
      </w:r>
      <w:r w:rsidR="00502CD8">
        <w:t>ed the prohibition on the broadcast of betting advertisements</w:t>
      </w:r>
      <w:r w:rsidR="00561004" w:rsidRPr="00C1376C">
        <w:t xml:space="preserve"> </w:t>
      </w:r>
      <w:r w:rsidR="00502CD8">
        <w:t>in</w:t>
      </w:r>
      <w:r w:rsidR="00561004" w:rsidRPr="00C1376C">
        <w:t xml:space="preserve"> the Code.</w:t>
      </w:r>
      <w:r w:rsidR="00502CD8">
        <w:t xml:space="preserve"> </w:t>
      </w:r>
    </w:p>
    <w:p w14:paraId="36CCF581" w14:textId="7AF56C34" w:rsidR="00227857" w:rsidRPr="00891CF8" w:rsidRDefault="00227857" w:rsidP="00891CF8">
      <w:pPr>
        <w:pStyle w:val="ACMABodyText"/>
        <w:rPr>
          <w:iCs/>
          <w:u w:val="single"/>
        </w:rPr>
      </w:pPr>
      <w:r w:rsidRPr="00891CF8">
        <w:rPr>
          <w:iCs/>
          <w:u w:val="single"/>
        </w:rPr>
        <w:t>Reli</w:t>
      </w:r>
      <w:r w:rsidR="00F7119D" w:rsidRPr="00891CF8">
        <w:rPr>
          <w:iCs/>
          <w:u w:val="single"/>
        </w:rPr>
        <w:t>a</w:t>
      </w:r>
      <w:r w:rsidRPr="00891CF8">
        <w:rPr>
          <w:iCs/>
          <w:u w:val="single"/>
        </w:rPr>
        <w:t>nce on clause 1.2 of the Code</w:t>
      </w:r>
    </w:p>
    <w:p w14:paraId="22AB28E9" w14:textId="1FA0F9B7" w:rsidR="005D0199" w:rsidRDefault="00C97378" w:rsidP="003330BA">
      <w:pPr>
        <w:pStyle w:val="ACMAQuoteindented"/>
        <w:ind w:left="0"/>
        <w:rPr>
          <w:sz w:val="20"/>
        </w:rPr>
      </w:pPr>
      <w:r>
        <w:rPr>
          <w:sz w:val="20"/>
        </w:rPr>
        <w:t>T</w:t>
      </w:r>
      <w:r w:rsidR="005D0199">
        <w:rPr>
          <w:sz w:val="20"/>
        </w:rPr>
        <w:t xml:space="preserve">he Licensee </w:t>
      </w:r>
      <w:r>
        <w:rPr>
          <w:sz w:val="20"/>
        </w:rPr>
        <w:t>has submitted</w:t>
      </w:r>
      <w:r w:rsidR="005D0199">
        <w:rPr>
          <w:sz w:val="20"/>
        </w:rPr>
        <w:t>:</w:t>
      </w:r>
    </w:p>
    <w:p w14:paraId="535C2AAA" w14:textId="16DBCFBA" w:rsidR="003537C8" w:rsidRPr="009102A8" w:rsidRDefault="00D47FB1" w:rsidP="009102A8">
      <w:pPr>
        <w:pStyle w:val="ACMAQuoteindented"/>
        <w:ind w:left="720"/>
      </w:pPr>
      <w:r>
        <w:t>In the event the ACMA finds that the broadcast of the Tennis Match on the Channel did not comply with the ASTRA Codes, Foxtel submits that the failure to comply is not a breach of the ASTRA Codes by operation of clause 1.2</w:t>
      </w:r>
    </w:p>
    <w:p w14:paraId="201C1C7C" w14:textId="4BD4A70F" w:rsidR="00F03EB4" w:rsidRDefault="00C513B4" w:rsidP="00CC2759">
      <w:pPr>
        <w:pStyle w:val="ACMAQuoteindented"/>
        <w:ind w:left="0"/>
        <w:rPr>
          <w:sz w:val="20"/>
        </w:rPr>
      </w:pPr>
      <w:r>
        <w:rPr>
          <w:sz w:val="20"/>
        </w:rPr>
        <w:t>s</w:t>
      </w:r>
      <w:r w:rsidR="00F03EB4">
        <w:rPr>
          <w:sz w:val="20"/>
        </w:rPr>
        <w:t>pe</w:t>
      </w:r>
      <w:r w:rsidR="0068052E">
        <w:rPr>
          <w:sz w:val="20"/>
        </w:rPr>
        <w:t>cif</w:t>
      </w:r>
      <w:r w:rsidR="00F03EB4">
        <w:rPr>
          <w:sz w:val="20"/>
        </w:rPr>
        <w:t>ically</w:t>
      </w:r>
      <w:r w:rsidR="0068052E">
        <w:rPr>
          <w:sz w:val="20"/>
        </w:rPr>
        <w:t>,</w:t>
      </w:r>
      <w:r w:rsidR="00F03EB4">
        <w:rPr>
          <w:sz w:val="20"/>
        </w:rPr>
        <w:t xml:space="preserve"> with respect to subclause</w:t>
      </w:r>
      <w:r w:rsidR="0068052E">
        <w:rPr>
          <w:sz w:val="20"/>
        </w:rPr>
        <w:t>s 1.2(a) and 1.2(c).</w:t>
      </w:r>
    </w:p>
    <w:p w14:paraId="773CDB01" w14:textId="4DA092AB" w:rsidR="00CC2759" w:rsidRDefault="003F564D" w:rsidP="00CC2759">
      <w:pPr>
        <w:pStyle w:val="ACMAQuoteindented"/>
        <w:ind w:left="0"/>
        <w:rPr>
          <w:sz w:val="20"/>
        </w:rPr>
      </w:pPr>
      <w:r>
        <w:rPr>
          <w:sz w:val="20"/>
        </w:rPr>
        <w:t>Relevantly, c</w:t>
      </w:r>
      <w:r w:rsidR="00CC2759">
        <w:rPr>
          <w:sz w:val="20"/>
        </w:rPr>
        <w:t>lause 1.2 of the Code states:</w:t>
      </w:r>
    </w:p>
    <w:p w14:paraId="50BDA2A9" w14:textId="3A651F88" w:rsidR="00E01F15" w:rsidRPr="009102A8" w:rsidRDefault="004B5EDF" w:rsidP="009102A8">
      <w:pPr>
        <w:pStyle w:val="ACMAQuoteindented"/>
        <w:ind w:left="0"/>
        <w:rPr>
          <w:b/>
          <w:bCs/>
          <w:szCs w:val="18"/>
        </w:rPr>
      </w:pPr>
      <w:r>
        <w:rPr>
          <w:b/>
          <w:bCs/>
          <w:szCs w:val="18"/>
        </w:rPr>
        <w:tab/>
      </w:r>
      <w:r w:rsidR="00E01F15" w:rsidRPr="009102A8">
        <w:rPr>
          <w:b/>
          <w:bCs/>
          <w:szCs w:val="18"/>
        </w:rPr>
        <w:t>1.2</w:t>
      </w:r>
      <w:r w:rsidR="00E01F15" w:rsidRPr="009102A8">
        <w:rPr>
          <w:b/>
          <w:bCs/>
          <w:szCs w:val="18"/>
        </w:rPr>
        <w:tab/>
        <w:t>Compliance with the Codes</w:t>
      </w:r>
    </w:p>
    <w:p w14:paraId="675AEE56" w14:textId="77777777" w:rsidR="00E01F15" w:rsidRPr="00E01F15" w:rsidRDefault="00E01F15" w:rsidP="009102A8">
      <w:pPr>
        <w:pStyle w:val="ACMAQuoteindented"/>
        <w:ind w:left="720"/>
        <w:rPr>
          <w:szCs w:val="18"/>
        </w:rPr>
      </w:pPr>
      <w:r w:rsidRPr="00E01F15">
        <w:rPr>
          <w:szCs w:val="18"/>
        </w:rPr>
        <w:t>Licensees undertake to comply fully with the Codes, but a failure to comply will not be a breach of the Codes if that failure was due to:</w:t>
      </w:r>
    </w:p>
    <w:p w14:paraId="241BCA0E" w14:textId="77777777" w:rsidR="00E01F15" w:rsidRPr="00E01F15" w:rsidRDefault="00E01F15" w:rsidP="009102A8">
      <w:pPr>
        <w:pStyle w:val="ACMAQuoteindented"/>
        <w:ind w:firstLine="153"/>
        <w:rPr>
          <w:szCs w:val="18"/>
        </w:rPr>
      </w:pPr>
      <w:r w:rsidRPr="00E01F15">
        <w:rPr>
          <w:szCs w:val="18"/>
        </w:rPr>
        <w:t>(a)</w:t>
      </w:r>
      <w:r w:rsidRPr="00E01F15">
        <w:rPr>
          <w:szCs w:val="18"/>
        </w:rPr>
        <w:tab/>
        <w:t>a reasonable mistake;</w:t>
      </w:r>
    </w:p>
    <w:p w14:paraId="392234EE" w14:textId="059ADAED" w:rsidR="00E01F15" w:rsidRPr="00E01F15" w:rsidRDefault="00D64FF1" w:rsidP="009102A8">
      <w:pPr>
        <w:pStyle w:val="ACMAQuoteindented"/>
        <w:ind w:firstLine="153"/>
        <w:rPr>
          <w:szCs w:val="18"/>
        </w:rPr>
      </w:pPr>
      <w:r>
        <w:rPr>
          <w:szCs w:val="18"/>
        </w:rPr>
        <w:t>[…]</w:t>
      </w:r>
    </w:p>
    <w:p w14:paraId="74AABE54" w14:textId="73E9207C" w:rsidR="00CC2759" w:rsidRPr="003C675D" w:rsidRDefault="00E01F15" w:rsidP="001A79CA">
      <w:pPr>
        <w:pStyle w:val="ACMAQuoteindented"/>
        <w:ind w:left="720"/>
        <w:rPr>
          <w:szCs w:val="18"/>
        </w:rPr>
      </w:pPr>
      <w:r w:rsidRPr="00E01F15">
        <w:rPr>
          <w:szCs w:val="18"/>
        </w:rPr>
        <w:t>(c)</w:t>
      </w:r>
      <w:r w:rsidRPr="00E01F15">
        <w:rPr>
          <w:szCs w:val="18"/>
        </w:rPr>
        <w:tab/>
        <w:t xml:space="preserve">an act or default of another person, or an accident or some other cause beyond the </w:t>
      </w:r>
      <w:r w:rsidR="00046416">
        <w:rPr>
          <w:szCs w:val="18"/>
        </w:rPr>
        <w:t xml:space="preserve">   </w:t>
      </w:r>
      <w:r w:rsidR="007A3CB5">
        <w:rPr>
          <w:szCs w:val="18"/>
        </w:rPr>
        <w:t xml:space="preserve"> </w:t>
      </w:r>
      <w:r w:rsidRPr="00E01F15">
        <w:rPr>
          <w:szCs w:val="18"/>
        </w:rPr>
        <w:t>Licensee's control, and the Licensee took reasonable precautions and exercised due diligence to avoid the failure.</w:t>
      </w:r>
    </w:p>
    <w:p w14:paraId="283FD89D" w14:textId="07F437BC" w:rsidR="0069716D" w:rsidRDefault="00A43C3F" w:rsidP="001D2765">
      <w:pPr>
        <w:pStyle w:val="ACMAQuoteindented"/>
        <w:keepNext/>
        <w:ind w:left="0"/>
        <w:rPr>
          <w:sz w:val="20"/>
          <w:u w:val="single"/>
        </w:rPr>
      </w:pPr>
      <w:r w:rsidRPr="00773829">
        <w:rPr>
          <w:sz w:val="20"/>
          <w:u w:val="single"/>
        </w:rPr>
        <w:t>Did the Licensee make a reasonable mistake?</w:t>
      </w:r>
    </w:p>
    <w:p w14:paraId="1A4E4662" w14:textId="34450692" w:rsidR="000E242A" w:rsidRPr="009102A8" w:rsidRDefault="009801E1" w:rsidP="001D2765">
      <w:pPr>
        <w:pStyle w:val="ACMAQuoteindented"/>
        <w:keepNext/>
        <w:ind w:left="0"/>
        <w:rPr>
          <w:sz w:val="20"/>
        </w:rPr>
      </w:pPr>
      <w:r w:rsidRPr="009102A8">
        <w:rPr>
          <w:sz w:val="20"/>
        </w:rPr>
        <w:t xml:space="preserve">In relation to subclause </w:t>
      </w:r>
      <w:r w:rsidR="00DF47F1">
        <w:rPr>
          <w:sz w:val="20"/>
        </w:rPr>
        <w:t xml:space="preserve">1.2(a) </w:t>
      </w:r>
      <w:r w:rsidRPr="009102A8">
        <w:rPr>
          <w:sz w:val="20"/>
        </w:rPr>
        <w:t>of the Code, the Licensee stated:</w:t>
      </w:r>
    </w:p>
    <w:p w14:paraId="484ED377" w14:textId="39B66363" w:rsidR="009801E1" w:rsidRDefault="009801E1" w:rsidP="009801E1">
      <w:pPr>
        <w:pStyle w:val="ACMAQuoteindented"/>
        <w:ind w:left="720"/>
      </w:pPr>
      <w:r w:rsidRPr="00A66A1B">
        <w:t xml:space="preserve">With respect to the </w:t>
      </w:r>
      <w:r w:rsidR="000E1386" w:rsidRPr="000E1386">
        <w:t>[Betting Company 1]</w:t>
      </w:r>
      <w:r w:rsidRPr="00A66A1B">
        <w:t xml:space="preserve"> advertisements that were broadcast during advertisement breaks of the Tennis Match, Foxtel submits that any failure to comply with the ASTRA Codes was due to a reasonable mistake by the Channel Supplier’s recently appointed third party channel playout services provider</w:t>
      </w:r>
      <w:r w:rsidR="0020752C">
        <w:t xml:space="preserve"> […]</w:t>
      </w:r>
      <w:r w:rsidRPr="00A66A1B">
        <w:t>.</w:t>
      </w:r>
    </w:p>
    <w:p w14:paraId="16B47BB2" w14:textId="5FE611B1" w:rsidR="009801E1" w:rsidRPr="009102A8" w:rsidRDefault="00BA54F4" w:rsidP="009102A8">
      <w:pPr>
        <w:pStyle w:val="ACMAQuoteindented"/>
        <w:ind w:left="720"/>
      </w:pPr>
      <w:r>
        <w:t xml:space="preserve">Rather than executing a single amendment to broadcast a </w:t>
      </w:r>
      <w:r w:rsidR="000E1386" w:rsidRPr="000E1386">
        <w:t>[Betting Company 1]</w:t>
      </w:r>
      <w:r>
        <w:t xml:space="preserve"> advertisement once after conclusion of Play of the Tennis Match (which was compliant with the ASTRA Codes), as a result of a single human error </w:t>
      </w:r>
      <w:r w:rsidR="0020752C">
        <w:t xml:space="preserve">[the </w:t>
      </w:r>
      <w:r w:rsidR="00E27418">
        <w:t xml:space="preserve">playout </w:t>
      </w:r>
      <w:r w:rsidR="0020752C">
        <w:t>services provider]</w:t>
      </w:r>
      <w:r>
        <w:t xml:space="preserve"> mistakenly executed it as a multiple amendment, which resulted in the </w:t>
      </w:r>
      <w:r w:rsidR="000E1386" w:rsidRPr="000E1386">
        <w:t>[Betting Company 1]</w:t>
      </w:r>
      <w:r>
        <w:t xml:space="preserve"> advertisement airing in multiple advertisement breaks during the Tennis Match.</w:t>
      </w:r>
    </w:p>
    <w:p w14:paraId="64B787B2" w14:textId="5719D64B" w:rsidR="00A25FE5" w:rsidRDefault="00CE112B" w:rsidP="00370B83">
      <w:pPr>
        <w:pStyle w:val="ACMAQuoteindented"/>
        <w:ind w:left="0"/>
        <w:rPr>
          <w:sz w:val="20"/>
        </w:rPr>
      </w:pPr>
      <w:r>
        <w:rPr>
          <w:sz w:val="20"/>
        </w:rPr>
        <w:lastRenderedPageBreak/>
        <w:t>The ACMA does not agree with the</w:t>
      </w:r>
      <w:r w:rsidR="0099236A">
        <w:rPr>
          <w:sz w:val="20"/>
        </w:rPr>
        <w:t xml:space="preserve"> proposition, which is inherent in the</w:t>
      </w:r>
      <w:r>
        <w:rPr>
          <w:sz w:val="20"/>
        </w:rPr>
        <w:t xml:space="preserve"> Licensee’s submission</w:t>
      </w:r>
      <w:r w:rsidR="0099236A">
        <w:rPr>
          <w:sz w:val="20"/>
        </w:rPr>
        <w:t>,</w:t>
      </w:r>
      <w:r>
        <w:rPr>
          <w:sz w:val="20"/>
        </w:rPr>
        <w:t xml:space="preserve"> </w:t>
      </w:r>
      <w:r w:rsidR="00617B8D">
        <w:rPr>
          <w:sz w:val="20"/>
        </w:rPr>
        <w:t xml:space="preserve">that </w:t>
      </w:r>
      <w:r w:rsidR="00C07043">
        <w:rPr>
          <w:sz w:val="20"/>
        </w:rPr>
        <w:t>the reference in sub</w:t>
      </w:r>
      <w:r>
        <w:rPr>
          <w:sz w:val="20"/>
        </w:rPr>
        <w:t>clause 1.2(a) of the Code</w:t>
      </w:r>
      <w:r w:rsidR="00C07043">
        <w:rPr>
          <w:sz w:val="20"/>
        </w:rPr>
        <w:t xml:space="preserve"> to a</w:t>
      </w:r>
      <w:r w:rsidR="0019507F">
        <w:rPr>
          <w:sz w:val="20"/>
        </w:rPr>
        <w:t xml:space="preserve"> </w:t>
      </w:r>
      <w:r w:rsidR="00C07043">
        <w:rPr>
          <w:sz w:val="20"/>
        </w:rPr>
        <w:t>'</w:t>
      </w:r>
      <w:r w:rsidR="0019507F">
        <w:rPr>
          <w:sz w:val="20"/>
        </w:rPr>
        <w:t>reasonable mistake</w:t>
      </w:r>
      <w:r w:rsidR="000458EC">
        <w:rPr>
          <w:sz w:val="20"/>
        </w:rPr>
        <w:t>’,</w:t>
      </w:r>
      <w:r w:rsidR="0019507F">
        <w:rPr>
          <w:sz w:val="20"/>
        </w:rPr>
        <w:t xml:space="preserve"> </w:t>
      </w:r>
      <w:r w:rsidR="005C2070">
        <w:rPr>
          <w:sz w:val="20"/>
        </w:rPr>
        <w:t>include</w:t>
      </w:r>
      <w:r w:rsidR="00FF7598">
        <w:rPr>
          <w:sz w:val="20"/>
        </w:rPr>
        <w:t xml:space="preserve">s </w:t>
      </w:r>
      <w:r w:rsidR="0099236A">
        <w:rPr>
          <w:sz w:val="20"/>
        </w:rPr>
        <w:t>a reasonable mistake</w:t>
      </w:r>
      <w:r w:rsidR="00FF7598">
        <w:rPr>
          <w:sz w:val="20"/>
        </w:rPr>
        <w:t xml:space="preserve"> of a third party</w:t>
      </w:r>
      <w:r w:rsidR="001D2765">
        <w:rPr>
          <w:sz w:val="20"/>
        </w:rPr>
        <w:t>.</w:t>
      </w:r>
      <w:r w:rsidR="000458EC">
        <w:rPr>
          <w:sz w:val="20"/>
        </w:rPr>
        <w:t xml:space="preserve"> </w:t>
      </w:r>
    </w:p>
    <w:p w14:paraId="36EF9D5E" w14:textId="61D93448" w:rsidR="00804463" w:rsidRPr="00891CF8" w:rsidRDefault="00370B83" w:rsidP="00370B83">
      <w:pPr>
        <w:pStyle w:val="ACMAQuoteindented"/>
        <w:ind w:left="0"/>
      </w:pPr>
      <w:r>
        <w:rPr>
          <w:sz w:val="20"/>
        </w:rPr>
        <w:t>The</w:t>
      </w:r>
      <w:r w:rsidR="0099236A">
        <w:rPr>
          <w:sz w:val="20"/>
        </w:rPr>
        <w:t xml:space="preserve"> natural and ordinary meaning of the words used in clause 1.2 is that the failure to comply referred to in the chapeau is a failure by a licensee caused by (a) a reasonable mistake of the licensee, or (b) reasonable reliance by a licensee on information supplied by another person, or (c) </w:t>
      </w:r>
      <w:r w:rsidR="0099236A" w:rsidRPr="00475D3E">
        <w:rPr>
          <w:sz w:val="20"/>
        </w:rPr>
        <w:t xml:space="preserve">an act or default of another person, or an accident or some other cause beyond </w:t>
      </w:r>
      <w:r w:rsidR="00340719">
        <w:rPr>
          <w:sz w:val="20"/>
        </w:rPr>
        <w:t>a l</w:t>
      </w:r>
      <w:r w:rsidR="0099236A" w:rsidRPr="00475D3E">
        <w:rPr>
          <w:sz w:val="20"/>
        </w:rPr>
        <w:t>icensee's control</w:t>
      </w:r>
      <w:r w:rsidR="00340719">
        <w:rPr>
          <w:sz w:val="20"/>
        </w:rPr>
        <w:t>. The express references in paragraphs (b) and (c) of clause 1.2 to the acts or defaults of persons other than the licensee, and the absence of any similar express reference in paragraph (a)</w:t>
      </w:r>
      <w:r w:rsidR="003D09F6">
        <w:rPr>
          <w:sz w:val="20"/>
        </w:rPr>
        <w:t>,</w:t>
      </w:r>
      <w:r w:rsidR="00340719">
        <w:rPr>
          <w:sz w:val="20"/>
        </w:rPr>
        <w:t xml:space="preserve"> supports this interpretation.</w:t>
      </w:r>
      <w:r>
        <w:rPr>
          <w:sz w:val="20"/>
        </w:rPr>
        <w:t xml:space="preserve"> </w:t>
      </w:r>
    </w:p>
    <w:p w14:paraId="0F0890DE" w14:textId="6A270E89" w:rsidR="00340719" w:rsidRDefault="00340719" w:rsidP="003330BA">
      <w:pPr>
        <w:pStyle w:val="ACMAQuoteindented"/>
        <w:ind w:left="0"/>
        <w:rPr>
          <w:sz w:val="20"/>
        </w:rPr>
      </w:pPr>
      <w:r>
        <w:rPr>
          <w:sz w:val="20"/>
        </w:rPr>
        <w:t xml:space="preserve">In any event, the Licensee’s submissions to the ACMA merely assert that a mistake was made by an employee </w:t>
      </w:r>
      <w:r w:rsidR="00F57F83">
        <w:rPr>
          <w:sz w:val="20"/>
        </w:rPr>
        <w:t xml:space="preserve">of a </w:t>
      </w:r>
      <w:r>
        <w:rPr>
          <w:sz w:val="20"/>
        </w:rPr>
        <w:t xml:space="preserve">company retained by the Licensee’s channel supplier. No case has been advanced as to why that mistake was a reasonable mistake. </w:t>
      </w:r>
    </w:p>
    <w:p w14:paraId="6CA5C991" w14:textId="5A0D109D" w:rsidR="009657D8" w:rsidRPr="00571E0A" w:rsidRDefault="00825BA7" w:rsidP="003330BA">
      <w:pPr>
        <w:pStyle w:val="ACMAQuoteindented"/>
        <w:ind w:left="0"/>
        <w:rPr>
          <w:sz w:val="20"/>
        </w:rPr>
      </w:pPr>
      <w:r>
        <w:rPr>
          <w:sz w:val="20"/>
        </w:rPr>
        <w:t>T</w:t>
      </w:r>
      <w:r w:rsidR="007A168D">
        <w:rPr>
          <w:sz w:val="20"/>
        </w:rPr>
        <w:t xml:space="preserve">he ACMA </w:t>
      </w:r>
      <w:r>
        <w:rPr>
          <w:sz w:val="20"/>
        </w:rPr>
        <w:t>is not satisfied</w:t>
      </w:r>
      <w:r w:rsidR="007A168D">
        <w:rPr>
          <w:sz w:val="20"/>
        </w:rPr>
        <w:t xml:space="preserve"> that the Licensee </w:t>
      </w:r>
      <w:r>
        <w:rPr>
          <w:sz w:val="20"/>
        </w:rPr>
        <w:t>has made out a case for reliance</w:t>
      </w:r>
      <w:r w:rsidR="007A168D">
        <w:rPr>
          <w:sz w:val="20"/>
        </w:rPr>
        <w:t xml:space="preserve"> on </w:t>
      </w:r>
      <w:r>
        <w:rPr>
          <w:sz w:val="20"/>
        </w:rPr>
        <w:t xml:space="preserve">paragraph (a) of </w:t>
      </w:r>
      <w:r w:rsidR="002E49F4">
        <w:rPr>
          <w:sz w:val="20"/>
        </w:rPr>
        <w:t xml:space="preserve">subclause 1.2 </w:t>
      </w:r>
      <w:r w:rsidR="007A168D">
        <w:rPr>
          <w:sz w:val="20"/>
        </w:rPr>
        <w:t>to</w:t>
      </w:r>
      <w:r w:rsidR="00D0557B">
        <w:rPr>
          <w:sz w:val="20"/>
        </w:rPr>
        <w:t xml:space="preserve"> assert that the contravention</w:t>
      </w:r>
      <w:r w:rsidR="00D42709">
        <w:rPr>
          <w:sz w:val="20"/>
        </w:rPr>
        <w:t>s identified above</w:t>
      </w:r>
      <w:r w:rsidR="00D0557B">
        <w:rPr>
          <w:sz w:val="20"/>
        </w:rPr>
        <w:t xml:space="preserve"> w</w:t>
      </w:r>
      <w:r w:rsidR="00D42709">
        <w:rPr>
          <w:sz w:val="20"/>
        </w:rPr>
        <w:t>ere</w:t>
      </w:r>
      <w:r w:rsidR="00D0557B">
        <w:rPr>
          <w:sz w:val="20"/>
        </w:rPr>
        <w:t xml:space="preserve"> not breach</w:t>
      </w:r>
      <w:r w:rsidR="00D42709">
        <w:rPr>
          <w:sz w:val="20"/>
        </w:rPr>
        <w:t>es</w:t>
      </w:r>
      <w:r w:rsidR="00D0557B">
        <w:rPr>
          <w:sz w:val="20"/>
        </w:rPr>
        <w:t xml:space="preserve"> of the Code.</w:t>
      </w:r>
    </w:p>
    <w:p w14:paraId="5F426A4A" w14:textId="6516F482" w:rsidR="00947D2F" w:rsidRDefault="0094626D" w:rsidP="00881257">
      <w:pPr>
        <w:pStyle w:val="ACMAQuoteindented"/>
        <w:ind w:left="0"/>
        <w:rPr>
          <w:sz w:val="20"/>
          <w:u w:val="single"/>
        </w:rPr>
      </w:pPr>
      <w:r>
        <w:rPr>
          <w:sz w:val="20"/>
          <w:u w:val="single"/>
        </w:rPr>
        <w:t xml:space="preserve">Was the breach due to </w:t>
      </w:r>
      <w:r w:rsidR="006E36EF">
        <w:rPr>
          <w:sz w:val="20"/>
          <w:u w:val="single"/>
        </w:rPr>
        <w:t xml:space="preserve">an </w:t>
      </w:r>
      <w:r w:rsidR="006E36EF" w:rsidRPr="006E36EF">
        <w:rPr>
          <w:sz w:val="20"/>
          <w:u w:val="single"/>
        </w:rPr>
        <w:t xml:space="preserve">act or default of another </w:t>
      </w:r>
      <w:r w:rsidR="006E36EF">
        <w:rPr>
          <w:sz w:val="20"/>
          <w:u w:val="single"/>
        </w:rPr>
        <w:t>party</w:t>
      </w:r>
      <w:r w:rsidR="006E36EF" w:rsidRPr="006E36EF">
        <w:rPr>
          <w:sz w:val="20"/>
          <w:u w:val="single"/>
        </w:rPr>
        <w:t xml:space="preserve"> or some other cause beyond the Licensee’s control and </w:t>
      </w:r>
      <w:r w:rsidR="001F6BA2">
        <w:rPr>
          <w:sz w:val="20"/>
          <w:u w:val="single"/>
        </w:rPr>
        <w:t xml:space="preserve">did </w:t>
      </w:r>
      <w:r w:rsidR="006E36EF" w:rsidRPr="006E36EF">
        <w:rPr>
          <w:sz w:val="20"/>
          <w:u w:val="single"/>
        </w:rPr>
        <w:t>the Licensee t</w:t>
      </w:r>
      <w:r w:rsidR="001F6BA2">
        <w:rPr>
          <w:sz w:val="20"/>
          <w:u w:val="single"/>
        </w:rPr>
        <w:t>ake</w:t>
      </w:r>
      <w:r w:rsidR="006E36EF" w:rsidRPr="006E36EF">
        <w:rPr>
          <w:sz w:val="20"/>
          <w:u w:val="single"/>
        </w:rPr>
        <w:t xml:space="preserve"> reasonable precautions and exercise due diligence to avoid the failure</w:t>
      </w:r>
      <w:r w:rsidR="006E36EF">
        <w:rPr>
          <w:sz w:val="20"/>
          <w:u w:val="single"/>
        </w:rPr>
        <w:t>?</w:t>
      </w:r>
    </w:p>
    <w:p w14:paraId="5A5F5A3B" w14:textId="153EF17C" w:rsidR="00905C86" w:rsidRPr="009102A8" w:rsidRDefault="00905C86" w:rsidP="00905C86">
      <w:pPr>
        <w:pStyle w:val="ACMAQuoteindented"/>
        <w:ind w:left="0"/>
        <w:rPr>
          <w:sz w:val="20"/>
        </w:rPr>
      </w:pPr>
      <w:r w:rsidRPr="009102A8">
        <w:rPr>
          <w:sz w:val="20"/>
        </w:rPr>
        <w:t xml:space="preserve">In relation to subclause </w:t>
      </w:r>
      <w:r>
        <w:rPr>
          <w:sz w:val="20"/>
        </w:rPr>
        <w:t xml:space="preserve">1.2(c) </w:t>
      </w:r>
      <w:r w:rsidRPr="009102A8">
        <w:rPr>
          <w:sz w:val="20"/>
        </w:rPr>
        <w:t>of the Code, the Licensee stated:</w:t>
      </w:r>
    </w:p>
    <w:p w14:paraId="6D74B59A" w14:textId="21498E62" w:rsidR="00C249B9" w:rsidRDefault="00C249B9" w:rsidP="009102A8">
      <w:pPr>
        <w:pStyle w:val="ACMAQuoteindented"/>
      </w:pPr>
      <w:r>
        <w:t xml:space="preserve">With respect to both the </w:t>
      </w:r>
      <w:r w:rsidR="00541C85" w:rsidRPr="00541C85">
        <w:t>[Betting Company 1]</w:t>
      </w:r>
      <w:r>
        <w:t xml:space="preserve"> advertisements and the </w:t>
      </w:r>
      <w:r w:rsidR="00541C85" w:rsidRPr="00541C85">
        <w:t xml:space="preserve">[Betting Company </w:t>
      </w:r>
      <w:r w:rsidR="00541C85">
        <w:t>2</w:t>
      </w:r>
      <w:r w:rsidR="00541C85" w:rsidRPr="00541C85">
        <w:t>]</w:t>
      </w:r>
      <w:r>
        <w:t xml:space="preserve"> billboards that were broadcast during advertisement breaks of the Tennis Match, Foxtel submits that any failure to comply with the ASTRA Codes was due to an act of another person (being the Channel Supplier and/or </w:t>
      </w:r>
      <w:r w:rsidR="00A7460C">
        <w:t>[playout services provider</w:t>
      </w:r>
      <w:r w:rsidR="0020752C">
        <w:t>]</w:t>
      </w:r>
      <w:r>
        <w:t xml:space="preserve">), that this failure was beyond Foxtel’s control and that Foxtel took reasonable precautions and exercised due diligence to avoid the failure. </w:t>
      </w:r>
    </w:p>
    <w:p w14:paraId="625C646E" w14:textId="3E31A228" w:rsidR="008F4E71" w:rsidRDefault="00D42709" w:rsidP="008F4E71">
      <w:pPr>
        <w:pStyle w:val="ACMAQuoteindented"/>
        <w:ind w:left="0"/>
        <w:rPr>
          <w:sz w:val="20"/>
        </w:rPr>
      </w:pPr>
      <w:r>
        <w:rPr>
          <w:sz w:val="20"/>
        </w:rPr>
        <w:t>T</w:t>
      </w:r>
      <w:r w:rsidR="00750DC5">
        <w:rPr>
          <w:sz w:val="20"/>
        </w:rPr>
        <w:t>he</w:t>
      </w:r>
      <w:r w:rsidR="004B0704">
        <w:rPr>
          <w:sz w:val="20"/>
        </w:rPr>
        <w:t xml:space="preserve"> Licensee </w:t>
      </w:r>
      <w:r w:rsidR="001D2765">
        <w:rPr>
          <w:sz w:val="20"/>
        </w:rPr>
        <w:t>stated</w:t>
      </w:r>
      <w:r w:rsidR="003270ED">
        <w:rPr>
          <w:sz w:val="20"/>
        </w:rPr>
        <w:t xml:space="preserve"> that beI</w:t>
      </w:r>
      <w:r>
        <w:rPr>
          <w:sz w:val="20"/>
        </w:rPr>
        <w:t>N</w:t>
      </w:r>
      <w:r w:rsidR="003270ED">
        <w:rPr>
          <w:sz w:val="20"/>
        </w:rPr>
        <w:t xml:space="preserve"> Sports</w:t>
      </w:r>
      <w:r w:rsidR="00932AFC">
        <w:rPr>
          <w:sz w:val="20"/>
        </w:rPr>
        <w:t xml:space="preserve"> operates as an independent and separate business from the Licensee</w:t>
      </w:r>
      <w:r w:rsidR="00763D14">
        <w:rPr>
          <w:sz w:val="20"/>
        </w:rPr>
        <w:t xml:space="preserve"> and </w:t>
      </w:r>
      <w:r w:rsidR="00082C27">
        <w:rPr>
          <w:sz w:val="20"/>
        </w:rPr>
        <w:t xml:space="preserve">that </w:t>
      </w:r>
      <w:r w:rsidR="00170E8A">
        <w:rPr>
          <w:sz w:val="20"/>
        </w:rPr>
        <w:t>the Licensee</w:t>
      </w:r>
      <w:r w:rsidR="00082C27">
        <w:rPr>
          <w:sz w:val="20"/>
        </w:rPr>
        <w:t xml:space="preserve"> had no involvement in the </w:t>
      </w:r>
      <w:r w:rsidR="007B1691">
        <w:rPr>
          <w:sz w:val="20"/>
        </w:rPr>
        <w:t>appointment of beI</w:t>
      </w:r>
      <w:r w:rsidR="00763D14">
        <w:rPr>
          <w:sz w:val="20"/>
        </w:rPr>
        <w:t>N</w:t>
      </w:r>
      <w:r w:rsidR="007B1691">
        <w:rPr>
          <w:sz w:val="20"/>
        </w:rPr>
        <w:t xml:space="preserve"> Sport’s</w:t>
      </w:r>
      <w:r w:rsidR="007B1691" w:rsidRPr="007B1691">
        <w:rPr>
          <w:sz w:val="20"/>
        </w:rPr>
        <w:t xml:space="preserve"> playout services provider</w:t>
      </w:r>
      <w:r w:rsidR="007B1691">
        <w:rPr>
          <w:sz w:val="20"/>
        </w:rPr>
        <w:t>.</w:t>
      </w:r>
      <w:r w:rsidR="00A57004">
        <w:rPr>
          <w:sz w:val="20"/>
        </w:rPr>
        <w:t xml:space="preserve"> </w:t>
      </w:r>
    </w:p>
    <w:p w14:paraId="627B0104" w14:textId="1952225D" w:rsidR="005E616A" w:rsidRDefault="00B62142" w:rsidP="007B1691">
      <w:pPr>
        <w:pStyle w:val="ACMAQuoteindented"/>
        <w:ind w:left="0"/>
        <w:rPr>
          <w:sz w:val="20"/>
        </w:rPr>
      </w:pPr>
      <w:r>
        <w:rPr>
          <w:sz w:val="20"/>
        </w:rPr>
        <w:t>T</w:t>
      </w:r>
      <w:r w:rsidR="00F9469E" w:rsidRPr="00621224">
        <w:rPr>
          <w:sz w:val="20"/>
        </w:rPr>
        <w:t xml:space="preserve">he Licensee </w:t>
      </w:r>
      <w:r>
        <w:rPr>
          <w:sz w:val="20"/>
        </w:rPr>
        <w:t xml:space="preserve">also </w:t>
      </w:r>
      <w:r w:rsidR="00F9469E" w:rsidRPr="00621224">
        <w:rPr>
          <w:sz w:val="20"/>
        </w:rPr>
        <w:t>submitted</w:t>
      </w:r>
      <w:r w:rsidR="00966C0E">
        <w:rPr>
          <w:sz w:val="20"/>
        </w:rPr>
        <w:t xml:space="preserve"> that it had agreements in place with the Channel Supplier to ensure Code compliance and further</w:t>
      </w:r>
      <w:r w:rsidR="003E09DA">
        <w:rPr>
          <w:sz w:val="20"/>
        </w:rPr>
        <w:t>:</w:t>
      </w:r>
      <w:r w:rsidR="00D72C7E" w:rsidRPr="009102A8" w:rsidDel="00D72C7E">
        <w:rPr>
          <w:sz w:val="20"/>
        </w:rPr>
        <w:t xml:space="preserve"> </w:t>
      </w:r>
    </w:p>
    <w:p w14:paraId="4552C139" w14:textId="48D8EF7B" w:rsidR="0093508A" w:rsidRPr="00B166AE" w:rsidRDefault="0093508A" w:rsidP="00891CF8">
      <w:pPr>
        <w:pStyle w:val="ACMAQuoteindented"/>
        <w:ind w:left="720"/>
      </w:pPr>
      <w:r>
        <w:t>… The Channel Supplier is supported by its own legal team. In such circumstances, Foxtel submits that it has taken reasonable precautions and exercised due diligence to avoid any failure to comply with the ASTRA Codes.</w:t>
      </w:r>
    </w:p>
    <w:p w14:paraId="3A00E180" w14:textId="4A308351" w:rsidR="006D55D5" w:rsidRDefault="00BA685A" w:rsidP="009102A8">
      <w:pPr>
        <w:pStyle w:val="ACMAQuoteindented"/>
        <w:ind w:left="0"/>
        <w:rPr>
          <w:sz w:val="20"/>
        </w:rPr>
      </w:pPr>
      <w:r>
        <w:rPr>
          <w:sz w:val="20"/>
        </w:rPr>
        <w:t xml:space="preserve">However, </w:t>
      </w:r>
      <w:r w:rsidR="007843C9">
        <w:rPr>
          <w:sz w:val="20"/>
        </w:rPr>
        <w:t xml:space="preserve">from its submissions, </w:t>
      </w:r>
      <w:r w:rsidR="000358DA">
        <w:rPr>
          <w:sz w:val="20"/>
        </w:rPr>
        <w:t xml:space="preserve">it is unclear what </w:t>
      </w:r>
      <w:r w:rsidR="00325C24">
        <w:rPr>
          <w:sz w:val="20"/>
        </w:rPr>
        <w:t>additiona</w:t>
      </w:r>
      <w:r w:rsidR="00997AA9">
        <w:rPr>
          <w:sz w:val="20"/>
        </w:rPr>
        <w:t xml:space="preserve">l </w:t>
      </w:r>
      <w:r w:rsidR="000358DA">
        <w:rPr>
          <w:sz w:val="20"/>
        </w:rPr>
        <w:t xml:space="preserve">precautions the Licensee </w:t>
      </w:r>
      <w:r w:rsidR="006D55D5">
        <w:rPr>
          <w:sz w:val="20"/>
        </w:rPr>
        <w:t xml:space="preserve">took </w:t>
      </w:r>
      <w:r w:rsidR="000358DA">
        <w:rPr>
          <w:sz w:val="20"/>
        </w:rPr>
        <w:t xml:space="preserve">or what further due diligence </w:t>
      </w:r>
      <w:r w:rsidR="00997AA9">
        <w:rPr>
          <w:sz w:val="20"/>
        </w:rPr>
        <w:t>it</w:t>
      </w:r>
      <w:r w:rsidR="000358DA">
        <w:rPr>
          <w:sz w:val="20"/>
        </w:rPr>
        <w:t xml:space="preserve"> exercised with respect to preventing betting advertisements from being broadcast in contravention of the Code</w:t>
      </w:r>
      <w:r w:rsidR="001F6BA2">
        <w:rPr>
          <w:sz w:val="20"/>
        </w:rPr>
        <w:t>,</w:t>
      </w:r>
      <w:r w:rsidR="00EE6CAE">
        <w:rPr>
          <w:sz w:val="20"/>
        </w:rPr>
        <w:t xml:space="preserve"> b</w:t>
      </w:r>
      <w:r w:rsidR="00CA136E">
        <w:rPr>
          <w:sz w:val="20"/>
        </w:rPr>
        <w:t>eyond</w:t>
      </w:r>
      <w:r w:rsidR="00061CFD">
        <w:rPr>
          <w:sz w:val="20"/>
        </w:rPr>
        <w:t xml:space="preserve"> </w:t>
      </w:r>
      <w:r w:rsidR="006D55D5">
        <w:rPr>
          <w:sz w:val="20"/>
        </w:rPr>
        <w:t>a</w:t>
      </w:r>
      <w:r w:rsidR="008826D4">
        <w:rPr>
          <w:sz w:val="20"/>
        </w:rPr>
        <w:t>ccepting a</w:t>
      </w:r>
      <w:r w:rsidR="00061CFD">
        <w:rPr>
          <w:sz w:val="20"/>
        </w:rPr>
        <w:t xml:space="preserve"> </w:t>
      </w:r>
      <w:r w:rsidR="00FE1885">
        <w:rPr>
          <w:sz w:val="20"/>
        </w:rPr>
        <w:t xml:space="preserve">general </w:t>
      </w:r>
      <w:r w:rsidR="000039F1">
        <w:rPr>
          <w:sz w:val="20"/>
        </w:rPr>
        <w:t xml:space="preserve">contractual </w:t>
      </w:r>
      <w:r w:rsidR="00CA136E">
        <w:rPr>
          <w:sz w:val="20"/>
        </w:rPr>
        <w:t>undertaking from beIN Sports</w:t>
      </w:r>
      <w:r w:rsidR="000B476D">
        <w:rPr>
          <w:sz w:val="20"/>
        </w:rPr>
        <w:t xml:space="preserve"> </w:t>
      </w:r>
      <w:r w:rsidR="006D55D5">
        <w:rPr>
          <w:sz w:val="20"/>
        </w:rPr>
        <w:t>that it would</w:t>
      </w:r>
      <w:r w:rsidR="000B476D">
        <w:rPr>
          <w:sz w:val="20"/>
        </w:rPr>
        <w:t xml:space="preserve"> comply with </w:t>
      </w:r>
      <w:r w:rsidR="00B164A3">
        <w:rPr>
          <w:sz w:val="20"/>
        </w:rPr>
        <w:t>applicable rules</w:t>
      </w:r>
      <w:r w:rsidR="00EE6CAE">
        <w:rPr>
          <w:sz w:val="20"/>
        </w:rPr>
        <w:t>.</w:t>
      </w:r>
    </w:p>
    <w:p w14:paraId="2D0F6685" w14:textId="0253D3A7" w:rsidR="00FA2C85" w:rsidRDefault="006D55D5" w:rsidP="009102A8">
      <w:pPr>
        <w:pStyle w:val="ACMAQuoteindented"/>
        <w:ind w:left="0"/>
        <w:rPr>
          <w:sz w:val="20"/>
        </w:rPr>
      </w:pPr>
      <w:r>
        <w:rPr>
          <w:sz w:val="20"/>
        </w:rPr>
        <w:t xml:space="preserve">The ACMA </w:t>
      </w:r>
      <w:r w:rsidR="008C580E">
        <w:rPr>
          <w:sz w:val="20"/>
        </w:rPr>
        <w:t>considers</w:t>
      </w:r>
      <w:r w:rsidR="008C3D03">
        <w:rPr>
          <w:sz w:val="20"/>
        </w:rPr>
        <w:t xml:space="preserve"> that reasonable precautions and due diligence</w:t>
      </w:r>
      <w:r w:rsidR="00BE57AE">
        <w:rPr>
          <w:sz w:val="20"/>
        </w:rPr>
        <w:t>,</w:t>
      </w:r>
      <w:r w:rsidR="008C3D03">
        <w:rPr>
          <w:sz w:val="20"/>
        </w:rPr>
        <w:t xml:space="preserve"> with respect to </w:t>
      </w:r>
      <w:r w:rsidR="00D97711">
        <w:rPr>
          <w:sz w:val="20"/>
        </w:rPr>
        <w:t xml:space="preserve">accepting </w:t>
      </w:r>
      <w:r w:rsidR="003C4D34">
        <w:rPr>
          <w:sz w:val="20"/>
        </w:rPr>
        <w:t xml:space="preserve">live </w:t>
      </w:r>
      <w:r w:rsidR="00054A49">
        <w:rPr>
          <w:sz w:val="20"/>
        </w:rPr>
        <w:t xml:space="preserve">sports </w:t>
      </w:r>
      <w:r w:rsidR="003C4D34">
        <w:rPr>
          <w:sz w:val="20"/>
        </w:rPr>
        <w:t xml:space="preserve">content </w:t>
      </w:r>
      <w:r w:rsidR="00881214">
        <w:rPr>
          <w:sz w:val="20"/>
        </w:rPr>
        <w:t xml:space="preserve">from a third party </w:t>
      </w:r>
      <w:r w:rsidR="003C4D34">
        <w:rPr>
          <w:sz w:val="20"/>
        </w:rPr>
        <w:t xml:space="preserve">that </w:t>
      </w:r>
      <w:r w:rsidR="00054A49">
        <w:rPr>
          <w:sz w:val="20"/>
        </w:rPr>
        <w:t xml:space="preserve">might </w:t>
      </w:r>
      <w:r w:rsidR="003C4D34">
        <w:rPr>
          <w:sz w:val="20"/>
        </w:rPr>
        <w:t>contain betting advertising</w:t>
      </w:r>
      <w:r w:rsidR="00BE57AE">
        <w:rPr>
          <w:sz w:val="20"/>
        </w:rPr>
        <w:t>,</w:t>
      </w:r>
      <w:r w:rsidR="00054A49">
        <w:rPr>
          <w:sz w:val="20"/>
        </w:rPr>
        <w:t xml:space="preserve"> </w:t>
      </w:r>
      <w:r w:rsidR="00825BA7">
        <w:rPr>
          <w:sz w:val="20"/>
        </w:rPr>
        <w:t>sh</w:t>
      </w:r>
      <w:r w:rsidR="00054A49">
        <w:rPr>
          <w:sz w:val="20"/>
        </w:rPr>
        <w:t xml:space="preserve">ould include a number of </w:t>
      </w:r>
      <w:r w:rsidR="000839B0">
        <w:rPr>
          <w:sz w:val="20"/>
        </w:rPr>
        <w:t>actions or undertakings that were specific to that type of content and t</w:t>
      </w:r>
      <w:r w:rsidR="00881214">
        <w:rPr>
          <w:sz w:val="20"/>
        </w:rPr>
        <w:t>he</w:t>
      </w:r>
      <w:r w:rsidR="000839B0">
        <w:rPr>
          <w:sz w:val="20"/>
        </w:rPr>
        <w:t xml:space="preserve"> associated </w:t>
      </w:r>
      <w:r w:rsidR="00881214">
        <w:rPr>
          <w:sz w:val="20"/>
        </w:rPr>
        <w:t>risks</w:t>
      </w:r>
      <w:r w:rsidR="00FA2C85">
        <w:rPr>
          <w:sz w:val="20"/>
        </w:rPr>
        <w:t xml:space="preserve">. </w:t>
      </w:r>
      <w:r w:rsidR="002F3E52">
        <w:rPr>
          <w:sz w:val="20"/>
        </w:rPr>
        <w:t xml:space="preserve">This means not simply relying on contractual obligations but taking </w:t>
      </w:r>
      <w:r w:rsidR="00FA2C85">
        <w:rPr>
          <w:sz w:val="20"/>
        </w:rPr>
        <w:t xml:space="preserve">actions </w:t>
      </w:r>
      <w:r w:rsidR="00445E68">
        <w:rPr>
          <w:sz w:val="20"/>
        </w:rPr>
        <w:t>such as</w:t>
      </w:r>
      <w:r w:rsidR="00FA2C85">
        <w:rPr>
          <w:sz w:val="20"/>
        </w:rPr>
        <w:t>:</w:t>
      </w:r>
    </w:p>
    <w:p w14:paraId="400AFC42" w14:textId="3DE5806B" w:rsidR="00FA2C85" w:rsidRPr="00FA2C85" w:rsidRDefault="00445E68" w:rsidP="00FA2C85">
      <w:pPr>
        <w:pStyle w:val="ACMAQuoteindented"/>
        <w:numPr>
          <w:ilvl w:val="0"/>
          <w:numId w:val="15"/>
        </w:numPr>
        <w:rPr>
          <w:sz w:val="20"/>
        </w:rPr>
      </w:pPr>
      <w:r>
        <w:rPr>
          <w:sz w:val="20"/>
        </w:rPr>
        <w:t>ensuring content providers are familiar with the Code</w:t>
      </w:r>
      <w:r w:rsidR="00F52819">
        <w:rPr>
          <w:sz w:val="20"/>
        </w:rPr>
        <w:t>’s</w:t>
      </w:r>
      <w:r>
        <w:rPr>
          <w:sz w:val="20"/>
        </w:rPr>
        <w:t xml:space="preserve"> requirements</w:t>
      </w:r>
      <w:r w:rsidR="00FA2C85">
        <w:rPr>
          <w:sz w:val="20"/>
        </w:rPr>
        <w:t xml:space="preserve"> and providing training </w:t>
      </w:r>
      <w:r w:rsidR="00941AEA">
        <w:rPr>
          <w:sz w:val="20"/>
        </w:rPr>
        <w:t xml:space="preserve">or instructional materials </w:t>
      </w:r>
    </w:p>
    <w:p w14:paraId="3CA4B8C5" w14:textId="7EEBCDE4" w:rsidR="00FA2C85" w:rsidRDefault="00FA2C85" w:rsidP="00FA2C85">
      <w:pPr>
        <w:pStyle w:val="ACMAQuoteindented"/>
        <w:numPr>
          <w:ilvl w:val="0"/>
          <w:numId w:val="15"/>
        </w:numPr>
        <w:rPr>
          <w:sz w:val="20"/>
        </w:rPr>
      </w:pPr>
      <w:r>
        <w:rPr>
          <w:sz w:val="20"/>
        </w:rPr>
        <w:lastRenderedPageBreak/>
        <w:t xml:space="preserve">requesting </w:t>
      </w:r>
      <w:r w:rsidR="00445E68">
        <w:rPr>
          <w:sz w:val="20"/>
        </w:rPr>
        <w:t>detailed playlist</w:t>
      </w:r>
      <w:r w:rsidR="00941AEA">
        <w:rPr>
          <w:sz w:val="20"/>
        </w:rPr>
        <w:t>s</w:t>
      </w:r>
      <w:r w:rsidR="00445E68">
        <w:rPr>
          <w:sz w:val="20"/>
        </w:rPr>
        <w:t xml:space="preserve"> of </w:t>
      </w:r>
      <w:r>
        <w:rPr>
          <w:sz w:val="20"/>
        </w:rPr>
        <w:t xml:space="preserve">advertising </w:t>
      </w:r>
      <w:r w:rsidR="00445E68">
        <w:rPr>
          <w:sz w:val="20"/>
        </w:rPr>
        <w:t xml:space="preserve">content </w:t>
      </w:r>
      <w:r w:rsidR="00941AEA">
        <w:rPr>
          <w:sz w:val="20"/>
        </w:rPr>
        <w:t xml:space="preserve">in advance of </w:t>
      </w:r>
      <w:r>
        <w:rPr>
          <w:sz w:val="20"/>
        </w:rPr>
        <w:t>live broadcast</w:t>
      </w:r>
      <w:r w:rsidR="00941AEA">
        <w:rPr>
          <w:sz w:val="20"/>
        </w:rPr>
        <w:t>s</w:t>
      </w:r>
      <w:r w:rsidR="001F5B84">
        <w:rPr>
          <w:sz w:val="20"/>
        </w:rPr>
        <w:t>,</w:t>
      </w:r>
    </w:p>
    <w:p w14:paraId="7FBD3258" w14:textId="2BD7845F" w:rsidR="00FA2C85" w:rsidRDefault="00941AEA" w:rsidP="00FA2C85">
      <w:pPr>
        <w:pStyle w:val="ACMAQuoteindented"/>
        <w:numPr>
          <w:ilvl w:val="0"/>
          <w:numId w:val="15"/>
        </w:numPr>
        <w:rPr>
          <w:sz w:val="20"/>
        </w:rPr>
      </w:pPr>
      <w:r>
        <w:rPr>
          <w:sz w:val="20"/>
        </w:rPr>
        <w:t>conduct</w:t>
      </w:r>
      <w:r w:rsidR="00FA2C85">
        <w:rPr>
          <w:sz w:val="20"/>
        </w:rPr>
        <w:t>ing audit</w:t>
      </w:r>
      <w:r>
        <w:rPr>
          <w:sz w:val="20"/>
        </w:rPr>
        <w:t>s</w:t>
      </w:r>
      <w:r w:rsidR="00FA2C85">
        <w:rPr>
          <w:sz w:val="20"/>
        </w:rPr>
        <w:t xml:space="preserve"> of </w:t>
      </w:r>
      <w:r>
        <w:rPr>
          <w:sz w:val="20"/>
        </w:rPr>
        <w:t xml:space="preserve">live </w:t>
      </w:r>
      <w:r w:rsidR="00FA2C85">
        <w:rPr>
          <w:sz w:val="20"/>
        </w:rPr>
        <w:t>broadcast</w:t>
      </w:r>
      <w:r>
        <w:rPr>
          <w:sz w:val="20"/>
        </w:rPr>
        <w:t>s to assess compliance</w:t>
      </w:r>
      <w:r w:rsidR="001F5B84">
        <w:rPr>
          <w:sz w:val="20"/>
        </w:rPr>
        <w:t>.</w:t>
      </w:r>
    </w:p>
    <w:p w14:paraId="05FDFDEB" w14:textId="1323DDB6" w:rsidR="002F3E52" w:rsidRDefault="002F3E52" w:rsidP="008557F6">
      <w:pPr>
        <w:pStyle w:val="ACMAQuoteindented"/>
        <w:ind w:left="0"/>
        <w:rPr>
          <w:sz w:val="20"/>
        </w:rPr>
      </w:pPr>
      <w:r>
        <w:rPr>
          <w:sz w:val="20"/>
        </w:rPr>
        <w:t>The list above is not prescriptive but simply provides examples of actions that could have been taken to comply with clause 1.2(c) of the Code. So far, the ACMA has not seen evidence of such actions.</w:t>
      </w:r>
    </w:p>
    <w:p w14:paraId="52A2A4FF" w14:textId="422A99A9" w:rsidR="00B86A44" w:rsidRDefault="00504B9C" w:rsidP="009102A8">
      <w:pPr>
        <w:pStyle w:val="ACMAQuoteindented"/>
        <w:ind w:left="0"/>
        <w:rPr>
          <w:sz w:val="20"/>
        </w:rPr>
      </w:pPr>
      <w:r>
        <w:rPr>
          <w:sz w:val="20"/>
        </w:rPr>
        <w:t xml:space="preserve">As the Licensee has provided no submissions about </w:t>
      </w:r>
      <w:r w:rsidR="00825BA7">
        <w:rPr>
          <w:sz w:val="20"/>
        </w:rPr>
        <w:t xml:space="preserve">tailored </w:t>
      </w:r>
      <w:r>
        <w:rPr>
          <w:sz w:val="20"/>
        </w:rPr>
        <w:t>actions it took with beIN Sports</w:t>
      </w:r>
      <w:r w:rsidR="00413916">
        <w:rPr>
          <w:sz w:val="20"/>
        </w:rPr>
        <w:t>,</w:t>
      </w:r>
      <w:r>
        <w:rPr>
          <w:sz w:val="20"/>
        </w:rPr>
        <w:t xml:space="preserve"> specifically in relation t</w:t>
      </w:r>
      <w:r w:rsidR="000775AB">
        <w:rPr>
          <w:sz w:val="20"/>
        </w:rPr>
        <w:t xml:space="preserve">o </w:t>
      </w:r>
      <w:r w:rsidR="00825BA7">
        <w:rPr>
          <w:sz w:val="20"/>
        </w:rPr>
        <w:t xml:space="preserve">ensuring compliance </w:t>
      </w:r>
      <w:r w:rsidR="00BA0D2F">
        <w:rPr>
          <w:sz w:val="20"/>
        </w:rPr>
        <w:t xml:space="preserve">with the requirements in the Code about </w:t>
      </w:r>
      <w:r w:rsidR="000775AB">
        <w:rPr>
          <w:sz w:val="20"/>
        </w:rPr>
        <w:t>betting advertising and live sports, t</w:t>
      </w:r>
      <w:r w:rsidR="00BD025B">
        <w:rPr>
          <w:sz w:val="20"/>
        </w:rPr>
        <w:t xml:space="preserve">he ACMA </w:t>
      </w:r>
      <w:r w:rsidR="00BA0D2F">
        <w:rPr>
          <w:sz w:val="20"/>
        </w:rPr>
        <w:t>is not satisfied</w:t>
      </w:r>
      <w:r w:rsidR="00BD025B">
        <w:rPr>
          <w:sz w:val="20"/>
        </w:rPr>
        <w:t xml:space="preserve"> </w:t>
      </w:r>
      <w:r w:rsidR="00CE54D8">
        <w:rPr>
          <w:sz w:val="20"/>
        </w:rPr>
        <w:t xml:space="preserve">that the Licensee </w:t>
      </w:r>
      <w:r w:rsidR="00CE54D8" w:rsidRPr="00CE54D8">
        <w:rPr>
          <w:sz w:val="20"/>
        </w:rPr>
        <w:t>took reasonable precautions and exercised due diligence to avoid the failure</w:t>
      </w:r>
      <w:r w:rsidR="00CE54D8">
        <w:rPr>
          <w:sz w:val="20"/>
        </w:rPr>
        <w:t xml:space="preserve"> </w:t>
      </w:r>
      <w:r w:rsidR="00EB452E">
        <w:rPr>
          <w:sz w:val="20"/>
        </w:rPr>
        <w:t>by beI</w:t>
      </w:r>
      <w:r w:rsidR="00916A1D">
        <w:rPr>
          <w:sz w:val="20"/>
        </w:rPr>
        <w:t>N</w:t>
      </w:r>
      <w:r w:rsidR="00EB452E">
        <w:rPr>
          <w:sz w:val="20"/>
        </w:rPr>
        <w:t xml:space="preserve"> Sports</w:t>
      </w:r>
      <w:r w:rsidR="00BD025B">
        <w:rPr>
          <w:sz w:val="20"/>
        </w:rPr>
        <w:t xml:space="preserve"> to provide content that complied with the Code</w:t>
      </w:r>
      <w:r w:rsidR="00BA0D2F">
        <w:rPr>
          <w:sz w:val="20"/>
        </w:rPr>
        <w:t>.</w:t>
      </w:r>
      <w:r w:rsidR="000775AB">
        <w:rPr>
          <w:sz w:val="20"/>
        </w:rPr>
        <w:t xml:space="preserve"> </w:t>
      </w:r>
    </w:p>
    <w:p w14:paraId="49E6C7CB" w14:textId="40718BC0" w:rsidR="004964CA" w:rsidRDefault="004964CA" w:rsidP="009102A8">
      <w:pPr>
        <w:pStyle w:val="ACMAQuoteindented"/>
        <w:ind w:left="0"/>
        <w:rPr>
          <w:sz w:val="20"/>
        </w:rPr>
      </w:pPr>
      <w:r>
        <w:rPr>
          <w:sz w:val="20"/>
        </w:rPr>
        <w:t xml:space="preserve">In relation to the above, the Licensee stated that </w:t>
      </w:r>
      <w:r w:rsidR="00074535">
        <w:rPr>
          <w:sz w:val="20"/>
        </w:rPr>
        <w:t xml:space="preserve">the </w:t>
      </w:r>
      <w:r>
        <w:rPr>
          <w:sz w:val="20"/>
        </w:rPr>
        <w:t xml:space="preserve">ACMA’s expectations that </w:t>
      </w:r>
      <w:r w:rsidR="00D31D14">
        <w:rPr>
          <w:sz w:val="20"/>
        </w:rPr>
        <w:t>it</w:t>
      </w:r>
      <w:r>
        <w:rPr>
          <w:sz w:val="20"/>
        </w:rPr>
        <w:t xml:space="preserve"> take additional precautions to prevent a breach of the Code, placed a ‘higher compliance burden’ on them than was required under the Code.</w:t>
      </w:r>
    </w:p>
    <w:p w14:paraId="6A905D45" w14:textId="4D694087" w:rsidR="002D2218" w:rsidRDefault="002D2218" w:rsidP="009102A8">
      <w:pPr>
        <w:pStyle w:val="ACMAQuoteindented"/>
        <w:ind w:left="0"/>
        <w:rPr>
          <w:sz w:val="20"/>
        </w:rPr>
      </w:pPr>
      <w:r>
        <w:rPr>
          <w:sz w:val="20"/>
        </w:rPr>
        <w:t>In addition</w:t>
      </w:r>
      <w:r w:rsidR="00170E8A">
        <w:rPr>
          <w:sz w:val="20"/>
        </w:rPr>
        <w:t>,</w:t>
      </w:r>
      <w:r>
        <w:rPr>
          <w:sz w:val="20"/>
        </w:rPr>
        <w:t xml:space="preserve"> the Licensee stated:</w:t>
      </w:r>
    </w:p>
    <w:p w14:paraId="73181D31" w14:textId="6C9A8806" w:rsidR="002D2218" w:rsidRDefault="002D2218" w:rsidP="002D2218">
      <w:pPr>
        <w:pStyle w:val="ACMAQuoteindented"/>
        <w:ind w:left="720"/>
        <w:rPr>
          <w:szCs w:val="18"/>
        </w:rPr>
      </w:pPr>
      <w:r w:rsidRPr="004A5C3A">
        <w:rPr>
          <w:szCs w:val="18"/>
        </w:rPr>
        <w:t>We submit that clause 1.2(c) of the Code does not require “tailored actions” to be taken in respect of individual channels</w:t>
      </w:r>
      <w:r w:rsidR="00DE5980">
        <w:rPr>
          <w:szCs w:val="18"/>
        </w:rPr>
        <w:t>,</w:t>
      </w:r>
      <w:r w:rsidR="00236C55">
        <w:rPr>
          <w:szCs w:val="18"/>
        </w:rPr>
        <w:t xml:space="preserve"> and to expect as such </w:t>
      </w:r>
      <w:r w:rsidR="00BD0E85">
        <w:rPr>
          <w:szCs w:val="18"/>
        </w:rPr>
        <w:t xml:space="preserve">(e.g. “requesting detailed playlists of advertising content in advance of live broadcasts”, in circumstances where Kayo Sports streams such a high volume of live sport each week) </w:t>
      </w:r>
      <w:r w:rsidR="00236C55">
        <w:rPr>
          <w:szCs w:val="18"/>
        </w:rPr>
        <w:t>would be unreasonable and impracticable. Rather, we submit that relying on arms’ length, clear contractual obligations is an entirely reasonable precaution to take in the circumstance</w:t>
      </w:r>
      <w:r w:rsidR="00BD0E85">
        <w:rPr>
          <w:szCs w:val="18"/>
        </w:rPr>
        <w:t>s</w:t>
      </w:r>
      <w:r w:rsidR="00236C55">
        <w:rPr>
          <w:szCs w:val="18"/>
        </w:rPr>
        <w:t>, especially where the channel supplier is supported by its own legal team.</w:t>
      </w:r>
    </w:p>
    <w:p w14:paraId="2E09DE7B" w14:textId="638AAC1E" w:rsidR="00312395" w:rsidRDefault="00CF3F86" w:rsidP="00CF3F86">
      <w:pPr>
        <w:pStyle w:val="ACMAQuoteindented"/>
        <w:ind w:left="0"/>
        <w:rPr>
          <w:sz w:val="20"/>
        </w:rPr>
      </w:pPr>
      <w:r w:rsidRPr="004A5C3A">
        <w:rPr>
          <w:sz w:val="20"/>
        </w:rPr>
        <w:t xml:space="preserve">The ACMA does not accept </w:t>
      </w:r>
      <w:r w:rsidR="00D2438B">
        <w:rPr>
          <w:sz w:val="20"/>
        </w:rPr>
        <w:t>the</w:t>
      </w:r>
      <w:r w:rsidR="00EE1E59">
        <w:rPr>
          <w:sz w:val="20"/>
        </w:rPr>
        <w:t>se</w:t>
      </w:r>
      <w:r>
        <w:rPr>
          <w:sz w:val="20"/>
        </w:rPr>
        <w:t xml:space="preserve"> </w:t>
      </w:r>
      <w:r w:rsidR="0044513F">
        <w:rPr>
          <w:sz w:val="20"/>
        </w:rPr>
        <w:t>submissions</w:t>
      </w:r>
      <w:r w:rsidRPr="004A5C3A">
        <w:rPr>
          <w:sz w:val="20"/>
        </w:rPr>
        <w:t xml:space="preserve">. </w:t>
      </w:r>
      <w:r w:rsidR="00494B49">
        <w:rPr>
          <w:sz w:val="20"/>
        </w:rPr>
        <w:t>The ACMA’s reference to ‘additional</w:t>
      </w:r>
      <w:r w:rsidR="0055486F">
        <w:rPr>
          <w:sz w:val="20"/>
        </w:rPr>
        <w:t xml:space="preserve"> </w:t>
      </w:r>
      <w:r w:rsidR="00494B49">
        <w:rPr>
          <w:sz w:val="20"/>
        </w:rPr>
        <w:t xml:space="preserve">precautions’ referred to precautions in addition to general contractual provisions, not precautions additional to those required under the Code. </w:t>
      </w:r>
    </w:p>
    <w:p w14:paraId="1E7A8C85" w14:textId="37D97FD5" w:rsidR="00CF3F86" w:rsidRDefault="00CF3F86" w:rsidP="00CF3F86">
      <w:pPr>
        <w:pStyle w:val="ACMAQuoteindented"/>
        <w:ind w:left="0"/>
        <w:rPr>
          <w:sz w:val="20"/>
        </w:rPr>
      </w:pPr>
      <w:r w:rsidRPr="004A5C3A">
        <w:rPr>
          <w:sz w:val="20"/>
        </w:rPr>
        <w:t xml:space="preserve">A licensee’s responsibility to comply with the Code </w:t>
      </w:r>
      <w:r w:rsidR="009A7D18">
        <w:rPr>
          <w:sz w:val="20"/>
        </w:rPr>
        <w:t>cannot be discharged</w:t>
      </w:r>
      <w:r>
        <w:rPr>
          <w:sz w:val="20"/>
        </w:rPr>
        <w:t xml:space="preserve"> simply through</w:t>
      </w:r>
      <w:r w:rsidRPr="004A5C3A">
        <w:rPr>
          <w:sz w:val="20"/>
        </w:rPr>
        <w:t xml:space="preserve"> contractual arrangements with a channel </w:t>
      </w:r>
      <w:r w:rsidR="00D83A14">
        <w:rPr>
          <w:sz w:val="20"/>
        </w:rPr>
        <w:t>supplier</w:t>
      </w:r>
      <w:r w:rsidRPr="004A5C3A">
        <w:rPr>
          <w:sz w:val="20"/>
        </w:rPr>
        <w:t xml:space="preserve"> </w:t>
      </w:r>
      <w:r w:rsidR="001D24E2">
        <w:rPr>
          <w:sz w:val="20"/>
        </w:rPr>
        <w:t>that purport</w:t>
      </w:r>
      <w:r w:rsidRPr="004A5C3A">
        <w:rPr>
          <w:sz w:val="20"/>
        </w:rPr>
        <w:t xml:space="preserve"> to </w:t>
      </w:r>
      <w:r>
        <w:rPr>
          <w:sz w:val="20"/>
        </w:rPr>
        <w:t>allocate responsibility</w:t>
      </w:r>
      <w:r w:rsidRPr="004A5C3A">
        <w:rPr>
          <w:sz w:val="20"/>
        </w:rPr>
        <w:t xml:space="preserve"> to the channel </w:t>
      </w:r>
      <w:r w:rsidR="00D83A14">
        <w:rPr>
          <w:sz w:val="20"/>
        </w:rPr>
        <w:t>supplier</w:t>
      </w:r>
      <w:r w:rsidRPr="004A5C3A">
        <w:rPr>
          <w:sz w:val="20"/>
        </w:rPr>
        <w:t xml:space="preserve"> </w:t>
      </w:r>
      <w:r>
        <w:rPr>
          <w:sz w:val="20"/>
        </w:rPr>
        <w:t>to broadcast compliant gambling advertisements through</w:t>
      </w:r>
      <w:r w:rsidRPr="004A5C3A">
        <w:rPr>
          <w:sz w:val="20"/>
        </w:rPr>
        <w:t xml:space="preserve"> programs broadcast by the licensee.</w:t>
      </w:r>
    </w:p>
    <w:p w14:paraId="02B0CD44" w14:textId="77777777" w:rsidR="00633EEF" w:rsidRDefault="00170E8A" w:rsidP="00CF3F86">
      <w:pPr>
        <w:pStyle w:val="ACMAQuoteindented"/>
        <w:ind w:left="0"/>
        <w:rPr>
          <w:sz w:val="20"/>
        </w:rPr>
      </w:pPr>
      <w:r>
        <w:rPr>
          <w:sz w:val="20"/>
        </w:rPr>
        <w:t xml:space="preserve">The ACMA notes that the gambling rules relevant to this investigation are specific to a particular type of promotional content in the context of a particular type of content, being live sport, and have been put in place to address a particular social harm. As such, they warrant particular action on the part of licensees. </w:t>
      </w:r>
    </w:p>
    <w:p w14:paraId="38DED869" w14:textId="66852CFA" w:rsidR="00633EEF" w:rsidRDefault="00170E8A" w:rsidP="00CF3F86">
      <w:pPr>
        <w:pStyle w:val="ACMAQuoteindented"/>
        <w:ind w:left="0"/>
        <w:rPr>
          <w:sz w:val="20"/>
        </w:rPr>
      </w:pPr>
      <w:r>
        <w:rPr>
          <w:sz w:val="20"/>
        </w:rPr>
        <w:t>Rather than imposing a ‘higher compliance burden’ with ‘respect to individual channels’</w:t>
      </w:r>
      <w:r w:rsidR="0044513F">
        <w:rPr>
          <w:sz w:val="20"/>
        </w:rPr>
        <w:t>, the ACMA considers that</w:t>
      </w:r>
      <w:r w:rsidR="00F57D78" w:rsidRPr="00F57D78">
        <w:rPr>
          <w:sz w:val="20"/>
        </w:rPr>
        <w:t xml:space="preserve"> ‘reasonable precautions’ and ‘due diligence’</w:t>
      </w:r>
      <w:r w:rsidR="00E61AC4">
        <w:rPr>
          <w:sz w:val="20"/>
        </w:rPr>
        <w:t>, especially in this context,</w:t>
      </w:r>
      <w:r w:rsidR="00F57D78" w:rsidRPr="00F57D78">
        <w:rPr>
          <w:sz w:val="20"/>
        </w:rPr>
        <w:t xml:space="preserve"> should be understood as a requirement to take positive actions to avoid contraventions of the Code. </w:t>
      </w:r>
    </w:p>
    <w:p w14:paraId="10DAAC78" w14:textId="62CEF6CC" w:rsidR="00F57D78" w:rsidRDefault="00F57D78" w:rsidP="00CF3F86">
      <w:pPr>
        <w:pStyle w:val="ACMAQuoteindented"/>
        <w:ind w:left="0"/>
        <w:rPr>
          <w:sz w:val="20"/>
        </w:rPr>
      </w:pPr>
      <w:r w:rsidRPr="00F57D78">
        <w:rPr>
          <w:sz w:val="20"/>
        </w:rPr>
        <w:t>While contractual provisions may form part of a suite of preventative actions, they cannot, by themselves, be all that compliance requires. Whether other actions include regular auditing or some other quality assurance measures is a matter for each licensee but the ACMA’s position is that licensees must be active in seeking to prevent contraventions and the ACMA does not consider that contractual provisions alone satisfy that requirement.</w:t>
      </w:r>
    </w:p>
    <w:p w14:paraId="2FFE0333" w14:textId="77777777" w:rsidR="00A57DEB" w:rsidRDefault="005F4DB1" w:rsidP="00CF3F86">
      <w:pPr>
        <w:pStyle w:val="ACMAQuoteindented"/>
        <w:ind w:left="0"/>
        <w:rPr>
          <w:sz w:val="20"/>
        </w:rPr>
      </w:pPr>
      <w:r w:rsidRPr="005F4DB1">
        <w:rPr>
          <w:sz w:val="20"/>
        </w:rPr>
        <w:t>The Code require</w:t>
      </w:r>
      <w:r w:rsidR="004D0E88">
        <w:rPr>
          <w:sz w:val="20"/>
        </w:rPr>
        <w:t>s</w:t>
      </w:r>
      <w:r w:rsidRPr="005F4DB1">
        <w:rPr>
          <w:sz w:val="20"/>
        </w:rPr>
        <w:t xml:space="preserve"> a licensee to have systems in place to assure itself that programming supplied by another person for broadcast by the licensee is compliant with the Code and to take prompt remedial steps if it is not. </w:t>
      </w:r>
    </w:p>
    <w:p w14:paraId="4DA632CF" w14:textId="22985DAF" w:rsidR="005F4DB1" w:rsidRDefault="005F4DB1" w:rsidP="00CF3F86">
      <w:pPr>
        <w:pStyle w:val="ACMAQuoteindented"/>
        <w:ind w:left="0"/>
        <w:rPr>
          <w:sz w:val="20"/>
        </w:rPr>
      </w:pPr>
      <w:r w:rsidRPr="005F4DB1">
        <w:rPr>
          <w:sz w:val="20"/>
        </w:rPr>
        <w:lastRenderedPageBreak/>
        <w:t xml:space="preserve">A failure by a licensee to make adequate provision </w:t>
      </w:r>
      <w:r w:rsidR="00924898">
        <w:rPr>
          <w:sz w:val="20"/>
        </w:rPr>
        <w:t>for such systems</w:t>
      </w:r>
      <w:r w:rsidRPr="005F4DB1">
        <w:rPr>
          <w:sz w:val="20"/>
        </w:rPr>
        <w:t xml:space="preserve"> in contractual arrangements and its own oversight arrangements, may mean that the ACMA (having regard also to any other relevant circumstances) could not be satisfied that the cause of a breach was beyond the licensee’s control, or that the licensee took reasonable precautions and exercised due diligence to avoid the failure to comply with the Code.</w:t>
      </w:r>
    </w:p>
    <w:p w14:paraId="237776AD" w14:textId="3659CF9A" w:rsidR="00A559CD" w:rsidRPr="00CF3F86" w:rsidRDefault="00A559CD" w:rsidP="00CF3F86">
      <w:pPr>
        <w:pStyle w:val="ACMAQuoteindented"/>
        <w:ind w:left="0"/>
        <w:rPr>
          <w:sz w:val="20"/>
        </w:rPr>
      </w:pPr>
      <w:r w:rsidRPr="00A559CD">
        <w:rPr>
          <w:sz w:val="20"/>
        </w:rPr>
        <w:t xml:space="preserve">Ultimately, responsibility for compliance must rest with the </w:t>
      </w:r>
      <w:r w:rsidR="00160008">
        <w:rPr>
          <w:sz w:val="20"/>
        </w:rPr>
        <w:t>L</w:t>
      </w:r>
      <w:r w:rsidRPr="00A559CD">
        <w:rPr>
          <w:sz w:val="20"/>
        </w:rPr>
        <w:t>icensee</w:t>
      </w:r>
      <w:r w:rsidR="00160008">
        <w:rPr>
          <w:sz w:val="20"/>
        </w:rPr>
        <w:t>.</w:t>
      </w:r>
      <w:r w:rsidRPr="00A559CD">
        <w:rPr>
          <w:sz w:val="20"/>
        </w:rPr>
        <w:t xml:space="preserve"> </w:t>
      </w:r>
      <w:r w:rsidR="00160008">
        <w:rPr>
          <w:sz w:val="20"/>
        </w:rPr>
        <w:t>I</w:t>
      </w:r>
      <w:r w:rsidRPr="00A559CD">
        <w:rPr>
          <w:sz w:val="20"/>
        </w:rPr>
        <w:t>n this matter</w:t>
      </w:r>
      <w:r w:rsidR="00CE639F">
        <w:rPr>
          <w:sz w:val="20"/>
        </w:rPr>
        <w:t>,</w:t>
      </w:r>
      <w:r w:rsidRPr="00A559CD">
        <w:rPr>
          <w:sz w:val="20"/>
        </w:rPr>
        <w:t xml:space="preserve"> the Licensee has not provided sufficient information to satisfy the ACMA that the failure</w:t>
      </w:r>
      <w:r w:rsidR="002A0261">
        <w:rPr>
          <w:sz w:val="20"/>
        </w:rPr>
        <w:t>s</w:t>
      </w:r>
      <w:r w:rsidRPr="00A559CD">
        <w:rPr>
          <w:sz w:val="20"/>
        </w:rPr>
        <w:t xml:space="preserve"> to comply with the Code identified in this report</w:t>
      </w:r>
      <w:r w:rsidR="000115F1">
        <w:rPr>
          <w:sz w:val="20"/>
        </w:rPr>
        <w:t>,</w:t>
      </w:r>
      <w:r w:rsidRPr="00A559CD">
        <w:rPr>
          <w:sz w:val="20"/>
        </w:rPr>
        <w:t xml:space="preserve"> were due to causes beyond the Licensee’s control, or that the Licensee took reasonable precautions and exercised due diligence to avoid the failures.</w:t>
      </w:r>
    </w:p>
    <w:p w14:paraId="74C92690" w14:textId="2E7E28A7" w:rsidR="00ED541D" w:rsidRDefault="00BA0D2F" w:rsidP="009102A8">
      <w:pPr>
        <w:pStyle w:val="ACMAQuoteindented"/>
        <w:ind w:left="0"/>
        <w:rPr>
          <w:sz w:val="20"/>
        </w:rPr>
      </w:pPr>
      <w:r>
        <w:rPr>
          <w:sz w:val="20"/>
        </w:rPr>
        <w:t>T</w:t>
      </w:r>
      <w:r w:rsidR="00EB452E">
        <w:rPr>
          <w:sz w:val="20"/>
        </w:rPr>
        <w:t xml:space="preserve">he ACMA </w:t>
      </w:r>
      <w:r w:rsidR="00BE57AE">
        <w:rPr>
          <w:sz w:val="20"/>
        </w:rPr>
        <w:t>is</w:t>
      </w:r>
      <w:r w:rsidR="00EB452E">
        <w:rPr>
          <w:sz w:val="20"/>
        </w:rPr>
        <w:t xml:space="preserve"> not </w:t>
      </w:r>
      <w:r w:rsidR="00D70D2E">
        <w:rPr>
          <w:sz w:val="20"/>
        </w:rPr>
        <w:t>satisfied</w:t>
      </w:r>
      <w:r w:rsidR="00EB452E">
        <w:rPr>
          <w:sz w:val="20"/>
        </w:rPr>
        <w:t xml:space="preserve"> that the Licensee </w:t>
      </w:r>
      <w:r w:rsidR="00D70D2E">
        <w:rPr>
          <w:sz w:val="20"/>
        </w:rPr>
        <w:t>has made out a case</w:t>
      </w:r>
      <w:r w:rsidR="00EB452E">
        <w:rPr>
          <w:sz w:val="20"/>
        </w:rPr>
        <w:t xml:space="preserve"> </w:t>
      </w:r>
      <w:r w:rsidR="00D70D2E">
        <w:rPr>
          <w:sz w:val="20"/>
        </w:rPr>
        <w:t>for reliance</w:t>
      </w:r>
      <w:r w:rsidR="00EB452E">
        <w:rPr>
          <w:sz w:val="20"/>
        </w:rPr>
        <w:t xml:space="preserve"> on</w:t>
      </w:r>
      <w:r w:rsidR="00825BA7">
        <w:rPr>
          <w:sz w:val="20"/>
        </w:rPr>
        <w:t xml:space="preserve"> paragraph (c) of </w:t>
      </w:r>
      <w:r w:rsidR="00BD025B">
        <w:rPr>
          <w:sz w:val="20"/>
        </w:rPr>
        <w:t>clause 1.2</w:t>
      </w:r>
      <w:r w:rsidR="00EB452E">
        <w:rPr>
          <w:sz w:val="20"/>
        </w:rPr>
        <w:t xml:space="preserve"> to assert that the contravention</w:t>
      </w:r>
      <w:r w:rsidR="00606977">
        <w:rPr>
          <w:sz w:val="20"/>
        </w:rPr>
        <w:t>s identified in this investigation</w:t>
      </w:r>
      <w:r w:rsidR="00EB452E">
        <w:rPr>
          <w:sz w:val="20"/>
        </w:rPr>
        <w:t xml:space="preserve"> w</w:t>
      </w:r>
      <w:r w:rsidR="00606977">
        <w:rPr>
          <w:sz w:val="20"/>
        </w:rPr>
        <w:t>ere</w:t>
      </w:r>
      <w:r w:rsidR="00EB452E">
        <w:rPr>
          <w:sz w:val="20"/>
        </w:rPr>
        <w:t xml:space="preserve"> not breach</w:t>
      </w:r>
      <w:r w:rsidR="00606977">
        <w:rPr>
          <w:sz w:val="20"/>
        </w:rPr>
        <w:t>es</w:t>
      </w:r>
      <w:r w:rsidR="00EB452E">
        <w:rPr>
          <w:sz w:val="20"/>
        </w:rPr>
        <w:t xml:space="preserve"> of </w:t>
      </w:r>
      <w:r w:rsidR="00D70D2E">
        <w:rPr>
          <w:sz w:val="20"/>
        </w:rPr>
        <w:t xml:space="preserve">Appendix A to </w:t>
      </w:r>
      <w:r w:rsidR="00EB452E">
        <w:rPr>
          <w:sz w:val="20"/>
        </w:rPr>
        <w:t>the Code.</w:t>
      </w:r>
    </w:p>
    <w:p w14:paraId="304D3DEE" w14:textId="403E31EF" w:rsidR="00187022" w:rsidRDefault="00187022" w:rsidP="00187022">
      <w:pPr>
        <w:pStyle w:val="ACMABodyText"/>
        <w:rPr>
          <w:iCs/>
          <w:u w:val="single"/>
        </w:rPr>
      </w:pPr>
      <w:r w:rsidRPr="00891CF8">
        <w:rPr>
          <w:iCs/>
          <w:u w:val="single"/>
        </w:rPr>
        <w:t xml:space="preserve">Reliance on clause </w:t>
      </w:r>
      <w:r>
        <w:rPr>
          <w:iCs/>
          <w:u w:val="single"/>
        </w:rPr>
        <w:t>17 of Appendix A</w:t>
      </w:r>
      <w:r w:rsidRPr="00891CF8">
        <w:rPr>
          <w:iCs/>
          <w:u w:val="single"/>
        </w:rPr>
        <w:t xml:space="preserve"> </w:t>
      </w:r>
      <w:r>
        <w:rPr>
          <w:iCs/>
          <w:u w:val="single"/>
        </w:rPr>
        <w:t>to</w:t>
      </w:r>
      <w:r w:rsidRPr="00891CF8">
        <w:rPr>
          <w:iCs/>
          <w:u w:val="single"/>
        </w:rPr>
        <w:t xml:space="preserve"> the Code</w:t>
      </w:r>
    </w:p>
    <w:p w14:paraId="6492CF38" w14:textId="2D0E7411" w:rsidR="00A41025" w:rsidRPr="00040E83" w:rsidRDefault="00A41025" w:rsidP="00187022">
      <w:pPr>
        <w:pStyle w:val="ACMABodyText"/>
        <w:rPr>
          <w:iCs/>
        </w:rPr>
      </w:pPr>
      <w:r w:rsidRPr="00040E83">
        <w:rPr>
          <w:iCs/>
        </w:rPr>
        <w:t>Clause 17 of Appendix A to the Code states:</w:t>
      </w:r>
    </w:p>
    <w:p w14:paraId="23F916B1" w14:textId="7810464A" w:rsidR="00A41025" w:rsidRPr="00040E83" w:rsidRDefault="00A41025" w:rsidP="00040E83">
      <w:pPr>
        <w:pStyle w:val="ACMABodyText"/>
        <w:ind w:firstLine="720"/>
        <w:rPr>
          <w:iCs/>
          <w:sz w:val="18"/>
          <w:szCs w:val="18"/>
        </w:rPr>
      </w:pPr>
      <w:r w:rsidRPr="00040E83">
        <w:rPr>
          <w:iCs/>
          <w:sz w:val="18"/>
          <w:szCs w:val="18"/>
        </w:rPr>
        <w:t>(17) It will not be a breach of this Appendix if:</w:t>
      </w:r>
    </w:p>
    <w:p w14:paraId="25E83DB3" w14:textId="77777777" w:rsidR="00A41025" w:rsidRPr="00040E83" w:rsidRDefault="00A41025" w:rsidP="0008029E">
      <w:pPr>
        <w:pStyle w:val="ACMABodyText"/>
        <w:ind w:left="720"/>
        <w:rPr>
          <w:iCs/>
          <w:sz w:val="18"/>
          <w:szCs w:val="18"/>
        </w:rPr>
      </w:pPr>
      <w:r w:rsidRPr="00040E83">
        <w:rPr>
          <w:iCs/>
          <w:sz w:val="18"/>
          <w:szCs w:val="18"/>
        </w:rPr>
        <w:t>a) a failure to comply arises from a Live Sporting Event originating from outside Australia; and</w:t>
      </w:r>
    </w:p>
    <w:p w14:paraId="1289F07C" w14:textId="77777777" w:rsidR="00A41025" w:rsidRPr="00040E83" w:rsidRDefault="00A41025" w:rsidP="0008029E">
      <w:pPr>
        <w:pStyle w:val="ACMABodyText"/>
        <w:ind w:left="720"/>
        <w:rPr>
          <w:iCs/>
          <w:sz w:val="18"/>
          <w:szCs w:val="18"/>
        </w:rPr>
      </w:pPr>
      <w:r w:rsidRPr="00040E83">
        <w:rPr>
          <w:iCs/>
          <w:sz w:val="18"/>
          <w:szCs w:val="18"/>
        </w:rPr>
        <w:t>b) the Licensee has not added the Promotion of Betting Odds or Betting Advertising; and</w:t>
      </w:r>
    </w:p>
    <w:p w14:paraId="115D5F51" w14:textId="77777777" w:rsidR="00A41025" w:rsidRPr="00040E83" w:rsidRDefault="00A41025" w:rsidP="0008029E">
      <w:pPr>
        <w:pStyle w:val="ACMABodyText"/>
        <w:ind w:left="720"/>
        <w:rPr>
          <w:iCs/>
          <w:sz w:val="18"/>
          <w:szCs w:val="18"/>
        </w:rPr>
      </w:pPr>
      <w:r w:rsidRPr="00040E83">
        <w:rPr>
          <w:iCs/>
          <w:sz w:val="18"/>
          <w:szCs w:val="18"/>
        </w:rPr>
        <w:t>c) the Licensee does not receive any direct or indirect benefit for the Promotion of Betting Odds or the broadcast of the Betting Advertising in addition to any direct or indirect benefit received from broadcasting the Live Sporting Event; and</w:t>
      </w:r>
    </w:p>
    <w:p w14:paraId="33E9ED49" w14:textId="169C76E2" w:rsidR="00A41025" w:rsidRPr="00040E83" w:rsidRDefault="00A41025" w:rsidP="0008029E">
      <w:pPr>
        <w:pStyle w:val="ACMABodyText"/>
        <w:ind w:left="720"/>
        <w:rPr>
          <w:iCs/>
          <w:sz w:val="18"/>
          <w:szCs w:val="18"/>
        </w:rPr>
      </w:pPr>
      <w:r w:rsidRPr="00040E83">
        <w:rPr>
          <w:iCs/>
          <w:sz w:val="18"/>
          <w:szCs w:val="18"/>
        </w:rPr>
        <w:t>d) it is not reasonably practicable for the Licensee to remove the Promotion of Betting Odds or Betting Advertising.</w:t>
      </w:r>
    </w:p>
    <w:p w14:paraId="39C4DBEC" w14:textId="0228289E" w:rsidR="004F77BB" w:rsidRDefault="0008029E">
      <w:pPr>
        <w:pStyle w:val="ACMAQuoteindented"/>
        <w:ind w:left="0"/>
        <w:rPr>
          <w:sz w:val="20"/>
        </w:rPr>
      </w:pPr>
      <w:r>
        <w:rPr>
          <w:sz w:val="20"/>
        </w:rPr>
        <w:t>The Licensee submitted</w:t>
      </w:r>
      <w:r w:rsidR="004F77BB">
        <w:rPr>
          <w:sz w:val="20"/>
        </w:rPr>
        <w:t>:</w:t>
      </w:r>
    </w:p>
    <w:p w14:paraId="4EF331DB" w14:textId="77777777" w:rsidR="008B5DC9" w:rsidRPr="00040E83" w:rsidRDefault="008B5DC9" w:rsidP="008B5DC9">
      <w:pPr>
        <w:numPr>
          <w:ilvl w:val="0"/>
          <w:numId w:val="16"/>
        </w:numPr>
        <w:spacing w:before="0" w:after="0" w:line="240" w:lineRule="auto"/>
        <w:rPr>
          <w:rFonts w:cs="Arial"/>
          <w:i w:val="0"/>
          <w:sz w:val="18"/>
          <w:szCs w:val="18"/>
        </w:rPr>
      </w:pPr>
      <w:r w:rsidRPr="00040E83">
        <w:rPr>
          <w:rFonts w:cs="Arial"/>
          <w:i w:val="0"/>
          <w:sz w:val="18"/>
          <w:szCs w:val="18"/>
        </w:rPr>
        <w:t>the Tennis Match was played in the United States and the coverage originated from outside Australia;</w:t>
      </w:r>
    </w:p>
    <w:p w14:paraId="62CC73C0" w14:textId="77777777" w:rsidR="008B5DC9" w:rsidRPr="00040E83" w:rsidRDefault="008B5DC9" w:rsidP="008B5DC9">
      <w:pPr>
        <w:numPr>
          <w:ilvl w:val="0"/>
          <w:numId w:val="16"/>
        </w:numPr>
        <w:spacing w:before="0" w:after="0" w:line="240" w:lineRule="auto"/>
        <w:rPr>
          <w:rFonts w:cs="Arial"/>
          <w:i w:val="0"/>
          <w:sz w:val="18"/>
          <w:szCs w:val="18"/>
        </w:rPr>
      </w:pPr>
      <w:r w:rsidRPr="00040E83">
        <w:rPr>
          <w:rFonts w:cs="Arial"/>
          <w:i w:val="0"/>
          <w:sz w:val="18"/>
          <w:szCs w:val="18"/>
        </w:rPr>
        <w:t xml:space="preserve">Foxtel did not add the Betting Advertising into the Tennis Match; </w:t>
      </w:r>
    </w:p>
    <w:p w14:paraId="58817ABE" w14:textId="77777777" w:rsidR="008B5DC9" w:rsidRPr="00040E83" w:rsidRDefault="008B5DC9" w:rsidP="008B5DC9">
      <w:pPr>
        <w:numPr>
          <w:ilvl w:val="0"/>
          <w:numId w:val="16"/>
        </w:numPr>
        <w:spacing w:before="0" w:after="0" w:line="240" w:lineRule="auto"/>
        <w:rPr>
          <w:rFonts w:cs="Arial"/>
          <w:i w:val="0"/>
          <w:sz w:val="18"/>
          <w:szCs w:val="18"/>
        </w:rPr>
      </w:pPr>
      <w:r w:rsidRPr="00040E83">
        <w:rPr>
          <w:rFonts w:cs="Arial"/>
          <w:i w:val="0"/>
          <w:sz w:val="18"/>
          <w:szCs w:val="18"/>
        </w:rPr>
        <w:t>although Foxtel Media (another entity in the Foxtel Group) is the Channel Supplier’s advertising representative in Australia, the Licensee (Foxtel Cable Television Pty Limited) did not receive any direct or indirect benefit for the broadcast of the Betting Advertising. We also confirm that Foxtel Media did not receive any financial consideration for the broadcast of the Betting Advertising; and</w:t>
      </w:r>
    </w:p>
    <w:p w14:paraId="7A4EBDBC" w14:textId="6FDB01F4" w:rsidR="008B5DC9" w:rsidRPr="00040E83" w:rsidRDefault="008B7577" w:rsidP="008B5DC9">
      <w:pPr>
        <w:numPr>
          <w:ilvl w:val="0"/>
          <w:numId w:val="16"/>
        </w:numPr>
        <w:spacing w:before="0" w:after="0" w:line="240" w:lineRule="auto"/>
        <w:rPr>
          <w:rFonts w:cs="Arial"/>
          <w:i w:val="0"/>
          <w:sz w:val="18"/>
          <w:szCs w:val="18"/>
        </w:rPr>
      </w:pPr>
      <w:r>
        <w:rPr>
          <w:rFonts w:cs="Arial"/>
          <w:i w:val="0"/>
          <w:sz w:val="18"/>
          <w:szCs w:val="18"/>
        </w:rPr>
        <w:t>[…]</w:t>
      </w:r>
      <w:r w:rsidR="008B5DC9" w:rsidRPr="00040E83">
        <w:rPr>
          <w:rFonts w:cs="Arial"/>
          <w:i w:val="0"/>
          <w:sz w:val="18"/>
          <w:szCs w:val="18"/>
        </w:rPr>
        <w:t xml:space="preserve"> it was not reasonably practicable for Foxtel to remove the Betting Advertising from the broadcast of the Tennis Match.</w:t>
      </w:r>
      <w:r w:rsidR="008B5DC9" w:rsidRPr="00040E83">
        <w:rPr>
          <w:rFonts w:cs="Arial"/>
          <w:b/>
          <w:bCs/>
          <w:i w:val="0"/>
          <w:sz w:val="18"/>
          <w:szCs w:val="18"/>
        </w:rPr>
        <w:t xml:space="preserve"> </w:t>
      </w:r>
    </w:p>
    <w:p w14:paraId="2CC1A4C2" w14:textId="77777777" w:rsidR="00F87638" w:rsidRDefault="00F87638" w:rsidP="00F970E0">
      <w:pPr>
        <w:pStyle w:val="ACMABodyText"/>
        <w:rPr>
          <w:rFonts w:cs="Arial"/>
          <w:iCs/>
          <w:lang w:eastAsia="en-AU"/>
        </w:rPr>
      </w:pPr>
    </w:p>
    <w:p w14:paraId="5AE0F965" w14:textId="6216478A" w:rsidR="00F970E0" w:rsidRPr="00131DF9" w:rsidRDefault="00F970E0" w:rsidP="00F970E0">
      <w:pPr>
        <w:pStyle w:val="ACMABodyText"/>
        <w:rPr>
          <w:rFonts w:cs="Arial"/>
          <w:iCs/>
          <w:lang w:eastAsia="en-AU"/>
        </w:rPr>
      </w:pPr>
      <w:r w:rsidRPr="00131DF9">
        <w:rPr>
          <w:rFonts w:cs="Arial"/>
          <w:iCs/>
          <w:lang w:eastAsia="en-AU"/>
        </w:rPr>
        <w:t>The ACMA accepts the</w:t>
      </w:r>
      <w:r>
        <w:rPr>
          <w:rFonts w:cs="Arial"/>
          <w:iCs/>
          <w:lang w:eastAsia="en-AU"/>
        </w:rPr>
        <w:t xml:space="preserve"> </w:t>
      </w:r>
      <w:r w:rsidR="00882AF9">
        <w:rPr>
          <w:rFonts w:cs="Arial"/>
          <w:iCs/>
          <w:lang w:eastAsia="en-AU"/>
        </w:rPr>
        <w:t>L</w:t>
      </w:r>
      <w:r>
        <w:rPr>
          <w:rFonts w:cs="Arial"/>
          <w:iCs/>
          <w:lang w:eastAsia="en-AU"/>
        </w:rPr>
        <w:t>icensee’s</w:t>
      </w:r>
      <w:r w:rsidRPr="00131DF9">
        <w:rPr>
          <w:rFonts w:cs="Arial"/>
          <w:iCs/>
          <w:lang w:eastAsia="en-AU"/>
        </w:rPr>
        <w:t xml:space="preserve"> submissions that the </w:t>
      </w:r>
      <w:r>
        <w:rPr>
          <w:rFonts w:cs="Arial"/>
          <w:iCs/>
          <w:lang w:eastAsia="en-AU"/>
        </w:rPr>
        <w:t>Tennis Game</w:t>
      </w:r>
      <w:r w:rsidRPr="00131DF9">
        <w:rPr>
          <w:rFonts w:cs="Arial"/>
          <w:iCs/>
          <w:lang w:eastAsia="en-AU"/>
        </w:rPr>
        <w:t xml:space="preserve"> originated from outside Australia </w:t>
      </w:r>
      <w:r>
        <w:rPr>
          <w:rFonts w:cs="Arial"/>
          <w:iCs/>
          <w:lang w:eastAsia="en-AU"/>
        </w:rPr>
        <w:t xml:space="preserve">(subclause 17(a)) </w:t>
      </w:r>
      <w:r w:rsidRPr="00131DF9">
        <w:rPr>
          <w:rFonts w:cs="Arial"/>
          <w:iCs/>
          <w:lang w:eastAsia="en-AU"/>
        </w:rPr>
        <w:t xml:space="preserve">and that the </w:t>
      </w:r>
      <w:r w:rsidR="00785218">
        <w:rPr>
          <w:rFonts w:cs="Arial"/>
          <w:iCs/>
          <w:lang w:eastAsia="en-AU"/>
        </w:rPr>
        <w:t>L</w:t>
      </w:r>
      <w:r>
        <w:rPr>
          <w:rFonts w:cs="Arial"/>
          <w:iCs/>
          <w:lang w:eastAsia="en-AU"/>
        </w:rPr>
        <w:t xml:space="preserve">icensee did not add </w:t>
      </w:r>
      <w:bookmarkStart w:id="7" w:name="_Hlk142392832"/>
      <w:r>
        <w:rPr>
          <w:rFonts w:cs="Arial"/>
          <w:iCs/>
          <w:lang w:eastAsia="en-AU"/>
        </w:rPr>
        <w:t xml:space="preserve">betting advertising </w:t>
      </w:r>
      <w:bookmarkEnd w:id="7"/>
      <w:r>
        <w:rPr>
          <w:rFonts w:cs="Arial"/>
          <w:iCs/>
          <w:lang w:eastAsia="en-AU"/>
        </w:rPr>
        <w:t xml:space="preserve">into the Tennis Match (subclause 17(b)). </w:t>
      </w:r>
    </w:p>
    <w:p w14:paraId="03CC823E" w14:textId="06D15A05" w:rsidR="00F970E0" w:rsidRPr="0064666B" w:rsidRDefault="00F970E0" w:rsidP="00F970E0">
      <w:pPr>
        <w:pStyle w:val="ACMABodyText"/>
        <w:rPr>
          <w:rFonts w:cs="Arial"/>
          <w:iCs/>
          <w:lang w:eastAsia="en-AU"/>
        </w:rPr>
      </w:pPr>
      <w:r w:rsidRPr="00131DF9">
        <w:rPr>
          <w:rFonts w:cs="Arial"/>
          <w:iCs/>
          <w:lang w:eastAsia="en-AU"/>
        </w:rPr>
        <w:t xml:space="preserve">Following an assessment of contractual arrangements and other commercial in-confidence information between the Licensee and </w:t>
      </w:r>
      <w:r>
        <w:rPr>
          <w:rFonts w:cs="Arial"/>
          <w:iCs/>
          <w:lang w:eastAsia="en-AU"/>
        </w:rPr>
        <w:t>the Channel Supplier</w:t>
      </w:r>
      <w:r w:rsidRPr="00131DF9">
        <w:rPr>
          <w:rFonts w:cs="Arial"/>
          <w:iCs/>
          <w:lang w:eastAsia="en-AU"/>
        </w:rPr>
        <w:t xml:space="preserve">, the ACMA accepts that the Licensee did not receive any direct or indirect benefit for </w:t>
      </w:r>
      <w:r>
        <w:rPr>
          <w:rFonts w:cs="Arial"/>
          <w:iCs/>
          <w:lang w:eastAsia="en-AU"/>
        </w:rPr>
        <w:t>the broadcast of the betting advertising (subclaus</w:t>
      </w:r>
      <w:r w:rsidRPr="0064666B">
        <w:rPr>
          <w:rFonts w:cs="Arial"/>
          <w:iCs/>
          <w:lang w:eastAsia="en-AU"/>
        </w:rPr>
        <w:t>e 17(c)).</w:t>
      </w:r>
    </w:p>
    <w:p w14:paraId="267136E0" w14:textId="321D7589" w:rsidR="00F970E0" w:rsidRPr="0064666B" w:rsidRDefault="00F970E0" w:rsidP="00F970E0">
      <w:pPr>
        <w:pStyle w:val="ACMAQuoteindented"/>
        <w:ind w:left="0"/>
        <w:rPr>
          <w:sz w:val="20"/>
        </w:rPr>
      </w:pPr>
      <w:r w:rsidRPr="0064666B">
        <w:rPr>
          <w:sz w:val="20"/>
        </w:rPr>
        <w:t>In relation to subclause 17(d)</w:t>
      </w:r>
      <w:r w:rsidR="00003188">
        <w:rPr>
          <w:sz w:val="20"/>
        </w:rPr>
        <w:t xml:space="preserve">, </w:t>
      </w:r>
      <w:r w:rsidRPr="0064666B">
        <w:rPr>
          <w:sz w:val="20"/>
        </w:rPr>
        <w:t xml:space="preserve">the </w:t>
      </w:r>
      <w:r w:rsidR="00747E1F" w:rsidRPr="0064666B">
        <w:rPr>
          <w:sz w:val="20"/>
        </w:rPr>
        <w:t>L</w:t>
      </w:r>
      <w:r w:rsidRPr="0064666B">
        <w:rPr>
          <w:sz w:val="20"/>
        </w:rPr>
        <w:t>icensee further submitted:</w:t>
      </w:r>
    </w:p>
    <w:p w14:paraId="4A4AE277" w14:textId="168131BF" w:rsidR="00F970E0" w:rsidRDefault="00F970E0" w:rsidP="00040E83">
      <w:pPr>
        <w:spacing w:before="0" w:after="0" w:line="240" w:lineRule="atLeast"/>
        <w:ind w:left="720"/>
        <w:rPr>
          <w:rFonts w:cs="Arial"/>
          <w:i w:val="0"/>
          <w:sz w:val="18"/>
          <w:szCs w:val="18"/>
          <w:lang w:eastAsia="en-AU"/>
        </w:rPr>
      </w:pPr>
      <w:r w:rsidRPr="0064666B">
        <w:rPr>
          <w:rFonts w:cs="Arial"/>
          <w:i w:val="0"/>
          <w:sz w:val="18"/>
          <w:szCs w:val="18"/>
          <w:lang w:eastAsia="en-AU"/>
        </w:rPr>
        <w:lastRenderedPageBreak/>
        <w:t>Foxtel does not have a technical or operational capability to remove advertising or any other material from a continuous linear pass through channel. This is not a capability or function available or used for any pass through linear channel on Foxtel satellite or cable distribution products.</w:t>
      </w:r>
    </w:p>
    <w:p w14:paraId="1602D5C1" w14:textId="438389FD" w:rsidR="00080B06" w:rsidRPr="00A7460C" w:rsidRDefault="00080B06" w:rsidP="00080B06">
      <w:pPr>
        <w:rPr>
          <w:i w:val="0"/>
          <w:iCs/>
        </w:rPr>
      </w:pPr>
      <w:r>
        <w:rPr>
          <w:i w:val="0"/>
          <w:iCs/>
        </w:rPr>
        <w:t xml:space="preserve">The licensee provided additional information specific to its ICT infrastructure and operational arrangements between itself and the content supplier. </w:t>
      </w:r>
    </w:p>
    <w:p w14:paraId="35DD05C9" w14:textId="157CCB88" w:rsidR="005E0FC0" w:rsidRPr="005E0FC0" w:rsidRDefault="00080B06" w:rsidP="00A517AB">
      <w:pPr>
        <w:pStyle w:val="ACMABodyText"/>
      </w:pPr>
      <w:r>
        <w:t xml:space="preserve">Having reviewed this additional detail, </w:t>
      </w:r>
      <w:r w:rsidR="00561E48" w:rsidRPr="00561E48">
        <w:t xml:space="preserve">the ACMA accepts the submission that the Licensee would incur considerable financial costs to create, implement and maintain a bespoke system to remove or replace gambling promotional content from live broadcasts originating overseas. </w:t>
      </w:r>
    </w:p>
    <w:p w14:paraId="05EA6148" w14:textId="667BF6F9" w:rsidR="00561E48" w:rsidRPr="004B1568" w:rsidRDefault="00561E48" w:rsidP="00A517AB">
      <w:pPr>
        <w:suppressAutoHyphens/>
        <w:spacing w:before="0" w:line="240" w:lineRule="atLeast"/>
        <w:rPr>
          <w:i w:val="0"/>
        </w:rPr>
      </w:pPr>
      <w:r w:rsidRPr="00A517AB">
        <w:rPr>
          <w:rFonts w:cs="Arial"/>
          <w:i w:val="0"/>
          <w:snapToGrid w:val="0"/>
          <w:szCs w:val="20"/>
        </w:rPr>
        <w:t xml:space="preserve">Based on all the available information, the ACMA’s view is that it was not reasonably practicable for the Licensee to remove the </w:t>
      </w:r>
      <w:r w:rsidR="005E0FC0" w:rsidRPr="00A517AB">
        <w:rPr>
          <w:rFonts w:cs="Arial"/>
          <w:i w:val="0"/>
          <w:snapToGrid w:val="0"/>
          <w:szCs w:val="20"/>
        </w:rPr>
        <w:t xml:space="preserve">gambling advertisements </w:t>
      </w:r>
      <w:r w:rsidRPr="00A517AB">
        <w:rPr>
          <w:rFonts w:cs="Arial"/>
          <w:i w:val="0"/>
          <w:snapToGrid w:val="0"/>
          <w:szCs w:val="20"/>
        </w:rPr>
        <w:t>that were the subject of this investigation.</w:t>
      </w:r>
      <w:r w:rsidRPr="00BE0372">
        <w:rPr>
          <w:rFonts w:cs="Arial"/>
          <w:i w:val="0"/>
          <w:snapToGrid w:val="0"/>
          <w:sz w:val="18"/>
          <w:szCs w:val="20"/>
        </w:rPr>
        <w:t xml:space="preserve"> </w:t>
      </w:r>
    </w:p>
    <w:p w14:paraId="73A47578" w14:textId="09971CCF" w:rsidR="00A32FA1" w:rsidRDefault="0075430F" w:rsidP="002059CC">
      <w:pPr>
        <w:pStyle w:val="ACMAQuoteindented"/>
        <w:ind w:left="0"/>
        <w:rPr>
          <w:sz w:val="20"/>
        </w:rPr>
      </w:pPr>
      <w:r w:rsidRPr="0075430F">
        <w:rPr>
          <w:sz w:val="20"/>
        </w:rPr>
        <w:t xml:space="preserve">Therefore, the ACMA </w:t>
      </w:r>
      <w:r w:rsidR="00275E38">
        <w:rPr>
          <w:sz w:val="20"/>
        </w:rPr>
        <w:t>accept</w:t>
      </w:r>
      <w:r w:rsidR="00835B4D">
        <w:rPr>
          <w:sz w:val="20"/>
        </w:rPr>
        <w:t>s</w:t>
      </w:r>
      <w:r w:rsidRPr="0075430F">
        <w:rPr>
          <w:sz w:val="20"/>
        </w:rPr>
        <w:t xml:space="preserve"> that the Licensee</w:t>
      </w:r>
      <w:r w:rsidR="00BE57AE">
        <w:rPr>
          <w:sz w:val="20"/>
        </w:rPr>
        <w:t xml:space="preserve"> has made out a case for</w:t>
      </w:r>
      <w:r w:rsidRPr="0075430F">
        <w:rPr>
          <w:sz w:val="20"/>
        </w:rPr>
        <w:t xml:space="preserve"> reliance on clause 17 of Appendix A</w:t>
      </w:r>
      <w:r w:rsidR="00080FCC">
        <w:rPr>
          <w:sz w:val="20"/>
        </w:rPr>
        <w:t>, and</w:t>
      </w:r>
      <w:r w:rsidRPr="0075430F">
        <w:rPr>
          <w:sz w:val="20"/>
        </w:rPr>
        <w:t xml:space="preserve"> that the contraventions identified in this investigation were not breaches of </w:t>
      </w:r>
      <w:r w:rsidR="005D2215">
        <w:rPr>
          <w:sz w:val="20"/>
        </w:rPr>
        <w:t>Appendix</w:t>
      </w:r>
      <w:r w:rsidR="000407FA">
        <w:rPr>
          <w:sz w:val="20"/>
        </w:rPr>
        <w:t xml:space="preserve"> A to the Code</w:t>
      </w:r>
      <w:r w:rsidRPr="0075430F">
        <w:rPr>
          <w:sz w:val="20"/>
        </w:rPr>
        <w:t xml:space="preserve">. </w:t>
      </w:r>
    </w:p>
    <w:p w14:paraId="6D22BA99" w14:textId="1085AF58" w:rsidR="003429B6" w:rsidRPr="001A79CA" w:rsidRDefault="003429B6" w:rsidP="002059CC">
      <w:pPr>
        <w:pStyle w:val="ACMAQuoteindented"/>
        <w:ind w:left="0"/>
        <w:rPr>
          <w:b/>
          <w:bCs/>
          <w:sz w:val="20"/>
        </w:rPr>
      </w:pPr>
      <w:r w:rsidRPr="001A79CA">
        <w:rPr>
          <w:b/>
          <w:bCs/>
          <w:sz w:val="20"/>
        </w:rPr>
        <w:t xml:space="preserve">Summary </w:t>
      </w:r>
    </w:p>
    <w:p w14:paraId="166DFA2C" w14:textId="740E027B" w:rsidR="00230ED9" w:rsidRDefault="003429B6" w:rsidP="002059CC">
      <w:pPr>
        <w:pStyle w:val="ACMAQuoteindented"/>
        <w:ind w:left="0"/>
        <w:rPr>
          <w:sz w:val="20"/>
        </w:rPr>
      </w:pPr>
      <w:r>
        <w:rPr>
          <w:sz w:val="20"/>
        </w:rPr>
        <w:t xml:space="preserve">Taking into account the preceding analysis, </w:t>
      </w:r>
      <w:r w:rsidR="00397428" w:rsidRPr="00397428">
        <w:rPr>
          <w:sz w:val="20"/>
        </w:rPr>
        <w:t>the ACMA is of the</w:t>
      </w:r>
      <w:r w:rsidR="00397428">
        <w:rPr>
          <w:sz w:val="20"/>
        </w:rPr>
        <w:t xml:space="preserve"> </w:t>
      </w:r>
      <w:r w:rsidR="00397428" w:rsidRPr="00397428">
        <w:rPr>
          <w:sz w:val="20"/>
        </w:rPr>
        <w:t>view that</w:t>
      </w:r>
      <w:r w:rsidR="00397428">
        <w:rPr>
          <w:sz w:val="20"/>
        </w:rPr>
        <w:t xml:space="preserve"> in broadcasting:</w:t>
      </w:r>
    </w:p>
    <w:p w14:paraId="4A594E33" w14:textId="58821C26" w:rsidR="003306A5" w:rsidRPr="00E951ED" w:rsidRDefault="00BE57AE" w:rsidP="00A517AB">
      <w:pPr>
        <w:pStyle w:val="ACMAQuoteindented"/>
        <w:numPr>
          <w:ilvl w:val="0"/>
          <w:numId w:val="30"/>
        </w:numPr>
        <w:rPr>
          <w:sz w:val="20"/>
        </w:rPr>
      </w:pPr>
      <w:r>
        <w:rPr>
          <w:sz w:val="20"/>
        </w:rPr>
        <w:t>t</w:t>
      </w:r>
      <w:r w:rsidR="00FA52DE">
        <w:rPr>
          <w:sz w:val="20"/>
        </w:rPr>
        <w:t>hree</w:t>
      </w:r>
      <w:r w:rsidR="003306A5" w:rsidRPr="00E951ED">
        <w:rPr>
          <w:sz w:val="20"/>
        </w:rPr>
        <w:t xml:space="preserve"> </w:t>
      </w:r>
      <w:r w:rsidR="00541C85" w:rsidRPr="006C5CF6">
        <w:rPr>
          <w:sz w:val="20"/>
        </w:rPr>
        <w:t>[Betting Company 2]</w:t>
      </w:r>
      <w:r w:rsidR="003306A5" w:rsidRPr="00E951ED">
        <w:rPr>
          <w:sz w:val="20"/>
        </w:rPr>
        <w:t xml:space="preserve"> </w:t>
      </w:r>
      <w:r>
        <w:rPr>
          <w:sz w:val="20"/>
        </w:rPr>
        <w:t>b</w:t>
      </w:r>
      <w:r w:rsidR="003306A5" w:rsidRPr="00E951ED">
        <w:rPr>
          <w:sz w:val="20"/>
        </w:rPr>
        <w:t xml:space="preserve">etting </w:t>
      </w:r>
      <w:r>
        <w:rPr>
          <w:sz w:val="20"/>
        </w:rPr>
        <w:t>a</w:t>
      </w:r>
      <w:r w:rsidR="003306A5" w:rsidRPr="00E951ED">
        <w:rPr>
          <w:sz w:val="20"/>
        </w:rPr>
        <w:t>dvertisement billboards during advertisement breaks at the change of ends after game 3, game 5 and game 7</w:t>
      </w:r>
      <w:r w:rsidR="004A1E7F">
        <w:rPr>
          <w:sz w:val="20"/>
        </w:rPr>
        <w:t xml:space="preserve"> </w:t>
      </w:r>
      <w:r w:rsidR="003306A5" w:rsidRPr="00E951ED">
        <w:rPr>
          <w:sz w:val="20"/>
        </w:rPr>
        <w:t>of the first set of the Tennis Match</w:t>
      </w:r>
      <w:r w:rsidR="000E198E">
        <w:rPr>
          <w:sz w:val="20"/>
        </w:rPr>
        <w:t>,</w:t>
      </w:r>
      <w:r w:rsidR="004A1E7F">
        <w:rPr>
          <w:sz w:val="20"/>
        </w:rPr>
        <w:t xml:space="preserve"> and</w:t>
      </w:r>
    </w:p>
    <w:p w14:paraId="6BEDD3A6" w14:textId="127EB433" w:rsidR="00FE4999" w:rsidRDefault="00BE57AE" w:rsidP="00A517AB">
      <w:pPr>
        <w:pStyle w:val="ACMAQuoteindented"/>
        <w:numPr>
          <w:ilvl w:val="0"/>
          <w:numId w:val="30"/>
        </w:numPr>
        <w:rPr>
          <w:iCs/>
          <w:sz w:val="20"/>
        </w:rPr>
      </w:pPr>
      <w:r>
        <w:rPr>
          <w:iCs/>
          <w:sz w:val="20"/>
        </w:rPr>
        <w:t>e</w:t>
      </w:r>
      <w:r w:rsidR="00FA52DE">
        <w:rPr>
          <w:iCs/>
          <w:sz w:val="20"/>
        </w:rPr>
        <w:t>ight</w:t>
      </w:r>
      <w:r w:rsidR="003306A5" w:rsidRPr="00CD290F">
        <w:rPr>
          <w:iCs/>
          <w:sz w:val="20"/>
        </w:rPr>
        <w:t xml:space="preserve"> </w:t>
      </w:r>
      <w:r w:rsidR="00541C85" w:rsidRPr="006C5CF6">
        <w:rPr>
          <w:iCs/>
          <w:sz w:val="20"/>
        </w:rPr>
        <w:t>[Betting Company 1]</w:t>
      </w:r>
      <w:r w:rsidR="00DB6718">
        <w:rPr>
          <w:iCs/>
          <w:sz w:val="20"/>
        </w:rPr>
        <w:t xml:space="preserve"> </w:t>
      </w:r>
      <w:r>
        <w:rPr>
          <w:iCs/>
          <w:sz w:val="20"/>
        </w:rPr>
        <w:t>b</w:t>
      </w:r>
      <w:r w:rsidR="003306A5" w:rsidRPr="00CD290F">
        <w:rPr>
          <w:iCs/>
          <w:sz w:val="20"/>
        </w:rPr>
        <w:t xml:space="preserve">etting </w:t>
      </w:r>
      <w:r>
        <w:rPr>
          <w:iCs/>
          <w:sz w:val="20"/>
        </w:rPr>
        <w:t>a</w:t>
      </w:r>
      <w:r w:rsidR="003306A5" w:rsidRPr="00CD290F">
        <w:rPr>
          <w:iCs/>
          <w:sz w:val="20"/>
        </w:rPr>
        <w:t>dvertisements during advertisement breaks at the change of ends after game 3, game 5, game 7, game 9 and game 11 in the first set</w:t>
      </w:r>
      <w:r>
        <w:rPr>
          <w:iCs/>
          <w:sz w:val="20"/>
        </w:rPr>
        <w:t>,</w:t>
      </w:r>
      <w:r w:rsidR="001C162F">
        <w:rPr>
          <w:iCs/>
          <w:sz w:val="20"/>
        </w:rPr>
        <w:t xml:space="preserve"> </w:t>
      </w:r>
      <w:r w:rsidR="00FE4999">
        <w:rPr>
          <w:iCs/>
          <w:sz w:val="20"/>
        </w:rPr>
        <w:t xml:space="preserve">and </w:t>
      </w:r>
      <w:r w:rsidR="00FE4999" w:rsidRPr="00CD290F">
        <w:rPr>
          <w:iCs/>
          <w:sz w:val="20"/>
        </w:rPr>
        <w:t xml:space="preserve">at the change of ends after game 3, game 5 </w:t>
      </w:r>
      <w:r w:rsidR="00B3627E">
        <w:rPr>
          <w:iCs/>
          <w:sz w:val="20"/>
        </w:rPr>
        <w:t xml:space="preserve">and </w:t>
      </w:r>
      <w:r w:rsidR="00FE4999" w:rsidRPr="00CD290F">
        <w:rPr>
          <w:iCs/>
          <w:sz w:val="20"/>
        </w:rPr>
        <w:t>game 7</w:t>
      </w:r>
      <w:r w:rsidR="003306A5" w:rsidRPr="00CD290F">
        <w:rPr>
          <w:iCs/>
          <w:sz w:val="20"/>
        </w:rPr>
        <w:t xml:space="preserve"> of the</w:t>
      </w:r>
      <w:r w:rsidR="00FE4999">
        <w:rPr>
          <w:iCs/>
          <w:sz w:val="20"/>
        </w:rPr>
        <w:t xml:space="preserve"> second set</w:t>
      </w:r>
      <w:r>
        <w:rPr>
          <w:iCs/>
          <w:sz w:val="20"/>
        </w:rPr>
        <w:t>,</w:t>
      </w:r>
      <w:r w:rsidR="00FE4999">
        <w:rPr>
          <w:iCs/>
          <w:sz w:val="20"/>
        </w:rPr>
        <w:t xml:space="preserve"> of the</w:t>
      </w:r>
      <w:r w:rsidR="003306A5" w:rsidRPr="00CD290F">
        <w:rPr>
          <w:iCs/>
          <w:sz w:val="20"/>
        </w:rPr>
        <w:t xml:space="preserve"> Tennis Match</w:t>
      </w:r>
    </w:p>
    <w:p w14:paraId="184BE370" w14:textId="46C4AB60" w:rsidR="003B3036" w:rsidRDefault="00B3627E" w:rsidP="00DC5644">
      <w:pPr>
        <w:pStyle w:val="ACMAQuoteindented"/>
        <w:ind w:left="0"/>
        <w:rPr>
          <w:iCs/>
          <w:sz w:val="20"/>
        </w:rPr>
      </w:pPr>
      <w:r>
        <w:rPr>
          <w:iCs/>
          <w:sz w:val="20"/>
        </w:rPr>
        <w:t>t</w:t>
      </w:r>
      <w:r w:rsidR="001E0096">
        <w:rPr>
          <w:iCs/>
          <w:sz w:val="20"/>
        </w:rPr>
        <w:t xml:space="preserve">he Licensee </w:t>
      </w:r>
      <w:r w:rsidR="00D71F18">
        <w:rPr>
          <w:iCs/>
          <w:sz w:val="20"/>
        </w:rPr>
        <w:t>did</w:t>
      </w:r>
      <w:r w:rsidR="00A618A4">
        <w:rPr>
          <w:iCs/>
          <w:sz w:val="20"/>
        </w:rPr>
        <w:t xml:space="preserve"> not </w:t>
      </w:r>
      <w:r w:rsidR="001E0096">
        <w:rPr>
          <w:iCs/>
          <w:sz w:val="20"/>
        </w:rPr>
        <w:t xml:space="preserve">breach clause 2 of Appendix A </w:t>
      </w:r>
      <w:r w:rsidR="00D7521B">
        <w:rPr>
          <w:iCs/>
          <w:sz w:val="20"/>
        </w:rPr>
        <w:t>to</w:t>
      </w:r>
      <w:r w:rsidR="001E0096">
        <w:rPr>
          <w:iCs/>
          <w:sz w:val="20"/>
        </w:rPr>
        <w:t xml:space="preserve"> the Code</w:t>
      </w:r>
      <w:r w:rsidR="00A47E9D" w:rsidRPr="00CD290F">
        <w:rPr>
          <w:iCs/>
          <w:sz w:val="20"/>
        </w:rPr>
        <w:t>.</w:t>
      </w:r>
    </w:p>
    <w:p w14:paraId="6F5B68E5" w14:textId="1A09C643" w:rsidR="003B3036" w:rsidRPr="00CE6334" w:rsidRDefault="003B3036" w:rsidP="00CE6334">
      <w:pPr>
        <w:spacing w:before="0" w:after="0" w:line="240" w:lineRule="auto"/>
        <w:rPr>
          <w:rFonts w:cs="Arial"/>
          <w:i w:val="0"/>
          <w:iCs/>
          <w:snapToGrid w:val="0"/>
          <w:szCs w:val="20"/>
        </w:rPr>
      </w:pPr>
    </w:p>
    <w:sectPr w:rsidR="003B3036" w:rsidRPr="00CE6334" w:rsidSect="00B53882">
      <w:headerReference w:type="even" r:id="rId10"/>
      <w:footerReference w:type="even" r:id="rId11"/>
      <w:footerReference w:type="default" r:id="rId12"/>
      <w:headerReference w:type="first" r:id="rId13"/>
      <w:footerReference w:type="first" r:id="rId14"/>
      <w:pgSz w:w="11909" w:h="16834" w:code="9"/>
      <w:pgMar w:top="1741" w:right="1797" w:bottom="1440" w:left="1797" w:header="709" w:footer="454"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5C26E" w14:textId="77777777" w:rsidR="00431A6B" w:rsidRDefault="00431A6B">
      <w:r>
        <w:separator/>
      </w:r>
    </w:p>
  </w:endnote>
  <w:endnote w:type="continuationSeparator" w:id="0">
    <w:p w14:paraId="3B1CBD55" w14:textId="77777777" w:rsidR="00431A6B" w:rsidRDefault="00431A6B">
      <w:r>
        <w:continuationSeparator/>
      </w:r>
    </w:p>
  </w:endnote>
  <w:endnote w:type="continuationNotice" w:id="1">
    <w:p w14:paraId="646C8088" w14:textId="77777777" w:rsidR="00431A6B" w:rsidRDefault="00431A6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0A34" w14:textId="77777777" w:rsidR="0061569D" w:rsidRDefault="0061569D">
    <w:pPr>
      <w:framePr w:wrap="around" w:vAnchor="text" w:hAnchor="margin" w:xAlign="right" w:y="1"/>
    </w:pPr>
    <w:r>
      <w:fldChar w:fldCharType="begin"/>
    </w:r>
    <w:r>
      <w:instrText xml:space="preserve">PAGE  </w:instrText>
    </w:r>
    <w:r>
      <w:fldChar w:fldCharType="separate"/>
    </w:r>
    <w:r w:rsidR="00193967">
      <w:rPr>
        <w:noProof/>
      </w:rPr>
      <w:t>2</w:t>
    </w:r>
    <w:r>
      <w:fldChar w:fldCharType="end"/>
    </w:r>
  </w:p>
  <w:p w14:paraId="4F1A277C" w14:textId="77777777" w:rsidR="0061569D" w:rsidRDefault="0061569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0A84B" w14:textId="7CA40F97" w:rsidR="0061569D" w:rsidRPr="00816ADF" w:rsidRDefault="006A02B1" w:rsidP="00EF7A2A">
    <w:pPr>
      <w:pStyle w:val="ACMAFooter"/>
      <w:rPr>
        <w:sz w:val="16"/>
        <w:szCs w:val="16"/>
      </w:rPr>
    </w:pPr>
    <w:r w:rsidRPr="00816ADF">
      <w:rPr>
        <w:sz w:val="16"/>
        <w:szCs w:val="16"/>
      </w:rPr>
      <w:t xml:space="preserve">ACMA </w:t>
    </w:r>
    <w:r w:rsidR="00E71E77">
      <w:rPr>
        <w:sz w:val="16"/>
        <w:szCs w:val="16"/>
      </w:rPr>
      <w:t xml:space="preserve"> </w:t>
    </w:r>
    <w:r w:rsidRPr="00816ADF">
      <w:rPr>
        <w:sz w:val="16"/>
        <w:szCs w:val="16"/>
      </w:rPr>
      <w:t xml:space="preserve">Investigation </w:t>
    </w:r>
    <w:r w:rsidR="003428BC">
      <w:rPr>
        <w:sz w:val="16"/>
        <w:szCs w:val="16"/>
      </w:rPr>
      <w:t>R</w:t>
    </w:r>
    <w:r w:rsidRPr="00816ADF">
      <w:rPr>
        <w:sz w:val="16"/>
        <w:szCs w:val="16"/>
      </w:rPr>
      <w:t>eport</w:t>
    </w:r>
    <w:r w:rsidR="004E434C">
      <w:rPr>
        <w:sz w:val="16"/>
        <w:szCs w:val="16"/>
      </w:rPr>
      <w:t xml:space="preserve"> </w:t>
    </w:r>
    <w:r w:rsidR="002B47FC">
      <w:rPr>
        <w:sz w:val="16"/>
        <w:szCs w:val="16"/>
      </w:rPr>
      <w:t xml:space="preserve">- </w:t>
    </w:r>
    <w:r w:rsidR="000E1386">
      <w:rPr>
        <w:i/>
        <w:sz w:val="16"/>
        <w:szCs w:val="16"/>
      </w:rPr>
      <w:t>G</w:t>
    </w:r>
    <w:r w:rsidR="004E434C" w:rsidRPr="004E434C">
      <w:rPr>
        <w:i/>
        <w:sz w:val="16"/>
        <w:szCs w:val="16"/>
      </w:rPr>
      <w:t xml:space="preserve">ambling </w:t>
    </w:r>
    <w:r w:rsidR="000E1386">
      <w:rPr>
        <w:i/>
        <w:sz w:val="16"/>
        <w:szCs w:val="16"/>
      </w:rPr>
      <w:t xml:space="preserve">advertisements </w:t>
    </w:r>
    <w:r w:rsidR="006162E4">
      <w:rPr>
        <w:sz w:val="16"/>
        <w:szCs w:val="16"/>
      </w:rPr>
      <w:t>on</w:t>
    </w:r>
    <w:r w:rsidRPr="00816ADF">
      <w:rPr>
        <w:sz w:val="16"/>
        <w:szCs w:val="16"/>
      </w:rPr>
      <w:t xml:space="preserve"> </w:t>
    </w:r>
    <w:r w:rsidR="00D37F5E">
      <w:rPr>
        <w:sz w:val="16"/>
        <w:szCs w:val="16"/>
      </w:rPr>
      <w:t>beIN Sports 2</w:t>
    </w:r>
    <w:r w:rsidR="00D37F5E" w:rsidRPr="00816ADF">
      <w:rPr>
        <w:sz w:val="16"/>
        <w:szCs w:val="16"/>
      </w:rPr>
      <w:t xml:space="preserve"> </w:t>
    </w:r>
    <w:r w:rsidRPr="00816ADF">
      <w:rPr>
        <w:sz w:val="16"/>
        <w:szCs w:val="16"/>
      </w:rPr>
      <w:t xml:space="preserve">on </w:t>
    </w:r>
    <w:r w:rsidR="001B68B7">
      <w:rPr>
        <w:sz w:val="16"/>
        <w:szCs w:val="16"/>
      </w:rPr>
      <w:t>6</w:t>
    </w:r>
    <w:r w:rsidR="00D37F5E">
      <w:rPr>
        <w:sz w:val="16"/>
        <w:szCs w:val="16"/>
      </w:rPr>
      <w:t> </w:t>
    </w:r>
    <w:r w:rsidR="001B68B7">
      <w:rPr>
        <w:sz w:val="16"/>
        <w:szCs w:val="16"/>
      </w:rPr>
      <w:t>August 2022</w:t>
    </w:r>
    <w:r w:rsidRPr="00816ADF">
      <w:rPr>
        <w:sz w:val="16"/>
        <w:szCs w:val="16"/>
      </w:rPr>
      <w:tab/>
    </w:r>
    <w:r w:rsidRPr="00997E79">
      <w:rPr>
        <w:sz w:val="16"/>
        <w:szCs w:val="16"/>
      </w:rPr>
      <w:fldChar w:fldCharType="begin"/>
    </w:r>
    <w:r w:rsidRPr="00997E79">
      <w:rPr>
        <w:sz w:val="16"/>
        <w:szCs w:val="16"/>
      </w:rPr>
      <w:instrText xml:space="preserve"> PAGE </w:instrText>
    </w:r>
    <w:r w:rsidRPr="00997E79">
      <w:rPr>
        <w:sz w:val="16"/>
        <w:szCs w:val="16"/>
      </w:rPr>
      <w:fldChar w:fldCharType="separate"/>
    </w:r>
    <w:r w:rsidR="003470D1">
      <w:rPr>
        <w:noProof/>
        <w:sz w:val="16"/>
        <w:szCs w:val="16"/>
      </w:rPr>
      <w:t>8</w:t>
    </w:r>
    <w:r w:rsidRPr="00997E79">
      <w:rPr>
        <w:noProof/>
        <w:sz w:val="16"/>
        <w:szCs w:val="16"/>
      </w:rPr>
      <w:fldChar w:fldCharType="end"/>
    </w:r>
    <w:r w:rsidRPr="00997E79">
      <w:rPr>
        <w:noProof/>
        <w:sz w:val="16"/>
        <w:szCs w:val="16"/>
      </w:rPr>
      <w:t xml:space="preserve"> of </w:t>
    </w:r>
    <w:r w:rsidRPr="00997E79">
      <w:rPr>
        <w:noProof/>
        <w:sz w:val="16"/>
        <w:szCs w:val="16"/>
      </w:rPr>
      <w:fldChar w:fldCharType="begin"/>
    </w:r>
    <w:r w:rsidRPr="00997E79">
      <w:rPr>
        <w:noProof/>
        <w:sz w:val="16"/>
        <w:szCs w:val="16"/>
      </w:rPr>
      <w:instrText xml:space="preserve"> SECTIONPAGES  \* Arabic  \* MERGEFORMAT </w:instrText>
    </w:r>
    <w:r w:rsidRPr="00997E79">
      <w:rPr>
        <w:noProof/>
        <w:sz w:val="16"/>
        <w:szCs w:val="16"/>
      </w:rPr>
      <w:fldChar w:fldCharType="separate"/>
    </w:r>
    <w:r w:rsidR="00293449">
      <w:rPr>
        <w:noProof/>
        <w:sz w:val="16"/>
        <w:szCs w:val="16"/>
      </w:rPr>
      <w:t>10</w:t>
    </w:r>
    <w:r w:rsidRPr="00997E79">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2D3E4" w14:textId="77777777" w:rsidR="0061569D" w:rsidRPr="00211185" w:rsidRDefault="00193967" w:rsidP="00193967">
    <w:pPr>
      <w:pStyle w:val="Footer"/>
      <w:jc w:val="right"/>
    </w:pPr>
    <w:r w:rsidRPr="005E250B">
      <w:rPr>
        <w:noProof/>
        <w:vertAlign w:val="subscript"/>
      </w:rPr>
      <w:drawing>
        <wp:inline distT="0" distB="0" distL="0" distR="0" wp14:anchorId="60EF4E56" wp14:editId="579D3266">
          <wp:extent cx="1066800" cy="277368"/>
          <wp:effectExtent l="0" t="0" r="0" b="0"/>
          <wp:docPr id="15" name="Picture 15"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ma.gov.au">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1FA32" w14:textId="77777777" w:rsidR="00431A6B" w:rsidRDefault="00431A6B">
      <w:r>
        <w:separator/>
      </w:r>
    </w:p>
  </w:footnote>
  <w:footnote w:type="continuationSeparator" w:id="0">
    <w:p w14:paraId="3FFE37F7" w14:textId="77777777" w:rsidR="00431A6B" w:rsidRDefault="00431A6B">
      <w:r>
        <w:continuationSeparator/>
      </w:r>
    </w:p>
  </w:footnote>
  <w:footnote w:type="continuationNotice" w:id="1">
    <w:p w14:paraId="5ACED8DD" w14:textId="77777777" w:rsidR="00431A6B" w:rsidRDefault="00431A6B">
      <w:pPr>
        <w:spacing w:before="0" w:after="0" w:line="240" w:lineRule="auto"/>
      </w:pPr>
    </w:p>
  </w:footnote>
  <w:footnote w:id="2">
    <w:p w14:paraId="00D7F6E0" w14:textId="27754CB0" w:rsidR="00292B88" w:rsidRDefault="007F04A5" w:rsidP="000E7808">
      <w:pPr>
        <w:pStyle w:val="FootnoteText"/>
      </w:pPr>
      <w:r>
        <w:rPr>
          <w:rStyle w:val="FootnoteReference"/>
        </w:rPr>
        <w:footnoteRef/>
      </w:r>
      <w:r>
        <w:t xml:space="preserve"> </w:t>
      </w:r>
      <w:r w:rsidR="000E7808">
        <w:t xml:space="preserve">The ACMA viewed the [Betting Company 1] </w:t>
      </w:r>
      <w:r>
        <w:t xml:space="preserve">Pty Ltd ‘Annual report – 30 June 2020’, </w:t>
      </w:r>
      <w:r w:rsidR="001F6BA2">
        <w:t>21 December</w:t>
      </w:r>
    </w:p>
    <w:p w14:paraId="76EEDB17" w14:textId="7AA140FC" w:rsidR="007F04A5" w:rsidRDefault="00292B88" w:rsidP="00323B0A">
      <w:pPr>
        <w:pStyle w:val="FootnoteText"/>
      </w:pPr>
      <w:r>
        <w:t xml:space="preserve">   </w:t>
      </w:r>
      <w:r w:rsidR="007F04A5">
        <w:t>2022.</w:t>
      </w:r>
    </w:p>
  </w:footnote>
  <w:footnote w:id="3">
    <w:p w14:paraId="4EFF08FE" w14:textId="622B94BC" w:rsidR="008A54F5" w:rsidRDefault="008A54F5" w:rsidP="008A54F5">
      <w:pPr>
        <w:pStyle w:val="FootnoteText"/>
      </w:pPr>
      <w:r>
        <w:rPr>
          <w:rStyle w:val="FootnoteReference"/>
        </w:rPr>
        <w:footnoteRef/>
      </w:r>
      <w:r>
        <w:t xml:space="preserve"> </w:t>
      </w:r>
      <w:hyperlink r:id="rId1" w:history="1">
        <w:r>
          <w:rPr>
            <w:rStyle w:val="Hyperlink"/>
          </w:rPr>
          <w:t>https://www.legislation.gov.au/Details/F2017C00987</w:t>
        </w:r>
      </w:hyperlink>
      <w:r>
        <w:t xml:space="preserve">, accessed </w:t>
      </w:r>
      <w:r w:rsidR="001F6BA2">
        <w:t>21 December</w:t>
      </w:r>
      <w:r>
        <w:t xml:space="preserve"> 2022.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E77A6" w14:textId="373452F3" w:rsidR="0061569D" w:rsidRDefault="0061569D">
    <w:r>
      <w:fldChar w:fldCharType="begin"/>
    </w:r>
    <w:r>
      <w:instrText xml:space="preserve"> REF ReportTitle \h </w:instrText>
    </w:r>
    <w:r>
      <w:fldChar w:fldCharType="separate"/>
    </w:r>
    <w:r w:rsidR="007537B5">
      <w:rPr>
        <w:b/>
        <w:bCs/>
        <w:lang w:val="en-US"/>
      </w:rPr>
      <w:t>Error! Reference source not found.</w:t>
    </w:r>
    <w:r>
      <w:fldChar w:fldCharType="end"/>
    </w:r>
  </w:p>
  <w:p w14:paraId="6661203A" w14:textId="77777777" w:rsidR="0061569D" w:rsidRDefault="006156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E01A" w14:textId="77777777" w:rsidR="00B30A6C" w:rsidRDefault="00B30A6C" w:rsidP="00521BCF">
    <w:pPr>
      <w:pStyle w:val="ACMAInConfidence"/>
    </w:pPr>
  </w:p>
  <w:p w14:paraId="7EE302CF" w14:textId="77777777" w:rsidR="0061569D" w:rsidRPr="005F22AA" w:rsidRDefault="004D4EEE" w:rsidP="005F22AA">
    <w:pPr>
      <w:pStyle w:val="ACMAHeaderGraphicSpace"/>
    </w:pPr>
    <w:r>
      <w:rPr>
        <w:noProof/>
      </w:rPr>
      <w:drawing>
        <wp:inline distT="0" distB="0" distL="0" distR="0" wp14:anchorId="60CDDA6B" wp14:editId="54411C80">
          <wp:extent cx="5874532" cy="540000"/>
          <wp:effectExtent l="0" t="0" r="0" b="0"/>
          <wp:docPr id="14" name="Picture 14"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5874532"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E65"/>
    <w:multiLevelType w:val="hybridMultilevel"/>
    <w:tmpl w:val="38E0578C"/>
    <w:lvl w:ilvl="0" w:tplc="6D8C0A5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722E5F"/>
    <w:multiLevelType w:val="hybridMultilevel"/>
    <w:tmpl w:val="426CA0E6"/>
    <w:lvl w:ilvl="0" w:tplc="2E0CFCDE">
      <w:start w:val="1"/>
      <w:numFmt w:val="bullet"/>
      <w:lvlText w:val=""/>
      <w:lvlJc w:val="left"/>
      <w:pPr>
        <w:ind w:left="1440" w:hanging="360"/>
      </w:pPr>
      <w:rPr>
        <w:rFonts w:ascii="Symbol" w:hAnsi="Symbol"/>
      </w:rPr>
    </w:lvl>
    <w:lvl w:ilvl="1" w:tplc="6FC0A9D0">
      <w:start w:val="1"/>
      <w:numFmt w:val="bullet"/>
      <w:lvlText w:val=""/>
      <w:lvlJc w:val="left"/>
      <w:pPr>
        <w:ind w:left="1440" w:hanging="360"/>
      </w:pPr>
      <w:rPr>
        <w:rFonts w:ascii="Symbol" w:hAnsi="Symbol"/>
      </w:rPr>
    </w:lvl>
    <w:lvl w:ilvl="2" w:tplc="3EB04DDA">
      <w:start w:val="1"/>
      <w:numFmt w:val="bullet"/>
      <w:lvlText w:val=""/>
      <w:lvlJc w:val="left"/>
      <w:pPr>
        <w:ind w:left="1440" w:hanging="360"/>
      </w:pPr>
      <w:rPr>
        <w:rFonts w:ascii="Symbol" w:hAnsi="Symbol"/>
      </w:rPr>
    </w:lvl>
    <w:lvl w:ilvl="3" w:tplc="329C0820">
      <w:start w:val="1"/>
      <w:numFmt w:val="bullet"/>
      <w:lvlText w:val=""/>
      <w:lvlJc w:val="left"/>
      <w:pPr>
        <w:ind w:left="1440" w:hanging="360"/>
      </w:pPr>
      <w:rPr>
        <w:rFonts w:ascii="Symbol" w:hAnsi="Symbol"/>
      </w:rPr>
    </w:lvl>
    <w:lvl w:ilvl="4" w:tplc="FB7EC920">
      <w:start w:val="1"/>
      <w:numFmt w:val="bullet"/>
      <w:lvlText w:val=""/>
      <w:lvlJc w:val="left"/>
      <w:pPr>
        <w:ind w:left="1440" w:hanging="360"/>
      </w:pPr>
      <w:rPr>
        <w:rFonts w:ascii="Symbol" w:hAnsi="Symbol"/>
      </w:rPr>
    </w:lvl>
    <w:lvl w:ilvl="5" w:tplc="71B248FA">
      <w:start w:val="1"/>
      <w:numFmt w:val="bullet"/>
      <w:lvlText w:val=""/>
      <w:lvlJc w:val="left"/>
      <w:pPr>
        <w:ind w:left="1440" w:hanging="360"/>
      </w:pPr>
      <w:rPr>
        <w:rFonts w:ascii="Symbol" w:hAnsi="Symbol"/>
      </w:rPr>
    </w:lvl>
    <w:lvl w:ilvl="6" w:tplc="FD6E093A">
      <w:start w:val="1"/>
      <w:numFmt w:val="bullet"/>
      <w:lvlText w:val=""/>
      <w:lvlJc w:val="left"/>
      <w:pPr>
        <w:ind w:left="1440" w:hanging="360"/>
      </w:pPr>
      <w:rPr>
        <w:rFonts w:ascii="Symbol" w:hAnsi="Symbol"/>
      </w:rPr>
    </w:lvl>
    <w:lvl w:ilvl="7" w:tplc="6D4C5A18">
      <w:start w:val="1"/>
      <w:numFmt w:val="bullet"/>
      <w:lvlText w:val=""/>
      <w:lvlJc w:val="left"/>
      <w:pPr>
        <w:ind w:left="1440" w:hanging="360"/>
      </w:pPr>
      <w:rPr>
        <w:rFonts w:ascii="Symbol" w:hAnsi="Symbol"/>
      </w:rPr>
    </w:lvl>
    <w:lvl w:ilvl="8" w:tplc="E6D6584C">
      <w:start w:val="1"/>
      <w:numFmt w:val="bullet"/>
      <w:lvlText w:val=""/>
      <w:lvlJc w:val="left"/>
      <w:pPr>
        <w:ind w:left="1440" w:hanging="360"/>
      </w:pPr>
      <w:rPr>
        <w:rFonts w:ascii="Symbol" w:hAnsi="Symbol"/>
      </w:rPr>
    </w:lvl>
  </w:abstractNum>
  <w:abstractNum w:abstractNumId="2" w15:restartNumberingAfterBreak="0">
    <w:nsid w:val="06687CDC"/>
    <w:multiLevelType w:val="hybridMultilevel"/>
    <w:tmpl w:val="A41C6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0F53B5"/>
    <w:multiLevelType w:val="hybridMultilevel"/>
    <w:tmpl w:val="012C46F2"/>
    <w:lvl w:ilvl="0" w:tplc="17244512">
      <w:start w:val="1"/>
      <w:numFmt w:val="decimal"/>
      <w:lvlText w:val="%1."/>
      <w:lvlJc w:val="left"/>
      <w:pPr>
        <w:ind w:left="720" w:hanging="360"/>
      </w:pPr>
      <w:rPr>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5A012C"/>
    <w:multiLevelType w:val="hybridMultilevel"/>
    <w:tmpl w:val="6C6036D2"/>
    <w:lvl w:ilvl="0" w:tplc="686EC992">
      <w:start w:val="1"/>
      <w:numFmt w:val="bullet"/>
      <w:lvlText w:val=""/>
      <w:lvlJc w:val="left"/>
      <w:pPr>
        <w:ind w:left="720" w:hanging="360"/>
      </w:pPr>
      <w:rPr>
        <w:rFonts w:ascii="Symbol" w:hAnsi="Symbol"/>
      </w:rPr>
    </w:lvl>
    <w:lvl w:ilvl="1" w:tplc="970AD54C">
      <w:start w:val="1"/>
      <w:numFmt w:val="bullet"/>
      <w:lvlText w:val=""/>
      <w:lvlJc w:val="left"/>
      <w:pPr>
        <w:ind w:left="720" w:hanging="360"/>
      </w:pPr>
      <w:rPr>
        <w:rFonts w:ascii="Symbol" w:hAnsi="Symbol"/>
      </w:rPr>
    </w:lvl>
    <w:lvl w:ilvl="2" w:tplc="72A0D9EC">
      <w:start w:val="1"/>
      <w:numFmt w:val="bullet"/>
      <w:lvlText w:val=""/>
      <w:lvlJc w:val="left"/>
      <w:pPr>
        <w:ind w:left="720" w:hanging="360"/>
      </w:pPr>
      <w:rPr>
        <w:rFonts w:ascii="Symbol" w:hAnsi="Symbol"/>
      </w:rPr>
    </w:lvl>
    <w:lvl w:ilvl="3" w:tplc="EF4CE37A">
      <w:start w:val="1"/>
      <w:numFmt w:val="bullet"/>
      <w:lvlText w:val=""/>
      <w:lvlJc w:val="left"/>
      <w:pPr>
        <w:ind w:left="720" w:hanging="360"/>
      </w:pPr>
      <w:rPr>
        <w:rFonts w:ascii="Symbol" w:hAnsi="Symbol"/>
      </w:rPr>
    </w:lvl>
    <w:lvl w:ilvl="4" w:tplc="6586494E">
      <w:start w:val="1"/>
      <w:numFmt w:val="bullet"/>
      <w:lvlText w:val=""/>
      <w:lvlJc w:val="left"/>
      <w:pPr>
        <w:ind w:left="720" w:hanging="360"/>
      </w:pPr>
      <w:rPr>
        <w:rFonts w:ascii="Symbol" w:hAnsi="Symbol"/>
      </w:rPr>
    </w:lvl>
    <w:lvl w:ilvl="5" w:tplc="9694358C">
      <w:start w:val="1"/>
      <w:numFmt w:val="bullet"/>
      <w:lvlText w:val=""/>
      <w:lvlJc w:val="left"/>
      <w:pPr>
        <w:ind w:left="720" w:hanging="360"/>
      </w:pPr>
      <w:rPr>
        <w:rFonts w:ascii="Symbol" w:hAnsi="Symbol"/>
      </w:rPr>
    </w:lvl>
    <w:lvl w:ilvl="6" w:tplc="B7B6500C">
      <w:start w:val="1"/>
      <w:numFmt w:val="bullet"/>
      <w:lvlText w:val=""/>
      <w:lvlJc w:val="left"/>
      <w:pPr>
        <w:ind w:left="720" w:hanging="360"/>
      </w:pPr>
      <w:rPr>
        <w:rFonts w:ascii="Symbol" w:hAnsi="Symbol"/>
      </w:rPr>
    </w:lvl>
    <w:lvl w:ilvl="7" w:tplc="5018116C">
      <w:start w:val="1"/>
      <w:numFmt w:val="bullet"/>
      <w:lvlText w:val=""/>
      <w:lvlJc w:val="left"/>
      <w:pPr>
        <w:ind w:left="720" w:hanging="360"/>
      </w:pPr>
      <w:rPr>
        <w:rFonts w:ascii="Symbol" w:hAnsi="Symbol"/>
      </w:rPr>
    </w:lvl>
    <w:lvl w:ilvl="8" w:tplc="C9C28E5A">
      <w:start w:val="1"/>
      <w:numFmt w:val="bullet"/>
      <w:lvlText w:val=""/>
      <w:lvlJc w:val="left"/>
      <w:pPr>
        <w:ind w:left="720" w:hanging="360"/>
      </w:pPr>
      <w:rPr>
        <w:rFonts w:ascii="Symbol" w:hAnsi="Symbol"/>
      </w:rPr>
    </w:lvl>
  </w:abstractNum>
  <w:abstractNum w:abstractNumId="5" w15:restartNumberingAfterBreak="0">
    <w:nsid w:val="130A2553"/>
    <w:multiLevelType w:val="hybridMultilevel"/>
    <w:tmpl w:val="1F742834"/>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start w:val="1"/>
      <w:numFmt w:val="bullet"/>
      <w:lvlText w:val="o"/>
      <w:lvlJc w:val="left"/>
      <w:pPr>
        <w:ind w:left="3954" w:hanging="360"/>
      </w:pPr>
      <w:rPr>
        <w:rFonts w:ascii="Courier New" w:hAnsi="Courier New" w:cs="Courier New" w:hint="default"/>
      </w:rPr>
    </w:lvl>
    <w:lvl w:ilvl="5" w:tplc="0C090005">
      <w:start w:val="1"/>
      <w:numFmt w:val="bullet"/>
      <w:lvlText w:val=""/>
      <w:lvlJc w:val="left"/>
      <w:pPr>
        <w:ind w:left="4674" w:hanging="360"/>
      </w:pPr>
      <w:rPr>
        <w:rFonts w:ascii="Wingdings" w:hAnsi="Wingdings" w:hint="default"/>
      </w:rPr>
    </w:lvl>
    <w:lvl w:ilvl="6" w:tplc="0C090001">
      <w:start w:val="1"/>
      <w:numFmt w:val="bullet"/>
      <w:lvlText w:val=""/>
      <w:lvlJc w:val="left"/>
      <w:pPr>
        <w:ind w:left="5394" w:hanging="360"/>
      </w:pPr>
      <w:rPr>
        <w:rFonts w:ascii="Symbol" w:hAnsi="Symbol" w:hint="default"/>
      </w:rPr>
    </w:lvl>
    <w:lvl w:ilvl="7" w:tplc="0C090003">
      <w:start w:val="1"/>
      <w:numFmt w:val="bullet"/>
      <w:lvlText w:val="o"/>
      <w:lvlJc w:val="left"/>
      <w:pPr>
        <w:ind w:left="6114" w:hanging="360"/>
      </w:pPr>
      <w:rPr>
        <w:rFonts w:ascii="Courier New" w:hAnsi="Courier New" w:cs="Courier New" w:hint="default"/>
      </w:rPr>
    </w:lvl>
    <w:lvl w:ilvl="8" w:tplc="0C090005">
      <w:start w:val="1"/>
      <w:numFmt w:val="bullet"/>
      <w:lvlText w:val=""/>
      <w:lvlJc w:val="left"/>
      <w:pPr>
        <w:ind w:left="6834" w:hanging="360"/>
      </w:pPr>
      <w:rPr>
        <w:rFonts w:ascii="Wingdings" w:hAnsi="Wingdings" w:hint="default"/>
      </w:rPr>
    </w:lvl>
  </w:abstractNum>
  <w:abstractNum w:abstractNumId="6" w15:restartNumberingAfterBreak="0">
    <w:nsid w:val="140D77FB"/>
    <w:multiLevelType w:val="hybridMultilevel"/>
    <w:tmpl w:val="35EE63EE"/>
    <w:lvl w:ilvl="0" w:tplc="0C09001B">
      <w:start w:val="1"/>
      <w:numFmt w:val="lowerRoman"/>
      <w:lvlText w:val="%1."/>
      <w:lvlJc w:val="right"/>
      <w:pPr>
        <w:ind w:left="1074" w:hanging="360"/>
      </w:pPr>
    </w:lvl>
    <w:lvl w:ilvl="1" w:tplc="FFFFFFFF">
      <w:start w:val="1"/>
      <w:numFmt w:val="lowerLetter"/>
      <w:lvlText w:val="%2."/>
      <w:lvlJc w:val="left"/>
      <w:pPr>
        <w:ind w:left="1794" w:hanging="360"/>
      </w:pPr>
    </w:lvl>
    <w:lvl w:ilvl="2" w:tplc="FFFFFFFF" w:tentative="1">
      <w:start w:val="1"/>
      <w:numFmt w:val="lowerRoman"/>
      <w:lvlText w:val="%3."/>
      <w:lvlJc w:val="right"/>
      <w:pPr>
        <w:ind w:left="2514" w:hanging="180"/>
      </w:pPr>
    </w:lvl>
    <w:lvl w:ilvl="3" w:tplc="FFFFFFFF" w:tentative="1">
      <w:start w:val="1"/>
      <w:numFmt w:val="decimal"/>
      <w:lvlText w:val="%4."/>
      <w:lvlJc w:val="left"/>
      <w:pPr>
        <w:ind w:left="3234" w:hanging="360"/>
      </w:pPr>
    </w:lvl>
    <w:lvl w:ilvl="4" w:tplc="FFFFFFFF" w:tentative="1">
      <w:start w:val="1"/>
      <w:numFmt w:val="lowerLetter"/>
      <w:lvlText w:val="%5."/>
      <w:lvlJc w:val="left"/>
      <w:pPr>
        <w:ind w:left="3954" w:hanging="360"/>
      </w:pPr>
    </w:lvl>
    <w:lvl w:ilvl="5" w:tplc="FFFFFFFF" w:tentative="1">
      <w:start w:val="1"/>
      <w:numFmt w:val="lowerRoman"/>
      <w:lvlText w:val="%6."/>
      <w:lvlJc w:val="right"/>
      <w:pPr>
        <w:ind w:left="4674" w:hanging="180"/>
      </w:pPr>
    </w:lvl>
    <w:lvl w:ilvl="6" w:tplc="FFFFFFFF" w:tentative="1">
      <w:start w:val="1"/>
      <w:numFmt w:val="decimal"/>
      <w:lvlText w:val="%7."/>
      <w:lvlJc w:val="left"/>
      <w:pPr>
        <w:ind w:left="5394" w:hanging="360"/>
      </w:pPr>
    </w:lvl>
    <w:lvl w:ilvl="7" w:tplc="FFFFFFFF" w:tentative="1">
      <w:start w:val="1"/>
      <w:numFmt w:val="lowerLetter"/>
      <w:lvlText w:val="%8."/>
      <w:lvlJc w:val="left"/>
      <w:pPr>
        <w:ind w:left="6114" w:hanging="360"/>
      </w:pPr>
    </w:lvl>
    <w:lvl w:ilvl="8" w:tplc="FFFFFFFF" w:tentative="1">
      <w:start w:val="1"/>
      <w:numFmt w:val="lowerRoman"/>
      <w:lvlText w:val="%9."/>
      <w:lvlJc w:val="right"/>
      <w:pPr>
        <w:ind w:left="6834" w:hanging="180"/>
      </w:pPr>
    </w:lvl>
  </w:abstractNum>
  <w:abstractNum w:abstractNumId="7" w15:restartNumberingAfterBreak="0">
    <w:nsid w:val="14B804C2"/>
    <w:multiLevelType w:val="hybridMultilevel"/>
    <w:tmpl w:val="708E97C6"/>
    <w:lvl w:ilvl="0" w:tplc="0C090017">
      <w:start w:val="1"/>
      <w:numFmt w:val="lowerLetter"/>
      <w:lvlText w:val="%1)"/>
      <w:lvlJc w:val="left"/>
      <w:pPr>
        <w:ind w:left="1074" w:hanging="360"/>
      </w:p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8" w15:restartNumberingAfterBreak="0">
    <w:nsid w:val="243B2D54"/>
    <w:multiLevelType w:val="hybridMultilevel"/>
    <w:tmpl w:val="569CF8A2"/>
    <w:lvl w:ilvl="0" w:tplc="BF7C6A0C">
      <w:start w:val="1"/>
      <w:numFmt w:val="bullet"/>
      <w:lvlText w:val="&gt;"/>
      <w:lvlJc w:val="left"/>
      <w:pPr>
        <w:ind w:left="360" w:hanging="360"/>
      </w:pPr>
      <w:rPr>
        <w:rFonts w:ascii="Arial" w:hAnsi="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B5879A8"/>
    <w:multiLevelType w:val="hybridMultilevel"/>
    <w:tmpl w:val="5778F9D4"/>
    <w:lvl w:ilvl="0" w:tplc="44EEC084">
      <w:start w:val="1"/>
      <w:numFmt w:val="bullet"/>
      <w:lvlText w:val="&gt;"/>
      <w:lvlJc w:val="left"/>
      <w:pPr>
        <w:ind w:left="1080" w:hanging="360"/>
      </w:pPr>
      <w:rPr>
        <w:rFonts w:ascii="HelveticaNeueLT Std" w:hAnsi="HelveticaNeueLT Std"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2F5A5080"/>
    <w:multiLevelType w:val="hybridMultilevel"/>
    <w:tmpl w:val="58B0F0D6"/>
    <w:lvl w:ilvl="0" w:tplc="EFE81832">
      <w:start w:val="1"/>
      <w:numFmt w:val="bullet"/>
      <w:pStyle w:val="ACMABulletLevel1"/>
      <w:lvlText w:val="&gt;"/>
      <w:lvlJc w:val="left"/>
      <w:pPr>
        <w:ind w:left="360" w:hanging="360"/>
      </w:pPr>
      <w:rPr>
        <w:rFonts w:ascii="HelveticaNeueLT Std" w:hAnsi="HelveticaNeueLT Std"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1" w15:restartNumberingAfterBreak="0">
    <w:nsid w:val="30AA16A3"/>
    <w:multiLevelType w:val="hybridMultilevel"/>
    <w:tmpl w:val="331AC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580159"/>
    <w:multiLevelType w:val="hybridMultilevel"/>
    <w:tmpl w:val="5EE4B3B6"/>
    <w:lvl w:ilvl="0" w:tplc="0C09001B">
      <w:start w:val="1"/>
      <w:numFmt w:val="lowerRoman"/>
      <w:lvlText w:val="%1."/>
      <w:lvlJc w:val="right"/>
      <w:pPr>
        <w:ind w:left="1079" w:hanging="360"/>
      </w:pPr>
      <w:rPr>
        <w:rFonts w:hint="default"/>
      </w:rPr>
    </w:lvl>
    <w:lvl w:ilvl="1" w:tplc="0C090019" w:tentative="1">
      <w:start w:val="1"/>
      <w:numFmt w:val="lowerLetter"/>
      <w:lvlText w:val="%2."/>
      <w:lvlJc w:val="left"/>
      <w:pPr>
        <w:ind w:left="1799" w:hanging="360"/>
      </w:pPr>
    </w:lvl>
    <w:lvl w:ilvl="2" w:tplc="0C09001B" w:tentative="1">
      <w:start w:val="1"/>
      <w:numFmt w:val="lowerRoman"/>
      <w:lvlText w:val="%3."/>
      <w:lvlJc w:val="right"/>
      <w:pPr>
        <w:ind w:left="2519" w:hanging="180"/>
      </w:pPr>
    </w:lvl>
    <w:lvl w:ilvl="3" w:tplc="0C09000F" w:tentative="1">
      <w:start w:val="1"/>
      <w:numFmt w:val="decimal"/>
      <w:lvlText w:val="%4."/>
      <w:lvlJc w:val="left"/>
      <w:pPr>
        <w:ind w:left="3239" w:hanging="360"/>
      </w:pPr>
    </w:lvl>
    <w:lvl w:ilvl="4" w:tplc="0C090019" w:tentative="1">
      <w:start w:val="1"/>
      <w:numFmt w:val="lowerLetter"/>
      <w:lvlText w:val="%5."/>
      <w:lvlJc w:val="left"/>
      <w:pPr>
        <w:ind w:left="3959" w:hanging="360"/>
      </w:pPr>
    </w:lvl>
    <w:lvl w:ilvl="5" w:tplc="0C09001B" w:tentative="1">
      <w:start w:val="1"/>
      <w:numFmt w:val="lowerRoman"/>
      <w:lvlText w:val="%6."/>
      <w:lvlJc w:val="right"/>
      <w:pPr>
        <w:ind w:left="4679" w:hanging="180"/>
      </w:pPr>
    </w:lvl>
    <w:lvl w:ilvl="6" w:tplc="0C09000F" w:tentative="1">
      <w:start w:val="1"/>
      <w:numFmt w:val="decimal"/>
      <w:lvlText w:val="%7."/>
      <w:lvlJc w:val="left"/>
      <w:pPr>
        <w:ind w:left="5399" w:hanging="360"/>
      </w:pPr>
    </w:lvl>
    <w:lvl w:ilvl="7" w:tplc="0C090019" w:tentative="1">
      <w:start w:val="1"/>
      <w:numFmt w:val="lowerLetter"/>
      <w:lvlText w:val="%8."/>
      <w:lvlJc w:val="left"/>
      <w:pPr>
        <w:ind w:left="6119" w:hanging="360"/>
      </w:pPr>
    </w:lvl>
    <w:lvl w:ilvl="8" w:tplc="0C09001B" w:tentative="1">
      <w:start w:val="1"/>
      <w:numFmt w:val="lowerRoman"/>
      <w:lvlText w:val="%9."/>
      <w:lvlJc w:val="right"/>
      <w:pPr>
        <w:ind w:left="6839" w:hanging="180"/>
      </w:pPr>
    </w:lvl>
  </w:abstractNum>
  <w:abstractNum w:abstractNumId="13" w15:restartNumberingAfterBreak="0">
    <w:nsid w:val="348A5D4B"/>
    <w:multiLevelType w:val="hybridMultilevel"/>
    <w:tmpl w:val="92C648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F502F2"/>
    <w:multiLevelType w:val="hybridMultilevel"/>
    <w:tmpl w:val="A7EEFA1A"/>
    <w:lvl w:ilvl="0" w:tplc="6D8C0A5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70100B"/>
    <w:multiLevelType w:val="hybridMultilevel"/>
    <w:tmpl w:val="684A808E"/>
    <w:lvl w:ilvl="0" w:tplc="C58E7DC4">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EFA37E2"/>
    <w:multiLevelType w:val="hybridMultilevel"/>
    <w:tmpl w:val="FAD0C182"/>
    <w:lvl w:ilvl="0" w:tplc="0C090017">
      <w:start w:val="1"/>
      <w:numFmt w:val="lowerLetter"/>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F431F44"/>
    <w:multiLevelType w:val="hybridMultilevel"/>
    <w:tmpl w:val="3DE86CAC"/>
    <w:lvl w:ilvl="0" w:tplc="A2F4E664">
      <w:start w:val="1"/>
      <w:numFmt w:val="bullet"/>
      <w:lvlText w:val=""/>
      <w:lvlJc w:val="left"/>
      <w:pPr>
        <w:ind w:left="1440" w:hanging="360"/>
      </w:pPr>
      <w:rPr>
        <w:rFonts w:ascii="Symbol" w:hAnsi="Symbol"/>
      </w:rPr>
    </w:lvl>
    <w:lvl w:ilvl="1" w:tplc="331ADEC2">
      <w:start w:val="1"/>
      <w:numFmt w:val="bullet"/>
      <w:lvlText w:val=""/>
      <w:lvlJc w:val="left"/>
      <w:pPr>
        <w:ind w:left="1440" w:hanging="360"/>
      </w:pPr>
      <w:rPr>
        <w:rFonts w:ascii="Symbol" w:hAnsi="Symbol"/>
      </w:rPr>
    </w:lvl>
    <w:lvl w:ilvl="2" w:tplc="72E2C286">
      <w:start w:val="1"/>
      <w:numFmt w:val="bullet"/>
      <w:lvlText w:val=""/>
      <w:lvlJc w:val="left"/>
      <w:pPr>
        <w:ind w:left="1440" w:hanging="360"/>
      </w:pPr>
      <w:rPr>
        <w:rFonts w:ascii="Symbol" w:hAnsi="Symbol"/>
      </w:rPr>
    </w:lvl>
    <w:lvl w:ilvl="3" w:tplc="359E3756">
      <w:start w:val="1"/>
      <w:numFmt w:val="bullet"/>
      <w:lvlText w:val=""/>
      <w:lvlJc w:val="left"/>
      <w:pPr>
        <w:ind w:left="1440" w:hanging="360"/>
      </w:pPr>
      <w:rPr>
        <w:rFonts w:ascii="Symbol" w:hAnsi="Symbol"/>
      </w:rPr>
    </w:lvl>
    <w:lvl w:ilvl="4" w:tplc="289414C0">
      <w:start w:val="1"/>
      <w:numFmt w:val="bullet"/>
      <w:lvlText w:val=""/>
      <w:lvlJc w:val="left"/>
      <w:pPr>
        <w:ind w:left="1440" w:hanging="360"/>
      </w:pPr>
      <w:rPr>
        <w:rFonts w:ascii="Symbol" w:hAnsi="Symbol"/>
      </w:rPr>
    </w:lvl>
    <w:lvl w:ilvl="5" w:tplc="78A49784">
      <w:start w:val="1"/>
      <w:numFmt w:val="bullet"/>
      <w:lvlText w:val=""/>
      <w:lvlJc w:val="left"/>
      <w:pPr>
        <w:ind w:left="1440" w:hanging="360"/>
      </w:pPr>
      <w:rPr>
        <w:rFonts w:ascii="Symbol" w:hAnsi="Symbol"/>
      </w:rPr>
    </w:lvl>
    <w:lvl w:ilvl="6" w:tplc="3A3C8690">
      <w:start w:val="1"/>
      <w:numFmt w:val="bullet"/>
      <w:lvlText w:val=""/>
      <w:lvlJc w:val="left"/>
      <w:pPr>
        <w:ind w:left="1440" w:hanging="360"/>
      </w:pPr>
      <w:rPr>
        <w:rFonts w:ascii="Symbol" w:hAnsi="Symbol"/>
      </w:rPr>
    </w:lvl>
    <w:lvl w:ilvl="7" w:tplc="E214A952">
      <w:start w:val="1"/>
      <w:numFmt w:val="bullet"/>
      <w:lvlText w:val=""/>
      <w:lvlJc w:val="left"/>
      <w:pPr>
        <w:ind w:left="1440" w:hanging="360"/>
      </w:pPr>
      <w:rPr>
        <w:rFonts w:ascii="Symbol" w:hAnsi="Symbol"/>
      </w:rPr>
    </w:lvl>
    <w:lvl w:ilvl="8" w:tplc="3B6605B6">
      <w:start w:val="1"/>
      <w:numFmt w:val="bullet"/>
      <w:lvlText w:val=""/>
      <w:lvlJc w:val="left"/>
      <w:pPr>
        <w:ind w:left="1440" w:hanging="360"/>
      </w:pPr>
      <w:rPr>
        <w:rFonts w:ascii="Symbol" w:hAnsi="Symbol"/>
      </w:rPr>
    </w:lvl>
  </w:abstractNum>
  <w:abstractNum w:abstractNumId="18" w15:restartNumberingAfterBreak="0">
    <w:nsid w:val="42AF0895"/>
    <w:multiLevelType w:val="hybridMultilevel"/>
    <w:tmpl w:val="4F76B0D8"/>
    <w:lvl w:ilvl="0" w:tplc="728E1656">
      <w:start w:val="1"/>
      <w:numFmt w:val="bullet"/>
      <w:lvlText w:val="&gt;"/>
      <w:lvlJc w:val="left"/>
      <w:pPr>
        <w:ind w:left="360" w:hanging="360"/>
      </w:pPr>
      <w:rPr>
        <w:rFonts w:ascii="Arial" w:hAnsi="Arial" w:hint="default"/>
        <w:sz w:val="20"/>
      </w:rPr>
    </w:lvl>
    <w:lvl w:ilvl="1" w:tplc="36605D14">
      <w:start w:val="1"/>
      <w:numFmt w:val="bullet"/>
      <w:lvlText w:val="o"/>
      <w:lvlJc w:val="left"/>
      <w:pPr>
        <w:ind w:left="1080" w:hanging="360"/>
      </w:pPr>
      <w:rPr>
        <w:rFonts w:ascii="Courier New" w:hAnsi="Courier New" w:cs="Courier New" w:hint="default"/>
      </w:rPr>
    </w:lvl>
    <w:lvl w:ilvl="2" w:tplc="5C84BBCE" w:tentative="1">
      <w:start w:val="1"/>
      <w:numFmt w:val="bullet"/>
      <w:lvlText w:val=""/>
      <w:lvlJc w:val="left"/>
      <w:pPr>
        <w:ind w:left="1800" w:hanging="360"/>
      </w:pPr>
      <w:rPr>
        <w:rFonts w:ascii="Wingdings" w:hAnsi="Wingdings" w:hint="default"/>
      </w:rPr>
    </w:lvl>
    <w:lvl w:ilvl="3" w:tplc="84C2819E" w:tentative="1">
      <w:start w:val="1"/>
      <w:numFmt w:val="bullet"/>
      <w:lvlText w:val=""/>
      <w:lvlJc w:val="left"/>
      <w:pPr>
        <w:ind w:left="2520" w:hanging="360"/>
      </w:pPr>
      <w:rPr>
        <w:rFonts w:ascii="Symbol" w:hAnsi="Symbol" w:hint="default"/>
      </w:rPr>
    </w:lvl>
    <w:lvl w:ilvl="4" w:tplc="F9E0ABD4" w:tentative="1">
      <w:start w:val="1"/>
      <w:numFmt w:val="bullet"/>
      <w:lvlText w:val="o"/>
      <w:lvlJc w:val="left"/>
      <w:pPr>
        <w:ind w:left="3240" w:hanging="360"/>
      </w:pPr>
      <w:rPr>
        <w:rFonts w:ascii="Courier New" w:hAnsi="Courier New" w:cs="Courier New" w:hint="default"/>
      </w:rPr>
    </w:lvl>
    <w:lvl w:ilvl="5" w:tplc="55703958" w:tentative="1">
      <w:start w:val="1"/>
      <w:numFmt w:val="bullet"/>
      <w:lvlText w:val=""/>
      <w:lvlJc w:val="left"/>
      <w:pPr>
        <w:ind w:left="3960" w:hanging="360"/>
      </w:pPr>
      <w:rPr>
        <w:rFonts w:ascii="Wingdings" w:hAnsi="Wingdings" w:hint="default"/>
      </w:rPr>
    </w:lvl>
    <w:lvl w:ilvl="6" w:tplc="70AABE10" w:tentative="1">
      <w:start w:val="1"/>
      <w:numFmt w:val="bullet"/>
      <w:lvlText w:val=""/>
      <w:lvlJc w:val="left"/>
      <w:pPr>
        <w:ind w:left="4680" w:hanging="360"/>
      </w:pPr>
      <w:rPr>
        <w:rFonts w:ascii="Symbol" w:hAnsi="Symbol" w:hint="default"/>
      </w:rPr>
    </w:lvl>
    <w:lvl w:ilvl="7" w:tplc="00F650B2" w:tentative="1">
      <w:start w:val="1"/>
      <w:numFmt w:val="bullet"/>
      <w:lvlText w:val="o"/>
      <w:lvlJc w:val="left"/>
      <w:pPr>
        <w:ind w:left="5400" w:hanging="360"/>
      </w:pPr>
      <w:rPr>
        <w:rFonts w:ascii="Courier New" w:hAnsi="Courier New" w:cs="Courier New" w:hint="default"/>
      </w:rPr>
    </w:lvl>
    <w:lvl w:ilvl="8" w:tplc="54B05FD4" w:tentative="1">
      <w:start w:val="1"/>
      <w:numFmt w:val="bullet"/>
      <w:lvlText w:val=""/>
      <w:lvlJc w:val="left"/>
      <w:pPr>
        <w:ind w:left="6120" w:hanging="360"/>
      </w:pPr>
      <w:rPr>
        <w:rFonts w:ascii="Wingdings" w:hAnsi="Wingdings" w:hint="default"/>
      </w:rPr>
    </w:lvl>
  </w:abstractNum>
  <w:abstractNum w:abstractNumId="19" w15:restartNumberingAfterBreak="0">
    <w:nsid w:val="440B2586"/>
    <w:multiLevelType w:val="hybridMultilevel"/>
    <w:tmpl w:val="2180A0D2"/>
    <w:lvl w:ilvl="0" w:tplc="1222F222">
      <w:start w:val="1"/>
      <w:numFmt w:val="decimal"/>
      <w:lvlText w:val="%1."/>
      <w:lvlJc w:val="left"/>
      <w:pPr>
        <w:ind w:left="360" w:hanging="360"/>
      </w:pPr>
      <w:rPr>
        <w:rFonts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ED16D72"/>
    <w:multiLevelType w:val="hybridMultilevel"/>
    <w:tmpl w:val="EF869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131E00"/>
    <w:multiLevelType w:val="hybridMultilevel"/>
    <w:tmpl w:val="3D540CB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5DE60C6F"/>
    <w:multiLevelType w:val="hybridMultilevel"/>
    <w:tmpl w:val="C7742958"/>
    <w:lvl w:ilvl="0" w:tplc="6D8C0A58">
      <w:start w:val="1"/>
      <w:numFmt w:val="bullet"/>
      <w:lvlText w:val=""/>
      <w:lvlJc w:val="left"/>
      <w:pPr>
        <w:ind w:left="720" w:hanging="360"/>
      </w:pPr>
      <w:rPr>
        <w:rFonts w:ascii="Symbol" w:hAnsi="Symbol" w:hint="default"/>
      </w:rPr>
    </w:lvl>
    <w:lvl w:ilvl="1" w:tplc="67048782">
      <w:start w:val="1"/>
      <w:numFmt w:val="bullet"/>
      <w:pStyle w:val="ACMABulletLevel2"/>
      <w:lvlText w:val="&gt;"/>
      <w:lvlJc w:val="left"/>
      <w:pPr>
        <w:ind w:left="1440" w:hanging="360"/>
      </w:pPr>
      <w:rPr>
        <w:rFonts w:ascii="HelveticaNeueLT Std" w:hAnsi="HelveticaNeueLT Std"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F73851"/>
    <w:multiLevelType w:val="hybridMultilevel"/>
    <w:tmpl w:val="FE7EC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4A0DA7"/>
    <w:multiLevelType w:val="hybridMultilevel"/>
    <w:tmpl w:val="F7C60E36"/>
    <w:lvl w:ilvl="0" w:tplc="BF7C6A0C">
      <w:start w:val="1"/>
      <w:numFmt w:val="bullet"/>
      <w:lvlText w:val="&gt;"/>
      <w:lvlJc w:val="left"/>
      <w:pPr>
        <w:ind w:left="774" w:hanging="360"/>
      </w:pPr>
      <w:rPr>
        <w:rFonts w:ascii="Arial" w:hAnsi="Aria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5" w15:restartNumberingAfterBreak="0">
    <w:nsid w:val="695E0809"/>
    <w:multiLevelType w:val="hybridMultilevel"/>
    <w:tmpl w:val="FDB2305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ED77E5C"/>
    <w:multiLevelType w:val="hybridMultilevel"/>
    <w:tmpl w:val="E1C28CE6"/>
    <w:lvl w:ilvl="0" w:tplc="C19C1E60">
      <w:start w:val="1"/>
      <w:numFmt w:val="bullet"/>
      <w:lvlText w:val=""/>
      <w:lvlJc w:val="left"/>
      <w:pPr>
        <w:ind w:left="720" w:hanging="360"/>
      </w:pPr>
      <w:rPr>
        <w:rFonts w:ascii="Symbol" w:hAnsi="Symbol"/>
      </w:rPr>
    </w:lvl>
    <w:lvl w:ilvl="1" w:tplc="896EDA86">
      <w:start w:val="1"/>
      <w:numFmt w:val="bullet"/>
      <w:lvlText w:val=""/>
      <w:lvlJc w:val="left"/>
      <w:pPr>
        <w:ind w:left="720" w:hanging="360"/>
      </w:pPr>
      <w:rPr>
        <w:rFonts w:ascii="Symbol" w:hAnsi="Symbol"/>
      </w:rPr>
    </w:lvl>
    <w:lvl w:ilvl="2" w:tplc="DC2E88E0">
      <w:start w:val="1"/>
      <w:numFmt w:val="bullet"/>
      <w:lvlText w:val=""/>
      <w:lvlJc w:val="left"/>
      <w:pPr>
        <w:ind w:left="720" w:hanging="360"/>
      </w:pPr>
      <w:rPr>
        <w:rFonts w:ascii="Symbol" w:hAnsi="Symbol"/>
      </w:rPr>
    </w:lvl>
    <w:lvl w:ilvl="3" w:tplc="5A526DAC">
      <w:start w:val="1"/>
      <w:numFmt w:val="bullet"/>
      <w:lvlText w:val=""/>
      <w:lvlJc w:val="left"/>
      <w:pPr>
        <w:ind w:left="720" w:hanging="360"/>
      </w:pPr>
      <w:rPr>
        <w:rFonts w:ascii="Symbol" w:hAnsi="Symbol"/>
      </w:rPr>
    </w:lvl>
    <w:lvl w:ilvl="4" w:tplc="DB5E42F6">
      <w:start w:val="1"/>
      <w:numFmt w:val="bullet"/>
      <w:lvlText w:val=""/>
      <w:lvlJc w:val="left"/>
      <w:pPr>
        <w:ind w:left="720" w:hanging="360"/>
      </w:pPr>
      <w:rPr>
        <w:rFonts w:ascii="Symbol" w:hAnsi="Symbol"/>
      </w:rPr>
    </w:lvl>
    <w:lvl w:ilvl="5" w:tplc="2F32F874">
      <w:start w:val="1"/>
      <w:numFmt w:val="bullet"/>
      <w:lvlText w:val=""/>
      <w:lvlJc w:val="left"/>
      <w:pPr>
        <w:ind w:left="720" w:hanging="360"/>
      </w:pPr>
      <w:rPr>
        <w:rFonts w:ascii="Symbol" w:hAnsi="Symbol"/>
      </w:rPr>
    </w:lvl>
    <w:lvl w:ilvl="6" w:tplc="40D0D128">
      <w:start w:val="1"/>
      <w:numFmt w:val="bullet"/>
      <w:lvlText w:val=""/>
      <w:lvlJc w:val="left"/>
      <w:pPr>
        <w:ind w:left="720" w:hanging="360"/>
      </w:pPr>
      <w:rPr>
        <w:rFonts w:ascii="Symbol" w:hAnsi="Symbol"/>
      </w:rPr>
    </w:lvl>
    <w:lvl w:ilvl="7" w:tplc="81A29D48">
      <w:start w:val="1"/>
      <w:numFmt w:val="bullet"/>
      <w:lvlText w:val=""/>
      <w:lvlJc w:val="left"/>
      <w:pPr>
        <w:ind w:left="720" w:hanging="360"/>
      </w:pPr>
      <w:rPr>
        <w:rFonts w:ascii="Symbol" w:hAnsi="Symbol"/>
      </w:rPr>
    </w:lvl>
    <w:lvl w:ilvl="8" w:tplc="77F0B4A6">
      <w:start w:val="1"/>
      <w:numFmt w:val="bullet"/>
      <w:lvlText w:val=""/>
      <w:lvlJc w:val="left"/>
      <w:pPr>
        <w:ind w:left="720" w:hanging="360"/>
      </w:pPr>
      <w:rPr>
        <w:rFonts w:ascii="Symbol" w:hAnsi="Symbol"/>
      </w:rPr>
    </w:lvl>
  </w:abstractNum>
  <w:abstractNum w:abstractNumId="27" w15:restartNumberingAfterBreak="0">
    <w:nsid w:val="71331275"/>
    <w:multiLevelType w:val="hybridMultilevel"/>
    <w:tmpl w:val="9566077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729476DA"/>
    <w:multiLevelType w:val="hybridMultilevel"/>
    <w:tmpl w:val="ADAEA2E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66E2B16"/>
    <w:multiLevelType w:val="hybridMultilevel"/>
    <w:tmpl w:val="49524A8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979688E"/>
    <w:multiLevelType w:val="hybridMultilevel"/>
    <w:tmpl w:val="8EC8F106"/>
    <w:lvl w:ilvl="0" w:tplc="6D8C0A5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E9A360F"/>
    <w:multiLevelType w:val="hybridMultilevel"/>
    <w:tmpl w:val="30AA6C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EC5F1A"/>
    <w:multiLevelType w:val="hybridMultilevel"/>
    <w:tmpl w:val="89F4C29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10334146">
    <w:abstractNumId w:val="10"/>
  </w:num>
  <w:num w:numId="2" w16cid:durableId="142505915">
    <w:abstractNumId w:val="22"/>
  </w:num>
  <w:num w:numId="3" w16cid:durableId="1710185335">
    <w:abstractNumId w:val="19"/>
  </w:num>
  <w:num w:numId="4" w16cid:durableId="1239828273">
    <w:abstractNumId w:val="7"/>
  </w:num>
  <w:num w:numId="5" w16cid:durableId="1989507811">
    <w:abstractNumId w:val="12"/>
  </w:num>
  <w:num w:numId="6" w16cid:durableId="88889403">
    <w:abstractNumId w:val="8"/>
  </w:num>
  <w:num w:numId="7" w16cid:durableId="2055619091">
    <w:abstractNumId w:val="23"/>
  </w:num>
  <w:num w:numId="8" w16cid:durableId="108401231">
    <w:abstractNumId w:val="31"/>
  </w:num>
  <w:num w:numId="9" w16cid:durableId="1267422341">
    <w:abstractNumId w:val="28"/>
  </w:num>
  <w:num w:numId="10" w16cid:durableId="2116558689">
    <w:abstractNumId w:val="6"/>
  </w:num>
  <w:num w:numId="11" w16cid:durableId="1362902721">
    <w:abstractNumId w:val="32"/>
  </w:num>
  <w:num w:numId="12" w16cid:durableId="64618883">
    <w:abstractNumId w:val="29"/>
  </w:num>
  <w:num w:numId="13" w16cid:durableId="281811676">
    <w:abstractNumId w:val="27"/>
  </w:num>
  <w:num w:numId="14" w16cid:durableId="1658218462">
    <w:abstractNumId w:val="21"/>
  </w:num>
  <w:num w:numId="15" w16cid:durableId="1416711105">
    <w:abstractNumId w:val="24"/>
  </w:num>
  <w:num w:numId="16" w16cid:durableId="1656110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03024408">
    <w:abstractNumId w:val="15"/>
  </w:num>
  <w:num w:numId="18" w16cid:durableId="713119101">
    <w:abstractNumId w:val="5"/>
  </w:num>
  <w:num w:numId="19" w16cid:durableId="1249921116">
    <w:abstractNumId w:val="5"/>
  </w:num>
  <w:num w:numId="20" w16cid:durableId="1867716226">
    <w:abstractNumId w:val="11"/>
  </w:num>
  <w:num w:numId="21" w16cid:durableId="1220362256">
    <w:abstractNumId w:val="25"/>
  </w:num>
  <w:num w:numId="22" w16cid:durableId="603264092">
    <w:abstractNumId w:val="20"/>
  </w:num>
  <w:num w:numId="23" w16cid:durableId="923610776">
    <w:abstractNumId w:val="13"/>
  </w:num>
  <w:num w:numId="24" w16cid:durableId="417754239">
    <w:abstractNumId w:val="2"/>
  </w:num>
  <w:num w:numId="25" w16cid:durableId="524830686">
    <w:abstractNumId w:val="3"/>
  </w:num>
  <w:num w:numId="26" w16cid:durableId="1477338590">
    <w:abstractNumId w:val="18"/>
  </w:num>
  <w:num w:numId="27" w16cid:durableId="1395930040">
    <w:abstractNumId w:val="9"/>
  </w:num>
  <w:num w:numId="28" w16cid:durableId="164133499">
    <w:abstractNumId w:val="30"/>
  </w:num>
  <w:num w:numId="29" w16cid:durableId="1191533070">
    <w:abstractNumId w:val="0"/>
  </w:num>
  <w:num w:numId="30" w16cid:durableId="650405896">
    <w:abstractNumId w:val="14"/>
  </w:num>
  <w:num w:numId="31" w16cid:durableId="1570193279">
    <w:abstractNumId w:val="26"/>
  </w:num>
  <w:num w:numId="32" w16cid:durableId="1789469235">
    <w:abstractNumId w:val="1"/>
  </w:num>
  <w:num w:numId="33" w16cid:durableId="1460034024">
    <w:abstractNumId w:val="4"/>
  </w:num>
  <w:num w:numId="34" w16cid:durableId="896669105">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spinCount="100000" w:hashValue="1KyKk7NfY8v9P4k3XflTs9MbWuAsHRxMdpA9eFxAWieA9nadzLSSwSBXcansVRiwCp0uB0MjunvkpuHvbvJY3Q==" w:saltValue="Cj9kWNVT5WIW4ymtoHP00Q==" w:algorithmName="SHA-51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0C"/>
    <w:rsid w:val="00000ABE"/>
    <w:rsid w:val="00000DFC"/>
    <w:rsid w:val="00001254"/>
    <w:rsid w:val="00003188"/>
    <w:rsid w:val="000039F1"/>
    <w:rsid w:val="00004A0E"/>
    <w:rsid w:val="0000588E"/>
    <w:rsid w:val="0000608B"/>
    <w:rsid w:val="0000661F"/>
    <w:rsid w:val="000101EF"/>
    <w:rsid w:val="00010E0F"/>
    <w:rsid w:val="000115F1"/>
    <w:rsid w:val="000118D6"/>
    <w:rsid w:val="00011966"/>
    <w:rsid w:val="000120AD"/>
    <w:rsid w:val="00013EAC"/>
    <w:rsid w:val="00014671"/>
    <w:rsid w:val="0001575E"/>
    <w:rsid w:val="0001590F"/>
    <w:rsid w:val="00020165"/>
    <w:rsid w:val="00020BC3"/>
    <w:rsid w:val="00021C53"/>
    <w:rsid w:val="00022946"/>
    <w:rsid w:val="00022C02"/>
    <w:rsid w:val="0002348C"/>
    <w:rsid w:val="0002383A"/>
    <w:rsid w:val="00025BBF"/>
    <w:rsid w:val="00026369"/>
    <w:rsid w:val="00026CEA"/>
    <w:rsid w:val="000307EE"/>
    <w:rsid w:val="00031D72"/>
    <w:rsid w:val="00032344"/>
    <w:rsid w:val="000332CF"/>
    <w:rsid w:val="000349BC"/>
    <w:rsid w:val="000358DA"/>
    <w:rsid w:val="000362C9"/>
    <w:rsid w:val="00036402"/>
    <w:rsid w:val="000370C8"/>
    <w:rsid w:val="000379C5"/>
    <w:rsid w:val="00040234"/>
    <w:rsid w:val="000407FA"/>
    <w:rsid w:val="00040946"/>
    <w:rsid w:val="00040E83"/>
    <w:rsid w:val="00042349"/>
    <w:rsid w:val="00043DE2"/>
    <w:rsid w:val="00044DA4"/>
    <w:rsid w:val="000458EC"/>
    <w:rsid w:val="00045975"/>
    <w:rsid w:val="00045AD4"/>
    <w:rsid w:val="00045AD5"/>
    <w:rsid w:val="00046225"/>
    <w:rsid w:val="00046416"/>
    <w:rsid w:val="00046E43"/>
    <w:rsid w:val="00046F71"/>
    <w:rsid w:val="000478D9"/>
    <w:rsid w:val="00053457"/>
    <w:rsid w:val="00053E9D"/>
    <w:rsid w:val="00054229"/>
    <w:rsid w:val="00054A49"/>
    <w:rsid w:val="000555E2"/>
    <w:rsid w:val="00055CE0"/>
    <w:rsid w:val="00055DCA"/>
    <w:rsid w:val="00055E19"/>
    <w:rsid w:val="000573B0"/>
    <w:rsid w:val="00057C56"/>
    <w:rsid w:val="00061CFD"/>
    <w:rsid w:val="00061F4A"/>
    <w:rsid w:val="00063712"/>
    <w:rsid w:val="00063A02"/>
    <w:rsid w:val="00063BBA"/>
    <w:rsid w:val="00064C07"/>
    <w:rsid w:val="00064E99"/>
    <w:rsid w:val="0007061D"/>
    <w:rsid w:val="0007262D"/>
    <w:rsid w:val="00072BB7"/>
    <w:rsid w:val="00072F03"/>
    <w:rsid w:val="00073405"/>
    <w:rsid w:val="00074333"/>
    <w:rsid w:val="00074535"/>
    <w:rsid w:val="00074881"/>
    <w:rsid w:val="00075039"/>
    <w:rsid w:val="00075F5D"/>
    <w:rsid w:val="000766F9"/>
    <w:rsid w:val="00076CB6"/>
    <w:rsid w:val="00077236"/>
    <w:rsid w:val="000775AB"/>
    <w:rsid w:val="0008029E"/>
    <w:rsid w:val="00080B06"/>
    <w:rsid w:val="00080FCC"/>
    <w:rsid w:val="00081DD5"/>
    <w:rsid w:val="00082C27"/>
    <w:rsid w:val="000839B0"/>
    <w:rsid w:val="000845A8"/>
    <w:rsid w:val="00084627"/>
    <w:rsid w:val="00086452"/>
    <w:rsid w:val="00086CAC"/>
    <w:rsid w:val="00090373"/>
    <w:rsid w:val="00090956"/>
    <w:rsid w:val="0009130D"/>
    <w:rsid w:val="00091331"/>
    <w:rsid w:val="00094589"/>
    <w:rsid w:val="0009672A"/>
    <w:rsid w:val="000A0747"/>
    <w:rsid w:val="000A085F"/>
    <w:rsid w:val="000A366F"/>
    <w:rsid w:val="000A5DD5"/>
    <w:rsid w:val="000A60DB"/>
    <w:rsid w:val="000A6D81"/>
    <w:rsid w:val="000A70C6"/>
    <w:rsid w:val="000A7901"/>
    <w:rsid w:val="000A7CA8"/>
    <w:rsid w:val="000B21EF"/>
    <w:rsid w:val="000B476D"/>
    <w:rsid w:val="000B660B"/>
    <w:rsid w:val="000B6BBB"/>
    <w:rsid w:val="000B7C74"/>
    <w:rsid w:val="000C136B"/>
    <w:rsid w:val="000C2996"/>
    <w:rsid w:val="000C30A8"/>
    <w:rsid w:val="000C3221"/>
    <w:rsid w:val="000C47A7"/>
    <w:rsid w:val="000C4D29"/>
    <w:rsid w:val="000C6750"/>
    <w:rsid w:val="000C758D"/>
    <w:rsid w:val="000C7B6F"/>
    <w:rsid w:val="000C7FA6"/>
    <w:rsid w:val="000D0502"/>
    <w:rsid w:val="000D1AB1"/>
    <w:rsid w:val="000D22B0"/>
    <w:rsid w:val="000D25A4"/>
    <w:rsid w:val="000D40BA"/>
    <w:rsid w:val="000D4670"/>
    <w:rsid w:val="000D4908"/>
    <w:rsid w:val="000D7167"/>
    <w:rsid w:val="000D730F"/>
    <w:rsid w:val="000E0C29"/>
    <w:rsid w:val="000E0FE1"/>
    <w:rsid w:val="000E103F"/>
    <w:rsid w:val="000E1386"/>
    <w:rsid w:val="000E198E"/>
    <w:rsid w:val="000E2094"/>
    <w:rsid w:val="000E242A"/>
    <w:rsid w:val="000E32BF"/>
    <w:rsid w:val="000E3ACD"/>
    <w:rsid w:val="000E3B02"/>
    <w:rsid w:val="000E4D9C"/>
    <w:rsid w:val="000E4F0D"/>
    <w:rsid w:val="000E551C"/>
    <w:rsid w:val="000E5F3F"/>
    <w:rsid w:val="000E654F"/>
    <w:rsid w:val="000E679B"/>
    <w:rsid w:val="000E697C"/>
    <w:rsid w:val="000E6E8C"/>
    <w:rsid w:val="000E7808"/>
    <w:rsid w:val="000F0220"/>
    <w:rsid w:val="000F090C"/>
    <w:rsid w:val="000F12E8"/>
    <w:rsid w:val="000F22B7"/>
    <w:rsid w:val="000F2394"/>
    <w:rsid w:val="000F2404"/>
    <w:rsid w:val="000F288C"/>
    <w:rsid w:val="000F3189"/>
    <w:rsid w:val="000F3B6D"/>
    <w:rsid w:val="000F4FAF"/>
    <w:rsid w:val="000F6588"/>
    <w:rsid w:val="000F72E0"/>
    <w:rsid w:val="00101832"/>
    <w:rsid w:val="00102AB2"/>
    <w:rsid w:val="00104FCB"/>
    <w:rsid w:val="00105C54"/>
    <w:rsid w:val="0010617D"/>
    <w:rsid w:val="0010637C"/>
    <w:rsid w:val="00107CBF"/>
    <w:rsid w:val="001100CC"/>
    <w:rsid w:val="001129EF"/>
    <w:rsid w:val="00113573"/>
    <w:rsid w:val="00114CAB"/>
    <w:rsid w:val="00114EE2"/>
    <w:rsid w:val="00115783"/>
    <w:rsid w:val="001164DF"/>
    <w:rsid w:val="0011733F"/>
    <w:rsid w:val="00117E34"/>
    <w:rsid w:val="001207B5"/>
    <w:rsid w:val="00122915"/>
    <w:rsid w:val="00123436"/>
    <w:rsid w:val="0012438B"/>
    <w:rsid w:val="0012464D"/>
    <w:rsid w:val="00125A3A"/>
    <w:rsid w:val="001262BD"/>
    <w:rsid w:val="00131277"/>
    <w:rsid w:val="001313E3"/>
    <w:rsid w:val="0013146A"/>
    <w:rsid w:val="0013198F"/>
    <w:rsid w:val="001323EF"/>
    <w:rsid w:val="0013275A"/>
    <w:rsid w:val="00132C79"/>
    <w:rsid w:val="00135DEA"/>
    <w:rsid w:val="00136823"/>
    <w:rsid w:val="00136B5F"/>
    <w:rsid w:val="00136FC2"/>
    <w:rsid w:val="00137D9A"/>
    <w:rsid w:val="001404C2"/>
    <w:rsid w:val="00141758"/>
    <w:rsid w:val="001438E0"/>
    <w:rsid w:val="00144584"/>
    <w:rsid w:val="00146895"/>
    <w:rsid w:val="00146E30"/>
    <w:rsid w:val="001477ED"/>
    <w:rsid w:val="001510AB"/>
    <w:rsid w:val="001511F8"/>
    <w:rsid w:val="00152767"/>
    <w:rsid w:val="001528B2"/>
    <w:rsid w:val="00152DBE"/>
    <w:rsid w:val="001550D0"/>
    <w:rsid w:val="001573E1"/>
    <w:rsid w:val="001575B2"/>
    <w:rsid w:val="00160008"/>
    <w:rsid w:val="00160319"/>
    <w:rsid w:val="001606EC"/>
    <w:rsid w:val="00160831"/>
    <w:rsid w:val="001615BD"/>
    <w:rsid w:val="00161F35"/>
    <w:rsid w:val="00162203"/>
    <w:rsid w:val="00163CB9"/>
    <w:rsid w:val="001645DC"/>
    <w:rsid w:val="00164A8B"/>
    <w:rsid w:val="00165F77"/>
    <w:rsid w:val="00165FB1"/>
    <w:rsid w:val="00167301"/>
    <w:rsid w:val="0017075E"/>
    <w:rsid w:val="00170E8A"/>
    <w:rsid w:val="001710D6"/>
    <w:rsid w:val="00171715"/>
    <w:rsid w:val="00172958"/>
    <w:rsid w:val="00173B31"/>
    <w:rsid w:val="0017400A"/>
    <w:rsid w:val="00174162"/>
    <w:rsid w:val="001754BB"/>
    <w:rsid w:val="001759A7"/>
    <w:rsid w:val="00175CBB"/>
    <w:rsid w:val="001762E1"/>
    <w:rsid w:val="0017750D"/>
    <w:rsid w:val="00180712"/>
    <w:rsid w:val="00182449"/>
    <w:rsid w:val="00183BD9"/>
    <w:rsid w:val="001845B1"/>
    <w:rsid w:val="00184E40"/>
    <w:rsid w:val="00187022"/>
    <w:rsid w:val="00187224"/>
    <w:rsid w:val="0018740E"/>
    <w:rsid w:val="00187816"/>
    <w:rsid w:val="00187B57"/>
    <w:rsid w:val="00187E47"/>
    <w:rsid w:val="00190005"/>
    <w:rsid w:val="0019182D"/>
    <w:rsid w:val="00191B53"/>
    <w:rsid w:val="00191BDE"/>
    <w:rsid w:val="00191E26"/>
    <w:rsid w:val="00193093"/>
    <w:rsid w:val="00193967"/>
    <w:rsid w:val="0019507F"/>
    <w:rsid w:val="00195651"/>
    <w:rsid w:val="00197E2F"/>
    <w:rsid w:val="001A0152"/>
    <w:rsid w:val="001A196B"/>
    <w:rsid w:val="001A300C"/>
    <w:rsid w:val="001A3482"/>
    <w:rsid w:val="001A375C"/>
    <w:rsid w:val="001A4222"/>
    <w:rsid w:val="001A440E"/>
    <w:rsid w:val="001A4FBD"/>
    <w:rsid w:val="001A576C"/>
    <w:rsid w:val="001A58FE"/>
    <w:rsid w:val="001A5B97"/>
    <w:rsid w:val="001A72A6"/>
    <w:rsid w:val="001A79CA"/>
    <w:rsid w:val="001B01BF"/>
    <w:rsid w:val="001B23D8"/>
    <w:rsid w:val="001B2524"/>
    <w:rsid w:val="001B26BA"/>
    <w:rsid w:val="001B26C5"/>
    <w:rsid w:val="001B2EA7"/>
    <w:rsid w:val="001B4369"/>
    <w:rsid w:val="001B4D56"/>
    <w:rsid w:val="001B54AA"/>
    <w:rsid w:val="001B6468"/>
    <w:rsid w:val="001B68B7"/>
    <w:rsid w:val="001B7346"/>
    <w:rsid w:val="001B74C4"/>
    <w:rsid w:val="001B795C"/>
    <w:rsid w:val="001B7B29"/>
    <w:rsid w:val="001B7E7F"/>
    <w:rsid w:val="001C162F"/>
    <w:rsid w:val="001C285C"/>
    <w:rsid w:val="001C3970"/>
    <w:rsid w:val="001C3995"/>
    <w:rsid w:val="001C3C22"/>
    <w:rsid w:val="001C3C2F"/>
    <w:rsid w:val="001C3D18"/>
    <w:rsid w:val="001C3EC9"/>
    <w:rsid w:val="001C5054"/>
    <w:rsid w:val="001C6546"/>
    <w:rsid w:val="001C716B"/>
    <w:rsid w:val="001C72CC"/>
    <w:rsid w:val="001D1BE8"/>
    <w:rsid w:val="001D24E2"/>
    <w:rsid w:val="001D2765"/>
    <w:rsid w:val="001D3111"/>
    <w:rsid w:val="001D37BB"/>
    <w:rsid w:val="001D3FC3"/>
    <w:rsid w:val="001D430E"/>
    <w:rsid w:val="001D4BAE"/>
    <w:rsid w:val="001D56F4"/>
    <w:rsid w:val="001D5D4A"/>
    <w:rsid w:val="001D62BE"/>
    <w:rsid w:val="001D6E2E"/>
    <w:rsid w:val="001E0096"/>
    <w:rsid w:val="001E0489"/>
    <w:rsid w:val="001E1FAC"/>
    <w:rsid w:val="001E2D6A"/>
    <w:rsid w:val="001E2E9A"/>
    <w:rsid w:val="001E3098"/>
    <w:rsid w:val="001E3CD3"/>
    <w:rsid w:val="001E3E39"/>
    <w:rsid w:val="001E47B2"/>
    <w:rsid w:val="001E597A"/>
    <w:rsid w:val="001E63DF"/>
    <w:rsid w:val="001E6E2F"/>
    <w:rsid w:val="001F26B7"/>
    <w:rsid w:val="001F2D5B"/>
    <w:rsid w:val="001F41F3"/>
    <w:rsid w:val="001F423C"/>
    <w:rsid w:val="001F5B84"/>
    <w:rsid w:val="001F6BA2"/>
    <w:rsid w:val="00201A0D"/>
    <w:rsid w:val="00204A11"/>
    <w:rsid w:val="00205179"/>
    <w:rsid w:val="002059CC"/>
    <w:rsid w:val="00205CDE"/>
    <w:rsid w:val="002065A3"/>
    <w:rsid w:val="0020752C"/>
    <w:rsid w:val="00207E8D"/>
    <w:rsid w:val="00210199"/>
    <w:rsid w:val="00211120"/>
    <w:rsid w:val="00211185"/>
    <w:rsid w:val="00211205"/>
    <w:rsid w:val="002114D9"/>
    <w:rsid w:val="00211948"/>
    <w:rsid w:val="0021377B"/>
    <w:rsid w:val="00213AFF"/>
    <w:rsid w:val="00213F96"/>
    <w:rsid w:val="00214685"/>
    <w:rsid w:val="002148A8"/>
    <w:rsid w:val="00214950"/>
    <w:rsid w:val="0021516F"/>
    <w:rsid w:val="0021553F"/>
    <w:rsid w:val="00215B03"/>
    <w:rsid w:val="00216754"/>
    <w:rsid w:val="0022049B"/>
    <w:rsid w:val="00221559"/>
    <w:rsid w:val="0022172F"/>
    <w:rsid w:val="002243C5"/>
    <w:rsid w:val="0022486D"/>
    <w:rsid w:val="00224A5E"/>
    <w:rsid w:val="00226889"/>
    <w:rsid w:val="00226C01"/>
    <w:rsid w:val="00226C49"/>
    <w:rsid w:val="00227744"/>
    <w:rsid w:val="00227857"/>
    <w:rsid w:val="002303C8"/>
    <w:rsid w:val="002305CD"/>
    <w:rsid w:val="00230D12"/>
    <w:rsid w:val="00230ED9"/>
    <w:rsid w:val="002325C1"/>
    <w:rsid w:val="002325DB"/>
    <w:rsid w:val="00232B67"/>
    <w:rsid w:val="0023314F"/>
    <w:rsid w:val="002332FC"/>
    <w:rsid w:val="00233351"/>
    <w:rsid w:val="0023390B"/>
    <w:rsid w:val="00233AA9"/>
    <w:rsid w:val="0023529D"/>
    <w:rsid w:val="00235946"/>
    <w:rsid w:val="002362FA"/>
    <w:rsid w:val="00236C55"/>
    <w:rsid w:val="0024000F"/>
    <w:rsid w:val="0024060D"/>
    <w:rsid w:val="00241A14"/>
    <w:rsid w:val="00244C2C"/>
    <w:rsid w:val="00244FA6"/>
    <w:rsid w:val="00245CE7"/>
    <w:rsid w:val="00246819"/>
    <w:rsid w:val="00246848"/>
    <w:rsid w:val="00246EDF"/>
    <w:rsid w:val="00250067"/>
    <w:rsid w:val="002530DA"/>
    <w:rsid w:val="00253403"/>
    <w:rsid w:val="00253814"/>
    <w:rsid w:val="002543F5"/>
    <w:rsid w:val="002561B6"/>
    <w:rsid w:val="0025692A"/>
    <w:rsid w:val="00256A0D"/>
    <w:rsid w:val="0025761D"/>
    <w:rsid w:val="0025776B"/>
    <w:rsid w:val="002603AE"/>
    <w:rsid w:val="002609AE"/>
    <w:rsid w:val="002625CB"/>
    <w:rsid w:val="00267125"/>
    <w:rsid w:val="002673DA"/>
    <w:rsid w:val="00270105"/>
    <w:rsid w:val="00270182"/>
    <w:rsid w:val="00270DAF"/>
    <w:rsid w:val="0027366A"/>
    <w:rsid w:val="00273C58"/>
    <w:rsid w:val="00275E38"/>
    <w:rsid w:val="002768E3"/>
    <w:rsid w:val="002802E9"/>
    <w:rsid w:val="00280486"/>
    <w:rsid w:val="00280C0A"/>
    <w:rsid w:val="00280CD0"/>
    <w:rsid w:val="00281F78"/>
    <w:rsid w:val="00282560"/>
    <w:rsid w:val="00283D35"/>
    <w:rsid w:val="00284F3E"/>
    <w:rsid w:val="00285240"/>
    <w:rsid w:val="00285B60"/>
    <w:rsid w:val="00286AFC"/>
    <w:rsid w:val="00287424"/>
    <w:rsid w:val="0028781C"/>
    <w:rsid w:val="002906AE"/>
    <w:rsid w:val="0029139E"/>
    <w:rsid w:val="002924CE"/>
    <w:rsid w:val="00292B88"/>
    <w:rsid w:val="00293449"/>
    <w:rsid w:val="00296AE3"/>
    <w:rsid w:val="002A0261"/>
    <w:rsid w:val="002A1B9D"/>
    <w:rsid w:val="002A24E5"/>
    <w:rsid w:val="002A5E82"/>
    <w:rsid w:val="002A682F"/>
    <w:rsid w:val="002A71CE"/>
    <w:rsid w:val="002A78E1"/>
    <w:rsid w:val="002B0831"/>
    <w:rsid w:val="002B0B6B"/>
    <w:rsid w:val="002B1843"/>
    <w:rsid w:val="002B3DFF"/>
    <w:rsid w:val="002B3F4F"/>
    <w:rsid w:val="002B44A7"/>
    <w:rsid w:val="002B47FC"/>
    <w:rsid w:val="002B4D32"/>
    <w:rsid w:val="002B709C"/>
    <w:rsid w:val="002C00C8"/>
    <w:rsid w:val="002C0681"/>
    <w:rsid w:val="002C0FF2"/>
    <w:rsid w:val="002C2507"/>
    <w:rsid w:val="002C3459"/>
    <w:rsid w:val="002C3721"/>
    <w:rsid w:val="002C3B2E"/>
    <w:rsid w:val="002C6235"/>
    <w:rsid w:val="002D0428"/>
    <w:rsid w:val="002D05DF"/>
    <w:rsid w:val="002D12BF"/>
    <w:rsid w:val="002D1550"/>
    <w:rsid w:val="002D1F99"/>
    <w:rsid w:val="002D2218"/>
    <w:rsid w:val="002D29AE"/>
    <w:rsid w:val="002D3179"/>
    <w:rsid w:val="002D4B5F"/>
    <w:rsid w:val="002D4D46"/>
    <w:rsid w:val="002D563E"/>
    <w:rsid w:val="002D67C0"/>
    <w:rsid w:val="002D6A7F"/>
    <w:rsid w:val="002D7701"/>
    <w:rsid w:val="002D77C5"/>
    <w:rsid w:val="002D7E3D"/>
    <w:rsid w:val="002D7EC6"/>
    <w:rsid w:val="002E0892"/>
    <w:rsid w:val="002E1064"/>
    <w:rsid w:val="002E1A33"/>
    <w:rsid w:val="002E3B76"/>
    <w:rsid w:val="002E49F4"/>
    <w:rsid w:val="002E5D25"/>
    <w:rsid w:val="002E64F5"/>
    <w:rsid w:val="002E6DB7"/>
    <w:rsid w:val="002F1908"/>
    <w:rsid w:val="002F24AF"/>
    <w:rsid w:val="002F2A76"/>
    <w:rsid w:val="002F333C"/>
    <w:rsid w:val="002F3A04"/>
    <w:rsid w:val="002F3B30"/>
    <w:rsid w:val="002F3E52"/>
    <w:rsid w:val="002F447E"/>
    <w:rsid w:val="002F45BF"/>
    <w:rsid w:val="002F56B9"/>
    <w:rsid w:val="002F5728"/>
    <w:rsid w:val="003012D9"/>
    <w:rsid w:val="0030552F"/>
    <w:rsid w:val="003068F6"/>
    <w:rsid w:val="00307C9C"/>
    <w:rsid w:val="00310288"/>
    <w:rsid w:val="00311266"/>
    <w:rsid w:val="00312395"/>
    <w:rsid w:val="003124AF"/>
    <w:rsid w:val="00314FEF"/>
    <w:rsid w:val="003151E1"/>
    <w:rsid w:val="00315299"/>
    <w:rsid w:val="003163A9"/>
    <w:rsid w:val="003169B0"/>
    <w:rsid w:val="0031728A"/>
    <w:rsid w:val="00317D71"/>
    <w:rsid w:val="00320122"/>
    <w:rsid w:val="00321A85"/>
    <w:rsid w:val="00321BEA"/>
    <w:rsid w:val="003223C3"/>
    <w:rsid w:val="00322716"/>
    <w:rsid w:val="00322C10"/>
    <w:rsid w:val="00322C79"/>
    <w:rsid w:val="00323B0A"/>
    <w:rsid w:val="00323CD3"/>
    <w:rsid w:val="003243FA"/>
    <w:rsid w:val="0032476F"/>
    <w:rsid w:val="00324D9D"/>
    <w:rsid w:val="00325C24"/>
    <w:rsid w:val="00326073"/>
    <w:rsid w:val="003268B5"/>
    <w:rsid w:val="003270ED"/>
    <w:rsid w:val="0032733B"/>
    <w:rsid w:val="003306A5"/>
    <w:rsid w:val="0033104B"/>
    <w:rsid w:val="00331D32"/>
    <w:rsid w:val="00331E82"/>
    <w:rsid w:val="0033220F"/>
    <w:rsid w:val="003329A6"/>
    <w:rsid w:val="003330BA"/>
    <w:rsid w:val="00333BFB"/>
    <w:rsid w:val="00333D49"/>
    <w:rsid w:val="003342CE"/>
    <w:rsid w:val="00334CEF"/>
    <w:rsid w:val="003360B0"/>
    <w:rsid w:val="003364DB"/>
    <w:rsid w:val="0033658B"/>
    <w:rsid w:val="0033664E"/>
    <w:rsid w:val="0033684A"/>
    <w:rsid w:val="00337635"/>
    <w:rsid w:val="00337C73"/>
    <w:rsid w:val="00340719"/>
    <w:rsid w:val="003420ED"/>
    <w:rsid w:val="00342386"/>
    <w:rsid w:val="003428BC"/>
    <w:rsid w:val="003429B6"/>
    <w:rsid w:val="00342C06"/>
    <w:rsid w:val="00342F34"/>
    <w:rsid w:val="00343AB8"/>
    <w:rsid w:val="003442B8"/>
    <w:rsid w:val="00344404"/>
    <w:rsid w:val="0034473B"/>
    <w:rsid w:val="00345E3B"/>
    <w:rsid w:val="00346A8C"/>
    <w:rsid w:val="003470D1"/>
    <w:rsid w:val="0034723E"/>
    <w:rsid w:val="003505C0"/>
    <w:rsid w:val="00352671"/>
    <w:rsid w:val="0035318E"/>
    <w:rsid w:val="003537C8"/>
    <w:rsid w:val="00354D03"/>
    <w:rsid w:val="00354E1E"/>
    <w:rsid w:val="00357507"/>
    <w:rsid w:val="00357895"/>
    <w:rsid w:val="00357BE9"/>
    <w:rsid w:val="00360083"/>
    <w:rsid w:val="003615D1"/>
    <w:rsid w:val="00361602"/>
    <w:rsid w:val="003634AA"/>
    <w:rsid w:val="00363832"/>
    <w:rsid w:val="0036429D"/>
    <w:rsid w:val="003709D8"/>
    <w:rsid w:val="00370B83"/>
    <w:rsid w:val="00370FC9"/>
    <w:rsid w:val="00371957"/>
    <w:rsid w:val="00372653"/>
    <w:rsid w:val="003742CA"/>
    <w:rsid w:val="00377135"/>
    <w:rsid w:val="00381013"/>
    <w:rsid w:val="00381BD6"/>
    <w:rsid w:val="00382846"/>
    <w:rsid w:val="003832F2"/>
    <w:rsid w:val="0038528E"/>
    <w:rsid w:val="003858F7"/>
    <w:rsid w:val="00385BC8"/>
    <w:rsid w:val="00386AE9"/>
    <w:rsid w:val="00387792"/>
    <w:rsid w:val="00391808"/>
    <w:rsid w:val="00391DA5"/>
    <w:rsid w:val="003925F4"/>
    <w:rsid w:val="0039284D"/>
    <w:rsid w:val="00392E98"/>
    <w:rsid w:val="0039377A"/>
    <w:rsid w:val="003939DD"/>
    <w:rsid w:val="0039406A"/>
    <w:rsid w:val="00394C3E"/>
    <w:rsid w:val="00395070"/>
    <w:rsid w:val="00395815"/>
    <w:rsid w:val="00395D3D"/>
    <w:rsid w:val="00397428"/>
    <w:rsid w:val="003A071A"/>
    <w:rsid w:val="003A1E2F"/>
    <w:rsid w:val="003A1FF5"/>
    <w:rsid w:val="003A22C0"/>
    <w:rsid w:val="003A250E"/>
    <w:rsid w:val="003A2600"/>
    <w:rsid w:val="003A47FE"/>
    <w:rsid w:val="003A4C94"/>
    <w:rsid w:val="003A7DF1"/>
    <w:rsid w:val="003B0CD4"/>
    <w:rsid w:val="003B1977"/>
    <w:rsid w:val="003B1F5E"/>
    <w:rsid w:val="003B23F9"/>
    <w:rsid w:val="003B3036"/>
    <w:rsid w:val="003B327A"/>
    <w:rsid w:val="003B348E"/>
    <w:rsid w:val="003B3723"/>
    <w:rsid w:val="003B4A9C"/>
    <w:rsid w:val="003B6843"/>
    <w:rsid w:val="003B7232"/>
    <w:rsid w:val="003C0345"/>
    <w:rsid w:val="003C03EF"/>
    <w:rsid w:val="003C0F89"/>
    <w:rsid w:val="003C1096"/>
    <w:rsid w:val="003C20E3"/>
    <w:rsid w:val="003C42DB"/>
    <w:rsid w:val="003C45E1"/>
    <w:rsid w:val="003C4D34"/>
    <w:rsid w:val="003C4FE7"/>
    <w:rsid w:val="003C6208"/>
    <w:rsid w:val="003D061D"/>
    <w:rsid w:val="003D09F6"/>
    <w:rsid w:val="003D0C67"/>
    <w:rsid w:val="003D20F4"/>
    <w:rsid w:val="003D2835"/>
    <w:rsid w:val="003D3EC8"/>
    <w:rsid w:val="003D40BF"/>
    <w:rsid w:val="003D72D1"/>
    <w:rsid w:val="003D7A22"/>
    <w:rsid w:val="003D7DA9"/>
    <w:rsid w:val="003D7DF3"/>
    <w:rsid w:val="003E0689"/>
    <w:rsid w:val="003E0725"/>
    <w:rsid w:val="003E08A5"/>
    <w:rsid w:val="003E09DA"/>
    <w:rsid w:val="003E104F"/>
    <w:rsid w:val="003E29A8"/>
    <w:rsid w:val="003E4E4C"/>
    <w:rsid w:val="003E5D35"/>
    <w:rsid w:val="003E5FCF"/>
    <w:rsid w:val="003E6F30"/>
    <w:rsid w:val="003E7DCE"/>
    <w:rsid w:val="003F0A93"/>
    <w:rsid w:val="003F1059"/>
    <w:rsid w:val="003F184A"/>
    <w:rsid w:val="003F1AD5"/>
    <w:rsid w:val="003F257C"/>
    <w:rsid w:val="003F2958"/>
    <w:rsid w:val="003F30AF"/>
    <w:rsid w:val="003F564D"/>
    <w:rsid w:val="003F6084"/>
    <w:rsid w:val="00402630"/>
    <w:rsid w:val="00403A95"/>
    <w:rsid w:val="004040E1"/>
    <w:rsid w:val="0040414A"/>
    <w:rsid w:val="004044AF"/>
    <w:rsid w:val="00404C69"/>
    <w:rsid w:val="00404DC5"/>
    <w:rsid w:val="00405023"/>
    <w:rsid w:val="0040513C"/>
    <w:rsid w:val="0040529A"/>
    <w:rsid w:val="004054CE"/>
    <w:rsid w:val="00406FCC"/>
    <w:rsid w:val="00410B62"/>
    <w:rsid w:val="0041308E"/>
    <w:rsid w:val="004132DE"/>
    <w:rsid w:val="00413916"/>
    <w:rsid w:val="004145C0"/>
    <w:rsid w:val="00415917"/>
    <w:rsid w:val="00416CB8"/>
    <w:rsid w:val="00417CD6"/>
    <w:rsid w:val="00420266"/>
    <w:rsid w:val="00420BA9"/>
    <w:rsid w:val="00420BF6"/>
    <w:rsid w:val="00420F9B"/>
    <w:rsid w:val="00421558"/>
    <w:rsid w:val="004266E1"/>
    <w:rsid w:val="00426A3E"/>
    <w:rsid w:val="004306E8"/>
    <w:rsid w:val="004309E6"/>
    <w:rsid w:val="004316BA"/>
    <w:rsid w:val="00431A6B"/>
    <w:rsid w:val="00431E14"/>
    <w:rsid w:val="004331CB"/>
    <w:rsid w:val="00434877"/>
    <w:rsid w:val="00435232"/>
    <w:rsid w:val="00435C2B"/>
    <w:rsid w:val="00437491"/>
    <w:rsid w:val="00440AC5"/>
    <w:rsid w:val="004413F1"/>
    <w:rsid w:val="00441634"/>
    <w:rsid w:val="00441B06"/>
    <w:rsid w:val="00444C27"/>
    <w:rsid w:val="0044513F"/>
    <w:rsid w:val="004456AC"/>
    <w:rsid w:val="00445E68"/>
    <w:rsid w:val="00447AEF"/>
    <w:rsid w:val="00450B8F"/>
    <w:rsid w:val="0045187E"/>
    <w:rsid w:val="00451EDD"/>
    <w:rsid w:val="00452168"/>
    <w:rsid w:val="00452FE7"/>
    <w:rsid w:val="00453C08"/>
    <w:rsid w:val="0045581E"/>
    <w:rsid w:val="00456137"/>
    <w:rsid w:val="00456692"/>
    <w:rsid w:val="004577C2"/>
    <w:rsid w:val="00460B84"/>
    <w:rsid w:val="0046131B"/>
    <w:rsid w:val="004613D6"/>
    <w:rsid w:val="004625C9"/>
    <w:rsid w:val="00463BBE"/>
    <w:rsid w:val="00463DD3"/>
    <w:rsid w:val="004642E6"/>
    <w:rsid w:val="00464C27"/>
    <w:rsid w:val="00464F9D"/>
    <w:rsid w:val="004677DE"/>
    <w:rsid w:val="00472817"/>
    <w:rsid w:val="00472FB3"/>
    <w:rsid w:val="004734B2"/>
    <w:rsid w:val="0047392A"/>
    <w:rsid w:val="00474FBB"/>
    <w:rsid w:val="00475EBA"/>
    <w:rsid w:val="004802BE"/>
    <w:rsid w:val="00480749"/>
    <w:rsid w:val="0048164B"/>
    <w:rsid w:val="00481B6F"/>
    <w:rsid w:val="00481D22"/>
    <w:rsid w:val="00482F6F"/>
    <w:rsid w:val="00483487"/>
    <w:rsid w:val="00483EC5"/>
    <w:rsid w:val="00485EFD"/>
    <w:rsid w:val="00486245"/>
    <w:rsid w:val="0048628B"/>
    <w:rsid w:val="00487317"/>
    <w:rsid w:val="00487335"/>
    <w:rsid w:val="00490460"/>
    <w:rsid w:val="004907B3"/>
    <w:rsid w:val="00490C2F"/>
    <w:rsid w:val="00490E40"/>
    <w:rsid w:val="00492384"/>
    <w:rsid w:val="0049257A"/>
    <w:rsid w:val="00492AED"/>
    <w:rsid w:val="00494B49"/>
    <w:rsid w:val="004957AC"/>
    <w:rsid w:val="004964CA"/>
    <w:rsid w:val="0049754C"/>
    <w:rsid w:val="004A1E7F"/>
    <w:rsid w:val="004A3126"/>
    <w:rsid w:val="004A4BD2"/>
    <w:rsid w:val="004A4E77"/>
    <w:rsid w:val="004A5467"/>
    <w:rsid w:val="004A5C3A"/>
    <w:rsid w:val="004B002E"/>
    <w:rsid w:val="004B0704"/>
    <w:rsid w:val="004B1179"/>
    <w:rsid w:val="004B14E0"/>
    <w:rsid w:val="004B1568"/>
    <w:rsid w:val="004B27C9"/>
    <w:rsid w:val="004B42FF"/>
    <w:rsid w:val="004B4CAD"/>
    <w:rsid w:val="004B581A"/>
    <w:rsid w:val="004B5EDF"/>
    <w:rsid w:val="004B6B4D"/>
    <w:rsid w:val="004C08C8"/>
    <w:rsid w:val="004C0AFA"/>
    <w:rsid w:val="004C19DA"/>
    <w:rsid w:val="004C3A71"/>
    <w:rsid w:val="004C48A9"/>
    <w:rsid w:val="004C7B02"/>
    <w:rsid w:val="004C7F27"/>
    <w:rsid w:val="004D045A"/>
    <w:rsid w:val="004D0E88"/>
    <w:rsid w:val="004D1505"/>
    <w:rsid w:val="004D168B"/>
    <w:rsid w:val="004D2A43"/>
    <w:rsid w:val="004D4A71"/>
    <w:rsid w:val="004D4EEE"/>
    <w:rsid w:val="004D6C6A"/>
    <w:rsid w:val="004E015F"/>
    <w:rsid w:val="004E08CB"/>
    <w:rsid w:val="004E0B99"/>
    <w:rsid w:val="004E1601"/>
    <w:rsid w:val="004E197C"/>
    <w:rsid w:val="004E2A31"/>
    <w:rsid w:val="004E2EAA"/>
    <w:rsid w:val="004E434C"/>
    <w:rsid w:val="004E445F"/>
    <w:rsid w:val="004E45DB"/>
    <w:rsid w:val="004E49F5"/>
    <w:rsid w:val="004E4B1D"/>
    <w:rsid w:val="004E5AE6"/>
    <w:rsid w:val="004E5E93"/>
    <w:rsid w:val="004E61D9"/>
    <w:rsid w:val="004E73D4"/>
    <w:rsid w:val="004E7647"/>
    <w:rsid w:val="004F152F"/>
    <w:rsid w:val="004F1D9E"/>
    <w:rsid w:val="004F2C33"/>
    <w:rsid w:val="004F301D"/>
    <w:rsid w:val="004F330E"/>
    <w:rsid w:val="004F37FE"/>
    <w:rsid w:val="004F7327"/>
    <w:rsid w:val="004F7659"/>
    <w:rsid w:val="004F77BB"/>
    <w:rsid w:val="004F7A2B"/>
    <w:rsid w:val="0050011C"/>
    <w:rsid w:val="0050049F"/>
    <w:rsid w:val="0050084F"/>
    <w:rsid w:val="005011DF"/>
    <w:rsid w:val="005020EA"/>
    <w:rsid w:val="00502CD8"/>
    <w:rsid w:val="00502E02"/>
    <w:rsid w:val="00503437"/>
    <w:rsid w:val="00504186"/>
    <w:rsid w:val="00504B9C"/>
    <w:rsid w:val="00504CE9"/>
    <w:rsid w:val="00504D16"/>
    <w:rsid w:val="00506A91"/>
    <w:rsid w:val="00507982"/>
    <w:rsid w:val="00510120"/>
    <w:rsid w:val="005119EB"/>
    <w:rsid w:val="005122AF"/>
    <w:rsid w:val="00513335"/>
    <w:rsid w:val="00514482"/>
    <w:rsid w:val="00514799"/>
    <w:rsid w:val="005151A5"/>
    <w:rsid w:val="005158CB"/>
    <w:rsid w:val="00515922"/>
    <w:rsid w:val="00515F82"/>
    <w:rsid w:val="00517571"/>
    <w:rsid w:val="00517D66"/>
    <w:rsid w:val="00521878"/>
    <w:rsid w:val="00521BCF"/>
    <w:rsid w:val="00522026"/>
    <w:rsid w:val="005220FB"/>
    <w:rsid w:val="00523E52"/>
    <w:rsid w:val="005240B7"/>
    <w:rsid w:val="00525555"/>
    <w:rsid w:val="005256C7"/>
    <w:rsid w:val="00526FF9"/>
    <w:rsid w:val="00527874"/>
    <w:rsid w:val="00531A32"/>
    <w:rsid w:val="00532164"/>
    <w:rsid w:val="005326AE"/>
    <w:rsid w:val="00532A39"/>
    <w:rsid w:val="00532E37"/>
    <w:rsid w:val="005338AE"/>
    <w:rsid w:val="00535423"/>
    <w:rsid w:val="005358C3"/>
    <w:rsid w:val="00535B2E"/>
    <w:rsid w:val="00535EE2"/>
    <w:rsid w:val="005360A4"/>
    <w:rsid w:val="0053656F"/>
    <w:rsid w:val="005404C5"/>
    <w:rsid w:val="00540A59"/>
    <w:rsid w:val="00541736"/>
    <w:rsid w:val="00541C85"/>
    <w:rsid w:val="00543386"/>
    <w:rsid w:val="005440BA"/>
    <w:rsid w:val="00544918"/>
    <w:rsid w:val="005450BE"/>
    <w:rsid w:val="00547143"/>
    <w:rsid w:val="00550001"/>
    <w:rsid w:val="00550A63"/>
    <w:rsid w:val="00550F50"/>
    <w:rsid w:val="00551782"/>
    <w:rsid w:val="00554755"/>
    <w:rsid w:val="0055486F"/>
    <w:rsid w:val="00554972"/>
    <w:rsid w:val="00554A1C"/>
    <w:rsid w:val="00554C07"/>
    <w:rsid w:val="00554E5F"/>
    <w:rsid w:val="00555108"/>
    <w:rsid w:val="0055531D"/>
    <w:rsid w:val="005566FE"/>
    <w:rsid w:val="00561004"/>
    <w:rsid w:val="005610A6"/>
    <w:rsid w:val="00561E48"/>
    <w:rsid w:val="0056234B"/>
    <w:rsid w:val="0056264B"/>
    <w:rsid w:val="00562D4B"/>
    <w:rsid w:val="005631CB"/>
    <w:rsid w:val="00565785"/>
    <w:rsid w:val="00565D6F"/>
    <w:rsid w:val="00566800"/>
    <w:rsid w:val="00567307"/>
    <w:rsid w:val="005703E5"/>
    <w:rsid w:val="005712F0"/>
    <w:rsid w:val="00571E0A"/>
    <w:rsid w:val="0057222D"/>
    <w:rsid w:val="00572A76"/>
    <w:rsid w:val="0057340F"/>
    <w:rsid w:val="005757AE"/>
    <w:rsid w:val="00575A90"/>
    <w:rsid w:val="0057602C"/>
    <w:rsid w:val="00576210"/>
    <w:rsid w:val="00576A8A"/>
    <w:rsid w:val="00577E7E"/>
    <w:rsid w:val="00580BEA"/>
    <w:rsid w:val="0058173F"/>
    <w:rsid w:val="00581CB3"/>
    <w:rsid w:val="00583BF1"/>
    <w:rsid w:val="00585087"/>
    <w:rsid w:val="00585405"/>
    <w:rsid w:val="00585AB9"/>
    <w:rsid w:val="0058662D"/>
    <w:rsid w:val="00586E25"/>
    <w:rsid w:val="005906EC"/>
    <w:rsid w:val="00590FE9"/>
    <w:rsid w:val="00593E5B"/>
    <w:rsid w:val="005A1269"/>
    <w:rsid w:val="005A1F58"/>
    <w:rsid w:val="005A227A"/>
    <w:rsid w:val="005A2628"/>
    <w:rsid w:val="005A2E25"/>
    <w:rsid w:val="005A3316"/>
    <w:rsid w:val="005A4CCD"/>
    <w:rsid w:val="005A4ECE"/>
    <w:rsid w:val="005A58D4"/>
    <w:rsid w:val="005A5AE5"/>
    <w:rsid w:val="005A613B"/>
    <w:rsid w:val="005A7215"/>
    <w:rsid w:val="005A75DE"/>
    <w:rsid w:val="005B111E"/>
    <w:rsid w:val="005B1FA4"/>
    <w:rsid w:val="005B468A"/>
    <w:rsid w:val="005B5C2F"/>
    <w:rsid w:val="005B6C3F"/>
    <w:rsid w:val="005C2070"/>
    <w:rsid w:val="005C35D2"/>
    <w:rsid w:val="005C3922"/>
    <w:rsid w:val="005C3E0E"/>
    <w:rsid w:val="005C3F77"/>
    <w:rsid w:val="005C5EB3"/>
    <w:rsid w:val="005C6739"/>
    <w:rsid w:val="005C742F"/>
    <w:rsid w:val="005C7FE6"/>
    <w:rsid w:val="005D0199"/>
    <w:rsid w:val="005D0A26"/>
    <w:rsid w:val="005D12A5"/>
    <w:rsid w:val="005D2215"/>
    <w:rsid w:val="005D267B"/>
    <w:rsid w:val="005D27E4"/>
    <w:rsid w:val="005D2AE1"/>
    <w:rsid w:val="005D6AC0"/>
    <w:rsid w:val="005D7A74"/>
    <w:rsid w:val="005E0FC0"/>
    <w:rsid w:val="005E1F71"/>
    <w:rsid w:val="005E314F"/>
    <w:rsid w:val="005E34CC"/>
    <w:rsid w:val="005E392C"/>
    <w:rsid w:val="005E47E5"/>
    <w:rsid w:val="005E4804"/>
    <w:rsid w:val="005E616A"/>
    <w:rsid w:val="005E6AE3"/>
    <w:rsid w:val="005E7B8A"/>
    <w:rsid w:val="005F0D6E"/>
    <w:rsid w:val="005F1145"/>
    <w:rsid w:val="005F1A7A"/>
    <w:rsid w:val="005F1F0B"/>
    <w:rsid w:val="005F22AA"/>
    <w:rsid w:val="005F3A02"/>
    <w:rsid w:val="005F469B"/>
    <w:rsid w:val="005F4803"/>
    <w:rsid w:val="005F4DB1"/>
    <w:rsid w:val="005F71FD"/>
    <w:rsid w:val="005F7321"/>
    <w:rsid w:val="005F7790"/>
    <w:rsid w:val="00600037"/>
    <w:rsid w:val="0060053A"/>
    <w:rsid w:val="006018D7"/>
    <w:rsid w:val="00601DBD"/>
    <w:rsid w:val="00603553"/>
    <w:rsid w:val="00604DB9"/>
    <w:rsid w:val="00604F3F"/>
    <w:rsid w:val="006053AD"/>
    <w:rsid w:val="006055A8"/>
    <w:rsid w:val="00605E62"/>
    <w:rsid w:val="006067CF"/>
    <w:rsid w:val="0060695D"/>
    <w:rsid w:val="00606977"/>
    <w:rsid w:val="00607629"/>
    <w:rsid w:val="006103D9"/>
    <w:rsid w:val="00610A0C"/>
    <w:rsid w:val="0061177F"/>
    <w:rsid w:val="00613C99"/>
    <w:rsid w:val="00614008"/>
    <w:rsid w:val="0061569D"/>
    <w:rsid w:val="006162E4"/>
    <w:rsid w:val="00617278"/>
    <w:rsid w:val="006176B8"/>
    <w:rsid w:val="00617B8D"/>
    <w:rsid w:val="00621224"/>
    <w:rsid w:val="00621421"/>
    <w:rsid w:val="006215EC"/>
    <w:rsid w:val="006229A6"/>
    <w:rsid w:val="00622D38"/>
    <w:rsid w:val="00623AB3"/>
    <w:rsid w:val="00624A24"/>
    <w:rsid w:val="00625E1E"/>
    <w:rsid w:val="00625FF2"/>
    <w:rsid w:val="0062650E"/>
    <w:rsid w:val="00626E70"/>
    <w:rsid w:val="00626F25"/>
    <w:rsid w:val="00627E4F"/>
    <w:rsid w:val="006308A9"/>
    <w:rsid w:val="0063092C"/>
    <w:rsid w:val="00631CD0"/>
    <w:rsid w:val="006333D2"/>
    <w:rsid w:val="00633EEF"/>
    <w:rsid w:val="006353A5"/>
    <w:rsid w:val="00637492"/>
    <w:rsid w:val="00637791"/>
    <w:rsid w:val="00640033"/>
    <w:rsid w:val="00640AF7"/>
    <w:rsid w:val="00642B51"/>
    <w:rsid w:val="00642C8B"/>
    <w:rsid w:val="00642DFC"/>
    <w:rsid w:val="00643B2D"/>
    <w:rsid w:val="00643DF0"/>
    <w:rsid w:val="0064523A"/>
    <w:rsid w:val="006459F2"/>
    <w:rsid w:val="00645F94"/>
    <w:rsid w:val="0064666B"/>
    <w:rsid w:val="00646692"/>
    <w:rsid w:val="00647DD3"/>
    <w:rsid w:val="0065055A"/>
    <w:rsid w:val="00651AB1"/>
    <w:rsid w:val="00652504"/>
    <w:rsid w:val="006526E1"/>
    <w:rsid w:val="006526F9"/>
    <w:rsid w:val="006530A1"/>
    <w:rsid w:val="00654846"/>
    <w:rsid w:val="00655AE7"/>
    <w:rsid w:val="00655BBC"/>
    <w:rsid w:val="0065633C"/>
    <w:rsid w:val="00656839"/>
    <w:rsid w:val="006574F6"/>
    <w:rsid w:val="006601D3"/>
    <w:rsid w:val="00661FB3"/>
    <w:rsid w:val="00662090"/>
    <w:rsid w:val="006629C3"/>
    <w:rsid w:val="00662AFB"/>
    <w:rsid w:val="00664025"/>
    <w:rsid w:val="00664A05"/>
    <w:rsid w:val="00664C76"/>
    <w:rsid w:val="0066512F"/>
    <w:rsid w:val="006654FE"/>
    <w:rsid w:val="00666244"/>
    <w:rsid w:val="0066676A"/>
    <w:rsid w:val="00667913"/>
    <w:rsid w:val="0067027E"/>
    <w:rsid w:val="006708CE"/>
    <w:rsid w:val="00671A4D"/>
    <w:rsid w:val="00671F96"/>
    <w:rsid w:val="006720C7"/>
    <w:rsid w:val="00673AEA"/>
    <w:rsid w:val="00674EC5"/>
    <w:rsid w:val="00677695"/>
    <w:rsid w:val="0068052E"/>
    <w:rsid w:val="0068368E"/>
    <w:rsid w:val="006843DD"/>
    <w:rsid w:val="00684B32"/>
    <w:rsid w:val="006860C5"/>
    <w:rsid w:val="006877FC"/>
    <w:rsid w:val="00687B22"/>
    <w:rsid w:val="00687B58"/>
    <w:rsid w:val="006902D3"/>
    <w:rsid w:val="00691EAB"/>
    <w:rsid w:val="00694563"/>
    <w:rsid w:val="006958B4"/>
    <w:rsid w:val="00695ED8"/>
    <w:rsid w:val="0069604A"/>
    <w:rsid w:val="0069716D"/>
    <w:rsid w:val="00697911"/>
    <w:rsid w:val="006A02B1"/>
    <w:rsid w:val="006A103B"/>
    <w:rsid w:val="006A1F9A"/>
    <w:rsid w:val="006A3A60"/>
    <w:rsid w:val="006A40B9"/>
    <w:rsid w:val="006A4C04"/>
    <w:rsid w:val="006A54A1"/>
    <w:rsid w:val="006A5697"/>
    <w:rsid w:val="006A5B05"/>
    <w:rsid w:val="006A654B"/>
    <w:rsid w:val="006A6584"/>
    <w:rsid w:val="006A7A5F"/>
    <w:rsid w:val="006A7F2A"/>
    <w:rsid w:val="006B008B"/>
    <w:rsid w:val="006B11E6"/>
    <w:rsid w:val="006B11EF"/>
    <w:rsid w:val="006B121A"/>
    <w:rsid w:val="006B1CD7"/>
    <w:rsid w:val="006B2264"/>
    <w:rsid w:val="006B3510"/>
    <w:rsid w:val="006B3528"/>
    <w:rsid w:val="006B47E6"/>
    <w:rsid w:val="006B5061"/>
    <w:rsid w:val="006B5F85"/>
    <w:rsid w:val="006B6C7B"/>
    <w:rsid w:val="006B756B"/>
    <w:rsid w:val="006B7982"/>
    <w:rsid w:val="006C0CEE"/>
    <w:rsid w:val="006C1EFA"/>
    <w:rsid w:val="006C2F87"/>
    <w:rsid w:val="006C35D1"/>
    <w:rsid w:val="006C392E"/>
    <w:rsid w:val="006C5CF6"/>
    <w:rsid w:val="006C6D1A"/>
    <w:rsid w:val="006C78D0"/>
    <w:rsid w:val="006D099D"/>
    <w:rsid w:val="006D0E99"/>
    <w:rsid w:val="006D167D"/>
    <w:rsid w:val="006D18AC"/>
    <w:rsid w:val="006D3631"/>
    <w:rsid w:val="006D3B52"/>
    <w:rsid w:val="006D55D5"/>
    <w:rsid w:val="006D6918"/>
    <w:rsid w:val="006D7DB1"/>
    <w:rsid w:val="006E01C3"/>
    <w:rsid w:val="006E03AE"/>
    <w:rsid w:val="006E07DA"/>
    <w:rsid w:val="006E0FB1"/>
    <w:rsid w:val="006E1969"/>
    <w:rsid w:val="006E1C68"/>
    <w:rsid w:val="006E1E3A"/>
    <w:rsid w:val="006E2405"/>
    <w:rsid w:val="006E2D96"/>
    <w:rsid w:val="006E2F87"/>
    <w:rsid w:val="006E310C"/>
    <w:rsid w:val="006E340C"/>
    <w:rsid w:val="006E36EF"/>
    <w:rsid w:val="006E44DF"/>
    <w:rsid w:val="006E4BD5"/>
    <w:rsid w:val="006E5422"/>
    <w:rsid w:val="006E5C1A"/>
    <w:rsid w:val="006E684C"/>
    <w:rsid w:val="006F16C2"/>
    <w:rsid w:val="006F1CDB"/>
    <w:rsid w:val="006F24EE"/>
    <w:rsid w:val="006F2715"/>
    <w:rsid w:val="006F2C3B"/>
    <w:rsid w:val="006F3066"/>
    <w:rsid w:val="006F336B"/>
    <w:rsid w:val="006F3B91"/>
    <w:rsid w:val="006F419D"/>
    <w:rsid w:val="006F5CE5"/>
    <w:rsid w:val="006F6CA7"/>
    <w:rsid w:val="006F7920"/>
    <w:rsid w:val="007012B9"/>
    <w:rsid w:val="00701627"/>
    <w:rsid w:val="00701AD0"/>
    <w:rsid w:val="00701E0D"/>
    <w:rsid w:val="007028B1"/>
    <w:rsid w:val="00702EBD"/>
    <w:rsid w:val="00703402"/>
    <w:rsid w:val="00703ED9"/>
    <w:rsid w:val="00705B91"/>
    <w:rsid w:val="00705EE9"/>
    <w:rsid w:val="00710178"/>
    <w:rsid w:val="00711C34"/>
    <w:rsid w:val="00711C64"/>
    <w:rsid w:val="00711F43"/>
    <w:rsid w:val="00713334"/>
    <w:rsid w:val="007133A3"/>
    <w:rsid w:val="00713916"/>
    <w:rsid w:val="007140B5"/>
    <w:rsid w:val="007143DE"/>
    <w:rsid w:val="0071497E"/>
    <w:rsid w:val="00714AD5"/>
    <w:rsid w:val="00715297"/>
    <w:rsid w:val="007158F3"/>
    <w:rsid w:val="00715C35"/>
    <w:rsid w:val="007163D5"/>
    <w:rsid w:val="00716FC0"/>
    <w:rsid w:val="00717019"/>
    <w:rsid w:val="00720CC7"/>
    <w:rsid w:val="0072120E"/>
    <w:rsid w:val="00721E1C"/>
    <w:rsid w:val="007225A3"/>
    <w:rsid w:val="0072280E"/>
    <w:rsid w:val="007232C6"/>
    <w:rsid w:val="00724882"/>
    <w:rsid w:val="00725D8A"/>
    <w:rsid w:val="00726F17"/>
    <w:rsid w:val="00727182"/>
    <w:rsid w:val="00727E88"/>
    <w:rsid w:val="00730416"/>
    <w:rsid w:val="007310E7"/>
    <w:rsid w:val="00732A91"/>
    <w:rsid w:val="007335E8"/>
    <w:rsid w:val="00733663"/>
    <w:rsid w:val="00733A2D"/>
    <w:rsid w:val="00733F89"/>
    <w:rsid w:val="007344A2"/>
    <w:rsid w:val="00734881"/>
    <w:rsid w:val="007354ED"/>
    <w:rsid w:val="00735EE1"/>
    <w:rsid w:val="00736F7C"/>
    <w:rsid w:val="00737012"/>
    <w:rsid w:val="007379F4"/>
    <w:rsid w:val="00737D99"/>
    <w:rsid w:val="00740487"/>
    <w:rsid w:val="00741009"/>
    <w:rsid w:val="007411F1"/>
    <w:rsid w:val="007413E9"/>
    <w:rsid w:val="00741721"/>
    <w:rsid w:val="0074372D"/>
    <w:rsid w:val="00744609"/>
    <w:rsid w:val="007451C5"/>
    <w:rsid w:val="00746974"/>
    <w:rsid w:val="007474EC"/>
    <w:rsid w:val="00747675"/>
    <w:rsid w:val="00747CC0"/>
    <w:rsid w:val="00747D49"/>
    <w:rsid w:val="00747E1F"/>
    <w:rsid w:val="00750D40"/>
    <w:rsid w:val="00750DC5"/>
    <w:rsid w:val="00751159"/>
    <w:rsid w:val="00752232"/>
    <w:rsid w:val="00752C57"/>
    <w:rsid w:val="007537B5"/>
    <w:rsid w:val="0075383C"/>
    <w:rsid w:val="00753ADE"/>
    <w:rsid w:val="0075430F"/>
    <w:rsid w:val="00754C70"/>
    <w:rsid w:val="00755B0C"/>
    <w:rsid w:val="00755C27"/>
    <w:rsid w:val="00755D45"/>
    <w:rsid w:val="00755DED"/>
    <w:rsid w:val="00756423"/>
    <w:rsid w:val="007566A4"/>
    <w:rsid w:val="007566CE"/>
    <w:rsid w:val="00757935"/>
    <w:rsid w:val="007579B1"/>
    <w:rsid w:val="0076281F"/>
    <w:rsid w:val="00762CE2"/>
    <w:rsid w:val="00763632"/>
    <w:rsid w:val="00763D14"/>
    <w:rsid w:val="00763EC0"/>
    <w:rsid w:val="00766BD1"/>
    <w:rsid w:val="00766D75"/>
    <w:rsid w:val="007705B3"/>
    <w:rsid w:val="00771798"/>
    <w:rsid w:val="00771D41"/>
    <w:rsid w:val="00772E29"/>
    <w:rsid w:val="00772F12"/>
    <w:rsid w:val="00773700"/>
    <w:rsid w:val="00773829"/>
    <w:rsid w:val="00774695"/>
    <w:rsid w:val="00774B8E"/>
    <w:rsid w:val="00775052"/>
    <w:rsid w:val="00775877"/>
    <w:rsid w:val="00781006"/>
    <w:rsid w:val="007812CB"/>
    <w:rsid w:val="00781FD1"/>
    <w:rsid w:val="00783189"/>
    <w:rsid w:val="00783B52"/>
    <w:rsid w:val="007843C9"/>
    <w:rsid w:val="00785218"/>
    <w:rsid w:val="00785DDD"/>
    <w:rsid w:val="007871F9"/>
    <w:rsid w:val="007873B8"/>
    <w:rsid w:val="00791EBA"/>
    <w:rsid w:val="0079221C"/>
    <w:rsid w:val="0079323F"/>
    <w:rsid w:val="007936D9"/>
    <w:rsid w:val="0079419E"/>
    <w:rsid w:val="00795149"/>
    <w:rsid w:val="00796BD4"/>
    <w:rsid w:val="00796E85"/>
    <w:rsid w:val="00797A32"/>
    <w:rsid w:val="007A04B2"/>
    <w:rsid w:val="007A1495"/>
    <w:rsid w:val="007A168D"/>
    <w:rsid w:val="007A36F5"/>
    <w:rsid w:val="007A3CB5"/>
    <w:rsid w:val="007A3FE6"/>
    <w:rsid w:val="007A4A1A"/>
    <w:rsid w:val="007A56F7"/>
    <w:rsid w:val="007A64DE"/>
    <w:rsid w:val="007A6C76"/>
    <w:rsid w:val="007B047A"/>
    <w:rsid w:val="007B1691"/>
    <w:rsid w:val="007B18FF"/>
    <w:rsid w:val="007B2895"/>
    <w:rsid w:val="007B368E"/>
    <w:rsid w:val="007B4828"/>
    <w:rsid w:val="007B4FDA"/>
    <w:rsid w:val="007B6861"/>
    <w:rsid w:val="007C3C7A"/>
    <w:rsid w:val="007C3D2A"/>
    <w:rsid w:val="007C4216"/>
    <w:rsid w:val="007C50C6"/>
    <w:rsid w:val="007C7D52"/>
    <w:rsid w:val="007D1752"/>
    <w:rsid w:val="007D1E0F"/>
    <w:rsid w:val="007D3136"/>
    <w:rsid w:val="007D4657"/>
    <w:rsid w:val="007D6B6D"/>
    <w:rsid w:val="007D7A1F"/>
    <w:rsid w:val="007E1EAA"/>
    <w:rsid w:val="007E323D"/>
    <w:rsid w:val="007E3672"/>
    <w:rsid w:val="007E4184"/>
    <w:rsid w:val="007E470E"/>
    <w:rsid w:val="007E4F07"/>
    <w:rsid w:val="007E5A36"/>
    <w:rsid w:val="007E7700"/>
    <w:rsid w:val="007F04A5"/>
    <w:rsid w:val="007F0FB1"/>
    <w:rsid w:val="007F1C8C"/>
    <w:rsid w:val="007F4559"/>
    <w:rsid w:val="007F617B"/>
    <w:rsid w:val="007F6324"/>
    <w:rsid w:val="007F66DE"/>
    <w:rsid w:val="007F6A25"/>
    <w:rsid w:val="00800351"/>
    <w:rsid w:val="00801801"/>
    <w:rsid w:val="00801CE7"/>
    <w:rsid w:val="008026CE"/>
    <w:rsid w:val="00802917"/>
    <w:rsid w:val="008030D3"/>
    <w:rsid w:val="008031DF"/>
    <w:rsid w:val="00804463"/>
    <w:rsid w:val="00804D47"/>
    <w:rsid w:val="00805AEA"/>
    <w:rsid w:val="00805F13"/>
    <w:rsid w:val="00807F57"/>
    <w:rsid w:val="00810808"/>
    <w:rsid w:val="0081181E"/>
    <w:rsid w:val="00812583"/>
    <w:rsid w:val="0081303E"/>
    <w:rsid w:val="008136B7"/>
    <w:rsid w:val="00813DAE"/>
    <w:rsid w:val="00814DEB"/>
    <w:rsid w:val="00815722"/>
    <w:rsid w:val="00815766"/>
    <w:rsid w:val="0081646E"/>
    <w:rsid w:val="00816ADF"/>
    <w:rsid w:val="00816E61"/>
    <w:rsid w:val="00820BB1"/>
    <w:rsid w:val="008232C7"/>
    <w:rsid w:val="008238FE"/>
    <w:rsid w:val="00824AAC"/>
    <w:rsid w:val="00825BA7"/>
    <w:rsid w:val="008275FE"/>
    <w:rsid w:val="008278C9"/>
    <w:rsid w:val="00827AF2"/>
    <w:rsid w:val="008302CE"/>
    <w:rsid w:val="008336B0"/>
    <w:rsid w:val="00834B8E"/>
    <w:rsid w:val="00835B4D"/>
    <w:rsid w:val="0083648E"/>
    <w:rsid w:val="00837606"/>
    <w:rsid w:val="0084136F"/>
    <w:rsid w:val="00841C33"/>
    <w:rsid w:val="00844F3E"/>
    <w:rsid w:val="00845A99"/>
    <w:rsid w:val="00845F36"/>
    <w:rsid w:val="008505DE"/>
    <w:rsid w:val="0085074F"/>
    <w:rsid w:val="0085115B"/>
    <w:rsid w:val="00851F1C"/>
    <w:rsid w:val="008527C4"/>
    <w:rsid w:val="008531F9"/>
    <w:rsid w:val="0085498B"/>
    <w:rsid w:val="0085539A"/>
    <w:rsid w:val="00855425"/>
    <w:rsid w:val="008557F6"/>
    <w:rsid w:val="00860A82"/>
    <w:rsid w:val="0086130E"/>
    <w:rsid w:val="00861A79"/>
    <w:rsid w:val="008624D0"/>
    <w:rsid w:val="00862E61"/>
    <w:rsid w:val="008645BF"/>
    <w:rsid w:val="00867951"/>
    <w:rsid w:val="00871A03"/>
    <w:rsid w:val="00871A8F"/>
    <w:rsid w:val="00871F4C"/>
    <w:rsid w:val="0087360D"/>
    <w:rsid w:val="00873D9C"/>
    <w:rsid w:val="00873E0A"/>
    <w:rsid w:val="008741C7"/>
    <w:rsid w:val="008741E6"/>
    <w:rsid w:val="00874227"/>
    <w:rsid w:val="008746E9"/>
    <w:rsid w:val="008746F7"/>
    <w:rsid w:val="008749ED"/>
    <w:rsid w:val="00874BC0"/>
    <w:rsid w:val="00875167"/>
    <w:rsid w:val="00875DC8"/>
    <w:rsid w:val="00875DF2"/>
    <w:rsid w:val="008764C7"/>
    <w:rsid w:val="00876AD5"/>
    <w:rsid w:val="00880246"/>
    <w:rsid w:val="00881214"/>
    <w:rsid w:val="00881257"/>
    <w:rsid w:val="00881BBB"/>
    <w:rsid w:val="008823EE"/>
    <w:rsid w:val="008826D4"/>
    <w:rsid w:val="00882AF9"/>
    <w:rsid w:val="00883556"/>
    <w:rsid w:val="008837B5"/>
    <w:rsid w:val="0088427E"/>
    <w:rsid w:val="008845DD"/>
    <w:rsid w:val="00884CBB"/>
    <w:rsid w:val="00885545"/>
    <w:rsid w:val="00887C2C"/>
    <w:rsid w:val="008906A3"/>
    <w:rsid w:val="0089122B"/>
    <w:rsid w:val="00891B19"/>
    <w:rsid w:val="00891B5C"/>
    <w:rsid w:val="00891CF8"/>
    <w:rsid w:val="00892220"/>
    <w:rsid w:val="00892BD8"/>
    <w:rsid w:val="00893420"/>
    <w:rsid w:val="00893861"/>
    <w:rsid w:val="008946C0"/>
    <w:rsid w:val="00894949"/>
    <w:rsid w:val="00896294"/>
    <w:rsid w:val="008A0373"/>
    <w:rsid w:val="008A2A38"/>
    <w:rsid w:val="008A49D0"/>
    <w:rsid w:val="008A4FDE"/>
    <w:rsid w:val="008A54F5"/>
    <w:rsid w:val="008A5E8D"/>
    <w:rsid w:val="008A7415"/>
    <w:rsid w:val="008A7555"/>
    <w:rsid w:val="008B0505"/>
    <w:rsid w:val="008B18EC"/>
    <w:rsid w:val="008B2262"/>
    <w:rsid w:val="008B3031"/>
    <w:rsid w:val="008B3ED6"/>
    <w:rsid w:val="008B42DA"/>
    <w:rsid w:val="008B4571"/>
    <w:rsid w:val="008B5DC9"/>
    <w:rsid w:val="008B68FC"/>
    <w:rsid w:val="008B7577"/>
    <w:rsid w:val="008C078A"/>
    <w:rsid w:val="008C1455"/>
    <w:rsid w:val="008C31F0"/>
    <w:rsid w:val="008C3D03"/>
    <w:rsid w:val="008C3D24"/>
    <w:rsid w:val="008C40A5"/>
    <w:rsid w:val="008C4E4F"/>
    <w:rsid w:val="008C580E"/>
    <w:rsid w:val="008C588C"/>
    <w:rsid w:val="008C5AA3"/>
    <w:rsid w:val="008C62CB"/>
    <w:rsid w:val="008C68C1"/>
    <w:rsid w:val="008D0117"/>
    <w:rsid w:val="008D1173"/>
    <w:rsid w:val="008D1474"/>
    <w:rsid w:val="008D1A8F"/>
    <w:rsid w:val="008D1C35"/>
    <w:rsid w:val="008D1E48"/>
    <w:rsid w:val="008D1F63"/>
    <w:rsid w:val="008D24DF"/>
    <w:rsid w:val="008D4938"/>
    <w:rsid w:val="008D4EBB"/>
    <w:rsid w:val="008D5434"/>
    <w:rsid w:val="008D62F5"/>
    <w:rsid w:val="008D7F7A"/>
    <w:rsid w:val="008E0016"/>
    <w:rsid w:val="008E36F7"/>
    <w:rsid w:val="008E3E65"/>
    <w:rsid w:val="008E402B"/>
    <w:rsid w:val="008E4AEE"/>
    <w:rsid w:val="008E4D0A"/>
    <w:rsid w:val="008E628F"/>
    <w:rsid w:val="008F0E8E"/>
    <w:rsid w:val="008F0F25"/>
    <w:rsid w:val="008F1FE6"/>
    <w:rsid w:val="008F2152"/>
    <w:rsid w:val="008F2750"/>
    <w:rsid w:val="008F2BA5"/>
    <w:rsid w:val="008F2CB6"/>
    <w:rsid w:val="008F2EEF"/>
    <w:rsid w:val="008F4149"/>
    <w:rsid w:val="008F4248"/>
    <w:rsid w:val="008F453B"/>
    <w:rsid w:val="008F4A47"/>
    <w:rsid w:val="008F4B7B"/>
    <w:rsid w:val="008F4E71"/>
    <w:rsid w:val="008F512C"/>
    <w:rsid w:val="008F64B5"/>
    <w:rsid w:val="008F6A1D"/>
    <w:rsid w:val="008F73C4"/>
    <w:rsid w:val="00902E8B"/>
    <w:rsid w:val="00903100"/>
    <w:rsid w:val="00905C86"/>
    <w:rsid w:val="00906284"/>
    <w:rsid w:val="009102A8"/>
    <w:rsid w:val="0091127E"/>
    <w:rsid w:val="00912270"/>
    <w:rsid w:val="0091287C"/>
    <w:rsid w:val="00913557"/>
    <w:rsid w:val="00913D30"/>
    <w:rsid w:val="00915AB7"/>
    <w:rsid w:val="00916988"/>
    <w:rsid w:val="00916A1D"/>
    <w:rsid w:val="00916ACA"/>
    <w:rsid w:val="0091703B"/>
    <w:rsid w:val="00920322"/>
    <w:rsid w:val="0092205B"/>
    <w:rsid w:val="00922ED0"/>
    <w:rsid w:val="00924898"/>
    <w:rsid w:val="009276E0"/>
    <w:rsid w:val="0093042F"/>
    <w:rsid w:val="00930B7F"/>
    <w:rsid w:val="00930ED8"/>
    <w:rsid w:val="00931AE6"/>
    <w:rsid w:val="0093281D"/>
    <w:rsid w:val="00932992"/>
    <w:rsid w:val="00932AFC"/>
    <w:rsid w:val="00932FB8"/>
    <w:rsid w:val="00933D46"/>
    <w:rsid w:val="0093413C"/>
    <w:rsid w:val="00934EB7"/>
    <w:rsid w:val="00934ECC"/>
    <w:rsid w:val="0093508A"/>
    <w:rsid w:val="009359FA"/>
    <w:rsid w:val="009367D7"/>
    <w:rsid w:val="00937C1F"/>
    <w:rsid w:val="00941AEA"/>
    <w:rsid w:val="00941D2C"/>
    <w:rsid w:val="009432C1"/>
    <w:rsid w:val="00943F9A"/>
    <w:rsid w:val="0094492F"/>
    <w:rsid w:val="009449D0"/>
    <w:rsid w:val="0094626D"/>
    <w:rsid w:val="00947985"/>
    <w:rsid w:val="00947C8A"/>
    <w:rsid w:val="00947D2F"/>
    <w:rsid w:val="00950AD2"/>
    <w:rsid w:val="0095143F"/>
    <w:rsid w:val="00951990"/>
    <w:rsid w:val="00953A47"/>
    <w:rsid w:val="0095427A"/>
    <w:rsid w:val="0095521F"/>
    <w:rsid w:val="00955D79"/>
    <w:rsid w:val="009563FD"/>
    <w:rsid w:val="00956AE4"/>
    <w:rsid w:val="009576D2"/>
    <w:rsid w:val="0096072D"/>
    <w:rsid w:val="00960BC7"/>
    <w:rsid w:val="00961EDA"/>
    <w:rsid w:val="009627C1"/>
    <w:rsid w:val="00962A0A"/>
    <w:rsid w:val="009631CD"/>
    <w:rsid w:val="00963260"/>
    <w:rsid w:val="00963B81"/>
    <w:rsid w:val="009656D1"/>
    <w:rsid w:val="009657D8"/>
    <w:rsid w:val="00965807"/>
    <w:rsid w:val="0096689C"/>
    <w:rsid w:val="00966C0E"/>
    <w:rsid w:val="009702EC"/>
    <w:rsid w:val="00970ECB"/>
    <w:rsid w:val="00971D4C"/>
    <w:rsid w:val="00972DB3"/>
    <w:rsid w:val="00975168"/>
    <w:rsid w:val="009767FB"/>
    <w:rsid w:val="0097686B"/>
    <w:rsid w:val="009801E1"/>
    <w:rsid w:val="0098025B"/>
    <w:rsid w:val="009803FE"/>
    <w:rsid w:val="009822A1"/>
    <w:rsid w:val="009823C9"/>
    <w:rsid w:val="00987D02"/>
    <w:rsid w:val="00987D46"/>
    <w:rsid w:val="00991726"/>
    <w:rsid w:val="0099236A"/>
    <w:rsid w:val="009923CC"/>
    <w:rsid w:val="009934BF"/>
    <w:rsid w:val="009935B4"/>
    <w:rsid w:val="00994B49"/>
    <w:rsid w:val="00997AA9"/>
    <w:rsid w:val="00997E79"/>
    <w:rsid w:val="009A1C2B"/>
    <w:rsid w:val="009A2D2E"/>
    <w:rsid w:val="009A35E5"/>
    <w:rsid w:val="009A3F74"/>
    <w:rsid w:val="009A4BD9"/>
    <w:rsid w:val="009A4DCE"/>
    <w:rsid w:val="009A4EAD"/>
    <w:rsid w:val="009A5AC7"/>
    <w:rsid w:val="009A6B43"/>
    <w:rsid w:val="009A6E57"/>
    <w:rsid w:val="009A7519"/>
    <w:rsid w:val="009A7B23"/>
    <w:rsid w:val="009A7BEB"/>
    <w:rsid w:val="009A7D18"/>
    <w:rsid w:val="009B0165"/>
    <w:rsid w:val="009B0DFA"/>
    <w:rsid w:val="009B2B79"/>
    <w:rsid w:val="009B2DB9"/>
    <w:rsid w:val="009B2F4A"/>
    <w:rsid w:val="009B3072"/>
    <w:rsid w:val="009B3B93"/>
    <w:rsid w:val="009B4047"/>
    <w:rsid w:val="009B461B"/>
    <w:rsid w:val="009B5805"/>
    <w:rsid w:val="009B6FD6"/>
    <w:rsid w:val="009B78A6"/>
    <w:rsid w:val="009C1865"/>
    <w:rsid w:val="009C3F3E"/>
    <w:rsid w:val="009C40C0"/>
    <w:rsid w:val="009C66AF"/>
    <w:rsid w:val="009D0258"/>
    <w:rsid w:val="009D0EFF"/>
    <w:rsid w:val="009D133F"/>
    <w:rsid w:val="009D1A4F"/>
    <w:rsid w:val="009D1FF1"/>
    <w:rsid w:val="009D2D4D"/>
    <w:rsid w:val="009D3591"/>
    <w:rsid w:val="009D4132"/>
    <w:rsid w:val="009D5634"/>
    <w:rsid w:val="009D62CD"/>
    <w:rsid w:val="009D7368"/>
    <w:rsid w:val="009E011A"/>
    <w:rsid w:val="009E0D17"/>
    <w:rsid w:val="009E0D21"/>
    <w:rsid w:val="009E158E"/>
    <w:rsid w:val="009E1AEA"/>
    <w:rsid w:val="009E1E86"/>
    <w:rsid w:val="009E1F57"/>
    <w:rsid w:val="009E3807"/>
    <w:rsid w:val="009E3A9F"/>
    <w:rsid w:val="009E43FA"/>
    <w:rsid w:val="009E5326"/>
    <w:rsid w:val="009E6718"/>
    <w:rsid w:val="009E6A9F"/>
    <w:rsid w:val="009E7689"/>
    <w:rsid w:val="009E77B9"/>
    <w:rsid w:val="009E7E53"/>
    <w:rsid w:val="009E7FE8"/>
    <w:rsid w:val="009F032D"/>
    <w:rsid w:val="009F3242"/>
    <w:rsid w:val="009F365C"/>
    <w:rsid w:val="009F4DEA"/>
    <w:rsid w:val="009F5D03"/>
    <w:rsid w:val="009F66B1"/>
    <w:rsid w:val="00A00E7A"/>
    <w:rsid w:val="00A01DB3"/>
    <w:rsid w:val="00A02978"/>
    <w:rsid w:val="00A035F2"/>
    <w:rsid w:val="00A03937"/>
    <w:rsid w:val="00A04A54"/>
    <w:rsid w:val="00A0518C"/>
    <w:rsid w:val="00A05AF4"/>
    <w:rsid w:val="00A05D6A"/>
    <w:rsid w:val="00A06461"/>
    <w:rsid w:val="00A07B71"/>
    <w:rsid w:val="00A104BE"/>
    <w:rsid w:val="00A1186F"/>
    <w:rsid w:val="00A12179"/>
    <w:rsid w:val="00A12510"/>
    <w:rsid w:val="00A13FED"/>
    <w:rsid w:val="00A15205"/>
    <w:rsid w:val="00A1600C"/>
    <w:rsid w:val="00A17963"/>
    <w:rsid w:val="00A2183E"/>
    <w:rsid w:val="00A21845"/>
    <w:rsid w:val="00A219E8"/>
    <w:rsid w:val="00A2236D"/>
    <w:rsid w:val="00A23AD4"/>
    <w:rsid w:val="00A2443C"/>
    <w:rsid w:val="00A2445F"/>
    <w:rsid w:val="00A2518F"/>
    <w:rsid w:val="00A252F0"/>
    <w:rsid w:val="00A25FE5"/>
    <w:rsid w:val="00A2623E"/>
    <w:rsid w:val="00A26285"/>
    <w:rsid w:val="00A26989"/>
    <w:rsid w:val="00A269B4"/>
    <w:rsid w:val="00A27D56"/>
    <w:rsid w:val="00A30A1C"/>
    <w:rsid w:val="00A31B1A"/>
    <w:rsid w:val="00A32FA1"/>
    <w:rsid w:val="00A33D8F"/>
    <w:rsid w:val="00A3513B"/>
    <w:rsid w:val="00A3514A"/>
    <w:rsid w:val="00A359CF"/>
    <w:rsid w:val="00A35C99"/>
    <w:rsid w:val="00A3658B"/>
    <w:rsid w:val="00A3721B"/>
    <w:rsid w:val="00A4065D"/>
    <w:rsid w:val="00A41025"/>
    <w:rsid w:val="00A411B5"/>
    <w:rsid w:val="00A42E9C"/>
    <w:rsid w:val="00A43C3F"/>
    <w:rsid w:val="00A43C96"/>
    <w:rsid w:val="00A448C6"/>
    <w:rsid w:val="00A44ED8"/>
    <w:rsid w:val="00A461C8"/>
    <w:rsid w:val="00A472AB"/>
    <w:rsid w:val="00A47E02"/>
    <w:rsid w:val="00A47E9D"/>
    <w:rsid w:val="00A5055A"/>
    <w:rsid w:val="00A50A5C"/>
    <w:rsid w:val="00A517AB"/>
    <w:rsid w:val="00A52667"/>
    <w:rsid w:val="00A52D01"/>
    <w:rsid w:val="00A5305F"/>
    <w:rsid w:val="00A5419F"/>
    <w:rsid w:val="00A559CD"/>
    <w:rsid w:val="00A56E7F"/>
    <w:rsid w:val="00A57004"/>
    <w:rsid w:val="00A57D5D"/>
    <w:rsid w:val="00A57DEB"/>
    <w:rsid w:val="00A60CA6"/>
    <w:rsid w:val="00A618A4"/>
    <w:rsid w:val="00A623FF"/>
    <w:rsid w:val="00A626C6"/>
    <w:rsid w:val="00A63BB4"/>
    <w:rsid w:val="00A63C99"/>
    <w:rsid w:val="00A65C16"/>
    <w:rsid w:val="00A66508"/>
    <w:rsid w:val="00A67BC3"/>
    <w:rsid w:val="00A7059C"/>
    <w:rsid w:val="00A70B5D"/>
    <w:rsid w:val="00A71B81"/>
    <w:rsid w:val="00A7236D"/>
    <w:rsid w:val="00A72BE6"/>
    <w:rsid w:val="00A7460C"/>
    <w:rsid w:val="00A74ADD"/>
    <w:rsid w:val="00A75C15"/>
    <w:rsid w:val="00A76C85"/>
    <w:rsid w:val="00A803EB"/>
    <w:rsid w:val="00A81D9B"/>
    <w:rsid w:val="00A85255"/>
    <w:rsid w:val="00A85919"/>
    <w:rsid w:val="00A85AD4"/>
    <w:rsid w:val="00A86B5C"/>
    <w:rsid w:val="00A875B1"/>
    <w:rsid w:val="00A90239"/>
    <w:rsid w:val="00A920C0"/>
    <w:rsid w:val="00A9289E"/>
    <w:rsid w:val="00A93B4D"/>
    <w:rsid w:val="00A951E5"/>
    <w:rsid w:val="00A97C94"/>
    <w:rsid w:val="00AA0EEA"/>
    <w:rsid w:val="00AA3D14"/>
    <w:rsid w:val="00AA4C6F"/>
    <w:rsid w:val="00AA5690"/>
    <w:rsid w:val="00AA5CF0"/>
    <w:rsid w:val="00AA6113"/>
    <w:rsid w:val="00AA6368"/>
    <w:rsid w:val="00AA680D"/>
    <w:rsid w:val="00AB01E8"/>
    <w:rsid w:val="00AB136D"/>
    <w:rsid w:val="00AB1752"/>
    <w:rsid w:val="00AB1A69"/>
    <w:rsid w:val="00AB1B34"/>
    <w:rsid w:val="00AB2AAD"/>
    <w:rsid w:val="00AB4CDA"/>
    <w:rsid w:val="00AB4EF4"/>
    <w:rsid w:val="00AB67FA"/>
    <w:rsid w:val="00AB7077"/>
    <w:rsid w:val="00AB78F9"/>
    <w:rsid w:val="00AB7CC5"/>
    <w:rsid w:val="00AC228E"/>
    <w:rsid w:val="00AC22AF"/>
    <w:rsid w:val="00AC410A"/>
    <w:rsid w:val="00AC48BB"/>
    <w:rsid w:val="00AC4934"/>
    <w:rsid w:val="00AC4AF1"/>
    <w:rsid w:val="00AC5010"/>
    <w:rsid w:val="00AC532C"/>
    <w:rsid w:val="00AC54CE"/>
    <w:rsid w:val="00AC6881"/>
    <w:rsid w:val="00AC6C17"/>
    <w:rsid w:val="00AC7CC2"/>
    <w:rsid w:val="00AC7FD4"/>
    <w:rsid w:val="00AD055B"/>
    <w:rsid w:val="00AD0DEE"/>
    <w:rsid w:val="00AD198A"/>
    <w:rsid w:val="00AD1C18"/>
    <w:rsid w:val="00AD23E9"/>
    <w:rsid w:val="00AD2AEF"/>
    <w:rsid w:val="00AD2B67"/>
    <w:rsid w:val="00AD2FA7"/>
    <w:rsid w:val="00AD3323"/>
    <w:rsid w:val="00AD341D"/>
    <w:rsid w:val="00AD5D19"/>
    <w:rsid w:val="00AD6582"/>
    <w:rsid w:val="00AD706B"/>
    <w:rsid w:val="00AD7581"/>
    <w:rsid w:val="00AD7799"/>
    <w:rsid w:val="00AE0152"/>
    <w:rsid w:val="00AE0667"/>
    <w:rsid w:val="00AE0B39"/>
    <w:rsid w:val="00AE0CFB"/>
    <w:rsid w:val="00AE0DC8"/>
    <w:rsid w:val="00AE11FB"/>
    <w:rsid w:val="00AE1603"/>
    <w:rsid w:val="00AE20DD"/>
    <w:rsid w:val="00AE2F51"/>
    <w:rsid w:val="00AE30B2"/>
    <w:rsid w:val="00AE5A84"/>
    <w:rsid w:val="00AE7E35"/>
    <w:rsid w:val="00AF056F"/>
    <w:rsid w:val="00AF0D57"/>
    <w:rsid w:val="00AF1AB1"/>
    <w:rsid w:val="00AF2359"/>
    <w:rsid w:val="00AF27CD"/>
    <w:rsid w:val="00AF280D"/>
    <w:rsid w:val="00AF4215"/>
    <w:rsid w:val="00AF5568"/>
    <w:rsid w:val="00AF586F"/>
    <w:rsid w:val="00AF65BF"/>
    <w:rsid w:val="00AF6B1A"/>
    <w:rsid w:val="00AF70FF"/>
    <w:rsid w:val="00AF7F5B"/>
    <w:rsid w:val="00B00E4D"/>
    <w:rsid w:val="00B01222"/>
    <w:rsid w:val="00B02284"/>
    <w:rsid w:val="00B029F1"/>
    <w:rsid w:val="00B02A65"/>
    <w:rsid w:val="00B0310E"/>
    <w:rsid w:val="00B0422A"/>
    <w:rsid w:val="00B047F1"/>
    <w:rsid w:val="00B068B7"/>
    <w:rsid w:val="00B07D45"/>
    <w:rsid w:val="00B107CD"/>
    <w:rsid w:val="00B10B7E"/>
    <w:rsid w:val="00B125BE"/>
    <w:rsid w:val="00B13642"/>
    <w:rsid w:val="00B13B06"/>
    <w:rsid w:val="00B15135"/>
    <w:rsid w:val="00B16153"/>
    <w:rsid w:val="00B163D6"/>
    <w:rsid w:val="00B164A3"/>
    <w:rsid w:val="00B166AE"/>
    <w:rsid w:val="00B17C2C"/>
    <w:rsid w:val="00B20C0D"/>
    <w:rsid w:val="00B212B6"/>
    <w:rsid w:val="00B22172"/>
    <w:rsid w:val="00B233F7"/>
    <w:rsid w:val="00B24F9D"/>
    <w:rsid w:val="00B25800"/>
    <w:rsid w:val="00B26223"/>
    <w:rsid w:val="00B2798F"/>
    <w:rsid w:val="00B309D4"/>
    <w:rsid w:val="00B30A6C"/>
    <w:rsid w:val="00B30D2A"/>
    <w:rsid w:val="00B34ED9"/>
    <w:rsid w:val="00B35669"/>
    <w:rsid w:val="00B3627E"/>
    <w:rsid w:val="00B3699A"/>
    <w:rsid w:val="00B3734A"/>
    <w:rsid w:val="00B37DD2"/>
    <w:rsid w:val="00B41392"/>
    <w:rsid w:val="00B41556"/>
    <w:rsid w:val="00B4164C"/>
    <w:rsid w:val="00B4293A"/>
    <w:rsid w:val="00B42A3D"/>
    <w:rsid w:val="00B43CAC"/>
    <w:rsid w:val="00B44A3E"/>
    <w:rsid w:val="00B45E51"/>
    <w:rsid w:val="00B46D8F"/>
    <w:rsid w:val="00B5018A"/>
    <w:rsid w:val="00B507BE"/>
    <w:rsid w:val="00B516DA"/>
    <w:rsid w:val="00B524EB"/>
    <w:rsid w:val="00B53882"/>
    <w:rsid w:val="00B53A4D"/>
    <w:rsid w:val="00B551A1"/>
    <w:rsid w:val="00B55C8E"/>
    <w:rsid w:val="00B55CCB"/>
    <w:rsid w:val="00B56155"/>
    <w:rsid w:val="00B56B9B"/>
    <w:rsid w:val="00B56FCA"/>
    <w:rsid w:val="00B6181F"/>
    <w:rsid w:val="00B62142"/>
    <w:rsid w:val="00B62B2B"/>
    <w:rsid w:val="00B63E94"/>
    <w:rsid w:val="00B6619D"/>
    <w:rsid w:val="00B66835"/>
    <w:rsid w:val="00B670C5"/>
    <w:rsid w:val="00B674D9"/>
    <w:rsid w:val="00B70051"/>
    <w:rsid w:val="00B710CF"/>
    <w:rsid w:val="00B72AD8"/>
    <w:rsid w:val="00B7300E"/>
    <w:rsid w:val="00B7350E"/>
    <w:rsid w:val="00B74C4F"/>
    <w:rsid w:val="00B75288"/>
    <w:rsid w:val="00B75B19"/>
    <w:rsid w:val="00B7699F"/>
    <w:rsid w:val="00B77D63"/>
    <w:rsid w:val="00B80514"/>
    <w:rsid w:val="00B8072C"/>
    <w:rsid w:val="00B80F72"/>
    <w:rsid w:val="00B81ECA"/>
    <w:rsid w:val="00B82009"/>
    <w:rsid w:val="00B82E02"/>
    <w:rsid w:val="00B84BC2"/>
    <w:rsid w:val="00B855B9"/>
    <w:rsid w:val="00B86A44"/>
    <w:rsid w:val="00B86A58"/>
    <w:rsid w:val="00B8732C"/>
    <w:rsid w:val="00B87E5C"/>
    <w:rsid w:val="00B9001A"/>
    <w:rsid w:val="00B9106B"/>
    <w:rsid w:val="00B91116"/>
    <w:rsid w:val="00B9293F"/>
    <w:rsid w:val="00B94DC3"/>
    <w:rsid w:val="00B9526E"/>
    <w:rsid w:val="00B95547"/>
    <w:rsid w:val="00B962BE"/>
    <w:rsid w:val="00B97E04"/>
    <w:rsid w:val="00BA0C67"/>
    <w:rsid w:val="00BA0D2F"/>
    <w:rsid w:val="00BA1397"/>
    <w:rsid w:val="00BA16F6"/>
    <w:rsid w:val="00BA390B"/>
    <w:rsid w:val="00BA3BBA"/>
    <w:rsid w:val="00BA3C2E"/>
    <w:rsid w:val="00BA524E"/>
    <w:rsid w:val="00BA54F4"/>
    <w:rsid w:val="00BA6560"/>
    <w:rsid w:val="00BA685A"/>
    <w:rsid w:val="00BA7574"/>
    <w:rsid w:val="00BA7827"/>
    <w:rsid w:val="00BA7A16"/>
    <w:rsid w:val="00BB1136"/>
    <w:rsid w:val="00BB2710"/>
    <w:rsid w:val="00BB306C"/>
    <w:rsid w:val="00BB547B"/>
    <w:rsid w:val="00BC0713"/>
    <w:rsid w:val="00BC196B"/>
    <w:rsid w:val="00BC1C9D"/>
    <w:rsid w:val="00BC35F9"/>
    <w:rsid w:val="00BC4728"/>
    <w:rsid w:val="00BC4971"/>
    <w:rsid w:val="00BC5B05"/>
    <w:rsid w:val="00BC671E"/>
    <w:rsid w:val="00BC7ED5"/>
    <w:rsid w:val="00BD025B"/>
    <w:rsid w:val="00BD031A"/>
    <w:rsid w:val="00BD0E61"/>
    <w:rsid w:val="00BD0E85"/>
    <w:rsid w:val="00BD2D3B"/>
    <w:rsid w:val="00BD3DFB"/>
    <w:rsid w:val="00BD55F5"/>
    <w:rsid w:val="00BD5BC9"/>
    <w:rsid w:val="00BD62A2"/>
    <w:rsid w:val="00BD6592"/>
    <w:rsid w:val="00BD6CAD"/>
    <w:rsid w:val="00BE0372"/>
    <w:rsid w:val="00BE09C6"/>
    <w:rsid w:val="00BE2A3C"/>
    <w:rsid w:val="00BE2E03"/>
    <w:rsid w:val="00BE3949"/>
    <w:rsid w:val="00BE3EBD"/>
    <w:rsid w:val="00BE3F10"/>
    <w:rsid w:val="00BE459D"/>
    <w:rsid w:val="00BE4A93"/>
    <w:rsid w:val="00BE54BE"/>
    <w:rsid w:val="00BE57AE"/>
    <w:rsid w:val="00BE6DC2"/>
    <w:rsid w:val="00BE7578"/>
    <w:rsid w:val="00BE768C"/>
    <w:rsid w:val="00BE7788"/>
    <w:rsid w:val="00BE7F63"/>
    <w:rsid w:val="00BF09C9"/>
    <w:rsid w:val="00BF3486"/>
    <w:rsid w:val="00BF3CC8"/>
    <w:rsid w:val="00BF41FD"/>
    <w:rsid w:val="00BF554B"/>
    <w:rsid w:val="00BF5C1D"/>
    <w:rsid w:val="00BF6451"/>
    <w:rsid w:val="00C018CA"/>
    <w:rsid w:val="00C01E65"/>
    <w:rsid w:val="00C0205F"/>
    <w:rsid w:val="00C0320D"/>
    <w:rsid w:val="00C035D3"/>
    <w:rsid w:val="00C038E9"/>
    <w:rsid w:val="00C03DE1"/>
    <w:rsid w:val="00C04073"/>
    <w:rsid w:val="00C0497C"/>
    <w:rsid w:val="00C04AF0"/>
    <w:rsid w:val="00C05671"/>
    <w:rsid w:val="00C0595E"/>
    <w:rsid w:val="00C05BAB"/>
    <w:rsid w:val="00C07043"/>
    <w:rsid w:val="00C07073"/>
    <w:rsid w:val="00C07B88"/>
    <w:rsid w:val="00C11CE2"/>
    <w:rsid w:val="00C1215E"/>
    <w:rsid w:val="00C12617"/>
    <w:rsid w:val="00C12960"/>
    <w:rsid w:val="00C1376C"/>
    <w:rsid w:val="00C13EA0"/>
    <w:rsid w:val="00C15D94"/>
    <w:rsid w:val="00C17244"/>
    <w:rsid w:val="00C201F2"/>
    <w:rsid w:val="00C20B61"/>
    <w:rsid w:val="00C2160C"/>
    <w:rsid w:val="00C22A32"/>
    <w:rsid w:val="00C22B6B"/>
    <w:rsid w:val="00C22BE6"/>
    <w:rsid w:val="00C23FA5"/>
    <w:rsid w:val="00C249B9"/>
    <w:rsid w:val="00C24A9A"/>
    <w:rsid w:val="00C24B21"/>
    <w:rsid w:val="00C2537D"/>
    <w:rsid w:val="00C25BED"/>
    <w:rsid w:val="00C2709C"/>
    <w:rsid w:val="00C27454"/>
    <w:rsid w:val="00C30843"/>
    <w:rsid w:val="00C30E51"/>
    <w:rsid w:val="00C319D2"/>
    <w:rsid w:val="00C32096"/>
    <w:rsid w:val="00C32507"/>
    <w:rsid w:val="00C33273"/>
    <w:rsid w:val="00C3399F"/>
    <w:rsid w:val="00C33E60"/>
    <w:rsid w:val="00C348FD"/>
    <w:rsid w:val="00C34B4D"/>
    <w:rsid w:val="00C34F7D"/>
    <w:rsid w:val="00C35B8B"/>
    <w:rsid w:val="00C3709B"/>
    <w:rsid w:val="00C37DDE"/>
    <w:rsid w:val="00C40428"/>
    <w:rsid w:val="00C41440"/>
    <w:rsid w:val="00C42864"/>
    <w:rsid w:val="00C43045"/>
    <w:rsid w:val="00C44837"/>
    <w:rsid w:val="00C44C64"/>
    <w:rsid w:val="00C44CC1"/>
    <w:rsid w:val="00C4582E"/>
    <w:rsid w:val="00C4587A"/>
    <w:rsid w:val="00C45A2F"/>
    <w:rsid w:val="00C462A5"/>
    <w:rsid w:val="00C46904"/>
    <w:rsid w:val="00C47F35"/>
    <w:rsid w:val="00C513B4"/>
    <w:rsid w:val="00C51FDD"/>
    <w:rsid w:val="00C524DB"/>
    <w:rsid w:val="00C52BDC"/>
    <w:rsid w:val="00C53E5D"/>
    <w:rsid w:val="00C54B2F"/>
    <w:rsid w:val="00C5672B"/>
    <w:rsid w:val="00C57C90"/>
    <w:rsid w:val="00C60135"/>
    <w:rsid w:val="00C60B32"/>
    <w:rsid w:val="00C60B65"/>
    <w:rsid w:val="00C62C62"/>
    <w:rsid w:val="00C632F4"/>
    <w:rsid w:val="00C65163"/>
    <w:rsid w:val="00C65BBD"/>
    <w:rsid w:val="00C65EB0"/>
    <w:rsid w:val="00C66999"/>
    <w:rsid w:val="00C70B4E"/>
    <w:rsid w:val="00C713BE"/>
    <w:rsid w:val="00C722E7"/>
    <w:rsid w:val="00C7267A"/>
    <w:rsid w:val="00C72C4E"/>
    <w:rsid w:val="00C7309D"/>
    <w:rsid w:val="00C7435F"/>
    <w:rsid w:val="00C7460D"/>
    <w:rsid w:val="00C74C29"/>
    <w:rsid w:val="00C7613F"/>
    <w:rsid w:val="00C76D75"/>
    <w:rsid w:val="00C76DD0"/>
    <w:rsid w:val="00C80A3E"/>
    <w:rsid w:val="00C815AC"/>
    <w:rsid w:val="00C81849"/>
    <w:rsid w:val="00C82743"/>
    <w:rsid w:val="00C856F7"/>
    <w:rsid w:val="00C857F8"/>
    <w:rsid w:val="00C85D69"/>
    <w:rsid w:val="00C85EC1"/>
    <w:rsid w:val="00C85F1D"/>
    <w:rsid w:val="00C865C4"/>
    <w:rsid w:val="00C87259"/>
    <w:rsid w:val="00C873A9"/>
    <w:rsid w:val="00C87690"/>
    <w:rsid w:val="00C90047"/>
    <w:rsid w:val="00C90999"/>
    <w:rsid w:val="00C90A14"/>
    <w:rsid w:val="00C90B99"/>
    <w:rsid w:val="00C914C9"/>
    <w:rsid w:val="00C915A2"/>
    <w:rsid w:val="00C917E7"/>
    <w:rsid w:val="00C93AB6"/>
    <w:rsid w:val="00C947E2"/>
    <w:rsid w:val="00C94B97"/>
    <w:rsid w:val="00C957BD"/>
    <w:rsid w:val="00C97378"/>
    <w:rsid w:val="00C97409"/>
    <w:rsid w:val="00C97934"/>
    <w:rsid w:val="00CA101F"/>
    <w:rsid w:val="00CA136E"/>
    <w:rsid w:val="00CA1B13"/>
    <w:rsid w:val="00CA3AA6"/>
    <w:rsid w:val="00CA3F13"/>
    <w:rsid w:val="00CA40BD"/>
    <w:rsid w:val="00CA6324"/>
    <w:rsid w:val="00CA66C1"/>
    <w:rsid w:val="00CA6755"/>
    <w:rsid w:val="00CA6881"/>
    <w:rsid w:val="00CB15D3"/>
    <w:rsid w:val="00CB1BC0"/>
    <w:rsid w:val="00CB39B3"/>
    <w:rsid w:val="00CB4F5D"/>
    <w:rsid w:val="00CB650E"/>
    <w:rsid w:val="00CB6A53"/>
    <w:rsid w:val="00CB7BD0"/>
    <w:rsid w:val="00CC0873"/>
    <w:rsid w:val="00CC11BE"/>
    <w:rsid w:val="00CC1574"/>
    <w:rsid w:val="00CC16BE"/>
    <w:rsid w:val="00CC1AFE"/>
    <w:rsid w:val="00CC24D2"/>
    <w:rsid w:val="00CC2759"/>
    <w:rsid w:val="00CC3831"/>
    <w:rsid w:val="00CC3951"/>
    <w:rsid w:val="00CC4827"/>
    <w:rsid w:val="00CC4A8E"/>
    <w:rsid w:val="00CC597A"/>
    <w:rsid w:val="00CC7A32"/>
    <w:rsid w:val="00CD0443"/>
    <w:rsid w:val="00CD2711"/>
    <w:rsid w:val="00CD290F"/>
    <w:rsid w:val="00CD3452"/>
    <w:rsid w:val="00CD3568"/>
    <w:rsid w:val="00CD626C"/>
    <w:rsid w:val="00CD6C1C"/>
    <w:rsid w:val="00CE112B"/>
    <w:rsid w:val="00CE1B0E"/>
    <w:rsid w:val="00CE1CC7"/>
    <w:rsid w:val="00CE2DC3"/>
    <w:rsid w:val="00CE2F2B"/>
    <w:rsid w:val="00CE3EB1"/>
    <w:rsid w:val="00CE54D8"/>
    <w:rsid w:val="00CE6334"/>
    <w:rsid w:val="00CE639F"/>
    <w:rsid w:val="00CE69AB"/>
    <w:rsid w:val="00CE6AF4"/>
    <w:rsid w:val="00CE742E"/>
    <w:rsid w:val="00CE76F1"/>
    <w:rsid w:val="00CF0054"/>
    <w:rsid w:val="00CF043C"/>
    <w:rsid w:val="00CF056D"/>
    <w:rsid w:val="00CF05CF"/>
    <w:rsid w:val="00CF1307"/>
    <w:rsid w:val="00CF1A81"/>
    <w:rsid w:val="00CF246A"/>
    <w:rsid w:val="00CF2861"/>
    <w:rsid w:val="00CF3B86"/>
    <w:rsid w:val="00CF3E93"/>
    <w:rsid w:val="00CF3F86"/>
    <w:rsid w:val="00CF40D3"/>
    <w:rsid w:val="00CF5789"/>
    <w:rsid w:val="00CF5EB3"/>
    <w:rsid w:val="00CF600E"/>
    <w:rsid w:val="00CF66FA"/>
    <w:rsid w:val="00CF6E7D"/>
    <w:rsid w:val="00CF7B41"/>
    <w:rsid w:val="00CF7B8D"/>
    <w:rsid w:val="00D01406"/>
    <w:rsid w:val="00D05335"/>
    <w:rsid w:val="00D0557B"/>
    <w:rsid w:val="00D0633B"/>
    <w:rsid w:val="00D06CEE"/>
    <w:rsid w:val="00D06D0D"/>
    <w:rsid w:val="00D077B7"/>
    <w:rsid w:val="00D10E87"/>
    <w:rsid w:val="00D1137F"/>
    <w:rsid w:val="00D11455"/>
    <w:rsid w:val="00D11651"/>
    <w:rsid w:val="00D11A2A"/>
    <w:rsid w:val="00D11CED"/>
    <w:rsid w:val="00D13D21"/>
    <w:rsid w:val="00D154CF"/>
    <w:rsid w:val="00D1637C"/>
    <w:rsid w:val="00D16FFE"/>
    <w:rsid w:val="00D17195"/>
    <w:rsid w:val="00D171F2"/>
    <w:rsid w:val="00D17B67"/>
    <w:rsid w:val="00D2150E"/>
    <w:rsid w:val="00D2288C"/>
    <w:rsid w:val="00D22A4C"/>
    <w:rsid w:val="00D22EB6"/>
    <w:rsid w:val="00D2356B"/>
    <w:rsid w:val="00D2438B"/>
    <w:rsid w:val="00D247E2"/>
    <w:rsid w:val="00D24903"/>
    <w:rsid w:val="00D24D50"/>
    <w:rsid w:val="00D24D99"/>
    <w:rsid w:val="00D259D2"/>
    <w:rsid w:val="00D3071B"/>
    <w:rsid w:val="00D31D14"/>
    <w:rsid w:val="00D31F2D"/>
    <w:rsid w:val="00D32C76"/>
    <w:rsid w:val="00D32C86"/>
    <w:rsid w:val="00D337B6"/>
    <w:rsid w:val="00D33BAE"/>
    <w:rsid w:val="00D347F2"/>
    <w:rsid w:val="00D34D6E"/>
    <w:rsid w:val="00D35922"/>
    <w:rsid w:val="00D35E88"/>
    <w:rsid w:val="00D36446"/>
    <w:rsid w:val="00D37C93"/>
    <w:rsid w:val="00D37F5E"/>
    <w:rsid w:val="00D4033C"/>
    <w:rsid w:val="00D41781"/>
    <w:rsid w:val="00D417B0"/>
    <w:rsid w:val="00D42709"/>
    <w:rsid w:val="00D4307E"/>
    <w:rsid w:val="00D44896"/>
    <w:rsid w:val="00D457D5"/>
    <w:rsid w:val="00D460BD"/>
    <w:rsid w:val="00D46664"/>
    <w:rsid w:val="00D46F22"/>
    <w:rsid w:val="00D47FB1"/>
    <w:rsid w:val="00D50151"/>
    <w:rsid w:val="00D50547"/>
    <w:rsid w:val="00D5076E"/>
    <w:rsid w:val="00D50C65"/>
    <w:rsid w:val="00D5182F"/>
    <w:rsid w:val="00D51E3C"/>
    <w:rsid w:val="00D530A5"/>
    <w:rsid w:val="00D53143"/>
    <w:rsid w:val="00D556B3"/>
    <w:rsid w:val="00D57E02"/>
    <w:rsid w:val="00D61AB5"/>
    <w:rsid w:val="00D6266E"/>
    <w:rsid w:val="00D62F1F"/>
    <w:rsid w:val="00D6303B"/>
    <w:rsid w:val="00D632AC"/>
    <w:rsid w:val="00D63E9B"/>
    <w:rsid w:val="00D64324"/>
    <w:rsid w:val="00D64995"/>
    <w:rsid w:val="00D64FF1"/>
    <w:rsid w:val="00D668E3"/>
    <w:rsid w:val="00D6705E"/>
    <w:rsid w:val="00D6718B"/>
    <w:rsid w:val="00D707CD"/>
    <w:rsid w:val="00D70D2E"/>
    <w:rsid w:val="00D71184"/>
    <w:rsid w:val="00D71F18"/>
    <w:rsid w:val="00D7200E"/>
    <w:rsid w:val="00D72C7E"/>
    <w:rsid w:val="00D7521B"/>
    <w:rsid w:val="00D7584F"/>
    <w:rsid w:val="00D76B1D"/>
    <w:rsid w:val="00D779EA"/>
    <w:rsid w:val="00D807E9"/>
    <w:rsid w:val="00D80CCA"/>
    <w:rsid w:val="00D83A14"/>
    <w:rsid w:val="00D83B6C"/>
    <w:rsid w:val="00D840AC"/>
    <w:rsid w:val="00D847CF"/>
    <w:rsid w:val="00D85E4C"/>
    <w:rsid w:val="00D86F53"/>
    <w:rsid w:val="00D87D26"/>
    <w:rsid w:val="00D91230"/>
    <w:rsid w:val="00D91FC8"/>
    <w:rsid w:val="00D94C70"/>
    <w:rsid w:val="00D94DCC"/>
    <w:rsid w:val="00D9593A"/>
    <w:rsid w:val="00D96A4F"/>
    <w:rsid w:val="00D97711"/>
    <w:rsid w:val="00DA08CE"/>
    <w:rsid w:val="00DA0B19"/>
    <w:rsid w:val="00DA2A18"/>
    <w:rsid w:val="00DA4B9A"/>
    <w:rsid w:val="00DA4EB0"/>
    <w:rsid w:val="00DA56A1"/>
    <w:rsid w:val="00DA5938"/>
    <w:rsid w:val="00DA5D2E"/>
    <w:rsid w:val="00DA6515"/>
    <w:rsid w:val="00DB116B"/>
    <w:rsid w:val="00DB18C4"/>
    <w:rsid w:val="00DB34DB"/>
    <w:rsid w:val="00DB3E1F"/>
    <w:rsid w:val="00DB4FD8"/>
    <w:rsid w:val="00DB6718"/>
    <w:rsid w:val="00DB6857"/>
    <w:rsid w:val="00DC099F"/>
    <w:rsid w:val="00DC174B"/>
    <w:rsid w:val="00DC1DAB"/>
    <w:rsid w:val="00DC2DE8"/>
    <w:rsid w:val="00DC3553"/>
    <w:rsid w:val="00DC487D"/>
    <w:rsid w:val="00DC4A6C"/>
    <w:rsid w:val="00DC4FE8"/>
    <w:rsid w:val="00DC5644"/>
    <w:rsid w:val="00DC5EA1"/>
    <w:rsid w:val="00DC79C5"/>
    <w:rsid w:val="00DD03D1"/>
    <w:rsid w:val="00DD1901"/>
    <w:rsid w:val="00DD41BA"/>
    <w:rsid w:val="00DD451D"/>
    <w:rsid w:val="00DD4A55"/>
    <w:rsid w:val="00DD7F93"/>
    <w:rsid w:val="00DE053C"/>
    <w:rsid w:val="00DE14B7"/>
    <w:rsid w:val="00DE3881"/>
    <w:rsid w:val="00DE4427"/>
    <w:rsid w:val="00DE581C"/>
    <w:rsid w:val="00DE5980"/>
    <w:rsid w:val="00DE5BBC"/>
    <w:rsid w:val="00DE5E8F"/>
    <w:rsid w:val="00DF01D3"/>
    <w:rsid w:val="00DF0326"/>
    <w:rsid w:val="00DF0C59"/>
    <w:rsid w:val="00DF2912"/>
    <w:rsid w:val="00DF29B6"/>
    <w:rsid w:val="00DF36CB"/>
    <w:rsid w:val="00DF3CFE"/>
    <w:rsid w:val="00DF3DE3"/>
    <w:rsid w:val="00DF460E"/>
    <w:rsid w:val="00DF47F1"/>
    <w:rsid w:val="00DF5321"/>
    <w:rsid w:val="00DF58F2"/>
    <w:rsid w:val="00DF66D5"/>
    <w:rsid w:val="00DF69EE"/>
    <w:rsid w:val="00DF6B16"/>
    <w:rsid w:val="00DF723B"/>
    <w:rsid w:val="00DF73AF"/>
    <w:rsid w:val="00DF7A8D"/>
    <w:rsid w:val="00DF7DFC"/>
    <w:rsid w:val="00E00855"/>
    <w:rsid w:val="00E00ED1"/>
    <w:rsid w:val="00E01612"/>
    <w:rsid w:val="00E01A52"/>
    <w:rsid w:val="00E01F15"/>
    <w:rsid w:val="00E02415"/>
    <w:rsid w:val="00E026F8"/>
    <w:rsid w:val="00E02E8B"/>
    <w:rsid w:val="00E063E8"/>
    <w:rsid w:val="00E06809"/>
    <w:rsid w:val="00E06BF1"/>
    <w:rsid w:val="00E06E0F"/>
    <w:rsid w:val="00E104BD"/>
    <w:rsid w:val="00E11692"/>
    <w:rsid w:val="00E11850"/>
    <w:rsid w:val="00E124D3"/>
    <w:rsid w:val="00E12DBB"/>
    <w:rsid w:val="00E139BE"/>
    <w:rsid w:val="00E14D30"/>
    <w:rsid w:val="00E15D75"/>
    <w:rsid w:val="00E17AF8"/>
    <w:rsid w:val="00E200AF"/>
    <w:rsid w:val="00E200D5"/>
    <w:rsid w:val="00E21FAA"/>
    <w:rsid w:val="00E22214"/>
    <w:rsid w:val="00E22558"/>
    <w:rsid w:val="00E23AE1"/>
    <w:rsid w:val="00E23C0A"/>
    <w:rsid w:val="00E23C18"/>
    <w:rsid w:val="00E24588"/>
    <w:rsid w:val="00E24C41"/>
    <w:rsid w:val="00E27418"/>
    <w:rsid w:val="00E274A0"/>
    <w:rsid w:val="00E27E12"/>
    <w:rsid w:val="00E30230"/>
    <w:rsid w:val="00E30E52"/>
    <w:rsid w:val="00E31266"/>
    <w:rsid w:val="00E314BC"/>
    <w:rsid w:val="00E318C9"/>
    <w:rsid w:val="00E31CB3"/>
    <w:rsid w:val="00E3270B"/>
    <w:rsid w:val="00E34630"/>
    <w:rsid w:val="00E35210"/>
    <w:rsid w:val="00E35907"/>
    <w:rsid w:val="00E365CC"/>
    <w:rsid w:val="00E40BC2"/>
    <w:rsid w:val="00E416C9"/>
    <w:rsid w:val="00E437A9"/>
    <w:rsid w:val="00E44705"/>
    <w:rsid w:val="00E44777"/>
    <w:rsid w:val="00E46944"/>
    <w:rsid w:val="00E46959"/>
    <w:rsid w:val="00E46D8D"/>
    <w:rsid w:val="00E52144"/>
    <w:rsid w:val="00E52BEF"/>
    <w:rsid w:val="00E53480"/>
    <w:rsid w:val="00E536EE"/>
    <w:rsid w:val="00E538F7"/>
    <w:rsid w:val="00E53F88"/>
    <w:rsid w:val="00E5505F"/>
    <w:rsid w:val="00E55AC5"/>
    <w:rsid w:val="00E55CD3"/>
    <w:rsid w:val="00E574DE"/>
    <w:rsid w:val="00E60076"/>
    <w:rsid w:val="00E60978"/>
    <w:rsid w:val="00E61393"/>
    <w:rsid w:val="00E6154B"/>
    <w:rsid w:val="00E61AC4"/>
    <w:rsid w:val="00E627CD"/>
    <w:rsid w:val="00E62FF8"/>
    <w:rsid w:val="00E64144"/>
    <w:rsid w:val="00E64F76"/>
    <w:rsid w:val="00E65B8D"/>
    <w:rsid w:val="00E66A8C"/>
    <w:rsid w:val="00E67224"/>
    <w:rsid w:val="00E67D3D"/>
    <w:rsid w:val="00E70195"/>
    <w:rsid w:val="00E7077F"/>
    <w:rsid w:val="00E70EB3"/>
    <w:rsid w:val="00E70F65"/>
    <w:rsid w:val="00E71217"/>
    <w:rsid w:val="00E71E77"/>
    <w:rsid w:val="00E724E4"/>
    <w:rsid w:val="00E72B2D"/>
    <w:rsid w:val="00E738AF"/>
    <w:rsid w:val="00E74EA5"/>
    <w:rsid w:val="00E75509"/>
    <w:rsid w:val="00E756FC"/>
    <w:rsid w:val="00E7638D"/>
    <w:rsid w:val="00E76DFD"/>
    <w:rsid w:val="00E77537"/>
    <w:rsid w:val="00E80D8F"/>
    <w:rsid w:val="00E80E8B"/>
    <w:rsid w:val="00E81846"/>
    <w:rsid w:val="00E829F9"/>
    <w:rsid w:val="00E8312E"/>
    <w:rsid w:val="00E83184"/>
    <w:rsid w:val="00E841D0"/>
    <w:rsid w:val="00E86321"/>
    <w:rsid w:val="00E8698F"/>
    <w:rsid w:val="00E86DD9"/>
    <w:rsid w:val="00E874CC"/>
    <w:rsid w:val="00E90726"/>
    <w:rsid w:val="00E909A9"/>
    <w:rsid w:val="00E916E7"/>
    <w:rsid w:val="00E917CA"/>
    <w:rsid w:val="00E91D03"/>
    <w:rsid w:val="00E927FB"/>
    <w:rsid w:val="00E92A4F"/>
    <w:rsid w:val="00E93075"/>
    <w:rsid w:val="00E93A21"/>
    <w:rsid w:val="00E93CA2"/>
    <w:rsid w:val="00E93FA4"/>
    <w:rsid w:val="00E951ED"/>
    <w:rsid w:val="00E952E9"/>
    <w:rsid w:val="00E95A65"/>
    <w:rsid w:val="00EA1817"/>
    <w:rsid w:val="00EA2209"/>
    <w:rsid w:val="00EA2730"/>
    <w:rsid w:val="00EA3BF0"/>
    <w:rsid w:val="00EA4E1B"/>
    <w:rsid w:val="00EA51AB"/>
    <w:rsid w:val="00EA66A5"/>
    <w:rsid w:val="00EA6721"/>
    <w:rsid w:val="00EB036C"/>
    <w:rsid w:val="00EB2C20"/>
    <w:rsid w:val="00EB452E"/>
    <w:rsid w:val="00EB5340"/>
    <w:rsid w:val="00EB58F7"/>
    <w:rsid w:val="00EB7881"/>
    <w:rsid w:val="00EB7913"/>
    <w:rsid w:val="00EC26B3"/>
    <w:rsid w:val="00EC3714"/>
    <w:rsid w:val="00EC3E68"/>
    <w:rsid w:val="00EC434B"/>
    <w:rsid w:val="00EC491A"/>
    <w:rsid w:val="00EC51D6"/>
    <w:rsid w:val="00EC57D7"/>
    <w:rsid w:val="00EC6325"/>
    <w:rsid w:val="00EC6C3A"/>
    <w:rsid w:val="00EC6C8E"/>
    <w:rsid w:val="00EC7241"/>
    <w:rsid w:val="00EC7793"/>
    <w:rsid w:val="00EC7B1D"/>
    <w:rsid w:val="00ED079E"/>
    <w:rsid w:val="00ED2CAE"/>
    <w:rsid w:val="00ED3DB0"/>
    <w:rsid w:val="00ED4048"/>
    <w:rsid w:val="00ED430A"/>
    <w:rsid w:val="00ED4B11"/>
    <w:rsid w:val="00ED53D4"/>
    <w:rsid w:val="00ED53D7"/>
    <w:rsid w:val="00ED541D"/>
    <w:rsid w:val="00ED555E"/>
    <w:rsid w:val="00ED616B"/>
    <w:rsid w:val="00ED652F"/>
    <w:rsid w:val="00ED65EA"/>
    <w:rsid w:val="00ED7C9F"/>
    <w:rsid w:val="00EE1E59"/>
    <w:rsid w:val="00EE20DA"/>
    <w:rsid w:val="00EE26E2"/>
    <w:rsid w:val="00EE32F1"/>
    <w:rsid w:val="00EE3505"/>
    <w:rsid w:val="00EE41BB"/>
    <w:rsid w:val="00EE5D5E"/>
    <w:rsid w:val="00EE6465"/>
    <w:rsid w:val="00EE6CAE"/>
    <w:rsid w:val="00EF0CC6"/>
    <w:rsid w:val="00EF1A9F"/>
    <w:rsid w:val="00EF1D52"/>
    <w:rsid w:val="00EF292B"/>
    <w:rsid w:val="00EF41B0"/>
    <w:rsid w:val="00EF53F2"/>
    <w:rsid w:val="00EF68A2"/>
    <w:rsid w:val="00EF6EF1"/>
    <w:rsid w:val="00EF7A2A"/>
    <w:rsid w:val="00F0031D"/>
    <w:rsid w:val="00F00A7D"/>
    <w:rsid w:val="00F02542"/>
    <w:rsid w:val="00F027D5"/>
    <w:rsid w:val="00F03742"/>
    <w:rsid w:val="00F03EB4"/>
    <w:rsid w:val="00F05896"/>
    <w:rsid w:val="00F059A7"/>
    <w:rsid w:val="00F10BE4"/>
    <w:rsid w:val="00F11619"/>
    <w:rsid w:val="00F117C1"/>
    <w:rsid w:val="00F11F97"/>
    <w:rsid w:val="00F127B8"/>
    <w:rsid w:val="00F128CC"/>
    <w:rsid w:val="00F12B35"/>
    <w:rsid w:val="00F131A3"/>
    <w:rsid w:val="00F1342E"/>
    <w:rsid w:val="00F1388F"/>
    <w:rsid w:val="00F13AF3"/>
    <w:rsid w:val="00F13ED1"/>
    <w:rsid w:val="00F13F59"/>
    <w:rsid w:val="00F15660"/>
    <w:rsid w:val="00F157DC"/>
    <w:rsid w:val="00F16471"/>
    <w:rsid w:val="00F169A2"/>
    <w:rsid w:val="00F17D9A"/>
    <w:rsid w:val="00F20DBE"/>
    <w:rsid w:val="00F22466"/>
    <w:rsid w:val="00F22F41"/>
    <w:rsid w:val="00F2324A"/>
    <w:rsid w:val="00F23F8A"/>
    <w:rsid w:val="00F24495"/>
    <w:rsid w:val="00F2457D"/>
    <w:rsid w:val="00F257E6"/>
    <w:rsid w:val="00F25877"/>
    <w:rsid w:val="00F25CCA"/>
    <w:rsid w:val="00F25FD8"/>
    <w:rsid w:val="00F265C0"/>
    <w:rsid w:val="00F2716A"/>
    <w:rsid w:val="00F30043"/>
    <w:rsid w:val="00F305D1"/>
    <w:rsid w:val="00F30A7D"/>
    <w:rsid w:val="00F31F2A"/>
    <w:rsid w:val="00F3319C"/>
    <w:rsid w:val="00F3451A"/>
    <w:rsid w:val="00F354B4"/>
    <w:rsid w:val="00F35B96"/>
    <w:rsid w:val="00F3705A"/>
    <w:rsid w:val="00F40988"/>
    <w:rsid w:val="00F40CB2"/>
    <w:rsid w:val="00F40E2A"/>
    <w:rsid w:val="00F414E6"/>
    <w:rsid w:val="00F4161C"/>
    <w:rsid w:val="00F41836"/>
    <w:rsid w:val="00F41D6E"/>
    <w:rsid w:val="00F42D92"/>
    <w:rsid w:val="00F437F2"/>
    <w:rsid w:val="00F443BE"/>
    <w:rsid w:val="00F44B39"/>
    <w:rsid w:val="00F464F8"/>
    <w:rsid w:val="00F4702E"/>
    <w:rsid w:val="00F4708B"/>
    <w:rsid w:val="00F4738D"/>
    <w:rsid w:val="00F47524"/>
    <w:rsid w:val="00F47EF4"/>
    <w:rsid w:val="00F5024E"/>
    <w:rsid w:val="00F50BC2"/>
    <w:rsid w:val="00F5139C"/>
    <w:rsid w:val="00F51D1E"/>
    <w:rsid w:val="00F524B1"/>
    <w:rsid w:val="00F5251E"/>
    <w:rsid w:val="00F52819"/>
    <w:rsid w:val="00F52C87"/>
    <w:rsid w:val="00F539A6"/>
    <w:rsid w:val="00F5544D"/>
    <w:rsid w:val="00F55EFB"/>
    <w:rsid w:val="00F56232"/>
    <w:rsid w:val="00F564A2"/>
    <w:rsid w:val="00F56960"/>
    <w:rsid w:val="00F57208"/>
    <w:rsid w:val="00F5730D"/>
    <w:rsid w:val="00F57CD9"/>
    <w:rsid w:val="00F57D78"/>
    <w:rsid w:val="00F57F83"/>
    <w:rsid w:val="00F61CFA"/>
    <w:rsid w:val="00F621FB"/>
    <w:rsid w:val="00F627E7"/>
    <w:rsid w:val="00F63813"/>
    <w:rsid w:val="00F645BF"/>
    <w:rsid w:val="00F661FD"/>
    <w:rsid w:val="00F66391"/>
    <w:rsid w:val="00F67890"/>
    <w:rsid w:val="00F67B2E"/>
    <w:rsid w:val="00F7119D"/>
    <w:rsid w:val="00F715D8"/>
    <w:rsid w:val="00F72A8A"/>
    <w:rsid w:val="00F73447"/>
    <w:rsid w:val="00F7406F"/>
    <w:rsid w:val="00F74097"/>
    <w:rsid w:val="00F740AE"/>
    <w:rsid w:val="00F75D3D"/>
    <w:rsid w:val="00F77381"/>
    <w:rsid w:val="00F77A44"/>
    <w:rsid w:val="00F80519"/>
    <w:rsid w:val="00F80927"/>
    <w:rsid w:val="00F82933"/>
    <w:rsid w:val="00F82C74"/>
    <w:rsid w:val="00F856BC"/>
    <w:rsid w:val="00F85FD4"/>
    <w:rsid w:val="00F86299"/>
    <w:rsid w:val="00F87638"/>
    <w:rsid w:val="00F916C6"/>
    <w:rsid w:val="00F9469E"/>
    <w:rsid w:val="00F9499C"/>
    <w:rsid w:val="00F94BDE"/>
    <w:rsid w:val="00F963E3"/>
    <w:rsid w:val="00F970E0"/>
    <w:rsid w:val="00FA0C1F"/>
    <w:rsid w:val="00FA18A4"/>
    <w:rsid w:val="00FA1BCA"/>
    <w:rsid w:val="00FA1D7E"/>
    <w:rsid w:val="00FA20DC"/>
    <w:rsid w:val="00FA2C85"/>
    <w:rsid w:val="00FA4453"/>
    <w:rsid w:val="00FA507F"/>
    <w:rsid w:val="00FA52DE"/>
    <w:rsid w:val="00FA554D"/>
    <w:rsid w:val="00FA59C9"/>
    <w:rsid w:val="00FA69D1"/>
    <w:rsid w:val="00FA6EBE"/>
    <w:rsid w:val="00FB06AF"/>
    <w:rsid w:val="00FB2387"/>
    <w:rsid w:val="00FB2477"/>
    <w:rsid w:val="00FB304F"/>
    <w:rsid w:val="00FB33CF"/>
    <w:rsid w:val="00FB42C4"/>
    <w:rsid w:val="00FB4B88"/>
    <w:rsid w:val="00FB71F4"/>
    <w:rsid w:val="00FB7A47"/>
    <w:rsid w:val="00FC07B1"/>
    <w:rsid w:val="00FC0898"/>
    <w:rsid w:val="00FC0DE9"/>
    <w:rsid w:val="00FC183C"/>
    <w:rsid w:val="00FC262B"/>
    <w:rsid w:val="00FC2EC7"/>
    <w:rsid w:val="00FC32A9"/>
    <w:rsid w:val="00FC598A"/>
    <w:rsid w:val="00FC6429"/>
    <w:rsid w:val="00FC7AFF"/>
    <w:rsid w:val="00FD06B7"/>
    <w:rsid w:val="00FD06D2"/>
    <w:rsid w:val="00FD16A9"/>
    <w:rsid w:val="00FD2D47"/>
    <w:rsid w:val="00FD3843"/>
    <w:rsid w:val="00FD3982"/>
    <w:rsid w:val="00FD4482"/>
    <w:rsid w:val="00FD4E1A"/>
    <w:rsid w:val="00FD4E75"/>
    <w:rsid w:val="00FD6149"/>
    <w:rsid w:val="00FD6639"/>
    <w:rsid w:val="00FD6C6F"/>
    <w:rsid w:val="00FD6F6F"/>
    <w:rsid w:val="00FD78BE"/>
    <w:rsid w:val="00FE00AE"/>
    <w:rsid w:val="00FE0FBE"/>
    <w:rsid w:val="00FE1885"/>
    <w:rsid w:val="00FE1ABB"/>
    <w:rsid w:val="00FE254E"/>
    <w:rsid w:val="00FE2762"/>
    <w:rsid w:val="00FE33DF"/>
    <w:rsid w:val="00FE43C9"/>
    <w:rsid w:val="00FE4999"/>
    <w:rsid w:val="00FE4B3E"/>
    <w:rsid w:val="00FE5622"/>
    <w:rsid w:val="00FE5C98"/>
    <w:rsid w:val="00FE77B6"/>
    <w:rsid w:val="00FF1CA0"/>
    <w:rsid w:val="00FF22D2"/>
    <w:rsid w:val="00FF276E"/>
    <w:rsid w:val="00FF3CFD"/>
    <w:rsid w:val="00FF4C2E"/>
    <w:rsid w:val="00FF4CAB"/>
    <w:rsid w:val="00FF6A15"/>
    <w:rsid w:val="00FF6B08"/>
    <w:rsid w:val="00FF759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4E9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MA_TextInBrackets"/>
    <w:next w:val="ACMABodyText"/>
    <w:qFormat/>
    <w:rsid w:val="00B07D45"/>
    <w:pPr>
      <w:spacing w:before="80" w:after="240" w:line="280" w:lineRule="atLeast"/>
    </w:pPr>
    <w:rPr>
      <w:rFonts w:ascii="Arial" w:hAnsi="Arial"/>
      <w:i/>
      <w:szCs w:val="24"/>
      <w:lang w:eastAsia="en-US"/>
    </w:rPr>
  </w:style>
  <w:style w:type="paragraph" w:styleId="Heading1">
    <w:name w:val="heading 1"/>
    <w:basedOn w:val="ACMAHeading1"/>
    <w:next w:val="ACMABodyText"/>
    <w:qFormat/>
    <w:rsid w:val="00B261EE"/>
    <w:pPr>
      <w:outlineLvl w:val="0"/>
    </w:pPr>
    <w:rPr>
      <w:rFonts w:cs="Arial"/>
      <w:bCs/>
      <w:szCs w:val="32"/>
    </w:rPr>
  </w:style>
  <w:style w:type="paragraph" w:styleId="Heading2">
    <w:name w:val="heading 2"/>
    <w:basedOn w:val="Normal"/>
    <w:next w:val="Normal"/>
    <w:link w:val="Heading2Char"/>
    <w:semiHidden/>
    <w:unhideWhenUsed/>
    <w:rsid w:val="0075115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MABodyText">
    <w:name w:val="ACMA_BodyText"/>
    <w:qFormat/>
    <w:rsid w:val="001C6546"/>
    <w:pPr>
      <w:suppressAutoHyphens/>
      <w:spacing w:after="240" w:line="240" w:lineRule="atLeast"/>
    </w:pPr>
    <w:rPr>
      <w:rFonts w:ascii="Arial" w:hAnsi="Arial"/>
      <w:snapToGrid w:val="0"/>
      <w:lang w:eastAsia="en-US"/>
    </w:rPr>
  </w:style>
  <w:style w:type="paragraph" w:customStyle="1" w:styleId="ACMAHeading1">
    <w:name w:val="ACMA_Heading1"/>
    <w:next w:val="ACMABodyText"/>
    <w:qFormat/>
    <w:rsid w:val="00211185"/>
    <w:pPr>
      <w:keepNext/>
      <w:suppressAutoHyphens/>
      <w:spacing w:before="1800" w:after="360"/>
      <w:outlineLvl w:val="1"/>
    </w:pPr>
    <w:rPr>
      <w:rFonts w:ascii="Arial" w:hAnsi="Arial"/>
      <w:b/>
      <w:sz w:val="36"/>
      <w:lang w:eastAsia="en-US"/>
    </w:rPr>
  </w:style>
  <w:style w:type="paragraph" w:styleId="FootnoteText">
    <w:name w:val="footnote text"/>
    <w:aliases w:val="ACMA_FootnoteText,ACMA Footnote Text,ACMA Footnote Text Char,ABA Footnote Text Char,ABA Footnote Text,footnote text,Footnote Text Char Char,Footnote Text Char1 Char Char,Footnote Text Char Char Char Char,Footnote Text Char2 Char Char,f"/>
    <w:link w:val="FootnoteTextChar"/>
    <w:rsid w:val="0072120E"/>
    <w:pPr>
      <w:tabs>
        <w:tab w:val="left" w:pos="284"/>
      </w:tabs>
      <w:spacing w:after="40"/>
      <w:ind w:left="289" w:hanging="289"/>
    </w:pPr>
    <w:rPr>
      <w:rFonts w:ascii="Arial" w:hAnsi="Arial"/>
      <w:sz w:val="16"/>
      <w:lang w:eastAsia="en-US"/>
    </w:rPr>
  </w:style>
  <w:style w:type="character" w:customStyle="1" w:styleId="Heading2Char">
    <w:name w:val="Heading 2 Char"/>
    <w:basedOn w:val="DefaultParagraphFont"/>
    <w:link w:val="Heading2"/>
    <w:semiHidden/>
    <w:rsid w:val="00751159"/>
    <w:rPr>
      <w:rFonts w:ascii="Arial" w:eastAsiaTheme="majorEastAsia" w:hAnsi="Arial" w:cstheme="majorBidi"/>
      <w:b/>
      <w:bCs/>
      <w:i/>
      <w:sz w:val="26"/>
      <w:szCs w:val="26"/>
      <w:lang w:eastAsia="en-US"/>
    </w:rPr>
  </w:style>
  <w:style w:type="character" w:styleId="Hyperlink">
    <w:name w:val="Hyperlink"/>
    <w:basedOn w:val="DefaultParagraphFont"/>
    <w:qFormat/>
    <w:rsid w:val="00B261EE"/>
    <w:rPr>
      <w:color w:val="0000FF"/>
      <w:u w:val="single"/>
    </w:rPr>
  </w:style>
  <w:style w:type="paragraph" w:customStyle="1" w:styleId="ACMABulletLevel1">
    <w:name w:val="ACMA_BulletLevel1"/>
    <w:qFormat/>
    <w:rsid w:val="001C6546"/>
    <w:pPr>
      <w:numPr>
        <w:numId w:val="1"/>
      </w:numPr>
      <w:spacing w:after="80" w:line="240" w:lineRule="atLeast"/>
    </w:pPr>
    <w:rPr>
      <w:rFonts w:ascii="Arial" w:hAnsi="Arial"/>
      <w:lang w:eastAsia="en-US"/>
    </w:rPr>
  </w:style>
  <w:style w:type="paragraph" w:styleId="BalloonText">
    <w:name w:val="Balloon Text"/>
    <w:basedOn w:val="Normal"/>
    <w:link w:val="BalloonTextChar"/>
    <w:semiHidden/>
    <w:unhideWhenUsed/>
    <w:rsid w:val="00647DD3"/>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semiHidden/>
    <w:rsid w:val="00647DD3"/>
    <w:rPr>
      <w:rFonts w:ascii="Lucida Grande" w:hAnsi="Lucida Grande" w:cs="Lucida Grande"/>
      <w:i/>
      <w:sz w:val="18"/>
      <w:szCs w:val="18"/>
      <w:lang w:eastAsia="en-US"/>
    </w:rPr>
  </w:style>
  <w:style w:type="paragraph" w:customStyle="1" w:styleId="ACMAFooter">
    <w:name w:val="ACMA_Footer"/>
    <w:qFormat/>
    <w:rsid w:val="00EF7A2A"/>
    <w:pPr>
      <w:pBdr>
        <w:top w:val="single" w:sz="2" w:space="4" w:color="auto"/>
      </w:pBdr>
      <w:tabs>
        <w:tab w:val="right" w:pos="8352"/>
      </w:tabs>
    </w:pPr>
    <w:rPr>
      <w:rFonts w:ascii="Arial" w:hAnsi="Arial"/>
      <w:lang w:eastAsia="en-US"/>
    </w:rPr>
  </w:style>
  <w:style w:type="paragraph" w:customStyle="1" w:styleId="ACMAHeading2">
    <w:name w:val="ACMA_Heading2"/>
    <w:next w:val="ACMABodyText"/>
    <w:qFormat/>
    <w:rsid w:val="008837B5"/>
    <w:pPr>
      <w:keepNext/>
      <w:suppressAutoHyphens/>
      <w:spacing w:before="360" w:after="120"/>
      <w:outlineLvl w:val="2"/>
    </w:pPr>
    <w:rPr>
      <w:rFonts w:ascii="Arial" w:hAnsi="Arial"/>
      <w:b/>
      <w:sz w:val="28"/>
      <w:lang w:eastAsia="en-US"/>
    </w:rPr>
  </w:style>
  <w:style w:type="paragraph" w:customStyle="1" w:styleId="ACMATableHeading">
    <w:name w:val="ACMA_TableHeading"/>
    <w:qFormat/>
    <w:rsid w:val="00B07D45"/>
    <w:pPr>
      <w:spacing w:before="40" w:after="40"/>
    </w:pPr>
    <w:rPr>
      <w:rFonts w:ascii="Arial" w:hAnsi="Arial"/>
      <w:b/>
      <w:lang w:eastAsia="en-US"/>
    </w:rPr>
  </w:style>
  <w:style w:type="paragraph" w:customStyle="1" w:styleId="ACMATableBody">
    <w:name w:val="ACMA_TableBody"/>
    <w:qFormat/>
    <w:rsid w:val="00B30A6C"/>
    <w:pPr>
      <w:spacing w:before="40" w:after="120"/>
    </w:pPr>
    <w:rPr>
      <w:rFonts w:ascii="Arial" w:hAnsi="Arial"/>
      <w:lang w:eastAsia="en-US"/>
    </w:rPr>
  </w:style>
  <w:style w:type="table" w:styleId="TableGrid">
    <w:name w:val="Table Grid"/>
    <w:aliases w:val="ACMA_Table"/>
    <w:basedOn w:val="TableNormal"/>
    <w:rsid w:val="00CF40D3"/>
    <w:pPr>
      <w:spacing w:before="240" w:after="120" w:line="280" w:lineRule="atLeast"/>
    </w:pPr>
    <w:rPr>
      <w:rFonts w:ascii="Arial" w:hAnsi="Arial"/>
    </w:rPr>
    <w:tblPr>
      <w:tblInd w:w="113" w:type="dxa"/>
      <w:tblBorders>
        <w:top w:val="single" w:sz="4" w:space="0" w:color="auto"/>
        <w:bottom w:val="single" w:sz="4" w:space="0" w:color="auto"/>
        <w:insideH w:val="single" w:sz="4" w:space="0" w:color="auto"/>
      </w:tblBorders>
    </w:tblPr>
    <w:tcPr>
      <w:shd w:val="clear" w:color="auto" w:fill="auto"/>
      <w:tcMar>
        <w:top w:w="28" w:type="dxa"/>
        <w:left w:w="85" w:type="dxa"/>
        <w:bottom w:w="28" w:type="dxa"/>
        <w:right w:w="85" w:type="dxa"/>
      </w:tcMar>
    </w:tcPr>
    <w:tblStylePr w:type="firstRow">
      <w:tblPr/>
      <w:tcPr>
        <w:tcBorders>
          <w:top w:val="nil"/>
          <w:left w:val="nil"/>
          <w:bottom w:val="nil"/>
          <w:right w:val="nil"/>
          <w:insideH w:val="nil"/>
          <w:insideV w:val="nil"/>
          <w:tl2br w:val="nil"/>
          <w:tr2bl w:val="nil"/>
        </w:tcBorders>
        <w:shd w:val="clear" w:color="auto" w:fill="000000"/>
      </w:tcPr>
    </w:tblStylePr>
    <w:tblStylePr w:type="firstCol">
      <w:tblPr/>
      <w:tcPr>
        <w:tcBorders>
          <w:top w:val="nil"/>
          <w:left w:val="nil"/>
          <w:bottom w:val="nil"/>
          <w:right w:val="nil"/>
          <w:insideH w:val="nil"/>
          <w:insideV w:val="nil"/>
          <w:tl2br w:val="nil"/>
          <w:tr2bl w:val="nil"/>
        </w:tcBorders>
        <w:shd w:val="clear" w:color="auto" w:fill="0C0C0C"/>
      </w:tcPr>
    </w:tblStylePr>
  </w:style>
  <w:style w:type="paragraph" w:customStyle="1" w:styleId="ACMAHeaderGraphicSpace">
    <w:name w:val="ACMA_HeaderGraphicSpace"/>
    <w:basedOn w:val="ACMABodyText"/>
    <w:qFormat/>
    <w:rsid w:val="00F56232"/>
  </w:style>
  <w:style w:type="paragraph" w:customStyle="1" w:styleId="ACMAInConfidence">
    <w:name w:val="ACMA_InConfidence"/>
    <w:basedOn w:val="Normal"/>
    <w:qFormat/>
    <w:rsid w:val="006E1969"/>
    <w:pPr>
      <w:jc w:val="center"/>
    </w:pPr>
    <w:rPr>
      <w:b/>
      <w:bCs/>
      <w:i w:val="0"/>
    </w:rPr>
  </w:style>
  <w:style w:type="paragraph" w:customStyle="1" w:styleId="ACMABodyForm">
    <w:name w:val="ACMA_BodyForm"/>
    <w:basedOn w:val="Normal"/>
    <w:qFormat/>
    <w:rsid w:val="00701E0D"/>
    <w:pPr>
      <w:spacing w:before="360" w:after="120" w:line="240" w:lineRule="atLeast"/>
    </w:pPr>
    <w:rPr>
      <w:i w:val="0"/>
    </w:rPr>
  </w:style>
  <w:style w:type="paragraph" w:customStyle="1" w:styleId="ACMAFormDescription">
    <w:name w:val="ACMA_FormDescription"/>
    <w:basedOn w:val="Normal"/>
    <w:qFormat/>
    <w:rsid w:val="00E829F9"/>
    <w:pPr>
      <w:spacing w:before="0"/>
      <w:jc w:val="center"/>
    </w:pPr>
    <w:rPr>
      <w:sz w:val="16"/>
    </w:rPr>
  </w:style>
  <w:style w:type="paragraph" w:customStyle="1" w:styleId="ACMABodyMoreSpaceAbove">
    <w:name w:val="ACMA_BodyMoreSpaceAbove"/>
    <w:basedOn w:val="ACMABodyText"/>
    <w:qFormat/>
    <w:rsid w:val="00F169A2"/>
    <w:pPr>
      <w:spacing w:before="360"/>
    </w:pPr>
  </w:style>
  <w:style w:type="character" w:styleId="Emphasis">
    <w:name w:val="Emphasis"/>
    <w:basedOn w:val="DefaultParagraphFont"/>
    <w:qFormat/>
    <w:rsid w:val="00B507BE"/>
    <w:rPr>
      <w:i/>
      <w:iCs/>
    </w:rPr>
  </w:style>
  <w:style w:type="character" w:styleId="Strong">
    <w:name w:val="Strong"/>
    <w:basedOn w:val="DefaultParagraphFont"/>
    <w:qFormat/>
    <w:rsid w:val="00AF056F"/>
    <w:rPr>
      <w:b/>
      <w:bCs/>
    </w:rPr>
  </w:style>
  <w:style w:type="character" w:customStyle="1" w:styleId="StrongUnderline">
    <w:name w:val="Strong Underline"/>
    <w:basedOn w:val="DefaultParagraphFont"/>
    <w:uiPriority w:val="1"/>
    <w:qFormat/>
    <w:rsid w:val="00187E47"/>
    <w:rPr>
      <w:b/>
      <w:u w:val="single"/>
    </w:rPr>
  </w:style>
  <w:style w:type="paragraph" w:customStyle="1" w:styleId="ACMADraftHeading1">
    <w:name w:val="ACMA_DraftHeading1"/>
    <w:qFormat/>
    <w:rsid w:val="00CF5EB3"/>
    <w:pPr>
      <w:spacing w:before="600" w:after="280"/>
      <w:jc w:val="center"/>
    </w:pPr>
    <w:rPr>
      <w:rFonts w:ascii="Arial" w:hAnsi="Arial"/>
      <w:b/>
      <w:sz w:val="36"/>
      <w:lang w:eastAsia="en-US"/>
    </w:rPr>
  </w:style>
  <w:style w:type="paragraph" w:customStyle="1" w:styleId="ACMATaglineFooter">
    <w:name w:val="ACMA_TaglineFooter"/>
    <w:basedOn w:val="Normal"/>
    <w:qFormat/>
    <w:rsid w:val="00F56232"/>
    <w:pPr>
      <w:spacing w:before="0"/>
    </w:pPr>
    <w:rPr>
      <w:noProof/>
      <w:lang w:val="en-US"/>
    </w:rPr>
  </w:style>
  <w:style w:type="paragraph" w:styleId="Footer">
    <w:name w:val="footer"/>
    <w:aliases w:val="ACMA_FooterTagline"/>
    <w:basedOn w:val="Normal"/>
    <w:link w:val="FooterChar"/>
    <w:unhideWhenUsed/>
    <w:qFormat/>
    <w:rsid w:val="00211185"/>
    <w:pPr>
      <w:tabs>
        <w:tab w:val="center" w:pos="4320"/>
        <w:tab w:val="right" w:pos="8640"/>
      </w:tabs>
      <w:spacing w:before="0" w:line="240" w:lineRule="auto"/>
    </w:pPr>
  </w:style>
  <w:style w:type="character" w:customStyle="1" w:styleId="FooterChar">
    <w:name w:val="Footer Char"/>
    <w:aliases w:val="ACMA_FooterTagline Char"/>
    <w:basedOn w:val="DefaultParagraphFont"/>
    <w:link w:val="Footer"/>
    <w:rsid w:val="00211185"/>
    <w:rPr>
      <w:rFonts w:ascii="Arial" w:hAnsi="Arial"/>
      <w:i/>
      <w:szCs w:val="24"/>
      <w:lang w:eastAsia="en-US"/>
    </w:rPr>
  </w:style>
  <w:style w:type="paragraph" w:styleId="NormalWeb">
    <w:name w:val="Normal (Web)"/>
    <w:basedOn w:val="Normal"/>
    <w:uiPriority w:val="99"/>
    <w:semiHidden/>
    <w:unhideWhenUsed/>
    <w:rsid w:val="00962A0A"/>
    <w:pPr>
      <w:spacing w:before="100" w:beforeAutospacing="1" w:after="100" w:afterAutospacing="1" w:line="240" w:lineRule="auto"/>
    </w:pPr>
    <w:rPr>
      <w:rFonts w:ascii="Times New Roman" w:eastAsiaTheme="minorEastAsia" w:hAnsi="Times New Roman"/>
      <w:i w:val="0"/>
      <w:sz w:val="24"/>
      <w:lang w:eastAsia="en-AU"/>
    </w:rPr>
  </w:style>
  <w:style w:type="paragraph" w:customStyle="1" w:styleId="ACMADraftWatermark">
    <w:name w:val="ACMA_DraftWatermark"/>
    <w:basedOn w:val="NormalWeb"/>
    <w:qFormat/>
    <w:rsid w:val="00962A0A"/>
    <w:pPr>
      <w:spacing w:before="0" w:beforeAutospacing="0" w:after="0" w:afterAutospacing="0"/>
      <w:jc w:val="center"/>
    </w:pPr>
    <w:rPr>
      <w:rFonts w:ascii="Arial" w:hAnsi="Arial"/>
      <w:color w:val="EAEAEA"/>
      <w:sz w:val="160"/>
      <w:szCs w:val="192"/>
    </w:rPr>
  </w:style>
  <w:style w:type="paragraph" w:customStyle="1" w:styleId="ACMAHeading1LessSpace">
    <w:name w:val="ACMA_Heading1(LessSpace)"/>
    <w:basedOn w:val="ACMAHeading1"/>
    <w:qFormat/>
    <w:rsid w:val="009B461B"/>
    <w:pPr>
      <w:spacing w:before="600"/>
    </w:pPr>
  </w:style>
  <w:style w:type="paragraph" w:customStyle="1" w:styleId="ACMABodyText0">
    <w:name w:val="ACMA Body Text"/>
    <w:link w:val="ACMABodyTextChar"/>
    <w:rsid w:val="00B30A6C"/>
    <w:pPr>
      <w:suppressAutoHyphens/>
      <w:spacing w:before="80" w:after="120" w:line="280" w:lineRule="atLeast"/>
    </w:pPr>
    <w:rPr>
      <w:snapToGrid w:val="0"/>
      <w:sz w:val="24"/>
      <w:lang w:eastAsia="en-US"/>
    </w:rPr>
  </w:style>
  <w:style w:type="character" w:customStyle="1" w:styleId="ACMABodyTextChar">
    <w:name w:val="ACMA Body Text Char"/>
    <w:basedOn w:val="DefaultParagraphFont"/>
    <w:link w:val="ACMABodyText0"/>
    <w:locked/>
    <w:rsid w:val="00B30A6C"/>
    <w:rPr>
      <w:snapToGrid w:val="0"/>
      <w:sz w:val="24"/>
      <w:lang w:eastAsia="en-US"/>
    </w:rPr>
  </w:style>
  <w:style w:type="character" w:styleId="CommentReference">
    <w:name w:val="annotation reference"/>
    <w:basedOn w:val="DefaultParagraphFont"/>
    <w:uiPriority w:val="99"/>
    <w:semiHidden/>
    <w:unhideWhenUsed/>
    <w:rsid w:val="00B30A6C"/>
    <w:rPr>
      <w:sz w:val="16"/>
      <w:szCs w:val="16"/>
    </w:rPr>
  </w:style>
  <w:style w:type="paragraph" w:styleId="CommentText">
    <w:name w:val="annotation text"/>
    <w:basedOn w:val="Normal"/>
    <w:link w:val="CommentTextChar"/>
    <w:uiPriority w:val="99"/>
    <w:unhideWhenUsed/>
    <w:rsid w:val="00B30A6C"/>
    <w:pPr>
      <w:spacing w:line="240" w:lineRule="auto"/>
    </w:pPr>
    <w:rPr>
      <w:szCs w:val="20"/>
    </w:rPr>
  </w:style>
  <w:style w:type="character" w:customStyle="1" w:styleId="CommentTextChar">
    <w:name w:val="Comment Text Char"/>
    <w:basedOn w:val="DefaultParagraphFont"/>
    <w:link w:val="CommentText"/>
    <w:uiPriority w:val="99"/>
    <w:rsid w:val="00B30A6C"/>
    <w:rPr>
      <w:rFonts w:ascii="Arial" w:hAnsi="Arial"/>
      <w:i/>
      <w:lang w:eastAsia="en-US"/>
    </w:rPr>
  </w:style>
  <w:style w:type="paragraph" w:styleId="CommentSubject">
    <w:name w:val="annotation subject"/>
    <w:basedOn w:val="CommentText"/>
    <w:next w:val="CommentText"/>
    <w:link w:val="CommentSubjectChar"/>
    <w:uiPriority w:val="99"/>
    <w:semiHidden/>
    <w:unhideWhenUsed/>
    <w:rsid w:val="00B30A6C"/>
    <w:rPr>
      <w:b/>
      <w:bCs/>
    </w:rPr>
  </w:style>
  <w:style w:type="character" w:customStyle="1" w:styleId="CommentSubjectChar">
    <w:name w:val="Comment Subject Char"/>
    <w:basedOn w:val="CommentTextChar"/>
    <w:link w:val="CommentSubject"/>
    <w:uiPriority w:val="99"/>
    <w:semiHidden/>
    <w:rsid w:val="00B30A6C"/>
    <w:rPr>
      <w:rFonts w:ascii="Arial" w:hAnsi="Arial"/>
      <w:b/>
      <w:bCs/>
      <w:i/>
      <w:lang w:eastAsia="en-US"/>
    </w:rPr>
  </w:style>
  <w:style w:type="paragraph" w:customStyle="1" w:styleId="ACMATableText">
    <w:name w:val="ACMA Table Text"/>
    <w:rsid w:val="00B30A6C"/>
    <w:pPr>
      <w:spacing w:before="40" w:after="40"/>
    </w:pPr>
    <w:rPr>
      <w:rFonts w:ascii="Arial" w:hAnsi="Arial"/>
      <w:lang w:eastAsia="en-US"/>
    </w:rPr>
  </w:style>
  <w:style w:type="paragraph" w:customStyle="1" w:styleId="ACMABulletLevel10">
    <w:name w:val="ACMA Bullet Level 1"/>
    <w:rsid w:val="00B30A6C"/>
    <w:pPr>
      <w:tabs>
        <w:tab w:val="num" w:pos="360"/>
      </w:tabs>
      <w:ind w:left="360" w:hanging="360"/>
    </w:pPr>
    <w:rPr>
      <w:sz w:val="24"/>
      <w:lang w:eastAsia="en-US"/>
    </w:rPr>
  </w:style>
  <w:style w:type="paragraph" w:styleId="Header">
    <w:name w:val="header"/>
    <w:basedOn w:val="Normal"/>
    <w:link w:val="HeaderChar"/>
    <w:unhideWhenUsed/>
    <w:rsid w:val="00B30A6C"/>
    <w:pPr>
      <w:tabs>
        <w:tab w:val="center" w:pos="4513"/>
        <w:tab w:val="right" w:pos="9026"/>
      </w:tabs>
      <w:spacing w:before="0" w:after="0" w:line="240" w:lineRule="auto"/>
    </w:pPr>
  </w:style>
  <w:style w:type="character" w:customStyle="1" w:styleId="HeaderChar">
    <w:name w:val="Header Char"/>
    <w:basedOn w:val="DefaultParagraphFont"/>
    <w:link w:val="Header"/>
    <w:rsid w:val="00B30A6C"/>
    <w:rPr>
      <w:rFonts w:ascii="Arial" w:hAnsi="Arial"/>
      <w:i/>
      <w:szCs w:val="24"/>
      <w:lang w:eastAsia="en-US"/>
    </w:rPr>
  </w:style>
  <w:style w:type="paragraph" w:customStyle="1" w:styleId="ACMAHeading10">
    <w:name w:val="ACMA Heading 1"/>
    <w:next w:val="ACMABodyText0"/>
    <w:rsid w:val="00B30A6C"/>
    <w:pPr>
      <w:keepNext/>
      <w:suppressAutoHyphens/>
      <w:spacing w:before="320"/>
      <w:outlineLvl w:val="1"/>
    </w:pPr>
    <w:rPr>
      <w:rFonts w:ascii="Arial" w:hAnsi="Arial"/>
      <w:b/>
      <w:sz w:val="36"/>
      <w:lang w:eastAsia="en-US"/>
    </w:rPr>
  </w:style>
  <w:style w:type="paragraph" w:customStyle="1" w:styleId="ACMAHeading20">
    <w:name w:val="ACMA Heading 2"/>
    <w:next w:val="ACMABodyText0"/>
    <w:rsid w:val="001C6546"/>
    <w:pPr>
      <w:keepNext/>
      <w:suppressAutoHyphens/>
      <w:spacing w:before="240"/>
      <w:outlineLvl w:val="2"/>
    </w:pPr>
    <w:rPr>
      <w:rFonts w:ascii="Arial" w:hAnsi="Arial"/>
      <w:b/>
      <w:sz w:val="28"/>
      <w:lang w:eastAsia="en-US"/>
    </w:rPr>
  </w:style>
  <w:style w:type="character" w:styleId="FootnoteReference">
    <w:name w:val="footnote reference"/>
    <w:aliases w:val="(NECG) Footnote Reference,(NECG) Footnote Reference1,(NECG) Footnote Reference2,o,Appel note de bas de p,Appel note de bas de p + 11 pt,Italic,Footnote,Footnote symbol,Appel note de bas de p1,Appel note de bas de p2"/>
    <w:basedOn w:val="DefaultParagraphFont"/>
    <w:uiPriority w:val="99"/>
    <w:rsid w:val="001C6546"/>
    <w:rPr>
      <w:vertAlign w:val="superscript"/>
    </w:rPr>
  </w:style>
  <w:style w:type="character" w:customStyle="1" w:styleId="FootnoteTextChar">
    <w:name w:val="Footnote Text Char"/>
    <w:aliases w:val="ACMA_FootnoteText Char,ACMA Footnote Text Char1,ACMA Footnote Text Char Char,ABA Footnote Text Char Char,ABA Footnote Text Char1,footnote text Char,Footnote Text Char Char Char,Footnote Text Char1 Char Char Char,f Char"/>
    <w:basedOn w:val="DefaultParagraphFont"/>
    <w:link w:val="FootnoteText"/>
    <w:rsid w:val="0072120E"/>
    <w:rPr>
      <w:rFonts w:ascii="Arial" w:hAnsi="Arial"/>
      <w:sz w:val="16"/>
      <w:lang w:eastAsia="en-US"/>
    </w:rPr>
  </w:style>
  <w:style w:type="paragraph" w:customStyle="1" w:styleId="ACMAQuoteindented">
    <w:name w:val="ACMA_Quote indented"/>
    <w:basedOn w:val="ACMABodyText"/>
    <w:qFormat/>
    <w:rsid w:val="0072120E"/>
    <w:pPr>
      <w:ind w:left="567"/>
    </w:pPr>
    <w:rPr>
      <w:rFonts w:cs="Arial"/>
      <w:sz w:val="18"/>
    </w:rPr>
  </w:style>
  <w:style w:type="paragraph" w:customStyle="1" w:styleId="ACMAHeading3">
    <w:name w:val="ACMA_Heading3"/>
    <w:basedOn w:val="ACMAHeading20"/>
    <w:qFormat/>
    <w:rsid w:val="0072120E"/>
    <w:rPr>
      <w:rFonts w:cs="Arial"/>
      <w:sz w:val="24"/>
    </w:rPr>
  </w:style>
  <w:style w:type="paragraph" w:customStyle="1" w:styleId="ACMABulletLevel112pointsunder">
    <w:name w:val="ACMA_BulletLevel1_12pointsunder"/>
    <w:basedOn w:val="ACMABulletLevel1"/>
    <w:qFormat/>
    <w:rsid w:val="0072120E"/>
    <w:pPr>
      <w:spacing w:after="240"/>
    </w:pPr>
  </w:style>
  <w:style w:type="paragraph" w:customStyle="1" w:styleId="ACMABodyTextBold">
    <w:name w:val="ACMA_BodyTextBold"/>
    <w:basedOn w:val="ACMABodyText"/>
    <w:qFormat/>
    <w:rsid w:val="006A02B1"/>
    <w:pPr>
      <w:spacing w:line="240" w:lineRule="auto"/>
    </w:pPr>
    <w:rPr>
      <w:rFonts w:cs="Arial"/>
      <w:b/>
    </w:rPr>
  </w:style>
  <w:style w:type="paragraph" w:customStyle="1" w:styleId="ACMABulletLevel2">
    <w:name w:val="ACMA_BulletLevel2"/>
    <w:basedOn w:val="ACMABulletLevel1"/>
    <w:qFormat/>
    <w:rsid w:val="006A02B1"/>
    <w:pPr>
      <w:numPr>
        <w:ilvl w:val="1"/>
        <w:numId w:val="2"/>
      </w:numPr>
      <w:ind w:left="851" w:hanging="425"/>
    </w:pPr>
    <w:rPr>
      <w:rFonts w:cs="Arial"/>
    </w:rPr>
  </w:style>
  <w:style w:type="paragraph" w:customStyle="1" w:styleId="ACMAFooterEven">
    <w:name w:val="ACMA Footer (Even)"/>
    <w:rsid w:val="006A02B1"/>
    <w:pPr>
      <w:pBdr>
        <w:top w:val="single" w:sz="2" w:space="4" w:color="auto"/>
      </w:pBdr>
      <w:tabs>
        <w:tab w:val="right" w:pos="8352"/>
      </w:tabs>
      <w:ind w:left="288" w:hanging="288"/>
    </w:pPr>
    <w:rPr>
      <w:rFonts w:ascii="Arial" w:hAnsi="Arial"/>
      <w:lang w:eastAsia="en-US"/>
    </w:rPr>
  </w:style>
  <w:style w:type="paragraph" w:styleId="Revision">
    <w:name w:val="Revision"/>
    <w:hidden/>
    <w:uiPriority w:val="99"/>
    <w:semiHidden/>
    <w:rsid w:val="00605E62"/>
    <w:rPr>
      <w:rFonts w:ascii="Arial" w:hAnsi="Arial"/>
      <w:i/>
      <w:szCs w:val="24"/>
      <w:lang w:eastAsia="en-US"/>
    </w:rPr>
  </w:style>
  <w:style w:type="character" w:styleId="FollowedHyperlink">
    <w:name w:val="FollowedHyperlink"/>
    <w:basedOn w:val="DefaultParagraphFont"/>
    <w:semiHidden/>
    <w:unhideWhenUsed/>
    <w:rsid w:val="00844F3E"/>
    <w:rPr>
      <w:color w:val="800080" w:themeColor="followedHyperlink"/>
      <w:u w:val="single"/>
    </w:rPr>
  </w:style>
  <w:style w:type="paragraph" w:styleId="ListParagraph">
    <w:name w:val="List Paragraph"/>
    <w:aliases w:val="ACMA_ListParagraph,List Paragraph1,Recommendation,bullet point list"/>
    <w:basedOn w:val="Normal"/>
    <w:link w:val="ListParagraphChar"/>
    <w:uiPriority w:val="34"/>
    <w:qFormat/>
    <w:rsid w:val="00513335"/>
    <w:pPr>
      <w:ind w:left="720"/>
      <w:contextualSpacing/>
    </w:pPr>
  </w:style>
  <w:style w:type="character" w:customStyle="1" w:styleId="ListParagraphChar">
    <w:name w:val="List Paragraph Char"/>
    <w:aliases w:val="ACMA_ListParagraph Char,List Paragraph1 Char,Recommendation Char,bullet point list Char"/>
    <w:basedOn w:val="DefaultParagraphFont"/>
    <w:link w:val="ListParagraph"/>
    <w:uiPriority w:val="34"/>
    <w:locked/>
    <w:rsid w:val="00513335"/>
    <w:rPr>
      <w:rFonts w:ascii="Arial" w:hAnsi="Arial"/>
      <w:i/>
      <w:szCs w:val="24"/>
      <w:lang w:eastAsia="en-US"/>
    </w:rPr>
  </w:style>
  <w:style w:type="character" w:styleId="UnresolvedMention">
    <w:name w:val="Unresolved Mention"/>
    <w:basedOn w:val="DefaultParagraphFont"/>
    <w:uiPriority w:val="99"/>
    <w:semiHidden/>
    <w:unhideWhenUsed/>
    <w:rsid w:val="007F04A5"/>
    <w:rPr>
      <w:color w:val="605E5C"/>
      <w:shd w:val="clear" w:color="auto" w:fill="E1DFDD"/>
    </w:rPr>
  </w:style>
  <w:style w:type="paragraph" w:customStyle="1" w:styleId="ABABodyText">
    <w:name w:val="ABA Body Text"/>
    <w:rsid w:val="00226C01"/>
    <w:pPr>
      <w:suppressAutoHyphens/>
      <w:spacing w:before="80" w:after="120" w:line="280" w:lineRule="atLeast"/>
    </w:pPr>
    <w:rPr>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643">
      <w:bodyDiv w:val="1"/>
      <w:marLeft w:val="0"/>
      <w:marRight w:val="0"/>
      <w:marTop w:val="0"/>
      <w:marBottom w:val="0"/>
      <w:divBdr>
        <w:top w:val="none" w:sz="0" w:space="0" w:color="auto"/>
        <w:left w:val="none" w:sz="0" w:space="0" w:color="auto"/>
        <w:bottom w:val="none" w:sz="0" w:space="0" w:color="auto"/>
        <w:right w:val="none" w:sz="0" w:space="0" w:color="auto"/>
      </w:divBdr>
    </w:div>
    <w:div w:id="172111455">
      <w:bodyDiv w:val="1"/>
      <w:marLeft w:val="0"/>
      <w:marRight w:val="0"/>
      <w:marTop w:val="0"/>
      <w:marBottom w:val="0"/>
      <w:divBdr>
        <w:top w:val="none" w:sz="0" w:space="0" w:color="auto"/>
        <w:left w:val="none" w:sz="0" w:space="0" w:color="auto"/>
        <w:bottom w:val="none" w:sz="0" w:space="0" w:color="auto"/>
        <w:right w:val="none" w:sz="0" w:space="0" w:color="auto"/>
      </w:divBdr>
    </w:div>
    <w:div w:id="444035424">
      <w:bodyDiv w:val="1"/>
      <w:marLeft w:val="0"/>
      <w:marRight w:val="0"/>
      <w:marTop w:val="0"/>
      <w:marBottom w:val="0"/>
      <w:divBdr>
        <w:top w:val="none" w:sz="0" w:space="0" w:color="auto"/>
        <w:left w:val="none" w:sz="0" w:space="0" w:color="auto"/>
        <w:bottom w:val="none" w:sz="0" w:space="0" w:color="auto"/>
        <w:right w:val="none" w:sz="0" w:space="0" w:color="auto"/>
      </w:divBdr>
    </w:div>
    <w:div w:id="607196699">
      <w:bodyDiv w:val="1"/>
      <w:marLeft w:val="0"/>
      <w:marRight w:val="0"/>
      <w:marTop w:val="0"/>
      <w:marBottom w:val="0"/>
      <w:divBdr>
        <w:top w:val="none" w:sz="0" w:space="0" w:color="auto"/>
        <w:left w:val="none" w:sz="0" w:space="0" w:color="auto"/>
        <w:bottom w:val="none" w:sz="0" w:space="0" w:color="auto"/>
        <w:right w:val="none" w:sz="0" w:space="0" w:color="auto"/>
      </w:divBdr>
    </w:div>
    <w:div w:id="657925753">
      <w:bodyDiv w:val="1"/>
      <w:marLeft w:val="0"/>
      <w:marRight w:val="0"/>
      <w:marTop w:val="0"/>
      <w:marBottom w:val="0"/>
      <w:divBdr>
        <w:top w:val="none" w:sz="0" w:space="0" w:color="auto"/>
        <w:left w:val="none" w:sz="0" w:space="0" w:color="auto"/>
        <w:bottom w:val="none" w:sz="0" w:space="0" w:color="auto"/>
        <w:right w:val="none" w:sz="0" w:space="0" w:color="auto"/>
      </w:divBdr>
    </w:div>
    <w:div w:id="689918846">
      <w:bodyDiv w:val="1"/>
      <w:marLeft w:val="0"/>
      <w:marRight w:val="0"/>
      <w:marTop w:val="0"/>
      <w:marBottom w:val="0"/>
      <w:divBdr>
        <w:top w:val="none" w:sz="0" w:space="0" w:color="auto"/>
        <w:left w:val="none" w:sz="0" w:space="0" w:color="auto"/>
        <w:bottom w:val="none" w:sz="0" w:space="0" w:color="auto"/>
        <w:right w:val="none" w:sz="0" w:space="0" w:color="auto"/>
      </w:divBdr>
    </w:div>
    <w:div w:id="730353252">
      <w:bodyDiv w:val="1"/>
      <w:marLeft w:val="0"/>
      <w:marRight w:val="0"/>
      <w:marTop w:val="0"/>
      <w:marBottom w:val="0"/>
      <w:divBdr>
        <w:top w:val="none" w:sz="0" w:space="0" w:color="auto"/>
        <w:left w:val="none" w:sz="0" w:space="0" w:color="auto"/>
        <w:bottom w:val="none" w:sz="0" w:space="0" w:color="auto"/>
        <w:right w:val="none" w:sz="0" w:space="0" w:color="auto"/>
      </w:divBdr>
      <w:divsChild>
        <w:div w:id="93945409">
          <w:marLeft w:val="0"/>
          <w:marRight w:val="0"/>
          <w:marTop w:val="0"/>
          <w:marBottom w:val="0"/>
          <w:divBdr>
            <w:top w:val="none" w:sz="0" w:space="0" w:color="auto"/>
            <w:left w:val="none" w:sz="0" w:space="0" w:color="auto"/>
            <w:bottom w:val="none" w:sz="0" w:space="0" w:color="auto"/>
            <w:right w:val="none" w:sz="0" w:space="0" w:color="auto"/>
          </w:divBdr>
          <w:divsChild>
            <w:div w:id="1462915955">
              <w:marLeft w:val="0"/>
              <w:marRight w:val="0"/>
              <w:marTop w:val="0"/>
              <w:marBottom w:val="0"/>
              <w:divBdr>
                <w:top w:val="none" w:sz="0" w:space="0" w:color="auto"/>
                <w:left w:val="none" w:sz="0" w:space="0" w:color="auto"/>
                <w:bottom w:val="none" w:sz="0" w:space="0" w:color="auto"/>
                <w:right w:val="none" w:sz="0" w:space="0" w:color="auto"/>
              </w:divBdr>
              <w:divsChild>
                <w:div w:id="1404837759">
                  <w:marLeft w:val="0"/>
                  <w:marRight w:val="0"/>
                  <w:marTop w:val="0"/>
                  <w:marBottom w:val="0"/>
                  <w:divBdr>
                    <w:top w:val="none" w:sz="0" w:space="0" w:color="auto"/>
                    <w:left w:val="none" w:sz="0" w:space="0" w:color="auto"/>
                    <w:bottom w:val="none" w:sz="0" w:space="0" w:color="auto"/>
                    <w:right w:val="none" w:sz="0" w:space="0" w:color="auto"/>
                  </w:divBdr>
                  <w:divsChild>
                    <w:div w:id="868294497">
                      <w:marLeft w:val="0"/>
                      <w:marRight w:val="0"/>
                      <w:marTop w:val="0"/>
                      <w:marBottom w:val="0"/>
                      <w:divBdr>
                        <w:top w:val="none" w:sz="0" w:space="0" w:color="auto"/>
                        <w:left w:val="none" w:sz="0" w:space="0" w:color="auto"/>
                        <w:bottom w:val="none" w:sz="0" w:space="0" w:color="auto"/>
                        <w:right w:val="none" w:sz="0" w:space="0" w:color="auto"/>
                      </w:divBdr>
                      <w:divsChild>
                        <w:div w:id="1622490121">
                          <w:marLeft w:val="0"/>
                          <w:marRight w:val="0"/>
                          <w:marTop w:val="0"/>
                          <w:marBottom w:val="0"/>
                          <w:divBdr>
                            <w:top w:val="none" w:sz="0" w:space="0" w:color="auto"/>
                            <w:left w:val="none" w:sz="0" w:space="0" w:color="auto"/>
                            <w:bottom w:val="none" w:sz="0" w:space="0" w:color="auto"/>
                            <w:right w:val="none" w:sz="0" w:space="0" w:color="auto"/>
                          </w:divBdr>
                          <w:divsChild>
                            <w:div w:id="12659070">
                              <w:marLeft w:val="0"/>
                              <w:marRight w:val="0"/>
                              <w:marTop w:val="0"/>
                              <w:marBottom w:val="0"/>
                              <w:divBdr>
                                <w:top w:val="none" w:sz="0" w:space="0" w:color="auto"/>
                                <w:left w:val="none" w:sz="0" w:space="0" w:color="auto"/>
                                <w:bottom w:val="none" w:sz="0" w:space="0" w:color="auto"/>
                                <w:right w:val="none" w:sz="0" w:space="0" w:color="auto"/>
                              </w:divBdr>
                              <w:divsChild>
                                <w:div w:id="1504279023">
                                  <w:marLeft w:val="0"/>
                                  <w:marRight w:val="0"/>
                                  <w:marTop w:val="0"/>
                                  <w:marBottom w:val="0"/>
                                  <w:divBdr>
                                    <w:top w:val="none" w:sz="0" w:space="0" w:color="auto"/>
                                    <w:left w:val="none" w:sz="0" w:space="0" w:color="auto"/>
                                    <w:bottom w:val="none" w:sz="0" w:space="0" w:color="auto"/>
                                    <w:right w:val="none" w:sz="0" w:space="0" w:color="auto"/>
                                  </w:divBdr>
                                  <w:divsChild>
                                    <w:div w:id="345451535">
                                      <w:marLeft w:val="0"/>
                                      <w:marRight w:val="0"/>
                                      <w:marTop w:val="0"/>
                                      <w:marBottom w:val="0"/>
                                      <w:divBdr>
                                        <w:top w:val="none" w:sz="0" w:space="0" w:color="auto"/>
                                        <w:left w:val="none" w:sz="0" w:space="0" w:color="auto"/>
                                        <w:bottom w:val="none" w:sz="0" w:space="0" w:color="auto"/>
                                        <w:right w:val="none" w:sz="0" w:space="0" w:color="auto"/>
                                      </w:divBdr>
                                      <w:divsChild>
                                        <w:div w:id="195777262">
                                          <w:marLeft w:val="0"/>
                                          <w:marRight w:val="0"/>
                                          <w:marTop w:val="0"/>
                                          <w:marBottom w:val="0"/>
                                          <w:divBdr>
                                            <w:top w:val="none" w:sz="0" w:space="0" w:color="auto"/>
                                            <w:left w:val="none" w:sz="0" w:space="0" w:color="auto"/>
                                            <w:bottom w:val="none" w:sz="0" w:space="0" w:color="auto"/>
                                            <w:right w:val="none" w:sz="0" w:space="0" w:color="auto"/>
                                          </w:divBdr>
                                          <w:divsChild>
                                            <w:div w:id="92092840">
                                              <w:marLeft w:val="0"/>
                                              <w:marRight w:val="0"/>
                                              <w:marTop w:val="0"/>
                                              <w:marBottom w:val="0"/>
                                              <w:divBdr>
                                                <w:top w:val="none" w:sz="0" w:space="0" w:color="auto"/>
                                                <w:left w:val="none" w:sz="0" w:space="0" w:color="auto"/>
                                                <w:bottom w:val="none" w:sz="0" w:space="0" w:color="auto"/>
                                                <w:right w:val="none" w:sz="0" w:space="0" w:color="auto"/>
                                              </w:divBdr>
                                              <w:divsChild>
                                                <w:div w:id="447357297">
                                                  <w:marLeft w:val="0"/>
                                                  <w:marRight w:val="0"/>
                                                  <w:marTop w:val="0"/>
                                                  <w:marBottom w:val="0"/>
                                                  <w:divBdr>
                                                    <w:top w:val="none" w:sz="0" w:space="0" w:color="auto"/>
                                                    <w:left w:val="none" w:sz="0" w:space="0" w:color="auto"/>
                                                    <w:bottom w:val="none" w:sz="0" w:space="0" w:color="auto"/>
                                                    <w:right w:val="none" w:sz="0" w:space="0" w:color="auto"/>
                                                  </w:divBdr>
                                                  <w:divsChild>
                                                    <w:div w:id="2002927945">
                                                      <w:marLeft w:val="0"/>
                                                      <w:marRight w:val="0"/>
                                                      <w:marTop w:val="0"/>
                                                      <w:marBottom w:val="0"/>
                                                      <w:divBdr>
                                                        <w:top w:val="none" w:sz="0" w:space="0" w:color="auto"/>
                                                        <w:left w:val="none" w:sz="0" w:space="0" w:color="auto"/>
                                                        <w:bottom w:val="none" w:sz="0" w:space="0" w:color="auto"/>
                                                        <w:right w:val="none" w:sz="0" w:space="0" w:color="auto"/>
                                                      </w:divBdr>
                                                      <w:divsChild>
                                                        <w:div w:id="1832287831">
                                                          <w:marLeft w:val="0"/>
                                                          <w:marRight w:val="0"/>
                                                          <w:marTop w:val="0"/>
                                                          <w:marBottom w:val="0"/>
                                                          <w:divBdr>
                                                            <w:top w:val="none" w:sz="0" w:space="0" w:color="auto"/>
                                                            <w:left w:val="none" w:sz="0" w:space="0" w:color="auto"/>
                                                            <w:bottom w:val="none" w:sz="0" w:space="0" w:color="auto"/>
                                                            <w:right w:val="none" w:sz="0" w:space="0" w:color="auto"/>
                                                          </w:divBdr>
                                                          <w:divsChild>
                                                            <w:div w:id="2003657554">
                                                              <w:marLeft w:val="0"/>
                                                              <w:marRight w:val="0"/>
                                                              <w:marTop w:val="0"/>
                                                              <w:marBottom w:val="0"/>
                                                              <w:divBdr>
                                                                <w:top w:val="none" w:sz="0" w:space="0" w:color="auto"/>
                                                                <w:left w:val="none" w:sz="0" w:space="0" w:color="auto"/>
                                                                <w:bottom w:val="none" w:sz="0" w:space="0" w:color="auto"/>
                                                                <w:right w:val="none" w:sz="0" w:space="0" w:color="auto"/>
                                                              </w:divBdr>
                                                              <w:divsChild>
                                                                <w:div w:id="557597540">
                                                                  <w:marLeft w:val="0"/>
                                                                  <w:marRight w:val="0"/>
                                                                  <w:marTop w:val="0"/>
                                                                  <w:marBottom w:val="0"/>
                                                                  <w:divBdr>
                                                                    <w:top w:val="none" w:sz="0" w:space="0" w:color="auto"/>
                                                                    <w:left w:val="none" w:sz="0" w:space="0" w:color="auto"/>
                                                                    <w:bottom w:val="none" w:sz="0" w:space="0" w:color="auto"/>
                                                                    <w:right w:val="none" w:sz="0" w:space="0" w:color="auto"/>
                                                                  </w:divBdr>
                                                                  <w:divsChild>
                                                                    <w:div w:id="2054037740">
                                                                      <w:marLeft w:val="0"/>
                                                                      <w:marRight w:val="0"/>
                                                                      <w:marTop w:val="0"/>
                                                                      <w:marBottom w:val="0"/>
                                                                      <w:divBdr>
                                                                        <w:top w:val="none" w:sz="0" w:space="0" w:color="auto"/>
                                                                        <w:left w:val="none" w:sz="0" w:space="0" w:color="auto"/>
                                                                        <w:bottom w:val="none" w:sz="0" w:space="0" w:color="auto"/>
                                                                        <w:right w:val="none" w:sz="0" w:space="0" w:color="auto"/>
                                                                      </w:divBdr>
                                                                      <w:divsChild>
                                                                        <w:div w:id="224219892">
                                                                          <w:marLeft w:val="0"/>
                                                                          <w:marRight w:val="0"/>
                                                                          <w:marTop w:val="0"/>
                                                                          <w:marBottom w:val="0"/>
                                                                          <w:divBdr>
                                                                            <w:top w:val="none" w:sz="0" w:space="0" w:color="auto"/>
                                                                            <w:left w:val="none" w:sz="0" w:space="0" w:color="auto"/>
                                                                            <w:bottom w:val="none" w:sz="0" w:space="0" w:color="auto"/>
                                                                            <w:right w:val="none" w:sz="0" w:space="0" w:color="auto"/>
                                                                          </w:divBdr>
                                                                          <w:divsChild>
                                                                            <w:div w:id="1181093239">
                                                                              <w:marLeft w:val="0"/>
                                                                              <w:marRight w:val="0"/>
                                                                              <w:marTop w:val="0"/>
                                                                              <w:marBottom w:val="0"/>
                                                                              <w:divBdr>
                                                                                <w:top w:val="none" w:sz="0" w:space="0" w:color="auto"/>
                                                                                <w:left w:val="none" w:sz="0" w:space="0" w:color="auto"/>
                                                                                <w:bottom w:val="none" w:sz="0" w:space="0" w:color="auto"/>
                                                                                <w:right w:val="none" w:sz="0" w:space="0" w:color="auto"/>
                                                                              </w:divBdr>
                                                                              <w:divsChild>
                                                                                <w:div w:id="8528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391985">
      <w:bodyDiv w:val="1"/>
      <w:marLeft w:val="0"/>
      <w:marRight w:val="0"/>
      <w:marTop w:val="0"/>
      <w:marBottom w:val="0"/>
      <w:divBdr>
        <w:top w:val="none" w:sz="0" w:space="0" w:color="auto"/>
        <w:left w:val="none" w:sz="0" w:space="0" w:color="auto"/>
        <w:bottom w:val="none" w:sz="0" w:space="0" w:color="auto"/>
        <w:right w:val="none" w:sz="0" w:space="0" w:color="auto"/>
      </w:divBdr>
    </w:div>
    <w:div w:id="1013262148">
      <w:bodyDiv w:val="1"/>
      <w:marLeft w:val="0"/>
      <w:marRight w:val="0"/>
      <w:marTop w:val="0"/>
      <w:marBottom w:val="0"/>
      <w:divBdr>
        <w:top w:val="none" w:sz="0" w:space="0" w:color="auto"/>
        <w:left w:val="none" w:sz="0" w:space="0" w:color="auto"/>
        <w:bottom w:val="none" w:sz="0" w:space="0" w:color="auto"/>
        <w:right w:val="none" w:sz="0" w:space="0" w:color="auto"/>
      </w:divBdr>
    </w:div>
    <w:div w:id="1076979740">
      <w:bodyDiv w:val="1"/>
      <w:marLeft w:val="0"/>
      <w:marRight w:val="0"/>
      <w:marTop w:val="0"/>
      <w:marBottom w:val="0"/>
      <w:divBdr>
        <w:top w:val="none" w:sz="0" w:space="0" w:color="auto"/>
        <w:left w:val="none" w:sz="0" w:space="0" w:color="auto"/>
        <w:bottom w:val="none" w:sz="0" w:space="0" w:color="auto"/>
        <w:right w:val="none" w:sz="0" w:space="0" w:color="auto"/>
      </w:divBdr>
    </w:div>
    <w:div w:id="1122379479">
      <w:bodyDiv w:val="1"/>
      <w:marLeft w:val="0"/>
      <w:marRight w:val="0"/>
      <w:marTop w:val="0"/>
      <w:marBottom w:val="0"/>
      <w:divBdr>
        <w:top w:val="none" w:sz="0" w:space="0" w:color="auto"/>
        <w:left w:val="none" w:sz="0" w:space="0" w:color="auto"/>
        <w:bottom w:val="none" w:sz="0" w:space="0" w:color="auto"/>
        <w:right w:val="none" w:sz="0" w:space="0" w:color="auto"/>
      </w:divBdr>
    </w:div>
    <w:div w:id="1196890663">
      <w:bodyDiv w:val="1"/>
      <w:marLeft w:val="0"/>
      <w:marRight w:val="0"/>
      <w:marTop w:val="0"/>
      <w:marBottom w:val="0"/>
      <w:divBdr>
        <w:top w:val="none" w:sz="0" w:space="0" w:color="auto"/>
        <w:left w:val="none" w:sz="0" w:space="0" w:color="auto"/>
        <w:bottom w:val="none" w:sz="0" w:space="0" w:color="auto"/>
        <w:right w:val="none" w:sz="0" w:space="0" w:color="auto"/>
      </w:divBdr>
    </w:div>
    <w:div w:id="1354696265">
      <w:bodyDiv w:val="1"/>
      <w:marLeft w:val="0"/>
      <w:marRight w:val="0"/>
      <w:marTop w:val="0"/>
      <w:marBottom w:val="0"/>
      <w:divBdr>
        <w:top w:val="none" w:sz="0" w:space="0" w:color="auto"/>
        <w:left w:val="none" w:sz="0" w:space="0" w:color="auto"/>
        <w:bottom w:val="none" w:sz="0" w:space="0" w:color="auto"/>
        <w:right w:val="none" w:sz="0" w:space="0" w:color="auto"/>
      </w:divBdr>
    </w:div>
    <w:div w:id="1369647669">
      <w:bodyDiv w:val="1"/>
      <w:marLeft w:val="0"/>
      <w:marRight w:val="0"/>
      <w:marTop w:val="0"/>
      <w:marBottom w:val="0"/>
      <w:divBdr>
        <w:top w:val="none" w:sz="0" w:space="0" w:color="auto"/>
        <w:left w:val="none" w:sz="0" w:space="0" w:color="auto"/>
        <w:bottom w:val="none" w:sz="0" w:space="0" w:color="auto"/>
        <w:right w:val="none" w:sz="0" w:space="0" w:color="auto"/>
      </w:divBdr>
    </w:div>
    <w:div w:id="1383287130">
      <w:bodyDiv w:val="1"/>
      <w:marLeft w:val="0"/>
      <w:marRight w:val="0"/>
      <w:marTop w:val="0"/>
      <w:marBottom w:val="0"/>
      <w:divBdr>
        <w:top w:val="none" w:sz="0" w:space="0" w:color="auto"/>
        <w:left w:val="none" w:sz="0" w:space="0" w:color="auto"/>
        <w:bottom w:val="none" w:sz="0" w:space="0" w:color="auto"/>
        <w:right w:val="none" w:sz="0" w:space="0" w:color="auto"/>
      </w:divBdr>
      <w:divsChild>
        <w:div w:id="1861118071">
          <w:marLeft w:val="0"/>
          <w:marRight w:val="0"/>
          <w:marTop w:val="0"/>
          <w:marBottom w:val="0"/>
          <w:divBdr>
            <w:top w:val="none" w:sz="0" w:space="0" w:color="auto"/>
            <w:left w:val="none" w:sz="0" w:space="0" w:color="auto"/>
            <w:bottom w:val="none" w:sz="0" w:space="0" w:color="auto"/>
            <w:right w:val="none" w:sz="0" w:space="0" w:color="auto"/>
          </w:divBdr>
          <w:divsChild>
            <w:div w:id="1651133371">
              <w:marLeft w:val="0"/>
              <w:marRight w:val="0"/>
              <w:marTop w:val="0"/>
              <w:marBottom w:val="0"/>
              <w:divBdr>
                <w:top w:val="none" w:sz="0" w:space="0" w:color="auto"/>
                <w:left w:val="none" w:sz="0" w:space="0" w:color="auto"/>
                <w:bottom w:val="none" w:sz="0" w:space="0" w:color="auto"/>
                <w:right w:val="none" w:sz="0" w:space="0" w:color="auto"/>
              </w:divBdr>
              <w:divsChild>
                <w:div w:id="786773669">
                  <w:marLeft w:val="0"/>
                  <w:marRight w:val="0"/>
                  <w:marTop w:val="0"/>
                  <w:marBottom w:val="0"/>
                  <w:divBdr>
                    <w:top w:val="none" w:sz="0" w:space="0" w:color="auto"/>
                    <w:left w:val="none" w:sz="0" w:space="0" w:color="auto"/>
                    <w:bottom w:val="none" w:sz="0" w:space="0" w:color="auto"/>
                    <w:right w:val="none" w:sz="0" w:space="0" w:color="auto"/>
                  </w:divBdr>
                  <w:divsChild>
                    <w:div w:id="1796293211">
                      <w:marLeft w:val="0"/>
                      <w:marRight w:val="0"/>
                      <w:marTop w:val="0"/>
                      <w:marBottom w:val="0"/>
                      <w:divBdr>
                        <w:top w:val="none" w:sz="0" w:space="0" w:color="auto"/>
                        <w:left w:val="none" w:sz="0" w:space="0" w:color="auto"/>
                        <w:bottom w:val="none" w:sz="0" w:space="0" w:color="auto"/>
                        <w:right w:val="none" w:sz="0" w:space="0" w:color="auto"/>
                      </w:divBdr>
                      <w:divsChild>
                        <w:div w:id="556360126">
                          <w:marLeft w:val="0"/>
                          <w:marRight w:val="0"/>
                          <w:marTop w:val="0"/>
                          <w:marBottom w:val="0"/>
                          <w:divBdr>
                            <w:top w:val="none" w:sz="0" w:space="0" w:color="auto"/>
                            <w:left w:val="none" w:sz="0" w:space="0" w:color="auto"/>
                            <w:bottom w:val="none" w:sz="0" w:space="0" w:color="auto"/>
                            <w:right w:val="none" w:sz="0" w:space="0" w:color="auto"/>
                          </w:divBdr>
                          <w:divsChild>
                            <w:div w:id="1926918500">
                              <w:marLeft w:val="0"/>
                              <w:marRight w:val="0"/>
                              <w:marTop w:val="0"/>
                              <w:marBottom w:val="0"/>
                              <w:divBdr>
                                <w:top w:val="none" w:sz="0" w:space="0" w:color="auto"/>
                                <w:left w:val="none" w:sz="0" w:space="0" w:color="auto"/>
                                <w:bottom w:val="none" w:sz="0" w:space="0" w:color="auto"/>
                                <w:right w:val="none" w:sz="0" w:space="0" w:color="auto"/>
                              </w:divBdr>
                              <w:divsChild>
                                <w:div w:id="913128525">
                                  <w:marLeft w:val="0"/>
                                  <w:marRight w:val="0"/>
                                  <w:marTop w:val="0"/>
                                  <w:marBottom w:val="0"/>
                                  <w:divBdr>
                                    <w:top w:val="none" w:sz="0" w:space="0" w:color="auto"/>
                                    <w:left w:val="none" w:sz="0" w:space="0" w:color="auto"/>
                                    <w:bottom w:val="none" w:sz="0" w:space="0" w:color="auto"/>
                                    <w:right w:val="none" w:sz="0" w:space="0" w:color="auto"/>
                                  </w:divBdr>
                                  <w:divsChild>
                                    <w:div w:id="416370565">
                                      <w:marLeft w:val="0"/>
                                      <w:marRight w:val="0"/>
                                      <w:marTop w:val="0"/>
                                      <w:marBottom w:val="0"/>
                                      <w:divBdr>
                                        <w:top w:val="none" w:sz="0" w:space="0" w:color="auto"/>
                                        <w:left w:val="none" w:sz="0" w:space="0" w:color="auto"/>
                                        <w:bottom w:val="none" w:sz="0" w:space="0" w:color="auto"/>
                                        <w:right w:val="none" w:sz="0" w:space="0" w:color="auto"/>
                                      </w:divBdr>
                                      <w:divsChild>
                                        <w:div w:id="1356729449">
                                          <w:marLeft w:val="0"/>
                                          <w:marRight w:val="0"/>
                                          <w:marTop w:val="0"/>
                                          <w:marBottom w:val="0"/>
                                          <w:divBdr>
                                            <w:top w:val="none" w:sz="0" w:space="0" w:color="auto"/>
                                            <w:left w:val="none" w:sz="0" w:space="0" w:color="auto"/>
                                            <w:bottom w:val="none" w:sz="0" w:space="0" w:color="auto"/>
                                            <w:right w:val="none" w:sz="0" w:space="0" w:color="auto"/>
                                          </w:divBdr>
                                          <w:divsChild>
                                            <w:div w:id="319888645">
                                              <w:marLeft w:val="0"/>
                                              <w:marRight w:val="0"/>
                                              <w:marTop w:val="0"/>
                                              <w:marBottom w:val="0"/>
                                              <w:divBdr>
                                                <w:top w:val="none" w:sz="0" w:space="0" w:color="auto"/>
                                                <w:left w:val="none" w:sz="0" w:space="0" w:color="auto"/>
                                                <w:bottom w:val="none" w:sz="0" w:space="0" w:color="auto"/>
                                                <w:right w:val="none" w:sz="0" w:space="0" w:color="auto"/>
                                              </w:divBdr>
                                              <w:divsChild>
                                                <w:div w:id="1048796500">
                                                  <w:marLeft w:val="0"/>
                                                  <w:marRight w:val="0"/>
                                                  <w:marTop w:val="0"/>
                                                  <w:marBottom w:val="0"/>
                                                  <w:divBdr>
                                                    <w:top w:val="none" w:sz="0" w:space="0" w:color="auto"/>
                                                    <w:left w:val="none" w:sz="0" w:space="0" w:color="auto"/>
                                                    <w:bottom w:val="none" w:sz="0" w:space="0" w:color="auto"/>
                                                    <w:right w:val="none" w:sz="0" w:space="0" w:color="auto"/>
                                                  </w:divBdr>
                                                  <w:divsChild>
                                                    <w:div w:id="426510458">
                                                      <w:marLeft w:val="0"/>
                                                      <w:marRight w:val="0"/>
                                                      <w:marTop w:val="0"/>
                                                      <w:marBottom w:val="0"/>
                                                      <w:divBdr>
                                                        <w:top w:val="none" w:sz="0" w:space="0" w:color="auto"/>
                                                        <w:left w:val="none" w:sz="0" w:space="0" w:color="auto"/>
                                                        <w:bottom w:val="none" w:sz="0" w:space="0" w:color="auto"/>
                                                        <w:right w:val="none" w:sz="0" w:space="0" w:color="auto"/>
                                                      </w:divBdr>
                                                      <w:divsChild>
                                                        <w:div w:id="295766297">
                                                          <w:marLeft w:val="0"/>
                                                          <w:marRight w:val="0"/>
                                                          <w:marTop w:val="0"/>
                                                          <w:marBottom w:val="0"/>
                                                          <w:divBdr>
                                                            <w:top w:val="none" w:sz="0" w:space="0" w:color="auto"/>
                                                            <w:left w:val="none" w:sz="0" w:space="0" w:color="auto"/>
                                                            <w:bottom w:val="none" w:sz="0" w:space="0" w:color="auto"/>
                                                            <w:right w:val="none" w:sz="0" w:space="0" w:color="auto"/>
                                                          </w:divBdr>
                                                          <w:divsChild>
                                                            <w:div w:id="599334521">
                                                              <w:marLeft w:val="0"/>
                                                              <w:marRight w:val="0"/>
                                                              <w:marTop w:val="0"/>
                                                              <w:marBottom w:val="0"/>
                                                              <w:divBdr>
                                                                <w:top w:val="none" w:sz="0" w:space="0" w:color="auto"/>
                                                                <w:left w:val="none" w:sz="0" w:space="0" w:color="auto"/>
                                                                <w:bottom w:val="none" w:sz="0" w:space="0" w:color="auto"/>
                                                                <w:right w:val="none" w:sz="0" w:space="0" w:color="auto"/>
                                                              </w:divBdr>
                                                              <w:divsChild>
                                                                <w:div w:id="144317279">
                                                                  <w:marLeft w:val="0"/>
                                                                  <w:marRight w:val="0"/>
                                                                  <w:marTop w:val="0"/>
                                                                  <w:marBottom w:val="0"/>
                                                                  <w:divBdr>
                                                                    <w:top w:val="none" w:sz="0" w:space="0" w:color="auto"/>
                                                                    <w:left w:val="none" w:sz="0" w:space="0" w:color="auto"/>
                                                                    <w:bottom w:val="none" w:sz="0" w:space="0" w:color="auto"/>
                                                                    <w:right w:val="none" w:sz="0" w:space="0" w:color="auto"/>
                                                                  </w:divBdr>
                                                                  <w:divsChild>
                                                                    <w:div w:id="564336014">
                                                                      <w:marLeft w:val="0"/>
                                                                      <w:marRight w:val="0"/>
                                                                      <w:marTop w:val="0"/>
                                                                      <w:marBottom w:val="0"/>
                                                                      <w:divBdr>
                                                                        <w:top w:val="none" w:sz="0" w:space="0" w:color="auto"/>
                                                                        <w:left w:val="none" w:sz="0" w:space="0" w:color="auto"/>
                                                                        <w:bottom w:val="none" w:sz="0" w:space="0" w:color="auto"/>
                                                                        <w:right w:val="none" w:sz="0" w:space="0" w:color="auto"/>
                                                                      </w:divBdr>
                                                                      <w:divsChild>
                                                                        <w:div w:id="1519201957">
                                                                          <w:marLeft w:val="0"/>
                                                                          <w:marRight w:val="0"/>
                                                                          <w:marTop w:val="0"/>
                                                                          <w:marBottom w:val="0"/>
                                                                          <w:divBdr>
                                                                            <w:top w:val="none" w:sz="0" w:space="0" w:color="auto"/>
                                                                            <w:left w:val="none" w:sz="0" w:space="0" w:color="auto"/>
                                                                            <w:bottom w:val="none" w:sz="0" w:space="0" w:color="auto"/>
                                                                            <w:right w:val="none" w:sz="0" w:space="0" w:color="auto"/>
                                                                          </w:divBdr>
                                                                          <w:divsChild>
                                                                            <w:div w:id="498812959">
                                                                              <w:marLeft w:val="0"/>
                                                                              <w:marRight w:val="0"/>
                                                                              <w:marTop w:val="0"/>
                                                                              <w:marBottom w:val="0"/>
                                                                              <w:divBdr>
                                                                                <w:top w:val="none" w:sz="0" w:space="0" w:color="auto"/>
                                                                                <w:left w:val="none" w:sz="0" w:space="0" w:color="auto"/>
                                                                                <w:bottom w:val="none" w:sz="0" w:space="0" w:color="auto"/>
                                                                                <w:right w:val="none" w:sz="0" w:space="0" w:color="auto"/>
                                                                              </w:divBdr>
                                                                              <w:divsChild>
                                                                                <w:div w:id="1502234520">
                                                                                  <w:marLeft w:val="0"/>
                                                                                  <w:marRight w:val="0"/>
                                                                                  <w:marTop w:val="0"/>
                                                                                  <w:marBottom w:val="0"/>
                                                                                  <w:divBdr>
                                                                                    <w:top w:val="none" w:sz="0" w:space="0" w:color="auto"/>
                                                                                    <w:left w:val="none" w:sz="0" w:space="0" w:color="auto"/>
                                                                                    <w:bottom w:val="none" w:sz="0" w:space="0" w:color="auto"/>
                                                                                    <w:right w:val="none" w:sz="0" w:space="0" w:color="auto"/>
                                                                                  </w:divBdr>
                                                                                  <w:divsChild>
                                                                                    <w:div w:id="381833150">
                                                                                      <w:marLeft w:val="0"/>
                                                                                      <w:marRight w:val="0"/>
                                                                                      <w:marTop w:val="0"/>
                                                                                      <w:marBottom w:val="0"/>
                                                                                      <w:divBdr>
                                                                                        <w:top w:val="none" w:sz="0" w:space="0" w:color="auto"/>
                                                                                        <w:left w:val="none" w:sz="0" w:space="0" w:color="auto"/>
                                                                                        <w:bottom w:val="none" w:sz="0" w:space="0" w:color="auto"/>
                                                                                        <w:right w:val="none" w:sz="0" w:space="0" w:color="auto"/>
                                                                                      </w:divBdr>
                                                                                      <w:divsChild>
                                                                                        <w:div w:id="520514635">
                                                                                          <w:marLeft w:val="0"/>
                                                                                          <w:marRight w:val="0"/>
                                                                                          <w:marTop w:val="0"/>
                                                                                          <w:marBottom w:val="0"/>
                                                                                          <w:divBdr>
                                                                                            <w:top w:val="none" w:sz="0" w:space="0" w:color="auto"/>
                                                                                            <w:left w:val="none" w:sz="0" w:space="0" w:color="auto"/>
                                                                                            <w:bottom w:val="none" w:sz="0" w:space="0" w:color="auto"/>
                                                                                            <w:right w:val="none" w:sz="0" w:space="0" w:color="auto"/>
                                                                                          </w:divBdr>
                                                                                          <w:divsChild>
                                                                                            <w:div w:id="36860116">
                                                                                              <w:marLeft w:val="0"/>
                                                                                              <w:marRight w:val="0"/>
                                                                                              <w:marTop w:val="0"/>
                                                                                              <w:marBottom w:val="0"/>
                                                                                              <w:divBdr>
                                                                                                <w:top w:val="none" w:sz="0" w:space="0" w:color="auto"/>
                                                                                                <w:left w:val="none" w:sz="0" w:space="0" w:color="auto"/>
                                                                                                <w:bottom w:val="none" w:sz="0" w:space="0" w:color="auto"/>
                                                                                                <w:right w:val="none" w:sz="0" w:space="0" w:color="auto"/>
                                                                                              </w:divBdr>
                                                                                              <w:divsChild>
                                                                                                <w:div w:id="785007591">
                                                                                                  <w:marLeft w:val="0"/>
                                                                                                  <w:marRight w:val="0"/>
                                                                                                  <w:marTop w:val="0"/>
                                                                                                  <w:marBottom w:val="0"/>
                                                                                                  <w:divBdr>
                                                                                                    <w:top w:val="none" w:sz="0" w:space="0" w:color="auto"/>
                                                                                                    <w:left w:val="none" w:sz="0" w:space="0" w:color="auto"/>
                                                                                                    <w:bottom w:val="none" w:sz="0" w:space="0" w:color="auto"/>
                                                                                                    <w:right w:val="none" w:sz="0" w:space="0" w:color="auto"/>
                                                                                                  </w:divBdr>
                                                                                                  <w:divsChild>
                                                                                                    <w:div w:id="2119256974">
                                                                                                      <w:marLeft w:val="0"/>
                                                                                                      <w:marRight w:val="0"/>
                                                                                                      <w:marTop w:val="0"/>
                                                                                                      <w:marBottom w:val="0"/>
                                                                                                      <w:divBdr>
                                                                                                        <w:top w:val="none" w:sz="0" w:space="0" w:color="auto"/>
                                                                                                        <w:left w:val="none" w:sz="0" w:space="0" w:color="auto"/>
                                                                                                        <w:bottom w:val="none" w:sz="0" w:space="0" w:color="auto"/>
                                                                                                        <w:right w:val="none" w:sz="0" w:space="0" w:color="auto"/>
                                                                                                      </w:divBdr>
                                                                                                      <w:divsChild>
                                                                                                        <w:div w:id="372847136">
                                                                                                          <w:marLeft w:val="0"/>
                                                                                                          <w:marRight w:val="0"/>
                                                                                                          <w:marTop w:val="0"/>
                                                                                                          <w:marBottom w:val="0"/>
                                                                                                          <w:divBdr>
                                                                                                            <w:top w:val="none" w:sz="0" w:space="0" w:color="auto"/>
                                                                                                            <w:left w:val="none" w:sz="0" w:space="0" w:color="auto"/>
                                                                                                            <w:bottom w:val="none" w:sz="0" w:space="0" w:color="auto"/>
                                                                                                            <w:right w:val="none" w:sz="0" w:space="0" w:color="auto"/>
                                                                                                          </w:divBdr>
                                                                                                          <w:divsChild>
                                                                                                            <w:div w:id="2100174647">
                                                                                                              <w:marLeft w:val="0"/>
                                                                                                              <w:marRight w:val="0"/>
                                                                                                              <w:marTop w:val="0"/>
                                                                                                              <w:marBottom w:val="0"/>
                                                                                                              <w:divBdr>
                                                                                                                <w:top w:val="none" w:sz="0" w:space="0" w:color="auto"/>
                                                                                                                <w:left w:val="none" w:sz="0" w:space="0" w:color="auto"/>
                                                                                                                <w:bottom w:val="none" w:sz="0" w:space="0" w:color="auto"/>
                                                                                                                <w:right w:val="none" w:sz="0" w:space="0" w:color="auto"/>
                                                                                                              </w:divBdr>
                                                                                                              <w:divsChild>
                                                                                                                <w:div w:id="996686251">
                                                                                                                  <w:marLeft w:val="0"/>
                                                                                                                  <w:marRight w:val="0"/>
                                                                                                                  <w:marTop w:val="0"/>
                                                                                                                  <w:marBottom w:val="0"/>
                                                                                                                  <w:divBdr>
                                                                                                                    <w:top w:val="none" w:sz="0" w:space="0" w:color="auto"/>
                                                                                                                    <w:left w:val="none" w:sz="0" w:space="0" w:color="auto"/>
                                                                                                                    <w:bottom w:val="none" w:sz="0" w:space="0" w:color="auto"/>
                                                                                                                    <w:right w:val="none" w:sz="0" w:space="0" w:color="auto"/>
                                                                                                                  </w:divBdr>
                                                                                                                  <w:divsChild>
                                                                                                                    <w:div w:id="266039676">
                                                                                                                      <w:marLeft w:val="0"/>
                                                                                                                      <w:marRight w:val="0"/>
                                                                                                                      <w:marTop w:val="0"/>
                                                                                                                      <w:marBottom w:val="0"/>
                                                                                                                      <w:divBdr>
                                                                                                                        <w:top w:val="none" w:sz="0" w:space="0" w:color="auto"/>
                                                                                                                        <w:left w:val="none" w:sz="0" w:space="0" w:color="auto"/>
                                                                                                                        <w:bottom w:val="none" w:sz="0" w:space="0" w:color="auto"/>
                                                                                                                        <w:right w:val="none" w:sz="0" w:space="0" w:color="auto"/>
                                                                                                                      </w:divBdr>
                                                                                                                      <w:divsChild>
                                                                                                                        <w:div w:id="13364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743753">
      <w:bodyDiv w:val="1"/>
      <w:marLeft w:val="0"/>
      <w:marRight w:val="0"/>
      <w:marTop w:val="0"/>
      <w:marBottom w:val="0"/>
      <w:divBdr>
        <w:top w:val="none" w:sz="0" w:space="0" w:color="auto"/>
        <w:left w:val="none" w:sz="0" w:space="0" w:color="auto"/>
        <w:bottom w:val="none" w:sz="0" w:space="0" w:color="auto"/>
        <w:right w:val="none" w:sz="0" w:space="0" w:color="auto"/>
      </w:divBdr>
    </w:div>
    <w:div w:id="1940478689">
      <w:bodyDiv w:val="1"/>
      <w:marLeft w:val="0"/>
      <w:marRight w:val="0"/>
      <w:marTop w:val="0"/>
      <w:marBottom w:val="0"/>
      <w:divBdr>
        <w:top w:val="none" w:sz="0" w:space="0" w:color="auto"/>
        <w:left w:val="none" w:sz="0" w:space="0" w:color="auto"/>
        <w:bottom w:val="none" w:sz="0" w:space="0" w:color="auto"/>
        <w:right w:val="none" w:sz="0" w:space="0" w:color="auto"/>
      </w:divBdr>
    </w:div>
    <w:div w:id="1952711704">
      <w:bodyDiv w:val="1"/>
      <w:marLeft w:val="0"/>
      <w:marRight w:val="0"/>
      <w:marTop w:val="0"/>
      <w:marBottom w:val="0"/>
      <w:divBdr>
        <w:top w:val="none" w:sz="0" w:space="0" w:color="auto"/>
        <w:left w:val="none" w:sz="0" w:space="0" w:color="auto"/>
        <w:bottom w:val="none" w:sz="0" w:space="0" w:color="auto"/>
        <w:right w:val="none" w:sz="0" w:space="0" w:color="auto"/>
      </w:divBdr>
    </w:div>
    <w:div w:id="2096125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tel.com.au/about/legal-stuff/astra-codes.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oxtel.com.au/content/dam/foxtel/shared/pdf/foxtel-price-guide-tv-apr-2022.pdf"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au/Details/F2017C0098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28AC2-8C97-477B-B1A7-14D1E92A4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4206</Words>
  <Characters>21667</Characters>
  <Application>Microsoft Office Word</Application>
  <DocSecurity>8</DocSecurity>
  <Lines>401</Lines>
  <Paragraphs>199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2023-10-30T02:53:00Z</dcterms:created>
  <dcterms:modified xsi:type="dcterms:W3CDTF">2023-10-31T00:18:00Z</dcterms:modified>
  <cp:category/>
</cp:coreProperties>
</file>