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D056" w14:textId="3DAA523B" w:rsidR="002A1D33" w:rsidRPr="0048788C" w:rsidRDefault="00B26526" w:rsidP="002A1D33">
      <w:pPr>
        <w:pStyle w:val="ACMAHeading1"/>
        <w:spacing w:before="960" w:after="240"/>
        <w:rPr>
          <w:rFonts w:cs="Arial"/>
        </w:rPr>
      </w:pPr>
      <w:r>
        <w:rPr>
          <w:rFonts w:cs="Arial"/>
        </w:rPr>
        <w:t>I</w:t>
      </w:r>
      <w:r w:rsidR="002A1D33" w:rsidRPr="0048788C">
        <w:rPr>
          <w:rFonts w:cs="Arial"/>
        </w:rPr>
        <w:t xml:space="preserve">nvestigation report no. </w:t>
      </w:r>
      <w:r w:rsidR="002A1D33" w:rsidRPr="0048788C">
        <w:rPr>
          <w:rStyle w:val="Emphasis"/>
          <w:rFonts w:cs="Arial"/>
          <w:i w:val="0"/>
        </w:rPr>
        <w:t>BI-654 and BI-655</w:t>
      </w:r>
    </w:p>
    <w:tbl>
      <w:tblPr>
        <w:tblW w:w="8449" w:type="dxa"/>
        <w:tblBorders>
          <w:top w:val="single" w:sz="4" w:space="0" w:color="auto"/>
          <w:bottom w:val="single" w:sz="4" w:space="0" w:color="auto"/>
          <w:insideH w:val="single" w:sz="4" w:space="0" w:color="auto"/>
        </w:tblBorders>
        <w:tblLook w:val="0420" w:firstRow="1" w:lastRow="0" w:firstColumn="0" w:lastColumn="0" w:noHBand="0" w:noVBand="1"/>
      </w:tblPr>
      <w:tblGrid>
        <w:gridCol w:w="3261"/>
        <w:gridCol w:w="5188"/>
      </w:tblGrid>
      <w:tr w:rsidR="002A1D33" w:rsidRPr="0048788C" w14:paraId="0DE407E4" w14:textId="77777777" w:rsidTr="00CD516B">
        <w:trPr>
          <w:tblHeader/>
        </w:trPr>
        <w:tc>
          <w:tcPr>
            <w:tcW w:w="3261" w:type="dxa"/>
            <w:tcBorders>
              <w:top w:val="nil"/>
              <w:left w:val="nil"/>
              <w:bottom w:val="nil"/>
              <w:right w:val="nil"/>
              <w:tl2br w:val="nil"/>
              <w:tr2bl w:val="nil"/>
            </w:tcBorders>
            <w:shd w:val="clear" w:color="auto" w:fill="000000"/>
            <w:tcMar>
              <w:top w:w="28" w:type="dxa"/>
              <w:left w:w="85" w:type="dxa"/>
              <w:bottom w:w="28" w:type="dxa"/>
              <w:right w:w="85" w:type="dxa"/>
            </w:tcMar>
          </w:tcPr>
          <w:p w14:paraId="7C404A15" w14:textId="77777777" w:rsidR="002A1D33" w:rsidRPr="0048788C" w:rsidRDefault="002A1D33" w:rsidP="00CD516B">
            <w:pPr>
              <w:pStyle w:val="ACMATableHeading"/>
              <w:spacing w:line="280" w:lineRule="atLeast"/>
              <w:rPr>
                <w:rFonts w:cs="Arial"/>
              </w:rPr>
            </w:pPr>
            <w:r w:rsidRPr="0048788C">
              <w:rPr>
                <w:rFonts w:cs="Arial"/>
              </w:rPr>
              <w:t>Summary</w:t>
            </w:r>
          </w:p>
        </w:tc>
        <w:tc>
          <w:tcPr>
            <w:tcW w:w="5188" w:type="dxa"/>
            <w:tcBorders>
              <w:top w:val="nil"/>
              <w:left w:val="nil"/>
              <w:bottom w:val="nil"/>
              <w:right w:val="nil"/>
              <w:tl2br w:val="nil"/>
              <w:tr2bl w:val="nil"/>
            </w:tcBorders>
            <w:shd w:val="clear" w:color="auto" w:fill="000000"/>
            <w:tcMar>
              <w:top w:w="28" w:type="dxa"/>
              <w:left w:w="85" w:type="dxa"/>
              <w:bottom w:w="28" w:type="dxa"/>
              <w:right w:w="85" w:type="dxa"/>
            </w:tcMar>
          </w:tcPr>
          <w:p w14:paraId="4966F579" w14:textId="77777777" w:rsidR="002A1D33" w:rsidRPr="0048788C" w:rsidRDefault="002A1D33" w:rsidP="00CD516B">
            <w:pPr>
              <w:pStyle w:val="ACMATableHeading"/>
              <w:spacing w:line="280" w:lineRule="atLeast"/>
              <w:rPr>
                <w:rFonts w:cs="Arial"/>
              </w:rPr>
            </w:pPr>
          </w:p>
        </w:tc>
      </w:tr>
      <w:tr w:rsidR="002A1D33" w:rsidRPr="0048788C" w14:paraId="0D62E999" w14:textId="77777777" w:rsidTr="00CD516B">
        <w:trPr>
          <w:tblHeader/>
        </w:trPr>
        <w:tc>
          <w:tcPr>
            <w:tcW w:w="3261" w:type="dxa"/>
            <w:tcBorders>
              <w:top w:val="single" w:sz="4" w:space="0" w:color="auto"/>
              <w:left w:val="nil"/>
              <w:bottom w:val="single" w:sz="4" w:space="0" w:color="auto"/>
              <w:right w:val="single" w:sz="4" w:space="0" w:color="auto"/>
              <w:tl2br w:val="nil"/>
              <w:tr2bl w:val="nil"/>
            </w:tcBorders>
            <w:shd w:val="clear" w:color="auto" w:fill="auto"/>
            <w:tcMar>
              <w:top w:w="28" w:type="dxa"/>
              <w:left w:w="85" w:type="dxa"/>
              <w:bottom w:w="28" w:type="dxa"/>
              <w:right w:w="85" w:type="dxa"/>
            </w:tcMar>
          </w:tcPr>
          <w:p w14:paraId="000F5CA5" w14:textId="5AE2A966" w:rsidR="002A1D33" w:rsidRPr="0048788C" w:rsidRDefault="002A1D33" w:rsidP="00CD516B">
            <w:pPr>
              <w:pStyle w:val="ACMATableBody"/>
              <w:spacing w:line="280" w:lineRule="atLeast"/>
              <w:jc w:val="both"/>
              <w:rPr>
                <w:rFonts w:cs="Arial"/>
                <w:b/>
              </w:rPr>
            </w:pPr>
            <w:r w:rsidRPr="0048788C">
              <w:rPr>
                <w:rFonts w:cs="Arial"/>
                <w:b/>
              </w:rPr>
              <w:t>Licensee</w:t>
            </w:r>
            <w:r w:rsidR="00E624BA">
              <w:rPr>
                <w:rFonts w:cs="Arial"/>
                <w:b/>
              </w:rPr>
              <w:t xml:space="preserve"> [service]</w:t>
            </w:r>
          </w:p>
        </w:tc>
        <w:tc>
          <w:tcPr>
            <w:tcW w:w="5188" w:type="dxa"/>
            <w:tcBorders>
              <w:top w:val="single" w:sz="4" w:space="0" w:color="auto"/>
              <w:left w:val="single" w:sz="4" w:space="0" w:color="auto"/>
              <w:bottom w:val="single" w:sz="4" w:space="0" w:color="auto"/>
              <w:right w:val="nil"/>
              <w:tl2br w:val="nil"/>
              <w:tr2bl w:val="nil"/>
            </w:tcBorders>
            <w:shd w:val="clear" w:color="auto" w:fill="auto"/>
            <w:tcMar>
              <w:top w:w="28" w:type="dxa"/>
              <w:left w:w="85" w:type="dxa"/>
              <w:bottom w:w="28" w:type="dxa"/>
              <w:right w:w="85" w:type="dxa"/>
            </w:tcMar>
          </w:tcPr>
          <w:p w14:paraId="6861DCDD" w14:textId="4B78E454" w:rsidR="002A1D33" w:rsidRPr="0048788C" w:rsidRDefault="002A1D33" w:rsidP="00CD516B">
            <w:pPr>
              <w:pStyle w:val="ACMATableBody"/>
              <w:spacing w:line="280" w:lineRule="atLeast"/>
              <w:rPr>
                <w:rFonts w:cs="Arial"/>
              </w:rPr>
            </w:pPr>
            <w:r w:rsidRPr="0048788C">
              <w:rPr>
                <w:rFonts w:cs="Arial"/>
                <w:iCs/>
              </w:rPr>
              <w:t xml:space="preserve">Foxtel </w:t>
            </w:r>
            <w:r>
              <w:rPr>
                <w:rFonts w:cs="Arial"/>
                <w:iCs/>
              </w:rPr>
              <w:t>Cable Television</w:t>
            </w:r>
            <w:r w:rsidRPr="0048788C">
              <w:rPr>
                <w:rFonts w:cs="Arial"/>
                <w:iCs/>
              </w:rPr>
              <w:t xml:space="preserve"> Pty Limited </w:t>
            </w:r>
            <w:r w:rsidR="00E624BA">
              <w:rPr>
                <w:rFonts w:cs="Arial"/>
                <w:iCs/>
              </w:rPr>
              <w:t>[ESPN]</w:t>
            </w:r>
          </w:p>
        </w:tc>
      </w:tr>
      <w:tr w:rsidR="002A1D33" w:rsidRPr="0048788C" w14:paraId="6AB2D7F4" w14:textId="77777777" w:rsidTr="00CD516B">
        <w:trPr>
          <w:tblHeader/>
        </w:trPr>
        <w:tc>
          <w:tcPr>
            <w:tcW w:w="3261" w:type="dxa"/>
            <w:tcBorders>
              <w:top w:val="single" w:sz="4" w:space="0" w:color="auto"/>
              <w:left w:val="nil"/>
              <w:bottom w:val="single" w:sz="4" w:space="0" w:color="auto"/>
              <w:right w:val="single" w:sz="4" w:space="0" w:color="auto"/>
              <w:tl2br w:val="nil"/>
              <w:tr2bl w:val="nil"/>
            </w:tcBorders>
            <w:shd w:val="clear" w:color="auto" w:fill="auto"/>
            <w:tcMar>
              <w:top w:w="28" w:type="dxa"/>
              <w:left w:w="85" w:type="dxa"/>
              <w:bottom w:w="28" w:type="dxa"/>
              <w:right w:w="85" w:type="dxa"/>
            </w:tcMar>
          </w:tcPr>
          <w:p w14:paraId="26A8557F" w14:textId="77DC3C69" w:rsidR="002A1D33" w:rsidRPr="0048788C" w:rsidRDefault="006E2073" w:rsidP="00CD516B">
            <w:pPr>
              <w:pStyle w:val="ACMATableBody"/>
              <w:spacing w:line="280" w:lineRule="atLeast"/>
              <w:rPr>
                <w:rFonts w:cs="Arial"/>
                <w:b/>
              </w:rPr>
            </w:pPr>
            <w:r>
              <w:rPr>
                <w:rFonts w:cs="Arial"/>
                <w:b/>
              </w:rPr>
              <w:t>F</w:t>
            </w:r>
            <w:r w:rsidR="002A1D33" w:rsidRPr="0048788C">
              <w:rPr>
                <w:rFonts w:cs="Arial"/>
                <w:b/>
              </w:rPr>
              <w:t xml:space="preserve">indings </w:t>
            </w:r>
          </w:p>
        </w:tc>
        <w:tc>
          <w:tcPr>
            <w:tcW w:w="5188" w:type="dxa"/>
            <w:tcBorders>
              <w:top w:val="single" w:sz="4" w:space="0" w:color="auto"/>
              <w:left w:val="single" w:sz="4" w:space="0" w:color="auto"/>
              <w:bottom w:val="single" w:sz="4" w:space="0" w:color="auto"/>
              <w:right w:val="nil"/>
              <w:tl2br w:val="nil"/>
              <w:tr2bl w:val="nil"/>
            </w:tcBorders>
            <w:shd w:val="clear" w:color="auto" w:fill="auto"/>
            <w:tcMar>
              <w:top w:w="28" w:type="dxa"/>
              <w:left w:w="85" w:type="dxa"/>
              <w:bottom w:w="28" w:type="dxa"/>
              <w:right w:w="85" w:type="dxa"/>
            </w:tcMar>
          </w:tcPr>
          <w:p w14:paraId="22E4A47B" w14:textId="77777777" w:rsidR="002A1D33" w:rsidRDefault="002A1D33" w:rsidP="00CD516B">
            <w:pPr>
              <w:pStyle w:val="ACMAQuoteindented"/>
              <w:ind w:left="0"/>
              <w:rPr>
                <w:sz w:val="20"/>
              </w:rPr>
            </w:pPr>
            <w:r>
              <w:rPr>
                <w:sz w:val="20"/>
              </w:rPr>
              <w:t>No breach of clause 4 of Appendix A to the Code</w:t>
            </w:r>
          </w:p>
          <w:p w14:paraId="3886D721" w14:textId="57067670" w:rsidR="002A1D33" w:rsidRPr="0048788C" w:rsidRDefault="00C300A0" w:rsidP="00CD516B">
            <w:pPr>
              <w:pStyle w:val="ACMAQuoteindented"/>
              <w:ind w:left="0"/>
              <w:rPr>
                <w:sz w:val="20"/>
              </w:rPr>
            </w:pPr>
            <w:r>
              <w:rPr>
                <w:sz w:val="20"/>
              </w:rPr>
              <w:t>No b</w:t>
            </w:r>
            <w:r w:rsidR="002A1D33" w:rsidRPr="0048788C">
              <w:rPr>
                <w:sz w:val="20"/>
              </w:rPr>
              <w:t>reach of clause 5 of Appendix A to the Code</w:t>
            </w:r>
          </w:p>
          <w:p w14:paraId="27F7DBAA" w14:textId="77777777" w:rsidR="002A1D33" w:rsidRPr="0048788C" w:rsidRDefault="002A1D33" w:rsidP="00CD516B">
            <w:pPr>
              <w:pStyle w:val="ACMATableBody"/>
              <w:spacing w:line="280" w:lineRule="atLeast"/>
              <w:rPr>
                <w:rFonts w:cs="Arial"/>
              </w:rPr>
            </w:pPr>
            <w:r w:rsidRPr="0048788C">
              <w:rPr>
                <w:rFonts w:cs="Arial"/>
              </w:rPr>
              <w:t>No breach of clauses 6 and 7 of Appendix A to the Code</w:t>
            </w:r>
          </w:p>
        </w:tc>
      </w:tr>
      <w:tr w:rsidR="002A1D33" w:rsidRPr="0048788C" w14:paraId="37A4FBEF" w14:textId="77777777" w:rsidTr="00CD516B">
        <w:trPr>
          <w:tblHeader/>
        </w:trPr>
        <w:tc>
          <w:tcPr>
            <w:tcW w:w="3261" w:type="dxa"/>
            <w:tcBorders>
              <w:top w:val="single" w:sz="4" w:space="0" w:color="auto"/>
              <w:left w:val="nil"/>
              <w:bottom w:val="single" w:sz="4" w:space="0" w:color="auto"/>
              <w:right w:val="single" w:sz="4" w:space="0" w:color="auto"/>
              <w:tl2br w:val="nil"/>
              <w:tr2bl w:val="nil"/>
            </w:tcBorders>
            <w:shd w:val="clear" w:color="auto" w:fill="auto"/>
            <w:tcMar>
              <w:top w:w="28" w:type="dxa"/>
              <w:left w:w="85" w:type="dxa"/>
              <w:bottom w:w="28" w:type="dxa"/>
              <w:right w:w="85" w:type="dxa"/>
            </w:tcMar>
          </w:tcPr>
          <w:p w14:paraId="6A13AB9E" w14:textId="77777777" w:rsidR="002A1D33" w:rsidRPr="0048788C" w:rsidRDefault="002A1D33" w:rsidP="00CD516B">
            <w:pPr>
              <w:pStyle w:val="ACMATableBody"/>
              <w:spacing w:line="280" w:lineRule="atLeast"/>
              <w:rPr>
                <w:rFonts w:cs="Arial"/>
                <w:b/>
              </w:rPr>
            </w:pPr>
            <w:r w:rsidRPr="0048788C">
              <w:rPr>
                <w:rFonts w:cs="Arial"/>
                <w:b/>
              </w:rPr>
              <w:t>Relevant legislation/Code</w:t>
            </w:r>
          </w:p>
        </w:tc>
        <w:tc>
          <w:tcPr>
            <w:tcW w:w="5188" w:type="dxa"/>
            <w:tcBorders>
              <w:top w:val="single" w:sz="4" w:space="0" w:color="auto"/>
              <w:left w:val="single" w:sz="4" w:space="0" w:color="auto"/>
              <w:bottom w:val="single" w:sz="4" w:space="0" w:color="auto"/>
              <w:right w:val="nil"/>
              <w:tl2br w:val="nil"/>
              <w:tr2bl w:val="nil"/>
            </w:tcBorders>
            <w:shd w:val="clear" w:color="auto" w:fill="auto"/>
            <w:tcMar>
              <w:top w:w="28" w:type="dxa"/>
              <w:left w:w="85" w:type="dxa"/>
              <w:bottom w:w="28" w:type="dxa"/>
              <w:right w:w="85" w:type="dxa"/>
            </w:tcMar>
          </w:tcPr>
          <w:p w14:paraId="0FABAF88" w14:textId="77777777" w:rsidR="002A1D33" w:rsidRPr="0048788C" w:rsidRDefault="002A1D33" w:rsidP="00CD516B">
            <w:pPr>
              <w:pStyle w:val="ACMATableBody"/>
              <w:spacing w:line="280" w:lineRule="atLeast"/>
              <w:rPr>
                <w:rFonts w:cs="Arial"/>
                <w:iCs/>
              </w:rPr>
            </w:pPr>
            <w:r w:rsidRPr="0048788C">
              <w:rPr>
                <w:rFonts w:cs="Arial"/>
                <w:i/>
              </w:rPr>
              <w:t xml:space="preserve">Broadcasting Services Act 1992 </w:t>
            </w:r>
            <w:r w:rsidRPr="0048788C">
              <w:rPr>
                <w:rFonts w:cs="Arial"/>
                <w:iCs/>
              </w:rPr>
              <w:t xml:space="preserve">(the </w:t>
            </w:r>
            <w:r w:rsidRPr="0048788C">
              <w:rPr>
                <w:rFonts w:cs="Arial"/>
                <w:b/>
                <w:bCs/>
                <w:iCs/>
              </w:rPr>
              <w:t>BSA</w:t>
            </w:r>
            <w:r w:rsidRPr="0048788C">
              <w:rPr>
                <w:rFonts w:cs="Arial"/>
                <w:iCs/>
              </w:rPr>
              <w:t>)</w:t>
            </w:r>
          </w:p>
          <w:p w14:paraId="4879B3CC" w14:textId="77777777" w:rsidR="002A1D33" w:rsidRPr="0048788C" w:rsidRDefault="002A1D33" w:rsidP="00CD516B">
            <w:pPr>
              <w:pStyle w:val="ACMATableBody"/>
              <w:spacing w:line="280" w:lineRule="atLeast"/>
              <w:rPr>
                <w:rFonts w:cs="Arial"/>
                <w:iCs/>
              </w:rPr>
            </w:pPr>
            <w:r w:rsidRPr="0048788C">
              <w:rPr>
                <w:rFonts w:cs="Arial"/>
                <w:i/>
              </w:rPr>
              <w:t xml:space="preserve">Broadcasting Services (Online Content Service Provider Rules) 2018 </w:t>
            </w:r>
            <w:r w:rsidRPr="0048788C">
              <w:rPr>
                <w:rFonts w:cs="Arial"/>
                <w:iCs/>
              </w:rPr>
              <w:t>(</w:t>
            </w:r>
            <w:r w:rsidRPr="0048788C">
              <w:rPr>
                <w:rFonts w:cs="Arial"/>
                <w:b/>
                <w:bCs/>
                <w:iCs/>
              </w:rPr>
              <w:t>Online Rules</w:t>
            </w:r>
            <w:r w:rsidRPr="0048788C">
              <w:rPr>
                <w:rFonts w:cs="Arial"/>
                <w:iCs/>
              </w:rPr>
              <w:t>)</w:t>
            </w:r>
          </w:p>
          <w:p w14:paraId="7FF36635" w14:textId="77777777" w:rsidR="002A1D33" w:rsidRPr="0048788C" w:rsidRDefault="002A1D33" w:rsidP="00CD516B">
            <w:pPr>
              <w:pStyle w:val="ACMATableBody"/>
              <w:spacing w:line="280" w:lineRule="atLeast"/>
              <w:rPr>
                <w:rFonts w:cs="Arial"/>
                <w:strike/>
              </w:rPr>
            </w:pPr>
            <w:r w:rsidRPr="0048788C">
              <w:rPr>
                <w:rFonts w:cs="Arial"/>
                <w:i/>
              </w:rPr>
              <w:t xml:space="preserve">Subscription Broadcast Television Codes of Practice 2013 </w:t>
            </w:r>
            <w:r w:rsidRPr="0048788C">
              <w:rPr>
                <w:rFonts w:cs="Arial"/>
                <w:iCs/>
              </w:rPr>
              <w:t>(the</w:t>
            </w:r>
            <w:r w:rsidRPr="0048788C">
              <w:rPr>
                <w:rFonts w:cs="Arial"/>
                <w:b/>
                <w:bCs/>
                <w:iCs/>
              </w:rPr>
              <w:t xml:space="preserve"> Code</w:t>
            </w:r>
            <w:r w:rsidRPr="0048788C">
              <w:rPr>
                <w:rFonts w:cs="Arial"/>
                <w:iCs/>
              </w:rPr>
              <w:t>)</w:t>
            </w:r>
          </w:p>
        </w:tc>
      </w:tr>
      <w:tr w:rsidR="002A1D33" w:rsidRPr="0048788C" w14:paraId="4265E75B" w14:textId="77777777" w:rsidTr="00CD516B">
        <w:trPr>
          <w:tblHeader/>
        </w:trPr>
        <w:tc>
          <w:tcPr>
            <w:tcW w:w="3261" w:type="dxa"/>
            <w:tcBorders>
              <w:top w:val="single" w:sz="4" w:space="0" w:color="auto"/>
              <w:left w:val="nil"/>
              <w:bottom w:val="single" w:sz="4" w:space="0" w:color="auto"/>
              <w:right w:val="single" w:sz="4" w:space="0" w:color="auto"/>
              <w:tl2br w:val="nil"/>
              <w:tr2bl w:val="nil"/>
            </w:tcBorders>
            <w:shd w:val="clear" w:color="auto" w:fill="auto"/>
            <w:tcMar>
              <w:top w:w="28" w:type="dxa"/>
              <w:left w:w="85" w:type="dxa"/>
              <w:bottom w:w="28" w:type="dxa"/>
              <w:right w:w="85" w:type="dxa"/>
            </w:tcMar>
          </w:tcPr>
          <w:p w14:paraId="4F61E341" w14:textId="77777777" w:rsidR="002A1D33" w:rsidRPr="0048788C" w:rsidRDefault="002A1D33" w:rsidP="00CD516B">
            <w:pPr>
              <w:pStyle w:val="ACMATableBody"/>
              <w:spacing w:line="280" w:lineRule="atLeast"/>
              <w:rPr>
                <w:rFonts w:cs="Arial"/>
                <w:b/>
              </w:rPr>
            </w:pPr>
            <w:r w:rsidRPr="0048788C">
              <w:rPr>
                <w:rFonts w:cs="Arial"/>
                <w:b/>
              </w:rPr>
              <w:t>Program [type]</w:t>
            </w:r>
          </w:p>
        </w:tc>
        <w:tc>
          <w:tcPr>
            <w:tcW w:w="5188" w:type="dxa"/>
            <w:tcBorders>
              <w:top w:val="single" w:sz="4" w:space="0" w:color="auto"/>
              <w:left w:val="single" w:sz="4" w:space="0" w:color="auto"/>
              <w:bottom w:val="single" w:sz="4" w:space="0" w:color="auto"/>
              <w:right w:val="nil"/>
              <w:tl2br w:val="nil"/>
              <w:tr2bl w:val="nil"/>
            </w:tcBorders>
            <w:shd w:val="clear" w:color="auto" w:fill="auto"/>
            <w:tcMar>
              <w:top w:w="28" w:type="dxa"/>
              <w:left w:w="85" w:type="dxa"/>
              <w:bottom w:w="28" w:type="dxa"/>
              <w:right w:w="85" w:type="dxa"/>
            </w:tcMar>
          </w:tcPr>
          <w:p w14:paraId="79580FDF" w14:textId="77777777" w:rsidR="002A1D33" w:rsidRPr="0048788C" w:rsidRDefault="002A1D33" w:rsidP="00CD516B">
            <w:pPr>
              <w:pStyle w:val="ACMATableBody"/>
              <w:spacing w:after="0" w:line="280" w:lineRule="atLeast"/>
              <w:rPr>
                <w:rFonts w:cs="Arial"/>
                <w:color w:val="000000" w:themeColor="text1"/>
              </w:rPr>
            </w:pPr>
            <w:r w:rsidRPr="0048788C">
              <w:rPr>
                <w:rFonts w:cs="Arial"/>
                <w:i/>
                <w:iCs/>
                <w:color w:val="000000" w:themeColor="text1"/>
              </w:rPr>
              <w:t xml:space="preserve">NBA Miami vs Boston </w:t>
            </w:r>
            <w:r w:rsidRPr="0048788C">
              <w:rPr>
                <w:rFonts w:cs="Arial"/>
                <w:color w:val="000000" w:themeColor="text1"/>
              </w:rPr>
              <w:t>[live sport]</w:t>
            </w:r>
          </w:p>
        </w:tc>
      </w:tr>
      <w:tr w:rsidR="002A1D33" w:rsidRPr="0048788C" w14:paraId="0839CDD3" w14:textId="77777777" w:rsidTr="00CD516B">
        <w:trPr>
          <w:tblHeader/>
        </w:trPr>
        <w:tc>
          <w:tcPr>
            <w:tcW w:w="3261" w:type="dxa"/>
            <w:tcBorders>
              <w:top w:val="single" w:sz="4" w:space="0" w:color="auto"/>
              <w:left w:val="nil"/>
              <w:bottom w:val="single" w:sz="4" w:space="0" w:color="auto"/>
              <w:right w:val="single" w:sz="4" w:space="0" w:color="auto"/>
              <w:tl2br w:val="nil"/>
              <w:tr2bl w:val="nil"/>
            </w:tcBorders>
            <w:shd w:val="clear" w:color="auto" w:fill="auto"/>
            <w:tcMar>
              <w:top w:w="28" w:type="dxa"/>
              <w:left w:w="85" w:type="dxa"/>
              <w:bottom w:w="28" w:type="dxa"/>
              <w:right w:w="85" w:type="dxa"/>
            </w:tcMar>
          </w:tcPr>
          <w:p w14:paraId="5A6965F3" w14:textId="77777777" w:rsidR="002A1D33" w:rsidRPr="0048788C" w:rsidRDefault="002A1D33" w:rsidP="00CD516B">
            <w:pPr>
              <w:pStyle w:val="ACMATableBody"/>
              <w:spacing w:line="280" w:lineRule="atLeast"/>
              <w:rPr>
                <w:rFonts w:cs="Arial"/>
                <w:b/>
              </w:rPr>
            </w:pPr>
            <w:r w:rsidRPr="0048788C">
              <w:rPr>
                <w:rFonts w:cs="Arial"/>
                <w:b/>
              </w:rPr>
              <w:t>Date of broadcast</w:t>
            </w:r>
            <w:r w:rsidRPr="0048788C" w:rsidDel="002D4595">
              <w:rPr>
                <w:rFonts w:cs="Arial"/>
                <w:b/>
              </w:rPr>
              <w:t xml:space="preserve"> </w:t>
            </w:r>
          </w:p>
        </w:tc>
        <w:tc>
          <w:tcPr>
            <w:tcW w:w="5188" w:type="dxa"/>
            <w:tcBorders>
              <w:top w:val="single" w:sz="4" w:space="0" w:color="auto"/>
              <w:left w:val="single" w:sz="4" w:space="0" w:color="auto"/>
              <w:bottom w:val="single" w:sz="4" w:space="0" w:color="auto"/>
              <w:right w:val="nil"/>
              <w:tl2br w:val="nil"/>
              <w:tr2bl w:val="nil"/>
            </w:tcBorders>
            <w:shd w:val="clear" w:color="auto" w:fill="auto"/>
            <w:tcMar>
              <w:top w:w="28" w:type="dxa"/>
              <w:left w:w="85" w:type="dxa"/>
              <w:bottom w:w="28" w:type="dxa"/>
              <w:right w:w="85" w:type="dxa"/>
            </w:tcMar>
          </w:tcPr>
          <w:p w14:paraId="1878F797" w14:textId="77777777" w:rsidR="002A1D33" w:rsidRPr="0048788C" w:rsidRDefault="002A1D33" w:rsidP="00CD516B">
            <w:pPr>
              <w:pStyle w:val="ACMATableBody"/>
              <w:spacing w:line="280" w:lineRule="atLeast"/>
              <w:rPr>
                <w:rFonts w:cs="Arial"/>
                <w:color w:val="000000" w:themeColor="text1"/>
              </w:rPr>
            </w:pPr>
            <w:r w:rsidRPr="0048788C">
              <w:rPr>
                <w:rFonts w:cs="Arial"/>
                <w:color w:val="000000" w:themeColor="text1"/>
              </w:rPr>
              <w:t>Game 1 was broadcast on 18 May 2022 [BI-654]</w:t>
            </w:r>
          </w:p>
          <w:p w14:paraId="73BF2D4D" w14:textId="77777777" w:rsidR="002A1D33" w:rsidRPr="0048788C" w:rsidRDefault="002A1D33" w:rsidP="00CD516B">
            <w:pPr>
              <w:pStyle w:val="ACMATableBody"/>
              <w:spacing w:line="280" w:lineRule="atLeast"/>
              <w:rPr>
                <w:rFonts w:cs="Arial"/>
                <w:i/>
                <w:iCs/>
              </w:rPr>
            </w:pPr>
            <w:r w:rsidRPr="0048788C">
              <w:rPr>
                <w:rFonts w:cs="Arial"/>
                <w:color w:val="000000" w:themeColor="text1"/>
              </w:rPr>
              <w:t>Game 6 was broadcast on 28 May 2022 [BI-655]</w:t>
            </w:r>
          </w:p>
        </w:tc>
      </w:tr>
      <w:tr w:rsidR="00B65FBD" w:rsidRPr="0048788C" w14:paraId="455E9085" w14:textId="77777777" w:rsidTr="00CD516B">
        <w:trPr>
          <w:tblHeader/>
        </w:trPr>
        <w:tc>
          <w:tcPr>
            <w:tcW w:w="3261" w:type="dxa"/>
            <w:tcBorders>
              <w:top w:val="single" w:sz="4" w:space="0" w:color="auto"/>
              <w:left w:val="nil"/>
              <w:bottom w:val="single" w:sz="4" w:space="0" w:color="auto"/>
              <w:right w:val="single" w:sz="4" w:space="0" w:color="auto"/>
              <w:tl2br w:val="nil"/>
              <w:tr2bl w:val="nil"/>
            </w:tcBorders>
            <w:shd w:val="clear" w:color="auto" w:fill="auto"/>
            <w:tcMar>
              <w:top w:w="28" w:type="dxa"/>
              <w:left w:w="85" w:type="dxa"/>
              <w:bottom w:w="28" w:type="dxa"/>
              <w:right w:w="85" w:type="dxa"/>
            </w:tcMar>
          </w:tcPr>
          <w:p w14:paraId="5920AB7A" w14:textId="4DC52BB7" w:rsidR="00B65FBD" w:rsidRPr="0048788C" w:rsidRDefault="00B65FBD" w:rsidP="00CD516B">
            <w:pPr>
              <w:pStyle w:val="ACMATableBody"/>
              <w:spacing w:line="280" w:lineRule="atLeast"/>
              <w:rPr>
                <w:rFonts w:cs="Arial"/>
                <w:b/>
              </w:rPr>
            </w:pPr>
            <w:r>
              <w:rPr>
                <w:rFonts w:cs="Arial"/>
                <w:b/>
              </w:rPr>
              <w:t>Date finalised</w:t>
            </w:r>
          </w:p>
        </w:tc>
        <w:tc>
          <w:tcPr>
            <w:tcW w:w="5188" w:type="dxa"/>
            <w:tcBorders>
              <w:top w:val="single" w:sz="4" w:space="0" w:color="auto"/>
              <w:left w:val="single" w:sz="4" w:space="0" w:color="auto"/>
              <w:bottom w:val="single" w:sz="4" w:space="0" w:color="auto"/>
              <w:right w:val="nil"/>
              <w:tl2br w:val="nil"/>
              <w:tr2bl w:val="nil"/>
            </w:tcBorders>
            <w:shd w:val="clear" w:color="auto" w:fill="auto"/>
            <w:tcMar>
              <w:top w:w="28" w:type="dxa"/>
              <w:left w:w="85" w:type="dxa"/>
              <w:bottom w:w="28" w:type="dxa"/>
              <w:right w:w="85" w:type="dxa"/>
            </w:tcMar>
          </w:tcPr>
          <w:p w14:paraId="555F5577" w14:textId="7EFC7699" w:rsidR="00B65FBD" w:rsidRPr="0048788C" w:rsidRDefault="000E5A30" w:rsidP="00CD516B">
            <w:pPr>
              <w:pStyle w:val="ACMATableBody"/>
              <w:spacing w:line="280" w:lineRule="atLeast"/>
              <w:rPr>
                <w:rFonts w:cs="Arial"/>
                <w:color w:val="000000" w:themeColor="text1"/>
              </w:rPr>
            </w:pPr>
            <w:r>
              <w:rPr>
                <w:rFonts w:cs="Arial"/>
                <w:color w:val="000000" w:themeColor="text1"/>
              </w:rPr>
              <w:t>18 August</w:t>
            </w:r>
            <w:r w:rsidR="00726F9D">
              <w:rPr>
                <w:rFonts w:cs="Arial"/>
                <w:color w:val="000000" w:themeColor="text1"/>
              </w:rPr>
              <w:t xml:space="preserve"> 2023</w:t>
            </w:r>
          </w:p>
        </w:tc>
      </w:tr>
      <w:tr w:rsidR="002A1D33" w:rsidRPr="0048788C" w14:paraId="43785D79" w14:textId="77777777" w:rsidTr="00CD516B">
        <w:trPr>
          <w:tblHeader/>
        </w:trPr>
        <w:tc>
          <w:tcPr>
            <w:tcW w:w="3261" w:type="dxa"/>
            <w:tcBorders>
              <w:top w:val="single" w:sz="4" w:space="0" w:color="auto"/>
              <w:left w:val="nil"/>
              <w:bottom w:val="single" w:sz="4" w:space="0" w:color="auto"/>
              <w:right w:val="single" w:sz="4" w:space="0" w:color="auto"/>
              <w:tl2br w:val="nil"/>
              <w:tr2bl w:val="nil"/>
            </w:tcBorders>
            <w:shd w:val="clear" w:color="auto" w:fill="auto"/>
            <w:tcMar>
              <w:top w:w="28" w:type="dxa"/>
              <w:left w:w="85" w:type="dxa"/>
              <w:bottom w:w="28" w:type="dxa"/>
              <w:right w:w="85" w:type="dxa"/>
            </w:tcMar>
          </w:tcPr>
          <w:p w14:paraId="2C99CC07" w14:textId="77777777" w:rsidR="002A1D33" w:rsidRPr="0048788C" w:rsidRDefault="002A1D33" w:rsidP="00CD516B">
            <w:pPr>
              <w:pStyle w:val="ACMATableBody"/>
              <w:spacing w:line="280" w:lineRule="atLeast"/>
              <w:rPr>
                <w:rFonts w:cs="Arial"/>
                <w:b/>
              </w:rPr>
            </w:pPr>
            <w:r w:rsidRPr="0048788C">
              <w:rPr>
                <w:rFonts w:cs="Arial"/>
                <w:b/>
              </w:rPr>
              <w:t>Type of service</w:t>
            </w:r>
          </w:p>
        </w:tc>
        <w:tc>
          <w:tcPr>
            <w:tcW w:w="5188" w:type="dxa"/>
            <w:tcBorders>
              <w:top w:val="single" w:sz="4" w:space="0" w:color="auto"/>
              <w:left w:val="single" w:sz="4" w:space="0" w:color="auto"/>
              <w:bottom w:val="single" w:sz="4" w:space="0" w:color="auto"/>
              <w:right w:val="nil"/>
              <w:tl2br w:val="nil"/>
              <w:tr2bl w:val="nil"/>
            </w:tcBorders>
            <w:shd w:val="clear" w:color="auto" w:fill="auto"/>
            <w:tcMar>
              <w:top w:w="28" w:type="dxa"/>
              <w:left w:w="85" w:type="dxa"/>
              <w:bottom w:w="28" w:type="dxa"/>
              <w:right w:w="85" w:type="dxa"/>
            </w:tcMar>
          </w:tcPr>
          <w:p w14:paraId="2335011C" w14:textId="021F9C16" w:rsidR="002A1D33" w:rsidRPr="0048788C" w:rsidRDefault="002A1D33" w:rsidP="00CD516B">
            <w:pPr>
              <w:pStyle w:val="ACMATableBody"/>
              <w:spacing w:line="280" w:lineRule="atLeast"/>
              <w:rPr>
                <w:rFonts w:cs="Arial"/>
                <w:iCs/>
              </w:rPr>
            </w:pPr>
            <w:r w:rsidRPr="0048788C">
              <w:rPr>
                <w:rFonts w:cs="Arial"/>
                <w:iCs/>
              </w:rPr>
              <w:t>Subscription</w:t>
            </w:r>
            <w:r w:rsidR="00E624BA">
              <w:rPr>
                <w:rFonts w:cs="Arial"/>
                <w:iCs/>
              </w:rPr>
              <w:t xml:space="preserve"> broadcasting –</w:t>
            </w:r>
            <w:r w:rsidRPr="0048788C">
              <w:rPr>
                <w:rFonts w:cs="Arial"/>
                <w:iCs/>
              </w:rPr>
              <w:t xml:space="preserve"> television</w:t>
            </w:r>
          </w:p>
        </w:tc>
      </w:tr>
    </w:tbl>
    <w:p w14:paraId="74597E9C" w14:textId="77777777" w:rsidR="00E16FCB" w:rsidRDefault="00E16FCB" w:rsidP="002A1D33">
      <w:pPr>
        <w:pStyle w:val="ACMABodyText"/>
        <w:spacing w:line="276" w:lineRule="auto"/>
        <w:rPr>
          <w:rFonts w:cs="Arial"/>
        </w:rPr>
      </w:pPr>
    </w:p>
    <w:p w14:paraId="47A80278" w14:textId="77777777" w:rsidR="00E16FCB" w:rsidRPr="00E16FCB" w:rsidRDefault="00E16FCB" w:rsidP="00F50EC0"/>
    <w:p w14:paraId="54ED7480" w14:textId="77777777" w:rsidR="00E16FCB" w:rsidRPr="00E16FCB" w:rsidRDefault="00E16FCB" w:rsidP="00F50EC0"/>
    <w:p w14:paraId="439B8DC4" w14:textId="77777777" w:rsidR="00E16FCB" w:rsidRPr="00E16FCB" w:rsidRDefault="00E16FCB" w:rsidP="00F50EC0"/>
    <w:p w14:paraId="5A3EA263" w14:textId="77777777" w:rsidR="00E16FCB" w:rsidRPr="00E16FCB" w:rsidRDefault="00E16FCB" w:rsidP="00F50EC0"/>
    <w:p w14:paraId="07EFCA85" w14:textId="77777777" w:rsidR="00E16FCB" w:rsidRPr="00E16FCB" w:rsidRDefault="00E16FCB" w:rsidP="00F50EC0"/>
    <w:p w14:paraId="46817DDC" w14:textId="77777777" w:rsidR="00E16FCB" w:rsidRDefault="00E16FCB" w:rsidP="00F50EC0"/>
    <w:p w14:paraId="5283E066" w14:textId="77777777" w:rsidR="00663BE9" w:rsidRPr="00663BE9" w:rsidRDefault="00663BE9" w:rsidP="00663BE9">
      <w:pPr>
        <w:pStyle w:val="ACMABodyText"/>
      </w:pPr>
    </w:p>
    <w:p w14:paraId="7ECF07C2" w14:textId="77777777" w:rsidR="00E16FCB" w:rsidRPr="00E16FCB" w:rsidRDefault="00E16FCB" w:rsidP="00F50EC0"/>
    <w:p w14:paraId="24B95C42" w14:textId="77777777" w:rsidR="0045221C" w:rsidRDefault="0045221C" w:rsidP="004670A4">
      <w:pPr>
        <w:pStyle w:val="ACMABodyText"/>
        <w:tabs>
          <w:tab w:val="left" w:pos="4930"/>
        </w:tabs>
        <w:spacing w:line="276" w:lineRule="auto"/>
        <w:rPr>
          <w:rFonts w:cs="Arial"/>
          <w:b/>
          <w:snapToGrid/>
          <w:sz w:val="28"/>
        </w:rPr>
      </w:pPr>
    </w:p>
    <w:p w14:paraId="7BA6BDAD" w14:textId="108A4D04" w:rsidR="002A1D33" w:rsidRPr="004670A4" w:rsidRDefault="002A1D33" w:rsidP="004670A4">
      <w:pPr>
        <w:pStyle w:val="ACMABodyText"/>
        <w:tabs>
          <w:tab w:val="left" w:pos="4930"/>
        </w:tabs>
        <w:spacing w:line="276" w:lineRule="auto"/>
        <w:rPr>
          <w:rFonts w:cs="Arial"/>
        </w:rPr>
      </w:pPr>
      <w:r w:rsidRPr="0048788C">
        <w:rPr>
          <w:rFonts w:cs="Arial"/>
          <w:b/>
          <w:snapToGrid/>
          <w:sz w:val="28"/>
        </w:rPr>
        <w:lastRenderedPageBreak/>
        <w:t>Background</w:t>
      </w:r>
    </w:p>
    <w:p w14:paraId="46C78411" w14:textId="4510F0C6" w:rsidR="002A1D33" w:rsidRPr="00E47102" w:rsidRDefault="002A1D33" w:rsidP="002A1D33">
      <w:pPr>
        <w:pStyle w:val="ACMABodyText"/>
        <w:spacing w:line="276" w:lineRule="auto"/>
        <w:rPr>
          <w:rFonts w:cs="Arial"/>
        </w:rPr>
      </w:pPr>
      <w:r w:rsidRPr="0048788C">
        <w:rPr>
          <w:rFonts w:cs="Arial"/>
        </w:rPr>
        <w:t xml:space="preserve">In September 2022, the Australian Communications and Media Authority (the </w:t>
      </w:r>
      <w:r w:rsidRPr="00E47102">
        <w:rPr>
          <w:rFonts w:cs="Arial"/>
          <w:b/>
          <w:bCs/>
        </w:rPr>
        <w:t>ACMA</w:t>
      </w:r>
      <w:r w:rsidRPr="0048788C">
        <w:rPr>
          <w:rFonts w:cs="Arial"/>
        </w:rPr>
        <w:t xml:space="preserve">) commenced an investigation under the BSA into </w:t>
      </w:r>
      <w:r w:rsidRPr="00E47102">
        <w:rPr>
          <w:rFonts w:cs="Arial"/>
        </w:rPr>
        <w:t>the streaming of US National Basketball Association</w:t>
      </w:r>
      <w:r w:rsidRPr="0048788C">
        <w:rPr>
          <w:rFonts w:cs="Arial"/>
        </w:rPr>
        <w:t xml:space="preserve"> (</w:t>
      </w:r>
      <w:r w:rsidRPr="00057426">
        <w:rPr>
          <w:rFonts w:cs="Arial"/>
          <w:b/>
          <w:bCs/>
        </w:rPr>
        <w:t>NBA</w:t>
      </w:r>
      <w:r w:rsidRPr="0048788C">
        <w:rPr>
          <w:rFonts w:cs="Arial"/>
        </w:rPr>
        <w:t xml:space="preserve">) finals on Kayo Sports between Miami and Boston on 18 May 2022 </w:t>
      </w:r>
      <w:r w:rsidRPr="00E47102">
        <w:rPr>
          <w:rFonts w:cs="Arial"/>
        </w:rPr>
        <w:t>(</w:t>
      </w:r>
      <w:r w:rsidRPr="00E47102">
        <w:rPr>
          <w:rFonts w:cs="Arial"/>
          <w:b/>
          <w:bCs/>
        </w:rPr>
        <w:t>Game</w:t>
      </w:r>
      <w:r w:rsidR="001E091B">
        <w:rPr>
          <w:rFonts w:cs="Arial"/>
          <w:b/>
          <w:bCs/>
        </w:rPr>
        <w:t> </w:t>
      </w:r>
      <w:r w:rsidRPr="00E47102">
        <w:rPr>
          <w:rFonts w:cs="Arial"/>
          <w:b/>
          <w:bCs/>
        </w:rPr>
        <w:t>1</w:t>
      </w:r>
      <w:r w:rsidRPr="00E47102">
        <w:rPr>
          <w:rFonts w:cs="Arial"/>
        </w:rPr>
        <w:t>) and on 28 May 2022 (</w:t>
      </w:r>
      <w:r w:rsidRPr="00E47102">
        <w:rPr>
          <w:rFonts w:cs="Arial"/>
          <w:b/>
          <w:bCs/>
        </w:rPr>
        <w:t>Game 6</w:t>
      </w:r>
      <w:r w:rsidRPr="00E47102">
        <w:rPr>
          <w:rFonts w:cs="Arial"/>
        </w:rPr>
        <w:t>).</w:t>
      </w:r>
      <w:r w:rsidRPr="00E47102">
        <w:t xml:space="preserve"> </w:t>
      </w:r>
    </w:p>
    <w:p w14:paraId="6F226181" w14:textId="49B71008" w:rsidR="002A1D33" w:rsidRPr="0048788C" w:rsidRDefault="003C424F" w:rsidP="002A1D33">
      <w:pPr>
        <w:pStyle w:val="ACMABodyText"/>
        <w:spacing w:line="276" w:lineRule="auto"/>
        <w:rPr>
          <w:rFonts w:cs="Arial"/>
        </w:rPr>
      </w:pPr>
      <w:r>
        <w:rPr>
          <w:rFonts w:cs="Arial"/>
        </w:rPr>
        <w:t xml:space="preserve">Foxtel Cable Television Pty Limited (the </w:t>
      </w:r>
      <w:r w:rsidRPr="00E624BA">
        <w:rPr>
          <w:rFonts w:cs="Arial"/>
          <w:b/>
          <w:bCs/>
        </w:rPr>
        <w:t>Licensee</w:t>
      </w:r>
      <w:r>
        <w:rPr>
          <w:rFonts w:cs="Arial"/>
        </w:rPr>
        <w:t xml:space="preserve">) </w:t>
      </w:r>
      <w:r w:rsidR="002A1D33" w:rsidRPr="0048788C">
        <w:rPr>
          <w:rFonts w:cs="Arial"/>
        </w:rPr>
        <w:t xml:space="preserve">stated that the </w:t>
      </w:r>
      <w:r w:rsidR="002A1D33" w:rsidRPr="00E47102">
        <w:rPr>
          <w:rFonts w:cs="Arial"/>
        </w:rPr>
        <w:t>live streams of Game 1 and Game 6 on Kayo Sports were exact simulcasts of content on ESPN</w:t>
      </w:r>
      <w:r w:rsidR="00E624BA">
        <w:rPr>
          <w:rFonts w:cs="Arial"/>
        </w:rPr>
        <w:t>, as provided by ESPN</w:t>
      </w:r>
      <w:r w:rsidR="002A1D33" w:rsidRPr="00E47102">
        <w:rPr>
          <w:rFonts w:cs="Arial"/>
        </w:rPr>
        <w:t xml:space="preserve"> Australia Pty Ltd (the </w:t>
      </w:r>
      <w:r w:rsidR="002A1D33" w:rsidRPr="00E47102">
        <w:rPr>
          <w:rFonts w:cs="Arial"/>
          <w:b/>
          <w:bCs/>
        </w:rPr>
        <w:t>Channel Supplier</w:t>
      </w:r>
      <w:r w:rsidR="002A1D33" w:rsidRPr="00E47102">
        <w:rPr>
          <w:rFonts w:cs="Arial"/>
        </w:rPr>
        <w:t>)</w:t>
      </w:r>
      <w:r w:rsidR="002A1D33" w:rsidRPr="0048788C">
        <w:rPr>
          <w:rFonts w:cs="Arial"/>
        </w:rPr>
        <w:t xml:space="preserve">. The ACMA found that Game 1 and Game 6 on Kayo Sports were exempt online simulcast services as defined in clause 4 of Schedule 8 to the BSA and therefore not subject to the Online Rules. </w:t>
      </w:r>
    </w:p>
    <w:p w14:paraId="15039032" w14:textId="7DDF0E50" w:rsidR="002A1D33" w:rsidRPr="0048788C" w:rsidRDefault="002A1D33" w:rsidP="002A1D33">
      <w:pPr>
        <w:pStyle w:val="ACMABodyText"/>
        <w:spacing w:line="276" w:lineRule="auto"/>
        <w:rPr>
          <w:rFonts w:cs="Arial"/>
        </w:rPr>
      </w:pPr>
      <w:r w:rsidRPr="00131DF9">
        <w:rPr>
          <w:rFonts w:cs="Arial"/>
        </w:rPr>
        <w:t xml:space="preserve">As the streams of Game 1 and Game 6 were not subject to the Online Rules, the ACMA </w:t>
      </w:r>
      <w:r>
        <w:rPr>
          <w:rFonts w:cs="Arial"/>
        </w:rPr>
        <w:t>has investigated</w:t>
      </w:r>
      <w:r w:rsidRPr="00131DF9">
        <w:rPr>
          <w:rFonts w:cs="Arial"/>
        </w:rPr>
        <w:t xml:space="preserve"> whether the subscription broadcasting service</w:t>
      </w:r>
      <w:r w:rsidR="00E624BA">
        <w:rPr>
          <w:rFonts w:cs="Arial"/>
        </w:rPr>
        <w:t xml:space="preserve">, provided by the </w:t>
      </w:r>
      <w:r w:rsidR="00E624BA" w:rsidRPr="00E624BA">
        <w:rPr>
          <w:rFonts w:cs="Arial"/>
          <w:b/>
          <w:bCs/>
        </w:rPr>
        <w:t>Licensee</w:t>
      </w:r>
      <w:r w:rsidR="00E624BA">
        <w:rPr>
          <w:rFonts w:cs="Arial"/>
        </w:rPr>
        <w:t>,</w:t>
      </w:r>
      <w:r w:rsidRPr="00131DF9">
        <w:rPr>
          <w:rFonts w:cs="Arial"/>
        </w:rPr>
        <w:t xml:space="preserve"> complied with the Code.</w:t>
      </w:r>
    </w:p>
    <w:p w14:paraId="44BF8B3B" w14:textId="77777777" w:rsidR="002A1D33" w:rsidRPr="00E47102" w:rsidRDefault="002A1D33" w:rsidP="002A1D33">
      <w:pPr>
        <w:pStyle w:val="ACMABodyText"/>
        <w:spacing w:line="276" w:lineRule="auto"/>
        <w:rPr>
          <w:rFonts w:cs="Arial"/>
        </w:rPr>
      </w:pPr>
      <w:r w:rsidRPr="0048788C">
        <w:rPr>
          <w:rFonts w:cs="Arial"/>
        </w:rPr>
        <w:t>The Licensee</w:t>
      </w:r>
      <w:r w:rsidRPr="00E47102">
        <w:rPr>
          <w:rFonts w:cs="Arial"/>
        </w:rPr>
        <w:t xml:space="preserve"> confirmed that Game 1 and Game 6 were ‘live sporting events’ for the purposes of the Code. </w:t>
      </w:r>
    </w:p>
    <w:p w14:paraId="034D31B3" w14:textId="77777777" w:rsidR="002A1D33" w:rsidRPr="0048788C" w:rsidRDefault="002A1D33" w:rsidP="002A1D33">
      <w:pPr>
        <w:pStyle w:val="ACMAHeading2"/>
        <w:spacing w:line="276" w:lineRule="auto"/>
        <w:rPr>
          <w:rFonts w:cs="Arial"/>
        </w:rPr>
      </w:pPr>
      <w:r w:rsidRPr="0048788C">
        <w:rPr>
          <w:rFonts w:cs="Arial"/>
        </w:rPr>
        <w:t xml:space="preserve">Issue 1: Promotion of Betting Odds </w:t>
      </w:r>
    </w:p>
    <w:p w14:paraId="43785CA5" w14:textId="004973E3" w:rsidR="002A1D33" w:rsidRPr="0048788C" w:rsidRDefault="006E2073" w:rsidP="002A1D33">
      <w:pPr>
        <w:pStyle w:val="ACMAHeading2"/>
        <w:spacing w:line="276" w:lineRule="auto"/>
        <w:rPr>
          <w:rFonts w:cs="Arial"/>
        </w:rPr>
      </w:pPr>
      <w:r>
        <w:rPr>
          <w:rFonts w:cs="Arial"/>
        </w:rPr>
        <w:t>F</w:t>
      </w:r>
      <w:r w:rsidR="002A1D33" w:rsidRPr="0048788C">
        <w:rPr>
          <w:rFonts w:cs="Arial"/>
        </w:rPr>
        <w:t>inding</w:t>
      </w:r>
    </w:p>
    <w:p w14:paraId="7B86FDC2" w14:textId="2CFC5D2C" w:rsidR="002A1D33" w:rsidRPr="0048788C" w:rsidRDefault="002A1D33" w:rsidP="002A1D33">
      <w:pPr>
        <w:pStyle w:val="ACMABodyText"/>
        <w:spacing w:line="276" w:lineRule="auto"/>
        <w:rPr>
          <w:rFonts w:cs="Arial"/>
        </w:rPr>
      </w:pPr>
      <w:r w:rsidRPr="0048788C">
        <w:rPr>
          <w:rFonts w:cs="Arial"/>
        </w:rPr>
        <w:t xml:space="preserve">The ACMA’s view is that the Licensee </w:t>
      </w:r>
      <w:r w:rsidR="00DC7C96">
        <w:rPr>
          <w:rFonts w:cs="Arial"/>
        </w:rPr>
        <w:t xml:space="preserve">did not </w:t>
      </w:r>
      <w:r w:rsidRPr="0048788C">
        <w:rPr>
          <w:rFonts w:cs="Arial"/>
        </w:rPr>
        <w:t xml:space="preserve">breach clause 5 of Appendix A to the Code </w:t>
      </w:r>
      <w:r>
        <w:rPr>
          <w:rFonts w:cs="Arial"/>
        </w:rPr>
        <w:t>for broadcasting</w:t>
      </w:r>
      <w:r w:rsidRPr="0048788C">
        <w:rPr>
          <w:rFonts w:cs="Arial"/>
        </w:rPr>
        <w:t xml:space="preserve"> </w:t>
      </w:r>
      <w:r>
        <w:rPr>
          <w:rFonts w:cs="Arial"/>
        </w:rPr>
        <w:t>betting odds promotions (</w:t>
      </w:r>
      <w:r w:rsidRPr="00963BEC">
        <w:rPr>
          <w:rFonts w:cs="Arial"/>
          <w:b/>
          <w:bCs/>
        </w:rPr>
        <w:t>Promotion of Betting Odds</w:t>
      </w:r>
      <w:r>
        <w:rPr>
          <w:rFonts w:cs="Arial"/>
        </w:rPr>
        <w:t xml:space="preserve">) by a commentator in connection with </w:t>
      </w:r>
      <w:r w:rsidRPr="0048788C">
        <w:rPr>
          <w:rFonts w:cs="Arial"/>
        </w:rPr>
        <w:t>Game 1 and Game 6.</w:t>
      </w:r>
    </w:p>
    <w:p w14:paraId="04C1E7D4" w14:textId="688F2325" w:rsidR="002A1D33" w:rsidRPr="00131DF9" w:rsidRDefault="002A1D33" w:rsidP="002A1D33">
      <w:pPr>
        <w:pStyle w:val="ACMABodyText"/>
        <w:spacing w:line="276" w:lineRule="auto"/>
        <w:rPr>
          <w:rFonts w:cs="Arial"/>
        </w:rPr>
      </w:pPr>
      <w:r w:rsidRPr="0048788C">
        <w:rPr>
          <w:rFonts w:cs="Arial"/>
        </w:rPr>
        <w:t>The ACMA’s view is that the Licensee did not breach clauses 6 and 7 of Appendix A to the Code</w:t>
      </w:r>
      <w:r>
        <w:rPr>
          <w:rFonts w:cs="Arial"/>
        </w:rPr>
        <w:t xml:space="preserve"> for broadcasting a Promotion of Betting Odds by a clearly identifiable representative of a gambling or betting organisation in</w:t>
      </w:r>
      <w:r w:rsidRPr="0048788C">
        <w:rPr>
          <w:rFonts w:cs="Arial"/>
        </w:rPr>
        <w:t xml:space="preserve"> Game 6.</w:t>
      </w:r>
    </w:p>
    <w:p w14:paraId="1DE7564E" w14:textId="77777777" w:rsidR="002A1D33" w:rsidRPr="0048788C" w:rsidDel="00A32790" w:rsidRDefault="002A1D33" w:rsidP="002A1D33">
      <w:pPr>
        <w:pStyle w:val="ACMAHeading2"/>
        <w:spacing w:line="276" w:lineRule="auto"/>
        <w:rPr>
          <w:rFonts w:cs="Arial"/>
        </w:rPr>
      </w:pPr>
      <w:r w:rsidRPr="0048788C" w:rsidDel="00A32790">
        <w:rPr>
          <w:rFonts w:cs="Arial"/>
        </w:rPr>
        <w:t>Reasons</w:t>
      </w:r>
    </w:p>
    <w:p w14:paraId="4EE6C135" w14:textId="77777777" w:rsidR="002A1D33" w:rsidRPr="0048788C" w:rsidRDefault="002A1D33" w:rsidP="002A1D33">
      <w:pPr>
        <w:pStyle w:val="ACMABodyText"/>
        <w:spacing w:line="276" w:lineRule="auto"/>
        <w:rPr>
          <w:rFonts w:cs="Arial"/>
        </w:rPr>
      </w:pPr>
      <w:bookmarkStart w:id="0" w:name="_Hlk15566159"/>
      <w:r w:rsidRPr="0048788C">
        <w:rPr>
          <w:rFonts w:cs="Arial"/>
        </w:rPr>
        <w:t xml:space="preserve">To assess compliance, the ACMA asked the following questions: </w:t>
      </w:r>
    </w:p>
    <w:p w14:paraId="058EE40D" w14:textId="77777777" w:rsidR="002A1D33" w:rsidRPr="0048788C" w:rsidRDefault="002A1D33" w:rsidP="002A1D33">
      <w:pPr>
        <w:pStyle w:val="ListParagraph"/>
        <w:numPr>
          <w:ilvl w:val="0"/>
          <w:numId w:val="1"/>
        </w:numPr>
        <w:suppressAutoHyphens/>
        <w:spacing w:before="0" w:after="120" w:line="276" w:lineRule="auto"/>
        <w:ind w:left="357" w:hanging="357"/>
        <w:contextualSpacing w:val="0"/>
        <w:rPr>
          <w:rFonts w:cs="Arial"/>
          <w:i w:val="0"/>
        </w:rPr>
      </w:pPr>
      <w:r w:rsidRPr="0048788C">
        <w:rPr>
          <w:rFonts w:cs="Arial"/>
          <w:i w:val="0"/>
        </w:rPr>
        <w:t xml:space="preserve">Did Game 1 and Game 6 feature a Promotion of Betting Odds? </w:t>
      </w:r>
    </w:p>
    <w:p w14:paraId="55CF7960" w14:textId="3EADF479" w:rsidR="002A1D33" w:rsidRPr="0048788C" w:rsidRDefault="002A1D33" w:rsidP="002A1D33">
      <w:pPr>
        <w:suppressAutoHyphens/>
        <w:spacing w:before="0" w:after="120" w:line="276" w:lineRule="auto"/>
        <w:ind w:firstLine="357"/>
        <w:rPr>
          <w:rFonts w:cs="Arial"/>
          <w:i w:val="0"/>
        </w:rPr>
      </w:pPr>
      <w:r w:rsidRPr="0048788C">
        <w:rPr>
          <w:rFonts w:cs="Arial"/>
          <w:i w:val="0"/>
        </w:rPr>
        <w:t>If yes, then</w:t>
      </w:r>
      <w:r w:rsidR="00AC7B29">
        <w:rPr>
          <w:rFonts w:cs="Arial"/>
          <w:i w:val="0"/>
        </w:rPr>
        <w:t>:</w:t>
      </w:r>
    </w:p>
    <w:p w14:paraId="137029A0" w14:textId="77777777" w:rsidR="002A1D33" w:rsidRPr="0048788C" w:rsidDel="00F875D1" w:rsidRDefault="002A1D33" w:rsidP="002A1D33">
      <w:pPr>
        <w:pStyle w:val="ListParagraph"/>
        <w:numPr>
          <w:ilvl w:val="0"/>
          <w:numId w:val="1"/>
        </w:numPr>
        <w:suppressAutoHyphens/>
        <w:spacing w:before="0" w:after="120" w:line="276" w:lineRule="auto"/>
        <w:ind w:left="357" w:hanging="357"/>
        <w:contextualSpacing w:val="0"/>
        <w:rPr>
          <w:rFonts w:cs="Arial"/>
          <w:i w:val="0"/>
        </w:rPr>
      </w:pPr>
      <w:r w:rsidRPr="0048788C" w:rsidDel="00F875D1">
        <w:rPr>
          <w:rFonts w:cs="Arial"/>
          <w:i w:val="0"/>
        </w:rPr>
        <w:t xml:space="preserve">What were the relevant Code provisions? </w:t>
      </w:r>
    </w:p>
    <w:p w14:paraId="50F9991E" w14:textId="35F1A9EE" w:rsidR="002A1D33" w:rsidRPr="0048788C" w:rsidRDefault="002A1D33" w:rsidP="002A1D33">
      <w:pPr>
        <w:pStyle w:val="ListParagraph"/>
        <w:numPr>
          <w:ilvl w:val="0"/>
          <w:numId w:val="1"/>
        </w:numPr>
        <w:suppressAutoHyphens/>
        <w:spacing w:before="0" w:after="120" w:line="276" w:lineRule="auto"/>
        <w:ind w:left="357" w:hanging="357"/>
        <w:contextualSpacing w:val="0"/>
        <w:rPr>
          <w:rFonts w:cs="Arial"/>
          <w:iCs/>
        </w:rPr>
      </w:pPr>
      <w:r w:rsidRPr="0048788C">
        <w:rPr>
          <w:rFonts w:cs="Arial"/>
          <w:i w:val="0"/>
          <w:iCs/>
        </w:rPr>
        <w:t xml:space="preserve">Was the Promotion of Betting Odds presented by a ‘commentator’, </w:t>
      </w:r>
      <w:r w:rsidR="00784ACA">
        <w:rPr>
          <w:rFonts w:cs="Arial"/>
          <w:i w:val="0"/>
          <w:iCs/>
        </w:rPr>
        <w:t>or by a</w:t>
      </w:r>
      <w:r w:rsidRPr="0048788C">
        <w:rPr>
          <w:rFonts w:cs="Arial"/>
          <w:i w:val="0"/>
          <w:iCs/>
        </w:rPr>
        <w:t xml:space="preserve"> ‘discrete or distinguishable contributor’ </w:t>
      </w:r>
      <w:r w:rsidR="00784ACA">
        <w:rPr>
          <w:rFonts w:cs="Arial"/>
          <w:i w:val="0"/>
          <w:iCs/>
        </w:rPr>
        <w:t>such as</w:t>
      </w:r>
      <w:r w:rsidRPr="0048788C">
        <w:rPr>
          <w:rFonts w:cs="Arial"/>
          <w:i w:val="0"/>
          <w:iCs/>
        </w:rPr>
        <w:t xml:space="preserve"> a ‘clearly identified’ representative of a gambling or betting organisation </w:t>
      </w:r>
      <w:r w:rsidR="00271EF4">
        <w:rPr>
          <w:rFonts w:cs="Arial"/>
          <w:i w:val="0"/>
          <w:iCs/>
        </w:rPr>
        <w:t xml:space="preserve">(see </w:t>
      </w:r>
      <w:r w:rsidRPr="0048788C">
        <w:rPr>
          <w:rFonts w:cs="Arial"/>
          <w:i w:val="0"/>
          <w:iCs/>
        </w:rPr>
        <w:t>the Code definition</w:t>
      </w:r>
      <w:r w:rsidR="00271EF4">
        <w:rPr>
          <w:rFonts w:cs="Arial"/>
          <w:i w:val="0"/>
          <w:iCs/>
        </w:rPr>
        <w:t xml:space="preserve"> for ‘commentator’</w:t>
      </w:r>
      <w:r w:rsidR="00A34D19">
        <w:rPr>
          <w:rFonts w:cs="Arial"/>
          <w:i w:val="0"/>
          <w:iCs/>
        </w:rPr>
        <w:t xml:space="preserve"> in clause 21 of Appendix</w:t>
      </w:r>
      <w:r w:rsidR="001E091B">
        <w:rPr>
          <w:rFonts w:cs="Arial"/>
          <w:i w:val="0"/>
          <w:iCs/>
        </w:rPr>
        <w:t> </w:t>
      </w:r>
      <w:r w:rsidR="00A34D19">
        <w:rPr>
          <w:rFonts w:cs="Arial"/>
          <w:i w:val="0"/>
          <w:iCs/>
        </w:rPr>
        <w:t>A</w:t>
      </w:r>
      <w:r w:rsidR="00271EF4">
        <w:rPr>
          <w:rFonts w:cs="Arial"/>
          <w:i w:val="0"/>
          <w:iCs/>
        </w:rPr>
        <w:t>)</w:t>
      </w:r>
      <w:r w:rsidRPr="0048788C">
        <w:rPr>
          <w:rFonts w:cs="Arial"/>
          <w:i w:val="0"/>
          <w:iCs/>
        </w:rPr>
        <w:t xml:space="preserve">? </w:t>
      </w:r>
    </w:p>
    <w:p w14:paraId="1274045E" w14:textId="77777777" w:rsidR="002A1D33" w:rsidRPr="0048788C" w:rsidRDefault="002A1D33" w:rsidP="002A1D33">
      <w:pPr>
        <w:pStyle w:val="ListParagraph"/>
        <w:numPr>
          <w:ilvl w:val="0"/>
          <w:numId w:val="1"/>
        </w:numPr>
        <w:suppressAutoHyphens/>
        <w:spacing w:before="0" w:line="276" w:lineRule="auto"/>
        <w:ind w:left="357" w:hanging="357"/>
        <w:contextualSpacing w:val="0"/>
        <w:rPr>
          <w:rFonts w:cs="Arial"/>
          <w:i w:val="0"/>
        </w:rPr>
      </w:pPr>
      <w:bookmarkStart w:id="1" w:name="_Hlk15566094"/>
      <w:bookmarkEnd w:id="0"/>
      <w:r w:rsidRPr="0048788C">
        <w:rPr>
          <w:rFonts w:cs="Arial"/>
          <w:i w:val="0"/>
        </w:rPr>
        <w:t xml:space="preserve">Was </w:t>
      </w:r>
      <w:bookmarkEnd w:id="1"/>
      <w:r w:rsidRPr="0048788C">
        <w:rPr>
          <w:rFonts w:cs="Arial"/>
          <w:i w:val="0"/>
        </w:rPr>
        <w:t>a Promotion of Betting Odds shown at a prohibited time during the ‘Live Sporting Event’?</w:t>
      </w:r>
    </w:p>
    <w:p w14:paraId="07D85648" w14:textId="77777777" w:rsidR="002A1D33" w:rsidRDefault="002A1D33" w:rsidP="00E624BA">
      <w:pPr>
        <w:pStyle w:val="ACMABodyText"/>
        <w:keepNext/>
        <w:tabs>
          <w:tab w:val="left" w:pos="7655"/>
        </w:tabs>
        <w:spacing w:line="276" w:lineRule="auto"/>
        <w:rPr>
          <w:rFonts w:cs="Arial"/>
          <w:b/>
          <w:bCs/>
          <w:lang w:eastAsia="en-AU"/>
        </w:rPr>
      </w:pPr>
      <w:r w:rsidRPr="0048788C">
        <w:rPr>
          <w:rFonts w:cs="Arial"/>
          <w:b/>
          <w:bCs/>
          <w:lang w:eastAsia="en-AU"/>
        </w:rPr>
        <w:lastRenderedPageBreak/>
        <w:t xml:space="preserve">Did Game 1 and Game 6 feature a Promotion of Betting Odds? </w:t>
      </w:r>
    </w:p>
    <w:p w14:paraId="1172AA40" w14:textId="77777777" w:rsidR="002A1D33" w:rsidRDefault="002A1D33" w:rsidP="00E624BA">
      <w:pPr>
        <w:pStyle w:val="ACMABodyText"/>
        <w:keepNext/>
        <w:tabs>
          <w:tab w:val="left" w:pos="7655"/>
        </w:tabs>
        <w:spacing w:line="276" w:lineRule="auto"/>
        <w:rPr>
          <w:rFonts w:cs="Arial"/>
          <w:lang w:eastAsia="en-AU"/>
        </w:rPr>
      </w:pPr>
      <w:r w:rsidRPr="0048788C">
        <w:rPr>
          <w:rFonts w:cs="Arial"/>
        </w:rPr>
        <w:t>The Licensee</w:t>
      </w:r>
      <w:r w:rsidRPr="00131DF9">
        <w:rPr>
          <w:rFonts w:cs="Arial"/>
          <w:lang w:eastAsia="en-AU"/>
        </w:rPr>
        <w:t xml:space="preserve"> </w:t>
      </w:r>
      <w:r w:rsidRPr="0048788C">
        <w:rPr>
          <w:rFonts w:cs="Arial"/>
          <w:lang w:eastAsia="en-AU"/>
        </w:rPr>
        <w:t>confirmed</w:t>
      </w:r>
      <w:r w:rsidRPr="00131DF9">
        <w:rPr>
          <w:rFonts w:cs="Arial"/>
          <w:lang w:eastAsia="en-AU"/>
        </w:rPr>
        <w:t xml:space="preserve"> that a Promotion of Betting Odds was broadcast 8 minutes prior to the commencement of Play of Game 1 and Game 6. </w:t>
      </w:r>
    </w:p>
    <w:p w14:paraId="76FA2586" w14:textId="77777777" w:rsidR="002A1D33" w:rsidRPr="00131DF9" w:rsidRDefault="002A1D33" w:rsidP="002A1D33">
      <w:pPr>
        <w:pStyle w:val="ACMABodyText"/>
        <w:tabs>
          <w:tab w:val="left" w:pos="7655"/>
        </w:tabs>
        <w:spacing w:line="276" w:lineRule="auto"/>
        <w:rPr>
          <w:rFonts w:cs="Arial"/>
          <w:lang w:eastAsia="en-AU"/>
        </w:rPr>
      </w:pPr>
      <w:r w:rsidRPr="0048788C">
        <w:rPr>
          <w:rFonts w:cs="Arial"/>
          <w:u w:val="single"/>
        </w:rPr>
        <w:t>Game 1</w:t>
      </w:r>
    </w:p>
    <w:p w14:paraId="757E826F" w14:textId="6F77404D" w:rsidR="002A1D33" w:rsidRPr="00D76EA2" w:rsidRDefault="002A1D33" w:rsidP="002A1D33">
      <w:pPr>
        <w:pStyle w:val="ACMABodyText"/>
        <w:tabs>
          <w:tab w:val="left" w:pos="7655"/>
        </w:tabs>
        <w:spacing w:line="276" w:lineRule="auto"/>
        <w:rPr>
          <w:rFonts w:cs="Arial"/>
          <w:szCs w:val="24"/>
        </w:rPr>
      </w:pPr>
      <w:r w:rsidRPr="0048788C">
        <w:rPr>
          <w:rFonts w:cs="Arial"/>
          <w:szCs w:val="24"/>
        </w:rPr>
        <w:t xml:space="preserve">Game 1 was </w:t>
      </w:r>
      <w:r w:rsidR="0013049D">
        <w:rPr>
          <w:rFonts w:cs="Arial"/>
          <w:szCs w:val="24"/>
        </w:rPr>
        <w:t>broadcast</w:t>
      </w:r>
      <w:r w:rsidRPr="0048788C">
        <w:rPr>
          <w:rFonts w:cs="Arial"/>
          <w:szCs w:val="24"/>
        </w:rPr>
        <w:t xml:space="preserve"> </w:t>
      </w:r>
      <w:r w:rsidR="00456FE9">
        <w:rPr>
          <w:rFonts w:cs="Arial"/>
          <w:szCs w:val="24"/>
        </w:rPr>
        <w:t xml:space="preserve">live on ESPN </w:t>
      </w:r>
      <w:r w:rsidRPr="0048788C">
        <w:rPr>
          <w:rFonts w:cs="Arial"/>
          <w:szCs w:val="24"/>
        </w:rPr>
        <w:t xml:space="preserve">on 18 May 2022 at 10:28am (AEST). </w:t>
      </w:r>
      <w:r w:rsidRPr="00D76EA2">
        <w:rPr>
          <w:rFonts w:cs="Arial"/>
          <w:szCs w:val="24"/>
        </w:rPr>
        <w:t>The complaint to the ACMA was that betting odds were provided by an ESPN commentator at the venue at around the 13-minute mark of the coverage and less than 30 minutes before the start of the game.</w:t>
      </w:r>
    </w:p>
    <w:p w14:paraId="115EC6CD" w14:textId="77777777" w:rsidR="002A1D33" w:rsidRPr="0048788C" w:rsidRDefault="002A1D33" w:rsidP="002A1D33">
      <w:pPr>
        <w:pStyle w:val="ABABodyText"/>
        <w:spacing w:before="120" w:line="276" w:lineRule="auto"/>
        <w:rPr>
          <w:rFonts w:ascii="Arial" w:hAnsi="Arial" w:cs="Arial"/>
          <w:sz w:val="20"/>
        </w:rPr>
      </w:pPr>
      <w:r w:rsidRPr="0048788C">
        <w:rPr>
          <w:rFonts w:ascii="Arial" w:hAnsi="Arial" w:cs="Arial"/>
          <w:sz w:val="20"/>
        </w:rPr>
        <w:t xml:space="preserve">The complainant alleged: </w:t>
      </w:r>
    </w:p>
    <w:p w14:paraId="7BFD5E4A" w14:textId="48B04BF2" w:rsidR="002A1D33" w:rsidRPr="0048788C" w:rsidRDefault="002A1D33" w:rsidP="002A1D33">
      <w:pPr>
        <w:pStyle w:val="ListParagraph"/>
        <w:spacing w:after="120" w:line="276" w:lineRule="auto"/>
        <w:contextualSpacing w:val="0"/>
        <w:rPr>
          <w:rFonts w:cs="Arial"/>
          <w:i w:val="0"/>
          <w:snapToGrid w:val="0"/>
          <w:sz w:val="18"/>
          <w:szCs w:val="18"/>
        </w:rPr>
      </w:pPr>
      <w:r w:rsidRPr="0048788C">
        <w:rPr>
          <w:rFonts w:cs="Arial"/>
          <w:i w:val="0"/>
          <w:snapToGrid w:val="0"/>
          <w:sz w:val="18"/>
          <w:szCs w:val="18"/>
        </w:rPr>
        <w:t>The ESPN broadcast had an ESPN commentator from the host venue, presenting betting odds on a live broadcast around eight minutes before the start of the game. This breaches the… broadcasting rule due to being only eight minutes before play began</w:t>
      </w:r>
      <w:r w:rsidR="00905AD3">
        <w:rPr>
          <w:rFonts w:cs="Arial"/>
          <w:i w:val="0"/>
          <w:snapToGrid w:val="0"/>
          <w:sz w:val="18"/>
          <w:szCs w:val="18"/>
        </w:rPr>
        <w:t>.</w:t>
      </w:r>
    </w:p>
    <w:p w14:paraId="42174973" w14:textId="4071D697" w:rsidR="002A1D33" w:rsidRPr="00131DF9" w:rsidRDefault="002A1D33" w:rsidP="002A1D33">
      <w:pPr>
        <w:pStyle w:val="ACMABodyText"/>
        <w:tabs>
          <w:tab w:val="left" w:pos="7655"/>
        </w:tabs>
        <w:spacing w:line="276" w:lineRule="auto"/>
        <w:rPr>
          <w:rFonts w:cs="Arial"/>
          <w:szCs w:val="24"/>
        </w:rPr>
      </w:pPr>
      <w:r w:rsidRPr="00131DF9">
        <w:rPr>
          <w:rFonts w:cs="Arial"/>
          <w:szCs w:val="24"/>
        </w:rPr>
        <w:t xml:space="preserve">The </w:t>
      </w:r>
      <w:r>
        <w:rPr>
          <w:rFonts w:cs="Arial"/>
          <w:szCs w:val="24"/>
        </w:rPr>
        <w:t>Promotion of Betting Odds</w:t>
      </w:r>
      <w:r w:rsidRPr="00131DF9">
        <w:rPr>
          <w:rFonts w:cs="Arial"/>
          <w:szCs w:val="24"/>
        </w:rPr>
        <w:t xml:space="preserve"> w</w:t>
      </w:r>
      <w:r>
        <w:rPr>
          <w:rFonts w:cs="Arial"/>
          <w:szCs w:val="24"/>
        </w:rPr>
        <w:t>as</w:t>
      </w:r>
      <w:r w:rsidRPr="00131DF9">
        <w:rPr>
          <w:rFonts w:cs="Arial"/>
          <w:szCs w:val="24"/>
        </w:rPr>
        <w:t xml:space="preserve"> presented by </w:t>
      </w:r>
      <w:bookmarkStart w:id="2" w:name="_Hlk144896101"/>
      <w:r w:rsidR="003C1ED0">
        <w:rPr>
          <w:rFonts w:cs="Arial"/>
          <w:szCs w:val="24"/>
        </w:rPr>
        <w:t>Presenter 1</w:t>
      </w:r>
      <w:r w:rsidRPr="00131DF9">
        <w:rPr>
          <w:rFonts w:cs="Arial"/>
          <w:szCs w:val="24"/>
        </w:rPr>
        <w:t xml:space="preserve"> </w:t>
      </w:r>
      <w:bookmarkEnd w:id="2"/>
      <w:r w:rsidRPr="00131DF9">
        <w:rPr>
          <w:rFonts w:cs="Arial"/>
          <w:szCs w:val="24"/>
        </w:rPr>
        <w:t xml:space="preserve">approximately 8 minutes prior to the commencement of Play of Game 1. </w:t>
      </w:r>
      <w:r w:rsidR="002E4372">
        <w:rPr>
          <w:rFonts w:cs="Arial"/>
          <w:szCs w:val="24"/>
        </w:rPr>
        <w:t>Presenter 1</w:t>
      </w:r>
      <w:r w:rsidR="002E4372" w:rsidRPr="00131DF9">
        <w:rPr>
          <w:rFonts w:cs="Arial"/>
          <w:szCs w:val="24"/>
        </w:rPr>
        <w:t xml:space="preserve"> </w:t>
      </w:r>
      <w:r w:rsidRPr="00131DF9">
        <w:rPr>
          <w:rFonts w:cs="Arial"/>
          <w:szCs w:val="24"/>
        </w:rPr>
        <w:t>appeared in front of a basketball court wearing a suit and earpiece with an ESPN microphone and stated his intention to provide a ‘</w:t>
      </w:r>
      <w:r>
        <w:rPr>
          <w:rFonts w:cs="Arial"/>
          <w:szCs w:val="24"/>
        </w:rPr>
        <w:t>S</w:t>
      </w:r>
      <w:r w:rsidRPr="00131DF9">
        <w:rPr>
          <w:rFonts w:cs="Arial"/>
          <w:szCs w:val="24"/>
        </w:rPr>
        <w:t xml:space="preserve">ports </w:t>
      </w:r>
      <w:r>
        <w:rPr>
          <w:rFonts w:cs="Arial"/>
          <w:szCs w:val="24"/>
        </w:rPr>
        <w:t>C</w:t>
      </w:r>
      <w:r w:rsidRPr="00131DF9">
        <w:rPr>
          <w:rFonts w:cs="Arial"/>
          <w:szCs w:val="24"/>
        </w:rPr>
        <w:t xml:space="preserve">entre update brought to you by [international betting company] here from FTX Arena in Miami…’. </w:t>
      </w:r>
    </w:p>
    <w:p w14:paraId="12699154" w14:textId="7BF18818" w:rsidR="002A1D33" w:rsidRPr="00131DF9" w:rsidRDefault="003C1ED0" w:rsidP="002A1D33">
      <w:pPr>
        <w:pStyle w:val="ACMABodyText"/>
        <w:tabs>
          <w:tab w:val="left" w:pos="7655"/>
        </w:tabs>
        <w:spacing w:line="276" w:lineRule="auto"/>
        <w:rPr>
          <w:rFonts w:cs="Arial"/>
          <w:szCs w:val="24"/>
        </w:rPr>
      </w:pPr>
      <w:r w:rsidRPr="003C1ED0">
        <w:rPr>
          <w:rFonts w:cs="Arial"/>
          <w:szCs w:val="24"/>
        </w:rPr>
        <w:t xml:space="preserve">Presenter 1 </w:t>
      </w:r>
      <w:r w:rsidR="002A1D33" w:rsidRPr="00131DF9">
        <w:rPr>
          <w:rFonts w:cs="Arial"/>
          <w:szCs w:val="24"/>
        </w:rPr>
        <w:t xml:space="preserve">then discussed the odds, and in particular, odds for the Australian market, for the upcoming game. </w:t>
      </w:r>
      <w:r w:rsidRPr="003C1ED0">
        <w:rPr>
          <w:rFonts w:cs="Arial"/>
          <w:szCs w:val="24"/>
        </w:rPr>
        <w:t>Presenter 1</w:t>
      </w:r>
      <w:r w:rsidR="002A1D33" w:rsidRPr="003C1ED0">
        <w:rPr>
          <w:rFonts w:cs="Arial"/>
          <w:szCs w:val="24"/>
        </w:rPr>
        <w:t>’s</w:t>
      </w:r>
      <w:r w:rsidR="002A1D33" w:rsidRPr="00131DF9">
        <w:rPr>
          <w:rFonts w:cs="Arial"/>
          <w:szCs w:val="24"/>
        </w:rPr>
        <w:t xml:space="preserve"> segment </w:t>
      </w:r>
      <w:r w:rsidR="00E47784">
        <w:rPr>
          <w:rFonts w:cs="Arial"/>
          <w:szCs w:val="24"/>
        </w:rPr>
        <w:t>was</w:t>
      </w:r>
      <w:r w:rsidR="00E47784" w:rsidRPr="00131DF9">
        <w:rPr>
          <w:rFonts w:cs="Arial"/>
          <w:szCs w:val="24"/>
        </w:rPr>
        <w:t xml:space="preserve"> </w:t>
      </w:r>
      <w:r w:rsidR="002A1D33" w:rsidRPr="00131DF9">
        <w:rPr>
          <w:rFonts w:cs="Arial"/>
          <w:szCs w:val="24"/>
        </w:rPr>
        <w:t xml:space="preserve">bookended with the [international gambling company] logo, which appeared intermittently throughout the segment. </w:t>
      </w:r>
    </w:p>
    <w:p w14:paraId="76F9011B" w14:textId="77777777" w:rsidR="002A1D33" w:rsidRPr="0048788C" w:rsidRDefault="002A1D33" w:rsidP="002A1D33">
      <w:pPr>
        <w:pStyle w:val="ABABodyText"/>
        <w:spacing w:before="120" w:line="276" w:lineRule="auto"/>
        <w:rPr>
          <w:rFonts w:ascii="Arial" w:hAnsi="Arial" w:cs="Arial"/>
          <w:sz w:val="20"/>
        </w:rPr>
      </w:pPr>
      <w:r w:rsidRPr="0048788C">
        <w:rPr>
          <w:rFonts w:ascii="Arial" w:hAnsi="Arial" w:cs="Arial"/>
          <w:sz w:val="20"/>
          <w:u w:val="single"/>
        </w:rPr>
        <w:t>Game 6</w:t>
      </w:r>
    </w:p>
    <w:p w14:paraId="49AC4E7C" w14:textId="588D1299" w:rsidR="002A1D33" w:rsidRPr="00131DF9" w:rsidRDefault="002A1D33" w:rsidP="002A1D33">
      <w:pPr>
        <w:pStyle w:val="ACMABodyText"/>
        <w:tabs>
          <w:tab w:val="left" w:pos="7655"/>
        </w:tabs>
        <w:spacing w:line="276" w:lineRule="auto"/>
        <w:rPr>
          <w:rFonts w:cs="Arial"/>
          <w:sz w:val="24"/>
        </w:rPr>
      </w:pPr>
      <w:r w:rsidRPr="0048788C">
        <w:rPr>
          <w:rFonts w:cs="Arial"/>
          <w:szCs w:val="24"/>
        </w:rPr>
        <w:t xml:space="preserve">Game 6 was </w:t>
      </w:r>
      <w:r w:rsidR="00456FE9">
        <w:rPr>
          <w:rFonts w:cs="Arial"/>
          <w:szCs w:val="24"/>
        </w:rPr>
        <w:t xml:space="preserve">broadcast live on ESPN </w:t>
      </w:r>
      <w:r w:rsidRPr="0048788C">
        <w:rPr>
          <w:rFonts w:cs="Arial"/>
          <w:szCs w:val="24"/>
        </w:rPr>
        <w:t>on 28 May 2022.</w:t>
      </w:r>
      <w:r w:rsidRPr="0048788C">
        <w:rPr>
          <w:rFonts w:cs="Arial"/>
        </w:rPr>
        <w:t xml:space="preserve"> </w:t>
      </w:r>
      <w:r w:rsidRPr="0048788C">
        <w:rPr>
          <w:rFonts w:cs="Arial"/>
          <w:szCs w:val="24"/>
        </w:rPr>
        <w:t xml:space="preserve">The </w:t>
      </w:r>
      <w:r w:rsidRPr="0048788C">
        <w:rPr>
          <w:rFonts w:cs="Arial"/>
          <w:iCs/>
        </w:rPr>
        <w:t>complaint</w:t>
      </w:r>
      <w:r w:rsidRPr="0048788C">
        <w:rPr>
          <w:rFonts w:cs="Arial"/>
          <w:iCs/>
          <w:szCs w:val="24"/>
        </w:rPr>
        <w:t xml:space="preserve"> </w:t>
      </w:r>
      <w:r w:rsidRPr="0048788C">
        <w:rPr>
          <w:rFonts w:cs="Arial"/>
          <w:szCs w:val="24"/>
        </w:rPr>
        <w:t xml:space="preserve">to the ACMA was that </w:t>
      </w:r>
      <w:r w:rsidR="00F21479">
        <w:rPr>
          <w:rFonts w:cs="Arial"/>
          <w:szCs w:val="24"/>
        </w:rPr>
        <w:t xml:space="preserve"> </w:t>
      </w:r>
      <w:r w:rsidRPr="0048788C">
        <w:rPr>
          <w:rFonts w:cs="Arial"/>
        </w:rPr>
        <w:t xml:space="preserve">2 instances of betting odds were broadcast less than 10 minutes before the start of an NBA game, in breach of the </w:t>
      </w:r>
      <w:r w:rsidR="001C4D8A">
        <w:rPr>
          <w:rFonts w:cs="Arial"/>
        </w:rPr>
        <w:t>Code</w:t>
      </w:r>
      <w:r w:rsidRPr="0048788C">
        <w:rPr>
          <w:rFonts w:cs="Arial"/>
        </w:rPr>
        <w:t xml:space="preserve">. The </w:t>
      </w:r>
      <w:r w:rsidR="00784ACA">
        <w:rPr>
          <w:rFonts w:cs="Arial"/>
        </w:rPr>
        <w:t>game was</w:t>
      </w:r>
      <w:r w:rsidRPr="0048788C">
        <w:rPr>
          <w:rFonts w:cs="Arial"/>
        </w:rPr>
        <w:t xml:space="preserve"> broadcast</w:t>
      </w:r>
      <w:r w:rsidR="00784ACA">
        <w:rPr>
          <w:rFonts w:cs="Arial"/>
        </w:rPr>
        <w:t xml:space="preserve"> on ESPN</w:t>
      </w:r>
      <w:r w:rsidRPr="0048788C">
        <w:rPr>
          <w:rFonts w:cs="Arial"/>
        </w:rPr>
        <w:t xml:space="preserve"> at 10:40am (AEST). The complainant also alleged a gambling representative appeared to be part of the commentary team at the venue. </w:t>
      </w:r>
    </w:p>
    <w:p w14:paraId="724BD79D" w14:textId="351D9BB7" w:rsidR="002A1D33" w:rsidRPr="00131DF9" w:rsidRDefault="002A1D33" w:rsidP="002A1D33">
      <w:pPr>
        <w:pStyle w:val="ACMABodyText"/>
        <w:tabs>
          <w:tab w:val="left" w:pos="7655"/>
        </w:tabs>
        <w:spacing w:line="276" w:lineRule="auto"/>
        <w:rPr>
          <w:rFonts w:eastAsiaTheme="minorHAnsi" w:cs="Arial"/>
          <w:i/>
          <w:color w:val="000000"/>
        </w:rPr>
      </w:pPr>
      <w:r w:rsidRPr="0048788C">
        <w:rPr>
          <w:rFonts w:eastAsiaTheme="minorHAnsi" w:cs="Arial"/>
          <w:color w:val="000000"/>
        </w:rPr>
        <w:t xml:space="preserve">The </w:t>
      </w:r>
      <w:r>
        <w:rPr>
          <w:rFonts w:eastAsiaTheme="minorHAnsi" w:cs="Arial"/>
          <w:color w:val="000000"/>
        </w:rPr>
        <w:t xml:space="preserve">first Promotion of Betting Odds </w:t>
      </w:r>
      <w:r w:rsidRPr="0048788C">
        <w:rPr>
          <w:rFonts w:eastAsiaTheme="minorHAnsi" w:cs="Arial"/>
          <w:color w:val="000000"/>
        </w:rPr>
        <w:t>w</w:t>
      </w:r>
      <w:r>
        <w:rPr>
          <w:rFonts w:eastAsiaTheme="minorHAnsi" w:cs="Arial"/>
          <w:color w:val="000000"/>
        </w:rPr>
        <w:t>as</w:t>
      </w:r>
      <w:r w:rsidRPr="0048788C">
        <w:rPr>
          <w:rFonts w:eastAsiaTheme="minorHAnsi" w:cs="Arial"/>
          <w:color w:val="000000"/>
        </w:rPr>
        <w:t xml:space="preserve"> presented by </w:t>
      </w:r>
      <w:r w:rsidR="003C1ED0" w:rsidRPr="003C1ED0">
        <w:rPr>
          <w:rFonts w:eastAsiaTheme="minorHAnsi" w:cs="Arial"/>
          <w:color w:val="000000"/>
        </w:rPr>
        <w:t xml:space="preserve">Presenter </w:t>
      </w:r>
      <w:r w:rsidR="003C1ED0">
        <w:rPr>
          <w:rFonts w:eastAsiaTheme="minorHAnsi" w:cs="Arial"/>
          <w:color w:val="000000"/>
        </w:rPr>
        <w:t>1</w:t>
      </w:r>
      <w:r w:rsidR="00EF078D">
        <w:rPr>
          <w:rFonts w:eastAsiaTheme="minorHAnsi" w:cs="Arial"/>
          <w:color w:val="000000"/>
        </w:rPr>
        <w:t xml:space="preserve"> </w:t>
      </w:r>
      <w:r w:rsidRPr="0048788C">
        <w:rPr>
          <w:rFonts w:eastAsiaTheme="minorHAnsi" w:cs="Arial"/>
          <w:color w:val="000000"/>
        </w:rPr>
        <w:t xml:space="preserve">approximately 8 minutes prior to the commencement of </w:t>
      </w:r>
      <w:r w:rsidRPr="00C42530">
        <w:rPr>
          <w:rFonts w:eastAsiaTheme="minorHAnsi" w:cs="Arial"/>
          <w:color w:val="000000"/>
        </w:rPr>
        <w:t xml:space="preserve">Game </w:t>
      </w:r>
      <w:r w:rsidRPr="00963BEC">
        <w:rPr>
          <w:rFonts w:eastAsiaTheme="minorHAnsi" w:cs="Arial"/>
          <w:color w:val="000000"/>
        </w:rPr>
        <w:t>6</w:t>
      </w:r>
      <w:r w:rsidRPr="00C42530">
        <w:rPr>
          <w:rFonts w:eastAsiaTheme="minorHAnsi" w:cs="Arial"/>
          <w:color w:val="000000"/>
        </w:rPr>
        <w:t xml:space="preserve">. </w:t>
      </w:r>
      <w:r w:rsidR="0012381B">
        <w:rPr>
          <w:rFonts w:eastAsiaTheme="minorHAnsi" w:cs="Arial"/>
          <w:color w:val="000000"/>
        </w:rPr>
        <w:t>Presenter 1</w:t>
      </w:r>
      <w:r w:rsidR="0012381B" w:rsidRPr="00131DF9">
        <w:rPr>
          <w:rFonts w:eastAsiaTheme="minorHAnsi" w:cs="Arial"/>
          <w:color w:val="000000"/>
        </w:rPr>
        <w:t xml:space="preserve"> </w:t>
      </w:r>
      <w:r w:rsidRPr="00131DF9">
        <w:rPr>
          <w:rFonts w:eastAsiaTheme="minorHAnsi" w:cs="Arial"/>
          <w:color w:val="000000"/>
        </w:rPr>
        <w:t>wore a suit, held an ESPN microphone and appeared courtside at FTX Arena</w:t>
      </w:r>
      <w:r w:rsidRPr="0048788C">
        <w:rPr>
          <w:rFonts w:eastAsiaTheme="minorHAnsi" w:cs="Arial"/>
          <w:color w:val="000000"/>
        </w:rPr>
        <w:t xml:space="preserve">. </w:t>
      </w:r>
      <w:r w:rsidR="003C1ED0" w:rsidRPr="003C1ED0">
        <w:rPr>
          <w:rFonts w:eastAsiaTheme="minorHAnsi" w:cs="Arial"/>
          <w:color w:val="000000"/>
        </w:rPr>
        <w:t xml:space="preserve">Presenter 1 </w:t>
      </w:r>
      <w:r w:rsidRPr="00131DF9">
        <w:rPr>
          <w:rFonts w:eastAsiaTheme="minorHAnsi" w:cs="Arial"/>
          <w:color w:val="000000"/>
        </w:rPr>
        <w:t>stated:</w:t>
      </w:r>
    </w:p>
    <w:p w14:paraId="629BA9CE" w14:textId="26CF47D8" w:rsidR="002A1D33" w:rsidRPr="00131DF9" w:rsidRDefault="002A1D33" w:rsidP="002A1D33">
      <w:pPr>
        <w:pStyle w:val="ABABodyText"/>
        <w:spacing w:before="120" w:line="276" w:lineRule="auto"/>
        <w:ind w:left="720"/>
        <w:rPr>
          <w:rFonts w:ascii="Arial" w:hAnsi="Arial" w:cs="Arial"/>
          <w:i/>
          <w:sz w:val="18"/>
          <w:szCs w:val="18"/>
        </w:rPr>
      </w:pPr>
      <w:r w:rsidRPr="00131DF9">
        <w:rPr>
          <w:rFonts w:ascii="Arial" w:hAnsi="Arial" w:cs="Arial"/>
          <w:sz w:val="18"/>
          <w:szCs w:val="18"/>
        </w:rPr>
        <w:t xml:space="preserve">‘Hey there punters </w:t>
      </w:r>
      <w:r w:rsidR="003C1ED0">
        <w:rPr>
          <w:rFonts w:ascii="Arial" w:hAnsi="Arial" w:cs="Arial"/>
          <w:sz w:val="18"/>
          <w:szCs w:val="18"/>
        </w:rPr>
        <w:t>[Presenter 1]</w:t>
      </w:r>
      <w:r w:rsidR="003C1ED0" w:rsidRPr="00131DF9">
        <w:rPr>
          <w:rFonts w:ascii="Arial" w:hAnsi="Arial" w:cs="Arial"/>
          <w:sz w:val="18"/>
          <w:szCs w:val="18"/>
        </w:rPr>
        <w:t xml:space="preserve"> </w:t>
      </w:r>
      <w:r w:rsidRPr="00131DF9">
        <w:rPr>
          <w:rFonts w:ascii="Arial" w:hAnsi="Arial" w:cs="Arial"/>
          <w:sz w:val="18"/>
          <w:szCs w:val="18"/>
        </w:rPr>
        <w:t>here from Game 6 of the Eastern Conference finals. And this is your sports centre update brought to you by [Australian betting company] where the Celtics are massive favourites in this close out game…’.</w:t>
      </w:r>
      <w:r w:rsidRPr="00131DF9" w:rsidDel="00FA7048">
        <w:rPr>
          <w:rFonts w:ascii="Arial" w:hAnsi="Arial" w:cs="Arial"/>
          <w:sz w:val="18"/>
          <w:szCs w:val="18"/>
        </w:rPr>
        <w:t xml:space="preserve"> </w:t>
      </w:r>
    </w:p>
    <w:p w14:paraId="08CE22C6" w14:textId="20B32C2C" w:rsidR="002A1D33" w:rsidRPr="00131DF9" w:rsidRDefault="003C1ED0" w:rsidP="002A1D33">
      <w:pPr>
        <w:rPr>
          <w:rFonts w:cs="Arial"/>
        </w:rPr>
      </w:pPr>
      <w:r w:rsidRPr="003C1ED0">
        <w:rPr>
          <w:rFonts w:eastAsiaTheme="minorHAnsi" w:cs="Arial"/>
          <w:i w:val="0"/>
          <w:color w:val="000000"/>
          <w:szCs w:val="20"/>
        </w:rPr>
        <w:t xml:space="preserve">Presenter 1 </w:t>
      </w:r>
      <w:r w:rsidR="002A1D33" w:rsidRPr="00131DF9">
        <w:rPr>
          <w:rFonts w:eastAsiaTheme="minorHAnsi" w:cs="Arial"/>
          <w:i w:val="0"/>
          <w:color w:val="000000"/>
          <w:szCs w:val="20"/>
        </w:rPr>
        <w:t>then discussed the odds for the Australian market for the upcoming game. The [Australian betting company] logo appeared throughout the segment.</w:t>
      </w:r>
    </w:p>
    <w:p w14:paraId="6718BEB9" w14:textId="4E216A5B" w:rsidR="002A1D33" w:rsidRPr="0048788C" w:rsidRDefault="002A1D33" w:rsidP="002A1D33">
      <w:pPr>
        <w:rPr>
          <w:rFonts w:cs="Arial"/>
          <w:lang w:eastAsia="en-AU"/>
        </w:rPr>
      </w:pPr>
      <w:r w:rsidRPr="0080488C">
        <w:rPr>
          <w:rFonts w:eastAsiaTheme="minorHAnsi" w:cs="Arial"/>
          <w:i w:val="0"/>
          <w:color w:val="000000"/>
          <w:szCs w:val="20"/>
        </w:rPr>
        <w:t xml:space="preserve">The second promotion in Game 6 was presented by </w:t>
      </w:r>
      <w:r w:rsidR="000D0016">
        <w:rPr>
          <w:rFonts w:eastAsiaTheme="minorHAnsi" w:cs="Arial"/>
          <w:i w:val="0"/>
          <w:color w:val="000000"/>
          <w:szCs w:val="20"/>
        </w:rPr>
        <w:t>Presenter 2</w:t>
      </w:r>
      <w:r w:rsidRPr="0080488C">
        <w:rPr>
          <w:rFonts w:eastAsiaTheme="minorHAnsi" w:cs="Arial"/>
          <w:i w:val="0"/>
          <w:color w:val="000000"/>
          <w:szCs w:val="20"/>
        </w:rPr>
        <w:t xml:space="preserve"> </w:t>
      </w:r>
      <w:r w:rsidRPr="00131DF9">
        <w:rPr>
          <w:rFonts w:eastAsiaTheme="minorHAnsi" w:cs="Arial"/>
          <w:i w:val="0"/>
          <w:color w:val="000000"/>
          <w:szCs w:val="20"/>
        </w:rPr>
        <w:t xml:space="preserve">approximately </w:t>
      </w:r>
      <w:r w:rsidRPr="0080488C">
        <w:rPr>
          <w:rFonts w:eastAsiaTheme="minorHAnsi" w:cs="Arial"/>
          <w:i w:val="0"/>
          <w:color w:val="000000"/>
          <w:szCs w:val="20"/>
        </w:rPr>
        <w:t xml:space="preserve">3 minutes before the game commenced. </w:t>
      </w:r>
      <w:r w:rsidR="000D0016">
        <w:rPr>
          <w:rFonts w:eastAsiaTheme="minorHAnsi" w:cs="Arial"/>
          <w:i w:val="0"/>
          <w:color w:val="000000"/>
          <w:szCs w:val="20"/>
        </w:rPr>
        <w:t>Presenter 2</w:t>
      </w:r>
      <w:r w:rsidRPr="0080488C">
        <w:rPr>
          <w:rFonts w:eastAsiaTheme="minorHAnsi" w:cs="Arial"/>
          <w:i w:val="0"/>
          <w:color w:val="000000"/>
          <w:szCs w:val="20"/>
        </w:rPr>
        <w:t xml:space="preserve"> </w:t>
      </w:r>
      <w:r w:rsidR="00684DEC">
        <w:rPr>
          <w:rFonts w:eastAsiaTheme="minorHAnsi" w:cs="Arial"/>
          <w:i w:val="0"/>
          <w:color w:val="000000"/>
          <w:szCs w:val="20"/>
        </w:rPr>
        <w:t>appeared</w:t>
      </w:r>
      <w:r w:rsidR="00684DEC" w:rsidRPr="00131DF9">
        <w:rPr>
          <w:rFonts w:eastAsiaTheme="minorHAnsi" w:cs="Arial"/>
          <w:i w:val="0"/>
          <w:color w:val="000000"/>
          <w:szCs w:val="20"/>
        </w:rPr>
        <w:t xml:space="preserve"> </w:t>
      </w:r>
      <w:r w:rsidRPr="00131DF9">
        <w:rPr>
          <w:rFonts w:eastAsiaTheme="minorHAnsi" w:cs="Arial"/>
          <w:i w:val="0"/>
          <w:color w:val="000000"/>
          <w:szCs w:val="20"/>
        </w:rPr>
        <w:t xml:space="preserve">as a ‘NBA Market Specialist’ and provided game analysis and discussed the odds for the Australian market for the upcoming game. </w:t>
      </w:r>
    </w:p>
    <w:p w14:paraId="3B59B346" w14:textId="77777777" w:rsidR="002A1D33" w:rsidRPr="0048788C" w:rsidRDefault="002A1D33" w:rsidP="00E624BA">
      <w:pPr>
        <w:pStyle w:val="ACMABodyText"/>
        <w:keepNext/>
        <w:tabs>
          <w:tab w:val="left" w:pos="7655"/>
        </w:tabs>
        <w:spacing w:line="276" w:lineRule="auto"/>
        <w:rPr>
          <w:rFonts w:cs="Arial"/>
          <w:b/>
          <w:bCs/>
          <w:lang w:eastAsia="en-AU"/>
        </w:rPr>
      </w:pPr>
      <w:r w:rsidRPr="0048788C">
        <w:rPr>
          <w:rFonts w:cs="Arial"/>
          <w:b/>
          <w:bCs/>
          <w:lang w:eastAsia="en-AU"/>
        </w:rPr>
        <w:lastRenderedPageBreak/>
        <w:t xml:space="preserve">What were the relevant Code provisions? </w:t>
      </w:r>
    </w:p>
    <w:p w14:paraId="7B3F45C4" w14:textId="77777777" w:rsidR="002A1D33" w:rsidRPr="008F0CC4" w:rsidRDefault="002A1D33" w:rsidP="00E624BA">
      <w:pPr>
        <w:pStyle w:val="ABABodyText"/>
        <w:keepNext/>
        <w:spacing w:before="120" w:line="276" w:lineRule="auto"/>
        <w:rPr>
          <w:rFonts w:ascii="Arial" w:hAnsi="Arial" w:cs="Arial"/>
          <w:i/>
          <w:iCs/>
          <w:sz w:val="20"/>
          <w:szCs w:val="24"/>
        </w:rPr>
      </w:pPr>
      <w:r w:rsidRPr="008F0CC4">
        <w:rPr>
          <w:rFonts w:ascii="Arial" w:hAnsi="Arial" w:cs="Arial"/>
          <w:i/>
          <w:iCs/>
          <w:sz w:val="20"/>
          <w:szCs w:val="24"/>
        </w:rPr>
        <w:t xml:space="preserve">Promotion of Betting Odds by a Commentator </w:t>
      </w:r>
    </w:p>
    <w:p w14:paraId="45645907" w14:textId="77777777" w:rsidR="002A1D33" w:rsidRPr="0048788C" w:rsidRDefault="002A1D33" w:rsidP="00E624BA">
      <w:pPr>
        <w:pStyle w:val="ABABodyText"/>
        <w:keepNext/>
        <w:spacing w:before="120" w:line="276" w:lineRule="auto"/>
        <w:rPr>
          <w:rFonts w:ascii="Arial" w:hAnsi="Arial" w:cs="Arial"/>
          <w:sz w:val="20"/>
          <w:szCs w:val="24"/>
        </w:rPr>
      </w:pPr>
      <w:r w:rsidRPr="0048788C">
        <w:rPr>
          <w:rFonts w:ascii="Arial" w:hAnsi="Arial" w:cs="Arial"/>
          <w:sz w:val="20"/>
          <w:szCs w:val="24"/>
        </w:rPr>
        <w:t>Clause 5 of Appendix A to the Code provides that a Licensee must not broadcast a Promotion of Betting Odds by a Commentator of a Live Sporting Event any time: a) from 30 minutes before the commencement of Play; and b) until 30 minutes after the conclusion of Play.</w:t>
      </w:r>
    </w:p>
    <w:p w14:paraId="35B83FE1" w14:textId="77777777" w:rsidR="002A1D33" w:rsidRPr="0048788C" w:rsidRDefault="002A1D33" w:rsidP="002A1D33">
      <w:pPr>
        <w:pStyle w:val="ABABodyText"/>
        <w:spacing w:before="120" w:line="276" w:lineRule="auto"/>
        <w:rPr>
          <w:rFonts w:ascii="Arial" w:hAnsi="Arial" w:cs="Arial"/>
          <w:sz w:val="20"/>
          <w:szCs w:val="24"/>
        </w:rPr>
      </w:pPr>
      <w:bookmarkStart w:id="3" w:name="_Hlk120525218"/>
      <w:r w:rsidRPr="0048788C">
        <w:rPr>
          <w:rFonts w:ascii="Arial" w:hAnsi="Arial" w:cs="Arial"/>
          <w:sz w:val="20"/>
          <w:szCs w:val="24"/>
        </w:rPr>
        <w:t>Clause 5 of Appendix A to the Code is applicable irrespective of whether ESPN is considered a ‘Low Audience Share Channel’.</w:t>
      </w:r>
    </w:p>
    <w:bookmarkEnd w:id="3"/>
    <w:p w14:paraId="78776883" w14:textId="77777777" w:rsidR="002A1D33" w:rsidRPr="0048788C" w:rsidRDefault="002A1D33" w:rsidP="002A1D33">
      <w:pPr>
        <w:pStyle w:val="ABABodyText"/>
        <w:spacing w:before="120" w:line="276" w:lineRule="auto"/>
        <w:rPr>
          <w:rFonts w:ascii="Arial" w:hAnsi="Arial" w:cs="Arial"/>
          <w:sz w:val="20"/>
          <w:szCs w:val="24"/>
        </w:rPr>
      </w:pPr>
      <w:r w:rsidRPr="0048788C">
        <w:rPr>
          <w:rFonts w:ascii="Arial" w:hAnsi="Arial" w:cs="Arial"/>
          <w:sz w:val="20"/>
          <w:szCs w:val="24"/>
        </w:rPr>
        <w:t>The Code defines a ‘commentator’ as a person who is a host, guest or otherwise participating in a Live Sporting Event and includes a person calling, or providing analysis on the sporting event or game, but does not include discrete or distinguishable contributors, including clearly identified representatives of gambling or betting organisations.</w:t>
      </w:r>
    </w:p>
    <w:p w14:paraId="17F15843" w14:textId="77777777" w:rsidR="002A1D33" w:rsidRPr="00F81A5B" w:rsidRDefault="002A1D33" w:rsidP="002A1D33">
      <w:pPr>
        <w:pStyle w:val="ABABodyText"/>
        <w:spacing w:before="120" w:line="276" w:lineRule="auto"/>
        <w:rPr>
          <w:rFonts w:ascii="Arial" w:hAnsi="Arial" w:cs="Arial"/>
          <w:i/>
          <w:iCs/>
          <w:sz w:val="20"/>
          <w:szCs w:val="24"/>
        </w:rPr>
      </w:pPr>
      <w:r w:rsidRPr="00F81A5B">
        <w:rPr>
          <w:rFonts w:ascii="Arial" w:hAnsi="Arial" w:cs="Arial"/>
          <w:i/>
          <w:iCs/>
          <w:sz w:val="20"/>
          <w:szCs w:val="24"/>
        </w:rPr>
        <w:t>Promotion of Betting Odds other than by a Commentator</w:t>
      </w:r>
    </w:p>
    <w:p w14:paraId="20D3C0C2" w14:textId="2753CE4E" w:rsidR="002A1D33" w:rsidRDefault="002A1D33" w:rsidP="002A1D33">
      <w:pPr>
        <w:pStyle w:val="ABABodyText"/>
        <w:spacing w:before="120" w:line="276" w:lineRule="auto"/>
        <w:rPr>
          <w:rFonts w:ascii="Arial" w:hAnsi="Arial" w:cs="Arial"/>
          <w:sz w:val="20"/>
          <w:szCs w:val="24"/>
        </w:rPr>
      </w:pPr>
      <w:r w:rsidRPr="0048788C">
        <w:rPr>
          <w:rFonts w:ascii="Arial" w:hAnsi="Arial" w:cs="Arial"/>
          <w:sz w:val="20"/>
          <w:szCs w:val="24"/>
        </w:rPr>
        <w:t>Clause 3 of Appendix A to the Code provide</w:t>
      </w:r>
      <w:r w:rsidRPr="00131DF9">
        <w:rPr>
          <w:rFonts w:ascii="Arial" w:hAnsi="Arial" w:cs="Arial"/>
          <w:sz w:val="20"/>
          <w:szCs w:val="24"/>
        </w:rPr>
        <w:t>s a</w:t>
      </w:r>
      <w:r w:rsidRPr="0048788C">
        <w:rPr>
          <w:rFonts w:ascii="Arial" w:hAnsi="Arial" w:cs="Arial"/>
          <w:sz w:val="20"/>
          <w:szCs w:val="24"/>
        </w:rPr>
        <w:t xml:space="preserve"> restriction on the </w:t>
      </w:r>
      <w:r>
        <w:rPr>
          <w:rFonts w:ascii="Arial" w:hAnsi="Arial" w:cs="Arial"/>
          <w:sz w:val="20"/>
          <w:szCs w:val="24"/>
        </w:rPr>
        <w:t>P</w:t>
      </w:r>
      <w:r w:rsidRPr="0048788C">
        <w:rPr>
          <w:rFonts w:ascii="Arial" w:hAnsi="Arial" w:cs="Arial"/>
          <w:sz w:val="20"/>
          <w:szCs w:val="24"/>
        </w:rPr>
        <w:t xml:space="preserve">romotion of </w:t>
      </w:r>
      <w:r>
        <w:rPr>
          <w:rFonts w:ascii="Arial" w:hAnsi="Arial" w:cs="Arial"/>
          <w:sz w:val="20"/>
          <w:szCs w:val="24"/>
        </w:rPr>
        <w:t>B</w:t>
      </w:r>
      <w:r w:rsidRPr="0048788C">
        <w:rPr>
          <w:rFonts w:ascii="Arial" w:hAnsi="Arial" w:cs="Arial"/>
          <w:sz w:val="20"/>
          <w:szCs w:val="24"/>
        </w:rPr>
        <w:t xml:space="preserve">etting </w:t>
      </w:r>
      <w:r>
        <w:rPr>
          <w:rFonts w:ascii="Arial" w:hAnsi="Arial" w:cs="Arial"/>
          <w:sz w:val="20"/>
          <w:szCs w:val="24"/>
        </w:rPr>
        <w:t>O</w:t>
      </w:r>
      <w:r w:rsidRPr="0048788C">
        <w:rPr>
          <w:rFonts w:ascii="Arial" w:hAnsi="Arial" w:cs="Arial"/>
          <w:sz w:val="20"/>
          <w:szCs w:val="24"/>
        </w:rPr>
        <w:t xml:space="preserve">dds ‘other than by a Commentator’. However, </w:t>
      </w:r>
      <w:r w:rsidR="00505532">
        <w:rPr>
          <w:rFonts w:ascii="Arial" w:hAnsi="Arial" w:cs="Arial"/>
          <w:sz w:val="20"/>
          <w:szCs w:val="24"/>
        </w:rPr>
        <w:t>c</w:t>
      </w:r>
      <w:r w:rsidR="00456FE9">
        <w:rPr>
          <w:rFonts w:ascii="Arial" w:hAnsi="Arial" w:cs="Arial"/>
          <w:sz w:val="20"/>
          <w:szCs w:val="24"/>
        </w:rPr>
        <w:t xml:space="preserve">lause </w:t>
      </w:r>
      <w:r w:rsidRPr="00131DF9">
        <w:rPr>
          <w:rFonts w:ascii="Arial" w:hAnsi="Arial" w:cs="Arial"/>
          <w:sz w:val="20"/>
          <w:szCs w:val="24"/>
        </w:rPr>
        <w:t>10 provides that clause 3 does not apply to the broadcast of a Live Sporting Event on a Low Audience Share Channel except in a broadcast of a Listed Event.</w:t>
      </w:r>
      <w:r w:rsidRPr="0048788C">
        <w:rPr>
          <w:rStyle w:val="FootnoteReference"/>
          <w:rFonts w:ascii="Arial" w:hAnsi="Arial" w:cs="Arial"/>
          <w:sz w:val="20"/>
          <w:szCs w:val="24"/>
        </w:rPr>
        <w:footnoteReference w:id="1"/>
      </w:r>
      <w:r w:rsidRPr="0048788C">
        <w:rPr>
          <w:rFonts w:ascii="Arial" w:hAnsi="Arial" w:cs="Arial"/>
          <w:sz w:val="20"/>
          <w:szCs w:val="24"/>
        </w:rPr>
        <w:t xml:space="preserve"> </w:t>
      </w:r>
      <w:r w:rsidRPr="00131DF9">
        <w:rPr>
          <w:rFonts w:ascii="Arial" w:hAnsi="Arial" w:cs="Arial"/>
          <w:sz w:val="20"/>
          <w:szCs w:val="24"/>
        </w:rPr>
        <w:t>ESPN is a Low Audience Share Channel</w:t>
      </w:r>
      <w:r w:rsidRPr="0048788C">
        <w:rPr>
          <w:rFonts w:ascii="Arial" w:hAnsi="Arial" w:cs="Arial"/>
          <w:sz w:val="20"/>
          <w:szCs w:val="24"/>
        </w:rPr>
        <w:t xml:space="preserve"> and the NBA is not a listed event. Therefore </w:t>
      </w:r>
      <w:r w:rsidR="00505532">
        <w:rPr>
          <w:rFonts w:ascii="Arial" w:hAnsi="Arial" w:cs="Arial"/>
          <w:sz w:val="20"/>
          <w:szCs w:val="24"/>
        </w:rPr>
        <w:t>c</w:t>
      </w:r>
      <w:r w:rsidRPr="0048788C">
        <w:rPr>
          <w:rFonts w:ascii="Arial" w:hAnsi="Arial" w:cs="Arial"/>
          <w:sz w:val="20"/>
          <w:szCs w:val="24"/>
        </w:rPr>
        <w:t xml:space="preserve">lause 3 does not apply to Game 1 and Game 6. </w:t>
      </w:r>
    </w:p>
    <w:p w14:paraId="769691B7" w14:textId="4E10B3B8" w:rsidR="002A1D33" w:rsidRPr="00963BEC" w:rsidRDefault="002A1D33" w:rsidP="002A1D33">
      <w:pPr>
        <w:pStyle w:val="ABABodyText"/>
        <w:spacing w:before="120" w:line="276" w:lineRule="auto"/>
        <w:rPr>
          <w:rFonts w:ascii="Arial" w:hAnsi="Arial" w:cs="Arial"/>
          <w:sz w:val="20"/>
          <w:szCs w:val="24"/>
        </w:rPr>
      </w:pPr>
      <w:r w:rsidRPr="00963BEC">
        <w:rPr>
          <w:rFonts w:ascii="Arial" w:hAnsi="Arial" w:cs="Arial"/>
          <w:sz w:val="20"/>
          <w:szCs w:val="24"/>
        </w:rPr>
        <w:t xml:space="preserve">Clause 11 of Appendix A to the Code provides that </w:t>
      </w:r>
      <w:r w:rsidR="00505532">
        <w:rPr>
          <w:rFonts w:ascii="Arial" w:hAnsi="Arial" w:cs="Arial"/>
          <w:sz w:val="20"/>
          <w:szCs w:val="24"/>
        </w:rPr>
        <w:t>c</w:t>
      </w:r>
      <w:r w:rsidRPr="00963BEC">
        <w:rPr>
          <w:rFonts w:ascii="Arial" w:hAnsi="Arial" w:cs="Arial"/>
          <w:sz w:val="20"/>
          <w:szCs w:val="24"/>
        </w:rPr>
        <w:t xml:space="preserve">lause 4 of Appendix A to the Code applies to a Licensee in relation to the broadcast of a Live Sporting Event on a Low Audience Share Channel (such as ESPN). </w:t>
      </w:r>
    </w:p>
    <w:p w14:paraId="0960FF03" w14:textId="4EC0C0E1" w:rsidR="002A1D33" w:rsidRPr="00963BEC" w:rsidRDefault="002A1D33" w:rsidP="002A1D33">
      <w:pPr>
        <w:pStyle w:val="ABABodyText"/>
        <w:spacing w:before="120" w:line="276" w:lineRule="auto"/>
        <w:rPr>
          <w:rFonts w:ascii="Arial" w:hAnsi="Arial" w:cs="Arial"/>
          <w:iCs/>
          <w:sz w:val="20"/>
          <w:szCs w:val="24"/>
        </w:rPr>
      </w:pPr>
      <w:r w:rsidRPr="002C2CB5">
        <w:rPr>
          <w:rFonts w:ascii="Arial" w:hAnsi="Arial" w:cs="Arial"/>
          <w:iCs/>
          <w:sz w:val="20"/>
          <w:szCs w:val="24"/>
        </w:rPr>
        <w:t xml:space="preserve">Clause 4 provides that </w:t>
      </w:r>
      <w:r w:rsidRPr="00963BEC">
        <w:rPr>
          <w:rFonts w:ascii="Arial" w:hAnsi="Arial" w:cs="Arial"/>
          <w:iCs/>
          <w:sz w:val="20"/>
          <w:szCs w:val="24"/>
        </w:rPr>
        <w:t>from 8.30pm to 5:00am, a Licensee must not broadcast a Promotion of Betting Odds during Play in a Live Sporting Event but may broadcast a Promotion of Betting Odds</w:t>
      </w:r>
      <w:r w:rsidR="0022116D">
        <w:rPr>
          <w:rFonts w:ascii="Arial" w:hAnsi="Arial" w:cs="Arial"/>
          <w:iCs/>
          <w:sz w:val="20"/>
          <w:szCs w:val="24"/>
        </w:rPr>
        <w:t>,</w:t>
      </w:r>
      <w:r w:rsidRPr="00963BEC">
        <w:rPr>
          <w:rFonts w:ascii="Arial" w:hAnsi="Arial" w:cs="Arial"/>
          <w:iCs/>
          <w:sz w:val="20"/>
          <w:szCs w:val="24"/>
        </w:rPr>
        <w:t xml:space="preserve"> other than by a Commentator</w:t>
      </w:r>
      <w:r w:rsidR="0022116D">
        <w:rPr>
          <w:rFonts w:ascii="Arial" w:hAnsi="Arial" w:cs="Arial"/>
          <w:iCs/>
          <w:sz w:val="20"/>
          <w:szCs w:val="24"/>
        </w:rPr>
        <w:t>,</w:t>
      </w:r>
      <w:r w:rsidRPr="00963BEC">
        <w:rPr>
          <w:rFonts w:ascii="Arial" w:hAnsi="Arial" w:cs="Arial"/>
          <w:iCs/>
          <w:sz w:val="20"/>
          <w:szCs w:val="24"/>
        </w:rPr>
        <w:t xml:space="preserve"> before Play has commenced or after Play has concluded; and during Play in a Long Form Live Sporting Event, as part of a distinct break of at least 90 seconds, and in the Permitted Frequency, provided that the Promotion of Betting Odds is not for a race, match or game that has already commenced.</w:t>
      </w:r>
    </w:p>
    <w:p w14:paraId="6923CE5C" w14:textId="77777777" w:rsidR="002A1D33" w:rsidRPr="0048788C" w:rsidRDefault="002A1D33" w:rsidP="002A1D33">
      <w:pPr>
        <w:pStyle w:val="ABABodyText"/>
        <w:spacing w:before="120" w:line="276" w:lineRule="auto"/>
        <w:rPr>
          <w:rFonts w:ascii="Arial" w:hAnsi="Arial" w:cs="Arial"/>
          <w:iCs/>
          <w:sz w:val="20"/>
          <w:szCs w:val="24"/>
        </w:rPr>
      </w:pPr>
      <w:r w:rsidRPr="0048788C">
        <w:rPr>
          <w:rFonts w:ascii="Arial" w:hAnsi="Arial" w:cs="Arial"/>
          <w:iCs/>
          <w:sz w:val="20"/>
          <w:szCs w:val="24"/>
        </w:rPr>
        <w:t>Clauses 6 and 7 of Appendix A to the Code require representatives of gambling or betting organisations</w:t>
      </w:r>
      <w:r>
        <w:rPr>
          <w:rFonts w:ascii="Arial" w:hAnsi="Arial" w:cs="Arial"/>
          <w:iCs/>
          <w:sz w:val="20"/>
          <w:szCs w:val="24"/>
        </w:rPr>
        <w:t>, at all times,</w:t>
      </w:r>
      <w:r w:rsidRPr="0048788C">
        <w:rPr>
          <w:rFonts w:ascii="Arial" w:hAnsi="Arial" w:cs="Arial"/>
          <w:iCs/>
          <w:sz w:val="20"/>
          <w:szCs w:val="24"/>
        </w:rPr>
        <w:t xml:space="preserve"> to be clearly identifiable as such and not to appear as part of the commentary team and they must not be around (or appear to be around) the ground or sport venue where the event is taking place.</w:t>
      </w:r>
    </w:p>
    <w:p w14:paraId="1DB08913" w14:textId="69C4CB4C" w:rsidR="002A1D33" w:rsidRPr="0048788C" w:rsidRDefault="002A1D33" w:rsidP="002A1D33">
      <w:pPr>
        <w:suppressAutoHyphens/>
        <w:spacing w:before="0" w:after="120" w:line="276" w:lineRule="auto"/>
        <w:rPr>
          <w:rFonts w:cs="Arial"/>
          <w:iCs/>
        </w:rPr>
      </w:pPr>
      <w:r w:rsidRPr="0048788C">
        <w:rPr>
          <w:rFonts w:cs="Arial"/>
          <w:b/>
          <w:bCs/>
          <w:i w:val="0"/>
          <w:iCs/>
        </w:rPr>
        <w:t>W</w:t>
      </w:r>
      <w:r w:rsidR="00784ACA">
        <w:rPr>
          <w:rFonts w:cs="Arial"/>
          <w:b/>
          <w:bCs/>
          <w:i w:val="0"/>
          <w:iCs/>
        </w:rPr>
        <w:t>ere</w:t>
      </w:r>
      <w:r w:rsidRPr="0048788C">
        <w:rPr>
          <w:rFonts w:cs="Arial"/>
          <w:b/>
          <w:bCs/>
          <w:i w:val="0"/>
          <w:iCs/>
        </w:rPr>
        <w:t xml:space="preserve"> the Promotion</w:t>
      </w:r>
      <w:r>
        <w:rPr>
          <w:rFonts w:cs="Arial"/>
          <w:b/>
          <w:bCs/>
          <w:i w:val="0"/>
          <w:iCs/>
        </w:rPr>
        <w:t>s</w:t>
      </w:r>
      <w:r w:rsidRPr="0048788C">
        <w:rPr>
          <w:rFonts w:cs="Arial"/>
          <w:b/>
          <w:bCs/>
          <w:i w:val="0"/>
          <w:iCs/>
        </w:rPr>
        <w:t xml:space="preserve"> of Betting Odds in Game 1 and Game 6 presented by a ‘commentator’</w:t>
      </w:r>
      <w:r w:rsidR="00784ACA">
        <w:rPr>
          <w:rFonts w:cs="Arial"/>
          <w:b/>
          <w:bCs/>
          <w:i w:val="0"/>
          <w:iCs/>
        </w:rPr>
        <w:t>,</w:t>
      </w:r>
      <w:r w:rsidRPr="0048788C">
        <w:rPr>
          <w:rFonts w:cs="Arial"/>
          <w:b/>
          <w:bCs/>
          <w:i w:val="0"/>
          <w:iCs/>
        </w:rPr>
        <w:t xml:space="preserve"> or</w:t>
      </w:r>
      <w:r w:rsidR="00784ACA">
        <w:rPr>
          <w:rFonts w:cs="Arial"/>
          <w:b/>
          <w:bCs/>
          <w:i w:val="0"/>
          <w:iCs/>
        </w:rPr>
        <w:t xml:space="preserve"> by a</w:t>
      </w:r>
      <w:r w:rsidRPr="0048788C">
        <w:rPr>
          <w:rFonts w:cs="Arial"/>
          <w:b/>
          <w:bCs/>
          <w:i w:val="0"/>
          <w:iCs/>
        </w:rPr>
        <w:t xml:space="preserve"> ‘distinguishable contributor’</w:t>
      </w:r>
      <w:r w:rsidRPr="0048788C">
        <w:rPr>
          <w:rFonts w:cs="Arial"/>
          <w:i w:val="0"/>
          <w:iCs/>
        </w:rPr>
        <w:t xml:space="preserve"> </w:t>
      </w:r>
      <w:r w:rsidRPr="00131DF9">
        <w:rPr>
          <w:rFonts w:cs="Arial"/>
          <w:b/>
          <w:bCs/>
          <w:i w:val="0"/>
          <w:iCs/>
        </w:rPr>
        <w:t>or a ‘clearly identified’ representative of a gambling or betting organisation</w:t>
      </w:r>
      <w:r w:rsidRPr="0048788C">
        <w:rPr>
          <w:rFonts w:cs="Arial"/>
          <w:b/>
          <w:bCs/>
          <w:i w:val="0"/>
          <w:iCs/>
        </w:rPr>
        <w:t xml:space="preserve">, within the meaning of the Code definition? </w:t>
      </w:r>
    </w:p>
    <w:p w14:paraId="188755BA" w14:textId="076CC259" w:rsidR="002A1D33" w:rsidRPr="0048788C" w:rsidRDefault="000D0016" w:rsidP="002A1D33">
      <w:pPr>
        <w:pStyle w:val="ABABodyText"/>
        <w:spacing w:before="120" w:line="276" w:lineRule="auto"/>
        <w:rPr>
          <w:rFonts w:ascii="Arial" w:hAnsi="Arial" w:cs="Arial"/>
          <w:sz w:val="20"/>
          <w:u w:val="single"/>
        </w:rPr>
      </w:pPr>
      <w:r w:rsidRPr="000D0016">
        <w:rPr>
          <w:rFonts w:ascii="Arial" w:hAnsi="Arial" w:cs="Arial"/>
          <w:sz w:val="20"/>
          <w:u w:val="single"/>
        </w:rPr>
        <w:t>Presenter 1</w:t>
      </w:r>
      <w:r>
        <w:rPr>
          <w:rFonts w:ascii="Arial" w:hAnsi="Arial" w:cs="Arial"/>
          <w:sz w:val="20"/>
          <w:u w:val="single"/>
        </w:rPr>
        <w:t>’s</w:t>
      </w:r>
      <w:r w:rsidR="002A1D33" w:rsidRPr="0048788C">
        <w:rPr>
          <w:rFonts w:ascii="Arial" w:hAnsi="Arial" w:cs="Arial"/>
          <w:sz w:val="20"/>
          <w:u w:val="single"/>
        </w:rPr>
        <w:t xml:space="preserve"> appearance in Game 1 and Game 6</w:t>
      </w:r>
    </w:p>
    <w:p w14:paraId="1AF08069" w14:textId="72687E69" w:rsidR="002A1D33" w:rsidRPr="0048788C" w:rsidRDefault="002A1D33" w:rsidP="002A1D33">
      <w:pPr>
        <w:pStyle w:val="ABABodyText"/>
        <w:spacing w:before="120" w:line="276" w:lineRule="auto"/>
        <w:rPr>
          <w:rFonts w:ascii="Arial" w:hAnsi="Arial" w:cs="Arial"/>
          <w:sz w:val="20"/>
          <w:szCs w:val="24"/>
        </w:rPr>
      </w:pPr>
      <w:r w:rsidRPr="0048788C">
        <w:rPr>
          <w:rFonts w:ascii="Arial" w:hAnsi="Arial" w:cs="Arial"/>
          <w:sz w:val="20"/>
          <w:szCs w:val="24"/>
        </w:rPr>
        <w:t xml:space="preserve">The Licensee submitted that </w:t>
      </w:r>
      <w:r w:rsidR="0012381B" w:rsidRPr="00BF2AB7">
        <w:rPr>
          <w:rFonts w:ascii="Arial" w:hAnsi="Arial" w:cs="Arial"/>
          <w:sz w:val="20"/>
        </w:rPr>
        <w:t>Presenter 1</w:t>
      </w:r>
      <w:r w:rsidRPr="0048788C">
        <w:rPr>
          <w:rFonts w:ascii="Arial" w:hAnsi="Arial" w:cs="Arial"/>
          <w:sz w:val="20"/>
          <w:szCs w:val="24"/>
        </w:rPr>
        <w:t xml:space="preserve"> appeared as a ‘distinguishable contributor’ and not a ‘commentator’ in Game 1 and Game 6, as summarised below:</w:t>
      </w:r>
    </w:p>
    <w:p w14:paraId="177B0CB2" w14:textId="2DC6772F" w:rsidR="002A1D33" w:rsidRPr="0048788C" w:rsidRDefault="0012381B" w:rsidP="002A1D33">
      <w:pPr>
        <w:pStyle w:val="ABABodyText"/>
        <w:numPr>
          <w:ilvl w:val="0"/>
          <w:numId w:val="2"/>
        </w:numPr>
        <w:spacing w:before="120" w:line="276" w:lineRule="auto"/>
        <w:rPr>
          <w:rFonts w:ascii="Arial" w:hAnsi="Arial" w:cs="Arial"/>
          <w:sz w:val="20"/>
          <w:szCs w:val="24"/>
        </w:rPr>
      </w:pPr>
      <w:r w:rsidRPr="00BF2AB7">
        <w:rPr>
          <w:rFonts w:ascii="Arial" w:hAnsi="Arial" w:cs="Arial"/>
          <w:sz w:val="20"/>
        </w:rPr>
        <w:t>Presenter 1</w:t>
      </w:r>
      <w:r w:rsidR="002A1D33" w:rsidRPr="001803B3">
        <w:rPr>
          <w:rFonts w:ascii="Arial" w:hAnsi="Arial" w:cs="Arial"/>
          <w:sz w:val="20"/>
          <w:szCs w:val="24"/>
        </w:rPr>
        <w:t>’s</w:t>
      </w:r>
      <w:r w:rsidR="002A1D33" w:rsidRPr="0048788C">
        <w:rPr>
          <w:rFonts w:ascii="Arial" w:hAnsi="Arial" w:cs="Arial"/>
          <w:sz w:val="20"/>
          <w:szCs w:val="24"/>
        </w:rPr>
        <w:t xml:space="preserve"> only involvement in the broadcast of Game 1 and Game 6 was to present 4 discrete and distinguishable sponsored updates on behalf of advertisers once per quarter, each lasting approximately 1 minute, during breaks in play of Game 1 and Game 6. </w:t>
      </w:r>
    </w:p>
    <w:p w14:paraId="66A2C641" w14:textId="31D7156D" w:rsidR="002A1D33" w:rsidRPr="0048788C" w:rsidRDefault="0012381B" w:rsidP="002A1D33">
      <w:pPr>
        <w:pStyle w:val="ABABodyText"/>
        <w:numPr>
          <w:ilvl w:val="0"/>
          <w:numId w:val="2"/>
        </w:numPr>
        <w:spacing w:before="120" w:line="276" w:lineRule="auto"/>
        <w:rPr>
          <w:rFonts w:ascii="Arial" w:hAnsi="Arial" w:cs="Arial"/>
          <w:sz w:val="20"/>
          <w:szCs w:val="24"/>
        </w:rPr>
      </w:pPr>
      <w:r w:rsidRPr="00BF2AB7">
        <w:rPr>
          <w:rFonts w:ascii="Arial" w:hAnsi="Arial" w:cs="Arial"/>
          <w:sz w:val="20"/>
        </w:rPr>
        <w:t>Presenter 1</w:t>
      </w:r>
      <w:r w:rsidR="002A1D33" w:rsidRPr="001803B3">
        <w:rPr>
          <w:rFonts w:ascii="Arial" w:hAnsi="Arial" w:cs="Arial"/>
          <w:sz w:val="20"/>
          <w:szCs w:val="24"/>
        </w:rPr>
        <w:t>’s</w:t>
      </w:r>
      <w:r w:rsidR="002A1D33" w:rsidRPr="0048788C">
        <w:rPr>
          <w:rFonts w:ascii="Arial" w:hAnsi="Arial" w:cs="Arial"/>
          <w:sz w:val="20"/>
          <w:szCs w:val="24"/>
        </w:rPr>
        <w:t xml:space="preserve"> segments were clearly branded as commercially sponsored segments.</w:t>
      </w:r>
    </w:p>
    <w:p w14:paraId="0D9C914B" w14:textId="5D6074E8" w:rsidR="002A1D33" w:rsidRPr="0048788C" w:rsidRDefault="0012381B" w:rsidP="002A1D33">
      <w:pPr>
        <w:pStyle w:val="ABABodyText"/>
        <w:numPr>
          <w:ilvl w:val="0"/>
          <w:numId w:val="2"/>
        </w:numPr>
        <w:spacing w:before="120" w:line="276" w:lineRule="auto"/>
        <w:rPr>
          <w:rFonts w:ascii="Arial" w:hAnsi="Arial" w:cs="Arial"/>
          <w:sz w:val="20"/>
          <w:szCs w:val="24"/>
        </w:rPr>
      </w:pPr>
      <w:r w:rsidRPr="00BF2AB7">
        <w:rPr>
          <w:rFonts w:ascii="Arial" w:hAnsi="Arial" w:cs="Arial"/>
          <w:sz w:val="20"/>
        </w:rPr>
        <w:lastRenderedPageBreak/>
        <w:t>Presenter 1</w:t>
      </w:r>
      <w:r w:rsidR="002A1D33" w:rsidRPr="0048788C">
        <w:rPr>
          <w:rFonts w:ascii="Arial" w:hAnsi="Arial" w:cs="Arial"/>
          <w:sz w:val="20"/>
          <w:szCs w:val="24"/>
        </w:rPr>
        <w:t xml:space="preserve"> does not appear with the commentary team nor have any interaction with them. </w:t>
      </w:r>
      <w:r w:rsidRPr="00BF2AB7">
        <w:rPr>
          <w:rFonts w:ascii="Arial" w:hAnsi="Arial" w:cs="Arial"/>
          <w:sz w:val="20"/>
        </w:rPr>
        <w:t>Presenter 1</w:t>
      </w:r>
      <w:r w:rsidR="002A1D33" w:rsidRPr="0048788C">
        <w:rPr>
          <w:rFonts w:ascii="Arial" w:hAnsi="Arial" w:cs="Arial"/>
          <w:sz w:val="20"/>
          <w:szCs w:val="24"/>
        </w:rPr>
        <w:t xml:space="preserve"> does not participate in the calling of the game and his contribution is discrete and distinguishable from those of the actual game commentators.</w:t>
      </w:r>
    </w:p>
    <w:p w14:paraId="4A7EB061" w14:textId="5871CEC8" w:rsidR="002A1D33" w:rsidRDefault="002A1D33" w:rsidP="002A1D33">
      <w:pPr>
        <w:pStyle w:val="ACMABodyText"/>
        <w:tabs>
          <w:tab w:val="left" w:pos="7655"/>
        </w:tabs>
        <w:spacing w:line="276" w:lineRule="auto"/>
        <w:rPr>
          <w:rFonts w:cs="Arial"/>
          <w:szCs w:val="24"/>
        </w:rPr>
      </w:pPr>
      <w:r w:rsidRPr="0048788C">
        <w:rPr>
          <w:rFonts w:cs="Arial"/>
          <w:szCs w:val="24"/>
        </w:rPr>
        <w:t xml:space="preserve">The ACMA accepts the Licensee’s submission that </w:t>
      </w:r>
      <w:r w:rsidR="0012381B" w:rsidRPr="00BF2AB7">
        <w:rPr>
          <w:rFonts w:cs="Arial"/>
        </w:rPr>
        <w:t>Presenter 1</w:t>
      </w:r>
      <w:r w:rsidRPr="0048788C">
        <w:rPr>
          <w:rFonts w:cs="Arial"/>
          <w:szCs w:val="24"/>
        </w:rPr>
        <w:t xml:space="preserve"> present</w:t>
      </w:r>
      <w:r>
        <w:rPr>
          <w:rFonts w:cs="Arial"/>
          <w:szCs w:val="24"/>
        </w:rPr>
        <w:t>ed</w:t>
      </w:r>
      <w:r w:rsidRPr="0048788C">
        <w:rPr>
          <w:rFonts w:cs="Arial"/>
          <w:szCs w:val="24"/>
        </w:rPr>
        <w:t xml:space="preserve"> sponsored updates</w:t>
      </w:r>
      <w:r>
        <w:rPr>
          <w:rFonts w:cs="Arial"/>
          <w:szCs w:val="24"/>
        </w:rPr>
        <w:t xml:space="preserve"> (for insurance and food companies) during scheduled breaks in play</w:t>
      </w:r>
      <w:r w:rsidRPr="0048788C">
        <w:rPr>
          <w:rFonts w:cs="Arial"/>
          <w:szCs w:val="24"/>
        </w:rPr>
        <w:t xml:space="preserve">. </w:t>
      </w:r>
    </w:p>
    <w:p w14:paraId="794153AC" w14:textId="0013C1BD" w:rsidR="002A1D33" w:rsidRPr="0048788C" w:rsidRDefault="002A1D33" w:rsidP="002A1D33">
      <w:pPr>
        <w:pStyle w:val="ACMABodyText"/>
        <w:tabs>
          <w:tab w:val="left" w:pos="7655"/>
        </w:tabs>
        <w:spacing w:line="276" w:lineRule="auto"/>
        <w:rPr>
          <w:rFonts w:cs="Arial"/>
          <w:szCs w:val="24"/>
        </w:rPr>
      </w:pPr>
      <w:r>
        <w:rPr>
          <w:rFonts w:cs="Arial"/>
          <w:szCs w:val="24"/>
        </w:rPr>
        <w:t xml:space="preserve">However, as discussed above, </w:t>
      </w:r>
      <w:r w:rsidR="0012381B" w:rsidRPr="00BF2AB7">
        <w:rPr>
          <w:rFonts w:cs="Arial"/>
        </w:rPr>
        <w:t>Presenter 1</w:t>
      </w:r>
      <w:r>
        <w:rPr>
          <w:rFonts w:cs="Arial"/>
          <w:szCs w:val="24"/>
        </w:rPr>
        <w:t xml:space="preserve"> also provided betting odds</w:t>
      </w:r>
      <w:r w:rsidRPr="0048788C">
        <w:rPr>
          <w:rFonts w:cs="Arial"/>
          <w:szCs w:val="24"/>
        </w:rPr>
        <w:t xml:space="preserve"> </w:t>
      </w:r>
      <w:r>
        <w:rPr>
          <w:rFonts w:cs="Arial"/>
          <w:szCs w:val="24"/>
        </w:rPr>
        <w:t xml:space="preserve">sponsored by betting companies </w:t>
      </w:r>
      <w:r w:rsidRPr="0048788C">
        <w:rPr>
          <w:rFonts w:cs="Arial"/>
          <w:szCs w:val="24"/>
        </w:rPr>
        <w:t>prior to Game 1</w:t>
      </w:r>
      <w:r>
        <w:rPr>
          <w:rFonts w:cs="Arial"/>
          <w:szCs w:val="24"/>
        </w:rPr>
        <w:t xml:space="preserve"> and </w:t>
      </w:r>
      <w:r w:rsidRPr="00445CE0">
        <w:rPr>
          <w:rFonts w:cs="Arial"/>
          <w:szCs w:val="24"/>
        </w:rPr>
        <w:t xml:space="preserve">Game 6. </w:t>
      </w:r>
      <w:r w:rsidRPr="0048788C">
        <w:rPr>
          <w:rFonts w:cs="Arial"/>
          <w:szCs w:val="24"/>
        </w:rPr>
        <w:t xml:space="preserve">The </w:t>
      </w:r>
      <w:r>
        <w:rPr>
          <w:rFonts w:cs="Arial"/>
          <w:szCs w:val="24"/>
        </w:rPr>
        <w:t xml:space="preserve">question for the </w:t>
      </w:r>
      <w:r w:rsidRPr="0048788C">
        <w:rPr>
          <w:rFonts w:cs="Arial"/>
          <w:szCs w:val="24"/>
        </w:rPr>
        <w:t xml:space="preserve">ACMA is whether </w:t>
      </w:r>
      <w:r w:rsidR="0012381B" w:rsidRPr="00BF2AB7">
        <w:rPr>
          <w:rFonts w:cs="Arial"/>
        </w:rPr>
        <w:t>Presenter 1</w:t>
      </w:r>
      <w:r w:rsidRPr="0048788C">
        <w:rPr>
          <w:rFonts w:cs="Arial"/>
          <w:szCs w:val="24"/>
        </w:rPr>
        <w:t xml:space="preserve"> was a </w:t>
      </w:r>
      <w:r w:rsidR="00C018B8">
        <w:rPr>
          <w:rFonts w:cs="Arial"/>
          <w:szCs w:val="24"/>
        </w:rPr>
        <w:t>‘</w:t>
      </w:r>
      <w:r w:rsidRPr="0048788C">
        <w:rPr>
          <w:rFonts w:cs="Arial"/>
          <w:szCs w:val="24"/>
        </w:rPr>
        <w:t>commentator</w:t>
      </w:r>
      <w:r w:rsidR="00C018B8">
        <w:rPr>
          <w:rFonts w:cs="Arial"/>
          <w:szCs w:val="24"/>
        </w:rPr>
        <w:t>’</w:t>
      </w:r>
      <w:r w:rsidR="00106B8F">
        <w:rPr>
          <w:rFonts w:cs="Arial"/>
          <w:szCs w:val="24"/>
        </w:rPr>
        <w:t xml:space="preserve"> (as defined in Appendix A) for ESPN who</w:t>
      </w:r>
      <w:r w:rsidRPr="0048788C">
        <w:rPr>
          <w:rFonts w:cs="Arial"/>
          <w:szCs w:val="24"/>
        </w:rPr>
        <w:t xml:space="preserve"> provid</w:t>
      </w:r>
      <w:r w:rsidR="00106B8F">
        <w:rPr>
          <w:rFonts w:cs="Arial"/>
          <w:szCs w:val="24"/>
        </w:rPr>
        <w:t>ed</w:t>
      </w:r>
      <w:r w:rsidRPr="0048788C">
        <w:rPr>
          <w:rFonts w:cs="Arial"/>
          <w:szCs w:val="24"/>
        </w:rPr>
        <w:t xml:space="preserve"> </w:t>
      </w:r>
      <w:r>
        <w:rPr>
          <w:rFonts w:cs="Arial"/>
          <w:szCs w:val="24"/>
        </w:rPr>
        <w:t>Promotions of Betting Odds</w:t>
      </w:r>
      <w:r w:rsidRPr="0048788C">
        <w:rPr>
          <w:rFonts w:cs="Arial"/>
          <w:szCs w:val="24"/>
        </w:rPr>
        <w:t xml:space="preserve">. </w:t>
      </w:r>
    </w:p>
    <w:p w14:paraId="5A33F6E7" w14:textId="10FC307A" w:rsidR="002A1D33" w:rsidRPr="0048788C" w:rsidRDefault="0012381B" w:rsidP="002A1D33">
      <w:pPr>
        <w:pStyle w:val="ABABodyText"/>
        <w:spacing w:before="120" w:line="276" w:lineRule="auto"/>
        <w:rPr>
          <w:rFonts w:ascii="Arial" w:hAnsi="Arial" w:cs="Arial"/>
          <w:sz w:val="20"/>
          <w:szCs w:val="24"/>
        </w:rPr>
      </w:pPr>
      <w:r w:rsidRPr="00BF2AB7">
        <w:rPr>
          <w:rFonts w:ascii="Arial" w:hAnsi="Arial" w:cs="Arial"/>
          <w:sz w:val="20"/>
        </w:rPr>
        <w:t>Presenter 1</w:t>
      </w:r>
      <w:r w:rsidR="002A1D33" w:rsidRPr="007F162F">
        <w:rPr>
          <w:rFonts w:ascii="Arial" w:hAnsi="Arial" w:cs="Arial"/>
          <w:sz w:val="20"/>
          <w:szCs w:val="24"/>
        </w:rPr>
        <w:t>’s</w:t>
      </w:r>
      <w:r w:rsidR="002A1D33">
        <w:rPr>
          <w:rFonts w:ascii="Arial" w:hAnsi="Arial" w:cs="Arial"/>
          <w:sz w:val="20"/>
          <w:szCs w:val="24"/>
        </w:rPr>
        <w:t xml:space="preserve"> segments</w:t>
      </w:r>
      <w:r w:rsidR="002A1D33" w:rsidRPr="0048788C">
        <w:rPr>
          <w:rFonts w:ascii="Arial" w:hAnsi="Arial" w:cs="Arial"/>
          <w:sz w:val="20"/>
          <w:szCs w:val="24"/>
        </w:rPr>
        <w:t xml:space="preserve"> </w:t>
      </w:r>
      <w:r w:rsidR="00106B8F">
        <w:rPr>
          <w:rFonts w:ascii="Arial" w:hAnsi="Arial" w:cs="Arial"/>
          <w:sz w:val="20"/>
          <w:szCs w:val="24"/>
        </w:rPr>
        <w:t>indicate that</w:t>
      </w:r>
      <w:r w:rsidR="002A1D33">
        <w:rPr>
          <w:rFonts w:ascii="Arial" w:hAnsi="Arial" w:cs="Arial"/>
          <w:sz w:val="20"/>
          <w:szCs w:val="24"/>
        </w:rPr>
        <w:t xml:space="preserve"> he </w:t>
      </w:r>
      <w:r w:rsidR="002A1D33" w:rsidRPr="0048788C">
        <w:rPr>
          <w:rFonts w:ascii="Arial" w:hAnsi="Arial" w:cs="Arial"/>
          <w:sz w:val="20"/>
          <w:szCs w:val="24"/>
        </w:rPr>
        <w:t>was an ESPN commentator</w:t>
      </w:r>
      <w:r w:rsidR="00106B8F">
        <w:rPr>
          <w:rFonts w:ascii="Arial" w:hAnsi="Arial" w:cs="Arial"/>
          <w:sz w:val="20"/>
          <w:szCs w:val="24"/>
        </w:rPr>
        <w:t xml:space="preserve"> who also</w:t>
      </w:r>
      <w:r w:rsidR="002A1D33" w:rsidRPr="0048788C">
        <w:rPr>
          <w:rFonts w:ascii="Arial" w:hAnsi="Arial" w:cs="Arial"/>
          <w:sz w:val="20"/>
          <w:szCs w:val="24"/>
        </w:rPr>
        <w:t xml:space="preserve"> provid</w:t>
      </w:r>
      <w:r w:rsidR="00106B8F">
        <w:rPr>
          <w:rFonts w:ascii="Arial" w:hAnsi="Arial" w:cs="Arial"/>
          <w:sz w:val="20"/>
          <w:szCs w:val="24"/>
        </w:rPr>
        <w:t>ed</w:t>
      </w:r>
      <w:r w:rsidR="002A1D33" w:rsidRPr="0048788C">
        <w:rPr>
          <w:rFonts w:ascii="Arial" w:hAnsi="Arial" w:cs="Arial"/>
          <w:sz w:val="20"/>
          <w:szCs w:val="24"/>
        </w:rPr>
        <w:t xml:space="preserve"> </w:t>
      </w:r>
      <w:r w:rsidR="002A1D33">
        <w:rPr>
          <w:rFonts w:ascii="Arial" w:hAnsi="Arial" w:cs="Arial"/>
          <w:sz w:val="20"/>
          <w:szCs w:val="24"/>
        </w:rPr>
        <w:t xml:space="preserve">Promotions of Betting Odds in </w:t>
      </w:r>
      <w:r w:rsidR="002A1D33" w:rsidRPr="0048788C">
        <w:rPr>
          <w:rFonts w:ascii="Arial" w:hAnsi="Arial" w:cs="Arial"/>
          <w:sz w:val="20"/>
          <w:szCs w:val="24"/>
        </w:rPr>
        <w:t>sponsored updates:</w:t>
      </w:r>
    </w:p>
    <w:p w14:paraId="1693DADB" w14:textId="0C7168E0" w:rsidR="002A1D33" w:rsidRPr="00131DF9" w:rsidRDefault="002A1D33" w:rsidP="002A1D33">
      <w:pPr>
        <w:pStyle w:val="ABABodyText"/>
        <w:numPr>
          <w:ilvl w:val="0"/>
          <w:numId w:val="2"/>
        </w:numPr>
        <w:spacing w:before="120" w:line="276" w:lineRule="auto"/>
        <w:rPr>
          <w:rFonts w:ascii="Arial" w:hAnsi="Arial" w:cs="Arial"/>
          <w:sz w:val="20"/>
        </w:rPr>
      </w:pPr>
      <w:r w:rsidRPr="00131DF9">
        <w:rPr>
          <w:rFonts w:ascii="Arial" w:hAnsi="Arial" w:cs="Arial"/>
          <w:sz w:val="20"/>
        </w:rPr>
        <w:t>Prior to Game 1</w:t>
      </w:r>
      <w:r w:rsidR="00106B8F">
        <w:rPr>
          <w:rFonts w:ascii="Arial" w:hAnsi="Arial" w:cs="Arial"/>
          <w:sz w:val="20"/>
        </w:rPr>
        <w:t>,</w:t>
      </w:r>
      <w:r w:rsidRPr="00131DF9">
        <w:rPr>
          <w:rFonts w:ascii="Arial" w:hAnsi="Arial" w:cs="Arial"/>
          <w:sz w:val="20"/>
        </w:rPr>
        <w:t xml:space="preserve"> </w:t>
      </w:r>
      <w:r w:rsidR="0012381B" w:rsidRPr="00BF2AB7">
        <w:rPr>
          <w:rFonts w:ascii="Arial" w:hAnsi="Arial" w:cs="Arial"/>
          <w:sz w:val="20"/>
        </w:rPr>
        <w:t>Presenter 1</w:t>
      </w:r>
      <w:r w:rsidRPr="00131DF9">
        <w:rPr>
          <w:rFonts w:ascii="Arial" w:hAnsi="Arial" w:cs="Arial"/>
          <w:sz w:val="20"/>
        </w:rPr>
        <w:t xml:space="preserve"> introduced himself by name and his Twitter handle was displayed on screen. </w:t>
      </w:r>
      <w:r w:rsidR="0012381B" w:rsidRPr="00BF2AB7">
        <w:rPr>
          <w:rFonts w:ascii="Arial" w:hAnsi="Arial" w:cs="Arial"/>
          <w:sz w:val="20"/>
        </w:rPr>
        <w:t>Presenter 1</w:t>
      </w:r>
      <w:r w:rsidRPr="00131DF9">
        <w:rPr>
          <w:rFonts w:ascii="Arial" w:hAnsi="Arial" w:cs="Arial"/>
          <w:sz w:val="20"/>
        </w:rPr>
        <w:t xml:space="preserve"> stated that he was providing a ‘</w:t>
      </w:r>
      <w:r>
        <w:rPr>
          <w:rFonts w:ascii="Arial" w:hAnsi="Arial" w:cs="Arial"/>
          <w:sz w:val="20"/>
        </w:rPr>
        <w:t>s</w:t>
      </w:r>
      <w:r w:rsidRPr="00131DF9">
        <w:rPr>
          <w:rFonts w:ascii="Arial" w:hAnsi="Arial" w:cs="Arial"/>
          <w:sz w:val="20"/>
        </w:rPr>
        <w:t xml:space="preserve">ports </w:t>
      </w:r>
      <w:r>
        <w:rPr>
          <w:rFonts w:ascii="Arial" w:hAnsi="Arial" w:cs="Arial"/>
          <w:sz w:val="20"/>
        </w:rPr>
        <w:t>c</w:t>
      </w:r>
      <w:r w:rsidRPr="00131DF9">
        <w:rPr>
          <w:rFonts w:ascii="Arial" w:hAnsi="Arial" w:cs="Arial"/>
          <w:sz w:val="20"/>
        </w:rPr>
        <w:t xml:space="preserve">entre update brought to you by </w:t>
      </w:r>
      <w:r w:rsidRPr="0048788C">
        <w:rPr>
          <w:rFonts w:ascii="Arial" w:hAnsi="Arial" w:cs="Arial"/>
          <w:sz w:val="20"/>
        </w:rPr>
        <w:t>[international betting company]</w:t>
      </w:r>
      <w:r w:rsidRPr="00131DF9">
        <w:rPr>
          <w:rFonts w:ascii="Arial" w:hAnsi="Arial" w:cs="Arial"/>
          <w:sz w:val="20"/>
        </w:rPr>
        <w:t xml:space="preserve"> here from FTX Arena in Miami…’. </w:t>
      </w:r>
      <w:r w:rsidR="0012381B" w:rsidRPr="00BF2AB7">
        <w:rPr>
          <w:rFonts w:ascii="Arial" w:hAnsi="Arial" w:cs="Arial"/>
          <w:sz w:val="20"/>
        </w:rPr>
        <w:t>Presenter 1</w:t>
      </w:r>
      <w:r>
        <w:rPr>
          <w:rFonts w:ascii="Arial" w:hAnsi="Arial" w:cs="Arial"/>
          <w:sz w:val="20"/>
        </w:rPr>
        <w:t xml:space="preserve"> also stated that he was providing a ‘sports centre update’ prior to Game 6. </w:t>
      </w:r>
      <w:r w:rsidRPr="00131DF9">
        <w:rPr>
          <w:rFonts w:ascii="Arial" w:hAnsi="Arial" w:cs="Arial"/>
          <w:sz w:val="20"/>
        </w:rPr>
        <w:t xml:space="preserve">The ACMA considers that </w:t>
      </w:r>
      <w:r w:rsidR="0012381B" w:rsidRPr="00BF2AB7">
        <w:rPr>
          <w:rFonts w:ascii="Arial" w:hAnsi="Arial" w:cs="Arial"/>
          <w:sz w:val="20"/>
        </w:rPr>
        <w:t>Presenter 1</w:t>
      </w:r>
      <w:r w:rsidRPr="007F162F">
        <w:rPr>
          <w:rFonts w:ascii="Arial" w:hAnsi="Arial" w:cs="Arial"/>
          <w:sz w:val="20"/>
        </w:rPr>
        <w:t>’s</w:t>
      </w:r>
      <w:r w:rsidRPr="00131DF9">
        <w:rPr>
          <w:rFonts w:ascii="Arial" w:hAnsi="Arial" w:cs="Arial"/>
          <w:sz w:val="20"/>
        </w:rPr>
        <w:t xml:space="preserve"> reference to a ‘</w:t>
      </w:r>
      <w:r>
        <w:rPr>
          <w:rFonts w:ascii="Arial" w:hAnsi="Arial" w:cs="Arial"/>
          <w:sz w:val="20"/>
        </w:rPr>
        <w:t>S</w:t>
      </w:r>
      <w:r w:rsidRPr="00131DF9">
        <w:rPr>
          <w:rFonts w:ascii="Arial" w:hAnsi="Arial" w:cs="Arial"/>
          <w:sz w:val="20"/>
        </w:rPr>
        <w:t xml:space="preserve">ports </w:t>
      </w:r>
      <w:r>
        <w:rPr>
          <w:rFonts w:ascii="Arial" w:hAnsi="Arial" w:cs="Arial"/>
          <w:sz w:val="20"/>
        </w:rPr>
        <w:t>C</w:t>
      </w:r>
      <w:r w:rsidRPr="00131DF9">
        <w:rPr>
          <w:rFonts w:ascii="Arial" w:hAnsi="Arial" w:cs="Arial"/>
          <w:sz w:val="20"/>
        </w:rPr>
        <w:t xml:space="preserve">entre update’ </w:t>
      </w:r>
      <w:r w:rsidR="00396B51">
        <w:rPr>
          <w:rFonts w:ascii="Arial" w:hAnsi="Arial" w:cs="Arial"/>
          <w:sz w:val="20"/>
        </w:rPr>
        <w:t>indicates</w:t>
      </w:r>
      <w:r w:rsidRPr="00131DF9">
        <w:rPr>
          <w:rFonts w:ascii="Arial" w:hAnsi="Arial" w:cs="Arial"/>
          <w:sz w:val="20"/>
        </w:rPr>
        <w:t xml:space="preserve"> that he </w:t>
      </w:r>
      <w:r w:rsidR="00396B51">
        <w:rPr>
          <w:rFonts w:ascii="Arial" w:hAnsi="Arial" w:cs="Arial"/>
          <w:sz w:val="20"/>
        </w:rPr>
        <w:t>was</w:t>
      </w:r>
      <w:r w:rsidRPr="00131DF9">
        <w:rPr>
          <w:rFonts w:ascii="Arial" w:hAnsi="Arial" w:cs="Arial"/>
          <w:sz w:val="20"/>
        </w:rPr>
        <w:t xml:space="preserve"> appearing or affiliated with ESPN</w:t>
      </w:r>
      <w:r w:rsidR="00396B51">
        <w:rPr>
          <w:rFonts w:ascii="Arial" w:hAnsi="Arial" w:cs="Arial"/>
          <w:sz w:val="20"/>
        </w:rPr>
        <w:t>,</w:t>
      </w:r>
      <w:r w:rsidRPr="00131DF9">
        <w:rPr>
          <w:rFonts w:ascii="Arial" w:hAnsi="Arial" w:cs="Arial"/>
          <w:sz w:val="20"/>
        </w:rPr>
        <w:t xml:space="preserve"> as Sports Centre is a </w:t>
      </w:r>
      <w:r w:rsidR="009F182E">
        <w:rPr>
          <w:rFonts w:ascii="Arial" w:hAnsi="Arial" w:cs="Arial"/>
          <w:sz w:val="20"/>
        </w:rPr>
        <w:t xml:space="preserve">major </w:t>
      </w:r>
      <w:r w:rsidRPr="00131DF9">
        <w:rPr>
          <w:rFonts w:ascii="Arial" w:hAnsi="Arial" w:cs="Arial"/>
          <w:sz w:val="20"/>
        </w:rPr>
        <w:t>ESPN sports news TV program.</w:t>
      </w:r>
      <w:r w:rsidRPr="00131DF9">
        <w:rPr>
          <w:rStyle w:val="FootnoteReference"/>
          <w:rFonts w:ascii="Arial" w:hAnsi="Arial" w:cs="Arial"/>
          <w:sz w:val="20"/>
        </w:rPr>
        <w:footnoteReference w:id="2"/>
      </w:r>
      <w:r w:rsidRPr="00131DF9">
        <w:rPr>
          <w:rFonts w:ascii="Arial" w:hAnsi="Arial" w:cs="Arial"/>
          <w:sz w:val="20"/>
        </w:rPr>
        <w:t xml:space="preserve"> </w:t>
      </w:r>
    </w:p>
    <w:p w14:paraId="413FBC5B" w14:textId="586A4702" w:rsidR="002A1D33" w:rsidRPr="00131DF9" w:rsidRDefault="002A1D33" w:rsidP="002A1D33">
      <w:pPr>
        <w:pStyle w:val="ABABodyText"/>
        <w:numPr>
          <w:ilvl w:val="0"/>
          <w:numId w:val="2"/>
        </w:numPr>
        <w:spacing w:before="120" w:line="276" w:lineRule="auto"/>
        <w:rPr>
          <w:rFonts w:ascii="Arial" w:hAnsi="Arial" w:cs="Arial"/>
          <w:sz w:val="20"/>
        </w:rPr>
      </w:pPr>
      <w:r w:rsidRPr="00131DF9">
        <w:rPr>
          <w:rFonts w:ascii="Arial" w:hAnsi="Arial" w:cs="Arial"/>
          <w:sz w:val="20"/>
        </w:rPr>
        <w:t xml:space="preserve">The ACMA notes </w:t>
      </w:r>
      <w:r w:rsidRPr="0048788C">
        <w:rPr>
          <w:rFonts w:ascii="Arial" w:hAnsi="Arial" w:cs="Arial"/>
          <w:sz w:val="20"/>
        </w:rPr>
        <w:t>the Licensee’s</w:t>
      </w:r>
      <w:r w:rsidRPr="00131DF9">
        <w:rPr>
          <w:rFonts w:ascii="Arial" w:hAnsi="Arial" w:cs="Arial"/>
          <w:sz w:val="20"/>
        </w:rPr>
        <w:t xml:space="preserve"> observation that </w:t>
      </w:r>
      <w:r w:rsidR="00DE2138" w:rsidRPr="00BF2AB7">
        <w:rPr>
          <w:rFonts w:ascii="Arial" w:hAnsi="Arial" w:cs="Arial"/>
          <w:sz w:val="20"/>
        </w:rPr>
        <w:t>Presenter 1</w:t>
      </w:r>
      <w:r w:rsidRPr="00131DF9">
        <w:rPr>
          <w:rFonts w:ascii="Arial" w:hAnsi="Arial" w:cs="Arial"/>
          <w:sz w:val="20"/>
        </w:rPr>
        <w:t xml:space="preserve"> did not appear alongside ESPN commentators. However, prior to Game 1 and Game 6</w:t>
      </w:r>
      <w:r w:rsidR="00303C82" w:rsidRPr="007F162F">
        <w:rPr>
          <w:rFonts w:ascii="Arial" w:hAnsi="Arial" w:cs="Arial"/>
          <w:sz w:val="20"/>
        </w:rPr>
        <w:t>,</w:t>
      </w:r>
      <w:r w:rsidRPr="007F162F">
        <w:rPr>
          <w:rFonts w:ascii="Arial" w:hAnsi="Arial" w:cs="Arial"/>
          <w:sz w:val="20"/>
        </w:rPr>
        <w:t xml:space="preserve"> </w:t>
      </w:r>
      <w:r w:rsidR="00DE2138" w:rsidRPr="00BF2AB7">
        <w:rPr>
          <w:rFonts w:ascii="Arial" w:hAnsi="Arial" w:cs="Arial"/>
          <w:sz w:val="20"/>
        </w:rPr>
        <w:t>Presenter 1</w:t>
      </w:r>
      <w:r w:rsidRPr="00131DF9">
        <w:rPr>
          <w:rFonts w:ascii="Arial" w:hAnsi="Arial" w:cs="Arial"/>
          <w:sz w:val="20"/>
        </w:rPr>
        <w:t xml:space="preserve"> appeared in front of a basketball court wearing a suit and earpiece with ESPN-branded equipment. </w:t>
      </w:r>
      <w:r w:rsidR="00DE2138" w:rsidRPr="00BF2AB7">
        <w:rPr>
          <w:rFonts w:ascii="Arial" w:hAnsi="Arial" w:cs="Arial"/>
          <w:sz w:val="20"/>
        </w:rPr>
        <w:t>Presenter 1</w:t>
      </w:r>
      <w:r w:rsidRPr="007F162F">
        <w:rPr>
          <w:rFonts w:ascii="Arial" w:hAnsi="Arial" w:cs="Arial"/>
          <w:sz w:val="20"/>
        </w:rPr>
        <w:t>’s</w:t>
      </w:r>
      <w:r w:rsidRPr="00131DF9">
        <w:rPr>
          <w:rFonts w:ascii="Arial" w:hAnsi="Arial" w:cs="Arial"/>
          <w:sz w:val="20"/>
        </w:rPr>
        <w:t xml:space="preserve"> attire in Game 1 was like other ESPN courtside commentators who were featured in Game 1</w:t>
      </w:r>
      <w:r>
        <w:rPr>
          <w:rFonts w:ascii="Arial" w:hAnsi="Arial" w:cs="Arial"/>
          <w:sz w:val="20"/>
        </w:rPr>
        <w:t>.</w:t>
      </w:r>
      <w:r w:rsidRPr="00131DF9">
        <w:rPr>
          <w:rFonts w:ascii="Arial" w:hAnsi="Arial" w:cs="Arial"/>
          <w:sz w:val="20"/>
        </w:rPr>
        <w:t xml:space="preserve"> </w:t>
      </w:r>
    </w:p>
    <w:p w14:paraId="4529BCC2" w14:textId="209DF957" w:rsidR="002A1D33" w:rsidRPr="00131DF9" w:rsidRDefault="002A1D33" w:rsidP="002A1D33">
      <w:pPr>
        <w:pStyle w:val="ABABodyText"/>
        <w:numPr>
          <w:ilvl w:val="0"/>
          <w:numId w:val="2"/>
        </w:numPr>
        <w:spacing w:before="120" w:line="276" w:lineRule="auto"/>
        <w:rPr>
          <w:rFonts w:ascii="Arial" w:hAnsi="Arial" w:cs="Arial"/>
          <w:sz w:val="20"/>
        </w:rPr>
      </w:pPr>
      <w:r w:rsidRPr="00131DF9">
        <w:rPr>
          <w:rFonts w:ascii="Arial" w:hAnsi="Arial" w:cs="Arial"/>
          <w:sz w:val="20"/>
        </w:rPr>
        <w:t xml:space="preserve">Game 1 was held at FTX Arena and </w:t>
      </w:r>
      <w:r w:rsidR="00DE2138" w:rsidRPr="00BF2AB7">
        <w:rPr>
          <w:rFonts w:ascii="Arial" w:hAnsi="Arial" w:cs="Arial"/>
          <w:sz w:val="20"/>
        </w:rPr>
        <w:t>Presenter 1</w:t>
      </w:r>
      <w:r w:rsidRPr="00131DF9">
        <w:rPr>
          <w:rFonts w:ascii="Arial" w:hAnsi="Arial" w:cs="Arial"/>
          <w:sz w:val="20"/>
        </w:rPr>
        <w:t xml:space="preserve"> appeared to be at or around the venue when discussing the odds for the Australian market. Ahead of Game 1</w:t>
      </w:r>
      <w:r w:rsidR="00396B51">
        <w:rPr>
          <w:rFonts w:ascii="Arial" w:hAnsi="Arial" w:cs="Arial"/>
          <w:sz w:val="20"/>
        </w:rPr>
        <w:t>,</w:t>
      </w:r>
      <w:r w:rsidRPr="00131DF9">
        <w:rPr>
          <w:rFonts w:ascii="Arial" w:hAnsi="Arial" w:cs="Arial"/>
          <w:sz w:val="20"/>
        </w:rPr>
        <w:t xml:space="preserve"> </w:t>
      </w:r>
      <w:r w:rsidR="00DE2138" w:rsidRPr="00BF2AB7">
        <w:rPr>
          <w:rFonts w:ascii="Arial" w:hAnsi="Arial" w:cs="Arial"/>
          <w:sz w:val="20"/>
        </w:rPr>
        <w:t>Presenter 1</w:t>
      </w:r>
      <w:r w:rsidRPr="00131DF9">
        <w:rPr>
          <w:rFonts w:ascii="Arial" w:hAnsi="Arial" w:cs="Arial"/>
          <w:sz w:val="20"/>
        </w:rPr>
        <w:t xml:space="preserve"> stated he was ‘…here from FTX Arena in Miami’. </w:t>
      </w:r>
      <w:r w:rsidR="008A3868">
        <w:rPr>
          <w:rFonts w:ascii="Arial" w:hAnsi="Arial" w:cs="Arial"/>
          <w:sz w:val="20"/>
        </w:rPr>
        <w:t>Presenter 1</w:t>
      </w:r>
      <w:r w:rsidR="008A3868" w:rsidRPr="00131DF9">
        <w:rPr>
          <w:rFonts w:ascii="Arial" w:hAnsi="Arial" w:cs="Arial"/>
          <w:sz w:val="20"/>
        </w:rPr>
        <w:t xml:space="preserve"> </w:t>
      </w:r>
      <w:r w:rsidRPr="00131DF9">
        <w:rPr>
          <w:rFonts w:ascii="Arial" w:hAnsi="Arial" w:cs="Arial"/>
          <w:sz w:val="20"/>
        </w:rPr>
        <w:t xml:space="preserve">also appeared courtside </w:t>
      </w:r>
      <w:r w:rsidRPr="0048788C">
        <w:rPr>
          <w:rFonts w:ascii="Arial" w:hAnsi="Arial" w:cs="Arial"/>
          <w:sz w:val="20"/>
        </w:rPr>
        <w:t>before Game 6 (‘</w:t>
      </w:r>
      <w:r w:rsidR="006C7343">
        <w:rPr>
          <w:rFonts w:ascii="Arial" w:hAnsi="Arial" w:cs="Arial"/>
          <w:sz w:val="20"/>
        </w:rPr>
        <w:t>[Presenter 1]</w:t>
      </w:r>
      <w:r w:rsidRPr="0048788C">
        <w:rPr>
          <w:rFonts w:ascii="Arial" w:hAnsi="Arial" w:cs="Arial"/>
          <w:sz w:val="20"/>
        </w:rPr>
        <w:t xml:space="preserve"> here from Game 6’).</w:t>
      </w:r>
      <w:r w:rsidRPr="00131DF9">
        <w:rPr>
          <w:rFonts w:ascii="Arial" w:hAnsi="Arial" w:cs="Arial"/>
          <w:sz w:val="20"/>
        </w:rPr>
        <w:t xml:space="preserve"> </w:t>
      </w:r>
      <w:r w:rsidR="00DE2138" w:rsidRPr="00BF2AB7">
        <w:rPr>
          <w:rFonts w:ascii="Arial" w:hAnsi="Arial" w:cs="Arial"/>
          <w:sz w:val="20"/>
        </w:rPr>
        <w:t>Presenter 1</w:t>
      </w:r>
      <w:r w:rsidRPr="00131DF9">
        <w:rPr>
          <w:rFonts w:ascii="Arial" w:hAnsi="Arial" w:cs="Arial"/>
          <w:sz w:val="20"/>
        </w:rPr>
        <w:t xml:space="preserve"> was not sufficiently distinguished from ESPN courtside commentators when he appeared at or around the venue of Game 1 and Game 6.</w:t>
      </w:r>
    </w:p>
    <w:p w14:paraId="6D3B462D" w14:textId="286C2F03" w:rsidR="002A1D33" w:rsidRPr="0048788C" w:rsidRDefault="002A1D33" w:rsidP="002A1D33">
      <w:pPr>
        <w:pStyle w:val="ABABodyText"/>
        <w:numPr>
          <w:ilvl w:val="0"/>
          <w:numId w:val="2"/>
        </w:numPr>
        <w:spacing w:before="120" w:line="276" w:lineRule="auto"/>
        <w:rPr>
          <w:rFonts w:ascii="Arial" w:hAnsi="Arial" w:cs="Arial"/>
          <w:sz w:val="20"/>
        </w:rPr>
      </w:pPr>
      <w:r w:rsidRPr="00131DF9">
        <w:rPr>
          <w:rFonts w:ascii="Arial" w:hAnsi="Arial" w:cs="Arial"/>
          <w:sz w:val="20"/>
        </w:rPr>
        <w:t>As noted above, the Code definition of a ‘commentator’ includes a person calling</w:t>
      </w:r>
      <w:r w:rsidR="00396B51">
        <w:rPr>
          <w:rFonts w:ascii="Arial" w:hAnsi="Arial" w:cs="Arial"/>
          <w:sz w:val="20"/>
        </w:rPr>
        <w:t>,</w:t>
      </w:r>
      <w:r w:rsidRPr="00131DF9">
        <w:rPr>
          <w:rFonts w:ascii="Arial" w:hAnsi="Arial" w:cs="Arial"/>
          <w:sz w:val="20"/>
        </w:rPr>
        <w:t xml:space="preserve"> or </w:t>
      </w:r>
      <w:r w:rsidRPr="00F75956">
        <w:rPr>
          <w:rFonts w:ascii="Arial" w:hAnsi="Arial" w:cs="Arial"/>
          <w:b/>
          <w:bCs/>
          <w:sz w:val="20"/>
        </w:rPr>
        <w:t>providing analysis on</w:t>
      </w:r>
      <w:r w:rsidR="00396B51">
        <w:rPr>
          <w:rFonts w:ascii="Arial" w:hAnsi="Arial" w:cs="Arial"/>
          <w:sz w:val="20"/>
        </w:rPr>
        <w:t xml:space="preserve"> (our emphasis)</w:t>
      </w:r>
      <w:r w:rsidRPr="00131DF9">
        <w:rPr>
          <w:rFonts w:ascii="Arial" w:hAnsi="Arial" w:cs="Arial"/>
          <w:sz w:val="20"/>
        </w:rPr>
        <w:t xml:space="preserve"> the</w:t>
      </w:r>
      <w:r w:rsidR="00396B51">
        <w:rPr>
          <w:rFonts w:ascii="Arial" w:hAnsi="Arial" w:cs="Arial"/>
          <w:sz w:val="20"/>
        </w:rPr>
        <w:t xml:space="preserve"> sporting event or</w:t>
      </w:r>
      <w:r w:rsidRPr="00131DF9">
        <w:rPr>
          <w:rFonts w:ascii="Arial" w:hAnsi="Arial" w:cs="Arial"/>
          <w:sz w:val="20"/>
        </w:rPr>
        <w:t xml:space="preserve"> game. </w:t>
      </w:r>
      <w:r w:rsidR="00396B51">
        <w:rPr>
          <w:rFonts w:ascii="Arial" w:hAnsi="Arial" w:cs="Arial"/>
          <w:sz w:val="20"/>
        </w:rPr>
        <w:t>It is clear from</w:t>
      </w:r>
      <w:r w:rsidR="00636BFA">
        <w:rPr>
          <w:rFonts w:ascii="Arial" w:hAnsi="Arial" w:cs="Arial"/>
          <w:sz w:val="20"/>
        </w:rPr>
        <w:t xml:space="preserve"> the terms of clause 5 and the definition of </w:t>
      </w:r>
      <w:r w:rsidR="00F75956">
        <w:rPr>
          <w:rFonts w:ascii="Arial" w:hAnsi="Arial" w:cs="Arial"/>
          <w:sz w:val="20"/>
        </w:rPr>
        <w:t>‘</w:t>
      </w:r>
      <w:r w:rsidR="00636BFA">
        <w:rPr>
          <w:rFonts w:ascii="Arial" w:hAnsi="Arial" w:cs="Arial"/>
          <w:sz w:val="20"/>
        </w:rPr>
        <w:t>Live Sporting Event</w:t>
      </w:r>
      <w:r w:rsidR="00F75956">
        <w:rPr>
          <w:rFonts w:ascii="Arial" w:hAnsi="Arial" w:cs="Arial"/>
          <w:sz w:val="20"/>
        </w:rPr>
        <w:t>’</w:t>
      </w:r>
      <w:r w:rsidR="00636BFA">
        <w:rPr>
          <w:rFonts w:ascii="Arial" w:hAnsi="Arial" w:cs="Arial"/>
          <w:sz w:val="20"/>
        </w:rPr>
        <w:t xml:space="preserve"> that the broadcast of a live sporting event, such as these NBA games, includes both the actual run of play, and commentary and analysis provided for up to 30 minutes before, and 30 minutes after, the actual run of play. </w:t>
      </w:r>
      <w:r w:rsidR="00DE2138" w:rsidRPr="00BF2AB7">
        <w:rPr>
          <w:rFonts w:ascii="Arial" w:hAnsi="Arial" w:cs="Arial"/>
          <w:sz w:val="20"/>
        </w:rPr>
        <w:t>Presenter 1</w:t>
      </w:r>
      <w:r w:rsidRPr="00131DF9">
        <w:rPr>
          <w:rFonts w:ascii="Arial" w:hAnsi="Arial" w:cs="Arial"/>
          <w:sz w:val="20"/>
        </w:rPr>
        <w:t xml:space="preserve"> analysed the previous performance of players while giving the odds prior to Game 1</w:t>
      </w:r>
      <w:r>
        <w:rPr>
          <w:rFonts w:ascii="Arial" w:hAnsi="Arial" w:cs="Arial"/>
          <w:sz w:val="20"/>
        </w:rPr>
        <w:t xml:space="preserve"> and Game 6. For example</w:t>
      </w:r>
      <w:r w:rsidR="00636BFA">
        <w:rPr>
          <w:rFonts w:ascii="Arial" w:hAnsi="Arial" w:cs="Arial"/>
          <w:sz w:val="20"/>
        </w:rPr>
        <w:t>,</w:t>
      </w:r>
      <w:r>
        <w:rPr>
          <w:rFonts w:ascii="Arial" w:hAnsi="Arial" w:cs="Arial"/>
          <w:sz w:val="20"/>
        </w:rPr>
        <w:t xml:space="preserve"> prior to Game 1</w:t>
      </w:r>
      <w:r w:rsidR="003A5E7B">
        <w:rPr>
          <w:rFonts w:ascii="Arial" w:hAnsi="Arial" w:cs="Arial"/>
          <w:sz w:val="20"/>
        </w:rPr>
        <w:t>,</w:t>
      </w:r>
      <w:r>
        <w:rPr>
          <w:rFonts w:ascii="Arial" w:hAnsi="Arial" w:cs="Arial"/>
          <w:sz w:val="20"/>
        </w:rPr>
        <w:t xml:space="preserve"> </w:t>
      </w:r>
      <w:r w:rsidR="00DE2138" w:rsidRPr="00BF2AB7">
        <w:rPr>
          <w:rFonts w:ascii="Arial" w:hAnsi="Arial" w:cs="Arial"/>
          <w:sz w:val="20"/>
        </w:rPr>
        <w:t>Presenter 1</w:t>
      </w:r>
      <w:r w:rsidR="0023127D">
        <w:rPr>
          <w:rFonts w:ascii="Arial" w:hAnsi="Arial" w:cs="Arial"/>
          <w:sz w:val="20"/>
        </w:rPr>
        <w:t xml:space="preserve"> </w:t>
      </w:r>
      <w:r>
        <w:rPr>
          <w:rFonts w:ascii="Arial" w:hAnsi="Arial" w:cs="Arial"/>
          <w:sz w:val="20"/>
        </w:rPr>
        <w:t>stated:</w:t>
      </w:r>
      <w:r w:rsidRPr="00131DF9">
        <w:rPr>
          <w:rFonts w:ascii="Arial" w:hAnsi="Arial" w:cs="Arial"/>
          <w:sz w:val="20"/>
        </w:rPr>
        <w:t xml:space="preserve"> </w:t>
      </w:r>
    </w:p>
    <w:p w14:paraId="1600152D" w14:textId="77777777" w:rsidR="002A1D33" w:rsidRPr="0048788C" w:rsidRDefault="002A1D33" w:rsidP="002A1D33">
      <w:pPr>
        <w:pStyle w:val="ABABodyText"/>
        <w:spacing w:before="120" w:line="276" w:lineRule="auto"/>
        <w:ind w:left="720"/>
        <w:rPr>
          <w:rFonts w:ascii="Arial" w:hAnsi="Arial" w:cs="Arial"/>
          <w:sz w:val="18"/>
          <w:szCs w:val="18"/>
        </w:rPr>
      </w:pPr>
      <w:r w:rsidRPr="0048788C">
        <w:rPr>
          <w:rFonts w:ascii="Arial" w:hAnsi="Arial" w:cs="Arial"/>
          <w:sz w:val="18"/>
          <w:szCs w:val="18"/>
        </w:rPr>
        <w:t xml:space="preserve">‘Jalen Brown to go over 6 and a half rebounds. He’s gone over 7 in 4 or 5 games in this series too. And the Celtics, 2 close out games thus far he’s gone for 8 in each of those…’ </w:t>
      </w:r>
    </w:p>
    <w:p w14:paraId="1C391752" w14:textId="3359CE76" w:rsidR="002A1D33" w:rsidRPr="00131DF9" w:rsidRDefault="00DE2138" w:rsidP="002A1D33">
      <w:pPr>
        <w:pStyle w:val="ABABodyText"/>
        <w:numPr>
          <w:ilvl w:val="0"/>
          <w:numId w:val="2"/>
        </w:numPr>
        <w:spacing w:before="120" w:line="276" w:lineRule="auto"/>
        <w:rPr>
          <w:rFonts w:ascii="Arial" w:hAnsi="Arial" w:cs="Arial"/>
          <w:sz w:val="20"/>
        </w:rPr>
      </w:pPr>
      <w:r w:rsidRPr="00BF2AB7">
        <w:rPr>
          <w:rFonts w:ascii="Arial" w:hAnsi="Arial" w:cs="Arial"/>
          <w:sz w:val="20"/>
        </w:rPr>
        <w:t>Presenter 1</w:t>
      </w:r>
      <w:r w:rsidR="002A1D33" w:rsidRPr="00131DF9">
        <w:rPr>
          <w:rFonts w:ascii="Arial" w:hAnsi="Arial" w:cs="Arial"/>
          <w:sz w:val="20"/>
        </w:rPr>
        <w:t xml:space="preserve"> also analysed the performance of players in Game 1 during breaks in play: ‘Each of these first 2 quarters of the series so far have been an absolute nightmare for Miami offensively. They started the game over seven from the floor. Worst of any team in any starting first quarter in any game thus far this post season…’</w:t>
      </w:r>
      <w:r w:rsidR="002A1D33" w:rsidRPr="00131DF9" w:rsidDel="00FA7048">
        <w:rPr>
          <w:rFonts w:ascii="Arial" w:hAnsi="Arial" w:cs="Arial"/>
          <w:sz w:val="20"/>
        </w:rPr>
        <w:t xml:space="preserve"> </w:t>
      </w:r>
      <w:r w:rsidR="002A1D33" w:rsidRPr="00131DF9">
        <w:rPr>
          <w:rFonts w:ascii="Arial" w:hAnsi="Arial" w:cs="Arial"/>
          <w:sz w:val="20"/>
        </w:rPr>
        <w:t xml:space="preserve"> </w:t>
      </w:r>
      <w:r w:rsidRPr="00BF2AB7">
        <w:rPr>
          <w:rFonts w:ascii="Arial" w:hAnsi="Arial" w:cs="Arial"/>
          <w:sz w:val="20"/>
        </w:rPr>
        <w:t>Presenter 1</w:t>
      </w:r>
      <w:r w:rsidR="002A1D33" w:rsidRPr="003A5E7B">
        <w:rPr>
          <w:rFonts w:ascii="Arial" w:hAnsi="Arial" w:cs="Arial"/>
          <w:sz w:val="20"/>
        </w:rPr>
        <w:t>’s</w:t>
      </w:r>
      <w:r w:rsidR="002A1D33" w:rsidRPr="00131DF9">
        <w:rPr>
          <w:rFonts w:ascii="Arial" w:hAnsi="Arial" w:cs="Arial"/>
          <w:sz w:val="20"/>
        </w:rPr>
        <w:t xml:space="preserve"> analysis </w:t>
      </w:r>
      <w:r w:rsidR="00636BFA">
        <w:rPr>
          <w:rFonts w:ascii="Arial" w:hAnsi="Arial" w:cs="Arial"/>
          <w:sz w:val="20"/>
        </w:rPr>
        <w:t>indicates</w:t>
      </w:r>
      <w:r w:rsidR="002A1D33" w:rsidRPr="00131DF9">
        <w:rPr>
          <w:rFonts w:ascii="Arial" w:hAnsi="Arial" w:cs="Arial"/>
          <w:sz w:val="20"/>
        </w:rPr>
        <w:t xml:space="preserve"> that </w:t>
      </w:r>
      <w:r w:rsidRPr="00BF2AB7">
        <w:rPr>
          <w:rFonts w:ascii="Arial" w:hAnsi="Arial" w:cs="Arial"/>
          <w:sz w:val="20"/>
        </w:rPr>
        <w:t>Presenter 1</w:t>
      </w:r>
      <w:r w:rsidR="002A1D33" w:rsidRPr="00131DF9">
        <w:rPr>
          <w:rFonts w:ascii="Arial" w:hAnsi="Arial" w:cs="Arial"/>
          <w:sz w:val="20"/>
        </w:rPr>
        <w:t xml:space="preserve"> was </w:t>
      </w:r>
      <w:r w:rsidR="002A1D33">
        <w:rPr>
          <w:rFonts w:ascii="Arial" w:hAnsi="Arial" w:cs="Arial"/>
          <w:sz w:val="20"/>
        </w:rPr>
        <w:t xml:space="preserve">also </w:t>
      </w:r>
      <w:r w:rsidR="002A1D33" w:rsidRPr="00131DF9">
        <w:rPr>
          <w:rFonts w:ascii="Arial" w:hAnsi="Arial" w:cs="Arial"/>
          <w:sz w:val="20"/>
        </w:rPr>
        <w:t>appearing as a ‘commentator’ before the game</w:t>
      </w:r>
      <w:r w:rsidR="00636BFA">
        <w:rPr>
          <w:rFonts w:ascii="Arial" w:hAnsi="Arial" w:cs="Arial"/>
          <w:sz w:val="20"/>
        </w:rPr>
        <w:t>,</w:t>
      </w:r>
      <w:r w:rsidR="002A1D33">
        <w:rPr>
          <w:rFonts w:ascii="Arial" w:hAnsi="Arial" w:cs="Arial"/>
          <w:sz w:val="20"/>
        </w:rPr>
        <w:t xml:space="preserve"> when he provided the betting odds</w:t>
      </w:r>
      <w:r w:rsidR="002A1D33" w:rsidRPr="00131DF9">
        <w:rPr>
          <w:rFonts w:ascii="Arial" w:hAnsi="Arial" w:cs="Arial"/>
          <w:sz w:val="20"/>
        </w:rPr>
        <w:t>.</w:t>
      </w:r>
    </w:p>
    <w:p w14:paraId="22A13548" w14:textId="1752636E" w:rsidR="00C92097" w:rsidRPr="00EB01F5" w:rsidRDefault="000B0E6F" w:rsidP="002A1D33">
      <w:pPr>
        <w:pStyle w:val="ABABodyText"/>
        <w:spacing w:before="120" w:line="276" w:lineRule="auto"/>
        <w:rPr>
          <w:rFonts w:ascii="Arial" w:hAnsi="Arial" w:cs="Arial"/>
          <w:sz w:val="20"/>
          <w:szCs w:val="24"/>
        </w:rPr>
      </w:pPr>
      <w:r>
        <w:rPr>
          <w:rFonts w:ascii="Arial" w:hAnsi="Arial" w:cs="Arial"/>
          <w:sz w:val="20"/>
          <w:szCs w:val="24"/>
        </w:rPr>
        <w:lastRenderedPageBreak/>
        <w:t>T</w:t>
      </w:r>
      <w:r w:rsidR="0095474F" w:rsidRPr="001B170D">
        <w:rPr>
          <w:rFonts w:ascii="Arial" w:hAnsi="Arial" w:cs="Arial"/>
          <w:sz w:val="20"/>
          <w:szCs w:val="24"/>
        </w:rPr>
        <w:t xml:space="preserve">he Licensee </w:t>
      </w:r>
      <w:r w:rsidR="00CF27C4" w:rsidRPr="00EB01F5">
        <w:rPr>
          <w:rFonts w:ascii="Arial" w:hAnsi="Arial" w:cs="Arial"/>
          <w:sz w:val="20"/>
          <w:szCs w:val="24"/>
        </w:rPr>
        <w:t xml:space="preserve">and the </w:t>
      </w:r>
      <w:r w:rsidR="00B27B52" w:rsidRPr="00EB01F5">
        <w:rPr>
          <w:rFonts w:ascii="Arial" w:hAnsi="Arial" w:cs="Arial"/>
          <w:sz w:val="20"/>
          <w:szCs w:val="24"/>
        </w:rPr>
        <w:t>C</w:t>
      </w:r>
      <w:r w:rsidR="00CF27C4" w:rsidRPr="00EB01F5">
        <w:rPr>
          <w:rFonts w:ascii="Arial" w:hAnsi="Arial" w:cs="Arial"/>
          <w:sz w:val="20"/>
          <w:szCs w:val="24"/>
        </w:rPr>
        <w:t xml:space="preserve">hannel </w:t>
      </w:r>
      <w:r w:rsidR="00B27B52" w:rsidRPr="00EB01F5">
        <w:rPr>
          <w:rFonts w:ascii="Arial" w:hAnsi="Arial" w:cs="Arial"/>
          <w:sz w:val="20"/>
          <w:szCs w:val="24"/>
        </w:rPr>
        <w:t>S</w:t>
      </w:r>
      <w:r w:rsidR="00CF27C4" w:rsidRPr="00EB01F5">
        <w:rPr>
          <w:rFonts w:ascii="Arial" w:hAnsi="Arial" w:cs="Arial"/>
          <w:sz w:val="20"/>
          <w:szCs w:val="24"/>
        </w:rPr>
        <w:t>upplier</w:t>
      </w:r>
      <w:r>
        <w:rPr>
          <w:rFonts w:ascii="Arial" w:hAnsi="Arial" w:cs="Arial"/>
          <w:sz w:val="20"/>
          <w:szCs w:val="24"/>
        </w:rPr>
        <w:t xml:space="preserve"> further</w:t>
      </w:r>
      <w:r w:rsidR="00CF27C4" w:rsidRPr="00EB01F5">
        <w:rPr>
          <w:rFonts w:ascii="Arial" w:hAnsi="Arial" w:cs="Arial"/>
          <w:sz w:val="20"/>
          <w:szCs w:val="24"/>
        </w:rPr>
        <w:t xml:space="preserve"> </w:t>
      </w:r>
      <w:r w:rsidR="00B27B52" w:rsidRPr="00EB01F5">
        <w:rPr>
          <w:rFonts w:ascii="Arial" w:hAnsi="Arial" w:cs="Arial"/>
          <w:sz w:val="20"/>
          <w:szCs w:val="24"/>
        </w:rPr>
        <w:t xml:space="preserve">submitted that </w:t>
      </w:r>
      <w:r w:rsidR="00DE2138" w:rsidRPr="00BF2AB7">
        <w:rPr>
          <w:rFonts w:ascii="Arial" w:hAnsi="Arial" w:cs="Arial"/>
          <w:sz w:val="20"/>
        </w:rPr>
        <w:t>Presenter 1</w:t>
      </w:r>
      <w:r w:rsidR="001B13CC" w:rsidRPr="003A5E7B">
        <w:rPr>
          <w:rFonts w:ascii="Arial" w:hAnsi="Arial" w:cs="Arial"/>
          <w:sz w:val="20"/>
          <w:szCs w:val="24"/>
        </w:rPr>
        <w:t>’s</w:t>
      </w:r>
      <w:r w:rsidR="001B13CC" w:rsidRPr="00EB01F5">
        <w:rPr>
          <w:rFonts w:ascii="Arial" w:hAnsi="Arial" w:cs="Arial"/>
          <w:sz w:val="20"/>
          <w:szCs w:val="24"/>
        </w:rPr>
        <w:t xml:space="preserve"> segments did not reflect that he was a </w:t>
      </w:r>
      <w:r w:rsidR="000853A7">
        <w:rPr>
          <w:rFonts w:ascii="Arial" w:hAnsi="Arial" w:cs="Arial"/>
          <w:sz w:val="20"/>
          <w:szCs w:val="24"/>
        </w:rPr>
        <w:t>‘</w:t>
      </w:r>
      <w:r w:rsidR="001B13CC" w:rsidRPr="00EB01F5">
        <w:rPr>
          <w:rFonts w:ascii="Arial" w:hAnsi="Arial" w:cs="Arial"/>
          <w:sz w:val="20"/>
          <w:szCs w:val="24"/>
        </w:rPr>
        <w:t>commentator</w:t>
      </w:r>
      <w:r w:rsidR="000853A7">
        <w:rPr>
          <w:rFonts w:ascii="Arial" w:hAnsi="Arial" w:cs="Arial"/>
          <w:sz w:val="20"/>
          <w:szCs w:val="24"/>
        </w:rPr>
        <w:t>’</w:t>
      </w:r>
      <w:r w:rsidR="001B13CC" w:rsidRPr="00EB01F5">
        <w:rPr>
          <w:rFonts w:ascii="Arial" w:hAnsi="Arial" w:cs="Arial"/>
          <w:sz w:val="20"/>
          <w:szCs w:val="24"/>
        </w:rPr>
        <w:t xml:space="preserve"> within the meaning of the Code</w:t>
      </w:r>
      <w:r w:rsidR="00EB79EA" w:rsidRPr="00EB01F5">
        <w:rPr>
          <w:rFonts w:ascii="Arial" w:hAnsi="Arial" w:cs="Arial"/>
          <w:sz w:val="20"/>
          <w:szCs w:val="24"/>
        </w:rPr>
        <w:t xml:space="preserve">. </w:t>
      </w:r>
      <w:r w:rsidR="002F30A3">
        <w:rPr>
          <w:rFonts w:ascii="Arial" w:hAnsi="Arial" w:cs="Arial"/>
          <w:sz w:val="20"/>
          <w:szCs w:val="24"/>
        </w:rPr>
        <w:t>T</w:t>
      </w:r>
      <w:r w:rsidR="008A6169" w:rsidRPr="00EB01F5">
        <w:rPr>
          <w:rFonts w:ascii="Arial" w:hAnsi="Arial" w:cs="Arial"/>
          <w:sz w:val="20"/>
          <w:szCs w:val="24"/>
        </w:rPr>
        <w:t>h</w:t>
      </w:r>
      <w:r w:rsidR="00C92097" w:rsidRPr="00EB01F5">
        <w:rPr>
          <w:rFonts w:ascii="Arial" w:hAnsi="Arial" w:cs="Arial"/>
          <w:sz w:val="20"/>
          <w:szCs w:val="24"/>
        </w:rPr>
        <w:t xml:space="preserve">ese submissions </w:t>
      </w:r>
      <w:r w:rsidR="002902E4">
        <w:rPr>
          <w:rFonts w:ascii="Arial" w:hAnsi="Arial" w:cs="Arial"/>
          <w:sz w:val="20"/>
          <w:szCs w:val="24"/>
        </w:rPr>
        <w:t>are summarised below</w:t>
      </w:r>
      <w:r w:rsidR="00C92097" w:rsidRPr="00EB01F5">
        <w:rPr>
          <w:rFonts w:ascii="Arial" w:hAnsi="Arial" w:cs="Arial"/>
          <w:sz w:val="20"/>
          <w:szCs w:val="24"/>
        </w:rPr>
        <w:t>:</w:t>
      </w:r>
    </w:p>
    <w:p w14:paraId="24D40FCE" w14:textId="4EBD2F47" w:rsidR="00362ABC" w:rsidRDefault="00DE2138" w:rsidP="00362ABC">
      <w:pPr>
        <w:pStyle w:val="ABABodyText"/>
        <w:numPr>
          <w:ilvl w:val="0"/>
          <w:numId w:val="2"/>
        </w:numPr>
        <w:spacing w:before="120" w:line="276" w:lineRule="auto"/>
        <w:rPr>
          <w:rFonts w:ascii="Arial" w:hAnsi="Arial" w:cs="Arial"/>
          <w:sz w:val="20"/>
          <w:szCs w:val="24"/>
        </w:rPr>
      </w:pPr>
      <w:r w:rsidRPr="00BF2AB7">
        <w:rPr>
          <w:rFonts w:ascii="Arial" w:hAnsi="Arial" w:cs="Arial"/>
          <w:sz w:val="20"/>
        </w:rPr>
        <w:t>Presenter 1</w:t>
      </w:r>
      <w:r w:rsidR="001B170D" w:rsidRPr="003A5E7B">
        <w:rPr>
          <w:rFonts w:ascii="Arial" w:hAnsi="Arial" w:cs="Arial"/>
          <w:sz w:val="20"/>
          <w:szCs w:val="24"/>
        </w:rPr>
        <w:t>’s</w:t>
      </w:r>
      <w:r w:rsidR="001B170D" w:rsidRPr="00EB01F5">
        <w:rPr>
          <w:rFonts w:ascii="Arial" w:hAnsi="Arial" w:cs="Arial"/>
          <w:sz w:val="20"/>
          <w:szCs w:val="24"/>
        </w:rPr>
        <w:t xml:space="preserve"> attire and equipment </w:t>
      </w:r>
      <w:r w:rsidR="00586EA3">
        <w:rPr>
          <w:rFonts w:ascii="Arial" w:hAnsi="Arial" w:cs="Arial"/>
          <w:sz w:val="20"/>
          <w:szCs w:val="24"/>
        </w:rPr>
        <w:t>are</w:t>
      </w:r>
      <w:r w:rsidR="00502F92">
        <w:rPr>
          <w:rFonts w:ascii="Arial" w:hAnsi="Arial" w:cs="Arial"/>
          <w:sz w:val="20"/>
          <w:szCs w:val="24"/>
        </w:rPr>
        <w:t xml:space="preserve"> not relevant to the question of whether he </w:t>
      </w:r>
      <w:r w:rsidR="00907BB5">
        <w:rPr>
          <w:rFonts w:ascii="Arial" w:hAnsi="Arial" w:cs="Arial"/>
          <w:sz w:val="20"/>
          <w:szCs w:val="24"/>
        </w:rPr>
        <w:t xml:space="preserve">qualifies as </w:t>
      </w:r>
      <w:r w:rsidR="00502F92">
        <w:rPr>
          <w:rFonts w:ascii="Arial" w:hAnsi="Arial" w:cs="Arial"/>
          <w:sz w:val="20"/>
          <w:szCs w:val="24"/>
        </w:rPr>
        <w:t xml:space="preserve">a </w:t>
      </w:r>
      <w:r w:rsidR="00B80496">
        <w:rPr>
          <w:rFonts w:ascii="Arial" w:hAnsi="Arial" w:cs="Arial"/>
          <w:sz w:val="20"/>
          <w:szCs w:val="24"/>
        </w:rPr>
        <w:t>‘</w:t>
      </w:r>
      <w:r w:rsidR="00362ABC">
        <w:rPr>
          <w:rFonts w:ascii="Arial" w:hAnsi="Arial" w:cs="Arial"/>
          <w:sz w:val="20"/>
          <w:szCs w:val="24"/>
        </w:rPr>
        <w:t xml:space="preserve">discrete </w:t>
      </w:r>
      <w:r w:rsidR="00F42260">
        <w:rPr>
          <w:rFonts w:ascii="Arial" w:hAnsi="Arial" w:cs="Arial"/>
          <w:sz w:val="20"/>
          <w:szCs w:val="24"/>
        </w:rPr>
        <w:t>or</w:t>
      </w:r>
      <w:r w:rsidR="00362ABC">
        <w:rPr>
          <w:rFonts w:ascii="Arial" w:hAnsi="Arial" w:cs="Arial"/>
          <w:sz w:val="20"/>
          <w:szCs w:val="24"/>
        </w:rPr>
        <w:t xml:space="preserve"> distinguishable contributor</w:t>
      </w:r>
      <w:r w:rsidR="00B80496">
        <w:rPr>
          <w:rFonts w:ascii="Arial" w:hAnsi="Arial" w:cs="Arial"/>
          <w:sz w:val="20"/>
          <w:szCs w:val="24"/>
        </w:rPr>
        <w:t>’</w:t>
      </w:r>
      <w:r w:rsidR="00814BD5">
        <w:rPr>
          <w:rFonts w:ascii="Arial" w:hAnsi="Arial" w:cs="Arial"/>
          <w:sz w:val="20"/>
          <w:szCs w:val="24"/>
        </w:rPr>
        <w:t xml:space="preserve">, </w:t>
      </w:r>
      <w:r w:rsidR="00586EA3">
        <w:rPr>
          <w:rFonts w:ascii="Arial" w:hAnsi="Arial" w:cs="Arial"/>
          <w:sz w:val="20"/>
          <w:szCs w:val="24"/>
        </w:rPr>
        <w:t>as</w:t>
      </w:r>
      <w:r w:rsidR="00814BD5">
        <w:rPr>
          <w:rFonts w:ascii="Arial" w:hAnsi="Arial" w:cs="Arial"/>
          <w:sz w:val="20"/>
          <w:szCs w:val="24"/>
        </w:rPr>
        <w:t xml:space="preserve"> an ESPN commentator would still be considered an ESPN commentator </w:t>
      </w:r>
      <w:r w:rsidR="00817E9C">
        <w:rPr>
          <w:rFonts w:ascii="Arial" w:hAnsi="Arial" w:cs="Arial"/>
          <w:sz w:val="20"/>
          <w:szCs w:val="24"/>
        </w:rPr>
        <w:t xml:space="preserve">if they were </w:t>
      </w:r>
      <w:r w:rsidR="003923ED">
        <w:rPr>
          <w:rFonts w:ascii="Arial" w:hAnsi="Arial" w:cs="Arial"/>
          <w:sz w:val="20"/>
          <w:szCs w:val="24"/>
        </w:rPr>
        <w:t xml:space="preserve">providing analysis on a game and </w:t>
      </w:r>
      <w:r w:rsidR="00817E9C">
        <w:rPr>
          <w:rFonts w:ascii="Arial" w:hAnsi="Arial" w:cs="Arial"/>
          <w:sz w:val="20"/>
          <w:szCs w:val="24"/>
        </w:rPr>
        <w:t>not using or wearing ESPN branded equipment</w:t>
      </w:r>
      <w:r w:rsidR="00074996">
        <w:rPr>
          <w:rFonts w:ascii="Arial" w:hAnsi="Arial" w:cs="Arial"/>
          <w:sz w:val="20"/>
          <w:szCs w:val="24"/>
        </w:rPr>
        <w:t>.</w:t>
      </w:r>
    </w:p>
    <w:p w14:paraId="25074479" w14:textId="4ACB9919" w:rsidR="00817E9C" w:rsidRPr="00362ABC" w:rsidRDefault="002902E4" w:rsidP="00362ABC">
      <w:pPr>
        <w:pStyle w:val="ABABodyText"/>
        <w:numPr>
          <w:ilvl w:val="0"/>
          <w:numId w:val="2"/>
        </w:numPr>
        <w:spacing w:before="120" w:line="276" w:lineRule="auto"/>
        <w:rPr>
          <w:rFonts w:ascii="Arial" w:hAnsi="Arial" w:cs="Arial"/>
          <w:sz w:val="20"/>
          <w:szCs w:val="24"/>
        </w:rPr>
      </w:pPr>
      <w:r>
        <w:rPr>
          <w:rFonts w:ascii="Arial" w:hAnsi="Arial" w:cs="Arial"/>
          <w:sz w:val="20"/>
          <w:szCs w:val="24"/>
        </w:rPr>
        <w:t>The ACMA’s reference to ‘ESPN’s</w:t>
      </w:r>
      <w:r w:rsidR="00134BD2">
        <w:rPr>
          <w:rFonts w:ascii="Arial" w:hAnsi="Arial" w:cs="Arial"/>
          <w:sz w:val="20"/>
          <w:szCs w:val="24"/>
        </w:rPr>
        <w:t xml:space="preserve"> courtside commenta</w:t>
      </w:r>
      <w:r w:rsidR="004A0E82">
        <w:rPr>
          <w:rFonts w:ascii="Arial" w:hAnsi="Arial" w:cs="Arial"/>
          <w:sz w:val="20"/>
          <w:szCs w:val="24"/>
        </w:rPr>
        <w:t>tors</w:t>
      </w:r>
      <w:r>
        <w:rPr>
          <w:rFonts w:ascii="Arial" w:hAnsi="Arial" w:cs="Arial"/>
          <w:sz w:val="20"/>
          <w:szCs w:val="24"/>
        </w:rPr>
        <w:t xml:space="preserve">’ indicates that </w:t>
      </w:r>
      <w:r w:rsidR="00DE2138" w:rsidRPr="00BF2AB7">
        <w:rPr>
          <w:rFonts w:ascii="Arial" w:hAnsi="Arial" w:cs="Arial"/>
          <w:sz w:val="20"/>
        </w:rPr>
        <w:t>Presenter 1</w:t>
      </w:r>
      <w:r w:rsidRPr="003A5E7B">
        <w:rPr>
          <w:rFonts w:ascii="Arial" w:hAnsi="Arial" w:cs="Arial"/>
          <w:sz w:val="20"/>
          <w:szCs w:val="24"/>
        </w:rPr>
        <w:t>’s</w:t>
      </w:r>
      <w:r>
        <w:rPr>
          <w:rFonts w:ascii="Arial" w:hAnsi="Arial" w:cs="Arial"/>
          <w:sz w:val="20"/>
          <w:szCs w:val="24"/>
        </w:rPr>
        <w:t xml:space="preserve"> appearance was discrete and </w:t>
      </w:r>
      <w:r w:rsidR="00744CA3">
        <w:rPr>
          <w:rFonts w:ascii="Arial" w:hAnsi="Arial" w:cs="Arial"/>
          <w:sz w:val="20"/>
          <w:szCs w:val="24"/>
        </w:rPr>
        <w:t xml:space="preserve">distinguishable from the courtside </w:t>
      </w:r>
      <w:r w:rsidR="000A54E3">
        <w:rPr>
          <w:rFonts w:ascii="Arial" w:hAnsi="Arial" w:cs="Arial"/>
          <w:sz w:val="20"/>
          <w:szCs w:val="24"/>
        </w:rPr>
        <w:t>commentators</w:t>
      </w:r>
      <w:r w:rsidR="00074996">
        <w:rPr>
          <w:rFonts w:ascii="Arial" w:hAnsi="Arial" w:cs="Arial"/>
          <w:sz w:val="20"/>
          <w:szCs w:val="24"/>
        </w:rPr>
        <w:t>.</w:t>
      </w:r>
    </w:p>
    <w:p w14:paraId="40F4EA3C" w14:textId="7FBD39E8" w:rsidR="00502F92" w:rsidRDefault="00DE2138" w:rsidP="001B170D">
      <w:pPr>
        <w:pStyle w:val="ABABodyText"/>
        <w:numPr>
          <w:ilvl w:val="0"/>
          <w:numId w:val="2"/>
        </w:numPr>
        <w:spacing w:before="120" w:line="276" w:lineRule="auto"/>
        <w:rPr>
          <w:rFonts w:ascii="Arial" w:hAnsi="Arial" w:cs="Arial"/>
          <w:sz w:val="20"/>
          <w:szCs w:val="24"/>
        </w:rPr>
      </w:pPr>
      <w:r w:rsidRPr="00BF2AB7">
        <w:rPr>
          <w:rFonts w:ascii="Arial" w:hAnsi="Arial" w:cs="Arial"/>
          <w:sz w:val="20"/>
        </w:rPr>
        <w:t>Presenter 1</w:t>
      </w:r>
      <w:r w:rsidR="00DF7E4F" w:rsidRPr="003A5E7B">
        <w:rPr>
          <w:rFonts w:ascii="Arial" w:hAnsi="Arial" w:cs="Arial"/>
          <w:sz w:val="20"/>
          <w:szCs w:val="24"/>
        </w:rPr>
        <w:t>’s</w:t>
      </w:r>
      <w:r w:rsidR="00DF7E4F">
        <w:rPr>
          <w:rFonts w:ascii="Arial" w:hAnsi="Arial" w:cs="Arial"/>
          <w:sz w:val="20"/>
          <w:szCs w:val="24"/>
        </w:rPr>
        <w:t xml:space="preserve"> commentary was </w:t>
      </w:r>
      <w:r w:rsidR="0093388F">
        <w:rPr>
          <w:rFonts w:ascii="Arial" w:hAnsi="Arial" w:cs="Arial"/>
          <w:sz w:val="20"/>
          <w:szCs w:val="24"/>
        </w:rPr>
        <w:t>distinguishable from that of the ESPN courtside commentators</w:t>
      </w:r>
      <w:r w:rsidR="00074996">
        <w:rPr>
          <w:rFonts w:ascii="Arial" w:hAnsi="Arial" w:cs="Arial"/>
          <w:sz w:val="20"/>
          <w:szCs w:val="24"/>
        </w:rPr>
        <w:t>.</w:t>
      </w:r>
    </w:p>
    <w:p w14:paraId="56427AD4" w14:textId="1DA3753E" w:rsidR="00BF196B" w:rsidRDefault="004B4E2E" w:rsidP="00D07DC6">
      <w:pPr>
        <w:pStyle w:val="ABABodyText"/>
        <w:numPr>
          <w:ilvl w:val="0"/>
          <w:numId w:val="2"/>
        </w:numPr>
        <w:spacing w:before="120" w:line="276" w:lineRule="auto"/>
        <w:rPr>
          <w:rFonts w:ascii="Arial" w:hAnsi="Arial" w:cs="Arial"/>
          <w:sz w:val="20"/>
          <w:szCs w:val="24"/>
        </w:rPr>
      </w:pPr>
      <w:r>
        <w:rPr>
          <w:rFonts w:ascii="Arial" w:hAnsi="Arial" w:cs="Arial"/>
          <w:sz w:val="20"/>
          <w:szCs w:val="24"/>
        </w:rPr>
        <w:t xml:space="preserve">The </w:t>
      </w:r>
      <w:r w:rsidR="00C15904">
        <w:rPr>
          <w:rFonts w:ascii="Arial" w:hAnsi="Arial" w:cs="Arial"/>
          <w:sz w:val="20"/>
          <w:szCs w:val="24"/>
        </w:rPr>
        <w:t xml:space="preserve">ACMA’s interpretation of </w:t>
      </w:r>
      <w:r w:rsidR="003935F9">
        <w:rPr>
          <w:rFonts w:ascii="Arial" w:hAnsi="Arial" w:cs="Arial"/>
          <w:sz w:val="20"/>
          <w:szCs w:val="24"/>
        </w:rPr>
        <w:t>what constitutes a</w:t>
      </w:r>
      <w:r w:rsidR="00C15904">
        <w:rPr>
          <w:rFonts w:ascii="Arial" w:hAnsi="Arial" w:cs="Arial"/>
          <w:sz w:val="20"/>
          <w:szCs w:val="24"/>
        </w:rPr>
        <w:t xml:space="preserve"> </w:t>
      </w:r>
      <w:r w:rsidR="003935F9">
        <w:rPr>
          <w:rFonts w:ascii="Arial" w:hAnsi="Arial" w:cs="Arial"/>
          <w:sz w:val="20"/>
          <w:szCs w:val="24"/>
        </w:rPr>
        <w:t>‘</w:t>
      </w:r>
      <w:r w:rsidR="00C15904">
        <w:rPr>
          <w:rFonts w:ascii="Arial" w:hAnsi="Arial" w:cs="Arial"/>
          <w:sz w:val="20"/>
          <w:szCs w:val="24"/>
        </w:rPr>
        <w:t xml:space="preserve">discrete </w:t>
      </w:r>
      <w:r w:rsidR="00165039">
        <w:rPr>
          <w:rFonts w:ascii="Arial" w:hAnsi="Arial" w:cs="Arial"/>
          <w:sz w:val="20"/>
          <w:szCs w:val="24"/>
        </w:rPr>
        <w:t>or</w:t>
      </w:r>
      <w:r w:rsidR="00C15904">
        <w:rPr>
          <w:rFonts w:ascii="Arial" w:hAnsi="Arial" w:cs="Arial"/>
          <w:sz w:val="20"/>
          <w:szCs w:val="24"/>
        </w:rPr>
        <w:t xml:space="preserve"> distinguishable contributor</w:t>
      </w:r>
      <w:r w:rsidR="003935F9">
        <w:rPr>
          <w:rFonts w:ascii="Arial" w:hAnsi="Arial" w:cs="Arial"/>
          <w:sz w:val="20"/>
          <w:szCs w:val="24"/>
        </w:rPr>
        <w:t>’ would</w:t>
      </w:r>
      <w:r w:rsidR="00C15904">
        <w:rPr>
          <w:rFonts w:ascii="Arial" w:hAnsi="Arial" w:cs="Arial"/>
          <w:sz w:val="20"/>
          <w:szCs w:val="24"/>
        </w:rPr>
        <w:t xml:space="preserve"> </w:t>
      </w:r>
      <w:r w:rsidR="007875C1">
        <w:rPr>
          <w:rFonts w:ascii="Arial" w:hAnsi="Arial" w:cs="Arial"/>
          <w:sz w:val="20"/>
          <w:szCs w:val="24"/>
        </w:rPr>
        <w:t xml:space="preserve">incorrectly </w:t>
      </w:r>
      <w:r w:rsidR="00C15904">
        <w:rPr>
          <w:rFonts w:ascii="Arial" w:hAnsi="Arial" w:cs="Arial"/>
          <w:sz w:val="20"/>
          <w:szCs w:val="24"/>
        </w:rPr>
        <w:t xml:space="preserve">only </w:t>
      </w:r>
      <w:r>
        <w:rPr>
          <w:rFonts w:ascii="Arial" w:hAnsi="Arial" w:cs="Arial"/>
          <w:sz w:val="20"/>
          <w:szCs w:val="24"/>
        </w:rPr>
        <w:t>cover</w:t>
      </w:r>
      <w:r w:rsidR="003935F9">
        <w:rPr>
          <w:rFonts w:ascii="Arial" w:hAnsi="Arial" w:cs="Arial"/>
          <w:sz w:val="20"/>
          <w:szCs w:val="24"/>
        </w:rPr>
        <w:t xml:space="preserve"> </w:t>
      </w:r>
      <w:r w:rsidR="007875C1">
        <w:rPr>
          <w:rFonts w:ascii="Arial" w:hAnsi="Arial" w:cs="Arial"/>
          <w:sz w:val="20"/>
          <w:szCs w:val="24"/>
        </w:rPr>
        <w:t xml:space="preserve">a </w:t>
      </w:r>
      <w:r w:rsidR="003935F9">
        <w:rPr>
          <w:rFonts w:ascii="Arial" w:hAnsi="Arial" w:cs="Arial"/>
          <w:sz w:val="20"/>
          <w:szCs w:val="24"/>
        </w:rPr>
        <w:t>representative of a gambling or betting organisation</w:t>
      </w:r>
      <w:r w:rsidR="00CF7667">
        <w:rPr>
          <w:rFonts w:ascii="Arial" w:hAnsi="Arial" w:cs="Arial"/>
          <w:sz w:val="20"/>
          <w:szCs w:val="24"/>
        </w:rPr>
        <w:t xml:space="preserve">, </w:t>
      </w:r>
      <w:r w:rsidR="005C110A">
        <w:rPr>
          <w:rFonts w:ascii="Arial" w:hAnsi="Arial" w:cs="Arial"/>
          <w:sz w:val="20"/>
          <w:szCs w:val="24"/>
        </w:rPr>
        <w:t>when</w:t>
      </w:r>
      <w:r w:rsidR="005F1BE1">
        <w:rPr>
          <w:rFonts w:ascii="Arial" w:hAnsi="Arial" w:cs="Arial"/>
          <w:sz w:val="20"/>
          <w:szCs w:val="24"/>
        </w:rPr>
        <w:t xml:space="preserve"> </w:t>
      </w:r>
      <w:r w:rsidR="00632B32">
        <w:rPr>
          <w:rFonts w:ascii="Arial" w:hAnsi="Arial" w:cs="Arial"/>
          <w:sz w:val="20"/>
          <w:szCs w:val="24"/>
        </w:rPr>
        <w:t xml:space="preserve">the </w:t>
      </w:r>
      <w:r w:rsidR="00D07DC6">
        <w:rPr>
          <w:rFonts w:ascii="Arial" w:hAnsi="Arial" w:cs="Arial"/>
          <w:sz w:val="20"/>
          <w:szCs w:val="24"/>
        </w:rPr>
        <w:t xml:space="preserve">Code </w:t>
      </w:r>
      <w:r w:rsidR="00632B32">
        <w:rPr>
          <w:rFonts w:ascii="Arial" w:hAnsi="Arial" w:cs="Arial"/>
          <w:sz w:val="20"/>
          <w:szCs w:val="24"/>
        </w:rPr>
        <w:t>definition of a commentator provides that a</w:t>
      </w:r>
      <w:r w:rsidR="004F214C">
        <w:rPr>
          <w:rFonts w:ascii="Arial" w:hAnsi="Arial" w:cs="Arial"/>
          <w:sz w:val="20"/>
          <w:szCs w:val="24"/>
        </w:rPr>
        <w:t xml:space="preserve"> </w:t>
      </w:r>
      <w:r w:rsidR="009058CF">
        <w:rPr>
          <w:rFonts w:ascii="Arial" w:hAnsi="Arial" w:cs="Arial"/>
          <w:sz w:val="20"/>
          <w:szCs w:val="24"/>
        </w:rPr>
        <w:t>discrete or distinguishable contributor</w:t>
      </w:r>
      <w:r w:rsidR="00BF196B">
        <w:rPr>
          <w:rFonts w:ascii="Arial" w:hAnsi="Arial" w:cs="Arial"/>
          <w:sz w:val="20"/>
          <w:szCs w:val="24"/>
        </w:rPr>
        <w:t xml:space="preserve"> ‘includes’ (but is not limited to) a representative of a gambling or betting organisation.</w:t>
      </w:r>
    </w:p>
    <w:p w14:paraId="2FD2C7AE" w14:textId="21B08E4D" w:rsidR="00EB088E" w:rsidRDefault="0095474F" w:rsidP="002A1D33">
      <w:pPr>
        <w:pStyle w:val="ABABodyText"/>
        <w:spacing w:before="120" w:line="276" w:lineRule="auto"/>
        <w:rPr>
          <w:rFonts w:ascii="Arial" w:hAnsi="Arial" w:cs="Arial"/>
          <w:sz w:val="20"/>
          <w:szCs w:val="24"/>
        </w:rPr>
      </w:pPr>
      <w:r>
        <w:rPr>
          <w:rFonts w:ascii="Arial" w:hAnsi="Arial" w:cs="Arial"/>
          <w:sz w:val="20"/>
          <w:szCs w:val="24"/>
        </w:rPr>
        <w:t xml:space="preserve">The ACMA </w:t>
      </w:r>
      <w:r w:rsidR="00D2479C">
        <w:rPr>
          <w:rFonts w:ascii="Arial" w:hAnsi="Arial" w:cs="Arial"/>
          <w:sz w:val="20"/>
          <w:szCs w:val="24"/>
        </w:rPr>
        <w:t xml:space="preserve">is not persuaded </w:t>
      </w:r>
      <w:r w:rsidR="00980283">
        <w:rPr>
          <w:rFonts w:ascii="Arial" w:hAnsi="Arial" w:cs="Arial"/>
          <w:sz w:val="20"/>
          <w:szCs w:val="24"/>
        </w:rPr>
        <w:t>by these submissions</w:t>
      </w:r>
      <w:r w:rsidR="00F179DC">
        <w:rPr>
          <w:rFonts w:ascii="Arial" w:hAnsi="Arial" w:cs="Arial"/>
          <w:sz w:val="20"/>
          <w:szCs w:val="24"/>
        </w:rPr>
        <w:t xml:space="preserve">. </w:t>
      </w:r>
      <w:r w:rsidR="00EB088E">
        <w:rPr>
          <w:rFonts w:ascii="Arial" w:hAnsi="Arial" w:cs="Arial"/>
          <w:sz w:val="20"/>
          <w:szCs w:val="24"/>
        </w:rPr>
        <w:t>The ACMA’s view is that:</w:t>
      </w:r>
    </w:p>
    <w:p w14:paraId="61260822" w14:textId="19FB6165" w:rsidR="000B0E6F" w:rsidRDefault="004C4F4C" w:rsidP="00AA59C2">
      <w:pPr>
        <w:pStyle w:val="ABABodyText"/>
        <w:numPr>
          <w:ilvl w:val="0"/>
          <w:numId w:val="6"/>
        </w:numPr>
        <w:spacing w:before="120" w:line="276" w:lineRule="auto"/>
        <w:rPr>
          <w:rFonts w:ascii="Arial" w:hAnsi="Arial" w:cs="Arial"/>
          <w:sz w:val="20"/>
          <w:szCs w:val="24"/>
        </w:rPr>
      </w:pPr>
      <w:r w:rsidRPr="00BF2AB7">
        <w:rPr>
          <w:rFonts w:ascii="Arial" w:hAnsi="Arial" w:cs="Arial"/>
          <w:sz w:val="20"/>
        </w:rPr>
        <w:t>Presenter 1</w:t>
      </w:r>
      <w:r w:rsidR="00C34693" w:rsidRPr="003A5E7B">
        <w:rPr>
          <w:rFonts w:ascii="Arial" w:hAnsi="Arial" w:cs="Arial"/>
          <w:sz w:val="20"/>
          <w:szCs w:val="24"/>
        </w:rPr>
        <w:t>’s</w:t>
      </w:r>
      <w:r w:rsidR="00F179DC" w:rsidRPr="00BB1F9F">
        <w:rPr>
          <w:rFonts w:ascii="Arial" w:hAnsi="Arial" w:cs="Arial"/>
          <w:sz w:val="20"/>
          <w:szCs w:val="24"/>
        </w:rPr>
        <w:t xml:space="preserve"> </w:t>
      </w:r>
      <w:r w:rsidR="00CF0863" w:rsidRPr="00BB1F9F">
        <w:rPr>
          <w:rFonts w:ascii="Arial" w:hAnsi="Arial" w:cs="Arial"/>
          <w:sz w:val="20"/>
          <w:szCs w:val="24"/>
        </w:rPr>
        <w:t xml:space="preserve">attire and </w:t>
      </w:r>
      <w:r w:rsidR="005C0BF7" w:rsidRPr="00BB1F9F">
        <w:rPr>
          <w:rFonts w:ascii="Arial" w:hAnsi="Arial" w:cs="Arial"/>
          <w:sz w:val="20"/>
          <w:szCs w:val="24"/>
        </w:rPr>
        <w:t xml:space="preserve">use of </w:t>
      </w:r>
      <w:r w:rsidR="00C34693" w:rsidRPr="00BB1F9F">
        <w:rPr>
          <w:rFonts w:ascii="Arial" w:hAnsi="Arial" w:cs="Arial"/>
          <w:sz w:val="20"/>
          <w:szCs w:val="24"/>
        </w:rPr>
        <w:t>ESPN-</w:t>
      </w:r>
      <w:r w:rsidR="00CF0863" w:rsidRPr="00BB1F9F">
        <w:rPr>
          <w:rFonts w:ascii="Arial" w:hAnsi="Arial" w:cs="Arial"/>
          <w:sz w:val="20"/>
          <w:szCs w:val="24"/>
        </w:rPr>
        <w:t>brand</w:t>
      </w:r>
      <w:r w:rsidR="00C34693" w:rsidRPr="00BB1F9F">
        <w:rPr>
          <w:rFonts w:ascii="Arial" w:hAnsi="Arial" w:cs="Arial"/>
          <w:sz w:val="20"/>
          <w:szCs w:val="24"/>
        </w:rPr>
        <w:t>ed</w:t>
      </w:r>
      <w:r w:rsidR="00CF0863" w:rsidRPr="00BB1F9F">
        <w:rPr>
          <w:rFonts w:ascii="Arial" w:hAnsi="Arial" w:cs="Arial"/>
          <w:sz w:val="20"/>
          <w:szCs w:val="24"/>
        </w:rPr>
        <w:t xml:space="preserve"> equipment </w:t>
      </w:r>
      <w:r w:rsidR="00B261DC" w:rsidRPr="00BB1F9F">
        <w:rPr>
          <w:rFonts w:ascii="Arial" w:hAnsi="Arial" w:cs="Arial"/>
          <w:sz w:val="20"/>
          <w:szCs w:val="24"/>
        </w:rPr>
        <w:t xml:space="preserve">were </w:t>
      </w:r>
      <w:r w:rsidR="00202490" w:rsidRPr="00BB1F9F">
        <w:rPr>
          <w:rFonts w:ascii="Arial" w:hAnsi="Arial" w:cs="Arial"/>
          <w:sz w:val="20"/>
          <w:szCs w:val="24"/>
        </w:rPr>
        <w:t xml:space="preserve">strong </w:t>
      </w:r>
      <w:r w:rsidR="00B261DC" w:rsidRPr="00BB1F9F">
        <w:rPr>
          <w:rFonts w:ascii="Arial" w:hAnsi="Arial" w:cs="Arial"/>
          <w:sz w:val="20"/>
          <w:szCs w:val="24"/>
        </w:rPr>
        <w:t>visual cues as to how</w:t>
      </w:r>
      <w:r w:rsidR="00CF0863" w:rsidRPr="00BB1F9F">
        <w:rPr>
          <w:rFonts w:ascii="Arial" w:hAnsi="Arial" w:cs="Arial"/>
          <w:sz w:val="20"/>
          <w:szCs w:val="24"/>
        </w:rPr>
        <w:t xml:space="preserve"> viewers would </w:t>
      </w:r>
      <w:r w:rsidR="009B5327" w:rsidRPr="00BB1F9F">
        <w:rPr>
          <w:rFonts w:ascii="Arial" w:hAnsi="Arial" w:cs="Arial"/>
          <w:sz w:val="20"/>
          <w:szCs w:val="24"/>
        </w:rPr>
        <w:t>determine</w:t>
      </w:r>
      <w:r w:rsidR="00315A7D" w:rsidRPr="00BB1F9F">
        <w:rPr>
          <w:rFonts w:ascii="Arial" w:hAnsi="Arial" w:cs="Arial"/>
          <w:sz w:val="20"/>
          <w:szCs w:val="24"/>
        </w:rPr>
        <w:t xml:space="preserve"> whether </w:t>
      </w:r>
      <w:r w:rsidRPr="00BF2AB7">
        <w:rPr>
          <w:rFonts w:ascii="Arial" w:hAnsi="Arial" w:cs="Arial"/>
          <w:sz w:val="20"/>
        </w:rPr>
        <w:t>Presenter 1</w:t>
      </w:r>
      <w:r w:rsidR="00315A7D" w:rsidRPr="00BB1F9F">
        <w:rPr>
          <w:rFonts w:ascii="Arial" w:hAnsi="Arial" w:cs="Arial"/>
          <w:sz w:val="20"/>
          <w:szCs w:val="24"/>
        </w:rPr>
        <w:t xml:space="preserve"> was a</w:t>
      </w:r>
      <w:r w:rsidR="00CF0863" w:rsidRPr="00BB1F9F">
        <w:rPr>
          <w:rFonts w:ascii="Arial" w:hAnsi="Arial" w:cs="Arial"/>
          <w:sz w:val="20"/>
          <w:szCs w:val="24"/>
        </w:rPr>
        <w:t xml:space="preserve"> </w:t>
      </w:r>
      <w:r w:rsidR="00315A7D" w:rsidRPr="00BB1F9F">
        <w:rPr>
          <w:rFonts w:ascii="Arial" w:hAnsi="Arial" w:cs="Arial"/>
          <w:sz w:val="20"/>
          <w:szCs w:val="24"/>
        </w:rPr>
        <w:t>‘</w:t>
      </w:r>
      <w:r w:rsidR="00CF0863" w:rsidRPr="00BB1F9F">
        <w:rPr>
          <w:rFonts w:ascii="Arial" w:hAnsi="Arial" w:cs="Arial"/>
          <w:sz w:val="20"/>
          <w:szCs w:val="24"/>
        </w:rPr>
        <w:t>commentator</w:t>
      </w:r>
      <w:r w:rsidR="00315A7D" w:rsidRPr="00BB1F9F">
        <w:rPr>
          <w:rFonts w:ascii="Arial" w:hAnsi="Arial" w:cs="Arial"/>
          <w:sz w:val="20"/>
          <w:szCs w:val="24"/>
        </w:rPr>
        <w:t>’</w:t>
      </w:r>
      <w:r w:rsidR="00CF0863" w:rsidRPr="00BB1F9F">
        <w:rPr>
          <w:rFonts w:ascii="Arial" w:hAnsi="Arial" w:cs="Arial"/>
          <w:sz w:val="20"/>
          <w:szCs w:val="24"/>
        </w:rPr>
        <w:t>.</w:t>
      </w:r>
      <w:r w:rsidR="00A422B0" w:rsidRPr="00BB1F9F">
        <w:rPr>
          <w:rFonts w:ascii="Arial" w:hAnsi="Arial" w:cs="Arial"/>
          <w:sz w:val="20"/>
          <w:szCs w:val="24"/>
        </w:rPr>
        <w:t xml:space="preserve"> </w:t>
      </w:r>
      <w:r w:rsidR="001F325A">
        <w:rPr>
          <w:rFonts w:ascii="Arial" w:hAnsi="Arial" w:cs="Arial"/>
          <w:sz w:val="20"/>
          <w:szCs w:val="24"/>
        </w:rPr>
        <w:t>As outlined above, the complainant</w:t>
      </w:r>
      <w:r w:rsidR="000728DD">
        <w:rPr>
          <w:rFonts w:ascii="Arial" w:hAnsi="Arial" w:cs="Arial"/>
          <w:sz w:val="20"/>
          <w:szCs w:val="24"/>
        </w:rPr>
        <w:t xml:space="preserve">’s view was that </w:t>
      </w:r>
      <w:r w:rsidRPr="00BF2AB7">
        <w:rPr>
          <w:rFonts w:ascii="Arial" w:hAnsi="Arial" w:cs="Arial"/>
          <w:sz w:val="20"/>
        </w:rPr>
        <w:t>Presenter 1</w:t>
      </w:r>
      <w:r w:rsidR="000728DD">
        <w:rPr>
          <w:rFonts w:ascii="Arial" w:hAnsi="Arial" w:cs="Arial"/>
          <w:sz w:val="20"/>
          <w:szCs w:val="24"/>
        </w:rPr>
        <w:t xml:space="preserve"> was an ESPN commentator</w:t>
      </w:r>
      <w:r w:rsidR="00E82BBA">
        <w:rPr>
          <w:rFonts w:ascii="Arial" w:hAnsi="Arial" w:cs="Arial"/>
          <w:sz w:val="20"/>
          <w:szCs w:val="24"/>
        </w:rPr>
        <w:t xml:space="preserve"> in connec</w:t>
      </w:r>
      <w:r w:rsidR="00C01BF1">
        <w:rPr>
          <w:rFonts w:ascii="Arial" w:hAnsi="Arial" w:cs="Arial"/>
          <w:sz w:val="20"/>
          <w:szCs w:val="24"/>
        </w:rPr>
        <w:t xml:space="preserve">tion with </w:t>
      </w:r>
      <w:r w:rsidR="00E82BBA">
        <w:rPr>
          <w:rFonts w:ascii="Arial" w:hAnsi="Arial" w:cs="Arial"/>
          <w:sz w:val="20"/>
          <w:szCs w:val="24"/>
        </w:rPr>
        <w:t>Game 1</w:t>
      </w:r>
      <w:r w:rsidR="000728DD">
        <w:rPr>
          <w:rFonts w:ascii="Arial" w:hAnsi="Arial" w:cs="Arial"/>
          <w:sz w:val="20"/>
          <w:szCs w:val="24"/>
        </w:rPr>
        <w:t>, likely due to his use of ESPN-branded equipment.</w:t>
      </w:r>
    </w:p>
    <w:p w14:paraId="48C86C5B" w14:textId="6DF4D45D" w:rsidR="000728DD" w:rsidRDefault="000B0E6F" w:rsidP="00AA59C2">
      <w:pPr>
        <w:pStyle w:val="ABABodyText"/>
        <w:numPr>
          <w:ilvl w:val="0"/>
          <w:numId w:val="6"/>
        </w:numPr>
        <w:spacing w:before="120" w:line="276" w:lineRule="auto"/>
        <w:rPr>
          <w:rFonts w:ascii="Arial" w:hAnsi="Arial" w:cs="Arial"/>
          <w:sz w:val="20"/>
          <w:szCs w:val="24"/>
        </w:rPr>
      </w:pPr>
      <w:r>
        <w:rPr>
          <w:rFonts w:ascii="Arial" w:hAnsi="Arial" w:cs="Arial"/>
          <w:sz w:val="20"/>
          <w:szCs w:val="24"/>
        </w:rPr>
        <w:t xml:space="preserve">Many viewers would not conceive of a commentary team as consisting </w:t>
      </w:r>
      <w:r w:rsidR="000E58CA">
        <w:rPr>
          <w:rFonts w:ascii="Arial" w:hAnsi="Arial" w:cs="Arial"/>
          <w:sz w:val="20"/>
          <w:szCs w:val="24"/>
        </w:rPr>
        <w:t xml:space="preserve">of </w:t>
      </w:r>
      <w:r>
        <w:rPr>
          <w:rFonts w:ascii="Arial" w:hAnsi="Arial" w:cs="Arial"/>
          <w:sz w:val="20"/>
          <w:szCs w:val="24"/>
        </w:rPr>
        <w:t xml:space="preserve">only ‘courtside commentators’ and </w:t>
      </w:r>
      <w:r w:rsidR="00BB698E">
        <w:rPr>
          <w:rFonts w:ascii="Arial" w:hAnsi="Arial" w:cs="Arial"/>
          <w:sz w:val="20"/>
          <w:szCs w:val="24"/>
        </w:rPr>
        <w:t xml:space="preserve">would likely consider </w:t>
      </w:r>
      <w:r>
        <w:rPr>
          <w:rFonts w:ascii="Arial" w:hAnsi="Arial" w:cs="Arial"/>
          <w:sz w:val="20"/>
          <w:szCs w:val="24"/>
        </w:rPr>
        <w:t>that any individual who was presented as being part of the ESPN team</w:t>
      </w:r>
      <w:r w:rsidR="000728DD">
        <w:rPr>
          <w:rFonts w:ascii="Arial" w:hAnsi="Arial" w:cs="Arial"/>
          <w:sz w:val="20"/>
          <w:szCs w:val="24"/>
        </w:rPr>
        <w:t xml:space="preserve"> </w:t>
      </w:r>
      <w:r>
        <w:rPr>
          <w:rFonts w:ascii="Arial" w:hAnsi="Arial" w:cs="Arial"/>
          <w:sz w:val="20"/>
          <w:szCs w:val="24"/>
        </w:rPr>
        <w:t>and who provided analysis would be considered part of the commentary team</w:t>
      </w:r>
      <w:r w:rsidR="000E58CA">
        <w:rPr>
          <w:rFonts w:ascii="Arial" w:hAnsi="Arial" w:cs="Arial"/>
          <w:sz w:val="20"/>
          <w:szCs w:val="24"/>
        </w:rPr>
        <w:t>.</w:t>
      </w:r>
    </w:p>
    <w:p w14:paraId="011D7709" w14:textId="5BD42F30" w:rsidR="00EB088E" w:rsidRPr="005C0BF7" w:rsidRDefault="00BB1F9F" w:rsidP="00EB01F5">
      <w:pPr>
        <w:pStyle w:val="ABABodyText"/>
        <w:numPr>
          <w:ilvl w:val="0"/>
          <w:numId w:val="6"/>
        </w:numPr>
        <w:spacing w:before="120" w:line="276" w:lineRule="auto"/>
        <w:rPr>
          <w:rFonts w:ascii="Arial" w:hAnsi="Arial" w:cs="Arial"/>
          <w:sz w:val="20"/>
          <w:szCs w:val="24"/>
        </w:rPr>
      </w:pPr>
      <w:r w:rsidRPr="00BB1F9F">
        <w:rPr>
          <w:rFonts w:ascii="Arial" w:hAnsi="Arial" w:cs="Arial"/>
          <w:sz w:val="20"/>
          <w:szCs w:val="24"/>
        </w:rPr>
        <w:t>These rules were introduced with the aim of making a clear distinction between commentary teams and sports betting promotions.</w:t>
      </w:r>
      <w:r w:rsidR="005E11DD">
        <w:rPr>
          <w:rFonts w:ascii="Arial" w:hAnsi="Arial" w:cs="Arial"/>
          <w:sz w:val="20"/>
          <w:szCs w:val="24"/>
        </w:rPr>
        <w:t xml:space="preserve"> </w:t>
      </w:r>
      <w:r w:rsidR="004C4F4C" w:rsidRPr="00BF2AB7">
        <w:rPr>
          <w:rFonts w:ascii="Arial" w:hAnsi="Arial" w:cs="Arial"/>
          <w:sz w:val="20"/>
        </w:rPr>
        <w:t>Presenter 1</w:t>
      </w:r>
      <w:r w:rsidR="005E11DD" w:rsidRPr="003A5E7B">
        <w:rPr>
          <w:rFonts w:ascii="Arial" w:hAnsi="Arial" w:cs="Arial"/>
          <w:sz w:val="20"/>
          <w:szCs w:val="24"/>
        </w:rPr>
        <w:t>’s</w:t>
      </w:r>
      <w:r w:rsidR="005E11DD">
        <w:rPr>
          <w:rFonts w:ascii="Arial" w:hAnsi="Arial" w:cs="Arial"/>
          <w:sz w:val="20"/>
          <w:szCs w:val="24"/>
        </w:rPr>
        <w:t xml:space="preserve"> </w:t>
      </w:r>
      <w:r w:rsidR="007A0D6B">
        <w:rPr>
          <w:rFonts w:ascii="Arial" w:hAnsi="Arial" w:cs="Arial"/>
          <w:sz w:val="20"/>
          <w:szCs w:val="24"/>
        </w:rPr>
        <w:t xml:space="preserve">appearance and presentation </w:t>
      </w:r>
      <w:r w:rsidR="00975335">
        <w:rPr>
          <w:rFonts w:ascii="Arial" w:hAnsi="Arial" w:cs="Arial"/>
          <w:sz w:val="20"/>
          <w:szCs w:val="24"/>
        </w:rPr>
        <w:t>are considerations</w:t>
      </w:r>
      <w:r w:rsidR="007A0D6B">
        <w:rPr>
          <w:rFonts w:ascii="Arial" w:hAnsi="Arial" w:cs="Arial"/>
          <w:sz w:val="20"/>
          <w:szCs w:val="24"/>
        </w:rPr>
        <w:t xml:space="preserve"> directly relevant to whether </w:t>
      </w:r>
      <w:r w:rsidR="00D55231">
        <w:rPr>
          <w:rFonts w:ascii="Arial" w:hAnsi="Arial" w:cs="Arial"/>
          <w:sz w:val="20"/>
          <w:szCs w:val="24"/>
        </w:rPr>
        <w:t>viewers could make that</w:t>
      </w:r>
      <w:r w:rsidR="007A0D6B">
        <w:rPr>
          <w:rFonts w:ascii="Arial" w:hAnsi="Arial" w:cs="Arial"/>
          <w:sz w:val="20"/>
          <w:szCs w:val="24"/>
        </w:rPr>
        <w:t xml:space="preserve"> distinction</w:t>
      </w:r>
      <w:r w:rsidR="000124DC">
        <w:rPr>
          <w:rFonts w:ascii="Arial" w:hAnsi="Arial" w:cs="Arial"/>
          <w:sz w:val="20"/>
          <w:szCs w:val="24"/>
        </w:rPr>
        <w:t>.</w:t>
      </w:r>
    </w:p>
    <w:p w14:paraId="6AF0AD78" w14:textId="40720BBE" w:rsidR="008002D6" w:rsidRPr="00EB088E" w:rsidRDefault="004C4F4C" w:rsidP="00EB01F5">
      <w:pPr>
        <w:pStyle w:val="ABABodyText"/>
        <w:numPr>
          <w:ilvl w:val="0"/>
          <w:numId w:val="6"/>
        </w:numPr>
        <w:spacing w:before="120" w:line="276" w:lineRule="auto"/>
        <w:rPr>
          <w:rFonts w:ascii="Arial" w:hAnsi="Arial" w:cs="Arial"/>
          <w:sz w:val="20"/>
          <w:szCs w:val="24"/>
        </w:rPr>
      </w:pPr>
      <w:r w:rsidRPr="00BF2AB7">
        <w:rPr>
          <w:rFonts w:ascii="Arial" w:hAnsi="Arial" w:cs="Arial"/>
          <w:sz w:val="20"/>
        </w:rPr>
        <w:t>Presenter 1</w:t>
      </w:r>
      <w:r w:rsidR="00905AFE" w:rsidRPr="003A5E7B">
        <w:rPr>
          <w:rFonts w:ascii="Arial" w:hAnsi="Arial" w:cs="Arial"/>
          <w:sz w:val="20"/>
          <w:szCs w:val="24"/>
        </w:rPr>
        <w:t>’s</w:t>
      </w:r>
      <w:r w:rsidR="00905AFE">
        <w:rPr>
          <w:rFonts w:ascii="Arial" w:hAnsi="Arial" w:cs="Arial"/>
          <w:sz w:val="20"/>
          <w:szCs w:val="24"/>
        </w:rPr>
        <w:t xml:space="preserve"> </w:t>
      </w:r>
      <w:r w:rsidR="00905AFE" w:rsidRPr="00AA59C2">
        <w:rPr>
          <w:rFonts w:ascii="Arial" w:hAnsi="Arial" w:cs="Arial"/>
          <w:sz w:val="20"/>
          <w:szCs w:val="24"/>
        </w:rPr>
        <w:t xml:space="preserve">analysis </w:t>
      </w:r>
      <w:r w:rsidR="00905AFE">
        <w:rPr>
          <w:rFonts w:ascii="Arial" w:hAnsi="Arial" w:cs="Arial"/>
          <w:sz w:val="20"/>
          <w:szCs w:val="24"/>
        </w:rPr>
        <w:t>on the games c</w:t>
      </w:r>
      <w:r w:rsidR="00905AFE" w:rsidRPr="00AA59C2">
        <w:rPr>
          <w:rFonts w:ascii="Arial" w:hAnsi="Arial" w:cs="Arial"/>
          <w:sz w:val="20"/>
          <w:szCs w:val="24"/>
        </w:rPr>
        <w:t xml:space="preserve">annot be distinguished in the manner proposed by the Licensee. Whether </w:t>
      </w:r>
      <w:r w:rsidRPr="00BF2AB7">
        <w:rPr>
          <w:rFonts w:ascii="Arial" w:hAnsi="Arial" w:cs="Arial"/>
          <w:sz w:val="20"/>
        </w:rPr>
        <w:t>Presenter 1</w:t>
      </w:r>
      <w:r w:rsidR="00905AFE" w:rsidRPr="003A5E7B">
        <w:rPr>
          <w:rFonts w:ascii="Arial" w:hAnsi="Arial" w:cs="Arial"/>
          <w:sz w:val="20"/>
          <w:szCs w:val="24"/>
        </w:rPr>
        <w:t>’s</w:t>
      </w:r>
      <w:r w:rsidR="00905AFE" w:rsidRPr="00AA59C2">
        <w:rPr>
          <w:rFonts w:ascii="Arial" w:hAnsi="Arial" w:cs="Arial"/>
          <w:sz w:val="20"/>
          <w:szCs w:val="24"/>
        </w:rPr>
        <w:t xml:space="preserve"> analysis of the game was like other commentators is not relevant, as the definition of a ‘commentator’ includes someone ‘providing analysis on the game’, as outlined above.</w:t>
      </w:r>
    </w:p>
    <w:p w14:paraId="6E6005B8" w14:textId="72395F59" w:rsidR="0095474F" w:rsidRPr="0048788C" w:rsidRDefault="00692BAF" w:rsidP="002A1D33">
      <w:pPr>
        <w:pStyle w:val="ABABodyText"/>
        <w:spacing w:before="120" w:line="276" w:lineRule="auto"/>
        <w:rPr>
          <w:rFonts w:ascii="Arial" w:hAnsi="Arial" w:cs="Arial"/>
          <w:sz w:val="20"/>
          <w:szCs w:val="24"/>
        </w:rPr>
      </w:pPr>
      <w:r>
        <w:rPr>
          <w:rFonts w:ascii="Arial" w:hAnsi="Arial" w:cs="Arial"/>
          <w:sz w:val="20"/>
          <w:szCs w:val="24"/>
        </w:rPr>
        <w:t>On this basis, t</w:t>
      </w:r>
      <w:r w:rsidR="004003DF">
        <w:rPr>
          <w:rFonts w:ascii="Arial" w:hAnsi="Arial" w:cs="Arial"/>
          <w:sz w:val="20"/>
          <w:szCs w:val="24"/>
        </w:rPr>
        <w:t xml:space="preserve">he ACMA maintains its view </w:t>
      </w:r>
      <w:r w:rsidR="00D27A49" w:rsidRPr="001B170D">
        <w:rPr>
          <w:rFonts w:ascii="Arial" w:hAnsi="Arial" w:cs="Arial"/>
          <w:sz w:val="20"/>
          <w:szCs w:val="24"/>
        </w:rPr>
        <w:t xml:space="preserve">that </w:t>
      </w:r>
      <w:r w:rsidR="004C4F4C" w:rsidRPr="00BF2AB7">
        <w:rPr>
          <w:rFonts w:ascii="Arial" w:hAnsi="Arial" w:cs="Arial"/>
          <w:sz w:val="20"/>
        </w:rPr>
        <w:t>Presenter 1</w:t>
      </w:r>
      <w:r w:rsidR="00D27A49" w:rsidRPr="001B170D">
        <w:rPr>
          <w:rFonts w:ascii="Arial" w:hAnsi="Arial" w:cs="Arial"/>
          <w:sz w:val="20"/>
          <w:szCs w:val="24"/>
        </w:rPr>
        <w:t xml:space="preserve"> appeared as a ‘commentator’, rather than a ‘dis</w:t>
      </w:r>
      <w:r w:rsidR="00EB24D2">
        <w:rPr>
          <w:rFonts w:ascii="Arial" w:hAnsi="Arial" w:cs="Arial"/>
          <w:sz w:val="20"/>
          <w:szCs w:val="24"/>
        </w:rPr>
        <w:t>crete or distinguishable</w:t>
      </w:r>
      <w:r w:rsidR="00D27A49" w:rsidRPr="001B170D">
        <w:rPr>
          <w:rFonts w:ascii="Arial" w:hAnsi="Arial" w:cs="Arial"/>
          <w:sz w:val="20"/>
          <w:szCs w:val="24"/>
        </w:rPr>
        <w:t xml:space="preserve"> contributor’, when giving the Promotion of Betting Odds in Game 1 and Game 6.</w:t>
      </w:r>
    </w:p>
    <w:p w14:paraId="2477ECFC" w14:textId="44AB70DD" w:rsidR="002A1D33" w:rsidRPr="00131DF9" w:rsidRDefault="000D0016" w:rsidP="002A1D33">
      <w:pPr>
        <w:pStyle w:val="ABABodyText"/>
        <w:spacing w:before="120" w:line="276" w:lineRule="auto"/>
        <w:rPr>
          <w:rFonts w:ascii="Arial" w:hAnsi="Arial" w:cs="Arial"/>
          <w:iCs/>
          <w:color w:val="8EAADB" w:themeColor="accent1" w:themeTint="99"/>
          <w:sz w:val="20"/>
        </w:rPr>
      </w:pPr>
      <w:r>
        <w:rPr>
          <w:rFonts w:ascii="Arial" w:hAnsi="Arial" w:cs="Arial"/>
          <w:sz w:val="20"/>
          <w:szCs w:val="24"/>
          <w:u w:val="single"/>
        </w:rPr>
        <w:t>Presenter 2</w:t>
      </w:r>
      <w:r w:rsidR="004642D9">
        <w:rPr>
          <w:rFonts w:ascii="Arial" w:hAnsi="Arial" w:cs="Arial"/>
          <w:sz w:val="20"/>
          <w:szCs w:val="24"/>
          <w:u w:val="single"/>
        </w:rPr>
        <w:t>’s</w:t>
      </w:r>
      <w:r w:rsidRPr="0048788C">
        <w:rPr>
          <w:rFonts w:ascii="Arial" w:hAnsi="Arial" w:cs="Arial"/>
          <w:sz w:val="20"/>
          <w:szCs w:val="24"/>
          <w:u w:val="single"/>
        </w:rPr>
        <w:t xml:space="preserve"> </w:t>
      </w:r>
      <w:r w:rsidR="002A1D33" w:rsidRPr="0048788C">
        <w:rPr>
          <w:rFonts w:ascii="Arial" w:hAnsi="Arial" w:cs="Arial"/>
          <w:sz w:val="20"/>
          <w:szCs w:val="24"/>
          <w:u w:val="single"/>
        </w:rPr>
        <w:t>appearance in Game 6</w:t>
      </w:r>
    </w:p>
    <w:p w14:paraId="27CB3DE4" w14:textId="0015A129" w:rsidR="002A1D33" w:rsidRPr="0048788C" w:rsidRDefault="002A1D33" w:rsidP="002A1D33">
      <w:pPr>
        <w:pStyle w:val="ABABodyText"/>
        <w:spacing w:before="120" w:line="276" w:lineRule="auto"/>
        <w:rPr>
          <w:rFonts w:ascii="Arial" w:hAnsi="Arial" w:cs="Arial"/>
          <w:sz w:val="20"/>
        </w:rPr>
      </w:pPr>
      <w:r w:rsidRPr="0048788C">
        <w:rPr>
          <w:rFonts w:ascii="Arial" w:hAnsi="Arial" w:cs="Arial"/>
          <w:sz w:val="20"/>
        </w:rPr>
        <w:t xml:space="preserve">The ACMA’s view is that </w:t>
      </w:r>
      <w:r w:rsidR="00151DA8">
        <w:rPr>
          <w:rFonts w:ascii="Arial" w:hAnsi="Arial" w:cs="Arial"/>
          <w:sz w:val="20"/>
        </w:rPr>
        <w:t>Presenter 2</w:t>
      </w:r>
      <w:r w:rsidR="00151DA8" w:rsidRPr="0048788C">
        <w:rPr>
          <w:rFonts w:ascii="Arial" w:hAnsi="Arial" w:cs="Arial"/>
          <w:sz w:val="20"/>
        </w:rPr>
        <w:t xml:space="preserve"> </w:t>
      </w:r>
      <w:r w:rsidRPr="0048788C">
        <w:rPr>
          <w:rFonts w:ascii="Arial" w:hAnsi="Arial" w:cs="Arial"/>
          <w:sz w:val="20"/>
        </w:rPr>
        <w:t xml:space="preserve">was a clearly identifiable representative of a betting organisation and did not appear as a ‘commentator’ during </w:t>
      </w:r>
      <w:r>
        <w:rPr>
          <w:rFonts w:ascii="Arial" w:hAnsi="Arial" w:cs="Arial"/>
          <w:sz w:val="20"/>
        </w:rPr>
        <w:t xml:space="preserve">the Promotion of Betting Odds in </w:t>
      </w:r>
      <w:r w:rsidRPr="0048788C">
        <w:rPr>
          <w:rFonts w:ascii="Arial" w:hAnsi="Arial" w:cs="Arial"/>
          <w:sz w:val="20"/>
        </w:rPr>
        <w:t xml:space="preserve">Game 6. </w:t>
      </w:r>
      <w:r>
        <w:rPr>
          <w:rFonts w:ascii="Arial" w:hAnsi="Arial" w:cs="Arial"/>
          <w:sz w:val="20"/>
        </w:rPr>
        <w:t>The ACMA notes that:</w:t>
      </w:r>
    </w:p>
    <w:p w14:paraId="3B120C1A" w14:textId="25127029" w:rsidR="002A1D33" w:rsidRPr="0072035C" w:rsidRDefault="00151DA8" w:rsidP="00D35318">
      <w:pPr>
        <w:pStyle w:val="ABABodyText"/>
        <w:numPr>
          <w:ilvl w:val="0"/>
          <w:numId w:val="6"/>
        </w:numPr>
        <w:spacing w:before="120" w:line="276" w:lineRule="auto"/>
        <w:rPr>
          <w:rFonts w:ascii="Arial" w:hAnsi="Arial" w:cs="Arial"/>
          <w:sz w:val="20"/>
          <w:szCs w:val="24"/>
        </w:rPr>
      </w:pPr>
      <w:r>
        <w:rPr>
          <w:rFonts w:ascii="Arial" w:hAnsi="Arial" w:cs="Arial"/>
          <w:sz w:val="20"/>
        </w:rPr>
        <w:t>Presenter 2</w:t>
      </w:r>
      <w:r w:rsidRPr="0048788C">
        <w:rPr>
          <w:rFonts w:ascii="Arial" w:hAnsi="Arial" w:cs="Arial"/>
          <w:sz w:val="20"/>
        </w:rPr>
        <w:t xml:space="preserve"> </w:t>
      </w:r>
      <w:r w:rsidR="002A1D33" w:rsidRPr="00131DF9">
        <w:rPr>
          <w:rFonts w:ascii="Arial" w:hAnsi="Arial" w:cs="Arial"/>
          <w:sz w:val="20"/>
          <w:szCs w:val="24"/>
        </w:rPr>
        <w:t xml:space="preserve">did not appear </w:t>
      </w:r>
      <w:r w:rsidR="002A1D33" w:rsidRPr="0072035C">
        <w:rPr>
          <w:rFonts w:ascii="Arial" w:hAnsi="Arial" w:cs="Arial"/>
          <w:sz w:val="20"/>
          <w:szCs w:val="24"/>
        </w:rPr>
        <w:t xml:space="preserve">to be </w:t>
      </w:r>
      <w:r w:rsidR="002A1D33" w:rsidRPr="00131DF9">
        <w:rPr>
          <w:rFonts w:ascii="Arial" w:hAnsi="Arial" w:cs="Arial"/>
          <w:sz w:val="20"/>
          <w:szCs w:val="24"/>
        </w:rPr>
        <w:t>at or around the sporting venue</w:t>
      </w:r>
      <w:r w:rsidR="002A1D33" w:rsidRPr="0072035C">
        <w:rPr>
          <w:rFonts w:ascii="Arial" w:hAnsi="Arial" w:cs="Arial"/>
          <w:sz w:val="20"/>
          <w:szCs w:val="24"/>
        </w:rPr>
        <w:t>.</w:t>
      </w:r>
      <w:r w:rsidR="002A1D33" w:rsidRPr="00131DF9">
        <w:rPr>
          <w:rFonts w:ascii="Arial" w:hAnsi="Arial" w:cs="Arial"/>
          <w:sz w:val="20"/>
          <w:szCs w:val="24"/>
        </w:rPr>
        <w:t xml:space="preserve"> </w:t>
      </w:r>
    </w:p>
    <w:p w14:paraId="3E6704BB" w14:textId="4F659170" w:rsidR="002A1D33" w:rsidRPr="0072035C" w:rsidRDefault="00151DA8" w:rsidP="00D35318">
      <w:pPr>
        <w:pStyle w:val="ABABodyText"/>
        <w:numPr>
          <w:ilvl w:val="0"/>
          <w:numId w:val="6"/>
        </w:numPr>
        <w:spacing w:before="120" w:line="276" w:lineRule="auto"/>
        <w:rPr>
          <w:rFonts w:ascii="Arial" w:hAnsi="Arial" w:cs="Arial"/>
          <w:sz w:val="20"/>
          <w:szCs w:val="24"/>
        </w:rPr>
      </w:pPr>
      <w:r>
        <w:rPr>
          <w:rFonts w:ascii="Arial" w:hAnsi="Arial" w:cs="Arial"/>
          <w:sz w:val="20"/>
        </w:rPr>
        <w:t>Presenter 2</w:t>
      </w:r>
      <w:r w:rsidRPr="0048788C">
        <w:rPr>
          <w:rFonts w:ascii="Arial" w:hAnsi="Arial" w:cs="Arial"/>
          <w:sz w:val="20"/>
        </w:rPr>
        <w:t xml:space="preserve"> </w:t>
      </w:r>
      <w:r w:rsidR="002A1D33" w:rsidRPr="00131DF9">
        <w:rPr>
          <w:rFonts w:ascii="Arial" w:hAnsi="Arial" w:cs="Arial"/>
          <w:sz w:val="20"/>
          <w:szCs w:val="24"/>
        </w:rPr>
        <w:t xml:space="preserve">appeared in casual attire in front of a black background. </w:t>
      </w:r>
    </w:p>
    <w:p w14:paraId="112D581F" w14:textId="0689468A" w:rsidR="002A1D33" w:rsidRPr="0072035C" w:rsidRDefault="00151DA8" w:rsidP="00D35318">
      <w:pPr>
        <w:pStyle w:val="ABABodyText"/>
        <w:numPr>
          <w:ilvl w:val="0"/>
          <w:numId w:val="6"/>
        </w:numPr>
        <w:spacing w:before="120" w:line="276" w:lineRule="auto"/>
        <w:rPr>
          <w:rFonts w:ascii="Arial" w:hAnsi="Arial" w:cs="Arial"/>
          <w:sz w:val="20"/>
          <w:szCs w:val="24"/>
        </w:rPr>
      </w:pPr>
      <w:r>
        <w:rPr>
          <w:rFonts w:ascii="Arial" w:hAnsi="Arial" w:cs="Arial"/>
          <w:sz w:val="20"/>
        </w:rPr>
        <w:t>Presenter 2</w:t>
      </w:r>
      <w:r w:rsidRPr="0048788C">
        <w:rPr>
          <w:rFonts w:ascii="Arial" w:hAnsi="Arial" w:cs="Arial"/>
          <w:sz w:val="20"/>
        </w:rPr>
        <w:t xml:space="preserve"> </w:t>
      </w:r>
      <w:r w:rsidR="002A1D33" w:rsidRPr="0072035C">
        <w:rPr>
          <w:rFonts w:ascii="Arial" w:hAnsi="Arial" w:cs="Arial"/>
          <w:sz w:val="20"/>
          <w:szCs w:val="24"/>
        </w:rPr>
        <w:t>was not using any ESPN-branded equipment.</w:t>
      </w:r>
    </w:p>
    <w:p w14:paraId="139A5D1B" w14:textId="7D682656" w:rsidR="002A1D33" w:rsidRPr="0072035C" w:rsidRDefault="002A1D33" w:rsidP="00D35318">
      <w:pPr>
        <w:pStyle w:val="ABABodyText"/>
        <w:numPr>
          <w:ilvl w:val="0"/>
          <w:numId w:val="6"/>
        </w:numPr>
        <w:spacing w:before="120" w:line="276" w:lineRule="auto"/>
        <w:rPr>
          <w:rFonts w:ascii="Arial" w:hAnsi="Arial" w:cs="Arial"/>
          <w:sz w:val="20"/>
          <w:szCs w:val="24"/>
        </w:rPr>
      </w:pPr>
      <w:r w:rsidRPr="0072035C">
        <w:rPr>
          <w:rFonts w:ascii="Arial" w:hAnsi="Arial" w:cs="Arial"/>
          <w:sz w:val="20"/>
          <w:szCs w:val="24"/>
        </w:rPr>
        <w:lastRenderedPageBreak/>
        <w:t xml:space="preserve">The [Australian betting company] promotion was clearly branded and </w:t>
      </w:r>
      <w:r w:rsidR="00540D00" w:rsidRPr="0072035C">
        <w:rPr>
          <w:rFonts w:ascii="Arial" w:hAnsi="Arial" w:cs="Arial"/>
          <w:sz w:val="20"/>
          <w:szCs w:val="24"/>
        </w:rPr>
        <w:t xml:space="preserve">the [Australian betting company] logo </w:t>
      </w:r>
      <w:r w:rsidR="00540D00">
        <w:rPr>
          <w:rFonts w:ascii="Arial" w:hAnsi="Arial" w:cs="Arial"/>
          <w:sz w:val="20"/>
          <w:szCs w:val="24"/>
        </w:rPr>
        <w:t xml:space="preserve">was </w:t>
      </w:r>
      <w:r w:rsidRPr="0072035C">
        <w:rPr>
          <w:rFonts w:ascii="Arial" w:hAnsi="Arial" w:cs="Arial"/>
          <w:sz w:val="20"/>
          <w:szCs w:val="24"/>
        </w:rPr>
        <w:t xml:space="preserve">included throughout the promotion. </w:t>
      </w:r>
    </w:p>
    <w:p w14:paraId="23F27EFF" w14:textId="77777777" w:rsidR="002A1D33" w:rsidRPr="0072035C" w:rsidRDefault="002A1D33" w:rsidP="00D35318">
      <w:pPr>
        <w:pStyle w:val="ABABodyText"/>
        <w:numPr>
          <w:ilvl w:val="0"/>
          <w:numId w:val="6"/>
        </w:numPr>
        <w:spacing w:before="120" w:line="276" w:lineRule="auto"/>
        <w:rPr>
          <w:rFonts w:ascii="Arial" w:hAnsi="Arial" w:cs="Arial"/>
          <w:sz w:val="20"/>
          <w:szCs w:val="24"/>
        </w:rPr>
      </w:pPr>
      <w:r w:rsidRPr="0072035C">
        <w:rPr>
          <w:rFonts w:ascii="Arial" w:hAnsi="Arial" w:cs="Arial"/>
          <w:sz w:val="20"/>
          <w:szCs w:val="24"/>
        </w:rPr>
        <w:t>The responsible gambling message was shown throughout the advertisement.</w:t>
      </w:r>
    </w:p>
    <w:p w14:paraId="28FEBA3B" w14:textId="16445BF9" w:rsidR="002A1D33" w:rsidRDefault="00151DA8" w:rsidP="00D35318">
      <w:pPr>
        <w:pStyle w:val="ABABodyText"/>
        <w:numPr>
          <w:ilvl w:val="0"/>
          <w:numId w:val="6"/>
        </w:numPr>
        <w:spacing w:before="120" w:line="276" w:lineRule="auto"/>
        <w:rPr>
          <w:rFonts w:ascii="Arial" w:hAnsi="Arial" w:cs="Arial"/>
          <w:sz w:val="20"/>
          <w:szCs w:val="24"/>
        </w:rPr>
      </w:pPr>
      <w:r>
        <w:rPr>
          <w:rFonts w:ascii="Arial" w:hAnsi="Arial" w:cs="Arial"/>
          <w:sz w:val="20"/>
        </w:rPr>
        <w:t>Presenter 2</w:t>
      </w:r>
      <w:r w:rsidRPr="0048788C">
        <w:rPr>
          <w:rFonts w:ascii="Arial" w:hAnsi="Arial" w:cs="Arial"/>
          <w:sz w:val="20"/>
        </w:rPr>
        <w:t xml:space="preserve"> </w:t>
      </w:r>
      <w:r w:rsidR="002A1D33" w:rsidRPr="00131DF9">
        <w:rPr>
          <w:rFonts w:ascii="Arial" w:hAnsi="Arial" w:cs="Arial"/>
          <w:sz w:val="20"/>
          <w:szCs w:val="24"/>
        </w:rPr>
        <w:t>concluded the segment with a verbal responsible gambling message.</w:t>
      </w:r>
    </w:p>
    <w:p w14:paraId="2B9713E2" w14:textId="77777777" w:rsidR="002A1D33" w:rsidRDefault="002A1D33" w:rsidP="002A1D33">
      <w:pPr>
        <w:suppressAutoHyphens/>
        <w:spacing w:before="0" w:line="276" w:lineRule="auto"/>
        <w:rPr>
          <w:rFonts w:cs="Arial"/>
          <w:b/>
          <w:bCs/>
          <w:i w:val="0"/>
        </w:rPr>
      </w:pPr>
      <w:r w:rsidRPr="0048788C">
        <w:rPr>
          <w:rFonts w:cs="Arial"/>
          <w:b/>
          <w:bCs/>
          <w:i w:val="0"/>
        </w:rPr>
        <w:t>Was the Promotion of Betting Odds shown at prohibited times during the Live Sporting Event?</w:t>
      </w:r>
    </w:p>
    <w:p w14:paraId="5DE29F8A" w14:textId="77777777" w:rsidR="002A1D33" w:rsidRDefault="002A1D33" w:rsidP="002A1D33">
      <w:pPr>
        <w:pStyle w:val="ACMABodyText"/>
        <w:rPr>
          <w:u w:val="single"/>
        </w:rPr>
      </w:pPr>
      <w:r w:rsidRPr="00963BEC">
        <w:rPr>
          <w:u w:val="single"/>
        </w:rPr>
        <w:t>Clause 4</w:t>
      </w:r>
    </w:p>
    <w:p w14:paraId="5A0F5430" w14:textId="1F1205FE" w:rsidR="002A1D33" w:rsidRPr="00963BEC" w:rsidRDefault="002A1D33" w:rsidP="002A1D33">
      <w:pPr>
        <w:pStyle w:val="ACMABodyText"/>
        <w:rPr>
          <w:i/>
        </w:rPr>
      </w:pPr>
      <w:r w:rsidRPr="00963BEC">
        <w:t xml:space="preserve">The Promotion of Betting Odds by </w:t>
      </w:r>
      <w:r w:rsidR="000B720E">
        <w:rPr>
          <w:rFonts w:cs="Arial"/>
        </w:rPr>
        <w:t>Presenter 2</w:t>
      </w:r>
      <w:r w:rsidR="000B720E" w:rsidRPr="0048788C">
        <w:rPr>
          <w:rFonts w:cs="Arial"/>
        </w:rPr>
        <w:t xml:space="preserve"> </w:t>
      </w:r>
      <w:r>
        <w:t xml:space="preserve">occurred prior to the commencement of Game 6 and was permitted under clause 4 of Appendix A to the Code. As noted above, the ACMA’s view is that </w:t>
      </w:r>
      <w:r w:rsidR="000B720E">
        <w:rPr>
          <w:rFonts w:cs="Arial"/>
        </w:rPr>
        <w:t>Presenter 2</w:t>
      </w:r>
      <w:r w:rsidR="000B720E" w:rsidRPr="0048788C">
        <w:rPr>
          <w:rFonts w:cs="Arial"/>
        </w:rPr>
        <w:t xml:space="preserve"> </w:t>
      </w:r>
      <w:r w:rsidRPr="00467F8A">
        <w:rPr>
          <w:rFonts w:cs="Arial"/>
        </w:rPr>
        <w:t>was clearly identified as a representative of a betting organisation</w:t>
      </w:r>
      <w:r>
        <w:rPr>
          <w:rFonts w:cs="Arial"/>
        </w:rPr>
        <w:t xml:space="preserve"> and did not appear </w:t>
      </w:r>
      <w:r w:rsidRPr="0048788C">
        <w:rPr>
          <w:rFonts w:cs="Arial"/>
        </w:rPr>
        <w:t>as a ‘commentator’</w:t>
      </w:r>
      <w:r>
        <w:rPr>
          <w:rFonts w:cs="Arial"/>
        </w:rPr>
        <w:t>.</w:t>
      </w:r>
    </w:p>
    <w:p w14:paraId="191D9439" w14:textId="77777777" w:rsidR="002A1D33" w:rsidRPr="00131DF9" w:rsidRDefault="002A1D33" w:rsidP="002A1D33">
      <w:pPr>
        <w:pStyle w:val="ACMABodyText"/>
        <w:rPr>
          <w:rFonts w:cs="Arial"/>
          <w:i/>
          <w:u w:val="single"/>
        </w:rPr>
      </w:pPr>
      <w:r w:rsidRPr="00131DF9">
        <w:rPr>
          <w:rFonts w:cs="Arial"/>
          <w:u w:val="single"/>
        </w:rPr>
        <w:t>Clause 5</w:t>
      </w:r>
    </w:p>
    <w:p w14:paraId="1ECC1FEF" w14:textId="2C402357" w:rsidR="002A1D33" w:rsidRPr="0048788C" w:rsidRDefault="002A1D33" w:rsidP="002A1D33">
      <w:pPr>
        <w:pStyle w:val="ACMAQuoteindented"/>
        <w:spacing w:line="276" w:lineRule="auto"/>
        <w:ind w:left="0"/>
        <w:rPr>
          <w:sz w:val="20"/>
        </w:rPr>
      </w:pPr>
      <w:r w:rsidRPr="0048788C">
        <w:rPr>
          <w:sz w:val="20"/>
        </w:rPr>
        <w:t xml:space="preserve">The Promotion of Betting Odds by </w:t>
      </w:r>
      <w:r w:rsidR="004C4F4C" w:rsidRPr="00BF2AB7">
        <w:rPr>
          <w:sz w:val="20"/>
        </w:rPr>
        <w:t>Presenter 1</w:t>
      </w:r>
      <w:r w:rsidRPr="0048788C">
        <w:rPr>
          <w:sz w:val="20"/>
        </w:rPr>
        <w:t xml:space="preserve"> in Game 1 and Game 6 occurred less than 30 minutes prior to the commencement of play, which is not permitted under clause 5 of Appendix A to the Code. </w:t>
      </w:r>
    </w:p>
    <w:p w14:paraId="17F1C368" w14:textId="77777777" w:rsidR="002A1D33" w:rsidRPr="00131DF9" w:rsidRDefault="002A1D33" w:rsidP="002A1D33">
      <w:pPr>
        <w:pStyle w:val="ACMAQuoteindented"/>
        <w:spacing w:line="276" w:lineRule="auto"/>
        <w:ind w:left="0"/>
        <w:rPr>
          <w:sz w:val="20"/>
          <w:u w:val="single"/>
        </w:rPr>
      </w:pPr>
      <w:r w:rsidRPr="00131DF9">
        <w:rPr>
          <w:sz w:val="20"/>
          <w:u w:val="single"/>
        </w:rPr>
        <w:t xml:space="preserve">Clauses 6 and 7 </w:t>
      </w:r>
    </w:p>
    <w:p w14:paraId="30E22D5F" w14:textId="117CA8E8" w:rsidR="002A1D33" w:rsidRPr="0048788C" w:rsidRDefault="000B720E" w:rsidP="002A1D33">
      <w:pPr>
        <w:pStyle w:val="ACMABodyText"/>
        <w:spacing w:line="276" w:lineRule="auto"/>
        <w:rPr>
          <w:rFonts w:cs="Arial"/>
          <w:iCs/>
        </w:rPr>
      </w:pPr>
      <w:r>
        <w:rPr>
          <w:rFonts w:cs="Arial"/>
        </w:rPr>
        <w:t>Presenter 2</w:t>
      </w:r>
      <w:r w:rsidRPr="0048788C">
        <w:rPr>
          <w:rFonts w:cs="Arial"/>
        </w:rPr>
        <w:t xml:space="preserve"> </w:t>
      </w:r>
      <w:r w:rsidR="002A1D33" w:rsidRPr="00467F8A">
        <w:rPr>
          <w:rFonts w:cs="Arial"/>
        </w:rPr>
        <w:t>was clearly identified as a representative of a betting organisation and did not appear to be at or around the sporting venue. The ACMA’s view is that Licensee did not breach the restrictions in clauses 6 and 7 of Appendix A of the Code.</w:t>
      </w:r>
    </w:p>
    <w:p w14:paraId="6FF35F04" w14:textId="77777777" w:rsidR="002A1D33" w:rsidRPr="00131DF9" w:rsidRDefault="002A1D33" w:rsidP="002A1D33">
      <w:pPr>
        <w:suppressAutoHyphens/>
        <w:spacing w:before="0" w:line="276" w:lineRule="auto"/>
        <w:rPr>
          <w:rFonts w:cs="Arial"/>
          <w:b/>
          <w:bCs/>
          <w:i w:val="0"/>
        </w:rPr>
      </w:pPr>
      <w:r w:rsidRPr="00131DF9">
        <w:rPr>
          <w:rFonts w:cs="Arial"/>
          <w:b/>
          <w:bCs/>
          <w:i w:val="0"/>
        </w:rPr>
        <w:t>Exception to liability</w:t>
      </w:r>
    </w:p>
    <w:p w14:paraId="6690FD8F" w14:textId="77777777" w:rsidR="002A1D33" w:rsidRPr="0048788C" w:rsidRDefault="002A1D33" w:rsidP="002A1D33">
      <w:pPr>
        <w:pStyle w:val="ACMABodyText"/>
        <w:spacing w:line="276" w:lineRule="auto"/>
        <w:rPr>
          <w:rFonts w:cs="Arial"/>
        </w:rPr>
      </w:pPr>
      <w:r w:rsidRPr="0048788C">
        <w:rPr>
          <w:rFonts w:cs="Arial"/>
        </w:rPr>
        <w:t xml:space="preserve">The Licensee has raised clause 17 of Appendix A to the Code which states that it will not be a </w:t>
      </w:r>
      <w:r w:rsidRPr="00AD4629">
        <w:rPr>
          <w:rFonts w:cs="Arial"/>
        </w:rPr>
        <w:t>breach of Appendix</w:t>
      </w:r>
      <w:r w:rsidRPr="0048788C">
        <w:rPr>
          <w:rFonts w:cs="Arial"/>
        </w:rPr>
        <w:t xml:space="preserve"> </w:t>
      </w:r>
      <w:r>
        <w:rPr>
          <w:rFonts w:cs="Arial"/>
        </w:rPr>
        <w:t xml:space="preserve">A </w:t>
      </w:r>
      <w:r w:rsidRPr="0048788C">
        <w:rPr>
          <w:rFonts w:cs="Arial"/>
        </w:rPr>
        <w:t>if:</w:t>
      </w:r>
    </w:p>
    <w:p w14:paraId="635C405F" w14:textId="77777777" w:rsidR="002A1D33" w:rsidRPr="00131DF9" w:rsidRDefault="002A1D33" w:rsidP="002A1D33">
      <w:pPr>
        <w:pStyle w:val="ABABodyText"/>
        <w:numPr>
          <w:ilvl w:val="0"/>
          <w:numId w:val="2"/>
        </w:numPr>
        <w:spacing w:before="120" w:line="276" w:lineRule="auto"/>
        <w:rPr>
          <w:rFonts w:ascii="Arial" w:hAnsi="Arial" w:cs="Arial"/>
        </w:rPr>
      </w:pPr>
      <w:r w:rsidRPr="00131DF9">
        <w:rPr>
          <w:rFonts w:ascii="Arial" w:hAnsi="Arial" w:cs="Arial"/>
          <w:sz w:val="20"/>
        </w:rPr>
        <w:t xml:space="preserve">a failure to comply arises from a Live Sporting Event originating from outside Australia; and </w:t>
      </w:r>
    </w:p>
    <w:p w14:paraId="651E6C27" w14:textId="77777777" w:rsidR="002A1D33" w:rsidRPr="0048788C" w:rsidRDefault="002A1D33" w:rsidP="002A1D33">
      <w:pPr>
        <w:pStyle w:val="ABABodyText"/>
        <w:numPr>
          <w:ilvl w:val="0"/>
          <w:numId w:val="2"/>
        </w:numPr>
        <w:spacing w:before="120" w:line="276" w:lineRule="auto"/>
        <w:rPr>
          <w:rFonts w:ascii="Arial" w:hAnsi="Arial" w:cs="Arial"/>
          <w:sz w:val="20"/>
        </w:rPr>
      </w:pPr>
      <w:r w:rsidRPr="00131DF9">
        <w:rPr>
          <w:rFonts w:ascii="Arial" w:hAnsi="Arial" w:cs="Arial"/>
          <w:sz w:val="20"/>
        </w:rPr>
        <w:t>the Licensee has not added the Promotion of Betting Odds or Betting Advertising</w:t>
      </w:r>
      <w:r w:rsidRPr="0048788C">
        <w:rPr>
          <w:rFonts w:ascii="Arial" w:hAnsi="Arial" w:cs="Arial"/>
          <w:sz w:val="20"/>
        </w:rPr>
        <w:t>;</w:t>
      </w:r>
      <w:r w:rsidRPr="00131DF9">
        <w:rPr>
          <w:rFonts w:ascii="Arial" w:hAnsi="Arial" w:cs="Arial"/>
          <w:sz w:val="20"/>
        </w:rPr>
        <w:t xml:space="preserve"> and</w:t>
      </w:r>
    </w:p>
    <w:p w14:paraId="7E7A2C48" w14:textId="77777777" w:rsidR="00794F7B" w:rsidRDefault="002A1D33" w:rsidP="002A1D33">
      <w:pPr>
        <w:pStyle w:val="ABABodyText"/>
        <w:numPr>
          <w:ilvl w:val="0"/>
          <w:numId w:val="2"/>
        </w:numPr>
        <w:spacing w:line="276" w:lineRule="auto"/>
        <w:rPr>
          <w:rFonts w:ascii="Arial" w:hAnsi="Arial" w:cs="Arial"/>
          <w:sz w:val="20"/>
        </w:rPr>
      </w:pPr>
      <w:r w:rsidRPr="00131DF9">
        <w:rPr>
          <w:rFonts w:ascii="Arial" w:hAnsi="Arial" w:cs="Arial"/>
          <w:sz w:val="20"/>
        </w:rPr>
        <w:t>the Licensee does not receive any direct or indirect benefit for the Promotion of Betting Odds or the broadcast of the Betting Advertising in addition to any direct or indirect benefit received from broadcasting the Live Sporting Event</w:t>
      </w:r>
      <w:r w:rsidR="00794F7B">
        <w:rPr>
          <w:rFonts w:ascii="Arial" w:hAnsi="Arial" w:cs="Arial"/>
          <w:sz w:val="20"/>
        </w:rPr>
        <w:t>; and</w:t>
      </w:r>
    </w:p>
    <w:p w14:paraId="5B2806BB" w14:textId="4E3590D6" w:rsidR="002A1D33" w:rsidRDefault="00430743" w:rsidP="002A1D33">
      <w:pPr>
        <w:pStyle w:val="ABABodyText"/>
        <w:numPr>
          <w:ilvl w:val="0"/>
          <w:numId w:val="2"/>
        </w:numPr>
        <w:spacing w:line="276" w:lineRule="auto"/>
        <w:rPr>
          <w:rFonts w:ascii="Arial" w:hAnsi="Arial" w:cs="Arial"/>
          <w:sz w:val="20"/>
        </w:rPr>
      </w:pPr>
      <w:r>
        <w:rPr>
          <w:rFonts w:ascii="Arial" w:hAnsi="Arial" w:cs="Arial"/>
          <w:sz w:val="20"/>
        </w:rPr>
        <w:t>it is not reasonably practicable for the Licensee to remove the Promotion of Betting Odds or Betting Advertising</w:t>
      </w:r>
      <w:r w:rsidR="002A1D33">
        <w:rPr>
          <w:rFonts w:ascii="Arial" w:hAnsi="Arial" w:cs="Arial"/>
          <w:sz w:val="20"/>
        </w:rPr>
        <w:t>.</w:t>
      </w:r>
    </w:p>
    <w:p w14:paraId="299729B9" w14:textId="509A61B4" w:rsidR="002A1D33" w:rsidRPr="00131DF9" w:rsidRDefault="002A1D33" w:rsidP="002A1D33">
      <w:pPr>
        <w:pStyle w:val="ACMABodyText"/>
        <w:spacing w:line="276" w:lineRule="auto"/>
        <w:rPr>
          <w:i/>
          <w:lang w:eastAsia="en-AU"/>
        </w:rPr>
      </w:pPr>
      <w:r w:rsidRPr="00A35166">
        <w:t xml:space="preserve">The Licensee submitted </w:t>
      </w:r>
      <w:r w:rsidRPr="00131DF9">
        <w:rPr>
          <w:rFonts w:cs="Arial"/>
          <w:lang w:eastAsia="en-AU"/>
        </w:rPr>
        <w:t xml:space="preserve">that such failure is not a breach of the Code by </w:t>
      </w:r>
      <w:r w:rsidRPr="00A35166">
        <w:rPr>
          <w:lang w:eastAsia="en-AU"/>
        </w:rPr>
        <w:t>operation of clause 17 of Appendix A because:</w:t>
      </w:r>
    </w:p>
    <w:p w14:paraId="2728665D"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(i) the Games originated from outside Australia;</w:t>
      </w:r>
    </w:p>
    <w:p w14:paraId="53EBD48D"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(ii) Foxtel did not add the Promotions of Betting Odds presented by either</w:t>
      </w:r>
    </w:p>
    <w:p w14:paraId="19460C1A" w14:textId="7F6214D2" w:rsidR="002A1D33" w:rsidRPr="00377BF1" w:rsidRDefault="006C734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P</w:t>
      </w:r>
      <w:r>
        <w:rPr>
          <w:rFonts w:ascii="Arial" w:hAnsi="Arial" w:cs="Arial"/>
          <w:sz w:val="18"/>
          <w:szCs w:val="18"/>
        </w:rPr>
        <w:t>resenter 1</w:t>
      </w:r>
      <w:r w:rsidR="002A1D33" w:rsidRPr="00377BF1">
        <w:rPr>
          <w:rFonts w:ascii="Arial" w:hAnsi="Arial" w:cs="Arial"/>
          <w:sz w:val="18"/>
          <w:szCs w:val="18"/>
        </w:rPr>
        <w:t xml:space="preserve"> or </w:t>
      </w:r>
      <w:r>
        <w:rPr>
          <w:rFonts w:ascii="Arial" w:hAnsi="Arial" w:cs="Arial"/>
          <w:sz w:val="18"/>
          <w:szCs w:val="18"/>
        </w:rPr>
        <w:t xml:space="preserve">Presenter 2 </w:t>
      </w:r>
      <w:r w:rsidR="002A1D33" w:rsidRPr="00377BF1">
        <w:rPr>
          <w:rFonts w:ascii="Arial" w:hAnsi="Arial" w:cs="Arial"/>
          <w:sz w:val="18"/>
          <w:szCs w:val="18"/>
        </w:rPr>
        <w:t>into the streams of the Games;</w:t>
      </w:r>
    </w:p>
    <w:p w14:paraId="2F4B03FC"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(iii) Foxtel did not receive any benefit for transmitting these Promotions of</w:t>
      </w:r>
    </w:p>
    <w:p w14:paraId="6BE49969"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Betting Odds; and</w:t>
      </w:r>
    </w:p>
    <w:p w14:paraId="3BDE3A32"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(iv) it was not reasonably practicable for Foxtel to remove these</w:t>
      </w:r>
    </w:p>
    <w:p w14:paraId="576B5D1D"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lastRenderedPageBreak/>
        <w:t>Promotions of Betting Odds from the streams of the Games as the</w:t>
      </w:r>
    </w:p>
    <w:p w14:paraId="4CE01047"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Promotions of Betting Odds were included in the broadcast feed</w:t>
      </w:r>
    </w:p>
    <w:p w14:paraId="4ADD5F77"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provided by the Channel Supplier to Foxtel. Foxtel has no practical</w:t>
      </w:r>
    </w:p>
    <w:p w14:paraId="29A432BF"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control over the broadcast feed of ESPN, which is distributed by the</w:t>
      </w:r>
    </w:p>
    <w:p w14:paraId="1B3B8D0D" w14:textId="77777777" w:rsidR="002A1D33" w:rsidRPr="00377BF1" w:rsidRDefault="002A1D33" w:rsidP="002A1D33">
      <w:pPr>
        <w:pStyle w:val="ABABodyText"/>
        <w:spacing w:before="120" w:line="276" w:lineRule="auto"/>
        <w:ind w:left="720"/>
        <w:rPr>
          <w:rFonts w:ascii="Arial" w:hAnsi="Arial" w:cs="Arial"/>
          <w:sz w:val="18"/>
          <w:szCs w:val="18"/>
        </w:rPr>
      </w:pPr>
      <w:r w:rsidRPr="00377BF1">
        <w:rPr>
          <w:rFonts w:ascii="Arial" w:hAnsi="Arial" w:cs="Arial"/>
          <w:sz w:val="18"/>
          <w:szCs w:val="18"/>
        </w:rPr>
        <w:t>Channel Supplier to multiple licensees in Australia.</w:t>
      </w:r>
    </w:p>
    <w:p w14:paraId="569EE006" w14:textId="5CF96748" w:rsidR="002A1D33" w:rsidRPr="00131DF9" w:rsidRDefault="002A1D33" w:rsidP="002A1D33">
      <w:pPr>
        <w:pStyle w:val="ACMABodyText"/>
        <w:rPr>
          <w:rFonts w:cs="Arial"/>
          <w:iCs/>
          <w:lang w:eastAsia="en-AU"/>
        </w:rPr>
      </w:pPr>
      <w:r>
        <w:rPr>
          <w:rFonts w:cs="Arial"/>
          <w:iCs/>
          <w:lang w:eastAsia="en-AU"/>
        </w:rPr>
        <w:br/>
      </w:r>
      <w:r w:rsidRPr="00131DF9">
        <w:rPr>
          <w:rFonts w:cs="Arial"/>
          <w:iCs/>
          <w:lang w:eastAsia="en-AU"/>
        </w:rPr>
        <w:t xml:space="preserve">The ACMA accepts the submissions that the Games originated from outside Australia and that the </w:t>
      </w:r>
      <w:r w:rsidR="00636BFA">
        <w:rPr>
          <w:rFonts w:cs="Arial"/>
          <w:iCs/>
          <w:lang w:eastAsia="en-AU"/>
        </w:rPr>
        <w:t>Licensee</w:t>
      </w:r>
      <w:r w:rsidRPr="00131DF9">
        <w:rPr>
          <w:rFonts w:cs="Arial"/>
          <w:iCs/>
          <w:lang w:eastAsia="en-AU"/>
        </w:rPr>
        <w:t xml:space="preserve"> did not add the Promotions of Betting Odds into the streams of Game 1 and Game 6.</w:t>
      </w:r>
    </w:p>
    <w:p w14:paraId="280517C7" w14:textId="77777777" w:rsidR="002A1D33" w:rsidRPr="00131DF9" w:rsidRDefault="002A1D33" w:rsidP="002A1D33">
      <w:pPr>
        <w:pStyle w:val="ACMABodyText"/>
        <w:rPr>
          <w:rFonts w:cs="Arial"/>
          <w:iCs/>
          <w:lang w:eastAsia="en-AU"/>
        </w:rPr>
      </w:pPr>
      <w:r w:rsidRPr="00131DF9">
        <w:rPr>
          <w:rFonts w:cs="Arial"/>
          <w:iCs/>
          <w:lang w:eastAsia="en-AU"/>
        </w:rPr>
        <w:t xml:space="preserve">Following an assessment of contractual arrangements and other commercial in-confidence information between the Licensee and </w:t>
      </w:r>
      <w:r>
        <w:rPr>
          <w:rFonts w:cs="Arial"/>
          <w:iCs/>
          <w:lang w:eastAsia="en-AU"/>
        </w:rPr>
        <w:t>the Channel Supplier</w:t>
      </w:r>
      <w:r w:rsidRPr="00131DF9">
        <w:rPr>
          <w:rFonts w:cs="Arial"/>
          <w:iCs/>
          <w:lang w:eastAsia="en-AU"/>
        </w:rPr>
        <w:t>, the ACMA accepts that the Licensee did not receive any direct or indirect benefit for transmitting the Promotions of Betting Odds in Game 1 and Game 6.</w:t>
      </w:r>
    </w:p>
    <w:p w14:paraId="28E4B3FB" w14:textId="10E1C93E" w:rsidR="00D03632" w:rsidRPr="00D03632" w:rsidRDefault="00D03632" w:rsidP="003D039F">
      <w:pPr>
        <w:pStyle w:val="ACMABodyText"/>
        <w:rPr>
          <w:rFonts w:cs="Arial"/>
        </w:rPr>
      </w:pPr>
      <w:bookmarkStart w:id="4" w:name="_Hlk137112477"/>
      <w:r w:rsidRPr="00EB01F5">
        <w:rPr>
          <w:rFonts w:cs="Arial"/>
        </w:rPr>
        <w:t xml:space="preserve">While the ACMA accepts the Licensee's submissions that the </w:t>
      </w:r>
      <w:r>
        <w:rPr>
          <w:rFonts w:cs="Arial"/>
        </w:rPr>
        <w:t>P</w:t>
      </w:r>
      <w:r w:rsidRPr="00EB01F5">
        <w:rPr>
          <w:rFonts w:cs="Arial"/>
        </w:rPr>
        <w:t>romotion</w:t>
      </w:r>
      <w:r>
        <w:rPr>
          <w:rFonts w:cs="Arial"/>
        </w:rPr>
        <w:t>s</w:t>
      </w:r>
      <w:r w:rsidRPr="00EB01F5">
        <w:rPr>
          <w:rFonts w:cs="Arial"/>
        </w:rPr>
        <w:t xml:space="preserve"> of </w:t>
      </w:r>
      <w:r>
        <w:rPr>
          <w:rFonts w:cs="Arial"/>
        </w:rPr>
        <w:t>Betting O</w:t>
      </w:r>
      <w:r w:rsidRPr="00EB01F5">
        <w:rPr>
          <w:rFonts w:cs="Arial"/>
        </w:rPr>
        <w:t>dds w</w:t>
      </w:r>
      <w:r>
        <w:rPr>
          <w:rFonts w:cs="Arial"/>
        </w:rPr>
        <w:t>ere</w:t>
      </w:r>
      <w:r w:rsidRPr="00EB01F5">
        <w:rPr>
          <w:rFonts w:cs="Arial"/>
        </w:rPr>
        <w:t xml:space="preserve"> </w:t>
      </w:r>
      <w:r w:rsidR="00052CC2">
        <w:rPr>
          <w:rFonts w:cs="Arial"/>
        </w:rPr>
        <w:t xml:space="preserve">‘live from the event </w:t>
      </w:r>
      <w:r w:rsidRPr="00EB01F5">
        <w:rPr>
          <w:rFonts w:cs="Arial"/>
        </w:rPr>
        <w:t>outside broadcast' this does not indicate that the material was broadcast live in the normal sense of the expression (i.e. not pre-recorded).</w:t>
      </w:r>
    </w:p>
    <w:p w14:paraId="0D23875B" w14:textId="77777777" w:rsidR="00095104" w:rsidRDefault="00B26A7C" w:rsidP="00B26A7C">
      <w:pPr>
        <w:pStyle w:val="ACMABodyText"/>
        <w:rPr>
          <w:iCs/>
        </w:rPr>
      </w:pPr>
      <w:r>
        <w:rPr>
          <w:rFonts w:cs="Arial"/>
          <w:iCs/>
          <w:lang w:eastAsia="en-AU"/>
        </w:rPr>
        <w:t>T</w:t>
      </w:r>
      <w:r w:rsidRPr="00DC7549">
        <w:rPr>
          <w:rFonts w:cs="Arial"/>
          <w:iCs/>
          <w:lang w:eastAsia="en-AU"/>
        </w:rPr>
        <w:t>he</w:t>
      </w:r>
      <w:r w:rsidRPr="00131DF9">
        <w:rPr>
          <w:rFonts w:cs="Arial"/>
          <w:iCs/>
          <w:lang w:eastAsia="en-AU"/>
        </w:rPr>
        <w:t xml:space="preserve"> Licensee </w:t>
      </w:r>
      <w:r w:rsidR="00521502">
        <w:rPr>
          <w:rFonts w:cs="Arial"/>
          <w:iCs/>
          <w:lang w:eastAsia="en-AU"/>
        </w:rPr>
        <w:t xml:space="preserve">also </w:t>
      </w:r>
      <w:r w:rsidRPr="00131DF9">
        <w:rPr>
          <w:rFonts w:cs="Arial"/>
          <w:iCs/>
          <w:lang w:eastAsia="en-AU"/>
        </w:rPr>
        <w:t xml:space="preserve">submitted that </w:t>
      </w:r>
      <w:r>
        <w:rPr>
          <w:rFonts w:cs="Arial"/>
          <w:iCs/>
          <w:lang w:eastAsia="en-AU"/>
        </w:rPr>
        <w:t>it</w:t>
      </w:r>
      <w:r w:rsidRPr="00131DF9">
        <w:rPr>
          <w:rFonts w:cs="Arial"/>
          <w:iCs/>
          <w:lang w:eastAsia="en-AU"/>
        </w:rPr>
        <w:t xml:space="preserve"> does not currently have the technical capacity to remove advertising or other material from a ‘pass through channel’ such as </w:t>
      </w:r>
      <w:r>
        <w:rPr>
          <w:rFonts w:cs="Arial"/>
          <w:iCs/>
          <w:lang w:eastAsia="en-AU"/>
        </w:rPr>
        <w:t xml:space="preserve">ESPN and </w:t>
      </w:r>
      <w:r>
        <w:rPr>
          <w:iCs/>
        </w:rPr>
        <w:t xml:space="preserve">provided additional information specific to its ICT infrastructure and operational arrangements between itself and the content supplier. </w:t>
      </w:r>
    </w:p>
    <w:p w14:paraId="14F1B8E6" w14:textId="5F7A3FAC" w:rsidR="003D039F" w:rsidRDefault="00FC6262" w:rsidP="00B26A7C">
      <w:pPr>
        <w:pStyle w:val="ACMABodyText"/>
      </w:pPr>
      <w:r>
        <w:t>Having reviewed this additional detail,</w:t>
      </w:r>
      <w:r w:rsidR="00095104">
        <w:t xml:space="preserve"> t</w:t>
      </w:r>
      <w:r w:rsidR="003D039F">
        <w:t xml:space="preserve">he ACMA accepts the submission that </w:t>
      </w:r>
      <w:r w:rsidR="000B4151">
        <w:t xml:space="preserve">the Licensee would incur considerable financial </w:t>
      </w:r>
      <w:r w:rsidR="000D76E9">
        <w:t xml:space="preserve">costs </w:t>
      </w:r>
      <w:r w:rsidR="00FA099F">
        <w:t xml:space="preserve">to </w:t>
      </w:r>
      <w:r w:rsidR="000B4151">
        <w:t>create</w:t>
      </w:r>
      <w:r w:rsidR="0005431A">
        <w:t>,</w:t>
      </w:r>
      <w:r w:rsidR="000B4151">
        <w:t xml:space="preserve"> implement </w:t>
      </w:r>
      <w:r w:rsidR="0005431A">
        <w:t xml:space="preserve">and maintain </w:t>
      </w:r>
      <w:r w:rsidR="000B4151">
        <w:t xml:space="preserve">a bespoke system to </w:t>
      </w:r>
      <w:r w:rsidR="006356E9">
        <w:t xml:space="preserve">remove or replace gambling promotional content </w:t>
      </w:r>
      <w:r w:rsidR="00882485">
        <w:t xml:space="preserve">from live </w:t>
      </w:r>
      <w:r w:rsidR="00DB24E6">
        <w:t>broadcasts</w:t>
      </w:r>
      <w:r w:rsidR="00882485">
        <w:t xml:space="preserve"> originating overseas. </w:t>
      </w:r>
    </w:p>
    <w:p w14:paraId="4A5E20F0" w14:textId="48897647" w:rsidR="005224CD" w:rsidRPr="00EB01F5" w:rsidRDefault="003D039F" w:rsidP="003D039F">
      <w:pPr>
        <w:pStyle w:val="ACMABodyText"/>
      </w:pPr>
      <w:r>
        <w:t>Based on all the available information, t</w:t>
      </w:r>
      <w:r w:rsidR="005224CD">
        <w:rPr>
          <w:iCs/>
        </w:rPr>
        <w:t xml:space="preserve">he </w:t>
      </w:r>
      <w:r w:rsidR="005224CD" w:rsidRPr="0033687F">
        <w:rPr>
          <w:iCs/>
        </w:rPr>
        <w:t>ACMA</w:t>
      </w:r>
      <w:r w:rsidR="003D368F">
        <w:rPr>
          <w:iCs/>
        </w:rPr>
        <w:t xml:space="preserve">’s view is </w:t>
      </w:r>
      <w:r w:rsidR="005224CD" w:rsidRPr="0033687F">
        <w:rPr>
          <w:iCs/>
        </w:rPr>
        <w:t xml:space="preserve">that it was </w:t>
      </w:r>
      <w:r w:rsidR="005224CD">
        <w:rPr>
          <w:iCs/>
        </w:rPr>
        <w:t xml:space="preserve">not </w:t>
      </w:r>
      <w:r w:rsidR="005224CD" w:rsidRPr="0033687F">
        <w:rPr>
          <w:iCs/>
        </w:rPr>
        <w:t xml:space="preserve">reasonably practicable for the Licensee to remove the </w:t>
      </w:r>
      <w:r w:rsidR="00F63B9A">
        <w:rPr>
          <w:iCs/>
        </w:rPr>
        <w:t>P</w:t>
      </w:r>
      <w:r w:rsidR="00DF4CAD">
        <w:rPr>
          <w:iCs/>
        </w:rPr>
        <w:t>romotion</w:t>
      </w:r>
      <w:r w:rsidR="00F63B9A">
        <w:rPr>
          <w:iCs/>
        </w:rPr>
        <w:t>s</w:t>
      </w:r>
      <w:r w:rsidR="00DF4CAD">
        <w:rPr>
          <w:iCs/>
        </w:rPr>
        <w:t xml:space="preserve"> of </w:t>
      </w:r>
      <w:r w:rsidR="00F63B9A">
        <w:rPr>
          <w:iCs/>
        </w:rPr>
        <w:t>B</w:t>
      </w:r>
      <w:r w:rsidR="00DF4CAD">
        <w:rPr>
          <w:iCs/>
        </w:rPr>
        <w:t xml:space="preserve">etting </w:t>
      </w:r>
      <w:r w:rsidR="00F63B9A">
        <w:rPr>
          <w:iCs/>
        </w:rPr>
        <w:t>O</w:t>
      </w:r>
      <w:r w:rsidR="00DF4CAD">
        <w:rPr>
          <w:iCs/>
        </w:rPr>
        <w:t xml:space="preserve">dds </w:t>
      </w:r>
      <w:r w:rsidR="005224CD" w:rsidRPr="0033687F">
        <w:rPr>
          <w:iCs/>
        </w:rPr>
        <w:t xml:space="preserve">that </w:t>
      </w:r>
      <w:r w:rsidR="00DF4CAD">
        <w:rPr>
          <w:iCs/>
        </w:rPr>
        <w:t>we</w:t>
      </w:r>
      <w:r w:rsidR="005224CD" w:rsidRPr="0033687F">
        <w:rPr>
          <w:iCs/>
        </w:rPr>
        <w:t xml:space="preserve">re the subject of this investigation. </w:t>
      </w:r>
    </w:p>
    <w:bookmarkEnd w:id="4"/>
    <w:p w14:paraId="40CDAB21" w14:textId="0F91E512" w:rsidR="00F908D3" w:rsidRDefault="00F908D3" w:rsidP="002A1D33">
      <w:pPr>
        <w:pStyle w:val="ACMABodyText"/>
        <w:rPr>
          <w:rFonts w:cs="Arial"/>
          <w:iCs/>
          <w:lang w:eastAsia="en-AU"/>
        </w:rPr>
      </w:pPr>
      <w:r w:rsidRPr="00FF304E">
        <w:rPr>
          <w:rFonts w:cs="Arial"/>
        </w:rPr>
        <w:t>Therefore, the ACMA accept</w:t>
      </w:r>
      <w:r w:rsidR="00005D01">
        <w:rPr>
          <w:rFonts w:cs="Arial"/>
        </w:rPr>
        <w:t>s</w:t>
      </w:r>
      <w:r w:rsidRPr="00FF304E">
        <w:rPr>
          <w:rFonts w:cs="Arial"/>
        </w:rPr>
        <w:t xml:space="preserve"> that the Licensee has made out a case for reliance on clause 17 of Appendix A</w:t>
      </w:r>
      <w:r w:rsidR="00EC024C">
        <w:rPr>
          <w:rFonts w:cs="Arial"/>
        </w:rPr>
        <w:t>, and therefore</w:t>
      </w:r>
      <w:r w:rsidRPr="00FF304E">
        <w:rPr>
          <w:rFonts w:cs="Arial"/>
        </w:rPr>
        <w:t xml:space="preserve"> the contraventions identified in this investigation were not breaches of Appendix A to the Code.</w:t>
      </w:r>
    </w:p>
    <w:p w14:paraId="4D48C8A7" w14:textId="41F2FA4E" w:rsidR="008C5AEE" w:rsidRPr="0033687F" w:rsidRDefault="008C5AEE" w:rsidP="0033687F">
      <w:pPr>
        <w:suppressAutoHyphens/>
        <w:spacing w:before="0" w:line="276" w:lineRule="auto"/>
        <w:rPr>
          <w:b/>
          <w:bCs/>
        </w:rPr>
      </w:pPr>
      <w:r w:rsidRPr="0033687F">
        <w:rPr>
          <w:rFonts w:cs="Arial"/>
          <w:b/>
          <w:bCs/>
          <w:i w:val="0"/>
        </w:rPr>
        <w:t>Conclusion</w:t>
      </w:r>
    </w:p>
    <w:p w14:paraId="3876B295" w14:textId="69ECEB2F" w:rsidR="002A1D33" w:rsidRDefault="002A1D33" w:rsidP="0033687F">
      <w:pPr>
        <w:pStyle w:val="ACMAQuoteindented"/>
        <w:spacing w:line="276" w:lineRule="auto"/>
        <w:ind w:left="0"/>
        <w:rPr>
          <w:sz w:val="20"/>
        </w:rPr>
      </w:pPr>
      <w:r w:rsidRPr="00131DF9">
        <w:rPr>
          <w:sz w:val="20"/>
        </w:rPr>
        <w:t xml:space="preserve">Accordingly, the ACMA’s view is that </w:t>
      </w:r>
      <w:r w:rsidRPr="0048788C">
        <w:rPr>
          <w:sz w:val="20"/>
        </w:rPr>
        <w:t>the Licensee</w:t>
      </w:r>
      <w:r w:rsidR="00FA4765">
        <w:rPr>
          <w:sz w:val="20"/>
        </w:rPr>
        <w:t xml:space="preserve"> did not</w:t>
      </w:r>
      <w:r w:rsidRPr="00131DF9">
        <w:rPr>
          <w:sz w:val="20"/>
        </w:rPr>
        <w:t xml:space="preserve"> breach clause 5 of Appendix A to the Code in relation to the Promotion</w:t>
      </w:r>
      <w:r>
        <w:rPr>
          <w:sz w:val="20"/>
        </w:rPr>
        <w:t>s</w:t>
      </w:r>
      <w:r w:rsidRPr="00131DF9">
        <w:rPr>
          <w:sz w:val="20"/>
        </w:rPr>
        <w:t xml:space="preserve"> of Betting Odds by </w:t>
      </w:r>
      <w:r w:rsidR="007C0945">
        <w:rPr>
          <w:sz w:val="20"/>
        </w:rPr>
        <w:t>Presenter 1</w:t>
      </w:r>
      <w:r w:rsidR="007C0945" w:rsidRPr="00131DF9">
        <w:rPr>
          <w:sz w:val="20"/>
        </w:rPr>
        <w:t xml:space="preserve"> </w:t>
      </w:r>
      <w:r w:rsidRPr="00131DF9">
        <w:rPr>
          <w:sz w:val="20"/>
        </w:rPr>
        <w:t>that w</w:t>
      </w:r>
      <w:r>
        <w:rPr>
          <w:sz w:val="20"/>
        </w:rPr>
        <w:t>ere</w:t>
      </w:r>
      <w:r w:rsidRPr="00131DF9">
        <w:rPr>
          <w:sz w:val="20"/>
        </w:rPr>
        <w:t xml:space="preserve"> shown in connection with Game 1 and Game 6</w:t>
      </w:r>
      <w:r>
        <w:rPr>
          <w:sz w:val="20"/>
        </w:rPr>
        <w:t>.</w:t>
      </w:r>
    </w:p>
    <w:p w14:paraId="32E7CB00" w14:textId="5910F2D0" w:rsidR="00731197" w:rsidRDefault="00731197">
      <w:pPr>
        <w:spacing w:before="0" w:after="160" w:line="259" w:lineRule="auto"/>
        <w:rPr>
          <w:b/>
          <w:i w:val="0"/>
          <w:sz w:val="28"/>
          <w:szCs w:val="20"/>
        </w:rPr>
      </w:pPr>
    </w:p>
    <w:sectPr w:rsidR="00731197" w:rsidSect="0033104B">
      <w:headerReference w:type="even" r:id="rId8"/>
      <w:footerReference w:type="even" r:id="rId9"/>
      <w:footerReference w:type="default" r:id="rId10"/>
      <w:headerReference w:type="first" r:id="rId11"/>
      <w:footerReference w:type="first" r:id="rId12"/>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B62A" w14:textId="77777777" w:rsidR="00852F96" w:rsidRDefault="00852F96" w:rsidP="002A1D33">
      <w:pPr>
        <w:spacing w:before="0" w:after="0" w:line="240" w:lineRule="auto"/>
      </w:pPr>
      <w:r>
        <w:separator/>
      </w:r>
    </w:p>
  </w:endnote>
  <w:endnote w:type="continuationSeparator" w:id="0">
    <w:p w14:paraId="045D8639" w14:textId="77777777" w:rsidR="00852F96" w:rsidRDefault="00852F96" w:rsidP="002A1D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CC5" w14:textId="77777777" w:rsidR="00041B70" w:rsidRDefault="002A1D33">
    <w:pPr>
      <w:framePr w:wrap="around" w:vAnchor="text" w:hAnchor="margin" w:xAlign="right" w:y="1"/>
    </w:pPr>
    <w:r>
      <w:fldChar w:fldCharType="begin"/>
    </w:r>
    <w:r>
      <w:instrText xml:space="preserve">PAGE  </w:instrText>
    </w:r>
    <w:r>
      <w:fldChar w:fldCharType="separate"/>
    </w:r>
    <w:r>
      <w:rPr>
        <w:noProof/>
      </w:rPr>
      <w:t>8</w:t>
    </w:r>
    <w:r>
      <w:fldChar w:fldCharType="end"/>
    </w:r>
  </w:p>
  <w:p w14:paraId="38E3AFF3" w14:textId="77777777" w:rsidR="00041B70" w:rsidRDefault="0014759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B0F3" w14:textId="3CC4BCF3" w:rsidR="00041B70" w:rsidRPr="00816ADF" w:rsidRDefault="002A1D33" w:rsidP="00711D07">
    <w:pPr>
      <w:pStyle w:val="ACMAFooter"/>
      <w:jc w:val="right"/>
      <w:rPr>
        <w:sz w:val="16"/>
        <w:szCs w:val="16"/>
      </w:rPr>
    </w:pPr>
    <w:r w:rsidRPr="00816ADF">
      <w:rPr>
        <w:sz w:val="16"/>
        <w:szCs w:val="16"/>
      </w:rPr>
      <w:t xml:space="preserve">ACMA </w:t>
    </w:r>
    <w:r w:rsidR="00DF4CAD">
      <w:rPr>
        <w:sz w:val="16"/>
        <w:szCs w:val="16"/>
      </w:rPr>
      <w:t>I</w:t>
    </w:r>
    <w:r w:rsidRPr="00816ADF">
      <w:rPr>
        <w:sz w:val="16"/>
        <w:szCs w:val="16"/>
      </w:rPr>
      <w:t xml:space="preserve">nvestigation </w:t>
    </w:r>
    <w:r>
      <w:rPr>
        <w:sz w:val="16"/>
        <w:szCs w:val="16"/>
      </w:rPr>
      <w:t>r</w:t>
    </w:r>
    <w:r w:rsidRPr="00816ADF">
      <w:rPr>
        <w:sz w:val="16"/>
        <w:szCs w:val="16"/>
      </w:rPr>
      <w:t>eport—</w:t>
    </w:r>
    <w:r w:rsidRPr="00D21A5B">
      <w:rPr>
        <w:i/>
        <w:iCs/>
        <w:sz w:val="16"/>
        <w:szCs w:val="16"/>
      </w:rPr>
      <w:t>NBA</w:t>
    </w:r>
    <w:r>
      <w:rPr>
        <w:i/>
        <w:iCs/>
        <w:sz w:val="16"/>
        <w:szCs w:val="16"/>
      </w:rPr>
      <w:t xml:space="preserve"> Finals (</w:t>
    </w:r>
    <w:r w:rsidRPr="001363E1">
      <w:rPr>
        <w:i/>
        <w:iCs/>
        <w:sz w:val="16"/>
        <w:szCs w:val="16"/>
      </w:rPr>
      <w:t>Game 1</w:t>
    </w:r>
    <w:r>
      <w:rPr>
        <w:i/>
        <w:iCs/>
        <w:sz w:val="16"/>
        <w:szCs w:val="16"/>
      </w:rPr>
      <w:t xml:space="preserve">, </w:t>
    </w:r>
    <w:r w:rsidRPr="001363E1">
      <w:rPr>
        <w:i/>
        <w:iCs/>
        <w:sz w:val="16"/>
        <w:szCs w:val="16"/>
      </w:rPr>
      <w:t>Game 6</w:t>
    </w:r>
    <w:r>
      <w:rPr>
        <w:i/>
        <w:iCs/>
        <w:sz w:val="16"/>
        <w:szCs w:val="16"/>
      </w:rPr>
      <w:t>)</w:t>
    </w:r>
    <w:r w:rsidRPr="00D21A5B">
      <w:rPr>
        <w:i/>
        <w:iCs/>
        <w:sz w:val="16"/>
        <w:szCs w:val="16"/>
      </w:rPr>
      <w:t xml:space="preserve"> </w:t>
    </w:r>
    <w:r>
      <w:rPr>
        <w:sz w:val="16"/>
        <w:szCs w:val="16"/>
      </w:rPr>
      <w:t xml:space="preserve">broadcast on ESPN </w:t>
    </w:r>
    <w:r w:rsidR="00E624BA">
      <w:rPr>
        <w:sz w:val="16"/>
        <w:szCs w:val="16"/>
      </w:rPr>
      <w:t>by Foxtel</w:t>
    </w:r>
    <w:r w:rsidRPr="00816ADF">
      <w:rPr>
        <w:sz w:val="16"/>
        <w:szCs w:val="16"/>
      </w:rPr>
      <w:tab/>
    </w:r>
    <w:r>
      <w:rPr>
        <w:sz w:val="16"/>
        <w:szCs w:val="16"/>
      </w:rPr>
      <w:t xml:space="preserve">   </w:t>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147596">
      <w:rPr>
        <w:noProof/>
        <w:sz w:val="16"/>
        <w:szCs w:val="16"/>
      </w:rPr>
      <w:t>8</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358B" w14:textId="556FCC5E" w:rsidR="00965AEF" w:rsidRDefault="00E16FCB" w:rsidP="00F50EC0">
    <w:pPr>
      <w:pStyle w:val="Footer"/>
      <w:jc w:val="right"/>
    </w:pPr>
    <w:r w:rsidRPr="00E16FCB">
      <w:rPr>
        <w:noProof/>
        <w:vertAlign w:val="subscript"/>
      </w:rPr>
      <w:drawing>
        <wp:inline distT="0" distB="0" distL="0" distR="0" wp14:anchorId="4612DDFD" wp14:editId="5CDAFE49">
          <wp:extent cx="1066800" cy="277368"/>
          <wp:effectExtent l="0" t="0" r="0" b="0"/>
          <wp:docPr id="1" name="Picture 1"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D82C" w14:textId="77777777" w:rsidR="00852F96" w:rsidRDefault="00852F96" w:rsidP="002A1D33">
      <w:pPr>
        <w:spacing w:before="0" w:after="0" w:line="240" w:lineRule="auto"/>
      </w:pPr>
      <w:r>
        <w:separator/>
      </w:r>
    </w:p>
  </w:footnote>
  <w:footnote w:type="continuationSeparator" w:id="0">
    <w:p w14:paraId="74F68B8D" w14:textId="77777777" w:rsidR="00852F96" w:rsidRDefault="00852F96" w:rsidP="002A1D33">
      <w:pPr>
        <w:spacing w:before="0" w:after="0" w:line="240" w:lineRule="auto"/>
      </w:pPr>
      <w:r>
        <w:continuationSeparator/>
      </w:r>
    </w:p>
  </w:footnote>
  <w:footnote w:id="1">
    <w:p w14:paraId="11001563" w14:textId="64DFAE7A" w:rsidR="002A1D33" w:rsidRDefault="002A1D33" w:rsidP="002A1D33">
      <w:pPr>
        <w:pStyle w:val="FootnoteText"/>
      </w:pPr>
      <w:r>
        <w:rPr>
          <w:rStyle w:val="FootnoteReference"/>
        </w:rPr>
        <w:footnoteRef/>
      </w:r>
      <w:r>
        <w:t xml:space="preserve"> </w:t>
      </w:r>
      <w:hyperlink r:id="rId1" w:history="1">
        <w:r w:rsidRPr="00A63B77">
          <w:rPr>
            <w:rStyle w:val="Hyperlink"/>
          </w:rPr>
          <w:t>https://www.foxtel.com.au/about/legal-stuff/astra-codes.html</w:t>
        </w:r>
      </w:hyperlink>
      <w:r>
        <w:t xml:space="preserve"> viewed 19 January 202</w:t>
      </w:r>
      <w:r w:rsidR="008B74E5">
        <w:t>3</w:t>
      </w:r>
      <w:r>
        <w:t>.</w:t>
      </w:r>
    </w:p>
  </w:footnote>
  <w:footnote w:id="2">
    <w:p w14:paraId="4B41268B" w14:textId="50044B53" w:rsidR="002A1D33" w:rsidRPr="00C223CF" w:rsidRDefault="002A1D33" w:rsidP="002A1D33">
      <w:pPr>
        <w:pStyle w:val="FootnoteText"/>
        <w:rPr>
          <w:szCs w:val="16"/>
        </w:rPr>
      </w:pPr>
      <w:r>
        <w:rPr>
          <w:rStyle w:val="FootnoteReference"/>
        </w:rPr>
        <w:footnoteRef/>
      </w:r>
      <w:r>
        <w:t xml:space="preserve"> </w:t>
      </w:r>
      <w:hyperlink r:id="rId2" w:history="1">
        <w:r w:rsidRPr="00C223CF">
          <w:rPr>
            <w:rStyle w:val="Hyperlink"/>
            <w:szCs w:val="16"/>
          </w:rPr>
          <w:t>https://www.facebook.com/SportsCenter</w:t>
        </w:r>
      </w:hyperlink>
      <w:r w:rsidRPr="00C223CF">
        <w:rPr>
          <w:szCs w:val="16"/>
        </w:rPr>
        <w:t xml:space="preserve"> </w:t>
      </w:r>
      <w:r w:rsidRPr="00131DF9">
        <w:rPr>
          <w:rFonts w:cs="Arial"/>
          <w:iCs/>
          <w:snapToGrid w:val="0"/>
          <w:szCs w:val="16"/>
        </w:rPr>
        <w:t xml:space="preserve">viewed on 12 January </w:t>
      </w:r>
      <w:r w:rsidR="00BF2AB7" w:rsidRPr="00131DF9">
        <w:rPr>
          <w:rFonts w:cs="Arial"/>
          <w:iCs/>
          <w:snapToGrid w:val="0"/>
          <w:szCs w:val="16"/>
        </w:rPr>
        <w:t>202</w:t>
      </w:r>
      <w:r w:rsidR="00BF2AB7">
        <w:rPr>
          <w:rFonts w:cs="Arial"/>
          <w:iCs/>
          <w:snapToGrid w:val="0"/>
          <w:szCs w:val="16"/>
        </w:rPr>
        <w:t>3</w:t>
      </w:r>
      <w:r w:rsidRPr="00131DF9">
        <w:rPr>
          <w:rFonts w:cs="Arial"/>
          <w:iCs/>
          <w:snapToGrid w:val="0"/>
          <w:szCs w:val="16"/>
        </w:rPr>
        <w:t>.</w:t>
      </w:r>
      <w:r w:rsidRPr="00C223CF">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8973" w14:textId="70126BA1" w:rsidR="00041B70" w:rsidRDefault="002A1D33">
    <w:r>
      <w:fldChar w:fldCharType="begin"/>
    </w:r>
    <w:r>
      <w:instrText xml:space="preserve"> REF ReportTitle \h </w:instrText>
    </w:r>
    <w:r>
      <w:fldChar w:fldCharType="separate"/>
    </w:r>
    <w:r w:rsidR="00057426">
      <w:rPr>
        <w:b/>
        <w:bCs/>
        <w:lang w:val="en-US"/>
      </w:rPr>
      <w:t>Error! Reference source not found.</w:t>
    </w:r>
    <w:r>
      <w:fldChar w:fldCharType="end"/>
    </w:r>
  </w:p>
  <w:p w14:paraId="0155CA49" w14:textId="77777777" w:rsidR="00041B70" w:rsidRDefault="001475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DE8C" w14:textId="77777777" w:rsidR="00041B70" w:rsidRPr="005F22AA" w:rsidRDefault="002A1D33" w:rsidP="005F22AA">
    <w:pPr>
      <w:pStyle w:val="ACMAHeaderGraphicSpace"/>
    </w:pPr>
    <w:r>
      <w:rPr>
        <w:noProof/>
      </w:rPr>
      <w:drawing>
        <wp:inline distT="0" distB="0" distL="0" distR="0" wp14:anchorId="21D27D8A" wp14:editId="2326DE18">
          <wp:extent cx="5280025" cy="485139"/>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280025" cy="485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F53B5"/>
    <w:multiLevelType w:val="hybridMultilevel"/>
    <w:tmpl w:val="012C46F2"/>
    <w:lvl w:ilvl="0" w:tplc="17244512">
      <w:start w:val="1"/>
      <w:numFmt w:val="decimal"/>
      <w:lvlText w:val="%1."/>
      <w:lvlJc w:val="left"/>
      <w:pPr>
        <w:ind w:left="720" w:hanging="360"/>
      </w:pPr>
      <w:rPr>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5879A8"/>
    <w:multiLevelType w:val="hybridMultilevel"/>
    <w:tmpl w:val="5778F9D4"/>
    <w:lvl w:ilvl="0" w:tplc="44EEC084">
      <w:start w:val="1"/>
      <w:numFmt w:val="bullet"/>
      <w:lvlText w:val="&gt;"/>
      <w:lvlJc w:val="left"/>
      <w:pPr>
        <w:ind w:left="1080" w:hanging="360"/>
      </w:pPr>
      <w:rPr>
        <w:rFonts w:ascii="HelveticaNeueLT Std" w:hAnsi="HelveticaNeueLT St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1954E12"/>
    <w:multiLevelType w:val="hybridMultilevel"/>
    <w:tmpl w:val="D6A04C40"/>
    <w:lvl w:ilvl="0" w:tplc="728E1656">
      <w:start w:val="1"/>
      <w:numFmt w:val="bullet"/>
      <w:lvlText w:val="&gt;"/>
      <w:lvlJc w:val="left"/>
      <w:pPr>
        <w:ind w:left="360" w:hanging="360"/>
      </w:pPr>
      <w:rPr>
        <w:rFonts w:ascii="Arial" w:hAnsi="Aria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AF0895"/>
    <w:multiLevelType w:val="hybridMultilevel"/>
    <w:tmpl w:val="760E6478"/>
    <w:lvl w:ilvl="0" w:tplc="728E1656">
      <w:start w:val="1"/>
      <w:numFmt w:val="bullet"/>
      <w:lvlText w:val="&gt;"/>
      <w:lvlJc w:val="left"/>
      <w:pPr>
        <w:ind w:left="360" w:hanging="360"/>
      </w:pPr>
      <w:rPr>
        <w:rFonts w:ascii="Arial" w:hAnsi="Arial" w:hint="default"/>
        <w:sz w:val="20"/>
      </w:rPr>
    </w:lvl>
    <w:lvl w:ilvl="1" w:tplc="36605D14">
      <w:start w:val="1"/>
      <w:numFmt w:val="bullet"/>
      <w:lvlText w:val="o"/>
      <w:lvlJc w:val="left"/>
      <w:pPr>
        <w:ind w:left="1080" w:hanging="360"/>
      </w:pPr>
      <w:rPr>
        <w:rFonts w:ascii="Courier New" w:hAnsi="Courier New" w:cs="Courier New" w:hint="default"/>
      </w:rPr>
    </w:lvl>
    <w:lvl w:ilvl="2" w:tplc="5C84BBCE" w:tentative="1">
      <w:start w:val="1"/>
      <w:numFmt w:val="bullet"/>
      <w:lvlText w:val=""/>
      <w:lvlJc w:val="left"/>
      <w:pPr>
        <w:ind w:left="1800" w:hanging="360"/>
      </w:pPr>
      <w:rPr>
        <w:rFonts w:ascii="Wingdings" w:hAnsi="Wingdings" w:hint="default"/>
      </w:rPr>
    </w:lvl>
    <w:lvl w:ilvl="3" w:tplc="84C2819E" w:tentative="1">
      <w:start w:val="1"/>
      <w:numFmt w:val="bullet"/>
      <w:lvlText w:val=""/>
      <w:lvlJc w:val="left"/>
      <w:pPr>
        <w:ind w:left="2520" w:hanging="360"/>
      </w:pPr>
      <w:rPr>
        <w:rFonts w:ascii="Symbol" w:hAnsi="Symbol" w:hint="default"/>
      </w:rPr>
    </w:lvl>
    <w:lvl w:ilvl="4" w:tplc="F9E0ABD4" w:tentative="1">
      <w:start w:val="1"/>
      <w:numFmt w:val="bullet"/>
      <w:lvlText w:val="o"/>
      <w:lvlJc w:val="left"/>
      <w:pPr>
        <w:ind w:left="3240" w:hanging="360"/>
      </w:pPr>
      <w:rPr>
        <w:rFonts w:ascii="Courier New" w:hAnsi="Courier New" w:cs="Courier New" w:hint="default"/>
      </w:rPr>
    </w:lvl>
    <w:lvl w:ilvl="5" w:tplc="55703958" w:tentative="1">
      <w:start w:val="1"/>
      <w:numFmt w:val="bullet"/>
      <w:lvlText w:val=""/>
      <w:lvlJc w:val="left"/>
      <w:pPr>
        <w:ind w:left="3960" w:hanging="360"/>
      </w:pPr>
      <w:rPr>
        <w:rFonts w:ascii="Wingdings" w:hAnsi="Wingdings" w:hint="default"/>
      </w:rPr>
    </w:lvl>
    <w:lvl w:ilvl="6" w:tplc="70AABE10" w:tentative="1">
      <w:start w:val="1"/>
      <w:numFmt w:val="bullet"/>
      <w:lvlText w:val=""/>
      <w:lvlJc w:val="left"/>
      <w:pPr>
        <w:ind w:left="4680" w:hanging="360"/>
      </w:pPr>
      <w:rPr>
        <w:rFonts w:ascii="Symbol" w:hAnsi="Symbol" w:hint="default"/>
      </w:rPr>
    </w:lvl>
    <w:lvl w:ilvl="7" w:tplc="00F650B2" w:tentative="1">
      <w:start w:val="1"/>
      <w:numFmt w:val="bullet"/>
      <w:lvlText w:val="o"/>
      <w:lvlJc w:val="left"/>
      <w:pPr>
        <w:ind w:left="5400" w:hanging="360"/>
      </w:pPr>
      <w:rPr>
        <w:rFonts w:ascii="Courier New" w:hAnsi="Courier New" w:cs="Courier New" w:hint="default"/>
      </w:rPr>
    </w:lvl>
    <w:lvl w:ilvl="8" w:tplc="54B05FD4" w:tentative="1">
      <w:start w:val="1"/>
      <w:numFmt w:val="bullet"/>
      <w:lvlText w:val=""/>
      <w:lvlJc w:val="left"/>
      <w:pPr>
        <w:ind w:left="6120" w:hanging="360"/>
      </w:pPr>
      <w:rPr>
        <w:rFonts w:ascii="Wingdings" w:hAnsi="Wingdings" w:hint="default"/>
      </w:rPr>
    </w:lvl>
  </w:abstractNum>
  <w:abstractNum w:abstractNumId="5" w15:restartNumberingAfterBreak="0">
    <w:nsid w:val="7979688E"/>
    <w:multiLevelType w:val="hybridMultilevel"/>
    <w:tmpl w:val="8EC8F106"/>
    <w:lvl w:ilvl="0" w:tplc="6D8C0A5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D09078D"/>
    <w:multiLevelType w:val="hybridMultilevel"/>
    <w:tmpl w:val="A9C8118E"/>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FA23F3"/>
    <w:multiLevelType w:val="hybridMultilevel"/>
    <w:tmpl w:val="5DF60344"/>
    <w:lvl w:ilvl="0" w:tplc="D756895E">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3003845">
    <w:abstractNumId w:val="1"/>
  </w:num>
  <w:num w:numId="2" w16cid:durableId="2085448542">
    <w:abstractNumId w:val="4"/>
  </w:num>
  <w:num w:numId="3" w16cid:durableId="1056125789">
    <w:abstractNumId w:val="2"/>
  </w:num>
  <w:num w:numId="4" w16cid:durableId="3022301">
    <w:abstractNumId w:val="7"/>
  </w:num>
  <w:num w:numId="5" w16cid:durableId="1788962268">
    <w:abstractNumId w:val="0"/>
  </w:num>
  <w:num w:numId="6" w16cid:durableId="587157503">
    <w:abstractNumId w:val="3"/>
  </w:num>
  <w:num w:numId="7" w16cid:durableId="297146715">
    <w:abstractNumId w:val="6"/>
  </w:num>
  <w:num w:numId="8" w16cid:durableId="1337734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ocumentProtection w:edit="readOnly" w:enforcement="1" w:spinCount="100000" w:hashValue="m7Yok0BkvJqhTJc6AvRIM/lWFHuywRdSMm4V5S3QTx7f89oSxR+Vaursohg7ElNl9vEOq7oYjyfSTZNPnz66KA==" w:saltValue="xrPZoAJn4FV/L0IK+ktROw=="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33"/>
    <w:rsid w:val="00005D01"/>
    <w:rsid w:val="000119E8"/>
    <w:rsid w:val="000124DC"/>
    <w:rsid w:val="0002399C"/>
    <w:rsid w:val="00025E92"/>
    <w:rsid w:val="00040090"/>
    <w:rsid w:val="000466FA"/>
    <w:rsid w:val="00051B2C"/>
    <w:rsid w:val="00052CC2"/>
    <w:rsid w:val="0005431A"/>
    <w:rsid w:val="00057330"/>
    <w:rsid w:val="00057426"/>
    <w:rsid w:val="00067CC0"/>
    <w:rsid w:val="000728DD"/>
    <w:rsid w:val="00074996"/>
    <w:rsid w:val="00076317"/>
    <w:rsid w:val="00080C6C"/>
    <w:rsid w:val="000853A7"/>
    <w:rsid w:val="00095104"/>
    <w:rsid w:val="0009741D"/>
    <w:rsid w:val="000A17E0"/>
    <w:rsid w:val="000A4FA8"/>
    <w:rsid w:val="000A54E3"/>
    <w:rsid w:val="000A5EFB"/>
    <w:rsid w:val="000B0E6F"/>
    <w:rsid w:val="000B4151"/>
    <w:rsid w:val="000B440A"/>
    <w:rsid w:val="000B720E"/>
    <w:rsid w:val="000C138D"/>
    <w:rsid w:val="000C2169"/>
    <w:rsid w:val="000C671D"/>
    <w:rsid w:val="000D0016"/>
    <w:rsid w:val="000D76E9"/>
    <w:rsid w:val="000E58CA"/>
    <w:rsid w:val="000E5A30"/>
    <w:rsid w:val="000F171E"/>
    <w:rsid w:val="001011EE"/>
    <w:rsid w:val="00103422"/>
    <w:rsid w:val="00106B8F"/>
    <w:rsid w:val="0012381B"/>
    <w:rsid w:val="0013049D"/>
    <w:rsid w:val="00132D3F"/>
    <w:rsid w:val="00133912"/>
    <w:rsid w:val="0013497B"/>
    <w:rsid w:val="00134BD2"/>
    <w:rsid w:val="00136644"/>
    <w:rsid w:val="00140161"/>
    <w:rsid w:val="00147596"/>
    <w:rsid w:val="00151DA8"/>
    <w:rsid w:val="00164A63"/>
    <w:rsid w:val="00165039"/>
    <w:rsid w:val="00175797"/>
    <w:rsid w:val="00176815"/>
    <w:rsid w:val="00177887"/>
    <w:rsid w:val="001803B3"/>
    <w:rsid w:val="00191F12"/>
    <w:rsid w:val="001A1660"/>
    <w:rsid w:val="001A7ECF"/>
    <w:rsid w:val="001B0DE0"/>
    <w:rsid w:val="001B13CC"/>
    <w:rsid w:val="001B170D"/>
    <w:rsid w:val="001C0EBA"/>
    <w:rsid w:val="001C33B4"/>
    <w:rsid w:val="001C4D8A"/>
    <w:rsid w:val="001D120D"/>
    <w:rsid w:val="001E091B"/>
    <w:rsid w:val="001E18B8"/>
    <w:rsid w:val="001E212A"/>
    <w:rsid w:val="001F325A"/>
    <w:rsid w:val="00202490"/>
    <w:rsid w:val="00206F60"/>
    <w:rsid w:val="00211785"/>
    <w:rsid w:val="0022116D"/>
    <w:rsid w:val="00222295"/>
    <w:rsid w:val="00222BF7"/>
    <w:rsid w:val="00226617"/>
    <w:rsid w:val="002270E8"/>
    <w:rsid w:val="0022714A"/>
    <w:rsid w:val="002275BE"/>
    <w:rsid w:val="0023127D"/>
    <w:rsid w:val="002342F7"/>
    <w:rsid w:val="00252462"/>
    <w:rsid w:val="002543EC"/>
    <w:rsid w:val="00255E20"/>
    <w:rsid w:val="002571EF"/>
    <w:rsid w:val="002609C2"/>
    <w:rsid w:val="00265A7C"/>
    <w:rsid w:val="00271EF4"/>
    <w:rsid w:val="00273067"/>
    <w:rsid w:val="0027614A"/>
    <w:rsid w:val="002902E4"/>
    <w:rsid w:val="0029697C"/>
    <w:rsid w:val="002A1D33"/>
    <w:rsid w:val="002A6102"/>
    <w:rsid w:val="002B4A7C"/>
    <w:rsid w:val="002B7358"/>
    <w:rsid w:val="002C1070"/>
    <w:rsid w:val="002E4372"/>
    <w:rsid w:val="002E4F81"/>
    <w:rsid w:val="002F30A3"/>
    <w:rsid w:val="00303C82"/>
    <w:rsid w:val="00311BB2"/>
    <w:rsid w:val="00312146"/>
    <w:rsid w:val="003159B6"/>
    <w:rsid w:val="00315A7D"/>
    <w:rsid w:val="00330B6A"/>
    <w:rsid w:val="0033687F"/>
    <w:rsid w:val="00336AF0"/>
    <w:rsid w:val="003470B5"/>
    <w:rsid w:val="00357E97"/>
    <w:rsid w:val="00362ABC"/>
    <w:rsid w:val="003731D5"/>
    <w:rsid w:val="00387E4A"/>
    <w:rsid w:val="003923ED"/>
    <w:rsid w:val="003935F9"/>
    <w:rsid w:val="00396B51"/>
    <w:rsid w:val="003A5E7B"/>
    <w:rsid w:val="003B4A79"/>
    <w:rsid w:val="003B6361"/>
    <w:rsid w:val="003C1ED0"/>
    <w:rsid w:val="003C3758"/>
    <w:rsid w:val="003C424F"/>
    <w:rsid w:val="003C56A2"/>
    <w:rsid w:val="003D039F"/>
    <w:rsid w:val="003D368F"/>
    <w:rsid w:val="003D4FAB"/>
    <w:rsid w:val="003E2BCC"/>
    <w:rsid w:val="003E55BC"/>
    <w:rsid w:val="004003DF"/>
    <w:rsid w:val="0040387F"/>
    <w:rsid w:val="00422B42"/>
    <w:rsid w:val="00430743"/>
    <w:rsid w:val="00433E2F"/>
    <w:rsid w:val="00442A95"/>
    <w:rsid w:val="00445A3D"/>
    <w:rsid w:val="0045221C"/>
    <w:rsid w:val="00456FE9"/>
    <w:rsid w:val="004639CE"/>
    <w:rsid w:val="004642D9"/>
    <w:rsid w:val="00464C75"/>
    <w:rsid w:val="00466D93"/>
    <w:rsid w:val="004670A4"/>
    <w:rsid w:val="0047102D"/>
    <w:rsid w:val="00481ADD"/>
    <w:rsid w:val="004A0E82"/>
    <w:rsid w:val="004A3614"/>
    <w:rsid w:val="004B4E2E"/>
    <w:rsid w:val="004C4F4C"/>
    <w:rsid w:val="004C556E"/>
    <w:rsid w:val="004E04D1"/>
    <w:rsid w:val="004F214C"/>
    <w:rsid w:val="005024E1"/>
    <w:rsid w:val="00502F92"/>
    <w:rsid w:val="00505532"/>
    <w:rsid w:val="00521115"/>
    <w:rsid w:val="00521502"/>
    <w:rsid w:val="005224CD"/>
    <w:rsid w:val="005300B6"/>
    <w:rsid w:val="00537DB0"/>
    <w:rsid w:val="00540D00"/>
    <w:rsid w:val="005504A3"/>
    <w:rsid w:val="005655DD"/>
    <w:rsid w:val="005664A6"/>
    <w:rsid w:val="00567F35"/>
    <w:rsid w:val="005761CC"/>
    <w:rsid w:val="00586AB0"/>
    <w:rsid w:val="00586EA3"/>
    <w:rsid w:val="0059330C"/>
    <w:rsid w:val="005A3D6A"/>
    <w:rsid w:val="005C0BF7"/>
    <w:rsid w:val="005C110A"/>
    <w:rsid w:val="005D0BE5"/>
    <w:rsid w:val="005E11DD"/>
    <w:rsid w:val="005E2366"/>
    <w:rsid w:val="005E631C"/>
    <w:rsid w:val="005F1501"/>
    <w:rsid w:val="005F1BE1"/>
    <w:rsid w:val="005F1E72"/>
    <w:rsid w:val="0060452E"/>
    <w:rsid w:val="00612679"/>
    <w:rsid w:val="00615987"/>
    <w:rsid w:val="00620CEB"/>
    <w:rsid w:val="0062569C"/>
    <w:rsid w:val="00626E82"/>
    <w:rsid w:val="00632B32"/>
    <w:rsid w:val="00633958"/>
    <w:rsid w:val="006356E9"/>
    <w:rsid w:val="00636BFA"/>
    <w:rsid w:val="0064521B"/>
    <w:rsid w:val="00653E3E"/>
    <w:rsid w:val="0066358B"/>
    <w:rsid w:val="00663BE9"/>
    <w:rsid w:val="00665265"/>
    <w:rsid w:val="006672D8"/>
    <w:rsid w:val="00671F66"/>
    <w:rsid w:val="006742EA"/>
    <w:rsid w:val="0067664C"/>
    <w:rsid w:val="00683547"/>
    <w:rsid w:val="00684DEC"/>
    <w:rsid w:val="00690F78"/>
    <w:rsid w:val="00692BAF"/>
    <w:rsid w:val="00693632"/>
    <w:rsid w:val="006953A2"/>
    <w:rsid w:val="006978AA"/>
    <w:rsid w:val="006A26E6"/>
    <w:rsid w:val="006A5B77"/>
    <w:rsid w:val="006B64AA"/>
    <w:rsid w:val="006C7343"/>
    <w:rsid w:val="006D158D"/>
    <w:rsid w:val="006E2073"/>
    <w:rsid w:val="006E2AED"/>
    <w:rsid w:val="006E648C"/>
    <w:rsid w:val="006F4C63"/>
    <w:rsid w:val="00705B47"/>
    <w:rsid w:val="00713F12"/>
    <w:rsid w:val="0071505C"/>
    <w:rsid w:val="007176FE"/>
    <w:rsid w:val="00726F9D"/>
    <w:rsid w:val="007308FE"/>
    <w:rsid w:val="00731197"/>
    <w:rsid w:val="00732338"/>
    <w:rsid w:val="00742BF4"/>
    <w:rsid w:val="00744CA3"/>
    <w:rsid w:val="00754A6A"/>
    <w:rsid w:val="007721AC"/>
    <w:rsid w:val="00772FEF"/>
    <w:rsid w:val="00775BB7"/>
    <w:rsid w:val="00784ACA"/>
    <w:rsid w:val="00784AE3"/>
    <w:rsid w:val="007875C1"/>
    <w:rsid w:val="00794F7B"/>
    <w:rsid w:val="007A0D6B"/>
    <w:rsid w:val="007A56F8"/>
    <w:rsid w:val="007A5BD1"/>
    <w:rsid w:val="007B0FC1"/>
    <w:rsid w:val="007C0877"/>
    <w:rsid w:val="007C0945"/>
    <w:rsid w:val="007D6988"/>
    <w:rsid w:val="007D6FB0"/>
    <w:rsid w:val="007E318D"/>
    <w:rsid w:val="007E65FA"/>
    <w:rsid w:val="007F162F"/>
    <w:rsid w:val="007F1E10"/>
    <w:rsid w:val="007F4263"/>
    <w:rsid w:val="008002D6"/>
    <w:rsid w:val="00802FC9"/>
    <w:rsid w:val="008070EC"/>
    <w:rsid w:val="00811B3B"/>
    <w:rsid w:val="00814BD5"/>
    <w:rsid w:val="00817E9C"/>
    <w:rsid w:val="008316DE"/>
    <w:rsid w:val="00832C8B"/>
    <w:rsid w:val="008430B7"/>
    <w:rsid w:val="00852F96"/>
    <w:rsid w:val="00865233"/>
    <w:rsid w:val="00867793"/>
    <w:rsid w:val="00870555"/>
    <w:rsid w:val="00882485"/>
    <w:rsid w:val="008830B5"/>
    <w:rsid w:val="00890864"/>
    <w:rsid w:val="00890AE3"/>
    <w:rsid w:val="00895D15"/>
    <w:rsid w:val="008A3868"/>
    <w:rsid w:val="008A578C"/>
    <w:rsid w:val="008A6169"/>
    <w:rsid w:val="008B2474"/>
    <w:rsid w:val="008B3225"/>
    <w:rsid w:val="008B74E5"/>
    <w:rsid w:val="008C2404"/>
    <w:rsid w:val="008C5AEE"/>
    <w:rsid w:val="008C7281"/>
    <w:rsid w:val="009058CF"/>
    <w:rsid w:val="00905AD3"/>
    <w:rsid w:val="00905AFE"/>
    <w:rsid w:val="00907BB5"/>
    <w:rsid w:val="00926EEC"/>
    <w:rsid w:val="00930272"/>
    <w:rsid w:val="009313BF"/>
    <w:rsid w:val="0093388F"/>
    <w:rsid w:val="00937DC2"/>
    <w:rsid w:val="00947453"/>
    <w:rsid w:val="0095474F"/>
    <w:rsid w:val="00962EBA"/>
    <w:rsid w:val="00965AEF"/>
    <w:rsid w:val="00971E4B"/>
    <w:rsid w:val="0097291D"/>
    <w:rsid w:val="00975335"/>
    <w:rsid w:val="00977B33"/>
    <w:rsid w:val="00980283"/>
    <w:rsid w:val="00982C78"/>
    <w:rsid w:val="00995ECE"/>
    <w:rsid w:val="009A070B"/>
    <w:rsid w:val="009A3E00"/>
    <w:rsid w:val="009A4EE0"/>
    <w:rsid w:val="009A5089"/>
    <w:rsid w:val="009A5387"/>
    <w:rsid w:val="009B5327"/>
    <w:rsid w:val="009B5526"/>
    <w:rsid w:val="009B59CC"/>
    <w:rsid w:val="009E1C27"/>
    <w:rsid w:val="009E258C"/>
    <w:rsid w:val="009F182E"/>
    <w:rsid w:val="00A00CA2"/>
    <w:rsid w:val="00A05813"/>
    <w:rsid w:val="00A07F7A"/>
    <w:rsid w:val="00A13367"/>
    <w:rsid w:val="00A150ED"/>
    <w:rsid w:val="00A20934"/>
    <w:rsid w:val="00A25DC8"/>
    <w:rsid w:val="00A34D19"/>
    <w:rsid w:val="00A37A21"/>
    <w:rsid w:val="00A422B0"/>
    <w:rsid w:val="00A42B81"/>
    <w:rsid w:val="00A42E37"/>
    <w:rsid w:val="00A52F3A"/>
    <w:rsid w:val="00A70475"/>
    <w:rsid w:val="00A72FE7"/>
    <w:rsid w:val="00A73FEB"/>
    <w:rsid w:val="00A81D8A"/>
    <w:rsid w:val="00A8676D"/>
    <w:rsid w:val="00AA5059"/>
    <w:rsid w:val="00AA59C2"/>
    <w:rsid w:val="00AA5CDB"/>
    <w:rsid w:val="00AB213C"/>
    <w:rsid w:val="00AB4A06"/>
    <w:rsid w:val="00AB5EEC"/>
    <w:rsid w:val="00AC1EDA"/>
    <w:rsid w:val="00AC4196"/>
    <w:rsid w:val="00AC52B0"/>
    <w:rsid w:val="00AC7B29"/>
    <w:rsid w:val="00AE1E0A"/>
    <w:rsid w:val="00B05467"/>
    <w:rsid w:val="00B066C6"/>
    <w:rsid w:val="00B261DC"/>
    <w:rsid w:val="00B26526"/>
    <w:rsid w:val="00B26A7C"/>
    <w:rsid w:val="00B27B52"/>
    <w:rsid w:val="00B348DE"/>
    <w:rsid w:val="00B371A2"/>
    <w:rsid w:val="00B42B5C"/>
    <w:rsid w:val="00B51AAD"/>
    <w:rsid w:val="00B5457F"/>
    <w:rsid w:val="00B57D9A"/>
    <w:rsid w:val="00B615CA"/>
    <w:rsid w:val="00B639B2"/>
    <w:rsid w:val="00B63D54"/>
    <w:rsid w:val="00B65FBD"/>
    <w:rsid w:val="00B74B3F"/>
    <w:rsid w:val="00B80496"/>
    <w:rsid w:val="00B8273D"/>
    <w:rsid w:val="00B863C7"/>
    <w:rsid w:val="00B909E2"/>
    <w:rsid w:val="00BB1F9F"/>
    <w:rsid w:val="00BB698E"/>
    <w:rsid w:val="00BC0BB0"/>
    <w:rsid w:val="00BC670F"/>
    <w:rsid w:val="00BD7CA5"/>
    <w:rsid w:val="00BE6F47"/>
    <w:rsid w:val="00BF196B"/>
    <w:rsid w:val="00BF2AB7"/>
    <w:rsid w:val="00C018B8"/>
    <w:rsid w:val="00C01BF1"/>
    <w:rsid w:val="00C05756"/>
    <w:rsid w:val="00C06DBC"/>
    <w:rsid w:val="00C108C9"/>
    <w:rsid w:val="00C15904"/>
    <w:rsid w:val="00C2205E"/>
    <w:rsid w:val="00C300A0"/>
    <w:rsid w:val="00C3268E"/>
    <w:rsid w:val="00C34693"/>
    <w:rsid w:val="00C42F6C"/>
    <w:rsid w:val="00C431D5"/>
    <w:rsid w:val="00C4381A"/>
    <w:rsid w:val="00C52517"/>
    <w:rsid w:val="00C52FEF"/>
    <w:rsid w:val="00C56E68"/>
    <w:rsid w:val="00C70959"/>
    <w:rsid w:val="00C71287"/>
    <w:rsid w:val="00C7330E"/>
    <w:rsid w:val="00C82C46"/>
    <w:rsid w:val="00C92097"/>
    <w:rsid w:val="00CA42C7"/>
    <w:rsid w:val="00CA5EB3"/>
    <w:rsid w:val="00CB2CBD"/>
    <w:rsid w:val="00CC3685"/>
    <w:rsid w:val="00CC6F58"/>
    <w:rsid w:val="00CD37A7"/>
    <w:rsid w:val="00CD640D"/>
    <w:rsid w:val="00CD7172"/>
    <w:rsid w:val="00CD71FC"/>
    <w:rsid w:val="00CE0590"/>
    <w:rsid w:val="00CE5C6C"/>
    <w:rsid w:val="00CF0863"/>
    <w:rsid w:val="00CF27C4"/>
    <w:rsid w:val="00CF7667"/>
    <w:rsid w:val="00D01D5D"/>
    <w:rsid w:val="00D024AC"/>
    <w:rsid w:val="00D03632"/>
    <w:rsid w:val="00D039A9"/>
    <w:rsid w:val="00D07DC6"/>
    <w:rsid w:val="00D12076"/>
    <w:rsid w:val="00D13E0F"/>
    <w:rsid w:val="00D13F7B"/>
    <w:rsid w:val="00D16CDB"/>
    <w:rsid w:val="00D2479C"/>
    <w:rsid w:val="00D27A49"/>
    <w:rsid w:val="00D35318"/>
    <w:rsid w:val="00D54858"/>
    <w:rsid w:val="00D55231"/>
    <w:rsid w:val="00D553A8"/>
    <w:rsid w:val="00D6059B"/>
    <w:rsid w:val="00D6154F"/>
    <w:rsid w:val="00D7067A"/>
    <w:rsid w:val="00D709B8"/>
    <w:rsid w:val="00D72FFD"/>
    <w:rsid w:val="00D75ECD"/>
    <w:rsid w:val="00D76D9A"/>
    <w:rsid w:val="00D90EED"/>
    <w:rsid w:val="00D94EC1"/>
    <w:rsid w:val="00D96BF6"/>
    <w:rsid w:val="00DB24E6"/>
    <w:rsid w:val="00DC67CD"/>
    <w:rsid w:val="00DC7549"/>
    <w:rsid w:val="00DC7C96"/>
    <w:rsid w:val="00DD1A94"/>
    <w:rsid w:val="00DD2DEA"/>
    <w:rsid w:val="00DE2138"/>
    <w:rsid w:val="00DF0E48"/>
    <w:rsid w:val="00DF2A3A"/>
    <w:rsid w:val="00DF4CAD"/>
    <w:rsid w:val="00DF7E4F"/>
    <w:rsid w:val="00E16FCB"/>
    <w:rsid w:val="00E21D06"/>
    <w:rsid w:val="00E259FE"/>
    <w:rsid w:val="00E32D51"/>
    <w:rsid w:val="00E40713"/>
    <w:rsid w:val="00E476B6"/>
    <w:rsid w:val="00E47784"/>
    <w:rsid w:val="00E50653"/>
    <w:rsid w:val="00E515D5"/>
    <w:rsid w:val="00E541FA"/>
    <w:rsid w:val="00E624BA"/>
    <w:rsid w:val="00E82BBA"/>
    <w:rsid w:val="00E878DA"/>
    <w:rsid w:val="00E9282E"/>
    <w:rsid w:val="00EA60A7"/>
    <w:rsid w:val="00EA7A44"/>
    <w:rsid w:val="00EB01F5"/>
    <w:rsid w:val="00EB088E"/>
    <w:rsid w:val="00EB24D2"/>
    <w:rsid w:val="00EB79EA"/>
    <w:rsid w:val="00EC024C"/>
    <w:rsid w:val="00EC3422"/>
    <w:rsid w:val="00ED253A"/>
    <w:rsid w:val="00ED3351"/>
    <w:rsid w:val="00ED39C9"/>
    <w:rsid w:val="00EF078D"/>
    <w:rsid w:val="00F03530"/>
    <w:rsid w:val="00F0497A"/>
    <w:rsid w:val="00F05FE0"/>
    <w:rsid w:val="00F0680F"/>
    <w:rsid w:val="00F1339B"/>
    <w:rsid w:val="00F179DC"/>
    <w:rsid w:val="00F21479"/>
    <w:rsid w:val="00F27BED"/>
    <w:rsid w:val="00F42260"/>
    <w:rsid w:val="00F504B7"/>
    <w:rsid w:val="00F50EC0"/>
    <w:rsid w:val="00F57A6C"/>
    <w:rsid w:val="00F63B9A"/>
    <w:rsid w:val="00F63DDE"/>
    <w:rsid w:val="00F75956"/>
    <w:rsid w:val="00F83962"/>
    <w:rsid w:val="00F84CA9"/>
    <w:rsid w:val="00F908D3"/>
    <w:rsid w:val="00F91AF0"/>
    <w:rsid w:val="00F96636"/>
    <w:rsid w:val="00FA099F"/>
    <w:rsid w:val="00FA1E12"/>
    <w:rsid w:val="00FA4765"/>
    <w:rsid w:val="00FB2ACC"/>
    <w:rsid w:val="00FC2F8B"/>
    <w:rsid w:val="00FC6262"/>
    <w:rsid w:val="00FC6C35"/>
    <w:rsid w:val="00FE77D5"/>
    <w:rsid w:val="00FF304E"/>
    <w:rsid w:val="00FF3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2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next w:val="ACMABodyText"/>
    <w:qFormat/>
    <w:rsid w:val="002A1D33"/>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2A1D33"/>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2A1D33"/>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footnote text,Footnote Text Char Char,Footnote Text Char1 Char Char,Footnote Text Char Char Char Char,Footnote Text Char2 Char Char,f"/>
    <w:link w:val="FootnoteTextChar"/>
    <w:rsid w:val="002A1D33"/>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footnote text Char,Footnote Text Char Char Char,Footnote Text Char1 Char Char Char,f Char"/>
    <w:basedOn w:val="DefaultParagraphFont"/>
    <w:link w:val="FootnoteText"/>
    <w:rsid w:val="002A1D33"/>
    <w:rPr>
      <w:rFonts w:ascii="Arial" w:eastAsia="Times New Roman" w:hAnsi="Arial" w:cs="Times New Roman"/>
      <w:sz w:val="16"/>
      <w:szCs w:val="20"/>
    </w:rPr>
  </w:style>
  <w:style w:type="character" w:styleId="Hyperlink">
    <w:name w:val="Hyperlink"/>
    <w:basedOn w:val="DefaultParagraphFont"/>
    <w:qFormat/>
    <w:rsid w:val="002A1D33"/>
    <w:rPr>
      <w:color w:val="0000FF"/>
      <w:u w:val="single"/>
    </w:rPr>
  </w:style>
  <w:style w:type="paragraph" w:customStyle="1" w:styleId="ACMAFooter">
    <w:name w:val="ACMA_Footer"/>
    <w:qFormat/>
    <w:rsid w:val="002A1D33"/>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2A1D33"/>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2A1D33"/>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2A1D33"/>
    <w:pPr>
      <w:spacing w:before="40" w:after="120" w:line="240" w:lineRule="auto"/>
    </w:pPr>
    <w:rPr>
      <w:rFonts w:ascii="Arial" w:eastAsia="Times New Roman" w:hAnsi="Arial" w:cs="Times New Roman"/>
      <w:sz w:val="20"/>
      <w:szCs w:val="20"/>
    </w:rPr>
  </w:style>
  <w:style w:type="paragraph" w:customStyle="1" w:styleId="ACMAHeaderGraphicSpace">
    <w:name w:val="ACMA_HeaderGraphicSpace"/>
    <w:basedOn w:val="ACMABodyText"/>
    <w:qFormat/>
    <w:rsid w:val="002A1D33"/>
  </w:style>
  <w:style w:type="paragraph" w:customStyle="1" w:styleId="ACMAInConfidence">
    <w:name w:val="ACMA_InConfidence"/>
    <w:basedOn w:val="Normal"/>
    <w:qFormat/>
    <w:rsid w:val="002A1D33"/>
    <w:pPr>
      <w:jc w:val="center"/>
    </w:pPr>
    <w:rPr>
      <w:b/>
      <w:bCs/>
      <w:i w:val="0"/>
    </w:rPr>
  </w:style>
  <w:style w:type="character" w:styleId="Emphasis">
    <w:name w:val="Emphasis"/>
    <w:basedOn w:val="DefaultParagraphFont"/>
    <w:qFormat/>
    <w:rsid w:val="002A1D33"/>
    <w:rPr>
      <w:i/>
      <w:iCs/>
    </w:rPr>
  </w:style>
  <w:style w:type="character" w:styleId="CommentReference">
    <w:name w:val="annotation reference"/>
    <w:basedOn w:val="DefaultParagraphFont"/>
    <w:uiPriority w:val="99"/>
    <w:semiHidden/>
    <w:unhideWhenUsed/>
    <w:rsid w:val="002A1D33"/>
    <w:rPr>
      <w:sz w:val="16"/>
      <w:szCs w:val="16"/>
    </w:rPr>
  </w:style>
  <w:style w:type="paragraph" w:styleId="CommentText">
    <w:name w:val="annotation text"/>
    <w:basedOn w:val="Normal"/>
    <w:link w:val="CommentTextChar"/>
    <w:unhideWhenUsed/>
    <w:rsid w:val="002A1D33"/>
    <w:pPr>
      <w:spacing w:line="240" w:lineRule="auto"/>
    </w:pPr>
    <w:rPr>
      <w:szCs w:val="20"/>
    </w:rPr>
  </w:style>
  <w:style w:type="character" w:customStyle="1" w:styleId="CommentTextChar">
    <w:name w:val="Comment Text Char"/>
    <w:basedOn w:val="DefaultParagraphFont"/>
    <w:link w:val="CommentText"/>
    <w:rsid w:val="002A1D33"/>
    <w:rPr>
      <w:rFonts w:ascii="Arial" w:eastAsia="Times New Roman" w:hAnsi="Arial" w:cs="Times New Roman"/>
      <w:i/>
      <w:sz w:val="20"/>
      <w:szCs w:val="20"/>
    </w:rPr>
  </w:style>
  <w:style w:type="character" w:styleId="FootnoteReference">
    <w:name w:val="footnote reference"/>
    <w:aliases w:val="(NECG) Footnote Reference,(NECG) Footnote Reference1,(NECG) Footnote Reference2,o,Appel note de bas de p,Appel note de bas de p + 11 pt,Italic,Footnote,Footnote symbol,Appel note de bas de p1,Appel note de bas de p2"/>
    <w:basedOn w:val="DefaultParagraphFont"/>
    <w:uiPriority w:val="99"/>
    <w:rsid w:val="002A1D33"/>
    <w:rPr>
      <w:vertAlign w:val="superscript"/>
    </w:rPr>
  </w:style>
  <w:style w:type="paragraph" w:customStyle="1" w:styleId="ACMAQuoteindented">
    <w:name w:val="ACMA_Quote indented"/>
    <w:basedOn w:val="ACMABodyText"/>
    <w:qFormat/>
    <w:rsid w:val="002A1D33"/>
    <w:pPr>
      <w:ind w:left="567"/>
    </w:pPr>
    <w:rPr>
      <w:rFonts w:cs="Arial"/>
      <w:sz w:val="18"/>
    </w:rPr>
  </w:style>
  <w:style w:type="paragraph" w:styleId="ListParagraph">
    <w:name w:val="List Paragraph"/>
    <w:aliases w:val="ACMA_ListParagraph,List Paragraph1,Recommendation,bullet point list"/>
    <w:basedOn w:val="Normal"/>
    <w:link w:val="ListParagraphChar"/>
    <w:uiPriority w:val="34"/>
    <w:qFormat/>
    <w:rsid w:val="002A1D33"/>
    <w:pPr>
      <w:ind w:left="720"/>
      <w:contextualSpacing/>
    </w:pPr>
  </w:style>
  <w:style w:type="character" w:customStyle="1" w:styleId="ListParagraphChar">
    <w:name w:val="List Paragraph Char"/>
    <w:aliases w:val="ACMA_ListParagraph Char,List Paragraph1 Char,Recommendation Char,bullet point list Char"/>
    <w:basedOn w:val="DefaultParagraphFont"/>
    <w:link w:val="ListParagraph"/>
    <w:uiPriority w:val="34"/>
    <w:locked/>
    <w:rsid w:val="002A1D33"/>
    <w:rPr>
      <w:rFonts w:ascii="Arial" w:eastAsia="Times New Roman" w:hAnsi="Arial" w:cs="Times New Roman"/>
      <w:i/>
      <w:sz w:val="20"/>
      <w:szCs w:val="24"/>
    </w:rPr>
  </w:style>
  <w:style w:type="paragraph" w:customStyle="1" w:styleId="ABABodyText">
    <w:name w:val="ABA Body Text"/>
    <w:rsid w:val="002A1D33"/>
    <w:pPr>
      <w:suppressAutoHyphens/>
      <w:spacing w:before="80" w:after="120" w:line="280" w:lineRule="atLeast"/>
    </w:pPr>
    <w:rPr>
      <w:rFonts w:ascii="Times New Roman" w:eastAsia="Times New Roman" w:hAnsi="Times New Roman" w:cs="Times New Roman"/>
      <w:snapToGrid w:val="0"/>
      <w:sz w:val="24"/>
      <w:szCs w:val="20"/>
    </w:rPr>
  </w:style>
  <w:style w:type="paragraph" w:styleId="CommentSubject">
    <w:name w:val="annotation subject"/>
    <w:basedOn w:val="CommentText"/>
    <w:next w:val="CommentText"/>
    <w:link w:val="CommentSubjectChar"/>
    <w:uiPriority w:val="99"/>
    <w:semiHidden/>
    <w:unhideWhenUsed/>
    <w:rsid w:val="00671F66"/>
    <w:rPr>
      <w:b/>
      <w:bCs/>
    </w:rPr>
  </w:style>
  <w:style w:type="character" w:customStyle="1" w:styleId="CommentSubjectChar">
    <w:name w:val="Comment Subject Char"/>
    <w:basedOn w:val="CommentTextChar"/>
    <w:link w:val="CommentSubject"/>
    <w:uiPriority w:val="99"/>
    <w:semiHidden/>
    <w:rsid w:val="00671F66"/>
    <w:rPr>
      <w:rFonts w:ascii="Arial" w:eastAsia="Times New Roman" w:hAnsi="Arial" w:cs="Times New Roman"/>
      <w:b/>
      <w:bCs/>
      <w:i/>
      <w:sz w:val="20"/>
      <w:szCs w:val="20"/>
    </w:rPr>
  </w:style>
  <w:style w:type="paragraph" w:styleId="Revision">
    <w:name w:val="Revision"/>
    <w:hidden/>
    <w:uiPriority w:val="99"/>
    <w:semiHidden/>
    <w:rsid w:val="00271EF4"/>
    <w:pPr>
      <w:spacing w:after="0" w:line="240" w:lineRule="auto"/>
    </w:pPr>
    <w:rPr>
      <w:rFonts w:ascii="Arial" w:eastAsia="Times New Roman" w:hAnsi="Arial" w:cs="Times New Roman"/>
      <w:i/>
      <w:sz w:val="20"/>
      <w:szCs w:val="24"/>
    </w:rPr>
  </w:style>
  <w:style w:type="paragraph" w:styleId="Header">
    <w:name w:val="header"/>
    <w:basedOn w:val="Normal"/>
    <w:link w:val="HeaderChar"/>
    <w:uiPriority w:val="99"/>
    <w:unhideWhenUsed/>
    <w:rsid w:val="006E207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2073"/>
    <w:rPr>
      <w:rFonts w:ascii="Arial" w:eastAsia="Times New Roman" w:hAnsi="Arial" w:cs="Times New Roman"/>
      <w:i/>
      <w:sz w:val="20"/>
      <w:szCs w:val="24"/>
    </w:rPr>
  </w:style>
  <w:style w:type="paragraph" w:styleId="Footer">
    <w:name w:val="footer"/>
    <w:basedOn w:val="Normal"/>
    <w:link w:val="FooterChar"/>
    <w:uiPriority w:val="99"/>
    <w:unhideWhenUsed/>
    <w:rsid w:val="006E207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E2073"/>
    <w:rPr>
      <w:rFonts w:ascii="Arial" w:eastAsia="Times New Roman" w:hAnsi="Arial" w:cs="Times New Roman"/>
      <w:i/>
      <w:sz w:val="20"/>
      <w:szCs w:val="24"/>
    </w:rPr>
  </w:style>
  <w:style w:type="paragraph" w:customStyle="1" w:styleId="ACMABodyForm">
    <w:name w:val="ACMA_BodyForm"/>
    <w:basedOn w:val="Normal"/>
    <w:qFormat/>
    <w:rsid w:val="00653E3E"/>
    <w:pPr>
      <w:spacing w:before="360" w:after="120" w:line="240" w:lineRule="atLeast"/>
    </w:pPr>
    <w:rPr>
      <w:i w:val="0"/>
    </w:rPr>
  </w:style>
  <w:style w:type="paragraph" w:customStyle="1" w:styleId="ACMABodyText0">
    <w:name w:val="ACMA Body Text"/>
    <w:link w:val="ACMABodyTextChar"/>
    <w:rsid w:val="00653E3E"/>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653E3E"/>
    <w:rPr>
      <w:rFonts w:ascii="Times New Roman" w:eastAsia="Times New Roman" w:hAnsi="Times New Roman" w:cs="Times New Roman"/>
      <w:snapToGrid w:val="0"/>
      <w:sz w:val="24"/>
      <w:szCs w:val="20"/>
    </w:rPr>
  </w:style>
  <w:style w:type="character" w:customStyle="1" w:styleId="cf01">
    <w:name w:val="cf01"/>
    <w:basedOn w:val="DefaultParagraphFont"/>
    <w:rsid w:val="00D03632"/>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947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4915">
      <w:bodyDiv w:val="1"/>
      <w:marLeft w:val="0"/>
      <w:marRight w:val="0"/>
      <w:marTop w:val="0"/>
      <w:marBottom w:val="0"/>
      <w:divBdr>
        <w:top w:val="none" w:sz="0" w:space="0" w:color="auto"/>
        <w:left w:val="none" w:sz="0" w:space="0" w:color="auto"/>
        <w:bottom w:val="none" w:sz="0" w:space="0" w:color="auto"/>
        <w:right w:val="none" w:sz="0" w:space="0" w:color="auto"/>
      </w:divBdr>
    </w:div>
    <w:div w:id="15459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SportsCenter" TargetMode="External"/><Relationship Id="rId1" Type="http://schemas.openxmlformats.org/officeDocument/2006/relationships/hyperlink" Target="https://www.foxtel.com.au/about/legal-stuff/astra-cod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5B5E-58F7-4E3E-892E-712DF45B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3173</Words>
  <Characters>16344</Characters>
  <Application>Microsoft Office Word</Application>
  <DocSecurity>8</DocSecurity>
  <Lines>302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2023-10-30T02:41:00Z</dcterms:created>
  <dcterms:modified xsi:type="dcterms:W3CDTF">2023-10-31T00:15:00Z</dcterms:modified>
</cp:coreProperties>
</file>