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9E33" w14:textId="7D0F42B0" w:rsidR="00F06E14" w:rsidRPr="00A17B1B" w:rsidRDefault="00BD4421" w:rsidP="00A51D1A">
      <w:pPr>
        <w:pStyle w:val="Reporttitle"/>
      </w:pPr>
      <w:r w:rsidRPr="00A17B1B">
        <w:t>Re</w:t>
      </w:r>
      <w:r w:rsidR="00FB246A">
        <w:t>sponse to submissions</w:t>
      </w:r>
    </w:p>
    <w:p w14:paraId="2BF2DA2D" w14:textId="0DF516A4" w:rsidR="00F06E14" w:rsidRPr="00A17B1B" w:rsidRDefault="00FB246A" w:rsidP="00F06E14">
      <w:pPr>
        <w:pStyle w:val="Reportsubtitle"/>
      </w:pPr>
      <w:r>
        <w:t>Draft FYSO 2023</w:t>
      </w:r>
      <w:r w:rsidR="003C69A5">
        <w:t>–</w:t>
      </w:r>
      <w:r>
        <w:t>28</w:t>
      </w:r>
    </w:p>
    <w:p w14:paraId="1EA8CD69" w14:textId="7CB94F2E" w:rsidR="00C97736" w:rsidRPr="00A17B1B" w:rsidRDefault="00D04C8E" w:rsidP="00EC2B68">
      <w:pPr>
        <w:pStyle w:val="Reportdate"/>
        <w:spacing w:after="720"/>
        <w:rPr>
          <w:rFonts w:cs="Arial"/>
        </w:rPr>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B3298A">
        <w:t xml:space="preserve">October </w:t>
      </w:r>
      <w:r w:rsidR="00BD4421" w:rsidRPr="00B3298A">
        <w:t>20</w:t>
      </w:r>
      <w:r w:rsidR="000971BD" w:rsidRPr="00B3298A">
        <w:t>2</w:t>
      </w:r>
      <w:r w:rsidR="00C55D36" w:rsidRPr="00B3298A">
        <w:t>3</w:t>
      </w:r>
    </w:p>
    <w:p w14:paraId="4CDCFF8C" w14:textId="77777777" w:rsidR="00284A74" w:rsidRPr="00A17B1B" w:rsidRDefault="00284A74" w:rsidP="00284A74">
      <w:pPr>
        <w:pStyle w:val="ACMACorporateAddressHeader"/>
      </w:pPr>
      <w:r w:rsidRPr="00A17B1B">
        <w:lastRenderedPageBreak/>
        <w:t>Canberra</w:t>
      </w:r>
    </w:p>
    <w:p w14:paraId="554485DC" w14:textId="77777777" w:rsidR="00284A74" w:rsidRPr="00A17B1B" w:rsidRDefault="00284A74" w:rsidP="00284A74">
      <w:pPr>
        <w:pStyle w:val="ACMACorporateAddresses"/>
      </w:pPr>
      <w:r w:rsidRPr="00A17B1B">
        <w:t xml:space="preserve">Red Building </w:t>
      </w:r>
      <w:r w:rsidRPr="00A17B1B">
        <w:br/>
        <w:t>Benjamin Offices</w:t>
      </w:r>
      <w:r w:rsidRPr="00A17B1B">
        <w:br/>
        <w:t xml:space="preserve">Chan Street </w:t>
      </w:r>
      <w:r w:rsidRPr="00A17B1B">
        <w:br/>
        <w:t>Belconnen ACT</w:t>
      </w:r>
    </w:p>
    <w:p w14:paraId="40D02742" w14:textId="77777777" w:rsidR="00284A74" w:rsidRPr="00A17B1B" w:rsidRDefault="00284A74" w:rsidP="00284A74">
      <w:pPr>
        <w:pStyle w:val="ACMACorporateAddresses"/>
      </w:pPr>
      <w:r w:rsidRPr="00A17B1B">
        <w:t>PO Box 78</w:t>
      </w:r>
      <w:r w:rsidRPr="00A17B1B">
        <w:br/>
        <w:t>Belconnen ACT 2616</w:t>
      </w:r>
    </w:p>
    <w:p w14:paraId="0C7EDCC1"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79E7A06A" w14:textId="77777777" w:rsidR="00284A74" w:rsidRPr="00A17B1B" w:rsidRDefault="00284A74" w:rsidP="00284A74">
      <w:pPr>
        <w:pStyle w:val="ACMACorporateAddressHeader"/>
      </w:pPr>
      <w:r w:rsidRPr="00A17B1B">
        <w:t>Melbourne</w:t>
      </w:r>
    </w:p>
    <w:p w14:paraId="46020D93"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57CF9F09"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531505EB"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6890E68E" w14:textId="77777777" w:rsidR="00284A74" w:rsidRPr="00A17B1B" w:rsidRDefault="00284A74" w:rsidP="00284A74">
      <w:pPr>
        <w:pStyle w:val="ACMACorporateAddressHeader"/>
      </w:pPr>
      <w:r w:rsidRPr="00A17B1B">
        <w:t>Sydney</w:t>
      </w:r>
    </w:p>
    <w:p w14:paraId="19E9BBCA"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36D604EE"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4B88026A"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3BD18230" w14:textId="77777777" w:rsidR="00284A74" w:rsidRPr="00A17B1B" w:rsidRDefault="00284A74" w:rsidP="00284A74">
      <w:pPr>
        <w:pStyle w:val="ACMACopyrightHeader"/>
      </w:pPr>
      <w:r w:rsidRPr="00A17B1B">
        <w:t>Copyright notice</w:t>
      </w:r>
    </w:p>
    <w:p w14:paraId="6F7C3191" w14:textId="77777777" w:rsidR="00284A74" w:rsidRPr="00A17B1B" w:rsidRDefault="00284A74" w:rsidP="00284A74">
      <w:pPr>
        <w:pStyle w:val="ACMACClogo"/>
      </w:pPr>
      <w:r w:rsidRPr="00A17B1B">
        <w:rPr>
          <w:noProof/>
        </w:rPr>
        <w:drawing>
          <wp:inline distT="0" distB="0" distL="0" distR="0" wp14:anchorId="31B6DA21" wp14:editId="4EDAFF1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A86887B" w14:textId="77777777" w:rsidR="00284A74" w:rsidRPr="00A17B1B" w:rsidRDefault="001D3E36" w:rsidP="00284A74">
      <w:pPr>
        <w:pStyle w:val="ACMACorporateAddresses"/>
        <w:rPr>
          <w:rStyle w:val="Hyperlink"/>
        </w:rPr>
      </w:pPr>
      <w:hyperlink r:id="rId13" w:history="1">
        <w:r w:rsidR="00284A74" w:rsidRPr="00A17B1B">
          <w:rPr>
            <w:rStyle w:val="Hyperlink"/>
          </w:rPr>
          <w:t>https://creativecommons.org/licenses/by/4.0/</w:t>
        </w:r>
      </w:hyperlink>
    </w:p>
    <w:p w14:paraId="662E9373" w14:textId="77777777" w:rsidR="00284A74" w:rsidRPr="00A17B1B" w:rsidRDefault="00284A74" w:rsidP="00284A74">
      <w:pPr>
        <w:pStyle w:val="ACMACorporateAddresses"/>
      </w:pPr>
      <w:r w:rsidRPr="00A17B1B">
        <w:t xml:space="preserve">With the exception of coats of arms, logos, emblems, images, other third-party material or devices protected by a trademark, this content is made available under the terms of the Creative Commons Attribution 4.0 International (CC BY 4.0) licence. </w:t>
      </w:r>
    </w:p>
    <w:p w14:paraId="23DB8888" w14:textId="77777777" w:rsidR="00284A74" w:rsidRPr="00A17B1B" w:rsidRDefault="00284A74" w:rsidP="00284A74">
      <w:pPr>
        <w:pStyle w:val="ACMACorporateAddresses"/>
      </w:pPr>
      <w:r w:rsidRPr="00A17B1B">
        <w:t>We request attribution as © Commonwealth of Australia (Australian Communications and Media Authority) 202</w:t>
      </w:r>
      <w:r w:rsidR="00C55D36">
        <w:t>3</w:t>
      </w:r>
      <w:r w:rsidRPr="00A17B1B">
        <w:t>.</w:t>
      </w:r>
    </w:p>
    <w:p w14:paraId="38119682" w14:textId="77777777" w:rsidR="00284A74" w:rsidRPr="00A17B1B" w:rsidRDefault="00284A74" w:rsidP="00284A74">
      <w:pPr>
        <w:pStyle w:val="ACMACorporateAddresses"/>
      </w:pPr>
      <w:r w:rsidRPr="00A17B1B">
        <w:t>All other rights are reserved.</w:t>
      </w:r>
    </w:p>
    <w:p w14:paraId="15C7CF8C"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D71EAED" w14:textId="77777777" w:rsidR="00284A74" w:rsidRPr="00A17B1B" w:rsidRDefault="00284A74" w:rsidP="00284A74">
      <w:pPr>
        <w:pStyle w:val="ACMACorporateAddresses"/>
      </w:pPr>
      <w:r w:rsidRPr="00A17B1B">
        <w:t>Written enquiries may be sent to:</w:t>
      </w:r>
    </w:p>
    <w:p w14:paraId="064E615D"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07F9E968"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F137812" w14:textId="1ECC78FD" w:rsidR="00B3298A" w:rsidRDefault="0056573E">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\u </w:instrText>
      </w:r>
      <w:r>
        <w:rPr>
          <w:rFonts w:cs="Arial"/>
        </w:rPr>
        <w:fldChar w:fldCharType="separate"/>
      </w:r>
      <w:hyperlink w:anchor="_Toc146527938" w:history="1">
        <w:r w:rsidR="00B3298A" w:rsidRPr="00AD2D5F">
          <w:rPr>
            <w:rStyle w:val="Hyperlink"/>
          </w:rPr>
          <w:t>Response to submissions</w:t>
        </w:r>
        <w:r w:rsidR="00B3298A">
          <w:rPr>
            <w:webHidden/>
          </w:rPr>
          <w:tab/>
        </w:r>
        <w:r w:rsidR="00B3298A">
          <w:rPr>
            <w:webHidden/>
          </w:rPr>
          <w:fldChar w:fldCharType="begin"/>
        </w:r>
        <w:r w:rsidR="00B3298A">
          <w:rPr>
            <w:webHidden/>
          </w:rPr>
          <w:instrText xml:space="preserve"> PAGEREF _Toc146527938 \h </w:instrText>
        </w:r>
        <w:r w:rsidR="00B3298A">
          <w:rPr>
            <w:webHidden/>
          </w:rPr>
        </w:r>
        <w:r w:rsidR="00B3298A">
          <w:rPr>
            <w:webHidden/>
          </w:rPr>
          <w:fldChar w:fldCharType="separate"/>
        </w:r>
        <w:r w:rsidR="00B3298A">
          <w:rPr>
            <w:webHidden/>
          </w:rPr>
          <w:t>1</w:t>
        </w:r>
        <w:r w:rsidR="00B3298A">
          <w:rPr>
            <w:webHidden/>
          </w:rPr>
          <w:fldChar w:fldCharType="end"/>
        </w:r>
      </w:hyperlink>
    </w:p>
    <w:p w14:paraId="08F23CE2" w14:textId="7513AF2B" w:rsidR="00B3298A" w:rsidRDefault="001D3E36">
      <w:pPr>
        <w:pStyle w:val="TOC1"/>
        <w:rPr>
          <w:rFonts w:asciiTheme="minorHAnsi" w:eastAsiaTheme="minorEastAsia" w:hAnsiTheme="minorHAnsi" w:cstheme="minorBidi"/>
          <w:b w:val="0"/>
          <w:spacing w:val="0"/>
          <w:sz w:val="22"/>
          <w:szCs w:val="22"/>
        </w:rPr>
      </w:pPr>
      <w:hyperlink w:anchor="_Toc146527939" w:history="1">
        <w:r w:rsidR="00B3298A" w:rsidRPr="00AD2D5F">
          <w:rPr>
            <w:rStyle w:val="Hyperlink"/>
          </w:rPr>
          <w:t>Part 1: Five-year spectrum outlook 2023–28</w:t>
        </w:r>
        <w:r w:rsidR="00B3298A">
          <w:rPr>
            <w:webHidden/>
          </w:rPr>
          <w:tab/>
        </w:r>
        <w:r w:rsidR="00B3298A">
          <w:rPr>
            <w:webHidden/>
          </w:rPr>
          <w:fldChar w:fldCharType="begin"/>
        </w:r>
        <w:r w:rsidR="00B3298A">
          <w:rPr>
            <w:webHidden/>
          </w:rPr>
          <w:instrText xml:space="preserve"> PAGEREF _Toc146527939 \h </w:instrText>
        </w:r>
        <w:r w:rsidR="00B3298A">
          <w:rPr>
            <w:webHidden/>
          </w:rPr>
        </w:r>
        <w:r w:rsidR="00B3298A">
          <w:rPr>
            <w:webHidden/>
          </w:rPr>
          <w:fldChar w:fldCharType="separate"/>
        </w:r>
        <w:r w:rsidR="00B3298A">
          <w:rPr>
            <w:webHidden/>
          </w:rPr>
          <w:t>2</w:t>
        </w:r>
        <w:r w:rsidR="00B3298A">
          <w:rPr>
            <w:webHidden/>
          </w:rPr>
          <w:fldChar w:fldCharType="end"/>
        </w:r>
      </w:hyperlink>
    </w:p>
    <w:p w14:paraId="5016649F" w14:textId="09B7DB4C" w:rsidR="00B3298A" w:rsidRDefault="001D3E36">
      <w:pPr>
        <w:pStyle w:val="TOC2"/>
        <w:rPr>
          <w:rFonts w:asciiTheme="minorHAnsi" w:eastAsiaTheme="minorEastAsia" w:hAnsiTheme="minorHAnsi" w:cstheme="minorBidi"/>
          <w:spacing w:val="0"/>
          <w:sz w:val="22"/>
          <w:szCs w:val="22"/>
        </w:rPr>
      </w:pPr>
      <w:hyperlink w:anchor="_Toc146527940" w:history="1">
        <w:r w:rsidR="00B3298A" w:rsidRPr="00AD2D5F">
          <w:rPr>
            <w:rStyle w:val="Hyperlink"/>
          </w:rPr>
          <w:t>Our approach to spectrum management</w:t>
        </w:r>
        <w:r w:rsidR="00B3298A">
          <w:rPr>
            <w:webHidden/>
          </w:rPr>
          <w:tab/>
        </w:r>
        <w:r w:rsidR="00B3298A">
          <w:rPr>
            <w:webHidden/>
          </w:rPr>
          <w:fldChar w:fldCharType="begin"/>
        </w:r>
        <w:r w:rsidR="00B3298A">
          <w:rPr>
            <w:webHidden/>
          </w:rPr>
          <w:instrText xml:space="preserve"> PAGEREF _Toc146527940 \h </w:instrText>
        </w:r>
        <w:r w:rsidR="00B3298A">
          <w:rPr>
            <w:webHidden/>
          </w:rPr>
        </w:r>
        <w:r w:rsidR="00B3298A">
          <w:rPr>
            <w:webHidden/>
          </w:rPr>
          <w:fldChar w:fldCharType="separate"/>
        </w:r>
        <w:r w:rsidR="00B3298A">
          <w:rPr>
            <w:webHidden/>
          </w:rPr>
          <w:t>2</w:t>
        </w:r>
        <w:r w:rsidR="00B3298A">
          <w:rPr>
            <w:webHidden/>
          </w:rPr>
          <w:fldChar w:fldCharType="end"/>
        </w:r>
      </w:hyperlink>
    </w:p>
    <w:p w14:paraId="061EFC49" w14:textId="03D9E9F1" w:rsidR="00B3298A" w:rsidRDefault="001D3E36">
      <w:pPr>
        <w:pStyle w:val="TOC2"/>
        <w:rPr>
          <w:rFonts w:asciiTheme="minorHAnsi" w:eastAsiaTheme="minorEastAsia" w:hAnsiTheme="minorHAnsi" w:cstheme="minorBidi"/>
          <w:spacing w:val="0"/>
          <w:sz w:val="22"/>
          <w:szCs w:val="22"/>
        </w:rPr>
      </w:pPr>
      <w:hyperlink w:anchor="_Toc146527941" w:history="1">
        <w:r w:rsidR="00B3298A" w:rsidRPr="00AD2D5F">
          <w:rPr>
            <w:rStyle w:val="Hyperlink"/>
          </w:rPr>
          <w:t>The policy environment and regulatory reform</w:t>
        </w:r>
        <w:r w:rsidR="00B3298A">
          <w:rPr>
            <w:webHidden/>
          </w:rPr>
          <w:tab/>
        </w:r>
        <w:r w:rsidR="00B3298A">
          <w:rPr>
            <w:webHidden/>
          </w:rPr>
          <w:fldChar w:fldCharType="begin"/>
        </w:r>
        <w:r w:rsidR="00B3298A">
          <w:rPr>
            <w:webHidden/>
          </w:rPr>
          <w:instrText xml:space="preserve"> PAGEREF _Toc146527941 \h </w:instrText>
        </w:r>
        <w:r w:rsidR="00B3298A">
          <w:rPr>
            <w:webHidden/>
          </w:rPr>
        </w:r>
        <w:r w:rsidR="00B3298A">
          <w:rPr>
            <w:webHidden/>
          </w:rPr>
          <w:fldChar w:fldCharType="separate"/>
        </w:r>
        <w:r w:rsidR="00B3298A">
          <w:rPr>
            <w:webHidden/>
          </w:rPr>
          <w:t>3</w:t>
        </w:r>
        <w:r w:rsidR="00B3298A">
          <w:rPr>
            <w:webHidden/>
          </w:rPr>
          <w:fldChar w:fldCharType="end"/>
        </w:r>
      </w:hyperlink>
    </w:p>
    <w:p w14:paraId="6DC12BCC" w14:textId="7D854D3B" w:rsidR="00B3298A" w:rsidRDefault="001D3E36">
      <w:pPr>
        <w:pStyle w:val="TOC2"/>
        <w:rPr>
          <w:rFonts w:asciiTheme="minorHAnsi" w:eastAsiaTheme="minorEastAsia" w:hAnsiTheme="minorHAnsi" w:cstheme="minorBidi"/>
          <w:spacing w:val="0"/>
          <w:sz w:val="22"/>
          <w:szCs w:val="22"/>
        </w:rPr>
      </w:pPr>
      <w:hyperlink w:anchor="_Toc146527942" w:history="1">
        <w:r w:rsidR="00B3298A" w:rsidRPr="00AD2D5F">
          <w:rPr>
            <w:rStyle w:val="Hyperlink"/>
          </w:rPr>
          <w:t>Market and technology drivers</w:t>
        </w:r>
        <w:r w:rsidR="00B3298A">
          <w:rPr>
            <w:webHidden/>
          </w:rPr>
          <w:tab/>
        </w:r>
        <w:r w:rsidR="00B3298A">
          <w:rPr>
            <w:webHidden/>
          </w:rPr>
          <w:fldChar w:fldCharType="begin"/>
        </w:r>
        <w:r w:rsidR="00B3298A">
          <w:rPr>
            <w:webHidden/>
          </w:rPr>
          <w:instrText xml:space="preserve"> PAGEREF _Toc146527942 \h </w:instrText>
        </w:r>
        <w:r w:rsidR="00B3298A">
          <w:rPr>
            <w:webHidden/>
          </w:rPr>
        </w:r>
        <w:r w:rsidR="00B3298A">
          <w:rPr>
            <w:webHidden/>
          </w:rPr>
          <w:fldChar w:fldCharType="separate"/>
        </w:r>
        <w:r w:rsidR="00B3298A">
          <w:rPr>
            <w:webHidden/>
          </w:rPr>
          <w:t>4</w:t>
        </w:r>
        <w:r w:rsidR="00B3298A">
          <w:rPr>
            <w:webHidden/>
          </w:rPr>
          <w:fldChar w:fldCharType="end"/>
        </w:r>
      </w:hyperlink>
    </w:p>
    <w:p w14:paraId="26BA228D" w14:textId="1BC2400C" w:rsidR="00B3298A" w:rsidRDefault="001D3E36">
      <w:pPr>
        <w:pStyle w:val="TOC2"/>
        <w:rPr>
          <w:rFonts w:asciiTheme="minorHAnsi" w:eastAsiaTheme="minorEastAsia" w:hAnsiTheme="minorHAnsi" w:cstheme="minorBidi"/>
          <w:spacing w:val="0"/>
          <w:sz w:val="22"/>
          <w:szCs w:val="22"/>
        </w:rPr>
      </w:pPr>
      <w:hyperlink w:anchor="_Toc146527943" w:history="1">
        <w:r w:rsidR="00B3298A" w:rsidRPr="00AD2D5F">
          <w:rPr>
            <w:rStyle w:val="Hyperlink"/>
          </w:rPr>
          <w:t>Wireless broadband</w:t>
        </w:r>
        <w:r w:rsidR="00B3298A">
          <w:rPr>
            <w:webHidden/>
          </w:rPr>
          <w:tab/>
        </w:r>
        <w:r w:rsidR="00B3298A">
          <w:rPr>
            <w:webHidden/>
          </w:rPr>
          <w:fldChar w:fldCharType="begin"/>
        </w:r>
        <w:r w:rsidR="00B3298A">
          <w:rPr>
            <w:webHidden/>
          </w:rPr>
          <w:instrText xml:space="preserve"> PAGEREF _Toc146527943 \h </w:instrText>
        </w:r>
        <w:r w:rsidR="00B3298A">
          <w:rPr>
            <w:webHidden/>
          </w:rPr>
        </w:r>
        <w:r w:rsidR="00B3298A">
          <w:rPr>
            <w:webHidden/>
          </w:rPr>
          <w:fldChar w:fldCharType="separate"/>
        </w:r>
        <w:r w:rsidR="00B3298A">
          <w:rPr>
            <w:webHidden/>
          </w:rPr>
          <w:t>6</w:t>
        </w:r>
        <w:r w:rsidR="00B3298A">
          <w:rPr>
            <w:webHidden/>
          </w:rPr>
          <w:fldChar w:fldCharType="end"/>
        </w:r>
      </w:hyperlink>
    </w:p>
    <w:p w14:paraId="4DCC555C" w14:textId="5D7EB1F5" w:rsidR="00B3298A" w:rsidRDefault="001D3E36">
      <w:pPr>
        <w:pStyle w:val="TOC2"/>
        <w:rPr>
          <w:rFonts w:asciiTheme="minorHAnsi" w:eastAsiaTheme="minorEastAsia" w:hAnsiTheme="minorHAnsi" w:cstheme="minorBidi"/>
          <w:spacing w:val="0"/>
          <w:sz w:val="22"/>
          <w:szCs w:val="22"/>
        </w:rPr>
      </w:pPr>
      <w:hyperlink w:anchor="_Toc146527944" w:history="1">
        <w:r w:rsidR="00B3298A" w:rsidRPr="00AD2D5F">
          <w:rPr>
            <w:rStyle w:val="Hyperlink"/>
          </w:rPr>
          <w:t>Spectrum for government requirements/Public Safety Mobile Broadband</w:t>
        </w:r>
        <w:r w:rsidR="00B3298A">
          <w:rPr>
            <w:webHidden/>
          </w:rPr>
          <w:tab/>
        </w:r>
        <w:r w:rsidR="00B3298A">
          <w:rPr>
            <w:webHidden/>
          </w:rPr>
          <w:fldChar w:fldCharType="begin"/>
        </w:r>
        <w:r w:rsidR="00B3298A">
          <w:rPr>
            <w:webHidden/>
          </w:rPr>
          <w:instrText xml:space="preserve"> PAGEREF _Toc146527944 \h </w:instrText>
        </w:r>
        <w:r w:rsidR="00B3298A">
          <w:rPr>
            <w:webHidden/>
          </w:rPr>
        </w:r>
        <w:r w:rsidR="00B3298A">
          <w:rPr>
            <w:webHidden/>
          </w:rPr>
          <w:fldChar w:fldCharType="separate"/>
        </w:r>
        <w:r w:rsidR="00B3298A">
          <w:rPr>
            <w:webHidden/>
          </w:rPr>
          <w:t>8</w:t>
        </w:r>
        <w:r w:rsidR="00B3298A">
          <w:rPr>
            <w:webHidden/>
          </w:rPr>
          <w:fldChar w:fldCharType="end"/>
        </w:r>
      </w:hyperlink>
    </w:p>
    <w:p w14:paraId="32F397F8" w14:textId="35B266A8" w:rsidR="00B3298A" w:rsidRDefault="001D3E36">
      <w:pPr>
        <w:pStyle w:val="TOC1"/>
        <w:rPr>
          <w:rFonts w:asciiTheme="minorHAnsi" w:eastAsiaTheme="minorEastAsia" w:hAnsiTheme="minorHAnsi" w:cstheme="minorBidi"/>
          <w:b w:val="0"/>
          <w:spacing w:val="0"/>
          <w:sz w:val="22"/>
          <w:szCs w:val="22"/>
        </w:rPr>
      </w:pPr>
      <w:hyperlink w:anchor="_Toc146527945" w:history="1">
        <w:r w:rsidR="00B3298A" w:rsidRPr="00AD2D5F">
          <w:rPr>
            <w:rStyle w:val="Hyperlink"/>
          </w:rPr>
          <w:t>Part 2: 2023–24 annual work program</w:t>
        </w:r>
        <w:r w:rsidR="00B3298A">
          <w:rPr>
            <w:webHidden/>
          </w:rPr>
          <w:tab/>
        </w:r>
        <w:r w:rsidR="00B3298A">
          <w:rPr>
            <w:webHidden/>
          </w:rPr>
          <w:fldChar w:fldCharType="begin"/>
        </w:r>
        <w:r w:rsidR="00B3298A">
          <w:rPr>
            <w:webHidden/>
          </w:rPr>
          <w:instrText xml:space="preserve"> PAGEREF _Toc146527945 \h </w:instrText>
        </w:r>
        <w:r w:rsidR="00B3298A">
          <w:rPr>
            <w:webHidden/>
          </w:rPr>
        </w:r>
        <w:r w:rsidR="00B3298A">
          <w:rPr>
            <w:webHidden/>
          </w:rPr>
          <w:fldChar w:fldCharType="separate"/>
        </w:r>
        <w:r w:rsidR="00B3298A">
          <w:rPr>
            <w:webHidden/>
          </w:rPr>
          <w:t>9</w:t>
        </w:r>
        <w:r w:rsidR="00B3298A">
          <w:rPr>
            <w:webHidden/>
          </w:rPr>
          <w:fldChar w:fldCharType="end"/>
        </w:r>
      </w:hyperlink>
    </w:p>
    <w:p w14:paraId="4619CE00" w14:textId="333075DC" w:rsidR="00B3298A" w:rsidRDefault="001D3E36">
      <w:pPr>
        <w:pStyle w:val="TOC1"/>
        <w:rPr>
          <w:rFonts w:asciiTheme="minorHAnsi" w:eastAsiaTheme="minorEastAsia" w:hAnsiTheme="minorHAnsi" w:cstheme="minorBidi"/>
          <w:b w:val="0"/>
          <w:spacing w:val="0"/>
          <w:sz w:val="22"/>
          <w:szCs w:val="22"/>
        </w:rPr>
      </w:pPr>
      <w:hyperlink w:anchor="_Toc146527946" w:history="1">
        <w:r w:rsidR="00B3298A" w:rsidRPr="00AD2D5F">
          <w:rPr>
            <w:rStyle w:val="Hyperlink"/>
          </w:rPr>
          <w:t>Monitoring stage</w:t>
        </w:r>
        <w:r w:rsidR="00B3298A">
          <w:rPr>
            <w:webHidden/>
          </w:rPr>
          <w:tab/>
        </w:r>
        <w:r w:rsidR="00B3298A">
          <w:rPr>
            <w:webHidden/>
          </w:rPr>
          <w:fldChar w:fldCharType="begin"/>
        </w:r>
        <w:r w:rsidR="00B3298A">
          <w:rPr>
            <w:webHidden/>
          </w:rPr>
          <w:instrText xml:space="preserve"> PAGEREF _Toc146527946 \h </w:instrText>
        </w:r>
        <w:r w:rsidR="00B3298A">
          <w:rPr>
            <w:webHidden/>
          </w:rPr>
        </w:r>
        <w:r w:rsidR="00B3298A">
          <w:rPr>
            <w:webHidden/>
          </w:rPr>
          <w:fldChar w:fldCharType="separate"/>
        </w:r>
        <w:r w:rsidR="00B3298A">
          <w:rPr>
            <w:webHidden/>
          </w:rPr>
          <w:t>10</w:t>
        </w:r>
        <w:r w:rsidR="00B3298A">
          <w:rPr>
            <w:webHidden/>
          </w:rPr>
          <w:fldChar w:fldCharType="end"/>
        </w:r>
      </w:hyperlink>
    </w:p>
    <w:p w14:paraId="6700A5B9" w14:textId="4871085F" w:rsidR="00B3298A" w:rsidRDefault="001D3E36">
      <w:pPr>
        <w:pStyle w:val="TOC2"/>
        <w:rPr>
          <w:rFonts w:asciiTheme="minorHAnsi" w:eastAsiaTheme="minorEastAsia" w:hAnsiTheme="minorHAnsi" w:cstheme="minorBidi"/>
          <w:spacing w:val="0"/>
          <w:sz w:val="22"/>
          <w:szCs w:val="22"/>
        </w:rPr>
      </w:pPr>
      <w:hyperlink w:anchor="_Toc146527947" w:history="1">
        <w:r w:rsidR="00B3298A" w:rsidRPr="00AD2D5F">
          <w:rPr>
            <w:rStyle w:val="Hyperlink"/>
          </w:rPr>
          <w:t>600 MHz (617–698 MHz)</w:t>
        </w:r>
        <w:r w:rsidR="00B3298A">
          <w:rPr>
            <w:webHidden/>
          </w:rPr>
          <w:tab/>
        </w:r>
        <w:r w:rsidR="00B3298A">
          <w:rPr>
            <w:webHidden/>
          </w:rPr>
          <w:fldChar w:fldCharType="begin"/>
        </w:r>
        <w:r w:rsidR="00B3298A">
          <w:rPr>
            <w:webHidden/>
          </w:rPr>
          <w:instrText xml:space="preserve"> PAGEREF _Toc146527947 \h </w:instrText>
        </w:r>
        <w:r w:rsidR="00B3298A">
          <w:rPr>
            <w:webHidden/>
          </w:rPr>
        </w:r>
        <w:r w:rsidR="00B3298A">
          <w:rPr>
            <w:webHidden/>
          </w:rPr>
          <w:fldChar w:fldCharType="separate"/>
        </w:r>
        <w:r w:rsidR="00B3298A">
          <w:rPr>
            <w:webHidden/>
          </w:rPr>
          <w:t>10</w:t>
        </w:r>
        <w:r w:rsidR="00B3298A">
          <w:rPr>
            <w:webHidden/>
          </w:rPr>
          <w:fldChar w:fldCharType="end"/>
        </w:r>
      </w:hyperlink>
    </w:p>
    <w:p w14:paraId="1EE28E3D" w14:textId="318A6588" w:rsidR="00B3298A" w:rsidRDefault="001D3E36">
      <w:pPr>
        <w:pStyle w:val="TOC2"/>
        <w:rPr>
          <w:rFonts w:asciiTheme="minorHAnsi" w:eastAsiaTheme="minorEastAsia" w:hAnsiTheme="minorHAnsi" w:cstheme="minorBidi"/>
          <w:spacing w:val="0"/>
          <w:sz w:val="22"/>
          <w:szCs w:val="22"/>
        </w:rPr>
      </w:pPr>
      <w:hyperlink w:anchor="_Toc146527948" w:history="1">
        <w:r w:rsidR="00B3298A" w:rsidRPr="00AD2D5F">
          <w:rPr>
            <w:rStyle w:val="Hyperlink"/>
          </w:rPr>
          <w:t>3.3 GHz (3300–3400 MHz) and 4.0 GHz (4400–4990 MHz)</w:t>
        </w:r>
        <w:r w:rsidR="00B3298A">
          <w:rPr>
            <w:webHidden/>
          </w:rPr>
          <w:tab/>
        </w:r>
        <w:r w:rsidR="00B3298A">
          <w:rPr>
            <w:webHidden/>
          </w:rPr>
          <w:fldChar w:fldCharType="begin"/>
        </w:r>
        <w:r w:rsidR="00B3298A">
          <w:rPr>
            <w:webHidden/>
          </w:rPr>
          <w:instrText xml:space="preserve"> PAGEREF _Toc146527948 \h </w:instrText>
        </w:r>
        <w:r w:rsidR="00B3298A">
          <w:rPr>
            <w:webHidden/>
          </w:rPr>
        </w:r>
        <w:r w:rsidR="00B3298A">
          <w:rPr>
            <w:webHidden/>
          </w:rPr>
          <w:fldChar w:fldCharType="separate"/>
        </w:r>
        <w:r w:rsidR="00B3298A">
          <w:rPr>
            <w:webHidden/>
          </w:rPr>
          <w:t>11</w:t>
        </w:r>
        <w:r w:rsidR="00B3298A">
          <w:rPr>
            <w:webHidden/>
          </w:rPr>
          <w:fldChar w:fldCharType="end"/>
        </w:r>
      </w:hyperlink>
    </w:p>
    <w:p w14:paraId="74778071" w14:textId="37A95A34" w:rsidR="00B3298A" w:rsidRDefault="001D3E36">
      <w:pPr>
        <w:pStyle w:val="TOC2"/>
        <w:rPr>
          <w:rFonts w:asciiTheme="minorHAnsi" w:eastAsiaTheme="minorEastAsia" w:hAnsiTheme="minorHAnsi" w:cstheme="minorBidi"/>
          <w:spacing w:val="0"/>
          <w:sz w:val="22"/>
          <w:szCs w:val="22"/>
        </w:rPr>
      </w:pPr>
      <w:hyperlink w:anchor="_Toc146527949" w:history="1">
        <w:r w:rsidR="00B3298A" w:rsidRPr="00AD2D5F">
          <w:rPr>
            <w:rStyle w:val="Hyperlink"/>
          </w:rPr>
          <w:t>13 GHz (12.75–13.25 GHz)</w:t>
        </w:r>
        <w:r w:rsidR="00B3298A">
          <w:rPr>
            <w:webHidden/>
          </w:rPr>
          <w:tab/>
        </w:r>
        <w:r w:rsidR="00B3298A">
          <w:rPr>
            <w:webHidden/>
          </w:rPr>
          <w:fldChar w:fldCharType="begin"/>
        </w:r>
        <w:r w:rsidR="00B3298A">
          <w:rPr>
            <w:webHidden/>
          </w:rPr>
          <w:instrText xml:space="preserve"> PAGEREF _Toc146527949 \h </w:instrText>
        </w:r>
        <w:r w:rsidR="00B3298A">
          <w:rPr>
            <w:webHidden/>
          </w:rPr>
        </w:r>
        <w:r w:rsidR="00B3298A">
          <w:rPr>
            <w:webHidden/>
          </w:rPr>
          <w:fldChar w:fldCharType="separate"/>
        </w:r>
        <w:r w:rsidR="00B3298A">
          <w:rPr>
            <w:webHidden/>
          </w:rPr>
          <w:t>11</w:t>
        </w:r>
        <w:r w:rsidR="00B3298A">
          <w:rPr>
            <w:webHidden/>
          </w:rPr>
          <w:fldChar w:fldCharType="end"/>
        </w:r>
      </w:hyperlink>
    </w:p>
    <w:p w14:paraId="2787576D" w14:textId="3E92F01B" w:rsidR="00B3298A" w:rsidRDefault="001D3E36">
      <w:pPr>
        <w:pStyle w:val="TOC2"/>
        <w:rPr>
          <w:rFonts w:asciiTheme="minorHAnsi" w:eastAsiaTheme="minorEastAsia" w:hAnsiTheme="minorHAnsi" w:cstheme="minorBidi"/>
          <w:spacing w:val="0"/>
          <w:sz w:val="22"/>
          <w:szCs w:val="22"/>
        </w:rPr>
      </w:pPr>
      <w:hyperlink w:anchor="_Toc146527950" w:history="1">
        <w:r w:rsidR="00B3298A" w:rsidRPr="00AD2D5F">
          <w:rPr>
            <w:rStyle w:val="Hyperlink"/>
          </w:rPr>
          <w:t>Q/V band: 40 GHz, 46 GHz, 47 GHz</w:t>
        </w:r>
        <w:r w:rsidR="00B3298A">
          <w:rPr>
            <w:webHidden/>
          </w:rPr>
          <w:tab/>
        </w:r>
        <w:r w:rsidR="00B3298A">
          <w:rPr>
            <w:webHidden/>
          </w:rPr>
          <w:fldChar w:fldCharType="begin"/>
        </w:r>
        <w:r w:rsidR="00B3298A">
          <w:rPr>
            <w:webHidden/>
          </w:rPr>
          <w:instrText xml:space="preserve"> PAGEREF _Toc146527950 \h </w:instrText>
        </w:r>
        <w:r w:rsidR="00B3298A">
          <w:rPr>
            <w:webHidden/>
          </w:rPr>
        </w:r>
        <w:r w:rsidR="00B3298A">
          <w:rPr>
            <w:webHidden/>
          </w:rPr>
          <w:fldChar w:fldCharType="separate"/>
        </w:r>
        <w:r w:rsidR="00B3298A">
          <w:rPr>
            <w:webHidden/>
          </w:rPr>
          <w:t>11</w:t>
        </w:r>
        <w:r w:rsidR="00B3298A">
          <w:rPr>
            <w:webHidden/>
          </w:rPr>
          <w:fldChar w:fldCharType="end"/>
        </w:r>
      </w:hyperlink>
    </w:p>
    <w:p w14:paraId="0E31CB7D" w14:textId="18DFD5A0" w:rsidR="00B3298A" w:rsidRDefault="001D3E36">
      <w:pPr>
        <w:pStyle w:val="TOC2"/>
        <w:rPr>
          <w:rFonts w:asciiTheme="minorHAnsi" w:eastAsiaTheme="minorEastAsia" w:hAnsiTheme="minorHAnsi" w:cstheme="minorBidi"/>
          <w:spacing w:val="0"/>
          <w:sz w:val="22"/>
          <w:szCs w:val="22"/>
        </w:rPr>
      </w:pPr>
      <w:hyperlink w:anchor="_Toc146527951" w:history="1">
        <w:r w:rsidR="00B3298A" w:rsidRPr="00AD2D5F">
          <w:rPr>
            <w:rStyle w:val="Hyperlink"/>
          </w:rPr>
          <w:t>Other bands</w:t>
        </w:r>
        <w:r w:rsidR="00B3298A">
          <w:rPr>
            <w:webHidden/>
          </w:rPr>
          <w:tab/>
        </w:r>
        <w:r w:rsidR="00B3298A">
          <w:rPr>
            <w:webHidden/>
          </w:rPr>
          <w:fldChar w:fldCharType="begin"/>
        </w:r>
        <w:r w:rsidR="00B3298A">
          <w:rPr>
            <w:webHidden/>
          </w:rPr>
          <w:instrText xml:space="preserve"> PAGEREF _Toc146527951 \h </w:instrText>
        </w:r>
        <w:r w:rsidR="00B3298A">
          <w:rPr>
            <w:webHidden/>
          </w:rPr>
        </w:r>
        <w:r w:rsidR="00B3298A">
          <w:rPr>
            <w:webHidden/>
          </w:rPr>
          <w:fldChar w:fldCharType="separate"/>
        </w:r>
        <w:r w:rsidR="00B3298A">
          <w:rPr>
            <w:webHidden/>
          </w:rPr>
          <w:t>14</w:t>
        </w:r>
        <w:r w:rsidR="00B3298A">
          <w:rPr>
            <w:webHidden/>
          </w:rPr>
          <w:fldChar w:fldCharType="end"/>
        </w:r>
      </w:hyperlink>
    </w:p>
    <w:p w14:paraId="27583A8D" w14:textId="2D5F99DA" w:rsidR="00B3298A" w:rsidRDefault="001D3E36">
      <w:pPr>
        <w:pStyle w:val="TOC1"/>
        <w:rPr>
          <w:rFonts w:asciiTheme="minorHAnsi" w:eastAsiaTheme="minorEastAsia" w:hAnsiTheme="minorHAnsi" w:cstheme="minorBidi"/>
          <w:b w:val="0"/>
          <w:spacing w:val="0"/>
          <w:sz w:val="22"/>
          <w:szCs w:val="22"/>
        </w:rPr>
      </w:pPr>
      <w:hyperlink w:anchor="_Toc146527952" w:history="1">
        <w:r w:rsidR="00B3298A" w:rsidRPr="00AD2D5F">
          <w:rPr>
            <w:rStyle w:val="Hyperlink"/>
          </w:rPr>
          <w:t>Initial investigation</w:t>
        </w:r>
        <w:r w:rsidR="00B3298A">
          <w:rPr>
            <w:webHidden/>
          </w:rPr>
          <w:tab/>
        </w:r>
        <w:r w:rsidR="00B3298A">
          <w:rPr>
            <w:webHidden/>
          </w:rPr>
          <w:fldChar w:fldCharType="begin"/>
        </w:r>
        <w:r w:rsidR="00B3298A">
          <w:rPr>
            <w:webHidden/>
          </w:rPr>
          <w:instrText xml:space="preserve"> PAGEREF _Toc146527952 \h </w:instrText>
        </w:r>
        <w:r w:rsidR="00B3298A">
          <w:rPr>
            <w:webHidden/>
          </w:rPr>
        </w:r>
        <w:r w:rsidR="00B3298A">
          <w:rPr>
            <w:webHidden/>
          </w:rPr>
          <w:fldChar w:fldCharType="separate"/>
        </w:r>
        <w:r w:rsidR="00B3298A">
          <w:rPr>
            <w:webHidden/>
          </w:rPr>
          <w:t>15</w:t>
        </w:r>
        <w:r w:rsidR="00B3298A">
          <w:rPr>
            <w:webHidden/>
          </w:rPr>
          <w:fldChar w:fldCharType="end"/>
        </w:r>
      </w:hyperlink>
    </w:p>
    <w:p w14:paraId="7ECAF947" w14:textId="3BCD2CD2" w:rsidR="00B3298A" w:rsidRDefault="001D3E36">
      <w:pPr>
        <w:pStyle w:val="TOC2"/>
        <w:rPr>
          <w:rFonts w:asciiTheme="minorHAnsi" w:eastAsiaTheme="minorEastAsia" w:hAnsiTheme="minorHAnsi" w:cstheme="minorBidi"/>
          <w:spacing w:val="0"/>
          <w:sz w:val="22"/>
          <w:szCs w:val="22"/>
        </w:rPr>
      </w:pPr>
      <w:hyperlink w:anchor="_Toc146527953" w:history="1">
        <w:r w:rsidR="00B3298A" w:rsidRPr="00AD2D5F">
          <w:rPr>
            <w:rStyle w:val="Hyperlink"/>
          </w:rPr>
          <w:t>6 GHz</w:t>
        </w:r>
        <w:r w:rsidR="00B3298A">
          <w:rPr>
            <w:webHidden/>
          </w:rPr>
          <w:tab/>
        </w:r>
        <w:r w:rsidR="00A0541C">
          <w:rPr>
            <w:webHidden/>
          </w:rPr>
          <w:tab/>
        </w:r>
        <w:r w:rsidR="00B3298A">
          <w:rPr>
            <w:webHidden/>
          </w:rPr>
          <w:fldChar w:fldCharType="begin"/>
        </w:r>
        <w:r w:rsidR="00B3298A">
          <w:rPr>
            <w:webHidden/>
          </w:rPr>
          <w:instrText xml:space="preserve"> PAGEREF _Toc146527953 \h </w:instrText>
        </w:r>
        <w:r w:rsidR="00B3298A">
          <w:rPr>
            <w:webHidden/>
          </w:rPr>
        </w:r>
        <w:r w:rsidR="00B3298A">
          <w:rPr>
            <w:webHidden/>
          </w:rPr>
          <w:fldChar w:fldCharType="separate"/>
        </w:r>
        <w:r w:rsidR="00B3298A">
          <w:rPr>
            <w:webHidden/>
          </w:rPr>
          <w:t>15</w:t>
        </w:r>
        <w:r w:rsidR="00B3298A">
          <w:rPr>
            <w:webHidden/>
          </w:rPr>
          <w:fldChar w:fldCharType="end"/>
        </w:r>
      </w:hyperlink>
    </w:p>
    <w:p w14:paraId="4BCA12A0" w14:textId="52F333FF" w:rsidR="00B3298A" w:rsidRDefault="001D3E36">
      <w:pPr>
        <w:pStyle w:val="TOC1"/>
        <w:rPr>
          <w:rFonts w:asciiTheme="minorHAnsi" w:eastAsiaTheme="minorEastAsia" w:hAnsiTheme="minorHAnsi" w:cstheme="minorBidi"/>
          <w:b w:val="0"/>
          <w:spacing w:val="0"/>
          <w:sz w:val="22"/>
          <w:szCs w:val="22"/>
        </w:rPr>
      </w:pPr>
      <w:hyperlink w:anchor="_Toc146527954" w:history="1">
        <w:r w:rsidR="00B3298A" w:rsidRPr="00AD2D5F">
          <w:rPr>
            <w:rStyle w:val="Hyperlink"/>
          </w:rPr>
          <w:t>Preliminary replanning</w:t>
        </w:r>
        <w:r w:rsidR="00B3298A">
          <w:rPr>
            <w:webHidden/>
          </w:rPr>
          <w:tab/>
        </w:r>
        <w:r w:rsidR="00B3298A">
          <w:rPr>
            <w:webHidden/>
          </w:rPr>
          <w:fldChar w:fldCharType="begin"/>
        </w:r>
        <w:r w:rsidR="00B3298A">
          <w:rPr>
            <w:webHidden/>
          </w:rPr>
          <w:instrText xml:space="preserve"> PAGEREF _Toc146527954 \h </w:instrText>
        </w:r>
        <w:r w:rsidR="00B3298A">
          <w:rPr>
            <w:webHidden/>
          </w:rPr>
        </w:r>
        <w:r w:rsidR="00B3298A">
          <w:rPr>
            <w:webHidden/>
          </w:rPr>
          <w:fldChar w:fldCharType="separate"/>
        </w:r>
        <w:r w:rsidR="00B3298A">
          <w:rPr>
            <w:webHidden/>
          </w:rPr>
          <w:t>16</w:t>
        </w:r>
        <w:r w:rsidR="00B3298A">
          <w:rPr>
            <w:webHidden/>
          </w:rPr>
          <w:fldChar w:fldCharType="end"/>
        </w:r>
      </w:hyperlink>
    </w:p>
    <w:p w14:paraId="22396B74" w14:textId="51EA96EC" w:rsidR="00B3298A" w:rsidRDefault="001D3E36">
      <w:pPr>
        <w:pStyle w:val="TOC2"/>
        <w:rPr>
          <w:rFonts w:asciiTheme="minorHAnsi" w:eastAsiaTheme="minorEastAsia" w:hAnsiTheme="minorHAnsi" w:cstheme="minorBidi"/>
          <w:spacing w:val="0"/>
          <w:sz w:val="22"/>
          <w:szCs w:val="22"/>
        </w:rPr>
      </w:pPr>
      <w:hyperlink w:anchor="_Toc146527955" w:history="1">
        <w:r w:rsidR="00B3298A" w:rsidRPr="00AD2D5F">
          <w:rPr>
            <w:rStyle w:val="Hyperlink"/>
          </w:rPr>
          <w:t>1.5 GHz and Extended MSS L-band (1518–1525 MHz and 1668–1675 MHz)</w:t>
        </w:r>
        <w:r w:rsidR="00B3298A">
          <w:rPr>
            <w:webHidden/>
          </w:rPr>
          <w:tab/>
        </w:r>
        <w:r w:rsidR="00B3298A">
          <w:rPr>
            <w:webHidden/>
          </w:rPr>
          <w:fldChar w:fldCharType="begin"/>
        </w:r>
        <w:r w:rsidR="00B3298A">
          <w:rPr>
            <w:webHidden/>
          </w:rPr>
          <w:instrText xml:space="preserve"> PAGEREF _Toc146527955 \h </w:instrText>
        </w:r>
        <w:r w:rsidR="00B3298A">
          <w:rPr>
            <w:webHidden/>
          </w:rPr>
        </w:r>
        <w:r w:rsidR="00B3298A">
          <w:rPr>
            <w:webHidden/>
          </w:rPr>
          <w:fldChar w:fldCharType="separate"/>
        </w:r>
        <w:r w:rsidR="00B3298A">
          <w:rPr>
            <w:webHidden/>
          </w:rPr>
          <w:t>16</w:t>
        </w:r>
        <w:r w:rsidR="00B3298A">
          <w:rPr>
            <w:webHidden/>
          </w:rPr>
          <w:fldChar w:fldCharType="end"/>
        </w:r>
      </w:hyperlink>
    </w:p>
    <w:p w14:paraId="0FDC0720" w14:textId="3DEE257D" w:rsidR="00B3298A" w:rsidRDefault="001D3E36">
      <w:pPr>
        <w:pStyle w:val="TOC1"/>
        <w:rPr>
          <w:rFonts w:asciiTheme="minorHAnsi" w:eastAsiaTheme="minorEastAsia" w:hAnsiTheme="minorHAnsi" w:cstheme="minorBidi"/>
          <w:b w:val="0"/>
          <w:spacing w:val="0"/>
          <w:sz w:val="22"/>
          <w:szCs w:val="22"/>
        </w:rPr>
      </w:pPr>
      <w:hyperlink w:anchor="_Toc146527956" w:history="1">
        <w:r w:rsidR="00B3298A" w:rsidRPr="00AD2D5F">
          <w:rPr>
            <w:rStyle w:val="Hyperlink"/>
          </w:rPr>
          <w:t>Implementation</w:t>
        </w:r>
        <w:r w:rsidR="00B3298A">
          <w:rPr>
            <w:webHidden/>
          </w:rPr>
          <w:tab/>
        </w:r>
        <w:r w:rsidR="00B3298A">
          <w:rPr>
            <w:webHidden/>
          </w:rPr>
          <w:fldChar w:fldCharType="begin"/>
        </w:r>
        <w:r w:rsidR="00B3298A">
          <w:rPr>
            <w:webHidden/>
          </w:rPr>
          <w:instrText xml:space="preserve"> PAGEREF _Toc146527956 \h </w:instrText>
        </w:r>
        <w:r w:rsidR="00B3298A">
          <w:rPr>
            <w:webHidden/>
          </w:rPr>
        </w:r>
        <w:r w:rsidR="00B3298A">
          <w:rPr>
            <w:webHidden/>
          </w:rPr>
          <w:fldChar w:fldCharType="separate"/>
        </w:r>
        <w:r w:rsidR="00B3298A">
          <w:rPr>
            <w:webHidden/>
          </w:rPr>
          <w:t>17</w:t>
        </w:r>
        <w:r w:rsidR="00B3298A">
          <w:rPr>
            <w:webHidden/>
          </w:rPr>
          <w:fldChar w:fldCharType="end"/>
        </w:r>
      </w:hyperlink>
    </w:p>
    <w:p w14:paraId="070A2321" w14:textId="42FBAE19" w:rsidR="00B3298A" w:rsidRDefault="001D3E36">
      <w:pPr>
        <w:pStyle w:val="TOC2"/>
        <w:rPr>
          <w:rFonts w:asciiTheme="minorHAnsi" w:eastAsiaTheme="minorEastAsia" w:hAnsiTheme="minorHAnsi" w:cstheme="minorBidi"/>
          <w:spacing w:val="0"/>
          <w:sz w:val="22"/>
          <w:szCs w:val="22"/>
        </w:rPr>
      </w:pPr>
      <w:hyperlink w:anchor="_Toc146527957" w:history="1">
        <w:r w:rsidR="00B3298A" w:rsidRPr="00AD2D5F">
          <w:rPr>
            <w:rStyle w:val="Hyperlink"/>
          </w:rPr>
          <w:t>850 MHz expansion band (814–824 MHz and 859–869 MHz)</w:t>
        </w:r>
        <w:r w:rsidR="00B3298A">
          <w:rPr>
            <w:webHidden/>
          </w:rPr>
          <w:tab/>
        </w:r>
        <w:r w:rsidR="00B3298A">
          <w:rPr>
            <w:webHidden/>
          </w:rPr>
          <w:fldChar w:fldCharType="begin"/>
        </w:r>
        <w:r w:rsidR="00B3298A">
          <w:rPr>
            <w:webHidden/>
          </w:rPr>
          <w:instrText xml:space="preserve"> PAGEREF _Toc146527957 \h </w:instrText>
        </w:r>
        <w:r w:rsidR="00B3298A">
          <w:rPr>
            <w:webHidden/>
          </w:rPr>
        </w:r>
        <w:r w:rsidR="00B3298A">
          <w:rPr>
            <w:webHidden/>
          </w:rPr>
          <w:fldChar w:fldCharType="separate"/>
        </w:r>
        <w:r w:rsidR="00B3298A">
          <w:rPr>
            <w:webHidden/>
          </w:rPr>
          <w:t>17</w:t>
        </w:r>
        <w:r w:rsidR="00B3298A">
          <w:rPr>
            <w:webHidden/>
          </w:rPr>
          <w:fldChar w:fldCharType="end"/>
        </w:r>
      </w:hyperlink>
    </w:p>
    <w:p w14:paraId="2AF26DED" w14:textId="558737F9" w:rsidR="00B3298A" w:rsidRDefault="001D3E36">
      <w:pPr>
        <w:pStyle w:val="TOC2"/>
        <w:rPr>
          <w:rFonts w:asciiTheme="minorHAnsi" w:eastAsiaTheme="minorEastAsia" w:hAnsiTheme="minorHAnsi" w:cstheme="minorBidi"/>
          <w:spacing w:val="0"/>
          <w:sz w:val="22"/>
          <w:szCs w:val="22"/>
        </w:rPr>
      </w:pPr>
      <w:hyperlink w:anchor="_Toc146527958" w:history="1">
        <w:r w:rsidR="00B3298A" w:rsidRPr="00AD2D5F">
          <w:rPr>
            <w:rStyle w:val="Hyperlink"/>
          </w:rPr>
          <w:t>1800 MHz (1710–1785 MHz and 1805–1880 MHz) and 2 GHz (1920–1980 MHz and 2110–2170 MHz) outside of spectrum</w:t>
        </w:r>
        <w:r w:rsidR="00B3298A" w:rsidRPr="00AD2D5F">
          <w:rPr>
            <w:rStyle w:val="Hyperlink"/>
          </w:rPr>
          <w:noBreakHyphen/>
          <w:t>licensed areas</w:t>
        </w:r>
        <w:r w:rsidR="00B3298A">
          <w:rPr>
            <w:webHidden/>
          </w:rPr>
          <w:tab/>
        </w:r>
        <w:r w:rsidR="00B3298A">
          <w:rPr>
            <w:webHidden/>
          </w:rPr>
          <w:fldChar w:fldCharType="begin"/>
        </w:r>
        <w:r w:rsidR="00B3298A">
          <w:rPr>
            <w:webHidden/>
          </w:rPr>
          <w:instrText xml:space="preserve"> PAGEREF _Toc146527958 \h </w:instrText>
        </w:r>
        <w:r w:rsidR="00B3298A">
          <w:rPr>
            <w:webHidden/>
          </w:rPr>
        </w:r>
        <w:r w:rsidR="00B3298A">
          <w:rPr>
            <w:webHidden/>
          </w:rPr>
          <w:fldChar w:fldCharType="separate"/>
        </w:r>
        <w:r w:rsidR="00B3298A">
          <w:rPr>
            <w:webHidden/>
          </w:rPr>
          <w:t>17</w:t>
        </w:r>
        <w:r w:rsidR="00B3298A">
          <w:rPr>
            <w:webHidden/>
          </w:rPr>
          <w:fldChar w:fldCharType="end"/>
        </w:r>
      </w:hyperlink>
    </w:p>
    <w:p w14:paraId="316FD4C5" w14:textId="4F79E37F" w:rsidR="00B3298A" w:rsidRDefault="001D3E36">
      <w:pPr>
        <w:pStyle w:val="TOC2"/>
        <w:rPr>
          <w:rFonts w:asciiTheme="minorHAnsi" w:eastAsiaTheme="minorEastAsia" w:hAnsiTheme="minorHAnsi" w:cstheme="minorBidi"/>
          <w:spacing w:val="0"/>
          <w:sz w:val="22"/>
          <w:szCs w:val="22"/>
        </w:rPr>
      </w:pPr>
      <w:hyperlink w:anchor="_Toc146527959" w:history="1">
        <w:r w:rsidR="00B3298A" w:rsidRPr="00AD2D5F">
          <w:rPr>
            <w:rStyle w:val="Hyperlink"/>
          </w:rPr>
          <w:t>2 GHz MSS (1980–2010 MHz and 2170–2200 MHz)</w:t>
        </w:r>
        <w:r w:rsidR="00B3298A">
          <w:rPr>
            <w:webHidden/>
          </w:rPr>
          <w:tab/>
        </w:r>
        <w:r w:rsidR="00B3298A">
          <w:rPr>
            <w:webHidden/>
          </w:rPr>
          <w:fldChar w:fldCharType="begin"/>
        </w:r>
        <w:r w:rsidR="00B3298A">
          <w:rPr>
            <w:webHidden/>
          </w:rPr>
          <w:instrText xml:space="preserve"> PAGEREF _Toc146527959 \h </w:instrText>
        </w:r>
        <w:r w:rsidR="00B3298A">
          <w:rPr>
            <w:webHidden/>
          </w:rPr>
        </w:r>
        <w:r w:rsidR="00B3298A">
          <w:rPr>
            <w:webHidden/>
          </w:rPr>
          <w:fldChar w:fldCharType="separate"/>
        </w:r>
        <w:r w:rsidR="00B3298A">
          <w:rPr>
            <w:webHidden/>
          </w:rPr>
          <w:t>18</w:t>
        </w:r>
        <w:r w:rsidR="00B3298A">
          <w:rPr>
            <w:webHidden/>
          </w:rPr>
          <w:fldChar w:fldCharType="end"/>
        </w:r>
      </w:hyperlink>
    </w:p>
    <w:p w14:paraId="2A4261D5" w14:textId="10B2A9B3" w:rsidR="00B3298A" w:rsidRDefault="001D3E36">
      <w:pPr>
        <w:pStyle w:val="TOC2"/>
        <w:rPr>
          <w:rFonts w:asciiTheme="minorHAnsi" w:eastAsiaTheme="minorEastAsia" w:hAnsiTheme="minorHAnsi" w:cstheme="minorBidi"/>
          <w:spacing w:val="0"/>
          <w:sz w:val="22"/>
          <w:szCs w:val="22"/>
        </w:rPr>
      </w:pPr>
      <w:hyperlink w:anchor="_Toc146527960" w:history="1">
        <w:r w:rsidR="00B3298A" w:rsidRPr="00AD2D5F">
          <w:rPr>
            <w:rStyle w:val="Hyperlink"/>
          </w:rPr>
          <w:t>3.4–4 GHz band</w:t>
        </w:r>
        <w:r w:rsidR="00B3298A">
          <w:rPr>
            <w:webHidden/>
          </w:rPr>
          <w:tab/>
        </w:r>
        <w:r w:rsidR="00B3298A">
          <w:rPr>
            <w:webHidden/>
          </w:rPr>
          <w:fldChar w:fldCharType="begin"/>
        </w:r>
        <w:r w:rsidR="00B3298A">
          <w:rPr>
            <w:webHidden/>
          </w:rPr>
          <w:instrText xml:space="preserve"> PAGEREF _Toc146527960 \h </w:instrText>
        </w:r>
        <w:r w:rsidR="00B3298A">
          <w:rPr>
            <w:webHidden/>
          </w:rPr>
        </w:r>
        <w:r w:rsidR="00B3298A">
          <w:rPr>
            <w:webHidden/>
          </w:rPr>
          <w:fldChar w:fldCharType="separate"/>
        </w:r>
        <w:r w:rsidR="00B3298A">
          <w:rPr>
            <w:webHidden/>
          </w:rPr>
          <w:t>19</w:t>
        </w:r>
        <w:r w:rsidR="00B3298A">
          <w:rPr>
            <w:webHidden/>
          </w:rPr>
          <w:fldChar w:fldCharType="end"/>
        </w:r>
      </w:hyperlink>
    </w:p>
    <w:p w14:paraId="4FB0012B" w14:textId="425667AA" w:rsidR="00B3298A" w:rsidRDefault="001D3E36">
      <w:pPr>
        <w:pStyle w:val="TOC1"/>
        <w:rPr>
          <w:rFonts w:asciiTheme="minorHAnsi" w:eastAsiaTheme="minorEastAsia" w:hAnsiTheme="minorHAnsi" w:cstheme="minorBidi"/>
          <w:b w:val="0"/>
          <w:spacing w:val="0"/>
          <w:sz w:val="22"/>
          <w:szCs w:val="22"/>
        </w:rPr>
      </w:pPr>
      <w:hyperlink w:anchor="_Toc146527961" w:history="1">
        <w:r w:rsidR="00B3298A" w:rsidRPr="00AD2D5F">
          <w:rPr>
            <w:rStyle w:val="Hyperlink"/>
          </w:rPr>
          <w:t>Forward allocation workplan</w:t>
        </w:r>
        <w:r w:rsidR="00B3298A">
          <w:rPr>
            <w:webHidden/>
          </w:rPr>
          <w:tab/>
        </w:r>
        <w:r w:rsidR="00B3298A">
          <w:rPr>
            <w:webHidden/>
          </w:rPr>
          <w:fldChar w:fldCharType="begin"/>
        </w:r>
        <w:r w:rsidR="00B3298A">
          <w:rPr>
            <w:webHidden/>
          </w:rPr>
          <w:instrText xml:space="preserve"> PAGEREF _Toc146527961 \h </w:instrText>
        </w:r>
        <w:r w:rsidR="00B3298A">
          <w:rPr>
            <w:webHidden/>
          </w:rPr>
        </w:r>
        <w:r w:rsidR="00B3298A">
          <w:rPr>
            <w:webHidden/>
          </w:rPr>
          <w:fldChar w:fldCharType="separate"/>
        </w:r>
        <w:r w:rsidR="00B3298A">
          <w:rPr>
            <w:webHidden/>
          </w:rPr>
          <w:t>21</w:t>
        </w:r>
        <w:r w:rsidR="00B3298A">
          <w:rPr>
            <w:webHidden/>
          </w:rPr>
          <w:fldChar w:fldCharType="end"/>
        </w:r>
      </w:hyperlink>
    </w:p>
    <w:p w14:paraId="2E29B1D4" w14:textId="60CA3856" w:rsidR="00B3298A" w:rsidRDefault="001D3E36">
      <w:pPr>
        <w:pStyle w:val="TOC2"/>
        <w:rPr>
          <w:rFonts w:asciiTheme="minorHAnsi" w:eastAsiaTheme="minorEastAsia" w:hAnsiTheme="minorHAnsi" w:cstheme="minorBidi"/>
          <w:spacing w:val="0"/>
          <w:sz w:val="22"/>
          <w:szCs w:val="22"/>
        </w:rPr>
      </w:pPr>
      <w:hyperlink w:anchor="_Toc146527962" w:history="1">
        <w:r w:rsidR="00B3298A" w:rsidRPr="00AD2D5F">
          <w:rPr>
            <w:rStyle w:val="Hyperlink"/>
          </w:rPr>
          <w:t>3400–4000 MHz</w:t>
        </w:r>
        <w:r w:rsidR="00B3298A">
          <w:rPr>
            <w:webHidden/>
          </w:rPr>
          <w:tab/>
        </w:r>
        <w:r w:rsidR="00B3298A">
          <w:rPr>
            <w:webHidden/>
          </w:rPr>
          <w:fldChar w:fldCharType="begin"/>
        </w:r>
        <w:r w:rsidR="00B3298A">
          <w:rPr>
            <w:webHidden/>
          </w:rPr>
          <w:instrText xml:space="preserve"> PAGEREF _Toc146527962 \h </w:instrText>
        </w:r>
        <w:r w:rsidR="00B3298A">
          <w:rPr>
            <w:webHidden/>
          </w:rPr>
        </w:r>
        <w:r w:rsidR="00B3298A">
          <w:rPr>
            <w:webHidden/>
          </w:rPr>
          <w:fldChar w:fldCharType="separate"/>
        </w:r>
        <w:r w:rsidR="00B3298A">
          <w:rPr>
            <w:webHidden/>
          </w:rPr>
          <w:t>21</w:t>
        </w:r>
        <w:r w:rsidR="00B3298A">
          <w:rPr>
            <w:webHidden/>
          </w:rPr>
          <w:fldChar w:fldCharType="end"/>
        </w:r>
      </w:hyperlink>
    </w:p>
    <w:p w14:paraId="1097D860" w14:textId="670D280D" w:rsidR="00B3298A" w:rsidRDefault="001D3E36">
      <w:pPr>
        <w:pStyle w:val="TOC1"/>
        <w:rPr>
          <w:rFonts w:asciiTheme="minorHAnsi" w:eastAsiaTheme="minorEastAsia" w:hAnsiTheme="minorHAnsi" w:cstheme="minorBidi"/>
          <w:b w:val="0"/>
          <w:spacing w:val="0"/>
          <w:sz w:val="22"/>
          <w:szCs w:val="22"/>
        </w:rPr>
      </w:pPr>
      <w:hyperlink w:anchor="_Toc146527963" w:history="1">
        <w:r w:rsidR="00B3298A" w:rsidRPr="00AD2D5F">
          <w:rPr>
            <w:rStyle w:val="Hyperlink"/>
          </w:rPr>
          <w:t>Optimising established planning frameworks</w:t>
        </w:r>
        <w:r w:rsidR="00B3298A">
          <w:rPr>
            <w:webHidden/>
          </w:rPr>
          <w:tab/>
        </w:r>
        <w:r w:rsidR="00B3298A">
          <w:rPr>
            <w:webHidden/>
          </w:rPr>
          <w:fldChar w:fldCharType="begin"/>
        </w:r>
        <w:r w:rsidR="00B3298A">
          <w:rPr>
            <w:webHidden/>
          </w:rPr>
          <w:instrText xml:space="preserve"> PAGEREF _Toc146527963 \h </w:instrText>
        </w:r>
        <w:r w:rsidR="00B3298A">
          <w:rPr>
            <w:webHidden/>
          </w:rPr>
        </w:r>
        <w:r w:rsidR="00B3298A">
          <w:rPr>
            <w:webHidden/>
          </w:rPr>
          <w:fldChar w:fldCharType="separate"/>
        </w:r>
        <w:r w:rsidR="00B3298A">
          <w:rPr>
            <w:webHidden/>
          </w:rPr>
          <w:t>22</w:t>
        </w:r>
        <w:r w:rsidR="00B3298A">
          <w:rPr>
            <w:webHidden/>
          </w:rPr>
          <w:fldChar w:fldCharType="end"/>
        </w:r>
      </w:hyperlink>
    </w:p>
    <w:p w14:paraId="2C54A3DB" w14:textId="19B8C467" w:rsidR="00B3298A" w:rsidRDefault="001D3E36">
      <w:pPr>
        <w:pStyle w:val="TOC2"/>
        <w:rPr>
          <w:rFonts w:asciiTheme="minorHAnsi" w:eastAsiaTheme="minorEastAsia" w:hAnsiTheme="minorHAnsi" w:cstheme="minorBidi"/>
          <w:spacing w:val="0"/>
          <w:sz w:val="22"/>
          <w:szCs w:val="22"/>
        </w:rPr>
      </w:pPr>
      <w:hyperlink w:anchor="_Toc146527964" w:history="1">
        <w:r w:rsidR="00B3298A" w:rsidRPr="00AD2D5F">
          <w:rPr>
            <w:rStyle w:val="Hyperlink"/>
          </w:rPr>
          <w:t>Broadcasting</w:t>
        </w:r>
        <w:r w:rsidR="00B3298A">
          <w:rPr>
            <w:webHidden/>
          </w:rPr>
          <w:tab/>
        </w:r>
        <w:r w:rsidR="00B3298A">
          <w:rPr>
            <w:webHidden/>
          </w:rPr>
          <w:fldChar w:fldCharType="begin"/>
        </w:r>
        <w:r w:rsidR="00B3298A">
          <w:rPr>
            <w:webHidden/>
          </w:rPr>
          <w:instrText xml:space="preserve"> PAGEREF _Toc146527964 \h </w:instrText>
        </w:r>
        <w:r w:rsidR="00B3298A">
          <w:rPr>
            <w:webHidden/>
          </w:rPr>
        </w:r>
        <w:r w:rsidR="00B3298A">
          <w:rPr>
            <w:webHidden/>
          </w:rPr>
          <w:fldChar w:fldCharType="separate"/>
        </w:r>
        <w:r w:rsidR="00B3298A">
          <w:rPr>
            <w:webHidden/>
          </w:rPr>
          <w:t>22</w:t>
        </w:r>
        <w:r w:rsidR="00B3298A">
          <w:rPr>
            <w:webHidden/>
          </w:rPr>
          <w:fldChar w:fldCharType="end"/>
        </w:r>
      </w:hyperlink>
    </w:p>
    <w:p w14:paraId="461EDF40" w14:textId="265035DC" w:rsidR="00B3298A" w:rsidRDefault="001D3E36">
      <w:pPr>
        <w:pStyle w:val="TOC2"/>
        <w:rPr>
          <w:rFonts w:asciiTheme="minorHAnsi" w:eastAsiaTheme="minorEastAsia" w:hAnsiTheme="minorHAnsi" w:cstheme="minorBidi"/>
          <w:spacing w:val="0"/>
          <w:sz w:val="22"/>
          <w:szCs w:val="22"/>
        </w:rPr>
      </w:pPr>
      <w:hyperlink w:anchor="_Toc146527965" w:history="1">
        <w:r w:rsidR="00B3298A" w:rsidRPr="00AD2D5F">
          <w:rPr>
            <w:rStyle w:val="Hyperlink"/>
          </w:rPr>
          <w:t>Satellites</w:t>
        </w:r>
        <w:r w:rsidR="00B3298A">
          <w:rPr>
            <w:webHidden/>
          </w:rPr>
          <w:tab/>
        </w:r>
        <w:r w:rsidR="00B3298A">
          <w:rPr>
            <w:webHidden/>
          </w:rPr>
          <w:fldChar w:fldCharType="begin"/>
        </w:r>
        <w:r w:rsidR="00B3298A">
          <w:rPr>
            <w:webHidden/>
          </w:rPr>
          <w:instrText xml:space="preserve"> PAGEREF _Toc146527965 \h </w:instrText>
        </w:r>
        <w:r w:rsidR="00B3298A">
          <w:rPr>
            <w:webHidden/>
          </w:rPr>
        </w:r>
        <w:r w:rsidR="00B3298A">
          <w:rPr>
            <w:webHidden/>
          </w:rPr>
          <w:fldChar w:fldCharType="separate"/>
        </w:r>
        <w:r w:rsidR="00B3298A">
          <w:rPr>
            <w:webHidden/>
          </w:rPr>
          <w:t>23</w:t>
        </w:r>
        <w:r w:rsidR="00B3298A">
          <w:rPr>
            <w:webHidden/>
          </w:rPr>
          <w:fldChar w:fldCharType="end"/>
        </w:r>
      </w:hyperlink>
    </w:p>
    <w:p w14:paraId="29677A29" w14:textId="3F37A0EF" w:rsidR="00B3298A" w:rsidRDefault="001D3E36">
      <w:pPr>
        <w:pStyle w:val="TOC2"/>
        <w:rPr>
          <w:rFonts w:asciiTheme="minorHAnsi" w:eastAsiaTheme="minorEastAsia" w:hAnsiTheme="minorHAnsi" w:cstheme="minorBidi"/>
          <w:spacing w:val="0"/>
          <w:sz w:val="22"/>
          <w:szCs w:val="22"/>
        </w:rPr>
      </w:pPr>
      <w:hyperlink w:anchor="_Toc146527966" w:history="1">
        <w:r w:rsidR="00B3298A" w:rsidRPr="00AD2D5F">
          <w:rPr>
            <w:rStyle w:val="Hyperlink"/>
          </w:rPr>
          <w:t>Intelligent transport system</w:t>
        </w:r>
        <w:r w:rsidR="00B3298A">
          <w:rPr>
            <w:webHidden/>
          </w:rPr>
          <w:tab/>
        </w:r>
        <w:r w:rsidR="00B3298A">
          <w:rPr>
            <w:webHidden/>
          </w:rPr>
          <w:fldChar w:fldCharType="begin"/>
        </w:r>
        <w:r w:rsidR="00B3298A">
          <w:rPr>
            <w:webHidden/>
          </w:rPr>
          <w:instrText xml:space="preserve"> PAGEREF _Toc146527966 \h </w:instrText>
        </w:r>
        <w:r w:rsidR="00B3298A">
          <w:rPr>
            <w:webHidden/>
          </w:rPr>
        </w:r>
        <w:r w:rsidR="00B3298A">
          <w:rPr>
            <w:webHidden/>
          </w:rPr>
          <w:fldChar w:fldCharType="separate"/>
        </w:r>
        <w:r w:rsidR="00B3298A">
          <w:rPr>
            <w:webHidden/>
          </w:rPr>
          <w:t>23</w:t>
        </w:r>
        <w:r w:rsidR="00B3298A">
          <w:rPr>
            <w:webHidden/>
          </w:rPr>
          <w:fldChar w:fldCharType="end"/>
        </w:r>
      </w:hyperlink>
    </w:p>
    <w:p w14:paraId="01C63D8E" w14:textId="7C947A04" w:rsidR="00B3298A" w:rsidRDefault="001D3E36">
      <w:pPr>
        <w:pStyle w:val="TOC2"/>
        <w:rPr>
          <w:rFonts w:asciiTheme="minorHAnsi" w:eastAsiaTheme="minorEastAsia" w:hAnsiTheme="minorHAnsi" w:cstheme="minorBidi"/>
          <w:spacing w:val="0"/>
          <w:sz w:val="22"/>
          <w:szCs w:val="22"/>
        </w:rPr>
      </w:pPr>
      <w:hyperlink w:anchor="_Toc146527967" w:history="1">
        <w:r w:rsidR="00B3298A" w:rsidRPr="00AD2D5F">
          <w:rPr>
            <w:rStyle w:val="Hyperlink"/>
          </w:rPr>
          <w:t>Spectrum licence technical frameworks</w:t>
        </w:r>
        <w:r w:rsidR="00B3298A">
          <w:rPr>
            <w:webHidden/>
          </w:rPr>
          <w:tab/>
        </w:r>
        <w:r w:rsidR="00B3298A">
          <w:rPr>
            <w:webHidden/>
          </w:rPr>
          <w:fldChar w:fldCharType="begin"/>
        </w:r>
        <w:r w:rsidR="00B3298A">
          <w:rPr>
            <w:webHidden/>
          </w:rPr>
          <w:instrText xml:space="preserve"> PAGEREF _Toc146527967 \h </w:instrText>
        </w:r>
        <w:r w:rsidR="00B3298A">
          <w:rPr>
            <w:webHidden/>
          </w:rPr>
        </w:r>
        <w:r w:rsidR="00B3298A">
          <w:rPr>
            <w:webHidden/>
          </w:rPr>
          <w:fldChar w:fldCharType="separate"/>
        </w:r>
        <w:r w:rsidR="00B3298A">
          <w:rPr>
            <w:webHidden/>
          </w:rPr>
          <w:t>24</w:t>
        </w:r>
        <w:r w:rsidR="00B3298A">
          <w:rPr>
            <w:webHidden/>
          </w:rPr>
          <w:fldChar w:fldCharType="end"/>
        </w:r>
      </w:hyperlink>
    </w:p>
    <w:p w14:paraId="2D342F14" w14:textId="14CDA0F5" w:rsidR="00B3298A" w:rsidRDefault="001D3E36">
      <w:pPr>
        <w:pStyle w:val="TOC2"/>
        <w:rPr>
          <w:rFonts w:asciiTheme="minorHAnsi" w:eastAsiaTheme="minorEastAsia" w:hAnsiTheme="minorHAnsi" w:cstheme="minorBidi"/>
          <w:spacing w:val="0"/>
          <w:sz w:val="22"/>
          <w:szCs w:val="22"/>
        </w:rPr>
      </w:pPr>
      <w:hyperlink w:anchor="_Toc146527968" w:history="1">
        <w:r w:rsidR="00B3298A" w:rsidRPr="00AD2D5F">
          <w:rPr>
            <w:rStyle w:val="Hyperlink"/>
          </w:rPr>
          <w:t>Spectrum sharing</w:t>
        </w:r>
        <w:r w:rsidR="00B3298A">
          <w:rPr>
            <w:webHidden/>
          </w:rPr>
          <w:tab/>
        </w:r>
        <w:r w:rsidR="00B3298A">
          <w:rPr>
            <w:webHidden/>
          </w:rPr>
          <w:fldChar w:fldCharType="begin"/>
        </w:r>
        <w:r w:rsidR="00B3298A">
          <w:rPr>
            <w:webHidden/>
          </w:rPr>
          <w:instrText xml:space="preserve"> PAGEREF _Toc146527968 \h </w:instrText>
        </w:r>
        <w:r w:rsidR="00B3298A">
          <w:rPr>
            <w:webHidden/>
          </w:rPr>
        </w:r>
        <w:r w:rsidR="00B3298A">
          <w:rPr>
            <w:webHidden/>
          </w:rPr>
          <w:fldChar w:fldCharType="separate"/>
        </w:r>
        <w:r w:rsidR="00B3298A">
          <w:rPr>
            <w:webHidden/>
          </w:rPr>
          <w:t>24</w:t>
        </w:r>
        <w:r w:rsidR="00B3298A">
          <w:rPr>
            <w:webHidden/>
          </w:rPr>
          <w:fldChar w:fldCharType="end"/>
        </w:r>
      </w:hyperlink>
    </w:p>
    <w:p w14:paraId="45FED87A" w14:textId="692D4BFA" w:rsidR="00B3298A" w:rsidRDefault="001D3E36">
      <w:pPr>
        <w:pStyle w:val="TOC1"/>
        <w:rPr>
          <w:rFonts w:asciiTheme="minorHAnsi" w:eastAsiaTheme="minorEastAsia" w:hAnsiTheme="minorHAnsi" w:cstheme="minorBidi"/>
          <w:b w:val="0"/>
          <w:spacing w:val="0"/>
          <w:sz w:val="22"/>
          <w:szCs w:val="22"/>
        </w:rPr>
      </w:pPr>
      <w:hyperlink w:anchor="_Toc146527969" w:history="1">
        <w:r w:rsidR="00B3298A" w:rsidRPr="00AD2D5F">
          <w:rPr>
            <w:rStyle w:val="Hyperlink"/>
          </w:rPr>
          <w:t>Licensing</w:t>
        </w:r>
        <w:r w:rsidR="00B3298A">
          <w:rPr>
            <w:webHidden/>
          </w:rPr>
          <w:tab/>
        </w:r>
        <w:r w:rsidR="00B3298A">
          <w:rPr>
            <w:webHidden/>
          </w:rPr>
          <w:fldChar w:fldCharType="begin"/>
        </w:r>
        <w:r w:rsidR="00B3298A">
          <w:rPr>
            <w:webHidden/>
          </w:rPr>
          <w:instrText xml:space="preserve"> PAGEREF _Toc146527969 \h </w:instrText>
        </w:r>
        <w:r w:rsidR="00B3298A">
          <w:rPr>
            <w:webHidden/>
          </w:rPr>
        </w:r>
        <w:r w:rsidR="00B3298A">
          <w:rPr>
            <w:webHidden/>
          </w:rPr>
          <w:fldChar w:fldCharType="separate"/>
        </w:r>
        <w:r w:rsidR="00B3298A">
          <w:rPr>
            <w:webHidden/>
          </w:rPr>
          <w:t>25</w:t>
        </w:r>
        <w:r w:rsidR="00B3298A">
          <w:rPr>
            <w:webHidden/>
          </w:rPr>
          <w:fldChar w:fldCharType="end"/>
        </w:r>
      </w:hyperlink>
    </w:p>
    <w:p w14:paraId="5CC3925E" w14:textId="3364D430" w:rsidR="00B3298A" w:rsidRDefault="001D3E36">
      <w:pPr>
        <w:pStyle w:val="TOC2"/>
        <w:rPr>
          <w:rFonts w:asciiTheme="minorHAnsi" w:eastAsiaTheme="minorEastAsia" w:hAnsiTheme="minorHAnsi" w:cstheme="minorBidi"/>
          <w:spacing w:val="0"/>
          <w:sz w:val="22"/>
          <w:szCs w:val="22"/>
        </w:rPr>
      </w:pPr>
      <w:hyperlink w:anchor="_Toc146527970" w:history="1">
        <w:r w:rsidR="00B3298A" w:rsidRPr="00AD2D5F">
          <w:rPr>
            <w:rStyle w:val="Hyperlink"/>
          </w:rPr>
          <w:t>Expiring spectrum licences</w:t>
        </w:r>
        <w:r w:rsidR="00B3298A">
          <w:rPr>
            <w:webHidden/>
          </w:rPr>
          <w:tab/>
        </w:r>
        <w:r w:rsidR="00B3298A">
          <w:rPr>
            <w:webHidden/>
          </w:rPr>
          <w:fldChar w:fldCharType="begin"/>
        </w:r>
        <w:r w:rsidR="00B3298A">
          <w:rPr>
            <w:webHidden/>
          </w:rPr>
          <w:instrText xml:space="preserve"> PAGEREF _Toc146527970 \h </w:instrText>
        </w:r>
        <w:r w:rsidR="00B3298A">
          <w:rPr>
            <w:webHidden/>
          </w:rPr>
        </w:r>
        <w:r w:rsidR="00B3298A">
          <w:rPr>
            <w:webHidden/>
          </w:rPr>
          <w:fldChar w:fldCharType="separate"/>
        </w:r>
        <w:r w:rsidR="00B3298A">
          <w:rPr>
            <w:webHidden/>
          </w:rPr>
          <w:t>25</w:t>
        </w:r>
        <w:r w:rsidR="00B3298A">
          <w:rPr>
            <w:webHidden/>
          </w:rPr>
          <w:fldChar w:fldCharType="end"/>
        </w:r>
      </w:hyperlink>
    </w:p>
    <w:p w14:paraId="55D2F604" w14:textId="6E0C129C" w:rsidR="00B3298A" w:rsidRDefault="001D3E36">
      <w:pPr>
        <w:pStyle w:val="TOC2"/>
        <w:rPr>
          <w:rFonts w:asciiTheme="minorHAnsi" w:eastAsiaTheme="minorEastAsia" w:hAnsiTheme="minorHAnsi" w:cstheme="minorBidi"/>
          <w:spacing w:val="0"/>
          <w:sz w:val="22"/>
          <w:szCs w:val="22"/>
        </w:rPr>
      </w:pPr>
      <w:hyperlink w:anchor="_Toc146527971" w:history="1">
        <w:r w:rsidR="00B3298A" w:rsidRPr="00AD2D5F">
          <w:rPr>
            <w:rStyle w:val="Hyperlink"/>
          </w:rPr>
          <w:t>Drone spectrum regulation</w:t>
        </w:r>
        <w:r w:rsidR="00B3298A">
          <w:rPr>
            <w:webHidden/>
          </w:rPr>
          <w:tab/>
        </w:r>
        <w:r w:rsidR="00B3298A">
          <w:rPr>
            <w:webHidden/>
          </w:rPr>
          <w:fldChar w:fldCharType="begin"/>
        </w:r>
        <w:r w:rsidR="00B3298A">
          <w:rPr>
            <w:webHidden/>
          </w:rPr>
          <w:instrText xml:space="preserve"> PAGEREF _Toc146527971 \h </w:instrText>
        </w:r>
        <w:r w:rsidR="00B3298A">
          <w:rPr>
            <w:webHidden/>
          </w:rPr>
        </w:r>
        <w:r w:rsidR="00B3298A">
          <w:rPr>
            <w:webHidden/>
          </w:rPr>
          <w:fldChar w:fldCharType="separate"/>
        </w:r>
        <w:r w:rsidR="00B3298A">
          <w:rPr>
            <w:webHidden/>
          </w:rPr>
          <w:t>26</w:t>
        </w:r>
        <w:r w:rsidR="00B3298A">
          <w:rPr>
            <w:webHidden/>
          </w:rPr>
          <w:fldChar w:fldCharType="end"/>
        </w:r>
      </w:hyperlink>
    </w:p>
    <w:p w14:paraId="1934D770" w14:textId="074A55B1" w:rsidR="00B3298A" w:rsidRDefault="001D3E36">
      <w:pPr>
        <w:pStyle w:val="TOC2"/>
        <w:rPr>
          <w:rFonts w:asciiTheme="minorHAnsi" w:eastAsiaTheme="minorEastAsia" w:hAnsiTheme="minorHAnsi" w:cstheme="minorBidi"/>
          <w:spacing w:val="0"/>
          <w:sz w:val="22"/>
          <w:szCs w:val="22"/>
        </w:rPr>
      </w:pPr>
      <w:hyperlink w:anchor="_Toc146527972" w:history="1">
        <w:r w:rsidR="00B3298A" w:rsidRPr="00AD2D5F">
          <w:rPr>
            <w:rStyle w:val="Hyperlink"/>
            <w:lang w:val="fr-FR"/>
          </w:rPr>
          <w:t>Radionavigation-satellite services (RNSS) retransmission technologies</w:t>
        </w:r>
        <w:r w:rsidR="00B3298A">
          <w:rPr>
            <w:webHidden/>
          </w:rPr>
          <w:tab/>
        </w:r>
        <w:r w:rsidR="00B3298A">
          <w:rPr>
            <w:webHidden/>
          </w:rPr>
          <w:fldChar w:fldCharType="begin"/>
        </w:r>
        <w:r w:rsidR="00B3298A">
          <w:rPr>
            <w:webHidden/>
          </w:rPr>
          <w:instrText xml:space="preserve"> PAGEREF _Toc146527972 \h </w:instrText>
        </w:r>
        <w:r w:rsidR="00B3298A">
          <w:rPr>
            <w:webHidden/>
          </w:rPr>
        </w:r>
        <w:r w:rsidR="00B3298A">
          <w:rPr>
            <w:webHidden/>
          </w:rPr>
          <w:fldChar w:fldCharType="separate"/>
        </w:r>
        <w:r w:rsidR="00B3298A">
          <w:rPr>
            <w:webHidden/>
          </w:rPr>
          <w:t>27</w:t>
        </w:r>
        <w:r w:rsidR="00B3298A">
          <w:rPr>
            <w:webHidden/>
          </w:rPr>
          <w:fldChar w:fldCharType="end"/>
        </w:r>
      </w:hyperlink>
    </w:p>
    <w:p w14:paraId="1B39B151" w14:textId="190E7BD6" w:rsidR="00B3298A" w:rsidRDefault="001D3E36">
      <w:pPr>
        <w:pStyle w:val="TOC2"/>
        <w:rPr>
          <w:rFonts w:asciiTheme="minorHAnsi" w:eastAsiaTheme="minorEastAsia" w:hAnsiTheme="minorHAnsi" w:cstheme="minorBidi"/>
          <w:spacing w:val="0"/>
          <w:sz w:val="22"/>
          <w:szCs w:val="22"/>
        </w:rPr>
      </w:pPr>
      <w:hyperlink w:anchor="_Toc146527973" w:history="1">
        <w:r w:rsidR="00B3298A" w:rsidRPr="00AD2D5F">
          <w:rPr>
            <w:rStyle w:val="Hyperlink"/>
          </w:rPr>
          <w:t>Body-scanner class licensing</w:t>
        </w:r>
        <w:r w:rsidR="00B3298A">
          <w:rPr>
            <w:webHidden/>
          </w:rPr>
          <w:tab/>
        </w:r>
        <w:r w:rsidR="00B3298A">
          <w:rPr>
            <w:webHidden/>
          </w:rPr>
          <w:fldChar w:fldCharType="begin"/>
        </w:r>
        <w:r w:rsidR="00B3298A">
          <w:rPr>
            <w:webHidden/>
          </w:rPr>
          <w:instrText xml:space="preserve"> PAGEREF _Toc146527973 \h </w:instrText>
        </w:r>
        <w:r w:rsidR="00B3298A">
          <w:rPr>
            <w:webHidden/>
          </w:rPr>
        </w:r>
        <w:r w:rsidR="00B3298A">
          <w:rPr>
            <w:webHidden/>
          </w:rPr>
          <w:fldChar w:fldCharType="separate"/>
        </w:r>
        <w:r w:rsidR="00B3298A">
          <w:rPr>
            <w:webHidden/>
          </w:rPr>
          <w:t>27</w:t>
        </w:r>
        <w:r w:rsidR="00B3298A">
          <w:rPr>
            <w:webHidden/>
          </w:rPr>
          <w:fldChar w:fldCharType="end"/>
        </w:r>
      </w:hyperlink>
    </w:p>
    <w:p w14:paraId="0F542ACC" w14:textId="0EF88C65" w:rsidR="00B3298A" w:rsidRDefault="001D3E36">
      <w:pPr>
        <w:pStyle w:val="TOC2"/>
        <w:rPr>
          <w:rFonts w:asciiTheme="minorHAnsi" w:eastAsiaTheme="minorEastAsia" w:hAnsiTheme="minorHAnsi" w:cstheme="minorBidi"/>
          <w:spacing w:val="0"/>
          <w:sz w:val="22"/>
          <w:szCs w:val="22"/>
        </w:rPr>
      </w:pPr>
      <w:hyperlink w:anchor="_Toc146527974" w:history="1">
        <w:r w:rsidR="00B3298A" w:rsidRPr="00AD2D5F">
          <w:rPr>
            <w:rStyle w:val="Hyperlink"/>
          </w:rPr>
          <w:t>Amateur radio</w:t>
        </w:r>
        <w:r w:rsidR="00B3298A">
          <w:rPr>
            <w:webHidden/>
          </w:rPr>
          <w:tab/>
        </w:r>
        <w:r w:rsidR="00B3298A">
          <w:rPr>
            <w:webHidden/>
          </w:rPr>
          <w:fldChar w:fldCharType="begin"/>
        </w:r>
        <w:r w:rsidR="00B3298A">
          <w:rPr>
            <w:webHidden/>
          </w:rPr>
          <w:instrText xml:space="preserve"> PAGEREF _Toc146527974 \h </w:instrText>
        </w:r>
        <w:r w:rsidR="00B3298A">
          <w:rPr>
            <w:webHidden/>
          </w:rPr>
        </w:r>
        <w:r w:rsidR="00B3298A">
          <w:rPr>
            <w:webHidden/>
          </w:rPr>
          <w:fldChar w:fldCharType="separate"/>
        </w:r>
        <w:r w:rsidR="00B3298A">
          <w:rPr>
            <w:webHidden/>
          </w:rPr>
          <w:t>28</w:t>
        </w:r>
        <w:r w:rsidR="00B3298A">
          <w:rPr>
            <w:webHidden/>
          </w:rPr>
          <w:fldChar w:fldCharType="end"/>
        </w:r>
      </w:hyperlink>
    </w:p>
    <w:p w14:paraId="2AFA9AB2" w14:textId="779F187A" w:rsidR="00B3298A" w:rsidRDefault="001D3E36">
      <w:pPr>
        <w:pStyle w:val="TOC2"/>
        <w:rPr>
          <w:rFonts w:asciiTheme="minorHAnsi" w:eastAsiaTheme="minorEastAsia" w:hAnsiTheme="minorHAnsi" w:cstheme="minorBidi"/>
          <w:spacing w:val="0"/>
          <w:sz w:val="22"/>
          <w:szCs w:val="22"/>
        </w:rPr>
      </w:pPr>
      <w:hyperlink w:anchor="_Toc146527975" w:history="1">
        <w:r w:rsidR="00B3298A" w:rsidRPr="00AD2D5F">
          <w:rPr>
            <w:rStyle w:val="Hyperlink"/>
          </w:rPr>
          <w:t>Equipment regulation</w:t>
        </w:r>
        <w:r w:rsidR="00B3298A">
          <w:rPr>
            <w:webHidden/>
          </w:rPr>
          <w:tab/>
        </w:r>
        <w:r w:rsidR="00B3298A">
          <w:rPr>
            <w:webHidden/>
          </w:rPr>
          <w:fldChar w:fldCharType="begin"/>
        </w:r>
        <w:r w:rsidR="00B3298A">
          <w:rPr>
            <w:webHidden/>
          </w:rPr>
          <w:instrText xml:space="preserve"> PAGEREF _Toc146527975 \h </w:instrText>
        </w:r>
        <w:r w:rsidR="00B3298A">
          <w:rPr>
            <w:webHidden/>
          </w:rPr>
        </w:r>
        <w:r w:rsidR="00B3298A">
          <w:rPr>
            <w:webHidden/>
          </w:rPr>
          <w:fldChar w:fldCharType="separate"/>
        </w:r>
        <w:r w:rsidR="00B3298A">
          <w:rPr>
            <w:webHidden/>
          </w:rPr>
          <w:t>29</w:t>
        </w:r>
        <w:r w:rsidR="00B3298A">
          <w:rPr>
            <w:webHidden/>
          </w:rPr>
          <w:fldChar w:fldCharType="end"/>
        </w:r>
      </w:hyperlink>
    </w:p>
    <w:p w14:paraId="6B0D562F" w14:textId="263371DD" w:rsidR="00B3298A" w:rsidRDefault="001D3E36">
      <w:pPr>
        <w:pStyle w:val="TOC2"/>
        <w:rPr>
          <w:rFonts w:asciiTheme="minorHAnsi" w:eastAsiaTheme="minorEastAsia" w:hAnsiTheme="minorHAnsi" w:cstheme="minorBidi"/>
          <w:spacing w:val="0"/>
          <w:sz w:val="22"/>
          <w:szCs w:val="22"/>
        </w:rPr>
      </w:pPr>
      <w:hyperlink w:anchor="_Toc146527976" w:history="1">
        <w:r w:rsidR="00B3298A" w:rsidRPr="00AD2D5F">
          <w:rPr>
            <w:rStyle w:val="Hyperlink"/>
          </w:rPr>
          <w:t>Maritime radio</w:t>
        </w:r>
        <w:r w:rsidR="00B3298A">
          <w:rPr>
            <w:webHidden/>
          </w:rPr>
          <w:tab/>
        </w:r>
        <w:r w:rsidR="00B3298A">
          <w:rPr>
            <w:webHidden/>
          </w:rPr>
          <w:fldChar w:fldCharType="begin"/>
        </w:r>
        <w:r w:rsidR="00B3298A">
          <w:rPr>
            <w:webHidden/>
          </w:rPr>
          <w:instrText xml:space="preserve"> PAGEREF _Toc146527976 \h </w:instrText>
        </w:r>
        <w:r w:rsidR="00B3298A">
          <w:rPr>
            <w:webHidden/>
          </w:rPr>
        </w:r>
        <w:r w:rsidR="00B3298A">
          <w:rPr>
            <w:webHidden/>
          </w:rPr>
          <w:fldChar w:fldCharType="separate"/>
        </w:r>
        <w:r w:rsidR="00B3298A">
          <w:rPr>
            <w:webHidden/>
          </w:rPr>
          <w:t>29</w:t>
        </w:r>
        <w:r w:rsidR="00B3298A">
          <w:rPr>
            <w:webHidden/>
          </w:rPr>
          <w:fldChar w:fldCharType="end"/>
        </w:r>
      </w:hyperlink>
    </w:p>
    <w:p w14:paraId="79B039C3" w14:textId="5DE8F435" w:rsidR="00B3298A" w:rsidRDefault="001D3E36">
      <w:pPr>
        <w:pStyle w:val="TOC2"/>
        <w:rPr>
          <w:rFonts w:asciiTheme="minorHAnsi" w:eastAsiaTheme="minorEastAsia" w:hAnsiTheme="minorHAnsi" w:cstheme="minorBidi"/>
          <w:spacing w:val="0"/>
          <w:sz w:val="22"/>
          <w:szCs w:val="22"/>
        </w:rPr>
      </w:pPr>
      <w:hyperlink w:anchor="_Toc146527977" w:history="1">
        <w:r w:rsidR="00B3298A" w:rsidRPr="00AD2D5F">
          <w:rPr>
            <w:rStyle w:val="Hyperlink"/>
          </w:rPr>
          <w:t>Use of land mobile radio on maritime VHF channels</w:t>
        </w:r>
        <w:r w:rsidR="00B3298A">
          <w:rPr>
            <w:webHidden/>
          </w:rPr>
          <w:tab/>
        </w:r>
        <w:r w:rsidR="00B3298A">
          <w:rPr>
            <w:webHidden/>
          </w:rPr>
          <w:fldChar w:fldCharType="begin"/>
        </w:r>
        <w:r w:rsidR="00B3298A">
          <w:rPr>
            <w:webHidden/>
          </w:rPr>
          <w:instrText xml:space="preserve"> PAGEREF _Toc146527977 \h </w:instrText>
        </w:r>
        <w:r w:rsidR="00B3298A">
          <w:rPr>
            <w:webHidden/>
          </w:rPr>
        </w:r>
        <w:r w:rsidR="00B3298A">
          <w:rPr>
            <w:webHidden/>
          </w:rPr>
          <w:fldChar w:fldCharType="separate"/>
        </w:r>
        <w:r w:rsidR="00B3298A">
          <w:rPr>
            <w:webHidden/>
          </w:rPr>
          <w:t>30</w:t>
        </w:r>
        <w:r w:rsidR="00B3298A">
          <w:rPr>
            <w:webHidden/>
          </w:rPr>
          <w:fldChar w:fldCharType="end"/>
        </w:r>
      </w:hyperlink>
    </w:p>
    <w:p w14:paraId="78A4F53B" w14:textId="6D397FC7" w:rsidR="00B3298A" w:rsidRDefault="001D3E36">
      <w:pPr>
        <w:pStyle w:val="TOC2"/>
        <w:rPr>
          <w:rFonts w:asciiTheme="minorHAnsi" w:eastAsiaTheme="minorEastAsia" w:hAnsiTheme="minorHAnsi" w:cstheme="minorBidi"/>
          <w:spacing w:val="0"/>
          <w:sz w:val="22"/>
          <w:szCs w:val="22"/>
        </w:rPr>
      </w:pPr>
      <w:hyperlink w:anchor="_Toc146527978" w:history="1">
        <w:r w:rsidR="00B3298A" w:rsidRPr="00AD2D5F">
          <w:rPr>
            <w:rStyle w:val="Hyperlink"/>
          </w:rPr>
          <w:t>Technology for search and rescue</w:t>
        </w:r>
        <w:r w:rsidR="00B3298A">
          <w:rPr>
            <w:webHidden/>
          </w:rPr>
          <w:tab/>
        </w:r>
        <w:r w:rsidR="00B3298A">
          <w:rPr>
            <w:webHidden/>
          </w:rPr>
          <w:fldChar w:fldCharType="begin"/>
        </w:r>
        <w:r w:rsidR="00B3298A">
          <w:rPr>
            <w:webHidden/>
          </w:rPr>
          <w:instrText xml:space="preserve"> PAGEREF _Toc146527978 \h </w:instrText>
        </w:r>
        <w:r w:rsidR="00B3298A">
          <w:rPr>
            <w:webHidden/>
          </w:rPr>
        </w:r>
        <w:r w:rsidR="00B3298A">
          <w:rPr>
            <w:webHidden/>
          </w:rPr>
          <w:fldChar w:fldCharType="separate"/>
        </w:r>
        <w:r w:rsidR="00B3298A">
          <w:rPr>
            <w:webHidden/>
          </w:rPr>
          <w:t>30</w:t>
        </w:r>
        <w:r w:rsidR="00B3298A">
          <w:rPr>
            <w:webHidden/>
          </w:rPr>
          <w:fldChar w:fldCharType="end"/>
        </w:r>
      </w:hyperlink>
    </w:p>
    <w:p w14:paraId="6B60E153" w14:textId="4941B8A4" w:rsidR="00B3298A" w:rsidRDefault="001D3E36">
      <w:pPr>
        <w:pStyle w:val="TOC1"/>
        <w:rPr>
          <w:rFonts w:asciiTheme="minorHAnsi" w:eastAsiaTheme="minorEastAsia" w:hAnsiTheme="minorHAnsi" w:cstheme="minorBidi"/>
          <w:b w:val="0"/>
          <w:spacing w:val="0"/>
          <w:sz w:val="22"/>
          <w:szCs w:val="22"/>
        </w:rPr>
      </w:pPr>
      <w:hyperlink w:anchor="_Toc146527979" w:history="1">
        <w:r w:rsidR="00B3298A" w:rsidRPr="00AD2D5F">
          <w:rPr>
            <w:rStyle w:val="Hyperlink"/>
          </w:rPr>
          <w:t>Pricing</w:t>
        </w:r>
        <w:r w:rsidR="00B3298A">
          <w:rPr>
            <w:webHidden/>
          </w:rPr>
          <w:tab/>
        </w:r>
        <w:r w:rsidR="00B3298A">
          <w:rPr>
            <w:webHidden/>
          </w:rPr>
          <w:fldChar w:fldCharType="begin"/>
        </w:r>
        <w:r w:rsidR="00B3298A">
          <w:rPr>
            <w:webHidden/>
          </w:rPr>
          <w:instrText xml:space="preserve"> PAGEREF _Toc146527979 \h </w:instrText>
        </w:r>
        <w:r w:rsidR="00B3298A">
          <w:rPr>
            <w:webHidden/>
          </w:rPr>
        </w:r>
        <w:r w:rsidR="00B3298A">
          <w:rPr>
            <w:webHidden/>
          </w:rPr>
          <w:fldChar w:fldCharType="separate"/>
        </w:r>
        <w:r w:rsidR="00B3298A">
          <w:rPr>
            <w:webHidden/>
          </w:rPr>
          <w:t>31</w:t>
        </w:r>
        <w:r w:rsidR="00B3298A">
          <w:rPr>
            <w:webHidden/>
          </w:rPr>
          <w:fldChar w:fldCharType="end"/>
        </w:r>
      </w:hyperlink>
    </w:p>
    <w:p w14:paraId="7EB127F5" w14:textId="5037A8CB" w:rsidR="00B3298A" w:rsidRDefault="001D3E36">
      <w:pPr>
        <w:pStyle w:val="TOC1"/>
        <w:rPr>
          <w:rFonts w:asciiTheme="minorHAnsi" w:eastAsiaTheme="minorEastAsia" w:hAnsiTheme="minorHAnsi" w:cstheme="minorBidi"/>
          <w:b w:val="0"/>
          <w:spacing w:val="0"/>
          <w:sz w:val="22"/>
          <w:szCs w:val="22"/>
        </w:rPr>
      </w:pPr>
      <w:hyperlink w:anchor="_Toc146527980" w:history="1">
        <w:r w:rsidR="00B3298A" w:rsidRPr="00AD2D5F">
          <w:rPr>
            <w:rStyle w:val="Hyperlink"/>
          </w:rPr>
          <w:t>Compliance</w:t>
        </w:r>
        <w:r w:rsidR="00B3298A">
          <w:rPr>
            <w:webHidden/>
          </w:rPr>
          <w:tab/>
        </w:r>
        <w:r w:rsidR="00B3298A">
          <w:rPr>
            <w:webHidden/>
          </w:rPr>
          <w:fldChar w:fldCharType="begin"/>
        </w:r>
        <w:r w:rsidR="00B3298A">
          <w:rPr>
            <w:webHidden/>
          </w:rPr>
          <w:instrText xml:space="preserve"> PAGEREF _Toc146527980 \h </w:instrText>
        </w:r>
        <w:r w:rsidR="00B3298A">
          <w:rPr>
            <w:webHidden/>
          </w:rPr>
        </w:r>
        <w:r w:rsidR="00B3298A">
          <w:rPr>
            <w:webHidden/>
          </w:rPr>
          <w:fldChar w:fldCharType="separate"/>
        </w:r>
        <w:r w:rsidR="00B3298A">
          <w:rPr>
            <w:webHidden/>
          </w:rPr>
          <w:t>32</w:t>
        </w:r>
        <w:r w:rsidR="00B3298A">
          <w:rPr>
            <w:webHidden/>
          </w:rPr>
          <w:fldChar w:fldCharType="end"/>
        </w:r>
      </w:hyperlink>
    </w:p>
    <w:p w14:paraId="6D56D71D" w14:textId="17912425" w:rsidR="00B3298A" w:rsidRDefault="001D3E36">
      <w:pPr>
        <w:pStyle w:val="TOC1"/>
        <w:rPr>
          <w:rFonts w:asciiTheme="minorHAnsi" w:eastAsiaTheme="minorEastAsia" w:hAnsiTheme="minorHAnsi" w:cstheme="minorBidi"/>
          <w:b w:val="0"/>
          <w:spacing w:val="0"/>
          <w:sz w:val="22"/>
          <w:szCs w:val="22"/>
        </w:rPr>
      </w:pPr>
      <w:hyperlink w:anchor="_Toc146527981" w:history="1">
        <w:r w:rsidR="00B3298A" w:rsidRPr="00AD2D5F">
          <w:rPr>
            <w:rStyle w:val="Hyperlink"/>
          </w:rPr>
          <w:t>Sunsetting instruments</w:t>
        </w:r>
        <w:r w:rsidR="00B3298A">
          <w:rPr>
            <w:webHidden/>
          </w:rPr>
          <w:tab/>
        </w:r>
        <w:r w:rsidR="00B3298A">
          <w:rPr>
            <w:webHidden/>
          </w:rPr>
          <w:fldChar w:fldCharType="begin"/>
        </w:r>
        <w:r w:rsidR="00B3298A">
          <w:rPr>
            <w:webHidden/>
          </w:rPr>
          <w:instrText xml:space="preserve"> PAGEREF _Toc146527981 \h </w:instrText>
        </w:r>
        <w:r w:rsidR="00B3298A">
          <w:rPr>
            <w:webHidden/>
          </w:rPr>
        </w:r>
        <w:r w:rsidR="00B3298A">
          <w:rPr>
            <w:webHidden/>
          </w:rPr>
          <w:fldChar w:fldCharType="separate"/>
        </w:r>
        <w:r w:rsidR="00B3298A">
          <w:rPr>
            <w:webHidden/>
          </w:rPr>
          <w:t>33</w:t>
        </w:r>
        <w:r w:rsidR="00B3298A">
          <w:rPr>
            <w:webHidden/>
          </w:rPr>
          <w:fldChar w:fldCharType="end"/>
        </w:r>
      </w:hyperlink>
    </w:p>
    <w:p w14:paraId="1F469D2C" w14:textId="37877024" w:rsidR="004D56FF" w:rsidRPr="00A17B1B" w:rsidRDefault="0056573E">
      <w:pPr>
        <w:rPr>
          <w:rFonts w:cs="Arial"/>
        </w:rPr>
        <w:sectPr w:rsidR="004D56FF" w:rsidRPr="00A17B1B"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rPr>
        <w:fldChar w:fldCharType="end"/>
      </w:r>
    </w:p>
    <w:p w14:paraId="658C3304" w14:textId="46E43BB7" w:rsidR="005E250B" w:rsidRDefault="00FB246A" w:rsidP="005E250B">
      <w:pPr>
        <w:pStyle w:val="Heading1"/>
      </w:pPr>
      <w:bookmarkStart w:id="0" w:name="_Toc146527938"/>
      <w:r>
        <w:lastRenderedPageBreak/>
        <w:t>Response to submissions</w:t>
      </w:r>
      <w:bookmarkEnd w:id="0"/>
    </w:p>
    <w:p w14:paraId="3CD3B818" w14:textId="23CC61CC" w:rsidR="00FB246A" w:rsidRDefault="00FB246A" w:rsidP="00FB246A">
      <w:r w:rsidRPr="00FB246A">
        <w:t xml:space="preserve">Thank you to </w:t>
      </w:r>
      <w:r w:rsidR="003C69A5">
        <w:t>everyone</w:t>
      </w:r>
      <w:r w:rsidRPr="00FB246A">
        <w:t xml:space="preserve"> who responded to our consultation on the draft </w:t>
      </w:r>
      <w:r w:rsidRPr="009C32ED">
        <w:rPr>
          <w:i/>
          <w:iCs/>
        </w:rPr>
        <w:t>Five-year spectrum outlook 2023</w:t>
      </w:r>
      <w:r w:rsidR="003C69A5">
        <w:rPr>
          <w:i/>
          <w:iCs/>
        </w:rPr>
        <w:t>–</w:t>
      </w:r>
      <w:r w:rsidRPr="009C32ED">
        <w:rPr>
          <w:i/>
          <w:iCs/>
        </w:rPr>
        <w:t>28</w:t>
      </w:r>
      <w:r>
        <w:t xml:space="preserve"> </w:t>
      </w:r>
      <w:r w:rsidRPr="00FB246A">
        <w:t>(FYSO) published in March 202</w:t>
      </w:r>
      <w:r>
        <w:t>3</w:t>
      </w:r>
      <w:r w:rsidRPr="00FB246A">
        <w:t>.</w:t>
      </w:r>
    </w:p>
    <w:p w14:paraId="22E96A7F" w14:textId="0B4DF615" w:rsidR="00FB246A" w:rsidRDefault="00FB246A" w:rsidP="00FB246A">
      <w:r w:rsidRPr="00FB246A">
        <w:t>The Australian Communications and Media Authority (ACMA) invite</w:t>
      </w:r>
      <w:r>
        <w:t>d</w:t>
      </w:r>
      <w:r w:rsidRPr="00FB246A">
        <w:t xml:space="preserve"> comments on the draft FYSO 2023–28, including factors affecting the </w:t>
      </w:r>
      <w:r>
        <w:t>five</w:t>
      </w:r>
      <w:r w:rsidRPr="00FB246A">
        <w:t>-year outlook and future demand for spectrum, as well as the priorities outlined in our annual work program</w:t>
      </w:r>
      <w:r>
        <w:t>.</w:t>
      </w:r>
    </w:p>
    <w:p w14:paraId="0C142F29" w14:textId="0BCEEB4A" w:rsidR="000E6132" w:rsidRDefault="00FB246A" w:rsidP="000E6132">
      <w:r w:rsidRPr="00FB246A">
        <w:t xml:space="preserve">We </w:t>
      </w:r>
      <w:r w:rsidR="00D65E61" w:rsidRPr="00D65E61">
        <w:t xml:space="preserve">received 47 public </w:t>
      </w:r>
      <w:r w:rsidR="00D65E61" w:rsidRPr="0056581E">
        <w:t>submissions</w:t>
      </w:r>
      <w:r w:rsidR="006B5F6C">
        <w:t xml:space="preserve"> </w:t>
      </w:r>
      <w:r w:rsidRPr="00FB246A">
        <w:t xml:space="preserve">from </w:t>
      </w:r>
      <w:r w:rsidR="000E6132" w:rsidRPr="00877A62">
        <w:t xml:space="preserve">industry operators, representative and peak bodies, government agencies and the public. </w:t>
      </w:r>
    </w:p>
    <w:p w14:paraId="545296D6" w14:textId="46FE30C7" w:rsidR="006E5B76" w:rsidRPr="00877A62" w:rsidRDefault="00FB3968" w:rsidP="000E6132">
      <w:r w:rsidRPr="00FB3968">
        <w:t xml:space="preserve">The FYSO incorporates the ACMA’s work program prepared under section 28E of the </w:t>
      </w:r>
      <w:r w:rsidRPr="002E2016">
        <w:rPr>
          <w:i/>
          <w:iCs/>
        </w:rPr>
        <w:t>Radiocommunications Act 1992</w:t>
      </w:r>
      <w:r w:rsidRPr="00FB3968">
        <w:t>. In accordance with section 28F of the Radiocommunications Act, we consulted with the Minister for Communications on the FYSO 2023–28.</w:t>
      </w:r>
    </w:p>
    <w:p w14:paraId="166BEABC" w14:textId="1808F8DD" w:rsidR="006A57CF" w:rsidRDefault="00D6652D" w:rsidP="006A57CF">
      <w:r w:rsidRPr="00D6652D">
        <w:t xml:space="preserve">Our </w:t>
      </w:r>
      <w:r w:rsidR="00CF6000">
        <w:t>draft</w:t>
      </w:r>
      <w:r w:rsidRPr="00D6652D">
        <w:t xml:space="preserve"> 202</w:t>
      </w:r>
      <w:r>
        <w:t>3</w:t>
      </w:r>
      <w:r w:rsidRPr="00D6652D">
        <w:t>–2</w:t>
      </w:r>
      <w:r>
        <w:t>4</w:t>
      </w:r>
      <w:r w:rsidRPr="00D6652D">
        <w:t xml:space="preserve"> work program </w:t>
      </w:r>
      <w:r w:rsidR="00CF6000">
        <w:t>proposed</w:t>
      </w:r>
      <w:r w:rsidRPr="00D6652D">
        <w:t xml:space="preserve"> a diverse range of projects. </w:t>
      </w:r>
      <w:r w:rsidR="00E13331">
        <w:t>F</w:t>
      </w:r>
      <w:r w:rsidR="00E148D1">
        <w:t xml:space="preserve">eedback </w:t>
      </w:r>
      <w:r w:rsidR="00E13331">
        <w:t xml:space="preserve">in submissions </w:t>
      </w:r>
      <w:r w:rsidR="00E148D1">
        <w:t xml:space="preserve">largely supported </w:t>
      </w:r>
      <w:r w:rsidR="004C7517">
        <w:t xml:space="preserve">our </w:t>
      </w:r>
      <w:r w:rsidR="00800BE2">
        <w:t xml:space="preserve">work program </w:t>
      </w:r>
      <w:r w:rsidR="004C7517">
        <w:t>priorities</w:t>
      </w:r>
      <w:r w:rsidR="00D55611">
        <w:t xml:space="preserve">, along with </w:t>
      </w:r>
      <w:r w:rsidR="002079FB">
        <w:t xml:space="preserve">suggestions for </w:t>
      </w:r>
      <w:r w:rsidR="00345CEA">
        <w:t>different prioritisation</w:t>
      </w:r>
      <w:r w:rsidR="002F7A8F">
        <w:t xml:space="preserve"> of </w:t>
      </w:r>
      <w:r w:rsidR="00345CEA">
        <w:t xml:space="preserve">specific band planning </w:t>
      </w:r>
      <w:r w:rsidR="00B26D4D">
        <w:t>and licensing activity</w:t>
      </w:r>
      <w:r w:rsidR="009363B3">
        <w:t>.</w:t>
      </w:r>
      <w:r w:rsidR="004935E4">
        <w:t xml:space="preserve"> </w:t>
      </w:r>
      <w:r w:rsidR="006A57CF" w:rsidRPr="00512906">
        <w:t>We received a range of feedback about priorities and suggestions for inclusion of additional activities in the work program.</w:t>
      </w:r>
    </w:p>
    <w:p w14:paraId="4BFAECDF" w14:textId="4921A83C" w:rsidR="005A03A0" w:rsidRDefault="006A57CF" w:rsidP="005A03A0">
      <w:r>
        <w:t xml:space="preserve">We have considered those suggestions and indicate in the FYSO where we have </w:t>
      </w:r>
      <w:r w:rsidR="00387E7D">
        <w:t xml:space="preserve"> </w:t>
      </w:r>
      <w:r>
        <w:t xml:space="preserve">adjusted the work program as a result of feedback. </w:t>
      </w:r>
      <w:r w:rsidR="005A03A0" w:rsidRPr="00512906">
        <w:t>While we cannot accommodate all suggestions, your feedback will inform our future work program development.</w:t>
      </w:r>
    </w:p>
    <w:p w14:paraId="66FB5739" w14:textId="2A8A36B4" w:rsidR="005F46CE" w:rsidRPr="005A03A0" w:rsidRDefault="006A57CF" w:rsidP="006A57CF">
      <w:r w:rsidRPr="00512906">
        <w:t xml:space="preserve">One change we are making </w:t>
      </w:r>
      <w:r w:rsidR="007B76EE">
        <w:t>following</w:t>
      </w:r>
      <w:r w:rsidRPr="00512906">
        <w:t xml:space="preserve"> feedback is </w:t>
      </w:r>
      <w:r w:rsidR="00FE5E37">
        <w:t xml:space="preserve">further consideration </w:t>
      </w:r>
      <w:r w:rsidR="0092505F">
        <w:t>of</w:t>
      </w:r>
      <w:r w:rsidR="000C6274">
        <w:t xml:space="preserve"> regulatory arrangements for satellite services</w:t>
      </w:r>
      <w:r w:rsidR="00FE5E37">
        <w:t xml:space="preserve">, </w:t>
      </w:r>
      <w:r w:rsidR="000C6274">
        <w:t xml:space="preserve">including </w:t>
      </w:r>
      <w:r>
        <w:t>direct-to-mobile services</w:t>
      </w:r>
      <w:r w:rsidR="005F46CE">
        <w:t xml:space="preserve">, arrangements to support E-band </w:t>
      </w:r>
      <w:r w:rsidR="00B84A18">
        <w:t xml:space="preserve">services </w:t>
      </w:r>
      <w:r w:rsidR="005F46CE">
        <w:t>(71</w:t>
      </w:r>
      <w:r w:rsidR="003C69A5" w:rsidRPr="00FB246A">
        <w:t>–</w:t>
      </w:r>
      <w:r w:rsidR="005F46CE">
        <w:t>76/81</w:t>
      </w:r>
      <w:r w:rsidR="003C69A5" w:rsidRPr="00FB246A">
        <w:t>–</w:t>
      </w:r>
      <w:r w:rsidR="005F46CE">
        <w:t>86 GHz)</w:t>
      </w:r>
      <w:r w:rsidR="00B84A18">
        <w:t xml:space="preserve"> </w:t>
      </w:r>
      <w:r w:rsidR="008E622E" w:rsidRPr="008E622E">
        <w:t xml:space="preserve">on a coordinated basis with </w:t>
      </w:r>
      <w:r w:rsidR="003C69A5">
        <w:t>point-to-point</w:t>
      </w:r>
      <w:r w:rsidR="003C69A5" w:rsidRPr="008E622E">
        <w:t xml:space="preserve"> </w:t>
      </w:r>
      <w:r w:rsidR="008E622E" w:rsidRPr="008E622E">
        <w:t>links</w:t>
      </w:r>
      <w:r w:rsidR="00CA618A">
        <w:t xml:space="preserve"> (</w:t>
      </w:r>
      <w:r w:rsidR="00B225EE">
        <w:t xml:space="preserve">expected to take </w:t>
      </w:r>
      <w:r w:rsidR="00B225EE" w:rsidRPr="005A03A0">
        <w:t xml:space="preserve">place across </w:t>
      </w:r>
      <w:r w:rsidR="00B225EE">
        <w:t>Q4 2023</w:t>
      </w:r>
      <w:r w:rsidR="00B225EE" w:rsidRPr="005A03A0">
        <w:t xml:space="preserve"> and Q4 202</w:t>
      </w:r>
      <w:r w:rsidR="00B225EE">
        <w:t>4</w:t>
      </w:r>
      <w:r w:rsidR="00CA618A">
        <w:t>)</w:t>
      </w:r>
      <w:r w:rsidR="008E622E">
        <w:t>,</w:t>
      </w:r>
      <w:r w:rsidR="00A660CB">
        <w:t xml:space="preserve"> </w:t>
      </w:r>
      <w:r w:rsidR="008E622E">
        <w:t>and</w:t>
      </w:r>
      <w:r w:rsidR="00A660CB">
        <w:t xml:space="preserve"> gateway satellite earth stations in the Q/V band (40–50 GHz)</w:t>
      </w:r>
      <w:r w:rsidR="00886A66" w:rsidRPr="005A03A0">
        <w:t>.</w:t>
      </w:r>
    </w:p>
    <w:p w14:paraId="1B662E25" w14:textId="4E63F1D1" w:rsidR="006A57CF" w:rsidRPr="005A03A0" w:rsidRDefault="00D87FA4" w:rsidP="006A57CF">
      <w:pPr>
        <w:rPr>
          <w:color w:val="000000" w:themeColor="text1"/>
          <w:szCs w:val="21"/>
        </w:rPr>
      </w:pPr>
      <w:r w:rsidRPr="005A03A0">
        <w:t xml:space="preserve">Additionally, </w:t>
      </w:r>
      <w:r w:rsidRPr="005A03A0">
        <w:rPr>
          <w:color w:val="000000" w:themeColor="text1"/>
          <w:szCs w:val="21"/>
        </w:rPr>
        <w:t>following stakeholder feedback, we are seeking</w:t>
      </w:r>
      <w:r w:rsidR="00B45749">
        <w:rPr>
          <w:color w:val="000000" w:themeColor="text1"/>
          <w:szCs w:val="21"/>
        </w:rPr>
        <w:t xml:space="preserve"> to provide</w:t>
      </w:r>
      <w:r w:rsidRPr="005A03A0">
        <w:rPr>
          <w:color w:val="000000" w:themeColor="text1"/>
          <w:szCs w:val="21"/>
        </w:rPr>
        <w:t xml:space="preserve"> additional clarity on our approach to spectrum management. We intend to review </w:t>
      </w:r>
      <w:r w:rsidR="005A03A0" w:rsidRPr="005A03A0">
        <w:rPr>
          <w:color w:val="000000" w:themeColor="text1"/>
          <w:szCs w:val="21"/>
        </w:rPr>
        <w:t>the</w:t>
      </w:r>
      <w:r w:rsidR="00387E7D">
        <w:rPr>
          <w:color w:val="000000" w:themeColor="text1"/>
          <w:szCs w:val="21"/>
        </w:rPr>
        <w:t xml:space="preserve"> information paper,</w:t>
      </w:r>
      <w:r w:rsidR="005A03A0" w:rsidRPr="005A03A0">
        <w:rPr>
          <w:color w:val="000000" w:themeColor="text1"/>
          <w:szCs w:val="21"/>
        </w:rPr>
        <w:t xml:space="preserve"> </w:t>
      </w:r>
      <w:hyperlink r:id="rId24" w:history="1">
        <w:r w:rsidR="00387E7D">
          <w:rPr>
            <w:rStyle w:val="Hyperlink"/>
            <w:szCs w:val="21"/>
          </w:rPr>
          <w:t>Our approach to radiocommunications licensing and allocation</w:t>
        </w:r>
      </w:hyperlink>
      <w:r w:rsidR="005A03A0" w:rsidRPr="005A03A0">
        <w:rPr>
          <w:color w:val="000000" w:themeColor="text1"/>
          <w:szCs w:val="21"/>
        </w:rPr>
        <w:t xml:space="preserve"> </w:t>
      </w:r>
      <w:r w:rsidRPr="005A03A0">
        <w:rPr>
          <w:color w:val="000000" w:themeColor="text1"/>
          <w:szCs w:val="21"/>
        </w:rPr>
        <w:t>to ensure it is up</w:t>
      </w:r>
      <w:r w:rsidR="00387E7D">
        <w:rPr>
          <w:color w:val="000000" w:themeColor="text1"/>
          <w:szCs w:val="21"/>
        </w:rPr>
        <w:t xml:space="preserve"> </w:t>
      </w:r>
      <w:r w:rsidRPr="005A03A0">
        <w:rPr>
          <w:color w:val="000000" w:themeColor="text1"/>
          <w:szCs w:val="21"/>
        </w:rPr>
        <w:t>to</w:t>
      </w:r>
      <w:r w:rsidR="00387E7D">
        <w:rPr>
          <w:color w:val="000000" w:themeColor="text1"/>
          <w:szCs w:val="21"/>
        </w:rPr>
        <w:t xml:space="preserve"> </w:t>
      </w:r>
      <w:r w:rsidRPr="005A03A0">
        <w:rPr>
          <w:color w:val="000000" w:themeColor="text1"/>
          <w:szCs w:val="21"/>
        </w:rPr>
        <w:t>date and continues to be fit for purpose. We will publish a revised paper in Q2 2024 and invite comment.</w:t>
      </w:r>
      <w:r w:rsidR="00130933" w:rsidRPr="005A03A0">
        <w:rPr>
          <w:color w:val="000000" w:themeColor="text1"/>
          <w:szCs w:val="21"/>
        </w:rPr>
        <w:t xml:space="preserve"> </w:t>
      </w:r>
    </w:p>
    <w:p w14:paraId="626F937D" w14:textId="63759052" w:rsidR="00FB246A" w:rsidRPr="00FB246A" w:rsidRDefault="00FB246A" w:rsidP="00FB246A">
      <w:r w:rsidRPr="00FB246A">
        <w:t>This document focuses on the major themes raised in submissions and our response to them.</w:t>
      </w:r>
      <w:r w:rsidR="005B2AD7">
        <w:t xml:space="preserve"> </w:t>
      </w:r>
    </w:p>
    <w:p w14:paraId="468AA367" w14:textId="246F867B" w:rsidR="00930510" w:rsidRDefault="00FB246A" w:rsidP="00A94DF8">
      <w:pPr>
        <w:pStyle w:val="Heading1"/>
      </w:pPr>
      <w:bookmarkStart w:id="1" w:name="_Toc146527939"/>
      <w:r>
        <w:lastRenderedPageBreak/>
        <w:t xml:space="preserve">Part 1: </w:t>
      </w:r>
      <w:r w:rsidRPr="00FB246A">
        <w:t>Five-year spectrum outlook 2023–28</w:t>
      </w:r>
      <w:bookmarkStart w:id="2" w:name="_Toc298924672"/>
      <w:bookmarkStart w:id="3" w:name="_Toc300909555"/>
      <w:bookmarkStart w:id="4" w:name="_Toc348105636"/>
      <w:bookmarkEnd w:id="1"/>
    </w:p>
    <w:p w14:paraId="326E8ECF" w14:textId="040C8C92" w:rsidR="00622199" w:rsidRDefault="00622199" w:rsidP="00B5214E">
      <w:pPr>
        <w:pStyle w:val="Heading2"/>
      </w:pPr>
      <w:bookmarkStart w:id="5" w:name="_Toc146527940"/>
      <w:r w:rsidRPr="00622199">
        <w:t>Our approach to spectrum management</w:t>
      </w:r>
      <w:bookmarkEnd w:id="5"/>
    </w:p>
    <w:p w14:paraId="3108FD21" w14:textId="16C4A5AA" w:rsidR="00502704" w:rsidRDefault="00D21092" w:rsidP="00DA20BC">
      <w:pPr>
        <w:pStyle w:val="Paragraph"/>
      </w:pPr>
      <w:r>
        <w:t>O</w:t>
      </w:r>
      <w:r w:rsidRPr="000C7BDD">
        <w:t xml:space="preserve">ur approach to determining the </w:t>
      </w:r>
      <w:r w:rsidR="00F81F77">
        <w:t xml:space="preserve">long-term public interest </w:t>
      </w:r>
      <w:r w:rsidR="00F63853">
        <w:t xml:space="preserve">derived from the use of the spectrum </w:t>
      </w:r>
      <w:r>
        <w:t xml:space="preserve">was of interest to </w:t>
      </w:r>
      <w:r w:rsidR="00E24D84">
        <w:t>several</w:t>
      </w:r>
      <w:r>
        <w:t xml:space="preserve"> submitters. </w:t>
      </w:r>
      <w:r w:rsidR="00E12AD1">
        <w:t xml:space="preserve">One </w:t>
      </w:r>
      <w:r w:rsidR="00C27175">
        <w:t>submitter</w:t>
      </w:r>
      <w:r w:rsidR="00E12AD1">
        <w:t xml:space="preserve"> </w:t>
      </w:r>
      <w:r w:rsidR="0054674B">
        <w:t>suggested</w:t>
      </w:r>
      <w:r w:rsidR="00E12AD1">
        <w:t xml:space="preserve"> that the ACMA demonstrate transparency </w:t>
      </w:r>
      <w:r w:rsidR="00721141">
        <w:t xml:space="preserve">by providing </w:t>
      </w:r>
      <w:r w:rsidR="00233A31" w:rsidRPr="00233A31">
        <w:t>more information to</w:t>
      </w:r>
      <w:r w:rsidR="00A3429B">
        <w:t xml:space="preserve"> </w:t>
      </w:r>
      <w:r w:rsidR="00233A31" w:rsidRPr="00233A31">
        <w:t xml:space="preserve">stakeholders about how it determines </w:t>
      </w:r>
      <w:r w:rsidR="002401F0">
        <w:t>‘</w:t>
      </w:r>
      <w:r w:rsidR="00233A31" w:rsidRPr="00233A31">
        <w:t>highest value use</w:t>
      </w:r>
      <w:r w:rsidR="002401F0">
        <w:t>’</w:t>
      </w:r>
      <w:r w:rsidR="00233A31" w:rsidRPr="00233A31">
        <w:t>.</w:t>
      </w:r>
      <w:r w:rsidR="00A3429B">
        <w:t xml:space="preserve"> Another </w:t>
      </w:r>
      <w:r w:rsidR="00502704">
        <w:t>urged the ACMA to</w:t>
      </w:r>
      <w:r w:rsidR="00805CB5">
        <w:t xml:space="preserve"> </w:t>
      </w:r>
      <w:r w:rsidR="009D16F3">
        <w:t>pay attention</w:t>
      </w:r>
      <w:r w:rsidR="00E13331">
        <w:t xml:space="preserve"> to</w:t>
      </w:r>
      <w:r w:rsidR="00502704" w:rsidRPr="009F3A77">
        <w:t xml:space="preserve"> economic considerations</w:t>
      </w:r>
      <w:r w:rsidR="00D32720">
        <w:t>,</w:t>
      </w:r>
      <w:r w:rsidR="00502704" w:rsidRPr="009F3A77">
        <w:t xml:space="preserve"> </w:t>
      </w:r>
      <w:r w:rsidR="00280599">
        <w:t>including</w:t>
      </w:r>
      <w:r w:rsidR="00502704" w:rsidRPr="009F3A77">
        <w:t xml:space="preserve"> market competition</w:t>
      </w:r>
      <w:r w:rsidR="00E13331">
        <w:t>,</w:t>
      </w:r>
      <w:r w:rsidR="00280599">
        <w:t xml:space="preserve"> and </w:t>
      </w:r>
      <w:r w:rsidR="00502704" w:rsidRPr="009F3A77">
        <w:t>investment and productivity</w:t>
      </w:r>
      <w:r w:rsidR="00D15D29">
        <w:t>,</w:t>
      </w:r>
      <w:r w:rsidR="00805CB5">
        <w:t xml:space="preserve"> </w:t>
      </w:r>
      <w:r w:rsidR="00A71B6C">
        <w:t>when making</w:t>
      </w:r>
      <w:r w:rsidR="004E22A5">
        <w:t xml:space="preserve"> a</w:t>
      </w:r>
      <w:r w:rsidR="00A71B6C">
        <w:t xml:space="preserve"> </w:t>
      </w:r>
      <w:r w:rsidR="004E22A5">
        <w:t>spectrum value</w:t>
      </w:r>
      <w:r w:rsidR="00A71B6C">
        <w:t xml:space="preserve"> determination.</w:t>
      </w:r>
      <w:r w:rsidR="00DA108A">
        <w:t xml:space="preserve"> </w:t>
      </w:r>
    </w:p>
    <w:p w14:paraId="15E6F76B" w14:textId="5EDEAAE5" w:rsidR="002E1F6C" w:rsidRDefault="005B18BA" w:rsidP="00FD4D51">
      <w:pPr>
        <w:pStyle w:val="Heading3"/>
      </w:pPr>
      <w:r>
        <w:t>Our response</w:t>
      </w:r>
    </w:p>
    <w:p w14:paraId="0BD2E34B" w14:textId="3E7862F3" w:rsidR="00C909C7" w:rsidRPr="00EF7E95" w:rsidRDefault="00D74712" w:rsidP="008A54F5">
      <w:pPr>
        <w:pStyle w:val="Paragraph"/>
        <w:rPr>
          <w:color w:val="000000" w:themeColor="text1"/>
          <w:szCs w:val="21"/>
        </w:rPr>
      </w:pPr>
      <w:r>
        <w:t xml:space="preserve">Consistent with the </w:t>
      </w:r>
      <w:r w:rsidR="00F5177F">
        <w:t xml:space="preserve">object of the </w:t>
      </w:r>
      <w:r w:rsidR="00C909C7" w:rsidRPr="00715DCB">
        <w:t>Radiocommunications Act</w:t>
      </w:r>
      <w:r>
        <w:t xml:space="preserve">, we aim to facilitate efficient spectrum planning, </w:t>
      </w:r>
      <w:r w:rsidR="00E13331">
        <w:t>allocation,</w:t>
      </w:r>
      <w:r>
        <w:t xml:space="preserve"> and licensing arrangements in each band for the use or uses that best promote the long-term public interest derived from the use of that spectrum. </w:t>
      </w:r>
      <w:r w:rsidR="00C909C7" w:rsidRPr="00EF7E95">
        <w:rPr>
          <w:color w:val="000000" w:themeColor="text1"/>
          <w:szCs w:val="21"/>
        </w:rPr>
        <w:t xml:space="preserve">We promote the object of the </w:t>
      </w:r>
      <w:r w:rsidR="00C909C7" w:rsidRPr="00715DCB">
        <w:rPr>
          <w:color w:val="000000" w:themeColor="text1"/>
          <w:szCs w:val="21"/>
        </w:rPr>
        <w:t>Radiocommunications Act</w:t>
      </w:r>
      <w:r w:rsidR="00C909C7" w:rsidRPr="00EF7E95">
        <w:rPr>
          <w:color w:val="000000" w:themeColor="text1"/>
          <w:szCs w:val="21"/>
        </w:rPr>
        <w:t xml:space="preserve"> and relevant government policy through a balanced application of market and regulatory mechanisms.</w:t>
      </w:r>
    </w:p>
    <w:p w14:paraId="7F08C4EB" w14:textId="28E84917" w:rsidR="00436038" w:rsidRPr="00EF7E95" w:rsidRDefault="00436038" w:rsidP="008A54F5">
      <w:pPr>
        <w:pStyle w:val="Paragraph"/>
        <w:rPr>
          <w:rFonts w:cstheme="minorHAnsi"/>
        </w:rPr>
      </w:pPr>
      <w:r w:rsidRPr="00EF7E95">
        <w:t xml:space="preserve">In assessing the impact that a regulatory proposal has on the public interest, we measure the sum of the effects on individuals, businesses, government users of spectrum and community organisations, as well as the broader economic, social and competition impacts of a proposal. This approach aligns with the government’s </w:t>
      </w:r>
      <w:hyperlink r:id="rId25" w:history="1">
        <w:r w:rsidRPr="00FB3A24">
          <w:rPr>
            <w:rStyle w:val="Hyperlink"/>
            <w:szCs w:val="21"/>
          </w:rPr>
          <w:t>Policy Impact Analysis Framework</w:t>
        </w:r>
      </w:hyperlink>
      <w:r w:rsidRPr="00EF7E95">
        <w:t>. In undertaking these regulatory assessments, we draw on a variety of evidence available to us, including technical studies, stakeholder views (whether through public consultation or targeted ‘tune-up’ meetings) and quantitative data, where available.</w:t>
      </w:r>
    </w:p>
    <w:p w14:paraId="43132A02" w14:textId="77777777" w:rsidR="002132B9" w:rsidRDefault="002132B9" w:rsidP="008A54F5">
      <w:pPr>
        <w:pStyle w:val="Paragraph"/>
      </w:pPr>
      <w:r w:rsidRPr="00EF7E95">
        <w:t xml:space="preserve">The spectrum management framework does not identify specific quantitative metrics or targets for repurposing a band for a specific use or group of users. Instead, when there is evidence that the use of spectrum is no longer considered to be optimal, </w:t>
      </w:r>
      <w:r>
        <w:t xml:space="preserve">we </w:t>
      </w:r>
      <w:r w:rsidRPr="00EF7E95">
        <w:t xml:space="preserve">may implement arrangements to enable a new optimal use of the spectrum or arrangements to better support the existing use of the spectrum. </w:t>
      </w:r>
      <w:r>
        <w:t>In our planning decisions, a</w:t>
      </w:r>
      <w:r w:rsidRPr="00EF7E95">
        <w:t>llocation design and licence design for spectrum</w:t>
      </w:r>
      <w:r>
        <w:t>,</w:t>
      </w:r>
      <w:r w:rsidRPr="00EF7E95">
        <w:t xml:space="preserve"> </w:t>
      </w:r>
      <w:r>
        <w:t>we carefully consider efficiencies and co-existence requirements of other spectrum uses and users.</w:t>
      </w:r>
    </w:p>
    <w:p w14:paraId="38E61026" w14:textId="45C4D281" w:rsidR="00326F92" w:rsidRDefault="001A07BE" w:rsidP="008A54F5">
      <w:pPr>
        <w:pStyle w:val="Paragraph"/>
        <w:rPr>
          <w:color w:val="000000" w:themeColor="text1"/>
          <w:szCs w:val="21"/>
        </w:rPr>
      </w:pPr>
      <w:r w:rsidRPr="00EF7E95">
        <w:rPr>
          <w:color w:val="000000" w:themeColor="text1"/>
          <w:szCs w:val="21"/>
        </w:rPr>
        <w:t xml:space="preserve">Through the </w:t>
      </w:r>
      <w:r w:rsidR="00981880">
        <w:rPr>
          <w:color w:val="000000" w:themeColor="text1"/>
          <w:szCs w:val="21"/>
        </w:rPr>
        <w:t>FYSO</w:t>
      </w:r>
      <w:r w:rsidRPr="00EF7E95">
        <w:rPr>
          <w:color w:val="000000" w:themeColor="text1"/>
          <w:szCs w:val="21"/>
        </w:rPr>
        <w:t xml:space="preserve"> and</w:t>
      </w:r>
      <w:r w:rsidR="00981880">
        <w:rPr>
          <w:color w:val="000000" w:themeColor="text1"/>
          <w:szCs w:val="21"/>
        </w:rPr>
        <w:t xml:space="preserve"> other</w:t>
      </w:r>
      <w:r w:rsidRPr="00EF7E95">
        <w:rPr>
          <w:color w:val="000000" w:themeColor="text1"/>
          <w:szCs w:val="21"/>
        </w:rPr>
        <w:t xml:space="preserve"> consultation process</w:t>
      </w:r>
      <w:r w:rsidR="00981880">
        <w:rPr>
          <w:color w:val="000000" w:themeColor="text1"/>
          <w:szCs w:val="21"/>
        </w:rPr>
        <w:t>es</w:t>
      </w:r>
      <w:r w:rsidRPr="00EF7E95">
        <w:rPr>
          <w:color w:val="000000" w:themeColor="text1"/>
          <w:szCs w:val="21"/>
        </w:rPr>
        <w:t xml:space="preserve">, we openly identify and consult on our work program priorities, as well as issues and options relating to specific planning and allocation processes. We seek input through a range of mechanisms and provide outcome statements </w:t>
      </w:r>
      <w:r w:rsidR="00E13331">
        <w:rPr>
          <w:color w:val="000000" w:themeColor="text1"/>
          <w:szCs w:val="21"/>
        </w:rPr>
        <w:t>that</w:t>
      </w:r>
      <w:r w:rsidR="00E13331" w:rsidRPr="00EF7E95">
        <w:rPr>
          <w:color w:val="000000" w:themeColor="text1"/>
          <w:szCs w:val="21"/>
        </w:rPr>
        <w:t xml:space="preserve"> </w:t>
      </w:r>
      <w:r w:rsidRPr="00EF7E95">
        <w:rPr>
          <w:color w:val="000000" w:themeColor="text1"/>
          <w:szCs w:val="21"/>
        </w:rPr>
        <w:t>explain the basis for our decisions. These are often iterative processes</w:t>
      </w:r>
      <w:r w:rsidR="00E13331">
        <w:rPr>
          <w:color w:val="000000" w:themeColor="text1"/>
          <w:szCs w:val="21"/>
        </w:rPr>
        <w:t>,</w:t>
      </w:r>
      <w:r w:rsidRPr="00EF7E95">
        <w:rPr>
          <w:color w:val="000000" w:themeColor="text1"/>
          <w:szCs w:val="21"/>
        </w:rPr>
        <w:t xml:space="preserve"> involving multiple rounds of consultation. </w:t>
      </w:r>
    </w:p>
    <w:p w14:paraId="28A90DAB" w14:textId="7730F4A5" w:rsidR="003B499E" w:rsidRDefault="002132B9" w:rsidP="00B74F59">
      <w:pPr>
        <w:rPr>
          <w:color w:val="000000" w:themeColor="text1"/>
          <w:szCs w:val="21"/>
        </w:rPr>
      </w:pPr>
      <w:r>
        <w:rPr>
          <w:color w:val="000000" w:themeColor="text1"/>
          <w:szCs w:val="21"/>
        </w:rPr>
        <w:t>T</w:t>
      </w:r>
      <w:r w:rsidR="001A07BE" w:rsidRPr="00EF7E95">
        <w:rPr>
          <w:color w:val="000000" w:themeColor="text1"/>
          <w:szCs w:val="21"/>
        </w:rPr>
        <w:t xml:space="preserve">o provide clarity to stakeholders on our approach to licensing and allocation decisions under the legislative reforms </w:t>
      </w:r>
      <w:r w:rsidR="00E13331">
        <w:rPr>
          <w:color w:val="000000" w:themeColor="text1"/>
          <w:szCs w:val="21"/>
        </w:rPr>
        <w:t>that</w:t>
      </w:r>
      <w:r w:rsidR="00E13331" w:rsidRPr="00EF7E95">
        <w:rPr>
          <w:color w:val="000000" w:themeColor="text1"/>
          <w:szCs w:val="21"/>
        </w:rPr>
        <w:t xml:space="preserve"> </w:t>
      </w:r>
      <w:r w:rsidR="001A07BE" w:rsidRPr="00EF7E95">
        <w:rPr>
          <w:color w:val="000000" w:themeColor="text1"/>
          <w:szCs w:val="21"/>
        </w:rPr>
        <w:t xml:space="preserve">commenced in mid-2021, we released a </w:t>
      </w:r>
      <w:hyperlink r:id="rId26" w:history="1">
        <w:r w:rsidR="00E13331" w:rsidRPr="00E13331">
          <w:rPr>
            <w:rStyle w:val="Hyperlink"/>
            <w:szCs w:val="21"/>
          </w:rPr>
          <w:t>guidance document</w:t>
        </w:r>
      </w:hyperlink>
      <w:r w:rsidR="00E13331">
        <w:rPr>
          <w:color w:val="000000" w:themeColor="text1"/>
          <w:szCs w:val="21"/>
        </w:rPr>
        <w:t xml:space="preserve"> </w:t>
      </w:r>
      <w:r w:rsidR="001A07BE" w:rsidRPr="00EF7E95">
        <w:rPr>
          <w:color w:val="000000" w:themeColor="text1"/>
          <w:szCs w:val="21"/>
        </w:rPr>
        <w:t>in March 2021.</w:t>
      </w:r>
    </w:p>
    <w:p w14:paraId="387DBCA6" w14:textId="5F12E8B4" w:rsidR="00EF0443" w:rsidRDefault="00F2427A" w:rsidP="005E6901">
      <w:pPr>
        <w:pStyle w:val="Paragraph"/>
      </w:pPr>
      <w:r>
        <w:t xml:space="preserve">Noting the views expressed in some submissions that </w:t>
      </w:r>
      <w:r w:rsidR="00304599">
        <w:t>stakeholders are seeking additional clarity on our approach to spectrum management, w</w:t>
      </w:r>
      <w:r w:rsidR="00B85E14">
        <w:t>e</w:t>
      </w:r>
      <w:r w:rsidR="00222AFA">
        <w:t xml:space="preserve"> </w:t>
      </w:r>
      <w:r w:rsidR="00E13331">
        <w:t>will</w:t>
      </w:r>
      <w:r w:rsidR="00222AFA">
        <w:t xml:space="preserve"> r</w:t>
      </w:r>
      <w:r w:rsidR="00222AFA" w:rsidRPr="00222AFA">
        <w:t xml:space="preserve">eview the </w:t>
      </w:r>
      <w:r w:rsidR="00222AFA">
        <w:t xml:space="preserve">guidance document </w:t>
      </w:r>
      <w:r w:rsidR="00222AFA" w:rsidRPr="00222AFA">
        <w:t>to ensure it is up</w:t>
      </w:r>
      <w:r w:rsidR="00387E7D">
        <w:t xml:space="preserve"> </w:t>
      </w:r>
      <w:r w:rsidR="00222AFA" w:rsidRPr="00222AFA">
        <w:t>to</w:t>
      </w:r>
      <w:r w:rsidR="00387E7D">
        <w:t xml:space="preserve"> </w:t>
      </w:r>
      <w:r w:rsidR="00222AFA" w:rsidRPr="00222AFA">
        <w:t>date and continues to be fit for purpose</w:t>
      </w:r>
      <w:r w:rsidR="00326F92">
        <w:t xml:space="preserve">. </w:t>
      </w:r>
      <w:r w:rsidR="00304599">
        <w:t>W</w:t>
      </w:r>
      <w:r w:rsidR="00326F92" w:rsidDel="00EE16D5">
        <w:t>e will</w:t>
      </w:r>
      <w:r w:rsidR="00222AFA" w:rsidDel="00EE16D5">
        <w:t xml:space="preserve"> </w:t>
      </w:r>
      <w:r w:rsidR="00222AFA">
        <w:t xml:space="preserve">publish a </w:t>
      </w:r>
      <w:r w:rsidR="004C4E40" w:rsidRPr="004C4E40">
        <w:t>revised paper</w:t>
      </w:r>
      <w:r w:rsidR="00304599">
        <w:t xml:space="preserve"> in Q2 </w:t>
      </w:r>
      <w:r w:rsidR="00EB0CA8">
        <w:t>2024 and</w:t>
      </w:r>
      <w:r w:rsidR="00304599">
        <w:t xml:space="preserve"> invite </w:t>
      </w:r>
      <w:r w:rsidR="00EF0443">
        <w:t>comment.</w:t>
      </w:r>
    </w:p>
    <w:p w14:paraId="69F7FE82" w14:textId="2439958D" w:rsidR="00C60FA0" w:rsidRDefault="007C6D4B" w:rsidP="00AA6FD9">
      <w:pPr>
        <w:pStyle w:val="Heading2"/>
      </w:pPr>
      <w:bookmarkStart w:id="6" w:name="_Toc146527941"/>
      <w:r w:rsidRPr="007C6D4B">
        <w:lastRenderedPageBreak/>
        <w:t>The policy environment and regulatory reform</w:t>
      </w:r>
      <w:bookmarkEnd w:id="6"/>
    </w:p>
    <w:p w14:paraId="09B4E259" w14:textId="77777777" w:rsidR="007C6D4B" w:rsidRDefault="007C6D4B" w:rsidP="001500C0">
      <w:pPr>
        <w:pStyle w:val="Heading3"/>
      </w:pPr>
      <w:r>
        <w:t xml:space="preserve">Regional connectivity </w:t>
      </w:r>
    </w:p>
    <w:p w14:paraId="12A315E1" w14:textId="103C0887" w:rsidR="009674CE" w:rsidRDefault="007732EC" w:rsidP="005E6901">
      <w:pPr>
        <w:pStyle w:val="Paragraph"/>
      </w:pPr>
      <w:r>
        <w:t xml:space="preserve">Submitters were supportive of the ACMA’s </w:t>
      </w:r>
      <w:r w:rsidR="0084721D">
        <w:t>p</w:t>
      </w:r>
      <w:r w:rsidR="0084721D" w:rsidRPr="0029781C">
        <w:t xml:space="preserve">olicy </w:t>
      </w:r>
      <w:r w:rsidR="0084721D">
        <w:t>focus</w:t>
      </w:r>
      <w:r w:rsidR="0084721D" w:rsidRPr="0029781C">
        <w:t xml:space="preserve"> </w:t>
      </w:r>
      <w:r w:rsidR="00AB3D4C">
        <w:t>on</w:t>
      </w:r>
      <w:r w:rsidR="0084721D" w:rsidRPr="0029781C">
        <w:t xml:space="preserve"> improving regional connectivity</w:t>
      </w:r>
      <w:r w:rsidR="0084721D">
        <w:t xml:space="preserve"> </w:t>
      </w:r>
      <w:r w:rsidR="00C9413E">
        <w:t>through our mid-band spectrum allocations</w:t>
      </w:r>
      <w:r w:rsidR="009E2472">
        <w:t xml:space="preserve"> and </w:t>
      </w:r>
      <w:r w:rsidR="003E6505">
        <w:t xml:space="preserve">support </w:t>
      </w:r>
      <w:r w:rsidR="00E13331">
        <w:t xml:space="preserve">for </w:t>
      </w:r>
      <w:r w:rsidR="009E2472">
        <w:t xml:space="preserve">satellite </w:t>
      </w:r>
      <w:r w:rsidR="003E6505">
        <w:t>communications</w:t>
      </w:r>
      <w:r w:rsidR="00B47E92">
        <w:t xml:space="preserve">. </w:t>
      </w:r>
    </w:p>
    <w:p w14:paraId="180E7AB3" w14:textId="706FD33B" w:rsidR="00AB3D4C" w:rsidRDefault="009674CE" w:rsidP="005E6901">
      <w:pPr>
        <w:pStyle w:val="Paragraph"/>
      </w:pPr>
      <w:r>
        <w:t xml:space="preserve">Submitters provided suggestions on how the ACMA could further enhance regional connectivity. </w:t>
      </w:r>
      <w:r w:rsidR="00D658CA">
        <w:t>One</w:t>
      </w:r>
      <w:r w:rsidR="001879F4">
        <w:t xml:space="preserve"> </w:t>
      </w:r>
      <w:r w:rsidR="00D658CA">
        <w:t xml:space="preserve">suggested that the </w:t>
      </w:r>
      <w:r w:rsidR="00E6378B">
        <w:t xml:space="preserve">ACMA should consider a </w:t>
      </w:r>
      <w:r w:rsidR="00C23559" w:rsidRPr="00ED2B0E">
        <w:t>reform of licensing arrangements for isolated and ultra-remote areas</w:t>
      </w:r>
      <w:r w:rsidR="001B5EF8">
        <w:t xml:space="preserve"> as f</w:t>
      </w:r>
      <w:r w:rsidR="00C23559" w:rsidRPr="00ED2B0E">
        <w:t xml:space="preserve">lexible licensing arrangements </w:t>
      </w:r>
      <w:r w:rsidR="00E13331">
        <w:t xml:space="preserve">that </w:t>
      </w:r>
      <w:r w:rsidR="001B4AEE">
        <w:t>could enh</w:t>
      </w:r>
      <w:r w:rsidR="0073652B">
        <w:t xml:space="preserve">ance </w:t>
      </w:r>
      <w:r w:rsidR="00C9413E">
        <w:t xml:space="preserve">connectivity in </w:t>
      </w:r>
      <w:r w:rsidR="00C9413E" w:rsidRPr="00ED2B0E">
        <w:t>regional, rural, and remote areas</w:t>
      </w:r>
      <w:r w:rsidR="00C9413E">
        <w:t xml:space="preserve"> by r</w:t>
      </w:r>
      <w:r w:rsidR="00C23559" w:rsidRPr="00ED2B0E">
        <w:t>educ</w:t>
      </w:r>
      <w:r w:rsidR="00C9413E">
        <w:t xml:space="preserve">ing </w:t>
      </w:r>
      <w:r w:rsidR="00C23559" w:rsidRPr="00ED2B0E">
        <w:t>administrative costs and encourag</w:t>
      </w:r>
      <w:r w:rsidR="00C9413E">
        <w:t>ing</w:t>
      </w:r>
      <w:r w:rsidR="00C23559" w:rsidRPr="00ED2B0E">
        <w:t xml:space="preserve"> greater investment by </w:t>
      </w:r>
      <w:r w:rsidR="00C9413E">
        <w:t>MNOs.</w:t>
      </w:r>
      <w:r w:rsidR="0000285C">
        <w:t xml:space="preserve"> </w:t>
      </w:r>
    </w:p>
    <w:p w14:paraId="4DC1FE6C" w14:textId="0DFD5780" w:rsidR="00DA56BB" w:rsidRDefault="0000285C" w:rsidP="005E6901">
      <w:pPr>
        <w:pStyle w:val="Paragraph"/>
      </w:pPr>
      <w:r>
        <w:t xml:space="preserve">Another </w:t>
      </w:r>
      <w:r w:rsidR="004666FA">
        <w:t>submitter</w:t>
      </w:r>
      <w:r w:rsidR="00FA527F">
        <w:t xml:space="preserve"> </w:t>
      </w:r>
      <w:r w:rsidR="00EE7D66">
        <w:t>emphasised</w:t>
      </w:r>
      <w:r w:rsidR="00336785">
        <w:t xml:space="preserve"> the </w:t>
      </w:r>
      <w:r w:rsidR="009674CE">
        <w:t xml:space="preserve">potential for </w:t>
      </w:r>
      <w:r w:rsidR="00E13331">
        <w:t>w</w:t>
      </w:r>
      <w:r w:rsidR="009674CE">
        <w:t>i-</w:t>
      </w:r>
      <w:r w:rsidR="00E13331">
        <w:t>f</w:t>
      </w:r>
      <w:r w:rsidR="009674CE">
        <w:t>i</w:t>
      </w:r>
      <w:r w:rsidR="00CC57AE">
        <w:t xml:space="preserve"> operating in the 6 GHz band</w:t>
      </w:r>
      <w:r w:rsidR="009674CE">
        <w:t xml:space="preserve"> to improve regional </w:t>
      </w:r>
      <w:r w:rsidR="00CC57AE">
        <w:t>connectivity</w:t>
      </w:r>
      <w:r w:rsidR="00173567">
        <w:t xml:space="preserve">. </w:t>
      </w:r>
      <w:r w:rsidR="009D16F3">
        <w:t xml:space="preserve">For </w:t>
      </w:r>
      <w:r w:rsidR="00AF6FAE">
        <w:t xml:space="preserve">satellite communications, the ACMA was urged by </w:t>
      </w:r>
      <w:r w:rsidR="00AB3D4C">
        <w:t>a</w:t>
      </w:r>
      <w:r w:rsidR="00AF6FAE">
        <w:t xml:space="preserve"> submitter </w:t>
      </w:r>
      <w:r w:rsidR="00DA56BB" w:rsidRPr="00DA56BB">
        <w:t xml:space="preserve">to continue to consult Australian satellite operators </w:t>
      </w:r>
      <w:r w:rsidR="0030680A">
        <w:t>and</w:t>
      </w:r>
      <w:r w:rsidR="00DA56BB" w:rsidRPr="00DA56BB">
        <w:t xml:space="preserve"> consider the capabilities </w:t>
      </w:r>
      <w:r w:rsidR="007B76EE">
        <w:t xml:space="preserve">and potential </w:t>
      </w:r>
      <w:r w:rsidR="00DA56BB" w:rsidRPr="00DA56BB">
        <w:t xml:space="preserve">of </w:t>
      </w:r>
      <w:r w:rsidR="003132A5">
        <w:t>low earth orbit (</w:t>
      </w:r>
      <w:r w:rsidR="00DA56BB" w:rsidRPr="00DA56BB">
        <w:t>LEO</w:t>
      </w:r>
      <w:r w:rsidR="003132A5">
        <w:t>)</w:t>
      </w:r>
      <w:r w:rsidR="00DA56BB" w:rsidRPr="00DA56BB">
        <w:t xml:space="preserve"> </w:t>
      </w:r>
      <w:r w:rsidR="0030680A">
        <w:t>satellite</w:t>
      </w:r>
      <w:r w:rsidR="00A25520">
        <w:t>s</w:t>
      </w:r>
      <w:r w:rsidR="00BB287C">
        <w:t xml:space="preserve"> while </w:t>
      </w:r>
      <w:r w:rsidR="00E13331">
        <w:t>recognising</w:t>
      </w:r>
      <w:r w:rsidR="00BB287C">
        <w:t xml:space="preserve"> the </w:t>
      </w:r>
      <w:r w:rsidR="00264398">
        <w:t>possibility for interference.</w:t>
      </w:r>
    </w:p>
    <w:p w14:paraId="06CDCE01" w14:textId="5F42AC22" w:rsidR="00AA4C5C" w:rsidRDefault="00AA4C5C" w:rsidP="00AA4C5C">
      <w:pPr>
        <w:pStyle w:val="Heading3"/>
      </w:pPr>
      <w:r>
        <w:t>Our response</w:t>
      </w:r>
    </w:p>
    <w:p w14:paraId="5170B1CA" w14:textId="19FAFDDC" w:rsidR="00AA4C5C" w:rsidRDefault="00AB3D4C" w:rsidP="00DD27DE">
      <w:pPr>
        <w:pStyle w:val="Paragraph"/>
      </w:pPr>
      <w:r>
        <w:t>We make</w:t>
      </w:r>
      <w:r w:rsidR="00AA4C5C" w:rsidRPr="5F30CAD4">
        <w:t xml:space="preserve"> planning decisions and design licensing and allocation </w:t>
      </w:r>
      <w:r w:rsidR="00AA4C5C">
        <w:t>processes</w:t>
      </w:r>
      <w:r w:rsidR="00AA4C5C" w:rsidRPr="5F30CAD4">
        <w:t xml:space="preserve"> to facilitate </w:t>
      </w:r>
      <w:r w:rsidR="00AA4C5C">
        <w:t>a range of</w:t>
      </w:r>
      <w:r w:rsidR="00AA4C5C" w:rsidRPr="5F30CAD4">
        <w:t xml:space="preserve"> </w:t>
      </w:r>
      <w:r w:rsidR="0082292E" w:rsidRPr="5F30CAD4">
        <w:t>use</w:t>
      </w:r>
      <w:r w:rsidR="0082292E">
        <w:t>-</w:t>
      </w:r>
      <w:r w:rsidR="00AA4C5C" w:rsidRPr="5F30CAD4">
        <w:t>cases</w:t>
      </w:r>
      <w:r w:rsidR="00AA4C5C">
        <w:t xml:space="preserve"> in various locations</w:t>
      </w:r>
      <w:r w:rsidR="00AA4C5C" w:rsidRPr="5F30CAD4">
        <w:t xml:space="preserve">. For example, we are aware that there is demand for mid-band spectrum from a range of different parties. Across our suite of allocations in the 3.4–4.0 GHz band, we have made planning decisions and are designing </w:t>
      </w:r>
      <w:r w:rsidR="00AA4C5C" w:rsidRPr="001879F4">
        <w:rPr>
          <w:rFonts w:cstheme="minorHAnsi"/>
        </w:rPr>
        <w:t>allocation</w:t>
      </w:r>
      <w:r w:rsidR="00AA4C5C" w:rsidRPr="5F30CAD4">
        <w:t xml:space="preserve"> processes to facilitate a </w:t>
      </w:r>
      <w:r w:rsidR="00762F4A">
        <w:t>diversity</w:t>
      </w:r>
      <w:r w:rsidR="00762F4A" w:rsidRPr="5F30CAD4">
        <w:t xml:space="preserve"> </w:t>
      </w:r>
      <w:r w:rsidR="00AA4C5C" w:rsidRPr="5F30CAD4">
        <w:t>of use-cases via the spectrum licence auction and administrative allocation processes for apparatus licences, including area-wide licences (AWLs).</w:t>
      </w:r>
    </w:p>
    <w:p w14:paraId="05C776CB" w14:textId="13BCA4A7" w:rsidR="00A86E45" w:rsidRDefault="00AA4C5C" w:rsidP="00DD27DE">
      <w:pPr>
        <w:pStyle w:val="Paragraph"/>
      </w:pPr>
      <w:r>
        <w:t xml:space="preserve">In addition, as noted in </w:t>
      </w:r>
      <w:hyperlink r:id="rId27" w:anchor=":~:text=Spectrum%20licences%20across%20the%20700,arrangements%20for%20the%20affected%20spectrum." w:history="1">
        <w:r w:rsidRPr="00B845A7">
          <w:rPr>
            <w:rStyle w:val="Hyperlink"/>
          </w:rPr>
          <w:t xml:space="preserve">our consultation paper on the expiring spectrum licences </w:t>
        </w:r>
        <w:r w:rsidR="00264398" w:rsidRPr="00B845A7">
          <w:rPr>
            <w:rStyle w:val="Hyperlink"/>
          </w:rPr>
          <w:t xml:space="preserve">(ESLs) </w:t>
        </w:r>
        <w:r w:rsidRPr="00B845A7">
          <w:rPr>
            <w:rStyle w:val="Hyperlink"/>
          </w:rPr>
          <w:t>process</w:t>
        </w:r>
      </w:hyperlink>
      <w:r w:rsidR="002C4C00">
        <w:rPr>
          <w:rStyle w:val="Hyperlink"/>
        </w:rPr>
        <w:t>,</w:t>
      </w:r>
      <w:r>
        <w:t xml:space="preserve"> examining use of ESLs will </w:t>
      </w:r>
      <w:r w:rsidR="00E60228">
        <w:t>assist</w:t>
      </w:r>
      <w:r>
        <w:t xml:space="preserve"> in considering options for future use of the spectrum and whether changes to </w:t>
      </w:r>
      <w:r w:rsidR="00470B7D">
        <w:t xml:space="preserve">planning arrangements, </w:t>
      </w:r>
      <w:r>
        <w:t xml:space="preserve">technical frameworks and/or licence conditions are needed to optimise this use. </w:t>
      </w:r>
    </w:p>
    <w:p w14:paraId="12764469" w14:textId="37066C33" w:rsidR="00AA4C5C" w:rsidRDefault="00930A30" w:rsidP="00DD27DE">
      <w:pPr>
        <w:pStyle w:val="Paragraph"/>
      </w:pPr>
      <w:r>
        <w:t>A</w:t>
      </w:r>
      <w:r w:rsidR="00AA4C5C">
        <w:t xml:space="preserve">s </w:t>
      </w:r>
      <w:r>
        <w:t xml:space="preserve">outlined </w:t>
      </w:r>
      <w:r w:rsidR="00AA4C5C">
        <w:t xml:space="preserve">in the FYSO </w:t>
      </w:r>
      <w:r w:rsidR="0037515C">
        <w:t>2023</w:t>
      </w:r>
      <w:r w:rsidR="00E13331">
        <w:t>–</w:t>
      </w:r>
      <w:r w:rsidR="0037515C">
        <w:t>28</w:t>
      </w:r>
      <w:r w:rsidR="002C4C00">
        <w:t>,</w:t>
      </w:r>
      <w:r w:rsidR="00AA4C5C">
        <w:t xml:space="preserve"> we </w:t>
      </w:r>
      <w:r w:rsidR="00762924">
        <w:t xml:space="preserve">are </w:t>
      </w:r>
      <w:r>
        <w:t xml:space="preserve">also </w:t>
      </w:r>
      <w:r w:rsidR="00AA4C5C">
        <w:t xml:space="preserve">examining use under certain apparatus licences, such as </w:t>
      </w:r>
      <w:r w:rsidR="00C45C16">
        <w:t>AWL</w:t>
      </w:r>
      <w:r w:rsidR="00AA4C5C">
        <w:t xml:space="preserve">s. We </w:t>
      </w:r>
      <w:r w:rsidR="0037515C">
        <w:t>will</w:t>
      </w:r>
      <w:r w:rsidR="00AA4C5C">
        <w:t xml:space="preserve"> continue to monitor </w:t>
      </w:r>
      <w:r w:rsidR="00AA4C5C" w:rsidRPr="009D16F3">
        <w:t>bands</w:t>
      </w:r>
      <w:r w:rsidR="00AA4C5C">
        <w:t xml:space="preserve"> for evidence of unmet demand and spectrum </w:t>
      </w:r>
      <w:r w:rsidR="00EB0CA8">
        <w:t>inefficiencies and</w:t>
      </w:r>
      <w:r w:rsidR="00AA4C5C">
        <w:t xml:space="preserve"> consider whether updates to our band planning and licensing work program are needed, where appropriate.  </w:t>
      </w:r>
    </w:p>
    <w:p w14:paraId="3E526B1C" w14:textId="7EA99095" w:rsidR="00675D97" w:rsidRDefault="00192D58" w:rsidP="00DD27DE">
      <w:pPr>
        <w:pStyle w:val="Paragraph"/>
      </w:pPr>
      <w:r>
        <w:t>We</w:t>
      </w:r>
      <w:r w:rsidR="00AA4C5C">
        <w:t xml:space="preserve"> encourage all parties to engage in our consultation processes to promote discussion of licensing and allocation of </w:t>
      </w:r>
      <w:r w:rsidR="00B25034">
        <w:t xml:space="preserve">particular </w:t>
      </w:r>
      <w:r w:rsidR="00AA4C5C">
        <w:t>spectrum</w:t>
      </w:r>
      <w:r w:rsidR="00B25034">
        <w:t xml:space="preserve"> bands</w:t>
      </w:r>
      <w:r w:rsidR="00AA4C5C">
        <w:t>.</w:t>
      </w:r>
    </w:p>
    <w:p w14:paraId="147986BD" w14:textId="416191DE" w:rsidR="00675D97" w:rsidRDefault="005C45C6" w:rsidP="00DD27DE">
      <w:pPr>
        <w:pStyle w:val="Paragraph"/>
      </w:pPr>
      <w:r>
        <w:t>The b</w:t>
      </w:r>
      <w:r w:rsidR="006F0EF1" w:rsidRPr="00374D93">
        <w:t>enefits of further changes in the 6</w:t>
      </w:r>
      <w:r w:rsidR="006418A0">
        <w:t xml:space="preserve"> </w:t>
      </w:r>
      <w:r w:rsidR="006F0EF1" w:rsidRPr="00374D93">
        <w:t>GHz</w:t>
      </w:r>
      <w:r w:rsidR="006F0EF1">
        <w:t xml:space="preserve"> </w:t>
      </w:r>
      <w:r w:rsidR="00DC17CC">
        <w:t xml:space="preserve">band </w:t>
      </w:r>
      <w:r w:rsidR="006F0EF1">
        <w:t>and the ability for n</w:t>
      </w:r>
      <w:r w:rsidR="006F0EF1" w:rsidRPr="00543F9E">
        <w:t xml:space="preserve">ew advances in </w:t>
      </w:r>
      <w:r w:rsidR="006F0EF1">
        <w:t>LEO</w:t>
      </w:r>
      <w:r w:rsidR="006F0EF1" w:rsidRPr="00543F9E">
        <w:t xml:space="preserve"> satellites</w:t>
      </w:r>
      <w:r w:rsidR="006F0EF1">
        <w:t xml:space="preserve"> in</w:t>
      </w:r>
      <w:r w:rsidR="000E65B6">
        <w:t xml:space="preserve"> enhancing regional connectivity</w:t>
      </w:r>
      <w:r w:rsidR="006F0EF1" w:rsidRPr="00374D93">
        <w:t xml:space="preserve"> are being considered.</w:t>
      </w:r>
      <w:r w:rsidR="000E65B6">
        <w:t xml:space="preserve"> </w:t>
      </w:r>
      <w:r w:rsidR="00675D97">
        <w:t xml:space="preserve">We address comments on </w:t>
      </w:r>
      <w:r w:rsidR="006135C9">
        <w:t>satellites</w:t>
      </w:r>
      <w:r w:rsidR="00FD5D82">
        <w:t xml:space="preserve"> and </w:t>
      </w:r>
      <w:r w:rsidR="006135C9">
        <w:t>6</w:t>
      </w:r>
      <w:r w:rsidR="006418A0">
        <w:t xml:space="preserve"> </w:t>
      </w:r>
      <w:r w:rsidR="006135C9">
        <w:t xml:space="preserve">GHz </w:t>
      </w:r>
      <w:r w:rsidR="006F0EF1">
        <w:t>later in this paper.</w:t>
      </w:r>
    </w:p>
    <w:p w14:paraId="50E74526" w14:textId="2D23B6D3" w:rsidR="00B265F7" w:rsidRPr="00521AF2" w:rsidRDefault="00D57C5F" w:rsidP="00D60310">
      <w:pPr>
        <w:pStyle w:val="Heading3"/>
        <w:rPr>
          <w:i/>
          <w:iCs/>
        </w:rPr>
      </w:pPr>
      <w:r w:rsidRPr="00521AF2">
        <w:rPr>
          <w:i/>
          <w:iCs/>
        </w:rPr>
        <w:t>Closing the Gap</w:t>
      </w:r>
    </w:p>
    <w:p w14:paraId="1B22208E" w14:textId="56E5B6EC" w:rsidR="001F24ED" w:rsidRDefault="001F24ED" w:rsidP="00521AF2">
      <w:pPr>
        <w:pStyle w:val="Paragraph"/>
      </w:pPr>
      <w:r>
        <w:t xml:space="preserve">Submitters </w:t>
      </w:r>
      <w:r w:rsidR="00EF186A">
        <w:rPr>
          <w:rFonts w:cstheme="minorHAnsi"/>
        </w:rPr>
        <w:t xml:space="preserve">were supportive </w:t>
      </w:r>
      <w:r w:rsidR="00EF186A">
        <w:t xml:space="preserve">of the ACMA’s work to </w:t>
      </w:r>
      <w:r w:rsidR="004F7DB9" w:rsidRPr="004F7DB9">
        <w:t>help close the gap on digital inclusion</w:t>
      </w:r>
      <w:r w:rsidR="004F7DB9">
        <w:t xml:space="preserve"> and </w:t>
      </w:r>
      <w:r w:rsidR="00EF186A">
        <w:t xml:space="preserve">support the </w:t>
      </w:r>
      <w:r w:rsidR="00EF186A" w:rsidRPr="00F92BB1">
        <w:t xml:space="preserve">Australian Government </w:t>
      </w:r>
      <w:r w:rsidR="00EF186A">
        <w:t>commitment</w:t>
      </w:r>
      <w:r w:rsidR="00EF186A" w:rsidRPr="00F92BB1">
        <w:t xml:space="preserve"> to </w:t>
      </w:r>
      <w:r w:rsidR="004976F8">
        <w:t>T</w:t>
      </w:r>
      <w:r w:rsidR="004976F8" w:rsidRPr="00F645FD">
        <w:t xml:space="preserve">arget 17 of the </w:t>
      </w:r>
      <w:hyperlink r:id="rId28" w:history="1">
        <w:r w:rsidR="004976F8" w:rsidRPr="00C67CE4">
          <w:rPr>
            <w:rStyle w:val="Hyperlink"/>
          </w:rPr>
          <w:t>National</w:t>
        </w:r>
        <w:r w:rsidR="004976F8">
          <w:rPr>
            <w:rStyle w:val="Hyperlink"/>
          </w:rPr>
          <w:t> </w:t>
        </w:r>
        <w:r w:rsidR="004976F8" w:rsidRPr="00C67CE4">
          <w:rPr>
            <w:rStyle w:val="Hyperlink"/>
          </w:rPr>
          <w:t>Agreement on Closing the Gap</w:t>
        </w:r>
      </w:hyperlink>
      <w:r w:rsidR="004976F8">
        <w:t xml:space="preserve"> – t</w:t>
      </w:r>
      <w:r w:rsidR="004976F8" w:rsidRPr="00F645FD">
        <w:t>o achieve equal levels of digital inclusion for Aboriginal and Torres</w:t>
      </w:r>
      <w:r w:rsidR="004976F8">
        <w:t> </w:t>
      </w:r>
      <w:r w:rsidR="004976F8" w:rsidRPr="00F645FD">
        <w:t>Strait Islander people by 2026</w:t>
      </w:r>
      <w:r w:rsidR="00F40D44">
        <w:t>.</w:t>
      </w:r>
      <w:r w:rsidR="00565EEC">
        <w:t xml:space="preserve"> </w:t>
      </w:r>
    </w:p>
    <w:p w14:paraId="2CBEB065" w14:textId="445150DA" w:rsidR="002328E8" w:rsidRDefault="00B079B5" w:rsidP="00521AF2">
      <w:pPr>
        <w:pStyle w:val="Paragraph"/>
      </w:pPr>
      <w:r>
        <w:lastRenderedPageBreak/>
        <w:t xml:space="preserve">One submitter </w:t>
      </w:r>
      <w:r w:rsidR="00654A04">
        <w:t xml:space="preserve">posited that the </w:t>
      </w:r>
      <w:r w:rsidR="00D60310" w:rsidRPr="00D60310">
        <w:t xml:space="preserve">ACMA should </w:t>
      </w:r>
      <w:r w:rsidR="00654A04">
        <w:t xml:space="preserve">look to the </w:t>
      </w:r>
      <w:r w:rsidR="00654A04" w:rsidRPr="009D16F3">
        <w:t>effective</w:t>
      </w:r>
      <w:r w:rsidR="00654A04" w:rsidRPr="00D60310">
        <w:t xml:space="preserve"> delivery</w:t>
      </w:r>
      <w:r w:rsidR="00654A04">
        <w:t xml:space="preserve"> </w:t>
      </w:r>
      <w:r w:rsidR="005C6CCA">
        <w:t xml:space="preserve">of the </w:t>
      </w:r>
      <w:r w:rsidR="00E6476D" w:rsidRPr="00521AF2">
        <w:rPr>
          <w:i/>
          <w:iCs/>
        </w:rPr>
        <w:t>C</w:t>
      </w:r>
      <w:r w:rsidR="005C6CCA" w:rsidRPr="00521AF2">
        <w:rPr>
          <w:i/>
          <w:iCs/>
        </w:rPr>
        <w:t xml:space="preserve">losing the </w:t>
      </w:r>
      <w:r w:rsidR="00E6476D" w:rsidRPr="00521AF2">
        <w:rPr>
          <w:i/>
          <w:iCs/>
        </w:rPr>
        <w:t>G</w:t>
      </w:r>
      <w:r w:rsidR="005C6CCA" w:rsidRPr="00521AF2">
        <w:rPr>
          <w:i/>
          <w:iCs/>
        </w:rPr>
        <w:t xml:space="preserve">ap </w:t>
      </w:r>
      <w:r w:rsidR="005C6CCA">
        <w:t>target</w:t>
      </w:r>
      <w:r w:rsidR="005C45C6">
        <w:t>,</w:t>
      </w:r>
      <w:r w:rsidR="005C6CCA">
        <w:t xml:space="preserve"> while </w:t>
      </w:r>
      <w:r w:rsidR="00D60310" w:rsidRPr="00D60310">
        <w:t>balanc</w:t>
      </w:r>
      <w:r w:rsidR="005C6CCA">
        <w:t>ing</w:t>
      </w:r>
      <w:r w:rsidR="00D60310" w:rsidRPr="00D60310">
        <w:t xml:space="preserve"> the demands for spectrum from satellite and mobile services</w:t>
      </w:r>
      <w:r w:rsidR="005C6CCA">
        <w:t>.</w:t>
      </w:r>
    </w:p>
    <w:p w14:paraId="088A969E" w14:textId="165B4C50" w:rsidR="00FC43F7" w:rsidRDefault="005C45C6" w:rsidP="00521AF2">
      <w:pPr>
        <w:pStyle w:val="Paragraph"/>
      </w:pPr>
      <w:r>
        <w:t>Regarding</w:t>
      </w:r>
      <w:r w:rsidR="003D187D">
        <w:t xml:space="preserve"> </w:t>
      </w:r>
      <w:r w:rsidR="00423831">
        <w:t xml:space="preserve">the role of broadcasting in </w:t>
      </w:r>
      <w:r w:rsidR="00E6476D" w:rsidRPr="00521AF2">
        <w:rPr>
          <w:i/>
          <w:iCs/>
        </w:rPr>
        <w:t>C</w:t>
      </w:r>
      <w:r w:rsidR="00423831" w:rsidRPr="00521AF2">
        <w:rPr>
          <w:i/>
          <w:iCs/>
        </w:rPr>
        <w:t xml:space="preserve">losing the </w:t>
      </w:r>
      <w:r w:rsidR="00E6476D" w:rsidRPr="00521AF2">
        <w:rPr>
          <w:i/>
          <w:iCs/>
        </w:rPr>
        <w:t>G</w:t>
      </w:r>
      <w:r w:rsidR="00423831" w:rsidRPr="00521AF2">
        <w:rPr>
          <w:i/>
          <w:iCs/>
        </w:rPr>
        <w:t>ap</w:t>
      </w:r>
      <w:r w:rsidR="00423831">
        <w:t xml:space="preserve">, one submitter recommended that </w:t>
      </w:r>
      <w:r w:rsidR="00FC43F7">
        <w:t>the Television Research and Policy Development Program and future reforms in delivery of television specifically consider the needs and media consumption preferences of First Nations Australia</w:t>
      </w:r>
      <w:r>
        <w:t>ns</w:t>
      </w:r>
      <w:r w:rsidR="00FC43F7">
        <w:t>, including in regional and remote areas</w:t>
      </w:r>
      <w:r>
        <w:t>, as well as the</w:t>
      </w:r>
      <w:r w:rsidR="00B6262C">
        <w:t xml:space="preserve"> </w:t>
      </w:r>
      <w:r w:rsidR="00FC43F7">
        <w:t xml:space="preserve">ongoing need for </w:t>
      </w:r>
      <w:r w:rsidR="00555407">
        <w:t>digital television</w:t>
      </w:r>
      <w:r w:rsidR="00FC43F7">
        <w:t xml:space="preserve"> services for regional and remote First Nations communities.</w:t>
      </w:r>
    </w:p>
    <w:p w14:paraId="644CD06F" w14:textId="067A5BF1" w:rsidR="002C0964" w:rsidRDefault="002C0964" w:rsidP="00555407">
      <w:pPr>
        <w:pStyle w:val="Heading3"/>
      </w:pPr>
      <w:r>
        <w:t>Our response</w:t>
      </w:r>
    </w:p>
    <w:p w14:paraId="180FE804" w14:textId="5C852FAA" w:rsidR="00D5411D" w:rsidRDefault="00D5411D" w:rsidP="005D0A55">
      <w:pPr>
        <w:pStyle w:val="Paragraph"/>
      </w:pPr>
      <w:r w:rsidRPr="00D5411D">
        <w:t xml:space="preserve">We will </w:t>
      </w:r>
      <w:r>
        <w:t>continue to</w:t>
      </w:r>
      <w:r w:rsidRPr="00D5411D">
        <w:t xml:space="preserve"> work to support initiatives to help close the gap on digital </w:t>
      </w:r>
      <w:r w:rsidR="00535EBE">
        <w:t>inclusion and work to</w:t>
      </w:r>
      <w:r w:rsidR="00535EBE" w:rsidRPr="00535EBE">
        <w:t xml:space="preserve"> ensure Aboriginal and Torres Strait Islander people have access to information and services</w:t>
      </w:r>
      <w:r w:rsidR="008E0F2E">
        <w:t>.</w:t>
      </w:r>
    </w:p>
    <w:p w14:paraId="46FB1992" w14:textId="0D3841BD" w:rsidR="002C0964" w:rsidRDefault="002C0964" w:rsidP="005D0A55">
      <w:pPr>
        <w:pStyle w:val="Paragraph"/>
      </w:pPr>
      <w:r w:rsidRPr="00F80EBF">
        <w:t>The Television Research and Policy Development Program provide</w:t>
      </w:r>
      <w:r w:rsidR="005C45C6">
        <w:t>s</w:t>
      </w:r>
      <w:r w:rsidRPr="00F80EBF">
        <w:t xml:space="preserve"> </w:t>
      </w:r>
      <w:r w:rsidR="005C45C6">
        <w:t>g</w:t>
      </w:r>
      <w:r w:rsidRPr="00F80EBF">
        <w:t>overnment and industry with the technical and market information needed to make choices about the future of free-to-air television services in Australia.</w:t>
      </w:r>
      <w:r w:rsidR="00620040">
        <w:t xml:space="preserve"> </w:t>
      </w:r>
      <w:r w:rsidR="00FB21E7">
        <w:t xml:space="preserve">We will </w:t>
      </w:r>
      <w:r w:rsidR="00FB21E7" w:rsidRPr="004076D2">
        <w:t xml:space="preserve">have regard </w:t>
      </w:r>
      <w:r w:rsidR="00B329EA" w:rsidRPr="004076D2">
        <w:t>to</w:t>
      </w:r>
      <w:r w:rsidR="00FB21E7" w:rsidRPr="007B76EE">
        <w:t xml:space="preserve"> </w:t>
      </w:r>
      <w:r w:rsidR="00FB21E7" w:rsidRPr="00110A6F">
        <w:rPr>
          <w:i/>
          <w:iCs/>
        </w:rPr>
        <w:t>Closing the Gap</w:t>
      </w:r>
      <w:r w:rsidR="00FB21E7">
        <w:t xml:space="preserve"> initiatives when </w:t>
      </w:r>
      <w:r w:rsidR="00CB7E75">
        <w:t>considering digital television services for regional and remote First Nations communities.</w:t>
      </w:r>
    </w:p>
    <w:p w14:paraId="6B87AF8A" w14:textId="77777777" w:rsidR="00B20E54" w:rsidRDefault="00B20E54" w:rsidP="00B20E54">
      <w:pPr>
        <w:pStyle w:val="Heading3"/>
      </w:pPr>
      <w:r>
        <w:t>Net zero emissions</w:t>
      </w:r>
    </w:p>
    <w:p w14:paraId="4F663499" w14:textId="29E87F2F" w:rsidR="00B20E54" w:rsidRDefault="00B20E54" w:rsidP="00110A6F">
      <w:pPr>
        <w:pStyle w:val="Paragraph"/>
      </w:pPr>
      <w:r>
        <w:t xml:space="preserve">Submitters were supportive of the ACMA’s work to support the </w:t>
      </w:r>
      <w:r w:rsidRPr="00F92BB1">
        <w:t xml:space="preserve">Australian Government </w:t>
      </w:r>
      <w:r>
        <w:t>commitment</w:t>
      </w:r>
      <w:r w:rsidRPr="00F92BB1">
        <w:t xml:space="preserve"> to achieving net zero emissions by </w:t>
      </w:r>
      <w:r w:rsidRPr="005C45C6">
        <w:t>2050</w:t>
      </w:r>
      <w:r w:rsidRPr="00F92BB1">
        <w:t>.</w:t>
      </w:r>
      <w:r>
        <w:t xml:space="preserve"> Submitters provided a variety of suggestions </w:t>
      </w:r>
      <w:r w:rsidR="005C45C6">
        <w:t>for</w:t>
      </w:r>
      <w:r>
        <w:t xml:space="preserve"> e</w:t>
      </w:r>
      <w:r w:rsidRPr="00521EDB">
        <w:t xml:space="preserve">fficient use of spectrum </w:t>
      </w:r>
      <w:r>
        <w:t xml:space="preserve">that could be leveraged to reduce emissions and electricity consumption, including </w:t>
      </w:r>
      <w:r w:rsidR="005C45C6">
        <w:t>l</w:t>
      </w:r>
      <w:r w:rsidRPr="007A6BD2">
        <w:t>ow-</w:t>
      </w:r>
      <w:r w:rsidR="005C45C6">
        <w:t>p</w:t>
      </w:r>
      <w:r w:rsidRPr="007A6BD2">
        <w:t xml:space="preserve">ower and self-coordinated </w:t>
      </w:r>
      <w:r w:rsidR="005C45C6">
        <w:t>w</w:t>
      </w:r>
      <w:r w:rsidRPr="007A6BD2">
        <w:t>i-</w:t>
      </w:r>
      <w:r w:rsidR="005C45C6">
        <w:t>f</w:t>
      </w:r>
      <w:r w:rsidRPr="007A6BD2">
        <w:t>i networks</w:t>
      </w:r>
      <w:r>
        <w:t xml:space="preserve">, and DAB radio. </w:t>
      </w:r>
    </w:p>
    <w:p w14:paraId="1EFCA7FA" w14:textId="77777777" w:rsidR="00B20E54" w:rsidRDefault="00B20E54" w:rsidP="00B20E54">
      <w:pPr>
        <w:pStyle w:val="Heading3"/>
      </w:pPr>
      <w:r>
        <w:t>Our response</w:t>
      </w:r>
    </w:p>
    <w:p w14:paraId="5DC4E5DB" w14:textId="3A395004" w:rsidR="00B20E54" w:rsidRPr="002B4596" w:rsidRDefault="00B20E54" w:rsidP="001D377C">
      <w:pPr>
        <w:pStyle w:val="Paragraph"/>
      </w:pPr>
      <w:r>
        <w:t>We will continue to support technological advancements and spectrum arrangements that aim to support more efficient communications</w:t>
      </w:r>
      <w:r w:rsidR="005C45C6">
        <w:t>’</w:t>
      </w:r>
      <w:r>
        <w:t xml:space="preserve"> energy use and </w:t>
      </w:r>
      <w:r w:rsidRPr="003A4E68">
        <w:t>climate initiatives.</w:t>
      </w:r>
    </w:p>
    <w:p w14:paraId="536CEB74" w14:textId="180DFA03" w:rsidR="00D4242C" w:rsidRDefault="00D4242C" w:rsidP="00E20E3C">
      <w:pPr>
        <w:pStyle w:val="Heading2"/>
      </w:pPr>
      <w:bookmarkStart w:id="7" w:name="_Toc146527942"/>
      <w:r>
        <w:t>Market and technology drivers</w:t>
      </w:r>
      <w:bookmarkEnd w:id="7"/>
    </w:p>
    <w:p w14:paraId="191F346C" w14:textId="676FA4EF" w:rsidR="00B778CB" w:rsidRDefault="00B778CB" w:rsidP="000E16C2">
      <w:pPr>
        <w:pStyle w:val="Heading3"/>
      </w:pPr>
      <w:r>
        <w:t>Satellite</w:t>
      </w:r>
      <w:r w:rsidR="00AC0B0E">
        <w:t xml:space="preserve"> communications</w:t>
      </w:r>
    </w:p>
    <w:p w14:paraId="2A50207D" w14:textId="2FE92CB6" w:rsidR="00BC212E" w:rsidRPr="005C45C6" w:rsidRDefault="003441E7" w:rsidP="005C45C6">
      <w:pPr>
        <w:pStyle w:val="Paragraph"/>
      </w:pPr>
      <w:r>
        <w:t xml:space="preserve">Submitters </w:t>
      </w:r>
      <w:r w:rsidR="00EC01F2">
        <w:t xml:space="preserve">were </w:t>
      </w:r>
      <w:r w:rsidR="00557B7C">
        <w:t xml:space="preserve">largely </w:t>
      </w:r>
      <w:r w:rsidR="00EC01F2">
        <w:t xml:space="preserve">supportive of the ACMA’s </w:t>
      </w:r>
      <w:r w:rsidR="00557B7C">
        <w:t>regulatory approach to satellite communications</w:t>
      </w:r>
      <w:r w:rsidR="00FE6BDC">
        <w:t xml:space="preserve">. </w:t>
      </w:r>
      <w:r w:rsidR="00EA0E64">
        <w:t xml:space="preserve">Submitters </w:t>
      </w:r>
      <w:proofErr w:type="gramStart"/>
      <w:r w:rsidR="001E56AD">
        <w:t xml:space="preserve">made </w:t>
      </w:r>
      <w:r w:rsidR="00E53DAC">
        <w:t>reference</w:t>
      </w:r>
      <w:proofErr w:type="gramEnd"/>
      <w:r w:rsidR="00E53DAC">
        <w:t xml:space="preserve"> to a variety of emerging technologies and </w:t>
      </w:r>
      <w:r w:rsidR="00421286">
        <w:t xml:space="preserve">the risk of interference from </w:t>
      </w:r>
      <w:r w:rsidR="00EA0E64">
        <w:t xml:space="preserve">new satellite </w:t>
      </w:r>
      <w:r w:rsidR="00EA0E64" w:rsidRPr="005C45C6">
        <w:t>technologies.</w:t>
      </w:r>
    </w:p>
    <w:p w14:paraId="7246626A" w14:textId="686A056F" w:rsidR="00C43414" w:rsidRPr="005C45C6" w:rsidRDefault="00C43414" w:rsidP="005C45C6">
      <w:pPr>
        <w:pStyle w:val="Paragraph"/>
      </w:pPr>
      <w:r w:rsidRPr="005C45C6">
        <w:t xml:space="preserve">Submitters commented that the ACMA should maintain a ‘light-touch’ regulatory approach rather than adopt policies that require the ACMA to </w:t>
      </w:r>
      <w:r w:rsidRPr="00930EED">
        <w:t>intermediate</w:t>
      </w:r>
      <w:r w:rsidRPr="005C45C6">
        <w:t xml:space="preserve"> private coordination discussions.</w:t>
      </w:r>
    </w:p>
    <w:p w14:paraId="79864AEC" w14:textId="56E4764A" w:rsidR="001F5413" w:rsidRPr="005C45C6" w:rsidRDefault="009469FF" w:rsidP="005C45C6">
      <w:pPr>
        <w:pStyle w:val="Paragraph"/>
      </w:pPr>
      <w:r w:rsidRPr="005C45C6">
        <w:t>A number of</w:t>
      </w:r>
      <w:r w:rsidR="009B7D8F" w:rsidRPr="005C45C6">
        <w:t xml:space="preserve"> submitters </w:t>
      </w:r>
      <w:r w:rsidR="001F5413" w:rsidRPr="005C45C6">
        <w:t>noted that optical (infrared) communications</w:t>
      </w:r>
      <w:r w:rsidR="00930EED">
        <w:t>,</w:t>
      </w:r>
      <w:r w:rsidR="001F5413" w:rsidRPr="005C45C6">
        <w:t xml:space="preserve"> and </w:t>
      </w:r>
      <w:r w:rsidR="000163D5" w:rsidRPr="005C45C6">
        <w:t xml:space="preserve">interest in satellite </w:t>
      </w:r>
      <w:r w:rsidR="001F5413" w:rsidRPr="005C45C6">
        <w:t xml:space="preserve">laser ranging </w:t>
      </w:r>
      <w:r w:rsidR="000163D5" w:rsidRPr="005C45C6">
        <w:t>capability</w:t>
      </w:r>
      <w:r w:rsidR="001F5413" w:rsidRPr="005C45C6">
        <w:t xml:space="preserve"> for space-based applications</w:t>
      </w:r>
      <w:r w:rsidR="00EA45D6">
        <w:t>,</w:t>
      </w:r>
      <w:r w:rsidR="001F5413" w:rsidRPr="005C45C6">
        <w:t xml:space="preserve"> are on the rise</w:t>
      </w:r>
      <w:r w:rsidR="00930EED">
        <w:t>,</w:t>
      </w:r>
      <w:r w:rsidR="001F5413" w:rsidRPr="005C45C6">
        <w:t xml:space="preserve"> </w:t>
      </w:r>
      <w:r w:rsidR="00930EED">
        <w:t>with</w:t>
      </w:r>
      <w:r w:rsidR="001F5413" w:rsidRPr="005C45C6">
        <w:t xml:space="preserve"> stakeholders in this area seek clarity on the licensing process for establishing their ground equipment in Australia.</w:t>
      </w:r>
    </w:p>
    <w:p w14:paraId="13CBE483" w14:textId="126DC945" w:rsidR="009469FF" w:rsidRDefault="009469FF" w:rsidP="005C45C6">
      <w:pPr>
        <w:pStyle w:val="Paragraph"/>
      </w:pPr>
      <w:r w:rsidRPr="005C45C6">
        <w:t>One submitter recommended that the ACMA</w:t>
      </w:r>
      <w:r>
        <w:t xml:space="preserve"> be proactive in its approach to licensing and regulating direct</w:t>
      </w:r>
      <w:r w:rsidR="00930EED">
        <w:t>-</w:t>
      </w:r>
      <w:r>
        <w:t>to</w:t>
      </w:r>
      <w:r w:rsidR="00930EED">
        <w:t>-</w:t>
      </w:r>
      <w:r w:rsidR="00F51830">
        <w:t>mobile</w:t>
      </w:r>
      <w:r>
        <w:t xml:space="preserve"> services with existing terrestrial mobile spectrum bands as they expect first services to be commercially launched as early as 2024. They suggest</w:t>
      </w:r>
      <w:r w:rsidR="00297CBF">
        <w:t>ed</w:t>
      </w:r>
      <w:r>
        <w:t xml:space="preserve"> considering the policy approach proposed by the FCC for the licensing of satellite-based transmission in </w:t>
      </w:r>
      <w:r w:rsidR="00636E06" w:rsidRPr="00636E06">
        <w:t xml:space="preserve">international mobile telecommunication </w:t>
      </w:r>
      <w:r w:rsidR="00636E06">
        <w:t>(</w:t>
      </w:r>
      <w:r>
        <w:t>IMT</w:t>
      </w:r>
      <w:r w:rsidR="00636E06">
        <w:t>)</w:t>
      </w:r>
      <w:r>
        <w:t xml:space="preserve"> bands. </w:t>
      </w:r>
      <w:r w:rsidR="00297CBF">
        <w:t>They</w:t>
      </w:r>
      <w:r>
        <w:t xml:space="preserve"> would like to see the ACMA confirm the licensing arrangements for </w:t>
      </w:r>
      <w:r w:rsidR="006D386D">
        <w:t>direct</w:t>
      </w:r>
      <w:r w:rsidR="00930EED">
        <w:t>-</w:t>
      </w:r>
      <w:r w:rsidR="006D386D">
        <w:t>to</w:t>
      </w:r>
      <w:r w:rsidR="00930EED">
        <w:t>-</w:t>
      </w:r>
      <w:r w:rsidR="006D386D">
        <w:t>mobile</w:t>
      </w:r>
      <w:r>
        <w:t xml:space="preserve"> satellite transmission within IMT bands by the end of 2023</w:t>
      </w:r>
      <w:r w:rsidR="00297CBF">
        <w:t>.</w:t>
      </w:r>
    </w:p>
    <w:p w14:paraId="2C20DFF2" w14:textId="1755BA32" w:rsidR="008827D8" w:rsidRPr="00930EED" w:rsidRDefault="008827D8" w:rsidP="00930EED">
      <w:pPr>
        <w:pStyle w:val="Paragraph"/>
      </w:pPr>
      <w:r>
        <w:lastRenderedPageBreak/>
        <w:t>However, one submitter noted that they held significant concerns with the trend towards new MSS applications such as direct</w:t>
      </w:r>
      <w:r w:rsidR="00930EED">
        <w:t>-</w:t>
      </w:r>
      <w:r>
        <w:t>to</w:t>
      </w:r>
      <w:r w:rsidR="00930EED">
        <w:t>-</w:t>
      </w:r>
      <w:r w:rsidR="00927967">
        <w:t>mobile</w:t>
      </w:r>
      <w:r w:rsidR="00297CBF">
        <w:t>,</w:t>
      </w:r>
      <w:r>
        <w:t xml:space="preserve"> citing that such applications would be difficult to monitor or enforce in a radio quiet zone or under the coordination arrangements currently in place. They noted that care should be taken </w:t>
      </w:r>
      <w:r w:rsidR="00930EED">
        <w:t xml:space="preserve">to ensure </w:t>
      </w:r>
      <w:r w:rsidRPr="00A85A74">
        <w:t>Radio Astronomy Service</w:t>
      </w:r>
      <w:r>
        <w:t xml:space="preserve"> protections can be </w:t>
      </w:r>
      <w:r w:rsidRPr="00930EED">
        <w:t>enforced with operators by creating exclusion zones where no MSS service should be provided, particularly for the 2 GHz band.</w:t>
      </w:r>
    </w:p>
    <w:p w14:paraId="1A388211" w14:textId="66A65801" w:rsidR="00665194" w:rsidRDefault="00665194" w:rsidP="00930EED">
      <w:pPr>
        <w:pStyle w:val="Paragraph"/>
      </w:pPr>
      <w:r w:rsidRPr="00930EED">
        <w:t>One submitter encouraged the ACMA to investigate the impact of major NGSO/LEO operators on Ku/Ka-band operations in Australia</w:t>
      </w:r>
      <w:r w:rsidR="00930EED">
        <w:t>,</w:t>
      </w:r>
      <w:r w:rsidRPr="00930EED">
        <w:t xml:space="preserve"> citing</w:t>
      </w:r>
      <w:r>
        <w:t xml:space="preserve"> the increasing potential for interference in the band due to higher levels of activity. They suggest</w:t>
      </w:r>
      <w:r w:rsidR="00182FA1">
        <w:t>ed</w:t>
      </w:r>
      <w:r>
        <w:t xml:space="preserve"> that the ACMA consult Australian satellite operators on licence applications from prospective NGSO/LEO operators. Similarly, a submitter </w:t>
      </w:r>
      <w:r w:rsidR="006B5F6C">
        <w:t>s</w:t>
      </w:r>
      <w:r>
        <w:t>uggested</w:t>
      </w:r>
      <w:r w:rsidRPr="00FB47D6">
        <w:t xml:space="preserve"> that the ACMA encourage NGSO operators to seek coordination agreements with Australian </w:t>
      </w:r>
      <w:r w:rsidRPr="00A85A74">
        <w:t>Radio Astronomy Service</w:t>
      </w:r>
      <w:r w:rsidRPr="00FB47D6">
        <w:t xml:space="preserve"> and </w:t>
      </w:r>
      <w:r w:rsidRPr="00A85A74">
        <w:t>Space Research Service</w:t>
      </w:r>
      <w:r w:rsidRPr="00A85A74" w:rsidDel="00A85A74">
        <w:t xml:space="preserve"> </w:t>
      </w:r>
      <w:r w:rsidRPr="00FB47D6">
        <w:t>operators</w:t>
      </w:r>
      <w:r>
        <w:t>.</w:t>
      </w:r>
    </w:p>
    <w:p w14:paraId="4A75EDF5" w14:textId="35E3A8D1" w:rsidR="00961BCB" w:rsidRDefault="00961BCB" w:rsidP="00961BCB">
      <w:pPr>
        <w:pStyle w:val="Heading3"/>
      </w:pPr>
      <w:r>
        <w:t>Our response</w:t>
      </w:r>
    </w:p>
    <w:p w14:paraId="516C8DB2" w14:textId="520E7955" w:rsidR="00517552" w:rsidRDefault="00517552" w:rsidP="00CE2E8B">
      <w:r>
        <w:t xml:space="preserve">We are supportive of the innovations that infrared communications systems bring and are seeking information from the space sector to inform any further development of authorisation arrangements </w:t>
      </w:r>
      <w:r w:rsidR="00930EED">
        <w:t xml:space="preserve">for infrared communication systems if </w:t>
      </w:r>
      <w:r>
        <w:t xml:space="preserve">they </w:t>
      </w:r>
      <w:r w:rsidR="00930EED">
        <w:t xml:space="preserve">are </w:t>
      </w:r>
      <w:r>
        <w:t>required.</w:t>
      </w:r>
      <w:r w:rsidR="00B1792B">
        <w:t xml:space="preserve"> </w:t>
      </w:r>
      <w:r w:rsidR="005C119A">
        <w:t>To date</w:t>
      </w:r>
      <w:r w:rsidR="00930EED">
        <w:t>,</w:t>
      </w:r>
      <w:r w:rsidR="005C119A">
        <w:t xml:space="preserve"> </w:t>
      </w:r>
      <w:r w:rsidR="00B1792B">
        <w:t>we have not been approached to authorise any such systems and at this stage no further work is planned.</w:t>
      </w:r>
    </w:p>
    <w:p w14:paraId="14BEA559" w14:textId="7E58C16C" w:rsidR="00C43414" w:rsidRDefault="00C43414" w:rsidP="00C43414">
      <w:r>
        <w:t xml:space="preserve">We have been monitoring interest in infrared communication systems for </w:t>
      </w:r>
      <w:r w:rsidR="00930EED">
        <w:t>several</w:t>
      </w:r>
      <w:r>
        <w:t xml:space="preserve"> years. Growing interest in infrared was identified in our </w:t>
      </w:r>
      <w:hyperlink r:id="rId29" w:history="1">
        <w:r w:rsidR="00930EED">
          <w:rPr>
            <w:rStyle w:val="Hyperlink"/>
          </w:rPr>
          <w:t>FYSO 2021–26</w:t>
        </w:r>
      </w:hyperlink>
      <w:r w:rsidR="007B76EE">
        <w:t>;</w:t>
      </w:r>
      <w:r>
        <w:t xml:space="preserve"> and in August 2022</w:t>
      </w:r>
      <w:r w:rsidR="00930EED">
        <w:t>,</w:t>
      </w:r>
      <w:r>
        <w:t xml:space="preserve"> we reduced licence </w:t>
      </w:r>
      <w:r w:rsidR="0027733C">
        <w:t xml:space="preserve">taxes </w:t>
      </w:r>
      <w:r w:rsidR="007B76EE">
        <w:t>for</w:t>
      </w:r>
      <w:r w:rsidR="00E6682E">
        <w:t xml:space="preserve"> </w:t>
      </w:r>
      <w:r>
        <w:t>infrared systems</w:t>
      </w:r>
      <w:r w:rsidR="00E6682E" w:rsidRPr="00E6682E">
        <w:t xml:space="preserve"> to the minimum tax</w:t>
      </w:r>
      <w:r>
        <w:t xml:space="preserve">. </w:t>
      </w:r>
    </w:p>
    <w:p w14:paraId="4FB9A550" w14:textId="57BFA900" w:rsidR="00CE2E8B" w:rsidRDefault="00692832" w:rsidP="00F17F4B">
      <w:r w:rsidRPr="003400F2">
        <w:t xml:space="preserve">The infrared portion of the electromagnetic spectrum is part of the spectrum between microwaves (300 GHz) to below visible red light (around 430 THz) (1 millimetre to 700 nanometres). </w:t>
      </w:r>
      <w:r>
        <w:t xml:space="preserve">Under </w:t>
      </w:r>
      <w:r w:rsidRPr="004142B7">
        <w:t xml:space="preserve">the </w:t>
      </w:r>
      <w:r w:rsidRPr="00CF13FB">
        <w:t>Radiocommunications Act</w:t>
      </w:r>
      <w:r w:rsidRPr="004142B7">
        <w:t>, radio emissions are any emission of electromagnetic energy of frequencies below 420 THz</w:t>
      </w:r>
      <w:r>
        <w:t>. As such</w:t>
      </w:r>
      <w:r w:rsidR="00930EED">
        <w:t>,</w:t>
      </w:r>
      <w:r>
        <w:t xml:space="preserve"> under </w:t>
      </w:r>
      <w:r w:rsidRPr="003400F2">
        <w:t xml:space="preserve">current </w:t>
      </w:r>
      <w:r>
        <w:t xml:space="preserve">radiocommunication </w:t>
      </w:r>
      <w:r w:rsidRPr="003400F2">
        <w:t xml:space="preserve">regulatory </w:t>
      </w:r>
      <w:r>
        <w:t>arrangements</w:t>
      </w:r>
      <w:r w:rsidR="00930EED">
        <w:t>,</w:t>
      </w:r>
      <w:r>
        <w:t xml:space="preserve"> </w:t>
      </w:r>
      <w:r w:rsidRPr="003400F2">
        <w:t>any earth station</w:t>
      </w:r>
      <w:r>
        <w:t xml:space="preserve"> or</w:t>
      </w:r>
      <w:r w:rsidR="00F76748">
        <w:t xml:space="preserve"> earth</w:t>
      </w:r>
      <w:r>
        <w:t xml:space="preserve"> receive</w:t>
      </w:r>
      <w:r w:rsidR="00F76748">
        <w:t xml:space="preserve"> station </w:t>
      </w:r>
      <w:r w:rsidRPr="003400F2">
        <w:t>operating on frequencies below 420 THz</w:t>
      </w:r>
      <w:r>
        <w:t xml:space="preserve"> requires </w:t>
      </w:r>
      <w:r w:rsidRPr="0005074A">
        <w:t xml:space="preserve">authorisation under the ACMA’s radiocommunications licensing </w:t>
      </w:r>
      <w:r w:rsidR="00322BF2">
        <w:t xml:space="preserve">arrangements </w:t>
      </w:r>
      <w:r>
        <w:t xml:space="preserve">(via an apparatus, class or spectrum licence). Note </w:t>
      </w:r>
      <w:r w:rsidR="00322BF2">
        <w:t xml:space="preserve">that </w:t>
      </w:r>
      <w:r>
        <w:t>system</w:t>
      </w:r>
      <w:r w:rsidR="00322BF2">
        <w:t>s</w:t>
      </w:r>
      <w:r>
        <w:t xml:space="preserve"> using </w:t>
      </w:r>
      <w:r w:rsidRPr="007C5DFE">
        <w:t xml:space="preserve">visible light operating at frequencies above 420 THz are outside the scope of the </w:t>
      </w:r>
      <w:r w:rsidR="003577EA" w:rsidRPr="00F504DC">
        <w:t xml:space="preserve">Radiocommunications </w:t>
      </w:r>
      <w:r w:rsidRPr="00F504DC">
        <w:t xml:space="preserve">Act </w:t>
      </w:r>
      <w:r w:rsidRPr="007C5DFE">
        <w:t>and not subject to regulation administered by the ACMA.</w:t>
      </w:r>
    </w:p>
    <w:p w14:paraId="7AEBD3C2" w14:textId="20867634" w:rsidR="000F216B" w:rsidRDefault="000F216B" w:rsidP="00F17F4B">
      <w:r>
        <w:t>Currently</w:t>
      </w:r>
      <w:r w:rsidR="00503293">
        <w:t>,</w:t>
      </w:r>
      <w:r>
        <w:t xml:space="preserve"> </w:t>
      </w:r>
      <w:r w:rsidR="00503293">
        <w:t xml:space="preserve">licence </w:t>
      </w:r>
      <w:r>
        <w:t>applications for earth station</w:t>
      </w:r>
      <w:r w:rsidR="00503293">
        <w:t>s</w:t>
      </w:r>
      <w:r>
        <w:t xml:space="preserve"> operating in the infrared spectrum would be assessed in accordance with requirements for </w:t>
      </w:r>
      <w:r w:rsidR="00572EC5">
        <w:t>e</w:t>
      </w:r>
      <w:r>
        <w:t>arth/</w:t>
      </w:r>
      <w:r w:rsidR="00572EC5">
        <w:t>e</w:t>
      </w:r>
      <w:r>
        <w:t>arth</w:t>
      </w:r>
      <w:r w:rsidR="00572EC5">
        <w:t>-</w:t>
      </w:r>
      <w:r>
        <w:t>receive licences</w:t>
      </w:r>
      <w:r w:rsidR="00930EED">
        <w:t>,</w:t>
      </w:r>
      <w:r>
        <w:t xml:space="preserve"> as outlined in our p</w:t>
      </w:r>
      <w:r w:rsidRPr="00D665C7">
        <w:t>rocedure</w:t>
      </w:r>
      <w:r>
        <w:t>s</w:t>
      </w:r>
      <w:r w:rsidRPr="00D665C7">
        <w:t xml:space="preserve"> </w:t>
      </w:r>
      <w:r w:rsidR="00930EED">
        <w:t>document</w:t>
      </w:r>
      <w:r w:rsidR="007B76EE">
        <w:t>,</w:t>
      </w:r>
      <w:r w:rsidR="00930EED" w:rsidRPr="00D665C7">
        <w:t xml:space="preserve"> </w:t>
      </w:r>
      <w:hyperlink r:id="rId30" w:history="1">
        <w:r w:rsidR="00930EED" w:rsidRPr="005067B6">
          <w:rPr>
            <w:rStyle w:val="Hyperlink"/>
            <w:i/>
            <w:iCs/>
          </w:rPr>
          <w:t>Submission and processing of applications for earth, earth receive apparatus licences and device registrations under area-wide apparatus licences for fixed earth stations</w:t>
        </w:r>
      </w:hyperlink>
      <w:r>
        <w:t>. For infrared systems</w:t>
      </w:r>
      <w:r w:rsidR="00503293">
        <w:t>,</w:t>
      </w:r>
      <w:r>
        <w:t xml:space="preserve"> as no ITU satellite filing is required</w:t>
      </w:r>
      <w:r w:rsidR="00503293">
        <w:t>,</w:t>
      </w:r>
      <w:r>
        <w:t xml:space="preserve"> there would be </w:t>
      </w:r>
      <w:r w:rsidR="00930EED">
        <w:t>little</w:t>
      </w:r>
      <w:r>
        <w:t xml:space="preserve"> for us to consider. Based on the limited information available to us, our current view is that a ‘light touch’ regulatory approach would be appropriate for infrared space communications systems. We are not aware of the need for coordination requirements between different systems.</w:t>
      </w:r>
    </w:p>
    <w:p w14:paraId="5F894649" w14:textId="14389F23" w:rsidR="00665194" w:rsidRDefault="00665194" w:rsidP="00665194">
      <w:r>
        <w:t xml:space="preserve">Space and </w:t>
      </w:r>
      <w:r w:rsidRPr="009D16F3">
        <w:t>space</w:t>
      </w:r>
      <w:r w:rsidR="00572EC5" w:rsidRPr="009D16F3">
        <w:t>-</w:t>
      </w:r>
      <w:r w:rsidRPr="009D16F3">
        <w:t>receive</w:t>
      </w:r>
      <w:r>
        <w:t xml:space="preserve"> licensees are subject to the requirements of the </w:t>
      </w:r>
      <w:hyperlink r:id="rId31" w:history="1">
        <w:r w:rsidRPr="00033A33">
          <w:rPr>
            <w:rStyle w:val="Hyperlink"/>
          </w:rPr>
          <w:t>relevant band plan</w:t>
        </w:r>
      </w:hyperlink>
      <w:r w:rsidR="00493927">
        <w:t xml:space="preserve">. </w:t>
      </w:r>
      <w:r w:rsidR="00493927">
        <w:lastRenderedPageBreak/>
        <w:t>Licensees</w:t>
      </w:r>
      <w:r>
        <w:t xml:space="preserve"> are responsible for ensuring that their end-user earth station terminals do not cause harmful interference to radioastronomy services in the Radio Quiet Zone. </w:t>
      </w:r>
      <w:r w:rsidR="006D778C">
        <w:t>Protect</w:t>
      </w:r>
      <w:r w:rsidR="009478DC">
        <w:t xml:space="preserve">ion of the Radio Quiet Zone is addressed in our </w:t>
      </w:r>
      <w:r w:rsidR="00071223">
        <w:t xml:space="preserve">procedures </w:t>
      </w:r>
      <w:r w:rsidR="00572EC5">
        <w:t xml:space="preserve">document, </w:t>
      </w:r>
      <w:hyperlink r:id="rId32" w:history="1">
        <w:r w:rsidR="00071223" w:rsidRPr="00F52BFB">
          <w:rPr>
            <w:rStyle w:val="Hyperlink"/>
            <w:i/>
            <w:iCs/>
          </w:rPr>
          <w:t>Submission and processing of applications for space and space receive apparatus licences</w:t>
        </w:r>
      </w:hyperlink>
      <w:r w:rsidR="00572EC5" w:rsidRPr="00F52BFB">
        <w:rPr>
          <w:rStyle w:val="Hyperlink"/>
          <w:color w:val="auto"/>
          <w:u w:val="none"/>
        </w:rPr>
        <w:t>.</w:t>
      </w:r>
      <w:r w:rsidR="00176D73">
        <w:rPr>
          <w:rStyle w:val="FootnoteReference"/>
        </w:rPr>
        <w:footnoteReference w:id="2"/>
      </w:r>
      <w:r w:rsidR="00572EC5">
        <w:t xml:space="preserve"> </w:t>
      </w:r>
      <w:r>
        <w:t xml:space="preserve">To increase the visibility of this obligation and make it explicit to licensees, </w:t>
      </w:r>
      <w:r w:rsidR="00F87FD0">
        <w:t xml:space="preserve">the </w:t>
      </w:r>
      <w:r w:rsidR="00C75472">
        <w:t>procedures</w:t>
      </w:r>
      <w:r w:rsidR="00F87FD0">
        <w:t xml:space="preserve"> </w:t>
      </w:r>
      <w:r w:rsidR="00DF5D3B">
        <w:t xml:space="preserve">generally result in </w:t>
      </w:r>
      <w:r w:rsidR="00F87FD0">
        <w:t xml:space="preserve">that </w:t>
      </w:r>
      <w:r>
        <w:t>Special Condition RQZ1</w:t>
      </w:r>
      <w:r w:rsidR="00247595">
        <w:rPr>
          <w:rStyle w:val="FootnoteReference"/>
        </w:rPr>
        <w:footnoteReference w:id="3"/>
      </w:r>
      <w:r>
        <w:t xml:space="preserve"> </w:t>
      </w:r>
      <w:r w:rsidR="00DF5D3B">
        <w:t xml:space="preserve">being imposed </w:t>
      </w:r>
      <w:r>
        <w:t>to space</w:t>
      </w:r>
      <w:r w:rsidR="00572EC5">
        <w:t>-</w:t>
      </w:r>
      <w:r>
        <w:t>receive licences.</w:t>
      </w:r>
    </w:p>
    <w:p w14:paraId="227EC5EE" w14:textId="23564D68" w:rsidR="00F93688" w:rsidRDefault="00927A75" w:rsidP="00665194">
      <w:r w:rsidRPr="00927A75">
        <w:t>We are closely monitoring developments that enable consumer mobile smartphones to communicate directly with satellite systems (direct-to-mobile services), as well as development of supporting regulatory frameworks</w:t>
      </w:r>
      <w:r>
        <w:t xml:space="preserve">. </w:t>
      </w:r>
      <w:r w:rsidR="00C3144D" w:rsidRPr="00C3144D">
        <w:t xml:space="preserve"> These developments</w:t>
      </w:r>
      <w:r w:rsidR="00C3144D">
        <w:t xml:space="preserve"> </w:t>
      </w:r>
      <w:r w:rsidR="00C3144D" w:rsidRPr="00C3144D">
        <w:t xml:space="preserve">are in the early stages of maturity. Initially, they will allow some smartphones or those on certain networks to carry out limited communications </w:t>
      </w:r>
      <w:r w:rsidR="007B76EE" w:rsidRPr="00C3144D">
        <w:t xml:space="preserve">– such as text or emergency messaging – </w:t>
      </w:r>
      <w:r w:rsidR="00C3144D" w:rsidRPr="00C3144D">
        <w:t>with satellite networks as an option in rural and remote areas where there is no terrestrial mobile coverage. Over time, increased capabilities may be possible.</w:t>
      </w:r>
      <w:r w:rsidR="00FA245C">
        <w:t xml:space="preserve"> We discuss these developments in more detail in the FYSO</w:t>
      </w:r>
      <w:r w:rsidR="003F186E">
        <w:t xml:space="preserve"> 2023</w:t>
      </w:r>
      <w:r w:rsidR="007B76EE">
        <w:t>–</w:t>
      </w:r>
      <w:r w:rsidR="003F186E">
        <w:t>28</w:t>
      </w:r>
      <w:r w:rsidR="00FA245C">
        <w:t>.</w:t>
      </w:r>
    </w:p>
    <w:p w14:paraId="1467AE8C" w14:textId="540BC904" w:rsidR="00631B8A" w:rsidRDefault="00631B8A" w:rsidP="00665194">
      <w:r w:rsidRPr="00631B8A">
        <w:t xml:space="preserve">We </w:t>
      </w:r>
      <w:r>
        <w:t xml:space="preserve">will </w:t>
      </w:r>
      <w:r w:rsidRPr="00631B8A">
        <w:t xml:space="preserve">further consider the applicable regulatory requirements to identify whether the current regulatory framework is fit for purpose. This will involve </w:t>
      </w:r>
      <w:r w:rsidR="007B0E22" w:rsidRPr="007B0E22">
        <w:t>further engagement</w:t>
      </w:r>
      <w:r w:rsidR="007B0E22">
        <w:t xml:space="preserve"> </w:t>
      </w:r>
      <w:r w:rsidRPr="00631B8A">
        <w:t xml:space="preserve"> with stakeholders during Q4 2023to explore the issues that </w:t>
      </w:r>
      <w:r w:rsidR="00CD11CA">
        <w:t xml:space="preserve">IMT satellite </w:t>
      </w:r>
      <w:r w:rsidRPr="00631B8A">
        <w:t xml:space="preserve">direct-to-mobile (and other satellite use of non-satellite bands) systems raise. This will inform </w:t>
      </w:r>
      <w:r w:rsidR="00572EC5">
        <w:t>if</w:t>
      </w:r>
      <w:r w:rsidR="00572EC5" w:rsidRPr="00631B8A">
        <w:t xml:space="preserve"> </w:t>
      </w:r>
      <w:r w:rsidRPr="00631B8A">
        <w:t xml:space="preserve">there is a need to formally investigate possible changes to the regulatory framework (triggering a formal review and consultation process) or whether the framework (and the implications for </w:t>
      </w:r>
      <w:r w:rsidR="00CD11CA">
        <w:t xml:space="preserve">IMT satellite </w:t>
      </w:r>
      <w:r w:rsidRPr="00631B8A">
        <w:t>direct-to-mobile) is fit for purpose as is</w:t>
      </w:r>
      <w:r w:rsidR="00CD11CA">
        <w:t>.</w:t>
      </w:r>
      <w:r w:rsidRPr="00631B8A">
        <w:t xml:space="preserve"> </w:t>
      </w:r>
    </w:p>
    <w:p w14:paraId="1D2C5E2E" w14:textId="7BD1E02D" w:rsidR="0070244B" w:rsidRDefault="0070244B" w:rsidP="0070244B">
      <w:pPr>
        <w:pStyle w:val="Heading2"/>
      </w:pPr>
      <w:bookmarkStart w:id="9" w:name="_Toc146527943"/>
      <w:r>
        <w:t>W</w:t>
      </w:r>
      <w:r w:rsidR="006B05EF">
        <w:t xml:space="preserve">ireless </w:t>
      </w:r>
      <w:r w:rsidR="00572EC5">
        <w:t>b</w:t>
      </w:r>
      <w:r w:rsidR="006B05EF">
        <w:t>roadband</w:t>
      </w:r>
      <w:bookmarkEnd w:id="9"/>
    </w:p>
    <w:p w14:paraId="73822A4E" w14:textId="5BCF407F" w:rsidR="008D7EBF" w:rsidRPr="008D7EBF" w:rsidRDefault="008D7EBF" w:rsidP="008D7EBF">
      <w:pPr>
        <w:pStyle w:val="Heading3"/>
      </w:pPr>
      <w:r w:rsidRPr="008D7EBF">
        <w:t>Arrangements in 1.5 GHz, 1.9 GHz and sub</w:t>
      </w:r>
      <w:r w:rsidR="00572EC5">
        <w:t>-</w:t>
      </w:r>
      <w:r w:rsidRPr="008D7EBF">
        <w:t>1 GHz bands</w:t>
      </w:r>
    </w:p>
    <w:p w14:paraId="2978F583" w14:textId="3848BE5E" w:rsidR="0070244B" w:rsidRDefault="00C226D9" w:rsidP="00717EE2">
      <w:r>
        <w:t>Submitters</w:t>
      </w:r>
      <w:r w:rsidR="00BF7AA3">
        <w:t xml:space="preserve"> were broadly </w:t>
      </w:r>
      <w:r>
        <w:t xml:space="preserve">supportive of the </w:t>
      </w:r>
      <w:r w:rsidR="00EB72EB" w:rsidRPr="00EB72EB">
        <w:t xml:space="preserve">ACMA’s efforts for </w:t>
      </w:r>
      <w:r w:rsidR="004016E2">
        <w:t xml:space="preserve">the </w:t>
      </w:r>
      <w:r w:rsidR="00EB72EB" w:rsidRPr="00EB72EB">
        <w:t xml:space="preserve">preliminary replanning of the 1.9 GHz band </w:t>
      </w:r>
      <w:r w:rsidR="00572EC5">
        <w:t xml:space="preserve">to </w:t>
      </w:r>
      <w:r w:rsidR="00572EC5" w:rsidRPr="00EB72EB">
        <w:t>enabl</w:t>
      </w:r>
      <w:r w:rsidR="00572EC5">
        <w:t>e</w:t>
      </w:r>
      <w:r w:rsidR="00572EC5" w:rsidRPr="00EB72EB">
        <w:t xml:space="preserve"> </w:t>
      </w:r>
      <w:r w:rsidR="00EB72EB" w:rsidRPr="00EB72EB">
        <w:t xml:space="preserve">operation of various </w:t>
      </w:r>
      <w:r w:rsidR="00572EC5">
        <w:t>wireless broadband (</w:t>
      </w:r>
      <w:r w:rsidR="00EB72EB" w:rsidRPr="00EB72EB">
        <w:t>WBB</w:t>
      </w:r>
      <w:r w:rsidR="00572EC5">
        <w:t>)</w:t>
      </w:r>
      <w:r w:rsidR="00EB72EB" w:rsidRPr="00EB72EB">
        <w:t xml:space="preserve"> applications</w:t>
      </w:r>
      <w:r w:rsidR="009B1E22">
        <w:t xml:space="preserve">. </w:t>
      </w:r>
      <w:r>
        <w:t xml:space="preserve">One submitter voiced support for </w:t>
      </w:r>
      <w:r w:rsidR="00EB72EB" w:rsidRPr="00EB72EB">
        <w:t>replanning the 1.5 GHz band</w:t>
      </w:r>
      <w:r>
        <w:t>.</w:t>
      </w:r>
      <w:r w:rsidR="009B1E22">
        <w:t xml:space="preserve"> Another</w:t>
      </w:r>
      <w:r w:rsidR="00B93CF0">
        <w:t xml:space="preserve"> submitter </w:t>
      </w:r>
      <w:r w:rsidR="002E6144">
        <w:t xml:space="preserve">requested that arrangements be introduced </w:t>
      </w:r>
      <w:r w:rsidR="00C32A87">
        <w:t>for</w:t>
      </w:r>
      <w:r w:rsidR="0070244B">
        <w:t xml:space="preserve"> access </w:t>
      </w:r>
      <w:r w:rsidR="00C32A87">
        <w:t xml:space="preserve">to </w:t>
      </w:r>
      <w:r w:rsidR="0070244B">
        <w:t xml:space="preserve">sub-1 GHz bands for WBB use in underground mines. </w:t>
      </w:r>
      <w:r w:rsidR="00A16E22">
        <w:t>They suggested that the</w:t>
      </w:r>
      <w:r w:rsidR="0070244B">
        <w:t xml:space="preserve"> </w:t>
      </w:r>
      <w:r w:rsidR="002A7E99" w:rsidRPr="002A7E99">
        <w:t>Radiocommunications (Low Interference Potential Devices) Class Licence 2015 (</w:t>
      </w:r>
      <w:r w:rsidR="0070244B">
        <w:t>LIPD class licence</w:t>
      </w:r>
      <w:r w:rsidR="00375BBE">
        <w:t>)</w:t>
      </w:r>
      <w:r w:rsidR="0070244B">
        <w:t xml:space="preserve"> </w:t>
      </w:r>
      <w:r w:rsidR="00A16E22">
        <w:t xml:space="preserve">could be revised to accommodate </w:t>
      </w:r>
      <w:r w:rsidR="00572EC5">
        <w:t>this</w:t>
      </w:r>
      <w:r w:rsidR="00E03A3B">
        <w:t xml:space="preserve"> while</w:t>
      </w:r>
      <w:r w:rsidR="0070244B">
        <w:t xml:space="preserve"> includ</w:t>
      </w:r>
      <w:r w:rsidR="00E03A3B">
        <w:t>ing</w:t>
      </w:r>
      <w:r w:rsidR="0070244B">
        <w:t xml:space="preserve"> strong protective measures</w:t>
      </w:r>
      <w:r w:rsidR="0026242F">
        <w:t>.</w:t>
      </w:r>
      <w:r w:rsidR="00E03A3B">
        <w:t xml:space="preserve"> </w:t>
      </w:r>
    </w:p>
    <w:p w14:paraId="7A2C773C" w14:textId="05FA3DB5" w:rsidR="00201A6F" w:rsidRDefault="00201A6F" w:rsidP="00201A6F">
      <w:pPr>
        <w:pStyle w:val="Heading3"/>
      </w:pPr>
      <w:r>
        <w:t>Our response</w:t>
      </w:r>
    </w:p>
    <w:p w14:paraId="7A7318C0" w14:textId="0E25FECF" w:rsidR="000916DD" w:rsidRDefault="0070244B" w:rsidP="0070244B">
      <w:r w:rsidRPr="0081748F">
        <w:t xml:space="preserve">Submissions to our recent consultation on updates to the LIPD </w:t>
      </w:r>
      <w:r w:rsidR="0081748F" w:rsidRPr="008E4C46">
        <w:t>c</w:t>
      </w:r>
      <w:r w:rsidRPr="0081748F">
        <w:t xml:space="preserve">lass </w:t>
      </w:r>
      <w:r w:rsidR="0081748F" w:rsidRPr="008E4C46">
        <w:t>l</w:t>
      </w:r>
      <w:r w:rsidRPr="0081748F">
        <w:t>icence indicated</w:t>
      </w:r>
      <w:r>
        <w:t xml:space="preserve"> little demand for access to underground WBB in </w:t>
      </w:r>
      <w:r w:rsidR="00A07826">
        <w:t>spectrum-</w:t>
      </w:r>
      <w:r>
        <w:t xml:space="preserve">licensed space. </w:t>
      </w:r>
      <w:r w:rsidR="009D7413">
        <w:t>We are</w:t>
      </w:r>
      <w:r>
        <w:t>, therefore, unlikely to pursue the concept in its current form in the near term. However, we remain open to further discussion on the issue, and will continue to monitor developments in domestic demand and international deployments, including potential consideration of alternative regulatory options and/or frequency bands.</w:t>
      </w:r>
    </w:p>
    <w:p w14:paraId="7114CEDA" w14:textId="77777777" w:rsidR="00A10F31" w:rsidRDefault="00A10F31" w:rsidP="00A10F31">
      <w:pPr>
        <w:pStyle w:val="Heading3"/>
      </w:pPr>
      <w:r>
        <w:t>5G/6G</w:t>
      </w:r>
    </w:p>
    <w:p w14:paraId="46507D34" w14:textId="3CB3D416" w:rsidR="00A10F31" w:rsidRDefault="00A10F31" w:rsidP="00A10F31">
      <w:r w:rsidRPr="006E108C">
        <w:t>Access to spectrum to support 5G use-cases</w:t>
      </w:r>
      <w:r>
        <w:t xml:space="preserve">, including </w:t>
      </w:r>
      <w:r w:rsidRPr="00F65C39">
        <w:t>5G</w:t>
      </w:r>
      <w:r>
        <w:t xml:space="preserve"> </w:t>
      </w:r>
      <w:r w:rsidR="00D97385">
        <w:t>WBB</w:t>
      </w:r>
      <w:r w:rsidR="007769E7">
        <w:t xml:space="preserve"> </w:t>
      </w:r>
      <w:r>
        <w:t xml:space="preserve">and the upcoming mid-band spectrum allocations was </w:t>
      </w:r>
      <w:r w:rsidRPr="006E108C">
        <w:t>the focus of many submitters.</w:t>
      </w:r>
      <w:r>
        <w:t xml:space="preserve"> </w:t>
      </w:r>
      <w:r w:rsidR="00572EC5">
        <w:t>A</w:t>
      </w:r>
      <w:r>
        <w:t>rrangements to support the future deployment of 6G</w:t>
      </w:r>
      <w:r w:rsidRPr="006E108C">
        <w:t xml:space="preserve"> </w:t>
      </w:r>
      <w:r>
        <w:t xml:space="preserve">was of interest across a range of bands, from </w:t>
      </w:r>
      <w:r w:rsidRPr="00996C75">
        <w:t>460–694 MHz</w:t>
      </w:r>
      <w:r>
        <w:t xml:space="preserve"> through to the </w:t>
      </w:r>
      <w:r w:rsidRPr="00996C75">
        <w:t>mid</w:t>
      </w:r>
      <w:r>
        <w:t>-</w:t>
      </w:r>
      <w:r w:rsidRPr="00996C75">
        <w:t>bands 7–2</w:t>
      </w:r>
      <w:r>
        <w:t xml:space="preserve">4 </w:t>
      </w:r>
      <w:r w:rsidRPr="00996C75">
        <w:t>GHz</w:t>
      </w:r>
      <w:r>
        <w:t>.</w:t>
      </w:r>
    </w:p>
    <w:p w14:paraId="18DFFF0C" w14:textId="04E8707E" w:rsidR="00A10F31" w:rsidRDefault="00A10F31" w:rsidP="00A10F31">
      <w:r>
        <w:lastRenderedPageBreak/>
        <w:t xml:space="preserve">With the rollout of 5G technology well underway, submitters commented on the role of 5G in the ACMA’s workplan and broader </w:t>
      </w:r>
      <w:r w:rsidR="00572EC5">
        <w:t>g</w:t>
      </w:r>
      <w:r>
        <w:t xml:space="preserve">overnment policy, as well as the applicability of devices being developed to enhance connectivity through 5G. </w:t>
      </w:r>
    </w:p>
    <w:p w14:paraId="644829F4" w14:textId="31AD9FC5" w:rsidR="00A10F31" w:rsidRDefault="00A10F31" w:rsidP="008E4C46">
      <w:pPr>
        <w:keepNext/>
        <w:keepLines/>
      </w:pPr>
      <w:r>
        <w:t xml:space="preserve">One submitter noted how the advances in 5G technology support growth in major industries including agriculture, energy, smart cities and transport, while another submitter urged the ACMA to continue to ensure the regulatory framework does not inhibit the adoption of new 5G connectivity distribution methods, such as connectivity distribution via vehicles, tethered and non-tethered drones and devices. </w:t>
      </w:r>
    </w:p>
    <w:p w14:paraId="3F7E5121" w14:textId="21F381F0" w:rsidR="00A10F31" w:rsidRDefault="00A10F31" w:rsidP="008E4C46">
      <w:pPr>
        <w:keepNext/>
        <w:keepLines/>
      </w:pPr>
      <w:r>
        <w:t xml:space="preserve">However, one submitter expressed concern around </w:t>
      </w:r>
      <w:r w:rsidRPr="0032019F">
        <w:t>the impact of 5G/6G technology on the microwave bands</w:t>
      </w:r>
      <w:r>
        <w:t xml:space="preserve"> and the potential the rollout of 5G technologies may have to interfere with </w:t>
      </w:r>
      <w:r w:rsidRPr="0032019F">
        <w:t>frequencies used by life-saving services</w:t>
      </w:r>
      <w:r w:rsidR="007676B0">
        <w:t>,</w:t>
      </w:r>
      <w:r w:rsidRPr="0032019F">
        <w:t xml:space="preserve"> such as weather forecasts and warnings.</w:t>
      </w:r>
      <w:r>
        <w:t xml:space="preserve"> Another submitter expressed their concerns that the </w:t>
      </w:r>
      <w:r w:rsidR="007676B0">
        <w:t>g</w:t>
      </w:r>
      <w:r>
        <w:t xml:space="preserve">overnment’s Statement of Expectations and the ACMA’s Statement of Intent do not specifically identify the economic and productivity benefits of 5G to the broader economy as a policy priority. </w:t>
      </w:r>
    </w:p>
    <w:p w14:paraId="6BFB3082" w14:textId="3232BC86" w:rsidR="00A10F31" w:rsidRDefault="00A10F31" w:rsidP="00A10F31">
      <w:r>
        <w:t xml:space="preserve">Looking </w:t>
      </w:r>
      <w:r w:rsidRPr="009D16F3">
        <w:t>toward</w:t>
      </w:r>
      <w:r>
        <w:t xml:space="preserve"> 6G, submitters encouraged the ACMA to closely monitor </w:t>
      </w:r>
      <w:r w:rsidRPr="00CA3B05">
        <w:t>5G</w:t>
      </w:r>
      <w:r w:rsidR="007676B0">
        <w:t>-</w:t>
      </w:r>
      <w:r w:rsidRPr="00CA3B05">
        <w:t xml:space="preserve">Advanced and 6G </w:t>
      </w:r>
      <w:r w:rsidR="00EB0CA8">
        <w:t>developments and</w:t>
      </w:r>
      <w:r>
        <w:t xml:space="preserve"> consider outlining initial plans for 6G in next year’s FYSO. One submitter expressed the view that MNOs need to have large contiguous blocks of spectrum to ensure effective competition and efficient supply of mobile </w:t>
      </w:r>
      <w:r w:rsidR="00EB0CA8">
        <w:t>services and</w:t>
      </w:r>
      <w:r>
        <w:t xml:space="preserve"> warned against assuming that future demand for 5G and 6G can be met by existing spectrum holdings.</w:t>
      </w:r>
      <w:r w:rsidRPr="007A096F">
        <w:t xml:space="preserve"> </w:t>
      </w:r>
      <w:r>
        <w:t xml:space="preserve">Another submitter noted their expectation, with the rollout of 6G, of changes in relation to the </w:t>
      </w:r>
      <w:r w:rsidR="00375BBE">
        <w:t>ultra-high frequency (</w:t>
      </w:r>
      <w:r>
        <w:t>UHF</w:t>
      </w:r>
      <w:r w:rsidR="00375BBE">
        <w:t>)</w:t>
      </w:r>
      <w:r>
        <w:t xml:space="preserve"> band that is currently used for television broadcasting purposes.</w:t>
      </w:r>
    </w:p>
    <w:p w14:paraId="1E80DD0C" w14:textId="14A25C9E" w:rsidR="00A10F31" w:rsidRDefault="00A10F31" w:rsidP="00A10F31">
      <w:r>
        <w:t>S</w:t>
      </w:r>
      <w:r w:rsidRPr="00313087">
        <w:t>ubmitters voiced different opinions on the use</w:t>
      </w:r>
      <w:r>
        <w:t xml:space="preserve"> of the 7–24 GHz frequency range for potential deployment of 6G services. One submitter noted that this frequency band is congested, and consideration should be given to satellite services for which this part of the spectrum is important. They stated that </w:t>
      </w:r>
      <w:r w:rsidR="005E3CC2">
        <w:t xml:space="preserve">because </w:t>
      </w:r>
      <w:r>
        <w:t xml:space="preserve">6G use-cases and quality-of-service requirements </w:t>
      </w:r>
      <w:r w:rsidR="005E3CC2">
        <w:t xml:space="preserve">have </w:t>
      </w:r>
      <w:r>
        <w:t>not yet</w:t>
      </w:r>
      <w:r w:rsidR="005E3CC2">
        <w:t xml:space="preserve"> been</w:t>
      </w:r>
      <w:r>
        <w:t xml:space="preserve"> defined, they disagreed with the development of a preliminary agenda item for WRC-27 to conduct ITU-R studies for possible IMT identification in the 7–24 GHz frequency range. Another submitter expressed similar views, noting that ongoing access to this band by incumbent users must be prioritised.</w:t>
      </w:r>
    </w:p>
    <w:p w14:paraId="50ACC58A" w14:textId="77777777" w:rsidR="00A10F31" w:rsidRDefault="00A10F31" w:rsidP="00A10F31">
      <w:pPr>
        <w:pStyle w:val="Heading3"/>
      </w:pPr>
      <w:r>
        <w:t>Our response</w:t>
      </w:r>
    </w:p>
    <w:p w14:paraId="69E701C5" w14:textId="3A752DD7" w:rsidR="00BC5C36" w:rsidRDefault="00336407" w:rsidP="00A10F31">
      <w:r>
        <w:t>W</w:t>
      </w:r>
      <w:r w:rsidR="00483D90">
        <w:t>e</w:t>
      </w:r>
      <w:r w:rsidR="00233221">
        <w:t xml:space="preserve"> maintain a rolling program of reviewing bands an</w:t>
      </w:r>
      <w:r w:rsidR="006103C0">
        <w:t>d</w:t>
      </w:r>
      <w:r w:rsidR="00233221">
        <w:t xml:space="preserve"> updating technical frameworks as appropriate to support new generations of technologies.</w:t>
      </w:r>
      <w:r>
        <w:t xml:space="preserve"> As noted in our </w:t>
      </w:r>
      <w:hyperlink r:id="rId33" w:history="1">
        <w:r w:rsidRPr="003A617D">
          <w:rPr>
            <w:rStyle w:val="Hyperlink"/>
            <w:i/>
            <w:iCs/>
          </w:rPr>
          <w:t>Terahertz use-cases and regulatory models information paper</w:t>
        </w:r>
      </w:hyperlink>
      <w:r>
        <w:t>, we are aware of developing i</w:t>
      </w:r>
      <w:r w:rsidRPr="00D01FFA">
        <w:t xml:space="preserve">nterest in the terahertz range </w:t>
      </w:r>
      <w:r>
        <w:t xml:space="preserve">for the future deployment of </w:t>
      </w:r>
      <w:r w:rsidRPr="00D01FFA">
        <w:t>6G technologies</w:t>
      </w:r>
      <w:r>
        <w:t xml:space="preserve">. </w:t>
      </w:r>
      <w:r w:rsidR="00C340EB">
        <w:t xml:space="preserve">Noting that </w:t>
      </w:r>
      <w:r w:rsidR="00E7392A">
        <w:t xml:space="preserve">6G </w:t>
      </w:r>
      <w:r w:rsidR="000E0CDA">
        <w:t>i</w:t>
      </w:r>
      <w:r w:rsidR="00E7392A">
        <w:t xml:space="preserve">s very much at </w:t>
      </w:r>
      <w:r w:rsidR="00F13C35">
        <w:t>the early</w:t>
      </w:r>
      <w:r w:rsidR="000E0CDA">
        <w:t xml:space="preserve"> </w:t>
      </w:r>
      <w:r w:rsidR="00F13C35">
        <w:t xml:space="preserve">stages of </w:t>
      </w:r>
      <w:r w:rsidR="000E0CDA">
        <w:t xml:space="preserve">its development cycle (influencing what the ACMA </w:t>
      </w:r>
      <w:r w:rsidR="004B037F">
        <w:t>can do</w:t>
      </w:r>
      <w:r w:rsidR="00C340EB">
        <w:t xml:space="preserve"> at this stage</w:t>
      </w:r>
      <w:r w:rsidR="004B037F">
        <w:t>)</w:t>
      </w:r>
      <w:r w:rsidR="005E3CC2">
        <w:t>,</w:t>
      </w:r>
      <w:r w:rsidR="004B037F">
        <w:t xml:space="preserve"> we are </w:t>
      </w:r>
      <w:r w:rsidR="00AD42F4">
        <w:t>undertaking</w:t>
      </w:r>
      <w:r w:rsidR="00C340EB">
        <w:t xml:space="preserve"> activities to </w:t>
      </w:r>
      <w:r w:rsidR="00AD42F4">
        <w:t>prepare</w:t>
      </w:r>
      <w:r w:rsidR="00C340EB">
        <w:t xml:space="preserve"> for this next </w:t>
      </w:r>
      <w:r w:rsidR="00AD42F4">
        <w:t xml:space="preserve">technology development. </w:t>
      </w:r>
    </w:p>
    <w:p w14:paraId="04C295F4" w14:textId="5429B4AC" w:rsidR="00124B54" w:rsidRDefault="000E3023" w:rsidP="00A10F31">
      <w:r>
        <w:t xml:space="preserve">For example, we have the upper 6 GHz band on our work program for consideration in the first half of 2024. </w:t>
      </w:r>
      <w:r w:rsidR="00292FBD">
        <w:t xml:space="preserve">Given the </w:t>
      </w:r>
      <w:r w:rsidR="00A06401">
        <w:t xml:space="preserve">frequency range of operation, the potential </w:t>
      </w:r>
      <w:r w:rsidR="00292FBD">
        <w:t xml:space="preserve">bandwidths available and </w:t>
      </w:r>
      <w:r w:rsidR="00A06401">
        <w:t>likely</w:t>
      </w:r>
      <w:r w:rsidR="00292FBD">
        <w:t xml:space="preserve"> timing of availability around the world, we are </w:t>
      </w:r>
      <w:r w:rsidR="00124B54">
        <w:t>aware</w:t>
      </w:r>
      <w:r w:rsidR="00292FBD">
        <w:t xml:space="preserve"> that the 6 GHz band is a likely global candidate for early 6G deployments. </w:t>
      </w:r>
      <w:r w:rsidR="00490656">
        <w:t>We will consider the potential for WBB (including 6G) in this band</w:t>
      </w:r>
      <w:r w:rsidR="005E3CC2">
        <w:t>,</w:t>
      </w:r>
      <w:r w:rsidR="00490656">
        <w:t xml:space="preserve"> along with other new uses such as wi-fi, and other incumbent uses, when we undertake the review of the band. </w:t>
      </w:r>
    </w:p>
    <w:p w14:paraId="7B27CBA3" w14:textId="55986A77" w:rsidR="00AC63B9" w:rsidRDefault="00D004BE" w:rsidP="00AC63B9">
      <w:r>
        <w:t xml:space="preserve">WRC-23 outcomes </w:t>
      </w:r>
      <w:r w:rsidR="000E3023">
        <w:t xml:space="preserve">will </w:t>
      </w:r>
      <w:r>
        <w:t xml:space="preserve">provide an indication of what other </w:t>
      </w:r>
      <w:r w:rsidR="0031686B">
        <w:t>mi</w:t>
      </w:r>
      <w:r w:rsidR="00490656">
        <w:t>d</w:t>
      </w:r>
      <w:r w:rsidR="0031686B">
        <w:t>-bands between 7</w:t>
      </w:r>
      <w:r w:rsidR="005E3CC2">
        <w:t>–</w:t>
      </w:r>
      <w:r w:rsidR="0031686B">
        <w:t xml:space="preserve">24 GHz </w:t>
      </w:r>
      <w:r w:rsidR="00284D02">
        <w:t xml:space="preserve">may become of interest globally for 6G. </w:t>
      </w:r>
      <w:r w:rsidR="00490656">
        <w:t>W</w:t>
      </w:r>
      <w:r w:rsidR="000E3023">
        <w:t>e</w:t>
      </w:r>
      <w:r w:rsidR="000E3023" w:rsidRPr="001D0571">
        <w:t xml:space="preserve"> expect </w:t>
      </w:r>
      <w:r w:rsidR="00490656">
        <w:t xml:space="preserve">this will inform updates to our </w:t>
      </w:r>
      <w:r w:rsidR="00490656">
        <w:lastRenderedPageBreak/>
        <w:t>work program in the 2024</w:t>
      </w:r>
      <w:r w:rsidR="005E3CC2">
        <w:t>–</w:t>
      </w:r>
      <w:r w:rsidR="00490656">
        <w:t xml:space="preserve">29 </w:t>
      </w:r>
      <w:r w:rsidR="000E3023" w:rsidRPr="001D0571">
        <w:t>FYSO</w:t>
      </w:r>
      <w:r w:rsidR="000E3023">
        <w:t>.</w:t>
      </w:r>
      <w:r w:rsidR="00AC63B9">
        <w:t xml:space="preserve"> The </w:t>
      </w:r>
      <w:r w:rsidR="00D65D31" w:rsidRPr="00D65D31">
        <w:t xml:space="preserve">Department of Infrastructure, Transport, Regional Development and Communications and the Arts </w:t>
      </w:r>
      <w:r w:rsidR="00D65D31">
        <w:t>(</w:t>
      </w:r>
      <w:r w:rsidR="0004614E">
        <w:t>the Department</w:t>
      </w:r>
      <w:r w:rsidR="00D65D31">
        <w:t xml:space="preserve">) </w:t>
      </w:r>
      <w:r w:rsidR="00AC63B9">
        <w:t>is leading the development of Australian positions relating to WRC-23 agenda items (including setting the preliminary agenda for WRC-27). We will continue to engage in this process and</w:t>
      </w:r>
      <w:r w:rsidR="00AC63B9" w:rsidRPr="00760C00">
        <w:t xml:space="preserve"> monitor developments with a focus on relevant implications for spectrum management</w:t>
      </w:r>
      <w:r w:rsidR="00AC63B9">
        <w:t xml:space="preserve">. </w:t>
      </w:r>
    </w:p>
    <w:p w14:paraId="2DFDAD9F" w14:textId="4E641DA9" w:rsidR="00B03E30" w:rsidRDefault="00B03E30" w:rsidP="00212E9B">
      <w:pPr>
        <w:pStyle w:val="Heading2"/>
        <w:keepLines/>
      </w:pPr>
      <w:bookmarkStart w:id="10" w:name="_Toc146527944"/>
      <w:r w:rsidRPr="00B03E30">
        <w:t>Spectrum for government requirements</w:t>
      </w:r>
      <w:r>
        <w:t>/</w:t>
      </w:r>
      <w:r w:rsidR="00461B39">
        <w:t>Public Safety Mobile Broadband</w:t>
      </w:r>
      <w:bookmarkEnd w:id="10"/>
    </w:p>
    <w:p w14:paraId="368CDB52" w14:textId="4B4AC9B5" w:rsidR="007A5A97" w:rsidRDefault="00EC31CE" w:rsidP="00212E9B">
      <w:pPr>
        <w:keepNext/>
        <w:keepLines/>
      </w:pPr>
      <w:r>
        <w:t xml:space="preserve">Various </w:t>
      </w:r>
      <w:r w:rsidR="006E0E73">
        <w:t>submitters</w:t>
      </w:r>
      <w:r>
        <w:t xml:space="preserve"> made suggestions </w:t>
      </w:r>
      <w:r w:rsidR="006E0E73">
        <w:t xml:space="preserve">regarding allocating spectrum for </w:t>
      </w:r>
      <w:r w:rsidR="005E3CC2" w:rsidRPr="005E3CC2">
        <w:t xml:space="preserve">Public Safety Mobile Broadband </w:t>
      </w:r>
      <w:r w:rsidR="005E3CC2">
        <w:t>(</w:t>
      </w:r>
      <w:r w:rsidR="006E0E73">
        <w:t>PSMB</w:t>
      </w:r>
      <w:r w:rsidR="005E3CC2">
        <w:t>)</w:t>
      </w:r>
      <w:r w:rsidR="006E0E73">
        <w:t>.</w:t>
      </w:r>
      <w:r w:rsidR="00E21369">
        <w:t xml:space="preserve"> One submitter posit</w:t>
      </w:r>
      <w:r w:rsidR="00995BA9">
        <w:t>ed</w:t>
      </w:r>
      <w:r w:rsidR="00E21369">
        <w:t xml:space="preserve"> that spectrum for PSMB could be acquired </w:t>
      </w:r>
      <w:r w:rsidR="005E3CC2">
        <w:t xml:space="preserve">by </w:t>
      </w:r>
      <w:r w:rsidR="00EF776A">
        <w:t xml:space="preserve">allocating </w:t>
      </w:r>
      <w:r w:rsidR="00E21369">
        <w:t xml:space="preserve">spectrum </w:t>
      </w:r>
      <w:r w:rsidR="00EF776A">
        <w:t>un</w:t>
      </w:r>
      <w:r w:rsidR="00E21369">
        <w:t xml:space="preserve">used or under-used by licence holders. </w:t>
      </w:r>
      <w:r w:rsidR="00EF776A">
        <w:t xml:space="preserve">They </w:t>
      </w:r>
      <w:r w:rsidR="006A2D8C">
        <w:t>forecast that</w:t>
      </w:r>
      <w:r w:rsidR="00EF776A">
        <w:t xml:space="preserve"> </w:t>
      </w:r>
      <w:r w:rsidR="006A2D8C">
        <w:t xml:space="preserve">while </w:t>
      </w:r>
      <w:r w:rsidR="00EF776A">
        <w:t>Harmonised Government Spectrum</w:t>
      </w:r>
      <w:r w:rsidR="006A2D8C">
        <w:t xml:space="preserve"> will continue to focus on land</w:t>
      </w:r>
      <w:r w:rsidR="005E3CC2">
        <w:t>-</w:t>
      </w:r>
      <w:r w:rsidR="006A2D8C">
        <w:t>mobile radio networks for voice and narrowband data communications</w:t>
      </w:r>
      <w:r w:rsidR="00AF3842">
        <w:t xml:space="preserve"> in the near term</w:t>
      </w:r>
      <w:r w:rsidR="006A2D8C">
        <w:t xml:space="preserve">, future use of this spectrum could evolve to align with 3GPP technologies. Another submitter </w:t>
      </w:r>
      <w:r w:rsidR="00245517" w:rsidRPr="00245517">
        <w:t>recommend</w:t>
      </w:r>
      <w:r w:rsidR="006A2D8C">
        <w:t>ed that</w:t>
      </w:r>
      <w:r w:rsidR="00245517" w:rsidRPr="00245517">
        <w:t xml:space="preserve"> the ACMA shares its position on the outcomes of the 2022 PSMB trials.</w:t>
      </w:r>
      <w:r w:rsidR="00245517" w:rsidRPr="00245517">
        <w:tab/>
      </w:r>
    </w:p>
    <w:p w14:paraId="2D528036" w14:textId="25D32BCC" w:rsidR="00C27209" w:rsidRDefault="00C27209" w:rsidP="00EF6156">
      <w:pPr>
        <w:pStyle w:val="Heading3"/>
        <w:keepLines/>
      </w:pPr>
      <w:r>
        <w:t>Our response</w:t>
      </w:r>
    </w:p>
    <w:p w14:paraId="09B88ADD" w14:textId="13B35980" w:rsidR="00891DAC" w:rsidRPr="007A5A97" w:rsidRDefault="006B6825" w:rsidP="00EF6156">
      <w:pPr>
        <w:keepNext/>
        <w:keepLines/>
      </w:pPr>
      <w:r>
        <w:t xml:space="preserve">The Australian Government has recently </w:t>
      </w:r>
      <w:r w:rsidR="002B6E51">
        <w:t xml:space="preserve">released a response </w:t>
      </w:r>
      <w:r>
        <w:t xml:space="preserve">to the Public Safety Mobile Broadband </w:t>
      </w:r>
      <w:r w:rsidR="00F74AF8">
        <w:t xml:space="preserve">Review </w:t>
      </w:r>
      <w:r>
        <w:t>conduc</w:t>
      </w:r>
      <w:r w:rsidR="00D22502">
        <w:t>t</w:t>
      </w:r>
      <w:r>
        <w:t xml:space="preserve">ed in 2022. </w:t>
      </w:r>
      <w:r w:rsidR="00F10ADF" w:rsidRPr="00F10ADF">
        <w:t>Further consideration of a PSMB capability is being undertaken by the government and we remain ready to respond to developments. Further, where relevant, PSMB related proposals will be considered in other areas of the ACMA's work program</w:t>
      </w:r>
      <w:r w:rsidR="00F10ADF">
        <w:t xml:space="preserve">. </w:t>
      </w:r>
    </w:p>
    <w:p w14:paraId="34E8C20E" w14:textId="77777777" w:rsidR="00731665" w:rsidRDefault="00FB246A" w:rsidP="00731665">
      <w:pPr>
        <w:pStyle w:val="Heading1"/>
      </w:pPr>
      <w:bookmarkStart w:id="11" w:name="_Toc146527945"/>
      <w:bookmarkEnd w:id="2"/>
      <w:bookmarkEnd w:id="3"/>
      <w:bookmarkEnd w:id="4"/>
      <w:r w:rsidRPr="00FB246A">
        <w:lastRenderedPageBreak/>
        <w:t>Part 2: 2023–24 annual work program</w:t>
      </w:r>
      <w:bookmarkEnd w:id="11"/>
    </w:p>
    <w:p w14:paraId="07367D1E" w14:textId="77777777" w:rsidR="00263650" w:rsidRPr="003854A2" w:rsidRDefault="00263650" w:rsidP="003854A2">
      <w:pPr>
        <w:pStyle w:val="Heading1"/>
        <w:shd w:val="clear" w:color="auto" w:fill="39457C"/>
        <w:rPr>
          <w:color w:val="FFFFFF" w:themeColor="background1"/>
        </w:rPr>
      </w:pPr>
      <w:bookmarkStart w:id="12" w:name="_Toc146527946"/>
      <w:r w:rsidRPr="003854A2">
        <w:rPr>
          <w:color w:val="FFFFFF" w:themeColor="background1"/>
        </w:rPr>
        <w:lastRenderedPageBreak/>
        <w:t>Monitoring stage</w:t>
      </w:r>
      <w:bookmarkEnd w:id="12"/>
    </w:p>
    <w:p w14:paraId="2798938C" w14:textId="0B867EFD" w:rsidR="000F490C" w:rsidRDefault="00110670" w:rsidP="00110670">
      <w:pPr>
        <w:pStyle w:val="Heading2"/>
      </w:pPr>
      <w:bookmarkStart w:id="13" w:name="_Toc146527947"/>
      <w:r w:rsidRPr="00110670">
        <w:t>600 MHz (617–698 MHz</w:t>
      </w:r>
      <w:r>
        <w:t>)</w:t>
      </w:r>
      <w:bookmarkEnd w:id="13"/>
    </w:p>
    <w:p w14:paraId="0CC7C616" w14:textId="7699FDBB" w:rsidR="006C6C38" w:rsidRDefault="00CF1BB2" w:rsidP="00D34D11">
      <w:pPr>
        <w:pStyle w:val="Paragraph"/>
      </w:pPr>
      <w:r>
        <w:t xml:space="preserve">The 600 MHz band was </w:t>
      </w:r>
      <w:r w:rsidR="00201E47">
        <w:t>a focus of many submissions</w:t>
      </w:r>
      <w:r w:rsidR="005E3CC2">
        <w:t>, with</w:t>
      </w:r>
      <w:r w:rsidR="00477B16">
        <w:t xml:space="preserve"> differing opinions on how the 600 MHz band could best be utili</w:t>
      </w:r>
      <w:r w:rsidR="00F96C81">
        <w:t>s</w:t>
      </w:r>
      <w:r w:rsidR="00477B16">
        <w:t>ed</w:t>
      </w:r>
      <w:r w:rsidR="00D34A6A">
        <w:t>.</w:t>
      </w:r>
      <w:r w:rsidR="006C6C38">
        <w:t xml:space="preserve"> </w:t>
      </w:r>
    </w:p>
    <w:p w14:paraId="24A3465B" w14:textId="433FB0B2" w:rsidR="00F06240" w:rsidRDefault="00F06240" w:rsidP="00F06240">
      <w:pPr>
        <w:pStyle w:val="Paragraph"/>
      </w:pPr>
      <w:r>
        <w:t>One submitter state</w:t>
      </w:r>
      <w:r w:rsidR="00011486">
        <w:t>d</w:t>
      </w:r>
      <w:r>
        <w:t xml:space="preserve"> that the 600 MHz band is ideal for IMT use in regional Australia, anticipating that additional low-band spectrum would be needed in metropolitan areas for deep indoor coverage, with consumer demand increasing over time. They suggest</w:t>
      </w:r>
      <w:r w:rsidR="00BC779F">
        <w:t>ed</w:t>
      </w:r>
      <w:r>
        <w:t xml:space="preserve"> that MNOs should have certainty of access to 600 MHz spectrum towards the end of 2027/28.</w:t>
      </w:r>
    </w:p>
    <w:p w14:paraId="2625DE66" w14:textId="6D1D2A14" w:rsidR="004776D8" w:rsidRDefault="004776D8" w:rsidP="004776D8">
      <w:pPr>
        <w:pStyle w:val="Paragraph"/>
      </w:pPr>
      <w:r>
        <w:t>One submitter support</w:t>
      </w:r>
      <w:r w:rsidR="00943F48">
        <w:t>ed</w:t>
      </w:r>
      <w:r>
        <w:t xml:space="preserve"> continued monitoring of the 600 MHz band, citing the high value of low-band spectrum for mobile communications, and the time that it would take to clear the band, and </w:t>
      </w:r>
      <w:r w:rsidR="00B14142">
        <w:t xml:space="preserve">suggested </w:t>
      </w:r>
      <w:r>
        <w:t xml:space="preserve">that this band should be prioritised ahead of additional </w:t>
      </w:r>
      <w:r w:rsidR="005E3CC2">
        <w:t xml:space="preserve">millimetre </w:t>
      </w:r>
      <w:r w:rsidRPr="00D65D31">
        <w:t xml:space="preserve">wave </w:t>
      </w:r>
      <w:r w:rsidR="005E3CC2" w:rsidRPr="00D65D31">
        <w:t xml:space="preserve">(mmWave) </w:t>
      </w:r>
      <w:r w:rsidRPr="00D65D31">
        <w:t>bands.</w:t>
      </w:r>
    </w:p>
    <w:p w14:paraId="1F21703D" w14:textId="632B7465" w:rsidR="002B0F6C" w:rsidRDefault="004776D8" w:rsidP="00D34D11">
      <w:pPr>
        <w:pStyle w:val="Paragraph"/>
      </w:pPr>
      <w:r>
        <w:t xml:space="preserve">On the other hand, </w:t>
      </w:r>
      <w:r w:rsidR="005E3CC2">
        <w:t xml:space="preserve">3 </w:t>
      </w:r>
      <w:r w:rsidR="00477B16">
        <w:t>submitter</w:t>
      </w:r>
      <w:r w:rsidR="00E40246">
        <w:t>s</w:t>
      </w:r>
      <w:r w:rsidR="008D4D86">
        <w:t xml:space="preserve"> recommended </w:t>
      </w:r>
      <w:r w:rsidR="00D34D11">
        <w:t xml:space="preserve">progressing 600 MHz in the band-planning process to the </w:t>
      </w:r>
      <w:r w:rsidR="00D34D11" w:rsidRPr="00A720F8">
        <w:rPr>
          <w:i/>
          <w:iCs/>
        </w:rPr>
        <w:t xml:space="preserve">Initial </w:t>
      </w:r>
      <w:r w:rsidR="005E3CC2" w:rsidRPr="00A720F8">
        <w:rPr>
          <w:i/>
          <w:iCs/>
        </w:rPr>
        <w:t>i</w:t>
      </w:r>
      <w:r w:rsidR="00D34D11" w:rsidRPr="00A720F8">
        <w:rPr>
          <w:i/>
          <w:iCs/>
        </w:rPr>
        <w:t>nvestigation</w:t>
      </w:r>
      <w:r w:rsidR="00D34D11">
        <w:t xml:space="preserve"> stage</w:t>
      </w:r>
      <w:r w:rsidR="00E40246">
        <w:t xml:space="preserve">. </w:t>
      </w:r>
      <w:r w:rsidR="002D79BD">
        <w:t>One submitter</w:t>
      </w:r>
      <w:r w:rsidR="002B0F6C">
        <w:t xml:space="preserve"> </w:t>
      </w:r>
      <w:r w:rsidR="00E75D6D">
        <w:t xml:space="preserve">posited </w:t>
      </w:r>
      <w:r w:rsidR="002B0F6C">
        <w:t>that</w:t>
      </w:r>
      <w:r w:rsidR="005E3CC2">
        <w:t xml:space="preserve"> as</w:t>
      </w:r>
      <w:r w:rsidR="00E75D6D">
        <w:t xml:space="preserve"> the</w:t>
      </w:r>
      <w:r w:rsidR="002B0F6C">
        <w:t xml:space="preserve"> </w:t>
      </w:r>
      <w:r w:rsidR="005E3CC2">
        <w:t>600 </w:t>
      </w:r>
      <w:r w:rsidR="002B0F6C">
        <w:t>MHz band has long been touted to form part of the second Digital Dividend</w:t>
      </w:r>
      <w:r w:rsidR="005E3CC2">
        <w:t>,</w:t>
      </w:r>
      <w:r w:rsidR="002B0F6C">
        <w:t xml:space="preserve"> the release of additional low-band spectrum should be a priority for the medium term. They </w:t>
      </w:r>
      <w:r w:rsidR="00F11A99">
        <w:t xml:space="preserve">were in </w:t>
      </w:r>
      <w:r w:rsidR="002B0F6C">
        <w:t xml:space="preserve">support </w:t>
      </w:r>
      <w:r w:rsidR="00F11A99">
        <w:t xml:space="preserve">of </w:t>
      </w:r>
      <w:r w:rsidR="002B0F6C">
        <w:t xml:space="preserve">the 600 MHz band to be managed under </w:t>
      </w:r>
      <w:r w:rsidR="0044414C">
        <w:t xml:space="preserve">mobile broadband </w:t>
      </w:r>
      <w:r w:rsidR="002B0F6C">
        <w:t xml:space="preserve">rather than broadcast arrangements. </w:t>
      </w:r>
      <w:r w:rsidR="00712506">
        <w:t>A</w:t>
      </w:r>
      <w:r w:rsidR="002D79BD">
        <w:t xml:space="preserve"> </w:t>
      </w:r>
      <w:r w:rsidR="0001236F">
        <w:t>second</w:t>
      </w:r>
      <w:r w:rsidR="002D79BD">
        <w:t xml:space="preserve"> </w:t>
      </w:r>
      <w:r w:rsidR="00C134BE">
        <w:t xml:space="preserve">submitter </w:t>
      </w:r>
      <w:r w:rsidR="0001236F" w:rsidRPr="0001236F">
        <w:t xml:space="preserve">suggested that the ACMA should consider the feasibility and potential migration of existing services for the whole UHF spectrum and encouraged </w:t>
      </w:r>
      <w:r w:rsidR="006913F8">
        <w:t xml:space="preserve">the </w:t>
      </w:r>
      <w:r w:rsidR="0001236F" w:rsidRPr="0001236F">
        <w:t>ACMA to further investigate the potential use of these bands.</w:t>
      </w:r>
      <w:r w:rsidR="0001236F">
        <w:t xml:space="preserve"> Finally, one submitter</w:t>
      </w:r>
      <w:r w:rsidR="006B5F6C">
        <w:t xml:space="preserve"> </w:t>
      </w:r>
      <w:r w:rsidR="00D93CCD">
        <w:t>suggested</w:t>
      </w:r>
      <w:r w:rsidR="002B0F6C">
        <w:t xml:space="preserve"> that </w:t>
      </w:r>
      <w:r w:rsidR="005E3CC2">
        <w:t xml:space="preserve">progressing 600 MHz in the band-planning process </w:t>
      </w:r>
      <w:r w:rsidR="002B0F6C">
        <w:t>should be done to complement the related higher</w:t>
      </w:r>
      <w:r w:rsidR="005E3CC2">
        <w:t>-</w:t>
      </w:r>
      <w:r w:rsidR="002B0F6C">
        <w:t>level government processes and the ACMA’s work under the Television Research and Policy Development Program.</w:t>
      </w:r>
    </w:p>
    <w:p w14:paraId="6C8579B9" w14:textId="16245991" w:rsidR="00900A53" w:rsidRDefault="002B0F6C" w:rsidP="002B0F6C">
      <w:pPr>
        <w:pStyle w:val="Paragraph"/>
      </w:pPr>
      <w:r>
        <w:t xml:space="preserve">The use of this band for TV broadcast planning was further discussed by </w:t>
      </w:r>
      <w:r w:rsidR="005E3CC2">
        <w:t xml:space="preserve">2 </w:t>
      </w:r>
      <w:r>
        <w:t xml:space="preserve">submitters. One submitter </w:t>
      </w:r>
      <w:r w:rsidR="00D93CCD">
        <w:t xml:space="preserve">asked </w:t>
      </w:r>
      <w:r>
        <w:t xml:space="preserve">for </w:t>
      </w:r>
      <w:r w:rsidR="00B576A1">
        <w:t>focused</w:t>
      </w:r>
      <w:r>
        <w:t xml:space="preserve"> engagement with industry on TV UHF issues to improve policy and planning outcomes. Similarly, a submitter </w:t>
      </w:r>
      <w:r w:rsidR="00B576A1">
        <w:t>noted</w:t>
      </w:r>
      <w:r>
        <w:t xml:space="preserve"> the role of the </w:t>
      </w:r>
      <w:r w:rsidR="005E3CC2">
        <w:t>600 </w:t>
      </w:r>
      <w:r>
        <w:t>MHz band in the UHF spectrum (520–694 MHz)</w:t>
      </w:r>
      <w:r w:rsidR="00A93B25">
        <w:t>,</w:t>
      </w:r>
      <w:r>
        <w:t xml:space="preserve"> which underpins delivery </w:t>
      </w:r>
      <w:r w:rsidR="003E6319">
        <w:t xml:space="preserve">of </w:t>
      </w:r>
      <w:r>
        <w:t xml:space="preserve">some </w:t>
      </w:r>
      <w:r w:rsidR="00A93B25">
        <w:t>d</w:t>
      </w:r>
      <w:r>
        <w:t xml:space="preserve">igital </w:t>
      </w:r>
      <w:r w:rsidR="00A93B25">
        <w:t>t</w:t>
      </w:r>
      <w:r>
        <w:t>elevision services.</w:t>
      </w:r>
      <w:r w:rsidR="00900A53">
        <w:t xml:space="preserve"> Some submitters shared their views on how the </w:t>
      </w:r>
      <w:r w:rsidR="00A56F21" w:rsidRPr="002033E6">
        <w:t>470–520 MHz</w:t>
      </w:r>
      <w:r w:rsidR="00A56F21">
        <w:t xml:space="preserve"> spectrum should be allocated</w:t>
      </w:r>
      <w:r w:rsidR="00825A86">
        <w:t>.</w:t>
      </w:r>
    </w:p>
    <w:p w14:paraId="197E81AB" w14:textId="6BD8524B" w:rsidR="00BB45AA" w:rsidRDefault="00BB45AA" w:rsidP="00BB45AA">
      <w:pPr>
        <w:pStyle w:val="Paragraph"/>
      </w:pPr>
      <w:r>
        <w:t xml:space="preserve">A </w:t>
      </w:r>
      <w:r w:rsidR="00E2097A">
        <w:t>s</w:t>
      </w:r>
      <w:r>
        <w:t>ubmitter argued for the importance of 470</w:t>
      </w:r>
      <w:r w:rsidR="00A93B25" w:rsidRPr="002033E6">
        <w:t>–</w:t>
      </w:r>
      <w:r>
        <w:t xml:space="preserve">698 MHz for audio </w:t>
      </w:r>
      <w:r w:rsidR="00B53CAE">
        <w:t>p</w:t>
      </w:r>
      <w:r w:rsidR="00B53CAE" w:rsidRPr="00B53CAE">
        <w:t xml:space="preserve">rogram </w:t>
      </w:r>
      <w:r w:rsidR="00B53CAE">
        <w:t>m</w:t>
      </w:r>
      <w:r w:rsidR="00B53CAE" w:rsidRPr="00B53CAE">
        <w:t xml:space="preserve">akers and </w:t>
      </w:r>
      <w:r w:rsidR="00B53CAE">
        <w:t>s</w:t>
      </w:r>
      <w:r w:rsidR="00B53CAE" w:rsidRPr="00B53CAE">
        <w:t xml:space="preserve">pecial </w:t>
      </w:r>
      <w:r w:rsidR="00B53CAE">
        <w:t>e</w:t>
      </w:r>
      <w:r w:rsidR="00B53CAE" w:rsidRPr="00B53CAE">
        <w:t>vents</w:t>
      </w:r>
      <w:r w:rsidR="00B53CAE">
        <w:t xml:space="preserve"> (</w:t>
      </w:r>
      <w:r>
        <w:t>PMSE</w:t>
      </w:r>
      <w:r w:rsidR="00B53CAE">
        <w:t>)</w:t>
      </w:r>
      <w:r>
        <w:t xml:space="preserve"> and </w:t>
      </w:r>
      <w:r w:rsidR="006A1696">
        <w:t>stated that t</w:t>
      </w:r>
      <w:r>
        <w:t xml:space="preserve">he PMSE industry </w:t>
      </w:r>
      <w:r w:rsidR="006A1696">
        <w:t>requires</w:t>
      </w:r>
      <w:r>
        <w:t xml:space="preserve"> continued access to the 600 MHz band to cater for increasing demand.</w:t>
      </w:r>
    </w:p>
    <w:p w14:paraId="3CC268C9" w14:textId="30CA3503" w:rsidR="00D34D11" w:rsidRDefault="004776D8" w:rsidP="00D34D11">
      <w:pPr>
        <w:pStyle w:val="Paragraph"/>
      </w:pPr>
      <w:r>
        <w:t xml:space="preserve">Finally, </w:t>
      </w:r>
      <w:r w:rsidR="003F41C2">
        <w:t>o</w:t>
      </w:r>
      <w:r w:rsidR="00A84463">
        <w:t xml:space="preserve">ne submitter </w:t>
      </w:r>
      <w:r w:rsidR="00D34D11">
        <w:t>advocate</w:t>
      </w:r>
      <w:r w:rsidR="007B077B">
        <w:t>d</w:t>
      </w:r>
      <w:r w:rsidR="00D34D11">
        <w:t xml:space="preserve"> that a portion of future 600 </w:t>
      </w:r>
      <w:r w:rsidR="00CE436B">
        <w:t>MHz</w:t>
      </w:r>
      <w:r w:rsidR="00D34D11">
        <w:t xml:space="preserve"> spectrum be set-aside for AWL allocation in regional, rural and remote areas, and </w:t>
      </w:r>
      <w:r w:rsidR="007B077B">
        <w:t xml:space="preserve">that </w:t>
      </w:r>
      <w:r w:rsidR="00D34D11">
        <w:t>the development of instruments to allocate low-band AWLs be prioritised.</w:t>
      </w:r>
    </w:p>
    <w:p w14:paraId="10EDEB95" w14:textId="6D4C747D" w:rsidR="00744628" w:rsidRDefault="00744628" w:rsidP="00461077">
      <w:pPr>
        <w:pStyle w:val="Heading3"/>
      </w:pPr>
      <w:r>
        <w:t>Our response</w:t>
      </w:r>
    </w:p>
    <w:p w14:paraId="0124C926" w14:textId="510DE034" w:rsidR="001E7CD2" w:rsidRDefault="00B11B00" w:rsidP="00B14124">
      <w:pPr>
        <w:pStyle w:val="Paragraph"/>
      </w:pPr>
      <w:r>
        <w:t>We are</w:t>
      </w:r>
      <w:r w:rsidR="008525F7">
        <w:t xml:space="preserve"> alert to global interest and action in the 600 MHz band</w:t>
      </w:r>
      <w:r w:rsidR="00A93B25">
        <w:t xml:space="preserve">, </w:t>
      </w:r>
      <w:r w:rsidR="008525F7">
        <w:t xml:space="preserve">including allocations for mobile use in some countries and that the band is being </w:t>
      </w:r>
      <w:r w:rsidR="0016214D">
        <w:t xml:space="preserve">considered (in the context of </w:t>
      </w:r>
      <w:proofErr w:type="gramStart"/>
      <w:r w:rsidR="0016214D">
        <w:t>Region</w:t>
      </w:r>
      <w:proofErr w:type="gramEnd"/>
      <w:r w:rsidR="0016214D">
        <w:t xml:space="preserve"> 1</w:t>
      </w:r>
      <w:r w:rsidR="00387E7D">
        <w:t xml:space="preserve"> </w:t>
      </w:r>
      <w:r w:rsidR="0016214D">
        <w:t>– Europe, the middle East and Africa</w:t>
      </w:r>
      <w:r w:rsidR="008525F7">
        <w:t xml:space="preserve"> </w:t>
      </w:r>
      <w:r w:rsidR="0016214D">
        <w:t xml:space="preserve">only) </w:t>
      </w:r>
      <w:r w:rsidR="008525F7">
        <w:t>under Agenda Item 1.5 of the WRC-23 agenda</w:t>
      </w:r>
      <w:r w:rsidR="0016214D">
        <w:t xml:space="preserve">. </w:t>
      </w:r>
    </w:p>
    <w:p w14:paraId="14872790" w14:textId="0C3AEB24" w:rsidR="00473D23" w:rsidRDefault="00473D23" w:rsidP="00B542FD">
      <w:pPr>
        <w:pStyle w:val="Paragraph"/>
        <w:keepNext/>
        <w:keepLines/>
      </w:pPr>
      <w:r>
        <w:lastRenderedPageBreak/>
        <w:t>F</w:t>
      </w:r>
      <w:r w:rsidRPr="00C419DE">
        <w:t>uture consideration</w:t>
      </w:r>
      <w:r>
        <w:t xml:space="preserve"> </w:t>
      </w:r>
      <w:r w:rsidRPr="00C419DE">
        <w:t xml:space="preserve">of the band </w:t>
      </w:r>
      <w:r w:rsidR="007619DA">
        <w:t xml:space="preserve">domestically </w:t>
      </w:r>
      <w:r w:rsidRPr="00C419DE">
        <w:t xml:space="preserve">will be informed by </w:t>
      </w:r>
      <w:r w:rsidR="001E7CD2">
        <w:t>global developments</w:t>
      </w:r>
      <w:r w:rsidRPr="00C419DE">
        <w:t xml:space="preserve"> </w:t>
      </w:r>
      <w:r>
        <w:t>as well as</w:t>
      </w:r>
      <w:r w:rsidRPr="00C419DE">
        <w:t xml:space="preserve"> any further domestic considerations about future technology roadmaps for terrestrial television transmission</w:t>
      </w:r>
      <w:r>
        <w:t>. Until this time, we will retain the 600 MHz band in the monitoring stage.</w:t>
      </w:r>
    </w:p>
    <w:p w14:paraId="461F261C" w14:textId="3BD50618" w:rsidR="00473D23" w:rsidRDefault="00473D23" w:rsidP="009D16F3">
      <w:pPr>
        <w:pStyle w:val="Paragraph"/>
      </w:pPr>
      <w:r>
        <w:t xml:space="preserve">Frequencies in the 470–600 MHz range are </w:t>
      </w:r>
      <w:r w:rsidRPr="00072DC5">
        <w:t>not under consideration as part of the WRC agenda item (nor domestically as part of any government</w:t>
      </w:r>
      <w:r w:rsidR="00A93B25">
        <w:t>-</w:t>
      </w:r>
      <w:r w:rsidRPr="00072DC5">
        <w:t>led band review work)</w:t>
      </w:r>
      <w:r>
        <w:t>.</w:t>
      </w:r>
    </w:p>
    <w:p w14:paraId="3440BC26" w14:textId="232C4E45" w:rsidR="006A1696" w:rsidRDefault="007806EA" w:rsidP="00387E7D">
      <w:pPr>
        <w:pStyle w:val="Heading2"/>
      </w:pPr>
      <w:bookmarkStart w:id="14" w:name="_Toc146527948"/>
      <w:r w:rsidRPr="007806EA">
        <w:t>3.3 GHz (3300–3400 MHz)</w:t>
      </w:r>
      <w:r w:rsidR="006A1696">
        <w:t xml:space="preserve"> and </w:t>
      </w:r>
      <w:r w:rsidR="006A1696" w:rsidRPr="00D571EA">
        <w:t>4.0 GHz (4400–4990 MHz)</w:t>
      </w:r>
      <w:bookmarkEnd w:id="14"/>
    </w:p>
    <w:p w14:paraId="654A7691" w14:textId="63814961" w:rsidR="003E74D0" w:rsidRDefault="00326AFD" w:rsidP="00A04F8A">
      <w:pPr>
        <w:pStyle w:val="Paragraph"/>
      </w:pPr>
      <w:r>
        <w:t>Two submitter</w:t>
      </w:r>
      <w:r w:rsidR="00011486">
        <w:t>s</w:t>
      </w:r>
      <w:r w:rsidR="006F37B2">
        <w:t xml:space="preserve"> </w:t>
      </w:r>
      <w:r w:rsidR="00D806F8">
        <w:t>commented on the importance of the</w:t>
      </w:r>
      <w:r>
        <w:t xml:space="preserve"> 3.3 GHz </w:t>
      </w:r>
      <w:r w:rsidR="00265E47">
        <w:t>and 4.0 GHz</w:t>
      </w:r>
      <w:r>
        <w:t xml:space="preserve"> band</w:t>
      </w:r>
      <w:r w:rsidR="00265E47">
        <w:t>s</w:t>
      </w:r>
      <w:r w:rsidR="00D806F8">
        <w:t xml:space="preserve"> to support Defence capabilities</w:t>
      </w:r>
      <w:r w:rsidR="008D40E6">
        <w:t>.</w:t>
      </w:r>
    </w:p>
    <w:p w14:paraId="67A4282C" w14:textId="3C43A664" w:rsidR="003D47C4" w:rsidRDefault="00A93B25" w:rsidP="00597617">
      <w:pPr>
        <w:pStyle w:val="Paragraph"/>
      </w:pPr>
      <w:r>
        <w:t>For</w:t>
      </w:r>
      <w:r w:rsidR="006A1696">
        <w:t xml:space="preserve"> the 4.0</w:t>
      </w:r>
      <w:r w:rsidR="00306463">
        <w:t xml:space="preserve"> GHz band, </w:t>
      </w:r>
      <w:r w:rsidR="00265E47">
        <w:t>the submitters expressed concern about possible</w:t>
      </w:r>
      <w:r w:rsidR="003D47C4">
        <w:t xml:space="preserve"> introduction of 5G/IMT in this frequency range</w:t>
      </w:r>
      <w:r w:rsidR="00265E47">
        <w:t>.</w:t>
      </w:r>
      <w:r w:rsidR="006F37B2">
        <w:t xml:space="preserve"> </w:t>
      </w:r>
      <w:r w:rsidR="002D7CDA">
        <w:t>One submitter</w:t>
      </w:r>
      <w:r w:rsidR="002664D4">
        <w:t xml:space="preserve"> suggested that this band should be added nationwide to the future </w:t>
      </w:r>
      <w:r w:rsidR="00F90508">
        <w:t>Public Safety Mobile Broadband (PSMB)</w:t>
      </w:r>
      <w:r w:rsidR="00355B23">
        <w:t xml:space="preserve">. </w:t>
      </w:r>
      <w:r w:rsidR="00597617">
        <w:t xml:space="preserve">Finally, a submitter </w:t>
      </w:r>
      <w:r w:rsidR="00265E47">
        <w:t xml:space="preserve">posited </w:t>
      </w:r>
      <w:r w:rsidR="00597617">
        <w:t>that c</w:t>
      </w:r>
      <w:r w:rsidR="003D47C4">
        <w:t xml:space="preserve">onsideration of this band for WBB should </w:t>
      </w:r>
      <w:r>
        <w:t>include</w:t>
      </w:r>
      <w:r w:rsidR="003D47C4">
        <w:t xml:space="preserve"> protection from out-of-band emissions as well as the protection of primary allocations.</w:t>
      </w:r>
    </w:p>
    <w:p w14:paraId="159F9C55" w14:textId="0343885F" w:rsidR="008D40E6" w:rsidRDefault="008D40E6" w:rsidP="00A93B25">
      <w:pPr>
        <w:pStyle w:val="Heading3"/>
      </w:pPr>
      <w:r>
        <w:t xml:space="preserve">Our </w:t>
      </w:r>
      <w:r w:rsidRPr="00A93B25">
        <w:t>response</w:t>
      </w:r>
    </w:p>
    <w:p w14:paraId="1E5F05B2" w14:textId="29CB2D8A" w:rsidR="00A04F8A" w:rsidRDefault="00A04F8A" w:rsidP="00A93B25">
      <w:pPr>
        <w:pStyle w:val="Paragraph"/>
      </w:pPr>
      <w:r>
        <w:t xml:space="preserve">Inclusion of bands in the monitoring </w:t>
      </w:r>
      <w:r w:rsidR="0095272E">
        <w:t>stage</w:t>
      </w:r>
      <w:r>
        <w:t xml:space="preserve"> reflects that there is interest and/or action being taken internationally in relation to those bands. We consider this transparency important</w:t>
      </w:r>
      <w:r w:rsidR="00073039">
        <w:t xml:space="preserve"> to retain.</w:t>
      </w:r>
    </w:p>
    <w:p w14:paraId="3C0BCB49" w14:textId="77777777" w:rsidR="001F575A" w:rsidRDefault="001F575A" w:rsidP="001F575A">
      <w:pPr>
        <w:pStyle w:val="Heading2"/>
      </w:pPr>
      <w:bookmarkStart w:id="15" w:name="_Toc146527949"/>
      <w:r w:rsidRPr="001F575A">
        <w:t>13 GHz (12.75–13.25 GHz)</w:t>
      </w:r>
      <w:bookmarkEnd w:id="15"/>
    </w:p>
    <w:p w14:paraId="59DA1074" w14:textId="75F91668" w:rsidR="006929F9" w:rsidRDefault="009B7D09" w:rsidP="00D02BC4">
      <w:pPr>
        <w:pStyle w:val="Paragraph"/>
      </w:pPr>
      <w:r>
        <w:t>Two s</w:t>
      </w:r>
      <w:r w:rsidR="00DA50D6">
        <w:t>ubmitter</w:t>
      </w:r>
      <w:r w:rsidR="003D3DAC">
        <w:t>s</w:t>
      </w:r>
      <w:r w:rsidR="00DA50D6">
        <w:t xml:space="preserve"> </w:t>
      </w:r>
      <w:r w:rsidR="003D3DAC">
        <w:t>were supportive of</w:t>
      </w:r>
      <w:r w:rsidR="00DA50D6">
        <w:t xml:space="preserve"> </w:t>
      </w:r>
      <w:r w:rsidR="00D02BC4">
        <w:t>Australia’s Preliminary Position on WRC-23 agenda item 1.15 to establish a</w:t>
      </w:r>
      <w:r w:rsidR="00D1065B">
        <w:t xml:space="preserve"> new ITU-R regulatory framework that improves the efficiency of use of the 12.75–13.25 GHz band by facilitating Aeronautical Earth Stations in Motion (A-ESIM) and Maritime Earth Stations in Motion (M-ESIM) to use the frequency band.</w:t>
      </w:r>
      <w:r>
        <w:t xml:space="preserve"> These submitters encouraged the ACMA to move this band into the </w:t>
      </w:r>
      <w:r w:rsidRPr="005331B8">
        <w:rPr>
          <w:i/>
          <w:iCs/>
        </w:rPr>
        <w:t>Initial investigation</w:t>
      </w:r>
      <w:r>
        <w:t xml:space="preserve"> stage.</w:t>
      </w:r>
      <w:r w:rsidR="00980AD5">
        <w:t xml:space="preserve"> </w:t>
      </w:r>
      <w:r>
        <w:t>Another submitter</w:t>
      </w:r>
      <w:r w:rsidR="00980AD5">
        <w:t xml:space="preserve"> </w:t>
      </w:r>
      <w:r w:rsidR="00AB449E">
        <w:t>asked</w:t>
      </w:r>
      <w:r w:rsidR="005B3E00">
        <w:t xml:space="preserve"> that </w:t>
      </w:r>
      <w:r w:rsidR="00D02BC4">
        <w:t xml:space="preserve">alternative provisions be made for </w:t>
      </w:r>
      <w:r w:rsidR="005B3E00">
        <w:t>incumbent</w:t>
      </w:r>
      <w:r w:rsidR="00D02BC4">
        <w:t xml:space="preserve"> users </w:t>
      </w:r>
      <w:r w:rsidR="00A93B25">
        <w:t xml:space="preserve">if </w:t>
      </w:r>
      <w:r w:rsidR="00D02BC4">
        <w:t>spectrum allocation plans change in the future.</w:t>
      </w:r>
    </w:p>
    <w:p w14:paraId="759586DB" w14:textId="6FF4D543" w:rsidR="00601008" w:rsidRDefault="00601008" w:rsidP="00601008">
      <w:pPr>
        <w:pStyle w:val="Heading3"/>
      </w:pPr>
      <w:r>
        <w:t>Our response</w:t>
      </w:r>
    </w:p>
    <w:p w14:paraId="2FAF2552" w14:textId="1B3B2210" w:rsidR="00A34877" w:rsidRDefault="00601008" w:rsidP="00A34877">
      <w:pPr>
        <w:pStyle w:val="Paragraph"/>
      </w:pPr>
      <w:r>
        <w:t xml:space="preserve">Consideration of the potential impact on incumbent users is a key part of the spectrum planning undertaken </w:t>
      </w:r>
      <w:r w:rsidR="00A93B25">
        <w:t>before</w:t>
      </w:r>
      <w:r>
        <w:t xml:space="preserve"> implementing any new arrangements.</w:t>
      </w:r>
      <w:r w:rsidR="000D6036">
        <w:t xml:space="preserve"> </w:t>
      </w:r>
      <w:r w:rsidR="00A34877">
        <w:t>is leading the development of Australian positions relating to WRC-23 agenda items</w:t>
      </w:r>
      <w:r w:rsidR="00A93B25">
        <w:t>. We</w:t>
      </w:r>
      <w:r w:rsidR="004907F9">
        <w:t xml:space="preserve"> </w:t>
      </w:r>
      <w:r w:rsidR="00A34877">
        <w:t>will continue to engage in this process and</w:t>
      </w:r>
      <w:r w:rsidR="00A34877" w:rsidRPr="00760C00">
        <w:t xml:space="preserve"> monitor developments with a focus on relevant implications for spectrum management</w:t>
      </w:r>
      <w:r w:rsidR="00A34877">
        <w:t xml:space="preserve">. </w:t>
      </w:r>
    </w:p>
    <w:p w14:paraId="73EBB9B9" w14:textId="542C3677" w:rsidR="0029081E" w:rsidRDefault="006929F9" w:rsidP="00BC0E98">
      <w:pPr>
        <w:pStyle w:val="Heading2"/>
      </w:pPr>
      <w:bookmarkStart w:id="16" w:name="_Toc146527950"/>
      <w:r>
        <w:t>Q/V band</w:t>
      </w:r>
      <w:r w:rsidR="00A93B25">
        <w:t xml:space="preserve">: </w:t>
      </w:r>
      <w:r w:rsidR="0029081E">
        <w:t>40 GHz, 46 GHz, 47 GHz</w:t>
      </w:r>
      <w:bookmarkEnd w:id="16"/>
    </w:p>
    <w:p w14:paraId="3C8000ED" w14:textId="22704397" w:rsidR="0029081E" w:rsidRDefault="00EF5688" w:rsidP="00AE31E7">
      <w:pPr>
        <w:pStyle w:val="Paragraph"/>
      </w:pPr>
      <w:r w:rsidRPr="00AE31E7">
        <w:t>Submitters</w:t>
      </w:r>
      <w:r w:rsidR="001C7BB0" w:rsidRPr="00AE31E7">
        <w:t xml:space="preserve"> </w:t>
      </w:r>
      <w:r w:rsidRPr="00AE31E7">
        <w:t xml:space="preserve">supported retaining </w:t>
      </w:r>
      <w:r w:rsidR="00A93B25" w:rsidRPr="00A93B25">
        <w:t>40 GHz, 46 GHz</w:t>
      </w:r>
      <w:r w:rsidR="00A93B25">
        <w:t xml:space="preserve"> and</w:t>
      </w:r>
      <w:r w:rsidR="00A93B25" w:rsidRPr="00A93B25">
        <w:t xml:space="preserve"> 47 GHz</w:t>
      </w:r>
      <w:r w:rsidR="00A93B25" w:rsidRPr="00A93B25" w:rsidDel="00A93B25">
        <w:t xml:space="preserve"> </w:t>
      </w:r>
      <w:r w:rsidRPr="00AE31E7">
        <w:t>frequencies in the monitoring stage. One</w:t>
      </w:r>
      <w:r w:rsidR="00403548" w:rsidRPr="00AE31E7">
        <w:t xml:space="preserve"> </w:t>
      </w:r>
      <w:r w:rsidRPr="00AE31E7">
        <w:t xml:space="preserve">suggested </w:t>
      </w:r>
      <w:r w:rsidR="00D47FE9" w:rsidRPr="00AE31E7">
        <w:t>when</w:t>
      </w:r>
      <w:r w:rsidR="00D47FE9" w:rsidRPr="00D47FE9">
        <w:t xml:space="preserve"> planning to progress these bands, they should be considered in the context of coexistence between </w:t>
      </w:r>
      <w:r w:rsidR="0009339C" w:rsidRPr="0009339C">
        <w:t xml:space="preserve">fixed-satellite </w:t>
      </w:r>
      <w:r w:rsidR="00D47FE9" w:rsidRPr="00D47FE9">
        <w:t xml:space="preserve">and IMT services, because the mobile industry </w:t>
      </w:r>
      <w:r w:rsidR="00D47FE9" w:rsidRPr="00AE31E7">
        <w:t>has an interest in t</w:t>
      </w:r>
      <w:r w:rsidR="00244FAA" w:rsidRPr="00AE31E7">
        <w:t>he</w:t>
      </w:r>
      <w:r w:rsidR="00D47FE9" w:rsidRPr="00D47FE9">
        <w:t xml:space="preserve"> </w:t>
      </w:r>
      <w:r w:rsidR="00D63B40">
        <w:t xml:space="preserve">40 GHz </w:t>
      </w:r>
      <w:r w:rsidR="00D47FE9" w:rsidRPr="00D47FE9">
        <w:t>band for supporting long-term future growth</w:t>
      </w:r>
      <w:r w:rsidR="00521CE1" w:rsidRPr="00AE31E7">
        <w:t>.</w:t>
      </w:r>
    </w:p>
    <w:p w14:paraId="2F29510F" w14:textId="3BF0929B" w:rsidR="00AE31E7" w:rsidRPr="00AE31E7" w:rsidRDefault="00AE31E7" w:rsidP="00AE31E7">
      <w:pPr>
        <w:pStyle w:val="Paragraph"/>
      </w:pPr>
      <w:r w:rsidRPr="00AE31E7">
        <w:t xml:space="preserve">A submitter </w:t>
      </w:r>
      <w:r w:rsidR="00A32D6C">
        <w:t xml:space="preserve">noted that </w:t>
      </w:r>
      <w:r w:rsidR="004818A1" w:rsidRPr="004818A1">
        <w:t xml:space="preserve">satellite-based transmissions could cause high interference </w:t>
      </w:r>
      <w:r w:rsidR="00D63B40">
        <w:t>and</w:t>
      </w:r>
      <w:r w:rsidR="004818A1" w:rsidRPr="004818A1">
        <w:t xml:space="preserve"> potentially</w:t>
      </w:r>
      <w:r w:rsidR="00355159" w:rsidRPr="00355159">
        <w:t xml:space="preserve"> physically damage the </w:t>
      </w:r>
      <w:r w:rsidR="008F6E42" w:rsidRPr="00A85A74">
        <w:t>Radio Astronomy Service</w:t>
      </w:r>
      <w:r w:rsidR="008F6E42">
        <w:t xml:space="preserve"> </w:t>
      </w:r>
      <w:r w:rsidR="00355159" w:rsidRPr="00355159">
        <w:t>receivers</w:t>
      </w:r>
      <w:r w:rsidR="00F23DE9">
        <w:t xml:space="preserve"> in these bands.</w:t>
      </w:r>
    </w:p>
    <w:p w14:paraId="708D1D16" w14:textId="20AB0202" w:rsidR="00521CE1" w:rsidRDefault="00EE043B" w:rsidP="0083627A">
      <w:pPr>
        <w:pStyle w:val="Paragraph"/>
      </w:pPr>
      <w:r>
        <w:t xml:space="preserve">Some </w:t>
      </w:r>
      <w:r w:rsidR="0008074E">
        <w:t>submitters</w:t>
      </w:r>
      <w:r w:rsidR="00EC6963">
        <w:t xml:space="preserve"> </w:t>
      </w:r>
      <w:r w:rsidR="001B106E">
        <w:t xml:space="preserve">requested that </w:t>
      </w:r>
      <w:r w:rsidR="009D613F" w:rsidRPr="009D613F">
        <w:t xml:space="preserve">adjacent bands be included in the FYSO </w:t>
      </w:r>
      <w:r w:rsidR="000D1ADE">
        <w:t>w</w:t>
      </w:r>
      <w:r w:rsidR="009D613F" w:rsidRPr="009D613F">
        <w:t xml:space="preserve">ork </w:t>
      </w:r>
      <w:r w:rsidR="000D1ADE">
        <w:t>p</w:t>
      </w:r>
      <w:r w:rsidR="009D613F" w:rsidRPr="009D613F">
        <w:t xml:space="preserve">lan and consideration be </w:t>
      </w:r>
      <w:r w:rsidR="003E0AB7">
        <w:t>given</w:t>
      </w:r>
      <w:r w:rsidR="009D613F" w:rsidRPr="009D613F">
        <w:t xml:space="preserve"> to move</w:t>
      </w:r>
      <w:r w:rsidR="003E0AB7">
        <w:t xml:space="preserve"> </w:t>
      </w:r>
      <w:r w:rsidR="000D1ADE">
        <w:t>to the</w:t>
      </w:r>
      <w:r w:rsidR="003E0AB7">
        <w:t xml:space="preserve"> </w:t>
      </w:r>
      <w:r w:rsidR="00A93B25" w:rsidRPr="008B0EE7">
        <w:rPr>
          <w:i/>
          <w:iCs/>
        </w:rPr>
        <w:t>I</w:t>
      </w:r>
      <w:r w:rsidR="003E0AB7" w:rsidRPr="008B0EE7">
        <w:rPr>
          <w:i/>
          <w:iCs/>
        </w:rPr>
        <w:t>nitial investigation</w:t>
      </w:r>
      <w:r w:rsidR="003E0AB7">
        <w:t xml:space="preserve"> stage.</w:t>
      </w:r>
      <w:r w:rsidR="006C76F3">
        <w:t xml:space="preserve"> </w:t>
      </w:r>
      <w:r w:rsidR="00A067A0">
        <w:t>One</w:t>
      </w:r>
      <w:r w:rsidR="006C76F3">
        <w:t xml:space="preserve"> also </w:t>
      </w:r>
      <w:r w:rsidR="003E0AB7">
        <w:t>request</w:t>
      </w:r>
      <w:r w:rsidR="006C76F3">
        <w:t>ed</w:t>
      </w:r>
      <w:r w:rsidR="003E0AB7">
        <w:t xml:space="preserve"> that the ACMA preserve Q/V bands for space services and other services that successfully share the bands.</w:t>
      </w:r>
    </w:p>
    <w:p w14:paraId="2CB5C658" w14:textId="77777777" w:rsidR="00521CE1" w:rsidRDefault="00521CE1" w:rsidP="00521CE1">
      <w:pPr>
        <w:pStyle w:val="Heading3"/>
      </w:pPr>
      <w:r>
        <w:lastRenderedPageBreak/>
        <w:t>Our response</w:t>
      </w:r>
    </w:p>
    <w:p w14:paraId="5836FA57" w14:textId="0ABF6097" w:rsidR="00BF5F1F" w:rsidRPr="00B73FDC" w:rsidRDefault="00BF5F1F" w:rsidP="00BF5F1F">
      <w:r>
        <w:t xml:space="preserve">We are </w:t>
      </w:r>
      <w:r w:rsidR="002C25A5">
        <w:t xml:space="preserve">currently </w:t>
      </w:r>
      <w:r w:rsidRPr="00B73FDC">
        <w:t>monitoring developments in 40 GHz (37–43.5 GHz), 46 GHz (45.5–47 GHz), 47 GHz (47.2–48.2 GHz) and the adjacent bands 48.2–50.2 GHz and 50.4–52.4 GHz bands</w:t>
      </w:r>
      <w:r w:rsidR="00387E7D">
        <w:t>, which are c</w:t>
      </w:r>
      <w:r w:rsidRPr="00B73FDC">
        <w:t xml:space="preserve">ollectively known as Q/V bands. </w:t>
      </w:r>
    </w:p>
    <w:p w14:paraId="415A6C98" w14:textId="042DCB24" w:rsidR="008E2DF3" w:rsidRPr="00B73FDC" w:rsidRDefault="008E2DF3" w:rsidP="008E2DF3">
      <w:r w:rsidRPr="00B73FDC">
        <w:t xml:space="preserve">The satellite industry has expressed interest in the bands 37–42.5 GHz, 47.2–50.2 GHz and 50.4–52.4 GHz. </w:t>
      </w:r>
      <w:r w:rsidR="003A04BE">
        <w:t xml:space="preserve">There is interest in </w:t>
      </w:r>
      <w:r w:rsidRPr="00B73FDC">
        <w:t>in the bands 37.5</w:t>
      </w:r>
      <w:r w:rsidR="003A04BE" w:rsidRPr="00B73FDC">
        <w:t>–</w:t>
      </w:r>
      <w:r w:rsidRPr="00B73FDC">
        <w:t>43.5 GHz (identified globally for IMT at WRC-19) and 47.2</w:t>
      </w:r>
      <w:r w:rsidR="003A04BE" w:rsidRPr="00B73FDC">
        <w:t>–</w:t>
      </w:r>
      <w:r w:rsidRPr="00B73FDC">
        <w:t xml:space="preserve">48.2 GHz band (identified for IMT in Region 2 and 68 of the countries in </w:t>
      </w:r>
      <w:proofErr w:type="gramStart"/>
      <w:r w:rsidRPr="00B73FDC">
        <w:t>Region</w:t>
      </w:r>
      <w:proofErr w:type="gramEnd"/>
      <w:r w:rsidRPr="00B73FDC">
        <w:t xml:space="preserve"> 1 and Region 3</w:t>
      </w:r>
      <w:r w:rsidR="00D52E24">
        <w:t>,</w:t>
      </w:r>
      <w:r w:rsidRPr="00B73FDC">
        <w:t xml:space="preserve"> including Australia).</w:t>
      </w:r>
    </w:p>
    <w:p w14:paraId="71E12AE5" w14:textId="3787DCD1" w:rsidR="00DD6906" w:rsidRDefault="00011839" w:rsidP="000269A8">
      <w:r>
        <w:t xml:space="preserve">While not </w:t>
      </w:r>
      <w:r w:rsidR="001C451B">
        <w:t>intending</w:t>
      </w:r>
      <w:r>
        <w:t xml:space="preserve"> to </w:t>
      </w:r>
      <w:r w:rsidR="001C451B">
        <w:t>undertake</w:t>
      </w:r>
      <w:r>
        <w:t xml:space="preserve"> a full review of the bands</w:t>
      </w:r>
      <w:r w:rsidR="00B230AB">
        <w:t xml:space="preserve"> considering all potential interests</w:t>
      </w:r>
      <w:r>
        <w:t>, we</w:t>
      </w:r>
      <w:r w:rsidR="002212BD">
        <w:t xml:space="preserve"> </w:t>
      </w:r>
      <w:r w:rsidR="002212BD" w:rsidRPr="00B73FDC">
        <w:t xml:space="preserve">acknowledge that the satellite industry </w:t>
      </w:r>
      <w:r w:rsidR="002212BD">
        <w:t>is seeking greater</w:t>
      </w:r>
      <w:r w:rsidR="002212BD" w:rsidRPr="00B73FDC">
        <w:t xml:space="preserve"> certainty </w:t>
      </w:r>
      <w:r w:rsidR="003A04BE">
        <w:t>i</w:t>
      </w:r>
      <w:r w:rsidR="002212BD" w:rsidRPr="00B73FDC">
        <w:t xml:space="preserve">n </w:t>
      </w:r>
      <w:r w:rsidR="002212BD">
        <w:t>access to the spectrum</w:t>
      </w:r>
      <w:r w:rsidR="002212BD" w:rsidRPr="00B73FDC">
        <w:t xml:space="preserve"> to assist long</w:t>
      </w:r>
      <w:r w:rsidR="003A04BE">
        <w:t>-</w:t>
      </w:r>
      <w:r w:rsidR="002212BD" w:rsidRPr="00B73FDC">
        <w:t>term planning</w:t>
      </w:r>
      <w:r w:rsidR="003A04BE">
        <w:t xml:space="preserve"> (</w:t>
      </w:r>
      <w:r w:rsidR="002212BD" w:rsidRPr="00B73FDC">
        <w:t>particularly for gateway earth stations</w:t>
      </w:r>
      <w:r w:rsidR="003A04BE">
        <w:t>),</w:t>
      </w:r>
      <w:r w:rsidR="002212BD" w:rsidRPr="00B73FDC">
        <w:t xml:space="preserve"> with a number of operators looking to deploy new satellite systems in the coming years. Our understanding is that </w:t>
      </w:r>
      <w:r w:rsidR="003A04BE" w:rsidRPr="00B73FDC">
        <w:t>several</w:t>
      </w:r>
      <w:r w:rsidR="002212BD" w:rsidRPr="00B73FDC">
        <w:t xml:space="preserve"> satellite operators are looking to make decision about gateway earth stations in Australia</w:t>
      </w:r>
      <w:r w:rsidR="005C4AAA">
        <w:t>.</w:t>
      </w:r>
    </w:p>
    <w:p w14:paraId="659C34C0" w14:textId="697B79AA" w:rsidR="00EC6C1D" w:rsidRDefault="003A04BE" w:rsidP="00EC6C1D">
      <w:r>
        <w:t>I</w:t>
      </w:r>
      <w:r w:rsidR="005C4AAA" w:rsidRPr="00B73FDC">
        <w:t xml:space="preserve">n the interim, we have </w:t>
      </w:r>
      <w:r w:rsidR="00031BF6">
        <w:t xml:space="preserve">outlined </w:t>
      </w:r>
      <w:r w:rsidR="00094154">
        <w:t>relevant considerations</w:t>
      </w:r>
      <w:r w:rsidR="009278ED">
        <w:t xml:space="preserve"> </w:t>
      </w:r>
      <w:r w:rsidR="005C4AAA" w:rsidRPr="00B73FDC">
        <w:t xml:space="preserve">below for </w:t>
      </w:r>
      <w:r w:rsidR="005C4AAA">
        <w:t xml:space="preserve">guiding </w:t>
      </w:r>
      <w:r>
        <w:t xml:space="preserve">our </w:t>
      </w:r>
      <w:r w:rsidR="00550E49">
        <w:t xml:space="preserve">decision-making </w:t>
      </w:r>
      <w:r w:rsidR="00E57298">
        <w:t>about</w:t>
      </w:r>
      <w:r w:rsidR="005C4AAA" w:rsidRPr="00B73FDC">
        <w:t xml:space="preserve"> licence applications for gateway earth stations in</w:t>
      </w:r>
      <w:r w:rsidR="005C4AAA">
        <w:t xml:space="preserve"> these bands</w:t>
      </w:r>
      <w:r w:rsidR="005C4AAA" w:rsidRPr="00B73FDC">
        <w:t>.</w:t>
      </w:r>
      <w:r w:rsidR="005C4AAA">
        <w:t xml:space="preserve"> </w:t>
      </w:r>
      <w:r>
        <w:t xml:space="preserve">Our </w:t>
      </w:r>
      <w:r w:rsidR="005C4AAA">
        <w:t>intent is to provide a consistent framework for considering early requests for gateway earth stations</w:t>
      </w:r>
      <w:r w:rsidR="00EC6C1D">
        <w:t xml:space="preserve"> while not compromising </w:t>
      </w:r>
      <w:r>
        <w:t xml:space="preserve">our </w:t>
      </w:r>
      <w:r w:rsidR="00EC6C1D">
        <w:t xml:space="preserve">ability to conduct a thorough review of the bands to determine what arrangements best serve the </w:t>
      </w:r>
      <w:r w:rsidR="00D52E24">
        <w:t>long-term</w:t>
      </w:r>
      <w:r w:rsidR="00EC6C1D">
        <w:t xml:space="preserve"> interests of end users of the spectrum.</w:t>
      </w:r>
    </w:p>
    <w:p w14:paraId="6C93628F" w14:textId="790E0DC2" w:rsidR="008A4AEC" w:rsidRPr="00B73FDC" w:rsidRDefault="00CB6C04" w:rsidP="000D16B8">
      <w:pPr>
        <w:pStyle w:val="Paragraphbeforelist"/>
      </w:pPr>
      <w:r>
        <w:t>Relevant c</w:t>
      </w:r>
      <w:r w:rsidR="00EC37B7">
        <w:t xml:space="preserve">onsiderations </w:t>
      </w:r>
      <w:r>
        <w:t>include:</w:t>
      </w:r>
    </w:p>
    <w:p w14:paraId="3E28E6DE" w14:textId="11B13ED9" w:rsidR="008A4AEC" w:rsidRPr="00B73FDC" w:rsidRDefault="00BD2B94" w:rsidP="008A4AEC">
      <w:pPr>
        <w:pStyle w:val="Bulletlevel1"/>
      </w:pPr>
      <w:r>
        <w:t>D</w:t>
      </w:r>
      <w:r w:rsidR="008A4AEC">
        <w:t xml:space="preserve">emand for services in these bands </w:t>
      </w:r>
      <w:r>
        <w:t>is</w:t>
      </w:r>
      <w:r w:rsidR="008A4AEC">
        <w:t xml:space="preserve"> likely to vary based on geography and population. This means that the likelihood of changes in planning arrangements will vary between areas</w:t>
      </w:r>
      <w:r w:rsidR="003A04BE">
        <w:t>,</w:t>
      </w:r>
      <w:r w:rsidR="008A4AEC">
        <w:t xml:space="preserve"> which influences the degree of certainty that </w:t>
      </w:r>
      <w:r w:rsidR="003A04BE">
        <w:t>we</w:t>
      </w:r>
      <w:r w:rsidR="008A4AEC">
        <w:t xml:space="preserve"> can provide to earth station operators in the interim period </w:t>
      </w:r>
      <w:r w:rsidR="003A04BE">
        <w:t>before</w:t>
      </w:r>
      <w:r w:rsidR="008A4AEC">
        <w:t xml:space="preserve"> a full review of the band. </w:t>
      </w:r>
      <w:r w:rsidR="003A04BE">
        <w:t>A</w:t>
      </w:r>
      <w:r w:rsidR="008A4AEC">
        <w:t xml:space="preserve">rrangements for 26/28 GHz bands were defined in </w:t>
      </w:r>
      <w:hyperlink r:id="rId34" w:history="1">
        <w:r w:rsidR="008A4AEC" w:rsidRPr="000D16B8">
          <w:rPr>
            <w:rStyle w:val="Hyperlink"/>
          </w:rPr>
          <w:t>Radiocommunications (Spectrum Re-allocation—26 GHz band) Declaration 2019</w:t>
        </w:r>
      </w:hyperlink>
      <w:r w:rsidR="008A4AEC" w:rsidRPr="003A04BE">
        <w:t xml:space="preserve">. </w:t>
      </w:r>
      <w:r w:rsidR="003A04BE">
        <w:t>T</w:t>
      </w:r>
      <w:r w:rsidR="008A4AEC">
        <w:t>hese areas are relevant to consideration of future arrangement</w:t>
      </w:r>
      <w:r w:rsidR="003A04BE">
        <w:t>s</w:t>
      </w:r>
      <w:r w:rsidR="008A4AEC">
        <w:t xml:space="preserve"> for Q/V band spectrum and useful in developing interim guidance. </w:t>
      </w:r>
    </w:p>
    <w:p w14:paraId="422D9C27" w14:textId="54B914AB" w:rsidR="008A4AEC" w:rsidRPr="00B73FDC" w:rsidRDefault="008A4AEC" w:rsidP="008A4AEC">
      <w:pPr>
        <w:pStyle w:val="Bulletlevel1"/>
      </w:pPr>
      <w:r w:rsidRPr="00B73FDC">
        <w:t>IMT interest in the bands 37.5</w:t>
      </w:r>
      <w:r w:rsidR="003A04BE" w:rsidRPr="00B73FDC">
        <w:t>–</w:t>
      </w:r>
      <w:r w:rsidRPr="00B73FDC">
        <w:t>43.5 GHz (identified globally for IMT at WRC-19) and 47.2</w:t>
      </w:r>
      <w:r w:rsidR="003A04BE" w:rsidRPr="00B73FDC">
        <w:t>–</w:t>
      </w:r>
      <w:r w:rsidRPr="00B73FDC">
        <w:t xml:space="preserve">48.2 GHz band (identified for IMT in Region 2 and 68 of the countries in </w:t>
      </w:r>
      <w:proofErr w:type="gramStart"/>
      <w:r w:rsidRPr="00B73FDC">
        <w:t>Region</w:t>
      </w:r>
      <w:proofErr w:type="gramEnd"/>
      <w:r w:rsidRPr="00B73FDC">
        <w:t xml:space="preserve"> 1 and Region 3</w:t>
      </w:r>
      <w:r w:rsidR="003A04BE">
        <w:t>,</w:t>
      </w:r>
      <w:r w:rsidRPr="00B73FDC">
        <w:t xml:space="preserve"> including Australia).</w:t>
      </w:r>
    </w:p>
    <w:p w14:paraId="17A5A961" w14:textId="5304304E" w:rsidR="005C6253" w:rsidRDefault="008A4AEC" w:rsidP="008A4AEC">
      <w:pPr>
        <w:pStyle w:val="Bulletlevel1"/>
      </w:pPr>
      <w:r w:rsidRPr="00B73FDC">
        <w:t>Satellite interest in the bands 37–42.5 GHz, 47.2–50.2 GHz and 50.4–52.4 GHz</w:t>
      </w:r>
      <w:r w:rsidR="00643B0D">
        <w:t>.</w:t>
      </w:r>
      <w:r>
        <w:t xml:space="preserve"> </w:t>
      </w:r>
    </w:p>
    <w:p w14:paraId="6ACC6546" w14:textId="6C83B875" w:rsidR="008A4AEC" w:rsidRPr="0064709A" w:rsidRDefault="00643B0D" w:rsidP="0064709A">
      <w:pPr>
        <w:pStyle w:val="ListBullet"/>
        <w:rPr>
          <w:rFonts w:ascii="Calibri" w:hAnsi="Calibri"/>
        </w:rPr>
      </w:pPr>
      <w:r>
        <w:t>That Q/V satellite systems are expected to have high gain, narrow beamwidth and high antenna elevation. This is likely to result in smaller coordination zones (compared to lower frequency bands) that facilitate sharing with terrestrial services</w:t>
      </w:r>
      <w:r w:rsidR="002778AE">
        <w:t>.</w:t>
      </w:r>
      <w:r w:rsidR="008A4AEC">
        <w:rPr>
          <w:rStyle w:val="FootnoteReference"/>
        </w:rPr>
        <w:footnoteReference w:id="4"/>
      </w:r>
    </w:p>
    <w:p w14:paraId="3E5617DB" w14:textId="79343FB5" w:rsidR="008A4AEC" w:rsidRDefault="00DE73A9" w:rsidP="008A4AEC">
      <w:pPr>
        <w:pStyle w:val="Bulletlevel1"/>
      </w:pPr>
      <w:r>
        <w:t xml:space="preserve">The application of </w:t>
      </w:r>
      <w:r w:rsidR="008A4AEC" w:rsidRPr="00B73FDC">
        <w:t xml:space="preserve">ACMA </w:t>
      </w:r>
      <w:hyperlink r:id="rId35" w:history="1">
        <w:r w:rsidR="008A4AEC" w:rsidRPr="00F06EFA">
          <w:rPr>
            <w:rStyle w:val="Hyperlink"/>
          </w:rPr>
          <w:t>spectrum embargo</w:t>
        </w:r>
      </w:hyperlink>
      <w:r w:rsidR="008A4AEC" w:rsidRPr="00B73FDC">
        <w:t xml:space="preserve"> 49 (Mingenew) supports the develop</w:t>
      </w:r>
      <w:r w:rsidR="002778AE">
        <w:t>ment</w:t>
      </w:r>
      <w:r w:rsidR="008A4AEC" w:rsidRPr="00B73FDC">
        <w:t xml:space="preserve"> of space communications facilities in the general area of the Mingenew site in the bands 37.5</w:t>
      </w:r>
      <w:r w:rsidR="002778AE" w:rsidRPr="00B73FDC">
        <w:t>–</w:t>
      </w:r>
      <w:r w:rsidR="008A4AEC" w:rsidRPr="00B73FDC">
        <w:t>43.5 GHz and  47.2</w:t>
      </w:r>
      <w:r w:rsidR="002778AE" w:rsidRPr="00B73FDC">
        <w:t>–</w:t>
      </w:r>
      <w:r w:rsidR="008A4AEC" w:rsidRPr="00B73FDC">
        <w:t>51.4 GHz</w:t>
      </w:r>
      <w:r w:rsidR="002778AE">
        <w:t>.</w:t>
      </w:r>
    </w:p>
    <w:p w14:paraId="07DDF5EB" w14:textId="7C71F697" w:rsidR="008A4AEC" w:rsidRDefault="00DE73A9" w:rsidP="008A4AEC">
      <w:pPr>
        <w:pStyle w:val="Bulletlevel1"/>
      </w:pPr>
      <w:r>
        <w:t xml:space="preserve">The application of </w:t>
      </w:r>
      <w:r w:rsidR="008A4AEC">
        <w:t xml:space="preserve">RALI </w:t>
      </w:r>
      <w:hyperlink r:id="rId36" w:history="1">
        <w:r w:rsidR="008A4AEC" w:rsidRPr="00F06EFA">
          <w:rPr>
            <w:rStyle w:val="Hyperlink"/>
          </w:rPr>
          <w:t>MS 44</w:t>
        </w:r>
      </w:hyperlink>
      <w:r w:rsidR="008A4AEC">
        <w:t xml:space="preserve"> (Frequency coordination procedures for the earth station protection zones) provides </w:t>
      </w:r>
      <w:r w:rsidR="008A4AEC" w:rsidRPr="00C17D95">
        <w:t xml:space="preserve">a framework for the </w:t>
      </w:r>
      <w:r w:rsidR="008A4AEC">
        <w:t xml:space="preserve">management of </w:t>
      </w:r>
      <w:r w:rsidR="008A4AEC" w:rsidRPr="00C17D95">
        <w:t xml:space="preserve">interference </w:t>
      </w:r>
      <w:r w:rsidR="008A4AEC">
        <w:t xml:space="preserve">to and from earth stations in </w:t>
      </w:r>
      <w:r w:rsidR="008A4AEC" w:rsidRPr="00355A99">
        <w:t>Moree</w:t>
      </w:r>
      <w:r w:rsidR="008A4AEC">
        <w:t xml:space="preserve">, </w:t>
      </w:r>
      <w:r w:rsidR="008A4AEC" w:rsidRPr="00355A99">
        <w:t>Quirindi</w:t>
      </w:r>
      <w:r w:rsidR="008A4AEC">
        <w:t xml:space="preserve"> and </w:t>
      </w:r>
      <w:r w:rsidR="008A4AEC" w:rsidRPr="00355A99">
        <w:t>Roma</w:t>
      </w:r>
      <w:r w:rsidR="008A4AEC">
        <w:t xml:space="preserve"> communicating with</w:t>
      </w:r>
      <w:r w:rsidR="0064180E">
        <w:t xml:space="preserve"> fixed-satellite service</w:t>
      </w:r>
      <w:r w:rsidR="008A4AEC">
        <w:t xml:space="preserve"> </w:t>
      </w:r>
      <w:r w:rsidR="0064180E">
        <w:t>(</w:t>
      </w:r>
      <w:r w:rsidR="002778AE">
        <w:t>FSS</w:t>
      </w:r>
      <w:r w:rsidR="0064180E">
        <w:t>)</w:t>
      </w:r>
      <w:r w:rsidR="002778AE">
        <w:t xml:space="preserve"> </w:t>
      </w:r>
      <w:r w:rsidR="008A4AEC">
        <w:t>space stations in the bands 37.5</w:t>
      </w:r>
      <w:r w:rsidR="002778AE" w:rsidRPr="00B73FDC">
        <w:t>–</w:t>
      </w:r>
      <w:r w:rsidR="008A4AEC">
        <w:lastRenderedPageBreak/>
        <w:t>42.5 GHz (space-to-</w:t>
      </w:r>
      <w:r w:rsidR="002778AE">
        <w:t>e</w:t>
      </w:r>
      <w:r w:rsidR="008A4AEC">
        <w:t>arth) and 42.5–43.5 GHz, 47.2</w:t>
      </w:r>
      <w:r w:rsidR="002778AE" w:rsidRPr="00B73FDC">
        <w:t>–</w:t>
      </w:r>
      <w:r w:rsidR="008A4AEC">
        <w:t>50.2 GHz and 50.4–51.4 GHz (</w:t>
      </w:r>
      <w:r w:rsidR="002778AE">
        <w:t>e</w:t>
      </w:r>
      <w:r w:rsidR="008A4AEC">
        <w:t xml:space="preserve">arth-to-space). </w:t>
      </w:r>
      <w:r w:rsidR="002778AE">
        <w:t>The</w:t>
      </w:r>
      <w:r w:rsidR="008A4AEC">
        <w:t xml:space="preserve"> v</w:t>
      </w:r>
      <w:r w:rsidR="008A4AEC" w:rsidRPr="001E7666">
        <w:rPr>
          <w:szCs w:val="22"/>
        </w:rPr>
        <w:t xml:space="preserve">iability of </w:t>
      </w:r>
      <w:r w:rsidR="008A4AEC">
        <w:rPr>
          <w:szCs w:val="22"/>
        </w:rPr>
        <w:t xml:space="preserve">retaining all </w:t>
      </w:r>
      <w:r w:rsidR="002778AE">
        <w:rPr>
          <w:szCs w:val="22"/>
        </w:rPr>
        <w:t xml:space="preserve">3 </w:t>
      </w:r>
      <w:r w:rsidR="008A4AEC">
        <w:rPr>
          <w:szCs w:val="22"/>
        </w:rPr>
        <w:t>of these</w:t>
      </w:r>
      <w:r w:rsidR="008A4AEC" w:rsidRPr="001E7666">
        <w:rPr>
          <w:szCs w:val="22"/>
        </w:rPr>
        <w:t xml:space="preserve"> zones will be </w:t>
      </w:r>
      <w:r w:rsidR="008A4AEC">
        <w:rPr>
          <w:szCs w:val="22"/>
        </w:rPr>
        <w:t>regularly</w:t>
      </w:r>
      <w:r w:rsidR="008A4AEC" w:rsidRPr="001E7666">
        <w:rPr>
          <w:szCs w:val="22"/>
        </w:rPr>
        <w:t xml:space="preserve"> reviewed and amended as required to ensure efficient use of the spectrum.</w:t>
      </w:r>
    </w:p>
    <w:p w14:paraId="692FE52D" w14:textId="5C7DCAD0" w:rsidR="008A4AEC" w:rsidRDefault="008A4AEC" w:rsidP="008A4AEC">
      <w:pPr>
        <w:pStyle w:val="ListBullet"/>
      </w:pPr>
      <w:r>
        <w:t xml:space="preserve">Use by </w:t>
      </w:r>
      <w:r w:rsidRPr="005E65F9">
        <w:t>fixed</w:t>
      </w:r>
      <w:r>
        <w:t xml:space="preserve"> point</w:t>
      </w:r>
      <w:r w:rsidR="00387E7D">
        <w:t>-</w:t>
      </w:r>
      <w:r>
        <w:t>to</w:t>
      </w:r>
      <w:r w:rsidR="00387E7D">
        <w:t>-</w:t>
      </w:r>
      <w:r>
        <w:t xml:space="preserve">point links in accordance with </w:t>
      </w:r>
      <w:hyperlink r:id="rId37" w:history="1">
        <w:r w:rsidRPr="00F06EFA">
          <w:rPr>
            <w:rStyle w:val="Hyperlink"/>
          </w:rPr>
          <w:t>RALI FX3</w:t>
        </w:r>
      </w:hyperlink>
      <w:r>
        <w:t xml:space="preserve"> for the 38 GHz band (37</w:t>
      </w:r>
      <w:r w:rsidR="002778AE" w:rsidRPr="00B73FDC">
        <w:t>–</w:t>
      </w:r>
      <w:r>
        <w:t>39.5 GHz), 49 GHz Band (49.2</w:t>
      </w:r>
      <w:r w:rsidR="002778AE" w:rsidRPr="00B73FDC">
        <w:t>–</w:t>
      </w:r>
      <w:r>
        <w:t>49.95 GHz) and 50 GHz Band (50.4</w:t>
      </w:r>
      <w:r w:rsidR="002778AE" w:rsidRPr="00B73FDC">
        <w:t>–</w:t>
      </w:r>
      <w:r>
        <w:t>51.15 GHz).</w:t>
      </w:r>
    </w:p>
    <w:p w14:paraId="7396F458" w14:textId="7E8E0E50" w:rsidR="00285C66" w:rsidRDefault="00285C66" w:rsidP="00A77CDB">
      <w:pPr>
        <w:pStyle w:val="Bulletlevel1last"/>
      </w:pPr>
      <w:r w:rsidRPr="002778AE">
        <w:t>Requirements</w:t>
      </w:r>
      <w:r w:rsidRPr="00B73FDC">
        <w:t xml:space="preserve"> specified in interim arrangements may change</w:t>
      </w:r>
      <w:r>
        <w:t xml:space="preserve">, as further information and learnings are gained and/or as a result of a </w:t>
      </w:r>
      <w:r w:rsidRPr="00B73FDC">
        <w:t>review of these band</w:t>
      </w:r>
      <w:r>
        <w:t>s.</w:t>
      </w:r>
    </w:p>
    <w:p w14:paraId="3EB17CCB" w14:textId="4B615E0C" w:rsidR="008A4AEC" w:rsidRDefault="0047058E" w:rsidP="00A77CDB">
      <w:pPr>
        <w:pStyle w:val="Paragraph"/>
        <w:rPr>
          <w:szCs w:val="22"/>
        </w:rPr>
      </w:pPr>
      <w:r>
        <w:t>T</w:t>
      </w:r>
      <w:r w:rsidR="00D86A26">
        <w:t>he process</w:t>
      </w:r>
      <w:r w:rsidR="008A4AEC">
        <w:t xml:space="preserve"> for considering earth station licence applications in the interim are outlined in Table 1.  </w:t>
      </w:r>
    </w:p>
    <w:p w14:paraId="3A0D4A05" w14:textId="553C943D" w:rsidR="008A4AEC" w:rsidRPr="00E162C4" w:rsidRDefault="008A4AEC" w:rsidP="008A4AEC">
      <w:pPr>
        <w:pStyle w:val="Tableheading"/>
      </w:pPr>
      <w:bookmarkStart w:id="17" w:name="_Hlk138340342"/>
      <w:r>
        <w:t>Interim Q/V band earth station licensing pr</w:t>
      </w:r>
      <w:r w:rsidR="00D86A26">
        <w:t>ocess</w:t>
      </w:r>
    </w:p>
    <w:tbl>
      <w:tblPr>
        <w:tblStyle w:val="ACMAtablestyle"/>
        <w:tblW w:w="9209" w:type="dxa"/>
        <w:tblLayout w:type="fixed"/>
        <w:tblLook w:val="01E0" w:firstRow="1" w:lastRow="1" w:firstColumn="1" w:lastColumn="1" w:noHBand="0" w:noVBand="0"/>
        <w:tblCaption w:val="Table title to go here"/>
        <w:tblDescription w:val="Table description to go here"/>
      </w:tblPr>
      <w:tblGrid>
        <w:gridCol w:w="2830"/>
        <w:gridCol w:w="3261"/>
        <w:gridCol w:w="3118"/>
      </w:tblGrid>
      <w:tr w:rsidR="008A4AEC" w:rsidRPr="00E162C4" w14:paraId="59B35F0D" w14:textId="77777777" w:rsidTr="0049255C">
        <w:trPr>
          <w:cnfStyle w:val="100000000000" w:firstRow="1" w:lastRow="0" w:firstColumn="0" w:lastColumn="0" w:oddVBand="0" w:evenVBand="0" w:oddHBand="0" w:evenHBand="0" w:firstRowFirstColumn="0" w:firstRowLastColumn="0" w:lastRowFirstColumn="0" w:lastRowLastColumn="0"/>
          <w:trHeight w:val="57"/>
        </w:trPr>
        <w:tc>
          <w:tcPr>
            <w:tcW w:w="2830" w:type="dxa"/>
            <w:vMerge w:val="restart"/>
          </w:tcPr>
          <w:p w14:paraId="2ADD663A" w14:textId="77777777" w:rsidR="008A4AEC" w:rsidRPr="00E162C4" w:rsidRDefault="008A4AEC">
            <w:pPr>
              <w:pStyle w:val="Tableheaderrow"/>
            </w:pPr>
            <w:r>
              <w:t xml:space="preserve">Area </w:t>
            </w:r>
          </w:p>
        </w:tc>
        <w:tc>
          <w:tcPr>
            <w:tcW w:w="6379" w:type="dxa"/>
            <w:gridSpan w:val="2"/>
          </w:tcPr>
          <w:p w14:paraId="0AA792B2" w14:textId="77777777" w:rsidR="008A4AEC" w:rsidRPr="00A85C35" w:rsidRDefault="008A4AEC">
            <w:pPr>
              <w:pStyle w:val="Tableheaderrow"/>
              <w:jc w:val="center"/>
            </w:pPr>
            <w:r>
              <w:rPr>
                <w:szCs w:val="22"/>
              </w:rPr>
              <w:t>Frequency band</w:t>
            </w:r>
          </w:p>
        </w:tc>
      </w:tr>
      <w:tr w:rsidR="008A4AEC" w:rsidRPr="00E162C4" w14:paraId="614A8F0D" w14:textId="77777777" w:rsidTr="00020F06">
        <w:trPr>
          <w:cnfStyle w:val="000000100000" w:firstRow="0" w:lastRow="0" w:firstColumn="0" w:lastColumn="0" w:oddVBand="0" w:evenVBand="0" w:oddHBand="1" w:evenHBand="0" w:firstRowFirstColumn="0" w:firstRowLastColumn="0" w:lastRowFirstColumn="0" w:lastRowLastColumn="0"/>
          <w:trHeight w:val="397"/>
        </w:trPr>
        <w:tc>
          <w:tcPr>
            <w:tcW w:w="2830" w:type="dxa"/>
            <w:vMerge/>
          </w:tcPr>
          <w:p w14:paraId="51524BE4" w14:textId="77777777" w:rsidR="008A4AEC" w:rsidRPr="00E162C4" w:rsidRDefault="008A4AEC">
            <w:pPr>
              <w:pStyle w:val="Tableheaderrow"/>
            </w:pPr>
          </w:p>
        </w:tc>
        <w:tc>
          <w:tcPr>
            <w:tcW w:w="3261" w:type="dxa"/>
          </w:tcPr>
          <w:p w14:paraId="5D363F52" w14:textId="77777777" w:rsidR="008A4AEC" w:rsidRPr="00B73FDC" w:rsidRDefault="008A4AEC">
            <w:pPr>
              <w:pStyle w:val="Bulletlevel1"/>
              <w:numPr>
                <w:ilvl w:val="0"/>
                <w:numId w:val="0"/>
              </w:numPr>
              <w:rPr>
                <w:b/>
                <w:bCs/>
                <w:szCs w:val="22"/>
              </w:rPr>
            </w:pPr>
            <w:r w:rsidRPr="00B73FDC">
              <w:rPr>
                <w:b/>
                <w:bCs/>
                <w:szCs w:val="22"/>
              </w:rPr>
              <w:t xml:space="preserve">Bands identified for </w:t>
            </w:r>
            <w:proofErr w:type="gramStart"/>
            <w:r w:rsidRPr="00B73FDC">
              <w:rPr>
                <w:b/>
                <w:bCs/>
                <w:szCs w:val="22"/>
              </w:rPr>
              <w:t>IMT</w:t>
            </w:r>
            <w:proofErr w:type="gramEnd"/>
          </w:p>
          <w:p w14:paraId="0528104C" w14:textId="3CBD9E9D" w:rsidR="008A4AEC" w:rsidRDefault="008A4AEC">
            <w:pPr>
              <w:pStyle w:val="Tableheaderrow"/>
              <w:rPr>
                <w:szCs w:val="22"/>
              </w:rPr>
            </w:pPr>
            <w:r w:rsidRPr="00B73FDC">
              <w:rPr>
                <w:b w:val="0"/>
                <w:bCs/>
                <w:szCs w:val="22"/>
              </w:rPr>
              <w:t>(37.5</w:t>
            </w:r>
            <w:r w:rsidR="002778AE" w:rsidRPr="00A822E0">
              <w:rPr>
                <w:b w:val="0"/>
                <w:bCs/>
              </w:rPr>
              <w:t>–</w:t>
            </w:r>
            <w:r w:rsidRPr="00B73FDC">
              <w:rPr>
                <w:b w:val="0"/>
                <w:bCs/>
                <w:szCs w:val="22"/>
              </w:rPr>
              <w:t>43.5 GHz, 47.2</w:t>
            </w:r>
            <w:r w:rsidR="002778AE" w:rsidRPr="00A822E0">
              <w:rPr>
                <w:b w:val="0"/>
                <w:bCs/>
              </w:rPr>
              <w:t>–</w:t>
            </w:r>
            <w:r w:rsidRPr="00B73FDC">
              <w:rPr>
                <w:b w:val="0"/>
                <w:bCs/>
                <w:szCs w:val="22"/>
              </w:rPr>
              <w:t>48.2 GHz)</w:t>
            </w:r>
          </w:p>
        </w:tc>
        <w:tc>
          <w:tcPr>
            <w:tcW w:w="3118" w:type="dxa"/>
          </w:tcPr>
          <w:p w14:paraId="6D05EF7A" w14:textId="77777777" w:rsidR="008A4AEC" w:rsidRPr="00B73FDC" w:rsidRDefault="008A4AEC">
            <w:pPr>
              <w:pStyle w:val="Bulletlevel1"/>
              <w:numPr>
                <w:ilvl w:val="0"/>
                <w:numId w:val="0"/>
              </w:numPr>
              <w:rPr>
                <w:b/>
                <w:bCs/>
                <w:szCs w:val="22"/>
              </w:rPr>
            </w:pPr>
            <w:r w:rsidRPr="00B73FDC">
              <w:rPr>
                <w:b/>
                <w:bCs/>
                <w:szCs w:val="22"/>
              </w:rPr>
              <w:t>Band</w:t>
            </w:r>
            <w:r>
              <w:rPr>
                <w:b/>
                <w:bCs/>
                <w:szCs w:val="22"/>
              </w:rPr>
              <w:t>s</w:t>
            </w:r>
            <w:r w:rsidRPr="00B73FDC">
              <w:rPr>
                <w:b/>
                <w:bCs/>
                <w:szCs w:val="22"/>
              </w:rPr>
              <w:t xml:space="preserve"> not identif</w:t>
            </w:r>
            <w:r>
              <w:rPr>
                <w:b/>
                <w:bCs/>
                <w:szCs w:val="22"/>
              </w:rPr>
              <w:t>ied</w:t>
            </w:r>
            <w:r w:rsidRPr="00B73FDC">
              <w:rPr>
                <w:b/>
                <w:bCs/>
                <w:szCs w:val="22"/>
              </w:rPr>
              <w:t xml:space="preserve"> for </w:t>
            </w:r>
            <w:proofErr w:type="gramStart"/>
            <w:r w:rsidRPr="00B73FDC">
              <w:rPr>
                <w:b/>
                <w:bCs/>
                <w:szCs w:val="22"/>
              </w:rPr>
              <w:t>IMT</w:t>
            </w:r>
            <w:proofErr w:type="gramEnd"/>
            <w:r w:rsidRPr="00B73FDC">
              <w:rPr>
                <w:b/>
                <w:bCs/>
                <w:szCs w:val="22"/>
              </w:rPr>
              <w:t xml:space="preserve"> </w:t>
            </w:r>
          </w:p>
          <w:p w14:paraId="17C0FA2F" w14:textId="1B39DADD" w:rsidR="008A4AEC" w:rsidRDefault="008A4AEC">
            <w:pPr>
              <w:pStyle w:val="Tableheaderrow"/>
              <w:rPr>
                <w:szCs w:val="22"/>
              </w:rPr>
            </w:pPr>
            <w:r w:rsidRPr="00B73FDC">
              <w:rPr>
                <w:b w:val="0"/>
                <w:bCs/>
                <w:szCs w:val="22"/>
              </w:rPr>
              <w:t>(48.2</w:t>
            </w:r>
            <w:r w:rsidR="002778AE" w:rsidRPr="00E9104C">
              <w:rPr>
                <w:b w:val="0"/>
                <w:bCs/>
              </w:rPr>
              <w:t>–</w:t>
            </w:r>
            <w:r w:rsidRPr="00B73FDC">
              <w:rPr>
                <w:b w:val="0"/>
                <w:bCs/>
                <w:szCs w:val="22"/>
              </w:rPr>
              <w:t>50.2 GHz, 50.4</w:t>
            </w:r>
            <w:r w:rsidR="002778AE" w:rsidRPr="00E9104C">
              <w:rPr>
                <w:b w:val="0"/>
                <w:bCs/>
              </w:rPr>
              <w:t>–</w:t>
            </w:r>
            <w:r w:rsidRPr="00B73FDC">
              <w:rPr>
                <w:b w:val="0"/>
                <w:bCs/>
                <w:szCs w:val="22"/>
              </w:rPr>
              <w:t>52.4 GHz)</w:t>
            </w:r>
          </w:p>
        </w:tc>
      </w:tr>
    </w:tbl>
    <w:tbl>
      <w:tblPr>
        <w:tblStyle w:val="ListTable2"/>
        <w:tblW w:w="9214" w:type="dxa"/>
        <w:tblBorders>
          <w:insideV w:val="single" w:sz="4" w:space="0" w:color="666666" w:themeColor="text1" w:themeTint="99"/>
        </w:tblBorders>
        <w:tblLook w:val="04A0" w:firstRow="1" w:lastRow="0" w:firstColumn="1" w:lastColumn="0" w:noHBand="0" w:noVBand="1"/>
        <w:tblCaption w:val="Table title to go here"/>
        <w:tblDescription w:val="Table description to go here"/>
      </w:tblPr>
      <w:tblGrid>
        <w:gridCol w:w="2835"/>
        <w:gridCol w:w="3261"/>
        <w:gridCol w:w="3118"/>
      </w:tblGrid>
      <w:tr w:rsidR="008A4AEC" w14:paraId="44367367" w14:textId="77777777" w:rsidTr="00020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45EC57C" w14:textId="220F36D7" w:rsidR="008A4AEC" w:rsidRPr="002778AE" w:rsidRDefault="008A4AEC">
            <w:pPr>
              <w:pStyle w:val="Bulletlevel1"/>
              <w:numPr>
                <w:ilvl w:val="0"/>
                <w:numId w:val="0"/>
              </w:numPr>
              <w:rPr>
                <w:b w:val="0"/>
                <w:bCs w:val="0"/>
              </w:rPr>
            </w:pPr>
            <w:r w:rsidRPr="002778AE">
              <w:t xml:space="preserve">Embargo 49 (Mingenew), east coast earth station protection zones as specified (MS 44) </w:t>
            </w:r>
          </w:p>
          <w:p w14:paraId="42CADEC5" w14:textId="77777777" w:rsidR="008A4AEC" w:rsidRPr="00A77CDB" w:rsidRDefault="008A4AEC">
            <w:pPr>
              <w:pStyle w:val="Bulletlevel1"/>
              <w:numPr>
                <w:ilvl w:val="0"/>
                <w:numId w:val="0"/>
              </w:numPr>
              <w:rPr>
                <w:b w:val="0"/>
                <w:bCs w:val="0"/>
              </w:rPr>
            </w:pPr>
            <w:r w:rsidRPr="002778AE">
              <w:t>(Moree, Quirindi and Roma)</w:t>
            </w:r>
          </w:p>
        </w:tc>
        <w:tc>
          <w:tcPr>
            <w:tcW w:w="3261" w:type="dxa"/>
          </w:tcPr>
          <w:p w14:paraId="7BD0F24C" w14:textId="77777777" w:rsidR="008A4AEC" w:rsidRPr="003557C7" w:rsidRDefault="008A4AEC" w:rsidP="00A77CDB">
            <w:pPr>
              <w:pStyle w:val="Bulletlevel1"/>
              <w:numPr>
                <w:ilvl w:val="0"/>
                <w:numId w:val="0"/>
              </w:numPr>
              <w:spacing w:after="120"/>
              <w:cnfStyle w:val="100000000000" w:firstRow="1" w:lastRow="0" w:firstColumn="0" w:lastColumn="0" w:oddVBand="0" w:evenVBand="0" w:oddHBand="0" w:evenHBand="0" w:firstRowFirstColumn="0" w:firstRowLastColumn="0" w:lastRowFirstColumn="0" w:lastRowLastColumn="0"/>
              <w:rPr>
                <w:b w:val="0"/>
                <w:bCs w:val="0"/>
              </w:rPr>
            </w:pPr>
            <w:r w:rsidRPr="003557C7">
              <w:rPr>
                <w:b w:val="0"/>
                <w:bCs w:val="0"/>
              </w:rPr>
              <w:t xml:space="preserve">Normal application process </w:t>
            </w:r>
            <w:r>
              <w:rPr>
                <w:b w:val="0"/>
                <w:bCs w:val="0"/>
              </w:rPr>
              <w:t>and no specific conditions related to potential replanning of the band.</w:t>
            </w:r>
          </w:p>
          <w:p w14:paraId="19EC396F" w14:textId="77777777" w:rsidR="008A4AEC" w:rsidRPr="003557C7" w:rsidRDefault="008A4AEC" w:rsidP="00A77CDB">
            <w:pPr>
              <w:pStyle w:val="Bulletlevel1"/>
              <w:numPr>
                <w:ilvl w:val="0"/>
                <w:numId w:val="0"/>
              </w:numPr>
              <w:spacing w:after="0"/>
              <w:cnfStyle w:val="100000000000" w:firstRow="1" w:lastRow="0" w:firstColumn="0" w:lastColumn="0" w:oddVBand="0" w:evenVBand="0" w:oddHBand="0" w:evenHBand="0" w:firstRowFirstColumn="0" w:firstRowLastColumn="0" w:lastRowFirstColumn="0" w:lastRowLastColumn="0"/>
              <w:rPr>
                <w:b w:val="0"/>
                <w:bCs w:val="0"/>
              </w:rPr>
            </w:pPr>
            <w:r w:rsidRPr="003557C7">
              <w:rPr>
                <w:b w:val="0"/>
                <w:bCs w:val="0"/>
              </w:rPr>
              <w:t>Considered an incumbent</w:t>
            </w:r>
            <w:r>
              <w:rPr>
                <w:rStyle w:val="FootnoteReference"/>
                <w:b w:val="0"/>
                <w:bCs w:val="0"/>
              </w:rPr>
              <w:footnoteReference w:id="5"/>
            </w:r>
            <w:r w:rsidRPr="003557C7">
              <w:rPr>
                <w:b w:val="0"/>
                <w:bCs w:val="0"/>
              </w:rPr>
              <w:t xml:space="preserve"> for </w:t>
            </w:r>
            <w:r>
              <w:rPr>
                <w:b w:val="0"/>
                <w:bCs w:val="0"/>
              </w:rPr>
              <w:t xml:space="preserve">future </w:t>
            </w:r>
            <w:r w:rsidRPr="003557C7">
              <w:rPr>
                <w:b w:val="0"/>
                <w:bCs w:val="0"/>
              </w:rPr>
              <w:t>replanning purposes</w:t>
            </w:r>
            <w:r>
              <w:rPr>
                <w:b w:val="0"/>
                <w:bCs w:val="0"/>
              </w:rPr>
              <w:t>.</w:t>
            </w:r>
          </w:p>
        </w:tc>
        <w:tc>
          <w:tcPr>
            <w:tcW w:w="3118" w:type="dxa"/>
          </w:tcPr>
          <w:p w14:paraId="1664197D" w14:textId="77777777" w:rsidR="008A4AEC" w:rsidRPr="003557C7" w:rsidRDefault="008A4AEC" w:rsidP="00A77CDB">
            <w:pPr>
              <w:pStyle w:val="Bulletlevel1"/>
              <w:numPr>
                <w:ilvl w:val="0"/>
                <w:numId w:val="0"/>
              </w:numPr>
              <w:spacing w:after="120"/>
              <w:cnfStyle w:val="100000000000" w:firstRow="1" w:lastRow="0" w:firstColumn="0" w:lastColumn="0" w:oddVBand="0" w:evenVBand="0" w:oddHBand="0" w:evenHBand="0" w:firstRowFirstColumn="0" w:firstRowLastColumn="0" w:lastRowFirstColumn="0" w:lastRowLastColumn="0"/>
              <w:rPr>
                <w:b w:val="0"/>
                <w:bCs w:val="0"/>
              </w:rPr>
            </w:pPr>
            <w:r w:rsidRPr="003557C7">
              <w:rPr>
                <w:b w:val="0"/>
                <w:bCs w:val="0"/>
              </w:rPr>
              <w:t>Normal application process</w:t>
            </w:r>
            <w:r>
              <w:rPr>
                <w:b w:val="0"/>
                <w:bCs w:val="0"/>
              </w:rPr>
              <w:t xml:space="preserve"> and no specific conditions related to potential replanning of the band.</w:t>
            </w:r>
          </w:p>
          <w:p w14:paraId="193292CD" w14:textId="77777777" w:rsidR="008A4AEC" w:rsidRPr="003557C7" w:rsidRDefault="008A4AEC" w:rsidP="00A77CDB">
            <w:pPr>
              <w:pStyle w:val="Bulletlevel1"/>
              <w:numPr>
                <w:ilvl w:val="0"/>
                <w:numId w:val="0"/>
              </w:numPr>
              <w:spacing w:after="0"/>
              <w:cnfStyle w:val="100000000000" w:firstRow="1" w:lastRow="0" w:firstColumn="0" w:lastColumn="0" w:oddVBand="0" w:evenVBand="0" w:oddHBand="0" w:evenHBand="0" w:firstRowFirstColumn="0" w:firstRowLastColumn="0" w:lastRowFirstColumn="0" w:lastRowLastColumn="0"/>
              <w:rPr>
                <w:b w:val="0"/>
                <w:bCs w:val="0"/>
              </w:rPr>
            </w:pPr>
            <w:r w:rsidRPr="003557C7">
              <w:rPr>
                <w:b w:val="0"/>
                <w:bCs w:val="0"/>
              </w:rPr>
              <w:t>Considered an incumbent for</w:t>
            </w:r>
            <w:r>
              <w:rPr>
                <w:b w:val="0"/>
                <w:bCs w:val="0"/>
              </w:rPr>
              <w:t xml:space="preserve"> future </w:t>
            </w:r>
            <w:r w:rsidRPr="003557C7">
              <w:rPr>
                <w:b w:val="0"/>
                <w:bCs w:val="0"/>
              </w:rPr>
              <w:t>replanning purposes</w:t>
            </w:r>
            <w:r>
              <w:rPr>
                <w:b w:val="0"/>
                <w:bCs w:val="0"/>
              </w:rPr>
              <w:t>.</w:t>
            </w:r>
          </w:p>
        </w:tc>
      </w:tr>
      <w:tr w:rsidR="008A4AEC" w14:paraId="425AB807" w14:textId="77777777" w:rsidTr="00020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77F60158" w14:textId="77777777" w:rsidR="008A4AEC" w:rsidRPr="002778AE" w:rsidRDefault="008A4AEC">
            <w:pPr>
              <w:pStyle w:val="Bulletlevel1"/>
              <w:numPr>
                <w:ilvl w:val="0"/>
                <w:numId w:val="0"/>
              </w:numPr>
              <w:rPr>
                <w:b w:val="0"/>
                <w:bCs w:val="0"/>
              </w:rPr>
            </w:pPr>
            <w:r w:rsidRPr="002778AE">
              <w:t xml:space="preserve">Outside of areas specified in </w:t>
            </w:r>
            <w:hyperlink r:id="rId38" w:history="1">
              <w:r w:rsidRPr="002778AE">
                <w:rPr>
                  <w:rStyle w:val="Hyperlink"/>
                  <w:i/>
                  <w:iCs/>
                </w:rPr>
                <w:t>Radiocommunications (Spectrum Re-allocation—26 GHz band) Declaration 2019</w:t>
              </w:r>
            </w:hyperlink>
          </w:p>
          <w:p w14:paraId="339E7F63" w14:textId="77777777" w:rsidR="008A4AEC" w:rsidRPr="00A77CDB" w:rsidRDefault="008A4AEC">
            <w:pPr>
              <w:pStyle w:val="Bulletlevel1"/>
              <w:numPr>
                <w:ilvl w:val="0"/>
                <w:numId w:val="0"/>
              </w:numPr>
              <w:rPr>
                <w:b w:val="0"/>
                <w:bCs w:val="0"/>
              </w:rPr>
            </w:pPr>
            <w:r w:rsidRPr="002778AE">
              <w:t>(</w:t>
            </w:r>
            <w:proofErr w:type="gramStart"/>
            <w:r w:rsidRPr="002778AE">
              <w:t>except</w:t>
            </w:r>
            <w:proofErr w:type="gramEnd"/>
            <w:r w:rsidRPr="002778AE">
              <w:t xml:space="preserve"> Mingenew and east coast earth station protection zones)</w:t>
            </w:r>
          </w:p>
        </w:tc>
        <w:tc>
          <w:tcPr>
            <w:tcW w:w="3261" w:type="dxa"/>
            <w:shd w:val="clear" w:color="auto" w:fill="F2F2F2" w:themeFill="background1" w:themeFillShade="F2"/>
          </w:tcPr>
          <w:p w14:paraId="6289BA86" w14:textId="151D2DA5" w:rsidR="008A4AEC" w:rsidRDefault="008A4AEC" w:rsidP="00A77CDB">
            <w:pPr>
              <w:pStyle w:val="Bulletlevel1"/>
              <w:numPr>
                <w:ilvl w:val="0"/>
                <w:numId w:val="0"/>
              </w:numPr>
              <w:spacing w:after="120"/>
              <w:cnfStyle w:val="000000100000" w:firstRow="0" w:lastRow="0" w:firstColumn="0" w:lastColumn="0" w:oddVBand="0" w:evenVBand="0" w:oddHBand="1" w:evenHBand="0" w:firstRowFirstColumn="0" w:firstRowLastColumn="0" w:lastRowFirstColumn="0" w:lastRowLastColumn="0"/>
            </w:pPr>
            <w:r>
              <w:t>Written acknowledgement from applicant (satellite operator) that bands are under review and planning arrangements may change requiring operations to cease or to be modified</w:t>
            </w:r>
            <w:r w:rsidR="002778AE">
              <w:t xml:space="preserve"> </w:t>
            </w:r>
            <w:r>
              <w:t xml:space="preserve">(explicitly acknowledge all requirements). </w:t>
            </w:r>
          </w:p>
          <w:p w14:paraId="58C5A468" w14:textId="77777777" w:rsidR="008A4AEC" w:rsidRDefault="008A4AEC" w:rsidP="00A77CDB">
            <w:pPr>
              <w:pStyle w:val="Bulletlevel1"/>
              <w:numPr>
                <w:ilvl w:val="0"/>
                <w:numId w:val="0"/>
              </w:numPr>
              <w:spacing w:after="120"/>
              <w:cnfStyle w:val="000000100000" w:firstRow="0" w:lastRow="0" w:firstColumn="0" w:lastColumn="0" w:oddVBand="0" w:evenVBand="0" w:oddHBand="1" w:evenHBand="0" w:firstRowFirstColumn="0" w:firstRowLastColumn="0" w:lastRowFirstColumn="0" w:lastRowLastColumn="0"/>
            </w:pPr>
            <w:r>
              <w:t>Application of advisory note BL on any licence issued.</w:t>
            </w:r>
          </w:p>
          <w:p w14:paraId="3141220B" w14:textId="77777777" w:rsidR="008A4AEC" w:rsidRDefault="008A4AEC">
            <w:pPr>
              <w:pStyle w:val="Bulletlevel1"/>
              <w:numPr>
                <w:ilvl w:val="0"/>
                <w:numId w:val="0"/>
              </w:numPr>
              <w:cnfStyle w:val="000000100000" w:firstRow="0" w:lastRow="0" w:firstColumn="0" w:lastColumn="0" w:oddVBand="0" w:evenVBand="0" w:oddHBand="1" w:evenHBand="0" w:firstRowFirstColumn="0" w:firstRowLastColumn="0" w:lastRowFirstColumn="0" w:lastRowLastColumn="0"/>
            </w:pPr>
            <w:r>
              <w:t>Not considered an incumbent for replanning purposes.</w:t>
            </w:r>
          </w:p>
        </w:tc>
        <w:tc>
          <w:tcPr>
            <w:tcW w:w="3118" w:type="dxa"/>
            <w:shd w:val="clear" w:color="auto" w:fill="F2F2F2" w:themeFill="background1" w:themeFillShade="F2"/>
          </w:tcPr>
          <w:p w14:paraId="2AC3C7EE" w14:textId="43537F58" w:rsidR="008A4AEC" w:rsidRDefault="008A4AEC" w:rsidP="00A77CDB">
            <w:pPr>
              <w:pStyle w:val="Bulletlevel1"/>
              <w:numPr>
                <w:ilvl w:val="0"/>
                <w:numId w:val="0"/>
              </w:numPr>
              <w:spacing w:after="120"/>
              <w:cnfStyle w:val="000000100000" w:firstRow="0" w:lastRow="0" w:firstColumn="0" w:lastColumn="0" w:oddVBand="0" w:evenVBand="0" w:oddHBand="1" w:evenHBand="0" w:firstRowFirstColumn="0" w:firstRowLastColumn="0" w:lastRowFirstColumn="0" w:lastRowLastColumn="0"/>
            </w:pPr>
            <w:r>
              <w:t xml:space="preserve">Written acknowledgement from applicant (satellite operator) that bands are under review and planning arrangements may change requiring operations to cease or to be modified (explicitly acknowledge all requirements). </w:t>
            </w:r>
          </w:p>
          <w:p w14:paraId="33D9B753" w14:textId="77777777" w:rsidR="008A4AEC" w:rsidRDefault="008A4AEC">
            <w:pPr>
              <w:pStyle w:val="Bulletlevel1"/>
              <w:numPr>
                <w:ilvl w:val="0"/>
                <w:numId w:val="0"/>
              </w:numPr>
              <w:cnfStyle w:val="000000100000" w:firstRow="0" w:lastRow="0" w:firstColumn="0" w:lastColumn="0" w:oddVBand="0" w:evenVBand="0" w:oddHBand="1" w:evenHBand="0" w:firstRowFirstColumn="0" w:firstRowLastColumn="0" w:lastRowFirstColumn="0" w:lastRowLastColumn="0"/>
            </w:pPr>
            <w:r>
              <w:t>Considered an incumbent for replanning purposes</w:t>
            </w:r>
          </w:p>
        </w:tc>
      </w:tr>
      <w:tr w:rsidR="008A4AEC" w14:paraId="363E74D8" w14:textId="77777777" w:rsidTr="00020F06">
        <w:tc>
          <w:tcPr>
            <w:cnfStyle w:val="001000000000" w:firstRow="0" w:lastRow="0" w:firstColumn="1" w:lastColumn="0" w:oddVBand="0" w:evenVBand="0" w:oddHBand="0" w:evenHBand="0" w:firstRowFirstColumn="0" w:firstRowLastColumn="0" w:lastRowFirstColumn="0" w:lastRowLastColumn="0"/>
            <w:tcW w:w="2835" w:type="dxa"/>
          </w:tcPr>
          <w:p w14:paraId="2D52CC52" w14:textId="77777777" w:rsidR="008A4AEC" w:rsidRPr="002778AE" w:rsidRDefault="008A4AEC">
            <w:pPr>
              <w:pStyle w:val="Bulletlevel1"/>
              <w:numPr>
                <w:ilvl w:val="0"/>
                <w:numId w:val="0"/>
              </w:numPr>
              <w:rPr>
                <w:b w:val="0"/>
                <w:bCs w:val="0"/>
              </w:rPr>
            </w:pPr>
            <w:r w:rsidRPr="002778AE">
              <w:t xml:space="preserve">Inside </w:t>
            </w:r>
            <w:bookmarkStart w:id="18" w:name="_Hlk140133024"/>
            <w:r w:rsidRPr="002778AE">
              <w:t xml:space="preserve">areas specified in </w:t>
            </w:r>
            <w:hyperlink r:id="rId39" w:history="1">
              <w:r w:rsidRPr="002778AE">
                <w:rPr>
                  <w:rStyle w:val="Hyperlink"/>
                  <w:i/>
                  <w:iCs/>
                </w:rPr>
                <w:t>Radiocommunications (Spectrum Re-allocation—26 GHz band) Declaration 2019</w:t>
              </w:r>
            </w:hyperlink>
          </w:p>
          <w:bookmarkEnd w:id="18"/>
          <w:p w14:paraId="5C752F38" w14:textId="77777777" w:rsidR="008A4AEC" w:rsidRPr="00A77CDB" w:rsidRDefault="008A4AEC">
            <w:pPr>
              <w:pStyle w:val="Bulletlevel1"/>
              <w:numPr>
                <w:ilvl w:val="0"/>
                <w:numId w:val="0"/>
              </w:numPr>
              <w:rPr>
                <w:b w:val="0"/>
                <w:bCs w:val="0"/>
              </w:rPr>
            </w:pPr>
          </w:p>
        </w:tc>
        <w:tc>
          <w:tcPr>
            <w:tcW w:w="3261" w:type="dxa"/>
          </w:tcPr>
          <w:p w14:paraId="16A1517C" w14:textId="77777777" w:rsidR="008A4AEC" w:rsidRDefault="008A4AEC" w:rsidP="00A77CDB">
            <w:pPr>
              <w:pStyle w:val="Bulletlevel1"/>
              <w:numPr>
                <w:ilvl w:val="0"/>
                <w:numId w:val="0"/>
              </w:numPr>
              <w:spacing w:after="120"/>
              <w:cnfStyle w:val="000000000000" w:firstRow="0" w:lastRow="0" w:firstColumn="0" w:lastColumn="0" w:oddVBand="0" w:evenVBand="0" w:oddHBand="0" w:evenHBand="0" w:firstRowFirstColumn="0" w:firstRowLastColumn="0" w:lastRowFirstColumn="0" w:lastRowLastColumn="0"/>
            </w:pPr>
            <w:r>
              <w:t xml:space="preserve">Written acknowledgement from applicant (satellite operator) that bands are under review and planning arrangements may change requiring operations to cease or to be modified etc (explicitly acknowledge all requirements). </w:t>
            </w:r>
          </w:p>
          <w:p w14:paraId="45BFC93B" w14:textId="77777777" w:rsidR="008A4AEC" w:rsidRDefault="008A4AEC" w:rsidP="00A77CDB">
            <w:pPr>
              <w:pStyle w:val="Bulletlevel1"/>
              <w:numPr>
                <w:ilvl w:val="0"/>
                <w:numId w:val="0"/>
              </w:numPr>
              <w:spacing w:after="120"/>
              <w:cnfStyle w:val="000000000000" w:firstRow="0" w:lastRow="0" w:firstColumn="0" w:lastColumn="0" w:oddVBand="0" w:evenVBand="0" w:oddHBand="0" w:evenHBand="0" w:firstRowFirstColumn="0" w:firstRowLastColumn="0" w:lastRowFirstColumn="0" w:lastRowLastColumn="0"/>
            </w:pPr>
            <w:r>
              <w:t>Application of advisory note BL on any licence issued.</w:t>
            </w:r>
          </w:p>
          <w:p w14:paraId="6997A556" w14:textId="1F1C5514" w:rsidR="008A4AEC" w:rsidRDefault="008A4AEC" w:rsidP="00A77CDB">
            <w:pPr>
              <w:pStyle w:val="Bulletlevel1"/>
              <w:numPr>
                <w:ilvl w:val="0"/>
                <w:numId w:val="0"/>
              </w:numPr>
              <w:spacing w:after="120"/>
              <w:cnfStyle w:val="000000000000" w:firstRow="0" w:lastRow="0" w:firstColumn="0" w:lastColumn="0" w:oddVBand="0" w:evenVBand="0" w:oddHBand="0" w:evenHBand="0" w:firstRowFirstColumn="0" w:firstRowLastColumn="0" w:lastRowFirstColumn="0" w:lastRowLastColumn="0"/>
            </w:pPr>
            <w:r>
              <w:t>2</w:t>
            </w:r>
            <w:r w:rsidR="002778AE">
              <w:t>-</w:t>
            </w:r>
            <w:r>
              <w:t>year, non-renewable licence.</w:t>
            </w:r>
          </w:p>
          <w:p w14:paraId="79AECA53" w14:textId="77777777" w:rsidR="008A4AEC" w:rsidRDefault="008A4AEC" w:rsidP="00A77CDB">
            <w:pPr>
              <w:pStyle w:val="Bulletlevel1"/>
              <w:numPr>
                <w:ilvl w:val="0"/>
                <w:numId w:val="0"/>
              </w:numPr>
              <w:spacing w:after="120"/>
              <w:cnfStyle w:val="000000000000" w:firstRow="0" w:lastRow="0" w:firstColumn="0" w:lastColumn="0" w:oddVBand="0" w:evenVBand="0" w:oddHBand="0" w:evenHBand="0" w:firstRowFirstColumn="0" w:firstRowLastColumn="0" w:lastRowFirstColumn="0" w:lastRowLastColumn="0"/>
            </w:pPr>
            <w:r>
              <w:lastRenderedPageBreak/>
              <w:t>Not considered an incumbent for replanning purposes.</w:t>
            </w:r>
          </w:p>
          <w:p w14:paraId="4194DC8C" w14:textId="77777777" w:rsidR="008A4AEC" w:rsidRDefault="008A4AEC">
            <w:pPr>
              <w:pStyle w:val="Bulletlevel1"/>
              <w:numPr>
                <w:ilvl w:val="0"/>
                <w:numId w:val="0"/>
              </w:numPr>
              <w:cnfStyle w:val="000000000000" w:firstRow="0" w:lastRow="0" w:firstColumn="0" w:lastColumn="0" w:oddVBand="0" w:evenVBand="0" w:oddHBand="0" w:evenHBand="0" w:firstRowFirstColumn="0" w:firstRowLastColumn="0" w:lastRowFirstColumn="0" w:lastRowLastColumn="0"/>
            </w:pPr>
            <w:r>
              <w:t>Technical restrictions (see below) to apply.</w:t>
            </w:r>
          </w:p>
        </w:tc>
        <w:tc>
          <w:tcPr>
            <w:tcW w:w="3118" w:type="dxa"/>
          </w:tcPr>
          <w:p w14:paraId="06DDAD39" w14:textId="77777777" w:rsidR="008A4AEC" w:rsidRDefault="008A4AEC" w:rsidP="00A77CDB">
            <w:pPr>
              <w:pStyle w:val="Bulletlevel1"/>
              <w:numPr>
                <w:ilvl w:val="0"/>
                <w:numId w:val="0"/>
              </w:numPr>
              <w:spacing w:after="120"/>
              <w:cnfStyle w:val="000000000000" w:firstRow="0" w:lastRow="0" w:firstColumn="0" w:lastColumn="0" w:oddVBand="0" w:evenVBand="0" w:oddHBand="0" w:evenHBand="0" w:firstRowFirstColumn="0" w:firstRowLastColumn="0" w:lastRowFirstColumn="0" w:lastRowLastColumn="0"/>
            </w:pPr>
            <w:r>
              <w:lastRenderedPageBreak/>
              <w:t xml:space="preserve">Written acknowledgement from applicant (satellite operator) that bands are under review and planning arrangements may change requiring operations to cease or to be modified etc (explicitly acknowledge all requirements). </w:t>
            </w:r>
          </w:p>
          <w:p w14:paraId="014B0654" w14:textId="77777777" w:rsidR="008A4AEC" w:rsidRDefault="008A4AEC">
            <w:pPr>
              <w:pStyle w:val="Bulletlevel1"/>
              <w:numPr>
                <w:ilvl w:val="0"/>
                <w:numId w:val="0"/>
              </w:numPr>
              <w:cnfStyle w:val="000000000000" w:firstRow="0" w:lastRow="0" w:firstColumn="0" w:lastColumn="0" w:oddVBand="0" w:evenVBand="0" w:oddHBand="0" w:evenHBand="0" w:firstRowFirstColumn="0" w:firstRowLastColumn="0" w:lastRowFirstColumn="0" w:lastRowLastColumn="0"/>
            </w:pPr>
            <w:r>
              <w:t>Considered an incumbent for replanning purposes</w:t>
            </w:r>
          </w:p>
        </w:tc>
      </w:tr>
    </w:tbl>
    <w:p w14:paraId="15156262" w14:textId="77777777" w:rsidR="008A4AEC" w:rsidRDefault="008A4AEC" w:rsidP="008A4AEC">
      <w:pPr>
        <w:pStyle w:val="Bulletlevel1"/>
        <w:numPr>
          <w:ilvl w:val="0"/>
          <w:numId w:val="0"/>
        </w:numPr>
        <w:ind w:left="295" w:hanging="295"/>
        <w:rPr>
          <w:szCs w:val="22"/>
        </w:rPr>
      </w:pPr>
    </w:p>
    <w:bookmarkEnd w:id="17"/>
    <w:p w14:paraId="706BF55B" w14:textId="77777777" w:rsidR="008A4AEC" w:rsidRPr="008C741C" w:rsidRDefault="008A4AEC" w:rsidP="008A4AEC">
      <w:pPr>
        <w:pStyle w:val="Heading3"/>
      </w:pPr>
      <w:r>
        <w:t xml:space="preserve">Licensing consideration, conditions and advisory notes </w:t>
      </w:r>
    </w:p>
    <w:p w14:paraId="78B0A741" w14:textId="0B0D44A6" w:rsidR="008A4AEC" w:rsidRPr="00EB284B" w:rsidRDefault="008A4AEC" w:rsidP="002778AE">
      <w:pPr>
        <w:pStyle w:val="Paragraphbeforelist"/>
      </w:pPr>
      <w:r>
        <w:t xml:space="preserve">In additional to the above, licence applications for Q/V earth stations will be considered in accordance with the </w:t>
      </w:r>
      <w:r w:rsidRPr="002778AE">
        <w:t>procedures</w:t>
      </w:r>
      <w:r>
        <w:t xml:space="preserve"> </w:t>
      </w:r>
      <w:r w:rsidR="0047058E">
        <w:t xml:space="preserve">in our document, </w:t>
      </w:r>
      <w:hyperlink r:id="rId40" w:history="1">
        <w:r w:rsidRPr="0049255C">
          <w:rPr>
            <w:rStyle w:val="Hyperlink"/>
            <w:i/>
            <w:iCs/>
          </w:rPr>
          <w:t>Submission and processing of applications for earth, earth receive apparatus licences and device registrations under area-wide apparatus licences for fixed earth stations</w:t>
        </w:r>
      </w:hyperlink>
      <w:r w:rsidR="0047058E">
        <w:t xml:space="preserve">, </w:t>
      </w:r>
      <w:r>
        <w:t>with the following modifications:</w:t>
      </w:r>
    </w:p>
    <w:p w14:paraId="2C0D6AEA" w14:textId="1A275B5C" w:rsidR="008A4AEC" w:rsidRDefault="008A4AEC" w:rsidP="002778AE">
      <w:pPr>
        <w:pStyle w:val="Bulletlevel1"/>
      </w:pPr>
      <w:r>
        <w:t xml:space="preserve">Where an acknowledgement from the applicant is required that the band is under review, that acknowledge is to </w:t>
      </w:r>
      <w:r w:rsidR="00935098">
        <w:t xml:space="preserve">be </w:t>
      </w:r>
      <w:r>
        <w:t>provided as a signed letter from the relevant responsible entity (normally the head of regulatory affairs in the satellite operator or equivalent)</w:t>
      </w:r>
      <w:r w:rsidR="0047058E">
        <w:t>,</w:t>
      </w:r>
      <w:r>
        <w:t xml:space="preserve"> acknowledging that the bands are under review and that arrangements may change in the </w:t>
      </w:r>
      <w:r w:rsidRPr="002778AE">
        <w:t>future</w:t>
      </w:r>
      <w:r>
        <w:t xml:space="preserve"> and accept any licence conditions that might be imposed.</w:t>
      </w:r>
    </w:p>
    <w:p w14:paraId="19CB680E" w14:textId="51B6BD74" w:rsidR="008A4AEC" w:rsidRPr="008C741C" w:rsidRDefault="008A4AEC" w:rsidP="002778AE">
      <w:pPr>
        <w:pStyle w:val="Bulletlevel1last"/>
      </w:pPr>
      <w:r>
        <w:t xml:space="preserve">The applicant will be responsible for </w:t>
      </w:r>
      <w:r w:rsidRPr="002778AE">
        <w:t>undertaking</w:t>
      </w:r>
      <w:r>
        <w:t xml:space="preserve"> </w:t>
      </w:r>
      <w:r w:rsidR="0047058E">
        <w:t xml:space="preserve">an </w:t>
      </w:r>
      <w:r>
        <w:t xml:space="preserve">assessment </w:t>
      </w:r>
      <w:r w:rsidR="0047058E">
        <w:t>of</w:t>
      </w:r>
      <w:r>
        <w:t xml:space="preserve"> existing terrestrial services (a standard requirement)</w:t>
      </w:r>
      <w:r w:rsidR="0047058E">
        <w:t>.</w:t>
      </w:r>
      <w:r>
        <w:t xml:space="preserve"> </w:t>
      </w:r>
    </w:p>
    <w:p w14:paraId="2735BF41" w14:textId="77777777" w:rsidR="008A4AEC" w:rsidRPr="00C60FEE" w:rsidRDefault="008A4AEC" w:rsidP="00C60FEE">
      <w:pPr>
        <w:pStyle w:val="Paragraphbeforelist"/>
        <w:rPr>
          <w:b/>
          <w:bCs/>
        </w:rPr>
      </w:pPr>
      <w:r w:rsidRPr="00C60FEE">
        <w:rPr>
          <w:b/>
          <w:bCs/>
        </w:rPr>
        <w:t xml:space="preserve">Technical restrictions </w:t>
      </w:r>
    </w:p>
    <w:p w14:paraId="53F6D6DC" w14:textId="2D42E15F" w:rsidR="008A4AEC" w:rsidRPr="000E33C9" w:rsidRDefault="008A4AEC" w:rsidP="008A4AEC">
      <w:pPr>
        <w:pStyle w:val="ListBullet"/>
      </w:pPr>
      <w:r w:rsidRPr="000E33C9">
        <w:t>Minimum antenna diameter: 2.4 m</w:t>
      </w:r>
      <w:r w:rsidR="0047058E">
        <w:t>etres.</w:t>
      </w:r>
    </w:p>
    <w:p w14:paraId="36A8D418" w14:textId="5FDFC499" w:rsidR="008A4AEC" w:rsidRDefault="008A4AEC" w:rsidP="0047058E">
      <w:pPr>
        <w:pStyle w:val="ListBullet"/>
      </w:pPr>
      <w:r w:rsidRPr="000E33C9">
        <w:t>Minimum</w:t>
      </w:r>
      <w:r>
        <w:t xml:space="preserve"> antenna elevation: 20 degrees</w:t>
      </w:r>
      <w:r w:rsidR="0047058E">
        <w:t>.</w:t>
      </w:r>
    </w:p>
    <w:p w14:paraId="274FB8B7" w14:textId="77777777" w:rsidR="001E2B50" w:rsidRDefault="001E2B50" w:rsidP="001E2B50">
      <w:pPr>
        <w:pStyle w:val="Heading2"/>
      </w:pPr>
      <w:bookmarkStart w:id="19" w:name="_Toc146527951"/>
      <w:r>
        <w:t>Other bands</w:t>
      </w:r>
      <w:bookmarkEnd w:id="19"/>
    </w:p>
    <w:p w14:paraId="386E04EB" w14:textId="77777777" w:rsidR="001E2B50" w:rsidRDefault="001E2B50" w:rsidP="001E2B50">
      <w:pPr>
        <w:pStyle w:val="Heading3"/>
      </w:pPr>
      <w:r w:rsidRPr="00830A7F">
        <w:t>7100</w:t>
      </w:r>
      <w:r>
        <w:t>–</w:t>
      </w:r>
      <w:r w:rsidRPr="00830A7F">
        <w:t xml:space="preserve">7200 kHz </w:t>
      </w:r>
      <w:r>
        <w:t>b</w:t>
      </w:r>
      <w:r w:rsidRPr="00830A7F">
        <w:t>and</w:t>
      </w:r>
    </w:p>
    <w:p w14:paraId="6FBF8D4D" w14:textId="495E87A1" w:rsidR="001E2B50" w:rsidRDefault="001E2B50" w:rsidP="001E2B50">
      <w:r>
        <w:t xml:space="preserve">One submitter </w:t>
      </w:r>
      <w:r w:rsidRPr="00FF5C11">
        <w:t>request</w:t>
      </w:r>
      <w:r>
        <w:t>ed</w:t>
      </w:r>
      <w:r w:rsidRPr="00FF5C11">
        <w:t xml:space="preserve"> that the ACMA consider </w:t>
      </w:r>
      <w:r>
        <w:t xml:space="preserve">upgrading the amateur radio service </w:t>
      </w:r>
      <w:r w:rsidRPr="00FF5C11">
        <w:t>from Secondary to Primary status in the 7100</w:t>
      </w:r>
      <w:r>
        <w:t>–</w:t>
      </w:r>
      <w:r w:rsidRPr="00FF5C11">
        <w:t xml:space="preserve">7200 kHz band. </w:t>
      </w:r>
      <w:r>
        <w:t>They state</w:t>
      </w:r>
      <w:r w:rsidR="0047058E">
        <w:t>d</w:t>
      </w:r>
      <w:r>
        <w:t xml:space="preserve"> that t</w:t>
      </w:r>
      <w:r w:rsidRPr="00FF5C11">
        <w:t xml:space="preserve">his would also align </w:t>
      </w:r>
      <w:r>
        <w:t>Australia</w:t>
      </w:r>
      <w:r w:rsidRPr="00FF5C11">
        <w:t xml:space="preserve"> with the agreed outcomes from ITU WRC-2003, as published in the ITU Radio Regulations (which indicate this is a primary spectrum band for the amateur radio service). </w:t>
      </w:r>
    </w:p>
    <w:p w14:paraId="229CAC53" w14:textId="77777777" w:rsidR="001E2B50" w:rsidRDefault="001E2B50" w:rsidP="001E2B50">
      <w:pPr>
        <w:pStyle w:val="Heading3"/>
      </w:pPr>
      <w:r>
        <w:t>Our response</w:t>
      </w:r>
    </w:p>
    <w:p w14:paraId="6F8BAE9C" w14:textId="77777777" w:rsidR="001E2B50" w:rsidRDefault="001E2B50" w:rsidP="001E2B50">
      <w:r w:rsidRPr="009552C3">
        <w:t>We are not considering changes to this frequency band in 2023</w:t>
      </w:r>
      <w:r>
        <w:t>–</w:t>
      </w:r>
      <w:r w:rsidRPr="009552C3">
        <w:t>24, but we note the submission, and will consider inclusion of this work in future work programs</w:t>
      </w:r>
      <w:r>
        <w:t>.</w:t>
      </w:r>
    </w:p>
    <w:p w14:paraId="57228AF8" w14:textId="77777777" w:rsidR="001E2B50" w:rsidRPr="00521CE1" w:rsidRDefault="001E2B50" w:rsidP="00521CE1"/>
    <w:p w14:paraId="1A2EAE3B" w14:textId="13451EB2" w:rsidR="003362CE" w:rsidRPr="006248FA" w:rsidRDefault="00B766DF" w:rsidP="006248FA">
      <w:pPr>
        <w:pStyle w:val="Heading1"/>
        <w:shd w:val="clear" w:color="auto" w:fill="39457C"/>
        <w:rPr>
          <w:color w:val="FFFFFF" w:themeColor="background1"/>
        </w:rPr>
      </w:pPr>
      <w:bookmarkStart w:id="20" w:name="_Toc146527952"/>
      <w:r w:rsidRPr="006248FA">
        <w:rPr>
          <w:color w:val="FFFFFF" w:themeColor="background1"/>
        </w:rPr>
        <w:lastRenderedPageBreak/>
        <w:t>Initial investigation</w:t>
      </w:r>
      <w:bookmarkEnd w:id="20"/>
      <w:r w:rsidRPr="006248FA">
        <w:rPr>
          <w:color w:val="FFFFFF" w:themeColor="background1"/>
        </w:rPr>
        <w:t xml:space="preserve"> </w:t>
      </w:r>
    </w:p>
    <w:p w14:paraId="67DD812E" w14:textId="09AC7DF7" w:rsidR="007847F6" w:rsidRDefault="007847F6" w:rsidP="0039429B">
      <w:pPr>
        <w:pStyle w:val="Heading2"/>
      </w:pPr>
      <w:bookmarkStart w:id="21" w:name="_Toc146527953"/>
      <w:r>
        <w:t xml:space="preserve">6 </w:t>
      </w:r>
      <w:r w:rsidRPr="0039429B">
        <w:t>GHz</w:t>
      </w:r>
      <w:bookmarkEnd w:id="21"/>
    </w:p>
    <w:p w14:paraId="5079BAAD" w14:textId="77F1C36B" w:rsidR="0033280E" w:rsidRPr="00B06919" w:rsidRDefault="00306A99" w:rsidP="00F76816">
      <w:pPr>
        <w:pStyle w:val="Paragraph"/>
        <w:rPr>
          <w:highlight w:val="yellow"/>
        </w:rPr>
      </w:pPr>
      <w:r>
        <w:t>Submissions demonstrated that there is</w:t>
      </w:r>
      <w:r w:rsidR="00EB1EC0">
        <w:t xml:space="preserve"> continuing </w:t>
      </w:r>
      <w:r w:rsidR="00AA0F14">
        <w:t xml:space="preserve">diverse </w:t>
      </w:r>
      <w:r w:rsidR="00EB1EC0">
        <w:t xml:space="preserve">interest in </w:t>
      </w:r>
      <w:r w:rsidR="00D173A6">
        <w:t xml:space="preserve">potential </w:t>
      </w:r>
      <w:r w:rsidR="002106A9">
        <w:t>(often competing)</w:t>
      </w:r>
      <w:r w:rsidR="00D173A6">
        <w:t xml:space="preserve"> uses of the 6 GHz band.</w:t>
      </w:r>
      <w:r w:rsidR="00F7136E">
        <w:t xml:space="preserve"> </w:t>
      </w:r>
      <w:r w:rsidR="00496329">
        <w:t xml:space="preserve">These include </w:t>
      </w:r>
      <w:r w:rsidR="00F77496">
        <w:t>proposals for</w:t>
      </w:r>
      <w:r w:rsidR="00154A1D" w:rsidRPr="00154A1D">
        <w:t xml:space="preserve"> </w:t>
      </w:r>
      <w:r w:rsidR="0047058E">
        <w:t>r</w:t>
      </w:r>
      <w:r w:rsidR="00154A1D" w:rsidRPr="00154A1D">
        <w:t>adio local area network</w:t>
      </w:r>
      <w:r w:rsidR="00F77496">
        <w:t xml:space="preserve"> </w:t>
      </w:r>
      <w:r w:rsidR="00154A1D">
        <w:t>(</w:t>
      </w:r>
      <w:r w:rsidR="00F77496" w:rsidRPr="00F77496">
        <w:t>RLAN</w:t>
      </w:r>
      <w:r w:rsidR="00154A1D">
        <w:t>)</w:t>
      </w:r>
      <w:r w:rsidR="00F77496" w:rsidRPr="00F77496">
        <w:t xml:space="preserve"> class</w:t>
      </w:r>
      <w:r w:rsidR="00A138B4">
        <w:t xml:space="preserve"> </w:t>
      </w:r>
      <w:r w:rsidR="00F77496" w:rsidRPr="00F77496">
        <w:t>licensing arrangements</w:t>
      </w:r>
      <w:r w:rsidR="00F77496">
        <w:t xml:space="preserve">, </w:t>
      </w:r>
      <w:r w:rsidR="003A6443">
        <w:t xml:space="preserve">IMT, </w:t>
      </w:r>
      <w:r w:rsidR="001F50A1">
        <w:t xml:space="preserve">FSS, </w:t>
      </w:r>
      <w:r w:rsidR="00AA0B9D">
        <w:t>and</w:t>
      </w:r>
      <w:r w:rsidR="001F50A1">
        <w:t xml:space="preserve"> </w:t>
      </w:r>
      <w:r w:rsidR="00F77496" w:rsidRPr="00F77496">
        <w:t>deploy</w:t>
      </w:r>
      <w:r w:rsidR="00F77496">
        <w:t>ment of</w:t>
      </w:r>
      <w:r w:rsidR="00F77496" w:rsidRPr="00F77496">
        <w:t xml:space="preserve"> </w:t>
      </w:r>
      <w:r w:rsidR="00BB1436" w:rsidRPr="00BB1436">
        <w:t xml:space="preserve">Automated Frequency Coordination </w:t>
      </w:r>
      <w:r w:rsidR="00BB1436">
        <w:t>(</w:t>
      </w:r>
      <w:r w:rsidR="00F77496" w:rsidRPr="00F77496">
        <w:t>AFC</w:t>
      </w:r>
      <w:r w:rsidR="00BB1436">
        <w:t>)</w:t>
      </w:r>
      <w:r w:rsidR="00F77496" w:rsidRPr="00F77496">
        <w:t xml:space="preserve"> capabilities</w:t>
      </w:r>
      <w:r w:rsidR="00450791">
        <w:t>.</w:t>
      </w:r>
    </w:p>
    <w:p w14:paraId="691F1339" w14:textId="1B63F508" w:rsidR="00AA6FD9" w:rsidRPr="0039429B" w:rsidRDefault="00AA6FD9" w:rsidP="0039429B">
      <w:pPr>
        <w:pStyle w:val="Heading3"/>
      </w:pPr>
      <w:bookmarkStart w:id="22" w:name="_Hlk137033677"/>
      <w:r w:rsidRPr="0039429B">
        <w:t>Our response</w:t>
      </w:r>
    </w:p>
    <w:bookmarkEnd w:id="22"/>
    <w:p w14:paraId="037D591B" w14:textId="314613CE" w:rsidR="003219C6" w:rsidRDefault="0051169B" w:rsidP="0039429B">
      <w:pPr>
        <w:pStyle w:val="Paragraph"/>
      </w:pPr>
      <w:r>
        <w:t>The current and future availability of spectrum for various uses alongside t</w:t>
      </w:r>
      <w:r w:rsidR="00C44E2B" w:rsidRPr="776B3D44">
        <w:t xml:space="preserve">he variety of issues raised regarding upper 6 GHz band are all part of </w:t>
      </w:r>
      <w:r w:rsidR="00823C97" w:rsidRPr="776B3D44">
        <w:t>our</w:t>
      </w:r>
      <w:r w:rsidR="00C44E2B" w:rsidRPr="776B3D44">
        <w:t xml:space="preserve"> ongoing consideration of the band’s future use. </w:t>
      </w:r>
    </w:p>
    <w:p w14:paraId="6EA221FB" w14:textId="559634FB" w:rsidR="0051169B" w:rsidRDefault="006710A1" w:rsidP="0039429B">
      <w:pPr>
        <w:pStyle w:val="Paragraph"/>
      </w:pPr>
      <w:r>
        <w:t>We</w:t>
      </w:r>
      <w:r w:rsidR="00C44E2B">
        <w:t xml:space="preserve"> will continue to explore planning options and monitor global developments. A range of issues will be considered </w:t>
      </w:r>
      <w:r w:rsidR="002218F8">
        <w:t>before</w:t>
      </w:r>
      <w:r w:rsidR="00C44E2B">
        <w:t xml:space="preserve"> </w:t>
      </w:r>
      <w:proofErr w:type="gramStart"/>
      <w:r w:rsidR="00C44E2B">
        <w:t>making a decision</w:t>
      </w:r>
      <w:proofErr w:type="gramEnd"/>
      <w:r w:rsidR="00C44E2B">
        <w:t xml:space="preserve"> on the future use of the upper </w:t>
      </w:r>
      <w:r w:rsidR="00766481">
        <w:t>6 </w:t>
      </w:r>
      <w:r w:rsidR="00C44E2B">
        <w:t>GHz band (6425</w:t>
      </w:r>
      <w:r w:rsidR="00766481">
        <w:t>–</w:t>
      </w:r>
      <w:r w:rsidR="00C44E2B">
        <w:t>7125 MHz).</w:t>
      </w:r>
      <w:r w:rsidR="0051169B">
        <w:t xml:space="preserve"> Depending on developments, Q2 2024 is targeted for consultation</w:t>
      </w:r>
      <w:r w:rsidR="009B2972">
        <w:t xml:space="preserve"> on next steps in the 6 GHz band</w:t>
      </w:r>
      <w:r w:rsidR="0051169B">
        <w:t>.</w:t>
      </w:r>
    </w:p>
    <w:p w14:paraId="5123BFA6" w14:textId="77777777" w:rsidR="001C2172" w:rsidRPr="001C2172" w:rsidRDefault="001C2172" w:rsidP="001C2172">
      <w:r w:rsidRPr="001C2172">
        <w:t>The potential introduction of an AFC for the 6 GHz band is under consideration – along with potential operational specifications for any such system. The issues surrounding a possible AFC system would be included in the consultation on next steps in the 6 GHz band.</w:t>
      </w:r>
    </w:p>
    <w:p w14:paraId="7BAC7A20" w14:textId="7BD6B503" w:rsidR="007847F6" w:rsidRPr="006248FA" w:rsidRDefault="007847F6" w:rsidP="006248FA">
      <w:pPr>
        <w:pStyle w:val="Heading1"/>
        <w:shd w:val="clear" w:color="auto" w:fill="39457C"/>
        <w:rPr>
          <w:color w:val="FFFFFF" w:themeColor="background1"/>
        </w:rPr>
      </w:pPr>
      <w:bookmarkStart w:id="23" w:name="_Toc146527954"/>
      <w:r w:rsidRPr="006248FA">
        <w:rPr>
          <w:color w:val="FFFFFF" w:themeColor="background1"/>
        </w:rPr>
        <w:lastRenderedPageBreak/>
        <w:t>Preliminary replanning</w:t>
      </w:r>
      <w:bookmarkEnd w:id="23"/>
    </w:p>
    <w:p w14:paraId="3A0DDE4D" w14:textId="599A466B" w:rsidR="007847F6" w:rsidRDefault="007847F6" w:rsidP="00C47CDD">
      <w:pPr>
        <w:pStyle w:val="Heading2"/>
      </w:pPr>
      <w:bookmarkStart w:id="24" w:name="_Toc146527955"/>
      <w:r>
        <w:t>1.5 GHz</w:t>
      </w:r>
      <w:r w:rsidR="00603D31">
        <w:t xml:space="preserve"> and </w:t>
      </w:r>
      <w:r w:rsidR="00603D31" w:rsidRPr="00603D31">
        <w:t>Extended MSS L-band (1518–1525 MHz and 1668–1675 MHz)</w:t>
      </w:r>
      <w:bookmarkEnd w:id="24"/>
    </w:p>
    <w:p w14:paraId="71EDE1FF" w14:textId="1891EAD2" w:rsidR="00252DEB" w:rsidRDefault="00252DEB" w:rsidP="00823C7B">
      <w:pPr>
        <w:pStyle w:val="Paragraph"/>
      </w:pPr>
      <w:r>
        <w:t xml:space="preserve">Submitters detailed </w:t>
      </w:r>
      <w:r w:rsidR="0050649C">
        <w:t xml:space="preserve">a variety of proposals for the use of </w:t>
      </w:r>
      <w:r w:rsidR="00717B3E">
        <w:t>these</w:t>
      </w:r>
      <w:r w:rsidR="0050649C">
        <w:t xml:space="preserve"> </w:t>
      </w:r>
      <w:r w:rsidR="00AD0BAD">
        <w:t>band</w:t>
      </w:r>
      <w:r w:rsidR="00717B3E">
        <w:t>s</w:t>
      </w:r>
      <w:r w:rsidR="00E42596">
        <w:t xml:space="preserve">, confirming the FYSO observation </w:t>
      </w:r>
      <w:r w:rsidR="003C0EA6">
        <w:t>of a diverse range of views</w:t>
      </w:r>
      <w:r w:rsidR="00AD0BAD">
        <w:t>.</w:t>
      </w:r>
    </w:p>
    <w:p w14:paraId="57F02237" w14:textId="4AF83F80" w:rsidR="00823C7B" w:rsidRDefault="00DD31EC" w:rsidP="00823C7B">
      <w:pPr>
        <w:pStyle w:val="Paragraph"/>
      </w:pPr>
      <w:r>
        <w:t>One submitter</w:t>
      </w:r>
      <w:r w:rsidR="00922716">
        <w:t xml:space="preserve"> </w:t>
      </w:r>
      <w:r w:rsidR="00035198">
        <w:t xml:space="preserve">recommended that until </w:t>
      </w:r>
      <w:r w:rsidR="002B0386" w:rsidRPr="002B0386">
        <w:t>guidance from ITU-R studies is resolved and options for extended L-band are progressed</w:t>
      </w:r>
      <w:r w:rsidR="008F4D65">
        <w:t>,</w:t>
      </w:r>
      <w:r w:rsidR="002B0386" w:rsidRPr="002B0386">
        <w:t xml:space="preserve"> the planning status for 1.5 GHz should be </w:t>
      </w:r>
      <w:r w:rsidR="00AF4503">
        <w:t xml:space="preserve">moved to </w:t>
      </w:r>
      <w:r w:rsidR="00076E69" w:rsidRPr="008F4280">
        <w:rPr>
          <w:i/>
          <w:iCs/>
        </w:rPr>
        <w:t>I</w:t>
      </w:r>
      <w:r w:rsidR="002B0386" w:rsidRPr="008F4280">
        <w:rPr>
          <w:i/>
          <w:iCs/>
        </w:rPr>
        <w:t>nitial planning</w:t>
      </w:r>
      <w:r w:rsidR="00AF4503">
        <w:t xml:space="preserve">. Other submitters </w:t>
      </w:r>
      <w:r w:rsidR="0020055B">
        <w:t xml:space="preserve">generally </w:t>
      </w:r>
      <w:r w:rsidR="00820B39">
        <w:t xml:space="preserve">supported </w:t>
      </w:r>
      <w:r w:rsidR="00BF3DEF">
        <w:t xml:space="preserve">the decision to </w:t>
      </w:r>
      <w:r w:rsidR="006D63A1">
        <w:t xml:space="preserve">progress </w:t>
      </w:r>
      <w:r w:rsidR="00322F26">
        <w:t xml:space="preserve">the </w:t>
      </w:r>
      <w:r w:rsidR="00BF3DEF">
        <w:t>1.5 GHz</w:t>
      </w:r>
      <w:r w:rsidR="00820B39">
        <w:t xml:space="preserve"> band to </w:t>
      </w:r>
      <w:r w:rsidR="00076E69" w:rsidRPr="008F4280">
        <w:rPr>
          <w:i/>
          <w:iCs/>
        </w:rPr>
        <w:t>P</w:t>
      </w:r>
      <w:r w:rsidR="00820B39" w:rsidRPr="008F4280">
        <w:rPr>
          <w:i/>
          <w:iCs/>
        </w:rPr>
        <w:t>reliminary replanning</w:t>
      </w:r>
      <w:r w:rsidR="002B0386" w:rsidRPr="002B0386">
        <w:t>.</w:t>
      </w:r>
    </w:p>
    <w:p w14:paraId="73613DA0" w14:textId="6B675D15" w:rsidR="0017006F" w:rsidRDefault="0017006F" w:rsidP="0017006F">
      <w:pPr>
        <w:pStyle w:val="Heading3"/>
      </w:pPr>
      <w:r>
        <w:t>Our response</w:t>
      </w:r>
    </w:p>
    <w:p w14:paraId="2F65B5CA" w14:textId="2FB45B08" w:rsidR="009D0136" w:rsidRDefault="00AA3AB6" w:rsidP="00076E69">
      <w:pPr>
        <w:pStyle w:val="Paragraph"/>
      </w:pPr>
      <w:r>
        <w:t>W</w:t>
      </w:r>
      <w:r w:rsidR="00CC05C9">
        <w:t>e</w:t>
      </w:r>
      <w:r w:rsidR="00735F44" w:rsidRPr="00735F44">
        <w:t xml:space="preserve"> decided to progress the review </w:t>
      </w:r>
      <w:r w:rsidR="00735F44">
        <w:t>of</w:t>
      </w:r>
      <w:r w:rsidR="00735F44" w:rsidRPr="00735F44">
        <w:t xml:space="preserve"> both the 1.5 GHz and extended L-band to the preliminary replanning stage. However, we decided it was appropriate to progress consideration of the extended L-band before the 1.5 </w:t>
      </w:r>
      <w:r w:rsidR="00735F44" w:rsidRPr="00076E69">
        <w:t>GHz</w:t>
      </w:r>
      <w:r w:rsidR="00735F44" w:rsidRPr="00735F44">
        <w:t xml:space="preserve"> band. An</w:t>
      </w:r>
      <w:r w:rsidR="009D0136" w:rsidRPr="009D0136">
        <w:t xml:space="preserve"> </w:t>
      </w:r>
      <w:r w:rsidR="009D0136">
        <w:t xml:space="preserve">options paper for the extended L-band is to be released in Q3 2023. Depending on feedback and issues identified, we aim to announce outcomes </w:t>
      </w:r>
      <w:r w:rsidR="002A29DB">
        <w:t xml:space="preserve">from </w:t>
      </w:r>
      <w:r w:rsidR="009D0136">
        <w:t>the extended L-band consultation in Q4 2023.</w:t>
      </w:r>
    </w:p>
    <w:p w14:paraId="70D35ECC" w14:textId="61D409F3" w:rsidR="008B4A89" w:rsidRDefault="009D0136" w:rsidP="00D414E9">
      <w:pPr>
        <w:pStyle w:val="Paragraph"/>
      </w:pPr>
      <w:r>
        <w:t xml:space="preserve">We note that the consideration of coexistence issues with incumbent uses and users is a key part of the spectrum planning undertaken </w:t>
      </w:r>
      <w:r w:rsidR="00076E69">
        <w:t>before</w:t>
      </w:r>
      <w:r>
        <w:t xml:space="preserve"> implementing any new arrangements.</w:t>
      </w:r>
    </w:p>
    <w:p w14:paraId="288FBCCE" w14:textId="77777777" w:rsidR="00215B2A" w:rsidRDefault="00215B2A" w:rsidP="00D414E9">
      <w:pPr>
        <w:pStyle w:val="Paragraph"/>
      </w:pPr>
    </w:p>
    <w:p w14:paraId="331987A9" w14:textId="22BA3F58" w:rsidR="008B4A89" w:rsidRPr="006248FA" w:rsidRDefault="008B4A89" w:rsidP="006248FA">
      <w:pPr>
        <w:pStyle w:val="Heading1"/>
        <w:shd w:val="clear" w:color="auto" w:fill="39457C"/>
        <w:rPr>
          <w:color w:val="FFFFFF" w:themeColor="background1"/>
        </w:rPr>
      </w:pPr>
      <w:bookmarkStart w:id="25" w:name="_Toc146527956"/>
      <w:r w:rsidRPr="006248FA">
        <w:rPr>
          <w:color w:val="FFFFFF" w:themeColor="background1"/>
        </w:rPr>
        <w:lastRenderedPageBreak/>
        <w:t>Implementation</w:t>
      </w:r>
      <w:bookmarkEnd w:id="25"/>
      <w:r w:rsidRPr="006248FA">
        <w:rPr>
          <w:color w:val="FFFFFF" w:themeColor="background1"/>
        </w:rPr>
        <w:t xml:space="preserve"> </w:t>
      </w:r>
    </w:p>
    <w:p w14:paraId="148ACBD5" w14:textId="5AB79754" w:rsidR="008B4A89" w:rsidRDefault="008B4A89" w:rsidP="00C47CDD">
      <w:pPr>
        <w:pStyle w:val="Heading2"/>
      </w:pPr>
      <w:bookmarkStart w:id="26" w:name="_Toc146527957"/>
      <w:r w:rsidRPr="008B4A89">
        <w:t>850 MHz expansion band (814–824 MHz and 859–869 MHz)</w:t>
      </w:r>
      <w:bookmarkEnd w:id="26"/>
    </w:p>
    <w:p w14:paraId="2503227E" w14:textId="0F07D0F8" w:rsidR="00B17D7E" w:rsidRDefault="000120B4" w:rsidP="00B17D7E">
      <w:pPr>
        <w:pStyle w:val="Paragraph"/>
      </w:pPr>
      <w:r>
        <w:t>Submitters</w:t>
      </w:r>
      <w:r w:rsidR="00773C26">
        <w:t xml:space="preserve"> </w:t>
      </w:r>
      <w:r w:rsidR="009E441A">
        <w:t>commented on the</w:t>
      </w:r>
      <w:r w:rsidR="00815179">
        <w:t xml:space="preserve"> spectrum allocation for </w:t>
      </w:r>
      <w:r w:rsidR="00B17D7E">
        <w:t>Public Safety Mobile Broadband (PSMB)</w:t>
      </w:r>
      <w:r w:rsidR="00AD5B08">
        <w:t>.</w:t>
      </w:r>
      <w:r w:rsidR="00B17D7E">
        <w:t xml:space="preserve"> </w:t>
      </w:r>
      <w:r w:rsidR="00C1034A">
        <w:t>One submi</w:t>
      </w:r>
      <w:r w:rsidR="0016526F">
        <w:t xml:space="preserve">tter </w:t>
      </w:r>
      <w:r w:rsidR="0023667D">
        <w:t xml:space="preserve">stated </w:t>
      </w:r>
      <w:r w:rsidR="00B17D7E">
        <w:t xml:space="preserve">it is important that Band 27 remains reserved and available for potential future allocation to PSMB in the absence of </w:t>
      </w:r>
      <w:r w:rsidR="00B17D7E" w:rsidRPr="009D16F3">
        <w:t>any sub-1</w:t>
      </w:r>
      <w:r w:rsidR="00B17D7E">
        <w:t xml:space="preserve"> GHz alternatives in the foreseeable future.</w:t>
      </w:r>
    </w:p>
    <w:p w14:paraId="76E52E5E" w14:textId="0F55A047" w:rsidR="00B17D7E" w:rsidRDefault="000C45FD" w:rsidP="000C45FD">
      <w:pPr>
        <w:pStyle w:val="Heading3"/>
      </w:pPr>
      <w:r>
        <w:t>Our response</w:t>
      </w:r>
    </w:p>
    <w:p w14:paraId="2E123BC0" w14:textId="17E6A12B" w:rsidR="00FF5877" w:rsidRDefault="000C45FD" w:rsidP="000C45FD">
      <w:r>
        <w:t xml:space="preserve">The Australian Government has recently </w:t>
      </w:r>
      <w:r w:rsidR="00FF5877">
        <w:t xml:space="preserve">released a response </w:t>
      </w:r>
      <w:r>
        <w:t xml:space="preserve">to the Public Safety Mobile Broadband </w:t>
      </w:r>
      <w:r w:rsidR="00FF5877">
        <w:t xml:space="preserve">Review </w:t>
      </w:r>
      <w:r>
        <w:t xml:space="preserve">conduced in 2022. </w:t>
      </w:r>
      <w:r w:rsidR="006F0EBD" w:rsidRPr="006F0EBD">
        <w:t>Further consideration of a PSMB capability is being undertaken by the government and we remain ready to respond to developments. Further, where relevant, PSMB related proposals will be considered in other areas of the ACMA's work program</w:t>
      </w:r>
      <w:r w:rsidR="006F0EBD">
        <w:t xml:space="preserve">. </w:t>
      </w:r>
      <w:r w:rsidR="008F141E" w:rsidRPr="008F141E">
        <w:t>We have no immediate plans to change the reservation in relation to band 27.</w:t>
      </w:r>
      <w:r w:rsidR="008F141E">
        <w:t xml:space="preserve"> </w:t>
      </w:r>
    </w:p>
    <w:p w14:paraId="0AD0BFA8" w14:textId="77777777" w:rsidR="000D2BA3" w:rsidRPr="00C81938" w:rsidRDefault="00B75D15" w:rsidP="000D2BA3">
      <w:pPr>
        <w:pStyle w:val="Heading2"/>
        <w:keepLines/>
        <w:spacing w:before="120"/>
      </w:pPr>
      <w:bookmarkStart w:id="27" w:name="_Toc146527958"/>
      <w:r w:rsidRPr="00B75D15">
        <w:t>1800 MHz (1710–1785 MHz and 1805–1880 MHz)</w:t>
      </w:r>
      <w:r w:rsidR="000D2BA3">
        <w:t xml:space="preserve"> </w:t>
      </w:r>
      <w:r w:rsidR="000D2BA3" w:rsidRPr="00315CE5">
        <w:t>and 2</w:t>
      </w:r>
      <w:r w:rsidR="000D2BA3">
        <w:t> </w:t>
      </w:r>
      <w:r w:rsidR="000D2BA3" w:rsidRPr="00315CE5">
        <w:t xml:space="preserve">GHz (1920–1980 MHz and 2110–2170 MHz) </w:t>
      </w:r>
      <w:r w:rsidR="000D2BA3">
        <w:t>outside of spectrum</w:t>
      </w:r>
      <w:r w:rsidR="000D2BA3">
        <w:noBreakHyphen/>
        <w:t>licensed </w:t>
      </w:r>
      <w:r w:rsidR="000D2BA3" w:rsidRPr="00C81938">
        <w:t>areas</w:t>
      </w:r>
      <w:bookmarkEnd w:id="27"/>
    </w:p>
    <w:p w14:paraId="543EE9A6" w14:textId="3524960D" w:rsidR="009144FD" w:rsidRDefault="007A4C18" w:rsidP="009144FD">
      <w:pPr>
        <w:pStyle w:val="Paragraph"/>
      </w:pPr>
      <w:r>
        <w:t xml:space="preserve">A submitter observed that the </w:t>
      </w:r>
      <w:r w:rsidR="009144FD">
        <w:t>draft FYSO</w:t>
      </w:r>
      <w:r>
        <w:t xml:space="preserve"> did not include a</w:t>
      </w:r>
      <w:r w:rsidR="009144FD">
        <w:t xml:space="preserve"> timeframe for 1800 MHz spectrum licence renewal. The </w:t>
      </w:r>
      <w:r>
        <w:t xml:space="preserve">submitter requested the </w:t>
      </w:r>
      <w:r w:rsidR="009144FD">
        <w:t xml:space="preserve">ACMA begin consultation as early as possible to ensure jurisdictions have sufficient time to budget and plan </w:t>
      </w:r>
      <w:r w:rsidR="00076E69">
        <w:t xml:space="preserve">if </w:t>
      </w:r>
      <w:r w:rsidR="009144FD">
        <w:t xml:space="preserve">any changes </w:t>
      </w:r>
      <w:r w:rsidR="00076E69">
        <w:t xml:space="preserve">are </w:t>
      </w:r>
      <w:r w:rsidR="009144FD">
        <w:t xml:space="preserve">required. </w:t>
      </w:r>
    </w:p>
    <w:p w14:paraId="29395635" w14:textId="483DCE42" w:rsidR="009144FD" w:rsidRDefault="008A1945" w:rsidP="009144FD">
      <w:pPr>
        <w:pStyle w:val="Paragraph"/>
      </w:pPr>
      <w:r>
        <w:t>A</w:t>
      </w:r>
      <w:r w:rsidR="00AD078D">
        <w:t>nother</w:t>
      </w:r>
      <w:r>
        <w:t xml:space="preserve"> submitter noted</w:t>
      </w:r>
      <w:r w:rsidR="009144FD">
        <w:t xml:space="preserve"> that RALI MS 33 has measures to protect the </w:t>
      </w:r>
      <w:r w:rsidR="002A0C41" w:rsidRPr="00F950D5">
        <w:t>Space Research Service</w:t>
      </w:r>
      <w:r w:rsidR="009144FD">
        <w:t xml:space="preserve"> in the bands 2025</w:t>
      </w:r>
      <w:r w:rsidR="00076E69">
        <w:t>–</w:t>
      </w:r>
      <w:r w:rsidR="009144FD">
        <w:t>2110 MHz and 2110</w:t>
      </w:r>
      <w:r w:rsidR="00076E69">
        <w:t>–</w:t>
      </w:r>
      <w:r w:rsidR="009144FD">
        <w:t>2120 MHz, as well as measures for the</w:t>
      </w:r>
      <w:r w:rsidR="000805A6" w:rsidRPr="000805A6">
        <w:t> Australian Radio Quiet Zone WA (</w:t>
      </w:r>
      <w:r w:rsidR="000805A6">
        <w:t>A</w:t>
      </w:r>
      <w:r w:rsidR="009144FD">
        <w:t>RQZWA</w:t>
      </w:r>
      <w:r w:rsidR="000805A6">
        <w:t>)</w:t>
      </w:r>
      <w:r w:rsidR="009144FD">
        <w:t xml:space="preserve"> for radio astronomy, and that RALI MS 34 considers protection of </w:t>
      </w:r>
      <w:r w:rsidR="00032EFF">
        <w:t xml:space="preserve">the </w:t>
      </w:r>
      <w:r w:rsidR="00FF038E" w:rsidRPr="00A85A74">
        <w:t>Radio Astronomy Service</w:t>
      </w:r>
      <w:r w:rsidR="009144FD">
        <w:t xml:space="preserve"> under RALIs MS 31 and 32. While wishing to maintain these </w:t>
      </w:r>
      <w:r w:rsidR="0085176F">
        <w:t>measures</w:t>
      </w:r>
      <w:r w:rsidR="009144FD">
        <w:t xml:space="preserve"> (with appropriate updates if required) </w:t>
      </w:r>
      <w:r w:rsidR="005E0FA0">
        <w:t>the submitter</w:t>
      </w:r>
      <w:r w:rsidR="009144FD">
        <w:t xml:space="preserve"> </w:t>
      </w:r>
      <w:r w:rsidR="005E0FA0">
        <w:t>observed</w:t>
      </w:r>
      <w:r w:rsidR="009144FD">
        <w:t xml:space="preserve"> that</w:t>
      </w:r>
      <w:r w:rsidR="00032EFF">
        <w:t xml:space="preserve"> the</w:t>
      </w:r>
      <w:r w:rsidR="009144FD">
        <w:t xml:space="preserve"> </w:t>
      </w:r>
      <w:r w:rsidR="00FF038E" w:rsidRPr="00A85A74">
        <w:t>Radio Astronomy Service</w:t>
      </w:r>
      <w:r w:rsidR="00FF038E">
        <w:t xml:space="preserve"> </w:t>
      </w:r>
      <w:r w:rsidR="009144FD">
        <w:t xml:space="preserve">has a secondary allocation in 1710–1930 MHz </w:t>
      </w:r>
      <w:r w:rsidR="00076E69">
        <w:t xml:space="preserve">that may </w:t>
      </w:r>
      <w:r w:rsidR="009144FD">
        <w:t>require broader consideration.</w:t>
      </w:r>
    </w:p>
    <w:p w14:paraId="63FAD29F" w14:textId="76FC1157" w:rsidR="009144FD" w:rsidRDefault="00B64903" w:rsidP="009144FD">
      <w:pPr>
        <w:pStyle w:val="Paragraph"/>
      </w:pPr>
      <w:r>
        <w:t xml:space="preserve">One </w:t>
      </w:r>
      <w:r w:rsidR="00301D2C">
        <w:t xml:space="preserve">submitter suggested the </w:t>
      </w:r>
      <w:r w:rsidR="009144FD">
        <w:t xml:space="preserve">ACMA should consider going beyond policy-level changes and reallocating this spectrum for spectrum licensing, particularly in regional areas in the lower 2 x 40 MHz of the 2 GHz band where MNOs have already deployed extensive networks that are currently authorised by </w:t>
      </w:r>
      <w:r w:rsidR="00017744" w:rsidRPr="00017744">
        <w:t>Public Telecommunications Services</w:t>
      </w:r>
      <w:r w:rsidR="00017744">
        <w:t xml:space="preserve"> </w:t>
      </w:r>
      <w:r w:rsidR="009144FD">
        <w:t>apparatus licences.</w:t>
      </w:r>
    </w:p>
    <w:p w14:paraId="264E14BB" w14:textId="77777777" w:rsidR="00B3298A" w:rsidRDefault="000A3C22" w:rsidP="00B3298A">
      <w:pPr>
        <w:pStyle w:val="Paragraph"/>
      </w:pPr>
      <w:r>
        <w:t>A submitter also was of the view, in a separate consultation related to the Radiocommunications and Licensing Instructions (RALI) review program, that the review of RALIs MS33 and MS34, related to the 1800 MHz and 2 GHz outside of spectrum areas review, be delayed until 2024 because of the amount of consultation before the end of 2023.</w:t>
      </w:r>
    </w:p>
    <w:p w14:paraId="10AD56AC" w14:textId="53635F5B" w:rsidR="0074756F" w:rsidRDefault="0074756F" w:rsidP="0074756F">
      <w:pPr>
        <w:pStyle w:val="Heading3"/>
      </w:pPr>
      <w:r>
        <w:t>Our response</w:t>
      </w:r>
    </w:p>
    <w:p w14:paraId="63E10FEF" w14:textId="69721870" w:rsidR="0074756F" w:rsidRDefault="00F43F4B" w:rsidP="0074756F">
      <w:r>
        <w:t>We have</w:t>
      </w:r>
      <w:r w:rsidR="0074756F">
        <w:t xml:space="preserve"> published a consultation paper </w:t>
      </w:r>
      <w:r w:rsidR="00076E69">
        <w:t xml:space="preserve">about </w:t>
      </w:r>
      <w:r w:rsidR="0074756F">
        <w:t xml:space="preserve">the approach to considering the expiring spectrum licence </w:t>
      </w:r>
      <w:r w:rsidR="00F4798E">
        <w:t xml:space="preserve">(ESL) </w:t>
      </w:r>
      <w:r w:rsidR="0074756F">
        <w:t xml:space="preserve">process. </w:t>
      </w:r>
      <w:r w:rsidR="002E06CA">
        <w:t>The paper</w:t>
      </w:r>
      <w:r w:rsidR="0074756F">
        <w:t xml:space="preserve"> outlines a </w:t>
      </w:r>
      <w:r w:rsidR="002D313E">
        <w:t>4-stage</w:t>
      </w:r>
      <w:r w:rsidR="0074756F">
        <w:t xml:space="preserve"> </w:t>
      </w:r>
      <w:r w:rsidR="002E06CA">
        <w:t>consultation</w:t>
      </w:r>
      <w:r w:rsidR="0074756F">
        <w:t xml:space="preserve"> process for considering ESLs. </w:t>
      </w:r>
      <w:r w:rsidR="004D4F13">
        <w:t>We encourage</w:t>
      </w:r>
      <w:r w:rsidR="0074756F">
        <w:t xml:space="preserve"> all stakeholders to engage in these consultation</w:t>
      </w:r>
      <w:r w:rsidR="002E06CA">
        <w:t>s</w:t>
      </w:r>
      <w:r w:rsidR="0074756F">
        <w:t>.</w:t>
      </w:r>
    </w:p>
    <w:p w14:paraId="68A4E892" w14:textId="74AA3C1E" w:rsidR="0074756F" w:rsidDel="004D4F13" w:rsidRDefault="0074756F" w:rsidP="0074756F">
      <w:r w:rsidDel="004D4F13">
        <w:lastRenderedPageBreak/>
        <w:t xml:space="preserve">We plan to publish an options paper </w:t>
      </w:r>
      <w:r w:rsidR="00A952B0">
        <w:t>in</w:t>
      </w:r>
      <w:r w:rsidDel="004D4F13">
        <w:t xml:space="preserve"> </w:t>
      </w:r>
      <w:r w:rsidR="00DE2593" w:rsidDel="004D4F13">
        <w:t>Q</w:t>
      </w:r>
      <w:r w:rsidR="003E1A44">
        <w:t>1</w:t>
      </w:r>
      <w:r w:rsidR="00DE2593" w:rsidDel="004D4F13">
        <w:t xml:space="preserve"> </w:t>
      </w:r>
      <w:r w:rsidR="003E1A44" w:rsidDel="004D4F13">
        <w:t>202</w:t>
      </w:r>
      <w:r w:rsidR="003E1A44">
        <w:t>4</w:t>
      </w:r>
      <w:r w:rsidR="003E1A44" w:rsidDel="004D4F13">
        <w:t xml:space="preserve"> </w:t>
      </w:r>
      <w:r w:rsidDel="004D4F13">
        <w:t xml:space="preserve">for public consultation, which will consider the issues raised </w:t>
      </w:r>
      <w:r w:rsidR="002C0497">
        <w:t xml:space="preserve">regarding </w:t>
      </w:r>
      <w:r w:rsidR="00032EFF">
        <w:t xml:space="preserve">the </w:t>
      </w:r>
      <w:r w:rsidR="00032EFF" w:rsidRPr="00A85A74">
        <w:t>Radio Astronomy Service</w:t>
      </w:r>
      <w:r>
        <w:t>.</w:t>
      </w:r>
      <w:r w:rsidDel="004D4F13">
        <w:t xml:space="preserve"> We do not anticipate making significant changes to </w:t>
      </w:r>
      <w:r w:rsidR="002A0C41" w:rsidRPr="00F950D5">
        <w:t>Space Research Service</w:t>
      </w:r>
      <w:r w:rsidR="002A0C41">
        <w:t xml:space="preserve"> </w:t>
      </w:r>
      <w:r w:rsidDel="004D4F13">
        <w:t>or ARQZWA protection arrangements.</w:t>
      </w:r>
    </w:p>
    <w:p w14:paraId="5E96C61D" w14:textId="02B58D99" w:rsidR="0074756F" w:rsidRDefault="00FB1D6B" w:rsidP="0074756F">
      <w:r>
        <w:t xml:space="preserve">We note the submitter’s comments </w:t>
      </w:r>
      <w:r w:rsidR="00DA1C4F">
        <w:t xml:space="preserve">regarding spectrum licensing allocation. </w:t>
      </w:r>
      <w:r w:rsidR="00CF2F1A">
        <w:t xml:space="preserve">The </w:t>
      </w:r>
      <w:r w:rsidR="003D5DE2">
        <w:t>suggestion</w:t>
      </w:r>
      <w:r w:rsidR="00CF2F1A">
        <w:t xml:space="preserve"> </w:t>
      </w:r>
      <w:r w:rsidR="0074756F">
        <w:t xml:space="preserve">is beyond the scope of the 1800 MHz/2 GHz activity. </w:t>
      </w:r>
    </w:p>
    <w:p w14:paraId="487C91CA" w14:textId="5782E0A2" w:rsidR="00B8767B" w:rsidRDefault="00B8767B" w:rsidP="00C47CDD">
      <w:pPr>
        <w:pStyle w:val="Heading2"/>
      </w:pPr>
      <w:bookmarkStart w:id="28" w:name="_Toc146527959"/>
      <w:r w:rsidRPr="00B8767B">
        <w:t xml:space="preserve">2 GHz </w:t>
      </w:r>
      <w:r w:rsidR="0079584B">
        <w:t xml:space="preserve">MSS </w:t>
      </w:r>
      <w:r w:rsidRPr="00B8767B">
        <w:t>(1980–2010 MHz and 2170–2200 MHz)</w:t>
      </w:r>
      <w:bookmarkEnd w:id="28"/>
    </w:p>
    <w:p w14:paraId="4BAD2976" w14:textId="1884CB07" w:rsidR="002374B2" w:rsidRDefault="00A31874" w:rsidP="002374B2">
      <w:pPr>
        <w:pStyle w:val="Paragraph"/>
      </w:pPr>
      <w:r>
        <w:t>S</w:t>
      </w:r>
      <w:r w:rsidR="00544204">
        <w:t>ome s</w:t>
      </w:r>
      <w:r w:rsidR="007A027B">
        <w:t>ubmitter</w:t>
      </w:r>
      <w:r w:rsidR="00E018DF">
        <w:t>s</w:t>
      </w:r>
      <w:r w:rsidR="007A027B">
        <w:t xml:space="preserve"> urged the ACMA to </w:t>
      </w:r>
      <w:r w:rsidR="00116061">
        <w:t>consider allocation methods other than auction</w:t>
      </w:r>
      <w:r w:rsidR="00B06A00">
        <w:t xml:space="preserve"> </w:t>
      </w:r>
      <w:r w:rsidR="001F5103">
        <w:t>in this band</w:t>
      </w:r>
      <w:r w:rsidR="00BF347E">
        <w:t>.</w:t>
      </w:r>
      <w:r w:rsidR="00C13C1B">
        <w:t xml:space="preserve"> They suggested criteria for </w:t>
      </w:r>
      <w:r w:rsidR="00384295">
        <w:t xml:space="preserve">operator </w:t>
      </w:r>
      <w:r w:rsidR="00C13C1B">
        <w:t>inclusion in the allocation process.</w:t>
      </w:r>
      <w:r w:rsidR="002D77AE">
        <w:t xml:space="preserve"> </w:t>
      </w:r>
      <w:r w:rsidR="002374B2">
        <w:t>One</w:t>
      </w:r>
      <w:r w:rsidR="002D77AE">
        <w:t xml:space="preserve"> submitter supported the </w:t>
      </w:r>
      <w:r w:rsidR="00C709B7" w:rsidRPr="00C709B7">
        <w:t>proposal to use a price-based allocation mechanism</w:t>
      </w:r>
      <w:r w:rsidR="00C709B7">
        <w:t>.</w:t>
      </w:r>
      <w:r w:rsidR="002374B2">
        <w:t xml:space="preserve"> Another submitter contended that the ACMA should explore licensing frameworks that do not involve exclusive licensing or auctioning of MSS frequencies, </w:t>
      </w:r>
      <w:r w:rsidR="00B6323D">
        <w:t xml:space="preserve">claiming </w:t>
      </w:r>
      <w:r w:rsidR="002374B2">
        <w:t>that auctioning satellite spectrum is uneconomical and prevents efficient sharing between next-generation satellite systems.</w:t>
      </w:r>
    </w:p>
    <w:p w14:paraId="18406409" w14:textId="2977FE24" w:rsidR="005274D1" w:rsidRDefault="005274D1" w:rsidP="006C2F02">
      <w:pPr>
        <w:pStyle w:val="Paragraph"/>
      </w:pPr>
      <w:r>
        <w:t>A</w:t>
      </w:r>
      <w:r w:rsidR="004E15EE">
        <w:t>nother</w:t>
      </w:r>
      <w:r>
        <w:t xml:space="preserve"> submitter </w:t>
      </w:r>
      <w:r w:rsidR="00A478D2" w:rsidRPr="00A478D2">
        <w:t xml:space="preserve">requested the ACMA reconsider its decision to allocate 2 x 5 MHz for use by narrowband MSS. It proposed aligning the technical requirements of this segment of the band with the remaining part of the band, with a view to combining the 2 segments in </w:t>
      </w:r>
      <w:r w:rsidR="00076E69">
        <w:t xml:space="preserve">the </w:t>
      </w:r>
      <w:r w:rsidR="00A478D2" w:rsidRPr="00A478D2">
        <w:t>future. Th</w:t>
      </w:r>
      <w:r w:rsidR="00A478D2">
        <w:t>e</w:t>
      </w:r>
      <w:r w:rsidR="00A478D2" w:rsidRPr="00A478D2">
        <w:t xml:space="preserve"> submitter also requested the ACMA expedite the schedule for transitioning the 2 GHz band from its current use for television outside broadcast </w:t>
      </w:r>
      <w:r w:rsidR="007C2C9C">
        <w:t xml:space="preserve">(TOB) </w:t>
      </w:r>
      <w:r w:rsidR="00A478D2" w:rsidRPr="00A478D2">
        <w:t>services to the planned use for MSS.</w:t>
      </w:r>
    </w:p>
    <w:p w14:paraId="7A4C8A3C" w14:textId="512F4EE2" w:rsidR="00D86E82" w:rsidRDefault="00D86E82" w:rsidP="006C2F02">
      <w:pPr>
        <w:pStyle w:val="Paragraph"/>
      </w:pPr>
      <w:r>
        <w:t xml:space="preserve">Some submitters supported the decision to proceed with the allocation but urged the ACMA to make additional MSS available and support the addition of a preliminary agenda item for WRC-27 </w:t>
      </w:r>
      <w:r w:rsidRPr="00AA688E">
        <w:t>on the allocation of additional MSS spectrum for bands below 5 GHz.</w:t>
      </w:r>
      <w:r>
        <w:t xml:space="preserve"> </w:t>
      </w:r>
    </w:p>
    <w:p w14:paraId="3353D633" w14:textId="2F3DC255" w:rsidR="00D86E82" w:rsidRDefault="00D86E82" w:rsidP="00D86E82">
      <w:pPr>
        <w:pStyle w:val="Paragraph"/>
      </w:pPr>
      <w:r>
        <w:t xml:space="preserve">One submitter considered that </w:t>
      </w:r>
      <w:r w:rsidRPr="00B23415">
        <w:t>the ability to operate a ground-based service should not be restricted by the requirement to operate an MSS component</w:t>
      </w:r>
      <w:r>
        <w:t xml:space="preserve">. Another submitter </w:t>
      </w:r>
      <w:r w:rsidRPr="0061102F">
        <w:t>recommend</w:t>
      </w:r>
      <w:r>
        <w:t>ed</w:t>
      </w:r>
      <w:r w:rsidRPr="0061102F">
        <w:t xml:space="preserve"> that at least 15 MHz of paired spectrum in the lower half of the band should be granted to the direct air-to-ground communication service on an exclusive basis, in the same spectrum range used by the European Aviation Network.</w:t>
      </w:r>
    </w:p>
    <w:p w14:paraId="2A864166" w14:textId="12A0C340" w:rsidR="00997976" w:rsidRDefault="00997976" w:rsidP="00997976">
      <w:pPr>
        <w:pStyle w:val="Paragraph"/>
      </w:pPr>
      <w:r>
        <w:t xml:space="preserve">One submitter requested that the ACMA remove any barriers in granting Band-53 (2483.5 to 2500 MHz) for </w:t>
      </w:r>
      <w:r w:rsidR="0028520A">
        <w:t>c</w:t>
      </w:r>
      <w:r>
        <w:t>omplementary ground component (CGC) use case by mid-2024.</w:t>
      </w:r>
    </w:p>
    <w:p w14:paraId="6A641B45" w14:textId="28018B48" w:rsidR="006C2F02" w:rsidRDefault="007D34E5" w:rsidP="007D34E5">
      <w:pPr>
        <w:pStyle w:val="Heading3"/>
      </w:pPr>
      <w:r w:rsidRPr="007D34E5">
        <w:t>Our response</w:t>
      </w:r>
    </w:p>
    <w:p w14:paraId="53992AAC" w14:textId="06671EB0" w:rsidR="006C2F02" w:rsidRPr="006C2F02" w:rsidRDefault="00793B0E" w:rsidP="001B6CB2">
      <w:pPr>
        <w:pStyle w:val="Paragraph"/>
      </w:pPr>
      <w:r>
        <w:t>We are</w:t>
      </w:r>
      <w:r w:rsidR="0006433E" w:rsidRPr="0006433E">
        <w:t xml:space="preserve"> in the preliminary stages of planning a suitable allocation mechanism for the </w:t>
      </w:r>
      <w:r w:rsidR="00076E69" w:rsidRPr="0006433E">
        <w:t>2</w:t>
      </w:r>
      <w:r w:rsidR="00076E69">
        <w:t> </w:t>
      </w:r>
      <w:r w:rsidR="0006433E" w:rsidRPr="0006433E">
        <w:t xml:space="preserve">GHz </w:t>
      </w:r>
      <w:r w:rsidR="004E2C28">
        <w:t xml:space="preserve">MSS </w:t>
      </w:r>
      <w:r w:rsidR="0006433E" w:rsidRPr="0006433E">
        <w:t xml:space="preserve">spectrum. </w:t>
      </w:r>
      <w:r w:rsidR="00AE4B67" w:rsidRPr="00AE4B67">
        <w:t>There will be an opportunity to provide further views on the draft technical design principles to support MSS in Q</w:t>
      </w:r>
      <w:r w:rsidR="00A862FA">
        <w:t>4</w:t>
      </w:r>
      <w:r w:rsidR="00AE4B67" w:rsidRPr="00AE4B67">
        <w:t xml:space="preserve"> 2023.</w:t>
      </w:r>
    </w:p>
    <w:p w14:paraId="6ACCA260" w14:textId="5D7C3365" w:rsidR="005856F9" w:rsidRDefault="0081201F" w:rsidP="005856F9">
      <w:pPr>
        <w:pStyle w:val="Paragraph"/>
      </w:pPr>
      <w:r>
        <w:t>W</w:t>
      </w:r>
      <w:r w:rsidR="005856F9">
        <w:t>e have</w:t>
      </w:r>
      <w:r w:rsidR="005856F9" w:rsidRPr="00BB2A3B">
        <w:t xml:space="preserve"> </w:t>
      </w:r>
      <w:r w:rsidR="005856F9">
        <w:t>allocated</w:t>
      </w:r>
      <w:r w:rsidR="005856F9" w:rsidRPr="00BB2A3B">
        <w:t xml:space="preserve"> the 2 x 5 MHz narrowband MSS segment </w:t>
      </w:r>
      <w:r w:rsidR="005856F9">
        <w:t>and t</w:t>
      </w:r>
      <w:r w:rsidR="005856F9" w:rsidRPr="00BB2A3B">
        <w:t xml:space="preserve">he first licences </w:t>
      </w:r>
      <w:r w:rsidR="002B3DF2">
        <w:t>in this</w:t>
      </w:r>
      <w:r w:rsidR="005856F9" w:rsidRPr="00BB2A3B">
        <w:t xml:space="preserve"> </w:t>
      </w:r>
      <w:r w:rsidR="005856F9">
        <w:t xml:space="preserve">segment were issued in October 2022. This segment is necessary as a restricted band to achieve coexistence with ongoing adjacent-band TOB services. While technical coexistence was one factor in this decision, support for innovative technology and satellite services was also a consideration. </w:t>
      </w:r>
    </w:p>
    <w:p w14:paraId="5DB2F813" w14:textId="447EB4A1" w:rsidR="00A478D2" w:rsidRDefault="00555A73" w:rsidP="00555A73">
      <w:pPr>
        <w:pStyle w:val="Paragraph"/>
      </w:pPr>
      <w:r>
        <w:t xml:space="preserve">The schedule for transitioning use of the 2 GHz band is already in place under the </w:t>
      </w:r>
      <w:hyperlink r:id="rId41" w:history="1">
        <w:r w:rsidRPr="008004D3">
          <w:rPr>
            <w:rStyle w:val="Hyperlink"/>
          </w:rPr>
          <w:t>Radiocommunications (Mobile-Satellite Service) (1980–2010 MHz and 2170–2200 MHz) Frequency Band Plan 2022</w:t>
        </w:r>
      </w:hyperlink>
      <w:r>
        <w:t xml:space="preserve">, a legislative instrument made by the ACMA in June 2022. The timeframes specified in the instrument were the subject of public consultation and provide certainty to existing and prospective licensees. </w:t>
      </w:r>
      <w:r w:rsidR="009D6A6E">
        <w:t>We have</w:t>
      </w:r>
      <w:r>
        <w:t xml:space="preserve"> no plans to review or revoke this instrument.</w:t>
      </w:r>
    </w:p>
    <w:p w14:paraId="2985D5CC" w14:textId="31CD2732" w:rsidR="005D4DEF" w:rsidRDefault="005D4DEF" w:rsidP="005D4DEF">
      <w:r>
        <w:lastRenderedPageBreak/>
        <w:t xml:space="preserve">Current arrangements in </w:t>
      </w:r>
      <w:r w:rsidR="00076E69">
        <w:t xml:space="preserve">the </w:t>
      </w:r>
      <w:r>
        <w:t>S-band are intended to support long-term certainty of access to spectrum for TOB services</w:t>
      </w:r>
      <w:r w:rsidR="00076E69">
        <w:t>,</w:t>
      </w:r>
      <w:r>
        <w:t xml:space="preserve"> along with support for </w:t>
      </w:r>
      <w:r w:rsidR="00076E69">
        <w:t>e</w:t>
      </w:r>
      <w:r>
        <w:t>arth stations in certain locations (for example</w:t>
      </w:r>
      <w:r w:rsidR="00076E69">
        <w:t>,</w:t>
      </w:r>
      <w:r>
        <w:t xml:space="preserve"> New Norcia, Tidbinbilla, and Mingenew), fixed point-to-point links and aeronautical mobile telemetry services operated by the Department of Defence. Additional </w:t>
      </w:r>
      <w:r w:rsidR="00076E69">
        <w:t>e</w:t>
      </w:r>
      <w:r>
        <w:t xml:space="preserve">arth stations are considered on a case-by-case basis in accordance with spectrum embargo 23. </w:t>
      </w:r>
    </w:p>
    <w:p w14:paraId="0E67B93F" w14:textId="5320C402" w:rsidR="005D4DEF" w:rsidRDefault="005D4DEF" w:rsidP="005D4DEF">
      <w:r>
        <w:t xml:space="preserve">To provide ongoing support for S-band </w:t>
      </w:r>
      <w:r w:rsidR="00076E69">
        <w:t>e</w:t>
      </w:r>
      <w:r>
        <w:t>arth stations</w:t>
      </w:r>
      <w:r w:rsidR="00B62273">
        <w:t>,</w:t>
      </w:r>
      <w:r>
        <w:t xml:space="preserve"> </w:t>
      </w:r>
      <w:r w:rsidR="00855229">
        <w:t xml:space="preserve">the </w:t>
      </w:r>
      <w:r>
        <w:t xml:space="preserve">ACMA has developed an </w:t>
      </w:r>
      <w:r w:rsidR="00076E69">
        <w:t>e</w:t>
      </w:r>
      <w:r>
        <w:t>arth station protection zone in Western Australia (Mingenew) to support such activities (</w:t>
      </w:r>
      <w:r w:rsidR="00076E69">
        <w:t>e</w:t>
      </w:r>
      <w:r>
        <w:t>arth station</w:t>
      </w:r>
      <w:r w:rsidR="00B62273">
        <w:t>s</w:t>
      </w:r>
      <w:r>
        <w:t xml:space="preserve"> in Mingenew are not subject to embargo 23). While </w:t>
      </w:r>
      <w:r w:rsidR="00076E69">
        <w:t>e</w:t>
      </w:r>
      <w:r>
        <w:t>arth stations can operate outside of Mingenew subject to embargo 23</w:t>
      </w:r>
      <w:r w:rsidR="00E566CE">
        <w:t>,</w:t>
      </w:r>
      <w:r>
        <w:t xml:space="preserve"> the impact on existing services needs to be considered and</w:t>
      </w:r>
      <w:r w:rsidR="00076E69">
        <w:t>,</w:t>
      </w:r>
      <w:r>
        <w:t xml:space="preserve"> generally</w:t>
      </w:r>
      <w:r w:rsidR="00316E09">
        <w:t>,</w:t>
      </w:r>
      <w:r>
        <w:t xml:space="preserve"> the ACMA would not issue a licence that would impact an existing service or if there is a likelihood of the new service receiv</w:t>
      </w:r>
      <w:r w:rsidR="00F302C0">
        <w:t>ing</w:t>
      </w:r>
      <w:r>
        <w:t xml:space="preserve"> interference.</w:t>
      </w:r>
    </w:p>
    <w:p w14:paraId="2E89C6FE" w14:textId="77777777" w:rsidR="00D66AE2" w:rsidRDefault="00D66AE2" w:rsidP="00D66AE2">
      <w:pPr>
        <w:pStyle w:val="Paragraph"/>
      </w:pPr>
      <w:r>
        <w:t>We maintain</w:t>
      </w:r>
      <w:r w:rsidRPr="00933017">
        <w:t xml:space="preserve"> the view expressed in the 2 GHz outcomes paper (Jan</w:t>
      </w:r>
      <w:r>
        <w:t>uary</w:t>
      </w:r>
      <w:r w:rsidRPr="00933017">
        <w:t xml:space="preserve"> 2021) that there is a high level of uncertainty surrounding the potential benefits of direct air-to-ground communications services, as future uptake and viability is unclear in Australia. In some circumstances, the same functionality can be provided by satellite systems, which are already in operation providing gate-to-gate connectivity to commercial airlines. Rather than support an exclusive allocation to </w:t>
      </w:r>
      <w:r w:rsidRPr="009B7CD6">
        <w:t>Direct Air to Ground Communications</w:t>
      </w:r>
      <w:r w:rsidRPr="00933017">
        <w:t xml:space="preserve"> </w:t>
      </w:r>
      <w:r>
        <w:t>(</w:t>
      </w:r>
      <w:r w:rsidRPr="00933017">
        <w:t>DA2GC</w:t>
      </w:r>
      <w:r>
        <w:t>)</w:t>
      </w:r>
      <w:r w:rsidRPr="00933017">
        <w:t xml:space="preserve">, the </w:t>
      </w:r>
      <w:r>
        <w:t>ACMA's intent is that</w:t>
      </w:r>
      <w:r w:rsidRPr="00933017">
        <w:t xml:space="preserve"> the technical framework supporting complementary ground component </w:t>
      </w:r>
      <w:r>
        <w:t xml:space="preserve">(CGC) </w:t>
      </w:r>
      <w:r w:rsidRPr="00933017">
        <w:t>infrastructure will be designed to also support DA2GC, allowing such a service to be deployed if desired by the licensee.</w:t>
      </w:r>
    </w:p>
    <w:p w14:paraId="63706B93" w14:textId="0A5ED8E4" w:rsidR="004F1006" w:rsidRPr="004F1006" w:rsidRDefault="004F1006" w:rsidP="004F1006">
      <w:r>
        <w:t>Regarding CGC</w:t>
      </w:r>
      <w:r w:rsidR="0094695A">
        <w:t xml:space="preserve"> in the 2483.5</w:t>
      </w:r>
      <w:r w:rsidR="00076E69">
        <w:t>–</w:t>
      </w:r>
      <w:r w:rsidR="00501C29">
        <w:t>2500 MHz</w:t>
      </w:r>
      <w:r>
        <w:t>, i</w:t>
      </w:r>
      <w:r w:rsidRPr="004F1006">
        <w:t>n Australia, this frequency band is used on an ad-hoc basis for a variety of applications from drones to launch support activities. 2.5 GHz spectrum licences are in the adjacent band and class-licenced devices operating in 2400–2483.5 MHz also bring a range of technical compatibility issues.</w:t>
      </w:r>
      <w:r>
        <w:t xml:space="preserve"> </w:t>
      </w:r>
    </w:p>
    <w:p w14:paraId="1083E17C" w14:textId="1C42C7CC" w:rsidR="004F1006" w:rsidRPr="004F1006" w:rsidRDefault="004F1006" w:rsidP="004F1006">
      <w:r w:rsidRPr="004F1006">
        <w:t xml:space="preserve">As there is no established framework that would readily support such operations in 2483.5–2500 MHz, we would need to examine the potential impact on existing services and consider the most appropriate licensing, pricing and coordination arrangements. </w:t>
      </w:r>
    </w:p>
    <w:p w14:paraId="746193BF" w14:textId="732B3AB0" w:rsidR="004F1006" w:rsidRDefault="00076E69" w:rsidP="005D4DEF">
      <w:r w:rsidRPr="004F1006">
        <w:t>Currently</w:t>
      </w:r>
      <w:r w:rsidR="004F1006" w:rsidRPr="004F1006">
        <w:t>, we do not propose to begin detailed work in this band as we intend to complete our existing program of work with broader and more immediate benefits for the satellite industry, before commencing additional activities. However, noting the interest in the band, we encourage interested parties to discuss possible trials or demonstrations with us.</w:t>
      </w:r>
    </w:p>
    <w:p w14:paraId="2C63D2E7" w14:textId="3D110B19" w:rsidR="00310DFA" w:rsidRDefault="00F034E6" w:rsidP="00A74DC3">
      <w:pPr>
        <w:pStyle w:val="Heading2"/>
      </w:pPr>
      <w:bookmarkStart w:id="29" w:name="_Toc146527960"/>
      <w:r w:rsidRPr="00F034E6">
        <w:t>3.4–4 GHz band</w:t>
      </w:r>
      <w:bookmarkEnd w:id="29"/>
    </w:p>
    <w:p w14:paraId="467E6DA2" w14:textId="7CF8F4D2" w:rsidR="0003373B" w:rsidRDefault="009B4159" w:rsidP="0003373B">
      <w:pPr>
        <w:pStyle w:val="Paragraph"/>
      </w:pPr>
      <w:r>
        <w:t xml:space="preserve">There continues to be interest in our work </w:t>
      </w:r>
      <w:r w:rsidR="0003373B">
        <w:t xml:space="preserve">with mid-band allocations. Several submitters broadly commented on the need to open the allocation to promote competition in downstream markets and enable multiple uses. </w:t>
      </w:r>
    </w:p>
    <w:p w14:paraId="240A9D5B" w14:textId="0A040CCA" w:rsidR="008D4CBD" w:rsidRDefault="005D590F" w:rsidP="00160623">
      <w:pPr>
        <w:pStyle w:val="Paragraph"/>
      </w:pPr>
      <w:r>
        <w:t>One</w:t>
      </w:r>
      <w:r w:rsidR="00F8103C">
        <w:t xml:space="preserve"> submitter </w:t>
      </w:r>
      <w:r w:rsidR="00FB0898">
        <w:t>suggested</w:t>
      </w:r>
      <w:r w:rsidR="00ED0401">
        <w:t xml:space="preserve"> the ACMA should </w:t>
      </w:r>
      <w:r w:rsidR="00E90C34" w:rsidRPr="00E90C34">
        <w:t xml:space="preserve">expand the current mitigation measures </w:t>
      </w:r>
      <w:r w:rsidR="007D428C">
        <w:t xml:space="preserve">for coexistence with radio altimeters </w:t>
      </w:r>
      <w:r w:rsidR="00E90C34" w:rsidRPr="00E90C34">
        <w:t>proposed for 3800</w:t>
      </w:r>
      <w:r w:rsidR="00CC084F">
        <w:t>–</w:t>
      </w:r>
      <w:r w:rsidR="00E90C34" w:rsidRPr="00E90C34">
        <w:t>3950 MHz to 5G commercial services in the frequency range 3400</w:t>
      </w:r>
      <w:r w:rsidR="00CC084F">
        <w:t>–</w:t>
      </w:r>
      <w:r w:rsidR="00E90C34" w:rsidRPr="00E90C34">
        <w:t>3800 MHz</w:t>
      </w:r>
      <w:r w:rsidR="00CC084F">
        <w:t>,</w:t>
      </w:r>
      <w:r w:rsidR="00E90C34" w:rsidRPr="00E90C34">
        <w:t xml:space="preserve"> consistent with other jurisdictions</w:t>
      </w:r>
      <w:r w:rsidR="007365E9">
        <w:t>.</w:t>
      </w:r>
      <w:r>
        <w:t xml:space="preserve"> </w:t>
      </w:r>
      <w:r w:rsidR="00B36935">
        <w:t>A</w:t>
      </w:r>
      <w:r>
        <w:t>nother</w:t>
      </w:r>
      <w:r w:rsidR="00B36935">
        <w:t xml:space="preserve"> submitter expressed concern </w:t>
      </w:r>
      <w:r w:rsidR="001D7862">
        <w:t xml:space="preserve">about </w:t>
      </w:r>
      <w:r w:rsidR="00C52D57">
        <w:t xml:space="preserve">possible exclusion </w:t>
      </w:r>
      <w:r w:rsidR="0026524C">
        <w:t xml:space="preserve">of some </w:t>
      </w:r>
      <w:r w:rsidR="00220A3B">
        <w:t xml:space="preserve">existing spectrum licensees </w:t>
      </w:r>
      <w:r w:rsidR="007D5073">
        <w:t>from</w:t>
      </w:r>
      <w:r w:rsidR="00C52D57">
        <w:t xml:space="preserve"> the </w:t>
      </w:r>
      <w:r w:rsidR="007D5073">
        <w:t>initial allocation process</w:t>
      </w:r>
      <w:r w:rsidR="00D768DD">
        <w:t xml:space="preserve"> for area-wide licences in the 3.</w:t>
      </w:r>
      <w:r w:rsidR="00CC084F">
        <w:t>8 </w:t>
      </w:r>
      <w:r w:rsidR="00D768DD">
        <w:t>GHz band</w:t>
      </w:r>
      <w:r w:rsidR="007D5073">
        <w:t>.</w:t>
      </w:r>
      <w:r w:rsidR="00B114F0">
        <w:t xml:space="preserve"> </w:t>
      </w:r>
    </w:p>
    <w:p w14:paraId="3FC75B74" w14:textId="77777777" w:rsidR="00F8103C" w:rsidRDefault="00F8103C" w:rsidP="00F8103C">
      <w:pPr>
        <w:pStyle w:val="Heading3"/>
      </w:pPr>
      <w:r w:rsidRPr="007D34E5">
        <w:lastRenderedPageBreak/>
        <w:t>Our response</w:t>
      </w:r>
    </w:p>
    <w:p w14:paraId="6D9D5523" w14:textId="51E38AA8" w:rsidR="00F8103C" w:rsidRDefault="005D590F" w:rsidP="00160623">
      <w:pPr>
        <w:pStyle w:val="Paragraph"/>
      </w:pPr>
      <w:r>
        <w:t>Th</w:t>
      </w:r>
      <w:r w:rsidRPr="00C0523D">
        <w:t>e 3.4</w:t>
      </w:r>
      <w:r w:rsidR="00CC084F">
        <w:t>–</w:t>
      </w:r>
      <w:r w:rsidRPr="00C0523D">
        <w:t xml:space="preserve">4.0 </w:t>
      </w:r>
      <w:r w:rsidRPr="0081748F">
        <w:t>GHz mid</w:t>
      </w:r>
      <w:r w:rsidR="00CC084F" w:rsidRPr="0081748F">
        <w:t>-</w:t>
      </w:r>
      <w:r w:rsidRPr="0081748F">
        <w:t>band</w:t>
      </w:r>
      <w:r w:rsidRPr="00C0523D">
        <w:t xml:space="preserve"> suite of allocations is designed to support a wide range of uses</w:t>
      </w:r>
      <w:r w:rsidR="00CC084F">
        <w:t>,</w:t>
      </w:r>
      <w:r w:rsidRPr="00C0523D">
        <w:t xml:space="preserve"> including </w:t>
      </w:r>
      <w:r w:rsidR="00CC084F">
        <w:t xml:space="preserve">providing </w:t>
      </w:r>
      <w:r w:rsidRPr="00C0523D">
        <w:t>opportunities for smaller players to obtain apparatus licences through an allocation.</w:t>
      </w:r>
      <w:r>
        <w:t xml:space="preserve"> </w:t>
      </w:r>
      <w:r w:rsidR="00D15A3A">
        <w:t xml:space="preserve">We have progressed </w:t>
      </w:r>
      <w:r w:rsidR="00043128">
        <w:t>allocation arrangements</w:t>
      </w:r>
      <w:r w:rsidR="00CC084F">
        <w:t>,</w:t>
      </w:r>
      <w:r w:rsidR="00043128">
        <w:t xml:space="preserve"> </w:t>
      </w:r>
      <w:r w:rsidR="007A0ECF">
        <w:t xml:space="preserve">with applications opened for </w:t>
      </w:r>
      <w:r w:rsidR="00D17079">
        <w:t xml:space="preserve">AWLs </w:t>
      </w:r>
      <w:r w:rsidR="00D768DD">
        <w:t xml:space="preserve">in </w:t>
      </w:r>
      <w:r w:rsidR="008472D3">
        <w:t>remote areas across 3.4</w:t>
      </w:r>
      <w:r w:rsidR="00CC084F">
        <w:t>–</w:t>
      </w:r>
      <w:r w:rsidR="008472D3">
        <w:t xml:space="preserve">4.0 GHz, </w:t>
      </w:r>
      <w:r w:rsidR="00794E9A">
        <w:t>applications opened for spectrum licensing in 3.4</w:t>
      </w:r>
      <w:r w:rsidR="00431BE0">
        <w:t>/3</w:t>
      </w:r>
      <w:r w:rsidR="00834461">
        <w:t>.</w:t>
      </w:r>
      <w:r w:rsidR="00431BE0">
        <w:t>7 GHz bands</w:t>
      </w:r>
      <w:r w:rsidR="0041008D">
        <w:t xml:space="preserve"> and </w:t>
      </w:r>
      <w:r w:rsidR="00FB5B80">
        <w:t xml:space="preserve">a </w:t>
      </w:r>
      <w:r w:rsidR="008472D3">
        <w:t xml:space="preserve">consultation </w:t>
      </w:r>
      <w:r w:rsidR="006605AC">
        <w:t xml:space="preserve">completed </w:t>
      </w:r>
      <w:r w:rsidR="008472D3">
        <w:t xml:space="preserve">on the allocation for </w:t>
      </w:r>
      <w:r w:rsidR="00D17079">
        <w:t xml:space="preserve">AWLs </w:t>
      </w:r>
      <w:r w:rsidR="008472D3">
        <w:t>in metro/regional areas in the 3.8 GHz band (3750–3950 MHz in regional areas and 3800–3950 MHz i</w:t>
      </w:r>
      <w:r w:rsidR="00CC084F">
        <w:t>n</w:t>
      </w:r>
      <w:r w:rsidR="008472D3">
        <w:t xml:space="preserve"> metropolitan and immediately surrounding areas). </w:t>
      </w:r>
    </w:p>
    <w:p w14:paraId="61C8D752" w14:textId="77777777" w:rsidR="006B087F" w:rsidRPr="006248FA" w:rsidRDefault="002F2240" w:rsidP="006248FA">
      <w:pPr>
        <w:pStyle w:val="Heading1"/>
        <w:shd w:val="clear" w:color="auto" w:fill="39457C"/>
        <w:rPr>
          <w:color w:val="FFFFFF" w:themeColor="background1"/>
        </w:rPr>
      </w:pPr>
      <w:bookmarkStart w:id="30" w:name="_Toc146527961"/>
      <w:r w:rsidRPr="006248FA">
        <w:rPr>
          <w:color w:val="FFFFFF" w:themeColor="background1"/>
        </w:rPr>
        <w:lastRenderedPageBreak/>
        <w:t>Forward allocation workplan</w:t>
      </w:r>
      <w:bookmarkEnd w:id="30"/>
      <w:r w:rsidRPr="006248FA">
        <w:rPr>
          <w:color w:val="FFFFFF" w:themeColor="background1"/>
        </w:rPr>
        <w:t xml:space="preserve"> </w:t>
      </w:r>
    </w:p>
    <w:p w14:paraId="4E53D95B" w14:textId="589B839A" w:rsidR="00B13862" w:rsidRDefault="00B13862" w:rsidP="00C21D7F">
      <w:pPr>
        <w:pStyle w:val="Heading2"/>
      </w:pPr>
      <w:bookmarkStart w:id="31" w:name="_Toc146527962"/>
      <w:r w:rsidRPr="00B13862">
        <w:t>3400–4000 MHz</w:t>
      </w:r>
      <w:bookmarkEnd w:id="31"/>
      <w:r w:rsidR="006E0E07">
        <w:t xml:space="preserve"> </w:t>
      </w:r>
    </w:p>
    <w:p w14:paraId="14C70209" w14:textId="684A4457" w:rsidR="005445AB" w:rsidRPr="005445AB" w:rsidRDefault="005445AB" w:rsidP="005445AB">
      <w:pPr>
        <w:pStyle w:val="Paragraph"/>
        <w:rPr>
          <w:color w:val="FF0000"/>
        </w:rPr>
      </w:pPr>
      <w:r w:rsidRPr="005445AB">
        <w:t>A submitter was concerned at the ACMA’s proposal to use AWLs for LA WBB deployment for 3800</w:t>
      </w:r>
      <w:r w:rsidR="00CC084F">
        <w:t>–</w:t>
      </w:r>
      <w:r w:rsidRPr="005445AB">
        <w:t>4000 MHz</w:t>
      </w:r>
      <w:r w:rsidR="00F04EC9">
        <w:t xml:space="preserve"> as they </w:t>
      </w:r>
      <w:r w:rsidR="00BA1445">
        <w:t>did</w:t>
      </w:r>
      <w:r w:rsidR="00F04EC9">
        <w:t xml:space="preserve"> not support the ACMA’s previous conclusion that 100 MHz of contiguous spectrum for each </w:t>
      </w:r>
      <w:r w:rsidR="00B82EAF">
        <w:t>wide-area (</w:t>
      </w:r>
      <w:r w:rsidR="00F04EC9">
        <w:t>WA</w:t>
      </w:r>
      <w:r w:rsidR="00B82EAF">
        <w:t>)</w:t>
      </w:r>
      <w:r w:rsidR="00F04EC9">
        <w:t xml:space="preserve"> WBB operator is sufficient for this band</w:t>
      </w:r>
      <w:r w:rsidR="00B82EAF">
        <w:t>.</w:t>
      </w:r>
      <w:r w:rsidR="00F04EC9">
        <w:t xml:space="preserve"> </w:t>
      </w:r>
    </w:p>
    <w:p w14:paraId="088B4C6E" w14:textId="235C75AA" w:rsidR="005445AB" w:rsidRDefault="005445AB" w:rsidP="005445AB">
      <w:pPr>
        <w:pStyle w:val="Paragraph"/>
      </w:pPr>
      <w:r w:rsidRPr="005445AB">
        <w:t>A submitter suggested the ACMA needs to develop clearer definitions to distinguish between local-area WBB services and restricted cell LA WBB services proposed for 3950–4000 MHz.</w:t>
      </w:r>
    </w:p>
    <w:p w14:paraId="1A9C0369" w14:textId="0D316CBB" w:rsidR="0068173B" w:rsidRDefault="0068173B" w:rsidP="0068173B">
      <w:pPr>
        <w:pStyle w:val="Paragraph"/>
      </w:pPr>
      <w:r w:rsidRPr="00B114F0">
        <w:t>A submitter expressed concern about allocation limits and affiliation arrangements applicable to bidding for all lots.</w:t>
      </w:r>
    </w:p>
    <w:p w14:paraId="3BC1F335" w14:textId="3B93987F" w:rsidR="0068173B" w:rsidRPr="005445AB" w:rsidRDefault="00BF2F06" w:rsidP="005445AB">
      <w:pPr>
        <w:pStyle w:val="Paragraph"/>
      </w:pPr>
      <w:r>
        <w:t xml:space="preserve">A submitter </w:t>
      </w:r>
      <w:r w:rsidR="00CC0CD2">
        <w:t xml:space="preserve">stressed the need for the </w:t>
      </w:r>
      <w:r w:rsidR="002F7AE9" w:rsidRPr="002F7AE9">
        <w:t xml:space="preserve">4 GHz and 3.7 GHz auction timeline </w:t>
      </w:r>
      <w:r w:rsidR="002F7AE9">
        <w:t>to remain</w:t>
      </w:r>
      <w:r w:rsidR="002F7AE9" w:rsidRPr="002F7AE9">
        <w:t xml:space="preserve"> on track</w:t>
      </w:r>
      <w:r w:rsidR="002F7AE9">
        <w:t>.</w:t>
      </w:r>
    </w:p>
    <w:p w14:paraId="0C965D8F" w14:textId="77777777" w:rsidR="005445AB" w:rsidRPr="005445AB" w:rsidRDefault="005445AB" w:rsidP="005445AB">
      <w:pPr>
        <w:pStyle w:val="Heading3"/>
      </w:pPr>
      <w:r w:rsidRPr="005445AB">
        <w:t>Our response</w:t>
      </w:r>
    </w:p>
    <w:p w14:paraId="1518558C" w14:textId="6B32458C" w:rsidR="005445AB" w:rsidRPr="005445AB" w:rsidRDefault="00A256CC" w:rsidP="00CC084F">
      <w:pPr>
        <w:pStyle w:val="Paragraph"/>
      </w:pPr>
      <w:r>
        <w:t>Taken together, the mid</w:t>
      </w:r>
      <w:r w:rsidR="00C778F7">
        <w:t>-</w:t>
      </w:r>
      <w:r>
        <w:t xml:space="preserve">band allocations are </w:t>
      </w:r>
      <w:r w:rsidR="005445AB" w:rsidRPr="005445AB">
        <w:t xml:space="preserve">intended to support a variety of </w:t>
      </w:r>
      <w:r w:rsidR="005B6E63">
        <w:t xml:space="preserve">users and </w:t>
      </w:r>
      <w:r w:rsidR="008D6347" w:rsidRPr="005445AB">
        <w:t>use</w:t>
      </w:r>
      <w:r w:rsidR="008D6347">
        <w:t>-</w:t>
      </w:r>
      <w:r w:rsidR="005445AB" w:rsidRPr="005445AB">
        <w:t xml:space="preserve">cases. </w:t>
      </w:r>
      <w:r w:rsidR="000A0375">
        <w:t>O</w:t>
      </w:r>
      <w:r w:rsidR="005445AB" w:rsidRPr="005445AB">
        <w:t>ur decision</w:t>
      </w:r>
      <w:r w:rsidR="005D4DA6">
        <w:t>-</w:t>
      </w:r>
      <w:r w:rsidR="005445AB" w:rsidRPr="00CC084F">
        <w:t>making</w:t>
      </w:r>
      <w:r w:rsidR="005445AB" w:rsidRPr="005445AB">
        <w:t xml:space="preserve"> </w:t>
      </w:r>
      <w:r w:rsidR="000A0375">
        <w:t xml:space="preserve">is informed by </w:t>
      </w:r>
      <w:r w:rsidR="004A32ED">
        <w:t xml:space="preserve">views received </w:t>
      </w:r>
      <w:r w:rsidR="005D4DA6">
        <w:t xml:space="preserve">through </w:t>
      </w:r>
      <w:r>
        <w:t xml:space="preserve">iterative consultation mechanisms and </w:t>
      </w:r>
      <w:r w:rsidR="004A32ED">
        <w:t xml:space="preserve">we </w:t>
      </w:r>
      <w:r>
        <w:t xml:space="preserve">carefully consider the views expressed </w:t>
      </w:r>
      <w:r w:rsidR="00971D3F">
        <w:t xml:space="preserve">to us, </w:t>
      </w:r>
      <w:r w:rsidR="00684794">
        <w:t xml:space="preserve">and </w:t>
      </w:r>
      <w:r w:rsidR="00EB0CA8">
        <w:t xml:space="preserve">undertake </w:t>
      </w:r>
      <w:r w:rsidR="00971D3F">
        <w:t xml:space="preserve">our own analysis of options against our identified objectives. </w:t>
      </w:r>
      <w:r w:rsidR="00DD1000">
        <w:t>When announcing our decisions, we release explanatory material explaining the basis for each decision and how we have considered stakeholder views.</w:t>
      </w:r>
    </w:p>
    <w:p w14:paraId="3F61D9F2" w14:textId="761C846F" w:rsidR="00F44A36" w:rsidRDefault="001C623D" w:rsidP="005445AB">
      <w:pPr>
        <w:pStyle w:val="Paragraph"/>
        <w:rPr>
          <w:lang w:val="en-GB"/>
        </w:rPr>
      </w:pPr>
      <w:r>
        <w:rPr>
          <w:lang w:val="en-GB"/>
        </w:rPr>
        <w:t>We</w:t>
      </w:r>
      <w:r w:rsidR="00DA117A" w:rsidRPr="00DA117A">
        <w:rPr>
          <w:lang w:val="en-GB"/>
        </w:rPr>
        <w:t xml:space="preserve"> published the </w:t>
      </w:r>
      <w:hyperlink r:id="rId42" w:history="1">
        <w:r w:rsidR="00CC084F">
          <w:rPr>
            <w:rStyle w:val="Hyperlink"/>
            <w:lang w:val="en-GB"/>
          </w:rPr>
          <w:t>applicant information pack (AIP) for AWLs in 3.4–4.0 GHz</w:t>
        </w:r>
      </w:hyperlink>
      <w:r w:rsidR="00DA117A" w:rsidRPr="00DA117A">
        <w:rPr>
          <w:lang w:val="en-GB"/>
        </w:rPr>
        <w:t xml:space="preserve"> in remote areas. The AIP describes the applicable planning arrangements, technical framework, available spectrum and geographic areas, pricing arrangements, allocation policy and allocation process.</w:t>
      </w:r>
    </w:p>
    <w:p w14:paraId="6EBFF284" w14:textId="1018581D" w:rsidR="008D1B4D" w:rsidRPr="008D1B4D" w:rsidRDefault="008D1B4D" w:rsidP="008D1B4D">
      <w:pPr>
        <w:rPr>
          <w:rFonts w:cs="Arial"/>
        </w:rPr>
      </w:pPr>
      <w:r w:rsidRPr="008D1B4D">
        <w:rPr>
          <w:rFonts w:cs="Arial"/>
          <w:lang w:val="en-GB"/>
        </w:rPr>
        <w:t xml:space="preserve">We </w:t>
      </w:r>
      <w:r w:rsidR="004478E2">
        <w:rPr>
          <w:rFonts w:cs="Arial"/>
          <w:lang w:val="en-GB"/>
        </w:rPr>
        <w:t>have completed a</w:t>
      </w:r>
      <w:r w:rsidRPr="008D1B4D">
        <w:rPr>
          <w:rFonts w:cs="Arial"/>
          <w:lang w:val="en-GB"/>
        </w:rPr>
        <w:t xml:space="preserve"> </w:t>
      </w:r>
      <w:r w:rsidR="004478E2" w:rsidRPr="008D1B4D">
        <w:rPr>
          <w:rFonts w:cs="Arial"/>
          <w:lang w:val="en-GB"/>
        </w:rPr>
        <w:t>consult</w:t>
      </w:r>
      <w:r w:rsidR="004478E2">
        <w:rPr>
          <w:rFonts w:cs="Arial"/>
          <w:lang w:val="en-GB"/>
        </w:rPr>
        <w:t>ation</w:t>
      </w:r>
      <w:r w:rsidRPr="008D1B4D">
        <w:rPr>
          <w:rFonts w:cs="Arial"/>
          <w:lang w:val="en-GB"/>
        </w:rPr>
        <w:t xml:space="preserve"> on </w:t>
      </w:r>
      <w:r w:rsidRPr="008D1B4D">
        <w:rPr>
          <w:rFonts w:cs="Arial"/>
        </w:rPr>
        <w:t>the proposed technical framework, licence tax arrangements, licence tenure and renewal arrangements and allocation options for our proposed allocation of the 3.8 GHz metro/regional AWLs. </w:t>
      </w:r>
    </w:p>
    <w:p w14:paraId="714FD543" w14:textId="7DD7B9AC" w:rsidR="00F50109" w:rsidRPr="00F50109" w:rsidRDefault="00A657A7" w:rsidP="00CC084F">
      <w:pPr>
        <w:pStyle w:val="Paragraph"/>
      </w:pPr>
      <w:r w:rsidRPr="00CC084F">
        <w:t>We</w:t>
      </w:r>
      <w:r w:rsidR="00F50109" w:rsidRPr="00CC084F">
        <w:t xml:space="preserve"> also recently invited interested p</w:t>
      </w:r>
      <w:r w:rsidR="00F50109" w:rsidRPr="00F50109">
        <w:t>arties to register to participate in the 3.4/3.7 GHz band</w:t>
      </w:r>
      <w:r w:rsidR="002C482F">
        <w:t>s</w:t>
      </w:r>
      <w:r w:rsidR="00F50109" w:rsidRPr="00F50109">
        <w:t xml:space="preserve"> spectrum auction</w:t>
      </w:r>
      <w:r w:rsidR="00E04F07">
        <w:t>, with</w:t>
      </w:r>
      <w:r w:rsidR="00F50109" w:rsidRPr="00F50109">
        <w:t xml:space="preserve"> the auction of spectrum in the 3.4/3.7 GHz band</w:t>
      </w:r>
      <w:r w:rsidR="002C482F">
        <w:t>s</w:t>
      </w:r>
      <w:r w:rsidR="00F50109" w:rsidRPr="00F50109">
        <w:t xml:space="preserve"> </w:t>
      </w:r>
      <w:r w:rsidR="00E04F07">
        <w:t>to</w:t>
      </w:r>
      <w:r w:rsidR="00F50109" w:rsidRPr="00F50109">
        <w:t xml:space="preserve"> commence in </w:t>
      </w:r>
      <w:r w:rsidR="00145319">
        <w:t xml:space="preserve">late </w:t>
      </w:r>
      <w:r w:rsidR="00F50109" w:rsidRPr="00F50109">
        <w:t xml:space="preserve">October 2023. </w:t>
      </w:r>
    </w:p>
    <w:p w14:paraId="25098630" w14:textId="01E6B65E" w:rsidR="00A76DA8" w:rsidRDefault="005445AB" w:rsidP="00D414E9">
      <w:pPr>
        <w:pStyle w:val="Paragraph"/>
      </w:pPr>
      <w:r w:rsidRPr="005445AB">
        <w:t xml:space="preserve">The planned restricted cell services </w:t>
      </w:r>
      <w:r w:rsidR="00883F05">
        <w:t xml:space="preserve">including </w:t>
      </w:r>
      <w:r w:rsidR="00BB0622">
        <w:t xml:space="preserve">for </w:t>
      </w:r>
      <w:r w:rsidR="00A97B77">
        <w:t>highly localised</w:t>
      </w:r>
      <w:r w:rsidR="00746808">
        <w:t xml:space="preserve"> services</w:t>
      </w:r>
      <w:r w:rsidR="00CB2E25">
        <w:t xml:space="preserve"> use</w:t>
      </w:r>
      <w:r w:rsidR="00A97B77">
        <w:t xml:space="preserve"> </w:t>
      </w:r>
      <w:r w:rsidR="00AE301A">
        <w:t>are</w:t>
      </w:r>
      <w:r w:rsidRPr="005445AB">
        <w:t xml:space="preserve"> still under development</w:t>
      </w:r>
      <w:r w:rsidR="00CB2E25">
        <w:t>.</w:t>
      </w:r>
      <w:r w:rsidRPr="005445AB">
        <w:t xml:space="preserve"> We will consider the differentiation between LA WBB and </w:t>
      </w:r>
      <w:r w:rsidR="00DB0C54">
        <w:t>highly localised</w:t>
      </w:r>
      <w:r w:rsidRPr="005445AB">
        <w:t xml:space="preserve"> LA WBB services for the relevant allocation. The </w:t>
      </w:r>
      <w:r w:rsidR="00CC084F">
        <w:t>Technical Liaison Group</w:t>
      </w:r>
      <w:r w:rsidR="00CC084F" w:rsidRPr="005445AB">
        <w:t xml:space="preserve"> </w:t>
      </w:r>
      <w:r w:rsidRPr="005445AB">
        <w:t>will explore highly localised WBB in early Q</w:t>
      </w:r>
      <w:r w:rsidR="00FB188C">
        <w:t>4</w:t>
      </w:r>
      <w:r w:rsidRPr="005445AB">
        <w:t xml:space="preserve"> </w:t>
      </w:r>
      <w:r w:rsidR="00E17835">
        <w:t>20</w:t>
      </w:r>
      <w:r w:rsidRPr="005445AB">
        <w:t>23</w:t>
      </w:r>
      <w:r w:rsidR="00F57917">
        <w:t xml:space="preserve"> and provide</w:t>
      </w:r>
      <w:r w:rsidRPr="005445AB">
        <w:t xml:space="preserve"> advice on the technical arrangements. A key difference with </w:t>
      </w:r>
      <w:r w:rsidR="00E17835">
        <w:t xml:space="preserve">highly localised </w:t>
      </w:r>
      <w:r w:rsidRPr="005445AB">
        <w:t>LA WBB spectrum is that there will be a lower</w:t>
      </w:r>
      <w:r w:rsidR="008237F5">
        <w:t xml:space="preserve"> </w:t>
      </w:r>
      <w:r w:rsidR="0047058E">
        <w:t>e</w:t>
      </w:r>
      <w:r w:rsidR="008237F5" w:rsidRPr="008237F5">
        <w:t>ffective Isotropic Radiated Power</w:t>
      </w:r>
      <w:r w:rsidRPr="005445AB">
        <w:t xml:space="preserve"> </w:t>
      </w:r>
      <w:r w:rsidR="008237F5">
        <w:t>(</w:t>
      </w:r>
      <w:r w:rsidRPr="005445AB">
        <w:t>EIRP</w:t>
      </w:r>
      <w:r w:rsidR="008237F5">
        <w:t>)</w:t>
      </w:r>
      <w:r w:rsidRPr="005445AB">
        <w:t xml:space="preserve"> limit, which will restrict applications to small cells and indoor use.</w:t>
      </w:r>
    </w:p>
    <w:p w14:paraId="0138CCAB" w14:textId="4FFC4CDA" w:rsidR="00A76DA8" w:rsidRPr="006248FA" w:rsidRDefault="00A76DA8" w:rsidP="006248FA">
      <w:pPr>
        <w:pStyle w:val="Heading1"/>
        <w:shd w:val="clear" w:color="auto" w:fill="39457C"/>
        <w:rPr>
          <w:color w:val="FFFFFF" w:themeColor="background1"/>
        </w:rPr>
      </w:pPr>
      <w:bookmarkStart w:id="32" w:name="_Toc146527963"/>
      <w:r w:rsidRPr="006248FA">
        <w:rPr>
          <w:color w:val="FFFFFF" w:themeColor="background1"/>
        </w:rPr>
        <w:lastRenderedPageBreak/>
        <w:t>Optimising established planning frameworks</w:t>
      </w:r>
      <w:bookmarkEnd w:id="32"/>
    </w:p>
    <w:p w14:paraId="01BA05BF" w14:textId="684A78D9" w:rsidR="00A76DA8" w:rsidRDefault="00E1502A" w:rsidP="00607EE8">
      <w:pPr>
        <w:pStyle w:val="Heading2"/>
      </w:pPr>
      <w:bookmarkStart w:id="33" w:name="_Toc146527964"/>
      <w:r w:rsidRPr="00E1502A">
        <w:t>Broadcast</w:t>
      </w:r>
      <w:r w:rsidR="00607EE8">
        <w:t>ing</w:t>
      </w:r>
      <w:bookmarkEnd w:id="33"/>
    </w:p>
    <w:p w14:paraId="0E0C430B" w14:textId="2924FFC7" w:rsidR="00607EE8" w:rsidRDefault="00D04845" w:rsidP="00607EE8">
      <w:pPr>
        <w:pStyle w:val="Paragraph"/>
      </w:pPr>
      <w:r>
        <w:t>S</w:t>
      </w:r>
      <w:r w:rsidR="00EF140E" w:rsidRPr="00EF140E">
        <w:t>ubmitter</w:t>
      </w:r>
      <w:r>
        <w:t>s</w:t>
      </w:r>
      <w:r w:rsidR="00EF140E" w:rsidRPr="00EF140E">
        <w:t xml:space="preserve"> </w:t>
      </w:r>
      <w:r w:rsidR="007E6D47">
        <w:t xml:space="preserve">provided </w:t>
      </w:r>
      <w:r w:rsidR="00EF140E" w:rsidRPr="00EF140E">
        <w:t xml:space="preserve">a variety of </w:t>
      </w:r>
      <w:r w:rsidR="00F03DAA">
        <w:t xml:space="preserve">comments, </w:t>
      </w:r>
      <w:r w:rsidR="00EF140E" w:rsidRPr="00EF140E">
        <w:t xml:space="preserve">suggestions </w:t>
      </w:r>
      <w:r w:rsidR="00F03DAA">
        <w:t xml:space="preserve">and recommendations </w:t>
      </w:r>
      <w:r w:rsidR="0075651A">
        <w:t>about</w:t>
      </w:r>
      <w:r w:rsidR="00EF140E" w:rsidRPr="00EF140E">
        <w:t xml:space="preserve"> the ACMA’s broadcasting plans, covering communications infrastructure, television, DAB+ and DRM</w:t>
      </w:r>
      <w:r w:rsidR="00F03DAA">
        <w:t>,</w:t>
      </w:r>
      <w:r w:rsidR="00EF140E" w:rsidRPr="00EF140E">
        <w:t xml:space="preserve"> including AM to FM conversions, variations to </w:t>
      </w:r>
      <w:r w:rsidR="00A3131A">
        <w:t>l</w:t>
      </w:r>
      <w:r w:rsidR="00A3131A" w:rsidRPr="00A3131A">
        <w:t>icence area plans</w:t>
      </w:r>
      <w:r w:rsidR="00A3131A">
        <w:t xml:space="preserve"> (</w:t>
      </w:r>
      <w:r w:rsidR="00EF140E" w:rsidRPr="00EF140E">
        <w:t>LAPs</w:t>
      </w:r>
      <w:r w:rsidR="00A3131A">
        <w:t>)</w:t>
      </w:r>
      <w:r w:rsidR="00EF140E" w:rsidRPr="00EF140E">
        <w:t xml:space="preserve"> and sunsetting instruments.</w:t>
      </w:r>
    </w:p>
    <w:p w14:paraId="5BEDBACF" w14:textId="60971DA5" w:rsidR="00034451" w:rsidRDefault="00683E2F" w:rsidP="00034451">
      <w:pPr>
        <w:pStyle w:val="Paragraph"/>
      </w:pPr>
      <w:r>
        <w:t>S</w:t>
      </w:r>
      <w:r w:rsidR="00034451">
        <w:t>ubmitter</w:t>
      </w:r>
      <w:r w:rsidR="0003269B">
        <w:t>s</w:t>
      </w:r>
      <w:r w:rsidR="00034451">
        <w:t xml:space="preserve"> asked that the ACMA</w:t>
      </w:r>
      <w:r w:rsidR="0003269B">
        <w:t xml:space="preserve"> reconsider the current work program </w:t>
      </w:r>
      <w:r w:rsidR="00F03DAA">
        <w:t>regarding</w:t>
      </w:r>
      <w:r w:rsidR="0003269B">
        <w:t xml:space="preserve"> certain </w:t>
      </w:r>
      <w:r w:rsidR="00EB0CA8">
        <w:t>locations and</w:t>
      </w:r>
      <w:r w:rsidR="00F03DAA">
        <w:t xml:space="preserve"> </w:t>
      </w:r>
      <w:r w:rsidR="00034451">
        <w:t xml:space="preserve">add additional locations </w:t>
      </w:r>
      <w:r w:rsidR="00BC2239">
        <w:t xml:space="preserve">across Australia </w:t>
      </w:r>
      <w:r w:rsidR="00034451">
        <w:t xml:space="preserve">as priorities for </w:t>
      </w:r>
      <w:r w:rsidR="00266B26" w:rsidRPr="00266B26">
        <w:t xml:space="preserve">Digital Radio Channel Plan </w:t>
      </w:r>
      <w:r w:rsidR="00266B26">
        <w:t>(</w:t>
      </w:r>
      <w:r w:rsidR="00BC2239">
        <w:t>DRCP</w:t>
      </w:r>
      <w:r w:rsidR="00266B26">
        <w:t>)</w:t>
      </w:r>
      <w:r w:rsidR="00BC2239">
        <w:t xml:space="preserve"> consultation</w:t>
      </w:r>
      <w:r w:rsidR="00E817A9">
        <w:t>,</w:t>
      </w:r>
      <w:r w:rsidR="00500568">
        <w:t xml:space="preserve"> and assess spectrum options to add digital radio multiplex</w:t>
      </w:r>
      <w:r w:rsidR="00EF2393">
        <w:t>es</w:t>
      </w:r>
      <w:r w:rsidR="00034451">
        <w:t xml:space="preserve">, </w:t>
      </w:r>
      <w:r w:rsidR="00500568">
        <w:t>and proposed timelines</w:t>
      </w:r>
      <w:r w:rsidR="00034451">
        <w:t xml:space="preserve"> across 2023</w:t>
      </w:r>
      <w:r w:rsidR="00F03DAA">
        <w:t>–</w:t>
      </w:r>
      <w:r w:rsidR="00034451">
        <w:t>2</w:t>
      </w:r>
      <w:r w:rsidR="00BC2239">
        <w:t>4</w:t>
      </w:r>
      <w:r w:rsidR="00470AFE">
        <w:t>.</w:t>
      </w:r>
    </w:p>
    <w:p w14:paraId="72D2BAB8" w14:textId="1FF67448" w:rsidR="00E718B9" w:rsidRDefault="00677D23" w:rsidP="00E718B9">
      <w:pPr>
        <w:pStyle w:val="Paragraph"/>
      </w:pPr>
      <w:r>
        <w:t xml:space="preserve">One submitter </w:t>
      </w:r>
      <w:r w:rsidR="003A54A7">
        <w:t>r</w:t>
      </w:r>
      <w:r w:rsidR="00E718B9">
        <w:t>equest</w:t>
      </w:r>
      <w:r w:rsidR="003A54A7">
        <w:t>ed</w:t>
      </w:r>
      <w:r w:rsidR="00E718B9">
        <w:t xml:space="preserve"> that </w:t>
      </w:r>
      <w:r w:rsidR="003F0D67">
        <w:t>when the</w:t>
      </w:r>
      <w:r w:rsidR="00E718B9">
        <w:t xml:space="preserve"> </w:t>
      </w:r>
      <w:r w:rsidR="003F0D67">
        <w:t>ACMA</w:t>
      </w:r>
      <w:r w:rsidR="00490B5A">
        <w:t xml:space="preserve"> develop</w:t>
      </w:r>
      <w:r w:rsidR="003F0D67">
        <w:t xml:space="preserve">s and consults </w:t>
      </w:r>
      <w:r w:rsidR="00E363D7">
        <w:t xml:space="preserve">on </w:t>
      </w:r>
      <w:r w:rsidR="00490B5A">
        <w:t>LAP</w:t>
      </w:r>
      <w:r w:rsidR="00E363D7">
        <w:t xml:space="preserve"> variations for </w:t>
      </w:r>
      <w:r w:rsidR="00E718B9">
        <w:t>AM to FM conversion</w:t>
      </w:r>
      <w:r w:rsidR="00F03DAA">
        <w:t>,</w:t>
      </w:r>
      <w:r w:rsidR="00E718B9">
        <w:t xml:space="preserve"> </w:t>
      </w:r>
      <w:r w:rsidR="00E363D7">
        <w:t>that</w:t>
      </w:r>
      <w:r w:rsidR="00E718B9">
        <w:t xml:space="preserve"> </w:t>
      </w:r>
      <w:r w:rsidR="00F03DAA">
        <w:t>we</w:t>
      </w:r>
      <w:r w:rsidR="00E718B9">
        <w:t xml:space="preserve"> also consult and publish the relevant DRCP, with a view to declaring a Foundation Licence.</w:t>
      </w:r>
      <w:r w:rsidR="00A672F5">
        <w:t xml:space="preserve"> </w:t>
      </w:r>
      <w:r w:rsidR="00055270">
        <w:t xml:space="preserve">One submitter </w:t>
      </w:r>
      <w:r w:rsidR="005B57C2">
        <w:t xml:space="preserve">proposed that </w:t>
      </w:r>
      <w:r w:rsidR="0046730C">
        <w:t xml:space="preserve">all AM and FM stations </w:t>
      </w:r>
      <w:r w:rsidR="00DA40A9">
        <w:t xml:space="preserve">should </w:t>
      </w:r>
      <w:r w:rsidR="0046730C">
        <w:t xml:space="preserve">be </w:t>
      </w:r>
      <w:r w:rsidR="00E00515">
        <w:t>replaced by</w:t>
      </w:r>
      <w:r w:rsidR="00DA40A9">
        <w:t xml:space="preserve"> digital radio.</w:t>
      </w:r>
    </w:p>
    <w:p w14:paraId="1277317C" w14:textId="1776217B" w:rsidR="005710F8" w:rsidRDefault="005710F8" w:rsidP="00E718B9">
      <w:pPr>
        <w:pStyle w:val="Paragraph"/>
      </w:pPr>
      <w:r>
        <w:t xml:space="preserve">Submitters asked for more engagement and clarity </w:t>
      </w:r>
      <w:r w:rsidR="00FC609A">
        <w:t xml:space="preserve">from the ACMA </w:t>
      </w:r>
      <w:r>
        <w:t xml:space="preserve">around </w:t>
      </w:r>
      <w:r w:rsidR="00D8153E">
        <w:t>consultations for the broadcasting work</w:t>
      </w:r>
      <w:r w:rsidR="00294DB9">
        <w:t xml:space="preserve"> </w:t>
      </w:r>
      <w:r w:rsidR="00D8153E">
        <w:t>program</w:t>
      </w:r>
      <w:r w:rsidR="00294DB9">
        <w:t xml:space="preserve">, including </w:t>
      </w:r>
      <w:r w:rsidR="00B736FE">
        <w:t xml:space="preserve">DAB radio, </w:t>
      </w:r>
      <w:r w:rsidR="00294DB9">
        <w:t xml:space="preserve">licensing and channel options for </w:t>
      </w:r>
      <w:r w:rsidR="00530273">
        <w:t>free-to-air digital radio services and issues concerning UHF TV spectrum.</w:t>
      </w:r>
    </w:p>
    <w:p w14:paraId="6CF25730" w14:textId="77777777" w:rsidR="004415EE" w:rsidRPr="00607EE8" w:rsidRDefault="004415EE" w:rsidP="004415EE">
      <w:pPr>
        <w:pStyle w:val="Heading3"/>
      </w:pPr>
      <w:r>
        <w:t>Our response</w:t>
      </w:r>
    </w:p>
    <w:p w14:paraId="2807B20B" w14:textId="3C598A81" w:rsidR="004415EE" w:rsidRPr="000E2A38" w:rsidRDefault="004415EE" w:rsidP="004415EE">
      <w:r w:rsidRPr="00EE5D32">
        <w:t xml:space="preserve">We note </w:t>
      </w:r>
      <w:r w:rsidR="00D83FE6">
        <w:t>the</w:t>
      </w:r>
      <w:r w:rsidRPr="00EE5D32">
        <w:t xml:space="preserve"> strong support for digital radio technology</w:t>
      </w:r>
      <w:r>
        <w:t xml:space="preserve">. </w:t>
      </w:r>
      <w:r w:rsidR="00A74160">
        <w:t>A</w:t>
      </w:r>
      <w:r>
        <w:t xml:space="preserve">s noted in </w:t>
      </w:r>
      <w:hyperlink r:id="rId43" w:history="1">
        <w:r w:rsidR="00FD4D45" w:rsidRPr="00E817A9">
          <w:rPr>
            <w:rStyle w:val="Hyperlink"/>
            <w:i/>
            <w:iCs/>
          </w:rPr>
          <w:t>The</w:t>
        </w:r>
        <w:r w:rsidR="00FD4D45" w:rsidRPr="00FD4D45">
          <w:rPr>
            <w:rStyle w:val="Hyperlink"/>
          </w:rPr>
          <w:t xml:space="preserve"> </w:t>
        </w:r>
        <w:r w:rsidR="00FD4D45" w:rsidRPr="00FD4D45">
          <w:rPr>
            <w:rStyle w:val="Hyperlink"/>
            <w:i/>
            <w:iCs/>
          </w:rPr>
          <w:t>f</w:t>
        </w:r>
        <w:r w:rsidRPr="00E817A9">
          <w:rPr>
            <w:rStyle w:val="Hyperlink"/>
            <w:i/>
            <w:iCs/>
          </w:rPr>
          <w:t xml:space="preserve">uture </w:t>
        </w:r>
        <w:r w:rsidR="00FD4D45" w:rsidRPr="00FD4D45">
          <w:rPr>
            <w:rStyle w:val="Hyperlink"/>
            <w:i/>
            <w:iCs/>
          </w:rPr>
          <w:t>d</w:t>
        </w:r>
        <w:r w:rsidRPr="00E817A9">
          <w:rPr>
            <w:rStyle w:val="Hyperlink"/>
            <w:i/>
            <w:iCs/>
          </w:rPr>
          <w:t xml:space="preserve">elivery of </w:t>
        </w:r>
        <w:r w:rsidR="00FD4D45" w:rsidRPr="00FD4D45">
          <w:rPr>
            <w:rStyle w:val="Hyperlink"/>
            <w:i/>
            <w:iCs/>
          </w:rPr>
          <w:t>r</w:t>
        </w:r>
        <w:r w:rsidRPr="00E817A9">
          <w:rPr>
            <w:rStyle w:val="Hyperlink"/>
            <w:i/>
            <w:iCs/>
          </w:rPr>
          <w:t>adio</w:t>
        </w:r>
      </w:hyperlink>
      <w:r>
        <w:t xml:space="preserve"> </w:t>
      </w:r>
      <w:r w:rsidR="00FD4D45">
        <w:t>r</w:t>
      </w:r>
      <w:r w:rsidR="00714D8F">
        <w:t>eport</w:t>
      </w:r>
      <w:r w:rsidR="0021447C">
        <w:t xml:space="preserve"> and </w:t>
      </w:r>
      <w:r w:rsidR="00E76FA8">
        <w:t xml:space="preserve">in </w:t>
      </w:r>
      <w:r w:rsidR="0021447C">
        <w:t>the FYS</w:t>
      </w:r>
      <w:r w:rsidR="00CA4C24">
        <w:t>O</w:t>
      </w:r>
      <w:r w:rsidR="00E76FA8">
        <w:t xml:space="preserve"> 2023</w:t>
      </w:r>
      <w:r w:rsidR="00FD4D45">
        <w:t>–</w:t>
      </w:r>
      <w:r w:rsidR="00E76FA8">
        <w:t>28</w:t>
      </w:r>
      <w:r w:rsidR="00714D8F">
        <w:t xml:space="preserve">, </w:t>
      </w:r>
      <w:r w:rsidR="008B3DEE">
        <w:t xml:space="preserve">making DRCPs </w:t>
      </w:r>
      <w:r>
        <w:t xml:space="preserve">is one of our 4 current </w:t>
      </w:r>
      <w:r w:rsidR="0066609D">
        <w:t>broadcast planning</w:t>
      </w:r>
      <w:r>
        <w:t xml:space="preserve"> priorities when</w:t>
      </w:r>
      <w:r w:rsidR="00472540">
        <w:t xml:space="preserve"> </w:t>
      </w:r>
      <w:r w:rsidR="00786B86" w:rsidRPr="00786B86">
        <w:t xml:space="preserve">commercial broadcasting licensees or national </w:t>
      </w:r>
      <w:r w:rsidR="00786B86">
        <w:t xml:space="preserve">broadcasters </w:t>
      </w:r>
      <w:r>
        <w:t xml:space="preserve">are committed to </w:t>
      </w:r>
      <w:r w:rsidR="006819E5">
        <w:t xml:space="preserve">a </w:t>
      </w:r>
      <w:r w:rsidR="00472540">
        <w:t xml:space="preserve">digital radio </w:t>
      </w:r>
      <w:r>
        <w:t>rollout</w:t>
      </w:r>
      <w:r w:rsidR="0015630B">
        <w:t>.</w:t>
      </w:r>
      <w:r>
        <w:t xml:space="preserve"> DAB+ is the current ACMA digital radio standard</w:t>
      </w:r>
      <w:r w:rsidR="00FD4D45">
        <w:t>,</w:t>
      </w:r>
      <w:r>
        <w:t xml:space="preserve"> </w:t>
      </w:r>
      <w:r w:rsidR="00FD4D45">
        <w:t>al</w:t>
      </w:r>
      <w:r>
        <w:t>though we are open to exploring other digital radio technologies and have recently been involved in trials of DRM technology.</w:t>
      </w:r>
    </w:p>
    <w:p w14:paraId="4A460F29" w14:textId="70F1CBD4" w:rsidR="004415EE" w:rsidRPr="000E2A38" w:rsidRDefault="009D418C" w:rsidP="004415EE">
      <w:r>
        <w:t xml:space="preserve">We </w:t>
      </w:r>
      <w:r w:rsidR="004415EE">
        <w:t>support a mix and variety of technologies as this best supports the broad needs of the listening public across all geographic areas of Australia</w:t>
      </w:r>
      <w:r w:rsidR="00FD4D45">
        <w:t>.</w:t>
      </w:r>
      <w:r w:rsidR="00FD4D45">
        <w:rPr>
          <w:rStyle w:val="FootnoteReference"/>
        </w:rPr>
        <w:footnoteReference w:id="6"/>
      </w:r>
      <w:r w:rsidR="004415EE">
        <w:t xml:space="preserve"> We therefore continue to support FM radio and the conversion of AM to FM radio, and the needs of Australians to transition to suitable technology.</w:t>
      </w:r>
    </w:p>
    <w:p w14:paraId="4B327766" w14:textId="10CB452E" w:rsidR="009D1CF3" w:rsidRDefault="009D1CF3" w:rsidP="009D1CF3">
      <w:pPr>
        <w:pStyle w:val="Paragraph"/>
      </w:pPr>
      <w:r>
        <w:t xml:space="preserve">Support for trials of new types of broadcasting technology is one of </w:t>
      </w:r>
      <w:r w:rsidR="00A74160">
        <w:t>our</w:t>
      </w:r>
      <w:r>
        <w:t xml:space="preserve"> broadcast planning priority activities. Subject to spectrum availability, we are generally supportive of approving applications for</w:t>
      </w:r>
      <w:r w:rsidR="00812D6D">
        <w:t xml:space="preserve"> scientific licences for</w:t>
      </w:r>
      <w:r w:rsidR="000856D7">
        <w:t xml:space="preserve"> digital radio</w:t>
      </w:r>
      <w:r>
        <w:t xml:space="preserve"> trial</w:t>
      </w:r>
      <w:r w:rsidR="0047058E">
        <w:t>s</w:t>
      </w:r>
      <w:r>
        <w:t xml:space="preserve">, as they facilitate acquiring information relevant to industry business decisions about new broadcasting technologies for digital radio rollout in regional areas. </w:t>
      </w:r>
      <w:r w:rsidR="00672F5B">
        <w:t>We recently issued scientific licence</w:t>
      </w:r>
      <w:r w:rsidR="00C91E44">
        <w:t>s</w:t>
      </w:r>
      <w:r w:rsidR="00672F5B">
        <w:t xml:space="preserve"> for</w:t>
      </w:r>
      <w:r w:rsidR="00316E09">
        <w:t xml:space="preserve"> </w:t>
      </w:r>
      <w:r w:rsidR="00672F5B">
        <w:t>trial</w:t>
      </w:r>
      <w:r w:rsidR="00C91E44">
        <w:t>s</w:t>
      </w:r>
      <w:r w:rsidR="00672F5B">
        <w:t xml:space="preserve"> of digital radio in </w:t>
      </w:r>
      <w:r w:rsidR="00FD4D45">
        <w:t>Launceston,</w:t>
      </w:r>
      <w:r w:rsidR="00636D32">
        <w:t xml:space="preserve"> and</w:t>
      </w:r>
      <w:r w:rsidR="00672F5B">
        <w:t xml:space="preserve"> we are continuing to engage with all industry sectors on possible further trials of digital radio and</w:t>
      </w:r>
      <w:r w:rsidR="00FD4D45">
        <w:t xml:space="preserve"> the</w:t>
      </w:r>
      <w:r w:rsidR="00672F5B">
        <w:t xml:space="preserve"> rollout of digital radio in regional Australia.</w:t>
      </w:r>
    </w:p>
    <w:p w14:paraId="764BB45C" w14:textId="47FFF2B3" w:rsidR="00E1502A" w:rsidRDefault="002F3111" w:rsidP="00024853">
      <w:pPr>
        <w:pStyle w:val="Heading2"/>
        <w:keepLines/>
      </w:pPr>
      <w:bookmarkStart w:id="34" w:name="_Toc146527965"/>
      <w:r w:rsidRPr="002F3111">
        <w:lastRenderedPageBreak/>
        <w:t>Satellites</w:t>
      </w:r>
      <w:bookmarkEnd w:id="34"/>
    </w:p>
    <w:p w14:paraId="347B5AB7" w14:textId="79688BE5" w:rsidR="00F341AE" w:rsidRDefault="00F341AE" w:rsidP="00024853">
      <w:pPr>
        <w:pStyle w:val="Paragraph"/>
        <w:keepNext/>
        <w:keepLines/>
      </w:pPr>
      <w:r>
        <w:t xml:space="preserve">We received a number of submissions relating to satellites and space communications. </w:t>
      </w:r>
    </w:p>
    <w:p w14:paraId="39EBF36D" w14:textId="74BDD2B0" w:rsidR="00744A1E" w:rsidRDefault="001E5DB3" w:rsidP="00024853">
      <w:pPr>
        <w:pStyle w:val="Paragraph"/>
        <w:keepNext/>
        <w:keepLines/>
      </w:pPr>
      <w:r>
        <w:t xml:space="preserve">One submitter noted that there is interest in deploying in the 70/80 GHz band as </w:t>
      </w:r>
      <w:r w:rsidR="00FD4D45">
        <w:t>several</w:t>
      </w:r>
      <w:r w:rsidR="003741F0">
        <w:t xml:space="preserve"> operators have filed with the ITU for next-generation satellite systems with 70/80 GHz gateway links</w:t>
      </w:r>
      <w:r>
        <w:t>. The</w:t>
      </w:r>
      <w:r w:rsidR="00FD4D45">
        <w:t xml:space="preserve"> submitter</w:t>
      </w:r>
      <w:r>
        <w:t xml:space="preserve"> urged the </w:t>
      </w:r>
      <w:r w:rsidR="003741F0">
        <w:t>ACMA</w:t>
      </w:r>
      <w:r>
        <w:t xml:space="preserve"> </w:t>
      </w:r>
      <w:r w:rsidR="003741F0">
        <w:t xml:space="preserve">to make this spectrum available for </w:t>
      </w:r>
      <w:r>
        <w:t>FSS. The</w:t>
      </w:r>
      <w:r w:rsidR="00FD4D45">
        <w:t>y</w:t>
      </w:r>
      <w:r>
        <w:t xml:space="preserve"> also</w:t>
      </w:r>
      <w:r w:rsidR="003741F0">
        <w:t xml:space="preserve"> recommend</w:t>
      </w:r>
      <w:r w:rsidR="00632673">
        <w:t>ed</w:t>
      </w:r>
      <w:r w:rsidR="003741F0">
        <w:t xml:space="preserve"> adding revision of the </w:t>
      </w:r>
      <w:r w:rsidR="002C44F3" w:rsidRPr="002C44F3">
        <w:t>business operating procedure</w:t>
      </w:r>
      <w:r w:rsidR="002C44F3">
        <w:t xml:space="preserve"> </w:t>
      </w:r>
      <w:r w:rsidR="003741F0">
        <w:t xml:space="preserve">on Ku-band </w:t>
      </w:r>
      <w:r w:rsidR="00FD4D45">
        <w:t>e</w:t>
      </w:r>
      <w:r w:rsidR="00B92C66">
        <w:t xml:space="preserve">arth </w:t>
      </w:r>
      <w:r w:rsidR="00933C2C">
        <w:t xml:space="preserve">stations in motion </w:t>
      </w:r>
      <w:r w:rsidR="003741F0">
        <w:t xml:space="preserve">for both </w:t>
      </w:r>
      <w:r w:rsidR="006A3406" w:rsidRPr="006A3406">
        <w:t>geostationary (GSO)</w:t>
      </w:r>
      <w:r w:rsidR="006A3406" w:rsidRPr="006A3406" w:rsidDel="006A3406">
        <w:t xml:space="preserve"> </w:t>
      </w:r>
      <w:r w:rsidR="003741F0">
        <w:t xml:space="preserve">and </w:t>
      </w:r>
      <w:r w:rsidR="00CD1F44" w:rsidRPr="00CD1F44">
        <w:t>non-geostationary (NGSO)</w:t>
      </w:r>
      <w:r w:rsidR="00CD1F44" w:rsidRPr="00CD1F44" w:rsidDel="00CD1F44">
        <w:t xml:space="preserve"> </w:t>
      </w:r>
      <w:r w:rsidR="003741F0">
        <w:t>to the 2023</w:t>
      </w:r>
      <w:r w:rsidR="00FD4D45">
        <w:t>–</w:t>
      </w:r>
      <w:r w:rsidR="003741F0">
        <w:t>24 annual work program.</w:t>
      </w:r>
      <w:r w:rsidR="00744A1E">
        <w:t xml:space="preserve"> </w:t>
      </w:r>
      <w:r w:rsidR="00C21FDF">
        <w:t>Additionally, a</w:t>
      </w:r>
      <w:r w:rsidR="00744A1E">
        <w:t xml:space="preserve"> submitter recommended that the ACMA include additional work into the 2023</w:t>
      </w:r>
      <w:r w:rsidR="00FD4D45">
        <w:t>–</w:t>
      </w:r>
      <w:r w:rsidR="00744A1E">
        <w:t>24 work program, including adopting self-coordinated light-licensing for Q/V- and E-band satellite gateway earth stations, expanding shared MSS use of the S- and L-bands, and unlocking spectrum above 100 GHz for satellites.</w:t>
      </w:r>
    </w:p>
    <w:p w14:paraId="7A14878D" w14:textId="27B8EF50" w:rsidR="007452E6" w:rsidRDefault="007452E6" w:rsidP="007452E6">
      <w:pPr>
        <w:pStyle w:val="Paragraph"/>
      </w:pPr>
      <w:r>
        <w:t xml:space="preserve">One submitter proposed simplifying procedures for </w:t>
      </w:r>
      <w:r w:rsidR="00FD4D45">
        <w:t>e</w:t>
      </w:r>
      <w:r>
        <w:t xml:space="preserve">arth station observation licensing, including expanding spectrum band </w:t>
      </w:r>
      <w:r w:rsidRPr="0081748F">
        <w:t>use</w:t>
      </w:r>
      <w:r>
        <w:t xml:space="preserve"> to encompass earth exploration satellite services operations and establishing a pricing structure that considers such models as part of the ACMA’s proposed changes to reduce taxes for services above 5 GHz. </w:t>
      </w:r>
    </w:p>
    <w:p w14:paraId="449D655C" w14:textId="5A9513E2" w:rsidR="003741F0" w:rsidRDefault="003741F0" w:rsidP="009E1061">
      <w:pPr>
        <w:pStyle w:val="Heading3"/>
      </w:pPr>
      <w:r>
        <w:t>Our response</w:t>
      </w:r>
    </w:p>
    <w:p w14:paraId="58496568" w14:textId="25C58166" w:rsidR="000B6ABD" w:rsidRDefault="000B6ABD" w:rsidP="000B6ABD">
      <w:r>
        <w:t>We welcome cooperation between relevant parties to achieve mutual benefit and encourage the parties involved to consider ways to streamline their discussions without the need for additional regulation.</w:t>
      </w:r>
    </w:p>
    <w:p w14:paraId="4C87648E" w14:textId="25F55140" w:rsidR="002C5AEB" w:rsidRDefault="00041FAB" w:rsidP="002C5AEB">
      <w:r>
        <w:t>We</w:t>
      </w:r>
      <w:r w:rsidR="000B6ABD">
        <w:t xml:space="preserve"> will consider arrangements to support E-band (71</w:t>
      </w:r>
      <w:r w:rsidR="00FD4D45">
        <w:t>–</w:t>
      </w:r>
      <w:r w:rsidR="000B6ABD">
        <w:t>76/81</w:t>
      </w:r>
      <w:r w:rsidR="00FD4D45">
        <w:t>–</w:t>
      </w:r>
      <w:r w:rsidR="000B6ABD">
        <w:t xml:space="preserve">86 GHz) satellite services on a coordinated basis with point-to-point links operating under RALI FX20 (potentially requiring updates to this RALI). </w:t>
      </w:r>
      <w:r w:rsidR="002C5AEB">
        <w:t>This work is expected to occur across Q</w:t>
      </w:r>
      <w:r w:rsidR="00BD6E8D">
        <w:t>4</w:t>
      </w:r>
      <w:r w:rsidR="005722EB">
        <w:t xml:space="preserve"> 2023</w:t>
      </w:r>
      <w:r w:rsidR="002C5AEB">
        <w:t xml:space="preserve"> and Q</w:t>
      </w:r>
      <w:r w:rsidR="005722EB">
        <w:t>1</w:t>
      </w:r>
      <w:r w:rsidR="002C5AEB">
        <w:t xml:space="preserve"> 202</w:t>
      </w:r>
      <w:r w:rsidR="005722EB">
        <w:t>4</w:t>
      </w:r>
      <w:r w:rsidR="002C5AEB">
        <w:t>.</w:t>
      </w:r>
    </w:p>
    <w:p w14:paraId="0E5F3A6D" w14:textId="03ACC4C2" w:rsidR="001E6BB8" w:rsidRDefault="001E6BB8" w:rsidP="001E6BB8">
      <w:r>
        <w:t>We have reduced apparatus licence taxes for services above 5 GHz. We have also introduced a systems price for co-located earth stations authorised under the same licence.</w:t>
      </w:r>
      <w:r w:rsidRPr="00AE6694">
        <w:t xml:space="preserve"> In addition, we have an extensive pricing work plan with reviews of pricing of bands below 5 GHz which we anticipate will commence in 2024</w:t>
      </w:r>
      <w:r w:rsidR="0047058E">
        <w:t>–</w:t>
      </w:r>
      <w:r w:rsidRPr="00AE6694">
        <w:t>25. These reviews and our ongoing work plan will provide opportunities for all stakeholders to engage with the ACMA on pricing matters.</w:t>
      </w:r>
    </w:p>
    <w:p w14:paraId="18CD3760" w14:textId="4A825B28" w:rsidR="00D835B6" w:rsidRDefault="00D835B6" w:rsidP="0030742C">
      <w:pPr>
        <w:pStyle w:val="Heading2"/>
      </w:pPr>
      <w:bookmarkStart w:id="35" w:name="_Toc146527966"/>
      <w:r w:rsidRPr="00D835B6">
        <w:t>Intelligent transport system</w:t>
      </w:r>
      <w:bookmarkEnd w:id="35"/>
    </w:p>
    <w:p w14:paraId="4448B745" w14:textId="02276442" w:rsidR="00F7641D" w:rsidRDefault="00E1318D" w:rsidP="00F7641D">
      <w:pPr>
        <w:pStyle w:val="Paragraph"/>
      </w:pPr>
      <w:r>
        <w:t>One submitter</w:t>
      </w:r>
      <w:r w:rsidR="003E31BC">
        <w:t xml:space="preserve"> </w:t>
      </w:r>
      <w:r>
        <w:t>signalled their</w:t>
      </w:r>
      <w:r w:rsidR="00F7641D" w:rsidRPr="00F7641D">
        <w:t xml:space="preserve"> support</w:t>
      </w:r>
      <w:r>
        <w:t xml:space="preserve"> for the</w:t>
      </w:r>
      <w:r w:rsidR="00F7641D" w:rsidRPr="00F7641D">
        <w:t xml:space="preserve"> introduction of </w:t>
      </w:r>
      <w:r w:rsidR="0025082A">
        <w:t xml:space="preserve">an </w:t>
      </w:r>
      <w:r w:rsidR="0025082A" w:rsidRPr="00F7641D">
        <w:t xml:space="preserve">intelligent transport system </w:t>
      </w:r>
      <w:r w:rsidR="0025082A">
        <w:t>(</w:t>
      </w:r>
      <w:r w:rsidR="00F7641D" w:rsidRPr="00F7641D">
        <w:t>ITS</w:t>
      </w:r>
      <w:r w:rsidR="0025082A">
        <w:t>)</w:t>
      </w:r>
      <w:r w:rsidR="00F7641D" w:rsidRPr="00F7641D">
        <w:t xml:space="preserve"> class</w:t>
      </w:r>
      <w:r w:rsidR="0025082A">
        <w:t xml:space="preserve"> </w:t>
      </w:r>
      <w:r w:rsidR="00F7641D" w:rsidRPr="00F7641D">
        <w:t xml:space="preserve">licence band </w:t>
      </w:r>
      <w:r w:rsidR="00571333">
        <w:t>to support</w:t>
      </w:r>
      <w:r w:rsidR="00F7641D" w:rsidRPr="00F7641D">
        <w:t xml:space="preserve"> interfaces between rail and road</w:t>
      </w:r>
      <w:r w:rsidR="0025082A">
        <w:t>,</w:t>
      </w:r>
      <w:r w:rsidR="00F7641D" w:rsidRPr="00F7641D">
        <w:t xml:space="preserve"> such as level crossings.</w:t>
      </w:r>
      <w:r w:rsidR="00921D1A">
        <w:t xml:space="preserve"> They </w:t>
      </w:r>
      <w:r w:rsidR="00F7641D" w:rsidRPr="00F7641D">
        <w:t>encourage</w:t>
      </w:r>
      <w:r w:rsidR="00F86E13">
        <w:t>d</w:t>
      </w:r>
      <w:r w:rsidR="00921D1A">
        <w:t xml:space="preserve"> the ACMA to conduct f</w:t>
      </w:r>
      <w:r w:rsidR="00F7641D" w:rsidRPr="00F7641D">
        <w:t xml:space="preserve">urther investigation of the </w:t>
      </w:r>
      <w:r w:rsidR="0025082A">
        <w:t xml:space="preserve">ITS </w:t>
      </w:r>
      <w:r w:rsidR="00F7641D" w:rsidRPr="00F7641D">
        <w:t>class licence band</w:t>
      </w:r>
      <w:r w:rsidR="0025082A">
        <w:t>,</w:t>
      </w:r>
      <w:r w:rsidR="00F7641D" w:rsidRPr="00F7641D">
        <w:t xml:space="preserve"> subject to international developments.</w:t>
      </w:r>
    </w:p>
    <w:p w14:paraId="542ABC4A" w14:textId="6349576A" w:rsidR="00F7641D" w:rsidRDefault="00172B3A" w:rsidP="00172B3A">
      <w:pPr>
        <w:pStyle w:val="Heading3"/>
      </w:pPr>
      <w:r>
        <w:t>Our response</w:t>
      </w:r>
    </w:p>
    <w:p w14:paraId="2AEBF0C4" w14:textId="7A82E108" w:rsidR="00172B3A" w:rsidRDefault="00921D1A" w:rsidP="00172B3A">
      <w:pPr>
        <w:rPr>
          <w:rFonts w:cstheme="minorHAnsi"/>
        </w:rPr>
      </w:pPr>
      <w:r>
        <w:rPr>
          <w:rFonts w:cstheme="minorHAnsi"/>
        </w:rPr>
        <w:t>We</w:t>
      </w:r>
      <w:r w:rsidR="00172B3A">
        <w:rPr>
          <w:rFonts w:cstheme="minorHAnsi"/>
        </w:rPr>
        <w:t xml:space="preserve"> will continue to monitor international developments related to ITS. </w:t>
      </w:r>
    </w:p>
    <w:p w14:paraId="2F9B7011" w14:textId="2EB2149C" w:rsidR="00172B3A" w:rsidRDefault="00172B3A" w:rsidP="00172B3A">
      <w:pPr>
        <w:rPr>
          <w:lang w:val="en"/>
        </w:rPr>
      </w:pPr>
      <w:r>
        <w:rPr>
          <w:rFonts w:cstheme="minorHAnsi"/>
        </w:rPr>
        <w:t>Regarding the ITS c</w:t>
      </w:r>
      <w:r w:rsidRPr="00A13604">
        <w:rPr>
          <w:lang w:val="en"/>
        </w:rPr>
        <w:t>lass licence</w:t>
      </w:r>
      <w:r>
        <w:rPr>
          <w:lang w:val="en"/>
        </w:rPr>
        <w:t>, it</w:t>
      </w:r>
      <w:r w:rsidRPr="00A13604">
        <w:rPr>
          <w:lang w:val="en"/>
        </w:rPr>
        <w:t xml:space="preserve"> </w:t>
      </w:r>
      <w:r>
        <w:rPr>
          <w:lang w:val="en"/>
        </w:rPr>
        <w:t xml:space="preserve">is designed to </w:t>
      </w:r>
      <w:r w:rsidRPr="00A13604">
        <w:rPr>
          <w:lang w:val="en"/>
        </w:rPr>
        <w:t>authorise users of designated segments of spectrum to operate on a shared basis.</w:t>
      </w:r>
    </w:p>
    <w:p w14:paraId="737927BE" w14:textId="60514FB1" w:rsidR="00172B3A" w:rsidRPr="00172B3A" w:rsidRDefault="00BD0692" w:rsidP="00172B3A">
      <w:r>
        <w:rPr>
          <w:lang w:val="en"/>
        </w:rPr>
        <w:t>We</w:t>
      </w:r>
      <w:r w:rsidR="00172B3A">
        <w:rPr>
          <w:lang w:val="en"/>
        </w:rPr>
        <w:t xml:space="preserve"> understand that additional non-radiocommunications specific regulations may be required. In these cases, it may be possible for other regulatory criteria to be set out by other regulatory bodies</w:t>
      </w:r>
      <w:r w:rsidR="0025082A">
        <w:rPr>
          <w:lang w:val="en"/>
        </w:rPr>
        <w:t>,</w:t>
      </w:r>
      <w:r w:rsidR="00172B3A">
        <w:rPr>
          <w:lang w:val="en"/>
        </w:rPr>
        <w:t xml:space="preserve"> including the Department of Infrastructure and Regional Development or state-based agencies.</w:t>
      </w:r>
    </w:p>
    <w:p w14:paraId="628488AA" w14:textId="1D4E229D" w:rsidR="00EE3807" w:rsidRDefault="00EE3807" w:rsidP="00172B3A">
      <w:pPr>
        <w:pStyle w:val="Heading2"/>
      </w:pPr>
      <w:bookmarkStart w:id="36" w:name="_Toc146527967"/>
      <w:r w:rsidRPr="00EE3807">
        <w:lastRenderedPageBreak/>
        <w:t>Spectrum licence technical frameworks</w:t>
      </w:r>
      <w:bookmarkEnd w:id="36"/>
    </w:p>
    <w:p w14:paraId="2749E82C" w14:textId="5D5560FF" w:rsidR="00135E07" w:rsidRDefault="00697066" w:rsidP="0025082A">
      <w:pPr>
        <w:pStyle w:val="Paragraph"/>
      </w:pPr>
      <w:r>
        <w:t>One</w:t>
      </w:r>
      <w:r w:rsidR="00E31110">
        <w:t xml:space="preserve"> submitter </w:t>
      </w:r>
      <w:r w:rsidR="00DE191E">
        <w:t xml:space="preserve">suggested that the </w:t>
      </w:r>
      <w:r w:rsidR="00DE191E" w:rsidRPr="00DE191E">
        <w:t>ACMA should progress work on the harmonisation and technical optimisation of spectrum licensed bands for 5G</w:t>
      </w:r>
      <w:r w:rsidR="00DE191E">
        <w:t xml:space="preserve"> and finalise the review of the spectrum licence technical frameworks in the 700 </w:t>
      </w:r>
      <w:r w:rsidR="00DE191E" w:rsidRPr="0025082A">
        <w:t>MHz</w:t>
      </w:r>
      <w:r w:rsidR="00DE191E">
        <w:t xml:space="preserve"> and 2.5 GHz bands </w:t>
      </w:r>
      <w:r w:rsidR="009E42CA">
        <w:t>to allow</w:t>
      </w:r>
      <w:r w:rsidR="00DE191E">
        <w:t xml:space="preserve"> deployment of 5G</w:t>
      </w:r>
      <w:r w:rsidR="008E667D">
        <w:t xml:space="preserve">. They also </w:t>
      </w:r>
      <w:r w:rsidR="00E31110">
        <w:t>stated that t</w:t>
      </w:r>
      <w:r w:rsidR="00135E07">
        <w:t>echnical frameworks for co-existence should</w:t>
      </w:r>
      <w:r w:rsidR="00E31110">
        <w:t xml:space="preserve"> </w:t>
      </w:r>
      <w:r w:rsidR="00135E07">
        <w:t>respect existing spectrum licence rights</w:t>
      </w:r>
      <w:r w:rsidR="00E31110">
        <w:t xml:space="preserve"> as much as practical</w:t>
      </w:r>
      <w:r w:rsidR="00761B83">
        <w:t>,</w:t>
      </w:r>
      <w:r w:rsidR="00135E07">
        <w:t xml:space="preserve"> while </w:t>
      </w:r>
      <w:r w:rsidR="00225DB5">
        <w:t>allowing</w:t>
      </w:r>
      <w:r w:rsidR="00135E07">
        <w:t xml:space="preserve"> </w:t>
      </w:r>
      <w:r w:rsidR="00761B83">
        <w:t xml:space="preserve">for tested </w:t>
      </w:r>
      <w:r w:rsidR="00135E07">
        <w:t>use</w:t>
      </w:r>
      <w:r w:rsidR="0025082A">
        <w:t>-</w:t>
      </w:r>
      <w:r w:rsidR="00135E07">
        <w:t xml:space="preserve">cases </w:t>
      </w:r>
      <w:r w:rsidR="0025082A">
        <w:t xml:space="preserve">that </w:t>
      </w:r>
      <w:r w:rsidR="00135E07">
        <w:t>may be better placed to meet demand and/or policy objectives.</w:t>
      </w:r>
    </w:p>
    <w:p w14:paraId="51F06C40" w14:textId="347A4A4E" w:rsidR="00135E07" w:rsidRDefault="00135E07" w:rsidP="00135E07">
      <w:pPr>
        <w:pStyle w:val="Heading3"/>
      </w:pPr>
      <w:r>
        <w:t>Our response</w:t>
      </w:r>
    </w:p>
    <w:p w14:paraId="67563A68" w14:textId="6D69EC01" w:rsidR="005C1148" w:rsidRDefault="00930628" w:rsidP="0025082A">
      <w:pPr>
        <w:pStyle w:val="Paragraph"/>
      </w:pPr>
      <w:r>
        <w:t>Our</w:t>
      </w:r>
      <w:r w:rsidR="00AB6F69">
        <w:t xml:space="preserve"> </w:t>
      </w:r>
      <w:r w:rsidR="00AB6F69" w:rsidRPr="00AB6F69">
        <w:t xml:space="preserve">ongoing work program of spectrum </w:t>
      </w:r>
      <w:r w:rsidR="00744454">
        <w:t xml:space="preserve">band reviews and </w:t>
      </w:r>
      <w:r w:rsidR="00C51AAC">
        <w:t>technical framework reviews</w:t>
      </w:r>
      <w:r w:rsidR="00AB6F69" w:rsidRPr="00AB6F69">
        <w:t xml:space="preserve"> </w:t>
      </w:r>
      <w:r w:rsidR="00C51AAC">
        <w:t xml:space="preserve">collectively </w:t>
      </w:r>
      <w:r w:rsidR="00AB6F69" w:rsidRPr="00AB6F69">
        <w:t>seek to enabl</w:t>
      </w:r>
      <w:r w:rsidR="00AB6F69">
        <w:t xml:space="preserve">e </w:t>
      </w:r>
      <w:r w:rsidR="00AB6F69" w:rsidRPr="00AB6F69">
        <w:t>new spectrum uses, achieve greater efficiency in spectrum use and update technical arrangements</w:t>
      </w:r>
      <w:r w:rsidR="00512A77">
        <w:t>, if necessary,</w:t>
      </w:r>
      <w:r w:rsidR="00AB6F69" w:rsidRPr="00AB6F69">
        <w:t xml:space="preserve"> for incumbent licensees in response to technological developments. </w:t>
      </w:r>
      <w:r w:rsidR="00AF37A7">
        <w:t xml:space="preserve">In </w:t>
      </w:r>
      <w:r w:rsidR="006374D9">
        <w:t>reviewing</w:t>
      </w:r>
      <w:r w:rsidR="00AF37A7">
        <w:t xml:space="preserve"> technical </w:t>
      </w:r>
      <w:r w:rsidR="006374D9">
        <w:t>frameworks for existing licences</w:t>
      </w:r>
      <w:r w:rsidR="0053676B">
        <w:t xml:space="preserve"> to support new technologies</w:t>
      </w:r>
      <w:r w:rsidR="00AF37A7">
        <w:t xml:space="preserve">, we </w:t>
      </w:r>
      <w:r w:rsidR="00E652DA">
        <w:t xml:space="preserve">seek to </w:t>
      </w:r>
      <w:r w:rsidR="00AB6F69" w:rsidRPr="00AB6F69">
        <w:t xml:space="preserve">manage the risks of interference between users, </w:t>
      </w:r>
      <w:r w:rsidR="003E4E74">
        <w:t xml:space="preserve">whether </w:t>
      </w:r>
      <w:r w:rsidR="00AB6F69" w:rsidRPr="00AB6F69">
        <w:t xml:space="preserve">new </w:t>
      </w:r>
      <w:r w:rsidR="003E4E74">
        <w:t>or</w:t>
      </w:r>
      <w:r w:rsidR="003E4E74" w:rsidRPr="00AB6F69">
        <w:t xml:space="preserve"> </w:t>
      </w:r>
      <w:r w:rsidR="00D07DFC">
        <w:t>incumbent</w:t>
      </w:r>
      <w:r w:rsidR="00DE4F09">
        <w:t xml:space="preserve">. </w:t>
      </w:r>
      <w:r w:rsidR="008C5427">
        <w:t xml:space="preserve">This includes </w:t>
      </w:r>
      <w:r w:rsidR="00E0085E">
        <w:t xml:space="preserve">balancing the </w:t>
      </w:r>
      <w:r w:rsidR="00486BB8">
        <w:t xml:space="preserve">desires of </w:t>
      </w:r>
      <w:r w:rsidR="00DC2B1A">
        <w:t xml:space="preserve">those seeking changes to frameworks with the </w:t>
      </w:r>
      <w:r w:rsidR="00221541">
        <w:t>interests of nearby</w:t>
      </w:r>
      <w:r w:rsidR="005C1148">
        <w:t xml:space="preserve"> licensees </w:t>
      </w:r>
      <w:r w:rsidR="002D1611">
        <w:t xml:space="preserve">that </w:t>
      </w:r>
      <w:r w:rsidR="005C1148">
        <w:t>may be impacted by any changes to the interference environment, as a result of updates to technical frameworks.</w:t>
      </w:r>
    </w:p>
    <w:p w14:paraId="519FD359" w14:textId="6C6EBB8F" w:rsidR="0048700A" w:rsidRDefault="0048700A" w:rsidP="0048700A">
      <w:pPr>
        <w:pStyle w:val="Heading2"/>
      </w:pPr>
      <w:bookmarkStart w:id="37" w:name="_Toc146527968"/>
      <w:r>
        <w:t xml:space="preserve">Spectrum </w:t>
      </w:r>
      <w:r w:rsidR="002D1611">
        <w:t>s</w:t>
      </w:r>
      <w:r>
        <w:t>haring</w:t>
      </w:r>
      <w:bookmarkEnd w:id="37"/>
    </w:p>
    <w:p w14:paraId="78A8B01A" w14:textId="41692FA9" w:rsidR="00BD0692" w:rsidRDefault="008A6F2E" w:rsidP="00675616">
      <w:pPr>
        <w:pStyle w:val="Paragraph"/>
      </w:pPr>
      <w:r>
        <w:t xml:space="preserve">Submitters </w:t>
      </w:r>
      <w:r w:rsidR="005C68B9">
        <w:t>gave</w:t>
      </w:r>
      <w:r w:rsidR="00BD0692">
        <w:t xml:space="preserve"> </w:t>
      </w:r>
      <w:r>
        <w:t xml:space="preserve">varying opinions </w:t>
      </w:r>
      <w:r w:rsidR="005C1148">
        <w:t>about</w:t>
      </w:r>
      <w:r>
        <w:t xml:space="preserve"> spectrum sharing.</w:t>
      </w:r>
    </w:p>
    <w:p w14:paraId="65998D6C" w14:textId="3D9CDF8F" w:rsidR="00675616" w:rsidRDefault="00CA76DB" w:rsidP="00675616">
      <w:pPr>
        <w:pStyle w:val="Paragraph"/>
      </w:pPr>
      <w:r>
        <w:t>One sub</w:t>
      </w:r>
      <w:r w:rsidR="001A0B14">
        <w:t xml:space="preserve">mitter </w:t>
      </w:r>
      <w:r w:rsidR="00675616">
        <w:t>recommend</w:t>
      </w:r>
      <w:r w:rsidR="001A0B14">
        <w:t>ed</w:t>
      </w:r>
      <w:r w:rsidR="00675616">
        <w:t xml:space="preserve"> that</w:t>
      </w:r>
      <w:r w:rsidR="001A0B14">
        <w:t xml:space="preserve"> the</w:t>
      </w:r>
      <w:r w:rsidR="00675616">
        <w:t xml:space="preserve"> ACMA adopt a forward-looking approach to spectrum planning</w:t>
      </w:r>
      <w:r w:rsidR="00B40F04">
        <w:t xml:space="preserve"> </w:t>
      </w:r>
      <w:r w:rsidR="00675616">
        <w:t xml:space="preserve">and </w:t>
      </w:r>
      <w:r w:rsidR="00B40F04">
        <w:t xml:space="preserve">promote </w:t>
      </w:r>
      <w:r w:rsidR="00675616">
        <w:t>innovative spectrum</w:t>
      </w:r>
      <w:r w:rsidR="002D1611">
        <w:t>-</w:t>
      </w:r>
      <w:r w:rsidR="00675616">
        <w:t>sharing methods for more efficient and dynamic use of the spectrum</w:t>
      </w:r>
      <w:r w:rsidR="00543E32">
        <w:t>.</w:t>
      </w:r>
    </w:p>
    <w:p w14:paraId="1CD9DD2C" w14:textId="65E67782" w:rsidR="00675616" w:rsidRDefault="0033165C" w:rsidP="00161123">
      <w:pPr>
        <w:pStyle w:val="Paragraph"/>
      </w:pPr>
      <w:r>
        <w:t>Another</w:t>
      </w:r>
      <w:r w:rsidR="00826238">
        <w:t xml:space="preserve"> submitter contended that the </w:t>
      </w:r>
      <w:r w:rsidR="00675616">
        <w:t>introduction of new apparatus</w:t>
      </w:r>
      <w:r w:rsidR="002D1611">
        <w:t>-</w:t>
      </w:r>
      <w:r w:rsidR="00675616">
        <w:t xml:space="preserve"> and class</w:t>
      </w:r>
      <w:r w:rsidR="002D1611">
        <w:t>-</w:t>
      </w:r>
      <w:r w:rsidR="00675616">
        <w:t>licensed services within or adjacent to spectrum</w:t>
      </w:r>
      <w:r w:rsidR="002D1611">
        <w:t>-</w:t>
      </w:r>
      <w:r w:rsidR="00675616">
        <w:t>licensed bands increases the risk of interference to existing spectrum</w:t>
      </w:r>
      <w:r w:rsidR="002D1611">
        <w:t>-</w:t>
      </w:r>
      <w:r w:rsidR="00675616">
        <w:t>licensed services.</w:t>
      </w:r>
      <w:r w:rsidR="00826238">
        <w:t xml:space="preserve"> They </w:t>
      </w:r>
      <w:r w:rsidR="00A06D15">
        <w:t>considered</w:t>
      </w:r>
      <w:r w:rsidR="001959C6">
        <w:t xml:space="preserve"> that </w:t>
      </w:r>
      <w:r w:rsidR="00675616">
        <w:t>AWLs should be subject to the same restrictions and requirements for interference management</w:t>
      </w:r>
      <w:r w:rsidR="001959C6">
        <w:t xml:space="preserve"> and</w:t>
      </w:r>
      <w:r w:rsidR="00675616">
        <w:t xml:space="preserve"> registration </w:t>
      </w:r>
      <w:r w:rsidR="001959C6">
        <w:t>as</w:t>
      </w:r>
      <w:r w:rsidR="00675616">
        <w:t xml:space="preserve"> spectrum </w:t>
      </w:r>
      <w:r w:rsidR="002D1611">
        <w:t>licences</w:t>
      </w:r>
      <w:r w:rsidR="00675616">
        <w:t xml:space="preserve">. </w:t>
      </w:r>
      <w:r w:rsidR="005C3E41">
        <w:t xml:space="preserve">Another </w:t>
      </w:r>
      <w:r w:rsidR="001445C8" w:rsidRPr="00161123">
        <w:t>submitter</w:t>
      </w:r>
      <w:r w:rsidR="001445C8">
        <w:t xml:space="preserve"> shared their concerns </w:t>
      </w:r>
      <w:r w:rsidR="003D3561">
        <w:t xml:space="preserve">about </w:t>
      </w:r>
      <w:r w:rsidR="00675616">
        <w:t>the potential diminishment of spectrum licence</w:t>
      </w:r>
      <w:r w:rsidR="00161123">
        <w:t>-</w:t>
      </w:r>
      <w:r w:rsidR="00675616">
        <w:t>holder rights if spectrum sharing is administratively imposed in existing spectrum</w:t>
      </w:r>
      <w:r w:rsidR="00161123">
        <w:t>-</w:t>
      </w:r>
      <w:r w:rsidR="00675616">
        <w:t>licensed bands</w:t>
      </w:r>
      <w:r w:rsidR="00161123">
        <w:t>,</w:t>
      </w:r>
      <w:r w:rsidR="005F1123">
        <w:t xml:space="preserve"> and </w:t>
      </w:r>
      <w:r w:rsidR="003D3561">
        <w:t xml:space="preserve">about </w:t>
      </w:r>
      <w:r w:rsidR="005F1123">
        <w:t xml:space="preserve">the impact this will have on </w:t>
      </w:r>
      <w:r w:rsidR="00675616">
        <w:t xml:space="preserve">spectrum valuation </w:t>
      </w:r>
      <w:r w:rsidR="005F1123">
        <w:t>if</w:t>
      </w:r>
      <w:r w:rsidR="00675616">
        <w:t xml:space="preserve"> spectrum sharing </w:t>
      </w:r>
      <w:r w:rsidR="005F1123">
        <w:t>is adopted</w:t>
      </w:r>
      <w:r w:rsidR="00675616">
        <w:t xml:space="preserve"> without careful consideration and consultation with existing spectrum licensees.</w:t>
      </w:r>
    </w:p>
    <w:p w14:paraId="58C9A6DB" w14:textId="3A380E5D" w:rsidR="0048700A" w:rsidRDefault="002E61AB" w:rsidP="002E61AB">
      <w:pPr>
        <w:pStyle w:val="Paragraph"/>
      </w:pPr>
      <w:r>
        <w:t xml:space="preserve">One submitter </w:t>
      </w:r>
      <w:r w:rsidR="009B2E5A" w:rsidRPr="00CC52F1">
        <w:t>recommend</w:t>
      </w:r>
      <w:r w:rsidR="009B2E5A">
        <w:t>ed</w:t>
      </w:r>
      <w:r w:rsidR="009B2E5A" w:rsidRPr="00CC52F1">
        <w:t xml:space="preserve"> that </w:t>
      </w:r>
      <w:r w:rsidR="009B2E5A">
        <w:t xml:space="preserve">the </w:t>
      </w:r>
      <w:r w:rsidR="009B2E5A" w:rsidRPr="00CC52F1">
        <w:t>ACMA take steps towards exploring expressions of interest to deploy AFC capabilities in Australia.</w:t>
      </w:r>
      <w:r w:rsidR="00ED570E">
        <w:t xml:space="preserve"> </w:t>
      </w:r>
      <w:r w:rsidR="00883737">
        <w:t>However, another</w:t>
      </w:r>
      <w:r w:rsidR="003B14FA">
        <w:t xml:space="preserve"> submitter stated that they were </w:t>
      </w:r>
      <w:r w:rsidR="00675616">
        <w:t>not supportive of any automated spectrum</w:t>
      </w:r>
      <w:r w:rsidR="00161123">
        <w:t>-</w:t>
      </w:r>
      <w:r w:rsidR="00675616">
        <w:t xml:space="preserve">sharing mechanism </w:t>
      </w:r>
      <w:r w:rsidR="00A9659A">
        <w:t>due to the potential</w:t>
      </w:r>
      <w:r w:rsidR="00675616">
        <w:t xml:space="preserve"> increase in interference within the amateur radio primary spectrum bands. </w:t>
      </w:r>
      <w:r w:rsidR="00A9659A">
        <w:t>They asked that</w:t>
      </w:r>
      <w:r w:rsidR="00675616">
        <w:t xml:space="preserve"> the ACMA ensure that automated</w:t>
      </w:r>
      <w:r w:rsidR="00161123">
        <w:t>,</w:t>
      </w:r>
      <w:r w:rsidR="00675616">
        <w:t xml:space="preserve"> dynamic spectrum</w:t>
      </w:r>
      <w:r w:rsidR="00161123">
        <w:t>-</w:t>
      </w:r>
      <w:r w:rsidR="00675616">
        <w:t>sharing systems are excluded from operating in these segments</w:t>
      </w:r>
      <w:r>
        <w:t>.</w:t>
      </w:r>
    </w:p>
    <w:p w14:paraId="2AD072C6" w14:textId="32997C8A" w:rsidR="00675616" w:rsidRDefault="00A67EDB" w:rsidP="00A67EDB">
      <w:pPr>
        <w:pStyle w:val="Heading3"/>
      </w:pPr>
      <w:r>
        <w:t>Our response</w:t>
      </w:r>
    </w:p>
    <w:p w14:paraId="358C4D19" w14:textId="236191FE" w:rsidR="00A67EDB" w:rsidRDefault="00ED570E" w:rsidP="00A67EDB">
      <w:pPr>
        <w:pStyle w:val="Paragraph"/>
      </w:pPr>
      <w:r>
        <w:t>W</w:t>
      </w:r>
      <w:r w:rsidR="00A67EDB">
        <w:t xml:space="preserve">e are continuing to monitor international developments and welcome proposals for potential trials of </w:t>
      </w:r>
      <w:r w:rsidR="00890DB0">
        <w:t>dynamic spectrum</w:t>
      </w:r>
      <w:r w:rsidR="00161123">
        <w:t>-</w:t>
      </w:r>
      <w:r w:rsidR="00890DB0">
        <w:t>access</w:t>
      </w:r>
      <w:r w:rsidR="00A67EDB">
        <w:t xml:space="preserve"> technologies.</w:t>
      </w:r>
      <w:r w:rsidR="004B2328">
        <w:t xml:space="preserve"> </w:t>
      </w:r>
      <w:r w:rsidR="00161123">
        <w:t>Considering</w:t>
      </w:r>
      <w:r w:rsidR="00A67EDB">
        <w:t xml:space="preserve"> coexistence issues with incumbent users is a key part of the spectrum planning undertaken </w:t>
      </w:r>
      <w:r w:rsidR="00161123">
        <w:t>before</w:t>
      </w:r>
      <w:r w:rsidR="00A67EDB">
        <w:t xml:space="preserve"> implementing any new arrangements.</w:t>
      </w:r>
    </w:p>
    <w:p w14:paraId="5F6FED3A" w14:textId="77777777" w:rsidR="006015DE" w:rsidRDefault="006015DE" w:rsidP="006015DE">
      <w:pPr>
        <w:pStyle w:val="Paragraph"/>
      </w:pPr>
      <w:r w:rsidRPr="00CC52F1">
        <w:t>The potential introduction of an AFC for the 6</w:t>
      </w:r>
      <w:r>
        <w:t xml:space="preserve"> </w:t>
      </w:r>
      <w:r w:rsidRPr="00CC52F1">
        <w:t>GHz band is under consideration – along with potential operational specifications for any such system. We intend to consult on next steps in the 6</w:t>
      </w:r>
      <w:r>
        <w:t xml:space="preserve"> </w:t>
      </w:r>
      <w:r w:rsidRPr="00CC52F1">
        <w:t xml:space="preserve">GHz band in 2024, and the issues surrounding a possible AFC system would be </w:t>
      </w:r>
      <w:r>
        <w:t>considered</w:t>
      </w:r>
      <w:r w:rsidRPr="00CC52F1">
        <w:t xml:space="preserve"> </w:t>
      </w:r>
      <w:r>
        <w:t>then</w:t>
      </w:r>
      <w:r w:rsidRPr="00CC52F1">
        <w:t>.</w:t>
      </w:r>
      <w:r>
        <w:t xml:space="preserve"> </w:t>
      </w:r>
    </w:p>
    <w:p w14:paraId="0482B002" w14:textId="42B5442F" w:rsidR="001E1232" w:rsidRPr="006727E2" w:rsidRDefault="001E1232" w:rsidP="006727E2">
      <w:pPr>
        <w:pStyle w:val="Heading1"/>
        <w:shd w:val="clear" w:color="auto" w:fill="39457C"/>
        <w:rPr>
          <w:color w:val="FFFFFF" w:themeColor="background1"/>
        </w:rPr>
      </w:pPr>
      <w:bookmarkStart w:id="38" w:name="_Toc146527969"/>
      <w:r w:rsidRPr="006727E2">
        <w:rPr>
          <w:color w:val="FFFFFF" w:themeColor="background1"/>
        </w:rPr>
        <w:lastRenderedPageBreak/>
        <w:t>Licensing</w:t>
      </w:r>
      <w:bookmarkEnd w:id="38"/>
    </w:p>
    <w:p w14:paraId="51FF3AC0" w14:textId="630E7ECB" w:rsidR="001E1232" w:rsidRDefault="001E1232" w:rsidP="000657CC">
      <w:pPr>
        <w:pStyle w:val="Heading2"/>
      </w:pPr>
      <w:bookmarkStart w:id="39" w:name="_Toc146527970"/>
      <w:r>
        <w:t>E</w:t>
      </w:r>
      <w:r w:rsidR="00566702">
        <w:t>xpiring spectrum licences</w:t>
      </w:r>
      <w:bookmarkEnd w:id="39"/>
      <w:r w:rsidR="00566702">
        <w:t xml:space="preserve"> </w:t>
      </w:r>
    </w:p>
    <w:p w14:paraId="14802EE2" w14:textId="7314DFF6" w:rsidR="003877E4" w:rsidRDefault="00FE14FD" w:rsidP="00D414E9">
      <w:pPr>
        <w:pStyle w:val="Paragraph"/>
      </w:pPr>
      <w:r>
        <w:t xml:space="preserve">Many submitters shared their views </w:t>
      </w:r>
      <w:r w:rsidR="0069104A">
        <w:t xml:space="preserve">on our expiring spectrum licence (ESL) process </w:t>
      </w:r>
      <w:r w:rsidR="00146B7B">
        <w:t>and</w:t>
      </w:r>
      <w:r w:rsidR="0069104A">
        <w:t xml:space="preserve"> </w:t>
      </w:r>
      <w:r w:rsidR="003877E4">
        <w:t>were</w:t>
      </w:r>
      <w:r w:rsidR="0069104A">
        <w:t xml:space="preserve"> largely</w:t>
      </w:r>
      <w:r w:rsidR="003877E4">
        <w:t xml:space="preserve"> </w:t>
      </w:r>
      <w:r w:rsidR="00F43BC7">
        <w:t xml:space="preserve">supportive of our </w:t>
      </w:r>
      <w:r w:rsidR="00F43BC7" w:rsidRPr="00751999">
        <w:t>Q2 2023 consultation</w:t>
      </w:r>
      <w:r w:rsidR="00F43BC7">
        <w:t xml:space="preserve"> and the steps we are taking to</w:t>
      </w:r>
      <w:r w:rsidR="00F43BC7" w:rsidRPr="00C424D2">
        <w:t xml:space="preserve"> </w:t>
      </w:r>
      <w:r w:rsidR="00F43BC7">
        <w:t>undertake the</w:t>
      </w:r>
      <w:r w:rsidR="00F43BC7" w:rsidRPr="00C424D2">
        <w:t xml:space="preserve"> process </w:t>
      </w:r>
      <w:r w:rsidR="00F43BC7">
        <w:t xml:space="preserve">5 years </w:t>
      </w:r>
      <w:r w:rsidR="00161123">
        <w:t>before</w:t>
      </w:r>
      <w:r w:rsidR="00F43BC7">
        <w:t xml:space="preserve"> the licence</w:t>
      </w:r>
      <w:r w:rsidR="00660258">
        <w:t>s’ expiry.</w:t>
      </w:r>
      <w:r w:rsidR="00EC6070">
        <w:t xml:space="preserve"> </w:t>
      </w:r>
    </w:p>
    <w:p w14:paraId="647E0FAA" w14:textId="63073F4E" w:rsidR="008B4C42" w:rsidRDefault="00F07304" w:rsidP="005A63B5">
      <w:pPr>
        <w:pStyle w:val="Paragraph"/>
      </w:pPr>
      <w:r>
        <w:t>One submitter</w:t>
      </w:r>
      <w:r w:rsidR="007C38B8">
        <w:t xml:space="preserve"> </w:t>
      </w:r>
      <w:r w:rsidR="00A362BE">
        <w:t>posit</w:t>
      </w:r>
      <w:r w:rsidR="009C30F7">
        <w:t>ed</w:t>
      </w:r>
      <w:r w:rsidR="00A362BE">
        <w:t xml:space="preserve"> that</w:t>
      </w:r>
      <w:r w:rsidR="00A21A9A">
        <w:t xml:space="preserve"> </w:t>
      </w:r>
      <w:r w:rsidR="009C30F7">
        <w:t xml:space="preserve">licensees </w:t>
      </w:r>
      <w:r w:rsidR="008B4C42">
        <w:t xml:space="preserve">should be </w:t>
      </w:r>
      <w:r w:rsidR="00161123">
        <w:t xml:space="preserve">given </w:t>
      </w:r>
      <w:r w:rsidR="008B4C42">
        <w:t xml:space="preserve">as much certainty as possible </w:t>
      </w:r>
      <w:r w:rsidR="00161123">
        <w:t>before</w:t>
      </w:r>
      <w:r w:rsidR="008B4C42">
        <w:t xml:space="preserve"> the beginning of the renewal application period</w:t>
      </w:r>
      <w:r w:rsidR="003B5483">
        <w:t xml:space="preserve">. Another submitter </w:t>
      </w:r>
      <w:r w:rsidR="00EE265C">
        <w:t>support</w:t>
      </w:r>
      <w:r w:rsidR="009C30F7">
        <w:t>ed</w:t>
      </w:r>
      <w:r w:rsidR="00EE265C">
        <w:t xml:space="preserve"> early consultation and developing and undertaking process well in advance of expiry timeframes.</w:t>
      </w:r>
    </w:p>
    <w:p w14:paraId="7443C592" w14:textId="3E318C45" w:rsidR="005F711E" w:rsidRDefault="00CC168E" w:rsidP="00824B7A">
      <w:pPr>
        <w:pStyle w:val="Paragraph"/>
      </w:pPr>
      <w:r>
        <w:t>Two</w:t>
      </w:r>
      <w:r w:rsidR="007F0A0F">
        <w:t xml:space="preserve"> submitter</w:t>
      </w:r>
      <w:r>
        <w:t>s</w:t>
      </w:r>
      <w:r w:rsidR="007F0A0F">
        <w:t xml:space="preserve"> </w:t>
      </w:r>
      <w:r w:rsidR="000C18BE">
        <w:t>stated</w:t>
      </w:r>
      <w:r w:rsidR="007F0A0F">
        <w:t xml:space="preserve"> that </w:t>
      </w:r>
      <w:r w:rsidR="005F711E">
        <w:t>mobile broadband</w:t>
      </w:r>
      <w:r w:rsidR="008C20D2">
        <w:t>, in the context of broader economic objectives, will continue to be the most efficient and effective allocation, and optimal use</w:t>
      </w:r>
      <w:r w:rsidR="000A094F">
        <w:t>,</w:t>
      </w:r>
      <w:r w:rsidR="008C20D2">
        <w:t xml:space="preserve"> of the spectrum. </w:t>
      </w:r>
      <w:r>
        <w:t xml:space="preserve">One of these submitters </w:t>
      </w:r>
      <w:r w:rsidR="000B2DAE">
        <w:t>recommend</w:t>
      </w:r>
      <w:r w:rsidR="00BE307B">
        <w:t>ed</w:t>
      </w:r>
      <w:r w:rsidR="005F711E">
        <w:t xml:space="preserve"> that licences should be renewed rather than re-auctioned. </w:t>
      </w:r>
      <w:r w:rsidR="00824B7A">
        <w:t>They state</w:t>
      </w:r>
      <w:r w:rsidR="00BE307B">
        <w:t>d</w:t>
      </w:r>
      <w:r w:rsidR="00824B7A">
        <w:t xml:space="preserve"> that </w:t>
      </w:r>
      <w:r w:rsidR="00161123">
        <w:t xml:space="preserve">the </w:t>
      </w:r>
      <w:r w:rsidR="00824B7A">
        <w:t>s</w:t>
      </w:r>
      <w:r w:rsidR="005F711E">
        <w:t xml:space="preserve">uccess of </w:t>
      </w:r>
      <w:r w:rsidR="00BE307B">
        <w:t xml:space="preserve">the </w:t>
      </w:r>
      <w:r w:rsidR="005F711E">
        <w:t xml:space="preserve">ESL process will be measured on </w:t>
      </w:r>
      <w:r w:rsidR="00161123">
        <w:t xml:space="preserve">the </w:t>
      </w:r>
      <w:r w:rsidR="005F711E">
        <w:t>delivery of key priorities</w:t>
      </w:r>
      <w:r w:rsidR="00161123">
        <w:t>,</w:t>
      </w:r>
      <w:r w:rsidR="005F711E">
        <w:t xml:space="preserve"> including continuity of service, market competition, regional connectivity and digital inclusion.</w:t>
      </w:r>
    </w:p>
    <w:p w14:paraId="2AD96EDD" w14:textId="3978CD18" w:rsidR="009816F3" w:rsidRPr="009816F3" w:rsidRDefault="00610BD2" w:rsidP="005A63B5">
      <w:pPr>
        <w:pStyle w:val="Paragraph"/>
      </w:pPr>
      <w:r>
        <w:t>A</w:t>
      </w:r>
      <w:r w:rsidR="007F342E">
        <w:t xml:space="preserve"> submitter </w:t>
      </w:r>
      <w:r w:rsidR="000E6518">
        <w:t>contend</w:t>
      </w:r>
      <w:r w:rsidR="00BE307B">
        <w:t>ed</w:t>
      </w:r>
      <w:r w:rsidR="000E6518">
        <w:t xml:space="preserve"> that much of the spectrum in </w:t>
      </w:r>
      <w:r w:rsidR="0025403F">
        <w:t xml:space="preserve">remote areas </w:t>
      </w:r>
      <w:r w:rsidR="000E6518">
        <w:t>is not being used and is not likely to be used in the medium term</w:t>
      </w:r>
      <w:r w:rsidR="00161123">
        <w:t>,</w:t>
      </w:r>
      <w:r w:rsidR="00CE27FC">
        <w:t xml:space="preserve"> and recommend</w:t>
      </w:r>
      <w:r w:rsidR="00BE307B">
        <w:t>ed</w:t>
      </w:r>
      <w:r w:rsidR="00CE27FC">
        <w:t xml:space="preserve"> that t</w:t>
      </w:r>
      <w:r w:rsidR="00CE27FC" w:rsidRPr="00CE27FC">
        <w:t xml:space="preserve">he FYSO should examine opportunities for </w:t>
      </w:r>
      <w:r w:rsidR="00CE27FC">
        <w:t>m</w:t>
      </w:r>
      <w:r w:rsidR="00897277">
        <w:t>ore flexible licensing arrangements</w:t>
      </w:r>
      <w:r w:rsidR="00E0383D">
        <w:t xml:space="preserve">. </w:t>
      </w:r>
      <w:r w:rsidR="00C6304B">
        <w:t>Similarly, another submitter</w:t>
      </w:r>
      <w:r w:rsidR="009816F3">
        <w:t xml:space="preserve"> posit</w:t>
      </w:r>
      <w:r w:rsidR="00944B65">
        <w:t>ed</w:t>
      </w:r>
      <w:r w:rsidR="009816F3">
        <w:t xml:space="preserve"> that </w:t>
      </w:r>
      <w:r w:rsidR="009816F3" w:rsidRPr="009816F3">
        <w:t xml:space="preserve">it will be important to consider allocating some spectrum </w:t>
      </w:r>
      <w:r w:rsidR="005F25D8">
        <w:t>across the across the 700 MHz, 850 MHz, 1800 MHz, 2 GHz, 2.3 GHz, 2.5 GHz and 3.4 GHz bands</w:t>
      </w:r>
      <w:r w:rsidR="005F25D8" w:rsidRPr="009816F3">
        <w:t xml:space="preserve"> </w:t>
      </w:r>
      <w:r w:rsidR="009816F3" w:rsidRPr="009816F3">
        <w:t xml:space="preserve">for private network purposes under </w:t>
      </w:r>
      <w:r w:rsidR="009816F3">
        <w:t xml:space="preserve">mechanisms such as </w:t>
      </w:r>
      <w:r w:rsidR="009816F3" w:rsidRPr="009816F3">
        <w:t xml:space="preserve">AWLs, rather than making all the spectrum available through a spectrum </w:t>
      </w:r>
      <w:r w:rsidR="00161123" w:rsidRPr="009816F3">
        <w:t>licen</w:t>
      </w:r>
      <w:r w:rsidR="00161123">
        <w:t>ce</w:t>
      </w:r>
      <w:r w:rsidR="00161123" w:rsidRPr="009816F3">
        <w:t xml:space="preserve"> </w:t>
      </w:r>
      <w:r w:rsidR="009816F3" w:rsidRPr="009816F3">
        <w:t>auction.</w:t>
      </w:r>
    </w:p>
    <w:p w14:paraId="295E8D92" w14:textId="31B2EF4A" w:rsidR="000E6518" w:rsidRDefault="00E03DC8" w:rsidP="005A63B5">
      <w:pPr>
        <w:pStyle w:val="Bulletlevel2last"/>
        <w:numPr>
          <w:ilvl w:val="0"/>
          <w:numId w:val="0"/>
        </w:numPr>
      </w:pPr>
      <w:r>
        <w:t xml:space="preserve">Regarding </w:t>
      </w:r>
      <w:r w:rsidR="00C77C0A">
        <w:t xml:space="preserve">1800 MHz spectrum licences, </w:t>
      </w:r>
      <w:r w:rsidR="005A63B5">
        <w:t>one submitter note</w:t>
      </w:r>
      <w:r w:rsidR="00944B65">
        <w:t>d</w:t>
      </w:r>
      <w:r w:rsidR="005A63B5">
        <w:t xml:space="preserve"> that licence holders</w:t>
      </w:r>
      <w:r w:rsidR="000E6518">
        <w:t xml:space="preserve"> would have concerns that </w:t>
      </w:r>
      <w:r w:rsidR="003F14A1">
        <w:t xml:space="preserve">decisions about renewal based on </w:t>
      </w:r>
      <w:r w:rsidR="000E6518">
        <w:t xml:space="preserve">‘efficient use’ </w:t>
      </w:r>
      <w:r w:rsidR="003F14A1">
        <w:t xml:space="preserve">of spectrum </w:t>
      </w:r>
      <w:r w:rsidR="000E6518">
        <w:t xml:space="preserve">would negatively impact their ability to have spectrum </w:t>
      </w:r>
      <w:r w:rsidR="00F35C8E">
        <w:t>licences</w:t>
      </w:r>
      <w:r w:rsidR="000E6518">
        <w:t xml:space="preserve"> re</w:t>
      </w:r>
      <w:r w:rsidR="00F35C8E">
        <w:t>newed</w:t>
      </w:r>
      <w:r w:rsidR="009B6789">
        <w:t xml:space="preserve">, citing </w:t>
      </w:r>
      <w:r w:rsidR="000E6518">
        <w:t>deployment of international standardised railway telecommunication systems</w:t>
      </w:r>
      <w:r w:rsidR="009B6789">
        <w:t xml:space="preserve"> that</w:t>
      </w:r>
      <w:r w:rsidR="000E6518">
        <w:t xml:space="preserve"> require spectrum allocations not available in Australia.</w:t>
      </w:r>
      <w:r w:rsidR="009B6789">
        <w:t xml:space="preserve"> </w:t>
      </w:r>
    </w:p>
    <w:p w14:paraId="31816ABB" w14:textId="006D3071" w:rsidR="00186F69" w:rsidRDefault="00944B65" w:rsidP="00186F69">
      <w:pPr>
        <w:pStyle w:val="Bulletlevel2last"/>
        <w:numPr>
          <w:ilvl w:val="0"/>
          <w:numId w:val="0"/>
        </w:numPr>
      </w:pPr>
      <w:r>
        <w:t>O</w:t>
      </w:r>
      <w:r w:rsidR="00186F69">
        <w:t>ne submitter suggest</w:t>
      </w:r>
      <w:r>
        <w:t>ed</w:t>
      </w:r>
      <w:r w:rsidR="00186F69">
        <w:t xml:space="preserve"> that t</w:t>
      </w:r>
      <w:r w:rsidR="000E6518">
        <w:t>he ACMA should consider a greater</w:t>
      </w:r>
      <w:r w:rsidR="005D0DD5">
        <w:t xml:space="preserve"> </w:t>
      </w:r>
      <w:r w:rsidR="000E6518">
        <w:t xml:space="preserve">allocation of 10 + 10 MHz from the 700 MHz, 850 MHz, or 1800 MHz bands for public safety when licences in these bands expire between 2028 and 2032. </w:t>
      </w:r>
    </w:p>
    <w:p w14:paraId="43454F3D" w14:textId="110B929D" w:rsidR="00AE0875" w:rsidRPr="00E5019C" w:rsidRDefault="00AE0875" w:rsidP="00E5019C">
      <w:pPr>
        <w:pStyle w:val="Heading3"/>
      </w:pPr>
      <w:r>
        <w:t>Our response</w:t>
      </w:r>
    </w:p>
    <w:p w14:paraId="54FDA4B6" w14:textId="3F0B993F" w:rsidR="00AE0875" w:rsidRDefault="00AE0875" w:rsidP="00C452FF">
      <w:pPr>
        <w:pStyle w:val="Paragraphbeforelist"/>
      </w:pPr>
      <w:r>
        <w:t xml:space="preserve">We released the consultation paper </w:t>
      </w:r>
      <w:r w:rsidR="00161123">
        <w:t xml:space="preserve">about </w:t>
      </w:r>
      <w:r>
        <w:t>ESLs in May 2023. The consultation paper sought feedback on our proposed:</w:t>
      </w:r>
    </w:p>
    <w:p w14:paraId="21A4B3E2" w14:textId="77777777" w:rsidR="00AE0875" w:rsidRDefault="00AE0875" w:rsidP="00C452FF">
      <w:pPr>
        <w:pStyle w:val="Bulletlevel1"/>
      </w:pPr>
      <w:r>
        <w:t>4 stage process for considering ESLs and future</w:t>
      </w:r>
      <w:r>
        <w:rPr>
          <w:rFonts w:cstheme="minorHAnsi"/>
        </w:rPr>
        <w:t xml:space="preserve"> arrangements for the relevant </w:t>
      </w:r>
      <w:proofErr w:type="gramStart"/>
      <w:r>
        <w:rPr>
          <w:rFonts w:cstheme="minorHAnsi"/>
        </w:rPr>
        <w:t>spectrum</w:t>
      </w:r>
      <w:proofErr w:type="gramEnd"/>
    </w:p>
    <w:p w14:paraId="4695AFCE" w14:textId="77777777" w:rsidR="00AE0875" w:rsidRDefault="00AE0875" w:rsidP="00C452FF">
      <w:pPr>
        <w:pStyle w:val="Bulletlevel1"/>
      </w:pPr>
      <w:r>
        <w:t>public interest criteria</w:t>
      </w:r>
    </w:p>
    <w:p w14:paraId="769ED72E" w14:textId="79A15739" w:rsidR="00AE0875" w:rsidRDefault="00AE0875" w:rsidP="00C452FF">
      <w:pPr>
        <w:pStyle w:val="Bulletlevel1last"/>
      </w:pPr>
      <w:r>
        <w:t>approaches to examining use of spectrum licences</w:t>
      </w:r>
      <w:r w:rsidR="00FC37F4">
        <w:t>.</w:t>
      </w:r>
    </w:p>
    <w:p w14:paraId="2B6105B4" w14:textId="0720246B" w:rsidR="005C3117" w:rsidRDefault="00AE0875" w:rsidP="005C3117">
      <w:pPr>
        <w:pStyle w:val="Paragraph"/>
      </w:pPr>
      <w:r>
        <w:t xml:space="preserve">We are currently considering submissions to that consultation and intend to release a response to submissions indicating our approach in Q1 2024. </w:t>
      </w:r>
    </w:p>
    <w:p w14:paraId="5F17D8C5" w14:textId="6351450A" w:rsidR="00EA1CEC" w:rsidRDefault="00EA1CEC" w:rsidP="005C3117">
      <w:pPr>
        <w:pStyle w:val="Paragraph"/>
      </w:pPr>
      <w:r>
        <w:t xml:space="preserve">Some stakeholders indicated that it would be beneficial for the ACMA to provide earlier and greater certainty about aspects of the ESL process, and </w:t>
      </w:r>
      <w:r w:rsidR="00742572">
        <w:t>its views on bands and licences. W</w:t>
      </w:r>
      <w:r>
        <w:t xml:space="preserve">e will consider whether some elements of the </w:t>
      </w:r>
      <w:r w:rsidR="00742572">
        <w:t xml:space="preserve">ESL work can </w:t>
      </w:r>
      <w:r>
        <w:t xml:space="preserve">be brought forward.  </w:t>
      </w:r>
    </w:p>
    <w:p w14:paraId="759E5160" w14:textId="73735A6D" w:rsidR="00790057" w:rsidRDefault="00790057" w:rsidP="00130616">
      <w:pPr>
        <w:pStyle w:val="Heading2"/>
      </w:pPr>
      <w:bookmarkStart w:id="40" w:name="_Toc146527971"/>
      <w:r>
        <w:lastRenderedPageBreak/>
        <w:t>Drone</w:t>
      </w:r>
      <w:r w:rsidR="00130616">
        <w:t xml:space="preserve"> spectrum regulation</w:t>
      </w:r>
      <w:bookmarkEnd w:id="40"/>
    </w:p>
    <w:p w14:paraId="14F2FAC9" w14:textId="39FC3184" w:rsidR="00581026" w:rsidRDefault="00581026" w:rsidP="007F2FD2">
      <w:r>
        <w:t xml:space="preserve">Submitters </w:t>
      </w:r>
      <w:r w:rsidR="00161123">
        <w:t>agreed</w:t>
      </w:r>
      <w:r>
        <w:t xml:space="preserve"> with the ACMA that there is increasing interest in the use of drones and that spectrum is likely to be needed for both payload communications</w:t>
      </w:r>
      <w:r w:rsidR="005A1184">
        <w:t xml:space="preserve"> and Control and Non-Payload Communications (CNPC).</w:t>
      </w:r>
    </w:p>
    <w:p w14:paraId="580EFC1F" w14:textId="5F3F7C12" w:rsidR="007F2FD2" w:rsidRDefault="00BD4AC5" w:rsidP="007F2FD2">
      <w:r>
        <w:t xml:space="preserve">One submitter </w:t>
      </w:r>
      <w:r w:rsidR="007F2FD2">
        <w:t>encourage</w:t>
      </w:r>
      <w:r>
        <w:t>d the ACMA to continue its</w:t>
      </w:r>
      <w:r w:rsidR="007F2FD2">
        <w:t xml:space="preserve"> engagement with stakeholders to </w:t>
      </w:r>
      <w:r w:rsidR="002D0BE1">
        <w:t xml:space="preserve">be well-informed of and anticipate </w:t>
      </w:r>
      <w:r w:rsidR="007F2FD2">
        <w:t xml:space="preserve">spectrum requirements for </w:t>
      </w:r>
      <w:r w:rsidR="00AD1A7F">
        <w:t>emerging av</w:t>
      </w:r>
      <w:r w:rsidR="00E8680B">
        <w:t>i</w:t>
      </w:r>
      <w:r w:rsidR="00AD1A7F">
        <w:t>a</w:t>
      </w:r>
      <w:r w:rsidR="00E8680B">
        <w:t>tion</w:t>
      </w:r>
      <w:r w:rsidR="007F2FD2">
        <w:t xml:space="preserve"> technologies. </w:t>
      </w:r>
      <w:r w:rsidR="002008AA">
        <w:t xml:space="preserve">They also noted that </w:t>
      </w:r>
      <w:r w:rsidR="007F2FD2">
        <w:t xml:space="preserve">most drone systems </w:t>
      </w:r>
      <w:r w:rsidR="002008AA">
        <w:t>currently</w:t>
      </w:r>
      <w:r w:rsidR="007F2FD2">
        <w:t xml:space="preserve"> </w:t>
      </w:r>
      <w:r w:rsidR="00161123">
        <w:t>use</w:t>
      </w:r>
      <w:r w:rsidR="0024602C">
        <w:t xml:space="preserve"> </w:t>
      </w:r>
      <w:r w:rsidR="00625FEB">
        <w:t>l</w:t>
      </w:r>
      <w:r w:rsidR="0024602C" w:rsidRPr="0024602C">
        <w:t>ow interference potential devices</w:t>
      </w:r>
      <w:r w:rsidR="00161123">
        <w:t xml:space="preserve"> </w:t>
      </w:r>
      <w:r w:rsidR="0024602C">
        <w:t>(</w:t>
      </w:r>
      <w:r w:rsidR="007F2FD2">
        <w:t>LIPD</w:t>
      </w:r>
      <w:r w:rsidR="0024602C">
        <w:t>)</w:t>
      </w:r>
      <w:r w:rsidR="007F2FD2">
        <w:t xml:space="preserve"> frequency bands for short</w:t>
      </w:r>
      <w:r w:rsidR="00161123">
        <w:t>-</w:t>
      </w:r>
      <w:r w:rsidR="007F2FD2">
        <w:t>range operations</w:t>
      </w:r>
      <w:r w:rsidR="002008AA">
        <w:t xml:space="preserve">, however, </w:t>
      </w:r>
      <w:r w:rsidR="00C03E6A">
        <w:t>they forecast that within the next 5 years, LIPD frequency bands will not meet their communication needs a</w:t>
      </w:r>
      <w:r w:rsidR="007F2FD2">
        <w:t>s the drone industry moves towards ubiquitous beyond visual line</w:t>
      </w:r>
      <w:r w:rsidR="00161123">
        <w:t>-</w:t>
      </w:r>
      <w:r w:rsidR="007F2FD2">
        <w:t>of</w:t>
      </w:r>
      <w:r w:rsidR="00161123">
        <w:t>-</w:t>
      </w:r>
      <w:r w:rsidR="007F2FD2">
        <w:t xml:space="preserve">sight </w:t>
      </w:r>
      <w:r w:rsidR="00D262E3">
        <w:t xml:space="preserve">(BVLoS) </w:t>
      </w:r>
      <w:r w:rsidR="007F2FD2">
        <w:t>operations</w:t>
      </w:r>
      <w:r w:rsidR="00C03E6A">
        <w:t>.</w:t>
      </w:r>
      <w:r w:rsidR="00462CD8">
        <w:t xml:space="preserve"> This submitter stated that the</w:t>
      </w:r>
      <w:r w:rsidR="007F2FD2">
        <w:t xml:space="preserve"> industry will need access to spectrum that enables long</w:t>
      </w:r>
      <w:r w:rsidR="00161123">
        <w:t>-</w:t>
      </w:r>
      <w:r w:rsidR="007F2FD2">
        <w:t>range CNPC</w:t>
      </w:r>
      <w:r w:rsidR="00161123">
        <w:t>,</w:t>
      </w:r>
      <w:r w:rsidR="007F2FD2">
        <w:t xml:space="preserve"> as well as </w:t>
      </w:r>
      <w:r w:rsidR="007071B8">
        <w:t xml:space="preserve">bands </w:t>
      </w:r>
      <w:r w:rsidR="007F2FD2">
        <w:t xml:space="preserve">that allow for the transmission of high-quality video and other data. </w:t>
      </w:r>
      <w:r w:rsidR="00F5117C">
        <w:t xml:space="preserve">They support </w:t>
      </w:r>
      <w:r w:rsidR="00D35177">
        <w:t xml:space="preserve">allowing </w:t>
      </w:r>
      <w:r w:rsidR="007F2FD2">
        <w:t>drones to use spectrum in 5030</w:t>
      </w:r>
      <w:r w:rsidR="00D262E3">
        <w:t>–</w:t>
      </w:r>
      <w:r w:rsidR="007F2FD2">
        <w:t>5091 MHz band</w:t>
      </w:r>
      <w:r w:rsidR="00D35177">
        <w:t>.</w:t>
      </w:r>
      <w:r w:rsidR="007F2FD2">
        <w:t xml:space="preserve"> </w:t>
      </w:r>
    </w:p>
    <w:p w14:paraId="467F901A" w14:textId="082B1427" w:rsidR="007F2FD2" w:rsidRDefault="004B341C" w:rsidP="007F2FD2">
      <w:r>
        <w:t>A</w:t>
      </w:r>
      <w:r w:rsidR="00D35177">
        <w:t xml:space="preserve"> submitter </w:t>
      </w:r>
      <w:r w:rsidR="007F2FD2">
        <w:t>propose</w:t>
      </w:r>
      <w:r w:rsidR="007F23F8">
        <w:t>d</w:t>
      </w:r>
      <w:r w:rsidR="007F2FD2">
        <w:t xml:space="preserve"> the ACMA</w:t>
      </w:r>
      <w:r w:rsidR="007F23F8">
        <w:t xml:space="preserve"> </w:t>
      </w:r>
      <w:r w:rsidR="00833EB8">
        <w:t>e</w:t>
      </w:r>
      <w:r w:rsidR="007F2FD2">
        <w:t xml:space="preserve">xplore the use of FSS allocations for CNPC and payload access to spectrum for medium to large </w:t>
      </w:r>
      <w:r w:rsidR="00D262E3">
        <w:t>r</w:t>
      </w:r>
      <w:r w:rsidR="00D262E3" w:rsidRPr="00D262E3">
        <w:t xml:space="preserve">emotely piloted aircraft system </w:t>
      </w:r>
      <w:r w:rsidR="00D262E3">
        <w:t>(</w:t>
      </w:r>
      <w:r w:rsidR="007F2FD2">
        <w:t>RPAS</w:t>
      </w:r>
      <w:r w:rsidR="00D262E3">
        <w:t>)</w:t>
      </w:r>
      <w:r w:rsidR="00833EB8">
        <w:t>, c</w:t>
      </w:r>
      <w:r w:rsidR="007F2FD2">
        <w:t>ontinue to support trial licences to enable access to frequencies outside of the LIPD/ISM bands</w:t>
      </w:r>
      <w:r w:rsidR="00D504DA">
        <w:t>, and c</w:t>
      </w:r>
      <w:r w:rsidR="007F2FD2">
        <w:t xml:space="preserve">ontinue to support government and industry consultation and cooperation on frequency bands that may accommodate medium/large </w:t>
      </w:r>
      <w:r w:rsidR="00D504DA">
        <w:t>dro</w:t>
      </w:r>
      <w:r w:rsidR="00FC4F3C">
        <w:t>n</w:t>
      </w:r>
      <w:r w:rsidR="00D504DA">
        <w:t>e</w:t>
      </w:r>
      <w:r w:rsidR="007F2FD2">
        <w:t xml:space="preserve"> communications</w:t>
      </w:r>
      <w:r w:rsidR="00D504DA">
        <w:t>.</w:t>
      </w:r>
    </w:p>
    <w:p w14:paraId="26C822B1" w14:textId="38C2E6B7" w:rsidR="007F2FD2" w:rsidRDefault="00B172ED" w:rsidP="007F2FD2">
      <w:r>
        <w:t xml:space="preserve">Two </w:t>
      </w:r>
      <w:r w:rsidR="00D504DA">
        <w:t>su</w:t>
      </w:r>
      <w:r w:rsidR="002073C2">
        <w:t>bmitter</w:t>
      </w:r>
      <w:r>
        <w:t>s</w:t>
      </w:r>
      <w:r w:rsidR="002073C2">
        <w:t xml:space="preserve"> </w:t>
      </w:r>
      <w:r w:rsidR="000D4B94">
        <w:t>noted that satellite operators already provide communications for a variety of aircraft types, including drones, using L-band MSS. The</w:t>
      </w:r>
      <w:r w:rsidR="00F87B86">
        <w:t>y suggested</w:t>
      </w:r>
      <w:r w:rsidR="002073C2">
        <w:t xml:space="preserve"> that </w:t>
      </w:r>
      <w:r w:rsidR="007F2FD2">
        <w:t xml:space="preserve">any work to develop new regulations for drones may need to </w:t>
      </w:r>
      <w:r w:rsidR="00D262E3">
        <w:t>consider</w:t>
      </w:r>
      <w:r w:rsidR="007F2FD2">
        <w:t xml:space="preserve"> the potential use of L-band MSS and Ka-band </w:t>
      </w:r>
      <w:r w:rsidR="00D262E3">
        <w:t>e</w:t>
      </w:r>
      <w:r w:rsidR="000D4B94" w:rsidRPr="000D4B94">
        <w:t xml:space="preserve">arth </w:t>
      </w:r>
      <w:r w:rsidR="00D262E3">
        <w:t>s</w:t>
      </w:r>
      <w:r w:rsidR="000D4B94" w:rsidRPr="000D4B94">
        <w:t xml:space="preserve">tations </w:t>
      </w:r>
      <w:r w:rsidR="004B341C">
        <w:t>i</w:t>
      </w:r>
      <w:r w:rsidR="000D4B94" w:rsidRPr="000D4B94">
        <w:t xml:space="preserve">n </w:t>
      </w:r>
      <w:r w:rsidR="00D262E3">
        <w:t>m</w:t>
      </w:r>
      <w:r w:rsidR="000D4B94" w:rsidRPr="000D4B94">
        <w:t xml:space="preserve">otion </w:t>
      </w:r>
      <w:r w:rsidR="007F2FD2">
        <w:t>for some applications.</w:t>
      </w:r>
    </w:p>
    <w:p w14:paraId="66E7B3B2" w14:textId="17AB1641" w:rsidR="007F2FD2" w:rsidRDefault="00F87B86" w:rsidP="007F2FD2">
      <w:r>
        <w:t>One submitter</w:t>
      </w:r>
      <w:r w:rsidR="00DF02F1">
        <w:t xml:space="preserve"> </w:t>
      </w:r>
      <w:r>
        <w:t xml:space="preserve">welcomed </w:t>
      </w:r>
      <w:r w:rsidR="00DF02F1">
        <w:t>the ACMA’s work</w:t>
      </w:r>
      <w:r w:rsidR="007F2FD2">
        <w:t xml:space="preserve"> to provide clearer guidance on spectrum use by </w:t>
      </w:r>
      <w:r w:rsidR="00EB0CA8">
        <w:t>drones and</w:t>
      </w:r>
      <w:r w:rsidR="00DF02F1">
        <w:t xml:space="preserve"> recommended that </w:t>
      </w:r>
      <w:r w:rsidR="007F2FD2">
        <w:t xml:space="preserve">consideration be given to </w:t>
      </w:r>
      <w:r w:rsidR="00F950D5" w:rsidRPr="00F950D5">
        <w:t>Radio Astronomy Service</w:t>
      </w:r>
      <w:r w:rsidR="007F2FD2">
        <w:t xml:space="preserve"> and </w:t>
      </w:r>
      <w:r w:rsidR="00F950D5" w:rsidRPr="00F950D5">
        <w:t>Space Research Service</w:t>
      </w:r>
      <w:r w:rsidR="00F950D5" w:rsidRPr="00F950D5" w:rsidDel="00F950D5">
        <w:t xml:space="preserve"> </w:t>
      </w:r>
      <w:r w:rsidR="007F2FD2">
        <w:t xml:space="preserve">facilities that may experience interference from </w:t>
      </w:r>
      <w:r w:rsidR="00F950D5">
        <w:t>remotely piloted aircraft</w:t>
      </w:r>
      <w:r w:rsidR="007F2FD2">
        <w:t xml:space="preserve">. </w:t>
      </w:r>
    </w:p>
    <w:p w14:paraId="0CA3E1CE" w14:textId="3FE02DC2" w:rsidR="007F2FD2" w:rsidRDefault="007F2FD2" w:rsidP="007F2FD2">
      <w:pPr>
        <w:pStyle w:val="Heading3"/>
      </w:pPr>
      <w:r>
        <w:t>Our response</w:t>
      </w:r>
    </w:p>
    <w:p w14:paraId="37736198" w14:textId="5B6E1EA7" w:rsidR="00332077" w:rsidRDefault="00A93123" w:rsidP="00332077">
      <w:r>
        <w:t xml:space="preserve">We work </w:t>
      </w:r>
      <w:r w:rsidR="003A4D76">
        <w:t>closely</w:t>
      </w:r>
      <w:r>
        <w:t xml:space="preserve"> with the Department, </w:t>
      </w:r>
      <w:r w:rsidR="00486F57">
        <w:t xml:space="preserve">the </w:t>
      </w:r>
      <w:r w:rsidR="00486F57" w:rsidRPr="00486F57">
        <w:t>Civil Aviation Safety Authority</w:t>
      </w:r>
      <w:r w:rsidR="00486F57">
        <w:t xml:space="preserve"> (</w:t>
      </w:r>
      <w:r>
        <w:t>CASA</w:t>
      </w:r>
      <w:r w:rsidR="00486F57">
        <w:t>)</w:t>
      </w:r>
      <w:r>
        <w:t xml:space="preserve">, </w:t>
      </w:r>
      <w:r w:rsidR="0024602C">
        <w:t xml:space="preserve">the </w:t>
      </w:r>
      <w:r>
        <w:t>A</w:t>
      </w:r>
      <w:r w:rsidR="0024602C">
        <w:t xml:space="preserve">ustralian </w:t>
      </w:r>
      <w:r>
        <w:t>S</w:t>
      </w:r>
      <w:r w:rsidR="0024602C">
        <w:t xml:space="preserve">pace </w:t>
      </w:r>
      <w:r>
        <w:t>A</w:t>
      </w:r>
      <w:r w:rsidR="00486F57">
        <w:t>gency (ASA)</w:t>
      </w:r>
      <w:r>
        <w:t xml:space="preserve"> and relevant aviation industry representatives </w:t>
      </w:r>
      <w:r w:rsidR="003A4D76">
        <w:t>to support</w:t>
      </w:r>
      <w:r w:rsidR="00332077">
        <w:t xml:space="preserve"> a coordinated approach to spectrum policy for drones and related aviation technologies. We will also continue to monitor international regulatory and technology development</w:t>
      </w:r>
      <w:r w:rsidR="00E37FB1">
        <w:t>s</w:t>
      </w:r>
      <w:r w:rsidR="00332077">
        <w:t>.</w:t>
      </w:r>
    </w:p>
    <w:p w14:paraId="1B5E7539" w14:textId="27331458" w:rsidR="00332077" w:rsidRDefault="0060473E" w:rsidP="00332077">
      <w:r>
        <w:t>I</w:t>
      </w:r>
      <w:r w:rsidR="00332077">
        <w:t xml:space="preserve">mplementation of </w:t>
      </w:r>
      <w:r w:rsidR="00D262E3">
        <w:t>a</w:t>
      </w:r>
      <w:r w:rsidR="00332077">
        <w:t xml:space="preserve">irspace restrictions is a matter for CASA. While implementing a more permanent solution for RPAS CNPC links in </w:t>
      </w:r>
      <w:r w:rsidR="00D262E3">
        <w:t xml:space="preserve">the </w:t>
      </w:r>
      <w:r w:rsidR="00332077">
        <w:t>5030–5091 MHz band, we will provide necessary support to CASA in developing their regulatory framework.</w:t>
      </w:r>
    </w:p>
    <w:p w14:paraId="1D4822B9" w14:textId="7AE75B1A" w:rsidR="00332077" w:rsidRDefault="00332077" w:rsidP="00332077">
      <w:r>
        <w:t>ITU-R is currently working on finalising the technical and regulatory arrangement</w:t>
      </w:r>
      <w:r w:rsidR="00913F24">
        <w:t>s</w:t>
      </w:r>
      <w:r>
        <w:t xml:space="preserve"> in this band for</w:t>
      </w:r>
      <w:r w:rsidR="00A42846">
        <w:t xml:space="preserve"> </w:t>
      </w:r>
      <w:r w:rsidR="002E65BE" w:rsidRPr="002E65BE">
        <w:t xml:space="preserve">line-of-sight </w:t>
      </w:r>
      <w:r w:rsidR="002E65BE">
        <w:t>(</w:t>
      </w:r>
      <w:r>
        <w:t>LoS</w:t>
      </w:r>
      <w:r w:rsidR="002E65BE">
        <w:t>)</w:t>
      </w:r>
      <w:r>
        <w:t xml:space="preserve"> and BVLoS RPAS CNPC. </w:t>
      </w:r>
      <w:r w:rsidR="00913F24">
        <w:t>We are</w:t>
      </w:r>
      <w:r>
        <w:t xml:space="preserve"> closely monitoring </w:t>
      </w:r>
      <w:r w:rsidR="00D262E3">
        <w:t xml:space="preserve">this </w:t>
      </w:r>
      <w:r>
        <w:t>development and will take further step</w:t>
      </w:r>
      <w:r w:rsidR="00913F24">
        <w:t>s</w:t>
      </w:r>
      <w:r>
        <w:t xml:space="preserve"> when the ITU work is sufficiently mature.</w:t>
      </w:r>
    </w:p>
    <w:p w14:paraId="665E8795" w14:textId="43423165" w:rsidR="00E359A0" w:rsidRDefault="00332077" w:rsidP="00E359A0">
      <w:r>
        <w:t xml:space="preserve">We regularly monitor developments in ITU-R </w:t>
      </w:r>
      <w:r w:rsidR="00D262E3">
        <w:t>about</w:t>
      </w:r>
      <w:r>
        <w:t xml:space="preserve"> potential future spectrum for drones. </w:t>
      </w:r>
      <w:r w:rsidR="00E359A0">
        <w:t>While this work remains ongoing</w:t>
      </w:r>
      <w:r w:rsidR="00D262E3">
        <w:t xml:space="preserve"> (</w:t>
      </w:r>
      <w:r w:rsidR="00E359A0">
        <w:rPr>
          <w:rFonts w:eastAsia="Arial" w:cs="Arial"/>
          <w:szCs w:val="20"/>
        </w:rPr>
        <w:t>a</w:t>
      </w:r>
      <w:r w:rsidR="00E359A0" w:rsidRPr="30D16ACB">
        <w:rPr>
          <w:rFonts w:eastAsia="Arial" w:cs="Arial"/>
          <w:szCs w:val="20"/>
        </w:rPr>
        <w:t>cknowledging domestic and international momentum in this space</w:t>
      </w:r>
      <w:r w:rsidR="00D262E3">
        <w:rPr>
          <w:rFonts w:eastAsia="Arial" w:cs="Arial"/>
          <w:szCs w:val="20"/>
        </w:rPr>
        <w:t>)</w:t>
      </w:r>
      <w:r w:rsidR="00E359A0" w:rsidRPr="30D16ACB">
        <w:rPr>
          <w:rFonts w:eastAsia="Arial" w:cs="Arial"/>
          <w:szCs w:val="20"/>
        </w:rPr>
        <w:t xml:space="preserve">, </w:t>
      </w:r>
      <w:r w:rsidR="0042237D">
        <w:rPr>
          <w:rFonts w:eastAsia="Arial" w:cs="Arial"/>
          <w:szCs w:val="20"/>
        </w:rPr>
        <w:t>in</w:t>
      </w:r>
      <w:r w:rsidR="00D02BC2">
        <w:rPr>
          <w:rFonts w:eastAsia="Arial" w:cs="Arial"/>
          <w:szCs w:val="20"/>
        </w:rPr>
        <w:t xml:space="preserve"> 2022</w:t>
      </w:r>
      <w:r w:rsidR="00D262E3">
        <w:rPr>
          <w:rFonts w:eastAsia="Arial" w:cs="Arial"/>
          <w:szCs w:val="20"/>
        </w:rPr>
        <w:t>,</w:t>
      </w:r>
      <w:r w:rsidR="00E359A0" w:rsidRPr="30D16ACB">
        <w:rPr>
          <w:rFonts w:eastAsia="Arial" w:cs="Arial"/>
          <w:szCs w:val="20"/>
        </w:rPr>
        <w:t xml:space="preserve"> we published arrangements to allow temporary access to part of the band (5055–5065 MHz) for LoS RPAS CNPC links. These interim arrangements will be in place while we await finalisation of relevant work within the ITU-R on band planning.</w:t>
      </w:r>
    </w:p>
    <w:p w14:paraId="4E3D9E20" w14:textId="37DEE1AE" w:rsidR="00790057" w:rsidRPr="00A4373D" w:rsidRDefault="00CC74EE" w:rsidP="00074039">
      <w:pPr>
        <w:pStyle w:val="Heading2"/>
        <w:rPr>
          <w:lang w:val="fr-FR"/>
        </w:rPr>
      </w:pPr>
      <w:bookmarkStart w:id="41" w:name="_Toc146527972"/>
      <w:r w:rsidRPr="00A4373D">
        <w:rPr>
          <w:lang w:val="fr-FR"/>
        </w:rPr>
        <w:t xml:space="preserve">Radionavigation-satellite services (RNSS) </w:t>
      </w:r>
      <w:r w:rsidR="00216100" w:rsidRPr="00A4373D">
        <w:rPr>
          <w:lang w:val="fr-FR"/>
        </w:rPr>
        <w:t>retransmission technologies</w:t>
      </w:r>
      <w:bookmarkEnd w:id="41"/>
    </w:p>
    <w:p w14:paraId="56C975F7" w14:textId="65D0EC8D" w:rsidR="00074039" w:rsidRDefault="008B3818" w:rsidP="00074039">
      <w:pPr>
        <w:pStyle w:val="Paragraph"/>
      </w:pPr>
      <w:r>
        <w:t xml:space="preserve">Two submitters </w:t>
      </w:r>
      <w:r w:rsidR="00DD7C09">
        <w:t>note</w:t>
      </w:r>
      <w:r w:rsidR="00D262E3">
        <w:t>d</w:t>
      </w:r>
      <w:r w:rsidR="00DD7C09">
        <w:t xml:space="preserve"> the ACMA’s work to support trials</w:t>
      </w:r>
      <w:r w:rsidR="001A4FDC">
        <w:t xml:space="preserve"> of </w:t>
      </w:r>
      <w:r w:rsidR="00DD7C09">
        <w:t>RNSS repeater</w:t>
      </w:r>
      <w:r w:rsidR="001A4FDC">
        <w:t>s, which are a type of RNSS retransmission technology</w:t>
      </w:r>
      <w:r w:rsidR="00DD7C09">
        <w:t>. One submitter</w:t>
      </w:r>
      <w:r w:rsidR="00CC74EE">
        <w:t xml:space="preserve"> </w:t>
      </w:r>
      <w:r w:rsidR="007F7850">
        <w:t>considered</w:t>
      </w:r>
      <w:r w:rsidR="00CC74EE">
        <w:t xml:space="preserve"> </w:t>
      </w:r>
      <w:r w:rsidR="00074039">
        <w:t>work related to</w:t>
      </w:r>
      <w:r w:rsidR="00CC74EE">
        <w:t xml:space="preserve"> RNSS</w:t>
      </w:r>
      <w:r w:rsidR="00074039">
        <w:t>, especially in tunnels, to be of significant interest and encourage</w:t>
      </w:r>
      <w:r w:rsidR="00CC74EE">
        <w:t>d</w:t>
      </w:r>
      <w:r w:rsidR="00074039">
        <w:t xml:space="preserve"> the ACMA to continue efforts in developing standards and suitable licences for operation of this class of systems.</w:t>
      </w:r>
    </w:p>
    <w:p w14:paraId="2B7923CF" w14:textId="0EEC4D26" w:rsidR="00074039" w:rsidRDefault="00CC74EE" w:rsidP="00074039">
      <w:pPr>
        <w:pStyle w:val="Paragraph"/>
      </w:pPr>
      <w:r>
        <w:t xml:space="preserve">Another submitter </w:t>
      </w:r>
      <w:r w:rsidR="00D262E3">
        <w:t>acknowledged</w:t>
      </w:r>
      <w:r w:rsidR="00A557D9">
        <w:t xml:space="preserve"> the</w:t>
      </w:r>
      <w:r w:rsidR="00074039">
        <w:t xml:space="preserve"> ACMA’s continuing support of RNSS repeater trials in road tunnels being undertaken in NSW under scientific licensing </w:t>
      </w:r>
      <w:r w:rsidR="00EB0CA8">
        <w:t>arrangements and</w:t>
      </w:r>
      <w:r w:rsidR="00A557D9">
        <w:t xml:space="preserve"> recommended that </w:t>
      </w:r>
      <w:r w:rsidR="00FF414E">
        <w:t>t</w:t>
      </w:r>
      <w:r w:rsidR="00074039">
        <w:t xml:space="preserve">he ACMA’s proposed plans to consider longer-term licensing solutions </w:t>
      </w:r>
      <w:r w:rsidR="00FF414E">
        <w:t xml:space="preserve">for these devices </w:t>
      </w:r>
      <w:r w:rsidR="00074039">
        <w:t>remain a priority for 2023</w:t>
      </w:r>
      <w:r w:rsidR="00D262E3">
        <w:t>–</w:t>
      </w:r>
      <w:r w:rsidR="00074039">
        <w:t>24.</w:t>
      </w:r>
    </w:p>
    <w:p w14:paraId="57DC1118" w14:textId="6DE0AD8C" w:rsidR="00074039" w:rsidRDefault="00D33550" w:rsidP="00D33550">
      <w:pPr>
        <w:pStyle w:val="Heading3"/>
      </w:pPr>
      <w:r>
        <w:t>Our response</w:t>
      </w:r>
    </w:p>
    <w:p w14:paraId="176532B0" w14:textId="35724B6A" w:rsidR="00D33550" w:rsidRDefault="0060473E" w:rsidP="00D33550">
      <w:r>
        <w:t>W</w:t>
      </w:r>
      <w:r w:rsidR="00D33550">
        <w:t xml:space="preserve">e have </w:t>
      </w:r>
      <w:r w:rsidR="00207780">
        <w:t>supported</w:t>
      </w:r>
      <w:r w:rsidR="00D33550">
        <w:t xml:space="preserve"> </w:t>
      </w:r>
      <w:r w:rsidR="00DB37A3">
        <w:t>a</w:t>
      </w:r>
      <w:r w:rsidR="00D33550">
        <w:t xml:space="preserve"> trial of RNSS repeaters in road tunnels</w:t>
      </w:r>
      <w:r w:rsidR="008B3818">
        <w:t xml:space="preserve"> through a scientific</w:t>
      </w:r>
      <w:r w:rsidR="00D262E3">
        <w:t>-</w:t>
      </w:r>
      <w:r w:rsidR="008B3818">
        <w:t>licensing arrangement. The result</w:t>
      </w:r>
      <w:r w:rsidR="00DB37A3">
        <w:t>s</w:t>
      </w:r>
      <w:r w:rsidR="008B3818">
        <w:t xml:space="preserve"> of that trial will inform the planned activity of establishing a long-term licensing arrangement for RNSS </w:t>
      </w:r>
      <w:r w:rsidR="007E18D7">
        <w:t xml:space="preserve">retransmission technologies, including RNSS </w:t>
      </w:r>
      <w:r w:rsidR="008B3818">
        <w:t>repeaters</w:t>
      </w:r>
      <w:r w:rsidR="00D33550">
        <w:t>. In developing and consulting on permanent licensing arrangements, we will consider the various environments in which devices could be deployed.</w:t>
      </w:r>
    </w:p>
    <w:p w14:paraId="0FFD7F0C" w14:textId="0ED427EC" w:rsidR="009E567C" w:rsidRDefault="009F7DDB" w:rsidP="00A65FE4">
      <w:pPr>
        <w:pStyle w:val="Heading2"/>
      </w:pPr>
      <w:bookmarkStart w:id="42" w:name="_Toc146527973"/>
      <w:r w:rsidRPr="009F7DDB">
        <w:t>Body</w:t>
      </w:r>
      <w:r w:rsidR="00D262E3">
        <w:t>-</w:t>
      </w:r>
      <w:r w:rsidRPr="009F7DDB">
        <w:t>scanner class licensing</w:t>
      </w:r>
      <w:bookmarkEnd w:id="42"/>
    </w:p>
    <w:p w14:paraId="7D27991F" w14:textId="0BB7DDF9" w:rsidR="00926FA0" w:rsidRDefault="00A65FE4" w:rsidP="00926FA0">
      <w:r>
        <w:t xml:space="preserve">Some submitters </w:t>
      </w:r>
      <w:r w:rsidR="00D70C48">
        <w:t>r</w:t>
      </w:r>
      <w:r w:rsidR="001F1DCD">
        <w:t>equest</w:t>
      </w:r>
      <w:r w:rsidR="00D70C48">
        <w:t>ed that</w:t>
      </w:r>
      <w:r w:rsidR="001F1DCD">
        <w:t xml:space="preserve"> the ACMA modify the existing licensing arrangements for body scanners at airports to provide for</w:t>
      </w:r>
      <w:r w:rsidR="002F4E7D">
        <w:t xml:space="preserve"> </w:t>
      </w:r>
      <w:r w:rsidR="002F4E7D" w:rsidRPr="002F4E7D">
        <w:t xml:space="preserve">a specific model of body </w:t>
      </w:r>
      <w:r w:rsidR="00D70C48">
        <w:t>scanner</w:t>
      </w:r>
      <w:r w:rsidR="00276F70">
        <w:t xml:space="preserve">, which </w:t>
      </w:r>
      <w:r w:rsidR="001F1DCD">
        <w:t>operat</w:t>
      </w:r>
      <w:r w:rsidR="00276F70">
        <w:t>es</w:t>
      </w:r>
      <w:r w:rsidR="001F1DCD">
        <w:t xml:space="preserve"> in </w:t>
      </w:r>
      <w:r w:rsidR="00276F70">
        <w:t>the 20</w:t>
      </w:r>
      <w:r w:rsidR="00EF60F9">
        <w:t>–</w:t>
      </w:r>
      <w:r w:rsidR="00276F70">
        <w:t>40 GHz band.</w:t>
      </w:r>
      <w:r w:rsidR="00926FA0">
        <w:t xml:space="preserve"> Some submitters also requested that the ACMA consider authorising use of certain body scanners in other sectors and environments, beyond aviation security.</w:t>
      </w:r>
    </w:p>
    <w:p w14:paraId="7B8209E6" w14:textId="3F67F1E4" w:rsidR="001F1DCD" w:rsidRDefault="004761B4" w:rsidP="004761B4">
      <w:pPr>
        <w:pStyle w:val="Heading3"/>
      </w:pPr>
      <w:r>
        <w:t>Our response</w:t>
      </w:r>
    </w:p>
    <w:p w14:paraId="075069EE" w14:textId="79567871" w:rsidR="004230D2" w:rsidRDefault="004230D2" w:rsidP="004230D2">
      <w:r>
        <w:t xml:space="preserve">We recognise that body scanners play an important role in aviation security. </w:t>
      </w:r>
      <w:r w:rsidR="001E4463">
        <w:t>We</w:t>
      </w:r>
      <w:r>
        <w:t xml:space="preserve"> undertook a large body of work over 2017</w:t>
      </w:r>
      <w:r w:rsidR="00EF60F9">
        <w:t>–</w:t>
      </w:r>
      <w:r>
        <w:t>18 to implement class</w:t>
      </w:r>
      <w:r w:rsidR="00EF60F9">
        <w:t>-</w:t>
      </w:r>
      <w:r>
        <w:t>licensing arrangements for body scanners to support major government aviation security reform.</w:t>
      </w:r>
      <w:r w:rsidR="00926FA0">
        <w:t xml:space="preserve"> </w:t>
      </w:r>
    </w:p>
    <w:p w14:paraId="1A49991B" w14:textId="2B41823D" w:rsidR="004230D2" w:rsidRDefault="00E762C1" w:rsidP="004230D2">
      <w:r>
        <w:t xml:space="preserve">When </w:t>
      </w:r>
      <w:r w:rsidR="001E4463">
        <w:t xml:space="preserve">we </w:t>
      </w:r>
      <w:r>
        <w:t>made class</w:t>
      </w:r>
      <w:r w:rsidR="00EF60F9">
        <w:t>-</w:t>
      </w:r>
      <w:r>
        <w:t xml:space="preserve">licensing arrangements for body scanners used </w:t>
      </w:r>
      <w:r w:rsidR="00EF60F9">
        <w:t>for</w:t>
      </w:r>
      <w:r>
        <w:t xml:space="preserve"> aviation security screening, </w:t>
      </w:r>
      <w:r w:rsidR="001E4463">
        <w:t>we</w:t>
      </w:r>
      <w:r>
        <w:t xml:space="preserve"> </w:t>
      </w:r>
      <w:r w:rsidR="00EF60F9">
        <w:t>considered</w:t>
      </w:r>
      <w:r>
        <w:t xml:space="preserve"> a range of technical, operational and policy </w:t>
      </w:r>
      <w:r w:rsidR="00EF60F9">
        <w:t>issues</w:t>
      </w:r>
      <w:r>
        <w:t>, as well as the view</w:t>
      </w:r>
      <w:r w:rsidR="00130665">
        <w:t>s</w:t>
      </w:r>
      <w:r>
        <w:t xml:space="preserve"> of radiocommunications stakeholders. </w:t>
      </w:r>
      <w:r w:rsidR="007E61F2">
        <w:t xml:space="preserve"> </w:t>
      </w:r>
    </w:p>
    <w:p w14:paraId="3554ECE1" w14:textId="1F4027E8" w:rsidR="001F1DCD" w:rsidRDefault="004230D2" w:rsidP="001F1DCD">
      <w:r>
        <w:t>Broader deployment of body scanners outside of airports is not something we have previously contemplated.</w:t>
      </w:r>
      <w:r w:rsidR="00E762C1">
        <w:t xml:space="preserve"> </w:t>
      </w:r>
      <w:r>
        <w:t>We will undertake deeper consideration of requests to review the existing arrangements when preparing our 2024</w:t>
      </w:r>
      <w:r w:rsidR="00EF60F9">
        <w:t>–</w:t>
      </w:r>
      <w:r>
        <w:t>25 work program.</w:t>
      </w:r>
      <w:r w:rsidR="007443B5" w:rsidRPr="007443B5">
        <w:t xml:space="preserve"> </w:t>
      </w:r>
      <w:r w:rsidR="000322D0">
        <w:t xml:space="preserve">Trials of body scanners currently authorised by scientific licences could assist </w:t>
      </w:r>
      <w:r w:rsidR="009C7B2F">
        <w:t>our consideration of</w:t>
      </w:r>
      <w:r w:rsidR="000322D0">
        <w:t xml:space="preserve"> whether </w:t>
      </w:r>
      <w:r w:rsidR="007443B5">
        <w:t xml:space="preserve">a review of the existing licensing arrangements for body scanners </w:t>
      </w:r>
      <w:r w:rsidR="000322D0">
        <w:t>is</w:t>
      </w:r>
      <w:r w:rsidR="007443B5">
        <w:t xml:space="preserve"> required.</w:t>
      </w:r>
    </w:p>
    <w:p w14:paraId="0C602D73" w14:textId="4260D971" w:rsidR="00633373" w:rsidRDefault="00633373" w:rsidP="00734BB7">
      <w:pPr>
        <w:pStyle w:val="Heading2"/>
        <w:keepLines/>
      </w:pPr>
      <w:bookmarkStart w:id="43" w:name="_Toc146527974"/>
      <w:r>
        <w:t xml:space="preserve">Amateur </w:t>
      </w:r>
      <w:r w:rsidR="00EF60F9">
        <w:t>r</w:t>
      </w:r>
      <w:r>
        <w:t>adio</w:t>
      </w:r>
      <w:bookmarkEnd w:id="43"/>
      <w:r>
        <w:t xml:space="preserve"> </w:t>
      </w:r>
    </w:p>
    <w:p w14:paraId="2F472A94" w14:textId="43700709" w:rsidR="00FE518A" w:rsidRDefault="00FE518A" w:rsidP="00734BB7">
      <w:pPr>
        <w:pStyle w:val="Heading3"/>
        <w:keepLines/>
      </w:pPr>
      <w:r>
        <w:t>Class licence</w:t>
      </w:r>
    </w:p>
    <w:p w14:paraId="158BA4C6" w14:textId="2D4CCC02" w:rsidR="0047168B" w:rsidRDefault="0047168B" w:rsidP="00734BB7">
      <w:pPr>
        <w:keepNext/>
        <w:keepLines/>
      </w:pPr>
      <w:r>
        <w:t xml:space="preserve">A submitter </w:t>
      </w:r>
      <w:r w:rsidR="005B6F27" w:rsidRPr="005B6F27">
        <w:t>reiterated support for the proposed migration to a class licence, subject to the matters raised in the latest consultation</w:t>
      </w:r>
      <w:r w:rsidR="005B6F27">
        <w:t>. They were</w:t>
      </w:r>
      <w:r>
        <w:t xml:space="preserve"> supportive of the ACMA taking additional time, as required, to ensure the </w:t>
      </w:r>
      <w:r w:rsidR="00EF60F9">
        <w:t>outcome</w:t>
      </w:r>
      <w:r>
        <w:t xml:space="preserve"> meets both </w:t>
      </w:r>
      <w:r w:rsidR="00EF60F9">
        <w:t xml:space="preserve">our </w:t>
      </w:r>
      <w:r>
        <w:t xml:space="preserve">objectives and the operational requirements of the amateur service. </w:t>
      </w:r>
    </w:p>
    <w:p w14:paraId="474E61D4" w14:textId="77777777" w:rsidR="0047168B" w:rsidRDefault="0047168B" w:rsidP="002D4877">
      <w:pPr>
        <w:pStyle w:val="Heading3"/>
        <w:keepLines/>
      </w:pPr>
      <w:r>
        <w:t>Our response</w:t>
      </w:r>
    </w:p>
    <w:p w14:paraId="0320386D" w14:textId="60639B77" w:rsidR="0047168B" w:rsidRPr="0047168B" w:rsidRDefault="00110743" w:rsidP="002D4877">
      <w:pPr>
        <w:keepNext/>
        <w:keepLines/>
      </w:pPr>
      <w:r w:rsidRPr="00110743">
        <w:t>Class</w:t>
      </w:r>
      <w:r w:rsidR="00EF60F9">
        <w:t>-</w:t>
      </w:r>
      <w:r w:rsidRPr="00110743">
        <w:t xml:space="preserve">licence implementation work continues. </w:t>
      </w:r>
      <w:r w:rsidR="00EF60F9">
        <w:t>In</w:t>
      </w:r>
      <w:r w:rsidRPr="00110743">
        <w:t xml:space="preserve"> May 2023</w:t>
      </w:r>
      <w:r w:rsidR="00EF60F9">
        <w:t>,</w:t>
      </w:r>
      <w:r w:rsidRPr="00110743">
        <w:t xml:space="preserve"> we </w:t>
      </w:r>
      <w:r w:rsidR="00EF60F9">
        <w:t xml:space="preserve">informed stakeholders that </w:t>
      </w:r>
      <w:r w:rsidR="00E278B5">
        <w:t xml:space="preserve">we are looking to implement </w:t>
      </w:r>
      <w:r w:rsidRPr="00110743">
        <w:t xml:space="preserve">class licensing </w:t>
      </w:r>
      <w:r w:rsidR="00957536">
        <w:t xml:space="preserve">at the same time as the </w:t>
      </w:r>
      <w:r w:rsidR="00957536" w:rsidRPr="00957536">
        <w:t>new accreditation scheme</w:t>
      </w:r>
      <w:r w:rsidR="00957536">
        <w:t>,</w:t>
      </w:r>
      <w:r w:rsidR="00957536" w:rsidRPr="00957536">
        <w:t xml:space="preserve"> </w:t>
      </w:r>
      <w:r w:rsidR="00957536">
        <w:t xml:space="preserve">which </w:t>
      </w:r>
      <w:r w:rsidRPr="00110743">
        <w:t>will commence by or before February 2024.</w:t>
      </w:r>
    </w:p>
    <w:p w14:paraId="2EB905CE" w14:textId="4ACC1B72" w:rsidR="008F17DD" w:rsidRPr="0080038F" w:rsidRDefault="008F17DD" w:rsidP="00E5019C">
      <w:pPr>
        <w:pStyle w:val="Heading3"/>
      </w:pPr>
      <w:r w:rsidRPr="0080038F">
        <w:t xml:space="preserve">Amateur </w:t>
      </w:r>
      <w:r w:rsidR="0080038F">
        <w:t>r</w:t>
      </w:r>
      <w:r w:rsidRPr="0080038F">
        <w:t xml:space="preserve">adio </w:t>
      </w:r>
      <w:r w:rsidR="0080038F">
        <w:t>l</w:t>
      </w:r>
      <w:r w:rsidRPr="0080038F">
        <w:t>icen</w:t>
      </w:r>
      <w:r w:rsidR="00EF60F9">
        <w:t>c</w:t>
      </w:r>
      <w:r w:rsidRPr="0080038F">
        <w:t xml:space="preserve">e </w:t>
      </w:r>
      <w:r w:rsidR="0080038F">
        <w:t>s</w:t>
      </w:r>
      <w:r w:rsidRPr="0080038F">
        <w:t xml:space="preserve">yllabus </w:t>
      </w:r>
      <w:r w:rsidR="0080038F">
        <w:t>and</w:t>
      </w:r>
      <w:r w:rsidRPr="0080038F">
        <w:t xml:space="preserve"> </w:t>
      </w:r>
      <w:r w:rsidR="0080038F">
        <w:t>e</w:t>
      </w:r>
      <w:r w:rsidRPr="0080038F">
        <w:t>xam</w:t>
      </w:r>
      <w:r w:rsidR="0080038F">
        <w:t>i</w:t>
      </w:r>
      <w:r w:rsidRPr="0080038F">
        <w:t xml:space="preserve">nation </w:t>
      </w:r>
      <w:r w:rsidR="0080038F">
        <w:t>d</w:t>
      </w:r>
      <w:r w:rsidRPr="0080038F">
        <w:t>evelopment</w:t>
      </w:r>
    </w:p>
    <w:p w14:paraId="231CC2D0" w14:textId="79DC15FE" w:rsidR="00706FC1" w:rsidRDefault="00CE17E6" w:rsidP="009809D9">
      <w:pPr>
        <w:rPr>
          <w:rFonts w:cstheme="minorHAnsi"/>
        </w:rPr>
      </w:pPr>
      <w:r>
        <w:rPr>
          <w:rFonts w:cstheme="minorHAnsi"/>
        </w:rPr>
        <w:t>One</w:t>
      </w:r>
      <w:r w:rsidR="006B233D">
        <w:rPr>
          <w:rFonts w:cstheme="minorHAnsi"/>
        </w:rPr>
        <w:t xml:space="preserve"> submitter </w:t>
      </w:r>
      <w:r w:rsidR="00706FC1" w:rsidRPr="00E1236A">
        <w:rPr>
          <w:rFonts w:cstheme="minorHAnsi"/>
        </w:rPr>
        <w:t>request</w:t>
      </w:r>
      <w:r w:rsidR="00A409EE">
        <w:rPr>
          <w:rFonts w:cstheme="minorHAnsi"/>
        </w:rPr>
        <w:t>ed</w:t>
      </w:r>
      <w:r w:rsidR="00706FC1" w:rsidRPr="00E1236A">
        <w:rPr>
          <w:rFonts w:cstheme="minorHAnsi"/>
        </w:rPr>
        <w:t xml:space="preserve"> </w:t>
      </w:r>
      <w:r w:rsidR="006B233D">
        <w:rPr>
          <w:rFonts w:cstheme="minorHAnsi"/>
        </w:rPr>
        <w:t xml:space="preserve">that </w:t>
      </w:r>
      <w:r w:rsidR="00706FC1" w:rsidRPr="00E1236A">
        <w:rPr>
          <w:rFonts w:cstheme="minorHAnsi"/>
        </w:rPr>
        <w:t xml:space="preserve">the ACMA add an item to the work program </w:t>
      </w:r>
      <w:r w:rsidR="00C27B1C">
        <w:rPr>
          <w:rFonts w:cstheme="minorHAnsi"/>
        </w:rPr>
        <w:t>to</w:t>
      </w:r>
      <w:r w:rsidR="00706FC1" w:rsidRPr="00E1236A">
        <w:rPr>
          <w:rFonts w:cstheme="minorHAnsi"/>
        </w:rPr>
        <w:t xml:space="preserve"> address how the </w:t>
      </w:r>
      <w:r w:rsidR="00EF60F9">
        <w:rPr>
          <w:rFonts w:cstheme="minorHAnsi"/>
        </w:rPr>
        <w:t>A</w:t>
      </w:r>
      <w:r w:rsidR="00706FC1" w:rsidRPr="00E1236A">
        <w:rPr>
          <w:rFonts w:cstheme="minorHAnsi"/>
        </w:rPr>
        <w:t xml:space="preserve">mateur </w:t>
      </w:r>
      <w:r w:rsidR="00EF60F9">
        <w:rPr>
          <w:rFonts w:cstheme="minorHAnsi"/>
        </w:rPr>
        <w:t>O</w:t>
      </w:r>
      <w:r w:rsidR="00706FC1" w:rsidRPr="00E1236A">
        <w:rPr>
          <w:rFonts w:cstheme="minorHAnsi"/>
        </w:rPr>
        <w:t xml:space="preserve">perator </w:t>
      </w:r>
      <w:r w:rsidR="00EF60F9">
        <w:rPr>
          <w:rFonts w:cstheme="minorHAnsi"/>
        </w:rPr>
        <w:t>C</w:t>
      </w:r>
      <w:r w:rsidR="00706FC1" w:rsidRPr="00E1236A">
        <w:rPr>
          <w:rFonts w:cstheme="minorHAnsi"/>
        </w:rPr>
        <w:t xml:space="preserve">ertificate of </w:t>
      </w:r>
      <w:r w:rsidR="00EF60F9">
        <w:rPr>
          <w:rFonts w:cstheme="minorHAnsi"/>
        </w:rPr>
        <w:t>P</w:t>
      </w:r>
      <w:r w:rsidR="00706FC1" w:rsidRPr="00E1236A">
        <w:rPr>
          <w:rFonts w:cstheme="minorHAnsi"/>
        </w:rPr>
        <w:t xml:space="preserve">roficiency syllabus can continue to be developed in conjunction with representatives from the amateur radio service. </w:t>
      </w:r>
      <w:r w:rsidR="00D41190">
        <w:rPr>
          <w:rFonts w:cstheme="minorHAnsi"/>
        </w:rPr>
        <w:t>They also request</w:t>
      </w:r>
      <w:r w:rsidR="00C27B1C">
        <w:rPr>
          <w:rFonts w:cstheme="minorHAnsi"/>
        </w:rPr>
        <w:t>ed</w:t>
      </w:r>
      <w:r w:rsidR="00D41190">
        <w:rPr>
          <w:rFonts w:cstheme="minorHAnsi"/>
        </w:rPr>
        <w:t xml:space="preserve"> that </w:t>
      </w:r>
      <w:r w:rsidR="009809D9">
        <w:rPr>
          <w:rFonts w:cstheme="minorHAnsi"/>
        </w:rPr>
        <w:t>the ACMA d</w:t>
      </w:r>
      <w:r w:rsidR="00706FC1" w:rsidRPr="00E1236A">
        <w:rPr>
          <w:rFonts w:cstheme="minorHAnsi"/>
        </w:rPr>
        <w:t>efine and implement a new model for managing the syllabus that retains amateur service engagement in the process</w:t>
      </w:r>
      <w:r w:rsidR="00EF60F9">
        <w:rPr>
          <w:rFonts w:cstheme="minorHAnsi"/>
        </w:rPr>
        <w:t>,</w:t>
      </w:r>
      <w:r w:rsidR="009809D9">
        <w:rPr>
          <w:rFonts w:cstheme="minorHAnsi"/>
        </w:rPr>
        <w:t xml:space="preserve"> and </w:t>
      </w:r>
      <w:r w:rsidR="00EF60F9">
        <w:rPr>
          <w:rFonts w:cstheme="minorHAnsi"/>
        </w:rPr>
        <w:t xml:space="preserve">also </w:t>
      </w:r>
      <w:r w:rsidR="009809D9">
        <w:rPr>
          <w:rFonts w:cstheme="minorHAnsi"/>
        </w:rPr>
        <w:t>r</w:t>
      </w:r>
      <w:r w:rsidR="00706FC1" w:rsidRPr="00E1236A">
        <w:rPr>
          <w:rFonts w:cstheme="minorHAnsi"/>
        </w:rPr>
        <w:t>eview the effectiveness of the amateur service examination system</w:t>
      </w:r>
      <w:r w:rsidR="009809D9">
        <w:rPr>
          <w:rFonts w:cstheme="minorHAnsi"/>
        </w:rPr>
        <w:t>.</w:t>
      </w:r>
    </w:p>
    <w:p w14:paraId="2306A611" w14:textId="18D0B1FA" w:rsidR="00706FC1" w:rsidRDefault="00706FC1" w:rsidP="00706FC1">
      <w:pPr>
        <w:pStyle w:val="Heading3"/>
      </w:pPr>
      <w:r>
        <w:t>Our response</w:t>
      </w:r>
    </w:p>
    <w:p w14:paraId="4876568D" w14:textId="293DA139" w:rsidR="00EA0458" w:rsidRDefault="00EA0458" w:rsidP="00EA0458">
      <w:pPr>
        <w:rPr>
          <w:rFonts w:cstheme="minorHAnsi"/>
        </w:rPr>
      </w:pPr>
      <w:r>
        <w:rPr>
          <w:rFonts w:cstheme="minorHAnsi"/>
        </w:rPr>
        <w:t>With the transition to class-licensing arrangements and new accreditation framework for examinations occurring in 2023</w:t>
      </w:r>
      <w:r w:rsidR="00EF60F9">
        <w:t>–</w:t>
      </w:r>
      <w:r>
        <w:rPr>
          <w:rFonts w:cstheme="minorHAnsi"/>
        </w:rPr>
        <w:t xml:space="preserve">24, </w:t>
      </w:r>
      <w:r w:rsidR="00C27B1C">
        <w:rPr>
          <w:rFonts w:cstheme="minorHAnsi"/>
        </w:rPr>
        <w:t>we</w:t>
      </w:r>
      <w:r>
        <w:rPr>
          <w:rFonts w:cstheme="minorHAnsi"/>
        </w:rPr>
        <w:t xml:space="preserve"> will consider a syllabus update as part of </w:t>
      </w:r>
      <w:r w:rsidR="00C27B1C">
        <w:rPr>
          <w:rFonts w:cstheme="minorHAnsi"/>
        </w:rPr>
        <w:t>our</w:t>
      </w:r>
      <w:r>
        <w:rPr>
          <w:rFonts w:cstheme="minorHAnsi"/>
        </w:rPr>
        <w:t xml:space="preserve"> considerations for </w:t>
      </w:r>
      <w:r w:rsidR="00EF60F9">
        <w:rPr>
          <w:rFonts w:cstheme="minorHAnsi"/>
        </w:rPr>
        <w:t xml:space="preserve">the </w:t>
      </w:r>
      <w:r>
        <w:rPr>
          <w:rFonts w:cstheme="minorHAnsi"/>
        </w:rPr>
        <w:t>2024</w:t>
      </w:r>
      <w:r w:rsidR="00EF60F9">
        <w:t>–</w:t>
      </w:r>
      <w:r>
        <w:rPr>
          <w:rFonts w:cstheme="minorHAnsi"/>
        </w:rPr>
        <w:t>25 work plan.</w:t>
      </w:r>
    </w:p>
    <w:p w14:paraId="1F426AAA" w14:textId="20278FDE" w:rsidR="002E0760" w:rsidRDefault="002E0760" w:rsidP="00E5019C">
      <w:pPr>
        <w:pStyle w:val="Heading3"/>
      </w:pPr>
      <w:r w:rsidRPr="002E0760">
        <w:t>Amateur beacons and repeaters</w:t>
      </w:r>
    </w:p>
    <w:p w14:paraId="3EC36675" w14:textId="34F75D49" w:rsidR="00DE6426" w:rsidRPr="000E2A38" w:rsidRDefault="00D641BE" w:rsidP="00DE6426">
      <w:pPr>
        <w:rPr>
          <w:rFonts w:cstheme="minorHAnsi"/>
        </w:rPr>
      </w:pPr>
      <w:r>
        <w:rPr>
          <w:rFonts w:cstheme="minorHAnsi"/>
        </w:rPr>
        <w:t xml:space="preserve">One submitter </w:t>
      </w:r>
      <w:r w:rsidR="00DE6426" w:rsidRPr="000E2A38">
        <w:rPr>
          <w:rFonts w:cstheme="minorHAnsi"/>
        </w:rPr>
        <w:t>welcome</w:t>
      </w:r>
      <w:r w:rsidR="00E1346B">
        <w:rPr>
          <w:rFonts w:cstheme="minorHAnsi"/>
        </w:rPr>
        <w:t>d</w:t>
      </w:r>
      <w:r w:rsidR="00DE6426" w:rsidRPr="000E2A38">
        <w:rPr>
          <w:rFonts w:cstheme="minorHAnsi"/>
        </w:rPr>
        <w:t xml:space="preserve"> the ACMA’s plan</w:t>
      </w:r>
      <w:r w:rsidR="00D663D3">
        <w:rPr>
          <w:rFonts w:cstheme="minorHAnsi"/>
        </w:rPr>
        <w:t xml:space="preserve">ned </w:t>
      </w:r>
      <w:r w:rsidR="00DE6426" w:rsidRPr="000E2A38">
        <w:rPr>
          <w:rFonts w:cstheme="minorHAnsi"/>
        </w:rPr>
        <w:t>consultation on technical</w:t>
      </w:r>
      <w:r w:rsidR="00DE6426">
        <w:rPr>
          <w:rFonts w:cstheme="minorHAnsi"/>
        </w:rPr>
        <w:t xml:space="preserve"> </w:t>
      </w:r>
      <w:r w:rsidR="00DE6426" w:rsidRPr="000E2A38">
        <w:rPr>
          <w:rFonts w:cstheme="minorHAnsi"/>
        </w:rPr>
        <w:t xml:space="preserve">coordination arrangements for the assignment of </w:t>
      </w:r>
      <w:r w:rsidR="00EF60F9">
        <w:rPr>
          <w:rFonts w:cstheme="minorHAnsi"/>
        </w:rPr>
        <w:t>a</w:t>
      </w:r>
      <w:r w:rsidR="00DE6426" w:rsidRPr="000E2A38">
        <w:rPr>
          <w:rFonts w:cstheme="minorHAnsi"/>
        </w:rPr>
        <w:t>mateur repeater licences</w:t>
      </w:r>
      <w:r w:rsidR="00374282">
        <w:rPr>
          <w:rFonts w:cstheme="minorHAnsi"/>
        </w:rPr>
        <w:t>,</w:t>
      </w:r>
      <w:r w:rsidR="00501EBB">
        <w:rPr>
          <w:rFonts w:cstheme="minorHAnsi"/>
        </w:rPr>
        <w:t xml:space="preserve"> contend</w:t>
      </w:r>
      <w:r w:rsidR="00374282">
        <w:rPr>
          <w:rFonts w:cstheme="minorHAnsi"/>
        </w:rPr>
        <w:t>ing</w:t>
      </w:r>
      <w:r w:rsidR="00501EBB">
        <w:rPr>
          <w:rFonts w:cstheme="minorHAnsi"/>
        </w:rPr>
        <w:t xml:space="preserve"> that current </w:t>
      </w:r>
      <w:r w:rsidR="00DE6426" w:rsidRPr="000E2A38">
        <w:rPr>
          <w:rFonts w:cstheme="minorHAnsi"/>
        </w:rPr>
        <w:t xml:space="preserve">arrangements are slow and largely unworkable for </w:t>
      </w:r>
      <w:r w:rsidR="00E1346B">
        <w:rPr>
          <w:rFonts w:cstheme="minorHAnsi"/>
        </w:rPr>
        <w:t>accredited persons</w:t>
      </w:r>
      <w:r w:rsidR="00DE6426" w:rsidRPr="000E2A38">
        <w:rPr>
          <w:rFonts w:cstheme="minorHAnsi"/>
        </w:rPr>
        <w:t xml:space="preserve"> </w:t>
      </w:r>
      <w:r w:rsidR="00E1346B">
        <w:rPr>
          <w:rFonts w:cstheme="minorHAnsi"/>
        </w:rPr>
        <w:t>(APs)</w:t>
      </w:r>
      <w:r w:rsidR="00057B71">
        <w:rPr>
          <w:rFonts w:cstheme="minorHAnsi"/>
        </w:rPr>
        <w:t xml:space="preserve"> </w:t>
      </w:r>
      <w:r w:rsidR="00DE6426" w:rsidRPr="000E2A38">
        <w:rPr>
          <w:rFonts w:cstheme="minorHAnsi"/>
        </w:rPr>
        <w:t xml:space="preserve">and </w:t>
      </w:r>
      <w:r w:rsidR="00374282">
        <w:rPr>
          <w:rFonts w:cstheme="minorHAnsi"/>
        </w:rPr>
        <w:t>a</w:t>
      </w:r>
      <w:r w:rsidR="00DE6426" w:rsidRPr="000E2A38">
        <w:rPr>
          <w:rFonts w:cstheme="minorHAnsi"/>
        </w:rPr>
        <w:t>mateur licensees.</w:t>
      </w:r>
    </w:p>
    <w:p w14:paraId="32E00CB7" w14:textId="32FA9582" w:rsidR="00FB0E2F" w:rsidRDefault="00402C10" w:rsidP="0019030E">
      <w:pPr>
        <w:rPr>
          <w:rFonts w:cstheme="minorHAnsi"/>
        </w:rPr>
      </w:pPr>
      <w:r>
        <w:rPr>
          <w:rFonts w:cstheme="minorHAnsi"/>
        </w:rPr>
        <w:t xml:space="preserve">Another submitter </w:t>
      </w:r>
      <w:r w:rsidR="00755EBD">
        <w:rPr>
          <w:rFonts w:cstheme="minorHAnsi"/>
        </w:rPr>
        <w:t>ask</w:t>
      </w:r>
      <w:r w:rsidR="00E1346B">
        <w:rPr>
          <w:rFonts w:cstheme="minorHAnsi"/>
        </w:rPr>
        <w:t>ed</w:t>
      </w:r>
      <w:r w:rsidR="00755EBD">
        <w:rPr>
          <w:rFonts w:cstheme="minorHAnsi"/>
        </w:rPr>
        <w:t xml:space="preserve"> that </w:t>
      </w:r>
      <w:r w:rsidR="0019030E" w:rsidRPr="00415241">
        <w:rPr>
          <w:rFonts w:cstheme="minorHAnsi"/>
        </w:rPr>
        <w:t xml:space="preserve">changes proposed by </w:t>
      </w:r>
      <w:r w:rsidR="00FB1472">
        <w:rPr>
          <w:rFonts w:cstheme="minorHAnsi"/>
        </w:rPr>
        <w:t xml:space="preserve">the </w:t>
      </w:r>
      <w:r w:rsidR="0019030E" w:rsidRPr="00415241">
        <w:rPr>
          <w:rFonts w:cstheme="minorHAnsi"/>
        </w:rPr>
        <w:t xml:space="preserve">ACMA do not </w:t>
      </w:r>
      <w:r w:rsidR="00755EBD">
        <w:rPr>
          <w:rFonts w:cstheme="minorHAnsi"/>
        </w:rPr>
        <w:t>increase</w:t>
      </w:r>
      <w:r w:rsidR="0019030E" w:rsidRPr="00415241">
        <w:rPr>
          <w:rFonts w:cstheme="minorHAnsi"/>
        </w:rPr>
        <w:t xml:space="preserve"> costs to amateur radio operators and clubs</w:t>
      </w:r>
      <w:r w:rsidR="00755EBD">
        <w:rPr>
          <w:rFonts w:cstheme="minorHAnsi"/>
        </w:rPr>
        <w:t xml:space="preserve">. They recommended </w:t>
      </w:r>
      <w:r w:rsidR="0019030E" w:rsidRPr="00415241">
        <w:rPr>
          <w:rFonts w:cstheme="minorHAnsi"/>
        </w:rPr>
        <w:t xml:space="preserve">additional discussion </w:t>
      </w:r>
      <w:r w:rsidR="00927AC0">
        <w:rPr>
          <w:rFonts w:cstheme="minorHAnsi"/>
        </w:rPr>
        <w:t>before</w:t>
      </w:r>
      <w:r w:rsidR="0019030E" w:rsidRPr="00415241">
        <w:rPr>
          <w:rFonts w:cstheme="minorHAnsi"/>
        </w:rPr>
        <w:t xml:space="preserve"> the ACMA </w:t>
      </w:r>
      <w:r w:rsidR="00927AC0" w:rsidRPr="00415241">
        <w:rPr>
          <w:rFonts w:cstheme="minorHAnsi"/>
        </w:rPr>
        <w:t>open</w:t>
      </w:r>
      <w:r w:rsidR="00927AC0">
        <w:rPr>
          <w:rFonts w:cstheme="minorHAnsi"/>
        </w:rPr>
        <w:t>s</w:t>
      </w:r>
      <w:r w:rsidR="00927AC0" w:rsidRPr="00415241">
        <w:rPr>
          <w:rFonts w:cstheme="minorHAnsi"/>
        </w:rPr>
        <w:t xml:space="preserve"> </w:t>
      </w:r>
      <w:r w:rsidR="0019030E" w:rsidRPr="00415241">
        <w:rPr>
          <w:rFonts w:cstheme="minorHAnsi"/>
        </w:rPr>
        <w:t>public consultation</w:t>
      </w:r>
      <w:r w:rsidR="001D7B60">
        <w:rPr>
          <w:rFonts w:cstheme="minorHAnsi"/>
        </w:rPr>
        <w:t xml:space="preserve"> </w:t>
      </w:r>
      <w:r w:rsidR="0019030E" w:rsidRPr="00415241">
        <w:rPr>
          <w:rFonts w:cstheme="minorHAnsi"/>
        </w:rPr>
        <w:t xml:space="preserve">to ensure that existing procedures are properly </w:t>
      </w:r>
      <w:r w:rsidR="00D26508" w:rsidRPr="00415241">
        <w:rPr>
          <w:rFonts w:cstheme="minorHAnsi"/>
        </w:rPr>
        <w:t>considered,</w:t>
      </w:r>
      <w:r w:rsidR="0019030E" w:rsidRPr="00415241">
        <w:rPr>
          <w:rFonts w:cstheme="minorHAnsi"/>
        </w:rPr>
        <w:t xml:space="preserve"> and that </w:t>
      </w:r>
      <w:r w:rsidR="006240BE">
        <w:rPr>
          <w:rFonts w:cstheme="minorHAnsi"/>
        </w:rPr>
        <w:t xml:space="preserve">engaging </w:t>
      </w:r>
      <w:r w:rsidR="0019030E" w:rsidRPr="00415241">
        <w:rPr>
          <w:rFonts w:cstheme="minorHAnsi"/>
        </w:rPr>
        <w:t xml:space="preserve">APs does not remove the ability of the amateur service to define amateur spectrum band plans and in-band frequency allocations, </w:t>
      </w:r>
      <w:r w:rsidR="00483641">
        <w:rPr>
          <w:rFonts w:cstheme="minorHAnsi"/>
        </w:rPr>
        <w:t>citing that</w:t>
      </w:r>
      <w:r w:rsidR="0019030E" w:rsidRPr="00415241">
        <w:rPr>
          <w:rFonts w:cstheme="minorHAnsi"/>
        </w:rPr>
        <w:t xml:space="preserve"> </w:t>
      </w:r>
      <w:r w:rsidR="00C136B7">
        <w:rPr>
          <w:rFonts w:cstheme="minorHAnsi"/>
        </w:rPr>
        <w:t xml:space="preserve">they </w:t>
      </w:r>
      <w:r w:rsidR="0019030E" w:rsidRPr="00415241">
        <w:rPr>
          <w:rFonts w:cstheme="minorHAnsi"/>
        </w:rPr>
        <w:t>have</w:t>
      </w:r>
      <w:r w:rsidR="00D26508">
        <w:rPr>
          <w:rFonts w:cstheme="minorHAnsi"/>
        </w:rPr>
        <w:t xml:space="preserve"> historically</w:t>
      </w:r>
      <w:r w:rsidR="0019030E" w:rsidRPr="00415241">
        <w:rPr>
          <w:rFonts w:cstheme="minorHAnsi"/>
        </w:rPr>
        <w:t xml:space="preserve"> been </w:t>
      </w:r>
      <w:r w:rsidR="00D26508" w:rsidRPr="00415241">
        <w:rPr>
          <w:rFonts w:cstheme="minorHAnsi"/>
        </w:rPr>
        <w:t>self-managed</w:t>
      </w:r>
      <w:r w:rsidR="00D26508">
        <w:rPr>
          <w:rFonts w:cstheme="minorHAnsi"/>
        </w:rPr>
        <w:t>.</w:t>
      </w:r>
    </w:p>
    <w:p w14:paraId="7FAB12C3" w14:textId="13CD918C" w:rsidR="0019030E" w:rsidRDefault="0019030E" w:rsidP="0019030E">
      <w:pPr>
        <w:pStyle w:val="Heading3"/>
      </w:pPr>
      <w:r>
        <w:t>Our response</w:t>
      </w:r>
    </w:p>
    <w:p w14:paraId="16CC505A" w14:textId="1240C7C1" w:rsidR="00392BC3" w:rsidRPr="0019030E" w:rsidRDefault="00150038" w:rsidP="00392BC3">
      <w:r w:rsidRPr="00150038">
        <w:t xml:space="preserve">We </w:t>
      </w:r>
      <w:r w:rsidR="006F0220">
        <w:t xml:space="preserve">note the </w:t>
      </w:r>
      <w:r w:rsidR="00392BC3">
        <w:t>general concern that any changed arrangements do not lead to cost increases for amateur licensees</w:t>
      </w:r>
      <w:r w:rsidR="000462B9">
        <w:t xml:space="preserve">. </w:t>
      </w:r>
      <w:r w:rsidR="00EB0CA8">
        <w:t>We also</w:t>
      </w:r>
      <w:r w:rsidR="00927AC0">
        <w:t xml:space="preserve"> </w:t>
      </w:r>
      <w:r w:rsidR="002244FA">
        <w:t xml:space="preserve">note that </w:t>
      </w:r>
      <w:r w:rsidR="00392BC3">
        <w:t xml:space="preserve">ACMA amateur licensing and frequency planning roles are not </w:t>
      </w:r>
      <w:r w:rsidR="002244FA">
        <w:t xml:space="preserve">intended to be </w:t>
      </w:r>
      <w:r w:rsidR="00392BC3">
        <w:t xml:space="preserve">devolved to amateur </w:t>
      </w:r>
      <w:r w:rsidR="002244FA">
        <w:t xml:space="preserve">radio </w:t>
      </w:r>
      <w:r w:rsidR="00392BC3">
        <w:t xml:space="preserve">operators. </w:t>
      </w:r>
    </w:p>
    <w:p w14:paraId="30F94D83" w14:textId="14C7A939" w:rsidR="0019030E" w:rsidRPr="0019030E" w:rsidRDefault="0012185A" w:rsidP="0019030E">
      <w:r>
        <w:t xml:space="preserve">We are seeking to align timeframes for consultation with amateur licensees </w:t>
      </w:r>
      <w:r w:rsidR="004F15F6" w:rsidRPr="004F15F6">
        <w:t xml:space="preserve">to </w:t>
      </w:r>
      <w:r w:rsidR="00927AC0">
        <w:t xml:space="preserve">ensure </w:t>
      </w:r>
      <w:r w:rsidR="004F15F6" w:rsidRPr="004F15F6">
        <w:t xml:space="preserve">an undue consultation burden </w:t>
      </w:r>
      <w:r w:rsidR="00927AC0">
        <w:t xml:space="preserve">does not fall </w:t>
      </w:r>
      <w:r w:rsidR="004F15F6" w:rsidRPr="004F15F6">
        <w:t>on amateur radio users</w:t>
      </w:r>
      <w:r w:rsidR="00FC42A5">
        <w:t>.</w:t>
      </w:r>
      <w:r w:rsidR="00623B67" w:rsidRPr="00623B67">
        <w:t xml:space="preserve"> </w:t>
      </w:r>
    </w:p>
    <w:p w14:paraId="798CB262" w14:textId="64806DAA" w:rsidR="006762E2" w:rsidRDefault="006762E2" w:rsidP="00B97A5E">
      <w:pPr>
        <w:pStyle w:val="Heading2"/>
        <w:keepLines/>
      </w:pPr>
      <w:bookmarkStart w:id="44" w:name="_Toc146527975"/>
      <w:r w:rsidRPr="006762E2">
        <w:t>Equipment regulation</w:t>
      </w:r>
      <w:bookmarkEnd w:id="44"/>
    </w:p>
    <w:p w14:paraId="0639D790" w14:textId="2C3BE2F8" w:rsidR="009562B9" w:rsidRDefault="00B91963" w:rsidP="00B97A5E">
      <w:pPr>
        <w:keepNext/>
        <w:keepLines/>
      </w:pPr>
      <w:r>
        <w:t xml:space="preserve">One submitter encouraged the ACMA </w:t>
      </w:r>
      <w:r w:rsidR="009562B9">
        <w:t xml:space="preserve">to consider undertaking public consultation on further changes to the equipment rules to address </w:t>
      </w:r>
      <w:r w:rsidR="00B94A5F">
        <w:t xml:space="preserve">amendments for </w:t>
      </w:r>
      <w:r w:rsidR="00096DEF">
        <w:t>v</w:t>
      </w:r>
      <w:r w:rsidR="00096DEF" w:rsidRPr="00096DEF">
        <w:t>ery high frequency (V</w:t>
      </w:r>
      <w:r w:rsidR="00B94A5F">
        <w:t>HF</w:t>
      </w:r>
      <w:r w:rsidR="00096DEF">
        <w:t>)</w:t>
      </w:r>
      <w:r w:rsidR="00B94A5F">
        <w:t xml:space="preserve"> radiotelephone equipment and bring </w:t>
      </w:r>
      <w:r w:rsidR="009562B9">
        <w:t>the equipment rules in line with global standards and carriage requirements for 406 MHz beacons.</w:t>
      </w:r>
    </w:p>
    <w:p w14:paraId="71E4AC17" w14:textId="7209E0DB" w:rsidR="00062237" w:rsidRDefault="00062237" w:rsidP="00B97A5E">
      <w:pPr>
        <w:keepNext/>
        <w:keepLines/>
      </w:pPr>
      <w:r>
        <w:t xml:space="preserve">One submitter </w:t>
      </w:r>
      <w:r w:rsidR="00927AC0">
        <w:t>asked</w:t>
      </w:r>
      <w:r>
        <w:t xml:space="preserve"> whether documentation akin to the </w:t>
      </w:r>
      <w:r w:rsidRPr="00B97A5E">
        <w:t>Radiocommunications Equipment (General) Rules 2021</w:t>
      </w:r>
      <w:r>
        <w:t xml:space="preserve"> will be developed</w:t>
      </w:r>
      <w:r w:rsidR="00927AC0">
        <w:t>, which</w:t>
      </w:r>
      <w:r>
        <w:t xml:space="preserve"> </w:t>
      </w:r>
      <w:r w:rsidR="00927AC0">
        <w:t xml:space="preserve">would </w:t>
      </w:r>
      <w:r>
        <w:t>allow the ACMA to enforce equipment compliance for optical (infrared) communications for space applications, with a view that this could also form a guideline for future quantum communications take-up in the space/earth technology ecosystem.</w:t>
      </w:r>
    </w:p>
    <w:p w14:paraId="794588E7" w14:textId="6113299A" w:rsidR="009562B9" w:rsidRDefault="00AD6E87" w:rsidP="00121538">
      <w:pPr>
        <w:pStyle w:val="Heading3"/>
      </w:pPr>
      <w:r>
        <w:t>Our response</w:t>
      </w:r>
    </w:p>
    <w:p w14:paraId="3F9DC371" w14:textId="6E819CB9" w:rsidR="007F5BDE" w:rsidRPr="00B366A1" w:rsidRDefault="0033294C" w:rsidP="009562B9">
      <w:pPr>
        <w:rPr>
          <w:i/>
          <w:iCs/>
        </w:rPr>
      </w:pPr>
      <w:r w:rsidRPr="0033294C">
        <w:t xml:space="preserve">As indicated in </w:t>
      </w:r>
      <w:r w:rsidR="00F70EC9">
        <w:t>our</w:t>
      </w:r>
      <w:r w:rsidRPr="0033294C">
        <w:t xml:space="preserve"> </w:t>
      </w:r>
      <w:r w:rsidR="005702C9">
        <w:t xml:space="preserve">March 2023 </w:t>
      </w:r>
      <w:r w:rsidR="00927AC0">
        <w:t>o</w:t>
      </w:r>
      <w:r w:rsidRPr="0033294C">
        <w:t xml:space="preserve">utcomes </w:t>
      </w:r>
      <w:r w:rsidR="00927AC0">
        <w:t>p</w:t>
      </w:r>
      <w:r w:rsidRPr="0033294C">
        <w:t>aper</w:t>
      </w:r>
      <w:r w:rsidR="005702C9">
        <w:t>,</w:t>
      </w:r>
      <w:r w:rsidRPr="0033294C">
        <w:t xml:space="preserve"> </w:t>
      </w:r>
      <w:hyperlink r:id="rId44" w:history="1">
        <w:r w:rsidR="005702C9" w:rsidRPr="00B97A5E">
          <w:rPr>
            <w:rStyle w:val="Hyperlink"/>
            <w:i/>
            <w:iCs/>
          </w:rPr>
          <w:t>Proposed changes to radiocommunications equipment regulation</w:t>
        </w:r>
      </w:hyperlink>
      <w:r w:rsidRPr="0033294C">
        <w:t xml:space="preserve">, </w:t>
      </w:r>
      <w:r w:rsidR="00924FC6">
        <w:t>we</w:t>
      </w:r>
      <w:r w:rsidRPr="0033294C">
        <w:t xml:space="preserve"> will work with </w:t>
      </w:r>
      <w:r w:rsidR="005702C9">
        <w:t>stakeholder</w:t>
      </w:r>
      <w:r w:rsidR="00AA172D">
        <w:t>s</w:t>
      </w:r>
      <w:r w:rsidRPr="0033294C">
        <w:t xml:space="preserve"> to identify the additional provisions within relevant industry standards for 406 MHz beacons to be incorporated</w:t>
      </w:r>
      <w:r w:rsidR="00D279F6">
        <w:t xml:space="preserve"> by the</w:t>
      </w:r>
      <w:r w:rsidRPr="0033294C">
        <w:t xml:space="preserve"> 406 MHz Satellite Distress Beacons Standard in Schedule 5 of the </w:t>
      </w:r>
      <w:r w:rsidRPr="00B97A5E">
        <w:t>Radiocommunications Equipment (General) Rules 2021</w:t>
      </w:r>
      <w:r w:rsidRPr="00B366A1">
        <w:rPr>
          <w:i/>
          <w:iCs/>
        </w:rPr>
        <w:t>.</w:t>
      </w:r>
    </w:p>
    <w:p w14:paraId="1E59C9E9" w14:textId="20638173" w:rsidR="00062237" w:rsidRDefault="00062237" w:rsidP="00062237">
      <w:r>
        <w:t xml:space="preserve">There are no current plans to amend the equipment compliance arrangements relating to infrared transmitters. </w:t>
      </w:r>
      <w:r w:rsidR="00927AC0">
        <w:t xml:space="preserve">These </w:t>
      </w:r>
      <w:r>
        <w:t xml:space="preserve">devices are currently captured under Part 15 (Short Range Equipment Standard) </w:t>
      </w:r>
      <w:r w:rsidR="00CD1536">
        <w:t xml:space="preserve">of Schedule 5 </w:t>
      </w:r>
      <w:r>
        <w:t xml:space="preserve">to the Radiocommunications Equipment (General) Rules 2021. Infrared transmitters are classified </w:t>
      </w:r>
      <w:r w:rsidR="00927AC0">
        <w:t xml:space="preserve">as </w:t>
      </w:r>
      <w:r>
        <w:t xml:space="preserve">an item of low interference potential equipment under the Short-Range Equipment Standard and are required to operate in accordance with the </w:t>
      </w:r>
      <w:r w:rsidRPr="00B97A5E">
        <w:t>Radiocommunications (Low Interference Potential Devices) Class Licence 2015</w:t>
      </w:r>
      <w:r>
        <w:t>.</w:t>
      </w:r>
    </w:p>
    <w:p w14:paraId="52FBCD68" w14:textId="62B6B2C5" w:rsidR="00B704F7" w:rsidRDefault="00B704F7" w:rsidP="00633373">
      <w:pPr>
        <w:pStyle w:val="Heading2"/>
      </w:pPr>
      <w:bookmarkStart w:id="45" w:name="_Toc146527976"/>
      <w:r>
        <w:t>Mar</w:t>
      </w:r>
      <w:r w:rsidR="00461D06">
        <w:t>i</w:t>
      </w:r>
      <w:r>
        <w:t>time radio</w:t>
      </w:r>
      <w:bookmarkEnd w:id="45"/>
    </w:p>
    <w:p w14:paraId="6DE0C371" w14:textId="07170243" w:rsidR="00461D06" w:rsidRDefault="003F722E" w:rsidP="003C304E">
      <w:r>
        <w:t>One submitter request</w:t>
      </w:r>
      <w:r w:rsidR="00F70EC9">
        <w:t>ed</w:t>
      </w:r>
      <w:r>
        <w:t xml:space="preserve"> that</w:t>
      </w:r>
      <w:r w:rsidR="009510F8">
        <w:t>,</w:t>
      </w:r>
      <w:r w:rsidR="0085680A">
        <w:t xml:space="preserve"> as</w:t>
      </w:r>
      <w:r>
        <w:t xml:space="preserve"> the ACMA</w:t>
      </w:r>
      <w:r w:rsidR="0085680A">
        <w:t xml:space="preserve"> implements the </w:t>
      </w:r>
      <w:r w:rsidR="00ED57B4">
        <w:t>a</w:t>
      </w:r>
      <w:r w:rsidR="0085680A">
        <w:t xml:space="preserve">mendments agreed at WRC-19 </w:t>
      </w:r>
      <w:r w:rsidR="00927AC0">
        <w:t xml:space="preserve">for </w:t>
      </w:r>
      <w:r w:rsidR="00ED57B4">
        <w:t>maritime radio</w:t>
      </w:r>
      <w:r w:rsidR="009510F8">
        <w:t>,</w:t>
      </w:r>
      <w:r w:rsidR="00ED57B4">
        <w:t xml:space="preserve"> consideration is given to </w:t>
      </w:r>
      <w:r w:rsidR="003C304E">
        <w:t>a nationwide cessation of 27 MHz marine radio</w:t>
      </w:r>
      <w:r w:rsidR="00106D7A">
        <w:t>, a</w:t>
      </w:r>
      <w:r w:rsidR="003C304E">
        <w:t xml:space="preserve">mendments to </w:t>
      </w:r>
      <w:r w:rsidR="00106D7A">
        <w:t xml:space="preserve">relevant </w:t>
      </w:r>
      <w:r w:rsidR="003C304E">
        <w:t>radio standards</w:t>
      </w:r>
      <w:r w:rsidR="00106D7A">
        <w:t xml:space="preserve">, </w:t>
      </w:r>
      <w:r w:rsidR="00927AC0">
        <w:t xml:space="preserve">and </w:t>
      </w:r>
      <w:r w:rsidR="00A727E5">
        <w:t>a r</w:t>
      </w:r>
      <w:r w:rsidR="003C304E">
        <w:t>eview of the licensing/authorisation framework</w:t>
      </w:r>
      <w:r w:rsidR="00A727E5">
        <w:t xml:space="preserve"> and q</w:t>
      </w:r>
      <w:r w:rsidR="003C304E">
        <w:t>ualification and/or training framework for coastal waters</w:t>
      </w:r>
      <w:r w:rsidR="00A727E5">
        <w:t>.</w:t>
      </w:r>
    </w:p>
    <w:p w14:paraId="6558DD7E" w14:textId="5366805D" w:rsidR="003C304E" w:rsidRDefault="00643986" w:rsidP="00643986">
      <w:pPr>
        <w:pStyle w:val="Heading3"/>
      </w:pPr>
      <w:r>
        <w:t>Our response</w:t>
      </w:r>
    </w:p>
    <w:p w14:paraId="09E688EC" w14:textId="09C7CB61" w:rsidR="00E535BE" w:rsidRDefault="00F204CA" w:rsidP="00F204CA">
      <w:r>
        <w:t xml:space="preserve">We </w:t>
      </w:r>
      <w:r w:rsidR="00294CEA">
        <w:t xml:space="preserve">are progressing the implementation of </w:t>
      </w:r>
      <w:r w:rsidR="00DD4936">
        <w:t xml:space="preserve">maritime amendments agreed at WRC-19, as outlined in the </w:t>
      </w:r>
      <w:r w:rsidR="00E535BE">
        <w:t>FYSO 2023</w:t>
      </w:r>
      <w:r w:rsidR="00927AC0">
        <w:t>–</w:t>
      </w:r>
      <w:r w:rsidR="00E535BE">
        <w:t xml:space="preserve">28. </w:t>
      </w:r>
    </w:p>
    <w:p w14:paraId="7D0751DF" w14:textId="1CE5EDE2" w:rsidR="0057339A" w:rsidRDefault="00F204CA" w:rsidP="00F204CA">
      <w:r>
        <w:t xml:space="preserve">We will </w:t>
      </w:r>
      <w:r w:rsidR="0003648C">
        <w:t>be conducting a</w:t>
      </w:r>
      <w:r>
        <w:t xml:space="preserve"> </w:t>
      </w:r>
      <w:r w:rsidR="00BB17A4">
        <w:t xml:space="preserve">review </w:t>
      </w:r>
      <w:r w:rsidR="0003648C">
        <w:t xml:space="preserve">of various </w:t>
      </w:r>
      <w:r w:rsidR="00BB17A4">
        <w:t xml:space="preserve">maritime licensing instruments before </w:t>
      </w:r>
      <w:r w:rsidR="00330DFB">
        <w:t>their</w:t>
      </w:r>
      <w:r w:rsidR="0059657D">
        <w:t xml:space="preserve"> scheduled</w:t>
      </w:r>
      <w:r w:rsidR="00BB17A4">
        <w:t xml:space="preserve"> sunset in 2025</w:t>
      </w:r>
      <w:r w:rsidR="00A137F1">
        <w:t xml:space="preserve">. </w:t>
      </w:r>
      <w:r w:rsidR="00A84C57">
        <w:t>W</w:t>
      </w:r>
      <w:r w:rsidR="00DB0290">
        <w:t xml:space="preserve">e will consider </w:t>
      </w:r>
      <w:r w:rsidR="003459EB">
        <w:t xml:space="preserve">this stakeholder </w:t>
      </w:r>
      <w:r w:rsidR="00DB0290">
        <w:t>feedback when considering the scope of</w:t>
      </w:r>
      <w:r w:rsidR="00D87674">
        <w:t xml:space="preserve"> th</w:t>
      </w:r>
      <w:r w:rsidR="007B6A99">
        <w:t>at</w:t>
      </w:r>
      <w:r w:rsidR="00D87674">
        <w:t xml:space="preserve"> review</w:t>
      </w:r>
      <w:r w:rsidR="00A97146">
        <w:t xml:space="preserve">. </w:t>
      </w:r>
    </w:p>
    <w:p w14:paraId="03BF29CB" w14:textId="6FFBBBF2" w:rsidR="00F204CA" w:rsidRPr="00461D06" w:rsidRDefault="00A9608F" w:rsidP="00F204CA">
      <w:r>
        <w:t xml:space="preserve">We will </w:t>
      </w:r>
      <w:r w:rsidR="00D03EA7">
        <w:t xml:space="preserve">continue to </w:t>
      </w:r>
      <w:r w:rsidR="00A137F1">
        <w:t>work</w:t>
      </w:r>
      <w:r w:rsidR="00F204CA">
        <w:t xml:space="preserve"> with </w:t>
      </w:r>
      <w:r w:rsidR="009A07A8">
        <w:t xml:space="preserve">maritime </w:t>
      </w:r>
      <w:r w:rsidR="00A727E5">
        <w:t>stakeholder</w:t>
      </w:r>
      <w:r w:rsidR="009A07A8">
        <w:t>s</w:t>
      </w:r>
      <w:r w:rsidR="00A727E5">
        <w:t xml:space="preserve"> </w:t>
      </w:r>
      <w:r w:rsidR="00F204CA">
        <w:t>on improvements to the maritime radio framework.</w:t>
      </w:r>
      <w:r w:rsidR="00A727E5">
        <w:t xml:space="preserve"> </w:t>
      </w:r>
    </w:p>
    <w:p w14:paraId="4592358E" w14:textId="1D8F87A4" w:rsidR="00080C03" w:rsidRDefault="00080C03" w:rsidP="00B97A5E">
      <w:pPr>
        <w:pStyle w:val="Heading2"/>
        <w:keepLines/>
      </w:pPr>
      <w:bookmarkStart w:id="46" w:name="_Toc146527977"/>
      <w:r w:rsidRPr="00080C03">
        <w:t>Use of land mobile radio on maritime VHF channels</w:t>
      </w:r>
      <w:bookmarkEnd w:id="46"/>
    </w:p>
    <w:p w14:paraId="0FF4528D" w14:textId="4A1CA936" w:rsidR="00EA3645" w:rsidRDefault="00A2458E" w:rsidP="00B97A5E">
      <w:pPr>
        <w:keepNext/>
        <w:keepLines/>
      </w:pPr>
      <w:r>
        <w:t xml:space="preserve">One </w:t>
      </w:r>
      <w:r w:rsidR="00D75C18">
        <w:t>s</w:t>
      </w:r>
      <w:r>
        <w:t xml:space="preserve">ubmitter expressed </w:t>
      </w:r>
      <w:r w:rsidR="00A727E5">
        <w:t xml:space="preserve">their support for </w:t>
      </w:r>
      <w:r w:rsidR="00D75C18">
        <w:t>the incorporation and use of maritime VHF radio capability by emergency service agencies in new (or existing) land mobile radio (LMR)</w:t>
      </w:r>
      <w:r w:rsidR="00625FEB">
        <w:t>,</w:t>
      </w:r>
      <w:r w:rsidR="007C7C6E">
        <w:t xml:space="preserve"> </w:t>
      </w:r>
      <w:r w:rsidR="00DE0F15">
        <w:t>provided</w:t>
      </w:r>
      <w:r w:rsidR="00927AC0">
        <w:t xml:space="preserve"> </w:t>
      </w:r>
      <w:r w:rsidR="00EA3645">
        <w:t>appropriate standards, qualification framework and authorisation</w:t>
      </w:r>
      <w:r w:rsidR="00927AC0">
        <w:t>s are</w:t>
      </w:r>
      <w:r w:rsidR="00EA3645">
        <w:t xml:space="preserve"> implemented. </w:t>
      </w:r>
    </w:p>
    <w:p w14:paraId="6C5D1A03" w14:textId="4029BEDB" w:rsidR="005B185D" w:rsidRDefault="007C7C6E" w:rsidP="00B97A5E">
      <w:pPr>
        <w:keepNext/>
        <w:keepLines/>
      </w:pPr>
      <w:r>
        <w:t xml:space="preserve">Another submitter </w:t>
      </w:r>
      <w:r w:rsidR="00EA3645">
        <w:t>recommend</w:t>
      </w:r>
      <w:r>
        <w:t>ed</w:t>
      </w:r>
      <w:r w:rsidR="00EA3645">
        <w:t xml:space="preserve"> that the use of </w:t>
      </w:r>
      <w:r>
        <w:t>maritime</w:t>
      </w:r>
      <w:r w:rsidR="00EA3645">
        <w:t xml:space="preserve"> VHF frequencies for emergency situations be carefully considered, </w:t>
      </w:r>
      <w:r>
        <w:t xml:space="preserve">citing a shortage of VHF frequencies </w:t>
      </w:r>
      <w:r w:rsidR="00D137DF">
        <w:t xml:space="preserve">and </w:t>
      </w:r>
      <w:r>
        <w:t>the risk of potential congestion in NSW</w:t>
      </w:r>
      <w:r w:rsidR="00927AC0">
        <w:t>,</w:t>
      </w:r>
      <w:r>
        <w:t xml:space="preserve"> in particular.</w:t>
      </w:r>
      <w:r w:rsidR="007543C7">
        <w:t xml:space="preserve"> They recommended </w:t>
      </w:r>
      <w:r w:rsidR="00EA3645">
        <w:t xml:space="preserve">that further stakeholder consultation </w:t>
      </w:r>
      <w:r w:rsidR="007543C7">
        <w:t xml:space="preserve">be held </w:t>
      </w:r>
      <w:r w:rsidR="00E51090">
        <w:t xml:space="preserve">about </w:t>
      </w:r>
      <w:r w:rsidR="00EA3645">
        <w:t>the role of VHF in emergency situations.</w:t>
      </w:r>
    </w:p>
    <w:p w14:paraId="51625679" w14:textId="66AC94DD" w:rsidR="0043623A" w:rsidRDefault="0043623A" w:rsidP="0043623A">
      <w:pPr>
        <w:pStyle w:val="Heading3"/>
      </w:pPr>
      <w:r>
        <w:t>Our response</w:t>
      </w:r>
    </w:p>
    <w:p w14:paraId="13B848CE" w14:textId="61E16F7E" w:rsidR="0043623A" w:rsidRPr="0043623A" w:rsidRDefault="00BE185B" w:rsidP="0043623A">
      <w:r w:rsidRPr="00BE185B">
        <w:t xml:space="preserve">We will </w:t>
      </w:r>
      <w:r w:rsidR="00713447">
        <w:t xml:space="preserve">work with stakeholders on the future </w:t>
      </w:r>
      <w:r w:rsidRPr="00BE185B">
        <w:t xml:space="preserve">use of </w:t>
      </w:r>
      <w:r w:rsidR="00844634">
        <w:t xml:space="preserve">maritime </w:t>
      </w:r>
      <w:r w:rsidRPr="00BE185B">
        <w:t xml:space="preserve">VHF frequencies </w:t>
      </w:r>
      <w:r w:rsidR="00B4421F">
        <w:t xml:space="preserve">and </w:t>
      </w:r>
      <w:r w:rsidR="00B06DA1">
        <w:t xml:space="preserve">intend to consult in Q2 2024 </w:t>
      </w:r>
      <w:r w:rsidR="00535148" w:rsidRPr="00535148">
        <w:t>on possible amendments to allow certain specified LMR portable and mobile terminal use on maritime VHF channels in Q2 2024.</w:t>
      </w:r>
    </w:p>
    <w:p w14:paraId="7972D071" w14:textId="77777777" w:rsidR="00F36F3B" w:rsidRDefault="00B50137" w:rsidP="00633373">
      <w:pPr>
        <w:pStyle w:val="Heading2"/>
      </w:pPr>
      <w:bookmarkStart w:id="47" w:name="_Toc146527978"/>
      <w:r>
        <w:t>Technology for search and rescue</w:t>
      </w:r>
      <w:bookmarkEnd w:id="47"/>
    </w:p>
    <w:p w14:paraId="5FE2C1ED" w14:textId="7D106800" w:rsidR="00046835" w:rsidRDefault="004243F5" w:rsidP="000006EC">
      <w:pPr>
        <w:pStyle w:val="Paragraph"/>
      </w:pPr>
      <w:r>
        <w:t xml:space="preserve">Two submitters </w:t>
      </w:r>
      <w:r w:rsidR="008A63FC">
        <w:t xml:space="preserve">shared </w:t>
      </w:r>
      <w:r w:rsidR="001D6838">
        <w:t>views on potential</w:t>
      </w:r>
      <w:r w:rsidR="00D3441D">
        <w:t xml:space="preserve"> licensing arrangements for </w:t>
      </w:r>
      <w:r w:rsidR="00692107">
        <w:t xml:space="preserve">new technology </w:t>
      </w:r>
      <w:r w:rsidR="00B50137">
        <w:t>supporting search and rescue.</w:t>
      </w:r>
    </w:p>
    <w:p w14:paraId="736A3A69" w14:textId="6C72EE17" w:rsidR="00BC352C" w:rsidRDefault="004521AE" w:rsidP="000006EC">
      <w:pPr>
        <w:pStyle w:val="Paragraph"/>
      </w:pPr>
      <w:r w:rsidRPr="002333D9">
        <w:t xml:space="preserve">One submitter </w:t>
      </w:r>
      <w:r w:rsidR="002520A5" w:rsidRPr="002333D9">
        <w:t xml:space="preserve">raised the </w:t>
      </w:r>
      <w:r w:rsidR="009573E8" w:rsidRPr="002333D9">
        <w:t>potential for</w:t>
      </w:r>
      <w:r w:rsidR="00900252" w:rsidRPr="002333D9">
        <w:t xml:space="preserve"> licensing arrangements to </w:t>
      </w:r>
      <w:r w:rsidR="009573E8" w:rsidRPr="002333D9">
        <w:t xml:space="preserve">be made to </w:t>
      </w:r>
      <w:r w:rsidR="00900252" w:rsidRPr="002333D9">
        <w:t>incorporate</w:t>
      </w:r>
      <w:r w:rsidR="001D6838" w:rsidRPr="002333D9">
        <w:t xml:space="preserve"> the automatic identification system</w:t>
      </w:r>
      <w:r w:rsidR="002520A5" w:rsidRPr="002333D9">
        <w:t xml:space="preserve"> transmissions from </w:t>
      </w:r>
      <w:r w:rsidR="001D6838" w:rsidRPr="002333D9">
        <w:t>personal locator</w:t>
      </w:r>
      <w:r w:rsidR="001D6838" w:rsidRPr="001D6838">
        <w:t xml:space="preserve"> beacons</w:t>
      </w:r>
      <w:r w:rsidR="00A216A3">
        <w:t xml:space="preserve">. They </w:t>
      </w:r>
      <w:r w:rsidR="00CE0AE1">
        <w:t>noted</w:t>
      </w:r>
      <w:r w:rsidR="00A216A3">
        <w:t xml:space="preserve"> that a</w:t>
      </w:r>
      <w:r w:rsidR="000006EC">
        <w:t>utomatic identification system transmissions</w:t>
      </w:r>
      <w:r w:rsidR="00272BDD">
        <w:t xml:space="preserve"> operate on frequencies that are limited to maritime ship stations </w:t>
      </w:r>
      <w:r w:rsidR="000C58DC">
        <w:t>and ask</w:t>
      </w:r>
      <w:r w:rsidR="00BF18D1">
        <w:t>ed</w:t>
      </w:r>
      <w:r w:rsidR="000C58DC">
        <w:t xml:space="preserve"> if changes to the radiocommunication and equipment rules framework are required, noting </w:t>
      </w:r>
      <w:r w:rsidR="0047010A">
        <w:t>beacon</w:t>
      </w:r>
      <w:r w:rsidR="00CD6013">
        <w:t xml:space="preserve"> </w:t>
      </w:r>
      <w:r w:rsidR="000C58DC">
        <w:t>use is limited to distress circumstances.</w:t>
      </w:r>
    </w:p>
    <w:p w14:paraId="5DE0BF7E" w14:textId="2CE1CBAC" w:rsidR="00DA398D" w:rsidRDefault="00B50137" w:rsidP="002333D9">
      <w:pPr>
        <w:pStyle w:val="Paragraph"/>
      </w:pPr>
      <w:r>
        <w:t xml:space="preserve">Another submitter </w:t>
      </w:r>
      <w:r w:rsidR="000103D1">
        <w:t xml:space="preserve">shared their </w:t>
      </w:r>
      <w:r w:rsidR="00077190" w:rsidRPr="00515639">
        <w:t>airborne mission system for search and rescue, designed to detect and locat</w:t>
      </w:r>
      <w:r w:rsidR="000103D1">
        <w:t>e</w:t>
      </w:r>
      <w:r w:rsidR="00077190" w:rsidRPr="00515639">
        <w:t xml:space="preserve"> mobile phones in areas with or without </w:t>
      </w:r>
      <w:r w:rsidR="000103D1">
        <w:t>mobile</w:t>
      </w:r>
      <w:r w:rsidR="00077190" w:rsidRPr="00515639">
        <w:t xml:space="preserve"> network coverage</w:t>
      </w:r>
      <w:r w:rsidR="00DA398D">
        <w:t xml:space="preserve"> or </w:t>
      </w:r>
      <w:r w:rsidR="00077190" w:rsidRPr="00515639">
        <w:t>under adverse weather conditions</w:t>
      </w:r>
      <w:r w:rsidR="00DA398D">
        <w:t xml:space="preserve">. </w:t>
      </w:r>
      <w:r w:rsidR="00BE3DD5">
        <w:t xml:space="preserve">The system would need to operate across spectrum currently used for public </w:t>
      </w:r>
      <w:r w:rsidR="00BE3DD5" w:rsidRPr="002333D9">
        <w:t>mobile</w:t>
      </w:r>
      <w:r w:rsidR="00BE3DD5">
        <w:t xml:space="preserve"> telecommunications services. </w:t>
      </w:r>
      <w:r w:rsidR="0099176D">
        <w:t>The submitter</w:t>
      </w:r>
      <w:r w:rsidR="00DA398D">
        <w:t xml:space="preserve"> proposed that </w:t>
      </w:r>
      <w:r w:rsidR="00077190" w:rsidRPr="00823823">
        <w:t xml:space="preserve">the ACMA create a new class licence for </w:t>
      </w:r>
      <w:r w:rsidR="00DA398D">
        <w:t>the use of this device</w:t>
      </w:r>
      <w:r w:rsidR="00BC352C">
        <w:t xml:space="preserve"> in search and rescue operations.</w:t>
      </w:r>
    </w:p>
    <w:p w14:paraId="554E6614" w14:textId="345A03D5" w:rsidR="000006EC" w:rsidRDefault="000006EC" w:rsidP="000006EC">
      <w:pPr>
        <w:pStyle w:val="Heading3"/>
      </w:pPr>
      <w:r>
        <w:t>Our response</w:t>
      </w:r>
    </w:p>
    <w:p w14:paraId="2DBDDA77" w14:textId="6F0C543D" w:rsidR="003E2DF2" w:rsidRDefault="000579A0" w:rsidP="001623ED">
      <w:pPr>
        <w:pStyle w:val="Paragraph"/>
      </w:pPr>
      <w:r w:rsidRPr="000579A0">
        <w:t xml:space="preserve">We are monitoring standards development processes relating to </w:t>
      </w:r>
      <w:r w:rsidR="002333D9">
        <w:t>p</w:t>
      </w:r>
      <w:r w:rsidRPr="000579A0">
        <w:t xml:space="preserve">ersonal </w:t>
      </w:r>
      <w:r w:rsidR="002333D9">
        <w:t>l</w:t>
      </w:r>
      <w:r w:rsidRPr="000579A0">
        <w:t xml:space="preserve">ocator </w:t>
      </w:r>
      <w:r w:rsidR="002333D9">
        <w:t>b</w:t>
      </w:r>
      <w:r w:rsidRPr="000579A0">
        <w:t>eacons</w:t>
      </w:r>
      <w:r w:rsidR="003E2DF2">
        <w:t>.</w:t>
      </w:r>
    </w:p>
    <w:p w14:paraId="468A26EA" w14:textId="3DFEEDB0" w:rsidR="00C96081" w:rsidRDefault="0005560B" w:rsidP="001623ED">
      <w:pPr>
        <w:pStyle w:val="Paragraph"/>
        <w:rPr>
          <w:rFonts w:cstheme="minorHAnsi"/>
        </w:rPr>
      </w:pPr>
      <w:r>
        <w:rPr>
          <w:rFonts w:cstheme="minorHAnsi"/>
        </w:rPr>
        <w:t>We are, in</w:t>
      </w:r>
      <w:r w:rsidR="007D3054">
        <w:rPr>
          <w:rFonts w:cstheme="minorHAnsi"/>
        </w:rPr>
        <w:t xml:space="preserve"> </w:t>
      </w:r>
      <w:r>
        <w:rPr>
          <w:rFonts w:cstheme="minorHAnsi"/>
        </w:rPr>
        <w:t xml:space="preserve">principle, supportive of assisting first responders with licensing arrangements that enable them to perform their functions and duties. </w:t>
      </w:r>
    </w:p>
    <w:p w14:paraId="366AD51C" w14:textId="77777777" w:rsidR="000E1E1B" w:rsidRDefault="0005560B" w:rsidP="001623ED">
      <w:pPr>
        <w:pStyle w:val="Paragraph"/>
      </w:pPr>
      <w:r>
        <w:t xml:space="preserve">While we note that this technology has been authorised in other jurisdictions, we are of the view that a trial or demonstration of the technology and operational scenarios under the scientific licensing regime would be </w:t>
      </w:r>
      <w:r w:rsidR="00AF752A">
        <w:t>an</w:t>
      </w:r>
      <w:r>
        <w:t xml:space="preserve"> appropriate first step. This preserves the option for the future development of a permanent or ongoing solution in the form of a class licence. </w:t>
      </w:r>
    </w:p>
    <w:p w14:paraId="04B73D57" w14:textId="21A447FF" w:rsidR="0005560B" w:rsidRDefault="0005560B" w:rsidP="001623ED">
      <w:pPr>
        <w:pStyle w:val="Paragraph"/>
        <w:rPr>
          <w:rFonts w:cstheme="minorHAnsi"/>
        </w:rPr>
      </w:pPr>
      <w:r>
        <w:rPr>
          <w:rFonts w:cstheme="minorHAnsi"/>
        </w:rPr>
        <w:t xml:space="preserve">We encourage interested parties to engage with an </w:t>
      </w:r>
      <w:r w:rsidR="00AF752A">
        <w:rPr>
          <w:rFonts w:cstheme="minorHAnsi"/>
        </w:rPr>
        <w:t>AP</w:t>
      </w:r>
      <w:r>
        <w:rPr>
          <w:rFonts w:cstheme="minorHAnsi"/>
        </w:rPr>
        <w:t xml:space="preserve"> on an application for a scientific licence.</w:t>
      </w:r>
    </w:p>
    <w:p w14:paraId="721B266C" w14:textId="1BEC94B2" w:rsidR="00F36F3B" w:rsidRPr="002F22F2" w:rsidRDefault="00F36F3B" w:rsidP="002F22F2">
      <w:pPr>
        <w:pStyle w:val="Heading1"/>
        <w:shd w:val="clear" w:color="auto" w:fill="39457C"/>
        <w:rPr>
          <w:color w:val="FFFFFF" w:themeColor="background1"/>
        </w:rPr>
      </w:pPr>
      <w:bookmarkStart w:id="48" w:name="_Toc146527979"/>
      <w:r w:rsidRPr="002F22F2">
        <w:rPr>
          <w:color w:val="FFFFFF" w:themeColor="background1"/>
        </w:rPr>
        <w:t>Pricing</w:t>
      </w:r>
      <w:bookmarkEnd w:id="48"/>
    </w:p>
    <w:p w14:paraId="21A3AFD3" w14:textId="0EDF4403" w:rsidR="000B49E2" w:rsidRDefault="004C1968" w:rsidP="000B49E2">
      <w:pPr>
        <w:pStyle w:val="Paragraph"/>
      </w:pPr>
      <w:r>
        <w:t xml:space="preserve">One submitter </w:t>
      </w:r>
      <w:r w:rsidR="00C7169F" w:rsidRPr="00C7169F">
        <w:rPr>
          <w:rFonts w:cs="Times New Roman"/>
        </w:rPr>
        <w:t xml:space="preserve">noted their opposition to the introduction of ‘interference protection pricing’ due to </w:t>
      </w:r>
      <w:r w:rsidR="00C7169F">
        <w:rPr>
          <w:rFonts w:cs="Times New Roman"/>
        </w:rPr>
        <w:t>e</w:t>
      </w:r>
      <w:r w:rsidR="00C7169F" w:rsidRPr="00C7169F">
        <w:rPr>
          <w:rFonts w:cs="Times New Roman"/>
        </w:rPr>
        <w:t xml:space="preserve">arth station receivers </w:t>
      </w:r>
      <w:r w:rsidR="00D3148D">
        <w:t>being</w:t>
      </w:r>
      <w:r w:rsidR="000B49E2">
        <w:t xml:space="preserve"> highly sensitive to interference from co-frequency or co-located terrestrial transmitters</w:t>
      </w:r>
      <w:r w:rsidR="00D3148D">
        <w:t>. They note</w:t>
      </w:r>
      <w:r w:rsidR="00312062">
        <w:t>d</w:t>
      </w:r>
      <w:r w:rsidR="00D3148D">
        <w:t xml:space="preserve"> that f</w:t>
      </w:r>
      <w:r w:rsidR="000B49E2">
        <w:t xml:space="preserve">urther increasing the licence tax rate for </w:t>
      </w:r>
      <w:r w:rsidR="002333D9">
        <w:t>e</w:t>
      </w:r>
      <w:r w:rsidR="000B49E2">
        <w:t>arth</w:t>
      </w:r>
      <w:r w:rsidR="002333D9">
        <w:t>-</w:t>
      </w:r>
      <w:r w:rsidR="000B49E2">
        <w:t>receive licences based on the ‘interference protection pricing’ proposal would</w:t>
      </w:r>
      <w:r w:rsidR="00D3148D">
        <w:t>, in their view,</w:t>
      </w:r>
      <w:r w:rsidR="000B49E2">
        <w:t xml:space="preserve"> be a significant disincentive for satellite service providers and operators to operate satellite services in Australia.</w:t>
      </w:r>
    </w:p>
    <w:p w14:paraId="1F9CF2EB" w14:textId="641E5134" w:rsidR="000B49E2" w:rsidRDefault="00D97633" w:rsidP="000B49E2">
      <w:pPr>
        <w:pStyle w:val="Paragraph"/>
      </w:pPr>
      <w:r>
        <w:t>Another submitter</w:t>
      </w:r>
      <w:r w:rsidR="003B3418">
        <w:t xml:space="preserve"> </w:t>
      </w:r>
      <w:r>
        <w:t xml:space="preserve">expressed their appreciation for the </w:t>
      </w:r>
      <w:r w:rsidR="000B49E2">
        <w:t>ACMA’s consideration of the expansion of pricing mechanisms</w:t>
      </w:r>
      <w:r w:rsidR="003B3418">
        <w:t xml:space="preserve"> </w:t>
      </w:r>
      <w:r w:rsidR="00935FBF">
        <w:t>but note</w:t>
      </w:r>
      <w:r w:rsidR="00312062">
        <w:t>d</w:t>
      </w:r>
      <w:r w:rsidR="00935FBF">
        <w:t xml:space="preserve"> the</w:t>
      </w:r>
      <w:r w:rsidR="000B49E2">
        <w:t xml:space="preserve"> importan</w:t>
      </w:r>
      <w:r w:rsidR="00935FBF">
        <w:t xml:space="preserve">ce </w:t>
      </w:r>
      <w:r w:rsidR="003C72DF">
        <w:t>that</w:t>
      </w:r>
      <w:r w:rsidR="000B49E2">
        <w:t xml:space="preserve"> any future </w:t>
      </w:r>
      <w:r w:rsidR="00935FBF">
        <w:t xml:space="preserve">proposals </w:t>
      </w:r>
      <w:r w:rsidR="000B49E2">
        <w:t>careful</w:t>
      </w:r>
      <w:r w:rsidR="00935FBF">
        <w:t xml:space="preserve">ly </w:t>
      </w:r>
      <w:r w:rsidR="000B49E2">
        <w:t>consider the impact that the proliferation of devices may have on existing spectrum-licensed services</w:t>
      </w:r>
      <w:r w:rsidR="003B3418">
        <w:t>, including the</w:t>
      </w:r>
      <w:r w:rsidR="000B49E2">
        <w:t xml:space="preserve"> additional cost </w:t>
      </w:r>
      <w:r w:rsidR="003C72DF">
        <w:t>to</w:t>
      </w:r>
      <w:r w:rsidR="000B49E2">
        <w:t xml:space="preserve"> licensees to manage interference.</w:t>
      </w:r>
    </w:p>
    <w:p w14:paraId="5F81CFD0" w14:textId="0080221F" w:rsidR="00D14BD0" w:rsidRDefault="003C72DF" w:rsidP="000B49E2">
      <w:pPr>
        <w:pStyle w:val="Paragraph"/>
      </w:pPr>
      <w:r>
        <w:t>O</w:t>
      </w:r>
      <w:r w:rsidR="00E52386">
        <w:t xml:space="preserve">ne submitter </w:t>
      </w:r>
      <w:r w:rsidR="000B49E2">
        <w:t>urge</w:t>
      </w:r>
      <w:r w:rsidR="00E52386">
        <w:t>d the</w:t>
      </w:r>
      <w:r w:rsidR="000B49E2">
        <w:t xml:space="preserve"> ACMA to consider policies and tax formulas that specifically reward the use of advanced wireless technology that improves spectrum efficiency and enables sharing both within and across platforms.</w:t>
      </w:r>
    </w:p>
    <w:p w14:paraId="1A4C38A8" w14:textId="14BC75CE" w:rsidR="000B49E2" w:rsidRDefault="006835A4" w:rsidP="006835A4">
      <w:pPr>
        <w:pStyle w:val="Heading3"/>
      </w:pPr>
      <w:r>
        <w:t>Our response</w:t>
      </w:r>
    </w:p>
    <w:p w14:paraId="2390F1D3" w14:textId="77777777" w:rsidR="009F22FB" w:rsidRDefault="003C72DF" w:rsidP="006835A4">
      <w:pPr>
        <w:pStyle w:val="Paragraph"/>
      </w:pPr>
      <w:r>
        <w:t>We use</w:t>
      </w:r>
      <w:r w:rsidR="006835A4">
        <w:t xml:space="preserve"> a mix of planning, licensing and pricing to promote the efficient use of spectrum. </w:t>
      </w:r>
    </w:p>
    <w:p w14:paraId="06E7D8E1" w14:textId="5F0B09F8" w:rsidR="009F22FB" w:rsidRDefault="009F22FB" w:rsidP="009F22FB">
      <w:pPr>
        <w:rPr>
          <w:rStyle w:val="eop"/>
          <w:rFonts w:cs="Arial"/>
          <w:color w:val="000000"/>
          <w:szCs w:val="20"/>
          <w:shd w:val="clear" w:color="auto" w:fill="FFFFFF"/>
        </w:rPr>
      </w:pPr>
      <w:r>
        <w:rPr>
          <w:rStyle w:val="eop"/>
          <w:rFonts w:cs="Arial"/>
          <w:color w:val="000000"/>
          <w:szCs w:val="20"/>
          <w:shd w:val="clear" w:color="auto" w:fill="FFFFFF"/>
        </w:rPr>
        <w:t xml:space="preserve">We consulted on </w:t>
      </w:r>
      <w:r w:rsidR="00A65A01">
        <w:t>pricing reform</w:t>
      </w:r>
      <w:r w:rsidR="00C062B6">
        <w:t>s</w:t>
      </w:r>
      <w:r w:rsidR="00A65A01">
        <w:t xml:space="preserve">, including those that </w:t>
      </w:r>
      <w:r w:rsidR="00073F21">
        <w:t>related</w:t>
      </w:r>
      <w:r w:rsidR="0060540E">
        <w:t xml:space="preserve"> to</w:t>
      </w:r>
      <w:r w:rsidR="00A65A01">
        <w:t xml:space="preserve"> the concept of interference protection</w:t>
      </w:r>
      <w:r w:rsidR="00A65A01">
        <w:rPr>
          <w:rStyle w:val="eop"/>
          <w:rFonts w:cs="Arial"/>
          <w:color w:val="000000"/>
          <w:szCs w:val="20"/>
          <w:shd w:val="clear" w:color="auto" w:fill="FFFFFF"/>
        </w:rPr>
        <w:t xml:space="preserve"> </w:t>
      </w:r>
      <w:r>
        <w:rPr>
          <w:rStyle w:val="eop"/>
          <w:rFonts w:cs="Arial"/>
          <w:color w:val="000000"/>
          <w:szCs w:val="20"/>
          <w:shd w:val="clear" w:color="auto" w:fill="FFFFFF"/>
        </w:rPr>
        <w:t xml:space="preserve">in Q1 2023. We </w:t>
      </w:r>
      <w:hyperlink r:id="rId45" w:history="1">
        <w:r>
          <w:rPr>
            <w:rStyle w:val="Hyperlink"/>
          </w:rPr>
          <w:t>responded to submissions</w:t>
        </w:r>
      </w:hyperlink>
      <w:r>
        <w:t xml:space="preserve"> </w:t>
      </w:r>
      <w:r>
        <w:rPr>
          <w:rStyle w:val="eop"/>
          <w:rFonts w:cs="Arial"/>
          <w:color w:val="000000"/>
          <w:szCs w:val="20"/>
          <w:shd w:val="clear" w:color="auto" w:fill="FFFFFF"/>
        </w:rPr>
        <w:t>in Q3 2023 and, as part of that response</w:t>
      </w:r>
      <w:r w:rsidR="009E3C92">
        <w:rPr>
          <w:rStyle w:val="eop"/>
          <w:rFonts w:cs="Arial"/>
          <w:color w:val="000000"/>
          <w:szCs w:val="20"/>
          <w:shd w:val="clear" w:color="auto" w:fill="FFFFFF"/>
        </w:rPr>
        <w:t>,</w:t>
      </w:r>
      <w:r>
        <w:rPr>
          <w:rStyle w:val="eop"/>
          <w:rFonts w:cs="Arial"/>
          <w:color w:val="000000"/>
          <w:szCs w:val="20"/>
          <w:shd w:val="clear" w:color="auto" w:fill="FFFFFF"/>
        </w:rPr>
        <w:t xml:space="preserve"> we noted that we still see merit in the </w:t>
      </w:r>
      <w:r w:rsidR="004F4DAC">
        <w:rPr>
          <w:rStyle w:val="eop"/>
          <w:rFonts w:cs="Arial"/>
          <w:color w:val="000000"/>
          <w:szCs w:val="20"/>
          <w:shd w:val="clear" w:color="auto" w:fill="FFFFFF"/>
        </w:rPr>
        <w:t>concept</w:t>
      </w:r>
      <w:r>
        <w:t xml:space="preserve"> and</w:t>
      </w:r>
      <w:r w:rsidRPr="00E67B26">
        <w:t xml:space="preserve"> intend to pursue these matters, where appropriate, as part of individual planning, licensing or pricing reviews where the ACMA and stakeholders can consider the matters in detail</w:t>
      </w:r>
      <w:r>
        <w:rPr>
          <w:rStyle w:val="eop"/>
          <w:rFonts w:cs="Arial"/>
          <w:color w:val="000000"/>
          <w:szCs w:val="20"/>
          <w:shd w:val="clear" w:color="auto" w:fill="FFFFFF"/>
        </w:rPr>
        <w:t>.</w:t>
      </w:r>
    </w:p>
    <w:p w14:paraId="30D95115" w14:textId="37285845" w:rsidR="006835A4" w:rsidRDefault="006835A4" w:rsidP="006835A4">
      <w:pPr>
        <w:pStyle w:val="Paragraph"/>
      </w:pPr>
    </w:p>
    <w:p w14:paraId="4A736C9A" w14:textId="08A45F1B" w:rsidR="00D14BD0" w:rsidRPr="002F22F2" w:rsidRDefault="00D14BD0" w:rsidP="002F22F2">
      <w:pPr>
        <w:pStyle w:val="Heading1"/>
        <w:shd w:val="clear" w:color="auto" w:fill="39457C"/>
        <w:rPr>
          <w:color w:val="FFFFFF" w:themeColor="background1"/>
        </w:rPr>
      </w:pPr>
      <w:bookmarkStart w:id="49" w:name="_Toc146527980"/>
      <w:r w:rsidRPr="002F22F2">
        <w:rPr>
          <w:color w:val="FFFFFF" w:themeColor="background1"/>
        </w:rPr>
        <w:t>Compliance</w:t>
      </w:r>
      <w:bookmarkEnd w:id="49"/>
      <w:r w:rsidRPr="002F22F2">
        <w:rPr>
          <w:color w:val="FFFFFF" w:themeColor="background1"/>
        </w:rPr>
        <w:t xml:space="preserve"> </w:t>
      </w:r>
    </w:p>
    <w:p w14:paraId="0DA28DCA" w14:textId="1B928DDB" w:rsidR="00C763D1" w:rsidRDefault="002247D8" w:rsidP="002333D9">
      <w:pPr>
        <w:pStyle w:val="Paragraph"/>
      </w:pPr>
      <w:r>
        <w:t xml:space="preserve">Submitters were supportive of the ACMA’s </w:t>
      </w:r>
      <w:r w:rsidR="00F0707E" w:rsidRPr="00F0707E">
        <w:t xml:space="preserve">ongoing compliance </w:t>
      </w:r>
      <w:r w:rsidR="00F0707E">
        <w:t xml:space="preserve">efforts. </w:t>
      </w:r>
      <w:r w:rsidR="00C763D1">
        <w:t>In particular, one submitter</w:t>
      </w:r>
      <w:r w:rsidR="00136D1C">
        <w:t xml:space="preserve"> </w:t>
      </w:r>
      <w:r w:rsidR="00C763D1">
        <w:t>noted their s</w:t>
      </w:r>
      <w:r w:rsidR="00C763D1" w:rsidRPr="0050338C">
        <w:t>upport for the ACMA to</w:t>
      </w:r>
      <w:r w:rsidR="00C763D1">
        <w:t xml:space="preserve"> </w:t>
      </w:r>
      <w:r w:rsidR="00C763D1" w:rsidRPr="0050338C">
        <w:t>remain heavily involved in and leading on compliance and international regulatory activities</w:t>
      </w:r>
      <w:r w:rsidR="00AB4665">
        <w:t xml:space="preserve"> and urged the ACMA </w:t>
      </w:r>
      <w:r w:rsidR="00C763D1" w:rsidRPr="006075CC">
        <w:t>to minimise the risk of</w:t>
      </w:r>
      <w:r w:rsidR="00C763D1">
        <w:t xml:space="preserve"> </w:t>
      </w:r>
      <w:r w:rsidR="00C763D1" w:rsidRPr="006075CC">
        <w:t xml:space="preserve">interference to spectrum licensed services </w:t>
      </w:r>
      <w:r w:rsidR="00AB4665">
        <w:t xml:space="preserve">by </w:t>
      </w:r>
      <w:r w:rsidR="00AB4665" w:rsidRPr="006075CC">
        <w:t>support</w:t>
      </w:r>
      <w:r w:rsidR="00AB4665">
        <w:t xml:space="preserve">ing </w:t>
      </w:r>
      <w:r w:rsidR="00AB4665" w:rsidRPr="006075CC">
        <w:t>compliance with licence conditions and relevant technical frameworks</w:t>
      </w:r>
      <w:r w:rsidR="00AB4665">
        <w:t>.</w:t>
      </w:r>
    </w:p>
    <w:p w14:paraId="28D05E67" w14:textId="1EFDCB7C" w:rsidR="0009775E" w:rsidRDefault="00AB4665" w:rsidP="001623ED">
      <w:pPr>
        <w:pStyle w:val="Paragraph"/>
      </w:pPr>
      <w:r>
        <w:t xml:space="preserve">Another submitter </w:t>
      </w:r>
      <w:r w:rsidR="00792134">
        <w:t>sign</w:t>
      </w:r>
      <w:r w:rsidR="002523FA">
        <w:t>alled their support for the ACMA’s</w:t>
      </w:r>
      <w:r w:rsidR="0009775E" w:rsidRPr="003B5A7B">
        <w:t xml:space="preserve"> ongoing compliance focus </w:t>
      </w:r>
      <w:r w:rsidR="00F2379D">
        <w:t>on</w:t>
      </w:r>
      <w:r w:rsidR="00F2379D" w:rsidRPr="003B5A7B">
        <w:t xml:space="preserve"> </w:t>
      </w:r>
      <w:r w:rsidR="0009775E" w:rsidRPr="003B5A7B">
        <w:t>5G EME compliance and interference</w:t>
      </w:r>
      <w:r w:rsidR="002523FA">
        <w:t xml:space="preserve">. </w:t>
      </w:r>
      <w:r w:rsidR="00F2379D">
        <w:t>T</w:t>
      </w:r>
      <w:r w:rsidR="002523FA">
        <w:t>hey note</w:t>
      </w:r>
      <w:r w:rsidR="006370B7">
        <w:t>d</w:t>
      </w:r>
      <w:r w:rsidR="002523FA">
        <w:t xml:space="preserve"> an</w:t>
      </w:r>
      <w:r w:rsidR="0009775E" w:rsidRPr="00CB3823">
        <w:t xml:space="preserve"> increased potential for interference to existing spectrum</w:t>
      </w:r>
      <w:r w:rsidR="00F2379D">
        <w:t>-</w:t>
      </w:r>
      <w:r w:rsidR="0009775E" w:rsidRPr="00CB3823">
        <w:t>licensed services and urge</w:t>
      </w:r>
      <w:r w:rsidR="006370B7">
        <w:t>d</w:t>
      </w:r>
      <w:r w:rsidR="0009775E" w:rsidRPr="00CB3823">
        <w:t xml:space="preserve"> the ACMA to ensure that interference management arrangements</w:t>
      </w:r>
      <w:r w:rsidR="002523FA">
        <w:t xml:space="preserve"> and </w:t>
      </w:r>
      <w:r w:rsidR="0009775E" w:rsidRPr="00CB3823">
        <w:t>resourcing</w:t>
      </w:r>
      <w:r w:rsidR="004255DB">
        <w:t xml:space="preserve"> continue</w:t>
      </w:r>
      <w:r w:rsidR="0009775E" w:rsidRPr="00CB3823">
        <w:t xml:space="preserve">. </w:t>
      </w:r>
      <w:r w:rsidR="00E85DDD">
        <w:t>They note</w:t>
      </w:r>
      <w:r w:rsidR="006370B7">
        <w:t>d</w:t>
      </w:r>
      <w:r w:rsidR="00E85DDD">
        <w:t xml:space="preserve"> their concern for </w:t>
      </w:r>
      <w:r w:rsidR="0009775E" w:rsidRPr="00CB3823">
        <w:t>potential interference that may arise from the revised banned equipment and exemptions framework and encourage</w:t>
      </w:r>
      <w:r w:rsidR="006370B7">
        <w:t>d</w:t>
      </w:r>
      <w:r w:rsidR="0009775E" w:rsidRPr="00CB3823">
        <w:t xml:space="preserve"> the ACMA to proactively monitor compliance of exempt parties with new notification and record</w:t>
      </w:r>
      <w:r w:rsidR="00F2379D">
        <w:t>-</w:t>
      </w:r>
      <w:r w:rsidR="0009775E" w:rsidRPr="00CB3823">
        <w:t>keeping requirements</w:t>
      </w:r>
      <w:r w:rsidR="00835DEB">
        <w:t>.</w:t>
      </w:r>
    </w:p>
    <w:p w14:paraId="7E86B14B" w14:textId="1BAB73C9" w:rsidR="00AB4665" w:rsidRPr="00AB4665" w:rsidRDefault="00B761B3" w:rsidP="00B761B3">
      <w:pPr>
        <w:pStyle w:val="Heading3"/>
      </w:pPr>
      <w:r>
        <w:t>Our response</w:t>
      </w:r>
    </w:p>
    <w:p w14:paraId="3A51A4C9" w14:textId="25026258" w:rsidR="00033C01" w:rsidRDefault="00212ABD" w:rsidP="0059762C">
      <w:pPr>
        <w:pStyle w:val="Paragraph"/>
      </w:pPr>
      <w:r>
        <w:t>Our</w:t>
      </w:r>
      <w:r w:rsidR="00B761B3" w:rsidRPr="00B761B3">
        <w:t xml:space="preserve"> current compliance programs include a focus on licensing integrity in the low power open narrowcast market. Licen</w:t>
      </w:r>
      <w:r w:rsidR="0059762C">
        <w:t>s</w:t>
      </w:r>
      <w:r w:rsidR="00B761B3" w:rsidRPr="00B761B3">
        <w:t xml:space="preserve">ing integrity has also </w:t>
      </w:r>
      <w:r w:rsidR="00B761B3" w:rsidRPr="0059762C">
        <w:t>been</w:t>
      </w:r>
      <w:r w:rsidR="00B761B3" w:rsidRPr="00B761B3">
        <w:t xml:space="preserve"> a focus of several previous ACMA compliance priority programs</w:t>
      </w:r>
      <w:r>
        <w:t xml:space="preserve"> and we will continue to </w:t>
      </w:r>
      <w:r w:rsidR="00AF3ADE">
        <w:t>work to</w:t>
      </w:r>
      <w:r w:rsidR="00281F42">
        <w:t xml:space="preserve"> enforce</w:t>
      </w:r>
      <w:r w:rsidR="00AF3ADE" w:rsidRPr="00AF3ADE">
        <w:t xml:space="preserve"> compliance with licence conditions and relevant technical frameworks.</w:t>
      </w:r>
    </w:p>
    <w:p w14:paraId="11BBCD4F" w14:textId="21AE7BB8" w:rsidR="00212ABD" w:rsidRDefault="00212ABD" w:rsidP="00212ABD">
      <w:pPr>
        <w:spacing w:after="160" w:line="259" w:lineRule="auto"/>
        <w:rPr>
          <w:rFonts w:cstheme="minorHAnsi"/>
        </w:rPr>
      </w:pPr>
      <w:r>
        <w:rPr>
          <w:rFonts w:cstheme="minorHAnsi"/>
        </w:rPr>
        <w:t xml:space="preserve">We do not expect incidents of interference to radiocommunications to increase as a result of our implementation of the updated banned equipment and exemption framework. The updated framework continues to ensure that high-risk equipment designed to cause interference is subject to a comprehensive ban. Persons authorised to conduct small-scale operational testing of banned equipment under the Innovation and Industry Development Exemption Framework are subject to mandatory notification arrangements, and use of banned equipment </w:t>
      </w:r>
      <w:r w:rsidR="0059762C">
        <w:rPr>
          <w:rFonts w:cstheme="minorHAnsi"/>
        </w:rPr>
        <w:t xml:space="preserve">by law enforcement </w:t>
      </w:r>
      <w:r>
        <w:rPr>
          <w:rFonts w:cstheme="minorHAnsi"/>
        </w:rPr>
        <w:t xml:space="preserve">continues to operate as intended. </w:t>
      </w:r>
    </w:p>
    <w:p w14:paraId="42CAB128" w14:textId="3D6883D0" w:rsidR="00212ABD" w:rsidRDefault="00212ABD" w:rsidP="00212ABD">
      <w:pPr>
        <w:pStyle w:val="Paragraph"/>
        <w:rPr>
          <w:rFonts w:cstheme="minorHAnsi"/>
        </w:rPr>
      </w:pPr>
      <w:r>
        <w:rPr>
          <w:rFonts w:cstheme="minorHAnsi"/>
        </w:rPr>
        <w:t>Incidents of interference – be they attributable to banned equipment or other radiocommunications devices – are dealt with in accordance with our approach to compliance and enforcement.</w:t>
      </w:r>
    </w:p>
    <w:p w14:paraId="688BABBF" w14:textId="529D4A1A" w:rsidR="009A1EBE" w:rsidRDefault="009A1EBE" w:rsidP="00212ABD">
      <w:pPr>
        <w:pStyle w:val="Paragraph"/>
      </w:pPr>
      <w:r>
        <w:t>We</w:t>
      </w:r>
      <w:r w:rsidRPr="009A1EBE">
        <w:t xml:space="preserve"> will continue to work closely with international regulators and take part in global forums to deliver the best results for Australians and the Australian communications industry</w:t>
      </w:r>
      <w:r>
        <w:t>.</w:t>
      </w:r>
    </w:p>
    <w:p w14:paraId="61E0DF6D" w14:textId="3792A2E0" w:rsidR="00033C01" w:rsidRPr="002F22F2" w:rsidRDefault="00033C01" w:rsidP="002F22F2">
      <w:pPr>
        <w:pStyle w:val="Heading1"/>
        <w:shd w:val="clear" w:color="auto" w:fill="39457C"/>
        <w:rPr>
          <w:color w:val="FFFFFF" w:themeColor="background1"/>
        </w:rPr>
      </w:pPr>
      <w:bookmarkStart w:id="50" w:name="_Toc146527981"/>
      <w:r w:rsidRPr="002F22F2">
        <w:rPr>
          <w:color w:val="FFFFFF" w:themeColor="background1"/>
        </w:rPr>
        <w:t>Sunsetting instruments</w:t>
      </w:r>
      <w:bookmarkEnd w:id="50"/>
    </w:p>
    <w:p w14:paraId="104921CB" w14:textId="183A0329" w:rsidR="00B17EE7" w:rsidRDefault="00120069" w:rsidP="00D414E9">
      <w:pPr>
        <w:pStyle w:val="Paragraph"/>
      </w:pPr>
      <w:r>
        <w:t xml:space="preserve">There are a range of instruments due to sunset </w:t>
      </w:r>
      <w:r w:rsidR="00B17EE7">
        <w:t>in 2023</w:t>
      </w:r>
      <w:r w:rsidR="0059762C">
        <w:t>–</w:t>
      </w:r>
      <w:r w:rsidR="00B17EE7">
        <w:t xml:space="preserve">24. </w:t>
      </w:r>
      <w:r w:rsidR="00085569">
        <w:t xml:space="preserve">Of particular interest to submitters were the </w:t>
      </w:r>
      <w:r w:rsidR="008F3DE3">
        <w:t xml:space="preserve">sunsetting instruments relating to </w:t>
      </w:r>
      <w:r w:rsidR="00CC7F73">
        <w:t>l</w:t>
      </w:r>
      <w:r w:rsidR="00304B02" w:rsidRPr="00304B02">
        <w:t xml:space="preserve">ow power open narrowcasting </w:t>
      </w:r>
      <w:r w:rsidR="00304B02">
        <w:t>(</w:t>
      </w:r>
      <w:r w:rsidR="00E164EE">
        <w:t>LPON</w:t>
      </w:r>
      <w:r w:rsidR="00304B02">
        <w:t>)</w:t>
      </w:r>
      <w:r w:rsidR="00E164EE">
        <w:t xml:space="preserve">, </w:t>
      </w:r>
      <w:r w:rsidR="00CC7F73">
        <w:t>high</w:t>
      </w:r>
      <w:r w:rsidR="00CC7F73" w:rsidRPr="00CC7F73">
        <w:t xml:space="preserve"> power open narrowcasting </w:t>
      </w:r>
      <w:r w:rsidR="00CC7F73">
        <w:t>(</w:t>
      </w:r>
      <w:r w:rsidR="00E164EE">
        <w:t>HPON</w:t>
      </w:r>
      <w:r w:rsidR="00CC7F73">
        <w:t>)</w:t>
      </w:r>
      <w:r w:rsidR="00E164EE">
        <w:t>, and broadcasting.</w:t>
      </w:r>
    </w:p>
    <w:p w14:paraId="66C3CF4C" w14:textId="1F7CAED9" w:rsidR="00364435" w:rsidRDefault="00364435" w:rsidP="00364435">
      <w:pPr>
        <w:pStyle w:val="Paragraph"/>
      </w:pPr>
      <w:r>
        <w:t xml:space="preserve">Submitters shared views on the </w:t>
      </w:r>
      <w:r w:rsidRPr="001623ED">
        <w:t>Radiocommunications Licence Conditions (Broadcasting Licence) Determination 2015</w:t>
      </w:r>
      <w:r>
        <w:rPr>
          <w:i/>
          <w:iCs/>
        </w:rPr>
        <w:t xml:space="preserve">, </w:t>
      </w:r>
      <w:r>
        <w:t xml:space="preserve">specifically regarding </w:t>
      </w:r>
      <w:r w:rsidR="00AD5924">
        <w:t xml:space="preserve">maximum allowed </w:t>
      </w:r>
      <w:r>
        <w:t>field strength. They posit</w:t>
      </w:r>
      <w:r w:rsidR="00334350">
        <w:t>ed</w:t>
      </w:r>
      <w:r>
        <w:t xml:space="preserve"> that the current requirements are not fit for purpose and </w:t>
      </w:r>
      <w:r w:rsidR="00334350">
        <w:t xml:space="preserve">should </w:t>
      </w:r>
      <w:r>
        <w:t>be removed and replaced with a maximum Effective Radiated Power (ERP) of 1W for LPONs in residential areas and 10 watts for LPONs in non-residential areas</w:t>
      </w:r>
      <w:r w:rsidR="00283684">
        <w:t xml:space="preserve"> with the condition that i</w:t>
      </w:r>
      <w:r>
        <w:t xml:space="preserve">f </w:t>
      </w:r>
      <w:r w:rsidR="00DE2A47">
        <w:t>the</w:t>
      </w:r>
      <w:r>
        <w:t xml:space="preserve"> signal </w:t>
      </w:r>
      <w:r w:rsidR="00DE2A47">
        <w:t>cause</w:t>
      </w:r>
      <w:r w:rsidR="00B367C7">
        <w:t>s</w:t>
      </w:r>
      <w:r w:rsidR="00DE2A47">
        <w:t xml:space="preserve"> interference </w:t>
      </w:r>
      <w:r>
        <w:t xml:space="preserve">beyond the designated 2km or 10km service area radius, then the 48dBuV/m </w:t>
      </w:r>
      <w:r w:rsidR="00F60DD7">
        <w:t>threshold</w:t>
      </w:r>
      <w:r>
        <w:t xml:space="preserve"> </w:t>
      </w:r>
      <w:r w:rsidR="00980CAD">
        <w:t>should</w:t>
      </w:r>
      <w:r>
        <w:t xml:space="preserve"> apply. </w:t>
      </w:r>
    </w:p>
    <w:p w14:paraId="612DA73A" w14:textId="5AE27009" w:rsidR="002825A4" w:rsidRDefault="00F75769" w:rsidP="002825A4">
      <w:pPr>
        <w:pStyle w:val="Paragraph"/>
      </w:pPr>
      <w:r>
        <w:t xml:space="preserve">One submitter </w:t>
      </w:r>
      <w:r w:rsidR="002825A4">
        <w:t xml:space="preserve">signalled their support for remaking the </w:t>
      </w:r>
      <w:r w:rsidR="002825A4" w:rsidRPr="001623ED">
        <w:t>Radiocommunications</w:t>
      </w:r>
      <w:r w:rsidR="00A12184" w:rsidRPr="001623ED">
        <w:t xml:space="preserve"> (Allocation of Transmitter Licences – High Power Open Narrowcasting Licences) Determination</w:t>
      </w:r>
      <w:r w:rsidR="005832D2" w:rsidRPr="0059762C">
        <w:t xml:space="preserve">. </w:t>
      </w:r>
      <w:r w:rsidR="005832D2" w:rsidRPr="005832D2">
        <w:t xml:space="preserve">They raised </w:t>
      </w:r>
      <w:r w:rsidR="00A12184">
        <w:t>concern</w:t>
      </w:r>
      <w:r w:rsidR="005832D2">
        <w:t>s</w:t>
      </w:r>
      <w:r w:rsidR="00A12184">
        <w:t xml:space="preserve"> </w:t>
      </w:r>
      <w:r w:rsidR="00AE17B2">
        <w:t>surrounding</w:t>
      </w:r>
      <w:r w:rsidR="00A12184">
        <w:t xml:space="preserve"> </w:t>
      </w:r>
      <w:r w:rsidR="002825A4">
        <w:t>in-car FM transmitters connect</w:t>
      </w:r>
      <w:r w:rsidR="00A12184">
        <w:t>ed</w:t>
      </w:r>
      <w:r w:rsidR="002825A4">
        <w:t xml:space="preserve"> to phones via </w:t>
      </w:r>
      <w:r w:rsidR="00A12184">
        <w:t>Bluetooth</w:t>
      </w:r>
      <w:r w:rsidR="002825A4">
        <w:t xml:space="preserve"> or USB leads and re-broadcast</w:t>
      </w:r>
      <w:r w:rsidR="00726308">
        <w:t xml:space="preserve"> of</w:t>
      </w:r>
      <w:r w:rsidR="002825A4">
        <w:t xml:space="preserve"> the signal on 87.5</w:t>
      </w:r>
      <w:r w:rsidR="0059762C">
        <w:t>–</w:t>
      </w:r>
      <w:r w:rsidR="008D35AE">
        <w:t>88</w:t>
      </w:r>
      <w:r w:rsidR="002825A4">
        <w:t xml:space="preserve"> MHz (FM transmitter frequencies</w:t>
      </w:r>
      <w:r w:rsidR="0037235B">
        <w:t xml:space="preserve"> predominantly used by LPONs</w:t>
      </w:r>
      <w:r w:rsidR="002825A4">
        <w:t>) into car radios</w:t>
      </w:r>
      <w:r w:rsidR="000A4389">
        <w:t>, causing interference to LPONs.</w:t>
      </w:r>
    </w:p>
    <w:p w14:paraId="6458AE3C" w14:textId="77777777" w:rsidR="00364435" w:rsidRDefault="00364435" w:rsidP="00364435">
      <w:pPr>
        <w:pStyle w:val="Heading3"/>
      </w:pPr>
      <w:r>
        <w:t>Our response</w:t>
      </w:r>
    </w:p>
    <w:p w14:paraId="39211355" w14:textId="2AD940BB" w:rsidR="00364435" w:rsidRDefault="00364435" w:rsidP="00364435">
      <w:r>
        <w:t>In</w:t>
      </w:r>
      <w:r w:rsidR="0059762C">
        <w:t>-</w:t>
      </w:r>
      <w:r>
        <w:t>car FM transmitter devices (wireless audio transmitters and auditory assistance transmitters) are typically very low power (10 microwatts) and provide only a few metres radius of coverage. The risk of these devices causing interference is very low. Interference would be brief and transient when the device is used in a car. The frequency that these devices operate on is random (88</w:t>
      </w:r>
      <w:r w:rsidR="000C308B">
        <w:t xml:space="preserve"> </w:t>
      </w:r>
      <w:r>
        <w:t>MHz–108</w:t>
      </w:r>
      <w:r w:rsidR="000C308B">
        <w:t xml:space="preserve"> </w:t>
      </w:r>
      <w:r>
        <w:t>MHz)</w:t>
      </w:r>
      <w:r w:rsidR="0059762C">
        <w:t>,</w:t>
      </w:r>
      <w:r>
        <w:t xml:space="preserve"> however</w:t>
      </w:r>
      <w:r w:rsidR="0059762C">
        <w:t>,</w:t>
      </w:r>
      <w:r>
        <w:t xml:space="preserve"> there is some evidence to support that they are more likely to operate at the bottom end of the FM band (close to 88</w:t>
      </w:r>
      <w:r w:rsidR="00B46B09">
        <w:t xml:space="preserve"> </w:t>
      </w:r>
      <w:r>
        <w:t>MHz). Non-compliant FM transmitters (100 microwatts to 1 watt or more) may be purchased online from overseas. These are typically not used as wireless audio transmitters or auditory assistance transmitters (in</w:t>
      </w:r>
      <w:r w:rsidR="0059762C">
        <w:t>-</w:t>
      </w:r>
      <w:r>
        <w:t xml:space="preserve">car). The number of interferences cases </w:t>
      </w:r>
      <w:r w:rsidR="00AB7ABF">
        <w:t>we</w:t>
      </w:r>
      <w:r>
        <w:t xml:space="preserve"> have dealt with relating to non-compliant FM transmitters is very low – </w:t>
      </w:r>
      <w:r w:rsidR="00AB7ABF">
        <w:t>one or 2</w:t>
      </w:r>
      <w:r>
        <w:t xml:space="preserve"> per year at most.</w:t>
      </w:r>
    </w:p>
    <w:p w14:paraId="44EF6E0F" w14:textId="18E775E6" w:rsidR="00364435" w:rsidRDefault="00364435" w:rsidP="00364435">
      <w:r>
        <w:t>We note that current LPON compliance audit activities have focused on the operating power of transmitters</w:t>
      </w:r>
      <w:r w:rsidR="0059762C">
        <w:t>,</w:t>
      </w:r>
      <w:r>
        <w:t xml:space="preserve"> not field strength measurements. In managing compliance matters</w:t>
      </w:r>
      <w:r w:rsidR="0059762C">
        <w:t>,</w:t>
      </w:r>
      <w:r>
        <w:t xml:space="preserve"> </w:t>
      </w:r>
      <w:r w:rsidR="00AB7ABF">
        <w:t>we have</w:t>
      </w:r>
      <w:r>
        <w:t xml:space="preserve"> generally only considered the field strength compliance requirements </w:t>
      </w:r>
      <w:r w:rsidR="0059762C">
        <w:t>in</w:t>
      </w:r>
      <w:r>
        <w:t xml:space="preserve"> reports of interference</w:t>
      </w:r>
      <w:r w:rsidR="004D7078">
        <w:t>.</w:t>
      </w:r>
      <w:r>
        <w:t xml:space="preserve"> </w:t>
      </w:r>
    </w:p>
    <w:p w14:paraId="305E088C" w14:textId="4CB2C970" w:rsidR="00364435" w:rsidRDefault="00364435" w:rsidP="00364435">
      <w:r>
        <w:t xml:space="preserve">Currently, we do not support the removal of the requirement to have a received signal </w:t>
      </w:r>
      <w:r w:rsidR="00B46B09">
        <w:t xml:space="preserve">field </w:t>
      </w:r>
      <w:r w:rsidR="00E74559">
        <w:t>strength</w:t>
      </w:r>
      <w:r w:rsidR="00F82061">
        <w:t xml:space="preserve"> </w:t>
      </w:r>
      <w:r>
        <w:t xml:space="preserve">of no greater than 48 dBμV/m at 2km for a 1 </w:t>
      </w:r>
      <w:r w:rsidR="00626B29">
        <w:t>W</w:t>
      </w:r>
      <w:r>
        <w:t xml:space="preserve"> FM service (or </w:t>
      </w:r>
      <w:r w:rsidR="00826B7D">
        <w:t>48 </w:t>
      </w:r>
      <w:r>
        <w:t xml:space="preserve">dBμV/m at 10km for a 10 </w:t>
      </w:r>
      <w:r w:rsidR="00626B29">
        <w:t>W</w:t>
      </w:r>
      <w:r>
        <w:t xml:space="preserve"> service)</w:t>
      </w:r>
      <w:r w:rsidR="0081748F">
        <w:t>,</w:t>
      </w:r>
      <w:r>
        <w:t xml:space="preserve"> as this requirement is necessary for planning channel</w:t>
      </w:r>
      <w:r w:rsidR="00E069A1">
        <w:t>s for</w:t>
      </w:r>
      <w:r>
        <w:t xml:space="preserve"> LPONs to provide maximum spectrum use.</w:t>
      </w:r>
    </w:p>
    <w:p w14:paraId="5877CCED" w14:textId="7590D4B1" w:rsidR="00332041" w:rsidRPr="0038571C" w:rsidRDefault="00C80A2B" w:rsidP="000A4389">
      <w:pPr>
        <w:pStyle w:val="Paragraph"/>
      </w:pPr>
      <w:r>
        <w:t xml:space="preserve">Consideration of the </w:t>
      </w:r>
      <w:r w:rsidR="005A2B0F" w:rsidRPr="005A2B0F">
        <w:t>Radiocommunications (Allocation of Transmitter Licences – Low Power Open Narrowcasting Licences) Determination 2015</w:t>
      </w:r>
      <w:r>
        <w:t xml:space="preserve">and </w:t>
      </w:r>
      <w:r w:rsidR="002E4612" w:rsidRPr="002E4612">
        <w:t>Radiocommunications (Allocation of Transmitter Licences – High Powered Open Narrowcasting Licences) Determination 2014</w:t>
      </w:r>
      <w:r w:rsidR="002E4612">
        <w:t xml:space="preserve"> </w:t>
      </w:r>
      <w:r>
        <w:t xml:space="preserve">is on track as per the FYSO timeline, and consultation </w:t>
      </w:r>
      <w:r w:rsidR="00B8359B">
        <w:t>will occur by</w:t>
      </w:r>
      <w:r>
        <w:t xml:space="preserve"> Q1 2024.</w:t>
      </w:r>
    </w:p>
    <w:sectPr w:rsidR="00332041" w:rsidRPr="0038571C" w:rsidSect="00C77380">
      <w:headerReference w:type="even" r:id="rId46"/>
      <w:headerReference w:type="default" r:id="rId47"/>
      <w:footerReference w:type="even" r:id="rId48"/>
      <w:footerReference w:type="default" r:id="rId4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7B52" w14:textId="77777777" w:rsidR="006B498C" w:rsidRDefault="006B498C">
      <w:r>
        <w:separator/>
      </w:r>
    </w:p>
  </w:endnote>
  <w:endnote w:type="continuationSeparator" w:id="0">
    <w:p w14:paraId="27F30DD0" w14:textId="77777777" w:rsidR="006B498C" w:rsidRDefault="006B498C">
      <w:r>
        <w:continuationSeparator/>
      </w:r>
    </w:p>
  </w:endnote>
  <w:endnote w:type="continuationNotice" w:id="1">
    <w:p w14:paraId="7F60FF79" w14:textId="77777777" w:rsidR="006B498C" w:rsidRDefault="006B4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A59E" w14:textId="77777777" w:rsidR="005E250B" w:rsidRDefault="005E250B" w:rsidP="005E250B">
    <w:pPr>
      <w:pStyle w:val="Footer"/>
      <w:jc w:val="right"/>
    </w:pPr>
    <w:r w:rsidRPr="005E250B">
      <w:rPr>
        <w:noProof/>
        <w:vertAlign w:val="subscript"/>
      </w:rPr>
      <w:drawing>
        <wp:inline distT="0" distB="0" distL="0" distR="0" wp14:anchorId="5AF926F6" wp14:editId="23588EF3">
          <wp:extent cx="1066800" cy="277368"/>
          <wp:effectExtent l="0" t="0" r="0" b="0"/>
          <wp:docPr id="3" name="Picture 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C6A6"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3B90"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798"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4B51D23F"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B8A8"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FB90EC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3CD7"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0BDD34F"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BEF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94F252D"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F854"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0B64AA3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F7A5" w14:textId="77777777" w:rsidR="006B498C" w:rsidRDefault="006B498C" w:rsidP="00DB3A64">
      <w:pPr>
        <w:spacing w:after="0"/>
      </w:pPr>
      <w:r>
        <w:separator/>
      </w:r>
    </w:p>
  </w:footnote>
  <w:footnote w:type="continuationSeparator" w:id="0">
    <w:p w14:paraId="0A0AFB08" w14:textId="77777777" w:rsidR="006B498C" w:rsidRDefault="006B498C">
      <w:r>
        <w:continuationSeparator/>
      </w:r>
    </w:p>
  </w:footnote>
  <w:footnote w:type="continuationNotice" w:id="1">
    <w:p w14:paraId="3FD5DDD2" w14:textId="77777777" w:rsidR="006B498C" w:rsidRDefault="006B498C">
      <w:pPr>
        <w:spacing w:after="0" w:line="240" w:lineRule="auto"/>
      </w:pPr>
    </w:p>
  </w:footnote>
  <w:footnote w:id="2">
    <w:p w14:paraId="75A5DCE1" w14:textId="49481DEB" w:rsidR="00176D73" w:rsidRDefault="00176D73">
      <w:pPr>
        <w:pStyle w:val="FootnoteText"/>
      </w:pPr>
      <w:r>
        <w:rPr>
          <w:rStyle w:val="FootnoteReference"/>
        </w:rPr>
        <w:footnoteRef/>
      </w:r>
      <w:r>
        <w:t xml:space="preserve"> Refer section</w:t>
      </w:r>
      <w:r w:rsidR="00C75472">
        <w:t xml:space="preserve"> </w:t>
      </w:r>
      <w:r w:rsidR="00B71973" w:rsidRPr="00B71973">
        <w:t>3.5.6</w:t>
      </w:r>
      <w:r w:rsidR="00B71973">
        <w:t xml:space="preserve"> </w:t>
      </w:r>
      <w:r w:rsidR="00B71973" w:rsidRPr="00B71973">
        <w:t>Protection for the Mid-West Radio Quiet Zone</w:t>
      </w:r>
      <w:r w:rsidR="00B71973">
        <w:t xml:space="preserve"> in the procedures.</w:t>
      </w:r>
    </w:p>
  </w:footnote>
  <w:footnote w:id="3">
    <w:p w14:paraId="54CD0E4E" w14:textId="389E74A5" w:rsidR="00247595" w:rsidRDefault="00247595">
      <w:pPr>
        <w:pStyle w:val="FootnoteText"/>
      </w:pPr>
      <w:r>
        <w:rPr>
          <w:rStyle w:val="FootnoteReference"/>
        </w:rPr>
        <w:footnoteRef/>
      </w:r>
      <w:r>
        <w:t xml:space="preserve"> </w:t>
      </w:r>
      <w:bookmarkStart w:id="8" w:name="_Hlk107381517"/>
      <w:r w:rsidR="00C75472">
        <w:t>Special condition RQZ1 states</w:t>
      </w:r>
      <w:r w:rsidR="007676B0">
        <w:t>, ‘</w:t>
      </w:r>
      <w:r>
        <w:t>E</w:t>
      </w:r>
      <w:r w:rsidRPr="00F344C0">
        <w:t>arth station transmitter</w:t>
      </w:r>
      <w:r>
        <w:t>s</w:t>
      </w:r>
      <w:r w:rsidRPr="00F344C0">
        <w:t xml:space="preserve"> on land </w:t>
      </w:r>
      <w:r>
        <w:t xml:space="preserve">associated with this space station </w:t>
      </w:r>
      <w:r w:rsidRPr="00F344C0">
        <w:t xml:space="preserve">must not be operated within 70 kilometres distance from </w:t>
      </w:r>
      <w:r w:rsidRPr="006C53CE">
        <w:t xml:space="preserve">the </w:t>
      </w:r>
      <w:bookmarkEnd w:id="8"/>
      <w:r w:rsidRPr="006C53CE">
        <w:t>Murchison Radioastronomy Observatory without the approval of the entity responsible for operating the Murchison Radioastronomy Observatory</w:t>
      </w:r>
      <w:r w:rsidR="007676B0">
        <w:t>’.</w:t>
      </w:r>
    </w:p>
  </w:footnote>
  <w:footnote w:id="4">
    <w:p w14:paraId="2CADEF8E" w14:textId="3981292B" w:rsidR="008A4AEC" w:rsidRDefault="008A4AEC" w:rsidP="008A4AEC">
      <w:pPr>
        <w:pStyle w:val="FootnoteText"/>
      </w:pPr>
      <w:r>
        <w:rPr>
          <w:rStyle w:val="FootnoteReference"/>
        </w:rPr>
        <w:footnoteRef/>
      </w:r>
      <w:r>
        <w:t xml:space="preserve"> For example</w:t>
      </w:r>
      <w:r w:rsidR="00625FEB">
        <w:t>,</w:t>
      </w:r>
      <w:r>
        <w:t xml:space="preserve"> see Communications Alliance, </w:t>
      </w:r>
      <w:hyperlink r:id="rId1" w:history="1">
        <w:r w:rsidRPr="000E33C9">
          <w:rPr>
            <w:rStyle w:val="Hyperlink"/>
          </w:rPr>
          <w:t>Satellite Industry Spectrum Strategy 2022</w:t>
        </w:r>
      </w:hyperlink>
      <w:r>
        <w:t>, July 2022</w:t>
      </w:r>
    </w:p>
  </w:footnote>
  <w:footnote w:id="5">
    <w:p w14:paraId="27CBD721" w14:textId="6B986726" w:rsidR="008A4AEC" w:rsidRPr="005E65F9" w:rsidRDefault="008A4AEC" w:rsidP="008A4AEC">
      <w:pPr>
        <w:pStyle w:val="FootnoteText"/>
        <w:rPr>
          <w:rFonts w:cs="Arial"/>
        </w:rPr>
      </w:pPr>
      <w:r w:rsidRPr="005E65F9">
        <w:rPr>
          <w:rStyle w:val="FootnoteReference"/>
          <w:rFonts w:cs="Arial"/>
        </w:rPr>
        <w:footnoteRef/>
      </w:r>
      <w:r w:rsidRPr="005E65F9">
        <w:rPr>
          <w:rFonts w:cs="Arial"/>
        </w:rPr>
        <w:t xml:space="preserve"> Being considered an incumbent licence for the purposes of a band replanning exercise does not mean that a licence cannot be varied, cancelled or not renewed, but rather that the impacts of replanning on the licensed use of the spectrum will be considered in a replanning process (and</w:t>
      </w:r>
      <w:r w:rsidR="002778AE">
        <w:rPr>
          <w:rFonts w:cs="Arial"/>
        </w:rPr>
        <w:t>,</w:t>
      </w:r>
      <w:r w:rsidRPr="005E65F9">
        <w:rPr>
          <w:rFonts w:cs="Arial"/>
        </w:rPr>
        <w:t xml:space="preserve"> for example</w:t>
      </w:r>
      <w:r w:rsidR="002778AE">
        <w:rPr>
          <w:rFonts w:cs="Arial"/>
        </w:rPr>
        <w:t>,</w:t>
      </w:r>
      <w:r w:rsidRPr="005E65F9">
        <w:rPr>
          <w:rFonts w:cs="Arial"/>
        </w:rPr>
        <w:t xml:space="preserve"> regulatory mitigations such as time periods for transitions may be considered). </w:t>
      </w:r>
    </w:p>
    <w:p w14:paraId="5208DDD6" w14:textId="77777777" w:rsidR="008A4AEC" w:rsidRDefault="008A4AEC" w:rsidP="008A4AEC">
      <w:pPr>
        <w:pStyle w:val="FootnoteText"/>
      </w:pPr>
    </w:p>
  </w:footnote>
  <w:footnote w:id="6">
    <w:p w14:paraId="58052F69" w14:textId="581FB664" w:rsidR="00FD4D45" w:rsidRDefault="00FD4D45">
      <w:pPr>
        <w:pStyle w:val="FootnoteText"/>
      </w:pPr>
      <w:r>
        <w:rPr>
          <w:rStyle w:val="FootnoteReference"/>
        </w:rPr>
        <w:footnoteRef/>
      </w:r>
      <w:r>
        <w:t xml:space="preserve"> </w:t>
      </w:r>
      <w:r w:rsidR="009D16F3">
        <w:t xml:space="preserve">Australian Communications and Media </w:t>
      </w:r>
      <w:r w:rsidR="009D16F3" w:rsidRPr="009D16F3">
        <w:t>Authority (</w:t>
      </w:r>
      <w:r w:rsidRPr="009D16F3">
        <w:t>ACMA</w:t>
      </w:r>
      <w:r w:rsidR="009D16F3" w:rsidRPr="009D16F3">
        <w:t>)</w:t>
      </w:r>
      <w:r w:rsidRPr="009D16F3">
        <w:t>,</w:t>
      </w:r>
      <w:r>
        <w:t xml:space="preserve"> </w:t>
      </w:r>
      <w:hyperlink r:id="rId2" w:history="1">
        <w:r w:rsidRPr="00714B3C">
          <w:rPr>
            <w:rStyle w:val="Hyperlink"/>
            <w:i/>
            <w:iCs/>
          </w:rPr>
          <w:t>The</w:t>
        </w:r>
        <w:r w:rsidRPr="00FD4D45">
          <w:rPr>
            <w:rStyle w:val="Hyperlink"/>
          </w:rPr>
          <w:t xml:space="preserve"> </w:t>
        </w:r>
        <w:r w:rsidRPr="00FD4D45">
          <w:rPr>
            <w:rStyle w:val="Hyperlink"/>
            <w:i/>
            <w:iCs/>
          </w:rPr>
          <w:t>f</w:t>
        </w:r>
        <w:r w:rsidRPr="00714B3C">
          <w:rPr>
            <w:rStyle w:val="Hyperlink"/>
            <w:i/>
            <w:iCs/>
          </w:rPr>
          <w:t xml:space="preserve">uture </w:t>
        </w:r>
        <w:r w:rsidRPr="00FD4D45">
          <w:rPr>
            <w:rStyle w:val="Hyperlink"/>
            <w:i/>
            <w:iCs/>
          </w:rPr>
          <w:t>d</w:t>
        </w:r>
        <w:r w:rsidRPr="00714B3C">
          <w:rPr>
            <w:rStyle w:val="Hyperlink"/>
            <w:i/>
            <w:iCs/>
          </w:rPr>
          <w:t xml:space="preserve">elivery of </w:t>
        </w:r>
        <w:r w:rsidRPr="00FD4D45">
          <w:rPr>
            <w:rStyle w:val="Hyperlink"/>
            <w:i/>
            <w:iCs/>
          </w:rPr>
          <w:t>r</w:t>
        </w:r>
        <w:r w:rsidRPr="00714B3C">
          <w:rPr>
            <w:rStyle w:val="Hyperlink"/>
            <w:i/>
            <w:iCs/>
          </w:rPr>
          <w:t>adio</w:t>
        </w:r>
      </w:hyperlink>
      <w:r>
        <w:rPr>
          <w:i/>
          <w:iCs/>
        </w:rPr>
        <w:t xml:space="preserve">, </w:t>
      </w:r>
      <w:r w:rsidRPr="00D8184C">
        <w:t>ACMA website, 2020, accessed 10 July 2023</w:t>
      </w:r>
      <w:r>
        <w:t>, p. 32</w:t>
      </w:r>
      <w:r w:rsidRPr="00D8184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A10" w14:textId="77777777" w:rsidR="00C053A1" w:rsidRPr="00A5474E" w:rsidRDefault="00C053A1" w:rsidP="00A5474E">
    <w:pPr>
      <w:pStyle w:val="Header"/>
    </w:pPr>
    <w:r>
      <w:rPr>
        <w:noProof/>
      </w:rPr>
      <w:drawing>
        <wp:inline distT="0" distB="0" distL="0" distR="0" wp14:anchorId="13699908" wp14:editId="552080C7">
          <wp:extent cx="6283434" cy="578076"/>
          <wp:effectExtent l="0" t="0" r="3175"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16A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5117"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D9BA"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1CF498F" w14:textId="77777777">
      <w:trPr>
        <w:trHeight w:hRule="exact" w:val="988"/>
      </w:trPr>
      <w:tc>
        <w:tcPr>
          <w:tcW w:w="7678" w:type="dxa"/>
          <w:shd w:val="clear" w:color="auto" w:fill="auto"/>
        </w:tcPr>
        <w:p w14:paraId="521D86F5" w14:textId="77777777" w:rsidR="00971914" w:rsidRDefault="00971914" w:rsidP="00971914">
          <w:pPr>
            <w:pStyle w:val="Header"/>
          </w:pPr>
        </w:p>
      </w:tc>
    </w:tr>
    <w:tr w:rsidR="00971914" w14:paraId="476F82D5" w14:textId="77777777">
      <w:tc>
        <w:tcPr>
          <w:tcW w:w="7678" w:type="dxa"/>
          <w:shd w:val="clear" w:color="auto" w:fill="auto"/>
        </w:tcPr>
        <w:p w14:paraId="1845C3A6" w14:textId="77777777" w:rsidR="00971914" w:rsidRDefault="00971914" w:rsidP="00971914">
          <w:pPr>
            <w:pStyle w:val="GridTable31"/>
          </w:pPr>
          <w:r>
            <w:t xml:space="preserve">Contents </w:t>
          </w:r>
          <w:r w:rsidRPr="00915B1C">
            <w:rPr>
              <w:b w:val="0"/>
              <w:spacing w:val="0"/>
              <w:sz w:val="28"/>
              <w:szCs w:val="28"/>
            </w:rPr>
            <w:t>(Continued)</w:t>
          </w:r>
        </w:p>
      </w:tc>
    </w:tr>
    <w:tr w:rsidR="00971914" w14:paraId="07A7D2D0" w14:textId="77777777">
      <w:trPr>
        <w:trHeight w:val="1220"/>
      </w:trPr>
      <w:tc>
        <w:tcPr>
          <w:tcW w:w="7678" w:type="dxa"/>
          <w:shd w:val="clear" w:color="auto" w:fill="auto"/>
        </w:tcPr>
        <w:p w14:paraId="1BFB02D1" w14:textId="77777777" w:rsidR="00971914" w:rsidRDefault="00971914" w:rsidP="00971914"/>
      </w:tc>
    </w:tr>
  </w:tbl>
  <w:p w14:paraId="4C4F2298"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B63E75B" w14:textId="77777777">
      <w:trPr>
        <w:trHeight w:hRule="exact" w:val="988"/>
      </w:trPr>
      <w:tc>
        <w:tcPr>
          <w:tcW w:w="7678" w:type="dxa"/>
          <w:shd w:val="clear" w:color="auto" w:fill="auto"/>
        </w:tcPr>
        <w:p w14:paraId="76169520" w14:textId="77777777" w:rsidR="00971914" w:rsidRDefault="00971914" w:rsidP="00971914">
          <w:pPr>
            <w:pStyle w:val="Header"/>
          </w:pPr>
        </w:p>
      </w:tc>
    </w:tr>
    <w:tr w:rsidR="00971914" w14:paraId="413F910D" w14:textId="77777777">
      <w:tc>
        <w:tcPr>
          <w:tcW w:w="7678" w:type="dxa"/>
          <w:shd w:val="clear" w:color="auto" w:fill="auto"/>
        </w:tcPr>
        <w:p w14:paraId="22AF7C48" w14:textId="77777777" w:rsidR="00971914" w:rsidRDefault="00971914" w:rsidP="00971914">
          <w:pPr>
            <w:pStyle w:val="GridTable31"/>
          </w:pPr>
          <w:r>
            <w:t xml:space="preserve">Contents </w:t>
          </w:r>
          <w:r w:rsidRPr="00915B1C">
            <w:rPr>
              <w:b w:val="0"/>
              <w:spacing w:val="0"/>
              <w:sz w:val="28"/>
              <w:szCs w:val="28"/>
            </w:rPr>
            <w:t>(Continued)</w:t>
          </w:r>
        </w:p>
      </w:tc>
    </w:tr>
    <w:tr w:rsidR="00971914" w14:paraId="786D2A3E" w14:textId="77777777">
      <w:trPr>
        <w:trHeight w:val="1220"/>
      </w:trPr>
      <w:tc>
        <w:tcPr>
          <w:tcW w:w="7678" w:type="dxa"/>
          <w:shd w:val="clear" w:color="auto" w:fill="auto"/>
        </w:tcPr>
        <w:p w14:paraId="3EAC70B8" w14:textId="77777777" w:rsidR="00971914" w:rsidRDefault="00971914" w:rsidP="00971914"/>
      </w:tc>
    </w:tr>
  </w:tbl>
  <w:p w14:paraId="0EFA7FD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BD68"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68D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5128052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4B5978"/>
    <w:multiLevelType w:val="hybridMultilevel"/>
    <w:tmpl w:val="869A4A50"/>
    <w:lvl w:ilvl="0" w:tplc="E97AB4F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465565D4"/>
    <w:multiLevelType w:val="hybridMultilevel"/>
    <w:tmpl w:val="9BCE9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147C2"/>
    <w:multiLevelType w:val="hybridMultilevel"/>
    <w:tmpl w:val="5896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CA059B"/>
    <w:multiLevelType w:val="hybridMultilevel"/>
    <w:tmpl w:val="8894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1231C"/>
    <w:multiLevelType w:val="multilevel"/>
    <w:tmpl w:val="53B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6"/>
  </w:num>
  <w:num w:numId="6" w16cid:durableId="818768531">
    <w:abstractNumId w:val="12"/>
  </w:num>
  <w:num w:numId="7" w16cid:durableId="636617026">
    <w:abstractNumId w:val="8"/>
  </w:num>
  <w:num w:numId="8" w16cid:durableId="227307242">
    <w:abstractNumId w:val="11"/>
  </w:num>
  <w:num w:numId="9" w16cid:durableId="1325478460">
    <w:abstractNumId w:val="13"/>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1372262168">
    <w:abstractNumId w:val="9"/>
  </w:num>
  <w:num w:numId="14" w16cid:durableId="1018628094">
    <w:abstractNumId w:val="5"/>
  </w:num>
  <w:num w:numId="15" w16cid:durableId="1957831600">
    <w:abstractNumId w:val="10"/>
  </w:num>
  <w:num w:numId="16" w16cid:durableId="1202089381">
    <w:abstractNumId w:val="14"/>
  </w:num>
  <w:num w:numId="17" w16cid:durableId="16552564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6A"/>
    <w:rsid w:val="0000018F"/>
    <w:rsid w:val="00000203"/>
    <w:rsid w:val="000002BB"/>
    <w:rsid w:val="000006EC"/>
    <w:rsid w:val="00000E5E"/>
    <w:rsid w:val="000022F6"/>
    <w:rsid w:val="0000285C"/>
    <w:rsid w:val="00002ACD"/>
    <w:rsid w:val="00004095"/>
    <w:rsid w:val="000044C1"/>
    <w:rsid w:val="00006E1D"/>
    <w:rsid w:val="000071DA"/>
    <w:rsid w:val="000072DF"/>
    <w:rsid w:val="000075CB"/>
    <w:rsid w:val="00007FE9"/>
    <w:rsid w:val="000103D1"/>
    <w:rsid w:val="00010667"/>
    <w:rsid w:val="00010701"/>
    <w:rsid w:val="00010E05"/>
    <w:rsid w:val="00011237"/>
    <w:rsid w:val="00011486"/>
    <w:rsid w:val="00011839"/>
    <w:rsid w:val="00011F81"/>
    <w:rsid w:val="000120B4"/>
    <w:rsid w:val="0001236F"/>
    <w:rsid w:val="0001254A"/>
    <w:rsid w:val="000128A6"/>
    <w:rsid w:val="000129D5"/>
    <w:rsid w:val="00012A4B"/>
    <w:rsid w:val="00012D85"/>
    <w:rsid w:val="000147C7"/>
    <w:rsid w:val="00014E92"/>
    <w:rsid w:val="0001599B"/>
    <w:rsid w:val="00015AE7"/>
    <w:rsid w:val="00015D40"/>
    <w:rsid w:val="000163D5"/>
    <w:rsid w:val="00016E21"/>
    <w:rsid w:val="0001719C"/>
    <w:rsid w:val="00017744"/>
    <w:rsid w:val="00017AB0"/>
    <w:rsid w:val="00017C58"/>
    <w:rsid w:val="000205EC"/>
    <w:rsid w:val="00020E6E"/>
    <w:rsid w:val="00020F06"/>
    <w:rsid w:val="00021065"/>
    <w:rsid w:val="00021B19"/>
    <w:rsid w:val="00021BF9"/>
    <w:rsid w:val="00021F4D"/>
    <w:rsid w:val="0002224E"/>
    <w:rsid w:val="0002338E"/>
    <w:rsid w:val="000233F2"/>
    <w:rsid w:val="000234EC"/>
    <w:rsid w:val="0002411F"/>
    <w:rsid w:val="000245E5"/>
    <w:rsid w:val="00024853"/>
    <w:rsid w:val="000250FA"/>
    <w:rsid w:val="00025D9A"/>
    <w:rsid w:val="0002639E"/>
    <w:rsid w:val="000269A8"/>
    <w:rsid w:val="000269EE"/>
    <w:rsid w:val="00026CBE"/>
    <w:rsid w:val="00026E1A"/>
    <w:rsid w:val="00026F91"/>
    <w:rsid w:val="00030EAF"/>
    <w:rsid w:val="00030FBC"/>
    <w:rsid w:val="00031437"/>
    <w:rsid w:val="00031BF6"/>
    <w:rsid w:val="00031BFC"/>
    <w:rsid w:val="000322D0"/>
    <w:rsid w:val="0003269B"/>
    <w:rsid w:val="00032EFF"/>
    <w:rsid w:val="000336FC"/>
    <w:rsid w:val="0003373B"/>
    <w:rsid w:val="00033A33"/>
    <w:rsid w:val="00033C01"/>
    <w:rsid w:val="00034320"/>
    <w:rsid w:val="00034451"/>
    <w:rsid w:val="00035198"/>
    <w:rsid w:val="000356B9"/>
    <w:rsid w:val="00035F7F"/>
    <w:rsid w:val="0003648C"/>
    <w:rsid w:val="00036C88"/>
    <w:rsid w:val="00036CB1"/>
    <w:rsid w:val="00036FAB"/>
    <w:rsid w:val="000373D9"/>
    <w:rsid w:val="00037EEC"/>
    <w:rsid w:val="000408E2"/>
    <w:rsid w:val="00040D61"/>
    <w:rsid w:val="0004123C"/>
    <w:rsid w:val="00041FAB"/>
    <w:rsid w:val="00042583"/>
    <w:rsid w:val="00043128"/>
    <w:rsid w:val="00044ADE"/>
    <w:rsid w:val="00044D94"/>
    <w:rsid w:val="00044E0A"/>
    <w:rsid w:val="0004558E"/>
    <w:rsid w:val="00045771"/>
    <w:rsid w:val="00045D8B"/>
    <w:rsid w:val="00045F29"/>
    <w:rsid w:val="00045F66"/>
    <w:rsid w:val="0004614E"/>
    <w:rsid w:val="000462B9"/>
    <w:rsid w:val="000462F3"/>
    <w:rsid w:val="00046835"/>
    <w:rsid w:val="000468FB"/>
    <w:rsid w:val="00047351"/>
    <w:rsid w:val="0004764C"/>
    <w:rsid w:val="000478D9"/>
    <w:rsid w:val="00047FFE"/>
    <w:rsid w:val="000500E4"/>
    <w:rsid w:val="0005011A"/>
    <w:rsid w:val="00050302"/>
    <w:rsid w:val="0005043F"/>
    <w:rsid w:val="0005045A"/>
    <w:rsid w:val="00050B75"/>
    <w:rsid w:val="00050C97"/>
    <w:rsid w:val="00051049"/>
    <w:rsid w:val="00051770"/>
    <w:rsid w:val="00051C1E"/>
    <w:rsid w:val="00052643"/>
    <w:rsid w:val="0005376D"/>
    <w:rsid w:val="000539F9"/>
    <w:rsid w:val="000543B0"/>
    <w:rsid w:val="00054B48"/>
    <w:rsid w:val="00054C27"/>
    <w:rsid w:val="00055270"/>
    <w:rsid w:val="0005560B"/>
    <w:rsid w:val="00055677"/>
    <w:rsid w:val="00055815"/>
    <w:rsid w:val="00055EC3"/>
    <w:rsid w:val="000563CE"/>
    <w:rsid w:val="00056CF9"/>
    <w:rsid w:val="0005783A"/>
    <w:rsid w:val="000579A0"/>
    <w:rsid w:val="00057B71"/>
    <w:rsid w:val="00057E59"/>
    <w:rsid w:val="00060277"/>
    <w:rsid w:val="00062237"/>
    <w:rsid w:val="00062C68"/>
    <w:rsid w:val="0006329C"/>
    <w:rsid w:val="000642F2"/>
    <w:rsid w:val="0006433E"/>
    <w:rsid w:val="0006483F"/>
    <w:rsid w:val="00064880"/>
    <w:rsid w:val="000657CC"/>
    <w:rsid w:val="000659B6"/>
    <w:rsid w:val="0006686F"/>
    <w:rsid w:val="0006722A"/>
    <w:rsid w:val="00067412"/>
    <w:rsid w:val="00067414"/>
    <w:rsid w:val="0007057E"/>
    <w:rsid w:val="000707E8"/>
    <w:rsid w:val="00071223"/>
    <w:rsid w:val="000716D4"/>
    <w:rsid w:val="0007201A"/>
    <w:rsid w:val="00072DC5"/>
    <w:rsid w:val="00073000"/>
    <w:rsid w:val="00073039"/>
    <w:rsid w:val="000732CF"/>
    <w:rsid w:val="00073387"/>
    <w:rsid w:val="00073F21"/>
    <w:rsid w:val="00074039"/>
    <w:rsid w:val="00074357"/>
    <w:rsid w:val="000747D8"/>
    <w:rsid w:val="000758F3"/>
    <w:rsid w:val="00075B96"/>
    <w:rsid w:val="00075F9F"/>
    <w:rsid w:val="00076650"/>
    <w:rsid w:val="00076799"/>
    <w:rsid w:val="00076E69"/>
    <w:rsid w:val="00077190"/>
    <w:rsid w:val="00077721"/>
    <w:rsid w:val="00077AF5"/>
    <w:rsid w:val="00077C7D"/>
    <w:rsid w:val="000805A6"/>
    <w:rsid w:val="00080693"/>
    <w:rsid w:val="0008074E"/>
    <w:rsid w:val="00080C03"/>
    <w:rsid w:val="00080E53"/>
    <w:rsid w:val="00081049"/>
    <w:rsid w:val="0008196A"/>
    <w:rsid w:val="00081D5F"/>
    <w:rsid w:val="00082A90"/>
    <w:rsid w:val="00083053"/>
    <w:rsid w:val="0008345C"/>
    <w:rsid w:val="0008379A"/>
    <w:rsid w:val="00084234"/>
    <w:rsid w:val="00084880"/>
    <w:rsid w:val="00084ACD"/>
    <w:rsid w:val="00085569"/>
    <w:rsid w:val="000856D7"/>
    <w:rsid w:val="00085CB2"/>
    <w:rsid w:val="00085D8A"/>
    <w:rsid w:val="00086C94"/>
    <w:rsid w:val="00087D38"/>
    <w:rsid w:val="00090730"/>
    <w:rsid w:val="00090911"/>
    <w:rsid w:val="000909AF"/>
    <w:rsid w:val="000915ED"/>
    <w:rsid w:val="000916DD"/>
    <w:rsid w:val="00091F97"/>
    <w:rsid w:val="0009209D"/>
    <w:rsid w:val="000927C9"/>
    <w:rsid w:val="000928C0"/>
    <w:rsid w:val="00092FC3"/>
    <w:rsid w:val="0009330C"/>
    <w:rsid w:val="0009339C"/>
    <w:rsid w:val="00093908"/>
    <w:rsid w:val="00094154"/>
    <w:rsid w:val="0009463C"/>
    <w:rsid w:val="00094FBD"/>
    <w:rsid w:val="00095A26"/>
    <w:rsid w:val="000969BD"/>
    <w:rsid w:val="000969BF"/>
    <w:rsid w:val="00096DEF"/>
    <w:rsid w:val="00096F0A"/>
    <w:rsid w:val="000971BD"/>
    <w:rsid w:val="0009723E"/>
    <w:rsid w:val="0009775E"/>
    <w:rsid w:val="00097A6A"/>
    <w:rsid w:val="000A003F"/>
    <w:rsid w:val="000A00C6"/>
    <w:rsid w:val="000A0375"/>
    <w:rsid w:val="000A03BA"/>
    <w:rsid w:val="000A0626"/>
    <w:rsid w:val="000A080A"/>
    <w:rsid w:val="000A094F"/>
    <w:rsid w:val="000A0C22"/>
    <w:rsid w:val="000A1400"/>
    <w:rsid w:val="000A218D"/>
    <w:rsid w:val="000A3C22"/>
    <w:rsid w:val="000A3C43"/>
    <w:rsid w:val="000A40A2"/>
    <w:rsid w:val="000A4389"/>
    <w:rsid w:val="000A4979"/>
    <w:rsid w:val="000A4A51"/>
    <w:rsid w:val="000A5018"/>
    <w:rsid w:val="000A506B"/>
    <w:rsid w:val="000A5237"/>
    <w:rsid w:val="000A5D2B"/>
    <w:rsid w:val="000A604D"/>
    <w:rsid w:val="000A6FBC"/>
    <w:rsid w:val="000A772D"/>
    <w:rsid w:val="000A77CD"/>
    <w:rsid w:val="000A7900"/>
    <w:rsid w:val="000A7986"/>
    <w:rsid w:val="000B083B"/>
    <w:rsid w:val="000B165F"/>
    <w:rsid w:val="000B1D92"/>
    <w:rsid w:val="000B2165"/>
    <w:rsid w:val="000B2958"/>
    <w:rsid w:val="000B2975"/>
    <w:rsid w:val="000B299E"/>
    <w:rsid w:val="000B2DAE"/>
    <w:rsid w:val="000B34FD"/>
    <w:rsid w:val="000B386D"/>
    <w:rsid w:val="000B4664"/>
    <w:rsid w:val="000B49E2"/>
    <w:rsid w:val="000B583D"/>
    <w:rsid w:val="000B5DE3"/>
    <w:rsid w:val="000B6354"/>
    <w:rsid w:val="000B6ABD"/>
    <w:rsid w:val="000B6C3D"/>
    <w:rsid w:val="000B6C87"/>
    <w:rsid w:val="000B734F"/>
    <w:rsid w:val="000B765E"/>
    <w:rsid w:val="000C0A57"/>
    <w:rsid w:val="000C0CF5"/>
    <w:rsid w:val="000C12BA"/>
    <w:rsid w:val="000C18BE"/>
    <w:rsid w:val="000C1E1B"/>
    <w:rsid w:val="000C230C"/>
    <w:rsid w:val="000C3076"/>
    <w:rsid w:val="000C308B"/>
    <w:rsid w:val="000C3664"/>
    <w:rsid w:val="000C45FD"/>
    <w:rsid w:val="000C46E6"/>
    <w:rsid w:val="000C4E6D"/>
    <w:rsid w:val="000C52A8"/>
    <w:rsid w:val="000C58DC"/>
    <w:rsid w:val="000C6274"/>
    <w:rsid w:val="000C6AB4"/>
    <w:rsid w:val="000C76C5"/>
    <w:rsid w:val="000C7713"/>
    <w:rsid w:val="000C7730"/>
    <w:rsid w:val="000C7BA7"/>
    <w:rsid w:val="000C7BDD"/>
    <w:rsid w:val="000D1180"/>
    <w:rsid w:val="000D16B8"/>
    <w:rsid w:val="000D1A2B"/>
    <w:rsid w:val="000D1ADE"/>
    <w:rsid w:val="000D2BA3"/>
    <w:rsid w:val="000D2D64"/>
    <w:rsid w:val="000D4204"/>
    <w:rsid w:val="000D4419"/>
    <w:rsid w:val="000D4B94"/>
    <w:rsid w:val="000D4C9A"/>
    <w:rsid w:val="000D4F88"/>
    <w:rsid w:val="000D4FCD"/>
    <w:rsid w:val="000D58DF"/>
    <w:rsid w:val="000D6036"/>
    <w:rsid w:val="000D61DE"/>
    <w:rsid w:val="000D6278"/>
    <w:rsid w:val="000D6AEE"/>
    <w:rsid w:val="000D7147"/>
    <w:rsid w:val="000D71D9"/>
    <w:rsid w:val="000D76E0"/>
    <w:rsid w:val="000D77D6"/>
    <w:rsid w:val="000D7E8B"/>
    <w:rsid w:val="000E0CDA"/>
    <w:rsid w:val="000E16C2"/>
    <w:rsid w:val="000E1AAC"/>
    <w:rsid w:val="000E1E1B"/>
    <w:rsid w:val="000E1F4E"/>
    <w:rsid w:val="000E24A2"/>
    <w:rsid w:val="000E3023"/>
    <w:rsid w:val="000E4181"/>
    <w:rsid w:val="000E43C6"/>
    <w:rsid w:val="000E4449"/>
    <w:rsid w:val="000E478E"/>
    <w:rsid w:val="000E6048"/>
    <w:rsid w:val="000E6097"/>
    <w:rsid w:val="000E6119"/>
    <w:rsid w:val="000E6132"/>
    <w:rsid w:val="000E6518"/>
    <w:rsid w:val="000E65B6"/>
    <w:rsid w:val="000E6878"/>
    <w:rsid w:val="000E6F05"/>
    <w:rsid w:val="000E6FDF"/>
    <w:rsid w:val="000E7C6B"/>
    <w:rsid w:val="000F03AB"/>
    <w:rsid w:val="000F216B"/>
    <w:rsid w:val="000F3D82"/>
    <w:rsid w:val="000F490C"/>
    <w:rsid w:val="000F611D"/>
    <w:rsid w:val="000F68B9"/>
    <w:rsid w:val="000F68EF"/>
    <w:rsid w:val="000F6DCF"/>
    <w:rsid w:val="000F7B88"/>
    <w:rsid w:val="00100393"/>
    <w:rsid w:val="00101DD8"/>
    <w:rsid w:val="001023F0"/>
    <w:rsid w:val="001024D3"/>
    <w:rsid w:val="0010267F"/>
    <w:rsid w:val="001034D7"/>
    <w:rsid w:val="00103595"/>
    <w:rsid w:val="00103829"/>
    <w:rsid w:val="00104E4A"/>
    <w:rsid w:val="001051DF"/>
    <w:rsid w:val="00105411"/>
    <w:rsid w:val="00105746"/>
    <w:rsid w:val="00105F7E"/>
    <w:rsid w:val="00106D7A"/>
    <w:rsid w:val="00106F7B"/>
    <w:rsid w:val="00107351"/>
    <w:rsid w:val="001073D2"/>
    <w:rsid w:val="00107E37"/>
    <w:rsid w:val="001104A2"/>
    <w:rsid w:val="00110538"/>
    <w:rsid w:val="00110670"/>
    <w:rsid w:val="00110743"/>
    <w:rsid w:val="00110A6F"/>
    <w:rsid w:val="00110CD2"/>
    <w:rsid w:val="00110E92"/>
    <w:rsid w:val="00110F2A"/>
    <w:rsid w:val="0011106B"/>
    <w:rsid w:val="00111296"/>
    <w:rsid w:val="001113BF"/>
    <w:rsid w:val="00111572"/>
    <w:rsid w:val="001117D4"/>
    <w:rsid w:val="00111DB5"/>
    <w:rsid w:val="00111FCE"/>
    <w:rsid w:val="00111FF0"/>
    <w:rsid w:val="001139A4"/>
    <w:rsid w:val="00113B6E"/>
    <w:rsid w:val="00113F84"/>
    <w:rsid w:val="001140D4"/>
    <w:rsid w:val="00114985"/>
    <w:rsid w:val="00114D0D"/>
    <w:rsid w:val="00115033"/>
    <w:rsid w:val="00116061"/>
    <w:rsid w:val="001162C5"/>
    <w:rsid w:val="00116C63"/>
    <w:rsid w:val="00120069"/>
    <w:rsid w:val="00121435"/>
    <w:rsid w:val="00121538"/>
    <w:rsid w:val="00121592"/>
    <w:rsid w:val="0012185A"/>
    <w:rsid w:val="00121E5E"/>
    <w:rsid w:val="0012240F"/>
    <w:rsid w:val="001229A5"/>
    <w:rsid w:val="00123252"/>
    <w:rsid w:val="00123300"/>
    <w:rsid w:val="00123537"/>
    <w:rsid w:val="00123AC7"/>
    <w:rsid w:val="0012489B"/>
    <w:rsid w:val="00124B54"/>
    <w:rsid w:val="00124C9D"/>
    <w:rsid w:val="00124F98"/>
    <w:rsid w:val="001251B1"/>
    <w:rsid w:val="001259B9"/>
    <w:rsid w:val="00125A0E"/>
    <w:rsid w:val="00125DC5"/>
    <w:rsid w:val="0012661E"/>
    <w:rsid w:val="00130017"/>
    <w:rsid w:val="00130616"/>
    <w:rsid w:val="00130665"/>
    <w:rsid w:val="00130933"/>
    <w:rsid w:val="00130ADF"/>
    <w:rsid w:val="00130F91"/>
    <w:rsid w:val="00131A00"/>
    <w:rsid w:val="00132435"/>
    <w:rsid w:val="0013262F"/>
    <w:rsid w:val="001327CA"/>
    <w:rsid w:val="0013352A"/>
    <w:rsid w:val="0013398E"/>
    <w:rsid w:val="00133E17"/>
    <w:rsid w:val="001349ED"/>
    <w:rsid w:val="00134A1A"/>
    <w:rsid w:val="00135E07"/>
    <w:rsid w:val="00136D1C"/>
    <w:rsid w:val="001371D4"/>
    <w:rsid w:val="00137424"/>
    <w:rsid w:val="0013763A"/>
    <w:rsid w:val="001402F6"/>
    <w:rsid w:val="00140318"/>
    <w:rsid w:val="00140639"/>
    <w:rsid w:val="00140DDA"/>
    <w:rsid w:val="001416BF"/>
    <w:rsid w:val="00141AD9"/>
    <w:rsid w:val="00142080"/>
    <w:rsid w:val="001420D3"/>
    <w:rsid w:val="001429FE"/>
    <w:rsid w:val="00144214"/>
    <w:rsid w:val="001445C8"/>
    <w:rsid w:val="00144C26"/>
    <w:rsid w:val="00144E55"/>
    <w:rsid w:val="0014527D"/>
    <w:rsid w:val="00145319"/>
    <w:rsid w:val="0014532E"/>
    <w:rsid w:val="00145497"/>
    <w:rsid w:val="0014567F"/>
    <w:rsid w:val="00146B7B"/>
    <w:rsid w:val="00146CE6"/>
    <w:rsid w:val="001478F6"/>
    <w:rsid w:val="00150038"/>
    <w:rsid w:val="001500C0"/>
    <w:rsid w:val="00150123"/>
    <w:rsid w:val="001516BB"/>
    <w:rsid w:val="00152119"/>
    <w:rsid w:val="00152903"/>
    <w:rsid w:val="00152984"/>
    <w:rsid w:val="00152D5A"/>
    <w:rsid w:val="00153711"/>
    <w:rsid w:val="00153F4C"/>
    <w:rsid w:val="00153FD5"/>
    <w:rsid w:val="00154440"/>
    <w:rsid w:val="001548C6"/>
    <w:rsid w:val="00154A1D"/>
    <w:rsid w:val="00154CB5"/>
    <w:rsid w:val="00154EBF"/>
    <w:rsid w:val="00155167"/>
    <w:rsid w:val="0015614F"/>
    <w:rsid w:val="001561C3"/>
    <w:rsid w:val="0015630B"/>
    <w:rsid w:val="0015687C"/>
    <w:rsid w:val="0015713D"/>
    <w:rsid w:val="0015721C"/>
    <w:rsid w:val="001572DF"/>
    <w:rsid w:val="001577C2"/>
    <w:rsid w:val="00160623"/>
    <w:rsid w:val="00160772"/>
    <w:rsid w:val="00161123"/>
    <w:rsid w:val="0016121C"/>
    <w:rsid w:val="001619E6"/>
    <w:rsid w:val="00161C8E"/>
    <w:rsid w:val="00161F11"/>
    <w:rsid w:val="00161F49"/>
    <w:rsid w:val="001620AF"/>
    <w:rsid w:val="0016214D"/>
    <w:rsid w:val="00162384"/>
    <w:rsid w:val="001623ED"/>
    <w:rsid w:val="00162448"/>
    <w:rsid w:val="00162A53"/>
    <w:rsid w:val="00162F70"/>
    <w:rsid w:val="00163030"/>
    <w:rsid w:val="00163179"/>
    <w:rsid w:val="0016317F"/>
    <w:rsid w:val="001631B8"/>
    <w:rsid w:val="001633C4"/>
    <w:rsid w:val="00163564"/>
    <w:rsid w:val="00164763"/>
    <w:rsid w:val="00164946"/>
    <w:rsid w:val="00164C38"/>
    <w:rsid w:val="0016526F"/>
    <w:rsid w:val="0016540F"/>
    <w:rsid w:val="00165602"/>
    <w:rsid w:val="001659BE"/>
    <w:rsid w:val="00165E16"/>
    <w:rsid w:val="001663D8"/>
    <w:rsid w:val="001670B0"/>
    <w:rsid w:val="00167163"/>
    <w:rsid w:val="001673BA"/>
    <w:rsid w:val="00167E8B"/>
    <w:rsid w:val="0017006F"/>
    <w:rsid w:val="001704D5"/>
    <w:rsid w:val="00170791"/>
    <w:rsid w:val="001709E6"/>
    <w:rsid w:val="00170A77"/>
    <w:rsid w:val="0017122D"/>
    <w:rsid w:val="00171591"/>
    <w:rsid w:val="0017183E"/>
    <w:rsid w:val="00171C40"/>
    <w:rsid w:val="00172B3A"/>
    <w:rsid w:val="00172F50"/>
    <w:rsid w:val="00173081"/>
    <w:rsid w:val="00173567"/>
    <w:rsid w:val="0017384B"/>
    <w:rsid w:val="00173981"/>
    <w:rsid w:val="0017419C"/>
    <w:rsid w:val="00174EE6"/>
    <w:rsid w:val="00175950"/>
    <w:rsid w:val="00175D39"/>
    <w:rsid w:val="0017652E"/>
    <w:rsid w:val="00176D73"/>
    <w:rsid w:val="00176E27"/>
    <w:rsid w:val="0017719D"/>
    <w:rsid w:val="0017731D"/>
    <w:rsid w:val="00177540"/>
    <w:rsid w:val="001802E3"/>
    <w:rsid w:val="00180EE3"/>
    <w:rsid w:val="0018100C"/>
    <w:rsid w:val="001822A7"/>
    <w:rsid w:val="00182F73"/>
    <w:rsid w:val="00182FA1"/>
    <w:rsid w:val="001838B1"/>
    <w:rsid w:val="00183FD7"/>
    <w:rsid w:val="00184536"/>
    <w:rsid w:val="00185065"/>
    <w:rsid w:val="00185654"/>
    <w:rsid w:val="00185CAB"/>
    <w:rsid w:val="00186D0A"/>
    <w:rsid w:val="00186F69"/>
    <w:rsid w:val="001871BE"/>
    <w:rsid w:val="001872A5"/>
    <w:rsid w:val="001875B7"/>
    <w:rsid w:val="001879F4"/>
    <w:rsid w:val="00187BA9"/>
    <w:rsid w:val="00187CB3"/>
    <w:rsid w:val="0019030E"/>
    <w:rsid w:val="0019050A"/>
    <w:rsid w:val="001910D4"/>
    <w:rsid w:val="00191FFC"/>
    <w:rsid w:val="00192C9F"/>
    <w:rsid w:val="00192D58"/>
    <w:rsid w:val="00193E27"/>
    <w:rsid w:val="0019547A"/>
    <w:rsid w:val="001959C6"/>
    <w:rsid w:val="00195D31"/>
    <w:rsid w:val="00196BB8"/>
    <w:rsid w:val="001976E3"/>
    <w:rsid w:val="001A04EA"/>
    <w:rsid w:val="001A07BE"/>
    <w:rsid w:val="001A0B14"/>
    <w:rsid w:val="001A21A3"/>
    <w:rsid w:val="001A430F"/>
    <w:rsid w:val="001A44EC"/>
    <w:rsid w:val="001A4971"/>
    <w:rsid w:val="001A4FDC"/>
    <w:rsid w:val="001A5F7A"/>
    <w:rsid w:val="001A730F"/>
    <w:rsid w:val="001A7533"/>
    <w:rsid w:val="001A7BB0"/>
    <w:rsid w:val="001B0812"/>
    <w:rsid w:val="001B0A5C"/>
    <w:rsid w:val="001B0F28"/>
    <w:rsid w:val="001B106E"/>
    <w:rsid w:val="001B1959"/>
    <w:rsid w:val="001B1B66"/>
    <w:rsid w:val="001B1D48"/>
    <w:rsid w:val="001B28D9"/>
    <w:rsid w:val="001B4AEE"/>
    <w:rsid w:val="001B58AA"/>
    <w:rsid w:val="001B5EF8"/>
    <w:rsid w:val="001B680A"/>
    <w:rsid w:val="001B6CB2"/>
    <w:rsid w:val="001B7384"/>
    <w:rsid w:val="001B758B"/>
    <w:rsid w:val="001B76EA"/>
    <w:rsid w:val="001B7E48"/>
    <w:rsid w:val="001C0284"/>
    <w:rsid w:val="001C0530"/>
    <w:rsid w:val="001C082B"/>
    <w:rsid w:val="001C0C4A"/>
    <w:rsid w:val="001C0D14"/>
    <w:rsid w:val="001C170B"/>
    <w:rsid w:val="001C179C"/>
    <w:rsid w:val="001C17CE"/>
    <w:rsid w:val="001C1E24"/>
    <w:rsid w:val="001C2172"/>
    <w:rsid w:val="001C2202"/>
    <w:rsid w:val="001C26DA"/>
    <w:rsid w:val="001C28DA"/>
    <w:rsid w:val="001C36CA"/>
    <w:rsid w:val="001C44D1"/>
    <w:rsid w:val="001C451B"/>
    <w:rsid w:val="001C46BF"/>
    <w:rsid w:val="001C4809"/>
    <w:rsid w:val="001C4858"/>
    <w:rsid w:val="001C485F"/>
    <w:rsid w:val="001C5244"/>
    <w:rsid w:val="001C5915"/>
    <w:rsid w:val="001C623D"/>
    <w:rsid w:val="001C6AEE"/>
    <w:rsid w:val="001C6BF5"/>
    <w:rsid w:val="001C75C3"/>
    <w:rsid w:val="001C7630"/>
    <w:rsid w:val="001C7AF1"/>
    <w:rsid w:val="001C7BB0"/>
    <w:rsid w:val="001C7FF8"/>
    <w:rsid w:val="001D0571"/>
    <w:rsid w:val="001D127E"/>
    <w:rsid w:val="001D1F89"/>
    <w:rsid w:val="001D216F"/>
    <w:rsid w:val="001D2792"/>
    <w:rsid w:val="001D330D"/>
    <w:rsid w:val="001D377C"/>
    <w:rsid w:val="001D3CBD"/>
    <w:rsid w:val="001D3D3E"/>
    <w:rsid w:val="001D3E9D"/>
    <w:rsid w:val="001D4DD0"/>
    <w:rsid w:val="001D4E6F"/>
    <w:rsid w:val="001D5326"/>
    <w:rsid w:val="001D67EB"/>
    <w:rsid w:val="001D6838"/>
    <w:rsid w:val="001D6D15"/>
    <w:rsid w:val="001D6F38"/>
    <w:rsid w:val="001D7862"/>
    <w:rsid w:val="001D7B60"/>
    <w:rsid w:val="001E0243"/>
    <w:rsid w:val="001E0441"/>
    <w:rsid w:val="001E04AD"/>
    <w:rsid w:val="001E063F"/>
    <w:rsid w:val="001E1232"/>
    <w:rsid w:val="001E16E0"/>
    <w:rsid w:val="001E1978"/>
    <w:rsid w:val="001E1A80"/>
    <w:rsid w:val="001E2B50"/>
    <w:rsid w:val="001E2D46"/>
    <w:rsid w:val="001E4463"/>
    <w:rsid w:val="001E462C"/>
    <w:rsid w:val="001E54BE"/>
    <w:rsid w:val="001E56AD"/>
    <w:rsid w:val="001E5DB3"/>
    <w:rsid w:val="001E6602"/>
    <w:rsid w:val="001E6636"/>
    <w:rsid w:val="001E685E"/>
    <w:rsid w:val="001E6BB8"/>
    <w:rsid w:val="001E72F5"/>
    <w:rsid w:val="001E7CD2"/>
    <w:rsid w:val="001E7D36"/>
    <w:rsid w:val="001E7DFA"/>
    <w:rsid w:val="001F0540"/>
    <w:rsid w:val="001F06C2"/>
    <w:rsid w:val="001F08D5"/>
    <w:rsid w:val="001F0ABE"/>
    <w:rsid w:val="001F1442"/>
    <w:rsid w:val="001F1689"/>
    <w:rsid w:val="001F16D4"/>
    <w:rsid w:val="001F1DCD"/>
    <w:rsid w:val="001F216E"/>
    <w:rsid w:val="001F22E0"/>
    <w:rsid w:val="001F23E0"/>
    <w:rsid w:val="001F24ED"/>
    <w:rsid w:val="001F256C"/>
    <w:rsid w:val="001F2D34"/>
    <w:rsid w:val="001F3A7D"/>
    <w:rsid w:val="001F3AB7"/>
    <w:rsid w:val="001F3F57"/>
    <w:rsid w:val="001F4115"/>
    <w:rsid w:val="001F46AC"/>
    <w:rsid w:val="001F4AAE"/>
    <w:rsid w:val="001F50A1"/>
    <w:rsid w:val="001F5103"/>
    <w:rsid w:val="001F5293"/>
    <w:rsid w:val="001F5413"/>
    <w:rsid w:val="001F558F"/>
    <w:rsid w:val="001F575A"/>
    <w:rsid w:val="001F5C90"/>
    <w:rsid w:val="001F5D1A"/>
    <w:rsid w:val="001F5E61"/>
    <w:rsid w:val="001F5FD7"/>
    <w:rsid w:val="001F669E"/>
    <w:rsid w:val="001F719C"/>
    <w:rsid w:val="001F7558"/>
    <w:rsid w:val="001F7B62"/>
    <w:rsid w:val="0020055B"/>
    <w:rsid w:val="002005A2"/>
    <w:rsid w:val="002008AA"/>
    <w:rsid w:val="00201261"/>
    <w:rsid w:val="002015FF"/>
    <w:rsid w:val="00201A6F"/>
    <w:rsid w:val="00201E47"/>
    <w:rsid w:val="0020209D"/>
    <w:rsid w:val="002033E6"/>
    <w:rsid w:val="0020376C"/>
    <w:rsid w:val="00203B01"/>
    <w:rsid w:val="002041AF"/>
    <w:rsid w:val="00204779"/>
    <w:rsid w:val="00204F76"/>
    <w:rsid w:val="0020565C"/>
    <w:rsid w:val="00205B57"/>
    <w:rsid w:val="00205DEE"/>
    <w:rsid w:val="00205F56"/>
    <w:rsid w:val="002073C2"/>
    <w:rsid w:val="00207780"/>
    <w:rsid w:val="002079FB"/>
    <w:rsid w:val="00207B01"/>
    <w:rsid w:val="00210568"/>
    <w:rsid w:val="00210624"/>
    <w:rsid w:val="002106A9"/>
    <w:rsid w:val="00210C97"/>
    <w:rsid w:val="0021108A"/>
    <w:rsid w:val="002120C7"/>
    <w:rsid w:val="00212900"/>
    <w:rsid w:val="00212ABD"/>
    <w:rsid w:val="00212E9B"/>
    <w:rsid w:val="002131A3"/>
    <w:rsid w:val="002132B9"/>
    <w:rsid w:val="00213D80"/>
    <w:rsid w:val="0021447C"/>
    <w:rsid w:val="00214644"/>
    <w:rsid w:val="00214CC9"/>
    <w:rsid w:val="00215389"/>
    <w:rsid w:val="00215419"/>
    <w:rsid w:val="002157E0"/>
    <w:rsid w:val="00215B2A"/>
    <w:rsid w:val="00215E71"/>
    <w:rsid w:val="00216100"/>
    <w:rsid w:val="00216A57"/>
    <w:rsid w:val="00217448"/>
    <w:rsid w:val="00217E03"/>
    <w:rsid w:val="002209AE"/>
    <w:rsid w:val="00220A3B"/>
    <w:rsid w:val="002212BD"/>
    <w:rsid w:val="00221335"/>
    <w:rsid w:val="00221541"/>
    <w:rsid w:val="002218F8"/>
    <w:rsid w:val="00221D3A"/>
    <w:rsid w:val="00222AFA"/>
    <w:rsid w:val="002232BD"/>
    <w:rsid w:val="0022334F"/>
    <w:rsid w:val="002244FA"/>
    <w:rsid w:val="00224784"/>
    <w:rsid w:val="002247D8"/>
    <w:rsid w:val="0022505C"/>
    <w:rsid w:val="00225274"/>
    <w:rsid w:val="002253C5"/>
    <w:rsid w:val="002257F1"/>
    <w:rsid w:val="00225DB5"/>
    <w:rsid w:val="00226819"/>
    <w:rsid w:val="00226ABE"/>
    <w:rsid w:val="00230123"/>
    <w:rsid w:val="00230632"/>
    <w:rsid w:val="0023200A"/>
    <w:rsid w:val="0023219D"/>
    <w:rsid w:val="002328E8"/>
    <w:rsid w:val="00232D85"/>
    <w:rsid w:val="00233101"/>
    <w:rsid w:val="00233221"/>
    <w:rsid w:val="002333D9"/>
    <w:rsid w:val="002337AF"/>
    <w:rsid w:val="00233817"/>
    <w:rsid w:val="00233A31"/>
    <w:rsid w:val="00233B1A"/>
    <w:rsid w:val="0023458F"/>
    <w:rsid w:val="00234768"/>
    <w:rsid w:val="002347E2"/>
    <w:rsid w:val="00234837"/>
    <w:rsid w:val="00234D92"/>
    <w:rsid w:val="00234E6F"/>
    <w:rsid w:val="0023633F"/>
    <w:rsid w:val="0023667D"/>
    <w:rsid w:val="002367FF"/>
    <w:rsid w:val="0023733D"/>
    <w:rsid w:val="00237417"/>
    <w:rsid w:val="002374B2"/>
    <w:rsid w:val="00237572"/>
    <w:rsid w:val="0023780D"/>
    <w:rsid w:val="00237D49"/>
    <w:rsid w:val="002401F0"/>
    <w:rsid w:val="00240CE9"/>
    <w:rsid w:val="0024134A"/>
    <w:rsid w:val="00241540"/>
    <w:rsid w:val="00243450"/>
    <w:rsid w:val="002434BA"/>
    <w:rsid w:val="002435AB"/>
    <w:rsid w:val="00244F42"/>
    <w:rsid w:val="00244FAA"/>
    <w:rsid w:val="00244FFE"/>
    <w:rsid w:val="00245033"/>
    <w:rsid w:val="002450A0"/>
    <w:rsid w:val="00245517"/>
    <w:rsid w:val="0024563A"/>
    <w:rsid w:val="00245C3A"/>
    <w:rsid w:val="00245EBC"/>
    <w:rsid w:val="0024602C"/>
    <w:rsid w:val="00246089"/>
    <w:rsid w:val="00246093"/>
    <w:rsid w:val="00246702"/>
    <w:rsid w:val="00246895"/>
    <w:rsid w:val="00246E84"/>
    <w:rsid w:val="0024739B"/>
    <w:rsid w:val="00247595"/>
    <w:rsid w:val="00247A50"/>
    <w:rsid w:val="00247C59"/>
    <w:rsid w:val="00247CE9"/>
    <w:rsid w:val="00247F2E"/>
    <w:rsid w:val="0025082A"/>
    <w:rsid w:val="002509A7"/>
    <w:rsid w:val="00250ACE"/>
    <w:rsid w:val="00250ADC"/>
    <w:rsid w:val="00250B07"/>
    <w:rsid w:val="00250EFB"/>
    <w:rsid w:val="0025112F"/>
    <w:rsid w:val="002513F7"/>
    <w:rsid w:val="002520A5"/>
    <w:rsid w:val="002523FA"/>
    <w:rsid w:val="00252711"/>
    <w:rsid w:val="00252DEB"/>
    <w:rsid w:val="00253490"/>
    <w:rsid w:val="002536F9"/>
    <w:rsid w:val="00253912"/>
    <w:rsid w:val="00253EA5"/>
    <w:rsid w:val="0025403F"/>
    <w:rsid w:val="00254194"/>
    <w:rsid w:val="002560C0"/>
    <w:rsid w:val="00256681"/>
    <w:rsid w:val="00257553"/>
    <w:rsid w:val="00257871"/>
    <w:rsid w:val="002609CB"/>
    <w:rsid w:val="00260BF1"/>
    <w:rsid w:val="00260FB2"/>
    <w:rsid w:val="00261CEF"/>
    <w:rsid w:val="00262128"/>
    <w:rsid w:val="0026242F"/>
    <w:rsid w:val="00263650"/>
    <w:rsid w:val="00263932"/>
    <w:rsid w:val="00263C9C"/>
    <w:rsid w:val="0026419F"/>
    <w:rsid w:val="00264398"/>
    <w:rsid w:val="00265110"/>
    <w:rsid w:val="0026524C"/>
    <w:rsid w:val="00265AB5"/>
    <w:rsid w:val="00265E47"/>
    <w:rsid w:val="0026601F"/>
    <w:rsid w:val="002660E7"/>
    <w:rsid w:val="002664D4"/>
    <w:rsid w:val="00266B26"/>
    <w:rsid w:val="00267750"/>
    <w:rsid w:val="0026799C"/>
    <w:rsid w:val="00267E08"/>
    <w:rsid w:val="0027020C"/>
    <w:rsid w:val="0027068F"/>
    <w:rsid w:val="002707D4"/>
    <w:rsid w:val="00270CB5"/>
    <w:rsid w:val="0027165D"/>
    <w:rsid w:val="00271723"/>
    <w:rsid w:val="0027195B"/>
    <w:rsid w:val="00271FCC"/>
    <w:rsid w:val="0027287C"/>
    <w:rsid w:val="002729B0"/>
    <w:rsid w:val="00272BDD"/>
    <w:rsid w:val="00272DCA"/>
    <w:rsid w:val="0027372F"/>
    <w:rsid w:val="00273CEB"/>
    <w:rsid w:val="00273ED0"/>
    <w:rsid w:val="00274D47"/>
    <w:rsid w:val="00275B06"/>
    <w:rsid w:val="00275C92"/>
    <w:rsid w:val="00275DA9"/>
    <w:rsid w:val="002768D3"/>
    <w:rsid w:val="00276F08"/>
    <w:rsid w:val="00276F70"/>
    <w:rsid w:val="0027733C"/>
    <w:rsid w:val="002774BA"/>
    <w:rsid w:val="0027750D"/>
    <w:rsid w:val="002778AE"/>
    <w:rsid w:val="0027798A"/>
    <w:rsid w:val="00277A20"/>
    <w:rsid w:val="00280108"/>
    <w:rsid w:val="002804DA"/>
    <w:rsid w:val="00280599"/>
    <w:rsid w:val="00280675"/>
    <w:rsid w:val="00280E57"/>
    <w:rsid w:val="0028109D"/>
    <w:rsid w:val="0028185F"/>
    <w:rsid w:val="00281C89"/>
    <w:rsid w:val="00281F42"/>
    <w:rsid w:val="002825A4"/>
    <w:rsid w:val="0028282F"/>
    <w:rsid w:val="00282BBD"/>
    <w:rsid w:val="00283684"/>
    <w:rsid w:val="0028389A"/>
    <w:rsid w:val="002838BF"/>
    <w:rsid w:val="002842C6"/>
    <w:rsid w:val="00284436"/>
    <w:rsid w:val="00284612"/>
    <w:rsid w:val="00284A74"/>
    <w:rsid w:val="00284B97"/>
    <w:rsid w:val="00284D02"/>
    <w:rsid w:val="0028520A"/>
    <w:rsid w:val="00285C66"/>
    <w:rsid w:val="00286589"/>
    <w:rsid w:val="00287160"/>
    <w:rsid w:val="002876C1"/>
    <w:rsid w:val="0029004E"/>
    <w:rsid w:val="00290508"/>
    <w:rsid w:val="002907F9"/>
    <w:rsid w:val="0029081E"/>
    <w:rsid w:val="00290DA9"/>
    <w:rsid w:val="0029160A"/>
    <w:rsid w:val="00291762"/>
    <w:rsid w:val="00291CB1"/>
    <w:rsid w:val="00292028"/>
    <w:rsid w:val="0029247A"/>
    <w:rsid w:val="00292FBD"/>
    <w:rsid w:val="00293B9C"/>
    <w:rsid w:val="00294980"/>
    <w:rsid w:val="00294CEA"/>
    <w:rsid w:val="00294DB9"/>
    <w:rsid w:val="00295088"/>
    <w:rsid w:val="002957BD"/>
    <w:rsid w:val="0029593B"/>
    <w:rsid w:val="00295E57"/>
    <w:rsid w:val="00296D9A"/>
    <w:rsid w:val="00296F10"/>
    <w:rsid w:val="00297660"/>
    <w:rsid w:val="0029781C"/>
    <w:rsid w:val="00297B2A"/>
    <w:rsid w:val="00297CBF"/>
    <w:rsid w:val="00297FC5"/>
    <w:rsid w:val="002A0417"/>
    <w:rsid w:val="002A05C2"/>
    <w:rsid w:val="002A0C41"/>
    <w:rsid w:val="002A0F68"/>
    <w:rsid w:val="002A16D8"/>
    <w:rsid w:val="002A1BC8"/>
    <w:rsid w:val="002A1C77"/>
    <w:rsid w:val="002A29DB"/>
    <w:rsid w:val="002A324C"/>
    <w:rsid w:val="002A3377"/>
    <w:rsid w:val="002A3464"/>
    <w:rsid w:val="002A3A82"/>
    <w:rsid w:val="002A3B10"/>
    <w:rsid w:val="002A3DAE"/>
    <w:rsid w:val="002A3ED9"/>
    <w:rsid w:val="002A3EF2"/>
    <w:rsid w:val="002A3FA7"/>
    <w:rsid w:val="002A487F"/>
    <w:rsid w:val="002A57A0"/>
    <w:rsid w:val="002A592F"/>
    <w:rsid w:val="002A6715"/>
    <w:rsid w:val="002A673E"/>
    <w:rsid w:val="002A6899"/>
    <w:rsid w:val="002A7E99"/>
    <w:rsid w:val="002B0386"/>
    <w:rsid w:val="002B0DB2"/>
    <w:rsid w:val="002B0DED"/>
    <w:rsid w:val="002B0F6C"/>
    <w:rsid w:val="002B19A2"/>
    <w:rsid w:val="002B1ED3"/>
    <w:rsid w:val="002B2394"/>
    <w:rsid w:val="002B2C6E"/>
    <w:rsid w:val="002B2F11"/>
    <w:rsid w:val="002B381A"/>
    <w:rsid w:val="002B3DF2"/>
    <w:rsid w:val="002B4596"/>
    <w:rsid w:val="002B474B"/>
    <w:rsid w:val="002B4FCC"/>
    <w:rsid w:val="002B5226"/>
    <w:rsid w:val="002B539B"/>
    <w:rsid w:val="002B5CD2"/>
    <w:rsid w:val="002B5EC4"/>
    <w:rsid w:val="002B650F"/>
    <w:rsid w:val="002B67B5"/>
    <w:rsid w:val="002B6E51"/>
    <w:rsid w:val="002B7408"/>
    <w:rsid w:val="002B7971"/>
    <w:rsid w:val="002B7CFD"/>
    <w:rsid w:val="002C0403"/>
    <w:rsid w:val="002C0497"/>
    <w:rsid w:val="002C0964"/>
    <w:rsid w:val="002C0B8E"/>
    <w:rsid w:val="002C0B90"/>
    <w:rsid w:val="002C0F68"/>
    <w:rsid w:val="002C210F"/>
    <w:rsid w:val="002C211F"/>
    <w:rsid w:val="002C25A5"/>
    <w:rsid w:val="002C26A1"/>
    <w:rsid w:val="002C28E4"/>
    <w:rsid w:val="002C44F3"/>
    <w:rsid w:val="002C482F"/>
    <w:rsid w:val="002C48D8"/>
    <w:rsid w:val="002C4C00"/>
    <w:rsid w:val="002C5597"/>
    <w:rsid w:val="002C55AF"/>
    <w:rsid w:val="002C5AEB"/>
    <w:rsid w:val="002C77AB"/>
    <w:rsid w:val="002D01FA"/>
    <w:rsid w:val="002D0A09"/>
    <w:rsid w:val="002D0BE1"/>
    <w:rsid w:val="002D1036"/>
    <w:rsid w:val="002D1611"/>
    <w:rsid w:val="002D16C3"/>
    <w:rsid w:val="002D1BF3"/>
    <w:rsid w:val="002D28C7"/>
    <w:rsid w:val="002D2E28"/>
    <w:rsid w:val="002D313E"/>
    <w:rsid w:val="002D346F"/>
    <w:rsid w:val="002D3600"/>
    <w:rsid w:val="002D3A16"/>
    <w:rsid w:val="002D3BD1"/>
    <w:rsid w:val="002D3E12"/>
    <w:rsid w:val="002D47CD"/>
    <w:rsid w:val="002D4877"/>
    <w:rsid w:val="002D4D44"/>
    <w:rsid w:val="002D53F3"/>
    <w:rsid w:val="002D623C"/>
    <w:rsid w:val="002D759F"/>
    <w:rsid w:val="002D77AE"/>
    <w:rsid w:val="002D79BD"/>
    <w:rsid w:val="002D7CDA"/>
    <w:rsid w:val="002E0090"/>
    <w:rsid w:val="002E06CA"/>
    <w:rsid w:val="002E0760"/>
    <w:rsid w:val="002E0EF4"/>
    <w:rsid w:val="002E1F6C"/>
    <w:rsid w:val="002E2016"/>
    <w:rsid w:val="002E2101"/>
    <w:rsid w:val="002E2132"/>
    <w:rsid w:val="002E2329"/>
    <w:rsid w:val="002E243E"/>
    <w:rsid w:val="002E3433"/>
    <w:rsid w:val="002E3A09"/>
    <w:rsid w:val="002E4612"/>
    <w:rsid w:val="002E48ED"/>
    <w:rsid w:val="002E4BCA"/>
    <w:rsid w:val="002E4DDC"/>
    <w:rsid w:val="002E59CF"/>
    <w:rsid w:val="002E6144"/>
    <w:rsid w:val="002E61AB"/>
    <w:rsid w:val="002E65BE"/>
    <w:rsid w:val="002E6C63"/>
    <w:rsid w:val="002E6ED9"/>
    <w:rsid w:val="002E75D9"/>
    <w:rsid w:val="002E7BA9"/>
    <w:rsid w:val="002F0C50"/>
    <w:rsid w:val="002F1CB1"/>
    <w:rsid w:val="002F1CF9"/>
    <w:rsid w:val="002F2240"/>
    <w:rsid w:val="002F22F2"/>
    <w:rsid w:val="002F244B"/>
    <w:rsid w:val="002F271D"/>
    <w:rsid w:val="002F3111"/>
    <w:rsid w:val="002F32E2"/>
    <w:rsid w:val="002F3B06"/>
    <w:rsid w:val="002F3E2B"/>
    <w:rsid w:val="002F4162"/>
    <w:rsid w:val="002F42B8"/>
    <w:rsid w:val="002F43F3"/>
    <w:rsid w:val="002F4560"/>
    <w:rsid w:val="002F45E9"/>
    <w:rsid w:val="002F4E7D"/>
    <w:rsid w:val="002F5385"/>
    <w:rsid w:val="002F6312"/>
    <w:rsid w:val="002F6961"/>
    <w:rsid w:val="002F7378"/>
    <w:rsid w:val="002F79F8"/>
    <w:rsid w:val="002F7A8F"/>
    <w:rsid w:val="002F7AE9"/>
    <w:rsid w:val="002F7BDB"/>
    <w:rsid w:val="003010E4"/>
    <w:rsid w:val="003016D7"/>
    <w:rsid w:val="00301D2C"/>
    <w:rsid w:val="00302480"/>
    <w:rsid w:val="00302758"/>
    <w:rsid w:val="00303486"/>
    <w:rsid w:val="00303B59"/>
    <w:rsid w:val="0030407A"/>
    <w:rsid w:val="00304084"/>
    <w:rsid w:val="003043F0"/>
    <w:rsid w:val="00304599"/>
    <w:rsid w:val="003049B7"/>
    <w:rsid w:val="00304B02"/>
    <w:rsid w:val="003063C2"/>
    <w:rsid w:val="00306463"/>
    <w:rsid w:val="0030651E"/>
    <w:rsid w:val="0030680A"/>
    <w:rsid w:val="00306A99"/>
    <w:rsid w:val="00306CE2"/>
    <w:rsid w:val="0030742C"/>
    <w:rsid w:val="0030779D"/>
    <w:rsid w:val="00310256"/>
    <w:rsid w:val="00310623"/>
    <w:rsid w:val="00310DFA"/>
    <w:rsid w:val="00311290"/>
    <w:rsid w:val="00312062"/>
    <w:rsid w:val="003125DD"/>
    <w:rsid w:val="00313087"/>
    <w:rsid w:val="003132A5"/>
    <w:rsid w:val="003133B7"/>
    <w:rsid w:val="00313681"/>
    <w:rsid w:val="00313A76"/>
    <w:rsid w:val="00314858"/>
    <w:rsid w:val="003148EC"/>
    <w:rsid w:val="003165E6"/>
    <w:rsid w:val="003167BA"/>
    <w:rsid w:val="0031686B"/>
    <w:rsid w:val="00316AB5"/>
    <w:rsid w:val="00316CD2"/>
    <w:rsid w:val="00316E09"/>
    <w:rsid w:val="00317FBB"/>
    <w:rsid w:val="0032019F"/>
    <w:rsid w:val="00320295"/>
    <w:rsid w:val="00321341"/>
    <w:rsid w:val="003213DD"/>
    <w:rsid w:val="003215B5"/>
    <w:rsid w:val="003219C6"/>
    <w:rsid w:val="00321A1A"/>
    <w:rsid w:val="00321A23"/>
    <w:rsid w:val="00321C2D"/>
    <w:rsid w:val="003221CF"/>
    <w:rsid w:val="00322BF2"/>
    <w:rsid w:val="00322F26"/>
    <w:rsid w:val="00322F74"/>
    <w:rsid w:val="003233ED"/>
    <w:rsid w:val="0032356E"/>
    <w:rsid w:val="003243EA"/>
    <w:rsid w:val="00324D9F"/>
    <w:rsid w:val="00325295"/>
    <w:rsid w:val="00325BD8"/>
    <w:rsid w:val="00326382"/>
    <w:rsid w:val="00326735"/>
    <w:rsid w:val="00326A7C"/>
    <w:rsid w:val="00326AFD"/>
    <w:rsid w:val="00326CA7"/>
    <w:rsid w:val="00326DDD"/>
    <w:rsid w:val="00326F92"/>
    <w:rsid w:val="00327374"/>
    <w:rsid w:val="0032749A"/>
    <w:rsid w:val="00327948"/>
    <w:rsid w:val="00327CE9"/>
    <w:rsid w:val="0033000F"/>
    <w:rsid w:val="00330DFB"/>
    <w:rsid w:val="0033165C"/>
    <w:rsid w:val="00332011"/>
    <w:rsid w:val="00332041"/>
    <w:rsid w:val="00332077"/>
    <w:rsid w:val="00332518"/>
    <w:rsid w:val="0033259A"/>
    <w:rsid w:val="0033280E"/>
    <w:rsid w:val="00332925"/>
    <w:rsid w:val="0033294C"/>
    <w:rsid w:val="003332ED"/>
    <w:rsid w:val="00333CFA"/>
    <w:rsid w:val="003340CE"/>
    <w:rsid w:val="00334350"/>
    <w:rsid w:val="00334B99"/>
    <w:rsid w:val="003351E6"/>
    <w:rsid w:val="0033596C"/>
    <w:rsid w:val="003362CE"/>
    <w:rsid w:val="00336407"/>
    <w:rsid w:val="00336785"/>
    <w:rsid w:val="00336854"/>
    <w:rsid w:val="003368DC"/>
    <w:rsid w:val="0033727F"/>
    <w:rsid w:val="0033741E"/>
    <w:rsid w:val="003377E7"/>
    <w:rsid w:val="00340B06"/>
    <w:rsid w:val="003410AF"/>
    <w:rsid w:val="00341219"/>
    <w:rsid w:val="00341F46"/>
    <w:rsid w:val="003423BB"/>
    <w:rsid w:val="00342734"/>
    <w:rsid w:val="0034319E"/>
    <w:rsid w:val="00343D24"/>
    <w:rsid w:val="003441E7"/>
    <w:rsid w:val="00344253"/>
    <w:rsid w:val="00345255"/>
    <w:rsid w:val="00345927"/>
    <w:rsid w:val="003459EB"/>
    <w:rsid w:val="00345CEA"/>
    <w:rsid w:val="00347B63"/>
    <w:rsid w:val="00350584"/>
    <w:rsid w:val="00350D18"/>
    <w:rsid w:val="00350E40"/>
    <w:rsid w:val="00351857"/>
    <w:rsid w:val="00352671"/>
    <w:rsid w:val="00352BF8"/>
    <w:rsid w:val="00353023"/>
    <w:rsid w:val="00353082"/>
    <w:rsid w:val="0035310C"/>
    <w:rsid w:val="00353216"/>
    <w:rsid w:val="00354588"/>
    <w:rsid w:val="003545E8"/>
    <w:rsid w:val="00354600"/>
    <w:rsid w:val="00355159"/>
    <w:rsid w:val="00355B23"/>
    <w:rsid w:val="00356210"/>
    <w:rsid w:val="00356852"/>
    <w:rsid w:val="00357773"/>
    <w:rsid w:val="003577EA"/>
    <w:rsid w:val="00357D39"/>
    <w:rsid w:val="003604F8"/>
    <w:rsid w:val="003604FC"/>
    <w:rsid w:val="003607FB"/>
    <w:rsid w:val="00360EF3"/>
    <w:rsid w:val="003610E1"/>
    <w:rsid w:val="00361B43"/>
    <w:rsid w:val="003621F3"/>
    <w:rsid w:val="00363CBB"/>
    <w:rsid w:val="0036442D"/>
    <w:rsid w:val="00364435"/>
    <w:rsid w:val="0036497B"/>
    <w:rsid w:val="00364DAD"/>
    <w:rsid w:val="00365B79"/>
    <w:rsid w:val="00366CEF"/>
    <w:rsid w:val="003671BE"/>
    <w:rsid w:val="003671D9"/>
    <w:rsid w:val="003678BD"/>
    <w:rsid w:val="00370A59"/>
    <w:rsid w:val="003711A6"/>
    <w:rsid w:val="00372033"/>
    <w:rsid w:val="0037235B"/>
    <w:rsid w:val="00372485"/>
    <w:rsid w:val="00373200"/>
    <w:rsid w:val="003732FA"/>
    <w:rsid w:val="00373A6A"/>
    <w:rsid w:val="003741F0"/>
    <w:rsid w:val="00374282"/>
    <w:rsid w:val="00374D51"/>
    <w:rsid w:val="00374D93"/>
    <w:rsid w:val="0037515C"/>
    <w:rsid w:val="00375198"/>
    <w:rsid w:val="0037519C"/>
    <w:rsid w:val="00375459"/>
    <w:rsid w:val="00375BBE"/>
    <w:rsid w:val="00375EF5"/>
    <w:rsid w:val="00376310"/>
    <w:rsid w:val="003767A5"/>
    <w:rsid w:val="00376A07"/>
    <w:rsid w:val="00376C50"/>
    <w:rsid w:val="00376D2C"/>
    <w:rsid w:val="00376F4F"/>
    <w:rsid w:val="0038041D"/>
    <w:rsid w:val="00381145"/>
    <w:rsid w:val="00381522"/>
    <w:rsid w:val="00381D15"/>
    <w:rsid w:val="003827AE"/>
    <w:rsid w:val="0038308E"/>
    <w:rsid w:val="0038374E"/>
    <w:rsid w:val="00384295"/>
    <w:rsid w:val="003844D0"/>
    <w:rsid w:val="003845C9"/>
    <w:rsid w:val="00384B7C"/>
    <w:rsid w:val="00384C4C"/>
    <w:rsid w:val="00385247"/>
    <w:rsid w:val="00385254"/>
    <w:rsid w:val="00385343"/>
    <w:rsid w:val="00385454"/>
    <w:rsid w:val="003854A2"/>
    <w:rsid w:val="00385509"/>
    <w:rsid w:val="0038571C"/>
    <w:rsid w:val="003866C7"/>
    <w:rsid w:val="0038737D"/>
    <w:rsid w:val="003877E4"/>
    <w:rsid w:val="00387A00"/>
    <w:rsid w:val="00387E7D"/>
    <w:rsid w:val="00390163"/>
    <w:rsid w:val="0039119A"/>
    <w:rsid w:val="0039167A"/>
    <w:rsid w:val="00392BC3"/>
    <w:rsid w:val="00393103"/>
    <w:rsid w:val="00393866"/>
    <w:rsid w:val="00393D87"/>
    <w:rsid w:val="0039429B"/>
    <w:rsid w:val="00394DBD"/>
    <w:rsid w:val="00395255"/>
    <w:rsid w:val="00396C03"/>
    <w:rsid w:val="00396DCB"/>
    <w:rsid w:val="00396E5B"/>
    <w:rsid w:val="0039747D"/>
    <w:rsid w:val="00397667"/>
    <w:rsid w:val="003A04BE"/>
    <w:rsid w:val="003A04DB"/>
    <w:rsid w:val="003A10BF"/>
    <w:rsid w:val="003A1242"/>
    <w:rsid w:val="003A1B2E"/>
    <w:rsid w:val="003A3767"/>
    <w:rsid w:val="003A3A55"/>
    <w:rsid w:val="003A4205"/>
    <w:rsid w:val="003A480E"/>
    <w:rsid w:val="003A4D76"/>
    <w:rsid w:val="003A54A7"/>
    <w:rsid w:val="003A5673"/>
    <w:rsid w:val="003A5F5B"/>
    <w:rsid w:val="003A617D"/>
    <w:rsid w:val="003A6443"/>
    <w:rsid w:val="003A69C6"/>
    <w:rsid w:val="003A789A"/>
    <w:rsid w:val="003A7A3C"/>
    <w:rsid w:val="003A7ACD"/>
    <w:rsid w:val="003B01F3"/>
    <w:rsid w:val="003B0BB2"/>
    <w:rsid w:val="003B12EC"/>
    <w:rsid w:val="003B1350"/>
    <w:rsid w:val="003B14FA"/>
    <w:rsid w:val="003B1DE3"/>
    <w:rsid w:val="003B277E"/>
    <w:rsid w:val="003B2CD1"/>
    <w:rsid w:val="003B3418"/>
    <w:rsid w:val="003B3B15"/>
    <w:rsid w:val="003B3C94"/>
    <w:rsid w:val="003B4044"/>
    <w:rsid w:val="003B422C"/>
    <w:rsid w:val="003B499E"/>
    <w:rsid w:val="003B4AA6"/>
    <w:rsid w:val="003B5483"/>
    <w:rsid w:val="003B5B83"/>
    <w:rsid w:val="003B5F6C"/>
    <w:rsid w:val="003B6081"/>
    <w:rsid w:val="003B6671"/>
    <w:rsid w:val="003B75C9"/>
    <w:rsid w:val="003B76C3"/>
    <w:rsid w:val="003C0869"/>
    <w:rsid w:val="003C0EA6"/>
    <w:rsid w:val="003C118A"/>
    <w:rsid w:val="003C17EE"/>
    <w:rsid w:val="003C20C5"/>
    <w:rsid w:val="003C2BCF"/>
    <w:rsid w:val="003C304E"/>
    <w:rsid w:val="003C3612"/>
    <w:rsid w:val="003C3A01"/>
    <w:rsid w:val="003C3B39"/>
    <w:rsid w:val="003C4C8D"/>
    <w:rsid w:val="003C4CC0"/>
    <w:rsid w:val="003C5F3B"/>
    <w:rsid w:val="003C636A"/>
    <w:rsid w:val="003C69A5"/>
    <w:rsid w:val="003C72DF"/>
    <w:rsid w:val="003C77E0"/>
    <w:rsid w:val="003D12FD"/>
    <w:rsid w:val="003D16BC"/>
    <w:rsid w:val="003D1734"/>
    <w:rsid w:val="003D17D7"/>
    <w:rsid w:val="003D187D"/>
    <w:rsid w:val="003D1D6E"/>
    <w:rsid w:val="003D2678"/>
    <w:rsid w:val="003D340E"/>
    <w:rsid w:val="003D3561"/>
    <w:rsid w:val="003D3DAC"/>
    <w:rsid w:val="003D47C4"/>
    <w:rsid w:val="003D4AE9"/>
    <w:rsid w:val="003D4D90"/>
    <w:rsid w:val="003D4F29"/>
    <w:rsid w:val="003D5216"/>
    <w:rsid w:val="003D5DE2"/>
    <w:rsid w:val="003D61E1"/>
    <w:rsid w:val="003D68E4"/>
    <w:rsid w:val="003D6DF1"/>
    <w:rsid w:val="003D71A3"/>
    <w:rsid w:val="003D79BD"/>
    <w:rsid w:val="003D7F0D"/>
    <w:rsid w:val="003E0AB7"/>
    <w:rsid w:val="003E0FD4"/>
    <w:rsid w:val="003E10C8"/>
    <w:rsid w:val="003E1A44"/>
    <w:rsid w:val="003E283A"/>
    <w:rsid w:val="003E2B8A"/>
    <w:rsid w:val="003E2D44"/>
    <w:rsid w:val="003E2DF2"/>
    <w:rsid w:val="003E31BC"/>
    <w:rsid w:val="003E3203"/>
    <w:rsid w:val="003E45DA"/>
    <w:rsid w:val="003E46B3"/>
    <w:rsid w:val="003E4E74"/>
    <w:rsid w:val="003E5446"/>
    <w:rsid w:val="003E54F0"/>
    <w:rsid w:val="003E60AA"/>
    <w:rsid w:val="003E6319"/>
    <w:rsid w:val="003E6505"/>
    <w:rsid w:val="003E6A1D"/>
    <w:rsid w:val="003E6FEE"/>
    <w:rsid w:val="003E6FF9"/>
    <w:rsid w:val="003E74D0"/>
    <w:rsid w:val="003E752D"/>
    <w:rsid w:val="003E79E9"/>
    <w:rsid w:val="003E7C5D"/>
    <w:rsid w:val="003E7D2D"/>
    <w:rsid w:val="003F07E6"/>
    <w:rsid w:val="003F0D67"/>
    <w:rsid w:val="003F10EE"/>
    <w:rsid w:val="003F1302"/>
    <w:rsid w:val="003F136E"/>
    <w:rsid w:val="003F14A1"/>
    <w:rsid w:val="003F16F6"/>
    <w:rsid w:val="003F186E"/>
    <w:rsid w:val="003F1B47"/>
    <w:rsid w:val="003F3924"/>
    <w:rsid w:val="003F409D"/>
    <w:rsid w:val="003F41C2"/>
    <w:rsid w:val="003F4B8A"/>
    <w:rsid w:val="003F4DC7"/>
    <w:rsid w:val="003F4E5A"/>
    <w:rsid w:val="003F4E97"/>
    <w:rsid w:val="003F4FCF"/>
    <w:rsid w:val="003F5235"/>
    <w:rsid w:val="003F56CF"/>
    <w:rsid w:val="003F5755"/>
    <w:rsid w:val="003F663A"/>
    <w:rsid w:val="003F6E8F"/>
    <w:rsid w:val="003F722E"/>
    <w:rsid w:val="003F7840"/>
    <w:rsid w:val="004016E2"/>
    <w:rsid w:val="004027E4"/>
    <w:rsid w:val="00402C10"/>
    <w:rsid w:val="00403548"/>
    <w:rsid w:val="00403E5B"/>
    <w:rsid w:val="0040457A"/>
    <w:rsid w:val="0040477A"/>
    <w:rsid w:val="004057CD"/>
    <w:rsid w:val="00406EE1"/>
    <w:rsid w:val="00407064"/>
    <w:rsid w:val="004076D2"/>
    <w:rsid w:val="00407782"/>
    <w:rsid w:val="00407892"/>
    <w:rsid w:val="0041008D"/>
    <w:rsid w:val="0041071D"/>
    <w:rsid w:val="004110EB"/>
    <w:rsid w:val="00413405"/>
    <w:rsid w:val="00413AFC"/>
    <w:rsid w:val="00414498"/>
    <w:rsid w:val="00414AFC"/>
    <w:rsid w:val="00414B19"/>
    <w:rsid w:val="004150BE"/>
    <w:rsid w:val="004151A7"/>
    <w:rsid w:val="00415310"/>
    <w:rsid w:val="0041534E"/>
    <w:rsid w:val="00416B75"/>
    <w:rsid w:val="00417AD6"/>
    <w:rsid w:val="00421286"/>
    <w:rsid w:val="00421709"/>
    <w:rsid w:val="0042237D"/>
    <w:rsid w:val="00422F50"/>
    <w:rsid w:val="004230D2"/>
    <w:rsid w:val="00423763"/>
    <w:rsid w:val="00423831"/>
    <w:rsid w:val="00423C42"/>
    <w:rsid w:val="00424010"/>
    <w:rsid w:val="004240F5"/>
    <w:rsid w:val="004243F5"/>
    <w:rsid w:val="004244F0"/>
    <w:rsid w:val="00424B79"/>
    <w:rsid w:val="004255DB"/>
    <w:rsid w:val="00425900"/>
    <w:rsid w:val="00425DE6"/>
    <w:rsid w:val="00425FFA"/>
    <w:rsid w:val="0042677E"/>
    <w:rsid w:val="0042762F"/>
    <w:rsid w:val="004278C1"/>
    <w:rsid w:val="00427CE3"/>
    <w:rsid w:val="00427DC7"/>
    <w:rsid w:val="00427FFD"/>
    <w:rsid w:val="0043021D"/>
    <w:rsid w:val="0043026D"/>
    <w:rsid w:val="00430C57"/>
    <w:rsid w:val="00431613"/>
    <w:rsid w:val="00431792"/>
    <w:rsid w:val="00431BE0"/>
    <w:rsid w:val="0043297A"/>
    <w:rsid w:val="00432EB2"/>
    <w:rsid w:val="004335DD"/>
    <w:rsid w:val="00433C94"/>
    <w:rsid w:val="00434424"/>
    <w:rsid w:val="00434AAA"/>
    <w:rsid w:val="00434D90"/>
    <w:rsid w:val="0043544A"/>
    <w:rsid w:val="004354B8"/>
    <w:rsid w:val="00435B5F"/>
    <w:rsid w:val="00436038"/>
    <w:rsid w:val="00436172"/>
    <w:rsid w:val="0043623A"/>
    <w:rsid w:val="0043639E"/>
    <w:rsid w:val="00436837"/>
    <w:rsid w:val="004368BF"/>
    <w:rsid w:val="004369DD"/>
    <w:rsid w:val="00436DC8"/>
    <w:rsid w:val="0043714F"/>
    <w:rsid w:val="004373C7"/>
    <w:rsid w:val="0043742E"/>
    <w:rsid w:val="00437B60"/>
    <w:rsid w:val="00440015"/>
    <w:rsid w:val="004400E2"/>
    <w:rsid w:val="004400F4"/>
    <w:rsid w:val="004415EE"/>
    <w:rsid w:val="00441E16"/>
    <w:rsid w:val="00442104"/>
    <w:rsid w:val="004421B5"/>
    <w:rsid w:val="00442AFB"/>
    <w:rsid w:val="00443515"/>
    <w:rsid w:val="00443779"/>
    <w:rsid w:val="004438B5"/>
    <w:rsid w:val="00443C37"/>
    <w:rsid w:val="00443CB6"/>
    <w:rsid w:val="00443F00"/>
    <w:rsid w:val="0044410E"/>
    <w:rsid w:val="0044414C"/>
    <w:rsid w:val="00444A21"/>
    <w:rsid w:val="00444BE4"/>
    <w:rsid w:val="00445279"/>
    <w:rsid w:val="00446317"/>
    <w:rsid w:val="0044636E"/>
    <w:rsid w:val="0044679C"/>
    <w:rsid w:val="00446A9B"/>
    <w:rsid w:val="00446F29"/>
    <w:rsid w:val="00447037"/>
    <w:rsid w:val="0044708A"/>
    <w:rsid w:val="004478E2"/>
    <w:rsid w:val="00447C18"/>
    <w:rsid w:val="00450393"/>
    <w:rsid w:val="0045053E"/>
    <w:rsid w:val="00450791"/>
    <w:rsid w:val="00450A77"/>
    <w:rsid w:val="00450EFB"/>
    <w:rsid w:val="00450FC2"/>
    <w:rsid w:val="00450FC5"/>
    <w:rsid w:val="004511C5"/>
    <w:rsid w:val="0045124D"/>
    <w:rsid w:val="00451595"/>
    <w:rsid w:val="004521AE"/>
    <w:rsid w:val="004528EC"/>
    <w:rsid w:val="0045363C"/>
    <w:rsid w:val="00454117"/>
    <w:rsid w:val="00454596"/>
    <w:rsid w:val="00455930"/>
    <w:rsid w:val="0045605D"/>
    <w:rsid w:val="004566F5"/>
    <w:rsid w:val="00457120"/>
    <w:rsid w:val="00457AF1"/>
    <w:rsid w:val="00457B1B"/>
    <w:rsid w:val="00460263"/>
    <w:rsid w:val="00461077"/>
    <w:rsid w:val="0046135B"/>
    <w:rsid w:val="00461B39"/>
    <w:rsid w:val="00461D06"/>
    <w:rsid w:val="00461D47"/>
    <w:rsid w:val="00461E36"/>
    <w:rsid w:val="00462C13"/>
    <w:rsid w:val="00462CD8"/>
    <w:rsid w:val="00465177"/>
    <w:rsid w:val="004652C8"/>
    <w:rsid w:val="004666FA"/>
    <w:rsid w:val="0046711E"/>
    <w:rsid w:val="0046730C"/>
    <w:rsid w:val="0046735C"/>
    <w:rsid w:val="004675F4"/>
    <w:rsid w:val="00467936"/>
    <w:rsid w:val="00467969"/>
    <w:rsid w:val="0047010A"/>
    <w:rsid w:val="0047014E"/>
    <w:rsid w:val="0047058E"/>
    <w:rsid w:val="00470AFE"/>
    <w:rsid w:val="00470B7D"/>
    <w:rsid w:val="0047168B"/>
    <w:rsid w:val="004718CC"/>
    <w:rsid w:val="00471F00"/>
    <w:rsid w:val="0047238B"/>
    <w:rsid w:val="00472540"/>
    <w:rsid w:val="00472ABD"/>
    <w:rsid w:val="0047354D"/>
    <w:rsid w:val="00473D23"/>
    <w:rsid w:val="004749BC"/>
    <w:rsid w:val="00474F60"/>
    <w:rsid w:val="00475AA3"/>
    <w:rsid w:val="00475E3C"/>
    <w:rsid w:val="004761B4"/>
    <w:rsid w:val="004776D8"/>
    <w:rsid w:val="00477B16"/>
    <w:rsid w:val="00477BBF"/>
    <w:rsid w:val="00481322"/>
    <w:rsid w:val="00481695"/>
    <w:rsid w:val="004818A1"/>
    <w:rsid w:val="00481F5F"/>
    <w:rsid w:val="004829A6"/>
    <w:rsid w:val="00483641"/>
    <w:rsid w:val="00483CF1"/>
    <w:rsid w:val="00483D90"/>
    <w:rsid w:val="004841B2"/>
    <w:rsid w:val="0048481C"/>
    <w:rsid w:val="0048499C"/>
    <w:rsid w:val="00484B25"/>
    <w:rsid w:val="00484BCA"/>
    <w:rsid w:val="00484E8A"/>
    <w:rsid w:val="004852F9"/>
    <w:rsid w:val="00485506"/>
    <w:rsid w:val="00485770"/>
    <w:rsid w:val="004864E7"/>
    <w:rsid w:val="004865DA"/>
    <w:rsid w:val="004866B9"/>
    <w:rsid w:val="00486BB8"/>
    <w:rsid w:val="00486F57"/>
    <w:rsid w:val="00486FC0"/>
    <w:rsid w:val="0048700A"/>
    <w:rsid w:val="0049060C"/>
    <w:rsid w:val="00490656"/>
    <w:rsid w:val="004907F9"/>
    <w:rsid w:val="00490B5A"/>
    <w:rsid w:val="00490D57"/>
    <w:rsid w:val="0049120F"/>
    <w:rsid w:val="0049255C"/>
    <w:rsid w:val="004935E4"/>
    <w:rsid w:val="00493927"/>
    <w:rsid w:val="00493A7E"/>
    <w:rsid w:val="004945FC"/>
    <w:rsid w:val="0049527F"/>
    <w:rsid w:val="004953FB"/>
    <w:rsid w:val="00495A96"/>
    <w:rsid w:val="00495BB3"/>
    <w:rsid w:val="004962DC"/>
    <w:rsid w:val="00496329"/>
    <w:rsid w:val="00496BA2"/>
    <w:rsid w:val="00497047"/>
    <w:rsid w:val="004976F8"/>
    <w:rsid w:val="00497CCC"/>
    <w:rsid w:val="00497F9B"/>
    <w:rsid w:val="004A0485"/>
    <w:rsid w:val="004A082B"/>
    <w:rsid w:val="004A0A6C"/>
    <w:rsid w:val="004A0A99"/>
    <w:rsid w:val="004A1DCB"/>
    <w:rsid w:val="004A2044"/>
    <w:rsid w:val="004A308B"/>
    <w:rsid w:val="004A32ED"/>
    <w:rsid w:val="004A56BB"/>
    <w:rsid w:val="004A5977"/>
    <w:rsid w:val="004A698B"/>
    <w:rsid w:val="004A6B2B"/>
    <w:rsid w:val="004A70D6"/>
    <w:rsid w:val="004A7666"/>
    <w:rsid w:val="004A79D1"/>
    <w:rsid w:val="004A7B86"/>
    <w:rsid w:val="004B037F"/>
    <w:rsid w:val="004B0496"/>
    <w:rsid w:val="004B1702"/>
    <w:rsid w:val="004B1751"/>
    <w:rsid w:val="004B184A"/>
    <w:rsid w:val="004B1FCB"/>
    <w:rsid w:val="004B2328"/>
    <w:rsid w:val="004B2ABA"/>
    <w:rsid w:val="004B2D92"/>
    <w:rsid w:val="004B341C"/>
    <w:rsid w:val="004B4267"/>
    <w:rsid w:val="004B4817"/>
    <w:rsid w:val="004B4D29"/>
    <w:rsid w:val="004B51FB"/>
    <w:rsid w:val="004B5760"/>
    <w:rsid w:val="004B7728"/>
    <w:rsid w:val="004B7976"/>
    <w:rsid w:val="004B7DAF"/>
    <w:rsid w:val="004C0253"/>
    <w:rsid w:val="004C122F"/>
    <w:rsid w:val="004C1968"/>
    <w:rsid w:val="004C1971"/>
    <w:rsid w:val="004C28D5"/>
    <w:rsid w:val="004C2C9D"/>
    <w:rsid w:val="004C2ED1"/>
    <w:rsid w:val="004C4062"/>
    <w:rsid w:val="004C40F2"/>
    <w:rsid w:val="004C4644"/>
    <w:rsid w:val="004C4BE1"/>
    <w:rsid w:val="004C4CCD"/>
    <w:rsid w:val="004C4E40"/>
    <w:rsid w:val="004C500E"/>
    <w:rsid w:val="004C6171"/>
    <w:rsid w:val="004C6378"/>
    <w:rsid w:val="004C6A6F"/>
    <w:rsid w:val="004C6B6C"/>
    <w:rsid w:val="004C6DC0"/>
    <w:rsid w:val="004C7517"/>
    <w:rsid w:val="004C7E91"/>
    <w:rsid w:val="004D0241"/>
    <w:rsid w:val="004D1BBF"/>
    <w:rsid w:val="004D27E0"/>
    <w:rsid w:val="004D2E61"/>
    <w:rsid w:val="004D3339"/>
    <w:rsid w:val="004D3684"/>
    <w:rsid w:val="004D437E"/>
    <w:rsid w:val="004D4401"/>
    <w:rsid w:val="004D4F13"/>
    <w:rsid w:val="004D56FF"/>
    <w:rsid w:val="004D5DE4"/>
    <w:rsid w:val="004D7078"/>
    <w:rsid w:val="004E099D"/>
    <w:rsid w:val="004E0C2D"/>
    <w:rsid w:val="004E0E6F"/>
    <w:rsid w:val="004E0F62"/>
    <w:rsid w:val="004E15EE"/>
    <w:rsid w:val="004E195B"/>
    <w:rsid w:val="004E1985"/>
    <w:rsid w:val="004E2070"/>
    <w:rsid w:val="004E22A5"/>
    <w:rsid w:val="004E2C28"/>
    <w:rsid w:val="004E3903"/>
    <w:rsid w:val="004E39D3"/>
    <w:rsid w:val="004E3D5E"/>
    <w:rsid w:val="004E4542"/>
    <w:rsid w:val="004E46E1"/>
    <w:rsid w:val="004E4B05"/>
    <w:rsid w:val="004E508A"/>
    <w:rsid w:val="004E57CC"/>
    <w:rsid w:val="004E616D"/>
    <w:rsid w:val="004E76B0"/>
    <w:rsid w:val="004E79A5"/>
    <w:rsid w:val="004F0460"/>
    <w:rsid w:val="004F0C8D"/>
    <w:rsid w:val="004F0EA0"/>
    <w:rsid w:val="004F1006"/>
    <w:rsid w:val="004F15F6"/>
    <w:rsid w:val="004F16EA"/>
    <w:rsid w:val="004F1BDE"/>
    <w:rsid w:val="004F1DB8"/>
    <w:rsid w:val="004F1DE2"/>
    <w:rsid w:val="004F2CEE"/>
    <w:rsid w:val="004F3E66"/>
    <w:rsid w:val="004F4556"/>
    <w:rsid w:val="004F46FD"/>
    <w:rsid w:val="004F4DAC"/>
    <w:rsid w:val="004F4FA2"/>
    <w:rsid w:val="004F51DA"/>
    <w:rsid w:val="004F52B2"/>
    <w:rsid w:val="004F53AC"/>
    <w:rsid w:val="004F53CB"/>
    <w:rsid w:val="004F556E"/>
    <w:rsid w:val="004F591C"/>
    <w:rsid w:val="004F5C11"/>
    <w:rsid w:val="004F6940"/>
    <w:rsid w:val="004F70C1"/>
    <w:rsid w:val="004F7606"/>
    <w:rsid w:val="004F7DB9"/>
    <w:rsid w:val="004F7F44"/>
    <w:rsid w:val="00500568"/>
    <w:rsid w:val="00500EF9"/>
    <w:rsid w:val="00501C29"/>
    <w:rsid w:val="00501EBB"/>
    <w:rsid w:val="00502704"/>
    <w:rsid w:val="00503293"/>
    <w:rsid w:val="005037B4"/>
    <w:rsid w:val="005052DE"/>
    <w:rsid w:val="00505ACC"/>
    <w:rsid w:val="00505CE3"/>
    <w:rsid w:val="0050649C"/>
    <w:rsid w:val="005067B6"/>
    <w:rsid w:val="00507410"/>
    <w:rsid w:val="005078A8"/>
    <w:rsid w:val="005079BF"/>
    <w:rsid w:val="0051070B"/>
    <w:rsid w:val="00511014"/>
    <w:rsid w:val="00511643"/>
    <w:rsid w:val="0051169B"/>
    <w:rsid w:val="0051269A"/>
    <w:rsid w:val="005127FA"/>
    <w:rsid w:val="00512906"/>
    <w:rsid w:val="00512A77"/>
    <w:rsid w:val="005144FA"/>
    <w:rsid w:val="00514D98"/>
    <w:rsid w:val="00514F98"/>
    <w:rsid w:val="00515180"/>
    <w:rsid w:val="0051522A"/>
    <w:rsid w:val="0051524F"/>
    <w:rsid w:val="005152B8"/>
    <w:rsid w:val="00516B36"/>
    <w:rsid w:val="00517111"/>
    <w:rsid w:val="00517552"/>
    <w:rsid w:val="00517ECE"/>
    <w:rsid w:val="005219E7"/>
    <w:rsid w:val="00521AF2"/>
    <w:rsid w:val="00521CE1"/>
    <w:rsid w:val="00521ED4"/>
    <w:rsid w:val="00521EDB"/>
    <w:rsid w:val="0052300A"/>
    <w:rsid w:val="00523B38"/>
    <w:rsid w:val="005245A9"/>
    <w:rsid w:val="00524B2E"/>
    <w:rsid w:val="00525B37"/>
    <w:rsid w:val="00525B39"/>
    <w:rsid w:val="00525E9B"/>
    <w:rsid w:val="0052611A"/>
    <w:rsid w:val="005274D1"/>
    <w:rsid w:val="00527625"/>
    <w:rsid w:val="005278AF"/>
    <w:rsid w:val="005301A8"/>
    <w:rsid w:val="00530273"/>
    <w:rsid w:val="00530442"/>
    <w:rsid w:val="00530632"/>
    <w:rsid w:val="00531582"/>
    <w:rsid w:val="00531B9A"/>
    <w:rsid w:val="00531D15"/>
    <w:rsid w:val="00532022"/>
    <w:rsid w:val="00532392"/>
    <w:rsid w:val="0053305D"/>
    <w:rsid w:val="005331B8"/>
    <w:rsid w:val="00533282"/>
    <w:rsid w:val="00533FB4"/>
    <w:rsid w:val="00535148"/>
    <w:rsid w:val="00535B8B"/>
    <w:rsid w:val="00535EBE"/>
    <w:rsid w:val="0053676B"/>
    <w:rsid w:val="00536A59"/>
    <w:rsid w:val="00536FE9"/>
    <w:rsid w:val="00537480"/>
    <w:rsid w:val="00537604"/>
    <w:rsid w:val="00537952"/>
    <w:rsid w:val="00537CAE"/>
    <w:rsid w:val="005404E3"/>
    <w:rsid w:val="00540B67"/>
    <w:rsid w:val="0054160B"/>
    <w:rsid w:val="00542219"/>
    <w:rsid w:val="00542377"/>
    <w:rsid w:val="0054369D"/>
    <w:rsid w:val="00543724"/>
    <w:rsid w:val="005437B9"/>
    <w:rsid w:val="005439D1"/>
    <w:rsid w:val="00543E31"/>
    <w:rsid w:val="00543E32"/>
    <w:rsid w:val="00543EE8"/>
    <w:rsid w:val="00543F9E"/>
    <w:rsid w:val="00544204"/>
    <w:rsid w:val="00544398"/>
    <w:rsid w:val="005445AB"/>
    <w:rsid w:val="005458DF"/>
    <w:rsid w:val="00545A4D"/>
    <w:rsid w:val="0054674B"/>
    <w:rsid w:val="005471AE"/>
    <w:rsid w:val="00547617"/>
    <w:rsid w:val="005476EB"/>
    <w:rsid w:val="0055006D"/>
    <w:rsid w:val="0055045E"/>
    <w:rsid w:val="00550E49"/>
    <w:rsid w:val="00551782"/>
    <w:rsid w:val="00552389"/>
    <w:rsid w:val="00552749"/>
    <w:rsid w:val="00552753"/>
    <w:rsid w:val="005530C4"/>
    <w:rsid w:val="00553D7C"/>
    <w:rsid w:val="00554060"/>
    <w:rsid w:val="00555407"/>
    <w:rsid w:val="00555A6E"/>
    <w:rsid w:val="00555A73"/>
    <w:rsid w:val="00555D7F"/>
    <w:rsid w:val="005566E8"/>
    <w:rsid w:val="00556C5C"/>
    <w:rsid w:val="0055786C"/>
    <w:rsid w:val="00557B7C"/>
    <w:rsid w:val="00557C18"/>
    <w:rsid w:val="00557F81"/>
    <w:rsid w:val="00560162"/>
    <w:rsid w:val="00560D40"/>
    <w:rsid w:val="00560F25"/>
    <w:rsid w:val="00560F57"/>
    <w:rsid w:val="0056187B"/>
    <w:rsid w:val="00561AA9"/>
    <w:rsid w:val="00561D9B"/>
    <w:rsid w:val="00561E3E"/>
    <w:rsid w:val="00563313"/>
    <w:rsid w:val="005633DE"/>
    <w:rsid w:val="00563AED"/>
    <w:rsid w:val="00563EF1"/>
    <w:rsid w:val="00564412"/>
    <w:rsid w:val="0056537C"/>
    <w:rsid w:val="00565620"/>
    <w:rsid w:val="0056573E"/>
    <w:rsid w:val="0056581E"/>
    <w:rsid w:val="00565CF7"/>
    <w:rsid w:val="00565EEC"/>
    <w:rsid w:val="00566553"/>
    <w:rsid w:val="00566702"/>
    <w:rsid w:val="005668D0"/>
    <w:rsid w:val="00566AB4"/>
    <w:rsid w:val="00566DA1"/>
    <w:rsid w:val="00567345"/>
    <w:rsid w:val="005702C9"/>
    <w:rsid w:val="00571027"/>
    <w:rsid w:val="00571065"/>
    <w:rsid w:val="005710C0"/>
    <w:rsid w:val="005710F8"/>
    <w:rsid w:val="00571149"/>
    <w:rsid w:val="00571333"/>
    <w:rsid w:val="00571A3E"/>
    <w:rsid w:val="0057207F"/>
    <w:rsid w:val="005722EB"/>
    <w:rsid w:val="00572B2B"/>
    <w:rsid w:val="00572EC5"/>
    <w:rsid w:val="0057323B"/>
    <w:rsid w:val="0057339A"/>
    <w:rsid w:val="005735E7"/>
    <w:rsid w:val="005739AD"/>
    <w:rsid w:val="00573CE4"/>
    <w:rsid w:val="0057405C"/>
    <w:rsid w:val="0057408C"/>
    <w:rsid w:val="0057435E"/>
    <w:rsid w:val="00574B53"/>
    <w:rsid w:val="005751C5"/>
    <w:rsid w:val="00575A13"/>
    <w:rsid w:val="00575AC5"/>
    <w:rsid w:val="00575AE1"/>
    <w:rsid w:val="0057605D"/>
    <w:rsid w:val="00576753"/>
    <w:rsid w:val="00576894"/>
    <w:rsid w:val="0057695D"/>
    <w:rsid w:val="00577500"/>
    <w:rsid w:val="005776F5"/>
    <w:rsid w:val="00577B55"/>
    <w:rsid w:val="00577B69"/>
    <w:rsid w:val="0058061B"/>
    <w:rsid w:val="00581026"/>
    <w:rsid w:val="00581347"/>
    <w:rsid w:val="005818CE"/>
    <w:rsid w:val="00581AC9"/>
    <w:rsid w:val="00582DF3"/>
    <w:rsid w:val="005832D2"/>
    <w:rsid w:val="00583963"/>
    <w:rsid w:val="005849F8"/>
    <w:rsid w:val="005856F9"/>
    <w:rsid w:val="00586023"/>
    <w:rsid w:val="005863BD"/>
    <w:rsid w:val="005864A0"/>
    <w:rsid w:val="005866A4"/>
    <w:rsid w:val="00586909"/>
    <w:rsid w:val="00586D22"/>
    <w:rsid w:val="00587005"/>
    <w:rsid w:val="00587E86"/>
    <w:rsid w:val="00587E92"/>
    <w:rsid w:val="00592A7A"/>
    <w:rsid w:val="00592D00"/>
    <w:rsid w:val="00593567"/>
    <w:rsid w:val="005938DF"/>
    <w:rsid w:val="005944A8"/>
    <w:rsid w:val="00594546"/>
    <w:rsid w:val="00594E9C"/>
    <w:rsid w:val="00594FDB"/>
    <w:rsid w:val="005954D2"/>
    <w:rsid w:val="0059657D"/>
    <w:rsid w:val="0059659C"/>
    <w:rsid w:val="005975AD"/>
    <w:rsid w:val="00597617"/>
    <w:rsid w:val="0059762C"/>
    <w:rsid w:val="00597D78"/>
    <w:rsid w:val="005A0230"/>
    <w:rsid w:val="005A03A0"/>
    <w:rsid w:val="005A07A5"/>
    <w:rsid w:val="005A099B"/>
    <w:rsid w:val="005A110F"/>
    <w:rsid w:val="005A1184"/>
    <w:rsid w:val="005A2602"/>
    <w:rsid w:val="005A2B0F"/>
    <w:rsid w:val="005A2D9C"/>
    <w:rsid w:val="005A2DD6"/>
    <w:rsid w:val="005A3913"/>
    <w:rsid w:val="005A3922"/>
    <w:rsid w:val="005A4E50"/>
    <w:rsid w:val="005A5204"/>
    <w:rsid w:val="005A55FE"/>
    <w:rsid w:val="005A5BB5"/>
    <w:rsid w:val="005A63B5"/>
    <w:rsid w:val="005A66C1"/>
    <w:rsid w:val="005A6829"/>
    <w:rsid w:val="005A68D8"/>
    <w:rsid w:val="005A69F2"/>
    <w:rsid w:val="005A6A11"/>
    <w:rsid w:val="005A6F3F"/>
    <w:rsid w:val="005A738A"/>
    <w:rsid w:val="005A7516"/>
    <w:rsid w:val="005B08CB"/>
    <w:rsid w:val="005B132F"/>
    <w:rsid w:val="005B185D"/>
    <w:rsid w:val="005B18BA"/>
    <w:rsid w:val="005B1E7F"/>
    <w:rsid w:val="005B2AD7"/>
    <w:rsid w:val="005B2E41"/>
    <w:rsid w:val="005B2EDD"/>
    <w:rsid w:val="005B3A73"/>
    <w:rsid w:val="005B3E00"/>
    <w:rsid w:val="005B57C2"/>
    <w:rsid w:val="005B58EE"/>
    <w:rsid w:val="005B6BA7"/>
    <w:rsid w:val="005B6BD5"/>
    <w:rsid w:val="005B6E63"/>
    <w:rsid w:val="005B6F27"/>
    <w:rsid w:val="005B7CC3"/>
    <w:rsid w:val="005C0996"/>
    <w:rsid w:val="005C0E4A"/>
    <w:rsid w:val="005C1148"/>
    <w:rsid w:val="005C119A"/>
    <w:rsid w:val="005C18D5"/>
    <w:rsid w:val="005C26BF"/>
    <w:rsid w:val="005C2961"/>
    <w:rsid w:val="005C3117"/>
    <w:rsid w:val="005C3403"/>
    <w:rsid w:val="005C360F"/>
    <w:rsid w:val="005C3E41"/>
    <w:rsid w:val="005C4195"/>
    <w:rsid w:val="005C45C6"/>
    <w:rsid w:val="005C4AAA"/>
    <w:rsid w:val="005C4BEA"/>
    <w:rsid w:val="005C4C73"/>
    <w:rsid w:val="005C56D0"/>
    <w:rsid w:val="005C5BCC"/>
    <w:rsid w:val="005C6253"/>
    <w:rsid w:val="005C68B9"/>
    <w:rsid w:val="005C68E7"/>
    <w:rsid w:val="005C6B94"/>
    <w:rsid w:val="005C6CCA"/>
    <w:rsid w:val="005C76AE"/>
    <w:rsid w:val="005C79DC"/>
    <w:rsid w:val="005D0415"/>
    <w:rsid w:val="005D094B"/>
    <w:rsid w:val="005D0A55"/>
    <w:rsid w:val="005D0BF0"/>
    <w:rsid w:val="005D0C7F"/>
    <w:rsid w:val="005D0DD5"/>
    <w:rsid w:val="005D12A2"/>
    <w:rsid w:val="005D23E1"/>
    <w:rsid w:val="005D2502"/>
    <w:rsid w:val="005D3B85"/>
    <w:rsid w:val="005D3D3E"/>
    <w:rsid w:val="005D40BB"/>
    <w:rsid w:val="005D47F3"/>
    <w:rsid w:val="005D49BF"/>
    <w:rsid w:val="005D4AA5"/>
    <w:rsid w:val="005D4DA6"/>
    <w:rsid w:val="005D4DEF"/>
    <w:rsid w:val="005D590F"/>
    <w:rsid w:val="005D5DEB"/>
    <w:rsid w:val="005D5E70"/>
    <w:rsid w:val="005D6B8A"/>
    <w:rsid w:val="005D6BB5"/>
    <w:rsid w:val="005D6F4E"/>
    <w:rsid w:val="005D765B"/>
    <w:rsid w:val="005D7C73"/>
    <w:rsid w:val="005D7CBB"/>
    <w:rsid w:val="005D7D2D"/>
    <w:rsid w:val="005D7F06"/>
    <w:rsid w:val="005E030E"/>
    <w:rsid w:val="005E04C6"/>
    <w:rsid w:val="005E0AC3"/>
    <w:rsid w:val="005E0FA0"/>
    <w:rsid w:val="005E1289"/>
    <w:rsid w:val="005E13BD"/>
    <w:rsid w:val="005E1756"/>
    <w:rsid w:val="005E1CCD"/>
    <w:rsid w:val="005E1CDD"/>
    <w:rsid w:val="005E2037"/>
    <w:rsid w:val="005E21C2"/>
    <w:rsid w:val="005E250B"/>
    <w:rsid w:val="005E3ACD"/>
    <w:rsid w:val="005E3CC2"/>
    <w:rsid w:val="005E5442"/>
    <w:rsid w:val="005E57F0"/>
    <w:rsid w:val="005E591A"/>
    <w:rsid w:val="005E6901"/>
    <w:rsid w:val="005E6934"/>
    <w:rsid w:val="005E6956"/>
    <w:rsid w:val="005E7226"/>
    <w:rsid w:val="005E742C"/>
    <w:rsid w:val="005E7823"/>
    <w:rsid w:val="005E7A57"/>
    <w:rsid w:val="005E7AC2"/>
    <w:rsid w:val="005F1123"/>
    <w:rsid w:val="005F1918"/>
    <w:rsid w:val="005F24B0"/>
    <w:rsid w:val="005F25D8"/>
    <w:rsid w:val="005F27B7"/>
    <w:rsid w:val="005F27C8"/>
    <w:rsid w:val="005F2C8F"/>
    <w:rsid w:val="005F32E1"/>
    <w:rsid w:val="005F3539"/>
    <w:rsid w:val="005F36DD"/>
    <w:rsid w:val="005F3D4B"/>
    <w:rsid w:val="005F3F16"/>
    <w:rsid w:val="005F466D"/>
    <w:rsid w:val="005F46CE"/>
    <w:rsid w:val="005F4DFB"/>
    <w:rsid w:val="005F5236"/>
    <w:rsid w:val="005F5AF7"/>
    <w:rsid w:val="005F5BE2"/>
    <w:rsid w:val="005F6642"/>
    <w:rsid w:val="005F6689"/>
    <w:rsid w:val="005F6896"/>
    <w:rsid w:val="005F6E5E"/>
    <w:rsid w:val="005F711E"/>
    <w:rsid w:val="005F7AA3"/>
    <w:rsid w:val="005F7C57"/>
    <w:rsid w:val="005F7E23"/>
    <w:rsid w:val="006001D1"/>
    <w:rsid w:val="00601008"/>
    <w:rsid w:val="006014D8"/>
    <w:rsid w:val="006015DE"/>
    <w:rsid w:val="00601AEE"/>
    <w:rsid w:val="00601B57"/>
    <w:rsid w:val="0060264F"/>
    <w:rsid w:val="00603676"/>
    <w:rsid w:val="006039C9"/>
    <w:rsid w:val="00603D31"/>
    <w:rsid w:val="00604315"/>
    <w:rsid w:val="0060473E"/>
    <w:rsid w:val="00604984"/>
    <w:rsid w:val="00604D25"/>
    <w:rsid w:val="00604E26"/>
    <w:rsid w:val="0060523F"/>
    <w:rsid w:val="00605285"/>
    <w:rsid w:val="006052CF"/>
    <w:rsid w:val="0060540E"/>
    <w:rsid w:val="00605825"/>
    <w:rsid w:val="00606742"/>
    <w:rsid w:val="00607A6F"/>
    <w:rsid w:val="00607B8D"/>
    <w:rsid w:val="00607EE8"/>
    <w:rsid w:val="006103C0"/>
    <w:rsid w:val="00610954"/>
    <w:rsid w:val="00610BD2"/>
    <w:rsid w:val="0061102F"/>
    <w:rsid w:val="00611F5C"/>
    <w:rsid w:val="006135C9"/>
    <w:rsid w:val="0061370F"/>
    <w:rsid w:val="0061484B"/>
    <w:rsid w:val="00614B65"/>
    <w:rsid w:val="00614E64"/>
    <w:rsid w:val="0061524E"/>
    <w:rsid w:val="00615349"/>
    <w:rsid w:val="00615C75"/>
    <w:rsid w:val="00616267"/>
    <w:rsid w:val="00616E09"/>
    <w:rsid w:val="006178A1"/>
    <w:rsid w:val="00617C1A"/>
    <w:rsid w:val="00620040"/>
    <w:rsid w:val="00620462"/>
    <w:rsid w:val="00620A2B"/>
    <w:rsid w:val="00621553"/>
    <w:rsid w:val="00622199"/>
    <w:rsid w:val="00622A3B"/>
    <w:rsid w:val="00622EEA"/>
    <w:rsid w:val="00623051"/>
    <w:rsid w:val="006231BA"/>
    <w:rsid w:val="0062396C"/>
    <w:rsid w:val="00623B67"/>
    <w:rsid w:val="00623DCC"/>
    <w:rsid w:val="00623FF9"/>
    <w:rsid w:val="006240BE"/>
    <w:rsid w:val="006248FA"/>
    <w:rsid w:val="00624E5D"/>
    <w:rsid w:val="00624F73"/>
    <w:rsid w:val="0062520F"/>
    <w:rsid w:val="00625C49"/>
    <w:rsid w:val="00625CDB"/>
    <w:rsid w:val="00625FEB"/>
    <w:rsid w:val="006263D1"/>
    <w:rsid w:val="00626B29"/>
    <w:rsid w:val="00626EBF"/>
    <w:rsid w:val="00627490"/>
    <w:rsid w:val="00627D4E"/>
    <w:rsid w:val="006317A1"/>
    <w:rsid w:val="00631B8A"/>
    <w:rsid w:val="00631FE1"/>
    <w:rsid w:val="00632542"/>
    <w:rsid w:val="00632673"/>
    <w:rsid w:val="00632B89"/>
    <w:rsid w:val="00633373"/>
    <w:rsid w:val="0063346D"/>
    <w:rsid w:val="00634478"/>
    <w:rsid w:val="00634965"/>
    <w:rsid w:val="00634BF4"/>
    <w:rsid w:val="00635F4C"/>
    <w:rsid w:val="00636D32"/>
    <w:rsid w:val="00636E06"/>
    <w:rsid w:val="006370B7"/>
    <w:rsid w:val="006374D9"/>
    <w:rsid w:val="00637D7D"/>
    <w:rsid w:val="0064045E"/>
    <w:rsid w:val="0064049A"/>
    <w:rsid w:val="00640E4E"/>
    <w:rsid w:val="0064151D"/>
    <w:rsid w:val="006417D2"/>
    <w:rsid w:val="0064180E"/>
    <w:rsid w:val="006418A0"/>
    <w:rsid w:val="00642267"/>
    <w:rsid w:val="00642A45"/>
    <w:rsid w:val="00643372"/>
    <w:rsid w:val="00643714"/>
    <w:rsid w:val="00643986"/>
    <w:rsid w:val="00643B0D"/>
    <w:rsid w:val="0064434B"/>
    <w:rsid w:val="00644373"/>
    <w:rsid w:val="00644392"/>
    <w:rsid w:val="006443AD"/>
    <w:rsid w:val="00644505"/>
    <w:rsid w:val="006446F9"/>
    <w:rsid w:val="00644B03"/>
    <w:rsid w:val="00644CDA"/>
    <w:rsid w:val="00645915"/>
    <w:rsid w:val="006468C8"/>
    <w:rsid w:val="0064709A"/>
    <w:rsid w:val="006479E9"/>
    <w:rsid w:val="00647BA3"/>
    <w:rsid w:val="006502AE"/>
    <w:rsid w:val="00651077"/>
    <w:rsid w:val="00651803"/>
    <w:rsid w:val="006519C3"/>
    <w:rsid w:val="00651BCF"/>
    <w:rsid w:val="00652B30"/>
    <w:rsid w:val="00653888"/>
    <w:rsid w:val="00654A04"/>
    <w:rsid w:val="0065622E"/>
    <w:rsid w:val="00656345"/>
    <w:rsid w:val="0065666E"/>
    <w:rsid w:val="00656787"/>
    <w:rsid w:val="00656DC6"/>
    <w:rsid w:val="00657472"/>
    <w:rsid w:val="00660258"/>
    <w:rsid w:val="006604F7"/>
    <w:rsid w:val="006605AC"/>
    <w:rsid w:val="00660EC6"/>
    <w:rsid w:val="00661262"/>
    <w:rsid w:val="006613D1"/>
    <w:rsid w:val="00661987"/>
    <w:rsid w:val="006619CC"/>
    <w:rsid w:val="00661EF4"/>
    <w:rsid w:val="006623DD"/>
    <w:rsid w:val="00662D78"/>
    <w:rsid w:val="00663049"/>
    <w:rsid w:val="0066318D"/>
    <w:rsid w:val="0066349D"/>
    <w:rsid w:val="00663667"/>
    <w:rsid w:val="00664110"/>
    <w:rsid w:val="00664B0B"/>
    <w:rsid w:val="00664BD9"/>
    <w:rsid w:val="00664D17"/>
    <w:rsid w:val="00664D90"/>
    <w:rsid w:val="00665194"/>
    <w:rsid w:val="00665292"/>
    <w:rsid w:val="00665B56"/>
    <w:rsid w:val="0066609D"/>
    <w:rsid w:val="006662C1"/>
    <w:rsid w:val="00666520"/>
    <w:rsid w:val="00666FC9"/>
    <w:rsid w:val="00667784"/>
    <w:rsid w:val="006677B0"/>
    <w:rsid w:val="0066783E"/>
    <w:rsid w:val="00667C5B"/>
    <w:rsid w:val="00670686"/>
    <w:rsid w:val="006708BA"/>
    <w:rsid w:val="006710A1"/>
    <w:rsid w:val="006712BB"/>
    <w:rsid w:val="006727E2"/>
    <w:rsid w:val="0067293B"/>
    <w:rsid w:val="00672A04"/>
    <w:rsid w:val="00672D61"/>
    <w:rsid w:val="00672F5B"/>
    <w:rsid w:val="00673833"/>
    <w:rsid w:val="00673BFC"/>
    <w:rsid w:val="006748F2"/>
    <w:rsid w:val="00674FD6"/>
    <w:rsid w:val="006754A1"/>
    <w:rsid w:val="00675616"/>
    <w:rsid w:val="006756AF"/>
    <w:rsid w:val="00675A70"/>
    <w:rsid w:val="00675D97"/>
    <w:rsid w:val="006762E2"/>
    <w:rsid w:val="006778D2"/>
    <w:rsid w:val="00677D23"/>
    <w:rsid w:val="006811FF"/>
    <w:rsid w:val="00681665"/>
    <w:rsid w:val="0068173B"/>
    <w:rsid w:val="006819E5"/>
    <w:rsid w:val="00682317"/>
    <w:rsid w:val="006824B5"/>
    <w:rsid w:val="006830E1"/>
    <w:rsid w:val="00683471"/>
    <w:rsid w:val="006835A4"/>
    <w:rsid w:val="00683AE8"/>
    <w:rsid w:val="00683E2F"/>
    <w:rsid w:val="006840BD"/>
    <w:rsid w:val="00684477"/>
    <w:rsid w:val="00684651"/>
    <w:rsid w:val="00684794"/>
    <w:rsid w:val="00685515"/>
    <w:rsid w:val="00686002"/>
    <w:rsid w:val="00686347"/>
    <w:rsid w:val="00687399"/>
    <w:rsid w:val="0069015C"/>
    <w:rsid w:val="0069104A"/>
    <w:rsid w:val="006913F8"/>
    <w:rsid w:val="006917DB"/>
    <w:rsid w:val="00691EB8"/>
    <w:rsid w:val="00692107"/>
    <w:rsid w:val="00692832"/>
    <w:rsid w:val="006929F9"/>
    <w:rsid w:val="00692AD7"/>
    <w:rsid w:val="00692CDE"/>
    <w:rsid w:val="00693073"/>
    <w:rsid w:val="00693341"/>
    <w:rsid w:val="00693463"/>
    <w:rsid w:val="006937A0"/>
    <w:rsid w:val="00693A59"/>
    <w:rsid w:val="00693BA9"/>
    <w:rsid w:val="00694517"/>
    <w:rsid w:val="00694AFB"/>
    <w:rsid w:val="00695CB2"/>
    <w:rsid w:val="00697066"/>
    <w:rsid w:val="006977FF"/>
    <w:rsid w:val="00697F15"/>
    <w:rsid w:val="006A01FA"/>
    <w:rsid w:val="006A077B"/>
    <w:rsid w:val="006A0E9E"/>
    <w:rsid w:val="006A1533"/>
    <w:rsid w:val="006A1696"/>
    <w:rsid w:val="006A21B3"/>
    <w:rsid w:val="006A25C7"/>
    <w:rsid w:val="006A2715"/>
    <w:rsid w:val="006A2D8C"/>
    <w:rsid w:val="006A3406"/>
    <w:rsid w:val="006A4AAD"/>
    <w:rsid w:val="006A4E8A"/>
    <w:rsid w:val="006A50E1"/>
    <w:rsid w:val="006A5512"/>
    <w:rsid w:val="006A555A"/>
    <w:rsid w:val="006A57CF"/>
    <w:rsid w:val="006A5DB3"/>
    <w:rsid w:val="006A663E"/>
    <w:rsid w:val="006A6CCC"/>
    <w:rsid w:val="006A6DA2"/>
    <w:rsid w:val="006A72A2"/>
    <w:rsid w:val="006A7AB2"/>
    <w:rsid w:val="006B0423"/>
    <w:rsid w:val="006B05EF"/>
    <w:rsid w:val="006B087F"/>
    <w:rsid w:val="006B12D7"/>
    <w:rsid w:val="006B1860"/>
    <w:rsid w:val="006B233D"/>
    <w:rsid w:val="006B28D9"/>
    <w:rsid w:val="006B3787"/>
    <w:rsid w:val="006B3887"/>
    <w:rsid w:val="006B3E7D"/>
    <w:rsid w:val="006B3ECA"/>
    <w:rsid w:val="006B3F18"/>
    <w:rsid w:val="006B425D"/>
    <w:rsid w:val="006B45F8"/>
    <w:rsid w:val="006B498C"/>
    <w:rsid w:val="006B52DE"/>
    <w:rsid w:val="006B5717"/>
    <w:rsid w:val="006B582F"/>
    <w:rsid w:val="006B5EB2"/>
    <w:rsid w:val="006B5F6C"/>
    <w:rsid w:val="006B6148"/>
    <w:rsid w:val="006B62F0"/>
    <w:rsid w:val="006B6368"/>
    <w:rsid w:val="006B6825"/>
    <w:rsid w:val="006B6987"/>
    <w:rsid w:val="006B7076"/>
    <w:rsid w:val="006B7439"/>
    <w:rsid w:val="006C0989"/>
    <w:rsid w:val="006C0CEB"/>
    <w:rsid w:val="006C0DBF"/>
    <w:rsid w:val="006C1631"/>
    <w:rsid w:val="006C19CA"/>
    <w:rsid w:val="006C24D0"/>
    <w:rsid w:val="006C2DCA"/>
    <w:rsid w:val="006C2F02"/>
    <w:rsid w:val="006C3B1E"/>
    <w:rsid w:val="006C44CE"/>
    <w:rsid w:val="006C46F3"/>
    <w:rsid w:val="006C47FD"/>
    <w:rsid w:val="006C4AC6"/>
    <w:rsid w:val="006C5C19"/>
    <w:rsid w:val="006C66D7"/>
    <w:rsid w:val="006C6AB8"/>
    <w:rsid w:val="006C6B03"/>
    <w:rsid w:val="006C6C38"/>
    <w:rsid w:val="006C6F2E"/>
    <w:rsid w:val="006C70A0"/>
    <w:rsid w:val="006C7247"/>
    <w:rsid w:val="006C7635"/>
    <w:rsid w:val="006C7689"/>
    <w:rsid w:val="006C76F3"/>
    <w:rsid w:val="006C7885"/>
    <w:rsid w:val="006D0054"/>
    <w:rsid w:val="006D0755"/>
    <w:rsid w:val="006D0A99"/>
    <w:rsid w:val="006D0BB8"/>
    <w:rsid w:val="006D121E"/>
    <w:rsid w:val="006D1B95"/>
    <w:rsid w:val="006D1C91"/>
    <w:rsid w:val="006D2268"/>
    <w:rsid w:val="006D27CB"/>
    <w:rsid w:val="006D2F08"/>
    <w:rsid w:val="006D30D5"/>
    <w:rsid w:val="006D3403"/>
    <w:rsid w:val="006D386D"/>
    <w:rsid w:val="006D468D"/>
    <w:rsid w:val="006D576C"/>
    <w:rsid w:val="006D5865"/>
    <w:rsid w:val="006D5BBB"/>
    <w:rsid w:val="006D60E2"/>
    <w:rsid w:val="006D63A1"/>
    <w:rsid w:val="006D66D8"/>
    <w:rsid w:val="006D6938"/>
    <w:rsid w:val="006D6B27"/>
    <w:rsid w:val="006D7161"/>
    <w:rsid w:val="006D778C"/>
    <w:rsid w:val="006D7AD7"/>
    <w:rsid w:val="006E04E3"/>
    <w:rsid w:val="006E088D"/>
    <w:rsid w:val="006E0E07"/>
    <w:rsid w:val="006E0E73"/>
    <w:rsid w:val="006E0F24"/>
    <w:rsid w:val="006E108C"/>
    <w:rsid w:val="006E17E0"/>
    <w:rsid w:val="006E1F1E"/>
    <w:rsid w:val="006E26A8"/>
    <w:rsid w:val="006E2A2D"/>
    <w:rsid w:val="006E4372"/>
    <w:rsid w:val="006E4B1B"/>
    <w:rsid w:val="006E540E"/>
    <w:rsid w:val="006E5445"/>
    <w:rsid w:val="006E5617"/>
    <w:rsid w:val="006E5A77"/>
    <w:rsid w:val="006E5B76"/>
    <w:rsid w:val="006E5D8D"/>
    <w:rsid w:val="006E6351"/>
    <w:rsid w:val="006E73E3"/>
    <w:rsid w:val="006E7D93"/>
    <w:rsid w:val="006F0220"/>
    <w:rsid w:val="006F0EBD"/>
    <w:rsid w:val="006F0EF1"/>
    <w:rsid w:val="006F0F44"/>
    <w:rsid w:val="006F1E3A"/>
    <w:rsid w:val="006F2114"/>
    <w:rsid w:val="006F25EE"/>
    <w:rsid w:val="006F2905"/>
    <w:rsid w:val="006F292A"/>
    <w:rsid w:val="006F2F0C"/>
    <w:rsid w:val="006F3236"/>
    <w:rsid w:val="006F37B2"/>
    <w:rsid w:val="006F3EC3"/>
    <w:rsid w:val="006F482E"/>
    <w:rsid w:val="006F6703"/>
    <w:rsid w:val="006F6774"/>
    <w:rsid w:val="006F68CD"/>
    <w:rsid w:val="006F75CD"/>
    <w:rsid w:val="00700C1C"/>
    <w:rsid w:val="0070197D"/>
    <w:rsid w:val="00701A75"/>
    <w:rsid w:val="00701C7D"/>
    <w:rsid w:val="0070244B"/>
    <w:rsid w:val="007029A3"/>
    <w:rsid w:val="00702EA1"/>
    <w:rsid w:val="0070335D"/>
    <w:rsid w:val="00703421"/>
    <w:rsid w:val="0070386C"/>
    <w:rsid w:val="007043D0"/>
    <w:rsid w:val="007048D6"/>
    <w:rsid w:val="007048EE"/>
    <w:rsid w:val="0070490B"/>
    <w:rsid w:val="007049A7"/>
    <w:rsid w:val="00705739"/>
    <w:rsid w:val="00705A76"/>
    <w:rsid w:val="00706457"/>
    <w:rsid w:val="007066A8"/>
    <w:rsid w:val="007066B9"/>
    <w:rsid w:val="00706A5D"/>
    <w:rsid w:val="00706BB5"/>
    <w:rsid w:val="00706E4E"/>
    <w:rsid w:val="00706FC1"/>
    <w:rsid w:val="007071B8"/>
    <w:rsid w:val="0070774C"/>
    <w:rsid w:val="0070791C"/>
    <w:rsid w:val="00707EEB"/>
    <w:rsid w:val="007101A0"/>
    <w:rsid w:val="007109D9"/>
    <w:rsid w:val="00710C88"/>
    <w:rsid w:val="0071150B"/>
    <w:rsid w:val="00711D9B"/>
    <w:rsid w:val="007123EA"/>
    <w:rsid w:val="00712506"/>
    <w:rsid w:val="0071269B"/>
    <w:rsid w:val="00712D8E"/>
    <w:rsid w:val="00713447"/>
    <w:rsid w:val="0071383C"/>
    <w:rsid w:val="00713B38"/>
    <w:rsid w:val="00713B55"/>
    <w:rsid w:val="007141A7"/>
    <w:rsid w:val="00714878"/>
    <w:rsid w:val="00714B26"/>
    <w:rsid w:val="00714D8F"/>
    <w:rsid w:val="007152CD"/>
    <w:rsid w:val="0071556D"/>
    <w:rsid w:val="00715662"/>
    <w:rsid w:val="00715722"/>
    <w:rsid w:val="00715B04"/>
    <w:rsid w:val="00715DCB"/>
    <w:rsid w:val="0071633D"/>
    <w:rsid w:val="00716B3C"/>
    <w:rsid w:val="00716C35"/>
    <w:rsid w:val="007170C4"/>
    <w:rsid w:val="007173D7"/>
    <w:rsid w:val="00717B3E"/>
    <w:rsid w:val="00717DA9"/>
    <w:rsid w:val="00717E8F"/>
    <w:rsid w:val="00717EE2"/>
    <w:rsid w:val="00717FBF"/>
    <w:rsid w:val="007201E2"/>
    <w:rsid w:val="007209D4"/>
    <w:rsid w:val="00720AEE"/>
    <w:rsid w:val="00720E4D"/>
    <w:rsid w:val="00721032"/>
    <w:rsid w:val="00721141"/>
    <w:rsid w:val="00721B55"/>
    <w:rsid w:val="0072252C"/>
    <w:rsid w:val="007233D3"/>
    <w:rsid w:val="00723D01"/>
    <w:rsid w:val="00724208"/>
    <w:rsid w:val="007247CA"/>
    <w:rsid w:val="007249AE"/>
    <w:rsid w:val="00724C45"/>
    <w:rsid w:val="00724DA1"/>
    <w:rsid w:val="0072503B"/>
    <w:rsid w:val="0072543A"/>
    <w:rsid w:val="00725A1D"/>
    <w:rsid w:val="00725A2F"/>
    <w:rsid w:val="00726308"/>
    <w:rsid w:val="00726860"/>
    <w:rsid w:val="007269CF"/>
    <w:rsid w:val="00726CE4"/>
    <w:rsid w:val="00727A4C"/>
    <w:rsid w:val="00730FF1"/>
    <w:rsid w:val="0073147F"/>
    <w:rsid w:val="00731665"/>
    <w:rsid w:val="00731A1C"/>
    <w:rsid w:val="00732861"/>
    <w:rsid w:val="00732F1A"/>
    <w:rsid w:val="007330AF"/>
    <w:rsid w:val="00734143"/>
    <w:rsid w:val="00734389"/>
    <w:rsid w:val="007343B2"/>
    <w:rsid w:val="00734836"/>
    <w:rsid w:val="00734B69"/>
    <w:rsid w:val="00734BB7"/>
    <w:rsid w:val="007358C0"/>
    <w:rsid w:val="00735F44"/>
    <w:rsid w:val="00736226"/>
    <w:rsid w:val="0073652B"/>
    <w:rsid w:val="007365E9"/>
    <w:rsid w:val="0073708C"/>
    <w:rsid w:val="007372AD"/>
    <w:rsid w:val="00737E3C"/>
    <w:rsid w:val="00737E47"/>
    <w:rsid w:val="00740EAC"/>
    <w:rsid w:val="007412C2"/>
    <w:rsid w:val="00742572"/>
    <w:rsid w:val="0074339A"/>
    <w:rsid w:val="00743CA3"/>
    <w:rsid w:val="00743D9D"/>
    <w:rsid w:val="007443B5"/>
    <w:rsid w:val="00744454"/>
    <w:rsid w:val="007445CA"/>
    <w:rsid w:val="00744628"/>
    <w:rsid w:val="00744890"/>
    <w:rsid w:val="00744956"/>
    <w:rsid w:val="00744A1E"/>
    <w:rsid w:val="0074514A"/>
    <w:rsid w:val="007452E6"/>
    <w:rsid w:val="007455CC"/>
    <w:rsid w:val="00745A5C"/>
    <w:rsid w:val="00745C94"/>
    <w:rsid w:val="00745C95"/>
    <w:rsid w:val="0074605F"/>
    <w:rsid w:val="0074660E"/>
    <w:rsid w:val="007467E9"/>
    <w:rsid w:val="00746808"/>
    <w:rsid w:val="0074756F"/>
    <w:rsid w:val="00747654"/>
    <w:rsid w:val="0074790A"/>
    <w:rsid w:val="0074796E"/>
    <w:rsid w:val="00747A1F"/>
    <w:rsid w:val="00747CF3"/>
    <w:rsid w:val="00747E94"/>
    <w:rsid w:val="007504EE"/>
    <w:rsid w:val="0075090C"/>
    <w:rsid w:val="00750911"/>
    <w:rsid w:val="00751999"/>
    <w:rsid w:val="0075208F"/>
    <w:rsid w:val="007520FF"/>
    <w:rsid w:val="007528C5"/>
    <w:rsid w:val="00753082"/>
    <w:rsid w:val="00753608"/>
    <w:rsid w:val="00753A5F"/>
    <w:rsid w:val="007543C7"/>
    <w:rsid w:val="00754C83"/>
    <w:rsid w:val="00755325"/>
    <w:rsid w:val="007555C9"/>
    <w:rsid w:val="00755C7A"/>
    <w:rsid w:val="00755EBD"/>
    <w:rsid w:val="00756010"/>
    <w:rsid w:val="0075651A"/>
    <w:rsid w:val="00757737"/>
    <w:rsid w:val="00760C00"/>
    <w:rsid w:val="007612CF"/>
    <w:rsid w:val="007619DA"/>
    <w:rsid w:val="00761B83"/>
    <w:rsid w:val="00761BC7"/>
    <w:rsid w:val="00761E5C"/>
    <w:rsid w:val="00762025"/>
    <w:rsid w:val="00762472"/>
    <w:rsid w:val="00762924"/>
    <w:rsid w:val="00762F4A"/>
    <w:rsid w:val="00763187"/>
    <w:rsid w:val="0076524D"/>
    <w:rsid w:val="00765DF8"/>
    <w:rsid w:val="00766481"/>
    <w:rsid w:val="00766749"/>
    <w:rsid w:val="00766781"/>
    <w:rsid w:val="007673D1"/>
    <w:rsid w:val="007676B0"/>
    <w:rsid w:val="00767C1B"/>
    <w:rsid w:val="00770324"/>
    <w:rsid w:val="00770B06"/>
    <w:rsid w:val="00770E6B"/>
    <w:rsid w:val="007713F9"/>
    <w:rsid w:val="007714A9"/>
    <w:rsid w:val="007725F6"/>
    <w:rsid w:val="00772ACC"/>
    <w:rsid w:val="007732EC"/>
    <w:rsid w:val="007738EA"/>
    <w:rsid w:val="00773C26"/>
    <w:rsid w:val="00774879"/>
    <w:rsid w:val="00774B59"/>
    <w:rsid w:val="00774EEE"/>
    <w:rsid w:val="00774F88"/>
    <w:rsid w:val="00774FDB"/>
    <w:rsid w:val="0077696B"/>
    <w:rsid w:val="007769E7"/>
    <w:rsid w:val="007775FC"/>
    <w:rsid w:val="00777BA2"/>
    <w:rsid w:val="00777CEB"/>
    <w:rsid w:val="007806EA"/>
    <w:rsid w:val="007807C0"/>
    <w:rsid w:val="00781408"/>
    <w:rsid w:val="00781FA6"/>
    <w:rsid w:val="00782899"/>
    <w:rsid w:val="00783569"/>
    <w:rsid w:val="0078364F"/>
    <w:rsid w:val="00783CBA"/>
    <w:rsid w:val="007847F6"/>
    <w:rsid w:val="00784F7F"/>
    <w:rsid w:val="00785B79"/>
    <w:rsid w:val="007861E5"/>
    <w:rsid w:val="00786B86"/>
    <w:rsid w:val="007878BD"/>
    <w:rsid w:val="00790057"/>
    <w:rsid w:val="00790471"/>
    <w:rsid w:val="00790FFA"/>
    <w:rsid w:val="007911D9"/>
    <w:rsid w:val="007912C1"/>
    <w:rsid w:val="00792072"/>
    <w:rsid w:val="00792134"/>
    <w:rsid w:val="0079382A"/>
    <w:rsid w:val="0079383F"/>
    <w:rsid w:val="00793B0E"/>
    <w:rsid w:val="00793E22"/>
    <w:rsid w:val="00794B6C"/>
    <w:rsid w:val="00794C37"/>
    <w:rsid w:val="00794E9A"/>
    <w:rsid w:val="0079553F"/>
    <w:rsid w:val="007955FC"/>
    <w:rsid w:val="0079584B"/>
    <w:rsid w:val="00795AB9"/>
    <w:rsid w:val="00795C4A"/>
    <w:rsid w:val="00796700"/>
    <w:rsid w:val="00796969"/>
    <w:rsid w:val="00796F25"/>
    <w:rsid w:val="007974D0"/>
    <w:rsid w:val="0079786E"/>
    <w:rsid w:val="007A008A"/>
    <w:rsid w:val="007A027B"/>
    <w:rsid w:val="007A096F"/>
    <w:rsid w:val="007A0ECF"/>
    <w:rsid w:val="007A158F"/>
    <w:rsid w:val="007A1596"/>
    <w:rsid w:val="007A19D7"/>
    <w:rsid w:val="007A27A0"/>
    <w:rsid w:val="007A2E98"/>
    <w:rsid w:val="007A31C2"/>
    <w:rsid w:val="007A3527"/>
    <w:rsid w:val="007A36B7"/>
    <w:rsid w:val="007A3827"/>
    <w:rsid w:val="007A3BA3"/>
    <w:rsid w:val="007A4497"/>
    <w:rsid w:val="007A470A"/>
    <w:rsid w:val="007A4C18"/>
    <w:rsid w:val="007A4F15"/>
    <w:rsid w:val="007A52C8"/>
    <w:rsid w:val="007A53D2"/>
    <w:rsid w:val="007A5A97"/>
    <w:rsid w:val="007A5EEA"/>
    <w:rsid w:val="007A619E"/>
    <w:rsid w:val="007A659E"/>
    <w:rsid w:val="007A65D2"/>
    <w:rsid w:val="007A6BD2"/>
    <w:rsid w:val="007A6CC0"/>
    <w:rsid w:val="007A7018"/>
    <w:rsid w:val="007A7024"/>
    <w:rsid w:val="007A7548"/>
    <w:rsid w:val="007A7672"/>
    <w:rsid w:val="007A78B8"/>
    <w:rsid w:val="007A7FEC"/>
    <w:rsid w:val="007B0598"/>
    <w:rsid w:val="007B077B"/>
    <w:rsid w:val="007B096C"/>
    <w:rsid w:val="007B0E22"/>
    <w:rsid w:val="007B1499"/>
    <w:rsid w:val="007B17FA"/>
    <w:rsid w:val="007B1BBF"/>
    <w:rsid w:val="007B25D1"/>
    <w:rsid w:val="007B2960"/>
    <w:rsid w:val="007B2F8C"/>
    <w:rsid w:val="007B355D"/>
    <w:rsid w:val="007B492A"/>
    <w:rsid w:val="007B55FC"/>
    <w:rsid w:val="007B5D65"/>
    <w:rsid w:val="007B62D0"/>
    <w:rsid w:val="007B6A99"/>
    <w:rsid w:val="007B6C4E"/>
    <w:rsid w:val="007B707A"/>
    <w:rsid w:val="007B751C"/>
    <w:rsid w:val="007B76EE"/>
    <w:rsid w:val="007B7980"/>
    <w:rsid w:val="007C02E7"/>
    <w:rsid w:val="007C0DEF"/>
    <w:rsid w:val="007C170A"/>
    <w:rsid w:val="007C2AFA"/>
    <w:rsid w:val="007C2C9C"/>
    <w:rsid w:val="007C38B8"/>
    <w:rsid w:val="007C3C02"/>
    <w:rsid w:val="007C3EB3"/>
    <w:rsid w:val="007C4F58"/>
    <w:rsid w:val="007C5895"/>
    <w:rsid w:val="007C5D5A"/>
    <w:rsid w:val="007C607F"/>
    <w:rsid w:val="007C6D4B"/>
    <w:rsid w:val="007C6E44"/>
    <w:rsid w:val="007C7449"/>
    <w:rsid w:val="007C778B"/>
    <w:rsid w:val="007C7925"/>
    <w:rsid w:val="007C79DD"/>
    <w:rsid w:val="007C7A47"/>
    <w:rsid w:val="007C7C6E"/>
    <w:rsid w:val="007C7E14"/>
    <w:rsid w:val="007D0216"/>
    <w:rsid w:val="007D0861"/>
    <w:rsid w:val="007D0D22"/>
    <w:rsid w:val="007D1A97"/>
    <w:rsid w:val="007D1B8A"/>
    <w:rsid w:val="007D2B27"/>
    <w:rsid w:val="007D2CD6"/>
    <w:rsid w:val="007D3054"/>
    <w:rsid w:val="007D3063"/>
    <w:rsid w:val="007D34E5"/>
    <w:rsid w:val="007D3CEB"/>
    <w:rsid w:val="007D428C"/>
    <w:rsid w:val="007D43C3"/>
    <w:rsid w:val="007D4FBE"/>
    <w:rsid w:val="007D5073"/>
    <w:rsid w:val="007D55BE"/>
    <w:rsid w:val="007D5AE3"/>
    <w:rsid w:val="007D68F8"/>
    <w:rsid w:val="007D6916"/>
    <w:rsid w:val="007D6F41"/>
    <w:rsid w:val="007D7126"/>
    <w:rsid w:val="007D779C"/>
    <w:rsid w:val="007E1323"/>
    <w:rsid w:val="007E140D"/>
    <w:rsid w:val="007E18D7"/>
    <w:rsid w:val="007E3375"/>
    <w:rsid w:val="007E3BA6"/>
    <w:rsid w:val="007E4A0E"/>
    <w:rsid w:val="007E4FE1"/>
    <w:rsid w:val="007E5B17"/>
    <w:rsid w:val="007E5B50"/>
    <w:rsid w:val="007E5B8D"/>
    <w:rsid w:val="007E5C71"/>
    <w:rsid w:val="007E5CE9"/>
    <w:rsid w:val="007E5FE8"/>
    <w:rsid w:val="007E61F2"/>
    <w:rsid w:val="007E664B"/>
    <w:rsid w:val="007E6B66"/>
    <w:rsid w:val="007E6D47"/>
    <w:rsid w:val="007E6D7B"/>
    <w:rsid w:val="007E72C6"/>
    <w:rsid w:val="007E7683"/>
    <w:rsid w:val="007E76B2"/>
    <w:rsid w:val="007E79CC"/>
    <w:rsid w:val="007F01A4"/>
    <w:rsid w:val="007F02EC"/>
    <w:rsid w:val="007F07DC"/>
    <w:rsid w:val="007F0A0F"/>
    <w:rsid w:val="007F1740"/>
    <w:rsid w:val="007F23F8"/>
    <w:rsid w:val="007F2FD2"/>
    <w:rsid w:val="007F31FB"/>
    <w:rsid w:val="007F342E"/>
    <w:rsid w:val="007F363B"/>
    <w:rsid w:val="007F3C8D"/>
    <w:rsid w:val="007F49FA"/>
    <w:rsid w:val="007F54C4"/>
    <w:rsid w:val="007F5A84"/>
    <w:rsid w:val="007F5BDE"/>
    <w:rsid w:val="007F66A1"/>
    <w:rsid w:val="007F6E86"/>
    <w:rsid w:val="007F6E9A"/>
    <w:rsid w:val="007F7158"/>
    <w:rsid w:val="007F768B"/>
    <w:rsid w:val="007F7850"/>
    <w:rsid w:val="0080038F"/>
    <w:rsid w:val="008004D3"/>
    <w:rsid w:val="00800B7F"/>
    <w:rsid w:val="00800BE2"/>
    <w:rsid w:val="00800C7B"/>
    <w:rsid w:val="00800CCD"/>
    <w:rsid w:val="008032B3"/>
    <w:rsid w:val="008033AB"/>
    <w:rsid w:val="00804356"/>
    <w:rsid w:val="008044D4"/>
    <w:rsid w:val="008054ED"/>
    <w:rsid w:val="00805CB5"/>
    <w:rsid w:val="00805E3C"/>
    <w:rsid w:val="00805F12"/>
    <w:rsid w:val="00806CB6"/>
    <w:rsid w:val="00806E13"/>
    <w:rsid w:val="00807D3C"/>
    <w:rsid w:val="00810AB4"/>
    <w:rsid w:val="00810F34"/>
    <w:rsid w:val="00811AE1"/>
    <w:rsid w:val="0081201F"/>
    <w:rsid w:val="008123F2"/>
    <w:rsid w:val="008126BE"/>
    <w:rsid w:val="00812BEB"/>
    <w:rsid w:val="00812D6D"/>
    <w:rsid w:val="00812EDE"/>
    <w:rsid w:val="0081384B"/>
    <w:rsid w:val="00813B02"/>
    <w:rsid w:val="00813EC7"/>
    <w:rsid w:val="008140D1"/>
    <w:rsid w:val="00814B45"/>
    <w:rsid w:val="00814FC3"/>
    <w:rsid w:val="00815179"/>
    <w:rsid w:val="00815AAD"/>
    <w:rsid w:val="0081682D"/>
    <w:rsid w:val="00816F0B"/>
    <w:rsid w:val="00817011"/>
    <w:rsid w:val="0081748F"/>
    <w:rsid w:val="008176F6"/>
    <w:rsid w:val="0081779C"/>
    <w:rsid w:val="00817B56"/>
    <w:rsid w:val="00817C1B"/>
    <w:rsid w:val="00820B39"/>
    <w:rsid w:val="00820D5D"/>
    <w:rsid w:val="00820FAE"/>
    <w:rsid w:val="00820FDE"/>
    <w:rsid w:val="008212B9"/>
    <w:rsid w:val="00821642"/>
    <w:rsid w:val="00821A88"/>
    <w:rsid w:val="00821D5E"/>
    <w:rsid w:val="00821F86"/>
    <w:rsid w:val="0082270A"/>
    <w:rsid w:val="0082292E"/>
    <w:rsid w:val="008237F5"/>
    <w:rsid w:val="008239FC"/>
    <w:rsid w:val="00823C7B"/>
    <w:rsid w:val="00823C97"/>
    <w:rsid w:val="00824428"/>
    <w:rsid w:val="0082495D"/>
    <w:rsid w:val="00824B7A"/>
    <w:rsid w:val="00824BDB"/>
    <w:rsid w:val="00825A86"/>
    <w:rsid w:val="00826238"/>
    <w:rsid w:val="00826953"/>
    <w:rsid w:val="00826B7D"/>
    <w:rsid w:val="00830A7F"/>
    <w:rsid w:val="0083137C"/>
    <w:rsid w:val="008319C9"/>
    <w:rsid w:val="00831AC3"/>
    <w:rsid w:val="00831E05"/>
    <w:rsid w:val="00832C47"/>
    <w:rsid w:val="00832EBF"/>
    <w:rsid w:val="00833EB8"/>
    <w:rsid w:val="00833FEA"/>
    <w:rsid w:val="00834003"/>
    <w:rsid w:val="00834461"/>
    <w:rsid w:val="008347B2"/>
    <w:rsid w:val="00834C54"/>
    <w:rsid w:val="00834E6D"/>
    <w:rsid w:val="00835651"/>
    <w:rsid w:val="00835C97"/>
    <w:rsid w:val="00835DCF"/>
    <w:rsid w:val="00835DEB"/>
    <w:rsid w:val="0083627A"/>
    <w:rsid w:val="00836ECE"/>
    <w:rsid w:val="00836F22"/>
    <w:rsid w:val="00836FCE"/>
    <w:rsid w:val="00837527"/>
    <w:rsid w:val="00837DEB"/>
    <w:rsid w:val="0084043E"/>
    <w:rsid w:val="008407B4"/>
    <w:rsid w:val="008408FF"/>
    <w:rsid w:val="00840B9A"/>
    <w:rsid w:val="00840C3D"/>
    <w:rsid w:val="008416F5"/>
    <w:rsid w:val="0084176E"/>
    <w:rsid w:val="00842042"/>
    <w:rsid w:val="00842112"/>
    <w:rsid w:val="00842477"/>
    <w:rsid w:val="00842776"/>
    <w:rsid w:val="00842BC2"/>
    <w:rsid w:val="00843277"/>
    <w:rsid w:val="00843B51"/>
    <w:rsid w:val="008440AE"/>
    <w:rsid w:val="00844634"/>
    <w:rsid w:val="00845416"/>
    <w:rsid w:val="008459E4"/>
    <w:rsid w:val="00845A39"/>
    <w:rsid w:val="00846599"/>
    <w:rsid w:val="00846B2F"/>
    <w:rsid w:val="00846C7C"/>
    <w:rsid w:val="00846D93"/>
    <w:rsid w:val="0084721D"/>
    <w:rsid w:val="008472D3"/>
    <w:rsid w:val="00850F26"/>
    <w:rsid w:val="0085176F"/>
    <w:rsid w:val="00851F3F"/>
    <w:rsid w:val="008525F7"/>
    <w:rsid w:val="00853E37"/>
    <w:rsid w:val="008549ED"/>
    <w:rsid w:val="00854B0E"/>
    <w:rsid w:val="00854D76"/>
    <w:rsid w:val="00855039"/>
    <w:rsid w:val="00855229"/>
    <w:rsid w:val="0085618F"/>
    <w:rsid w:val="008565CF"/>
    <w:rsid w:val="0085680A"/>
    <w:rsid w:val="00856E47"/>
    <w:rsid w:val="00856EDC"/>
    <w:rsid w:val="0085770A"/>
    <w:rsid w:val="00860A0A"/>
    <w:rsid w:val="00861F3A"/>
    <w:rsid w:val="008622FB"/>
    <w:rsid w:val="008623B5"/>
    <w:rsid w:val="00863294"/>
    <w:rsid w:val="0086363A"/>
    <w:rsid w:val="008649E7"/>
    <w:rsid w:val="00864A1A"/>
    <w:rsid w:val="00864C18"/>
    <w:rsid w:val="008654D7"/>
    <w:rsid w:val="008656EE"/>
    <w:rsid w:val="008664F0"/>
    <w:rsid w:val="00867780"/>
    <w:rsid w:val="00870ABA"/>
    <w:rsid w:val="008710E1"/>
    <w:rsid w:val="00871564"/>
    <w:rsid w:val="008716E5"/>
    <w:rsid w:val="00873135"/>
    <w:rsid w:val="00873792"/>
    <w:rsid w:val="00873DCB"/>
    <w:rsid w:val="008748A5"/>
    <w:rsid w:val="00874D2E"/>
    <w:rsid w:val="00875246"/>
    <w:rsid w:val="008765A3"/>
    <w:rsid w:val="00876EDD"/>
    <w:rsid w:val="00877832"/>
    <w:rsid w:val="0087787C"/>
    <w:rsid w:val="008779AB"/>
    <w:rsid w:val="00877C98"/>
    <w:rsid w:val="008801CC"/>
    <w:rsid w:val="0088087B"/>
    <w:rsid w:val="008809FA"/>
    <w:rsid w:val="0088103E"/>
    <w:rsid w:val="0088143E"/>
    <w:rsid w:val="00881CA9"/>
    <w:rsid w:val="00882263"/>
    <w:rsid w:val="008827A7"/>
    <w:rsid w:val="008827D8"/>
    <w:rsid w:val="00882FFA"/>
    <w:rsid w:val="00883628"/>
    <w:rsid w:val="00883737"/>
    <w:rsid w:val="00883D21"/>
    <w:rsid w:val="00883F05"/>
    <w:rsid w:val="0088519B"/>
    <w:rsid w:val="0088521C"/>
    <w:rsid w:val="008853AD"/>
    <w:rsid w:val="008854B0"/>
    <w:rsid w:val="0088553C"/>
    <w:rsid w:val="00885544"/>
    <w:rsid w:val="0088562E"/>
    <w:rsid w:val="00885CEA"/>
    <w:rsid w:val="00885D5A"/>
    <w:rsid w:val="0088634E"/>
    <w:rsid w:val="00886822"/>
    <w:rsid w:val="00886A66"/>
    <w:rsid w:val="00886BC1"/>
    <w:rsid w:val="00887337"/>
    <w:rsid w:val="00887533"/>
    <w:rsid w:val="00890300"/>
    <w:rsid w:val="008909A6"/>
    <w:rsid w:val="00890A78"/>
    <w:rsid w:val="00890DB0"/>
    <w:rsid w:val="008918A3"/>
    <w:rsid w:val="00891DAC"/>
    <w:rsid w:val="00892BC4"/>
    <w:rsid w:val="00892CAB"/>
    <w:rsid w:val="00893AB8"/>
    <w:rsid w:val="00894311"/>
    <w:rsid w:val="0089500C"/>
    <w:rsid w:val="0089600C"/>
    <w:rsid w:val="00896573"/>
    <w:rsid w:val="00896956"/>
    <w:rsid w:val="00897277"/>
    <w:rsid w:val="00897644"/>
    <w:rsid w:val="00897691"/>
    <w:rsid w:val="00897FF9"/>
    <w:rsid w:val="008A0498"/>
    <w:rsid w:val="008A04C8"/>
    <w:rsid w:val="008A12D8"/>
    <w:rsid w:val="008A1945"/>
    <w:rsid w:val="008A2A86"/>
    <w:rsid w:val="008A2B15"/>
    <w:rsid w:val="008A32EA"/>
    <w:rsid w:val="008A3FB2"/>
    <w:rsid w:val="008A4648"/>
    <w:rsid w:val="008A4A41"/>
    <w:rsid w:val="008A4AEC"/>
    <w:rsid w:val="008A54F5"/>
    <w:rsid w:val="008A62B5"/>
    <w:rsid w:val="008A63FC"/>
    <w:rsid w:val="008A6725"/>
    <w:rsid w:val="008A6913"/>
    <w:rsid w:val="008A6F2E"/>
    <w:rsid w:val="008A76BE"/>
    <w:rsid w:val="008B0606"/>
    <w:rsid w:val="008B0616"/>
    <w:rsid w:val="008B0EE7"/>
    <w:rsid w:val="008B3319"/>
    <w:rsid w:val="008B3818"/>
    <w:rsid w:val="008B3993"/>
    <w:rsid w:val="008B3DBF"/>
    <w:rsid w:val="008B3DEE"/>
    <w:rsid w:val="008B420C"/>
    <w:rsid w:val="008B4216"/>
    <w:rsid w:val="008B42E7"/>
    <w:rsid w:val="008B490A"/>
    <w:rsid w:val="008B4A89"/>
    <w:rsid w:val="008B4C42"/>
    <w:rsid w:val="008B4F16"/>
    <w:rsid w:val="008B5121"/>
    <w:rsid w:val="008B5CEB"/>
    <w:rsid w:val="008B5F6B"/>
    <w:rsid w:val="008B6B43"/>
    <w:rsid w:val="008B6E90"/>
    <w:rsid w:val="008B70F3"/>
    <w:rsid w:val="008B71C4"/>
    <w:rsid w:val="008B76DF"/>
    <w:rsid w:val="008B7E17"/>
    <w:rsid w:val="008C0151"/>
    <w:rsid w:val="008C0610"/>
    <w:rsid w:val="008C0896"/>
    <w:rsid w:val="008C0BBF"/>
    <w:rsid w:val="008C0D20"/>
    <w:rsid w:val="008C0E7C"/>
    <w:rsid w:val="008C0E7F"/>
    <w:rsid w:val="008C10F4"/>
    <w:rsid w:val="008C20D2"/>
    <w:rsid w:val="008C39FB"/>
    <w:rsid w:val="008C4E31"/>
    <w:rsid w:val="008C50B3"/>
    <w:rsid w:val="008C5292"/>
    <w:rsid w:val="008C532E"/>
    <w:rsid w:val="008C539C"/>
    <w:rsid w:val="008C53AE"/>
    <w:rsid w:val="008C5427"/>
    <w:rsid w:val="008C6443"/>
    <w:rsid w:val="008C64EA"/>
    <w:rsid w:val="008C65F7"/>
    <w:rsid w:val="008C6CCB"/>
    <w:rsid w:val="008C6D3A"/>
    <w:rsid w:val="008C6FD1"/>
    <w:rsid w:val="008C740B"/>
    <w:rsid w:val="008D0C2D"/>
    <w:rsid w:val="008D1B4D"/>
    <w:rsid w:val="008D257C"/>
    <w:rsid w:val="008D2BF0"/>
    <w:rsid w:val="008D35AE"/>
    <w:rsid w:val="008D3917"/>
    <w:rsid w:val="008D40E6"/>
    <w:rsid w:val="008D4CBD"/>
    <w:rsid w:val="008D4D26"/>
    <w:rsid w:val="008D4D86"/>
    <w:rsid w:val="008D4FAB"/>
    <w:rsid w:val="008D5095"/>
    <w:rsid w:val="008D5098"/>
    <w:rsid w:val="008D5C73"/>
    <w:rsid w:val="008D6347"/>
    <w:rsid w:val="008D639F"/>
    <w:rsid w:val="008D6831"/>
    <w:rsid w:val="008D6C16"/>
    <w:rsid w:val="008D7158"/>
    <w:rsid w:val="008D76BD"/>
    <w:rsid w:val="008D7E14"/>
    <w:rsid w:val="008D7E1A"/>
    <w:rsid w:val="008D7EBF"/>
    <w:rsid w:val="008E032E"/>
    <w:rsid w:val="008E033A"/>
    <w:rsid w:val="008E072E"/>
    <w:rsid w:val="008E0F2E"/>
    <w:rsid w:val="008E1F21"/>
    <w:rsid w:val="008E22EF"/>
    <w:rsid w:val="008E2816"/>
    <w:rsid w:val="008E2AE5"/>
    <w:rsid w:val="008E2DF3"/>
    <w:rsid w:val="008E333A"/>
    <w:rsid w:val="008E3AE4"/>
    <w:rsid w:val="008E4767"/>
    <w:rsid w:val="008E48DF"/>
    <w:rsid w:val="008E4C26"/>
    <w:rsid w:val="008E4C46"/>
    <w:rsid w:val="008E4FCE"/>
    <w:rsid w:val="008E55C6"/>
    <w:rsid w:val="008E56AD"/>
    <w:rsid w:val="008E5767"/>
    <w:rsid w:val="008E5C8C"/>
    <w:rsid w:val="008E622E"/>
    <w:rsid w:val="008E64C7"/>
    <w:rsid w:val="008E667D"/>
    <w:rsid w:val="008E6F23"/>
    <w:rsid w:val="008E7573"/>
    <w:rsid w:val="008E7832"/>
    <w:rsid w:val="008E7A8C"/>
    <w:rsid w:val="008F0544"/>
    <w:rsid w:val="008F1340"/>
    <w:rsid w:val="008F141E"/>
    <w:rsid w:val="008F144F"/>
    <w:rsid w:val="008F16DB"/>
    <w:rsid w:val="008F17DD"/>
    <w:rsid w:val="008F1CF2"/>
    <w:rsid w:val="008F1F41"/>
    <w:rsid w:val="008F35FE"/>
    <w:rsid w:val="008F3859"/>
    <w:rsid w:val="008F3DE3"/>
    <w:rsid w:val="008F4280"/>
    <w:rsid w:val="008F4ACC"/>
    <w:rsid w:val="008F4D65"/>
    <w:rsid w:val="008F58EA"/>
    <w:rsid w:val="008F59F0"/>
    <w:rsid w:val="008F5CCF"/>
    <w:rsid w:val="008F5F02"/>
    <w:rsid w:val="008F6A77"/>
    <w:rsid w:val="008F6E42"/>
    <w:rsid w:val="008F6FBF"/>
    <w:rsid w:val="008F7024"/>
    <w:rsid w:val="008F73F7"/>
    <w:rsid w:val="008F7926"/>
    <w:rsid w:val="008F7936"/>
    <w:rsid w:val="008F7DBA"/>
    <w:rsid w:val="0090014E"/>
    <w:rsid w:val="00900252"/>
    <w:rsid w:val="0090039F"/>
    <w:rsid w:val="009009C2"/>
    <w:rsid w:val="00900A53"/>
    <w:rsid w:val="00900A99"/>
    <w:rsid w:val="00900EFB"/>
    <w:rsid w:val="009013CE"/>
    <w:rsid w:val="009015F8"/>
    <w:rsid w:val="009018E3"/>
    <w:rsid w:val="00901DD4"/>
    <w:rsid w:val="0090203B"/>
    <w:rsid w:val="00902432"/>
    <w:rsid w:val="00903285"/>
    <w:rsid w:val="0090345F"/>
    <w:rsid w:val="009036EA"/>
    <w:rsid w:val="009064C5"/>
    <w:rsid w:val="0090689D"/>
    <w:rsid w:val="00906F40"/>
    <w:rsid w:val="0090731E"/>
    <w:rsid w:val="00907337"/>
    <w:rsid w:val="00907B13"/>
    <w:rsid w:val="0091077D"/>
    <w:rsid w:val="00910AC0"/>
    <w:rsid w:val="00910D9C"/>
    <w:rsid w:val="009117A0"/>
    <w:rsid w:val="009120F0"/>
    <w:rsid w:val="0091325B"/>
    <w:rsid w:val="009139DA"/>
    <w:rsid w:val="00913F24"/>
    <w:rsid w:val="0091417D"/>
    <w:rsid w:val="009144FD"/>
    <w:rsid w:val="00914752"/>
    <w:rsid w:val="0091590C"/>
    <w:rsid w:val="00915B1C"/>
    <w:rsid w:val="009174F3"/>
    <w:rsid w:val="00917729"/>
    <w:rsid w:val="0091797D"/>
    <w:rsid w:val="00917D78"/>
    <w:rsid w:val="00920569"/>
    <w:rsid w:val="0092171A"/>
    <w:rsid w:val="00921D1A"/>
    <w:rsid w:val="009224F4"/>
    <w:rsid w:val="00922716"/>
    <w:rsid w:val="009228DA"/>
    <w:rsid w:val="0092326C"/>
    <w:rsid w:val="009233B1"/>
    <w:rsid w:val="00923CBA"/>
    <w:rsid w:val="009242EB"/>
    <w:rsid w:val="00924517"/>
    <w:rsid w:val="00924628"/>
    <w:rsid w:val="00924FC6"/>
    <w:rsid w:val="0092505F"/>
    <w:rsid w:val="00926276"/>
    <w:rsid w:val="00926703"/>
    <w:rsid w:val="00926848"/>
    <w:rsid w:val="00926FA0"/>
    <w:rsid w:val="00927691"/>
    <w:rsid w:val="009278ED"/>
    <w:rsid w:val="00927967"/>
    <w:rsid w:val="00927A5F"/>
    <w:rsid w:val="00927A75"/>
    <w:rsid w:val="00927AC0"/>
    <w:rsid w:val="00927FCE"/>
    <w:rsid w:val="00930510"/>
    <w:rsid w:val="00930628"/>
    <w:rsid w:val="0093092B"/>
    <w:rsid w:val="00930A30"/>
    <w:rsid w:val="00930B63"/>
    <w:rsid w:val="00930BDB"/>
    <w:rsid w:val="00930EED"/>
    <w:rsid w:val="0093214A"/>
    <w:rsid w:val="00932631"/>
    <w:rsid w:val="00932640"/>
    <w:rsid w:val="00932A3F"/>
    <w:rsid w:val="00932E1B"/>
    <w:rsid w:val="00933017"/>
    <w:rsid w:val="00933C2C"/>
    <w:rsid w:val="00933E33"/>
    <w:rsid w:val="009340BC"/>
    <w:rsid w:val="00934DD8"/>
    <w:rsid w:val="00935098"/>
    <w:rsid w:val="00935A0D"/>
    <w:rsid w:val="00935B63"/>
    <w:rsid w:val="00935FBF"/>
    <w:rsid w:val="009360A9"/>
    <w:rsid w:val="00936164"/>
    <w:rsid w:val="009363B3"/>
    <w:rsid w:val="00936A19"/>
    <w:rsid w:val="0093740D"/>
    <w:rsid w:val="009378DB"/>
    <w:rsid w:val="0093791E"/>
    <w:rsid w:val="00940188"/>
    <w:rsid w:val="009403A2"/>
    <w:rsid w:val="009404C0"/>
    <w:rsid w:val="00940771"/>
    <w:rsid w:val="0094078F"/>
    <w:rsid w:val="00940C2B"/>
    <w:rsid w:val="00940FA3"/>
    <w:rsid w:val="009412EA"/>
    <w:rsid w:val="0094130C"/>
    <w:rsid w:val="00941E61"/>
    <w:rsid w:val="00941FB0"/>
    <w:rsid w:val="009426D4"/>
    <w:rsid w:val="00943494"/>
    <w:rsid w:val="0094378E"/>
    <w:rsid w:val="00943F48"/>
    <w:rsid w:val="00944051"/>
    <w:rsid w:val="00944303"/>
    <w:rsid w:val="00944B65"/>
    <w:rsid w:val="00944DAD"/>
    <w:rsid w:val="00945A69"/>
    <w:rsid w:val="0094695A"/>
    <w:rsid w:val="009469FF"/>
    <w:rsid w:val="009478DC"/>
    <w:rsid w:val="00947D2E"/>
    <w:rsid w:val="00947F25"/>
    <w:rsid w:val="00950159"/>
    <w:rsid w:val="00950ABA"/>
    <w:rsid w:val="009510F8"/>
    <w:rsid w:val="009511CD"/>
    <w:rsid w:val="00951B15"/>
    <w:rsid w:val="0095272E"/>
    <w:rsid w:val="009533DD"/>
    <w:rsid w:val="0095357D"/>
    <w:rsid w:val="00953B90"/>
    <w:rsid w:val="0095490B"/>
    <w:rsid w:val="00954D37"/>
    <w:rsid w:val="009552C3"/>
    <w:rsid w:val="009552C4"/>
    <w:rsid w:val="00955602"/>
    <w:rsid w:val="00955CC9"/>
    <w:rsid w:val="009562B9"/>
    <w:rsid w:val="0095636F"/>
    <w:rsid w:val="00957059"/>
    <w:rsid w:val="00957076"/>
    <w:rsid w:val="009573E8"/>
    <w:rsid w:val="00957536"/>
    <w:rsid w:val="00957628"/>
    <w:rsid w:val="0095784A"/>
    <w:rsid w:val="00957FD6"/>
    <w:rsid w:val="00960A33"/>
    <w:rsid w:val="00961155"/>
    <w:rsid w:val="009614E1"/>
    <w:rsid w:val="00961BCB"/>
    <w:rsid w:val="0096256D"/>
    <w:rsid w:val="00962769"/>
    <w:rsid w:val="009647F6"/>
    <w:rsid w:val="00965148"/>
    <w:rsid w:val="00965C4C"/>
    <w:rsid w:val="00965D27"/>
    <w:rsid w:val="00966E06"/>
    <w:rsid w:val="00967101"/>
    <w:rsid w:val="009674CE"/>
    <w:rsid w:val="00967EF2"/>
    <w:rsid w:val="00970296"/>
    <w:rsid w:val="00970F19"/>
    <w:rsid w:val="00971089"/>
    <w:rsid w:val="00971255"/>
    <w:rsid w:val="009714A1"/>
    <w:rsid w:val="00971914"/>
    <w:rsid w:val="009719D9"/>
    <w:rsid w:val="00971D3F"/>
    <w:rsid w:val="0097201F"/>
    <w:rsid w:val="00972ECE"/>
    <w:rsid w:val="0097302C"/>
    <w:rsid w:val="0097319A"/>
    <w:rsid w:val="00973589"/>
    <w:rsid w:val="00973AEC"/>
    <w:rsid w:val="00973B5C"/>
    <w:rsid w:val="00973BC6"/>
    <w:rsid w:val="00974363"/>
    <w:rsid w:val="00974991"/>
    <w:rsid w:val="00974C17"/>
    <w:rsid w:val="009759D1"/>
    <w:rsid w:val="00976BA2"/>
    <w:rsid w:val="0097774A"/>
    <w:rsid w:val="00977854"/>
    <w:rsid w:val="009802A4"/>
    <w:rsid w:val="0098030B"/>
    <w:rsid w:val="009807A6"/>
    <w:rsid w:val="00980807"/>
    <w:rsid w:val="009809D9"/>
    <w:rsid w:val="00980AD5"/>
    <w:rsid w:val="00980CAD"/>
    <w:rsid w:val="009816F3"/>
    <w:rsid w:val="00981880"/>
    <w:rsid w:val="00981898"/>
    <w:rsid w:val="009818DD"/>
    <w:rsid w:val="00981AF5"/>
    <w:rsid w:val="00981D8E"/>
    <w:rsid w:val="009823DB"/>
    <w:rsid w:val="00982891"/>
    <w:rsid w:val="00982A39"/>
    <w:rsid w:val="00983598"/>
    <w:rsid w:val="00983DA4"/>
    <w:rsid w:val="0098419E"/>
    <w:rsid w:val="00984492"/>
    <w:rsid w:val="00986215"/>
    <w:rsid w:val="009863D8"/>
    <w:rsid w:val="0098787B"/>
    <w:rsid w:val="0099176D"/>
    <w:rsid w:val="00991A89"/>
    <w:rsid w:val="00991E34"/>
    <w:rsid w:val="009923F9"/>
    <w:rsid w:val="00993529"/>
    <w:rsid w:val="00993B06"/>
    <w:rsid w:val="00994D99"/>
    <w:rsid w:val="009950D3"/>
    <w:rsid w:val="0099577C"/>
    <w:rsid w:val="00995BA9"/>
    <w:rsid w:val="00997232"/>
    <w:rsid w:val="0099740D"/>
    <w:rsid w:val="0099760D"/>
    <w:rsid w:val="00997976"/>
    <w:rsid w:val="00997CC9"/>
    <w:rsid w:val="009A0122"/>
    <w:rsid w:val="009A0284"/>
    <w:rsid w:val="009A054E"/>
    <w:rsid w:val="009A07A8"/>
    <w:rsid w:val="009A12FF"/>
    <w:rsid w:val="009A19C2"/>
    <w:rsid w:val="009A1CB4"/>
    <w:rsid w:val="009A1EBE"/>
    <w:rsid w:val="009A1F43"/>
    <w:rsid w:val="009A2E00"/>
    <w:rsid w:val="009A31B1"/>
    <w:rsid w:val="009A335D"/>
    <w:rsid w:val="009A365A"/>
    <w:rsid w:val="009A3B32"/>
    <w:rsid w:val="009A4BA0"/>
    <w:rsid w:val="009A4D54"/>
    <w:rsid w:val="009A64C8"/>
    <w:rsid w:val="009A682F"/>
    <w:rsid w:val="009A68A7"/>
    <w:rsid w:val="009A6B5F"/>
    <w:rsid w:val="009A7A3A"/>
    <w:rsid w:val="009B078F"/>
    <w:rsid w:val="009B0F01"/>
    <w:rsid w:val="009B16EB"/>
    <w:rsid w:val="009B1E22"/>
    <w:rsid w:val="009B24A5"/>
    <w:rsid w:val="009B2601"/>
    <w:rsid w:val="009B2850"/>
    <w:rsid w:val="009B2972"/>
    <w:rsid w:val="009B2E5A"/>
    <w:rsid w:val="009B3405"/>
    <w:rsid w:val="009B36EB"/>
    <w:rsid w:val="009B3C5F"/>
    <w:rsid w:val="009B405B"/>
    <w:rsid w:val="009B4159"/>
    <w:rsid w:val="009B4471"/>
    <w:rsid w:val="009B46B5"/>
    <w:rsid w:val="009B4E9E"/>
    <w:rsid w:val="009B5E0E"/>
    <w:rsid w:val="009B6240"/>
    <w:rsid w:val="009B664B"/>
    <w:rsid w:val="009B6756"/>
    <w:rsid w:val="009B6789"/>
    <w:rsid w:val="009B6DB4"/>
    <w:rsid w:val="009B725B"/>
    <w:rsid w:val="009B79FA"/>
    <w:rsid w:val="009B7CD6"/>
    <w:rsid w:val="009B7D09"/>
    <w:rsid w:val="009B7D8F"/>
    <w:rsid w:val="009C01F1"/>
    <w:rsid w:val="009C0214"/>
    <w:rsid w:val="009C0278"/>
    <w:rsid w:val="009C0430"/>
    <w:rsid w:val="009C06B0"/>
    <w:rsid w:val="009C1441"/>
    <w:rsid w:val="009C1690"/>
    <w:rsid w:val="009C1914"/>
    <w:rsid w:val="009C1CF3"/>
    <w:rsid w:val="009C281E"/>
    <w:rsid w:val="009C2D1C"/>
    <w:rsid w:val="009C30F7"/>
    <w:rsid w:val="009C32AB"/>
    <w:rsid w:val="009C32ED"/>
    <w:rsid w:val="009C3495"/>
    <w:rsid w:val="009C39AD"/>
    <w:rsid w:val="009C412F"/>
    <w:rsid w:val="009C48C9"/>
    <w:rsid w:val="009C4CE9"/>
    <w:rsid w:val="009C58D4"/>
    <w:rsid w:val="009C5EBE"/>
    <w:rsid w:val="009C5FA0"/>
    <w:rsid w:val="009C6881"/>
    <w:rsid w:val="009C6D86"/>
    <w:rsid w:val="009C6F3B"/>
    <w:rsid w:val="009C7257"/>
    <w:rsid w:val="009C7310"/>
    <w:rsid w:val="009C7759"/>
    <w:rsid w:val="009C7AD0"/>
    <w:rsid w:val="009C7B2F"/>
    <w:rsid w:val="009C7E16"/>
    <w:rsid w:val="009D0136"/>
    <w:rsid w:val="009D043D"/>
    <w:rsid w:val="009D0501"/>
    <w:rsid w:val="009D07C8"/>
    <w:rsid w:val="009D07D9"/>
    <w:rsid w:val="009D08D3"/>
    <w:rsid w:val="009D1392"/>
    <w:rsid w:val="009D1402"/>
    <w:rsid w:val="009D149B"/>
    <w:rsid w:val="009D16F3"/>
    <w:rsid w:val="009D1706"/>
    <w:rsid w:val="009D1793"/>
    <w:rsid w:val="009D1CF3"/>
    <w:rsid w:val="009D1D05"/>
    <w:rsid w:val="009D3E25"/>
    <w:rsid w:val="009D3E7E"/>
    <w:rsid w:val="009D418C"/>
    <w:rsid w:val="009D4AFE"/>
    <w:rsid w:val="009D539B"/>
    <w:rsid w:val="009D5773"/>
    <w:rsid w:val="009D613F"/>
    <w:rsid w:val="009D62B1"/>
    <w:rsid w:val="009D65DA"/>
    <w:rsid w:val="009D6A6E"/>
    <w:rsid w:val="009D6C71"/>
    <w:rsid w:val="009D7413"/>
    <w:rsid w:val="009E0631"/>
    <w:rsid w:val="009E1061"/>
    <w:rsid w:val="009E16D0"/>
    <w:rsid w:val="009E1C7F"/>
    <w:rsid w:val="009E1F22"/>
    <w:rsid w:val="009E2051"/>
    <w:rsid w:val="009E2472"/>
    <w:rsid w:val="009E2501"/>
    <w:rsid w:val="009E2BBE"/>
    <w:rsid w:val="009E34C0"/>
    <w:rsid w:val="009E38FD"/>
    <w:rsid w:val="009E3C92"/>
    <w:rsid w:val="009E42CA"/>
    <w:rsid w:val="009E441A"/>
    <w:rsid w:val="009E4BAB"/>
    <w:rsid w:val="009E5391"/>
    <w:rsid w:val="009E567C"/>
    <w:rsid w:val="009E5821"/>
    <w:rsid w:val="009E734E"/>
    <w:rsid w:val="009F13D6"/>
    <w:rsid w:val="009F16BB"/>
    <w:rsid w:val="009F22FB"/>
    <w:rsid w:val="009F2C49"/>
    <w:rsid w:val="009F2EE1"/>
    <w:rsid w:val="009F3BD1"/>
    <w:rsid w:val="009F4419"/>
    <w:rsid w:val="009F457B"/>
    <w:rsid w:val="009F4C6B"/>
    <w:rsid w:val="009F4FEE"/>
    <w:rsid w:val="009F5BF5"/>
    <w:rsid w:val="009F6AF8"/>
    <w:rsid w:val="009F6E6A"/>
    <w:rsid w:val="009F73A7"/>
    <w:rsid w:val="009F78A8"/>
    <w:rsid w:val="009F7C57"/>
    <w:rsid w:val="009F7DDB"/>
    <w:rsid w:val="00A000AB"/>
    <w:rsid w:val="00A012B0"/>
    <w:rsid w:val="00A01833"/>
    <w:rsid w:val="00A01F6D"/>
    <w:rsid w:val="00A02471"/>
    <w:rsid w:val="00A02AD6"/>
    <w:rsid w:val="00A02EA1"/>
    <w:rsid w:val="00A03BD5"/>
    <w:rsid w:val="00A03CCA"/>
    <w:rsid w:val="00A03F53"/>
    <w:rsid w:val="00A0453F"/>
    <w:rsid w:val="00A04AFD"/>
    <w:rsid w:val="00A04F8A"/>
    <w:rsid w:val="00A05039"/>
    <w:rsid w:val="00A0541C"/>
    <w:rsid w:val="00A0563C"/>
    <w:rsid w:val="00A05D68"/>
    <w:rsid w:val="00A05FB2"/>
    <w:rsid w:val="00A06401"/>
    <w:rsid w:val="00A067A0"/>
    <w:rsid w:val="00A06D15"/>
    <w:rsid w:val="00A07096"/>
    <w:rsid w:val="00A07318"/>
    <w:rsid w:val="00A07826"/>
    <w:rsid w:val="00A07B5B"/>
    <w:rsid w:val="00A10D15"/>
    <w:rsid w:val="00A10F31"/>
    <w:rsid w:val="00A11370"/>
    <w:rsid w:val="00A11898"/>
    <w:rsid w:val="00A11C98"/>
    <w:rsid w:val="00A12184"/>
    <w:rsid w:val="00A1235C"/>
    <w:rsid w:val="00A12446"/>
    <w:rsid w:val="00A12CB2"/>
    <w:rsid w:val="00A12EF4"/>
    <w:rsid w:val="00A137F1"/>
    <w:rsid w:val="00A138B4"/>
    <w:rsid w:val="00A14409"/>
    <w:rsid w:val="00A14E1D"/>
    <w:rsid w:val="00A1507E"/>
    <w:rsid w:val="00A15246"/>
    <w:rsid w:val="00A1602B"/>
    <w:rsid w:val="00A16E22"/>
    <w:rsid w:val="00A175FD"/>
    <w:rsid w:val="00A17786"/>
    <w:rsid w:val="00A17B1B"/>
    <w:rsid w:val="00A20D50"/>
    <w:rsid w:val="00A2154B"/>
    <w:rsid w:val="00A216A3"/>
    <w:rsid w:val="00A21889"/>
    <w:rsid w:val="00A21A9A"/>
    <w:rsid w:val="00A21CB5"/>
    <w:rsid w:val="00A21EA2"/>
    <w:rsid w:val="00A21FF1"/>
    <w:rsid w:val="00A224CE"/>
    <w:rsid w:val="00A22522"/>
    <w:rsid w:val="00A238D4"/>
    <w:rsid w:val="00A2440D"/>
    <w:rsid w:val="00A2458E"/>
    <w:rsid w:val="00A24882"/>
    <w:rsid w:val="00A24AFD"/>
    <w:rsid w:val="00A24F5C"/>
    <w:rsid w:val="00A25520"/>
    <w:rsid w:val="00A256CC"/>
    <w:rsid w:val="00A25749"/>
    <w:rsid w:val="00A26037"/>
    <w:rsid w:val="00A2608F"/>
    <w:rsid w:val="00A26500"/>
    <w:rsid w:val="00A2747A"/>
    <w:rsid w:val="00A278DE"/>
    <w:rsid w:val="00A27C0A"/>
    <w:rsid w:val="00A3029E"/>
    <w:rsid w:val="00A30541"/>
    <w:rsid w:val="00A3131A"/>
    <w:rsid w:val="00A31874"/>
    <w:rsid w:val="00A31952"/>
    <w:rsid w:val="00A31DE1"/>
    <w:rsid w:val="00A31EDE"/>
    <w:rsid w:val="00A32200"/>
    <w:rsid w:val="00A324AC"/>
    <w:rsid w:val="00A32D6C"/>
    <w:rsid w:val="00A32F96"/>
    <w:rsid w:val="00A33598"/>
    <w:rsid w:val="00A336FE"/>
    <w:rsid w:val="00A3397A"/>
    <w:rsid w:val="00A3429B"/>
    <w:rsid w:val="00A34653"/>
    <w:rsid w:val="00A34877"/>
    <w:rsid w:val="00A34986"/>
    <w:rsid w:val="00A35433"/>
    <w:rsid w:val="00A3549E"/>
    <w:rsid w:val="00A362BE"/>
    <w:rsid w:val="00A363DE"/>
    <w:rsid w:val="00A3640C"/>
    <w:rsid w:val="00A36DF5"/>
    <w:rsid w:val="00A37366"/>
    <w:rsid w:val="00A379BE"/>
    <w:rsid w:val="00A40626"/>
    <w:rsid w:val="00A40871"/>
    <w:rsid w:val="00A409EE"/>
    <w:rsid w:val="00A40B56"/>
    <w:rsid w:val="00A41065"/>
    <w:rsid w:val="00A41269"/>
    <w:rsid w:val="00A412AB"/>
    <w:rsid w:val="00A4193E"/>
    <w:rsid w:val="00A42846"/>
    <w:rsid w:val="00A4373D"/>
    <w:rsid w:val="00A43938"/>
    <w:rsid w:val="00A440E0"/>
    <w:rsid w:val="00A442EF"/>
    <w:rsid w:val="00A44436"/>
    <w:rsid w:val="00A44E5E"/>
    <w:rsid w:val="00A45374"/>
    <w:rsid w:val="00A4544F"/>
    <w:rsid w:val="00A45ACA"/>
    <w:rsid w:val="00A46776"/>
    <w:rsid w:val="00A469B2"/>
    <w:rsid w:val="00A4752B"/>
    <w:rsid w:val="00A478D2"/>
    <w:rsid w:val="00A47BEE"/>
    <w:rsid w:val="00A50F80"/>
    <w:rsid w:val="00A51573"/>
    <w:rsid w:val="00A515F3"/>
    <w:rsid w:val="00A517F7"/>
    <w:rsid w:val="00A51D1A"/>
    <w:rsid w:val="00A52287"/>
    <w:rsid w:val="00A52608"/>
    <w:rsid w:val="00A52B3B"/>
    <w:rsid w:val="00A53386"/>
    <w:rsid w:val="00A5418D"/>
    <w:rsid w:val="00A54229"/>
    <w:rsid w:val="00A5474E"/>
    <w:rsid w:val="00A54E39"/>
    <w:rsid w:val="00A5557B"/>
    <w:rsid w:val="00A557D9"/>
    <w:rsid w:val="00A5642E"/>
    <w:rsid w:val="00A56D8D"/>
    <w:rsid w:val="00A56F21"/>
    <w:rsid w:val="00A57226"/>
    <w:rsid w:val="00A57873"/>
    <w:rsid w:val="00A5790E"/>
    <w:rsid w:val="00A57B0F"/>
    <w:rsid w:val="00A57C15"/>
    <w:rsid w:val="00A57E55"/>
    <w:rsid w:val="00A609A3"/>
    <w:rsid w:val="00A60D70"/>
    <w:rsid w:val="00A61898"/>
    <w:rsid w:val="00A6238C"/>
    <w:rsid w:val="00A628ED"/>
    <w:rsid w:val="00A62953"/>
    <w:rsid w:val="00A62CD3"/>
    <w:rsid w:val="00A62D95"/>
    <w:rsid w:val="00A631B8"/>
    <w:rsid w:val="00A64234"/>
    <w:rsid w:val="00A657A7"/>
    <w:rsid w:val="00A6595A"/>
    <w:rsid w:val="00A65A01"/>
    <w:rsid w:val="00A65FE4"/>
    <w:rsid w:val="00A660CB"/>
    <w:rsid w:val="00A662D1"/>
    <w:rsid w:val="00A66DA2"/>
    <w:rsid w:val="00A672F5"/>
    <w:rsid w:val="00A67C71"/>
    <w:rsid w:val="00A67EDB"/>
    <w:rsid w:val="00A7003F"/>
    <w:rsid w:val="00A70537"/>
    <w:rsid w:val="00A70ADF"/>
    <w:rsid w:val="00A71466"/>
    <w:rsid w:val="00A715E1"/>
    <w:rsid w:val="00A716EF"/>
    <w:rsid w:val="00A71B6C"/>
    <w:rsid w:val="00A720F8"/>
    <w:rsid w:val="00A724EB"/>
    <w:rsid w:val="00A7262D"/>
    <w:rsid w:val="00A727E5"/>
    <w:rsid w:val="00A72E64"/>
    <w:rsid w:val="00A73498"/>
    <w:rsid w:val="00A739E2"/>
    <w:rsid w:val="00A740C8"/>
    <w:rsid w:val="00A74160"/>
    <w:rsid w:val="00A74B5E"/>
    <w:rsid w:val="00A74DC3"/>
    <w:rsid w:val="00A7585E"/>
    <w:rsid w:val="00A76DA8"/>
    <w:rsid w:val="00A772A2"/>
    <w:rsid w:val="00A77CDB"/>
    <w:rsid w:val="00A77F56"/>
    <w:rsid w:val="00A801DE"/>
    <w:rsid w:val="00A80698"/>
    <w:rsid w:val="00A81A70"/>
    <w:rsid w:val="00A81AD5"/>
    <w:rsid w:val="00A81BED"/>
    <w:rsid w:val="00A81EC4"/>
    <w:rsid w:val="00A824E8"/>
    <w:rsid w:val="00A82673"/>
    <w:rsid w:val="00A8273B"/>
    <w:rsid w:val="00A8300D"/>
    <w:rsid w:val="00A83233"/>
    <w:rsid w:val="00A83351"/>
    <w:rsid w:val="00A83E38"/>
    <w:rsid w:val="00A84125"/>
    <w:rsid w:val="00A84463"/>
    <w:rsid w:val="00A84961"/>
    <w:rsid w:val="00A84B85"/>
    <w:rsid w:val="00A84C57"/>
    <w:rsid w:val="00A85A74"/>
    <w:rsid w:val="00A862FA"/>
    <w:rsid w:val="00A86E45"/>
    <w:rsid w:val="00A87467"/>
    <w:rsid w:val="00A87FD2"/>
    <w:rsid w:val="00A90375"/>
    <w:rsid w:val="00A908BA"/>
    <w:rsid w:val="00A91206"/>
    <w:rsid w:val="00A91535"/>
    <w:rsid w:val="00A91A18"/>
    <w:rsid w:val="00A92046"/>
    <w:rsid w:val="00A92CDE"/>
    <w:rsid w:val="00A92DC3"/>
    <w:rsid w:val="00A93123"/>
    <w:rsid w:val="00A93B25"/>
    <w:rsid w:val="00A9477F"/>
    <w:rsid w:val="00A94DF8"/>
    <w:rsid w:val="00A9521C"/>
    <w:rsid w:val="00A952B0"/>
    <w:rsid w:val="00A953DF"/>
    <w:rsid w:val="00A95458"/>
    <w:rsid w:val="00A95554"/>
    <w:rsid w:val="00A95C26"/>
    <w:rsid w:val="00A9608F"/>
    <w:rsid w:val="00A9659A"/>
    <w:rsid w:val="00A967D0"/>
    <w:rsid w:val="00A967FD"/>
    <w:rsid w:val="00A97146"/>
    <w:rsid w:val="00A9743E"/>
    <w:rsid w:val="00A978EA"/>
    <w:rsid w:val="00A97A56"/>
    <w:rsid w:val="00A97B77"/>
    <w:rsid w:val="00AA0B9D"/>
    <w:rsid w:val="00AA0F14"/>
    <w:rsid w:val="00AA0FFE"/>
    <w:rsid w:val="00AA102B"/>
    <w:rsid w:val="00AA15AA"/>
    <w:rsid w:val="00AA172D"/>
    <w:rsid w:val="00AA2036"/>
    <w:rsid w:val="00AA2865"/>
    <w:rsid w:val="00AA2DE5"/>
    <w:rsid w:val="00AA2F4E"/>
    <w:rsid w:val="00AA3AB6"/>
    <w:rsid w:val="00AA42DF"/>
    <w:rsid w:val="00AA45F2"/>
    <w:rsid w:val="00AA4C5C"/>
    <w:rsid w:val="00AA6033"/>
    <w:rsid w:val="00AA688E"/>
    <w:rsid w:val="00AA6FD9"/>
    <w:rsid w:val="00AA724C"/>
    <w:rsid w:val="00AA745A"/>
    <w:rsid w:val="00AA7F06"/>
    <w:rsid w:val="00AB066B"/>
    <w:rsid w:val="00AB156C"/>
    <w:rsid w:val="00AB1663"/>
    <w:rsid w:val="00AB2A0A"/>
    <w:rsid w:val="00AB2D36"/>
    <w:rsid w:val="00AB3D4C"/>
    <w:rsid w:val="00AB3EEB"/>
    <w:rsid w:val="00AB41BD"/>
    <w:rsid w:val="00AB449E"/>
    <w:rsid w:val="00AB4665"/>
    <w:rsid w:val="00AB4B85"/>
    <w:rsid w:val="00AB4DD9"/>
    <w:rsid w:val="00AB5A0D"/>
    <w:rsid w:val="00AB64D7"/>
    <w:rsid w:val="00AB6814"/>
    <w:rsid w:val="00AB69E2"/>
    <w:rsid w:val="00AB6F69"/>
    <w:rsid w:val="00AB75F1"/>
    <w:rsid w:val="00AB79E9"/>
    <w:rsid w:val="00AB7ABF"/>
    <w:rsid w:val="00AC04BA"/>
    <w:rsid w:val="00AC0B0E"/>
    <w:rsid w:val="00AC0E39"/>
    <w:rsid w:val="00AC2158"/>
    <w:rsid w:val="00AC2349"/>
    <w:rsid w:val="00AC34E8"/>
    <w:rsid w:val="00AC3FB2"/>
    <w:rsid w:val="00AC40C8"/>
    <w:rsid w:val="00AC54DC"/>
    <w:rsid w:val="00AC5C60"/>
    <w:rsid w:val="00AC62C0"/>
    <w:rsid w:val="00AC63B9"/>
    <w:rsid w:val="00AC6491"/>
    <w:rsid w:val="00AC6694"/>
    <w:rsid w:val="00AC6E25"/>
    <w:rsid w:val="00AC7043"/>
    <w:rsid w:val="00AC76AE"/>
    <w:rsid w:val="00AC7DF7"/>
    <w:rsid w:val="00AD0201"/>
    <w:rsid w:val="00AD0779"/>
    <w:rsid w:val="00AD078D"/>
    <w:rsid w:val="00AD0BAD"/>
    <w:rsid w:val="00AD1510"/>
    <w:rsid w:val="00AD15EC"/>
    <w:rsid w:val="00AD1A7F"/>
    <w:rsid w:val="00AD1B70"/>
    <w:rsid w:val="00AD208C"/>
    <w:rsid w:val="00AD2309"/>
    <w:rsid w:val="00AD2510"/>
    <w:rsid w:val="00AD2733"/>
    <w:rsid w:val="00AD3082"/>
    <w:rsid w:val="00AD32B4"/>
    <w:rsid w:val="00AD36BD"/>
    <w:rsid w:val="00AD370A"/>
    <w:rsid w:val="00AD3C5C"/>
    <w:rsid w:val="00AD42F4"/>
    <w:rsid w:val="00AD4AD0"/>
    <w:rsid w:val="00AD4BAD"/>
    <w:rsid w:val="00AD5436"/>
    <w:rsid w:val="00AD5924"/>
    <w:rsid w:val="00AD5B08"/>
    <w:rsid w:val="00AD60CD"/>
    <w:rsid w:val="00AD6C8C"/>
    <w:rsid w:val="00AD6E87"/>
    <w:rsid w:val="00AD72B3"/>
    <w:rsid w:val="00AD750E"/>
    <w:rsid w:val="00AD7A3A"/>
    <w:rsid w:val="00AD7BAD"/>
    <w:rsid w:val="00AD7C3A"/>
    <w:rsid w:val="00AD7C5D"/>
    <w:rsid w:val="00AD7CAA"/>
    <w:rsid w:val="00AE0388"/>
    <w:rsid w:val="00AE0777"/>
    <w:rsid w:val="00AE0875"/>
    <w:rsid w:val="00AE091D"/>
    <w:rsid w:val="00AE0D1F"/>
    <w:rsid w:val="00AE17B2"/>
    <w:rsid w:val="00AE17D6"/>
    <w:rsid w:val="00AE2756"/>
    <w:rsid w:val="00AE27FB"/>
    <w:rsid w:val="00AE2EA3"/>
    <w:rsid w:val="00AE301A"/>
    <w:rsid w:val="00AE31E7"/>
    <w:rsid w:val="00AE39D3"/>
    <w:rsid w:val="00AE3B60"/>
    <w:rsid w:val="00AE3D19"/>
    <w:rsid w:val="00AE433C"/>
    <w:rsid w:val="00AE4457"/>
    <w:rsid w:val="00AE4A91"/>
    <w:rsid w:val="00AE4A99"/>
    <w:rsid w:val="00AE4B67"/>
    <w:rsid w:val="00AE52F1"/>
    <w:rsid w:val="00AE53A1"/>
    <w:rsid w:val="00AE5FCB"/>
    <w:rsid w:val="00AE6694"/>
    <w:rsid w:val="00AE6B06"/>
    <w:rsid w:val="00AE6D9E"/>
    <w:rsid w:val="00AE6F76"/>
    <w:rsid w:val="00AE7D8C"/>
    <w:rsid w:val="00AF0259"/>
    <w:rsid w:val="00AF0682"/>
    <w:rsid w:val="00AF16C8"/>
    <w:rsid w:val="00AF2313"/>
    <w:rsid w:val="00AF2484"/>
    <w:rsid w:val="00AF3693"/>
    <w:rsid w:val="00AF37A7"/>
    <w:rsid w:val="00AF3842"/>
    <w:rsid w:val="00AF3ADE"/>
    <w:rsid w:val="00AF4503"/>
    <w:rsid w:val="00AF5BBE"/>
    <w:rsid w:val="00AF63E7"/>
    <w:rsid w:val="00AF6838"/>
    <w:rsid w:val="00AF6BA3"/>
    <w:rsid w:val="00AF6E17"/>
    <w:rsid w:val="00AF6E28"/>
    <w:rsid w:val="00AF6FAE"/>
    <w:rsid w:val="00AF73F5"/>
    <w:rsid w:val="00AF752A"/>
    <w:rsid w:val="00B001BF"/>
    <w:rsid w:val="00B00629"/>
    <w:rsid w:val="00B0165D"/>
    <w:rsid w:val="00B01A21"/>
    <w:rsid w:val="00B01AF1"/>
    <w:rsid w:val="00B01B60"/>
    <w:rsid w:val="00B01F02"/>
    <w:rsid w:val="00B02726"/>
    <w:rsid w:val="00B027A8"/>
    <w:rsid w:val="00B02F4A"/>
    <w:rsid w:val="00B031F3"/>
    <w:rsid w:val="00B03E30"/>
    <w:rsid w:val="00B0449F"/>
    <w:rsid w:val="00B0465B"/>
    <w:rsid w:val="00B0485A"/>
    <w:rsid w:val="00B04E96"/>
    <w:rsid w:val="00B04FB3"/>
    <w:rsid w:val="00B05158"/>
    <w:rsid w:val="00B052A4"/>
    <w:rsid w:val="00B05FE2"/>
    <w:rsid w:val="00B065BD"/>
    <w:rsid w:val="00B06614"/>
    <w:rsid w:val="00B06919"/>
    <w:rsid w:val="00B06A00"/>
    <w:rsid w:val="00B06DA1"/>
    <w:rsid w:val="00B079B5"/>
    <w:rsid w:val="00B10055"/>
    <w:rsid w:val="00B1050B"/>
    <w:rsid w:val="00B111BE"/>
    <w:rsid w:val="00B114F0"/>
    <w:rsid w:val="00B11749"/>
    <w:rsid w:val="00B11B00"/>
    <w:rsid w:val="00B11BD4"/>
    <w:rsid w:val="00B11D9B"/>
    <w:rsid w:val="00B121A0"/>
    <w:rsid w:val="00B125DE"/>
    <w:rsid w:val="00B12FBD"/>
    <w:rsid w:val="00B132A8"/>
    <w:rsid w:val="00B13862"/>
    <w:rsid w:val="00B13FDD"/>
    <w:rsid w:val="00B14124"/>
    <w:rsid w:val="00B14142"/>
    <w:rsid w:val="00B14DE0"/>
    <w:rsid w:val="00B15553"/>
    <w:rsid w:val="00B156B0"/>
    <w:rsid w:val="00B15ECC"/>
    <w:rsid w:val="00B1657D"/>
    <w:rsid w:val="00B16994"/>
    <w:rsid w:val="00B16AE8"/>
    <w:rsid w:val="00B16C9D"/>
    <w:rsid w:val="00B16DC3"/>
    <w:rsid w:val="00B172ED"/>
    <w:rsid w:val="00B1792B"/>
    <w:rsid w:val="00B17D7E"/>
    <w:rsid w:val="00B17EE7"/>
    <w:rsid w:val="00B20AA7"/>
    <w:rsid w:val="00B20C0E"/>
    <w:rsid w:val="00B20E54"/>
    <w:rsid w:val="00B21DBC"/>
    <w:rsid w:val="00B22073"/>
    <w:rsid w:val="00B225EE"/>
    <w:rsid w:val="00B2260C"/>
    <w:rsid w:val="00B226A5"/>
    <w:rsid w:val="00B22E62"/>
    <w:rsid w:val="00B22EB2"/>
    <w:rsid w:val="00B230AB"/>
    <w:rsid w:val="00B23415"/>
    <w:rsid w:val="00B234C0"/>
    <w:rsid w:val="00B234DA"/>
    <w:rsid w:val="00B23D60"/>
    <w:rsid w:val="00B2444D"/>
    <w:rsid w:val="00B244E6"/>
    <w:rsid w:val="00B25034"/>
    <w:rsid w:val="00B254DA"/>
    <w:rsid w:val="00B25FE3"/>
    <w:rsid w:val="00B26074"/>
    <w:rsid w:val="00B264EE"/>
    <w:rsid w:val="00B265F7"/>
    <w:rsid w:val="00B26D4D"/>
    <w:rsid w:val="00B27442"/>
    <w:rsid w:val="00B2771A"/>
    <w:rsid w:val="00B27CF4"/>
    <w:rsid w:val="00B301F1"/>
    <w:rsid w:val="00B30409"/>
    <w:rsid w:val="00B31167"/>
    <w:rsid w:val="00B31B05"/>
    <w:rsid w:val="00B31FD0"/>
    <w:rsid w:val="00B320D4"/>
    <w:rsid w:val="00B3289D"/>
    <w:rsid w:val="00B3298A"/>
    <w:rsid w:val="00B329D8"/>
    <w:rsid w:val="00B329EA"/>
    <w:rsid w:val="00B32BB9"/>
    <w:rsid w:val="00B32FB7"/>
    <w:rsid w:val="00B3353A"/>
    <w:rsid w:val="00B33AE1"/>
    <w:rsid w:val="00B33C01"/>
    <w:rsid w:val="00B344B6"/>
    <w:rsid w:val="00B3560C"/>
    <w:rsid w:val="00B365B7"/>
    <w:rsid w:val="00B366A1"/>
    <w:rsid w:val="00B36738"/>
    <w:rsid w:val="00B367C7"/>
    <w:rsid w:val="00B3683A"/>
    <w:rsid w:val="00B36920"/>
    <w:rsid w:val="00B36935"/>
    <w:rsid w:val="00B3703C"/>
    <w:rsid w:val="00B3766F"/>
    <w:rsid w:val="00B37C38"/>
    <w:rsid w:val="00B40081"/>
    <w:rsid w:val="00B40289"/>
    <w:rsid w:val="00B409D8"/>
    <w:rsid w:val="00B40F04"/>
    <w:rsid w:val="00B41DA8"/>
    <w:rsid w:val="00B4288C"/>
    <w:rsid w:val="00B43262"/>
    <w:rsid w:val="00B43483"/>
    <w:rsid w:val="00B438BA"/>
    <w:rsid w:val="00B44100"/>
    <w:rsid w:val="00B4421F"/>
    <w:rsid w:val="00B442D6"/>
    <w:rsid w:val="00B444E6"/>
    <w:rsid w:val="00B44F4C"/>
    <w:rsid w:val="00B45539"/>
    <w:rsid w:val="00B45749"/>
    <w:rsid w:val="00B457F4"/>
    <w:rsid w:val="00B459FE"/>
    <w:rsid w:val="00B46912"/>
    <w:rsid w:val="00B46B09"/>
    <w:rsid w:val="00B46BF4"/>
    <w:rsid w:val="00B46CBA"/>
    <w:rsid w:val="00B46EED"/>
    <w:rsid w:val="00B46F94"/>
    <w:rsid w:val="00B47138"/>
    <w:rsid w:val="00B47237"/>
    <w:rsid w:val="00B47C31"/>
    <w:rsid w:val="00B47E92"/>
    <w:rsid w:val="00B50137"/>
    <w:rsid w:val="00B501D1"/>
    <w:rsid w:val="00B503F1"/>
    <w:rsid w:val="00B52138"/>
    <w:rsid w:val="00B5214E"/>
    <w:rsid w:val="00B52699"/>
    <w:rsid w:val="00B52C89"/>
    <w:rsid w:val="00B52F55"/>
    <w:rsid w:val="00B536CB"/>
    <w:rsid w:val="00B538D1"/>
    <w:rsid w:val="00B53CAE"/>
    <w:rsid w:val="00B53FB1"/>
    <w:rsid w:val="00B542FD"/>
    <w:rsid w:val="00B5492A"/>
    <w:rsid w:val="00B55D69"/>
    <w:rsid w:val="00B564EC"/>
    <w:rsid w:val="00B56F4D"/>
    <w:rsid w:val="00B5706D"/>
    <w:rsid w:val="00B57071"/>
    <w:rsid w:val="00B576A1"/>
    <w:rsid w:val="00B6003C"/>
    <w:rsid w:val="00B6121A"/>
    <w:rsid w:val="00B61563"/>
    <w:rsid w:val="00B619E9"/>
    <w:rsid w:val="00B61F03"/>
    <w:rsid w:val="00B62273"/>
    <w:rsid w:val="00B62394"/>
    <w:rsid w:val="00B6262C"/>
    <w:rsid w:val="00B626E4"/>
    <w:rsid w:val="00B6323D"/>
    <w:rsid w:val="00B634FF"/>
    <w:rsid w:val="00B63A16"/>
    <w:rsid w:val="00B63D92"/>
    <w:rsid w:val="00B64903"/>
    <w:rsid w:val="00B659A0"/>
    <w:rsid w:val="00B66022"/>
    <w:rsid w:val="00B673F9"/>
    <w:rsid w:val="00B67A98"/>
    <w:rsid w:val="00B7019C"/>
    <w:rsid w:val="00B704F7"/>
    <w:rsid w:val="00B70F04"/>
    <w:rsid w:val="00B714F9"/>
    <w:rsid w:val="00B71973"/>
    <w:rsid w:val="00B71ED2"/>
    <w:rsid w:val="00B72B2D"/>
    <w:rsid w:val="00B72F4A"/>
    <w:rsid w:val="00B736FE"/>
    <w:rsid w:val="00B74182"/>
    <w:rsid w:val="00B744F2"/>
    <w:rsid w:val="00B74775"/>
    <w:rsid w:val="00B74D7A"/>
    <w:rsid w:val="00B74F59"/>
    <w:rsid w:val="00B75247"/>
    <w:rsid w:val="00B75D15"/>
    <w:rsid w:val="00B761B3"/>
    <w:rsid w:val="00B766DF"/>
    <w:rsid w:val="00B76D91"/>
    <w:rsid w:val="00B773A3"/>
    <w:rsid w:val="00B778CB"/>
    <w:rsid w:val="00B77923"/>
    <w:rsid w:val="00B8002B"/>
    <w:rsid w:val="00B80086"/>
    <w:rsid w:val="00B808FC"/>
    <w:rsid w:val="00B80EE4"/>
    <w:rsid w:val="00B82545"/>
    <w:rsid w:val="00B82EAF"/>
    <w:rsid w:val="00B8340B"/>
    <w:rsid w:val="00B8359B"/>
    <w:rsid w:val="00B83B00"/>
    <w:rsid w:val="00B83C27"/>
    <w:rsid w:val="00B845A7"/>
    <w:rsid w:val="00B848B6"/>
    <w:rsid w:val="00B84A18"/>
    <w:rsid w:val="00B84BC3"/>
    <w:rsid w:val="00B84BDD"/>
    <w:rsid w:val="00B85A1A"/>
    <w:rsid w:val="00B85E14"/>
    <w:rsid w:val="00B86050"/>
    <w:rsid w:val="00B874A8"/>
    <w:rsid w:val="00B8767B"/>
    <w:rsid w:val="00B87F12"/>
    <w:rsid w:val="00B87F2D"/>
    <w:rsid w:val="00B90696"/>
    <w:rsid w:val="00B90CE6"/>
    <w:rsid w:val="00B91963"/>
    <w:rsid w:val="00B923F6"/>
    <w:rsid w:val="00B92812"/>
    <w:rsid w:val="00B92AB6"/>
    <w:rsid w:val="00B92C66"/>
    <w:rsid w:val="00B93AF4"/>
    <w:rsid w:val="00B93C89"/>
    <w:rsid w:val="00B93CF0"/>
    <w:rsid w:val="00B94113"/>
    <w:rsid w:val="00B94A5F"/>
    <w:rsid w:val="00B951B3"/>
    <w:rsid w:val="00B952AF"/>
    <w:rsid w:val="00B95629"/>
    <w:rsid w:val="00B95BFD"/>
    <w:rsid w:val="00B960DA"/>
    <w:rsid w:val="00B96F8F"/>
    <w:rsid w:val="00B973E3"/>
    <w:rsid w:val="00B97A5E"/>
    <w:rsid w:val="00B97BE8"/>
    <w:rsid w:val="00B97E4E"/>
    <w:rsid w:val="00BA00B2"/>
    <w:rsid w:val="00BA0769"/>
    <w:rsid w:val="00BA0FD9"/>
    <w:rsid w:val="00BA1445"/>
    <w:rsid w:val="00BA1F26"/>
    <w:rsid w:val="00BA1F2B"/>
    <w:rsid w:val="00BA2124"/>
    <w:rsid w:val="00BA2B2E"/>
    <w:rsid w:val="00BA2CCA"/>
    <w:rsid w:val="00BA2DF1"/>
    <w:rsid w:val="00BA3369"/>
    <w:rsid w:val="00BA488A"/>
    <w:rsid w:val="00BA5EF8"/>
    <w:rsid w:val="00BA66E5"/>
    <w:rsid w:val="00BA71FB"/>
    <w:rsid w:val="00BA783A"/>
    <w:rsid w:val="00BB0622"/>
    <w:rsid w:val="00BB0868"/>
    <w:rsid w:val="00BB11F8"/>
    <w:rsid w:val="00BB1436"/>
    <w:rsid w:val="00BB15EF"/>
    <w:rsid w:val="00BB17A4"/>
    <w:rsid w:val="00BB1D70"/>
    <w:rsid w:val="00BB259A"/>
    <w:rsid w:val="00BB287C"/>
    <w:rsid w:val="00BB2A3B"/>
    <w:rsid w:val="00BB2A57"/>
    <w:rsid w:val="00BB2B52"/>
    <w:rsid w:val="00BB45A1"/>
    <w:rsid w:val="00BB45AA"/>
    <w:rsid w:val="00BB4696"/>
    <w:rsid w:val="00BB4D3D"/>
    <w:rsid w:val="00BB5526"/>
    <w:rsid w:val="00BB6268"/>
    <w:rsid w:val="00BB6547"/>
    <w:rsid w:val="00BB6CAB"/>
    <w:rsid w:val="00BB73F2"/>
    <w:rsid w:val="00BB7686"/>
    <w:rsid w:val="00BB771F"/>
    <w:rsid w:val="00BB79BA"/>
    <w:rsid w:val="00BB7D01"/>
    <w:rsid w:val="00BC060A"/>
    <w:rsid w:val="00BC0677"/>
    <w:rsid w:val="00BC0E98"/>
    <w:rsid w:val="00BC1085"/>
    <w:rsid w:val="00BC2010"/>
    <w:rsid w:val="00BC20F7"/>
    <w:rsid w:val="00BC212E"/>
    <w:rsid w:val="00BC2239"/>
    <w:rsid w:val="00BC226F"/>
    <w:rsid w:val="00BC2331"/>
    <w:rsid w:val="00BC23F9"/>
    <w:rsid w:val="00BC3421"/>
    <w:rsid w:val="00BC352C"/>
    <w:rsid w:val="00BC4213"/>
    <w:rsid w:val="00BC428F"/>
    <w:rsid w:val="00BC546B"/>
    <w:rsid w:val="00BC5493"/>
    <w:rsid w:val="00BC57C5"/>
    <w:rsid w:val="00BC5C36"/>
    <w:rsid w:val="00BC732C"/>
    <w:rsid w:val="00BC75E9"/>
    <w:rsid w:val="00BC779F"/>
    <w:rsid w:val="00BD0692"/>
    <w:rsid w:val="00BD1A72"/>
    <w:rsid w:val="00BD2B94"/>
    <w:rsid w:val="00BD2C43"/>
    <w:rsid w:val="00BD2DB8"/>
    <w:rsid w:val="00BD2EF2"/>
    <w:rsid w:val="00BD2FE7"/>
    <w:rsid w:val="00BD3B6C"/>
    <w:rsid w:val="00BD4421"/>
    <w:rsid w:val="00BD4AC5"/>
    <w:rsid w:val="00BD564A"/>
    <w:rsid w:val="00BD5891"/>
    <w:rsid w:val="00BD6807"/>
    <w:rsid w:val="00BD6DA3"/>
    <w:rsid w:val="00BD6E8D"/>
    <w:rsid w:val="00BD7249"/>
    <w:rsid w:val="00BD73A7"/>
    <w:rsid w:val="00BD78C2"/>
    <w:rsid w:val="00BD7996"/>
    <w:rsid w:val="00BD7A14"/>
    <w:rsid w:val="00BD7CA9"/>
    <w:rsid w:val="00BE033C"/>
    <w:rsid w:val="00BE0A99"/>
    <w:rsid w:val="00BE0D84"/>
    <w:rsid w:val="00BE12FF"/>
    <w:rsid w:val="00BE185B"/>
    <w:rsid w:val="00BE1FF9"/>
    <w:rsid w:val="00BE2580"/>
    <w:rsid w:val="00BE266D"/>
    <w:rsid w:val="00BE2FBD"/>
    <w:rsid w:val="00BE307B"/>
    <w:rsid w:val="00BE34C1"/>
    <w:rsid w:val="00BE34DA"/>
    <w:rsid w:val="00BE35CB"/>
    <w:rsid w:val="00BE3844"/>
    <w:rsid w:val="00BE3938"/>
    <w:rsid w:val="00BE3DD5"/>
    <w:rsid w:val="00BE41BE"/>
    <w:rsid w:val="00BE44B1"/>
    <w:rsid w:val="00BE4547"/>
    <w:rsid w:val="00BE4C11"/>
    <w:rsid w:val="00BE5166"/>
    <w:rsid w:val="00BE6805"/>
    <w:rsid w:val="00BE71C0"/>
    <w:rsid w:val="00BE7791"/>
    <w:rsid w:val="00BE7C41"/>
    <w:rsid w:val="00BF00C1"/>
    <w:rsid w:val="00BF02E2"/>
    <w:rsid w:val="00BF18D1"/>
    <w:rsid w:val="00BF213B"/>
    <w:rsid w:val="00BF2144"/>
    <w:rsid w:val="00BF2D13"/>
    <w:rsid w:val="00BF2F06"/>
    <w:rsid w:val="00BF347E"/>
    <w:rsid w:val="00BF354A"/>
    <w:rsid w:val="00BF3B37"/>
    <w:rsid w:val="00BF3DEF"/>
    <w:rsid w:val="00BF4449"/>
    <w:rsid w:val="00BF4E2B"/>
    <w:rsid w:val="00BF5729"/>
    <w:rsid w:val="00BF5F1F"/>
    <w:rsid w:val="00BF610C"/>
    <w:rsid w:val="00BF66F7"/>
    <w:rsid w:val="00BF6793"/>
    <w:rsid w:val="00BF7230"/>
    <w:rsid w:val="00BF7AA3"/>
    <w:rsid w:val="00C00222"/>
    <w:rsid w:val="00C00301"/>
    <w:rsid w:val="00C00386"/>
    <w:rsid w:val="00C0060B"/>
    <w:rsid w:val="00C006AD"/>
    <w:rsid w:val="00C007F5"/>
    <w:rsid w:val="00C01A6C"/>
    <w:rsid w:val="00C0277D"/>
    <w:rsid w:val="00C02B2A"/>
    <w:rsid w:val="00C02B9A"/>
    <w:rsid w:val="00C03450"/>
    <w:rsid w:val="00C0345A"/>
    <w:rsid w:val="00C03B05"/>
    <w:rsid w:val="00C03E6A"/>
    <w:rsid w:val="00C04D87"/>
    <w:rsid w:val="00C051CC"/>
    <w:rsid w:val="00C0523D"/>
    <w:rsid w:val="00C053A1"/>
    <w:rsid w:val="00C0573B"/>
    <w:rsid w:val="00C057EA"/>
    <w:rsid w:val="00C05E21"/>
    <w:rsid w:val="00C062B6"/>
    <w:rsid w:val="00C072B7"/>
    <w:rsid w:val="00C100C2"/>
    <w:rsid w:val="00C10118"/>
    <w:rsid w:val="00C10208"/>
    <w:rsid w:val="00C1034A"/>
    <w:rsid w:val="00C10D31"/>
    <w:rsid w:val="00C11890"/>
    <w:rsid w:val="00C11FE4"/>
    <w:rsid w:val="00C1207E"/>
    <w:rsid w:val="00C12608"/>
    <w:rsid w:val="00C134BE"/>
    <w:rsid w:val="00C136B7"/>
    <w:rsid w:val="00C13C1B"/>
    <w:rsid w:val="00C14DBF"/>
    <w:rsid w:val="00C16198"/>
    <w:rsid w:val="00C174CD"/>
    <w:rsid w:val="00C17717"/>
    <w:rsid w:val="00C17774"/>
    <w:rsid w:val="00C17B79"/>
    <w:rsid w:val="00C20622"/>
    <w:rsid w:val="00C2083D"/>
    <w:rsid w:val="00C2155B"/>
    <w:rsid w:val="00C21D7F"/>
    <w:rsid w:val="00C21FDF"/>
    <w:rsid w:val="00C223D6"/>
    <w:rsid w:val="00C226D9"/>
    <w:rsid w:val="00C23559"/>
    <w:rsid w:val="00C2365C"/>
    <w:rsid w:val="00C239BF"/>
    <w:rsid w:val="00C240E8"/>
    <w:rsid w:val="00C24A53"/>
    <w:rsid w:val="00C250F2"/>
    <w:rsid w:val="00C25734"/>
    <w:rsid w:val="00C2577A"/>
    <w:rsid w:val="00C25E72"/>
    <w:rsid w:val="00C26F8A"/>
    <w:rsid w:val="00C27175"/>
    <w:rsid w:val="00C27209"/>
    <w:rsid w:val="00C278D4"/>
    <w:rsid w:val="00C27B1C"/>
    <w:rsid w:val="00C27DB7"/>
    <w:rsid w:val="00C3121B"/>
    <w:rsid w:val="00C3144D"/>
    <w:rsid w:val="00C31D9D"/>
    <w:rsid w:val="00C31EC3"/>
    <w:rsid w:val="00C32A87"/>
    <w:rsid w:val="00C32C83"/>
    <w:rsid w:val="00C3308E"/>
    <w:rsid w:val="00C337A1"/>
    <w:rsid w:val="00C33E9A"/>
    <w:rsid w:val="00C340EB"/>
    <w:rsid w:val="00C348F2"/>
    <w:rsid w:val="00C34A05"/>
    <w:rsid w:val="00C3504D"/>
    <w:rsid w:val="00C35972"/>
    <w:rsid w:val="00C35CCE"/>
    <w:rsid w:val="00C35EC4"/>
    <w:rsid w:val="00C36236"/>
    <w:rsid w:val="00C36E0E"/>
    <w:rsid w:val="00C4018F"/>
    <w:rsid w:val="00C4032F"/>
    <w:rsid w:val="00C4064E"/>
    <w:rsid w:val="00C40670"/>
    <w:rsid w:val="00C40750"/>
    <w:rsid w:val="00C4082B"/>
    <w:rsid w:val="00C40BFC"/>
    <w:rsid w:val="00C4165B"/>
    <w:rsid w:val="00C419DE"/>
    <w:rsid w:val="00C424D2"/>
    <w:rsid w:val="00C42642"/>
    <w:rsid w:val="00C42C03"/>
    <w:rsid w:val="00C43414"/>
    <w:rsid w:val="00C43A7E"/>
    <w:rsid w:val="00C43CF8"/>
    <w:rsid w:val="00C44047"/>
    <w:rsid w:val="00C4487E"/>
    <w:rsid w:val="00C449FB"/>
    <w:rsid w:val="00C44E2B"/>
    <w:rsid w:val="00C45155"/>
    <w:rsid w:val="00C452FF"/>
    <w:rsid w:val="00C45BC3"/>
    <w:rsid w:val="00C45C16"/>
    <w:rsid w:val="00C46020"/>
    <w:rsid w:val="00C464FF"/>
    <w:rsid w:val="00C46530"/>
    <w:rsid w:val="00C46534"/>
    <w:rsid w:val="00C46F1F"/>
    <w:rsid w:val="00C47C46"/>
    <w:rsid w:val="00C47CDD"/>
    <w:rsid w:val="00C47E19"/>
    <w:rsid w:val="00C47EC9"/>
    <w:rsid w:val="00C47F63"/>
    <w:rsid w:val="00C50856"/>
    <w:rsid w:val="00C50E3C"/>
    <w:rsid w:val="00C511F3"/>
    <w:rsid w:val="00C51AAC"/>
    <w:rsid w:val="00C51CBE"/>
    <w:rsid w:val="00C51E93"/>
    <w:rsid w:val="00C528FE"/>
    <w:rsid w:val="00C52D57"/>
    <w:rsid w:val="00C52E60"/>
    <w:rsid w:val="00C54866"/>
    <w:rsid w:val="00C5498F"/>
    <w:rsid w:val="00C55235"/>
    <w:rsid w:val="00C55294"/>
    <w:rsid w:val="00C55976"/>
    <w:rsid w:val="00C55D36"/>
    <w:rsid w:val="00C55F31"/>
    <w:rsid w:val="00C563D8"/>
    <w:rsid w:val="00C56D38"/>
    <w:rsid w:val="00C57380"/>
    <w:rsid w:val="00C578CC"/>
    <w:rsid w:val="00C6062D"/>
    <w:rsid w:val="00C60793"/>
    <w:rsid w:val="00C60FA0"/>
    <w:rsid w:val="00C60FEE"/>
    <w:rsid w:val="00C6132C"/>
    <w:rsid w:val="00C61993"/>
    <w:rsid w:val="00C61DF7"/>
    <w:rsid w:val="00C62521"/>
    <w:rsid w:val="00C6304B"/>
    <w:rsid w:val="00C6416E"/>
    <w:rsid w:val="00C64264"/>
    <w:rsid w:val="00C64A2D"/>
    <w:rsid w:val="00C64A81"/>
    <w:rsid w:val="00C64B13"/>
    <w:rsid w:val="00C64CD0"/>
    <w:rsid w:val="00C6510C"/>
    <w:rsid w:val="00C65868"/>
    <w:rsid w:val="00C66204"/>
    <w:rsid w:val="00C6684F"/>
    <w:rsid w:val="00C67421"/>
    <w:rsid w:val="00C7056D"/>
    <w:rsid w:val="00C709B7"/>
    <w:rsid w:val="00C70D6C"/>
    <w:rsid w:val="00C70E70"/>
    <w:rsid w:val="00C71161"/>
    <w:rsid w:val="00C7169F"/>
    <w:rsid w:val="00C71C53"/>
    <w:rsid w:val="00C72555"/>
    <w:rsid w:val="00C73E58"/>
    <w:rsid w:val="00C7430C"/>
    <w:rsid w:val="00C74439"/>
    <w:rsid w:val="00C75472"/>
    <w:rsid w:val="00C755E2"/>
    <w:rsid w:val="00C75608"/>
    <w:rsid w:val="00C75D0E"/>
    <w:rsid w:val="00C75F8D"/>
    <w:rsid w:val="00C763D1"/>
    <w:rsid w:val="00C764D9"/>
    <w:rsid w:val="00C766D7"/>
    <w:rsid w:val="00C76871"/>
    <w:rsid w:val="00C76FBB"/>
    <w:rsid w:val="00C77380"/>
    <w:rsid w:val="00C778F7"/>
    <w:rsid w:val="00C77C0A"/>
    <w:rsid w:val="00C77EEC"/>
    <w:rsid w:val="00C8041D"/>
    <w:rsid w:val="00C80608"/>
    <w:rsid w:val="00C80A2B"/>
    <w:rsid w:val="00C817E0"/>
    <w:rsid w:val="00C81CB4"/>
    <w:rsid w:val="00C81E8D"/>
    <w:rsid w:val="00C826D8"/>
    <w:rsid w:val="00C82940"/>
    <w:rsid w:val="00C83812"/>
    <w:rsid w:val="00C84062"/>
    <w:rsid w:val="00C84443"/>
    <w:rsid w:val="00C844C9"/>
    <w:rsid w:val="00C84C71"/>
    <w:rsid w:val="00C851F5"/>
    <w:rsid w:val="00C864C8"/>
    <w:rsid w:val="00C8684A"/>
    <w:rsid w:val="00C86B99"/>
    <w:rsid w:val="00C87B18"/>
    <w:rsid w:val="00C87E8A"/>
    <w:rsid w:val="00C909C7"/>
    <w:rsid w:val="00C90AF2"/>
    <w:rsid w:val="00C91902"/>
    <w:rsid w:val="00C9195C"/>
    <w:rsid w:val="00C919BF"/>
    <w:rsid w:val="00C91B6B"/>
    <w:rsid w:val="00C91D45"/>
    <w:rsid w:val="00C91E44"/>
    <w:rsid w:val="00C92024"/>
    <w:rsid w:val="00C928F9"/>
    <w:rsid w:val="00C929E5"/>
    <w:rsid w:val="00C93C71"/>
    <w:rsid w:val="00C9413E"/>
    <w:rsid w:val="00C9427C"/>
    <w:rsid w:val="00C96081"/>
    <w:rsid w:val="00C965AF"/>
    <w:rsid w:val="00C97442"/>
    <w:rsid w:val="00C97736"/>
    <w:rsid w:val="00C9773A"/>
    <w:rsid w:val="00C97CD5"/>
    <w:rsid w:val="00CA0654"/>
    <w:rsid w:val="00CA08CA"/>
    <w:rsid w:val="00CA17DF"/>
    <w:rsid w:val="00CA1B5E"/>
    <w:rsid w:val="00CA21D5"/>
    <w:rsid w:val="00CA28F0"/>
    <w:rsid w:val="00CA3081"/>
    <w:rsid w:val="00CA345A"/>
    <w:rsid w:val="00CA35DB"/>
    <w:rsid w:val="00CA3B05"/>
    <w:rsid w:val="00CA4914"/>
    <w:rsid w:val="00CA4922"/>
    <w:rsid w:val="00CA4971"/>
    <w:rsid w:val="00CA4B2A"/>
    <w:rsid w:val="00CA4C24"/>
    <w:rsid w:val="00CA5020"/>
    <w:rsid w:val="00CA51DF"/>
    <w:rsid w:val="00CA5374"/>
    <w:rsid w:val="00CA5F01"/>
    <w:rsid w:val="00CA6047"/>
    <w:rsid w:val="00CA618A"/>
    <w:rsid w:val="00CA7285"/>
    <w:rsid w:val="00CA76DB"/>
    <w:rsid w:val="00CB086F"/>
    <w:rsid w:val="00CB0B12"/>
    <w:rsid w:val="00CB1889"/>
    <w:rsid w:val="00CB1E82"/>
    <w:rsid w:val="00CB266D"/>
    <w:rsid w:val="00CB28CE"/>
    <w:rsid w:val="00CB2B9D"/>
    <w:rsid w:val="00CB2E25"/>
    <w:rsid w:val="00CB4BA8"/>
    <w:rsid w:val="00CB4D9A"/>
    <w:rsid w:val="00CB52D7"/>
    <w:rsid w:val="00CB5E7E"/>
    <w:rsid w:val="00CB6162"/>
    <w:rsid w:val="00CB65DA"/>
    <w:rsid w:val="00CB6777"/>
    <w:rsid w:val="00CB6C04"/>
    <w:rsid w:val="00CB71A4"/>
    <w:rsid w:val="00CB72A5"/>
    <w:rsid w:val="00CB74D9"/>
    <w:rsid w:val="00CB78D4"/>
    <w:rsid w:val="00CB7E75"/>
    <w:rsid w:val="00CC0129"/>
    <w:rsid w:val="00CC05C9"/>
    <w:rsid w:val="00CC084F"/>
    <w:rsid w:val="00CC0CD2"/>
    <w:rsid w:val="00CC0E7A"/>
    <w:rsid w:val="00CC168E"/>
    <w:rsid w:val="00CC3BC3"/>
    <w:rsid w:val="00CC49DD"/>
    <w:rsid w:val="00CC52F1"/>
    <w:rsid w:val="00CC57AE"/>
    <w:rsid w:val="00CC5A78"/>
    <w:rsid w:val="00CC6551"/>
    <w:rsid w:val="00CC6732"/>
    <w:rsid w:val="00CC71F5"/>
    <w:rsid w:val="00CC74EE"/>
    <w:rsid w:val="00CC757E"/>
    <w:rsid w:val="00CC7D56"/>
    <w:rsid w:val="00CC7F73"/>
    <w:rsid w:val="00CD0163"/>
    <w:rsid w:val="00CD046D"/>
    <w:rsid w:val="00CD0C0E"/>
    <w:rsid w:val="00CD106E"/>
    <w:rsid w:val="00CD11CA"/>
    <w:rsid w:val="00CD1536"/>
    <w:rsid w:val="00CD1948"/>
    <w:rsid w:val="00CD1DFF"/>
    <w:rsid w:val="00CD1F44"/>
    <w:rsid w:val="00CD2235"/>
    <w:rsid w:val="00CD2B75"/>
    <w:rsid w:val="00CD30F0"/>
    <w:rsid w:val="00CD3B48"/>
    <w:rsid w:val="00CD3C13"/>
    <w:rsid w:val="00CD3F60"/>
    <w:rsid w:val="00CD531A"/>
    <w:rsid w:val="00CD5474"/>
    <w:rsid w:val="00CD5FB0"/>
    <w:rsid w:val="00CD6013"/>
    <w:rsid w:val="00CD60E5"/>
    <w:rsid w:val="00CD6AA8"/>
    <w:rsid w:val="00CD71E7"/>
    <w:rsid w:val="00CD7220"/>
    <w:rsid w:val="00CD723E"/>
    <w:rsid w:val="00CD7929"/>
    <w:rsid w:val="00CE0AE1"/>
    <w:rsid w:val="00CE0BB5"/>
    <w:rsid w:val="00CE17E6"/>
    <w:rsid w:val="00CE1AFC"/>
    <w:rsid w:val="00CE1B54"/>
    <w:rsid w:val="00CE1BC1"/>
    <w:rsid w:val="00CE1F05"/>
    <w:rsid w:val="00CE1F79"/>
    <w:rsid w:val="00CE26DC"/>
    <w:rsid w:val="00CE27FC"/>
    <w:rsid w:val="00CE285F"/>
    <w:rsid w:val="00CE2E8B"/>
    <w:rsid w:val="00CE2E8F"/>
    <w:rsid w:val="00CE398A"/>
    <w:rsid w:val="00CE3C96"/>
    <w:rsid w:val="00CE3F33"/>
    <w:rsid w:val="00CE436B"/>
    <w:rsid w:val="00CE451C"/>
    <w:rsid w:val="00CE4CE4"/>
    <w:rsid w:val="00CE4FEC"/>
    <w:rsid w:val="00CE51A8"/>
    <w:rsid w:val="00CE555A"/>
    <w:rsid w:val="00CE5722"/>
    <w:rsid w:val="00CE5954"/>
    <w:rsid w:val="00CE5BE8"/>
    <w:rsid w:val="00CE6D00"/>
    <w:rsid w:val="00CE6FA6"/>
    <w:rsid w:val="00CE7586"/>
    <w:rsid w:val="00CE7A50"/>
    <w:rsid w:val="00CF076A"/>
    <w:rsid w:val="00CF0AC3"/>
    <w:rsid w:val="00CF0B07"/>
    <w:rsid w:val="00CF13FB"/>
    <w:rsid w:val="00CF1BB2"/>
    <w:rsid w:val="00CF1C9B"/>
    <w:rsid w:val="00CF25AC"/>
    <w:rsid w:val="00CF2F1A"/>
    <w:rsid w:val="00CF369B"/>
    <w:rsid w:val="00CF382C"/>
    <w:rsid w:val="00CF4834"/>
    <w:rsid w:val="00CF4D98"/>
    <w:rsid w:val="00CF5417"/>
    <w:rsid w:val="00CF5545"/>
    <w:rsid w:val="00CF5850"/>
    <w:rsid w:val="00CF6000"/>
    <w:rsid w:val="00CF65CE"/>
    <w:rsid w:val="00CF74C9"/>
    <w:rsid w:val="00D004BE"/>
    <w:rsid w:val="00D00946"/>
    <w:rsid w:val="00D00E28"/>
    <w:rsid w:val="00D00F95"/>
    <w:rsid w:val="00D0150D"/>
    <w:rsid w:val="00D01FFA"/>
    <w:rsid w:val="00D02283"/>
    <w:rsid w:val="00D0269E"/>
    <w:rsid w:val="00D02BC2"/>
    <w:rsid w:val="00D02BC4"/>
    <w:rsid w:val="00D0331B"/>
    <w:rsid w:val="00D03EA7"/>
    <w:rsid w:val="00D03FBA"/>
    <w:rsid w:val="00D04845"/>
    <w:rsid w:val="00D0492E"/>
    <w:rsid w:val="00D04C8E"/>
    <w:rsid w:val="00D05A4E"/>
    <w:rsid w:val="00D05D6C"/>
    <w:rsid w:val="00D06A9B"/>
    <w:rsid w:val="00D06DC1"/>
    <w:rsid w:val="00D07DFC"/>
    <w:rsid w:val="00D07E7B"/>
    <w:rsid w:val="00D100E4"/>
    <w:rsid w:val="00D101C0"/>
    <w:rsid w:val="00D1065B"/>
    <w:rsid w:val="00D10A3C"/>
    <w:rsid w:val="00D125AD"/>
    <w:rsid w:val="00D137DF"/>
    <w:rsid w:val="00D144A5"/>
    <w:rsid w:val="00D14543"/>
    <w:rsid w:val="00D14BD0"/>
    <w:rsid w:val="00D15354"/>
    <w:rsid w:val="00D15810"/>
    <w:rsid w:val="00D15A3A"/>
    <w:rsid w:val="00D15B91"/>
    <w:rsid w:val="00D15D29"/>
    <w:rsid w:val="00D16741"/>
    <w:rsid w:val="00D16D4E"/>
    <w:rsid w:val="00D16FE3"/>
    <w:rsid w:val="00D17079"/>
    <w:rsid w:val="00D17170"/>
    <w:rsid w:val="00D173A6"/>
    <w:rsid w:val="00D1770D"/>
    <w:rsid w:val="00D203E6"/>
    <w:rsid w:val="00D20778"/>
    <w:rsid w:val="00D20958"/>
    <w:rsid w:val="00D21092"/>
    <w:rsid w:val="00D2143C"/>
    <w:rsid w:val="00D21564"/>
    <w:rsid w:val="00D216A1"/>
    <w:rsid w:val="00D21E1F"/>
    <w:rsid w:val="00D22502"/>
    <w:rsid w:val="00D22835"/>
    <w:rsid w:val="00D23F98"/>
    <w:rsid w:val="00D25009"/>
    <w:rsid w:val="00D25114"/>
    <w:rsid w:val="00D25FE1"/>
    <w:rsid w:val="00D262E3"/>
    <w:rsid w:val="00D26508"/>
    <w:rsid w:val="00D268DC"/>
    <w:rsid w:val="00D269D4"/>
    <w:rsid w:val="00D26AE3"/>
    <w:rsid w:val="00D279F6"/>
    <w:rsid w:val="00D27F41"/>
    <w:rsid w:val="00D30339"/>
    <w:rsid w:val="00D30C6F"/>
    <w:rsid w:val="00D30D4A"/>
    <w:rsid w:val="00D31029"/>
    <w:rsid w:val="00D3148D"/>
    <w:rsid w:val="00D318A8"/>
    <w:rsid w:val="00D3198D"/>
    <w:rsid w:val="00D31AEF"/>
    <w:rsid w:val="00D32586"/>
    <w:rsid w:val="00D32720"/>
    <w:rsid w:val="00D33527"/>
    <w:rsid w:val="00D33550"/>
    <w:rsid w:val="00D33A74"/>
    <w:rsid w:val="00D3441D"/>
    <w:rsid w:val="00D34A6A"/>
    <w:rsid w:val="00D34BF3"/>
    <w:rsid w:val="00D34CBB"/>
    <w:rsid w:val="00D34D11"/>
    <w:rsid w:val="00D34F5C"/>
    <w:rsid w:val="00D35177"/>
    <w:rsid w:val="00D35B8B"/>
    <w:rsid w:val="00D35ED8"/>
    <w:rsid w:val="00D36441"/>
    <w:rsid w:val="00D36526"/>
    <w:rsid w:val="00D36A60"/>
    <w:rsid w:val="00D36BB9"/>
    <w:rsid w:val="00D36C2F"/>
    <w:rsid w:val="00D37B09"/>
    <w:rsid w:val="00D401CF"/>
    <w:rsid w:val="00D4064E"/>
    <w:rsid w:val="00D40FA7"/>
    <w:rsid w:val="00D410BA"/>
    <w:rsid w:val="00D41190"/>
    <w:rsid w:val="00D411F7"/>
    <w:rsid w:val="00D414B4"/>
    <w:rsid w:val="00D414E9"/>
    <w:rsid w:val="00D4242C"/>
    <w:rsid w:val="00D42EF0"/>
    <w:rsid w:val="00D437D0"/>
    <w:rsid w:val="00D43A48"/>
    <w:rsid w:val="00D44132"/>
    <w:rsid w:val="00D44848"/>
    <w:rsid w:val="00D44E9B"/>
    <w:rsid w:val="00D44F0F"/>
    <w:rsid w:val="00D4513C"/>
    <w:rsid w:val="00D45F33"/>
    <w:rsid w:val="00D45FD2"/>
    <w:rsid w:val="00D45FFD"/>
    <w:rsid w:val="00D469AD"/>
    <w:rsid w:val="00D46B7A"/>
    <w:rsid w:val="00D46CC5"/>
    <w:rsid w:val="00D46F7C"/>
    <w:rsid w:val="00D470A0"/>
    <w:rsid w:val="00D4774F"/>
    <w:rsid w:val="00D47785"/>
    <w:rsid w:val="00D47AEB"/>
    <w:rsid w:val="00D47E46"/>
    <w:rsid w:val="00D47FE9"/>
    <w:rsid w:val="00D504DA"/>
    <w:rsid w:val="00D509C5"/>
    <w:rsid w:val="00D50C3B"/>
    <w:rsid w:val="00D50DB9"/>
    <w:rsid w:val="00D51302"/>
    <w:rsid w:val="00D516AC"/>
    <w:rsid w:val="00D527F1"/>
    <w:rsid w:val="00D52C43"/>
    <w:rsid w:val="00D52E24"/>
    <w:rsid w:val="00D530CB"/>
    <w:rsid w:val="00D53232"/>
    <w:rsid w:val="00D5326B"/>
    <w:rsid w:val="00D5411D"/>
    <w:rsid w:val="00D548DE"/>
    <w:rsid w:val="00D54BAC"/>
    <w:rsid w:val="00D54FF1"/>
    <w:rsid w:val="00D55284"/>
    <w:rsid w:val="00D55611"/>
    <w:rsid w:val="00D567E0"/>
    <w:rsid w:val="00D569C0"/>
    <w:rsid w:val="00D571C1"/>
    <w:rsid w:val="00D571EA"/>
    <w:rsid w:val="00D572A6"/>
    <w:rsid w:val="00D57BAF"/>
    <w:rsid w:val="00D57C5F"/>
    <w:rsid w:val="00D60310"/>
    <w:rsid w:val="00D60596"/>
    <w:rsid w:val="00D606B0"/>
    <w:rsid w:val="00D60DC6"/>
    <w:rsid w:val="00D61A62"/>
    <w:rsid w:val="00D61DD0"/>
    <w:rsid w:val="00D6274B"/>
    <w:rsid w:val="00D63B40"/>
    <w:rsid w:val="00D641BE"/>
    <w:rsid w:val="00D64570"/>
    <w:rsid w:val="00D65021"/>
    <w:rsid w:val="00D6507F"/>
    <w:rsid w:val="00D6534F"/>
    <w:rsid w:val="00D6552A"/>
    <w:rsid w:val="00D658CA"/>
    <w:rsid w:val="00D65D31"/>
    <w:rsid w:val="00D65DBB"/>
    <w:rsid w:val="00D65E61"/>
    <w:rsid w:val="00D663D3"/>
    <w:rsid w:val="00D6652D"/>
    <w:rsid w:val="00D66792"/>
    <w:rsid w:val="00D66AE2"/>
    <w:rsid w:val="00D66DB4"/>
    <w:rsid w:val="00D671E0"/>
    <w:rsid w:val="00D67BEC"/>
    <w:rsid w:val="00D70386"/>
    <w:rsid w:val="00D70621"/>
    <w:rsid w:val="00D70914"/>
    <w:rsid w:val="00D70C48"/>
    <w:rsid w:val="00D7101E"/>
    <w:rsid w:val="00D7188E"/>
    <w:rsid w:val="00D720B6"/>
    <w:rsid w:val="00D730BC"/>
    <w:rsid w:val="00D737EF"/>
    <w:rsid w:val="00D73912"/>
    <w:rsid w:val="00D73983"/>
    <w:rsid w:val="00D73C88"/>
    <w:rsid w:val="00D74712"/>
    <w:rsid w:val="00D74D70"/>
    <w:rsid w:val="00D75C18"/>
    <w:rsid w:val="00D761BE"/>
    <w:rsid w:val="00D768DD"/>
    <w:rsid w:val="00D772FA"/>
    <w:rsid w:val="00D77BB6"/>
    <w:rsid w:val="00D806F8"/>
    <w:rsid w:val="00D80F2B"/>
    <w:rsid w:val="00D8153E"/>
    <w:rsid w:val="00D8184C"/>
    <w:rsid w:val="00D822ED"/>
    <w:rsid w:val="00D8270A"/>
    <w:rsid w:val="00D835B6"/>
    <w:rsid w:val="00D83FE6"/>
    <w:rsid w:val="00D84883"/>
    <w:rsid w:val="00D84AF2"/>
    <w:rsid w:val="00D85226"/>
    <w:rsid w:val="00D858DC"/>
    <w:rsid w:val="00D85B47"/>
    <w:rsid w:val="00D861BD"/>
    <w:rsid w:val="00D86A26"/>
    <w:rsid w:val="00D86E82"/>
    <w:rsid w:val="00D86E95"/>
    <w:rsid w:val="00D871D1"/>
    <w:rsid w:val="00D87674"/>
    <w:rsid w:val="00D87959"/>
    <w:rsid w:val="00D87B94"/>
    <w:rsid w:val="00D87FA4"/>
    <w:rsid w:val="00D9032C"/>
    <w:rsid w:val="00D92279"/>
    <w:rsid w:val="00D922D9"/>
    <w:rsid w:val="00D92D49"/>
    <w:rsid w:val="00D92E29"/>
    <w:rsid w:val="00D92EC1"/>
    <w:rsid w:val="00D93700"/>
    <w:rsid w:val="00D937D9"/>
    <w:rsid w:val="00D93AAE"/>
    <w:rsid w:val="00D93CCD"/>
    <w:rsid w:val="00D94095"/>
    <w:rsid w:val="00D94404"/>
    <w:rsid w:val="00D94BA4"/>
    <w:rsid w:val="00D950C6"/>
    <w:rsid w:val="00D951B2"/>
    <w:rsid w:val="00D953AE"/>
    <w:rsid w:val="00D954A1"/>
    <w:rsid w:val="00D95982"/>
    <w:rsid w:val="00D95D4F"/>
    <w:rsid w:val="00D96DEA"/>
    <w:rsid w:val="00D97385"/>
    <w:rsid w:val="00D97461"/>
    <w:rsid w:val="00D9752F"/>
    <w:rsid w:val="00D97633"/>
    <w:rsid w:val="00D97653"/>
    <w:rsid w:val="00DA02A9"/>
    <w:rsid w:val="00DA0898"/>
    <w:rsid w:val="00DA108A"/>
    <w:rsid w:val="00DA1166"/>
    <w:rsid w:val="00DA117A"/>
    <w:rsid w:val="00DA18E2"/>
    <w:rsid w:val="00DA195E"/>
    <w:rsid w:val="00DA1B33"/>
    <w:rsid w:val="00DA1C4F"/>
    <w:rsid w:val="00DA20BC"/>
    <w:rsid w:val="00DA26D3"/>
    <w:rsid w:val="00DA26FB"/>
    <w:rsid w:val="00DA2C7F"/>
    <w:rsid w:val="00DA3641"/>
    <w:rsid w:val="00DA365D"/>
    <w:rsid w:val="00DA398D"/>
    <w:rsid w:val="00DA40A9"/>
    <w:rsid w:val="00DA47A8"/>
    <w:rsid w:val="00DA486C"/>
    <w:rsid w:val="00DA4DE7"/>
    <w:rsid w:val="00DA4E21"/>
    <w:rsid w:val="00DA4E41"/>
    <w:rsid w:val="00DA4FDE"/>
    <w:rsid w:val="00DA50D6"/>
    <w:rsid w:val="00DA56BB"/>
    <w:rsid w:val="00DA5AA2"/>
    <w:rsid w:val="00DA60EE"/>
    <w:rsid w:val="00DA69A9"/>
    <w:rsid w:val="00DA7307"/>
    <w:rsid w:val="00DB0290"/>
    <w:rsid w:val="00DB0372"/>
    <w:rsid w:val="00DB08C6"/>
    <w:rsid w:val="00DB0C54"/>
    <w:rsid w:val="00DB117A"/>
    <w:rsid w:val="00DB146F"/>
    <w:rsid w:val="00DB2122"/>
    <w:rsid w:val="00DB37A3"/>
    <w:rsid w:val="00DB3A64"/>
    <w:rsid w:val="00DB3EED"/>
    <w:rsid w:val="00DB3F1E"/>
    <w:rsid w:val="00DB434B"/>
    <w:rsid w:val="00DB4364"/>
    <w:rsid w:val="00DB4E4C"/>
    <w:rsid w:val="00DB5173"/>
    <w:rsid w:val="00DB5A93"/>
    <w:rsid w:val="00DB6B08"/>
    <w:rsid w:val="00DB6CDA"/>
    <w:rsid w:val="00DB7357"/>
    <w:rsid w:val="00DB7873"/>
    <w:rsid w:val="00DB7B42"/>
    <w:rsid w:val="00DB7D02"/>
    <w:rsid w:val="00DB7F1B"/>
    <w:rsid w:val="00DC0312"/>
    <w:rsid w:val="00DC0997"/>
    <w:rsid w:val="00DC09D8"/>
    <w:rsid w:val="00DC0C01"/>
    <w:rsid w:val="00DC17CC"/>
    <w:rsid w:val="00DC187B"/>
    <w:rsid w:val="00DC2956"/>
    <w:rsid w:val="00DC2B1A"/>
    <w:rsid w:val="00DC37A8"/>
    <w:rsid w:val="00DC4D5D"/>
    <w:rsid w:val="00DC4F80"/>
    <w:rsid w:val="00DC4F83"/>
    <w:rsid w:val="00DC71A4"/>
    <w:rsid w:val="00DC71CE"/>
    <w:rsid w:val="00DC753C"/>
    <w:rsid w:val="00DC75C0"/>
    <w:rsid w:val="00DC7955"/>
    <w:rsid w:val="00DC7DEF"/>
    <w:rsid w:val="00DD0A5B"/>
    <w:rsid w:val="00DD1000"/>
    <w:rsid w:val="00DD1293"/>
    <w:rsid w:val="00DD1538"/>
    <w:rsid w:val="00DD1A43"/>
    <w:rsid w:val="00DD239D"/>
    <w:rsid w:val="00DD27DE"/>
    <w:rsid w:val="00DD31EC"/>
    <w:rsid w:val="00DD35C0"/>
    <w:rsid w:val="00DD4936"/>
    <w:rsid w:val="00DD5686"/>
    <w:rsid w:val="00DD5D93"/>
    <w:rsid w:val="00DD5E01"/>
    <w:rsid w:val="00DD632C"/>
    <w:rsid w:val="00DD6842"/>
    <w:rsid w:val="00DD6906"/>
    <w:rsid w:val="00DD6FA8"/>
    <w:rsid w:val="00DD73C2"/>
    <w:rsid w:val="00DD7C09"/>
    <w:rsid w:val="00DD7DA1"/>
    <w:rsid w:val="00DE0BC1"/>
    <w:rsid w:val="00DE0F00"/>
    <w:rsid w:val="00DE0F15"/>
    <w:rsid w:val="00DE1249"/>
    <w:rsid w:val="00DE191E"/>
    <w:rsid w:val="00DE1996"/>
    <w:rsid w:val="00DE1CC9"/>
    <w:rsid w:val="00DE238D"/>
    <w:rsid w:val="00DE2593"/>
    <w:rsid w:val="00DE2A28"/>
    <w:rsid w:val="00DE2A47"/>
    <w:rsid w:val="00DE2F17"/>
    <w:rsid w:val="00DE30C1"/>
    <w:rsid w:val="00DE319B"/>
    <w:rsid w:val="00DE37D6"/>
    <w:rsid w:val="00DE3AAA"/>
    <w:rsid w:val="00DE3B51"/>
    <w:rsid w:val="00DE413A"/>
    <w:rsid w:val="00DE4546"/>
    <w:rsid w:val="00DE4D1D"/>
    <w:rsid w:val="00DE4F09"/>
    <w:rsid w:val="00DE4F51"/>
    <w:rsid w:val="00DE5BB1"/>
    <w:rsid w:val="00DE5BD7"/>
    <w:rsid w:val="00DE5C46"/>
    <w:rsid w:val="00DE6426"/>
    <w:rsid w:val="00DE64F2"/>
    <w:rsid w:val="00DE6A7A"/>
    <w:rsid w:val="00DE6ADB"/>
    <w:rsid w:val="00DE7376"/>
    <w:rsid w:val="00DE73A9"/>
    <w:rsid w:val="00DF00EC"/>
    <w:rsid w:val="00DF02F1"/>
    <w:rsid w:val="00DF06E4"/>
    <w:rsid w:val="00DF0799"/>
    <w:rsid w:val="00DF11ED"/>
    <w:rsid w:val="00DF14C8"/>
    <w:rsid w:val="00DF1B08"/>
    <w:rsid w:val="00DF1F4B"/>
    <w:rsid w:val="00DF2128"/>
    <w:rsid w:val="00DF2237"/>
    <w:rsid w:val="00DF24F3"/>
    <w:rsid w:val="00DF2C35"/>
    <w:rsid w:val="00DF34FE"/>
    <w:rsid w:val="00DF3D51"/>
    <w:rsid w:val="00DF3DFE"/>
    <w:rsid w:val="00DF41F7"/>
    <w:rsid w:val="00DF4214"/>
    <w:rsid w:val="00DF46F6"/>
    <w:rsid w:val="00DF4C5F"/>
    <w:rsid w:val="00DF56AA"/>
    <w:rsid w:val="00DF56AF"/>
    <w:rsid w:val="00DF571E"/>
    <w:rsid w:val="00DF5D3B"/>
    <w:rsid w:val="00DF6A29"/>
    <w:rsid w:val="00DF78E7"/>
    <w:rsid w:val="00E00063"/>
    <w:rsid w:val="00E00515"/>
    <w:rsid w:val="00E0064B"/>
    <w:rsid w:val="00E0085E"/>
    <w:rsid w:val="00E016F8"/>
    <w:rsid w:val="00E018DF"/>
    <w:rsid w:val="00E01995"/>
    <w:rsid w:val="00E01EC0"/>
    <w:rsid w:val="00E02524"/>
    <w:rsid w:val="00E02BED"/>
    <w:rsid w:val="00E0383D"/>
    <w:rsid w:val="00E0397A"/>
    <w:rsid w:val="00E03A3B"/>
    <w:rsid w:val="00E03D2C"/>
    <w:rsid w:val="00E03DC8"/>
    <w:rsid w:val="00E0420B"/>
    <w:rsid w:val="00E0467A"/>
    <w:rsid w:val="00E046B8"/>
    <w:rsid w:val="00E04F07"/>
    <w:rsid w:val="00E05B74"/>
    <w:rsid w:val="00E065D7"/>
    <w:rsid w:val="00E069A1"/>
    <w:rsid w:val="00E06F37"/>
    <w:rsid w:val="00E07504"/>
    <w:rsid w:val="00E1053D"/>
    <w:rsid w:val="00E10A81"/>
    <w:rsid w:val="00E10C37"/>
    <w:rsid w:val="00E110E0"/>
    <w:rsid w:val="00E11638"/>
    <w:rsid w:val="00E118F0"/>
    <w:rsid w:val="00E11D8D"/>
    <w:rsid w:val="00E12727"/>
    <w:rsid w:val="00E12AD1"/>
    <w:rsid w:val="00E12F2B"/>
    <w:rsid w:val="00E13024"/>
    <w:rsid w:val="00E1318D"/>
    <w:rsid w:val="00E13331"/>
    <w:rsid w:val="00E1346B"/>
    <w:rsid w:val="00E142F0"/>
    <w:rsid w:val="00E1476E"/>
    <w:rsid w:val="00E148D1"/>
    <w:rsid w:val="00E14B73"/>
    <w:rsid w:val="00E1502A"/>
    <w:rsid w:val="00E15371"/>
    <w:rsid w:val="00E15AE7"/>
    <w:rsid w:val="00E15DA6"/>
    <w:rsid w:val="00E162F3"/>
    <w:rsid w:val="00E164EE"/>
    <w:rsid w:val="00E16FEB"/>
    <w:rsid w:val="00E171DB"/>
    <w:rsid w:val="00E17835"/>
    <w:rsid w:val="00E17CED"/>
    <w:rsid w:val="00E201EC"/>
    <w:rsid w:val="00E207A9"/>
    <w:rsid w:val="00E2097A"/>
    <w:rsid w:val="00E209AC"/>
    <w:rsid w:val="00E209F6"/>
    <w:rsid w:val="00E20A5A"/>
    <w:rsid w:val="00E20E3C"/>
    <w:rsid w:val="00E21369"/>
    <w:rsid w:val="00E21A6F"/>
    <w:rsid w:val="00E22239"/>
    <w:rsid w:val="00E22CEB"/>
    <w:rsid w:val="00E232D7"/>
    <w:rsid w:val="00E23372"/>
    <w:rsid w:val="00E24061"/>
    <w:rsid w:val="00E24104"/>
    <w:rsid w:val="00E24133"/>
    <w:rsid w:val="00E24467"/>
    <w:rsid w:val="00E24C52"/>
    <w:rsid w:val="00E24D84"/>
    <w:rsid w:val="00E25727"/>
    <w:rsid w:val="00E25DBC"/>
    <w:rsid w:val="00E26ABF"/>
    <w:rsid w:val="00E27157"/>
    <w:rsid w:val="00E27661"/>
    <w:rsid w:val="00E278B5"/>
    <w:rsid w:val="00E279DD"/>
    <w:rsid w:val="00E27D61"/>
    <w:rsid w:val="00E300B6"/>
    <w:rsid w:val="00E302D0"/>
    <w:rsid w:val="00E310AD"/>
    <w:rsid w:val="00E31110"/>
    <w:rsid w:val="00E3176C"/>
    <w:rsid w:val="00E319BC"/>
    <w:rsid w:val="00E31F74"/>
    <w:rsid w:val="00E32D25"/>
    <w:rsid w:val="00E32D2A"/>
    <w:rsid w:val="00E35707"/>
    <w:rsid w:val="00E359A0"/>
    <w:rsid w:val="00E363D7"/>
    <w:rsid w:val="00E363F4"/>
    <w:rsid w:val="00E36AA1"/>
    <w:rsid w:val="00E372BA"/>
    <w:rsid w:val="00E3731B"/>
    <w:rsid w:val="00E37FB1"/>
    <w:rsid w:val="00E40246"/>
    <w:rsid w:val="00E40A08"/>
    <w:rsid w:val="00E40BDA"/>
    <w:rsid w:val="00E40D04"/>
    <w:rsid w:val="00E4132F"/>
    <w:rsid w:val="00E418BB"/>
    <w:rsid w:val="00E41ECB"/>
    <w:rsid w:val="00E42596"/>
    <w:rsid w:val="00E42676"/>
    <w:rsid w:val="00E428B4"/>
    <w:rsid w:val="00E43061"/>
    <w:rsid w:val="00E433E1"/>
    <w:rsid w:val="00E43916"/>
    <w:rsid w:val="00E43C0C"/>
    <w:rsid w:val="00E44A69"/>
    <w:rsid w:val="00E46C6C"/>
    <w:rsid w:val="00E472F0"/>
    <w:rsid w:val="00E47DE0"/>
    <w:rsid w:val="00E5019C"/>
    <w:rsid w:val="00E50316"/>
    <w:rsid w:val="00E50394"/>
    <w:rsid w:val="00E5049A"/>
    <w:rsid w:val="00E5077F"/>
    <w:rsid w:val="00E50832"/>
    <w:rsid w:val="00E51090"/>
    <w:rsid w:val="00E5147B"/>
    <w:rsid w:val="00E51487"/>
    <w:rsid w:val="00E51CF2"/>
    <w:rsid w:val="00E51D30"/>
    <w:rsid w:val="00E5202F"/>
    <w:rsid w:val="00E5206D"/>
    <w:rsid w:val="00E52386"/>
    <w:rsid w:val="00E535BE"/>
    <w:rsid w:val="00E535EA"/>
    <w:rsid w:val="00E53DAC"/>
    <w:rsid w:val="00E54FDB"/>
    <w:rsid w:val="00E55621"/>
    <w:rsid w:val="00E5617D"/>
    <w:rsid w:val="00E563D7"/>
    <w:rsid w:val="00E566CE"/>
    <w:rsid w:val="00E56715"/>
    <w:rsid w:val="00E57298"/>
    <w:rsid w:val="00E57360"/>
    <w:rsid w:val="00E57509"/>
    <w:rsid w:val="00E5782F"/>
    <w:rsid w:val="00E57AE7"/>
    <w:rsid w:val="00E60228"/>
    <w:rsid w:val="00E6124E"/>
    <w:rsid w:val="00E626B0"/>
    <w:rsid w:val="00E62AE8"/>
    <w:rsid w:val="00E62CA6"/>
    <w:rsid w:val="00E62F06"/>
    <w:rsid w:val="00E633B7"/>
    <w:rsid w:val="00E6352B"/>
    <w:rsid w:val="00E6378B"/>
    <w:rsid w:val="00E642FD"/>
    <w:rsid w:val="00E6476D"/>
    <w:rsid w:val="00E64A80"/>
    <w:rsid w:val="00E652DA"/>
    <w:rsid w:val="00E663F4"/>
    <w:rsid w:val="00E666F2"/>
    <w:rsid w:val="00E6682E"/>
    <w:rsid w:val="00E66C9F"/>
    <w:rsid w:val="00E66D40"/>
    <w:rsid w:val="00E66DD4"/>
    <w:rsid w:val="00E66F97"/>
    <w:rsid w:val="00E673B4"/>
    <w:rsid w:val="00E67581"/>
    <w:rsid w:val="00E6778F"/>
    <w:rsid w:val="00E71266"/>
    <w:rsid w:val="00E713BE"/>
    <w:rsid w:val="00E718B9"/>
    <w:rsid w:val="00E7201F"/>
    <w:rsid w:val="00E7299B"/>
    <w:rsid w:val="00E7392A"/>
    <w:rsid w:val="00E74384"/>
    <w:rsid w:val="00E74559"/>
    <w:rsid w:val="00E74661"/>
    <w:rsid w:val="00E7487C"/>
    <w:rsid w:val="00E748CC"/>
    <w:rsid w:val="00E74E40"/>
    <w:rsid w:val="00E75415"/>
    <w:rsid w:val="00E755F1"/>
    <w:rsid w:val="00E75C66"/>
    <w:rsid w:val="00E75D2C"/>
    <w:rsid w:val="00E75D6D"/>
    <w:rsid w:val="00E762C1"/>
    <w:rsid w:val="00E76511"/>
    <w:rsid w:val="00E76FA8"/>
    <w:rsid w:val="00E775B1"/>
    <w:rsid w:val="00E77AF4"/>
    <w:rsid w:val="00E77EEB"/>
    <w:rsid w:val="00E80078"/>
    <w:rsid w:val="00E807B8"/>
    <w:rsid w:val="00E80885"/>
    <w:rsid w:val="00E811E4"/>
    <w:rsid w:val="00E8152A"/>
    <w:rsid w:val="00E81577"/>
    <w:rsid w:val="00E81699"/>
    <w:rsid w:val="00E817A9"/>
    <w:rsid w:val="00E81E3E"/>
    <w:rsid w:val="00E829D9"/>
    <w:rsid w:val="00E82FBC"/>
    <w:rsid w:val="00E8413C"/>
    <w:rsid w:val="00E85526"/>
    <w:rsid w:val="00E85DDD"/>
    <w:rsid w:val="00E85F4C"/>
    <w:rsid w:val="00E860EC"/>
    <w:rsid w:val="00E86546"/>
    <w:rsid w:val="00E8680B"/>
    <w:rsid w:val="00E86F6C"/>
    <w:rsid w:val="00E87761"/>
    <w:rsid w:val="00E90156"/>
    <w:rsid w:val="00E90C34"/>
    <w:rsid w:val="00E9104C"/>
    <w:rsid w:val="00E918ED"/>
    <w:rsid w:val="00E92EE8"/>
    <w:rsid w:val="00E9321D"/>
    <w:rsid w:val="00E93629"/>
    <w:rsid w:val="00E93B5C"/>
    <w:rsid w:val="00E94CEC"/>
    <w:rsid w:val="00E94F52"/>
    <w:rsid w:val="00E95425"/>
    <w:rsid w:val="00E95865"/>
    <w:rsid w:val="00E963ED"/>
    <w:rsid w:val="00E97C53"/>
    <w:rsid w:val="00EA00AC"/>
    <w:rsid w:val="00EA0458"/>
    <w:rsid w:val="00EA04EF"/>
    <w:rsid w:val="00EA06FA"/>
    <w:rsid w:val="00EA0E64"/>
    <w:rsid w:val="00EA16A1"/>
    <w:rsid w:val="00EA17A8"/>
    <w:rsid w:val="00EA17E3"/>
    <w:rsid w:val="00EA1CEC"/>
    <w:rsid w:val="00EA29A7"/>
    <w:rsid w:val="00EA2D7A"/>
    <w:rsid w:val="00EA3475"/>
    <w:rsid w:val="00EA3645"/>
    <w:rsid w:val="00EA3778"/>
    <w:rsid w:val="00EA39B5"/>
    <w:rsid w:val="00EA3D99"/>
    <w:rsid w:val="00EA4399"/>
    <w:rsid w:val="00EA45D6"/>
    <w:rsid w:val="00EA5364"/>
    <w:rsid w:val="00EA6F19"/>
    <w:rsid w:val="00EB02CD"/>
    <w:rsid w:val="00EB0CA8"/>
    <w:rsid w:val="00EB0D4E"/>
    <w:rsid w:val="00EB1EC0"/>
    <w:rsid w:val="00EB2382"/>
    <w:rsid w:val="00EB2491"/>
    <w:rsid w:val="00EB2B62"/>
    <w:rsid w:val="00EB3FA9"/>
    <w:rsid w:val="00EB4087"/>
    <w:rsid w:val="00EB44A6"/>
    <w:rsid w:val="00EB4C40"/>
    <w:rsid w:val="00EB4D02"/>
    <w:rsid w:val="00EB52A2"/>
    <w:rsid w:val="00EB55E6"/>
    <w:rsid w:val="00EB5F39"/>
    <w:rsid w:val="00EB6117"/>
    <w:rsid w:val="00EB6D04"/>
    <w:rsid w:val="00EB7090"/>
    <w:rsid w:val="00EB72EB"/>
    <w:rsid w:val="00EB74E1"/>
    <w:rsid w:val="00EB757A"/>
    <w:rsid w:val="00EB7922"/>
    <w:rsid w:val="00EB7EDE"/>
    <w:rsid w:val="00EC01F2"/>
    <w:rsid w:val="00EC19FE"/>
    <w:rsid w:val="00EC1BBE"/>
    <w:rsid w:val="00EC2083"/>
    <w:rsid w:val="00EC2B68"/>
    <w:rsid w:val="00EC31CE"/>
    <w:rsid w:val="00EC31D9"/>
    <w:rsid w:val="00EC37B7"/>
    <w:rsid w:val="00EC3AEF"/>
    <w:rsid w:val="00EC3F32"/>
    <w:rsid w:val="00EC42E4"/>
    <w:rsid w:val="00EC5853"/>
    <w:rsid w:val="00EC5CD7"/>
    <w:rsid w:val="00EC6037"/>
    <w:rsid w:val="00EC6070"/>
    <w:rsid w:val="00EC610B"/>
    <w:rsid w:val="00EC6963"/>
    <w:rsid w:val="00EC6B4A"/>
    <w:rsid w:val="00EC6C1D"/>
    <w:rsid w:val="00EC7330"/>
    <w:rsid w:val="00EC791F"/>
    <w:rsid w:val="00EC7EF6"/>
    <w:rsid w:val="00ED03F5"/>
    <w:rsid w:val="00ED0401"/>
    <w:rsid w:val="00ED0BAE"/>
    <w:rsid w:val="00ED0C91"/>
    <w:rsid w:val="00ED0FC5"/>
    <w:rsid w:val="00ED2DD4"/>
    <w:rsid w:val="00ED2F32"/>
    <w:rsid w:val="00ED2F45"/>
    <w:rsid w:val="00ED30D1"/>
    <w:rsid w:val="00ED3730"/>
    <w:rsid w:val="00ED5267"/>
    <w:rsid w:val="00ED529B"/>
    <w:rsid w:val="00ED570E"/>
    <w:rsid w:val="00ED57B4"/>
    <w:rsid w:val="00ED5960"/>
    <w:rsid w:val="00ED5EC9"/>
    <w:rsid w:val="00ED6537"/>
    <w:rsid w:val="00ED6E7C"/>
    <w:rsid w:val="00ED7351"/>
    <w:rsid w:val="00ED7DAD"/>
    <w:rsid w:val="00EE02D7"/>
    <w:rsid w:val="00EE043B"/>
    <w:rsid w:val="00EE06A8"/>
    <w:rsid w:val="00EE06D7"/>
    <w:rsid w:val="00EE0D88"/>
    <w:rsid w:val="00EE0EC7"/>
    <w:rsid w:val="00EE14E3"/>
    <w:rsid w:val="00EE16D5"/>
    <w:rsid w:val="00EE1940"/>
    <w:rsid w:val="00EE1AC8"/>
    <w:rsid w:val="00EE1ACE"/>
    <w:rsid w:val="00EE2356"/>
    <w:rsid w:val="00EE265C"/>
    <w:rsid w:val="00EE281F"/>
    <w:rsid w:val="00EE2FC7"/>
    <w:rsid w:val="00EE3807"/>
    <w:rsid w:val="00EE3E89"/>
    <w:rsid w:val="00EE3F60"/>
    <w:rsid w:val="00EE5C1E"/>
    <w:rsid w:val="00EE5FB3"/>
    <w:rsid w:val="00EE6915"/>
    <w:rsid w:val="00EE7D66"/>
    <w:rsid w:val="00EE7DF0"/>
    <w:rsid w:val="00EE7F79"/>
    <w:rsid w:val="00EF0443"/>
    <w:rsid w:val="00EF140E"/>
    <w:rsid w:val="00EF186A"/>
    <w:rsid w:val="00EF1F48"/>
    <w:rsid w:val="00EF2393"/>
    <w:rsid w:val="00EF2A08"/>
    <w:rsid w:val="00EF2DEB"/>
    <w:rsid w:val="00EF3157"/>
    <w:rsid w:val="00EF40F5"/>
    <w:rsid w:val="00EF4AC3"/>
    <w:rsid w:val="00EF4C80"/>
    <w:rsid w:val="00EF5374"/>
    <w:rsid w:val="00EF5688"/>
    <w:rsid w:val="00EF60F9"/>
    <w:rsid w:val="00EF6156"/>
    <w:rsid w:val="00EF6D96"/>
    <w:rsid w:val="00EF715A"/>
    <w:rsid w:val="00EF761B"/>
    <w:rsid w:val="00EF776A"/>
    <w:rsid w:val="00EF7B5D"/>
    <w:rsid w:val="00EF7C74"/>
    <w:rsid w:val="00EF7E95"/>
    <w:rsid w:val="00F00368"/>
    <w:rsid w:val="00F00AAF"/>
    <w:rsid w:val="00F011C2"/>
    <w:rsid w:val="00F01636"/>
    <w:rsid w:val="00F01BC3"/>
    <w:rsid w:val="00F02264"/>
    <w:rsid w:val="00F02273"/>
    <w:rsid w:val="00F033EE"/>
    <w:rsid w:val="00F034E6"/>
    <w:rsid w:val="00F035CF"/>
    <w:rsid w:val="00F03DAA"/>
    <w:rsid w:val="00F04060"/>
    <w:rsid w:val="00F04366"/>
    <w:rsid w:val="00F04EC9"/>
    <w:rsid w:val="00F05997"/>
    <w:rsid w:val="00F06240"/>
    <w:rsid w:val="00F06C46"/>
    <w:rsid w:val="00F06E14"/>
    <w:rsid w:val="00F0707E"/>
    <w:rsid w:val="00F07304"/>
    <w:rsid w:val="00F07B44"/>
    <w:rsid w:val="00F10983"/>
    <w:rsid w:val="00F10ADF"/>
    <w:rsid w:val="00F11A99"/>
    <w:rsid w:val="00F11CF0"/>
    <w:rsid w:val="00F11F76"/>
    <w:rsid w:val="00F12374"/>
    <w:rsid w:val="00F12468"/>
    <w:rsid w:val="00F12AF8"/>
    <w:rsid w:val="00F12E9C"/>
    <w:rsid w:val="00F13506"/>
    <w:rsid w:val="00F136A5"/>
    <w:rsid w:val="00F13C35"/>
    <w:rsid w:val="00F13E5C"/>
    <w:rsid w:val="00F142AD"/>
    <w:rsid w:val="00F15004"/>
    <w:rsid w:val="00F169B1"/>
    <w:rsid w:val="00F179D4"/>
    <w:rsid w:val="00F17F4B"/>
    <w:rsid w:val="00F20193"/>
    <w:rsid w:val="00F204CA"/>
    <w:rsid w:val="00F21106"/>
    <w:rsid w:val="00F21558"/>
    <w:rsid w:val="00F23298"/>
    <w:rsid w:val="00F2379D"/>
    <w:rsid w:val="00F23994"/>
    <w:rsid w:val="00F23DE9"/>
    <w:rsid w:val="00F2427A"/>
    <w:rsid w:val="00F24E76"/>
    <w:rsid w:val="00F25690"/>
    <w:rsid w:val="00F25960"/>
    <w:rsid w:val="00F265CF"/>
    <w:rsid w:val="00F278E4"/>
    <w:rsid w:val="00F2791D"/>
    <w:rsid w:val="00F302C0"/>
    <w:rsid w:val="00F305D8"/>
    <w:rsid w:val="00F306BC"/>
    <w:rsid w:val="00F30757"/>
    <w:rsid w:val="00F30A65"/>
    <w:rsid w:val="00F30B72"/>
    <w:rsid w:val="00F30C64"/>
    <w:rsid w:val="00F30EEA"/>
    <w:rsid w:val="00F31289"/>
    <w:rsid w:val="00F318DF"/>
    <w:rsid w:val="00F31951"/>
    <w:rsid w:val="00F323CC"/>
    <w:rsid w:val="00F32BE3"/>
    <w:rsid w:val="00F33754"/>
    <w:rsid w:val="00F33C56"/>
    <w:rsid w:val="00F341AE"/>
    <w:rsid w:val="00F343DA"/>
    <w:rsid w:val="00F347C7"/>
    <w:rsid w:val="00F34848"/>
    <w:rsid w:val="00F34F5B"/>
    <w:rsid w:val="00F35C8E"/>
    <w:rsid w:val="00F36927"/>
    <w:rsid w:val="00F36DD1"/>
    <w:rsid w:val="00F36F3B"/>
    <w:rsid w:val="00F36F85"/>
    <w:rsid w:val="00F37F88"/>
    <w:rsid w:val="00F4002B"/>
    <w:rsid w:val="00F400B7"/>
    <w:rsid w:val="00F4028B"/>
    <w:rsid w:val="00F403A8"/>
    <w:rsid w:val="00F40D44"/>
    <w:rsid w:val="00F40DF5"/>
    <w:rsid w:val="00F4129B"/>
    <w:rsid w:val="00F41680"/>
    <w:rsid w:val="00F4189C"/>
    <w:rsid w:val="00F418BF"/>
    <w:rsid w:val="00F426C1"/>
    <w:rsid w:val="00F42D46"/>
    <w:rsid w:val="00F43875"/>
    <w:rsid w:val="00F43A7D"/>
    <w:rsid w:val="00F43BC7"/>
    <w:rsid w:val="00F43F4B"/>
    <w:rsid w:val="00F44781"/>
    <w:rsid w:val="00F4496C"/>
    <w:rsid w:val="00F44A36"/>
    <w:rsid w:val="00F44F3A"/>
    <w:rsid w:val="00F45656"/>
    <w:rsid w:val="00F45DD5"/>
    <w:rsid w:val="00F4600D"/>
    <w:rsid w:val="00F469C2"/>
    <w:rsid w:val="00F46A59"/>
    <w:rsid w:val="00F46F06"/>
    <w:rsid w:val="00F4798E"/>
    <w:rsid w:val="00F47C01"/>
    <w:rsid w:val="00F50109"/>
    <w:rsid w:val="00F504DC"/>
    <w:rsid w:val="00F50FB1"/>
    <w:rsid w:val="00F5117C"/>
    <w:rsid w:val="00F5177F"/>
    <w:rsid w:val="00F51830"/>
    <w:rsid w:val="00F51F10"/>
    <w:rsid w:val="00F529A5"/>
    <w:rsid w:val="00F52A24"/>
    <w:rsid w:val="00F52BFB"/>
    <w:rsid w:val="00F5349F"/>
    <w:rsid w:val="00F53548"/>
    <w:rsid w:val="00F544CF"/>
    <w:rsid w:val="00F5493D"/>
    <w:rsid w:val="00F561C3"/>
    <w:rsid w:val="00F56207"/>
    <w:rsid w:val="00F56DDF"/>
    <w:rsid w:val="00F57917"/>
    <w:rsid w:val="00F57AE8"/>
    <w:rsid w:val="00F607CC"/>
    <w:rsid w:val="00F60AA0"/>
    <w:rsid w:val="00F60BC6"/>
    <w:rsid w:val="00F60DD7"/>
    <w:rsid w:val="00F60F00"/>
    <w:rsid w:val="00F614C0"/>
    <w:rsid w:val="00F614C1"/>
    <w:rsid w:val="00F61C77"/>
    <w:rsid w:val="00F61F6D"/>
    <w:rsid w:val="00F62A06"/>
    <w:rsid w:val="00F62C8B"/>
    <w:rsid w:val="00F63853"/>
    <w:rsid w:val="00F67B71"/>
    <w:rsid w:val="00F67FB0"/>
    <w:rsid w:val="00F7081C"/>
    <w:rsid w:val="00F70EC9"/>
    <w:rsid w:val="00F7136E"/>
    <w:rsid w:val="00F72687"/>
    <w:rsid w:val="00F72E23"/>
    <w:rsid w:val="00F73952"/>
    <w:rsid w:val="00F73DD3"/>
    <w:rsid w:val="00F74257"/>
    <w:rsid w:val="00F749B4"/>
    <w:rsid w:val="00F74AF8"/>
    <w:rsid w:val="00F753AE"/>
    <w:rsid w:val="00F75769"/>
    <w:rsid w:val="00F75829"/>
    <w:rsid w:val="00F7641D"/>
    <w:rsid w:val="00F76748"/>
    <w:rsid w:val="00F76816"/>
    <w:rsid w:val="00F7729A"/>
    <w:rsid w:val="00F77496"/>
    <w:rsid w:val="00F80810"/>
    <w:rsid w:val="00F8103C"/>
    <w:rsid w:val="00F81AEA"/>
    <w:rsid w:val="00F81F77"/>
    <w:rsid w:val="00F82061"/>
    <w:rsid w:val="00F82201"/>
    <w:rsid w:val="00F825B5"/>
    <w:rsid w:val="00F834B1"/>
    <w:rsid w:val="00F83848"/>
    <w:rsid w:val="00F85195"/>
    <w:rsid w:val="00F8563B"/>
    <w:rsid w:val="00F857E9"/>
    <w:rsid w:val="00F86352"/>
    <w:rsid w:val="00F86A57"/>
    <w:rsid w:val="00F86B2F"/>
    <w:rsid w:val="00F86E13"/>
    <w:rsid w:val="00F87028"/>
    <w:rsid w:val="00F87B86"/>
    <w:rsid w:val="00F87FD0"/>
    <w:rsid w:val="00F9010B"/>
    <w:rsid w:val="00F9047D"/>
    <w:rsid w:val="00F90508"/>
    <w:rsid w:val="00F905AD"/>
    <w:rsid w:val="00F90664"/>
    <w:rsid w:val="00F906A0"/>
    <w:rsid w:val="00F91001"/>
    <w:rsid w:val="00F92972"/>
    <w:rsid w:val="00F92BB1"/>
    <w:rsid w:val="00F92E91"/>
    <w:rsid w:val="00F93688"/>
    <w:rsid w:val="00F9472A"/>
    <w:rsid w:val="00F94C4B"/>
    <w:rsid w:val="00F94F35"/>
    <w:rsid w:val="00F950D5"/>
    <w:rsid w:val="00F956C3"/>
    <w:rsid w:val="00F96001"/>
    <w:rsid w:val="00F9602B"/>
    <w:rsid w:val="00F96BDC"/>
    <w:rsid w:val="00F96C81"/>
    <w:rsid w:val="00F96DC0"/>
    <w:rsid w:val="00F975E9"/>
    <w:rsid w:val="00FA030E"/>
    <w:rsid w:val="00FA0355"/>
    <w:rsid w:val="00FA0FFE"/>
    <w:rsid w:val="00FA1521"/>
    <w:rsid w:val="00FA1B7D"/>
    <w:rsid w:val="00FA1E24"/>
    <w:rsid w:val="00FA245C"/>
    <w:rsid w:val="00FA2690"/>
    <w:rsid w:val="00FA2D3A"/>
    <w:rsid w:val="00FA3529"/>
    <w:rsid w:val="00FA387B"/>
    <w:rsid w:val="00FA3DE1"/>
    <w:rsid w:val="00FA527F"/>
    <w:rsid w:val="00FA5712"/>
    <w:rsid w:val="00FA581C"/>
    <w:rsid w:val="00FA5A31"/>
    <w:rsid w:val="00FA5DF4"/>
    <w:rsid w:val="00FA66C1"/>
    <w:rsid w:val="00FA6881"/>
    <w:rsid w:val="00FA706D"/>
    <w:rsid w:val="00FA71D7"/>
    <w:rsid w:val="00FA74A2"/>
    <w:rsid w:val="00FA7EF6"/>
    <w:rsid w:val="00FB0163"/>
    <w:rsid w:val="00FB048D"/>
    <w:rsid w:val="00FB0898"/>
    <w:rsid w:val="00FB0E2F"/>
    <w:rsid w:val="00FB1472"/>
    <w:rsid w:val="00FB188C"/>
    <w:rsid w:val="00FB1D6B"/>
    <w:rsid w:val="00FB1D80"/>
    <w:rsid w:val="00FB21E7"/>
    <w:rsid w:val="00FB246A"/>
    <w:rsid w:val="00FB32C0"/>
    <w:rsid w:val="00FB37FA"/>
    <w:rsid w:val="00FB3968"/>
    <w:rsid w:val="00FB3A24"/>
    <w:rsid w:val="00FB3CE4"/>
    <w:rsid w:val="00FB3D25"/>
    <w:rsid w:val="00FB3EEB"/>
    <w:rsid w:val="00FB4299"/>
    <w:rsid w:val="00FB433E"/>
    <w:rsid w:val="00FB47D6"/>
    <w:rsid w:val="00FB4837"/>
    <w:rsid w:val="00FB5B80"/>
    <w:rsid w:val="00FB6C89"/>
    <w:rsid w:val="00FB6F2C"/>
    <w:rsid w:val="00FB7AFB"/>
    <w:rsid w:val="00FB7B73"/>
    <w:rsid w:val="00FB7D00"/>
    <w:rsid w:val="00FC00A8"/>
    <w:rsid w:val="00FC061B"/>
    <w:rsid w:val="00FC07B9"/>
    <w:rsid w:val="00FC0893"/>
    <w:rsid w:val="00FC0AF0"/>
    <w:rsid w:val="00FC0FE0"/>
    <w:rsid w:val="00FC1108"/>
    <w:rsid w:val="00FC122B"/>
    <w:rsid w:val="00FC207C"/>
    <w:rsid w:val="00FC24EC"/>
    <w:rsid w:val="00FC2979"/>
    <w:rsid w:val="00FC2D2B"/>
    <w:rsid w:val="00FC2EAD"/>
    <w:rsid w:val="00FC3296"/>
    <w:rsid w:val="00FC37F4"/>
    <w:rsid w:val="00FC3E59"/>
    <w:rsid w:val="00FC4183"/>
    <w:rsid w:val="00FC41A9"/>
    <w:rsid w:val="00FC42A5"/>
    <w:rsid w:val="00FC43F7"/>
    <w:rsid w:val="00FC465D"/>
    <w:rsid w:val="00FC4936"/>
    <w:rsid w:val="00FC4E21"/>
    <w:rsid w:val="00FC4F3C"/>
    <w:rsid w:val="00FC50D8"/>
    <w:rsid w:val="00FC5F1E"/>
    <w:rsid w:val="00FC5F6D"/>
    <w:rsid w:val="00FC609A"/>
    <w:rsid w:val="00FC64AE"/>
    <w:rsid w:val="00FC6A12"/>
    <w:rsid w:val="00FC6B1A"/>
    <w:rsid w:val="00FD0107"/>
    <w:rsid w:val="00FD05A0"/>
    <w:rsid w:val="00FD1455"/>
    <w:rsid w:val="00FD1644"/>
    <w:rsid w:val="00FD1776"/>
    <w:rsid w:val="00FD1CBE"/>
    <w:rsid w:val="00FD236D"/>
    <w:rsid w:val="00FD2448"/>
    <w:rsid w:val="00FD258D"/>
    <w:rsid w:val="00FD2C2F"/>
    <w:rsid w:val="00FD2F00"/>
    <w:rsid w:val="00FD343E"/>
    <w:rsid w:val="00FD3473"/>
    <w:rsid w:val="00FD3B31"/>
    <w:rsid w:val="00FD3B3F"/>
    <w:rsid w:val="00FD3C87"/>
    <w:rsid w:val="00FD3EDD"/>
    <w:rsid w:val="00FD4534"/>
    <w:rsid w:val="00FD46D4"/>
    <w:rsid w:val="00FD4D45"/>
    <w:rsid w:val="00FD4D51"/>
    <w:rsid w:val="00FD5D82"/>
    <w:rsid w:val="00FD6242"/>
    <w:rsid w:val="00FD69AD"/>
    <w:rsid w:val="00FD740C"/>
    <w:rsid w:val="00FD755B"/>
    <w:rsid w:val="00FD7E3F"/>
    <w:rsid w:val="00FE0C77"/>
    <w:rsid w:val="00FE0DF4"/>
    <w:rsid w:val="00FE14FD"/>
    <w:rsid w:val="00FE1823"/>
    <w:rsid w:val="00FE1D25"/>
    <w:rsid w:val="00FE1E13"/>
    <w:rsid w:val="00FE2550"/>
    <w:rsid w:val="00FE2B30"/>
    <w:rsid w:val="00FE2F7F"/>
    <w:rsid w:val="00FE36E0"/>
    <w:rsid w:val="00FE3A4F"/>
    <w:rsid w:val="00FE44D0"/>
    <w:rsid w:val="00FE487A"/>
    <w:rsid w:val="00FE49AF"/>
    <w:rsid w:val="00FE518A"/>
    <w:rsid w:val="00FE5E37"/>
    <w:rsid w:val="00FE6103"/>
    <w:rsid w:val="00FE66DA"/>
    <w:rsid w:val="00FE6BDC"/>
    <w:rsid w:val="00FE7300"/>
    <w:rsid w:val="00FF0053"/>
    <w:rsid w:val="00FF0117"/>
    <w:rsid w:val="00FF038E"/>
    <w:rsid w:val="00FF0569"/>
    <w:rsid w:val="00FF063A"/>
    <w:rsid w:val="00FF0B11"/>
    <w:rsid w:val="00FF0CBF"/>
    <w:rsid w:val="00FF16F9"/>
    <w:rsid w:val="00FF1D1A"/>
    <w:rsid w:val="00FF206E"/>
    <w:rsid w:val="00FF23F1"/>
    <w:rsid w:val="00FF2684"/>
    <w:rsid w:val="00FF2D36"/>
    <w:rsid w:val="00FF3C69"/>
    <w:rsid w:val="00FF414E"/>
    <w:rsid w:val="00FF5877"/>
    <w:rsid w:val="00FF5C11"/>
    <w:rsid w:val="00FF67A6"/>
    <w:rsid w:val="00FF6822"/>
    <w:rsid w:val="00FF6B8E"/>
    <w:rsid w:val="00FF6E0A"/>
    <w:rsid w:val="00FF6F93"/>
    <w:rsid w:val="00FF73EE"/>
    <w:rsid w:val="1E2AD500"/>
    <w:rsid w:val="2287D1B5"/>
    <w:rsid w:val="25A1F81E"/>
    <w:rsid w:val="321A88CE"/>
    <w:rsid w:val="3FB7BC83"/>
    <w:rsid w:val="4C6453ED"/>
    <w:rsid w:val="57A3CC62"/>
    <w:rsid w:val="757B6BE1"/>
    <w:rsid w:val="776B3D44"/>
    <w:rsid w:val="7CB1D5BE"/>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FFE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23"/>
    <w:qFormat/>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styleId="ListParagraph">
    <w:name w:val="List Paragraph"/>
    <w:basedOn w:val="Normal"/>
    <w:uiPriority w:val="34"/>
    <w:qFormat/>
    <w:rsid w:val="00AE0875"/>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9781C"/>
    <w:pPr>
      <w:autoSpaceDE w:val="0"/>
      <w:autoSpaceDN w:val="0"/>
      <w:adjustRightInd w:val="0"/>
    </w:pPr>
    <w:rPr>
      <w:rFonts w:ascii="Arial" w:eastAsiaTheme="minorHAnsi" w:hAnsi="Arial" w:cs="Arial"/>
      <w:color w:val="000000"/>
      <w:lang w:eastAsia="en-US"/>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23"/>
    <w:qFormat/>
    <w:rsid w:val="00637D7D"/>
    <w:rPr>
      <w:rFonts w:ascii="Arial" w:hAnsi="Arial"/>
      <w:sz w:val="16"/>
      <w:szCs w:val="16"/>
    </w:rPr>
  </w:style>
  <w:style w:type="character" w:styleId="Mention">
    <w:name w:val="Mention"/>
    <w:basedOn w:val="DefaultParagraphFont"/>
    <w:uiPriority w:val="99"/>
    <w:unhideWhenUsed/>
    <w:rsid w:val="00104E4A"/>
    <w:rPr>
      <w:color w:val="2B579A"/>
      <w:shd w:val="clear" w:color="auto" w:fill="E1DFDD"/>
    </w:rPr>
  </w:style>
  <w:style w:type="paragraph" w:styleId="TOC4">
    <w:name w:val="toc 4"/>
    <w:basedOn w:val="Normal"/>
    <w:next w:val="Normal"/>
    <w:autoRedefine/>
    <w:uiPriority w:val="39"/>
    <w:unhideWhenUsed/>
    <w:rsid w:val="00C5085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5085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5085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5085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5085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50856"/>
    <w:pPr>
      <w:spacing w:after="100" w:line="259" w:lineRule="auto"/>
      <w:ind w:left="1760"/>
    </w:pPr>
    <w:rPr>
      <w:rFonts w:asciiTheme="minorHAnsi" w:eastAsiaTheme="minorEastAsia" w:hAnsiTheme="minorHAnsi" w:cstheme="minorBidi"/>
      <w:sz w:val="22"/>
      <w:szCs w:val="22"/>
    </w:rPr>
  </w:style>
  <w:style w:type="table" w:styleId="ListTable2">
    <w:name w:val="List Table 2"/>
    <w:basedOn w:val="TableNormal"/>
    <w:uiPriority w:val="47"/>
    <w:rsid w:val="008A4AEC"/>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op">
    <w:name w:val="eop"/>
    <w:basedOn w:val="DefaultParagraphFont"/>
    <w:rsid w:val="009F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186">
      <w:bodyDiv w:val="1"/>
      <w:marLeft w:val="0"/>
      <w:marRight w:val="0"/>
      <w:marTop w:val="0"/>
      <w:marBottom w:val="0"/>
      <w:divBdr>
        <w:top w:val="none" w:sz="0" w:space="0" w:color="auto"/>
        <w:left w:val="none" w:sz="0" w:space="0" w:color="auto"/>
        <w:bottom w:val="none" w:sz="0" w:space="0" w:color="auto"/>
        <w:right w:val="none" w:sz="0" w:space="0" w:color="auto"/>
      </w:divBdr>
    </w:div>
    <w:div w:id="132410520">
      <w:bodyDiv w:val="1"/>
      <w:marLeft w:val="0"/>
      <w:marRight w:val="0"/>
      <w:marTop w:val="0"/>
      <w:marBottom w:val="0"/>
      <w:divBdr>
        <w:top w:val="none" w:sz="0" w:space="0" w:color="auto"/>
        <w:left w:val="none" w:sz="0" w:space="0" w:color="auto"/>
        <w:bottom w:val="none" w:sz="0" w:space="0" w:color="auto"/>
        <w:right w:val="none" w:sz="0" w:space="0" w:color="auto"/>
      </w:divBdr>
    </w:div>
    <w:div w:id="168831933">
      <w:bodyDiv w:val="1"/>
      <w:marLeft w:val="0"/>
      <w:marRight w:val="0"/>
      <w:marTop w:val="0"/>
      <w:marBottom w:val="0"/>
      <w:divBdr>
        <w:top w:val="none" w:sz="0" w:space="0" w:color="auto"/>
        <w:left w:val="none" w:sz="0" w:space="0" w:color="auto"/>
        <w:bottom w:val="none" w:sz="0" w:space="0" w:color="auto"/>
        <w:right w:val="none" w:sz="0" w:space="0" w:color="auto"/>
      </w:divBdr>
      <w:divsChild>
        <w:div w:id="1084689722">
          <w:marLeft w:val="0"/>
          <w:marRight w:val="0"/>
          <w:marTop w:val="0"/>
          <w:marBottom w:val="0"/>
          <w:divBdr>
            <w:top w:val="none" w:sz="0" w:space="0" w:color="auto"/>
            <w:left w:val="none" w:sz="0" w:space="0" w:color="auto"/>
            <w:bottom w:val="none" w:sz="0" w:space="0" w:color="auto"/>
            <w:right w:val="none" w:sz="0" w:space="0" w:color="auto"/>
          </w:divBdr>
          <w:divsChild>
            <w:div w:id="511408553">
              <w:marLeft w:val="0"/>
              <w:marRight w:val="0"/>
              <w:marTop w:val="0"/>
              <w:marBottom w:val="0"/>
              <w:divBdr>
                <w:top w:val="none" w:sz="0" w:space="0" w:color="auto"/>
                <w:left w:val="none" w:sz="0" w:space="0" w:color="auto"/>
                <w:bottom w:val="none" w:sz="0" w:space="0" w:color="auto"/>
                <w:right w:val="none" w:sz="0" w:space="0" w:color="auto"/>
              </w:divBdr>
            </w:div>
            <w:div w:id="2033802502">
              <w:marLeft w:val="0"/>
              <w:marRight w:val="0"/>
              <w:marTop w:val="0"/>
              <w:marBottom w:val="0"/>
              <w:divBdr>
                <w:top w:val="none" w:sz="0" w:space="0" w:color="auto"/>
                <w:left w:val="none" w:sz="0" w:space="0" w:color="auto"/>
                <w:bottom w:val="none" w:sz="0" w:space="0" w:color="auto"/>
                <w:right w:val="none" w:sz="0" w:space="0" w:color="auto"/>
              </w:divBdr>
            </w:div>
          </w:divsChild>
        </w:div>
        <w:div w:id="2102022840">
          <w:marLeft w:val="0"/>
          <w:marRight w:val="0"/>
          <w:marTop w:val="0"/>
          <w:marBottom w:val="0"/>
          <w:divBdr>
            <w:top w:val="none" w:sz="0" w:space="0" w:color="auto"/>
            <w:left w:val="none" w:sz="0" w:space="0" w:color="auto"/>
            <w:bottom w:val="none" w:sz="0" w:space="0" w:color="auto"/>
            <w:right w:val="none" w:sz="0" w:space="0" w:color="auto"/>
          </w:divBdr>
        </w:div>
      </w:divsChild>
    </w:div>
    <w:div w:id="198864387">
      <w:bodyDiv w:val="1"/>
      <w:marLeft w:val="0"/>
      <w:marRight w:val="0"/>
      <w:marTop w:val="0"/>
      <w:marBottom w:val="0"/>
      <w:divBdr>
        <w:top w:val="none" w:sz="0" w:space="0" w:color="auto"/>
        <w:left w:val="none" w:sz="0" w:space="0" w:color="auto"/>
        <w:bottom w:val="none" w:sz="0" w:space="0" w:color="auto"/>
        <w:right w:val="none" w:sz="0" w:space="0" w:color="auto"/>
      </w:divBdr>
    </w:div>
    <w:div w:id="226261363">
      <w:bodyDiv w:val="1"/>
      <w:marLeft w:val="0"/>
      <w:marRight w:val="0"/>
      <w:marTop w:val="0"/>
      <w:marBottom w:val="0"/>
      <w:divBdr>
        <w:top w:val="none" w:sz="0" w:space="0" w:color="auto"/>
        <w:left w:val="none" w:sz="0" w:space="0" w:color="auto"/>
        <w:bottom w:val="none" w:sz="0" w:space="0" w:color="auto"/>
        <w:right w:val="none" w:sz="0" w:space="0" w:color="auto"/>
      </w:divBdr>
    </w:div>
    <w:div w:id="333849372">
      <w:bodyDiv w:val="1"/>
      <w:marLeft w:val="0"/>
      <w:marRight w:val="0"/>
      <w:marTop w:val="0"/>
      <w:marBottom w:val="0"/>
      <w:divBdr>
        <w:top w:val="none" w:sz="0" w:space="0" w:color="auto"/>
        <w:left w:val="none" w:sz="0" w:space="0" w:color="auto"/>
        <w:bottom w:val="none" w:sz="0" w:space="0" w:color="auto"/>
        <w:right w:val="none" w:sz="0" w:space="0" w:color="auto"/>
      </w:divBdr>
    </w:div>
    <w:div w:id="387267343">
      <w:bodyDiv w:val="1"/>
      <w:marLeft w:val="0"/>
      <w:marRight w:val="0"/>
      <w:marTop w:val="0"/>
      <w:marBottom w:val="0"/>
      <w:divBdr>
        <w:top w:val="none" w:sz="0" w:space="0" w:color="auto"/>
        <w:left w:val="none" w:sz="0" w:space="0" w:color="auto"/>
        <w:bottom w:val="none" w:sz="0" w:space="0" w:color="auto"/>
        <w:right w:val="none" w:sz="0" w:space="0" w:color="auto"/>
      </w:divBdr>
    </w:div>
    <w:div w:id="471144869">
      <w:bodyDiv w:val="1"/>
      <w:marLeft w:val="0"/>
      <w:marRight w:val="0"/>
      <w:marTop w:val="0"/>
      <w:marBottom w:val="0"/>
      <w:divBdr>
        <w:top w:val="none" w:sz="0" w:space="0" w:color="auto"/>
        <w:left w:val="none" w:sz="0" w:space="0" w:color="auto"/>
        <w:bottom w:val="none" w:sz="0" w:space="0" w:color="auto"/>
        <w:right w:val="none" w:sz="0" w:space="0" w:color="auto"/>
      </w:divBdr>
    </w:div>
    <w:div w:id="516816931">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04061578">
      <w:bodyDiv w:val="1"/>
      <w:marLeft w:val="0"/>
      <w:marRight w:val="0"/>
      <w:marTop w:val="0"/>
      <w:marBottom w:val="0"/>
      <w:divBdr>
        <w:top w:val="none" w:sz="0" w:space="0" w:color="auto"/>
        <w:left w:val="none" w:sz="0" w:space="0" w:color="auto"/>
        <w:bottom w:val="none" w:sz="0" w:space="0" w:color="auto"/>
        <w:right w:val="none" w:sz="0" w:space="0" w:color="auto"/>
      </w:divBdr>
    </w:div>
    <w:div w:id="854464459">
      <w:bodyDiv w:val="1"/>
      <w:marLeft w:val="0"/>
      <w:marRight w:val="0"/>
      <w:marTop w:val="0"/>
      <w:marBottom w:val="0"/>
      <w:divBdr>
        <w:top w:val="none" w:sz="0" w:space="0" w:color="auto"/>
        <w:left w:val="none" w:sz="0" w:space="0" w:color="auto"/>
        <w:bottom w:val="none" w:sz="0" w:space="0" w:color="auto"/>
        <w:right w:val="none" w:sz="0" w:space="0" w:color="auto"/>
      </w:divBdr>
    </w:div>
    <w:div w:id="997803188">
      <w:bodyDiv w:val="1"/>
      <w:marLeft w:val="0"/>
      <w:marRight w:val="0"/>
      <w:marTop w:val="0"/>
      <w:marBottom w:val="0"/>
      <w:divBdr>
        <w:top w:val="none" w:sz="0" w:space="0" w:color="auto"/>
        <w:left w:val="none" w:sz="0" w:space="0" w:color="auto"/>
        <w:bottom w:val="none" w:sz="0" w:space="0" w:color="auto"/>
        <w:right w:val="none" w:sz="0" w:space="0" w:color="auto"/>
      </w:divBdr>
    </w:div>
    <w:div w:id="1058287120">
      <w:bodyDiv w:val="1"/>
      <w:marLeft w:val="0"/>
      <w:marRight w:val="0"/>
      <w:marTop w:val="0"/>
      <w:marBottom w:val="0"/>
      <w:divBdr>
        <w:top w:val="none" w:sz="0" w:space="0" w:color="auto"/>
        <w:left w:val="none" w:sz="0" w:space="0" w:color="auto"/>
        <w:bottom w:val="none" w:sz="0" w:space="0" w:color="auto"/>
        <w:right w:val="none" w:sz="0" w:space="0" w:color="auto"/>
      </w:divBdr>
    </w:div>
    <w:div w:id="1141655627">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38812365">
      <w:bodyDiv w:val="1"/>
      <w:marLeft w:val="0"/>
      <w:marRight w:val="0"/>
      <w:marTop w:val="0"/>
      <w:marBottom w:val="0"/>
      <w:divBdr>
        <w:top w:val="none" w:sz="0" w:space="0" w:color="auto"/>
        <w:left w:val="none" w:sz="0" w:space="0" w:color="auto"/>
        <w:bottom w:val="none" w:sz="0" w:space="0" w:color="auto"/>
        <w:right w:val="none" w:sz="0" w:space="0" w:color="auto"/>
      </w:divBdr>
      <w:divsChild>
        <w:div w:id="434715821">
          <w:marLeft w:val="0"/>
          <w:marRight w:val="0"/>
          <w:marTop w:val="0"/>
          <w:marBottom w:val="0"/>
          <w:divBdr>
            <w:top w:val="none" w:sz="0" w:space="0" w:color="auto"/>
            <w:left w:val="none" w:sz="0" w:space="0" w:color="auto"/>
            <w:bottom w:val="none" w:sz="0" w:space="0" w:color="auto"/>
            <w:right w:val="none" w:sz="0" w:space="0" w:color="auto"/>
          </w:divBdr>
          <w:divsChild>
            <w:div w:id="43991463">
              <w:marLeft w:val="0"/>
              <w:marRight w:val="0"/>
              <w:marTop w:val="0"/>
              <w:marBottom w:val="0"/>
              <w:divBdr>
                <w:top w:val="none" w:sz="0" w:space="0" w:color="auto"/>
                <w:left w:val="none" w:sz="0" w:space="0" w:color="auto"/>
                <w:bottom w:val="none" w:sz="0" w:space="0" w:color="auto"/>
                <w:right w:val="none" w:sz="0" w:space="0" w:color="auto"/>
              </w:divBdr>
            </w:div>
            <w:div w:id="2010525993">
              <w:marLeft w:val="0"/>
              <w:marRight w:val="0"/>
              <w:marTop w:val="0"/>
              <w:marBottom w:val="0"/>
              <w:divBdr>
                <w:top w:val="none" w:sz="0" w:space="0" w:color="auto"/>
                <w:left w:val="none" w:sz="0" w:space="0" w:color="auto"/>
                <w:bottom w:val="none" w:sz="0" w:space="0" w:color="auto"/>
                <w:right w:val="none" w:sz="0" w:space="0" w:color="auto"/>
              </w:divBdr>
            </w:div>
          </w:divsChild>
        </w:div>
        <w:div w:id="1089422620">
          <w:marLeft w:val="0"/>
          <w:marRight w:val="0"/>
          <w:marTop w:val="0"/>
          <w:marBottom w:val="0"/>
          <w:divBdr>
            <w:top w:val="none" w:sz="0" w:space="0" w:color="auto"/>
            <w:left w:val="none" w:sz="0" w:space="0" w:color="auto"/>
            <w:bottom w:val="none" w:sz="0" w:space="0" w:color="auto"/>
            <w:right w:val="none" w:sz="0" w:space="0" w:color="auto"/>
          </w:divBdr>
        </w:div>
      </w:divsChild>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sites/default/files/2021-06/Our_approach_to_radcomms_licensing_and_allocation_information_paper.pdf" TargetMode="External"/><Relationship Id="rId39" Type="http://schemas.openxmlformats.org/officeDocument/2006/relationships/hyperlink" Target="https://www.legislation.gov.au/Details/F2019L01374" TargetMode="External"/><Relationship Id="rId21" Type="http://schemas.openxmlformats.org/officeDocument/2006/relationships/footer" Target="footer4.xml"/><Relationship Id="rId34" Type="http://schemas.openxmlformats.org/officeDocument/2006/relationships/hyperlink" Target="https://www.legislation.gov.au/Details/F2019L01374" TargetMode="External"/><Relationship Id="rId42" Type="http://schemas.openxmlformats.org/officeDocument/2006/relationships/hyperlink" Target="https://view.officeapps.live.com/op/view.aspx?src=https%3A%2F%2Fwww.acma.gov.au%2Fsites%2Fdefault%2Ffiles%2F2023-06%2FApplicant%2520info%2520pack_Allocation%2520of%2520apparatus%2520licences%2520in%25203.4-4.0%2520GHz%2520in%2520remote%2520Australia_0.docx&amp;wdOrigin=BROWSELINK" TargetMode="Externa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ma.gov.au/publications/2021-09/plan/five-year-spectrum-outlook-2021-26"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acma.gov.au/sites/default/files/2021-06/Our_approach_to_radcomms_licensing_and_allocation_information_paper.pdf" TargetMode="External"/><Relationship Id="rId32" Type="http://schemas.openxmlformats.org/officeDocument/2006/relationships/hyperlink" Target="https://www.acma.gov.au/publications/2020-08/guide/submission-and-processing-applications-space-and-space-receive-apparatus-licences" TargetMode="External"/><Relationship Id="rId37" Type="http://schemas.openxmlformats.org/officeDocument/2006/relationships/hyperlink" Target="https://www.acma.gov.au/publications/2019-09/instruction/rali-fx3-microwave-fixed-services" TargetMode="External"/><Relationship Id="rId40" Type="http://schemas.openxmlformats.org/officeDocument/2006/relationships/hyperlink" Target="https://www.acma.gov.au/procedure-earth-and-earth-receive-licensing-and-registering-earth-stations" TargetMode="External"/><Relationship Id="rId45" Type="http://schemas.openxmlformats.org/officeDocument/2006/relationships/hyperlink" Target="https://www.acma.gov.au/consultations/2023-08/implementation-proposed-changes-apparatus-licence-pricin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closingthegap.gov.au/national-agreement" TargetMode="External"/><Relationship Id="rId36" Type="http://schemas.openxmlformats.org/officeDocument/2006/relationships/hyperlink" Target="https://www.acma.gov.au/publications/2019-08/instruction/frequency-coordination-procedures-earth-station-protection-zones" TargetMode="External"/><Relationship Id="rId49"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file:///C:/Users/klagalle/AppData/Local/Microsoft/Windows/INetCache/Content.Outlook/KH555PGC/Radiocommunications%20(Mobile-Satellite%20Service)%20(1980-2010%20MHz%20and%202170-2200%20MHz)%20Frequency%20Band%20Plan%202022%20(legislation.gov.au)" TargetMode="External"/><Relationship Id="rId44" Type="http://schemas.openxmlformats.org/officeDocument/2006/relationships/hyperlink" Target="https://www.acma.gov.au/consultations/2022-11/proposed-changes-radiocommunications-equipment-regulation-consultation-37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3-05/proposed-approach-expiring-spectrum-licences" TargetMode="External"/><Relationship Id="rId30" Type="http://schemas.openxmlformats.org/officeDocument/2006/relationships/hyperlink" Target="https://www.acma.gov.au/publications/2019-10/report/business-operating-procedure-submission-and-processing-applications-earth-and-earth-receive-apparatus-licences-fixed-earth-stations" TargetMode="External"/><Relationship Id="rId35" Type="http://schemas.openxmlformats.org/officeDocument/2006/relationships/hyperlink" Target="https://www.acma.gov.au/current-and-past-spectrum-embargoes" TargetMode="External"/><Relationship Id="rId43" Type="http://schemas.openxmlformats.org/officeDocument/2006/relationships/hyperlink" Target="https://www.acma.gov.au/publications/2020-03/report/future-delivery-radio" TargetMode="External"/><Relationship Id="rId48" Type="http://schemas.openxmlformats.org/officeDocument/2006/relationships/footer" Target="footer7.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oia.pmc.gov.au/resources/guidance-impact-analysis/australian-government-guide-policy-impact-analysis" TargetMode="External"/><Relationship Id="rId33" Type="http://schemas.openxmlformats.org/officeDocument/2006/relationships/hyperlink" Target="https://view.officeapps.live.com/op/view.aspx?src=https%3A%2F%2Fwww.acma.gov.au%2Fsites%2Fdefault%2Ffiles%2F2023-03%2FTerahertz%2520use-cases%2520and%2520regulatory%2520models_information%2520paper.docx&amp;wdOrigin=BROWSELINK" TargetMode="External"/><Relationship Id="rId38" Type="http://schemas.openxmlformats.org/officeDocument/2006/relationships/hyperlink" Target="https://www.legislation.gov.au/Details/F2019L01374" TargetMode="External"/><Relationship Id="rId46" Type="http://schemas.openxmlformats.org/officeDocument/2006/relationships/header" Target="header7.xml"/><Relationship Id="rId20" Type="http://schemas.openxmlformats.org/officeDocument/2006/relationships/header" Target="header6.xml"/><Relationship Id="rId41" Type="http://schemas.openxmlformats.org/officeDocument/2006/relationships/hyperlink" Target="https://www.legislation.gov.au/Details/F2022L0084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cma.gov.au/publications/2020-03/report/future-delivery-radio" TargetMode="External"/><Relationship Id="rId1" Type="http://schemas.openxmlformats.org/officeDocument/2006/relationships/hyperlink" Target="https://www.commsalliance.com.au/__data/assets/pdf_file/0009/86634/Comms-Alliance-Satellite-Industry-Spectrum-Strategy-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13764</Words>
  <Characters>77634</Characters>
  <Application>Microsoft Office Word</Application>
  <DocSecurity>0</DocSecurity>
  <Lines>1464</Lines>
  <Paragraphs>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90864</CharactersWithSpaces>
  <SharedDoc>false</SharedDoc>
  <HyperlinkBase/>
  <HLinks>
    <vt:vector size="432" baseType="variant">
      <vt:variant>
        <vt:i4>3604591</vt:i4>
      </vt:variant>
      <vt:variant>
        <vt:i4>330</vt:i4>
      </vt:variant>
      <vt:variant>
        <vt:i4>0</vt:i4>
      </vt:variant>
      <vt:variant>
        <vt:i4>5</vt:i4>
      </vt:variant>
      <vt:variant>
        <vt:lpwstr>https://www.acma.gov.au/consultations/2023-08/implementation-proposed-changes-apparatus-licence-pricing</vt:lpwstr>
      </vt:variant>
      <vt:variant>
        <vt:lpwstr/>
      </vt:variant>
      <vt:variant>
        <vt:i4>3539060</vt:i4>
      </vt:variant>
      <vt:variant>
        <vt:i4>327</vt:i4>
      </vt:variant>
      <vt:variant>
        <vt:i4>0</vt:i4>
      </vt:variant>
      <vt:variant>
        <vt:i4>5</vt:i4>
      </vt:variant>
      <vt:variant>
        <vt:lpwstr>https://www.acma.gov.au/consultations/2022-11/proposed-changes-radiocommunications-equipment-regulation-consultation-372022</vt:lpwstr>
      </vt:variant>
      <vt:variant>
        <vt:lpwstr/>
      </vt:variant>
      <vt:variant>
        <vt:i4>655438</vt:i4>
      </vt:variant>
      <vt:variant>
        <vt:i4>324</vt:i4>
      </vt:variant>
      <vt:variant>
        <vt:i4>0</vt:i4>
      </vt:variant>
      <vt:variant>
        <vt:i4>5</vt:i4>
      </vt:variant>
      <vt:variant>
        <vt:lpwstr>https://www.acma.gov.au/publications/2020-03/report/future-delivery-radio</vt:lpwstr>
      </vt:variant>
      <vt:variant>
        <vt:lpwstr/>
      </vt:variant>
      <vt:variant>
        <vt:i4>3407998</vt:i4>
      </vt:variant>
      <vt:variant>
        <vt:i4>321</vt:i4>
      </vt:variant>
      <vt:variant>
        <vt:i4>0</vt:i4>
      </vt:variant>
      <vt:variant>
        <vt:i4>5</vt:i4>
      </vt:variant>
      <vt:variant>
        <vt:lpwstr>https://view.officeapps.live.com/op/view.aspx?src=https%3A%2F%2Fwww.acma.gov.au%2Fsites%2Fdefault%2Ffiles%2F2023-06%2FApplicant%2520info%2520pack_Allocation%2520of%2520apparatus%2520licences%2520in%25203.4-4.0%2520GHz%2520in%2520remote%2520Australia_0.docx&amp;wdOrigin=BROWSELINK</vt:lpwstr>
      </vt:variant>
      <vt:variant>
        <vt:lpwstr/>
      </vt:variant>
      <vt:variant>
        <vt:i4>8126510</vt:i4>
      </vt:variant>
      <vt:variant>
        <vt:i4>318</vt:i4>
      </vt:variant>
      <vt:variant>
        <vt:i4>0</vt:i4>
      </vt:variant>
      <vt:variant>
        <vt:i4>5</vt:i4>
      </vt:variant>
      <vt:variant>
        <vt:lpwstr>https://www.legislation.gov.au/Details/F2022L00843</vt:lpwstr>
      </vt:variant>
      <vt:variant>
        <vt:lpwstr/>
      </vt:variant>
      <vt:variant>
        <vt:i4>3473449</vt:i4>
      </vt:variant>
      <vt:variant>
        <vt:i4>315</vt:i4>
      </vt:variant>
      <vt:variant>
        <vt:i4>0</vt:i4>
      </vt:variant>
      <vt:variant>
        <vt:i4>5</vt:i4>
      </vt:variant>
      <vt:variant>
        <vt:lpwstr>https://www.acma.gov.au/procedure-earth-and-earth-receive-licensing-and-registering-earth-stations</vt:lpwstr>
      </vt:variant>
      <vt:variant>
        <vt:lpwstr/>
      </vt:variant>
      <vt:variant>
        <vt:i4>8060975</vt:i4>
      </vt:variant>
      <vt:variant>
        <vt:i4>312</vt:i4>
      </vt:variant>
      <vt:variant>
        <vt:i4>0</vt:i4>
      </vt:variant>
      <vt:variant>
        <vt:i4>5</vt:i4>
      </vt:variant>
      <vt:variant>
        <vt:lpwstr>https://www.legislation.gov.au/Details/F2019L01374</vt:lpwstr>
      </vt:variant>
      <vt:variant>
        <vt:lpwstr/>
      </vt:variant>
      <vt:variant>
        <vt:i4>8060975</vt:i4>
      </vt:variant>
      <vt:variant>
        <vt:i4>309</vt:i4>
      </vt:variant>
      <vt:variant>
        <vt:i4>0</vt:i4>
      </vt:variant>
      <vt:variant>
        <vt:i4>5</vt:i4>
      </vt:variant>
      <vt:variant>
        <vt:lpwstr>https://www.legislation.gov.au/Details/F2019L01374</vt:lpwstr>
      </vt:variant>
      <vt:variant>
        <vt:lpwstr/>
      </vt:variant>
      <vt:variant>
        <vt:i4>7274598</vt:i4>
      </vt:variant>
      <vt:variant>
        <vt:i4>306</vt:i4>
      </vt:variant>
      <vt:variant>
        <vt:i4>0</vt:i4>
      </vt:variant>
      <vt:variant>
        <vt:i4>5</vt:i4>
      </vt:variant>
      <vt:variant>
        <vt:lpwstr>https://www.acma.gov.au/publications/2019-09/instruction/rali-fx3-microwave-fixed-services</vt:lpwstr>
      </vt:variant>
      <vt:variant>
        <vt:lpwstr/>
      </vt:variant>
      <vt:variant>
        <vt:i4>1310808</vt:i4>
      </vt:variant>
      <vt:variant>
        <vt:i4>303</vt:i4>
      </vt:variant>
      <vt:variant>
        <vt:i4>0</vt:i4>
      </vt:variant>
      <vt:variant>
        <vt:i4>5</vt:i4>
      </vt:variant>
      <vt:variant>
        <vt:lpwstr>https://www.acma.gov.au/publications/2019-08/instruction/frequency-coordination-procedures-earth-station-protection-zones</vt:lpwstr>
      </vt:variant>
      <vt:variant>
        <vt:lpwstr/>
      </vt:variant>
      <vt:variant>
        <vt:i4>3342443</vt:i4>
      </vt:variant>
      <vt:variant>
        <vt:i4>300</vt:i4>
      </vt:variant>
      <vt:variant>
        <vt:i4>0</vt:i4>
      </vt:variant>
      <vt:variant>
        <vt:i4>5</vt:i4>
      </vt:variant>
      <vt:variant>
        <vt:lpwstr>https://www.acma.gov.au/current-and-past-spectrum-embargoes</vt:lpwstr>
      </vt:variant>
      <vt:variant>
        <vt:lpwstr/>
      </vt:variant>
      <vt:variant>
        <vt:i4>8060975</vt:i4>
      </vt:variant>
      <vt:variant>
        <vt:i4>297</vt:i4>
      </vt:variant>
      <vt:variant>
        <vt:i4>0</vt:i4>
      </vt:variant>
      <vt:variant>
        <vt:i4>5</vt:i4>
      </vt:variant>
      <vt:variant>
        <vt:lpwstr>https://www.legislation.gov.au/Details/F2019L01374</vt:lpwstr>
      </vt:variant>
      <vt:variant>
        <vt:lpwstr/>
      </vt:variant>
      <vt:variant>
        <vt:i4>1310770</vt:i4>
      </vt:variant>
      <vt:variant>
        <vt:i4>294</vt:i4>
      </vt:variant>
      <vt:variant>
        <vt:i4>0</vt:i4>
      </vt:variant>
      <vt:variant>
        <vt:i4>5</vt:i4>
      </vt:variant>
      <vt:variant>
        <vt:lpwstr>https://view.officeapps.live.com/op/view.aspx?src=https%3A%2F%2Fwww.acma.gov.au%2Fsites%2Fdefault%2Ffiles%2F2023-03%2FTerahertz%2520use-cases%2520and%2520regulatory%2520models_information%2520paper.docx&amp;wdOrigin=BROWSELINK</vt:lpwstr>
      </vt:variant>
      <vt:variant>
        <vt:lpwstr/>
      </vt:variant>
      <vt:variant>
        <vt:i4>9</vt:i4>
      </vt:variant>
      <vt:variant>
        <vt:i4>291</vt:i4>
      </vt:variant>
      <vt:variant>
        <vt:i4>0</vt:i4>
      </vt:variant>
      <vt:variant>
        <vt:i4>5</vt:i4>
      </vt:variant>
      <vt:variant>
        <vt:lpwstr>https://www.acma.gov.au/publications/2020-08/guide/submission-and-processing-applications-space-and-space-receive-apparatus-licences</vt:lpwstr>
      </vt:variant>
      <vt:variant>
        <vt:lpwstr/>
      </vt:variant>
      <vt:variant>
        <vt:i4>393287</vt:i4>
      </vt:variant>
      <vt:variant>
        <vt:i4>288</vt:i4>
      </vt:variant>
      <vt:variant>
        <vt:i4>0</vt:i4>
      </vt:variant>
      <vt:variant>
        <vt:i4>5</vt:i4>
      </vt:variant>
      <vt:variant>
        <vt:lpwstr>C:\Users\klagalle\AppData\Local\Microsoft\Windows\INetCache\Content.Outlook\KH555PGC\Radiocommunications (Mobile-Satellite Service) (1980-2010 MHz and 2170-2200 MHz) Frequency Band Plan 2022 (legislation.gov.au)</vt:lpwstr>
      </vt:variant>
      <vt:variant>
        <vt:lpwstr/>
      </vt:variant>
      <vt:variant>
        <vt:i4>2752548</vt:i4>
      </vt:variant>
      <vt:variant>
        <vt:i4>285</vt:i4>
      </vt:variant>
      <vt:variant>
        <vt:i4>0</vt:i4>
      </vt:variant>
      <vt:variant>
        <vt:i4>5</vt:i4>
      </vt:variant>
      <vt:variant>
        <vt:lpwstr>https://www.acma.gov.au/publications/2019-10/report/business-operating-procedure-submission-and-processing-applications-earth-and-earth-receive-apparatus-licences-fixed-earth-stations</vt:lpwstr>
      </vt:variant>
      <vt:variant>
        <vt:lpwstr/>
      </vt:variant>
      <vt:variant>
        <vt:i4>1835008</vt:i4>
      </vt:variant>
      <vt:variant>
        <vt:i4>282</vt:i4>
      </vt:variant>
      <vt:variant>
        <vt:i4>0</vt:i4>
      </vt:variant>
      <vt:variant>
        <vt:i4>5</vt:i4>
      </vt:variant>
      <vt:variant>
        <vt:lpwstr>https://www.acma.gov.au/publications/2021-09/plan/five-year-spectrum-outlook-2021-26</vt:lpwstr>
      </vt:variant>
      <vt:variant>
        <vt:lpwstr/>
      </vt:variant>
      <vt:variant>
        <vt:i4>7012475</vt:i4>
      </vt:variant>
      <vt:variant>
        <vt:i4>279</vt:i4>
      </vt:variant>
      <vt:variant>
        <vt:i4>0</vt:i4>
      </vt:variant>
      <vt:variant>
        <vt:i4>5</vt:i4>
      </vt:variant>
      <vt:variant>
        <vt:lpwstr>https://www.closingthegap.gov.au/national-agreement</vt:lpwstr>
      </vt:variant>
      <vt:variant>
        <vt:lpwstr/>
      </vt:variant>
      <vt:variant>
        <vt:i4>2490423</vt:i4>
      </vt:variant>
      <vt:variant>
        <vt:i4>276</vt:i4>
      </vt:variant>
      <vt:variant>
        <vt:i4>0</vt:i4>
      </vt:variant>
      <vt:variant>
        <vt:i4>5</vt:i4>
      </vt:variant>
      <vt:variant>
        <vt:lpwstr>https://www.acma.gov.au/consultations/2023-05/proposed-approach-expiring-spectrum-licences</vt:lpwstr>
      </vt:variant>
      <vt:variant>
        <vt:lpwstr>:~:text=Spectrum%20licences%20across%20the%20700,arrangements%20for%20the%20affected%20spectrum.</vt:lpwstr>
      </vt:variant>
      <vt:variant>
        <vt:i4>8126523</vt:i4>
      </vt:variant>
      <vt:variant>
        <vt:i4>273</vt:i4>
      </vt:variant>
      <vt:variant>
        <vt:i4>0</vt:i4>
      </vt:variant>
      <vt:variant>
        <vt:i4>5</vt:i4>
      </vt:variant>
      <vt:variant>
        <vt:lpwstr>https://www.acma.gov.au/sites/default/files/2021-06/Our_approach_to_radcomms_licensing_and_allocation_information_paper.pdf</vt:lpwstr>
      </vt:variant>
      <vt:variant>
        <vt:lpwstr/>
      </vt:variant>
      <vt:variant>
        <vt:i4>2031643</vt:i4>
      </vt:variant>
      <vt:variant>
        <vt:i4>270</vt:i4>
      </vt:variant>
      <vt:variant>
        <vt:i4>0</vt:i4>
      </vt:variant>
      <vt:variant>
        <vt:i4>5</vt:i4>
      </vt:variant>
      <vt:variant>
        <vt:lpwstr>https://oia.pmc.gov.au/resources/guidance-impact-analysis/australian-government-guide-policy-impact-analysis</vt:lpwstr>
      </vt:variant>
      <vt:variant>
        <vt:lpwstr/>
      </vt:variant>
      <vt:variant>
        <vt:i4>8126523</vt:i4>
      </vt:variant>
      <vt:variant>
        <vt:i4>267</vt:i4>
      </vt:variant>
      <vt:variant>
        <vt:i4>0</vt:i4>
      </vt:variant>
      <vt:variant>
        <vt:i4>5</vt:i4>
      </vt:variant>
      <vt:variant>
        <vt:lpwstr>https://www.acma.gov.au/sites/default/files/2021-06/Our_approach_to_radcomms_licensing_and_allocation_information_paper.pdf</vt:lpwstr>
      </vt:variant>
      <vt:variant>
        <vt:lpwstr/>
      </vt:variant>
      <vt:variant>
        <vt:i4>1966137</vt:i4>
      </vt:variant>
      <vt:variant>
        <vt:i4>260</vt:i4>
      </vt:variant>
      <vt:variant>
        <vt:i4>0</vt:i4>
      </vt:variant>
      <vt:variant>
        <vt:i4>5</vt:i4>
      </vt:variant>
      <vt:variant>
        <vt:lpwstr/>
      </vt:variant>
      <vt:variant>
        <vt:lpwstr>_Toc139964773</vt:lpwstr>
      </vt:variant>
      <vt:variant>
        <vt:i4>1966137</vt:i4>
      </vt:variant>
      <vt:variant>
        <vt:i4>254</vt:i4>
      </vt:variant>
      <vt:variant>
        <vt:i4>0</vt:i4>
      </vt:variant>
      <vt:variant>
        <vt:i4>5</vt:i4>
      </vt:variant>
      <vt:variant>
        <vt:lpwstr/>
      </vt:variant>
      <vt:variant>
        <vt:lpwstr>_Toc139964772</vt:lpwstr>
      </vt:variant>
      <vt:variant>
        <vt:i4>1966137</vt:i4>
      </vt:variant>
      <vt:variant>
        <vt:i4>248</vt:i4>
      </vt:variant>
      <vt:variant>
        <vt:i4>0</vt:i4>
      </vt:variant>
      <vt:variant>
        <vt:i4>5</vt:i4>
      </vt:variant>
      <vt:variant>
        <vt:lpwstr/>
      </vt:variant>
      <vt:variant>
        <vt:lpwstr>_Toc139964771</vt:lpwstr>
      </vt:variant>
      <vt:variant>
        <vt:i4>1966137</vt:i4>
      </vt:variant>
      <vt:variant>
        <vt:i4>242</vt:i4>
      </vt:variant>
      <vt:variant>
        <vt:i4>0</vt:i4>
      </vt:variant>
      <vt:variant>
        <vt:i4>5</vt:i4>
      </vt:variant>
      <vt:variant>
        <vt:lpwstr/>
      </vt:variant>
      <vt:variant>
        <vt:lpwstr>_Toc139964770</vt:lpwstr>
      </vt:variant>
      <vt:variant>
        <vt:i4>2031673</vt:i4>
      </vt:variant>
      <vt:variant>
        <vt:i4>236</vt:i4>
      </vt:variant>
      <vt:variant>
        <vt:i4>0</vt:i4>
      </vt:variant>
      <vt:variant>
        <vt:i4>5</vt:i4>
      </vt:variant>
      <vt:variant>
        <vt:lpwstr/>
      </vt:variant>
      <vt:variant>
        <vt:lpwstr>_Toc139964769</vt:lpwstr>
      </vt:variant>
      <vt:variant>
        <vt:i4>2031673</vt:i4>
      </vt:variant>
      <vt:variant>
        <vt:i4>230</vt:i4>
      </vt:variant>
      <vt:variant>
        <vt:i4>0</vt:i4>
      </vt:variant>
      <vt:variant>
        <vt:i4>5</vt:i4>
      </vt:variant>
      <vt:variant>
        <vt:lpwstr/>
      </vt:variant>
      <vt:variant>
        <vt:lpwstr>_Toc139964768</vt:lpwstr>
      </vt:variant>
      <vt:variant>
        <vt:i4>2031673</vt:i4>
      </vt:variant>
      <vt:variant>
        <vt:i4>224</vt:i4>
      </vt:variant>
      <vt:variant>
        <vt:i4>0</vt:i4>
      </vt:variant>
      <vt:variant>
        <vt:i4>5</vt:i4>
      </vt:variant>
      <vt:variant>
        <vt:lpwstr/>
      </vt:variant>
      <vt:variant>
        <vt:lpwstr>_Toc139964767</vt:lpwstr>
      </vt:variant>
      <vt:variant>
        <vt:i4>2031673</vt:i4>
      </vt:variant>
      <vt:variant>
        <vt:i4>218</vt:i4>
      </vt:variant>
      <vt:variant>
        <vt:i4>0</vt:i4>
      </vt:variant>
      <vt:variant>
        <vt:i4>5</vt:i4>
      </vt:variant>
      <vt:variant>
        <vt:lpwstr/>
      </vt:variant>
      <vt:variant>
        <vt:lpwstr>_Toc139964766</vt:lpwstr>
      </vt:variant>
      <vt:variant>
        <vt:i4>2031673</vt:i4>
      </vt:variant>
      <vt:variant>
        <vt:i4>212</vt:i4>
      </vt:variant>
      <vt:variant>
        <vt:i4>0</vt:i4>
      </vt:variant>
      <vt:variant>
        <vt:i4>5</vt:i4>
      </vt:variant>
      <vt:variant>
        <vt:lpwstr/>
      </vt:variant>
      <vt:variant>
        <vt:lpwstr>_Toc139964765</vt:lpwstr>
      </vt:variant>
      <vt:variant>
        <vt:i4>2031673</vt:i4>
      </vt:variant>
      <vt:variant>
        <vt:i4>206</vt:i4>
      </vt:variant>
      <vt:variant>
        <vt:i4>0</vt:i4>
      </vt:variant>
      <vt:variant>
        <vt:i4>5</vt:i4>
      </vt:variant>
      <vt:variant>
        <vt:lpwstr/>
      </vt:variant>
      <vt:variant>
        <vt:lpwstr>_Toc139964764</vt:lpwstr>
      </vt:variant>
      <vt:variant>
        <vt:i4>2031673</vt:i4>
      </vt:variant>
      <vt:variant>
        <vt:i4>200</vt:i4>
      </vt:variant>
      <vt:variant>
        <vt:i4>0</vt:i4>
      </vt:variant>
      <vt:variant>
        <vt:i4>5</vt:i4>
      </vt:variant>
      <vt:variant>
        <vt:lpwstr/>
      </vt:variant>
      <vt:variant>
        <vt:lpwstr>_Toc139964763</vt:lpwstr>
      </vt:variant>
      <vt:variant>
        <vt:i4>2031673</vt:i4>
      </vt:variant>
      <vt:variant>
        <vt:i4>194</vt:i4>
      </vt:variant>
      <vt:variant>
        <vt:i4>0</vt:i4>
      </vt:variant>
      <vt:variant>
        <vt:i4>5</vt:i4>
      </vt:variant>
      <vt:variant>
        <vt:lpwstr/>
      </vt:variant>
      <vt:variant>
        <vt:lpwstr>_Toc139964762</vt:lpwstr>
      </vt:variant>
      <vt:variant>
        <vt:i4>2031673</vt:i4>
      </vt:variant>
      <vt:variant>
        <vt:i4>188</vt:i4>
      </vt:variant>
      <vt:variant>
        <vt:i4>0</vt:i4>
      </vt:variant>
      <vt:variant>
        <vt:i4>5</vt:i4>
      </vt:variant>
      <vt:variant>
        <vt:lpwstr/>
      </vt:variant>
      <vt:variant>
        <vt:lpwstr>_Toc139964761</vt:lpwstr>
      </vt:variant>
      <vt:variant>
        <vt:i4>2031673</vt:i4>
      </vt:variant>
      <vt:variant>
        <vt:i4>182</vt:i4>
      </vt:variant>
      <vt:variant>
        <vt:i4>0</vt:i4>
      </vt:variant>
      <vt:variant>
        <vt:i4>5</vt:i4>
      </vt:variant>
      <vt:variant>
        <vt:lpwstr/>
      </vt:variant>
      <vt:variant>
        <vt:lpwstr>_Toc139964760</vt:lpwstr>
      </vt:variant>
      <vt:variant>
        <vt:i4>1835065</vt:i4>
      </vt:variant>
      <vt:variant>
        <vt:i4>176</vt:i4>
      </vt:variant>
      <vt:variant>
        <vt:i4>0</vt:i4>
      </vt:variant>
      <vt:variant>
        <vt:i4>5</vt:i4>
      </vt:variant>
      <vt:variant>
        <vt:lpwstr/>
      </vt:variant>
      <vt:variant>
        <vt:lpwstr>_Toc139964759</vt:lpwstr>
      </vt:variant>
      <vt:variant>
        <vt:i4>1835065</vt:i4>
      </vt:variant>
      <vt:variant>
        <vt:i4>170</vt:i4>
      </vt:variant>
      <vt:variant>
        <vt:i4>0</vt:i4>
      </vt:variant>
      <vt:variant>
        <vt:i4>5</vt:i4>
      </vt:variant>
      <vt:variant>
        <vt:lpwstr/>
      </vt:variant>
      <vt:variant>
        <vt:lpwstr>_Toc139964758</vt:lpwstr>
      </vt:variant>
      <vt:variant>
        <vt:i4>1835065</vt:i4>
      </vt:variant>
      <vt:variant>
        <vt:i4>164</vt:i4>
      </vt:variant>
      <vt:variant>
        <vt:i4>0</vt:i4>
      </vt:variant>
      <vt:variant>
        <vt:i4>5</vt:i4>
      </vt:variant>
      <vt:variant>
        <vt:lpwstr/>
      </vt:variant>
      <vt:variant>
        <vt:lpwstr>_Toc139964757</vt:lpwstr>
      </vt:variant>
      <vt:variant>
        <vt:i4>1835065</vt:i4>
      </vt:variant>
      <vt:variant>
        <vt:i4>158</vt:i4>
      </vt:variant>
      <vt:variant>
        <vt:i4>0</vt:i4>
      </vt:variant>
      <vt:variant>
        <vt:i4>5</vt:i4>
      </vt:variant>
      <vt:variant>
        <vt:lpwstr/>
      </vt:variant>
      <vt:variant>
        <vt:lpwstr>_Toc139964756</vt:lpwstr>
      </vt:variant>
      <vt:variant>
        <vt:i4>1835065</vt:i4>
      </vt:variant>
      <vt:variant>
        <vt:i4>152</vt:i4>
      </vt:variant>
      <vt:variant>
        <vt:i4>0</vt:i4>
      </vt:variant>
      <vt:variant>
        <vt:i4>5</vt:i4>
      </vt:variant>
      <vt:variant>
        <vt:lpwstr/>
      </vt:variant>
      <vt:variant>
        <vt:lpwstr>_Toc139964755</vt:lpwstr>
      </vt:variant>
      <vt:variant>
        <vt:i4>1835065</vt:i4>
      </vt:variant>
      <vt:variant>
        <vt:i4>146</vt:i4>
      </vt:variant>
      <vt:variant>
        <vt:i4>0</vt:i4>
      </vt:variant>
      <vt:variant>
        <vt:i4>5</vt:i4>
      </vt:variant>
      <vt:variant>
        <vt:lpwstr/>
      </vt:variant>
      <vt:variant>
        <vt:lpwstr>_Toc139964754</vt:lpwstr>
      </vt:variant>
      <vt:variant>
        <vt:i4>1835065</vt:i4>
      </vt:variant>
      <vt:variant>
        <vt:i4>140</vt:i4>
      </vt:variant>
      <vt:variant>
        <vt:i4>0</vt:i4>
      </vt:variant>
      <vt:variant>
        <vt:i4>5</vt:i4>
      </vt:variant>
      <vt:variant>
        <vt:lpwstr/>
      </vt:variant>
      <vt:variant>
        <vt:lpwstr>_Toc139964753</vt:lpwstr>
      </vt:variant>
      <vt:variant>
        <vt:i4>1835065</vt:i4>
      </vt:variant>
      <vt:variant>
        <vt:i4>134</vt:i4>
      </vt:variant>
      <vt:variant>
        <vt:i4>0</vt:i4>
      </vt:variant>
      <vt:variant>
        <vt:i4>5</vt:i4>
      </vt:variant>
      <vt:variant>
        <vt:lpwstr/>
      </vt:variant>
      <vt:variant>
        <vt:lpwstr>_Toc139964752</vt:lpwstr>
      </vt:variant>
      <vt:variant>
        <vt:i4>1835065</vt:i4>
      </vt:variant>
      <vt:variant>
        <vt:i4>128</vt:i4>
      </vt:variant>
      <vt:variant>
        <vt:i4>0</vt:i4>
      </vt:variant>
      <vt:variant>
        <vt:i4>5</vt:i4>
      </vt:variant>
      <vt:variant>
        <vt:lpwstr/>
      </vt:variant>
      <vt:variant>
        <vt:lpwstr>_Toc139964751</vt:lpwstr>
      </vt:variant>
      <vt:variant>
        <vt:i4>1835065</vt:i4>
      </vt:variant>
      <vt:variant>
        <vt:i4>122</vt:i4>
      </vt:variant>
      <vt:variant>
        <vt:i4>0</vt:i4>
      </vt:variant>
      <vt:variant>
        <vt:i4>5</vt:i4>
      </vt:variant>
      <vt:variant>
        <vt:lpwstr/>
      </vt:variant>
      <vt:variant>
        <vt:lpwstr>_Toc139964750</vt:lpwstr>
      </vt:variant>
      <vt:variant>
        <vt:i4>1900601</vt:i4>
      </vt:variant>
      <vt:variant>
        <vt:i4>116</vt:i4>
      </vt:variant>
      <vt:variant>
        <vt:i4>0</vt:i4>
      </vt:variant>
      <vt:variant>
        <vt:i4>5</vt:i4>
      </vt:variant>
      <vt:variant>
        <vt:lpwstr/>
      </vt:variant>
      <vt:variant>
        <vt:lpwstr>_Toc139964749</vt:lpwstr>
      </vt:variant>
      <vt:variant>
        <vt:i4>1900601</vt:i4>
      </vt:variant>
      <vt:variant>
        <vt:i4>110</vt:i4>
      </vt:variant>
      <vt:variant>
        <vt:i4>0</vt:i4>
      </vt:variant>
      <vt:variant>
        <vt:i4>5</vt:i4>
      </vt:variant>
      <vt:variant>
        <vt:lpwstr/>
      </vt:variant>
      <vt:variant>
        <vt:lpwstr>_Toc139964748</vt:lpwstr>
      </vt:variant>
      <vt:variant>
        <vt:i4>1900601</vt:i4>
      </vt:variant>
      <vt:variant>
        <vt:i4>104</vt:i4>
      </vt:variant>
      <vt:variant>
        <vt:i4>0</vt:i4>
      </vt:variant>
      <vt:variant>
        <vt:i4>5</vt:i4>
      </vt:variant>
      <vt:variant>
        <vt:lpwstr/>
      </vt:variant>
      <vt:variant>
        <vt:lpwstr>_Toc139964747</vt:lpwstr>
      </vt:variant>
      <vt:variant>
        <vt:i4>1900601</vt:i4>
      </vt:variant>
      <vt:variant>
        <vt:i4>98</vt:i4>
      </vt:variant>
      <vt:variant>
        <vt:i4>0</vt:i4>
      </vt:variant>
      <vt:variant>
        <vt:i4>5</vt:i4>
      </vt:variant>
      <vt:variant>
        <vt:lpwstr/>
      </vt:variant>
      <vt:variant>
        <vt:lpwstr>_Toc139964746</vt:lpwstr>
      </vt:variant>
      <vt:variant>
        <vt:i4>1900601</vt:i4>
      </vt:variant>
      <vt:variant>
        <vt:i4>92</vt:i4>
      </vt:variant>
      <vt:variant>
        <vt:i4>0</vt:i4>
      </vt:variant>
      <vt:variant>
        <vt:i4>5</vt:i4>
      </vt:variant>
      <vt:variant>
        <vt:lpwstr/>
      </vt:variant>
      <vt:variant>
        <vt:lpwstr>_Toc139964745</vt:lpwstr>
      </vt:variant>
      <vt:variant>
        <vt:i4>1900601</vt:i4>
      </vt:variant>
      <vt:variant>
        <vt:i4>86</vt:i4>
      </vt:variant>
      <vt:variant>
        <vt:i4>0</vt:i4>
      </vt:variant>
      <vt:variant>
        <vt:i4>5</vt:i4>
      </vt:variant>
      <vt:variant>
        <vt:lpwstr/>
      </vt:variant>
      <vt:variant>
        <vt:lpwstr>_Toc139964744</vt:lpwstr>
      </vt:variant>
      <vt:variant>
        <vt:i4>1900601</vt:i4>
      </vt:variant>
      <vt:variant>
        <vt:i4>80</vt:i4>
      </vt:variant>
      <vt:variant>
        <vt:i4>0</vt:i4>
      </vt:variant>
      <vt:variant>
        <vt:i4>5</vt:i4>
      </vt:variant>
      <vt:variant>
        <vt:lpwstr/>
      </vt:variant>
      <vt:variant>
        <vt:lpwstr>_Toc139964743</vt:lpwstr>
      </vt:variant>
      <vt:variant>
        <vt:i4>1900601</vt:i4>
      </vt:variant>
      <vt:variant>
        <vt:i4>74</vt:i4>
      </vt:variant>
      <vt:variant>
        <vt:i4>0</vt:i4>
      </vt:variant>
      <vt:variant>
        <vt:i4>5</vt:i4>
      </vt:variant>
      <vt:variant>
        <vt:lpwstr/>
      </vt:variant>
      <vt:variant>
        <vt:lpwstr>_Toc139964742</vt:lpwstr>
      </vt:variant>
      <vt:variant>
        <vt:i4>1900601</vt:i4>
      </vt:variant>
      <vt:variant>
        <vt:i4>68</vt:i4>
      </vt:variant>
      <vt:variant>
        <vt:i4>0</vt:i4>
      </vt:variant>
      <vt:variant>
        <vt:i4>5</vt:i4>
      </vt:variant>
      <vt:variant>
        <vt:lpwstr/>
      </vt:variant>
      <vt:variant>
        <vt:lpwstr>_Toc139964741</vt:lpwstr>
      </vt:variant>
      <vt:variant>
        <vt:i4>1900601</vt:i4>
      </vt:variant>
      <vt:variant>
        <vt:i4>62</vt:i4>
      </vt:variant>
      <vt:variant>
        <vt:i4>0</vt:i4>
      </vt:variant>
      <vt:variant>
        <vt:i4>5</vt:i4>
      </vt:variant>
      <vt:variant>
        <vt:lpwstr/>
      </vt:variant>
      <vt:variant>
        <vt:lpwstr>_Toc139964740</vt:lpwstr>
      </vt:variant>
      <vt:variant>
        <vt:i4>1703993</vt:i4>
      </vt:variant>
      <vt:variant>
        <vt:i4>56</vt:i4>
      </vt:variant>
      <vt:variant>
        <vt:i4>0</vt:i4>
      </vt:variant>
      <vt:variant>
        <vt:i4>5</vt:i4>
      </vt:variant>
      <vt:variant>
        <vt:lpwstr/>
      </vt:variant>
      <vt:variant>
        <vt:lpwstr>_Toc139964739</vt:lpwstr>
      </vt:variant>
      <vt:variant>
        <vt:i4>1703993</vt:i4>
      </vt:variant>
      <vt:variant>
        <vt:i4>50</vt:i4>
      </vt:variant>
      <vt:variant>
        <vt:i4>0</vt:i4>
      </vt:variant>
      <vt:variant>
        <vt:i4>5</vt:i4>
      </vt:variant>
      <vt:variant>
        <vt:lpwstr/>
      </vt:variant>
      <vt:variant>
        <vt:lpwstr>_Toc139964738</vt:lpwstr>
      </vt:variant>
      <vt:variant>
        <vt:i4>1703993</vt:i4>
      </vt:variant>
      <vt:variant>
        <vt:i4>44</vt:i4>
      </vt:variant>
      <vt:variant>
        <vt:i4>0</vt:i4>
      </vt:variant>
      <vt:variant>
        <vt:i4>5</vt:i4>
      </vt:variant>
      <vt:variant>
        <vt:lpwstr/>
      </vt:variant>
      <vt:variant>
        <vt:lpwstr>_Toc139964737</vt:lpwstr>
      </vt:variant>
      <vt:variant>
        <vt:i4>1703993</vt:i4>
      </vt:variant>
      <vt:variant>
        <vt:i4>38</vt:i4>
      </vt:variant>
      <vt:variant>
        <vt:i4>0</vt:i4>
      </vt:variant>
      <vt:variant>
        <vt:i4>5</vt:i4>
      </vt:variant>
      <vt:variant>
        <vt:lpwstr/>
      </vt:variant>
      <vt:variant>
        <vt:lpwstr>_Toc139964736</vt:lpwstr>
      </vt:variant>
      <vt:variant>
        <vt:i4>1703993</vt:i4>
      </vt:variant>
      <vt:variant>
        <vt:i4>32</vt:i4>
      </vt:variant>
      <vt:variant>
        <vt:i4>0</vt:i4>
      </vt:variant>
      <vt:variant>
        <vt:i4>5</vt:i4>
      </vt:variant>
      <vt:variant>
        <vt:lpwstr/>
      </vt:variant>
      <vt:variant>
        <vt:lpwstr>_Toc139964735</vt:lpwstr>
      </vt:variant>
      <vt:variant>
        <vt:i4>1703993</vt:i4>
      </vt:variant>
      <vt:variant>
        <vt:i4>26</vt:i4>
      </vt:variant>
      <vt:variant>
        <vt:i4>0</vt:i4>
      </vt:variant>
      <vt:variant>
        <vt:i4>5</vt:i4>
      </vt:variant>
      <vt:variant>
        <vt:lpwstr/>
      </vt:variant>
      <vt:variant>
        <vt:lpwstr>_Toc139964734</vt:lpwstr>
      </vt:variant>
      <vt:variant>
        <vt:i4>1703993</vt:i4>
      </vt:variant>
      <vt:variant>
        <vt:i4>20</vt:i4>
      </vt:variant>
      <vt:variant>
        <vt:i4>0</vt:i4>
      </vt:variant>
      <vt:variant>
        <vt:i4>5</vt:i4>
      </vt:variant>
      <vt:variant>
        <vt:lpwstr/>
      </vt:variant>
      <vt:variant>
        <vt:lpwstr>_Toc139964733</vt:lpwstr>
      </vt:variant>
      <vt:variant>
        <vt:i4>1703993</vt:i4>
      </vt:variant>
      <vt:variant>
        <vt:i4>14</vt:i4>
      </vt:variant>
      <vt:variant>
        <vt:i4>0</vt:i4>
      </vt:variant>
      <vt:variant>
        <vt:i4>5</vt:i4>
      </vt:variant>
      <vt:variant>
        <vt:lpwstr/>
      </vt:variant>
      <vt:variant>
        <vt:lpwstr>_Toc139964732</vt:lpwstr>
      </vt:variant>
      <vt:variant>
        <vt:i4>1703993</vt:i4>
      </vt:variant>
      <vt:variant>
        <vt:i4>8</vt:i4>
      </vt:variant>
      <vt:variant>
        <vt:i4>0</vt:i4>
      </vt:variant>
      <vt:variant>
        <vt:i4>5</vt:i4>
      </vt:variant>
      <vt:variant>
        <vt:lpwstr/>
      </vt:variant>
      <vt:variant>
        <vt:lpwstr>_Toc139964731</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655438</vt:i4>
      </vt:variant>
      <vt:variant>
        <vt:i4>3</vt:i4>
      </vt:variant>
      <vt:variant>
        <vt:i4>0</vt:i4>
      </vt:variant>
      <vt:variant>
        <vt:i4>5</vt:i4>
      </vt:variant>
      <vt:variant>
        <vt:lpwstr>https://www.acma.gov.au/publications/2020-03/report/future-delivery-radio</vt:lpwstr>
      </vt:variant>
      <vt:variant>
        <vt:lpwstr/>
      </vt:variant>
      <vt:variant>
        <vt:i4>5963889</vt:i4>
      </vt:variant>
      <vt:variant>
        <vt:i4>0</vt:i4>
      </vt:variant>
      <vt:variant>
        <vt:i4>0</vt:i4>
      </vt:variant>
      <vt:variant>
        <vt:i4>5</vt:i4>
      </vt:variant>
      <vt:variant>
        <vt:lpwstr>https://www.commsalliance.com.au/__data/assets/pdf_file/0009/86634/Comms-Alliance-Satellite-Industry-Spectrum-Strategy-2022.pdf</vt:lpwstr>
      </vt:variant>
      <vt:variant>
        <vt:lpwstr/>
      </vt:variant>
      <vt:variant>
        <vt:i4>2490397</vt:i4>
      </vt:variant>
      <vt:variant>
        <vt:i4>6</vt:i4>
      </vt:variant>
      <vt:variant>
        <vt:i4>0</vt:i4>
      </vt:variant>
      <vt:variant>
        <vt:i4>5</vt:i4>
      </vt:variant>
      <vt:variant>
        <vt:lpwstr>mailto:Alex.Kostic@acma.gov.au</vt:lpwstr>
      </vt:variant>
      <vt:variant>
        <vt:lpwstr/>
      </vt:variant>
      <vt:variant>
        <vt:i4>4980847</vt:i4>
      </vt:variant>
      <vt:variant>
        <vt:i4>3</vt:i4>
      </vt:variant>
      <vt:variant>
        <vt:i4>0</vt:i4>
      </vt:variant>
      <vt:variant>
        <vt:i4>5</vt:i4>
      </vt:variant>
      <vt:variant>
        <vt:lpwstr>mailto:Kelsey.OLeary@acma.gov.au</vt:lpwstr>
      </vt:variant>
      <vt:variant>
        <vt:lpwstr/>
      </vt:variant>
      <vt:variant>
        <vt:i4>5177449</vt:i4>
      </vt:variant>
      <vt:variant>
        <vt:i4>0</vt:i4>
      </vt:variant>
      <vt:variant>
        <vt:i4>0</vt:i4>
      </vt:variant>
      <vt:variant>
        <vt:i4>5</vt:i4>
      </vt:variant>
      <vt:variant>
        <vt:lpwstr>mailto:David.Goggin@acma.gov.au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2023-10-02T02:21:00Z</dcterms:created>
  <dcterms:modified xsi:type="dcterms:W3CDTF">2023-10-02T02:21:00Z</dcterms:modified>
  <cp:category/>
</cp:coreProperties>
</file>