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7D304" w14:textId="4BF8964F" w:rsidR="00F06E14" w:rsidRPr="00702EA1" w:rsidRDefault="006E23AD" w:rsidP="00A51D1A">
      <w:pPr>
        <w:pStyle w:val="Reporttitle"/>
      </w:pPr>
      <w:r>
        <w:t xml:space="preserve">Spectrum planning </w:t>
      </w:r>
      <w:proofErr w:type="gramStart"/>
      <w:r>
        <w:t>framework</w:t>
      </w:r>
      <w:proofErr w:type="gramEnd"/>
    </w:p>
    <w:p w14:paraId="5F0734F7" w14:textId="788D66B1" w:rsidR="00F06E14" w:rsidRPr="00702EA1" w:rsidRDefault="00795294" w:rsidP="00F06E14">
      <w:pPr>
        <w:pStyle w:val="Reportsubtitle"/>
      </w:pPr>
      <w:r>
        <w:t>Information paper</w:t>
      </w:r>
    </w:p>
    <w:p w14:paraId="3287D2E1" w14:textId="76994B32" w:rsidR="00C97736" w:rsidRPr="00702EA1" w:rsidRDefault="000700CA" w:rsidP="00EC2B68">
      <w:pPr>
        <w:pStyle w:val="Reportdate"/>
        <w:spacing w:after="720"/>
        <w:rPr>
          <w:rFonts w:cs="Arial"/>
        </w:rPr>
        <w:sectPr w:rsidR="00C97736" w:rsidRPr="00702EA1"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OCTOBER</w:t>
      </w:r>
      <w:r w:rsidR="00A24820">
        <w:t xml:space="preserve"> </w:t>
      </w:r>
      <w:r w:rsidR="00BD4421" w:rsidRPr="00702EA1">
        <w:t>20</w:t>
      </w:r>
      <w:r w:rsidR="000971BD" w:rsidRPr="00702EA1">
        <w:t>2</w:t>
      </w:r>
      <w:r>
        <w:t>3</w:t>
      </w:r>
    </w:p>
    <w:p w14:paraId="1FB1D1D7" w14:textId="77777777" w:rsidR="00284A74" w:rsidRPr="00702EA1" w:rsidRDefault="00284A74" w:rsidP="00284A74">
      <w:pPr>
        <w:pStyle w:val="ACMACorporateAddressHeader"/>
      </w:pPr>
      <w:r w:rsidRPr="00702EA1">
        <w:lastRenderedPageBreak/>
        <w:t>Canberra</w:t>
      </w:r>
    </w:p>
    <w:p w14:paraId="03CBDF41" w14:textId="77777777" w:rsidR="00284A74" w:rsidRPr="00702EA1" w:rsidRDefault="00284A74" w:rsidP="00284A74">
      <w:pPr>
        <w:pStyle w:val="ACMACorporateAddresses"/>
      </w:pPr>
      <w:r w:rsidRPr="00702EA1">
        <w:t xml:space="preserve">Red Building </w:t>
      </w:r>
      <w:r w:rsidRPr="00702EA1">
        <w:br/>
        <w:t>Benjamin Offices</w:t>
      </w:r>
      <w:r w:rsidRPr="00702EA1">
        <w:br/>
        <w:t xml:space="preserve">Chan Street </w:t>
      </w:r>
      <w:r w:rsidRPr="00702EA1">
        <w:br/>
        <w:t>Belconnen ACT</w:t>
      </w:r>
    </w:p>
    <w:p w14:paraId="3F40724B" w14:textId="77777777" w:rsidR="00284A74" w:rsidRPr="00702EA1" w:rsidRDefault="00284A74" w:rsidP="00284A74">
      <w:pPr>
        <w:pStyle w:val="ACMACorporateAddresses"/>
      </w:pPr>
      <w:r w:rsidRPr="00702EA1">
        <w:t>PO Box 78</w:t>
      </w:r>
      <w:r w:rsidRPr="00702EA1">
        <w:br/>
        <w:t>Belconnen ACT 2616</w:t>
      </w:r>
    </w:p>
    <w:p w14:paraId="266D6B22" w14:textId="77777777" w:rsidR="00284A74" w:rsidRPr="00702EA1" w:rsidRDefault="00284A74" w:rsidP="00284A74">
      <w:pPr>
        <w:pStyle w:val="ACMACorporateAddresses"/>
      </w:pPr>
      <w:r w:rsidRPr="00702EA1">
        <w:t>T</w:t>
      </w:r>
      <w:r w:rsidRPr="00702EA1">
        <w:tab/>
        <w:t>+61 2 6219 5555</w:t>
      </w:r>
      <w:r w:rsidRPr="00702EA1">
        <w:br/>
        <w:t>F</w:t>
      </w:r>
      <w:r w:rsidRPr="00702EA1">
        <w:tab/>
        <w:t>+61 2 6219 5353</w:t>
      </w:r>
    </w:p>
    <w:p w14:paraId="4EB3C08E" w14:textId="77777777" w:rsidR="00284A74" w:rsidRPr="00702EA1" w:rsidRDefault="00284A74" w:rsidP="00284A74">
      <w:pPr>
        <w:pStyle w:val="ACMACorporateAddressHeader"/>
      </w:pPr>
      <w:r w:rsidRPr="00702EA1">
        <w:t>Melbourne</w:t>
      </w:r>
    </w:p>
    <w:p w14:paraId="60EEF32E" w14:textId="77777777" w:rsidR="00284A74" w:rsidRPr="00702EA1" w:rsidRDefault="00284A74" w:rsidP="00284A74">
      <w:pPr>
        <w:pStyle w:val="ACMACorporateAddresses"/>
      </w:pPr>
      <w:r w:rsidRPr="00702EA1">
        <w:t xml:space="preserve">Level 32 </w:t>
      </w:r>
      <w:r w:rsidRPr="00702EA1">
        <w:br/>
        <w:t>Melbourne Central Tower</w:t>
      </w:r>
      <w:r w:rsidRPr="00702EA1">
        <w:br/>
        <w:t xml:space="preserve">360 Elizabeth Street </w:t>
      </w:r>
      <w:r w:rsidRPr="00702EA1">
        <w:br/>
        <w:t>Melbourne VIC</w:t>
      </w:r>
    </w:p>
    <w:p w14:paraId="49F4259E" w14:textId="77777777" w:rsidR="00284A74" w:rsidRPr="00702EA1" w:rsidRDefault="00284A74" w:rsidP="00284A74">
      <w:pPr>
        <w:pStyle w:val="ACMACorporateAddresses"/>
      </w:pPr>
      <w:r w:rsidRPr="00702EA1">
        <w:t>PO Box 13112</w:t>
      </w:r>
      <w:r w:rsidRPr="00702EA1">
        <w:br/>
        <w:t xml:space="preserve">Law Courts </w:t>
      </w:r>
      <w:r w:rsidRPr="00702EA1">
        <w:br/>
        <w:t>Melbourne VIC 8010</w:t>
      </w:r>
    </w:p>
    <w:p w14:paraId="36540C8B" w14:textId="77777777" w:rsidR="00284A74" w:rsidRPr="00702EA1" w:rsidRDefault="00284A74" w:rsidP="00284A74">
      <w:pPr>
        <w:pStyle w:val="ACMACorporateAddresses"/>
      </w:pPr>
      <w:r w:rsidRPr="00702EA1">
        <w:t>T</w:t>
      </w:r>
      <w:r w:rsidRPr="00702EA1">
        <w:tab/>
        <w:t>+61 3 9963 6800</w:t>
      </w:r>
      <w:r w:rsidRPr="00702EA1">
        <w:br/>
        <w:t>F</w:t>
      </w:r>
      <w:r w:rsidRPr="00702EA1">
        <w:tab/>
        <w:t>+61 3 9963 6899</w:t>
      </w:r>
    </w:p>
    <w:p w14:paraId="51720AC9" w14:textId="77777777" w:rsidR="00284A74" w:rsidRPr="00702EA1" w:rsidRDefault="00284A74" w:rsidP="00284A74">
      <w:pPr>
        <w:pStyle w:val="ACMACorporateAddressHeader"/>
      </w:pPr>
      <w:r w:rsidRPr="00702EA1">
        <w:t>Sydney</w:t>
      </w:r>
    </w:p>
    <w:p w14:paraId="1F149624" w14:textId="77777777" w:rsidR="00284A74" w:rsidRPr="00702EA1" w:rsidRDefault="00284A74" w:rsidP="00284A74">
      <w:pPr>
        <w:pStyle w:val="ACMACorporateAddresses"/>
      </w:pPr>
      <w:r w:rsidRPr="00702EA1">
        <w:t xml:space="preserve">Level 5 </w:t>
      </w:r>
      <w:r w:rsidRPr="00702EA1">
        <w:br/>
        <w:t>The Bay Centre</w:t>
      </w:r>
      <w:r w:rsidRPr="00702EA1">
        <w:br/>
        <w:t xml:space="preserve">65 Pirrama Road </w:t>
      </w:r>
      <w:r w:rsidRPr="00702EA1">
        <w:br/>
        <w:t>Pyrmont NSW</w:t>
      </w:r>
    </w:p>
    <w:p w14:paraId="73D0A3BD" w14:textId="77777777" w:rsidR="00284A74" w:rsidRPr="00702EA1" w:rsidRDefault="00284A74" w:rsidP="00284A74">
      <w:pPr>
        <w:pStyle w:val="ACMACorporateAddresses"/>
      </w:pPr>
      <w:r w:rsidRPr="00702EA1">
        <w:t>PO Box Q500</w:t>
      </w:r>
      <w:r w:rsidRPr="00702EA1">
        <w:br/>
        <w:t xml:space="preserve">Queen Victoria Building </w:t>
      </w:r>
      <w:r w:rsidRPr="00702EA1">
        <w:br/>
        <w:t>NSW 1230</w:t>
      </w:r>
    </w:p>
    <w:p w14:paraId="26268080" w14:textId="77777777" w:rsidR="00284A74" w:rsidRPr="00702EA1" w:rsidRDefault="00284A74" w:rsidP="00284A74">
      <w:pPr>
        <w:pStyle w:val="ACMACorporateAddresses"/>
      </w:pPr>
      <w:r w:rsidRPr="00702EA1">
        <w:t>T</w:t>
      </w:r>
      <w:r w:rsidRPr="00702EA1">
        <w:tab/>
        <w:t>+61 2 9334 7700</w:t>
      </w:r>
      <w:r w:rsidRPr="00702EA1">
        <w:br/>
        <w:t>F</w:t>
      </w:r>
      <w:r w:rsidRPr="00702EA1">
        <w:tab/>
        <w:t>+61 2 9334 7799</w:t>
      </w:r>
    </w:p>
    <w:p w14:paraId="2E1C6546" w14:textId="77777777" w:rsidR="00284A74" w:rsidRPr="00702EA1" w:rsidRDefault="00284A74" w:rsidP="00284A74">
      <w:pPr>
        <w:pStyle w:val="ACMACopyrightHeader"/>
      </w:pPr>
      <w:r w:rsidRPr="00702EA1">
        <w:t>Copyright notice</w:t>
      </w:r>
    </w:p>
    <w:p w14:paraId="1265FFCE" w14:textId="77777777" w:rsidR="00284A74" w:rsidRPr="00702EA1" w:rsidRDefault="00284A74" w:rsidP="00284A74">
      <w:pPr>
        <w:pStyle w:val="ACMACClogo"/>
      </w:pPr>
      <w:r w:rsidRPr="00702EA1">
        <w:rPr>
          <w:noProof/>
        </w:rPr>
        <w:drawing>
          <wp:inline distT="0" distB="0" distL="0" distR="0" wp14:anchorId="77DAB54B" wp14:editId="1C6A080B">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6E133F59" w14:textId="77777777" w:rsidR="00284A74" w:rsidRPr="00702EA1" w:rsidRDefault="005C6677" w:rsidP="00284A74">
      <w:pPr>
        <w:pStyle w:val="ACMACorporateAddresses"/>
        <w:rPr>
          <w:rStyle w:val="Hyperlink"/>
        </w:rPr>
      </w:pPr>
      <w:hyperlink r:id="rId13" w:history="1">
        <w:r w:rsidR="00284A74" w:rsidRPr="00702EA1">
          <w:rPr>
            <w:rStyle w:val="Hyperlink"/>
          </w:rPr>
          <w:t>https://creativecommons.org/licenses/by/4.0/</w:t>
        </w:r>
      </w:hyperlink>
    </w:p>
    <w:p w14:paraId="73723E67" w14:textId="77777777" w:rsidR="00284A74" w:rsidRPr="00702EA1" w:rsidRDefault="00284A74" w:rsidP="00284A74">
      <w:pPr>
        <w:pStyle w:val="ACMACorporateAddresses"/>
      </w:pPr>
      <w:r w:rsidRPr="00702EA1">
        <w:t xml:space="preserve">With the exception of coats of arms, logos, emblems, images, other third-party material or devices protected by a trademark, this content is made available under the terms of the Creative Commons Attribution 4.0 International (CC BY 4.0) licence. </w:t>
      </w:r>
    </w:p>
    <w:p w14:paraId="00D0E60A" w14:textId="2ABB275E" w:rsidR="00284A74" w:rsidRPr="00702EA1" w:rsidRDefault="00284A74" w:rsidP="00284A74">
      <w:pPr>
        <w:pStyle w:val="ACMACorporateAddresses"/>
      </w:pPr>
      <w:r w:rsidRPr="00702EA1">
        <w:t>We request attribution as © Commonwealth of Australia (Australian Communications and Media Authority) 202</w:t>
      </w:r>
      <w:r w:rsidR="00DB2A97">
        <w:t>2</w:t>
      </w:r>
      <w:r w:rsidRPr="00702EA1">
        <w:t>.</w:t>
      </w:r>
    </w:p>
    <w:p w14:paraId="6915C168" w14:textId="77777777" w:rsidR="00284A74" w:rsidRPr="00702EA1" w:rsidRDefault="00284A74" w:rsidP="00284A74">
      <w:pPr>
        <w:pStyle w:val="ACMACorporateAddresses"/>
      </w:pPr>
      <w:r w:rsidRPr="00702EA1">
        <w:t>All other rights are reserved.</w:t>
      </w:r>
    </w:p>
    <w:p w14:paraId="02A9A055" w14:textId="77777777" w:rsidR="00284A74" w:rsidRPr="00702EA1" w:rsidRDefault="00284A74" w:rsidP="00284A74">
      <w:pPr>
        <w:pStyle w:val="ACMACorporateAddresses"/>
      </w:pPr>
      <w:r w:rsidRPr="00702EA1">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0788AE3" w14:textId="77777777" w:rsidR="00284A74" w:rsidRPr="00702EA1" w:rsidRDefault="00284A74" w:rsidP="00284A74">
      <w:pPr>
        <w:pStyle w:val="ACMACorporateAddresses"/>
      </w:pPr>
      <w:r w:rsidRPr="00702EA1">
        <w:t>Written enquiries may be sent to:</w:t>
      </w:r>
    </w:p>
    <w:p w14:paraId="6B74EE2C" w14:textId="77777777" w:rsidR="00284A74" w:rsidRPr="00702EA1" w:rsidRDefault="00284A74" w:rsidP="00284A74">
      <w:pPr>
        <w:pStyle w:val="ACMACorporateAddresses"/>
        <w:rPr>
          <w:rStyle w:val="Hyperlink"/>
        </w:rPr>
      </w:pPr>
      <w:r w:rsidRPr="00702EA1">
        <w:t>Manager, Editorial Services</w:t>
      </w:r>
      <w:r w:rsidRPr="00702EA1">
        <w:br/>
        <w:t>PO Box 13112</w:t>
      </w:r>
      <w:r w:rsidRPr="00702EA1">
        <w:br/>
        <w:t>Law Courts</w:t>
      </w:r>
      <w:r w:rsidRPr="00702EA1">
        <w:br/>
        <w:t>Melbourne VIC 8010</w:t>
      </w:r>
      <w:r w:rsidRPr="00702EA1">
        <w:br/>
        <w:t xml:space="preserve">Email: </w:t>
      </w:r>
      <w:hyperlink r:id="rId14" w:history="1">
        <w:r w:rsidRPr="00702EA1">
          <w:rPr>
            <w:rStyle w:val="Hyperlink"/>
          </w:rPr>
          <w:t>info@acma.gov.au</w:t>
        </w:r>
      </w:hyperlink>
    </w:p>
    <w:p w14:paraId="5344A521" w14:textId="77777777" w:rsidR="009772AF" w:rsidRDefault="009772AF" w:rsidP="00D16FE3">
      <w:pPr>
        <w:pStyle w:val="ACMACorporateAddresses"/>
        <w:sectPr w:rsidR="009772AF">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49D3E5E5" w14:textId="0A13CB2F" w:rsidR="00066595" w:rsidRDefault="003C59EE">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\h \z \t "Exec summary heading,1" </w:instrText>
      </w:r>
      <w:r>
        <w:rPr>
          <w:rFonts w:cs="Arial"/>
          <w:b w:val="0"/>
        </w:rPr>
        <w:fldChar w:fldCharType="separate"/>
      </w:r>
      <w:hyperlink w:anchor="_Toc148084726" w:history="1">
        <w:r w:rsidR="00066595" w:rsidRPr="005815FC">
          <w:rPr>
            <w:rStyle w:val="Hyperlink"/>
          </w:rPr>
          <w:t>1.</w:t>
        </w:r>
        <w:r w:rsidR="00066595">
          <w:rPr>
            <w:rFonts w:asciiTheme="minorHAnsi" w:eastAsiaTheme="minorEastAsia" w:hAnsiTheme="minorHAnsi" w:cstheme="minorBidi"/>
            <w:b w:val="0"/>
            <w:spacing w:val="0"/>
            <w:sz w:val="22"/>
            <w:szCs w:val="22"/>
          </w:rPr>
          <w:tab/>
        </w:r>
        <w:r w:rsidR="00066595" w:rsidRPr="005815FC">
          <w:rPr>
            <w:rStyle w:val="Hyperlink"/>
          </w:rPr>
          <w:t>Introduction</w:t>
        </w:r>
        <w:r w:rsidR="00066595">
          <w:rPr>
            <w:webHidden/>
          </w:rPr>
          <w:tab/>
        </w:r>
        <w:r w:rsidR="00066595">
          <w:rPr>
            <w:webHidden/>
          </w:rPr>
          <w:fldChar w:fldCharType="begin"/>
        </w:r>
        <w:r w:rsidR="00066595">
          <w:rPr>
            <w:webHidden/>
          </w:rPr>
          <w:instrText xml:space="preserve"> PAGEREF _Toc148084726 \h </w:instrText>
        </w:r>
        <w:r w:rsidR="00066595">
          <w:rPr>
            <w:webHidden/>
          </w:rPr>
        </w:r>
        <w:r w:rsidR="00066595">
          <w:rPr>
            <w:webHidden/>
          </w:rPr>
          <w:fldChar w:fldCharType="separate"/>
        </w:r>
        <w:r w:rsidR="00066595">
          <w:rPr>
            <w:webHidden/>
          </w:rPr>
          <w:t>4</w:t>
        </w:r>
        <w:r w:rsidR="00066595">
          <w:rPr>
            <w:webHidden/>
          </w:rPr>
          <w:fldChar w:fldCharType="end"/>
        </w:r>
      </w:hyperlink>
    </w:p>
    <w:p w14:paraId="61274C4B" w14:textId="4081FAC8" w:rsidR="00066595" w:rsidRDefault="00066595">
      <w:pPr>
        <w:pStyle w:val="TOC2"/>
        <w:rPr>
          <w:rFonts w:asciiTheme="minorHAnsi" w:eastAsiaTheme="minorEastAsia" w:hAnsiTheme="minorHAnsi" w:cstheme="minorBidi"/>
          <w:spacing w:val="0"/>
          <w:sz w:val="22"/>
          <w:szCs w:val="22"/>
        </w:rPr>
      </w:pPr>
      <w:hyperlink w:anchor="_Toc148084727" w:history="1">
        <w:r w:rsidRPr="005815FC">
          <w:rPr>
            <w:rStyle w:val="Hyperlink"/>
          </w:rPr>
          <w:t>Purpose</w:t>
        </w:r>
        <w:r>
          <w:rPr>
            <w:rStyle w:val="Hyperlink"/>
          </w:rPr>
          <w:tab/>
        </w:r>
        <w:r>
          <w:rPr>
            <w:webHidden/>
          </w:rPr>
          <w:tab/>
        </w:r>
        <w:r>
          <w:rPr>
            <w:webHidden/>
          </w:rPr>
          <w:fldChar w:fldCharType="begin"/>
        </w:r>
        <w:r>
          <w:rPr>
            <w:webHidden/>
          </w:rPr>
          <w:instrText xml:space="preserve"> PAGEREF _Toc148084727 \h </w:instrText>
        </w:r>
        <w:r>
          <w:rPr>
            <w:webHidden/>
          </w:rPr>
        </w:r>
        <w:r>
          <w:rPr>
            <w:webHidden/>
          </w:rPr>
          <w:fldChar w:fldCharType="separate"/>
        </w:r>
        <w:r>
          <w:rPr>
            <w:webHidden/>
          </w:rPr>
          <w:t>4</w:t>
        </w:r>
        <w:r>
          <w:rPr>
            <w:webHidden/>
          </w:rPr>
          <w:fldChar w:fldCharType="end"/>
        </w:r>
      </w:hyperlink>
    </w:p>
    <w:p w14:paraId="3BA6CBBD" w14:textId="557E90A3" w:rsidR="00066595" w:rsidRDefault="00066595">
      <w:pPr>
        <w:pStyle w:val="TOC2"/>
        <w:rPr>
          <w:rFonts w:asciiTheme="minorHAnsi" w:eastAsiaTheme="minorEastAsia" w:hAnsiTheme="minorHAnsi" w:cstheme="minorBidi"/>
          <w:spacing w:val="0"/>
          <w:sz w:val="22"/>
          <w:szCs w:val="22"/>
        </w:rPr>
      </w:pPr>
      <w:hyperlink w:anchor="_Toc148084728" w:history="1">
        <w:r w:rsidRPr="005815FC">
          <w:rPr>
            <w:rStyle w:val="Hyperlink"/>
          </w:rPr>
          <w:t>Scope</w:t>
        </w:r>
        <w:r>
          <w:rPr>
            <w:webHidden/>
          </w:rPr>
          <w:tab/>
        </w:r>
        <w:r>
          <w:rPr>
            <w:webHidden/>
          </w:rPr>
          <w:tab/>
        </w:r>
        <w:r>
          <w:rPr>
            <w:webHidden/>
          </w:rPr>
          <w:fldChar w:fldCharType="begin"/>
        </w:r>
        <w:r>
          <w:rPr>
            <w:webHidden/>
          </w:rPr>
          <w:instrText xml:space="preserve"> PAGEREF _Toc148084728 \h </w:instrText>
        </w:r>
        <w:r>
          <w:rPr>
            <w:webHidden/>
          </w:rPr>
        </w:r>
        <w:r>
          <w:rPr>
            <w:webHidden/>
          </w:rPr>
          <w:fldChar w:fldCharType="separate"/>
        </w:r>
        <w:r>
          <w:rPr>
            <w:webHidden/>
          </w:rPr>
          <w:t>5</w:t>
        </w:r>
        <w:r>
          <w:rPr>
            <w:webHidden/>
          </w:rPr>
          <w:fldChar w:fldCharType="end"/>
        </w:r>
      </w:hyperlink>
    </w:p>
    <w:p w14:paraId="08E2DA1F" w14:textId="6EE4ADA2" w:rsidR="00066595" w:rsidRDefault="00066595">
      <w:pPr>
        <w:pStyle w:val="TOC2"/>
        <w:rPr>
          <w:rFonts w:asciiTheme="minorHAnsi" w:eastAsiaTheme="minorEastAsia" w:hAnsiTheme="minorHAnsi" w:cstheme="minorBidi"/>
          <w:spacing w:val="0"/>
          <w:sz w:val="22"/>
          <w:szCs w:val="22"/>
        </w:rPr>
      </w:pPr>
      <w:hyperlink w:anchor="_Toc148084729" w:history="1">
        <w:r w:rsidRPr="005815FC">
          <w:rPr>
            <w:rStyle w:val="Hyperlink"/>
          </w:rPr>
          <w:t>Structure</w:t>
        </w:r>
        <w:r>
          <w:rPr>
            <w:webHidden/>
          </w:rPr>
          <w:tab/>
        </w:r>
        <w:r>
          <w:rPr>
            <w:webHidden/>
          </w:rPr>
          <w:fldChar w:fldCharType="begin"/>
        </w:r>
        <w:r>
          <w:rPr>
            <w:webHidden/>
          </w:rPr>
          <w:instrText xml:space="preserve"> PAGEREF _Toc148084729 \h </w:instrText>
        </w:r>
        <w:r>
          <w:rPr>
            <w:webHidden/>
          </w:rPr>
        </w:r>
        <w:r>
          <w:rPr>
            <w:webHidden/>
          </w:rPr>
          <w:fldChar w:fldCharType="separate"/>
        </w:r>
        <w:r>
          <w:rPr>
            <w:webHidden/>
          </w:rPr>
          <w:t>5</w:t>
        </w:r>
        <w:r>
          <w:rPr>
            <w:webHidden/>
          </w:rPr>
          <w:fldChar w:fldCharType="end"/>
        </w:r>
      </w:hyperlink>
    </w:p>
    <w:p w14:paraId="01D67D2E" w14:textId="231ED68A" w:rsidR="00066595" w:rsidRDefault="00066595">
      <w:pPr>
        <w:pStyle w:val="TOC1"/>
        <w:rPr>
          <w:rFonts w:asciiTheme="minorHAnsi" w:eastAsiaTheme="minorEastAsia" w:hAnsiTheme="minorHAnsi" w:cstheme="minorBidi"/>
          <w:b w:val="0"/>
          <w:spacing w:val="0"/>
          <w:sz w:val="22"/>
          <w:szCs w:val="22"/>
        </w:rPr>
      </w:pPr>
      <w:hyperlink w:anchor="_Toc148084730" w:history="1">
        <w:r w:rsidRPr="005815FC">
          <w:rPr>
            <w:rStyle w:val="Hyperlink"/>
          </w:rPr>
          <w:t>2.</w:t>
        </w:r>
        <w:r>
          <w:rPr>
            <w:rFonts w:asciiTheme="minorHAnsi" w:eastAsiaTheme="minorEastAsia" w:hAnsiTheme="minorHAnsi" w:cstheme="minorBidi"/>
            <w:b w:val="0"/>
            <w:spacing w:val="0"/>
            <w:sz w:val="22"/>
            <w:szCs w:val="22"/>
          </w:rPr>
          <w:tab/>
        </w:r>
        <w:r w:rsidRPr="005815FC">
          <w:rPr>
            <w:rStyle w:val="Hyperlink"/>
          </w:rPr>
          <w:t>Spectrum planning overview</w:t>
        </w:r>
        <w:r>
          <w:rPr>
            <w:webHidden/>
          </w:rPr>
          <w:tab/>
        </w:r>
        <w:r>
          <w:rPr>
            <w:webHidden/>
          </w:rPr>
          <w:fldChar w:fldCharType="begin"/>
        </w:r>
        <w:r>
          <w:rPr>
            <w:webHidden/>
          </w:rPr>
          <w:instrText xml:space="preserve"> PAGEREF _Toc148084730 \h </w:instrText>
        </w:r>
        <w:r>
          <w:rPr>
            <w:webHidden/>
          </w:rPr>
        </w:r>
        <w:r>
          <w:rPr>
            <w:webHidden/>
          </w:rPr>
          <w:fldChar w:fldCharType="separate"/>
        </w:r>
        <w:r>
          <w:rPr>
            <w:webHidden/>
          </w:rPr>
          <w:t>6</w:t>
        </w:r>
        <w:r>
          <w:rPr>
            <w:webHidden/>
          </w:rPr>
          <w:fldChar w:fldCharType="end"/>
        </w:r>
      </w:hyperlink>
    </w:p>
    <w:p w14:paraId="1C8CFDBE" w14:textId="45CD2D55" w:rsidR="00066595" w:rsidRDefault="00066595">
      <w:pPr>
        <w:pStyle w:val="TOC2"/>
        <w:rPr>
          <w:rFonts w:asciiTheme="minorHAnsi" w:eastAsiaTheme="minorEastAsia" w:hAnsiTheme="minorHAnsi" w:cstheme="minorBidi"/>
          <w:spacing w:val="0"/>
          <w:sz w:val="22"/>
          <w:szCs w:val="22"/>
        </w:rPr>
      </w:pPr>
      <w:hyperlink w:anchor="_Toc148084731" w:history="1">
        <w:r w:rsidRPr="005815FC">
          <w:rPr>
            <w:rStyle w:val="Hyperlink"/>
          </w:rPr>
          <w:t>Spectrum planning</w:t>
        </w:r>
        <w:r>
          <w:rPr>
            <w:webHidden/>
          </w:rPr>
          <w:tab/>
        </w:r>
        <w:r>
          <w:rPr>
            <w:webHidden/>
          </w:rPr>
          <w:fldChar w:fldCharType="begin"/>
        </w:r>
        <w:r>
          <w:rPr>
            <w:webHidden/>
          </w:rPr>
          <w:instrText xml:space="preserve"> PAGEREF _Toc148084731 \h </w:instrText>
        </w:r>
        <w:r>
          <w:rPr>
            <w:webHidden/>
          </w:rPr>
        </w:r>
        <w:r>
          <w:rPr>
            <w:webHidden/>
          </w:rPr>
          <w:fldChar w:fldCharType="separate"/>
        </w:r>
        <w:r>
          <w:rPr>
            <w:webHidden/>
          </w:rPr>
          <w:t>6</w:t>
        </w:r>
        <w:r>
          <w:rPr>
            <w:webHidden/>
          </w:rPr>
          <w:fldChar w:fldCharType="end"/>
        </w:r>
      </w:hyperlink>
    </w:p>
    <w:p w14:paraId="67EF260F" w14:textId="398CAF10" w:rsidR="00066595" w:rsidRDefault="00066595">
      <w:pPr>
        <w:pStyle w:val="TOC2"/>
        <w:rPr>
          <w:rFonts w:asciiTheme="minorHAnsi" w:eastAsiaTheme="minorEastAsia" w:hAnsiTheme="minorHAnsi" w:cstheme="minorBidi"/>
          <w:spacing w:val="0"/>
          <w:sz w:val="22"/>
          <w:szCs w:val="22"/>
        </w:rPr>
      </w:pPr>
      <w:hyperlink w:anchor="_Toc148084732" w:history="1">
        <w:r w:rsidRPr="005815FC">
          <w:rPr>
            <w:rStyle w:val="Hyperlink"/>
          </w:rPr>
          <w:t>Environmental context</w:t>
        </w:r>
        <w:r>
          <w:rPr>
            <w:webHidden/>
          </w:rPr>
          <w:tab/>
        </w:r>
        <w:r>
          <w:rPr>
            <w:webHidden/>
          </w:rPr>
          <w:fldChar w:fldCharType="begin"/>
        </w:r>
        <w:r>
          <w:rPr>
            <w:webHidden/>
          </w:rPr>
          <w:instrText xml:space="preserve"> PAGEREF _Toc148084732 \h </w:instrText>
        </w:r>
        <w:r>
          <w:rPr>
            <w:webHidden/>
          </w:rPr>
        </w:r>
        <w:r>
          <w:rPr>
            <w:webHidden/>
          </w:rPr>
          <w:fldChar w:fldCharType="separate"/>
        </w:r>
        <w:r>
          <w:rPr>
            <w:webHidden/>
          </w:rPr>
          <w:t>7</w:t>
        </w:r>
        <w:r>
          <w:rPr>
            <w:webHidden/>
          </w:rPr>
          <w:fldChar w:fldCharType="end"/>
        </w:r>
      </w:hyperlink>
    </w:p>
    <w:p w14:paraId="5C93FB98" w14:textId="4348DC6B" w:rsidR="00066595" w:rsidRDefault="00066595">
      <w:pPr>
        <w:pStyle w:val="TOC1"/>
        <w:rPr>
          <w:rFonts w:asciiTheme="minorHAnsi" w:eastAsiaTheme="minorEastAsia" w:hAnsiTheme="minorHAnsi" w:cstheme="minorBidi"/>
          <w:b w:val="0"/>
          <w:spacing w:val="0"/>
          <w:sz w:val="22"/>
          <w:szCs w:val="22"/>
        </w:rPr>
      </w:pPr>
      <w:hyperlink w:anchor="_Toc148084733" w:history="1">
        <w:r w:rsidRPr="005815FC">
          <w:rPr>
            <w:rStyle w:val="Hyperlink"/>
          </w:rPr>
          <w:t>3.</w:t>
        </w:r>
        <w:r>
          <w:rPr>
            <w:rFonts w:asciiTheme="minorHAnsi" w:eastAsiaTheme="minorEastAsia" w:hAnsiTheme="minorHAnsi" w:cstheme="minorBidi"/>
            <w:b w:val="0"/>
            <w:spacing w:val="0"/>
            <w:sz w:val="22"/>
            <w:szCs w:val="22"/>
          </w:rPr>
          <w:tab/>
        </w:r>
        <w:r w:rsidRPr="005815FC">
          <w:rPr>
            <w:rStyle w:val="Hyperlink"/>
          </w:rPr>
          <w:t>Spectrum planning framework</w:t>
        </w:r>
        <w:r>
          <w:rPr>
            <w:webHidden/>
          </w:rPr>
          <w:tab/>
        </w:r>
        <w:r>
          <w:rPr>
            <w:webHidden/>
          </w:rPr>
          <w:fldChar w:fldCharType="begin"/>
        </w:r>
        <w:r>
          <w:rPr>
            <w:webHidden/>
          </w:rPr>
          <w:instrText xml:space="preserve"> PAGEREF _Toc148084733 \h </w:instrText>
        </w:r>
        <w:r>
          <w:rPr>
            <w:webHidden/>
          </w:rPr>
        </w:r>
        <w:r>
          <w:rPr>
            <w:webHidden/>
          </w:rPr>
          <w:fldChar w:fldCharType="separate"/>
        </w:r>
        <w:r>
          <w:rPr>
            <w:webHidden/>
          </w:rPr>
          <w:t>9</w:t>
        </w:r>
        <w:r>
          <w:rPr>
            <w:webHidden/>
          </w:rPr>
          <w:fldChar w:fldCharType="end"/>
        </w:r>
      </w:hyperlink>
    </w:p>
    <w:p w14:paraId="3427D082" w14:textId="727637D3" w:rsidR="00066595" w:rsidRDefault="00066595">
      <w:pPr>
        <w:pStyle w:val="TOC2"/>
        <w:rPr>
          <w:rFonts w:asciiTheme="minorHAnsi" w:eastAsiaTheme="minorEastAsia" w:hAnsiTheme="minorHAnsi" w:cstheme="minorBidi"/>
          <w:spacing w:val="0"/>
          <w:sz w:val="22"/>
          <w:szCs w:val="22"/>
        </w:rPr>
      </w:pPr>
      <w:hyperlink w:anchor="_Toc148084734" w:history="1">
        <w:r w:rsidRPr="005815FC">
          <w:rPr>
            <w:rStyle w:val="Hyperlink"/>
          </w:rPr>
          <w:t>Introduction</w:t>
        </w:r>
        <w:r>
          <w:rPr>
            <w:webHidden/>
          </w:rPr>
          <w:tab/>
        </w:r>
        <w:r>
          <w:rPr>
            <w:webHidden/>
          </w:rPr>
          <w:fldChar w:fldCharType="begin"/>
        </w:r>
        <w:r>
          <w:rPr>
            <w:webHidden/>
          </w:rPr>
          <w:instrText xml:space="preserve"> PAGEREF _Toc148084734 \h </w:instrText>
        </w:r>
        <w:r>
          <w:rPr>
            <w:webHidden/>
          </w:rPr>
        </w:r>
        <w:r>
          <w:rPr>
            <w:webHidden/>
          </w:rPr>
          <w:fldChar w:fldCharType="separate"/>
        </w:r>
        <w:r>
          <w:rPr>
            <w:webHidden/>
          </w:rPr>
          <w:t>9</w:t>
        </w:r>
        <w:r>
          <w:rPr>
            <w:webHidden/>
          </w:rPr>
          <w:fldChar w:fldCharType="end"/>
        </w:r>
      </w:hyperlink>
    </w:p>
    <w:p w14:paraId="7676E058" w14:textId="4290C5D7" w:rsidR="00066595" w:rsidRDefault="00066595">
      <w:pPr>
        <w:pStyle w:val="TOC2"/>
        <w:rPr>
          <w:rFonts w:asciiTheme="minorHAnsi" w:eastAsiaTheme="minorEastAsia" w:hAnsiTheme="minorHAnsi" w:cstheme="minorBidi"/>
          <w:spacing w:val="0"/>
          <w:sz w:val="22"/>
          <w:szCs w:val="22"/>
        </w:rPr>
      </w:pPr>
      <w:hyperlink w:anchor="_Toc148084735" w:history="1">
        <w:r w:rsidRPr="005815FC">
          <w:rPr>
            <w:rStyle w:val="Hyperlink"/>
          </w:rPr>
          <w:t>Framework overview</w:t>
        </w:r>
        <w:r>
          <w:rPr>
            <w:webHidden/>
          </w:rPr>
          <w:tab/>
        </w:r>
        <w:r>
          <w:rPr>
            <w:webHidden/>
          </w:rPr>
          <w:fldChar w:fldCharType="begin"/>
        </w:r>
        <w:r>
          <w:rPr>
            <w:webHidden/>
          </w:rPr>
          <w:instrText xml:space="preserve"> PAGEREF _Toc148084735 \h </w:instrText>
        </w:r>
        <w:r>
          <w:rPr>
            <w:webHidden/>
          </w:rPr>
        </w:r>
        <w:r>
          <w:rPr>
            <w:webHidden/>
          </w:rPr>
          <w:fldChar w:fldCharType="separate"/>
        </w:r>
        <w:r>
          <w:rPr>
            <w:webHidden/>
          </w:rPr>
          <w:t>11</w:t>
        </w:r>
        <w:r>
          <w:rPr>
            <w:webHidden/>
          </w:rPr>
          <w:fldChar w:fldCharType="end"/>
        </w:r>
      </w:hyperlink>
    </w:p>
    <w:p w14:paraId="498976FF" w14:textId="2629F3A4" w:rsidR="00066595" w:rsidRDefault="00066595">
      <w:pPr>
        <w:pStyle w:val="TOC2"/>
        <w:rPr>
          <w:rFonts w:asciiTheme="minorHAnsi" w:eastAsiaTheme="minorEastAsia" w:hAnsiTheme="minorHAnsi" w:cstheme="minorBidi"/>
          <w:spacing w:val="0"/>
          <w:sz w:val="22"/>
          <w:szCs w:val="22"/>
        </w:rPr>
      </w:pPr>
      <w:hyperlink w:anchor="_Toc148084736" w:history="1">
        <w:r w:rsidRPr="005815FC">
          <w:rPr>
            <w:rStyle w:val="Hyperlink"/>
          </w:rPr>
          <w:t>Framework elements</w:t>
        </w:r>
        <w:r>
          <w:rPr>
            <w:webHidden/>
          </w:rPr>
          <w:tab/>
        </w:r>
        <w:r>
          <w:rPr>
            <w:webHidden/>
          </w:rPr>
          <w:fldChar w:fldCharType="begin"/>
        </w:r>
        <w:r>
          <w:rPr>
            <w:webHidden/>
          </w:rPr>
          <w:instrText xml:space="preserve"> PAGEREF _Toc148084736 \h </w:instrText>
        </w:r>
        <w:r>
          <w:rPr>
            <w:webHidden/>
          </w:rPr>
        </w:r>
        <w:r>
          <w:rPr>
            <w:webHidden/>
          </w:rPr>
          <w:fldChar w:fldCharType="separate"/>
        </w:r>
        <w:r>
          <w:rPr>
            <w:webHidden/>
          </w:rPr>
          <w:t>13</w:t>
        </w:r>
        <w:r>
          <w:rPr>
            <w:webHidden/>
          </w:rPr>
          <w:fldChar w:fldCharType="end"/>
        </w:r>
      </w:hyperlink>
    </w:p>
    <w:p w14:paraId="39A6E52F" w14:textId="03408695" w:rsidR="00066595" w:rsidRDefault="00066595">
      <w:pPr>
        <w:pStyle w:val="TOC1"/>
        <w:rPr>
          <w:rFonts w:asciiTheme="minorHAnsi" w:eastAsiaTheme="minorEastAsia" w:hAnsiTheme="minorHAnsi" w:cstheme="minorBidi"/>
          <w:b w:val="0"/>
          <w:spacing w:val="0"/>
          <w:sz w:val="22"/>
          <w:szCs w:val="22"/>
        </w:rPr>
      </w:pPr>
      <w:hyperlink w:anchor="_Toc148084737" w:history="1">
        <w:r w:rsidRPr="005815FC">
          <w:rPr>
            <w:rStyle w:val="Hyperlink"/>
          </w:rPr>
          <w:t>4.</w:t>
        </w:r>
        <w:r>
          <w:rPr>
            <w:rFonts w:asciiTheme="minorHAnsi" w:eastAsiaTheme="minorEastAsia" w:hAnsiTheme="minorHAnsi" w:cstheme="minorBidi"/>
            <w:b w:val="0"/>
            <w:spacing w:val="0"/>
            <w:sz w:val="22"/>
            <w:szCs w:val="22"/>
          </w:rPr>
          <w:tab/>
        </w:r>
        <w:r w:rsidRPr="005815FC">
          <w:rPr>
            <w:rStyle w:val="Hyperlink"/>
          </w:rPr>
          <w:t>Case studies</w:t>
        </w:r>
        <w:r>
          <w:rPr>
            <w:webHidden/>
          </w:rPr>
          <w:tab/>
        </w:r>
        <w:r>
          <w:rPr>
            <w:webHidden/>
          </w:rPr>
          <w:fldChar w:fldCharType="begin"/>
        </w:r>
        <w:r>
          <w:rPr>
            <w:webHidden/>
          </w:rPr>
          <w:instrText xml:space="preserve"> PAGEREF _Toc148084737 \h </w:instrText>
        </w:r>
        <w:r>
          <w:rPr>
            <w:webHidden/>
          </w:rPr>
        </w:r>
        <w:r>
          <w:rPr>
            <w:webHidden/>
          </w:rPr>
          <w:fldChar w:fldCharType="separate"/>
        </w:r>
        <w:r>
          <w:rPr>
            <w:webHidden/>
          </w:rPr>
          <w:t>19</w:t>
        </w:r>
        <w:r>
          <w:rPr>
            <w:webHidden/>
          </w:rPr>
          <w:fldChar w:fldCharType="end"/>
        </w:r>
      </w:hyperlink>
    </w:p>
    <w:p w14:paraId="52B32007" w14:textId="042F820B" w:rsidR="00066595" w:rsidRDefault="00066595">
      <w:pPr>
        <w:pStyle w:val="TOC2"/>
        <w:rPr>
          <w:rFonts w:asciiTheme="minorHAnsi" w:eastAsiaTheme="minorEastAsia" w:hAnsiTheme="minorHAnsi" w:cstheme="minorBidi"/>
          <w:spacing w:val="0"/>
          <w:sz w:val="22"/>
          <w:szCs w:val="22"/>
        </w:rPr>
      </w:pPr>
      <w:hyperlink w:anchor="_Toc148084738" w:history="1">
        <w:r w:rsidRPr="005815FC">
          <w:rPr>
            <w:rStyle w:val="Hyperlink"/>
          </w:rPr>
          <w:t>Spectrum licensing</w:t>
        </w:r>
        <w:r>
          <w:rPr>
            <w:webHidden/>
          </w:rPr>
          <w:tab/>
        </w:r>
        <w:r>
          <w:rPr>
            <w:webHidden/>
          </w:rPr>
          <w:fldChar w:fldCharType="begin"/>
        </w:r>
        <w:r>
          <w:rPr>
            <w:webHidden/>
          </w:rPr>
          <w:instrText xml:space="preserve"> PAGEREF _Toc148084738 \h </w:instrText>
        </w:r>
        <w:r>
          <w:rPr>
            <w:webHidden/>
          </w:rPr>
        </w:r>
        <w:r>
          <w:rPr>
            <w:webHidden/>
          </w:rPr>
          <w:fldChar w:fldCharType="separate"/>
        </w:r>
        <w:r>
          <w:rPr>
            <w:webHidden/>
          </w:rPr>
          <w:t>19</w:t>
        </w:r>
        <w:r>
          <w:rPr>
            <w:webHidden/>
          </w:rPr>
          <w:fldChar w:fldCharType="end"/>
        </w:r>
      </w:hyperlink>
    </w:p>
    <w:p w14:paraId="3CE09239" w14:textId="4FE14C6A" w:rsidR="00066595" w:rsidRDefault="00066595">
      <w:pPr>
        <w:pStyle w:val="TOC2"/>
        <w:rPr>
          <w:rFonts w:asciiTheme="minorHAnsi" w:eastAsiaTheme="minorEastAsia" w:hAnsiTheme="minorHAnsi" w:cstheme="minorBidi"/>
          <w:spacing w:val="0"/>
          <w:sz w:val="22"/>
          <w:szCs w:val="22"/>
        </w:rPr>
      </w:pPr>
      <w:hyperlink w:anchor="_Toc148084739" w:history="1">
        <w:r w:rsidRPr="005815FC">
          <w:rPr>
            <w:rStyle w:val="Hyperlink"/>
          </w:rPr>
          <w:t>Broadcasting services</w:t>
        </w:r>
        <w:r>
          <w:rPr>
            <w:webHidden/>
          </w:rPr>
          <w:tab/>
        </w:r>
        <w:r>
          <w:rPr>
            <w:webHidden/>
          </w:rPr>
          <w:fldChar w:fldCharType="begin"/>
        </w:r>
        <w:r>
          <w:rPr>
            <w:webHidden/>
          </w:rPr>
          <w:instrText xml:space="preserve"> PAGEREF _Toc148084739 \h </w:instrText>
        </w:r>
        <w:r>
          <w:rPr>
            <w:webHidden/>
          </w:rPr>
        </w:r>
        <w:r>
          <w:rPr>
            <w:webHidden/>
          </w:rPr>
          <w:fldChar w:fldCharType="separate"/>
        </w:r>
        <w:r>
          <w:rPr>
            <w:webHidden/>
          </w:rPr>
          <w:t>26</w:t>
        </w:r>
        <w:r>
          <w:rPr>
            <w:webHidden/>
          </w:rPr>
          <w:fldChar w:fldCharType="end"/>
        </w:r>
      </w:hyperlink>
    </w:p>
    <w:p w14:paraId="0E565AD8" w14:textId="4E3C4743" w:rsidR="00066595" w:rsidRDefault="00066595">
      <w:pPr>
        <w:pStyle w:val="TOC2"/>
        <w:rPr>
          <w:rFonts w:asciiTheme="minorHAnsi" w:eastAsiaTheme="minorEastAsia" w:hAnsiTheme="minorHAnsi" w:cstheme="minorBidi"/>
          <w:spacing w:val="0"/>
          <w:sz w:val="22"/>
          <w:szCs w:val="22"/>
        </w:rPr>
      </w:pPr>
      <w:hyperlink w:anchor="_Toc148084740" w:history="1">
        <w:r w:rsidRPr="005815FC">
          <w:rPr>
            <w:rStyle w:val="Hyperlink"/>
          </w:rPr>
          <w:t>Space-based communications systems</w:t>
        </w:r>
        <w:r>
          <w:rPr>
            <w:webHidden/>
          </w:rPr>
          <w:tab/>
        </w:r>
        <w:r>
          <w:rPr>
            <w:webHidden/>
          </w:rPr>
          <w:fldChar w:fldCharType="begin"/>
        </w:r>
        <w:r>
          <w:rPr>
            <w:webHidden/>
          </w:rPr>
          <w:instrText xml:space="preserve"> PAGEREF _Toc148084740 \h </w:instrText>
        </w:r>
        <w:r>
          <w:rPr>
            <w:webHidden/>
          </w:rPr>
        </w:r>
        <w:r>
          <w:rPr>
            <w:webHidden/>
          </w:rPr>
          <w:fldChar w:fldCharType="separate"/>
        </w:r>
        <w:r>
          <w:rPr>
            <w:webHidden/>
          </w:rPr>
          <w:t>28</w:t>
        </w:r>
        <w:r>
          <w:rPr>
            <w:webHidden/>
          </w:rPr>
          <w:fldChar w:fldCharType="end"/>
        </w:r>
      </w:hyperlink>
    </w:p>
    <w:p w14:paraId="21E7C48C" w14:textId="4D471055" w:rsidR="00066595" w:rsidRDefault="00066595">
      <w:pPr>
        <w:pStyle w:val="TOC1"/>
        <w:rPr>
          <w:rFonts w:asciiTheme="minorHAnsi" w:eastAsiaTheme="minorEastAsia" w:hAnsiTheme="minorHAnsi" w:cstheme="minorBidi"/>
          <w:b w:val="0"/>
          <w:spacing w:val="0"/>
          <w:sz w:val="22"/>
          <w:szCs w:val="22"/>
        </w:rPr>
      </w:pPr>
      <w:hyperlink w:anchor="_Toc148084741" w:history="1">
        <w:r w:rsidRPr="005815FC">
          <w:rPr>
            <w:rStyle w:val="Hyperlink"/>
          </w:rPr>
          <w:t>Appendix A: Spectrum planning framework</w:t>
        </w:r>
        <w:r>
          <w:rPr>
            <w:webHidden/>
          </w:rPr>
          <w:tab/>
        </w:r>
        <w:r>
          <w:rPr>
            <w:webHidden/>
          </w:rPr>
          <w:fldChar w:fldCharType="begin"/>
        </w:r>
        <w:r>
          <w:rPr>
            <w:webHidden/>
          </w:rPr>
          <w:instrText xml:space="preserve"> PAGEREF _Toc148084741 \h </w:instrText>
        </w:r>
        <w:r>
          <w:rPr>
            <w:webHidden/>
          </w:rPr>
        </w:r>
        <w:r>
          <w:rPr>
            <w:webHidden/>
          </w:rPr>
          <w:fldChar w:fldCharType="separate"/>
        </w:r>
        <w:r>
          <w:rPr>
            <w:webHidden/>
          </w:rPr>
          <w:t>32</w:t>
        </w:r>
        <w:r>
          <w:rPr>
            <w:webHidden/>
          </w:rPr>
          <w:fldChar w:fldCharType="end"/>
        </w:r>
      </w:hyperlink>
    </w:p>
    <w:p w14:paraId="536BEB8D" w14:textId="1FCAC205" w:rsidR="00066595" w:rsidRDefault="00066595">
      <w:pPr>
        <w:pStyle w:val="TOC1"/>
        <w:rPr>
          <w:rFonts w:asciiTheme="minorHAnsi" w:eastAsiaTheme="minorEastAsia" w:hAnsiTheme="minorHAnsi" w:cstheme="minorBidi"/>
          <w:b w:val="0"/>
          <w:spacing w:val="0"/>
          <w:sz w:val="22"/>
          <w:szCs w:val="22"/>
        </w:rPr>
      </w:pPr>
      <w:hyperlink w:anchor="_Toc148084742" w:history="1">
        <w:r w:rsidRPr="005815FC">
          <w:rPr>
            <w:rStyle w:val="Hyperlink"/>
          </w:rPr>
          <w:t>Appendix B: Framework elements</w:t>
        </w:r>
        <w:r>
          <w:rPr>
            <w:webHidden/>
          </w:rPr>
          <w:tab/>
        </w:r>
        <w:r>
          <w:rPr>
            <w:webHidden/>
          </w:rPr>
          <w:fldChar w:fldCharType="begin"/>
        </w:r>
        <w:r>
          <w:rPr>
            <w:webHidden/>
          </w:rPr>
          <w:instrText xml:space="preserve"> PAGEREF _Toc148084742 \h </w:instrText>
        </w:r>
        <w:r>
          <w:rPr>
            <w:webHidden/>
          </w:rPr>
        </w:r>
        <w:r>
          <w:rPr>
            <w:webHidden/>
          </w:rPr>
          <w:fldChar w:fldCharType="separate"/>
        </w:r>
        <w:r>
          <w:rPr>
            <w:webHidden/>
          </w:rPr>
          <w:t>33</w:t>
        </w:r>
        <w:r>
          <w:rPr>
            <w:webHidden/>
          </w:rPr>
          <w:fldChar w:fldCharType="end"/>
        </w:r>
      </w:hyperlink>
    </w:p>
    <w:p w14:paraId="3BC5E427" w14:textId="6E385F01" w:rsidR="00071508" w:rsidRDefault="003C59EE">
      <w:pPr>
        <w:rPr>
          <w:rFonts w:cs="Arial"/>
          <w:b/>
          <w:noProof/>
          <w:spacing w:val="-14"/>
          <w:sz w:val="28"/>
        </w:rPr>
      </w:pPr>
      <w:r>
        <w:rPr>
          <w:rFonts w:cs="Arial"/>
          <w:b/>
          <w:noProof/>
          <w:spacing w:val="-14"/>
          <w:sz w:val="28"/>
        </w:rPr>
        <w:fldChar w:fldCharType="end"/>
      </w:r>
      <w:r w:rsidR="00071508">
        <w:rPr>
          <w:rFonts w:cs="Arial"/>
          <w:b/>
          <w:noProof/>
          <w:spacing w:val="-14"/>
          <w:sz w:val="28"/>
        </w:rPr>
        <w:t>Amendment history</w:t>
      </w:r>
    </w:p>
    <w:tbl>
      <w:tblPr>
        <w:tblStyle w:val="ACMAtablestyle"/>
        <w:tblW w:w="8075" w:type="dxa"/>
        <w:tblLayout w:type="fixed"/>
        <w:tblLook w:val="01E0" w:firstRow="1" w:lastRow="1" w:firstColumn="1" w:lastColumn="1" w:noHBand="0" w:noVBand="0"/>
        <w:tblCaption w:val="Table title to go here"/>
        <w:tblDescription w:val="Table description to go here"/>
      </w:tblPr>
      <w:tblGrid>
        <w:gridCol w:w="1838"/>
        <w:gridCol w:w="6237"/>
      </w:tblGrid>
      <w:tr w:rsidR="00071508" w:rsidRPr="00A17B1B" w14:paraId="0831F14D" w14:textId="77777777" w:rsidTr="00071508">
        <w:trPr>
          <w:cnfStyle w:val="100000000000" w:firstRow="1" w:lastRow="0" w:firstColumn="0" w:lastColumn="0" w:oddVBand="0" w:evenVBand="0" w:oddHBand="0" w:evenHBand="0" w:firstRowFirstColumn="0" w:firstRowLastColumn="0" w:lastRowFirstColumn="0" w:lastRowLastColumn="0"/>
        </w:trPr>
        <w:tc>
          <w:tcPr>
            <w:tcW w:w="1838" w:type="dxa"/>
          </w:tcPr>
          <w:p w14:paraId="3C3617DB" w14:textId="0DAC13C4" w:rsidR="00071508" w:rsidRPr="00A17B1B" w:rsidRDefault="00071508" w:rsidP="00B0723B">
            <w:pPr>
              <w:pStyle w:val="Tableheaderrow"/>
              <w:keepNext/>
              <w:keepLines/>
            </w:pPr>
            <w:r>
              <w:t>Date</w:t>
            </w:r>
          </w:p>
        </w:tc>
        <w:tc>
          <w:tcPr>
            <w:tcW w:w="6237" w:type="dxa"/>
          </w:tcPr>
          <w:p w14:paraId="023DF877" w14:textId="7D77E12F" w:rsidR="00071508" w:rsidRPr="00A17B1B" w:rsidRDefault="00071508" w:rsidP="00B0723B">
            <w:pPr>
              <w:pStyle w:val="Tableheaderrow"/>
              <w:keepNext/>
              <w:keepLines/>
            </w:pPr>
            <w:r>
              <w:t>Comments</w:t>
            </w:r>
          </w:p>
        </w:tc>
      </w:tr>
      <w:tr w:rsidR="00071508" w:rsidRPr="00A17B1B" w14:paraId="6B8319B9" w14:textId="77777777" w:rsidTr="00071508">
        <w:trPr>
          <w:cnfStyle w:val="000000100000" w:firstRow="0" w:lastRow="0" w:firstColumn="0" w:lastColumn="0" w:oddVBand="0" w:evenVBand="0" w:oddHBand="1" w:evenHBand="0" w:firstRowFirstColumn="0" w:firstRowLastColumn="0" w:lastRowFirstColumn="0" w:lastRowLastColumn="0"/>
        </w:trPr>
        <w:tc>
          <w:tcPr>
            <w:tcW w:w="1838" w:type="dxa"/>
          </w:tcPr>
          <w:p w14:paraId="7F02DCE1" w14:textId="1908617A" w:rsidR="00071508" w:rsidRPr="00A17B1B" w:rsidRDefault="00071508" w:rsidP="00B0723B">
            <w:pPr>
              <w:pStyle w:val="TableBody"/>
              <w:keepNext/>
              <w:keepLines/>
            </w:pPr>
            <w:r>
              <w:t>August 2022</w:t>
            </w:r>
          </w:p>
        </w:tc>
        <w:tc>
          <w:tcPr>
            <w:tcW w:w="6237" w:type="dxa"/>
          </w:tcPr>
          <w:p w14:paraId="2BE08FA3" w14:textId="31EBA23C" w:rsidR="00071508" w:rsidRPr="00A17B1B" w:rsidRDefault="00071508" w:rsidP="00B0723B">
            <w:pPr>
              <w:pStyle w:val="TableBody"/>
              <w:keepNext/>
              <w:keepLines/>
            </w:pPr>
            <w:r>
              <w:t>Initial release</w:t>
            </w:r>
          </w:p>
        </w:tc>
      </w:tr>
      <w:tr w:rsidR="00071508" w:rsidRPr="00A17B1B" w14:paraId="557ADAD0" w14:textId="77777777" w:rsidTr="00071508">
        <w:trPr>
          <w:cnfStyle w:val="000000010000" w:firstRow="0" w:lastRow="0" w:firstColumn="0" w:lastColumn="0" w:oddVBand="0" w:evenVBand="0" w:oddHBand="0" w:evenHBand="1" w:firstRowFirstColumn="0" w:firstRowLastColumn="0" w:lastRowFirstColumn="0" w:lastRowLastColumn="0"/>
        </w:trPr>
        <w:tc>
          <w:tcPr>
            <w:tcW w:w="1838" w:type="dxa"/>
          </w:tcPr>
          <w:p w14:paraId="1F7ED05C" w14:textId="5D4B0D0A" w:rsidR="00071508" w:rsidRPr="00A17B1B" w:rsidRDefault="00071508" w:rsidP="00B0723B">
            <w:pPr>
              <w:pStyle w:val="TableBody"/>
              <w:keepNext/>
              <w:keepLines/>
            </w:pPr>
            <w:r>
              <w:t>October 2023</w:t>
            </w:r>
          </w:p>
        </w:tc>
        <w:tc>
          <w:tcPr>
            <w:tcW w:w="6237" w:type="dxa"/>
          </w:tcPr>
          <w:p w14:paraId="5F0C2087" w14:textId="3BC8C299" w:rsidR="00071508" w:rsidRPr="00A17B1B" w:rsidRDefault="00570A9A" w:rsidP="00B0723B">
            <w:pPr>
              <w:pStyle w:val="TableBody"/>
              <w:keepNext/>
              <w:keepLines/>
            </w:pPr>
            <w:r>
              <w:t>U</w:t>
            </w:r>
            <w:r w:rsidR="00071508">
              <w:t>pdates to hyperlinks</w:t>
            </w:r>
            <w:r w:rsidR="004B332B">
              <w:t xml:space="preserve">; changing equipment standards to </w:t>
            </w:r>
            <w:r w:rsidR="00066595">
              <w:br/>
            </w:r>
            <w:r w:rsidR="004B332B">
              <w:t xml:space="preserve">equipment rules; </w:t>
            </w:r>
            <w:r w:rsidR="004E1039">
              <w:t xml:space="preserve">changing OBPR to OIA; </w:t>
            </w:r>
            <w:r w:rsidR="004B332B">
              <w:t xml:space="preserve">minor updates to </w:t>
            </w:r>
            <w:r w:rsidR="00066595">
              <w:br/>
            </w:r>
            <w:r w:rsidR="004B332B">
              <w:t xml:space="preserve">spectrum re-allocation declaration and </w:t>
            </w:r>
            <w:r w:rsidR="00066595">
              <w:t>m</w:t>
            </w:r>
            <w:r w:rsidR="004B332B">
              <w:t>arketing plan text</w:t>
            </w:r>
            <w:r>
              <w:t>.</w:t>
            </w:r>
          </w:p>
        </w:tc>
      </w:tr>
    </w:tbl>
    <w:p w14:paraId="078C4A62" w14:textId="31CE7D64" w:rsidR="00071508" w:rsidRDefault="00071508" w:rsidP="00071508">
      <w:pPr>
        <w:pStyle w:val="Paragraph-nonumber"/>
        <w:rPr>
          <w:noProof/>
        </w:rPr>
        <w:sectPr w:rsidR="00071508"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p>
    <w:p w14:paraId="7A8DB813" w14:textId="669AE3A5" w:rsidR="009D6C71" w:rsidRPr="00702EA1" w:rsidRDefault="00795294" w:rsidP="009E1FD9">
      <w:pPr>
        <w:pStyle w:val="Heading1"/>
      </w:pPr>
      <w:bookmarkStart w:id="0" w:name="_Toc148084726"/>
      <w:r>
        <w:lastRenderedPageBreak/>
        <w:t>Introduction</w:t>
      </w:r>
      <w:bookmarkEnd w:id="0"/>
    </w:p>
    <w:p w14:paraId="266E88A1" w14:textId="5C53DA70" w:rsidR="004C7EE1" w:rsidRDefault="004C7EE1" w:rsidP="004C7EE1">
      <w:pPr>
        <w:pStyle w:val="Numberedparagraph"/>
      </w:pPr>
      <w:r>
        <w:t>Spectrum management establishes a regulatory framework for the use of the radiofrequency spectrum resource</w:t>
      </w:r>
      <w:r w:rsidR="00B72862">
        <w:t>.</w:t>
      </w:r>
      <w:r>
        <w:t xml:space="preserve"> In Australia, the primary objective </w:t>
      </w:r>
      <w:r w:rsidR="00B72862">
        <w:t xml:space="preserve">for spectrum management </w:t>
      </w:r>
      <w:r w:rsidR="00B3236B">
        <w:t xml:space="preserve">is </w:t>
      </w:r>
      <w:r>
        <w:t>to promote the long-term public interest derived from the use of the spectrum</w:t>
      </w:r>
      <w:r w:rsidR="00CA194B">
        <w:t>.</w:t>
      </w:r>
      <w:r w:rsidR="001B6850">
        <w:rPr>
          <w:rStyle w:val="FootnoteReference"/>
        </w:rPr>
        <w:footnoteReference w:id="2"/>
      </w:r>
      <w:r>
        <w:t xml:space="preserve"> The resulting spectrum management </w:t>
      </w:r>
      <w:r w:rsidR="00A2014B">
        <w:t xml:space="preserve">system </w:t>
      </w:r>
      <w:r>
        <w:t xml:space="preserve">comprises planning, licensing and allocation, </w:t>
      </w:r>
      <w:r w:rsidR="00CA194B">
        <w:t xml:space="preserve">and </w:t>
      </w:r>
      <w:r>
        <w:t>compliance and enforcement</w:t>
      </w:r>
      <w:r w:rsidR="00B72862">
        <w:t xml:space="preserve"> activities supported by </w:t>
      </w:r>
      <w:r w:rsidR="00B3236B">
        <w:t xml:space="preserve">regulatory </w:t>
      </w:r>
      <w:r w:rsidR="00B72862">
        <w:t xml:space="preserve">decision-making </w:t>
      </w:r>
      <w:r w:rsidR="00A2014B">
        <w:t>frameworks</w:t>
      </w:r>
      <w:r>
        <w:t xml:space="preserve">. </w:t>
      </w:r>
    </w:p>
    <w:p w14:paraId="1635EE22" w14:textId="7E3CB3AD" w:rsidR="00AE7A74" w:rsidRPr="003A1848" w:rsidRDefault="00AE7A74" w:rsidP="00AE7A74">
      <w:pPr>
        <w:pStyle w:val="Numberedparagraph"/>
      </w:pPr>
      <w:r>
        <w:t xml:space="preserve">Spectrum planning is the aspect of spectrum management that determines </w:t>
      </w:r>
      <w:r w:rsidR="00B72862">
        <w:t xml:space="preserve">the </w:t>
      </w:r>
      <w:r>
        <w:t>general service and application</w:t>
      </w:r>
      <w:r w:rsidR="00B3236B">
        <w:t>-</w:t>
      </w:r>
      <w:r>
        <w:t xml:space="preserve">level </w:t>
      </w:r>
      <w:r w:rsidRPr="003A1848">
        <w:t>uses</w:t>
      </w:r>
      <w:r w:rsidRPr="00ED44F1">
        <w:t xml:space="preserve"> </w:t>
      </w:r>
      <w:r w:rsidRPr="003A1848">
        <w:t>of the spectrum</w:t>
      </w:r>
      <w:r>
        <w:t xml:space="preserve">. </w:t>
      </w:r>
      <w:r w:rsidR="00CA194B">
        <w:t>It</w:t>
      </w:r>
      <w:r>
        <w:t xml:space="preserve"> defines</w:t>
      </w:r>
      <w:r w:rsidRPr="003A1848">
        <w:t xml:space="preserve"> the technical and operational rules for issuing licences to specific spectrum users</w:t>
      </w:r>
      <w:r>
        <w:t xml:space="preserve"> and for licensees to utilise the spectrum</w:t>
      </w:r>
      <w:r w:rsidRPr="003A1848">
        <w:t xml:space="preserve">. The resulting regulatory framework establishes the coexistence arrangements </w:t>
      </w:r>
      <w:r w:rsidR="00EC32DE">
        <w:t>that</w:t>
      </w:r>
      <w:r>
        <w:t xml:space="preserve"> manage interference </w:t>
      </w:r>
      <w:r w:rsidRPr="003A1848">
        <w:t xml:space="preserve">between spectrum uses and users. </w:t>
      </w:r>
      <w:r>
        <w:t xml:space="preserve">It also heavily influences the identification of the licensing mechanism(s) that best meet the identified spectrum planning outcomes. </w:t>
      </w:r>
      <w:r w:rsidRPr="003A1848">
        <w:t xml:space="preserve"> </w:t>
      </w:r>
    </w:p>
    <w:p w14:paraId="27E31C76" w14:textId="333688B9" w:rsidR="00EC32DE" w:rsidRDefault="00A76F21" w:rsidP="00EC32DE">
      <w:pPr>
        <w:pStyle w:val="Numberedparagraph"/>
      </w:pPr>
      <w:r>
        <w:t xml:space="preserve">In Australia, the </w:t>
      </w:r>
      <w:r w:rsidR="006E23AD">
        <w:t>spectrum planning framework</w:t>
      </w:r>
      <w:r>
        <w:t xml:space="preserve"> is </w:t>
      </w:r>
      <w:r w:rsidR="00BB47DA">
        <w:t>designed</w:t>
      </w:r>
      <w:r w:rsidR="00EC32DE">
        <w:t xml:space="preserve"> by the Australian </w:t>
      </w:r>
      <w:r w:rsidR="002479B9">
        <w:t>Communications</w:t>
      </w:r>
      <w:r w:rsidR="00EC32DE">
        <w:t xml:space="preserve"> and Media </w:t>
      </w:r>
      <w:r w:rsidR="002479B9">
        <w:t>A</w:t>
      </w:r>
      <w:r w:rsidR="00EC32DE">
        <w:t xml:space="preserve">uthority (ACMA) consistent with its </w:t>
      </w:r>
      <w:r w:rsidR="002479B9">
        <w:t xml:space="preserve">spectrum </w:t>
      </w:r>
      <w:r w:rsidR="00EC32DE">
        <w:t>management functions</w:t>
      </w:r>
      <w:r w:rsidR="00827A1B">
        <w:t>.</w:t>
      </w:r>
      <w:r w:rsidR="002479B9">
        <w:rPr>
          <w:rStyle w:val="FootnoteReference"/>
        </w:rPr>
        <w:footnoteReference w:id="3"/>
      </w:r>
      <w:r w:rsidR="00E313A5">
        <w:t xml:space="preserve"> These functions are underpinned by </w:t>
      </w:r>
      <w:r w:rsidR="00274F20" w:rsidRPr="00274F20">
        <w:t>the legislati</w:t>
      </w:r>
      <w:r w:rsidR="004C7EE1">
        <w:t xml:space="preserve">ve requirements </w:t>
      </w:r>
      <w:r w:rsidR="00274F20" w:rsidRPr="00274F20">
        <w:t xml:space="preserve">detailed in the </w:t>
      </w:r>
      <w:hyperlink r:id="rId24" w:history="1">
        <w:r w:rsidR="00274F20" w:rsidRPr="00032E29">
          <w:rPr>
            <w:rStyle w:val="Hyperlink"/>
            <w:i/>
            <w:iCs/>
          </w:rPr>
          <w:t>Radiocommunications Act 1992</w:t>
        </w:r>
      </w:hyperlink>
      <w:r w:rsidR="00274F20" w:rsidRPr="00274F20">
        <w:t xml:space="preserve"> (the </w:t>
      </w:r>
      <w:r w:rsidR="00602361">
        <w:t>R</w:t>
      </w:r>
      <w:r w:rsidR="008C48D6">
        <w:t xml:space="preserve">adiocommunications </w:t>
      </w:r>
      <w:r w:rsidR="00274F20" w:rsidRPr="00274F20">
        <w:t>Act)</w:t>
      </w:r>
      <w:r w:rsidR="008C48D6">
        <w:t xml:space="preserve">, </w:t>
      </w:r>
      <w:r w:rsidR="004C7EE1">
        <w:t xml:space="preserve">the </w:t>
      </w:r>
      <w:hyperlink r:id="rId25" w:history="1">
        <w:r w:rsidR="004C7EE1" w:rsidRPr="00032E29">
          <w:rPr>
            <w:rStyle w:val="Hyperlink"/>
            <w:i/>
            <w:iCs/>
          </w:rPr>
          <w:t>Broadcasting Services Act 1992</w:t>
        </w:r>
      </w:hyperlink>
      <w:r w:rsidR="004C7EE1">
        <w:t xml:space="preserve"> (the BSA), </w:t>
      </w:r>
      <w:r w:rsidR="00EC32DE">
        <w:t>relevant government policy</w:t>
      </w:r>
      <w:r w:rsidR="00EC32DE" w:rsidRPr="00274F20">
        <w:t xml:space="preserve"> </w:t>
      </w:r>
      <w:r w:rsidR="00EC32DE">
        <w:t xml:space="preserve">and </w:t>
      </w:r>
      <w:r w:rsidR="004C7EE1" w:rsidRPr="00274F20">
        <w:t xml:space="preserve">administrative policy </w:t>
      </w:r>
      <w:r w:rsidR="004C7EE1">
        <w:t xml:space="preserve">developed </w:t>
      </w:r>
      <w:r w:rsidR="004C7EE1" w:rsidRPr="00274F20">
        <w:t>by the ACMA</w:t>
      </w:r>
      <w:r w:rsidR="002479B9">
        <w:t>.</w:t>
      </w:r>
      <w:r w:rsidR="004C7EE1" w:rsidRPr="00602361">
        <w:t xml:space="preserve"> </w:t>
      </w:r>
      <w:r w:rsidR="00CF1711">
        <w:t>It also ha</w:t>
      </w:r>
      <w:r w:rsidR="00CF1711" w:rsidRPr="00E313A5">
        <w:t>s regard to</w:t>
      </w:r>
      <w:r w:rsidR="00CF1711">
        <w:t xml:space="preserve"> the International Telecommunication Union (ITU) Radio Regulations. </w:t>
      </w:r>
    </w:p>
    <w:p w14:paraId="7071743D" w14:textId="654B51A8" w:rsidR="00A76F21" w:rsidRDefault="00EC32DE" w:rsidP="00EC32DE">
      <w:pPr>
        <w:pStyle w:val="Numberedparagraph"/>
      </w:pPr>
      <w:r>
        <w:t xml:space="preserve">The spectrum </w:t>
      </w:r>
      <w:r w:rsidRPr="00274F20">
        <w:t xml:space="preserve">planning framework is </w:t>
      </w:r>
      <w:r>
        <w:t>expressed through a combination of legislative instruments and administrative policy documents.</w:t>
      </w:r>
      <w:r w:rsidRPr="00EC32DE">
        <w:t xml:space="preserve"> </w:t>
      </w:r>
      <w:r>
        <w:t>The framework has complex relationships between various legislative</w:t>
      </w:r>
      <w:r w:rsidRPr="00274F20">
        <w:t xml:space="preserve"> and </w:t>
      </w:r>
      <w:r>
        <w:t>administrative policy documents and</w:t>
      </w:r>
      <w:r w:rsidRPr="00274F20">
        <w:t xml:space="preserve"> </w:t>
      </w:r>
      <w:r>
        <w:t>includes both technical and non-technical content</w:t>
      </w:r>
      <w:r w:rsidRPr="00274F20">
        <w:t>.</w:t>
      </w:r>
    </w:p>
    <w:p w14:paraId="6A7CBDB1" w14:textId="4AE6B9B7" w:rsidR="006B52DE" w:rsidRPr="00702EA1" w:rsidRDefault="00795294" w:rsidP="00C82940">
      <w:pPr>
        <w:pStyle w:val="Heading2"/>
      </w:pPr>
      <w:bookmarkStart w:id="1" w:name="_Toc148084727"/>
      <w:r>
        <w:t>Purpose</w:t>
      </w:r>
      <w:bookmarkEnd w:id="1"/>
    </w:p>
    <w:p w14:paraId="4E863220" w14:textId="6C567BE0" w:rsidR="00715722" w:rsidRDefault="00970C79" w:rsidP="00A824E8">
      <w:pPr>
        <w:pStyle w:val="Numberedparagraph"/>
      </w:pPr>
      <w:r>
        <w:t>Th</w:t>
      </w:r>
      <w:r w:rsidR="00B3236B">
        <w:t>is</w:t>
      </w:r>
      <w:r>
        <w:t xml:space="preserve"> paper </w:t>
      </w:r>
      <w:r w:rsidR="00D45009">
        <w:t>explain</w:t>
      </w:r>
      <w:r w:rsidR="00B3236B">
        <w:t>s</w:t>
      </w:r>
      <w:r>
        <w:t xml:space="preserve"> the </w:t>
      </w:r>
      <w:r w:rsidR="00602361">
        <w:t xml:space="preserve">role of the </w:t>
      </w:r>
      <w:r w:rsidR="006E23AD">
        <w:t>spectrum planning framework</w:t>
      </w:r>
      <w:r>
        <w:t xml:space="preserve">, the various </w:t>
      </w:r>
      <w:r w:rsidR="00821913">
        <w:t xml:space="preserve">documents that make up </w:t>
      </w:r>
      <w:r>
        <w:t>the framework and how the</w:t>
      </w:r>
      <w:r w:rsidR="00602361">
        <w:t>y</w:t>
      </w:r>
      <w:r>
        <w:t xml:space="preserve"> interact with each other</w:t>
      </w:r>
      <w:r w:rsidR="008C48D6">
        <w:t xml:space="preserve"> and with other aspects of the overall</w:t>
      </w:r>
      <w:r w:rsidR="00A76F21">
        <w:t xml:space="preserve"> </w:t>
      </w:r>
      <w:r w:rsidR="006E23AD">
        <w:t xml:space="preserve">spectrum </w:t>
      </w:r>
      <w:r w:rsidR="008C48D6">
        <w:t>management</w:t>
      </w:r>
      <w:r w:rsidR="006E23AD">
        <w:t xml:space="preserve"> </w:t>
      </w:r>
      <w:r w:rsidR="00A2014B">
        <w:t>system</w:t>
      </w:r>
      <w:r>
        <w:t xml:space="preserve">. </w:t>
      </w:r>
    </w:p>
    <w:p w14:paraId="46894162" w14:textId="2A59D56F" w:rsidR="00462C2D" w:rsidRDefault="00462C2D" w:rsidP="00462C2D">
      <w:pPr>
        <w:pStyle w:val="Numberedparagraph"/>
      </w:pPr>
      <w:r>
        <w:t>The information provided in this paper is intended as a guide only and should not be relied on as legal advice or replace detailed analysis by prospective licensees. Prospective licensees may wish to seek their own legal and engineering advice to determine what the current regulatory framework is</w:t>
      </w:r>
      <w:r w:rsidR="00867A13">
        <w:t xml:space="preserve"> and how it applies to their situation</w:t>
      </w:r>
      <w:r>
        <w:t>.</w:t>
      </w:r>
    </w:p>
    <w:p w14:paraId="45A2B25D" w14:textId="239674C9" w:rsidR="00851D51" w:rsidRDefault="00851D51" w:rsidP="002B09C2">
      <w:pPr>
        <w:pStyle w:val="Numberedparagraph"/>
        <w:spacing w:after="80"/>
      </w:pPr>
      <w:r>
        <w:t>The</w:t>
      </w:r>
      <w:r w:rsidR="00CA194B">
        <w:t xml:space="preserve"> Australian Government’s</w:t>
      </w:r>
      <w:r w:rsidR="00E37D38">
        <w:t xml:space="preserve"> </w:t>
      </w:r>
      <w:hyperlink r:id="rId26" w:history="1">
        <w:r w:rsidR="00E37D38" w:rsidRPr="00E37D38">
          <w:rPr>
            <w:rStyle w:val="Hyperlink"/>
          </w:rPr>
          <w:t>Resource Management Guide – Regulator Performance (RMG 128)</w:t>
        </w:r>
      </w:hyperlink>
      <w:r w:rsidR="00E37D38">
        <w:t xml:space="preserve"> </w:t>
      </w:r>
      <w:r>
        <w:t xml:space="preserve"> outlines the principles of best practice that underpin the government’s expectations of regulators and their performance. The principles are:</w:t>
      </w:r>
    </w:p>
    <w:p w14:paraId="0DA17A00" w14:textId="77777777" w:rsidR="00851D51" w:rsidRDefault="00851D51" w:rsidP="00851D51">
      <w:pPr>
        <w:pStyle w:val="Bulletlevel1"/>
      </w:pPr>
      <w:r w:rsidRPr="00FA5FA2">
        <w:rPr>
          <w:b/>
          <w:bCs/>
        </w:rPr>
        <w:t>Continuous improvement and building trust</w:t>
      </w:r>
      <w:r>
        <w:t>: regulators adopt a whole-of-system perspective, continuously improving their performance, capability and culture to build trust and confidence in Australia’s regulatory settings.</w:t>
      </w:r>
    </w:p>
    <w:p w14:paraId="06D1FED0" w14:textId="60C57264" w:rsidR="00851D51" w:rsidRDefault="00851D51" w:rsidP="00851D51">
      <w:pPr>
        <w:pStyle w:val="Bulletlevel1"/>
      </w:pPr>
      <w:r w:rsidRPr="00FA5FA2">
        <w:rPr>
          <w:b/>
          <w:bCs/>
        </w:rPr>
        <w:t>Risk</w:t>
      </w:r>
      <w:r>
        <w:rPr>
          <w:b/>
          <w:bCs/>
        </w:rPr>
        <w:t>-</w:t>
      </w:r>
      <w:r w:rsidRPr="00FA5FA2">
        <w:rPr>
          <w:b/>
          <w:bCs/>
        </w:rPr>
        <w:t>based and data</w:t>
      </w:r>
      <w:r>
        <w:rPr>
          <w:b/>
          <w:bCs/>
        </w:rPr>
        <w:t>-</w:t>
      </w:r>
      <w:r w:rsidRPr="00FA5FA2">
        <w:rPr>
          <w:b/>
          <w:bCs/>
        </w:rPr>
        <w:t>driven</w:t>
      </w:r>
      <w:r>
        <w:t>: regulators manage risks proportionately and maintain essential safeguards while minimising regulatory burden and leveraging</w:t>
      </w:r>
      <w:r w:rsidR="00AB3DB4">
        <w:t xml:space="preserve"> </w:t>
      </w:r>
      <w:r>
        <w:t>data and digital technology to support those they regulate to comply and grow.</w:t>
      </w:r>
    </w:p>
    <w:p w14:paraId="41291681" w14:textId="77777777" w:rsidR="00851D51" w:rsidRDefault="00851D51" w:rsidP="00851D51">
      <w:pPr>
        <w:pStyle w:val="Bulletlevel1last"/>
      </w:pPr>
      <w:r w:rsidRPr="00FA5FA2">
        <w:rPr>
          <w:b/>
          <w:bCs/>
        </w:rPr>
        <w:lastRenderedPageBreak/>
        <w:t>Collaboration and engagement</w:t>
      </w:r>
      <w:r>
        <w:t>: regulators are transparent and responsive communicators, implementing regulations in a modern and collaborative way.</w:t>
      </w:r>
    </w:p>
    <w:p w14:paraId="48BFD549" w14:textId="55746A78" w:rsidR="00A76F21" w:rsidRPr="00702EA1" w:rsidRDefault="00851D51" w:rsidP="008C48D6">
      <w:pPr>
        <w:pStyle w:val="Numberedparagraph"/>
      </w:pPr>
      <w:r>
        <w:t xml:space="preserve">By clearly articulating the </w:t>
      </w:r>
      <w:r w:rsidR="006E23AD">
        <w:t>spectrum planning framework</w:t>
      </w:r>
      <w:r>
        <w:t xml:space="preserve">, </w:t>
      </w:r>
      <w:r w:rsidR="00AC4C92">
        <w:t>the ACMA is</w:t>
      </w:r>
      <w:r>
        <w:t xml:space="preserve"> </w:t>
      </w:r>
      <w:r w:rsidR="00E313A5" w:rsidRPr="00E313A5">
        <w:t>reduc</w:t>
      </w:r>
      <w:r w:rsidR="00E313A5">
        <w:t>ing</w:t>
      </w:r>
      <w:r w:rsidR="00E313A5" w:rsidRPr="00E313A5">
        <w:t xml:space="preserve"> </w:t>
      </w:r>
      <w:r w:rsidRPr="00E313A5">
        <w:t>barriers to informatio</w:t>
      </w:r>
      <w:r>
        <w:t xml:space="preserve">n and increase the transparency of </w:t>
      </w:r>
      <w:r w:rsidR="00B72862">
        <w:t xml:space="preserve">its decision-making </w:t>
      </w:r>
      <w:r>
        <w:t>framework</w:t>
      </w:r>
      <w:r w:rsidR="00B72862">
        <w:t>s</w:t>
      </w:r>
      <w:r>
        <w:t xml:space="preserve">. </w:t>
      </w:r>
    </w:p>
    <w:p w14:paraId="0D3DD503" w14:textId="3E6B755B" w:rsidR="006B52DE" w:rsidRPr="00702EA1" w:rsidRDefault="00795294" w:rsidP="00C82940">
      <w:pPr>
        <w:pStyle w:val="Heading2"/>
      </w:pPr>
      <w:bookmarkStart w:id="2" w:name="_Toc148084728"/>
      <w:r>
        <w:t>Scope</w:t>
      </w:r>
      <w:bookmarkEnd w:id="2"/>
    </w:p>
    <w:p w14:paraId="5DAF8697" w14:textId="6617A7C9" w:rsidR="00AD3B78" w:rsidRPr="008A67EB" w:rsidRDefault="00AD3B78" w:rsidP="00AD3B78">
      <w:pPr>
        <w:pStyle w:val="Numberedparagraph"/>
      </w:pPr>
      <w:r w:rsidRPr="008A67EB">
        <w:t>The scope of this document i</w:t>
      </w:r>
      <w:r w:rsidR="00FC3763" w:rsidRPr="008A67EB">
        <w:t>s</w:t>
      </w:r>
      <w:r w:rsidRPr="008A67EB">
        <w:t xml:space="preserve"> limited to the </w:t>
      </w:r>
      <w:r w:rsidR="00522499" w:rsidRPr="008A67EB">
        <w:t xml:space="preserve">ACMA’s </w:t>
      </w:r>
      <w:r w:rsidR="006E23AD" w:rsidRPr="008A67EB">
        <w:t>spectrum planning framework</w:t>
      </w:r>
      <w:r w:rsidRPr="008A67EB">
        <w:t xml:space="preserve">. There are </w:t>
      </w:r>
      <w:r w:rsidR="002B09C2">
        <w:t>linkages</w:t>
      </w:r>
      <w:r w:rsidR="002B09C2" w:rsidRPr="008A67EB">
        <w:t xml:space="preserve"> </w:t>
      </w:r>
      <w:r w:rsidRPr="008A67EB">
        <w:t xml:space="preserve">between the </w:t>
      </w:r>
      <w:r w:rsidR="006E23AD" w:rsidRPr="008A67EB">
        <w:t>spectrum planning framework</w:t>
      </w:r>
      <w:r w:rsidRPr="008A67EB">
        <w:t xml:space="preserve"> and other parts of the overall </w:t>
      </w:r>
      <w:r w:rsidR="00462C2D" w:rsidRPr="008A67EB">
        <w:t>spectrum management framework</w:t>
      </w:r>
      <w:r w:rsidR="00E313A5">
        <w:t>,</w:t>
      </w:r>
      <w:r w:rsidR="00462C2D" w:rsidRPr="008A67EB">
        <w:t xml:space="preserve"> as </w:t>
      </w:r>
      <w:r w:rsidRPr="008A67EB">
        <w:t xml:space="preserve">illustrated in Figure 1 and further discussed in </w:t>
      </w:r>
      <w:r w:rsidR="00801CD4" w:rsidRPr="008A67EB">
        <w:t>C</w:t>
      </w:r>
      <w:r w:rsidRPr="008A67EB">
        <w:t xml:space="preserve">hapter 2. </w:t>
      </w:r>
      <w:r w:rsidR="006D1D50" w:rsidRPr="008A67EB">
        <w:t xml:space="preserve">While these interfaces are identified and discussed in this document, detailed discussion is confined to the </w:t>
      </w:r>
      <w:r w:rsidR="006E23AD" w:rsidRPr="008A67EB">
        <w:t>spectrum planning framework</w:t>
      </w:r>
      <w:r w:rsidR="006D1D50" w:rsidRPr="008A67EB">
        <w:t xml:space="preserve"> and its elements. </w:t>
      </w:r>
      <w:r w:rsidR="00AD5456" w:rsidRPr="008A67EB">
        <w:t xml:space="preserve">This document is focused on those elements that are within the </w:t>
      </w:r>
      <w:r w:rsidR="008C48D6" w:rsidRPr="008A67EB">
        <w:t>remit</w:t>
      </w:r>
      <w:r w:rsidR="00AD5456" w:rsidRPr="008A67EB">
        <w:t xml:space="preserve"> of the ACMA</w:t>
      </w:r>
      <w:r w:rsidR="006417B3">
        <w:t>;</w:t>
      </w:r>
      <w:r w:rsidR="008C48D6" w:rsidRPr="008A67EB">
        <w:t xml:space="preserve"> t</w:t>
      </w:r>
      <w:r w:rsidR="00AD5456" w:rsidRPr="008A67EB">
        <w:t xml:space="preserve">hat is, </w:t>
      </w:r>
      <w:r w:rsidR="00A37E76" w:rsidRPr="008A67EB">
        <w:t xml:space="preserve">the </w:t>
      </w:r>
      <w:r w:rsidR="00AD5456" w:rsidRPr="008A67EB">
        <w:t>administrative polic</w:t>
      </w:r>
      <w:r w:rsidR="00B62474" w:rsidRPr="008A67EB">
        <w:t>ies</w:t>
      </w:r>
      <w:r w:rsidR="00AD5456" w:rsidRPr="008A67EB">
        <w:t xml:space="preserve"> and legislative </w:t>
      </w:r>
      <w:r w:rsidR="0041602A" w:rsidRPr="008A67EB">
        <w:t>instruments</w:t>
      </w:r>
      <w:r w:rsidR="00AD5456" w:rsidRPr="008A67EB">
        <w:t xml:space="preserve"> the ACMA is responsible for developing</w:t>
      </w:r>
      <w:r w:rsidR="008C48D6" w:rsidRPr="008A67EB">
        <w:t xml:space="preserve"> or otherwise actioning.</w:t>
      </w:r>
    </w:p>
    <w:p w14:paraId="244ED32E" w14:textId="282D6188" w:rsidR="00924E06" w:rsidRDefault="00924E06" w:rsidP="00163A29">
      <w:pPr>
        <w:pStyle w:val="Numberedparagraph"/>
      </w:pPr>
      <w:r>
        <w:t xml:space="preserve">This information paper does not </w:t>
      </w:r>
      <w:r w:rsidR="0031080E">
        <w:t xml:space="preserve">intend to convey </w:t>
      </w:r>
      <w:r>
        <w:t>any new or varied ACMA policy</w:t>
      </w:r>
      <w:r w:rsidR="0031080E">
        <w:t>,</w:t>
      </w:r>
      <w:r>
        <w:t xml:space="preserve"> either in general or in specific bands or </w:t>
      </w:r>
      <w:r w:rsidR="00762FD5">
        <w:t xml:space="preserve">for specific </w:t>
      </w:r>
      <w:r>
        <w:t xml:space="preserve">spectrum uses. Accordingly, this paper summarises arrangements already in place and does not propose new </w:t>
      </w:r>
      <w:r w:rsidR="000F27FF">
        <w:t xml:space="preserve">arrangements </w:t>
      </w:r>
      <w:r>
        <w:t xml:space="preserve">or </w:t>
      </w:r>
      <w:r w:rsidR="006417B3">
        <w:t xml:space="preserve">to </w:t>
      </w:r>
      <w:r>
        <w:t xml:space="preserve">vary existing arrangements. </w:t>
      </w:r>
    </w:p>
    <w:p w14:paraId="5AAAE837" w14:textId="67B15F7C" w:rsidR="006B52DE" w:rsidRPr="00702EA1" w:rsidRDefault="00795294" w:rsidP="00C82940">
      <w:pPr>
        <w:pStyle w:val="Heading2"/>
      </w:pPr>
      <w:bookmarkStart w:id="3" w:name="_Toc148084729"/>
      <w:r>
        <w:t>Structure</w:t>
      </w:r>
      <w:bookmarkEnd w:id="3"/>
    </w:p>
    <w:p w14:paraId="699B6FED" w14:textId="12D01C96" w:rsidR="005E250B" w:rsidRDefault="00957F48" w:rsidP="003B105D">
      <w:pPr>
        <w:pStyle w:val="Numberedparagraph"/>
      </w:pPr>
      <w:r>
        <w:t xml:space="preserve">Chapter 2 provides an overview of the </w:t>
      </w:r>
      <w:r w:rsidR="006E23AD">
        <w:t>spectrum planning framework</w:t>
      </w:r>
      <w:r>
        <w:t xml:space="preserve"> and </w:t>
      </w:r>
      <w:r w:rsidR="006417B3">
        <w:t xml:space="preserve">its </w:t>
      </w:r>
      <w:r>
        <w:t>place in the overall spectrum management system</w:t>
      </w:r>
      <w:r w:rsidR="006B52DE" w:rsidRPr="00702EA1">
        <w:t>.</w:t>
      </w:r>
    </w:p>
    <w:p w14:paraId="080D89B5" w14:textId="4E2CB72B" w:rsidR="00957F48" w:rsidRDefault="00957F48" w:rsidP="003B105D">
      <w:pPr>
        <w:pStyle w:val="Numberedparagraph"/>
      </w:pPr>
      <w:r>
        <w:t xml:space="preserve">Chapter 3 outlines the </w:t>
      </w:r>
      <w:r w:rsidR="006E23AD">
        <w:t>spectrum planning framework</w:t>
      </w:r>
      <w:r w:rsidR="001D7FB8">
        <w:t xml:space="preserve"> </w:t>
      </w:r>
      <w:r>
        <w:t>and the individual legislative and administrative elements that make up the framework.</w:t>
      </w:r>
    </w:p>
    <w:p w14:paraId="6088FEF3" w14:textId="26781039" w:rsidR="00957F48" w:rsidRDefault="00957F48" w:rsidP="003B105D">
      <w:pPr>
        <w:pStyle w:val="Numberedparagraph"/>
      </w:pPr>
      <w:r>
        <w:t xml:space="preserve">Chapter 4 </w:t>
      </w:r>
      <w:r w:rsidR="006A4C32">
        <w:t xml:space="preserve">provides case studies on </w:t>
      </w:r>
      <w:r w:rsidR="002A49A2">
        <w:t>several</w:t>
      </w:r>
      <w:r w:rsidR="006A4C32">
        <w:t xml:space="preserve"> segments of the </w:t>
      </w:r>
      <w:r w:rsidR="006E23AD">
        <w:t>spectrum planning framework</w:t>
      </w:r>
      <w:r w:rsidR="006A4C32">
        <w:t xml:space="preserve"> to illustrate how the various elements come together to produce a plan for the use of each </w:t>
      </w:r>
      <w:r w:rsidR="005E06F9">
        <w:t>part of the spectrum</w:t>
      </w:r>
      <w:r w:rsidR="006A4C32">
        <w:t xml:space="preserve">. </w:t>
      </w:r>
    </w:p>
    <w:p w14:paraId="6E353364" w14:textId="60C96FF7" w:rsidR="00E10306" w:rsidRDefault="00E10306" w:rsidP="00462C2D">
      <w:pPr>
        <w:pStyle w:val="Numberedparagraph"/>
      </w:pPr>
      <w:r>
        <w:t xml:space="preserve">Appendix </w:t>
      </w:r>
      <w:r w:rsidR="007851E3">
        <w:t>A</w:t>
      </w:r>
      <w:r>
        <w:t xml:space="preserve"> provides an illustration of the spectrum planning framework (also shown in Figure 2).</w:t>
      </w:r>
    </w:p>
    <w:p w14:paraId="071D35F1" w14:textId="2AD92FF9" w:rsidR="00A37E76" w:rsidRDefault="00A37E76" w:rsidP="003B105D">
      <w:pPr>
        <w:pStyle w:val="Numberedparagraph"/>
      </w:pPr>
      <w:r>
        <w:t xml:space="preserve">Appendix </w:t>
      </w:r>
      <w:r w:rsidR="007851E3">
        <w:t>B</w:t>
      </w:r>
      <w:r>
        <w:t xml:space="preserve"> provide</w:t>
      </w:r>
      <w:r w:rsidR="00ED44F1">
        <w:t xml:space="preserve">s a summary table of the elements of the spectrum planning framework. </w:t>
      </w:r>
    </w:p>
    <w:p w14:paraId="2FA0DA17" w14:textId="42C9B570" w:rsidR="00A6297F" w:rsidRPr="00023A36" w:rsidRDefault="00951720" w:rsidP="00A6297F">
      <w:pPr>
        <w:pStyle w:val="Heading1"/>
      </w:pPr>
      <w:bookmarkStart w:id="4" w:name="_Toc148084730"/>
      <w:r>
        <w:lastRenderedPageBreak/>
        <w:t xml:space="preserve">Spectrum planning </w:t>
      </w:r>
      <w:proofErr w:type="gramStart"/>
      <w:r>
        <w:t>overview</w:t>
      </w:r>
      <w:bookmarkEnd w:id="4"/>
      <w:proofErr w:type="gramEnd"/>
    </w:p>
    <w:p w14:paraId="5C61220B" w14:textId="2B6562B4" w:rsidR="00C31779" w:rsidRDefault="00C31779" w:rsidP="00204F64">
      <w:pPr>
        <w:pStyle w:val="Heading2"/>
      </w:pPr>
      <w:bookmarkStart w:id="5" w:name="_Toc148084731"/>
      <w:r>
        <w:t>Spectrum planning</w:t>
      </w:r>
      <w:bookmarkEnd w:id="5"/>
      <w:r>
        <w:t xml:space="preserve"> </w:t>
      </w:r>
    </w:p>
    <w:p w14:paraId="7580935A" w14:textId="740DADBE" w:rsidR="00C31779" w:rsidRPr="003A1848" w:rsidRDefault="004656A5" w:rsidP="004656A5">
      <w:pPr>
        <w:pStyle w:val="Numberedparagraph"/>
        <w:numPr>
          <w:ilvl w:val="1"/>
          <w:numId w:val="17"/>
        </w:numPr>
      </w:pPr>
      <w:r>
        <w:t xml:space="preserve">Spectrum planning is the aspect of spectrum management that determines general service and application level </w:t>
      </w:r>
      <w:r w:rsidR="00C31779" w:rsidRPr="003A1848">
        <w:t>uses</w:t>
      </w:r>
      <w:r w:rsidR="00C31779" w:rsidRPr="003A1848">
        <w:rPr>
          <w:vertAlign w:val="superscript"/>
        </w:rPr>
        <w:footnoteReference w:id="4"/>
      </w:r>
      <w:r w:rsidR="00C31779" w:rsidRPr="00ED44F1">
        <w:t xml:space="preserve"> </w:t>
      </w:r>
      <w:r w:rsidR="00C31779" w:rsidRPr="003A1848">
        <w:t>of the spectrum</w:t>
      </w:r>
      <w:r w:rsidR="000F27FF">
        <w:t>. Spectrum planning defines</w:t>
      </w:r>
      <w:r w:rsidR="000C53CF" w:rsidRPr="003A1848">
        <w:t xml:space="preserve"> the </w:t>
      </w:r>
      <w:r w:rsidR="00657A99" w:rsidRPr="003A1848">
        <w:t xml:space="preserve">technical and operational </w:t>
      </w:r>
      <w:r w:rsidR="000C53CF" w:rsidRPr="003A1848">
        <w:t xml:space="preserve">rules for issuing licences </w:t>
      </w:r>
      <w:r w:rsidR="00174BF2">
        <w:t xml:space="preserve">(or registering devices) </w:t>
      </w:r>
      <w:r w:rsidR="000C53CF" w:rsidRPr="003A1848">
        <w:t>to specific spectrum users</w:t>
      </w:r>
      <w:r w:rsidR="00A815FD">
        <w:rPr>
          <w:rStyle w:val="FootnoteReference"/>
        </w:rPr>
        <w:footnoteReference w:id="5"/>
      </w:r>
      <w:r w:rsidR="000F27FF">
        <w:t xml:space="preserve"> and for </w:t>
      </w:r>
      <w:r w:rsidR="00984E61">
        <w:t xml:space="preserve">users generally </w:t>
      </w:r>
      <w:r w:rsidR="000F27FF">
        <w:t>to utilise the spectrum</w:t>
      </w:r>
      <w:r w:rsidR="00984E61">
        <w:t xml:space="preserve"> (for example</w:t>
      </w:r>
      <w:r w:rsidR="000D75FC">
        <w:t>,</w:t>
      </w:r>
      <w:r w:rsidR="00984E61">
        <w:t xml:space="preserve"> under class licences)</w:t>
      </w:r>
      <w:r w:rsidR="000C53CF" w:rsidRPr="003A1848">
        <w:t>.</w:t>
      </w:r>
      <w:r w:rsidR="00C31779" w:rsidRPr="003A1848">
        <w:t xml:space="preserve"> </w:t>
      </w:r>
      <w:r w:rsidR="00E74DC1" w:rsidRPr="003A1848">
        <w:t>The resulting regulatory</w:t>
      </w:r>
      <w:r w:rsidR="00C31779" w:rsidRPr="003A1848">
        <w:t xml:space="preserve"> framework establishes coexistence </w:t>
      </w:r>
      <w:r w:rsidR="00657A99" w:rsidRPr="003A1848">
        <w:t>arrangements</w:t>
      </w:r>
      <w:r w:rsidR="00C31779" w:rsidRPr="003A1848">
        <w:t xml:space="preserve"> </w:t>
      </w:r>
      <w:r w:rsidR="007E51D4">
        <w:t xml:space="preserve">for </w:t>
      </w:r>
      <w:r w:rsidR="000B7595">
        <w:t>how to manage interference</w:t>
      </w:r>
      <w:r w:rsidR="0073617A">
        <w:rPr>
          <w:rStyle w:val="FootnoteReference"/>
        </w:rPr>
        <w:footnoteReference w:id="6"/>
      </w:r>
      <w:r w:rsidR="000B7595">
        <w:t xml:space="preserve"> </w:t>
      </w:r>
      <w:r w:rsidR="00C31779" w:rsidRPr="003A1848">
        <w:t xml:space="preserve">between </w:t>
      </w:r>
      <w:r w:rsidR="00657A99" w:rsidRPr="003A1848">
        <w:t xml:space="preserve">spectrum </w:t>
      </w:r>
      <w:r w:rsidR="00C31779" w:rsidRPr="003A1848">
        <w:t>uses and users</w:t>
      </w:r>
      <w:r w:rsidR="00B72862">
        <w:t>.</w:t>
      </w:r>
      <w:r w:rsidR="00657A99" w:rsidRPr="003A1848">
        <w:t xml:space="preserve"> </w:t>
      </w:r>
      <w:r>
        <w:t xml:space="preserve">It also </w:t>
      </w:r>
      <w:r w:rsidR="00B72862">
        <w:t xml:space="preserve">informs </w:t>
      </w:r>
      <w:r>
        <w:t xml:space="preserve">the identification of the licensing mechanism(s) that best meet the identified spectrum planning outcomes. </w:t>
      </w:r>
      <w:r w:rsidR="00C31779" w:rsidRPr="003A1848">
        <w:t xml:space="preserve"> </w:t>
      </w:r>
    </w:p>
    <w:p w14:paraId="56B205D2" w14:textId="4BCF51C7" w:rsidR="00B72862" w:rsidRDefault="00502E5D" w:rsidP="004656A5">
      <w:pPr>
        <w:pStyle w:val="Numberedparagraph"/>
      </w:pPr>
      <w:bookmarkStart w:id="6" w:name="_Hlk11778989"/>
      <w:r w:rsidRPr="003A1848">
        <w:t>Spectrum sharing</w:t>
      </w:r>
      <w:r w:rsidRPr="003A1848">
        <w:rPr>
          <w:vertAlign w:val="superscript"/>
        </w:rPr>
        <w:footnoteReference w:id="7"/>
      </w:r>
      <w:r w:rsidR="005A7CAD">
        <w:t xml:space="preserve"> </w:t>
      </w:r>
      <w:r w:rsidRPr="003A1848">
        <w:t>is fundamental to effective spectrum management. Effective sharing allows spectrum uses and users to coexist</w:t>
      </w:r>
      <w:r w:rsidR="00B72862">
        <w:t>,</w:t>
      </w:r>
      <w:r w:rsidRPr="003A1848">
        <w:t xml:space="preserve"> permitting both uses/users to operate in an environment where interference</w:t>
      </w:r>
      <w:r w:rsidR="001F5242" w:rsidRPr="003A1848">
        <w:t xml:space="preserve">, and thus the impact on </w:t>
      </w:r>
      <w:r w:rsidR="00B72862">
        <w:t xml:space="preserve">communications </w:t>
      </w:r>
      <w:r w:rsidR="001F5242" w:rsidRPr="003A1848">
        <w:t>systems,</w:t>
      </w:r>
      <w:r w:rsidRPr="003A1848">
        <w:t xml:space="preserve"> is managed. </w:t>
      </w:r>
    </w:p>
    <w:p w14:paraId="196E6323" w14:textId="52ADFF06" w:rsidR="004656A5" w:rsidRDefault="00E319DE" w:rsidP="004656A5">
      <w:pPr>
        <w:pStyle w:val="Numberedparagraph"/>
      </w:pPr>
      <w:r w:rsidRPr="003A1848">
        <w:t xml:space="preserve">Sharing </w:t>
      </w:r>
      <w:r w:rsidR="001F5242" w:rsidRPr="003A1848">
        <w:t xml:space="preserve">generally </w:t>
      </w:r>
      <w:r w:rsidRPr="003A1848">
        <w:t xml:space="preserve">implies </w:t>
      </w:r>
      <w:r w:rsidR="001F5242" w:rsidRPr="003A1848">
        <w:t xml:space="preserve">some form of </w:t>
      </w:r>
      <w:r w:rsidRPr="003A1848">
        <w:t>compromise and constraints on specific spectrum uses/users so that the overall benefit</w:t>
      </w:r>
      <w:r w:rsidR="00571F3E">
        <w:t>s</w:t>
      </w:r>
      <w:r w:rsidR="00B72862">
        <w:t xml:space="preserve"> of access to and use of spectrum</w:t>
      </w:r>
      <w:r w:rsidRPr="003A1848">
        <w:t xml:space="preserve"> can be maximised.</w:t>
      </w:r>
      <w:r w:rsidR="00502E5D" w:rsidRPr="003A1848">
        <w:t xml:space="preserve"> Coexistence of spectrum uses/users optimises spectrum utility</w:t>
      </w:r>
      <w:r w:rsidR="00A033E7">
        <w:t>. Thus, coexistence</w:t>
      </w:r>
      <w:r w:rsidR="00502E5D" w:rsidRPr="003A1848">
        <w:t xml:space="preserve"> </w:t>
      </w:r>
      <w:r w:rsidR="007E51D4">
        <w:t xml:space="preserve">enables </w:t>
      </w:r>
      <w:r w:rsidR="00A033E7">
        <w:t>both</w:t>
      </w:r>
      <w:r w:rsidR="00502E5D" w:rsidRPr="003A1848">
        <w:t xml:space="preserve"> the desired outcome and the objective of sharing</w:t>
      </w:r>
      <w:r w:rsidR="007E51D4">
        <w:t>,</w:t>
      </w:r>
      <w:r w:rsidR="00502E5D" w:rsidRPr="003A1848">
        <w:t xml:space="preserve"> and contributes to maximising the overall utility of the spectrum. </w:t>
      </w:r>
      <w:bookmarkEnd w:id="6"/>
    </w:p>
    <w:p w14:paraId="1A5F46F9" w14:textId="3BDA317A" w:rsidR="00462C2D" w:rsidRPr="004656A5" w:rsidRDefault="00462C2D" w:rsidP="004656A5">
      <w:pPr>
        <w:pStyle w:val="Numberedparagraph"/>
      </w:pPr>
      <w:r w:rsidRPr="003A1848">
        <w:t>T</w:t>
      </w:r>
      <w:bookmarkStart w:id="7" w:name="_Hlk11779119"/>
      <w:r w:rsidRPr="003A1848">
        <w:t xml:space="preserve">he spectrum planning framework </w:t>
      </w:r>
      <w:r w:rsidR="00A033E7">
        <w:t xml:space="preserve">in a particular band </w:t>
      </w:r>
      <w:r w:rsidRPr="003A1848">
        <w:t>is often optimised for an expected spectrum use</w:t>
      </w:r>
      <w:bookmarkEnd w:id="7"/>
      <w:r w:rsidRPr="003A1848">
        <w:t xml:space="preserve"> and users even if this is not mandatory. Spectrum licences for example, while ‘technology flexible’ in that they do not </w:t>
      </w:r>
      <w:r>
        <w:t xml:space="preserve">prescribe or </w:t>
      </w:r>
      <w:r w:rsidRPr="003A1848">
        <w:t xml:space="preserve">preclude any </w:t>
      </w:r>
      <w:r>
        <w:t xml:space="preserve">specific </w:t>
      </w:r>
      <w:r w:rsidRPr="003A1848">
        <w:t>use, are designed and optimised with the likely technology in mind to maximise the technical efficiency of these licences</w:t>
      </w:r>
      <w:r>
        <w:t xml:space="preserve"> for their expected use. Similarly</w:t>
      </w:r>
      <w:r w:rsidR="00B3236B">
        <w:t>,</w:t>
      </w:r>
      <w:r>
        <w:t xml:space="preserve"> licensing approaches are developed with likely use</w:t>
      </w:r>
      <w:r w:rsidR="002A4210">
        <w:t>s</w:t>
      </w:r>
      <w:r>
        <w:t xml:space="preserve"> </w:t>
      </w:r>
      <w:r w:rsidR="00A031B8">
        <w:t>(an</w:t>
      </w:r>
      <w:r w:rsidR="00B71039">
        <w:t>d</w:t>
      </w:r>
      <w:r w:rsidR="00A031B8">
        <w:t xml:space="preserve"> hence expected types of users) </w:t>
      </w:r>
      <w:r>
        <w:t>in mind</w:t>
      </w:r>
      <w:r w:rsidR="00B72862">
        <w:t>,</w:t>
      </w:r>
      <w:r>
        <w:t xml:space="preserve"> meaning that the appropriate licence (and</w:t>
      </w:r>
      <w:r w:rsidR="00B3012E">
        <w:t>, by extension,</w:t>
      </w:r>
      <w:r>
        <w:t xml:space="preserve"> allocation approach) will vary. </w:t>
      </w:r>
    </w:p>
    <w:p w14:paraId="51082024" w14:textId="23A13176" w:rsidR="004D3318" w:rsidRDefault="00FE569E" w:rsidP="00FA5A68">
      <w:pPr>
        <w:pStyle w:val="Numberedparagraph"/>
      </w:pPr>
      <w:bookmarkStart w:id="8" w:name="_Hlk147758973"/>
      <w:r>
        <w:t>S</w:t>
      </w:r>
      <w:r w:rsidR="00FA5A68">
        <w:t>pectrum planning</w:t>
      </w:r>
      <w:r w:rsidR="00E612B9">
        <w:t>,</w:t>
      </w:r>
      <w:r w:rsidR="00FA5A68">
        <w:t xml:space="preserve"> </w:t>
      </w:r>
      <w:r w:rsidR="00295833">
        <w:t xml:space="preserve">and the spectrum planning framework that </w:t>
      </w:r>
      <w:r w:rsidR="00E612B9">
        <w:t xml:space="preserve">it </w:t>
      </w:r>
      <w:r w:rsidR="00295833">
        <w:t>is expressed by</w:t>
      </w:r>
      <w:r w:rsidR="00E612B9">
        <w:t>,</w:t>
      </w:r>
      <w:r w:rsidR="00295833">
        <w:t xml:space="preserve"> </w:t>
      </w:r>
      <w:r w:rsidR="00FA5A68">
        <w:t xml:space="preserve">is </w:t>
      </w:r>
      <w:r w:rsidR="000455F5">
        <w:t>only</w:t>
      </w:r>
      <w:r w:rsidR="00A13596">
        <w:t xml:space="preserve"> one</w:t>
      </w:r>
      <w:r w:rsidR="00FA5A68">
        <w:t xml:space="preserve"> element of the overall spectrum management </w:t>
      </w:r>
      <w:r>
        <w:t>system</w:t>
      </w:r>
      <w:r w:rsidR="002D4B8D">
        <w:t>. Other aspects include the</w:t>
      </w:r>
      <w:r w:rsidR="000455F5">
        <w:t xml:space="preserve"> </w:t>
      </w:r>
      <w:hyperlink r:id="rId27" w:history="1">
        <w:r w:rsidR="000455F5" w:rsidRPr="001F5242">
          <w:rPr>
            <w:rStyle w:val="Hyperlink"/>
          </w:rPr>
          <w:t>licensing</w:t>
        </w:r>
        <w:r w:rsidR="002D4B8D">
          <w:rPr>
            <w:rStyle w:val="Hyperlink"/>
          </w:rPr>
          <w:t xml:space="preserve"> and</w:t>
        </w:r>
        <w:r w:rsidR="000455F5" w:rsidRPr="001F5242">
          <w:rPr>
            <w:rStyle w:val="Hyperlink"/>
          </w:rPr>
          <w:t xml:space="preserve"> allocation</w:t>
        </w:r>
      </w:hyperlink>
      <w:r w:rsidR="000455F5">
        <w:t xml:space="preserve">, </w:t>
      </w:r>
      <w:hyperlink r:id="rId28" w:history="1">
        <w:r w:rsidR="000455F5" w:rsidRPr="001F5242">
          <w:rPr>
            <w:rStyle w:val="Hyperlink"/>
          </w:rPr>
          <w:t>pricing</w:t>
        </w:r>
      </w:hyperlink>
      <w:r w:rsidR="000455F5">
        <w:t xml:space="preserve">, </w:t>
      </w:r>
      <w:hyperlink r:id="rId29" w:history="1">
        <w:r w:rsidR="000455F5" w:rsidRPr="001F5242">
          <w:rPr>
            <w:rStyle w:val="Hyperlink"/>
          </w:rPr>
          <w:t xml:space="preserve">equipment </w:t>
        </w:r>
        <w:r w:rsidR="004B332B">
          <w:rPr>
            <w:rStyle w:val="Hyperlink"/>
          </w:rPr>
          <w:t>rules</w:t>
        </w:r>
      </w:hyperlink>
      <w:r w:rsidR="000455F5">
        <w:t xml:space="preserve"> and </w:t>
      </w:r>
      <w:hyperlink r:id="rId30" w:history="1">
        <w:r w:rsidR="000455F5" w:rsidRPr="001F5242">
          <w:rPr>
            <w:rStyle w:val="Hyperlink"/>
          </w:rPr>
          <w:t>compliance and enforcement</w:t>
        </w:r>
      </w:hyperlink>
      <w:r w:rsidR="000455F5">
        <w:t xml:space="preserve"> frameworks </w:t>
      </w:r>
      <w:r w:rsidR="002D4B8D">
        <w:t>administered by the ACMA</w:t>
      </w:r>
      <w:r w:rsidR="00EC61F1">
        <w:t xml:space="preserve"> (see </w:t>
      </w:r>
      <w:r w:rsidR="00EC61F1" w:rsidRPr="003A1848">
        <w:t>Figure 1</w:t>
      </w:r>
      <w:r w:rsidR="00EC61F1">
        <w:t>)</w:t>
      </w:r>
      <w:r w:rsidR="00EC61F1" w:rsidRPr="003A1848">
        <w:t>.</w:t>
      </w:r>
      <w:r w:rsidR="00EC61F1">
        <w:t xml:space="preserve"> The</w:t>
      </w:r>
      <w:r w:rsidR="009D0ADA">
        <w:t xml:space="preserve"> overarching</w:t>
      </w:r>
      <w:r w:rsidR="00EC61F1">
        <w:t xml:space="preserve"> spectrum management </w:t>
      </w:r>
      <w:r>
        <w:t xml:space="preserve">system </w:t>
      </w:r>
      <w:r w:rsidR="00EC61F1">
        <w:t>is influenced by the broader environment including international developments, industry</w:t>
      </w:r>
      <w:r w:rsidR="002D4B8D">
        <w:t xml:space="preserve"> </w:t>
      </w:r>
      <w:r w:rsidR="00EC61F1">
        <w:t xml:space="preserve">and relevant </w:t>
      </w:r>
      <w:hyperlink r:id="rId31" w:history="1">
        <w:r w:rsidR="00EC61F1" w:rsidRPr="002D4B8D">
          <w:rPr>
            <w:rStyle w:val="Hyperlink"/>
          </w:rPr>
          <w:t>policy considerations</w:t>
        </w:r>
      </w:hyperlink>
      <w:r w:rsidR="00EC61F1">
        <w:t>.</w:t>
      </w:r>
      <w:r w:rsidR="00EC61F1" w:rsidRPr="003A1848">
        <w:t xml:space="preserve"> </w:t>
      </w:r>
    </w:p>
    <w:p w14:paraId="3E4AC052" w14:textId="1A610902" w:rsidR="00C31779" w:rsidRDefault="00C31779" w:rsidP="00204F64">
      <w:pPr>
        <w:pStyle w:val="Figureheading"/>
      </w:pPr>
      <w:r>
        <w:lastRenderedPageBreak/>
        <w:t xml:space="preserve">Spectrum </w:t>
      </w:r>
      <w:r w:rsidR="007E51D4">
        <w:t>m</w:t>
      </w:r>
      <w:r>
        <w:t xml:space="preserve">anagement </w:t>
      </w:r>
      <w:r w:rsidR="007E51D4">
        <w:t>f</w:t>
      </w:r>
      <w:r>
        <w:t xml:space="preserve">ramework and environmental context  </w:t>
      </w:r>
    </w:p>
    <w:bookmarkEnd w:id="8"/>
    <w:p w14:paraId="4441D32D" w14:textId="698A380A" w:rsidR="00702DD1" w:rsidRDefault="004E1039" w:rsidP="00204F64">
      <w:pPr>
        <w:pStyle w:val="Numberedparagraph"/>
        <w:numPr>
          <w:ilvl w:val="0"/>
          <w:numId w:val="0"/>
        </w:numPr>
      </w:pPr>
      <w:r>
        <w:rPr>
          <w:noProof/>
        </w:rPr>
        <w:drawing>
          <wp:inline distT="0" distB="0" distL="0" distR="0" wp14:anchorId="06088C9C" wp14:editId="07552C1E">
            <wp:extent cx="4871085" cy="2373630"/>
            <wp:effectExtent l="0" t="0" r="5715" b="7620"/>
            <wp:docPr id="19" name="Picture 19" descr="A diagram of a the spectrum management framework and environmenal context and how different aspects are inter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he spectrum management framework and environmenal context and how different aspects are interlinked"/>
                    <pic:cNvPicPr/>
                  </pic:nvPicPr>
                  <pic:blipFill>
                    <a:blip r:embed="rId32"/>
                    <a:stretch>
                      <a:fillRect/>
                    </a:stretch>
                  </pic:blipFill>
                  <pic:spPr>
                    <a:xfrm>
                      <a:off x="0" y="0"/>
                      <a:ext cx="4871085" cy="2373630"/>
                    </a:xfrm>
                    <a:prstGeom prst="rect">
                      <a:avLst/>
                    </a:prstGeom>
                  </pic:spPr>
                </pic:pic>
              </a:graphicData>
            </a:graphic>
          </wp:inline>
        </w:drawing>
      </w:r>
    </w:p>
    <w:p w14:paraId="71BB67A7" w14:textId="46162641" w:rsidR="005E7F81" w:rsidRPr="00702EA1" w:rsidRDefault="005E7F81" w:rsidP="005E7F81">
      <w:pPr>
        <w:pStyle w:val="Heading2"/>
      </w:pPr>
      <w:bookmarkStart w:id="9" w:name="_Toc93937971"/>
      <w:bookmarkStart w:id="10" w:name="_Toc148084732"/>
      <w:r>
        <w:t>Environmental context</w:t>
      </w:r>
      <w:bookmarkEnd w:id="9"/>
      <w:bookmarkEnd w:id="10"/>
    </w:p>
    <w:p w14:paraId="675FB2A6" w14:textId="7F49D244" w:rsidR="002D4B8D" w:rsidRDefault="00D16913" w:rsidP="002D4B8D">
      <w:pPr>
        <w:pStyle w:val="Numberedparagraph"/>
      </w:pPr>
      <w:r>
        <w:t>Australian</w:t>
      </w:r>
      <w:r w:rsidR="002D4B8D">
        <w:t xml:space="preserve"> spectrum management</w:t>
      </w:r>
      <w:r>
        <w:t xml:space="preserve">, and </w:t>
      </w:r>
      <w:r w:rsidR="005D4083">
        <w:t xml:space="preserve">hence </w:t>
      </w:r>
      <w:r>
        <w:t>spectrum</w:t>
      </w:r>
      <w:r w:rsidR="00801CD4">
        <w:t xml:space="preserve"> planning</w:t>
      </w:r>
      <w:r>
        <w:t>,</w:t>
      </w:r>
      <w:r w:rsidR="002D4B8D">
        <w:t xml:space="preserve"> exists in </w:t>
      </w:r>
      <w:r w:rsidR="005D4083">
        <w:t>a</w:t>
      </w:r>
      <w:r w:rsidR="002D4B8D">
        <w:t xml:space="preserve"> </w:t>
      </w:r>
      <w:r w:rsidR="005D4083">
        <w:t>broader</w:t>
      </w:r>
      <w:r w:rsidR="002D4B8D">
        <w:t xml:space="preserve"> </w:t>
      </w:r>
      <w:r>
        <w:t>environment of constraints and influences.</w:t>
      </w:r>
      <w:r w:rsidR="002D4B8D">
        <w:t xml:space="preserve"> </w:t>
      </w:r>
      <w:r>
        <w:t xml:space="preserve">These includes domestic </w:t>
      </w:r>
      <w:r w:rsidR="002D4B8D">
        <w:t>law</w:t>
      </w:r>
      <w:r w:rsidR="00157BDF">
        <w:t xml:space="preserve"> a</w:t>
      </w:r>
      <w:r w:rsidR="00816739">
        <w:t>nd</w:t>
      </w:r>
      <w:r w:rsidR="002D4B8D">
        <w:t xml:space="preserve"> policy, industry </w:t>
      </w:r>
      <w:r>
        <w:t>developments and global</w:t>
      </w:r>
      <w:r w:rsidR="002D4B8D">
        <w:t xml:space="preserve"> technology developments</w:t>
      </w:r>
      <w:r w:rsidR="0068179A">
        <w:t>,</w:t>
      </w:r>
      <w:r w:rsidR="002D4B8D">
        <w:t xml:space="preserve"> standardisation</w:t>
      </w:r>
      <w:r>
        <w:t>, equipment ecosystems</w:t>
      </w:r>
      <w:r w:rsidR="00E33657">
        <w:t>,</w:t>
      </w:r>
      <w:r w:rsidR="002D4B8D">
        <w:t xml:space="preserve"> international </w:t>
      </w:r>
      <w:r w:rsidR="006848F3">
        <w:t xml:space="preserve">treaties and </w:t>
      </w:r>
      <w:r w:rsidR="002D4B8D">
        <w:t xml:space="preserve">spectrum harmonisation. </w:t>
      </w:r>
    </w:p>
    <w:p w14:paraId="32644DB6" w14:textId="12483DDB" w:rsidR="00702DD1" w:rsidRDefault="005D4083" w:rsidP="00702DD1">
      <w:pPr>
        <w:pStyle w:val="Heading3"/>
      </w:pPr>
      <w:r>
        <w:t>Domestic</w:t>
      </w:r>
      <w:r w:rsidR="00801CD4">
        <w:t xml:space="preserve"> </w:t>
      </w:r>
      <w:r>
        <w:t>l</w:t>
      </w:r>
      <w:r w:rsidR="00970C79">
        <w:t>aw and policy</w:t>
      </w:r>
    </w:p>
    <w:p w14:paraId="3DB74794" w14:textId="46181920" w:rsidR="005E7F81" w:rsidRDefault="005E7F81" w:rsidP="002B09C2">
      <w:pPr>
        <w:pStyle w:val="Numberedparagraph"/>
        <w:spacing w:after="80"/>
      </w:pPr>
      <w:r>
        <w:t>The spectrum management framework is governed by several pieces of primary legislation, including the:</w:t>
      </w:r>
    </w:p>
    <w:p w14:paraId="0D049381" w14:textId="391EA0A6" w:rsidR="00103C69" w:rsidRPr="00E33657" w:rsidRDefault="00103C69" w:rsidP="00103C69">
      <w:pPr>
        <w:pStyle w:val="Bulletlevel1"/>
        <w:rPr>
          <w:i/>
          <w:iCs/>
        </w:rPr>
      </w:pPr>
      <w:r w:rsidRPr="00E33657">
        <w:rPr>
          <w:i/>
          <w:iCs/>
        </w:rPr>
        <w:t>Radiocommunications Act</w:t>
      </w:r>
      <w:r w:rsidR="007E56DF" w:rsidRPr="00E33657">
        <w:rPr>
          <w:i/>
          <w:iCs/>
        </w:rPr>
        <w:t xml:space="preserve"> 1992</w:t>
      </w:r>
    </w:p>
    <w:p w14:paraId="62DA2C81" w14:textId="77777777" w:rsidR="004F3C4F" w:rsidRDefault="00103C69" w:rsidP="00E33657">
      <w:pPr>
        <w:pStyle w:val="Bulletlevel1last"/>
        <w:spacing w:after="80"/>
        <w:rPr>
          <w:i/>
          <w:iCs/>
        </w:rPr>
      </w:pPr>
      <w:r w:rsidRPr="00E33657">
        <w:rPr>
          <w:i/>
          <w:iCs/>
        </w:rPr>
        <w:t>Broadcasting Services Act</w:t>
      </w:r>
      <w:r w:rsidR="007E56DF" w:rsidRPr="00E33657">
        <w:rPr>
          <w:i/>
          <w:iCs/>
        </w:rPr>
        <w:t xml:space="preserve"> 1992</w:t>
      </w:r>
    </w:p>
    <w:p w14:paraId="3EB48245" w14:textId="680085BB" w:rsidR="004F3C4F" w:rsidRDefault="004F3C4F" w:rsidP="004F3C4F">
      <w:pPr>
        <w:pStyle w:val="Bulletlevel1last"/>
        <w:rPr>
          <w:i/>
          <w:iCs/>
        </w:rPr>
      </w:pPr>
      <w:r w:rsidRPr="004F3C4F">
        <w:rPr>
          <w:i/>
          <w:iCs/>
        </w:rPr>
        <w:t>Australian Communications and Media Authority Act 2005</w:t>
      </w:r>
      <w:r w:rsidRPr="00E33657">
        <w:rPr>
          <w:i/>
          <w:iCs/>
        </w:rPr>
        <w:t>.</w:t>
      </w:r>
    </w:p>
    <w:p w14:paraId="7717570F" w14:textId="508114B5" w:rsidR="00EA2DC5" w:rsidRPr="00EA2DC5" w:rsidRDefault="00C15D22" w:rsidP="00C15D22">
      <w:pPr>
        <w:pStyle w:val="Numberedparagraph"/>
      </w:pPr>
      <w:r>
        <w:t xml:space="preserve">Under Section 28B of the Radiocommunications Act, the </w:t>
      </w:r>
      <w:r w:rsidR="00DE22B6">
        <w:t>m</w:t>
      </w:r>
      <w:r>
        <w:t xml:space="preserve">inister may issue a ministerial policy statement (MPS). A MPS specifies a policy of the </w:t>
      </w:r>
      <w:r w:rsidR="00DE22B6">
        <w:t>g</w:t>
      </w:r>
      <w:r>
        <w:t>overnment that is to apply in relation to the performance of any of the ACMA’s spectrum management functions; or the exercise of any of the ACMA’s spectrum management powers</w:t>
      </w:r>
      <w:r w:rsidR="00827A1B">
        <w:t>.</w:t>
      </w:r>
      <w:r>
        <w:rPr>
          <w:rStyle w:val="FootnoteReference"/>
        </w:rPr>
        <w:footnoteReference w:id="8"/>
      </w:r>
      <w:r>
        <w:t xml:space="preserve"> The ACMA must </w:t>
      </w:r>
      <w:r w:rsidR="00DE22B6">
        <w:t>consider</w:t>
      </w:r>
      <w:r>
        <w:t xml:space="preserve"> </w:t>
      </w:r>
      <w:r w:rsidR="004C18C3">
        <w:t xml:space="preserve">any </w:t>
      </w:r>
      <w:r>
        <w:t xml:space="preserve">MPS in exercising its powers and performing its actions under </w:t>
      </w:r>
      <w:r w:rsidR="00DC60D1">
        <w:t>the Radiocommunications Act</w:t>
      </w:r>
      <w:r>
        <w:t>.</w:t>
      </w:r>
    </w:p>
    <w:p w14:paraId="79E1EFBF" w14:textId="77777777" w:rsidR="00702DD1" w:rsidRDefault="00970C79" w:rsidP="00702DD1">
      <w:pPr>
        <w:pStyle w:val="Heading3"/>
      </w:pPr>
      <w:r>
        <w:t xml:space="preserve">Industry and international </w:t>
      </w:r>
    </w:p>
    <w:p w14:paraId="4482B3C3" w14:textId="768AA56E" w:rsidR="00EA2DC5" w:rsidRDefault="00EA2DC5" w:rsidP="00EA2DC5">
      <w:pPr>
        <w:pStyle w:val="Numberedparagraph"/>
      </w:pPr>
      <w:r>
        <w:t xml:space="preserve">The Radiocommunications Act now </w:t>
      </w:r>
      <w:r w:rsidRPr="00103C69">
        <w:t>require</w:t>
      </w:r>
      <w:r>
        <w:t>s, under section 28E,</w:t>
      </w:r>
      <w:r w:rsidRPr="00103C69">
        <w:t xml:space="preserve"> that once each financial year, the ACMA must determine a work program of not less than </w:t>
      </w:r>
      <w:r w:rsidR="00DE22B6">
        <w:t>5</w:t>
      </w:r>
      <w:r w:rsidR="00DE22B6" w:rsidRPr="00103C69">
        <w:t xml:space="preserve"> </w:t>
      </w:r>
      <w:r w:rsidRPr="00103C69">
        <w:t xml:space="preserve">financial years. This gives legislative recognition to </w:t>
      </w:r>
      <w:r w:rsidR="00E313A5">
        <w:t>the ACMA’s</w:t>
      </w:r>
      <w:r w:rsidR="00E313A5" w:rsidRPr="00103C69">
        <w:t xml:space="preserve"> </w:t>
      </w:r>
      <w:r w:rsidRPr="00103C69">
        <w:t xml:space="preserve">practice of publishing a </w:t>
      </w:r>
      <w:hyperlink r:id="rId33" w:history="1">
        <w:r w:rsidRPr="004C18C3">
          <w:rPr>
            <w:rStyle w:val="Hyperlink"/>
          </w:rPr>
          <w:t>f</w:t>
        </w:r>
        <w:r w:rsidRPr="004C18C3" w:rsidDel="002730A8">
          <w:rPr>
            <w:rStyle w:val="Hyperlink"/>
          </w:rPr>
          <w:t>ive-year spectrum outlook</w:t>
        </w:r>
      </w:hyperlink>
      <w:r w:rsidDel="002730A8">
        <w:t xml:space="preserve"> (</w:t>
      </w:r>
      <w:r w:rsidRPr="00B53F89" w:rsidDel="002730A8">
        <w:t>FYSO</w:t>
      </w:r>
      <w:r w:rsidDel="002730A8">
        <w:t>)</w:t>
      </w:r>
      <w:r>
        <w:t xml:space="preserve"> </w:t>
      </w:r>
      <w:r w:rsidRPr="00103C69">
        <w:t>and a detailed annual work program</w:t>
      </w:r>
      <w:r w:rsidR="00B3236B">
        <w:t>.</w:t>
      </w:r>
      <w:r>
        <w:t xml:space="preserve"> </w:t>
      </w:r>
    </w:p>
    <w:p w14:paraId="65371375" w14:textId="5AB345E9" w:rsidR="00EA2DC5" w:rsidRPr="00702EA1" w:rsidRDefault="00EA2DC5" w:rsidP="00EA2DC5">
      <w:pPr>
        <w:pStyle w:val="Numberedparagraph"/>
      </w:pPr>
      <w:r>
        <w:t>In the FYSO, the ACMA considers the</w:t>
      </w:r>
      <w:r w:rsidRPr="00D60F4C">
        <w:t xml:space="preserve"> drivers likely to shape </w:t>
      </w:r>
      <w:r>
        <w:t>spectrum</w:t>
      </w:r>
      <w:r w:rsidRPr="00D60F4C">
        <w:t xml:space="preserve"> demand </w:t>
      </w:r>
      <w:r>
        <w:t xml:space="preserve">and spectrum management requirements </w:t>
      </w:r>
      <w:r w:rsidRPr="00D60F4C">
        <w:t>over the next 5 years</w:t>
      </w:r>
      <w:r>
        <w:t xml:space="preserve">. This informs the detailed work program the ACMA </w:t>
      </w:r>
      <w:r w:rsidR="00DE22B6">
        <w:t>develops</w:t>
      </w:r>
      <w:r w:rsidR="004C18C3">
        <w:t>, in consultation with industry,</w:t>
      </w:r>
      <w:r>
        <w:t xml:space="preserve"> for the financial year </w:t>
      </w:r>
      <w:r w:rsidR="00DE22B6">
        <w:t xml:space="preserve">that </w:t>
      </w:r>
      <w:r>
        <w:t>can involve modification to existing elements or the creation of new elements within the spectrum planning framework.</w:t>
      </w:r>
    </w:p>
    <w:p w14:paraId="2A14EC38" w14:textId="5023FFED" w:rsidR="00B46585" w:rsidRDefault="0000412B" w:rsidP="0099697E">
      <w:pPr>
        <w:pStyle w:val="Numberedparagraph"/>
      </w:pPr>
      <w:r>
        <w:lastRenderedPageBreak/>
        <w:t xml:space="preserve">Australia is a member of the </w:t>
      </w:r>
      <w:hyperlink r:id="rId34" w:history="1">
        <w:r w:rsidRPr="006848F3">
          <w:rPr>
            <w:rStyle w:val="Hyperlink"/>
          </w:rPr>
          <w:t>International Telecommunication Union</w:t>
        </w:r>
      </w:hyperlink>
      <w:r w:rsidRPr="005B2278">
        <w:t xml:space="preserve"> (ITU)</w:t>
      </w:r>
      <w:r>
        <w:t xml:space="preserve"> and</w:t>
      </w:r>
      <w:r w:rsidRPr="005B2278">
        <w:t xml:space="preserve"> </w:t>
      </w:r>
      <w:r w:rsidR="001F331E">
        <w:t xml:space="preserve">the </w:t>
      </w:r>
      <w:hyperlink r:id="rId35" w:history="1">
        <w:r w:rsidRPr="001F331E">
          <w:rPr>
            <w:rStyle w:val="Hyperlink"/>
          </w:rPr>
          <w:t xml:space="preserve">Asia-Pacific </w:t>
        </w:r>
        <w:proofErr w:type="spellStart"/>
        <w:r w:rsidRPr="001F331E">
          <w:rPr>
            <w:rStyle w:val="Hyperlink"/>
          </w:rPr>
          <w:t>Telecommunity</w:t>
        </w:r>
        <w:proofErr w:type="spellEnd"/>
        <w:r w:rsidRPr="001F331E" w:rsidDel="006B3A86">
          <w:rPr>
            <w:rStyle w:val="Hyperlink"/>
          </w:rPr>
          <w:t xml:space="preserve"> </w:t>
        </w:r>
        <w:r w:rsidRPr="001F331E">
          <w:rPr>
            <w:rStyle w:val="Hyperlink"/>
          </w:rPr>
          <w:t>(APT)</w:t>
        </w:r>
      </w:hyperlink>
      <w:r>
        <w:t xml:space="preserve">. Australia is also signatory to </w:t>
      </w:r>
      <w:hyperlink r:id="rId36" w:history="1">
        <w:r w:rsidR="009420C9" w:rsidRPr="006848F3">
          <w:rPr>
            <w:rStyle w:val="Hyperlink"/>
          </w:rPr>
          <w:t>Radio Regulations</w:t>
        </w:r>
      </w:hyperlink>
      <w:r w:rsidR="009420C9">
        <w:t xml:space="preserve"> of the ITU </w:t>
      </w:r>
      <w:r>
        <w:t xml:space="preserve">that influence the management of the spectrum </w:t>
      </w:r>
      <w:r w:rsidR="006848F3">
        <w:t>in Australi</w:t>
      </w:r>
      <w:r w:rsidR="009420C9">
        <w:t>a</w:t>
      </w:r>
      <w:r w:rsidR="006848F3">
        <w:t xml:space="preserve">. </w:t>
      </w:r>
    </w:p>
    <w:p w14:paraId="27BDBB40" w14:textId="1D5AF232" w:rsidR="008C388D" w:rsidRDefault="006848F3" w:rsidP="0099697E">
      <w:pPr>
        <w:pStyle w:val="Numberedparagraph"/>
      </w:pPr>
      <w:r>
        <w:t xml:space="preserve">The </w:t>
      </w:r>
      <w:hyperlink r:id="rId37" w:history="1">
        <w:r w:rsidRPr="006848F3">
          <w:rPr>
            <w:rStyle w:val="Hyperlink"/>
          </w:rPr>
          <w:t>ITU Radiocommunication Sector</w:t>
        </w:r>
      </w:hyperlink>
      <w:r>
        <w:t xml:space="preserve"> (ITU-R) also develop </w:t>
      </w:r>
      <w:hyperlink r:id="rId38" w:history="1">
        <w:r w:rsidR="00B46585" w:rsidRPr="00B46585">
          <w:rPr>
            <w:rStyle w:val="Hyperlink"/>
          </w:rPr>
          <w:t>publications</w:t>
        </w:r>
      </w:hyperlink>
      <w:r w:rsidR="00B46585">
        <w:t xml:space="preserve"> such as </w:t>
      </w:r>
      <w:r w:rsidR="00DE22B6">
        <w:t>r</w:t>
      </w:r>
      <w:r>
        <w:t xml:space="preserve">eports and </w:t>
      </w:r>
      <w:r w:rsidR="00DE22B6">
        <w:t>r</w:t>
      </w:r>
      <w:r>
        <w:t>ecommendations</w:t>
      </w:r>
      <w:r w:rsidR="00B46585">
        <w:t>. W</w:t>
      </w:r>
      <w:r>
        <w:t xml:space="preserve">hile generally not binding, </w:t>
      </w:r>
      <w:r w:rsidR="00B46585">
        <w:t>both provide guidance on technical measures relevant to the development of domestic planning frameworks and can become de</w:t>
      </w:r>
      <w:r w:rsidR="00CE4D1D">
        <w:t xml:space="preserve"> </w:t>
      </w:r>
      <w:r w:rsidR="00B46585">
        <w:t>facto ‘standards</w:t>
      </w:r>
      <w:r w:rsidR="00CC15F8">
        <w:t>’</w:t>
      </w:r>
      <w:r w:rsidR="00B46585">
        <w:t xml:space="preserve"> for some radiocommunications systems. </w:t>
      </w:r>
    </w:p>
    <w:p w14:paraId="1FB36865" w14:textId="1AE6F367" w:rsidR="0000412B" w:rsidRDefault="005E7F81" w:rsidP="0099697E">
      <w:pPr>
        <w:pStyle w:val="Numberedparagraph"/>
      </w:pPr>
      <w:r>
        <w:t xml:space="preserve">Other international organisations such </w:t>
      </w:r>
      <w:r w:rsidR="008C388D">
        <w:t xml:space="preserve">as </w:t>
      </w:r>
      <w:r w:rsidR="00C86DCE">
        <w:t xml:space="preserve">the </w:t>
      </w:r>
      <w:hyperlink r:id="rId39" w:history="1">
        <w:r w:rsidR="008C388D" w:rsidRPr="004C18C3">
          <w:rPr>
            <w:rStyle w:val="Hyperlink"/>
          </w:rPr>
          <w:t>International Civil Aviation Organization</w:t>
        </w:r>
      </w:hyperlink>
      <w:r w:rsidR="008C388D">
        <w:t xml:space="preserve"> (ICAO) </w:t>
      </w:r>
      <w:r w:rsidR="00522992">
        <w:t xml:space="preserve">and </w:t>
      </w:r>
      <w:hyperlink r:id="rId40" w:history="1">
        <w:r w:rsidR="00522992" w:rsidRPr="004C18C3">
          <w:rPr>
            <w:rStyle w:val="Hyperlink"/>
          </w:rPr>
          <w:t>the</w:t>
        </w:r>
        <w:r w:rsidR="008C388D" w:rsidRPr="004C18C3">
          <w:rPr>
            <w:rStyle w:val="Hyperlink"/>
          </w:rPr>
          <w:t xml:space="preserve"> International Maritime Organisation</w:t>
        </w:r>
      </w:hyperlink>
      <w:r w:rsidR="008C388D">
        <w:t xml:space="preserve"> (IMO)</w:t>
      </w:r>
      <w:r w:rsidR="00522992">
        <w:t>,</w:t>
      </w:r>
      <w:r w:rsidR="008C388D">
        <w:t xml:space="preserve"> also have direct and indirect (via relevant industries</w:t>
      </w:r>
      <w:r w:rsidR="003B70DA">
        <w:t xml:space="preserve"> with</w:t>
      </w:r>
      <w:r w:rsidR="002233C2">
        <w:t>in</w:t>
      </w:r>
      <w:r w:rsidR="003B70DA">
        <w:t xml:space="preserve"> member states</w:t>
      </w:r>
      <w:r w:rsidR="008C388D">
        <w:t xml:space="preserve">) influences on domestic spectrum planning. In addition, international peer spectrum regulators (such as </w:t>
      </w:r>
      <w:hyperlink r:id="rId41" w:history="1">
        <w:proofErr w:type="spellStart"/>
        <w:r w:rsidR="008C388D" w:rsidRPr="00ED3D4A">
          <w:rPr>
            <w:rStyle w:val="Hyperlink"/>
          </w:rPr>
          <w:t>Ofcom</w:t>
        </w:r>
        <w:proofErr w:type="spellEnd"/>
      </w:hyperlink>
      <w:r w:rsidR="008C388D">
        <w:t xml:space="preserve"> </w:t>
      </w:r>
      <w:r w:rsidR="00ED3D4A">
        <w:t xml:space="preserve">in the United Kingdom </w:t>
      </w:r>
      <w:r w:rsidR="008C388D">
        <w:t xml:space="preserve">and the </w:t>
      </w:r>
      <w:hyperlink r:id="rId42" w:history="1">
        <w:r w:rsidR="00ED3D4A" w:rsidRPr="00070813">
          <w:rPr>
            <w:rStyle w:val="Hyperlink"/>
          </w:rPr>
          <w:t>Federal Communications Commission</w:t>
        </w:r>
      </w:hyperlink>
      <w:r w:rsidR="00ED3D4A">
        <w:t xml:space="preserve"> (</w:t>
      </w:r>
      <w:r w:rsidR="008C388D">
        <w:t>FCC</w:t>
      </w:r>
      <w:r w:rsidR="00ED3D4A">
        <w:t>) in the United States</w:t>
      </w:r>
      <w:r w:rsidR="008C388D">
        <w:t>), and regional bodies (such as</w:t>
      </w:r>
      <w:r w:rsidR="00ED3D4A">
        <w:t xml:space="preserve"> </w:t>
      </w:r>
      <w:r w:rsidR="00070813">
        <w:t xml:space="preserve">the </w:t>
      </w:r>
      <w:hyperlink r:id="rId43" w:history="1">
        <w:r w:rsidR="00070813" w:rsidRPr="00070813">
          <w:rPr>
            <w:rStyle w:val="Hyperlink"/>
          </w:rPr>
          <w:t>European Conference of Postal and Telecommunications Administrations</w:t>
        </w:r>
      </w:hyperlink>
      <w:r w:rsidR="00070813">
        <w:t xml:space="preserve"> (</w:t>
      </w:r>
      <w:r w:rsidR="008C388D">
        <w:t>CEPT</w:t>
      </w:r>
      <w:r w:rsidR="00070813">
        <w:t>)</w:t>
      </w:r>
      <w:r w:rsidR="008C388D">
        <w:t xml:space="preserve">) </w:t>
      </w:r>
      <w:r>
        <w:t xml:space="preserve">often consider similar issues to that faced in Australia and hence can be useful sources of information and learnings when considering approaches in Australia. </w:t>
      </w:r>
    </w:p>
    <w:p w14:paraId="54B810B7" w14:textId="6E629838" w:rsidR="0099697E" w:rsidRDefault="0000412B" w:rsidP="0099697E">
      <w:pPr>
        <w:pStyle w:val="Numberedparagraph"/>
      </w:pPr>
      <w:r>
        <w:t xml:space="preserve">As a part of international trade markets, Australia is influenced by </w:t>
      </w:r>
      <w:r w:rsidR="006848F3">
        <w:t>industry technology specifications/</w:t>
      </w:r>
      <w:r>
        <w:t xml:space="preserve">standards, such as those developed by the </w:t>
      </w:r>
      <w:hyperlink r:id="rId44" w:history="1">
        <w:r w:rsidR="00970C79" w:rsidRPr="00B46585">
          <w:rPr>
            <w:rStyle w:val="Hyperlink"/>
          </w:rPr>
          <w:t>3GPP</w:t>
        </w:r>
      </w:hyperlink>
      <w:r w:rsidR="00A5012B">
        <w:t xml:space="preserve"> and</w:t>
      </w:r>
      <w:r w:rsidR="00970C79">
        <w:t xml:space="preserve"> </w:t>
      </w:r>
      <w:hyperlink r:id="rId45" w:history="1">
        <w:r w:rsidR="00970C79" w:rsidRPr="00B46585">
          <w:rPr>
            <w:rStyle w:val="Hyperlink"/>
          </w:rPr>
          <w:t>IEEE</w:t>
        </w:r>
      </w:hyperlink>
      <w:r w:rsidR="00A5012B">
        <w:t xml:space="preserve">, </w:t>
      </w:r>
      <w:r w:rsidR="005E7F81">
        <w:t xml:space="preserve">and developments in equipment markets. </w:t>
      </w:r>
      <w:r w:rsidR="006848F3">
        <w:t>Where</w:t>
      </w:r>
      <w:r w:rsidR="00F62B93">
        <w:t xml:space="preserve"> possible</w:t>
      </w:r>
      <w:r w:rsidR="006848F3">
        <w:t xml:space="preserve">, </w:t>
      </w:r>
      <w:r w:rsidR="00F021BB">
        <w:t>implementing</w:t>
      </w:r>
      <w:r w:rsidR="00A5012B">
        <w:t xml:space="preserve"> spectrum planning arrangements </w:t>
      </w:r>
      <w:r w:rsidR="00F021BB">
        <w:t xml:space="preserve">that </w:t>
      </w:r>
      <w:r w:rsidR="00B46585">
        <w:t>can</w:t>
      </w:r>
      <w:r w:rsidR="00A5012B">
        <w:t xml:space="preserve"> accommodate technologies developed for the global market is important to ensure Australians benefit from </w:t>
      </w:r>
      <w:r w:rsidR="006848F3">
        <w:t xml:space="preserve">the associated </w:t>
      </w:r>
      <w:r w:rsidR="00A5012B">
        <w:t>economies of scale</w:t>
      </w:r>
      <w:r w:rsidR="00B46585">
        <w:t xml:space="preserve"> and roaming opportunities</w:t>
      </w:r>
      <w:r w:rsidR="00A5012B">
        <w:t xml:space="preserve">. </w:t>
      </w:r>
    </w:p>
    <w:p w14:paraId="2D71D7E1" w14:textId="63A0580B" w:rsidR="00194878" w:rsidRDefault="008C388D" w:rsidP="0099697E">
      <w:pPr>
        <w:pStyle w:val="Numberedparagraph"/>
      </w:pPr>
      <w:r>
        <w:t>Finally</w:t>
      </w:r>
      <w:r w:rsidR="00B3236B">
        <w:t>,</w:t>
      </w:r>
      <w:r>
        <w:t xml:space="preserve"> </w:t>
      </w:r>
      <w:r w:rsidRPr="00E313A5">
        <w:t xml:space="preserve">domestic industry </w:t>
      </w:r>
      <w:r w:rsidR="001F1F61" w:rsidRPr="00E313A5">
        <w:t xml:space="preserve">(government, commercial and </w:t>
      </w:r>
      <w:r w:rsidR="00136C3E" w:rsidRPr="00E313A5">
        <w:t>n</w:t>
      </w:r>
      <w:r w:rsidR="001F1F61" w:rsidRPr="00E313A5">
        <w:t xml:space="preserve">on-commercial), </w:t>
      </w:r>
      <w:r w:rsidR="00522992" w:rsidRPr="00E313A5">
        <w:t>individual organisations and peak bodies</w:t>
      </w:r>
      <w:r w:rsidR="00522992">
        <w:t xml:space="preserve"> </w:t>
      </w:r>
      <w:r w:rsidR="005E7F81">
        <w:t xml:space="preserve">are key influences </w:t>
      </w:r>
      <w:r>
        <w:t xml:space="preserve">in </w:t>
      </w:r>
      <w:r w:rsidR="00B3236B">
        <w:t xml:space="preserve">informing </w:t>
      </w:r>
      <w:r>
        <w:t>domestic spectrum planning</w:t>
      </w:r>
      <w:r w:rsidR="0005252C">
        <w:t xml:space="preserve"> decisions</w:t>
      </w:r>
      <w:r w:rsidR="00522992">
        <w:t xml:space="preserve">. This </w:t>
      </w:r>
      <w:r w:rsidR="0005252C">
        <w:t xml:space="preserve">is </w:t>
      </w:r>
      <w:r w:rsidR="00522992">
        <w:t>not only from the perspective of being the source for spectrum demand to deliver their services, but also as experts in the technologies used</w:t>
      </w:r>
      <w:r w:rsidR="00FB7AEB">
        <w:t xml:space="preserve"> and services provided</w:t>
      </w:r>
      <w:r w:rsidR="00522992">
        <w:t xml:space="preserve">. </w:t>
      </w:r>
    </w:p>
    <w:p w14:paraId="772D5E58" w14:textId="40DCD0A9" w:rsidR="005E7F81" w:rsidRPr="00702EA1" w:rsidRDefault="005E7F81" w:rsidP="005E7F81">
      <w:pPr>
        <w:pStyle w:val="Heading1"/>
      </w:pPr>
      <w:bookmarkStart w:id="11" w:name="_Toc93937972"/>
      <w:bookmarkStart w:id="12" w:name="_Toc148084733"/>
      <w:r>
        <w:lastRenderedPageBreak/>
        <w:t xml:space="preserve">Spectrum planning </w:t>
      </w:r>
      <w:proofErr w:type="gramStart"/>
      <w:r>
        <w:t>framework</w:t>
      </w:r>
      <w:bookmarkEnd w:id="11"/>
      <w:bookmarkEnd w:id="12"/>
      <w:proofErr w:type="gramEnd"/>
    </w:p>
    <w:p w14:paraId="08748313" w14:textId="77777777" w:rsidR="00A6799F" w:rsidRDefault="00A6799F" w:rsidP="004C7A0E">
      <w:pPr>
        <w:pStyle w:val="Heading2"/>
      </w:pPr>
      <w:bookmarkStart w:id="13" w:name="_Toc148084734"/>
      <w:r>
        <w:t>Introduction</w:t>
      </w:r>
      <w:bookmarkEnd w:id="13"/>
    </w:p>
    <w:p w14:paraId="01E9924A" w14:textId="3BE082E6" w:rsidR="005E7F81" w:rsidRDefault="000455F5" w:rsidP="002B09C2">
      <w:pPr>
        <w:pStyle w:val="Numberedparagraph"/>
        <w:spacing w:after="80"/>
      </w:pPr>
      <w:r>
        <w:t xml:space="preserve">The </w:t>
      </w:r>
      <w:r w:rsidR="002E2E7D">
        <w:t xml:space="preserve">spectrum </w:t>
      </w:r>
      <w:r>
        <w:t xml:space="preserve">planning framework </w:t>
      </w:r>
      <w:r w:rsidR="00D44618">
        <w:t>is</w:t>
      </w:r>
      <w:r w:rsidR="00A404D9">
        <w:t xml:space="preserve"> </w:t>
      </w:r>
      <w:r w:rsidR="00830C85">
        <w:t xml:space="preserve">expressed through a </w:t>
      </w:r>
      <w:r>
        <w:t xml:space="preserve">collection of legislative and administrative policy documentation that </w:t>
      </w:r>
      <w:r w:rsidR="005E7F81">
        <w:t xml:space="preserve">can be categorised as </w:t>
      </w:r>
      <w:r w:rsidR="00A26DD4">
        <w:t>addressing</w:t>
      </w:r>
      <w:r w:rsidR="005E7F81">
        <w:t>:</w:t>
      </w:r>
    </w:p>
    <w:p w14:paraId="74593F32" w14:textId="0A1BBC0B" w:rsidR="00253315" w:rsidRDefault="00253315" w:rsidP="00253315">
      <w:pPr>
        <w:pStyle w:val="Bulletlevel1"/>
      </w:pPr>
      <w:r w:rsidRPr="00C166DC">
        <w:rPr>
          <w:b/>
          <w:bCs/>
        </w:rPr>
        <w:t>band planning</w:t>
      </w:r>
      <w:r w:rsidR="00993F09">
        <w:t xml:space="preserve"> </w:t>
      </w:r>
      <w:r>
        <w:t xml:space="preserve">– </w:t>
      </w:r>
      <w:r w:rsidR="0054008B">
        <w:t>establishe</w:t>
      </w:r>
      <w:r w:rsidR="00082F6D">
        <w:t>s</w:t>
      </w:r>
      <w:r w:rsidR="0054008B">
        <w:t xml:space="preserve"> the general </w:t>
      </w:r>
      <w:r w:rsidR="002565CB">
        <w:t xml:space="preserve">intended </w:t>
      </w:r>
      <w:r>
        <w:t xml:space="preserve">uses of </w:t>
      </w:r>
      <w:r w:rsidR="0054008B">
        <w:t>spectrum</w:t>
      </w:r>
      <w:r w:rsidR="00906CBC">
        <w:t xml:space="preserve"> space</w:t>
      </w:r>
      <w:r w:rsidR="0054008B">
        <w:t xml:space="preserve"> (</w:t>
      </w:r>
      <w:r w:rsidR="00906CBC">
        <w:t>geography and frequency range (band))</w:t>
      </w:r>
      <w:r w:rsidR="0054008B">
        <w:t xml:space="preserve">  </w:t>
      </w:r>
    </w:p>
    <w:p w14:paraId="1EDA5E39" w14:textId="216E5CF7" w:rsidR="00253315" w:rsidRDefault="00253315" w:rsidP="00253315">
      <w:pPr>
        <w:pStyle w:val="Bulletlevel1"/>
      </w:pPr>
      <w:r w:rsidRPr="00C166DC">
        <w:rPr>
          <w:b/>
          <w:bCs/>
        </w:rPr>
        <w:t>frequency assignment</w:t>
      </w:r>
      <w:r w:rsidR="00993F09">
        <w:t xml:space="preserve"> </w:t>
      </w:r>
      <w:r>
        <w:t>–</w:t>
      </w:r>
      <w:r w:rsidR="00993F09">
        <w:t xml:space="preserve"> </w:t>
      </w:r>
      <w:r>
        <w:t xml:space="preserve">defines </w:t>
      </w:r>
      <w:r w:rsidR="0054008B">
        <w:t xml:space="preserve">the processes for </w:t>
      </w:r>
      <w:r w:rsidR="00074631">
        <w:t>identifying individual</w:t>
      </w:r>
      <w:r w:rsidR="0054008B">
        <w:t xml:space="preserve"> </w:t>
      </w:r>
      <w:r>
        <w:t xml:space="preserve">spectrum </w:t>
      </w:r>
      <w:r w:rsidR="00E526A3">
        <w:t xml:space="preserve">access arrangements for specific </w:t>
      </w:r>
      <w:proofErr w:type="gramStart"/>
      <w:r>
        <w:t>users</w:t>
      </w:r>
      <w:proofErr w:type="gramEnd"/>
    </w:p>
    <w:p w14:paraId="3A5D6A54" w14:textId="6ABBF89D" w:rsidR="00253315" w:rsidRDefault="00253315" w:rsidP="00253315">
      <w:pPr>
        <w:pStyle w:val="Bulletlevel1last"/>
      </w:pPr>
      <w:r w:rsidRPr="00C166DC">
        <w:rPr>
          <w:b/>
          <w:bCs/>
        </w:rPr>
        <w:t xml:space="preserve">licence </w:t>
      </w:r>
      <w:r w:rsidR="00CC15F8" w:rsidRPr="00C166DC">
        <w:rPr>
          <w:b/>
          <w:bCs/>
        </w:rPr>
        <w:t>conditions</w:t>
      </w:r>
      <w:r w:rsidR="00D94615">
        <w:t xml:space="preserve"> </w:t>
      </w:r>
      <w:r>
        <w:t xml:space="preserve">– define the conditions </w:t>
      </w:r>
      <w:r w:rsidR="00993F09">
        <w:t>of operation</w:t>
      </w:r>
      <w:r>
        <w:t>.</w:t>
      </w:r>
    </w:p>
    <w:p w14:paraId="33C9A64D" w14:textId="195E7D62" w:rsidR="00D44618" w:rsidRDefault="00D44618" w:rsidP="005E7F81">
      <w:pPr>
        <w:pStyle w:val="Numberedparagraph"/>
      </w:pPr>
      <w:r>
        <w:t xml:space="preserve">This categorisation has no formal basis and is used here solely to </w:t>
      </w:r>
      <w:r w:rsidR="00E964E4">
        <w:t xml:space="preserve">assist </w:t>
      </w:r>
      <w:r>
        <w:t>understanding. As a model</w:t>
      </w:r>
      <w:r w:rsidR="00887DFB">
        <w:t>,</w:t>
      </w:r>
      <w:r>
        <w:t xml:space="preserve"> it is not perfect with some elements </w:t>
      </w:r>
      <w:r w:rsidR="00887DFB">
        <w:t>of</w:t>
      </w:r>
      <w:r>
        <w:t xml:space="preserve"> the </w:t>
      </w:r>
      <w:r w:rsidR="00887DFB">
        <w:t>framework overlapping each other</w:t>
      </w:r>
      <w:r w:rsidR="00E964E4">
        <w:t>,</w:t>
      </w:r>
      <w:r w:rsidR="00887DFB">
        <w:t xml:space="preserve"> for example. </w:t>
      </w:r>
    </w:p>
    <w:p w14:paraId="0706C9D7" w14:textId="53F57079" w:rsidR="00B51541" w:rsidRDefault="005E7F81" w:rsidP="005E7F81">
      <w:pPr>
        <w:pStyle w:val="Numberedparagraph"/>
      </w:pPr>
      <w:r>
        <w:t xml:space="preserve">This model is </w:t>
      </w:r>
      <w:r w:rsidRPr="00CC15F8">
        <w:t>illustrated in Figure 2 with each layer and element (document) discussed in greater detail under the framework and</w:t>
      </w:r>
      <w:r>
        <w:t xml:space="preserve"> element sections below. Appendix </w:t>
      </w:r>
      <w:r w:rsidR="00E40A51">
        <w:t>A</w:t>
      </w:r>
      <w:r>
        <w:t xml:space="preserve"> contains a full-page version of Figure 2. Appendix </w:t>
      </w:r>
      <w:r w:rsidR="00E40A51">
        <w:t>B</w:t>
      </w:r>
      <w:r>
        <w:t xml:space="preserve"> provides similar information in a tabular form.</w:t>
      </w:r>
    </w:p>
    <w:p w14:paraId="1CED80C1" w14:textId="72145E30" w:rsidR="00B51541" w:rsidRDefault="006C64C2" w:rsidP="00B51541">
      <w:pPr>
        <w:pStyle w:val="Figureheading"/>
      </w:pPr>
      <w:r>
        <w:t>Sp</w:t>
      </w:r>
      <w:r w:rsidR="00B51541">
        <w:t xml:space="preserve">ectrum planning </w:t>
      </w:r>
      <w:proofErr w:type="gramStart"/>
      <w:r w:rsidR="00B51541">
        <w:t>framework</w:t>
      </w:r>
      <w:proofErr w:type="gramEnd"/>
    </w:p>
    <w:p w14:paraId="6280B428" w14:textId="6881A087" w:rsidR="005C023F" w:rsidRDefault="00350775" w:rsidP="00B51541">
      <w:pPr>
        <w:pStyle w:val="Bulletlevel1last"/>
        <w:numPr>
          <w:ilvl w:val="0"/>
          <w:numId w:val="0"/>
        </w:numPr>
      </w:pPr>
      <w:r>
        <w:rPr>
          <w:noProof/>
        </w:rPr>
        <w:drawing>
          <wp:inline distT="0" distB="0" distL="0" distR="0" wp14:anchorId="4FF84464" wp14:editId="68A4F01B">
            <wp:extent cx="6489065" cy="3783857"/>
            <wp:effectExtent l="0" t="0" r="6985" b="762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46"/>
                    <a:srcRect l="923" t="1974"/>
                    <a:stretch/>
                  </pic:blipFill>
                  <pic:spPr bwMode="auto">
                    <a:xfrm>
                      <a:off x="0" y="0"/>
                      <a:ext cx="6489246" cy="3783963"/>
                    </a:xfrm>
                    <a:prstGeom prst="rect">
                      <a:avLst/>
                    </a:prstGeom>
                    <a:ln>
                      <a:noFill/>
                    </a:ln>
                    <a:extLst>
                      <a:ext uri="{53640926-AAD7-44D8-BBD7-CCE9431645EC}">
                        <a14:shadowObscured xmlns:a14="http://schemas.microsoft.com/office/drawing/2010/main"/>
                      </a:ext>
                    </a:extLst>
                  </pic:spPr>
                </pic:pic>
              </a:graphicData>
            </a:graphic>
          </wp:inline>
        </w:drawing>
      </w:r>
      <w:r w:rsidR="00415E85">
        <w:rPr>
          <w:noProof/>
        </w:rPr>
        <w:t xml:space="preserve"> </w:t>
      </w:r>
    </w:p>
    <w:p w14:paraId="197C7678" w14:textId="66D0BBE3" w:rsidR="005E7F81" w:rsidRPr="00702EA1" w:rsidRDefault="005E7F81" w:rsidP="005E7F81">
      <w:pPr>
        <w:pStyle w:val="Numberedparagraph"/>
      </w:pPr>
      <w:r>
        <w:t xml:space="preserve">While many of the elements of the framework are applicable across all </w:t>
      </w:r>
      <w:proofErr w:type="gramStart"/>
      <w:r w:rsidR="00B640FB">
        <w:t>spectrum</w:t>
      </w:r>
      <w:proofErr w:type="gramEnd"/>
      <w:r w:rsidR="00B640FB">
        <w:t xml:space="preserve"> uses</w:t>
      </w:r>
      <w:r>
        <w:t xml:space="preserve">, some are unique to a particular service </w:t>
      </w:r>
      <w:r w:rsidR="0000385E">
        <w:t xml:space="preserve">allocation </w:t>
      </w:r>
      <w:r>
        <w:t xml:space="preserve">or planning scenario. These are further discussed as case studies in the next chapter. </w:t>
      </w:r>
    </w:p>
    <w:p w14:paraId="6E6ACFB2" w14:textId="3E6EE9DE" w:rsidR="00470FC7" w:rsidRPr="00702EA1" w:rsidRDefault="00470FC7" w:rsidP="00470FC7">
      <w:pPr>
        <w:pStyle w:val="Heading3"/>
      </w:pPr>
      <w:r>
        <w:lastRenderedPageBreak/>
        <w:t>Administrative policy documents v</w:t>
      </w:r>
      <w:r w:rsidR="00E313A5">
        <w:t>ersu</w:t>
      </w:r>
      <w:r>
        <w:t>s legislative instruments</w:t>
      </w:r>
    </w:p>
    <w:p w14:paraId="28D560D1" w14:textId="0A585B4F" w:rsidR="00470FC7" w:rsidRDefault="00F62B93" w:rsidP="00470FC7">
      <w:pPr>
        <w:pStyle w:val="Numberedparagraph"/>
      </w:pPr>
      <w:r>
        <w:t>T</w:t>
      </w:r>
      <w:r w:rsidR="00470FC7">
        <w:t xml:space="preserve">he spectrum planning framework comprises administrative policy documents and legislative instruments. In some cases, there is flexibility in whether an administrative </w:t>
      </w:r>
      <w:r w:rsidR="008D31A3">
        <w:t xml:space="preserve">policy </w:t>
      </w:r>
      <w:r w:rsidR="00470FC7">
        <w:t xml:space="preserve">or a legislative </w:t>
      </w:r>
      <w:r w:rsidR="008D31A3">
        <w:t xml:space="preserve">instrument is the preferred implementation path </w:t>
      </w:r>
      <w:r w:rsidR="00470FC7">
        <w:t>to achieve a desired outcome. However, in other cases, a legislative path is either not required or not available</w:t>
      </w:r>
      <w:r w:rsidR="008D31A3">
        <w:t>,</w:t>
      </w:r>
      <w:r w:rsidR="00470FC7">
        <w:t xml:space="preserve"> hence necessitating the use of administrative policy tools. </w:t>
      </w:r>
    </w:p>
    <w:p w14:paraId="7912445D" w14:textId="7AB3A47C" w:rsidR="00CC15F8" w:rsidRDefault="00A566F6" w:rsidP="00A566F6">
      <w:pPr>
        <w:pStyle w:val="Numberedparagraph"/>
      </w:pPr>
      <w:r>
        <w:t xml:space="preserve">When there is discretion available to the ACMA, the choice between legislative or administrative approaches often comes down to </w:t>
      </w:r>
      <w:r w:rsidR="008D31A3">
        <w:t xml:space="preserve">balancing </w:t>
      </w:r>
      <w:r>
        <w:t>the flexibility afforded under administrative measures versus the predictability or certainty provided by a legislative instrument</w:t>
      </w:r>
      <w:r w:rsidR="00F52D32">
        <w:t>.</w:t>
      </w:r>
      <w:r w:rsidR="00073F13">
        <w:rPr>
          <w:rStyle w:val="FootnoteReference"/>
        </w:rPr>
        <w:footnoteReference w:id="9"/>
      </w:r>
      <w:r w:rsidR="00F52D32">
        <w:t xml:space="preserve"> </w:t>
      </w:r>
      <w:r>
        <w:t xml:space="preserve">The ACMA makes decisions on the appropriate </w:t>
      </w:r>
      <w:r w:rsidR="00743902">
        <w:t xml:space="preserve">approach </w:t>
      </w:r>
      <w:r>
        <w:t xml:space="preserve">for a band and/or proposed use based on the merits of each approach in the context of the particular circumstances of the band/use. </w:t>
      </w:r>
      <w:r w:rsidR="00A11E22">
        <w:t xml:space="preserve">In some cases, a transition from administrative to legislative arrangements, or vice versa, over time can be used. </w:t>
      </w:r>
    </w:p>
    <w:p w14:paraId="17DC0892" w14:textId="767E3DCE" w:rsidR="00A566F6" w:rsidRDefault="00A566F6" w:rsidP="00A566F6">
      <w:pPr>
        <w:pStyle w:val="Numberedparagraph"/>
      </w:pPr>
      <w:r>
        <w:t>For example, both administrative and legislative (frequency) band plans can have the same desired intent or outcome. However, policy included in an administrative document can be departed from by the ACMA (for example, by an out-of-policy ex</w:t>
      </w:r>
      <w:r w:rsidR="003261F6">
        <w:t>c</w:t>
      </w:r>
      <w:r>
        <w:t>eption), whereas a legislative instrument is legally binding. Therefore, legislative instruments, while providing certainty, can have the effect of restricting emerging technologies</w:t>
      </w:r>
      <w:r w:rsidR="00E31B16">
        <w:t xml:space="preserve"> and use cases</w:t>
      </w:r>
      <w:r>
        <w:t>, which is a relevant factor in an environment of rapidly changing technologies and industry needs. On the other hand, the increased predictability of a legislative instrument (</w:t>
      </w:r>
      <w:r w:rsidR="00E964E4">
        <w:t>for example, a</w:t>
      </w:r>
      <w:r>
        <w:t xml:space="preserve"> </w:t>
      </w:r>
      <w:r w:rsidR="00745F82">
        <w:t xml:space="preserve">legislative </w:t>
      </w:r>
      <w:r w:rsidR="002D15BB">
        <w:t xml:space="preserve">frequency </w:t>
      </w:r>
      <w:r>
        <w:t>band plan) can</w:t>
      </w:r>
      <w:r w:rsidR="00E964E4">
        <w:t>,</w:t>
      </w:r>
      <w:r>
        <w:t xml:space="preserve"> in some cases</w:t>
      </w:r>
      <w:r w:rsidR="00E964E4">
        <w:t>,</w:t>
      </w:r>
      <w:r>
        <w:t xml:space="preserve"> provide </w:t>
      </w:r>
      <w:r w:rsidR="00A26DD4">
        <w:t xml:space="preserve">increased </w:t>
      </w:r>
      <w:r>
        <w:t>confidence in future spectrum planning arrangements.</w:t>
      </w:r>
    </w:p>
    <w:p w14:paraId="0334D989" w14:textId="6415F1C8" w:rsidR="008410F6" w:rsidRDefault="008410F6" w:rsidP="000B4B02">
      <w:pPr>
        <w:pStyle w:val="Numberedparagraph"/>
      </w:pPr>
      <w:r>
        <w:t>Each request for an out-of-policy ex</w:t>
      </w:r>
      <w:r w:rsidR="00F7230F">
        <w:t>c</w:t>
      </w:r>
      <w:r>
        <w:t xml:space="preserve">eption to </w:t>
      </w:r>
      <w:r w:rsidR="00F7230F">
        <w:t xml:space="preserve">an </w:t>
      </w:r>
      <w:r>
        <w:t>administrative policy is considered on its merits. Decisions</w:t>
      </w:r>
      <w:r w:rsidR="00F7230F">
        <w:t xml:space="preserve">, such as those made </w:t>
      </w:r>
      <w:r w:rsidR="00E964E4">
        <w:t xml:space="preserve">about </w:t>
      </w:r>
      <w:r w:rsidR="00F7230F">
        <w:t>a licence application,</w:t>
      </w:r>
      <w:r>
        <w:t xml:space="preserve"> under administrative law are </w:t>
      </w:r>
      <w:hyperlink r:id="rId47" w:history="1">
        <w:r w:rsidR="005E168A" w:rsidRPr="005E168A">
          <w:rPr>
            <w:rStyle w:val="Hyperlink"/>
          </w:rPr>
          <w:t>reviewable</w:t>
        </w:r>
      </w:hyperlink>
      <w:r w:rsidR="005E168A">
        <w:t xml:space="preserve"> and can ultimately be challenged </w:t>
      </w:r>
      <w:r w:rsidR="0049532C">
        <w:t>in</w:t>
      </w:r>
      <w:r w:rsidR="005E168A">
        <w:t xml:space="preserve"> the Administrative Appeals Tribunal</w:t>
      </w:r>
      <w:r w:rsidR="0049532C">
        <w:t xml:space="preserve"> or Federal Court</w:t>
      </w:r>
      <w:r w:rsidR="005E168A">
        <w:t xml:space="preserve">. </w:t>
      </w:r>
    </w:p>
    <w:p w14:paraId="0CF536A7" w14:textId="28EED54C" w:rsidR="000455F5" w:rsidRDefault="00FF3794" w:rsidP="00040FAC">
      <w:pPr>
        <w:pStyle w:val="Numberedparagraph"/>
      </w:pPr>
      <w:r>
        <w:t>In all cases, t</w:t>
      </w:r>
      <w:r w:rsidR="00040FAC">
        <w:t xml:space="preserve">he ACMA adopts a best practice regulatory </w:t>
      </w:r>
      <w:r w:rsidR="00A566F6">
        <w:t>approach consistent with the Australian Government framework</w:t>
      </w:r>
      <w:r w:rsidR="00040FAC">
        <w:t xml:space="preserve"> administered by</w:t>
      </w:r>
      <w:r w:rsidR="00E17242">
        <w:t xml:space="preserve"> the</w:t>
      </w:r>
      <w:r w:rsidR="00040FAC">
        <w:t xml:space="preserve"> </w:t>
      </w:r>
      <w:hyperlink r:id="rId48" w:history="1">
        <w:r w:rsidR="00040FAC" w:rsidRPr="00902BB5">
          <w:rPr>
            <w:rStyle w:val="Hyperlink"/>
          </w:rPr>
          <w:t xml:space="preserve">Office of </w:t>
        </w:r>
        <w:r w:rsidR="004E1039">
          <w:rPr>
            <w:rStyle w:val="Hyperlink"/>
          </w:rPr>
          <w:t>Impact Analysis</w:t>
        </w:r>
      </w:hyperlink>
      <w:r w:rsidR="00040FAC" w:rsidRPr="00EE2246">
        <w:t xml:space="preserve"> (O</w:t>
      </w:r>
      <w:r w:rsidR="004E1039">
        <w:t>IA</w:t>
      </w:r>
      <w:r w:rsidR="00040FAC" w:rsidRPr="00EE2246">
        <w:t>)</w:t>
      </w:r>
      <w:r w:rsidR="00040FAC">
        <w:t xml:space="preserve">. The </w:t>
      </w:r>
      <w:r w:rsidR="004E1039">
        <w:t>OIA</w:t>
      </w:r>
      <w:r w:rsidR="0053189B">
        <w:t>’</w:t>
      </w:r>
      <w:r w:rsidR="00040FAC">
        <w:t>s regulatory impact assessment process supports Australian Government decision-making by ensuring that the regulatory impacts – both positive and negative – of all regulatory change</w:t>
      </w:r>
      <w:r w:rsidR="00F43E35">
        <w:t>s</w:t>
      </w:r>
      <w:r w:rsidR="00040FAC">
        <w:t xml:space="preserve"> are considered. </w:t>
      </w:r>
    </w:p>
    <w:p w14:paraId="2753762A" w14:textId="15E7F2D4" w:rsidR="001A3140" w:rsidRPr="00E24CF0" w:rsidRDefault="001A3140" w:rsidP="001A3140">
      <w:pPr>
        <w:pStyle w:val="Heading3"/>
      </w:pPr>
      <w:r w:rsidRPr="00E24CF0">
        <w:t xml:space="preserve">Out-of-policy </w:t>
      </w:r>
      <w:r>
        <w:t xml:space="preserve">considerations </w:t>
      </w:r>
    </w:p>
    <w:p w14:paraId="6EA403D8" w14:textId="38E97FDD" w:rsidR="00E028F8" w:rsidRPr="00E24CF0" w:rsidRDefault="00E028F8" w:rsidP="00E028F8">
      <w:pPr>
        <w:pStyle w:val="Numberedparagraph"/>
      </w:pPr>
      <w:r>
        <w:t>T</w:t>
      </w:r>
      <w:r w:rsidRPr="00E24CF0">
        <w:t xml:space="preserve">here are </w:t>
      </w:r>
      <w:r>
        <w:t>circumstances</w:t>
      </w:r>
      <w:r w:rsidRPr="00E24CF0">
        <w:t xml:space="preserve"> when it is </w:t>
      </w:r>
      <w:r>
        <w:t xml:space="preserve">appropriate </w:t>
      </w:r>
      <w:r w:rsidRPr="00E24CF0">
        <w:t xml:space="preserve">for the ACMA to make decisions that support </w:t>
      </w:r>
      <w:r w:rsidR="005C6F98">
        <w:t xml:space="preserve">the object of the </w:t>
      </w:r>
      <w:r w:rsidR="0086543F">
        <w:t>R</w:t>
      </w:r>
      <w:r w:rsidR="005C6F98">
        <w:t>adiocommunications Act</w:t>
      </w:r>
      <w:r w:rsidRPr="00E24CF0">
        <w:t xml:space="preserve"> in the absence of published </w:t>
      </w:r>
      <w:r w:rsidR="00AB3DB4" w:rsidRPr="00E24CF0">
        <w:t>policy,</w:t>
      </w:r>
      <w:r w:rsidRPr="00E24CF0">
        <w:t xml:space="preserve"> or </w:t>
      </w:r>
      <w:r w:rsidR="008D31A3">
        <w:t xml:space="preserve">which </w:t>
      </w:r>
      <w:r>
        <w:t>deviate from established</w:t>
      </w:r>
      <w:r w:rsidRPr="00E24CF0">
        <w:t xml:space="preserve"> policy.</w:t>
      </w:r>
      <w:r>
        <w:t xml:space="preserve"> In practice, such out-of-policy decisions will most likely be </w:t>
      </w:r>
      <w:r w:rsidR="00E964E4">
        <w:t>about</w:t>
      </w:r>
      <w:r>
        <w:t xml:space="preserve"> the decision whether to issue, vary or renew an apparatus licence, where such issue, variation or renewal would otherwise be inconsistent with an established policy.</w:t>
      </w:r>
    </w:p>
    <w:p w14:paraId="6608CAFB" w14:textId="2224FB5B" w:rsidR="00E3582B" w:rsidRDefault="00E028F8" w:rsidP="002B09C2">
      <w:pPr>
        <w:pStyle w:val="Numberedparagraphbeforelist"/>
        <w:spacing w:after="240"/>
      </w:pPr>
      <w:r w:rsidRPr="00E24CF0">
        <w:t xml:space="preserve">In doing so, the ACMA </w:t>
      </w:r>
      <w:r w:rsidR="008F091C">
        <w:t xml:space="preserve">considers a range of technical and non-technical factors </w:t>
      </w:r>
      <w:r w:rsidRPr="00E24CF0">
        <w:t xml:space="preserve">and the </w:t>
      </w:r>
      <w:r w:rsidRPr="005A0146">
        <w:t xml:space="preserve">principles </w:t>
      </w:r>
      <w:r w:rsidR="008F091C">
        <w:t>of</w:t>
      </w:r>
      <w:r w:rsidRPr="005A0146">
        <w:t xml:space="preserve"> administrative decision</w:t>
      </w:r>
      <w:r w:rsidR="00E964E4">
        <w:t>-</w:t>
      </w:r>
      <w:r w:rsidR="008F091C">
        <w:t>making</w:t>
      </w:r>
      <w:r w:rsidR="00E964E4">
        <w:t>,</w:t>
      </w:r>
      <w:r w:rsidR="008F091C">
        <w:t xml:space="preserve"> </w:t>
      </w:r>
      <w:r w:rsidR="005B0937">
        <w:t>including</w:t>
      </w:r>
      <w:r w:rsidRPr="00E24CF0">
        <w:t xml:space="preserve"> conducting the necessary due diligence to </w:t>
      </w:r>
      <w:r>
        <w:t>understand</w:t>
      </w:r>
      <w:r w:rsidRPr="00E24CF0">
        <w:t xml:space="preserve"> the </w:t>
      </w:r>
      <w:r>
        <w:t xml:space="preserve">impact that </w:t>
      </w:r>
      <w:r w:rsidRPr="00E24CF0">
        <w:t xml:space="preserve">operation of radiocommunications devices on an exceptional basis </w:t>
      </w:r>
      <w:r>
        <w:t>may have on other users of the spectrum</w:t>
      </w:r>
      <w:r w:rsidR="00290F52">
        <w:t xml:space="preserve"> and whether the issuing of the licence would be consistent with the object of the Radiocommunications Act</w:t>
      </w:r>
      <w:r>
        <w:t xml:space="preserve">. </w:t>
      </w:r>
    </w:p>
    <w:p w14:paraId="06910C3F" w14:textId="31B3F30E" w:rsidR="00AB3DB4" w:rsidRDefault="00494E19" w:rsidP="002B09C2">
      <w:pPr>
        <w:pStyle w:val="Numberedparagraphbeforelist"/>
        <w:keepLines/>
        <w:spacing w:after="240"/>
      </w:pPr>
      <w:r>
        <w:lastRenderedPageBreak/>
        <w:t xml:space="preserve">In the context of </w:t>
      </w:r>
      <w:r w:rsidR="00CA652B">
        <w:t xml:space="preserve">the technical aspects of </w:t>
      </w:r>
      <w:r w:rsidR="00BA670D">
        <w:t xml:space="preserve">spectrum planning, </w:t>
      </w:r>
      <w:r w:rsidR="001F5270">
        <w:t>‘</w:t>
      </w:r>
      <w:r w:rsidR="00BA670D">
        <w:t>e</w:t>
      </w:r>
      <w:r w:rsidR="001F5270">
        <w:t xml:space="preserve">ngineering best practice’ </w:t>
      </w:r>
      <w:r w:rsidR="00BA670D">
        <w:t>(sometimes referred to as ‘engineering judgement’</w:t>
      </w:r>
      <w:r w:rsidR="00B21F81">
        <w:t>)</w:t>
      </w:r>
      <w:r w:rsidR="00BA670D">
        <w:t xml:space="preserve"> </w:t>
      </w:r>
      <w:r w:rsidR="00290F52">
        <w:t xml:space="preserve">principles </w:t>
      </w:r>
      <w:r w:rsidR="008F091C">
        <w:t xml:space="preserve">(see below) </w:t>
      </w:r>
      <w:r w:rsidR="00290F52">
        <w:t>are</w:t>
      </w:r>
      <w:r w:rsidR="001F5270">
        <w:t xml:space="preserve"> used to inform </w:t>
      </w:r>
      <w:r w:rsidR="008D31A3">
        <w:t xml:space="preserve">consideration of the </w:t>
      </w:r>
      <w:r w:rsidR="001F5270">
        <w:t xml:space="preserve">impact </w:t>
      </w:r>
      <w:r w:rsidR="008D31A3">
        <w:t>an</w:t>
      </w:r>
      <w:r w:rsidR="001F5270">
        <w:t xml:space="preserve"> out-of-policy </w:t>
      </w:r>
      <w:r w:rsidR="008D31A3">
        <w:t xml:space="preserve">exception </w:t>
      </w:r>
      <w:r w:rsidR="001F5270">
        <w:t xml:space="preserve">would have on the interference environment and hence coexistence with other spectrum uses and users. </w:t>
      </w:r>
    </w:p>
    <w:p w14:paraId="1FC637A1" w14:textId="0351A6C9" w:rsidR="004036C7" w:rsidRPr="004E4CA9" w:rsidRDefault="00D869A1" w:rsidP="004036C7">
      <w:pPr>
        <w:shd w:val="clear" w:color="auto" w:fill="F2F2F2" w:themeFill="background1" w:themeFillShade="F2"/>
        <w:spacing w:after="120"/>
        <w:rPr>
          <w:b/>
          <w:bCs/>
        </w:rPr>
      </w:pPr>
      <w:r>
        <w:rPr>
          <w:b/>
          <w:bCs/>
          <w:noProof/>
        </w:rPr>
        <w:drawing>
          <wp:inline distT="0" distB="0" distL="0" distR="0" wp14:anchorId="6E78127B" wp14:editId="72189E84">
            <wp:extent cx="436245" cy="403733"/>
            <wp:effectExtent l="0" t="0" r="1905" b="0"/>
            <wp:docPr id="201" name="Graphic 20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Magnifying glass with solid fill"/>
                    <pic:cNvPicPr/>
                  </pic:nvPicPr>
                  <pic:blipFill rotWithShape="1">
                    <a:blip r:embed="rId49">
                      <a:extLst>
                        <a:ext uri="{96DAC541-7B7A-43D3-8B79-37D633B846F1}">
                          <asvg:svgBlip xmlns:asvg="http://schemas.microsoft.com/office/drawing/2016/SVG/main" r:embed="rId50"/>
                        </a:ext>
                      </a:extLst>
                    </a:blip>
                    <a:srcRect t="1" b="7451"/>
                    <a:stretch/>
                  </pic:blipFill>
                  <pic:spPr bwMode="auto">
                    <a:xfrm flipH="1">
                      <a:off x="0" y="0"/>
                      <a:ext cx="443519" cy="410465"/>
                    </a:xfrm>
                    <a:prstGeom prst="rect">
                      <a:avLst/>
                    </a:prstGeom>
                    <a:ln>
                      <a:noFill/>
                    </a:ln>
                    <a:extLst>
                      <a:ext uri="{53640926-AAD7-44D8-BBD7-CCE9431645EC}">
                        <a14:shadowObscured xmlns:a14="http://schemas.microsoft.com/office/drawing/2010/main"/>
                      </a:ext>
                    </a:extLst>
                  </pic:spPr>
                </pic:pic>
              </a:graphicData>
            </a:graphic>
          </wp:inline>
        </w:drawing>
      </w:r>
      <w:r w:rsidR="004036C7" w:rsidRPr="004E4CA9">
        <w:rPr>
          <w:b/>
          <w:bCs/>
        </w:rPr>
        <w:t xml:space="preserve">What is </w:t>
      </w:r>
      <w:r w:rsidR="004036C7">
        <w:rPr>
          <w:b/>
          <w:bCs/>
        </w:rPr>
        <w:t>‘</w:t>
      </w:r>
      <w:r w:rsidR="004036C7" w:rsidRPr="004E4CA9">
        <w:rPr>
          <w:b/>
          <w:bCs/>
        </w:rPr>
        <w:t xml:space="preserve">engineering </w:t>
      </w:r>
      <w:r w:rsidR="004036C7">
        <w:rPr>
          <w:b/>
          <w:bCs/>
        </w:rPr>
        <w:t>best practice’</w:t>
      </w:r>
      <w:r w:rsidR="004036C7" w:rsidRPr="004E4CA9">
        <w:rPr>
          <w:b/>
          <w:bCs/>
        </w:rPr>
        <w:t>?</w:t>
      </w:r>
    </w:p>
    <w:p w14:paraId="1250E213" w14:textId="5121D9F9" w:rsidR="004036C7" w:rsidRDefault="004036C7" w:rsidP="004036C7">
      <w:pPr>
        <w:shd w:val="clear" w:color="auto" w:fill="F2F2F2" w:themeFill="background1" w:themeFillShade="F2"/>
      </w:pPr>
      <w:r>
        <w:t xml:space="preserve">The design of the technical aspects of spectrum planning arrangements is founded in radiocommunications engineering theory. Judgements and decisions are informed by applying fundamental technical concepts of radiocommunications theory and accepted radiocommunications engineering practice, such as those articulated in ITU-R recommendations and reports. This occurs in the initial development of policy as well as during consideration of case-by-case exceptions to established policy. </w:t>
      </w:r>
    </w:p>
    <w:p w14:paraId="43FDAA6D" w14:textId="4F733CF4" w:rsidR="004036C7" w:rsidRDefault="004036C7" w:rsidP="004036C7">
      <w:pPr>
        <w:shd w:val="clear" w:color="auto" w:fill="F2F2F2" w:themeFill="background1" w:themeFillShade="F2"/>
      </w:pPr>
      <w:r>
        <w:t xml:space="preserve">For example, assignment instructions are developed by identifying typical technical parameters and, in some cases, designing service models to simplify the assignment process. This improves </w:t>
      </w:r>
      <w:r w:rsidRPr="005E1345">
        <w:rPr>
          <w:i/>
          <w:iCs/>
        </w:rPr>
        <w:t>procedural</w:t>
      </w:r>
      <w:r>
        <w:t xml:space="preserve"> efficiency and consistency, and avoids the need to coordinate every new assignment by resorting to the first principles of radiocommunications engineering theory. </w:t>
      </w:r>
    </w:p>
    <w:p w14:paraId="757FE1EC" w14:textId="1AB406DE" w:rsidR="004036C7" w:rsidRDefault="004036C7" w:rsidP="004036C7">
      <w:pPr>
        <w:shd w:val="clear" w:color="auto" w:fill="F2F2F2" w:themeFill="background1" w:themeFillShade="F2"/>
      </w:pPr>
      <w:r>
        <w:t xml:space="preserve">Where codified assignment instructions are not in place, or where actual parameters vary significantly from those used to develop assignment instructions, practitioners seeking out-of-policy considerations are encouraged to use engineering best practice in making the case </w:t>
      </w:r>
      <w:r w:rsidR="00D869A1">
        <w:t>for</w:t>
      </w:r>
      <w:r>
        <w:t xml:space="preserve"> the suitability of a potential spectrum use for a frequency band and area. </w:t>
      </w:r>
      <w:proofErr w:type="gramStart"/>
      <w:r w:rsidRPr="00D869A1">
        <w:t>Or</w:t>
      </w:r>
      <w:r w:rsidR="00D869A1" w:rsidRPr="002B09C2">
        <w:t>,</w:t>
      </w:r>
      <w:proofErr w:type="gramEnd"/>
      <w:r w:rsidRPr="00D869A1">
        <w:t xml:space="preserve"> it may be that instructions are in place, but suitably qualified practitioners possess the knowledge and tools to make assignments that would not necessarily conform to generic service models but are otherwise practically feasible and/or may result in increased </w:t>
      </w:r>
      <w:r w:rsidRPr="00D869A1">
        <w:rPr>
          <w:i/>
          <w:iCs/>
        </w:rPr>
        <w:t>spectral</w:t>
      </w:r>
      <w:r w:rsidRPr="00D869A1">
        <w:t xml:space="preserve"> efficiency consistent with the overall intent of the established policy.</w:t>
      </w:r>
      <w:r>
        <w:t xml:space="preserve"> </w:t>
      </w:r>
    </w:p>
    <w:p w14:paraId="14AE9108" w14:textId="43E43C90" w:rsidR="001F5270" w:rsidRPr="00702EA1" w:rsidRDefault="004036C7" w:rsidP="002B09C2">
      <w:pPr>
        <w:shd w:val="clear" w:color="auto" w:fill="F2F2F2" w:themeFill="background1" w:themeFillShade="F2"/>
      </w:pPr>
      <w:r>
        <w:t xml:space="preserve">Accordingly, this relies on an assumed level of professional competence and qualifications, and practitioners accept whatever risk may arise from making assignments outside the bounds of strict, codified guidance. </w:t>
      </w:r>
    </w:p>
    <w:p w14:paraId="134AC48C" w14:textId="6F7176F8" w:rsidR="00EA3572" w:rsidRDefault="00EA3572" w:rsidP="00494826">
      <w:pPr>
        <w:pStyle w:val="Heading2"/>
      </w:pPr>
      <w:bookmarkStart w:id="14" w:name="_Toc148084735"/>
      <w:r>
        <w:t>Framework overview</w:t>
      </w:r>
      <w:bookmarkEnd w:id="14"/>
    </w:p>
    <w:p w14:paraId="0118F8B1" w14:textId="1ECCCAD3" w:rsidR="00494826" w:rsidRPr="00702EA1" w:rsidRDefault="00253315" w:rsidP="004C7A0E">
      <w:pPr>
        <w:pStyle w:val="Heading3"/>
      </w:pPr>
      <w:r>
        <w:t>Band</w:t>
      </w:r>
      <w:r w:rsidR="00494826">
        <w:t xml:space="preserve"> planning</w:t>
      </w:r>
      <w:r w:rsidR="000B2576" w:rsidRPr="000B2576">
        <w:rPr>
          <w:rFonts w:cs="Times New Roman"/>
          <w:b w:val="0"/>
          <w:bCs w:val="0"/>
          <w:noProof/>
          <w:szCs w:val="24"/>
        </w:rPr>
        <w:t xml:space="preserve"> </w:t>
      </w:r>
    </w:p>
    <w:p w14:paraId="3E417D13" w14:textId="65BEF261" w:rsidR="006D6AD8" w:rsidRDefault="009869FD" w:rsidP="002B09C2">
      <w:pPr>
        <w:pStyle w:val="Numberedparagraph"/>
        <w:spacing w:after="80"/>
      </w:pPr>
      <w:r>
        <w:t xml:space="preserve">The first layer of the </w:t>
      </w:r>
      <w:r w:rsidR="006E23AD">
        <w:t>spectrum planning framework</w:t>
      </w:r>
      <w:r>
        <w:t xml:space="preserve"> identif</w:t>
      </w:r>
      <w:r w:rsidR="00BF0E17">
        <w:t>ies</w:t>
      </w:r>
      <w:r>
        <w:t xml:space="preserve"> which </w:t>
      </w:r>
      <w:r w:rsidR="0083666B">
        <w:t>spectrum u</w:t>
      </w:r>
      <w:r>
        <w:t xml:space="preserve">ses </w:t>
      </w:r>
      <w:r w:rsidR="0083666B">
        <w:t xml:space="preserve">are </w:t>
      </w:r>
      <w:r w:rsidR="001018FB">
        <w:t xml:space="preserve">supported </w:t>
      </w:r>
      <w:r w:rsidR="00BF0E17">
        <w:t xml:space="preserve">in each part of </w:t>
      </w:r>
      <w:r>
        <w:t>the spectrum</w:t>
      </w:r>
      <w:r w:rsidR="00F523C2">
        <w:t xml:space="preserve">– basically, </w:t>
      </w:r>
      <w:r w:rsidR="003849EC">
        <w:t>what goes where. This varies between spectrum band</w:t>
      </w:r>
      <w:r w:rsidR="00307CE2">
        <w:t>s</w:t>
      </w:r>
      <w:r w:rsidR="003849EC">
        <w:t xml:space="preserve"> and can also </w:t>
      </w:r>
      <w:r w:rsidR="00980DC3">
        <w:t>v</w:t>
      </w:r>
      <w:r w:rsidR="00307CE2">
        <w:t>a</w:t>
      </w:r>
      <w:r w:rsidR="00980DC3">
        <w:t>ry</w:t>
      </w:r>
      <w:r w:rsidR="003849EC">
        <w:t xml:space="preserve"> within a band based on geography. This planning </w:t>
      </w:r>
      <w:r w:rsidR="00C62E5B">
        <w:t xml:space="preserve">can also establish </w:t>
      </w:r>
      <w:r w:rsidR="006D6AD8">
        <w:t>other</w:t>
      </w:r>
      <w:r w:rsidR="00C62E5B">
        <w:t xml:space="preserve"> important parameters</w:t>
      </w:r>
      <w:r w:rsidR="006D6AD8">
        <w:t xml:space="preserve"> of spectrum use</w:t>
      </w:r>
      <w:r w:rsidR="00D869A1">
        <w:t>,</w:t>
      </w:r>
      <w:r w:rsidR="006D6AD8">
        <w:t xml:space="preserve"> such as</w:t>
      </w:r>
      <w:r w:rsidR="00427681">
        <w:t xml:space="preserve"> the</w:t>
      </w:r>
      <w:r w:rsidR="006D6AD8">
        <w:t>:</w:t>
      </w:r>
    </w:p>
    <w:p w14:paraId="1658D6EB" w14:textId="578F7437" w:rsidR="006D6AD8" w:rsidRDefault="00C62E5B" w:rsidP="00B81A92">
      <w:pPr>
        <w:pStyle w:val="Bulletlevel1"/>
      </w:pPr>
      <w:r>
        <w:t xml:space="preserve">level of </w:t>
      </w:r>
      <w:r w:rsidR="00427681">
        <w:t>exclusivity of the spectrum use(s)</w:t>
      </w:r>
      <w:r>
        <w:t xml:space="preserve"> </w:t>
      </w:r>
      <w:r w:rsidR="006D6AD8">
        <w:t>(</w:t>
      </w:r>
      <w:r w:rsidR="00F523C2">
        <w:t>that is,</w:t>
      </w:r>
      <w:r w:rsidR="006D6AD8">
        <w:t xml:space="preserve"> is more than one service and/or application envisaged</w:t>
      </w:r>
      <w:r w:rsidR="00F523C2">
        <w:t>?</w:t>
      </w:r>
      <w:r w:rsidR="006D6AD8">
        <w:t>)</w:t>
      </w:r>
    </w:p>
    <w:p w14:paraId="573370AB" w14:textId="356A4DA7" w:rsidR="00427681" w:rsidRDefault="006D6AD8" w:rsidP="00B81A92">
      <w:pPr>
        <w:pStyle w:val="Bulletlevel1"/>
      </w:pPr>
      <w:r>
        <w:t>relationship and hierarchy</w:t>
      </w:r>
      <w:r w:rsidR="00C62E5B">
        <w:t xml:space="preserve"> between </w:t>
      </w:r>
      <w:r w:rsidR="00427681">
        <w:t xml:space="preserve">spectrum </w:t>
      </w:r>
      <w:r w:rsidR="00C62E5B">
        <w:t xml:space="preserve">uses </w:t>
      </w:r>
      <w:r w:rsidR="00427681">
        <w:t>(</w:t>
      </w:r>
      <w:r w:rsidR="00C62E5B">
        <w:t xml:space="preserve">if there is more than </w:t>
      </w:r>
      <w:r w:rsidR="00FD307C">
        <w:t xml:space="preserve">one </w:t>
      </w:r>
      <w:r w:rsidR="00962E51">
        <w:t xml:space="preserve">use </w:t>
      </w:r>
      <w:r w:rsidR="00FD307C">
        <w:t xml:space="preserve">planned </w:t>
      </w:r>
      <w:r w:rsidR="00C62E5B">
        <w:t xml:space="preserve">in a </w:t>
      </w:r>
      <w:r w:rsidR="00FD307C">
        <w:t>ba</w:t>
      </w:r>
      <w:r w:rsidR="00C62E5B">
        <w:t>nd</w:t>
      </w:r>
      <w:r w:rsidR="00427681">
        <w:t>)</w:t>
      </w:r>
      <w:r w:rsidR="00BC5675">
        <w:t xml:space="preserve">. For </w:t>
      </w:r>
      <w:r w:rsidR="00980DC3">
        <w:t>example,</w:t>
      </w:r>
      <w:r w:rsidR="00BC5675">
        <w:t xml:space="preserve"> the ‘primary, secondary’ construct</w:t>
      </w:r>
      <w:r w:rsidR="004A3C05">
        <w:rPr>
          <w:rStyle w:val="FootnoteReference"/>
        </w:rPr>
        <w:footnoteReference w:id="10"/>
      </w:r>
    </w:p>
    <w:p w14:paraId="18DA0AFF" w14:textId="758C00BB" w:rsidR="00E31E9F" w:rsidRDefault="00FD307C" w:rsidP="00B81A92">
      <w:pPr>
        <w:pStyle w:val="Bulletlevel1"/>
      </w:pPr>
      <w:r>
        <w:t>mechanisms</w:t>
      </w:r>
      <w:r w:rsidR="00427681">
        <w:t xml:space="preserve"> for </w:t>
      </w:r>
      <w:r>
        <w:t xml:space="preserve">sharing and </w:t>
      </w:r>
      <w:r w:rsidR="00427681">
        <w:t xml:space="preserve">coexistence between </w:t>
      </w:r>
      <w:r>
        <w:t>uses and users in the band, other geographies and adjacent bands.</w:t>
      </w:r>
      <w:r w:rsidR="00C62E5B">
        <w:t xml:space="preserve"> </w:t>
      </w:r>
      <w:r>
        <w:t xml:space="preserve">For </w:t>
      </w:r>
      <w:r w:rsidR="00355F93">
        <w:t>example,</w:t>
      </w:r>
      <w:r>
        <w:t xml:space="preserve"> </w:t>
      </w:r>
      <w:r w:rsidR="00F523C2">
        <w:t xml:space="preserve">whether </w:t>
      </w:r>
      <w:r>
        <w:t xml:space="preserve">spectrum users are coordinated on an assignment </w:t>
      </w:r>
      <w:proofErr w:type="gramStart"/>
      <w:r>
        <w:t>level</w:t>
      </w:r>
      <w:proofErr w:type="gramEnd"/>
    </w:p>
    <w:p w14:paraId="2D919ECB" w14:textId="67A0EA45" w:rsidR="00FD307C" w:rsidRDefault="00FD307C" w:rsidP="00B81A92">
      <w:pPr>
        <w:pStyle w:val="Bulletlevel1last"/>
      </w:pPr>
      <w:r>
        <w:lastRenderedPageBreak/>
        <w:t>licensing construct adopted</w:t>
      </w:r>
      <w:r w:rsidR="00F523C2">
        <w:t>,</w:t>
      </w:r>
      <w:r w:rsidR="000D5A7A">
        <w:t xml:space="preserve"> such</w:t>
      </w:r>
      <w:r w:rsidR="00534D20">
        <w:t xml:space="preserve"> as</w:t>
      </w:r>
      <w:r w:rsidR="00355F93">
        <w:t xml:space="preserve"> class, apparatus</w:t>
      </w:r>
      <w:r w:rsidR="000D5A7A">
        <w:t xml:space="preserve"> (including what type)</w:t>
      </w:r>
      <w:r w:rsidR="00355F93">
        <w:t xml:space="preserve"> or spectrum licences. </w:t>
      </w:r>
    </w:p>
    <w:p w14:paraId="572F13BD" w14:textId="36E8DD1D" w:rsidR="00E028F8" w:rsidRDefault="00E028F8" w:rsidP="00E028F8">
      <w:pPr>
        <w:pStyle w:val="Numberedparagraph"/>
      </w:pPr>
      <w:r>
        <w:t xml:space="preserve">Under the Australian spectrum planning framework, </w:t>
      </w:r>
      <w:hyperlink r:id="rId51" w:history="1">
        <w:r w:rsidRPr="00C166DC">
          <w:rPr>
            <w:rStyle w:val="Hyperlink"/>
          </w:rPr>
          <w:t xml:space="preserve">the </w:t>
        </w:r>
        <w:r w:rsidRPr="00C166DC">
          <w:rPr>
            <w:rStyle w:val="Hyperlink"/>
            <w:i/>
            <w:iCs/>
          </w:rPr>
          <w:t xml:space="preserve">Australian Radiofrequency Spectrum Plan </w:t>
        </w:r>
        <w:r w:rsidR="00490573" w:rsidRPr="00C166DC">
          <w:rPr>
            <w:rStyle w:val="Hyperlink"/>
            <w:i/>
            <w:iCs/>
          </w:rPr>
          <w:t>2021</w:t>
        </w:r>
      </w:hyperlink>
      <w:r w:rsidR="00490573">
        <w:t xml:space="preserve"> </w:t>
      </w:r>
      <w:r>
        <w:t xml:space="preserve">(the Spectrum Plan) is a legislative instrument </w:t>
      </w:r>
      <w:r w:rsidR="00F523C2">
        <w:t xml:space="preserve">that </w:t>
      </w:r>
      <w:r>
        <w:t>provides the overarching plan for the use of the spectrum at a service level. Other tools are then used to provide more detailed arrangements as required</w:t>
      </w:r>
      <w:r w:rsidR="00F523C2">
        <w:t>;</w:t>
      </w:r>
      <w:r>
        <w:t xml:space="preserve"> for example</w:t>
      </w:r>
      <w:r w:rsidR="00F523C2">
        <w:t>,</w:t>
      </w:r>
      <w:r>
        <w:t xml:space="preserve"> in the form of legislative or administrative band plans specific to particular parts of the spectrum. </w:t>
      </w:r>
    </w:p>
    <w:p w14:paraId="17191D62" w14:textId="5E4847BC" w:rsidR="006B1937" w:rsidRDefault="009869FD" w:rsidP="0099697E">
      <w:pPr>
        <w:pStyle w:val="Numberedparagraph"/>
      </w:pPr>
      <w:r>
        <w:t xml:space="preserve">For </w:t>
      </w:r>
      <w:r w:rsidR="00E139BF">
        <w:t xml:space="preserve">some </w:t>
      </w:r>
      <w:r>
        <w:t>parts of the spectrum</w:t>
      </w:r>
      <w:r w:rsidR="00F523C2">
        <w:t>,</w:t>
      </w:r>
      <w:r w:rsidR="00E139BF">
        <w:t xml:space="preserve"> </w:t>
      </w:r>
      <w:r>
        <w:t xml:space="preserve">the </w:t>
      </w:r>
      <w:r w:rsidR="00C31779">
        <w:t xml:space="preserve">Spectrum Plan </w:t>
      </w:r>
      <w:r>
        <w:t>provides only planning</w:t>
      </w:r>
      <w:r w:rsidR="00F523C2">
        <w:t>-</w:t>
      </w:r>
      <w:r>
        <w:t xml:space="preserve">level information. More detailed </w:t>
      </w:r>
      <w:r w:rsidR="00241D6A">
        <w:t xml:space="preserve">band </w:t>
      </w:r>
      <w:r>
        <w:t xml:space="preserve">planning </w:t>
      </w:r>
      <w:r w:rsidR="00241D6A">
        <w:t xml:space="preserve">or frequency assignment </w:t>
      </w:r>
      <w:r>
        <w:t xml:space="preserve">arrangements are developed as the need </w:t>
      </w:r>
      <w:r w:rsidR="006B1937">
        <w:t xml:space="preserve">(such as expected demand for use of the spectrum) </w:t>
      </w:r>
      <w:r>
        <w:t>becomes proportionate to the resources in</w:t>
      </w:r>
      <w:r w:rsidR="0099697E">
        <w:t xml:space="preserve">volved in developing explicit arrangements. </w:t>
      </w:r>
    </w:p>
    <w:p w14:paraId="08ACBC6A" w14:textId="6F2CD92C" w:rsidR="00E028F8" w:rsidRDefault="00F523C2" w:rsidP="00E028F8">
      <w:pPr>
        <w:pStyle w:val="Numberedparagraph"/>
      </w:pPr>
      <w:r>
        <w:t xml:space="preserve">If </w:t>
      </w:r>
      <w:r w:rsidR="00E028F8">
        <w:t>the Spectrum Plan is the only planning guidance for a particular part of the spectrum, engineering best practice</w:t>
      </w:r>
      <w:r w:rsidR="00FA37CC">
        <w:t xml:space="preserve">, among other </w:t>
      </w:r>
      <w:r w:rsidR="0002564C">
        <w:t>considerations</w:t>
      </w:r>
      <w:r w:rsidR="00BB3F2B">
        <w:t xml:space="preserve"> (see paragraph 3.1</w:t>
      </w:r>
      <w:r w:rsidR="00A24820">
        <w:t>2</w:t>
      </w:r>
      <w:r w:rsidR="00BB3F2B">
        <w:t>)</w:t>
      </w:r>
      <w:r w:rsidR="00FA37CC">
        <w:t>,</w:t>
      </w:r>
      <w:r w:rsidR="00E028F8">
        <w:t xml:space="preserve"> is used when </w:t>
      </w:r>
      <w:r w:rsidR="00FA37CC">
        <w:t>considering requests</w:t>
      </w:r>
      <w:r w:rsidR="00E028F8">
        <w:t xml:space="preserve"> </w:t>
      </w:r>
      <w:r w:rsidR="005B0937">
        <w:t xml:space="preserve">for spectrum use </w:t>
      </w:r>
      <w:r w:rsidR="00E028F8">
        <w:t>at a frequency</w:t>
      </w:r>
      <w:r>
        <w:t>-</w:t>
      </w:r>
      <w:r w:rsidR="00E028F8">
        <w:t xml:space="preserve">assignment level. </w:t>
      </w:r>
    </w:p>
    <w:p w14:paraId="710539F6" w14:textId="597D8DE0" w:rsidR="00BF0E17" w:rsidRDefault="00BF0E17" w:rsidP="0099697E">
      <w:pPr>
        <w:pStyle w:val="Numberedparagraph"/>
      </w:pPr>
      <w:r>
        <w:t xml:space="preserve">The band planning layer </w:t>
      </w:r>
      <w:r w:rsidR="00514CA7">
        <w:t xml:space="preserve">also </w:t>
      </w:r>
      <w:r>
        <w:t xml:space="preserve">provides an important </w:t>
      </w:r>
      <w:r w:rsidR="00B81A92">
        <w:t xml:space="preserve">linkage </w:t>
      </w:r>
      <w:r>
        <w:t xml:space="preserve">into international </w:t>
      </w:r>
      <w:r w:rsidR="006C5D02">
        <w:t xml:space="preserve">spectrum management </w:t>
      </w:r>
      <w:r>
        <w:t>arrangements</w:t>
      </w:r>
      <w:r w:rsidR="006C5D02">
        <w:t xml:space="preserve"> </w:t>
      </w:r>
      <w:r w:rsidR="00894FEA">
        <w:t>to</w:t>
      </w:r>
      <w:r w:rsidR="006C5D02">
        <w:t xml:space="preserve"> support spectrum</w:t>
      </w:r>
      <w:r w:rsidR="0096666D">
        <w:t xml:space="preserve"> harmonisation</w:t>
      </w:r>
      <w:r w:rsidR="006C5D02">
        <w:t xml:space="preserve"> of </w:t>
      </w:r>
      <w:r w:rsidR="0096666D">
        <w:t>spectrum uses</w:t>
      </w:r>
      <w:r w:rsidR="00F523C2">
        <w:t>,</w:t>
      </w:r>
      <w:r w:rsidR="006C5D02">
        <w:t xml:space="preserve"> and </w:t>
      </w:r>
      <w:r w:rsidR="00FC180E">
        <w:t xml:space="preserve">international </w:t>
      </w:r>
      <w:r w:rsidR="0096666D">
        <w:t>coordination</w:t>
      </w:r>
      <w:r w:rsidR="006C5D02">
        <w:t xml:space="preserve"> and </w:t>
      </w:r>
      <w:r w:rsidR="0096666D">
        <w:t>coexistence</w:t>
      </w:r>
      <w:r w:rsidR="006C5D02">
        <w:t xml:space="preserve"> between </w:t>
      </w:r>
      <w:r w:rsidR="0096666D">
        <w:t>national</w:t>
      </w:r>
      <w:r w:rsidR="00373257">
        <w:t xml:space="preserve"> systems</w:t>
      </w:r>
      <w:r w:rsidR="0096666D">
        <w:t>.</w:t>
      </w:r>
    </w:p>
    <w:p w14:paraId="7F003E15" w14:textId="1EB0B020" w:rsidR="00EA3572" w:rsidRPr="00702EA1" w:rsidRDefault="00EA3572" w:rsidP="004C7A0E">
      <w:pPr>
        <w:pStyle w:val="Heading3"/>
      </w:pPr>
      <w:r>
        <w:t xml:space="preserve">Frequency assignment </w:t>
      </w:r>
    </w:p>
    <w:p w14:paraId="475AA9A8" w14:textId="6A171E8B" w:rsidR="00EA3572" w:rsidRDefault="00EA3572" w:rsidP="00EA3572">
      <w:pPr>
        <w:pStyle w:val="Numberedparagraph"/>
      </w:pPr>
      <w:r>
        <w:t xml:space="preserve">The frequency assignment layer defines how users are authorised to operate and </w:t>
      </w:r>
      <w:r w:rsidRPr="00BF0E17">
        <w:t xml:space="preserve">ensures the most appropriate </w:t>
      </w:r>
      <w:r>
        <w:t xml:space="preserve">operating parameters (such as </w:t>
      </w:r>
      <w:r w:rsidRPr="00BF0E17">
        <w:t>frequenc</w:t>
      </w:r>
      <w:r>
        <w:t>y</w:t>
      </w:r>
      <w:r w:rsidR="00534D20">
        <w:t>,</w:t>
      </w:r>
      <w:r>
        <w:t xml:space="preserve"> power,</w:t>
      </w:r>
      <w:r w:rsidRPr="00BF0E17">
        <w:t xml:space="preserve"> location) for the operation of a radiocommunication system are chosen. This considers existing assignments and the broader planning framework</w:t>
      </w:r>
      <w:r w:rsidR="00D51056">
        <w:t>,</w:t>
      </w:r>
      <w:r>
        <w:t xml:space="preserve"> as well as technical and non-technical aspects. </w:t>
      </w:r>
      <w:bookmarkStart w:id="15" w:name="_Ref507768674"/>
    </w:p>
    <w:p w14:paraId="7C2B7FF3" w14:textId="033DCADE" w:rsidR="00EA3572" w:rsidRDefault="004E6FED" w:rsidP="00EA3572">
      <w:pPr>
        <w:pStyle w:val="Numberedparagraph"/>
      </w:pPr>
      <w:r>
        <w:t>D</w:t>
      </w:r>
      <w:r w:rsidR="00EA3572" w:rsidRPr="001F4D47">
        <w:t>etailed planning arrangements are developed</w:t>
      </w:r>
      <w:r w:rsidR="00534D20" w:rsidRPr="001F4D47">
        <w:t xml:space="preserve"> on an as-needs basis</w:t>
      </w:r>
      <w:r w:rsidR="00EA3572" w:rsidRPr="001F4D47">
        <w:t>.</w:t>
      </w:r>
      <w:r w:rsidR="00EA3572">
        <w:t xml:space="preserve"> For example, there are </w:t>
      </w:r>
      <w:r w:rsidR="00920C7F">
        <w:t xml:space="preserve">currently around </w:t>
      </w:r>
      <w:r w:rsidR="00EA3572">
        <w:t>1</w:t>
      </w:r>
      <w:r w:rsidR="00B00C21">
        <w:t>77</w:t>
      </w:r>
      <w:r w:rsidR="00EA3572">
        <w:t xml:space="preserve">,000 point-to-point assignments on the </w:t>
      </w:r>
      <w:r w:rsidR="00E028F8">
        <w:t>ACMA’s Register of Radiocommunications Licences</w:t>
      </w:r>
      <w:r w:rsidR="00D51056">
        <w:t>.</w:t>
      </w:r>
      <w:r w:rsidR="0086543F">
        <w:rPr>
          <w:rStyle w:val="FootnoteReference"/>
        </w:rPr>
        <w:footnoteReference w:id="11"/>
      </w:r>
      <w:r w:rsidR="00E028F8">
        <w:t xml:space="preserve"> However, there are only </w:t>
      </w:r>
      <w:r w:rsidR="00FA37CC">
        <w:t xml:space="preserve">around </w:t>
      </w:r>
      <w:r w:rsidR="00E028F8">
        <w:t>1,00</w:t>
      </w:r>
      <w:r w:rsidR="00FA37CC">
        <w:t>0</w:t>
      </w:r>
      <w:r w:rsidR="00E028F8">
        <w:t xml:space="preserve"> fixed-receive assignments</w:t>
      </w:r>
      <w:r w:rsidR="00D51056">
        <w:t>.</w:t>
      </w:r>
      <w:r w:rsidR="0086543F">
        <w:rPr>
          <w:rStyle w:val="FootnoteReference"/>
        </w:rPr>
        <w:footnoteReference w:id="12"/>
      </w:r>
      <w:r w:rsidR="00E028F8">
        <w:t xml:space="preserve"> </w:t>
      </w:r>
      <w:r w:rsidR="00EA3572">
        <w:t>Therefore, the proportional need for detailed planning arrangements for point-to-point assignments is arguabl</w:t>
      </w:r>
      <w:r w:rsidR="00040FAC">
        <w:t>y</w:t>
      </w:r>
      <w:r w:rsidR="00EA3572">
        <w:t xml:space="preserve"> greater than for fixed-receive assignments. </w:t>
      </w:r>
      <w:bookmarkEnd w:id="15"/>
    </w:p>
    <w:p w14:paraId="56BB6ACA" w14:textId="78296F4C" w:rsidR="00CB6F9D" w:rsidRDefault="00534D20" w:rsidP="004C7A0E">
      <w:pPr>
        <w:pStyle w:val="Heading3"/>
      </w:pPr>
      <w:r>
        <w:t>Licence</w:t>
      </w:r>
      <w:r w:rsidR="00CB6F9D">
        <w:t xml:space="preserve"> conditions</w:t>
      </w:r>
    </w:p>
    <w:p w14:paraId="24703192" w14:textId="1C31E4B7" w:rsidR="00C94C5A" w:rsidRDefault="00E028F8" w:rsidP="00E028F8">
      <w:pPr>
        <w:pStyle w:val="Numberedparagraph"/>
      </w:pPr>
      <w:r>
        <w:t xml:space="preserve">The third layer of the spectrum planning framework comprises the conditions included </w:t>
      </w:r>
      <w:r w:rsidR="00905CA9">
        <w:t>in</w:t>
      </w:r>
      <w:r>
        <w:t xml:space="preserve"> a radiocommunications licence. A person can only operate a radiocommunications transmitter if the transmitter is authorised under an apparatus, spectrum or class licence. </w:t>
      </w:r>
      <w:r w:rsidR="00C94C5A">
        <w:t xml:space="preserve">Certain types of </w:t>
      </w:r>
      <w:r w:rsidR="00C94C5A" w:rsidRPr="00C94C5A">
        <w:t>radiocommunications receiver</w:t>
      </w:r>
      <w:r w:rsidR="00C94C5A">
        <w:t>s</w:t>
      </w:r>
      <w:r w:rsidR="00C94C5A" w:rsidRPr="00C94C5A">
        <w:t xml:space="preserve"> included in a determination made under paragraph s.7(1)(b) of </w:t>
      </w:r>
      <w:r w:rsidR="00DC60D1">
        <w:t>the Radiocommunications Act</w:t>
      </w:r>
      <w:r w:rsidR="00C94C5A" w:rsidRPr="00C94C5A">
        <w:t xml:space="preserve"> </w:t>
      </w:r>
      <w:r w:rsidR="00C94C5A">
        <w:t>also require a licence</w:t>
      </w:r>
      <w:r w:rsidR="00D51056">
        <w:t>.</w:t>
      </w:r>
      <w:r w:rsidR="00C94C5A">
        <w:rPr>
          <w:rStyle w:val="FootnoteReference"/>
        </w:rPr>
        <w:footnoteReference w:id="13"/>
      </w:r>
    </w:p>
    <w:p w14:paraId="3BCD437F" w14:textId="6E82A13A" w:rsidR="00E028F8" w:rsidRDefault="00E028F8" w:rsidP="00E028F8">
      <w:pPr>
        <w:pStyle w:val="Numberedparagraph"/>
      </w:pPr>
      <w:r>
        <w:t>For apparatus licences, conditions may be applied to licences of a particular type or category, as well as</w:t>
      </w:r>
      <w:r w:rsidR="00E06144">
        <w:t xml:space="preserve"> by</w:t>
      </w:r>
      <w:r>
        <w:t xml:space="preserve"> case-specific details that apply to individual licences. In some cases, conditions give effect to the outcomes of </w:t>
      </w:r>
      <w:r w:rsidR="00C33D23">
        <w:t>preceding</w:t>
      </w:r>
      <w:r>
        <w:t xml:space="preserve"> spectrum planning and frequency assignment rules. In the case of class licences, conditions give direct effect to planning decisions. </w:t>
      </w:r>
    </w:p>
    <w:p w14:paraId="1EB2026C" w14:textId="17371EF9" w:rsidR="00E028F8" w:rsidRDefault="00E028F8" w:rsidP="00E028F8">
      <w:pPr>
        <w:pStyle w:val="Numberedparagraph"/>
      </w:pPr>
      <w:r>
        <w:lastRenderedPageBreak/>
        <w:t xml:space="preserve">This layer of the spectrum planning framework </w:t>
      </w:r>
      <w:r w:rsidR="009547E2">
        <w:t xml:space="preserve">directly </w:t>
      </w:r>
      <w:r w:rsidR="00EB6ACE" w:rsidRPr="00EB6ACE">
        <w:t xml:space="preserve">links </w:t>
      </w:r>
      <w:r w:rsidRPr="00EB6ACE">
        <w:t>with</w:t>
      </w:r>
      <w:r>
        <w:t xml:space="preserve"> the licensing framework.</w:t>
      </w:r>
    </w:p>
    <w:p w14:paraId="4EDDCCC7" w14:textId="09225C97" w:rsidR="00702DD1" w:rsidRDefault="00CB6F9D" w:rsidP="00A35E09">
      <w:pPr>
        <w:pStyle w:val="Heading2"/>
        <w:keepLines/>
      </w:pPr>
      <w:bookmarkStart w:id="16" w:name="_Toc148084736"/>
      <w:r>
        <w:t>Framework e</w:t>
      </w:r>
      <w:r w:rsidR="00702DD1">
        <w:t>lements</w:t>
      </w:r>
      <w:bookmarkEnd w:id="16"/>
    </w:p>
    <w:tbl>
      <w:tblPr>
        <w:tblStyle w:val="TableGrid"/>
        <w:tblW w:w="7326" w:type="dxa"/>
        <w:tblLook w:val="04A0" w:firstRow="1" w:lastRow="0" w:firstColumn="1" w:lastColumn="0" w:noHBand="0" w:noVBand="1"/>
      </w:tblPr>
      <w:tblGrid>
        <w:gridCol w:w="7326"/>
      </w:tblGrid>
      <w:tr w:rsidR="00FF3794" w14:paraId="2BC1BFD8" w14:textId="77777777" w:rsidTr="00AC0417">
        <w:tc>
          <w:tcPr>
            <w:tcW w:w="7326" w:type="dxa"/>
          </w:tcPr>
          <w:p w14:paraId="24A1E892" w14:textId="77777777" w:rsidR="00FF3794" w:rsidRPr="00FF3794" w:rsidRDefault="00FF3794" w:rsidP="00A35E09">
            <w:pPr>
              <w:pStyle w:val="Numberedparagraph"/>
              <w:keepNext/>
              <w:keepLines/>
              <w:rPr>
                <w:u w:val="single"/>
              </w:rPr>
            </w:pPr>
            <w:r w:rsidRPr="00FF3794">
              <w:rPr>
                <w:u w:val="single"/>
              </w:rPr>
              <w:t>Key to icons</w:t>
            </w:r>
          </w:p>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479"/>
              <w:gridCol w:w="936"/>
              <w:gridCol w:w="2892"/>
            </w:tblGrid>
            <w:tr w:rsidR="00FD3F9C" w:rsidRPr="00FF3794" w14:paraId="23921641" w14:textId="77777777" w:rsidTr="00A24820">
              <w:tc>
                <w:tcPr>
                  <w:tcW w:w="803" w:type="dxa"/>
                  <w:vAlign w:val="center"/>
                </w:tcPr>
                <w:p w14:paraId="7263ED25" w14:textId="2AFA8495" w:rsidR="00FC37CF" w:rsidRPr="00FF3794" w:rsidRDefault="005E4761" w:rsidP="00A35E09">
                  <w:pPr>
                    <w:keepNext/>
                    <w:keepLines/>
                    <w:spacing w:after="80"/>
                    <w:rPr>
                      <w:rFonts w:cs="Arial"/>
                    </w:rPr>
                  </w:pPr>
                  <w:r>
                    <w:object w:dxaOrig="5805" w:dyaOrig="5775" w14:anchorId="440D8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ymbol with BP" style="width:29.3pt;height:29.15pt;mso-position-horizontal:absolute" o:ole="">
                        <v:imagedata r:id="rId52" o:title=""/>
                      </v:shape>
                      <o:OLEObject Type="Embed" ProgID="PBrush" ShapeID="_x0000_i1025" DrawAspect="Content" ObjectID="_1758697734" r:id="rId53"/>
                    </w:object>
                  </w:r>
                </w:p>
              </w:tc>
              <w:tc>
                <w:tcPr>
                  <w:tcW w:w="2479" w:type="dxa"/>
                  <w:vAlign w:val="center"/>
                </w:tcPr>
                <w:p w14:paraId="7E8DA8E9" w14:textId="1C792CC8" w:rsidR="00FC37CF" w:rsidRPr="00FF3794" w:rsidRDefault="00FC37CF" w:rsidP="00A35E09">
                  <w:pPr>
                    <w:keepNext/>
                    <w:keepLines/>
                    <w:spacing w:after="80"/>
                    <w:rPr>
                      <w:rFonts w:cs="Arial"/>
                    </w:rPr>
                  </w:pPr>
                  <w:r>
                    <w:rPr>
                      <w:rFonts w:cs="Arial"/>
                    </w:rPr>
                    <w:t>Band planning (legislative)</w:t>
                  </w:r>
                </w:p>
              </w:tc>
              <w:tc>
                <w:tcPr>
                  <w:tcW w:w="936" w:type="dxa"/>
                  <w:vAlign w:val="center"/>
                </w:tcPr>
                <w:p w14:paraId="1B95F83F" w14:textId="71492D53" w:rsidR="00FC37CF" w:rsidRPr="00FF3794" w:rsidRDefault="005E4761" w:rsidP="00A35E09">
                  <w:pPr>
                    <w:keepNext/>
                    <w:keepLines/>
                    <w:spacing w:after="80"/>
                    <w:rPr>
                      <w:rFonts w:cs="Arial"/>
                    </w:rPr>
                  </w:pPr>
                  <w:r>
                    <w:object w:dxaOrig="4440" w:dyaOrig="4440" w14:anchorId="27C427DA">
                      <v:shape id="_x0000_i1026" type="#_x0000_t75" alt="Symbol with BP" style="width:29.3pt;height:29.3pt;mso-position-horizontal:absolute" o:ole="">
                        <v:imagedata r:id="rId54" o:title=""/>
                      </v:shape>
                      <o:OLEObject Type="Embed" ProgID="PBrush" ShapeID="_x0000_i1026" DrawAspect="Content" ObjectID="_1758697735" r:id="rId55"/>
                    </w:object>
                  </w:r>
                </w:p>
              </w:tc>
              <w:tc>
                <w:tcPr>
                  <w:tcW w:w="2892" w:type="dxa"/>
                  <w:vAlign w:val="center"/>
                </w:tcPr>
                <w:p w14:paraId="63613744" w14:textId="37653F27" w:rsidR="00FC37CF" w:rsidRPr="00FF3794" w:rsidRDefault="00FC37CF" w:rsidP="00A35E09">
                  <w:pPr>
                    <w:keepNext/>
                    <w:keepLines/>
                    <w:spacing w:after="80"/>
                    <w:rPr>
                      <w:rFonts w:cs="Arial"/>
                    </w:rPr>
                  </w:pPr>
                  <w:r>
                    <w:rPr>
                      <w:rFonts w:cs="Arial"/>
                    </w:rPr>
                    <w:t>Band planning (administrative)</w:t>
                  </w:r>
                </w:p>
              </w:tc>
            </w:tr>
            <w:tr w:rsidR="00FD3F9C" w:rsidRPr="00FF3794" w14:paraId="282E52B2" w14:textId="77777777" w:rsidTr="00A24820">
              <w:tc>
                <w:tcPr>
                  <w:tcW w:w="803" w:type="dxa"/>
                  <w:vAlign w:val="center"/>
                </w:tcPr>
                <w:p w14:paraId="366C7A54" w14:textId="047D1734" w:rsidR="00FC37CF" w:rsidRPr="00FF3794" w:rsidRDefault="005E4761" w:rsidP="00A35E09">
                  <w:pPr>
                    <w:keepNext/>
                    <w:keepLines/>
                    <w:spacing w:after="80"/>
                    <w:rPr>
                      <w:rFonts w:cs="Arial"/>
                    </w:rPr>
                  </w:pPr>
                  <w:r>
                    <w:object w:dxaOrig="8670" w:dyaOrig="8640" w14:anchorId="7EBA3057">
                      <v:shape id="_x0000_i1027" type="#_x0000_t75" alt="Symbol with FA" style="width:28.6pt;height:29.4pt;mso-position-horizontal:absolute" o:ole="">
                        <v:imagedata r:id="rId56" o:title=""/>
                      </v:shape>
                      <o:OLEObject Type="Embed" ProgID="PBrush" ShapeID="_x0000_i1027" DrawAspect="Content" ObjectID="_1758697736" r:id="rId57"/>
                    </w:object>
                  </w:r>
                </w:p>
              </w:tc>
              <w:tc>
                <w:tcPr>
                  <w:tcW w:w="2479" w:type="dxa"/>
                  <w:vAlign w:val="center"/>
                </w:tcPr>
                <w:p w14:paraId="7A9DC3A0" w14:textId="77730A89" w:rsidR="00FC37CF" w:rsidRPr="00FF3794" w:rsidRDefault="00FC37CF" w:rsidP="00A35E09">
                  <w:pPr>
                    <w:keepNext/>
                    <w:keepLines/>
                    <w:spacing w:after="80"/>
                    <w:rPr>
                      <w:rFonts w:cs="Arial"/>
                    </w:rPr>
                  </w:pPr>
                  <w:r>
                    <w:rPr>
                      <w:rFonts w:cs="Arial"/>
                    </w:rPr>
                    <w:t>Frequency assignment (legislative)</w:t>
                  </w:r>
                </w:p>
              </w:tc>
              <w:tc>
                <w:tcPr>
                  <w:tcW w:w="936" w:type="dxa"/>
                  <w:vAlign w:val="center"/>
                </w:tcPr>
                <w:p w14:paraId="1166CC89" w14:textId="7006339F" w:rsidR="00FC37CF" w:rsidRPr="00FF3794" w:rsidRDefault="005E4761" w:rsidP="00A35E09">
                  <w:pPr>
                    <w:keepNext/>
                    <w:keepLines/>
                    <w:spacing w:after="80"/>
                    <w:rPr>
                      <w:rFonts w:cs="Arial"/>
                    </w:rPr>
                  </w:pPr>
                  <w:r>
                    <w:object w:dxaOrig="8670" w:dyaOrig="8715" w14:anchorId="2140BFC0">
                      <v:shape id="_x0000_i1028" type="#_x0000_t75" alt="Peach colour symbol with FA" style="width:28.6pt;height:29.2pt;mso-position-horizontal:absolute" o:ole="">
                        <v:imagedata r:id="rId58" o:title=""/>
                      </v:shape>
                      <o:OLEObject Type="Embed" ProgID="PBrush" ShapeID="_x0000_i1028" DrawAspect="Content" ObjectID="_1758697737" r:id="rId59"/>
                    </w:object>
                  </w:r>
                </w:p>
              </w:tc>
              <w:tc>
                <w:tcPr>
                  <w:tcW w:w="2892" w:type="dxa"/>
                  <w:vAlign w:val="center"/>
                </w:tcPr>
                <w:p w14:paraId="2FC15D8A" w14:textId="5408765C" w:rsidR="00FC37CF" w:rsidRPr="00FF3794" w:rsidRDefault="00FC37CF" w:rsidP="00A35E09">
                  <w:pPr>
                    <w:keepNext/>
                    <w:keepLines/>
                    <w:spacing w:after="80"/>
                    <w:rPr>
                      <w:rFonts w:cs="Arial"/>
                    </w:rPr>
                  </w:pPr>
                  <w:r>
                    <w:rPr>
                      <w:rFonts w:cs="Arial"/>
                    </w:rPr>
                    <w:t>Frequency assignment (administrative)</w:t>
                  </w:r>
                </w:p>
              </w:tc>
            </w:tr>
            <w:tr w:rsidR="00FD3F9C" w:rsidRPr="00FF3794" w14:paraId="10BBCC08" w14:textId="77777777" w:rsidTr="00A24820">
              <w:tc>
                <w:tcPr>
                  <w:tcW w:w="803" w:type="dxa"/>
                  <w:vAlign w:val="center"/>
                </w:tcPr>
                <w:p w14:paraId="7F64F401" w14:textId="38CD2EA1" w:rsidR="00FC37CF" w:rsidRDefault="005E4761" w:rsidP="00A35E09">
                  <w:pPr>
                    <w:keepNext/>
                    <w:keepLines/>
                    <w:spacing w:after="80"/>
                  </w:pPr>
                  <w:r>
                    <w:object w:dxaOrig="8625" w:dyaOrig="8640" w14:anchorId="228CAC6B">
                      <v:shape id="_x0000_i1029" type="#_x0000_t75" alt="Blue symbol with LC" style="width:29.3pt;height:29.4pt;mso-position-horizontal:absolute" o:ole="">
                        <v:imagedata r:id="rId60" o:title=""/>
                      </v:shape>
                      <o:OLEObject Type="Embed" ProgID="PBrush" ShapeID="_x0000_i1029" DrawAspect="Content" ObjectID="_1758697738" r:id="rId61"/>
                    </w:object>
                  </w:r>
                </w:p>
              </w:tc>
              <w:tc>
                <w:tcPr>
                  <w:tcW w:w="2479" w:type="dxa"/>
                  <w:vAlign w:val="center"/>
                </w:tcPr>
                <w:p w14:paraId="5EF1CBD6" w14:textId="6CFBD64A" w:rsidR="00FC37CF" w:rsidRDefault="00FC37CF" w:rsidP="00A35E09">
                  <w:pPr>
                    <w:keepNext/>
                    <w:keepLines/>
                    <w:spacing w:after="80"/>
                    <w:rPr>
                      <w:rFonts w:cs="Arial"/>
                    </w:rPr>
                  </w:pPr>
                  <w:r>
                    <w:rPr>
                      <w:rFonts w:cs="Arial"/>
                    </w:rPr>
                    <w:t>Licence conditions (legislative)</w:t>
                  </w:r>
                </w:p>
              </w:tc>
              <w:tc>
                <w:tcPr>
                  <w:tcW w:w="936" w:type="dxa"/>
                  <w:vAlign w:val="center"/>
                </w:tcPr>
                <w:p w14:paraId="7D25CC25" w14:textId="542E66F0" w:rsidR="00FC37CF" w:rsidRPr="00FF3794" w:rsidRDefault="005E4761" w:rsidP="00A35E09">
                  <w:pPr>
                    <w:keepNext/>
                    <w:keepLines/>
                    <w:spacing w:after="80"/>
                    <w:rPr>
                      <w:rFonts w:cs="Arial"/>
                    </w:rPr>
                  </w:pPr>
                  <w:r>
                    <w:object w:dxaOrig="9735" w:dyaOrig="9735" w14:anchorId="75C40F0F">
                      <v:shape id="_x0000_i1030" type="#_x0000_t75" alt="Peach symbol with LC" style="width:28.7pt;height:28.7pt;mso-position-horizontal:absolute" o:ole="">
                        <v:imagedata r:id="rId62" o:title=""/>
                      </v:shape>
                      <o:OLEObject Type="Embed" ProgID="PBrush" ShapeID="_x0000_i1030" DrawAspect="Content" ObjectID="_1758697739" r:id="rId63"/>
                    </w:object>
                  </w:r>
                </w:p>
              </w:tc>
              <w:tc>
                <w:tcPr>
                  <w:tcW w:w="2892" w:type="dxa"/>
                  <w:vAlign w:val="center"/>
                </w:tcPr>
                <w:p w14:paraId="2E15ADDD" w14:textId="2BC4387F" w:rsidR="00FC37CF" w:rsidRPr="00FF3794" w:rsidRDefault="00FC37CF" w:rsidP="00A35E09">
                  <w:pPr>
                    <w:keepNext/>
                    <w:keepLines/>
                    <w:spacing w:after="80"/>
                    <w:rPr>
                      <w:rFonts w:cs="Arial"/>
                    </w:rPr>
                  </w:pPr>
                  <w:r>
                    <w:rPr>
                      <w:rFonts w:cs="Arial"/>
                    </w:rPr>
                    <w:t>Licence conditions (administrative)</w:t>
                  </w:r>
                </w:p>
              </w:tc>
            </w:tr>
          </w:tbl>
          <w:p w14:paraId="748BA18E" w14:textId="51CBA00E" w:rsidR="00FF3794" w:rsidRDefault="00FF3794" w:rsidP="00A35E09">
            <w:pPr>
              <w:pStyle w:val="Numberedparagraph"/>
              <w:keepNext/>
              <w:keepLines/>
              <w:numPr>
                <w:ilvl w:val="0"/>
                <w:numId w:val="0"/>
              </w:numPr>
            </w:pPr>
          </w:p>
        </w:tc>
      </w:tr>
    </w:tbl>
    <w:p w14:paraId="27574FE3" w14:textId="36E5E6F2" w:rsidR="00E634B5" w:rsidRDefault="00E634B5" w:rsidP="00EB6ACE">
      <w:pPr>
        <w:pStyle w:val="ACMABodyText"/>
        <w:spacing w:after="0"/>
      </w:pPr>
      <w:bookmarkStart w:id="17" w:name="_Hlk868381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3550"/>
      </w:tblGrid>
      <w:tr w:rsidR="00E634B5" w14:paraId="2A7783A7" w14:textId="77777777" w:rsidTr="00EB6ACE">
        <w:tc>
          <w:tcPr>
            <w:tcW w:w="4111" w:type="dxa"/>
            <w:vAlign w:val="center"/>
          </w:tcPr>
          <w:p w14:paraId="3F2E78C3" w14:textId="670757FE" w:rsidR="00E634B5" w:rsidRDefault="00E634B5" w:rsidP="00EB6ACE">
            <w:pPr>
              <w:pStyle w:val="Heading3"/>
            </w:pPr>
            <w:r>
              <w:t>Australian Radiofrequency Spectrum Plan</w:t>
            </w:r>
          </w:p>
        </w:tc>
        <w:tc>
          <w:tcPr>
            <w:tcW w:w="3550" w:type="dxa"/>
          </w:tcPr>
          <w:p w14:paraId="74DBAC8D" w14:textId="2A891215" w:rsidR="00E634B5" w:rsidRDefault="005E4761" w:rsidP="00EB6ACE">
            <w:pPr>
              <w:pStyle w:val="ACMABodyText"/>
              <w:spacing w:before="0" w:after="0"/>
            </w:pPr>
            <w:r>
              <w:object w:dxaOrig="5805" w:dyaOrig="5775" w14:anchorId="38048EBC">
                <v:shape id="_x0000_i1031" type="#_x0000_t75" alt="Blue symbol with BP" style="width:29.3pt;height:29.15pt" o:ole="">
                  <v:imagedata r:id="rId52" o:title=""/>
                </v:shape>
                <o:OLEObject Type="Embed" ProgID="PBrush" ShapeID="_x0000_i1031" DrawAspect="Content" ObjectID="_1758697740" r:id="rId64"/>
              </w:object>
            </w:r>
          </w:p>
        </w:tc>
      </w:tr>
    </w:tbl>
    <w:bookmarkEnd w:id="17"/>
    <w:p w14:paraId="2B472DA0" w14:textId="340A5B9A" w:rsidR="00702DD1" w:rsidRDefault="00702DD1" w:rsidP="00EB6ACE">
      <w:pPr>
        <w:pStyle w:val="Numberedparagraph"/>
        <w:spacing w:after="80"/>
      </w:pPr>
      <w:r>
        <w:t xml:space="preserve">The </w:t>
      </w:r>
      <w:r w:rsidR="00B06668">
        <w:t>S</w:t>
      </w:r>
      <w:r>
        <w:t xml:space="preserve">pectrum </w:t>
      </w:r>
      <w:r w:rsidR="00B06668">
        <w:t>P</w:t>
      </w:r>
      <w:r>
        <w:t xml:space="preserve">lan is a legislative instrument made under section 30 of the </w:t>
      </w:r>
      <w:r w:rsidR="001F4D47">
        <w:t xml:space="preserve">Radiocommunications </w:t>
      </w:r>
      <w:r>
        <w:t>Act</w:t>
      </w:r>
      <w:r w:rsidR="000C3E71">
        <w:t xml:space="preserve"> and forms a key </w:t>
      </w:r>
      <w:r w:rsidR="008B28A8">
        <w:t>element</w:t>
      </w:r>
      <w:r w:rsidR="000C3E71">
        <w:t xml:space="preserve"> of the band</w:t>
      </w:r>
      <w:r w:rsidR="00D51056">
        <w:t>-</w:t>
      </w:r>
      <w:r w:rsidR="000C3E71">
        <w:t>planning layer by:</w:t>
      </w:r>
    </w:p>
    <w:p w14:paraId="64AE2C5D" w14:textId="2D360B59" w:rsidR="00702DD1" w:rsidRDefault="00702DD1" w:rsidP="00702DD1">
      <w:pPr>
        <w:pStyle w:val="Bulletlevel1"/>
      </w:pPr>
      <w:r>
        <w:t>provi</w:t>
      </w:r>
      <w:r w:rsidR="008B28A8">
        <w:t>ding</w:t>
      </w:r>
      <w:r>
        <w:t xml:space="preserve"> a basis for management of the radiofrequency spectrum in Australia</w:t>
      </w:r>
    </w:p>
    <w:p w14:paraId="08E8D271" w14:textId="2EF88B73" w:rsidR="00702DD1" w:rsidRDefault="00702DD1" w:rsidP="00702DD1">
      <w:pPr>
        <w:pStyle w:val="ListBullet"/>
      </w:pPr>
      <w:r>
        <w:t>inform</w:t>
      </w:r>
      <w:r w:rsidR="008B28A8">
        <w:t>ing</w:t>
      </w:r>
      <w:r>
        <w:t xml:space="preserve"> and educat</w:t>
      </w:r>
      <w:r w:rsidR="008B28A8">
        <w:t>ing</w:t>
      </w:r>
      <w:r>
        <w:t xml:space="preserve"> radiocommunication users and the public about the various types of services that can be operated in each frequency </w:t>
      </w:r>
      <w:proofErr w:type="gramStart"/>
      <w:r>
        <w:t>band</w:t>
      </w:r>
      <w:proofErr w:type="gramEnd"/>
    </w:p>
    <w:p w14:paraId="66DDE6AE" w14:textId="15D3D6E9" w:rsidR="00702DD1" w:rsidRDefault="00702DD1" w:rsidP="00702DD1">
      <w:pPr>
        <w:pStyle w:val="Bulletlevel1last"/>
      </w:pPr>
      <w:r>
        <w:t>reflect</w:t>
      </w:r>
      <w:r w:rsidR="008B28A8">
        <w:t>ing</w:t>
      </w:r>
      <w:r>
        <w:t xml:space="preserve"> Australia's obligations as a member of the ITU.</w:t>
      </w:r>
    </w:p>
    <w:p w14:paraId="69E792CD" w14:textId="0C68ECD4" w:rsidR="00702DD1" w:rsidRDefault="00702DD1" w:rsidP="00EB6ACE">
      <w:pPr>
        <w:pStyle w:val="Numberedparagraph"/>
        <w:spacing w:after="80"/>
      </w:pPr>
      <w:r>
        <w:t xml:space="preserve">The </w:t>
      </w:r>
      <w:r w:rsidR="008B28A8">
        <w:t>S</w:t>
      </w:r>
      <w:r>
        <w:t xml:space="preserve">pectrum </w:t>
      </w:r>
      <w:r w:rsidR="008B28A8">
        <w:t>P</w:t>
      </w:r>
      <w:r>
        <w:t xml:space="preserve">lan consists of </w:t>
      </w:r>
      <w:r w:rsidR="007D1A91">
        <w:t xml:space="preserve">4 </w:t>
      </w:r>
      <w:r>
        <w:t>parts:</w:t>
      </w:r>
    </w:p>
    <w:p w14:paraId="73F7AA65" w14:textId="073957D6" w:rsidR="00702DD1" w:rsidRDefault="00702DD1" w:rsidP="00702DD1">
      <w:pPr>
        <w:pStyle w:val="Bulletlevel1"/>
      </w:pPr>
      <w:r>
        <w:t>Part 1 is introductory and identifies, among</w:t>
      </w:r>
      <w:r w:rsidR="00BB19CD">
        <w:t xml:space="preserve"> </w:t>
      </w:r>
      <w:r>
        <w:t xml:space="preserve">other things, the commencement date of the </w:t>
      </w:r>
      <w:r w:rsidR="00E40144">
        <w:t>S</w:t>
      </w:r>
      <w:r>
        <w:t xml:space="preserve">pectrum </w:t>
      </w:r>
      <w:r w:rsidR="00E40144">
        <w:t>P</w:t>
      </w:r>
      <w:r>
        <w:t xml:space="preserve">lan, definitions, treatment of primary and secondary services, treatment of spectrum and class licences (there is no reference to apparatus licences), other circumstances for use of the spectrum, and how to interpret the </w:t>
      </w:r>
      <w:r w:rsidR="00E40144">
        <w:t>S</w:t>
      </w:r>
      <w:r>
        <w:t xml:space="preserve">pectrum </w:t>
      </w:r>
      <w:r w:rsidR="00E40144">
        <w:t>P</w:t>
      </w:r>
      <w:r>
        <w:t>lan.</w:t>
      </w:r>
    </w:p>
    <w:p w14:paraId="7F50E26B" w14:textId="28D36E7A" w:rsidR="00702DD1" w:rsidRDefault="00702DD1" w:rsidP="00702DD1">
      <w:pPr>
        <w:pStyle w:val="ListBullet"/>
      </w:pPr>
      <w:r>
        <w:t xml:space="preserve">Part 2 contains the Table of Frequency </w:t>
      </w:r>
      <w:r w:rsidR="009E1E53">
        <w:t xml:space="preserve">Band </w:t>
      </w:r>
      <w:r>
        <w:t>Allocations</w:t>
      </w:r>
      <w:r w:rsidR="003D7DE8">
        <w:t>. An extract is shown in Figure 3 for illustrative purposes</w:t>
      </w:r>
      <w:r>
        <w:t xml:space="preserve">. Column 2 </w:t>
      </w:r>
      <w:r w:rsidR="003D7DE8">
        <w:t xml:space="preserve">(circled in blue) </w:t>
      </w:r>
      <w:r>
        <w:t>is the</w:t>
      </w:r>
      <w:r w:rsidR="00E46636">
        <w:t xml:space="preserve"> allocation </w:t>
      </w:r>
      <w:r w:rsidR="00C774D4">
        <w:t xml:space="preserve">made </w:t>
      </w:r>
      <w:r w:rsidR="00E46636">
        <w:t>in the</w:t>
      </w:r>
      <w:r>
        <w:t xml:space="preserve"> </w:t>
      </w:r>
      <w:r w:rsidR="00C774D4">
        <w:t>S</w:t>
      </w:r>
      <w:r>
        <w:t xml:space="preserve">pectrum </w:t>
      </w:r>
      <w:r w:rsidR="00C774D4">
        <w:t>P</w:t>
      </w:r>
      <w:r>
        <w:t>lan; column 1</w:t>
      </w:r>
      <w:r w:rsidR="003D7DE8">
        <w:t xml:space="preserve"> (circled in red)</w:t>
      </w:r>
      <w:r>
        <w:t xml:space="preserve"> is a replication of the Table of Frequency Allocations as contained in Article 5 of the </w:t>
      </w:r>
      <w:r w:rsidR="00C774D4">
        <w:t xml:space="preserve">ITU </w:t>
      </w:r>
      <w:r>
        <w:t xml:space="preserve">Radio Regulations and is only included for information. </w:t>
      </w:r>
    </w:p>
    <w:p w14:paraId="5D0B1B48" w14:textId="7D4E7CC2" w:rsidR="00702DD1" w:rsidRDefault="00702DD1" w:rsidP="00702DD1">
      <w:pPr>
        <w:pStyle w:val="ListBullet"/>
        <w:numPr>
          <w:ilvl w:val="0"/>
          <w:numId w:val="0"/>
        </w:numPr>
        <w:ind w:left="295"/>
      </w:pPr>
      <w:r>
        <w:t xml:space="preserve">Column 2 divides the radiofrequency spectrum into frequency bands, identifies the service allocations and </w:t>
      </w:r>
      <w:r w:rsidR="00DA51E4">
        <w:t>their</w:t>
      </w:r>
      <w:r>
        <w:t xml:space="preserve"> status. Additional and alternative allocations (from the Radio Regulations Region 3 identifications) are also shown.</w:t>
      </w:r>
      <w:r w:rsidR="003D7DE8">
        <w:t xml:space="preserve"> Footnotes can apply to an allocation in a frequency band or to the entire frequency band. These are either adopted from the Radio Regulations and listed in Part 4 (highlighted in green) or</w:t>
      </w:r>
      <w:r w:rsidR="00E50B74">
        <w:t xml:space="preserve"> are</w:t>
      </w:r>
      <w:r w:rsidR="003D7DE8">
        <w:t xml:space="preserve"> Australian specific and listed in Part 3 (highlighted in yellow). </w:t>
      </w:r>
    </w:p>
    <w:p w14:paraId="0E226F1A" w14:textId="6FA1397D" w:rsidR="00702DD1" w:rsidRDefault="00702DD1" w:rsidP="00702DD1">
      <w:pPr>
        <w:pStyle w:val="ListBullet"/>
      </w:pPr>
      <w:r>
        <w:t>Part 3 contains the references from Part 2 to Australian footnotes, where the operation of a service, or the use of the frequency band, is subject to the condition(s) or restriction(s) specified in that</w:t>
      </w:r>
      <w:r w:rsidR="00160529">
        <w:t xml:space="preserve"> footnote</w:t>
      </w:r>
      <w:r>
        <w:t>.</w:t>
      </w:r>
    </w:p>
    <w:p w14:paraId="3D0A6E1E" w14:textId="11AE61A5" w:rsidR="003D7DE8" w:rsidRDefault="00702DD1" w:rsidP="003D7DE8">
      <w:pPr>
        <w:pStyle w:val="Bulletlevel1last"/>
      </w:pPr>
      <w:r>
        <w:t>Part 4 contains the references from Part 2 to the international footnotes, where the operation of a service, or the use of the frequency band, is subject to the condition(s) or restriction(s) specified in that footnote.</w:t>
      </w:r>
    </w:p>
    <w:p w14:paraId="542F4B37" w14:textId="238E5BED" w:rsidR="003D7DE8" w:rsidRDefault="009F7DDA" w:rsidP="003D7DE8">
      <w:pPr>
        <w:pStyle w:val="Figureheading"/>
      </w:pPr>
      <w:r>
        <w:lastRenderedPageBreak/>
        <w:t>Extract of the Table of Frequency Band Allocation in the Spectrum Plan</w:t>
      </w:r>
    </w:p>
    <w:p w14:paraId="58015447" w14:textId="280139BE" w:rsidR="003D7DE8" w:rsidRDefault="003D7DE8" w:rsidP="00F532E1">
      <w:pPr>
        <w:pStyle w:val="Bulletlevel1last"/>
        <w:numPr>
          <w:ilvl w:val="0"/>
          <w:numId w:val="0"/>
        </w:numPr>
        <w:ind w:left="295" w:hanging="295"/>
      </w:pPr>
      <w:r>
        <w:rPr>
          <w:noProof/>
        </w:rPr>
        <w:drawing>
          <wp:inline distT="0" distB="0" distL="0" distR="0" wp14:anchorId="2028D367" wp14:editId="03A8B5B5">
            <wp:extent cx="4871085" cy="1230630"/>
            <wp:effectExtent l="0" t="0" r="5715" b="762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1085" cy="1230630"/>
                    </a:xfrm>
                    <a:prstGeom prst="rect">
                      <a:avLst/>
                    </a:prstGeom>
                    <a:noFill/>
                    <a:ln>
                      <a:noFill/>
                    </a:ln>
                  </pic:spPr>
                </pic:pic>
              </a:graphicData>
            </a:graphic>
          </wp:inline>
        </w:drawing>
      </w:r>
    </w:p>
    <w:p w14:paraId="08567B0E" w14:textId="3052383D" w:rsidR="00E050F2" w:rsidRDefault="007D6150" w:rsidP="00702DD1">
      <w:pPr>
        <w:pStyle w:val="Numberedparagraph"/>
      </w:pPr>
      <w:r>
        <w:t xml:space="preserve">In addition to service allocations in the Table of Frequency </w:t>
      </w:r>
      <w:r w:rsidR="009E1E53">
        <w:t xml:space="preserve">Band </w:t>
      </w:r>
      <w:r w:rsidR="00660D9C">
        <w:t>Allocations</w:t>
      </w:r>
      <w:r w:rsidR="00E90C91">
        <w:t xml:space="preserve"> </w:t>
      </w:r>
      <w:r w:rsidR="009F5591">
        <w:t xml:space="preserve">in </w:t>
      </w:r>
      <w:r w:rsidR="00E90C91">
        <w:t>Part 2</w:t>
      </w:r>
      <w:r>
        <w:t xml:space="preserve">, </w:t>
      </w:r>
      <w:r w:rsidR="00660D9C">
        <w:t>the footnotes</w:t>
      </w:r>
      <w:r w:rsidR="0018720A">
        <w:t xml:space="preserve"> in Part 2</w:t>
      </w:r>
      <w:r w:rsidR="006F17A9">
        <w:t xml:space="preserve"> – </w:t>
      </w:r>
      <w:r w:rsidR="00660D9C">
        <w:t xml:space="preserve">both Australian specific and from the Radio </w:t>
      </w:r>
      <w:r w:rsidR="0018720A">
        <w:t>R</w:t>
      </w:r>
      <w:r w:rsidR="00660D9C">
        <w:t>egulations</w:t>
      </w:r>
      <w:r w:rsidR="0018720A">
        <w:t xml:space="preserve"> (</w:t>
      </w:r>
      <w:r w:rsidR="001F4D47">
        <w:t>P</w:t>
      </w:r>
      <w:r w:rsidR="0018720A">
        <w:t>arts 3 and 4)</w:t>
      </w:r>
      <w:r w:rsidR="004053A9">
        <w:t xml:space="preserve"> – </w:t>
      </w:r>
      <w:r w:rsidR="00660D9C">
        <w:t>are critical aspects of the Spectrum Plan. These footnotes</w:t>
      </w:r>
      <w:r w:rsidR="004E7890">
        <w:t xml:space="preserve"> provide</w:t>
      </w:r>
      <w:r w:rsidR="00BB2C2A">
        <w:t xml:space="preserve"> further important information on the status and relationships between spectrum uses in the </w:t>
      </w:r>
      <w:r w:rsidR="004053A9">
        <w:t>T</w:t>
      </w:r>
      <w:r w:rsidR="00BB2C2A">
        <w:t xml:space="preserve">able of </w:t>
      </w:r>
      <w:r w:rsidR="00EB105E">
        <w:t xml:space="preserve">Frequency </w:t>
      </w:r>
      <w:r w:rsidR="009E1E53">
        <w:t xml:space="preserve">Band </w:t>
      </w:r>
      <w:r w:rsidR="00EB105E">
        <w:t>A</w:t>
      </w:r>
      <w:r w:rsidR="00BB2C2A">
        <w:t>llocations.</w:t>
      </w:r>
      <w:r w:rsidR="0018720A">
        <w:t xml:space="preserve"> It is often </w:t>
      </w:r>
      <w:r w:rsidR="00CA23BD">
        <w:t>insufficient</w:t>
      </w:r>
      <w:r w:rsidR="0018720A">
        <w:t xml:space="preserve"> to </w:t>
      </w:r>
      <w:r w:rsidR="00A0263A">
        <w:t xml:space="preserve">simply </w:t>
      </w:r>
      <w:r w:rsidR="00693423">
        <w:t>consider</w:t>
      </w:r>
      <w:r w:rsidR="00A0263A">
        <w:t xml:space="preserve"> the service allocations listed in the table to ascertain the intend</w:t>
      </w:r>
      <w:r w:rsidR="00EB105E">
        <w:t>ed use</w:t>
      </w:r>
      <w:r w:rsidR="00A26DD4">
        <w:t>(s)</w:t>
      </w:r>
      <w:r w:rsidR="00A0263A">
        <w:t xml:space="preserve"> for </w:t>
      </w:r>
      <w:r w:rsidR="00FC102A">
        <w:t xml:space="preserve">the </w:t>
      </w:r>
      <w:r w:rsidR="00A0263A">
        <w:t>specific band.</w:t>
      </w:r>
      <w:r w:rsidR="00BB2C2A">
        <w:t xml:space="preserve">  </w:t>
      </w:r>
      <w:r w:rsidR="00660D9C">
        <w:t xml:space="preserve"> </w:t>
      </w:r>
    </w:p>
    <w:p w14:paraId="3EBA97C6" w14:textId="4C72A54F" w:rsidR="00702DD1" w:rsidRPr="006F32B5" w:rsidRDefault="00702DD1" w:rsidP="00702DD1">
      <w:pPr>
        <w:pStyle w:val="Numberedparagraph"/>
      </w:pPr>
      <w:bookmarkStart w:id="18" w:name="_Hlk86838172"/>
      <w:r w:rsidRPr="006F32B5">
        <w:t xml:space="preserve">The </w:t>
      </w:r>
      <w:r w:rsidR="008B0948" w:rsidRPr="006F32B5">
        <w:t>S</w:t>
      </w:r>
      <w:r w:rsidRPr="006F32B5">
        <w:t xml:space="preserve">pectrum </w:t>
      </w:r>
      <w:r w:rsidR="008B0948" w:rsidRPr="006F32B5">
        <w:t>P</w:t>
      </w:r>
      <w:r w:rsidRPr="006F32B5">
        <w:t>lan provides the basis for development of further regulation and policy to facilitate the use of the spectrum</w:t>
      </w:r>
      <w:r w:rsidR="00953F1F" w:rsidRPr="00A35E09">
        <w:t>. The Spectrum Plan</w:t>
      </w:r>
      <w:r w:rsidR="008B0948" w:rsidRPr="006F32B5">
        <w:t xml:space="preserve"> has an important relationship to apparatus licensing as, under most circumstances, the service of the licence applied for must be consistent with the Spectrum Plan</w:t>
      </w:r>
      <w:r w:rsidR="007D1A91">
        <w:t>.</w:t>
      </w:r>
      <w:r w:rsidR="00D82BFA" w:rsidRPr="00A35E09">
        <w:rPr>
          <w:rStyle w:val="FootnoteReference"/>
        </w:rPr>
        <w:footnoteReference w:id="14"/>
      </w:r>
      <w:r w:rsidR="004C5A63" w:rsidRPr="006F32B5">
        <w:t xml:space="preserve"> However, </w:t>
      </w:r>
      <w:r w:rsidR="00C267FC" w:rsidRPr="006F32B5">
        <w:t xml:space="preserve">the </w:t>
      </w:r>
      <w:r w:rsidR="00722931" w:rsidRPr="006F32B5">
        <w:t>existence</w:t>
      </w:r>
      <w:r w:rsidR="00C267FC" w:rsidRPr="006F32B5">
        <w:t xml:space="preserve"> of a </w:t>
      </w:r>
      <w:r w:rsidR="00722931" w:rsidRPr="006F32B5">
        <w:t>service</w:t>
      </w:r>
      <w:r w:rsidR="00C267FC" w:rsidRPr="006F32B5">
        <w:t xml:space="preserve"> </w:t>
      </w:r>
      <w:r w:rsidR="00722931" w:rsidRPr="006F32B5">
        <w:t>allocation or footnote for applications</w:t>
      </w:r>
      <w:r w:rsidR="00C267FC" w:rsidRPr="006F32B5">
        <w:t xml:space="preserve"> does not </w:t>
      </w:r>
      <w:r w:rsidR="007F24C7">
        <w:t xml:space="preserve">automatically </w:t>
      </w:r>
      <w:r w:rsidR="00AC0417" w:rsidRPr="006F32B5">
        <w:t xml:space="preserve">oblige </w:t>
      </w:r>
      <w:r w:rsidR="00C267FC" w:rsidRPr="006F32B5">
        <w:t xml:space="preserve">the ACMA to </w:t>
      </w:r>
      <w:r w:rsidR="00D82BFA" w:rsidRPr="00A35E09">
        <w:t>issue a licence</w:t>
      </w:r>
      <w:r w:rsidR="00C267FC" w:rsidRPr="006F32B5">
        <w:t xml:space="preserve"> </w:t>
      </w:r>
      <w:r w:rsidR="00E634B5">
        <w:t>for</w:t>
      </w:r>
      <w:r w:rsidR="00E634B5" w:rsidRPr="006F32B5">
        <w:t xml:space="preserve"> </w:t>
      </w:r>
      <w:r w:rsidR="00722931" w:rsidRPr="006F32B5">
        <w:t>this</w:t>
      </w:r>
      <w:r w:rsidR="00C267FC" w:rsidRPr="006F32B5">
        <w:t xml:space="preserve"> </w:t>
      </w:r>
      <w:r w:rsidR="00275525" w:rsidRPr="006F32B5">
        <w:t>service or</w:t>
      </w:r>
      <w:r w:rsidR="00C267FC" w:rsidRPr="006F32B5">
        <w:t xml:space="preserve"> </w:t>
      </w:r>
      <w:r w:rsidR="00D82BFA" w:rsidRPr="00A35E09">
        <w:t xml:space="preserve">dictate </w:t>
      </w:r>
      <w:r w:rsidR="00E634B5">
        <w:t xml:space="preserve">how </w:t>
      </w:r>
      <w:r w:rsidR="00192EB1" w:rsidRPr="006F32B5">
        <w:t>a licence would be allocated</w:t>
      </w:r>
      <w:r w:rsidR="00C267FC" w:rsidRPr="006F32B5">
        <w:t xml:space="preserve">. </w:t>
      </w:r>
    </w:p>
    <w:bookmarkEnd w:id="18"/>
    <w:p w14:paraId="33C44096" w14:textId="7507B661" w:rsidR="00E60CEB" w:rsidRDefault="00CA23BD" w:rsidP="00E634B5">
      <w:pPr>
        <w:pStyle w:val="Numberedparagraph"/>
        <w:spacing w:after="120"/>
      </w:pPr>
      <w:r>
        <w:t>Australian service allocations (</w:t>
      </w:r>
      <w:r w:rsidR="00702DD1" w:rsidRPr="00E24CF0">
        <w:t>Column 2 of Part 2</w:t>
      </w:r>
      <w:r>
        <w:t>)</w:t>
      </w:r>
      <w:r w:rsidR="00702DD1" w:rsidRPr="00E24CF0">
        <w:t>, whil</w:t>
      </w:r>
      <w:r w:rsidR="00E634B5">
        <w:t>e</w:t>
      </w:r>
      <w:r w:rsidR="00702DD1" w:rsidRPr="00E24CF0">
        <w:t xml:space="preserve"> broadly aligned with the allocations</w:t>
      </w:r>
      <w:r w:rsidR="00702DD1">
        <w:t xml:space="preserve"> in the </w:t>
      </w:r>
      <w:r w:rsidR="00B26366">
        <w:t xml:space="preserve">ITU </w:t>
      </w:r>
      <w:r w:rsidR="00702DD1">
        <w:t>Radio Regulations</w:t>
      </w:r>
      <w:r w:rsidR="00702DD1" w:rsidRPr="00E24CF0">
        <w:t xml:space="preserve"> for Region 3, contain several variations to suit the Australian context. In accordance with No.</w:t>
      </w:r>
      <w:r w:rsidR="00702DD1" w:rsidRPr="00E24CF0">
        <w:rPr>
          <w:b/>
        </w:rPr>
        <w:t>4.4</w:t>
      </w:r>
      <w:r w:rsidR="00702DD1" w:rsidRPr="00E24CF0">
        <w:t xml:space="preserve"> of the Radio Regulations, such variations are subject to the condition that the associated radio installations do not cause harmful interference to</w:t>
      </w:r>
      <w:r w:rsidR="00B26366">
        <w:t>, or claim protection from,</w:t>
      </w:r>
      <w:r w:rsidR="00702DD1" w:rsidRPr="00E24CF0">
        <w:t xml:space="preserve"> the radio services or communications of other countries that operate in accordance with the provisions of the Radio Regulations.</w:t>
      </w:r>
      <w:r w:rsidR="00E60CEB" w:rsidRPr="00E60CE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5109"/>
      </w:tblGrid>
      <w:tr w:rsidR="00E634B5" w14:paraId="33D50AD3" w14:textId="77777777" w:rsidTr="00B373F6">
        <w:trPr>
          <w:trHeight w:val="567"/>
        </w:trPr>
        <w:tc>
          <w:tcPr>
            <w:tcW w:w="2552" w:type="dxa"/>
            <w:vAlign w:val="center"/>
          </w:tcPr>
          <w:p w14:paraId="252FE220" w14:textId="3F7ABF42" w:rsidR="00E634B5" w:rsidRDefault="00E634B5" w:rsidP="000548DB">
            <w:pPr>
              <w:pStyle w:val="Heading3"/>
            </w:pPr>
            <w:r>
              <w:t>ACMA planning decisions</w:t>
            </w:r>
          </w:p>
        </w:tc>
        <w:tc>
          <w:tcPr>
            <w:tcW w:w="5109" w:type="dxa"/>
          </w:tcPr>
          <w:p w14:paraId="390299DA" w14:textId="5F89AA07" w:rsidR="00E634B5" w:rsidRDefault="005E4761" w:rsidP="000548DB">
            <w:pPr>
              <w:pStyle w:val="ACMABodyText"/>
              <w:spacing w:before="0" w:after="0"/>
            </w:pPr>
            <w:r>
              <w:object w:dxaOrig="4440" w:dyaOrig="4440" w14:anchorId="3D4A1308">
                <v:shape id="_x0000_i1032" type="#_x0000_t75" alt="Peach symbol with BP" style="width:29.3pt;height:29.3pt" o:ole="">
                  <v:imagedata r:id="rId54" o:title=""/>
                </v:shape>
                <o:OLEObject Type="Embed" ProgID="PBrush" ShapeID="_x0000_i1032" DrawAspect="Content" ObjectID="_1758697741" r:id="rId66"/>
              </w:object>
            </w:r>
          </w:p>
        </w:tc>
      </w:tr>
    </w:tbl>
    <w:p w14:paraId="10C461E5" w14:textId="43ECA7BE" w:rsidR="000B2576" w:rsidRDefault="000B2576" w:rsidP="000B2576">
      <w:pPr>
        <w:pStyle w:val="Numberedparagraph"/>
      </w:pPr>
      <w:r>
        <w:t>Following a review of arrangement</w:t>
      </w:r>
      <w:r w:rsidR="00BE7CB2">
        <w:t>s</w:t>
      </w:r>
      <w:r>
        <w:t xml:space="preserve"> in a band or for a spectrum use, the ACMA usually publishe</w:t>
      </w:r>
      <w:r w:rsidR="00AE072F">
        <w:t>s</w:t>
      </w:r>
      <w:r>
        <w:t xml:space="preserve"> an ‘outcomes’ paper. These papers contain statements of ACMA policy intent</w:t>
      </w:r>
      <w:r w:rsidR="001F4C0A">
        <w:t>,</w:t>
      </w:r>
      <w:r w:rsidR="004A3C05">
        <w:t xml:space="preserve"> including general policy decisions as well as preliminary views on how to implement these decisions</w:t>
      </w:r>
      <w:r>
        <w:t xml:space="preserve">. This is referred to in Figure 2 as </w:t>
      </w:r>
      <w:r w:rsidR="001F4C0A">
        <w:t>‘</w:t>
      </w:r>
      <w:r w:rsidR="00AE072F">
        <w:t xml:space="preserve">ACMA </w:t>
      </w:r>
      <w:r w:rsidR="00EF3035">
        <w:t>p</w:t>
      </w:r>
      <w:r w:rsidR="00AE072F">
        <w:t>lanning decisions (</w:t>
      </w:r>
      <w:r w:rsidR="001F4C0A">
        <w:t>O</w:t>
      </w:r>
      <w:r w:rsidR="001A0F8C">
        <w:t>utcomes</w:t>
      </w:r>
      <w:r w:rsidR="00AE072F">
        <w:t xml:space="preserve"> papers)</w:t>
      </w:r>
      <w:r w:rsidR="001F4C0A">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4967"/>
      </w:tblGrid>
      <w:tr w:rsidR="001F4C0A" w14:paraId="5CF7997A" w14:textId="77777777" w:rsidTr="005B5920">
        <w:tc>
          <w:tcPr>
            <w:tcW w:w="2694" w:type="dxa"/>
            <w:vAlign w:val="center"/>
          </w:tcPr>
          <w:p w14:paraId="2B4300F9" w14:textId="3D8BC1EE" w:rsidR="001F4C0A" w:rsidRDefault="001F4C0A" w:rsidP="005B5920">
            <w:pPr>
              <w:pStyle w:val="Heading3"/>
            </w:pPr>
            <w:r>
              <w:t>Frequency band plans</w:t>
            </w:r>
          </w:p>
        </w:tc>
        <w:tc>
          <w:tcPr>
            <w:tcW w:w="4967" w:type="dxa"/>
          </w:tcPr>
          <w:p w14:paraId="44892906" w14:textId="1002191F" w:rsidR="001F4C0A" w:rsidRDefault="001F4C0A" w:rsidP="005B5920">
            <w:pPr>
              <w:pStyle w:val="ACMABodyText"/>
            </w:pPr>
          </w:p>
        </w:tc>
      </w:tr>
    </w:tbl>
    <w:p w14:paraId="5E904AC2" w14:textId="23E0F81C" w:rsidR="00702DD1" w:rsidRPr="00E24CF0" w:rsidRDefault="00702DD1" w:rsidP="001F4C0A">
      <w:pPr>
        <w:pStyle w:val="Numberedparagraph"/>
      </w:pPr>
      <w:r w:rsidRPr="00E24CF0">
        <w:t xml:space="preserve">Frequency band plans refine the specific uses that can operate in a frequency range, without being inconsistent with the </w:t>
      </w:r>
      <w:r w:rsidR="00140E89">
        <w:t>S</w:t>
      </w:r>
      <w:r w:rsidRPr="00E24CF0">
        <w:t xml:space="preserve">pectrum </w:t>
      </w:r>
      <w:r w:rsidR="00140E89">
        <w:t>P</w:t>
      </w:r>
      <w:r w:rsidRPr="00E24CF0">
        <w:t xml:space="preserve">lan. In doing so, they </w:t>
      </w:r>
      <w:r w:rsidR="007645BC">
        <w:t>are part of the band</w:t>
      </w:r>
      <w:r w:rsidR="001F4C0A">
        <w:t>-</w:t>
      </w:r>
      <w:r w:rsidR="007645BC">
        <w:t xml:space="preserve">planning layer but </w:t>
      </w:r>
      <w:r w:rsidRPr="00E24CF0">
        <w:t>provide a more detailed description of what the spectrum has been planned for</w:t>
      </w:r>
      <w:r w:rsidR="00140E89">
        <w:t xml:space="preserve"> than </w:t>
      </w:r>
      <w:r w:rsidR="001F4C0A">
        <w:t xml:space="preserve">contained in </w:t>
      </w:r>
      <w:r w:rsidR="00140E89">
        <w:t>the Spectrum Plan.</w:t>
      </w:r>
      <w:r w:rsidR="00AC0417">
        <w:t xml:space="preserve"> H</w:t>
      </w:r>
      <w:r w:rsidR="00AC0417" w:rsidRPr="00E24CF0">
        <w:t xml:space="preserve">owever, they are made only as required </w:t>
      </w:r>
      <w:r w:rsidR="00AC0417">
        <w:t xml:space="preserve">for a particular band </w:t>
      </w:r>
      <w:r w:rsidR="00AC0417" w:rsidRPr="00E24CF0">
        <w:t>and do not cover the entire radiofrequency spectrum.</w:t>
      </w:r>
    </w:p>
    <w:p w14:paraId="3E90C8C1" w14:textId="297DBD9C" w:rsidR="00AC0417" w:rsidRPr="00E24CF0" w:rsidRDefault="00AC0417" w:rsidP="000548DB">
      <w:pPr>
        <w:pStyle w:val="Numberedparagraph"/>
        <w:spacing w:after="120"/>
      </w:pPr>
      <w:bookmarkStart w:id="19" w:name="_Ref507768331"/>
      <w:r w:rsidRPr="00E24CF0">
        <w:t xml:space="preserve">The ACMA </w:t>
      </w:r>
      <w:r>
        <w:t>makes</w:t>
      </w:r>
      <w:r w:rsidRPr="00E24CF0">
        <w:t xml:space="preserve"> legislative and administrative</w:t>
      </w:r>
      <w:r w:rsidRPr="00915501">
        <w:t xml:space="preserve"> </w:t>
      </w:r>
      <w:r w:rsidRPr="00E24CF0">
        <w:t>band plan</w:t>
      </w:r>
      <w:r>
        <w:t>s</w:t>
      </w:r>
      <w:r w:rsidRPr="00E24CF0">
        <w:t>. The decision to utilise a legislative or administrative band plan depends on the intended objectives and the risks being managed</w:t>
      </w:r>
      <w:r>
        <w:t>. H</w:t>
      </w:r>
      <w:r w:rsidRPr="00E24CF0">
        <w:t xml:space="preserve">owever, the preference of the ACMA </w:t>
      </w:r>
      <w:r w:rsidR="00646BD8">
        <w:t xml:space="preserve">in the past </w:t>
      </w:r>
      <w:r w:rsidRPr="00E24CF0">
        <w:t xml:space="preserve">has </w:t>
      </w:r>
      <w:r>
        <w:t xml:space="preserve">often </w:t>
      </w:r>
      <w:r w:rsidRPr="00E24CF0">
        <w:t xml:space="preserve">been to make use of administrative planning tools where practicable to ensure </w:t>
      </w:r>
      <w:r w:rsidR="007E60B0">
        <w:t>there is</w:t>
      </w:r>
      <w:r w:rsidRPr="00E24CF0">
        <w:t xml:space="preserve"> </w:t>
      </w:r>
      <w:r w:rsidRPr="00E24CF0">
        <w:lastRenderedPageBreak/>
        <w:t>ongoing flexibility for licensees and</w:t>
      </w:r>
      <w:r>
        <w:t xml:space="preserve"> to ensure</w:t>
      </w:r>
      <w:r w:rsidRPr="00E24CF0">
        <w:t xml:space="preserve"> the ACMA </w:t>
      </w:r>
      <w:r>
        <w:t xml:space="preserve">and industry are </w:t>
      </w:r>
      <w:r w:rsidRPr="00E24CF0">
        <w:t>not constrained by the rigidity of legislat</w:t>
      </w:r>
      <w:r w:rsidR="00245A3A">
        <w:t>i</w:t>
      </w:r>
      <w:r w:rsidRPr="00E24CF0">
        <w:t xml:space="preserve">ve band plans.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400"/>
      </w:tblGrid>
      <w:tr w:rsidR="001F4C0A" w14:paraId="3B001B44" w14:textId="77777777" w:rsidTr="000548DB">
        <w:tc>
          <w:tcPr>
            <w:tcW w:w="3261" w:type="dxa"/>
            <w:vAlign w:val="center"/>
          </w:tcPr>
          <w:p w14:paraId="0582D63B" w14:textId="730A1606" w:rsidR="001F4C0A" w:rsidRDefault="001F4C0A" w:rsidP="000548DB">
            <w:pPr>
              <w:pStyle w:val="Heading4"/>
              <w:spacing w:before="0"/>
            </w:pPr>
            <w:r w:rsidRPr="004C7A0E">
              <w:t>Legislative frequency band plans</w:t>
            </w:r>
          </w:p>
        </w:tc>
        <w:tc>
          <w:tcPr>
            <w:tcW w:w="4400" w:type="dxa"/>
            <w:vAlign w:val="center"/>
          </w:tcPr>
          <w:p w14:paraId="07614E28" w14:textId="67641D86" w:rsidR="001F4C0A" w:rsidRDefault="005E4761" w:rsidP="001F4C0A">
            <w:pPr>
              <w:pStyle w:val="ACMABodyText"/>
              <w:spacing w:before="0" w:after="0"/>
            </w:pPr>
            <w:r>
              <w:object w:dxaOrig="5805" w:dyaOrig="5775" w14:anchorId="1C9CA806">
                <v:shape id="_x0000_i1033" type="#_x0000_t75" alt="Blue symbol with BP" style="width:29.3pt;height:29.15pt" o:ole="">
                  <v:imagedata r:id="rId52" o:title=""/>
                </v:shape>
                <o:OLEObject Type="Embed" ProgID="PBrush" ShapeID="_x0000_i1033" DrawAspect="Content" ObjectID="_1758697742" r:id="rId67"/>
              </w:object>
            </w:r>
          </w:p>
        </w:tc>
      </w:tr>
    </w:tbl>
    <w:p w14:paraId="5BCED9BF" w14:textId="493E3175" w:rsidR="00AC0417" w:rsidRPr="00E24CF0" w:rsidRDefault="00AC0417" w:rsidP="000548DB">
      <w:pPr>
        <w:pStyle w:val="Numberedparagraph"/>
        <w:spacing w:after="120"/>
      </w:pPr>
      <w:bookmarkStart w:id="20" w:name="_Ref507768336"/>
      <w:bookmarkEnd w:id="19"/>
      <w:r w:rsidRPr="00E24CF0">
        <w:t xml:space="preserve">Legislative frequency band plans, made under section 32 of </w:t>
      </w:r>
      <w:r w:rsidR="00DC60D1">
        <w:t>the Radiocommunications Act</w:t>
      </w:r>
      <w:r w:rsidRPr="00E24CF0">
        <w:t xml:space="preserve">, </w:t>
      </w:r>
      <w:r>
        <w:t>articulate polic</w:t>
      </w:r>
      <w:r w:rsidR="00A744DF">
        <w:t>ies</w:t>
      </w:r>
      <w:r>
        <w:t xml:space="preserve"> for the use of a band and can be </w:t>
      </w:r>
      <w:r w:rsidRPr="00E24CF0">
        <w:t>used to aid replanning processes</w:t>
      </w:r>
      <w:r>
        <w:t xml:space="preserve">. A legislative frequency band plan </w:t>
      </w:r>
      <w:r w:rsidRPr="00E24CF0">
        <w:t>may</w:t>
      </w:r>
      <w:r>
        <w:t xml:space="preserve"> be used when</w:t>
      </w:r>
      <w:r w:rsidRPr="00E24CF0">
        <w:t xml:space="preserve"> implementing government policy or to provide further clarity about existing arrangements in a frequency band. As a legislative instrument, they offer certainty of the arrangement</w:t>
      </w:r>
      <w:r w:rsidR="007F40F4">
        <w:t>s</w:t>
      </w:r>
      <w:r w:rsidRPr="00E24CF0">
        <w:t xml:space="preserve"> specified, but limit the flexibility of the ACMA and licensees. They are made on an as-needs basis and do not cover the entire radiofrequency spectrum.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3975"/>
      </w:tblGrid>
      <w:tr w:rsidR="00780C6D" w14:paraId="0DD0C0FF" w14:textId="77777777" w:rsidTr="000548DB">
        <w:tc>
          <w:tcPr>
            <w:tcW w:w="3686" w:type="dxa"/>
            <w:vAlign w:val="center"/>
          </w:tcPr>
          <w:p w14:paraId="68BE06A5" w14:textId="672816AC" w:rsidR="00780C6D" w:rsidRDefault="00780C6D" w:rsidP="005B5920">
            <w:pPr>
              <w:pStyle w:val="Heading4"/>
              <w:spacing w:before="0"/>
            </w:pPr>
            <w:r w:rsidRPr="00780C6D">
              <w:t>Administrative frequency band plans</w:t>
            </w:r>
          </w:p>
        </w:tc>
        <w:tc>
          <w:tcPr>
            <w:tcW w:w="3975" w:type="dxa"/>
            <w:vAlign w:val="center"/>
          </w:tcPr>
          <w:p w14:paraId="5D11C573" w14:textId="42D7515F" w:rsidR="00780C6D" w:rsidRDefault="005E4761" w:rsidP="005B5920">
            <w:pPr>
              <w:pStyle w:val="ACMABodyText"/>
              <w:spacing w:before="0" w:after="0"/>
            </w:pPr>
            <w:r>
              <w:object w:dxaOrig="4440" w:dyaOrig="4440" w14:anchorId="7AB22104">
                <v:shape id="_x0000_i1034" type="#_x0000_t75" alt="Peach symbol with BP" style="width:29.3pt;height:29.3pt" o:ole="">
                  <v:imagedata r:id="rId54" o:title=""/>
                </v:shape>
                <o:OLEObject Type="Embed" ProgID="PBrush" ShapeID="_x0000_i1034" DrawAspect="Content" ObjectID="_1758697743" r:id="rId68"/>
              </w:object>
            </w:r>
          </w:p>
        </w:tc>
      </w:tr>
    </w:tbl>
    <w:bookmarkEnd w:id="20"/>
    <w:p w14:paraId="100A31AE" w14:textId="73C1A6BB" w:rsidR="00702DD1" w:rsidRPr="00E24CF0" w:rsidRDefault="001E4EB9" w:rsidP="00F532E1">
      <w:pPr>
        <w:pStyle w:val="Numberedparagraph"/>
        <w:keepNext/>
        <w:keepLines/>
      </w:pPr>
      <w:r>
        <w:t>A</w:t>
      </w:r>
      <w:r w:rsidR="00702DD1" w:rsidRPr="00E24CF0">
        <w:t>dministrative band plans are used to advise industry of ACMA policy on the use of the spectrum</w:t>
      </w:r>
      <w:r w:rsidR="00B04677">
        <w:t>,</w:t>
      </w:r>
      <w:r w:rsidR="00702DD1" w:rsidRPr="00E24CF0">
        <w:t xml:space="preserve"> to ensure consistency and promote harmonisation</w:t>
      </w:r>
      <w:r w:rsidR="00B04677">
        <w:t>,</w:t>
      </w:r>
      <w:r w:rsidR="00702DD1" w:rsidRPr="00E24CF0">
        <w:t xml:space="preserve"> to aid replanning processes (effecting transition to new arrangements resulting from those processes) and </w:t>
      </w:r>
      <w:r w:rsidR="00B04677">
        <w:t xml:space="preserve">to </w:t>
      </w:r>
      <w:r w:rsidR="00702DD1" w:rsidRPr="00E24CF0">
        <w:t xml:space="preserve">provide further detail or structure </w:t>
      </w:r>
      <w:r w:rsidR="00780C6D">
        <w:t>of</w:t>
      </w:r>
      <w:r w:rsidR="00780C6D" w:rsidRPr="00E24CF0">
        <w:t xml:space="preserve"> </w:t>
      </w:r>
      <w:r w:rsidR="00702DD1" w:rsidRPr="00E24CF0">
        <w:t>the use of a frequency band.</w:t>
      </w:r>
    </w:p>
    <w:p w14:paraId="7220ABE3" w14:textId="672655A2" w:rsidR="00702DD1" w:rsidRPr="00E24CF0" w:rsidRDefault="00702DD1" w:rsidP="000548DB">
      <w:pPr>
        <w:pStyle w:val="Numberedparagraph"/>
        <w:spacing w:after="120"/>
      </w:pPr>
      <w:r w:rsidRPr="00E24CF0">
        <w:t xml:space="preserve">Administrative band plans are policy documents, usually published as a </w:t>
      </w:r>
      <w:r w:rsidR="00AC0417" w:rsidRPr="00E24CF0">
        <w:t>Radiocommunications Assignment and Licensing Instruction (RALI)</w:t>
      </w:r>
      <w:r w:rsidR="00780C6D">
        <w:t>.</w:t>
      </w:r>
      <w:r w:rsidR="00CF2CBE">
        <w:rPr>
          <w:rStyle w:val="FootnoteReference"/>
        </w:rPr>
        <w:footnoteReference w:id="15"/>
      </w:r>
      <w:r w:rsidR="001E4EB9">
        <w:t xml:space="preserve"> They are intended to provide </w:t>
      </w:r>
      <w:r w:rsidRPr="00E24CF0">
        <w:t>flexibility to licensees and the ACMA to adapt to changing planning scenarios as necessary</w:t>
      </w:r>
      <w:r w:rsidR="00AE072F">
        <w:t>, including by allowing policy ex</w:t>
      </w:r>
      <w:r w:rsidR="009D710D">
        <w:t>c</w:t>
      </w:r>
      <w:r w:rsidR="00AE072F">
        <w:t>eptions in certain circumstances</w:t>
      </w:r>
      <w:r w:rsidRPr="00E24CF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6101"/>
      </w:tblGrid>
      <w:tr w:rsidR="00780C6D" w14:paraId="5D44F747" w14:textId="77777777" w:rsidTr="000548DB">
        <w:tc>
          <w:tcPr>
            <w:tcW w:w="1560" w:type="dxa"/>
            <w:vAlign w:val="center"/>
          </w:tcPr>
          <w:p w14:paraId="3366FD80" w14:textId="540C512D" w:rsidR="00780C6D" w:rsidRDefault="00780C6D" w:rsidP="000548DB">
            <w:pPr>
              <w:pStyle w:val="Heading3"/>
            </w:pPr>
            <w:r>
              <w:t>Class licences</w:t>
            </w:r>
          </w:p>
        </w:tc>
        <w:tc>
          <w:tcPr>
            <w:tcW w:w="6101" w:type="dxa"/>
            <w:vAlign w:val="center"/>
          </w:tcPr>
          <w:p w14:paraId="1117E8A7" w14:textId="127055B9" w:rsidR="00780C6D" w:rsidRDefault="005E4761" w:rsidP="005B5920">
            <w:pPr>
              <w:pStyle w:val="ACMABodyText"/>
              <w:spacing w:before="0" w:after="0"/>
            </w:pPr>
            <w:r>
              <w:object w:dxaOrig="5805" w:dyaOrig="5775" w14:anchorId="257D6793">
                <v:shape id="_x0000_i1035" type="#_x0000_t75" alt="Blue symbol with BP" style="width:29.3pt;height:29.15pt;mso-position-vertical:absolute" o:ole="">
                  <v:imagedata r:id="rId52" o:title=""/>
                </v:shape>
                <o:OLEObject Type="Embed" ProgID="PBrush" ShapeID="_x0000_i1035" DrawAspect="Content" ObjectID="_1758697744" r:id="rId69"/>
              </w:object>
            </w:r>
          </w:p>
        </w:tc>
      </w:tr>
    </w:tbl>
    <w:p w14:paraId="544FAE10" w14:textId="004BCDE7" w:rsidR="00702DD1" w:rsidRDefault="00AC0417" w:rsidP="00702DD1">
      <w:pPr>
        <w:pStyle w:val="Numberedparagraph"/>
      </w:pPr>
      <w:r>
        <w:t xml:space="preserve">Class licences (made under section 132 of </w:t>
      </w:r>
      <w:r w:rsidR="00DC60D1">
        <w:t>the Radiocommunications Act</w:t>
      </w:r>
      <w:r>
        <w:t xml:space="preserve">) authorise access to the spectrum and are commonly used to manage uses </w:t>
      </w:r>
      <w:r w:rsidR="00780C6D">
        <w:t xml:space="preserve">that </w:t>
      </w:r>
      <w:r>
        <w:t>employ a limited set of common frequencies using equipment under a common set of conditions</w:t>
      </w:r>
      <w:r w:rsidR="00702DD1">
        <w:t>.</w:t>
      </w:r>
    </w:p>
    <w:p w14:paraId="0FD573C8" w14:textId="6BFD45F7" w:rsidR="00702DD1" w:rsidRDefault="00702DD1" w:rsidP="00702DD1">
      <w:pPr>
        <w:pStyle w:val="Numberedparagraph"/>
      </w:pPr>
      <w:r>
        <w:t>Class licences generally authorise spectrum access on a no-interference/no-protection basis</w:t>
      </w:r>
      <w:r w:rsidR="00D67606">
        <w:rPr>
          <w:rStyle w:val="FootnoteReference"/>
        </w:rPr>
        <w:footnoteReference w:id="16"/>
      </w:r>
      <w:r>
        <w:t xml:space="preserve">; therefore, it is necessary to </w:t>
      </w:r>
      <w:r w:rsidR="00C555AD">
        <w:t>include</w:t>
      </w:r>
      <w:r w:rsidR="00E9794B">
        <w:t xml:space="preserve"> </w:t>
      </w:r>
      <w:r>
        <w:t xml:space="preserve">technical conditions </w:t>
      </w:r>
      <w:r w:rsidR="00661AE2">
        <w:t>i</w:t>
      </w:r>
      <w:r>
        <w:t xml:space="preserve">n a class licence to ensure that </w:t>
      </w:r>
      <w:r w:rsidR="0033134A">
        <w:t>radiocommunications devices</w:t>
      </w:r>
      <w:r>
        <w:t xml:space="preserve"> </w:t>
      </w:r>
      <w:r w:rsidR="00FE4ABE">
        <w:t xml:space="preserve">operated under a class licence can coexist among themselves and with </w:t>
      </w:r>
      <w:r>
        <w:t>apparatus and spectrum</w:t>
      </w:r>
      <w:r w:rsidR="00780C6D">
        <w:t>-</w:t>
      </w:r>
      <w:r>
        <w:t xml:space="preserve">licensed services. In particular, </w:t>
      </w:r>
      <w:r w:rsidR="00780C6D">
        <w:t xml:space="preserve">before </w:t>
      </w:r>
      <w:r>
        <w:t>issuing a class licence in spectrum</w:t>
      </w:r>
      <w:r w:rsidR="00780C6D">
        <w:t>-</w:t>
      </w:r>
      <w:r>
        <w:t>licence</w:t>
      </w:r>
      <w:r w:rsidR="00780C6D">
        <w:t>d</w:t>
      </w:r>
      <w:r>
        <w:t xml:space="preserve"> space, the ACMA must be satisfied that operation of devices under the class licence would not cause unacceptable interference to devices operated under a spectrum licence (subsection 138(2) of </w:t>
      </w:r>
      <w:r w:rsidR="00DC60D1">
        <w:t>the Radiocommunications Act</w:t>
      </w:r>
      <w:r>
        <w:t>).</w:t>
      </w:r>
    </w:p>
    <w:p w14:paraId="5B42B525" w14:textId="4F7A17A7" w:rsidR="008F52F8" w:rsidRDefault="008F52F8" w:rsidP="00702DD1">
      <w:pPr>
        <w:pStyle w:val="Numberedparagraph"/>
      </w:pPr>
      <w:r>
        <w:t>In some cases</w:t>
      </w:r>
      <w:r w:rsidR="00671E58">
        <w:t>, other band planning arrangements can contribute to the coexistence of class</w:t>
      </w:r>
      <w:r w:rsidR="00780C6D">
        <w:t>-</w:t>
      </w:r>
      <w:r w:rsidR="00671E58">
        <w:t xml:space="preserve">licensed </w:t>
      </w:r>
      <w:r w:rsidR="008452F6">
        <w:t xml:space="preserve">devices </w:t>
      </w:r>
      <w:r w:rsidR="00207BF0">
        <w:t xml:space="preserve">and </w:t>
      </w:r>
      <w:r w:rsidR="008452F6">
        <w:t>provid</w:t>
      </w:r>
      <w:r w:rsidR="00207BF0">
        <w:t>e</w:t>
      </w:r>
      <w:r w:rsidR="008452F6">
        <w:t xml:space="preserve"> a degree of additional </w:t>
      </w:r>
      <w:r w:rsidR="0075319A">
        <w:t>interference protection</w:t>
      </w:r>
      <w:r w:rsidR="008452F6">
        <w:t xml:space="preserve"> beyond that provided on face value by the ‘no interference, no protection’ condition. For example, in some bands where earth receive stations </w:t>
      </w:r>
      <w:r w:rsidR="00207BF0">
        <w:t>a</w:t>
      </w:r>
      <w:r w:rsidR="008452F6">
        <w:t xml:space="preserve">re permitted by class licensing, </w:t>
      </w:r>
      <w:r w:rsidR="0075319A">
        <w:t xml:space="preserve">the ACMA may </w:t>
      </w:r>
      <w:r w:rsidR="008E6A72">
        <w:t>implement</w:t>
      </w:r>
      <w:r w:rsidR="0075319A">
        <w:t xml:space="preserve"> </w:t>
      </w:r>
      <w:r w:rsidR="008E6A72">
        <w:t xml:space="preserve">policy </w:t>
      </w:r>
      <w:r w:rsidR="0075319A">
        <w:t xml:space="preserve">arrangements that would </w:t>
      </w:r>
      <w:r w:rsidR="008E6A72">
        <w:t xml:space="preserve">normally </w:t>
      </w:r>
      <w:r w:rsidR="0075319A">
        <w:t xml:space="preserve">prevent the </w:t>
      </w:r>
      <w:r w:rsidR="00207BF0">
        <w:t>authorisation</w:t>
      </w:r>
      <w:r w:rsidR="0075319A">
        <w:t xml:space="preserve"> </w:t>
      </w:r>
      <w:r w:rsidR="00207BF0">
        <w:t>of</w:t>
      </w:r>
      <w:r w:rsidR="0075319A">
        <w:t xml:space="preserve"> terrestrial services in these bands that may cause interference to the class</w:t>
      </w:r>
      <w:r w:rsidR="00780C6D">
        <w:t>-</w:t>
      </w:r>
      <w:r w:rsidR="0075319A">
        <w:t xml:space="preserve">licensed receivers.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gridCol w:w="857"/>
      </w:tblGrid>
      <w:tr w:rsidR="0010291F" w14:paraId="04FF6294" w14:textId="77777777" w:rsidTr="00A2558A">
        <w:tc>
          <w:tcPr>
            <w:tcW w:w="6804" w:type="dxa"/>
            <w:vAlign w:val="center"/>
          </w:tcPr>
          <w:p w14:paraId="65B4AC31" w14:textId="05467E15" w:rsidR="0010291F" w:rsidRDefault="0010291F" w:rsidP="00982A8C">
            <w:pPr>
              <w:pStyle w:val="Heading3"/>
              <w:spacing w:before="0" w:after="0"/>
            </w:pPr>
            <w:r w:rsidRPr="00982A8C">
              <w:lastRenderedPageBreak/>
              <w:t xml:space="preserve">Ministerial designations of a </w:t>
            </w:r>
            <w:r w:rsidRPr="00DA161F">
              <w:t>band primarily for broadcasting purposes</w:t>
            </w:r>
          </w:p>
        </w:tc>
        <w:tc>
          <w:tcPr>
            <w:tcW w:w="857" w:type="dxa"/>
            <w:vAlign w:val="center"/>
          </w:tcPr>
          <w:p w14:paraId="5F3EBDAC" w14:textId="7CB4AEE4" w:rsidR="0010291F" w:rsidRDefault="005E4761" w:rsidP="00982A8C">
            <w:pPr>
              <w:pStyle w:val="ACMABodyText"/>
              <w:spacing w:before="0" w:after="0"/>
            </w:pPr>
            <w:r w:rsidRPr="00982A8C">
              <w:object w:dxaOrig="5805" w:dyaOrig="5775" w14:anchorId="2D28B37D">
                <v:shape id="_x0000_i1036" type="#_x0000_t75" alt="Blue symbol with BP" style="width:29.3pt;height:29.15pt" o:ole="">
                  <v:imagedata r:id="rId52" o:title=""/>
                </v:shape>
                <o:OLEObject Type="Embed" ProgID="PBrush" ShapeID="_x0000_i1036" DrawAspect="Content" ObjectID="_1758697745" r:id="rId70"/>
              </w:object>
            </w:r>
          </w:p>
        </w:tc>
      </w:tr>
    </w:tbl>
    <w:p w14:paraId="68DFB940" w14:textId="7C9953AE" w:rsidR="006B542B" w:rsidRPr="00DA161F" w:rsidRDefault="006B542B" w:rsidP="00745F82">
      <w:pPr>
        <w:pStyle w:val="Numberedparagraph"/>
        <w:keepNext/>
      </w:pPr>
      <w:r w:rsidRPr="00982A8C">
        <w:t xml:space="preserve">The </w:t>
      </w:r>
      <w:r w:rsidR="00DA161F">
        <w:t>m</w:t>
      </w:r>
      <w:r w:rsidRPr="00982A8C">
        <w:t>inister is responsible for initiating the planning of broadcasting services by designating part of</w:t>
      </w:r>
      <w:r w:rsidRPr="00DA161F">
        <w:t xml:space="preserve"> the spectrum as being primarily for broadcasting services under section 31 of </w:t>
      </w:r>
      <w:r w:rsidR="00DC60D1" w:rsidRPr="00DA161F">
        <w:t xml:space="preserve">the </w:t>
      </w:r>
      <w:r w:rsidR="00DC60D1" w:rsidRPr="00D869A1">
        <w:t>Radiocommunications Act</w:t>
      </w:r>
      <w:r w:rsidRPr="00DA161F">
        <w:t xml:space="preserve">. </w:t>
      </w:r>
      <w:r w:rsidR="00DA161F">
        <w:t xml:space="preserve">Before </w:t>
      </w:r>
      <w:r w:rsidRPr="00DA161F">
        <w:t xml:space="preserve">making the designations, the </w:t>
      </w:r>
      <w:r w:rsidR="00DA161F">
        <w:t>m</w:t>
      </w:r>
      <w:r w:rsidRPr="00DA161F">
        <w:t xml:space="preserve">inister must consult with the ACMA. Decisions made under section 31 are otherwise not subject to statutory consultation requirements or merits review. </w:t>
      </w:r>
      <w:r w:rsidR="008A7B5B" w:rsidRPr="00DA161F">
        <w:t>A</w:t>
      </w:r>
      <w:r w:rsidRPr="00DA161F">
        <w:t xml:space="preserve"> designation must not be inconsistent with the Spectrum Plan. After a designation has been made, the relevant spectrum is referred to the ACMA for planning under Part 3 of the BSA.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5534"/>
      </w:tblGrid>
      <w:tr w:rsidR="00A4132F" w14:paraId="75EBDDBB" w14:textId="77777777" w:rsidTr="00B373F6">
        <w:trPr>
          <w:trHeight w:val="567"/>
        </w:trPr>
        <w:tc>
          <w:tcPr>
            <w:tcW w:w="2127" w:type="dxa"/>
            <w:vAlign w:val="center"/>
          </w:tcPr>
          <w:p w14:paraId="4421683D" w14:textId="7619DD74" w:rsidR="00A4132F" w:rsidRDefault="00A4132F" w:rsidP="000548DB">
            <w:pPr>
              <w:pStyle w:val="Heading3"/>
              <w:keepLines/>
              <w:spacing w:before="0" w:after="0"/>
            </w:pPr>
            <w:r>
              <w:t>Spectrum embargoes</w:t>
            </w:r>
          </w:p>
        </w:tc>
        <w:tc>
          <w:tcPr>
            <w:tcW w:w="5534" w:type="dxa"/>
          </w:tcPr>
          <w:p w14:paraId="50A8C71F" w14:textId="02C4E249" w:rsidR="00A4132F" w:rsidRDefault="005E4761" w:rsidP="000548DB">
            <w:pPr>
              <w:pStyle w:val="ACMABodyText"/>
              <w:spacing w:before="0" w:after="0"/>
            </w:pPr>
            <w:r>
              <w:object w:dxaOrig="4440" w:dyaOrig="4440" w14:anchorId="744E276C">
                <v:shape id="_x0000_i1037" type="#_x0000_t75" alt="Peach symbol with BP" style="width:29.3pt;height:29.3pt" o:ole="">
                  <v:imagedata r:id="rId54" o:title=""/>
                </v:shape>
                <o:OLEObject Type="Embed" ProgID="PBrush" ShapeID="_x0000_i1037" DrawAspect="Content" ObjectID="_1758697746" r:id="rId71"/>
              </w:object>
            </w:r>
            <w:r w:rsidR="00A2558A">
              <w:t xml:space="preserve"> </w:t>
            </w:r>
            <w:r>
              <w:object w:dxaOrig="8670" w:dyaOrig="8715" w14:anchorId="392F1BFE">
                <v:shape id="_x0000_i1038" type="#_x0000_t75" alt="Peach symbol with FA" style="width:28.6pt;height:29.2pt" o:ole="">
                  <v:imagedata r:id="rId58" o:title=""/>
                </v:shape>
                <o:OLEObject Type="Embed" ProgID="PBrush" ShapeID="_x0000_i1038" DrawAspect="Content" ObjectID="_1758697747" r:id="rId72"/>
              </w:object>
            </w:r>
          </w:p>
        </w:tc>
      </w:tr>
    </w:tbl>
    <w:p w14:paraId="68B99AAF" w14:textId="5D7474AE" w:rsidR="00702DD1" w:rsidRDefault="005C6677" w:rsidP="00F532E1">
      <w:pPr>
        <w:pStyle w:val="Numberedparagraph"/>
        <w:keepNext/>
        <w:keepLines/>
      </w:pPr>
      <w:hyperlink r:id="rId73" w:history="1">
        <w:r w:rsidR="00702DD1" w:rsidRPr="00DC60D1">
          <w:rPr>
            <w:rStyle w:val="Hyperlink"/>
          </w:rPr>
          <w:t>Spectrum embargoes</w:t>
        </w:r>
      </w:hyperlink>
      <w:r w:rsidR="00702DD1">
        <w:t xml:space="preserve"> are policy statement</w:t>
      </w:r>
      <w:r w:rsidR="00DC60D1">
        <w:t>s</w:t>
      </w:r>
      <w:r w:rsidR="00702DD1">
        <w:t xml:space="preserve"> by the ACMA </w:t>
      </w:r>
      <w:r w:rsidR="001E4EB9">
        <w:t>outlining</w:t>
      </w:r>
      <w:r w:rsidR="00702DD1">
        <w:t xml:space="preserve"> the circumstances </w:t>
      </w:r>
      <w:r w:rsidR="001E4EB9">
        <w:t>where</w:t>
      </w:r>
      <w:r w:rsidR="00702DD1">
        <w:t xml:space="preserve"> </w:t>
      </w:r>
      <w:r w:rsidR="00CF2CBE">
        <w:t>it is likely to refuse to issue</w:t>
      </w:r>
      <w:r w:rsidR="007A1EE5">
        <w:t xml:space="preserve"> an a</w:t>
      </w:r>
      <w:r w:rsidR="006750C8">
        <w:t xml:space="preserve">pparatus </w:t>
      </w:r>
      <w:r w:rsidR="00CF2CBE">
        <w:t xml:space="preserve">licence in parts of the spectrum. The primary purpose of an embargo is to ensure </w:t>
      </w:r>
      <w:r w:rsidR="00702DD1">
        <w:t xml:space="preserve">that the status of </w:t>
      </w:r>
      <w:r w:rsidR="00DA161F">
        <w:t xml:space="preserve">a </w:t>
      </w:r>
      <w:r w:rsidR="00CF6E0F">
        <w:t>frequency</w:t>
      </w:r>
      <w:r w:rsidR="00702DD1">
        <w:t xml:space="preserve"> band</w:t>
      </w:r>
      <w:r w:rsidR="00DA161F">
        <w:t xml:space="preserve"> </w:t>
      </w:r>
      <w:r w:rsidR="00702DD1">
        <w:t xml:space="preserve">remains stable for the duration of a planning process. </w:t>
      </w:r>
      <w:r w:rsidR="00C474B9">
        <w:t>Spectrum embargoes are published as</w:t>
      </w:r>
      <w:r w:rsidR="00876E68" w:rsidRPr="00876E68">
        <w:t xml:space="preserve"> </w:t>
      </w:r>
      <w:hyperlink r:id="rId74" w:history="1">
        <w:r w:rsidR="00876E68" w:rsidRPr="00A24820">
          <w:rPr>
            <w:rStyle w:val="Hyperlink"/>
          </w:rPr>
          <w:t>RALI</w:t>
        </w:r>
        <w:r w:rsidR="00C474B9" w:rsidRPr="00A24820">
          <w:rPr>
            <w:rStyle w:val="Hyperlink"/>
          </w:rPr>
          <w:t xml:space="preserve"> MS03</w:t>
        </w:r>
      </w:hyperlink>
      <w:r w:rsidR="00876E68" w:rsidRPr="00876E68">
        <w:t>.</w:t>
      </w:r>
    </w:p>
    <w:p w14:paraId="33702303" w14:textId="28B58BE4" w:rsidR="00702DD1" w:rsidRDefault="00702DD1" w:rsidP="00702DD1">
      <w:pPr>
        <w:pStyle w:val="Numberedparagraph"/>
      </w:pPr>
      <w:r>
        <w:t>Over time</w:t>
      </w:r>
      <w:r w:rsidR="00093E32">
        <w:t xml:space="preserve"> however</w:t>
      </w:r>
      <w:r>
        <w:t xml:space="preserve">, </w:t>
      </w:r>
      <w:r w:rsidR="001E4EB9">
        <w:t xml:space="preserve">embargoes </w:t>
      </w:r>
      <w:r>
        <w:t>have also been used to provide long</w:t>
      </w:r>
      <w:r w:rsidR="00DA161F">
        <w:t>-</w:t>
      </w:r>
      <w:r>
        <w:t xml:space="preserve">term policy guidance on the use of </w:t>
      </w:r>
      <w:r w:rsidR="007A1EE5">
        <w:t xml:space="preserve">a frequency band </w:t>
      </w:r>
      <w:r w:rsidR="00DA161F">
        <w:t>if</w:t>
      </w:r>
      <w:r>
        <w:t xml:space="preserve"> a legislative frequency band plan is too rigid. In this way, they achieve the same effect as administrative band plans.</w:t>
      </w:r>
      <w:r w:rsidR="00717F9D" w:rsidRPr="00717F9D">
        <w:rPr>
          <w:noProof/>
        </w:rPr>
        <w:t xml:space="preserve"> </w:t>
      </w:r>
    </w:p>
    <w:p w14:paraId="6FFBF218" w14:textId="7CBA108F" w:rsidR="00702DD1" w:rsidRDefault="00702DD1" w:rsidP="00717F9D">
      <w:pPr>
        <w:pStyle w:val="Numberedparagraph"/>
      </w:pPr>
      <w:r>
        <w:t xml:space="preserve">In general, embargoes are intended to be temporary, with effect generally spanning the period </w:t>
      </w:r>
      <w:r w:rsidR="00DA161F">
        <w:t xml:space="preserve">before </w:t>
      </w:r>
      <w:r>
        <w:t xml:space="preserve">and during a replanning exercise. They can be useful when used </w:t>
      </w:r>
      <w:r w:rsidR="001E4EB9">
        <w:t xml:space="preserve">in conjunction </w:t>
      </w:r>
      <w:r>
        <w:t>with RALIs and/or administrative band plans to transition between old and new arrangements resulting from a replanning exercise.</w:t>
      </w:r>
    </w:p>
    <w:p w14:paraId="41B4A5E3" w14:textId="091A3DEE" w:rsidR="00CF2CBE" w:rsidRDefault="00CF2CBE" w:rsidP="00CF2CBE">
      <w:pPr>
        <w:pStyle w:val="Numberedparagraphbeforelist"/>
        <w:spacing w:after="240"/>
      </w:pPr>
      <w:r>
        <w:t>In practice, embargoes are</w:t>
      </w:r>
      <w:r w:rsidR="007A1EE5">
        <w:t xml:space="preserve"> applicable to the </w:t>
      </w:r>
      <w:r>
        <w:t>licensing process. The publication of an embargo improves the transparency of ACMA</w:t>
      </w:r>
      <w:r w:rsidR="00DA161F">
        <w:t>’s</w:t>
      </w:r>
      <w:r>
        <w:t xml:space="preserve"> decision-making processes. </w:t>
      </w:r>
      <w:r w:rsidR="00DA161F">
        <w:t xml:space="preserve">Applying </w:t>
      </w:r>
      <w:r>
        <w:t xml:space="preserve">an embargo </w:t>
      </w:r>
      <w:r w:rsidR="007D0E22">
        <w:t>to an</w:t>
      </w:r>
      <w:r>
        <w:t xml:space="preserve"> application for an apparatus licence</w:t>
      </w:r>
      <w:r w:rsidR="007D0E22">
        <w:t>, resulting in refusal to issue a</w:t>
      </w:r>
      <w:r w:rsidR="00FD465A">
        <w:t>n apparatus</w:t>
      </w:r>
      <w:r w:rsidR="007D0E22">
        <w:t xml:space="preserve"> licence,</w:t>
      </w:r>
      <w:r>
        <w:t xml:space="preserve"> is </w:t>
      </w:r>
      <w:r w:rsidR="002C4CDE">
        <w:t xml:space="preserve">a </w:t>
      </w:r>
      <w:r>
        <w:t>reviewable</w:t>
      </w:r>
      <w:r w:rsidR="002C4CDE">
        <w:t xml:space="preserve"> decision</w:t>
      </w:r>
      <w:r w:rsidR="00637781">
        <w:t>. However</w:t>
      </w:r>
      <w:r>
        <w:t xml:space="preserve">, exceptions to the embargo are permitted via the out-of-policy consideration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7"/>
        <w:gridCol w:w="1424"/>
      </w:tblGrid>
      <w:tr w:rsidR="00A4132F" w14:paraId="06DEC599" w14:textId="77777777" w:rsidTr="000548DB">
        <w:tc>
          <w:tcPr>
            <w:tcW w:w="6237" w:type="dxa"/>
            <w:vAlign w:val="center"/>
          </w:tcPr>
          <w:p w14:paraId="5223E8CC" w14:textId="3BCF8A59" w:rsidR="00A4132F" w:rsidRDefault="00A4132F" w:rsidP="000548DB">
            <w:pPr>
              <w:pStyle w:val="Heading3"/>
              <w:spacing w:before="0" w:after="0"/>
            </w:pPr>
            <w:r w:rsidRPr="0056400D">
              <w:t>Spectrum re-allocation declaration</w:t>
            </w:r>
            <w:r>
              <w:t xml:space="preserve"> for spectrum licensed bands</w:t>
            </w:r>
          </w:p>
        </w:tc>
        <w:tc>
          <w:tcPr>
            <w:tcW w:w="1424" w:type="dxa"/>
          </w:tcPr>
          <w:p w14:paraId="46A6C4F5" w14:textId="663A33DC" w:rsidR="00A4132F" w:rsidRDefault="005E4761" w:rsidP="000548DB">
            <w:pPr>
              <w:pStyle w:val="ACMABodyText"/>
              <w:spacing w:before="0" w:after="0"/>
            </w:pPr>
            <w:r>
              <w:object w:dxaOrig="5805" w:dyaOrig="5775" w14:anchorId="73337952">
                <v:shape id="_x0000_i1039" type="#_x0000_t75" alt="Blue symbol with BP" style="width:29.3pt;height:29.15pt;mso-position-vertical:absolute" o:ole="">
                  <v:imagedata r:id="rId52" o:title=""/>
                </v:shape>
                <o:OLEObject Type="Embed" ProgID="PBrush" ShapeID="_x0000_i1039" DrawAspect="Content" ObjectID="_1758697748" r:id="rId75"/>
              </w:object>
            </w:r>
          </w:p>
        </w:tc>
      </w:tr>
    </w:tbl>
    <w:p w14:paraId="653756DE" w14:textId="3297E6D3" w:rsidR="00D67606" w:rsidRPr="00411BA8" w:rsidRDefault="009547E2" w:rsidP="00D67606">
      <w:pPr>
        <w:pStyle w:val="Numberedparagraph"/>
      </w:pPr>
      <w:r>
        <w:t xml:space="preserve">Part 3.6 of </w:t>
      </w:r>
      <w:r w:rsidR="00DC60D1">
        <w:t>the Radiocommunications Act</w:t>
      </w:r>
      <w:r w:rsidR="00CA0EC6">
        <w:t xml:space="preserve"> </w:t>
      </w:r>
      <w:r>
        <w:t xml:space="preserve">details the provisions regarding re-allocation of spectrum. </w:t>
      </w:r>
      <w:r w:rsidRPr="00041356">
        <w:t xml:space="preserve">Section 153B allows the ACMA to make a declaration that one or more specified parts of the spectrum are subject to re-allocation. </w:t>
      </w:r>
      <w:r w:rsidR="00DA161F">
        <w:t>This</w:t>
      </w:r>
      <w:r w:rsidRPr="00041356">
        <w:t xml:space="preserve"> </w:t>
      </w:r>
      <w:r w:rsidRPr="00411BA8">
        <w:t xml:space="preserve">is called a spectrum re-allocation declaration. </w:t>
      </w:r>
      <w:r w:rsidR="00D67606" w:rsidRPr="00411BA8">
        <w:t>This element of the spectrum planning framework is further discussed in the spectrum licensing case study (see paragraphs 4.</w:t>
      </w:r>
      <w:r w:rsidR="00A24820">
        <w:t>7</w:t>
      </w:r>
      <w:r w:rsidR="00DA161F">
        <w:t>–</w:t>
      </w:r>
      <w:r w:rsidR="00D67606" w:rsidRPr="00411BA8">
        <w:t>4.</w:t>
      </w:r>
      <w:r w:rsidR="00A24820">
        <w:t>10</w:t>
      </w:r>
      <w:r w:rsidR="00D67606" w:rsidRPr="00411BA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2"/>
        <w:gridCol w:w="2699"/>
      </w:tblGrid>
      <w:tr w:rsidR="00A4132F" w14:paraId="4A88A237" w14:textId="77777777" w:rsidTr="000548DB">
        <w:tc>
          <w:tcPr>
            <w:tcW w:w="4962" w:type="dxa"/>
            <w:vAlign w:val="center"/>
          </w:tcPr>
          <w:p w14:paraId="25D838D7" w14:textId="0F1D6683" w:rsidR="00A4132F" w:rsidRDefault="00A4132F" w:rsidP="00BB19CD">
            <w:pPr>
              <w:pStyle w:val="Heading3"/>
              <w:keepNext w:val="0"/>
            </w:pPr>
            <w:bookmarkStart w:id="21" w:name="_Hlk101949815"/>
            <w:r w:rsidRPr="00702DD1">
              <w:t>Radiocommunications advisory guidelines</w:t>
            </w:r>
            <w:r>
              <w:t xml:space="preserve"> (RAGs)</w:t>
            </w:r>
          </w:p>
        </w:tc>
        <w:tc>
          <w:tcPr>
            <w:tcW w:w="2699" w:type="dxa"/>
          </w:tcPr>
          <w:p w14:paraId="73096585" w14:textId="69492652" w:rsidR="00A4132F" w:rsidRDefault="005E4761" w:rsidP="00BB19CD">
            <w:pPr>
              <w:pStyle w:val="ACMABodyText"/>
              <w:spacing w:before="0" w:after="0"/>
            </w:pPr>
            <w:r>
              <w:object w:dxaOrig="8670" w:dyaOrig="8640" w14:anchorId="31FA148B">
                <v:shape id="_x0000_i1040" type="#_x0000_t75" alt="Blue symbol with FA" style="width:28.6pt;height:29.4pt" o:ole="">
                  <v:imagedata r:id="rId56" o:title=""/>
                </v:shape>
                <o:OLEObject Type="Embed" ProgID="PBrush" ShapeID="_x0000_i1040" DrawAspect="Content" ObjectID="_1758697749" r:id="rId76"/>
              </w:object>
            </w:r>
          </w:p>
        </w:tc>
      </w:tr>
    </w:tbl>
    <w:p w14:paraId="69B594AE" w14:textId="0A40376F" w:rsidR="00CF2CBE" w:rsidRDefault="00CF2CBE" w:rsidP="00BB19CD">
      <w:pPr>
        <w:pStyle w:val="Numberedparagraphbeforelist"/>
        <w:spacing w:after="240"/>
      </w:pPr>
      <w:r w:rsidRPr="00E24CF0">
        <w:t xml:space="preserve">RAGs made under section 262 of </w:t>
      </w:r>
      <w:r w:rsidR="00DC60D1">
        <w:t>the Radiocommunications Act</w:t>
      </w:r>
      <w:r w:rsidRPr="00E24CF0">
        <w:t xml:space="preserve"> may address any aspect of radiocommunication or radio emission. As a spectrum planning tool, RAGs have been used to assist </w:t>
      </w:r>
      <w:r w:rsidR="00DA161F" w:rsidRPr="00E24CF0">
        <w:t>manag</w:t>
      </w:r>
      <w:r w:rsidR="00DA161F">
        <w:t xml:space="preserve">ing </w:t>
      </w:r>
      <w:r w:rsidRPr="00E24CF0">
        <w:t>potential harmful interference to</w:t>
      </w:r>
      <w:r w:rsidR="00CF7395">
        <w:t xml:space="preserve"> </w:t>
      </w:r>
      <w:r w:rsidRPr="00E24CF0">
        <w:t xml:space="preserve">and from spectrum licences into adjacent apparatus licence space. More generally, RAGs cover a broad range of issues including, but not limited to use, performance, frequency </w:t>
      </w:r>
      <w:r>
        <w:t>assignment</w:t>
      </w:r>
      <w:r w:rsidRPr="00E24CF0">
        <w:t xml:space="preserve"> and coordination.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707"/>
      </w:tblGrid>
      <w:tr w:rsidR="00CA04F9" w14:paraId="38E92AC7" w14:textId="77777777" w:rsidTr="00A2558A">
        <w:tc>
          <w:tcPr>
            <w:tcW w:w="5954" w:type="dxa"/>
            <w:vAlign w:val="center"/>
          </w:tcPr>
          <w:bookmarkEnd w:id="21"/>
          <w:p w14:paraId="6A378965" w14:textId="04B11A54" w:rsidR="00A4132F" w:rsidRDefault="00A4132F" w:rsidP="00BB19CD">
            <w:pPr>
              <w:pStyle w:val="Heading3"/>
              <w:keepLines/>
              <w:spacing w:before="0" w:after="0"/>
            </w:pPr>
            <w:r>
              <w:lastRenderedPageBreak/>
              <w:t>Radiocommunications assignment and licensing instructions (RALIs)</w:t>
            </w:r>
            <w:r w:rsidRPr="00717F9D">
              <w:rPr>
                <w:noProof/>
              </w:rPr>
              <w:t xml:space="preserve"> </w:t>
            </w:r>
          </w:p>
        </w:tc>
        <w:tc>
          <w:tcPr>
            <w:tcW w:w="1707" w:type="dxa"/>
            <w:vAlign w:val="center"/>
          </w:tcPr>
          <w:p w14:paraId="6F9EC49A" w14:textId="329E9F6F" w:rsidR="00A4132F" w:rsidRDefault="005E4761" w:rsidP="00BB19CD">
            <w:pPr>
              <w:pStyle w:val="ACMABodyText"/>
              <w:keepNext/>
              <w:keepLines/>
              <w:spacing w:before="0" w:after="0"/>
            </w:pPr>
            <w:r>
              <w:object w:dxaOrig="8670" w:dyaOrig="8715" w14:anchorId="39B71906">
                <v:shape id="_x0000_i1041" type="#_x0000_t75" alt="Peach symbol with FA" style="width:28.6pt;height:29.2pt" o:ole="">
                  <v:imagedata r:id="rId58" o:title=""/>
                </v:shape>
                <o:OLEObject Type="Embed" ProgID="PBrush" ShapeID="_x0000_i1041" DrawAspect="Content" ObjectID="_1758697750" r:id="rId77"/>
              </w:object>
            </w:r>
            <w:r w:rsidR="00A4132F">
              <w:t xml:space="preserve"> </w:t>
            </w:r>
            <w:r>
              <w:object w:dxaOrig="9735" w:dyaOrig="9735" w14:anchorId="1F91FF0E">
                <v:shape id="_x0000_i1042" type="#_x0000_t75" alt="Peach symbol with LC" style="width:28.7pt;height:28.7pt" o:ole="">
                  <v:imagedata r:id="rId62" o:title=""/>
                </v:shape>
                <o:OLEObject Type="Embed" ProgID="PBrush" ShapeID="_x0000_i1042" DrawAspect="Content" ObjectID="_1758697751" r:id="rId78"/>
              </w:object>
            </w:r>
          </w:p>
        </w:tc>
      </w:tr>
    </w:tbl>
    <w:bookmarkStart w:id="22" w:name="_Hlk112836230"/>
    <w:p w14:paraId="76CBE603" w14:textId="6E6A841F" w:rsidR="008E1268" w:rsidRDefault="007F6E92" w:rsidP="00BB19CD">
      <w:pPr>
        <w:pStyle w:val="Numberedparagraphbeforelist"/>
        <w:keepNext/>
        <w:keepLines/>
        <w:spacing w:after="240"/>
      </w:pPr>
      <w:r>
        <w:fldChar w:fldCharType="begin"/>
      </w:r>
      <w:r>
        <w:instrText xml:space="preserve"> HYPERLINK "https://www.acma.gov.au/ralis-frequency-coordination" </w:instrText>
      </w:r>
      <w:r>
        <w:fldChar w:fldCharType="separate"/>
      </w:r>
      <w:r w:rsidR="004135EB" w:rsidRPr="00411BA8">
        <w:rPr>
          <w:rStyle w:val="Hyperlink"/>
        </w:rPr>
        <w:t>RALIs</w:t>
      </w:r>
      <w:r>
        <w:rPr>
          <w:rStyle w:val="Hyperlink"/>
        </w:rPr>
        <w:fldChar w:fldCharType="end"/>
      </w:r>
      <w:r w:rsidR="00411BA8">
        <w:rPr>
          <w:vertAlign w:val="superscript"/>
        </w:rPr>
        <w:t xml:space="preserve"> </w:t>
      </w:r>
      <w:r w:rsidR="00702DD1" w:rsidRPr="00E24CF0">
        <w:t xml:space="preserve">were originally produced to </w:t>
      </w:r>
      <w:r w:rsidR="00DA161F">
        <w:t>assist with</w:t>
      </w:r>
      <w:r w:rsidR="00702DD1" w:rsidRPr="00E24CF0">
        <w:t xml:space="preserve"> consistent interpretation and application of </w:t>
      </w:r>
      <w:r w:rsidR="00DC60D1">
        <w:t>the Radiocommunications Act</w:t>
      </w:r>
      <w:r w:rsidR="00702DD1" w:rsidRPr="00E24CF0">
        <w:t xml:space="preserve"> by ACMA and its predecessors.</w:t>
      </w:r>
      <w:bookmarkEnd w:id="22"/>
      <w:r w:rsidR="00702DD1" w:rsidRPr="00E24CF0">
        <w:t xml:space="preserve"> Over time, RALIs have also been used to instruct not only staff, but also licensees, accredited persons and the public about assignment and licensing technical conditions. </w:t>
      </w:r>
    </w:p>
    <w:p w14:paraId="4A337E8C" w14:textId="21E08C92" w:rsidR="00702DD1" w:rsidRPr="00E24CF0" w:rsidRDefault="00CF2CBE" w:rsidP="002A6181">
      <w:pPr>
        <w:pStyle w:val="Numberedparagraphbeforelist"/>
        <w:spacing w:after="240"/>
      </w:pPr>
      <w:r>
        <w:t xml:space="preserve">In submitting a frequency assignment certificate to the ACMA, an accredited person is certifying that the proposed assignment is consistent with applicable RALIs or, if not, the assignment will not have adverse </w:t>
      </w:r>
      <w:r w:rsidR="00730C9E">
        <w:t>e</w:t>
      </w:r>
      <w:r>
        <w:t>ffect</w:t>
      </w:r>
      <w:r w:rsidR="0086240B">
        <w:t>s</w:t>
      </w:r>
      <w:r>
        <w:t xml:space="preserve"> on radiocommunications services. In this context, RALI</w:t>
      </w:r>
      <w:r w:rsidR="00127597">
        <w:t>s that set out a prescriptive coordination procedure (noting that RALIs may serve a range of purposes) generally</w:t>
      </w:r>
      <w:r>
        <w:t xml:space="preserve"> reflect a</w:t>
      </w:r>
      <w:r w:rsidR="00271090">
        <w:t xml:space="preserve">n </w:t>
      </w:r>
      <w:r>
        <w:t>approach to frequency assignment</w:t>
      </w:r>
      <w:r w:rsidR="00271090">
        <w:t xml:space="preserve"> using typical </w:t>
      </w:r>
      <w:r w:rsidR="00601DF3">
        <w:t>systems parameters and generalised planning models</w:t>
      </w:r>
      <w:r>
        <w:t xml:space="preserve">. </w:t>
      </w:r>
      <w:r w:rsidR="009B3C35">
        <w:t xml:space="preserve">RALIs typically </w:t>
      </w:r>
      <w:r w:rsidR="00011AAE">
        <w:t xml:space="preserve">provide </w:t>
      </w:r>
      <w:r w:rsidR="00127597">
        <w:t>assigners</w:t>
      </w:r>
      <w:r w:rsidR="00011AAE">
        <w:t xml:space="preserve"> the flexibility to </w:t>
      </w:r>
      <w:r w:rsidR="00127597">
        <w:t xml:space="preserve">apply engineering best practice principles to </w:t>
      </w:r>
      <w:r w:rsidR="00601DF3">
        <w:t xml:space="preserve">take into account specific characteristics of the proposed assignment to make </w:t>
      </w:r>
      <w:r w:rsidR="00127597">
        <w:t xml:space="preserve">more </w:t>
      </w:r>
      <w:proofErr w:type="gramStart"/>
      <w:r w:rsidR="00536365">
        <w:t>spectrally</w:t>
      </w:r>
      <w:r w:rsidR="00DA161F">
        <w:t>-</w:t>
      </w:r>
      <w:r w:rsidR="00127597">
        <w:t>efficient</w:t>
      </w:r>
      <w:proofErr w:type="gramEnd"/>
      <w:r w:rsidR="00127597">
        <w:t xml:space="preserve"> assignments</w:t>
      </w:r>
      <w:r w:rsidR="00536365">
        <w:t xml:space="preserve"> </w:t>
      </w:r>
      <w:r w:rsidR="00DA161F">
        <w:t xml:space="preserve">that are </w:t>
      </w:r>
      <w:r w:rsidR="00536365">
        <w:t>consistent with the planning intent</w:t>
      </w:r>
      <w:r w:rsidR="00127597">
        <w:t>.</w:t>
      </w:r>
    </w:p>
    <w:p w14:paraId="447D3547" w14:textId="3233C6A1" w:rsidR="00702DD1" w:rsidRPr="00E24CF0" w:rsidRDefault="00702DD1" w:rsidP="00A64A57">
      <w:pPr>
        <w:pStyle w:val="Numberedparagraphbeforelist"/>
        <w:spacing w:after="240"/>
      </w:pPr>
      <w:r w:rsidRPr="00E24CF0">
        <w:t xml:space="preserve">Each RALI has a stated purpose – many provide instructions or procedures on how to complete certain </w:t>
      </w:r>
      <w:r w:rsidR="00FE3A02">
        <w:t xml:space="preserve">coordination and assignment activities </w:t>
      </w:r>
      <w:r w:rsidR="00970EA9">
        <w:t>within a specific service (such as the land mobile or fixed services) or between services</w:t>
      </w:r>
      <w:r w:rsidR="00FE3A02">
        <w:t xml:space="preserve"> (such as satellite and fixed services)</w:t>
      </w:r>
      <w:r w:rsidR="005E4761">
        <w:t>.</w:t>
      </w:r>
      <w:r w:rsidR="00970EA9">
        <w:rPr>
          <w:rStyle w:val="FootnoteReference"/>
        </w:rPr>
        <w:footnoteReference w:id="17"/>
      </w:r>
      <w:r w:rsidRPr="00E24CF0">
        <w:t xml:space="preserve"> </w:t>
      </w:r>
      <w:r w:rsidR="00FE3A02">
        <w:t>O</w:t>
      </w:r>
      <w:r w:rsidRPr="00E24CF0">
        <w:t>ther</w:t>
      </w:r>
      <w:r w:rsidR="00FE3A02">
        <w:t xml:space="preserve"> RALIs</w:t>
      </w:r>
      <w:r w:rsidRPr="00E24CF0">
        <w:t xml:space="preserve"> provide general information, a policy base or advice</w:t>
      </w:r>
      <w:r w:rsidR="00970EA9">
        <w:t xml:space="preserve"> such as spectrum embargoes</w:t>
      </w:r>
      <w:r w:rsidRPr="00E24CF0">
        <w:t xml:space="preserve">. RALIs come into effect when </w:t>
      </w:r>
      <w:r w:rsidR="00AE072F">
        <w:t>approved by an authorised ACMA delegate</w:t>
      </w:r>
      <w:r>
        <w:t xml:space="preserve"> and published on the ACMA website</w:t>
      </w:r>
      <w:r w:rsidRPr="00E24CF0">
        <w:t>.</w:t>
      </w:r>
    </w:p>
    <w:p w14:paraId="1271B738" w14:textId="1D6F4C1E" w:rsidR="00702DD1" w:rsidRPr="00E24CF0" w:rsidRDefault="00702DD1" w:rsidP="006C64C2">
      <w:pPr>
        <w:pStyle w:val="Numberedparagraphbeforelist"/>
      </w:pPr>
      <w:r w:rsidRPr="00E24CF0">
        <w:t>From a coordination and frequency assignment perspective, the ACMA prepares RALIs to ensure sharing and coordination between uses and users of the spectrum. RALIs in this context may address:</w:t>
      </w:r>
    </w:p>
    <w:p w14:paraId="2F8E8B54" w14:textId="50F6963B" w:rsidR="00702DD1" w:rsidRPr="00E24CF0" w:rsidRDefault="00702DD1" w:rsidP="00702DD1">
      <w:pPr>
        <w:pStyle w:val="Bulletlevel1"/>
      </w:pPr>
      <w:r w:rsidRPr="009C712D">
        <w:rPr>
          <w:i/>
          <w:iCs/>
        </w:rPr>
        <w:t>channel plans</w:t>
      </w:r>
      <w:r w:rsidRPr="00E24CF0">
        <w:t xml:space="preserve"> –</w:t>
      </w:r>
      <w:r w:rsidR="00FE3A02">
        <w:t xml:space="preserve"> </w:t>
      </w:r>
      <w:r w:rsidRPr="00E24CF0">
        <w:t xml:space="preserve">a predefined set of (usually) paired frequencies and associated channels that licensees choose from </w:t>
      </w:r>
      <w:r w:rsidR="00DA161F">
        <w:t>to</w:t>
      </w:r>
      <w:r w:rsidR="00DA161F" w:rsidRPr="00E24CF0">
        <w:t xml:space="preserve"> </w:t>
      </w:r>
      <w:r w:rsidRPr="00E24CF0">
        <w:t>deploy a system</w:t>
      </w:r>
      <w:r w:rsidR="005E4761">
        <w:t>.</w:t>
      </w:r>
      <w:r w:rsidRPr="00F87597">
        <w:rPr>
          <w:vertAlign w:val="superscript"/>
        </w:rPr>
        <w:footnoteReference w:id="18"/>
      </w:r>
      <w:r>
        <w:t xml:space="preserve"> </w:t>
      </w:r>
      <w:r w:rsidRPr="00E24CF0">
        <w:t xml:space="preserve">Typically, channel plans have been used in the fixed and land mobile services where a particular frequency re-use distance between </w:t>
      </w:r>
      <w:r w:rsidR="00223E19">
        <w:t xml:space="preserve">radiocommunications </w:t>
      </w:r>
      <w:r w:rsidRPr="00E24CF0">
        <w:t xml:space="preserve">transmitters on the same frequency/channel is required to ensure interference is </w:t>
      </w:r>
      <w:r w:rsidR="00A26DD4">
        <w:t>managed</w:t>
      </w:r>
      <w:r w:rsidRPr="00E24CF0">
        <w:t xml:space="preserve">. </w:t>
      </w:r>
    </w:p>
    <w:p w14:paraId="0A83E0E6" w14:textId="26784BA3" w:rsidR="00702DD1" w:rsidRPr="00E24CF0" w:rsidRDefault="00702DD1" w:rsidP="00702DD1">
      <w:pPr>
        <w:pStyle w:val="ListBullet"/>
      </w:pPr>
      <w:r w:rsidRPr="009C712D">
        <w:rPr>
          <w:i/>
          <w:iCs/>
        </w:rPr>
        <w:t>protection criteria</w:t>
      </w:r>
      <w:r w:rsidRPr="00E24CF0">
        <w:t xml:space="preserve"> – </w:t>
      </w:r>
      <w:r w:rsidR="00B50130">
        <w:t xml:space="preserve">are </w:t>
      </w:r>
      <w:r w:rsidRPr="00E24CF0">
        <w:t>power limit</w:t>
      </w:r>
      <w:r w:rsidR="00B50130">
        <w:t>s</w:t>
      </w:r>
      <w:r w:rsidRPr="00E24CF0">
        <w:t xml:space="preserve">, typically at a receiver (or antenna) that cannot be exceeded by potential interferers when undertaking coordination. Protection criteria are designed to </w:t>
      </w:r>
      <w:r w:rsidR="00FA366F">
        <w:t>contribute to</w:t>
      </w:r>
      <w:r w:rsidR="00FA366F" w:rsidRPr="00E24CF0">
        <w:t xml:space="preserve"> </w:t>
      </w:r>
      <w:r w:rsidRPr="00E24CF0">
        <w:t>a level of performance for the systems intended to be used in the band.</w:t>
      </w:r>
    </w:p>
    <w:p w14:paraId="005780B2" w14:textId="55E2CB3F" w:rsidR="00702DD1" w:rsidRPr="00E24CF0" w:rsidRDefault="00702DD1" w:rsidP="00702DD1">
      <w:pPr>
        <w:pStyle w:val="ListBullet"/>
      </w:pPr>
      <w:r w:rsidRPr="009C712D">
        <w:rPr>
          <w:i/>
          <w:iCs/>
        </w:rPr>
        <w:t>propagation criteria</w:t>
      </w:r>
      <w:r w:rsidRPr="00E24CF0">
        <w:t xml:space="preserve"> – radio emissions are attenuated by a range of phenomena between transmitters and receivers. In determining whether interference will be caused to a receiver, it is necessary to define propagation criteria (or a methodology) to calculate that potential for interference</w:t>
      </w:r>
      <w:r>
        <w:t>.</w:t>
      </w:r>
    </w:p>
    <w:p w14:paraId="37F0D56D" w14:textId="69C21BDA" w:rsidR="00702DD1" w:rsidRPr="00E24CF0" w:rsidRDefault="00702DD1" w:rsidP="00702DD1">
      <w:pPr>
        <w:pStyle w:val="Bulletlevel1last"/>
      </w:pPr>
      <w:r w:rsidRPr="009C712D">
        <w:rPr>
          <w:i/>
          <w:iCs/>
        </w:rPr>
        <w:t>deployment constraints</w:t>
      </w:r>
      <w:r w:rsidRPr="00E24CF0">
        <w:t xml:space="preserve"> – are restrictions on the deployment characteristics of transmitters and receivers to limit the potential </w:t>
      </w:r>
      <w:r w:rsidR="00851679">
        <w:t>to</w:t>
      </w:r>
      <w:r w:rsidR="00851679" w:rsidRPr="00E24CF0">
        <w:t xml:space="preserve"> </w:t>
      </w:r>
      <w:r w:rsidRPr="00E24CF0">
        <w:t>caus</w:t>
      </w:r>
      <w:r w:rsidR="00851679">
        <w:t>e</w:t>
      </w:r>
      <w:r w:rsidRPr="00E24CF0">
        <w:t xml:space="preserve"> interference or be</w:t>
      </w:r>
      <w:r w:rsidR="00851679">
        <w:t xml:space="preserve"> </w:t>
      </w:r>
      <w:r w:rsidRPr="00E24CF0">
        <w:t>subject to interference. For example, transmitter powers, emissions masks and tower heights may be used.</w:t>
      </w:r>
    </w:p>
    <w:p w14:paraId="476E593B" w14:textId="23FF7332" w:rsidR="009E743D" w:rsidRPr="00E24CF0" w:rsidRDefault="009E743D" w:rsidP="00411BA8">
      <w:pPr>
        <w:pStyle w:val="Numberedparagraphbeforelist"/>
        <w:spacing w:after="240"/>
      </w:pPr>
      <w:r>
        <w:t>Technical and operational characteristics</w:t>
      </w:r>
      <w:r w:rsidR="00851679">
        <w:t>,</w:t>
      </w:r>
      <w:r>
        <w:t xml:space="preserve"> as well as licence conditions and advisory notes</w:t>
      </w:r>
      <w:r w:rsidR="00851679">
        <w:t>,</w:t>
      </w:r>
      <w:r>
        <w:t xml:space="preserve"> may be specified in a RALI for </w:t>
      </w:r>
      <w:r w:rsidR="00192EB1">
        <w:t xml:space="preserve">consideration </w:t>
      </w:r>
      <w:r>
        <w:t xml:space="preserve">by accredited persons and licensees when submitting applications. This includes, but is not limited to, information about the frequencies, location (coordinates, area and height), transmission </w:t>
      </w:r>
      <w:r>
        <w:lastRenderedPageBreak/>
        <w:t>(bandwidth, power, modulation and coding) and antennas</w:t>
      </w:r>
      <w:r w:rsidR="00CC723E">
        <w:t xml:space="preserve"> of radiocommunications devices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3833"/>
      </w:tblGrid>
      <w:tr w:rsidR="00C71F52" w14:paraId="083BC72B" w14:textId="77777777" w:rsidTr="00065185">
        <w:tc>
          <w:tcPr>
            <w:tcW w:w="3828" w:type="dxa"/>
            <w:vAlign w:val="center"/>
          </w:tcPr>
          <w:p w14:paraId="0C51F46F" w14:textId="665F4F54" w:rsidR="00C71F52" w:rsidRDefault="00C71F52" w:rsidP="000579EB">
            <w:pPr>
              <w:pStyle w:val="Heading3"/>
              <w:keepLines/>
            </w:pPr>
            <w:r>
              <w:t>Business operating procedures (BOPs)</w:t>
            </w:r>
          </w:p>
        </w:tc>
        <w:tc>
          <w:tcPr>
            <w:tcW w:w="3833" w:type="dxa"/>
          </w:tcPr>
          <w:p w14:paraId="3F1AF528" w14:textId="050DA207" w:rsidR="00C71F52" w:rsidRDefault="000579EB" w:rsidP="000579EB">
            <w:pPr>
              <w:pStyle w:val="ACMABodyText"/>
              <w:keepNext/>
              <w:keepLines/>
              <w:spacing w:before="0" w:after="0"/>
            </w:pPr>
            <w:r>
              <w:object w:dxaOrig="8670" w:dyaOrig="8715" w14:anchorId="6F7086C8">
                <v:shape id="_x0000_i1043" type="#_x0000_t75" alt="Peach symbol with FA" style="width:28.6pt;height:29.2pt" o:ole="">
                  <v:imagedata r:id="rId58" o:title=""/>
                </v:shape>
                <o:OLEObject Type="Embed" ProgID="PBrush" ShapeID="_x0000_i1043" DrawAspect="Content" ObjectID="_1758697752" r:id="rId79"/>
              </w:object>
            </w:r>
            <w:r w:rsidR="00C71F52">
              <w:t xml:space="preserve"> </w:t>
            </w:r>
            <w:r>
              <w:object w:dxaOrig="9735" w:dyaOrig="9735" w14:anchorId="44D4B01E">
                <v:shape id="_x0000_i1044" type="#_x0000_t75" alt="Peach symbol with LC" style="width:28.7pt;height:28.7pt" o:ole="">
                  <v:imagedata r:id="rId62" o:title=""/>
                </v:shape>
                <o:OLEObject Type="Embed" ProgID="PBrush" ShapeID="_x0000_i1044" DrawAspect="Content" ObjectID="_1758697753" r:id="rId80"/>
              </w:object>
            </w:r>
          </w:p>
        </w:tc>
      </w:tr>
    </w:tbl>
    <w:p w14:paraId="5FD51205" w14:textId="477B0807" w:rsidR="00274F20" w:rsidRDefault="001E3AFE" w:rsidP="000579EB">
      <w:pPr>
        <w:pStyle w:val="Numberedparagraph"/>
        <w:keepNext/>
        <w:keepLines/>
      </w:pPr>
      <w:hyperlink r:id="rId81" w:history="1">
        <w:r w:rsidR="00274F20" w:rsidRPr="00411BA8">
          <w:rPr>
            <w:rStyle w:val="Hyperlink"/>
          </w:rPr>
          <w:t>BOPs</w:t>
        </w:r>
      </w:hyperlink>
      <w:r w:rsidR="00274F20">
        <w:t xml:space="preserve"> are used to record the business policy, procedures and processes used by the ACMA. BOPs are relevant to the frequency assignment work of accredited persons</w:t>
      </w:r>
      <w:r w:rsidR="00D67227">
        <w:t xml:space="preserve">. Particularly </w:t>
      </w:r>
      <w:r w:rsidR="00851679">
        <w:t xml:space="preserve">for </w:t>
      </w:r>
      <w:r w:rsidR="00D67227">
        <w:t>BOPs related to space-based communications, these documents outline conditions for inclusion on</w:t>
      </w:r>
      <w:r w:rsidR="00AE199F">
        <w:t xml:space="preserve"> apparatus</w:t>
      </w:r>
      <w:r w:rsidR="00D67227">
        <w:t xml:space="preserve"> licences. BOPs </w:t>
      </w:r>
      <w:r w:rsidR="00274F20">
        <w:t xml:space="preserve">are </w:t>
      </w:r>
      <w:r w:rsidR="00D67227">
        <w:t xml:space="preserve">also </w:t>
      </w:r>
      <w:r w:rsidR="00274F20">
        <w:t xml:space="preserve">used to clarify requirements for data formatting used in </w:t>
      </w:r>
      <w:r w:rsidR="00411BA8" w:rsidRPr="00411BA8">
        <w:t xml:space="preserve">the </w:t>
      </w:r>
      <w:hyperlink r:id="rId82" w:history="1">
        <w:r w:rsidR="00411BA8" w:rsidRPr="00411BA8">
          <w:rPr>
            <w:rStyle w:val="Hyperlink"/>
          </w:rPr>
          <w:t>Register of Radiocommunications Licences</w:t>
        </w:r>
      </w:hyperlink>
      <w:r w:rsidR="00274F20">
        <w:t>, site data requirements for inclusion in the Register and procedures for submitting embargo exemption requests.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3692"/>
      </w:tblGrid>
      <w:tr w:rsidR="00C71F52" w14:paraId="684F893E" w14:textId="77777777" w:rsidTr="00065185">
        <w:tc>
          <w:tcPr>
            <w:tcW w:w="3969" w:type="dxa"/>
            <w:vAlign w:val="center"/>
          </w:tcPr>
          <w:p w14:paraId="4636B770" w14:textId="31A72BAE" w:rsidR="00C71F52" w:rsidRDefault="00C71F52" w:rsidP="00065185">
            <w:pPr>
              <w:pStyle w:val="Heading3"/>
            </w:pPr>
            <w:r w:rsidRPr="008D10D8">
              <w:t>Frequency assignment practices</w:t>
            </w:r>
            <w:r>
              <w:t xml:space="preserve"> (FAPs)</w:t>
            </w:r>
          </w:p>
        </w:tc>
        <w:tc>
          <w:tcPr>
            <w:tcW w:w="3692" w:type="dxa"/>
          </w:tcPr>
          <w:p w14:paraId="3C281237" w14:textId="0C4ED981" w:rsidR="00C71F52" w:rsidRDefault="000579EB" w:rsidP="00065185">
            <w:pPr>
              <w:pStyle w:val="ACMABodyText"/>
              <w:spacing w:before="0" w:after="0"/>
            </w:pPr>
            <w:r>
              <w:object w:dxaOrig="9735" w:dyaOrig="9735" w14:anchorId="491FD534">
                <v:shape id="_x0000_i1045" type="#_x0000_t75" alt="Peach symbol with LC" style="width:28.7pt;height:28.7pt" o:ole="">
                  <v:imagedata r:id="rId62" o:title=""/>
                </v:shape>
                <o:OLEObject Type="Embed" ProgID="PBrush" ShapeID="_x0000_i1045" DrawAspect="Content" ObjectID="_1758697754" r:id="rId83"/>
              </w:object>
            </w:r>
          </w:p>
        </w:tc>
      </w:tr>
    </w:tbl>
    <w:p w14:paraId="72E541B6" w14:textId="1EA0A0F3" w:rsidR="00274F20" w:rsidRDefault="001E3AFE" w:rsidP="00EF36AE">
      <w:pPr>
        <w:pStyle w:val="Numberedparagraph"/>
      </w:pPr>
      <w:hyperlink r:id="rId84" w:history="1">
        <w:r w:rsidR="00274F20" w:rsidRPr="00411BA8">
          <w:rPr>
            <w:rStyle w:val="Hyperlink"/>
          </w:rPr>
          <w:t>FAPs</w:t>
        </w:r>
      </w:hyperlink>
      <w:r w:rsidR="00274F20">
        <w:t xml:space="preserve"> support the frequency assignment policy contained in RALIs</w:t>
      </w:r>
      <w:r w:rsidR="00851679">
        <w:t>. They</w:t>
      </w:r>
      <w:r w:rsidR="005F2479">
        <w:t xml:space="preserve"> provide background information on an issue, explain relevant interference and/or spectrum considerations and detail a policy position </w:t>
      </w:r>
      <w:r w:rsidR="00851679">
        <w:t>for</w:t>
      </w:r>
      <w:r w:rsidR="005F2479">
        <w:t xml:space="preserve"> the assignment and licensing of affected radiocommunications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5676"/>
      </w:tblGrid>
      <w:tr w:rsidR="00C71F52" w14:paraId="5F1DF5D0" w14:textId="77777777" w:rsidTr="00065185">
        <w:tc>
          <w:tcPr>
            <w:tcW w:w="1985" w:type="dxa"/>
            <w:vAlign w:val="center"/>
          </w:tcPr>
          <w:p w14:paraId="778878C3" w14:textId="2085D5A7" w:rsidR="00C71F52" w:rsidRDefault="00C71F52" w:rsidP="00065185">
            <w:pPr>
              <w:pStyle w:val="Heading3"/>
              <w:keepLines/>
            </w:pPr>
            <w:r>
              <w:t>Licence conditions</w:t>
            </w:r>
          </w:p>
        </w:tc>
        <w:tc>
          <w:tcPr>
            <w:tcW w:w="5676" w:type="dxa"/>
          </w:tcPr>
          <w:p w14:paraId="498DC727" w14:textId="141AB1D9" w:rsidR="00C71F52" w:rsidRDefault="000579EB" w:rsidP="00065185">
            <w:pPr>
              <w:pStyle w:val="ACMABodyText"/>
              <w:spacing w:before="0" w:after="0"/>
            </w:pPr>
            <w:r w:rsidRPr="008161E6">
              <w:object w:dxaOrig="8625" w:dyaOrig="8640" w14:anchorId="26B59108">
                <v:shape id="_x0000_i1046" type="#_x0000_t75" alt="Blue symbol with LC" style="width:29.3pt;height:29.4pt" o:ole="">
                  <v:imagedata r:id="rId60" o:title=""/>
                </v:shape>
                <o:OLEObject Type="Embed" ProgID="PBrush" ShapeID="_x0000_i1046" DrawAspect="Content" ObjectID="_1758697755" r:id="rId85"/>
              </w:object>
            </w:r>
          </w:p>
        </w:tc>
      </w:tr>
    </w:tbl>
    <w:p w14:paraId="102E2FB2" w14:textId="77BB431E" w:rsidR="00CF2CBE" w:rsidRDefault="00CF2CBE" w:rsidP="00A2558A">
      <w:pPr>
        <w:pStyle w:val="Numberedparagraphbeforelist"/>
        <w:keepNext/>
        <w:keepLines/>
        <w:spacing w:after="240"/>
      </w:pPr>
      <w:r>
        <w:t xml:space="preserve">Licence conditions apply to the operation of a </w:t>
      </w:r>
      <w:r w:rsidR="001544FD">
        <w:t xml:space="preserve">radiocommunications </w:t>
      </w:r>
      <w:r>
        <w:t xml:space="preserve">transmitter or </w:t>
      </w:r>
      <w:r w:rsidR="00D77B05">
        <w:t xml:space="preserve">radiocommunications </w:t>
      </w:r>
      <w:r>
        <w:t xml:space="preserve">receiver operated under a licence. Conditions may also reflect different aspects of the </w:t>
      </w:r>
      <w:r w:rsidR="00D05535">
        <w:t xml:space="preserve">spectrum </w:t>
      </w:r>
      <w:r>
        <w:t xml:space="preserve">planning framework.  </w:t>
      </w:r>
    </w:p>
    <w:p w14:paraId="304064CC" w14:textId="4AEFD876" w:rsidR="00274F20" w:rsidRDefault="00851679" w:rsidP="00A2558A">
      <w:pPr>
        <w:pStyle w:val="Numberedparagraphbeforelist"/>
        <w:spacing w:after="240"/>
      </w:pPr>
      <w:r>
        <w:t xml:space="preserve">Licence conditions </w:t>
      </w:r>
      <w:r w:rsidR="0074054A">
        <w:t xml:space="preserve">capture </w:t>
      </w:r>
      <w:r w:rsidR="00986BED">
        <w:t>the parameters of operation determined at the frequency assignment la</w:t>
      </w:r>
      <w:r w:rsidR="003F745B">
        <w:t>y</w:t>
      </w:r>
      <w:r w:rsidR="00986BED">
        <w:t>er</w:t>
      </w:r>
      <w:r>
        <w:t>,</w:t>
      </w:r>
      <w:r w:rsidR="00986BED">
        <w:t xml:space="preserve"> such as frequency, power, location and height. These feedback into </w:t>
      </w:r>
      <w:r w:rsidR="004C4DBE">
        <w:t>t</w:t>
      </w:r>
      <w:r w:rsidR="00986BED">
        <w:t xml:space="preserve">he frequency assignment layer so other users can </w:t>
      </w:r>
      <w:r w:rsidR="004C4DBE">
        <w:t xml:space="preserve">implement the rules for coordination and assignment determined there. </w:t>
      </w:r>
    </w:p>
    <w:p w14:paraId="280652D7" w14:textId="10EF9222" w:rsidR="00CB3EAC" w:rsidRDefault="00851679" w:rsidP="00A2558A">
      <w:pPr>
        <w:pStyle w:val="Numberedparagraphbeforelist"/>
        <w:spacing w:after="240"/>
      </w:pPr>
      <w:r>
        <w:t xml:space="preserve">For </w:t>
      </w:r>
      <w:r w:rsidR="00CB3EAC">
        <w:t xml:space="preserve">class licences, licence conditions </w:t>
      </w:r>
      <w:r w:rsidR="00D04669">
        <w:t>describe</w:t>
      </w:r>
      <w:r w:rsidR="00CB3EAC">
        <w:t xml:space="preserve"> the</w:t>
      </w:r>
      <w:r w:rsidR="009B47A8">
        <w:t xml:space="preserve"> </w:t>
      </w:r>
      <w:r w:rsidR="00D04669">
        <w:t xml:space="preserve">relevant </w:t>
      </w:r>
      <w:r w:rsidR="009B47A8">
        <w:t>spectrum</w:t>
      </w:r>
      <w:r w:rsidR="00CB3EAC">
        <w:t xml:space="preserve"> planning framework</w:t>
      </w:r>
      <w:r w:rsidR="00D04669">
        <w:t xml:space="preserve">, including </w:t>
      </w:r>
      <w:r w:rsidR="00CB3EAC">
        <w:t>for coexistence between spectrum uses and users</w:t>
      </w:r>
      <w:r>
        <w:t>.</w:t>
      </w:r>
      <w:r w:rsidR="00565135">
        <w:rPr>
          <w:rStyle w:val="FootnoteReference"/>
        </w:rPr>
        <w:footnoteReference w:id="19"/>
      </w:r>
      <w:r w:rsidR="00CB3EAC">
        <w:t xml:space="preserve"> </w:t>
      </w:r>
    </w:p>
    <w:p w14:paraId="54EECBE0" w14:textId="51C5D587" w:rsidR="00CB3EAC" w:rsidRDefault="00851679" w:rsidP="00A2558A">
      <w:pPr>
        <w:pStyle w:val="Numberedparagraphbeforelist"/>
        <w:spacing w:after="240"/>
      </w:pPr>
      <w:r>
        <w:t>I</w:t>
      </w:r>
      <w:r w:rsidR="00CB3EAC">
        <w:t>n some circumstances</w:t>
      </w:r>
      <w:r>
        <w:t>,</w:t>
      </w:r>
      <w:r w:rsidR="00CB3EAC">
        <w:t xml:space="preserve"> licence conditions may ‘invoke’ other aspects of the spectrum planning framework. For example, spectrum licence conditions can require compliance with or otherwise refer to RALIs. </w:t>
      </w:r>
    </w:p>
    <w:p w14:paraId="74E87C57" w14:textId="41C30903" w:rsidR="007C6EE6" w:rsidRPr="007E6871" w:rsidRDefault="007C6EE6" w:rsidP="00D67227">
      <w:pPr>
        <w:pStyle w:val="Numberedparagraphbeforelist"/>
      </w:pPr>
      <w:r>
        <w:t xml:space="preserve">In the case of spectrum licences, section 66 of </w:t>
      </w:r>
      <w:r w:rsidR="00DC60D1">
        <w:t>the Radiocommunications Act</w:t>
      </w:r>
      <w:r>
        <w:t xml:space="preserve"> sets out the core conditions of the licence. These are the mandatory technical requirements that determine the overall technology flexibility of the licence. This is further discussed in the spectrum licence case study in the next chapter. </w:t>
      </w:r>
    </w:p>
    <w:p w14:paraId="2C59E370" w14:textId="2CC9987C" w:rsidR="000B4664" w:rsidRPr="00702EA1" w:rsidRDefault="00951720" w:rsidP="000B4664">
      <w:pPr>
        <w:pStyle w:val="Heading1"/>
      </w:pPr>
      <w:bookmarkStart w:id="23" w:name="_Toc148084737"/>
      <w:r>
        <w:lastRenderedPageBreak/>
        <w:t>Case studies</w:t>
      </w:r>
      <w:bookmarkEnd w:id="23"/>
    </w:p>
    <w:p w14:paraId="3829B25E" w14:textId="00B22956" w:rsidR="0050177F" w:rsidRDefault="00CB3EAC" w:rsidP="0050177F">
      <w:pPr>
        <w:pStyle w:val="Numberedparagraph"/>
      </w:pPr>
      <w:bookmarkStart w:id="24" w:name="_Toc348105641"/>
      <w:r>
        <w:t xml:space="preserve">The following case studies illustrate how the spectrum planning framework operates and interacts with other parts of the spectrum management framework. </w:t>
      </w:r>
      <w:r w:rsidR="006167F9">
        <w:t>Several</w:t>
      </w:r>
      <w:r w:rsidR="00BF2B91">
        <w:t xml:space="preserve"> elements of the spectrum planning framework are applicable across all services and spectrum planning scenarios. However, the case studies below highlight elements </w:t>
      </w:r>
      <w:r w:rsidR="00851679">
        <w:t xml:space="preserve">that </w:t>
      </w:r>
      <w:r w:rsidR="00BF2B91">
        <w:t>are specific to a particular service (</w:t>
      </w:r>
      <w:r w:rsidR="00851679">
        <w:t>for example,</w:t>
      </w:r>
      <w:r w:rsidR="00BF2B91">
        <w:t xml:space="preserve"> broadcasting services) or spectrum planning scenario (</w:t>
      </w:r>
      <w:r w:rsidR="00851679">
        <w:t xml:space="preserve">such as </w:t>
      </w:r>
      <w:r w:rsidR="00BF2B91">
        <w:t xml:space="preserve">spectrum licensing). </w:t>
      </w:r>
    </w:p>
    <w:p w14:paraId="640667AE" w14:textId="39EBAB89" w:rsidR="006D4996" w:rsidRDefault="006D4996" w:rsidP="0050177F">
      <w:pPr>
        <w:pStyle w:val="Numberedparagraph"/>
      </w:pPr>
      <w:r>
        <w:t>These case studies are illustrative only</w:t>
      </w:r>
      <w:r w:rsidR="00562089">
        <w:t>. It</w:t>
      </w:r>
      <w:r>
        <w:t xml:space="preserve"> is incumbent on prospective licensees and spectrum users to obtain </w:t>
      </w:r>
      <w:r w:rsidR="00562089">
        <w:t xml:space="preserve">an </w:t>
      </w:r>
      <w:r w:rsidR="007C3211">
        <w:t>independent</w:t>
      </w:r>
      <w:r>
        <w:t xml:space="preserve"> </w:t>
      </w:r>
      <w:r w:rsidR="007C3211">
        <w:t>understanding</w:t>
      </w:r>
      <w:r>
        <w:t xml:space="preserve"> of the</w:t>
      </w:r>
      <w:r w:rsidR="007C3211">
        <w:t xml:space="preserve"> technical</w:t>
      </w:r>
      <w:r>
        <w:t xml:space="preserve"> and legal aspects of their intended spectrum use. </w:t>
      </w:r>
    </w:p>
    <w:p w14:paraId="32AC8921" w14:textId="744B3936" w:rsidR="0050177F" w:rsidRPr="00702EA1" w:rsidRDefault="0050177F" w:rsidP="0050177F">
      <w:pPr>
        <w:pStyle w:val="Heading2"/>
      </w:pPr>
      <w:bookmarkStart w:id="25" w:name="_Toc148084738"/>
      <w:r>
        <w:t>Spectrum licensing</w:t>
      </w:r>
      <w:bookmarkEnd w:id="25"/>
    </w:p>
    <w:p w14:paraId="46C6BCDB" w14:textId="6921878F" w:rsidR="00CB3EAC" w:rsidRDefault="00CB3EAC" w:rsidP="00215256">
      <w:pPr>
        <w:pStyle w:val="Numberedparagraph"/>
      </w:pPr>
      <w:r>
        <w:t>Spectrum licences authorise access to a parcel of spectrum space (</w:t>
      </w:r>
      <w:r w:rsidR="00851679">
        <w:t>that is,</w:t>
      </w:r>
      <w:r>
        <w:t xml:space="preserve"> frequency and geography). Licensees can operate </w:t>
      </w:r>
      <w:r w:rsidR="00EF31EA">
        <w:t xml:space="preserve">radiocommunications </w:t>
      </w:r>
      <w:r>
        <w:t xml:space="preserve">devices at any site within their spectrum space, </w:t>
      </w:r>
      <w:r w:rsidR="00851679">
        <w:t>providing</w:t>
      </w:r>
      <w:r>
        <w:t xml:space="preserve"> the operation of the device complies with the conditions o</w:t>
      </w:r>
      <w:r w:rsidR="003E273A">
        <w:t>f</w:t>
      </w:r>
      <w:r>
        <w:t xml:space="preserve"> their licence and other applicable aspects of the spectrum licence technical framework for that band. </w:t>
      </w:r>
    </w:p>
    <w:p w14:paraId="20158DAF" w14:textId="178AA2FB" w:rsidR="0050177F" w:rsidRDefault="00024D0B" w:rsidP="0050177F">
      <w:pPr>
        <w:pStyle w:val="Numberedparagraph"/>
      </w:pPr>
      <w:r>
        <w:t>The s</w:t>
      </w:r>
      <w:r w:rsidR="0050177F">
        <w:t xml:space="preserve">pectrum planning </w:t>
      </w:r>
      <w:r>
        <w:t>framework that underpins spectrum licences is a combination of elements</w:t>
      </w:r>
      <w:r w:rsidR="00A469AE">
        <w:t xml:space="preserve"> unique to the spectrum licensing regime</w:t>
      </w:r>
      <w:r>
        <w:t xml:space="preserve"> and </w:t>
      </w:r>
      <w:r w:rsidR="00A469AE">
        <w:t xml:space="preserve">the </w:t>
      </w:r>
      <w:r>
        <w:t xml:space="preserve">more generic elements discussed in </w:t>
      </w:r>
      <w:r w:rsidR="00851679">
        <w:t>C</w:t>
      </w:r>
      <w:r>
        <w:t xml:space="preserve">hapter 3. </w:t>
      </w:r>
      <w:r w:rsidR="00AE072F" w:rsidRPr="002A6181">
        <w:t xml:space="preserve">Figure </w:t>
      </w:r>
      <w:r w:rsidR="00AE072F">
        <w:t>4</w:t>
      </w:r>
      <w:r w:rsidR="00AE072F" w:rsidRPr="002A6181">
        <w:t xml:space="preserve"> illustrates the elements of the spectrum planning framework applicable to </w:t>
      </w:r>
      <w:r w:rsidR="00AE072F">
        <w:t>spectrum</w:t>
      </w:r>
      <w:r w:rsidR="00851679">
        <w:t>-</w:t>
      </w:r>
      <w:r w:rsidR="00AE072F">
        <w:t xml:space="preserve">licensed services. </w:t>
      </w:r>
    </w:p>
    <w:p w14:paraId="75E92C1E" w14:textId="3C9B3AFF" w:rsidR="0050177F" w:rsidRDefault="0050177F" w:rsidP="0050177F">
      <w:pPr>
        <w:pStyle w:val="Figureheading"/>
      </w:pPr>
      <w:r>
        <w:lastRenderedPageBreak/>
        <w:t xml:space="preserve">Spectrum planning framework for </w:t>
      </w:r>
      <w:r w:rsidR="00221CF5">
        <w:t>spectrum</w:t>
      </w:r>
      <w:r w:rsidR="00851679">
        <w:t>-</w:t>
      </w:r>
      <w:r w:rsidR="00221CF5">
        <w:t>licensed</w:t>
      </w:r>
      <w:r>
        <w:t xml:space="preserve"> </w:t>
      </w:r>
      <w:proofErr w:type="gramStart"/>
      <w:r>
        <w:t>services</w:t>
      </w:r>
      <w:proofErr w:type="gramEnd"/>
    </w:p>
    <w:p w14:paraId="0D4E67EC" w14:textId="69967B88" w:rsidR="0050177F" w:rsidRDefault="004C69A5" w:rsidP="0050177F">
      <w:pPr>
        <w:pStyle w:val="Numberedparagraph"/>
        <w:numPr>
          <w:ilvl w:val="0"/>
          <w:numId w:val="0"/>
        </w:numPr>
      </w:pPr>
      <w:r>
        <w:rPr>
          <w:noProof/>
        </w:rPr>
        <w:drawing>
          <wp:inline distT="0" distB="0" distL="0" distR="0" wp14:anchorId="4D0DFDCD" wp14:editId="5F259378">
            <wp:extent cx="3727261" cy="4481848"/>
            <wp:effectExtent l="0" t="0" r="698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6"/>
                    <a:stretch>
                      <a:fillRect/>
                    </a:stretch>
                  </pic:blipFill>
                  <pic:spPr>
                    <a:xfrm>
                      <a:off x="0" y="0"/>
                      <a:ext cx="3749209" cy="450823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3550"/>
      </w:tblGrid>
      <w:tr w:rsidR="00C71F52" w14:paraId="3C9E7624" w14:textId="77777777" w:rsidTr="00215256">
        <w:tc>
          <w:tcPr>
            <w:tcW w:w="4111" w:type="dxa"/>
            <w:vAlign w:val="center"/>
          </w:tcPr>
          <w:p w14:paraId="2844FC95" w14:textId="5CA4D74C" w:rsidR="00C71F52" w:rsidRDefault="00C71F52" w:rsidP="00215256">
            <w:pPr>
              <w:pStyle w:val="Heading3"/>
              <w:keepLines/>
              <w:spacing w:before="0" w:after="0"/>
            </w:pPr>
            <w:r>
              <w:t>Australian Radiofrequency Spectrum Plan</w:t>
            </w:r>
          </w:p>
        </w:tc>
        <w:tc>
          <w:tcPr>
            <w:tcW w:w="3550" w:type="dxa"/>
          </w:tcPr>
          <w:p w14:paraId="799AA44F" w14:textId="7927EB6D" w:rsidR="00C71F52" w:rsidRDefault="000579EB" w:rsidP="00215256">
            <w:pPr>
              <w:pStyle w:val="ACMABodyText"/>
              <w:spacing w:before="0" w:after="0"/>
            </w:pPr>
            <w:r>
              <w:object w:dxaOrig="5805" w:dyaOrig="5775" w14:anchorId="2AF74591">
                <v:shape id="_x0000_i1047" type="#_x0000_t75" alt="Blue symbol with BP" style="width:29.3pt;height:29.15pt" o:ole="">
                  <v:imagedata r:id="rId52" o:title=""/>
                </v:shape>
                <o:OLEObject Type="Embed" ProgID="PBrush" ShapeID="_x0000_i1047" DrawAspect="Content" ObjectID="_1758697756" r:id="rId87"/>
              </w:object>
            </w:r>
          </w:p>
        </w:tc>
      </w:tr>
    </w:tbl>
    <w:p w14:paraId="7B1FBF85" w14:textId="362153EF" w:rsidR="00CB3EAC" w:rsidRDefault="00275525" w:rsidP="00215256">
      <w:pPr>
        <w:pStyle w:val="Numberedparagraph"/>
      </w:pPr>
      <w:r>
        <w:t>Section 7 of t</w:t>
      </w:r>
      <w:r w:rsidR="00024D0B">
        <w:t>he Spectrum Plan</w:t>
      </w:r>
      <w:r w:rsidR="00470C02">
        <w:rPr>
          <w:rStyle w:val="FootnoteReference"/>
        </w:rPr>
        <w:footnoteReference w:id="20"/>
      </w:r>
      <w:r w:rsidR="00024D0B">
        <w:t xml:space="preserve"> </w:t>
      </w:r>
      <w:r w:rsidR="00AC3F3E">
        <w:t>contains</w:t>
      </w:r>
      <w:r>
        <w:t xml:space="preserve"> </w:t>
      </w:r>
      <w:r w:rsidR="00024D0B">
        <w:t>specific provision</w:t>
      </w:r>
      <w:r w:rsidR="00AC3F3E">
        <w:t>s</w:t>
      </w:r>
      <w:r w:rsidR="00024D0B">
        <w:t xml:space="preserve"> relating to spectrum licences</w:t>
      </w:r>
      <w:r w:rsidR="00851679">
        <w:t>. It</w:t>
      </w:r>
      <w:r w:rsidR="007F2005">
        <w:t xml:space="preserve"> </w:t>
      </w:r>
      <w:r w:rsidR="00CD7C1D">
        <w:t xml:space="preserve">states that a service operating under a </w:t>
      </w:r>
      <w:r w:rsidR="00A122B0">
        <w:t>spectrum</w:t>
      </w:r>
      <w:r w:rsidR="008F6985">
        <w:t xml:space="preserve"> licence is taken to be a primary service unless the spectrum licence </w:t>
      </w:r>
      <w:r w:rsidR="00062EDB">
        <w:t xml:space="preserve">specifies </w:t>
      </w:r>
      <w:r w:rsidR="008F6985">
        <w:t xml:space="preserve">it as a secondary service. </w:t>
      </w:r>
    </w:p>
    <w:p w14:paraId="2D7E4CBD" w14:textId="3AA40DE6" w:rsidR="009547E2" w:rsidRDefault="0085728F" w:rsidP="00D61770">
      <w:pPr>
        <w:pStyle w:val="Numberedparagraph"/>
      </w:pPr>
      <w:bookmarkStart w:id="26" w:name="_Hlk90031259"/>
      <w:r>
        <w:t>Section 9 of t</w:t>
      </w:r>
      <w:r w:rsidR="00CB3EAC">
        <w:t xml:space="preserve">he Spectrum Plan allows a frequency band to be used for a service for which that band is not allocated in the </w:t>
      </w:r>
      <w:r w:rsidR="009B47A8">
        <w:t xml:space="preserve">Spectrum </w:t>
      </w:r>
      <w:r w:rsidR="00CB3EAC">
        <w:t>Plan, if the service is operated in accordance with a spectrum licence. This facilitates technology flexibility. For example, fixed services could be deployed in a spectrum</w:t>
      </w:r>
      <w:r w:rsidR="00851679">
        <w:t>-</w:t>
      </w:r>
      <w:r w:rsidR="00CB3EAC">
        <w:t>licen</w:t>
      </w:r>
      <w:r w:rsidR="00392BA0">
        <w:t>s</w:t>
      </w:r>
      <w:r w:rsidR="00CB3EAC">
        <w:t xml:space="preserve">ed space where there is no fixed service allocation, provided the conditions of the spectrum licence and other relevant aspects of the technical framework, are adhered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117"/>
      </w:tblGrid>
      <w:tr w:rsidR="00C71F52" w14:paraId="439C0A7C" w14:textId="77777777" w:rsidTr="00215256">
        <w:tc>
          <w:tcPr>
            <w:tcW w:w="3544" w:type="dxa"/>
            <w:vAlign w:val="center"/>
          </w:tcPr>
          <w:p w14:paraId="32A6FF48" w14:textId="032E2DAE" w:rsidR="00C71F52" w:rsidRDefault="00C71F52" w:rsidP="00215256">
            <w:pPr>
              <w:pStyle w:val="Heading3"/>
            </w:pPr>
            <w:r>
              <w:lastRenderedPageBreak/>
              <w:t>Spectrum re-allocation declarations</w:t>
            </w:r>
          </w:p>
        </w:tc>
        <w:tc>
          <w:tcPr>
            <w:tcW w:w="4117" w:type="dxa"/>
          </w:tcPr>
          <w:p w14:paraId="4B9C3B4E" w14:textId="60DCAC9A" w:rsidR="00C71F52" w:rsidRDefault="000579EB" w:rsidP="00215256">
            <w:pPr>
              <w:pStyle w:val="ACMABodyText"/>
              <w:spacing w:before="0" w:after="0"/>
            </w:pPr>
            <w:r>
              <w:object w:dxaOrig="5805" w:dyaOrig="5775" w14:anchorId="79224466">
                <v:shape id="_x0000_i1048" type="#_x0000_t75" alt="Blue symbol with BP" style="width:29.3pt;height:29.15pt" o:ole="">
                  <v:imagedata r:id="rId52" o:title=""/>
                </v:shape>
                <o:OLEObject Type="Embed" ProgID="PBrush" ShapeID="_x0000_i1048" DrawAspect="Content" ObjectID="_1758697757" r:id="rId88"/>
              </w:object>
            </w:r>
          </w:p>
        </w:tc>
      </w:tr>
    </w:tbl>
    <w:bookmarkEnd w:id="26"/>
    <w:p w14:paraId="2B91AC58" w14:textId="6EFB6015" w:rsidR="00E23E0B" w:rsidRDefault="00041356" w:rsidP="00BB19CD">
      <w:pPr>
        <w:pStyle w:val="Numberedparagraph"/>
        <w:keepNext/>
        <w:keepLines/>
      </w:pPr>
      <w:r>
        <w:t xml:space="preserve">Part 3.6 of </w:t>
      </w:r>
      <w:r w:rsidR="00DC60D1">
        <w:t>the Radiocommunications Act</w:t>
      </w:r>
      <w:r w:rsidR="00AC3F3E">
        <w:t xml:space="preserve"> </w:t>
      </w:r>
      <w:r>
        <w:t xml:space="preserve">details the provisions regarding re-allocation of spectrum. </w:t>
      </w:r>
      <w:r w:rsidRPr="00041356">
        <w:t xml:space="preserve">Section 153B allows the ACMA to make a declaration that one or more specified parts of the spectrum are subject to re-allocation. This </w:t>
      </w:r>
      <w:r w:rsidR="007F0634">
        <w:t xml:space="preserve">is </w:t>
      </w:r>
      <w:r w:rsidRPr="00041356">
        <w:t>called a spectrum re-allocation declaration.</w:t>
      </w:r>
      <w:r w:rsidR="00E23E0B">
        <w:t xml:space="preserve"> </w:t>
      </w:r>
    </w:p>
    <w:p w14:paraId="4440ABFE" w14:textId="1F184034" w:rsidR="00CB3EAC" w:rsidRDefault="00CB3EAC" w:rsidP="00BB19CD">
      <w:pPr>
        <w:pStyle w:val="Numberedparagraph"/>
        <w:keepNext/>
        <w:keepLines/>
      </w:pPr>
      <w:r>
        <w:t xml:space="preserve">The initial spectrum planning decision to re-allocate spectrum space </w:t>
      </w:r>
      <w:r w:rsidR="007F0634">
        <w:t>for the issue of</w:t>
      </w:r>
      <w:r>
        <w:t xml:space="preserve"> spectrum licen</w:t>
      </w:r>
      <w:r w:rsidR="007F0634">
        <w:t>ces</w:t>
      </w:r>
      <w:r>
        <w:t xml:space="preserve"> (or even </w:t>
      </w:r>
      <w:r w:rsidR="007F0634">
        <w:t>for the issue of apparatus licences</w:t>
      </w:r>
      <w:r>
        <w:t xml:space="preserve">) is an administrative spectrum planning decision based on a range of factors. Once a policy decision is made to pursue re-allocation of a particular part of the spectrum, the development of a spectrum re-allocation declaration signals the first legislative step in the issuing of spectrum licences. </w:t>
      </w:r>
    </w:p>
    <w:p w14:paraId="1E1A69EB" w14:textId="768D0320" w:rsidR="00470074" w:rsidRDefault="00470074" w:rsidP="006C64C2">
      <w:pPr>
        <w:pStyle w:val="Numberedparagraph"/>
        <w:spacing w:after="80"/>
      </w:pPr>
      <w:r>
        <w:t>Key components of a spectrum re-allocation declaration are:</w:t>
      </w:r>
    </w:p>
    <w:p w14:paraId="56E31781" w14:textId="0063D1B4" w:rsidR="004E373C" w:rsidRDefault="00470074" w:rsidP="00215256">
      <w:pPr>
        <w:pStyle w:val="Numberedparagraph"/>
        <w:numPr>
          <w:ilvl w:val="2"/>
          <w:numId w:val="10"/>
        </w:numPr>
        <w:spacing w:after="80"/>
        <w:ind w:left="426" w:hanging="426"/>
      </w:pPr>
      <w:r>
        <w:t>Definition of the areas and frequencies subject to re-allocation</w:t>
      </w:r>
      <w:r w:rsidR="007F0634">
        <w:t xml:space="preserve"> (the spectrum space)</w:t>
      </w:r>
      <w:r w:rsidR="004E373C">
        <w:t>, including whether this is by issuing of spectrum or apparatus licences.</w:t>
      </w:r>
    </w:p>
    <w:p w14:paraId="734762CA" w14:textId="64767855" w:rsidR="004E373C" w:rsidRDefault="004E373C" w:rsidP="00215256">
      <w:pPr>
        <w:pStyle w:val="Numberedparagraph"/>
        <w:numPr>
          <w:ilvl w:val="2"/>
          <w:numId w:val="10"/>
        </w:numPr>
        <w:spacing w:after="80"/>
        <w:ind w:left="426" w:hanging="426"/>
      </w:pPr>
      <w:r>
        <w:t>The re-allocation period: the period of time that incumbent apparatus licences can continue operating before they are cancelled. This period must be at least 12 months.</w:t>
      </w:r>
    </w:p>
    <w:p w14:paraId="1B54666A" w14:textId="39D63684" w:rsidR="004E373C" w:rsidRDefault="004E373C" w:rsidP="00215256">
      <w:pPr>
        <w:pStyle w:val="Numberedparagraph"/>
        <w:numPr>
          <w:ilvl w:val="2"/>
          <w:numId w:val="10"/>
        </w:numPr>
        <w:ind w:left="426" w:hanging="426"/>
      </w:pPr>
      <w:r>
        <w:t xml:space="preserve">The re-allocation deadline: </w:t>
      </w:r>
      <w:r w:rsidR="00656866">
        <w:t>t</w:t>
      </w:r>
      <w:r>
        <w:t>his must be no later than the end of the re-allocation period. If no licences are issued before this deadline, the spectrum re-</w:t>
      </w:r>
      <w:r w:rsidR="00426CCA">
        <w:t>allocation</w:t>
      </w:r>
      <w:r>
        <w:t xml:space="preserve"> declaration </w:t>
      </w:r>
      <w:r w:rsidR="00426CCA">
        <w:t>is automatically revoked.</w:t>
      </w:r>
    </w:p>
    <w:p w14:paraId="0FFF0073" w14:textId="5EC79BDB" w:rsidR="0050177F" w:rsidRDefault="00872AF7" w:rsidP="00CB3EAC">
      <w:pPr>
        <w:pStyle w:val="Numberedparagraph"/>
      </w:pPr>
      <w:r>
        <w:t xml:space="preserve">A spectrum re-allocation declaration is only required if there are incumbent </w:t>
      </w:r>
      <w:r w:rsidR="00470074">
        <w:t>apparatus</w:t>
      </w:r>
      <w:r w:rsidR="00656866">
        <w:t>-</w:t>
      </w:r>
      <w:r>
        <w:t>licensed services</w:t>
      </w:r>
      <w:r w:rsidR="00470074">
        <w:t xml:space="preserve"> within the spectrum space of interest. If there are none, this step is not required, and the ACMA can consult directly on the </w:t>
      </w:r>
      <w:r w:rsidR="00E62D0D">
        <w:t xml:space="preserve">preparation of a </w:t>
      </w:r>
      <w:r w:rsidR="00470074">
        <w:t xml:space="preserve">marketing plan </w:t>
      </w:r>
      <w:r w:rsidR="00CB3EAC">
        <w:t xml:space="preserve">(see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5960"/>
      </w:tblGrid>
      <w:tr w:rsidR="00A2558A" w14:paraId="08EDAAEC" w14:textId="77777777" w:rsidTr="00A2558A">
        <w:tc>
          <w:tcPr>
            <w:tcW w:w="1701" w:type="dxa"/>
            <w:vAlign w:val="center"/>
          </w:tcPr>
          <w:p w14:paraId="2891CC17" w14:textId="488B9845" w:rsidR="00C71F52" w:rsidRDefault="00C71F52" w:rsidP="00215256">
            <w:pPr>
              <w:pStyle w:val="Heading3"/>
            </w:pPr>
            <w:r>
              <w:t>Marketing plans</w:t>
            </w:r>
          </w:p>
        </w:tc>
        <w:tc>
          <w:tcPr>
            <w:tcW w:w="5960" w:type="dxa"/>
          </w:tcPr>
          <w:p w14:paraId="7C4F4A98" w14:textId="4CED3230" w:rsidR="00C71F52" w:rsidRDefault="000579EB" w:rsidP="00215256">
            <w:pPr>
              <w:pStyle w:val="ACMABodyText"/>
              <w:spacing w:before="0" w:after="0"/>
            </w:pPr>
            <w:r>
              <w:object w:dxaOrig="5805" w:dyaOrig="5775" w14:anchorId="16C1EC45">
                <v:shape id="_x0000_i1049" type="#_x0000_t75" alt="Blue symbol with BP" style="width:29.3pt;height:29.15pt" o:ole="">
                  <v:imagedata r:id="rId52" o:title=""/>
                </v:shape>
                <o:OLEObject Type="Embed" ProgID="PBrush" ShapeID="_x0000_i1049" DrawAspect="Content" ObjectID="_1758697758" r:id="rId89"/>
              </w:object>
            </w:r>
          </w:p>
        </w:tc>
      </w:tr>
    </w:tbl>
    <w:p w14:paraId="1BC4F936" w14:textId="5B8110CE" w:rsidR="00B55613" w:rsidRDefault="00990BD2" w:rsidP="005961DA">
      <w:pPr>
        <w:pStyle w:val="Numberedparagraph"/>
      </w:pPr>
      <w:r>
        <w:t xml:space="preserve">Part 2.2 </w:t>
      </w:r>
      <w:r w:rsidR="00A542DF">
        <w:t xml:space="preserve">of Chapter 2 </w:t>
      </w:r>
      <w:r>
        <w:t xml:space="preserve">of </w:t>
      </w:r>
      <w:r w:rsidR="00DC60D1">
        <w:t>the Radiocommunications Act</w:t>
      </w:r>
      <w:r>
        <w:t xml:space="preserve"> permits the ACMA to </w:t>
      </w:r>
      <w:r w:rsidR="00192EB1">
        <w:t xml:space="preserve">prepare </w:t>
      </w:r>
      <w:r>
        <w:t>marketing plans</w:t>
      </w:r>
      <w:r w:rsidR="00426CCA">
        <w:t xml:space="preserve"> for the allocation of spectrum licences. This can be done for encumbered spectrum following the making of a spectrum re-allocation declaration. However, for unencumbered spectrum</w:t>
      </w:r>
      <w:r w:rsidR="00656866">
        <w:t>,</w:t>
      </w:r>
      <w:r w:rsidR="00426CCA">
        <w:t xml:space="preserve"> the ACMA</w:t>
      </w:r>
      <w:r w:rsidR="00970609">
        <w:t xml:space="preserve"> may</w:t>
      </w:r>
      <w:r w:rsidR="00426CCA">
        <w:t xml:space="preserve"> make a marketing plan without making a spectrum re-allocation </w:t>
      </w:r>
      <w:r w:rsidR="00CB3EAC">
        <w:t xml:space="preserve">declaration. </w:t>
      </w:r>
    </w:p>
    <w:p w14:paraId="00D16F3B" w14:textId="2AB2F707" w:rsidR="00990BD2" w:rsidRDefault="00CB3EAC" w:rsidP="005961DA">
      <w:pPr>
        <w:pStyle w:val="Numberedparagraph"/>
      </w:pPr>
      <w:r>
        <w:t xml:space="preserve">While Chapter 2 of </w:t>
      </w:r>
      <w:r w:rsidR="00DC60D1">
        <w:t>the Radiocommunications Act</w:t>
      </w:r>
      <w:r>
        <w:t xml:space="preserve"> is focused on radiofrequency planning, the practical effect of the provisions </w:t>
      </w:r>
      <w:r w:rsidR="00990BD2">
        <w:t xml:space="preserve">under Part 2.2 of Chapter 2 of </w:t>
      </w:r>
      <w:r w:rsidR="00DC60D1">
        <w:t>the Radiocommunications Act</w:t>
      </w:r>
      <w:r w:rsidR="00990BD2">
        <w:t xml:space="preserve"> relate to the licensing arrangements for access to spectrum; that is, </w:t>
      </w:r>
      <w:r>
        <w:t>whether access to spectrum is by</w:t>
      </w:r>
      <w:r w:rsidR="00990BD2">
        <w:t xml:space="preserve"> apparatus or spectrum licensing.</w:t>
      </w:r>
    </w:p>
    <w:p w14:paraId="6A641191" w14:textId="2FF33889" w:rsidR="005622F1" w:rsidRDefault="00074EDE" w:rsidP="00893A0B">
      <w:pPr>
        <w:pStyle w:val="Numberedparagraph"/>
      </w:pPr>
      <w:r>
        <w:t>A</w:t>
      </w:r>
      <w:r w:rsidR="00893A0B">
        <w:t xml:space="preserve"> marketing plan </w:t>
      </w:r>
      <w:r>
        <w:t xml:space="preserve">is a legislative instrument that defines </w:t>
      </w:r>
      <w:r w:rsidR="00CB3EAC">
        <w:t>the licensing product being allocated and the process that will be used for allocation. The product includes frequency and area lots</w:t>
      </w:r>
      <w:r w:rsidR="007F0634">
        <w:t>, renewal statements</w:t>
      </w:r>
      <w:r w:rsidR="00CB3EAC">
        <w:t xml:space="preserve"> </w:t>
      </w:r>
      <w:r w:rsidR="007F0634">
        <w:t xml:space="preserve">(section 65A of the Radiocommunications Act) </w:t>
      </w:r>
      <w:r w:rsidR="00CB3EAC">
        <w:t>and the conditions (</w:t>
      </w:r>
      <w:r w:rsidR="00656866">
        <w:t>that is,</w:t>
      </w:r>
      <w:r w:rsidR="00CB3EAC">
        <w:t xml:space="preserve"> the technical framework) that apply </w:t>
      </w:r>
      <w:r w:rsidR="007F0634">
        <w:t>for the</w:t>
      </w:r>
      <w:r w:rsidR="00CB3EAC">
        <w:t xml:space="preserve"> operation of </w:t>
      </w:r>
      <w:r w:rsidR="00481B3A">
        <w:t xml:space="preserve">radiocommunications </w:t>
      </w:r>
      <w:r w:rsidR="00CB3EAC">
        <w:t xml:space="preserve">devices under the spectrum licence. </w:t>
      </w:r>
    </w:p>
    <w:p w14:paraId="6864473B" w14:textId="6CF1D7E1" w:rsidR="007E587F" w:rsidRDefault="00CB3EAC">
      <w:pPr>
        <w:pStyle w:val="Numberedparagraph"/>
      </w:pPr>
      <w:r>
        <w:t>The marketing plan includes a sample spectrum licence</w:t>
      </w:r>
      <w:r w:rsidR="00656866">
        <w:t>,</w:t>
      </w:r>
      <w:r>
        <w:t xml:space="preserve"> which sets out the proposed </w:t>
      </w:r>
      <w:r w:rsidR="00893A0B">
        <w:t xml:space="preserve">conditions intended to </w:t>
      </w:r>
      <w:r w:rsidR="00905A3F">
        <w:t>achieve coexistence with</w:t>
      </w:r>
      <w:r w:rsidR="00893A0B">
        <w:t xml:space="preserve"> other </w:t>
      </w:r>
      <w:r w:rsidR="00905A3F">
        <w:t>spectrum uses and users</w:t>
      </w:r>
      <w:r w:rsidR="00893A0B">
        <w:t>, including those operating in other parts of the radiofrequency spectrum</w:t>
      </w:r>
      <w:r w:rsidR="00656866">
        <w:t>.</w:t>
      </w:r>
      <w:r w:rsidR="004F5BED">
        <w:rPr>
          <w:rStyle w:val="FootnoteReference"/>
        </w:rPr>
        <w:footnoteReference w:id="21"/>
      </w:r>
      <w:r w:rsidR="00897A4E">
        <w:t xml:space="preserve"> </w:t>
      </w:r>
    </w:p>
    <w:p w14:paraId="3E8D28D3" w14:textId="64ABEA71" w:rsidR="00893A0B" w:rsidRDefault="00893A0B" w:rsidP="00A26354">
      <w:pPr>
        <w:pStyle w:val="Numberedparagraph"/>
      </w:pPr>
      <w:r>
        <w:lastRenderedPageBreak/>
        <w:t xml:space="preserve">The marketing plan also describes </w:t>
      </w:r>
      <w:r w:rsidR="00361F88">
        <w:t>statutory</w:t>
      </w:r>
      <w:r>
        <w:t xml:space="preserve"> licence conditions and rules applying to spectrum licences, including those relating to spectrum trading, use by third parties</w:t>
      </w:r>
      <w:r w:rsidRPr="00A26354">
        <w:rPr>
          <w:vertAlign w:val="superscript"/>
        </w:rPr>
        <w:footnoteReference w:id="22"/>
      </w:r>
      <w:r>
        <w:t xml:space="preserve">, and registration of </w:t>
      </w:r>
      <w:r w:rsidR="004121BD">
        <w:t xml:space="preserve">radiocommunications </w:t>
      </w:r>
      <w:r w:rsidRPr="004128F8">
        <w:t>transmitters</w:t>
      </w:r>
      <w:r>
        <w:t xml:space="preserve"> with the ACMA</w:t>
      </w:r>
      <w:r w:rsidR="00656866">
        <w:t>.</w:t>
      </w:r>
      <w:r w:rsidRPr="00A26354">
        <w:rPr>
          <w:vertAlign w:val="superscript"/>
        </w:rPr>
        <w:footnoteReference w:id="23"/>
      </w:r>
      <w:r w:rsidR="00361F88">
        <w:t xml:space="preserve"> Statutory conditions are required </w:t>
      </w:r>
      <w:r w:rsidR="00F06C96">
        <w:t xml:space="preserve">to be applied to all spectrum licences </w:t>
      </w:r>
      <w:r w:rsidR="00361F88">
        <w:t>under sections 67</w:t>
      </w:r>
      <w:r w:rsidR="00656866">
        <w:t>–</w:t>
      </w:r>
      <w:r w:rsidR="00361F88">
        <w:t xml:space="preserve">69A of </w:t>
      </w:r>
      <w:r w:rsidR="00DC60D1">
        <w:t>the Radiocommunications Act</w:t>
      </w:r>
      <w:r w:rsidR="00361F88">
        <w:t>.</w:t>
      </w:r>
    </w:p>
    <w:p w14:paraId="2297EC45" w14:textId="1E0ADB35" w:rsidR="00970609" w:rsidRDefault="00970609" w:rsidP="00970609">
      <w:pPr>
        <w:pStyle w:val="Numberedparagraph"/>
      </w:pPr>
      <w:r>
        <w:t xml:space="preserve">Section 71 of </w:t>
      </w:r>
      <w:r w:rsidR="00DC60D1">
        <w:t>the Radiocommunications Act</w:t>
      </w:r>
      <w:r>
        <w:t xml:space="preserve"> provides that the ACMA may apply other conditions to spectrum </w:t>
      </w:r>
      <w:r w:rsidR="00CB3EAC">
        <w:t xml:space="preserve">licences. For </w:t>
      </w:r>
      <w:r>
        <w:t>example, the ACMA may include additional conditions to manage coexistence for a specific scenario.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5393"/>
      </w:tblGrid>
      <w:tr w:rsidR="00C71F52" w14:paraId="32D35556" w14:textId="77777777" w:rsidTr="00A2558A">
        <w:tc>
          <w:tcPr>
            <w:tcW w:w="2268" w:type="dxa"/>
            <w:vAlign w:val="center"/>
          </w:tcPr>
          <w:p w14:paraId="17C30BB3" w14:textId="2572BB46" w:rsidR="00C71F52" w:rsidRDefault="00C71F52" w:rsidP="00215256">
            <w:pPr>
              <w:pStyle w:val="Heading3"/>
            </w:pPr>
            <w:r>
              <w:t>Frequency band plans</w:t>
            </w:r>
          </w:p>
        </w:tc>
        <w:tc>
          <w:tcPr>
            <w:tcW w:w="5393" w:type="dxa"/>
          </w:tcPr>
          <w:p w14:paraId="30A486C7" w14:textId="67E6064D" w:rsidR="00C71F52" w:rsidRDefault="000579EB" w:rsidP="00215256">
            <w:pPr>
              <w:pStyle w:val="ACMABodyText"/>
              <w:spacing w:before="0" w:after="0"/>
            </w:pPr>
            <w:r>
              <w:object w:dxaOrig="5805" w:dyaOrig="5775" w14:anchorId="44875B36">
                <v:shape id="_x0000_i1050" type="#_x0000_t75" alt="Blue symbol with BP" style="width:29.3pt;height:29.15pt" o:ole="">
                  <v:imagedata r:id="rId52" o:title=""/>
                </v:shape>
                <o:OLEObject Type="Embed" ProgID="PBrush" ShapeID="_x0000_i1050" DrawAspect="Content" ObjectID="_1758697759" r:id="rId90"/>
              </w:object>
            </w:r>
            <w:r w:rsidR="00C71F52">
              <w:t xml:space="preserve"> </w:t>
            </w:r>
            <w:r>
              <w:object w:dxaOrig="4440" w:dyaOrig="4440" w14:anchorId="1FC3CDA4">
                <v:shape id="_x0000_i1051" type="#_x0000_t75" alt="Peach symbol with BP" style="width:29.3pt;height:29.3pt" o:ole="">
                  <v:imagedata r:id="rId54" o:title=""/>
                </v:shape>
                <o:OLEObject Type="Embed" ProgID="PBrush" ShapeID="_x0000_i1051" DrawAspect="Content" ObjectID="_1758697760" r:id="rId91"/>
              </w:object>
            </w:r>
          </w:p>
        </w:tc>
      </w:tr>
    </w:tbl>
    <w:p w14:paraId="08302005" w14:textId="0BD47A12" w:rsidR="00CB3EAC" w:rsidRDefault="00CB3EAC" w:rsidP="001E48B2">
      <w:pPr>
        <w:pStyle w:val="Numberedparagraph"/>
      </w:pPr>
      <w:r>
        <w:t>Frequency band plans</w:t>
      </w:r>
      <w:r>
        <w:rPr>
          <w:rStyle w:val="FootnoteReference"/>
        </w:rPr>
        <w:footnoteReference w:id="24"/>
      </w:r>
      <w:r>
        <w:t xml:space="preserve">, legislative or administrative, can also be included as part of the </w:t>
      </w:r>
      <w:r w:rsidR="00246B4D">
        <w:t xml:space="preserve">spectrum </w:t>
      </w:r>
      <w:r>
        <w:t xml:space="preserve">planning framework for spectrum licences. For example, </w:t>
      </w:r>
      <w:hyperlink r:id="rId92" w:history="1">
        <w:r w:rsidRPr="00A542DF">
          <w:rPr>
            <w:rStyle w:val="Hyperlink"/>
          </w:rPr>
          <w:t>RALI MS40</w:t>
        </w:r>
      </w:hyperlink>
      <w:r>
        <w:t xml:space="preserve"> is an administrative band plan outlining arrangements in the 803</w:t>
      </w:r>
      <w:r w:rsidR="00656866">
        <w:t>–</w:t>
      </w:r>
      <w:r>
        <w:t>890 MHz band, including spectrum licences in the 825</w:t>
      </w:r>
      <w:r w:rsidR="00656866">
        <w:t>–</w:t>
      </w:r>
      <w:r>
        <w:t xml:space="preserve">845 MHz </w:t>
      </w:r>
      <w:r w:rsidR="009B68EF">
        <w:t>band</w:t>
      </w:r>
      <w:r w:rsidR="00656866">
        <w:t>,</w:t>
      </w:r>
      <w:r w:rsidR="009B68EF">
        <w:t xml:space="preserve"> </w:t>
      </w:r>
      <w:r>
        <w:t xml:space="preserve">paired with </w:t>
      </w:r>
      <w:r w:rsidR="009B68EF">
        <w:t xml:space="preserve">the </w:t>
      </w:r>
      <w:r>
        <w:t>870</w:t>
      </w:r>
      <w:r w:rsidR="00656866">
        <w:t>–</w:t>
      </w:r>
      <w:r>
        <w:t xml:space="preserve">890 MHz band. A band plan can be used to </w:t>
      </w:r>
      <w:r w:rsidR="00656866">
        <w:t xml:space="preserve">signal </w:t>
      </w:r>
      <w:r w:rsidR="007A3A83">
        <w:t xml:space="preserve">the intent </w:t>
      </w:r>
      <w:r w:rsidR="00324858">
        <w:t xml:space="preserve">to </w:t>
      </w:r>
      <w:r>
        <w:t xml:space="preserve">spectrum licence </w:t>
      </w:r>
      <w:r w:rsidR="00324858">
        <w:t xml:space="preserve">a </w:t>
      </w:r>
      <w:r>
        <w:t xml:space="preserve">band </w:t>
      </w:r>
      <w:r w:rsidR="00324858">
        <w:t xml:space="preserve">in the future </w:t>
      </w:r>
      <w:r>
        <w:t>before other legislative arrangements (</w:t>
      </w:r>
      <w:r w:rsidR="00656866">
        <w:t>for example,</w:t>
      </w:r>
      <w:r>
        <w:t xml:space="preserve"> a re-allocation declaration) come into force. </w:t>
      </w:r>
    </w:p>
    <w:p w14:paraId="21998FFA" w14:textId="17C2F0F7" w:rsidR="004C3859" w:rsidRDefault="004C3859" w:rsidP="00AD4DA4">
      <w:pPr>
        <w:pStyle w:val="Numberedparagraph"/>
      </w:pPr>
      <w:r>
        <w:t>Any restrictions in an administrative band plan will only apply to a spectrum licence if it is incorporated by reference as a condition o</w:t>
      </w:r>
      <w:r w:rsidR="003D24C0">
        <w:t>f</w:t>
      </w:r>
      <w:r>
        <w:t xml:space="preserve"> the </w:t>
      </w:r>
      <w:r w:rsidR="00CB3EAC">
        <w:t>licence</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5534"/>
      </w:tblGrid>
      <w:tr w:rsidR="00C71F52" w14:paraId="716EB3A2" w14:textId="77777777" w:rsidTr="00A2558A">
        <w:tc>
          <w:tcPr>
            <w:tcW w:w="2127" w:type="dxa"/>
            <w:vAlign w:val="center"/>
          </w:tcPr>
          <w:p w14:paraId="39ACCA71" w14:textId="477E6923" w:rsidR="00C71F52" w:rsidRDefault="00C71F52" w:rsidP="00215256">
            <w:pPr>
              <w:pStyle w:val="Heading3"/>
            </w:pPr>
            <w:r>
              <w:t>Spectrum embargoes</w:t>
            </w:r>
          </w:p>
        </w:tc>
        <w:tc>
          <w:tcPr>
            <w:tcW w:w="5534" w:type="dxa"/>
          </w:tcPr>
          <w:p w14:paraId="34DF312F" w14:textId="559161CC" w:rsidR="00C71F52" w:rsidRDefault="000579EB" w:rsidP="00215256">
            <w:pPr>
              <w:pStyle w:val="ACMABodyText"/>
              <w:spacing w:before="0" w:after="0"/>
            </w:pPr>
            <w:r>
              <w:object w:dxaOrig="4440" w:dyaOrig="4440" w14:anchorId="062DE477">
                <v:shape id="_x0000_i1052" type="#_x0000_t75" alt="Peach symbol with BP" style="width:29.3pt;height:29.3pt" o:ole="">
                  <v:imagedata r:id="rId54" o:title=""/>
                </v:shape>
                <o:OLEObject Type="Embed" ProgID="PBrush" ShapeID="_x0000_i1052" DrawAspect="Content" ObjectID="_1758697761" r:id="rId93"/>
              </w:object>
            </w:r>
            <w:r w:rsidR="00C71F52">
              <w:t xml:space="preserve"> </w:t>
            </w:r>
            <w:r>
              <w:object w:dxaOrig="8670" w:dyaOrig="8715" w14:anchorId="53C73F5A">
                <v:shape id="_x0000_i1053" type="#_x0000_t75" alt="Peach symbol with FA" style="width:28.6pt;height:29.2pt" o:ole="">
                  <v:imagedata r:id="rId58" o:title=""/>
                </v:shape>
                <o:OLEObject Type="Embed" ProgID="PBrush" ShapeID="_x0000_i1053" DrawAspect="Content" ObjectID="_1758697762" r:id="rId94"/>
              </w:object>
            </w:r>
          </w:p>
        </w:tc>
      </w:tr>
    </w:tbl>
    <w:p w14:paraId="74807410" w14:textId="17A1BA09" w:rsidR="0050177F" w:rsidRDefault="00AD4DA4" w:rsidP="0050177F">
      <w:pPr>
        <w:pStyle w:val="Numberedparagraph"/>
      </w:pPr>
      <w:r>
        <w:t>Spectrum embargoes</w:t>
      </w:r>
      <w:r w:rsidR="00A7632D">
        <w:rPr>
          <w:rStyle w:val="FootnoteReference"/>
        </w:rPr>
        <w:footnoteReference w:id="25"/>
      </w:r>
      <w:r>
        <w:t xml:space="preserve"> </w:t>
      </w:r>
      <w:r w:rsidR="00A7632D">
        <w:t xml:space="preserve">are typically used during a </w:t>
      </w:r>
      <w:r w:rsidR="00386647">
        <w:t xml:space="preserve">band review </w:t>
      </w:r>
      <w:r w:rsidR="00CB3EAC">
        <w:t xml:space="preserve">to stabilise the </w:t>
      </w:r>
      <w:r w:rsidR="00612C2C">
        <w:t xml:space="preserve">licensing environment in the </w:t>
      </w:r>
      <w:r w:rsidR="00CB3EAC">
        <w:t xml:space="preserve">frequency band while the review takes place. That is, the embargo restricts the </w:t>
      </w:r>
      <w:r w:rsidR="00386647">
        <w:t>issue of new</w:t>
      </w:r>
      <w:r w:rsidR="001E31EC">
        <w:t xml:space="preserve"> apparatus</w:t>
      </w:r>
      <w:r w:rsidR="00386647">
        <w:t xml:space="preserve"> </w:t>
      </w:r>
      <w:r w:rsidR="00FA3154">
        <w:t>licences</w:t>
      </w:r>
      <w:r w:rsidR="00386647">
        <w:t xml:space="preserve"> in a band that is being considered for re-allocation or replanning in the short term. To that end, a spectrum embargo normally precedes the development of a spectrum re-allocation declaration in the spectrum licence development process</w:t>
      </w:r>
      <w:r w:rsidR="00C05333">
        <w:t xml:space="preserve"> and can be interchangeable </w:t>
      </w:r>
      <w:r w:rsidR="00E26512">
        <w:t xml:space="preserve">with or complementary to </w:t>
      </w:r>
      <w:r w:rsidR="00C05333">
        <w:t>a band plan</w:t>
      </w:r>
      <w:r w:rsidR="00612C2C">
        <w:t xml:space="preserve"> in the longer term</w:t>
      </w:r>
      <w:r w:rsidR="003866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3833"/>
      </w:tblGrid>
      <w:tr w:rsidR="00C71F52" w14:paraId="0BC703D8" w14:textId="77777777" w:rsidTr="00C71F52">
        <w:tc>
          <w:tcPr>
            <w:tcW w:w="3828" w:type="dxa"/>
            <w:vAlign w:val="center"/>
          </w:tcPr>
          <w:p w14:paraId="4205D0AD" w14:textId="478F54C1" w:rsidR="00C71F52" w:rsidRDefault="00C71F52" w:rsidP="00215256">
            <w:pPr>
              <w:pStyle w:val="Heading3"/>
            </w:pPr>
            <w:r>
              <w:t>Spectrum licence technical framework</w:t>
            </w:r>
          </w:p>
        </w:tc>
        <w:tc>
          <w:tcPr>
            <w:tcW w:w="3833" w:type="dxa"/>
          </w:tcPr>
          <w:p w14:paraId="74235D81" w14:textId="5F940300" w:rsidR="00C71F52" w:rsidRDefault="000579EB" w:rsidP="00215256">
            <w:pPr>
              <w:pStyle w:val="ACMABodyText"/>
              <w:spacing w:before="0" w:after="0"/>
            </w:pPr>
            <w:r w:rsidRPr="008161E6">
              <w:object w:dxaOrig="8670" w:dyaOrig="8640" w14:anchorId="183A3D79">
                <v:shape id="_x0000_i1054" type="#_x0000_t75" alt="Blue symbol with FA" style="width:28.6pt;height:29.4pt" o:ole="">
                  <v:imagedata r:id="rId56" o:title=""/>
                </v:shape>
                <o:OLEObject Type="Embed" ProgID="PBrush" ShapeID="_x0000_i1054" DrawAspect="Content" ObjectID="_1758697763" r:id="rId95"/>
              </w:object>
            </w:r>
            <w:r w:rsidR="00C71F52">
              <w:t xml:space="preserve"> </w:t>
            </w:r>
            <w:r>
              <w:object w:dxaOrig="8625" w:dyaOrig="8640" w14:anchorId="5331C58C">
                <v:shape id="_x0000_i1055" type="#_x0000_t75" alt="Blue symbol with LC" style="width:29.3pt;height:29.4pt" o:ole="">
                  <v:imagedata r:id="rId60" o:title=""/>
                </v:shape>
                <o:OLEObject Type="Embed" ProgID="PBrush" ShapeID="_x0000_i1055" DrawAspect="Content" ObjectID="_1758697764" r:id="rId96"/>
              </w:object>
            </w:r>
          </w:p>
        </w:tc>
      </w:tr>
    </w:tbl>
    <w:p w14:paraId="62E86C02" w14:textId="699AA17F" w:rsidR="00FA3154" w:rsidRDefault="00FA3154" w:rsidP="00215256">
      <w:pPr>
        <w:pStyle w:val="Numberedparagraph"/>
        <w:spacing w:after="80"/>
      </w:pPr>
      <w:r>
        <w:t xml:space="preserve">The spectrum licence technical framework is the collection of technical </w:t>
      </w:r>
      <w:r w:rsidR="00CB3EAC">
        <w:t>regulatory requirements that</w:t>
      </w:r>
      <w:r>
        <w:t xml:space="preserve"> apply to the use of </w:t>
      </w:r>
      <w:r w:rsidR="00FF1D25">
        <w:t xml:space="preserve">radiocommunications </w:t>
      </w:r>
      <w:r>
        <w:t>devices within spectrum</w:t>
      </w:r>
      <w:r w:rsidR="00656866">
        <w:t>-</w:t>
      </w:r>
      <w:r>
        <w:t xml:space="preserve">licensed bands. </w:t>
      </w:r>
      <w:r w:rsidR="00DC60D1">
        <w:t>The Radiocommunications Act</w:t>
      </w:r>
      <w:r>
        <w:t xml:space="preserve"> specifies the mandatory and optional statutory requirements for a spectrum licence technical framework. </w:t>
      </w:r>
      <w:r w:rsidR="00F01445">
        <w:t xml:space="preserve">As well as the </w:t>
      </w:r>
      <w:r w:rsidR="00577F6A">
        <w:t>licence</w:t>
      </w:r>
      <w:r w:rsidR="00F01445">
        <w:t xml:space="preserve"> conditions discussed in </w:t>
      </w:r>
      <w:r w:rsidR="00F01445" w:rsidRPr="00A542DF">
        <w:t>paragraph</w:t>
      </w:r>
      <w:r w:rsidR="00A542DF" w:rsidRPr="00A542DF">
        <w:t>s</w:t>
      </w:r>
      <w:r w:rsidR="00803896" w:rsidRPr="00A542DF">
        <w:t xml:space="preserve"> </w:t>
      </w:r>
      <w:r w:rsidR="00F01445" w:rsidRPr="00A542DF">
        <w:t>4.</w:t>
      </w:r>
      <w:r w:rsidR="00361B91" w:rsidRPr="00A542DF">
        <w:t>3</w:t>
      </w:r>
      <w:r w:rsidR="0027060C">
        <w:t>4</w:t>
      </w:r>
      <w:r w:rsidR="00656866">
        <w:t>–</w:t>
      </w:r>
      <w:r w:rsidR="00A542DF" w:rsidRPr="00A542DF">
        <w:t>4.3</w:t>
      </w:r>
      <w:r w:rsidR="0027060C">
        <w:t>6</w:t>
      </w:r>
      <w:r w:rsidR="00F01445">
        <w:t xml:space="preserve">, </w:t>
      </w:r>
      <w:r>
        <w:t xml:space="preserve">the ACMA </w:t>
      </w:r>
      <w:r w:rsidR="00424E24">
        <w:t xml:space="preserve">may make </w:t>
      </w:r>
      <w:r>
        <w:t>the following:</w:t>
      </w:r>
    </w:p>
    <w:p w14:paraId="0D504C9A" w14:textId="698E2823" w:rsidR="00FA3154" w:rsidRDefault="00656866" w:rsidP="00CF546F">
      <w:pPr>
        <w:pStyle w:val="ListBullet"/>
      </w:pPr>
      <w:r>
        <w:t>w</w:t>
      </w:r>
      <w:r w:rsidR="00FA3154">
        <w:t>ritten determination</w:t>
      </w:r>
      <w:r w:rsidR="00040644">
        <w:t>s</w:t>
      </w:r>
      <w:r w:rsidR="00FA3154">
        <w:t xml:space="preserve"> under </w:t>
      </w:r>
      <w:r w:rsidR="00644942">
        <w:t>sub</w:t>
      </w:r>
      <w:r w:rsidR="00FA3154">
        <w:t>section 145</w:t>
      </w:r>
      <w:r w:rsidR="00437F3B">
        <w:t>(4)</w:t>
      </w:r>
      <w:r w:rsidR="00FA3154">
        <w:t xml:space="preserve"> of </w:t>
      </w:r>
      <w:r w:rsidR="00DC60D1">
        <w:t>the Radiocommunications Act</w:t>
      </w:r>
      <w:r w:rsidR="00FA3154">
        <w:t xml:space="preserve"> setting out what </w:t>
      </w:r>
      <w:r w:rsidR="00CF546F">
        <w:t>is</w:t>
      </w:r>
      <w:r w:rsidR="00FA3154">
        <w:t xml:space="preserve"> an unacceptable level of </w:t>
      </w:r>
      <w:proofErr w:type="gramStart"/>
      <w:r w:rsidR="00FA3154">
        <w:t>interference</w:t>
      </w:r>
      <w:proofErr w:type="gramEnd"/>
    </w:p>
    <w:p w14:paraId="46805AD2" w14:textId="7840EB50" w:rsidR="00396214" w:rsidRDefault="00656866" w:rsidP="00EE6558">
      <w:pPr>
        <w:pStyle w:val="Bulletlevel1last"/>
      </w:pPr>
      <w:r>
        <w:t>a</w:t>
      </w:r>
      <w:r w:rsidR="00FA3154">
        <w:t xml:space="preserve">dvisory guidelines under section 262 of </w:t>
      </w:r>
      <w:r w:rsidR="00DC60D1">
        <w:t>the Radiocommunications Act</w:t>
      </w:r>
      <w:r w:rsidR="00FA3154">
        <w:t xml:space="preserve"> </w:t>
      </w:r>
      <w:r>
        <w:t>for</w:t>
      </w:r>
      <w:r w:rsidR="00FA3154">
        <w:t xml:space="preserve"> any asp</w:t>
      </w:r>
      <w:r w:rsidR="00FA3154" w:rsidRPr="00A542DF">
        <w:t xml:space="preserve">ect of radiocommunication or radio emissions </w:t>
      </w:r>
      <w:r w:rsidR="00CF546F" w:rsidRPr="00A542DF">
        <w:t>(discussed in paragraphs 4.</w:t>
      </w:r>
      <w:r w:rsidR="00A542DF" w:rsidRPr="00A542DF">
        <w:t>2</w:t>
      </w:r>
      <w:r w:rsidR="0027060C">
        <w:t>7</w:t>
      </w:r>
      <w:r>
        <w:t>–</w:t>
      </w:r>
      <w:r w:rsidR="00CF546F" w:rsidRPr="00A542DF">
        <w:t>4.</w:t>
      </w:r>
      <w:r w:rsidR="0027060C">
        <w:t>31</w:t>
      </w:r>
      <w:r w:rsidR="00CF546F" w:rsidRPr="00A542DF">
        <w:t>)</w:t>
      </w:r>
      <w:r w:rsidR="00FA3154" w:rsidRPr="00A542DF">
        <w:t>.</w:t>
      </w:r>
      <w:r w:rsidR="00FA3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7"/>
        <w:gridCol w:w="1424"/>
      </w:tblGrid>
      <w:tr w:rsidR="00C71F52" w14:paraId="0F0490DA" w14:textId="77777777" w:rsidTr="00C71F52">
        <w:tc>
          <w:tcPr>
            <w:tcW w:w="6237" w:type="dxa"/>
            <w:vAlign w:val="center"/>
          </w:tcPr>
          <w:p w14:paraId="026D629A" w14:textId="6D9047F5" w:rsidR="00C71F52" w:rsidRPr="002B09C2" w:rsidRDefault="00C71F52" w:rsidP="00087814">
            <w:pPr>
              <w:pStyle w:val="Heading4"/>
              <w:keepNext/>
              <w:spacing w:before="0"/>
              <w:rPr>
                <w:iCs/>
              </w:rPr>
            </w:pPr>
            <w:r w:rsidRPr="00087814">
              <w:lastRenderedPageBreak/>
              <w:t>Section 145 determination</w:t>
            </w:r>
            <w:r w:rsidR="00656866" w:rsidRPr="00087814">
              <w:t xml:space="preserve"> </w:t>
            </w:r>
            <w:r w:rsidR="00656866">
              <w:t>–</w:t>
            </w:r>
            <w:r w:rsidRPr="00087814">
              <w:t xml:space="preserve"> Unacceptable levels of interference</w:t>
            </w:r>
          </w:p>
        </w:tc>
        <w:tc>
          <w:tcPr>
            <w:tcW w:w="1424" w:type="dxa"/>
            <w:vAlign w:val="center"/>
          </w:tcPr>
          <w:p w14:paraId="396C68FD" w14:textId="4CBEE47C" w:rsidR="00C71F52" w:rsidRDefault="000579EB" w:rsidP="00215256">
            <w:pPr>
              <w:pStyle w:val="ACMABodyText"/>
              <w:keepNext/>
              <w:keepLines/>
              <w:spacing w:before="0" w:after="0"/>
            </w:pPr>
            <w:r w:rsidRPr="008161E6">
              <w:object w:dxaOrig="8670" w:dyaOrig="8640" w14:anchorId="609B06AD">
                <v:shape id="_x0000_i1056" type="#_x0000_t75" alt="Blue symbol with FA" style="width:28.6pt;height:29.4pt" o:ole="">
                  <v:imagedata r:id="rId56" o:title=""/>
                </v:shape>
                <o:OLEObject Type="Embed" ProgID="PBrush" ShapeID="_x0000_i1056" DrawAspect="Content" ObjectID="_1758697765" r:id="rId97"/>
              </w:object>
            </w:r>
            <w:r w:rsidR="00C71F52">
              <w:t xml:space="preserve"> </w:t>
            </w:r>
            <w:r>
              <w:object w:dxaOrig="8625" w:dyaOrig="8640" w14:anchorId="365BFFB4">
                <v:shape id="_x0000_i1057" type="#_x0000_t75" alt="Blue symbol with LC" style="width:29.3pt;height:29.4pt" o:ole="">
                  <v:imagedata r:id="rId60" o:title=""/>
                </v:shape>
                <o:OLEObject Type="Embed" ProgID="PBrush" ShapeID="_x0000_i1057" DrawAspect="Content" ObjectID="_1758697766" r:id="rId98"/>
              </w:object>
            </w:r>
          </w:p>
        </w:tc>
      </w:tr>
    </w:tbl>
    <w:p w14:paraId="691C4084" w14:textId="5325716C" w:rsidR="004635C9" w:rsidRDefault="00F43596" w:rsidP="00C71F52">
      <w:pPr>
        <w:pStyle w:val="Numberedparagraphbeforelist"/>
        <w:keepNext/>
        <w:keepLines/>
        <w:spacing w:after="240"/>
      </w:pPr>
      <w:r w:rsidRPr="008403B0">
        <w:t xml:space="preserve">Although the core conditions form the basis of a spectrum licence and provide mechanisms for interference management, they </w:t>
      </w:r>
      <w:r w:rsidR="00E87CF9">
        <w:t xml:space="preserve">are not </w:t>
      </w:r>
      <w:r w:rsidR="0085728F">
        <w:t>normally</w:t>
      </w:r>
      <w:r w:rsidR="00E87CF9">
        <w:t xml:space="preserve"> sufficient</w:t>
      </w:r>
      <w:r w:rsidRPr="008403B0">
        <w:t xml:space="preserve">. Further conditions or constraints </w:t>
      </w:r>
      <w:r>
        <w:t xml:space="preserve">(at the frequency assignment layer) </w:t>
      </w:r>
      <w:r w:rsidRPr="008403B0">
        <w:t xml:space="preserve">are imposed on </w:t>
      </w:r>
      <w:r w:rsidR="00F2740C">
        <w:t xml:space="preserve">radiocommunications </w:t>
      </w:r>
      <w:r>
        <w:t xml:space="preserve">devices operating under </w:t>
      </w:r>
      <w:r w:rsidRPr="008403B0">
        <w:t>spectrum licen</w:t>
      </w:r>
      <w:r>
        <w:t>ces.</w:t>
      </w:r>
      <w:r w:rsidRPr="008403B0">
        <w:t xml:space="preserve"> </w:t>
      </w:r>
      <w:r w:rsidR="004635C9">
        <w:t>Some of these are implemented via</w:t>
      </w:r>
      <w:r>
        <w:t xml:space="preserve"> conditions </w:t>
      </w:r>
      <w:r w:rsidR="00A153E6">
        <w:t>i</w:t>
      </w:r>
      <w:r w:rsidR="004635C9">
        <w:t>n the licences</w:t>
      </w:r>
      <w:r w:rsidR="00656866">
        <w:t>;</w:t>
      </w:r>
      <w:r w:rsidR="004635C9">
        <w:t xml:space="preserve"> for example</w:t>
      </w:r>
      <w:r w:rsidR="00656866">
        <w:t>,</w:t>
      </w:r>
      <w:r w:rsidR="004635C9">
        <w:t xml:space="preserve"> a requirement to synchronise the operation of services in certain situations, protect the </w:t>
      </w:r>
      <w:r w:rsidR="00361B91">
        <w:t>radio quiet zone (</w:t>
      </w:r>
      <w:r w:rsidR="004635C9">
        <w:t>RQZ</w:t>
      </w:r>
      <w:r w:rsidR="00361B91">
        <w:t>)</w:t>
      </w:r>
      <w:r w:rsidR="004635C9">
        <w:t xml:space="preserve"> or protect incumbent services affected by a spectrum re-allocation declaration. </w:t>
      </w:r>
    </w:p>
    <w:p w14:paraId="227384BC" w14:textId="00EE20E7" w:rsidR="005779F8" w:rsidRDefault="004635C9" w:rsidP="00361B91">
      <w:pPr>
        <w:pStyle w:val="Numberedparagraphbeforelist"/>
        <w:spacing w:after="240"/>
      </w:pPr>
      <w:r>
        <w:t xml:space="preserve">Another key mechanism </w:t>
      </w:r>
      <w:r w:rsidR="00656866">
        <w:t>for</w:t>
      </w:r>
      <w:r w:rsidR="00515F88">
        <w:t xml:space="preserve"> </w:t>
      </w:r>
      <w:r w:rsidR="00656866">
        <w:t xml:space="preserve">managing </w:t>
      </w:r>
      <w:r w:rsidR="00515F88">
        <w:t>interference is</w:t>
      </w:r>
      <w:r w:rsidR="00F43596" w:rsidRPr="008403B0">
        <w:t xml:space="preserve"> the </w:t>
      </w:r>
      <w:r w:rsidR="00515F88">
        <w:t>registration</w:t>
      </w:r>
      <w:r w:rsidR="00F43596" w:rsidRPr="008403B0">
        <w:t xml:space="preserve"> requirement</w:t>
      </w:r>
      <w:r w:rsidR="00F43596">
        <w:t xml:space="preserve"> in each spectrum licence</w:t>
      </w:r>
      <w:r w:rsidR="00F43596" w:rsidRPr="008403B0">
        <w:t xml:space="preserve"> for </w:t>
      </w:r>
      <w:r w:rsidR="00E020D5">
        <w:t xml:space="preserve">radiocommunications </w:t>
      </w:r>
      <w:r w:rsidR="00F43596" w:rsidRPr="008403B0">
        <w:t>transmitters</w:t>
      </w:r>
      <w:r w:rsidR="00515F88">
        <w:t xml:space="preserve">. </w:t>
      </w:r>
      <w:r w:rsidR="005779F8">
        <w:t xml:space="preserve">Spectrum licensees are required to register a radiocommunications transmitter in the </w:t>
      </w:r>
      <w:hyperlink r:id="rId99" w:history="1">
        <w:r w:rsidR="0016580A" w:rsidRPr="00411BA8">
          <w:rPr>
            <w:rStyle w:val="Hyperlink"/>
          </w:rPr>
          <w:t>Register of Radiocommunications Licences</w:t>
        </w:r>
      </w:hyperlink>
      <w:r w:rsidR="005779F8">
        <w:t xml:space="preserve"> before the transmitter may </w:t>
      </w:r>
      <w:r w:rsidR="00CB3EAC">
        <w:t xml:space="preserve">be operated (unless the transmitter is of a kind exempt from registration). </w:t>
      </w:r>
      <w:r w:rsidR="00CA677A">
        <w:t>Transmitters</w:t>
      </w:r>
      <w:r w:rsidR="00CB3EAC">
        <w:t xml:space="preserve"> </w:t>
      </w:r>
      <w:r w:rsidR="00515F88">
        <w:t xml:space="preserve">exempt from registration are defined </w:t>
      </w:r>
      <w:r w:rsidR="00877FE3">
        <w:t>i</w:t>
      </w:r>
      <w:r w:rsidR="00515F88">
        <w:t>n the spectrum licence.</w:t>
      </w:r>
    </w:p>
    <w:p w14:paraId="44B7F08C" w14:textId="4A70E2B5" w:rsidR="005779F8" w:rsidRDefault="005779F8" w:rsidP="005779F8">
      <w:pPr>
        <w:pStyle w:val="Numberedparagraph"/>
      </w:pPr>
      <w:r>
        <w:t xml:space="preserve">Subsection 145(1) of </w:t>
      </w:r>
      <w:r w:rsidR="00DC60D1">
        <w:t>the Radiocommunications Act</w:t>
      </w:r>
      <w:r>
        <w:t xml:space="preserve"> allows the ACMA to refuse to register a radiocommunications transmitter if it is satisfied the operation of the transmitter could cause an unacceptable level of interference to the operation of other radiocommunications devices. </w:t>
      </w:r>
      <w:r w:rsidR="004533E9">
        <w:t>The ACMA</w:t>
      </w:r>
      <w:r>
        <w:t xml:space="preserve"> make</w:t>
      </w:r>
      <w:r w:rsidR="004533E9">
        <w:t>s</w:t>
      </w:r>
      <w:r>
        <w:t xml:space="preserve"> determinations under subsection 145(4) of </w:t>
      </w:r>
      <w:r w:rsidR="00DC60D1">
        <w:t>the Radiocommunications Act</w:t>
      </w:r>
      <w:r>
        <w:t xml:space="preserve"> (</w:t>
      </w:r>
      <w:r w:rsidR="0001368B">
        <w:t>a ‘</w:t>
      </w:r>
      <w:r>
        <w:t>section 145 determination</w:t>
      </w:r>
      <w:r w:rsidR="0001368B">
        <w:t>’</w:t>
      </w:r>
      <w:r>
        <w:t>) that set out the unacceptable levels of interference for each spectrum</w:t>
      </w:r>
      <w:r w:rsidR="00877FE3">
        <w:t>-</w:t>
      </w:r>
      <w:r>
        <w:t>licensed band.</w:t>
      </w:r>
      <w:r w:rsidR="00515F88">
        <w:t xml:space="preserve"> The primary method for registering </w:t>
      </w:r>
      <w:r w:rsidR="00B1527A">
        <w:t>transmitters</w:t>
      </w:r>
      <w:r w:rsidR="00515F88">
        <w:t xml:space="preserve"> is to </w:t>
      </w:r>
      <w:r w:rsidR="00030526">
        <w:t xml:space="preserve">certify that </w:t>
      </w:r>
      <w:r w:rsidR="00515F88">
        <w:t>a proposed transmitter meets the requirements of the s</w:t>
      </w:r>
      <w:r w:rsidR="003B4763">
        <w:t xml:space="preserve">ection </w:t>
      </w:r>
      <w:r w:rsidR="00515F88">
        <w:t xml:space="preserve">145 determination. </w:t>
      </w:r>
    </w:p>
    <w:p w14:paraId="4F4F19E7" w14:textId="4F5D1892" w:rsidR="005779F8" w:rsidRDefault="005779F8" w:rsidP="00215256">
      <w:pPr>
        <w:pStyle w:val="Numberedparagraph"/>
        <w:spacing w:after="80"/>
      </w:pPr>
      <w:r>
        <w:t xml:space="preserve">These determinations set out the circumstances in which </w:t>
      </w:r>
      <w:r w:rsidR="00F746F6">
        <w:t>radiocommunications transmitters</w:t>
      </w:r>
      <w:r>
        <w:t xml:space="preserve"> cause unacceptable levels of interference, which generally include:</w:t>
      </w:r>
    </w:p>
    <w:p w14:paraId="49DBD759" w14:textId="502B9F11" w:rsidR="005779F8" w:rsidRDefault="005779F8" w:rsidP="005779F8">
      <w:pPr>
        <w:pStyle w:val="ListBullet"/>
      </w:pPr>
      <w:r>
        <w:t xml:space="preserve">if any part of the ‘device boundary’ falls outside the licensed geographical area of the </w:t>
      </w:r>
      <w:r w:rsidR="007859C3">
        <w:t xml:space="preserve">spectrum </w:t>
      </w:r>
      <w:r>
        <w:t xml:space="preserve">licence (the section 145 determination sets out how to calculate the device boundary for any </w:t>
      </w:r>
      <w:r w:rsidR="00F746F6">
        <w:t>transmitter</w:t>
      </w:r>
      <w:r>
        <w:t>) or cannot be calculated</w:t>
      </w:r>
    </w:p>
    <w:p w14:paraId="11E15C55" w14:textId="350DA9E0" w:rsidR="005779F8" w:rsidRDefault="005779F8" w:rsidP="005779F8">
      <w:pPr>
        <w:pStyle w:val="ListBullet"/>
      </w:pPr>
      <w:r>
        <w:t xml:space="preserve">if the operation of the transmitter will cause a breach of a core condition of the </w:t>
      </w:r>
      <w:r w:rsidR="004352AF">
        <w:t xml:space="preserve">spectrum </w:t>
      </w:r>
      <w:r>
        <w:t>licence</w:t>
      </w:r>
    </w:p>
    <w:p w14:paraId="316971CE" w14:textId="0FDF02EF" w:rsidR="005779F8" w:rsidRDefault="005779F8" w:rsidP="005779F8">
      <w:pPr>
        <w:pStyle w:val="Bulletlevel1last"/>
      </w:pPr>
      <w:r>
        <w:t xml:space="preserve">if the deployment of the </w:t>
      </w:r>
      <w:r w:rsidR="00885DD5">
        <w:t>transmitter</w:t>
      </w:r>
      <w:r>
        <w:t xml:space="preserve"> is outside any deployment constraints set in the section 145 determination.</w:t>
      </w:r>
    </w:p>
    <w:p w14:paraId="3E75EA61" w14:textId="798039A7" w:rsidR="004B7399" w:rsidRDefault="004B7399" w:rsidP="004B7399">
      <w:pPr>
        <w:pStyle w:val="Numberedparagraph"/>
      </w:pPr>
      <w:r>
        <w:t>The ACMA typically uses the section 145 determination to manage co-channel (</w:t>
      </w:r>
      <w:r w:rsidR="00570904">
        <w:t>adjacent area</w:t>
      </w:r>
      <w:r>
        <w:t xml:space="preserve">) coexistence. Although a proposed </w:t>
      </w:r>
      <w:r w:rsidR="00402739">
        <w:t xml:space="preserve">radiocommunications </w:t>
      </w:r>
      <w:r>
        <w:t xml:space="preserve">transmitter may comply with all conditions </w:t>
      </w:r>
      <w:r w:rsidR="007859C3">
        <w:t>of</w:t>
      </w:r>
      <w:r>
        <w:t xml:space="preserve"> its</w:t>
      </w:r>
      <w:r w:rsidR="0072202E">
        <w:t xml:space="preserve"> spectrum</w:t>
      </w:r>
      <w:r>
        <w:t xml:space="preserve"> licence, there is still a risk of co-channel interference to </w:t>
      </w:r>
      <w:r w:rsidR="00F93AF9">
        <w:t xml:space="preserve">radiocommunications </w:t>
      </w:r>
      <w:r>
        <w:t xml:space="preserve">receivers in </w:t>
      </w:r>
      <w:r w:rsidR="000E1E86">
        <w:t>adjacent</w:t>
      </w:r>
      <w:r>
        <w:t xml:space="preserve"> areas, especially if the transmitter is high-powered and/or located near its area boundary. So, before a transmitter can be registered</w:t>
      </w:r>
      <w:r w:rsidR="000E1E86">
        <w:t xml:space="preserve"> (except for registration exempt transmitters), they are assessed against the applicable section 145 determination.</w:t>
      </w:r>
      <w:r w:rsidR="000E1E86">
        <w:rPr>
          <w:rStyle w:val="FootnoteReference"/>
        </w:rPr>
        <w:footnoteReference w:id="26"/>
      </w:r>
      <w:r w:rsidR="000E1E86">
        <w:t xml:space="preserve"> </w:t>
      </w:r>
    </w:p>
    <w:p w14:paraId="15CBD0C1" w14:textId="03B96A1B" w:rsidR="004B7399" w:rsidRDefault="007C4800" w:rsidP="00A55E21">
      <w:pPr>
        <w:pStyle w:val="Numberedparagraph"/>
      </w:pPr>
      <w:r>
        <w:t>In some bands, the section 145 determination is also used to manage co-channel interference into spectrum</w:t>
      </w:r>
      <w:r w:rsidR="00877FE3">
        <w:t>-</w:t>
      </w:r>
      <w:r>
        <w:t>licensed areas from area-adjacent apparatus</w:t>
      </w:r>
      <w:r w:rsidR="00877FE3">
        <w:t>-</w:t>
      </w:r>
      <w:r>
        <w:t>licensed</w:t>
      </w:r>
      <w:r w:rsidR="00C8783A">
        <w:t xml:space="preserve"> radiocommunications</w:t>
      </w:r>
      <w:r>
        <w:t xml:space="preserve"> transmitters.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2"/>
        <w:gridCol w:w="2699"/>
      </w:tblGrid>
      <w:tr w:rsidR="00C71F52" w14:paraId="0B17A957" w14:textId="77777777" w:rsidTr="00215256">
        <w:tc>
          <w:tcPr>
            <w:tcW w:w="4962" w:type="dxa"/>
            <w:vAlign w:val="center"/>
          </w:tcPr>
          <w:p w14:paraId="28F13BC6" w14:textId="62DE4FF0" w:rsidR="00C71F52" w:rsidRDefault="00C71F52" w:rsidP="00215256">
            <w:pPr>
              <w:pStyle w:val="Heading4"/>
              <w:keepNext/>
              <w:spacing w:before="0"/>
            </w:pPr>
            <w:r>
              <w:lastRenderedPageBreak/>
              <w:t>Radiocommunications advisory guidelines (RAGs)</w:t>
            </w:r>
          </w:p>
        </w:tc>
        <w:tc>
          <w:tcPr>
            <w:tcW w:w="2699" w:type="dxa"/>
          </w:tcPr>
          <w:p w14:paraId="498EEC9A" w14:textId="0202A6B0" w:rsidR="00C71F52" w:rsidRDefault="000579EB" w:rsidP="00215256">
            <w:pPr>
              <w:pStyle w:val="ACMABodyText"/>
              <w:spacing w:before="0" w:after="0"/>
            </w:pPr>
            <w:r w:rsidRPr="008161E6">
              <w:object w:dxaOrig="8670" w:dyaOrig="8640" w14:anchorId="54141B4B">
                <v:shape id="_x0000_i1058" type="#_x0000_t75" alt="Blue symbol with FA" style="width:28.6pt;height:29.4pt" o:ole="">
                  <v:imagedata r:id="rId56" o:title=""/>
                </v:shape>
                <o:OLEObject Type="Embed" ProgID="PBrush" ShapeID="_x0000_i1058" DrawAspect="Content" ObjectID="_1758697767" r:id="rId100"/>
              </w:object>
            </w:r>
          </w:p>
        </w:tc>
      </w:tr>
    </w:tbl>
    <w:p w14:paraId="75D40C14" w14:textId="0A052928" w:rsidR="00CB3EAC" w:rsidRDefault="00CB3EAC" w:rsidP="00CB3EAC">
      <w:pPr>
        <w:pStyle w:val="Numberedparagraph"/>
      </w:pPr>
      <w:r w:rsidRPr="00A93850">
        <w:t xml:space="preserve">RAGs made under section 262 of </w:t>
      </w:r>
      <w:r w:rsidR="00DC60D1">
        <w:t>the Radiocommunications Act</w:t>
      </w:r>
      <w:r w:rsidRPr="00A93850">
        <w:t xml:space="preserve"> may address any aspect of radiocommunication or radio emission</w:t>
      </w:r>
      <w:r>
        <w:t>. In the context of spectrum licen</w:t>
      </w:r>
      <w:r w:rsidR="0072202E">
        <w:t>s</w:t>
      </w:r>
      <w:r>
        <w:t>ing,</w:t>
      </w:r>
      <w:r w:rsidRPr="00A93850">
        <w:t xml:space="preserve"> </w:t>
      </w:r>
      <w:r>
        <w:t xml:space="preserve">RAGs form part of the spectrum licence technical framework. </w:t>
      </w:r>
    </w:p>
    <w:p w14:paraId="34D563F2" w14:textId="1B9B78CB" w:rsidR="00195268" w:rsidRDefault="00195268" w:rsidP="00462C2D">
      <w:pPr>
        <w:pStyle w:val="Numberedparagraph"/>
      </w:pPr>
      <w:r>
        <w:t xml:space="preserve">Generally, RAGs include provisions to help assess possible interference between </w:t>
      </w:r>
      <w:r w:rsidR="00D94AE8">
        <w:t xml:space="preserve">radiocommunications </w:t>
      </w:r>
      <w:r>
        <w:t xml:space="preserve">devices </w:t>
      </w:r>
      <w:r w:rsidR="00FD4063">
        <w:t xml:space="preserve">operated under spectrum licences </w:t>
      </w:r>
      <w:r>
        <w:t xml:space="preserve">and services operating under spectrum, apparatus or class licences. Potentially affected services are identified in the RAGs to enable licensees to assess and </w:t>
      </w:r>
      <w:r w:rsidR="009A4BA6">
        <w:t xml:space="preserve">manage </w:t>
      </w:r>
      <w:r>
        <w:t xml:space="preserve">the risk of interference with these services. RAGs may also </w:t>
      </w:r>
      <w:r w:rsidR="00381AB0">
        <w:t xml:space="preserve">establish the amount of protection that will be afforded to </w:t>
      </w:r>
      <w:r w:rsidR="00420899">
        <w:t xml:space="preserve">radiocommunications </w:t>
      </w:r>
      <w:r w:rsidR="00381AB0">
        <w:t>receivers</w:t>
      </w:r>
      <w:r w:rsidR="00010E41">
        <w:t xml:space="preserve"> operated under spectrum licences</w:t>
      </w:r>
      <w:r w:rsidR="00381AB0">
        <w:t xml:space="preserve"> (in the form of the notional level of receiver performance)</w:t>
      </w:r>
      <w:r w:rsidR="00AD3327">
        <w:t xml:space="preserve">. </w:t>
      </w:r>
    </w:p>
    <w:p w14:paraId="7967F9A0" w14:textId="4A9AE7A2" w:rsidR="00195268" w:rsidRDefault="00195268" w:rsidP="00195268">
      <w:pPr>
        <w:pStyle w:val="Numberedparagraph"/>
      </w:pPr>
      <w:r>
        <w:t>If interference arises between a spectrum</w:t>
      </w:r>
      <w:r w:rsidR="00877FE3">
        <w:t>-</w:t>
      </w:r>
      <w:r>
        <w:t xml:space="preserve">licensed service and another service, </w:t>
      </w:r>
      <w:r w:rsidR="00350021">
        <w:t xml:space="preserve">the </w:t>
      </w:r>
      <w:r>
        <w:t xml:space="preserve">conditions </w:t>
      </w:r>
      <w:r w:rsidR="00C94524">
        <w:t>in</w:t>
      </w:r>
      <w:r>
        <w:t xml:space="preserve"> each of the licences </w:t>
      </w:r>
      <w:r w:rsidR="00AD3327">
        <w:t xml:space="preserve">may </w:t>
      </w:r>
      <w:r>
        <w:t xml:space="preserve">provide a path to resolution. </w:t>
      </w:r>
      <w:r w:rsidR="00877FE3">
        <w:t xml:space="preserve">If </w:t>
      </w:r>
      <w:r w:rsidR="006E0584">
        <w:t xml:space="preserve">there is a dispute on how to resolve interference, </w:t>
      </w:r>
      <w:r w:rsidR="00072242">
        <w:t>the ACMA</w:t>
      </w:r>
      <w:r w:rsidR="006E0584">
        <w:t xml:space="preserve"> will </w:t>
      </w:r>
      <w:r w:rsidR="00877FE3">
        <w:t>consider</w:t>
      </w:r>
      <w:r w:rsidR="006E0584">
        <w:t xml:space="preserve"> any conditions o</w:t>
      </w:r>
      <w:r w:rsidR="009E66DF">
        <w:t>f</w:t>
      </w:r>
      <w:r w:rsidR="006E0584">
        <w:t xml:space="preserve"> the licence as well as </w:t>
      </w:r>
      <w:r>
        <w:t xml:space="preserve">the provisions of the RAGs in resolving the matter. Some </w:t>
      </w:r>
      <w:r w:rsidR="00501B30">
        <w:t xml:space="preserve">RAG </w:t>
      </w:r>
      <w:r w:rsidR="00877FE3">
        <w:t xml:space="preserve">provisions </w:t>
      </w:r>
      <w:r>
        <w:t xml:space="preserve">may also be incorporated by reference as a licence condition, and hence, would be mandatory for the licensee to meet. </w:t>
      </w:r>
    </w:p>
    <w:p w14:paraId="6F320182" w14:textId="4171EF49" w:rsidR="00195268" w:rsidRDefault="00195268" w:rsidP="00215256">
      <w:pPr>
        <w:pStyle w:val="Numberedparagraph"/>
        <w:spacing w:after="80"/>
      </w:pPr>
      <w:r>
        <w:t xml:space="preserve">Typically, </w:t>
      </w:r>
      <w:r w:rsidR="00877FE3">
        <w:t xml:space="preserve">2 </w:t>
      </w:r>
      <w:r>
        <w:t>RAGs are developed for each spectrum</w:t>
      </w:r>
      <w:r w:rsidR="00877FE3">
        <w:t>-</w:t>
      </w:r>
      <w:r>
        <w:t>licen</w:t>
      </w:r>
      <w:r w:rsidR="00501B30">
        <w:t>s</w:t>
      </w:r>
      <w:r>
        <w:t>ed band:</w:t>
      </w:r>
    </w:p>
    <w:p w14:paraId="514C98FD" w14:textId="4CB0D7F0" w:rsidR="00195268" w:rsidRDefault="00877FE3" w:rsidP="005779F8">
      <w:pPr>
        <w:pStyle w:val="ListBullet"/>
      </w:pPr>
      <w:r>
        <w:t>a</w:t>
      </w:r>
      <w:r w:rsidR="005779F8">
        <w:t xml:space="preserve"> </w:t>
      </w:r>
      <w:r w:rsidR="00195268">
        <w:t xml:space="preserve">RAG </w:t>
      </w:r>
      <w:r w:rsidR="005779F8">
        <w:t>for managing i</w:t>
      </w:r>
      <w:r w:rsidR="005779F8" w:rsidRPr="005779F8">
        <w:t xml:space="preserve">nterference from </w:t>
      </w:r>
      <w:r w:rsidR="00DD31A9">
        <w:t>radiocommunications</w:t>
      </w:r>
      <w:r w:rsidR="005779F8" w:rsidRPr="005779F8">
        <w:t xml:space="preserve"> </w:t>
      </w:r>
      <w:r w:rsidR="005779F8">
        <w:t>t</w:t>
      </w:r>
      <w:r w:rsidR="005779F8" w:rsidRPr="005779F8">
        <w:t>ransmitters</w:t>
      </w:r>
      <w:r w:rsidR="00DD31A9">
        <w:t xml:space="preserve"> operated under </w:t>
      </w:r>
      <w:r w:rsidR="00DC06D3">
        <w:t xml:space="preserve">a </w:t>
      </w:r>
      <w:r w:rsidR="00DD31A9">
        <w:t>spectrum licence</w:t>
      </w:r>
      <w:r w:rsidR="00195268">
        <w:t xml:space="preserve"> to provide guidance on the protection of apparatus and class</w:t>
      </w:r>
      <w:r w:rsidR="0000540F">
        <w:t xml:space="preserve"> </w:t>
      </w:r>
      <w:r w:rsidR="00195268">
        <w:t xml:space="preserve">licensed </w:t>
      </w:r>
      <w:r w:rsidR="00F567DD">
        <w:t xml:space="preserve">radiocommunications </w:t>
      </w:r>
      <w:proofErr w:type="gramStart"/>
      <w:r w:rsidR="00195268">
        <w:t>receivers</w:t>
      </w:r>
      <w:proofErr w:type="gramEnd"/>
    </w:p>
    <w:p w14:paraId="4A45B1DD" w14:textId="3758E7D5" w:rsidR="0050177F" w:rsidRDefault="00877FE3" w:rsidP="005779F8">
      <w:pPr>
        <w:pStyle w:val="Bulletlevel1last"/>
      </w:pPr>
      <w:r>
        <w:t>a</w:t>
      </w:r>
      <w:r w:rsidR="005779F8">
        <w:t xml:space="preserve"> RAG for managing i</w:t>
      </w:r>
      <w:r w:rsidR="005779F8" w:rsidRPr="005779F8">
        <w:t xml:space="preserve">nterference </w:t>
      </w:r>
      <w:r w:rsidR="005779F8">
        <w:t>to</w:t>
      </w:r>
      <w:r w:rsidR="005779F8" w:rsidRPr="005779F8">
        <w:t xml:space="preserve"> </w:t>
      </w:r>
      <w:r w:rsidR="00ED0A1A">
        <w:t>radiocommunications</w:t>
      </w:r>
      <w:r w:rsidR="005779F8" w:rsidRPr="005779F8">
        <w:t xml:space="preserve"> </w:t>
      </w:r>
      <w:r w:rsidR="005779F8">
        <w:t xml:space="preserve">receivers </w:t>
      </w:r>
      <w:r w:rsidR="00ED0A1A">
        <w:t xml:space="preserve">operated under a spectrum licence </w:t>
      </w:r>
      <w:r w:rsidR="00195268">
        <w:t xml:space="preserve">to primarily provide guidance on the management of out-of-band interference to </w:t>
      </w:r>
      <w:r w:rsidR="005033F8">
        <w:t xml:space="preserve">those </w:t>
      </w:r>
      <w:r w:rsidR="00195268">
        <w:t>receivers.</w:t>
      </w:r>
    </w:p>
    <w:p w14:paraId="3DB58A4B" w14:textId="1A9A26F0" w:rsidR="00E3007E" w:rsidRDefault="00E3007E" w:rsidP="00570904">
      <w:pPr>
        <w:pStyle w:val="Numberedparagraph"/>
      </w:pPr>
      <w:r>
        <w:t>RAGs are typically used to manage coexistence scenarios that are not fully managed by the licence conditions and section 145 determination</w:t>
      </w:r>
      <w:r w:rsidR="00877FE3">
        <w:t>;</w:t>
      </w:r>
      <w:r>
        <w:t xml:space="preserve"> for example, frequency-adjacent services. </w:t>
      </w:r>
      <w:r w:rsidR="00B95AC2">
        <w:t xml:space="preserve">Although not always mandatory, it is expected that RAGs are </w:t>
      </w:r>
      <w:r w:rsidR="00877FE3">
        <w:t xml:space="preserve">considered before </w:t>
      </w:r>
      <w:r w:rsidR="00B95AC2">
        <w:t xml:space="preserve">the registration </w:t>
      </w:r>
      <w:r w:rsidR="006E0584">
        <w:t>(or at the very least operation)</w:t>
      </w:r>
      <w:r w:rsidR="00B95AC2">
        <w:t xml:space="preserve"> of a </w:t>
      </w:r>
      <w:r w:rsidR="00402FC0">
        <w:t xml:space="preserve">radiocommunications </w:t>
      </w:r>
      <w:r w:rsidR="00B95AC2">
        <w:t>device</w:t>
      </w:r>
      <w:r w:rsidR="00AF0625">
        <w:t xml:space="preserve"> under a spectrum licence</w:t>
      </w:r>
      <w:r w:rsidR="00B95AC2">
        <w:t>, or as part of the frequency assignment process for apparatus</w:t>
      </w:r>
      <w:r w:rsidR="00877FE3">
        <w:t>-</w:t>
      </w:r>
      <w:r w:rsidR="00B95AC2">
        <w:t xml:space="preserve">licensed </w:t>
      </w:r>
      <w:r w:rsidR="00AF0625">
        <w:t xml:space="preserve">radiocommunications </w:t>
      </w:r>
      <w:r w:rsidR="00B95AC2">
        <w:t xml:space="preserve">devices.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707"/>
      </w:tblGrid>
      <w:tr w:rsidR="00877FE3" w14:paraId="67C9DDC8" w14:textId="77777777" w:rsidTr="00877FE3">
        <w:tc>
          <w:tcPr>
            <w:tcW w:w="5954" w:type="dxa"/>
            <w:vAlign w:val="center"/>
          </w:tcPr>
          <w:p w14:paraId="027C9D6F" w14:textId="0FF396E4" w:rsidR="00C71F52" w:rsidRDefault="00C71F52" w:rsidP="00944D4E">
            <w:pPr>
              <w:pStyle w:val="Heading3"/>
              <w:keepLines/>
              <w:spacing w:before="0" w:after="0"/>
            </w:pPr>
            <w:r>
              <w:t>Radiocommunications assignment and licensing instructions (RALIs)</w:t>
            </w:r>
          </w:p>
        </w:tc>
        <w:tc>
          <w:tcPr>
            <w:tcW w:w="1707" w:type="dxa"/>
          </w:tcPr>
          <w:p w14:paraId="01B06972" w14:textId="6D1D914F" w:rsidR="00C71F52" w:rsidRDefault="000579EB" w:rsidP="00944D4E">
            <w:pPr>
              <w:pStyle w:val="ACMABodyText"/>
              <w:spacing w:before="0" w:after="0"/>
            </w:pPr>
            <w:r>
              <w:object w:dxaOrig="8670" w:dyaOrig="8715" w14:anchorId="43CA517D">
                <v:shape id="_x0000_i1059" type="#_x0000_t75" alt="Peach symbol with FA" style="width:28.6pt;height:29.2pt" o:ole="">
                  <v:imagedata r:id="rId58" o:title=""/>
                </v:shape>
                <o:OLEObject Type="Embed" ProgID="PBrush" ShapeID="_x0000_i1059" DrawAspect="Content" ObjectID="_1758697768" r:id="rId101"/>
              </w:object>
            </w:r>
            <w:r w:rsidR="00F87C4B">
              <w:t xml:space="preserve"> </w:t>
            </w:r>
            <w:r>
              <w:object w:dxaOrig="9735" w:dyaOrig="9735" w14:anchorId="26DEF556">
                <v:shape id="_x0000_i1060" type="#_x0000_t75" alt="Peach symbol with LC" style="width:28.7pt;height:28.7pt" o:ole="">
                  <v:imagedata r:id="rId62" o:title=""/>
                </v:shape>
                <o:OLEObject Type="Embed" ProgID="PBrush" ShapeID="_x0000_i1060" DrawAspect="Content" ObjectID="_1758697769" r:id="rId102"/>
              </w:object>
            </w:r>
          </w:p>
        </w:tc>
      </w:tr>
    </w:tbl>
    <w:p w14:paraId="7026B8D5" w14:textId="04A1184C" w:rsidR="00973BBA" w:rsidRDefault="00973BBA" w:rsidP="00973BBA">
      <w:pPr>
        <w:pStyle w:val="Numberedparagraph"/>
      </w:pPr>
      <w:r>
        <w:t>RALIs can be used as part of the spectrum planning framework for spectrum licences to outline arrangements for adjacent band or adjacent</w:t>
      </w:r>
      <w:r w:rsidR="00877FE3">
        <w:t>-</w:t>
      </w:r>
      <w:r>
        <w:t>area apparatus licences to coordinate with spectrum</w:t>
      </w:r>
      <w:r w:rsidR="00877FE3">
        <w:t>-</w:t>
      </w:r>
      <w:r>
        <w:t>licen</w:t>
      </w:r>
      <w:r w:rsidR="00183FC4">
        <w:t>s</w:t>
      </w:r>
      <w:r>
        <w:t xml:space="preserve">ed space. If used, they are normally referenced from a RAG. </w:t>
      </w:r>
    </w:p>
    <w:p w14:paraId="6F8A1460" w14:textId="4C3EBFBF" w:rsidR="00EE6558" w:rsidRDefault="005C6677" w:rsidP="005779F8">
      <w:pPr>
        <w:pStyle w:val="Numberedparagraph"/>
      </w:pPr>
      <w:hyperlink r:id="rId103" w:history="1">
        <w:r w:rsidR="00EE6558" w:rsidRPr="00DD43C6">
          <w:rPr>
            <w:rStyle w:val="Hyperlink"/>
          </w:rPr>
          <w:t>RALI SM26</w:t>
        </w:r>
      </w:hyperlink>
      <w:r w:rsidR="00EE6558">
        <w:t xml:space="preserve"> was developed in 2021 to provide a consolidated reference of all areas and frequencies that are subject to spectrum </w:t>
      </w:r>
      <w:r w:rsidR="00F56C30">
        <w:t>licensing and</w:t>
      </w:r>
      <w:r w:rsidR="00570904">
        <w:t xml:space="preserve"> support the re</w:t>
      </w:r>
      <w:r w:rsidR="0056400D">
        <w:t>-</w:t>
      </w:r>
      <w:r w:rsidR="00570904">
        <w:t xml:space="preserve">allocation declarations </w:t>
      </w:r>
      <w:r w:rsidR="00877FE3">
        <w:t xml:space="preserve">that </w:t>
      </w:r>
      <w:r w:rsidR="00570904">
        <w:t>restrict apparatus licensing in areas and frequencies subject to spectrum licensing</w:t>
      </w:r>
      <w:r w:rsidR="00EE655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4826"/>
      </w:tblGrid>
      <w:tr w:rsidR="00F87C4B" w14:paraId="0FB19ABC" w14:textId="77777777" w:rsidTr="00D5093F">
        <w:tc>
          <w:tcPr>
            <w:tcW w:w="2835" w:type="dxa"/>
            <w:vAlign w:val="center"/>
          </w:tcPr>
          <w:p w14:paraId="257E7A28" w14:textId="50927F3D" w:rsidR="00F87C4B" w:rsidRDefault="00F87C4B" w:rsidP="005F0870">
            <w:pPr>
              <w:pStyle w:val="Heading3"/>
              <w:keepLines/>
              <w:spacing w:before="0" w:after="0"/>
            </w:pPr>
            <w:r>
              <w:lastRenderedPageBreak/>
              <w:t>Spectrum licence conditions</w:t>
            </w:r>
          </w:p>
        </w:tc>
        <w:tc>
          <w:tcPr>
            <w:tcW w:w="4826" w:type="dxa"/>
          </w:tcPr>
          <w:p w14:paraId="002111B9" w14:textId="3D4F255F" w:rsidR="00F87C4B" w:rsidRDefault="000579EB" w:rsidP="005F0870">
            <w:pPr>
              <w:pStyle w:val="ACMABodyText"/>
              <w:keepNext/>
              <w:keepLines/>
              <w:spacing w:before="0" w:after="0"/>
            </w:pPr>
            <w:r w:rsidRPr="008161E6">
              <w:object w:dxaOrig="8670" w:dyaOrig="8640" w14:anchorId="3AE22B01">
                <v:shape id="_x0000_i1061" type="#_x0000_t75" alt="Blue symbol with FA" style="width:28.6pt;height:29.4pt" o:ole="">
                  <v:imagedata r:id="rId56" o:title=""/>
                </v:shape>
                <o:OLEObject Type="Embed" ProgID="PBrush" ShapeID="_x0000_i1061" DrawAspect="Content" ObjectID="_1758697770" r:id="rId104"/>
              </w:object>
            </w:r>
            <w:r w:rsidR="00F87C4B">
              <w:t xml:space="preserve"> </w:t>
            </w:r>
            <w:r w:rsidRPr="008161E6">
              <w:object w:dxaOrig="8625" w:dyaOrig="8640" w14:anchorId="7DAA7200">
                <v:shape id="_x0000_i1062" type="#_x0000_t75" alt="Blue symbol with LC" style="width:29.3pt;height:29.4pt" o:ole="">
                  <v:imagedata r:id="rId60" o:title=""/>
                </v:shape>
                <o:OLEObject Type="Embed" ProgID="PBrush" ShapeID="_x0000_i1062" DrawAspect="Content" ObjectID="_1758697771" r:id="rId105"/>
              </w:object>
            </w:r>
          </w:p>
        </w:tc>
      </w:tr>
    </w:tbl>
    <w:p w14:paraId="62EE5C58" w14:textId="1156274D" w:rsidR="007D7A18" w:rsidRDefault="00DC60D1" w:rsidP="005F0870">
      <w:pPr>
        <w:pStyle w:val="Numberedparagraph"/>
        <w:keepNext/>
        <w:keepLines/>
        <w:spacing w:after="80"/>
      </w:pPr>
      <w:r>
        <w:t>The Radiocommunications Act</w:t>
      </w:r>
      <w:r w:rsidR="009253A0">
        <w:t xml:space="preserve"> requires that a number of conditions be </w:t>
      </w:r>
      <w:r w:rsidR="006F3955">
        <w:t>specified in</w:t>
      </w:r>
      <w:r w:rsidR="009253A0">
        <w:t xml:space="preserve"> a spectrum licence (</w:t>
      </w:r>
      <w:r w:rsidR="004A0BDE">
        <w:t xml:space="preserve">known as </w:t>
      </w:r>
      <w:r w:rsidR="009253A0">
        <w:t xml:space="preserve">statutory conditions), including a number of conditions relevant to the spectrum planning framework. </w:t>
      </w:r>
      <w:r w:rsidR="007D7A18">
        <w:t>These include</w:t>
      </w:r>
      <w:r w:rsidR="005329D8">
        <w:t xml:space="preserve"> (but are not limited to)</w:t>
      </w:r>
      <w:r w:rsidR="007D7A18">
        <w:t xml:space="preserve">: </w:t>
      </w:r>
    </w:p>
    <w:p w14:paraId="0F2A58C9" w14:textId="69003A02" w:rsidR="00EC25CF" w:rsidRDefault="009253A0" w:rsidP="005F0870">
      <w:pPr>
        <w:pStyle w:val="Bulletlevel1"/>
        <w:keepNext/>
        <w:keepLines/>
      </w:pPr>
      <w:r w:rsidRPr="00631CFC">
        <w:rPr>
          <w:i/>
        </w:rPr>
        <w:t>Core conditions</w:t>
      </w:r>
      <w:r w:rsidR="00BC2BF8">
        <w:rPr>
          <w:i/>
        </w:rPr>
        <w:t xml:space="preserve"> </w:t>
      </w:r>
      <w:r w:rsidR="00877FE3">
        <w:rPr>
          <w:i/>
        </w:rPr>
        <w:t>–</w:t>
      </w:r>
      <w:r w:rsidR="007D7A18">
        <w:t xml:space="preserve"> </w:t>
      </w:r>
      <w:r w:rsidR="003712DC">
        <w:t>A</w:t>
      </w:r>
      <w:r>
        <w:t xml:space="preserve"> spectrum licence must include </w:t>
      </w:r>
      <w:r w:rsidR="00877FE3">
        <w:t xml:space="preserve">4 </w:t>
      </w:r>
      <w:r>
        <w:t xml:space="preserve">specific conditions as required under section 66 of </w:t>
      </w:r>
      <w:r w:rsidR="00DC60D1">
        <w:t>the Radiocommunications Act</w:t>
      </w:r>
      <w:r>
        <w:t xml:space="preserve">. </w:t>
      </w:r>
      <w:r w:rsidR="00EC25CF">
        <w:t>These conditions are used to define the spectrum space of the licence and the frequencies, geographic areas and the maximum permitted level of radio emission both in-band and out-of-band.</w:t>
      </w:r>
    </w:p>
    <w:p w14:paraId="669CC21A" w14:textId="48BE5809" w:rsidR="00EC25CF" w:rsidRDefault="00EC25CF" w:rsidP="000013B9">
      <w:pPr>
        <w:pStyle w:val="Bulletlevel1"/>
      </w:pPr>
      <w:r w:rsidRPr="000013B9">
        <w:rPr>
          <w:i/>
          <w:iCs/>
        </w:rPr>
        <w:t>Conditions about registration of radiocommunications transmitters</w:t>
      </w:r>
      <w:r w:rsidR="00BC2BF8">
        <w:rPr>
          <w:i/>
          <w:iCs/>
        </w:rPr>
        <w:t xml:space="preserve"> </w:t>
      </w:r>
      <w:r w:rsidR="00877FE3">
        <w:rPr>
          <w:i/>
        </w:rPr>
        <w:t>–</w:t>
      </w:r>
      <w:r>
        <w:t xml:space="preserve"> Under section 69 of </w:t>
      </w:r>
      <w:r w:rsidR="00DC60D1">
        <w:t>the Radiocommunications Act</w:t>
      </w:r>
      <w:r>
        <w:t xml:space="preserve">, radiocommunications transmitters must not be operated under a spectrum licence unless the requirements of Part 3.5 of </w:t>
      </w:r>
      <w:r w:rsidR="00DC60D1">
        <w:t>the Radiocommunications Act</w:t>
      </w:r>
      <w:r>
        <w:t xml:space="preserve"> relating to registration of the transmitter have been met (unless exempt from registration). </w:t>
      </w:r>
    </w:p>
    <w:p w14:paraId="7F541D0D" w14:textId="57A6BDCD" w:rsidR="00AC54D3" w:rsidRDefault="00EC25CF" w:rsidP="007636A8">
      <w:pPr>
        <w:pStyle w:val="Bulletlevel1"/>
        <w:spacing w:after="240"/>
      </w:pPr>
      <w:r w:rsidRPr="000013B9">
        <w:rPr>
          <w:i/>
          <w:iCs/>
        </w:rPr>
        <w:t>Other conditions</w:t>
      </w:r>
      <w:r w:rsidR="003712DC">
        <w:rPr>
          <w:i/>
          <w:iCs/>
        </w:rPr>
        <w:t xml:space="preserve"> </w:t>
      </w:r>
      <w:r w:rsidR="00877FE3">
        <w:rPr>
          <w:i/>
        </w:rPr>
        <w:t>–</w:t>
      </w:r>
      <w:r>
        <w:t xml:space="preserve"> Section 71 of </w:t>
      </w:r>
      <w:r w:rsidR="00DC60D1">
        <w:t>the Radiocommunications Act</w:t>
      </w:r>
      <w:r>
        <w:t xml:space="preserve"> permits the ACMA to include other conditions in a spectrum licence </w:t>
      </w:r>
      <w:r w:rsidRPr="00A2558A">
        <w:t xml:space="preserve">as it </w:t>
      </w:r>
      <w:r w:rsidR="003F3427" w:rsidRPr="00A2558A">
        <w:t>t</w:t>
      </w:r>
      <w:r w:rsidR="003F3427">
        <w:t>hinks fit</w:t>
      </w:r>
      <w:r>
        <w:t xml:space="preserve">. The other conditions of the licence may include planning and technical requirements that may limit operations to manage interference into other radiocommunications or limit the </w:t>
      </w:r>
      <w:r w:rsidR="00550DBC">
        <w:t>services</w:t>
      </w:r>
      <w:r>
        <w:t xml:space="preserve"> to be operated under the spectrum licence. For example, in implementing spectrum planning arrangements in the 2.5 GHz mid-band gap (2570</w:t>
      </w:r>
      <w:r w:rsidR="00877FE3">
        <w:rPr>
          <w:i/>
        </w:rPr>
        <w:t>–</w:t>
      </w:r>
      <w:r>
        <w:t>2620 MHz), the operation of radiocommunications devices in this band was limited to the television outside broadcast service.</w:t>
      </w:r>
    </w:p>
    <w:p w14:paraId="26D656F3" w14:textId="3C4E04BB" w:rsidR="00D138B0" w:rsidRDefault="000725A7" w:rsidP="001A1DF7">
      <w:pPr>
        <w:pStyle w:val="Numberedparagraph"/>
        <w:keepNext/>
        <w:keepLines/>
      </w:pPr>
      <w:r>
        <w:t xml:space="preserve">Separate to the </w:t>
      </w:r>
      <w:r w:rsidR="009F20D7">
        <w:t>spectrum planning</w:t>
      </w:r>
      <w:r>
        <w:t xml:space="preserve"> framework,</w:t>
      </w:r>
      <w:r w:rsidR="00D138B0">
        <w:t xml:space="preserve"> </w:t>
      </w:r>
      <w:r w:rsidR="00BE6FAA">
        <w:t xml:space="preserve">provisions </w:t>
      </w:r>
      <w:r w:rsidR="00E4313C">
        <w:t xml:space="preserve">that set out </w:t>
      </w:r>
      <w:r w:rsidR="00BE6FAA" w:rsidRPr="00CC6B86">
        <w:t>c</w:t>
      </w:r>
      <w:r w:rsidR="003B2616" w:rsidRPr="00CC6B86">
        <w:t xml:space="preserve">onditions </w:t>
      </w:r>
      <w:r w:rsidR="00877FE3">
        <w:t>for</w:t>
      </w:r>
      <w:r w:rsidR="00877FE3" w:rsidRPr="00CC6B86">
        <w:t xml:space="preserve"> </w:t>
      </w:r>
      <w:r w:rsidR="003B2616" w:rsidRPr="00CC6B86">
        <w:t>third</w:t>
      </w:r>
      <w:r w:rsidR="00877FE3">
        <w:t>-</w:t>
      </w:r>
      <w:r w:rsidR="003B2616" w:rsidRPr="00CC6B86">
        <w:t>party use</w:t>
      </w:r>
      <w:r>
        <w:t xml:space="preserve"> </w:t>
      </w:r>
      <w:r w:rsidR="00E4313C">
        <w:t xml:space="preserve">(section 68 of the Radiocommunications Act) </w:t>
      </w:r>
      <w:r w:rsidR="009F20D7">
        <w:t xml:space="preserve">also </w:t>
      </w:r>
      <w:r>
        <w:t>permit</w:t>
      </w:r>
      <w:r w:rsidR="00D138B0">
        <w:t xml:space="preserve"> a spectrum </w:t>
      </w:r>
      <w:r w:rsidR="009F20D7">
        <w:t xml:space="preserve">licensee </w:t>
      </w:r>
      <w:r w:rsidR="00D138B0">
        <w:t>to authorise other persons to operate radiocommunications devices under the</w:t>
      </w:r>
      <w:r w:rsidR="0069786B">
        <w:t xml:space="preserve"> spectrum</w:t>
      </w:r>
      <w:r w:rsidR="00D138B0">
        <w:t xml:space="preserve"> licence. The operation of devices by a third party must be in accordance with the conditions in the spectrum licence and any other rules made by the ACMA for third</w:t>
      </w:r>
      <w:r w:rsidR="00E4313C">
        <w:t>-</w:t>
      </w:r>
      <w:r w:rsidR="00D138B0">
        <w:t>party operations.</w:t>
      </w:r>
    </w:p>
    <w:p w14:paraId="646E3555" w14:textId="50FEA99F" w:rsidR="007B385B" w:rsidRDefault="00DB6B82" w:rsidP="004F5BED">
      <w:pPr>
        <w:pStyle w:val="Numberedparagraph"/>
        <w:keepLines/>
      </w:pPr>
      <w:r>
        <w:t>A</w:t>
      </w:r>
      <w:r w:rsidR="007B385B">
        <w:t xml:space="preserve">ny conditions of a spectrum licence can be revoked or varied, and further conditions included, with </w:t>
      </w:r>
      <w:r w:rsidR="00FE7F03">
        <w:t xml:space="preserve">or without </w:t>
      </w:r>
      <w:r w:rsidR="007B385B">
        <w:t>agreement of the licensee</w:t>
      </w:r>
      <w:r>
        <w:t xml:space="preserve"> (</w:t>
      </w:r>
      <w:r w:rsidR="00EB2AC0">
        <w:t>s</w:t>
      </w:r>
      <w:r>
        <w:t>ection</w:t>
      </w:r>
      <w:r w:rsidR="00FE7F03">
        <w:t>s</w:t>
      </w:r>
      <w:r>
        <w:t xml:space="preserve"> 72</w:t>
      </w:r>
      <w:r w:rsidR="00FE7F03">
        <w:t xml:space="preserve"> and 73</w:t>
      </w:r>
      <w:r>
        <w:t xml:space="preserve"> of </w:t>
      </w:r>
      <w:r w:rsidR="00DC60D1">
        <w:t>the Radiocommunications Act</w:t>
      </w:r>
      <w:r>
        <w:t>). However</w:t>
      </w:r>
      <w:r w:rsidR="007B385B">
        <w:t xml:space="preserve">, core conditions cannot be </w:t>
      </w:r>
      <w:r>
        <w:t xml:space="preserve">revoked or varied without agreement </w:t>
      </w:r>
      <w:r w:rsidR="009A68E0">
        <w:t xml:space="preserve">of the licensee </w:t>
      </w:r>
      <w:r>
        <w:t>(</w:t>
      </w:r>
      <w:r w:rsidR="009A68E0">
        <w:t>s</w:t>
      </w:r>
      <w:r>
        <w:t>ection 7</w:t>
      </w:r>
      <w:r w:rsidR="005329D8">
        <w:t>2</w:t>
      </w:r>
      <w:r>
        <w:t xml:space="preserve"> of </w:t>
      </w:r>
      <w:r w:rsidR="00DC60D1">
        <w:t>the Radiocommunications Act</w:t>
      </w:r>
      <w:r>
        <w:t xml:space="preserve">). </w:t>
      </w:r>
    </w:p>
    <w:p w14:paraId="0B703D3D" w14:textId="06B0E30C" w:rsidR="00951720" w:rsidRPr="00702EA1" w:rsidRDefault="00951720" w:rsidP="004F5BED">
      <w:pPr>
        <w:pStyle w:val="Heading2"/>
        <w:keepLines/>
      </w:pPr>
      <w:bookmarkStart w:id="27" w:name="_Toc148084739"/>
      <w:r>
        <w:lastRenderedPageBreak/>
        <w:t>Broadcasting services</w:t>
      </w:r>
      <w:bookmarkEnd w:id="27"/>
    </w:p>
    <w:p w14:paraId="03B289CE" w14:textId="09DF77A4" w:rsidR="009427DF" w:rsidRDefault="009427DF" w:rsidP="004F5BED">
      <w:pPr>
        <w:pStyle w:val="Numberedparagraph"/>
        <w:keepNext/>
        <w:keepLines/>
      </w:pPr>
      <w:r>
        <w:t xml:space="preserve">Spectrum planning for broadcasting services has </w:t>
      </w:r>
      <w:r w:rsidR="00297DCE">
        <w:t>several</w:t>
      </w:r>
      <w:r>
        <w:t xml:space="preserve"> </w:t>
      </w:r>
      <w:r w:rsidRPr="002A6181">
        <w:t xml:space="preserve">unique elements. </w:t>
      </w:r>
      <w:r w:rsidR="00EE714C">
        <w:t>T</w:t>
      </w:r>
      <w:r w:rsidR="00F532E1">
        <w:t xml:space="preserve">his case study is not broadly applicable across the spectrum planning framework. </w:t>
      </w:r>
      <w:r w:rsidRPr="002A6181">
        <w:t xml:space="preserve">Figure </w:t>
      </w:r>
      <w:r w:rsidR="00C84C71">
        <w:t>5</w:t>
      </w:r>
      <w:r w:rsidRPr="002A6181">
        <w:t xml:space="preserve"> illustrates the elements of the spectrum planning framework applicable to broadca</w:t>
      </w:r>
      <w:r>
        <w:t xml:space="preserve">sting services. </w:t>
      </w:r>
    </w:p>
    <w:p w14:paraId="598DF64B" w14:textId="71088D1A" w:rsidR="009427DF" w:rsidRDefault="00EE17AA" w:rsidP="009427DF">
      <w:pPr>
        <w:pStyle w:val="Figureheading"/>
      </w:pPr>
      <w:r>
        <w:t xml:space="preserve">Spectrum planning framework for broadcasting </w:t>
      </w:r>
      <w:proofErr w:type="gramStart"/>
      <w:r>
        <w:t>services</w:t>
      </w:r>
      <w:proofErr w:type="gramEnd"/>
    </w:p>
    <w:p w14:paraId="50064FF0" w14:textId="4F845BDB" w:rsidR="009427DF" w:rsidRDefault="00DA75CB" w:rsidP="009427DF">
      <w:pPr>
        <w:pStyle w:val="Numberedparagraph"/>
        <w:numPr>
          <w:ilvl w:val="0"/>
          <w:numId w:val="0"/>
        </w:numPr>
      </w:pPr>
      <w:r>
        <w:rPr>
          <w:noProof/>
        </w:rPr>
        <w:drawing>
          <wp:inline distT="0" distB="0" distL="0" distR="0" wp14:anchorId="23C4D021" wp14:editId="46BCFD1C">
            <wp:extent cx="4272808" cy="4231032"/>
            <wp:effectExtent l="0" t="0" r="0" b="0"/>
            <wp:docPr id="17" name="Picture 17" descr="Diagram i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is described in text."/>
                    <pic:cNvPicPr/>
                  </pic:nvPicPr>
                  <pic:blipFill>
                    <a:blip r:embed="rId106"/>
                    <a:stretch>
                      <a:fillRect/>
                    </a:stretch>
                  </pic:blipFill>
                  <pic:spPr>
                    <a:xfrm>
                      <a:off x="0" y="0"/>
                      <a:ext cx="4286128" cy="4244221"/>
                    </a:xfrm>
                    <a:prstGeom prst="rect">
                      <a:avLst/>
                    </a:prstGeom>
                  </pic:spPr>
                </pic:pic>
              </a:graphicData>
            </a:graphic>
          </wp:inline>
        </w:drawing>
      </w:r>
      <w:r w:rsidR="009427DF">
        <w:t xml:space="preserve"> </w:t>
      </w:r>
    </w:p>
    <w:p w14:paraId="211C6DE2" w14:textId="1BFD7F01" w:rsidR="007B064A" w:rsidRDefault="007B064A" w:rsidP="007B064A">
      <w:pPr>
        <w:pStyle w:val="Numberedparagraph"/>
      </w:pPr>
      <w:r>
        <w:t>The part(s) of the spectrum designated</w:t>
      </w:r>
      <w:r w:rsidR="00715F25">
        <w:t xml:space="preserve"> by the </w:t>
      </w:r>
      <w:r w:rsidR="00E4313C">
        <w:t>m</w:t>
      </w:r>
      <w:r w:rsidR="00715F25">
        <w:t>inister</w:t>
      </w:r>
      <w:r>
        <w:t xml:space="preserve"> under section 31 of </w:t>
      </w:r>
      <w:r w:rsidR="00DC60D1">
        <w:t>the Radiocommunications Act</w:t>
      </w:r>
      <w:r>
        <w:t xml:space="preserve"> is known as the ‘broadcasting services bands’ under the BSA. </w:t>
      </w:r>
      <w:r w:rsidR="00715F25" w:rsidRPr="00715F25">
        <w:t xml:space="preserve">The </w:t>
      </w:r>
      <w:r w:rsidR="00E4313C">
        <w:t>m</w:t>
      </w:r>
      <w:r w:rsidR="00715F25" w:rsidRPr="00715F25">
        <w:t>inister may, by legislative instrument, notify the ACMA that capacity in the broadcasting services bands is to be reserved for a specified number of national and community broadcasting services</w:t>
      </w:r>
      <w:r>
        <w:t>.</w:t>
      </w:r>
      <w:r w:rsidR="009427DF">
        <w:t xml:space="preserve"> This is an element of the band</w:t>
      </w:r>
      <w:r w:rsidR="00E4313C">
        <w:t xml:space="preserve"> </w:t>
      </w:r>
      <w:r w:rsidR="009427DF">
        <w:t xml:space="preserve">planning layer unique to broadcasting services. </w:t>
      </w:r>
    </w:p>
    <w:p w14:paraId="5AB04181" w14:textId="13CE669C" w:rsidR="007B064A" w:rsidRDefault="007B064A" w:rsidP="00365F3A">
      <w:pPr>
        <w:pStyle w:val="Numberedparagraph"/>
        <w:keepNext/>
        <w:keepLines/>
        <w:spacing w:after="80"/>
      </w:pPr>
      <w:r>
        <w:t>With effect from 1 January 2015</w:t>
      </w:r>
      <w:r w:rsidR="003F78AB">
        <w:rPr>
          <w:rStyle w:val="FootnoteReference"/>
        </w:rPr>
        <w:footnoteReference w:id="27"/>
      </w:r>
      <w:r>
        <w:t>, the broadcasting services bands are:</w:t>
      </w:r>
    </w:p>
    <w:p w14:paraId="36CDD9DD" w14:textId="66FE0AD9" w:rsidR="007B064A" w:rsidRDefault="007B064A" w:rsidP="000A5F6C">
      <w:pPr>
        <w:pStyle w:val="Bulletlevel1"/>
        <w:keepNext/>
        <w:keepLines/>
      </w:pPr>
      <w:r>
        <w:t>526.5</w:t>
      </w:r>
      <w:r w:rsidR="00E4313C">
        <w:t>–</w:t>
      </w:r>
      <w:r>
        <w:t>1 606.5 kHz</w:t>
      </w:r>
    </w:p>
    <w:p w14:paraId="122BD19F" w14:textId="1BC3263D" w:rsidR="007B064A" w:rsidRDefault="007B064A" w:rsidP="000A5F6C">
      <w:pPr>
        <w:pStyle w:val="Bulletlevel1"/>
        <w:keepNext/>
        <w:keepLines/>
      </w:pPr>
      <w:r>
        <w:t>45</w:t>
      </w:r>
      <w:r w:rsidR="00E4313C">
        <w:t>–</w:t>
      </w:r>
      <w:r>
        <w:t>52 MHz and 56</w:t>
      </w:r>
      <w:r w:rsidR="00E4313C">
        <w:t>–</w:t>
      </w:r>
      <w:r>
        <w:t>70 MHz (Band I)</w:t>
      </w:r>
    </w:p>
    <w:p w14:paraId="36158E8A" w14:textId="289EB9B8" w:rsidR="007B064A" w:rsidRDefault="007B064A" w:rsidP="000A5F6C">
      <w:pPr>
        <w:pStyle w:val="Bulletlevel1"/>
        <w:keepNext/>
        <w:keepLines/>
      </w:pPr>
      <w:r>
        <w:t>85</w:t>
      </w:r>
      <w:r w:rsidR="00E4313C">
        <w:t>–</w:t>
      </w:r>
      <w:r>
        <w:t>108 MHz (Band II)</w:t>
      </w:r>
    </w:p>
    <w:p w14:paraId="740A0C70" w14:textId="6C478D3A" w:rsidR="007B064A" w:rsidRDefault="007B064A" w:rsidP="007B064A">
      <w:pPr>
        <w:pStyle w:val="Bulletlevel1"/>
      </w:pPr>
      <w:r>
        <w:t>137</w:t>
      </w:r>
      <w:r w:rsidR="00E4313C">
        <w:t>–</w:t>
      </w:r>
      <w:r>
        <w:t>144 MHz (channel 5A)</w:t>
      </w:r>
    </w:p>
    <w:p w14:paraId="408C0964" w14:textId="1001CB8E" w:rsidR="007B064A" w:rsidRDefault="007B064A" w:rsidP="007B064A">
      <w:pPr>
        <w:pStyle w:val="Bulletlevel1"/>
      </w:pPr>
      <w:r>
        <w:t>174</w:t>
      </w:r>
      <w:r w:rsidR="00E4313C">
        <w:t>–</w:t>
      </w:r>
      <w:r>
        <w:t>230 MHz (Band III)</w:t>
      </w:r>
    </w:p>
    <w:p w14:paraId="57511FF6" w14:textId="2FEAC634" w:rsidR="007B064A" w:rsidRDefault="007B064A" w:rsidP="007B064A">
      <w:pPr>
        <w:pStyle w:val="Bulletlevel1last"/>
      </w:pPr>
      <w:r>
        <w:t>520</w:t>
      </w:r>
      <w:r w:rsidR="00E4313C">
        <w:t>–</w:t>
      </w:r>
      <w:r>
        <w:t>694 MHz (Bands IV and V)</w:t>
      </w:r>
      <w:r w:rsidR="00FA7C2E" w:rsidRPr="00B201FB">
        <w:t>.</w:t>
      </w:r>
    </w:p>
    <w:p w14:paraId="321124DA" w14:textId="599F74C6" w:rsidR="00EE17AA" w:rsidRDefault="00EE17AA" w:rsidP="007B064A">
      <w:pPr>
        <w:pStyle w:val="Numberedparagraph"/>
      </w:pPr>
      <w:r>
        <w:lastRenderedPageBreak/>
        <w:t xml:space="preserve">As well as being designated as being primarily for broadcasting purposes under section 31 of </w:t>
      </w:r>
      <w:r w:rsidR="00DC60D1">
        <w:t>the Radiocommunications Act</w:t>
      </w:r>
      <w:r>
        <w:t xml:space="preserve">, these bands have primary allocations to the broadcasting service in the Spectrum Plan. </w:t>
      </w:r>
    </w:p>
    <w:p w14:paraId="5828E597" w14:textId="6C6E49B5" w:rsidR="007B064A" w:rsidRDefault="007B064A" w:rsidP="007B064A">
      <w:pPr>
        <w:pStyle w:val="Numberedparagraph"/>
      </w:pPr>
      <w:r>
        <w:t xml:space="preserve">Radiocommunication licences issued to </w:t>
      </w:r>
      <w:r w:rsidR="004248AC">
        <w:t>a</w:t>
      </w:r>
      <w:r>
        <w:t xml:space="preserve"> broadcasting service authorise use in bands allocated as the broadcasting service</w:t>
      </w:r>
      <w:r w:rsidR="00A528DE">
        <w:t>s</w:t>
      </w:r>
      <w:r>
        <w:t xml:space="preserve"> bands and in accordance with the </w:t>
      </w:r>
      <w:r w:rsidRPr="00CC1B16">
        <w:t>Broadcasting Services (Technical Planning) Guidelines 2017</w:t>
      </w:r>
      <w:r w:rsidR="00EE17AA">
        <w:t xml:space="preserve"> (</w:t>
      </w:r>
      <w:r w:rsidR="007636A8">
        <w:t>see paragraphs 4.</w:t>
      </w:r>
      <w:r w:rsidR="000A5F6C">
        <w:t>47</w:t>
      </w:r>
      <w:r w:rsidR="007636A8">
        <w:t xml:space="preserve"> to 4.</w:t>
      </w:r>
      <w:r w:rsidR="000A5F6C">
        <w:t>48</w:t>
      </w:r>
      <w:r w:rsidR="00EE17AA">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117"/>
      </w:tblGrid>
      <w:tr w:rsidR="000B1191" w14:paraId="63F4B731" w14:textId="77777777" w:rsidTr="00365F3A">
        <w:tc>
          <w:tcPr>
            <w:tcW w:w="3544" w:type="dxa"/>
            <w:vAlign w:val="center"/>
          </w:tcPr>
          <w:p w14:paraId="46A5D8DE" w14:textId="453B7BA7" w:rsidR="000B1191" w:rsidRDefault="000B1191" w:rsidP="00365F3A">
            <w:pPr>
              <w:pStyle w:val="Heading3"/>
              <w:keepLines/>
              <w:spacing w:before="0" w:after="0"/>
            </w:pPr>
            <w:r>
              <w:t>Digital radio channel plans (DRCPs)</w:t>
            </w:r>
          </w:p>
        </w:tc>
        <w:tc>
          <w:tcPr>
            <w:tcW w:w="4117" w:type="dxa"/>
          </w:tcPr>
          <w:p w14:paraId="637D961D" w14:textId="2291CED9" w:rsidR="000B1191" w:rsidRDefault="000579EB" w:rsidP="00365F3A">
            <w:pPr>
              <w:pStyle w:val="ACMABodyText"/>
              <w:spacing w:before="0" w:after="0"/>
            </w:pPr>
            <w:r>
              <w:object w:dxaOrig="5805" w:dyaOrig="5775" w14:anchorId="19E19BCA">
                <v:shape id="_x0000_i1063" type="#_x0000_t75" alt="Blue symbol with BP" style="width:29.3pt;height:29.15pt" o:ole="">
                  <v:imagedata r:id="rId52" o:title=""/>
                </v:shape>
                <o:OLEObject Type="Embed" ProgID="PBrush" ShapeID="_x0000_i1063" DrawAspect="Content" ObjectID="_1758697772" r:id="rId107"/>
              </w:object>
            </w:r>
          </w:p>
        </w:tc>
      </w:tr>
    </w:tbl>
    <w:p w14:paraId="5076C316" w14:textId="27D1697E" w:rsidR="000A5F6C" w:rsidRDefault="00ED4FD9" w:rsidP="000A5F6C">
      <w:pPr>
        <w:pStyle w:val="Numberedparagraph"/>
      </w:pPr>
      <w:r>
        <w:t xml:space="preserve">Another element of the band planning layer for broadcasting services is digital radio channel plans. </w:t>
      </w:r>
      <w:r w:rsidR="007B064A">
        <w:t xml:space="preserve">While most aspects relating to planning </w:t>
      </w:r>
      <w:r w:rsidR="00CD35CA">
        <w:t xml:space="preserve">of </w:t>
      </w:r>
      <w:r w:rsidR="007B064A">
        <w:t>the broadcast</w:t>
      </w:r>
      <w:r w:rsidR="00CD35CA">
        <w:t>ing</w:t>
      </w:r>
      <w:r w:rsidR="007B064A">
        <w:t xml:space="preserve"> service</w:t>
      </w:r>
      <w:r w:rsidR="00CD35CA">
        <w:t>s bands</w:t>
      </w:r>
      <w:r w:rsidR="007B064A">
        <w:t xml:space="preserve"> are governed by section 3 of the BSA, provisions to develop </w:t>
      </w:r>
      <w:r w:rsidR="009A4BA6">
        <w:t>DRCPs</w:t>
      </w:r>
      <w:r w:rsidR="007B064A">
        <w:t xml:space="preserve"> </w:t>
      </w:r>
      <w:r w:rsidR="00EE714C">
        <w:t>form</w:t>
      </w:r>
      <w:r w:rsidR="007B064A">
        <w:t xml:space="preserve"> part of </w:t>
      </w:r>
      <w:r w:rsidR="00DC60D1">
        <w:t>the Radiocommunications Act</w:t>
      </w:r>
      <w:r w:rsidR="007B064A">
        <w:t xml:space="preserve">. </w:t>
      </w:r>
      <w:r w:rsidR="000A5F6C">
        <w:t>The purpose of a digital radio channel plan is to allot frequency channel(s) for use by digital radio multiplex transmitter licensees.</w:t>
      </w:r>
    </w:p>
    <w:p w14:paraId="559A77AD" w14:textId="2AFD75BA" w:rsidR="007B064A" w:rsidRDefault="00E4313C" w:rsidP="007B064A">
      <w:pPr>
        <w:pStyle w:val="Numberedparagraph"/>
      </w:pPr>
      <w:r>
        <w:t>Before</w:t>
      </w:r>
      <w:r w:rsidR="007B064A">
        <w:t xml:space="preserve"> the ACMA </w:t>
      </w:r>
      <w:r>
        <w:t xml:space="preserve">issues </w:t>
      </w:r>
      <w:r w:rsidR="007B064A">
        <w:t>a digital radio multiplex transmitter licence for a designated BSA radio area</w:t>
      </w:r>
      <w:r w:rsidR="007B064A" w:rsidRPr="00E24CF0">
        <w:rPr>
          <w:rStyle w:val="FootnoteReference"/>
          <w:szCs w:val="20"/>
        </w:rPr>
        <w:footnoteReference w:id="28"/>
      </w:r>
      <w:r w:rsidR="007B064A">
        <w:t xml:space="preserve">, the ACMA must prepare a digital radio channel plan in accordance with subsection 44A(1) of </w:t>
      </w:r>
      <w:r w:rsidR="00DC60D1">
        <w:t>the Radiocommunications Act</w:t>
      </w:r>
      <w:r w:rsidR="007B064A">
        <w:t xml:space="preserve">. </w:t>
      </w:r>
    </w:p>
    <w:p w14:paraId="44B1F85E" w14:textId="6827E668" w:rsidR="007B064A" w:rsidRDefault="007B064A" w:rsidP="007B064A">
      <w:pPr>
        <w:pStyle w:val="Numberedparagraph"/>
      </w:pPr>
      <w:r>
        <w:t xml:space="preserve">The </w:t>
      </w:r>
      <w:r w:rsidR="00C3129A">
        <w:t xml:space="preserve">digital radio channel </w:t>
      </w:r>
      <w:r>
        <w:t xml:space="preserve">plan must be consistent with the </w:t>
      </w:r>
      <w:r w:rsidR="0058223F">
        <w:t>S</w:t>
      </w:r>
      <w:r>
        <w:t xml:space="preserve">pectrum </w:t>
      </w:r>
      <w:r w:rsidR="0058223F">
        <w:t>P</w:t>
      </w:r>
      <w:r>
        <w:t>lan, any relevant frequency band plans and any relevant licence area plans prepared under section 26 of the BSA.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5109"/>
      </w:tblGrid>
      <w:tr w:rsidR="000B1191" w14:paraId="61BC487A" w14:textId="77777777" w:rsidTr="00A2558A">
        <w:tc>
          <w:tcPr>
            <w:tcW w:w="2552" w:type="dxa"/>
            <w:vAlign w:val="center"/>
          </w:tcPr>
          <w:p w14:paraId="74C79367" w14:textId="7C1338D9" w:rsidR="000B1191" w:rsidRDefault="000B1191" w:rsidP="00365F3A">
            <w:pPr>
              <w:pStyle w:val="Heading3"/>
              <w:spacing w:before="0" w:after="0"/>
            </w:pPr>
            <w:r>
              <w:t>Licence area plans (LAPs)</w:t>
            </w:r>
          </w:p>
        </w:tc>
        <w:tc>
          <w:tcPr>
            <w:tcW w:w="5109" w:type="dxa"/>
          </w:tcPr>
          <w:p w14:paraId="276ED3B3" w14:textId="6C10FD66" w:rsidR="000B1191" w:rsidRDefault="000579EB" w:rsidP="00365F3A">
            <w:pPr>
              <w:pStyle w:val="ACMABodyText"/>
              <w:spacing w:before="0" w:after="0"/>
            </w:pPr>
            <w:r>
              <w:object w:dxaOrig="5805" w:dyaOrig="5775" w14:anchorId="4ACEA61D">
                <v:shape id="_x0000_i1064" type="#_x0000_t75" alt="Blue symbol with BP" style="width:29.3pt;height:29.15pt" o:ole="">
                  <v:imagedata r:id="rId52" o:title=""/>
                </v:shape>
                <o:OLEObject Type="Embed" ProgID="PBrush" ShapeID="_x0000_i1064" DrawAspect="Content" ObjectID="_1758697773" r:id="rId108"/>
              </w:object>
            </w:r>
          </w:p>
        </w:tc>
      </w:tr>
    </w:tbl>
    <w:p w14:paraId="319C17AA" w14:textId="71E44CA8" w:rsidR="002530EE" w:rsidRDefault="00E4313C" w:rsidP="007B064A">
      <w:pPr>
        <w:pStyle w:val="Numberedparagraph"/>
      </w:pPr>
      <w:r>
        <w:t>LAPs</w:t>
      </w:r>
      <w:r w:rsidR="00973BBA">
        <w:t xml:space="preserve"> form part of the band </w:t>
      </w:r>
      <w:r w:rsidR="00ED4FD9">
        <w:t xml:space="preserve">planning layer for broadcasting services. </w:t>
      </w:r>
      <w:r w:rsidR="007B064A">
        <w:t xml:space="preserve">Planning of free-to-air broadcasting, in the broadcasting services bands, for individual licence areas in Australia is prescribed in a LAP made under subsection 26(1) of the BSA. </w:t>
      </w:r>
    </w:p>
    <w:p w14:paraId="4C7AA6EA" w14:textId="0DD16E9A" w:rsidR="007B064A" w:rsidRDefault="00E4313C" w:rsidP="007B064A">
      <w:pPr>
        <w:pStyle w:val="Numberedparagraph"/>
      </w:pPr>
      <w:r>
        <w:t xml:space="preserve">After </w:t>
      </w:r>
      <w:r w:rsidR="007B064A">
        <w:t xml:space="preserve">consultation with affected stakeholders, the ACMA makes </w:t>
      </w:r>
      <w:r w:rsidR="005B1E36">
        <w:t>a</w:t>
      </w:r>
      <w:r w:rsidR="007B064A">
        <w:t xml:space="preserve"> LAP for one or more licence areas</w:t>
      </w:r>
      <w:r w:rsidR="0018143F">
        <w:t xml:space="preserve"> that is</w:t>
      </w:r>
      <w:r w:rsidR="007B064A">
        <w:t xml:space="preserve"> applicable to all AM</w:t>
      </w:r>
      <w:r w:rsidR="00643B97">
        <w:t xml:space="preserve"> and </w:t>
      </w:r>
      <w:r w:rsidR="007B064A">
        <w:t xml:space="preserve">FM radio </w:t>
      </w:r>
      <w:r w:rsidR="00643B97">
        <w:t xml:space="preserve">services </w:t>
      </w:r>
      <w:r w:rsidR="00692618">
        <w:t>or</w:t>
      </w:r>
      <w:r w:rsidR="007B064A">
        <w:t xml:space="preserve"> </w:t>
      </w:r>
      <w:r w:rsidR="00C30F08">
        <w:t xml:space="preserve">all </w:t>
      </w:r>
      <w:r w:rsidR="007B064A">
        <w:t>VHF</w:t>
      </w:r>
      <w:r w:rsidR="00643B97">
        <w:t xml:space="preserve"> and </w:t>
      </w:r>
      <w:r w:rsidR="007B064A">
        <w:t>UHF television services. Each LAP contains the technical characteristics of the licence area, as well as referencing the</w:t>
      </w:r>
      <w:r w:rsidR="00B20AE0" w:rsidRPr="00B20AE0">
        <w:rPr>
          <w:i/>
          <w:iCs/>
        </w:rPr>
        <w:t xml:space="preserve"> </w:t>
      </w:r>
      <w:r w:rsidR="00B20AE0" w:rsidRPr="00CC1B16">
        <w:t>Broadcasting Services (Technical Planning) Guidelines 2017</w:t>
      </w:r>
      <w:r w:rsidR="007B064A">
        <w:t xml:space="preserve"> (see </w:t>
      </w:r>
      <w:r w:rsidR="007636A8">
        <w:t>paragraphs 4.5</w:t>
      </w:r>
      <w:r w:rsidR="00960A8A">
        <w:t>1</w:t>
      </w:r>
      <w:r>
        <w:t>–</w:t>
      </w:r>
      <w:r w:rsidR="007636A8">
        <w:t>4.5</w:t>
      </w:r>
      <w:r w:rsidR="00960A8A">
        <w:t>3</w:t>
      </w:r>
      <w:r w:rsidR="007B064A">
        <w:t xml:space="preserve">), that together form the non-negotiable envelope </w:t>
      </w:r>
      <w:r w:rsidR="001900A7">
        <w:t xml:space="preserve">that </w:t>
      </w:r>
      <w:r w:rsidR="007B064A">
        <w:t xml:space="preserve">broadcasting licensees </w:t>
      </w:r>
      <w:r w:rsidR="00973BBA">
        <w:t>must operate within</w:t>
      </w:r>
      <w:r w:rsidR="007B06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gridCol w:w="1991"/>
      </w:tblGrid>
      <w:tr w:rsidR="000B1191" w14:paraId="5BD55612" w14:textId="77777777" w:rsidTr="000B1191">
        <w:tc>
          <w:tcPr>
            <w:tcW w:w="5670" w:type="dxa"/>
            <w:vAlign w:val="center"/>
          </w:tcPr>
          <w:p w14:paraId="6EB4B66A" w14:textId="55000F08" w:rsidR="000B1191" w:rsidRDefault="000B1191" w:rsidP="00365F3A">
            <w:pPr>
              <w:pStyle w:val="Heading3"/>
              <w:spacing w:before="0" w:after="0"/>
            </w:pPr>
            <w:r>
              <w:t>Technical planning parameters and methods for terrestrial broadcasting (TPPMs)</w:t>
            </w:r>
          </w:p>
        </w:tc>
        <w:tc>
          <w:tcPr>
            <w:tcW w:w="1991" w:type="dxa"/>
            <w:vAlign w:val="center"/>
          </w:tcPr>
          <w:p w14:paraId="25C6EF41" w14:textId="14E44733" w:rsidR="000B1191" w:rsidRDefault="000579EB" w:rsidP="00365F3A">
            <w:pPr>
              <w:pStyle w:val="ACMABodyText"/>
              <w:spacing w:before="0" w:after="0"/>
            </w:pPr>
            <w:r>
              <w:object w:dxaOrig="4440" w:dyaOrig="4440" w14:anchorId="0D629F9B">
                <v:shape id="_x0000_i1065" type="#_x0000_t75" alt="Peach symbol with BP" style="width:29.3pt;height:29.3pt" o:ole="">
                  <v:imagedata r:id="rId54" o:title=""/>
                </v:shape>
                <o:OLEObject Type="Embed" ProgID="PBrush" ShapeID="_x0000_i1065" DrawAspect="Content" ObjectID="_1758697774" r:id="rId109"/>
              </w:object>
            </w:r>
            <w:r w:rsidR="000B1191">
              <w:t xml:space="preserve"> </w:t>
            </w:r>
            <w:r>
              <w:object w:dxaOrig="8670" w:dyaOrig="8715" w14:anchorId="6792E51F">
                <v:shape id="_x0000_i1066" type="#_x0000_t75" alt="Peach symbol with FA" style="width:28.6pt;height:29.2pt" o:ole="">
                  <v:imagedata r:id="rId58" o:title=""/>
                </v:shape>
                <o:OLEObject Type="Embed" ProgID="PBrush" ShapeID="_x0000_i1066" DrawAspect="Content" ObjectID="_1758697775" r:id="rId110"/>
              </w:object>
            </w:r>
          </w:p>
        </w:tc>
      </w:tr>
    </w:tbl>
    <w:p w14:paraId="02C58671" w14:textId="7F213531" w:rsidR="00973BBA" w:rsidRDefault="005C6677" w:rsidP="00365F3A">
      <w:pPr>
        <w:pStyle w:val="Numberedparagraphbeforelist"/>
        <w:spacing w:after="240"/>
      </w:pPr>
      <w:hyperlink r:id="rId111" w:history="1">
        <w:r w:rsidR="001900A7">
          <w:rPr>
            <w:rStyle w:val="Hyperlink"/>
          </w:rPr>
          <w:t>TPPMs</w:t>
        </w:r>
      </w:hyperlink>
      <w:r w:rsidR="001900A7">
        <w:t xml:space="preserve"> </w:t>
      </w:r>
      <w:r w:rsidR="005614A7">
        <w:t>are</w:t>
      </w:r>
      <w:r w:rsidR="00973BBA">
        <w:t xml:space="preserve"> element</w:t>
      </w:r>
      <w:r w:rsidR="005614A7">
        <w:t>s</w:t>
      </w:r>
      <w:r w:rsidR="00973BBA">
        <w:t xml:space="preserve"> of the spectrum planning framework for broadcasting services</w:t>
      </w:r>
      <w:r w:rsidR="001900A7">
        <w:t xml:space="preserve"> and </w:t>
      </w:r>
      <w:r w:rsidR="00973BBA">
        <w:t>ha</w:t>
      </w:r>
      <w:r w:rsidR="005614A7">
        <w:t>ve</w:t>
      </w:r>
      <w:r w:rsidR="00973BBA">
        <w:t xml:space="preserve"> both band planning and frequency assignment functions. </w:t>
      </w:r>
    </w:p>
    <w:p w14:paraId="692C54D6" w14:textId="4C2291B3" w:rsidR="00EE17AA" w:rsidRDefault="00973BBA" w:rsidP="00EE17AA">
      <w:pPr>
        <w:pStyle w:val="Numberedparagraph"/>
      </w:pPr>
      <w:r>
        <w:t>TPPM</w:t>
      </w:r>
      <w:r w:rsidR="009E48D9">
        <w:t>s are</w:t>
      </w:r>
      <w:r>
        <w:t xml:space="preserve"> a collection </w:t>
      </w:r>
      <w:r w:rsidR="00EE17AA">
        <w:t xml:space="preserve">of planning practices and methods that are used to assist broadcasters, planning consultants and operators in the design of transmitting facilities or the preparation of planning submissions to the ACMA. They are based on ITU-R </w:t>
      </w:r>
      <w:r w:rsidR="001900A7">
        <w:t>r</w:t>
      </w:r>
      <w:r w:rsidR="00EE17AA">
        <w:t xml:space="preserve">ecommendations and </w:t>
      </w:r>
      <w:r w:rsidR="001900A7">
        <w:t>r</w:t>
      </w:r>
      <w:r w:rsidR="00EE17AA">
        <w:t xml:space="preserve">eports, as well as planning practices developed </w:t>
      </w:r>
      <w:r w:rsidR="00840D8F">
        <w:t xml:space="preserve">internationally </w:t>
      </w:r>
      <w:r w:rsidR="001900A7">
        <w:t>including</w:t>
      </w:r>
      <w:r w:rsidR="00840D8F">
        <w:t xml:space="preserve"> </w:t>
      </w:r>
      <w:r w:rsidR="00EE17AA">
        <w:t xml:space="preserve">in </w:t>
      </w:r>
      <w:r w:rsidR="001900A7">
        <w:t xml:space="preserve">the US, </w:t>
      </w:r>
      <w:r w:rsidR="00EE17AA">
        <w:t xml:space="preserve">Europe and </w:t>
      </w:r>
      <w:r w:rsidR="001959EC">
        <w:t xml:space="preserve">the </w:t>
      </w:r>
      <w:r w:rsidR="001900A7">
        <w:t>UK</w:t>
      </w:r>
      <w:r w:rsidR="00EE17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3833"/>
      </w:tblGrid>
      <w:tr w:rsidR="000B1191" w14:paraId="4DE853F6" w14:textId="77777777" w:rsidTr="000B1191">
        <w:tc>
          <w:tcPr>
            <w:tcW w:w="3828" w:type="dxa"/>
            <w:vAlign w:val="center"/>
          </w:tcPr>
          <w:p w14:paraId="4F1D6166" w14:textId="204A98AD" w:rsidR="000B1191" w:rsidRDefault="000B1191" w:rsidP="005F0870">
            <w:pPr>
              <w:pStyle w:val="Heading3"/>
              <w:spacing w:before="0" w:after="0"/>
            </w:pPr>
            <w:r>
              <w:lastRenderedPageBreak/>
              <w:t>Broadcast planning instructions (BPI</w:t>
            </w:r>
            <w:r w:rsidR="001900A7">
              <w:t>s</w:t>
            </w:r>
            <w:r>
              <w:t>)</w:t>
            </w:r>
          </w:p>
        </w:tc>
        <w:tc>
          <w:tcPr>
            <w:tcW w:w="3833" w:type="dxa"/>
            <w:vAlign w:val="center"/>
          </w:tcPr>
          <w:p w14:paraId="352E57BA" w14:textId="58BC58A8" w:rsidR="000B1191" w:rsidRDefault="000579EB" w:rsidP="005F0870">
            <w:pPr>
              <w:pStyle w:val="ACMABodyText"/>
              <w:keepNext/>
              <w:spacing w:before="0" w:after="0"/>
            </w:pPr>
            <w:r>
              <w:object w:dxaOrig="4440" w:dyaOrig="4440" w14:anchorId="067E40C9">
                <v:shape id="_x0000_i1067" type="#_x0000_t75" alt="Peach symbol with BP" style="width:29.3pt;height:29.3pt" o:ole="">
                  <v:imagedata r:id="rId54" o:title=""/>
                </v:shape>
                <o:OLEObject Type="Embed" ProgID="PBrush" ShapeID="_x0000_i1067" DrawAspect="Content" ObjectID="_1758697776" r:id="rId112"/>
              </w:object>
            </w:r>
            <w:r w:rsidR="000B1191">
              <w:t xml:space="preserve"> </w:t>
            </w:r>
            <w:r>
              <w:object w:dxaOrig="8670" w:dyaOrig="8715" w14:anchorId="1A872EDC">
                <v:shape id="_x0000_i1068" type="#_x0000_t75" alt="Peach symbol with FA" style="width:28.6pt;height:29.2pt" o:ole="">
                  <v:imagedata r:id="rId58" o:title=""/>
                </v:shape>
                <o:OLEObject Type="Embed" ProgID="PBrush" ShapeID="_x0000_i1068" DrawAspect="Content" ObjectID="_1758697777" r:id="rId113"/>
              </w:object>
            </w:r>
          </w:p>
        </w:tc>
      </w:tr>
    </w:tbl>
    <w:p w14:paraId="5015C6AE" w14:textId="35458B7F" w:rsidR="00ED4FD9" w:rsidRDefault="00973BBA" w:rsidP="005F0870">
      <w:pPr>
        <w:pStyle w:val="Numberedparagraph"/>
        <w:keepNext/>
        <w:spacing w:after="80"/>
      </w:pPr>
      <w:r>
        <w:t xml:space="preserve">BPIs straddle </w:t>
      </w:r>
      <w:r w:rsidR="00ED4FD9">
        <w:t xml:space="preserve">both the </w:t>
      </w:r>
      <w:r w:rsidR="002A6181">
        <w:t>band planning and frequency assignment</w:t>
      </w:r>
      <w:r w:rsidR="00ED4FD9">
        <w:t xml:space="preserve"> </w:t>
      </w:r>
      <w:r w:rsidR="00031C40">
        <w:t xml:space="preserve">aspects </w:t>
      </w:r>
      <w:r w:rsidR="00ED4FD9">
        <w:t xml:space="preserve">of the spectrum planning framework for broadcasting services. </w:t>
      </w:r>
    </w:p>
    <w:p w14:paraId="25587B7A" w14:textId="40AF8C95" w:rsidR="00266957" w:rsidRDefault="00973BBA" w:rsidP="005F0870">
      <w:pPr>
        <w:pStyle w:val="Numberedparagraph"/>
        <w:keepNext/>
      </w:pPr>
      <w:r>
        <w:t xml:space="preserve">BPIs are </w:t>
      </w:r>
      <w:r w:rsidR="007B064A">
        <w:t xml:space="preserve">used to clarify existing, new or amended planning practices </w:t>
      </w:r>
      <w:r w:rsidR="006B7880">
        <w:t>for</w:t>
      </w:r>
      <w:r w:rsidR="007B064A">
        <w:t xml:space="preserve"> broadcasting service</w:t>
      </w:r>
      <w:r w:rsidR="006B7880">
        <w:t>s</w:t>
      </w:r>
      <w:r w:rsidR="007B064A">
        <w:t xml:space="preserve">. Presently, </w:t>
      </w:r>
      <w:r w:rsidR="00EA2DC5">
        <w:t xml:space="preserve">there are </w:t>
      </w:r>
      <w:hyperlink r:id="rId114" w:history="1">
        <w:r w:rsidR="0027793C">
          <w:rPr>
            <w:rStyle w:val="Hyperlink"/>
          </w:rPr>
          <w:t>11 BPIs</w:t>
        </w:r>
      </w:hyperlink>
      <w:r w:rsidR="007B064A">
        <w:t xml:space="preserve"> that address a range of matters</w:t>
      </w:r>
      <w:r w:rsidR="0027793C">
        <w:t>,</w:t>
      </w:r>
      <w:r w:rsidR="007B064A">
        <w:t xml:space="preserve"> including the Geocentric Datum of Australia (GDA), specifying antenna radiation patterns for inclusion in the </w:t>
      </w:r>
      <w:hyperlink r:id="rId115" w:history="1">
        <w:r w:rsidR="0016580A" w:rsidRPr="00411BA8">
          <w:rPr>
            <w:rStyle w:val="Hyperlink"/>
          </w:rPr>
          <w:t>Register of Radiocommunications Licences</w:t>
        </w:r>
      </w:hyperlink>
      <w:r w:rsidR="007B064A">
        <w:t>, antenna directivity and cross polarisation discrimination.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3975"/>
      </w:tblGrid>
      <w:tr w:rsidR="000B1191" w14:paraId="417C1A42" w14:textId="77777777" w:rsidTr="00A2558A">
        <w:tc>
          <w:tcPr>
            <w:tcW w:w="3686" w:type="dxa"/>
            <w:vAlign w:val="center"/>
          </w:tcPr>
          <w:p w14:paraId="4FD1A526" w14:textId="0D04A77D" w:rsidR="000B1191" w:rsidRDefault="000B1191" w:rsidP="00365F3A">
            <w:pPr>
              <w:pStyle w:val="Heading3"/>
              <w:spacing w:before="0" w:after="0"/>
            </w:pPr>
            <w:r w:rsidRPr="008161E6">
              <w:t>Technical planning guidelines (TPGs)</w:t>
            </w:r>
          </w:p>
        </w:tc>
        <w:tc>
          <w:tcPr>
            <w:tcW w:w="3975" w:type="dxa"/>
            <w:vAlign w:val="center"/>
          </w:tcPr>
          <w:p w14:paraId="38B98DA7" w14:textId="292EAF5E" w:rsidR="000B1191" w:rsidRDefault="000579EB" w:rsidP="00365F3A">
            <w:pPr>
              <w:pStyle w:val="ACMABodyText"/>
              <w:spacing w:before="0" w:after="0"/>
            </w:pPr>
            <w:r w:rsidRPr="008161E6">
              <w:object w:dxaOrig="8670" w:dyaOrig="8640" w14:anchorId="311B54E2">
                <v:shape id="_x0000_i1069" type="#_x0000_t75" alt="Blue symbol with FA" style="width:28.6pt;height:29.4pt" o:ole="">
                  <v:imagedata r:id="rId56" o:title=""/>
                </v:shape>
                <o:OLEObject Type="Embed" ProgID="PBrush" ShapeID="_x0000_i1069" DrawAspect="Content" ObjectID="_1758697778" r:id="rId116"/>
              </w:object>
            </w:r>
            <w:r w:rsidR="000B1191">
              <w:t xml:space="preserve"> </w:t>
            </w:r>
            <w:r w:rsidRPr="008161E6">
              <w:object w:dxaOrig="8625" w:dyaOrig="8640" w14:anchorId="7E785B1A">
                <v:shape id="_x0000_i1070" type="#_x0000_t75" alt="Blue symbol with LC" style="width:29.3pt;height:29.4pt" o:ole="">
                  <v:imagedata r:id="rId60" o:title=""/>
                </v:shape>
                <o:OLEObject Type="Embed" ProgID="PBrush" ShapeID="_x0000_i1070" DrawAspect="Content" ObjectID="_1758697779" r:id="rId117"/>
              </w:object>
            </w:r>
          </w:p>
        </w:tc>
      </w:tr>
    </w:tbl>
    <w:p w14:paraId="65C3F5BC" w14:textId="101D203E" w:rsidR="0042771A" w:rsidRPr="008161E6" w:rsidRDefault="0042771A" w:rsidP="007E0151">
      <w:pPr>
        <w:pStyle w:val="Numberedparagraph"/>
      </w:pPr>
      <w:r w:rsidRPr="008161E6">
        <w:t>TPGs</w:t>
      </w:r>
      <w:r w:rsidR="00B53400">
        <w:t xml:space="preserve"> </w:t>
      </w:r>
      <w:r w:rsidRPr="008161E6">
        <w:t xml:space="preserve">are published as the </w:t>
      </w:r>
      <w:hyperlink r:id="rId118" w:history="1">
        <w:r w:rsidRPr="00CC1B16">
          <w:rPr>
            <w:rStyle w:val="Hyperlink"/>
          </w:rPr>
          <w:t>Broadcasting Services (Technical Planning) Guidelines 2017</w:t>
        </w:r>
      </w:hyperlink>
      <w:r w:rsidRPr="008161E6">
        <w:t xml:space="preserve">, and </w:t>
      </w:r>
      <w:r w:rsidR="00756875">
        <w:t xml:space="preserve">are </w:t>
      </w:r>
      <w:r w:rsidRPr="008161E6">
        <w:t xml:space="preserve">made under section 33 of the BSA. </w:t>
      </w:r>
      <w:r w:rsidR="008161E6" w:rsidRPr="008161E6">
        <w:t>TPGs are a legislative instrument and has both frequency assignment and licence condition functions.</w:t>
      </w:r>
    </w:p>
    <w:p w14:paraId="29B7275B" w14:textId="1E1DDB79" w:rsidR="0042771A" w:rsidRPr="008161E6" w:rsidRDefault="008161E6" w:rsidP="007E0151">
      <w:pPr>
        <w:pStyle w:val="Numberedparagraph"/>
      </w:pPr>
      <w:r w:rsidRPr="008161E6">
        <w:t>TPGs</w:t>
      </w:r>
      <w:r w:rsidR="0042771A" w:rsidRPr="008161E6">
        <w:t xml:space="preserve"> set out technical and other requirements </w:t>
      </w:r>
      <w:r w:rsidR="001959EC">
        <w:t>to be applied by</w:t>
      </w:r>
      <w:r w:rsidR="001959EC" w:rsidRPr="008161E6">
        <w:t xml:space="preserve"> </w:t>
      </w:r>
      <w:r w:rsidR="0042771A" w:rsidRPr="008161E6">
        <w:t xml:space="preserve">commercial, community (including temporary community) and datacasting licensees, when planning and operating new transmission facilities or proposing changes to existing facilities. </w:t>
      </w:r>
    </w:p>
    <w:p w14:paraId="0CD0F6A4" w14:textId="7A79672A" w:rsidR="00266957" w:rsidRDefault="0042771A" w:rsidP="0042771A">
      <w:pPr>
        <w:pStyle w:val="Numberedparagraph"/>
      </w:pPr>
      <w:r w:rsidRPr="008161E6">
        <w:t xml:space="preserve">The technical requirements specified in </w:t>
      </w:r>
      <w:r w:rsidR="008161E6" w:rsidRPr="008161E6">
        <w:t xml:space="preserve">TPGs </w:t>
      </w:r>
      <w:r w:rsidRPr="008161E6">
        <w:t>deal with establishing transmission facilities, site tolerances, minimum and maximum radiated power, maximum permitted field strength, interference to other services and radiated signal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5109"/>
      </w:tblGrid>
      <w:tr w:rsidR="000B1191" w14:paraId="7DA6B92E" w14:textId="77777777" w:rsidTr="000B1191">
        <w:tc>
          <w:tcPr>
            <w:tcW w:w="2552" w:type="dxa"/>
            <w:vAlign w:val="center"/>
          </w:tcPr>
          <w:p w14:paraId="5D442B16" w14:textId="034CFA0F" w:rsidR="000B1191" w:rsidRDefault="000B1191" w:rsidP="007E0151">
            <w:pPr>
              <w:pStyle w:val="Heading3"/>
              <w:keepLines/>
              <w:spacing w:before="0" w:after="0"/>
            </w:pPr>
            <w:r>
              <w:t>Section 34 determination</w:t>
            </w:r>
          </w:p>
        </w:tc>
        <w:tc>
          <w:tcPr>
            <w:tcW w:w="5109" w:type="dxa"/>
            <w:vAlign w:val="center"/>
          </w:tcPr>
          <w:p w14:paraId="1B35E534" w14:textId="39878B90" w:rsidR="000B1191" w:rsidRDefault="000579EB" w:rsidP="007E0151">
            <w:pPr>
              <w:pStyle w:val="ACMABodyText"/>
              <w:spacing w:before="0" w:after="0"/>
            </w:pPr>
            <w:r w:rsidRPr="008161E6">
              <w:object w:dxaOrig="8625" w:dyaOrig="8640" w14:anchorId="6A054DA9">
                <v:shape id="_x0000_i1071" type="#_x0000_t75" alt="Blue symbol with LC" style="width:29.3pt;height:29.4pt;mso-position-vertical:absolute" o:ole="">
                  <v:imagedata r:id="rId60" o:title=""/>
                </v:shape>
                <o:OLEObject Type="Embed" ProgID="PBrush" ShapeID="_x0000_i1071" DrawAspect="Content" ObjectID="_1758697780" r:id="rId119"/>
              </w:object>
            </w:r>
          </w:p>
        </w:tc>
      </w:tr>
    </w:tbl>
    <w:p w14:paraId="1595B04A" w14:textId="4A6F8F1F" w:rsidR="0060242D" w:rsidRDefault="0060242D" w:rsidP="00472237">
      <w:pPr>
        <w:pStyle w:val="Numberedparagraph"/>
      </w:pPr>
      <w:r>
        <w:t xml:space="preserve">The ACMA authorises </w:t>
      </w:r>
      <w:r w:rsidR="00551AEC">
        <w:t>alternative</w:t>
      </w:r>
      <w:r>
        <w:t xml:space="preserve"> </w:t>
      </w:r>
      <w:r w:rsidR="003229B7">
        <w:t xml:space="preserve">uses </w:t>
      </w:r>
      <w:r w:rsidR="00551AEC">
        <w:t xml:space="preserve">(such as </w:t>
      </w:r>
      <w:r w:rsidR="003229B7">
        <w:t>for the temporary transmission or the re</w:t>
      </w:r>
      <w:r w:rsidR="003229B7" w:rsidRPr="003229B7">
        <w:rPr>
          <w:rFonts w:ascii="Cambria Math" w:hAnsi="Cambria Math" w:cs="Cambria Math"/>
        </w:rPr>
        <w:t>‑</w:t>
      </w:r>
      <w:r w:rsidR="003229B7">
        <w:t>transmission of programs</w:t>
      </w:r>
      <w:r w:rsidR="00066595">
        <w:t>,</w:t>
      </w:r>
      <w:r w:rsidR="003229B7">
        <w:t xml:space="preserve"> or for temporary community broadcasting licensees, for example) </w:t>
      </w:r>
      <w:r>
        <w:t>in bands identified in the broadcast</w:t>
      </w:r>
      <w:r w:rsidR="00CA287C">
        <w:t>ing</w:t>
      </w:r>
      <w:r>
        <w:t xml:space="preserve"> service</w:t>
      </w:r>
      <w:r w:rsidR="00CA287C">
        <w:t>s</w:t>
      </w:r>
      <w:r>
        <w:t xml:space="preserve"> bands (BSB) by making a determination under section 34 of the BSA and then issuing apparatus licences to authorise </w:t>
      </w:r>
      <w:r w:rsidR="000B01EB">
        <w:t>radiocommunications</w:t>
      </w:r>
      <w:r>
        <w:t xml:space="preserve"> transmitters under section 100 of </w:t>
      </w:r>
      <w:r w:rsidR="00DC60D1">
        <w:t>the Radiocommunications Act</w:t>
      </w:r>
      <w:r>
        <w:t xml:space="preserve">. Alternatively, the ACMA can make a determination under section 31 of </w:t>
      </w:r>
      <w:r w:rsidR="00DC60D1">
        <w:t>the Radiocommunications Act</w:t>
      </w:r>
      <w:r>
        <w:t>.</w:t>
      </w:r>
    </w:p>
    <w:p w14:paraId="2A98BAE2" w14:textId="39BFDE69" w:rsidR="0060242D" w:rsidRDefault="0060242D" w:rsidP="0060242D">
      <w:pPr>
        <w:pStyle w:val="Numberedparagraph"/>
      </w:pPr>
      <w:r>
        <w:t xml:space="preserve">Operation in BSB bands is also permitted under a class licence (for example, through the </w:t>
      </w:r>
      <w:r w:rsidRPr="007E0151">
        <w:t>Radiocommunications (Low Interference Potential Devices) Class Licence 2015</w:t>
      </w:r>
      <w:r w:rsidRPr="00110A73">
        <w:t>)</w:t>
      </w:r>
      <w:r>
        <w:t xml:space="preserve"> issued under </w:t>
      </w:r>
      <w:r w:rsidR="00DC60D1">
        <w:t>the Radiocommunications Act</w:t>
      </w:r>
      <w:r>
        <w:t xml:space="preserve"> and is not affected by any determination issued under section 34 of the BSA or section 31 of </w:t>
      </w:r>
      <w:r w:rsidR="00DC60D1">
        <w:t>the Radiocommunications Act</w:t>
      </w:r>
      <w:r>
        <w:t>.</w:t>
      </w:r>
    </w:p>
    <w:p w14:paraId="009D1A09" w14:textId="6F33A81A" w:rsidR="00973BBA" w:rsidRPr="00702EA1" w:rsidRDefault="00973BBA" w:rsidP="00973BBA">
      <w:pPr>
        <w:pStyle w:val="Heading2"/>
      </w:pPr>
      <w:bookmarkStart w:id="28" w:name="_Toc93937979"/>
      <w:bookmarkStart w:id="29" w:name="_Hlk90988226"/>
      <w:bookmarkStart w:id="30" w:name="_Hlk90991471"/>
      <w:bookmarkStart w:id="31" w:name="_Hlk86838281"/>
      <w:bookmarkStart w:id="32" w:name="_Toc148084740"/>
      <w:r>
        <w:t>Space-based communication</w:t>
      </w:r>
      <w:r w:rsidR="00FE03C3">
        <w:t>s</w:t>
      </w:r>
      <w:r>
        <w:t xml:space="preserve"> systems</w:t>
      </w:r>
      <w:bookmarkEnd w:id="28"/>
      <w:bookmarkEnd w:id="32"/>
    </w:p>
    <w:p w14:paraId="1A06B5A1" w14:textId="027E3360" w:rsidR="003F660B" w:rsidRDefault="00110A73" w:rsidP="00D67227">
      <w:pPr>
        <w:pStyle w:val="Numberedparagraph"/>
        <w:spacing w:after="80"/>
      </w:pPr>
      <w:r>
        <w:t>Like all radiocommunications services, t</w:t>
      </w:r>
      <w:r w:rsidR="00791273">
        <w:t>he spectrum planning framework for space</w:t>
      </w:r>
      <w:r w:rsidR="006F1466">
        <w:t>-</w:t>
      </w:r>
      <w:r w:rsidR="00791273">
        <w:t xml:space="preserve">based communications systems is developed in accordance with </w:t>
      </w:r>
      <w:r w:rsidR="006F1466">
        <w:t xml:space="preserve">the </w:t>
      </w:r>
      <w:r w:rsidR="00791273">
        <w:t>Australian regulatory and spectrum environment</w:t>
      </w:r>
      <w:r w:rsidR="000179E1">
        <w:t>. However</w:t>
      </w:r>
      <w:r w:rsidR="00791273">
        <w:t>, the international nature of space</w:t>
      </w:r>
      <w:r w:rsidR="006F1466">
        <w:t>-</w:t>
      </w:r>
      <w:r w:rsidR="00791273">
        <w:t xml:space="preserve">based </w:t>
      </w:r>
      <w:r w:rsidR="00F164A4">
        <w:t>communication</w:t>
      </w:r>
      <w:r w:rsidR="00FE03C3">
        <w:t>s</w:t>
      </w:r>
      <w:r w:rsidR="00F164A4">
        <w:t xml:space="preserve"> systems </w:t>
      </w:r>
      <w:r w:rsidR="00791273">
        <w:t>means that there are various international requirements to be considered</w:t>
      </w:r>
      <w:r>
        <w:t xml:space="preserve">, which may </w:t>
      </w:r>
      <w:r w:rsidR="0041214D">
        <w:t>have a greater day</w:t>
      </w:r>
      <w:r>
        <w:t>-</w:t>
      </w:r>
      <w:r w:rsidR="0041214D">
        <w:t>to</w:t>
      </w:r>
      <w:r>
        <w:t>-</w:t>
      </w:r>
      <w:r w:rsidR="0041214D">
        <w:t>day impact tha</w:t>
      </w:r>
      <w:r>
        <w:t>n</w:t>
      </w:r>
      <w:r w:rsidR="0041214D">
        <w:t xml:space="preserve"> for </w:t>
      </w:r>
      <w:r w:rsidR="00431BFD">
        <w:t>many</w:t>
      </w:r>
      <w:r w:rsidR="0041214D">
        <w:t xml:space="preserve"> other spectrum uses</w:t>
      </w:r>
      <w:r>
        <w:t>.</w:t>
      </w:r>
      <w:r w:rsidR="00791273">
        <w:rPr>
          <w:rStyle w:val="FootnoteReference"/>
        </w:rPr>
        <w:footnoteReference w:id="29"/>
      </w:r>
      <w:r w:rsidR="00791273">
        <w:t xml:space="preserve"> </w:t>
      </w:r>
      <w:r w:rsidR="00E27639">
        <w:t xml:space="preserve">  </w:t>
      </w:r>
      <w:bookmarkEnd w:id="29"/>
    </w:p>
    <w:p w14:paraId="1F3CCFEA" w14:textId="24701DD4" w:rsidR="00431BFD" w:rsidRDefault="00FF4B0A" w:rsidP="007E0151">
      <w:pPr>
        <w:pStyle w:val="Numberedparagraph"/>
      </w:pPr>
      <w:r>
        <w:t>This international dimension is a result of the inherent cross</w:t>
      </w:r>
      <w:r w:rsidR="007E0151">
        <w:t>-</w:t>
      </w:r>
      <w:r>
        <w:t>bo</w:t>
      </w:r>
      <w:r w:rsidR="007E0151">
        <w:t>r</w:t>
      </w:r>
      <w:r>
        <w:t xml:space="preserve">der nature of </w:t>
      </w:r>
      <w:r w:rsidR="002B3B1C">
        <w:t>spectrum use by space-based systems</w:t>
      </w:r>
      <w:r w:rsidR="0004316C">
        <w:t>,</w:t>
      </w:r>
      <w:r w:rsidR="002B3B1C">
        <w:t xml:space="preserve"> which is in contrast to most </w:t>
      </w:r>
      <w:r w:rsidR="00BA50B9">
        <w:t>other</w:t>
      </w:r>
      <w:r w:rsidR="002B3B1C">
        <w:t xml:space="preserve"> spectrum</w:t>
      </w:r>
      <w:r w:rsidR="00BA50B9">
        <w:t xml:space="preserve"> use</w:t>
      </w:r>
      <w:r w:rsidR="002B3B1C">
        <w:t xml:space="preserve"> in Australia due to our relative </w:t>
      </w:r>
      <w:r w:rsidR="00BA50B9">
        <w:t>geographic</w:t>
      </w:r>
      <w:r w:rsidR="002B3B1C">
        <w:t xml:space="preserve"> </w:t>
      </w:r>
      <w:r w:rsidR="00BA50B9">
        <w:t>isolation</w:t>
      </w:r>
      <w:r w:rsidR="00652603">
        <w:t xml:space="preserve"> (a key </w:t>
      </w:r>
      <w:r w:rsidR="0080316E">
        <w:t>exception</w:t>
      </w:r>
      <w:r w:rsidR="00652603">
        <w:t xml:space="preserve"> being use of HF spectrum)</w:t>
      </w:r>
      <w:r w:rsidR="00BA50B9">
        <w:t>.</w:t>
      </w:r>
      <w:r w:rsidR="00652603">
        <w:t xml:space="preserve"> </w:t>
      </w:r>
      <w:r w:rsidR="00306E61">
        <w:t xml:space="preserve">The </w:t>
      </w:r>
      <w:r w:rsidR="0080316E">
        <w:t xml:space="preserve">ITU satellite filing and coordination process </w:t>
      </w:r>
      <w:r w:rsidR="0004316C">
        <w:t>(</w:t>
      </w:r>
      <w:r w:rsidR="0080316E">
        <w:t xml:space="preserve">as contained in the </w:t>
      </w:r>
      <w:r w:rsidR="00306E61">
        <w:t xml:space="preserve">ITU </w:t>
      </w:r>
      <w:r w:rsidR="0080316E">
        <w:t>Radio Regulations</w:t>
      </w:r>
      <w:r w:rsidR="0004316C">
        <w:t>)</w:t>
      </w:r>
      <w:r w:rsidR="0080316E">
        <w:t xml:space="preserve"> is therefore a key </w:t>
      </w:r>
      <w:r w:rsidR="00C03F99">
        <w:t xml:space="preserve">mechanism that the ACMA looks towards when </w:t>
      </w:r>
      <w:r w:rsidR="00C03F99">
        <w:lastRenderedPageBreak/>
        <w:t xml:space="preserve">determining the impact that issuing a domestic radiocommunications licence would have on other uses of the </w:t>
      </w:r>
      <w:r w:rsidR="00AD4551">
        <w:t>spectrum.</w:t>
      </w:r>
    </w:p>
    <w:bookmarkEnd w:id="30"/>
    <w:p w14:paraId="162928B9" w14:textId="24807DD9" w:rsidR="00277B82" w:rsidRDefault="00E27639" w:rsidP="00277B82">
      <w:pPr>
        <w:pStyle w:val="Numberedparagraph"/>
      </w:pPr>
      <w:r w:rsidRPr="002A6181">
        <w:t xml:space="preserve">Figure </w:t>
      </w:r>
      <w:r>
        <w:t>6</w:t>
      </w:r>
      <w:r w:rsidRPr="002A6181">
        <w:t xml:space="preserve"> illustrates the elements of the spectrum planning framework applicable to </w:t>
      </w:r>
      <w:r>
        <w:t xml:space="preserve">space-based communications systems. </w:t>
      </w:r>
    </w:p>
    <w:p w14:paraId="440C0A1D" w14:textId="7EAD7915" w:rsidR="00277B82" w:rsidRDefault="00277B82" w:rsidP="004F5BED">
      <w:pPr>
        <w:pStyle w:val="Figureheading"/>
        <w:spacing w:after="0"/>
      </w:pPr>
      <w:r>
        <w:t>Spectrum planning framework for space-based communication</w:t>
      </w:r>
      <w:r w:rsidR="00FE03C3">
        <w:t>s</w:t>
      </w:r>
      <w:r>
        <w:t xml:space="preserve"> </w:t>
      </w:r>
      <w:proofErr w:type="gramStart"/>
      <w:r>
        <w:t>systems</w:t>
      </w:r>
      <w:proofErr w:type="gramEnd"/>
    </w:p>
    <w:p w14:paraId="670DF4AA" w14:textId="4B316D21" w:rsidR="00D761A2" w:rsidRDefault="009544D9" w:rsidP="004F5BED">
      <w:pPr>
        <w:pStyle w:val="Numberedparagraph"/>
        <w:numPr>
          <w:ilvl w:val="0"/>
          <w:numId w:val="0"/>
        </w:numPr>
      </w:pPr>
      <w:r>
        <w:rPr>
          <w:noProof/>
        </w:rPr>
        <w:drawing>
          <wp:inline distT="0" distB="0" distL="0" distR="0" wp14:anchorId="495BED89" wp14:editId="182BE2E5">
            <wp:extent cx="3566098" cy="4017804"/>
            <wp:effectExtent l="0" t="0" r="0" b="1905"/>
            <wp:docPr id="18" name="Picture 18" descr="Diagram is explain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is explained in tex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75439" cy="402832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3550"/>
      </w:tblGrid>
      <w:tr w:rsidR="000B1191" w14:paraId="1158EC05" w14:textId="77777777" w:rsidTr="00A2558A">
        <w:tc>
          <w:tcPr>
            <w:tcW w:w="4111" w:type="dxa"/>
            <w:vAlign w:val="center"/>
          </w:tcPr>
          <w:p w14:paraId="36DFCFF4" w14:textId="050DD1E9" w:rsidR="000B1191" w:rsidRDefault="000B1191" w:rsidP="007E0151">
            <w:pPr>
              <w:pStyle w:val="Heading3"/>
              <w:keepLines/>
            </w:pPr>
            <w:r>
              <w:t>Australian Radiofrequency Spectrum Plan</w:t>
            </w:r>
          </w:p>
        </w:tc>
        <w:tc>
          <w:tcPr>
            <w:tcW w:w="3550" w:type="dxa"/>
            <w:vAlign w:val="center"/>
          </w:tcPr>
          <w:p w14:paraId="43398966" w14:textId="5523191E" w:rsidR="000B1191" w:rsidRDefault="000579EB" w:rsidP="007E0151">
            <w:pPr>
              <w:pStyle w:val="ACMABodyText"/>
              <w:spacing w:before="0" w:after="0"/>
            </w:pPr>
            <w:r>
              <w:object w:dxaOrig="5805" w:dyaOrig="5775" w14:anchorId="0582F066">
                <v:shape id="_x0000_i1072" type="#_x0000_t75" alt="Blue symbol with BP" style="width:29.3pt;height:29.15pt" o:ole="">
                  <v:imagedata r:id="rId52" o:title=""/>
                </v:shape>
                <o:OLEObject Type="Embed" ProgID="PBrush" ShapeID="_x0000_i1072" DrawAspect="Content" ObjectID="_1758697781" r:id="rId121"/>
              </w:object>
            </w:r>
          </w:p>
        </w:tc>
      </w:tr>
    </w:tbl>
    <w:p w14:paraId="78A740DE" w14:textId="7C7A2742" w:rsidR="00992955" w:rsidRDefault="004268DB" w:rsidP="009F0A36">
      <w:pPr>
        <w:pStyle w:val="Numberedparagraph"/>
      </w:pPr>
      <w:r>
        <w:t>The use of the spectrum by satellite</w:t>
      </w:r>
      <w:r w:rsidR="008F2DA3">
        <w:t xml:space="preserve"> and space</w:t>
      </w:r>
      <w:r>
        <w:t xml:space="preserve"> services is facilitated by an appropriate allocation in the Spectrum Plan</w:t>
      </w:r>
      <w:r>
        <w:rPr>
          <w:rStyle w:val="FootnoteReference"/>
        </w:rPr>
        <w:footnoteReference w:id="30"/>
      </w:r>
      <w:r>
        <w:t xml:space="preserve"> in the first instance. There are </w:t>
      </w:r>
      <w:r w:rsidR="00121267">
        <w:t>several</w:t>
      </w:r>
      <w:r>
        <w:t xml:space="preserve"> different satellite</w:t>
      </w:r>
      <w:r w:rsidR="008F2DA3">
        <w:t xml:space="preserve"> and space </w:t>
      </w:r>
      <w:r>
        <w:t>services with allocations in the Spectrum Plan and also a large number of both international and Australian footnotes to the Spectrum Plan that outline further detail</w:t>
      </w:r>
      <w:r w:rsidR="00023CD5">
        <w:t>s</w:t>
      </w:r>
      <w:r>
        <w:t xml:space="preserve"> on these allocations. Importantly, in some cases</w:t>
      </w:r>
      <w:r w:rsidR="0004316C">
        <w:t>,</w:t>
      </w:r>
      <w:r>
        <w:t xml:space="preserve"> the allocations are limited to either the </w:t>
      </w:r>
      <w:r w:rsidR="0004316C">
        <w:t>e</w:t>
      </w:r>
      <w:r>
        <w:t>arth-to-space or space-to-</w:t>
      </w:r>
      <w:r w:rsidR="0004316C">
        <w:t>e</w:t>
      </w:r>
      <w:r>
        <w:t>arth direction</w:t>
      </w:r>
      <w:r w:rsidR="0004316C">
        <w:t>.</w:t>
      </w:r>
      <w:r w:rsidR="001266CB">
        <w:rPr>
          <w:rStyle w:val="FootnoteReference"/>
        </w:rPr>
        <w:footnoteReference w:id="3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5393"/>
      </w:tblGrid>
      <w:tr w:rsidR="000B1191" w14:paraId="7E40329C" w14:textId="77777777" w:rsidTr="00A2558A">
        <w:tc>
          <w:tcPr>
            <w:tcW w:w="2268" w:type="dxa"/>
            <w:vAlign w:val="center"/>
          </w:tcPr>
          <w:p w14:paraId="29B31302" w14:textId="7BCFD0BF" w:rsidR="000B1191" w:rsidRDefault="000B1191" w:rsidP="007E0151">
            <w:pPr>
              <w:pStyle w:val="Heading3"/>
              <w:spacing w:before="0" w:after="0"/>
            </w:pPr>
            <w:r>
              <w:t>Frequency band plans</w:t>
            </w:r>
          </w:p>
        </w:tc>
        <w:tc>
          <w:tcPr>
            <w:tcW w:w="5393" w:type="dxa"/>
            <w:vAlign w:val="center"/>
          </w:tcPr>
          <w:p w14:paraId="55ECF357" w14:textId="38589FFD" w:rsidR="000B1191" w:rsidRDefault="000579EB" w:rsidP="007E0151">
            <w:pPr>
              <w:pStyle w:val="ACMABodyText"/>
              <w:spacing w:before="0" w:after="0"/>
            </w:pPr>
            <w:r>
              <w:object w:dxaOrig="5805" w:dyaOrig="5775" w14:anchorId="0767483D">
                <v:shape id="_x0000_i1073" type="#_x0000_t75" alt="Blue symbol with BP" style="width:29.3pt;height:29.15pt" o:ole="">
                  <v:imagedata r:id="rId52" o:title=""/>
                </v:shape>
                <o:OLEObject Type="Embed" ProgID="PBrush" ShapeID="_x0000_i1073" DrawAspect="Content" ObjectID="_1758697782" r:id="rId122"/>
              </w:object>
            </w:r>
            <w:r w:rsidR="000B1191">
              <w:t xml:space="preserve"> </w:t>
            </w:r>
            <w:r>
              <w:object w:dxaOrig="4440" w:dyaOrig="4440" w14:anchorId="32EAE5ED">
                <v:shape id="_x0000_i1074" type="#_x0000_t75" alt="Peach symbol with BP" style="width:29.3pt;height:29.3pt" o:ole="">
                  <v:imagedata r:id="rId54" o:title=""/>
                </v:shape>
                <o:OLEObject Type="Embed" ProgID="PBrush" ShapeID="_x0000_i1074" DrawAspect="Content" ObjectID="_1758697783" r:id="rId123"/>
              </w:object>
            </w:r>
          </w:p>
        </w:tc>
      </w:tr>
    </w:tbl>
    <w:p w14:paraId="4575A5A9" w14:textId="093F17CF" w:rsidR="00B30BE6" w:rsidRDefault="00B30BE6" w:rsidP="00462C2D">
      <w:pPr>
        <w:pStyle w:val="Numberedparagraph"/>
      </w:pPr>
      <w:r>
        <w:t>Frequency band plans</w:t>
      </w:r>
      <w:r>
        <w:rPr>
          <w:rStyle w:val="FootnoteReference"/>
        </w:rPr>
        <w:footnoteReference w:id="32"/>
      </w:r>
      <w:r>
        <w:t xml:space="preserve">, legislative or administrative, can also be included as part of planning arrangements for satellite and space services. </w:t>
      </w:r>
      <w:r>
        <w:t xml:space="preserve">An example is the </w:t>
      </w:r>
      <w:hyperlink r:id="rId124" w:history="1">
        <w:r w:rsidR="0019582F" w:rsidRPr="0019582F">
          <w:rPr>
            <w:rStyle w:val="Hyperlink"/>
          </w:rPr>
          <w:t>Radiocommunications (Australian Radio Quiet Zone Western Australia) Frequency Band Plan 2023</w:t>
        </w:r>
      </w:hyperlink>
      <w:r w:rsidR="0004316C">
        <w:t xml:space="preserve">, </w:t>
      </w:r>
      <w:r>
        <w:t xml:space="preserve">which </w:t>
      </w:r>
      <w:r w:rsidRPr="00B30BE6">
        <w:t xml:space="preserve">establishes a radio quiet zone (RQZ) in the </w:t>
      </w:r>
      <w:r w:rsidR="0004316C">
        <w:t>m</w:t>
      </w:r>
      <w:r w:rsidRPr="00B30BE6">
        <w:t>id-</w:t>
      </w:r>
      <w:r w:rsidR="0004316C">
        <w:t>w</w:t>
      </w:r>
      <w:r w:rsidRPr="00B30BE6">
        <w:t>est region of Western Australia.</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6101"/>
      </w:tblGrid>
      <w:tr w:rsidR="000B1191" w14:paraId="7501F7B8" w14:textId="77777777" w:rsidTr="000B1191">
        <w:tc>
          <w:tcPr>
            <w:tcW w:w="1560" w:type="dxa"/>
            <w:vAlign w:val="center"/>
          </w:tcPr>
          <w:p w14:paraId="7B9E646F" w14:textId="7839F20F" w:rsidR="000B1191" w:rsidRDefault="000B1191" w:rsidP="007E0151">
            <w:pPr>
              <w:pStyle w:val="Heading3"/>
              <w:spacing w:before="0" w:after="0"/>
            </w:pPr>
            <w:r>
              <w:lastRenderedPageBreak/>
              <w:t>Class licences</w:t>
            </w:r>
          </w:p>
        </w:tc>
        <w:tc>
          <w:tcPr>
            <w:tcW w:w="6101" w:type="dxa"/>
            <w:vAlign w:val="center"/>
          </w:tcPr>
          <w:p w14:paraId="067FEF0A" w14:textId="45582ABE" w:rsidR="000B1191" w:rsidRDefault="000579EB" w:rsidP="007E0151">
            <w:pPr>
              <w:pStyle w:val="ACMABodyText"/>
              <w:spacing w:before="0" w:after="0"/>
            </w:pPr>
            <w:r>
              <w:object w:dxaOrig="5805" w:dyaOrig="5775" w14:anchorId="718E4FF5">
                <v:shape id="_x0000_i1075" type="#_x0000_t75" alt="Blue symbol with BP" style="width:29.3pt;height:29.15pt" o:ole="">
                  <v:imagedata r:id="rId52" o:title=""/>
                </v:shape>
                <o:OLEObject Type="Embed" ProgID="PBrush" ShapeID="_x0000_i1075" DrawAspect="Content" ObjectID="_1758697784" r:id="rId125"/>
              </w:object>
            </w:r>
          </w:p>
        </w:tc>
      </w:tr>
    </w:tbl>
    <w:p w14:paraId="777B53AA" w14:textId="5BD07ABD" w:rsidR="00C9329D" w:rsidRDefault="001A5F0B" w:rsidP="00632B1C">
      <w:pPr>
        <w:pStyle w:val="Numberedparagraph"/>
      </w:pPr>
      <w:r>
        <w:t>Class licences</w:t>
      </w:r>
      <w:r>
        <w:rPr>
          <w:rStyle w:val="FootnoteReference"/>
        </w:rPr>
        <w:footnoteReference w:id="33"/>
      </w:r>
      <w:r>
        <w:t xml:space="preserve"> are used to authorise a class of </w:t>
      </w:r>
      <w:r w:rsidR="004C2219">
        <w:t xml:space="preserve">radiocommunications </w:t>
      </w:r>
      <w:r>
        <w:t>device</w:t>
      </w:r>
      <w:r w:rsidR="004C2219">
        <w:t>s</w:t>
      </w:r>
      <w:r>
        <w:t xml:space="preserve"> in a particular frequency range where individual licensing is not required. </w:t>
      </w:r>
      <w:r w:rsidR="00261EEF">
        <w:t>T</w:t>
      </w:r>
      <w:r w:rsidR="00261EEF" w:rsidRPr="00261EEF">
        <w:t xml:space="preserve">he </w:t>
      </w:r>
      <w:hyperlink r:id="rId126" w:history="1">
        <w:r w:rsidR="00261EEF" w:rsidRPr="00261EEF">
          <w:rPr>
            <w:rStyle w:val="Hyperlink"/>
          </w:rPr>
          <w:t>Radiocommunications (Communication with Space Object) Class Licence 2015</w:t>
        </w:r>
      </w:hyperlink>
      <w:r w:rsidR="00261EEF" w:rsidRPr="00261EEF">
        <w:t xml:space="preserve"> (the space object class licence) </w:t>
      </w:r>
      <w:r>
        <w:t xml:space="preserve">is used in </w:t>
      </w:r>
      <w:r w:rsidR="008F2DA3">
        <w:t xml:space="preserve">satellite and </w:t>
      </w:r>
      <w:r>
        <w:t>space spectrum planning</w:t>
      </w:r>
      <w:r w:rsidR="00632B1C">
        <w:t xml:space="preserve"> for ‘s</w:t>
      </w:r>
      <w:r w:rsidR="0090740C">
        <w:t>pace segment licensing</w:t>
      </w:r>
      <w:r w:rsidR="00632B1C">
        <w:t xml:space="preserve">’. This </w:t>
      </w:r>
      <w:r w:rsidR="0090740C">
        <w:t>supports the licensing of ubiquitous earth stations</w:t>
      </w:r>
      <w:r w:rsidR="0090740C" w:rsidRPr="00DB02A5">
        <w:rPr>
          <w:rStyle w:val="FootnoteReference"/>
        </w:rPr>
        <w:footnoteReference w:id="34"/>
      </w:r>
      <w:r w:rsidR="00C9329D">
        <w:t xml:space="preserve">, often in </w:t>
      </w:r>
      <w:r w:rsidR="0090740C">
        <w:t>‘satellite-only’ bands</w:t>
      </w:r>
      <w:r w:rsidR="0090740C" w:rsidRPr="00DB02A5">
        <w:rPr>
          <w:rStyle w:val="FootnoteReference"/>
        </w:rPr>
        <w:footnoteReference w:id="35"/>
      </w:r>
      <w:r w:rsidR="00C84506">
        <w:t xml:space="preserve"> where there is an apparatus licence for the space object with which the earth stations are communicating</w:t>
      </w:r>
      <w:r w:rsidR="0090740C">
        <w:t xml:space="preserve">. Transmissions from and/or to space stations are authorised via space and/or space receive licences. </w:t>
      </w:r>
    </w:p>
    <w:p w14:paraId="1B3B8F57" w14:textId="6A5FC7A7" w:rsidR="0090740C" w:rsidRDefault="0090740C" w:rsidP="00632B1C">
      <w:pPr>
        <w:pStyle w:val="Numberedparagraph"/>
      </w:pPr>
      <w:r>
        <w:t xml:space="preserve">Provided a space and/or space receive licence is issued in bands identified in the space object class licence, </w:t>
      </w:r>
      <w:r w:rsidR="00632B1C">
        <w:t>and the space object is listed in the relevant determination</w:t>
      </w:r>
      <w:r w:rsidR="00261EEF">
        <w:rPr>
          <w:rStyle w:val="FootnoteReference"/>
        </w:rPr>
        <w:footnoteReference w:id="36"/>
      </w:r>
      <w:r w:rsidR="00632B1C">
        <w:t xml:space="preserve">, </w:t>
      </w:r>
      <w:r>
        <w:t xml:space="preserve">earth stations communicating with the space station are authorised by the space object class licence. This approach removes the requirement for the individual licensing of these earth stations. </w:t>
      </w:r>
    </w:p>
    <w:p w14:paraId="4041C58E" w14:textId="78604314" w:rsidR="00992955" w:rsidRDefault="00511E9A" w:rsidP="0090740C">
      <w:pPr>
        <w:pStyle w:val="Numberedparagraph"/>
      </w:pPr>
      <w:r>
        <w:t xml:space="preserve">Class licensing is also used to authorise the operation of </w:t>
      </w:r>
      <w:r w:rsidRPr="00511E9A">
        <w:t>radionavigation-satellite service (RNSS)</w:t>
      </w:r>
      <w:r>
        <w:t xml:space="preserve"> receivers</w:t>
      </w:r>
      <w:r w:rsidR="0004316C">
        <w:t>,</w:t>
      </w:r>
      <w:r>
        <w:t xml:space="preserve"> thus facilitating the use of the Global Positioning System (GPS) and other global navigation systems by the Australian community</w:t>
      </w:r>
      <w:r w:rsidR="0004316C">
        <w:t>.</w:t>
      </w:r>
      <w:r>
        <w:rPr>
          <w:rStyle w:val="FootnoteReference"/>
        </w:rPr>
        <w:footnoteReference w:id="3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7"/>
        <w:gridCol w:w="5534"/>
      </w:tblGrid>
      <w:tr w:rsidR="00E50901" w14:paraId="0C2BF940" w14:textId="77777777" w:rsidTr="00A2558A">
        <w:tc>
          <w:tcPr>
            <w:tcW w:w="2127" w:type="dxa"/>
            <w:vAlign w:val="center"/>
          </w:tcPr>
          <w:p w14:paraId="7DA70090" w14:textId="4CF03CDA" w:rsidR="00E50901" w:rsidRDefault="00E50901" w:rsidP="007E0151">
            <w:pPr>
              <w:pStyle w:val="Heading3"/>
              <w:spacing w:before="0" w:after="0"/>
            </w:pPr>
            <w:r>
              <w:t>Spectrum embargoes</w:t>
            </w:r>
          </w:p>
        </w:tc>
        <w:tc>
          <w:tcPr>
            <w:tcW w:w="5534" w:type="dxa"/>
            <w:vAlign w:val="center"/>
          </w:tcPr>
          <w:p w14:paraId="0ACD9724" w14:textId="1E8A186C" w:rsidR="00E50901" w:rsidRDefault="000579EB" w:rsidP="007E0151">
            <w:pPr>
              <w:pStyle w:val="ACMABodyText"/>
              <w:spacing w:before="0" w:after="0"/>
            </w:pPr>
            <w:r>
              <w:object w:dxaOrig="4440" w:dyaOrig="4440" w14:anchorId="23EFBC0F">
                <v:shape id="_x0000_i1076" type="#_x0000_t75" alt="Peach symbol with BP" style="width:29.3pt;height:29.3pt" o:ole="">
                  <v:imagedata r:id="rId54" o:title=""/>
                </v:shape>
                <o:OLEObject Type="Embed" ProgID="PBrush" ShapeID="_x0000_i1076" DrawAspect="Content" ObjectID="_1758697785" r:id="rId127"/>
              </w:object>
            </w:r>
            <w:r w:rsidR="00E50901">
              <w:t xml:space="preserve"> </w:t>
            </w:r>
            <w:r>
              <w:object w:dxaOrig="8670" w:dyaOrig="8715" w14:anchorId="593B7034">
                <v:shape id="_x0000_i1077" type="#_x0000_t75" alt="Peach symbol with FA" style="width:28.6pt;height:29.2pt" o:ole="">
                  <v:imagedata r:id="rId58" o:title=""/>
                </v:shape>
                <o:OLEObject Type="Embed" ProgID="PBrush" ShapeID="_x0000_i1077" DrawAspect="Content" ObjectID="_1758697786" r:id="rId128"/>
              </w:object>
            </w:r>
          </w:p>
        </w:tc>
      </w:tr>
    </w:tbl>
    <w:p w14:paraId="23EA9377" w14:textId="1FFA617C" w:rsidR="00346DFD" w:rsidRDefault="005F3410" w:rsidP="009F0A36">
      <w:pPr>
        <w:pStyle w:val="Numberedparagraph"/>
      </w:pPr>
      <w:r>
        <w:t>Spectrum embargoes</w:t>
      </w:r>
      <w:r>
        <w:rPr>
          <w:rStyle w:val="FootnoteReference"/>
        </w:rPr>
        <w:footnoteReference w:id="38"/>
      </w:r>
      <w:r>
        <w:t xml:space="preserve"> play an important role in satellite and space spectrum planning. </w:t>
      </w:r>
      <w:r w:rsidR="0004316C">
        <w:t xml:space="preserve">They </w:t>
      </w:r>
      <w:r>
        <w:t xml:space="preserve">are used to preserve a frequency band for </w:t>
      </w:r>
      <w:r w:rsidR="00346DFD">
        <w:t>a period</w:t>
      </w:r>
      <w:r>
        <w:t xml:space="preserve"> so that it remains stable for the duration of a planning process. </w:t>
      </w:r>
    </w:p>
    <w:p w14:paraId="2BB2DE11" w14:textId="713596C2" w:rsidR="00346DFD" w:rsidRDefault="0004316C" w:rsidP="009F0A36">
      <w:pPr>
        <w:pStyle w:val="Numberedparagraph"/>
      </w:pPr>
      <w:r>
        <w:t>T</w:t>
      </w:r>
      <w:r w:rsidR="00346DFD">
        <w:t xml:space="preserve">here are </w:t>
      </w:r>
      <w:r>
        <w:t xml:space="preserve">also </w:t>
      </w:r>
      <w:r w:rsidR="00346DFD">
        <w:t xml:space="preserve">a number of </w:t>
      </w:r>
      <w:r w:rsidR="00AA77CD">
        <w:t>embar</w:t>
      </w:r>
      <w:r w:rsidR="00895AE0">
        <w:t>g</w:t>
      </w:r>
      <w:r w:rsidR="00AA77CD">
        <w:t>o</w:t>
      </w:r>
      <w:r w:rsidR="007B6BDC">
        <w:t>e</w:t>
      </w:r>
      <w:r w:rsidR="00AA77CD">
        <w:t>s</w:t>
      </w:r>
      <w:r w:rsidR="00346DFD">
        <w:t xml:space="preserve"> that act as quasi</w:t>
      </w:r>
      <w:r>
        <w:t>-</w:t>
      </w:r>
      <w:r w:rsidR="00346DFD">
        <w:t xml:space="preserve">administrative band plans by articulating a policy decision of the ACMA for a particular band or geographical area to be used for space or satellite services. For example, </w:t>
      </w:r>
      <w:hyperlink r:id="rId129" w:history="1">
        <w:r w:rsidR="009A4BA6">
          <w:rPr>
            <w:rStyle w:val="Hyperlink"/>
          </w:rPr>
          <w:t>Embargo 49</w:t>
        </w:r>
      </w:hyperlink>
      <w:r w:rsidR="00346DFD">
        <w:t xml:space="preserve"> </w:t>
      </w:r>
      <w:r w:rsidR="00346DFD" w:rsidRPr="00346DFD">
        <w:t>support</w:t>
      </w:r>
      <w:r w:rsidR="00346DFD">
        <w:t>s</w:t>
      </w:r>
      <w:r w:rsidR="00346DFD" w:rsidRPr="00346DFD">
        <w:t xml:space="preserve"> the development of space communications facilities in the general area of Mingenew</w:t>
      </w:r>
      <w:r w:rsidR="008A74D6">
        <w:t>, Western Australia</w:t>
      </w:r>
      <w:r w:rsidR="00346D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707"/>
      </w:tblGrid>
      <w:tr w:rsidR="00E50901" w14:paraId="749494F2" w14:textId="77777777" w:rsidTr="00E50901">
        <w:tc>
          <w:tcPr>
            <w:tcW w:w="5954" w:type="dxa"/>
            <w:vAlign w:val="center"/>
          </w:tcPr>
          <w:p w14:paraId="5D78DC7F" w14:textId="4A55B39B" w:rsidR="00E50901" w:rsidRDefault="00E50901" w:rsidP="007E0151">
            <w:pPr>
              <w:pStyle w:val="Heading3"/>
              <w:spacing w:before="0" w:after="0"/>
            </w:pPr>
            <w:r w:rsidRPr="00464DBD">
              <w:lastRenderedPageBreak/>
              <w:t>Australian procedures for the coordination and notification of satellite systems</w:t>
            </w:r>
          </w:p>
        </w:tc>
        <w:tc>
          <w:tcPr>
            <w:tcW w:w="1707" w:type="dxa"/>
            <w:vAlign w:val="center"/>
          </w:tcPr>
          <w:p w14:paraId="00AFD53F" w14:textId="4AD0152F" w:rsidR="00E50901" w:rsidRDefault="000579EB" w:rsidP="007E0151">
            <w:pPr>
              <w:pStyle w:val="ACMABodyText"/>
              <w:spacing w:before="0" w:after="0"/>
            </w:pPr>
            <w:r>
              <w:object w:dxaOrig="4440" w:dyaOrig="4440" w14:anchorId="662DE81A">
                <v:shape id="_x0000_i1078" type="#_x0000_t75" alt="Peach symbol with BP" style="width:29.3pt;height:29.3pt" o:ole="">
                  <v:imagedata r:id="rId54" o:title=""/>
                </v:shape>
                <o:OLEObject Type="Embed" ProgID="PBrush" ShapeID="_x0000_i1078" DrawAspect="Content" ObjectID="_1758697787" r:id="rId130"/>
              </w:object>
            </w:r>
            <w:r w:rsidR="00E50901">
              <w:t xml:space="preserve"> </w:t>
            </w:r>
            <w:r>
              <w:object w:dxaOrig="8670" w:dyaOrig="8715" w14:anchorId="69117315">
                <v:shape id="_x0000_i1079" type="#_x0000_t75" alt="Peach symbol with FA" style="width:28.6pt;height:29.2pt" o:ole="">
                  <v:imagedata r:id="rId58" o:title=""/>
                </v:shape>
                <o:OLEObject Type="Embed" ProgID="PBrush" ShapeID="_x0000_i1079" DrawAspect="Content" ObjectID="_1758697788" r:id="rId131"/>
              </w:object>
            </w:r>
          </w:p>
        </w:tc>
      </w:tr>
    </w:tbl>
    <w:p w14:paraId="4A18A7EC" w14:textId="27D3FBCE" w:rsidR="00D96A2C" w:rsidRDefault="00464DBD" w:rsidP="00904806">
      <w:pPr>
        <w:pStyle w:val="Numberedparagraph"/>
        <w:keepNext/>
        <w:keepLines/>
      </w:pPr>
      <w:r>
        <w:t xml:space="preserve">The </w:t>
      </w:r>
      <w:hyperlink r:id="rId132" w:history="1">
        <w:r w:rsidRPr="005D2E0E">
          <w:rPr>
            <w:rStyle w:val="Hyperlink"/>
            <w:i/>
            <w:iCs/>
          </w:rPr>
          <w:t>Australian procedures for the coordination and notification of satellite systems</w:t>
        </w:r>
      </w:hyperlink>
      <w:r>
        <w:t xml:space="preserve"> provides transparency about the procedures for the satellite industry to follow</w:t>
      </w:r>
      <w:r w:rsidR="0004316C">
        <w:t>,</w:t>
      </w:r>
      <w:r>
        <w:t xml:space="preserve"> from the initial assessment of a proposed satellite system to the eventual cessation of the satellite system.</w:t>
      </w:r>
      <w:r w:rsidR="005D2E0E">
        <w:t xml:space="preserve"> The document sets out the procedures that the ACMA anticipates would normally be followed in </w:t>
      </w:r>
      <w:r w:rsidR="004F79DA">
        <w:t xml:space="preserve">Australia in </w:t>
      </w:r>
      <w:r w:rsidR="005D2E0E">
        <w:t xml:space="preserve">relation to </w:t>
      </w:r>
      <w:r w:rsidR="009A4BA6">
        <w:t xml:space="preserve">ITU </w:t>
      </w:r>
      <w:r w:rsidR="005D2E0E">
        <w:t xml:space="preserve">satellite </w:t>
      </w:r>
      <w:r w:rsidR="009A4BA6">
        <w:t xml:space="preserve">system </w:t>
      </w:r>
      <w:r w:rsidR="005D2E0E">
        <w:t>filing and coordination.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4826"/>
      </w:tblGrid>
      <w:tr w:rsidR="00E50901" w14:paraId="71B9A016" w14:textId="77777777" w:rsidTr="00A2558A">
        <w:tc>
          <w:tcPr>
            <w:tcW w:w="2835" w:type="dxa"/>
            <w:vAlign w:val="center"/>
          </w:tcPr>
          <w:p w14:paraId="7176F3D9" w14:textId="536D318A" w:rsidR="00E50901" w:rsidRDefault="00E50901" w:rsidP="007E0151">
            <w:pPr>
              <w:pStyle w:val="Heading3"/>
              <w:spacing w:before="0" w:after="0"/>
            </w:pPr>
            <w:r>
              <w:t>Space object determinations</w:t>
            </w:r>
          </w:p>
        </w:tc>
        <w:tc>
          <w:tcPr>
            <w:tcW w:w="4826" w:type="dxa"/>
            <w:vAlign w:val="center"/>
          </w:tcPr>
          <w:p w14:paraId="7B75D001" w14:textId="27CABCA2" w:rsidR="00E50901" w:rsidRDefault="000579EB" w:rsidP="007E0151">
            <w:pPr>
              <w:pStyle w:val="ACMABodyText"/>
              <w:spacing w:before="0" w:after="0"/>
            </w:pPr>
            <w:r w:rsidRPr="008161E6">
              <w:object w:dxaOrig="8670" w:dyaOrig="8640" w14:anchorId="17051923">
                <v:shape id="_x0000_i1080" type="#_x0000_t75" alt="Blue symbol with FA" style="width:28.6pt;height:29.4pt" o:ole="">
                  <v:imagedata r:id="rId56" o:title=""/>
                </v:shape>
                <o:OLEObject Type="Embed" ProgID="PBrush" ShapeID="_x0000_i1080" DrawAspect="Content" ObjectID="_1758697789" r:id="rId133"/>
              </w:object>
            </w:r>
          </w:p>
        </w:tc>
      </w:tr>
    </w:tbl>
    <w:p w14:paraId="77317AFB" w14:textId="14737A64" w:rsidR="00464DBD" w:rsidRDefault="00464DBD" w:rsidP="00464DBD">
      <w:pPr>
        <w:pStyle w:val="Numberedparagraph"/>
        <w:spacing w:after="80"/>
      </w:pPr>
      <w:r>
        <w:t>Space object determinations bring particular space objects within the scope of the Radiocommunications Act. Australian space objects are determined by a legislative instrument</w:t>
      </w:r>
      <w:r>
        <w:rPr>
          <w:color w:val="000000"/>
          <w:shd w:val="clear" w:color="auto" w:fill="FFFFFF"/>
        </w:rPr>
        <w:t xml:space="preserve"> made under section 5 of </w:t>
      </w:r>
      <w:r w:rsidR="00DC60D1">
        <w:rPr>
          <w:color w:val="000000"/>
          <w:shd w:val="clear" w:color="auto" w:fill="FFFFFF"/>
        </w:rPr>
        <w:t>the Radiocommunications Act</w:t>
      </w:r>
      <w:r w:rsidR="0004316C">
        <w:rPr>
          <w:color w:val="000000"/>
          <w:shd w:val="clear" w:color="auto" w:fill="FFFFFF"/>
        </w:rPr>
        <w:t>.</w:t>
      </w:r>
      <w:r>
        <w:rPr>
          <w:rStyle w:val="FootnoteReference"/>
          <w:i/>
          <w:iCs/>
          <w:color w:val="000000"/>
          <w:shd w:val="clear" w:color="auto" w:fill="FFFFFF"/>
        </w:rPr>
        <w:footnoteReference w:id="39"/>
      </w:r>
      <w:r>
        <w:t xml:space="preserve"> Foreign space objects are determined by a legislative instrument</w:t>
      </w:r>
      <w:r>
        <w:rPr>
          <w:color w:val="000000"/>
          <w:shd w:val="clear" w:color="auto" w:fill="FFFFFF"/>
        </w:rPr>
        <w:t xml:space="preserve"> made under </w:t>
      </w:r>
      <w:r w:rsidR="00EF24AA">
        <w:t>paragraph</w:t>
      </w:r>
      <w:r w:rsidRPr="00FA5528">
        <w:t xml:space="preserve"> 16(1)(ca) of </w:t>
      </w:r>
      <w:r w:rsidR="00DC60D1">
        <w:t>the Radiocommunications Act</w:t>
      </w:r>
      <w:r w:rsidR="000972B3">
        <w:t>.</w:t>
      </w:r>
      <w:r>
        <w:rPr>
          <w:rStyle w:val="FootnoteReference"/>
        </w:rPr>
        <w:footnoteReference w:id="40"/>
      </w:r>
    </w:p>
    <w:p w14:paraId="78007B77" w14:textId="69DC405F" w:rsidR="00D96A2C" w:rsidRDefault="004C48CE" w:rsidP="00464DBD">
      <w:pPr>
        <w:pStyle w:val="Numberedparagraph"/>
      </w:pPr>
      <w:r>
        <w:t xml:space="preserve">In deciding to make a space </w:t>
      </w:r>
      <w:r w:rsidR="00464DBD">
        <w:t>objects determination, the objective is to regulate Australian space objects</w:t>
      </w:r>
      <w:r w:rsidR="005C14B4">
        <w:t xml:space="preserve"> or foreign space objects</w:t>
      </w:r>
      <w:r w:rsidR="00464DBD">
        <w:t xml:space="preserve"> to the extent necessary to licence communications to and from Australia. Extending the application of </w:t>
      </w:r>
      <w:r w:rsidR="00DC60D1">
        <w:t>the Radiocommunications Act</w:t>
      </w:r>
      <w:r w:rsidR="00464DBD">
        <w:t xml:space="preserve"> allows satellite operators to apply to the ACMA for space and/or space receive apparatus licences </w:t>
      </w:r>
      <w:r w:rsidR="000972B3">
        <w:t>for</w:t>
      </w:r>
      <w:r w:rsidR="00464DBD">
        <w:t xml:space="preserve"> the space objects listed in the relevant determinations.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707"/>
      </w:tblGrid>
      <w:tr w:rsidR="00E50901" w14:paraId="6898A54A" w14:textId="77777777" w:rsidTr="00E50901">
        <w:tc>
          <w:tcPr>
            <w:tcW w:w="5954" w:type="dxa"/>
            <w:vAlign w:val="center"/>
          </w:tcPr>
          <w:bookmarkEnd w:id="31"/>
          <w:p w14:paraId="2BF4B93D" w14:textId="0EE0DAD3" w:rsidR="00E50901" w:rsidRDefault="00E50901" w:rsidP="007E0151">
            <w:pPr>
              <w:pStyle w:val="Heading3"/>
              <w:spacing w:before="0" w:after="0"/>
            </w:pPr>
            <w:r>
              <w:t>Radiocommunications assignment and licensing instructions (RALIs)</w:t>
            </w:r>
            <w:r w:rsidRPr="00717F9D">
              <w:rPr>
                <w:noProof/>
              </w:rPr>
              <w:t xml:space="preserve"> </w:t>
            </w:r>
          </w:p>
        </w:tc>
        <w:tc>
          <w:tcPr>
            <w:tcW w:w="1707" w:type="dxa"/>
            <w:vAlign w:val="center"/>
          </w:tcPr>
          <w:p w14:paraId="66731926" w14:textId="40C5DEB0" w:rsidR="00E50901" w:rsidRDefault="000579EB" w:rsidP="007E0151">
            <w:pPr>
              <w:pStyle w:val="ACMABodyText"/>
              <w:spacing w:before="0" w:after="0"/>
            </w:pPr>
            <w:r>
              <w:object w:dxaOrig="8670" w:dyaOrig="8715" w14:anchorId="7B17B600">
                <v:shape id="_x0000_i1081" type="#_x0000_t75" alt="Peach symbol with FA" style="width:28.6pt;height:29.2pt" o:ole="">
                  <v:imagedata r:id="rId58" o:title=""/>
                </v:shape>
                <o:OLEObject Type="Embed" ProgID="PBrush" ShapeID="_x0000_i1081" DrawAspect="Content" ObjectID="_1758697790" r:id="rId134"/>
              </w:object>
            </w:r>
            <w:r w:rsidR="00E50901">
              <w:t xml:space="preserve"> </w:t>
            </w:r>
            <w:r>
              <w:object w:dxaOrig="9735" w:dyaOrig="9735" w14:anchorId="43983781">
                <v:shape id="_x0000_i1082" type="#_x0000_t75" alt="Peach symbol with LC" style="width:28.7pt;height:28.7pt" o:ole="">
                  <v:imagedata r:id="rId62" o:title=""/>
                </v:shape>
                <o:OLEObject Type="Embed" ProgID="PBrush" ShapeID="_x0000_i1082" DrawAspect="Content" ObjectID="_1758697791" r:id="rId135"/>
              </w:object>
            </w:r>
          </w:p>
        </w:tc>
      </w:tr>
    </w:tbl>
    <w:p w14:paraId="6250C244" w14:textId="75408B63" w:rsidR="004C48CE" w:rsidRDefault="004C48CE" w:rsidP="004C48CE">
      <w:pPr>
        <w:pStyle w:val="Numberedparagraph"/>
      </w:pPr>
      <w:r>
        <w:t>RALIs</w:t>
      </w:r>
      <w:r w:rsidRPr="00F87597">
        <w:rPr>
          <w:vertAlign w:val="superscript"/>
        </w:rPr>
        <w:footnoteReference w:id="41"/>
      </w:r>
      <w:r w:rsidRPr="00E24CF0">
        <w:t xml:space="preserve"> </w:t>
      </w:r>
      <w:r>
        <w:t>are used in satellite and space spectrum planning to provide assignment and coordination advice for those seeking to obtain a</w:t>
      </w:r>
      <w:r w:rsidR="00C17F1B">
        <w:t>n apparatus</w:t>
      </w:r>
      <w:r>
        <w:t xml:space="preserve"> licence. This includes RALIs </w:t>
      </w:r>
      <w:r w:rsidR="000972B3">
        <w:t xml:space="preserve">that </w:t>
      </w:r>
      <w:r>
        <w:t xml:space="preserve">provide criteria for the coordination of services generally, such as </w:t>
      </w:r>
      <w:hyperlink r:id="rId136" w:history="1">
        <w:r w:rsidRPr="00D72BEC">
          <w:rPr>
            <w:rStyle w:val="Hyperlink"/>
          </w:rPr>
          <w:t>RALI MS45</w:t>
        </w:r>
      </w:hyperlink>
      <w:r>
        <w:t xml:space="preserve"> on f</w:t>
      </w:r>
      <w:r w:rsidRPr="00025F01">
        <w:t>requency coordination requirements between microwave fixed point</w:t>
      </w:r>
      <w:r>
        <w:t>-</w:t>
      </w:r>
      <w:r w:rsidRPr="00025F01">
        <w:t>to</w:t>
      </w:r>
      <w:r>
        <w:t>-</w:t>
      </w:r>
      <w:r w:rsidRPr="00025F01">
        <w:t>point links and FSS earth stations</w:t>
      </w:r>
      <w:r>
        <w:t>,</w:t>
      </w:r>
      <w:r w:rsidRPr="00025F01">
        <w:t xml:space="preserve"> </w:t>
      </w:r>
      <w:r>
        <w:t xml:space="preserve">and also those </w:t>
      </w:r>
      <w:r w:rsidR="000972B3">
        <w:t xml:space="preserve">that </w:t>
      </w:r>
      <w:r>
        <w:t xml:space="preserve">provide specific information for particular areas or facilities, such as </w:t>
      </w:r>
      <w:hyperlink r:id="rId137" w:history="1">
        <w:r w:rsidRPr="00D72BEC">
          <w:rPr>
            <w:rStyle w:val="Hyperlink"/>
          </w:rPr>
          <w:t>RALI MS43</w:t>
        </w:r>
      </w:hyperlink>
      <w:r>
        <w:t xml:space="preserve"> on coordination procedures between New Norcia earth stations and other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3833"/>
      </w:tblGrid>
      <w:tr w:rsidR="00E50901" w14:paraId="0081AB8A" w14:textId="77777777" w:rsidTr="00A2558A">
        <w:tc>
          <w:tcPr>
            <w:tcW w:w="3828" w:type="dxa"/>
            <w:vAlign w:val="center"/>
          </w:tcPr>
          <w:p w14:paraId="6BFB089F" w14:textId="1CBA8273" w:rsidR="00E50901" w:rsidRDefault="00E50901" w:rsidP="007E0151">
            <w:pPr>
              <w:pStyle w:val="Heading3"/>
              <w:spacing w:before="0" w:after="0"/>
            </w:pPr>
            <w:r>
              <w:t>Business operating procedures (BOPs)</w:t>
            </w:r>
          </w:p>
        </w:tc>
        <w:tc>
          <w:tcPr>
            <w:tcW w:w="3833" w:type="dxa"/>
            <w:vAlign w:val="center"/>
          </w:tcPr>
          <w:p w14:paraId="1886A557" w14:textId="59BC4D8C" w:rsidR="00E50901" w:rsidRDefault="000579EB" w:rsidP="007E0151">
            <w:pPr>
              <w:pStyle w:val="ACMABodyText"/>
              <w:spacing w:before="0" w:after="0"/>
            </w:pPr>
            <w:r>
              <w:object w:dxaOrig="9735" w:dyaOrig="9735" w14:anchorId="3125C9F1">
                <v:shape id="_x0000_i1083" type="#_x0000_t75" alt="Peach symbol with LC" style="width:28.7pt;height:28.7pt" o:ole="">
                  <v:imagedata r:id="rId62" o:title=""/>
                </v:shape>
                <o:OLEObject Type="Embed" ProgID="PBrush" ShapeID="_x0000_i1083" DrawAspect="Content" ObjectID="_1758697792" r:id="rId138"/>
              </w:object>
            </w:r>
          </w:p>
        </w:tc>
      </w:tr>
    </w:tbl>
    <w:p w14:paraId="325FEDC7" w14:textId="69CD8B44" w:rsidR="004C48CE" w:rsidRDefault="005C6677" w:rsidP="004C48CE">
      <w:pPr>
        <w:pStyle w:val="Numberedparagraph"/>
      </w:pPr>
      <w:hyperlink r:id="rId139" w:history="1">
        <w:r w:rsidR="004C48CE" w:rsidRPr="00DD43C6">
          <w:rPr>
            <w:rStyle w:val="Hyperlink"/>
          </w:rPr>
          <w:t>BOPs</w:t>
        </w:r>
      </w:hyperlink>
      <w:r w:rsidR="004C48CE" w:rsidRPr="00F87597">
        <w:rPr>
          <w:vertAlign w:val="superscript"/>
        </w:rPr>
        <w:footnoteReference w:id="42"/>
      </w:r>
      <w:r w:rsidR="004C48CE">
        <w:t xml:space="preserve"> are used relatively extensively for satellite and space spectrum planning. This reflects the additional complication arising from the intertwining of the domestic and international spectrum management processes that occur in satellite and space spectrum planning. There are a number of BOPs covering procedures for space and space</w:t>
      </w:r>
      <w:r w:rsidR="000972B3">
        <w:t>-</w:t>
      </w:r>
      <w:r w:rsidR="004C48CE">
        <w:t>receive licensing, procedures and restrictions for earth and earth</w:t>
      </w:r>
      <w:r w:rsidR="000972B3">
        <w:t>-</w:t>
      </w:r>
      <w:r w:rsidR="004C48CE">
        <w:t xml:space="preserve">receive licensing, and registering earth stations. </w:t>
      </w:r>
    </w:p>
    <w:p w14:paraId="34BF2869" w14:textId="165B810B" w:rsidR="00951720" w:rsidRPr="00A6297F" w:rsidRDefault="00951720" w:rsidP="00425238">
      <w:pPr>
        <w:pStyle w:val="Numberedparagraph"/>
        <w:numPr>
          <w:ilvl w:val="0"/>
          <w:numId w:val="0"/>
        </w:numPr>
      </w:pPr>
    </w:p>
    <w:bookmarkEnd w:id="24"/>
    <w:p w14:paraId="7C95217F" w14:textId="31D8D6CA" w:rsidR="008A139A" w:rsidRDefault="008A139A" w:rsidP="008775B9">
      <w:pPr>
        <w:pStyle w:val="Numberedparagraph"/>
        <w:numPr>
          <w:ilvl w:val="0"/>
          <w:numId w:val="0"/>
        </w:numPr>
        <w:sectPr w:rsidR="008A139A" w:rsidSect="00A05A0A">
          <w:headerReference w:type="even" r:id="rId140"/>
          <w:headerReference w:type="default" r:id="rId141"/>
          <w:footerReference w:type="even" r:id="rId142"/>
          <w:footerReference w:type="default" r:id="rId143"/>
          <w:pgSz w:w="11906" w:h="16838" w:code="9"/>
          <w:pgMar w:top="1945" w:right="3101" w:bottom="1134" w:left="1134" w:header="709" w:footer="119" w:gutter="0"/>
          <w:cols w:space="708"/>
          <w:docGrid w:linePitch="360"/>
        </w:sectPr>
      </w:pPr>
    </w:p>
    <w:p w14:paraId="771E6343" w14:textId="6270DB32" w:rsidR="00E10306" w:rsidRDefault="00E10306" w:rsidP="008775B9">
      <w:pPr>
        <w:pStyle w:val="Heading1"/>
        <w:numPr>
          <w:ilvl w:val="0"/>
          <w:numId w:val="0"/>
        </w:numPr>
      </w:pPr>
      <w:bookmarkStart w:id="33" w:name="_Toc148084741"/>
      <w:r w:rsidRPr="00702EA1">
        <w:lastRenderedPageBreak/>
        <w:t xml:space="preserve">Appendix </w:t>
      </w:r>
      <w:r w:rsidR="007851E3">
        <w:t>A</w:t>
      </w:r>
      <w:r>
        <w:t xml:space="preserve">: </w:t>
      </w:r>
      <w:r w:rsidR="00010568">
        <w:t>S</w:t>
      </w:r>
      <w:r w:rsidRPr="00E10306">
        <w:t>pectrum planning framework</w:t>
      </w:r>
      <w:bookmarkEnd w:id="33"/>
    </w:p>
    <w:p w14:paraId="33582FCD" w14:textId="39A17173" w:rsidR="00010568" w:rsidRPr="00010568" w:rsidRDefault="00350775" w:rsidP="00350775">
      <w:pPr>
        <w:tabs>
          <w:tab w:val="left" w:pos="13041"/>
          <w:tab w:val="left" w:pos="13750"/>
        </w:tabs>
        <w:ind w:left="-426"/>
        <w:jc w:val="center"/>
      </w:pPr>
      <w:r>
        <w:rPr>
          <w:noProof/>
        </w:rPr>
        <w:drawing>
          <wp:inline distT="0" distB="0" distL="0" distR="0" wp14:anchorId="018A1309" wp14:editId="7E3E8BEB">
            <wp:extent cx="9746651" cy="5743575"/>
            <wp:effectExtent l="0" t="0" r="6985" b="0"/>
            <wp:docPr id="16" name="Picture 16" descr="Diagram is explained throughou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is explained throughout text."/>
                    <pic:cNvPicPr/>
                  </pic:nvPicPr>
                  <pic:blipFill>
                    <a:blip r:embed="rId46"/>
                    <a:stretch>
                      <a:fillRect/>
                    </a:stretch>
                  </pic:blipFill>
                  <pic:spPr>
                    <a:xfrm>
                      <a:off x="0" y="0"/>
                      <a:ext cx="9754544" cy="5748226"/>
                    </a:xfrm>
                    <a:prstGeom prst="rect">
                      <a:avLst/>
                    </a:prstGeom>
                  </pic:spPr>
                </pic:pic>
              </a:graphicData>
            </a:graphic>
          </wp:inline>
        </w:drawing>
      </w:r>
    </w:p>
    <w:p w14:paraId="635BD10E" w14:textId="51513570" w:rsidR="00CB68FF" w:rsidRDefault="00CB68FF" w:rsidP="008775B9">
      <w:pPr>
        <w:pStyle w:val="Heading1"/>
        <w:numPr>
          <w:ilvl w:val="0"/>
          <w:numId w:val="0"/>
        </w:numPr>
      </w:pPr>
      <w:bookmarkStart w:id="34" w:name="_Toc148084742"/>
      <w:r w:rsidRPr="00702EA1">
        <w:lastRenderedPageBreak/>
        <w:t xml:space="preserve">Appendix </w:t>
      </w:r>
      <w:r w:rsidR="007851E3">
        <w:t>B</w:t>
      </w:r>
      <w:r>
        <w:t xml:space="preserve">: </w:t>
      </w:r>
      <w:r w:rsidR="00F93E69">
        <w:t>Framework elements</w:t>
      </w:r>
      <w:bookmarkEnd w:id="34"/>
    </w:p>
    <w:tbl>
      <w:tblPr>
        <w:tblStyle w:val="TableGrid"/>
        <w:tblW w:w="14879" w:type="dxa"/>
        <w:tblCellMar>
          <w:top w:w="85" w:type="dxa"/>
          <w:left w:w="85" w:type="dxa"/>
          <w:bottom w:w="85" w:type="dxa"/>
          <w:right w:w="85" w:type="dxa"/>
        </w:tblCellMar>
        <w:tblLook w:val="04A0" w:firstRow="1" w:lastRow="0" w:firstColumn="1" w:lastColumn="0" w:noHBand="0" w:noVBand="1"/>
      </w:tblPr>
      <w:tblGrid>
        <w:gridCol w:w="3941"/>
        <w:gridCol w:w="1724"/>
        <w:gridCol w:w="2127"/>
        <w:gridCol w:w="1275"/>
        <w:gridCol w:w="1418"/>
        <w:gridCol w:w="1417"/>
        <w:gridCol w:w="2977"/>
      </w:tblGrid>
      <w:tr w:rsidR="00C904FA" w14:paraId="0E75814A" w14:textId="77777777" w:rsidTr="007E0151">
        <w:trPr>
          <w:cantSplit/>
          <w:trHeight w:val="20"/>
          <w:tblHeader/>
        </w:trPr>
        <w:tc>
          <w:tcPr>
            <w:tcW w:w="3941" w:type="dxa"/>
            <w:vMerge w:val="restart"/>
            <w:shd w:val="clear" w:color="auto" w:fill="404040" w:themeFill="text1" w:themeFillTint="BF"/>
          </w:tcPr>
          <w:p w14:paraId="4DB3FAF6" w14:textId="77777777"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Element</w:t>
            </w:r>
          </w:p>
        </w:tc>
        <w:tc>
          <w:tcPr>
            <w:tcW w:w="1724" w:type="dxa"/>
            <w:vMerge w:val="restart"/>
            <w:shd w:val="clear" w:color="auto" w:fill="404040" w:themeFill="text1" w:themeFillTint="BF"/>
          </w:tcPr>
          <w:p w14:paraId="4CAE060F" w14:textId="0D64A39F"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 xml:space="preserve">Acronym or </w:t>
            </w:r>
            <w:r w:rsidR="007A5136" w:rsidRPr="007E0151">
              <w:rPr>
                <w:b/>
                <w:bCs/>
                <w:color w:val="FFFFFF" w:themeColor="background1"/>
              </w:rPr>
              <w:t>s</w:t>
            </w:r>
            <w:r w:rsidRPr="007E0151">
              <w:rPr>
                <w:b/>
                <w:bCs/>
                <w:color w:val="FFFFFF" w:themeColor="background1"/>
              </w:rPr>
              <w:t>horthand</w:t>
            </w:r>
          </w:p>
        </w:tc>
        <w:tc>
          <w:tcPr>
            <w:tcW w:w="2127" w:type="dxa"/>
            <w:vMerge w:val="restart"/>
            <w:shd w:val="clear" w:color="auto" w:fill="404040" w:themeFill="text1" w:themeFillTint="BF"/>
          </w:tcPr>
          <w:p w14:paraId="0CAF883C" w14:textId="68E5BE29"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Legislative or admin</w:t>
            </w:r>
            <w:r w:rsidR="000972B3">
              <w:rPr>
                <w:b/>
                <w:bCs/>
                <w:color w:val="FFFFFF" w:themeColor="background1"/>
              </w:rPr>
              <w:t>istrative</w:t>
            </w:r>
            <w:r w:rsidRPr="007E0151">
              <w:rPr>
                <w:b/>
                <w:bCs/>
                <w:color w:val="FFFFFF" w:themeColor="background1"/>
              </w:rPr>
              <w:t xml:space="preserve"> policy</w:t>
            </w:r>
          </w:p>
        </w:tc>
        <w:tc>
          <w:tcPr>
            <w:tcW w:w="4110" w:type="dxa"/>
            <w:gridSpan w:val="3"/>
            <w:shd w:val="clear" w:color="auto" w:fill="404040" w:themeFill="text1" w:themeFillTint="BF"/>
          </w:tcPr>
          <w:p w14:paraId="209B3F00" w14:textId="014E9DD3" w:rsidR="00C904FA" w:rsidRPr="007E0151" w:rsidRDefault="00C904FA" w:rsidP="000972B3">
            <w:pPr>
              <w:pStyle w:val="Numberedparagraph"/>
              <w:numPr>
                <w:ilvl w:val="0"/>
                <w:numId w:val="0"/>
              </w:numPr>
              <w:spacing w:after="0"/>
              <w:jc w:val="center"/>
              <w:rPr>
                <w:b/>
                <w:bCs/>
                <w:color w:val="FFFFFF" w:themeColor="background1"/>
              </w:rPr>
            </w:pPr>
            <w:r w:rsidRPr="007E0151">
              <w:rPr>
                <w:b/>
                <w:bCs/>
                <w:color w:val="FFFFFF" w:themeColor="background1"/>
              </w:rPr>
              <w:t xml:space="preserve">Applicable </w:t>
            </w:r>
            <w:r w:rsidR="009A4BA6" w:rsidRPr="007E0151">
              <w:rPr>
                <w:b/>
                <w:bCs/>
                <w:color w:val="FFFFFF" w:themeColor="background1"/>
              </w:rPr>
              <w:t xml:space="preserve">planning </w:t>
            </w:r>
            <w:r w:rsidRPr="007E0151">
              <w:rPr>
                <w:b/>
                <w:bCs/>
                <w:color w:val="FFFFFF" w:themeColor="background1"/>
              </w:rPr>
              <w:t>layer</w:t>
            </w:r>
          </w:p>
        </w:tc>
        <w:tc>
          <w:tcPr>
            <w:tcW w:w="2977" w:type="dxa"/>
            <w:vMerge w:val="restart"/>
            <w:shd w:val="clear" w:color="auto" w:fill="404040" w:themeFill="text1" w:themeFillTint="BF"/>
          </w:tcPr>
          <w:p w14:paraId="7ECCB62B" w14:textId="22BC6A7D" w:rsidR="00C904FA" w:rsidRPr="007E0151" w:rsidRDefault="00853D3C" w:rsidP="000972B3">
            <w:pPr>
              <w:pStyle w:val="Numberedparagraph"/>
              <w:numPr>
                <w:ilvl w:val="0"/>
                <w:numId w:val="0"/>
              </w:numPr>
              <w:spacing w:after="0"/>
              <w:rPr>
                <w:b/>
                <w:bCs/>
                <w:color w:val="FFFFFF" w:themeColor="background1"/>
              </w:rPr>
            </w:pPr>
            <w:r w:rsidRPr="007E0151">
              <w:rPr>
                <w:b/>
                <w:bCs/>
                <w:color w:val="FFFFFF" w:themeColor="background1"/>
              </w:rPr>
              <w:t>Paragraphs</w:t>
            </w:r>
          </w:p>
        </w:tc>
      </w:tr>
      <w:tr w:rsidR="000A7341" w14:paraId="548393F9" w14:textId="77777777" w:rsidTr="007E0151">
        <w:trPr>
          <w:cantSplit/>
          <w:trHeight w:val="20"/>
          <w:tblHeader/>
        </w:trPr>
        <w:tc>
          <w:tcPr>
            <w:tcW w:w="3941" w:type="dxa"/>
            <w:vMerge/>
            <w:shd w:val="clear" w:color="auto" w:fill="404040" w:themeFill="text1" w:themeFillTint="BF"/>
          </w:tcPr>
          <w:p w14:paraId="4CEDBC7D" w14:textId="77777777" w:rsidR="00C904FA" w:rsidRPr="007E0151" w:rsidRDefault="00C904FA" w:rsidP="00462C2D">
            <w:pPr>
              <w:pStyle w:val="Numberedparagraph"/>
              <w:numPr>
                <w:ilvl w:val="0"/>
                <w:numId w:val="0"/>
              </w:numPr>
              <w:rPr>
                <w:color w:val="FFFFFF" w:themeColor="background1"/>
              </w:rPr>
            </w:pPr>
          </w:p>
        </w:tc>
        <w:tc>
          <w:tcPr>
            <w:tcW w:w="1724" w:type="dxa"/>
            <w:vMerge/>
            <w:shd w:val="clear" w:color="auto" w:fill="404040" w:themeFill="text1" w:themeFillTint="BF"/>
          </w:tcPr>
          <w:p w14:paraId="13DE8445" w14:textId="77777777" w:rsidR="00C904FA" w:rsidRPr="007E0151" w:rsidRDefault="00C904FA" w:rsidP="00462C2D">
            <w:pPr>
              <w:pStyle w:val="Numberedparagraph"/>
              <w:numPr>
                <w:ilvl w:val="0"/>
                <w:numId w:val="0"/>
              </w:numPr>
              <w:rPr>
                <w:color w:val="FFFFFF" w:themeColor="background1"/>
              </w:rPr>
            </w:pPr>
          </w:p>
        </w:tc>
        <w:tc>
          <w:tcPr>
            <w:tcW w:w="2127" w:type="dxa"/>
            <w:vMerge/>
            <w:shd w:val="clear" w:color="auto" w:fill="404040" w:themeFill="text1" w:themeFillTint="BF"/>
          </w:tcPr>
          <w:p w14:paraId="5764E19F" w14:textId="6CF87CF4" w:rsidR="00C904FA" w:rsidRPr="007E0151" w:rsidRDefault="00C904FA" w:rsidP="00462C2D">
            <w:pPr>
              <w:pStyle w:val="Numberedparagraph"/>
              <w:numPr>
                <w:ilvl w:val="0"/>
                <w:numId w:val="0"/>
              </w:numPr>
              <w:rPr>
                <w:color w:val="FFFFFF" w:themeColor="background1"/>
              </w:rPr>
            </w:pPr>
          </w:p>
        </w:tc>
        <w:tc>
          <w:tcPr>
            <w:tcW w:w="1275" w:type="dxa"/>
            <w:shd w:val="clear" w:color="auto" w:fill="7F7F7F" w:themeFill="text1" w:themeFillTint="80"/>
          </w:tcPr>
          <w:p w14:paraId="54308546" w14:textId="4CD5A900"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Band planning</w:t>
            </w:r>
          </w:p>
        </w:tc>
        <w:tc>
          <w:tcPr>
            <w:tcW w:w="1418" w:type="dxa"/>
            <w:shd w:val="clear" w:color="auto" w:fill="7F7F7F" w:themeFill="text1" w:themeFillTint="80"/>
          </w:tcPr>
          <w:p w14:paraId="6475B993" w14:textId="2175E30F"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Frequency assignment</w:t>
            </w:r>
          </w:p>
        </w:tc>
        <w:tc>
          <w:tcPr>
            <w:tcW w:w="1417" w:type="dxa"/>
            <w:shd w:val="clear" w:color="auto" w:fill="7F7F7F" w:themeFill="text1" w:themeFillTint="80"/>
          </w:tcPr>
          <w:p w14:paraId="135D32DE" w14:textId="638AA532" w:rsidR="00C904FA" w:rsidRPr="007E0151" w:rsidRDefault="00C904FA" w:rsidP="000972B3">
            <w:pPr>
              <w:pStyle w:val="Numberedparagraph"/>
              <w:numPr>
                <w:ilvl w:val="0"/>
                <w:numId w:val="0"/>
              </w:numPr>
              <w:spacing w:after="0"/>
              <w:rPr>
                <w:b/>
                <w:bCs/>
                <w:color w:val="FFFFFF" w:themeColor="background1"/>
              </w:rPr>
            </w:pPr>
            <w:r w:rsidRPr="007E0151">
              <w:rPr>
                <w:b/>
                <w:bCs/>
                <w:color w:val="FFFFFF" w:themeColor="background1"/>
              </w:rPr>
              <w:t>Licen</w:t>
            </w:r>
            <w:r w:rsidR="000A7341" w:rsidRPr="007E0151">
              <w:rPr>
                <w:b/>
                <w:bCs/>
                <w:color w:val="FFFFFF" w:themeColor="background1"/>
              </w:rPr>
              <w:t xml:space="preserve">ce </w:t>
            </w:r>
            <w:r w:rsidRPr="007E0151">
              <w:rPr>
                <w:b/>
                <w:bCs/>
                <w:color w:val="FFFFFF" w:themeColor="background1"/>
              </w:rPr>
              <w:t>conditions</w:t>
            </w:r>
          </w:p>
        </w:tc>
        <w:tc>
          <w:tcPr>
            <w:tcW w:w="2977" w:type="dxa"/>
            <w:vMerge/>
          </w:tcPr>
          <w:p w14:paraId="797528CA" w14:textId="6292C417" w:rsidR="00C904FA" w:rsidRDefault="00C904FA" w:rsidP="00462C2D">
            <w:pPr>
              <w:pStyle w:val="Numberedparagraph"/>
              <w:numPr>
                <w:ilvl w:val="0"/>
                <w:numId w:val="0"/>
              </w:numPr>
            </w:pPr>
          </w:p>
        </w:tc>
      </w:tr>
      <w:tr w:rsidR="000A7341" w14:paraId="293F2573" w14:textId="77777777" w:rsidTr="000972B3">
        <w:trPr>
          <w:cantSplit/>
          <w:trHeight w:val="314"/>
        </w:trPr>
        <w:tc>
          <w:tcPr>
            <w:tcW w:w="3941" w:type="dxa"/>
          </w:tcPr>
          <w:p w14:paraId="46829FEF" w14:textId="240D002D" w:rsidR="00C904FA" w:rsidRDefault="00C904FA" w:rsidP="000972B3">
            <w:pPr>
              <w:pStyle w:val="Numberedparagraph"/>
              <w:numPr>
                <w:ilvl w:val="0"/>
                <w:numId w:val="0"/>
              </w:numPr>
              <w:spacing w:after="0"/>
            </w:pPr>
            <w:r>
              <w:t>Australian Radiofrequency Spectrum Plan</w:t>
            </w:r>
          </w:p>
        </w:tc>
        <w:tc>
          <w:tcPr>
            <w:tcW w:w="1724" w:type="dxa"/>
          </w:tcPr>
          <w:p w14:paraId="784E64DF" w14:textId="77777777" w:rsidR="00C904FA" w:rsidRDefault="00C904FA" w:rsidP="000972B3">
            <w:pPr>
              <w:pStyle w:val="Numberedparagraph"/>
              <w:numPr>
                <w:ilvl w:val="0"/>
                <w:numId w:val="0"/>
              </w:numPr>
              <w:spacing w:after="80"/>
            </w:pPr>
            <w:r>
              <w:t>ARSP</w:t>
            </w:r>
          </w:p>
          <w:p w14:paraId="3665A237" w14:textId="21C8C40F" w:rsidR="00C904FA" w:rsidRDefault="00C904FA" w:rsidP="000972B3">
            <w:pPr>
              <w:pStyle w:val="Numberedparagraph"/>
              <w:numPr>
                <w:ilvl w:val="0"/>
                <w:numId w:val="0"/>
              </w:numPr>
              <w:spacing w:after="0"/>
            </w:pPr>
            <w:r>
              <w:t xml:space="preserve">Spectrum Plan </w:t>
            </w:r>
          </w:p>
        </w:tc>
        <w:tc>
          <w:tcPr>
            <w:tcW w:w="2127" w:type="dxa"/>
          </w:tcPr>
          <w:p w14:paraId="1C3E7B9A" w14:textId="179DEAD4" w:rsidR="00C904FA" w:rsidRDefault="00C904FA" w:rsidP="00462C2D">
            <w:pPr>
              <w:pStyle w:val="Numberedparagraph"/>
              <w:numPr>
                <w:ilvl w:val="0"/>
                <w:numId w:val="0"/>
              </w:numPr>
            </w:pPr>
            <w:r>
              <w:t>Legislative (s</w:t>
            </w:r>
            <w:r w:rsidR="00AB3BA7">
              <w:t xml:space="preserve">. </w:t>
            </w:r>
            <w:r>
              <w:t>30)</w:t>
            </w:r>
          </w:p>
        </w:tc>
        <w:tc>
          <w:tcPr>
            <w:tcW w:w="1275" w:type="dxa"/>
          </w:tcPr>
          <w:p w14:paraId="24188C61" w14:textId="764AC91C" w:rsidR="00C904FA" w:rsidRDefault="00C904FA" w:rsidP="000972B3">
            <w:pPr>
              <w:pStyle w:val="Numberedparagraph"/>
              <w:numPr>
                <w:ilvl w:val="0"/>
                <w:numId w:val="0"/>
              </w:numPr>
              <w:spacing w:after="0"/>
              <w:jc w:val="center"/>
            </w:pPr>
            <w:r>
              <w:rPr>
                <w:noProof/>
              </w:rPr>
              <w:drawing>
                <wp:inline distT="0" distB="0" distL="0" distR="0" wp14:anchorId="2E1235EA" wp14:editId="45FD108B">
                  <wp:extent cx="196850" cy="196850"/>
                  <wp:effectExtent l="0" t="0" r="0" b="0"/>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5CCE1903" w14:textId="77777777" w:rsidR="00C904FA" w:rsidRDefault="00C904FA" w:rsidP="000972B3">
            <w:pPr>
              <w:pStyle w:val="Numberedparagraph"/>
              <w:numPr>
                <w:ilvl w:val="0"/>
                <w:numId w:val="0"/>
              </w:numPr>
              <w:spacing w:after="0"/>
              <w:jc w:val="center"/>
            </w:pPr>
          </w:p>
        </w:tc>
        <w:tc>
          <w:tcPr>
            <w:tcW w:w="1417" w:type="dxa"/>
          </w:tcPr>
          <w:p w14:paraId="69A275A2" w14:textId="77777777" w:rsidR="00C904FA" w:rsidRDefault="00C904FA" w:rsidP="000972B3">
            <w:pPr>
              <w:pStyle w:val="Numberedparagraph"/>
              <w:numPr>
                <w:ilvl w:val="0"/>
                <w:numId w:val="0"/>
              </w:numPr>
              <w:spacing w:after="0"/>
              <w:jc w:val="center"/>
            </w:pPr>
          </w:p>
        </w:tc>
        <w:tc>
          <w:tcPr>
            <w:tcW w:w="2977" w:type="dxa"/>
          </w:tcPr>
          <w:p w14:paraId="57611ED9" w14:textId="18F72095" w:rsidR="00C904FA" w:rsidRDefault="00853D3C" w:rsidP="002736AB">
            <w:pPr>
              <w:pStyle w:val="Numberedparagraph"/>
              <w:numPr>
                <w:ilvl w:val="0"/>
                <w:numId w:val="0"/>
              </w:numPr>
              <w:spacing w:after="80"/>
            </w:pPr>
            <w:r>
              <w:t>3.2</w:t>
            </w:r>
            <w:r w:rsidR="00565135">
              <w:t>4</w:t>
            </w:r>
            <w:r w:rsidR="00AB3BA7">
              <w:t>–</w:t>
            </w:r>
            <w:r>
              <w:t>3.2</w:t>
            </w:r>
            <w:r w:rsidR="00565135">
              <w:t>8</w:t>
            </w:r>
          </w:p>
          <w:p w14:paraId="1525A42F" w14:textId="409E5815" w:rsidR="002736AB" w:rsidRDefault="002736AB" w:rsidP="002736AB">
            <w:pPr>
              <w:pStyle w:val="Numberedparagraph"/>
              <w:numPr>
                <w:ilvl w:val="0"/>
                <w:numId w:val="0"/>
              </w:numPr>
              <w:spacing w:after="80"/>
            </w:pPr>
            <w:r>
              <w:t>Spectrum licen</w:t>
            </w:r>
            <w:r w:rsidR="009D16CD">
              <w:t>s</w:t>
            </w:r>
            <w:r>
              <w:t>ing: 4.</w:t>
            </w:r>
            <w:r w:rsidR="00565135">
              <w:t>5</w:t>
            </w:r>
            <w:r w:rsidR="00AB3BA7">
              <w:t>–</w:t>
            </w:r>
            <w:r>
              <w:t>4.</w:t>
            </w:r>
            <w:r w:rsidR="00565135">
              <w:t>6</w:t>
            </w:r>
          </w:p>
          <w:p w14:paraId="1887B71F" w14:textId="1B9266B4" w:rsidR="00513A71" w:rsidRDefault="00513A71" w:rsidP="000972B3">
            <w:pPr>
              <w:pStyle w:val="Numberedparagraph"/>
              <w:numPr>
                <w:ilvl w:val="0"/>
                <w:numId w:val="0"/>
              </w:numPr>
              <w:spacing w:after="0"/>
            </w:pPr>
            <w:r>
              <w:t>Space-based: 4.</w:t>
            </w:r>
            <w:r w:rsidR="00960A8A">
              <w:t>59</w:t>
            </w:r>
          </w:p>
        </w:tc>
      </w:tr>
      <w:tr w:rsidR="00350B9E" w14:paraId="07160157" w14:textId="77777777" w:rsidTr="000972B3">
        <w:trPr>
          <w:cantSplit/>
        </w:trPr>
        <w:tc>
          <w:tcPr>
            <w:tcW w:w="3941" w:type="dxa"/>
          </w:tcPr>
          <w:p w14:paraId="65627C67" w14:textId="540D2BFA" w:rsidR="00350B9E" w:rsidRDefault="00350B9E" w:rsidP="000972B3">
            <w:pPr>
              <w:pStyle w:val="Numberedparagraph"/>
              <w:numPr>
                <w:ilvl w:val="0"/>
                <w:numId w:val="0"/>
              </w:numPr>
              <w:spacing w:after="0"/>
            </w:pPr>
            <w:r>
              <w:t xml:space="preserve">ACMA </w:t>
            </w:r>
            <w:r w:rsidR="00853D3C">
              <w:t>planning decisions</w:t>
            </w:r>
          </w:p>
        </w:tc>
        <w:tc>
          <w:tcPr>
            <w:tcW w:w="1724" w:type="dxa"/>
          </w:tcPr>
          <w:p w14:paraId="0E4B6F2F" w14:textId="7CEEF0BE" w:rsidR="00350B9E" w:rsidRDefault="00AB3BA7" w:rsidP="000972B3">
            <w:pPr>
              <w:pStyle w:val="Numberedparagraph"/>
              <w:numPr>
                <w:ilvl w:val="0"/>
                <w:numId w:val="0"/>
              </w:numPr>
              <w:spacing w:after="0"/>
            </w:pPr>
            <w:r>
              <w:t>O</w:t>
            </w:r>
            <w:r w:rsidR="009A4BA6">
              <w:t xml:space="preserve">utcomes </w:t>
            </w:r>
            <w:r w:rsidR="00350B9E">
              <w:t>paper</w:t>
            </w:r>
          </w:p>
        </w:tc>
        <w:tc>
          <w:tcPr>
            <w:tcW w:w="2127" w:type="dxa"/>
          </w:tcPr>
          <w:p w14:paraId="7EF529E6" w14:textId="448B57B2" w:rsidR="00350B9E" w:rsidRDefault="00350B9E" w:rsidP="000972B3">
            <w:pPr>
              <w:pStyle w:val="Numberedparagraph"/>
              <w:numPr>
                <w:ilvl w:val="0"/>
                <w:numId w:val="0"/>
              </w:numPr>
              <w:spacing w:after="0"/>
            </w:pPr>
            <w:r>
              <w:t>Administrative policy</w:t>
            </w:r>
          </w:p>
        </w:tc>
        <w:tc>
          <w:tcPr>
            <w:tcW w:w="1275" w:type="dxa"/>
          </w:tcPr>
          <w:p w14:paraId="1E5555DE" w14:textId="54E95578" w:rsidR="00350B9E" w:rsidRDefault="00350B9E" w:rsidP="000972B3">
            <w:pPr>
              <w:pStyle w:val="Numberedparagraph"/>
              <w:numPr>
                <w:ilvl w:val="0"/>
                <w:numId w:val="0"/>
              </w:numPr>
              <w:spacing w:after="0"/>
              <w:jc w:val="center"/>
              <w:rPr>
                <w:noProof/>
              </w:rPr>
            </w:pPr>
            <w:r>
              <w:rPr>
                <w:noProof/>
              </w:rPr>
              <w:drawing>
                <wp:inline distT="0" distB="0" distL="0" distR="0" wp14:anchorId="1680D070" wp14:editId="66C9051E">
                  <wp:extent cx="196850" cy="196850"/>
                  <wp:effectExtent l="0" t="0" r="0" b="0"/>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4ACBDC1F" w14:textId="77777777" w:rsidR="00350B9E" w:rsidRDefault="00350B9E" w:rsidP="000972B3">
            <w:pPr>
              <w:pStyle w:val="Numberedparagraph"/>
              <w:numPr>
                <w:ilvl w:val="0"/>
                <w:numId w:val="0"/>
              </w:numPr>
              <w:spacing w:after="0"/>
              <w:jc w:val="center"/>
            </w:pPr>
          </w:p>
        </w:tc>
        <w:tc>
          <w:tcPr>
            <w:tcW w:w="1417" w:type="dxa"/>
          </w:tcPr>
          <w:p w14:paraId="09C86D21" w14:textId="77777777" w:rsidR="00350B9E" w:rsidRDefault="00350B9E" w:rsidP="000972B3">
            <w:pPr>
              <w:pStyle w:val="Numberedparagraph"/>
              <w:numPr>
                <w:ilvl w:val="0"/>
                <w:numId w:val="0"/>
              </w:numPr>
              <w:spacing w:after="0"/>
              <w:jc w:val="center"/>
            </w:pPr>
          </w:p>
        </w:tc>
        <w:tc>
          <w:tcPr>
            <w:tcW w:w="2977" w:type="dxa"/>
          </w:tcPr>
          <w:p w14:paraId="690F32A0" w14:textId="61953F37" w:rsidR="00350B9E" w:rsidRDefault="00853D3C" w:rsidP="000972B3">
            <w:pPr>
              <w:pStyle w:val="Numberedparagraph"/>
              <w:numPr>
                <w:ilvl w:val="0"/>
                <w:numId w:val="0"/>
              </w:numPr>
              <w:spacing w:after="0"/>
            </w:pPr>
            <w:r>
              <w:t>3.</w:t>
            </w:r>
            <w:r w:rsidR="00904806">
              <w:t>29</w:t>
            </w:r>
          </w:p>
        </w:tc>
      </w:tr>
      <w:tr w:rsidR="000A7341" w14:paraId="78E921E0" w14:textId="77777777" w:rsidTr="000972B3">
        <w:trPr>
          <w:cantSplit/>
        </w:trPr>
        <w:tc>
          <w:tcPr>
            <w:tcW w:w="3941" w:type="dxa"/>
          </w:tcPr>
          <w:p w14:paraId="3458CA81" w14:textId="1D6AA064" w:rsidR="00C904FA" w:rsidRDefault="00C904FA" w:rsidP="000972B3">
            <w:pPr>
              <w:pStyle w:val="Numberedparagraph"/>
              <w:numPr>
                <w:ilvl w:val="0"/>
                <w:numId w:val="0"/>
              </w:numPr>
              <w:spacing w:after="0"/>
            </w:pPr>
            <w:r>
              <w:t xml:space="preserve">Frequency </w:t>
            </w:r>
            <w:r w:rsidR="0053539D">
              <w:t>b</w:t>
            </w:r>
            <w:r>
              <w:t xml:space="preserve">and </w:t>
            </w:r>
            <w:r w:rsidR="0053539D">
              <w:t>p</w:t>
            </w:r>
            <w:r>
              <w:t>lan</w:t>
            </w:r>
            <w:r w:rsidR="00BB5B85">
              <w:t>s</w:t>
            </w:r>
          </w:p>
        </w:tc>
        <w:tc>
          <w:tcPr>
            <w:tcW w:w="1724" w:type="dxa"/>
          </w:tcPr>
          <w:p w14:paraId="0488A740" w14:textId="77777777" w:rsidR="00C904FA" w:rsidRDefault="00C904FA" w:rsidP="000972B3">
            <w:pPr>
              <w:pStyle w:val="Numberedparagraph"/>
              <w:numPr>
                <w:ilvl w:val="0"/>
                <w:numId w:val="0"/>
              </w:numPr>
              <w:spacing w:after="0"/>
            </w:pPr>
          </w:p>
        </w:tc>
        <w:tc>
          <w:tcPr>
            <w:tcW w:w="2127" w:type="dxa"/>
          </w:tcPr>
          <w:p w14:paraId="4D5D8011" w14:textId="4A350CB0" w:rsidR="00C904FA" w:rsidRDefault="00C904FA" w:rsidP="000972B3">
            <w:pPr>
              <w:pStyle w:val="Numberedparagraph"/>
              <w:numPr>
                <w:ilvl w:val="0"/>
                <w:numId w:val="0"/>
              </w:numPr>
              <w:spacing w:after="0"/>
            </w:pPr>
            <w:r>
              <w:t>Legislative (s</w:t>
            </w:r>
            <w:r w:rsidR="00AB3BA7">
              <w:t xml:space="preserve">. </w:t>
            </w:r>
            <w:r>
              <w:t>32)</w:t>
            </w:r>
          </w:p>
        </w:tc>
        <w:tc>
          <w:tcPr>
            <w:tcW w:w="1275" w:type="dxa"/>
          </w:tcPr>
          <w:p w14:paraId="1706F7C7" w14:textId="320347A4" w:rsidR="00C904FA" w:rsidRDefault="00C904FA" w:rsidP="000972B3">
            <w:pPr>
              <w:pStyle w:val="Numberedparagraph"/>
              <w:numPr>
                <w:ilvl w:val="0"/>
                <w:numId w:val="0"/>
              </w:numPr>
              <w:spacing w:after="0"/>
              <w:jc w:val="center"/>
              <w:rPr>
                <w:noProof/>
              </w:rPr>
            </w:pPr>
            <w:r>
              <w:rPr>
                <w:noProof/>
              </w:rPr>
              <w:drawing>
                <wp:inline distT="0" distB="0" distL="0" distR="0" wp14:anchorId="42E039FE" wp14:editId="2F1D8FD4">
                  <wp:extent cx="196850" cy="196850"/>
                  <wp:effectExtent l="0" t="0" r="0" b="0"/>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015C3A7B" w14:textId="77777777" w:rsidR="00C904FA" w:rsidRDefault="00C904FA" w:rsidP="000972B3">
            <w:pPr>
              <w:pStyle w:val="Numberedparagraph"/>
              <w:numPr>
                <w:ilvl w:val="0"/>
                <w:numId w:val="0"/>
              </w:numPr>
              <w:spacing w:after="0"/>
              <w:jc w:val="center"/>
            </w:pPr>
          </w:p>
        </w:tc>
        <w:tc>
          <w:tcPr>
            <w:tcW w:w="1417" w:type="dxa"/>
          </w:tcPr>
          <w:p w14:paraId="4A3C221A" w14:textId="77777777" w:rsidR="00C904FA" w:rsidRDefault="00C904FA" w:rsidP="000972B3">
            <w:pPr>
              <w:pStyle w:val="Numberedparagraph"/>
              <w:numPr>
                <w:ilvl w:val="0"/>
                <w:numId w:val="0"/>
              </w:numPr>
              <w:spacing w:after="0"/>
              <w:jc w:val="center"/>
            </w:pPr>
          </w:p>
        </w:tc>
        <w:tc>
          <w:tcPr>
            <w:tcW w:w="2977" w:type="dxa"/>
          </w:tcPr>
          <w:p w14:paraId="190B8B50" w14:textId="3242ABCF" w:rsidR="00FC670D" w:rsidRDefault="00853D3C" w:rsidP="00FC670D">
            <w:pPr>
              <w:pStyle w:val="Numberedparagraph"/>
              <w:numPr>
                <w:ilvl w:val="0"/>
                <w:numId w:val="0"/>
              </w:numPr>
              <w:spacing w:after="80"/>
            </w:pPr>
            <w:r>
              <w:t>3.</w:t>
            </w:r>
            <w:r w:rsidR="00260509">
              <w:t>3</w:t>
            </w:r>
            <w:r w:rsidR="00904806">
              <w:t>0</w:t>
            </w:r>
            <w:r w:rsidR="00AB3BA7">
              <w:t>–</w:t>
            </w:r>
            <w:r>
              <w:t>3.</w:t>
            </w:r>
            <w:r w:rsidR="00260509">
              <w:t>3</w:t>
            </w:r>
            <w:r w:rsidR="00904806">
              <w:t>2</w:t>
            </w:r>
            <w:r>
              <w:t xml:space="preserve"> </w:t>
            </w:r>
          </w:p>
          <w:p w14:paraId="25296BBF" w14:textId="53C848C8" w:rsidR="00513A71" w:rsidRDefault="00FC670D" w:rsidP="00513A71">
            <w:pPr>
              <w:pStyle w:val="Numberedparagraph"/>
              <w:numPr>
                <w:ilvl w:val="0"/>
                <w:numId w:val="0"/>
              </w:numPr>
              <w:spacing w:after="80"/>
            </w:pPr>
            <w:r>
              <w:t>Spectrum licen</w:t>
            </w:r>
            <w:r w:rsidR="009D16CD">
              <w:t>s</w:t>
            </w:r>
            <w:r>
              <w:t>ing: 4.1</w:t>
            </w:r>
            <w:r w:rsidR="00904806">
              <w:t>7</w:t>
            </w:r>
            <w:r w:rsidR="00AB3BA7">
              <w:t>–</w:t>
            </w:r>
            <w:r>
              <w:t>4.1</w:t>
            </w:r>
            <w:r w:rsidR="00904806">
              <w:t>8</w:t>
            </w:r>
          </w:p>
          <w:p w14:paraId="7FF519BB" w14:textId="35565AAB" w:rsidR="00C904FA" w:rsidRDefault="00513A71" w:rsidP="000972B3">
            <w:pPr>
              <w:pStyle w:val="Numberedparagraph"/>
              <w:numPr>
                <w:ilvl w:val="0"/>
                <w:numId w:val="0"/>
              </w:numPr>
              <w:spacing w:after="0"/>
            </w:pPr>
            <w:r>
              <w:t>Space-based: 4.</w:t>
            </w:r>
            <w:r w:rsidR="00904806">
              <w:t>6</w:t>
            </w:r>
            <w:r w:rsidR="00960A8A">
              <w:t>0</w:t>
            </w:r>
          </w:p>
        </w:tc>
      </w:tr>
      <w:tr w:rsidR="000A7341" w14:paraId="537E43B1" w14:textId="77777777" w:rsidTr="000972B3">
        <w:trPr>
          <w:cantSplit/>
        </w:trPr>
        <w:tc>
          <w:tcPr>
            <w:tcW w:w="3941" w:type="dxa"/>
          </w:tcPr>
          <w:p w14:paraId="5876A0B1" w14:textId="66714DEE" w:rsidR="00C904FA" w:rsidRDefault="00C904FA" w:rsidP="000972B3">
            <w:pPr>
              <w:pStyle w:val="Numberedparagraph"/>
              <w:numPr>
                <w:ilvl w:val="0"/>
                <w:numId w:val="0"/>
              </w:numPr>
              <w:spacing w:after="0"/>
            </w:pPr>
            <w:r>
              <w:t xml:space="preserve">Administrative </w:t>
            </w:r>
            <w:r w:rsidR="0053539D">
              <w:t>b</w:t>
            </w:r>
            <w:r>
              <w:t xml:space="preserve">and </w:t>
            </w:r>
            <w:r w:rsidR="00BB5B85">
              <w:t>p</w:t>
            </w:r>
            <w:r>
              <w:t>lan</w:t>
            </w:r>
            <w:r w:rsidR="00BB5B85">
              <w:t>s</w:t>
            </w:r>
          </w:p>
        </w:tc>
        <w:tc>
          <w:tcPr>
            <w:tcW w:w="1724" w:type="dxa"/>
          </w:tcPr>
          <w:p w14:paraId="58EF5820" w14:textId="77777777" w:rsidR="00C904FA" w:rsidRDefault="00C904FA" w:rsidP="000972B3">
            <w:pPr>
              <w:pStyle w:val="Numberedparagraph"/>
              <w:numPr>
                <w:ilvl w:val="0"/>
                <w:numId w:val="0"/>
              </w:numPr>
              <w:spacing w:after="0"/>
            </w:pPr>
          </w:p>
        </w:tc>
        <w:tc>
          <w:tcPr>
            <w:tcW w:w="2127" w:type="dxa"/>
          </w:tcPr>
          <w:p w14:paraId="59FF7CC4" w14:textId="52F9EC69" w:rsidR="00C904FA" w:rsidRDefault="00C904FA" w:rsidP="000972B3">
            <w:pPr>
              <w:pStyle w:val="Numberedparagraph"/>
              <w:numPr>
                <w:ilvl w:val="0"/>
                <w:numId w:val="0"/>
              </w:numPr>
              <w:spacing w:after="0"/>
            </w:pPr>
            <w:r>
              <w:t>Administrative policy</w:t>
            </w:r>
          </w:p>
        </w:tc>
        <w:tc>
          <w:tcPr>
            <w:tcW w:w="1275" w:type="dxa"/>
          </w:tcPr>
          <w:p w14:paraId="39625C92" w14:textId="6F0A01CE" w:rsidR="00C904FA" w:rsidRDefault="00C904FA" w:rsidP="000972B3">
            <w:pPr>
              <w:pStyle w:val="Numberedparagraph"/>
              <w:numPr>
                <w:ilvl w:val="0"/>
                <w:numId w:val="0"/>
              </w:numPr>
              <w:spacing w:after="0"/>
              <w:jc w:val="center"/>
              <w:rPr>
                <w:noProof/>
              </w:rPr>
            </w:pPr>
            <w:r>
              <w:rPr>
                <w:noProof/>
              </w:rPr>
              <w:drawing>
                <wp:inline distT="0" distB="0" distL="0" distR="0" wp14:anchorId="6DF42B40" wp14:editId="4B2C3A59">
                  <wp:extent cx="196850" cy="196850"/>
                  <wp:effectExtent l="0" t="0" r="0" b="0"/>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0D862010" w14:textId="77777777" w:rsidR="00C904FA" w:rsidRDefault="00C904FA" w:rsidP="000972B3">
            <w:pPr>
              <w:pStyle w:val="Numberedparagraph"/>
              <w:numPr>
                <w:ilvl w:val="0"/>
                <w:numId w:val="0"/>
              </w:numPr>
              <w:spacing w:after="0"/>
              <w:jc w:val="center"/>
            </w:pPr>
          </w:p>
        </w:tc>
        <w:tc>
          <w:tcPr>
            <w:tcW w:w="1417" w:type="dxa"/>
          </w:tcPr>
          <w:p w14:paraId="6D88C32D" w14:textId="77777777" w:rsidR="00C904FA" w:rsidRDefault="00C904FA" w:rsidP="000972B3">
            <w:pPr>
              <w:pStyle w:val="Numberedparagraph"/>
              <w:numPr>
                <w:ilvl w:val="0"/>
                <w:numId w:val="0"/>
              </w:numPr>
              <w:spacing w:after="0"/>
              <w:jc w:val="center"/>
            </w:pPr>
          </w:p>
        </w:tc>
        <w:tc>
          <w:tcPr>
            <w:tcW w:w="2977" w:type="dxa"/>
          </w:tcPr>
          <w:p w14:paraId="037820D5" w14:textId="23B03C55" w:rsidR="00FC670D" w:rsidRDefault="00853D3C" w:rsidP="00FC670D">
            <w:pPr>
              <w:pStyle w:val="Numberedparagraph"/>
              <w:numPr>
                <w:ilvl w:val="0"/>
                <w:numId w:val="0"/>
              </w:numPr>
              <w:spacing w:after="80"/>
            </w:pPr>
            <w:r>
              <w:t>3.</w:t>
            </w:r>
            <w:r w:rsidR="00260509">
              <w:t>3</w:t>
            </w:r>
            <w:r w:rsidR="00904806">
              <w:t>0</w:t>
            </w:r>
            <w:r>
              <w:t>, 3.</w:t>
            </w:r>
            <w:r w:rsidR="00260509">
              <w:t>3</w:t>
            </w:r>
            <w:r w:rsidR="00904806">
              <w:t>1</w:t>
            </w:r>
            <w:r>
              <w:t>, 3.3</w:t>
            </w:r>
            <w:r w:rsidR="00904806">
              <w:t>3</w:t>
            </w:r>
            <w:r>
              <w:t xml:space="preserve"> and 3.3</w:t>
            </w:r>
            <w:r w:rsidR="00904806">
              <w:t>4</w:t>
            </w:r>
          </w:p>
          <w:p w14:paraId="364569AC" w14:textId="1E6F328A" w:rsidR="00513A71" w:rsidRDefault="00FC670D" w:rsidP="00513A71">
            <w:pPr>
              <w:pStyle w:val="Numberedparagraph"/>
              <w:numPr>
                <w:ilvl w:val="0"/>
                <w:numId w:val="0"/>
              </w:numPr>
              <w:spacing w:after="80"/>
            </w:pPr>
            <w:r>
              <w:t>Spectrum licen</w:t>
            </w:r>
            <w:r w:rsidR="009D16CD">
              <w:t>s</w:t>
            </w:r>
            <w:r>
              <w:t>ing: 4.1</w:t>
            </w:r>
            <w:r w:rsidR="00904806">
              <w:t>7</w:t>
            </w:r>
            <w:r w:rsidR="00AB3BA7">
              <w:t>–</w:t>
            </w:r>
            <w:r>
              <w:t>4.1</w:t>
            </w:r>
            <w:r w:rsidR="00904806">
              <w:t>8</w:t>
            </w:r>
          </w:p>
          <w:p w14:paraId="32B48C7C" w14:textId="75C4E982" w:rsidR="00513A71" w:rsidRDefault="00513A71" w:rsidP="000972B3">
            <w:pPr>
              <w:pStyle w:val="Numberedparagraph"/>
              <w:numPr>
                <w:ilvl w:val="0"/>
                <w:numId w:val="0"/>
              </w:numPr>
              <w:spacing w:after="0"/>
            </w:pPr>
            <w:r>
              <w:t>Space-based: 4.</w:t>
            </w:r>
            <w:r w:rsidR="00904806">
              <w:t>6</w:t>
            </w:r>
            <w:r w:rsidR="00960A8A">
              <w:t>0</w:t>
            </w:r>
          </w:p>
        </w:tc>
      </w:tr>
      <w:tr w:rsidR="00853D3C" w14:paraId="647369F4" w14:textId="77777777" w:rsidTr="000972B3">
        <w:trPr>
          <w:cantSplit/>
        </w:trPr>
        <w:tc>
          <w:tcPr>
            <w:tcW w:w="3941" w:type="dxa"/>
          </w:tcPr>
          <w:p w14:paraId="41BD1C66" w14:textId="5260D3AD" w:rsidR="00853D3C" w:rsidRDefault="00853D3C" w:rsidP="000972B3">
            <w:pPr>
              <w:pStyle w:val="Numberedparagraph"/>
              <w:numPr>
                <w:ilvl w:val="0"/>
                <w:numId w:val="0"/>
              </w:numPr>
              <w:spacing w:after="120"/>
            </w:pPr>
            <w:r>
              <w:t>Class licence</w:t>
            </w:r>
            <w:r w:rsidR="00BB5B85">
              <w:t>s</w:t>
            </w:r>
          </w:p>
        </w:tc>
        <w:tc>
          <w:tcPr>
            <w:tcW w:w="1724" w:type="dxa"/>
          </w:tcPr>
          <w:p w14:paraId="0EF75D22" w14:textId="77777777" w:rsidR="00853D3C" w:rsidRDefault="00853D3C" w:rsidP="000972B3">
            <w:pPr>
              <w:pStyle w:val="Numberedparagraph"/>
              <w:numPr>
                <w:ilvl w:val="0"/>
                <w:numId w:val="0"/>
              </w:numPr>
              <w:spacing w:after="120"/>
            </w:pPr>
          </w:p>
        </w:tc>
        <w:tc>
          <w:tcPr>
            <w:tcW w:w="2127" w:type="dxa"/>
          </w:tcPr>
          <w:p w14:paraId="42BCA04B" w14:textId="703495EC" w:rsidR="00853D3C" w:rsidRDefault="00853D3C" w:rsidP="000972B3">
            <w:pPr>
              <w:pStyle w:val="Numberedparagraph"/>
              <w:numPr>
                <w:ilvl w:val="0"/>
                <w:numId w:val="0"/>
              </w:numPr>
              <w:spacing w:after="120"/>
            </w:pPr>
            <w:r>
              <w:t>Legislative (s</w:t>
            </w:r>
            <w:r w:rsidR="00AB3BA7">
              <w:t>.</w:t>
            </w:r>
            <w:r>
              <w:t>132)</w:t>
            </w:r>
          </w:p>
        </w:tc>
        <w:tc>
          <w:tcPr>
            <w:tcW w:w="1275" w:type="dxa"/>
          </w:tcPr>
          <w:p w14:paraId="595E26E6" w14:textId="7F9AB215" w:rsidR="00853D3C" w:rsidRDefault="00853D3C" w:rsidP="000972B3">
            <w:pPr>
              <w:pStyle w:val="Numberedparagraph"/>
              <w:numPr>
                <w:ilvl w:val="0"/>
                <w:numId w:val="0"/>
              </w:numPr>
              <w:spacing w:after="120"/>
              <w:jc w:val="center"/>
              <w:rPr>
                <w:noProof/>
              </w:rPr>
            </w:pPr>
            <w:r>
              <w:rPr>
                <w:noProof/>
              </w:rPr>
              <w:drawing>
                <wp:inline distT="0" distB="0" distL="0" distR="0" wp14:anchorId="105680F1" wp14:editId="619D566B">
                  <wp:extent cx="196850" cy="196850"/>
                  <wp:effectExtent l="0" t="0" r="0" b="0"/>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0C07349A" w14:textId="77777777" w:rsidR="00853D3C" w:rsidRDefault="00853D3C" w:rsidP="000972B3">
            <w:pPr>
              <w:pStyle w:val="Numberedparagraph"/>
              <w:numPr>
                <w:ilvl w:val="0"/>
                <w:numId w:val="0"/>
              </w:numPr>
              <w:spacing w:after="120"/>
              <w:jc w:val="center"/>
              <w:rPr>
                <w:noProof/>
              </w:rPr>
            </w:pPr>
          </w:p>
        </w:tc>
        <w:tc>
          <w:tcPr>
            <w:tcW w:w="1417" w:type="dxa"/>
          </w:tcPr>
          <w:p w14:paraId="0B79B2C4" w14:textId="77777777" w:rsidR="00853D3C" w:rsidRDefault="00853D3C" w:rsidP="000972B3">
            <w:pPr>
              <w:pStyle w:val="Numberedparagraph"/>
              <w:numPr>
                <w:ilvl w:val="0"/>
                <w:numId w:val="0"/>
              </w:numPr>
              <w:spacing w:after="120"/>
              <w:jc w:val="center"/>
            </w:pPr>
          </w:p>
        </w:tc>
        <w:tc>
          <w:tcPr>
            <w:tcW w:w="2977" w:type="dxa"/>
          </w:tcPr>
          <w:p w14:paraId="36D9DAB9" w14:textId="3A7D3C52" w:rsidR="00513A71" w:rsidRDefault="00853D3C" w:rsidP="00513A71">
            <w:pPr>
              <w:pStyle w:val="Numberedparagraph"/>
              <w:numPr>
                <w:ilvl w:val="0"/>
                <w:numId w:val="0"/>
              </w:numPr>
              <w:spacing w:after="80"/>
            </w:pPr>
            <w:r>
              <w:t>3.3</w:t>
            </w:r>
            <w:r w:rsidR="00904806">
              <w:t>5</w:t>
            </w:r>
            <w:r w:rsidR="00AB3BA7">
              <w:t>–</w:t>
            </w:r>
            <w:r w:rsidR="00904806">
              <w:t>3.37</w:t>
            </w:r>
          </w:p>
          <w:p w14:paraId="56CBD33B" w14:textId="67B14ED4" w:rsidR="00513A71" w:rsidRDefault="00513A71" w:rsidP="000972B3">
            <w:pPr>
              <w:pStyle w:val="Numberedparagraph"/>
              <w:numPr>
                <w:ilvl w:val="0"/>
                <w:numId w:val="0"/>
              </w:numPr>
              <w:spacing w:after="0"/>
            </w:pPr>
            <w:r>
              <w:t>Space-based: 4.6</w:t>
            </w:r>
            <w:r w:rsidR="00960A8A">
              <w:t>1</w:t>
            </w:r>
            <w:r w:rsidR="00AB3BA7">
              <w:t>–</w:t>
            </w:r>
            <w:r>
              <w:t>4.6</w:t>
            </w:r>
            <w:r w:rsidR="00960A8A">
              <w:t>3</w:t>
            </w:r>
          </w:p>
        </w:tc>
      </w:tr>
      <w:tr w:rsidR="00853D3C" w14:paraId="39345BAA" w14:textId="77777777" w:rsidTr="000972B3">
        <w:trPr>
          <w:cantSplit/>
        </w:trPr>
        <w:tc>
          <w:tcPr>
            <w:tcW w:w="3941" w:type="dxa"/>
          </w:tcPr>
          <w:p w14:paraId="3BBD341D" w14:textId="59F08E43" w:rsidR="00853D3C" w:rsidRDefault="00853D3C" w:rsidP="000972B3">
            <w:pPr>
              <w:pStyle w:val="Numberedparagraph"/>
              <w:numPr>
                <w:ilvl w:val="0"/>
                <w:numId w:val="0"/>
              </w:numPr>
              <w:spacing w:after="0"/>
            </w:pPr>
            <w:r>
              <w:t>Ministerial designations of bands primarily for broadcasting purposes</w:t>
            </w:r>
          </w:p>
        </w:tc>
        <w:tc>
          <w:tcPr>
            <w:tcW w:w="1724" w:type="dxa"/>
          </w:tcPr>
          <w:p w14:paraId="648508CF" w14:textId="14195BBA" w:rsidR="00853D3C" w:rsidRDefault="00853D3C" w:rsidP="000972B3">
            <w:pPr>
              <w:pStyle w:val="Numberedparagraph"/>
              <w:numPr>
                <w:ilvl w:val="0"/>
                <w:numId w:val="0"/>
              </w:numPr>
              <w:spacing w:after="0"/>
            </w:pPr>
            <w:r>
              <w:t>BSB band designation</w:t>
            </w:r>
          </w:p>
        </w:tc>
        <w:tc>
          <w:tcPr>
            <w:tcW w:w="2127" w:type="dxa"/>
          </w:tcPr>
          <w:p w14:paraId="5EAFE9F4" w14:textId="2C6884B5" w:rsidR="00853D3C" w:rsidRDefault="00853D3C" w:rsidP="000972B3">
            <w:pPr>
              <w:pStyle w:val="Numberedparagraph"/>
              <w:numPr>
                <w:ilvl w:val="0"/>
                <w:numId w:val="0"/>
              </w:numPr>
              <w:spacing w:after="0"/>
            </w:pPr>
            <w:r>
              <w:t>Legislative (s</w:t>
            </w:r>
            <w:r w:rsidR="00AB3BA7">
              <w:t>.</w:t>
            </w:r>
            <w:r>
              <w:t>31)</w:t>
            </w:r>
          </w:p>
        </w:tc>
        <w:tc>
          <w:tcPr>
            <w:tcW w:w="1275" w:type="dxa"/>
          </w:tcPr>
          <w:p w14:paraId="1DAF200B" w14:textId="08898330" w:rsidR="00853D3C" w:rsidRDefault="00853D3C" w:rsidP="000972B3">
            <w:pPr>
              <w:pStyle w:val="Numberedparagraph"/>
              <w:numPr>
                <w:ilvl w:val="0"/>
                <w:numId w:val="0"/>
              </w:numPr>
              <w:spacing w:after="0"/>
              <w:jc w:val="center"/>
              <w:rPr>
                <w:noProof/>
              </w:rPr>
            </w:pPr>
            <w:r>
              <w:rPr>
                <w:noProof/>
              </w:rPr>
              <w:drawing>
                <wp:inline distT="0" distB="0" distL="0" distR="0" wp14:anchorId="1E7A83DC" wp14:editId="5D2143F8">
                  <wp:extent cx="196850" cy="196850"/>
                  <wp:effectExtent l="0" t="0" r="0" b="0"/>
                  <wp:docPr id="45" name="Graphic 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626CF6C6" w14:textId="77777777" w:rsidR="00853D3C" w:rsidRDefault="00853D3C" w:rsidP="000972B3">
            <w:pPr>
              <w:pStyle w:val="Numberedparagraph"/>
              <w:numPr>
                <w:ilvl w:val="0"/>
                <w:numId w:val="0"/>
              </w:numPr>
              <w:spacing w:after="0"/>
              <w:jc w:val="center"/>
              <w:rPr>
                <w:noProof/>
              </w:rPr>
            </w:pPr>
          </w:p>
        </w:tc>
        <w:tc>
          <w:tcPr>
            <w:tcW w:w="1417" w:type="dxa"/>
          </w:tcPr>
          <w:p w14:paraId="0943ED4A" w14:textId="77777777" w:rsidR="00853D3C" w:rsidRDefault="00853D3C" w:rsidP="000972B3">
            <w:pPr>
              <w:pStyle w:val="Numberedparagraph"/>
              <w:numPr>
                <w:ilvl w:val="0"/>
                <w:numId w:val="0"/>
              </w:numPr>
              <w:spacing w:after="0"/>
              <w:jc w:val="center"/>
            </w:pPr>
          </w:p>
        </w:tc>
        <w:tc>
          <w:tcPr>
            <w:tcW w:w="2977" w:type="dxa"/>
          </w:tcPr>
          <w:p w14:paraId="0DF2DDD1" w14:textId="190D17C1" w:rsidR="00853D3C" w:rsidRDefault="00853D3C" w:rsidP="000972B3">
            <w:pPr>
              <w:pStyle w:val="Numberedparagraph"/>
              <w:numPr>
                <w:ilvl w:val="0"/>
                <w:numId w:val="0"/>
              </w:numPr>
              <w:spacing w:after="0"/>
            </w:pPr>
            <w:r>
              <w:t>3.3</w:t>
            </w:r>
            <w:r w:rsidR="00260509">
              <w:t>8</w:t>
            </w:r>
          </w:p>
        </w:tc>
      </w:tr>
      <w:tr w:rsidR="002736AB" w14:paraId="636EAB86" w14:textId="77777777" w:rsidTr="000972B3">
        <w:trPr>
          <w:cantSplit/>
        </w:trPr>
        <w:tc>
          <w:tcPr>
            <w:tcW w:w="3941" w:type="dxa"/>
          </w:tcPr>
          <w:p w14:paraId="0F139EF9" w14:textId="04ACF06F" w:rsidR="002736AB" w:rsidRPr="00803896" w:rsidRDefault="002736AB" w:rsidP="000972B3">
            <w:pPr>
              <w:pStyle w:val="Numberedparagraph"/>
              <w:numPr>
                <w:ilvl w:val="0"/>
                <w:numId w:val="0"/>
              </w:numPr>
              <w:spacing w:after="0"/>
              <w:rPr>
                <w:highlight w:val="yellow"/>
              </w:rPr>
            </w:pPr>
            <w:r>
              <w:t>Spectrum re-allocation declarations</w:t>
            </w:r>
          </w:p>
        </w:tc>
        <w:tc>
          <w:tcPr>
            <w:tcW w:w="1724" w:type="dxa"/>
          </w:tcPr>
          <w:p w14:paraId="7EC66F66" w14:textId="51E31236" w:rsidR="002736AB" w:rsidRPr="00803896" w:rsidRDefault="002736AB" w:rsidP="000972B3">
            <w:pPr>
              <w:pStyle w:val="Numberedparagraph"/>
              <w:numPr>
                <w:ilvl w:val="0"/>
                <w:numId w:val="0"/>
              </w:numPr>
              <w:spacing w:after="0"/>
              <w:rPr>
                <w:highlight w:val="yellow"/>
              </w:rPr>
            </w:pPr>
          </w:p>
        </w:tc>
        <w:tc>
          <w:tcPr>
            <w:tcW w:w="2127" w:type="dxa"/>
          </w:tcPr>
          <w:p w14:paraId="1DAC9E0F" w14:textId="69D540E4" w:rsidR="002736AB" w:rsidRPr="00803896" w:rsidRDefault="002736AB" w:rsidP="000972B3">
            <w:pPr>
              <w:pStyle w:val="Numberedparagraph"/>
              <w:numPr>
                <w:ilvl w:val="0"/>
                <w:numId w:val="0"/>
              </w:numPr>
              <w:spacing w:after="0"/>
              <w:rPr>
                <w:highlight w:val="yellow"/>
              </w:rPr>
            </w:pPr>
            <w:r>
              <w:t>Legislative (s</w:t>
            </w:r>
            <w:r w:rsidR="00AB3BA7">
              <w:t xml:space="preserve">. </w:t>
            </w:r>
            <w:r>
              <w:t>153B)</w:t>
            </w:r>
          </w:p>
        </w:tc>
        <w:tc>
          <w:tcPr>
            <w:tcW w:w="1275" w:type="dxa"/>
          </w:tcPr>
          <w:p w14:paraId="02385EA0" w14:textId="35BDB9ED" w:rsidR="002736AB" w:rsidRPr="00803896" w:rsidRDefault="002736AB" w:rsidP="000972B3">
            <w:pPr>
              <w:pStyle w:val="Numberedparagraph"/>
              <w:numPr>
                <w:ilvl w:val="0"/>
                <w:numId w:val="0"/>
              </w:numPr>
              <w:spacing w:after="0"/>
              <w:jc w:val="center"/>
              <w:rPr>
                <w:noProof/>
                <w:highlight w:val="yellow"/>
              </w:rPr>
            </w:pPr>
            <w:r>
              <w:rPr>
                <w:noProof/>
              </w:rPr>
              <w:drawing>
                <wp:inline distT="0" distB="0" distL="0" distR="0" wp14:anchorId="4A9281DA" wp14:editId="718C7058">
                  <wp:extent cx="196850" cy="196850"/>
                  <wp:effectExtent l="0" t="0" r="0" b="0"/>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4792C3F1" w14:textId="77777777" w:rsidR="002736AB" w:rsidRPr="00803896" w:rsidRDefault="002736AB" w:rsidP="000972B3">
            <w:pPr>
              <w:pStyle w:val="Numberedparagraph"/>
              <w:numPr>
                <w:ilvl w:val="0"/>
                <w:numId w:val="0"/>
              </w:numPr>
              <w:spacing w:after="0"/>
              <w:jc w:val="center"/>
              <w:rPr>
                <w:noProof/>
                <w:highlight w:val="yellow"/>
              </w:rPr>
            </w:pPr>
          </w:p>
        </w:tc>
        <w:tc>
          <w:tcPr>
            <w:tcW w:w="1417" w:type="dxa"/>
          </w:tcPr>
          <w:p w14:paraId="6473C7A6" w14:textId="77777777" w:rsidR="002736AB" w:rsidRPr="00803896" w:rsidRDefault="002736AB" w:rsidP="000972B3">
            <w:pPr>
              <w:pStyle w:val="Numberedparagraph"/>
              <w:numPr>
                <w:ilvl w:val="0"/>
                <w:numId w:val="0"/>
              </w:numPr>
              <w:spacing w:after="0"/>
              <w:jc w:val="center"/>
              <w:rPr>
                <w:highlight w:val="yellow"/>
              </w:rPr>
            </w:pPr>
          </w:p>
        </w:tc>
        <w:tc>
          <w:tcPr>
            <w:tcW w:w="2977" w:type="dxa"/>
          </w:tcPr>
          <w:p w14:paraId="581C7F26" w14:textId="07BC8DA8" w:rsidR="00260509" w:rsidRPr="00260509" w:rsidRDefault="00260509" w:rsidP="002736AB">
            <w:pPr>
              <w:pStyle w:val="Numberedparagraph"/>
              <w:numPr>
                <w:ilvl w:val="0"/>
                <w:numId w:val="0"/>
              </w:numPr>
              <w:spacing w:after="80"/>
            </w:pPr>
            <w:r w:rsidRPr="00260509">
              <w:t>3.43</w:t>
            </w:r>
          </w:p>
          <w:p w14:paraId="48BF06A4" w14:textId="3D081F5A" w:rsidR="002736AB" w:rsidRDefault="002736AB" w:rsidP="000972B3">
            <w:pPr>
              <w:pStyle w:val="Numberedparagraph"/>
              <w:numPr>
                <w:ilvl w:val="0"/>
                <w:numId w:val="0"/>
              </w:numPr>
              <w:spacing w:after="0"/>
            </w:pPr>
            <w:r w:rsidRPr="00260509">
              <w:t>Spectrum licen</w:t>
            </w:r>
            <w:r w:rsidR="009D16CD" w:rsidRPr="00260509">
              <w:t>s</w:t>
            </w:r>
            <w:r w:rsidRPr="00260509">
              <w:t>ing</w:t>
            </w:r>
            <w:r>
              <w:t>: 4.</w:t>
            </w:r>
            <w:r w:rsidR="00904806">
              <w:t>7</w:t>
            </w:r>
            <w:r w:rsidR="00AB3BA7">
              <w:t>–</w:t>
            </w:r>
            <w:r>
              <w:t>4.</w:t>
            </w:r>
            <w:r w:rsidR="00904806">
              <w:t>10</w:t>
            </w:r>
          </w:p>
        </w:tc>
      </w:tr>
      <w:tr w:rsidR="002736AB" w14:paraId="3D56D652" w14:textId="77777777" w:rsidTr="000972B3">
        <w:trPr>
          <w:cantSplit/>
        </w:trPr>
        <w:tc>
          <w:tcPr>
            <w:tcW w:w="3941" w:type="dxa"/>
          </w:tcPr>
          <w:p w14:paraId="7019D915" w14:textId="374F305A" w:rsidR="002736AB" w:rsidRPr="00803896" w:rsidRDefault="002736AB" w:rsidP="000972B3">
            <w:pPr>
              <w:pStyle w:val="Numberedparagraph"/>
              <w:numPr>
                <w:ilvl w:val="0"/>
                <w:numId w:val="0"/>
              </w:numPr>
              <w:spacing w:after="0"/>
              <w:rPr>
                <w:highlight w:val="yellow"/>
              </w:rPr>
            </w:pPr>
            <w:r w:rsidRPr="002736AB">
              <w:t>Marketing plans</w:t>
            </w:r>
          </w:p>
        </w:tc>
        <w:tc>
          <w:tcPr>
            <w:tcW w:w="1724" w:type="dxa"/>
          </w:tcPr>
          <w:p w14:paraId="2AA9F909" w14:textId="77777777" w:rsidR="002736AB" w:rsidRPr="00803896" w:rsidRDefault="002736AB" w:rsidP="000972B3">
            <w:pPr>
              <w:pStyle w:val="Numberedparagraph"/>
              <w:numPr>
                <w:ilvl w:val="0"/>
                <w:numId w:val="0"/>
              </w:numPr>
              <w:spacing w:after="0"/>
              <w:rPr>
                <w:highlight w:val="yellow"/>
              </w:rPr>
            </w:pPr>
          </w:p>
        </w:tc>
        <w:tc>
          <w:tcPr>
            <w:tcW w:w="2127" w:type="dxa"/>
          </w:tcPr>
          <w:p w14:paraId="55C3923A" w14:textId="3CA27243" w:rsidR="002736AB" w:rsidRPr="00803896" w:rsidRDefault="002736AB" w:rsidP="000972B3">
            <w:pPr>
              <w:pStyle w:val="Numberedparagraph"/>
              <w:numPr>
                <w:ilvl w:val="0"/>
                <w:numId w:val="0"/>
              </w:numPr>
              <w:spacing w:after="0"/>
              <w:rPr>
                <w:highlight w:val="yellow"/>
              </w:rPr>
            </w:pPr>
            <w:r w:rsidRPr="002736AB">
              <w:t>Legislative</w:t>
            </w:r>
          </w:p>
        </w:tc>
        <w:tc>
          <w:tcPr>
            <w:tcW w:w="1275" w:type="dxa"/>
          </w:tcPr>
          <w:p w14:paraId="4ACDB19B" w14:textId="72F4F4A5" w:rsidR="002736AB" w:rsidRPr="00803896" w:rsidRDefault="002736AB" w:rsidP="000972B3">
            <w:pPr>
              <w:pStyle w:val="Numberedparagraph"/>
              <w:numPr>
                <w:ilvl w:val="0"/>
                <w:numId w:val="0"/>
              </w:numPr>
              <w:spacing w:after="0"/>
              <w:jc w:val="center"/>
              <w:rPr>
                <w:noProof/>
                <w:highlight w:val="yellow"/>
              </w:rPr>
            </w:pPr>
            <w:r>
              <w:rPr>
                <w:noProof/>
              </w:rPr>
              <w:drawing>
                <wp:inline distT="0" distB="0" distL="0" distR="0" wp14:anchorId="3A5A645D" wp14:editId="38C91888">
                  <wp:extent cx="196850" cy="196850"/>
                  <wp:effectExtent l="0" t="0" r="0" b="0"/>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50236EC9" w14:textId="77777777" w:rsidR="002736AB" w:rsidRPr="00803896" w:rsidRDefault="002736AB" w:rsidP="000972B3">
            <w:pPr>
              <w:pStyle w:val="Numberedparagraph"/>
              <w:numPr>
                <w:ilvl w:val="0"/>
                <w:numId w:val="0"/>
              </w:numPr>
              <w:spacing w:after="0"/>
              <w:jc w:val="center"/>
              <w:rPr>
                <w:noProof/>
                <w:highlight w:val="yellow"/>
              </w:rPr>
            </w:pPr>
          </w:p>
        </w:tc>
        <w:tc>
          <w:tcPr>
            <w:tcW w:w="1417" w:type="dxa"/>
          </w:tcPr>
          <w:p w14:paraId="7A5DE8F0" w14:textId="77777777" w:rsidR="002736AB" w:rsidRPr="00803896" w:rsidRDefault="002736AB" w:rsidP="000972B3">
            <w:pPr>
              <w:pStyle w:val="Numberedparagraph"/>
              <w:numPr>
                <w:ilvl w:val="0"/>
                <w:numId w:val="0"/>
              </w:numPr>
              <w:spacing w:after="0"/>
              <w:jc w:val="center"/>
              <w:rPr>
                <w:highlight w:val="yellow"/>
              </w:rPr>
            </w:pPr>
          </w:p>
        </w:tc>
        <w:tc>
          <w:tcPr>
            <w:tcW w:w="2977" w:type="dxa"/>
          </w:tcPr>
          <w:p w14:paraId="7FBE29CF" w14:textId="03E8B1DF" w:rsidR="002736AB" w:rsidRPr="00803896" w:rsidRDefault="002736AB" w:rsidP="000972B3">
            <w:pPr>
              <w:pStyle w:val="Numberedparagraph"/>
              <w:numPr>
                <w:ilvl w:val="0"/>
                <w:numId w:val="0"/>
              </w:numPr>
              <w:spacing w:after="0"/>
              <w:rPr>
                <w:highlight w:val="yellow"/>
              </w:rPr>
            </w:pPr>
            <w:r>
              <w:t>Spectrum licen</w:t>
            </w:r>
            <w:r w:rsidR="009D16CD">
              <w:t>s</w:t>
            </w:r>
            <w:r>
              <w:t>ing: 4.1</w:t>
            </w:r>
            <w:r w:rsidR="00904806">
              <w:t>1</w:t>
            </w:r>
            <w:r w:rsidR="00AB3BA7">
              <w:t>–</w:t>
            </w:r>
            <w:r>
              <w:t>4.1</w:t>
            </w:r>
            <w:r w:rsidR="00904806">
              <w:t>6</w:t>
            </w:r>
          </w:p>
        </w:tc>
      </w:tr>
      <w:tr w:rsidR="002736AB" w14:paraId="3F69A862" w14:textId="77777777" w:rsidTr="000972B3">
        <w:trPr>
          <w:cantSplit/>
        </w:trPr>
        <w:tc>
          <w:tcPr>
            <w:tcW w:w="3941" w:type="dxa"/>
          </w:tcPr>
          <w:p w14:paraId="1819324F" w14:textId="17C90C4B" w:rsidR="002736AB" w:rsidRPr="00FB4E37" w:rsidRDefault="002736AB" w:rsidP="000972B3">
            <w:pPr>
              <w:pStyle w:val="Numberedparagraph"/>
              <w:numPr>
                <w:ilvl w:val="0"/>
                <w:numId w:val="0"/>
              </w:numPr>
              <w:spacing w:after="0"/>
            </w:pPr>
            <w:r w:rsidRPr="00FB4E37">
              <w:t>Digital radio channel plans</w:t>
            </w:r>
          </w:p>
        </w:tc>
        <w:tc>
          <w:tcPr>
            <w:tcW w:w="1724" w:type="dxa"/>
          </w:tcPr>
          <w:p w14:paraId="19ABC75C" w14:textId="1FBABB66" w:rsidR="002736AB" w:rsidRPr="00FB4E37" w:rsidRDefault="002736AB" w:rsidP="000972B3">
            <w:pPr>
              <w:pStyle w:val="Numberedparagraph"/>
              <w:numPr>
                <w:ilvl w:val="0"/>
                <w:numId w:val="0"/>
              </w:numPr>
              <w:spacing w:after="0"/>
            </w:pPr>
            <w:r w:rsidRPr="00FB4E37">
              <w:t>DRCP</w:t>
            </w:r>
          </w:p>
        </w:tc>
        <w:tc>
          <w:tcPr>
            <w:tcW w:w="2127" w:type="dxa"/>
          </w:tcPr>
          <w:p w14:paraId="6E0BD2E9" w14:textId="4117480C" w:rsidR="002736AB" w:rsidRPr="00FB4E37" w:rsidRDefault="002736AB" w:rsidP="000972B3">
            <w:pPr>
              <w:pStyle w:val="Numberedparagraph"/>
              <w:numPr>
                <w:ilvl w:val="0"/>
                <w:numId w:val="0"/>
              </w:numPr>
              <w:spacing w:after="0"/>
            </w:pPr>
            <w:r w:rsidRPr="00FB4E37">
              <w:t>Legislative (s</w:t>
            </w:r>
            <w:r w:rsidR="00AB3BA7">
              <w:t xml:space="preserve">. </w:t>
            </w:r>
            <w:r w:rsidRPr="00FB4E37">
              <w:t>44A)</w:t>
            </w:r>
          </w:p>
        </w:tc>
        <w:tc>
          <w:tcPr>
            <w:tcW w:w="1275" w:type="dxa"/>
          </w:tcPr>
          <w:p w14:paraId="56A72137" w14:textId="5F2C00C8" w:rsidR="002736AB" w:rsidRPr="00FB4E37" w:rsidRDefault="002736AB" w:rsidP="000972B3">
            <w:pPr>
              <w:pStyle w:val="Numberedparagraph"/>
              <w:numPr>
                <w:ilvl w:val="0"/>
                <w:numId w:val="0"/>
              </w:numPr>
              <w:spacing w:after="0"/>
              <w:jc w:val="center"/>
              <w:rPr>
                <w:noProof/>
              </w:rPr>
            </w:pPr>
            <w:r w:rsidRPr="00FB4E37">
              <w:rPr>
                <w:noProof/>
              </w:rPr>
              <w:drawing>
                <wp:inline distT="0" distB="0" distL="0" distR="0" wp14:anchorId="3626DE09" wp14:editId="0C20CFE5">
                  <wp:extent cx="196850" cy="196850"/>
                  <wp:effectExtent l="0" t="0" r="0" b="0"/>
                  <wp:docPr id="50" name="Graphic 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64B21C76" w14:textId="77777777" w:rsidR="002736AB" w:rsidRPr="00FB4E37" w:rsidRDefault="002736AB" w:rsidP="000972B3">
            <w:pPr>
              <w:pStyle w:val="Numberedparagraph"/>
              <w:numPr>
                <w:ilvl w:val="0"/>
                <w:numId w:val="0"/>
              </w:numPr>
              <w:spacing w:after="0"/>
              <w:jc w:val="center"/>
              <w:rPr>
                <w:noProof/>
              </w:rPr>
            </w:pPr>
          </w:p>
        </w:tc>
        <w:tc>
          <w:tcPr>
            <w:tcW w:w="1417" w:type="dxa"/>
          </w:tcPr>
          <w:p w14:paraId="1FFAC0C6" w14:textId="77777777" w:rsidR="002736AB" w:rsidRPr="00FB4E37" w:rsidRDefault="002736AB" w:rsidP="000972B3">
            <w:pPr>
              <w:pStyle w:val="Numberedparagraph"/>
              <w:numPr>
                <w:ilvl w:val="0"/>
                <w:numId w:val="0"/>
              </w:numPr>
              <w:spacing w:after="0"/>
              <w:jc w:val="center"/>
            </w:pPr>
          </w:p>
        </w:tc>
        <w:tc>
          <w:tcPr>
            <w:tcW w:w="2977" w:type="dxa"/>
          </w:tcPr>
          <w:p w14:paraId="71C2209A" w14:textId="7C9703E3" w:rsidR="002736AB" w:rsidRPr="00FB4E37" w:rsidRDefault="00513A71" w:rsidP="000972B3">
            <w:pPr>
              <w:pStyle w:val="Numberedparagraph"/>
              <w:numPr>
                <w:ilvl w:val="0"/>
                <w:numId w:val="0"/>
              </w:numPr>
              <w:spacing w:after="0"/>
            </w:pPr>
            <w:r>
              <w:t xml:space="preserve">Broadcasting: </w:t>
            </w:r>
            <w:r w:rsidR="002736AB" w:rsidRPr="00FB4E37">
              <w:t>4.</w:t>
            </w:r>
            <w:r w:rsidR="00FB4E37" w:rsidRPr="00FB4E37">
              <w:t>4</w:t>
            </w:r>
            <w:r w:rsidR="00904806">
              <w:t>2</w:t>
            </w:r>
            <w:r w:rsidR="00AB3BA7">
              <w:t>–</w:t>
            </w:r>
            <w:r w:rsidR="002736AB" w:rsidRPr="00FB4E37">
              <w:t>4.</w:t>
            </w:r>
            <w:r w:rsidR="00FB4E37" w:rsidRPr="00FB4E37">
              <w:t>4</w:t>
            </w:r>
            <w:r w:rsidR="00904806">
              <w:t>4</w:t>
            </w:r>
          </w:p>
        </w:tc>
      </w:tr>
      <w:tr w:rsidR="002736AB" w14:paraId="4FA7C1F4" w14:textId="77777777" w:rsidTr="000972B3">
        <w:trPr>
          <w:cantSplit/>
        </w:trPr>
        <w:tc>
          <w:tcPr>
            <w:tcW w:w="3941" w:type="dxa"/>
          </w:tcPr>
          <w:p w14:paraId="696D47A4" w14:textId="7D1593C6" w:rsidR="002736AB" w:rsidRPr="00FB4E37" w:rsidRDefault="002736AB" w:rsidP="000972B3">
            <w:pPr>
              <w:pStyle w:val="Numberedparagraph"/>
              <w:numPr>
                <w:ilvl w:val="0"/>
                <w:numId w:val="0"/>
              </w:numPr>
              <w:spacing w:after="0"/>
            </w:pPr>
            <w:r w:rsidRPr="00FB4E37">
              <w:t>Licence area plans</w:t>
            </w:r>
          </w:p>
        </w:tc>
        <w:tc>
          <w:tcPr>
            <w:tcW w:w="1724" w:type="dxa"/>
          </w:tcPr>
          <w:p w14:paraId="20623BF1" w14:textId="59B3EB61" w:rsidR="002736AB" w:rsidRDefault="002736AB" w:rsidP="000972B3">
            <w:pPr>
              <w:pStyle w:val="Numberedparagraph"/>
              <w:numPr>
                <w:ilvl w:val="0"/>
                <w:numId w:val="0"/>
              </w:numPr>
              <w:spacing w:after="0"/>
            </w:pPr>
            <w:r>
              <w:t>LAP</w:t>
            </w:r>
          </w:p>
        </w:tc>
        <w:tc>
          <w:tcPr>
            <w:tcW w:w="2127" w:type="dxa"/>
          </w:tcPr>
          <w:p w14:paraId="73A24C76" w14:textId="21183994" w:rsidR="002736AB" w:rsidRDefault="002736AB" w:rsidP="000972B3">
            <w:pPr>
              <w:pStyle w:val="Numberedparagraph"/>
              <w:numPr>
                <w:ilvl w:val="0"/>
                <w:numId w:val="0"/>
              </w:numPr>
              <w:spacing w:after="0"/>
            </w:pPr>
            <w:r>
              <w:t>Legislative (s</w:t>
            </w:r>
            <w:r w:rsidR="00AB3BA7">
              <w:t xml:space="preserve">. </w:t>
            </w:r>
            <w:r>
              <w:t>26 of the BSA)</w:t>
            </w:r>
          </w:p>
        </w:tc>
        <w:tc>
          <w:tcPr>
            <w:tcW w:w="1275" w:type="dxa"/>
          </w:tcPr>
          <w:p w14:paraId="345C48BF" w14:textId="7518F91B" w:rsidR="002736AB" w:rsidRDefault="002736AB" w:rsidP="000972B3">
            <w:pPr>
              <w:pStyle w:val="Numberedparagraph"/>
              <w:numPr>
                <w:ilvl w:val="0"/>
                <w:numId w:val="0"/>
              </w:numPr>
              <w:spacing w:after="0"/>
              <w:jc w:val="center"/>
              <w:rPr>
                <w:noProof/>
              </w:rPr>
            </w:pPr>
            <w:r>
              <w:rPr>
                <w:noProof/>
              </w:rPr>
              <w:drawing>
                <wp:inline distT="0" distB="0" distL="0" distR="0" wp14:anchorId="5A197146" wp14:editId="1D1B7CFF">
                  <wp:extent cx="196850" cy="196850"/>
                  <wp:effectExtent l="0" t="0" r="0" b="0"/>
                  <wp:docPr id="51" name="Graphic 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535FA738" w14:textId="77777777" w:rsidR="002736AB" w:rsidRDefault="002736AB" w:rsidP="000972B3">
            <w:pPr>
              <w:pStyle w:val="Numberedparagraph"/>
              <w:numPr>
                <w:ilvl w:val="0"/>
                <w:numId w:val="0"/>
              </w:numPr>
              <w:spacing w:after="0"/>
              <w:jc w:val="center"/>
              <w:rPr>
                <w:noProof/>
              </w:rPr>
            </w:pPr>
          </w:p>
        </w:tc>
        <w:tc>
          <w:tcPr>
            <w:tcW w:w="1417" w:type="dxa"/>
          </w:tcPr>
          <w:p w14:paraId="179EF566" w14:textId="77777777" w:rsidR="002736AB" w:rsidRDefault="002736AB" w:rsidP="000972B3">
            <w:pPr>
              <w:pStyle w:val="Numberedparagraph"/>
              <w:numPr>
                <w:ilvl w:val="0"/>
                <w:numId w:val="0"/>
              </w:numPr>
              <w:spacing w:after="0"/>
              <w:jc w:val="center"/>
            </w:pPr>
          </w:p>
        </w:tc>
        <w:tc>
          <w:tcPr>
            <w:tcW w:w="2977" w:type="dxa"/>
          </w:tcPr>
          <w:p w14:paraId="48390CAA" w14:textId="1B6CB10E" w:rsidR="002736AB" w:rsidRDefault="00513A71" w:rsidP="000972B3">
            <w:pPr>
              <w:pStyle w:val="Numberedparagraph"/>
              <w:numPr>
                <w:ilvl w:val="0"/>
                <w:numId w:val="0"/>
              </w:numPr>
              <w:spacing w:after="0"/>
            </w:pPr>
            <w:r>
              <w:t xml:space="preserve">Broadcasting: </w:t>
            </w:r>
            <w:r w:rsidR="002736AB">
              <w:t>4.</w:t>
            </w:r>
            <w:r w:rsidR="00FB4E37">
              <w:t>4</w:t>
            </w:r>
            <w:r w:rsidR="00904806">
              <w:t>5</w:t>
            </w:r>
            <w:r w:rsidR="00AB3BA7">
              <w:t>–</w:t>
            </w:r>
            <w:r w:rsidR="00904806">
              <w:t>4.46</w:t>
            </w:r>
          </w:p>
        </w:tc>
      </w:tr>
      <w:tr w:rsidR="002736AB" w14:paraId="277674C3" w14:textId="77777777" w:rsidTr="000972B3">
        <w:trPr>
          <w:cantSplit/>
        </w:trPr>
        <w:tc>
          <w:tcPr>
            <w:tcW w:w="3941" w:type="dxa"/>
          </w:tcPr>
          <w:p w14:paraId="1E08FFB6" w14:textId="5AAE9F3C" w:rsidR="002736AB" w:rsidRDefault="002736AB" w:rsidP="000972B3">
            <w:pPr>
              <w:pStyle w:val="Numberedparagraph"/>
              <w:numPr>
                <w:ilvl w:val="0"/>
                <w:numId w:val="0"/>
              </w:numPr>
              <w:spacing w:after="0"/>
            </w:pPr>
            <w:r>
              <w:lastRenderedPageBreak/>
              <w:t xml:space="preserve">Spectrum </w:t>
            </w:r>
            <w:r w:rsidR="00AE072F">
              <w:t>embargoes</w:t>
            </w:r>
          </w:p>
        </w:tc>
        <w:tc>
          <w:tcPr>
            <w:tcW w:w="1724" w:type="dxa"/>
          </w:tcPr>
          <w:p w14:paraId="5A46BC83" w14:textId="77777777" w:rsidR="002736AB" w:rsidRDefault="002736AB" w:rsidP="000972B3">
            <w:pPr>
              <w:pStyle w:val="Numberedparagraph"/>
              <w:numPr>
                <w:ilvl w:val="0"/>
                <w:numId w:val="0"/>
              </w:numPr>
              <w:spacing w:after="0"/>
            </w:pPr>
          </w:p>
        </w:tc>
        <w:tc>
          <w:tcPr>
            <w:tcW w:w="2127" w:type="dxa"/>
          </w:tcPr>
          <w:p w14:paraId="66BACDCC" w14:textId="30F1DBB2" w:rsidR="002736AB" w:rsidRDefault="002736AB" w:rsidP="000972B3">
            <w:pPr>
              <w:pStyle w:val="Numberedparagraph"/>
              <w:numPr>
                <w:ilvl w:val="0"/>
                <w:numId w:val="0"/>
              </w:numPr>
              <w:spacing w:after="0"/>
            </w:pPr>
            <w:r>
              <w:t>Administrative policy</w:t>
            </w:r>
          </w:p>
        </w:tc>
        <w:tc>
          <w:tcPr>
            <w:tcW w:w="1275" w:type="dxa"/>
          </w:tcPr>
          <w:p w14:paraId="2775EDA4" w14:textId="3909EB45" w:rsidR="002736AB" w:rsidRDefault="002736AB" w:rsidP="000972B3">
            <w:pPr>
              <w:pStyle w:val="Numberedparagraph"/>
              <w:numPr>
                <w:ilvl w:val="0"/>
                <w:numId w:val="0"/>
              </w:numPr>
              <w:spacing w:after="0"/>
              <w:jc w:val="center"/>
              <w:rPr>
                <w:noProof/>
              </w:rPr>
            </w:pPr>
            <w:r>
              <w:rPr>
                <w:noProof/>
              </w:rPr>
              <w:drawing>
                <wp:inline distT="0" distB="0" distL="0" distR="0" wp14:anchorId="4C937CE0" wp14:editId="512A69CD">
                  <wp:extent cx="196850" cy="196850"/>
                  <wp:effectExtent l="0" t="0" r="0" b="0"/>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722A80F2" w14:textId="05ECE7E6" w:rsidR="002736AB" w:rsidRDefault="002736AB" w:rsidP="000972B3">
            <w:pPr>
              <w:pStyle w:val="Numberedparagraph"/>
              <w:numPr>
                <w:ilvl w:val="0"/>
                <w:numId w:val="0"/>
              </w:numPr>
              <w:spacing w:after="0"/>
              <w:jc w:val="center"/>
              <w:rPr>
                <w:noProof/>
              </w:rPr>
            </w:pPr>
            <w:r>
              <w:rPr>
                <w:noProof/>
              </w:rPr>
              <w:drawing>
                <wp:inline distT="0" distB="0" distL="0" distR="0" wp14:anchorId="6C890F36" wp14:editId="61196E58">
                  <wp:extent cx="196850" cy="196850"/>
                  <wp:effectExtent l="0" t="0" r="0" b="0"/>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63A1B1FB" w14:textId="77777777" w:rsidR="002736AB" w:rsidRDefault="002736AB" w:rsidP="000972B3">
            <w:pPr>
              <w:pStyle w:val="Numberedparagraph"/>
              <w:numPr>
                <w:ilvl w:val="0"/>
                <w:numId w:val="0"/>
              </w:numPr>
              <w:spacing w:after="0"/>
              <w:jc w:val="center"/>
            </w:pPr>
          </w:p>
        </w:tc>
        <w:tc>
          <w:tcPr>
            <w:tcW w:w="2977" w:type="dxa"/>
          </w:tcPr>
          <w:p w14:paraId="360C6062" w14:textId="1FDC7379" w:rsidR="00FC670D" w:rsidRDefault="002736AB" w:rsidP="00FC670D">
            <w:pPr>
              <w:pStyle w:val="Numberedparagraph"/>
              <w:numPr>
                <w:ilvl w:val="0"/>
                <w:numId w:val="0"/>
              </w:numPr>
              <w:spacing w:after="80"/>
            </w:pPr>
            <w:r>
              <w:t>3.3</w:t>
            </w:r>
            <w:r w:rsidR="00260509">
              <w:t>9</w:t>
            </w:r>
            <w:r w:rsidR="00AB3BA7">
              <w:t>–</w:t>
            </w:r>
            <w:r>
              <w:t>3.4</w:t>
            </w:r>
            <w:r w:rsidR="00260509">
              <w:t>2</w:t>
            </w:r>
          </w:p>
          <w:p w14:paraId="2BF753FA" w14:textId="76B3736F" w:rsidR="00513A71" w:rsidRDefault="00FC670D" w:rsidP="00513A71">
            <w:pPr>
              <w:pStyle w:val="Numberedparagraph"/>
              <w:numPr>
                <w:ilvl w:val="0"/>
                <w:numId w:val="0"/>
              </w:numPr>
              <w:spacing w:after="80"/>
            </w:pPr>
            <w:r>
              <w:t>Spectrum licen</w:t>
            </w:r>
            <w:r w:rsidR="0016622C">
              <w:t>s</w:t>
            </w:r>
            <w:r>
              <w:t>ing: 4.1</w:t>
            </w:r>
            <w:r w:rsidR="00904806">
              <w:t>9</w:t>
            </w:r>
          </w:p>
          <w:p w14:paraId="4D35E3F1" w14:textId="0D064942" w:rsidR="00513A71" w:rsidRDefault="00513A71" w:rsidP="000972B3">
            <w:pPr>
              <w:pStyle w:val="Numberedparagraph"/>
              <w:numPr>
                <w:ilvl w:val="0"/>
                <w:numId w:val="0"/>
              </w:numPr>
              <w:spacing w:after="0"/>
            </w:pPr>
            <w:r>
              <w:t>Space-based: 4.</w:t>
            </w:r>
            <w:r w:rsidR="00904806">
              <w:t>6</w:t>
            </w:r>
            <w:r w:rsidR="00960A8A">
              <w:t>4</w:t>
            </w:r>
            <w:r w:rsidR="00AB3BA7">
              <w:t>–</w:t>
            </w:r>
            <w:r>
              <w:t>4.</w:t>
            </w:r>
            <w:r w:rsidR="007A43FC">
              <w:t>6</w:t>
            </w:r>
            <w:r w:rsidR="00960A8A">
              <w:t>5</w:t>
            </w:r>
          </w:p>
        </w:tc>
      </w:tr>
      <w:tr w:rsidR="000F6DD9" w14:paraId="65E255CC" w14:textId="77777777" w:rsidTr="000972B3">
        <w:trPr>
          <w:cantSplit/>
        </w:trPr>
        <w:tc>
          <w:tcPr>
            <w:tcW w:w="3941" w:type="dxa"/>
          </w:tcPr>
          <w:p w14:paraId="09229ECC" w14:textId="5FB53DCE" w:rsidR="000F6DD9" w:rsidRPr="000F6DD9" w:rsidRDefault="000F6DD9" w:rsidP="000972B3">
            <w:pPr>
              <w:pStyle w:val="Numberedparagraph"/>
              <w:numPr>
                <w:ilvl w:val="0"/>
                <w:numId w:val="0"/>
              </w:numPr>
              <w:spacing w:after="0"/>
            </w:pPr>
            <w:r w:rsidRPr="000F6DD9">
              <w:t>Australian procedures for the coordination and notification of satellite systems</w:t>
            </w:r>
          </w:p>
        </w:tc>
        <w:tc>
          <w:tcPr>
            <w:tcW w:w="1724" w:type="dxa"/>
          </w:tcPr>
          <w:p w14:paraId="1032A392" w14:textId="1A1F9550" w:rsidR="000F6DD9" w:rsidRPr="000B1131" w:rsidRDefault="000F6DD9" w:rsidP="000972B3">
            <w:pPr>
              <w:pStyle w:val="Numberedparagraph"/>
              <w:numPr>
                <w:ilvl w:val="0"/>
                <w:numId w:val="0"/>
              </w:numPr>
              <w:spacing w:after="0"/>
            </w:pPr>
          </w:p>
        </w:tc>
        <w:tc>
          <w:tcPr>
            <w:tcW w:w="2127" w:type="dxa"/>
          </w:tcPr>
          <w:p w14:paraId="01B9D902" w14:textId="67E6F55E" w:rsidR="000F6DD9" w:rsidRDefault="000F6DD9" w:rsidP="000972B3">
            <w:pPr>
              <w:pStyle w:val="Numberedparagraph"/>
              <w:numPr>
                <w:ilvl w:val="0"/>
                <w:numId w:val="0"/>
              </w:numPr>
              <w:spacing w:after="0"/>
            </w:pPr>
            <w:r>
              <w:t>Administrative policy</w:t>
            </w:r>
          </w:p>
        </w:tc>
        <w:tc>
          <w:tcPr>
            <w:tcW w:w="1275" w:type="dxa"/>
          </w:tcPr>
          <w:p w14:paraId="51C6C158" w14:textId="22601794" w:rsidR="000F6DD9" w:rsidRDefault="000F6DD9" w:rsidP="000972B3">
            <w:pPr>
              <w:pStyle w:val="Numberedparagraph"/>
              <w:numPr>
                <w:ilvl w:val="0"/>
                <w:numId w:val="0"/>
              </w:numPr>
              <w:spacing w:after="0"/>
              <w:jc w:val="center"/>
              <w:rPr>
                <w:noProof/>
              </w:rPr>
            </w:pPr>
            <w:r>
              <w:rPr>
                <w:noProof/>
              </w:rPr>
              <w:drawing>
                <wp:inline distT="0" distB="0" distL="0" distR="0" wp14:anchorId="5B7548FA" wp14:editId="3D7D9236">
                  <wp:extent cx="196850" cy="196850"/>
                  <wp:effectExtent l="0" t="0" r="0" b="0"/>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50F43FD6" w14:textId="155EF0F8" w:rsidR="000F6DD9" w:rsidRDefault="000F6DD9" w:rsidP="000972B3">
            <w:pPr>
              <w:pStyle w:val="Numberedparagraph"/>
              <w:numPr>
                <w:ilvl w:val="0"/>
                <w:numId w:val="0"/>
              </w:numPr>
              <w:spacing w:after="0"/>
              <w:jc w:val="center"/>
              <w:rPr>
                <w:noProof/>
              </w:rPr>
            </w:pPr>
            <w:r>
              <w:rPr>
                <w:noProof/>
              </w:rPr>
              <w:drawing>
                <wp:inline distT="0" distB="0" distL="0" distR="0" wp14:anchorId="764F1B47" wp14:editId="53D6740B">
                  <wp:extent cx="196850" cy="196850"/>
                  <wp:effectExtent l="0" t="0" r="0" b="0"/>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4541D0AE" w14:textId="77777777" w:rsidR="000F6DD9" w:rsidRDefault="000F6DD9" w:rsidP="000972B3">
            <w:pPr>
              <w:pStyle w:val="Numberedparagraph"/>
              <w:numPr>
                <w:ilvl w:val="0"/>
                <w:numId w:val="0"/>
              </w:numPr>
              <w:spacing w:after="0"/>
              <w:jc w:val="center"/>
              <w:rPr>
                <w:noProof/>
              </w:rPr>
            </w:pPr>
          </w:p>
        </w:tc>
        <w:tc>
          <w:tcPr>
            <w:tcW w:w="2977" w:type="dxa"/>
          </w:tcPr>
          <w:p w14:paraId="08EF782F" w14:textId="4570B13A" w:rsidR="000F6DD9" w:rsidRDefault="000F6DD9" w:rsidP="000972B3">
            <w:pPr>
              <w:pStyle w:val="Numberedparagraph"/>
              <w:numPr>
                <w:ilvl w:val="0"/>
                <w:numId w:val="0"/>
              </w:numPr>
              <w:spacing w:after="0"/>
            </w:pPr>
            <w:r>
              <w:t>Space-based: 4.</w:t>
            </w:r>
            <w:r w:rsidR="007A43FC">
              <w:t>6</w:t>
            </w:r>
            <w:r w:rsidR="00960A8A">
              <w:t>6</w:t>
            </w:r>
          </w:p>
        </w:tc>
      </w:tr>
      <w:tr w:rsidR="000F6DD9" w14:paraId="5E76D65D" w14:textId="77777777" w:rsidTr="000972B3">
        <w:trPr>
          <w:cantSplit/>
        </w:trPr>
        <w:tc>
          <w:tcPr>
            <w:tcW w:w="3941" w:type="dxa"/>
          </w:tcPr>
          <w:p w14:paraId="6F502FE0" w14:textId="4E272715" w:rsidR="000F6DD9" w:rsidRPr="000F6DD9" w:rsidRDefault="000F6DD9" w:rsidP="000972B3">
            <w:pPr>
              <w:pStyle w:val="Numberedparagraph"/>
              <w:numPr>
                <w:ilvl w:val="0"/>
                <w:numId w:val="0"/>
              </w:numPr>
              <w:spacing w:after="0"/>
            </w:pPr>
            <w:r w:rsidRPr="000F6DD9">
              <w:t>Technical planning parameters and methods for terrestrial broadcasting</w:t>
            </w:r>
          </w:p>
        </w:tc>
        <w:tc>
          <w:tcPr>
            <w:tcW w:w="1724" w:type="dxa"/>
          </w:tcPr>
          <w:p w14:paraId="72499451" w14:textId="64A5F7FA" w:rsidR="000F6DD9" w:rsidRDefault="000F6DD9" w:rsidP="000972B3">
            <w:pPr>
              <w:pStyle w:val="Numberedparagraph"/>
              <w:numPr>
                <w:ilvl w:val="0"/>
                <w:numId w:val="0"/>
              </w:numPr>
              <w:spacing w:after="0"/>
            </w:pPr>
            <w:r w:rsidRPr="000B1131">
              <w:t>TPPM</w:t>
            </w:r>
          </w:p>
        </w:tc>
        <w:tc>
          <w:tcPr>
            <w:tcW w:w="2127" w:type="dxa"/>
          </w:tcPr>
          <w:p w14:paraId="0BCBCFA8" w14:textId="40B51DB1" w:rsidR="000F6DD9" w:rsidRDefault="000F6DD9" w:rsidP="000972B3">
            <w:pPr>
              <w:pStyle w:val="Numberedparagraph"/>
              <w:numPr>
                <w:ilvl w:val="0"/>
                <w:numId w:val="0"/>
              </w:numPr>
              <w:spacing w:after="0"/>
            </w:pPr>
            <w:r>
              <w:t>Administrative policy</w:t>
            </w:r>
          </w:p>
        </w:tc>
        <w:tc>
          <w:tcPr>
            <w:tcW w:w="1275" w:type="dxa"/>
          </w:tcPr>
          <w:p w14:paraId="24EA069F" w14:textId="7B14A0B6" w:rsidR="000F6DD9" w:rsidRDefault="000F6DD9" w:rsidP="000972B3">
            <w:pPr>
              <w:pStyle w:val="Numberedparagraph"/>
              <w:numPr>
                <w:ilvl w:val="0"/>
                <w:numId w:val="0"/>
              </w:numPr>
              <w:spacing w:after="0"/>
              <w:jc w:val="center"/>
              <w:rPr>
                <w:noProof/>
              </w:rPr>
            </w:pPr>
            <w:r>
              <w:rPr>
                <w:noProof/>
              </w:rPr>
              <w:drawing>
                <wp:inline distT="0" distB="0" distL="0" distR="0" wp14:anchorId="616660A0" wp14:editId="2F95B35E">
                  <wp:extent cx="196850" cy="196850"/>
                  <wp:effectExtent l="0" t="0" r="0" b="0"/>
                  <wp:docPr id="52" name="Graphic 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410CCA25" w14:textId="1D0EDD70" w:rsidR="000F6DD9" w:rsidRDefault="000F6DD9" w:rsidP="000972B3">
            <w:pPr>
              <w:pStyle w:val="Numberedparagraph"/>
              <w:numPr>
                <w:ilvl w:val="0"/>
                <w:numId w:val="0"/>
              </w:numPr>
              <w:spacing w:after="0"/>
              <w:jc w:val="center"/>
              <w:rPr>
                <w:noProof/>
              </w:rPr>
            </w:pPr>
            <w:r>
              <w:rPr>
                <w:noProof/>
              </w:rPr>
              <w:drawing>
                <wp:inline distT="0" distB="0" distL="0" distR="0" wp14:anchorId="5E51E5AE" wp14:editId="06E535CE">
                  <wp:extent cx="196850" cy="196850"/>
                  <wp:effectExtent l="0" t="0" r="0" b="0"/>
                  <wp:docPr id="53" name="Graphic 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22B3B2C1" w14:textId="77777777" w:rsidR="000F6DD9" w:rsidRDefault="000F6DD9" w:rsidP="000972B3">
            <w:pPr>
              <w:pStyle w:val="Numberedparagraph"/>
              <w:numPr>
                <w:ilvl w:val="0"/>
                <w:numId w:val="0"/>
              </w:numPr>
              <w:spacing w:after="0"/>
              <w:jc w:val="center"/>
              <w:rPr>
                <w:noProof/>
              </w:rPr>
            </w:pPr>
          </w:p>
        </w:tc>
        <w:tc>
          <w:tcPr>
            <w:tcW w:w="2977" w:type="dxa"/>
          </w:tcPr>
          <w:p w14:paraId="62DD4A43" w14:textId="42301E3C" w:rsidR="000F6DD9" w:rsidRDefault="000F6DD9" w:rsidP="000972B3">
            <w:pPr>
              <w:pStyle w:val="Numberedparagraph"/>
              <w:numPr>
                <w:ilvl w:val="0"/>
                <w:numId w:val="0"/>
              </w:numPr>
              <w:spacing w:after="0"/>
            </w:pPr>
            <w:r>
              <w:t>Broadcasting: 4.4</w:t>
            </w:r>
            <w:r w:rsidR="00904806">
              <w:t>7</w:t>
            </w:r>
            <w:r w:rsidR="00AB3BA7">
              <w:t>–</w:t>
            </w:r>
            <w:r>
              <w:t>4.4</w:t>
            </w:r>
            <w:r w:rsidR="00904806">
              <w:t>8</w:t>
            </w:r>
          </w:p>
        </w:tc>
      </w:tr>
      <w:tr w:rsidR="000F6DD9" w14:paraId="3E58FE8B" w14:textId="77777777" w:rsidTr="000972B3">
        <w:trPr>
          <w:cantSplit/>
        </w:trPr>
        <w:tc>
          <w:tcPr>
            <w:tcW w:w="3941" w:type="dxa"/>
          </w:tcPr>
          <w:p w14:paraId="0CD46DCF" w14:textId="57E08990" w:rsidR="000F6DD9" w:rsidRPr="000F6DD9" w:rsidRDefault="000F6DD9" w:rsidP="000972B3">
            <w:pPr>
              <w:pStyle w:val="Numberedparagraph"/>
              <w:numPr>
                <w:ilvl w:val="0"/>
                <w:numId w:val="0"/>
              </w:numPr>
              <w:spacing w:after="0"/>
            </w:pPr>
            <w:r w:rsidRPr="000F6DD9">
              <w:t>Broadcast planning instructions</w:t>
            </w:r>
          </w:p>
        </w:tc>
        <w:tc>
          <w:tcPr>
            <w:tcW w:w="1724" w:type="dxa"/>
          </w:tcPr>
          <w:p w14:paraId="4C85672E" w14:textId="22CBB62F" w:rsidR="000F6DD9" w:rsidRDefault="000F6DD9" w:rsidP="000972B3">
            <w:pPr>
              <w:pStyle w:val="Numberedparagraph"/>
              <w:numPr>
                <w:ilvl w:val="0"/>
                <w:numId w:val="0"/>
              </w:numPr>
              <w:spacing w:after="0"/>
            </w:pPr>
            <w:r w:rsidRPr="000B1131">
              <w:t>BPI</w:t>
            </w:r>
          </w:p>
        </w:tc>
        <w:tc>
          <w:tcPr>
            <w:tcW w:w="2127" w:type="dxa"/>
          </w:tcPr>
          <w:p w14:paraId="34D42667" w14:textId="25626B4D" w:rsidR="000F6DD9" w:rsidRDefault="000F6DD9" w:rsidP="000972B3">
            <w:pPr>
              <w:pStyle w:val="Numberedparagraph"/>
              <w:numPr>
                <w:ilvl w:val="0"/>
                <w:numId w:val="0"/>
              </w:numPr>
              <w:spacing w:after="0"/>
            </w:pPr>
            <w:r>
              <w:t>Administrative policy</w:t>
            </w:r>
          </w:p>
        </w:tc>
        <w:tc>
          <w:tcPr>
            <w:tcW w:w="1275" w:type="dxa"/>
          </w:tcPr>
          <w:p w14:paraId="49D21D53" w14:textId="0C20A485" w:rsidR="000F6DD9" w:rsidRDefault="000F6DD9" w:rsidP="000972B3">
            <w:pPr>
              <w:pStyle w:val="Numberedparagraph"/>
              <w:numPr>
                <w:ilvl w:val="0"/>
                <w:numId w:val="0"/>
              </w:numPr>
              <w:spacing w:after="0"/>
              <w:jc w:val="center"/>
              <w:rPr>
                <w:noProof/>
              </w:rPr>
            </w:pPr>
            <w:r>
              <w:rPr>
                <w:noProof/>
              </w:rPr>
              <w:drawing>
                <wp:inline distT="0" distB="0" distL="0" distR="0" wp14:anchorId="5B5445AD" wp14:editId="4B01E300">
                  <wp:extent cx="196850" cy="196850"/>
                  <wp:effectExtent l="0" t="0" r="0" b="0"/>
                  <wp:docPr id="54" name="Graphic 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8" w:type="dxa"/>
          </w:tcPr>
          <w:p w14:paraId="1CBBE62D" w14:textId="226E5915" w:rsidR="000F6DD9" w:rsidRDefault="000F6DD9" w:rsidP="000972B3">
            <w:pPr>
              <w:pStyle w:val="Numberedparagraph"/>
              <w:numPr>
                <w:ilvl w:val="0"/>
                <w:numId w:val="0"/>
              </w:numPr>
              <w:spacing w:after="0"/>
              <w:jc w:val="center"/>
              <w:rPr>
                <w:noProof/>
              </w:rPr>
            </w:pPr>
            <w:r>
              <w:rPr>
                <w:noProof/>
              </w:rPr>
              <w:drawing>
                <wp:inline distT="0" distB="0" distL="0" distR="0" wp14:anchorId="7E5C4B8C" wp14:editId="35CB40A8">
                  <wp:extent cx="196850" cy="196850"/>
                  <wp:effectExtent l="0" t="0" r="0" b="0"/>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6F7A0AD6" w14:textId="77777777" w:rsidR="000F6DD9" w:rsidRDefault="000F6DD9" w:rsidP="000972B3">
            <w:pPr>
              <w:pStyle w:val="Numberedparagraph"/>
              <w:numPr>
                <w:ilvl w:val="0"/>
                <w:numId w:val="0"/>
              </w:numPr>
              <w:spacing w:after="0"/>
              <w:jc w:val="center"/>
              <w:rPr>
                <w:noProof/>
              </w:rPr>
            </w:pPr>
          </w:p>
        </w:tc>
        <w:tc>
          <w:tcPr>
            <w:tcW w:w="2977" w:type="dxa"/>
          </w:tcPr>
          <w:p w14:paraId="37FEA050" w14:textId="189299EA" w:rsidR="000F6DD9" w:rsidRDefault="000F6DD9" w:rsidP="000972B3">
            <w:pPr>
              <w:pStyle w:val="Numberedparagraph"/>
              <w:numPr>
                <w:ilvl w:val="0"/>
                <w:numId w:val="0"/>
              </w:numPr>
              <w:spacing w:after="0"/>
            </w:pPr>
            <w:r>
              <w:t>Broadcasting: 4.4</w:t>
            </w:r>
            <w:r w:rsidR="00904806">
              <w:t>9</w:t>
            </w:r>
            <w:r w:rsidR="00AB3BA7">
              <w:t>–</w:t>
            </w:r>
            <w:r>
              <w:t>4.</w:t>
            </w:r>
            <w:r w:rsidR="00904806">
              <w:t>50</w:t>
            </w:r>
          </w:p>
        </w:tc>
      </w:tr>
      <w:tr w:rsidR="000F6DD9" w14:paraId="398D440F" w14:textId="77777777" w:rsidTr="000972B3">
        <w:trPr>
          <w:cantSplit/>
        </w:trPr>
        <w:tc>
          <w:tcPr>
            <w:tcW w:w="3941" w:type="dxa"/>
          </w:tcPr>
          <w:p w14:paraId="6DA19152" w14:textId="02C03597" w:rsidR="000F6DD9" w:rsidRPr="000F6DD9" w:rsidRDefault="000F6DD9" w:rsidP="000972B3">
            <w:pPr>
              <w:pStyle w:val="Numberedparagraph"/>
              <w:numPr>
                <w:ilvl w:val="0"/>
                <w:numId w:val="0"/>
              </w:numPr>
              <w:spacing w:after="0"/>
            </w:pPr>
            <w:r w:rsidRPr="000F6DD9">
              <w:t>Radiocommunications advisory guidelines</w:t>
            </w:r>
          </w:p>
        </w:tc>
        <w:tc>
          <w:tcPr>
            <w:tcW w:w="1724" w:type="dxa"/>
          </w:tcPr>
          <w:p w14:paraId="6A50F2B8" w14:textId="213274DA" w:rsidR="000F6DD9" w:rsidRDefault="000F6DD9" w:rsidP="000972B3">
            <w:pPr>
              <w:pStyle w:val="Numberedparagraph"/>
              <w:numPr>
                <w:ilvl w:val="0"/>
                <w:numId w:val="0"/>
              </w:numPr>
              <w:spacing w:after="0"/>
            </w:pPr>
            <w:r>
              <w:t>RAG</w:t>
            </w:r>
          </w:p>
        </w:tc>
        <w:tc>
          <w:tcPr>
            <w:tcW w:w="2127" w:type="dxa"/>
          </w:tcPr>
          <w:p w14:paraId="3E7C6778" w14:textId="1CBDCB0C" w:rsidR="000F6DD9" w:rsidRDefault="000F6DD9" w:rsidP="000972B3">
            <w:pPr>
              <w:pStyle w:val="Numberedparagraph"/>
              <w:numPr>
                <w:ilvl w:val="0"/>
                <w:numId w:val="0"/>
              </w:numPr>
              <w:spacing w:after="0"/>
            </w:pPr>
            <w:r>
              <w:t>Legislative (s</w:t>
            </w:r>
            <w:r w:rsidR="00AB3BA7">
              <w:t xml:space="preserve">. </w:t>
            </w:r>
            <w:r>
              <w:t>262)</w:t>
            </w:r>
          </w:p>
        </w:tc>
        <w:tc>
          <w:tcPr>
            <w:tcW w:w="1275" w:type="dxa"/>
          </w:tcPr>
          <w:p w14:paraId="459A2C47" w14:textId="77777777" w:rsidR="000F6DD9" w:rsidRDefault="000F6DD9" w:rsidP="000972B3">
            <w:pPr>
              <w:pStyle w:val="Numberedparagraph"/>
              <w:numPr>
                <w:ilvl w:val="0"/>
                <w:numId w:val="0"/>
              </w:numPr>
              <w:spacing w:after="0"/>
              <w:jc w:val="center"/>
              <w:rPr>
                <w:noProof/>
              </w:rPr>
            </w:pPr>
          </w:p>
        </w:tc>
        <w:tc>
          <w:tcPr>
            <w:tcW w:w="1418" w:type="dxa"/>
          </w:tcPr>
          <w:p w14:paraId="46A176C9" w14:textId="1133B29D" w:rsidR="000F6DD9" w:rsidRDefault="000F6DD9" w:rsidP="000972B3">
            <w:pPr>
              <w:pStyle w:val="Numberedparagraph"/>
              <w:numPr>
                <w:ilvl w:val="0"/>
                <w:numId w:val="0"/>
              </w:numPr>
              <w:spacing w:after="0"/>
              <w:jc w:val="center"/>
              <w:rPr>
                <w:noProof/>
              </w:rPr>
            </w:pPr>
            <w:r>
              <w:rPr>
                <w:noProof/>
              </w:rPr>
              <w:drawing>
                <wp:inline distT="0" distB="0" distL="0" distR="0" wp14:anchorId="0757EC9B" wp14:editId="531CB94B">
                  <wp:extent cx="196850" cy="196850"/>
                  <wp:effectExtent l="0" t="0" r="0" b="0"/>
                  <wp:docPr id="44" name="Graphic 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3B56D270" w14:textId="77777777" w:rsidR="000F6DD9" w:rsidRDefault="000F6DD9" w:rsidP="000972B3">
            <w:pPr>
              <w:pStyle w:val="Numberedparagraph"/>
              <w:numPr>
                <w:ilvl w:val="0"/>
                <w:numId w:val="0"/>
              </w:numPr>
              <w:spacing w:after="0"/>
              <w:jc w:val="center"/>
              <w:rPr>
                <w:noProof/>
              </w:rPr>
            </w:pPr>
          </w:p>
        </w:tc>
        <w:tc>
          <w:tcPr>
            <w:tcW w:w="2977" w:type="dxa"/>
          </w:tcPr>
          <w:p w14:paraId="0FFD5AED" w14:textId="1A6DDEDB" w:rsidR="000F6DD9" w:rsidRDefault="000F6DD9" w:rsidP="000F6DD9">
            <w:pPr>
              <w:pStyle w:val="Numberedparagraph"/>
              <w:numPr>
                <w:ilvl w:val="0"/>
                <w:numId w:val="0"/>
              </w:numPr>
              <w:spacing w:after="80"/>
            </w:pPr>
            <w:r>
              <w:t>3.4</w:t>
            </w:r>
            <w:r w:rsidR="00260509">
              <w:t>4</w:t>
            </w:r>
          </w:p>
          <w:p w14:paraId="0CD3EF3A" w14:textId="5CABA853" w:rsidR="000F6DD9" w:rsidRDefault="000F6DD9" w:rsidP="000972B3">
            <w:pPr>
              <w:pStyle w:val="Numberedparagraph"/>
              <w:numPr>
                <w:ilvl w:val="0"/>
                <w:numId w:val="0"/>
              </w:numPr>
              <w:spacing w:after="0"/>
            </w:pPr>
            <w:r>
              <w:t>Spectrum licen</w:t>
            </w:r>
            <w:r w:rsidR="0016622C">
              <w:t>s</w:t>
            </w:r>
            <w:r>
              <w:t>ing: 4.2</w:t>
            </w:r>
            <w:r w:rsidR="00904806">
              <w:t>7</w:t>
            </w:r>
            <w:r w:rsidR="00AB3BA7">
              <w:t>–</w:t>
            </w:r>
            <w:r>
              <w:t>4.</w:t>
            </w:r>
            <w:r w:rsidR="00904806">
              <w:t>31</w:t>
            </w:r>
          </w:p>
        </w:tc>
      </w:tr>
      <w:tr w:rsidR="000F6DD9" w14:paraId="4AA06C42" w14:textId="77777777" w:rsidTr="000972B3">
        <w:trPr>
          <w:cantSplit/>
        </w:trPr>
        <w:tc>
          <w:tcPr>
            <w:tcW w:w="3941" w:type="dxa"/>
          </w:tcPr>
          <w:p w14:paraId="272D3A28" w14:textId="7B6CCE33" w:rsidR="000F6DD9" w:rsidRPr="000F6DD9" w:rsidRDefault="000F6DD9" w:rsidP="000972B3">
            <w:pPr>
              <w:pStyle w:val="Numberedparagraph"/>
              <w:numPr>
                <w:ilvl w:val="0"/>
                <w:numId w:val="0"/>
              </w:numPr>
              <w:spacing w:after="0"/>
            </w:pPr>
            <w:r w:rsidRPr="000F6DD9">
              <w:t>Space objects determinations</w:t>
            </w:r>
          </w:p>
        </w:tc>
        <w:tc>
          <w:tcPr>
            <w:tcW w:w="1724" w:type="dxa"/>
          </w:tcPr>
          <w:p w14:paraId="0D1CD372" w14:textId="77777777" w:rsidR="000F6DD9" w:rsidRDefault="000F6DD9" w:rsidP="000972B3">
            <w:pPr>
              <w:pStyle w:val="Numberedparagraph"/>
              <w:numPr>
                <w:ilvl w:val="0"/>
                <w:numId w:val="0"/>
              </w:numPr>
              <w:spacing w:after="0"/>
            </w:pPr>
          </w:p>
        </w:tc>
        <w:tc>
          <w:tcPr>
            <w:tcW w:w="2127" w:type="dxa"/>
          </w:tcPr>
          <w:p w14:paraId="25E877C2" w14:textId="0EB31926" w:rsidR="000F6DD9" w:rsidRDefault="000F6DD9" w:rsidP="000972B3">
            <w:pPr>
              <w:pStyle w:val="Numberedparagraph"/>
              <w:numPr>
                <w:ilvl w:val="0"/>
                <w:numId w:val="0"/>
              </w:numPr>
              <w:spacing w:after="0"/>
            </w:pPr>
            <w:r>
              <w:t>Legislative (s</w:t>
            </w:r>
            <w:r w:rsidR="00AB3BA7">
              <w:t xml:space="preserve">. </w:t>
            </w:r>
            <w:r>
              <w:t xml:space="preserve">5 &amp; </w:t>
            </w:r>
            <w:r w:rsidR="005D70C9">
              <w:t xml:space="preserve">para </w:t>
            </w:r>
            <w:r>
              <w:t>16(1)(ca))</w:t>
            </w:r>
          </w:p>
        </w:tc>
        <w:tc>
          <w:tcPr>
            <w:tcW w:w="1275" w:type="dxa"/>
          </w:tcPr>
          <w:p w14:paraId="624721EB" w14:textId="77777777" w:rsidR="000F6DD9" w:rsidRDefault="000F6DD9" w:rsidP="000972B3">
            <w:pPr>
              <w:pStyle w:val="Numberedparagraph"/>
              <w:numPr>
                <w:ilvl w:val="0"/>
                <w:numId w:val="0"/>
              </w:numPr>
              <w:spacing w:after="0"/>
              <w:jc w:val="center"/>
              <w:rPr>
                <w:noProof/>
              </w:rPr>
            </w:pPr>
          </w:p>
        </w:tc>
        <w:tc>
          <w:tcPr>
            <w:tcW w:w="1418" w:type="dxa"/>
          </w:tcPr>
          <w:p w14:paraId="5DED2968" w14:textId="249D0644" w:rsidR="000F6DD9" w:rsidRDefault="000F6DD9" w:rsidP="000972B3">
            <w:pPr>
              <w:pStyle w:val="Numberedparagraph"/>
              <w:numPr>
                <w:ilvl w:val="0"/>
                <w:numId w:val="0"/>
              </w:numPr>
              <w:spacing w:after="0"/>
              <w:jc w:val="center"/>
              <w:rPr>
                <w:noProof/>
              </w:rPr>
            </w:pPr>
            <w:r>
              <w:rPr>
                <w:noProof/>
              </w:rPr>
              <w:drawing>
                <wp:inline distT="0" distB="0" distL="0" distR="0" wp14:anchorId="37062E0E" wp14:editId="03219047">
                  <wp:extent cx="196850" cy="196850"/>
                  <wp:effectExtent l="0" t="0" r="0" b="0"/>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6E5A7057" w14:textId="77777777" w:rsidR="000F6DD9" w:rsidRDefault="000F6DD9" w:rsidP="000972B3">
            <w:pPr>
              <w:pStyle w:val="Numberedparagraph"/>
              <w:numPr>
                <w:ilvl w:val="0"/>
                <w:numId w:val="0"/>
              </w:numPr>
              <w:spacing w:after="0"/>
              <w:jc w:val="center"/>
              <w:rPr>
                <w:noProof/>
              </w:rPr>
            </w:pPr>
          </w:p>
        </w:tc>
        <w:tc>
          <w:tcPr>
            <w:tcW w:w="2977" w:type="dxa"/>
          </w:tcPr>
          <w:p w14:paraId="1E94B996" w14:textId="1DB48414" w:rsidR="000F6DD9" w:rsidRDefault="000F6DD9" w:rsidP="000972B3">
            <w:pPr>
              <w:pStyle w:val="Numberedparagraph"/>
              <w:numPr>
                <w:ilvl w:val="0"/>
                <w:numId w:val="0"/>
              </w:numPr>
              <w:spacing w:after="0"/>
            </w:pPr>
            <w:r>
              <w:t>Space-based: 4.</w:t>
            </w:r>
            <w:r w:rsidR="007A43FC">
              <w:t>6</w:t>
            </w:r>
            <w:r w:rsidR="00960A8A">
              <w:t>7</w:t>
            </w:r>
            <w:r w:rsidR="00AB3BA7">
              <w:t>–</w:t>
            </w:r>
            <w:r>
              <w:t>4.</w:t>
            </w:r>
            <w:r w:rsidR="00960A8A">
              <w:t>68</w:t>
            </w:r>
          </w:p>
        </w:tc>
      </w:tr>
      <w:tr w:rsidR="000F6DD9" w14:paraId="5F73E5DF" w14:textId="77777777" w:rsidTr="000972B3">
        <w:trPr>
          <w:cantSplit/>
        </w:trPr>
        <w:tc>
          <w:tcPr>
            <w:tcW w:w="3941" w:type="dxa"/>
          </w:tcPr>
          <w:p w14:paraId="10AEA0F0" w14:textId="799ED728" w:rsidR="000F6DD9" w:rsidRPr="000F6DD9" w:rsidRDefault="000F6DD9" w:rsidP="000972B3">
            <w:pPr>
              <w:pStyle w:val="Numberedparagraph"/>
              <w:numPr>
                <w:ilvl w:val="0"/>
                <w:numId w:val="0"/>
              </w:numPr>
              <w:spacing w:after="0"/>
            </w:pPr>
            <w:r w:rsidRPr="000F6DD9">
              <w:t>Spectrum licence technical framework</w:t>
            </w:r>
          </w:p>
        </w:tc>
        <w:tc>
          <w:tcPr>
            <w:tcW w:w="1724" w:type="dxa"/>
          </w:tcPr>
          <w:p w14:paraId="1660C45F" w14:textId="27C4A29D" w:rsidR="000F6DD9" w:rsidRDefault="00AB3BA7" w:rsidP="000972B3">
            <w:pPr>
              <w:pStyle w:val="Numberedparagraph"/>
              <w:numPr>
                <w:ilvl w:val="0"/>
                <w:numId w:val="0"/>
              </w:numPr>
              <w:spacing w:after="0"/>
            </w:pPr>
            <w:r>
              <w:t>T</w:t>
            </w:r>
            <w:r w:rsidR="000F6DD9">
              <w:t>ech</w:t>
            </w:r>
            <w:r w:rsidR="00433EFD">
              <w:t>nical</w:t>
            </w:r>
            <w:r w:rsidR="000F6DD9">
              <w:t xml:space="preserve"> framework, SLTF</w:t>
            </w:r>
          </w:p>
        </w:tc>
        <w:tc>
          <w:tcPr>
            <w:tcW w:w="2127" w:type="dxa"/>
          </w:tcPr>
          <w:p w14:paraId="195A384C" w14:textId="6F9C62CD" w:rsidR="000F6DD9" w:rsidRDefault="000F6DD9" w:rsidP="000972B3">
            <w:pPr>
              <w:pStyle w:val="Numberedparagraph"/>
              <w:numPr>
                <w:ilvl w:val="0"/>
                <w:numId w:val="0"/>
              </w:numPr>
              <w:spacing w:after="0"/>
            </w:pPr>
            <w:r>
              <w:t>Legislative</w:t>
            </w:r>
          </w:p>
        </w:tc>
        <w:tc>
          <w:tcPr>
            <w:tcW w:w="1275" w:type="dxa"/>
          </w:tcPr>
          <w:p w14:paraId="352E6F89" w14:textId="68B1E3C3" w:rsidR="000F6DD9" w:rsidRDefault="000F6DD9" w:rsidP="000972B3">
            <w:pPr>
              <w:pStyle w:val="Numberedparagraph"/>
              <w:numPr>
                <w:ilvl w:val="0"/>
                <w:numId w:val="0"/>
              </w:numPr>
              <w:spacing w:after="0"/>
              <w:jc w:val="center"/>
              <w:rPr>
                <w:noProof/>
              </w:rPr>
            </w:pPr>
          </w:p>
        </w:tc>
        <w:tc>
          <w:tcPr>
            <w:tcW w:w="1418" w:type="dxa"/>
          </w:tcPr>
          <w:p w14:paraId="5179AFE3" w14:textId="197A5724" w:rsidR="000F6DD9" w:rsidRDefault="000F6DD9" w:rsidP="000972B3">
            <w:pPr>
              <w:pStyle w:val="Numberedparagraph"/>
              <w:numPr>
                <w:ilvl w:val="0"/>
                <w:numId w:val="0"/>
              </w:numPr>
              <w:spacing w:after="0"/>
              <w:jc w:val="center"/>
              <w:rPr>
                <w:noProof/>
              </w:rPr>
            </w:pPr>
            <w:r>
              <w:rPr>
                <w:noProof/>
              </w:rPr>
              <w:drawing>
                <wp:inline distT="0" distB="0" distL="0" distR="0" wp14:anchorId="056DBF52" wp14:editId="5E516BF4">
                  <wp:extent cx="196850" cy="196850"/>
                  <wp:effectExtent l="0" t="0" r="0" b="0"/>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445D7E7E" w14:textId="322C1637" w:rsidR="000F6DD9" w:rsidRDefault="000F6DD9" w:rsidP="000972B3">
            <w:pPr>
              <w:pStyle w:val="Numberedparagraph"/>
              <w:numPr>
                <w:ilvl w:val="0"/>
                <w:numId w:val="0"/>
              </w:numPr>
              <w:spacing w:after="0"/>
              <w:jc w:val="center"/>
              <w:rPr>
                <w:noProof/>
              </w:rPr>
            </w:pPr>
            <w:r>
              <w:rPr>
                <w:noProof/>
              </w:rPr>
              <w:drawing>
                <wp:inline distT="0" distB="0" distL="0" distR="0" wp14:anchorId="605D1B24" wp14:editId="6EE718C7">
                  <wp:extent cx="196850" cy="196850"/>
                  <wp:effectExtent l="0" t="0" r="0" b="0"/>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51CA783F" w14:textId="16A42C6F" w:rsidR="000F6DD9" w:rsidRDefault="000F6DD9" w:rsidP="000972B3">
            <w:pPr>
              <w:pStyle w:val="Numberedparagraph"/>
              <w:numPr>
                <w:ilvl w:val="0"/>
                <w:numId w:val="0"/>
              </w:numPr>
              <w:spacing w:after="0"/>
            </w:pPr>
            <w:r>
              <w:t>Spectrum licen</w:t>
            </w:r>
            <w:r w:rsidR="0016622C">
              <w:t>s</w:t>
            </w:r>
            <w:r>
              <w:t>ing: 4.</w:t>
            </w:r>
            <w:r w:rsidR="00904806">
              <w:t>20</w:t>
            </w:r>
            <w:r w:rsidR="00AB3BA7">
              <w:t>–</w:t>
            </w:r>
            <w:r>
              <w:t>4.</w:t>
            </w:r>
            <w:r w:rsidR="00904806">
              <w:t>31</w:t>
            </w:r>
          </w:p>
        </w:tc>
      </w:tr>
      <w:tr w:rsidR="000F6DD9" w14:paraId="1983D348" w14:textId="77777777" w:rsidTr="000972B3">
        <w:trPr>
          <w:cantSplit/>
        </w:trPr>
        <w:tc>
          <w:tcPr>
            <w:tcW w:w="3941" w:type="dxa"/>
          </w:tcPr>
          <w:p w14:paraId="739ACBAF" w14:textId="30912162" w:rsidR="000F6DD9" w:rsidRPr="000F6DD9" w:rsidRDefault="000F6DD9" w:rsidP="000972B3">
            <w:pPr>
              <w:pStyle w:val="Numberedparagraph"/>
              <w:numPr>
                <w:ilvl w:val="0"/>
                <w:numId w:val="0"/>
              </w:numPr>
              <w:spacing w:after="0"/>
            </w:pPr>
            <w:r w:rsidRPr="000F6DD9">
              <w:t xml:space="preserve">Spectrum </w:t>
            </w:r>
            <w:r w:rsidR="00F41144">
              <w:t>l</w:t>
            </w:r>
            <w:r w:rsidRPr="000F6DD9">
              <w:t xml:space="preserve">icence </w:t>
            </w:r>
            <w:r w:rsidR="00F41144">
              <w:t>d</w:t>
            </w:r>
            <w:r w:rsidRPr="000F6DD9">
              <w:t xml:space="preserve">evice </w:t>
            </w:r>
            <w:r w:rsidR="00F41144">
              <w:t>r</w:t>
            </w:r>
            <w:r w:rsidRPr="000F6DD9">
              <w:t>egistration/ Unacceptable levels of interference determination</w:t>
            </w:r>
            <w:r w:rsidR="00F41144">
              <w:t>s</w:t>
            </w:r>
            <w:r w:rsidRPr="000F6DD9">
              <w:t xml:space="preserve"> </w:t>
            </w:r>
          </w:p>
        </w:tc>
        <w:tc>
          <w:tcPr>
            <w:tcW w:w="1724" w:type="dxa"/>
          </w:tcPr>
          <w:p w14:paraId="14850059" w14:textId="3E8CC29E" w:rsidR="000F6DD9" w:rsidRDefault="00AB3BA7" w:rsidP="000972B3">
            <w:pPr>
              <w:pStyle w:val="Numberedparagraph"/>
              <w:numPr>
                <w:ilvl w:val="0"/>
                <w:numId w:val="0"/>
              </w:numPr>
              <w:spacing w:after="0"/>
            </w:pPr>
            <w:r>
              <w:t>S</w:t>
            </w:r>
            <w:r w:rsidR="00613A74">
              <w:t xml:space="preserve">ection </w:t>
            </w:r>
            <w:r w:rsidR="000F6DD9" w:rsidRPr="00FC670D">
              <w:t>145</w:t>
            </w:r>
            <w:r w:rsidR="00E76CD0">
              <w:t xml:space="preserve"> determination</w:t>
            </w:r>
          </w:p>
        </w:tc>
        <w:tc>
          <w:tcPr>
            <w:tcW w:w="2127" w:type="dxa"/>
          </w:tcPr>
          <w:p w14:paraId="4D6B0EE7" w14:textId="454DA8C5" w:rsidR="000F6DD9" w:rsidRDefault="000F6DD9" w:rsidP="000972B3">
            <w:pPr>
              <w:pStyle w:val="Numberedparagraph"/>
              <w:numPr>
                <w:ilvl w:val="0"/>
                <w:numId w:val="0"/>
              </w:numPr>
              <w:spacing w:after="0"/>
            </w:pPr>
            <w:r w:rsidRPr="00FC670D">
              <w:t>Legislative (s</w:t>
            </w:r>
            <w:r w:rsidR="00AB3BA7">
              <w:t xml:space="preserve">. </w:t>
            </w:r>
            <w:r w:rsidRPr="00FC670D">
              <w:t>145)</w:t>
            </w:r>
          </w:p>
        </w:tc>
        <w:tc>
          <w:tcPr>
            <w:tcW w:w="1275" w:type="dxa"/>
          </w:tcPr>
          <w:p w14:paraId="1F279314" w14:textId="77777777" w:rsidR="000F6DD9" w:rsidRDefault="000F6DD9" w:rsidP="000972B3">
            <w:pPr>
              <w:pStyle w:val="Numberedparagraph"/>
              <w:numPr>
                <w:ilvl w:val="0"/>
                <w:numId w:val="0"/>
              </w:numPr>
              <w:spacing w:after="0"/>
              <w:jc w:val="center"/>
              <w:rPr>
                <w:noProof/>
              </w:rPr>
            </w:pPr>
          </w:p>
        </w:tc>
        <w:tc>
          <w:tcPr>
            <w:tcW w:w="1418" w:type="dxa"/>
          </w:tcPr>
          <w:p w14:paraId="4C4233F7" w14:textId="0E317B68" w:rsidR="000F6DD9" w:rsidRDefault="000F6DD9" w:rsidP="000972B3">
            <w:pPr>
              <w:pStyle w:val="Numberedparagraph"/>
              <w:numPr>
                <w:ilvl w:val="0"/>
                <w:numId w:val="0"/>
              </w:numPr>
              <w:spacing w:after="0"/>
              <w:jc w:val="center"/>
              <w:rPr>
                <w:noProof/>
              </w:rPr>
            </w:pPr>
            <w:r w:rsidRPr="00FC670D">
              <w:rPr>
                <w:noProof/>
              </w:rPr>
              <w:drawing>
                <wp:inline distT="0" distB="0" distL="0" distR="0" wp14:anchorId="1B580991" wp14:editId="1B73CFC7">
                  <wp:extent cx="196850" cy="196850"/>
                  <wp:effectExtent l="0" t="0" r="0" b="0"/>
                  <wp:docPr id="14"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22D0726F" w14:textId="44F6BF70" w:rsidR="000F6DD9" w:rsidRDefault="000F6DD9" w:rsidP="000972B3">
            <w:pPr>
              <w:pStyle w:val="Numberedparagraph"/>
              <w:numPr>
                <w:ilvl w:val="0"/>
                <w:numId w:val="0"/>
              </w:numPr>
              <w:spacing w:after="0"/>
              <w:jc w:val="center"/>
              <w:rPr>
                <w:noProof/>
              </w:rPr>
            </w:pPr>
            <w:r w:rsidRPr="00FC670D">
              <w:rPr>
                <w:noProof/>
              </w:rPr>
              <w:drawing>
                <wp:inline distT="0" distB="0" distL="0" distR="0" wp14:anchorId="491B03BA" wp14:editId="2C6AE0D2">
                  <wp:extent cx="196850" cy="196850"/>
                  <wp:effectExtent l="0" t="0" r="0" b="0"/>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31C2CEC9" w14:textId="5D08B684" w:rsidR="000F6DD9" w:rsidRDefault="000F6DD9" w:rsidP="000972B3">
            <w:pPr>
              <w:pStyle w:val="Numberedparagraph"/>
              <w:numPr>
                <w:ilvl w:val="0"/>
                <w:numId w:val="0"/>
              </w:numPr>
              <w:spacing w:after="0"/>
            </w:pPr>
            <w:r>
              <w:t>Spectrum licen</w:t>
            </w:r>
            <w:r w:rsidR="0016622C">
              <w:t>s</w:t>
            </w:r>
            <w:r>
              <w:t>ing: 4.</w:t>
            </w:r>
            <w:r w:rsidR="00904806">
              <w:t>21</w:t>
            </w:r>
            <w:r w:rsidR="00AB3BA7">
              <w:t>–</w:t>
            </w:r>
            <w:r>
              <w:t>4.</w:t>
            </w:r>
            <w:r w:rsidR="00904806">
              <w:t>26</w:t>
            </w:r>
          </w:p>
        </w:tc>
      </w:tr>
      <w:tr w:rsidR="000F6DD9" w14:paraId="42DDE912" w14:textId="77777777" w:rsidTr="000972B3">
        <w:trPr>
          <w:cantSplit/>
        </w:trPr>
        <w:tc>
          <w:tcPr>
            <w:tcW w:w="3941" w:type="dxa"/>
          </w:tcPr>
          <w:p w14:paraId="46781E25" w14:textId="19A781B6" w:rsidR="000F6DD9" w:rsidRPr="000F6DD9" w:rsidRDefault="000F6DD9" w:rsidP="000972B3">
            <w:pPr>
              <w:pStyle w:val="Numberedparagraph"/>
              <w:numPr>
                <w:ilvl w:val="0"/>
                <w:numId w:val="0"/>
              </w:numPr>
              <w:spacing w:after="120"/>
            </w:pPr>
            <w:r w:rsidRPr="000F6DD9">
              <w:t>Radiocommunications Assignment and Licensing Instructions</w:t>
            </w:r>
          </w:p>
        </w:tc>
        <w:tc>
          <w:tcPr>
            <w:tcW w:w="1724" w:type="dxa"/>
          </w:tcPr>
          <w:p w14:paraId="09295E2B" w14:textId="4A27D791" w:rsidR="000F6DD9" w:rsidRDefault="000F6DD9" w:rsidP="000972B3">
            <w:pPr>
              <w:pStyle w:val="Numberedparagraph"/>
              <w:numPr>
                <w:ilvl w:val="0"/>
                <w:numId w:val="0"/>
              </w:numPr>
              <w:spacing w:after="120"/>
            </w:pPr>
            <w:r>
              <w:t>RALI</w:t>
            </w:r>
          </w:p>
        </w:tc>
        <w:tc>
          <w:tcPr>
            <w:tcW w:w="2127" w:type="dxa"/>
          </w:tcPr>
          <w:p w14:paraId="130E3A3E" w14:textId="7585B535" w:rsidR="000F6DD9" w:rsidRDefault="000F6DD9" w:rsidP="000972B3">
            <w:pPr>
              <w:pStyle w:val="Numberedparagraph"/>
              <w:numPr>
                <w:ilvl w:val="0"/>
                <w:numId w:val="0"/>
              </w:numPr>
              <w:spacing w:after="120"/>
            </w:pPr>
            <w:r>
              <w:t>Administrative policy</w:t>
            </w:r>
          </w:p>
        </w:tc>
        <w:tc>
          <w:tcPr>
            <w:tcW w:w="1275" w:type="dxa"/>
          </w:tcPr>
          <w:p w14:paraId="23DD0CDB" w14:textId="77777777" w:rsidR="000F6DD9" w:rsidRDefault="000F6DD9" w:rsidP="000972B3">
            <w:pPr>
              <w:pStyle w:val="Numberedparagraph"/>
              <w:numPr>
                <w:ilvl w:val="0"/>
                <w:numId w:val="0"/>
              </w:numPr>
              <w:spacing w:after="120"/>
              <w:jc w:val="center"/>
              <w:rPr>
                <w:noProof/>
              </w:rPr>
            </w:pPr>
          </w:p>
        </w:tc>
        <w:tc>
          <w:tcPr>
            <w:tcW w:w="1418" w:type="dxa"/>
          </w:tcPr>
          <w:p w14:paraId="7242E71A" w14:textId="08093FE8" w:rsidR="000F6DD9" w:rsidRDefault="000F6DD9" w:rsidP="000972B3">
            <w:pPr>
              <w:pStyle w:val="Numberedparagraph"/>
              <w:numPr>
                <w:ilvl w:val="0"/>
                <w:numId w:val="0"/>
              </w:numPr>
              <w:spacing w:after="120"/>
              <w:jc w:val="center"/>
            </w:pPr>
            <w:r>
              <w:rPr>
                <w:noProof/>
              </w:rPr>
              <w:drawing>
                <wp:inline distT="0" distB="0" distL="0" distR="0" wp14:anchorId="12C33F5C" wp14:editId="67625854">
                  <wp:extent cx="196850" cy="196850"/>
                  <wp:effectExtent l="0" t="0" r="0" b="0"/>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0BA8BD78" w14:textId="2C6FC3C9" w:rsidR="000F6DD9" w:rsidRDefault="000F6DD9" w:rsidP="000972B3">
            <w:pPr>
              <w:pStyle w:val="Numberedparagraph"/>
              <w:numPr>
                <w:ilvl w:val="0"/>
                <w:numId w:val="0"/>
              </w:numPr>
              <w:spacing w:after="120"/>
              <w:jc w:val="center"/>
              <w:rPr>
                <w:noProof/>
              </w:rPr>
            </w:pPr>
            <w:r>
              <w:rPr>
                <w:noProof/>
              </w:rPr>
              <w:drawing>
                <wp:inline distT="0" distB="0" distL="0" distR="0" wp14:anchorId="2BB0DF81" wp14:editId="3B7B269D">
                  <wp:extent cx="196850" cy="196850"/>
                  <wp:effectExtent l="0" t="0" r="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744FCE50" w14:textId="0EBB088A" w:rsidR="000F6DD9" w:rsidRDefault="000F6DD9" w:rsidP="000F6DD9">
            <w:pPr>
              <w:pStyle w:val="Numberedparagraph"/>
              <w:numPr>
                <w:ilvl w:val="0"/>
                <w:numId w:val="0"/>
              </w:numPr>
              <w:spacing w:after="80"/>
            </w:pPr>
            <w:r>
              <w:t>3.4</w:t>
            </w:r>
            <w:r w:rsidR="00260509">
              <w:t>5</w:t>
            </w:r>
            <w:r w:rsidR="00AB3BA7">
              <w:t>–</w:t>
            </w:r>
            <w:r>
              <w:t>3.4</w:t>
            </w:r>
            <w:r w:rsidR="00260509">
              <w:t>9</w:t>
            </w:r>
          </w:p>
          <w:p w14:paraId="5220E129" w14:textId="2E7DDA07" w:rsidR="000F6DD9" w:rsidRDefault="000F6DD9" w:rsidP="000F6DD9">
            <w:pPr>
              <w:pStyle w:val="Numberedparagraph"/>
              <w:numPr>
                <w:ilvl w:val="0"/>
                <w:numId w:val="0"/>
              </w:numPr>
              <w:spacing w:after="80"/>
            </w:pPr>
            <w:r>
              <w:t>Spectrum licen</w:t>
            </w:r>
            <w:r w:rsidR="003F4F12">
              <w:t>s</w:t>
            </w:r>
            <w:r>
              <w:t>ing: 4.3</w:t>
            </w:r>
            <w:r w:rsidR="00904806">
              <w:t>2</w:t>
            </w:r>
            <w:r w:rsidR="00AB3BA7">
              <w:t>–</w:t>
            </w:r>
            <w:r>
              <w:t>4.3</w:t>
            </w:r>
            <w:r w:rsidR="00904806">
              <w:t>3</w:t>
            </w:r>
          </w:p>
          <w:p w14:paraId="63796328" w14:textId="27FA571F" w:rsidR="000F6DD9" w:rsidRDefault="000F6DD9" w:rsidP="000972B3">
            <w:pPr>
              <w:pStyle w:val="Numberedparagraph"/>
              <w:numPr>
                <w:ilvl w:val="0"/>
                <w:numId w:val="0"/>
              </w:numPr>
              <w:spacing w:after="0"/>
            </w:pPr>
            <w:r>
              <w:t>Space-based: 4.</w:t>
            </w:r>
            <w:r w:rsidR="00960A8A">
              <w:t>69</w:t>
            </w:r>
          </w:p>
        </w:tc>
      </w:tr>
      <w:tr w:rsidR="000F6DD9" w14:paraId="457E7353" w14:textId="77777777" w:rsidTr="000972B3">
        <w:trPr>
          <w:cantSplit/>
        </w:trPr>
        <w:tc>
          <w:tcPr>
            <w:tcW w:w="3941" w:type="dxa"/>
          </w:tcPr>
          <w:p w14:paraId="45D0C26F" w14:textId="182B265D" w:rsidR="000F6DD9" w:rsidRPr="000F6DD9" w:rsidRDefault="000F6DD9" w:rsidP="008950B7">
            <w:pPr>
              <w:pStyle w:val="Numberedparagraph"/>
              <w:numPr>
                <w:ilvl w:val="0"/>
                <w:numId w:val="0"/>
              </w:numPr>
              <w:spacing w:after="0"/>
            </w:pPr>
            <w:r w:rsidRPr="000F6DD9">
              <w:t>Broadcasting Services (Technical Planning) Guidelines</w:t>
            </w:r>
          </w:p>
        </w:tc>
        <w:tc>
          <w:tcPr>
            <w:tcW w:w="1724" w:type="dxa"/>
          </w:tcPr>
          <w:p w14:paraId="74BFE6CD" w14:textId="5241477E" w:rsidR="000F6DD9" w:rsidRDefault="000F6DD9" w:rsidP="008950B7">
            <w:pPr>
              <w:pStyle w:val="Numberedparagraph"/>
              <w:numPr>
                <w:ilvl w:val="0"/>
                <w:numId w:val="0"/>
              </w:numPr>
              <w:spacing w:after="0"/>
            </w:pPr>
            <w:r>
              <w:t>TPG</w:t>
            </w:r>
          </w:p>
        </w:tc>
        <w:tc>
          <w:tcPr>
            <w:tcW w:w="2127" w:type="dxa"/>
          </w:tcPr>
          <w:p w14:paraId="01063572" w14:textId="067D4D97" w:rsidR="000F6DD9" w:rsidRDefault="000F6DD9" w:rsidP="008950B7">
            <w:pPr>
              <w:pStyle w:val="Numberedparagraph"/>
              <w:numPr>
                <w:ilvl w:val="0"/>
                <w:numId w:val="0"/>
              </w:numPr>
              <w:spacing w:after="0"/>
            </w:pPr>
            <w:r>
              <w:t>Legislative (s</w:t>
            </w:r>
            <w:r w:rsidR="00AB3BA7">
              <w:t xml:space="preserve">. </w:t>
            </w:r>
            <w:r>
              <w:t>33 of the BSA)</w:t>
            </w:r>
          </w:p>
        </w:tc>
        <w:tc>
          <w:tcPr>
            <w:tcW w:w="1275" w:type="dxa"/>
          </w:tcPr>
          <w:p w14:paraId="663D0A56" w14:textId="77777777" w:rsidR="000F6DD9" w:rsidRDefault="000F6DD9" w:rsidP="008950B7">
            <w:pPr>
              <w:pStyle w:val="Numberedparagraph"/>
              <w:numPr>
                <w:ilvl w:val="0"/>
                <w:numId w:val="0"/>
              </w:numPr>
              <w:spacing w:after="0"/>
              <w:jc w:val="center"/>
              <w:rPr>
                <w:noProof/>
              </w:rPr>
            </w:pPr>
          </w:p>
        </w:tc>
        <w:tc>
          <w:tcPr>
            <w:tcW w:w="1418" w:type="dxa"/>
          </w:tcPr>
          <w:p w14:paraId="4EC280B9" w14:textId="79C11472" w:rsidR="000F6DD9" w:rsidRDefault="000F6DD9" w:rsidP="008950B7">
            <w:pPr>
              <w:pStyle w:val="Numberedparagraph"/>
              <w:numPr>
                <w:ilvl w:val="0"/>
                <w:numId w:val="0"/>
              </w:numPr>
              <w:spacing w:after="0"/>
              <w:jc w:val="center"/>
            </w:pPr>
            <w:r>
              <w:rPr>
                <w:noProof/>
              </w:rPr>
              <w:drawing>
                <wp:inline distT="0" distB="0" distL="0" distR="0" wp14:anchorId="7F3A4F93" wp14:editId="7B0BA579">
                  <wp:extent cx="196850" cy="196850"/>
                  <wp:effectExtent l="0" t="0" r="0" b="0"/>
                  <wp:docPr id="58" name="Graphic 5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1417" w:type="dxa"/>
          </w:tcPr>
          <w:p w14:paraId="16D12BB3" w14:textId="08D80287" w:rsidR="000F6DD9" w:rsidRDefault="000F6DD9" w:rsidP="008950B7">
            <w:pPr>
              <w:pStyle w:val="Numberedparagraph"/>
              <w:numPr>
                <w:ilvl w:val="0"/>
                <w:numId w:val="0"/>
              </w:numPr>
              <w:spacing w:after="0"/>
              <w:jc w:val="center"/>
              <w:rPr>
                <w:noProof/>
              </w:rPr>
            </w:pPr>
            <w:r>
              <w:rPr>
                <w:noProof/>
              </w:rPr>
              <w:drawing>
                <wp:inline distT="0" distB="0" distL="0" distR="0" wp14:anchorId="61E5BA5A" wp14:editId="452AE935">
                  <wp:extent cx="196850" cy="196850"/>
                  <wp:effectExtent l="0" t="0" r="0" b="0"/>
                  <wp:docPr id="59" name="Graphic 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71863A7B" w14:textId="287EDD86" w:rsidR="000F6DD9" w:rsidRDefault="000F6DD9" w:rsidP="008950B7">
            <w:pPr>
              <w:pStyle w:val="Numberedparagraph"/>
              <w:numPr>
                <w:ilvl w:val="0"/>
                <w:numId w:val="0"/>
              </w:numPr>
              <w:spacing w:after="0"/>
            </w:pPr>
            <w:r>
              <w:t>Broadcasting: 4.5</w:t>
            </w:r>
            <w:r w:rsidR="00C711DD">
              <w:t>1</w:t>
            </w:r>
            <w:r w:rsidR="00AB3BA7">
              <w:t>–</w:t>
            </w:r>
            <w:r>
              <w:t>4.5</w:t>
            </w:r>
            <w:r w:rsidR="00C711DD">
              <w:t>3</w:t>
            </w:r>
          </w:p>
        </w:tc>
      </w:tr>
      <w:tr w:rsidR="000F6DD9" w14:paraId="002965E7" w14:textId="77777777" w:rsidTr="000972B3">
        <w:trPr>
          <w:cantSplit/>
        </w:trPr>
        <w:tc>
          <w:tcPr>
            <w:tcW w:w="3941" w:type="dxa"/>
          </w:tcPr>
          <w:p w14:paraId="58772C9A" w14:textId="642735E6" w:rsidR="000F6DD9" w:rsidRPr="000F6DD9" w:rsidRDefault="000F6DD9" w:rsidP="008950B7">
            <w:pPr>
              <w:pStyle w:val="Numberedparagraph"/>
              <w:numPr>
                <w:ilvl w:val="0"/>
                <w:numId w:val="0"/>
              </w:numPr>
              <w:spacing w:after="0"/>
            </w:pPr>
            <w:r w:rsidRPr="000F6DD9">
              <w:t xml:space="preserve">Business Operating Procedures </w:t>
            </w:r>
          </w:p>
        </w:tc>
        <w:tc>
          <w:tcPr>
            <w:tcW w:w="1724" w:type="dxa"/>
          </w:tcPr>
          <w:p w14:paraId="6E88EAF0" w14:textId="02C3B6FE" w:rsidR="000F6DD9" w:rsidRDefault="000F6DD9" w:rsidP="008950B7">
            <w:pPr>
              <w:pStyle w:val="Numberedparagraph"/>
              <w:numPr>
                <w:ilvl w:val="0"/>
                <w:numId w:val="0"/>
              </w:numPr>
              <w:spacing w:after="0"/>
            </w:pPr>
            <w:r>
              <w:t>BOP</w:t>
            </w:r>
          </w:p>
        </w:tc>
        <w:tc>
          <w:tcPr>
            <w:tcW w:w="2127" w:type="dxa"/>
          </w:tcPr>
          <w:p w14:paraId="6EF6F578" w14:textId="7EBF7F48" w:rsidR="000F6DD9" w:rsidRDefault="000F6DD9" w:rsidP="008950B7">
            <w:pPr>
              <w:pStyle w:val="Numberedparagraph"/>
              <w:numPr>
                <w:ilvl w:val="0"/>
                <w:numId w:val="0"/>
              </w:numPr>
              <w:spacing w:after="0"/>
            </w:pPr>
            <w:r>
              <w:t>Administrative policy</w:t>
            </w:r>
          </w:p>
        </w:tc>
        <w:tc>
          <w:tcPr>
            <w:tcW w:w="1275" w:type="dxa"/>
          </w:tcPr>
          <w:p w14:paraId="13340185" w14:textId="77777777" w:rsidR="000F6DD9" w:rsidRDefault="000F6DD9" w:rsidP="008950B7">
            <w:pPr>
              <w:pStyle w:val="Numberedparagraph"/>
              <w:numPr>
                <w:ilvl w:val="0"/>
                <w:numId w:val="0"/>
              </w:numPr>
              <w:spacing w:after="0"/>
              <w:jc w:val="center"/>
              <w:rPr>
                <w:noProof/>
              </w:rPr>
            </w:pPr>
          </w:p>
        </w:tc>
        <w:tc>
          <w:tcPr>
            <w:tcW w:w="1418" w:type="dxa"/>
          </w:tcPr>
          <w:p w14:paraId="4D2B07C8" w14:textId="009D8D73" w:rsidR="000F6DD9" w:rsidRDefault="000F6DD9" w:rsidP="008950B7">
            <w:pPr>
              <w:pStyle w:val="Numberedparagraph"/>
              <w:numPr>
                <w:ilvl w:val="0"/>
                <w:numId w:val="0"/>
              </w:numPr>
              <w:spacing w:after="0"/>
              <w:jc w:val="center"/>
            </w:pPr>
          </w:p>
        </w:tc>
        <w:tc>
          <w:tcPr>
            <w:tcW w:w="1417" w:type="dxa"/>
          </w:tcPr>
          <w:p w14:paraId="06D673E7" w14:textId="47E70495" w:rsidR="000F6DD9" w:rsidRDefault="000F6DD9" w:rsidP="008950B7">
            <w:pPr>
              <w:pStyle w:val="Numberedparagraph"/>
              <w:numPr>
                <w:ilvl w:val="0"/>
                <w:numId w:val="0"/>
              </w:numPr>
              <w:spacing w:after="0"/>
              <w:jc w:val="center"/>
            </w:pPr>
            <w:r>
              <w:rPr>
                <w:noProof/>
              </w:rPr>
              <w:drawing>
                <wp:inline distT="0" distB="0" distL="0" distR="0" wp14:anchorId="04A7B11B" wp14:editId="30421EA5">
                  <wp:extent cx="196850" cy="196850"/>
                  <wp:effectExtent l="0" t="0" r="0" b="0"/>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7F3E71B2" w14:textId="5695787D" w:rsidR="000F6DD9" w:rsidRDefault="000F6DD9" w:rsidP="000F6DD9">
            <w:pPr>
              <w:pStyle w:val="Numberedparagraph"/>
              <w:numPr>
                <w:ilvl w:val="0"/>
                <w:numId w:val="0"/>
              </w:numPr>
              <w:spacing w:after="80"/>
            </w:pPr>
            <w:r>
              <w:t>3.</w:t>
            </w:r>
            <w:r w:rsidR="00260509">
              <w:t>50</w:t>
            </w:r>
          </w:p>
          <w:p w14:paraId="6C291C23" w14:textId="2288E8BF" w:rsidR="000F6DD9" w:rsidRDefault="000F6DD9" w:rsidP="008950B7">
            <w:pPr>
              <w:pStyle w:val="Numberedparagraph"/>
              <w:numPr>
                <w:ilvl w:val="0"/>
                <w:numId w:val="0"/>
              </w:numPr>
              <w:spacing w:after="0"/>
            </w:pPr>
            <w:r>
              <w:t>Space-based: 4.</w:t>
            </w:r>
            <w:r w:rsidR="0048374C">
              <w:t>7</w:t>
            </w:r>
            <w:r w:rsidR="00960A8A">
              <w:t>0</w:t>
            </w:r>
          </w:p>
        </w:tc>
      </w:tr>
      <w:tr w:rsidR="000F6DD9" w14:paraId="7D6A4CB0" w14:textId="77777777" w:rsidTr="000972B3">
        <w:trPr>
          <w:cantSplit/>
        </w:trPr>
        <w:tc>
          <w:tcPr>
            <w:tcW w:w="3941" w:type="dxa"/>
          </w:tcPr>
          <w:p w14:paraId="459BBA06" w14:textId="739E5E81" w:rsidR="000F6DD9" w:rsidRPr="000F6DD9" w:rsidRDefault="000F6DD9" w:rsidP="008950B7">
            <w:pPr>
              <w:pStyle w:val="Numberedparagraph"/>
              <w:numPr>
                <w:ilvl w:val="0"/>
                <w:numId w:val="0"/>
              </w:numPr>
              <w:spacing w:after="0"/>
            </w:pPr>
            <w:r w:rsidRPr="000F6DD9">
              <w:t>Frequency Assignment Practices</w:t>
            </w:r>
          </w:p>
        </w:tc>
        <w:tc>
          <w:tcPr>
            <w:tcW w:w="1724" w:type="dxa"/>
          </w:tcPr>
          <w:p w14:paraId="023C53D2" w14:textId="1D9C6E68" w:rsidR="000F6DD9" w:rsidRDefault="000F6DD9" w:rsidP="008950B7">
            <w:pPr>
              <w:pStyle w:val="Numberedparagraph"/>
              <w:numPr>
                <w:ilvl w:val="0"/>
                <w:numId w:val="0"/>
              </w:numPr>
              <w:spacing w:after="0"/>
            </w:pPr>
            <w:r>
              <w:t>FAP</w:t>
            </w:r>
          </w:p>
        </w:tc>
        <w:tc>
          <w:tcPr>
            <w:tcW w:w="2127" w:type="dxa"/>
          </w:tcPr>
          <w:p w14:paraId="5F685862" w14:textId="154442DB" w:rsidR="000F6DD9" w:rsidRDefault="000F6DD9" w:rsidP="008950B7">
            <w:pPr>
              <w:pStyle w:val="Numberedparagraph"/>
              <w:numPr>
                <w:ilvl w:val="0"/>
                <w:numId w:val="0"/>
              </w:numPr>
              <w:spacing w:after="0"/>
            </w:pPr>
            <w:r>
              <w:t>Administrative policy</w:t>
            </w:r>
          </w:p>
        </w:tc>
        <w:tc>
          <w:tcPr>
            <w:tcW w:w="1275" w:type="dxa"/>
          </w:tcPr>
          <w:p w14:paraId="4113912E" w14:textId="77777777" w:rsidR="000F6DD9" w:rsidRDefault="000F6DD9" w:rsidP="008950B7">
            <w:pPr>
              <w:pStyle w:val="Numberedparagraph"/>
              <w:numPr>
                <w:ilvl w:val="0"/>
                <w:numId w:val="0"/>
              </w:numPr>
              <w:spacing w:after="0"/>
              <w:jc w:val="center"/>
              <w:rPr>
                <w:noProof/>
              </w:rPr>
            </w:pPr>
          </w:p>
        </w:tc>
        <w:tc>
          <w:tcPr>
            <w:tcW w:w="1418" w:type="dxa"/>
          </w:tcPr>
          <w:p w14:paraId="26B55992" w14:textId="64C50D14" w:rsidR="000F6DD9" w:rsidRDefault="000F6DD9" w:rsidP="008950B7">
            <w:pPr>
              <w:pStyle w:val="Numberedparagraph"/>
              <w:numPr>
                <w:ilvl w:val="0"/>
                <w:numId w:val="0"/>
              </w:numPr>
              <w:spacing w:after="0"/>
              <w:jc w:val="center"/>
              <w:rPr>
                <w:noProof/>
              </w:rPr>
            </w:pPr>
          </w:p>
        </w:tc>
        <w:tc>
          <w:tcPr>
            <w:tcW w:w="1417" w:type="dxa"/>
          </w:tcPr>
          <w:p w14:paraId="1639F0F0" w14:textId="76C59270" w:rsidR="000F6DD9" w:rsidRDefault="000F6DD9" w:rsidP="008950B7">
            <w:pPr>
              <w:pStyle w:val="Numberedparagraph"/>
              <w:numPr>
                <w:ilvl w:val="0"/>
                <w:numId w:val="0"/>
              </w:numPr>
              <w:spacing w:after="0"/>
              <w:jc w:val="center"/>
              <w:rPr>
                <w:noProof/>
              </w:rPr>
            </w:pPr>
            <w:r>
              <w:rPr>
                <w:noProof/>
              </w:rPr>
              <w:drawing>
                <wp:inline distT="0" distB="0" distL="0" distR="0" wp14:anchorId="148FCC73" wp14:editId="6BA311B2">
                  <wp:extent cx="196850" cy="196850"/>
                  <wp:effectExtent l="0" t="0" r="0" b="0"/>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47DCD1D2" w14:textId="058C204D" w:rsidR="000F6DD9" w:rsidRDefault="000F6DD9" w:rsidP="008950B7">
            <w:pPr>
              <w:pStyle w:val="Numberedparagraph"/>
              <w:numPr>
                <w:ilvl w:val="0"/>
                <w:numId w:val="0"/>
              </w:numPr>
              <w:spacing w:after="0"/>
            </w:pPr>
            <w:r>
              <w:t>3.5</w:t>
            </w:r>
            <w:r w:rsidR="00260509">
              <w:t>1</w:t>
            </w:r>
          </w:p>
        </w:tc>
      </w:tr>
      <w:tr w:rsidR="000F6DD9" w14:paraId="1DAB1946" w14:textId="77777777" w:rsidTr="000972B3">
        <w:trPr>
          <w:cantSplit/>
        </w:trPr>
        <w:tc>
          <w:tcPr>
            <w:tcW w:w="3941" w:type="dxa"/>
          </w:tcPr>
          <w:p w14:paraId="6D96D281" w14:textId="4477041F" w:rsidR="000F6DD9" w:rsidRPr="000F6DD9" w:rsidRDefault="000F6DD9" w:rsidP="008950B7">
            <w:pPr>
              <w:pStyle w:val="Numberedparagraph"/>
              <w:numPr>
                <w:ilvl w:val="0"/>
                <w:numId w:val="0"/>
              </w:numPr>
              <w:spacing w:after="0"/>
            </w:pPr>
            <w:r w:rsidRPr="000F6DD9">
              <w:lastRenderedPageBreak/>
              <w:t>Licence conditions</w:t>
            </w:r>
          </w:p>
        </w:tc>
        <w:tc>
          <w:tcPr>
            <w:tcW w:w="1724" w:type="dxa"/>
          </w:tcPr>
          <w:p w14:paraId="7F454CA7" w14:textId="576FC8A0" w:rsidR="000F6DD9" w:rsidRDefault="000F6DD9" w:rsidP="008950B7">
            <w:pPr>
              <w:pStyle w:val="Numberedparagraph"/>
              <w:numPr>
                <w:ilvl w:val="0"/>
                <w:numId w:val="0"/>
              </w:numPr>
              <w:spacing w:after="0"/>
            </w:pPr>
          </w:p>
        </w:tc>
        <w:tc>
          <w:tcPr>
            <w:tcW w:w="2127" w:type="dxa"/>
          </w:tcPr>
          <w:p w14:paraId="4E169F71" w14:textId="65927C0D" w:rsidR="000F6DD9" w:rsidRDefault="000F6DD9" w:rsidP="008950B7">
            <w:pPr>
              <w:pStyle w:val="Numberedparagraph"/>
              <w:numPr>
                <w:ilvl w:val="0"/>
                <w:numId w:val="0"/>
              </w:numPr>
              <w:spacing w:after="0"/>
            </w:pPr>
            <w:r>
              <w:t>Legislative</w:t>
            </w:r>
          </w:p>
        </w:tc>
        <w:tc>
          <w:tcPr>
            <w:tcW w:w="1275" w:type="dxa"/>
          </w:tcPr>
          <w:p w14:paraId="54EF8033" w14:textId="77777777" w:rsidR="000F6DD9" w:rsidRDefault="000F6DD9" w:rsidP="008950B7">
            <w:pPr>
              <w:pStyle w:val="Numberedparagraph"/>
              <w:numPr>
                <w:ilvl w:val="0"/>
                <w:numId w:val="0"/>
              </w:numPr>
              <w:spacing w:after="0"/>
              <w:jc w:val="center"/>
              <w:rPr>
                <w:noProof/>
              </w:rPr>
            </w:pPr>
          </w:p>
        </w:tc>
        <w:tc>
          <w:tcPr>
            <w:tcW w:w="1418" w:type="dxa"/>
          </w:tcPr>
          <w:p w14:paraId="03160FAE" w14:textId="5F97EF52" w:rsidR="000F6DD9" w:rsidRDefault="000F6DD9" w:rsidP="008950B7">
            <w:pPr>
              <w:pStyle w:val="Numberedparagraph"/>
              <w:numPr>
                <w:ilvl w:val="0"/>
                <w:numId w:val="0"/>
              </w:numPr>
              <w:spacing w:after="0"/>
              <w:jc w:val="center"/>
              <w:rPr>
                <w:noProof/>
              </w:rPr>
            </w:pPr>
          </w:p>
        </w:tc>
        <w:tc>
          <w:tcPr>
            <w:tcW w:w="1417" w:type="dxa"/>
          </w:tcPr>
          <w:p w14:paraId="00642FF3" w14:textId="3067D33E" w:rsidR="000F6DD9" w:rsidRDefault="000F6DD9" w:rsidP="008950B7">
            <w:pPr>
              <w:pStyle w:val="Numberedparagraph"/>
              <w:numPr>
                <w:ilvl w:val="0"/>
                <w:numId w:val="0"/>
              </w:numPr>
              <w:spacing w:after="0"/>
              <w:jc w:val="center"/>
            </w:pPr>
            <w:r>
              <w:rPr>
                <w:noProof/>
              </w:rPr>
              <w:drawing>
                <wp:inline distT="0" distB="0" distL="0" distR="0" wp14:anchorId="1A1FAEBE" wp14:editId="4C7F71DC">
                  <wp:extent cx="196850" cy="196850"/>
                  <wp:effectExtent l="0" t="0" r="0" b="0"/>
                  <wp:docPr id="49" name="Graphic 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718E4F2E" w14:textId="36A72E34" w:rsidR="000F6DD9" w:rsidRDefault="000F6DD9" w:rsidP="000F6DD9">
            <w:pPr>
              <w:pStyle w:val="Numberedparagraph"/>
              <w:numPr>
                <w:ilvl w:val="0"/>
                <w:numId w:val="0"/>
              </w:numPr>
              <w:spacing w:after="80"/>
            </w:pPr>
            <w:r>
              <w:t>3.5</w:t>
            </w:r>
            <w:r w:rsidR="00260509">
              <w:t>2</w:t>
            </w:r>
            <w:r w:rsidR="00AB3BA7">
              <w:t>–</w:t>
            </w:r>
            <w:r>
              <w:t>3.5</w:t>
            </w:r>
            <w:r w:rsidR="00260509">
              <w:t>6</w:t>
            </w:r>
          </w:p>
          <w:p w14:paraId="1E90376D" w14:textId="4A1F8B63" w:rsidR="000F6DD9" w:rsidRDefault="000F6DD9" w:rsidP="008950B7">
            <w:pPr>
              <w:pStyle w:val="Numberedparagraph"/>
              <w:numPr>
                <w:ilvl w:val="0"/>
                <w:numId w:val="0"/>
              </w:numPr>
              <w:spacing w:after="0"/>
            </w:pPr>
            <w:r>
              <w:t>Spectrum licen</w:t>
            </w:r>
            <w:r w:rsidR="003F4F12">
              <w:t>s</w:t>
            </w:r>
            <w:r>
              <w:t>ing: 4.3</w:t>
            </w:r>
            <w:r w:rsidR="0048374C">
              <w:t>4</w:t>
            </w:r>
            <w:r w:rsidR="00AB3BA7">
              <w:t>–</w:t>
            </w:r>
            <w:r>
              <w:t>4.3</w:t>
            </w:r>
            <w:r w:rsidR="0048374C">
              <w:t>6</w:t>
            </w:r>
          </w:p>
        </w:tc>
      </w:tr>
      <w:tr w:rsidR="000F6DD9" w14:paraId="2A2474A0" w14:textId="77777777" w:rsidTr="000972B3">
        <w:trPr>
          <w:cantSplit/>
        </w:trPr>
        <w:tc>
          <w:tcPr>
            <w:tcW w:w="3941" w:type="dxa"/>
          </w:tcPr>
          <w:p w14:paraId="34896665" w14:textId="15EAC20B" w:rsidR="000F6DD9" w:rsidRDefault="0048374C" w:rsidP="008950B7">
            <w:pPr>
              <w:pStyle w:val="Numberedparagraph"/>
              <w:numPr>
                <w:ilvl w:val="0"/>
                <w:numId w:val="0"/>
              </w:numPr>
              <w:spacing w:after="0"/>
            </w:pPr>
            <w:r>
              <w:t>Section 34 determination</w:t>
            </w:r>
          </w:p>
        </w:tc>
        <w:tc>
          <w:tcPr>
            <w:tcW w:w="1724" w:type="dxa"/>
          </w:tcPr>
          <w:p w14:paraId="1629FD92" w14:textId="0FF79A85" w:rsidR="000F6DD9" w:rsidRDefault="0048374C" w:rsidP="008950B7">
            <w:pPr>
              <w:pStyle w:val="Numberedparagraph"/>
              <w:numPr>
                <w:ilvl w:val="0"/>
                <w:numId w:val="0"/>
              </w:numPr>
              <w:spacing w:after="0"/>
            </w:pPr>
            <w:r>
              <w:t>Section 34 determination</w:t>
            </w:r>
          </w:p>
        </w:tc>
        <w:tc>
          <w:tcPr>
            <w:tcW w:w="2127" w:type="dxa"/>
          </w:tcPr>
          <w:p w14:paraId="63F18B73" w14:textId="196A382A" w:rsidR="000F6DD9" w:rsidRDefault="000F6DD9" w:rsidP="008950B7">
            <w:pPr>
              <w:pStyle w:val="Numberedparagraph"/>
              <w:numPr>
                <w:ilvl w:val="0"/>
                <w:numId w:val="0"/>
              </w:numPr>
              <w:spacing w:after="0"/>
            </w:pPr>
            <w:r>
              <w:t>Legislative (s</w:t>
            </w:r>
            <w:r w:rsidR="00AB3BA7">
              <w:t xml:space="preserve">. </w:t>
            </w:r>
            <w:r>
              <w:t>31 of the RA &amp; s</w:t>
            </w:r>
            <w:r w:rsidR="00AB3BA7">
              <w:t xml:space="preserve">. </w:t>
            </w:r>
            <w:r>
              <w:t>34 of the BSA)</w:t>
            </w:r>
          </w:p>
        </w:tc>
        <w:tc>
          <w:tcPr>
            <w:tcW w:w="1275" w:type="dxa"/>
          </w:tcPr>
          <w:p w14:paraId="447FAA92" w14:textId="77777777" w:rsidR="000F6DD9" w:rsidRDefault="000F6DD9" w:rsidP="008950B7">
            <w:pPr>
              <w:pStyle w:val="Numberedparagraph"/>
              <w:numPr>
                <w:ilvl w:val="0"/>
                <w:numId w:val="0"/>
              </w:numPr>
              <w:spacing w:after="0"/>
              <w:jc w:val="center"/>
              <w:rPr>
                <w:noProof/>
              </w:rPr>
            </w:pPr>
          </w:p>
        </w:tc>
        <w:tc>
          <w:tcPr>
            <w:tcW w:w="1418" w:type="dxa"/>
          </w:tcPr>
          <w:p w14:paraId="70BF7D2D" w14:textId="77777777" w:rsidR="000F6DD9" w:rsidRDefault="000F6DD9" w:rsidP="008950B7">
            <w:pPr>
              <w:pStyle w:val="Numberedparagraph"/>
              <w:numPr>
                <w:ilvl w:val="0"/>
                <w:numId w:val="0"/>
              </w:numPr>
              <w:spacing w:after="0"/>
              <w:jc w:val="center"/>
              <w:rPr>
                <w:noProof/>
              </w:rPr>
            </w:pPr>
          </w:p>
        </w:tc>
        <w:tc>
          <w:tcPr>
            <w:tcW w:w="1417" w:type="dxa"/>
          </w:tcPr>
          <w:p w14:paraId="7D3214E4" w14:textId="670D3371" w:rsidR="000F6DD9" w:rsidRDefault="000F6DD9" w:rsidP="008950B7">
            <w:pPr>
              <w:pStyle w:val="Numberedparagraph"/>
              <w:numPr>
                <w:ilvl w:val="0"/>
                <w:numId w:val="0"/>
              </w:numPr>
              <w:spacing w:after="0"/>
              <w:jc w:val="center"/>
              <w:rPr>
                <w:noProof/>
              </w:rPr>
            </w:pPr>
            <w:r>
              <w:rPr>
                <w:noProof/>
              </w:rPr>
              <w:drawing>
                <wp:inline distT="0" distB="0" distL="0" distR="0" wp14:anchorId="007B72D0" wp14:editId="1AF0333D">
                  <wp:extent cx="196850" cy="196850"/>
                  <wp:effectExtent l="0" t="0" r="0" b="0"/>
                  <wp:docPr id="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44">
                            <a:extLst>
                              <a:ext uri="{96DAC541-7B7A-43D3-8B79-37D633B846F1}">
                                <asvg:svgBlip xmlns:asvg="http://schemas.microsoft.com/office/drawing/2016/SVG/main" r:embed="rId145"/>
                              </a:ext>
                            </a:extLst>
                          </a:blip>
                          <a:stretch>
                            <a:fillRect/>
                          </a:stretch>
                        </pic:blipFill>
                        <pic:spPr>
                          <a:xfrm>
                            <a:off x="0" y="0"/>
                            <a:ext cx="196850" cy="196850"/>
                          </a:xfrm>
                          <a:prstGeom prst="rect">
                            <a:avLst/>
                          </a:prstGeom>
                        </pic:spPr>
                      </pic:pic>
                    </a:graphicData>
                  </a:graphic>
                </wp:inline>
              </w:drawing>
            </w:r>
          </w:p>
        </w:tc>
        <w:tc>
          <w:tcPr>
            <w:tcW w:w="2977" w:type="dxa"/>
          </w:tcPr>
          <w:p w14:paraId="05585E40" w14:textId="699E262F" w:rsidR="000F6DD9" w:rsidRDefault="000F6DD9" w:rsidP="008950B7">
            <w:pPr>
              <w:pStyle w:val="Numberedparagraph"/>
              <w:numPr>
                <w:ilvl w:val="0"/>
                <w:numId w:val="0"/>
              </w:numPr>
              <w:spacing w:after="0"/>
            </w:pPr>
            <w:r>
              <w:t>Broadcasting: 4.5</w:t>
            </w:r>
            <w:r w:rsidR="00C711DD">
              <w:t>4</w:t>
            </w:r>
            <w:r w:rsidR="00AB3BA7">
              <w:t>–</w:t>
            </w:r>
            <w:r>
              <w:t>4.5</w:t>
            </w:r>
            <w:r w:rsidR="00C711DD">
              <w:t>5</w:t>
            </w:r>
          </w:p>
        </w:tc>
      </w:tr>
    </w:tbl>
    <w:p w14:paraId="26CFEE9B" w14:textId="1ACFDF92" w:rsidR="00CB68FF" w:rsidRPr="00702EA1" w:rsidRDefault="00CB68FF" w:rsidP="00602D75">
      <w:pPr>
        <w:pStyle w:val="Numberedparagraph"/>
        <w:numPr>
          <w:ilvl w:val="0"/>
          <w:numId w:val="0"/>
        </w:numPr>
      </w:pPr>
    </w:p>
    <w:sectPr w:rsidR="00CB68FF" w:rsidRPr="00702EA1" w:rsidSect="00010568">
      <w:pgSz w:w="16838" w:h="11906" w:orient="landscape" w:code="9"/>
      <w:pgMar w:top="1134" w:right="1945" w:bottom="568"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E8806" w14:textId="77777777" w:rsidR="001E3AFE" w:rsidRDefault="001E3AFE">
      <w:r>
        <w:separator/>
      </w:r>
    </w:p>
  </w:endnote>
  <w:endnote w:type="continuationSeparator" w:id="0">
    <w:p w14:paraId="393C4C3E" w14:textId="77777777" w:rsidR="001E3AFE" w:rsidRDefault="001E3AFE">
      <w:r>
        <w:continuationSeparator/>
      </w:r>
    </w:p>
  </w:endnote>
  <w:endnote w:type="continuationNotice" w:id="1">
    <w:p w14:paraId="61707E4C" w14:textId="77777777" w:rsidR="001E3AFE" w:rsidRDefault="001E3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5F1C" w14:textId="77777777" w:rsidR="0099057C" w:rsidRDefault="0099057C" w:rsidP="005E250B">
    <w:pPr>
      <w:pStyle w:val="Footer"/>
      <w:jc w:val="right"/>
    </w:pPr>
    <w:r w:rsidRPr="005E250B">
      <w:rPr>
        <w:noProof/>
        <w:vertAlign w:val="subscript"/>
      </w:rPr>
      <w:drawing>
        <wp:inline distT="0" distB="0" distL="0" distR="0" wp14:anchorId="5C247166" wp14:editId="7D1F3FB3">
          <wp:extent cx="1066800" cy="277368"/>
          <wp:effectExtent l="0" t="0" r="0" b="0"/>
          <wp:docPr id="5" name="Picture 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DDEB" w14:textId="77777777" w:rsidR="0099057C" w:rsidRDefault="00990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FEBA" w14:textId="77777777" w:rsidR="0099057C" w:rsidRDefault="00990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E633" w14:textId="77777777" w:rsidR="0099057C" w:rsidRPr="00622A3B" w:rsidRDefault="0099057C"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7BE4022C" w14:textId="77777777" w:rsidR="0099057C" w:rsidRPr="00A5474E" w:rsidRDefault="0099057C"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67B2" w14:textId="77777777" w:rsidR="0099057C" w:rsidRPr="00622A3B" w:rsidRDefault="0099057C"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44400DAD" w14:textId="77777777" w:rsidR="0099057C" w:rsidRPr="00A5474E" w:rsidRDefault="0099057C"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CEEB" w14:textId="77777777" w:rsidR="0099057C" w:rsidRPr="00622A3B" w:rsidRDefault="0099057C"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FC8F13F" w14:textId="77777777" w:rsidR="0099057C" w:rsidRPr="00A5474E" w:rsidRDefault="0099057C"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1137" w14:textId="77777777" w:rsidR="0099057C" w:rsidRPr="00622A3B" w:rsidRDefault="0099057C"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5FF9529B" w14:textId="77777777" w:rsidR="0099057C" w:rsidRPr="00A5474E" w:rsidRDefault="0099057C"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9B82" w14:textId="77777777" w:rsidR="0099057C" w:rsidRPr="00622A3B" w:rsidRDefault="0099057C"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5205B30D" w14:textId="77777777" w:rsidR="0099057C" w:rsidRPr="00A5474E" w:rsidRDefault="0099057C"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F456E" w14:textId="77777777" w:rsidR="001E3AFE" w:rsidRDefault="001E3AFE" w:rsidP="00DB3A64">
      <w:pPr>
        <w:spacing w:after="0"/>
      </w:pPr>
      <w:r>
        <w:separator/>
      </w:r>
    </w:p>
  </w:footnote>
  <w:footnote w:type="continuationSeparator" w:id="0">
    <w:p w14:paraId="01F2D971" w14:textId="77777777" w:rsidR="001E3AFE" w:rsidRDefault="001E3AFE">
      <w:r>
        <w:continuationSeparator/>
      </w:r>
    </w:p>
  </w:footnote>
  <w:footnote w:type="continuationNotice" w:id="1">
    <w:p w14:paraId="142E4395" w14:textId="77777777" w:rsidR="001E3AFE" w:rsidRDefault="001E3AFE">
      <w:pPr>
        <w:spacing w:after="0" w:line="240" w:lineRule="auto"/>
      </w:pPr>
    </w:p>
  </w:footnote>
  <w:footnote w:id="2">
    <w:p w14:paraId="3535E2ED" w14:textId="559BEF82" w:rsidR="001B6850" w:rsidRDefault="001B6850">
      <w:pPr>
        <w:pStyle w:val="FootnoteText"/>
      </w:pPr>
      <w:r>
        <w:rPr>
          <w:rStyle w:val="FootnoteReference"/>
        </w:rPr>
        <w:footnoteRef/>
      </w:r>
      <w:r>
        <w:t xml:space="preserve"> Section 3 of the </w:t>
      </w:r>
      <w:r w:rsidRPr="007E0151">
        <w:rPr>
          <w:i/>
          <w:iCs/>
        </w:rPr>
        <w:t>Radiocommunications Act 1992</w:t>
      </w:r>
      <w:r>
        <w:t>.</w:t>
      </w:r>
    </w:p>
  </w:footnote>
  <w:footnote w:id="3">
    <w:p w14:paraId="435DD3E7" w14:textId="760494AD" w:rsidR="002479B9" w:rsidRDefault="002479B9">
      <w:pPr>
        <w:pStyle w:val="FootnoteText"/>
      </w:pPr>
      <w:r>
        <w:rPr>
          <w:rStyle w:val="FootnoteReference"/>
        </w:rPr>
        <w:footnoteRef/>
      </w:r>
      <w:r>
        <w:t xml:space="preserve"> The ACMA’s spectrum management functions are outlined in Section 9 of the </w:t>
      </w:r>
      <w:hyperlink r:id="rId1" w:history="1">
        <w:r w:rsidRPr="007E0151">
          <w:rPr>
            <w:rStyle w:val="Hyperlink"/>
            <w:i/>
            <w:iCs/>
          </w:rPr>
          <w:t>Australian Communications and Media Authority Act 2005</w:t>
        </w:r>
      </w:hyperlink>
      <w:r>
        <w:t>.</w:t>
      </w:r>
    </w:p>
  </w:footnote>
  <w:footnote w:id="4">
    <w:p w14:paraId="2A12D43D" w14:textId="01E689E2" w:rsidR="0099057C" w:rsidRDefault="0099057C" w:rsidP="00204F64">
      <w:pPr>
        <w:pStyle w:val="FootnoteText"/>
        <w:spacing w:line="240" w:lineRule="auto"/>
      </w:pPr>
      <w:r>
        <w:rPr>
          <w:rStyle w:val="FootnoteReference"/>
        </w:rPr>
        <w:footnoteRef/>
      </w:r>
      <w:r>
        <w:t xml:space="preserve"> </w:t>
      </w:r>
      <w:r w:rsidR="00A815FD">
        <w:t>‘</w:t>
      </w:r>
      <w:r>
        <w:t>Uses</w:t>
      </w:r>
      <w:r w:rsidR="00A815FD">
        <w:t>’</w:t>
      </w:r>
      <w:r>
        <w:t xml:space="preserve"> refer to the general types of </w:t>
      </w:r>
      <w:r w:rsidR="006C3032">
        <w:t>radiocommunications</w:t>
      </w:r>
      <w:r>
        <w:t xml:space="preserve"> service</w:t>
      </w:r>
      <w:r w:rsidR="006C3032">
        <w:t>s</w:t>
      </w:r>
      <w:r>
        <w:t xml:space="preserve"> (</w:t>
      </w:r>
      <w:r w:rsidR="007E51D4">
        <w:t>for example,</w:t>
      </w:r>
      <w:r>
        <w:t xml:space="preserve"> </w:t>
      </w:r>
      <w:r w:rsidR="004F761A">
        <w:t>a</w:t>
      </w:r>
      <w:r>
        <w:t xml:space="preserve"> mobile service</w:t>
      </w:r>
      <w:r w:rsidR="002E5146">
        <w:t xml:space="preserve"> allocation</w:t>
      </w:r>
      <w:r>
        <w:t>) and more specific applications within a service (</w:t>
      </w:r>
      <w:r w:rsidR="007E51D4">
        <w:t>for example,</w:t>
      </w:r>
      <w:r>
        <w:t xml:space="preserve"> such as mobile broadband or trunked land mobile</w:t>
      </w:r>
      <w:r w:rsidR="007E51D4">
        <w:t>,</w:t>
      </w:r>
      <w:r>
        <w:t xml:space="preserve"> which operate within the regulatory envelope of the mobile service</w:t>
      </w:r>
      <w:r w:rsidR="002E5146">
        <w:t xml:space="preserve"> allocation</w:t>
      </w:r>
      <w:r>
        <w:t xml:space="preserve">). </w:t>
      </w:r>
    </w:p>
  </w:footnote>
  <w:footnote w:id="5">
    <w:p w14:paraId="5BC69FCE" w14:textId="74606026" w:rsidR="00A815FD" w:rsidRDefault="00A815FD" w:rsidP="000D0204">
      <w:pPr>
        <w:pStyle w:val="FootnoteText"/>
        <w:spacing w:line="240" w:lineRule="auto"/>
      </w:pPr>
      <w:r>
        <w:rPr>
          <w:rStyle w:val="FootnoteReference"/>
        </w:rPr>
        <w:footnoteRef/>
      </w:r>
      <w:r>
        <w:t xml:space="preserve"> ‘Users’ refer to individual </w:t>
      </w:r>
      <w:r w:rsidR="0039137A">
        <w:t>entities</w:t>
      </w:r>
      <w:r>
        <w:t xml:space="preserve"> </w:t>
      </w:r>
      <w:r w:rsidR="0039137A">
        <w:t>obtaining authorisation to use the spectrum.</w:t>
      </w:r>
    </w:p>
  </w:footnote>
  <w:footnote w:id="6">
    <w:p w14:paraId="319F87C6" w14:textId="458BD4BB" w:rsidR="0073617A" w:rsidRDefault="0073617A" w:rsidP="000D0204">
      <w:pPr>
        <w:pStyle w:val="FootnoteText"/>
        <w:spacing w:line="240" w:lineRule="auto"/>
      </w:pPr>
      <w:r>
        <w:rPr>
          <w:rStyle w:val="FootnoteReference"/>
        </w:rPr>
        <w:footnoteRef/>
      </w:r>
      <w:r>
        <w:t xml:space="preserve"> Interference occurs when unwanted </w:t>
      </w:r>
      <w:r w:rsidR="008E6182">
        <w:t>radiofrequency emissions interact with wanted signals in an undesirable manner.</w:t>
      </w:r>
    </w:p>
  </w:footnote>
  <w:footnote w:id="7">
    <w:p w14:paraId="3466F96A" w14:textId="4AEE5222" w:rsidR="0099057C" w:rsidRDefault="0099057C" w:rsidP="00502E5D">
      <w:pPr>
        <w:pStyle w:val="FootnoteText"/>
        <w:spacing w:line="240" w:lineRule="auto"/>
        <w:rPr>
          <w:lang w:val="en-US"/>
        </w:rPr>
      </w:pPr>
      <w:r>
        <w:rPr>
          <w:rStyle w:val="FootnoteReference"/>
        </w:rPr>
        <w:footnoteRef/>
      </w:r>
      <w:r>
        <w:t xml:space="preserve"> A m</w:t>
      </w:r>
      <w:r>
        <w:rPr>
          <w:lang w:val="en-US"/>
        </w:rPr>
        <w:t xml:space="preserve">ore complete reference to ‘sharing’ </w:t>
      </w:r>
      <w:r w:rsidR="00B21AFF">
        <w:rPr>
          <w:lang w:val="en-US"/>
        </w:rPr>
        <w:t>is</w:t>
      </w:r>
      <w:r>
        <w:rPr>
          <w:lang w:val="en-US"/>
        </w:rPr>
        <w:t xml:space="preserve"> ‘sharing and compatibility’ to be consistent with established international (</w:t>
      </w:r>
      <w:r w:rsidR="007E51D4">
        <w:rPr>
          <w:lang w:val="en-US"/>
        </w:rPr>
        <w:t>that is,</w:t>
      </w:r>
      <w:r>
        <w:rPr>
          <w:lang w:val="en-US"/>
        </w:rPr>
        <w:t xml:space="preserve"> ITU) terminology. In that framework, ‘sharing’ refers to in-band coexistence while ‘compatibility’ refers to adjacent band coexistence. However, for readability, the term ‘sharing’ will be used in this document but should be read as referring to both in</w:t>
      </w:r>
      <w:r w:rsidR="007E51D4">
        <w:rPr>
          <w:lang w:val="en-US"/>
        </w:rPr>
        <w:t>-</w:t>
      </w:r>
      <w:r>
        <w:rPr>
          <w:lang w:val="en-US"/>
        </w:rPr>
        <w:t>band and adjacen</w:t>
      </w:r>
      <w:r w:rsidR="00E612B9">
        <w:rPr>
          <w:lang w:val="en-US"/>
        </w:rPr>
        <w:t>t</w:t>
      </w:r>
      <w:r w:rsidR="002E5146">
        <w:rPr>
          <w:lang w:val="en-US"/>
        </w:rPr>
        <w:t>/nearby band</w:t>
      </w:r>
      <w:r>
        <w:rPr>
          <w:lang w:val="en-US"/>
        </w:rPr>
        <w:t xml:space="preserve"> considerations.</w:t>
      </w:r>
    </w:p>
  </w:footnote>
  <w:footnote w:id="8">
    <w:p w14:paraId="536A34CC" w14:textId="33D1B391" w:rsidR="00C15D22" w:rsidRDefault="00C15D22">
      <w:pPr>
        <w:pStyle w:val="FootnoteText"/>
      </w:pPr>
      <w:r>
        <w:rPr>
          <w:rStyle w:val="FootnoteReference"/>
        </w:rPr>
        <w:footnoteRef/>
      </w:r>
      <w:r>
        <w:t xml:space="preserve"> For example, t</w:t>
      </w:r>
      <w:r w:rsidRPr="00C15D22">
        <w:t xml:space="preserve">he Minister for Communications, Urban Infrastructure, Cities and the Arts issued a </w:t>
      </w:r>
      <w:hyperlink r:id="rId2" w:history="1">
        <w:r w:rsidRPr="00C15D22">
          <w:rPr>
            <w:rStyle w:val="Hyperlink"/>
          </w:rPr>
          <w:t>MPS</w:t>
        </w:r>
      </w:hyperlink>
      <w:r w:rsidRPr="00C15D22">
        <w:t xml:space="preserve"> for the allocation of the spectrum in the 3.4 GHz and 3.7 GHz bands</w:t>
      </w:r>
      <w:r w:rsidR="00DE22B6">
        <w:t>.</w:t>
      </w:r>
    </w:p>
  </w:footnote>
  <w:footnote w:id="9">
    <w:p w14:paraId="47E8CB3F" w14:textId="376060A8" w:rsidR="0099057C" w:rsidRDefault="0099057C">
      <w:pPr>
        <w:pStyle w:val="FootnoteText"/>
      </w:pPr>
      <w:r>
        <w:rPr>
          <w:rStyle w:val="FootnoteReference"/>
        </w:rPr>
        <w:footnoteRef/>
      </w:r>
      <w:r>
        <w:t xml:space="preserve"> Noting flexibility in legislative instruments often requires complex legal drafting. </w:t>
      </w:r>
    </w:p>
  </w:footnote>
  <w:footnote w:id="10">
    <w:p w14:paraId="5B0AD644" w14:textId="0279C7E7" w:rsidR="0099057C" w:rsidRDefault="0099057C">
      <w:pPr>
        <w:pStyle w:val="FootnoteText"/>
      </w:pPr>
      <w:r>
        <w:rPr>
          <w:rStyle w:val="FootnoteReference"/>
        </w:rPr>
        <w:footnoteRef/>
      </w:r>
      <w:r>
        <w:t xml:space="preserve"> Section II of Article 5 of the </w:t>
      </w:r>
      <w:hyperlink r:id="rId3" w:history="1">
        <w:r w:rsidRPr="004A3C05">
          <w:rPr>
            <w:rStyle w:val="Hyperlink"/>
          </w:rPr>
          <w:t>ITU Radio Regulations</w:t>
        </w:r>
      </w:hyperlink>
      <w:r>
        <w:t xml:space="preserve"> explains primary and secondary services</w:t>
      </w:r>
      <w:r w:rsidR="004834D4">
        <w:t xml:space="preserve"> as does </w:t>
      </w:r>
      <w:r w:rsidR="00812184">
        <w:t xml:space="preserve">various </w:t>
      </w:r>
      <w:r w:rsidR="00055651">
        <w:t>section</w:t>
      </w:r>
      <w:r w:rsidR="00812184">
        <w:t>s</w:t>
      </w:r>
      <w:r w:rsidR="008B647F">
        <w:t xml:space="preserve"> of the </w:t>
      </w:r>
      <w:r w:rsidR="00C9049F">
        <w:t>Spectrum Plan</w:t>
      </w:r>
      <w:r>
        <w:t xml:space="preserve">.  </w:t>
      </w:r>
    </w:p>
  </w:footnote>
  <w:footnote w:id="11">
    <w:p w14:paraId="6A874D74" w14:textId="14F6A0BE" w:rsidR="0086543F" w:rsidRDefault="0086543F">
      <w:pPr>
        <w:pStyle w:val="FootnoteText"/>
      </w:pPr>
      <w:r>
        <w:rPr>
          <w:rStyle w:val="FootnoteReference"/>
        </w:rPr>
        <w:footnoteRef/>
      </w:r>
      <w:r>
        <w:t xml:space="preserve"> As at 1 </w:t>
      </w:r>
      <w:r w:rsidR="00B00C21">
        <w:t>September 2023</w:t>
      </w:r>
      <w:r>
        <w:t xml:space="preserve">. </w:t>
      </w:r>
    </w:p>
  </w:footnote>
  <w:footnote w:id="12">
    <w:p w14:paraId="11F2627A" w14:textId="4832DFC8" w:rsidR="0086543F" w:rsidRDefault="0086543F">
      <w:pPr>
        <w:pStyle w:val="FootnoteText"/>
      </w:pPr>
      <w:r>
        <w:rPr>
          <w:rStyle w:val="FootnoteReference"/>
        </w:rPr>
        <w:footnoteRef/>
      </w:r>
      <w:r>
        <w:t xml:space="preserve"> As at 1 </w:t>
      </w:r>
      <w:r w:rsidR="00B00C21">
        <w:t>September 2023</w:t>
      </w:r>
      <w:r>
        <w:t xml:space="preserve">. </w:t>
      </w:r>
    </w:p>
  </w:footnote>
  <w:footnote w:id="13">
    <w:p w14:paraId="17FA79CF" w14:textId="5318197E" w:rsidR="00C94C5A" w:rsidRDefault="00C94C5A">
      <w:pPr>
        <w:pStyle w:val="FootnoteText"/>
      </w:pPr>
      <w:r>
        <w:rPr>
          <w:rStyle w:val="FootnoteReference"/>
        </w:rPr>
        <w:footnoteRef/>
      </w:r>
      <w:r>
        <w:t xml:space="preserve"> </w:t>
      </w:r>
      <w:r w:rsidR="005855FD">
        <w:t>These are listed in the</w:t>
      </w:r>
      <w:r w:rsidR="005855FD" w:rsidRPr="005855FD">
        <w:t xml:space="preserve"> </w:t>
      </w:r>
      <w:hyperlink r:id="rId4" w:history="1">
        <w:r w:rsidR="005855FD" w:rsidRPr="005855FD">
          <w:rPr>
            <w:rStyle w:val="Hyperlink"/>
          </w:rPr>
          <w:t>Radiocommunications (Specified Radiocommunications Receivers and Types of Transmitter Licences and Receiver Licences) Determination 2014</w:t>
        </w:r>
      </w:hyperlink>
      <w:r w:rsidR="005855FD">
        <w:t xml:space="preserve">. </w:t>
      </w:r>
    </w:p>
  </w:footnote>
  <w:footnote w:id="14">
    <w:p w14:paraId="1F94B911" w14:textId="0D760F11" w:rsidR="00D82BFA" w:rsidRDefault="00D82BFA">
      <w:pPr>
        <w:pStyle w:val="FootnoteText"/>
      </w:pPr>
      <w:r>
        <w:rPr>
          <w:rStyle w:val="FootnoteReference"/>
        </w:rPr>
        <w:footnoteRef/>
      </w:r>
      <w:r>
        <w:t xml:space="preserve"> See section 104 of the </w:t>
      </w:r>
      <w:r w:rsidR="001F4D47">
        <w:t xml:space="preserve">Radiocommunications </w:t>
      </w:r>
      <w:r>
        <w:t xml:space="preserve">Act. </w:t>
      </w:r>
    </w:p>
  </w:footnote>
  <w:footnote w:id="15">
    <w:p w14:paraId="7BF29022" w14:textId="0EE28856" w:rsidR="0099057C" w:rsidRDefault="0099057C">
      <w:pPr>
        <w:pStyle w:val="FootnoteText"/>
      </w:pPr>
      <w:r>
        <w:rPr>
          <w:rStyle w:val="FootnoteReference"/>
        </w:rPr>
        <w:footnoteRef/>
      </w:r>
      <w:r>
        <w:t xml:space="preserve"> </w:t>
      </w:r>
      <w:r w:rsidRPr="00CF2CBE">
        <w:t>Radiocommunications Assignment and Licensing Instruction</w:t>
      </w:r>
      <w:r>
        <w:t>s</w:t>
      </w:r>
      <w:r w:rsidRPr="00CF2CBE">
        <w:t xml:space="preserve"> (RALI</w:t>
      </w:r>
      <w:r>
        <w:t>s</w:t>
      </w:r>
      <w:r w:rsidRPr="00CF2CBE">
        <w:t>)</w:t>
      </w:r>
      <w:r>
        <w:t xml:space="preserve"> have various roles</w:t>
      </w:r>
      <w:r w:rsidRPr="00CF2CBE">
        <w:t>.</w:t>
      </w:r>
      <w:r>
        <w:t xml:space="preserve"> While they are all known as RALIs, </w:t>
      </w:r>
      <w:r w:rsidRPr="00DC60D1">
        <w:t xml:space="preserve">the </w:t>
      </w:r>
      <w:r w:rsidR="00780C6D">
        <w:t>3</w:t>
      </w:r>
      <w:r w:rsidR="00780C6D" w:rsidRPr="00DC60D1">
        <w:t xml:space="preserve"> </w:t>
      </w:r>
      <w:r w:rsidRPr="00DC60D1">
        <w:t>distinct purposes of different RALIs are administrative band plans (see paragraphs 3.3</w:t>
      </w:r>
      <w:r w:rsidR="00A24820">
        <w:t>3</w:t>
      </w:r>
      <w:r w:rsidRPr="00DC60D1">
        <w:t xml:space="preserve"> and 3.3</w:t>
      </w:r>
      <w:r w:rsidR="00A24820">
        <w:t>4</w:t>
      </w:r>
      <w:r w:rsidRPr="00DC60D1">
        <w:t>), spectrum embargoes (see paragraphs 3.3</w:t>
      </w:r>
      <w:r w:rsidR="00DC60D1" w:rsidRPr="00DC60D1">
        <w:t>9</w:t>
      </w:r>
      <w:r w:rsidRPr="00DC60D1">
        <w:t xml:space="preserve"> to 3.4</w:t>
      </w:r>
      <w:r w:rsidR="00DC60D1" w:rsidRPr="00DC60D1">
        <w:t>2</w:t>
      </w:r>
      <w:r w:rsidRPr="00DC60D1">
        <w:t>) and RALIs for assignment and licensing instruction</w:t>
      </w:r>
      <w:r w:rsidR="000A77B0" w:rsidRPr="00DC60D1">
        <w:t>s</w:t>
      </w:r>
      <w:r w:rsidRPr="00DC60D1">
        <w:t xml:space="preserve"> (see paragraphs 3.4</w:t>
      </w:r>
      <w:r w:rsidR="00DC60D1" w:rsidRPr="00DC60D1">
        <w:t>5</w:t>
      </w:r>
      <w:r w:rsidRPr="00DC60D1">
        <w:t xml:space="preserve"> and 3.</w:t>
      </w:r>
      <w:r w:rsidR="00DC60D1" w:rsidRPr="00DC60D1">
        <w:t>51</w:t>
      </w:r>
      <w:r w:rsidRPr="00DC60D1">
        <w:t>).</w:t>
      </w:r>
      <w:r>
        <w:t xml:space="preserve"> </w:t>
      </w:r>
    </w:p>
  </w:footnote>
  <w:footnote w:id="16">
    <w:p w14:paraId="4CDC630D" w14:textId="310BAE99" w:rsidR="00D67606" w:rsidRDefault="00D67606">
      <w:pPr>
        <w:pStyle w:val="FootnoteText"/>
      </w:pPr>
      <w:r>
        <w:rPr>
          <w:rStyle w:val="FootnoteReference"/>
        </w:rPr>
        <w:footnoteRef/>
      </w:r>
      <w:r w:rsidR="00D61770">
        <w:t xml:space="preserve"> N</w:t>
      </w:r>
      <w:r w:rsidR="00D61770" w:rsidRPr="00D61770">
        <w:t>o-interference/no-protection basis means no harmful interference may be caused to any radiocommunication service</w:t>
      </w:r>
      <w:r w:rsidR="00D61770">
        <w:t xml:space="preserve"> by the device</w:t>
      </w:r>
      <w:r w:rsidR="00D61770" w:rsidRPr="00D61770">
        <w:t xml:space="preserve"> and that no claim may be made for protection against harmful interference </w:t>
      </w:r>
      <w:r w:rsidR="00D61770">
        <w:t xml:space="preserve">to the device </w:t>
      </w:r>
      <w:r w:rsidR="00D61770" w:rsidRPr="00D61770">
        <w:t xml:space="preserve">from </w:t>
      </w:r>
      <w:r w:rsidR="00D61770">
        <w:t xml:space="preserve">other </w:t>
      </w:r>
      <w:r w:rsidR="00D61770" w:rsidRPr="00D61770">
        <w:t>radiocommunication services</w:t>
      </w:r>
      <w:r w:rsidR="00D61770">
        <w:t>.</w:t>
      </w:r>
    </w:p>
  </w:footnote>
  <w:footnote w:id="17">
    <w:p w14:paraId="5AE39997" w14:textId="27166E05" w:rsidR="00970EA9" w:rsidRDefault="00970EA9">
      <w:pPr>
        <w:pStyle w:val="FootnoteText"/>
      </w:pPr>
      <w:r>
        <w:rPr>
          <w:rStyle w:val="FootnoteReference"/>
        </w:rPr>
        <w:footnoteRef/>
      </w:r>
      <w:r>
        <w:t xml:space="preserve"> ‘Intra’ and ‘inter’ service coordination respectively.</w:t>
      </w:r>
    </w:p>
  </w:footnote>
  <w:footnote w:id="18">
    <w:p w14:paraId="2DA0E568" w14:textId="73254782" w:rsidR="0099057C" w:rsidRDefault="0099057C" w:rsidP="00A2558A">
      <w:pPr>
        <w:pStyle w:val="Footer"/>
        <w:spacing w:after="0"/>
      </w:pPr>
      <w:r>
        <w:rPr>
          <w:rStyle w:val="FootnoteReference"/>
        </w:rPr>
        <w:footnoteRef/>
      </w:r>
      <w:r>
        <w:t xml:space="preserve"> Channel plans may also be specified in applicable </w:t>
      </w:r>
      <w:r w:rsidR="00F13074">
        <w:t>b</w:t>
      </w:r>
      <w:r>
        <w:t xml:space="preserve">and </w:t>
      </w:r>
      <w:r w:rsidR="00F13074">
        <w:t>p</w:t>
      </w:r>
      <w:r>
        <w:t>lans</w:t>
      </w:r>
      <w:r w:rsidR="00F13074">
        <w:t>.</w:t>
      </w:r>
    </w:p>
  </w:footnote>
  <w:footnote w:id="19">
    <w:p w14:paraId="180315CD" w14:textId="239509BC" w:rsidR="00565135" w:rsidRDefault="00565135">
      <w:pPr>
        <w:pStyle w:val="FootnoteText"/>
      </w:pPr>
      <w:r>
        <w:rPr>
          <w:rStyle w:val="FootnoteReference"/>
        </w:rPr>
        <w:footnoteRef/>
      </w:r>
      <w:r>
        <w:t xml:space="preserve"> See discussion of class licences at paragraphs 3.35</w:t>
      </w:r>
      <w:r w:rsidR="00851679">
        <w:t>–</w:t>
      </w:r>
      <w:r>
        <w:t>37.</w:t>
      </w:r>
    </w:p>
  </w:footnote>
  <w:footnote w:id="20">
    <w:p w14:paraId="78D17FB2" w14:textId="27A33782" w:rsidR="0099057C" w:rsidRDefault="0099057C">
      <w:pPr>
        <w:pStyle w:val="FootnoteText"/>
      </w:pPr>
      <w:r>
        <w:rPr>
          <w:rStyle w:val="FootnoteReference"/>
        </w:rPr>
        <w:footnoteRef/>
      </w:r>
      <w:r>
        <w:t xml:space="preserve"> The Spectrum Plan is discussed in </w:t>
      </w:r>
      <w:r w:rsidRPr="00AC3F3E">
        <w:t>paragraphs 3.2</w:t>
      </w:r>
      <w:r w:rsidR="0027060C">
        <w:t>4</w:t>
      </w:r>
      <w:r w:rsidR="00851679">
        <w:t>–</w:t>
      </w:r>
      <w:r w:rsidRPr="00AC3F3E">
        <w:t>3.2</w:t>
      </w:r>
      <w:r w:rsidR="0027060C">
        <w:t>8</w:t>
      </w:r>
      <w:r w:rsidRPr="00AC3F3E">
        <w:t>.</w:t>
      </w:r>
    </w:p>
  </w:footnote>
  <w:footnote w:id="21">
    <w:p w14:paraId="2AE0DFD7" w14:textId="3B953145" w:rsidR="004F5BED" w:rsidRDefault="004F5BED">
      <w:pPr>
        <w:pStyle w:val="FootnoteText"/>
      </w:pPr>
      <w:r>
        <w:rPr>
          <w:rStyle w:val="FootnoteReference"/>
        </w:rPr>
        <w:footnoteRef/>
      </w:r>
      <w:r>
        <w:t xml:space="preserve"> </w:t>
      </w:r>
      <w:r w:rsidRPr="004F5BED">
        <w:t>See paragraphs 4.3</w:t>
      </w:r>
      <w:r w:rsidR="0027060C">
        <w:t>4</w:t>
      </w:r>
      <w:r w:rsidR="00656866">
        <w:t>–</w:t>
      </w:r>
      <w:r w:rsidRPr="004F5BED">
        <w:t>4.</w:t>
      </w:r>
      <w:r>
        <w:t>3</w:t>
      </w:r>
      <w:r w:rsidR="0027060C">
        <w:t>6</w:t>
      </w:r>
      <w:r w:rsidRPr="004F5BED">
        <w:t xml:space="preserve"> </w:t>
      </w:r>
      <w:r w:rsidR="00A542DF">
        <w:t>regarding</w:t>
      </w:r>
      <w:r w:rsidRPr="004F5BED">
        <w:t xml:space="preserve"> spectrum licence conditions.</w:t>
      </w:r>
    </w:p>
  </w:footnote>
  <w:footnote w:id="22">
    <w:p w14:paraId="38655B97" w14:textId="5403CF31" w:rsidR="0099057C" w:rsidRDefault="0099057C" w:rsidP="00893A0B">
      <w:pPr>
        <w:pStyle w:val="FootnoteText"/>
      </w:pPr>
      <w:r>
        <w:rPr>
          <w:rStyle w:val="FootnoteReference"/>
        </w:rPr>
        <w:footnoteRef/>
      </w:r>
      <w:r>
        <w:t xml:space="preserve"> The ACMA may make rules about third-party use of spectrum licences under section 68 of </w:t>
      </w:r>
      <w:r w:rsidR="00DC60D1">
        <w:t>the Radiocommunications Act</w:t>
      </w:r>
      <w:r>
        <w:t>.</w:t>
      </w:r>
    </w:p>
  </w:footnote>
  <w:footnote w:id="23">
    <w:p w14:paraId="23778820" w14:textId="03CE1EF9" w:rsidR="0099057C" w:rsidRDefault="0099057C" w:rsidP="00893A0B">
      <w:pPr>
        <w:pStyle w:val="FootnoteText"/>
      </w:pPr>
      <w:r>
        <w:rPr>
          <w:rStyle w:val="FootnoteReference"/>
        </w:rPr>
        <w:footnoteRef/>
      </w:r>
      <w:r>
        <w:t xml:space="preserve"> Under section 69 of </w:t>
      </w:r>
      <w:r w:rsidR="00DC60D1">
        <w:t>the Radiocommunications Act</w:t>
      </w:r>
      <w:r>
        <w:t xml:space="preserve">, a spectrum licence must include a condition that </w:t>
      </w:r>
      <w:r w:rsidR="00072C32">
        <w:t xml:space="preserve">radiocommunications </w:t>
      </w:r>
      <w:r>
        <w:t xml:space="preserve">transmitters cannot be operated under the licence unless the requirements of Part 3.5 of </w:t>
      </w:r>
      <w:r w:rsidR="00DC60D1">
        <w:t>the Radiocommunications Act</w:t>
      </w:r>
      <w:r>
        <w:t xml:space="preserve"> (relating to registration of </w:t>
      </w:r>
      <w:r w:rsidR="00215297">
        <w:t>transmitters</w:t>
      </w:r>
      <w:r>
        <w:t>) have been met.</w:t>
      </w:r>
    </w:p>
  </w:footnote>
  <w:footnote w:id="24">
    <w:p w14:paraId="421FE54F" w14:textId="65900300" w:rsidR="0099057C" w:rsidRDefault="0099057C" w:rsidP="00CB3EAC">
      <w:pPr>
        <w:pStyle w:val="FootnoteText"/>
      </w:pPr>
      <w:r>
        <w:rPr>
          <w:rStyle w:val="FootnoteReference"/>
        </w:rPr>
        <w:footnoteRef/>
      </w:r>
      <w:r>
        <w:t xml:space="preserve"> Frequency band plans are discussed in </w:t>
      </w:r>
      <w:r w:rsidRPr="00A542DF">
        <w:t>paragraphs 3.</w:t>
      </w:r>
      <w:r w:rsidR="00A542DF" w:rsidRPr="00A542DF">
        <w:t>3</w:t>
      </w:r>
      <w:r w:rsidR="0027060C">
        <w:t>0</w:t>
      </w:r>
      <w:r w:rsidR="00656866">
        <w:t>–</w:t>
      </w:r>
      <w:r w:rsidRPr="00A542DF">
        <w:t>3.3</w:t>
      </w:r>
      <w:r w:rsidR="0027060C">
        <w:t>4</w:t>
      </w:r>
      <w:r w:rsidRPr="00A542DF">
        <w:t>.</w:t>
      </w:r>
    </w:p>
  </w:footnote>
  <w:footnote w:id="25">
    <w:p w14:paraId="10208E59" w14:textId="25235099" w:rsidR="0099057C" w:rsidRDefault="0099057C">
      <w:pPr>
        <w:pStyle w:val="FootnoteText"/>
      </w:pPr>
      <w:r>
        <w:rPr>
          <w:rStyle w:val="FootnoteReference"/>
        </w:rPr>
        <w:footnoteRef/>
      </w:r>
      <w:r>
        <w:t xml:space="preserve"> Spectrum embargoes are discussed in paragraphs </w:t>
      </w:r>
      <w:r w:rsidRPr="00A542DF">
        <w:t>3.3</w:t>
      </w:r>
      <w:r w:rsidR="00A542DF" w:rsidRPr="00A542DF">
        <w:t>9</w:t>
      </w:r>
      <w:r w:rsidR="00656866">
        <w:t>–</w:t>
      </w:r>
      <w:r w:rsidRPr="00A542DF">
        <w:t>3.4</w:t>
      </w:r>
      <w:r w:rsidR="00A542DF" w:rsidRPr="00A542DF">
        <w:t>2</w:t>
      </w:r>
      <w:r>
        <w:t xml:space="preserve">. </w:t>
      </w:r>
    </w:p>
  </w:footnote>
  <w:footnote w:id="26">
    <w:p w14:paraId="64F98AE8" w14:textId="675B8012" w:rsidR="0099057C" w:rsidRDefault="0099057C">
      <w:pPr>
        <w:pStyle w:val="FootnoteText"/>
      </w:pPr>
      <w:r>
        <w:rPr>
          <w:rStyle w:val="FootnoteReference"/>
        </w:rPr>
        <w:footnoteRef/>
      </w:r>
      <w:r>
        <w:t xml:space="preserve"> A </w:t>
      </w:r>
      <w:r w:rsidR="00501B30">
        <w:t xml:space="preserve">radiocommunications </w:t>
      </w:r>
      <w:r>
        <w:t xml:space="preserve">transmitter can still be registered without this assessment if there is enough ‘guard space’ to ensure the transmitter will not cause unacceptable interference, or if the licensee has an agreement </w:t>
      </w:r>
      <w:r w:rsidR="00062EDB">
        <w:t xml:space="preserve">with </w:t>
      </w:r>
      <w:r>
        <w:t>all affected licensees.</w:t>
      </w:r>
    </w:p>
  </w:footnote>
  <w:footnote w:id="27">
    <w:p w14:paraId="70431A5A" w14:textId="164A7EB4" w:rsidR="003F78AB" w:rsidRDefault="003F78AB" w:rsidP="000A5F6C">
      <w:pPr>
        <w:pStyle w:val="FootnoteText"/>
      </w:pPr>
      <w:r w:rsidRPr="00D51048">
        <w:rPr>
          <w:rStyle w:val="FootnoteReference"/>
        </w:rPr>
        <w:footnoteRef/>
      </w:r>
      <w:r w:rsidRPr="00D51048">
        <w:t xml:space="preserve"> </w:t>
      </w:r>
      <w:r w:rsidR="00D51048" w:rsidRPr="00D51048">
        <w:t>See</w:t>
      </w:r>
      <w:r w:rsidR="00D51048">
        <w:t xml:space="preserve"> Section 12, Part 4 of Chapter 1 of the </w:t>
      </w:r>
      <w:hyperlink r:id="rId5" w:history="1">
        <w:r w:rsidR="00D51048" w:rsidRPr="00D51048">
          <w:rPr>
            <w:rStyle w:val="Hyperlink"/>
          </w:rPr>
          <w:t>Australian Radiofrequency Spectrum Plan 2021- including general information</w:t>
        </w:r>
        <w:r w:rsidR="00D51048" w:rsidRPr="00E4313C">
          <w:rPr>
            <w:rStyle w:val="Hyperlink"/>
            <w:color w:val="auto"/>
            <w:u w:val="none"/>
          </w:rPr>
          <w:t>.</w:t>
        </w:r>
      </w:hyperlink>
      <w:r w:rsidR="00D51048">
        <w:t xml:space="preserve">  </w:t>
      </w:r>
    </w:p>
  </w:footnote>
  <w:footnote w:id="28">
    <w:p w14:paraId="3951EDEE" w14:textId="1F987B43" w:rsidR="0099057C" w:rsidRDefault="0099057C" w:rsidP="000A5F6C">
      <w:pPr>
        <w:pStyle w:val="FootnoteText"/>
      </w:pPr>
      <w:r>
        <w:rPr>
          <w:rStyle w:val="FootnoteReference"/>
        </w:rPr>
        <w:footnoteRef/>
      </w:r>
      <w:r>
        <w:t xml:space="preserve"> See section 5 of </w:t>
      </w:r>
      <w:r w:rsidR="00DC60D1">
        <w:t>the Radiocommunications Act</w:t>
      </w:r>
      <w:r>
        <w:t xml:space="preserve"> for the definition of a </w:t>
      </w:r>
      <w:r w:rsidRPr="008775B9">
        <w:rPr>
          <w:i/>
          <w:iCs/>
        </w:rPr>
        <w:t>designated BSA radio area</w:t>
      </w:r>
      <w:r w:rsidR="001900A7">
        <w:rPr>
          <w:i/>
          <w:iCs/>
        </w:rPr>
        <w:t>.</w:t>
      </w:r>
    </w:p>
  </w:footnote>
  <w:footnote w:id="29">
    <w:p w14:paraId="22B4BA25" w14:textId="58FA2A6C" w:rsidR="0099057C" w:rsidRDefault="0099057C" w:rsidP="00791273">
      <w:pPr>
        <w:pStyle w:val="FootnoteText"/>
      </w:pPr>
      <w:r>
        <w:rPr>
          <w:rStyle w:val="FootnoteReference"/>
        </w:rPr>
        <w:footnoteRef/>
      </w:r>
      <w:r>
        <w:t xml:space="preserve"> For example, see</w:t>
      </w:r>
      <w:r w:rsidRPr="00D86BDC">
        <w:t xml:space="preserve"> </w:t>
      </w:r>
      <w:r w:rsidR="0004316C">
        <w:t xml:space="preserve">the ACMA document, </w:t>
      </w:r>
      <w:hyperlink r:id="rId6" w:history="1">
        <w:r w:rsidR="0004316C" w:rsidRPr="007E0151">
          <w:rPr>
            <w:rStyle w:val="Hyperlink"/>
            <w:i/>
            <w:iCs/>
          </w:rPr>
          <w:t>Satellite coordination and notification regulatory environment</w:t>
        </w:r>
      </w:hyperlink>
      <w:hyperlink w:history="1"/>
      <w:r w:rsidR="0004316C">
        <w:t>.</w:t>
      </w:r>
    </w:p>
  </w:footnote>
  <w:footnote w:id="30">
    <w:p w14:paraId="2350F81B" w14:textId="103A5E68" w:rsidR="0099057C" w:rsidRDefault="0099057C">
      <w:pPr>
        <w:pStyle w:val="FootnoteText"/>
      </w:pPr>
      <w:r>
        <w:rPr>
          <w:rStyle w:val="FootnoteReference"/>
        </w:rPr>
        <w:footnoteRef/>
      </w:r>
      <w:r>
        <w:t xml:space="preserve"> The Spectrum Plan is discussed in </w:t>
      </w:r>
      <w:r w:rsidRPr="00AF3607">
        <w:t>paragraphs 3.2</w:t>
      </w:r>
      <w:r w:rsidR="00AF3607" w:rsidRPr="00AF3607">
        <w:t>5</w:t>
      </w:r>
      <w:r w:rsidR="0004316C">
        <w:t>–</w:t>
      </w:r>
      <w:r w:rsidRPr="00AF3607">
        <w:t>3.2</w:t>
      </w:r>
      <w:r w:rsidR="00AF3607" w:rsidRPr="00AF3607">
        <w:t>9</w:t>
      </w:r>
      <w:r w:rsidRPr="00AF3607">
        <w:t>.</w:t>
      </w:r>
    </w:p>
  </w:footnote>
  <w:footnote w:id="31">
    <w:p w14:paraId="29F23704" w14:textId="2B7D8CAD" w:rsidR="0099057C" w:rsidRDefault="0099057C">
      <w:pPr>
        <w:pStyle w:val="FootnoteText"/>
      </w:pPr>
      <w:r>
        <w:rPr>
          <w:rStyle w:val="FootnoteReference"/>
        </w:rPr>
        <w:footnoteRef/>
      </w:r>
      <w:r>
        <w:t xml:space="preserve"> There are also provisions for space-to-space communications.</w:t>
      </w:r>
    </w:p>
  </w:footnote>
  <w:footnote w:id="32">
    <w:p w14:paraId="5B2AD395" w14:textId="2A448836" w:rsidR="0099057C" w:rsidRDefault="0099057C" w:rsidP="00B30BE6">
      <w:pPr>
        <w:pStyle w:val="FootnoteText"/>
      </w:pPr>
      <w:r>
        <w:rPr>
          <w:rStyle w:val="FootnoteReference"/>
        </w:rPr>
        <w:footnoteRef/>
      </w:r>
      <w:r>
        <w:t xml:space="preserve"> Frequency band plans are discussed in paragraphs </w:t>
      </w:r>
      <w:r w:rsidRPr="00AF3607">
        <w:t>3.</w:t>
      </w:r>
      <w:r w:rsidR="00AF3607" w:rsidRPr="00AF3607">
        <w:t>31</w:t>
      </w:r>
      <w:r w:rsidR="0004316C">
        <w:t>–</w:t>
      </w:r>
      <w:r w:rsidRPr="00AF3607">
        <w:t>3.</w:t>
      </w:r>
      <w:r w:rsidR="00AF3607" w:rsidRPr="00AF3607">
        <w:t>35</w:t>
      </w:r>
      <w:r>
        <w:t>.</w:t>
      </w:r>
    </w:p>
  </w:footnote>
  <w:footnote w:id="33">
    <w:p w14:paraId="162EEFB7" w14:textId="222A3D96" w:rsidR="0099057C" w:rsidRDefault="0099057C" w:rsidP="00B768C0">
      <w:pPr>
        <w:pStyle w:val="FootnoteText"/>
      </w:pPr>
      <w:r>
        <w:rPr>
          <w:rStyle w:val="FootnoteReference"/>
        </w:rPr>
        <w:footnoteRef/>
      </w:r>
      <w:r>
        <w:t xml:space="preserve"> Class licences are discussed in paragraphs </w:t>
      </w:r>
      <w:r w:rsidRPr="00AF3607">
        <w:t>3.3</w:t>
      </w:r>
      <w:r w:rsidR="00960A8A">
        <w:t>5</w:t>
      </w:r>
      <w:r w:rsidR="0004316C">
        <w:t>–</w:t>
      </w:r>
      <w:r w:rsidRPr="00AF3607">
        <w:t>3.3</w:t>
      </w:r>
      <w:r w:rsidR="00AF3607" w:rsidRPr="00AF3607">
        <w:t>7</w:t>
      </w:r>
      <w:r w:rsidRPr="00AF3607">
        <w:t>.</w:t>
      </w:r>
    </w:p>
  </w:footnote>
  <w:footnote w:id="34">
    <w:p w14:paraId="1396FED9" w14:textId="46469B37" w:rsidR="0099057C" w:rsidRDefault="0099057C" w:rsidP="00B768C0">
      <w:pPr>
        <w:pStyle w:val="FootnoteText"/>
      </w:pPr>
      <w:r>
        <w:rPr>
          <w:rStyle w:val="FootnoteReference"/>
        </w:rPr>
        <w:footnoteRef/>
      </w:r>
      <w:r>
        <w:t xml:space="preserve"> Ubiquitous </w:t>
      </w:r>
      <w:r w:rsidR="00292E37">
        <w:t>e</w:t>
      </w:r>
      <w:r>
        <w:t xml:space="preserve">arth stations are uncoordinated (not unplanned) deployments of </w:t>
      </w:r>
      <w:r w:rsidR="00292E37">
        <w:t>e</w:t>
      </w:r>
      <w:r>
        <w:t>arth stations (</w:t>
      </w:r>
      <w:r w:rsidR="00A37724">
        <w:t xml:space="preserve">typically </w:t>
      </w:r>
      <w:r>
        <w:t xml:space="preserve">user terminals) </w:t>
      </w:r>
      <w:r w:rsidR="00A37724">
        <w:t xml:space="preserve">potentially </w:t>
      </w:r>
      <w:r>
        <w:t>across a large area (typically Australia</w:t>
      </w:r>
      <w:r w:rsidR="0004316C">
        <w:t>-</w:t>
      </w:r>
      <w:r>
        <w:t xml:space="preserve">wide) communicating with </w:t>
      </w:r>
      <w:r w:rsidR="003A6FEF">
        <w:t>space stations on space objects</w:t>
      </w:r>
      <w:r>
        <w:t>. They are typically</w:t>
      </w:r>
      <w:r w:rsidR="00FB2400">
        <w:t>, though not exclusively,</w:t>
      </w:r>
      <w:r>
        <w:t xml:space="preserve"> deployed in bands solely used by satellite services. Examples of such stations include radionavigation-satellite receivers (</w:t>
      </w:r>
      <w:r w:rsidR="0004316C">
        <w:t xml:space="preserve">such as </w:t>
      </w:r>
      <w:r>
        <w:t>in-car</w:t>
      </w:r>
      <w:r w:rsidR="000972B3">
        <w:t xml:space="preserve"> and </w:t>
      </w:r>
      <w:r>
        <w:t>mobile phones), mobile-satellite service stations (Globalstar and Iridium)</w:t>
      </w:r>
      <w:r w:rsidR="00A37724">
        <w:t xml:space="preserve">, </w:t>
      </w:r>
      <w:r>
        <w:t>direct-to-home television receivers (</w:t>
      </w:r>
      <w:r w:rsidR="000972B3">
        <w:t xml:space="preserve">for example, </w:t>
      </w:r>
      <w:r>
        <w:t>Foxtel)</w:t>
      </w:r>
      <w:r w:rsidR="00A37724">
        <w:t xml:space="preserve"> and broadband (</w:t>
      </w:r>
      <w:r w:rsidR="000972B3">
        <w:t>such as NBN</w:t>
      </w:r>
      <w:r w:rsidR="00A37724">
        <w:t>)</w:t>
      </w:r>
      <w:r>
        <w:t>.</w:t>
      </w:r>
    </w:p>
  </w:footnote>
  <w:footnote w:id="35">
    <w:p w14:paraId="3406E6FD" w14:textId="15C8D2E1" w:rsidR="0099057C" w:rsidRDefault="0099057C" w:rsidP="00B768C0">
      <w:pPr>
        <w:pStyle w:val="FootnoteText"/>
      </w:pPr>
      <w:r>
        <w:rPr>
          <w:rStyle w:val="FootnoteReference"/>
        </w:rPr>
        <w:footnoteRef/>
      </w:r>
      <w:r>
        <w:t xml:space="preserve"> Typically, not shared with terrestrial services</w:t>
      </w:r>
      <w:r w:rsidR="00A37724">
        <w:t xml:space="preserve"> and hence</w:t>
      </w:r>
      <w:r w:rsidR="00F11B35">
        <w:t xml:space="preserve"> terrestrial stations would not normally be licensed in these bands removing potential coexistence issues</w:t>
      </w:r>
      <w:r w:rsidR="00623F5B">
        <w:t>.</w:t>
      </w:r>
      <w:r w:rsidR="00565135">
        <w:t xml:space="preserve"> See discussion in paragraph 3.37. </w:t>
      </w:r>
    </w:p>
  </w:footnote>
  <w:footnote w:id="36">
    <w:p w14:paraId="447DABF7" w14:textId="1DBD579D" w:rsidR="00261EEF" w:rsidRDefault="00261EEF">
      <w:pPr>
        <w:pStyle w:val="FootnoteText"/>
      </w:pPr>
      <w:r>
        <w:rPr>
          <w:rStyle w:val="FootnoteReference"/>
        </w:rPr>
        <w:footnoteRef/>
      </w:r>
      <w:r>
        <w:t xml:space="preserve"> See </w:t>
      </w:r>
      <w:r w:rsidR="000972B3">
        <w:t>s</w:t>
      </w:r>
      <w:r>
        <w:t xml:space="preserve">pace object determinations in </w:t>
      </w:r>
      <w:r w:rsidRPr="00E65630">
        <w:t>paragraphs 4.6</w:t>
      </w:r>
      <w:r w:rsidR="00960A8A">
        <w:t>7</w:t>
      </w:r>
      <w:r w:rsidRPr="00E65630">
        <w:t xml:space="preserve"> and 4.6</w:t>
      </w:r>
      <w:r w:rsidR="00960A8A">
        <w:t>8</w:t>
      </w:r>
      <w:r w:rsidRPr="00E65630">
        <w:t>.</w:t>
      </w:r>
    </w:p>
  </w:footnote>
  <w:footnote w:id="37">
    <w:p w14:paraId="5A92B600" w14:textId="08222041" w:rsidR="0099057C" w:rsidRDefault="0099057C" w:rsidP="00B768C0">
      <w:pPr>
        <w:pStyle w:val="FootnoteText"/>
      </w:pPr>
      <w:r>
        <w:rPr>
          <w:rStyle w:val="FootnoteReference"/>
        </w:rPr>
        <w:footnoteRef/>
      </w:r>
      <w:r>
        <w:t xml:space="preserve"> See the </w:t>
      </w:r>
      <w:hyperlink r:id="rId7" w:history="1">
        <w:r w:rsidRPr="00511E9A">
          <w:rPr>
            <w:rStyle w:val="Hyperlink"/>
          </w:rPr>
          <w:t>Radiocommunications (Radionavigation—Satellite Service) Class Licence 2015</w:t>
        </w:r>
      </w:hyperlink>
      <w:r>
        <w:t>.</w:t>
      </w:r>
    </w:p>
  </w:footnote>
  <w:footnote w:id="38">
    <w:p w14:paraId="445560FF" w14:textId="03D6D238" w:rsidR="0099057C" w:rsidRDefault="0099057C" w:rsidP="00B768C0">
      <w:pPr>
        <w:pStyle w:val="FootnoteText"/>
      </w:pPr>
      <w:r>
        <w:rPr>
          <w:rStyle w:val="FootnoteReference"/>
        </w:rPr>
        <w:footnoteRef/>
      </w:r>
      <w:r>
        <w:t xml:space="preserve"> Spectrum embargoes are discussed in </w:t>
      </w:r>
      <w:r w:rsidRPr="00E65630">
        <w:t>paragraphs 3.3</w:t>
      </w:r>
      <w:r w:rsidR="00E65630" w:rsidRPr="00E65630">
        <w:t>9</w:t>
      </w:r>
      <w:r w:rsidR="000972B3">
        <w:t>–</w:t>
      </w:r>
      <w:r w:rsidRPr="00E65630">
        <w:t>3.4</w:t>
      </w:r>
      <w:r w:rsidR="00E65630" w:rsidRPr="00E65630">
        <w:t>2</w:t>
      </w:r>
      <w:r w:rsidRPr="00E65630">
        <w:t>.</w:t>
      </w:r>
    </w:p>
  </w:footnote>
  <w:footnote w:id="39">
    <w:p w14:paraId="207E5452" w14:textId="43F37FDE" w:rsidR="0099057C" w:rsidRDefault="0099057C" w:rsidP="00464DBD">
      <w:pPr>
        <w:pStyle w:val="FootnoteText"/>
      </w:pPr>
      <w:r>
        <w:rPr>
          <w:rStyle w:val="FootnoteReference"/>
        </w:rPr>
        <w:footnoteRef/>
      </w:r>
      <w:r>
        <w:t xml:space="preserve"> This is known as the </w:t>
      </w:r>
      <w:hyperlink r:id="rId8" w:history="1">
        <w:r w:rsidRPr="00632B1C">
          <w:rPr>
            <w:rStyle w:val="Hyperlink"/>
          </w:rPr>
          <w:t xml:space="preserve">Radiocommunications (Australian </w:t>
        </w:r>
        <w:r w:rsidR="00C37FC1">
          <w:rPr>
            <w:rStyle w:val="Hyperlink"/>
          </w:rPr>
          <w:t>S</w:t>
        </w:r>
        <w:r w:rsidRPr="00632B1C">
          <w:rPr>
            <w:rStyle w:val="Hyperlink"/>
          </w:rPr>
          <w:t xml:space="preserve">pace </w:t>
        </w:r>
        <w:r w:rsidR="00C37FC1">
          <w:rPr>
            <w:rStyle w:val="Hyperlink"/>
          </w:rPr>
          <w:t>O</w:t>
        </w:r>
        <w:r w:rsidRPr="00632B1C">
          <w:rPr>
            <w:rStyle w:val="Hyperlink"/>
          </w:rPr>
          <w:t>bjects) Determination 2014</w:t>
        </w:r>
      </w:hyperlink>
      <w:r w:rsidR="000972B3" w:rsidRPr="000972B3">
        <w:rPr>
          <w:rStyle w:val="Hyperlink"/>
          <w:color w:val="auto"/>
          <w:u w:val="none"/>
        </w:rPr>
        <w:t>.</w:t>
      </w:r>
    </w:p>
  </w:footnote>
  <w:footnote w:id="40">
    <w:p w14:paraId="29759220" w14:textId="0C8738AA" w:rsidR="0099057C" w:rsidRPr="00E65630" w:rsidRDefault="0099057C" w:rsidP="00464DBD">
      <w:pPr>
        <w:pStyle w:val="FootnoteText"/>
      </w:pPr>
      <w:r>
        <w:rPr>
          <w:rStyle w:val="FootnoteReference"/>
        </w:rPr>
        <w:footnoteRef/>
      </w:r>
      <w:r>
        <w:t xml:space="preserve"> This is known as the </w:t>
      </w:r>
      <w:hyperlink r:id="rId9" w:history="1">
        <w:r w:rsidRPr="00E65630">
          <w:rPr>
            <w:rStyle w:val="Hyperlink"/>
          </w:rPr>
          <w:t xml:space="preserve">Radiocommunications (Foreign </w:t>
        </w:r>
        <w:r w:rsidR="00C37FC1" w:rsidRPr="00E65630">
          <w:rPr>
            <w:rStyle w:val="Hyperlink"/>
          </w:rPr>
          <w:t>S</w:t>
        </w:r>
        <w:r w:rsidRPr="00E65630">
          <w:rPr>
            <w:rStyle w:val="Hyperlink"/>
          </w:rPr>
          <w:t xml:space="preserve">pace </w:t>
        </w:r>
        <w:r w:rsidR="00C37FC1" w:rsidRPr="00E65630">
          <w:rPr>
            <w:rStyle w:val="Hyperlink"/>
          </w:rPr>
          <w:t>O</w:t>
        </w:r>
        <w:r w:rsidRPr="00E65630">
          <w:rPr>
            <w:rStyle w:val="Hyperlink"/>
          </w:rPr>
          <w:t>bjects) Determination 2014</w:t>
        </w:r>
      </w:hyperlink>
      <w:r w:rsidRPr="00E65630">
        <w:t xml:space="preserve">. </w:t>
      </w:r>
    </w:p>
  </w:footnote>
  <w:footnote w:id="41">
    <w:p w14:paraId="7AA97CBF" w14:textId="634B59F3" w:rsidR="0099057C" w:rsidRPr="00E65630" w:rsidRDefault="0099057C" w:rsidP="004C48CE">
      <w:pPr>
        <w:pStyle w:val="FootnoteText"/>
      </w:pPr>
      <w:r w:rsidRPr="00E65630">
        <w:rPr>
          <w:rStyle w:val="FootnoteReference"/>
        </w:rPr>
        <w:footnoteRef/>
      </w:r>
      <w:r w:rsidRPr="00E65630">
        <w:t xml:space="preserve"> RALIs are discussed in paragraphs 3.4</w:t>
      </w:r>
      <w:r w:rsidR="00E65630" w:rsidRPr="00E65630">
        <w:t>5</w:t>
      </w:r>
      <w:r w:rsidR="000972B3">
        <w:t>–</w:t>
      </w:r>
      <w:r w:rsidRPr="00E65630">
        <w:t>3.4</w:t>
      </w:r>
      <w:r w:rsidR="00E65630" w:rsidRPr="00E65630">
        <w:t>9</w:t>
      </w:r>
      <w:r w:rsidRPr="00E65630">
        <w:t>.</w:t>
      </w:r>
    </w:p>
  </w:footnote>
  <w:footnote w:id="42">
    <w:p w14:paraId="5323A37F" w14:textId="094D0ACD" w:rsidR="0099057C" w:rsidRDefault="0099057C" w:rsidP="004C48CE">
      <w:pPr>
        <w:pStyle w:val="FootnoteText"/>
      </w:pPr>
      <w:r w:rsidRPr="00E65630">
        <w:rPr>
          <w:rStyle w:val="FootnoteReference"/>
        </w:rPr>
        <w:footnoteRef/>
      </w:r>
      <w:r w:rsidRPr="00E65630">
        <w:t xml:space="preserve"> BOPs are discussed in paragraph</w:t>
      </w:r>
      <w:r w:rsidRPr="00E65630">
        <w:rPr>
          <w:u w:color="0000FF"/>
        </w:rPr>
        <w:t xml:space="preserve"> 3.</w:t>
      </w:r>
      <w:r w:rsidR="00E65630" w:rsidRPr="00E65630">
        <w:rPr>
          <w:u w:color="0000FF"/>
        </w:rPr>
        <w:t>50</w:t>
      </w:r>
      <w:r w:rsidRPr="00E65630">
        <w:rPr>
          <w:u w:color="0000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F497" w14:textId="6976885D" w:rsidR="0099057C" w:rsidRPr="00A5474E" w:rsidRDefault="0099057C" w:rsidP="00A5474E">
    <w:pPr>
      <w:pStyle w:val="Header"/>
    </w:pPr>
    <w:r>
      <w:rPr>
        <w:noProof/>
      </w:rPr>
      <w:drawing>
        <wp:inline distT="0" distB="0" distL="0" distR="0" wp14:anchorId="605ECA60" wp14:editId="2F86A994">
          <wp:extent cx="6283434" cy="578076"/>
          <wp:effectExtent l="0" t="0" r="3175" b="0"/>
          <wp:docPr id="4" name="Picture 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EAFA" w14:textId="4328AD98" w:rsidR="0099057C" w:rsidRPr="00A5474E" w:rsidRDefault="0099057C"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0E1B" w14:textId="450479F7" w:rsidR="0099057C" w:rsidRDefault="00990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B03C" w14:textId="7E988049" w:rsidR="0099057C" w:rsidRDefault="009905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6E26" w14:textId="77777777" w:rsidR="0099057C" w:rsidRPr="00570A9A" w:rsidRDefault="0099057C" w:rsidP="00570A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9057C" w14:paraId="45D37B15" w14:textId="77777777" w:rsidTr="00462C2D">
      <w:trPr>
        <w:trHeight w:hRule="exact" w:val="988"/>
      </w:trPr>
      <w:tc>
        <w:tcPr>
          <w:tcW w:w="7678" w:type="dxa"/>
          <w:shd w:val="clear" w:color="auto" w:fill="auto"/>
        </w:tcPr>
        <w:p w14:paraId="321AB661" w14:textId="77777777" w:rsidR="0099057C" w:rsidRDefault="0099057C" w:rsidP="00971914">
          <w:pPr>
            <w:pStyle w:val="Header"/>
          </w:pPr>
        </w:p>
      </w:tc>
    </w:tr>
    <w:tr w:rsidR="0099057C" w14:paraId="0B1B9254" w14:textId="77777777" w:rsidTr="00462C2D">
      <w:tc>
        <w:tcPr>
          <w:tcW w:w="7678" w:type="dxa"/>
          <w:shd w:val="clear" w:color="auto" w:fill="auto"/>
        </w:tcPr>
        <w:p w14:paraId="5D25B848" w14:textId="77777777" w:rsidR="0099057C" w:rsidRDefault="0099057C" w:rsidP="00971914">
          <w:pPr>
            <w:pStyle w:val="GridTable31"/>
          </w:pPr>
          <w:r>
            <w:t xml:space="preserve">Contents </w:t>
          </w:r>
          <w:r w:rsidRPr="00915B1C">
            <w:rPr>
              <w:b w:val="0"/>
              <w:spacing w:val="0"/>
              <w:sz w:val="28"/>
              <w:szCs w:val="28"/>
            </w:rPr>
            <w:t>(Continued)</w:t>
          </w:r>
        </w:p>
      </w:tc>
    </w:tr>
    <w:tr w:rsidR="0099057C" w14:paraId="352C6E82" w14:textId="77777777" w:rsidTr="00462C2D">
      <w:trPr>
        <w:trHeight w:val="1220"/>
      </w:trPr>
      <w:tc>
        <w:tcPr>
          <w:tcW w:w="7678" w:type="dxa"/>
          <w:shd w:val="clear" w:color="auto" w:fill="auto"/>
        </w:tcPr>
        <w:p w14:paraId="3BC950C5" w14:textId="77777777" w:rsidR="0099057C" w:rsidRDefault="0099057C" w:rsidP="00971914"/>
      </w:tc>
    </w:tr>
  </w:tbl>
  <w:p w14:paraId="04983C02" w14:textId="77777777" w:rsidR="0099057C" w:rsidRPr="00A5474E" w:rsidRDefault="0099057C"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619F" w14:textId="2D2B3282" w:rsidR="0099057C" w:rsidRDefault="009905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873A" w14:textId="498A97A1" w:rsidR="0099057C" w:rsidRDefault="00990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81294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4"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FF67037"/>
    <w:multiLevelType w:val="hybridMultilevel"/>
    <w:tmpl w:val="9C8E87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6F1AD3"/>
    <w:multiLevelType w:val="multilevel"/>
    <w:tmpl w:val="FEA0D362"/>
    <w:lvl w:ilvl="0">
      <w:start w:val="1"/>
      <w:numFmt w:val="decimal"/>
      <w:pStyle w:val="Heading1"/>
      <w:lvlText w:val="%1."/>
      <w:lvlJc w:val="left"/>
      <w:pPr>
        <w:ind w:left="0" w:hanging="567"/>
      </w:pPr>
      <w:rPr>
        <w:rFonts w:hint="default"/>
      </w:rPr>
    </w:lvl>
    <w:lvl w:ilvl="1">
      <w:start w:val="1"/>
      <w:numFmt w:val="decimal"/>
      <w:pStyle w:val="Numberedparagraph"/>
      <w:lvlText w:val="%1.%2"/>
      <w:lvlJc w:val="left"/>
      <w:pPr>
        <w:tabs>
          <w:tab w:val="num" w:pos="567"/>
        </w:tabs>
        <w:ind w:left="0" w:hanging="567"/>
      </w:pPr>
      <w:rPr>
        <w:rFonts w:hint="default"/>
        <w:b w:val="0"/>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71478"/>
    <w:multiLevelType w:val="hybridMultilevel"/>
    <w:tmpl w:val="7DBAE940"/>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269554">
    <w:abstractNumId w:val="4"/>
  </w:num>
  <w:num w:numId="2" w16cid:durableId="1199388454">
    <w:abstractNumId w:val="2"/>
  </w:num>
  <w:num w:numId="3" w16cid:durableId="1454712149">
    <w:abstractNumId w:val="3"/>
  </w:num>
  <w:num w:numId="4" w16cid:durableId="1279025437">
    <w:abstractNumId w:val="1"/>
  </w:num>
  <w:num w:numId="5" w16cid:durableId="1789928251">
    <w:abstractNumId w:val="6"/>
  </w:num>
  <w:num w:numId="6" w16cid:durableId="1257863833">
    <w:abstractNumId w:val="10"/>
  </w:num>
  <w:num w:numId="7" w16cid:durableId="2134252069">
    <w:abstractNumId w:val="7"/>
  </w:num>
  <w:num w:numId="8" w16cid:durableId="672606941">
    <w:abstractNumId w:val="9"/>
  </w:num>
  <w:num w:numId="9" w16cid:durableId="1375344508">
    <w:abstractNumId w:val="11"/>
  </w:num>
  <w:num w:numId="10" w16cid:durableId="365526242">
    <w:abstractNumId w:val="8"/>
  </w:num>
  <w:num w:numId="11" w16cid:durableId="876163219">
    <w:abstractNumId w:val="0"/>
  </w:num>
  <w:num w:numId="12" w16cid:durableId="555549825">
    <w:abstractNumId w:val="8"/>
  </w:num>
  <w:num w:numId="13" w16cid:durableId="1415862840">
    <w:abstractNumId w:val="8"/>
  </w:num>
  <w:num w:numId="14" w16cid:durableId="1974167047">
    <w:abstractNumId w:val="8"/>
  </w:num>
  <w:num w:numId="15" w16cid:durableId="1548294023">
    <w:abstractNumId w:val="8"/>
  </w:num>
  <w:num w:numId="16" w16cid:durableId="316955566">
    <w:abstractNumId w:val="8"/>
  </w:num>
  <w:num w:numId="17" w16cid:durableId="6512990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5215255">
    <w:abstractNumId w:val="8"/>
  </w:num>
  <w:num w:numId="19" w16cid:durableId="826483066">
    <w:abstractNumId w:val="8"/>
  </w:num>
  <w:num w:numId="20" w16cid:durableId="608859803">
    <w:abstractNumId w:val="4"/>
  </w:num>
  <w:num w:numId="21" w16cid:durableId="1031110295">
    <w:abstractNumId w:val="4"/>
  </w:num>
  <w:num w:numId="22" w16cid:durableId="1026372583">
    <w:abstractNumId w:val="8"/>
  </w:num>
  <w:num w:numId="23" w16cid:durableId="1006122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517092">
    <w:abstractNumId w:val="8"/>
  </w:num>
  <w:num w:numId="25" w16cid:durableId="120116450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savePreviewPicture/>
  <w:hdrShapeDefaults>
    <o:shapedefaults v:ext="edit" spidmax="210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D9"/>
    <w:rsid w:val="00000221"/>
    <w:rsid w:val="000013B9"/>
    <w:rsid w:val="0000385E"/>
    <w:rsid w:val="0000412B"/>
    <w:rsid w:val="0000540F"/>
    <w:rsid w:val="00010568"/>
    <w:rsid w:val="00010667"/>
    <w:rsid w:val="00010E41"/>
    <w:rsid w:val="00011AAE"/>
    <w:rsid w:val="000129D5"/>
    <w:rsid w:val="0001368B"/>
    <w:rsid w:val="0001472B"/>
    <w:rsid w:val="00015AE7"/>
    <w:rsid w:val="00016E21"/>
    <w:rsid w:val="0001719C"/>
    <w:rsid w:val="000179E1"/>
    <w:rsid w:val="00020035"/>
    <w:rsid w:val="000212A3"/>
    <w:rsid w:val="0002224E"/>
    <w:rsid w:val="00023168"/>
    <w:rsid w:val="000239D8"/>
    <w:rsid w:val="00023CD5"/>
    <w:rsid w:val="000245E5"/>
    <w:rsid w:val="00024D0B"/>
    <w:rsid w:val="0002564C"/>
    <w:rsid w:val="00025F01"/>
    <w:rsid w:val="00026F91"/>
    <w:rsid w:val="000270A0"/>
    <w:rsid w:val="00030526"/>
    <w:rsid w:val="00030E32"/>
    <w:rsid w:val="00031C40"/>
    <w:rsid w:val="00032E29"/>
    <w:rsid w:val="000344F0"/>
    <w:rsid w:val="00040644"/>
    <w:rsid w:val="00040FAC"/>
    <w:rsid w:val="00041356"/>
    <w:rsid w:val="0004316C"/>
    <w:rsid w:val="000455F5"/>
    <w:rsid w:val="0004764C"/>
    <w:rsid w:val="000477CB"/>
    <w:rsid w:val="000478AB"/>
    <w:rsid w:val="0005011A"/>
    <w:rsid w:val="0005045A"/>
    <w:rsid w:val="00051C1E"/>
    <w:rsid w:val="0005252C"/>
    <w:rsid w:val="000539F9"/>
    <w:rsid w:val="000548DB"/>
    <w:rsid w:val="00054C27"/>
    <w:rsid w:val="00054FD3"/>
    <w:rsid w:val="00055651"/>
    <w:rsid w:val="00055EC3"/>
    <w:rsid w:val="000562F6"/>
    <w:rsid w:val="000563CE"/>
    <w:rsid w:val="0005693D"/>
    <w:rsid w:val="000578BA"/>
    <w:rsid w:val="000579EB"/>
    <w:rsid w:val="0006226E"/>
    <w:rsid w:val="00062A63"/>
    <w:rsid w:val="00062EDB"/>
    <w:rsid w:val="00065185"/>
    <w:rsid w:val="000659B6"/>
    <w:rsid w:val="00066595"/>
    <w:rsid w:val="0006686F"/>
    <w:rsid w:val="00067011"/>
    <w:rsid w:val="0006718E"/>
    <w:rsid w:val="0006722A"/>
    <w:rsid w:val="000675DB"/>
    <w:rsid w:val="000700CA"/>
    <w:rsid w:val="00070813"/>
    <w:rsid w:val="00071508"/>
    <w:rsid w:val="00071A98"/>
    <w:rsid w:val="00072242"/>
    <w:rsid w:val="000725A7"/>
    <w:rsid w:val="00072C32"/>
    <w:rsid w:val="000732CF"/>
    <w:rsid w:val="00073F13"/>
    <w:rsid w:val="00074631"/>
    <w:rsid w:val="00074EDE"/>
    <w:rsid w:val="00075B96"/>
    <w:rsid w:val="0008196A"/>
    <w:rsid w:val="00082323"/>
    <w:rsid w:val="00082B49"/>
    <w:rsid w:val="00082F6D"/>
    <w:rsid w:val="000835F4"/>
    <w:rsid w:val="0008388D"/>
    <w:rsid w:val="00084994"/>
    <w:rsid w:val="00087032"/>
    <w:rsid w:val="00087814"/>
    <w:rsid w:val="00087F8D"/>
    <w:rsid w:val="000915ED"/>
    <w:rsid w:val="0009209D"/>
    <w:rsid w:val="00093C81"/>
    <w:rsid w:val="00093E32"/>
    <w:rsid w:val="0009463C"/>
    <w:rsid w:val="000947D0"/>
    <w:rsid w:val="000969BD"/>
    <w:rsid w:val="000969BF"/>
    <w:rsid w:val="000971BD"/>
    <w:rsid w:val="000972B3"/>
    <w:rsid w:val="00097BE4"/>
    <w:rsid w:val="000A01DA"/>
    <w:rsid w:val="000A0C22"/>
    <w:rsid w:val="000A1400"/>
    <w:rsid w:val="000A3C43"/>
    <w:rsid w:val="000A4A51"/>
    <w:rsid w:val="000A4D46"/>
    <w:rsid w:val="000A5D2B"/>
    <w:rsid w:val="000A5F6C"/>
    <w:rsid w:val="000A7341"/>
    <w:rsid w:val="000A77B0"/>
    <w:rsid w:val="000A7BFE"/>
    <w:rsid w:val="000B01EB"/>
    <w:rsid w:val="000B1131"/>
    <w:rsid w:val="000B1191"/>
    <w:rsid w:val="000B2576"/>
    <w:rsid w:val="000B29E9"/>
    <w:rsid w:val="000B3145"/>
    <w:rsid w:val="000B4664"/>
    <w:rsid w:val="000B4B02"/>
    <w:rsid w:val="000B5959"/>
    <w:rsid w:val="000B59F2"/>
    <w:rsid w:val="000B5DE3"/>
    <w:rsid w:val="000B712D"/>
    <w:rsid w:val="000B7595"/>
    <w:rsid w:val="000C0A57"/>
    <w:rsid w:val="000C230C"/>
    <w:rsid w:val="000C3483"/>
    <w:rsid w:val="000C3E71"/>
    <w:rsid w:val="000C43A4"/>
    <w:rsid w:val="000C47B1"/>
    <w:rsid w:val="000C5256"/>
    <w:rsid w:val="000C53CF"/>
    <w:rsid w:val="000C6AB4"/>
    <w:rsid w:val="000D0204"/>
    <w:rsid w:val="000D5A7A"/>
    <w:rsid w:val="000D71D9"/>
    <w:rsid w:val="000D75FC"/>
    <w:rsid w:val="000D76E0"/>
    <w:rsid w:val="000D7E8B"/>
    <w:rsid w:val="000E1E86"/>
    <w:rsid w:val="000E2537"/>
    <w:rsid w:val="000E2E3A"/>
    <w:rsid w:val="000E4229"/>
    <w:rsid w:val="000E4449"/>
    <w:rsid w:val="000E4DEF"/>
    <w:rsid w:val="000E4F71"/>
    <w:rsid w:val="000E6097"/>
    <w:rsid w:val="000F27FF"/>
    <w:rsid w:val="000F6DD9"/>
    <w:rsid w:val="001018FB"/>
    <w:rsid w:val="00101B84"/>
    <w:rsid w:val="0010267F"/>
    <w:rsid w:val="0010291F"/>
    <w:rsid w:val="00102E40"/>
    <w:rsid w:val="00103829"/>
    <w:rsid w:val="00103C69"/>
    <w:rsid w:val="00104965"/>
    <w:rsid w:val="00105586"/>
    <w:rsid w:val="00106961"/>
    <w:rsid w:val="00107511"/>
    <w:rsid w:val="001104D2"/>
    <w:rsid w:val="00110504"/>
    <w:rsid w:val="00110A73"/>
    <w:rsid w:val="00111677"/>
    <w:rsid w:val="00111FCE"/>
    <w:rsid w:val="00113F84"/>
    <w:rsid w:val="00114F3E"/>
    <w:rsid w:val="001155B9"/>
    <w:rsid w:val="00116094"/>
    <w:rsid w:val="00116748"/>
    <w:rsid w:val="001171F1"/>
    <w:rsid w:val="001178B1"/>
    <w:rsid w:val="00117AAE"/>
    <w:rsid w:val="00121267"/>
    <w:rsid w:val="001229A5"/>
    <w:rsid w:val="0012489B"/>
    <w:rsid w:val="001262CB"/>
    <w:rsid w:val="001266CB"/>
    <w:rsid w:val="00127597"/>
    <w:rsid w:val="001276D1"/>
    <w:rsid w:val="00130017"/>
    <w:rsid w:val="00130F91"/>
    <w:rsid w:val="00131ABD"/>
    <w:rsid w:val="001349ED"/>
    <w:rsid w:val="00135D77"/>
    <w:rsid w:val="00136C3E"/>
    <w:rsid w:val="00137424"/>
    <w:rsid w:val="00140318"/>
    <w:rsid w:val="001405D4"/>
    <w:rsid w:val="00140E89"/>
    <w:rsid w:val="0014187D"/>
    <w:rsid w:val="00141AD9"/>
    <w:rsid w:val="0014369E"/>
    <w:rsid w:val="00146CE6"/>
    <w:rsid w:val="001477B7"/>
    <w:rsid w:val="00151F3B"/>
    <w:rsid w:val="00152903"/>
    <w:rsid w:val="00153FD5"/>
    <w:rsid w:val="001544FD"/>
    <w:rsid w:val="00155983"/>
    <w:rsid w:val="0015614F"/>
    <w:rsid w:val="0015750F"/>
    <w:rsid w:val="001577C2"/>
    <w:rsid w:val="0015796D"/>
    <w:rsid w:val="00157BDF"/>
    <w:rsid w:val="00160026"/>
    <w:rsid w:val="00160529"/>
    <w:rsid w:val="001617D7"/>
    <w:rsid w:val="001633C4"/>
    <w:rsid w:val="00163A29"/>
    <w:rsid w:val="0016580A"/>
    <w:rsid w:val="00165C50"/>
    <w:rsid w:val="0016622C"/>
    <w:rsid w:val="00166FA4"/>
    <w:rsid w:val="001704D5"/>
    <w:rsid w:val="00171367"/>
    <w:rsid w:val="00171591"/>
    <w:rsid w:val="00173981"/>
    <w:rsid w:val="00174BF2"/>
    <w:rsid w:val="0017719D"/>
    <w:rsid w:val="00177E66"/>
    <w:rsid w:val="00180471"/>
    <w:rsid w:val="00180DAF"/>
    <w:rsid w:val="0018110C"/>
    <w:rsid w:val="0018143F"/>
    <w:rsid w:val="00182D49"/>
    <w:rsid w:val="00183FC4"/>
    <w:rsid w:val="00183FD7"/>
    <w:rsid w:val="00184ED3"/>
    <w:rsid w:val="00185CAB"/>
    <w:rsid w:val="00186A02"/>
    <w:rsid w:val="0018720A"/>
    <w:rsid w:val="001875B7"/>
    <w:rsid w:val="00187CB3"/>
    <w:rsid w:val="001900A7"/>
    <w:rsid w:val="0019050A"/>
    <w:rsid w:val="001910D4"/>
    <w:rsid w:val="00192EB1"/>
    <w:rsid w:val="00193280"/>
    <w:rsid w:val="00194878"/>
    <w:rsid w:val="00195268"/>
    <w:rsid w:val="0019582F"/>
    <w:rsid w:val="001959EC"/>
    <w:rsid w:val="0019710D"/>
    <w:rsid w:val="00197293"/>
    <w:rsid w:val="001976E3"/>
    <w:rsid w:val="001A0F8C"/>
    <w:rsid w:val="001A1DF7"/>
    <w:rsid w:val="001A3140"/>
    <w:rsid w:val="001A397D"/>
    <w:rsid w:val="001A3DFD"/>
    <w:rsid w:val="001A44EC"/>
    <w:rsid w:val="001A5F0B"/>
    <w:rsid w:val="001A6F4D"/>
    <w:rsid w:val="001B1A9A"/>
    <w:rsid w:val="001B28D9"/>
    <w:rsid w:val="001B4A96"/>
    <w:rsid w:val="001B4B06"/>
    <w:rsid w:val="001B58AA"/>
    <w:rsid w:val="001B6850"/>
    <w:rsid w:val="001B7E48"/>
    <w:rsid w:val="001C17CE"/>
    <w:rsid w:val="001C36CA"/>
    <w:rsid w:val="001C412F"/>
    <w:rsid w:val="001C44D1"/>
    <w:rsid w:val="001C6548"/>
    <w:rsid w:val="001C6AEE"/>
    <w:rsid w:val="001C7630"/>
    <w:rsid w:val="001C799C"/>
    <w:rsid w:val="001D0D11"/>
    <w:rsid w:val="001D4DD0"/>
    <w:rsid w:val="001D579B"/>
    <w:rsid w:val="001D61AE"/>
    <w:rsid w:val="001D6D15"/>
    <w:rsid w:val="001D7FB8"/>
    <w:rsid w:val="001E1350"/>
    <w:rsid w:val="001E31EC"/>
    <w:rsid w:val="001E3AFE"/>
    <w:rsid w:val="001E48B2"/>
    <w:rsid w:val="001E4EB9"/>
    <w:rsid w:val="001F1794"/>
    <w:rsid w:val="001F1F61"/>
    <w:rsid w:val="001F331E"/>
    <w:rsid w:val="001F4C0A"/>
    <w:rsid w:val="001F4D47"/>
    <w:rsid w:val="001F5242"/>
    <w:rsid w:val="001F5270"/>
    <w:rsid w:val="001F6D54"/>
    <w:rsid w:val="001F7558"/>
    <w:rsid w:val="0020198B"/>
    <w:rsid w:val="00202178"/>
    <w:rsid w:val="00204376"/>
    <w:rsid w:val="00204F64"/>
    <w:rsid w:val="00205B57"/>
    <w:rsid w:val="002062C3"/>
    <w:rsid w:val="0020759F"/>
    <w:rsid w:val="00207BF0"/>
    <w:rsid w:val="0021073A"/>
    <w:rsid w:val="0021304D"/>
    <w:rsid w:val="00213D98"/>
    <w:rsid w:val="00215256"/>
    <w:rsid w:val="00215297"/>
    <w:rsid w:val="002157E0"/>
    <w:rsid w:val="00216608"/>
    <w:rsid w:val="00216A57"/>
    <w:rsid w:val="00217448"/>
    <w:rsid w:val="00221CF5"/>
    <w:rsid w:val="0022334F"/>
    <w:rsid w:val="002233C2"/>
    <w:rsid w:val="00223E19"/>
    <w:rsid w:val="00224457"/>
    <w:rsid w:val="0022452E"/>
    <w:rsid w:val="00226819"/>
    <w:rsid w:val="00233101"/>
    <w:rsid w:val="00233817"/>
    <w:rsid w:val="002367FF"/>
    <w:rsid w:val="00240CE9"/>
    <w:rsid w:val="00241D6A"/>
    <w:rsid w:val="00241FBB"/>
    <w:rsid w:val="00242194"/>
    <w:rsid w:val="002434BA"/>
    <w:rsid w:val="00243AE6"/>
    <w:rsid w:val="00245A3A"/>
    <w:rsid w:val="00246089"/>
    <w:rsid w:val="00246093"/>
    <w:rsid w:val="00246702"/>
    <w:rsid w:val="00246B4D"/>
    <w:rsid w:val="00246F40"/>
    <w:rsid w:val="002479B9"/>
    <w:rsid w:val="00247C59"/>
    <w:rsid w:val="00247F2E"/>
    <w:rsid w:val="00250ADC"/>
    <w:rsid w:val="00250B07"/>
    <w:rsid w:val="002530EE"/>
    <w:rsid w:val="00253315"/>
    <w:rsid w:val="00253B8E"/>
    <w:rsid w:val="002565CB"/>
    <w:rsid w:val="00257553"/>
    <w:rsid w:val="00260509"/>
    <w:rsid w:val="00260FB2"/>
    <w:rsid w:val="00261EEF"/>
    <w:rsid w:val="00262128"/>
    <w:rsid w:val="00266957"/>
    <w:rsid w:val="00266C2D"/>
    <w:rsid w:val="0027060C"/>
    <w:rsid w:val="00271090"/>
    <w:rsid w:val="0027164C"/>
    <w:rsid w:val="0027165D"/>
    <w:rsid w:val="0027166B"/>
    <w:rsid w:val="002736AB"/>
    <w:rsid w:val="002739F4"/>
    <w:rsid w:val="00273CEB"/>
    <w:rsid w:val="00274323"/>
    <w:rsid w:val="00274F20"/>
    <w:rsid w:val="00275525"/>
    <w:rsid w:val="00276588"/>
    <w:rsid w:val="0027793C"/>
    <w:rsid w:val="00277B82"/>
    <w:rsid w:val="00281C89"/>
    <w:rsid w:val="00282096"/>
    <w:rsid w:val="0028282F"/>
    <w:rsid w:val="00283FAC"/>
    <w:rsid w:val="00284264"/>
    <w:rsid w:val="0028496D"/>
    <w:rsid w:val="00284A74"/>
    <w:rsid w:val="002879C9"/>
    <w:rsid w:val="00290F52"/>
    <w:rsid w:val="00292E37"/>
    <w:rsid w:val="00295833"/>
    <w:rsid w:val="0029593B"/>
    <w:rsid w:val="00297A06"/>
    <w:rsid w:val="00297DCE"/>
    <w:rsid w:val="00297FC5"/>
    <w:rsid w:val="002A0417"/>
    <w:rsid w:val="002A16D8"/>
    <w:rsid w:val="002A1BC8"/>
    <w:rsid w:val="002A2507"/>
    <w:rsid w:val="002A3EF2"/>
    <w:rsid w:val="002A4210"/>
    <w:rsid w:val="002A49A2"/>
    <w:rsid w:val="002A5A57"/>
    <w:rsid w:val="002A6181"/>
    <w:rsid w:val="002A657F"/>
    <w:rsid w:val="002A7919"/>
    <w:rsid w:val="002B09C2"/>
    <w:rsid w:val="002B0DED"/>
    <w:rsid w:val="002B19A2"/>
    <w:rsid w:val="002B381A"/>
    <w:rsid w:val="002B3B1C"/>
    <w:rsid w:val="002B42E7"/>
    <w:rsid w:val="002B4FCC"/>
    <w:rsid w:val="002B7408"/>
    <w:rsid w:val="002B78D3"/>
    <w:rsid w:val="002B7CFD"/>
    <w:rsid w:val="002C039B"/>
    <w:rsid w:val="002C210F"/>
    <w:rsid w:val="002C4CDE"/>
    <w:rsid w:val="002C67E8"/>
    <w:rsid w:val="002C7E45"/>
    <w:rsid w:val="002D15BB"/>
    <w:rsid w:val="002D3600"/>
    <w:rsid w:val="002D4060"/>
    <w:rsid w:val="002D4B8D"/>
    <w:rsid w:val="002D4E36"/>
    <w:rsid w:val="002D65B8"/>
    <w:rsid w:val="002E0863"/>
    <w:rsid w:val="002E282A"/>
    <w:rsid w:val="002E2E7D"/>
    <w:rsid w:val="002E4DDC"/>
    <w:rsid w:val="002E5146"/>
    <w:rsid w:val="002E51D1"/>
    <w:rsid w:val="002E53F3"/>
    <w:rsid w:val="002E648C"/>
    <w:rsid w:val="002E6AD4"/>
    <w:rsid w:val="002E7538"/>
    <w:rsid w:val="002F211C"/>
    <w:rsid w:val="002F44C0"/>
    <w:rsid w:val="002F5AC9"/>
    <w:rsid w:val="00302480"/>
    <w:rsid w:val="00302758"/>
    <w:rsid w:val="00302CEC"/>
    <w:rsid w:val="00306E61"/>
    <w:rsid w:val="00307CE2"/>
    <w:rsid w:val="00307DD5"/>
    <w:rsid w:val="0031080E"/>
    <w:rsid w:val="003165E6"/>
    <w:rsid w:val="00317228"/>
    <w:rsid w:val="003215B5"/>
    <w:rsid w:val="003221CF"/>
    <w:rsid w:val="00322395"/>
    <w:rsid w:val="003229B7"/>
    <w:rsid w:val="003233ED"/>
    <w:rsid w:val="0032347C"/>
    <w:rsid w:val="0032473A"/>
    <w:rsid w:val="00324858"/>
    <w:rsid w:val="00324D9F"/>
    <w:rsid w:val="003261F6"/>
    <w:rsid w:val="00327948"/>
    <w:rsid w:val="00327FD9"/>
    <w:rsid w:val="0033000F"/>
    <w:rsid w:val="0033134A"/>
    <w:rsid w:val="00332011"/>
    <w:rsid w:val="00332518"/>
    <w:rsid w:val="00332925"/>
    <w:rsid w:val="003332ED"/>
    <w:rsid w:val="00335FFE"/>
    <w:rsid w:val="003368DC"/>
    <w:rsid w:val="00341259"/>
    <w:rsid w:val="00345927"/>
    <w:rsid w:val="00345DA8"/>
    <w:rsid w:val="00346DFD"/>
    <w:rsid w:val="00347255"/>
    <w:rsid w:val="00350021"/>
    <w:rsid w:val="00350584"/>
    <w:rsid w:val="00350775"/>
    <w:rsid w:val="00350B9E"/>
    <w:rsid w:val="00351857"/>
    <w:rsid w:val="00352863"/>
    <w:rsid w:val="003535EF"/>
    <w:rsid w:val="003542B3"/>
    <w:rsid w:val="003545E8"/>
    <w:rsid w:val="00355F16"/>
    <w:rsid w:val="00355F93"/>
    <w:rsid w:val="003565AC"/>
    <w:rsid w:val="003569C0"/>
    <w:rsid w:val="00357EF8"/>
    <w:rsid w:val="003610E1"/>
    <w:rsid w:val="00361B91"/>
    <w:rsid w:val="00361F88"/>
    <w:rsid w:val="00365F3A"/>
    <w:rsid w:val="00366957"/>
    <w:rsid w:val="003671BE"/>
    <w:rsid w:val="003712DC"/>
    <w:rsid w:val="00371C7D"/>
    <w:rsid w:val="00372485"/>
    <w:rsid w:val="00373200"/>
    <w:rsid w:val="00373257"/>
    <w:rsid w:val="003734D7"/>
    <w:rsid w:val="00373C95"/>
    <w:rsid w:val="00374080"/>
    <w:rsid w:val="00375C68"/>
    <w:rsid w:val="00375EF5"/>
    <w:rsid w:val="00376436"/>
    <w:rsid w:val="003767A5"/>
    <w:rsid w:val="003772CD"/>
    <w:rsid w:val="0038105B"/>
    <w:rsid w:val="00381AB0"/>
    <w:rsid w:val="00381D15"/>
    <w:rsid w:val="00382A68"/>
    <w:rsid w:val="003849EC"/>
    <w:rsid w:val="00385254"/>
    <w:rsid w:val="00386647"/>
    <w:rsid w:val="00386C47"/>
    <w:rsid w:val="0039137A"/>
    <w:rsid w:val="00391C56"/>
    <w:rsid w:val="003924A6"/>
    <w:rsid w:val="00392BA0"/>
    <w:rsid w:val="00396214"/>
    <w:rsid w:val="00397E81"/>
    <w:rsid w:val="003A04DB"/>
    <w:rsid w:val="003A0CFC"/>
    <w:rsid w:val="003A1848"/>
    <w:rsid w:val="003A28B0"/>
    <w:rsid w:val="003A3351"/>
    <w:rsid w:val="003A3E14"/>
    <w:rsid w:val="003A5140"/>
    <w:rsid w:val="003A5A2C"/>
    <w:rsid w:val="003A5F5B"/>
    <w:rsid w:val="003A6FEF"/>
    <w:rsid w:val="003A789A"/>
    <w:rsid w:val="003B04B8"/>
    <w:rsid w:val="003B105D"/>
    <w:rsid w:val="003B12EC"/>
    <w:rsid w:val="003B2616"/>
    <w:rsid w:val="003B2D26"/>
    <w:rsid w:val="003B4040"/>
    <w:rsid w:val="003B4763"/>
    <w:rsid w:val="003B70DA"/>
    <w:rsid w:val="003C0319"/>
    <w:rsid w:val="003C2CFE"/>
    <w:rsid w:val="003C3F0C"/>
    <w:rsid w:val="003C5955"/>
    <w:rsid w:val="003C59EE"/>
    <w:rsid w:val="003C77E0"/>
    <w:rsid w:val="003D17D7"/>
    <w:rsid w:val="003D24C0"/>
    <w:rsid w:val="003D2678"/>
    <w:rsid w:val="003D71A3"/>
    <w:rsid w:val="003D7DE8"/>
    <w:rsid w:val="003E00F7"/>
    <w:rsid w:val="003E0924"/>
    <w:rsid w:val="003E222E"/>
    <w:rsid w:val="003E273A"/>
    <w:rsid w:val="003E2B8A"/>
    <w:rsid w:val="003E4F2D"/>
    <w:rsid w:val="003E5077"/>
    <w:rsid w:val="003E6204"/>
    <w:rsid w:val="003E70C2"/>
    <w:rsid w:val="003E7CD2"/>
    <w:rsid w:val="003F10EE"/>
    <w:rsid w:val="003F16F6"/>
    <w:rsid w:val="003F3427"/>
    <w:rsid w:val="003F3510"/>
    <w:rsid w:val="003F4DC7"/>
    <w:rsid w:val="003F4F12"/>
    <w:rsid w:val="003F5235"/>
    <w:rsid w:val="003F660B"/>
    <w:rsid w:val="003F745B"/>
    <w:rsid w:val="003F78AB"/>
    <w:rsid w:val="00400D57"/>
    <w:rsid w:val="00402739"/>
    <w:rsid w:val="004027E4"/>
    <w:rsid w:val="00402FC0"/>
    <w:rsid w:val="004036C7"/>
    <w:rsid w:val="004053A9"/>
    <w:rsid w:val="00405406"/>
    <w:rsid w:val="00405F73"/>
    <w:rsid w:val="0041071D"/>
    <w:rsid w:val="00411BA8"/>
    <w:rsid w:val="0041214D"/>
    <w:rsid w:val="004121BD"/>
    <w:rsid w:val="004135EB"/>
    <w:rsid w:val="00414AFC"/>
    <w:rsid w:val="004151A7"/>
    <w:rsid w:val="00415310"/>
    <w:rsid w:val="00415E85"/>
    <w:rsid w:val="0041602A"/>
    <w:rsid w:val="00417B5C"/>
    <w:rsid w:val="00420899"/>
    <w:rsid w:val="00420BE8"/>
    <w:rsid w:val="00421709"/>
    <w:rsid w:val="0042333C"/>
    <w:rsid w:val="00423763"/>
    <w:rsid w:val="004248AC"/>
    <w:rsid w:val="00424E24"/>
    <w:rsid w:val="00425022"/>
    <w:rsid w:val="00425238"/>
    <w:rsid w:val="004268DB"/>
    <w:rsid w:val="00426CCA"/>
    <w:rsid w:val="0042762F"/>
    <w:rsid w:val="00427681"/>
    <w:rsid w:val="0042771A"/>
    <w:rsid w:val="00427DC7"/>
    <w:rsid w:val="00431613"/>
    <w:rsid w:val="00431792"/>
    <w:rsid w:val="00431BFD"/>
    <w:rsid w:val="0043297A"/>
    <w:rsid w:val="00432EB2"/>
    <w:rsid w:val="00433EFD"/>
    <w:rsid w:val="004352AF"/>
    <w:rsid w:val="00435C20"/>
    <w:rsid w:val="0043714F"/>
    <w:rsid w:val="00437F3B"/>
    <w:rsid w:val="004438B5"/>
    <w:rsid w:val="00447037"/>
    <w:rsid w:val="00447D64"/>
    <w:rsid w:val="004511C5"/>
    <w:rsid w:val="0045124D"/>
    <w:rsid w:val="00452204"/>
    <w:rsid w:val="004533E9"/>
    <w:rsid w:val="00453CFA"/>
    <w:rsid w:val="00454596"/>
    <w:rsid w:val="00454915"/>
    <w:rsid w:val="0045605D"/>
    <w:rsid w:val="0046135B"/>
    <w:rsid w:val="00461D47"/>
    <w:rsid w:val="00462C2D"/>
    <w:rsid w:val="004632CB"/>
    <w:rsid w:val="004635C9"/>
    <w:rsid w:val="0046419A"/>
    <w:rsid w:val="004642C3"/>
    <w:rsid w:val="00464392"/>
    <w:rsid w:val="00464774"/>
    <w:rsid w:val="00464DBD"/>
    <w:rsid w:val="004656A5"/>
    <w:rsid w:val="00470074"/>
    <w:rsid w:val="00470C02"/>
    <w:rsid w:val="00470EB0"/>
    <w:rsid w:val="00470FC7"/>
    <w:rsid w:val="00471888"/>
    <w:rsid w:val="004718CC"/>
    <w:rsid w:val="00471AD4"/>
    <w:rsid w:val="00474CF3"/>
    <w:rsid w:val="004759CC"/>
    <w:rsid w:val="0048037F"/>
    <w:rsid w:val="0048039F"/>
    <w:rsid w:val="00481695"/>
    <w:rsid w:val="00481B3A"/>
    <w:rsid w:val="004834D4"/>
    <w:rsid w:val="0048374C"/>
    <w:rsid w:val="00485CC8"/>
    <w:rsid w:val="00490573"/>
    <w:rsid w:val="00490ADD"/>
    <w:rsid w:val="00494826"/>
    <w:rsid w:val="00494E19"/>
    <w:rsid w:val="0049532C"/>
    <w:rsid w:val="00495A96"/>
    <w:rsid w:val="00495BB3"/>
    <w:rsid w:val="004A0BDE"/>
    <w:rsid w:val="004A2EE3"/>
    <w:rsid w:val="004A3C05"/>
    <w:rsid w:val="004A4EF0"/>
    <w:rsid w:val="004A56BB"/>
    <w:rsid w:val="004A70D6"/>
    <w:rsid w:val="004B09E8"/>
    <w:rsid w:val="004B1751"/>
    <w:rsid w:val="004B332B"/>
    <w:rsid w:val="004B3576"/>
    <w:rsid w:val="004B5A2D"/>
    <w:rsid w:val="004B6D36"/>
    <w:rsid w:val="004B7399"/>
    <w:rsid w:val="004C0253"/>
    <w:rsid w:val="004C14EE"/>
    <w:rsid w:val="004C18C3"/>
    <w:rsid w:val="004C2219"/>
    <w:rsid w:val="004C283A"/>
    <w:rsid w:val="004C3859"/>
    <w:rsid w:val="004C3F35"/>
    <w:rsid w:val="004C4429"/>
    <w:rsid w:val="004C48CE"/>
    <w:rsid w:val="004C4DBE"/>
    <w:rsid w:val="004C5A63"/>
    <w:rsid w:val="004C69A5"/>
    <w:rsid w:val="004C7A0E"/>
    <w:rsid w:val="004C7EE1"/>
    <w:rsid w:val="004D2B7A"/>
    <w:rsid w:val="004D3318"/>
    <w:rsid w:val="004D484A"/>
    <w:rsid w:val="004D56FF"/>
    <w:rsid w:val="004D5AC0"/>
    <w:rsid w:val="004D6BB8"/>
    <w:rsid w:val="004E1039"/>
    <w:rsid w:val="004E2AD4"/>
    <w:rsid w:val="004E2DBA"/>
    <w:rsid w:val="004E373C"/>
    <w:rsid w:val="004E39D3"/>
    <w:rsid w:val="004E3A43"/>
    <w:rsid w:val="004E4CA9"/>
    <w:rsid w:val="004E508A"/>
    <w:rsid w:val="004E616D"/>
    <w:rsid w:val="004E6FED"/>
    <w:rsid w:val="004E7890"/>
    <w:rsid w:val="004E798A"/>
    <w:rsid w:val="004F1BDE"/>
    <w:rsid w:val="004F2CEE"/>
    <w:rsid w:val="004F3C4F"/>
    <w:rsid w:val="004F556E"/>
    <w:rsid w:val="004F591C"/>
    <w:rsid w:val="004F5BED"/>
    <w:rsid w:val="004F6AD8"/>
    <w:rsid w:val="004F761A"/>
    <w:rsid w:val="004F79DA"/>
    <w:rsid w:val="004F7F44"/>
    <w:rsid w:val="005011A6"/>
    <w:rsid w:val="005016BE"/>
    <w:rsid w:val="0050177F"/>
    <w:rsid w:val="00501B30"/>
    <w:rsid w:val="00501F1D"/>
    <w:rsid w:val="00502E5D"/>
    <w:rsid w:val="005033F8"/>
    <w:rsid w:val="005037B4"/>
    <w:rsid w:val="00506F3B"/>
    <w:rsid w:val="00507729"/>
    <w:rsid w:val="005079BF"/>
    <w:rsid w:val="00511055"/>
    <w:rsid w:val="00511E9A"/>
    <w:rsid w:val="0051269A"/>
    <w:rsid w:val="00513A71"/>
    <w:rsid w:val="005144FA"/>
    <w:rsid w:val="00514CA7"/>
    <w:rsid w:val="00515084"/>
    <w:rsid w:val="00515F88"/>
    <w:rsid w:val="00516ED6"/>
    <w:rsid w:val="005176FE"/>
    <w:rsid w:val="00520707"/>
    <w:rsid w:val="005219E7"/>
    <w:rsid w:val="00521ED4"/>
    <w:rsid w:val="00521FC3"/>
    <w:rsid w:val="00522234"/>
    <w:rsid w:val="00522499"/>
    <w:rsid w:val="00522992"/>
    <w:rsid w:val="00523B8C"/>
    <w:rsid w:val="00523C08"/>
    <w:rsid w:val="0052495C"/>
    <w:rsid w:val="00527359"/>
    <w:rsid w:val="0053189B"/>
    <w:rsid w:val="00531B9A"/>
    <w:rsid w:val="00531D15"/>
    <w:rsid w:val="005329D8"/>
    <w:rsid w:val="00534805"/>
    <w:rsid w:val="00534AA8"/>
    <w:rsid w:val="00534D20"/>
    <w:rsid w:val="0053539D"/>
    <w:rsid w:val="00536365"/>
    <w:rsid w:val="00537604"/>
    <w:rsid w:val="00537A92"/>
    <w:rsid w:val="0054008B"/>
    <w:rsid w:val="00541C9F"/>
    <w:rsid w:val="00542267"/>
    <w:rsid w:val="00542377"/>
    <w:rsid w:val="00544251"/>
    <w:rsid w:val="0054521C"/>
    <w:rsid w:val="005476EB"/>
    <w:rsid w:val="00550DBC"/>
    <w:rsid w:val="005510E0"/>
    <w:rsid w:val="00551782"/>
    <w:rsid w:val="00551AEC"/>
    <w:rsid w:val="00552088"/>
    <w:rsid w:val="005544DF"/>
    <w:rsid w:val="00554E4C"/>
    <w:rsid w:val="00555E88"/>
    <w:rsid w:val="005562C6"/>
    <w:rsid w:val="00557C2C"/>
    <w:rsid w:val="00560EFB"/>
    <w:rsid w:val="005614A7"/>
    <w:rsid w:val="00562089"/>
    <w:rsid w:val="005622F1"/>
    <w:rsid w:val="00563EF1"/>
    <w:rsid w:val="0056400D"/>
    <w:rsid w:val="00565135"/>
    <w:rsid w:val="0056699B"/>
    <w:rsid w:val="00566AB4"/>
    <w:rsid w:val="00570904"/>
    <w:rsid w:val="00570A9A"/>
    <w:rsid w:val="00571F3E"/>
    <w:rsid w:val="005755DF"/>
    <w:rsid w:val="00575AC5"/>
    <w:rsid w:val="0057605D"/>
    <w:rsid w:val="005779F8"/>
    <w:rsid w:val="00577F6A"/>
    <w:rsid w:val="00581347"/>
    <w:rsid w:val="005818F0"/>
    <w:rsid w:val="00581AC9"/>
    <w:rsid w:val="0058223F"/>
    <w:rsid w:val="005836C7"/>
    <w:rsid w:val="005843F9"/>
    <w:rsid w:val="005849F8"/>
    <w:rsid w:val="005855FD"/>
    <w:rsid w:val="005907B5"/>
    <w:rsid w:val="0059236D"/>
    <w:rsid w:val="005938DF"/>
    <w:rsid w:val="0059418F"/>
    <w:rsid w:val="005945DF"/>
    <w:rsid w:val="00594E9C"/>
    <w:rsid w:val="005961DA"/>
    <w:rsid w:val="005A099B"/>
    <w:rsid w:val="005A0ECE"/>
    <w:rsid w:val="005A217A"/>
    <w:rsid w:val="005A2D9C"/>
    <w:rsid w:val="005A55FE"/>
    <w:rsid w:val="005A6A11"/>
    <w:rsid w:val="005A7CAD"/>
    <w:rsid w:val="005B07C9"/>
    <w:rsid w:val="005B0937"/>
    <w:rsid w:val="005B0AB7"/>
    <w:rsid w:val="005B1E36"/>
    <w:rsid w:val="005B22D2"/>
    <w:rsid w:val="005C023F"/>
    <w:rsid w:val="005C14B4"/>
    <w:rsid w:val="005C18C1"/>
    <w:rsid w:val="005C1F5C"/>
    <w:rsid w:val="005C3333"/>
    <w:rsid w:val="005C5DC6"/>
    <w:rsid w:val="005C6677"/>
    <w:rsid w:val="005C6A46"/>
    <w:rsid w:val="005C6F98"/>
    <w:rsid w:val="005C79F7"/>
    <w:rsid w:val="005D2502"/>
    <w:rsid w:val="005D2E0E"/>
    <w:rsid w:val="005D3524"/>
    <w:rsid w:val="005D4083"/>
    <w:rsid w:val="005D40BB"/>
    <w:rsid w:val="005D47F3"/>
    <w:rsid w:val="005D49BF"/>
    <w:rsid w:val="005D4AA5"/>
    <w:rsid w:val="005D6F4E"/>
    <w:rsid w:val="005D70C9"/>
    <w:rsid w:val="005D7C73"/>
    <w:rsid w:val="005D7D53"/>
    <w:rsid w:val="005E06F9"/>
    <w:rsid w:val="005E0C66"/>
    <w:rsid w:val="005E1345"/>
    <w:rsid w:val="005E168A"/>
    <w:rsid w:val="005E250B"/>
    <w:rsid w:val="005E3ACD"/>
    <w:rsid w:val="005E3F77"/>
    <w:rsid w:val="005E4761"/>
    <w:rsid w:val="005E5BC4"/>
    <w:rsid w:val="005E7226"/>
    <w:rsid w:val="005E7A57"/>
    <w:rsid w:val="005E7F81"/>
    <w:rsid w:val="005F0870"/>
    <w:rsid w:val="005F2479"/>
    <w:rsid w:val="005F24B0"/>
    <w:rsid w:val="005F3410"/>
    <w:rsid w:val="00601B57"/>
    <w:rsid w:val="00601DF3"/>
    <w:rsid w:val="00602361"/>
    <w:rsid w:val="0060242D"/>
    <w:rsid w:val="00602D75"/>
    <w:rsid w:val="00604315"/>
    <w:rsid w:val="00604E26"/>
    <w:rsid w:val="00605106"/>
    <w:rsid w:val="0060523F"/>
    <w:rsid w:val="006052CF"/>
    <w:rsid w:val="00605F43"/>
    <w:rsid w:val="00607B8D"/>
    <w:rsid w:val="00611B19"/>
    <w:rsid w:val="00611F5C"/>
    <w:rsid w:val="00612C2C"/>
    <w:rsid w:val="00613A74"/>
    <w:rsid w:val="00616090"/>
    <w:rsid w:val="006167F9"/>
    <w:rsid w:val="00616E09"/>
    <w:rsid w:val="00620E11"/>
    <w:rsid w:val="00621B47"/>
    <w:rsid w:val="00621F77"/>
    <w:rsid w:val="00622A3B"/>
    <w:rsid w:val="00622EEA"/>
    <w:rsid w:val="0062396C"/>
    <w:rsid w:val="00623F5B"/>
    <w:rsid w:val="00623FF9"/>
    <w:rsid w:val="006278D2"/>
    <w:rsid w:val="00627D4E"/>
    <w:rsid w:val="0063192A"/>
    <w:rsid w:val="00631CFC"/>
    <w:rsid w:val="00632B1C"/>
    <w:rsid w:val="00632B89"/>
    <w:rsid w:val="0063346D"/>
    <w:rsid w:val="00634478"/>
    <w:rsid w:val="00636C68"/>
    <w:rsid w:val="00636E07"/>
    <w:rsid w:val="006374AB"/>
    <w:rsid w:val="00637781"/>
    <w:rsid w:val="00637AE9"/>
    <w:rsid w:val="00640CF1"/>
    <w:rsid w:val="006410F5"/>
    <w:rsid w:val="006417B3"/>
    <w:rsid w:val="006427F5"/>
    <w:rsid w:val="00643B97"/>
    <w:rsid w:val="00644373"/>
    <w:rsid w:val="00644942"/>
    <w:rsid w:val="00645915"/>
    <w:rsid w:val="0064688D"/>
    <w:rsid w:val="00646BD8"/>
    <w:rsid w:val="00646D7C"/>
    <w:rsid w:val="006519C3"/>
    <w:rsid w:val="006522ED"/>
    <w:rsid w:val="00652603"/>
    <w:rsid w:val="00652B30"/>
    <w:rsid w:val="00652F3E"/>
    <w:rsid w:val="00656345"/>
    <w:rsid w:val="00656866"/>
    <w:rsid w:val="00656DC6"/>
    <w:rsid w:val="006571F9"/>
    <w:rsid w:val="00657A99"/>
    <w:rsid w:val="006600DA"/>
    <w:rsid w:val="00660D9C"/>
    <w:rsid w:val="00660EC6"/>
    <w:rsid w:val="00661361"/>
    <w:rsid w:val="00661AE2"/>
    <w:rsid w:val="00664110"/>
    <w:rsid w:val="00664D17"/>
    <w:rsid w:val="00666520"/>
    <w:rsid w:val="00667C5B"/>
    <w:rsid w:val="00671E58"/>
    <w:rsid w:val="006750C8"/>
    <w:rsid w:val="00675199"/>
    <w:rsid w:val="00675DEE"/>
    <w:rsid w:val="00677C74"/>
    <w:rsid w:val="0068179A"/>
    <w:rsid w:val="006848F3"/>
    <w:rsid w:val="006859D5"/>
    <w:rsid w:val="0069152C"/>
    <w:rsid w:val="00691EB8"/>
    <w:rsid w:val="00692618"/>
    <w:rsid w:val="00692CDE"/>
    <w:rsid w:val="00693073"/>
    <w:rsid w:val="00693423"/>
    <w:rsid w:val="006977FF"/>
    <w:rsid w:val="0069786B"/>
    <w:rsid w:val="006A01FA"/>
    <w:rsid w:val="006A0E9E"/>
    <w:rsid w:val="006A25C7"/>
    <w:rsid w:val="006A4AAD"/>
    <w:rsid w:val="006A4C32"/>
    <w:rsid w:val="006A4D9E"/>
    <w:rsid w:val="006A5191"/>
    <w:rsid w:val="006A6DA2"/>
    <w:rsid w:val="006A7054"/>
    <w:rsid w:val="006A7AB2"/>
    <w:rsid w:val="006B1937"/>
    <w:rsid w:val="006B20C7"/>
    <w:rsid w:val="006B3435"/>
    <w:rsid w:val="006B4F36"/>
    <w:rsid w:val="006B52DE"/>
    <w:rsid w:val="006B542B"/>
    <w:rsid w:val="006B5717"/>
    <w:rsid w:val="006B582F"/>
    <w:rsid w:val="006B5A5A"/>
    <w:rsid w:val="006B5EB2"/>
    <w:rsid w:val="006B62C3"/>
    <w:rsid w:val="006B73FF"/>
    <w:rsid w:val="006B740F"/>
    <w:rsid w:val="006B7880"/>
    <w:rsid w:val="006B7C75"/>
    <w:rsid w:val="006C0CEB"/>
    <w:rsid w:val="006C1631"/>
    <w:rsid w:val="006C3032"/>
    <w:rsid w:val="006C3B1E"/>
    <w:rsid w:val="006C40F1"/>
    <w:rsid w:val="006C47FD"/>
    <w:rsid w:val="006C5C19"/>
    <w:rsid w:val="006C5D02"/>
    <w:rsid w:val="006C64C2"/>
    <w:rsid w:val="006C70A0"/>
    <w:rsid w:val="006D1D50"/>
    <w:rsid w:val="006D24EA"/>
    <w:rsid w:val="006D27CB"/>
    <w:rsid w:val="006D28FD"/>
    <w:rsid w:val="006D2F08"/>
    <w:rsid w:val="006D4996"/>
    <w:rsid w:val="006D4E7E"/>
    <w:rsid w:val="006D576C"/>
    <w:rsid w:val="006D5865"/>
    <w:rsid w:val="006D6AD8"/>
    <w:rsid w:val="006D7E3F"/>
    <w:rsid w:val="006E0584"/>
    <w:rsid w:val="006E23AD"/>
    <w:rsid w:val="006E4B1B"/>
    <w:rsid w:val="006E5445"/>
    <w:rsid w:val="006E7D93"/>
    <w:rsid w:val="006F1466"/>
    <w:rsid w:val="006F17A9"/>
    <w:rsid w:val="006F32B5"/>
    <w:rsid w:val="006F3955"/>
    <w:rsid w:val="006F3FD1"/>
    <w:rsid w:val="006F5C4C"/>
    <w:rsid w:val="006F6AEB"/>
    <w:rsid w:val="006F6E39"/>
    <w:rsid w:val="007029A3"/>
    <w:rsid w:val="00702CD5"/>
    <w:rsid w:val="00702DD1"/>
    <w:rsid w:val="00702EA1"/>
    <w:rsid w:val="00705F94"/>
    <w:rsid w:val="0070602E"/>
    <w:rsid w:val="00706B3A"/>
    <w:rsid w:val="00706E4E"/>
    <w:rsid w:val="0070791C"/>
    <w:rsid w:val="00707A98"/>
    <w:rsid w:val="00712BF4"/>
    <w:rsid w:val="00712E05"/>
    <w:rsid w:val="00712EB8"/>
    <w:rsid w:val="0071383C"/>
    <w:rsid w:val="007141A7"/>
    <w:rsid w:val="00714934"/>
    <w:rsid w:val="007149DD"/>
    <w:rsid w:val="007152CD"/>
    <w:rsid w:val="00715722"/>
    <w:rsid w:val="00715F25"/>
    <w:rsid w:val="00717F9D"/>
    <w:rsid w:val="00721032"/>
    <w:rsid w:val="00721B55"/>
    <w:rsid w:val="0072202E"/>
    <w:rsid w:val="00722931"/>
    <w:rsid w:val="00724067"/>
    <w:rsid w:val="00726CE4"/>
    <w:rsid w:val="00730C9E"/>
    <w:rsid w:val="007317EC"/>
    <w:rsid w:val="00734143"/>
    <w:rsid w:val="0073617A"/>
    <w:rsid w:val="007379F1"/>
    <w:rsid w:val="00737E47"/>
    <w:rsid w:val="0074054A"/>
    <w:rsid w:val="00740EAC"/>
    <w:rsid w:val="00743902"/>
    <w:rsid w:val="00744956"/>
    <w:rsid w:val="00745A5C"/>
    <w:rsid w:val="00745F82"/>
    <w:rsid w:val="0074605F"/>
    <w:rsid w:val="007470AD"/>
    <w:rsid w:val="007473D3"/>
    <w:rsid w:val="00747E94"/>
    <w:rsid w:val="007502D3"/>
    <w:rsid w:val="0075319A"/>
    <w:rsid w:val="007543B6"/>
    <w:rsid w:val="00754C83"/>
    <w:rsid w:val="00756875"/>
    <w:rsid w:val="00761E5C"/>
    <w:rsid w:val="00761FD6"/>
    <w:rsid w:val="00762FD5"/>
    <w:rsid w:val="007636A8"/>
    <w:rsid w:val="007645BC"/>
    <w:rsid w:val="00765DF8"/>
    <w:rsid w:val="00766290"/>
    <w:rsid w:val="00766749"/>
    <w:rsid w:val="00766C38"/>
    <w:rsid w:val="007679ED"/>
    <w:rsid w:val="00767C1B"/>
    <w:rsid w:val="007714A9"/>
    <w:rsid w:val="00772081"/>
    <w:rsid w:val="00773CCF"/>
    <w:rsid w:val="00773D9E"/>
    <w:rsid w:val="00774F88"/>
    <w:rsid w:val="00774FDB"/>
    <w:rsid w:val="00777BA2"/>
    <w:rsid w:val="007806A1"/>
    <w:rsid w:val="00780C6D"/>
    <w:rsid w:val="00781408"/>
    <w:rsid w:val="0078327F"/>
    <w:rsid w:val="00784F7F"/>
    <w:rsid w:val="007851E3"/>
    <w:rsid w:val="007859C3"/>
    <w:rsid w:val="007878BD"/>
    <w:rsid w:val="00791273"/>
    <w:rsid w:val="0079177B"/>
    <w:rsid w:val="00794690"/>
    <w:rsid w:val="00794E4D"/>
    <w:rsid w:val="00795294"/>
    <w:rsid w:val="00796F25"/>
    <w:rsid w:val="0079784D"/>
    <w:rsid w:val="007A0419"/>
    <w:rsid w:val="007A1EE5"/>
    <w:rsid w:val="007A2431"/>
    <w:rsid w:val="007A2E98"/>
    <w:rsid w:val="007A3A83"/>
    <w:rsid w:val="007A3BA3"/>
    <w:rsid w:val="007A43FC"/>
    <w:rsid w:val="007A4FDF"/>
    <w:rsid w:val="007A5136"/>
    <w:rsid w:val="007A6952"/>
    <w:rsid w:val="007A6CC0"/>
    <w:rsid w:val="007A6EB0"/>
    <w:rsid w:val="007A73DA"/>
    <w:rsid w:val="007A7C32"/>
    <w:rsid w:val="007A7CE0"/>
    <w:rsid w:val="007A7FEC"/>
    <w:rsid w:val="007B064A"/>
    <w:rsid w:val="007B12DC"/>
    <w:rsid w:val="007B1499"/>
    <w:rsid w:val="007B1BBF"/>
    <w:rsid w:val="007B1E53"/>
    <w:rsid w:val="007B1E56"/>
    <w:rsid w:val="007B2504"/>
    <w:rsid w:val="007B2960"/>
    <w:rsid w:val="007B355D"/>
    <w:rsid w:val="007B385B"/>
    <w:rsid w:val="007B5518"/>
    <w:rsid w:val="007B56E5"/>
    <w:rsid w:val="007B5A45"/>
    <w:rsid w:val="007B5BBD"/>
    <w:rsid w:val="007B6BDC"/>
    <w:rsid w:val="007B7980"/>
    <w:rsid w:val="007B7DCF"/>
    <w:rsid w:val="007C0617"/>
    <w:rsid w:val="007C0D23"/>
    <w:rsid w:val="007C0DEF"/>
    <w:rsid w:val="007C3211"/>
    <w:rsid w:val="007C3468"/>
    <w:rsid w:val="007C4800"/>
    <w:rsid w:val="007C4C58"/>
    <w:rsid w:val="007C5D5A"/>
    <w:rsid w:val="007C607F"/>
    <w:rsid w:val="007C64C2"/>
    <w:rsid w:val="007C6E44"/>
    <w:rsid w:val="007C6EE6"/>
    <w:rsid w:val="007C79DD"/>
    <w:rsid w:val="007D0AC7"/>
    <w:rsid w:val="007D0E22"/>
    <w:rsid w:val="007D11EA"/>
    <w:rsid w:val="007D1A91"/>
    <w:rsid w:val="007D1A97"/>
    <w:rsid w:val="007D2CD6"/>
    <w:rsid w:val="007D3063"/>
    <w:rsid w:val="007D3CEB"/>
    <w:rsid w:val="007D4CAF"/>
    <w:rsid w:val="007D6150"/>
    <w:rsid w:val="007D797F"/>
    <w:rsid w:val="007D7A18"/>
    <w:rsid w:val="007E0151"/>
    <w:rsid w:val="007E3375"/>
    <w:rsid w:val="007E504A"/>
    <w:rsid w:val="007E51D4"/>
    <w:rsid w:val="007E56DF"/>
    <w:rsid w:val="007E587F"/>
    <w:rsid w:val="007E5B4A"/>
    <w:rsid w:val="007E60B0"/>
    <w:rsid w:val="007E6871"/>
    <w:rsid w:val="007E7683"/>
    <w:rsid w:val="007F0634"/>
    <w:rsid w:val="007F2005"/>
    <w:rsid w:val="007F24C7"/>
    <w:rsid w:val="007F40F4"/>
    <w:rsid w:val="007F4775"/>
    <w:rsid w:val="007F49FA"/>
    <w:rsid w:val="007F54C4"/>
    <w:rsid w:val="007F596A"/>
    <w:rsid w:val="007F6E92"/>
    <w:rsid w:val="007F6E9A"/>
    <w:rsid w:val="007F74B0"/>
    <w:rsid w:val="00800BB9"/>
    <w:rsid w:val="00800CCD"/>
    <w:rsid w:val="00801CD4"/>
    <w:rsid w:val="0080316E"/>
    <w:rsid w:val="00803896"/>
    <w:rsid w:val="008044D4"/>
    <w:rsid w:val="00810AB4"/>
    <w:rsid w:val="00811D56"/>
    <w:rsid w:val="00812184"/>
    <w:rsid w:val="00812EA6"/>
    <w:rsid w:val="008161E6"/>
    <w:rsid w:val="00816739"/>
    <w:rsid w:val="00817B56"/>
    <w:rsid w:val="00821913"/>
    <w:rsid w:val="00821A88"/>
    <w:rsid w:val="008235EE"/>
    <w:rsid w:val="0082495D"/>
    <w:rsid w:val="00825C92"/>
    <w:rsid w:val="00827A1B"/>
    <w:rsid w:val="0083053B"/>
    <w:rsid w:val="00830C85"/>
    <w:rsid w:val="008318FA"/>
    <w:rsid w:val="00831AC3"/>
    <w:rsid w:val="008363E0"/>
    <w:rsid w:val="0083666B"/>
    <w:rsid w:val="0083692D"/>
    <w:rsid w:val="00836FCE"/>
    <w:rsid w:val="00837703"/>
    <w:rsid w:val="008408FF"/>
    <w:rsid w:val="00840B02"/>
    <w:rsid w:val="00840D8F"/>
    <w:rsid w:val="008410F6"/>
    <w:rsid w:val="008452F6"/>
    <w:rsid w:val="00846098"/>
    <w:rsid w:val="00851319"/>
    <w:rsid w:val="00851679"/>
    <w:rsid w:val="00851815"/>
    <w:rsid w:val="00851D51"/>
    <w:rsid w:val="00851F3F"/>
    <w:rsid w:val="0085276F"/>
    <w:rsid w:val="00853D3C"/>
    <w:rsid w:val="0085618F"/>
    <w:rsid w:val="00856656"/>
    <w:rsid w:val="00856EDC"/>
    <w:rsid w:val="0085728F"/>
    <w:rsid w:val="00860309"/>
    <w:rsid w:val="00860D30"/>
    <w:rsid w:val="008623B5"/>
    <w:rsid w:val="0086240B"/>
    <w:rsid w:val="00863817"/>
    <w:rsid w:val="0086543F"/>
    <w:rsid w:val="00865FBA"/>
    <w:rsid w:val="00867A13"/>
    <w:rsid w:val="00870ABA"/>
    <w:rsid w:val="008710E1"/>
    <w:rsid w:val="008716E5"/>
    <w:rsid w:val="00872AF7"/>
    <w:rsid w:val="00873EB8"/>
    <w:rsid w:val="008758CC"/>
    <w:rsid w:val="00875B36"/>
    <w:rsid w:val="00876E68"/>
    <w:rsid w:val="008775B9"/>
    <w:rsid w:val="00877FE3"/>
    <w:rsid w:val="00877FFC"/>
    <w:rsid w:val="00881CA9"/>
    <w:rsid w:val="00883628"/>
    <w:rsid w:val="00885544"/>
    <w:rsid w:val="00885DD5"/>
    <w:rsid w:val="0088634E"/>
    <w:rsid w:val="0088660B"/>
    <w:rsid w:val="00886A9D"/>
    <w:rsid w:val="00887848"/>
    <w:rsid w:val="00887DFB"/>
    <w:rsid w:val="00890E5F"/>
    <w:rsid w:val="00891555"/>
    <w:rsid w:val="0089256D"/>
    <w:rsid w:val="00892CCC"/>
    <w:rsid w:val="00893A0B"/>
    <w:rsid w:val="00893AB8"/>
    <w:rsid w:val="00894FEA"/>
    <w:rsid w:val="00894FF9"/>
    <w:rsid w:val="008950B7"/>
    <w:rsid w:val="00895AE0"/>
    <w:rsid w:val="00896902"/>
    <w:rsid w:val="00896A28"/>
    <w:rsid w:val="00897A4E"/>
    <w:rsid w:val="008A04C8"/>
    <w:rsid w:val="008A139A"/>
    <w:rsid w:val="008A1612"/>
    <w:rsid w:val="008A36A9"/>
    <w:rsid w:val="008A4E02"/>
    <w:rsid w:val="008A67EB"/>
    <w:rsid w:val="008A6913"/>
    <w:rsid w:val="008A74D6"/>
    <w:rsid w:val="008A7B5B"/>
    <w:rsid w:val="008B0804"/>
    <w:rsid w:val="008B0948"/>
    <w:rsid w:val="008B28A8"/>
    <w:rsid w:val="008B5A20"/>
    <w:rsid w:val="008B647F"/>
    <w:rsid w:val="008B70F3"/>
    <w:rsid w:val="008B71C4"/>
    <w:rsid w:val="008B733E"/>
    <w:rsid w:val="008B76DF"/>
    <w:rsid w:val="008C10F4"/>
    <w:rsid w:val="008C28E0"/>
    <w:rsid w:val="008C388D"/>
    <w:rsid w:val="008C48D6"/>
    <w:rsid w:val="008C65F7"/>
    <w:rsid w:val="008D10D8"/>
    <w:rsid w:val="008D10F4"/>
    <w:rsid w:val="008D225D"/>
    <w:rsid w:val="008D2788"/>
    <w:rsid w:val="008D31A3"/>
    <w:rsid w:val="008D56E5"/>
    <w:rsid w:val="008D5FF1"/>
    <w:rsid w:val="008D65B9"/>
    <w:rsid w:val="008D76BC"/>
    <w:rsid w:val="008E1268"/>
    <w:rsid w:val="008E4767"/>
    <w:rsid w:val="008E5314"/>
    <w:rsid w:val="008E60F9"/>
    <w:rsid w:val="008E6182"/>
    <w:rsid w:val="008E6A72"/>
    <w:rsid w:val="008E7A8C"/>
    <w:rsid w:val="008F091C"/>
    <w:rsid w:val="008F0FD6"/>
    <w:rsid w:val="008F2DA3"/>
    <w:rsid w:val="008F47C0"/>
    <w:rsid w:val="008F4C1E"/>
    <w:rsid w:val="008F52F8"/>
    <w:rsid w:val="008F6985"/>
    <w:rsid w:val="009007EA"/>
    <w:rsid w:val="0090203B"/>
    <w:rsid w:val="00902BB5"/>
    <w:rsid w:val="00903285"/>
    <w:rsid w:val="00903BDE"/>
    <w:rsid w:val="00904806"/>
    <w:rsid w:val="00905A3F"/>
    <w:rsid w:val="00905CA9"/>
    <w:rsid w:val="00906CBC"/>
    <w:rsid w:val="00906F40"/>
    <w:rsid w:val="0090731E"/>
    <w:rsid w:val="0090740C"/>
    <w:rsid w:val="00911D82"/>
    <w:rsid w:val="00912343"/>
    <w:rsid w:val="0091304A"/>
    <w:rsid w:val="00914625"/>
    <w:rsid w:val="00915B11"/>
    <w:rsid w:val="00915B1C"/>
    <w:rsid w:val="009174CD"/>
    <w:rsid w:val="009174F3"/>
    <w:rsid w:val="0091797D"/>
    <w:rsid w:val="00920C7F"/>
    <w:rsid w:val="00923CBA"/>
    <w:rsid w:val="009242EB"/>
    <w:rsid w:val="00924E06"/>
    <w:rsid w:val="009253A0"/>
    <w:rsid w:val="00926703"/>
    <w:rsid w:val="00926BE8"/>
    <w:rsid w:val="009275CA"/>
    <w:rsid w:val="00927691"/>
    <w:rsid w:val="00927A5F"/>
    <w:rsid w:val="00927FD3"/>
    <w:rsid w:val="00930510"/>
    <w:rsid w:val="009315AA"/>
    <w:rsid w:val="00935B63"/>
    <w:rsid w:val="00937D36"/>
    <w:rsid w:val="0094078F"/>
    <w:rsid w:val="00940FA3"/>
    <w:rsid w:val="0094167E"/>
    <w:rsid w:val="00941FB0"/>
    <w:rsid w:val="009420C9"/>
    <w:rsid w:val="009426D4"/>
    <w:rsid w:val="009427DF"/>
    <w:rsid w:val="00944D4E"/>
    <w:rsid w:val="009473C0"/>
    <w:rsid w:val="00947F25"/>
    <w:rsid w:val="00950159"/>
    <w:rsid w:val="00951720"/>
    <w:rsid w:val="00953F1F"/>
    <w:rsid w:val="009544D9"/>
    <w:rsid w:val="009547E2"/>
    <w:rsid w:val="0095490B"/>
    <w:rsid w:val="00957136"/>
    <w:rsid w:val="009572FF"/>
    <w:rsid w:val="00957F48"/>
    <w:rsid w:val="00960A33"/>
    <w:rsid w:val="00960A8A"/>
    <w:rsid w:val="00960F3A"/>
    <w:rsid w:val="009616E5"/>
    <w:rsid w:val="00962E51"/>
    <w:rsid w:val="00964563"/>
    <w:rsid w:val="00964730"/>
    <w:rsid w:val="0096666D"/>
    <w:rsid w:val="00966D12"/>
    <w:rsid w:val="009679B5"/>
    <w:rsid w:val="00970609"/>
    <w:rsid w:val="00970C79"/>
    <w:rsid w:val="00970EA9"/>
    <w:rsid w:val="009717ED"/>
    <w:rsid w:val="00971914"/>
    <w:rsid w:val="00973BBA"/>
    <w:rsid w:val="00974363"/>
    <w:rsid w:val="00975A58"/>
    <w:rsid w:val="009765F6"/>
    <w:rsid w:val="009772AF"/>
    <w:rsid w:val="009775DD"/>
    <w:rsid w:val="00977ACC"/>
    <w:rsid w:val="00980DC3"/>
    <w:rsid w:val="00981898"/>
    <w:rsid w:val="00982A8C"/>
    <w:rsid w:val="00984334"/>
    <w:rsid w:val="009847FE"/>
    <w:rsid w:val="00984E61"/>
    <w:rsid w:val="009869FD"/>
    <w:rsid w:val="00986BED"/>
    <w:rsid w:val="0099057C"/>
    <w:rsid w:val="00990BD2"/>
    <w:rsid w:val="00990D5B"/>
    <w:rsid w:val="00991953"/>
    <w:rsid w:val="009928FC"/>
    <w:rsid w:val="00992955"/>
    <w:rsid w:val="0099295E"/>
    <w:rsid w:val="009939C1"/>
    <w:rsid w:val="00993F09"/>
    <w:rsid w:val="009942A5"/>
    <w:rsid w:val="009942A9"/>
    <w:rsid w:val="0099577C"/>
    <w:rsid w:val="009961F4"/>
    <w:rsid w:val="0099697E"/>
    <w:rsid w:val="00996C0B"/>
    <w:rsid w:val="009A40EA"/>
    <w:rsid w:val="009A4BA6"/>
    <w:rsid w:val="009A68E0"/>
    <w:rsid w:val="009B1CB2"/>
    <w:rsid w:val="009B1E1D"/>
    <w:rsid w:val="009B230F"/>
    <w:rsid w:val="009B24A5"/>
    <w:rsid w:val="009B2601"/>
    <w:rsid w:val="009B3C35"/>
    <w:rsid w:val="009B44C6"/>
    <w:rsid w:val="009B47A8"/>
    <w:rsid w:val="009B4E9E"/>
    <w:rsid w:val="009B68EF"/>
    <w:rsid w:val="009C1690"/>
    <w:rsid w:val="009C2033"/>
    <w:rsid w:val="009C254F"/>
    <w:rsid w:val="009C4699"/>
    <w:rsid w:val="009C492C"/>
    <w:rsid w:val="009C58A4"/>
    <w:rsid w:val="009C5961"/>
    <w:rsid w:val="009C6011"/>
    <w:rsid w:val="009C6881"/>
    <w:rsid w:val="009C69F0"/>
    <w:rsid w:val="009C712D"/>
    <w:rsid w:val="009C7759"/>
    <w:rsid w:val="009D043D"/>
    <w:rsid w:val="009D07C8"/>
    <w:rsid w:val="009D0ADA"/>
    <w:rsid w:val="009D16CD"/>
    <w:rsid w:val="009D1D05"/>
    <w:rsid w:val="009D506D"/>
    <w:rsid w:val="009D6C71"/>
    <w:rsid w:val="009D710D"/>
    <w:rsid w:val="009E0631"/>
    <w:rsid w:val="009E16D0"/>
    <w:rsid w:val="009E1E53"/>
    <w:rsid w:val="009E1FD9"/>
    <w:rsid w:val="009E2051"/>
    <w:rsid w:val="009E2BA2"/>
    <w:rsid w:val="009E38FD"/>
    <w:rsid w:val="009E48D9"/>
    <w:rsid w:val="009E518A"/>
    <w:rsid w:val="009E66DF"/>
    <w:rsid w:val="009E743D"/>
    <w:rsid w:val="009F0A36"/>
    <w:rsid w:val="009F13D6"/>
    <w:rsid w:val="009F20D7"/>
    <w:rsid w:val="009F322A"/>
    <w:rsid w:val="009F3A23"/>
    <w:rsid w:val="009F4C6B"/>
    <w:rsid w:val="009F5591"/>
    <w:rsid w:val="009F68ED"/>
    <w:rsid w:val="009F78A8"/>
    <w:rsid w:val="009F7DDA"/>
    <w:rsid w:val="00A024D5"/>
    <w:rsid w:val="00A0263A"/>
    <w:rsid w:val="00A0263E"/>
    <w:rsid w:val="00A02AD6"/>
    <w:rsid w:val="00A02F42"/>
    <w:rsid w:val="00A031B8"/>
    <w:rsid w:val="00A033E7"/>
    <w:rsid w:val="00A0413F"/>
    <w:rsid w:val="00A05A0A"/>
    <w:rsid w:val="00A07096"/>
    <w:rsid w:val="00A07318"/>
    <w:rsid w:val="00A11370"/>
    <w:rsid w:val="00A11E22"/>
    <w:rsid w:val="00A122B0"/>
    <w:rsid w:val="00A13596"/>
    <w:rsid w:val="00A153E6"/>
    <w:rsid w:val="00A155CA"/>
    <w:rsid w:val="00A2014B"/>
    <w:rsid w:val="00A224CE"/>
    <w:rsid w:val="00A22522"/>
    <w:rsid w:val="00A2440D"/>
    <w:rsid w:val="00A24820"/>
    <w:rsid w:val="00A24882"/>
    <w:rsid w:val="00A24AFD"/>
    <w:rsid w:val="00A24D96"/>
    <w:rsid w:val="00A24F5C"/>
    <w:rsid w:val="00A2558A"/>
    <w:rsid w:val="00A26354"/>
    <w:rsid w:val="00A26894"/>
    <w:rsid w:val="00A26DD4"/>
    <w:rsid w:val="00A31E9E"/>
    <w:rsid w:val="00A32F96"/>
    <w:rsid w:val="00A341E4"/>
    <w:rsid w:val="00A34A7D"/>
    <w:rsid w:val="00A35E09"/>
    <w:rsid w:val="00A37724"/>
    <w:rsid w:val="00A37E76"/>
    <w:rsid w:val="00A404D9"/>
    <w:rsid w:val="00A40871"/>
    <w:rsid w:val="00A4111D"/>
    <w:rsid w:val="00A412AB"/>
    <w:rsid w:val="00A4132F"/>
    <w:rsid w:val="00A4193E"/>
    <w:rsid w:val="00A42998"/>
    <w:rsid w:val="00A42B15"/>
    <w:rsid w:val="00A440E0"/>
    <w:rsid w:val="00A442EF"/>
    <w:rsid w:val="00A4460C"/>
    <w:rsid w:val="00A457D8"/>
    <w:rsid w:val="00A469AE"/>
    <w:rsid w:val="00A47569"/>
    <w:rsid w:val="00A5012B"/>
    <w:rsid w:val="00A51B61"/>
    <w:rsid w:val="00A51D1A"/>
    <w:rsid w:val="00A528DE"/>
    <w:rsid w:val="00A5418D"/>
    <w:rsid w:val="00A542DF"/>
    <w:rsid w:val="00A5474E"/>
    <w:rsid w:val="00A55E21"/>
    <w:rsid w:val="00A566F6"/>
    <w:rsid w:val="00A6297F"/>
    <w:rsid w:val="00A632CF"/>
    <w:rsid w:val="00A64234"/>
    <w:rsid w:val="00A64F0B"/>
    <w:rsid w:val="00A656F7"/>
    <w:rsid w:val="00A6799F"/>
    <w:rsid w:val="00A70210"/>
    <w:rsid w:val="00A70ADF"/>
    <w:rsid w:val="00A71466"/>
    <w:rsid w:val="00A74082"/>
    <w:rsid w:val="00A744DF"/>
    <w:rsid w:val="00A74B5E"/>
    <w:rsid w:val="00A7632D"/>
    <w:rsid w:val="00A76F21"/>
    <w:rsid w:val="00A80E43"/>
    <w:rsid w:val="00A813BD"/>
    <w:rsid w:val="00A815FD"/>
    <w:rsid w:val="00A81BED"/>
    <w:rsid w:val="00A81EC4"/>
    <w:rsid w:val="00A824E8"/>
    <w:rsid w:val="00A82547"/>
    <w:rsid w:val="00A83384"/>
    <w:rsid w:val="00A91D94"/>
    <w:rsid w:val="00A92E8F"/>
    <w:rsid w:val="00A93850"/>
    <w:rsid w:val="00A94509"/>
    <w:rsid w:val="00A967FD"/>
    <w:rsid w:val="00AA03C2"/>
    <w:rsid w:val="00AA108E"/>
    <w:rsid w:val="00AA2DE5"/>
    <w:rsid w:val="00AA77CD"/>
    <w:rsid w:val="00AB0A82"/>
    <w:rsid w:val="00AB156C"/>
    <w:rsid w:val="00AB3BA7"/>
    <w:rsid w:val="00AB3DB4"/>
    <w:rsid w:val="00AB6814"/>
    <w:rsid w:val="00AC0331"/>
    <w:rsid w:val="00AC0417"/>
    <w:rsid w:val="00AC04BA"/>
    <w:rsid w:val="00AC0E39"/>
    <w:rsid w:val="00AC36CA"/>
    <w:rsid w:val="00AC3F3E"/>
    <w:rsid w:val="00AC4C92"/>
    <w:rsid w:val="00AC4DCF"/>
    <w:rsid w:val="00AC54D3"/>
    <w:rsid w:val="00AC65DD"/>
    <w:rsid w:val="00AC77E9"/>
    <w:rsid w:val="00AD17FF"/>
    <w:rsid w:val="00AD3082"/>
    <w:rsid w:val="00AD32B4"/>
    <w:rsid w:val="00AD3327"/>
    <w:rsid w:val="00AD3B78"/>
    <w:rsid w:val="00AD4551"/>
    <w:rsid w:val="00AD4AD0"/>
    <w:rsid w:val="00AD4DA4"/>
    <w:rsid w:val="00AD5436"/>
    <w:rsid w:val="00AD5456"/>
    <w:rsid w:val="00AD60CD"/>
    <w:rsid w:val="00AD6C8C"/>
    <w:rsid w:val="00AE072F"/>
    <w:rsid w:val="00AE091D"/>
    <w:rsid w:val="00AE199F"/>
    <w:rsid w:val="00AE23A9"/>
    <w:rsid w:val="00AE3B60"/>
    <w:rsid w:val="00AE53A1"/>
    <w:rsid w:val="00AE5582"/>
    <w:rsid w:val="00AE592F"/>
    <w:rsid w:val="00AE7A74"/>
    <w:rsid w:val="00AF0625"/>
    <w:rsid w:val="00AF0B6E"/>
    <w:rsid w:val="00AF0DF2"/>
    <w:rsid w:val="00AF2484"/>
    <w:rsid w:val="00AF27C6"/>
    <w:rsid w:val="00AF3607"/>
    <w:rsid w:val="00AF63E7"/>
    <w:rsid w:val="00AF6E17"/>
    <w:rsid w:val="00B00C21"/>
    <w:rsid w:val="00B0130B"/>
    <w:rsid w:val="00B01560"/>
    <w:rsid w:val="00B0165D"/>
    <w:rsid w:val="00B01B60"/>
    <w:rsid w:val="00B031F3"/>
    <w:rsid w:val="00B04677"/>
    <w:rsid w:val="00B052A4"/>
    <w:rsid w:val="00B06668"/>
    <w:rsid w:val="00B1103F"/>
    <w:rsid w:val="00B125DE"/>
    <w:rsid w:val="00B13030"/>
    <w:rsid w:val="00B13FDD"/>
    <w:rsid w:val="00B1527A"/>
    <w:rsid w:val="00B15F3D"/>
    <w:rsid w:val="00B17BE1"/>
    <w:rsid w:val="00B201FB"/>
    <w:rsid w:val="00B205D7"/>
    <w:rsid w:val="00B20AE0"/>
    <w:rsid w:val="00B21AFF"/>
    <w:rsid w:val="00B21F81"/>
    <w:rsid w:val="00B22EB2"/>
    <w:rsid w:val="00B247F7"/>
    <w:rsid w:val="00B24DB4"/>
    <w:rsid w:val="00B26366"/>
    <w:rsid w:val="00B26B9B"/>
    <w:rsid w:val="00B27442"/>
    <w:rsid w:val="00B27464"/>
    <w:rsid w:val="00B3012E"/>
    <w:rsid w:val="00B30BE6"/>
    <w:rsid w:val="00B31167"/>
    <w:rsid w:val="00B31EE8"/>
    <w:rsid w:val="00B3236B"/>
    <w:rsid w:val="00B329D8"/>
    <w:rsid w:val="00B32BB9"/>
    <w:rsid w:val="00B335AF"/>
    <w:rsid w:val="00B33AE1"/>
    <w:rsid w:val="00B34283"/>
    <w:rsid w:val="00B373F6"/>
    <w:rsid w:val="00B37C38"/>
    <w:rsid w:val="00B40F6E"/>
    <w:rsid w:val="00B413D4"/>
    <w:rsid w:val="00B4288C"/>
    <w:rsid w:val="00B43262"/>
    <w:rsid w:val="00B44100"/>
    <w:rsid w:val="00B45215"/>
    <w:rsid w:val="00B45A98"/>
    <w:rsid w:val="00B45E55"/>
    <w:rsid w:val="00B46585"/>
    <w:rsid w:val="00B46CBA"/>
    <w:rsid w:val="00B46F94"/>
    <w:rsid w:val="00B50130"/>
    <w:rsid w:val="00B51541"/>
    <w:rsid w:val="00B528CE"/>
    <w:rsid w:val="00B53400"/>
    <w:rsid w:val="00B5496E"/>
    <w:rsid w:val="00B55613"/>
    <w:rsid w:val="00B55B11"/>
    <w:rsid w:val="00B5689E"/>
    <w:rsid w:val="00B6003C"/>
    <w:rsid w:val="00B60DE2"/>
    <w:rsid w:val="00B61F03"/>
    <w:rsid w:val="00B62474"/>
    <w:rsid w:val="00B626E4"/>
    <w:rsid w:val="00B629EC"/>
    <w:rsid w:val="00B62CEC"/>
    <w:rsid w:val="00B640FB"/>
    <w:rsid w:val="00B64B8F"/>
    <w:rsid w:val="00B64FD6"/>
    <w:rsid w:val="00B652D5"/>
    <w:rsid w:val="00B70AF8"/>
    <w:rsid w:val="00B71039"/>
    <w:rsid w:val="00B72862"/>
    <w:rsid w:val="00B72F4A"/>
    <w:rsid w:val="00B74D3B"/>
    <w:rsid w:val="00B75FFD"/>
    <w:rsid w:val="00B768C0"/>
    <w:rsid w:val="00B81169"/>
    <w:rsid w:val="00B81A92"/>
    <w:rsid w:val="00B83C27"/>
    <w:rsid w:val="00B84BC3"/>
    <w:rsid w:val="00B84BDD"/>
    <w:rsid w:val="00B86389"/>
    <w:rsid w:val="00B87BDC"/>
    <w:rsid w:val="00B92812"/>
    <w:rsid w:val="00B95AC2"/>
    <w:rsid w:val="00B967E5"/>
    <w:rsid w:val="00B97A9F"/>
    <w:rsid w:val="00BA1E79"/>
    <w:rsid w:val="00BA50B9"/>
    <w:rsid w:val="00BA5EE0"/>
    <w:rsid w:val="00BA670D"/>
    <w:rsid w:val="00BB0F3C"/>
    <w:rsid w:val="00BB19CD"/>
    <w:rsid w:val="00BB2C2A"/>
    <w:rsid w:val="00BB3F2B"/>
    <w:rsid w:val="00BB45A1"/>
    <w:rsid w:val="00BB47DA"/>
    <w:rsid w:val="00BB5B85"/>
    <w:rsid w:val="00BB6C17"/>
    <w:rsid w:val="00BB7686"/>
    <w:rsid w:val="00BC1427"/>
    <w:rsid w:val="00BC1B35"/>
    <w:rsid w:val="00BC23F9"/>
    <w:rsid w:val="00BC2BF8"/>
    <w:rsid w:val="00BC3421"/>
    <w:rsid w:val="00BC3B45"/>
    <w:rsid w:val="00BC5675"/>
    <w:rsid w:val="00BC732C"/>
    <w:rsid w:val="00BC7E56"/>
    <w:rsid w:val="00BD1478"/>
    <w:rsid w:val="00BD3FB4"/>
    <w:rsid w:val="00BD4421"/>
    <w:rsid w:val="00BD4600"/>
    <w:rsid w:val="00BD7249"/>
    <w:rsid w:val="00BD734C"/>
    <w:rsid w:val="00BD79E4"/>
    <w:rsid w:val="00BE2580"/>
    <w:rsid w:val="00BE266D"/>
    <w:rsid w:val="00BE35CB"/>
    <w:rsid w:val="00BE3726"/>
    <w:rsid w:val="00BE3938"/>
    <w:rsid w:val="00BE4C11"/>
    <w:rsid w:val="00BE6805"/>
    <w:rsid w:val="00BE6FAA"/>
    <w:rsid w:val="00BE71C0"/>
    <w:rsid w:val="00BE7CB2"/>
    <w:rsid w:val="00BF0E17"/>
    <w:rsid w:val="00BF1836"/>
    <w:rsid w:val="00BF26E0"/>
    <w:rsid w:val="00BF2785"/>
    <w:rsid w:val="00BF2B91"/>
    <w:rsid w:val="00BF610C"/>
    <w:rsid w:val="00C0060B"/>
    <w:rsid w:val="00C00DEE"/>
    <w:rsid w:val="00C01A6C"/>
    <w:rsid w:val="00C01C27"/>
    <w:rsid w:val="00C0277D"/>
    <w:rsid w:val="00C0377E"/>
    <w:rsid w:val="00C03F99"/>
    <w:rsid w:val="00C04C7A"/>
    <w:rsid w:val="00C05333"/>
    <w:rsid w:val="00C053A1"/>
    <w:rsid w:val="00C06178"/>
    <w:rsid w:val="00C07332"/>
    <w:rsid w:val="00C121CD"/>
    <w:rsid w:val="00C15D22"/>
    <w:rsid w:val="00C16198"/>
    <w:rsid w:val="00C166DC"/>
    <w:rsid w:val="00C16F8C"/>
    <w:rsid w:val="00C17F1B"/>
    <w:rsid w:val="00C2083D"/>
    <w:rsid w:val="00C20D9C"/>
    <w:rsid w:val="00C226CC"/>
    <w:rsid w:val="00C24560"/>
    <w:rsid w:val="00C24A53"/>
    <w:rsid w:val="00C267FC"/>
    <w:rsid w:val="00C2778A"/>
    <w:rsid w:val="00C30F08"/>
    <w:rsid w:val="00C3129A"/>
    <w:rsid w:val="00C31779"/>
    <w:rsid w:val="00C33D23"/>
    <w:rsid w:val="00C34969"/>
    <w:rsid w:val="00C34A05"/>
    <w:rsid w:val="00C35CCE"/>
    <w:rsid w:val="00C361AA"/>
    <w:rsid w:val="00C37FC1"/>
    <w:rsid w:val="00C4032F"/>
    <w:rsid w:val="00C4190A"/>
    <w:rsid w:val="00C420AF"/>
    <w:rsid w:val="00C44047"/>
    <w:rsid w:val="00C45155"/>
    <w:rsid w:val="00C474B9"/>
    <w:rsid w:val="00C477C9"/>
    <w:rsid w:val="00C5498F"/>
    <w:rsid w:val="00C55235"/>
    <w:rsid w:val="00C555AD"/>
    <w:rsid w:val="00C62241"/>
    <w:rsid w:val="00C62E5B"/>
    <w:rsid w:val="00C64CD0"/>
    <w:rsid w:val="00C660F5"/>
    <w:rsid w:val="00C6684F"/>
    <w:rsid w:val="00C669D6"/>
    <w:rsid w:val="00C6771F"/>
    <w:rsid w:val="00C67D06"/>
    <w:rsid w:val="00C70E70"/>
    <w:rsid w:val="00C711DD"/>
    <w:rsid w:val="00C71F52"/>
    <w:rsid w:val="00C7244A"/>
    <w:rsid w:val="00C75F8D"/>
    <w:rsid w:val="00C764CD"/>
    <w:rsid w:val="00C77380"/>
    <w:rsid w:val="00C774D4"/>
    <w:rsid w:val="00C8084D"/>
    <w:rsid w:val="00C81717"/>
    <w:rsid w:val="00C82940"/>
    <w:rsid w:val="00C84506"/>
    <w:rsid w:val="00C84C71"/>
    <w:rsid w:val="00C84D42"/>
    <w:rsid w:val="00C85EAC"/>
    <w:rsid w:val="00C86DCE"/>
    <w:rsid w:val="00C8783A"/>
    <w:rsid w:val="00C87E8A"/>
    <w:rsid w:val="00C9049F"/>
    <w:rsid w:val="00C904FA"/>
    <w:rsid w:val="00C924EA"/>
    <w:rsid w:val="00C9329D"/>
    <w:rsid w:val="00C94524"/>
    <w:rsid w:val="00C94C5A"/>
    <w:rsid w:val="00C9633B"/>
    <w:rsid w:val="00C97736"/>
    <w:rsid w:val="00CA04F9"/>
    <w:rsid w:val="00CA0EC6"/>
    <w:rsid w:val="00CA194B"/>
    <w:rsid w:val="00CA23BD"/>
    <w:rsid w:val="00CA287C"/>
    <w:rsid w:val="00CA2D2D"/>
    <w:rsid w:val="00CA345A"/>
    <w:rsid w:val="00CA652B"/>
    <w:rsid w:val="00CA677A"/>
    <w:rsid w:val="00CA7C37"/>
    <w:rsid w:val="00CB1E82"/>
    <w:rsid w:val="00CB35BE"/>
    <w:rsid w:val="00CB3D8D"/>
    <w:rsid w:val="00CB3EAC"/>
    <w:rsid w:val="00CB4BA8"/>
    <w:rsid w:val="00CB52D7"/>
    <w:rsid w:val="00CB68FF"/>
    <w:rsid w:val="00CB6F9D"/>
    <w:rsid w:val="00CC15F8"/>
    <w:rsid w:val="00CC1B16"/>
    <w:rsid w:val="00CC1F18"/>
    <w:rsid w:val="00CC52EB"/>
    <w:rsid w:val="00CC53B7"/>
    <w:rsid w:val="00CC6081"/>
    <w:rsid w:val="00CC6247"/>
    <w:rsid w:val="00CC6732"/>
    <w:rsid w:val="00CC6B86"/>
    <w:rsid w:val="00CC723E"/>
    <w:rsid w:val="00CD21DD"/>
    <w:rsid w:val="00CD2DC4"/>
    <w:rsid w:val="00CD35CA"/>
    <w:rsid w:val="00CD6C65"/>
    <w:rsid w:val="00CD7C1D"/>
    <w:rsid w:val="00CE0BB5"/>
    <w:rsid w:val="00CE1586"/>
    <w:rsid w:val="00CE1C4C"/>
    <w:rsid w:val="00CE3C96"/>
    <w:rsid w:val="00CE492D"/>
    <w:rsid w:val="00CE4D1D"/>
    <w:rsid w:val="00CE51A8"/>
    <w:rsid w:val="00CE6DEC"/>
    <w:rsid w:val="00CE7CD4"/>
    <w:rsid w:val="00CF007E"/>
    <w:rsid w:val="00CF1711"/>
    <w:rsid w:val="00CF240A"/>
    <w:rsid w:val="00CF2CBE"/>
    <w:rsid w:val="00CF369B"/>
    <w:rsid w:val="00CF4382"/>
    <w:rsid w:val="00CF546F"/>
    <w:rsid w:val="00CF6E0F"/>
    <w:rsid w:val="00CF70C6"/>
    <w:rsid w:val="00CF7395"/>
    <w:rsid w:val="00D00E28"/>
    <w:rsid w:val="00D021F8"/>
    <w:rsid w:val="00D0269E"/>
    <w:rsid w:val="00D04669"/>
    <w:rsid w:val="00D049F3"/>
    <w:rsid w:val="00D05535"/>
    <w:rsid w:val="00D05D6C"/>
    <w:rsid w:val="00D06B92"/>
    <w:rsid w:val="00D07F0C"/>
    <w:rsid w:val="00D11E1F"/>
    <w:rsid w:val="00D138B0"/>
    <w:rsid w:val="00D15810"/>
    <w:rsid w:val="00D16913"/>
    <w:rsid w:val="00D16D4E"/>
    <w:rsid w:val="00D16FE3"/>
    <w:rsid w:val="00D2557B"/>
    <w:rsid w:val="00D277D9"/>
    <w:rsid w:val="00D27F41"/>
    <w:rsid w:val="00D30EC9"/>
    <w:rsid w:val="00D32F55"/>
    <w:rsid w:val="00D338D7"/>
    <w:rsid w:val="00D348B8"/>
    <w:rsid w:val="00D36441"/>
    <w:rsid w:val="00D36A16"/>
    <w:rsid w:val="00D36CAD"/>
    <w:rsid w:val="00D4064E"/>
    <w:rsid w:val="00D40715"/>
    <w:rsid w:val="00D414E9"/>
    <w:rsid w:val="00D41693"/>
    <w:rsid w:val="00D42EF0"/>
    <w:rsid w:val="00D44618"/>
    <w:rsid w:val="00D44E9B"/>
    <w:rsid w:val="00D45009"/>
    <w:rsid w:val="00D45C5B"/>
    <w:rsid w:val="00D45FD2"/>
    <w:rsid w:val="00D46B81"/>
    <w:rsid w:val="00D47AEB"/>
    <w:rsid w:val="00D5093F"/>
    <w:rsid w:val="00D50DB9"/>
    <w:rsid w:val="00D51048"/>
    <w:rsid w:val="00D51056"/>
    <w:rsid w:val="00D51302"/>
    <w:rsid w:val="00D51802"/>
    <w:rsid w:val="00D51951"/>
    <w:rsid w:val="00D52B05"/>
    <w:rsid w:val="00D52C43"/>
    <w:rsid w:val="00D54559"/>
    <w:rsid w:val="00D57145"/>
    <w:rsid w:val="00D6163E"/>
    <w:rsid w:val="00D61770"/>
    <w:rsid w:val="00D63507"/>
    <w:rsid w:val="00D6507F"/>
    <w:rsid w:val="00D67227"/>
    <w:rsid w:val="00D67606"/>
    <w:rsid w:val="00D70460"/>
    <w:rsid w:val="00D7089B"/>
    <w:rsid w:val="00D72BEC"/>
    <w:rsid w:val="00D730BC"/>
    <w:rsid w:val="00D73912"/>
    <w:rsid w:val="00D74E70"/>
    <w:rsid w:val="00D75A0B"/>
    <w:rsid w:val="00D75A1A"/>
    <w:rsid w:val="00D760AF"/>
    <w:rsid w:val="00D761A2"/>
    <w:rsid w:val="00D77B05"/>
    <w:rsid w:val="00D77FF9"/>
    <w:rsid w:val="00D81873"/>
    <w:rsid w:val="00D81B39"/>
    <w:rsid w:val="00D82BFA"/>
    <w:rsid w:val="00D85226"/>
    <w:rsid w:val="00D85C1C"/>
    <w:rsid w:val="00D869A1"/>
    <w:rsid w:val="00D87B94"/>
    <w:rsid w:val="00D92268"/>
    <w:rsid w:val="00D92D49"/>
    <w:rsid w:val="00D92EC1"/>
    <w:rsid w:val="00D94615"/>
    <w:rsid w:val="00D947D8"/>
    <w:rsid w:val="00D94AE8"/>
    <w:rsid w:val="00D96A2C"/>
    <w:rsid w:val="00D96DEA"/>
    <w:rsid w:val="00DA161F"/>
    <w:rsid w:val="00DA1EEB"/>
    <w:rsid w:val="00DA4168"/>
    <w:rsid w:val="00DA4E41"/>
    <w:rsid w:val="00DA51E4"/>
    <w:rsid w:val="00DA5227"/>
    <w:rsid w:val="00DA75CB"/>
    <w:rsid w:val="00DA77F7"/>
    <w:rsid w:val="00DB117A"/>
    <w:rsid w:val="00DB2A97"/>
    <w:rsid w:val="00DB3A64"/>
    <w:rsid w:val="00DB5173"/>
    <w:rsid w:val="00DB5752"/>
    <w:rsid w:val="00DB6B82"/>
    <w:rsid w:val="00DB6CA8"/>
    <w:rsid w:val="00DB7873"/>
    <w:rsid w:val="00DC06D3"/>
    <w:rsid w:val="00DC1120"/>
    <w:rsid w:val="00DC13B7"/>
    <w:rsid w:val="00DC1820"/>
    <w:rsid w:val="00DC187B"/>
    <w:rsid w:val="00DC4F69"/>
    <w:rsid w:val="00DC58BA"/>
    <w:rsid w:val="00DC60D1"/>
    <w:rsid w:val="00DC6A66"/>
    <w:rsid w:val="00DC7DEF"/>
    <w:rsid w:val="00DD1A43"/>
    <w:rsid w:val="00DD26F9"/>
    <w:rsid w:val="00DD31A9"/>
    <w:rsid w:val="00DD3B4D"/>
    <w:rsid w:val="00DD43C6"/>
    <w:rsid w:val="00DD4CF1"/>
    <w:rsid w:val="00DD73C2"/>
    <w:rsid w:val="00DE06EF"/>
    <w:rsid w:val="00DE1CB0"/>
    <w:rsid w:val="00DE22B6"/>
    <w:rsid w:val="00DE319B"/>
    <w:rsid w:val="00DF0799"/>
    <w:rsid w:val="00DF0BBD"/>
    <w:rsid w:val="00DF1CFA"/>
    <w:rsid w:val="00DF34FE"/>
    <w:rsid w:val="00DF56AA"/>
    <w:rsid w:val="00DF56AF"/>
    <w:rsid w:val="00DF78E7"/>
    <w:rsid w:val="00DF7B17"/>
    <w:rsid w:val="00E01473"/>
    <w:rsid w:val="00E020D5"/>
    <w:rsid w:val="00E028F8"/>
    <w:rsid w:val="00E02B0A"/>
    <w:rsid w:val="00E04FE1"/>
    <w:rsid w:val="00E050F2"/>
    <w:rsid w:val="00E0597A"/>
    <w:rsid w:val="00E06144"/>
    <w:rsid w:val="00E10306"/>
    <w:rsid w:val="00E110E0"/>
    <w:rsid w:val="00E139BF"/>
    <w:rsid w:val="00E15371"/>
    <w:rsid w:val="00E15392"/>
    <w:rsid w:val="00E1715F"/>
    <w:rsid w:val="00E17242"/>
    <w:rsid w:val="00E2131D"/>
    <w:rsid w:val="00E23372"/>
    <w:rsid w:val="00E23928"/>
    <w:rsid w:val="00E23E0B"/>
    <w:rsid w:val="00E24104"/>
    <w:rsid w:val="00E26512"/>
    <w:rsid w:val="00E27639"/>
    <w:rsid w:val="00E3007E"/>
    <w:rsid w:val="00E302D0"/>
    <w:rsid w:val="00E30948"/>
    <w:rsid w:val="00E313A5"/>
    <w:rsid w:val="00E319DE"/>
    <w:rsid w:val="00E31B16"/>
    <w:rsid w:val="00E31E9F"/>
    <w:rsid w:val="00E33657"/>
    <w:rsid w:val="00E35707"/>
    <w:rsid w:val="00E3582B"/>
    <w:rsid w:val="00E35B6D"/>
    <w:rsid w:val="00E36AA1"/>
    <w:rsid w:val="00E37D38"/>
    <w:rsid w:val="00E40144"/>
    <w:rsid w:val="00E408BA"/>
    <w:rsid w:val="00E40A51"/>
    <w:rsid w:val="00E41ECB"/>
    <w:rsid w:val="00E42676"/>
    <w:rsid w:val="00E4313C"/>
    <w:rsid w:val="00E447B6"/>
    <w:rsid w:val="00E44D09"/>
    <w:rsid w:val="00E45B4C"/>
    <w:rsid w:val="00E46636"/>
    <w:rsid w:val="00E46711"/>
    <w:rsid w:val="00E4780E"/>
    <w:rsid w:val="00E47F0D"/>
    <w:rsid w:val="00E50901"/>
    <w:rsid w:val="00E50B74"/>
    <w:rsid w:val="00E51610"/>
    <w:rsid w:val="00E526A3"/>
    <w:rsid w:val="00E52AD5"/>
    <w:rsid w:val="00E54FDB"/>
    <w:rsid w:val="00E55821"/>
    <w:rsid w:val="00E55F2B"/>
    <w:rsid w:val="00E5617D"/>
    <w:rsid w:val="00E563D7"/>
    <w:rsid w:val="00E56D71"/>
    <w:rsid w:val="00E60CEB"/>
    <w:rsid w:val="00E612B9"/>
    <w:rsid w:val="00E62D0D"/>
    <w:rsid w:val="00E634B5"/>
    <w:rsid w:val="00E65630"/>
    <w:rsid w:val="00E663AC"/>
    <w:rsid w:val="00E663F4"/>
    <w:rsid w:val="00E666F2"/>
    <w:rsid w:val="00E66DD4"/>
    <w:rsid w:val="00E67E69"/>
    <w:rsid w:val="00E71D33"/>
    <w:rsid w:val="00E737C1"/>
    <w:rsid w:val="00E748CC"/>
    <w:rsid w:val="00E74DC1"/>
    <w:rsid w:val="00E75415"/>
    <w:rsid w:val="00E75818"/>
    <w:rsid w:val="00E76CD0"/>
    <w:rsid w:val="00E775B1"/>
    <w:rsid w:val="00E80D2C"/>
    <w:rsid w:val="00E8152A"/>
    <w:rsid w:val="00E8378C"/>
    <w:rsid w:val="00E8456C"/>
    <w:rsid w:val="00E87CF9"/>
    <w:rsid w:val="00E902D4"/>
    <w:rsid w:val="00E90C91"/>
    <w:rsid w:val="00E93629"/>
    <w:rsid w:val="00E93B5C"/>
    <w:rsid w:val="00E93EC0"/>
    <w:rsid w:val="00E94CEC"/>
    <w:rsid w:val="00E964E4"/>
    <w:rsid w:val="00E9794B"/>
    <w:rsid w:val="00E97E2B"/>
    <w:rsid w:val="00EA04EF"/>
    <w:rsid w:val="00EA1CEE"/>
    <w:rsid w:val="00EA2DC5"/>
    <w:rsid w:val="00EA3572"/>
    <w:rsid w:val="00EA3C13"/>
    <w:rsid w:val="00EA5278"/>
    <w:rsid w:val="00EA6D28"/>
    <w:rsid w:val="00EA6F19"/>
    <w:rsid w:val="00EA7836"/>
    <w:rsid w:val="00EB105E"/>
    <w:rsid w:val="00EB150E"/>
    <w:rsid w:val="00EB2AC0"/>
    <w:rsid w:val="00EB3D66"/>
    <w:rsid w:val="00EB4FFC"/>
    <w:rsid w:val="00EB6AB8"/>
    <w:rsid w:val="00EB6ACE"/>
    <w:rsid w:val="00EB7090"/>
    <w:rsid w:val="00EC1BBE"/>
    <w:rsid w:val="00EC25CF"/>
    <w:rsid w:val="00EC2B68"/>
    <w:rsid w:val="00EC32DE"/>
    <w:rsid w:val="00EC3AEF"/>
    <w:rsid w:val="00EC4525"/>
    <w:rsid w:val="00EC4C0E"/>
    <w:rsid w:val="00EC5CD7"/>
    <w:rsid w:val="00EC61F1"/>
    <w:rsid w:val="00EC652D"/>
    <w:rsid w:val="00EC72F7"/>
    <w:rsid w:val="00ED0A1A"/>
    <w:rsid w:val="00ED12FE"/>
    <w:rsid w:val="00ED23E6"/>
    <w:rsid w:val="00ED3D4A"/>
    <w:rsid w:val="00ED3FCF"/>
    <w:rsid w:val="00ED44F1"/>
    <w:rsid w:val="00ED4FD9"/>
    <w:rsid w:val="00ED61D8"/>
    <w:rsid w:val="00ED6D20"/>
    <w:rsid w:val="00EE17AA"/>
    <w:rsid w:val="00EE2246"/>
    <w:rsid w:val="00EE558E"/>
    <w:rsid w:val="00EE563A"/>
    <w:rsid w:val="00EE5FB3"/>
    <w:rsid w:val="00EE6558"/>
    <w:rsid w:val="00EE714C"/>
    <w:rsid w:val="00EE7F79"/>
    <w:rsid w:val="00EF24AA"/>
    <w:rsid w:val="00EF3035"/>
    <w:rsid w:val="00EF31EA"/>
    <w:rsid w:val="00EF36AE"/>
    <w:rsid w:val="00EF47A2"/>
    <w:rsid w:val="00EF5A74"/>
    <w:rsid w:val="00EF6429"/>
    <w:rsid w:val="00EF6644"/>
    <w:rsid w:val="00EF715A"/>
    <w:rsid w:val="00EF7CA5"/>
    <w:rsid w:val="00F0026E"/>
    <w:rsid w:val="00F00BCA"/>
    <w:rsid w:val="00F01245"/>
    <w:rsid w:val="00F01445"/>
    <w:rsid w:val="00F01BC3"/>
    <w:rsid w:val="00F021BB"/>
    <w:rsid w:val="00F0475B"/>
    <w:rsid w:val="00F04C80"/>
    <w:rsid w:val="00F06A06"/>
    <w:rsid w:val="00F06C96"/>
    <w:rsid w:val="00F06E14"/>
    <w:rsid w:val="00F111DD"/>
    <w:rsid w:val="00F11B35"/>
    <w:rsid w:val="00F13074"/>
    <w:rsid w:val="00F1601C"/>
    <w:rsid w:val="00F164A4"/>
    <w:rsid w:val="00F17244"/>
    <w:rsid w:val="00F179D4"/>
    <w:rsid w:val="00F208A7"/>
    <w:rsid w:val="00F222F4"/>
    <w:rsid w:val="00F22EFC"/>
    <w:rsid w:val="00F248B7"/>
    <w:rsid w:val="00F24C1C"/>
    <w:rsid w:val="00F2740C"/>
    <w:rsid w:val="00F302C7"/>
    <w:rsid w:val="00F3065F"/>
    <w:rsid w:val="00F3278F"/>
    <w:rsid w:val="00F33230"/>
    <w:rsid w:val="00F33C56"/>
    <w:rsid w:val="00F347C7"/>
    <w:rsid w:val="00F34848"/>
    <w:rsid w:val="00F3753E"/>
    <w:rsid w:val="00F37556"/>
    <w:rsid w:val="00F37BD0"/>
    <w:rsid w:val="00F406CD"/>
    <w:rsid w:val="00F41144"/>
    <w:rsid w:val="00F42D46"/>
    <w:rsid w:val="00F4354F"/>
    <w:rsid w:val="00F43596"/>
    <w:rsid w:val="00F43E35"/>
    <w:rsid w:val="00F4496C"/>
    <w:rsid w:val="00F44F3A"/>
    <w:rsid w:val="00F45DD5"/>
    <w:rsid w:val="00F51F10"/>
    <w:rsid w:val="00F523C2"/>
    <w:rsid w:val="00F529A5"/>
    <w:rsid w:val="00F52D32"/>
    <w:rsid w:val="00F532E1"/>
    <w:rsid w:val="00F54663"/>
    <w:rsid w:val="00F55651"/>
    <w:rsid w:val="00F567DD"/>
    <w:rsid w:val="00F56C30"/>
    <w:rsid w:val="00F60563"/>
    <w:rsid w:val="00F60F00"/>
    <w:rsid w:val="00F614C0"/>
    <w:rsid w:val="00F61C77"/>
    <w:rsid w:val="00F61E9B"/>
    <w:rsid w:val="00F62B93"/>
    <w:rsid w:val="00F651F4"/>
    <w:rsid w:val="00F66FEA"/>
    <w:rsid w:val="00F7230F"/>
    <w:rsid w:val="00F723A3"/>
    <w:rsid w:val="00F746F6"/>
    <w:rsid w:val="00F8074C"/>
    <w:rsid w:val="00F826F5"/>
    <w:rsid w:val="00F83848"/>
    <w:rsid w:val="00F84B5E"/>
    <w:rsid w:val="00F87C4B"/>
    <w:rsid w:val="00F91C6D"/>
    <w:rsid w:val="00F93052"/>
    <w:rsid w:val="00F93AF9"/>
    <w:rsid w:val="00F93D50"/>
    <w:rsid w:val="00F93E69"/>
    <w:rsid w:val="00F975E9"/>
    <w:rsid w:val="00FA0A89"/>
    <w:rsid w:val="00FA0BDC"/>
    <w:rsid w:val="00FA1B7D"/>
    <w:rsid w:val="00FA2872"/>
    <w:rsid w:val="00FA2A24"/>
    <w:rsid w:val="00FA3154"/>
    <w:rsid w:val="00FA334D"/>
    <w:rsid w:val="00FA366F"/>
    <w:rsid w:val="00FA37CC"/>
    <w:rsid w:val="00FA3EA5"/>
    <w:rsid w:val="00FA5528"/>
    <w:rsid w:val="00FA5A68"/>
    <w:rsid w:val="00FA5D0F"/>
    <w:rsid w:val="00FA5FEF"/>
    <w:rsid w:val="00FA7C2E"/>
    <w:rsid w:val="00FB1F2E"/>
    <w:rsid w:val="00FB2400"/>
    <w:rsid w:val="00FB436F"/>
    <w:rsid w:val="00FB4CDA"/>
    <w:rsid w:val="00FB4E37"/>
    <w:rsid w:val="00FB7AEB"/>
    <w:rsid w:val="00FC0568"/>
    <w:rsid w:val="00FC07B9"/>
    <w:rsid w:val="00FC102A"/>
    <w:rsid w:val="00FC180E"/>
    <w:rsid w:val="00FC1DF7"/>
    <w:rsid w:val="00FC23EE"/>
    <w:rsid w:val="00FC2882"/>
    <w:rsid w:val="00FC2D5A"/>
    <w:rsid w:val="00FC3763"/>
    <w:rsid w:val="00FC37CF"/>
    <w:rsid w:val="00FC4E21"/>
    <w:rsid w:val="00FC4E27"/>
    <w:rsid w:val="00FC5F6D"/>
    <w:rsid w:val="00FC670D"/>
    <w:rsid w:val="00FD0107"/>
    <w:rsid w:val="00FD08F3"/>
    <w:rsid w:val="00FD0CED"/>
    <w:rsid w:val="00FD252F"/>
    <w:rsid w:val="00FD2731"/>
    <w:rsid w:val="00FD2C2F"/>
    <w:rsid w:val="00FD307C"/>
    <w:rsid w:val="00FD3B31"/>
    <w:rsid w:val="00FD3F9C"/>
    <w:rsid w:val="00FD4063"/>
    <w:rsid w:val="00FD465A"/>
    <w:rsid w:val="00FE03C3"/>
    <w:rsid w:val="00FE1823"/>
    <w:rsid w:val="00FE245B"/>
    <w:rsid w:val="00FE3A02"/>
    <w:rsid w:val="00FE3A54"/>
    <w:rsid w:val="00FE487A"/>
    <w:rsid w:val="00FE4ABE"/>
    <w:rsid w:val="00FE569E"/>
    <w:rsid w:val="00FE7F03"/>
    <w:rsid w:val="00FF0569"/>
    <w:rsid w:val="00FF1D25"/>
    <w:rsid w:val="00FF206E"/>
    <w:rsid w:val="00FF3794"/>
    <w:rsid w:val="00FF3C69"/>
    <w:rsid w:val="00FF4258"/>
    <w:rsid w:val="00FF4B0A"/>
    <w:rsid w:val="00FF51B2"/>
    <w:rsid w:val="00FF53DC"/>
    <w:rsid w:val="00FF53EF"/>
    <w:rsid w:val="00FF6E0A"/>
    <w:rsid w:val="00FF7F2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
      <o:colormru v:ext="edit" colors="red,#4d4d4f"/>
    </o:shapedefaults>
    <o:shapelayout v:ext="edit">
      <o:idmap v:ext="edit" data="2"/>
    </o:shapelayout>
  </w:shapeDefaults>
  <w:decimalSymbol w:val="."/>
  <w:listSeparator w:val=","/>
  <w14:docId w14:val="1F07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3"/>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CE0BB5"/>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numPr>
        <w:numId w:val="10"/>
      </w:numPr>
      <w:spacing w:after="360" w:line="550" w:lineRule="exact"/>
      <w:outlineLvl w:val="0"/>
    </w:pPr>
    <w:rPr>
      <w:rFonts w:cs="Arial"/>
      <w:bCs/>
      <w:color w:val="323232"/>
      <w:kern w:val="32"/>
      <w:sz w:val="53"/>
      <w:szCs w:val="32"/>
    </w:rPr>
  </w:style>
  <w:style w:type="paragraph" w:styleId="Heading2">
    <w:name w:val="heading 2"/>
    <w:basedOn w:val="Normal"/>
    <w:next w:val="Numbered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3"/>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Numberedparagraphbeforelist">
    <w:name w:val="Numbered paragraph before list"/>
    <w:basedOn w:val="Numberedparagraph"/>
    <w:uiPriority w:val="4"/>
    <w:qFormat/>
    <w:rsid w:val="00C87E8A"/>
    <w:pPr>
      <w:spacing w:after="80"/>
    </w:pPr>
  </w:style>
  <w:style w:type="paragraph" w:styleId="TOC1">
    <w:name w:val="toc 1"/>
    <w:basedOn w:val="Normal"/>
    <w:next w:val="Normal"/>
    <w:uiPriority w:val="39"/>
    <w:qFormat/>
    <w:rsid w:val="003B105D"/>
    <w:pPr>
      <w:tabs>
        <w:tab w:val="left" w:pos="284"/>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
    <w:basedOn w:val="DefaultParagraphFont"/>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qFormat/>
    <w:rsid w:val="00877FE3"/>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Numberedparagraph">
    <w:name w:val="Numbered paragraph"/>
    <w:basedOn w:val="Normal"/>
    <w:qFormat/>
    <w:rsid w:val="009E1FD9"/>
    <w:pPr>
      <w:numPr>
        <w:ilvl w:val="1"/>
        <w:numId w:val="10"/>
      </w:numPr>
    </w:pPr>
    <w:rPr>
      <w:rFonts w:cs="Arial"/>
    </w:rPr>
  </w:style>
  <w:style w:type="paragraph" w:customStyle="1" w:styleId="Bulletlevel2">
    <w:name w:val="Bullet level 2"/>
    <w:basedOn w:val="ListBullet2"/>
    <w:uiPriority w:val="7"/>
    <w:qFormat/>
    <w:rsid w:val="00C82940"/>
    <w:pPr>
      <w:tabs>
        <w:tab w:val="clear" w:pos="845"/>
        <w:tab w:val="left" w:pos="295"/>
      </w:tabs>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C82940"/>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BE35CB"/>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Paragraph-nonumber">
    <w:name w:val="Paragraph - no number"/>
    <w:basedOn w:val="Numberedparagraphbeforelist"/>
    <w:qFormat/>
    <w:rsid w:val="003B105D"/>
    <w:pPr>
      <w:numPr>
        <w:ilvl w:val="0"/>
        <w:numId w:val="0"/>
      </w:numPr>
      <w:spacing w:after="240"/>
    </w:pPr>
  </w:style>
  <w:style w:type="paragraph" w:customStyle="1" w:styleId="Paragraphbeforelist">
    <w:name w:val="Paragraph before list"/>
    <w:basedOn w:val="Normal"/>
    <w:uiPriority w:val="4"/>
    <w:qFormat/>
    <w:rsid w:val="00A6297F"/>
    <w:pPr>
      <w:spacing w:after="80"/>
    </w:pPr>
    <w:rPr>
      <w:rFonts w:cs="Arial"/>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rsid w:val="00877FE3"/>
    <w:rPr>
      <w:rFonts w:ascii="Arial" w:hAnsi="Arial"/>
      <w:sz w:val="16"/>
      <w:szCs w:val="16"/>
    </w:rPr>
  </w:style>
  <w:style w:type="paragraph" w:customStyle="1" w:styleId="Paragraph">
    <w:name w:val="Paragraph"/>
    <w:basedOn w:val="Normal"/>
    <w:link w:val="ParagraphChar"/>
    <w:qFormat/>
    <w:rsid w:val="00851D51"/>
    <w:rPr>
      <w:rFonts w:cs="Arial"/>
    </w:rPr>
  </w:style>
  <w:style w:type="paragraph" w:styleId="ListParagraph">
    <w:name w:val="List Paragraph"/>
    <w:basedOn w:val="Normal"/>
    <w:uiPriority w:val="34"/>
    <w:qFormat/>
    <w:rsid w:val="00C31779"/>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ListBulletChar">
    <w:name w:val="List Bullet Char"/>
    <w:aliases w:val="List Bullet 1 Char"/>
    <w:basedOn w:val="DefaultParagraphFont"/>
    <w:link w:val="ListBullet"/>
    <w:rsid w:val="00937D36"/>
    <w:rPr>
      <w:rFonts w:ascii="Arial" w:hAnsi="Arial"/>
      <w:sz w:val="20"/>
    </w:rPr>
  </w:style>
  <w:style w:type="paragraph" w:customStyle="1" w:styleId="ACMABodyText">
    <w:name w:val="ACMA Body Text"/>
    <w:link w:val="ACMABodyTextChar"/>
    <w:rsid w:val="005C79F7"/>
    <w:pPr>
      <w:suppressAutoHyphens/>
      <w:spacing w:before="80" w:after="120" w:line="280" w:lineRule="atLeast"/>
    </w:pPr>
    <w:rPr>
      <w:snapToGrid w:val="0"/>
      <w:szCs w:val="20"/>
      <w:lang w:eastAsia="en-US"/>
    </w:rPr>
  </w:style>
  <w:style w:type="character" w:customStyle="1" w:styleId="ACMABodyTextChar">
    <w:name w:val="ACMA Body Text Char"/>
    <w:basedOn w:val="DefaultParagraphFont"/>
    <w:link w:val="ACMABodyText"/>
    <w:rsid w:val="005C79F7"/>
    <w:rPr>
      <w:snapToGrid w:val="0"/>
      <w:szCs w:val="20"/>
      <w:lang w:eastAsia="en-US"/>
    </w:rPr>
  </w:style>
  <w:style w:type="character" w:customStyle="1" w:styleId="ParagraphChar">
    <w:name w:val="Paragraph Char"/>
    <w:basedOn w:val="DefaultParagraphFont"/>
    <w:link w:val="Paragraph"/>
    <w:rsid w:val="00893A0B"/>
    <w:rPr>
      <w:rFonts w:ascii="Arial" w:hAnsi="Arial" w:cs="Arial"/>
      <w:sz w:val="20"/>
    </w:rPr>
  </w:style>
  <w:style w:type="paragraph" w:styleId="EndnoteText">
    <w:name w:val="endnote text"/>
    <w:basedOn w:val="Normal"/>
    <w:link w:val="EndnoteTextChar"/>
    <w:semiHidden/>
    <w:unhideWhenUsed/>
    <w:rsid w:val="00865FBA"/>
    <w:pPr>
      <w:spacing w:after="0" w:line="240" w:lineRule="auto"/>
    </w:pPr>
    <w:rPr>
      <w:szCs w:val="20"/>
    </w:rPr>
  </w:style>
  <w:style w:type="character" w:customStyle="1" w:styleId="EndnoteTextChar">
    <w:name w:val="Endnote Text Char"/>
    <w:basedOn w:val="DefaultParagraphFont"/>
    <w:link w:val="EndnoteText"/>
    <w:semiHidden/>
    <w:rsid w:val="00865FBA"/>
    <w:rPr>
      <w:rFonts w:ascii="Arial" w:hAnsi="Arial"/>
      <w:sz w:val="20"/>
      <w:szCs w:val="20"/>
    </w:rPr>
  </w:style>
  <w:style w:type="character" w:styleId="EndnoteReference">
    <w:name w:val="endnote reference"/>
    <w:basedOn w:val="DefaultParagraphFont"/>
    <w:semiHidden/>
    <w:unhideWhenUsed/>
    <w:rsid w:val="00865F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2902">
      <w:bodyDiv w:val="1"/>
      <w:marLeft w:val="0"/>
      <w:marRight w:val="0"/>
      <w:marTop w:val="0"/>
      <w:marBottom w:val="0"/>
      <w:divBdr>
        <w:top w:val="none" w:sz="0" w:space="0" w:color="auto"/>
        <w:left w:val="none" w:sz="0" w:space="0" w:color="auto"/>
        <w:bottom w:val="none" w:sz="0" w:space="0" w:color="auto"/>
        <w:right w:val="none" w:sz="0" w:space="0" w:color="auto"/>
      </w:divBdr>
    </w:div>
    <w:div w:id="56561493">
      <w:bodyDiv w:val="1"/>
      <w:marLeft w:val="0"/>
      <w:marRight w:val="0"/>
      <w:marTop w:val="0"/>
      <w:marBottom w:val="0"/>
      <w:divBdr>
        <w:top w:val="none" w:sz="0" w:space="0" w:color="auto"/>
        <w:left w:val="none" w:sz="0" w:space="0" w:color="auto"/>
        <w:bottom w:val="none" w:sz="0" w:space="0" w:color="auto"/>
        <w:right w:val="none" w:sz="0" w:space="0" w:color="auto"/>
      </w:divBdr>
    </w:div>
    <w:div w:id="200098651">
      <w:bodyDiv w:val="1"/>
      <w:marLeft w:val="0"/>
      <w:marRight w:val="0"/>
      <w:marTop w:val="0"/>
      <w:marBottom w:val="0"/>
      <w:divBdr>
        <w:top w:val="none" w:sz="0" w:space="0" w:color="auto"/>
        <w:left w:val="none" w:sz="0" w:space="0" w:color="auto"/>
        <w:bottom w:val="none" w:sz="0" w:space="0" w:color="auto"/>
        <w:right w:val="none" w:sz="0" w:space="0" w:color="auto"/>
      </w:divBdr>
    </w:div>
    <w:div w:id="318537223">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2036183">
      <w:bodyDiv w:val="1"/>
      <w:marLeft w:val="0"/>
      <w:marRight w:val="0"/>
      <w:marTop w:val="0"/>
      <w:marBottom w:val="0"/>
      <w:divBdr>
        <w:top w:val="none" w:sz="0" w:space="0" w:color="auto"/>
        <w:left w:val="none" w:sz="0" w:space="0" w:color="auto"/>
        <w:bottom w:val="none" w:sz="0" w:space="0" w:color="auto"/>
        <w:right w:val="none" w:sz="0" w:space="0" w:color="auto"/>
      </w:divBdr>
    </w:div>
    <w:div w:id="639723433">
      <w:bodyDiv w:val="1"/>
      <w:marLeft w:val="0"/>
      <w:marRight w:val="0"/>
      <w:marTop w:val="0"/>
      <w:marBottom w:val="0"/>
      <w:divBdr>
        <w:top w:val="none" w:sz="0" w:space="0" w:color="auto"/>
        <w:left w:val="none" w:sz="0" w:space="0" w:color="auto"/>
        <w:bottom w:val="none" w:sz="0" w:space="0" w:color="auto"/>
        <w:right w:val="none" w:sz="0" w:space="0" w:color="auto"/>
      </w:divBdr>
    </w:div>
    <w:div w:id="641544989">
      <w:bodyDiv w:val="1"/>
      <w:marLeft w:val="0"/>
      <w:marRight w:val="0"/>
      <w:marTop w:val="0"/>
      <w:marBottom w:val="0"/>
      <w:divBdr>
        <w:top w:val="none" w:sz="0" w:space="0" w:color="auto"/>
        <w:left w:val="none" w:sz="0" w:space="0" w:color="auto"/>
        <w:bottom w:val="none" w:sz="0" w:space="0" w:color="auto"/>
        <w:right w:val="none" w:sz="0" w:space="0" w:color="auto"/>
      </w:divBdr>
    </w:div>
    <w:div w:id="683440215">
      <w:bodyDiv w:val="1"/>
      <w:marLeft w:val="0"/>
      <w:marRight w:val="0"/>
      <w:marTop w:val="0"/>
      <w:marBottom w:val="0"/>
      <w:divBdr>
        <w:top w:val="none" w:sz="0" w:space="0" w:color="auto"/>
        <w:left w:val="none" w:sz="0" w:space="0" w:color="auto"/>
        <w:bottom w:val="none" w:sz="0" w:space="0" w:color="auto"/>
        <w:right w:val="none" w:sz="0" w:space="0" w:color="auto"/>
      </w:divBdr>
    </w:div>
    <w:div w:id="762258552">
      <w:bodyDiv w:val="1"/>
      <w:marLeft w:val="0"/>
      <w:marRight w:val="0"/>
      <w:marTop w:val="0"/>
      <w:marBottom w:val="0"/>
      <w:divBdr>
        <w:top w:val="none" w:sz="0" w:space="0" w:color="auto"/>
        <w:left w:val="none" w:sz="0" w:space="0" w:color="auto"/>
        <w:bottom w:val="none" w:sz="0" w:space="0" w:color="auto"/>
        <w:right w:val="none" w:sz="0" w:space="0" w:color="auto"/>
      </w:divBdr>
    </w:div>
    <w:div w:id="785780918">
      <w:bodyDiv w:val="1"/>
      <w:marLeft w:val="0"/>
      <w:marRight w:val="0"/>
      <w:marTop w:val="0"/>
      <w:marBottom w:val="0"/>
      <w:divBdr>
        <w:top w:val="none" w:sz="0" w:space="0" w:color="auto"/>
        <w:left w:val="none" w:sz="0" w:space="0" w:color="auto"/>
        <w:bottom w:val="none" w:sz="0" w:space="0" w:color="auto"/>
        <w:right w:val="none" w:sz="0" w:space="0" w:color="auto"/>
      </w:divBdr>
    </w:div>
    <w:div w:id="870847634">
      <w:bodyDiv w:val="1"/>
      <w:marLeft w:val="0"/>
      <w:marRight w:val="0"/>
      <w:marTop w:val="0"/>
      <w:marBottom w:val="0"/>
      <w:divBdr>
        <w:top w:val="none" w:sz="0" w:space="0" w:color="auto"/>
        <w:left w:val="none" w:sz="0" w:space="0" w:color="auto"/>
        <w:bottom w:val="none" w:sz="0" w:space="0" w:color="auto"/>
        <w:right w:val="none" w:sz="0" w:space="0" w:color="auto"/>
      </w:divBdr>
    </w:div>
    <w:div w:id="971441497">
      <w:bodyDiv w:val="1"/>
      <w:marLeft w:val="0"/>
      <w:marRight w:val="0"/>
      <w:marTop w:val="0"/>
      <w:marBottom w:val="0"/>
      <w:divBdr>
        <w:top w:val="none" w:sz="0" w:space="0" w:color="auto"/>
        <w:left w:val="none" w:sz="0" w:space="0" w:color="auto"/>
        <w:bottom w:val="none" w:sz="0" w:space="0" w:color="auto"/>
        <w:right w:val="none" w:sz="0" w:space="0" w:color="auto"/>
      </w:divBdr>
    </w:div>
    <w:div w:id="1100183738">
      <w:bodyDiv w:val="1"/>
      <w:marLeft w:val="0"/>
      <w:marRight w:val="0"/>
      <w:marTop w:val="0"/>
      <w:marBottom w:val="0"/>
      <w:divBdr>
        <w:top w:val="none" w:sz="0" w:space="0" w:color="auto"/>
        <w:left w:val="none" w:sz="0" w:space="0" w:color="auto"/>
        <w:bottom w:val="none" w:sz="0" w:space="0" w:color="auto"/>
        <w:right w:val="none" w:sz="0" w:space="0" w:color="auto"/>
      </w:divBdr>
    </w:div>
    <w:div w:id="1231429651">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06617129">
      <w:bodyDiv w:val="1"/>
      <w:marLeft w:val="0"/>
      <w:marRight w:val="0"/>
      <w:marTop w:val="0"/>
      <w:marBottom w:val="0"/>
      <w:divBdr>
        <w:top w:val="none" w:sz="0" w:space="0" w:color="auto"/>
        <w:left w:val="none" w:sz="0" w:space="0" w:color="auto"/>
        <w:bottom w:val="none" w:sz="0" w:space="0" w:color="auto"/>
        <w:right w:val="none" w:sz="0" w:space="0" w:color="auto"/>
      </w:divBdr>
    </w:div>
    <w:div w:id="1724669365">
      <w:bodyDiv w:val="1"/>
      <w:marLeft w:val="0"/>
      <w:marRight w:val="0"/>
      <w:marTop w:val="0"/>
      <w:marBottom w:val="0"/>
      <w:divBdr>
        <w:top w:val="none" w:sz="0" w:space="0" w:color="auto"/>
        <w:left w:val="none" w:sz="0" w:space="0" w:color="auto"/>
        <w:bottom w:val="none" w:sz="0" w:space="0" w:color="auto"/>
        <w:right w:val="none" w:sz="0" w:space="0" w:color="auto"/>
      </w:divBdr>
    </w:div>
    <w:div w:id="1821844959">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2014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footer" Target="footer4.xml"/><Relationship Id="rId42" Type="http://schemas.openxmlformats.org/officeDocument/2006/relationships/hyperlink" Target="https://www.fcc.gov/" TargetMode="External"/><Relationship Id="rId63" Type="http://schemas.openxmlformats.org/officeDocument/2006/relationships/oleObject" Target="embeddings/oleObject6.bin"/><Relationship Id="rId84" Type="http://schemas.openxmlformats.org/officeDocument/2006/relationships/hyperlink" Target="https://www.acma.gov.au/frequency-assignment-practices" TargetMode="External"/><Relationship Id="rId138" Type="http://schemas.openxmlformats.org/officeDocument/2006/relationships/oleObject" Target="embeddings/oleObject59.bin"/><Relationship Id="rId107" Type="http://schemas.openxmlformats.org/officeDocument/2006/relationships/oleObject" Target="embeddings/oleObject39.bin"/><Relationship Id="rId11" Type="http://schemas.openxmlformats.org/officeDocument/2006/relationships/hyperlink" Target="http://i.creativecommons.org/l/by/3.0/88x31.png" TargetMode="External"/><Relationship Id="rId32" Type="http://schemas.openxmlformats.org/officeDocument/2006/relationships/image" Target="media/image4.png"/><Relationship Id="rId53" Type="http://schemas.openxmlformats.org/officeDocument/2006/relationships/oleObject" Target="embeddings/oleObject1.bin"/><Relationship Id="rId74" Type="http://schemas.openxmlformats.org/officeDocument/2006/relationships/hyperlink" Target="https://www.acma.gov.au/publications/2019-10/rules/rali-ms03" TargetMode="External"/><Relationship Id="rId128"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30.bin"/><Relationship Id="rId22" Type="http://schemas.openxmlformats.org/officeDocument/2006/relationships/footer" Target="footer5.xml"/><Relationship Id="rId27" Type="http://schemas.openxmlformats.org/officeDocument/2006/relationships/hyperlink" Target="https://www.acma.gov.au/publications/2021-03/rules/our-approach-radcomms-licensing-and-allocation" TargetMode="External"/><Relationship Id="rId43" Type="http://schemas.openxmlformats.org/officeDocument/2006/relationships/hyperlink" Target="https://www.cept.org/cept/" TargetMode="External"/><Relationship Id="rId48" Type="http://schemas.openxmlformats.org/officeDocument/2006/relationships/hyperlink" Target="https://oia.pmc.gov.au/" TargetMode="External"/><Relationship Id="rId64" Type="http://schemas.openxmlformats.org/officeDocument/2006/relationships/oleObject" Target="embeddings/oleObject7.bin"/><Relationship Id="rId69" Type="http://schemas.openxmlformats.org/officeDocument/2006/relationships/oleObject" Target="embeddings/oleObject11.bin"/><Relationship Id="rId113" Type="http://schemas.openxmlformats.org/officeDocument/2006/relationships/oleObject" Target="embeddings/oleObject44.bin"/><Relationship Id="rId118" Type="http://schemas.openxmlformats.org/officeDocument/2006/relationships/hyperlink" Target="https://www.legislation.gov.au/Series/F2017L01290" TargetMode="External"/><Relationship Id="rId134" Type="http://schemas.openxmlformats.org/officeDocument/2006/relationships/oleObject" Target="embeddings/oleObject57.bin"/><Relationship Id="rId139" Type="http://schemas.openxmlformats.org/officeDocument/2006/relationships/hyperlink" Target="https://www.acma.gov.au/business-operating-procedures-spectrum" TargetMode="External"/><Relationship Id="rId80" Type="http://schemas.openxmlformats.org/officeDocument/2006/relationships/oleObject" Target="embeddings/oleObject20.bin"/><Relationship Id="rId85" Type="http://schemas.openxmlformats.org/officeDocument/2006/relationships/oleObject" Target="embeddings/oleObject22.bin"/><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yperlink" Target="https://www.acma.gov.au/five-year-spectrum-outlook" TargetMode="External"/><Relationship Id="rId38" Type="http://schemas.openxmlformats.org/officeDocument/2006/relationships/hyperlink" Target="https://www.itu.int/en/publications/ITU-R/Pages/default.aspx" TargetMode="External"/><Relationship Id="rId59" Type="http://schemas.openxmlformats.org/officeDocument/2006/relationships/oleObject" Target="embeddings/oleObject4.bin"/><Relationship Id="rId103" Type="http://schemas.openxmlformats.org/officeDocument/2006/relationships/hyperlink" Target="https://www.acma.gov.au/publications/2021-05/instruction/rali-sm26-restrictions-apparatus-licensing-spectrum-licensed-spaces" TargetMode="External"/><Relationship Id="rId108" Type="http://schemas.openxmlformats.org/officeDocument/2006/relationships/oleObject" Target="embeddings/oleObject40.bin"/><Relationship Id="rId124" Type="http://schemas.openxmlformats.org/officeDocument/2006/relationships/hyperlink" Target="https://www.legislation.gov.au/Series/F2023L00286" TargetMode="External"/><Relationship Id="rId129" Type="http://schemas.openxmlformats.org/officeDocument/2006/relationships/hyperlink" Target="https://www.acma.gov.au/publications/2019-10/rules/embargo-49" TargetMode="External"/><Relationship Id="rId54" Type="http://schemas.openxmlformats.org/officeDocument/2006/relationships/image" Target="media/image9.png"/><Relationship Id="rId70" Type="http://schemas.openxmlformats.org/officeDocument/2006/relationships/oleObject" Target="embeddings/oleObject12.bin"/><Relationship Id="rId75" Type="http://schemas.openxmlformats.org/officeDocument/2006/relationships/oleObject" Target="embeddings/oleObject15.bin"/><Relationship Id="rId91" Type="http://schemas.openxmlformats.org/officeDocument/2006/relationships/oleObject" Target="embeddings/oleObject27.bin"/><Relationship Id="rId96" Type="http://schemas.openxmlformats.org/officeDocument/2006/relationships/oleObject" Target="embeddings/oleObject31.bin"/><Relationship Id="rId140" Type="http://schemas.openxmlformats.org/officeDocument/2006/relationships/header" Target="header7.xml"/><Relationship Id="rId145"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www.acma.gov.au/fees-apparatus-licences" TargetMode="External"/><Relationship Id="rId49" Type="http://schemas.openxmlformats.org/officeDocument/2006/relationships/image" Target="media/image6.png"/><Relationship Id="rId114" Type="http://schemas.openxmlformats.org/officeDocument/2006/relationships/hyperlink" Target="https://www.acma.gov.au/broadcast-planning-resources" TargetMode="External"/><Relationship Id="rId119" Type="http://schemas.openxmlformats.org/officeDocument/2006/relationships/oleObject" Target="embeddings/oleObject47.bin"/><Relationship Id="rId44" Type="http://schemas.openxmlformats.org/officeDocument/2006/relationships/hyperlink" Target="https://www.3gpp.org/" TargetMode="External"/><Relationship Id="rId60" Type="http://schemas.openxmlformats.org/officeDocument/2006/relationships/image" Target="media/image12.png"/><Relationship Id="rId65" Type="http://schemas.openxmlformats.org/officeDocument/2006/relationships/image" Target="media/image14.png"/><Relationship Id="rId81" Type="http://schemas.openxmlformats.org/officeDocument/2006/relationships/hyperlink" Target="https://www.acma.gov.au/business-operating-procedures-spectrum" TargetMode="External"/><Relationship Id="rId86" Type="http://schemas.openxmlformats.org/officeDocument/2006/relationships/image" Target="media/image15.png"/><Relationship Id="rId130" Type="http://schemas.openxmlformats.org/officeDocument/2006/relationships/oleObject" Target="embeddings/oleObject54.bin"/><Relationship Id="rId135" Type="http://schemas.openxmlformats.org/officeDocument/2006/relationships/oleObject" Target="embeddings/oleObject58.bin"/><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yperlink" Target="https://www.icao.int/" TargetMode="External"/><Relationship Id="rId109" Type="http://schemas.openxmlformats.org/officeDocument/2006/relationships/oleObject" Target="embeddings/oleObject41.bin"/><Relationship Id="rId34" Type="http://schemas.openxmlformats.org/officeDocument/2006/relationships/hyperlink" Target="https://www.itu.int/en/Pages/default.aspx" TargetMode="External"/><Relationship Id="rId50" Type="http://schemas.openxmlformats.org/officeDocument/2006/relationships/image" Target="media/image7.svg"/><Relationship Id="rId55" Type="http://schemas.openxmlformats.org/officeDocument/2006/relationships/oleObject" Target="embeddings/oleObject2.bin"/><Relationship Id="rId76" Type="http://schemas.openxmlformats.org/officeDocument/2006/relationships/oleObject" Target="embeddings/oleObject16.bin"/><Relationship Id="rId97" Type="http://schemas.openxmlformats.org/officeDocument/2006/relationships/oleObject" Target="embeddings/oleObject32.bin"/><Relationship Id="rId104" Type="http://schemas.openxmlformats.org/officeDocument/2006/relationships/oleObject" Target="embeddings/oleObject37.bin"/><Relationship Id="rId120" Type="http://schemas.openxmlformats.org/officeDocument/2006/relationships/image" Target="media/image17.jpeg"/><Relationship Id="rId125" Type="http://schemas.openxmlformats.org/officeDocument/2006/relationships/oleObject" Target="embeddings/oleObject51.bin"/><Relationship Id="rId141" Type="http://schemas.openxmlformats.org/officeDocument/2006/relationships/header" Target="header8.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hyperlink" Target="https://www.acma.gov.au/publications/2019-11/rules/rali-ms-40-800-mhz-band-plan" TargetMode="External"/><Relationship Id="rId2" Type="http://schemas.openxmlformats.org/officeDocument/2006/relationships/numbering" Target="numbering.xml"/><Relationship Id="rId29" Type="http://schemas.openxmlformats.org/officeDocument/2006/relationships/hyperlink" Target="https://www.acma.gov.au/technical-standards" TargetMode="External"/><Relationship Id="rId24" Type="http://schemas.openxmlformats.org/officeDocument/2006/relationships/hyperlink" Target="https://www.legislation.gov.au/Series/C2004A04465" TargetMode="External"/><Relationship Id="rId40" Type="http://schemas.openxmlformats.org/officeDocument/2006/relationships/hyperlink" Target="https://www.imo.org/" TargetMode="External"/><Relationship Id="rId45" Type="http://schemas.openxmlformats.org/officeDocument/2006/relationships/hyperlink" Target="https://standards.ieee.org/" TargetMode="External"/><Relationship Id="rId66" Type="http://schemas.openxmlformats.org/officeDocument/2006/relationships/oleObject" Target="embeddings/oleObject8.bin"/><Relationship Id="rId87" Type="http://schemas.openxmlformats.org/officeDocument/2006/relationships/oleObject" Target="embeddings/oleObject23.bin"/><Relationship Id="rId110" Type="http://schemas.openxmlformats.org/officeDocument/2006/relationships/oleObject" Target="embeddings/oleObject42.bin"/><Relationship Id="rId115" Type="http://schemas.openxmlformats.org/officeDocument/2006/relationships/hyperlink" Target="https://web.acma.gov.au/rrl/" TargetMode="External"/><Relationship Id="rId131" Type="http://schemas.openxmlformats.org/officeDocument/2006/relationships/oleObject" Target="embeddings/oleObject55.bin"/><Relationship Id="rId136" Type="http://schemas.openxmlformats.org/officeDocument/2006/relationships/hyperlink" Target="https://www.acma.gov.au/publications/2019-08/instruction/frequency-coordination-requirements-between-microwave-fixed-point-point-links-and-fss-earth-stations" TargetMode="External"/><Relationship Id="rId61" Type="http://schemas.openxmlformats.org/officeDocument/2006/relationships/oleObject" Target="embeddings/oleObject5.bin"/><Relationship Id="rId82" Type="http://schemas.openxmlformats.org/officeDocument/2006/relationships/hyperlink" Target="https://web.acma.gov.au/rrl/" TargetMode="External"/><Relationship Id="rId19" Type="http://schemas.openxmlformats.org/officeDocument/2006/relationships/header" Target="header5.xml"/><Relationship Id="rId14" Type="http://schemas.openxmlformats.org/officeDocument/2006/relationships/hyperlink" Target="mailto:info@acma.gov.au" TargetMode="External"/><Relationship Id="rId30" Type="http://schemas.openxmlformats.org/officeDocument/2006/relationships/hyperlink" Target="https://www.acma.gov.au/compliance-and-enforcement-policy" TargetMode="External"/><Relationship Id="rId35" Type="http://schemas.openxmlformats.org/officeDocument/2006/relationships/hyperlink" Target="https://www.apt.int/" TargetMode="External"/><Relationship Id="rId56" Type="http://schemas.openxmlformats.org/officeDocument/2006/relationships/image" Target="media/image10.png"/><Relationship Id="rId77" Type="http://schemas.openxmlformats.org/officeDocument/2006/relationships/oleObject" Target="embeddings/oleObject17.bin"/><Relationship Id="rId100" Type="http://schemas.openxmlformats.org/officeDocument/2006/relationships/oleObject" Target="embeddings/oleObject34.bin"/><Relationship Id="rId105" Type="http://schemas.openxmlformats.org/officeDocument/2006/relationships/oleObject" Target="embeddings/oleObject38.bin"/><Relationship Id="rId126" Type="http://schemas.openxmlformats.org/officeDocument/2006/relationships/hyperlink" Target="https://www.legislation.gov.au/Series/F2015L01486" TargetMode="External"/><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legislation.gov.au/Details/F2021L00617" TargetMode="External"/><Relationship Id="rId72" Type="http://schemas.openxmlformats.org/officeDocument/2006/relationships/oleObject" Target="embeddings/oleObject14.bin"/><Relationship Id="rId93" Type="http://schemas.openxmlformats.org/officeDocument/2006/relationships/oleObject" Target="embeddings/oleObject28.bin"/><Relationship Id="rId98" Type="http://schemas.openxmlformats.org/officeDocument/2006/relationships/oleObject" Target="embeddings/oleObject33.bin"/><Relationship Id="rId121" Type="http://schemas.openxmlformats.org/officeDocument/2006/relationships/oleObject" Target="embeddings/oleObject48.bin"/><Relationship Id="rId142" Type="http://schemas.openxmlformats.org/officeDocument/2006/relationships/footer" Target="footer7.xml"/><Relationship Id="rId3" Type="http://schemas.openxmlformats.org/officeDocument/2006/relationships/styles" Target="styles.xml"/><Relationship Id="rId25" Type="http://schemas.openxmlformats.org/officeDocument/2006/relationships/hyperlink" Target="https://www.legislation.gov.au/Series/C2004A04401" TargetMode="External"/><Relationship Id="rId46" Type="http://schemas.openxmlformats.org/officeDocument/2006/relationships/image" Target="media/image5.png"/><Relationship Id="rId67" Type="http://schemas.openxmlformats.org/officeDocument/2006/relationships/oleObject" Target="embeddings/oleObject9.bin"/><Relationship Id="rId116" Type="http://schemas.openxmlformats.org/officeDocument/2006/relationships/oleObject" Target="embeddings/oleObject45.bin"/><Relationship Id="rId137" Type="http://schemas.openxmlformats.org/officeDocument/2006/relationships/hyperlink" Target="https://www.acma.gov.au/publications/2019-09/instruction/rali-ms43-new-norcia-earth-station-and-other-services" TargetMode="External"/><Relationship Id="rId20" Type="http://schemas.openxmlformats.org/officeDocument/2006/relationships/header" Target="header6.xml"/><Relationship Id="rId41" Type="http://schemas.openxmlformats.org/officeDocument/2006/relationships/hyperlink" Target="https://www.ofcom.org.uk/" TargetMode="External"/><Relationship Id="rId62" Type="http://schemas.openxmlformats.org/officeDocument/2006/relationships/image" Target="media/image13.png"/><Relationship Id="rId83" Type="http://schemas.openxmlformats.org/officeDocument/2006/relationships/oleObject" Target="embeddings/oleObject21.bin"/><Relationship Id="rId88" Type="http://schemas.openxmlformats.org/officeDocument/2006/relationships/oleObject" Target="embeddings/oleObject24.bin"/><Relationship Id="rId111" Type="http://schemas.openxmlformats.org/officeDocument/2006/relationships/hyperlink" Target="https://www.acma.gov.au/publications/2004-04/guide/technical-planning-parameters-and-methods-terrestrial-broadcasting-tpps" TargetMode="External"/><Relationship Id="rId132" Type="http://schemas.openxmlformats.org/officeDocument/2006/relationships/hyperlink" Target="https://www.acma.gov.au/publications/2012-01/guide/australian-procedures-coordination-notification-satellite-systems" TargetMode="External"/><Relationship Id="rId15" Type="http://schemas.openxmlformats.org/officeDocument/2006/relationships/header" Target="header3.xml"/><Relationship Id="rId36" Type="http://schemas.openxmlformats.org/officeDocument/2006/relationships/hyperlink" Target="https://www.itu.int/pub/R-REG-RR" TargetMode="External"/><Relationship Id="rId57" Type="http://schemas.openxmlformats.org/officeDocument/2006/relationships/oleObject" Target="embeddings/oleObject3.bin"/><Relationship Id="rId106" Type="http://schemas.openxmlformats.org/officeDocument/2006/relationships/image" Target="media/image16.png"/><Relationship Id="rId127" Type="http://schemas.openxmlformats.org/officeDocument/2006/relationships/oleObject" Target="embeddings/oleObject52.bin"/><Relationship Id="rId10" Type="http://schemas.openxmlformats.org/officeDocument/2006/relationships/header" Target="header2.xml"/><Relationship Id="rId31" Type="http://schemas.openxmlformats.org/officeDocument/2006/relationships/hyperlink" Target="https://www.infrastructure.gov.au/media-technology-communications/spectrum" TargetMode="External"/><Relationship Id="rId52" Type="http://schemas.openxmlformats.org/officeDocument/2006/relationships/image" Target="media/image8.png"/><Relationship Id="rId73" Type="http://schemas.openxmlformats.org/officeDocument/2006/relationships/hyperlink" Target="https://www.acma.gov.au/spectrum-embargoes" TargetMode="External"/><Relationship Id="rId78" Type="http://schemas.openxmlformats.org/officeDocument/2006/relationships/oleObject" Target="embeddings/oleObject18.bin"/><Relationship Id="rId94" Type="http://schemas.openxmlformats.org/officeDocument/2006/relationships/oleObject" Target="embeddings/oleObject29.bin"/><Relationship Id="rId99" Type="http://schemas.openxmlformats.org/officeDocument/2006/relationships/hyperlink" Target="https://web.acma.gov.au/rrl/" TargetMode="External"/><Relationship Id="rId101" Type="http://schemas.openxmlformats.org/officeDocument/2006/relationships/oleObject" Target="embeddings/oleObject35.bin"/><Relationship Id="rId122" Type="http://schemas.openxmlformats.org/officeDocument/2006/relationships/oleObject" Target="embeddings/oleObject49.bin"/><Relationship Id="rId14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finance.gov.au/government/managing-commonwealth-resources/regulator-performance-rmg-128" TargetMode="External"/><Relationship Id="rId47" Type="http://schemas.openxmlformats.org/officeDocument/2006/relationships/hyperlink" Target="https://www.acma.gov.au/ask-us-review-our-decision-licence" TargetMode="External"/><Relationship Id="rId68" Type="http://schemas.openxmlformats.org/officeDocument/2006/relationships/oleObject" Target="embeddings/oleObject10.bin"/><Relationship Id="rId89" Type="http://schemas.openxmlformats.org/officeDocument/2006/relationships/oleObject" Target="embeddings/oleObject25.bin"/><Relationship Id="rId112" Type="http://schemas.openxmlformats.org/officeDocument/2006/relationships/oleObject" Target="embeddings/oleObject43.bin"/><Relationship Id="rId133" Type="http://schemas.openxmlformats.org/officeDocument/2006/relationships/oleObject" Target="embeddings/oleObject56.bin"/><Relationship Id="rId16" Type="http://schemas.openxmlformats.org/officeDocument/2006/relationships/header" Target="header4.xml"/><Relationship Id="rId37" Type="http://schemas.openxmlformats.org/officeDocument/2006/relationships/hyperlink" Target="https://www.itu.int/en/ITU-R/Pages/default.aspx" TargetMode="External"/><Relationship Id="rId58" Type="http://schemas.openxmlformats.org/officeDocument/2006/relationships/image" Target="media/image11.png"/><Relationship Id="rId79" Type="http://schemas.openxmlformats.org/officeDocument/2006/relationships/oleObject" Target="embeddings/oleObject19.bin"/><Relationship Id="rId102" Type="http://schemas.openxmlformats.org/officeDocument/2006/relationships/oleObject" Target="embeddings/oleObject36.bin"/><Relationship Id="rId123" Type="http://schemas.openxmlformats.org/officeDocument/2006/relationships/oleObject" Target="embeddings/oleObject50.bin"/><Relationship Id="rId144"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F2021C00361" TargetMode="External"/><Relationship Id="rId3" Type="http://schemas.openxmlformats.org/officeDocument/2006/relationships/hyperlink" Target="https://www.itu.int/pub/R-REG-RR" TargetMode="External"/><Relationship Id="rId7" Type="http://schemas.openxmlformats.org/officeDocument/2006/relationships/hyperlink" Target="https://www.legislation.gov.au/Details/F2021C00655" TargetMode="External"/><Relationship Id="rId2" Type="http://schemas.openxmlformats.org/officeDocument/2006/relationships/hyperlink" Target="https://www.legislation.gov.au/Details/F2022N00015" TargetMode="External"/><Relationship Id="rId1" Type="http://schemas.openxmlformats.org/officeDocument/2006/relationships/hyperlink" Target="https://www.legislation.gov.au/Series/C2005A00044" TargetMode="External"/><Relationship Id="rId6" Type="http://schemas.openxmlformats.org/officeDocument/2006/relationships/hyperlink" Target="https://www.acma.gov.au/publications/2012-01/guide/satellite-coordination-and-notification-regulatory-environment" TargetMode="External"/><Relationship Id="rId5" Type="http://schemas.openxmlformats.org/officeDocument/2006/relationships/hyperlink" Target="https://www.acma.gov.au/australian-radiofrequency-spectrum-plan" TargetMode="External"/><Relationship Id="rId4" Type="http://schemas.openxmlformats.org/officeDocument/2006/relationships/hyperlink" Target="https://www.legislation.gov.au/Details/F2020C00140" TargetMode="External"/><Relationship Id="rId9" Type="http://schemas.openxmlformats.org/officeDocument/2006/relationships/hyperlink" Target="https://www.legislation.gov.au/Series/F2014L015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B39F6-E4AA-486D-9449-2A542EF84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11428</Words>
  <Characters>65140</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Introduction</vt:lpstr>
      <vt:lpstr>    Purpose</vt:lpstr>
      <vt:lpstr>    Scope</vt:lpstr>
      <vt:lpstr>    Structure</vt:lpstr>
      <vt:lpstr>Spectrum planning overview</vt:lpstr>
      <vt:lpstr>    Spectrum planning </vt:lpstr>
      <vt:lpstr>    Environmental context</vt:lpstr>
      <vt:lpstr>        Domestic law and policy</vt:lpstr>
      <vt:lpstr>        Industry and international </vt:lpstr>
      <vt:lpstr>Spectrum planning framework</vt:lpstr>
      <vt:lpstr>    Introduction</vt:lpstr>
      <vt:lpstr>        Administrative policy documents versus legislative instruments</vt:lpstr>
      <vt:lpstr>        Out-of-policy considerations </vt:lpstr>
      <vt:lpstr>    Framework overview</vt:lpstr>
      <vt:lpstr>        Band planning </vt:lpstr>
      <vt:lpstr>        Frequency assignment </vt:lpstr>
      <vt:lpstr>        Licence conditions</vt:lpstr>
      <vt:lpstr>    Framework elements</vt:lpstr>
      <vt:lpstr>Case studies</vt:lpstr>
      <vt:lpstr>    Spectrum licensing</vt:lpstr>
      <vt:lpstr>    Broadcasting services</vt:lpstr>
      <vt:lpstr>    Space-based communications systems</vt:lpstr>
      <vt:lpstr>Appendix A: Spectrum planning framework</vt:lpstr>
      <vt:lpstr>Appendix B: Framework elements</vt:lpstr>
    </vt:vector>
  </TitlesOfParts>
  <Manager/>
  <Company/>
  <LinksUpToDate>false</LinksUpToDate>
  <CharactersWithSpaces>76416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2023-10-12T23:20:00Z</dcterms:created>
  <dcterms:modified xsi:type="dcterms:W3CDTF">2023-10-12T23:21:00Z</dcterms:modified>
  <cp:category/>
</cp:coreProperties>
</file>