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1702" w14:textId="4674E9C6" w:rsidR="00F06E14" w:rsidRPr="00E162C4" w:rsidRDefault="0039300D" w:rsidP="00A51D1A">
      <w:pPr>
        <w:pStyle w:val="Reporttitle"/>
      </w:pPr>
      <w:bookmarkStart w:id="0" w:name="_Hlk132194029"/>
      <w:r>
        <w:t xml:space="preserve">Proposed updates to RALIs LM08, </w:t>
      </w:r>
      <w:r w:rsidR="0018382B">
        <w:br/>
      </w:r>
      <w:r>
        <w:t>FX16 and FX22</w:t>
      </w:r>
    </w:p>
    <w:bookmarkEnd w:id="0"/>
    <w:p w14:paraId="76837D37" w14:textId="454CC184" w:rsidR="00F06E14" w:rsidRPr="00E162C4" w:rsidRDefault="00770B3F" w:rsidP="00F06E14">
      <w:pPr>
        <w:pStyle w:val="Reportsubtitle"/>
      </w:pPr>
      <w:r w:rsidRPr="00E162C4">
        <w:t xml:space="preserve">Consultation </w:t>
      </w:r>
      <w:r w:rsidR="0039300D">
        <w:t>paper</w:t>
      </w:r>
    </w:p>
    <w:p w14:paraId="2D67B0DA" w14:textId="1FBE4CCF" w:rsidR="00C97736" w:rsidRPr="00E162C4" w:rsidRDefault="00F40574"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October </w:t>
      </w:r>
      <w:r w:rsidR="00BD4421" w:rsidRPr="00E162C4">
        <w:t>20</w:t>
      </w:r>
      <w:r w:rsidR="008E0428" w:rsidRPr="00E162C4">
        <w:t>2</w:t>
      </w:r>
      <w:r w:rsidR="008500E5">
        <w:t>3</w:t>
      </w:r>
    </w:p>
    <w:p w14:paraId="7DF8570F" w14:textId="77777777" w:rsidR="0005011A" w:rsidRPr="00E162C4" w:rsidRDefault="0005011A" w:rsidP="00FC07B9">
      <w:pPr>
        <w:pStyle w:val="ACMACorporateAddressHeader"/>
      </w:pPr>
      <w:r w:rsidRPr="00E162C4">
        <w:lastRenderedPageBreak/>
        <w:t>Canberra</w:t>
      </w:r>
    </w:p>
    <w:p w14:paraId="3B30DFAC"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5D01A1D3" w14:textId="77777777" w:rsidR="0005011A" w:rsidRPr="00E162C4" w:rsidRDefault="0005011A" w:rsidP="00FC07B9">
      <w:pPr>
        <w:pStyle w:val="ACMACorporateAddresses"/>
      </w:pPr>
      <w:r w:rsidRPr="00E162C4">
        <w:t>PO Box 78</w:t>
      </w:r>
      <w:r w:rsidRPr="00E162C4">
        <w:br/>
        <w:t>Belconnen ACT 2616</w:t>
      </w:r>
    </w:p>
    <w:p w14:paraId="22A9FB6A"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6E1ECA3A" w14:textId="77777777" w:rsidR="0005011A" w:rsidRPr="00E162C4" w:rsidRDefault="0005011A" w:rsidP="00FC07B9">
      <w:pPr>
        <w:pStyle w:val="ACMACorporateAddressHeader"/>
      </w:pPr>
      <w:r w:rsidRPr="00E162C4">
        <w:t>Melbourne</w:t>
      </w:r>
    </w:p>
    <w:p w14:paraId="2E41002B"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0EB03715"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193DE2B8"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762F6842" w14:textId="77777777" w:rsidR="0005011A" w:rsidRPr="00E162C4" w:rsidRDefault="0005011A" w:rsidP="00FC07B9">
      <w:pPr>
        <w:pStyle w:val="ACMACorporateAddressHeader"/>
      </w:pPr>
      <w:r w:rsidRPr="00E162C4">
        <w:t>Sydney</w:t>
      </w:r>
    </w:p>
    <w:p w14:paraId="13BFADC1"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B798FAB"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418962B2"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4E9C1CC2" w14:textId="77777777" w:rsidR="00140318" w:rsidRPr="00E162C4" w:rsidRDefault="00140318" w:rsidP="00FC07B9">
      <w:pPr>
        <w:pStyle w:val="ACMACopyrightHeader"/>
      </w:pPr>
      <w:r w:rsidRPr="00E162C4">
        <w:t>Copyright notice</w:t>
      </w:r>
    </w:p>
    <w:p w14:paraId="56080D00" w14:textId="77777777" w:rsidR="00140318" w:rsidRPr="00E162C4" w:rsidRDefault="00623FF9" w:rsidP="00623FF9">
      <w:pPr>
        <w:pStyle w:val="ACMACClogo"/>
      </w:pPr>
      <w:r w:rsidRPr="00E162C4">
        <w:rPr>
          <w:noProof/>
        </w:rPr>
        <w:drawing>
          <wp:inline distT="0" distB="0" distL="0" distR="0" wp14:anchorId="54BA5091" wp14:editId="0AB1B381">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DE7A0A1" w14:textId="77777777" w:rsidR="00AA2DE5" w:rsidRPr="00E162C4" w:rsidRDefault="00D91BDD" w:rsidP="00AA2DE5">
      <w:pPr>
        <w:pStyle w:val="ACMACorporateAddresses"/>
        <w:rPr>
          <w:rStyle w:val="Hyperlink"/>
        </w:rPr>
      </w:pPr>
      <w:hyperlink r:id="rId13" w:history="1">
        <w:r w:rsidR="00AA2DE5" w:rsidRPr="00E162C4">
          <w:rPr>
            <w:rStyle w:val="Hyperlink"/>
          </w:rPr>
          <w:t>https://creativecommons.org/licenses/by/4.0/</w:t>
        </w:r>
      </w:hyperlink>
    </w:p>
    <w:p w14:paraId="0A09FBFC"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3C14AE91"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0079B71D" w14:textId="77777777" w:rsidR="00AA2DE5" w:rsidRPr="00E162C4" w:rsidRDefault="00AA2DE5" w:rsidP="00AA2DE5">
      <w:pPr>
        <w:pStyle w:val="ACMACorporateAddresses"/>
      </w:pPr>
      <w:r w:rsidRPr="00E162C4">
        <w:t>All other rights are reserved.</w:t>
      </w:r>
    </w:p>
    <w:p w14:paraId="58727D1F"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B36E0D6" w14:textId="77777777" w:rsidR="00AA2DE5" w:rsidRPr="00E162C4" w:rsidRDefault="00AA2DE5" w:rsidP="00AA2DE5">
      <w:pPr>
        <w:pStyle w:val="ACMACorporateAddresses"/>
      </w:pPr>
      <w:r w:rsidRPr="00E162C4">
        <w:t>Written enquiries may be sent to:</w:t>
      </w:r>
    </w:p>
    <w:p w14:paraId="435C3720"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43BBA81B" w14:textId="77777777" w:rsidR="00D16FE3" w:rsidRPr="00E162C4" w:rsidRDefault="00D16FE3" w:rsidP="00D16FE3">
      <w:pPr>
        <w:pStyle w:val="ACMACorporateAddresses"/>
        <w:rPr>
          <w:rStyle w:val="Hyperlink"/>
        </w:rPr>
      </w:pPr>
    </w:p>
    <w:p w14:paraId="112CF9B7"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10D0429" w14:textId="156FDC76" w:rsidR="00BA53C8"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8015257" w:history="1">
        <w:r w:rsidR="00BA53C8" w:rsidRPr="00F52EA5">
          <w:rPr>
            <w:rStyle w:val="Hyperlink"/>
          </w:rPr>
          <w:t>Issue/s for comment</w:t>
        </w:r>
        <w:r w:rsidR="00BA53C8">
          <w:rPr>
            <w:webHidden/>
          </w:rPr>
          <w:tab/>
        </w:r>
        <w:r w:rsidR="00BA53C8">
          <w:rPr>
            <w:webHidden/>
          </w:rPr>
          <w:fldChar w:fldCharType="begin"/>
        </w:r>
        <w:r w:rsidR="00BA53C8">
          <w:rPr>
            <w:webHidden/>
          </w:rPr>
          <w:instrText xml:space="preserve"> PAGEREF _Toc148015257 \h </w:instrText>
        </w:r>
        <w:r w:rsidR="00BA53C8">
          <w:rPr>
            <w:webHidden/>
          </w:rPr>
        </w:r>
        <w:r w:rsidR="00BA53C8">
          <w:rPr>
            <w:webHidden/>
          </w:rPr>
          <w:fldChar w:fldCharType="separate"/>
        </w:r>
        <w:r w:rsidR="00BA53C8">
          <w:rPr>
            <w:webHidden/>
          </w:rPr>
          <w:t>1</w:t>
        </w:r>
        <w:r w:rsidR="00BA53C8">
          <w:rPr>
            <w:webHidden/>
          </w:rPr>
          <w:fldChar w:fldCharType="end"/>
        </w:r>
      </w:hyperlink>
    </w:p>
    <w:p w14:paraId="1B657F8D" w14:textId="461522CF" w:rsidR="00BA53C8" w:rsidRDefault="00D91BDD">
      <w:pPr>
        <w:pStyle w:val="TOC1"/>
        <w:rPr>
          <w:rFonts w:asciiTheme="minorHAnsi" w:eastAsiaTheme="minorEastAsia" w:hAnsiTheme="minorHAnsi" w:cstheme="minorBidi"/>
          <w:b w:val="0"/>
          <w:spacing w:val="0"/>
          <w:sz w:val="22"/>
          <w:szCs w:val="22"/>
        </w:rPr>
      </w:pPr>
      <w:hyperlink w:anchor="_Toc148015258" w:history="1">
        <w:r w:rsidR="00BA53C8" w:rsidRPr="00F52EA5">
          <w:rPr>
            <w:rStyle w:val="Hyperlink"/>
          </w:rPr>
          <w:t>Introduction</w:t>
        </w:r>
        <w:r w:rsidR="00BA53C8">
          <w:rPr>
            <w:webHidden/>
          </w:rPr>
          <w:tab/>
        </w:r>
        <w:r w:rsidR="00BA53C8">
          <w:rPr>
            <w:webHidden/>
          </w:rPr>
          <w:fldChar w:fldCharType="begin"/>
        </w:r>
        <w:r w:rsidR="00BA53C8">
          <w:rPr>
            <w:webHidden/>
          </w:rPr>
          <w:instrText xml:space="preserve"> PAGEREF _Toc148015258 \h </w:instrText>
        </w:r>
        <w:r w:rsidR="00BA53C8">
          <w:rPr>
            <w:webHidden/>
          </w:rPr>
        </w:r>
        <w:r w:rsidR="00BA53C8">
          <w:rPr>
            <w:webHidden/>
          </w:rPr>
          <w:fldChar w:fldCharType="separate"/>
        </w:r>
        <w:r w:rsidR="00BA53C8">
          <w:rPr>
            <w:webHidden/>
          </w:rPr>
          <w:t>2</w:t>
        </w:r>
        <w:r w:rsidR="00BA53C8">
          <w:rPr>
            <w:webHidden/>
          </w:rPr>
          <w:fldChar w:fldCharType="end"/>
        </w:r>
      </w:hyperlink>
    </w:p>
    <w:p w14:paraId="1FDAF202" w14:textId="47B29855" w:rsidR="00BA53C8" w:rsidRDefault="00D91BDD">
      <w:pPr>
        <w:pStyle w:val="TOC1"/>
        <w:rPr>
          <w:rFonts w:asciiTheme="minorHAnsi" w:eastAsiaTheme="minorEastAsia" w:hAnsiTheme="minorHAnsi" w:cstheme="minorBidi"/>
          <w:b w:val="0"/>
          <w:spacing w:val="0"/>
          <w:sz w:val="22"/>
          <w:szCs w:val="22"/>
        </w:rPr>
      </w:pPr>
      <w:hyperlink w:anchor="_Toc148015259" w:history="1">
        <w:r w:rsidR="00BA53C8" w:rsidRPr="00F52EA5">
          <w:rPr>
            <w:rStyle w:val="Hyperlink"/>
          </w:rPr>
          <w:t>Proposed updates to RALIs</w:t>
        </w:r>
        <w:r w:rsidR="00BA53C8">
          <w:rPr>
            <w:webHidden/>
          </w:rPr>
          <w:tab/>
        </w:r>
        <w:r w:rsidR="00BA53C8">
          <w:rPr>
            <w:webHidden/>
          </w:rPr>
          <w:fldChar w:fldCharType="begin"/>
        </w:r>
        <w:r w:rsidR="00BA53C8">
          <w:rPr>
            <w:webHidden/>
          </w:rPr>
          <w:instrText xml:space="preserve"> PAGEREF _Toc148015259 \h </w:instrText>
        </w:r>
        <w:r w:rsidR="00BA53C8">
          <w:rPr>
            <w:webHidden/>
          </w:rPr>
        </w:r>
        <w:r w:rsidR="00BA53C8">
          <w:rPr>
            <w:webHidden/>
          </w:rPr>
          <w:fldChar w:fldCharType="separate"/>
        </w:r>
        <w:r w:rsidR="00BA53C8">
          <w:rPr>
            <w:webHidden/>
          </w:rPr>
          <w:t>3</w:t>
        </w:r>
        <w:r w:rsidR="00BA53C8">
          <w:rPr>
            <w:webHidden/>
          </w:rPr>
          <w:fldChar w:fldCharType="end"/>
        </w:r>
      </w:hyperlink>
    </w:p>
    <w:p w14:paraId="2D82E988" w14:textId="1E81C157" w:rsidR="00BA53C8" w:rsidRDefault="00D91BDD">
      <w:pPr>
        <w:pStyle w:val="TOC2"/>
        <w:rPr>
          <w:rFonts w:asciiTheme="minorHAnsi" w:eastAsiaTheme="minorEastAsia" w:hAnsiTheme="minorHAnsi" w:cstheme="minorBidi"/>
          <w:spacing w:val="0"/>
          <w:sz w:val="22"/>
          <w:szCs w:val="22"/>
        </w:rPr>
      </w:pPr>
      <w:hyperlink w:anchor="_Toc148015260" w:history="1">
        <w:r w:rsidR="00BA53C8" w:rsidRPr="00F52EA5">
          <w:rPr>
            <w:rStyle w:val="Hyperlink"/>
          </w:rPr>
          <w:t>RALI LM08</w:t>
        </w:r>
        <w:r w:rsidR="00BA53C8">
          <w:rPr>
            <w:webHidden/>
          </w:rPr>
          <w:tab/>
        </w:r>
        <w:r w:rsidR="00BA53C8">
          <w:rPr>
            <w:webHidden/>
          </w:rPr>
          <w:fldChar w:fldCharType="begin"/>
        </w:r>
        <w:r w:rsidR="00BA53C8">
          <w:rPr>
            <w:webHidden/>
          </w:rPr>
          <w:instrText xml:space="preserve"> PAGEREF _Toc148015260 \h </w:instrText>
        </w:r>
        <w:r w:rsidR="00BA53C8">
          <w:rPr>
            <w:webHidden/>
          </w:rPr>
        </w:r>
        <w:r w:rsidR="00BA53C8">
          <w:rPr>
            <w:webHidden/>
          </w:rPr>
          <w:fldChar w:fldCharType="separate"/>
        </w:r>
        <w:r w:rsidR="00BA53C8">
          <w:rPr>
            <w:webHidden/>
          </w:rPr>
          <w:t>3</w:t>
        </w:r>
        <w:r w:rsidR="00BA53C8">
          <w:rPr>
            <w:webHidden/>
          </w:rPr>
          <w:fldChar w:fldCharType="end"/>
        </w:r>
      </w:hyperlink>
    </w:p>
    <w:p w14:paraId="1245BFBB" w14:textId="489B0166" w:rsidR="00BA53C8" w:rsidRDefault="00D91BDD">
      <w:pPr>
        <w:pStyle w:val="TOC2"/>
        <w:rPr>
          <w:rFonts w:asciiTheme="minorHAnsi" w:eastAsiaTheme="minorEastAsia" w:hAnsiTheme="minorHAnsi" w:cstheme="minorBidi"/>
          <w:spacing w:val="0"/>
          <w:sz w:val="22"/>
          <w:szCs w:val="22"/>
        </w:rPr>
      </w:pPr>
      <w:hyperlink w:anchor="_Toc148015261" w:history="1">
        <w:r w:rsidR="00BA53C8" w:rsidRPr="00F52EA5">
          <w:rPr>
            <w:rStyle w:val="Hyperlink"/>
          </w:rPr>
          <w:t>RALIs FX16 and FX22</w:t>
        </w:r>
        <w:r w:rsidR="00BA53C8">
          <w:rPr>
            <w:webHidden/>
          </w:rPr>
          <w:tab/>
        </w:r>
        <w:r w:rsidR="00BA53C8">
          <w:rPr>
            <w:webHidden/>
          </w:rPr>
          <w:fldChar w:fldCharType="begin"/>
        </w:r>
        <w:r w:rsidR="00BA53C8">
          <w:rPr>
            <w:webHidden/>
          </w:rPr>
          <w:instrText xml:space="preserve"> PAGEREF _Toc148015261 \h </w:instrText>
        </w:r>
        <w:r w:rsidR="00BA53C8">
          <w:rPr>
            <w:webHidden/>
          </w:rPr>
        </w:r>
        <w:r w:rsidR="00BA53C8">
          <w:rPr>
            <w:webHidden/>
          </w:rPr>
          <w:fldChar w:fldCharType="separate"/>
        </w:r>
        <w:r w:rsidR="00BA53C8">
          <w:rPr>
            <w:webHidden/>
          </w:rPr>
          <w:t>3</w:t>
        </w:r>
        <w:r w:rsidR="00BA53C8">
          <w:rPr>
            <w:webHidden/>
          </w:rPr>
          <w:fldChar w:fldCharType="end"/>
        </w:r>
      </w:hyperlink>
    </w:p>
    <w:p w14:paraId="18D91AB0" w14:textId="2793704D" w:rsidR="00BA53C8" w:rsidRDefault="00D91BDD">
      <w:pPr>
        <w:pStyle w:val="TOC2"/>
        <w:rPr>
          <w:rFonts w:asciiTheme="minorHAnsi" w:eastAsiaTheme="minorEastAsia" w:hAnsiTheme="minorHAnsi" w:cstheme="minorBidi"/>
          <w:spacing w:val="0"/>
          <w:sz w:val="22"/>
          <w:szCs w:val="22"/>
        </w:rPr>
      </w:pPr>
      <w:hyperlink w:anchor="_Toc148015262" w:history="1">
        <w:r w:rsidR="00BA53C8" w:rsidRPr="00F52EA5">
          <w:rPr>
            <w:rStyle w:val="Hyperlink"/>
          </w:rPr>
          <w:t>Document SP 4/93</w:t>
        </w:r>
        <w:r w:rsidR="00BA53C8">
          <w:rPr>
            <w:webHidden/>
          </w:rPr>
          <w:tab/>
        </w:r>
        <w:r w:rsidR="00BA53C8">
          <w:rPr>
            <w:webHidden/>
          </w:rPr>
          <w:fldChar w:fldCharType="begin"/>
        </w:r>
        <w:r w:rsidR="00BA53C8">
          <w:rPr>
            <w:webHidden/>
          </w:rPr>
          <w:instrText xml:space="preserve"> PAGEREF _Toc148015262 \h </w:instrText>
        </w:r>
        <w:r w:rsidR="00BA53C8">
          <w:rPr>
            <w:webHidden/>
          </w:rPr>
        </w:r>
        <w:r w:rsidR="00BA53C8">
          <w:rPr>
            <w:webHidden/>
          </w:rPr>
          <w:fldChar w:fldCharType="separate"/>
        </w:r>
        <w:r w:rsidR="00BA53C8">
          <w:rPr>
            <w:webHidden/>
          </w:rPr>
          <w:t>4</w:t>
        </w:r>
        <w:r w:rsidR="00BA53C8">
          <w:rPr>
            <w:webHidden/>
          </w:rPr>
          <w:fldChar w:fldCharType="end"/>
        </w:r>
      </w:hyperlink>
    </w:p>
    <w:p w14:paraId="5BE19CCA" w14:textId="3C7F43B1" w:rsidR="00BA53C8" w:rsidRDefault="00D91BDD">
      <w:pPr>
        <w:pStyle w:val="TOC1"/>
        <w:rPr>
          <w:rFonts w:asciiTheme="minorHAnsi" w:eastAsiaTheme="minorEastAsia" w:hAnsiTheme="minorHAnsi" w:cstheme="minorBidi"/>
          <w:b w:val="0"/>
          <w:spacing w:val="0"/>
          <w:sz w:val="22"/>
          <w:szCs w:val="22"/>
        </w:rPr>
      </w:pPr>
      <w:hyperlink w:anchor="_Toc148015263" w:history="1">
        <w:r w:rsidR="00BA53C8" w:rsidRPr="00F52EA5">
          <w:rPr>
            <w:rStyle w:val="Hyperlink"/>
          </w:rPr>
          <w:t>Coordination with 700 MHz spectrum-licensed transmitters</w:t>
        </w:r>
        <w:r w:rsidR="00BA53C8">
          <w:rPr>
            <w:webHidden/>
          </w:rPr>
          <w:tab/>
        </w:r>
        <w:r w:rsidR="00BA53C8">
          <w:rPr>
            <w:webHidden/>
          </w:rPr>
          <w:fldChar w:fldCharType="begin"/>
        </w:r>
        <w:r w:rsidR="00BA53C8">
          <w:rPr>
            <w:webHidden/>
          </w:rPr>
          <w:instrText xml:space="preserve"> PAGEREF _Toc148015263 \h </w:instrText>
        </w:r>
        <w:r w:rsidR="00BA53C8">
          <w:rPr>
            <w:webHidden/>
          </w:rPr>
        </w:r>
        <w:r w:rsidR="00BA53C8">
          <w:rPr>
            <w:webHidden/>
          </w:rPr>
          <w:fldChar w:fldCharType="separate"/>
        </w:r>
        <w:r w:rsidR="00BA53C8">
          <w:rPr>
            <w:webHidden/>
          </w:rPr>
          <w:t>5</w:t>
        </w:r>
        <w:r w:rsidR="00BA53C8">
          <w:rPr>
            <w:webHidden/>
          </w:rPr>
          <w:fldChar w:fldCharType="end"/>
        </w:r>
      </w:hyperlink>
    </w:p>
    <w:p w14:paraId="7948DCD4" w14:textId="749021AB" w:rsidR="00BA53C8" w:rsidRDefault="00D91BDD">
      <w:pPr>
        <w:pStyle w:val="TOC2"/>
        <w:rPr>
          <w:rFonts w:asciiTheme="minorHAnsi" w:eastAsiaTheme="minorEastAsia" w:hAnsiTheme="minorHAnsi" w:cstheme="minorBidi"/>
          <w:spacing w:val="0"/>
          <w:sz w:val="22"/>
          <w:szCs w:val="22"/>
        </w:rPr>
      </w:pPr>
      <w:hyperlink w:anchor="_Toc148015264" w:history="1">
        <w:r w:rsidR="00BA53C8" w:rsidRPr="00F52EA5">
          <w:rPr>
            <w:rStyle w:val="Hyperlink"/>
          </w:rPr>
          <w:t>Proposed new protection criteria</w:t>
        </w:r>
        <w:r w:rsidR="00BA53C8">
          <w:rPr>
            <w:webHidden/>
          </w:rPr>
          <w:tab/>
        </w:r>
        <w:r w:rsidR="00BA53C8">
          <w:rPr>
            <w:webHidden/>
          </w:rPr>
          <w:fldChar w:fldCharType="begin"/>
        </w:r>
        <w:r w:rsidR="00BA53C8">
          <w:rPr>
            <w:webHidden/>
          </w:rPr>
          <w:instrText xml:space="preserve"> PAGEREF _Toc148015264 \h </w:instrText>
        </w:r>
        <w:r w:rsidR="00BA53C8">
          <w:rPr>
            <w:webHidden/>
          </w:rPr>
        </w:r>
        <w:r w:rsidR="00BA53C8">
          <w:rPr>
            <w:webHidden/>
          </w:rPr>
          <w:fldChar w:fldCharType="separate"/>
        </w:r>
        <w:r w:rsidR="00BA53C8">
          <w:rPr>
            <w:webHidden/>
          </w:rPr>
          <w:t>7</w:t>
        </w:r>
        <w:r w:rsidR="00BA53C8">
          <w:rPr>
            <w:webHidden/>
          </w:rPr>
          <w:fldChar w:fldCharType="end"/>
        </w:r>
      </w:hyperlink>
    </w:p>
    <w:p w14:paraId="7B4C9CFC" w14:textId="102E0863" w:rsidR="00BA53C8" w:rsidRDefault="00D91BDD">
      <w:pPr>
        <w:pStyle w:val="TOC2"/>
        <w:rPr>
          <w:rFonts w:asciiTheme="minorHAnsi" w:eastAsiaTheme="minorEastAsia" w:hAnsiTheme="minorHAnsi" w:cstheme="minorBidi"/>
          <w:spacing w:val="0"/>
          <w:sz w:val="22"/>
          <w:szCs w:val="22"/>
        </w:rPr>
      </w:pPr>
      <w:hyperlink w:anchor="_Toc148015265" w:history="1">
        <w:r w:rsidR="00BA53C8" w:rsidRPr="00F52EA5">
          <w:rPr>
            <w:rStyle w:val="Hyperlink"/>
          </w:rPr>
          <w:t>Proposed additional guidance</w:t>
        </w:r>
        <w:r w:rsidR="00BA53C8">
          <w:rPr>
            <w:webHidden/>
          </w:rPr>
          <w:tab/>
        </w:r>
        <w:r w:rsidR="00BA53C8">
          <w:rPr>
            <w:webHidden/>
          </w:rPr>
          <w:fldChar w:fldCharType="begin"/>
        </w:r>
        <w:r w:rsidR="00BA53C8">
          <w:rPr>
            <w:webHidden/>
          </w:rPr>
          <w:instrText xml:space="preserve"> PAGEREF _Toc148015265 \h </w:instrText>
        </w:r>
        <w:r w:rsidR="00BA53C8">
          <w:rPr>
            <w:webHidden/>
          </w:rPr>
        </w:r>
        <w:r w:rsidR="00BA53C8">
          <w:rPr>
            <w:webHidden/>
          </w:rPr>
          <w:fldChar w:fldCharType="separate"/>
        </w:r>
        <w:r w:rsidR="00BA53C8">
          <w:rPr>
            <w:webHidden/>
          </w:rPr>
          <w:t>16</w:t>
        </w:r>
        <w:r w:rsidR="00BA53C8">
          <w:rPr>
            <w:webHidden/>
          </w:rPr>
          <w:fldChar w:fldCharType="end"/>
        </w:r>
      </w:hyperlink>
    </w:p>
    <w:p w14:paraId="452F6602" w14:textId="76896FA1" w:rsidR="00BA53C8" w:rsidRDefault="00D91BDD">
      <w:pPr>
        <w:pStyle w:val="TOC1"/>
        <w:rPr>
          <w:rFonts w:asciiTheme="minorHAnsi" w:eastAsiaTheme="minorEastAsia" w:hAnsiTheme="minorHAnsi" w:cstheme="minorBidi"/>
          <w:b w:val="0"/>
          <w:spacing w:val="0"/>
          <w:sz w:val="22"/>
          <w:szCs w:val="22"/>
        </w:rPr>
      </w:pPr>
      <w:hyperlink w:anchor="_Toc148015266" w:history="1">
        <w:r w:rsidR="00BA53C8" w:rsidRPr="00F52EA5">
          <w:rPr>
            <w:rStyle w:val="Hyperlink"/>
          </w:rPr>
          <w:t>Invitation to comment</w:t>
        </w:r>
        <w:r w:rsidR="00BA53C8">
          <w:rPr>
            <w:webHidden/>
          </w:rPr>
          <w:tab/>
        </w:r>
        <w:r w:rsidR="00BA53C8">
          <w:rPr>
            <w:webHidden/>
          </w:rPr>
          <w:fldChar w:fldCharType="begin"/>
        </w:r>
        <w:r w:rsidR="00BA53C8">
          <w:rPr>
            <w:webHidden/>
          </w:rPr>
          <w:instrText xml:space="preserve"> PAGEREF _Toc148015266 \h </w:instrText>
        </w:r>
        <w:r w:rsidR="00BA53C8">
          <w:rPr>
            <w:webHidden/>
          </w:rPr>
        </w:r>
        <w:r w:rsidR="00BA53C8">
          <w:rPr>
            <w:webHidden/>
          </w:rPr>
          <w:fldChar w:fldCharType="separate"/>
        </w:r>
        <w:r w:rsidR="00BA53C8">
          <w:rPr>
            <w:webHidden/>
          </w:rPr>
          <w:t>18</w:t>
        </w:r>
        <w:r w:rsidR="00BA53C8">
          <w:rPr>
            <w:webHidden/>
          </w:rPr>
          <w:fldChar w:fldCharType="end"/>
        </w:r>
      </w:hyperlink>
    </w:p>
    <w:p w14:paraId="46693B4F" w14:textId="37EDDEB3" w:rsidR="00BA53C8" w:rsidRDefault="00D91BDD">
      <w:pPr>
        <w:pStyle w:val="TOC2"/>
        <w:rPr>
          <w:rFonts w:asciiTheme="minorHAnsi" w:eastAsiaTheme="minorEastAsia" w:hAnsiTheme="minorHAnsi" w:cstheme="minorBidi"/>
          <w:spacing w:val="0"/>
          <w:sz w:val="22"/>
          <w:szCs w:val="22"/>
        </w:rPr>
      </w:pPr>
      <w:hyperlink w:anchor="_Toc148015267" w:history="1">
        <w:r w:rsidR="00BA53C8" w:rsidRPr="00F52EA5">
          <w:rPr>
            <w:rStyle w:val="Hyperlink"/>
          </w:rPr>
          <w:t>Making a submission</w:t>
        </w:r>
        <w:r w:rsidR="00BA53C8">
          <w:rPr>
            <w:webHidden/>
          </w:rPr>
          <w:tab/>
        </w:r>
        <w:r w:rsidR="00BA53C8">
          <w:rPr>
            <w:webHidden/>
          </w:rPr>
          <w:fldChar w:fldCharType="begin"/>
        </w:r>
        <w:r w:rsidR="00BA53C8">
          <w:rPr>
            <w:webHidden/>
          </w:rPr>
          <w:instrText xml:space="preserve"> PAGEREF _Toc148015267 \h </w:instrText>
        </w:r>
        <w:r w:rsidR="00BA53C8">
          <w:rPr>
            <w:webHidden/>
          </w:rPr>
        </w:r>
        <w:r w:rsidR="00BA53C8">
          <w:rPr>
            <w:webHidden/>
          </w:rPr>
          <w:fldChar w:fldCharType="separate"/>
        </w:r>
        <w:r w:rsidR="00BA53C8">
          <w:rPr>
            <w:webHidden/>
          </w:rPr>
          <w:t>18</w:t>
        </w:r>
        <w:r w:rsidR="00BA53C8">
          <w:rPr>
            <w:webHidden/>
          </w:rPr>
          <w:fldChar w:fldCharType="end"/>
        </w:r>
      </w:hyperlink>
    </w:p>
    <w:p w14:paraId="083C878B" w14:textId="4E1524B5"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2C2C6265" w14:textId="77777777" w:rsidR="00715722" w:rsidRPr="00E162C4" w:rsidRDefault="00715722" w:rsidP="00715722">
      <w:pPr>
        <w:pStyle w:val="Heading1"/>
      </w:pPr>
      <w:bookmarkStart w:id="1" w:name="_Toc433122125"/>
      <w:bookmarkStart w:id="2" w:name="_Toc148015257"/>
      <w:r w:rsidRPr="00E162C4">
        <w:t>Issue/s for comment</w:t>
      </w:r>
      <w:bookmarkEnd w:id="1"/>
      <w:bookmarkEnd w:id="2"/>
    </w:p>
    <w:p w14:paraId="21B9AA9D" w14:textId="75D2EA34" w:rsidR="005E250B" w:rsidRPr="00E162C4" w:rsidRDefault="00FF0C7C" w:rsidP="00D61243">
      <w:pPr>
        <w:pStyle w:val="Paragraph"/>
      </w:pPr>
      <w:r>
        <w:t>We</w:t>
      </w:r>
      <w:r w:rsidR="00584B51">
        <w:t xml:space="preserve"> </w:t>
      </w:r>
      <w:r w:rsidR="00715722" w:rsidRPr="00E162C4">
        <w:t xml:space="preserve">welcome </w:t>
      </w:r>
      <w:r w:rsidR="0018382B">
        <w:t xml:space="preserve">your </w:t>
      </w:r>
      <w:r w:rsidR="00584B51">
        <w:t>feedback</w:t>
      </w:r>
      <w:r w:rsidR="00584B51" w:rsidRPr="00E162C4">
        <w:t xml:space="preserve"> </w:t>
      </w:r>
      <w:r w:rsidR="00715722" w:rsidRPr="00E162C4">
        <w:t xml:space="preserve">on </w:t>
      </w:r>
      <w:r>
        <w:t xml:space="preserve">any of </w:t>
      </w:r>
      <w:r w:rsidR="00715722" w:rsidRPr="00E162C4">
        <w:t>the issues raised in this</w:t>
      </w:r>
      <w:r w:rsidR="00B00873">
        <w:t xml:space="preserve"> paper</w:t>
      </w:r>
      <w:r w:rsidR="0018382B">
        <w:t>. I</w:t>
      </w:r>
      <w:r w:rsidR="00E20DB6">
        <w:t>n particular</w:t>
      </w:r>
      <w:r w:rsidR="0018382B">
        <w:t xml:space="preserve">, views on </w:t>
      </w:r>
      <w:r w:rsidR="00E20DB6">
        <w:t>the proposed arrangements and guidance</w:t>
      </w:r>
      <w:r w:rsidR="00715722" w:rsidRPr="00E162C4">
        <w:t xml:space="preserve"> </w:t>
      </w:r>
      <w:r w:rsidR="003C33A6">
        <w:t xml:space="preserve">regarding </w:t>
      </w:r>
      <w:r w:rsidR="001451CC">
        <w:t>coordination between apparatus</w:t>
      </w:r>
      <w:r w:rsidR="0018382B">
        <w:t>-</w:t>
      </w:r>
      <w:r w:rsidR="001451CC">
        <w:t>licensed</w:t>
      </w:r>
      <w:r w:rsidR="0020101F">
        <w:t xml:space="preserve"> services in the frequency range 804</w:t>
      </w:r>
      <w:r w:rsidR="0018382B">
        <w:t>–</w:t>
      </w:r>
      <w:r w:rsidR="0020101F">
        <w:t>809 MHz</w:t>
      </w:r>
      <w:r w:rsidR="001451CC">
        <w:t xml:space="preserve"> and 700 MHz spectrum</w:t>
      </w:r>
      <w:r w:rsidR="0018382B">
        <w:t>-</w:t>
      </w:r>
      <w:r w:rsidR="001451CC">
        <w:t>licensed services.</w:t>
      </w:r>
    </w:p>
    <w:p w14:paraId="061F3F23" w14:textId="5BDCBED8" w:rsidR="00881C14" w:rsidRDefault="00881C14" w:rsidP="006C1631">
      <w:pPr>
        <w:pStyle w:val="Heading1"/>
      </w:pPr>
      <w:bookmarkStart w:id="3" w:name="_Toc148015258"/>
      <w:r>
        <w:t>Introduction</w:t>
      </w:r>
      <w:bookmarkEnd w:id="3"/>
    </w:p>
    <w:p w14:paraId="0A2B5573" w14:textId="6967903A" w:rsidR="00106148" w:rsidRDefault="00106148" w:rsidP="00881C14">
      <w:bookmarkStart w:id="4" w:name="_Hlk132194254"/>
      <w:r>
        <w:t xml:space="preserve">In November 2015, </w:t>
      </w:r>
      <w:r w:rsidR="0018382B">
        <w:t>we</w:t>
      </w:r>
      <w:r>
        <w:t xml:space="preserve"> concluded </w:t>
      </w:r>
      <w:bookmarkStart w:id="5" w:name="_Hlk132201903"/>
      <w:r w:rsidR="0018382B">
        <w:t xml:space="preserve">our </w:t>
      </w:r>
      <w:r>
        <w:t>review of the 803</w:t>
      </w:r>
      <w:r w:rsidR="0018382B">
        <w:t>–</w:t>
      </w:r>
      <w:r>
        <w:t xml:space="preserve">960 MHz band with </w:t>
      </w:r>
      <w:r w:rsidR="0018382B">
        <w:br/>
      </w:r>
      <w:r>
        <w:t xml:space="preserve">the release of </w:t>
      </w:r>
      <w:hyperlink r:id="rId24" w:history="1">
        <w:r w:rsidRPr="006A58DF">
          <w:rPr>
            <w:rStyle w:val="Hyperlink"/>
            <w:i/>
            <w:iCs/>
          </w:rPr>
          <w:t>The ACMA’s long-term strategy for the 803</w:t>
        </w:r>
        <w:r w:rsidR="0018382B" w:rsidRPr="006A58DF">
          <w:rPr>
            <w:rStyle w:val="Hyperlink"/>
            <w:i/>
            <w:iCs/>
          </w:rPr>
          <w:t>–</w:t>
        </w:r>
        <w:r w:rsidRPr="006A58DF">
          <w:rPr>
            <w:rStyle w:val="Hyperlink"/>
            <w:i/>
            <w:iCs/>
          </w:rPr>
          <w:t>960 MHz band</w:t>
        </w:r>
      </w:hyperlink>
      <w:r w:rsidR="00A71544">
        <w:t xml:space="preserve"> </w:t>
      </w:r>
      <w:bookmarkEnd w:id="5"/>
      <w:r w:rsidR="00A71544">
        <w:t xml:space="preserve">(the </w:t>
      </w:r>
      <w:r w:rsidR="0018382B">
        <w:br/>
      </w:r>
      <w:r w:rsidR="00A71544">
        <w:t>long-term strategy</w:t>
      </w:r>
      <w:r w:rsidR="007C2B0C">
        <w:t xml:space="preserve"> paper</w:t>
      </w:r>
      <w:r w:rsidR="00A71544">
        <w:t>)</w:t>
      </w:r>
      <w:r>
        <w:t xml:space="preserve">. </w:t>
      </w:r>
      <w:r w:rsidR="008719BC">
        <w:t xml:space="preserve">This paper outlined </w:t>
      </w:r>
      <w:bookmarkStart w:id="6" w:name="_Hlk132201948"/>
      <w:r w:rsidR="00836FB6">
        <w:t xml:space="preserve">an incremental re-configuration of the </w:t>
      </w:r>
      <w:r w:rsidR="0018382B">
        <w:br/>
      </w:r>
      <w:r w:rsidR="00836FB6">
        <w:t>803</w:t>
      </w:r>
      <w:r w:rsidR="0018382B">
        <w:t>–</w:t>
      </w:r>
      <w:r w:rsidR="00836FB6">
        <w:t xml:space="preserve">960 MHz band to ensure the public benefit derived from the use of the band </w:t>
      </w:r>
      <w:r w:rsidR="00FB46E7">
        <w:t xml:space="preserve">would be </w:t>
      </w:r>
      <w:r w:rsidR="00836FB6">
        <w:t xml:space="preserve">maximised. </w:t>
      </w:r>
      <w:bookmarkEnd w:id="6"/>
      <w:r w:rsidR="009A48B0">
        <w:t xml:space="preserve">This included the </w:t>
      </w:r>
      <w:r w:rsidR="00FB46E7">
        <w:t xml:space="preserve">shifting </w:t>
      </w:r>
      <w:r w:rsidR="009A48B0">
        <w:t xml:space="preserve">of </w:t>
      </w:r>
      <w:r w:rsidR="00E17F5F">
        <w:t>apparatus</w:t>
      </w:r>
      <w:r w:rsidR="0018382B">
        <w:t>-</w:t>
      </w:r>
      <w:r w:rsidR="00E17F5F">
        <w:t xml:space="preserve">licensed </w:t>
      </w:r>
      <w:r w:rsidR="0018382B">
        <w:t>t</w:t>
      </w:r>
      <w:r w:rsidR="009A48B0">
        <w:t>r</w:t>
      </w:r>
      <w:r w:rsidR="00E17F5F">
        <w:t>un</w:t>
      </w:r>
      <w:r w:rsidR="009A48B0">
        <w:t xml:space="preserve">ked </w:t>
      </w:r>
      <w:r w:rsidR="0018382B">
        <w:t>l</w:t>
      </w:r>
      <w:r w:rsidR="009A48B0">
        <w:t xml:space="preserve">and </w:t>
      </w:r>
      <w:r w:rsidR="0018382B">
        <w:t>m</w:t>
      </w:r>
      <w:r w:rsidR="009A48B0">
        <w:t>obile</w:t>
      </w:r>
      <w:r w:rsidR="00E17F5F">
        <w:t xml:space="preserve"> </w:t>
      </w:r>
      <w:r w:rsidR="0018382B">
        <w:t xml:space="preserve">systems </w:t>
      </w:r>
      <w:r w:rsidR="00E17F5F">
        <w:t xml:space="preserve">(TLMS) and </w:t>
      </w:r>
      <w:r w:rsidR="0018382B">
        <w:t>f</w:t>
      </w:r>
      <w:r w:rsidR="00E17F5F">
        <w:t>ixed services to the lower part of the 803 MHz band over 5 milestone dates.</w:t>
      </w:r>
    </w:p>
    <w:p w14:paraId="07F74D00" w14:textId="4D106374" w:rsidR="00A71544" w:rsidRDefault="0018382B" w:rsidP="00ED0098">
      <w:pPr>
        <w:pStyle w:val="Paragraphbeforelist"/>
      </w:pPr>
      <w:bookmarkStart w:id="7" w:name="_Hlk132202060"/>
      <w:r>
        <w:t>We are</w:t>
      </w:r>
      <w:r w:rsidR="00B521AB">
        <w:t xml:space="preserve"> </w:t>
      </w:r>
      <w:r w:rsidR="003D5C0D">
        <w:t xml:space="preserve">now proposing to </w:t>
      </w:r>
      <w:bookmarkStart w:id="8" w:name="_Hlk132206456"/>
      <w:r w:rsidR="003D5C0D">
        <w:t xml:space="preserve">implement </w:t>
      </w:r>
      <w:r w:rsidR="00B521AB">
        <w:t>changes to planning arrangements to support the final stage of the</w:t>
      </w:r>
      <w:r w:rsidR="00A71544">
        <w:t xml:space="preserve"> long-term strategy</w:t>
      </w:r>
      <w:bookmarkEnd w:id="8"/>
      <w:r w:rsidR="00A71544">
        <w:t>. In</w:t>
      </w:r>
      <w:r w:rsidR="00B521AB">
        <w:t xml:space="preserve"> particular, </w:t>
      </w:r>
      <w:r w:rsidR="00A71544">
        <w:t xml:space="preserve">we </w:t>
      </w:r>
      <w:r w:rsidR="00D849CD">
        <w:t>want</w:t>
      </w:r>
      <w:r w:rsidR="00A71544">
        <w:t xml:space="preserve"> to:</w:t>
      </w:r>
    </w:p>
    <w:p w14:paraId="42BC26D7" w14:textId="2695C5FA" w:rsidR="00A71544" w:rsidRDefault="00D849CD" w:rsidP="00A71544">
      <w:pPr>
        <w:pStyle w:val="Bulletlevel1"/>
      </w:pPr>
      <w:r>
        <w:t>R</w:t>
      </w:r>
      <w:r w:rsidR="00B521AB">
        <w:t>emov</w:t>
      </w:r>
      <w:r w:rsidR="00363CF5">
        <w:t>e</w:t>
      </w:r>
      <w:r w:rsidR="00B521AB">
        <w:t xml:space="preserve"> arrangements in </w:t>
      </w:r>
      <w:r w:rsidR="0058743A" w:rsidRPr="00147800">
        <w:t xml:space="preserve">Radiocommunications Assignment and Licensing Instruction </w:t>
      </w:r>
      <w:r w:rsidR="0058743A">
        <w:t>(</w:t>
      </w:r>
      <w:r w:rsidR="00B521AB">
        <w:t>RALI</w:t>
      </w:r>
      <w:r w:rsidR="0058743A">
        <w:t>)</w:t>
      </w:r>
      <w:r w:rsidR="00B521AB">
        <w:t xml:space="preserve"> LM</w:t>
      </w:r>
      <w:r w:rsidR="0058743A">
        <w:t>0</w:t>
      </w:r>
      <w:r w:rsidR="00B521AB">
        <w:t xml:space="preserve">8 </w:t>
      </w:r>
      <w:bookmarkStart w:id="9" w:name="_Hlk132202702"/>
      <w:r w:rsidR="00B521AB">
        <w:t>which apply to the legacy TLMS frequency segments</w:t>
      </w:r>
      <w:r w:rsidR="002D064E">
        <w:t xml:space="preserve"> </w:t>
      </w:r>
      <w:r>
        <w:br/>
      </w:r>
      <w:r w:rsidR="002D064E">
        <w:t>(820</w:t>
      </w:r>
      <w:r>
        <w:t>–</w:t>
      </w:r>
      <w:r w:rsidR="002D064E">
        <w:t>825/865</w:t>
      </w:r>
      <w:r>
        <w:t>–</w:t>
      </w:r>
      <w:r w:rsidR="002D064E">
        <w:t>870 MHz)</w:t>
      </w:r>
      <w:r w:rsidR="00B521AB">
        <w:t>.</w:t>
      </w:r>
    </w:p>
    <w:bookmarkEnd w:id="9"/>
    <w:p w14:paraId="0F155293" w14:textId="0729A862" w:rsidR="00B521AB" w:rsidRDefault="00D849CD" w:rsidP="00ED0098">
      <w:pPr>
        <w:pStyle w:val="Bulletlevel1last"/>
      </w:pPr>
      <w:r>
        <w:t>S</w:t>
      </w:r>
      <w:r w:rsidR="00A71544">
        <w:t>uppress t</w:t>
      </w:r>
      <w:r w:rsidR="00B521AB">
        <w:t xml:space="preserve">he </w:t>
      </w:r>
      <w:hyperlink w:anchor="_Document_SP_4/93" w:history="1">
        <w:r w:rsidR="00B521AB" w:rsidRPr="00EF7ADC">
          <w:rPr>
            <w:rStyle w:val="Hyperlink"/>
          </w:rPr>
          <w:t>document SP 4/93</w:t>
        </w:r>
      </w:hyperlink>
      <w:r w:rsidR="00B521AB">
        <w:t xml:space="preserve"> </w:t>
      </w:r>
      <w:r w:rsidR="00ED0098">
        <w:t>that</w:t>
      </w:r>
      <w:r w:rsidR="00B521AB">
        <w:t xml:space="preserve"> contain</w:t>
      </w:r>
      <w:r w:rsidR="002D064E">
        <w:t>s</w:t>
      </w:r>
      <w:r w:rsidR="00B521AB">
        <w:t xml:space="preserve"> coordination procedure</w:t>
      </w:r>
      <w:r w:rsidR="00F00E55">
        <w:t>s</w:t>
      </w:r>
      <w:r w:rsidR="00B521AB">
        <w:t xml:space="preserve"> for services in the 857</w:t>
      </w:r>
      <w:r w:rsidR="0033291E">
        <w:t>–</w:t>
      </w:r>
      <w:r w:rsidR="00B521AB">
        <w:t xml:space="preserve">861 MHz band, </w:t>
      </w:r>
      <w:r w:rsidR="00ED0098">
        <w:t>which has now</w:t>
      </w:r>
      <w:r w:rsidR="002D064E">
        <w:t xml:space="preserve"> become</w:t>
      </w:r>
      <w:r w:rsidR="00B521AB">
        <w:t xml:space="preserve"> redundant</w:t>
      </w:r>
      <w:r w:rsidR="00ED0098">
        <w:t>.</w:t>
      </w:r>
    </w:p>
    <w:p w14:paraId="3770056A" w14:textId="5E50FC02" w:rsidR="00ED0098" w:rsidRDefault="0032173B" w:rsidP="00ED0098">
      <w:pPr>
        <w:pStyle w:val="Paragraph"/>
      </w:pPr>
      <w:r>
        <w:t>T</w:t>
      </w:r>
      <w:r w:rsidR="00ED0098">
        <w:t>he</w:t>
      </w:r>
      <w:r w:rsidR="0058743A">
        <w:t>se</w:t>
      </w:r>
      <w:r>
        <w:t xml:space="preserve"> proposed</w:t>
      </w:r>
      <w:r w:rsidR="00ED0098">
        <w:t xml:space="preserve"> changes </w:t>
      </w:r>
      <w:r w:rsidR="00190EF4">
        <w:t>were foreshadowed</w:t>
      </w:r>
      <w:r w:rsidR="00ED0098">
        <w:t xml:space="preserve"> in the long-term strategy</w:t>
      </w:r>
      <w:r w:rsidR="007C2B0C">
        <w:t xml:space="preserve"> paper</w:t>
      </w:r>
      <w:r w:rsidR="00ED0098">
        <w:t>.</w:t>
      </w:r>
    </w:p>
    <w:p w14:paraId="0A96CAED" w14:textId="49D97BAC" w:rsidR="00E17F5F" w:rsidRDefault="00E17F5F" w:rsidP="00B521AB">
      <w:r>
        <w:t>In addition,</w:t>
      </w:r>
      <w:r w:rsidR="003D5C0D">
        <w:t xml:space="preserve"> </w:t>
      </w:r>
      <w:r w:rsidR="0033291E">
        <w:t>we are</w:t>
      </w:r>
      <w:r w:rsidR="003D5C0D">
        <w:t xml:space="preserve"> seeking comment from interested stakeholders on the proposed inclusion of </w:t>
      </w:r>
      <w:r w:rsidR="0020101F">
        <w:t>revised protection</w:t>
      </w:r>
      <w:r w:rsidR="003D5C0D">
        <w:t xml:space="preserve"> criteria and guidance </w:t>
      </w:r>
      <w:r w:rsidR="00F00E55">
        <w:t>in</w:t>
      </w:r>
      <w:r w:rsidR="003D5C0D">
        <w:t xml:space="preserve"> RALIs LM</w:t>
      </w:r>
      <w:r w:rsidR="0058743A">
        <w:t>0</w:t>
      </w:r>
      <w:r w:rsidR="003D5C0D">
        <w:t>8, FX16 and FX22</w:t>
      </w:r>
      <w:r w:rsidR="0033291E">
        <w:t xml:space="preserve">. This </w:t>
      </w:r>
      <w:r w:rsidR="003D5C0D">
        <w:t>will aid coordination between 800 MHz band apparatus</w:t>
      </w:r>
      <w:r w:rsidR="0033291E">
        <w:t>-</w:t>
      </w:r>
      <w:r w:rsidR="003D5C0D">
        <w:t>licensed services and spectrum</w:t>
      </w:r>
      <w:r w:rsidR="0033291E">
        <w:t>-</w:t>
      </w:r>
      <w:r w:rsidR="003D5C0D">
        <w:t>licensed services operating below 803 MHz</w:t>
      </w:r>
      <w:bookmarkEnd w:id="7"/>
      <w:r w:rsidR="003D5C0D">
        <w:t>.</w:t>
      </w:r>
      <w:r w:rsidR="0020101F">
        <w:t xml:space="preserve"> </w:t>
      </w:r>
      <w:r w:rsidR="0033291E">
        <w:t>We</w:t>
      </w:r>
      <w:r w:rsidR="0020101F">
        <w:t xml:space="preserve"> propose that the revised protection criteria </w:t>
      </w:r>
      <w:r w:rsidR="003467D8">
        <w:t xml:space="preserve">would </w:t>
      </w:r>
      <w:r w:rsidR="0020101F">
        <w:t xml:space="preserve">only apply </w:t>
      </w:r>
      <w:r w:rsidR="006670E3">
        <w:t>for</w:t>
      </w:r>
      <w:r w:rsidR="0020101F">
        <w:t xml:space="preserve"> new (licensed after specific dates) apparatus</w:t>
      </w:r>
      <w:r w:rsidR="0033291E">
        <w:t>-</w:t>
      </w:r>
      <w:r w:rsidR="0020101F">
        <w:t>licensed systems in the 804</w:t>
      </w:r>
      <w:r w:rsidR="0033291E">
        <w:t>–</w:t>
      </w:r>
      <w:r w:rsidR="0020101F">
        <w:t>809 MHz</w:t>
      </w:r>
      <w:r w:rsidR="006670E3">
        <w:t xml:space="preserve"> </w:t>
      </w:r>
      <w:r w:rsidR="0033291E">
        <w:t xml:space="preserve">band </w:t>
      </w:r>
      <w:r w:rsidR="006670E3">
        <w:t>(proposed changes would not apply to existing apparatus</w:t>
      </w:r>
      <w:r w:rsidR="0033291E">
        <w:t>-</w:t>
      </w:r>
      <w:r w:rsidR="006670E3">
        <w:t>licensed systems)</w:t>
      </w:r>
      <w:r w:rsidR="0020101F">
        <w:t xml:space="preserve">. </w:t>
      </w:r>
      <w:r w:rsidR="003D5C0D">
        <w:t>Th</w:t>
      </w:r>
      <w:r w:rsidR="001555A9">
        <w:t xml:space="preserve">ese proposed additions are in response to feedback that coordination </w:t>
      </w:r>
      <w:r w:rsidR="00CC7815">
        <w:t xml:space="preserve">may be </w:t>
      </w:r>
      <w:r w:rsidR="001555A9">
        <w:t>difficult i</w:t>
      </w:r>
      <w:r w:rsidR="00363CF5">
        <w:t>n</w:t>
      </w:r>
      <w:r w:rsidR="001555A9">
        <w:t xml:space="preserve"> some situations due to the reduced frequency separation between these services.</w:t>
      </w:r>
    </w:p>
    <w:p w14:paraId="1445C3F5" w14:textId="376A44D6" w:rsidR="00B521AB" w:rsidRDefault="00431C3D" w:rsidP="00B521AB">
      <w:r>
        <w:t xml:space="preserve">Details of </w:t>
      </w:r>
      <w:r w:rsidR="00542D96">
        <w:t xml:space="preserve">all </w:t>
      </w:r>
      <w:r>
        <w:t xml:space="preserve">proposed changes </w:t>
      </w:r>
      <w:r w:rsidR="0033291E">
        <w:t xml:space="preserve">is </w:t>
      </w:r>
      <w:r>
        <w:t>contained in the following section</w:t>
      </w:r>
      <w:r w:rsidR="00363CF5">
        <w:t>s</w:t>
      </w:r>
      <w:r>
        <w:t xml:space="preserve">. </w:t>
      </w:r>
    </w:p>
    <w:p w14:paraId="32066D4C" w14:textId="51252EC2" w:rsidR="00BA66A0" w:rsidRDefault="00431C3D" w:rsidP="00881C14">
      <w:r>
        <w:t xml:space="preserve">The proposed changes will not affect the milestone dates detailed in the </w:t>
      </w:r>
      <w:r w:rsidR="00542D96">
        <w:t>long-term strategy</w:t>
      </w:r>
      <w:r w:rsidR="007C2B0C">
        <w:t xml:space="preserve"> paper</w:t>
      </w:r>
      <w:r w:rsidR="00542D96">
        <w:t>.</w:t>
      </w:r>
    </w:p>
    <w:p w14:paraId="705DCD75" w14:textId="39998080" w:rsidR="00C310B7" w:rsidRDefault="00C310B7" w:rsidP="00C310B7">
      <w:pPr>
        <w:pStyle w:val="Heading1"/>
      </w:pPr>
      <w:bookmarkStart w:id="10" w:name="_Toc148015259"/>
      <w:bookmarkEnd w:id="4"/>
      <w:r>
        <w:t xml:space="preserve">Proposed updates to </w:t>
      </w:r>
      <w:proofErr w:type="gramStart"/>
      <w:r>
        <w:t>RALIs</w:t>
      </w:r>
      <w:bookmarkEnd w:id="10"/>
      <w:proofErr w:type="gramEnd"/>
    </w:p>
    <w:p w14:paraId="50E38351" w14:textId="7A04AE6F" w:rsidR="0032173B" w:rsidRPr="0032173B" w:rsidRDefault="0032173B" w:rsidP="0032173B">
      <w:r>
        <w:t xml:space="preserve">This section outlines the changes proposed to be made to RALIs LM08, FX16 and FX22. Marked-up versions of these draft RALIs are also available in Attachments A-C. </w:t>
      </w:r>
    </w:p>
    <w:p w14:paraId="32C7FECC" w14:textId="26D37D18" w:rsidR="00C310B7" w:rsidRDefault="00BA66A0" w:rsidP="00BA66A0">
      <w:pPr>
        <w:pStyle w:val="Heading2"/>
      </w:pPr>
      <w:bookmarkStart w:id="11" w:name="_Toc148015260"/>
      <w:r>
        <w:t>RALI LM</w:t>
      </w:r>
      <w:r w:rsidR="00F90EFD">
        <w:t>0</w:t>
      </w:r>
      <w:r>
        <w:t>8</w:t>
      </w:r>
      <w:bookmarkEnd w:id="11"/>
    </w:p>
    <w:p w14:paraId="1C907989" w14:textId="222AD1E0" w:rsidR="00BA66A0" w:rsidRDefault="00147800" w:rsidP="006A58DF">
      <w:pPr>
        <w:pStyle w:val="Paragraphbeforelist"/>
      </w:pPr>
      <w:r w:rsidRPr="00147800">
        <w:t xml:space="preserve">RALI </w:t>
      </w:r>
      <w:r w:rsidR="00D802FF">
        <w:t xml:space="preserve">LM08 </w:t>
      </w:r>
      <w:r w:rsidR="00792A52">
        <w:t xml:space="preserve">contains frequency assignment and coordination criteria for land mobile services operating in the VHF, 400 MHz and </w:t>
      </w:r>
      <w:r w:rsidR="0033291E">
        <w:br/>
      </w:r>
      <w:r w:rsidR="00792A52">
        <w:t xml:space="preserve">800 MHz bands. </w:t>
      </w:r>
      <w:r w:rsidR="0033291E">
        <w:t>We</w:t>
      </w:r>
      <w:r w:rsidR="00F02BF5">
        <w:t xml:space="preserve"> intend to make the following </w:t>
      </w:r>
      <w:r w:rsidR="00A57AF2">
        <w:t xml:space="preserve">consequential </w:t>
      </w:r>
      <w:r w:rsidR="00421A4A">
        <w:t>changes</w:t>
      </w:r>
      <w:r w:rsidR="00F02BF5">
        <w:t xml:space="preserve"> to RALI LM</w:t>
      </w:r>
      <w:r w:rsidR="00F90EFD">
        <w:t>0</w:t>
      </w:r>
      <w:r w:rsidR="00F02BF5">
        <w:t>8</w:t>
      </w:r>
      <w:r w:rsidR="00792A52">
        <w:t xml:space="preserve"> to support the final milestone of the 803</w:t>
      </w:r>
      <w:r w:rsidR="0033291E">
        <w:t>–</w:t>
      </w:r>
      <w:r w:rsidR="00792A52">
        <w:t>960 MHz band review</w:t>
      </w:r>
      <w:r w:rsidR="00421A4A">
        <w:t>:</w:t>
      </w:r>
    </w:p>
    <w:p w14:paraId="7D21E885" w14:textId="510CDAC9" w:rsidR="004A66CD" w:rsidRDefault="0033291E" w:rsidP="00792A52">
      <w:pPr>
        <w:pStyle w:val="Bulletlevel1"/>
      </w:pPr>
      <w:r>
        <w:t>A</w:t>
      </w:r>
      <w:r w:rsidR="004A66CD">
        <w:t>mending</w:t>
      </w:r>
      <w:r w:rsidR="00F968CB">
        <w:t xml:space="preserve"> the</w:t>
      </w:r>
      <w:r w:rsidR="004A66CD">
        <w:t xml:space="preserve"> frequency limits for the 800 MHz </w:t>
      </w:r>
      <w:r w:rsidR="00F968CB">
        <w:t>TLMS</w:t>
      </w:r>
      <w:r w:rsidR="004A66CD">
        <w:t xml:space="preserve"> in Annex A (Table A1) from 806–870 MHz to 806–854 MHz.</w:t>
      </w:r>
    </w:p>
    <w:p w14:paraId="18E23014" w14:textId="75322F9D" w:rsidR="004A66CD" w:rsidRDefault="0033291E" w:rsidP="00792A52">
      <w:pPr>
        <w:pStyle w:val="Bulletlevel1"/>
      </w:pPr>
      <w:r>
        <w:t>R</w:t>
      </w:r>
      <w:r w:rsidR="004A66CD">
        <w:t>emoving Table B4.2, renaming Table B4.2a as Table B4.2 (which will put into effect the removal of the allocation at 820–825/865–870 MHz) and changing channel numbers from 201–440 to 1–240.</w:t>
      </w:r>
    </w:p>
    <w:p w14:paraId="385B2930" w14:textId="2159936C" w:rsidR="004A66CD" w:rsidRDefault="0033291E" w:rsidP="00E9591E">
      <w:pPr>
        <w:pStyle w:val="Bulletlevel1"/>
      </w:pPr>
      <w:r>
        <w:t>R</w:t>
      </w:r>
      <w:r w:rsidR="004A66CD">
        <w:t>emoving Table B4.1, renaming Table B4.1a as Table B4.1 and changing channel numbers from 201–440 to 1–240.</w:t>
      </w:r>
    </w:p>
    <w:p w14:paraId="3460A87D" w14:textId="4D936457" w:rsidR="00E9591E" w:rsidRDefault="0033291E" w:rsidP="00A57AF2">
      <w:pPr>
        <w:pStyle w:val="Bulletlevel1last"/>
      </w:pPr>
      <w:r>
        <w:t>C</w:t>
      </w:r>
      <w:r w:rsidR="00E9591E">
        <w:t>hanging channel numbers from 201</w:t>
      </w:r>
      <w:r>
        <w:t>–</w:t>
      </w:r>
      <w:r w:rsidR="00E9591E">
        <w:t>320 to 1</w:t>
      </w:r>
      <w:r>
        <w:t>–</w:t>
      </w:r>
      <w:r w:rsidR="00E9591E">
        <w:t>120 in Tables B5.1 and B5.2</w:t>
      </w:r>
    </w:p>
    <w:p w14:paraId="29477C71" w14:textId="239C0C66" w:rsidR="00A57AF2" w:rsidRDefault="00A57AF2" w:rsidP="006A58DF">
      <w:pPr>
        <w:pStyle w:val="Paragraphbeforelist"/>
      </w:pPr>
      <w:r>
        <w:t>In addition, changes are proposed to Annex E to:</w:t>
      </w:r>
    </w:p>
    <w:p w14:paraId="367DCD8C" w14:textId="71D02F68" w:rsidR="00A57AF2" w:rsidRDefault="0033291E" w:rsidP="00A57AF2">
      <w:pPr>
        <w:pStyle w:val="Bulletlevel1"/>
      </w:pPr>
      <w:r>
        <w:t>R</w:t>
      </w:r>
      <w:r w:rsidR="00617E1E">
        <w:t>eference</w:t>
      </w:r>
      <w:r w:rsidR="00A57AF2">
        <w:t xml:space="preserve"> the </w:t>
      </w:r>
      <w:r w:rsidR="00C50DDB">
        <w:t>updated</w:t>
      </w:r>
      <w:r w:rsidR="00A57AF2">
        <w:t xml:space="preserve"> coexistence arrangements with adjacent-band spectrum</w:t>
      </w:r>
      <w:r>
        <w:t>-</w:t>
      </w:r>
      <w:r w:rsidR="00A57AF2">
        <w:t>licensed services</w:t>
      </w:r>
      <w:r w:rsidR="00617E1E">
        <w:t xml:space="preserve"> contained in the applicable </w:t>
      </w:r>
      <w:r>
        <w:t>a</w:t>
      </w:r>
      <w:r w:rsidR="00617E1E">
        <w:t xml:space="preserve">dvisory </w:t>
      </w:r>
      <w:r>
        <w:t>g</w:t>
      </w:r>
      <w:r w:rsidR="00617E1E">
        <w:t>uidelines</w:t>
      </w:r>
      <w:r>
        <w:t>.</w:t>
      </w:r>
      <w:r w:rsidR="00A57AF2">
        <w:rPr>
          <w:rStyle w:val="FootnoteReference"/>
        </w:rPr>
        <w:footnoteReference w:id="2"/>
      </w:r>
      <w:r w:rsidR="00A57AF2">
        <w:t xml:space="preserve"> </w:t>
      </w:r>
    </w:p>
    <w:p w14:paraId="13434D2D" w14:textId="6A3B2D1B" w:rsidR="00A57AF2" w:rsidRDefault="0033291E" w:rsidP="00617E1E">
      <w:pPr>
        <w:pStyle w:val="Bulletlevel1last"/>
      </w:pPr>
      <w:r>
        <w:t>P</w:t>
      </w:r>
      <w:r w:rsidR="00A57AF2" w:rsidRPr="00792A52">
        <w:t>rovid</w:t>
      </w:r>
      <w:r w:rsidR="00F00E55">
        <w:t>e</w:t>
      </w:r>
      <w:r w:rsidR="00A57AF2">
        <w:t xml:space="preserve"> additional </w:t>
      </w:r>
      <w:r w:rsidR="00A57AF2" w:rsidRPr="00F90EFD">
        <w:t>criteria</w:t>
      </w:r>
      <w:r w:rsidR="00A57AF2">
        <w:t xml:space="preserve"> and guidance to aid coordination between </w:t>
      </w:r>
      <w:r w:rsidR="00F968CB">
        <w:t>TLMS</w:t>
      </w:r>
      <w:r w:rsidR="00A57AF2">
        <w:t xml:space="preserve"> and 700</w:t>
      </w:r>
      <w:r w:rsidR="00497270">
        <w:t> </w:t>
      </w:r>
      <w:r w:rsidR="00A57AF2">
        <w:t>MHz spectrum</w:t>
      </w:r>
      <w:r w:rsidR="00834979">
        <w:t>-</w:t>
      </w:r>
      <w:r w:rsidR="00A57AF2">
        <w:t>licensed services (</w:t>
      </w:r>
      <w:r w:rsidR="00F968CB">
        <w:t xml:space="preserve">these arrangements are discussed further in </w:t>
      </w:r>
      <w:r w:rsidR="00F326FA">
        <w:t xml:space="preserve">the </w:t>
      </w:r>
      <w:hyperlink w:anchor="_Coordination_with_700" w:history="1">
        <w:r w:rsidR="00F22B9A" w:rsidRPr="00834979">
          <w:rPr>
            <w:rStyle w:val="Hyperlink"/>
          </w:rPr>
          <w:t>Coordination with 700 MHz spectrum</w:t>
        </w:r>
        <w:r w:rsidR="00834979" w:rsidRPr="00834979">
          <w:rPr>
            <w:rStyle w:val="Hyperlink"/>
          </w:rPr>
          <w:t>-</w:t>
        </w:r>
        <w:r w:rsidR="00F22B9A" w:rsidRPr="00834979">
          <w:rPr>
            <w:rStyle w:val="Hyperlink"/>
          </w:rPr>
          <w:t>licensed transmitters</w:t>
        </w:r>
      </w:hyperlink>
      <w:r w:rsidR="00A57AF2">
        <w:fldChar w:fldCharType="begin"/>
      </w:r>
      <w:r w:rsidR="00A57AF2">
        <w:instrText xml:space="preserve"> REF _Ref130394102 \h </w:instrText>
      </w:r>
      <w:r w:rsidR="00617E1E">
        <w:instrText xml:space="preserve"> \* MERGEFORMAT </w:instrText>
      </w:r>
      <w:r w:rsidR="00D91BDD">
        <w:fldChar w:fldCharType="separate"/>
      </w:r>
      <w:r w:rsidR="00A57AF2">
        <w:fldChar w:fldCharType="end"/>
      </w:r>
      <w:r w:rsidR="00F326FA">
        <w:t xml:space="preserve"> section</w:t>
      </w:r>
      <w:r w:rsidR="00A57AF2">
        <w:t xml:space="preserve">). </w:t>
      </w:r>
    </w:p>
    <w:p w14:paraId="55078651" w14:textId="790762FD" w:rsidR="00521393" w:rsidRDefault="00521393" w:rsidP="00792A52">
      <w:pPr>
        <w:pStyle w:val="Paragraph"/>
      </w:pPr>
      <w:r>
        <w:t>A marked-up version of these</w:t>
      </w:r>
      <w:r w:rsidR="00716E82">
        <w:t xml:space="preserve"> proposed</w:t>
      </w:r>
      <w:r>
        <w:t xml:space="preserve"> changes is contained in Attachment A.</w:t>
      </w:r>
    </w:p>
    <w:p w14:paraId="434CCB72" w14:textId="0BD1D74E" w:rsidR="00BA66A0" w:rsidRDefault="00BA66A0" w:rsidP="00BA66A0">
      <w:pPr>
        <w:pStyle w:val="Heading2"/>
      </w:pPr>
      <w:bookmarkStart w:id="12" w:name="_Toc148015261"/>
      <w:r>
        <w:t>RALI</w:t>
      </w:r>
      <w:r w:rsidR="00521393">
        <w:t>s</w:t>
      </w:r>
      <w:r>
        <w:t xml:space="preserve"> FX16</w:t>
      </w:r>
      <w:r w:rsidR="00521393">
        <w:t xml:space="preserve"> and FX22</w:t>
      </w:r>
      <w:bookmarkEnd w:id="12"/>
      <w:r w:rsidR="00521393">
        <w:t xml:space="preserve"> </w:t>
      </w:r>
    </w:p>
    <w:p w14:paraId="30CC136B" w14:textId="3F67AF30" w:rsidR="00FC1DEB" w:rsidRDefault="00146373" w:rsidP="00BA66A0">
      <w:pPr>
        <w:pStyle w:val="Paragraph"/>
      </w:pPr>
      <w:bookmarkStart w:id="13" w:name="_Hlk132116272"/>
      <w:r>
        <w:t>RALIs FX16</w:t>
      </w:r>
      <w:r w:rsidR="00C878BA">
        <w:rPr>
          <w:rStyle w:val="FootnoteReference"/>
        </w:rPr>
        <w:footnoteReference w:id="3"/>
      </w:r>
      <w:r>
        <w:t xml:space="preserve"> and FX22</w:t>
      </w:r>
      <w:r w:rsidR="00C878BA">
        <w:rPr>
          <w:rStyle w:val="FootnoteReference"/>
        </w:rPr>
        <w:footnoteReference w:id="4"/>
      </w:r>
      <w:r>
        <w:t xml:space="preserve"> contain frequency assignment and coordination criteria for </w:t>
      </w:r>
      <w:r w:rsidR="00F968CB">
        <w:t>800</w:t>
      </w:r>
      <w:r w:rsidR="00AC6368">
        <w:t> </w:t>
      </w:r>
      <w:r w:rsidR="00F968CB">
        <w:t xml:space="preserve">MHz band </w:t>
      </w:r>
      <w:r w:rsidR="00C50DDB">
        <w:t xml:space="preserve">point-to-multipoint </w:t>
      </w:r>
      <w:r w:rsidR="007B2D22">
        <w:t xml:space="preserve">(PMP) </w:t>
      </w:r>
      <w:r w:rsidR="00C50DDB">
        <w:t xml:space="preserve">and point-to-point </w:t>
      </w:r>
      <w:r w:rsidR="007B2D22">
        <w:t>(</w:t>
      </w:r>
      <w:r w:rsidR="00147800">
        <w:t>PTP</w:t>
      </w:r>
      <w:r w:rsidR="007B2D22">
        <w:t xml:space="preserve">) </w:t>
      </w:r>
      <w:r w:rsidR="00C50DDB">
        <w:t>services respectively.</w:t>
      </w:r>
      <w:r w:rsidR="00F968CB">
        <w:rPr>
          <w:rStyle w:val="FootnoteReference"/>
        </w:rPr>
        <w:footnoteReference w:id="5"/>
      </w:r>
      <w:r w:rsidR="00C50DDB">
        <w:t xml:space="preserve"> </w:t>
      </w:r>
      <w:r w:rsidR="00834979">
        <w:t>We</w:t>
      </w:r>
      <w:r w:rsidR="004A66CD">
        <w:t xml:space="preserve"> intend to make to minor, factual updates to </w:t>
      </w:r>
      <w:r w:rsidR="00C50DDB">
        <w:t>these RALIs</w:t>
      </w:r>
      <w:r w:rsidR="004A66CD">
        <w:t xml:space="preserve"> to re</w:t>
      </w:r>
      <w:r w:rsidR="00C50DDB">
        <w:t>ference</w:t>
      </w:r>
      <w:r w:rsidR="004A66CD">
        <w:t xml:space="preserve"> the </w:t>
      </w:r>
      <w:r w:rsidR="00C50DDB">
        <w:t>updated</w:t>
      </w:r>
      <w:r w:rsidR="004A66CD">
        <w:t xml:space="preserve"> coexistence arrangements</w:t>
      </w:r>
      <w:r w:rsidR="00C50DDB">
        <w:t xml:space="preserve"> with adjacent-band spectrum</w:t>
      </w:r>
      <w:r w:rsidR="00EF7ADC">
        <w:t>-</w:t>
      </w:r>
      <w:r w:rsidR="00C50DDB">
        <w:t>licensed services</w:t>
      </w:r>
      <w:r w:rsidR="00F968CB">
        <w:t xml:space="preserve"> contained in the applicable </w:t>
      </w:r>
      <w:r w:rsidR="00EF7ADC">
        <w:t>a</w:t>
      </w:r>
      <w:r w:rsidR="00F968CB">
        <w:t xml:space="preserve">dvisory </w:t>
      </w:r>
      <w:r w:rsidR="00EF7ADC">
        <w:t>g</w:t>
      </w:r>
      <w:r w:rsidR="00F968CB">
        <w:t>uidelines</w:t>
      </w:r>
      <w:r w:rsidR="00EF7ADC">
        <w:t>.</w:t>
      </w:r>
      <w:r w:rsidR="00521393" w:rsidRPr="00521393">
        <w:rPr>
          <w:vertAlign w:val="superscript"/>
        </w:rPr>
        <w:t>1</w:t>
      </w:r>
      <w:r w:rsidR="00521393">
        <w:t xml:space="preserve"> </w:t>
      </w:r>
      <w:r w:rsidR="00EF7ADC">
        <w:t xml:space="preserve">We also want to </w:t>
      </w:r>
      <w:r w:rsidR="00C50DDB">
        <w:t>provid</w:t>
      </w:r>
      <w:r w:rsidR="00EF7ADC">
        <w:t>e</w:t>
      </w:r>
      <w:r w:rsidR="004A66CD">
        <w:t xml:space="preserve"> additional criteria and guidance to aid coordination </w:t>
      </w:r>
      <w:r w:rsidR="00C50DDB">
        <w:t>with</w:t>
      </w:r>
      <w:r w:rsidR="004A66CD">
        <w:t xml:space="preserve"> 700 MHz spectrum</w:t>
      </w:r>
      <w:r w:rsidR="00EF7ADC">
        <w:t>-</w:t>
      </w:r>
      <w:r w:rsidR="004A66CD">
        <w:t>licensed services</w:t>
      </w:r>
      <w:r w:rsidR="00521393">
        <w:t xml:space="preserve"> </w:t>
      </w:r>
      <w:bookmarkStart w:id="14" w:name="_Hlk132269185"/>
      <w:r w:rsidR="00F968CB">
        <w:t>(these arrangements are discussed further in</w:t>
      </w:r>
      <w:r w:rsidR="00EC7CD0">
        <w:t xml:space="preserve"> the</w:t>
      </w:r>
      <w:r w:rsidR="00F968CB">
        <w:t xml:space="preserve"> </w:t>
      </w:r>
      <w:hyperlink w:anchor="_Coordination_with_700" w:history="1">
        <w:r w:rsidR="00F22B9A" w:rsidRPr="00EF7ADC">
          <w:rPr>
            <w:rStyle w:val="Hyperlink"/>
          </w:rPr>
          <w:t>Coordination with 700 MHz spectrum licensed transmitters</w:t>
        </w:r>
      </w:hyperlink>
      <w:r w:rsidR="00F22B9A">
        <w:fldChar w:fldCharType="begin"/>
      </w:r>
      <w:r w:rsidR="00F22B9A">
        <w:instrText xml:space="preserve"> REF _Ref130394102 \h  \* MERGEFORMAT </w:instrText>
      </w:r>
      <w:r w:rsidR="00D91BDD">
        <w:fldChar w:fldCharType="separate"/>
      </w:r>
      <w:r w:rsidR="00F22B9A">
        <w:fldChar w:fldCharType="end"/>
      </w:r>
      <w:r w:rsidR="00F22B9A">
        <w:t xml:space="preserve"> </w:t>
      </w:r>
      <w:r w:rsidR="00F968CB">
        <w:fldChar w:fldCharType="begin"/>
      </w:r>
      <w:r w:rsidR="00F968CB">
        <w:instrText xml:space="preserve"> REF _Ref130394102 \h  \* MERGEFORMAT </w:instrText>
      </w:r>
      <w:r w:rsidR="00D91BDD">
        <w:fldChar w:fldCharType="separate"/>
      </w:r>
      <w:r w:rsidR="00F968CB">
        <w:fldChar w:fldCharType="end"/>
      </w:r>
      <w:r w:rsidR="00EC7CD0">
        <w:t>section</w:t>
      </w:r>
      <w:r w:rsidR="00F968CB">
        <w:t xml:space="preserve">). </w:t>
      </w:r>
    </w:p>
    <w:bookmarkEnd w:id="14"/>
    <w:p w14:paraId="2F7C30D4" w14:textId="51F90B85" w:rsidR="00521393" w:rsidRDefault="00146373" w:rsidP="00BA66A0">
      <w:pPr>
        <w:pStyle w:val="Paragraph"/>
      </w:pPr>
      <w:r>
        <w:t>M</w:t>
      </w:r>
      <w:r w:rsidR="00521393">
        <w:t>arked-up version</w:t>
      </w:r>
      <w:r>
        <w:t>s</w:t>
      </w:r>
      <w:r w:rsidR="00521393">
        <w:t xml:space="preserve"> of </w:t>
      </w:r>
      <w:r w:rsidR="00716E82">
        <w:t xml:space="preserve">proposed </w:t>
      </w:r>
      <w:r w:rsidR="00521393">
        <w:t>changes</w:t>
      </w:r>
      <w:r w:rsidR="00864342">
        <w:t xml:space="preserve"> to RALIs FX16 and FX22</w:t>
      </w:r>
      <w:r w:rsidR="00521393">
        <w:t xml:space="preserve"> are contained in Attachments B and C</w:t>
      </w:r>
      <w:r w:rsidR="00864342">
        <w:t xml:space="preserve"> respectively</w:t>
      </w:r>
      <w:r w:rsidR="00521393">
        <w:t>.</w:t>
      </w:r>
    </w:p>
    <w:p w14:paraId="0BCA93D0" w14:textId="004ACE8B" w:rsidR="00363CF5" w:rsidRDefault="00363CF5" w:rsidP="00363CF5">
      <w:pPr>
        <w:pStyle w:val="Heading2"/>
      </w:pPr>
      <w:bookmarkStart w:id="15" w:name="_Document_SP_4/93"/>
      <w:bookmarkStart w:id="16" w:name="_Toc148015262"/>
      <w:bookmarkEnd w:id="13"/>
      <w:bookmarkEnd w:id="15"/>
      <w:r>
        <w:t>Document SP 4/93</w:t>
      </w:r>
      <w:bookmarkEnd w:id="16"/>
    </w:p>
    <w:p w14:paraId="50E26564" w14:textId="5E7C6236" w:rsidR="00363CF5" w:rsidRPr="00363CF5" w:rsidRDefault="00363CF5" w:rsidP="00363CF5">
      <w:pPr>
        <w:pStyle w:val="Paragraph"/>
      </w:pPr>
      <w:r>
        <w:t xml:space="preserve">Document SP 4/93 contains the coordination procedure for </w:t>
      </w:r>
      <w:r w:rsidR="00AC6368">
        <w:t xml:space="preserve">apparatus-licensed </w:t>
      </w:r>
      <w:r>
        <w:t>services in the 857</w:t>
      </w:r>
      <w:r w:rsidR="00EF7ADC">
        <w:t>–</w:t>
      </w:r>
      <w:r>
        <w:t xml:space="preserve">861 MHz band. </w:t>
      </w:r>
      <w:r w:rsidR="00AC6368">
        <w:t xml:space="preserve">This band is subject to the </w:t>
      </w:r>
      <w:hyperlink r:id="rId25" w:history="1">
        <w:r w:rsidR="00AC6368" w:rsidRPr="004C2D1A">
          <w:rPr>
            <w:rStyle w:val="Hyperlink"/>
          </w:rPr>
          <w:t>Radiocommunications (Spectrum Re-allocation – 850/900 MHz Band) Declaration 2020</w:t>
        </w:r>
      </w:hyperlink>
      <w:r w:rsidR="00AC6368">
        <w:t>, which re-allocate</w:t>
      </w:r>
      <w:r w:rsidR="00B51FF1">
        <w:t>s</w:t>
      </w:r>
      <w:r w:rsidR="00AC6368">
        <w:t xml:space="preserve"> this band for spectrum licensing within the designated area. In addition,</w:t>
      </w:r>
      <w:r w:rsidR="00D4404D">
        <w:t xml:space="preserve"> </w:t>
      </w:r>
      <w:hyperlink r:id="rId26" w:history="1">
        <w:r w:rsidR="00D4404D" w:rsidRPr="00363CF5">
          <w:rPr>
            <w:rStyle w:val="Hyperlink"/>
          </w:rPr>
          <w:t xml:space="preserve">RALI MS40 </w:t>
        </w:r>
        <w:r w:rsidR="00EF7ADC">
          <w:rPr>
            <w:rStyle w:val="Hyperlink"/>
          </w:rPr>
          <w:t>–</w:t>
        </w:r>
        <w:r w:rsidR="00D4404D" w:rsidRPr="00363CF5">
          <w:rPr>
            <w:rStyle w:val="Hyperlink"/>
          </w:rPr>
          <w:t xml:space="preserve"> Frequency plan for services in the 800 MHz band</w:t>
        </w:r>
      </w:hyperlink>
      <w:r w:rsidR="00D4404D">
        <w:t xml:space="preserve"> prohibits new </w:t>
      </w:r>
      <w:r w:rsidR="00147800">
        <w:t>PTP</w:t>
      </w:r>
      <w:r w:rsidR="00D4404D">
        <w:t xml:space="preserve"> and </w:t>
      </w:r>
      <w:r w:rsidR="00EF7ADC">
        <w:t>c</w:t>
      </w:r>
      <w:r w:rsidR="00D4404D">
        <w:t>or</w:t>
      </w:r>
      <w:r w:rsidR="00A645B3">
        <w:t>d</w:t>
      </w:r>
      <w:r w:rsidR="00D4404D">
        <w:t>less telephone service assignments in this</w:t>
      </w:r>
      <w:r w:rsidR="00B51FF1">
        <w:t xml:space="preserve"> frequency</w:t>
      </w:r>
      <w:r w:rsidR="00D4404D">
        <w:t xml:space="preserve"> range f</w:t>
      </w:r>
      <w:r>
        <w:t>rom 1 July 202</w:t>
      </w:r>
      <w:r w:rsidR="00D4404D">
        <w:t>3</w:t>
      </w:r>
      <w:r w:rsidR="00EF7ADC">
        <w:t xml:space="preserve">. It </w:t>
      </w:r>
      <w:r w:rsidR="00D4404D">
        <w:t xml:space="preserve">outlines that </w:t>
      </w:r>
      <w:r>
        <w:t>existing services must vacate the band by 30 June 2024</w:t>
      </w:r>
      <w:r w:rsidR="00D4404D">
        <w:t xml:space="preserve">. </w:t>
      </w:r>
      <w:r w:rsidR="00864342">
        <w:t>Accordingly</w:t>
      </w:r>
      <w:r w:rsidR="004C2D1A">
        <w:t>, the coordination procedure</w:t>
      </w:r>
      <w:r w:rsidR="00864342">
        <w:t xml:space="preserve"> set out</w:t>
      </w:r>
      <w:r w:rsidR="004C2D1A">
        <w:t xml:space="preserve"> in SP 4/93 has become redundant and</w:t>
      </w:r>
      <w:r w:rsidR="00497270">
        <w:t xml:space="preserve"> the document is proposed to</w:t>
      </w:r>
      <w:r w:rsidR="004C2D1A">
        <w:t xml:space="preserve"> be suppressed.</w:t>
      </w:r>
    </w:p>
    <w:p w14:paraId="390CF821" w14:textId="64D09CFD" w:rsidR="00BA66A0" w:rsidRDefault="00DE0B95" w:rsidP="002F64DA">
      <w:pPr>
        <w:pStyle w:val="Heading1"/>
      </w:pPr>
      <w:bookmarkStart w:id="17" w:name="_Coordination_with_700"/>
      <w:bookmarkStart w:id="18" w:name="_Ref130394102"/>
      <w:bookmarkStart w:id="19" w:name="_Toc148015263"/>
      <w:bookmarkEnd w:id="17"/>
      <w:r>
        <w:t xml:space="preserve">Coordination with 700 MHz </w:t>
      </w:r>
      <w:r w:rsidR="00FC1DEB">
        <w:t>spectrum</w:t>
      </w:r>
      <w:r w:rsidR="00BA53C8">
        <w:t>-</w:t>
      </w:r>
      <w:r w:rsidR="00FC1DEB">
        <w:t>licensed transmitters</w:t>
      </w:r>
      <w:bookmarkEnd w:id="18"/>
      <w:bookmarkEnd w:id="19"/>
    </w:p>
    <w:p w14:paraId="577CB412" w14:textId="0606790E" w:rsidR="00357028" w:rsidRDefault="006F4874" w:rsidP="00357028">
      <w:r>
        <w:t>A</w:t>
      </w:r>
      <w:r w:rsidRPr="006F4874">
        <w:t xml:space="preserve"> key </w:t>
      </w:r>
      <w:r w:rsidR="00277F8F">
        <w:t>outcome</w:t>
      </w:r>
      <w:r w:rsidRPr="006F4874">
        <w:t xml:space="preserve"> of the</w:t>
      </w:r>
      <w:r w:rsidRPr="00E05DF6">
        <w:t xml:space="preserve"> 803–960 MHz band</w:t>
      </w:r>
      <w:r>
        <w:t xml:space="preserve"> review </w:t>
      </w:r>
      <w:r w:rsidR="00223C52">
        <w:t>was</w:t>
      </w:r>
      <w:r w:rsidRPr="006F4874">
        <w:t xml:space="preserve"> the progressive clearance </w:t>
      </w:r>
      <w:r w:rsidR="00D6632C">
        <w:br/>
      </w:r>
      <w:r w:rsidRPr="006F4874">
        <w:t xml:space="preserve">of </w:t>
      </w:r>
      <w:r w:rsidR="00277F8F">
        <w:t xml:space="preserve">apparatus licensed services from </w:t>
      </w:r>
      <w:r w:rsidRPr="006F4874">
        <w:t xml:space="preserve">the 850 MHz ‘expansion’ band </w:t>
      </w:r>
      <w:r w:rsidR="00D6632C">
        <w:br/>
      </w:r>
      <w:r w:rsidR="00C70A68">
        <w:t>(</w:t>
      </w:r>
      <w:r w:rsidR="00277F8F">
        <w:t>809</w:t>
      </w:r>
      <w:r w:rsidR="00D6632C">
        <w:t>–</w:t>
      </w:r>
      <w:r w:rsidR="00277F8F">
        <w:t>825/854</w:t>
      </w:r>
      <w:r w:rsidR="00D6632C">
        <w:t>–</w:t>
      </w:r>
      <w:r w:rsidR="00277F8F">
        <w:t>870 MHz)</w:t>
      </w:r>
      <w:r w:rsidR="00C70A68">
        <w:t xml:space="preserve"> to allow this spectrum to be repurposed </w:t>
      </w:r>
      <w:r w:rsidRPr="006F4874">
        <w:t>for mobile broadband services.</w:t>
      </w:r>
      <w:r w:rsidR="00C70A68">
        <w:t xml:space="preserve"> The 814</w:t>
      </w:r>
      <w:r w:rsidR="00D6632C">
        <w:t>–</w:t>
      </w:r>
      <w:r w:rsidR="00C70A68">
        <w:t>824/859</w:t>
      </w:r>
      <w:r w:rsidR="00D6632C">
        <w:t>–</w:t>
      </w:r>
      <w:r w:rsidR="00C70A68">
        <w:t>869 MHz band has since been reallocated for spectrum licensing</w:t>
      </w:r>
      <w:r w:rsidR="00D6632C">
        <w:t>,</w:t>
      </w:r>
      <w:r w:rsidR="00C70A68">
        <w:t xml:space="preserve"> and </w:t>
      </w:r>
      <w:r w:rsidR="00223C52">
        <w:t>licences were</w:t>
      </w:r>
      <w:r w:rsidR="00C70A68">
        <w:t xml:space="preserve"> a</w:t>
      </w:r>
      <w:r w:rsidR="00223C52">
        <w:t>ssigned</w:t>
      </w:r>
      <w:r w:rsidR="00C70A68">
        <w:t xml:space="preserve"> </w:t>
      </w:r>
      <w:hyperlink r:id="rId27" w:history="1">
        <w:r w:rsidR="00C70A68" w:rsidRPr="00C70A68">
          <w:rPr>
            <w:rStyle w:val="Hyperlink"/>
          </w:rPr>
          <w:t>via auction in late-2021</w:t>
        </w:r>
      </w:hyperlink>
      <w:r w:rsidR="00C70A68">
        <w:t>.</w:t>
      </w:r>
      <w:r w:rsidR="00223C52">
        <w:rPr>
          <w:rStyle w:val="FootnoteReference"/>
        </w:rPr>
        <w:footnoteReference w:id="6"/>
      </w:r>
    </w:p>
    <w:p w14:paraId="6735CE40" w14:textId="4ED12867" w:rsidR="002D1A99" w:rsidRDefault="00C70A68" w:rsidP="00DE0B95">
      <w:pPr>
        <w:pStyle w:val="Paragraph"/>
      </w:pPr>
      <w:r>
        <w:t xml:space="preserve">A consequence of this band clearance work was to reallocate new spectrum for </w:t>
      </w:r>
      <w:r w:rsidR="00D00E1A">
        <w:t>apparatus</w:t>
      </w:r>
      <w:r w:rsidR="00D6632C">
        <w:t>-</w:t>
      </w:r>
      <w:r w:rsidR="00D00E1A">
        <w:t>licensed</w:t>
      </w:r>
      <w:r w:rsidR="00357028">
        <w:t xml:space="preserve"> </w:t>
      </w:r>
      <w:r>
        <w:t>P</w:t>
      </w:r>
      <w:r w:rsidR="00932844">
        <w:t>T</w:t>
      </w:r>
      <w:r>
        <w:t xml:space="preserve">P, PMP and </w:t>
      </w:r>
      <w:r w:rsidR="00D00E1A">
        <w:t xml:space="preserve">land mobile services </w:t>
      </w:r>
      <w:r w:rsidR="00357028">
        <w:t xml:space="preserve">in </w:t>
      </w:r>
      <w:r w:rsidR="006D692E">
        <w:t xml:space="preserve">the </w:t>
      </w:r>
      <w:r w:rsidR="00357028">
        <w:t xml:space="preserve">804–806/849–851 MHz </w:t>
      </w:r>
      <w:r w:rsidR="00814869">
        <w:t>f</w:t>
      </w:r>
      <w:r w:rsidR="00291A2D">
        <w:t>requency range</w:t>
      </w:r>
      <w:r w:rsidR="002D1A99">
        <w:t>. This result</w:t>
      </w:r>
      <w:r w:rsidR="009747D9">
        <w:t>ed</w:t>
      </w:r>
      <w:r w:rsidR="002D1A99">
        <w:t xml:space="preserve"> in a smaller frequency separation from the base-transmit segment of the 700 MHz spectrum</w:t>
      </w:r>
      <w:r w:rsidR="00D6632C">
        <w:t>-</w:t>
      </w:r>
      <w:r w:rsidR="002D1A99">
        <w:t>licensed band below 803 MHz</w:t>
      </w:r>
      <w:r w:rsidR="00D6632C">
        <w:t>,</w:t>
      </w:r>
      <w:r w:rsidR="00F968CB">
        <w:t xml:space="preserve"> compared to the legacy frequency allocations for these </w:t>
      </w:r>
      <w:r w:rsidR="002D147A">
        <w:t>apparatus</w:t>
      </w:r>
      <w:r w:rsidR="00D6632C">
        <w:t>-</w:t>
      </w:r>
      <w:r w:rsidR="002D147A">
        <w:t xml:space="preserve">licensed </w:t>
      </w:r>
      <w:r w:rsidR="00F968CB">
        <w:t>services. The n</w:t>
      </w:r>
      <w:r w:rsidR="009233AE">
        <w:t xml:space="preserve">ew </w:t>
      </w:r>
      <w:r w:rsidR="00F968CB">
        <w:t xml:space="preserve">frequency </w:t>
      </w:r>
      <w:r w:rsidR="009233AE">
        <w:t>arrangements are depicted in Figure 1</w:t>
      </w:r>
      <w:r w:rsidR="002D147A">
        <w:t xml:space="preserve"> for reference</w:t>
      </w:r>
      <w:r w:rsidR="009233AE">
        <w:t>.</w:t>
      </w:r>
    </w:p>
    <w:p w14:paraId="2C2E7381" w14:textId="77777777" w:rsidR="00DC1139" w:rsidRDefault="00DC1139" w:rsidP="00DC1139">
      <w:pPr>
        <w:pStyle w:val="Figureheading"/>
      </w:pPr>
      <w:r>
        <w:t>New frequency arrangements around the 803 MHz boundary (paired frequency segments not shown)</w:t>
      </w:r>
    </w:p>
    <w:p w14:paraId="23A19288" w14:textId="38CE75F5" w:rsidR="002E43E9" w:rsidRDefault="00633077" w:rsidP="00DE0B95">
      <w:pPr>
        <w:pStyle w:val="Paragraph"/>
      </w:pPr>
      <w:r>
        <w:rPr>
          <w:noProof/>
        </w:rPr>
        <mc:AlternateContent>
          <mc:Choice Requires="wps">
            <w:drawing>
              <wp:anchor distT="0" distB="0" distL="114300" distR="114300" simplePos="0" relativeHeight="251658257" behindDoc="0" locked="0" layoutInCell="1" allowOverlap="1" wp14:anchorId="1A106F45" wp14:editId="0AB478F0">
                <wp:simplePos x="0" y="0"/>
                <wp:positionH relativeFrom="column">
                  <wp:posOffset>3335020</wp:posOffset>
                </wp:positionH>
                <wp:positionV relativeFrom="paragraph">
                  <wp:posOffset>90805</wp:posOffset>
                </wp:positionV>
                <wp:extent cx="819150" cy="238125"/>
                <wp:effectExtent l="42862" t="0" r="119063" b="0"/>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3655187">
                          <a:off x="0" y="0"/>
                          <a:ext cx="819150" cy="238125"/>
                        </a:xfrm>
                        <a:prstGeom prst="rect">
                          <a:avLst/>
                        </a:prstGeom>
                        <a:noFill/>
                        <a:ln w="6350">
                          <a:noFill/>
                        </a:ln>
                      </wps:spPr>
                      <wps:txbx>
                        <w:txbxContent>
                          <w:p w14:paraId="65A43D62" w14:textId="046BF571" w:rsidR="00DE7013" w:rsidRDefault="00DE7013" w:rsidP="00DE7013">
                            <w:r>
                              <w:t>804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106F45" id="_x0000_t202" coordsize="21600,21600" o:spt="202" path="m,l,21600r21600,l21600,xe">
                <v:stroke joinstyle="miter"/>
                <v:path gradientshapeok="t" o:connecttype="rect"/>
              </v:shapetype>
              <v:shape id="Text Box 17" o:spid="_x0000_s1026" type="#_x0000_t202" alt="&quot;&quot;" style="position:absolute;margin-left:262.6pt;margin-top:7.15pt;width:64.5pt;height:18.75pt;rotation:3992439fd;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" filled="f" stroked="f" strokeweight=".5pt">
                <v:textbox>
                  <w:txbxContent>
                    <w:p w14:paraId="65A43D62" w14:textId="046BF571" w:rsidR="00DE7013" w:rsidRDefault="00DE7013" w:rsidP="00DE7013">
                      <w:r>
                        <w:t>804 MHz</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17BB421" wp14:editId="48903E8B">
                <wp:simplePos x="0" y="0"/>
                <wp:positionH relativeFrom="column">
                  <wp:posOffset>3107055</wp:posOffset>
                </wp:positionH>
                <wp:positionV relativeFrom="paragraph">
                  <wp:posOffset>105410</wp:posOffset>
                </wp:positionV>
                <wp:extent cx="819150" cy="238125"/>
                <wp:effectExtent l="42862" t="0" r="119063"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3655187">
                          <a:off x="0" y="0"/>
                          <a:ext cx="819150" cy="238125"/>
                        </a:xfrm>
                        <a:prstGeom prst="rect">
                          <a:avLst/>
                        </a:prstGeom>
                        <a:noFill/>
                        <a:ln w="6350">
                          <a:noFill/>
                        </a:ln>
                      </wps:spPr>
                      <wps:txbx>
                        <w:txbxContent>
                          <w:p w14:paraId="1FBC3F14" w14:textId="701CCACA" w:rsidR="00DE7013" w:rsidRDefault="00DE7013" w:rsidP="00DE7013">
                            <w:r>
                              <w:t>803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BB421" id="Text Box 18" o:spid="_x0000_s1027" type="#_x0000_t202" alt="&quot;&quot;" style="position:absolute;margin-left:244.65pt;margin-top:8.3pt;width:64.5pt;height:18.75pt;rotation:3992439fd;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" filled="f" stroked="f" strokeweight=".5pt">
                <v:textbox>
                  <w:txbxContent>
                    <w:p w14:paraId="1FBC3F14" w14:textId="701CCACA" w:rsidR="00DE7013" w:rsidRDefault="00DE7013" w:rsidP="00DE7013">
                      <w:r>
                        <w:t>803 MHz</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77A21017" wp14:editId="60BC2C8A">
                <wp:simplePos x="0" y="0"/>
                <wp:positionH relativeFrom="column">
                  <wp:posOffset>4765040</wp:posOffset>
                </wp:positionH>
                <wp:positionV relativeFrom="paragraph">
                  <wp:posOffset>95885</wp:posOffset>
                </wp:positionV>
                <wp:extent cx="819150" cy="238125"/>
                <wp:effectExtent l="42862" t="0" r="119063"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3655187">
                          <a:off x="0" y="0"/>
                          <a:ext cx="819150" cy="238125"/>
                        </a:xfrm>
                        <a:prstGeom prst="rect">
                          <a:avLst/>
                        </a:prstGeom>
                        <a:noFill/>
                        <a:ln w="6350">
                          <a:noFill/>
                        </a:ln>
                      </wps:spPr>
                      <wps:txbx>
                        <w:txbxContent>
                          <w:p w14:paraId="6FB0BFD2" w14:textId="4663FBF0" w:rsidR="00DE7013" w:rsidRDefault="00DE7013" w:rsidP="00DE7013">
                            <w:r>
                              <w:t>809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21017" id="Text Box 16" o:spid="_x0000_s1028" type="#_x0000_t202" alt="&quot;&quot;" style="position:absolute;margin-left:375.2pt;margin-top:7.55pt;width:64.5pt;height:18.75pt;rotation:3992439fd;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" filled="f" stroked="f" strokeweight=".5pt">
                <v:textbox>
                  <w:txbxContent>
                    <w:p w14:paraId="6FB0BFD2" w14:textId="4663FBF0" w:rsidR="00DE7013" w:rsidRDefault="00DE7013" w:rsidP="00DE7013">
                      <w:r>
                        <w:t>809 MHz</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22220088" wp14:editId="2E05A65E">
                <wp:simplePos x="0" y="0"/>
                <wp:positionH relativeFrom="column">
                  <wp:posOffset>3876675</wp:posOffset>
                </wp:positionH>
                <wp:positionV relativeFrom="paragraph">
                  <wp:posOffset>95250</wp:posOffset>
                </wp:positionV>
                <wp:extent cx="819150" cy="238125"/>
                <wp:effectExtent l="42862" t="0" r="119063"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3655187">
                          <a:off x="0" y="0"/>
                          <a:ext cx="819150" cy="238125"/>
                        </a:xfrm>
                        <a:prstGeom prst="rect">
                          <a:avLst/>
                        </a:prstGeom>
                        <a:noFill/>
                        <a:ln w="6350">
                          <a:noFill/>
                        </a:ln>
                      </wps:spPr>
                      <wps:txbx>
                        <w:txbxContent>
                          <w:p w14:paraId="11011E64" w14:textId="2CFF0640" w:rsidR="00DE7013" w:rsidRDefault="00DE7013" w:rsidP="00DE7013">
                            <w:r>
                              <w:t>806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220088" id="Text Box 13" o:spid="_x0000_s1029" type="#_x0000_t202" alt="&quot;&quot;" style="position:absolute;margin-left:305.25pt;margin-top:7.5pt;width:64.5pt;height:18.75pt;rotation:3992439fd;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" filled="f" stroked="f" strokeweight=".5pt">
                <v:textbox>
                  <w:txbxContent>
                    <w:p w14:paraId="11011E64" w14:textId="2CFF0640" w:rsidR="00DE7013" w:rsidRDefault="00DE7013" w:rsidP="00DE7013">
                      <w:r>
                        <w:t>806 MHz</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623F4BD" wp14:editId="29CC1DC5">
                <wp:simplePos x="0" y="0"/>
                <wp:positionH relativeFrom="column">
                  <wp:posOffset>3662252</wp:posOffset>
                </wp:positionH>
                <wp:positionV relativeFrom="paragraph">
                  <wp:posOffset>24447</wp:posOffset>
                </wp:positionV>
                <wp:extent cx="819150" cy="238125"/>
                <wp:effectExtent l="42862" t="0" r="119063"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3655187">
                          <a:off x="0" y="0"/>
                          <a:ext cx="819150" cy="238125"/>
                        </a:xfrm>
                        <a:prstGeom prst="rect">
                          <a:avLst/>
                        </a:prstGeom>
                        <a:noFill/>
                        <a:ln w="6350">
                          <a:noFill/>
                        </a:ln>
                      </wps:spPr>
                      <wps:txbx>
                        <w:txbxContent>
                          <w:p w14:paraId="539DFDFB" w14:textId="67B3C4DA" w:rsidR="00DE7013" w:rsidRDefault="00DE7013">
                            <w:r>
                              <w:t>805.5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23F4BD" id="Text Box 12" o:spid="_x0000_s1030" type="#_x0000_t202" alt="&quot;&quot;" style="position:absolute;margin-left:288.35pt;margin-top:1.9pt;width:64.5pt;height:18.75pt;rotation:3992439fd;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" filled="f" stroked="f" strokeweight=".5pt">
                <v:textbox>
                  <w:txbxContent>
                    <w:p w14:paraId="539DFDFB" w14:textId="67B3C4DA" w:rsidR="00DE7013" w:rsidRDefault="00DE7013">
                      <w:r>
                        <w:t>805.5 MHz</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28A4E086" wp14:editId="085CEBC5">
                <wp:simplePos x="0" y="0"/>
                <wp:positionH relativeFrom="column">
                  <wp:posOffset>4215130</wp:posOffset>
                </wp:positionH>
                <wp:positionV relativeFrom="paragraph">
                  <wp:posOffset>654050</wp:posOffset>
                </wp:positionV>
                <wp:extent cx="133350" cy="942975"/>
                <wp:effectExtent l="0" t="0" r="19050"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942975"/>
                        </a:xfrm>
                        <a:prstGeom prst="rect">
                          <a:avLst/>
                        </a:prstGeom>
                        <a:pattFill prst="wdUpDiag">
                          <a:fgClr>
                            <a:schemeClr val="tx1"/>
                          </a:fgClr>
                          <a:bgClr>
                            <a:srgbClr val="00B0F0"/>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F33E1" w14:textId="77777777" w:rsidR="002E43E9" w:rsidRPr="002E43E9" w:rsidRDefault="002E43E9" w:rsidP="002E43E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A4E086" id="Rectangle 6" o:spid="_x0000_s1031" alt="&quot;&quot;" style="position:absolute;margin-left:331.9pt;margin-top:51.5pt;width:10.5pt;height:74.2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" fillcolor="black [3213]" strokecolor="black [3213]">
                <v:fill r:id="rId28" o:title="" color2="#00b0f0" type="pattern"/>
                <v:textbox>
                  <w:txbxContent>
                    <w:p w14:paraId="3D8F33E1" w14:textId="77777777" w:rsidR="002E43E9" w:rsidRPr="002E43E9" w:rsidRDefault="002E43E9" w:rsidP="002E43E9">
                      <w:pPr>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29F2F99A" wp14:editId="6FCDA0F5">
                <wp:simplePos x="0" y="0"/>
                <wp:positionH relativeFrom="column">
                  <wp:posOffset>3576320</wp:posOffset>
                </wp:positionH>
                <wp:positionV relativeFrom="paragraph">
                  <wp:posOffset>654050</wp:posOffset>
                </wp:positionV>
                <wp:extent cx="238125" cy="942975"/>
                <wp:effectExtent l="0" t="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942975"/>
                        </a:xfrm>
                        <a:prstGeom prst="rect">
                          <a:avLst/>
                        </a:prstGeom>
                        <a:solidFill>
                          <a:srgbClr val="FF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55E35" w14:textId="0D34A249" w:rsidR="002E43E9" w:rsidRPr="002E43E9" w:rsidRDefault="002E43E9" w:rsidP="00DE7013">
                            <w:pPr>
                              <w:rPr>
                                <w:color w:val="000000" w:themeColor="text1"/>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F2F99A" id="Rectangle 3" o:spid="_x0000_s1032" alt="&quot;&quot;" style="position:absolute;margin-left:281.6pt;margin-top:51.5pt;width:18.75pt;height:74.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" fillcolor="red" strokecolor="black [3213]">
                <v:textbox style="layout-flow:vertical;mso-layout-flow-alt:bottom-to-top">
                  <w:txbxContent>
                    <w:p w14:paraId="15F55E35" w14:textId="0D34A249" w:rsidR="002E43E9" w:rsidRPr="002E43E9" w:rsidRDefault="002E43E9" w:rsidP="00DE7013">
                      <w:pPr>
                        <w:rPr>
                          <w:color w:val="000000" w:themeColor="text1"/>
                        </w:rPr>
                      </w:pPr>
                    </w:p>
                  </w:txbxContent>
                </v:textbox>
              </v:rect>
            </w:pict>
          </mc:Fallback>
        </mc:AlternateContent>
      </w:r>
      <w:r>
        <w:rPr>
          <w:noProof/>
        </w:rPr>
        <mc:AlternateContent>
          <mc:Choice Requires="wps">
            <w:drawing>
              <wp:anchor distT="0" distB="0" distL="114300" distR="114300" simplePos="0" relativeHeight="251658248" behindDoc="0" locked="0" layoutInCell="1" allowOverlap="1" wp14:anchorId="73439301" wp14:editId="3EA4C047">
                <wp:simplePos x="0" y="0"/>
                <wp:positionH relativeFrom="column">
                  <wp:posOffset>3815080</wp:posOffset>
                </wp:positionH>
                <wp:positionV relativeFrom="paragraph">
                  <wp:posOffset>654050</wp:posOffset>
                </wp:positionV>
                <wp:extent cx="400050" cy="94297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942975"/>
                        </a:xfrm>
                        <a:prstGeom prst="rect">
                          <a:avLst/>
                        </a:prstGeom>
                        <a:solidFill>
                          <a:srgbClr val="00B0F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87893" w14:textId="7BC37CD0" w:rsidR="002E43E9" w:rsidRPr="002E43E9" w:rsidRDefault="002E43E9" w:rsidP="002E43E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439301" id="Rectangle 4" o:spid="_x0000_s1033" alt="&quot;&quot;" style="position:absolute;margin-left:300.4pt;margin-top:51.5pt;width:31.5pt;height:74.2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" fillcolor="#00b0f0" strokecolor="black [3213]">
                <v:textbox>
                  <w:txbxContent>
                    <w:p w14:paraId="78587893" w14:textId="7BC37CD0" w:rsidR="002E43E9" w:rsidRPr="002E43E9" w:rsidRDefault="002E43E9" w:rsidP="002E43E9">
                      <w:pPr>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1B5DD774" wp14:editId="169EDC32">
                <wp:simplePos x="0" y="0"/>
                <wp:positionH relativeFrom="column">
                  <wp:posOffset>4338955</wp:posOffset>
                </wp:positionH>
                <wp:positionV relativeFrom="paragraph">
                  <wp:posOffset>654050</wp:posOffset>
                </wp:positionV>
                <wp:extent cx="914400" cy="942975"/>
                <wp:effectExtent l="0" t="0" r="19050"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42975"/>
                        </a:xfrm>
                        <a:prstGeom prst="rect">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E441B" w14:textId="3DF908A3" w:rsidR="002E43E9" w:rsidRPr="002E43E9" w:rsidRDefault="002E43E9" w:rsidP="002E43E9">
                            <w:pPr>
                              <w:jc w:val="center"/>
                              <w:rPr>
                                <w:color w:val="FFC000"/>
                              </w:rPr>
                            </w:pPr>
                            <w:r>
                              <w:rPr>
                                <w:color w:val="000000" w:themeColor="text1"/>
                              </w:rPr>
                              <w:t>TLMS</w:t>
                            </w:r>
                          </w:p>
                          <w:p w14:paraId="15CD265D" w14:textId="2DFC016E" w:rsidR="002E43E9" w:rsidRPr="002E43E9" w:rsidRDefault="002E43E9" w:rsidP="002E43E9">
                            <w:pPr>
                              <w:jc w:val="center"/>
                              <w:rPr>
                                <w:color w:val="000000" w:themeColor="text1"/>
                              </w:rPr>
                            </w:pPr>
                            <w:r>
                              <w:rPr>
                                <w:color w:val="000000" w:themeColor="text1"/>
                              </w:rPr>
                              <w:t>(base receive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DD774" id="Rectangle 5" o:spid="_x0000_s1034" alt="&quot;&quot;" style="position:absolute;margin-left:341.65pt;margin-top:51.5pt;width:1in;height:74.2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" fillcolor="#ffc000" strokecolor="black [3213]">
                <v:textbox>
                  <w:txbxContent>
                    <w:p w14:paraId="7D8E441B" w14:textId="3DF908A3" w:rsidR="002E43E9" w:rsidRPr="002E43E9" w:rsidRDefault="002E43E9" w:rsidP="002E43E9">
                      <w:pPr>
                        <w:jc w:val="center"/>
                        <w:rPr>
                          <w:color w:val="FFC000"/>
                        </w:rPr>
                      </w:pPr>
                      <w:r>
                        <w:rPr>
                          <w:color w:val="000000" w:themeColor="text1"/>
                        </w:rPr>
                        <w:t>TLMS</w:t>
                      </w:r>
                    </w:p>
                    <w:p w14:paraId="15CD265D" w14:textId="2DFC016E" w:rsidR="002E43E9" w:rsidRPr="002E43E9" w:rsidRDefault="002E43E9" w:rsidP="002E43E9">
                      <w:pPr>
                        <w:jc w:val="center"/>
                        <w:rPr>
                          <w:color w:val="000000" w:themeColor="text1"/>
                        </w:rPr>
                      </w:pPr>
                      <w:r>
                        <w:rPr>
                          <w:color w:val="000000" w:themeColor="text1"/>
                        </w:rPr>
                        <w:t>(base receive</w:t>
                      </w:r>
                    </w:p>
                  </w:txbxContent>
                </v:textbox>
              </v:rect>
            </w:pict>
          </mc:Fallback>
        </mc:AlternateContent>
      </w:r>
    </w:p>
    <w:p w14:paraId="114C04B5" w14:textId="564AC142" w:rsidR="002E43E9" w:rsidRDefault="00633077" w:rsidP="00DE0B95">
      <w:pPr>
        <w:pStyle w:val="Paragraph"/>
      </w:pPr>
      <w:r>
        <w:rPr>
          <w:noProof/>
        </w:rPr>
        <mc:AlternateContent>
          <mc:Choice Requires="wps">
            <w:drawing>
              <wp:anchor distT="0" distB="0" distL="114300" distR="114300" simplePos="0" relativeHeight="251658254" behindDoc="0" locked="0" layoutInCell="1" allowOverlap="1" wp14:anchorId="72F33EE3" wp14:editId="51714593">
                <wp:simplePos x="0" y="0"/>
                <wp:positionH relativeFrom="column">
                  <wp:posOffset>4352179</wp:posOffset>
                </wp:positionH>
                <wp:positionV relativeFrom="paragraph">
                  <wp:posOffset>116840</wp:posOffset>
                </wp:positionV>
                <wp:extent cx="0" cy="171450"/>
                <wp:effectExtent l="0" t="0" r="3810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ADBCE" id="Straight Connector 10" o:spid="_x0000_s1026" alt="&quot;&quot;"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pt,9.2pt" to="34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" strokecolor="black [3040]"/>
            </w:pict>
          </mc:Fallback>
        </mc:AlternateContent>
      </w:r>
      <w:r>
        <w:rPr>
          <w:noProof/>
        </w:rPr>
        <mc:AlternateContent>
          <mc:Choice Requires="wps">
            <w:drawing>
              <wp:anchor distT="0" distB="0" distL="114300" distR="114300" simplePos="0" relativeHeight="251658252" behindDoc="0" locked="0" layoutInCell="1" allowOverlap="1" wp14:anchorId="66215DEB" wp14:editId="0186F3D2">
                <wp:simplePos x="0" y="0"/>
                <wp:positionH relativeFrom="column">
                  <wp:posOffset>3803650</wp:posOffset>
                </wp:positionH>
                <wp:positionV relativeFrom="paragraph">
                  <wp:posOffset>113665</wp:posOffset>
                </wp:positionV>
                <wp:extent cx="0" cy="171450"/>
                <wp:effectExtent l="0" t="0" r="3810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E9286" id="Straight Connector 8" o:spid="_x0000_s1026" alt="&quot;&quot;"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99.5pt,8.95pt" to="29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58255" behindDoc="0" locked="0" layoutInCell="1" allowOverlap="1" wp14:anchorId="3A375106" wp14:editId="3144637B">
                <wp:simplePos x="0" y="0"/>
                <wp:positionH relativeFrom="column">
                  <wp:posOffset>5241925</wp:posOffset>
                </wp:positionH>
                <wp:positionV relativeFrom="paragraph">
                  <wp:posOffset>113665</wp:posOffset>
                </wp:positionV>
                <wp:extent cx="0" cy="171450"/>
                <wp:effectExtent l="0" t="0" r="3810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3CAAC" id="Straight Connector 11" o:spid="_x0000_s1026" alt="&quot;&quot;"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412.75pt,8.95pt" to="412.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58253" behindDoc="0" locked="0" layoutInCell="1" allowOverlap="1" wp14:anchorId="09C20A4D" wp14:editId="27A93543">
                <wp:simplePos x="0" y="0"/>
                <wp:positionH relativeFrom="column">
                  <wp:posOffset>4213225</wp:posOffset>
                </wp:positionH>
                <wp:positionV relativeFrom="paragraph">
                  <wp:posOffset>113665</wp:posOffset>
                </wp:positionV>
                <wp:extent cx="0" cy="171450"/>
                <wp:effectExtent l="0" t="0" r="3810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1CB2C" id="Straight Connector 9" o:spid="_x0000_s1026" alt="&quot;&quot;"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31.75pt,8.95pt" to="331.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58251" behindDoc="0" locked="0" layoutInCell="1" allowOverlap="1" wp14:anchorId="1E3E1155" wp14:editId="216D0693">
                <wp:simplePos x="0" y="0"/>
                <wp:positionH relativeFrom="column">
                  <wp:posOffset>3569859</wp:posOffset>
                </wp:positionH>
                <wp:positionV relativeFrom="paragraph">
                  <wp:posOffset>117475</wp:posOffset>
                </wp:positionV>
                <wp:extent cx="0" cy="171450"/>
                <wp:effectExtent l="0" t="0" r="381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A7B14" id="Straight Connector 7" o:spid="_x0000_s1026" alt="&quot;&quot;"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81.1pt,9.25pt" to="281.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" strokecolor="black [3040]"/>
            </w:pict>
          </mc:Fallback>
        </mc:AlternateContent>
      </w:r>
    </w:p>
    <w:p w14:paraId="043B2DC5" w14:textId="179B7ABF" w:rsidR="002E43E9" w:rsidRDefault="00633077" w:rsidP="00DE0B95">
      <w:pPr>
        <w:pStyle w:val="Paragraph"/>
      </w:pPr>
      <w:r>
        <w:rPr>
          <w:noProof/>
        </w:rPr>
        <mc:AlternateContent>
          <mc:Choice Requires="wps">
            <w:drawing>
              <wp:anchor distT="0" distB="0" distL="114300" distR="114300" simplePos="0" relativeHeight="251658264" behindDoc="0" locked="0" layoutInCell="1" allowOverlap="1" wp14:anchorId="5F75C64B" wp14:editId="6EA1EC36">
                <wp:simplePos x="0" y="0"/>
                <wp:positionH relativeFrom="column">
                  <wp:posOffset>822960</wp:posOffset>
                </wp:positionH>
                <wp:positionV relativeFrom="paragraph">
                  <wp:posOffset>43180</wp:posOffset>
                </wp:positionV>
                <wp:extent cx="28575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F0599" id="Straight Connector 30" o:spid="_x0000_s1026" alt="&quot;&quot;"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64.8pt,3.4pt" to="8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ad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" strokecolor="black [3040]"/>
            </w:pict>
          </mc:Fallback>
        </mc:AlternateContent>
      </w:r>
      <w:r>
        <w:rPr>
          <w:noProof/>
        </w:rPr>
        <mc:AlternateContent>
          <mc:Choice Requires="wps">
            <w:drawing>
              <wp:anchor distT="0" distB="0" distL="114300" distR="114300" simplePos="0" relativeHeight="251658246" behindDoc="0" locked="0" layoutInCell="1" allowOverlap="1" wp14:anchorId="09929F53" wp14:editId="54EFBBA7">
                <wp:simplePos x="0" y="0"/>
                <wp:positionH relativeFrom="column">
                  <wp:posOffset>822325</wp:posOffset>
                </wp:positionH>
                <wp:positionV relativeFrom="paragraph">
                  <wp:posOffset>44450</wp:posOffset>
                </wp:positionV>
                <wp:extent cx="238125" cy="942975"/>
                <wp:effectExtent l="0" t="0" r="9525" b="9525"/>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942975"/>
                        </a:xfrm>
                        <a:prstGeom prst="rect">
                          <a:avLst/>
                        </a:prstGeom>
                        <a:solidFill>
                          <a:srgbClr val="92D05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CB836" w14:textId="1521FE96" w:rsidR="00C16C1D" w:rsidRPr="002E43E9" w:rsidRDefault="00C16C1D" w:rsidP="00C16C1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9F53" id="Rectangle 29" o:spid="_x0000_s1035" alt="&quot;&quot;" style="position:absolute;margin-left:64.75pt;margin-top:3.5pt;width:18.75pt;height:7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" fillcolor="#92d050" stroked="f">
                <v:textbox>
                  <w:txbxContent>
                    <w:p w14:paraId="155CB836" w14:textId="1521FE96" w:rsidR="00C16C1D" w:rsidRPr="002E43E9" w:rsidRDefault="00C16C1D" w:rsidP="00C16C1D">
                      <w:pPr>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6FDEC858" wp14:editId="0BFEEAC9">
                <wp:simplePos x="0" y="0"/>
                <wp:positionH relativeFrom="column">
                  <wp:posOffset>174625</wp:posOffset>
                </wp:positionH>
                <wp:positionV relativeFrom="paragraph">
                  <wp:posOffset>168275</wp:posOffset>
                </wp:positionV>
                <wp:extent cx="942975" cy="695325"/>
                <wp:effectExtent l="0" t="9525" r="19050" b="19050"/>
                <wp:wrapNone/>
                <wp:docPr id="26" name="Flowchart: Document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942975" cy="695325"/>
                        </a:xfrm>
                        <a:prstGeom prst="flowChartDocument">
                          <a:avLst/>
                        </a:prstGeom>
                        <a:solidFill>
                          <a:srgbClr val="92D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7B47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6" o:spid="_x0000_s1026" type="#_x0000_t114" alt="&quot;&quot;" style="position:absolute;margin-left:13.75pt;margin-top:13.25pt;width:74.25pt;height:54.75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" fillcolor="#92d050" strokecolor="black [3213]" strokeweight=".5pt"/>
            </w:pict>
          </mc:Fallback>
        </mc:AlternateContent>
      </w:r>
      <w:r>
        <w:rPr>
          <w:noProof/>
        </w:rPr>
        <mc:AlternateContent>
          <mc:Choice Requires="wps">
            <w:drawing>
              <wp:anchor distT="0" distB="0" distL="114300" distR="114300" simplePos="0" relativeHeight="251658244" behindDoc="0" locked="0" layoutInCell="1" allowOverlap="1" wp14:anchorId="16AD3E28" wp14:editId="67722488">
                <wp:simplePos x="0" y="0"/>
                <wp:positionH relativeFrom="column">
                  <wp:posOffset>537210</wp:posOffset>
                </wp:positionH>
                <wp:positionV relativeFrom="paragraph">
                  <wp:posOffset>44674</wp:posOffset>
                </wp:positionV>
                <wp:extent cx="3038475" cy="942975"/>
                <wp:effectExtent l="0" t="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38475" cy="942975"/>
                        </a:xfrm>
                        <a:prstGeom prst="rect">
                          <a:avLst/>
                        </a:prstGeom>
                        <a:solidFill>
                          <a:srgbClr val="92D05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45DDF" w14:textId="6C571120" w:rsidR="002E43E9" w:rsidRPr="002E43E9" w:rsidRDefault="002E43E9" w:rsidP="002E43E9">
                            <w:pPr>
                              <w:jc w:val="center"/>
                              <w:rPr>
                                <w:color w:val="000000" w:themeColor="text1"/>
                              </w:rPr>
                            </w:pPr>
                            <w:r w:rsidRPr="002E43E9">
                              <w:rPr>
                                <w:color w:val="000000" w:themeColor="text1"/>
                              </w:rPr>
                              <w:t>Spectrum licensed (base transmit)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D3E28" id="Rectangle 2" o:spid="_x0000_s1036" alt="&quot;&quot;" style="position:absolute;margin-left:42.3pt;margin-top:3.5pt;width:239.25pt;height:74.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" fillcolor="#92d050" strokecolor="black [3213]">
                <v:textbox>
                  <w:txbxContent>
                    <w:p w14:paraId="32845DDF" w14:textId="6C571120" w:rsidR="002E43E9" w:rsidRPr="002E43E9" w:rsidRDefault="002E43E9" w:rsidP="002E43E9">
                      <w:pPr>
                        <w:jc w:val="center"/>
                        <w:rPr>
                          <w:color w:val="000000" w:themeColor="text1"/>
                        </w:rPr>
                      </w:pPr>
                      <w:r w:rsidRPr="002E43E9">
                        <w:rPr>
                          <w:color w:val="000000" w:themeColor="text1"/>
                        </w:rPr>
                        <w:t>Spectrum licensed (base transmit)</w:t>
                      </w:r>
                    </w:p>
                  </w:txbxContent>
                </v:textbox>
              </v:rect>
            </w:pict>
          </mc:Fallback>
        </mc:AlternateContent>
      </w:r>
    </w:p>
    <w:p w14:paraId="512BFCF4" w14:textId="30E621E6" w:rsidR="002E43E9" w:rsidRDefault="002E43E9" w:rsidP="00DE0B95">
      <w:pPr>
        <w:pStyle w:val="Paragraph"/>
      </w:pPr>
    </w:p>
    <w:p w14:paraId="0E2972E8" w14:textId="440A08EE" w:rsidR="002E43E9" w:rsidRDefault="002E43E9" w:rsidP="00DE0B95">
      <w:pPr>
        <w:pStyle w:val="Paragraph"/>
      </w:pPr>
    </w:p>
    <w:p w14:paraId="4C2B6822" w14:textId="63CF9190" w:rsidR="002E43E9" w:rsidRDefault="00DE629C" w:rsidP="00DE0B95">
      <w:pPr>
        <w:pStyle w:val="Paragraph"/>
      </w:pPr>
      <w:r>
        <w:rPr>
          <w:noProof/>
        </w:rPr>
        <mc:AlternateContent>
          <mc:Choice Requires="wps">
            <w:drawing>
              <wp:anchor distT="0" distB="0" distL="114300" distR="114300" simplePos="0" relativeHeight="251658274" behindDoc="0" locked="0" layoutInCell="1" allowOverlap="1" wp14:anchorId="11B80F07" wp14:editId="4D81D0D3">
                <wp:simplePos x="0" y="0"/>
                <wp:positionH relativeFrom="column">
                  <wp:posOffset>5215255</wp:posOffset>
                </wp:positionH>
                <wp:positionV relativeFrom="paragraph">
                  <wp:posOffset>264160</wp:posOffset>
                </wp:positionV>
                <wp:extent cx="19685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68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2AC0D" id="Straight Connector 37" o:spid="_x0000_s1026" alt="&quot;&quot;" style="position:absolute;flip:x;z-index:251658274;visibility:visible;mso-wrap-style:square;mso-wrap-distance-left:9pt;mso-wrap-distance-top:0;mso-wrap-distance-right:9pt;mso-wrap-distance-bottom:0;mso-position-horizontal:absolute;mso-position-horizontal-relative:text;mso-position-vertical:absolute;mso-position-vertical-relative:text" from="410.65pt,20.8pt" to="426.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" strokecolor="black [3040]">
                <v:stroke dashstyle="dash"/>
              </v:line>
            </w:pict>
          </mc:Fallback>
        </mc:AlternateContent>
      </w:r>
      <w:r w:rsidR="00B053AD">
        <w:rPr>
          <w:noProof/>
        </w:rPr>
        <mc:AlternateContent>
          <mc:Choice Requires="wps">
            <w:drawing>
              <wp:anchor distT="0" distB="0" distL="114300" distR="114300" simplePos="0" relativeHeight="251658275" behindDoc="0" locked="0" layoutInCell="1" allowOverlap="1" wp14:anchorId="68AEC5E4" wp14:editId="08350426">
                <wp:simplePos x="0" y="0"/>
                <wp:positionH relativeFrom="column">
                  <wp:posOffset>5242560</wp:posOffset>
                </wp:positionH>
                <wp:positionV relativeFrom="paragraph">
                  <wp:posOffset>339725</wp:posOffset>
                </wp:positionV>
                <wp:extent cx="19685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68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2AC0A" id="Straight Connector 38" o:spid="_x0000_s1026" alt="&quot;&quot;" style="position:absolute;flip:x;z-index:251658275;visibility:visible;mso-wrap-style:square;mso-wrap-distance-left:9pt;mso-wrap-distance-top:0;mso-wrap-distance-right:9pt;mso-wrap-distance-bottom:0;mso-position-horizontal:absolute;mso-position-horizontal-relative:text;mso-position-vertical:absolute;mso-position-vertical-relative:text" from="412.8pt,26.75pt" to="428.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" strokecolor="black [3040]">
                <v:stroke dashstyle="dash"/>
              </v:line>
            </w:pict>
          </mc:Fallback>
        </mc:AlternateContent>
      </w:r>
      <w:r w:rsidR="00B053AD">
        <w:rPr>
          <w:noProof/>
        </w:rPr>
        <mc:AlternateContent>
          <mc:Choice Requires="wps">
            <w:drawing>
              <wp:anchor distT="0" distB="0" distL="114300" distR="114300" simplePos="0" relativeHeight="251658273" behindDoc="0" locked="0" layoutInCell="1" allowOverlap="1" wp14:anchorId="5FC7CC44" wp14:editId="74ECE2F1">
                <wp:simplePos x="0" y="0"/>
                <wp:positionH relativeFrom="column">
                  <wp:posOffset>340360</wp:posOffset>
                </wp:positionH>
                <wp:positionV relativeFrom="paragraph">
                  <wp:posOffset>257175</wp:posOffset>
                </wp:positionV>
                <wp:extent cx="19685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68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F1079E" id="Straight Connector 36" o:spid="_x0000_s1026" alt="&quot;&quot;" style="position:absolute;flip:x;z-index:251658273;visibility:visible;mso-wrap-style:square;mso-wrap-distance-left:9pt;mso-wrap-distance-top:0;mso-wrap-distance-right:9pt;mso-wrap-distance-bottom:0;mso-position-horizontal:absolute;mso-position-horizontal-relative:text;mso-position-vertical:absolute;mso-position-vertical-relative:text" from="26.8pt,20.2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" strokecolor="black [3040]">
                <v:stroke dashstyle="dash"/>
              </v:line>
            </w:pict>
          </mc:Fallback>
        </mc:AlternateContent>
      </w:r>
      <w:r w:rsidR="00B053AD">
        <w:rPr>
          <w:noProof/>
        </w:rPr>
        <mc:AlternateContent>
          <mc:Choice Requires="wps">
            <w:drawing>
              <wp:anchor distT="0" distB="0" distL="114300" distR="114300" simplePos="0" relativeHeight="251658266" behindDoc="0" locked="0" layoutInCell="1" allowOverlap="1" wp14:anchorId="169F8E5B" wp14:editId="3ECB4025">
                <wp:simplePos x="0" y="0"/>
                <wp:positionH relativeFrom="column">
                  <wp:posOffset>505459</wp:posOffset>
                </wp:positionH>
                <wp:positionV relativeFrom="paragraph">
                  <wp:posOffset>257175</wp:posOffset>
                </wp:positionV>
                <wp:extent cx="159194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591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DC604" id="Straight Connector 27" o:spid="_x0000_s1026" alt="&quot;&quot;"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20.25pt" to="165.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" strokecolor="black [3040]"/>
            </w:pict>
          </mc:Fallback>
        </mc:AlternateContent>
      </w:r>
      <w:r w:rsidR="00B053AD">
        <w:rPr>
          <w:noProof/>
        </w:rPr>
        <mc:AlternateContent>
          <mc:Choice Requires="wps">
            <w:drawing>
              <wp:anchor distT="0" distB="0" distL="114300" distR="114300" simplePos="0" relativeHeight="251658270" behindDoc="0" locked="0" layoutInCell="1" allowOverlap="1" wp14:anchorId="30825BE8" wp14:editId="1668AA61">
                <wp:simplePos x="0" y="0"/>
                <wp:positionH relativeFrom="column">
                  <wp:posOffset>4791710</wp:posOffset>
                </wp:positionH>
                <wp:positionV relativeFrom="paragraph">
                  <wp:posOffset>257175</wp:posOffset>
                </wp:positionV>
                <wp:extent cx="450850"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AB91AB" id="Straight Connector 33" o:spid="_x0000_s1026" alt="&quot;&quot;" style="position:absolute;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3pt,20.25pt" to="412.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w9mQEAAIcDAAAOAAAAZHJzL2Uyb0RvYy54bWysU8tu2zAQvBfoPxC815KDp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" strokecolor="black [3040]"/>
            </w:pict>
          </mc:Fallback>
        </mc:AlternateContent>
      </w:r>
      <w:r w:rsidR="00B053AD">
        <w:rPr>
          <w:noProof/>
        </w:rPr>
        <mc:AlternateContent>
          <mc:Choice Requires="wps">
            <w:drawing>
              <wp:anchor distT="0" distB="0" distL="114300" distR="114300" simplePos="0" relativeHeight="251658269" behindDoc="0" locked="0" layoutInCell="1" allowOverlap="1" wp14:anchorId="788DA3FD" wp14:editId="485D0409">
                <wp:simplePos x="0" y="0"/>
                <wp:positionH relativeFrom="column">
                  <wp:posOffset>3985260</wp:posOffset>
                </wp:positionH>
                <wp:positionV relativeFrom="paragraph">
                  <wp:posOffset>73025</wp:posOffset>
                </wp:positionV>
                <wp:extent cx="1496" cy="342900"/>
                <wp:effectExtent l="0" t="0" r="36830" b="1905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96"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E343B" id="Straight Connector 32" o:spid="_x0000_s1026" alt="&quot;&quot;" style="position:absolute;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5.75pt" to="313.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" strokecolor="black [3040]"/>
            </w:pict>
          </mc:Fallback>
        </mc:AlternateContent>
      </w:r>
      <w:r w:rsidR="00B053AD">
        <w:rPr>
          <w:noProof/>
        </w:rPr>
        <mc:AlternateContent>
          <mc:Choice Requires="wps">
            <w:drawing>
              <wp:anchor distT="0" distB="0" distL="114300" distR="114300" simplePos="0" relativeHeight="251658268" behindDoc="0" locked="0" layoutInCell="1" allowOverlap="1" wp14:anchorId="4E785211" wp14:editId="33709AF9">
                <wp:simplePos x="0" y="0"/>
                <wp:positionH relativeFrom="column">
                  <wp:posOffset>4283710</wp:posOffset>
                </wp:positionH>
                <wp:positionV relativeFrom="paragraph">
                  <wp:posOffset>79375</wp:posOffset>
                </wp:positionV>
                <wp:extent cx="0" cy="260350"/>
                <wp:effectExtent l="0" t="0" r="38100" b="254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CF1BE" id="Straight Connector 31" o:spid="_x0000_s1026" alt="&quot;&quot;"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pt,6.25pt" to="337.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" strokecolor="black [3040]"/>
            </w:pict>
          </mc:Fallback>
        </mc:AlternateContent>
      </w:r>
      <w:r w:rsidR="00B053AD">
        <w:rPr>
          <w:noProof/>
        </w:rPr>
        <mc:AlternateContent>
          <mc:Choice Requires="wps">
            <w:drawing>
              <wp:anchor distT="0" distB="0" distL="114300" distR="114300" simplePos="0" relativeHeight="251658267" behindDoc="0" locked="0" layoutInCell="1" allowOverlap="1" wp14:anchorId="353BDC5C" wp14:editId="01F603CC">
                <wp:simplePos x="0" y="0"/>
                <wp:positionH relativeFrom="column">
                  <wp:posOffset>4794250</wp:posOffset>
                </wp:positionH>
                <wp:positionV relativeFrom="paragraph">
                  <wp:posOffset>81915</wp:posOffset>
                </wp:positionV>
                <wp:extent cx="0" cy="177800"/>
                <wp:effectExtent l="0" t="0" r="38100" b="317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D4EEF" id="Straight Connector 28" o:spid="_x0000_s1026" alt="&quot;&quot;"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6.45pt" to="37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" strokecolor="black [3040]"/>
            </w:pict>
          </mc:Fallback>
        </mc:AlternateContent>
      </w:r>
      <w:r w:rsidR="00B053AD">
        <w:rPr>
          <w:noProof/>
        </w:rPr>
        <mc:AlternateContent>
          <mc:Choice Requires="wps">
            <w:drawing>
              <wp:anchor distT="0" distB="0" distL="114300" distR="114300" simplePos="0" relativeHeight="251658265" behindDoc="0" locked="0" layoutInCell="1" allowOverlap="1" wp14:anchorId="53B18EB3" wp14:editId="55FC6B92">
                <wp:simplePos x="0" y="0"/>
                <wp:positionH relativeFrom="column">
                  <wp:posOffset>2099310</wp:posOffset>
                </wp:positionH>
                <wp:positionV relativeFrom="paragraph">
                  <wp:posOffset>79375</wp:posOffset>
                </wp:positionV>
                <wp:extent cx="0" cy="177800"/>
                <wp:effectExtent l="0" t="0" r="38100" b="317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4AE12" id="Straight Connector 19" o:spid="_x0000_s1026" alt="&quot;&quot;"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pt,6.25pt" to="165.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" strokecolor="black [3040]"/>
            </w:pict>
          </mc:Fallback>
        </mc:AlternateContent>
      </w:r>
    </w:p>
    <w:p w14:paraId="1068C0C8" w14:textId="01C10146" w:rsidR="002E43E9" w:rsidRDefault="00B053AD" w:rsidP="00DE0B95">
      <w:pPr>
        <w:pStyle w:val="Paragraph"/>
      </w:pPr>
      <w:r>
        <w:rPr>
          <w:noProof/>
        </w:rPr>
        <mc:AlternateContent>
          <mc:Choice Requires="wps">
            <w:drawing>
              <wp:anchor distT="0" distB="0" distL="114300" distR="114300" simplePos="0" relativeHeight="251658260" behindDoc="0" locked="0" layoutInCell="1" allowOverlap="1" wp14:anchorId="22627CB5" wp14:editId="4FB79E4D">
                <wp:simplePos x="0" y="0"/>
                <wp:positionH relativeFrom="column">
                  <wp:posOffset>47625</wp:posOffset>
                </wp:positionH>
                <wp:positionV relativeFrom="paragraph">
                  <wp:posOffset>664210</wp:posOffset>
                </wp:positionV>
                <wp:extent cx="190500" cy="171450"/>
                <wp:effectExtent l="0" t="0" r="19050" b="1905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71450"/>
                        </a:xfrm>
                        <a:prstGeom prst="rect">
                          <a:avLst/>
                        </a:prstGeom>
                        <a:pattFill prst="wdUpDiag">
                          <a:fgClr>
                            <a:schemeClr val="tx1"/>
                          </a:fgClr>
                          <a:bgClr>
                            <a:srgbClr val="00B0F0"/>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8BD39" w14:textId="77777777" w:rsidR="009B0E6E" w:rsidRPr="002E43E9" w:rsidRDefault="009B0E6E" w:rsidP="009B0E6E">
                            <w:pPr>
                              <w:rPr>
                                <w:color w:val="000000" w:themeColor="text1"/>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7CB5" id="Rectangle 22" o:spid="_x0000_s1037" alt="&quot;&quot;" style="position:absolute;margin-left:3.75pt;margin-top:52.3pt;width:15pt;height:1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" fillcolor="black [3213]" strokecolor="black [3213]">
                <v:fill r:id="rId28" o:title="" color2="#00b0f0" type="pattern"/>
                <v:textbox style="layout-flow:vertical;mso-layout-flow-alt:bottom-to-top">
                  <w:txbxContent>
                    <w:p w14:paraId="59D8BD39" w14:textId="77777777" w:rsidR="009B0E6E" w:rsidRPr="002E43E9" w:rsidRDefault="009B0E6E" w:rsidP="009B0E6E">
                      <w:pPr>
                        <w:rPr>
                          <w:color w:val="000000" w:themeColor="text1"/>
                        </w:rPr>
                      </w:pP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1B1D28CA" wp14:editId="5240CDC8">
                <wp:simplePos x="0" y="0"/>
                <wp:positionH relativeFrom="column">
                  <wp:posOffset>47625</wp:posOffset>
                </wp:positionH>
                <wp:positionV relativeFrom="paragraph">
                  <wp:posOffset>387985</wp:posOffset>
                </wp:positionV>
                <wp:extent cx="190500" cy="171450"/>
                <wp:effectExtent l="0" t="0" r="19050" b="1905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71450"/>
                        </a:xfrm>
                        <a:prstGeom prst="rect">
                          <a:avLst/>
                        </a:prstGeom>
                        <a:solidFill>
                          <a:srgbClr val="00B0F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54616" w14:textId="77777777" w:rsidR="009B0E6E" w:rsidRPr="009B0E6E" w:rsidRDefault="009B0E6E" w:rsidP="009B0E6E">
                            <w:pPr>
                              <w:rPr>
                                <w:color w:val="00B0F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D28CA" id="Rectangle 21" o:spid="_x0000_s1038" alt="&quot;&quot;" style="position:absolute;margin-left:3.75pt;margin-top:30.55pt;width:15pt;height:1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" fillcolor="#00b0f0" strokecolor="black [3213]">
                <v:textbox style="layout-flow:vertical;mso-layout-flow-alt:bottom-to-top">
                  <w:txbxContent>
                    <w:p w14:paraId="1DD54616" w14:textId="77777777" w:rsidR="009B0E6E" w:rsidRPr="009B0E6E" w:rsidRDefault="009B0E6E" w:rsidP="009B0E6E">
                      <w:pPr>
                        <w:rPr>
                          <w:color w:val="00B0F0"/>
                        </w:rPr>
                      </w:pP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1EE04B11" wp14:editId="1B235B62">
                <wp:simplePos x="0" y="0"/>
                <wp:positionH relativeFrom="column">
                  <wp:posOffset>51435</wp:posOffset>
                </wp:positionH>
                <wp:positionV relativeFrom="paragraph">
                  <wp:posOffset>125095</wp:posOffset>
                </wp:positionV>
                <wp:extent cx="190500" cy="171450"/>
                <wp:effectExtent l="0" t="0" r="19050" b="1905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71450"/>
                        </a:xfrm>
                        <a:prstGeom prst="rect">
                          <a:avLst/>
                        </a:prstGeom>
                        <a:solidFill>
                          <a:srgbClr val="FF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DFD88" w14:textId="77777777" w:rsidR="009B0E6E" w:rsidRPr="002E43E9" w:rsidRDefault="009B0E6E" w:rsidP="009B0E6E">
                            <w:pPr>
                              <w:rPr>
                                <w:color w:val="000000" w:themeColor="text1"/>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04B11" id="Rectangle 20" o:spid="_x0000_s1039" alt="&quot;&quot;" style="position:absolute;margin-left:4.05pt;margin-top:9.85pt;width:15pt;height:1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" fillcolor="red" strokecolor="black [3213]">
                <v:textbox style="layout-flow:vertical;mso-layout-flow-alt:bottom-to-top">
                  <w:txbxContent>
                    <w:p w14:paraId="16CDFD88" w14:textId="77777777" w:rsidR="009B0E6E" w:rsidRPr="002E43E9" w:rsidRDefault="009B0E6E" w:rsidP="009B0E6E">
                      <w:pPr>
                        <w:rPr>
                          <w:color w:val="000000" w:themeColor="text1"/>
                        </w:rPr>
                      </w:pP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363948A1" wp14:editId="20F0625B">
                <wp:simplePos x="0" y="0"/>
                <wp:positionH relativeFrom="column">
                  <wp:posOffset>203200</wp:posOffset>
                </wp:positionH>
                <wp:positionV relativeFrom="paragraph">
                  <wp:posOffset>86995</wp:posOffset>
                </wp:positionV>
                <wp:extent cx="904875" cy="238125"/>
                <wp:effectExtent l="0" t="0" r="0" b="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04875" cy="238125"/>
                        </a:xfrm>
                        <a:prstGeom prst="rect">
                          <a:avLst/>
                        </a:prstGeom>
                        <a:noFill/>
                        <a:ln w="6350">
                          <a:noFill/>
                        </a:ln>
                      </wps:spPr>
                      <wps:txbx>
                        <w:txbxContent>
                          <w:p w14:paraId="61600A47" w14:textId="5FACE84E" w:rsidR="009B0E6E" w:rsidRDefault="009B0E6E" w:rsidP="009B0E6E">
                            <w:r>
                              <w:t>Guard 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3948A1" id="Text Box 23" o:spid="_x0000_s1040" type="#_x0000_t202" alt="&quot;&quot;" style="position:absolute;margin-left:16pt;margin-top:6.85pt;width:71.25pt;height:18.75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9pHA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" filled="f" stroked="f" strokeweight=".5pt">
                <v:textbox>
                  <w:txbxContent>
                    <w:p w14:paraId="61600A47" w14:textId="5FACE84E" w:rsidR="009B0E6E" w:rsidRDefault="009B0E6E" w:rsidP="009B0E6E">
                      <w:r>
                        <w:t>Guard band</w:t>
                      </w:r>
                    </w:p>
                  </w:txbxContent>
                </v:textbox>
              </v:shape>
            </w:pict>
          </mc:Fallback>
        </mc:AlternateContent>
      </w:r>
      <w:r>
        <w:rPr>
          <w:noProof/>
        </w:rPr>
        <mc:AlternateContent>
          <mc:Choice Requires="wps">
            <w:drawing>
              <wp:anchor distT="0" distB="0" distL="114300" distR="114300" simplePos="0" relativeHeight="251658262" behindDoc="0" locked="0" layoutInCell="1" allowOverlap="1" wp14:anchorId="69DC3CCD" wp14:editId="40F9F495">
                <wp:simplePos x="0" y="0"/>
                <wp:positionH relativeFrom="column">
                  <wp:posOffset>203835</wp:posOffset>
                </wp:positionH>
                <wp:positionV relativeFrom="paragraph">
                  <wp:posOffset>344170</wp:posOffset>
                </wp:positionV>
                <wp:extent cx="1971675" cy="257175"/>
                <wp:effectExtent l="0" t="0" r="0" b="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71675" cy="257175"/>
                        </a:xfrm>
                        <a:prstGeom prst="rect">
                          <a:avLst/>
                        </a:prstGeom>
                        <a:noFill/>
                        <a:ln w="6350">
                          <a:noFill/>
                        </a:ln>
                      </wps:spPr>
                      <wps:txbx>
                        <w:txbxContent>
                          <w:p w14:paraId="74146FA5" w14:textId="13911D47" w:rsidR="009B0E6E" w:rsidRDefault="009B0E6E" w:rsidP="009B0E6E">
                            <w:r>
                              <w:t>Two-frequency point-to-point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C3CCD" id="Text Box 24" o:spid="_x0000_s1041" type="#_x0000_t202" alt="&quot;&quot;" style="position:absolute;margin-left:16.05pt;margin-top:27.1pt;width:155.25pt;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" filled="f" stroked="f" strokeweight=".5pt">
                <v:textbox>
                  <w:txbxContent>
                    <w:p w14:paraId="74146FA5" w14:textId="13911D47" w:rsidR="009B0E6E" w:rsidRDefault="009B0E6E" w:rsidP="009B0E6E">
                      <w:r>
                        <w:t>Two-frequency point-to-point</w:t>
                      </w:r>
                    </w:p>
                  </w:txbxContent>
                </v:textbox>
              </v:shape>
            </w:pict>
          </mc:Fallback>
        </mc:AlternateContent>
      </w:r>
      <w:r>
        <w:rPr>
          <w:noProof/>
        </w:rPr>
        <mc:AlternateContent>
          <mc:Choice Requires="wps">
            <w:drawing>
              <wp:anchor distT="0" distB="0" distL="114300" distR="114300" simplePos="0" relativeHeight="251658263" behindDoc="0" locked="0" layoutInCell="1" allowOverlap="1" wp14:anchorId="24C90E3D" wp14:editId="5028C275">
                <wp:simplePos x="0" y="0"/>
                <wp:positionH relativeFrom="column">
                  <wp:posOffset>241935</wp:posOffset>
                </wp:positionH>
                <wp:positionV relativeFrom="paragraph">
                  <wp:posOffset>601345</wp:posOffset>
                </wp:positionV>
                <wp:extent cx="3095625" cy="257175"/>
                <wp:effectExtent l="0" t="0" r="0" b="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95625" cy="257175"/>
                        </a:xfrm>
                        <a:prstGeom prst="rect">
                          <a:avLst/>
                        </a:prstGeom>
                        <a:noFill/>
                        <a:ln w="6350">
                          <a:noFill/>
                        </a:ln>
                      </wps:spPr>
                      <wps:txbx>
                        <w:txbxContent>
                          <w:p w14:paraId="275A2EE4" w14:textId="6BB207D9" w:rsidR="00F160DB" w:rsidRDefault="00F160DB" w:rsidP="00F160DB">
                            <w:r>
                              <w:t>Two-frequency point-to-multipoint (base transmit)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90E3D" id="Text Box 25" o:spid="_x0000_s1042" type="#_x0000_t202" alt="&quot;&quot;" style="position:absolute;margin-left:19.05pt;margin-top:47.35pt;width:243.75pt;height:20.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" filled="f" stroked="f" strokeweight=".5pt">
                <v:textbox>
                  <w:txbxContent>
                    <w:p w14:paraId="275A2EE4" w14:textId="6BB207D9" w:rsidR="00F160DB" w:rsidRDefault="00F160DB" w:rsidP="00F160DB">
                      <w:r>
                        <w:t>Two-frequency point-to-multipoint (base transmit)</w:t>
                      </w:r>
                    </w:p>
                  </w:txbxContent>
                </v:textbox>
              </v:shape>
            </w:pict>
          </mc:Fallback>
        </mc:AlternateContent>
      </w:r>
      <w:r>
        <w:rPr>
          <w:noProof/>
        </w:rPr>
        <mc:AlternateContent>
          <mc:Choice Requires="wps">
            <w:drawing>
              <wp:anchor distT="0" distB="0" distL="114300" distR="114300" simplePos="0" relativeHeight="251658276" behindDoc="0" locked="0" layoutInCell="1" allowOverlap="1" wp14:anchorId="3D2D09D0" wp14:editId="36757D64">
                <wp:simplePos x="0" y="0"/>
                <wp:positionH relativeFrom="column">
                  <wp:posOffset>5240655</wp:posOffset>
                </wp:positionH>
                <wp:positionV relativeFrom="paragraph">
                  <wp:posOffset>109855</wp:posOffset>
                </wp:positionV>
                <wp:extent cx="196850" cy="0"/>
                <wp:effectExtent l="0" t="0" r="0" b="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68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1BDF2" id="Straight Connector 39" o:spid="_x0000_s1026" alt="&quot;&quot;" style="position:absolute;flip:x;z-index:251658276;visibility:visible;mso-wrap-style:square;mso-wrap-distance-left:9pt;mso-wrap-distance-top:0;mso-wrap-distance-right:9pt;mso-wrap-distance-bottom:0;mso-position-horizontal:absolute;mso-position-horizontal-relative:text;mso-position-vertical:absolute;mso-position-vertical-relative:text" from="412.65pt,8.65pt" to="4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" strokecolor="black [3040]">
                <v:stroke dashstyle="dash"/>
              </v:line>
            </w:pict>
          </mc:Fallback>
        </mc:AlternateContent>
      </w:r>
      <w:r>
        <w:rPr>
          <w:noProof/>
        </w:rPr>
        <mc:AlternateContent>
          <mc:Choice Requires="wps">
            <w:drawing>
              <wp:anchor distT="0" distB="0" distL="114300" distR="114300" simplePos="0" relativeHeight="251658272" behindDoc="0" locked="0" layoutInCell="1" allowOverlap="1" wp14:anchorId="2095D69F" wp14:editId="54584769">
                <wp:simplePos x="0" y="0"/>
                <wp:positionH relativeFrom="column">
                  <wp:posOffset>3985260</wp:posOffset>
                </wp:positionH>
                <wp:positionV relativeFrom="paragraph">
                  <wp:posOffset>111125</wp:posOffset>
                </wp:positionV>
                <wp:extent cx="126365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C23CCC" id="Straight Connector 35" o:spid="_x0000_s1026" alt="&quot;&quot;" style="position:absolute;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8pt,8.75pt" to="413.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cRmAEAAIgDAAAOAAAAZHJzL2Uyb0RvYy54bWysU8uu0zAQ3SPxD5b3NGkR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" strokecolor="black [3040]"/>
            </w:pict>
          </mc:Fallback>
        </mc:AlternateContent>
      </w:r>
      <w:r>
        <w:rPr>
          <w:noProof/>
        </w:rPr>
        <mc:AlternateContent>
          <mc:Choice Requires="wps">
            <w:drawing>
              <wp:anchor distT="0" distB="0" distL="114300" distR="114300" simplePos="0" relativeHeight="251658271" behindDoc="0" locked="0" layoutInCell="1" allowOverlap="1" wp14:anchorId="69F8E96F" wp14:editId="59B85811">
                <wp:simplePos x="0" y="0"/>
                <wp:positionH relativeFrom="column">
                  <wp:posOffset>4283710</wp:posOffset>
                </wp:positionH>
                <wp:positionV relativeFrom="paragraph">
                  <wp:posOffset>34925</wp:posOffset>
                </wp:positionV>
                <wp:extent cx="958850"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F4D1C" id="Straight Connector 34" o:spid="_x0000_s1026" alt="&quot;&quot;" style="position:absolute;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3pt,2.75pt" to="41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eZmAEAAIc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" strokecolor="black [3040]"/>
            </w:pict>
          </mc:Fallback>
        </mc:AlternateContent>
      </w:r>
    </w:p>
    <w:p w14:paraId="4A1003E2" w14:textId="30BFF1FE" w:rsidR="002E43E9" w:rsidRDefault="002E43E9" w:rsidP="00DE0B95">
      <w:pPr>
        <w:pStyle w:val="Paragraph"/>
      </w:pPr>
    </w:p>
    <w:p w14:paraId="3BE32231" w14:textId="065078A4" w:rsidR="009B0E6E" w:rsidRDefault="009B0E6E" w:rsidP="00DE0B95">
      <w:pPr>
        <w:pStyle w:val="Paragraph"/>
      </w:pPr>
    </w:p>
    <w:p w14:paraId="45CAD265" w14:textId="77777777" w:rsidR="00AC47E2" w:rsidRDefault="00AC47E2" w:rsidP="00DE0B95">
      <w:pPr>
        <w:pStyle w:val="Paragraph"/>
      </w:pPr>
    </w:p>
    <w:p w14:paraId="49A1CCBF" w14:textId="7421D5FE" w:rsidR="00633077" w:rsidRDefault="00FD15D0" w:rsidP="006A58DF">
      <w:pPr>
        <w:pStyle w:val="Paragraphbeforelist"/>
      </w:pPr>
      <w:r>
        <w:t xml:space="preserve">The primary </w:t>
      </w:r>
      <w:r w:rsidR="009747D9">
        <w:t xml:space="preserve">potential </w:t>
      </w:r>
      <w:r>
        <w:t>interference path is between spectrum</w:t>
      </w:r>
      <w:r w:rsidR="00D6632C">
        <w:t>-</w:t>
      </w:r>
      <w:r>
        <w:t>licensed base station</w:t>
      </w:r>
      <w:r w:rsidR="009747D9">
        <w:t xml:space="preserve"> transmitters</w:t>
      </w:r>
      <w:r>
        <w:t xml:space="preserve"> and apparatus</w:t>
      </w:r>
      <w:r w:rsidR="00D6632C">
        <w:t>-</w:t>
      </w:r>
      <w:r>
        <w:t>licensed base receivers. Coordination w</w:t>
      </w:r>
      <w:r w:rsidR="007F49BB">
        <w:t>ith</w:t>
      </w:r>
      <w:r>
        <w:t xml:space="preserve"> existing services, based on this interference path, is required</w:t>
      </w:r>
      <w:r w:rsidR="00633077">
        <w:t>:</w:t>
      </w:r>
    </w:p>
    <w:p w14:paraId="20C9D831" w14:textId="2361B824" w:rsidR="00633077" w:rsidRDefault="00FD15D0" w:rsidP="006A58DF">
      <w:pPr>
        <w:pStyle w:val="Paragraph"/>
        <w:numPr>
          <w:ilvl w:val="0"/>
          <w:numId w:val="22"/>
        </w:numPr>
        <w:spacing w:after="60"/>
        <w:ind w:left="357" w:hanging="357"/>
      </w:pPr>
      <w:r>
        <w:t xml:space="preserve">prior to registering a new spectrum licensed transmitter (as detailed in the applicable </w:t>
      </w:r>
      <w:r w:rsidR="009747D9">
        <w:t xml:space="preserve">700 MHz band </w:t>
      </w:r>
      <w:r>
        <w:t xml:space="preserve">RAGs) </w:t>
      </w:r>
    </w:p>
    <w:p w14:paraId="13152B9D" w14:textId="41B5CBC7" w:rsidR="009B0E6E" w:rsidRDefault="00FD15D0" w:rsidP="00633077">
      <w:pPr>
        <w:pStyle w:val="Paragraph"/>
        <w:numPr>
          <w:ilvl w:val="0"/>
          <w:numId w:val="22"/>
        </w:numPr>
      </w:pPr>
      <w:r>
        <w:t>prior to the assignment of a new or transitioning</w:t>
      </w:r>
      <w:r w:rsidR="005865EE">
        <w:t xml:space="preserve"> (from a legacy frequency segment</w:t>
      </w:r>
      <w:r>
        <w:t>) apparatus licensed service.</w:t>
      </w:r>
    </w:p>
    <w:p w14:paraId="1EDF94F9" w14:textId="0A8108ED" w:rsidR="00CE6BAD" w:rsidRDefault="006D692E" w:rsidP="00CE6BAD">
      <w:pPr>
        <w:pStyle w:val="Paragraph"/>
      </w:pPr>
      <w:r>
        <w:t>F</w:t>
      </w:r>
      <w:r w:rsidR="00CE6BAD">
        <w:t>eedback</w:t>
      </w:r>
      <w:r w:rsidR="008F0130" w:rsidRPr="008F0130">
        <w:t xml:space="preserve"> </w:t>
      </w:r>
      <w:r>
        <w:t>from AMTA</w:t>
      </w:r>
      <w:r w:rsidR="00D6632C">
        <w:t>,</w:t>
      </w:r>
      <w:r>
        <w:rPr>
          <w:rStyle w:val="FootnoteReference"/>
        </w:rPr>
        <w:footnoteReference w:id="7"/>
      </w:r>
      <w:r>
        <w:t xml:space="preserve"> Optus and Telstra </w:t>
      </w:r>
      <w:r w:rsidR="008F0130">
        <w:t xml:space="preserve">to the </w:t>
      </w:r>
      <w:hyperlink r:id="rId29" w:history="1">
        <w:r w:rsidR="008F0130" w:rsidRPr="008F0130">
          <w:rPr>
            <w:rStyle w:val="Hyperlink"/>
          </w:rPr>
          <w:t>consultation 36/2022</w:t>
        </w:r>
      </w:hyperlink>
      <w:r w:rsidR="008F0130">
        <w:t xml:space="preserve"> </w:t>
      </w:r>
      <w:r w:rsidR="00D6632C">
        <w:t>(</w:t>
      </w:r>
      <w:r w:rsidR="008F0130" w:rsidRPr="008F0130">
        <w:t>Proposal to remake instruments for the 700 MHz, 1800 MHz, 2.5 GHz and 2.5 GHz mid-band gap spectrum-licensed bands</w:t>
      </w:r>
      <w:r w:rsidR="00D6632C">
        <w:t>)</w:t>
      </w:r>
      <w:r w:rsidR="00CE6BAD">
        <w:t xml:space="preserve"> has suggested that coordination of services across the </w:t>
      </w:r>
      <w:r w:rsidR="00D6632C">
        <w:br/>
      </w:r>
      <w:r w:rsidR="00CE6BAD">
        <w:t xml:space="preserve">803 MHz boundary will require </w:t>
      </w:r>
      <w:r w:rsidR="00C23FBD">
        <w:t xml:space="preserve">significant </w:t>
      </w:r>
      <w:r w:rsidR="00CE6BAD">
        <w:t>geographic separation i</w:t>
      </w:r>
      <w:r w:rsidR="00AC47E2">
        <w:t>n</w:t>
      </w:r>
      <w:r w:rsidR="00CE6BAD">
        <w:t xml:space="preserve"> some circumstances.</w:t>
      </w:r>
      <w:r>
        <w:t xml:space="preserve"> The ACMA has also received similar informal feedback from </w:t>
      </w:r>
      <w:r w:rsidR="00D6632C">
        <w:t>a</w:t>
      </w:r>
      <w:r>
        <w:t xml:space="preserve">ccredited </w:t>
      </w:r>
      <w:r w:rsidR="00D6632C">
        <w:t>p</w:t>
      </w:r>
      <w:r>
        <w:t>ersons.</w:t>
      </w:r>
      <w:r w:rsidR="00CE6BAD">
        <w:t xml:space="preserve"> There have also been some requests for more explicit instructions about the methodology to be used when coordinating services across the 803 MHz boundary.</w:t>
      </w:r>
    </w:p>
    <w:p w14:paraId="2461D081" w14:textId="6BA70B09" w:rsidR="00F40786" w:rsidRDefault="00F40786" w:rsidP="00CE6BAD">
      <w:pPr>
        <w:pStyle w:val="Paragraph"/>
      </w:pPr>
      <w:r>
        <w:t xml:space="preserve">Assuming </w:t>
      </w:r>
      <w:r w:rsidR="00D77419">
        <w:t>notional</w:t>
      </w:r>
      <w:r>
        <w:t xml:space="preserve"> parameters</w:t>
      </w:r>
      <w:r w:rsidR="00DA5460">
        <w:t xml:space="preserve"> sourced from the applicable RALIs and the unwanted emission limits applicable to 700 MHz spectrum licensees</w:t>
      </w:r>
      <w:r>
        <w:t xml:space="preserve">, Table 1 </w:t>
      </w:r>
      <w:r w:rsidR="00B0636F">
        <w:t>provides examples of</w:t>
      </w:r>
      <w:r>
        <w:t xml:space="preserve"> the required separation distance between a spectrum licensed transmitter and different type</w:t>
      </w:r>
      <w:r w:rsidR="00E20D64">
        <w:t>s</w:t>
      </w:r>
      <w:r>
        <w:t xml:space="preserve"> of apparatus licensed receivers.</w:t>
      </w:r>
    </w:p>
    <w:p w14:paraId="4C0629C7" w14:textId="3D2EC225" w:rsidR="000D2AF8" w:rsidRDefault="000D2AF8" w:rsidP="00F40574">
      <w:pPr>
        <w:pStyle w:val="Tableheading"/>
      </w:pPr>
      <w:r w:rsidRPr="0040403E">
        <w:rPr>
          <w:noProof/>
        </w:rPr>
        <w:t>Example of notional separation distances</w:t>
      </w:r>
    </w:p>
    <w:tbl>
      <w:tblPr>
        <w:tblStyle w:val="TableGrid"/>
        <w:tblpPr w:leftFromText="180" w:rightFromText="180" w:vertAnchor="text" w:horzAnchor="margin" w:tblpY="20"/>
        <w:tblW w:w="8075" w:type="dxa"/>
        <w:tblCellMar>
          <w:top w:w="57" w:type="dxa"/>
          <w:bottom w:w="57" w:type="dxa"/>
        </w:tblCellMar>
        <w:tblLook w:val="04A0" w:firstRow="1" w:lastRow="0" w:firstColumn="1" w:lastColumn="0" w:noHBand="0" w:noVBand="1"/>
      </w:tblPr>
      <w:tblGrid>
        <w:gridCol w:w="2377"/>
        <w:gridCol w:w="1094"/>
        <w:gridCol w:w="2019"/>
        <w:gridCol w:w="2585"/>
      </w:tblGrid>
      <w:tr w:rsidR="00BC5E6F" w14:paraId="3144BD04" w14:textId="77777777" w:rsidTr="006A58DF">
        <w:tc>
          <w:tcPr>
            <w:tcW w:w="2377" w:type="dxa"/>
            <w:vMerge w:val="restart"/>
            <w:shd w:val="clear" w:color="auto" w:fill="404040" w:themeFill="text1" w:themeFillTint="BF"/>
            <w:vAlign w:val="center"/>
          </w:tcPr>
          <w:p w14:paraId="273B2244" w14:textId="22314B4C" w:rsidR="00BC5E6F" w:rsidRPr="006A58DF" w:rsidRDefault="00BC5E6F" w:rsidP="00BC5E6F">
            <w:pPr>
              <w:pStyle w:val="Tableheaderrow"/>
              <w:jc w:val="center"/>
              <w:rPr>
                <w:rFonts w:cs="Arial"/>
                <w:color w:val="FFFFFF" w:themeColor="background1"/>
              </w:rPr>
            </w:pPr>
            <w:r w:rsidRPr="006A58DF">
              <w:rPr>
                <w:rFonts w:cs="Arial"/>
                <w:color w:val="FFFFFF" w:themeColor="background1"/>
              </w:rPr>
              <w:t>Parameter</w:t>
            </w:r>
          </w:p>
        </w:tc>
        <w:tc>
          <w:tcPr>
            <w:tcW w:w="5698" w:type="dxa"/>
            <w:gridSpan w:val="3"/>
            <w:shd w:val="clear" w:color="auto" w:fill="404040" w:themeFill="text1" w:themeFillTint="BF"/>
          </w:tcPr>
          <w:p w14:paraId="229E62E5" w14:textId="77777777" w:rsidR="00BC5E6F" w:rsidRPr="006A58DF" w:rsidRDefault="00BC5E6F" w:rsidP="00BC5E6F">
            <w:pPr>
              <w:pStyle w:val="Tableheaderrow"/>
              <w:jc w:val="center"/>
              <w:rPr>
                <w:bCs/>
                <w:color w:val="FFFFFF" w:themeColor="background1"/>
              </w:rPr>
            </w:pPr>
            <w:r w:rsidRPr="006A58DF">
              <w:rPr>
                <w:bCs/>
                <w:color w:val="FFFFFF" w:themeColor="background1"/>
              </w:rPr>
              <w:t>Scenario</w:t>
            </w:r>
          </w:p>
        </w:tc>
      </w:tr>
      <w:tr w:rsidR="00234CE8" w14:paraId="2B6A466C" w14:textId="77777777" w:rsidTr="006A58DF">
        <w:tc>
          <w:tcPr>
            <w:tcW w:w="2377" w:type="dxa"/>
            <w:vMerge/>
            <w:shd w:val="clear" w:color="auto" w:fill="404040" w:themeFill="text1" w:themeFillTint="BF"/>
          </w:tcPr>
          <w:p w14:paraId="3514036B" w14:textId="77777777" w:rsidR="00BC5E6F" w:rsidRPr="006A58DF" w:rsidRDefault="00BC5E6F" w:rsidP="00BC5E6F">
            <w:pPr>
              <w:pStyle w:val="Tableheaderrow"/>
              <w:rPr>
                <w:color w:val="FFFFFF" w:themeColor="background1"/>
              </w:rPr>
            </w:pPr>
          </w:p>
        </w:tc>
        <w:tc>
          <w:tcPr>
            <w:tcW w:w="1094" w:type="dxa"/>
            <w:shd w:val="clear" w:color="auto" w:fill="404040" w:themeFill="text1" w:themeFillTint="BF"/>
          </w:tcPr>
          <w:p w14:paraId="5BD3E5DA" w14:textId="4746F886" w:rsidR="00BC5E6F" w:rsidRPr="006A58DF" w:rsidRDefault="00BC5E6F" w:rsidP="00BC5E6F">
            <w:pPr>
              <w:pStyle w:val="Tableheaderrow"/>
              <w:rPr>
                <w:bCs/>
                <w:color w:val="FFFFFF" w:themeColor="background1"/>
              </w:rPr>
            </w:pPr>
            <w:r w:rsidRPr="006A58DF">
              <w:rPr>
                <w:bCs/>
                <w:color w:val="FFFFFF" w:themeColor="background1"/>
              </w:rPr>
              <w:t xml:space="preserve">TLMS </w:t>
            </w:r>
            <w:r w:rsidR="00B13B74" w:rsidRPr="006A58DF">
              <w:rPr>
                <w:bCs/>
                <w:color w:val="FFFFFF" w:themeColor="background1"/>
              </w:rPr>
              <w:t xml:space="preserve">Base Station </w:t>
            </w:r>
            <w:r w:rsidRPr="006A58DF">
              <w:rPr>
                <w:bCs/>
                <w:color w:val="FFFFFF" w:themeColor="background1"/>
              </w:rPr>
              <w:t>receiver</w:t>
            </w:r>
          </w:p>
        </w:tc>
        <w:tc>
          <w:tcPr>
            <w:tcW w:w="2019" w:type="dxa"/>
            <w:shd w:val="clear" w:color="auto" w:fill="404040" w:themeFill="text1" w:themeFillTint="BF"/>
          </w:tcPr>
          <w:p w14:paraId="6B25CF0F" w14:textId="75A38E0B" w:rsidR="00BC5E6F" w:rsidRPr="006A58DF" w:rsidRDefault="00BC5E6F" w:rsidP="00BC5E6F">
            <w:pPr>
              <w:pStyle w:val="Tableheaderrow"/>
              <w:rPr>
                <w:bCs/>
                <w:color w:val="FFFFFF" w:themeColor="background1"/>
              </w:rPr>
            </w:pPr>
            <w:r w:rsidRPr="006A58DF">
              <w:rPr>
                <w:bCs/>
                <w:color w:val="FFFFFF" w:themeColor="background1"/>
              </w:rPr>
              <w:t xml:space="preserve">PMP </w:t>
            </w:r>
            <w:r w:rsidR="00001479" w:rsidRPr="006A58DF">
              <w:rPr>
                <w:bCs/>
                <w:color w:val="FFFFFF" w:themeColor="background1"/>
              </w:rPr>
              <w:t xml:space="preserve">master station </w:t>
            </w:r>
            <w:r w:rsidRPr="006A58DF">
              <w:rPr>
                <w:bCs/>
                <w:color w:val="FFFFFF" w:themeColor="background1"/>
              </w:rPr>
              <w:t>receiver</w:t>
            </w:r>
          </w:p>
        </w:tc>
        <w:tc>
          <w:tcPr>
            <w:tcW w:w="2585" w:type="dxa"/>
            <w:shd w:val="clear" w:color="auto" w:fill="404040" w:themeFill="text1" w:themeFillTint="BF"/>
          </w:tcPr>
          <w:p w14:paraId="24855DC0" w14:textId="54DC2DD5" w:rsidR="00BC5E6F" w:rsidRPr="006A58DF" w:rsidRDefault="00147800" w:rsidP="00BC5E6F">
            <w:pPr>
              <w:pStyle w:val="Tableheaderrow"/>
              <w:rPr>
                <w:bCs/>
                <w:color w:val="FFFFFF" w:themeColor="background1"/>
              </w:rPr>
            </w:pPr>
            <w:r w:rsidRPr="006A58DF">
              <w:rPr>
                <w:bCs/>
                <w:color w:val="FFFFFF" w:themeColor="background1"/>
              </w:rPr>
              <w:t>PTP</w:t>
            </w:r>
            <w:r w:rsidR="00BC5E6F" w:rsidRPr="006A58DF">
              <w:rPr>
                <w:bCs/>
                <w:color w:val="FFFFFF" w:themeColor="background1"/>
              </w:rPr>
              <w:t xml:space="preserve"> receiver</w:t>
            </w:r>
          </w:p>
        </w:tc>
      </w:tr>
      <w:tr w:rsidR="00BC5E6F" w14:paraId="2B287F76" w14:textId="77777777" w:rsidTr="006A58DF">
        <w:tc>
          <w:tcPr>
            <w:tcW w:w="2377" w:type="dxa"/>
          </w:tcPr>
          <w:p w14:paraId="271C7580" w14:textId="1DD71F7E" w:rsidR="00BC5E6F" w:rsidRDefault="00BC5E6F" w:rsidP="00BC5E6F">
            <w:pPr>
              <w:pStyle w:val="TableBody"/>
            </w:pPr>
            <w:r>
              <w:t>R</w:t>
            </w:r>
            <w:r w:rsidR="00B0636F">
              <w:t>eceiver</w:t>
            </w:r>
            <w:r>
              <w:t xml:space="preserve"> antenna type</w:t>
            </w:r>
          </w:p>
        </w:tc>
        <w:tc>
          <w:tcPr>
            <w:tcW w:w="1094" w:type="dxa"/>
          </w:tcPr>
          <w:p w14:paraId="09D4884B" w14:textId="77777777" w:rsidR="00BC5E6F" w:rsidRDefault="00BC5E6F" w:rsidP="00BC5E6F">
            <w:pPr>
              <w:pStyle w:val="TableBody"/>
            </w:pPr>
            <w:r>
              <w:t>Omni</w:t>
            </w:r>
          </w:p>
        </w:tc>
        <w:tc>
          <w:tcPr>
            <w:tcW w:w="2019" w:type="dxa"/>
          </w:tcPr>
          <w:p w14:paraId="397D6217" w14:textId="77777777" w:rsidR="00BC5E6F" w:rsidRDefault="00BC5E6F" w:rsidP="00BC5E6F">
            <w:pPr>
              <w:pStyle w:val="TableBody"/>
            </w:pPr>
            <w:r>
              <w:t>Omni</w:t>
            </w:r>
          </w:p>
        </w:tc>
        <w:tc>
          <w:tcPr>
            <w:tcW w:w="2585" w:type="dxa"/>
          </w:tcPr>
          <w:p w14:paraId="1A28D2B7" w14:textId="3657F231" w:rsidR="00BC5E6F" w:rsidRDefault="00BC5E6F" w:rsidP="00BC5E6F">
            <w:pPr>
              <w:pStyle w:val="TableBody"/>
            </w:pPr>
            <w:r>
              <w:t xml:space="preserve">Parabolic dish or </w:t>
            </w:r>
            <w:r w:rsidR="00DB248E">
              <w:br/>
            </w:r>
            <w:proofErr w:type="spellStart"/>
            <w:r>
              <w:t>yagi</w:t>
            </w:r>
            <w:proofErr w:type="spellEnd"/>
            <w:r>
              <w:t>-array</w:t>
            </w:r>
          </w:p>
        </w:tc>
      </w:tr>
      <w:tr w:rsidR="00234CE8" w14:paraId="7D2EBF8E" w14:textId="77777777" w:rsidTr="006A58DF">
        <w:tc>
          <w:tcPr>
            <w:tcW w:w="2377" w:type="dxa"/>
            <w:shd w:val="clear" w:color="auto" w:fill="F2F2F2" w:themeFill="background1" w:themeFillShade="F2"/>
          </w:tcPr>
          <w:p w14:paraId="4BAEA88F" w14:textId="60DFF9D1" w:rsidR="00BC5E6F" w:rsidRDefault="00BC5E6F" w:rsidP="00BC5E6F">
            <w:pPr>
              <w:pStyle w:val="TableBody"/>
            </w:pPr>
            <w:r>
              <w:t>R</w:t>
            </w:r>
            <w:r w:rsidR="00B0636F">
              <w:t>eceiver</w:t>
            </w:r>
            <w:r>
              <w:t xml:space="preserve"> antenna gain</w:t>
            </w:r>
          </w:p>
        </w:tc>
        <w:tc>
          <w:tcPr>
            <w:tcW w:w="1094" w:type="dxa"/>
            <w:shd w:val="clear" w:color="auto" w:fill="F2F2F2" w:themeFill="background1" w:themeFillShade="F2"/>
          </w:tcPr>
          <w:p w14:paraId="068555DC" w14:textId="77777777" w:rsidR="00BC5E6F" w:rsidRDefault="00BC5E6F" w:rsidP="00BC5E6F">
            <w:pPr>
              <w:pStyle w:val="TableBody"/>
            </w:pPr>
            <w:r>
              <w:t>6 dBi</w:t>
            </w:r>
          </w:p>
        </w:tc>
        <w:tc>
          <w:tcPr>
            <w:tcW w:w="2019" w:type="dxa"/>
            <w:shd w:val="clear" w:color="auto" w:fill="F2F2F2" w:themeFill="background1" w:themeFillShade="F2"/>
          </w:tcPr>
          <w:p w14:paraId="443B9F94" w14:textId="77777777" w:rsidR="00BC5E6F" w:rsidRDefault="00BC5E6F" w:rsidP="00BC5E6F">
            <w:pPr>
              <w:pStyle w:val="TableBody"/>
            </w:pPr>
            <w:r>
              <w:t>8.2 dBi</w:t>
            </w:r>
          </w:p>
        </w:tc>
        <w:tc>
          <w:tcPr>
            <w:tcW w:w="2019" w:type="dxa"/>
            <w:shd w:val="clear" w:color="auto" w:fill="F2F2F2" w:themeFill="background1" w:themeFillShade="F2"/>
          </w:tcPr>
          <w:p w14:paraId="3E65D59F" w14:textId="77777777" w:rsidR="00BC5E6F" w:rsidRDefault="00BC5E6F" w:rsidP="00BC5E6F">
            <w:pPr>
              <w:pStyle w:val="TableBody"/>
            </w:pPr>
            <w:r>
              <w:t>22 dBi @ 0°</w:t>
            </w:r>
          </w:p>
          <w:p w14:paraId="63C0FAF8" w14:textId="77777777" w:rsidR="00BC5E6F" w:rsidRDefault="00BC5E6F" w:rsidP="00BC5E6F">
            <w:pPr>
              <w:pStyle w:val="TableBody"/>
            </w:pPr>
            <w:r>
              <w:t>9 dBi @ 30°</w:t>
            </w:r>
          </w:p>
          <w:p w14:paraId="5D772767" w14:textId="1DCACFB1" w:rsidR="00BC5E6F" w:rsidRDefault="00BC5E6F" w:rsidP="00BC5E6F">
            <w:pPr>
              <w:pStyle w:val="TableBody"/>
            </w:pPr>
            <w:r>
              <w:t>0.5 dBi @ &gt;45°</w:t>
            </w:r>
          </w:p>
        </w:tc>
      </w:tr>
      <w:tr w:rsidR="00BC5E6F" w14:paraId="283C978F" w14:textId="77777777" w:rsidTr="006A58DF">
        <w:tc>
          <w:tcPr>
            <w:tcW w:w="2377" w:type="dxa"/>
          </w:tcPr>
          <w:p w14:paraId="0577A59F" w14:textId="5DDB3E57" w:rsidR="00BC5E6F" w:rsidRDefault="000A0604" w:rsidP="00BC5E6F">
            <w:pPr>
              <w:pStyle w:val="TableBody"/>
            </w:pPr>
            <w:r>
              <w:t>Usable</w:t>
            </w:r>
            <w:r w:rsidR="00BC5E6F">
              <w:t xml:space="preserve"> sensitivity</w:t>
            </w:r>
            <w:r>
              <w:rPr>
                <w:rStyle w:val="FootnoteReference"/>
              </w:rPr>
              <w:footnoteReference w:id="8"/>
            </w:r>
          </w:p>
        </w:tc>
        <w:tc>
          <w:tcPr>
            <w:tcW w:w="1094" w:type="dxa"/>
          </w:tcPr>
          <w:p w14:paraId="5A198220" w14:textId="77777777" w:rsidR="00BC5E6F" w:rsidRDefault="00BC5E6F" w:rsidP="00BC5E6F">
            <w:pPr>
              <w:pStyle w:val="TableBody"/>
            </w:pPr>
            <w:r>
              <w:t>-119 dBm</w:t>
            </w:r>
          </w:p>
        </w:tc>
        <w:tc>
          <w:tcPr>
            <w:tcW w:w="2019" w:type="dxa"/>
          </w:tcPr>
          <w:p w14:paraId="1FA1FCC3" w14:textId="77777777" w:rsidR="00BC5E6F" w:rsidRDefault="00BC5E6F" w:rsidP="00BC5E6F">
            <w:pPr>
              <w:pStyle w:val="TableBody"/>
            </w:pPr>
            <w:r>
              <w:t>-119 dBm</w:t>
            </w:r>
          </w:p>
        </w:tc>
        <w:tc>
          <w:tcPr>
            <w:tcW w:w="2585" w:type="dxa"/>
          </w:tcPr>
          <w:p w14:paraId="246A9757" w14:textId="7BCA7414" w:rsidR="00BC5E6F" w:rsidRDefault="00E20D64" w:rsidP="00BC5E6F">
            <w:pPr>
              <w:pStyle w:val="TableBody"/>
            </w:pPr>
            <w:r>
              <w:t>N/A</w:t>
            </w:r>
          </w:p>
        </w:tc>
      </w:tr>
      <w:tr w:rsidR="00234CE8" w14:paraId="36A6B137" w14:textId="77777777" w:rsidTr="006A58DF">
        <w:tc>
          <w:tcPr>
            <w:tcW w:w="2377" w:type="dxa"/>
            <w:shd w:val="clear" w:color="auto" w:fill="F2F2F2" w:themeFill="background1" w:themeFillShade="F2"/>
          </w:tcPr>
          <w:p w14:paraId="378F1035" w14:textId="45DAE5E0" w:rsidR="00BC5E6F" w:rsidRDefault="00BC5E6F" w:rsidP="00BC5E6F">
            <w:pPr>
              <w:pStyle w:val="TableBody"/>
            </w:pPr>
            <w:r>
              <w:t>Protection requirement</w:t>
            </w:r>
          </w:p>
        </w:tc>
        <w:tc>
          <w:tcPr>
            <w:tcW w:w="1094" w:type="dxa"/>
            <w:shd w:val="clear" w:color="auto" w:fill="F2F2F2" w:themeFill="background1" w:themeFillShade="F2"/>
          </w:tcPr>
          <w:p w14:paraId="066D9122" w14:textId="3AA09CD9" w:rsidR="00BC5E6F" w:rsidRDefault="0034625F" w:rsidP="00BC5E6F">
            <w:pPr>
              <w:pStyle w:val="TableBody"/>
            </w:pPr>
            <w:r>
              <w:t xml:space="preserve">C/I= </w:t>
            </w:r>
            <w:r w:rsidR="00BC5E6F">
              <w:t>5 dB</w:t>
            </w:r>
          </w:p>
        </w:tc>
        <w:tc>
          <w:tcPr>
            <w:tcW w:w="2019" w:type="dxa"/>
            <w:shd w:val="clear" w:color="auto" w:fill="F2F2F2" w:themeFill="background1" w:themeFillShade="F2"/>
          </w:tcPr>
          <w:p w14:paraId="34656A98" w14:textId="784DE803" w:rsidR="00BC5E6F" w:rsidRDefault="0034625F" w:rsidP="00BC5E6F">
            <w:pPr>
              <w:pStyle w:val="TableBody"/>
            </w:pPr>
            <w:r>
              <w:t>C/I=</w:t>
            </w:r>
            <w:r w:rsidR="00BC5E6F">
              <w:t>10 dB</w:t>
            </w:r>
          </w:p>
        </w:tc>
        <w:tc>
          <w:tcPr>
            <w:tcW w:w="2585" w:type="dxa"/>
            <w:shd w:val="clear" w:color="auto" w:fill="F2F2F2" w:themeFill="background1" w:themeFillShade="F2"/>
          </w:tcPr>
          <w:p w14:paraId="31B70743" w14:textId="77777777" w:rsidR="00BC5E6F" w:rsidRDefault="00BC5E6F" w:rsidP="00BC5E6F">
            <w:pPr>
              <w:pStyle w:val="TableBody"/>
            </w:pPr>
            <w:r>
              <w:t>C/I = 50 dB</w:t>
            </w:r>
          </w:p>
          <w:p w14:paraId="559E581A" w14:textId="76BE88F3" w:rsidR="00BC5E6F" w:rsidRDefault="00BC5E6F" w:rsidP="00BC5E6F">
            <w:pPr>
              <w:pStyle w:val="TableBody"/>
            </w:pPr>
            <w:r>
              <w:t xml:space="preserve">(co-channel for </w:t>
            </w:r>
            <w:r w:rsidR="00DB248E">
              <w:br/>
            </w:r>
            <w:r>
              <w:t>BW&gt;25 kHz)</w:t>
            </w:r>
          </w:p>
        </w:tc>
      </w:tr>
      <w:tr w:rsidR="00CC44AB" w14:paraId="1FBC12A8" w14:textId="77777777" w:rsidTr="006A58DF">
        <w:tc>
          <w:tcPr>
            <w:tcW w:w="2377" w:type="dxa"/>
          </w:tcPr>
          <w:p w14:paraId="6B65ECEF" w14:textId="2459B857" w:rsidR="00CC44AB" w:rsidRPr="00F0767F" w:rsidRDefault="00CC44AB" w:rsidP="00F40574">
            <w:pPr>
              <w:pStyle w:val="TableBody"/>
              <w:rPr>
                <w:bCs/>
              </w:rPr>
            </w:pPr>
            <w:r w:rsidRPr="00F40574">
              <w:rPr>
                <w:rFonts w:eastAsia="Arial" w:cs="Arial"/>
                <w:bCs/>
                <w:szCs w:val="20"/>
              </w:rPr>
              <w:t>Maximum Interference Signal Level @Rx</w:t>
            </w:r>
          </w:p>
        </w:tc>
        <w:tc>
          <w:tcPr>
            <w:tcW w:w="1094" w:type="dxa"/>
          </w:tcPr>
          <w:p w14:paraId="403F7A85" w14:textId="5F5D328C" w:rsidR="00CC44AB" w:rsidRDefault="00CC44AB" w:rsidP="00BC5E6F">
            <w:pPr>
              <w:pStyle w:val="TableBody"/>
            </w:pPr>
            <w:r>
              <w:t>-124 dBm</w:t>
            </w:r>
          </w:p>
        </w:tc>
        <w:tc>
          <w:tcPr>
            <w:tcW w:w="2019" w:type="dxa"/>
          </w:tcPr>
          <w:p w14:paraId="5E4C1728" w14:textId="3772A604" w:rsidR="00CC44AB" w:rsidRDefault="00CC44AB" w:rsidP="00BC5E6F">
            <w:pPr>
              <w:pStyle w:val="TableBody"/>
            </w:pPr>
            <w:r>
              <w:t>-129 dBm</w:t>
            </w:r>
          </w:p>
        </w:tc>
        <w:tc>
          <w:tcPr>
            <w:tcW w:w="2585" w:type="dxa"/>
          </w:tcPr>
          <w:p w14:paraId="28214761" w14:textId="2C033CF2" w:rsidR="00CC44AB" w:rsidRDefault="00CC44AB" w:rsidP="00BC5E6F">
            <w:pPr>
              <w:pStyle w:val="TableBody"/>
            </w:pPr>
            <w:r>
              <w:t xml:space="preserve"> N/A</w:t>
            </w:r>
          </w:p>
        </w:tc>
      </w:tr>
      <w:tr w:rsidR="00BC5E6F" w14:paraId="5185EBB6" w14:textId="77777777" w:rsidTr="006A58DF">
        <w:tc>
          <w:tcPr>
            <w:tcW w:w="2377" w:type="dxa"/>
          </w:tcPr>
          <w:p w14:paraId="33E967AB" w14:textId="55157F68" w:rsidR="00BC5E6F" w:rsidRDefault="00BC5E6F" w:rsidP="00BC5E6F">
            <w:pPr>
              <w:pStyle w:val="TableBody"/>
            </w:pPr>
            <w:r>
              <w:t xml:space="preserve">Unwanted </w:t>
            </w:r>
            <w:r w:rsidR="00E20D64">
              <w:t xml:space="preserve">transmitter </w:t>
            </w:r>
            <w:r>
              <w:t>emissions within passband</w:t>
            </w:r>
            <w:r w:rsidR="00E20D64">
              <w:t xml:space="preserve"> of Rx</w:t>
            </w:r>
          </w:p>
          <w:p w14:paraId="1C3AD90D" w14:textId="13401922" w:rsidR="00BC5E6F" w:rsidRDefault="00BC5E6F" w:rsidP="00BC5E6F">
            <w:pPr>
              <w:pStyle w:val="TableBody"/>
            </w:pPr>
            <w:r>
              <w:t>(</w:t>
            </w:r>
            <w:proofErr w:type="gramStart"/>
            <w:r w:rsidR="00DB248E">
              <w:t>s</w:t>
            </w:r>
            <w:r w:rsidR="00E20D64">
              <w:t>pectrum</w:t>
            </w:r>
            <w:proofErr w:type="gramEnd"/>
            <w:r w:rsidR="00E20D64">
              <w:t xml:space="preserve"> l</w:t>
            </w:r>
            <w:r>
              <w:t>icence condition</w:t>
            </w:r>
            <w:r w:rsidR="00F0767F">
              <w:t>)</w:t>
            </w:r>
            <w:r w:rsidR="00F0767F">
              <w:rPr>
                <w:rStyle w:val="FootnoteReference"/>
                <w:sz w:val="16"/>
                <w:szCs w:val="16"/>
              </w:rPr>
              <w:footnoteReference w:id="9"/>
            </w:r>
          </w:p>
        </w:tc>
        <w:tc>
          <w:tcPr>
            <w:tcW w:w="1094" w:type="dxa"/>
          </w:tcPr>
          <w:p w14:paraId="18A5779B" w14:textId="1194AA67" w:rsidR="00BC5E6F" w:rsidRDefault="00BC5E6F" w:rsidP="00BC5E6F">
            <w:pPr>
              <w:pStyle w:val="TableBody"/>
            </w:pPr>
            <w:r>
              <w:t>-</w:t>
            </w:r>
            <w:r w:rsidR="00D73CB1">
              <w:t>6</w:t>
            </w:r>
            <w:r>
              <w:t xml:space="preserve"> dBm/MHz EIRP</w:t>
            </w:r>
          </w:p>
        </w:tc>
        <w:tc>
          <w:tcPr>
            <w:tcW w:w="2019" w:type="dxa"/>
          </w:tcPr>
          <w:p w14:paraId="1EEA2B69" w14:textId="6D31F8AF" w:rsidR="00BC5E6F" w:rsidRDefault="00BC5E6F" w:rsidP="00BC5E6F">
            <w:pPr>
              <w:pStyle w:val="TableBody"/>
            </w:pPr>
            <w:r>
              <w:t>15 dBm/MHz EIRP</w:t>
            </w:r>
          </w:p>
          <w:p w14:paraId="3BABCA29" w14:textId="77777777" w:rsidR="00DF2E2F" w:rsidRDefault="00DF2E2F" w:rsidP="00BC5E6F">
            <w:pPr>
              <w:pStyle w:val="TableBody"/>
            </w:pPr>
          </w:p>
          <w:p w14:paraId="1890142B" w14:textId="1D10E733" w:rsidR="00BC5E6F" w:rsidRDefault="00BC5E6F" w:rsidP="00BC5E6F">
            <w:pPr>
              <w:pStyle w:val="TableBody"/>
            </w:pPr>
            <w:r>
              <w:t xml:space="preserve">(Likely to be </w:t>
            </w:r>
            <w:r w:rsidR="00D6291B">
              <w:t xml:space="preserve">lower based on the </w:t>
            </w:r>
            <w:r>
              <w:t>-</w:t>
            </w:r>
            <w:r w:rsidR="00D73CB1">
              <w:t>6</w:t>
            </w:r>
            <w:r>
              <w:t xml:space="preserve"> dBm/MHz limit in 806</w:t>
            </w:r>
            <w:r w:rsidR="00DB248E">
              <w:t>–</w:t>
            </w:r>
            <w:r>
              <w:t>813 MHz)</w:t>
            </w:r>
          </w:p>
        </w:tc>
        <w:tc>
          <w:tcPr>
            <w:tcW w:w="2585" w:type="dxa"/>
          </w:tcPr>
          <w:p w14:paraId="6A6271DC" w14:textId="77777777" w:rsidR="00BC5E6F" w:rsidRDefault="00BC5E6F" w:rsidP="00BC5E6F">
            <w:pPr>
              <w:pStyle w:val="TableBody"/>
            </w:pPr>
            <w:r>
              <w:t>15 dBm/MHz EIRP</w:t>
            </w:r>
          </w:p>
          <w:p w14:paraId="64441CBF" w14:textId="77777777" w:rsidR="00DF2E2F" w:rsidRDefault="00DF2E2F" w:rsidP="00BC5E6F">
            <w:pPr>
              <w:pStyle w:val="TableBody"/>
            </w:pPr>
          </w:p>
          <w:p w14:paraId="5DB7069F" w14:textId="2C824BB2" w:rsidR="00BC5E6F" w:rsidRDefault="00BC5E6F" w:rsidP="00BC5E6F">
            <w:pPr>
              <w:pStyle w:val="TableBody"/>
            </w:pPr>
            <w:r>
              <w:t xml:space="preserve">(Likely to be </w:t>
            </w:r>
            <w:r w:rsidR="00D6291B">
              <w:t>lower</w:t>
            </w:r>
            <w:r>
              <w:t xml:space="preserve"> </w:t>
            </w:r>
            <w:r w:rsidR="00D6291B">
              <w:t>based on the</w:t>
            </w:r>
            <w:r>
              <w:t xml:space="preserve"> </w:t>
            </w:r>
            <w:r w:rsidR="00B85399">
              <w:noBreakHyphen/>
            </w:r>
            <w:r w:rsidR="00D73CB1">
              <w:t>6</w:t>
            </w:r>
            <w:r>
              <w:t xml:space="preserve"> dBm/MHz limit in 806</w:t>
            </w:r>
            <w:r w:rsidR="00DB248E">
              <w:t>–</w:t>
            </w:r>
            <w:r>
              <w:t>813 MHz)</w:t>
            </w:r>
          </w:p>
        </w:tc>
      </w:tr>
      <w:tr w:rsidR="00234CE8" w14:paraId="4E1B8B9C" w14:textId="77777777" w:rsidTr="006A58DF">
        <w:tc>
          <w:tcPr>
            <w:tcW w:w="2377" w:type="dxa"/>
            <w:shd w:val="clear" w:color="auto" w:fill="F2F2F2" w:themeFill="background1" w:themeFillShade="F2"/>
          </w:tcPr>
          <w:p w14:paraId="19B078D1" w14:textId="77777777" w:rsidR="00BC5E6F" w:rsidRDefault="00BC5E6F" w:rsidP="00BC5E6F">
            <w:pPr>
              <w:pStyle w:val="TableBody"/>
            </w:pPr>
            <w:r>
              <w:t>Propagation model</w:t>
            </w:r>
          </w:p>
        </w:tc>
        <w:tc>
          <w:tcPr>
            <w:tcW w:w="1094" w:type="dxa"/>
            <w:shd w:val="clear" w:color="auto" w:fill="F2F2F2" w:themeFill="background1" w:themeFillShade="F2"/>
          </w:tcPr>
          <w:p w14:paraId="22179948" w14:textId="1D5DED52" w:rsidR="00E20D64" w:rsidRDefault="00B13B74" w:rsidP="00BC5E6F">
            <w:pPr>
              <w:pStyle w:val="TableBody"/>
            </w:pPr>
            <w:r>
              <w:t xml:space="preserve">Free space loss </w:t>
            </w:r>
            <w:r w:rsidR="00DB248E">
              <w:br/>
            </w:r>
            <w:r w:rsidR="00BC5E6F">
              <w:t>+ 10 dB</w:t>
            </w:r>
          </w:p>
        </w:tc>
        <w:tc>
          <w:tcPr>
            <w:tcW w:w="2019" w:type="dxa"/>
            <w:shd w:val="clear" w:color="auto" w:fill="F2F2F2" w:themeFill="background1" w:themeFillShade="F2"/>
          </w:tcPr>
          <w:p w14:paraId="7E603133" w14:textId="6FAB71C3" w:rsidR="00E20D64" w:rsidRDefault="00B13B74" w:rsidP="00BC5E6F">
            <w:pPr>
              <w:pStyle w:val="TableBody"/>
            </w:pPr>
            <w:r>
              <w:t xml:space="preserve">Free space loss </w:t>
            </w:r>
            <w:r w:rsidR="00DB248E">
              <w:br/>
            </w:r>
            <w:r>
              <w:t>+ 10 dB</w:t>
            </w:r>
          </w:p>
        </w:tc>
        <w:tc>
          <w:tcPr>
            <w:tcW w:w="2585" w:type="dxa"/>
            <w:shd w:val="clear" w:color="auto" w:fill="F2F2F2" w:themeFill="background1" w:themeFillShade="F2"/>
          </w:tcPr>
          <w:p w14:paraId="4B4C6DC2" w14:textId="18C145B8" w:rsidR="00BC5E6F" w:rsidRDefault="00B13B74" w:rsidP="00BC5E6F">
            <w:pPr>
              <w:pStyle w:val="TableBody"/>
            </w:pPr>
            <w:r>
              <w:t xml:space="preserve">Free space loss </w:t>
            </w:r>
          </w:p>
        </w:tc>
      </w:tr>
      <w:tr w:rsidR="00BC5E6F" w14:paraId="103BB8A7" w14:textId="77777777" w:rsidTr="006A58DF">
        <w:tc>
          <w:tcPr>
            <w:tcW w:w="2377" w:type="dxa"/>
          </w:tcPr>
          <w:p w14:paraId="11C7BB3D" w14:textId="15B2C8A9" w:rsidR="00BC5E6F" w:rsidRDefault="00E20D64" w:rsidP="00BC5E6F">
            <w:pPr>
              <w:pStyle w:val="TableBody"/>
            </w:pPr>
            <w:r>
              <w:t>Calculated minimum s</w:t>
            </w:r>
            <w:r w:rsidR="00BC5E6F">
              <w:t>eparation distance</w:t>
            </w:r>
          </w:p>
        </w:tc>
        <w:tc>
          <w:tcPr>
            <w:tcW w:w="1094" w:type="dxa"/>
          </w:tcPr>
          <w:p w14:paraId="3666C54A" w14:textId="77777777" w:rsidR="00BC5E6F" w:rsidRDefault="00BC5E6F" w:rsidP="00BC5E6F">
            <w:pPr>
              <w:pStyle w:val="TableBody"/>
            </w:pPr>
            <w:r>
              <w:t>2.3 km</w:t>
            </w:r>
          </w:p>
        </w:tc>
        <w:tc>
          <w:tcPr>
            <w:tcW w:w="2019" w:type="dxa"/>
          </w:tcPr>
          <w:p w14:paraId="1FAB6F38" w14:textId="77777777" w:rsidR="00BC5E6F" w:rsidRDefault="00BC5E6F" w:rsidP="00BC5E6F">
            <w:pPr>
              <w:pStyle w:val="TableBody"/>
            </w:pPr>
            <w:r>
              <w:t>60 km</w:t>
            </w:r>
          </w:p>
          <w:p w14:paraId="14121854" w14:textId="77777777" w:rsidR="004F0F2B" w:rsidRDefault="004F0F2B" w:rsidP="00BC5E6F">
            <w:pPr>
              <w:pStyle w:val="TableBody"/>
            </w:pPr>
          </w:p>
          <w:p w14:paraId="0ED667D3" w14:textId="65D8FBF6" w:rsidR="00BC5E6F" w:rsidRDefault="00BC5E6F" w:rsidP="00BC5E6F">
            <w:pPr>
              <w:pStyle w:val="TableBody"/>
            </w:pPr>
            <w:r>
              <w:t>(</w:t>
            </w:r>
            <w:r w:rsidR="00D73CB1">
              <w:t>5.4</w:t>
            </w:r>
            <w:r>
              <w:t xml:space="preserve"> km </w:t>
            </w:r>
            <w:r w:rsidR="00C94B38">
              <w:t>assuming an</w:t>
            </w:r>
            <w:r>
              <w:t xml:space="preserve"> unwanted</w:t>
            </w:r>
            <w:r w:rsidR="00E20D64">
              <w:t xml:space="preserve"> emission</w:t>
            </w:r>
            <w:r>
              <w:t xml:space="preserve"> limit of </w:t>
            </w:r>
            <w:r w:rsidR="00DB248E">
              <w:br/>
            </w:r>
            <w:r>
              <w:t>-</w:t>
            </w:r>
            <w:r w:rsidR="001F378A">
              <w:t>6</w:t>
            </w:r>
            <w:r>
              <w:t xml:space="preserve"> dBm/MHz)</w:t>
            </w:r>
          </w:p>
        </w:tc>
        <w:tc>
          <w:tcPr>
            <w:tcW w:w="2585" w:type="dxa"/>
          </w:tcPr>
          <w:p w14:paraId="5259D122" w14:textId="77777777" w:rsidR="00BC5E6F" w:rsidRDefault="00BC5E6F" w:rsidP="00BC5E6F">
            <w:pPr>
              <w:pStyle w:val="TableBody"/>
            </w:pPr>
            <w:r>
              <w:t>For 45 km link:</w:t>
            </w:r>
          </w:p>
          <w:p w14:paraId="5AB8EA21" w14:textId="77777777" w:rsidR="00BC5E6F" w:rsidRDefault="00BC5E6F" w:rsidP="00E20D64">
            <w:pPr>
              <w:pStyle w:val="TableBody"/>
              <w:numPr>
                <w:ilvl w:val="0"/>
                <w:numId w:val="23"/>
              </w:numPr>
              <w:ind w:left="323" w:hanging="323"/>
            </w:pPr>
            <w:r>
              <w:t>63.5 km @ 0°</w:t>
            </w:r>
          </w:p>
          <w:p w14:paraId="02FAD998" w14:textId="77777777" w:rsidR="00BC5E6F" w:rsidRDefault="00BC5E6F" w:rsidP="00E20D64">
            <w:pPr>
              <w:pStyle w:val="TableBody"/>
              <w:numPr>
                <w:ilvl w:val="0"/>
                <w:numId w:val="23"/>
              </w:numPr>
              <w:ind w:left="323" w:hanging="323"/>
            </w:pPr>
            <w:r>
              <w:t>14 km @ 30°</w:t>
            </w:r>
          </w:p>
          <w:p w14:paraId="6C7A5B62" w14:textId="77777777" w:rsidR="00BC5E6F" w:rsidRDefault="00BC5E6F" w:rsidP="00E20D64">
            <w:pPr>
              <w:pStyle w:val="TableBody"/>
              <w:numPr>
                <w:ilvl w:val="0"/>
                <w:numId w:val="23"/>
              </w:numPr>
              <w:ind w:left="323" w:hanging="323"/>
            </w:pPr>
            <w:r>
              <w:t>5.3 km @ &gt;45°</w:t>
            </w:r>
          </w:p>
          <w:p w14:paraId="089B643A" w14:textId="77777777" w:rsidR="00DF2E2F" w:rsidRDefault="00DF2E2F" w:rsidP="00BC5E6F">
            <w:pPr>
              <w:pStyle w:val="TableBody"/>
            </w:pPr>
          </w:p>
          <w:p w14:paraId="2D109D2A" w14:textId="5A139A53" w:rsidR="00BC5E6F" w:rsidRDefault="00BC5E6F" w:rsidP="00BC5E6F">
            <w:pPr>
              <w:pStyle w:val="TableBody"/>
            </w:pPr>
            <w:r>
              <w:t>(</w:t>
            </w:r>
            <w:proofErr w:type="gramStart"/>
            <w:r w:rsidR="00C94B38">
              <w:t>assuming</w:t>
            </w:r>
            <w:proofErr w:type="gramEnd"/>
            <w:r w:rsidR="00C94B38">
              <w:t xml:space="preserve"> an</w:t>
            </w:r>
            <w:r>
              <w:t xml:space="preserve"> unwanted</w:t>
            </w:r>
            <w:r w:rsidR="00E20D64">
              <w:t xml:space="preserve"> emission</w:t>
            </w:r>
            <w:r>
              <w:t xml:space="preserve"> limit of </w:t>
            </w:r>
            <w:r w:rsidR="00DB248E">
              <w:br/>
            </w:r>
            <w:r>
              <w:t>-</w:t>
            </w:r>
            <w:r w:rsidR="00D73CB1">
              <w:t>6</w:t>
            </w:r>
            <w:r>
              <w:t xml:space="preserve"> dBm/MHz:</w:t>
            </w:r>
          </w:p>
          <w:p w14:paraId="716A27A6" w14:textId="78EDBD27" w:rsidR="00BC5E6F" w:rsidRDefault="00D73CB1" w:rsidP="00E20D64">
            <w:pPr>
              <w:pStyle w:val="TableBody"/>
              <w:numPr>
                <w:ilvl w:val="0"/>
                <w:numId w:val="23"/>
              </w:numPr>
              <w:ind w:left="323" w:hanging="323"/>
            </w:pPr>
            <w:r>
              <w:t>5.7</w:t>
            </w:r>
            <w:r w:rsidR="00BC5E6F">
              <w:t xml:space="preserve"> km @ 0°</w:t>
            </w:r>
          </w:p>
          <w:p w14:paraId="108011E1" w14:textId="565C7A52" w:rsidR="00BC5E6F" w:rsidRDefault="00D73CB1" w:rsidP="00E20D64">
            <w:pPr>
              <w:pStyle w:val="TableBody"/>
              <w:numPr>
                <w:ilvl w:val="0"/>
                <w:numId w:val="23"/>
              </w:numPr>
              <w:ind w:left="323" w:hanging="323"/>
            </w:pPr>
            <w:r>
              <w:t>1.3 k</w:t>
            </w:r>
            <w:r w:rsidR="00BC5E6F">
              <w:t>m @ 30°</w:t>
            </w:r>
          </w:p>
          <w:p w14:paraId="1C3AA0E9" w14:textId="503DBB05" w:rsidR="00BC5E6F" w:rsidRDefault="00D73CB1" w:rsidP="00E20D64">
            <w:pPr>
              <w:pStyle w:val="TableBody"/>
              <w:numPr>
                <w:ilvl w:val="0"/>
                <w:numId w:val="23"/>
              </w:numPr>
              <w:ind w:left="323" w:hanging="323"/>
            </w:pPr>
            <w:r>
              <w:t>500</w:t>
            </w:r>
            <w:r w:rsidR="00D819C1">
              <w:t xml:space="preserve"> </w:t>
            </w:r>
            <w:r w:rsidR="00BC5E6F">
              <w:t>m @ &gt;45°</w:t>
            </w:r>
            <w:r w:rsidR="00E20D64">
              <w:t>)</w:t>
            </w:r>
          </w:p>
        </w:tc>
      </w:tr>
    </w:tbl>
    <w:p w14:paraId="4DFAF419" w14:textId="77777777" w:rsidR="00F40786" w:rsidRPr="00F40786" w:rsidRDefault="00F40786" w:rsidP="00F40786">
      <w:pPr>
        <w:pStyle w:val="Paragraph"/>
      </w:pPr>
    </w:p>
    <w:p w14:paraId="5A7614A5" w14:textId="5FE75691" w:rsidR="00503C8D" w:rsidRDefault="00123372" w:rsidP="00123372">
      <w:pPr>
        <w:pStyle w:val="Paragraph"/>
      </w:pPr>
      <w:r>
        <w:t xml:space="preserve">As </w:t>
      </w:r>
      <w:r w:rsidR="00F07A41">
        <w:t xml:space="preserve">is </w:t>
      </w:r>
      <w:r>
        <w:t>evident in Table 1, the level of unwanted emissions from the spectrum</w:t>
      </w:r>
      <w:r w:rsidR="00083CAC">
        <w:t>-</w:t>
      </w:r>
      <w:r>
        <w:t xml:space="preserve">licensed transmitter falling within the passband of the receiver </w:t>
      </w:r>
      <w:r w:rsidR="00E20D64">
        <w:t>is</w:t>
      </w:r>
      <w:r>
        <w:t xml:space="preserve"> a </w:t>
      </w:r>
      <w:r w:rsidR="007B2D22">
        <w:t>key</w:t>
      </w:r>
      <w:r>
        <w:t xml:space="preserve"> factor in </w:t>
      </w:r>
      <w:r w:rsidR="00F07A41">
        <w:t xml:space="preserve">determining </w:t>
      </w:r>
      <w:r>
        <w:t xml:space="preserve">the required separation distance (and these will often dominate </w:t>
      </w:r>
      <w:r w:rsidR="00E20D64">
        <w:t>any</w:t>
      </w:r>
      <w:r w:rsidR="00E1577E">
        <w:t xml:space="preserve"> </w:t>
      </w:r>
      <w:r>
        <w:t>receive</w:t>
      </w:r>
      <w:r w:rsidR="00E1577E">
        <w:t>r</w:t>
      </w:r>
      <w:r w:rsidR="00083CAC">
        <w:t>-</w:t>
      </w:r>
      <w:r>
        <w:t>blocking requirement</w:t>
      </w:r>
      <w:r w:rsidR="00E1577E">
        <w:t>s</w:t>
      </w:r>
      <w:r>
        <w:t xml:space="preserve"> in the coordination process). </w:t>
      </w:r>
      <w:r w:rsidR="007B2D22">
        <w:t>Spectrum licensees are</w:t>
      </w:r>
      <w:r w:rsidR="00E1577E">
        <w:t xml:space="preserve"> currently</w:t>
      </w:r>
      <w:r w:rsidR="007B2D22">
        <w:t xml:space="preserve"> subject </w:t>
      </w:r>
      <w:r w:rsidR="00083CAC">
        <w:br/>
      </w:r>
      <w:r w:rsidR="007B2D22">
        <w:t>to</w:t>
      </w:r>
      <w:r w:rsidR="00503C8D">
        <w:t xml:space="preserve"> stricter unwanted emission levels </w:t>
      </w:r>
      <w:r w:rsidR="007B2D22">
        <w:t>at frequencies in the range</w:t>
      </w:r>
      <w:r w:rsidR="00503C8D">
        <w:t xml:space="preserve"> 806</w:t>
      </w:r>
      <w:r w:rsidR="00083CAC">
        <w:t>–</w:t>
      </w:r>
      <w:r w:rsidR="007B2D22">
        <w:t>813 MHz</w:t>
      </w:r>
      <w:r w:rsidR="00503C8D">
        <w:t xml:space="preserve"> </w:t>
      </w:r>
      <w:r w:rsidR="00083CAC">
        <w:br/>
      </w:r>
      <w:r w:rsidR="00503C8D">
        <w:t>(-</w:t>
      </w:r>
      <w:r w:rsidR="00A62DFC">
        <w:t>6</w:t>
      </w:r>
      <w:r w:rsidR="00503C8D">
        <w:t xml:space="preserve"> dBm/MHz)</w:t>
      </w:r>
      <w:r w:rsidR="00083CAC">
        <w:t>,</w:t>
      </w:r>
      <w:r w:rsidR="00503C8D">
        <w:t xml:space="preserve"> </w:t>
      </w:r>
      <w:r w:rsidR="00E1577E">
        <w:t xml:space="preserve">which </w:t>
      </w:r>
      <w:r w:rsidR="00503C8D">
        <w:t xml:space="preserve">aids coexistence with TLMS. The need to comply with the </w:t>
      </w:r>
      <w:r w:rsidR="00083CAC">
        <w:br/>
      </w:r>
      <w:r w:rsidR="007B2D22">
        <w:t>806</w:t>
      </w:r>
      <w:r w:rsidR="00083CAC">
        <w:t>–</w:t>
      </w:r>
      <w:r w:rsidR="007B2D22">
        <w:t xml:space="preserve">813 MHz </w:t>
      </w:r>
      <w:r w:rsidR="00503C8D">
        <w:t>limit will most likely result in actual emissions being significantly less tha</w:t>
      </w:r>
      <w:r w:rsidR="00E20D64">
        <w:t>n</w:t>
      </w:r>
      <w:r w:rsidR="00503C8D">
        <w:t xml:space="preserve"> the 15 dBm/MHz limit in the adjacent </w:t>
      </w:r>
      <w:r w:rsidR="00564A82">
        <w:t>f</w:t>
      </w:r>
      <w:r w:rsidR="00503C8D">
        <w:t xml:space="preserve">ixed </w:t>
      </w:r>
      <w:r w:rsidR="00564A82">
        <w:t>s</w:t>
      </w:r>
      <w:r w:rsidR="00503C8D">
        <w:t>ervice segment (804</w:t>
      </w:r>
      <w:r w:rsidR="00564A82">
        <w:t>–</w:t>
      </w:r>
      <w:r w:rsidR="00503C8D">
        <w:t xml:space="preserve">806 MHz). The impact on separation distances assuming </w:t>
      </w:r>
      <w:r w:rsidR="007B2D22">
        <w:t xml:space="preserve">unwanted emissions at </w:t>
      </w:r>
      <w:r w:rsidR="00503C8D">
        <w:t>-</w:t>
      </w:r>
      <w:r w:rsidR="00A62DFC">
        <w:t>6</w:t>
      </w:r>
      <w:r w:rsidR="00503C8D">
        <w:t xml:space="preserve"> dBm/MHz instead of 15 dBm/MHz is significant</w:t>
      </w:r>
      <w:r w:rsidR="007B2D22">
        <w:t>,</w:t>
      </w:r>
      <w:r w:rsidR="00503C8D">
        <w:t xml:space="preserve"> as shown in </w:t>
      </w:r>
      <w:r w:rsidR="00E20D64">
        <w:t>T</w:t>
      </w:r>
      <w:r w:rsidR="00503C8D">
        <w:t>able 1</w:t>
      </w:r>
      <w:r w:rsidR="00E1577E">
        <w:t xml:space="preserve"> for PMP and </w:t>
      </w:r>
      <w:r w:rsidR="00147800">
        <w:t>PTP</w:t>
      </w:r>
      <w:r w:rsidR="00E1577E">
        <w:t xml:space="preserve"> receivers</w:t>
      </w:r>
      <w:r w:rsidR="00503C8D">
        <w:t>.</w:t>
      </w:r>
    </w:p>
    <w:p w14:paraId="4ED6F64E" w14:textId="5BE54B4F" w:rsidR="000E6E2A" w:rsidRDefault="00A35688" w:rsidP="00123372">
      <w:pPr>
        <w:pStyle w:val="Paragraph"/>
      </w:pPr>
      <w:bookmarkStart w:id="20" w:name="_Hlk135635158"/>
      <w:r>
        <w:t xml:space="preserve">The </w:t>
      </w:r>
      <w:r w:rsidR="00123372">
        <w:t xml:space="preserve">unwanted emission limits are specified as a </w:t>
      </w:r>
      <w:r w:rsidR="00CD1316">
        <w:t>c</w:t>
      </w:r>
      <w:r w:rsidR="00123372">
        <w:t xml:space="preserve">ore </w:t>
      </w:r>
      <w:r w:rsidR="00CD1316">
        <w:t>c</w:t>
      </w:r>
      <w:r w:rsidR="00123372">
        <w:t xml:space="preserve">ondition on spectrum </w:t>
      </w:r>
      <w:r w:rsidR="00CD1316">
        <w:br/>
      </w:r>
      <w:r w:rsidR="00123372">
        <w:t>licences</w:t>
      </w:r>
      <w:r w:rsidR="00123372" w:rsidRPr="007F49BB">
        <w:t xml:space="preserve"> and cannot be changed without the licensee agreement (section 72 of the </w:t>
      </w:r>
      <w:r w:rsidRPr="006A58DF">
        <w:rPr>
          <w:i/>
          <w:iCs/>
        </w:rPr>
        <w:t xml:space="preserve">Radiocommunications </w:t>
      </w:r>
      <w:r w:rsidR="00123372" w:rsidRPr="006A58DF">
        <w:rPr>
          <w:i/>
          <w:iCs/>
        </w:rPr>
        <w:t>Act</w:t>
      </w:r>
      <w:r w:rsidRPr="006A58DF">
        <w:rPr>
          <w:i/>
          <w:iCs/>
        </w:rPr>
        <w:t xml:space="preserve"> 1992</w:t>
      </w:r>
      <w:r w:rsidR="00123372" w:rsidRPr="007F49BB">
        <w:t>)</w:t>
      </w:r>
      <w:r>
        <w:t>. However, spectrum licensee</w:t>
      </w:r>
      <w:r w:rsidR="00E1577E">
        <w:t>s</w:t>
      </w:r>
      <w:r>
        <w:t xml:space="preserve"> can operate </w:t>
      </w:r>
      <w:r w:rsidR="00E1577E">
        <w:t>with</w:t>
      </w:r>
      <w:r>
        <w:t xml:space="preserve"> reduced levels </w:t>
      </w:r>
      <w:r w:rsidR="00E1577E">
        <w:t xml:space="preserve">of unwanted emissions </w:t>
      </w:r>
      <w:r>
        <w:t>if they choose to, and</w:t>
      </w:r>
      <w:r w:rsidR="00123372">
        <w:t xml:space="preserve"> in</w:t>
      </w:r>
      <w:r w:rsidR="00123372" w:rsidRPr="007F49BB">
        <w:t xml:space="preserve"> practice, </w:t>
      </w:r>
      <w:r w:rsidR="00123372">
        <w:t xml:space="preserve">actual emissions from a transmitter </w:t>
      </w:r>
      <w:r w:rsidR="00B85399">
        <w:t xml:space="preserve">are likely to </w:t>
      </w:r>
      <w:r w:rsidR="00123372">
        <w:t xml:space="preserve">be </w:t>
      </w:r>
      <w:r w:rsidR="00123372" w:rsidRPr="007F49BB">
        <w:t xml:space="preserve">lower than the </w:t>
      </w:r>
      <w:r w:rsidR="00123372">
        <w:t xml:space="preserve">maximum </w:t>
      </w:r>
      <w:r w:rsidR="00123372" w:rsidRPr="007F49BB">
        <w:t>limit</w:t>
      </w:r>
      <w:r w:rsidR="00123372">
        <w:t xml:space="preserve"> on </w:t>
      </w:r>
      <w:r w:rsidR="00CD1316">
        <w:br/>
      </w:r>
      <w:r w:rsidR="00123372">
        <w:t>the licence</w:t>
      </w:r>
      <w:r w:rsidR="00123372" w:rsidRPr="005A40DE">
        <w:t>.</w:t>
      </w:r>
      <w:r w:rsidR="009B7372" w:rsidRPr="005A40DE">
        <w:t xml:space="preserve"> </w:t>
      </w:r>
    </w:p>
    <w:p w14:paraId="463FBE4E" w14:textId="70C9A881" w:rsidR="00123372" w:rsidRPr="005A40DE" w:rsidRDefault="005A40DE" w:rsidP="00123372">
      <w:pPr>
        <w:pStyle w:val="Paragraph"/>
      </w:pPr>
      <w:r w:rsidRPr="005A40DE">
        <w:t xml:space="preserve">As detailed in the </w:t>
      </w:r>
      <w:hyperlink r:id="rId30" w:history="1">
        <w:r w:rsidRPr="005A40DE">
          <w:rPr>
            <w:rStyle w:val="Hyperlink"/>
          </w:rPr>
          <w:t>draft Five</w:t>
        </w:r>
        <w:r w:rsidR="00307199">
          <w:rPr>
            <w:rStyle w:val="Hyperlink"/>
          </w:rPr>
          <w:t>-y</w:t>
        </w:r>
        <w:r w:rsidRPr="005A40DE">
          <w:rPr>
            <w:rStyle w:val="Hyperlink"/>
          </w:rPr>
          <w:t xml:space="preserve">ear </w:t>
        </w:r>
        <w:r w:rsidR="00307199">
          <w:rPr>
            <w:rStyle w:val="Hyperlink"/>
          </w:rPr>
          <w:t>s</w:t>
        </w:r>
        <w:r w:rsidRPr="005A40DE">
          <w:rPr>
            <w:rStyle w:val="Hyperlink"/>
          </w:rPr>
          <w:t xml:space="preserve">pectrum </w:t>
        </w:r>
        <w:r w:rsidR="00307199">
          <w:rPr>
            <w:rStyle w:val="Hyperlink"/>
          </w:rPr>
          <w:t>o</w:t>
        </w:r>
        <w:r w:rsidRPr="005A40DE">
          <w:rPr>
            <w:rStyle w:val="Hyperlink"/>
          </w:rPr>
          <w:t>utloo</w:t>
        </w:r>
        <w:r w:rsidR="00307199">
          <w:rPr>
            <w:rStyle w:val="Hyperlink"/>
          </w:rPr>
          <w:t xml:space="preserve">k </w:t>
        </w:r>
        <w:r w:rsidR="00307199" w:rsidRPr="00307199">
          <w:rPr>
            <w:rStyle w:val="Hyperlink"/>
          </w:rPr>
          <w:t>2023</w:t>
        </w:r>
        <w:r w:rsidR="00307199">
          <w:rPr>
            <w:rStyle w:val="Hyperlink"/>
          </w:rPr>
          <w:t>–</w:t>
        </w:r>
        <w:r w:rsidR="00307199" w:rsidRPr="00307199">
          <w:rPr>
            <w:rStyle w:val="Hyperlink"/>
          </w:rPr>
          <w:t>28</w:t>
        </w:r>
      </w:hyperlink>
      <w:r w:rsidRPr="005A40DE">
        <w:t xml:space="preserve">, </w:t>
      </w:r>
      <w:r w:rsidR="00492B5C">
        <w:t>we</w:t>
      </w:r>
      <w:r w:rsidRPr="005A40DE">
        <w:t xml:space="preserve"> commenced a review of the 700 MHz band spectrum licence technical framework in Q1 2023, considering potential changes to core conditions. Any potential changes to the unwanted emission limits in the 803</w:t>
      </w:r>
      <w:r w:rsidR="00492B5C">
        <w:t>–</w:t>
      </w:r>
      <w:r w:rsidRPr="005A40DE">
        <w:t xml:space="preserve">809 MHz frequency range as a result of this review would impact the example separation distances calculated in Table 1. As per our standard practices, we would publicly consult before </w:t>
      </w:r>
      <w:r w:rsidR="000E6E2A" w:rsidRPr="005A40DE">
        <w:t>deciding</w:t>
      </w:r>
      <w:r w:rsidRPr="005A40DE">
        <w:t xml:space="preserve"> on any changes</w:t>
      </w:r>
      <w:r>
        <w:t>.</w:t>
      </w:r>
      <w:r w:rsidR="00A62DFC" w:rsidRPr="005A40DE">
        <w:t xml:space="preserve"> </w:t>
      </w:r>
      <w:bookmarkEnd w:id="20"/>
    </w:p>
    <w:p w14:paraId="10506DD2" w14:textId="0C1957E4" w:rsidR="00123372" w:rsidRDefault="00123372" w:rsidP="002F64DA">
      <w:pPr>
        <w:pStyle w:val="Heading2"/>
      </w:pPr>
      <w:bookmarkStart w:id="21" w:name="_Toc148015264"/>
      <w:r>
        <w:t xml:space="preserve">Proposed new protection </w:t>
      </w:r>
      <w:proofErr w:type="gramStart"/>
      <w:r>
        <w:t>criteria</w:t>
      </w:r>
      <w:bookmarkEnd w:id="21"/>
      <w:proofErr w:type="gramEnd"/>
    </w:p>
    <w:p w14:paraId="39D80B84" w14:textId="42362ECC" w:rsidR="009B7372" w:rsidRDefault="009B7372" w:rsidP="00123372">
      <w:r>
        <w:t>Using a re</w:t>
      </w:r>
      <w:r w:rsidR="00001479">
        <w:t>vised</w:t>
      </w:r>
      <w:r>
        <w:t xml:space="preserve"> protection criteria </w:t>
      </w:r>
      <w:r w:rsidR="000D353B">
        <w:t>(i.e.</w:t>
      </w:r>
      <w:r w:rsidR="00EB0A28">
        <w:t>,</w:t>
      </w:r>
      <w:r w:rsidR="000D353B">
        <w:t xml:space="preserve"> higher receiver sensitivity and/or lower protection ratio) </w:t>
      </w:r>
      <w:r>
        <w:t xml:space="preserve">will reduce the notional separation distances shown in Table 1. </w:t>
      </w:r>
      <w:r w:rsidR="0023118C">
        <w:br/>
      </w:r>
      <w:r w:rsidR="000D353B">
        <w:t>A</w:t>
      </w:r>
      <w:r>
        <w:t xml:space="preserve"> re</w:t>
      </w:r>
      <w:r w:rsidR="00001479">
        <w:t>vised</w:t>
      </w:r>
      <w:r>
        <w:t xml:space="preserve"> protection criteria can be voluntary (e.g.</w:t>
      </w:r>
      <w:r w:rsidR="0023118C">
        <w:t>,</w:t>
      </w:r>
      <w:r>
        <w:t xml:space="preserve"> the apparatus licensee may decide to accept a higher level of interference), or it can be a mandatory requirement specified in the applicable RALI.</w:t>
      </w:r>
    </w:p>
    <w:p w14:paraId="338DE411" w14:textId="60AA3546" w:rsidR="00325F30" w:rsidRDefault="009B7372" w:rsidP="00123372">
      <w:bookmarkStart w:id="22" w:name="_Hlk131489458"/>
      <w:bookmarkStart w:id="23" w:name="_Hlk132106184"/>
      <w:r>
        <w:t>We are of the view that providing a re</w:t>
      </w:r>
      <w:r w:rsidR="00001479">
        <w:t xml:space="preserve">vised </w:t>
      </w:r>
      <w:r>
        <w:t xml:space="preserve">protection criteria through both voluntary and mandated means provides a balanced solution to aid coexistence </w:t>
      </w:r>
      <w:r w:rsidR="00D529C0">
        <w:t xml:space="preserve">between </w:t>
      </w:r>
      <w:r>
        <w:t>TLMS</w:t>
      </w:r>
      <w:r w:rsidR="00D529C0">
        <w:t>/</w:t>
      </w:r>
      <w:r>
        <w:t>PMP</w:t>
      </w:r>
      <w:r w:rsidR="00F24F50">
        <w:t>/PTP</w:t>
      </w:r>
      <w:r>
        <w:t xml:space="preserve"> receivers </w:t>
      </w:r>
      <w:r w:rsidR="00D529C0">
        <w:t xml:space="preserve">and </w:t>
      </w:r>
      <w:r>
        <w:t>spectrum</w:t>
      </w:r>
      <w:r w:rsidR="0023118C">
        <w:t>-</w:t>
      </w:r>
      <w:r>
        <w:t xml:space="preserve">licensed transmitters. </w:t>
      </w:r>
      <w:bookmarkEnd w:id="22"/>
      <w:r w:rsidR="00D529C0">
        <w:t>A</w:t>
      </w:r>
      <w:r>
        <w:t xml:space="preserve"> modest </w:t>
      </w:r>
      <w:r w:rsidR="007B162D">
        <w:t>relax</w:t>
      </w:r>
      <w:r>
        <w:t>ation of</w:t>
      </w:r>
      <w:r w:rsidR="007B162D">
        <w:t xml:space="preserve"> the protection criteria for TLMS</w:t>
      </w:r>
      <w:r w:rsidR="00B00AD5">
        <w:t>,</w:t>
      </w:r>
      <w:r w:rsidR="007B162D">
        <w:t xml:space="preserve"> PMP</w:t>
      </w:r>
      <w:r w:rsidR="00B00AD5">
        <w:t xml:space="preserve"> and P</w:t>
      </w:r>
      <w:r w:rsidR="00F24F50">
        <w:t>T</w:t>
      </w:r>
      <w:r w:rsidR="00B00AD5">
        <w:t xml:space="preserve">P </w:t>
      </w:r>
      <w:r w:rsidR="007B162D">
        <w:t>services in LM08</w:t>
      </w:r>
      <w:r w:rsidR="00B00AD5">
        <w:t>,</w:t>
      </w:r>
      <w:r w:rsidR="007B162D">
        <w:t xml:space="preserve"> FX16</w:t>
      </w:r>
      <w:r w:rsidR="00B00AD5">
        <w:t xml:space="preserve"> and FX22</w:t>
      </w:r>
      <w:r w:rsidR="007B162D">
        <w:t xml:space="preserve"> respectively</w:t>
      </w:r>
      <w:bookmarkEnd w:id="23"/>
      <w:r w:rsidR="00D529C0">
        <w:t xml:space="preserve"> is therefore proposed</w:t>
      </w:r>
      <w:r w:rsidR="007B162D">
        <w:t xml:space="preserve">. </w:t>
      </w:r>
    </w:p>
    <w:p w14:paraId="53E64566" w14:textId="13F55A5D" w:rsidR="00B0636F" w:rsidRDefault="007B162D" w:rsidP="00F40574">
      <w:pPr>
        <w:pStyle w:val="Paragraphbeforelist"/>
      </w:pPr>
      <w:r>
        <w:t>These re</w:t>
      </w:r>
      <w:r w:rsidR="00001479">
        <w:t>vised</w:t>
      </w:r>
      <w:r>
        <w:t xml:space="preserve"> criteria are proposed to only be used when coordinating with </w:t>
      </w:r>
      <w:r w:rsidR="00642E29">
        <w:t xml:space="preserve">700 MHz band </w:t>
      </w:r>
      <w:r>
        <w:t xml:space="preserve">spectrum licensed transmitters and is only to apply to apparatus licences </w:t>
      </w:r>
      <w:r w:rsidR="0023118C">
        <w:br/>
      </w:r>
      <w:r>
        <w:t>issued after</w:t>
      </w:r>
      <w:r w:rsidR="0023118C">
        <w:t xml:space="preserve"> either</w:t>
      </w:r>
      <w:r w:rsidR="00B0636F">
        <w:t>:</w:t>
      </w:r>
    </w:p>
    <w:p w14:paraId="211F0778" w14:textId="6D3CC7F2" w:rsidR="00B0636F" w:rsidRDefault="00B0636F" w:rsidP="0058743A">
      <w:pPr>
        <w:pStyle w:val="Bulletlevel1"/>
      </w:pPr>
      <w:r>
        <w:t>the release date of the updated RALI</w:t>
      </w:r>
      <w:r w:rsidR="00B00AD5">
        <w:t>s</w:t>
      </w:r>
      <w:r>
        <w:t xml:space="preserve"> FX16</w:t>
      </w:r>
      <w:r w:rsidR="00B00AD5">
        <w:t xml:space="preserve"> and FX22</w:t>
      </w:r>
      <w:r w:rsidR="00A9437A">
        <w:t xml:space="preserve"> </w:t>
      </w:r>
      <w:r w:rsidR="0058743A" w:rsidRPr="0058743A">
        <w:t xml:space="preserve">for PMP and PTP, </w:t>
      </w:r>
      <w:r w:rsidR="00A9437A">
        <w:t xml:space="preserve">(and only for PTP links with a </w:t>
      </w:r>
      <w:r w:rsidR="00496053">
        <w:t>bandwidth</w:t>
      </w:r>
      <w:r w:rsidR="00A9437A">
        <w:t xml:space="preserve"> greater than 100 kHz, discussed further below)</w:t>
      </w:r>
      <w:r w:rsidR="00325F30" w:rsidRPr="00F13BE7">
        <w:t xml:space="preserve"> </w:t>
      </w:r>
    </w:p>
    <w:p w14:paraId="0091454C" w14:textId="647898A5" w:rsidR="00B0636F" w:rsidRDefault="0058743A" w:rsidP="00F40574">
      <w:pPr>
        <w:pStyle w:val="Bulletlevel1last"/>
      </w:pPr>
      <w:r w:rsidRPr="00F13BE7">
        <w:t>1 July 2024</w:t>
      </w:r>
      <w:r>
        <w:t xml:space="preserve"> f</w:t>
      </w:r>
      <w:r w:rsidR="00B0636F">
        <w:t>or TLMS</w:t>
      </w:r>
      <w:r w:rsidR="00325F30" w:rsidRPr="00F13BE7">
        <w:t>.</w:t>
      </w:r>
      <w:r w:rsidR="007B2D22" w:rsidRPr="00F13BE7">
        <w:t xml:space="preserve"> </w:t>
      </w:r>
    </w:p>
    <w:p w14:paraId="67BFC18E" w14:textId="17F0306A" w:rsidR="007B162D" w:rsidRDefault="00325F30" w:rsidP="00F40574">
      <w:pPr>
        <w:pStyle w:val="Paragraph"/>
      </w:pPr>
      <w:r w:rsidRPr="00F13BE7">
        <w:t xml:space="preserve">These dates are chosen to provide time for the remainder of </w:t>
      </w:r>
      <w:r w:rsidR="00D529C0" w:rsidRPr="00F13BE7">
        <w:t xml:space="preserve">existing </w:t>
      </w:r>
      <w:r w:rsidRPr="00F13BE7">
        <w:t xml:space="preserve">TLMS </w:t>
      </w:r>
      <w:r w:rsidR="00FD7C20" w:rsidRPr="00F13BE7">
        <w:t xml:space="preserve">licences </w:t>
      </w:r>
      <w:r w:rsidRPr="00F13BE7">
        <w:t>to transition</w:t>
      </w:r>
      <w:r>
        <w:t xml:space="preserve"> to the new segment</w:t>
      </w:r>
      <w:r w:rsidR="002E4619">
        <w:t xml:space="preserve"> (noting that</w:t>
      </w:r>
      <w:r w:rsidR="00B00AD5">
        <w:t xml:space="preserve"> the majority of </w:t>
      </w:r>
      <w:r w:rsidR="002E4619">
        <w:t>PMP</w:t>
      </w:r>
      <w:r w:rsidR="00B00AD5">
        <w:t xml:space="preserve"> and P</w:t>
      </w:r>
      <w:r w:rsidR="00496053">
        <w:t>T</w:t>
      </w:r>
      <w:r w:rsidR="00B00AD5">
        <w:t>P</w:t>
      </w:r>
      <w:r w:rsidR="002E4619">
        <w:t xml:space="preserve"> services have already completed</w:t>
      </w:r>
      <w:r w:rsidR="00906E84">
        <w:t xml:space="preserve"> the</w:t>
      </w:r>
      <w:r w:rsidR="002E4619">
        <w:t xml:space="preserve"> transition)</w:t>
      </w:r>
      <w:r>
        <w:t xml:space="preserve"> and to ensure </w:t>
      </w:r>
      <w:r w:rsidR="007B2D22">
        <w:t xml:space="preserve">existing receivers </w:t>
      </w:r>
      <w:r>
        <w:t xml:space="preserve">are not impacted </w:t>
      </w:r>
      <w:r w:rsidR="007B2D22">
        <w:t xml:space="preserve">if the licensee does not </w:t>
      </w:r>
      <w:r w:rsidR="00FC2AF9">
        <w:t xml:space="preserve">voluntarily </w:t>
      </w:r>
      <w:r w:rsidR="007B2D22">
        <w:t>consent to a higher level of interference</w:t>
      </w:r>
      <w:r w:rsidR="007B162D">
        <w:t xml:space="preserve">. </w:t>
      </w:r>
      <w:r w:rsidR="00D529C0">
        <w:t>It also reflects the reality that there isn’t significant growth in narrowband 800 MHz services beyond those services that needed to transition to the new arrangements, so limiting the application of the re</w:t>
      </w:r>
      <w:r w:rsidR="00001479">
        <w:t>vised</w:t>
      </w:r>
      <w:r w:rsidR="00D529C0">
        <w:t xml:space="preserve"> limits to new assignments isn’t expected to constrain prospective use</w:t>
      </w:r>
      <w:r w:rsidR="002E4619" w:rsidRPr="002E4619">
        <w:t xml:space="preserve"> </w:t>
      </w:r>
      <w:r w:rsidR="002E4619">
        <w:t>too heavily</w:t>
      </w:r>
      <w:r w:rsidR="00D529C0">
        <w:t xml:space="preserve">. </w:t>
      </w:r>
      <w:r w:rsidR="007B162D">
        <w:t>The proposed re</w:t>
      </w:r>
      <w:r w:rsidR="00001479">
        <w:t>vised</w:t>
      </w:r>
      <w:r w:rsidR="007B162D">
        <w:t xml:space="preserve"> criteria are detailed in the </w:t>
      </w:r>
      <w:r w:rsidR="009E6D1C">
        <w:br/>
      </w:r>
      <w:r w:rsidR="007B162D">
        <w:t>following sections.</w:t>
      </w:r>
    </w:p>
    <w:p w14:paraId="342E8343" w14:textId="470529E7" w:rsidR="00AD3DFC" w:rsidRPr="00813CF3" w:rsidRDefault="00AD3DFC" w:rsidP="00AD3DFC">
      <w:pPr>
        <w:pStyle w:val="Heading3"/>
      </w:pPr>
      <w:r w:rsidRPr="00813CF3">
        <w:t>Re</w:t>
      </w:r>
      <w:r w:rsidR="00001479">
        <w:t>vised</w:t>
      </w:r>
      <w:r w:rsidRPr="00813CF3">
        <w:t xml:space="preserve"> TLMS criteria</w:t>
      </w:r>
    </w:p>
    <w:p w14:paraId="004F0E0A" w14:textId="60D4EEF2" w:rsidR="00BD7294" w:rsidRDefault="00BD7294" w:rsidP="000D2AF8">
      <w:pPr>
        <w:rPr>
          <w:rFonts w:cs="Arial"/>
        </w:rPr>
      </w:pPr>
      <w:r>
        <w:rPr>
          <w:rFonts w:cs="Arial"/>
        </w:rPr>
        <w:t>The current protection criteria in</w:t>
      </w:r>
      <w:r w:rsidR="006437A6">
        <w:rPr>
          <w:rFonts w:cs="Arial"/>
        </w:rPr>
        <w:t xml:space="preserve"> RALI</w:t>
      </w:r>
      <w:r>
        <w:rPr>
          <w:rFonts w:cs="Arial"/>
        </w:rPr>
        <w:t xml:space="preserve"> LM08 </w:t>
      </w:r>
      <w:r w:rsidR="00132B80">
        <w:rPr>
          <w:rFonts w:cs="Arial"/>
        </w:rPr>
        <w:t>are</w:t>
      </w:r>
      <w:r>
        <w:rPr>
          <w:rFonts w:cs="Arial"/>
        </w:rPr>
        <w:t xml:space="preserve"> intended to support a broad range of TLMS technologies</w:t>
      </w:r>
      <w:r w:rsidR="00132B80">
        <w:rPr>
          <w:rFonts w:cs="Arial"/>
        </w:rPr>
        <w:t>, including both analogue and digital systems</w:t>
      </w:r>
      <w:r>
        <w:rPr>
          <w:rFonts w:cs="Arial"/>
        </w:rPr>
        <w:t>.</w:t>
      </w:r>
      <w:r w:rsidR="005B69FE">
        <w:rPr>
          <w:rFonts w:cs="Arial"/>
        </w:rPr>
        <w:t xml:space="preserve"> </w:t>
      </w:r>
      <w:r w:rsidR="000A0604">
        <w:rPr>
          <w:rFonts w:cs="Arial"/>
        </w:rPr>
        <w:t>In addition, t</w:t>
      </w:r>
      <w:r w:rsidR="005B69FE">
        <w:rPr>
          <w:rFonts w:cs="Arial"/>
        </w:rPr>
        <w:t xml:space="preserve">he </w:t>
      </w:r>
      <w:r w:rsidR="00192354">
        <w:rPr>
          <w:rFonts w:cs="Arial"/>
        </w:rPr>
        <w:t>usable</w:t>
      </w:r>
      <w:r w:rsidR="005B69FE">
        <w:rPr>
          <w:rFonts w:cs="Arial"/>
        </w:rPr>
        <w:t xml:space="preserve"> sensitivity level</w:t>
      </w:r>
      <w:r w:rsidR="00086E70">
        <w:rPr>
          <w:rFonts w:cs="Arial"/>
        </w:rPr>
        <w:t xml:space="preserve"> in</w:t>
      </w:r>
      <w:r w:rsidR="005B69FE">
        <w:rPr>
          <w:rFonts w:cs="Arial"/>
        </w:rPr>
        <w:t xml:space="preserve"> </w:t>
      </w:r>
      <w:r w:rsidR="00086E70">
        <w:rPr>
          <w:rFonts w:cs="Arial"/>
        </w:rPr>
        <w:t xml:space="preserve">RALI LM08 </w:t>
      </w:r>
      <w:r w:rsidR="005B69FE">
        <w:rPr>
          <w:rFonts w:cs="Arial"/>
        </w:rPr>
        <w:t>is based on the level of man-made noise typically encountered in city centres.</w:t>
      </w:r>
      <w:r>
        <w:rPr>
          <w:rFonts w:cs="Arial"/>
        </w:rPr>
        <w:t xml:space="preserve"> </w:t>
      </w:r>
      <w:r w:rsidR="0058743A">
        <w:rPr>
          <w:rFonts w:cs="Arial"/>
        </w:rPr>
        <w:t>T</w:t>
      </w:r>
      <w:r>
        <w:rPr>
          <w:rFonts w:cs="Arial"/>
        </w:rPr>
        <w:t>he revi</w:t>
      </w:r>
      <w:r w:rsidR="005B69FE">
        <w:rPr>
          <w:rFonts w:cs="Arial"/>
        </w:rPr>
        <w:t>s</w:t>
      </w:r>
      <w:r>
        <w:rPr>
          <w:rFonts w:cs="Arial"/>
        </w:rPr>
        <w:t xml:space="preserve">ed TLMS criteria </w:t>
      </w:r>
      <w:r w:rsidR="00906E84">
        <w:rPr>
          <w:rFonts w:cs="Arial"/>
        </w:rPr>
        <w:t>are</w:t>
      </w:r>
      <w:r>
        <w:rPr>
          <w:rFonts w:cs="Arial"/>
        </w:rPr>
        <w:t xml:space="preserve"> proposed to only apply for systems licensed from 1 July 2023, </w:t>
      </w:r>
      <w:r w:rsidR="00906E84">
        <w:rPr>
          <w:rFonts w:cs="Arial"/>
        </w:rPr>
        <w:t>so</w:t>
      </w:r>
      <w:r>
        <w:rPr>
          <w:rFonts w:cs="Arial"/>
        </w:rPr>
        <w:t xml:space="preserve"> no change is proposed to the protection criteria of existing systems. </w:t>
      </w:r>
    </w:p>
    <w:p w14:paraId="5005DFE6" w14:textId="77777777" w:rsidR="0058743A" w:rsidRDefault="008268E3" w:rsidP="000D2AF8">
      <w:pPr>
        <w:rPr>
          <w:rFonts w:cs="Arial"/>
        </w:rPr>
      </w:pPr>
      <w:r w:rsidRPr="008268E3">
        <w:rPr>
          <w:rFonts w:cs="Arial"/>
        </w:rPr>
        <w:t>The</w:t>
      </w:r>
      <w:r w:rsidR="00FC2AF9">
        <w:rPr>
          <w:rFonts w:cs="Arial"/>
        </w:rPr>
        <w:t xml:space="preserve"> proposed re</w:t>
      </w:r>
      <w:r w:rsidR="00001479">
        <w:rPr>
          <w:rFonts w:cs="Arial"/>
        </w:rPr>
        <w:t>vised</w:t>
      </w:r>
      <w:r w:rsidR="00FC2AF9">
        <w:rPr>
          <w:rFonts w:cs="Arial"/>
        </w:rPr>
        <w:t xml:space="preserve"> TLMS criteria</w:t>
      </w:r>
      <w:r w:rsidR="003F45A3">
        <w:rPr>
          <w:rFonts w:cs="Arial"/>
        </w:rPr>
        <w:t xml:space="preserve"> </w:t>
      </w:r>
      <w:r w:rsidR="002335EE">
        <w:rPr>
          <w:rFonts w:cs="Arial"/>
        </w:rPr>
        <w:t>for new assignments</w:t>
      </w:r>
      <w:r w:rsidR="00DD64D1">
        <w:rPr>
          <w:rFonts w:cs="Arial"/>
        </w:rPr>
        <w:t xml:space="preserve"> are</w:t>
      </w:r>
      <w:r w:rsidR="00BD7294">
        <w:rPr>
          <w:rFonts w:cs="Arial"/>
        </w:rPr>
        <w:t xml:space="preserve"> based on </w:t>
      </w:r>
      <w:r w:rsidR="00132B80">
        <w:rPr>
          <w:rFonts w:cs="Arial"/>
        </w:rPr>
        <w:t>equipment characteristics</w:t>
      </w:r>
      <w:r w:rsidR="00BD7294">
        <w:rPr>
          <w:rFonts w:cs="Arial"/>
        </w:rPr>
        <w:t xml:space="preserve"> for digital systems and</w:t>
      </w:r>
      <w:r w:rsidR="002335EE">
        <w:rPr>
          <w:rFonts w:cs="Arial"/>
        </w:rPr>
        <w:t xml:space="preserve"> </w:t>
      </w:r>
      <w:r w:rsidR="003F45A3">
        <w:rPr>
          <w:rFonts w:cs="Arial"/>
        </w:rPr>
        <w:t>consider an adjustment of the receiver sensitivity and protection ratio,</w:t>
      </w:r>
      <w:r w:rsidR="00FC2AF9">
        <w:rPr>
          <w:rFonts w:cs="Arial"/>
        </w:rPr>
        <w:t xml:space="preserve"> based on</w:t>
      </w:r>
      <w:r w:rsidR="00587A79">
        <w:rPr>
          <w:rFonts w:cs="Arial"/>
        </w:rPr>
        <w:t xml:space="preserve"> the</w:t>
      </w:r>
      <w:r w:rsidR="00FC2AF9">
        <w:rPr>
          <w:rFonts w:cs="Arial"/>
        </w:rPr>
        <w:t xml:space="preserve"> receiver performance requirement</w:t>
      </w:r>
      <w:r w:rsidR="00587A79">
        <w:rPr>
          <w:rFonts w:cs="Arial"/>
        </w:rPr>
        <w:t>s</w:t>
      </w:r>
      <w:r w:rsidR="00FC2AF9">
        <w:rPr>
          <w:rFonts w:cs="Arial"/>
        </w:rPr>
        <w:t xml:space="preserve"> in </w:t>
      </w:r>
      <w:hyperlink r:id="rId31" w:history="1">
        <w:r w:rsidR="00FC2AF9" w:rsidRPr="00FC2AF9">
          <w:rPr>
            <w:rStyle w:val="Hyperlink"/>
            <w:rFonts w:cs="Arial"/>
          </w:rPr>
          <w:t>ETSI EN 300 113 V2.2.1 (2016-12)</w:t>
        </w:r>
      </w:hyperlink>
      <w:r w:rsidR="003F45A3">
        <w:rPr>
          <w:rFonts w:cs="Arial"/>
        </w:rPr>
        <w:t>.</w:t>
      </w:r>
      <w:r w:rsidR="003F45A3">
        <w:rPr>
          <w:rStyle w:val="FootnoteReference"/>
          <w:rFonts w:cs="Arial"/>
        </w:rPr>
        <w:footnoteReference w:id="10"/>
      </w:r>
      <w:r w:rsidR="00FC2AF9">
        <w:rPr>
          <w:rFonts w:cs="Arial"/>
        </w:rPr>
        <w:t xml:space="preserve"> </w:t>
      </w:r>
    </w:p>
    <w:p w14:paraId="1586E174" w14:textId="0CA5CF14" w:rsidR="00F10E7B" w:rsidRDefault="008268E3" w:rsidP="000D2AF8">
      <w:pPr>
        <w:rPr>
          <w:rFonts w:cs="Arial"/>
        </w:rPr>
      </w:pPr>
      <w:r w:rsidRPr="008268E3">
        <w:rPr>
          <w:rFonts w:cs="Arial"/>
        </w:rPr>
        <w:t xml:space="preserve">Table 2 </w:t>
      </w:r>
      <w:r w:rsidR="00FC2AF9">
        <w:rPr>
          <w:rFonts w:cs="Arial"/>
        </w:rPr>
        <w:t>summarises</w:t>
      </w:r>
      <w:r w:rsidRPr="008268E3">
        <w:rPr>
          <w:rFonts w:cs="Arial"/>
        </w:rPr>
        <w:t xml:space="preserve"> the </w:t>
      </w:r>
      <w:r w:rsidR="00587A79">
        <w:rPr>
          <w:rFonts w:cs="Arial"/>
        </w:rPr>
        <w:t>required</w:t>
      </w:r>
      <w:r w:rsidR="00F10E7B">
        <w:rPr>
          <w:rFonts w:cs="Arial"/>
        </w:rPr>
        <w:t xml:space="preserve"> </w:t>
      </w:r>
      <w:r w:rsidR="0078625B">
        <w:rPr>
          <w:rFonts w:cs="Arial"/>
        </w:rPr>
        <w:t>receiver sensitivity and co-channel protection radio value</w:t>
      </w:r>
      <w:r w:rsidRPr="008268E3">
        <w:rPr>
          <w:rFonts w:cs="Arial"/>
        </w:rPr>
        <w:t xml:space="preserve">s </w:t>
      </w:r>
      <w:r w:rsidR="0078625B">
        <w:rPr>
          <w:rFonts w:cs="Arial"/>
        </w:rPr>
        <w:t>from ETSI EN 300 113 V2.2.1</w:t>
      </w:r>
      <w:r w:rsidR="00587A79">
        <w:rPr>
          <w:rFonts w:cs="Arial"/>
        </w:rPr>
        <w:t xml:space="preserve"> </w:t>
      </w:r>
      <w:r w:rsidRPr="008268E3">
        <w:rPr>
          <w:rFonts w:cs="Arial"/>
        </w:rPr>
        <w:t xml:space="preserve">applicable to land mobile base receivers operating in </w:t>
      </w:r>
      <w:r w:rsidR="0078625B">
        <w:rPr>
          <w:rFonts w:cs="Arial"/>
        </w:rPr>
        <w:t xml:space="preserve">the </w:t>
      </w:r>
      <w:r w:rsidRPr="008268E3">
        <w:rPr>
          <w:rFonts w:cs="Arial"/>
        </w:rPr>
        <w:t>800 MHz</w:t>
      </w:r>
      <w:r w:rsidR="0078625B">
        <w:rPr>
          <w:rFonts w:cs="Arial"/>
        </w:rPr>
        <w:t xml:space="preserve"> band</w:t>
      </w:r>
      <w:r w:rsidR="00E27B42">
        <w:rPr>
          <w:rFonts w:cs="Arial"/>
        </w:rPr>
        <w:t xml:space="preserve">. </w:t>
      </w:r>
    </w:p>
    <w:p w14:paraId="13081E13" w14:textId="63B5FD10" w:rsidR="000D2AF8" w:rsidRDefault="00444B89" w:rsidP="00F40574">
      <w:pPr>
        <w:pStyle w:val="Tableheading"/>
      </w:pPr>
      <w:r>
        <w:t>Summary of t</w:t>
      </w:r>
      <w:r w:rsidR="000D2AF8">
        <w:t>echnical requirements for</w:t>
      </w:r>
      <w:r>
        <w:t xml:space="preserve"> 800 MHz band</w:t>
      </w:r>
      <w:r w:rsidR="000D2AF8">
        <w:t xml:space="preserve"> </w:t>
      </w:r>
      <w:r w:rsidR="009E6D1C">
        <w:t>l</w:t>
      </w:r>
      <w:r w:rsidR="00B93F42">
        <w:t xml:space="preserve">and </w:t>
      </w:r>
      <w:r w:rsidR="009E6D1C">
        <w:t>m</w:t>
      </w:r>
      <w:r w:rsidR="00B93F42">
        <w:t>obile base</w:t>
      </w:r>
      <w:r w:rsidR="000D2AF8">
        <w:t xml:space="preserve"> receivers </w:t>
      </w:r>
      <w:r>
        <w:t>from ETSI EN 300 113 V2.2.1</w:t>
      </w:r>
    </w:p>
    <w:tbl>
      <w:tblPr>
        <w:tblStyle w:val="TableGrid0"/>
        <w:tblW w:w="8931" w:type="dxa"/>
        <w:tblInd w:w="-8" w:type="dxa"/>
        <w:tblCellMar>
          <w:top w:w="57" w:type="dxa"/>
          <w:left w:w="26" w:type="dxa"/>
          <w:bottom w:w="57" w:type="dxa"/>
          <w:right w:w="41" w:type="dxa"/>
        </w:tblCellMar>
        <w:tblLook w:val="04A0" w:firstRow="1" w:lastRow="0" w:firstColumn="1" w:lastColumn="0" w:noHBand="0" w:noVBand="1"/>
      </w:tblPr>
      <w:tblGrid>
        <w:gridCol w:w="1276"/>
        <w:gridCol w:w="3118"/>
        <w:gridCol w:w="1134"/>
        <w:gridCol w:w="1073"/>
        <w:gridCol w:w="2330"/>
      </w:tblGrid>
      <w:tr w:rsidR="009E6D1C" w:rsidRPr="009E6D1C" w14:paraId="777908A1" w14:textId="77777777" w:rsidTr="006A58DF">
        <w:trPr>
          <w:trHeight w:val="221"/>
        </w:trPr>
        <w:tc>
          <w:tcPr>
            <w:tcW w:w="1276"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2CCE4C8B" w14:textId="77777777" w:rsidR="00F61803" w:rsidRPr="006A58DF" w:rsidRDefault="00F61803" w:rsidP="00E332FA">
            <w:pPr>
              <w:spacing w:after="0" w:line="259" w:lineRule="auto"/>
              <w:ind w:left="17"/>
              <w:jc w:val="center"/>
              <w:rPr>
                <w:rFonts w:cs="Arial"/>
                <w:color w:val="FFFFFF" w:themeColor="background1"/>
                <w:szCs w:val="20"/>
              </w:rPr>
            </w:pPr>
            <w:r w:rsidRPr="006A58DF">
              <w:rPr>
                <w:rFonts w:eastAsia="Arial" w:cs="Arial"/>
                <w:b/>
                <w:color w:val="FFFFFF" w:themeColor="background1"/>
                <w:szCs w:val="20"/>
              </w:rPr>
              <w:t xml:space="preserve">Channel BW </w:t>
            </w:r>
          </w:p>
        </w:tc>
        <w:tc>
          <w:tcPr>
            <w:tcW w:w="3118"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015B331D" w14:textId="57BA49D8" w:rsidR="00F61803" w:rsidRPr="006A58DF" w:rsidRDefault="00F61803" w:rsidP="00E332FA">
            <w:pPr>
              <w:spacing w:after="0" w:line="259" w:lineRule="auto"/>
              <w:ind w:left="12"/>
              <w:jc w:val="center"/>
              <w:rPr>
                <w:rFonts w:cs="Arial"/>
                <w:color w:val="FFFFFF" w:themeColor="background1"/>
                <w:szCs w:val="20"/>
              </w:rPr>
            </w:pPr>
            <w:r w:rsidRPr="006A58DF">
              <w:rPr>
                <w:rFonts w:eastAsia="Arial" w:cs="Arial"/>
                <w:b/>
                <w:color w:val="FFFFFF" w:themeColor="background1"/>
                <w:szCs w:val="20"/>
              </w:rPr>
              <w:t xml:space="preserve">Data </w:t>
            </w:r>
            <w:r w:rsidR="009E6D1C">
              <w:rPr>
                <w:rFonts w:eastAsia="Arial" w:cs="Arial"/>
                <w:b/>
                <w:color w:val="FFFFFF" w:themeColor="background1"/>
                <w:szCs w:val="20"/>
              </w:rPr>
              <w:t>r</w:t>
            </w:r>
            <w:r w:rsidRPr="006A58DF">
              <w:rPr>
                <w:rFonts w:eastAsia="Arial" w:cs="Arial"/>
                <w:b/>
                <w:color w:val="FFFFFF" w:themeColor="background1"/>
                <w:szCs w:val="20"/>
              </w:rPr>
              <w:t xml:space="preserve">ate </w:t>
            </w:r>
          </w:p>
        </w:tc>
        <w:tc>
          <w:tcPr>
            <w:tcW w:w="1134"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22C47F02" w14:textId="45210B09" w:rsidR="00F61803" w:rsidRPr="006A58DF" w:rsidRDefault="00F61803" w:rsidP="00E332FA">
            <w:pPr>
              <w:spacing w:after="0" w:line="259" w:lineRule="auto"/>
              <w:ind w:left="17"/>
              <w:jc w:val="center"/>
              <w:rPr>
                <w:rFonts w:cs="Arial"/>
                <w:color w:val="FFFFFF" w:themeColor="background1"/>
                <w:szCs w:val="20"/>
              </w:rPr>
            </w:pPr>
            <w:r w:rsidRPr="006A58DF">
              <w:rPr>
                <w:rFonts w:eastAsia="Arial" w:cs="Arial"/>
                <w:b/>
                <w:color w:val="FFFFFF" w:themeColor="background1"/>
                <w:szCs w:val="20"/>
              </w:rPr>
              <w:t xml:space="preserve">Sensitivity </w:t>
            </w:r>
          </w:p>
        </w:tc>
        <w:tc>
          <w:tcPr>
            <w:tcW w:w="1073"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67492E4A" w14:textId="20AFC70D" w:rsidR="00F61803" w:rsidRPr="006A58DF" w:rsidRDefault="00F61803" w:rsidP="00E332FA">
            <w:pPr>
              <w:spacing w:after="0" w:line="259" w:lineRule="auto"/>
              <w:ind w:left="17"/>
              <w:jc w:val="center"/>
              <w:rPr>
                <w:rFonts w:eastAsia="Arial" w:cs="Arial"/>
                <w:b/>
                <w:color w:val="FFFFFF" w:themeColor="background1"/>
                <w:szCs w:val="20"/>
              </w:rPr>
            </w:pPr>
            <w:r w:rsidRPr="006A58DF">
              <w:rPr>
                <w:rFonts w:eastAsia="Arial" w:cs="Arial"/>
                <w:b/>
                <w:color w:val="FFFFFF" w:themeColor="background1"/>
                <w:szCs w:val="20"/>
              </w:rPr>
              <w:t xml:space="preserve">Protection </w:t>
            </w:r>
            <w:r w:rsidR="009E6D1C">
              <w:rPr>
                <w:rFonts w:eastAsia="Arial" w:cs="Arial"/>
                <w:b/>
                <w:color w:val="FFFFFF" w:themeColor="background1"/>
                <w:szCs w:val="20"/>
              </w:rPr>
              <w:t>r</w:t>
            </w:r>
            <w:r w:rsidRPr="006A58DF">
              <w:rPr>
                <w:rFonts w:eastAsia="Arial" w:cs="Arial"/>
                <w:b/>
                <w:color w:val="FFFFFF" w:themeColor="background1"/>
                <w:szCs w:val="20"/>
              </w:rPr>
              <w:t>atio</w:t>
            </w:r>
            <w:r w:rsidR="006D6258" w:rsidRPr="006A58DF">
              <w:rPr>
                <w:rStyle w:val="FootnoteReference"/>
                <w:rFonts w:eastAsia="Arial" w:cs="Arial"/>
                <w:b/>
                <w:color w:val="FFFFFF" w:themeColor="background1"/>
                <w:szCs w:val="20"/>
              </w:rPr>
              <w:footnoteReference w:id="11"/>
            </w:r>
          </w:p>
        </w:tc>
        <w:tc>
          <w:tcPr>
            <w:tcW w:w="2330"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7D81CBEC" w14:textId="2E5F6081" w:rsidR="00F61803" w:rsidRPr="006A58DF" w:rsidRDefault="00F61803" w:rsidP="00E332FA">
            <w:pPr>
              <w:spacing w:after="0" w:line="259" w:lineRule="auto"/>
              <w:ind w:left="17"/>
              <w:jc w:val="center"/>
              <w:rPr>
                <w:rFonts w:eastAsia="Arial" w:cs="Arial"/>
                <w:b/>
                <w:color w:val="FFFFFF" w:themeColor="background1"/>
                <w:szCs w:val="20"/>
              </w:rPr>
            </w:pPr>
            <w:r w:rsidRPr="006A58DF">
              <w:rPr>
                <w:rFonts w:eastAsia="Arial" w:cs="Arial"/>
                <w:b/>
                <w:color w:val="FFFFFF" w:themeColor="background1"/>
                <w:szCs w:val="20"/>
              </w:rPr>
              <w:t xml:space="preserve">Maximum </w:t>
            </w:r>
            <w:r w:rsidR="009E6D1C">
              <w:rPr>
                <w:rFonts w:eastAsia="Arial" w:cs="Arial"/>
                <w:b/>
                <w:color w:val="FFFFFF" w:themeColor="background1"/>
                <w:szCs w:val="20"/>
              </w:rPr>
              <w:t>i</w:t>
            </w:r>
            <w:r w:rsidRPr="006A58DF">
              <w:rPr>
                <w:rFonts w:eastAsia="Arial" w:cs="Arial"/>
                <w:b/>
                <w:color w:val="FFFFFF" w:themeColor="background1"/>
                <w:szCs w:val="20"/>
              </w:rPr>
              <w:t xml:space="preserve">nterference </w:t>
            </w:r>
            <w:r w:rsidR="009E6D1C">
              <w:rPr>
                <w:rFonts w:eastAsia="Arial" w:cs="Arial"/>
                <w:b/>
                <w:color w:val="FFFFFF" w:themeColor="background1"/>
                <w:szCs w:val="20"/>
              </w:rPr>
              <w:t>s</w:t>
            </w:r>
            <w:r w:rsidRPr="006A58DF">
              <w:rPr>
                <w:rFonts w:eastAsia="Arial" w:cs="Arial"/>
                <w:b/>
                <w:color w:val="FFFFFF" w:themeColor="background1"/>
                <w:szCs w:val="20"/>
              </w:rPr>
              <w:t xml:space="preserve">ignal </w:t>
            </w:r>
            <w:r w:rsidR="009E6D1C">
              <w:rPr>
                <w:rFonts w:eastAsia="Arial" w:cs="Arial"/>
                <w:b/>
                <w:color w:val="FFFFFF" w:themeColor="background1"/>
                <w:szCs w:val="20"/>
              </w:rPr>
              <w:t>l</w:t>
            </w:r>
            <w:r w:rsidRPr="006A58DF">
              <w:rPr>
                <w:rFonts w:eastAsia="Arial" w:cs="Arial"/>
                <w:b/>
                <w:color w:val="FFFFFF" w:themeColor="background1"/>
                <w:szCs w:val="20"/>
              </w:rPr>
              <w:t>evel @Rx</w:t>
            </w:r>
          </w:p>
        </w:tc>
      </w:tr>
      <w:tr w:rsidR="00F61803" w14:paraId="2036EE1B" w14:textId="77777777" w:rsidTr="006A58DF">
        <w:trPr>
          <w:trHeight w:val="223"/>
        </w:trPr>
        <w:tc>
          <w:tcPr>
            <w:tcW w:w="1276" w:type="dxa"/>
            <w:vMerge w:val="restart"/>
            <w:tcBorders>
              <w:top w:val="single" w:sz="6" w:space="0" w:color="000000"/>
              <w:left w:val="single" w:sz="6" w:space="0" w:color="000000"/>
              <w:bottom w:val="single" w:sz="6" w:space="0" w:color="000000"/>
              <w:right w:val="single" w:sz="6" w:space="0" w:color="000000"/>
            </w:tcBorders>
          </w:tcPr>
          <w:p w14:paraId="794CF7E7" w14:textId="77777777" w:rsidR="00F61803" w:rsidRPr="008268E3" w:rsidRDefault="00F61803" w:rsidP="00444B89">
            <w:pPr>
              <w:pStyle w:val="TableBody"/>
            </w:pPr>
            <w:r w:rsidRPr="008268E3">
              <w:t xml:space="preserve"> </w:t>
            </w:r>
          </w:p>
          <w:p w14:paraId="18CF5D05" w14:textId="77777777" w:rsidR="00F61803" w:rsidRPr="008268E3" w:rsidRDefault="00F61803" w:rsidP="00444B89">
            <w:pPr>
              <w:pStyle w:val="TableBody"/>
            </w:pPr>
            <w:r w:rsidRPr="008268E3">
              <w:t xml:space="preserve">12,5 kHz </w:t>
            </w:r>
          </w:p>
          <w:p w14:paraId="66304548" w14:textId="77777777" w:rsidR="00F61803" w:rsidRPr="008268E3" w:rsidRDefault="00F61803" w:rsidP="00444B89">
            <w:pPr>
              <w:pStyle w:val="TableBody"/>
            </w:pPr>
            <w:r w:rsidRPr="008268E3">
              <w:t xml:space="preserve"> </w:t>
            </w:r>
          </w:p>
          <w:p w14:paraId="64DECB66" w14:textId="77777777" w:rsidR="00F61803" w:rsidRPr="008268E3" w:rsidRDefault="00F61803" w:rsidP="00444B89">
            <w:pPr>
              <w:pStyle w:val="TableBody"/>
            </w:pPr>
            <w:r w:rsidRPr="008268E3">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22DE5A4" w14:textId="200EC742" w:rsidR="00F61803" w:rsidRPr="008268E3" w:rsidRDefault="00F61803" w:rsidP="00444B89">
            <w:pPr>
              <w:pStyle w:val="TableBody"/>
            </w:pPr>
            <w:r w:rsidRPr="008268E3">
              <w:t>9</w:t>
            </w:r>
            <w:r w:rsidR="00441B60">
              <w:t>.</w:t>
            </w:r>
            <w:r w:rsidRPr="008268E3">
              <w:t xml:space="preserve">6 kbit/s or less </w:t>
            </w:r>
          </w:p>
        </w:tc>
        <w:tc>
          <w:tcPr>
            <w:tcW w:w="1134" w:type="dxa"/>
            <w:tcBorders>
              <w:top w:val="single" w:sz="6" w:space="0" w:color="000000"/>
              <w:left w:val="single" w:sz="6" w:space="0" w:color="000000"/>
              <w:bottom w:val="single" w:sz="6" w:space="0" w:color="000000"/>
              <w:right w:val="single" w:sz="6" w:space="0" w:color="000000"/>
            </w:tcBorders>
          </w:tcPr>
          <w:p w14:paraId="45CF9966" w14:textId="4FD9626D" w:rsidR="00F61803" w:rsidRPr="008268E3" w:rsidRDefault="00F61803" w:rsidP="00444B89">
            <w:pPr>
              <w:pStyle w:val="TableBody"/>
            </w:pPr>
            <w:r w:rsidRPr="008268E3">
              <w:t xml:space="preserve">-110 dBm </w:t>
            </w:r>
          </w:p>
        </w:tc>
        <w:tc>
          <w:tcPr>
            <w:tcW w:w="1073" w:type="dxa"/>
            <w:tcBorders>
              <w:top w:val="single" w:sz="6" w:space="0" w:color="000000"/>
              <w:left w:val="single" w:sz="6" w:space="0" w:color="000000"/>
              <w:bottom w:val="single" w:sz="6" w:space="0" w:color="000000"/>
              <w:right w:val="single" w:sz="6" w:space="0" w:color="000000"/>
            </w:tcBorders>
          </w:tcPr>
          <w:p w14:paraId="483CA935" w14:textId="77777777" w:rsidR="00F61803" w:rsidRPr="008268E3" w:rsidRDefault="00F61803" w:rsidP="00444B89">
            <w:pPr>
              <w:pStyle w:val="TableBody"/>
            </w:pPr>
            <w:r w:rsidRPr="008268E3">
              <w:t>12 dB</w:t>
            </w:r>
          </w:p>
        </w:tc>
        <w:tc>
          <w:tcPr>
            <w:tcW w:w="2330" w:type="dxa"/>
            <w:tcBorders>
              <w:top w:val="single" w:sz="6" w:space="0" w:color="000000"/>
              <w:left w:val="single" w:sz="6" w:space="0" w:color="000000"/>
              <w:bottom w:val="single" w:sz="6" w:space="0" w:color="000000"/>
              <w:right w:val="single" w:sz="6" w:space="0" w:color="000000"/>
            </w:tcBorders>
          </w:tcPr>
          <w:p w14:paraId="5A343736" w14:textId="77777777" w:rsidR="00F61803" w:rsidRPr="008268E3" w:rsidRDefault="00F61803" w:rsidP="00444B89">
            <w:pPr>
              <w:pStyle w:val="TableBody"/>
            </w:pPr>
            <w:r w:rsidRPr="008268E3">
              <w:t>-122 dBm</w:t>
            </w:r>
          </w:p>
        </w:tc>
      </w:tr>
      <w:tr w:rsidR="00F61803" w14:paraId="1D2D0346" w14:textId="77777777" w:rsidTr="006A58DF">
        <w:trPr>
          <w:trHeight w:val="221"/>
        </w:trPr>
        <w:tc>
          <w:tcPr>
            <w:tcW w:w="1276" w:type="dxa"/>
            <w:vMerge/>
            <w:tcBorders>
              <w:top w:val="nil"/>
              <w:left w:val="single" w:sz="6" w:space="0" w:color="000000"/>
              <w:bottom w:val="nil"/>
              <w:right w:val="single" w:sz="6" w:space="0" w:color="000000"/>
            </w:tcBorders>
          </w:tcPr>
          <w:p w14:paraId="76595354" w14:textId="77777777" w:rsidR="00F61803" w:rsidRPr="008268E3" w:rsidRDefault="00F61803" w:rsidP="00444B89">
            <w:pPr>
              <w:pStyle w:val="TableBody"/>
            </w:pPr>
          </w:p>
        </w:tc>
        <w:tc>
          <w:tcPr>
            <w:tcW w:w="31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BDEAF55" w14:textId="1C06032A" w:rsidR="00F61803" w:rsidRPr="008268E3" w:rsidRDefault="009E6D1C" w:rsidP="00444B89">
            <w:pPr>
              <w:pStyle w:val="TableBody"/>
            </w:pPr>
            <w:r>
              <w:t>M</w:t>
            </w:r>
            <w:r w:rsidR="00F61803" w:rsidRPr="008268E3">
              <w:t>ore than 9</w:t>
            </w:r>
            <w:r w:rsidR="00441B60">
              <w:t>.</w:t>
            </w:r>
            <w:r w:rsidR="00F61803" w:rsidRPr="008268E3">
              <w:t xml:space="preserve">6 kbits to 16 kbit/s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8F9266D" w14:textId="1DEA0650" w:rsidR="00F61803" w:rsidRPr="008268E3" w:rsidRDefault="00F61803" w:rsidP="00444B89">
            <w:pPr>
              <w:pStyle w:val="TableBody"/>
            </w:pPr>
            <w:r w:rsidRPr="008268E3">
              <w:t xml:space="preserve">-105 dBm </w:t>
            </w:r>
          </w:p>
        </w:tc>
        <w:tc>
          <w:tcPr>
            <w:tcW w:w="10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943CF34" w14:textId="77777777" w:rsidR="00F61803" w:rsidRPr="008268E3" w:rsidRDefault="00F61803" w:rsidP="00444B89">
            <w:pPr>
              <w:pStyle w:val="TableBody"/>
            </w:pPr>
            <w:r w:rsidRPr="008268E3">
              <w:t>17 dB</w:t>
            </w:r>
          </w:p>
        </w:tc>
        <w:tc>
          <w:tcPr>
            <w:tcW w:w="23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970F328" w14:textId="77777777" w:rsidR="00F61803" w:rsidRPr="008268E3" w:rsidRDefault="00F61803" w:rsidP="00444B89">
            <w:pPr>
              <w:pStyle w:val="TableBody"/>
            </w:pPr>
            <w:r w:rsidRPr="008268E3">
              <w:t>-122 dBm</w:t>
            </w:r>
          </w:p>
        </w:tc>
      </w:tr>
      <w:tr w:rsidR="00F61803" w14:paraId="63ADCE9A" w14:textId="77777777" w:rsidTr="006A58DF">
        <w:trPr>
          <w:trHeight w:val="223"/>
        </w:trPr>
        <w:tc>
          <w:tcPr>
            <w:tcW w:w="1276" w:type="dxa"/>
            <w:vMerge/>
            <w:tcBorders>
              <w:top w:val="nil"/>
              <w:left w:val="single" w:sz="6" w:space="0" w:color="000000"/>
              <w:bottom w:val="nil"/>
              <w:right w:val="single" w:sz="6" w:space="0" w:color="000000"/>
            </w:tcBorders>
          </w:tcPr>
          <w:p w14:paraId="62E361AE" w14:textId="77777777" w:rsidR="00F61803" w:rsidRPr="008268E3" w:rsidRDefault="00F61803" w:rsidP="00444B89">
            <w:pPr>
              <w:pStyle w:val="TableBody"/>
            </w:pPr>
          </w:p>
        </w:tc>
        <w:tc>
          <w:tcPr>
            <w:tcW w:w="3118" w:type="dxa"/>
            <w:tcBorders>
              <w:top w:val="single" w:sz="6" w:space="0" w:color="000000"/>
              <w:left w:val="single" w:sz="6" w:space="0" w:color="000000"/>
              <w:bottom w:val="single" w:sz="6" w:space="0" w:color="000000"/>
              <w:right w:val="single" w:sz="6" w:space="0" w:color="000000"/>
            </w:tcBorders>
          </w:tcPr>
          <w:p w14:paraId="48273477" w14:textId="2DB434FB" w:rsidR="00F61803" w:rsidRPr="008268E3" w:rsidRDefault="009E6D1C" w:rsidP="00444B89">
            <w:pPr>
              <w:pStyle w:val="TableBody"/>
            </w:pPr>
            <w:r>
              <w:t>M</w:t>
            </w:r>
            <w:r w:rsidR="00F61803" w:rsidRPr="008268E3">
              <w:t>ore than 16 kbits to 38</w:t>
            </w:r>
            <w:r w:rsidR="00441B60">
              <w:t>.</w:t>
            </w:r>
            <w:r w:rsidR="00F61803" w:rsidRPr="008268E3">
              <w:t xml:space="preserve">4 kbit/s </w:t>
            </w:r>
          </w:p>
        </w:tc>
        <w:tc>
          <w:tcPr>
            <w:tcW w:w="1134" w:type="dxa"/>
            <w:tcBorders>
              <w:top w:val="single" w:sz="6" w:space="0" w:color="000000"/>
              <w:left w:val="single" w:sz="6" w:space="0" w:color="000000"/>
              <w:bottom w:val="single" w:sz="6" w:space="0" w:color="000000"/>
              <w:right w:val="single" w:sz="6" w:space="0" w:color="000000"/>
            </w:tcBorders>
          </w:tcPr>
          <w:p w14:paraId="2314946C" w14:textId="54300A5C" w:rsidR="00F61803" w:rsidRPr="008268E3" w:rsidRDefault="00F61803" w:rsidP="00444B89">
            <w:pPr>
              <w:pStyle w:val="TableBody"/>
            </w:pPr>
            <w:r w:rsidRPr="008268E3">
              <w:t xml:space="preserve">-98 dBm </w:t>
            </w:r>
          </w:p>
        </w:tc>
        <w:tc>
          <w:tcPr>
            <w:tcW w:w="1073" w:type="dxa"/>
            <w:tcBorders>
              <w:top w:val="single" w:sz="6" w:space="0" w:color="000000"/>
              <w:left w:val="single" w:sz="6" w:space="0" w:color="000000"/>
              <w:bottom w:val="single" w:sz="6" w:space="0" w:color="000000"/>
              <w:right w:val="single" w:sz="6" w:space="0" w:color="000000"/>
            </w:tcBorders>
          </w:tcPr>
          <w:p w14:paraId="678EA8E2" w14:textId="77777777" w:rsidR="00F61803" w:rsidRPr="008268E3" w:rsidRDefault="00F61803" w:rsidP="00444B89">
            <w:pPr>
              <w:pStyle w:val="TableBody"/>
            </w:pPr>
            <w:r w:rsidRPr="008268E3">
              <w:t>24 dB</w:t>
            </w:r>
          </w:p>
        </w:tc>
        <w:tc>
          <w:tcPr>
            <w:tcW w:w="2330" w:type="dxa"/>
            <w:tcBorders>
              <w:top w:val="single" w:sz="6" w:space="0" w:color="000000"/>
              <w:left w:val="single" w:sz="6" w:space="0" w:color="000000"/>
              <w:bottom w:val="single" w:sz="6" w:space="0" w:color="000000"/>
              <w:right w:val="single" w:sz="6" w:space="0" w:color="000000"/>
            </w:tcBorders>
          </w:tcPr>
          <w:p w14:paraId="66F1C209" w14:textId="77777777" w:rsidR="00F61803" w:rsidRPr="008268E3" w:rsidRDefault="00F61803" w:rsidP="00444B89">
            <w:pPr>
              <w:pStyle w:val="TableBody"/>
            </w:pPr>
            <w:r w:rsidRPr="008268E3">
              <w:t>-122 dBm</w:t>
            </w:r>
          </w:p>
        </w:tc>
      </w:tr>
      <w:tr w:rsidR="00BC5E6F" w14:paraId="2D373506" w14:textId="77777777" w:rsidTr="006A58DF">
        <w:trPr>
          <w:trHeight w:val="221"/>
        </w:trPr>
        <w:tc>
          <w:tcPr>
            <w:tcW w:w="1276" w:type="dxa"/>
            <w:vMerge/>
            <w:tcBorders>
              <w:top w:val="nil"/>
              <w:left w:val="single" w:sz="6" w:space="0" w:color="000000"/>
              <w:bottom w:val="single" w:sz="6" w:space="0" w:color="000000"/>
              <w:right w:val="single" w:sz="6" w:space="0" w:color="000000"/>
            </w:tcBorders>
          </w:tcPr>
          <w:p w14:paraId="1DDBC30A" w14:textId="77777777" w:rsidR="00F61803" w:rsidRPr="008268E3" w:rsidRDefault="00F61803" w:rsidP="00444B89">
            <w:pPr>
              <w:pStyle w:val="TableBody"/>
            </w:pPr>
          </w:p>
        </w:tc>
        <w:tc>
          <w:tcPr>
            <w:tcW w:w="31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2D608FD" w14:textId="75614909" w:rsidR="00F61803" w:rsidRPr="008268E3" w:rsidRDefault="009E6D1C" w:rsidP="00444B89">
            <w:pPr>
              <w:pStyle w:val="TableBody"/>
            </w:pPr>
            <w:r>
              <w:t>G</w:t>
            </w:r>
            <w:r w:rsidR="00F61803" w:rsidRPr="008268E3">
              <w:t>reater than 38</w:t>
            </w:r>
            <w:r w:rsidR="00441B60">
              <w:t>.</w:t>
            </w:r>
            <w:r w:rsidR="00F61803" w:rsidRPr="008268E3">
              <w:t xml:space="preserve">4 kbit/s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82387C9" w14:textId="427E5680" w:rsidR="00F61803" w:rsidRPr="008268E3" w:rsidRDefault="00F61803" w:rsidP="00444B89">
            <w:pPr>
              <w:pStyle w:val="TableBody"/>
            </w:pPr>
            <w:r w:rsidRPr="008268E3">
              <w:t xml:space="preserve">-93 dBm </w:t>
            </w:r>
          </w:p>
        </w:tc>
        <w:tc>
          <w:tcPr>
            <w:tcW w:w="10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61CF480" w14:textId="77777777" w:rsidR="00F61803" w:rsidRPr="008268E3" w:rsidRDefault="00F61803" w:rsidP="00444B89">
            <w:pPr>
              <w:pStyle w:val="TableBody"/>
            </w:pPr>
            <w:r w:rsidRPr="008268E3">
              <w:t>29 dB</w:t>
            </w:r>
          </w:p>
        </w:tc>
        <w:tc>
          <w:tcPr>
            <w:tcW w:w="23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FDC9B1B" w14:textId="77777777" w:rsidR="00F61803" w:rsidRPr="008268E3" w:rsidRDefault="00F61803" w:rsidP="00444B89">
            <w:pPr>
              <w:pStyle w:val="TableBody"/>
            </w:pPr>
            <w:r w:rsidRPr="008268E3">
              <w:t>-122 dBm</w:t>
            </w:r>
          </w:p>
        </w:tc>
      </w:tr>
      <w:tr w:rsidR="00F61803" w14:paraId="7245780D" w14:textId="77777777" w:rsidTr="006A58DF">
        <w:trPr>
          <w:trHeight w:val="223"/>
        </w:trPr>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9F9F555" w14:textId="77777777" w:rsidR="00F61803" w:rsidRPr="00946D98" w:rsidRDefault="00F61803" w:rsidP="00444B89">
            <w:pPr>
              <w:pStyle w:val="TableBody"/>
            </w:pPr>
            <w:r w:rsidRPr="00946D98">
              <w:t xml:space="preserve"> </w:t>
            </w:r>
          </w:p>
          <w:p w14:paraId="16B283DC" w14:textId="62369491" w:rsidR="00F61803" w:rsidRPr="00946D98" w:rsidRDefault="00F61803" w:rsidP="00444B89">
            <w:pPr>
              <w:pStyle w:val="TableBody"/>
            </w:pPr>
            <w:r w:rsidRPr="00946D98">
              <w:t xml:space="preserve">20 kHz and 25 kHz  </w:t>
            </w:r>
          </w:p>
          <w:p w14:paraId="59794911" w14:textId="77777777" w:rsidR="00F61803" w:rsidRPr="00946D98" w:rsidRDefault="00F61803" w:rsidP="00444B89">
            <w:pPr>
              <w:pStyle w:val="TableBody"/>
            </w:pPr>
            <w:r w:rsidRPr="00946D98">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CF4E938" w14:textId="1D1184EB" w:rsidR="00F61803" w:rsidRPr="00BC5E6F" w:rsidRDefault="00F61803" w:rsidP="00444B89">
            <w:pPr>
              <w:pStyle w:val="TableBody"/>
            </w:pPr>
            <w:r w:rsidRPr="00BC5E6F">
              <w:t>9</w:t>
            </w:r>
            <w:r w:rsidR="00441B60">
              <w:t>.</w:t>
            </w:r>
            <w:r w:rsidRPr="00BC5E6F">
              <w:t xml:space="preserve">6 kbit/s or less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A3CD3A" w14:textId="1151E869" w:rsidR="00F61803" w:rsidRPr="00BC5E6F" w:rsidRDefault="00F61803" w:rsidP="00444B89">
            <w:pPr>
              <w:pStyle w:val="TableBody"/>
            </w:pPr>
            <w:r w:rsidRPr="00BC5E6F">
              <w:t xml:space="preserve">-110 dBm </w:t>
            </w: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14:paraId="790519A3" w14:textId="77777777" w:rsidR="00F61803" w:rsidRPr="00BC5E6F" w:rsidRDefault="00F61803" w:rsidP="00444B89">
            <w:pPr>
              <w:pStyle w:val="TableBody"/>
            </w:pPr>
            <w:r w:rsidRPr="00BC5E6F">
              <w:t>8 dB</w:t>
            </w:r>
          </w:p>
        </w:tc>
        <w:tc>
          <w:tcPr>
            <w:tcW w:w="2330" w:type="dxa"/>
            <w:tcBorders>
              <w:top w:val="single" w:sz="6" w:space="0" w:color="000000"/>
              <w:left w:val="single" w:sz="6" w:space="0" w:color="000000"/>
              <w:bottom w:val="single" w:sz="6" w:space="0" w:color="000000"/>
              <w:right w:val="single" w:sz="6" w:space="0" w:color="000000"/>
            </w:tcBorders>
            <w:shd w:val="clear" w:color="auto" w:fill="auto"/>
          </w:tcPr>
          <w:p w14:paraId="53B56DE3" w14:textId="77777777" w:rsidR="00F61803" w:rsidRPr="00BC5E6F" w:rsidRDefault="00F61803" w:rsidP="00444B89">
            <w:pPr>
              <w:pStyle w:val="TableBody"/>
            </w:pPr>
            <w:r w:rsidRPr="00BC5E6F">
              <w:t>-118 dBm</w:t>
            </w:r>
          </w:p>
        </w:tc>
      </w:tr>
      <w:tr w:rsidR="00F61803" w14:paraId="3B32A05A" w14:textId="77777777" w:rsidTr="006A58DF">
        <w:trPr>
          <w:trHeight w:val="221"/>
        </w:trPr>
        <w:tc>
          <w:tcPr>
            <w:tcW w:w="1276" w:type="dxa"/>
            <w:vMerge/>
            <w:tcBorders>
              <w:top w:val="nil"/>
              <w:left w:val="single" w:sz="6" w:space="0" w:color="000000"/>
              <w:bottom w:val="nil"/>
              <w:right w:val="single" w:sz="6" w:space="0" w:color="000000"/>
            </w:tcBorders>
            <w:shd w:val="clear" w:color="auto" w:fill="auto"/>
          </w:tcPr>
          <w:p w14:paraId="6E1B7BB6" w14:textId="77777777" w:rsidR="00F61803" w:rsidRPr="00946D98" w:rsidRDefault="00F61803" w:rsidP="00444B89">
            <w:pPr>
              <w:pStyle w:val="TableBody"/>
            </w:pPr>
          </w:p>
        </w:tc>
        <w:tc>
          <w:tcPr>
            <w:tcW w:w="31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F65F206" w14:textId="303BE5E4" w:rsidR="00F61803" w:rsidRPr="00946D98" w:rsidRDefault="009E6D1C" w:rsidP="00444B89">
            <w:pPr>
              <w:pStyle w:val="TableBody"/>
            </w:pPr>
            <w:r>
              <w:t>M</w:t>
            </w:r>
            <w:r w:rsidR="00F61803" w:rsidRPr="00946D98">
              <w:t>ore than 9</w:t>
            </w:r>
            <w:r w:rsidR="00441B60">
              <w:t>.</w:t>
            </w:r>
            <w:r w:rsidR="00F61803" w:rsidRPr="00946D98">
              <w:t>6 kbit/s to 38</w:t>
            </w:r>
            <w:r w:rsidR="00441B60">
              <w:t>.</w:t>
            </w:r>
            <w:r w:rsidR="00F61803" w:rsidRPr="00946D98">
              <w:t xml:space="preserve">4 kbit/s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502A239" w14:textId="08DC6879" w:rsidR="00F61803" w:rsidRPr="008268E3" w:rsidRDefault="00F61803" w:rsidP="00444B89">
            <w:pPr>
              <w:pStyle w:val="TableBody"/>
            </w:pPr>
            <w:r w:rsidRPr="008268E3">
              <w:t xml:space="preserve">-105 dBm </w:t>
            </w:r>
          </w:p>
        </w:tc>
        <w:tc>
          <w:tcPr>
            <w:tcW w:w="10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11660F1" w14:textId="77777777" w:rsidR="00F61803" w:rsidRPr="008268E3" w:rsidRDefault="00F61803" w:rsidP="00444B89">
            <w:pPr>
              <w:pStyle w:val="TableBody"/>
            </w:pPr>
            <w:r w:rsidRPr="008268E3">
              <w:t>12 dB</w:t>
            </w:r>
          </w:p>
        </w:tc>
        <w:tc>
          <w:tcPr>
            <w:tcW w:w="23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291B752" w14:textId="77777777" w:rsidR="00F61803" w:rsidRPr="008268E3" w:rsidRDefault="00F61803" w:rsidP="00444B89">
            <w:pPr>
              <w:pStyle w:val="TableBody"/>
            </w:pPr>
            <w:r w:rsidRPr="008268E3">
              <w:t>-117 dBm</w:t>
            </w:r>
          </w:p>
        </w:tc>
      </w:tr>
      <w:tr w:rsidR="00F61803" w14:paraId="1E479635" w14:textId="77777777" w:rsidTr="006A58DF">
        <w:trPr>
          <w:trHeight w:val="223"/>
        </w:trPr>
        <w:tc>
          <w:tcPr>
            <w:tcW w:w="1276" w:type="dxa"/>
            <w:vMerge/>
            <w:tcBorders>
              <w:top w:val="nil"/>
              <w:left w:val="single" w:sz="6" w:space="0" w:color="000000"/>
              <w:bottom w:val="nil"/>
              <w:right w:val="single" w:sz="6" w:space="0" w:color="000000"/>
            </w:tcBorders>
            <w:shd w:val="clear" w:color="auto" w:fill="auto"/>
          </w:tcPr>
          <w:p w14:paraId="203E80A7" w14:textId="77777777" w:rsidR="00F61803" w:rsidRPr="00946D98" w:rsidRDefault="00F61803" w:rsidP="00444B89">
            <w:pPr>
              <w:pStyle w:val="TableBody"/>
            </w:pPr>
          </w:p>
        </w:tc>
        <w:tc>
          <w:tcPr>
            <w:tcW w:w="3118" w:type="dxa"/>
            <w:tcBorders>
              <w:top w:val="single" w:sz="6" w:space="0" w:color="000000"/>
              <w:left w:val="single" w:sz="6" w:space="0" w:color="000000"/>
              <w:bottom w:val="single" w:sz="6" w:space="0" w:color="000000"/>
              <w:right w:val="single" w:sz="6" w:space="0" w:color="000000"/>
            </w:tcBorders>
          </w:tcPr>
          <w:p w14:paraId="18DA45FC" w14:textId="04EF2CFB" w:rsidR="00F61803" w:rsidRPr="00946D98" w:rsidRDefault="009E6D1C" w:rsidP="00444B89">
            <w:pPr>
              <w:pStyle w:val="TableBody"/>
            </w:pPr>
            <w:r>
              <w:t>M</w:t>
            </w:r>
            <w:r w:rsidR="00F61803" w:rsidRPr="00946D98">
              <w:t>ore than 38</w:t>
            </w:r>
            <w:r w:rsidR="00441B60">
              <w:t>.</w:t>
            </w:r>
            <w:r w:rsidR="00F61803" w:rsidRPr="00946D98">
              <w:t>4 kbits to 76</w:t>
            </w:r>
            <w:r w:rsidR="00441B60">
              <w:t>.</w:t>
            </w:r>
            <w:r w:rsidR="00F61803" w:rsidRPr="00946D98">
              <w:t xml:space="preserve">8 kbit/s </w:t>
            </w:r>
          </w:p>
        </w:tc>
        <w:tc>
          <w:tcPr>
            <w:tcW w:w="1134" w:type="dxa"/>
            <w:tcBorders>
              <w:top w:val="single" w:sz="6" w:space="0" w:color="000000"/>
              <w:left w:val="single" w:sz="6" w:space="0" w:color="000000"/>
              <w:bottom w:val="single" w:sz="6" w:space="0" w:color="000000"/>
              <w:right w:val="single" w:sz="6" w:space="0" w:color="000000"/>
            </w:tcBorders>
          </w:tcPr>
          <w:p w14:paraId="08BB9AAF" w14:textId="5F923430" w:rsidR="00F61803" w:rsidRPr="008268E3" w:rsidRDefault="00F61803" w:rsidP="00444B89">
            <w:pPr>
              <w:pStyle w:val="TableBody"/>
            </w:pPr>
            <w:r w:rsidRPr="008268E3">
              <w:t xml:space="preserve">-98 dBm </w:t>
            </w:r>
          </w:p>
        </w:tc>
        <w:tc>
          <w:tcPr>
            <w:tcW w:w="1073" w:type="dxa"/>
            <w:tcBorders>
              <w:top w:val="single" w:sz="6" w:space="0" w:color="000000"/>
              <w:left w:val="single" w:sz="6" w:space="0" w:color="000000"/>
              <w:bottom w:val="single" w:sz="6" w:space="0" w:color="000000"/>
              <w:right w:val="single" w:sz="6" w:space="0" w:color="000000"/>
            </w:tcBorders>
          </w:tcPr>
          <w:p w14:paraId="2029DFA7" w14:textId="77777777" w:rsidR="00F61803" w:rsidRPr="008268E3" w:rsidRDefault="00F61803" w:rsidP="00444B89">
            <w:pPr>
              <w:pStyle w:val="TableBody"/>
            </w:pPr>
            <w:r w:rsidRPr="008268E3">
              <w:t>19 dB</w:t>
            </w:r>
          </w:p>
        </w:tc>
        <w:tc>
          <w:tcPr>
            <w:tcW w:w="2330" w:type="dxa"/>
            <w:tcBorders>
              <w:top w:val="single" w:sz="6" w:space="0" w:color="000000"/>
              <w:left w:val="single" w:sz="6" w:space="0" w:color="000000"/>
              <w:bottom w:val="single" w:sz="6" w:space="0" w:color="000000"/>
              <w:right w:val="single" w:sz="6" w:space="0" w:color="000000"/>
            </w:tcBorders>
          </w:tcPr>
          <w:p w14:paraId="0175C65D" w14:textId="77777777" w:rsidR="00F61803" w:rsidRPr="008268E3" w:rsidRDefault="00F61803" w:rsidP="00444B89">
            <w:pPr>
              <w:pStyle w:val="TableBody"/>
            </w:pPr>
            <w:r w:rsidRPr="008268E3">
              <w:t>-117 dBm</w:t>
            </w:r>
          </w:p>
        </w:tc>
      </w:tr>
      <w:tr w:rsidR="00F61803" w14:paraId="19167D3A" w14:textId="77777777" w:rsidTr="006A58DF">
        <w:trPr>
          <w:trHeight w:val="223"/>
        </w:trPr>
        <w:tc>
          <w:tcPr>
            <w:tcW w:w="1276" w:type="dxa"/>
            <w:vMerge/>
            <w:tcBorders>
              <w:top w:val="nil"/>
              <w:left w:val="single" w:sz="6" w:space="0" w:color="000000"/>
              <w:bottom w:val="single" w:sz="6" w:space="0" w:color="000000"/>
              <w:right w:val="single" w:sz="6" w:space="0" w:color="000000"/>
            </w:tcBorders>
            <w:shd w:val="clear" w:color="auto" w:fill="auto"/>
          </w:tcPr>
          <w:p w14:paraId="3B5A407A" w14:textId="77777777" w:rsidR="00F61803" w:rsidRPr="00946D98" w:rsidRDefault="00F61803" w:rsidP="00444B89">
            <w:pPr>
              <w:pStyle w:val="TableBody"/>
            </w:pPr>
          </w:p>
        </w:tc>
        <w:tc>
          <w:tcPr>
            <w:tcW w:w="31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06869C5" w14:textId="669D41CB" w:rsidR="00F61803" w:rsidRPr="00946D98" w:rsidRDefault="009E6D1C" w:rsidP="00444B89">
            <w:pPr>
              <w:pStyle w:val="TableBody"/>
            </w:pPr>
            <w:r>
              <w:t>G</w:t>
            </w:r>
            <w:r w:rsidR="00F61803" w:rsidRPr="00946D98">
              <w:t>reater than 76</w:t>
            </w:r>
            <w:r w:rsidR="00441B60">
              <w:t>.</w:t>
            </w:r>
            <w:r w:rsidR="00F61803" w:rsidRPr="00946D98">
              <w:t xml:space="preserve">8 kbit/s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0AE537B" w14:textId="75E9A749" w:rsidR="00F61803" w:rsidRPr="008268E3" w:rsidRDefault="00F61803" w:rsidP="00444B89">
            <w:pPr>
              <w:pStyle w:val="TableBody"/>
            </w:pPr>
            <w:r w:rsidRPr="008268E3">
              <w:t xml:space="preserve">-93 dBm </w:t>
            </w:r>
          </w:p>
        </w:tc>
        <w:tc>
          <w:tcPr>
            <w:tcW w:w="10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AC54FE8" w14:textId="77777777" w:rsidR="00F61803" w:rsidRPr="008268E3" w:rsidRDefault="00F61803" w:rsidP="00444B89">
            <w:pPr>
              <w:pStyle w:val="TableBody"/>
            </w:pPr>
            <w:r w:rsidRPr="008268E3">
              <w:t>24 dB</w:t>
            </w:r>
          </w:p>
        </w:tc>
        <w:tc>
          <w:tcPr>
            <w:tcW w:w="23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E972FED" w14:textId="77777777" w:rsidR="00F61803" w:rsidRPr="008268E3" w:rsidRDefault="00F61803" w:rsidP="00444B89">
            <w:pPr>
              <w:pStyle w:val="TableBody"/>
            </w:pPr>
            <w:r w:rsidRPr="008268E3">
              <w:t>-117 dBm</w:t>
            </w:r>
          </w:p>
        </w:tc>
      </w:tr>
    </w:tbl>
    <w:p w14:paraId="6EBEEA61" w14:textId="4CD3DCCF" w:rsidR="00C11703" w:rsidRDefault="00C11703" w:rsidP="00AD3DFC">
      <w:pPr>
        <w:rPr>
          <w:rFonts w:cs="Arial"/>
        </w:rPr>
      </w:pPr>
    </w:p>
    <w:p w14:paraId="5823A9B0" w14:textId="79E25F24" w:rsidR="006A47DC" w:rsidRDefault="006A47DC" w:rsidP="006A47DC">
      <w:pPr>
        <w:rPr>
          <w:rFonts w:cs="Arial"/>
        </w:rPr>
      </w:pPr>
      <w:bookmarkStart w:id="24" w:name="_Hlk132097983"/>
      <w:r>
        <w:rPr>
          <w:rFonts w:cs="Arial"/>
        </w:rPr>
        <w:t>We propose that the re</w:t>
      </w:r>
      <w:r w:rsidR="00001479">
        <w:rPr>
          <w:rFonts w:cs="Arial"/>
        </w:rPr>
        <w:t>vised</w:t>
      </w:r>
      <w:r>
        <w:rPr>
          <w:rFonts w:cs="Arial"/>
        </w:rPr>
        <w:t xml:space="preserve"> TLMS criteria</w:t>
      </w:r>
      <w:r w:rsidRPr="00E27B42">
        <w:rPr>
          <w:rFonts w:cs="Arial"/>
        </w:rPr>
        <w:t xml:space="preserve"> </w:t>
      </w:r>
      <w:r w:rsidR="002335EE">
        <w:rPr>
          <w:rFonts w:cs="Arial"/>
        </w:rPr>
        <w:t>be based on</w:t>
      </w:r>
      <w:r>
        <w:rPr>
          <w:rFonts w:cs="Arial"/>
        </w:rPr>
        <w:t xml:space="preserve"> a sensitivity</w:t>
      </w:r>
      <w:r w:rsidRPr="00E27B42">
        <w:rPr>
          <w:rFonts w:cs="Arial"/>
        </w:rPr>
        <w:t xml:space="preserve"> </w:t>
      </w:r>
      <w:r w:rsidR="00086E70">
        <w:rPr>
          <w:rFonts w:cs="Arial"/>
        </w:rPr>
        <w:t xml:space="preserve">level </w:t>
      </w:r>
      <w:r>
        <w:rPr>
          <w:rFonts w:cs="Arial"/>
        </w:rPr>
        <w:t>of</w:t>
      </w:r>
      <w:r w:rsidRPr="00E27B42">
        <w:rPr>
          <w:rFonts w:cs="Arial"/>
        </w:rPr>
        <w:t xml:space="preserve"> -</w:t>
      </w:r>
      <w:r>
        <w:rPr>
          <w:rFonts w:cs="Arial"/>
        </w:rPr>
        <w:t xml:space="preserve">110 </w:t>
      </w:r>
      <w:r w:rsidRPr="00E27B42">
        <w:rPr>
          <w:rFonts w:cs="Arial"/>
        </w:rPr>
        <w:t xml:space="preserve">dBm </w:t>
      </w:r>
      <w:r>
        <w:rPr>
          <w:rFonts w:cs="Arial"/>
        </w:rPr>
        <w:t xml:space="preserve">with </w:t>
      </w:r>
      <w:r w:rsidR="00DD64D1">
        <w:rPr>
          <w:rFonts w:cs="Arial"/>
        </w:rPr>
        <w:t xml:space="preserve">an </w:t>
      </w:r>
      <w:r>
        <w:rPr>
          <w:rFonts w:cs="Arial"/>
        </w:rPr>
        <w:t>8 dB protection ratio. This is based on the lowest</w:t>
      </w:r>
      <w:r w:rsidRPr="00E27B42">
        <w:rPr>
          <w:rFonts w:cs="Arial"/>
        </w:rPr>
        <w:t xml:space="preserve"> </w:t>
      </w:r>
      <w:r>
        <w:rPr>
          <w:rFonts w:cs="Arial"/>
        </w:rPr>
        <w:t>r</w:t>
      </w:r>
      <w:r w:rsidRPr="00E27B42">
        <w:rPr>
          <w:rFonts w:cs="Arial"/>
        </w:rPr>
        <w:t xml:space="preserve">eceiver </w:t>
      </w:r>
      <w:r>
        <w:rPr>
          <w:rFonts w:cs="Arial"/>
        </w:rPr>
        <w:t>s</w:t>
      </w:r>
      <w:r w:rsidRPr="00E27B42">
        <w:rPr>
          <w:rFonts w:cs="Arial"/>
        </w:rPr>
        <w:t xml:space="preserve">ensitivity </w:t>
      </w:r>
      <w:r>
        <w:rPr>
          <w:rFonts w:cs="Arial"/>
        </w:rPr>
        <w:t>for a channel bandwidth of 25 kHz from Table 2.</w:t>
      </w:r>
      <w:r w:rsidRPr="003F45A3">
        <w:rPr>
          <w:rFonts w:cs="Arial"/>
        </w:rPr>
        <w:t xml:space="preserve"> </w:t>
      </w:r>
      <w:r>
        <w:rPr>
          <w:rFonts w:cs="Arial"/>
        </w:rPr>
        <w:t>A 25 kHz bandwidth is used given that 99% of the current users of TLMS services use a 25</w:t>
      </w:r>
      <w:r w:rsidR="00B13B74">
        <w:rPr>
          <w:rFonts w:cs="Arial"/>
        </w:rPr>
        <w:t xml:space="preserve"> </w:t>
      </w:r>
      <w:r>
        <w:rPr>
          <w:rFonts w:cs="Arial"/>
        </w:rPr>
        <w:t xml:space="preserve">kHz bandwidth. </w:t>
      </w:r>
    </w:p>
    <w:bookmarkEnd w:id="24"/>
    <w:p w14:paraId="35E26383" w14:textId="39F1F3D2" w:rsidR="006C515C" w:rsidRDefault="003F45A3" w:rsidP="00AD3DFC">
      <w:pPr>
        <w:rPr>
          <w:noProof/>
        </w:rPr>
      </w:pPr>
      <w:r>
        <w:rPr>
          <w:rFonts w:cs="Arial"/>
        </w:rPr>
        <w:t>The proposed re</w:t>
      </w:r>
      <w:r w:rsidR="00001479">
        <w:rPr>
          <w:rFonts w:cs="Arial"/>
        </w:rPr>
        <w:t>vised</w:t>
      </w:r>
      <w:r>
        <w:rPr>
          <w:rFonts w:cs="Arial"/>
        </w:rPr>
        <w:t xml:space="preserve"> criteria </w:t>
      </w:r>
      <w:r w:rsidR="002335EE">
        <w:rPr>
          <w:rFonts w:cs="Arial"/>
        </w:rPr>
        <w:t>will result in</w:t>
      </w:r>
      <w:r>
        <w:t xml:space="preserve"> a 6 dB increase in permitted interference at the receiver, </w:t>
      </w:r>
      <w:r w:rsidR="00DD64D1">
        <w:t xml:space="preserve">being </w:t>
      </w:r>
      <w:r>
        <w:t>-118 dBm compared to the existing -124 dBm.</w:t>
      </w:r>
      <w:r>
        <w:rPr>
          <w:rStyle w:val="FootnoteReference"/>
        </w:rPr>
        <w:footnoteReference w:id="12"/>
      </w:r>
      <w:r w:rsidR="00152BE1">
        <w:t xml:space="preserve"> This in</w:t>
      </w:r>
      <w:r w:rsidR="00DD64D1">
        <w:t>-</w:t>
      </w:r>
      <w:r w:rsidR="00152BE1">
        <w:t xml:space="preserve">turn </w:t>
      </w:r>
      <w:r w:rsidR="002335EE">
        <w:t xml:space="preserve">will </w:t>
      </w:r>
      <w:r w:rsidR="00152BE1">
        <w:t>allow for smaller</w:t>
      </w:r>
      <w:r w:rsidR="006C515C" w:rsidRPr="0040403E">
        <w:rPr>
          <w:noProof/>
        </w:rPr>
        <w:t xml:space="preserve"> separation distances</w:t>
      </w:r>
      <w:r w:rsidR="006C515C">
        <w:rPr>
          <w:noProof/>
        </w:rPr>
        <w:t xml:space="preserve"> between TLMS base recievers</w:t>
      </w:r>
      <w:r w:rsidR="00152BE1">
        <w:rPr>
          <w:noProof/>
        </w:rPr>
        <w:t xml:space="preserve"> and 700 MHz spectrum</w:t>
      </w:r>
      <w:r w:rsidR="009E6D1C">
        <w:rPr>
          <w:noProof/>
        </w:rPr>
        <w:t>-</w:t>
      </w:r>
      <w:r w:rsidR="00152BE1">
        <w:rPr>
          <w:noProof/>
        </w:rPr>
        <w:t>lic</w:t>
      </w:r>
      <w:r w:rsidR="00587A79">
        <w:rPr>
          <w:noProof/>
        </w:rPr>
        <w:t>e</w:t>
      </w:r>
      <w:r w:rsidR="00152BE1">
        <w:rPr>
          <w:noProof/>
        </w:rPr>
        <w:t>nsed</w:t>
      </w:r>
      <w:r w:rsidR="001A42B1">
        <w:rPr>
          <w:noProof/>
        </w:rPr>
        <w:t xml:space="preserve"> transmitters</w:t>
      </w:r>
      <w:r w:rsidR="006C515C">
        <w:rPr>
          <w:noProof/>
        </w:rPr>
        <w:t>.</w:t>
      </w:r>
      <w:r w:rsidR="001A42B1">
        <w:rPr>
          <w:noProof/>
        </w:rPr>
        <w:t xml:space="preserve"> Using the value</w:t>
      </w:r>
      <w:r w:rsidR="00C11703">
        <w:rPr>
          <w:noProof/>
        </w:rPr>
        <w:t>s</w:t>
      </w:r>
      <w:r w:rsidR="001A42B1">
        <w:rPr>
          <w:noProof/>
        </w:rPr>
        <w:t xml:space="preserve"> in Table 1,</w:t>
      </w:r>
      <w:r w:rsidR="00893B4C">
        <w:rPr>
          <w:noProof/>
        </w:rPr>
        <w:t xml:space="preserve"> the propo</w:t>
      </w:r>
      <w:r w:rsidR="00587A79">
        <w:rPr>
          <w:noProof/>
        </w:rPr>
        <w:t>s</w:t>
      </w:r>
      <w:r w:rsidR="00893B4C">
        <w:rPr>
          <w:noProof/>
        </w:rPr>
        <w:t>ed re</w:t>
      </w:r>
      <w:r w:rsidR="00001479">
        <w:rPr>
          <w:noProof/>
        </w:rPr>
        <w:t>vised</w:t>
      </w:r>
      <w:r w:rsidR="00893B4C">
        <w:rPr>
          <w:noProof/>
        </w:rPr>
        <w:t xml:space="preserve"> criteria</w:t>
      </w:r>
      <w:r w:rsidR="00587A79">
        <w:rPr>
          <w:noProof/>
        </w:rPr>
        <w:t xml:space="preserve"> reduces the notional s</w:t>
      </w:r>
      <w:r w:rsidR="006C515C">
        <w:rPr>
          <w:noProof/>
        </w:rPr>
        <w:t>ep</w:t>
      </w:r>
      <w:r w:rsidR="003E6B68">
        <w:rPr>
          <w:noProof/>
        </w:rPr>
        <w:t>a</w:t>
      </w:r>
      <w:r w:rsidR="006C515C">
        <w:rPr>
          <w:noProof/>
        </w:rPr>
        <w:t>r</w:t>
      </w:r>
      <w:r w:rsidR="00587A79">
        <w:rPr>
          <w:noProof/>
        </w:rPr>
        <w:t>a</w:t>
      </w:r>
      <w:r w:rsidR="006C515C">
        <w:rPr>
          <w:noProof/>
        </w:rPr>
        <w:t xml:space="preserve">tion distance </w:t>
      </w:r>
      <w:r w:rsidR="00587A79">
        <w:rPr>
          <w:noProof/>
        </w:rPr>
        <w:t>from</w:t>
      </w:r>
      <w:r w:rsidR="006C515C">
        <w:rPr>
          <w:noProof/>
        </w:rPr>
        <w:t xml:space="preserve"> 2.3</w:t>
      </w:r>
      <w:r w:rsidR="00B13B74">
        <w:rPr>
          <w:noProof/>
        </w:rPr>
        <w:t xml:space="preserve"> </w:t>
      </w:r>
      <w:r w:rsidR="006C515C">
        <w:rPr>
          <w:noProof/>
        </w:rPr>
        <w:t xml:space="preserve">km </w:t>
      </w:r>
      <w:r w:rsidR="001A42B1">
        <w:rPr>
          <w:noProof/>
        </w:rPr>
        <w:t>t</w:t>
      </w:r>
      <w:r w:rsidR="006C515C">
        <w:rPr>
          <w:noProof/>
        </w:rPr>
        <w:t>o 1.</w:t>
      </w:r>
      <w:r w:rsidR="007A13B8">
        <w:rPr>
          <w:noProof/>
        </w:rPr>
        <w:t>2</w:t>
      </w:r>
      <w:r w:rsidR="006C515C">
        <w:rPr>
          <w:noProof/>
        </w:rPr>
        <w:t xml:space="preserve"> km</w:t>
      </w:r>
      <w:r w:rsidR="001662BE">
        <w:rPr>
          <w:noProof/>
        </w:rPr>
        <w:t>.</w:t>
      </w:r>
    </w:p>
    <w:p w14:paraId="79E4764C" w14:textId="77777777" w:rsidR="0058743A" w:rsidRDefault="00965161" w:rsidP="00AD3DFC">
      <w:pPr>
        <w:rPr>
          <w:noProof/>
        </w:rPr>
      </w:pPr>
      <w:r>
        <w:rPr>
          <w:noProof/>
        </w:rPr>
        <w:t>The increased receiver sensitivity level of -110 dBm (</w:t>
      </w:r>
      <w:r w:rsidR="00175B0A">
        <w:rPr>
          <w:noProof/>
        </w:rPr>
        <w:t xml:space="preserve">up </w:t>
      </w:r>
      <w:r>
        <w:rPr>
          <w:noProof/>
        </w:rPr>
        <w:t xml:space="preserve">from the existing level of -119 dBm) </w:t>
      </w:r>
      <w:r w:rsidR="00907840">
        <w:rPr>
          <w:noProof/>
        </w:rPr>
        <w:t xml:space="preserve">may </w:t>
      </w:r>
      <w:r>
        <w:rPr>
          <w:noProof/>
        </w:rPr>
        <w:t xml:space="preserve">result in a </w:t>
      </w:r>
      <w:r w:rsidR="00175B0A">
        <w:rPr>
          <w:noProof/>
        </w:rPr>
        <w:t xml:space="preserve">smaller </w:t>
      </w:r>
      <w:r>
        <w:rPr>
          <w:noProof/>
        </w:rPr>
        <w:t>service area for TLMS system</w:t>
      </w:r>
      <w:r w:rsidR="008D6C0E">
        <w:rPr>
          <w:noProof/>
        </w:rPr>
        <w:t>s</w:t>
      </w:r>
      <w:r>
        <w:rPr>
          <w:noProof/>
        </w:rPr>
        <w:t xml:space="preserve">. </w:t>
      </w:r>
    </w:p>
    <w:p w14:paraId="38BDDAF6" w14:textId="118D6EE8" w:rsidR="00965161" w:rsidRDefault="00907840" w:rsidP="00AD3DFC">
      <w:pPr>
        <w:rPr>
          <w:noProof/>
        </w:rPr>
      </w:pPr>
      <w:r>
        <w:rPr>
          <w:noProof/>
        </w:rPr>
        <w:t>Table 3 shows the calcu</w:t>
      </w:r>
      <w:r w:rsidR="00680877">
        <w:rPr>
          <w:noProof/>
        </w:rPr>
        <w:t>l</w:t>
      </w:r>
      <w:r>
        <w:rPr>
          <w:noProof/>
        </w:rPr>
        <w:t>ated service area</w:t>
      </w:r>
      <w:r w:rsidR="00F55078">
        <w:rPr>
          <w:noProof/>
        </w:rPr>
        <w:t xml:space="preserve"> radii</w:t>
      </w:r>
      <w:r>
        <w:rPr>
          <w:noProof/>
        </w:rPr>
        <w:t xml:space="preserve"> for h</w:t>
      </w:r>
      <w:r w:rsidR="004C1E80">
        <w:rPr>
          <w:noProof/>
        </w:rPr>
        <w:t>i</w:t>
      </w:r>
      <w:r>
        <w:rPr>
          <w:noProof/>
        </w:rPr>
        <w:t>gh and low-powered TLMS system</w:t>
      </w:r>
      <w:r w:rsidR="004C1E80">
        <w:rPr>
          <w:noProof/>
        </w:rPr>
        <w:t>s</w:t>
      </w:r>
      <w:r>
        <w:rPr>
          <w:noProof/>
        </w:rPr>
        <w:t>, u</w:t>
      </w:r>
      <w:r w:rsidR="00965161">
        <w:rPr>
          <w:noProof/>
        </w:rPr>
        <w:t xml:space="preserve">sing the </w:t>
      </w:r>
      <w:r w:rsidR="00175B0A">
        <w:rPr>
          <w:noProof/>
        </w:rPr>
        <w:t xml:space="preserve">above </w:t>
      </w:r>
      <w:r w:rsidR="00965161">
        <w:rPr>
          <w:noProof/>
        </w:rPr>
        <w:t>notional mobile station parameters and the modified Hata propagation model from RALI LM08</w:t>
      </w:r>
      <w:r>
        <w:rPr>
          <w:noProof/>
        </w:rPr>
        <w:t>.</w:t>
      </w:r>
      <w:r w:rsidR="004F43B1">
        <w:rPr>
          <w:noProof/>
        </w:rPr>
        <w:t xml:space="preserve"> For the high-powered TLMS mode</w:t>
      </w:r>
      <w:r w:rsidR="00086E70">
        <w:rPr>
          <w:noProof/>
        </w:rPr>
        <w:t>l</w:t>
      </w:r>
      <w:r w:rsidR="004F43B1">
        <w:rPr>
          <w:noProof/>
        </w:rPr>
        <w:t>, Table 3 calcu</w:t>
      </w:r>
      <w:r w:rsidR="00086E70">
        <w:rPr>
          <w:noProof/>
        </w:rPr>
        <w:t>l</w:t>
      </w:r>
      <w:r w:rsidR="004F43B1">
        <w:rPr>
          <w:noProof/>
        </w:rPr>
        <w:t>ations include base station anten</w:t>
      </w:r>
      <w:r w:rsidR="00086E70">
        <w:rPr>
          <w:noProof/>
        </w:rPr>
        <w:t>n</w:t>
      </w:r>
      <w:r w:rsidR="004F43B1">
        <w:rPr>
          <w:noProof/>
        </w:rPr>
        <w:t>a hei</w:t>
      </w:r>
      <w:r w:rsidR="00086E70">
        <w:rPr>
          <w:noProof/>
        </w:rPr>
        <w:t>gh</w:t>
      </w:r>
      <w:r w:rsidR="004F43B1">
        <w:rPr>
          <w:noProof/>
        </w:rPr>
        <w:t>ts of 200 m (from RALI LM08) and 30 m (considered typical for currently licensed TLMS systems).</w:t>
      </w:r>
    </w:p>
    <w:p w14:paraId="164C89A8" w14:textId="395D1B4D" w:rsidR="00965161" w:rsidRDefault="00965161" w:rsidP="00F40574">
      <w:pPr>
        <w:pStyle w:val="Tableheading"/>
        <w:rPr>
          <w:noProof/>
        </w:rPr>
      </w:pPr>
      <w:r>
        <w:rPr>
          <w:noProof/>
        </w:rPr>
        <w:t xml:space="preserve">Comparison of </w:t>
      </w:r>
      <w:r w:rsidR="00907840">
        <w:rPr>
          <w:noProof/>
        </w:rPr>
        <w:t xml:space="preserve">calculated </w:t>
      </w:r>
      <w:r>
        <w:rPr>
          <w:noProof/>
        </w:rPr>
        <w:t>TLMS service area</w:t>
      </w:r>
      <w:r w:rsidR="00F55078">
        <w:rPr>
          <w:noProof/>
        </w:rPr>
        <w:t xml:space="preserve"> radii</w:t>
      </w:r>
    </w:p>
    <w:tbl>
      <w:tblPr>
        <w:tblStyle w:val="TableGrid"/>
        <w:tblW w:w="7792" w:type="dxa"/>
        <w:tblCellMar>
          <w:top w:w="57" w:type="dxa"/>
          <w:bottom w:w="57" w:type="dxa"/>
        </w:tblCellMar>
        <w:tblLook w:val="04A0" w:firstRow="1" w:lastRow="0" w:firstColumn="1" w:lastColumn="0" w:noHBand="0" w:noVBand="1"/>
      </w:tblPr>
      <w:tblGrid>
        <w:gridCol w:w="1413"/>
        <w:gridCol w:w="3260"/>
        <w:gridCol w:w="3119"/>
      </w:tblGrid>
      <w:tr w:rsidR="009E6D1C" w:rsidRPr="009E6D1C" w14:paraId="2E5D220C" w14:textId="77777777" w:rsidTr="006A58DF">
        <w:tc>
          <w:tcPr>
            <w:tcW w:w="1413" w:type="dxa"/>
            <w:shd w:val="clear" w:color="auto" w:fill="404040" w:themeFill="text1" w:themeFillTint="BF"/>
          </w:tcPr>
          <w:p w14:paraId="11E45F4C" w14:textId="77777777" w:rsidR="00610CD2" w:rsidRPr="006A58DF" w:rsidRDefault="00610CD2" w:rsidP="00965161">
            <w:pPr>
              <w:rPr>
                <w:color w:val="FFFFFF" w:themeColor="background1"/>
              </w:rPr>
            </w:pPr>
          </w:p>
        </w:tc>
        <w:tc>
          <w:tcPr>
            <w:tcW w:w="6379" w:type="dxa"/>
            <w:gridSpan w:val="2"/>
            <w:shd w:val="clear" w:color="auto" w:fill="404040" w:themeFill="text1" w:themeFillTint="BF"/>
          </w:tcPr>
          <w:p w14:paraId="0F1EDEFC" w14:textId="13564CFE" w:rsidR="00610CD2" w:rsidRPr="006A58DF" w:rsidRDefault="00F55078" w:rsidP="00610CD2">
            <w:pPr>
              <w:spacing w:after="0" w:line="259" w:lineRule="auto"/>
              <w:ind w:left="17"/>
              <w:jc w:val="center"/>
              <w:rPr>
                <w:rFonts w:eastAsia="Arial" w:cs="Arial"/>
                <w:b/>
                <w:bCs/>
                <w:color w:val="FFFFFF" w:themeColor="background1"/>
                <w:szCs w:val="20"/>
              </w:rPr>
            </w:pPr>
            <w:r w:rsidRPr="006A58DF">
              <w:rPr>
                <w:rFonts w:eastAsia="Arial"/>
                <w:b/>
                <w:bCs/>
                <w:color w:val="FFFFFF" w:themeColor="background1"/>
              </w:rPr>
              <w:t>Calculated s</w:t>
            </w:r>
            <w:r w:rsidR="00A72D3D" w:rsidRPr="006A58DF">
              <w:rPr>
                <w:rFonts w:eastAsia="Arial"/>
                <w:b/>
                <w:bCs/>
                <w:color w:val="FFFFFF" w:themeColor="background1"/>
              </w:rPr>
              <w:t>ervice</w:t>
            </w:r>
            <w:r w:rsidR="00610CD2" w:rsidRPr="006A58DF">
              <w:rPr>
                <w:rFonts w:eastAsia="Arial"/>
                <w:b/>
                <w:bCs/>
                <w:color w:val="FFFFFF" w:themeColor="background1"/>
              </w:rPr>
              <w:t xml:space="preserve"> area</w:t>
            </w:r>
            <w:r w:rsidRPr="006A58DF">
              <w:rPr>
                <w:rFonts w:eastAsia="Arial"/>
                <w:b/>
                <w:bCs/>
                <w:color w:val="FFFFFF" w:themeColor="background1"/>
              </w:rPr>
              <w:t xml:space="preserve"> radius</w:t>
            </w:r>
          </w:p>
        </w:tc>
      </w:tr>
      <w:tr w:rsidR="00610CD2" w:rsidRPr="009E6D1C" w14:paraId="1B1F6F83" w14:textId="77777777" w:rsidTr="006A58DF">
        <w:tc>
          <w:tcPr>
            <w:tcW w:w="1413" w:type="dxa"/>
            <w:shd w:val="clear" w:color="auto" w:fill="F2F2F2" w:themeFill="background1" w:themeFillShade="F2"/>
          </w:tcPr>
          <w:p w14:paraId="45EFE3B0" w14:textId="77777777" w:rsidR="00610CD2" w:rsidRPr="006A58DF" w:rsidRDefault="00610CD2" w:rsidP="00610CD2">
            <w:pPr>
              <w:pStyle w:val="Tableheaderrow"/>
              <w:rPr>
                <w:b w:val="0"/>
                <w:bCs/>
              </w:rPr>
            </w:pPr>
          </w:p>
        </w:tc>
        <w:tc>
          <w:tcPr>
            <w:tcW w:w="3260" w:type="dxa"/>
            <w:shd w:val="clear" w:color="auto" w:fill="F2F2F2" w:themeFill="background1" w:themeFillShade="F2"/>
          </w:tcPr>
          <w:p w14:paraId="1EFEB769" w14:textId="633A242D" w:rsidR="00610CD2" w:rsidRPr="006A58DF" w:rsidRDefault="00610CD2" w:rsidP="00610CD2">
            <w:pPr>
              <w:pStyle w:val="Tableheaderrow"/>
              <w:rPr>
                <w:b w:val="0"/>
                <w:bCs/>
              </w:rPr>
            </w:pPr>
            <w:r w:rsidRPr="006A58DF">
              <w:rPr>
                <w:b w:val="0"/>
                <w:bCs/>
              </w:rPr>
              <w:t xml:space="preserve">Current </w:t>
            </w:r>
            <w:r w:rsidR="005C0652" w:rsidRPr="006A58DF">
              <w:rPr>
                <w:b w:val="0"/>
                <w:bCs/>
              </w:rPr>
              <w:t>usable</w:t>
            </w:r>
            <w:r w:rsidRPr="006A58DF">
              <w:rPr>
                <w:b w:val="0"/>
                <w:bCs/>
              </w:rPr>
              <w:t xml:space="preserve"> sensitivity </w:t>
            </w:r>
            <w:r w:rsidR="009E6D1C">
              <w:rPr>
                <w:b w:val="0"/>
                <w:bCs/>
              </w:rPr>
              <w:br/>
            </w:r>
            <w:r w:rsidRPr="006A58DF">
              <w:rPr>
                <w:b w:val="0"/>
                <w:bCs/>
              </w:rPr>
              <w:t>-119 dBm</w:t>
            </w:r>
            <w:r w:rsidR="005B792E" w:rsidRPr="006A58DF">
              <w:rPr>
                <w:b w:val="0"/>
                <w:bCs/>
              </w:rPr>
              <w:t xml:space="preserve"> </w:t>
            </w:r>
            <w:r w:rsidR="00FD7836" w:rsidRPr="006A58DF">
              <w:rPr>
                <w:b w:val="0"/>
                <w:bCs/>
              </w:rPr>
              <w:t xml:space="preserve">with </w:t>
            </w:r>
            <w:r w:rsidR="005B792E" w:rsidRPr="006A58DF">
              <w:rPr>
                <w:b w:val="0"/>
                <w:bCs/>
              </w:rPr>
              <w:t xml:space="preserve">PR=5 dB / </w:t>
            </w:r>
            <w:r w:rsidR="009E6D1C">
              <w:rPr>
                <w:b w:val="0"/>
                <w:bCs/>
              </w:rPr>
              <w:t>m</w:t>
            </w:r>
            <w:r w:rsidR="005B792E" w:rsidRPr="006A58DF">
              <w:rPr>
                <w:b w:val="0"/>
                <w:bCs/>
              </w:rPr>
              <w:t>ax</w:t>
            </w:r>
            <w:r w:rsidR="00703593" w:rsidRPr="006A58DF">
              <w:rPr>
                <w:b w:val="0"/>
                <w:bCs/>
              </w:rPr>
              <w:t>imum</w:t>
            </w:r>
            <w:r w:rsidR="005B792E" w:rsidRPr="006A58DF">
              <w:rPr>
                <w:b w:val="0"/>
                <w:bCs/>
              </w:rPr>
              <w:t xml:space="preserve"> </w:t>
            </w:r>
            <w:r w:rsidR="009E6D1C">
              <w:rPr>
                <w:b w:val="0"/>
                <w:bCs/>
              </w:rPr>
              <w:t>i</w:t>
            </w:r>
            <w:r w:rsidR="005B792E" w:rsidRPr="006A58DF">
              <w:rPr>
                <w:b w:val="0"/>
                <w:bCs/>
              </w:rPr>
              <w:t xml:space="preserve">nterference </w:t>
            </w:r>
            <w:r w:rsidR="009E6D1C">
              <w:rPr>
                <w:b w:val="0"/>
                <w:bCs/>
              </w:rPr>
              <w:t>s</w:t>
            </w:r>
            <w:r w:rsidR="005B792E" w:rsidRPr="006A58DF">
              <w:rPr>
                <w:b w:val="0"/>
                <w:bCs/>
              </w:rPr>
              <w:t xml:space="preserve">ignal </w:t>
            </w:r>
            <w:r w:rsidR="009E6D1C">
              <w:rPr>
                <w:b w:val="0"/>
                <w:bCs/>
              </w:rPr>
              <w:t>l</w:t>
            </w:r>
            <w:r w:rsidR="005B792E" w:rsidRPr="006A58DF">
              <w:rPr>
                <w:b w:val="0"/>
                <w:bCs/>
              </w:rPr>
              <w:t>evel -124 dBm</w:t>
            </w:r>
            <w:r w:rsidR="00FD7836" w:rsidRPr="006A58DF">
              <w:rPr>
                <w:b w:val="0"/>
                <w:bCs/>
              </w:rPr>
              <w:t xml:space="preserve"> </w:t>
            </w:r>
          </w:p>
        </w:tc>
        <w:tc>
          <w:tcPr>
            <w:tcW w:w="3119" w:type="dxa"/>
            <w:shd w:val="clear" w:color="auto" w:fill="F2F2F2" w:themeFill="background1" w:themeFillShade="F2"/>
          </w:tcPr>
          <w:p w14:paraId="2CCEF87C" w14:textId="5736F8FF" w:rsidR="00610CD2" w:rsidRPr="006A58DF" w:rsidRDefault="00610CD2" w:rsidP="00610CD2">
            <w:pPr>
              <w:pStyle w:val="Tableheaderrow"/>
              <w:rPr>
                <w:b w:val="0"/>
                <w:bCs/>
              </w:rPr>
            </w:pPr>
            <w:r w:rsidRPr="006A58DF">
              <w:rPr>
                <w:b w:val="0"/>
                <w:bCs/>
              </w:rPr>
              <w:t xml:space="preserve">Proposed </w:t>
            </w:r>
            <w:r w:rsidR="005C0652" w:rsidRPr="006A58DF">
              <w:rPr>
                <w:b w:val="0"/>
                <w:bCs/>
              </w:rPr>
              <w:t>receiver</w:t>
            </w:r>
            <w:r w:rsidRPr="006A58DF">
              <w:rPr>
                <w:b w:val="0"/>
                <w:bCs/>
              </w:rPr>
              <w:t xml:space="preserve"> sensitivity </w:t>
            </w:r>
            <w:r w:rsidR="009E6D1C">
              <w:rPr>
                <w:b w:val="0"/>
                <w:bCs/>
              </w:rPr>
              <w:br/>
            </w:r>
            <w:r w:rsidRPr="006A58DF">
              <w:rPr>
                <w:b w:val="0"/>
                <w:bCs/>
              </w:rPr>
              <w:t>-110 dBm</w:t>
            </w:r>
            <w:r w:rsidR="00FD7836" w:rsidRPr="006A58DF">
              <w:rPr>
                <w:b w:val="0"/>
                <w:bCs/>
              </w:rPr>
              <w:t xml:space="preserve"> with PR=8 dB / </w:t>
            </w:r>
            <w:r w:rsidR="009E6D1C">
              <w:rPr>
                <w:b w:val="0"/>
                <w:bCs/>
              </w:rPr>
              <w:t>m</w:t>
            </w:r>
            <w:r w:rsidR="00FD7836" w:rsidRPr="006A58DF">
              <w:rPr>
                <w:b w:val="0"/>
                <w:bCs/>
              </w:rPr>
              <w:t>ax</w:t>
            </w:r>
            <w:r w:rsidR="00703593" w:rsidRPr="006A58DF">
              <w:rPr>
                <w:b w:val="0"/>
                <w:bCs/>
              </w:rPr>
              <w:t>imum</w:t>
            </w:r>
            <w:r w:rsidR="00FD7836" w:rsidRPr="006A58DF">
              <w:rPr>
                <w:b w:val="0"/>
                <w:bCs/>
              </w:rPr>
              <w:t xml:space="preserve"> </w:t>
            </w:r>
            <w:r w:rsidR="009E6D1C">
              <w:rPr>
                <w:b w:val="0"/>
                <w:bCs/>
              </w:rPr>
              <w:t>i</w:t>
            </w:r>
            <w:r w:rsidR="00FD7836" w:rsidRPr="006A58DF">
              <w:rPr>
                <w:b w:val="0"/>
                <w:bCs/>
              </w:rPr>
              <w:t xml:space="preserve">nterference </w:t>
            </w:r>
            <w:r w:rsidR="009E6D1C">
              <w:rPr>
                <w:b w:val="0"/>
                <w:bCs/>
              </w:rPr>
              <w:t>s</w:t>
            </w:r>
            <w:r w:rsidR="00FD7836" w:rsidRPr="006A58DF">
              <w:rPr>
                <w:b w:val="0"/>
                <w:bCs/>
              </w:rPr>
              <w:t xml:space="preserve">ignal </w:t>
            </w:r>
            <w:r w:rsidR="009E6D1C">
              <w:rPr>
                <w:b w:val="0"/>
                <w:bCs/>
              </w:rPr>
              <w:t>l</w:t>
            </w:r>
            <w:r w:rsidR="00FD7836" w:rsidRPr="006A58DF">
              <w:rPr>
                <w:b w:val="0"/>
                <w:bCs/>
              </w:rPr>
              <w:t>evel -118 dBm</w:t>
            </w:r>
          </w:p>
        </w:tc>
      </w:tr>
      <w:tr w:rsidR="00610CD2" w14:paraId="524BF93B" w14:textId="77777777" w:rsidTr="006A58DF">
        <w:tc>
          <w:tcPr>
            <w:tcW w:w="1413" w:type="dxa"/>
          </w:tcPr>
          <w:p w14:paraId="084A3240" w14:textId="57361619" w:rsidR="00610CD2" w:rsidRDefault="00610CD2" w:rsidP="00610CD2">
            <w:pPr>
              <w:pStyle w:val="TableBody"/>
            </w:pPr>
            <w:r>
              <w:t>TLMS high-powered</w:t>
            </w:r>
            <w:r w:rsidR="00557A3C">
              <w:rPr>
                <w:rStyle w:val="FootnoteReference"/>
                <w:rFonts w:eastAsia="Arial"/>
                <w:b/>
                <w:bCs/>
              </w:rPr>
              <w:footnoteReference w:id="13"/>
            </w:r>
          </w:p>
        </w:tc>
        <w:tc>
          <w:tcPr>
            <w:tcW w:w="3260" w:type="dxa"/>
          </w:tcPr>
          <w:p w14:paraId="6ED3D2C6" w14:textId="106E6615" w:rsidR="00610CD2" w:rsidRDefault="00EA3EB7" w:rsidP="00610CD2">
            <w:pPr>
              <w:pStyle w:val="TableBody"/>
            </w:pPr>
            <w:r>
              <w:t>71</w:t>
            </w:r>
            <w:r w:rsidR="00557A3C">
              <w:t xml:space="preserve"> km</w:t>
            </w:r>
            <w:r w:rsidR="00A84D9C">
              <w:t xml:space="preserve"> for </w:t>
            </w:r>
            <w:r w:rsidR="000D20B8">
              <w:t>base station</w:t>
            </w:r>
            <w:r w:rsidR="00A84D9C">
              <w:t xml:space="preserve"> antenna height = 200 m</w:t>
            </w:r>
          </w:p>
          <w:p w14:paraId="4DFA32A7" w14:textId="7FF8BA04" w:rsidR="00A84D9C" w:rsidRDefault="00A84D9C" w:rsidP="00610CD2">
            <w:pPr>
              <w:pStyle w:val="TableBody"/>
            </w:pPr>
            <w:r>
              <w:t xml:space="preserve">32.8 km for </w:t>
            </w:r>
            <w:r w:rsidR="000D20B8">
              <w:t>base station antenna</w:t>
            </w:r>
            <w:r>
              <w:t xml:space="preserve"> height = 30 m</w:t>
            </w:r>
          </w:p>
          <w:p w14:paraId="21768237" w14:textId="591AA90A" w:rsidR="00A84D9C" w:rsidRDefault="00A84D9C" w:rsidP="00610CD2">
            <w:pPr>
              <w:pStyle w:val="TableBody"/>
            </w:pPr>
          </w:p>
        </w:tc>
        <w:tc>
          <w:tcPr>
            <w:tcW w:w="3119" w:type="dxa"/>
          </w:tcPr>
          <w:p w14:paraId="5F77E045" w14:textId="4AB7577B" w:rsidR="00610CD2" w:rsidRDefault="00EA3EB7" w:rsidP="00610CD2">
            <w:pPr>
              <w:pStyle w:val="TableBody"/>
            </w:pPr>
            <w:r>
              <w:t>50.7</w:t>
            </w:r>
            <w:r w:rsidR="00557A3C">
              <w:t xml:space="preserve"> km</w:t>
            </w:r>
            <w:r w:rsidR="00A84D9C">
              <w:t xml:space="preserve"> for </w:t>
            </w:r>
            <w:r w:rsidR="000D20B8">
              <w:t>base station antenna</w:t>
            </w:r>
            <w:r w:rsidR="00A84D9C">
              <w:t xml:space="preserve"> height = 200 m</w:t>
            </w:r>
          </w:p>
          <w:p w14:paraId="5A6E3DF6" w14:textId="2C6E035C" w:rsidR="00A84D9C" w:rsidRDefault="00A84D9C" w:rsidP="00610CD2">
            <w:pPr>
              <w:pStyle w:val="TableBody"/>
            </w:pPr>
            <w:r>
              <w:t xml:space="preserve">20.7 km for </w:t>
            </w:r>
            <w:r w:rsidR="000D20B8">
              <w:t>base station antenna</w:t>
            </w:r>
            <w:r>
              <w:t xml:space="preserve"> height = 30 m</w:t>
            </w:r>
          </w:p>
        </w:tc>
      </w:tr>
      <w:tr w:rsidR="00610CD2" w14:paraId="763047E4" w14:textId="77777777" w:rsidTr="006A58DF">
        <w:tc>
          <w:tcPr>
            <w:tcW w:w="1413" w:type="dxa"/>
            <w:shd w:val="clear" w:color="auto" w:fill="F2F2F2" w:themeFill="background1" w:themeFillShade="F2"/>
          </w:tcPr>
          <w:p w14:paraId="2005AC7D" w14:textId="42C8BE13" w:rsidR="00610CD2" w:rsidRDefault="00610CD2" w:rsidP="00610CD2">
            <w:pPr>
              <w:pStyle w:val="TableBody"/>
            </w:pPr>
            <w:r>
              <w:t>TLMS low-powered</w:t>
            </w:r>
            <w:r w:rsidR="00557A3C">
              <w:rPr>
                <w:rStyle w:val="FootnoteReference"/>
              </w:rPr>
              <w:footnoteReference w:id="14"/>
            </w:r>
          </w:p>
        </w:tc>
        <w:tc>
          <w:tcPr>
            <w:tcW w:w="3260" w:type="dxa"/>
            <w:shd w:val="clear" w:color="auto" w:fill="F2F2F2" w:themeFill="background1" w:themeFillShade="F2"/>
          </w:tcPr>
          <w:p w14:paraId="14B6FE38" w14:textId="40DB3A3C" w:rsidR="00610CD2" w:rsidRDefault="00B93A0F" w:rsidP="00610CD2">
            <w:pPr>
              <w:pStyle w:val="TableBody"/>
            </w:pPr>
            <w:r>
              <w:t>5</w:t>
            </w:r>
            <w:r w:rsidR="003D59E2">
              <w:t>.3</w:t>
            </w:r>
            <w:r w:rsidR="00557A3C">
              <w:t xml:space="preserve"> km</w:t>
            </w:r>
          </w:p>
        </w:tc>
        <w:tc>
          <w:tcPr>
            <w:tcW w:w="3119" w:type="dxa"/>
            <w:shd w:val="clear" w:color="auto" w:fill="F2F2F2" w:themeFill="background1" w:themeFillShade="F2"/>
          </w:tcPr>
          <w:p w14:paraId="4B4376C5" w14:textId="43202B7B" w:rsidR="00610CD2" w:rsidRDefault="00B93A0F" w:rsidP="00610CD2">
            <w:pPr>
              <w:pStyle w:val="TableBody"/>
            </w:pPr>
            <w:r>
              <w:t>2.</w:t>
            </w:r>
            <w:r w:rsidR="002006DF">
              <w:t>9</w:t>
            </w:r>
            <w:r>
              <w:t xml:space="preserve"> km</w:t>
            </w:r>
          </w:p>
        </w:tc>
      </w:tr>
    </w:tbl>
    <w:p w14:paraId="5911EBCC" w14:textId="37664DC9" w:rsidR="00432A08" w:rsidRDefault="00432A08" w:rsidP="00965161"/>
    <w:p w14:paraId="667BE76B" w14:textId="72FB4313" w:rsidR="00B531D9" w:rsidRPr="00965161" w:rsidRDefault="00271052" w:rsidP="00B531D9">
      <w:bookmarkStart w:id="25" w:name="_Hlk136614546"/>
      <w:r>
        <w:t xml:space="preserve">For the high-powered TLMS </w:t>
      </w:r>
      <w:r w:rsidR="008C014A">
        <w:t>example</w:t>
      </w:r>
      <w:r>
        <w:t xml:space="preserve">, </w:t>
      </w:r>
      <w:r w:rsidR="000D20B8">
        <w:t xml:space="preserve">when using a 200 m base station antenna height, the calculated service area radii exceed the notional 40 km service area radius </w:t>
      </w:r>
      <w:r w:rsidR="004F43B1">
        <w:t xml:space="preserve">from RALI LM08 </w:t>
      </w:r>
      <w:r w:rsidR="000D20B8">
        <w:t>for both the current and proposed sensitivity levels. This indicates that the proposed sensitivity level is reasonable and</w:t>
      </w:r>
      <w:r w:rsidR="00402AD6">
        <w:t xml:space="preserve"> remains</w:t>
      </w:r>
      <w:r w:rsidR="000D20B8">
        <w:t xml:space="preserve"> consistent</w:t>
      </w:r>
      <w:r w:rsidR="00402AD6">
        <w:t xml:space="preserve"> with the service model in RALI LM08. For </w:t>
      </w:r>
      <w:r w:rsidR="004F43B1">
        <w:t xml:space="preserve">the 30 m </w:t>
      </w:r>
      <w:r w:rsidR="00402AD6">
        <w:t xml:space="preserve">antenna height scenario, </w:t>
      </w:r>
      <w:r>
        <w:t>a</w:t>
      </w:r>
      <w:r w:rsidR="00234187">
        <w:t>lthough</w:t>
      </w:r>
      <w:r w:rsidR="00506B49">
        <w:t xml:space="preserve"> the</w:t>
      </w:r>
      <w:r w:rsidR="0073261C">
        <w:t xml:space="preserve"> calculated</w:t>
      </w:r>
      <w:r w:rsidR="00506B49">
        <w:t xml:space="preserve"> </w:t>
      </w:r>
      <w:r w:rsidR="00A72D3D">
        <w:t>service</w:t>
      </w:r>
      <w:r w:rsidR="00506B49">
        <w:t xml:space="preserve"> area </w:t>
      </w:r>
      <w:r w:rsidR="00F55078">
        <w:t>radius</w:t>
      </w:r>
      <w:r w:rsidR="00506B49">
        <w:t xml:space="preserve"> </w:t>
      </w:r>
      <w:r w:rsidR="00402AD6">
        <w:t>is</w:t>
      </w:r>
      <w:r w:rsidR="00F35985">
        <w:t xml:space="preserve"> </w:t>
      </w:r>
      <w:r w:rsidR="00506B49">
        <w:t xml:space="preserve">reduced for the proposed </w:t>
      </w:r>
      <w:r w:rsidR="00CE1ECD">
        <w:t xml:space="preserve">receiver </w:t>
      </w:r>
      <w:r w:rsidR="00506B49">
        <w:t>sensitivity level, it</w:t>
      </w:r>
      <w:r w:rsidR="00234187">
        <w:t xml:space="preserve"> indicates that a </w:t>
      </w:r>
      <w:r w:rsidR="00432A08">
        <w:t>reasonabl</w:t>
      </w:r>
      <w:r w:rsidR="0073261C">
        <w:t>y</w:t>
      </w:r>
      <w:r w:rsidR="00432A08">
        <w:t xml:space="preserve"> large </w:t>
      </w:r>
      <w:r w:rsidR="00A72D3D">
        <w:t>service</w:t>
      </w:r>
      <w:r w:rsidR="00432A08">
        <w:t xml:space="preserve"> area</w:t>
      </w:r>
      <w:r w:rsidR="00234187">
        <w:t xml:space="preserve"> can s</w:t>
      </w:r>
      <w:r w:rsidR="00432A08">
        <w:t xml:space="preserve">till </w:t>
      </w:r>
      <w:r w:rsidR="00506B49">
        <w:t>be achiev</w:t>
      </w:r>
      <w:r w:rsidR="0073261C">
        <w:t>ed</w:t>
      </w:r>
      <w:r w:rsidR="00F35985">
        <w:t xml:space="preserve"> for the affected prospective new assignments</w:t>
      </w:r>
      <w:r w:rsidR="007A6AEE">
        <w:t>. T</w:t>
      </w:r>
      <w:r w:rsidR="004F43B1">
        <w:t>herefore</w:t>
      </w:r>
      <w:r w:rsidR="007A6AEE">
        <w:t>,</w:t>
      </w:r>
      <w:r w:rsidR="004F43B1">
        <w:t xml:space="preserve"> the</w:t>
      </w:r>
      <w:r w:rsidR="00DC5411">
        <w:t xml:space="preserve"> proposed sensitivity level is not expected to have a significant impact on the viability of future high-powered TLMS </w:t>
      </w:r>
      <w:r w:rsidR="00DD64D1">
        <w:t>deployments</w:t>
      </w:r>
      <w:r w:rsidR="00B531D9">
        <w:t>.</w:t>
      </w:r>
      <w:r w:rsidR="00432A08">
        <w:t xml:space="preserve"> </w:t>
      </w:r>
      <w:r w:rsidR="0056043C">
        <w:t xml:space="preserve"> </w:t>
      </w:r>
    </w:p>
    <w:bookmarkEnd w:id="25"/>
    <w:p w14:paraId="3D533519" w14:textId="6216005D" w:rsidR="00432A08" w:rsidRPr="00965161" w:rsidRDefault="00432A08" w:rsidP="00965161">
      <w:r>
        <w:t xml:space="preserve">For the low-power example, a </w:t>
      </w:r>
      <w:r w:rsidR="00A72D3D">
        <w:t>service</w:t>
      </w:r>
      <w:r>
        <w:t xml:space="preserve"> area</w:t>
      </w:r>
      <w:r w:rsidR="00F55078">
        <w:t xml:space="preserve"> radius</w:t>
      </w:r>
      <w:r>
        <w:t xml:space="preserve"> of 2.</w:t>
      </w:r>
      <w:r w:rsidR="004C1E80">
        <w:t>9</w:t>
      </w:r>
      <w:r>
        <w:t xml:space="preserve"> km exceeds the</w:t>
      </w:r>
      <w:r w:rsidR="0073261C">
        <w:t xml:space="preserve"> </w:t>
      </w:r>
      <w:r w:rsidR="00CE7754">
        <w:t>notional</w:t>
      </w:r>
      <w:r w:rsidR="0073261C">
        <w:t xml:space="preserve"> </w:t>
      </w:r>
      <w:r w:rsidR="007A6AEE">
        <w:br/>
      </w:r>
      <w:r w:rsidR="00B13B74">
        <w:t>low-po</w:t>
      </w:r>
      <w:r w:rsidR="001C1ACF">
        <w:t>w</w:t>
      </w:r>
      <w:r w:rsidR="00B13B74">
        <w:t xml:space="preserve">er model </w:t>
      </w:r>
      <w:r w:rsidR="0073261C">
        <w:t xml:space="preserve">service area </w:t>
      </w:r>
      <w:r w:rsidR="00F55078">
        <w:t xml:space="preserve">radius </w:t>
      </w:r>
      <w:r w:rsidR="0073261C">
        <w:t xml:space="preserve">of 2 km </w:t>
      </w:r>
      <w:r w:rsidR="00F35985">
        <w:t xml:space="preserve">in </w:t>
      </w:r>
      <w:r>
        <w:t xml:space="preserve">LM08, so the impact of the proposed sensitivity level on low-powered TLMS </w:t>
      </w:r>
      <w:r w:rsidR="00F35985">
        <w:t xml:space="preserve">would be </w:t>
      </w:r>
      <w:r>
        <w:t xml:space="preserve">considered </w:t>
      </w:r>
      <w:r w:rsidR="001C1ACF">
        <w:t>reasonable and consistent with the model</w:t>
      </w:r>
      <w:r>
        <w:t xml:space="preserve">. </w:t>
      </w:r>
    </w:p>
    <w:p w14:paraId="5C0B619A" w14:textId="5E56AEDC" w:rsidR="000D2AF8" w:rsidRPr="00444B89" w:rsidRDefault="00AD3DFC" w:rsidP="000D2AF8">
      <w:pPr>
        <w:pStyle w:val="Heading3"/>
      </w:pPr>
      <w:r w:rsidRPr="00444B89">
        <w:t>Re</w:t>
      </w:r>
      <w:r w:rsidR="00001479">
        <w:t>vised</w:t>
      </w:r>
      <w:r w:rsidRPr="00444B89">
        <w:t xml:space="preserve"> PMP criteria</w:t>
      </w:r>
    </w:p>
    <w:p w14:paraId="7D316D0E" w14:textId="54E4CA3C" w:rsidR="00C11703" w:rsidRDefault="00ED4BAE" w:rsidP="00404EC8">
      <w:pPr>
        <w:rPr>
          <w:rFonts w:cs="Arial"/>
        </w:rPr>
      </w:pPr>
      <w:r w:rsidRPr="00ED4BAE">
        <w:rPr>
          <w:rFonts w:cs="Arial"/>
        </w:rPr>
        <w:t>The proposed re</w:t>
      </w:r>
      <w:r w:rsidR="00001479">
        <w:rPr>
          <w:rFonts w:cs="Arial"/>
        </w:rPr>
        <w:t>vised</w:t>
      </w:r>
      <w:r w:rsidRPr="00ED4BAE">
        <w:rPr>
          <w:rFonts w:cs="Arial"/>
        </w:rPr>
        <w:t xml:space="preserve"> </w:t>
      </w:r>
      <w:r>
        <w:rPr>
          <w:rFonts w:cs="Arial"/>
        </w:rPr>
        <w:t xml:space="preserve">PMP </w:t>
      </w:r>
      <w:r w:rsidRPr="00ED4BAE">
        <w:rPr>
          <w:rFonts w:cs="Arial"/>
        </w:rPr>
        <w:t>criteria</w:t>
      </w:r>
      <w:r w:rsidR="00C11703">
        <w:rPr>
          <w:rFonts w:cs="Arial"/>
        </w:rPr>
        <w:t xml:space="preserve"> considers an adjustment of the receiver sensitivity and protection ratio,</w:t>
      </w:r>
      <w:r w:rsidRPr="00ED4BAE">
        <w:rPr>
          <w:rFonts w:cs="Arial"/>
        </w:rPr>
        <w:t xml:space="preserve"> based on </w:t>
      </w:r>
      <w:r w:rsidR="00F35985">
        <w:rPr>
          <w:rFonts w:cs="Arial"/>
        </w:rPr>
        <w:t xml:space="preserve">the </w:t>
      </w:r>
      <w:r w:rsidRPr="00ED4BAE">
        <w:rPr>
          <w:rFonts w:cs="Arial"/>
        </w:rPr>
        <w:t xml:space="preserve">receiver performance requirement </w:t>
      </w:r>
      <w:r w:rsidR="00F35985">
        <w:rPr>
          <w:rFonts w:cs="Arial"/>
        </w:rPr>
        <w:t xml:space="preserve">set out </w:t>
      </w:r>
      <w:r w:rsidRPr="00ED4BAE">
        <w:rPr>
          <w:rFonts w:cs="Arial"/>
        </w:rPr>
        <w:t xml:space="preserve">in </w:t>
      </w:r>
      <w:r w:rsidR="009443FC">
        <w:rPr>
          <w:rFonts w:cs="Arial"/>
        </w:rPr>
        <w:br/>
      </w:r>
      <w:hyperlink r:id="rId32" w:history="1">
        <w:r w:rsidRPr="00C5557C">
          <w:rPr>
            <w:rStyle w:val="Hyperlink"/>
            <w:rFonts w:cs="Arial"/>
          </w:rPr>
          <w:t>ETSI EN 302 561 V2.1.1 (2016-03)</w:t>
        </w:r>
      </w:hyperlink>
      <w:r w:rsidR="00192354" w:rsidRPr="00F40574">
        <w:t xml:space="preserve">, as opposed to the usable sensitivity level in </w:t>
      </w:r>
      <w:r w:rsidR="009443FC">
        <w:br/>
      </w:r>
      <w:r w:rsidR="00192354" w:rsidRPr="00F40574">
        <w:t>RALI FX16</w:t>
      </w:r>
      <w:r w:rsidR="009443FC">
        <w:t>,</w:t>
      </w:r>
      <w:r w:rsidR="00192354" w:rsidRPr="00F40574">
        <w:t xml:space="preserve"> which is based on</w:t>
      </w:r>
      <w:r w:rsidR="00192354">
        <w:rPr>
          <w:rFonts w:cs="Arial"/>
        </w:rPr>
        <w:t xml:space="preserve"> the level of man-made noise typically encountered in city centres</w:t>
      </w:r>
      <w:r w:rsidR="00C11703" w:rsidRPr="00F40574">
        <w:t>.</w:t>
      </w:r>
      <w:r w:rsidR="00C11703" w:rsidRPr="006A58DF">
        <w:rPr>
          <w:vertAlign w:val="superscript"/>
        </w:rPr>
        <w:footnoteReference w:id="15"/>
      </w:r>
      <w:r w:rsidR="00C11703" w:rsidRPr="00F40574">
        <w:rPr>
          <w:rFonts w:cs="Arial"/>
          <w:vertAlign w:val="superscript"/>
        </w:rPr>
        <w:t xml:space="preserve"> </w:t>
      </w:r>
      <w:r w:rsidRPr="008268E3">
        <w:rPr>
          <w:rFonts w:cs="Arial"/>
        </w:rPr>
        <w:t xml:space="preserve">Table </w:t>
      </w:r>
      <w:r w:rsidR="008D6C0E">
        <w:rPr>
          <w:rFonts w:cs="Arial"/>
        </w:rPr>
        <w:t>4</w:t>
      </w:r>
      <w:r>
        <w:rPr>
          <w:rFonts w:cs="Arial"/>
        </w:rPr>
        <w:t xml:space="preserve"> summarises</w:t>
      </w:r>
      <w:r w:rsidRPr="008268E3">
        <w:rPr>
          <w:rFonts w:cs="Arial"/>
        </w:rPr>
        <w:t xml:space="preserve"> the</w:t>
      </w:r>
      <w:r w:rsidR="00587A79">
        <w:rPr>
          <w:rFonts w:cs="Arial"/>
        </w:rPr>
        <w:t xml:space="preserve"> required</w:t>
      </w:r>
      <w:r>
        <w:rPr>
          <w:rFonts w:cs="Arial"/>
        </w:rPr>
        <w:t xml:space="preserve"> receiver sensitivity and co-channel protection radio</w:t>
      </w:r>
      <w:r w:rsidR="00404EC8" w:rsidRPr="008268E3">
        <w:rPr>
          <w:rFonts w:cs="Arial"/>
        </w:rPr>
        <w:t xml:space="preserve"> values </w:t>
      </w:r>
      <w:r>
        <w:rPr>
          <w:rFonts w:cs="Arial"/>
        </w:rPr>
        <w:t xml:space="preserve">from </w:t>
      </w:r>
      <w:r w:rsidRPr="00ED4BAE">
        <w:rPr>
          <w:rFonts w:cs="Arial"/>
        </w:rPr>
        <w:t>ETSI EN 302 561 V2.1.1 (2016-03</w:t>
      </w:r>
      <w:r w:rsidR="00C11703">
        <w:rPr>
          <w:rFonts w:cs="Arial"/>
        </w:rPr>
        <w:t>)</w:t>
      </w:r>
      <w:r>
        <w:rPr>
          <w:rFonts w:cs="Arial"/>
        </w:rPr>
        <w:t xml:space="preserve"> </w:t>
      </w:r>
      <w:r w:rsidR="00404EC8" w:rsidRPr="008268E3">
        <w:rPr>
          <w:rFonts w:cs="Arial"/>
        </w:rPr>
        <w:t xml:space="preserve">applicable to </w:t>
      </w:r>
      <w:r w:rsidR="00932628">
        <w:rPr>
          <w:rFonts w:cs="Arial"/>
        </w:rPr>
        <w:t>P</w:t>
      </w:r>
      <w:r w:rsidR="00CD4040">
        <w:rPr>
          <w:rFonts w:cs="Arial"/>
        </w:rPr>
        <w:t>MP</w:t>
      </w:r>
      <w:r>
        <w:rPr>
          <w:rFonts w:cs="Arial"/>
        </w:rPr>
        <w:t xml:space="preserve"> base</w:t>
      </w:r>
      <w:r w:rsidRPr="008268E3">
        <w:rPr>
          <w:rFonts w:cs="Arial"/>
        </w:rPr>
        <w:t xml:space="preserve"> receivers </w:t>
      </w:r>
      <w:r w:rsidR="00404EC8" w:rsidRPr="008268E3">
        <w:rPr>
          <w:rFonts w:cs="Arial"/>
        </w:rPr>
        <w:t xml:space="preserve">operating in </w:t>
      </w:r>
      <w:r>
        <w:rPr>
          <w:rFonts w:cs="Arial"/>
        </w:rPr>
        <w:t xml:space="preserve">the </w:t>
      </w:r>
      <w:r w:rsidR="00404EC8" w:rsidRPr="008268E3">
        <w:rPr>
          <w:rFonts w:cs="Arial"/>
        </w:rPr>
        <w:t>800 MHz</w:t>
      </w:r>
      <w:r>
        <w:rPr>
          <w:rFonts w:cs="Arial"/>
        </w:rPr>
        <w:t xml:space="preserve"> band</w:t>
      </w:r>
      <w:r w:rsidR="00404EC8">
        <w:rPr>
          <w:rFonts w:cs="Arial"/>
        </w:rPr>
        <w:t xml:space="preserve">. </w:t>
      </w:r>
    </w:p>
    <w:p w14:paraId="02D32BBA" w14:textId="77777777" w:rsidR="00B93F42" w:rsidRPr="00444B89" w:rsidRDefault="00444B89" w:rsidP="006A58DF">
      <w:pPr>
        <w:pStyle w:val="Tableheading"/>
        <w:keepLines/>
      </w:pPr>
      <w:r>
        <w:t>Summary of t</w:t>
      </w:r>
      <w:r w:rsidR="00B93F42" w:rsidRPr="00444B89">
        <w:t>echnical requirements for</w:t>
      </w:r>
      <w:r>
        <w:t xml:space="preserve"> 800 MHz band</w:t>
      </w:r>
      <w:r w:rsidR="00B93F42" w:rsidRPr="00444B89">
        <w:t xml:space="preserve"> PMP receivers </w:t>
      </w:r>
      <w:r>
        <w:t>from ETSI EN 302 561 V2.1.1</w:t>
      </w:r>
    </w:p>
    <w:tbl>
      <w:tblPr>
        <w:tblStyle w:val="TableGrid0"/>
        <w:tblW w:w="9072" w:type="dxa"/>
        <w:tblInd w:w="-8" w:type="dxa"/>
        <w:tblCellMar>
          <w:top w:w="57" w:type="dxa"/>
          <w:left w:w="28" w:type="dxa"/>
          <w:bottom w:w="57" w:type="dxa"/>
          <w:right w:w="115" w:type="dxa"/>
        </w:tblCellMar>
        <w:tblLook w:val="04A0" w:firstRow="1" w:lastRow="0" w:firstColumn="1" w:lastColumn="0" w:noHBand="0" w:noVBand="1"/>
      </w:tblPr>
      <w:tblGrid>
        <w:gridCol w:w="1134"/>
        <w:gridCol w:w="2506"/>
        <w:gridCol w:w="1238"/>
        <w:gridCol w:w="1785"/>
        <w:gridCol w:w="2409"/>
      </w:tblGrid>
      <w:tr w:rsidR="009443FC" w:rsidRPr="009443FC" w14:paraId="0F52AA09" w14:textId="77777777" w:rsidTr="006A58DF">
        <w:trPr>
          <w:trHeight w:val="221"/>
        </w:trPr>
        <w:tc>
          <w:tcPr>
            <w:tcW w:w="1134"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Pr>
          <w:p w14:paraId="13EDAF0A" w14:textId="77777777" w:rsidR="000D2AF8" w:rsidRPr="006A58DF" w:rsidRDefault="000D2AF8" w:rsidP="006A58DF">
            <w:pPr>
              <w:keepNext/>
              <w:keepLines/>
              <w:spacing w:after="0" w:line="259" w:lineRule="auto"/>
              <w:ind w:left="89"/>
              <w:jc w:val="center"/>
              <w:rPr>
                <w:color w:val="FFFFFF" w:themeColor="background1"/>
                <w:szCs w:val="20"/>
              </w:rPr>
            </w:pPr>
            <w:r w:rsidRPr="006A58DF">
              <w:rPr>
                <w:rFonts w:eastAsia="Arial" w:cs="Arial"/>
                <w:b/>
                <w:color w:val="FFFFFF" w:themeColor="background1"/>
                <w:szCs w:val="20"/>
              </w:rPr>
              <w:t xml:space="preserve">Channel BW </w:t>
            </w:r>
          </w:p>
        </w:tc>
        <w:tc>
          <w:tcPr>
            <w:tcW w:w="2506"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Pr>
          <w:p w14:paraId="2060DAB7" w14:textId="7DE9A2AE" w:rsidR="000D2AF8" w:rsidRPr="006A58DF" w:rsidRDefault="000D2AF8" w:rsidP="006A58DF">
            <w:pPr>
              <w:keepNext/>
              <w:keepLines/>
              <w:spacing w:after="0" w:line="259" w:lineRule="auto"/>
              <w:ind w:left="89"/>
              <w:jc w:val="center"/>
              <w:rPr>
                <w:color w:val="FFFFFF" w:themeColor="background1"/>
                <w:szCs w:val="20"/>
              </w:rPr>
            </w:pPr>
            <w:r w:rsidRPr="006A58DF">
              <w:rPr>
                <w:rFonts w:eastAsia="Arial" w:cs="Arial"/>
                <w:b/>
                <w:color w:val="FFFFFF" w:themeColor="background1"/>
                <w:szCs w:val="20"/>
              </w:rPr>
              <w:t xml:space="preserve">Data </w:t>
            </w:r>
            <w:r w:rsidR="009443FC">
              <w:rPr>
                <w:rFonts w:eastAsia="Arial" w:cs="Arial"/>
                <w:b/>
                <w:color w:val="FFFFFF" w:themeColor="background1"/>
                <w:szCs w:val="20"/>
              </w:rPr>
              <w:t>r</w:t>
            </w:r>
            <w:r w:rsidRPr="006A58DF">
              <w:rPr>
                <w:rFonts w:eastAsia="Arial" w:cs="Arial"/>
                <w:b/>
                <w:color w:val="FFFFFF" w:themeColor="background1"/>
                <w:szCs w:val="20"/>
              </w:rPr>
              <w:t xml:space="preserve">ate </w:t>
            </w:r>
          </w:p>
        </w:tc>
        <w:tc>
          <w:tcPr>
            <w:tcW w:w="1238"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Pr>
          <w:p w14:paraId="3EB36E48" w14:textId="77777777" w:rsidR="000D2AF8" w:rsidRPr="006A58DF" w:rsidRDefault="000D2AF8" w:rsidP="006A58DF">
            <w:pPr>
              <w:keepNext/>
              <w:keepLines/>
              <w:spacing w:after="0" w:line="259" w:lineRule="auto"/>
              <w:ind w:left="94"/>
              <w:jc w:val="center"/>
              <w:rPr>
                <w:color w:val="FFFFFF" w:themeColor="background1"/>
                <w:szCs w:val="20"/>
              </w:rPr>
            </w:pPr>
            <w:r w:rsidRPr="006A58DF">
              <w:rPr>
                <w:rFonts w:eastAsia="Arial" w:cs="Arial"/>
                <w:b/>
                <w:color w:val="FFFFFF" w:themeColor="background1"/>
                <w:szCs w:val="20"/>
              </w:rPr>
              <w:t xml:space="preserve">Sensitivity </w:t>
            </w:r>
          </w:p>
        </w:tc>
        <w:tc>
          <w:tcPr>
            <w:tcW w:w="1785"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Pr>
          <w:p w14:paraId="049A84CB" w14:textId="0712F390" w:rsidR="000D2AF8" w:rsidRPr="006A58DF" w:rsidRDefault="000D2AF8" w:rsidP="006A58DF">
            <w:pPr>
              <w:keepNext/>
              <w:keepLines/>
              <w:spacing w:after="0" w:line="259" w:lineRule="auto"/>
              <w:ind w:left="94"/>
              <w:jc w:val="center"/>
              <w:rPr>
                <w:rFonts w:eastAsia="Arial" w:cs="Arial"/>
                <w:b/>
                <w:color w:val="FFFFFF" w:themeColor="background1"/>
                <w:szCs w:val="20"/>
              </w:rPr>
            </w:pPr>
            <w:r w:rsidRPr="006A58DF">
              <w:rPr>
                <w:rFonts w:eastAsia="Arial" w:cs="Arial"/>
                <w:b/>
                <w:color w:val="FFFFFF" w:themeColor="background1"/>
                <w:szCs w:val="20"/>
              </w:rPr>
              <w:t xml:space="preserve">Protection </w:t>
            </w:r>
            <w:r w:rsidR="009443FC">
              <w:rPr>
                <w:rFonts w:eastAsia="Arial" w:cs="Arial"/>
                <w:b/>
                <w:color w:val="FFFFFF" w:themeColor="background1"/>
                <w:szCs w:val="20"/>
              </w:rPr>
              <w:t>r</w:t>
            </w:r>
            <w:r w:rsidRPr="006A58DF">
              <w:rPr>
                <w:rFonts w:eastAsia="Arial" w:cs="Arial"/>
                <w:b/>
                <w:color w:val="FFFFFF" w:themeColor="background1"/>
                <w:szCs w:val="20"/>
              </w:rPr>
              <w:t>atio</w:t>
            </w:r>
          </w:p>
        </w:tc>
        <w:tc>
          <w:tcPr>
            <w:tcW w:w="2409"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Pr>
          <w:p w14:paraId="36E521E9" w14:textId="3C787C80" w:rsidR="000D2AF8" w:rsidRPr="006A58DF" w:rsidRDefault="000D2AF8" w:rsidP="006A58DF">
            <w:pPr>
              <w:keepNext/>
              <w:keepLines/>
              <w:spacing w:after="0" w:line="259" w:lineRule="auto"/>
              <w:ind w:left="94"/>
              <w:jc w:val="center"/>
              <w:rPr>
                <w:rFonts w:eastAsia="Arial" w:cs="Arial"/>
                <w:b/>
                <w:color w:val="FFFFFF" w:themeColor="background1"/>
                <w:szCs w:val="20"/>
              </w:rPr>
            </w:pPr>
            <w:r w:rsidRPr="006A58DF">
              <w:rPr>
                <w:rFonts w:eastAsia="Arial" w:cs="Arial"/>
                <w:b/>
                <w:color w:val="FFFFFF" w:themeColor="background1"/>
                <w:szCs w:val="20"/>
              </w:rPr>
              <w:t xml:space="preserve">Maximum </w:t>
            </w:r>
            <w:r w:rsidR="009443FC">
              <w:rPr>
                <w:rFonts w:eastAsia="Arial" w:cs="Arial"/>
                <w:b/>
                <w:color w:val="FFFFFF" w:themeColor="background1"/>
                <w:szCs w:val="20"/>
              </w:rPr>
              <w:t>i</w:t>
            </w:r>
            <w:r w:rsidRPr="006A58DF">
              <w:rPr>
                <w:rFonts w:eastAsia="Arial" w:cs="Arial"/>
                <w:b/>
                <w:color w:val="FFFFFF" w:themeColor="background1"/>
                <w:szCs w:val="20"/>
              </w:rPr>
              <w:t xml:space="preserve">nterference </w:t>
            </w:r>
            <w:r w:rsidR="009443FC">
              <w:rPr>
                <w:rFonts w:eastAsia="Arial" w:cs="Arial"/>
                <w:b/>
                <w:color w:val="FFFFFF" w:themeColor="background1"/>
                <w:szCs w:val="20"/>
              </w:rPr>
              <w:t>s</w:t>
            </w:r>
            <w:r w:rsidRPr="006A58DF">
              <w:rPr>
                <w:rFonts w:eastAsia="Arial" w:cs="Arial"/>
                <w:b/>
                <w:color w:val="FFFFFF" w:themeColor="background1"/>
                <w:szCs w:val="20"/>
              </w:rPr>
              <w:t xml:space="preserve">ignal </w:t>
            </w:r>
            <w:r w:rsidR="009443FC">
              <w:rPr>
                <w:rFonts w:eastAsia="Arial" w:cs="Arial"/>
                <w:b/>
                <w:color w:val="FFFFFF" w:themeColor="background1"/>
                <w:szCs w:val="20"/>
              </w:rPr>
              <w:t>l</w:t>
            </w:r>
            <w:r w:rsidRPr="006A58DF">
              <w:rPr>
                <w:rFonts w:eastAsia="Arial" w:cs="Arial"/>
                <w:b/>
                <w:color w:val="FFFFFF" w:themeColor="background1"/>
                <w:szCs w:val="20"/>
              </w:rPr>
              <w:t>evel</w:t>
            </w:r>
            <w:r w:rsidR="00075ADB" w:rsidRPr="006A58DF">
              <w:rPr>
                <w:rFonts w:eastAsia="Arial" w:cs="Arial"/>
                <w:b/>
                <w:color w:val="FFFFFF" w:themeColor="background1"/>
                <w:szCs w:val="20"/>
              </w:rPr>
              <w:t xml:space="preserve"> @Rx</w:t>
            </w:r>
          </w:p>
        </w:tc>
      </w:tr>
      <w:tr w:rsidR="000D2AF8" w14:paraId="7DFF6D91" w14:textId="77777777" w:rsidTr="006A58DF">
        <w:trPr>
          <w:trHeight w:val="223"/>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151CC32" w14:textId="77777777" w:rsidR="000D2AF8" w:rsidRPr="00B93F42" w:rsidRDefault="000D2AF8" w:rsidP="006A58DF">
            <w:pPr>
              <w:pStyle w:val="TableBody"/>
              <w:keepNext/>
              <w:keepLines/>
            </w:pPr>
            <w:r w:rsidRPr="00B93F42">
              <w:t xml:space="preserve"> </w:t>
            </w:r>
          </w:p>
          <w:p w14:paraId="6A138B74" w14:textId="77777777" w:rsidR="000D2AF8" w:rsidRPr="00B93F42" w:rsidRDefault="000D2AF8" w:rsidP="006A58DF">
            <w:pPr>
              <w:pStyle w:val="TableBody"/>
              <w:keepNext/>
              <w:keepLines/>
            </w:pPr>
            <w:r w:rsidRPr="00B93F42">
              <w:t xml:space="preserve">25 kHz </w:t>
            </w:r>
          </w:p>
          <w:p w14:paraId="0AD9D38F" w14:textId="77777777" w:rsidR="000D2AF8" w:rsidRPr="00B93F42" w:rsidRDefault="000D2AF8" w:rsidP="006A58DF">
            <w:pPr>
              <w:pStyle w:val="TableBody"/>
              <w:keepNext/>
              <w:keepLines/>
            </w:pPr>
            <w:r w:rsidRPr="00B93F42">
              <w:t xml:space="preserve"> </w:t>
            </w:r>
          </w:p>
          <w:p w14:paraId="6195D66F" w14:textId="77777777" w:rsidR="000D2AF8" w:rsidRPr="00B93F42" w:rsidRDefault="000D2AF8" w:rsidP="006A58DF">
            <w:pPr>
              <w:pStyle w:val="TableBody"/>
              <w:keepNext/>
              <w:keepLines/>
            </w:pPr>
            <w:r w:rsidRPr="00B93F42">
              <w:t xml:space="preserve"> </w:t>
            </w: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4C505716" w14:textId="1771553B" w:rsidR="000D2AF8" w:rsidRPr="00B93F42" w:rsidRDefault="000D2AF8" w:rsidP="006A58DF">
            <w:pPr>
              <w:pStyle w:val="TableBody"/>
              <w:keepNext/>
              <w:keepLines/>
            </w:pPr>
            <w:r w:rsidRPr="00B93F42">
              <w:t>38</w:t>
            </w:r>
            <w:r w:rsidR="00441B60">
              <w:t>.</w:t>
            </w:r>
            <w:r w:rsidRPr="00B93F42">
              <w:t xml:space="preserve">4 kbit/s or less </w:t>
            </w:r>
          </w:p>
        </w:tc>
        <w:tc>
          <w:tcPr>
            <w:tcW w:w="1238" w:type="dxa"/>
            <w:tcBorders>
              <w:top w:val="single" w:sz="6" w:space="0" w:color="000000"/>
              <w:left w:val="single" w:sz="6" w:space="0" w:color="000000"/>
              <w:bottom w:val="single" w:sz="6" w:space="0" w:color="000000"/>
              <w:right w:val="single" w:sz="6" w:space="0" w:color="000000"/>
            </w:tcBorders>
            <w:shd w:val="clear" w:color="auto" w:fill="auto"/>
          </w:tcPr>
          <w:p w14:paraId="4129BD03" w14:textId="77777777" w:rsidR="000D2AF8" w:rsidRPr="00B93F42" w:rsidRDefault="000D2AF8" w:rsidP="006A58DF">
            <w:pPr>
              <w:pStyle w:val="TableBody"/>
              <w:keepNext/>
              <w:keepLines/>
            </w:pPr>
            <w:r w:rsidRPr="00B93F42">
              <w:t xml:space="preserve">-111 dBm </w:t>
            </w:r>
          </w:p>
        </w:tc>
        <w:tc>
          <w:tcPr>
            <w:tcW w:w="1785" w:type="dxa"/>
            <w:tcBorders>
              <w:top w:val="single" w:sz="6" w:space="0" w:color="000000"/>
              <w:left w:val="single" w:sz="6" w:space="0" w:color="000000"/>
              <w:bottom w:val="single" w:sz="6" w:space="0" w:color="000000"/>
              <w:right w:val="single" w:sz="6" w:space="0" w:color="000000"/>
            </w:tcBorders>
            <w:shd w:val="clear" w:color="auto" w:fill="auto"/>
          </w:tcPr>
          <w:p w14:paraId="7944E3A5" w14:textId="77777777" w:rsidR="000D2AF8" w:rsidRPr="00B93F42" w:rsidRDefault="000D2AF8" w:rsidP="006A58DF">
            <w:pPr>
              <w:pStyle w:val="TableBody"/>
              <w:keepNext/>
              <w:keepLines/>
            </w:pPr>
            <w:r w:rsidRPr="00B93F42">
              <w:t>12 dB</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62DE1CB0" w14:textId="77777777" w:rsidR="000D2AF8" w:rsidRPr="00B93F42" w:rsidRDefault="000D2AF8" w:rsidP="006A58DF">
            <w:pPr>
              <w:pStyle w:val="TableBody"/>
              <w:keepNext/>
              <w:keepLines/>
            </w:pPr>
            <w:r w:rsidRPr="00B93F42">
              <w:t>-123 dBm</w:t>
            </w:r>
          </w:p>
        </w:tc>
      </w:tr>
      <w:tr w:rsidR="000D2AF8" w14:paraId="5B153B43" w14:textId="77777777" w:rsidTr="006A58DF">
        <w:trPr>
          <w:trHeight w:val="221"/>
        </w:trPr>
        <w:tc>
          <w:tcPr>
            <w:tcW w:w="1134" w:type="dxa"/>
            <w:vMerge/>
            <w:tcBorders>
              <w:top w:val="nil"/>
              <w:left w:val="single" w:sz="6" w:space="0" w:color="000000"/>
              <w:bottom w:val="nil"/>
              <w:right w:val="single" w:sz="6" w:space="0" w:color="000000"/>
            </w:tcBorders>
            <w:shd w:val="clear" w:color="auto" w:fill="auto"/>
          </w:tcPr>
          <w:p w14:paraId="4B1B4784" w14:textId="77777777" w:rsidR="000D2AF8" w:rsidRPr="00B93F42" w:rsidRDefault="000D2AF8" w:rsidP="006A58DF">
            <w:pPr>
              <w:pStyle w:val="TableBody"/>
              <w:keepNext/>
              <w:keepLines/>
            </w:pPr>
          </w:p>
        </w:tc>
        <w:tc>
          <w:tcPr>
            <w:tcW w:w="2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09365E5" w14:textId="2799C903" w:rsidR="000D2AF8" w:rsidRPr="00B93F42" w:rsidRDefault="000D2AF8" w:rsidP="006A58DF">
            <w:pPr>
              <w:pStyle w:val="TableBody"/>
              <w:keepNext/>
              <w:keepLines/>
            </w:pPr>
            <w:r w:rsidRPr="00B93F42">
              <w:t>38</w:t>
            </w:r>
            <w:r w:rsidR="00441B60">
              <w:t>.</w:t>
            </w:r>
            <w:r w:rsidRPr="00B93F42">
              <w:t>5 kbits to 76</w:t>
            </w:r>
            <w:r w:rsidR="00441B60">
              <w:t>.</w:t>
            </w:r>
            <w:r w:rsidRPr="00B93F42">
              <w:t xml:space="preserve">8 kbit/s </w:t>
            </w:r>
          </w:p>
        </w:tc>
        <w:tc>
          <w:tcPr>
            <w:tcW w:w="123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1B90550" w14:textId="77777777" w:rsidR="000D2AF8" w:rsidRPr="00B93F42" w:rsidRDefault="000D2AF8" w:rsidP="006A58DF">
            <w:pPr>
              <w:pStyle w:val="TableBody"/>
              <w:keepNext/>
              <w:keepLines/>
            </w:pPr>
            <w:r w:rsidRPr="00B93F42">
              <w:t xml:space="preserve">-104 dBm </w:t>
            </w:r>
          </w:p>
        </w:tc>
        <w:tc>
          <w:tcPr>
            <w:tcW w:w="17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20DC979" w14:textId="77777777" w:rsidR="000D2AF8" w:rsidRPr="00B93F42" w:rsidRDefault="000D2AF8" w:rsidP="006A58DF">
            <w:pPr>
              <w:pStyle w:val="TableBody"/>
              <w:keepNext/>
              <w:keepLines/>
            </w:pPr>
            <w:r w:rsidRPr="00B93F42">
              <w:t>19 dB</w:t>
            </w:r>
          </w:p>
        </w:tc>
        <w:tc>
          <w:tcPr>
            <w:tcW w:w="24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5F6E0A7" w14:textId="77777777" w:rsidR="000D2AF8" w:rsidRPr="00B93F42" w:rsidRDefault="000D2AF8" w:rsidP="006A58DF">
            <w:pPr>
              <w:pStyle w:val="TableBody"/>
              <w:keepNext/>
              <w:keepLines/>
            </w:pPr>
            <w:r w:rsidRPr="00B93F42">
              <w:t>-123 dBm</w:t>
            </w:r>
          </w:p>
        </w:tc>
      </w:tr>
      <w:tr w:rsidR="000D2AF8" w14:paraId="492D6A21" w14:textId="77777777" w:rsidTr="006A58DF">
        <w:trPr>
          <w:trHeight w:val="213"/>
        </w:trPr>
        <w:tc>
          <w:tcPr>
            <w:tcW w:w="1134" w:type="dxa"/>
            <w:vMerge/>
            <w:tcBorders>
              <w:top w:val="nil"/>
              <w:left w:val="single" w:sz="6" w:space="0" w:color="000000"/>
              <w:bottom w:val="single" w:sz="4" w:space="0" w:color="auto"/>
              <w:right w:val="single" w:sz="6" w:space="0" w:color="000000"/>
            </w:tcBorders>
            <w:shd w:val="clear" w:color="auto" w:fill="auto"/>
          </w:tcPr>
          <w:p w14:paraId="588F55F3" w14:textId="77777777" w:rsidR="000D2AF8" w:rsidRPr="00B93F42" w:rsidRDefault="000D2AF8" w:rsidP="006A58DF">
            <w:pPr>
              <w:pStyle w:val="TableBody"/>
              <w:keepNext/>
              <w:keepLines/>
            </w:pPr>
          </w:p>
        </w:tc>
        <w:tc>
          <w:tcPr>
            <w:tcW w:w="2506" w:type="dxa"/>
            <w:tcBorders>
              <w:top w:val="single" w:sz="6" w:space="0" w:color="000000"/>
              <w:left w:val="single" w:sz="6" w:space="0" w:color="000000"/>
              <w:bottom w:val="single" w:sz="4" w:space="0" w:color="auto"/>
              <w:right w:val="single" w:sz="6" w:space="0" w:color="000000"/>
            </w:tcBorders>
          </w:tcPr>
          <w:p w14:paraId="0DE1389A" w14:textId="51C1335B" w:rsidR="000D2AF8" w:rsidRPr="00B93F42" w:rsidRDefault="000D2AF8" w:rsidP="006A58DF">
            <w:pPr>
              <w:pStyle w:val="TableBody"/>
              <w:keepNext/>
              <w:keepLines/>
            </w:pPr>
            <w:r w:rsidRPr="00B93F42">
              <w:t>Greater than 76</w:t>
            </w:r>
            <w:r w:rsidR="00441B60">
              <w:t>.</w:t>
            </w:r>
            <w:r w:rsidRPr="00B93F42">
              <w:t xml:space="preserve">8 kbit/s </w:t>
            </w:r>
          </w:p>
        </w:tc>
        <w:tc>
          <w:tcPr>
            <w:tcW w:w="1238" w:type="dxa"/>
            <w:tcBorders>
              <w:top w:val="single" w:sz="6" w:space="0" w:color="000000"/>
              <w:left w:val="single" w:sz="6" w:space="0" w:color="000000"/>
              <w:bottom w:val="single" w:sz="6" w:space="0" w:color="000000"/>
              <w:right w:val="single" w:sz="6" w:space="0" w:color="000000"/>
            </w:tcBorders>
          </w:tcPr>
          <w:p w14:paraId="14451FF3" w14:textId="4C905D93" w:rsidR="000D2AF8" w:rsidRPr="00B93F42" w:rsidRDefault="000D2AF8" w:rsidP="006A58DF">
            <w:pPr>
              <w:pStyle w:val="TableBody"/>
              <w:keepNext/>
              <w:keepLines/>
            </w:pPr>
            <w:r w:rsidRPr="00B93F42">
              <w:t>-99 dBm</w:t>
            </w:r>
          </w:p>
        </w:tc>
        <w:tc>
          <w:tcPr>
            <w:tcW w:w="1785" w:type="dxa"/>
            <w:tcBorders>
              <w:top w:val="single" w:sz="6" w:space="0" w:color="000000"/>
              <w:left w:val="single" w:sz="6" w:space="0" w:color="000000"/>
              <w:bottom w:val="single" w:sz="6" w:space="0" w:color="000000"/>
              <w:right w:val="single" w:sz="6" w:space="0" w:color="000000"/>
            </w:tcBorders>
          </w:tcPr>
          <w:p w14:paraId="3AE76300" w14:textId="77777777" w:rsidR="000D2AF8" w:rsidRPr="00B93F42" w:rsidRDefault="000D2AF8" w:rsidP="006A58DF">
            <w:pPr>
              <w:pStyle w:val="TableBody"/>
              <w:keepNext/>
              <w:keepLines/>
            </w:pPr>
            <w:r w:rsidRPr="00B93F42">
              <w:t>24 dB</w:t>
            </w:r>
          </w:p>
        </w:tc>
        <w:tc>
          <w:tcPr>
            <w:tcW w:w="2409" w:type="dxa"/>
            <w:tcBorders>
              <w:top w:val="single" w:sz="6" w:space="0" w:color="000000"/>
              <w:left w:val="single" w:sz="6" w:space="0" w:color="000000"/>
              <w:bottom w:val="single" w:sz="6" w:space="0" w:color="000000"/>
              <w:right w:val="single" w:sz="6" w:space="0" w:color="000000"/>
            </w:tcBorders>
          </w:tcPr>
          <w:p w14:paraId="59CDD9E7" w14:textId="77777777" w:rsidR="000D2AF8" w:rsidRPr="00B93F42" w:rsidRDefault="000D2AF8" w:rsidP="006A58DF">
            <w:pPr>
              <w:pStyle w:val="TableBody"/>
              <w:keepNext/>
              <w:keepLines/>
            </w:pPr>
            <w:r w:rsidRPr="00B93F42">
              <w:t>-123 dBm</w:t>
            </w:r>
          </w:p>
        </w:tc>
      </w:tr>
    </w:tbl>
    <w:p w14:paraId="6A9B4315" w14:textId="3AA45E9D" w:rsidR="00760B4E" w:rsidRPr="00444B89" w:rsidRDefault="00760B4E" w:rsidP="006A58DF">
      <w:pPr>
        <w:pStyle w:val="Paragraphbeforelist"/>
        <w:spacing w:before="240"/>
        <w:rPr>
          <w:noProof/>
        </w:rPr>
      </w:pPr>
      <w:bookmarkStart w:id="26" w:name="_Hlk132098252"/>
      <w:r>
        <w:t>We propose that the re</w:t>
      </w:r>
      <w:r w:rsidR="00001479">
        <w:t>vised</w:t>
      </w:r>
      <w:r>
        <w:t xml:space="preserve"> PMP criteria </w:t>
      </w:r>
      <w:r w:rsidR="00F35985">
        <w:t>be based on</w:t>
      </w:r>
      <w:r>
        <w:t xml:space="preserve"> a r</w:t>
      </w:r>
      <w:r w:rsidRPr="00E27B42">
        <w:t xml:space="preserve">eceiver </w:t>
      </w:r>
      <w:r>
        <w:t>se</w:t>
      </w:r>
      <w:r w:rsidRPr="00E27B42">
        <w:t xml:space="preserve">nsitivity </w:t>
      </w:r>
      <w:r>
        <w:t>of</w:t>
      </w:r>
      <w:r w:rsidRPr="00E27B42">
        <w:t xml:space="preserve"> </w:t>
      </w:r>
      <w:r w:rsidR="00917E31">
        <w:br/>
      </w:r>
      <w:r w:rsidRPr="00E27B42">
        <w:t>-</w:t>
      </w:r>
      <w:r>
        <w:t xml:space="preserve">111 </w:t>
      </w:r>
      <w:r w:rsidRPr="00E27B42">
        <w:t xml:space="preserve">dBm </w:t>
      </w:r>
      <w:r>
        <w:t xml:space="preserve">with a 12 dB protection ratio, based on the lowest sensitivity requirement in </w:t>
      </w:r>
      <w:r w:rsidR="005C2E41">
        <w:br/>
      </w:r>
      <w:r>
        <w:t xml:space="preserve">Table </w:t>
      </w:r>
      <w:r w:rsidR="008D6C0E">
        <w:t>4</w:t>
      </w:r>
      <w:r>
        <w:t xml:space="preserve">. This would </w:t>
      </w:r>
      <w:r w:rsidR="00F35985">
        <w:t xml:space="preserve">result in </w:t>
      </w:r>
      <w:r>
        <w:t xml:space="preserve">a 6 dB increase in permitted interference at the receiver, </w:t>
      </w:r>
      <w:r w:rsidR="005C2E41">
        <w:br/>
      </w:r>
      <w:r>
        <w:t>-123 dBm instead of -129 dBm.</w:t>
      </w:r>
      <w:r>
        <w:rPr>
          <w:rStyle w:val="FootnoteReference"/>
        </w:rPr>
        <w:footnoteReference w:id="16"/>
      </w:r>
      <w:r>
        <w:t xml:space="preserve"> </w:t>
      </w:r>
      <w:r>
        <w:rPr>
          <w:noProof/>
        </w:rPr>
        <w:t xml:space="preserve">Using the values in </w:t>
      </w:r>
      <w:r w:rsidRPr="00444B89">
        <w:rPr>
          <w:noProof/>
        </w:rPr>
        <w:t>Table 1, the prop</w:t>
      </w:r>
      <w:r>
        <w:rPr>
          <w:noProof/>
        </w:rPr>
        <w:t>os</w:t>
      </w:r>
      <w:r w:rsidRPr="00444B89">
        <w:rPr>
          <w:noProof/>
        </w:rPr>
        <w:t>ed re</w:t>
      </w:r>
      <w:r w:rsidR="00001479">
        <w:rPr>
          <w:noProof/>
        </w:rPr>
        <w:t>vised</w:t>
      </w:r>
      <w:r w:rsidRPr="00444B89">
        <w:rPr>
          <w:noProof/>
        </w:rPr>
        <w:t xml:space="preserve"> criteria </w:t>
      </w:r>
      <w:r>
        <w:rPr>
          <w:noProof/>
        </w:rPr>
        <w:t xml:space="preserve">would reduce the notional </w:t>
      </w:r>
      <w:r w:rsidRPr="00444B89">
        <w:rPr>
          <w:noProof/>
        </w:rPr>
        <w:t>sep</w:t>
      </w:r>
      <w:r>
        <w:rPr>
          <w:noProof/>
        </w:rPr>
        <w:t>a</w:t>
      </w:r>
      <w:r w:rsidRPr="00444B89">
        <w:rPr>
          <w:noProof/>
        </w:rPr>
        <w:t xml:space="preserve">ration distance </w:t>
      </w:r>
      <w:r>
        <w:rPr>
          <w:noProof/>
        </w:rPr>
        <w:t>as follows</w:t>
      </w:r>
      <w:r w:rsidRPr="00444B89">
        <w:rPr>
          <w:noProof/>
        </w:rPr>
        <w:t>:</w:t>
      </w:r>
    </w:p>
    <w:p w14:paraId="61695F3C" w14:textId="0AC1F6F4" w:rsidR="00760B4E" w:rsidRPr="00444B89" w:rsidRDefault="00760B4E" w:rsidP="00760B4E">
      <w:pPr>
        <w:pStyle w:val="Bulletlevel1"/>
      </w:pPr>
      <w:bookmarkStart w:id="27" w:name="_Hlk132098375"/>
      <w:r w:rsidRPr="00444B89">
        <w:rPr>
          <w:noProof/>
        </w:rPr>
        <w:t>60</w:t>
      </w:r>
      <w:r w:rsidR="00A62DFC">
        <w:rPr>
          <w:noProof/>
        </w:rPr>
        <w:t xml:space="preserve"> </w:t>
      </w:r>
      <w:r w:rsidRPr="00444B89">
        <w:rPr>
          <w:noProof/>
        </w:rPr>
        <w:t>km would be reduced to 30 km, for a</w:t>
      </w:r>
      <w:r w:rsidR="00DD64D1">
        <w:rPr>
          <w:noProof/>
        </w:rPr>
        <w:t>n</w:t>
      </w:r>
      <w:r w:rsidRPr="00444B89">
        <w:rPr>
          <w:noProof/>
        </w:rPr>
        <w:t xml:space="preserve"> unwanted emis</w:t>
      </w:r>
      <w:r w:rsidR="00CD4040">
        <w:rPr>
          <w:noProof/>
        </w:rPr>
        <w:t>s</w:t>
      </w:r>
      <w:r w:rsidRPr="00444B89">
        <w:rPr>
          <w:noProof/>
        </w:rPr>
        <w:t>ion level of 15 dBm/MHz</w:t>
      </w:r>
    </w:p>
    <w:p w14:paraId="22775C23" w14:textId="62E8D99A" w:rsidR="00760B4E" w:rsidRDefault="00A62DFC" w:rsidP="00760B4E">
      <w:pPr>
        <w:pStyle w:val="Bulletlevel1last"/>
      </w:pPr>
      <w:r>
        <w:rPr>
          <w:noProof/>
        </w:rPr>
        <w:t xml:space="preserve">5.4 </w:t>
      </w:r>
      <w:r w:rsidR="00760B4E" w:rsidRPr="00444B89">
        <w:rPr>
          <w:noProof/>
        </w:rPr>
        <w:t>km</w:t>
      </w:r>
      <w:r w:rsidR="00760B4E">
        <w:rPr>
          <w:noProof/>
        </w:rPr>
        <w:t xml:space="preserve"> </w:t>
      </w:r>
      <w:r w:rsidR="00760B4E" w:rsidRPr="00444B89">
        <w:rPr>
          <w:noProof/>
        </w:rPr>
        <w:t xml:space="preserve">would be reduced to </w:t>
      </w:r>
      <w:r>
        <w:rPr>
          <w:noProof/>
        </w:rPr>
        <w:t>2.7</w:t>
      </w:r>
      <w:r w:rsidR="00760B4E" w:rsidRPr="00444B89">
        <w:rPr>
          <w:noProof/>
        </w:rPr>
        <w:t xml:space="preserve"> km, for a</w:t>
      </w:r>
      <w:r w:rsidR="00DD64D1">
        <w:rPr>
          <w:noProof/>
        </w:rPr>
        <w:t>n</w:t>
      </w:r>
      <w:r w:rsidR="00760B4E" w:rsidRPr="00444B89">
        <w:rPr>
          <w:noProof/>
        </w:rPr>
        <w:t xml:space="preserve"> unwanted emi</w:t>
      </w:r>
      <w:r w:rsidR="00CD4040">
        <w:rPr>
          <w:noProof/>
        </w:rPr>
        <w:t>s</w:t>
      </w:r>
      <w:r w:rsidR="00760B4E" w:rsidRPr="00444B89">
        <w:rPr>
          <w:noProof/>
        </w:rPr>
        <w:t xml:space="preserve">sion level of </w:t>
      </w:r>
      <w:r w:rsidR="00917E31">
        <w:rPr>
          <w:noProof/>
        </w:rPr>
        <w:br/>
      </w:r>
      <w:r w:rsidR="00760B4E" w:rsidRPr="00444B89">
        <w:rPr>
          <w:noProof/>
        </w:rPr>
        <w:t>-</w:t>
      </w:r>
      <w:r>
        <w:rPr>
          <w:noProof/>
        </w:rPr>
        <w:t>6</w:t>
      </w:r>
      <w:r w:rsidR="00760B4E" w:rsidRPr="00444B89">
        <w:rPr>
          <w:noProof/>
        </w:rPr>
        <w:t xml:space="preserve"> dBm/MHz</w:t>
      </w:r>
      <w:bookmarkEnd w:id="26"/>
      <w:bookmarkEnd w:id="27"/>
      <w:r w:rsidR="00760B4E" w:rsidRPr="00444B89">
        <w:rPr>
          <w:noProof/>
        </w:rPr>
        <w:t>.</w:t>
      </w:r>
    </w:p>
    <w:p w14:paraId="6EF79CEA" w14:textId="64C058BE" w:rsidR="0021471F" w:rsidRDefault="008D6C0E" w:rsidP="005C0652">
      <w:pPr>
        <w:rPr>
          <w:noProof/>
        </w:rPr>
      </w:pPr>
      <w:r>
        <w:rPr>
          <w:noProof/>
        </w:rPr>
        <w:t xml:space="preserve">The </w:t>
      </w:r>
      <w:r w:rsidR="006557B4">
        <w:rPr>
          <w:noProof/>
        </w:rPr>
        <w:t>reduced</w:t>
      </w:r>
      <w:r>
        <w:rPr>
          <w:noProof/>
        </w:rPr>
        <w:t xml:space="preserve"> receiver sensitivity level of -111 dBm (from the existing level of </w:t>
      </w:r>
      <w:r w:rsidR="005C2E41">
        <w:rPr>
          <w:noProof/>
        </w:rPr>
        <w:br/>
      </w:r>
      <w:r>
        <w:rPr>
          <w:noProof/>
        </w:rPr>
        <w:t xml:space="preserve">-119 dBm) </w:t>
      </w:r>
      <w:r w:rsidR="00A10C80">
        <w:rPr>
          <w:noProof/>
        </w:rPr>
        <w:t xml:space="preserve">may result in a </w:t>
      </w:r>
      <w:r w:rsidR="00DE288D">
        <w:rPr>
          <w:noProof/>
        </w:rPr>
        <w:t xml:space="preserve">smaller </w:t>
      </w:r>
      <w:r>
        <w:rPr>
          <w:noProof/>
        </w:rPr>
        <w:t>service area for PMP systems.</w:t>
      </w:r>
      <w:r w:rsidR="007260C2">
        <w:rPr>
          <w:noProof/>
        </w:rPr>
        <w:t xml:space="preserve"> </w:t>
      </w:r>
    </w:p>
    <w:p w14:paraId="25A32FFC" w14:textId="2DD32177" w:rsidR="005C0652" w:rsidRPr="00965161" w:rsidRDefault="00ED0330" w:rsidP="005C0652">
      <w:r>
        <w:rPr>
          <w:noProof/>
        </w:rPr>
        <w:t xml:space="preserve">Table 5 shows </w:t>
      </w:r>
      <w:r w:rsidR="00DF5FDD">
        <w:rPr>
          <w:noProof/>
        </w:rPr>
        <w:t>calculated</w:t>
      </w:r>
      <w:r>
        <w:rPr>
          <w:noProof/>
        </w:rPr>
        <w:t xml:space="preserve"> service area</w:t>
      </w:r>
      <w:r w:rsidR="00A01005">
        <w:rPr>
          <w:noProof/>
        </w:rPr>
        <w:t xml:space="preserve"> radii</w:t>
      </w:r>
      <w:r>
        <w:rPr>
          <w:noProof/>
        </w:rPr>
        <w:t xml:space="preserve"> for PMP systems</w:t>
      </w:r>
      <w:r w:rsidR="002D489C">
        <w:rPr>
          <w:noProof/>
        </w:rPr>
        <w:t>,</w:t>
      </w:r>
      <w:r>
        <w:rPr>
          <w:noProof/>
        </w:rPr>
        <w:t xml:space="preserve"> assuming </w:t>
      </w:r>
      <w:r w:rsidR="00CD4040">
        <w:rPr>
          <w:noProof/>
        </w:rPr>
        <w:t>the proposed</w:t>
      </w:r>
      <w:r>
        <w:rPr>
          <w:noProof/>
        </w:rPr>
        <w:t xml:space="preserve"> receiver sensitivity of -111 dBm and </w:t>
      </w:r>
      <w:r w:rsidR="007260C2">
        <w:rPr>
          <w:noProof/>
        </w:rPr>
        <w:t>u</w:t>
      </w:r>
      <w:r w:rsidR="008D6C0E">
        <w:rPr>
          <w:noProof/>
        </w:rPr>
        <w:t xml:space="preserve">sing the notional remote station parameters in RALI FX16 and the </w:t>
      </w:r>
      <w:r>
        <w:rPr>
          <w:noProof/>
        </w:rPr>
        <w:t>smooth earth propagation model.</w:t>
      </w:r>
      <w:r w:rsidR="002D489C">
        <w:rPr>
          <w:noProof/>
        </w:rPr>
        <w:t xml:space="preserve"> </w:t>
      </w:r>
      <w:r w:rsidR="0021471F">
        <w:rPr>
          <w:noProof/>
        </w:rPr>
        <w:t>T</w:t>
      </w:r>
      <w:r w:rsidR="007260C2">
        <w:rPr>
          <w:noProof/>
        </w:rPr>
        <w:t xml:space="preserve">he </w:t>
      </w:r>
      <w:r w:rsidR="00DF5FDD">
        <w:rPr>
          <w:noProof/>
        </w:rPr>
        <w:t xml:space="preserve">calculated </w:t>
      </w:r>
      <w:r w:rsidR="007260C2">
        <w:rPr>
          <w:noProof/>
        </w:rPr>
        <w:t>service area</w:t>
      </w:r>
      <w:r w:rsidR="00F55078">
        <w:rPr>
          <w:noProof/>
        </w:rPr>
        <w:t xml:space="preserve"> radii</w:t>
      </w:r>
      <w:r w:rsidR="007260C2">
        <w:rPr>
          <w:noProof/>
        </w:rPr>
        <w:t xml:space="preserve"> for both high and lower-powered PMP systems will exceed the </w:t>
      </w:r>
      <w:r w:rsidR="00A22EA1">
        <w:rPr>
          <w:noProof/>
        </w:rPr>
        <w:t>service areas</w:t>
      </w:r>
      <w:r w:rsidR="00F55078">
        <w:rPr>
          <w:noProof/>
        </w:rPr>
        <w:t xml:space="preserve"> radii</w:t>
      </w:r>
      <w:r w:rsidR="007260C2">
        <w:rPr>
          <w:noProof/>
        </w:rPr>
        <w:t xml:space="preserve"> </w:t>
      </w:r>
      <w:r w:rsidR="002C4E9F">
        <w:rPr>
          <w:noProof/>
        </w:rPr>
        <w:t xml:space="preserve">permitted </w:t>
      </w:r>
      <w:r w:rsidR="007260C2">
        <w:rPr>
          <w:noProof/>
        </w:rPr>
        <w:t>in FX16 of 30 km and 2 km respectively. As such, the impact of the propo</w:t>
      </w:r>
      <w:r w:rsidR="002C4E9F">
        <w:rPr>
          <w:noProof/>
        </w:rPr>
        <w:t>s</w:t>
      </w:r>
      <w:r w:rsidR="007260C2">
        <w:rPr>
          <w:noProof/>
        </w:rPr>
        <w:t>ed receiver sens</w:t>
      </w:r>
      <w:r w:rsidR="00B822B4">
        <w:rPr>
          <w:noProof/>
        </w:rPr>
        <w:t>i</w:t>
      </w:r>
      <w:r w:rsidR="007260C2">
        <w:rPr>
          <w:noProof/>
        </w:rPr>
        <w:t>ti</w:t>
      </w:r>
      <w:r w:rsidR="00B822B4">
        <w:rPr>
          <w:noProof/>
        </w:rPr>
        <w:t>vi</w:t>
      </w:r>
      <w:r w:rsidR="007260C2">
        <w:rPr>
          <w:noProof/>
        </w:rPr>
        <w:t xml:space="preserve">ty level on PMP system coverage is considered </w:t>
      </w:r>
      <w:r w:rsidR="00CD4040">
        <w:rPr>
          <w:noProof/>
        </w:rPr>
        <w:t>minor</w:t>
      </w:r>
      <w:r w:rsidR="005C0652" w:rsidRPr="005C0652">
        <w:t xml:space="preserve"> </w:t>
      </w:r>
      <w:r w:rsidR="005C0652">
        <w:t xml:space="preserve">consistent with the service models in RALI FX16. </w:t>
      </w:r>
    </w:p>
    <w:p w14:paraId="301E9F92" w14:textId="77777777" w:rsidR="008D6C0E" w:rsidRDefault="002C4E9F" w:rsidP="00F40574">
      <w:pPr>
        <w:pStyle w:val="Tableheading"/>
      </w:pPr>
      <w:r>
        <w:t>Example PMP</w:t>
      </w:r>
      <w:r w:rsidR="008D6C0E">
        <w:t xml:space="preserve"> service area</w:t>
      </w:r>
      <w:r w:rsidR="00F55078">
        <w:t xml:space="preserve"> radii</w:t>
      </w:r>
      <w:r>
        <w:t xml:space="preserve"> using the proposed receiver sensitivity level of -111 </w:t>
      </w:r>
      <w:proofErr w:type="gramStart"/>
      <w:r>
        <w:t>dBm</w:t>
      </w:r>
      <w:proofErr w:type="gramEnd"/>
    </w:p>
    <w:tbl>
      <w:tblPr>
        <w:tblStyle w:val="TableGrid"/>
        <w:tblW w:w="0" w:type="auto"/>
        <w:tblCellMar>
          <w:top w:w="57" w:type="dxa"/>
          <w:bottom w:w="57" w:type="dxa"/>
        </w:tblCellMar>
        <w:tblLook w:val="04A0" w:firstRow="1" w:lastRow="0" w:firstColumn="1" w:lastColumn="0" w:noHBand="0" w:noVBand="1"/>
      </w:tblPr>
      <w:tblGrid>
        <w:gridCol w:w="2553"/>
        <w:gridCol w:w="2554"/>
        <w:gridCol w:w="2554"/>
      </w:tblGrid>
      <w:tr w:rsidR="00917E31" w:rsidRPr="00917E31" w14:paraId="15132E42" w14:textId="29733970" w:rsidTr="006A58DF">
        <w:tc>
          <w:tcPr>
            <w:tcW w:w="2553" w:type="dxa"/>
            <w:shd w:val="clear" w:color="auto" w:fill="404040" w:themeFill="text1" w:themeFillTint="BF"/>
          </w:tcPr>
          <w:p w14:paraId="2FD5EEA4" w14:textId="77777777" w:rsidR="00A01005" w:rsidRPr="006A58DF" w:rsidRDefault="00A01005" w:rsidP="002646CF">
            <w:pPr>
              <w:rPr>
                <w:color w:val="FFFFFF" w:themeColor="background1"/>
              </w:rPr>
            </w:pPr>
          </w:p>
        </w:tc>
        <w:tc>
          <w:tcPr>
            <w:tcW w:w="2554" w:type="dxa"/>
            <w:shd w:val="clear" w:color="auto" w:fill="404040" w:themeFill="text1" w:themeFillTint="BF"/>
          </w:tcPr>
          <w:p w14:paraId="2C3B28F7" w14:textId="0D00B1AF" w:rsidR="00A01005" w:rsidRPr="006A58DF" w:rsidRDefault="00A01005" w:rsidP="002646CF">
            <w:pPr>
              <w:spacing w:after="0" w:line="259" w:lineRule="auto"/>
              <w:ind w:left="17"/>
              <w:jc w:val="center"/>
              <w:rPr>
                <w:rFonts w:eastAsia="Arial" w:cs="Arial"/>
                <w:b/>
                <w:bCs/>
                <w:color w:val="FFFFFF" w:themeColor="background1"/>
                <w:szCs w:val="20"/>
              </w:rPr>
            </w:pPr>
            <w:r w:rsidRPr="006A58DF">
              <w:rPr>
                <w:rFonts w:eastAsia="Arial"/>
                <w:b/>
                <w:bCs/>
                <w:color w:val="FFFFFF" w:themeColor="background1"/>
              </w:rPr>
              <w:t>Calculated service area radius</w:t>
            </w:r>
          </w:p>
        </w:tc>
        <w:tc>
          <w:tcPr>
            <w:tcW w:w="2554" w:type="dxa"/>
            <w:shd w:val="clear" w:color="auto" w:fill="404040" w:themeFill="text1" w:themeFillTint="BF"/>
          </w:tcPr>
          <w:p w14:paraId="446F5428" w14:textId="3BF8C0AB" w:rsidR="00A01005" w:rsidRPr="006A58DF" w:rsidRDefault="00A01005" w:rsidP="002646CF">
            <w:pPr>
              <w:spacing w:after="0" w:line="259" w:lineRule="auto"/>
              <w:ind w:left="17"/>
              <w:jc w:val="center"/>
              <w:rPr>
                <w:rFonts w:eastAsia="Arial"/>
                <w:b/>
                <w:bCs/>
                <w:color w:val="FFFFFF" w:themeColor="background1"/>
              </w:rPr>
            </w:pPr>
            <w:r w:rsidRPr="006A58DF">
              <w:rPr>
                <w:rFonts w:eastAsia="Arial"/>
                <w:b/>
                <w:bCs/>
                <w:color w:val="FFFFFF" w:themeColor="background1"/>
              </w:rPr>
              <w:t xml:space="preserve">Max service area radius </w:t>
            </w:r>
            <w:r w:rsidR="00CE6CF2" w:rsidRPr="006A58DF">
              <w:rPr>
                <w:rFonts w:eastAsia="Arial"/>
                <w:b/>
                <w:bCs/>
                <w:color w:val="FFFFFF" w:themeColor="background1"/>
              </w:rPr>
              <w:t>permitted by</w:t>
            </w:r>
            <w:r w:rsidRPr="006A58DF">
              <w:rPr>
                <w:rFonts w:eastAsia="Arial"/>
                <w:b/>
                <w:bCs/>
                <w:color w:val="FFFFFF" w:themeColor="background1"/>
              </w:rPr>
              <w:t xml:space="preserve"> FX16</w:t>
            </w:r>
            <w:r w:rsidR="00160F1F" w:rsidRPr="006A58DF">
              <w:rPr>
                <w:rStyle w:val="FootnoteReference"/>
                <w:rFonts w:eastAsia="Arial"/>
                <w:b/>
                <w:bCs/>
                <w:color w:val="FFFFFF" w:themeColor="background1"/>
              </w:rPr>
              <w:footnoteReference w:id="17"/>
            </w:r>
          </w:p>
        </w:tc>
      </w:tr>
      <w:tr w:rsidR="00A01005" w14:paraId="26429662" w14:textId="0C96501E" w:rsidTr="006A58DF">
        <w:tc>
          <w:tcPr>
            <w:tcW w:w="2553" w:type="dxa"/>
          </w:tcPr>
          <w:p w14:paraId="0CF88B69" w14:textId="133B1D62" w:rsidR="00A01005" w:rsidRDefault="00A01005" w:rsidP="002646CF">
            <w:pPr>
              <w:pStyle w:val="TableBody"/>
            </w:pPr>
            <w:r>
              <w:t>PMP high-powered</w:t>
            </w:r>
            <w:r>
              <w:rPr>
                <w:rStyle w:val="FootnoteReference"/>
                <w:rFonts w:eastAsia="Arial"/>
                <w:b/>
                <w:bCs/>
              </w:rPr>
              <w:footnoteReference w:id="18"/>
            </w:r>
          </w:p>
        </w:tc>
        <w:tc>
          <w:tcPr>
            <w:tcW w:w="2554" w:type="dxa"/>
          </w:tcPr>
          <w:p w14:paraId="3608E541" w14:textId="57A7486D" w:rsidR="00A01005" w:rsidRDefault="00637600" w:rsidP="002646CF">
            <w:pPr>
              <w:pStyle w:val="TableBody"/>
            </w:pPr>
            <w:r>
              <w:t>48.2</w:t>
            </w:r>
            <w:r w:rsidR="00A01005">
              <w:t xml:space="preserve"> km</w:t>
            </w:r>
          </w:p>
        </w:tc>
        <w:tc>
          <w:tcPr>
            <w:tcW w:w="2554" w:type="dxa"/>
          </w:tcPr>
          <w:p w14:paraId="7D8C394E" w14:textId="2827AC1C" w:rsidR="00A01005" w:rsidRDefault="00A01005" w:rsidP="002646CF">
            <w:pPr>
              <w:pStyle w:val="TableBody"/>
            </w:pPr>
            <w:r>
              <w:t xml:space="preserve">30 km </w:t>
            </w:r>
          </w:p>
        </w:tc>
      </w:tr>
      <w:tr w:rsidR="00A01005" w14:paraId="480CB277" w14:textId="03D67ED1" w:rsidTr="006A58DF">
        <w:tc>
          <w:tcPr>
            <w:tcW w:w="2553" w:type="dxa"/>
            <w:shd w:val="clear" w:color="auto" w:fill="F2F2F2" w:themeFill="background1" w:themeFillShade="F2"/>
          </w:tcPr>
          <w:p w14:paraId="638FF35C" w14:textId="686116CB" w:rsidR="00A01005" w:rsidRDefault="00A01005" w:rsidP="002646CF">
            <w:pPr>
              <w:pStyle w:val="TableBody"/>
            </w:pPr>
            <w:r>
              <w:t>PMP low-powered</w:t>
            </w:r>
            <w:r>
              <w:rPr>
                <w:rStyle w:val="FootnoteReference"/>
              </w:rPr>
              <w:footnoteReference w:id="19"/>
            </w:r>
          </w:p>
        </w:tc>
        <w:tc>
          <w:tcPr>
            <w:tcW w:w="2554" w:type="dxa"/>
            <w:shd w:val="clear" w:color="auto" w:fill="F2F2F2" w:themeFill="background1" w:themeFillShade="F2"/>
          </w:tcPr>
          <w:p w14:paraId="2477EE62" w14:textId="48D4ED00" w:rsidR="00A01005" w:rsidRDefault="00A01005" w:rsidP="002646CF">
            <w:pPr>
              <w:pStyle w:val="TableBody"/>
            </w:pPr>
            <w:r>
              <w:t>28.9 km</w:t>
            </w:r>
          </w:p>
        </w:tc>
        <w:tc>
          <w:tcPr>
            <w:tcW w:w="2554" w:type="dxa"/>
            <w:shd w:val="clear" w:color="auto" w:fill="F2F2F2" w:themeFill="background1" w:themeFillShade="F2"/>
          </w:tcPr>
          <w:p w14:paraId="56CBBD50" w14:textId="0551B523" w:rsidR="00A01005" w:rsidRDefault="00A01005" w:rsidP="002646CF">
            <w:pPr>
              <w:pStyle w:val="TableBody"/>
            </w:pPr>
            <w:r>
              <w:t>2 km</w:t>
            </w:r>
          </w:p>
        </w:tc>
      </w:tr>
    </w:tbl>
    <w:p w14:paraId="2A276210" w14:textId="25514E3C" w:rsidR="008D6C0E" w:rsidRDefault="008D6C0E" w:rsidP="008D6C0E"/>
    <w:p w14:paraId="6020D033" w14:textId="03825620" w:rsidR="00907A27" w:rsidRDefault="00907A27" w:rsidP="001D2726">
      <w:pPr>
        <w:pStyle w:val="Heading3"/>
      </w:pPr>
      <w:r>
        <w:t xml:space="preserve">Revised PTP </w:t>
      </w:r>
      <w:r w:rsidR="00B11E02">
        <w:t xml:space="preserve">Protection </w:t>
      </w:r>
      <w:r>
        <w:t>criteria</w:t>
      </w:r>
    </w:p>
    <w:p w14:paraId="62823C10" w14:textId="47925929" w:rsidR="00907A27" w:rsidRDefault="00907A27" w:rsidP="00907A27">
      <w:r>
        <w:t xml:space="preserve">The proposed revised PTP criteria </w:t>
      </w:r>
      <w:r w:rsidR="0009079E">
        <w:t xml:space="preserve">has been </w:t>
      </w:r>
      <w:r w:rsidR="00403929">
        <w:t xml:space="preserve">derived by re-calculating the required protection </w:t>
      </w:r>
      <w:r w:rsidR="00AE382F">
        <w:t>based on the</w:t>
      </w:r>
      <w:r w:rsidR="00403929">
        <w:t xml:space="preserve"> calculated fade margin as a function of</w:t>
      </w:r>
      <w:r w:rsidR="00AE382F">
        <w:t xml:space="preserve"> the </w:t>
      </w:r>
      <w:r>
        <w:t>PTP</w:t>
      </w:r>
      <w:r w:rsidR="00AE382F">
        <w:t xml:space="preserve"> link</w:t>
      </w:r>
      <w:r w:rsidR="00403929">
        <w:t xml:space="preserve"> length.</w:t>
      </w:r>
      <w:r w:rsidR="00442920">
        <w:t xml:space="preserve"> </w:t>
      </w:r>
    </w:p>
    <w:p w14:paraId="2391B8A7" w14:textId="54735262" w:rsidR="00986396" w:rsidRDefault="00907A27" w:rsidP="00907A27">
      <w:r>
        <w:t xml:space="preserve">The method adopted in deriving protection ratios in RALI FX3 has been used to determine </w:t>
      </w:r>
      <w:r w:rsidR="000E3C2F">
        <w:t>the proposed revised</w:t>
      </w:r>
      <w:r>
        <w:t xml:space="preserve"> protection ratios</w:t>
      </w:r>
      <w:r w:rsidR="00442920">
        <w:t xml:space="preserve">, </w:t>
      </w:r>
      <w:r w:rsidR="000E3C2F">
        <w:t>which uses a calculated</w:t>
      </w:r>
      <w:r w:rsidR="00442920">
        <w:t xml:space="preserve"> fade margin over the wanted path of the link</w:t>
      </w:r>
      <w:r>
        <w:t>.</w:t>
      </w:r>
      <w:r w:rsidR="00701F91">
        <w:rPr>
          <w:rStyle w:val="FootnoteReference"/>
        </w:rPr>
        <w:footnoteReference w:id="20"/>
      </w:r>
      <w:r>
        <w:t xml:space="preserve"> </w:t>
      </w:r>
      <w:r w:rsidR="000E3C2F">
        <w:t xml:space="preserve">In this methodology, fade margin </w:t>
      </w:r>
      <w:r w:rsidR="00403929">
        <w:t xml:space="preserve">is </w:t>
      </w:r>
      <w:r w:rsidR="000E3C2F">
        <w:t>calculated using t</w:t>
      </w:r>
      <w:r w:rsidR="00986396">
        <w:t>he following equation.</w:t>
      </w:r>
    </w:p>
    <w:p w14:paraId="32335EF3" w14:textId="695388E8" w:rsidR="009B09D2" w:rsidRPr="00403929" w:rsidRDefault="008B76F1" w:rsidP="00907A27">
      <m:oMathPara>
        <m:oMathParaPr>
          <m:jc m:val="left"/>
        </m:oMathParaPr>
        <m:oMath>
          <m:r>
            <w:rPr>
              <w:rFonts w:ascii="Cambria Math" w:hAnsi="Cambria Math"/>
            </w:rPr>
            <m:t>FM</m:t>
          </m:r>
          <m:r>
            <w:rPr>
              <w:rFonts w:ascii="Cambria Math" w:eastAsia="Cambria Math" w:hAnsi="Cambria Math" w:cs="Cambria Math"/>
            </w:rPr>
            <m:t>=10</m:t>
          </m:r>
          <m:func>
            <m:funcPr>
              <m:ctrlPr>
                <w:rPr>
                  <w:rFonts w:ascii="Cambria Math" w:eastAsia="Cambria Math" w:hAnsi="Cambria Math" w:cs="Cambria Math"/>
                </w:rPr>
              </m:ctrlPr>
            </m:funcPr>
            <m:fName>
              <m:r>
                <m:rPr>
                  <m:sty m:val="p"/>
                </m:rPr>
                <w:rPr>
                  <w:rFonts w:ascii="Cambria Math" w:eastAsia="Cambria Math" w:hAnsi="Cambria Math" w:cs="Cambria Math"/>
                </w:rPr>
                <m:t>log</m:t>
              </m:r>
            </m:fName>
            <m:e>
              <m:d>
                <m:dPr>
                  <m:begChr m:val="["/>
                  <m:endChr m:val="]"/>
                  <m:ctrlPr>
                    <w:rPr>
                      <w:rFonts w:ascii="Cambria Math" w:eastAsia="Cambria Math" w:hAnsi="Cambria Math" w:cs="Cambria Math"/>
                      <w:i/>
                    </w:rPr>
                  </m:ctrlPr>
                </m:dPr>
                <m:e>
                  <m:r>
                    <w:rPr>
                      <w:rFonts w:ascii="Cambria Math" w:eastAsia="Cambria Math" w:hAnsi="Cambria Math" w:cs="Cambria Math"/>
                    </w:rPr>
                    <m:t xml:space="preserve">K  </m:t>
                  </m:r>
                  <m:sSup>
                    <m:sSupPr>
                      <m:ctrlPr>
                        <w:rPr>
                          <w:rFonts w:ascii="Cambria Math" w:eastAsia="Cambria Math" w:hAnsi="Cambria Math" w:cs="Cambria Math"/>
                          <w:i/>
                        </w:rPr>
                      </m:ctrlPr>
                    </m:sSupPr>
                    <m:e>
                      <m:r>
                        <w:rPr>
                          <w:rFonts w:ascii="Cambria Math" w:eastAsia="Cambria Math" w:hAnsi="Cambria Math" w:cs="Cambria Math"/>
                        </w:rPr>
                        <m:t>f</m:t>
                      </m:r>
                    </m:e>
                    <m:sup>
                      <m:r>
                        <w:rPr>
                          <w:rFonts w:ascii="Cambria Math" w:eastAsia="Cambria Math" w:hAnsi="Cambria Math" w:cs="Cambria Math"/>
                        </w:rPr>
                        <m:t>0.89</m:t>
                      </m:r>
                    </m:sup>
                  </m:sSup>
                  <m:r>
                    <w:rPr>
                      <w:rFonts w:ascii="Cambria Math" w:eastAsia="Cambria Math" w:hAnsi="Cambria Math" w:cs="Cambria Math"/>
                    </w:rPr>
                    <m:t xml:space="preserve"> </m:t>
                  </m:r>
                  <m:sSup>
                    <m:sSupPr>
                      <m:ctrlPr>
                        <w:rPr>
                          <w:rFonts w:ascii="Cambria Math" w:eastAsia="Cambria Math" w:hAnsi="Cambria Math" w:cs="Cambria Math"/>
                          <w:i/>
                        </w:rPr>
                      </m:ctrlPr>
                    </m:sSupPr>
                    <m:e>
                      <m:r>
                        <w:rPr>
                          <w:rFonts w:ascii="Cambria Math" w:eastAsia="Cambria Math" w:hAnsi="Cambria Math" w:cs="Cambria Math"/>
                        </w:rPr>
                        <m:t>d</m:t>
                      </m:r>
                    </m:e>
                    <m:sup>
                      <m:r>
                        <w:rPr>
                          <w:rFonts w:ascii="Cambria Math" w:eastAsia="Cambria Math" w:hAnsi="Cambria Math" w:cs="Cambria Math"/>
                        </w:rPr>
                        <m:t>3.6</m:t>
                      </m:r>
                    </m:sup>
                  </m:sSup>
                  <m:r>
                    <w:rPr>
                      <w:rFonts w:ascii="Cambria Math" w:eastAsia="Cambria Math" w:hAnsi="Cambria Math" w:cs="Cambria Math"/>
                    </w:rPr>
                    <m:t xml:space="preserve">  </m:t>
                  </m:r>
                  <m:sSup>
                    <m:sSupPr>
                      <m:ctrlPr>
                        <w:rPr>
                          <w:rFonts w:ascii="Cambria Math" w:eastAsia="Cambria Math" w:hAnsi="Cambria Math" w:cs="Cambria Math"/>
                          <w:i/>
                        </w:rPr>
                      </m:ctrlPr>
                    </m:sSupPr>
                    <m:e>
                      <m:d>
                        <m:dPr>
                          <m:ctrlPr>
                            <w:rPr>
                              <w:rFonts w:ascii="Cambria Math" w:eastAsia="Cambria Math" w:hAnsi="Cambria Math" w:cs="Cambria Math"/>
                              <w:i/>
                            </w:rPr>
                          </m:ctrlPr>
                        </m:dPr>
                        <m:e>
                          <m:r>
                            <w:rPr>
                              <w:rFonts w:ascii="Cambria Math" w:eastAsia="Cambria Math" w:hAnsi="Cambria Math" w:cs="Cambria Math"/>
                            </w:rPr>
                            <m:t>1+</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m:t>
                                  </m:r>
                                </m:e>
                                <m:sub>
                                  <m:r>
                                    <w:rPr>
                                      <w:rFonts w:ascii="Cambria Math" w:eastAsia="Cambria Math" w:hAnsi="Cambria Math" w:cs="Cambria Math"/>
                                    </w:rPr>
                                    <m:t>p</m:t>
                                  </m:r>
                                </m:sub>
                              </m:sSub>
                            </m:e>
                          </m:d>
                        </m:e>
                      </m:d>
                    </m:e>
                    <m:sup>
                      <m:r>
                        <w:rPr>
                          <w:rFonts w:ascii="Cambria Math" w:eastAsia="Cambria Math" w:hAnsi="Cambria Math" w:cs="Cambria Math"/>
                        </w:rPr>
                        <m:t>-1.4</m:t>
                      </m:r>
                    </m:sup>
                  </m:sSup>
                </m:e>
              </m:d>
            </m:e>
          </m:func>
          <m:r>
            <w:rPr>
              <w:rFonts w:ascii="Cambria Math" w:eastAsia="Cambria Math" w:hAnsi="Cambria Math" w:cs="Cambria Math"/>
            </w:rPr>
            <m:t>-10</m:t>
          </m:r>
          <m:func>
            <m:funcPr>
              <m:ctrlPr>
                <w:rPr>
                  <w:rFonts w:ascii="Cambria Math" w:eastAsia="Cambria Math" w:hAnsi="Cambria Math" w:cs="Cambria Math"/>
                </w:rPr>
              </m:ctrlPr>
            </m:funcPr>
            <m:fName>
              <m:r>
                <m:rPr>
                  <m:sty m:val="p"/>
                </m:rPr>
                <w:rPr>
                  <w:rFonts w:ascii="Cambria Math" w:eastAsia="Cambria Math" w:hAnsi="Cambria Math" w:cs="Cambria Math"/>
                </w:rPr>
                <m:t>log</m:t>
              </m:r>
            </m:fName>
            <m:e>
              <m:d>
                <m:dPr>
                  <m:ctrlPr>
                    <w:rPr>
                      <w:rFonts w:ascii="Cambria Math" w:eastAsia="Cambria Math" w:hAnsi="Cambria Math" w:cs="Cambria Math"/>
                      <w:i/>
                    </w:rPr>
                  </m:ctrlPr>
                </m:dPr>
                <m:e>
                  <m:r>
                    <w:rPr>
                      <w:rFonts w:ascii="Cambria Math" w:eastAsia="Cambria Math" w:hAnsi="Cambria Math" w:cs="Cambria Math"/>
                    </w:rPr>
                    <m:t>p</m:t>
                  </m:r>
                </m:e>
              </m:d>
            </m:e>
          </m:func>
          <m:r>
            <w:rPr>
              <w:rFonts w:ascii="Cambria Math" w:eastAsia="Cambria Math" w:hAnsi="Cambria Math" w:cs="Cambria Math"/>
            </w:rPr>
            <m:t xml:space="preserve"> </m:t>
          </m:r>
          <m:d>
            <m:dPr>
              <m:ctrlPr>
                <w:rPr>
                  <w:rFonts w:ascii="Cambria Math" w:eastAsia="Cambria Math" w:hAnsi="Cambria Math" w:cs="Cambria Math"/>
                  <w:i/>
                </w:rPr>
              </m:ctrlPr>
            </m:dPr>
            <m:e>
              <m:r>
                <w:rPr>
                  <w:rFonts w:ascii="Cambria Math" w:eastAsia="Cambria Math" w:hAnsi="Cambria Math" w:cs="Cambria Math"/>
                </w:rPr>
                <m:t>dB</m:t>
              </m:r>
            </m:e>
          </m:d>
          <m:r>
            <w:rPr>
              <w:rFonts w:ascii="Cambria Math" w:eastAsia="Cambria Math" w:hAnsi="Cambria Math" w:cs="Cambria Math"/>
            </w:rPr>
            <m:t>……. (1)</m:t>
          </m:r>
        </m:oMath>
      </m:oMathPara>
    </w:p>
    <w:p w14:paraId="04DD41FF" w14:textId="152912D1" w:rsidR="00403929" w:rsidRPr="001D2726" w:rsidRDefault="00403929" w:rsidP="00907A27">
      <w:r>
        <w:t>Where:</w:t>
      </w:r>
    </w:p>
    <w:tbl>
      <w:tblPr>
        <w:tblW w:w="8496" w:type="dxa"/>
        <w:tblInd w:w="-142" w:type="dxa"/>
        <w:tblLook w:val="04A0" w:firstRow="1" w:lastRow="0" w:firstColumn="1" w:lastColumn="0" w:noHBand="0" w:noVBand="1"/>
      </w:tblPr>
      <w:tblGrid>
        <w:gridCol w:w="508"/>
        <w:gridCol w:w="7988"/>
      </w:tblGrid>
      <w:tr w:rsidR="009E62BD" w:rsidRPr="0043168C" w14:paraId="7FFF703F" w14:textId="77777777" w:rsidTr="001D2726">
        <w:trPr>
          <w:trHeight w:val="336"/>
        </w:trPr>
        <w:tc>
          <w:tcPr>
            <w:tcW w:w="508" w:type="dxa"/>
            <w:tcBorders>
              <w:top w:val="nil"/>
              <w:left w:val="nil"/>
              <w:bottom w:val="nil"/>
              <w:right w:val="nil"/>
            </w:tcBorders>
            <w:shd w:val="clear" w:color="auto" w:fill="auto"/>
            <w:noWrap/>
            <w:vAlign w:val="center"/>
            <w:hideMark/>
          </w:tcPr>
          <w:p w14:paraId="43DAC8D6" w14:textId="77777777" w:rsidR="00FE4936" w:rsidRPr="001D2726" w:rsidRDefault="00FE4936" w:rsidP="00FE4936">
            <w:pPr>
              <w:spacing w:after="0" w:line="240" w:lineRule="auto"/>
              <w:rPr>
                <w:rFonts w:cs="Arial"/>
                <w:szCs w:val="20"/>
              </w:rPr>
            </w:pPr>
            <w:r w:rsidRPr="001D2726">
              <w:rPr>
                <w:rFonts w:cs="Arial"/>
                <w:szCs w:val="20"/>
              </w:rPr>
              <w:t>f</w:t>
            </w:r>
          </w:p>
        </w:tc>
        <w:tc>
          <w:tcPr>
            <w:tcW w:w="7988" w:type="dxa"/>
            <w:tcBorders>
              <w:top w:val="nil"/>
              <w:left w:val="nil"/>
              <w:bottom w:val="nil"/>
              <w:right w:val="nil"/>
            </w:tcBorders>
            <w:shd w:val="clear" w:color="auto" w:fill="auto"/>
            <w:noWrap/>
            <w:vAlign w:val="center"/>
            <w:hideMark/>
          </w:tcPr>
          <w:p w14:paraId="3B578FB0" w14:textId="1C237ED4" w:rsidR="00FE4936" w:rsidRPr="001D2726" w:rsidRDefault="00B04C59" w:rsidP="00FE4936">
            <w:pPr>
              <w:spacing w:after="0" w:line="240" w:lineRule="auto"/>
              <w:rPr>
                <w:rFonts w:cs="Arial"/>
                <w:szCs w:val="20"/>
              </w:rPr>
            </w:pPr>
            <w:r>
              <w:rPr>
                <w:rFonts w:cs="Arial"/>
                <w:szCs w:val="20"/>
              </w:rPr>
              <w:t>F</w:t>
            </w:r>
            <w:r w:rsidR="00FE4936" w:rsidRPr="001D2726">
              <w:rPr>
                <w:rFonts w:cs="Arial"/>
                <w:szCs w:val="20"/>
              </w:rPr>
              <w:t>requency (GHz)</w:t>
            </w:r>
          </w:p>
        </w:tc>
      </w:tr>
      <w:tr w:rsidR="009E62BD" w:rsidRPr="0043168C" w14:paraId="782AE382" w14:textId="77777777" w:rsidTr="001D2726">
        <w:trPr>
          <w:trHeight w:val="336"/>
        </w:trPr>
        <w:tc>
          <w:tcPr>
            <w:tcW w:w="508" w:type="dxa"/>
            <w:tcBorders>
              <w:top w:val="nil"/>
              <w:left w:val="nil"/>
              <w:bottom w:val="nil"/>
              <w:right w:val="nil"/>
            </w:tcBorders>
            <w:shd w:val="clear" w:color="auto" w:fill="auto"/>
            <w:noWrap/>
            <w:vAlign w:val="center"/>
            <w:hideMark/>
          </w:tcPr>
          <w:p w14:paraId="3469EB8C" w14:textId="77777777" w:rsidR="00FE4936" w:rsidRPr="001D2726" w:rsidRDefault="00FE4936" w:rsidP="00FE4936">
            <w:pPr>
              <w:spacing w:after="0" w:line="240" w:lineRule="auto"/>
              <w:rPr>
                <w:rFonts w:cs="Arial"/>
                <w:szCs w:val="20"/>
              </w:rPr>
            </w:pPr>
            <w:r w:rsidRPr="001D2726">
              <w:rPr>
                <w:rFonts w:cs="Arial"/>
                <w:szCs w:val="20"/>
              </w:rPr>
              <w:t>d</w:t>
            </w:r>
          </w:p>
        </w:tc>
        <w:tc>
          <w:tcPr>
            <w:tcW w:w="7988" w:type="dxa"/>
            <w:tcBorders>
              <w:top w:val="nil"/>
              <w:left w:val="nil"/>
              <w:bottom w:val="nil"/>
              <w:right w:val="nil"/>
            </w:tcBorders>
            <w:shd w:val="clear" w:color="auto" w:fill="auto"/>
            <w:noWrap/>
            <w:vAlign w:val="center"/>
            <w:hideMark/>
          </w:tcPr>
          <w:p w14:paraId="5E7E3AF7" w14:textId="61C77BC5" w:rsidR="00FE4936" w:rsidRPr="001D2726" w:rsidRDefault="00B04C59" w:rsidP="006A58DF">
            <w:pPr>
              <w:spacing w:after="60" w:line="240" w:lineRule="auto"/>
              <w:rPr>
                <w:rFonts w:cs="Arial"/>
                <w:szCs w:val="20"/>
              </w:rPr>
            </w:pPr>
            <w:r>
              <w:rPr>
                <w:rFonts w:cs="Arial"/>
                <w:szCs w:val="20"/>
              </w:rPr>
              <w:t>D</w:t>
            </w:r>
            <w:r w:rsidR="00FE4936" w:rsidRPr="001D2726">
              <w:rPr>
                <w:rFonts w:cs="Arial"/>
                <w:szCs w:val="20"/>
              </w:rPr>
              <w:t>istance between the fixed link transmitter and its associated receiver (km)</w:t>
            </w:r>
          </w:p>
        </w:tc>
      </w:tr>
      <w:tr w:rsidR="009E62BD" w:rsidRPr="0043168C" w14:paraId="658494BB" w14:textId="77777777" w:rsidTr="001D2726">
        <w:trPr>
          <w:trHeight w:val="672"/>
        </w:trPr>
        <w:tc>
          <w:tcPr>
            <w:tcW w:w="508" w:type="dxa"/>
            <w:tcBorders>
              <w:top w:val="nil"/>
              <w:left w:val="nil"/>
              <w:bottom w:val="nil"/>
              <w:right w:val="nil"/>
            </w:tcBorders>
            <w:shd w:val="clear" w:color="auto" w:fill="auto"/>
            <w:noWrap/>
            <w:vAlign w:val="center"/>
            <w:hideMark/>
          </w:tcPr>
          <w:p w14:paraId="0D516AD1" w14:textId="77777777" w:rsidR="00FE4936" w:rsidRPr="001D2726" w:rsidRDefault="00FE4936" w:rsidP="00FE4936">
            <w:pPr>
              <w:spacing w:after="0" w:line="240" w:lineRule="auto"/>
              <w:rPr>
                <w:rFonts w:cs="Arial"/>
                <w:szCs w:val="20"/>
              </w:rPr>
            </w:pPr>
            <w:r w:rsidRPr="001D2726">
              <w:rPr>
                <w:rFonts w:cs="Arial"/>
                <w:szCs w:val="20"/>
              </w:rPr>
              <w:t>p</w:t>
            </w:r>
          </w:p>
        </w:tc>
        <w:tc>
          <w:tcPr>
            <w:tcW w:w="7988" w:type="dxa"/>
            <w:tcBorders>
              <w:top w:val="nil"/>
              <w:left w:val="nil"/>
              <w:bottom w:val="nil"/>
              <w:right w:val="nil"/>
            </w:tcBorders>
            <w:shd w:val="clear" w:color="auto" w:fill="auto"/>
            <w:vAlign w:val="center"/>
            <w:hideMark/>
          </w:tcPr>
          <w:p w14:paraId="077B79C5" w14:textId="1CF1E0ED" w:rsidR="00FE4936" w:rsidRPr="001D2726" w:rsidRDefault="00B04C59" w:rsidP="006A58DF">
            <w:pPr>
              <w:spacing w:before="40" w:after="0" w:line="240" w:lineRule="auto"/>
              <w:rPr>
                <w:rFonts w:cs="Arial"/>
                <w:szCs w:val="20"/>
              </w:rPr>
            </w:pPr>
            <w:r>
              <w:rPr>
                <w:rFonts w:cs="Arial"/>
                <w:szCs w:val="20"/>
              </w:rPr>
              <w:t>P</w:t>
            </w:r>
            <w:r w:rsidR="00FE4936" w:rsidRPr="001D2726">
              <w:rPr>
                <w:rFonts w:cs="Arial"/>
                <w:szCs w:val="20"/>
              </w:rPr>
              <w:t xml:space="preserve">ercentage of time </w:t>
            </w:r>
            <w:r w:rsidR="00DD30B0">
              <w:rPr>
                <w:rFonts w:cs="Arial"/>
                <w:szCs w:val="20"/>
              </w:rPr>
              <w:t xml:space="preserve">link is </w:t>
            </w:r>
            <w:r w:rsidR="00863728">
              <w:rPr>
                <w:rFonts w:cs="Arial"/>
                <w:szCs w:val="20"/>
              </w:rPr>
              <w:t>unavailable</w:t>
            </w:r>
            <w:r w:rsidR="00DD30B0">
              <w:rPr>
                <w:rFonts w:cs="Arial"/>
                <w:szCs w:val="20"/>
              </w:rPr>
              <w:t xml:space="preserve"> due to fading </w:t>
            </w:r>
            <w:r w:rsidR="00FE4936" w:rsidRPr="001D2726">
              <w:rPr>
                <w:rFonts w:cs="Arial"/>
                <w:szCs w:val="20"/>
              </w:rPr>
              <w:t xml:space="preserve">(The minimum value of fade </w:t>
            </w:r>
            <w:r>
              <w:rPr>
                <w:rFonts w:cs="Arial"/>
                <w:szCs w:val="20"/>
              </w:rPr>
              <w:br/>
            </w:r>
            <w:r w:rsidR="00FE4936" w:rsidRPr="001D2726">
              <w:rPr>
                <w:rFonts w:cs="Arial"/>
                <w:szCs w:val="20"/>
              </w:rPr>
              <w:t xml:space="preserve">margin </w:t>
            </w:r>
            <w:r>
              <w:rPr>
                <w:rFonts w:cs="Arial"/>
                <w:szCs w:val="20"/>
              </w:rPr>
              <w:t>c</w:t>
            </w:r>
            <w:r w:rsidR="00FE4936" w:rsidRPr="001D2726">
              <w:rPr>
                <w:rFonts w:cs="Arial"/>
                <w:szCs w:val="20"/>
              </w:rPr>
              <w:t xml:space="preserve">an be calculated from the requirement for link </w:t>
            </w:r>
            <w:r w:rsidR="00FE4936" w:rsidRPr="00FE4936">
              <w:rPr>
                <w:rFonts w:cs="Arial"/>
                <w:szCs w:val="20"/>
              </w:rPr>
              <w:t>availability,</w:t>
            </w:r>
            <w:r w:rsidR="00FE4936" w:rsidRPr="001D2726">
              <w:rPr>
                <w:rFonts w:cs="Arial"/>
                <w:szCs w:val="20"/>
              </w:rPr>
              <w:t xml:space="preserve"> typically 99.99% </w:t>
            </w:r>
            <w:r>
              <w:rPr>
                <w:rFonts w:cs="Arial"/>
                <w:szCs w:val="20"/>
              </w:rPr>
              <w:br/>
            </w:r>
            <w:r w:rsidR="00FE4936" w:rsidRPr="001D2726">
              <w:rPr>
                <w:rFonts w:cs="Arial"/>
                <w:szCs w:val="20"/>
              </w:rPr>
              <w:t>of the time</w:t>
            </w:r>
            <w:r>
              <w:rPr>
                <w:rFonts w:cs="Arial"/>
                <w:szCs w:val="20"/>
              </w:rPr>
              <w:t xml:space="preserve"> – </w:t>
            </w:r>
            <w:r w:rsidR="00E67C5B" w:rsidRPr="00F73132">
              <w:rPr>
                <w:rFonts w:cs="Arial"/>
                <w:szCs w:val="20"/>
              </w:rPr>
              <w:t>i.e.,</w:t>
            </w:r>
            <w:r w:rsidR="00FE4936" w:rsidRPr="001D2726">
              <w:rPr>
                <w:rFonts w:cs="Arial"/>
                <w:szCs w:val="20"/>
              </w:rPr>
              <w:t xml:space="preserve"> 0.01%)</w:t>
            </w:r>
          </w:p>
        </w:tc>
      </w:tr>
      <w:tr w:rsidR="009E62BD" w:rsidRPr="0043168C" w14:paraId="4EF10471" w14:textId="77777777" w:rsidTr="001D2726">
        <w:trPr>
          <w:trHeight w:val="408"/>
        </w:trPr>
        <w:tc>
          <w:tcPr>
            <w:tcW w:w="508" w:type="dxa"/>
            <w:tcBorders>
              <w:top w:val="nil"/>
              <w:left w:val="nil"/>
              <w:bottom w:val="nil"/>
              <w:right w:val="nil"/>
            </w:tcBorders>
            <w:shd w:val="clear" w:color="auto" w:fill="auto"/>
            <w:noWrap/>
            <w:vAlign w:val="center"/>
            <w:hideMark/>
          </w:tcPr>
          <w:p w14:paraId="0B929FA6" w14:textId="77777777" w:rsidR="00FE4936" w:rsidRPr="001D2726" w:rsidRDefault="00FE4936" w:rsidP="00FE4936">
            <w:pPr>
              <w:spacing w:after="0" w:line="240" w:lineRule="auto"/>
              <w:rPr>
                <w:rFonts w:cs="Arial"/>
                <w:szCs w:val="20"/>
              </w:rPr>
            </w:pPr>
            <w:r w:rsidRPr="001D2726">
              <w:rPr>
                <w:rFonts w:cs="Arial"/>
                <w:szCs w:val="20"/>
              </w:rPr>
              <w:t>K</w:t>
            </w:r>
          </w:p>
        </w:tc>
        <w:tc>
          <w:tcPr>
            <w:tcW w:w="7988" w:type="dxa"/>
            <w:tcBorders>
              <w:top w:val="nil"/>
              <w:left w:val="nil"/>
              <w:bottom w:val="nil"/>
              <w:right w:val="nil"/>
            </w:tcBorders>
            <w:shd w:val="clear" w:color="auto" w:fill="auto"/>
            <w:noWrap/>
            <w:vAlign w:val="center"/>
            <w:hideMark/>
          </w:tcPr>
          <w:p w14:paraId="130353B6" w14:textId="07163E29" w:rsidR="00FE4936" w:rsidRPr="001D2726" w:rsidRDefault="00FE4936" w:rsidP="006A58DF">
            <w:pPr>
              <w:spacing w:before="40" w:after="0" w:line="240" w:lineRule="auto"/>
              <w:rPr>
                <w:rFonts w:cs="Arial"/>
                <w:szCs w:val="20"/>
              </w:rPr>
            </w:pPr>
            <w:r w:rsidRPr="001D2726">
              <w:rPr>
                <w:rFonts w:cs="Arial"/>
                <w:szCs w:val="20"/>
              </w:rPr>
              <w:t>10</w:t>
            </w:r>
            <w:r w:rsidRPr="001D2726">
              <w:rPr>
                <w:rFonts w:cs="Arial"/>
                <w:szCs w:val="20"/>
                <w:vertAlign w:val="superscript"/>
              </w:rPr>
              <w:t>-6.5</w:t>
            </w:r>
            <w:r>
              <w:rPr>
                <w:rFonts w:cs="Arial"/>
                <w:szCs w:val="20"/>
              </w:rPr>
              <w:t xml:space="preserve"> x</w:t>
            </w:r>
            <w:r w:rsidRPr="001D2726">
              <w:rPr>
                <w:rFonts w:cs="Arial"/>
                <w:szCs w:val="20"/>
              </w:rPr>
              <w:t xml:space="preserve"> P</w:t>
            </w:r>
            <w:r w:rsidRPr="001D2726">
              <w:rPr>
                <w:rFonts w:cs="Arial"/>
                <w:szCs w:val="20"/>
                <w:vertAlign w:val="subscript"/>
              </w:rPr>
              <w:t>L</w:t>
            </w:r>
            <w:r w:rsidRPr="001D2726">
              <w:rPr>
                <w:rFonts w:cs="Arial"/>
                <w:szCs w:val="20"/>
                <w:vertAlign w:val="superscript"/>
              </w:rPr>
              <w:t>1.5</w:t>
            </w:r>
            <w:r w:rsidRPr="001D2726">
              <w:rPr>
                <w:rFonts w:cs="Arial"/>
                <w:szCs w:val="20"/>
              </w:rPr>
              <w:t xml:space="preserve"> for climate and terrain effects (overland paths not in mountainous regions)</w:t>
            </w:r>
          </w:p>
        </w:tc>
      </w:tr>
      <w:tr w:rsidR="009E62BD" w:rsidRPr="0043168C" w14:paraId="02B88C57" w14:textId="77777777" w:rsidTr="001D2726">
        <w:trPr>
          <w:trHeight w:val="386"/>
        </w:trPr>
        <w:tc>
          <w:tcPr>
            <w:tcW w:w="508" w:type="dxa"/>
            <w:tcBorders>
              <w:top w:val="nil"/>
              <w:left w:val="nil"/>
              <w:bottom w:val="nil"/>
              <w:right w:val="nil"/>
            </w:tcBorders>
            <w:shd w:val="clear" w:color="auto" w:fill="auto"/>
            <w:noWrap/>
            <w:vAlign w:val="center"/>
            <w:hideMark/>
          </w:tcPr>
          <w:p w14:paraId="1A2FED4C" w14:textId="77777777" w:rsidR="00FE4936" w:rsidRPr="001D2726" w:rsidRDefault="00FE4936" w:rsidP="00FE4936">
            <w:pPr>
              <w:spacing w:after="0" w:line="240" w:lineRule="auto"/>
              <w:rPr>
                <w:rFonts w:cs="Arial"/>
                <w:szCs w:val="20"/>
              </w:rPr>
            </w:pPr>
            <w:r w:rsidRPr="001D2726">
              <w:rPr>
                <w:rFonts w:cs="Arial"/>
                <w:szCs w:val="20"/>
              </w:rPr>
              <w:t>P</w:t>
            </w:r>
            <w:r w:rsidRPr="001D2726">
              <w:rPr>
                <w:rFonts w:cs="Arial"/>
                <w:szCs w:val="20"/>
                <w:vertAlign w:val="subscript"/>
              </w:rPr>
              <w:t>L</w:t>
            </w:r>
          </w:p>
        </w:tc>
        <w:tc>
          <w:tcPr>
            <w:tcW w:w="7988" w:type="dxa"/>
            <w:tcBorders>
              <w:top w:val="nil"/>
              <w:left w:val="nil"/>
              <w:bottom w:val="nil"/>
              <w:right w:val="nil"/>
            </w:tcBorders>
            <w:shd w:val="clear" w:color="auto" w:fill="auto"/>
            <w:noWrap/>
            <w:vAlign w:val="center"/>
            <w:hideMark/>
          </w:tcPr>
          <w:p w14:paraId="3BAF37E1" w14:textId="77777777" w:rsidR="00FE4936" w:rsidRPr="00FE4936" w:rsidRDefault="00FE4936" w:rsidP="006A58DF">
            <w:pPr>
              <w:spacing w:before="60" w:after="40" w:line="240" w:lineRule="auto"/>
              <w:rPr>
                <w:rFonts w:cs="Arial"/>
                <w:szCs w:val="20"/>
              </w:rPr>
            </w:pPr>
            <w:r w:rsidRPr="00FE4936">
              <w:rPr>
                <w:rFonts w:cs="Arial"/>
                <w:szCs w:val="20"/>
              </w:rPr>
              <w:t>Percentage of time that the average refractivity gradient in the lowest 100 m of the atmosphere is less than or equal to -100 N units/km</w:t>
            </w:r>
          </w:p>
        </w:tc>
      </w:tr>
      <w:tr w:rsidR="009E62BD" w:rsidRPr="0043168C" w14:paraId="4985E166" w14:textId="77777777" w:rsidTr="001D2726">
        <w:trPr>
          <w:trHeight w:val="451"/>
        </w:trPr>
        <w:tc>
          <w:tcPr>
            <w:tcW w:w="508" w:type="dxa"/>
            <w:tcBorders>
              <w:top w:val="nil"/>
              <w:left w:val="nil"/>
              <w:bottom w:val="nil"/>
              <w:right w:val="nil"/>
            </w:tcBorders>
            <w:shd w:val="clear" w:color="auto" w:fill="auto"/>
            <w:noWrap/>
            <w:vAlign w:val="center"/>
          </w:tcPr>
          <w:p w14:paraId="23E690C7" w14:textId="2DAA97EE" w:rsidR="00FE4936" w:rsidRPr="001D2726" w:rsidRDefault="00D91BDD" w:rsidP="00FE4936">
            <w:pPr>
              <w:spacing w:after="0" w:line="240" w:lineRule="auto"/>
              <w:rPr>
                <w:rFonts w:cs="Arial"/>
                <w:szCs w:val="20"/>
              </w:rPr>
            </w:pPr>
            <m:oMathPara>
              <m:oMath>
                <m:sSub>
                  <m:sSubPr>
                    <m:ctrlPr>
                      <w:rPr>
                        <w:rFonts w:ascii="Cambria Math" w:eastAsia="Cambria Math" w:hAnsi="Cambria Math" w:cs="Cambria Math"/>
                        <w:i/>
                      </w:rPr>
                    </m:ctrlPr>
                  </m:sSubPr>
                  <m:e>
                    <m:r>
                      <w:rPr>
                        <w:rFonts w:ascii="Cambria Math" w:eastAsia="Cambria Math" w:hAnsi="Cambria Math" w:cs="Cambria Math"/>
                      </w:rPr>
                      <m:t>∈</m:t>
                    </m:r>
                  </m:e>
                  <m:sub>
                    <m:r>
                      <w:rPr>
                        <w:rFonts w:ascii="Cambria Math" w:eastAsia="Cambria Math" w:hAnsi="Cambria Math" w:cs="Cambria Math"/>
                      </w:rPr>
                      <m:t>p</m:t>
                    </m:r>
                  </m:sub>
                </m:sSub>
              </m:oMath>
            </m:oMathPara>
          </w:p>
        </w:tc>
        <w:tc>
          <w:tcPr>
            <w:tcW w:w="7988" w:type="dxa"/>
            <w:tcBorders>
              <w:top w:val="nil"/>
              <w:left w:val="nil"/>
              <w:bottom w:val="nil"/>
              <w:right w:val="nil"/>
            </w:tcBorders>
            <w:shd w:val="clear" w:color="auto" w:fill="auto"/>
            <w:noWrap/>
            <w:vAlign w:val="center"/>
            <w:hideMark/>
          </w:tcPr>
          <w:p w14:paraId="7F8A97DA" w14:textId="064EA357" w:rsidR="00F73132" w:rsidRDefault="00B04C59" w:rsidP="006A58DF">
            <w:pPr>
              <w:spacing w:before="60" w:after="0" w:line="240" w:lineRule="auto"/>
              <w:rPr>
                <w:rFonts w:ascii="Times New Roman" w:hAnsi="Times New Roman"/>
              </w:rPr>
            </w:pPr>
            <w:r>
              <w:t>P</w:t>
            </w:r>
            <w:r w:rsidR="00F73132">
              <w:t>ath inclination in milliradians</w:t>
            </w:r>
            <w:r w:rsidR="00DD30B0">
              <w:t xml:space="preserve"> (assumed to be zero)</w:t>
            </w:r>
            <w:r w:rsidR="00F73132">
              <w:t xml:space="preserve"> </w:t>
            </w:r>
          </w:p>
          <w:p w14:paraId="5F4CF11E" w14:textId="7A1E1C25" w:rsidR="00FE4936" w:rsidRPr="001D2726" w:rsidRDefault="00FE4936" w:rsidP="001D2726">
            <w:pPr>
              <w:spacing w:after="0" w:line="240" w:lineRule="auto"/>
              <w:jc w:val="center"/>
              <w:rPr>
                <w:rFonts w:cs="Arial"/>
                <w:szCs w:val="20"/>
              </w:rPr>
            </w:pPr>
          </w:p>
        </w:tc>
      </w:tr>
    </w:tbl>
    <w:p w14:paraId="5FF5349F" w14:textId="479EE8D1" w:rsidR="00800977" w:rsidRPr="00990C57" w:rsidRDefault="00990C57" w:rsidP="00907A27">
      <m:oMathPara>
        <m:oMathParaPr>
          <m:jc m:val="left"/>
        </m:oMathParaPr>
        <m:oMath>
          <m:r>
            <w:rPr>
              <w:rFonts w:ascii="Cambria Math" w:hAnsi="Cambria Math" w:cs="Arial"/>
            </w:rPr>
            <m:t xml:space="preserve">where,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m:t>
                  </m:r>
                </m:e>
                <m:sub>
                  <m:r>
                    <w:rPr>
                      <w:rFonts w:ascii="Cambria Math" w:eastAsia="Cambria Math" w:hAnsi="Cambria Math" w:cs="Cambria Math"/>
                    </w:rPr>
                    <m:t>p</m:t>
                  </m:r>
                </m:sub>
              </m:sSub>
            </m:e>
          </m:d>
          <m:r>
            <w:rPr>
              <w:rFonts w:ascii="Cambria Math" w:eastAsia="Cambria Math" w:hAnsi="Cambria Math" w:cs="Cambria Math"/>
            </w:rPr>
            <m:t>=</m:t>
          </m:r>
          <m:f>
            <m:fPr>
              <m:ctrlPr>
                <w:rPr>
                  <w:rFonts w:ascii="Cambria Math" w:eastAsia="Cambria Math" w:hAnsi="Cambria Math" w:cs="Cambria Math"/>
                  <w:i/>
                </w:rPr>
              </m:ctrlPr>
            </m:fPr>
            <m:num>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e</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r|</m:t>
                  </m:r>
                </m:sub>
              </m:sSub>
            </m:num>
            <m:den>
              <m:r>
                <w:rPr>
                  <w:rFonts w:ascii="Cambria Math" w:eastAsia="Cambria Math" w:hAnsi="Cambria Math" w:cs="Cambria Math"/>
                </w:rPr>
                <m:t>d</m:t>
              </m:r>
            </m:den>
          </m:f>
          <m:r>
            <w:rPr>
              <w:rFonts w:ascii="Cambria Math" w:eastAsia="Cambria Math" w:hAnsi="Cambria Math" w:cs="Cambria Math"/>
            </w:rPr>
            <m:t xml:space="preserve"> assumed to be zero</m:t>
          </m:r>
        </m:oMath>
      </m:oMathPara>
    </w:p>
    <w:tbl>
      <w:tblPr>
        <w:tblW w:w="8496" w:type="dxa"/>
        <w:tblInd w:w="-142" w:type="dxa"/>
        <w:tblLook w:val="04A0" w:firstRow="1" w:lastRow="0" w:firstColumn="1" w:lastColumn="0" w:noHBand="0" w:noVBand="1"/>
      </w:tblPr>
      <w:tblGrid>
        <w:gridCol w:w="508"/>
        <w:gridCol w:w="7988"/>
      </w:tblGrid>
      <w:tr w:rsidR="00986396" w:rsidRPr="0043168C" w14:paraId="1C543447" w14:textId="77777777" w:rsidTr="00E20894">
        <w:trPr>
          <w:trHeight w:val="336"/>
        </w:trPr>
        <w:tc>
          <w:tcPr>
            <w:tcW w:w="508" w:type="dxa"/>
            <w:tcBorders>
              <w:top w:val="nil"/>
              <w:left w:val="nil"/>
              <w:bottom w:val="nil"/>
              <w:right w:val="nil"/>
            </w:tcBorders>
            <w:shd w:val="clear" w:color="auto" w:fill="auto"/>
            <w:noWrap/>
            <w:vAlign w:val="center"/>
            <w:hideMark/>
          </w:tcPr>
          <w:p w14:paraId="3223B1CD" w14:textId="02272400" w:rsidR="00986396" w:rsidRPr="00E20894" w:rsidRDefault="00986396" w:rsidP="00E20894">
            <w:pPr>
              <w:spacing w:after="0" w:line="240" w:lineRule="auto"/>
              <w:rPr>
                <w:rFonts w:cs="Arial"/>
                <w:szCs w:val="20"/>
              </w:rPr>
            </w:pPr>
            <w:r>
              <w:rPr>
                <w:rFonts w:cs="Arial"/>
                <w:szCs w:val="20"/>
              </w:rPr>
              <w:t>h</w:t>
            </w:r>
            <w:r w:rsidRPr="001D2726">
              <w:rPr>
                <w:rFonts w:cs="Arial"/>
                <w:szCs w:val="20"/>
                <w:vertAlign w:val="subscript"/>
              </w:rPr>
              <w:t>e</w:t>
            </w:r>
          </w:p>
        </w:tc>
        <w:tc>
          <w:tcPr>
            <w:tcW w:w="7988" w:type="dxa"/>
            <w:tcBorders>
              <w:top w:val="nil"/>
              <w:left w:val="nil"/>
              <w:bottom w:val="nil"/>
              <w:right w:val="nil"/>
            </w:tcBorders>
            <w:shd w:val="clear" w:color="auto" w:fill="auto"/>
            <w:noWrap/>
            <w:vAlign w:val="center"/>
            <w:hideMark/>
          </w:tcPr>
          <w:p w14:paraId="1E68D25A" w14:textId="15DB7333" w:rsidR="00986396" w:rsidRPr="00E20894" w:rsidRDefault="00986396" w:rsidP="00E20894">
            <w:pPr>
              <w:spacing w:after="0" w:line="240" w:lineRule="auto"/>
              <w:rPr>
                <w:rFonts w:cs="Arial"/>
                <w:szCs w:val="20"/>
              </w:rPr>
            </w:pPr>
            <w:r>
              <w:rPr>
                <w:rFonts w:cs="Arial"/>
                <w:szCs w:val="20"/>
              </w:rPr>
              <w:t>Transmit antenna height above sea level</w:t>
            </w:r>
          </w:p>
        </w:tc>
      </w:tr>
      <w:tr w:rsidR="00986396" w:rsidRPr="0043168C" w14:paraId="2577DE4B" w14:textId="77777777" w:rsidTr="00E20894">
        <w:trPr>
          <w:trHeight w:val="336"/>
        </w:trPr>
        <w:tc>
          <w:tcPr>
            <w:tcW w:w="508" w:type="dxa"/>
            <w:tcBorders>
              <w:top w:val="nil"/>
              <w:left w:val="nil"/>
              <w:bottom w:val="nil"/>
              <w:right w:val="nil"/>
            </w:tcBorders>
            <w:shd w:val="clear" w:color="auto" w:fill="auto"/>
            <w:noWrap/>
            <w:vAlign w:val="center"/>
            <w:hideMark/>
          </w:tcPr>
          <w:p w14:paraId="4A24639A" w14:textId="3DABC33E" w:rsidR="00986396" w:rsidRPr="00E20894" w:rsidRDefault="00986396" w:rsidP="00986396">
            <w:pPr>
              <w:spacing w:after="0" w:line="240" w:lineRule="auto"/>
              <w:rPr>
                <w:rFonts w:cs="Arial"/>
                <w:szCs w:val="20"/>
              </w:rPr>
            </w:pPr>
            <w:r>
              <w:rPr>
                <w:rFonts w:cs="Arial"/>
                <w:szCs w:val="20"/>
              </w:rPr>
              <w:t>h</w:t>
            </w:r>
            <w:r w:rsidRPr="001D2726">
              <w:rPr>
                <w:rFonts w:cs="Arial"/>
                <w:szCs w:val="20"/>
                <w:vertAlign w:val="subscript"/>
              </w:rPr>
              <w:t>r</w:t>
            </w:r>
          </w:p>
        </w:tc>
        <w:tc>
          <w:tcPr>
            <w:tcW w:w="7988" w:type="dxa"/>
            <w:tcBorders>
              <w:top w:val="nil"/>
              <w:left w:val="nil"/>
              <w:bottom w:val="nil"/>
              <w:right w:val="nil"/>
            </w:tcBorders>
            <w:shd w:val="clear" w:color="auto" w:fill="auto"/>
            <w:noWrap/>
            <w:vAlign w:val="center"/>
            <w:hideMark/>
          </w:tcPr>
          <w:p w14:paraId="710DE515" w14:textId="0CAF1D6D" w:rsidR="00986396" w:rsidRPr="00E20894" w:rsidRDefault="00662976" w:rsidP="00986396">
            <w:pPr>
              <w:spacing w:after="0" w:line="240" w:lineRule="auto"/>
              <w:rPr>
                <w:rFonts w:cs="Arial"/>
                <w:szCs w:val="20"/>
              </w:rPr>
            </w:pPr>
            <w:r>
              <w:rPr>
                <w:rFonts w:cs="Arial"/>
                <w:szCs w:val="20"/>
              </w:rPr>
              <w:t>Receiver</w:t>
            </w:r>
            <w:r w:rsidR="00986396">
              <w:rPr>
                <w:rFonts w:cs="Arial"/>
                <w:szCs w:val="20"/>
              </w:rPr>
              <w:t xml:space="preserve"> antenna height above sea level</w:t>
            </w:r>
          </w:p>
        </w:tc>
      </w:tr>
    </w:tbl>
    <w:p w14:paraId="3C12D229" w14:textId="7F746B2F" w:rsidR="00986396" w:rsidRDefault="00986396" w:rsidP="00907A27"/>
    <w:p w14:paraId="3040F691" w14:textId="54B3F43B" w:rsidR="000E3C2F" w:rsidRPr="000E3C2F" w:rsidRDefault="000E3C2F" w:rsidP="00907A27">
      <w:r>
        <w:t>The maximum allowable interference (</w:t>
      </w:r>
      <w:proofErr w:type="spellStart"/>
      <w:r>
        <w:t>I</w:t>
      </w:r>
      <w:r>
        <w:rPr>
          <w:vertAlign w:val="subscript"/>
        </w:rPr>
        <w:t>all</w:t>
      </w:r>
      <w:proofErr w:type="spellEnd"/>
      <w:r>
        <w:t>) is calculated using the below equation.</w:t>
      </w:r>
    </w:p>
    <w:p w14:paraId="5DB9955E" w14:textId="7A21A7F8" w:rsidR="00FE4936" w:rsidRPr="00B3356A" w:rsidRDefault="00D91BDD" w:rsidP="00907A27">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all</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kTB</m:t>
                  </m:r>
                </m:e>
              </m:d>
            </m:e>
          </m:func>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N</m:t>
              </m:r>
            </m:den>
          </m:f>
          <m:r>
            <w:rPr>
              <w:rFonts w:ascii="Cambria Math" w:hAnsi="Cambria Math"/>
            </w:rPr>
            <m:t xml:space="preserve">|+NF+30 </m:t>
          </m:r>
          <m:d>
            <m:dPr>
              <m:ctrlPr>
                <w:rPr>
                  <w:rFonts w:ascii="Cambria Math" w:hAnsi="Cambria Math"/>
                  <w:i/>
                </w:rPr>
              </m:ctrlPr>
            </m:dPr>
            <m:e>
              <m:r>
                <w:rPr>
                  <w:rFonts w:ascii="Cambria Math" w:hAnsi="Cambria Math"/>
                </w:rPr>
                <m:t>dBm</m:t>
              </m:r>
            </m:e>
          </m:d>
          <m:r>
            <w:rPr>
              <w:rFonts w:ascii="Cambria Math" w:hAnsi="Cambria Math"/>
            </w:rPr>
            <m:t>…….(2)</m:t>
          </m:r>
        </m:oMath>
      </m:oMathPara>
    </w:p>
    <w:tbl>
      <w:tblPr>
        <w:tblW w:w="8598" w:type="dxa"/>
        <w:tblLook w:val="04A0" w:firstRow="1" w:lastRow="0" w:firstColumn="1" w:lastColumn="0" w:noHBand="0" w:noVBand="1"/>
      </w:tblPr>
      <w:tblGrid>
        <w:gridCol w:w="565"/>
        <w:gridCol w:w="8033"/>
      </w:tblGrid>
      <w:tr w:rsidR="00B3356A" w:rsidRPr="00B3356A" w14:paraId="5ED5FEB2" w14:textId="77777777" w:rsidTr="001D2726">
        <w:trPr>
          <w:trHeight w:val="272"/>
        </w:trPr>
        <w:tc>
          <w:tcPr>
            <w:tcW w:w="565" w:type="dxa"/>
            <w:tcBorders>
              <w:top w:val="nil"/>
              <w:left w:val="nil"/>
              <w:bottom w:val="nil"/>
              <w:right w:val="nil"/>
            </w:tcBorders>
            <w:shd w:val="clear" w:color="auto" w:fill="auto"/>
            <w:noWrap/>
            <w:vAlign w:val="bottom"/>
            <w:hideMark/>
          </w:tcPr>
          <w:p w14:paraId="7437396E" w14:textId="77777777" w:rsidR="00B3356A" w:rsidRPr="00B3356A" w:rsidRDefault="00B3356A" w:rsidP="00B3356A">
            <w:pPr>
              <w:spacing w:after="0" w:line="240" w:lineRule="auto"/>
              <w:rPr>
                <w:rFonts w:cs="Arial"/>
                <w:szCs w:val="20"/>
              </w:rPr>
            </w:pPr>
            <w:r w:rsidRPr="00B3356A">
              <w:rPr>
                <w:rFonts w:cs="Arial"/>
                <w:szCs w:val="20"/>
              </w:rPr>
              <w:t>k</w:t>
            </w:r>
          </w:p>
        </w:tc>
        <w:tc>
          <w:tcPr>
            <w:tcW w:w="8033" w:type="dxa"/>
            <w:tcBorders>
              <w:top w:val="nil"/>
              <w:left w:val="nil"/>
              <w:bottom w:val="nil"/>
              <w:right w:val="nil"/>
            </w:tcBorders>
            <w:shd w:val="clear" w:color="auto" w:fill="auto"/>
            <w:noWrap/>
            <w:vAlign w:val="bottom"/>
            <w:hideMark/>
          </w:tcPr>
          <w:p w14:paraId="05A3252E" w14:textId="77777777" w:rsidR="00B3356A" w:rsidRPr="00B3356A" w:rsidRDefault="00B3356A" w:rsidP="00B3356A">
            <w:pPr>
              <w:spacing w:after="0" w:line="240" w:lineRule="auto"/>
              <w:rPr>
                <w:rFonts w:cs="Arial"/>
                <w:szCs w:val="20"/>
              </w:rPr>
            </w:pPr>
            <w:r w:rsidRPr="00B3356A">
              <w:rPr>
                <w:rFonts w:cs="Arial"/>
                <w:szCs w:val="20"/>
              </w:rPr>
              <w:t>Boltzmann’s constant (J/k)</w:t>
            </w:r>
          </w:p>
        </w:tc>
      </w:tr>
      <w:tr w:rsidR="00B3356A" w:rsidRPr="00B3356A" w14:paraId="6C5D0D26" w14:textId="77777777" w:rsidTr="001D2726">
        <w:trPr>
          <w:trHeight w:val="272"/>
        </w:trPr>
        <w:tc>
          <w:tcPr>
            <w:tcW w:w="565" w:type="dxa"/>
            <w:tcBorders>
              <w:top w:val="nil"/>
              <w:left w:val="nil"/>
              <w:bottom w:val="nil"/>
              <w:right w:val="nil"/>
            </w:tcBorders>
            <w:shd w:val="clear" w:color="auto" w:fill="auto"/>
            <w:noWrap/>
            <w:vAlign w:val="bottom"/>
            <w:hideMark/>
          </w:tcPr>
          <w:p w14:paraId="5298DA37" w14:textId="77777777" w:rsidR="00B3356A" w:rsidRPr="00B3356A" w:rsidRDefault="00B3356A" w:rsidP="00B3356A">
            <w:pPr>
              <w:spacing w:after="0" w:line="240" w:lineRule="auto"/>
              <w:rPr>
                <w:rFonts w:cs="Arial"/>
                <w:szCs w:val="20"/>
              </w:rPr>
            </w:pPr>
            <w:r w:rsidRPr="00B3356A">
              <w:rPr>
                <w:rFonts w:cs="Arial"/>
                <w:szCs w:val="20"/>
              </w:rPr>
              <w:t>T</w:t>
            </w:r>
          </w:p>
        </w:tc>
        <w:tc>
          <w:tcPr>
            <w:tcW w:w="8033" w:type="dxa"/>
            <w:tcBorders>
              <w:top w:val="nil"/>
              <w:left w:val="nil"/>
              <w:bottom w:val="nil"/>
              <w:right w:val="nil"/>
            </w:tcBorders>
            <w:shd w:val="clear" w:color="auto" w:fill="auto"/>
            <w:noWrap/>
            <w:vAlign w:val="bottom"/>
            <w:hideMark/>
          </w:tcPr>
          <w:p w14:paraId="4CF84ADE" w14:textId="4EBE1141" w:rsidR="00B3356A" w:rsidRPr="00B3356A" w:rsidRDefault="00B3356A" w:rsidP="006A58DF">
            <w:pPr>
              <w:spacing w:before="60" w:after="0" w:line="240" w:lineRule="auto"/>
              <w:rPr>
                <w:rFonts w:cs="Arial"/>
                <w:szCs w:val="20"/>
              </w:rPr>
            </w:pPr>
            <w:r w:rsidRPr="00B3356A">
              <w:rPr>
                <w:rFonts w:cs="Arial"/>
                <w:szCs w:val="20"/>
              </w:rPr>
              <w:t>Absolute temperature in Kelvin (</w:t>
            </w:r>
            <w:r w:rsidR="00E670C1">
              <w:rPr>
                <w:rFonts w:cs="Arial"/>
                <w:szCs w:val="20"/>
              </w:rPr>
              <w:t xml:space="preserve">assumed </w:t>
            </w:r>
            <w:r w:rsidRPr="00B3356A">
              <w:rPr>
                <w:rFonts w:cs="Arial"/>
                <w:szCs w:val="20"/>
              </w:rPr>
              <w:t>300 degrees Kelvin or 27 Celsius)</w:t>
            </w:r>
          </w:p>
        </w:tc>
      </w:tr>
      <w:tr w:rsidR="00B3356A" w:rsidRPr="00B3356A" w14:paraId="0CCAB82F" w14:textId="77777777" w:rsidTr="001D2726">
        <w:trPr>
          <w:trHeight w:val="272"/>
        </w:trPr>
        <w:tc>
          <w:tcPr>
            <w:tcW w:w="565" w:type="dxa"/>
            <w:tcBorders>
              <w:top w:val="nil"/>
              <w:left w:val="nil"/>
              <w:bottom w:val="nil"/>
              <w:right w:val="nil"/>
            </w:tcBorders>
            <w:shd w:val="clear" w:color="auto" w:fill="auto"/>
            <w:noWrap/>
            <w:vAlign w:val="bottom"/>
            <w:hideMark/>
          </w:tcPr>
          <w:p w14:paraId="48CE573A" w14:textId="77777777" w:rsidR="00B3356A" w:rsidRPr="00B3356A" w:rsidRDefault="00B3356A" w:rsidP="00B3356A">
            <w:pPr>
              <w:spacing w:after="0" w:line="240" w:lineRule="auto"/>
              <w:rPr>
                <w:rFonts w:cs="Arial"/>
                <w:szCs w:val="20"/>
              </w:rPr>
            </w:pPr>
            <w:r w:rsidRPr="00B3356A">
              <w:rPr>
                <w:rFonts w:cs="Arial"/>
                <w:szCs w:val="20"/>
              </w:rPr>
              <w:t>B</w:t>
            </w:r>
          </w:p>
        </w:tc>
        <w:tc>
          <w:tcPr>
            <w:tcW w:w="8033" w:type="dxa"/>
            <w:tcBorders>
              <w:top w:val="nil"/>
              <w:left w:val="nil"/>
              <w:bottom w:val="nil"/>
              <w:right w:val="nil"/>
            </w:tcBorders>
            <w:shd w:val="clear" w:color="auto" w:fill="auto"/>
            <w:noWrap/>
            <w:vAlign w:val="bottom"/>
            <w:hideMark/>
          </w:tcPr>
          <w:p w14:paraId="2EF51F9E" w14:textId="11DCFFC6" w:rsidR="00B3356A" w:rsidRPr="00B3356A" w:rsidRDefault="00B04C59" w:rsidP="006A58DF">
            <w:pPr>
              <w:spacing w:before="60" w:after="0" w:line="240" w:lineRule="auto"/>
              <w:rPr>
                <w:rFonts w:cs="Arial"/>
                <w:szCs w:val="20"/>
              </w:rPr>
            </w:pPr>
            <w:r>
              <w:rPr>
                <w:rFonts w:cs="Arial"/>
                <w:szCs w:val="20"/>
              </w:rPr>
              <w:t>F</w:t>
            </w:r>
            <w:r w:rsidR="00B3356A" w:rsidRPr="00B3356A">
              <w:rPr>
                <w:rFonts w:cs="Arial"/>
                <w:szCs w:val="20"/>
              </w:rPr>
              <w:t>ixed link receiver bandwidth (Hz)</w:t>
            </w:r>
          </w:p>
        </w:tc>
      </w:tr>
      <w:tr w:rsidR="00B3356A" w:rsidRPr="00B3356A" w14:paraId="759255EC" w14:textId="77777777" w:rsidTr="001D2726">
        <w:trPr>
          <w:trHeight w:val="272"/>
        </w:trPr>
        <w:tc>
          <w:tcPr>
            <w:tcW w:w="565" w:type="dxa"/>
            <w:tcBorders>
              <w:top w:val="nil"/>
              <w:left w:val="nil"/>
              <w:bottom w:val="nil"/>
              <w:right w:val="nil"/>
            </w:tcBorders>
            <w:shd w:val="clear" w:color="auto" w:fill="auto"/>
            <w:noWrap/>
            <w:vAlign w:val="bottom"/>
            <w:hideMark/>
          </w:tcPr>
          <w:p w14:paraId="58089700" w14:textId="77777777" w:rsidR="00B3356A" w:rsidRPr="00B3356A" w:rsidRDefault="00B3356A" w:rsidP="00B3356A">
            <w:pPr>
              <w:spacing w:after="0" w:line="240" w:lineRule="auto"/>
              <w:rPr>
                <w:rFonts w:cs="Arial"/>
                <w:szCs w:val="20"/>
              </w:rPr>
            </w:pPr>
            <w:r w:rsidRPr="00B3356A">
              <w:rPr>
                <w:rFonts w:cs="Arial"/>
                <w:szCs w:val="20"/>
              </w:rPr>
              <w:t>NF</w:t>
            </w:r>
          </w:p>
        </w:tc>
        <w:tc>
          <w:tcPr>
            <w:tcW w:w="8033" w:type="dxa"/>
            <w:tcBorders>
              <w:top w:val="nil"/>
              <w:left w:val="nil"/>
              <w:bottom w:val="nil"/>
              <w:right w:val="nil"/>
            </w:tcBorders>
            <w:shd w:val="clear" w:color="auto" w:fill="auto"/>
            <w:noWrap/>
            <w:vAlign w:val="bottom"/>
            <w:hideMark/>
          </w:tcPr>
          <w:p w14:paraId="5C95B01E" w14:textId="664D0720" w:rsidR="00B3356A" w:rsidRPr="00B3356A" w:rsidRDefault="00B3356A" w:rsidP="00B3356A">
            <w:pPr>
              <w:spacing w:after="0" w:line="240" w:lineRule="auto"/>
              <w:rPr>
                <w:rFonts w:cs="Arial"/>
                <w:szCs w:val="20"/>
              </w:rPr>
            </w:pPr>
            <w:r w:rsidRPr="00B3356A">
              <w:rPr>
                <w:rFonts w:cs="Arial"/>
                <w:szCs w:val="20"/>
              </w:rPr>
              <w:t xml:space="preserve">Noise </w:t>
            </w:r>
            <w:r w:rsidR="00B04C59">
              <w:rPr>
                <w:rFonts w:cs="Arial"/>
                <w:szCs w:val="20"/>
              </w:rPr>
              <w:t>f</w:t>
            </w:r>
            <w:r w:rsidRPr="00B3356A">
              <w:rPr>
                <w:rFonts w:cs="Arial"/>
                <w:szCs w:val="20"/>
              </w:rPr>
              <w:t>igure (dB)</w:t>
            </w:r>
          </w:p>
        </w:tc>
      </w:tr>
      <w:tr w:rsidR="00B3356A" w:rsidRPr="00B3356A" w14:paraId="7F2032B7" w14:textId="77777777" w:rsidTr="001D2726">
        <w:trPr>
          <w:trHeight w:val="272"/>
        </w:trPr>
        <w:tc>
          <w:tcPr>
            <w:tcW w:w="565" w:type="dxa"/>
            <w:tcBorders>
              <w:top w:val="nil"/>
              <w:left w:val="nil"/>
              <w:bottom w:val="nil"/>
              <w:right w:val="nil"/>
            </w:tcBorders>
            <w:shd w:val="clear" w:color="auto" w:fill="auto"/>
            <w:noWrap/>
            <w:vAlign w:val="bottom"/>
            <w:hideMark/>
          </w:tcPr>
          <w:p w14:paraId="09F73593" w14:textId="77777777" w:rsidR="00B3356A" w:rsidRPr="00B3356A" w:rsidRDefault="00B3356A" w:rsidP="00B3356A">
            <w:pPr>
              <w:spacing w:after="0" w:line="240" w:lineRule="auto"/>
              <w:rPr>
                <w:rFonts w:cs="Arial"/>
                <w:szCs w:val="20"/>
              </w:rPr>
            </w:pPr>
            <w:r w:rsidRPr="00B3356A">
              <w:rPr>
                <w:rFonts w:cs="Arial"/>
                <w:szCs w:val="20"/>
              </w:rPr>
              <w:t>I/N</w:t>
            </w:r>
          </w:p>
        </w:tc>
        <w:tc>
          <w:tcPr>
            <w:tcW w:w="8033" w:type="dxa"/>
            <w:tcBorders>
              <w:top w:val="nil"/>
              <w:left w:val="nil"/>
              <w:bottom w:val="nil"/>
              <w:right w:val="nil"/>
            </w:tcBorders>
            <w:shd w:val="clear" w:color="auto" w:fill="auto"/>
            <w:noWrap/>
            <w:vAlign w:val="bottom"/>
            <w:hideMark/>
          </w:tcPr>
          <w:p w14:paraId="6BCEFF2C" w14:textId="3417394E" w:rsidR="00B3356A" w:rsidRPr="00B3356A" w:rsidRDefault="00983C5F" w:rsidP="00B3356A">
            <w:pPr>
              <w:spacing w:after="0" w:line="240" w:lineRule="auto"/>
              <w:rPr>
                <w:rFonts w:cs="Arial"/>
                <w:szCs w:val="20"/>
              </w:rPr>
            </w:pPr>
            <w:r>
              <w:t xml:space="preserve">Interference to </w:t>
            </w:r>
            <w:r w:rsidR="00B04C59">
              <w:t>n</w:t>
            </w:r>
            <w:r>
              <w:t>oise ratio (dB)</w:t>
            </w:r>
          </w:p>
        </w:tc>
      </w:tr>
    </w:tbl>
    <w:p w14:paraId="23102015" w14:textId="4B3B5323" w:rsidR="00B3356A" w:rsidRPr="00E56B46" w:rsidRDefault="00B3356A" w:rsidP="00907A27">
      <w:pPr>
        <w:rPr>
          <w:rFonts w:ascii="Times New Roman" w:hAnsi="Times New Roman"/>
        </w:rPr>
      </w:pPr>
    </w:p>
    <w:p w14:paraId="3DF148EC" w14:textId="5D12F3A8" w:rsidR="000E3C2F" w:rsidRPr="001D2726" w:rsidRDefault="000E3C2F" w:rsidP="00907A27">
      <w:pPr>
        <w:rPr>
          <w:rFonts w:cs="Arial"/>
        </w:rPr>
      </w:pPr>
      <w:r w:rsidRPr="001D2726">
        <w:rPr>
          <w:rFonts w:cs="Arial"/>
        </w:rPr>
        <w:t>Using the</w:t>
      </w:r>
      <w:r>
        <w:rPr>
          <w:rFonts w:cs="Arial"/>
        </w:rPr>
        <w:t xml:space="preserve"> calculated fade margin and maximum allowable interference from </w:t>
      </w:r>
      <w:r w:rsidR="00E670C1">
        <w:rPr>
          <w:rFonts w:cs="Arial"/>
        </w:rPr>
        <w:t>equations</w:t>
      </w:r>
      <w:r>
        <w:rPr>
          <w:rFonts w:cs="Arial"/>
        </w:rPr>
        <w:t xml:space="preserve"> 1 and 2, the revised protection ratio (PR) can be calculated using the below equation.</w:t>
      </w:r>
    </w:p>
    <w:tbl>
      <w:tblPr>
        <w:tblpPr w:leftFromText="180" w:rightFromText="180" w:vertAnchor="text" w:horzAnchor="margin" w:tblpY="404"/>
        <w:tblW w:w="9838" w:type="dxa"/>
        <w:tblLook w:val="04A0" w:firstRow="1" w:lastRow="0" w:firstColumn="1" w:lastColumn="0" w:noHBand="0" w:noVBand="1"/>
      </w:tblPr>
      <w:tblGrid>
        <w:gridCol w:w="567"/>
        <w:gridCol w:w="9271"/>
      </w:tblGrid>
      <w:tr w:rsidR="00580253" w:rsidRPr="000804F8" w14:paraId="11514216" w14:textId="77777777" w:rsidTr="001D2726">
        <w:trPr>
          <w:trHeight w:val="284"/>
        </w:trPr>
        <w:tc>
          <w:tcPr>
            <w:tcW w:w="567" w:type="dxa"/>
            <w:tcBorders>
              <w:top w:val="nil"/>
              <w:left w:val="nil"/>
              <w:bottom w:val="nil"/>
              <w:right w:val="nil"/>
            </w:tcBorders>
            <w:shd w:val="clear" w:color="auto" w:fill="auto"/>
            <w:noWrap/>
            <w:vAlign w:val="bottom"/>
            <w:hideMark/>
          </w:tcPr>
          <w:p w14:paraId="4C2BFB0E" w14:textId="111FE6FB" w:rsidR="00F07F5B" w:rsidRPr="00F6743E" w:rsidRDefault="00F07F5B" w:rsidP="00F07F5B">
            <w:pPr>
              <w:spacing w:after="0" w:line="240" w:lineRule="auto"/>
              <w:rPr>
                <w:rFonts w:cs="Arial"/>
                <w:szCs w:val="20"/>
              </w:rPr>
            </w:pPr>
            <w:proofErr w:type="spellStart"/>
            <w:r w:rsidRPr="00F6743E">
              <w:rPr>
                <w:rFonts w:cs="Arial"/>
                <w:szCs w:val="20"/>
              </w:rPr>
              <w:t>T</w:t>
            </w:r>
            <w:r w:rsidRPr="00F6743E">
              <w:rPr>
                <w:rFonts w:cs="Arial"/>
                <w:szCs w:val="20"/>
                <w:vertAlign w:val="subscript"/>
              </w:rPr>
              <w:t>mx</w:t>
            </w:r>
            <w:proofErr w:type="spellEnd"/>
            <w:r w:rsidR="00F6743E" w:rsidRPr="00F6743E">
              <w:rPr>
                <w:rFonts w:cs="Arial"/>
                <w:szCs w:val="20"/>
                <w:vertAlign w:val="subscript"/>
              </w:rPr>
              <w:t xml:space="preserve">  </w:t>
            </w:r>
          </w:p>
        </w:tc>
        <w:tc>
          <w:tcPr>
            <w:tcW w:w="9271" w:type="dxa"/>
            <w:tcBorders>
              <w:top w:val="nil"/>
              <w:left w:val="nil"/>
              <w:bottom w:val="nil"/>
              <w:right w:val="nil"/>
            </w:tcBorders>
            <w:shd w:val="clear" w:color="auto" w:fill="auto"/>
            <w:noWrap/>
            <w:vAlign w:val="bottom"/>
            <w:hideMark/>
          </w:tcPr>
          <w:p w14:paraId="4E4B243F" w14:textId="2DB3F239" w:rsidR="00F07F5B" w:rsidRPr="000804F8" w:rsidRDefault="00F07F5B" w:rsidP="001D2726">
            <w:pPr>
              <w:spacing w:after="0" w:line="240" w:lineRule="auto"/>
              <w:jc w:val="both"/>
              <w:rPr>
                <w:rFonts w:cs="Arial"/>
                <w:szCs w:val="20"/>
              </w:rPr>
            </w:pPr>
            <w:r w:rsidRPr="000804F8">
              <w:rPr>
                <w:rFonts w:cs="Arial"/>
                <w:szCs w:val="20"/>
              </w:rPr>
              <w:t>receiver threshold level for specified S/N and BER (</w:t>
            </w:r>
            <w:r>
              <w:rPr>
                <w:rFonts w:cs="Arial"/>
                <w:szCs w:val="20"/>
              </w:rPr>
              <w:t>1x</w:t>
            </w:r>
            <w:r w:rsidRPr="000804F8">
              <w:rPr>
                <w:rFonts w:cs="Arial"/>
                <w:szCs w:val="20"/>
              </w:rPr>
              <w:t>10</w:t>
            </w:r>
            <w:r w:rsidRPr="00933E1E">
              <w:rPr>
                <w:rFonts w:cs="Arial"/>
                <w:szCs w:val="20"/>
                <w:vertAlign w:val="superscript"/>
              </w:rPr>
              <w:t>-3</w:t>
            </w:r>
            <w:r w:rsidRPr="000804F8">
              <w:rPr>
                <w:rFonts w:cs="Arial"/>
                <w:szCs w:val="20"/>
              </w:rPr>
              <w:t>)</w:t>
            </w:r>
            <w:r w:rsidR="00F6743E">
              <w:rPr>
                <w:rFonts w:cs="Arial"/>
                <w:szCs w:val="20"/>
              </w:rPr>
              <w:t xml:space="preserve"> in dBm per channel </w:t>
            </w:r>
            <w:r w:rsidR="00F6743E" w:rsidRPr="00F6743E">
              <w:rPr>
                <w:rFonts w:cs="Arial"/>
                <w:szCs w:val="20"/>
              </w:rPr>
              <w:t>BW</w:t>
            </w:r>
          </w:p>
        </w:tc>
      </w:tr>
    </w:tbl>
    <w:p w14:paraId="46261B52" w14:textId="1D9087DC" w:rsidR="00E56B46" w:rsidRPr="001D2726" w:rsidRDefault="00E56B46" w:rsidP="00907A27">
      <w:pPr>
        <w:rPr>
          <w:rFonts w:ascii="Times New Roman" w:hAnsi="Times New Roman"/>
        </w:rPr>
      </w:pPr>
      <m:oMath>
        <m:r>
          <w:rPr>
            <w:rFonts w:ascii="Cambria Math" w:hAnsi="Cambria Math"/>
          </w:rPr>
          <m:t>PR=</m:t>
        </m:r>
        <m:sSub>
          <m:sSubPr>
            <m:ctrlPr>
              <w:rPr>
                <w:rFonts w:ascii="Cambria Math" w:hAnsi="Cambria Math"/>
                <w:i/>
              </w:rPr>
            </m:ctrlPr>
          </m:sSubPr>
          <m:e>
            <m:r>
              <w:rPr>
                <w:rFonts w:ascii="Cambria Math" w:hAnsi="Cambria Math"/>
              </w:rPr>
              <m:t>T</m:t>
            </m:r>
          </m:e>
          <m:sub>
            <m:r>
              <w:rPr>
                <w:rFonts w:ascii="Cambria Math" w:hAnsi="Cambria Math"/>
              </w:rPr>
              <m:t>mx</m:t>
            </m:r>
          </m:sub>
        </m:sSub>
        <m:r>
          <w:rPr>
            <w:rFonts w:ascii="Cambria Math" w:hAnsi="Cambria Math"/>
          </w:rPr>
          <m:t xml:space="preserve">+FM- </m:t>
        </m:r>
        <m:sSub>
          <m:sSubPr>
            <m:ctrlPr>
              <w:rPr>
                <w:rFonts w:ascii="Cambria Math" w:hAnsi="Cambria Math"/>
                <w:i/>
              </w:rPr>
            </m:ctrlPr>
          </m:sSubPr>
          <m:e>
            <m:r>
              <w:rPr>
                <w:rFonts w:ascii="Cambria Math" w:hAnsi="Cambria Math"/>
              </w:rPr>
              <m:t>I</m:t>
            </m:r>
          </m:e>
          <m:sub>
            <m:r>
              <w:rPr>
                <w:rFonts w:ascii="Cambria Math" w:hAnsi="Cambria Math"/>
              </w:rPr>
              <m:t>all</m:t>
            </m:r>
          </m:sub>
        </m:sSub>
      </m:oMath>
      <w:r w:rsidR="00A860CB">
        <w:rPr>
          <w:rFonts w:ascii="Times New Roman" w:hAnsi="Times New Roman"/>
        </w:rPr>
        <w:t xml:space="preserve"> ….. (3)</w:t>
      </w:r>
    </w:p>
    <w:p w14:paraId="0DE22AE9" w14:textId="2E7E2083" w:rsidR="00FE4936" w:rsidRDefault="00FE4936" w:rsidP="00907A27"/>
    <w:p w14:paraId="3A1E1EDF" w14:textId="54F5F5F7" w:rsidR="00662976" w:rsidRDefault="00662976" w:rsidP="00907A27">
      <w:r>
        <w:t xml:space="preserve">Table 6 </w:t>
      </w:r>
      <w:r w:rsidR="00B04C59">
        <w:t xml:space="preserve">below </w:t>
      </w:r>
      <w:r>
        <w:t xml:space="preserve">shows the input parameter values used in the equations </w:t>
      </w:r>
      <w:r w:rsidR="00C0464A">
        <w:t>and</w:t>
      </w:r>
      <w:r>
        <w:t xml:space="preserve"> </w:t>
      </w:r>
      <w:r w:rsidR="00827E36">
        <w:t>relevant references.</w:t>
      </w:r>
    </w:p>
    <w:p w14:paraId="44215507" w14:textId="50534414" w:rsidR="00662976" w:rsidRDefault="00662976" w:rsidP="006A58DF">
      <w:pPr>
        <w:pStyle w:val="Tableheading"/>
        <w:keepLines/>
      </w:pPr>
      <w:r w:rsidRPr="00662976">
        <w:t>Input parameters and assumption values</w:t>
      </w:r>
    </w:p>
    <w:tbl>
      <w:tblPr>
        <w:tblW w:w="9634" w:type="dxa"/>
        <w:tblCellMar>
          <w:top w:w="57" w:type="dxa"/>
          <w:bottom w:w="57" w:type="dxa"/>
        </w:tblCellMar>
        <w:tblLook w:val="04A0" w:firstRow="1" w:lastRow="0" w:firstColumn="1" w:lastColumn="0" w:noHBand="0" w:noVBand="1"/>
      </w:tblPr>
      <w:tblGrid>
        <w:gridCol w:w="2547"/>
        <w:gridCol w:w="2551"/>
        <w:gridCol w:w="4536"/>
      </w:tblGrid>
      <w:tr w:rsidR="00B243C2" w:rsidRPr="00B243C2" w14:paraId="5364B614" w14:textId="77777777" w:rsidTr="006A58DF">
        <w:trPr>
          <w:trHeight w:val="285"/>
        </w:trPr>
        <w:tc>
          <w:tcPr>
            <w:tcW w:w="2547"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52603127" w14:textId="77777777" w:rsidR="00405D71" w:rsidRPr="006A58DF" w:rsidRDefault="00405D71" w:rsidP="006A58DF">
            <w:pPr>
              <w:keepNext/>
              <w:keepLines/>
              <w:spacing w:after="0" w:line="240" w:lineRule="auto"/>
              <w:rPr>
                <w:rFonts w:cs="Arial"/>
                <w:b/>
                <w:bCs/>
                <w:color w:val="FFFFFF" w:themeColor="background1"/>
                <w:szCs w:val="20"/>
              </w:rPr>
            </w:pPr>
            <w:r w:rsidRPr="006A58DF">
              <w:rPr>
                <w:rFonts w:cs="Arial"/>
                <w:b/>
                <w:bCs/>
                <w:color w:val="FFFFFF" w:themeColor="background1"/>
                <w:szCs w:val="20"/>
              </w:rPr>
              <w:t>Parameters</w:t>
            </w:r>
          </w:p>
        </w:tc>
        <w:tc>
          <w:tcPr>
            <w:tcW w:w="2551" w:type="dxa"/>
            <w:tcBorders>
              <w:top w:val="single" w:sz="4" w:space="0" w:color="auto"/>
              <w:left w:val="nil"/>
              <w:bottom w:val="single" w:sz="4" w:space="0" w:color="auto"/>
              <w:right w:val="single" w:sz="4" w:space="0" w:color="auto"/>
            </w:tcBorders>
            <w:shd w:val="clear" w:color="auto" w:fill="404040" w:themeFill="text1" w:themeFillTint="BF"/>
            <w:noWrap/>
            <w:vAlign w:val="bottom"/>
            <w:hideMark/>
          </w:tcPr>
          <w:p w14:paraId="4F4A9064" w14:textId="77777777" w:rsidR="00405D71" w:rsidRPr="006A58DF" w:rsidRDefault="00405D71" w:rsidP="006A58DF">
            <w:pPr>
              <w:keepNext/>
              <w:keepLines/>
              <w:spacing w:after="0" w:line="240" w:lineRule="auto"/>
              <w:rPr>
                <w:rFonts w:cs="Arial"/>
                <w:b/>
                <w:bCs/>
                <w:color w:val="FFFFFF" w:themeColor="background1"/>
                <w:szCs w:val="20"/>
              </w:rPr>
            </w:pPr>
            <w:r w:rsidRPr="006A58DF">
              <w:rPr>
                <w:rFonts w:cs="Arial"/>
                <w:b/>
                <w:bCs/>
                <w:color w:val="FFFFFF" w:themeColor="background1"/>
                <w:szCs w:val="20"/>
              </w:rPr>
              <w:t>Input values</w:t>
            </w:r>
          </w:p>
        </w:tc>
        <w:tc>
          <w:tcPr>
            <w:tcW w:w="4536" w:type="dxa"/>
            <w:tcBorders>
              <w:top w:val="single" w:sz="4" w:space="0" w:color="auto"/>
              <w:left w:val="nil"/>
              <w:bottom w:val="single" w:sz="4" w:space="0" w:color="auto"/>
              <w:right w:val="single" w:sz="4" w:space="0" w:color="auto"/>
            </w:tcBorders>
            <w:shd w:val="clear" w:color="auto" w:fill="404040" w:themeFill="text1" w:themeFillTint="BF"/>
            <w:noWrap/>
            <w:vAlign w:val="bottom"/>
            <w:hideMark/>
          </w:tcPr>
          <w:p w14:paraId="7A922364" w14:textId="77777777" w:rsidR="00405D71" w:rsidRPr="006A58DF" w:rsidRDefault="00405D71" w:rsidP="006A58DF">
            <w:pPr>
              <w:keepNext/>
              <w:keepLines/>
              <w:spacing w:after="0" w:line="240" w:lineRule="auto"/>
              <w:rPr>
                <w:rFonts w:cs="Arial"/>
                <w:b/>
                <w:bCs/>
                <w:color w:val="FFFFFF" w:themeColor="background1"/>
                <w:szCs w:val="20"/>
              </w:rPr>
            </w:pPr>
            <w:r w:rsidRPr="006A58DF">
              <w:rPr>
                <w:rFonts w:cs="Arial"/>
                <w:b/>
                <w:bCs/>
                <w:color w:val="FFFFFF" w:themeColor="background1"/>
                <w:szCs w:val="20"/>
              </w:rPr>
              <w:t>Reference</w:t>
            </w:r>
          </w:p>
        </w:tc>
      </w:tr>
      <w:tr w:rsidR="00405D71" w:rsidRPr="00405D71" w14:paraId="136F837B" w14:textId="77777777" w:rsidTr="006A58DF">
        <w:trPr>
          <w:trHeight w:val="28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9A9F5C1" w14:textId="79FE47A3" w:rsidR="00405D71" w:rsidRPr="00405D71" w:rsidRDefault="00405D71" w:rsidP="006A58DF">
            <w:pPr>
              <w:keepNext/>
              <w:keepLines/>
              <w:spacing w:after="0" w:line="240" w:lineRule="auto"/>
              <w:rPr>
                <w:rFonts w:cs="Arial"/>
                <w:szCs w:val="20"/>
              </w:rPr>
            </w:pPr>
            <w:r w:rsidRPr="00405D71">
              <w:rPr>
                <w:rFonts w:cs="Arial"/>
                <w:szCs w:val="20"/>
              </w:rPr>
              <w:t xml:space="preserve">Band / </w:t>
            </w:r>
            <w:r w:rsidR="00B243C2">
              <w:rPr>
                <w:rFonts w:cs="Arial"/>
                <w:szCs w:val="20"/>
              </w:rPr>
              <w:t>f</w:t>
            </w:r>
            <w:r w:rsidRPr="00405D71">
              <w:rPr>
                <w:rFonts w:cs="Arial"/>
                <w:szCs w:val="20"/>
              </w:rPr>
              <w:t>requency (GHz)</w:t>
            </w:r>
          </w:p>
        </w:tc>
        <w:tc>
          <w:tcPr>
            <w:tcW w:w="2551" w:type="dxa"/>
            <w:tcBorders>
              <w:top w:val="nil"/>
              <w:left w:val="nil"/>
              <w:bottom w:val="single" w:sz="4" w:space="0" w:color="auto"/>
              <w:right w:val="single" w:sz="4" w:space="0" w:color="auto"/>
            </w:tcBorders>
            <w:shd w:val="clear" w:color="auto" w:fill="auto"/>
            <w:noWrap/>
            <w:vAlign w:val="center"/>
            <w:hideMark/>
          </w:tcPr>
          <w:p w14:paraId="6845DACE" w14:textId="77777777" w:rsidR="00405D71" w:rsidRPr="00405D71" w:rsidRDefault="00405D71" w:rsidP="006A58DF">
            <w:pPr>
              <w:keepNext/>
              <w:keepLines/>
              <w:spacing w:after="0" w:line="240" w:lineRule="auto"/>
              <w:jc w:val="center"/>
              <w:rPr>
                <w:rFonts w:cs="Arial"/>
                <w:szCs w:val="20"/>
              </w:rPr>
            </w:pPr>
            <w:r w:rsidRPr="00405D71">
              <w:rPr>
                <w:rFonts w:cs="Arial"/>
                <w:szCs w:val="20"/>
              </w:rPr>
              <w:t>0.8</w:t>
            </w:r>
          </w:p>
        </w:tc>
        <w:tc>
          <w:tcPr>
            <w:tcW w:w="4536" w:type="dxa"/>
            <w:tcBorders>
              <w:top w:val="nil"/>
              <w:left w:val="nil"/>
              <w:bottom w:val="single" w:sz="4" w:space="0" w:color="auto"/>
              <w:right w:val="single" w:sz="4" w:space="0" w:color="auto"/>
            </w:tcBorders>
            <w:shd w:val="clear" w:color="auto" w:fill="auto"/>
            <w:noWrap/>
            <w:vAlign w:val="center"/>
            <w:hideMark/>
          </w:tcPr>
          <w:p w14:paraId="5AE80E0A" w14:textId="77777777" w:rsidR="00405D71" w:rsidRPr="00405D71" w:rsidRDefault="00405D71" w:rsidP="006A58DF">
            <w:pPr>
              <w:keepNext/>
              <w:keepLines/>
              <w:spacing w:after="0" w:line="240" w:lineRule="auto"/>
              <w:rPr>
                <w:rFonts w:cs="Arial"/>
                <w:szCs w:val="20"/>
              </w:rPr>
            </w:pPr>
            <w:r w:rsidRPr="00405D71">
              <w:rPr>
                <w:rFonts w:cs="Arial"/>
                <w:szCs w:val="20"/>
              </w:rPr>
              <w:t> </w:t>
            </w:r>
          </w:p>
        </w:tc>
      </w:tr>
      <w:tr w:rsidR="00405D71" w:rsidRPr="00405D71" w14:paraId="41889F01" w14:textId="77777777" w:rsidTr="006A58DF">
        <w:trPr>
          <w:trHeight w:val="285"/>
        </w:trPr>
        <w:tc>
          <w:tcPr>
            <w:tcW w:w="2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13C41A" w14:textId="2B0F4468" w:rsidR="00405D71" w:rsidRPr="00405D71" w:rsidRDefault="00405D71" w:rsidP="006A58DF">
            <w:pPr>
              <w:keepNext/>
              <w:keepLines/>
              <w:spacing w:after="0" w:line="240" w:lineRule="auto"/>
              <w:rPr>
                <w:rFonts w:cs="Arial"/>
                <w:szCs w:val="20"/>
              </w:rPr>
            </w:pPr>
            <w:r w:rsidRPr="00405D71">
              <w:rPr>
                <w:rFonts w:cs="Arial"/>
                <w:szCs w:val="20"/>
              </w:rPr>
              <w:t>B</w:t>
            </w:r>
            <w:r w:rsidR="00BE7775">
              <w:rPr>
                <w:rFonts w:cs="Arial"/>
                <w:szCs w:val="20"/>
              </w:rPr>
              <w:t xml:space="preserve">and </w:t>
            </w:r>
            <w:r w:rsidR="00B243C2">
              <w:rPr>
                <w:rFonts w:cs="Arial"/>
                <w:szCs w:val="20"/>
              </w:rPr>
              <w:t>w</w:t>
            </w:r>
            <w:r w:rsidR="00BE7775">
              <w:rPr>
                <w:rFonts w:cs="Arial"/>
                <w:szCs w:val="20"/>
              </w:rPr>
              <w:t>idth</w:t>
            </w:r>
          </w:p>
        </w:tc>
        <w:tc>
          <w:tcPr>
            <w:tcW w:w="25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956D8AF" w14:textId="1C67CB04" w:rsidR="00405D71" w:rsidRPr="00405D71" w:rsidRDefault="00881402" w:rsidP="006A58DF">
            <w:pPr>
              <w:keepNext/>
              <w:keepLines/>
              <w:spacing w:after="0" w:line="240" w:lineRule="auto"/>
              <w:jc w:val="center"/>
              <w:rPr>
                <w:rFonts w:cs="Arial"/>
                <w:szCs w:val="20"/>
              </w:rPr>
            </w:pPr>
            <w:r>
              <w:rPr>
                <w:rFonts w:cs="Arial"/>
                <w:szCs w:val="20"/>
              </w:rPr>
              <w:t xml:space="preserve">50 </w:t>
            </w:r>
            <w:r w:rsidR="00BE7775">
              <w:rPr>
                <w:rFonts w:cs="Arial"/>
                <w:szCs w:val="20"/>
              </w:rPr>
              <w:t xml:space="preserve">kHz / </w:t>
            </w:r>
            <w:r w:rsidR="00405D71" w:rsidRPr="00405D71">
              <w:rPr>
                <w:rFonts w:cs="Arial"/>
                <w:szCs w:val="20"/>
              </w:rPr>
              <w:t>200 kHz</w:t>
            </w:r>
          </w:p>
        </w:tc>
        <w:tc>
          <w:tcPr>
            <w:tcW w:w="4536" w:type="dxa"/>
            <w:tcBorders>
              <w:top w:val="nil"/>
              <w:left w:val="nil"/>
              <w:bottom w:val="single" w:sz="4" w:space="0" w:color="auto"/>
              <w:right w:val="single" w:sz="4" w:space="0" w:color="auto"/>
            </w:tcBorders>
            <w:shd w:val="clear" w:color="auto" w:fill="D9D9D9" w:themeFill="background1" w:themeFillShade="D9"/>
            <w:noWrap/>
            <w:vAlign w:val="center"/>
            <w:hideMark/>
          </w:tcPr>
          <w:p w14:paraId="43C3971A" w14:textId="6EF0DECF" w:rsidR="00405D71" w:rsidRPr="00405D71" w:rsidRDefault="00E670C1" w:rsidP="006A58DF">
            <w:pPr>
              <w:keepNext/>
              <w:keepLines/>
              <w:spacing w:after="0" w:line="240" w:lineRule="auto"/>
              <w:rPr>
                <w:rFonts w:cs="Arial"/>
                <w:szCs w:val="20"/>
              </w:rPr>
            </w:pPr>
            <w:r>
              <w:rPr>
                <w:rFonts w:cs="Arial"/>
                <w:szCs w:val="20"/>
              </w:rPr>
              <w:t xml:space="preserve">Assumed. Aligns with example links in </w:t>
            </w:r>
            <w:hyperlink r:id="rId33" w:history="1">
              <w:r w:rsidRPr="00405D71">
                <w:rPr>
                  <w:rStyle w:val="Hyperlink"/>
                  <w:rFonts w:cs="Arial"/>
                  <w:szCs w:val="20"/>
                </w:rPr>
                <w:t>ITU-R F.758-5 Table 4</w:t>
              </w:r>
            </w:hyperlink>
          </w:p>
        </w:tc>
      </w:tr>
      <w:tr w:rsidR="00405D71" w:rsidRPr="00405D71" w14:paraId="7E22A38A" w14:textId="77777777" w:rsidTr="006A58DF">
        <w:trPr>
          <w:trHeight w:val="28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148CC0C" w14:textId="03C01DEE" w:rsidR="00405D71" w:rsidRPr="00405D71" w:rsidRDefault="00B243C2" w:rsidP="006A58DF">
            <w:pPr>
              <w:keepNext/>
              <w:keepLines/>
              <w:spacing w:after="0" w:line="240" w:lineRule="auto"/>
              <w:rPr>
                <w:rFonts w:cs="Arial"/>
                <w:szCs w:val="20"/>
              </w:rPr>
            </w:pPr>
            <w:r>
              <w:rPr>
                <w:rFonts w:cs="Arial"/>
                <w:szCs w:val="20"/>
              </w:rPr>
              <w:t>L</w:t>
            </w:r>
            <w:r w:rsidR="00405D71" w:rsidRPr="00405D71">
              <w:rPr>
                <w:rFonts w:cs="Arial"/>
                <w:szCs w:val="20"/>
              </w:rPr>
              <w:t>ink availability (%)</w:t>
            </w:r>
          </w:p>
        </w:tc>
        <w:tc>
          <w:tcPr>
            <w:tcW w:w="2551" w:type="dxa"/>
            <w:tcBorders>
              <w:top w:val="nil"/>
              <w:left w:val="nil"/>
              <w:bottom w:val="single" w:sz="4" w:space="0" w:color="auto"/>
              <w:right w:val="single" w:sz="4" w:space="0" w:color="auto"/>
            </w:tcBorders>
            <w:shd w:val="clear" w:color="auto" w:fill="auto"/>
            <w:noWrap/>
            <w:vAlign w:val="center"/>
            <w:hideMark/>
          </w:tcPr>
          <w:p w14:paraId="50C8A44D" w14:textId="77777777" w:rsidR="00405D71" w:rsidRPr="00405D71" w:rsidRDefault="00405D71" w:rsidP="006A58DF">
            <w:pPr>
              <w:keepNext/>
              <w:keepLines/>
              <w:spacing w:after="0" w:line="240" w:lineRule="auto"/>
              <w:jc w:val="center"/>
              <w:rPr>
                <w:rFonts w:cs="Arial"/>
                <w:szCs w:val="20"/>
              </w:rPr>
            </w:pPr>
            <w:r w:rsidRPr="00405D71">
              <w:rPr>
                <w:rFonts w:cs="Arial"/>
                <w:szCs w:val="20"/>
              </w:rPr>
              <w:t>99.99</w:t>
            </w:r>
          </w:p>
        </w:tc>
        <w:tc>
          <w:tcPr>
            <w:tcW w:w="4536" w:type="dxa"/>
            <w:tcBorders>
              <w:top w:val="nil"/>
              <w:left w:val="nil"/>
              <w:bottom w:val="single" w:sz="4" w:space="0" w:color="auto"/>
              <w:right w:val="single" w:sz="4" w:space="0" w:color="auto"/>
            </w:tcBorders>
            <w:shd w:val="clear" w:color="auto" w:fill="auto"/>
            <w:noWrap/>
            <w:vAlign w:val="center"/>
            <w:hideMark/>
          </w:tcPr>
          <w:p w14:paraId="3C5403CD" w14:textId="35A9F528" w:rsidR="00405D71" w:rsidRPr="00405D71" w:rsidRDefault="00E670C1" w:rsidP="006A58DF">
            <w:pPr>
              <w:keepNext/>
              <w:keepLines/>
              <w:spacing w:after="0" w:line="240" w:lineRule="auto"/>
              <w:rPr>
                <w:rFonts w:cs="Arial"/>
                <w:szCs w:val="20"/>
              </w:rPr>
            </w:pPr>
            <w:r>
              <w:rPr>
                <w:rFonts w:cs="Arial"/>
                <w:szCs w:val="20"/>
              </w:rPr>
              <w:t>Used in the FX3 methodology</w:t>
            </w:r>
          </w:p>
        </w:tc>
      </w:tr>
      <w:tr w:rsidR="00405D71" w:rsidRPr="00405D71" w14:paraId="34A66176" w14:textId="77777777" w:rsidTr="006A58DF">
        <w:trPr>
          <w:trHeight w:val="80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8B3A47A" w14:textId="5E874174" w:rsidR="00405D71" w:rsidRPr="00405D71" w:rsidRDefault="00405D71" w:rsidP="006A58DF">
            <w:pPr>
              <w:keepNext/>
              <w:keepLines/>
              <w:spacing w:after="0" w:line="240" w:lineRule="auto"/>
              <w:rPr>
                <w:rFonts w:cs="Arial"/>
                <w:szCs w:val="20"/>
              </w:rPr>
            </w:pPr>
            <w:r w:rsidRPr="00405D71">
              <w:rPr>
                <w:rFonts w:cs="Arial"/>
                <w:szCs w:val="20"/>
              </w:rPr>
              <w:t>P</w:t>
            </w:r>
            <w:r w:rsidRPr="001D2726">
              <w:rPr>
                <w:rFonts w:cs="Arial"/>
                <w:szCs w:val="20"/>
                <w:vertAlign w:val="subscript"/>
              </w:rPr>
              <w:t>L</w:t>
            </w:r>
          </w:p>
        </w:tc>
        <w:tc>
          <w:tcPr>
            <w:tcW w:w="2551" w:type="dxa"/>
            <w:tcBorders>
              <w:top w:val="nil"/>
              <w:left w:val="nil"/>
              <w:bottom w:val="single" w:sz="4" w:space="0" w:color="auto"/>
              <w:right w:val="single" w:sz="4" w:space="0" w:color="auto"/>
            </w:tcBorders>
            <w:shd w:val="clear" w:color="auto" w:fill="auto"/>
            <w:noWrap/>
            <w:vAlign w:val="center"/>
            <w:hideMark/>
          </w:tcPr>
          <w:p w14:paraId="5EB99C88" w14:textId="77777777" w:rsidR="00405D71" w:rsidRPr="00405D71" w:rsidRDefault="00405D71" w:rsidP="006A58DF">
            <w:pPr>
              <w:keepNext/>
              <w:keepLines/>
              <w:spacing w:after="0" w:line="240" w:lineRule="auto"/>
              <w:jc w:val="center"/>
              <w:rPr>
                <w:rFonts w:cs="Arial"/>
                <w:szCs w:val="20"/>
              </w:rPr>
            </w:pPr>
            <w:r w:rsidRPr="00405D71">
              <w:rPr>
                <w:rFonts w:cs="Arial"/>
                <w:szCs w:val="20"/>
              </w:rPr>
              <w:t>5, 10 &amp; 20</w:t>
            </w:r>
          </w:p>
        </w:tc>
        <w:tc>
          <w:tcPr>
            <w:tcW w:w="4536" w:type="dxa"/>
            <w:tcBorders>
              <w:top w:val="nil"/>
              <w:left w:val="nil"/>
              <w:bottom w:val="single" w:sz="4" w:space="0" w:color="auto"/>
              <w:right w:val="single" w:sz="4" w:space="0" w:color="auto"/>
            </w:tcBorders>
            <w:shd w:val="clear" w:color="auto" w:fill="auto"/>
            <w:vAlign w:val="center"/>
          </w:tcPr>
          <w:p w14:paraId="11B700CD" w14:textId="542EBDB9" w:rsidR="00405D71" w:rsidRPr="002F4697" w:rsidRDefault="00861A4D" w:rsidP="006A58DF">
            <w:pPr>
              <w:keepNext/>
              <w:keepLines/>
              <w:spacing w:after="0" w:line="240" w:lineRule="auto"/>
              <w:rPr>
                <w:rFonts w:cs="Arial"/>
                <w:szCs w:val="20"/>
              </w:rPr>
            </w:pPr>
            <w:r w:rsidRPr="002F4697">
              <w:rPr>
                <w:rStyle w:val="cf01"/>
                <w:rFonts w:ascii="Arial" w:hAnsi="Arial" w:cs="Arial"/>
                <w:sz w:val="20"/>
                <w:szCs w:val="20"/>
              </w:rPr>
              <w:t xml:space="preserve">Refer to Annex A to </w:t>
            </w:r>
            <w:hyperlink r:id="rId34" w:history="1">
              <w:r w:rsidRPr="002F4697">
                <w:rPr>
                  <w:rStyle w:val="Hyperlink"/>
                  <w:rFonts w:cs="Arial"/>
                  <w:szCs w:val="20"/>
                </w:rPr>
                <w:t>Appendix 1 of RALI FX3</w:t>
              </w:r>
            </w:hyperlink>
          </w:p>
        </w:tc>
      </w:tr>
      <w:tr w:rsidR="00405D71" w:rsidRPr="00405D71" w14:paraId="318E4D4C" w14:textId="77777777" w:rsidTr="006A58DF">
        <w:trPr>
          <w:trHeight w:val="285"/>
        </w:trPr>
        <w:tc>
          <w:tcPr>
            <w:tcW w:w="2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F5AD0D" w14:textId="77777777" w:rsidR="00405D71" w:rsidRPr="00405D71" w:rsidRDefault="00405D71" w:rsidP="006A58DF">
            <w:pPr>
              <w:keepNext/>
              <w:keepLines/>
              <w:spacing w:after="0" w:line="240" w:lineRule="auto"/>
              <w:rPr>
                <w:rFonts w:cs="Arial"/>
                <w:szCs w:val="20"/>
              </w:rPr>
            </w:pPr>
            <w:r w:rsidRPr="00405D71">
              <w:rPr>
                <w:rFonts w:cs="Arial"/>
                <w:szCs w:val="20"/>
              </w:rPr>
              <w:t>NF (dB)</w:t>
            </w:r>
          </w:p>
        </w:tc>
        <w:tc>
          <w:tcPr>
            <w:tcW w:w="2551" w:type="dxa"/>
            <w:tcBorders>
              <w:top w:val="nil"/>
              <w:left w:val="nil"/>
              <w:bottom w:val="single" w:sz="4" w:space="0" w:color="auto"/>
              <w:right w:val="single" w:sz="4" w:space="0" w:color="auto"/>
            </w:tcBorders>
            <w:shd w:val="clear" w:color="auto" w:fill="D9D9D9" w:themeFill="background1" w:themeFillShade="D9"/>
            <w:noWrap/>
            <w:vAlign w:val="center"/>
            <w:hideMark/>
          </w:tcPr>
          <w:p w14:paraId="04FCCCFA" w14:textId="77777777" w:rsidR="00405D71" w:rsidRPr="00405D71" w:rsidRDefault="00405D71" w:rsidP="006A58DF">
            <w:pPr>
              <w:keepNext/>
              <w:keepLines/>
              <w:spacing w:after="0" w:line="240" w:lineRule="auto"/>
              <w:jc w:val="center"/>
              <w:rPr>
                <w:rFonts w:cs="Arial"/>
                <w:szCs w:val="20"/>
              </w:rPr>
            </w:pPr>
            <w:r w:rsidRPr="00405D71">
              <w:rPr>
                <w:rFonts w:cs="Arial"/>
                <w:szCs w:val="20"/>
              </w:rPr>
              <w:t>5</w:t>
            </w:r>
          </w:p>
        </w:tc>
        <w:tc>
          <w:tcPr>
            <w:tcW w:w="4536" w:type="dxa"/>
            <w:tcBorders>
              <w:top w:val="nil"/>
              <w:left w:val="nil"/>
              <w:bottom w:val="single" w:sz="4" w:space="0" w:color="auto"/>
              <w:right w:val="single" w:sz="4" w:space="0" w:color="auto"/>
            </w:tcBorders>
            <w:shd w:val="clear" w:color="auto" w:fill="D9D9D9" w:themeFill="background1" w:themeFillShade="D9"/>
            <w:noWrap/>
            <w:vAlign w:val="center"/>
            <w:hideMark/>
          </w:tcPr>
          <w:p w14:paraId="71505308" w14:textId="48121FA9" w:rsidR="00405D71" w:rsidRPr="00405D71" w:rsidRDefault="00D91BDD" w:rsidP="006A58DF">
            <w:pPr>
              <w:keepNext/>
              <w:keepLines/>
              <w:spacing w:after="0" w:line="240" w:lineRule="auto"/>
              <w:rPr>
                <w:rFonts w:cs="Arial"/>
                <w:szCs w:val="20"/>
              </w:rPr>
            </w:pPr>
            <w:hyperlink r:id="rId35" w:history="1">
              <w:r w:rsidR="00405D71" w:rsidRPr="00405D71">
                <w:rPr>
                  <w:rStyle w:val="Hyperlink"/>
                  <w:rFonts w:cs="Arial"/>
                  <w:szCs w:val="20"/>
                </w:rPr>
                <w:t>Rep. ITU-R F.2108 Table 2</w:t>
              </w:r>
            </w:hyperlink>
          </w:p>
        </w:tc>
      </w:tr>
      <w:tr w:rsidR="00405D71" w:rsidRPr="00405D71" w14:paraId="5FDD4788" w14:textId="77777777" w:rsidTr="006A58DF">
        <w:trPr>
          <w:trHeight w:val="28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B382BF6" w14:textId="77777777" w:rsidR="00405D71" w:rsidRPr="00405D71" w:rsidRDefault="00405D71" w:rsidP="006A58DF">
            <w:pPr>
              <w:keepNext/>
              <w:keepLines/>
              <w:spacing w:after="0" w:line="240" w:lineRule="auto"/>
              <w:rPr>
                <w:rFonts w:cs="Arial"/>
                <w:szCs w:val="20"/>
              </w:rPr>
            </w:pPr>
            <w:r w:rsidRPr="00405D71">
              <w:rPr>
                <w:rFonts w:cs="Arial"/>
                <w:szCs w:val="20"/>
              </w:rPr>
              <w:t>I/N (dB)</w:t>
            </w:r>
          </w:p>
        </w:tc>
        <w:tc>
          <w:tcPr>
            <w:tcW w:w="2551" w:type="dxa"/>
            <w:tcBorders>
              <w:top w:val="nil"/>
              <w:left w:val="nil"/>
              <w:bottom w:val="single" w:sz="4" w:space="0" w:color="auto"/>
              <w:right w:val="single" w:sz="4" w:space="0" w:color="auto"/>
            </w:tcBorders>
            <w:shd w:val="clear" w:color="auto" w:fill="auto"/>
            <w:noWrap/>
            <w:vAlign w:val="center"/>
            <w:hideMark/>
          </w:tcPr>
          <w:p w14:paraId="74FB3D8D" w14:textId="77777777" w:rsidR="00405D71" w:rsidRPr="00405D71" w:rsidRDefault="00405D71" w:rsidP="006A58DF">
            <w:pPr>
              <w:keepNext/>
              <w:keepLines/>
              <w:spacing w:after="0" w:line="240" w:lineRule="auto"/>
              <w:jc w:val="center"/>
              <w:rPr>
                <w:rFonts w:cs="Arial"/>
                <w:color w:val="000000"/>
                <w:szCs w:val="20"/>
              </w:rPr>
            </w:pPr>
            <w:r w:rsidRPr="00405D71">
              <w:rPr>
                <w:rFonts w:cs="Arial"/>
                <w:color w:val="000000"/>
                <w:szCs w:val="20"/>
              </w:rPr>
              <w:t>-6</w:t>
            </w:r>
          </w:p>
        </w:tc>
        <w:tc>
          <w:tcPr>
            <w:tcW w:w="4536" w:type="dxa"/>
            <w:tcBorders>
              <w:top w:val="nil"/>
              <w:left w:val="nil"/>
              <w:bottom w:val="single" w:sz="4" w:space="0" w:color="auto"/>
              <w:right w:val="single" w:sz="4" w:space="0" w:color="auto"/>
            </w:tcBorders>
            <w:shd w:val="clear" w:color="auto" w:fill="auto"/>
            <w:noWrap/>
            <w:vAlign w:val="center"/>
            <w:hideMark/>
          </w:tcPr>
          <w:p w14:paraId="65754B79" w14:textId="182080FD" w:rsidR="00405D71" w:rsidRPr="00405D71" w:rsidRDefault="00405D71" w:rsidP="006A58DF">
            <w:pPr>
              <w:keepNext/>
              <w:keepLines/>
              <w:spacing w:after="0" w:line="240" w:lineRule="auto"/>
              <w:rPr>
                <w:rFonts w:cs="Arial"/>
                <w:szCs w:val="20"/>
              </w:rPr>
            </w:pPr>
            <w:r w:rsidRPr="00405D71">
              <w:rPr>
                <w:rFonts w:cs="Arial"/>
                <w:szCs w:val="20"/>
              </w:rPr>
              <w:t xml:space="preserve">For 30 MHz to 3 GHz as recommended in the </w:t>
            </w:r>
            <w:hyperlink r:id="rId36" w:history="1">
              <w:r w:rsidRPr="00405D71">
                <w:rPr>
                  <w:rStyle w:val="Hyperlink"/>
                  <w:rFonts w:cs="Arial"/>
                  <w:szCs w:val="20"/>
                </w:rPr>
                <w:t>ITU-R F.758-5 Table 4</w:t>
              </w:r>
            </w:hyperlink>
            <w:r w:rsidRPr="00405D71">
              <w:rPr>
                <w:rFonts w:cs="Arial"/>
                <w:szCs w:val="20"/>
              </w:rPr>
              <w:t xml:space="preserve"> </w:t>
            </w:r>
          </w:p>
        </w:tc>
      </w:tr>
      <w:tr w:rsidR="00881402" w:rsidRPr="00405D71" w14:paraId="1D854264" w14:textId="77777777" w:rsidTr="006A58DF">
        <w:trPr>
          <w:trHeight w:val="285"/>
        </w:trPr>
        <w:tc>
          <w:tcPr>
            <w:tcW w:w="2547" w:type="dxa"/>
            <w:vMerge w:val="restart"/>
            <w:tcBorders>
              <w:top w:val="nil"/>
              <w:left w:val="single" w:sz="4" w:space="0" w:color="auto"/>
              <w:right w:val="single" w:sz="4" w:space="0" w:color="auto"/>
            </w:tcBorders>
            <w:shd w:val="clear" w:color="auto" w:fill="D9D9D9" w:themeFill="background1" w:themeFillShade="D9"/>
            <w:noWrap/>
            <w:vAlign w:val="center"/>
          </w:tcPr>
          <w:p w14:paraId="1A0607B3" w14:textId="5431B690" w:rsidR="00881402" w:rsidRPr="00405D71" w:rsidRDefault="00881402" w:rsidP="006A58DF">
            <w:pPr>
              <w:keepNext/>
              <w:keepLines/>
              <w:spacing w:after="0" w:line="240" w:lineRule="auto"/>
              <w:rPr>
                <w:rFonts w:cs="Arial"/>
                <w:szCs w:val="20"/>
              </w:rPr>
            </w:pPr>
            <w:r w:rsidRPr="00405D71">
              <w:rPr>
                <w:rFonts w:cs="Arial"/>
                <w:szCs w:val="20"/>
              </w:rPr>
              <w:t>Rx input level for 1 × 10–3 BER (</w:t>
            </w:r>
            <w:proofErr w:type="spellStart"/>
            <w:r w:rsidRPr="00405D71">
              <w:rPr>
                <w:rFonts w:cs="Arial"/>
                <w:szCs w:val="20"/>
              </w:rPr>
              <w:t>T</w:t>
            </w:r>
            <w:r w:rsidRPr="001D2726">
              <w:rPr>
                <w:rFonts w:cs="Arial"/>
                <w:szCs w:val="20"/>
                <w:vertAlign w:val="subscript"/>
              </w:rPr>
              <w:t>mx</w:t>
            </w:r>
            <w:proofErr w:type="spellEnd"/>
            <w:r w:rsidRPr="001D2726">
              <w:rPr>
                <w:rFonts w:cs="Arial"/>
                <w:szCs w:val="20"/>
                <w:vertAlign w:val="subscript"/>
              </w:rPr>
              <w:t xml:space="preserve"> </w:t>
            </w:r>
            <w:r w:rsidRPr="00405D71">
              <w:rPr>
                <w:rFonts w:cs="Arial"/>
                <w:szCs w:val="20"/>
              </w:rPr>
              <w:t>in dB</w:t>
            </w:r>
            <w:r w:rsidR="00D318AF">
              <w:rPr>
                <w:rFonts w:cs="Arial"/>
                <w:szCs w:val="20"/>
              </w:rPr>
              <w:t>m</w:t>
            </w:r>
            <w:r w:rsidRPr="00405D71">
              <w:rPr>
                <w:rFonts w:cs="Arial"/>
                <w:szCs w:val="20"/>
              </w:rPr>
              <w:t>)</w:t>
            </w:r>
          </w:p>
        </w:tc>
        <w:tc>
          <w:tcPr>
            <w:tcW w:w="2551" w:type="dxa"/>
            <w:tcBorders>
              <w:top w:val="nil"/>
              <w:left w:val="nil"/>
              <w:bottom w:val="single" w:sz="4" w:space="0" w:color="auto"/>
              <w:right w:val="single" w:sz="4" w:space="0" w:color="auto"/>
            </w:tcBorders>
            <w:shd w:val="clear" w:color="auto" w:fill="D9D9D9" w:themeFill="background1" w:themeFillShade="D9"/>
            <w:noWrap/>
            <w:vAlign w:val="center"/>
          </w:tcPr>
          <w:p w14:paraId="37AB2849" w14:textId="084AEEC6" w:rsidR="00881402" w:rsidRDefault="00881402" w:rsidP="006A58DF">
            <w:pPr>
              <w:keepNext/>
              <w:keepLines/>
              <w:spacing w:after="0" w:line="240" w:lineRule="auto"/>
              <w:jc w:val="center"/>
              <w:rPr>
                <w:rFonts w:cs="Arial"/>
                <w:color w:val="000000"/>
                <w:szCs w:val="20"/>
              </w:rPr>
            </w:pPr>
            <w:r>
              <w:rPr>
                <w:rFonts w:cs="Arial"/>
                <w:color w:val="000000"/>
                <w:szCs w:val="20"/>
              </w:rPr>
              <w:t>For BW = 50 kHz</w:t>
            </w:r>
          </w:p>
          <w:p w14:paraId="3C354360" w14:textId="203132E8" w:rsidR="00881402" w:rsidRDefault="00881402" w:rsidP="006A58DF">
            <w:pPr>
              <w:keepNext/>
              <w:keepLines/>
              <w:spacing w:after="0" w:line="240" w:lineRule="auto"/>
              <w:jc w:val="center"/>
              <w:rPr>
                <w:rFonts w:cs="Arial"/>
                <w:color w:val="000000"/>
                <w:szCs w:val="20"/>
              </w:rPr>
            </w:pPr>
            <w:r>
              <w:rPr>
                <w:rFonts w:cs="Arial"/>
                <w:color w:val="000000"/>
                <w:szCs w:val="20"/>
              </w:rPr>
              <w:t>-</w:t>
            </w:r>
            <w:r w:rsidR="00D318AF">
              <w:rPr>
                <w:rFonts w:cs="Arial"/>
                <w:color w:val="000000"/>
                <w:szCs w:val="20"/>
              </w:rPr>
              <w:t>93</w:t>
            </w:r>
            <w:r>
              <w:rPr>
                <w:rFonts w:cs="Arial"/>
                <w:color w:val="000000"/>
                <w:szCs w:val="20"/>
              </w:rPr>
              <w:t xml:space="preserve"> (7-FSK/64 kbit/s</w:t>
            </w:r>
            <w:r w:rsidR="00E670C1">
              <w:rPr>
                <w:rFonts w:cs="Arial"/>
                <w:color w:val="000000"/>
                <w:szCs w:val="20"/>
              </w:rPr>
              <w:t>)</w:t>
            </w:r>
          </w:p>
          <w:p w14:paraId="62667EF5" w14:textId="1A7AB9D0" w:rsidR="00881402" w:rsidRDefault="00881402" w:rsidP="006A58DF">
            <w:pPr>
              <w:keepNext/>
              <w:keepLines/>
              <w:spacing w:after="0" w:line="240" w:lineRule="auto"/>
              <w:jc w:val="center"/>
              <w:rPr>
                <w:rFonts w:cs="Arial"/>
                <w:color w:val="000000"/>
                <w:szCs w:val="20"/>
              </w:rPr>
            </w:pPr>
            <w:r>
              <w:rPr>
                <w:rFonts w:cs="Arial"/>
                <w:color w:val="000000"/>
                <w:szCs w:val="20"/>
              </w:rPr>
              <w:t>-</w:t>
            </w:r>
            <w:r w:rsidR="002157D1">
              <w:rPr>
                <w:rFonts w:cs="Arial"/>
                <w:color w:val="000000"/>
                <w:szCs w:val="20"/>
              </w:rPr>
              <w:t>1</w:t>
            </w:r>
            <w:r w:rsidR="00D318AF">
              <w:rPr>
                <w:rFonts w:cs="Arial"/>
                <w:color w:val="000000"/>
                <w:szCs w:val="20"/>
              </w:rPr>
              <w:t>05</w:t>
            </w:r>
            <w:r>
              <w:rPr>
                <w:rFonts w:cs="Arial"/>
                <w:color w:val="000000"/>
                <w:szCs w:val="20"/>
              </w:rPr>
              <w:t xml:space="preserve"> (4 QAM/64 kbit/s</w:t>
            </w:r>
            <w:r w:rsidR="00E670C1">
              <w:rPr>
                <w:rFonts w:cs="Arial"/>
                <w:color w:val="000000"/>
                <w:szCs w:val="20"/>
              </w:rPr>
              <w:t>)</w:t>
            </w:r>
          </w:p>
          <w:p w14:paraId="746230F8" w14:textId="713717A2" w:rsidR="00881402" w:rsidRDefault="00881402" w:rsidP="006A58DF">
            <w:pPr>
              <w:keepNext/>
              <w:keepLines/>
              <w:spacing w:after="0" w:line="240" w:lineRule="auto"/>
              <w:jc w:val="center"/>
              <w:rPr>
                <w:rFonts w:cs="Arial"/>
                <w:color w:val="000000"/>
                <w:szCs w:val="20"/>
              </w:rPr>
            </w:pPr>
            <w:r w:rsidRPr="00405D71">
              <w:rPr>
                <w:rFonts w:cs="Arial"/>
                <w:color w:val="000000"/>
                <w:szCs w:val="20"/>
              </w:rPr>
              <w:t>-</w:t>
            </w:r>
            <w:r w:rsidR="002157D1">
              <w:rPr>
                <w:rFonts w:cs="Arial"/>
                <w:color w:val="000000"/>
                <w:szCs w:val="20"/>
              </w:rPr>
              <w:t>1</w:t>
            </w:r>
            <w:r w:rsidR="00D318AF">
              <w:rPr>
                <w:rFonts w:cs="Arial"/>
                <w:color w:val="000000"/>
                <w:szCs w:val="20"/>
              </w:rPr>
              <w:t>00</w:t>
            </w:r>
            <w:r>
              <w:rPr>
                <w:rFonts w:cs="Arial"/>
                <w:color w:val="000000"/>
                <w:szCs w:val="20"/>
              </w:rPr>
              <w:t xml:space="preserve"> (16 QAM/128 kbit/s)</w:t>
            </w:r>
          </w:p>
        </w:tc>
        <w:tc>
          <w:tcPr>
            <w:tcW w:w="4536" w:type="dxa"/>
            <w:vMerge w:val="restart"/>
            <w:tcBorders>
              <w:top w:val="nil"/>
              <w:left w:val="nil"/>
              <w:right w:val="single" w:sz="4" w:space="0" w:color="auto"/>
            </w:tcBorders>
            <w:shd w:val="clear" w:color="auto" w:fill="D9D9D9" w:themeFill="background1" w:themeFillShade="D9"/>
            <w:noWrap/>
            <w:vAlign w:val="center"/>
          </w:tcPr>
          <w:p w14:paraId="75FD9D37" w14:textId="7FB7CE53" w:rsidR="00881402" w:rsidRDefault="00D91BDD" w:rsidP="006A58DF">
            <w:pPr>
              <w:keepNext/>
              <w:keepLines/>
              <w:spacing w:after="0" w:line="240" w:lineRule="auto"/>
              <w:rPr>
                <w:rFonts w:cs="Arial"/>
                <w:szCs w:val="20"/>
              </w:rPr>
            </w:pPr>
            <w:hyperlink r:id="rId37" w:history="1">
              <w:r w:rsidR="00881402" w:rsidRPr="00405D71">
                <w:rPr>
                  <w:rStyle w:val="Hyperlink"/>
                  <w:rFonts w:cs="Arial"/>
                  <w:szCs w:val="20"/>
                </w:rPr>
                <w:t>Rep. ITU-R F.2108 Table 2</w:t>
              </w:r>
            </w:hyperlink>
          </w:p>
        </w:tc>
      </w:tr>
      <w:tr w:rsidR="00405D71" w:rsidRPr="00405D71" w14:paraId="2CE867FA" w14:textId="77777777" w:rsidTr="006A58DF">
        <w:trPr>
          <w:trHeight w:val="285"/>
        </w:trPr>
        <w:tc>
          <w:tcPr>
            <w:tcW w:w="2547"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470E1FCC" w14:textId="3A251DA6" w:rsidR="00405D71" w:rsidRPr="00405D71" w:rsidRDefault="00405D71" w:rsidP="006A58DF">
            <w:pPr>
              <w:keepNext/>
              <w:keepLines/>
              <w:spacing w:after="0" w:line="240" w:lineRule="auto"/>
              <w:rPr>
                <w:rFonts w:cs="Arial"/>
                <w:szCs w:val="20"/>
              </w:rPr>
            </w:pPr>
          </w:p>
        </w:tc>
        <w:tc>
          <w:tcPr>
            <w:tcW w:w="25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CF2893B" w14:textId="37EBB0EA" w:rsidR="00881402" w:rsidRDefault="00881402" w:rsidP="006A58DF">
            <w:pPr>
              <w:keepNext/>
              <w:keepLines/>
              <w:spacing w:after="0" w:line="240" w:lineRule="auto"/>
              <w:jc w:val="center"/>
              <w:rPr>
                <w:rFonts w:cs="Arial"/>
                <w:color w:val="000000"/>
                <w:szCs w:val="20"/>
              </w:rPr>
            </w:pPr>
            <w:r>
              <w:rPr>
                <w:rFonts w:cs="Arial"/>
                <w:color w:val="000000"/>
                <w:szCs w:val="20"/>
              </w:rPr>
              <w:t>For BW = 200 kHz</w:t>
            </w:r>
          </w:p>
          <w:p w14:paraId="34D652F7" w14:textId="69928F18" w:rsidR="00881402" w:rsidRDefault="00881402" w:rsidP="006A58DF">
            <w:pPr>
              <w:keepNext/>
              <w:keepLines/>
              <w:spacing w:after="0" w:line="240" w:lineRule="auto"/>
              <w:jc w:val="center"/>
              <w:rPr>
                <w:rFonts w:cs="Arial"/>
                <w:color w:val="000000"/>
                <w:szCs w:val="20"/>
              </w:rPr>
            </w:pPr>
            <w:r>
              <w:rPr>
                <w:rFonts w:cs="Arial"/>
                <w:color w:val="000000"/>
                <w:szCs w:val="20"/>
              </w:rPr>
              <w:t>-</w:t>
            </w:r>
            <w:r w:rsidR="00D318AF">
              <w:rPr>
                <w:rFonts w:cs="Arial"/>
                <w:color w:val="000000"/>
                <w:szCs w:val="20"/>
              </w:rPr>
              <w:t>87</w:t>
            </w:r>
            <w:r>
              <w:rPr>
                <w:rFonts w:cs="Arial"/>
                <w:color w:val="000000"/>
                <w:szCs w:val="20"/>
              </w:rPr>
              <w:t>(7-FSK/256 kbit/s</w:t>
            </w:r>
            <w:r w:rsidR="00E670C1">
              <w:rPr>
                <w:rFonts w:cs="Arial"/>
                <w:color w:val="000000"/>
                <w:szCs w:val="20"/>
              </w:rPr>
              <w:t>)</w:t>
            </w:r>
          </w:p>
          <w:p w14:paraId="7E0EE79D" w14:textId="368885A1" w:rsidR="00881402" w:rsidRDefault="00881402" w:rsidP="006A58DF">
            <w:pPr>
              <w:keepNext/>
              <w:keepLines/>
              <w:spacing w:after="0" w:line="240" w:lineRule="auto"/>
              <w:jc w:val="center"/>
              <w:rPr>
                <w:rFonts w:cs="Arial"/>
                <w:color w:val="000000"/>
                <w:szCs w:val="20"/>
              </w:rPr>
            </w:pPr>
            <w:r>
              <w:rPr>
                <w:rFonts w:cs="Arial"/>
                <w:color w:val="000000"/>
                <w:szCs w:val="20"/>
              </w:rPr>
              <w:t>-</w:t>
            </w:r>
            <w:r w:rsidR="00D318AF">
              <w:rPr>
                <w:rFonts w:cs="Arial"/>
                <w:color w:val="000000"/>
                <w:szCs w:val="20"/>
              </w:rPr>
              <w:t>99</w:t>
            </w:r>
            <w:r>
              <w:rPr>
                <w:rFonts w:cs="Arial"/>
                <w:color w:val="000000"/>
                <w:szCs w:val="20"/>
              </w:rPr>
              <w:t xml:space="preserve"> (4 QAM/256 kbit/s</w:t>
            </w:r>
            <w:r w:rsidR="00E670C1">
              <w:rPr>
                <w:rFonts w:cs="Arial"/>
                <w:color w:val="000000"/>
                <w:szCs w:val="20"/>
              </w:rPr>
              <w:t>)</w:t>
            </w:r>
          </w:p>
          <w:p w14:paraId="7122B7E4" w14:textId="58C7680A" w:rsidR="00881402" w:rsidRDefault="00881402" w:rsidP="006A58DF">
            <w:pPr>
              <w:keepNext/>
              <w:keepLines/>
              <w:spacing w:after="0" w:line="240" w:lineRule="auto"/>
              <w:jc w:val="center"/>
              <w:rPr>
                <w:rFonts w:cs="Arial"/>
                <w:color w:val="000000"/>
                <w:szCs w:val="20"/>
              </w:rPr>
            </w:pPr>
            <w:r w:rsidRPr="00405D71">
              <w:rPr>
                <w:rFonts w:cs="Arial"/>
                <w:color w:val="000000"/>
                <w:szCs w:val="20"/>
              </w:rPr>
              <w:t>-</w:t>
            </w:r>
            <w:r w:rsidR="00D318AF">
              <w:rPr>
                <w:rFonts w:cs="Arial"/>
                <w:color w:val="000000"/>
                <w:szCs w:val="20"/>
              </w:rPr>
              <w:t>94</w:t>
            </w:r>
            <w:r>
              <w:rPr>
                <w:rFonts w:cs="Arial"/>
                <w:color w:val="000000"/>
                <w:szCs w:val="20"/>
              </w:rPr>
              <w:t xml:space="preserve"> (16 QAM/512 kbit/s)</w:t>
            </w:r>
          </w:p>
          <w:p w14:paraId="03E6A476" w14:textId="79313DF4" w:rsidR="00405D71" w:rsidRPr="00405D71" w:rsidRDefault="00405D71" w:rsidP="006A58DF">
            <w:pPr>
              <w:keepNext/>
              <w:keepLines/>
              <w:spacing w:after="0" w:line="240" w:lineRule="auto"/>
              <w:jc w:val="center"/>
              <w:rPr>
                <w:rFonts w:cs="Arial"/>
                <w:color w:val="000000"/>
                <w:szCs w:val="20"/>
              </w:rPr>
            </w:pPr>
          </w:p>
        </w:tc>
        <w:tc>
          <w:tcPr>
            <w:tcW w:w="4536" w:type="dxa"/>
            <w:vMerge/>
            <w:tcBorders>
              <w:left w:val="nil"/>
              <w:bottom w:val="single" w:sz="4" w:space="0" w:color="auto"/>
              <w:right w:val="single" w:sz="4" w:space="0" w:color="auto"/>
            </w:tcBorders>
            <w:shd w:val="clear" w:color="auto" w:fill="D9D9D9" w:themeFill="background1" w:themeFillShade="D9"/>
            <w:noWrap/>
            <w:vAlign w:val="center"/>
            <w:hideMark/>
          </w:tcPr>
          <w:p w14:paraId="4240040E" w14:textId="3DF967FE" w:rsidR="00405D71" w:rsidRPr="00405D71" w:rsidRDefault="00405D71" w:rsidP="006A58DF">
            <w:pPr>
              <w:keepNext/>
              <w:keepLines/>
              <w:spacing w:after="0" w:line="240" w:lineRule="auto"/>
              <w:rPr>
                <w:rFonts w:cs="Arial"/>
                <w:szCs w:val="20"/>
              </w:rPr>
            </w:pPr>
          </w:p>
        </w:tc>
      </w:tr>
    </w:tbl>
    <w:p w14:paraId="30931739" w14:textId="77777777" w:rsidR="00800977" w:rsidRDefault="00800977" w:rsidP="006A58DF">
      <w:pPr>
        <w:keepNext/>
        <w:keepLines/>
      </w:pPr>
    </w:p>
    <w:p w14:paraId="7E99C4AE" w14:textId="7C48E642" w:rsidR="00AA6179" w:rsidRDefault="00AA6179" w:rsidP="006A58DF">
      <w:pPr>
        <w:keepNext/>
        <w:keepLines/>
      </w:pPr>
      <w:r>
        <w:t xml:space="preserve">RALI FX22 currently provides separate protection ratios for </w:t>
      </w:r>
      <w:r w:rsidR="00B04C59">
        <w:t>2</w:t>
      </w:r>
      <w:r>
        <w:t xml:space="preserve">-frequency PTP links, depending on bandwidth. For links with a bandwidth of </w:t>
      </w:r>
      <w:r>
        <w:rPr>
          <w:rFonts w:cs="Arial"/>
        </w:rPr>
        <w:t>≤</w:t>
      </w:r>
      <w:r>
        <w:t>100 kHz</w:t>
      </w:r>
      <w:r w:rsidR="00BF39B9">
        <w:t xml:space="preserve"> (termed ‘narrowband’ in this paper</w:t>
      </w:r>
      <w:r w:rsidR="00917295">
        <w:t>)</w:t>
      </w:r>
      <w:r>
        <w:t>, a co-channel protection of 30 dB is required, for links &gt; 100 kHz</w:t>
      </w:r>
      <w:r w:rsidR="00BF39B9">
        <w:t xml:space="preserve"> (termed ‘wideband’ in this paper)</w:t>
      </w:r>
      <w:r>
        <w:t>, the co-channel protection rat</w:t>
      </w:r>
      <w:r w:rsidR="00BF39B9">
        <w:t>i</w:t>
      </w:r>
      <w:r>
        <w:t>o is 50</w:t>
      </w:r>
      <w:r w:rsidR="00B04C59">
        <w:t xml:space="preserve"> </w:t>
      </w:r>
      <w:proofErr w:type="spellStart"/>
      <w:r>
        <w:t>dB.</w:t>
      </w:r>
      <w:proofErr w:type="spellEnd"/>
      <w:r>
        <w:rPr>
          <w:rStyle w:val="FootnoteReference"/>
        </w:rPr>
        <w:footnoteReference w:id="21"/>
      </w:r>
    </w:p>
    <w:p w14:paraId="1E751117" w14:textId="2E6F1AA0" w:rsidR="00812E5C" w:rsidRDefault="00D8402A" w:rsidP="00D8402A">
      <w:r w:rsidRPr="001D2726">
        <w:t xml:space="preserve">Figure </w:t>
      </w:r>
      <w:r w:rsidR="00DB6002">
        <w:t>2</w:t>
      </w:r>
      <w:r w:rsidRPr="001D2726">
        <w:t xml:space="preserve"> shows the </w:t>
      </w:r>
      <w:r w:rsidR="00812E5C">
        <w:t xml:space="preserve">calculated </w:t>
      </w:r>
      <w:r w:rsidRPr="001D2726">
        <w:t xml:space="preserve">protection ratios for narrowband links </w:t>
      </w:r>
      <w:r w:rsidR="00881402" w:rsidRPr="001D2726">
        <w:t>(</w:t>
      </w:r>
      <w:r w:rsidR="00881402" w:rsidRPr="001D2726">
        <w:rPr>
          <w:rFonts w:cs="Arial"/>
        </w:rPr>
        <w:t>≤</w:t>
      </w:r>
      <w:r w:rsidR="00881402" w:rsidRPr="001D2726">
        <w:t>100 kHz)</w:t>
      </w:r>
      <w:r w:rsidR="00812E5C">
        <w:t>, using the above methodology and</w:t>
      </w:r>
      <w:r w:rsidRPr="001D2726">
        <w:t xml:space="preserve"> </w:t>
      </w:r>
      <w:r w:rsidR="00E47CD3" w:rsidRPr="001D2726">
        <w:t>assuming the</w:t>
      </w:r>
      <w:r w:rsidRPr="001D2726">
        <w:t xml:space="preserve"> </w:t>
      </w:r>
      <w:r w:rsidR="00B21EBC" w:rsidRPr="001D2726">
        <w:t>4</w:t>
      </w:r>
      <w:r w:rsidR="00B21EBC">
        <w:t>-</w:t>
      </w:r>
      <w:r w:rsidR="00B21EBC" w:rsidRPr="001D2726">
        <w:t xml:space="preserve">QAM </w:t>
      </w:r>
      <w:r w:rsidRPr="001D2726">
        <w:t>modulation technique with</w:t>
      </w:r>
      <w:r w:rsidR="00812E5C">
        <w:t xml:space="preserve"> a</w:t>
      </w:r>
      <w:r w:rsidRPr="001D2726">
        <w:t xml:space="preserve"> capacity of </w:t>
      </w:r>
      <w:r w:rsidR="002276EA" w:rsidRPr="001D2726">
        <w:t>64</w:t>
      </w:r>
      <w:r w:rsidRPr="001D2726">
        <w:t xml:space="preserve"> kbit/s</w:t>
      </w:r>
      <w:r w:rsidR="001D2726">
        <w:t xml:space="preserve"> </w:t>
      </w:r>
      <w:r w:rsidR="00881402" w:rsidRPr="001D2726">
        <w:t>(</w:t>
      </w:r>
      <w:proofErr w:type="spellStart"/>
      <w:r w:rsidR="00881402" w:rsidRPr="001D2726">
        <w:t>Tmx</w:t>
      </w:r>
      <w:proofErr w:type="spellEnd"/>
      <w:r w:rsidR="00881402" w:rsidRPr="001D2726">
        <w:t xml:space="preserve"> = </w:t>
      </w:r>
      <w:r w:rsidR="002276EA" w:rsidRPr="001D2726">
        <w:t>-105</w:t>
      </w:r>
      <w:r w:rsidR="00881402" w:rsidRPr="001D2726">
        <w:t xml:space="preserve"> dBm</w:t>
      </w:r>
      <w:r w:rsidR="002276EA" w:rsidRPr="001D2726">
        <w:t>/50 kHz</w:t>
      </w:r>
      <w:r w:rsidR="00881402" w:rsidRPr="001D2726">
        <w:t xml:space="preserve">), which results in the lowest protection ratios of the different </w:t>
      </w:r>
      <w:r w:rsidR="00E47CD3" w:rsidRPr="001D2726">
        <w:t>modulation techniques</w:t>
      </w:r>
      <w:r w:rsidR="00881402" w:rsidRPr="001D2726">
        <w:t xml:space="preserve"> in Table 6</w:t>
      </w:r>
      <w:r w:rsidR="009663FF" w:rsidRPr="001D2726">
        <w:t xml:space="preserve">. </w:t>
      </w:r>
    </w:p>
    <w:p w14:paraId="6C1B4CBB" w14:textId="13B67807" w:rsidR="00D8402A" w:rsidRPr="001D2726" w:rsidRDefault="009663FF" w:rsidP="00D8402A">
      <w:pPr>
        <w:rPr>
          <w:highlight w:val="yellow"/>
        </w:rPr>
      </w:pPr>
      <w:r w:rsidRPr="001D2726">
        <w:t>The protection ratio</w:t>
      </w:r>
      <w:r w:rsidR="002524B2" w:rsidRPr="001D2726">
        <w:t>s</w:t>
      </w:r>
      <w:r w:rsidRPr="001D2726">
        <w:t xml:space="preserve"> calculated for all </w:t>
      </w:r>
      <w:r w:rsidRPr="002524B2">
        <w:rPr>
          <w:rFonts w:cs="Arial"/>
          <w:szCs w:val="20"/>
        </w:rPr>
        <w:t>climatic variable P</w:t>
      </w:r>
      <w:r w:rsidRPr="002524B2">
        <w:rPr>
          <w:rFonts w:cs="Arial"/>
          <w:szCs w:val="20"/>
          <w:vertAlign w:val="subscript"/>
        </w:rPr>
        <w:t xml:space="preserve">L </w:t>
      </w:r>
      <w:r w:rsidR="00BD3365">
        <w:rPr>
          <w:rFonts w:cs="Arial"/>
          <w:szCs w:val="20"/>
        </w:rPr>
        <w:t>v</w:t>
      </w:r>
      <w:r w:rsidRPr="001D2726">
        <w:rPr>
          <w:rFonts w:cs="Arial"/>
          <w:szCs w:val="20"/>
        </w:rPr>
        <w:t>alues</w:t>
      </w:r>
      <w:r w:rsidRPr="002524B2">
        <w:rPr>
          <w:rFonts w:cs="Arial"/>
          <w:szCs w:val="20"/>
        </w:rPr>
        <w:t xml:space="preserve"> are above 30</w:t>
      </w:r>
      <w:r w:rsidR="00B04C59">
        <w:rPr>
          <w:rFonts w:cs="Arial"/>
          <w:szCs w:val="20"/>
        </w:rPr>
        <w:t xml:space="preserve"> </w:t>
      </w:r>
      <w:r w:rsidRPr="002524B2">
        <w:rPr>
          <w:rFonts w:cs="Arial"/>
          <w:szCs w:val="20"/>
        </w:rPr>
        <w:t>dB</w:t>
      </w:r>
      <w:r w:rsidR="007E3F62">
        <w:rPr>
          <w:rFonts w:cs="Arial"/>
          <w:szCs w:val="20"/>
        </w:rPr>
        <w:t xml:space="preserve"> for path length</w:t>
      </w:r>
      <w:r w:rsidR="00BD3365">
        <w:rPr>
          <w:rFonts w:cs="Arial"/>
          <w:szCs w:val="20"/>
        </w:rPr>
        <w:t>s</w:t>
      </w:r>
      <w:r w:rsidR="007E3F62">
        <w:rPr>
          <w:rFonts w:cs="Arial"/>
          <w:szCs w:val="20"/>
        </w:rPr>
        <w:t xml:space="preserve"> </w:t>
      </w:r>
      <w:r w:rsidR="00BD3365">
        <w:rPr>
          <w:rFonts w:cs="Arial"/>
          <w:szCs w:val="20"/>
        </w:rPr>
        <w:t>greater than</w:t>
      </w:r>
      <w:r w:rsidR="007E3F62">
        <w:rPr>
          <w:rFonts w:cs="Arial"/>
          <w:szCs w:val="20"/>
        </w:rPr>
        <w:t xml:space="preserve"> 20</w:t>
      </w:r>
      <w:r w:rsidR="00B04C59">
        <w:rPr>
          <w:rFonts w:cs="Arial"/>
          <w:szCs w:val="20"/>
        </w:rPr>
        <w:t xml:space="preserve"> </w:t>
      </w:r>
      <w:r w:rsidR="007E3F62">
        <w:rPr>
          <w:rFonts w:cs="Arial"/>
          <w:szCs w:val="20"/>
        </w:rPr>
        <w:t xml:space="preserve">km </w:t>
      </w:r>
      <w:r w:rsidR="00BD3365">
        <w:rPr>
          <w:rFonts w:cs="Arial"/>
          <w:szCs w:val="20"/>
        </w:rPr>
        <w:t xml:space="preserve">(the minimum path </w:t>
      </w:r>
      <w:r w:rsidR="00917295">
        <w:rPr>
          <w:rFonts w:cs="Arial"/>
          <w:szCs w:val="20"/>
        </w:rPr>
        <w:t>length</w:t>
      </w:r>
      <w:r w:rsidR="00BD3365">
        <w:rPr>
          <w:rFonts w:cs="Arial"/>
          <w:szCs w:val="20"/>
        </w:rPr>
        <w:t xml:space="preserve"> for </w:t>
      </w:r>
      <w:r w:rsidR="00B04C59">
        <w:rPr>
          <w:rFonts w:cs="Arial"/>
          <w:szCs w:val="20"/>
        </w:rPr>
        <w:t>2</w:t>
      </w:r>
      <w:r w:rsidR="00BD3365">
        <w:rPr>
          <w:rFonts w:cs="Arial"/>
          <w:szCs w:val="20"/>
        </w:rPr>
        <w:t>-frequency links</w:t>
      </w:r>
      <w:r w:rsidR="00886ECB">
        <w:rPr>
          <w:rFonts w:cs="Arial"/>
          <w:szCs w:val="20"/>
        </w:rPr>
        <w:t xml:space="preserve"> in FX22</w:t>
      </w:r>
      <w:r w:rsidR="00BD3365">
        <w:rPr>
          <w:rFonts w:cs="Arial"/>
          <w:szCs w:val="20"/>
        </w:rPr>
        <w:t xml:space="preserve"> is 20 km)</w:t>
      </w:r>
      <w:r w:rsidR="00812E5C">
        <w:rPr>
          <w:rFonts w:cs="Arial"/>
          <w:szCs w:val="20"/>
        </w:rPr>
        <w:t>, so based on these assumptions used, there is no scope to provide a reduced level of protection</w:t>
      </w:r>
      <w:r w:rsidR="00886ECB">
        <w:rPr>
          <w:rFonts w:cs="Arial"/>
          <w:szCs w:val="20"/>
        </w:rPr>
        <w:t xml:space="preserve">. </w:t>
      </w:r>
      <w:r w:rsidR="00812E5C">
        <w:rPr>
          <w:rFonts w:cs="Arial"/>
          <w:szCs w:val="20"/>
        </w:rPr>
        <w:t>We are not inclined to increase the protection ratios above 30 dB, given narrowband links are currently coexisting successfully with this level of protection. A</w:t>
      </w:r>
      <w:r w:rsidR="00886ECB">
        <w:rPr>
          <w:rFonts w:cs="Arial"/>
          <w:szCs w:val="20"/>
        </w:rPr>
        <w:t>s such, we do not propose including a revised p</w:t>
      </w:r>
      <w:r w:rsidR="007E3F62">
        <w:rPr>
          <w:rFonts w:cs="Arial"/>
          <w:szCs w:val="20"/>
        </w:rPr>
        <w:t>rotec</w:t>
      </w:r>
      <w:r w:rsidR="00886ECB">
        <w:rPr>
          <w:rFonts w:cs="Arial"/>
          <w:szCs w:val="20"/>
        </w:rPr>
        <w:t>tion ratio for narrowband PTP links</w:t>
      </w:r>
      <w:r w:rsidRPr="002524B2">
        <w:rPr>
          <w:rFonts w:cs="Arial"/>
          <w:szCs w:val="20"/>
        </w:rPr>
        <w:t>.</w:t>
      </w:r>
    </w:p>
    <w:p w14:paraId="716AA16D" w14:textId="5A27565E" w:rsidR="00D8402A" w:rsidRPr="00353C6B" w:rsidRDefault="00D8402A" w:rsidP="001D2726">
      <w:pPr>
        <w:pStyle w:val="Figureheading"/>
      </w:pPr>
      <w:r w:rsidRPr="00353C6B">
        <w:t xml:space="preserve">Protection Ratio (PR) for </w:t>
      </w:r>
      <w:r w:rsidR="00B04C59">
        <w:t>n</w:t>
      </w:r>
      <w:r w:rsidRPr="00353C6B">
        <w:t>arrow band links (&lt;</w:t>
      </w:r>
      <w:r w:rsidR="002276EA">
        <w:t>100</w:t>
      </w:r>
      <w:r w:rsidRPr="00353C6B">
        <w:t xml:space="preserve"> kHz)</w:t>
      </w:r>
    </w:p>
    <w:p w14:paraId="033E3B38" w14:textId="4B9F8ACF" w:rsidR="00EF7FFD" w:rsidRDefault="000D6395" w:rsidP="001D2726">
      <w:pPr>
        <w:jc w:val="center"/>
      </w:pPr>
      <w:r>
        <w:rPr>
          <w:noProof/>
        </w:rPr>
        <mc:AlternateContent>
          <mc:Choice Requires="wps">
            <w:drawing>
              <wp:anchor distT="45720" distB="45720" distL="114300" distR="114300" simplePos="0" relativeHeight="251660327" behindDoc="0" locked="0" layoutInCell="1" allowOverlap="1" wp14:anchorId="5C58A1F2" wp14:editId="46B8E389">
                <wp:simplePos x="0" y="0"/>
                <wp:positionH relativeFrom="margin">
                  <wp:align>center</wp:align>
                </wp:positionH>
                <wp:positionV relativeFrom="paragraph">
                  <wp:posOffset>3578225</wp:posOffset>
                </wp:positionV>
                <wp:extent cx="1543050" cy="866775"/>
                <wp:effectExtent l="0" t="0" r="0" b="952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866775"/>
                        </a:xfrm>
                        <a:prstGeom prst="rect">
                          <a:avLst/>
                        </a:prstGeom>
                        <a:solidFill>
                          <a:srgbClr val="FFFFFF"/>
                        </a:solidFill>
                        <a:ln w="9525">
                          <a:noFill/>
                          <a:miter lim="800000"/>
                          <a:headEnd/>
                          <a:tailEnd/>
                        </a:ln>
                      </wps:spPr>
                      <wps:txbx>
                        <w:txbxContent>
                          <w:p w14:paraId="7E0C97F2" w14:textId="76AFE384" w:rsidR="000D6395" w:rsidRPr="0028067E" w:rsidRDefault="000D6395" w:rsidP="000D6395">
                            <w:pPr>
                              <w:spacing w:line="20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4-QAM /</w:t>
                            </w:r>
                            <w:r w:rsidR="0028067E"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kbits/s</w:t>
                            </w:r>
                          </w:p>
                          <w:p w14:paraId="1D3AD03C" w14:textId="46666061" w:rsidR="000D6395" w:rsidRPr="0028067E" w:rsidRDefault="000D6395" w:rsidP="000D6395">
                            <w:pPr>
                              <w:spacing w:line="20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4-QAM /</w:t>
                            </w:r>
                            <w:r w:rsidR="0028067E"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kbits/s</w:t>
                            </w:r>
                          </w:p>
                          <w:p w14:paraId="44406A08" w14:textId="0689B89D" w:rsidR="000D6395" w:rsidRPr="0028067E" w:rsidRDefault="000D6395" w:rsidP="000D6395">
                            <w:pPr>
                              <w:spacing w:line="20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4-QAM /</w:t>
                            </w:r>
                            <w:r w:rsidR="0028067E"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kbits/s</w:t>
                            </w:r>
                          </w:p>
                          <w:p w14:paraId="69464785" w14:textId="77777777" w:rsidR="000D6395" w:rsidRDefault="000D6395">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693CB4" w14:textId="77777777" w:rsidR="000D6395" w:rsidRPr="000D6395" w:rsidRDefault="000D6395">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A1F2" id="Text Box 2" o:spid="_x0000_s1043" type="#_x0000_t202" alt="&quot;&quot;" style="position:absolute;left:0;text-align:left;margin-left:0;margin-top:281.75pt;width:121.5pt;height:68.25pt;z-index:25166032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" stroked="f">
                <v:textbox>
                  <w:txbxContent>
                    <w:p w14:paraId="7E0C97F2" w14:textId="76AFE384" w:rsidR="000D6395" w:rsidRPr="0028067E" w:rsidRDefault="000D6395" w:rsidP="000D6395">
                      <w:pPr>
                        <w:spacing w:line="20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4-QAM /</w:t>
                      </w:r>
                      <w:r w:rsidR="0028067E"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kbits/s</w:t>
                      </w:r>
                    </w:p>
                    <w:p w14:paraId="1D3AD03C" w14:textId="46666061" w:rsidR="000D6395" w:rsidRPr="0028067E" w:rsidRDefault="000D6395" w:rsidP="000D6395">
                      <w:pPr>
                        <w:spacing w:line="20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4-QAM /</w:t>
                      </w:r>
                      <w:r w:rsidR="0028067E"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kbits/s</w:t>
                      </w:r>
                    </w:p>
                    <w:p w14:paraId="44406A08" w14:textId="0689B89D" w:rsidR="000D6395" w:rsidRPr="0028067E" w:rsidRDefault="000D6395" w:rsidP="000D6395">
                      <w:pPr>
                        <w:spacing w:line="20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4-QAM /</w:t>
                      </w:r>
                      <w:r w:rsidR="0028067E"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kbits/s</w:t>
                      </w:r>
                    </w:p>
                    <w:p w14:paraId="69464785" w14:textId="77777777" w:rsidR="000D6395" w:rsidRDefault="000D6395">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693CB4" w14:textId="77777777" w:rsidR="000D6395" w:rsidRPr="000D6395" w:rsidRDefault="000D6395">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45822">
        <w:rPr>
          <w:noProof/>
        </w:rPr>
        <w:drawing>
          <wp:inline distT="0" distB="0" distL="0" distR="0" wp14:anchorId="4C0A4E97" wp14:editId="472F3EC6">
            <wp:extent cx="4810125" cy="5158740"/>
            <wp:effectExtent l="0" t="0" r="9525" b="3810"/>
            <wp:docPr id="46" name="Chart 46" descr="Figure 2: Protection Ratio for narrow band links&#10;">
              <a:extLst xmlns:a="http://schemas.openxmlformats.org/drawingml/2006/main">
                <a:ext uri="{FF2B5EF4-FFF2-40B4-BE49-F238E27FC236}">
                  <a16:creationId xmlns:a16="http://schemas.microsoft.com/office/drawing/2014/main" id="{FEEFD9E1-216D-442B-B34F-C5D38DFB8C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1C2B4C6" w14:textId="34B7BF7B" w:rsidR="00D8402A" w:rsidRPr="00D8402A" w:rsidRDefault="00D8402A" w:rsidP="001D2726"/>
    <w:p w14:paraId="5D9862CB" w14:textId="5BBFD754" w:rsidR="00D05D6E" w:rsidRDefault="0002678A" w:rsidP="0002678A">
      <w:r>
        <w:t xml:space="preserve">Figure </w:t>
      </w:r>
      <w:r w:rsidR="00353C6B">
        <w:t>3</w:t>
      </w:r>
      <w:r>
        <w:t xml:space="preserve"> shows the calculated protection ratios for PTP links with bandwidths greater than 100 kHz</w:t>
      </w:r>
      <w:r w:rsidR="00054857">
        <w:t>, including</w:t>
      </w:r>
      <w:r>
        <w:t xml:space="preserve"> </w:t>
      </w:r>
      <w:r w:rsidR="00054857">
        <w:t>a</w:t>
      </w:r>
      <w:r>
        <w:t>ll three modulation techniques from Table 6</w:t>
      </w:r>
      <w:r w:rsidR="00054857">
        <w:t xml:space="preserve"> and</w:t>
      </w:r>
      <w:r>
        <w:t xml:space="preserve"> </w:t>
      </w:r>
      <w:r w:rsidR="00BD3365">
        <w:t xml:space="preserve">assuming a </w:t>
      </w:r>
      <w:r>
        <w:t>P</w:t>
      </w:r>
      <w:r w:rsidRPr="00080EA0">
        <w:rPr>
          <w:vertAlign w:val="subscript"/>
        </w:rPr>
        <w:t>L</w:t>
      </w:r>
      <w:r>
        <w:t xml:space="preserve"> of 10. The lowest protection ratio is </w:t>
      </w:r>
      <w:r w:rsidR="00BD3365">
        <w:t>for a</w:t>
      </w:r>
      <w:r>
        <w:t xml:space="preserve"> modulation technique of 4-QAM/256 kbit/s, whereas the highest protection ratio is given by 7-FSK</w:t>
      </w:r>
      <w:r w:rsidR="00BD3365">
        <w:t>/256 kbit/s</w:t>
      </w:r>
      <w:r>
        <w:t>.</w:t>
      </w:r>
    </w:p>
    <w:p w14:paraId="727886EE" w14:textId="56293508" w:rsidR="0002678A" w:rsidRDefault="0002678A" w:rsidP="0002678A">
      <w:r>
        <w:t xml:space="preserve">We propose </w:t>
      </w:r>
      <w:r w:rsidR="00D05D6E">
        <w:t xml:space="preserve">that the revised </w:t>
      </w:r>
      <w:r>
        <w:t xml:space="preserve">protection ratio </w:t>
      </w:r>
      <w:r w:rsidR="00D05D6E">
        <w:t xml:space="preserve">be based on the protection requirements for a </w:t>
      </w:r>
      <w:r>
        <w:t>16-QAM</w:t>
      </w:r>
      <w:r w:rsidR="00D05D6E">
        <w:t xml:space="preserve"> link, which will also afford adequate protection </w:t>
      </w:r>
      <w:r>
        <w:t xml:space="preserve">for PTP links with modulation technique of 4-QAM. However, this protection ratio </w:t>
      </w:r>
      <w:r w:rsidR="00D05D6E">
        <w:t xml:space="preserve">is less than </w:t>
      </w:r>
      <w:r w:rsidR="00B01EA7">
        <w:t xml:space="preserve">the </w:t>
      </w:r>
      <w:r w:rsidR="00D05D6E">
        <w:t xml:space="preserve">calculated </w:t>
      </w:r>
      <w:r w:rsidR="00054857">
        <w:t xml:space="preserve">ratios </w:t>
      </w:r>
      <w:r w:rsidR="00D05D6E">
        <w:t>for 7-FSK.</w:t>
      </w:r>
      <w:r>
        <w:t xml:space="preserve"> </w:t>
      </w:r>
      <w:r w:rsidR="00D05D6E">
        <w:t xml:space="preserve">Given both 7-FSK and 4-QAM provide the same data capacity of 256 kbit/s, we think it is not necessary to </w:t>
      </w:r>
      <w:r w:rsidR="00B21EBC">
        <w:t>bas</w:t>
      </w:r>
      <w:r w:rsidR="006557B4">
        <w:t>e</w:t>
      </w:r>
      <w:r w:rsidR="00B21EBC">
        <w:t xml:space="preserve"> </w:t>
      </w:r>
      <w:r w:rsidR="00D05D6E">
        <w:t xml:space="preserve">the revised protection ratios on the protection requirements </w:t>
      </w:r>
      <w:r w:rsidR="00B21EBC">
        <w:t xml:space="preserve">for </w:t>
      </w:r>
      <w:r w:rsidR="00D05D6E">
        <w:t>a 7-FSK link. While n</w:t>
      </w:r>
      <w:r w:rsidR="00F91DDA">
        <w:t xml:space="preserve">ew 7-FSK links </w:t>
      </w:r>
      <w:r w:rsidR="00D05D6E">
        <w:t>would still be permitted in the band, they would need to accept a lower level of protection than may be required (for coordination with 700 MHz spectrum licensed transmitters</w:t>
      </w:r>
      <w:r w:rsidR="00054857">
        <w:t>)</w:t>
      </w:r>
      <w:r w:rsidR="00D05D6E">
        <w:t xml:space="preserve">.  </w:t>
      </w:r>
      <w:r w:rsidR="00F91DDA">
        <w:t xml:space="preserve"> </w:t>
      </w:r>
    </w:p>
    <w:p w14:paraId="6371D534" w14:textId="782AABCF" w:rsidR="000709D5" w:rsidRDefault="000709D5" w:rsidP="001D2726">
      <w:pPr>
        <w:pStyle w:val="Figureheading"/>
      </w:pPr>
      <w:r w:rsidRPr="00A7029F">
        <w:t xml:space="preserve">800 MHz band </w:t>
      </w:r>
      <w:r>
        <w:t xml:space="preserve">wideband </w:t>
      </w:r>
      <w:r w:rsidR="00B04C59">
        <w:t>f</w:t>
      </w:r>
      <w:r w:rsidRPr="00A7029F">
        <w:t xml:space="preserve">ixed </w:t>
      </w:r>
      <w:r w:rsidR="00B04C59">
        <w:t>l</w:t>
      </w:r>
      <w:r w:rsidRPr="00A7029F">
        <w:t xml:space="preserve">ink </w:t>
      </w:r>
      <w:r w:rsidR="00B04C59">
        <w:t>p</w:t>
      </w:r>
      <w:r w:rsidRPr="00A7029F">
        <w:t xml:space="preserve">rotection </w:t>
      </w:r>
      <w:r w:rsidR="00B04C59">
        <w:t>r</w:t>
      </w:r>
      <w:r w:rsidRPr="00A7029F">
        <w:t xml:space="preserve">atio (PR) for </w:t>
      </w:r>
      <w:r>
        <w:t>different m</w:t>
      </w:r>
      <w:r w:rsidRPr="00A7029F">
        <w:t xml:space="preserve">odulation </w:t>
      </w:r>
      <w:r>
        <w:t>t</w:t>
      </w:r>
      <w:r w:rsidRPr="00A7029F">
        <w:t>echniques with P</w:t>
      </w:r>
      <w:r w:rsidRPr="00080EA0">
        <w:rPr>
          <w:vertAlign w:val="subscript"/>
        </w:rPr>
        <w:t>L</w:t>
      </w:r>
      <w:r w:rsidRPr="00A7029F">
        <w:t>=</w:t>
      </w:r>
      <w:r>
        <w:t>10</w:t>
      </w:r>
    </w:p>
    <w:p w14:paraId="210D2294" w14:textId="77777777" w:rsidR="000709D5" w:rsidRDefault="000709D5" w:rsidP="000709D5">
      <w:r>
        <w:rPr>
          <w:noProof/>
        </w:rPr>
        <w:drawing>
          <wp:anchor distT="0" distB="0" distL="114300" distR="114300" simplePos="0" relativeHeight="251658278" behindDoc="1" locked="0" layoutInCell="1" allowOverlap="1" wp14:anchorId="0FF456D1" wp14:editId="3DFDE13A">
            <wp:simplePos x="0" y="0"/>
            <wp:positionH relativeFrom="column">
              <wp:posOffset>403860</wp:posOffset>
            </wp:positionH>
            <wp:positionV relativeFrom="paragraph">
              <wp:posOffset>50800</wp:posOffset>
            </wp:positionV>
            <wp:extent cx="4871085" cy="5563870"/>
            <wp:effectExtent l="0" t="0" r="5715" b="17780"/>
            <wp:wrapTight wrapText="bothSides">
              <wp:wrapPolygon edited="0">
                <wp:start x="0" y="0"/>
                <wp:lineTo x="0" y="21595"/>
                <wp:lineTo x="21541" y="21595"/>
                <wp:lineTo x="21541" y="0"/>
                <wp:lineTo x="0" y="0"/>
              </wp:wrapPolygon>
            </wp:wrapTight>
            <wp:docPr id="55" name="Chart 55">
              <a:extLst xmlns:a="http://schemas.openxmlformats.org/drawingml/2006/main">
                <a:ext uri="{FF2B5EF4-FFF2-40B4-BE49-F238E27FC236}">
                  <a16:creationId xmlns:a16="http://schemas.microsoft.com/office/drawing/2014/main" id="{FEEFD9E1-216D-442B-B34F-C5D38DFB8CB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24C0721D" w14:textId="77777777" w:rsidR="000709D5" w:rsidRPr="00886ECB" w:rsidRDefault="000709D5" w:rsidP="0002678A"/>
    <w:p w14:paraId="2DBEEAE6" w14:textId="0537848E" w:rsidR="002524B2" w:rsidRDefault="002524B2" w:rsidP="008D6C0E"/>
    <w:p w14:paraId="0C295D26" w14:textId="77777777" w:rsidR="00412748" w:rsidRDefault="00412748" w:rsidP="008D6C0E"/>
    <w:p w14:paraId="415852C9" w14:textId="77777777" w:rsidR="00412748" w:rsidRDefault="00412748" w:rsidP="008D6C0E"/>
    <w:p w14:paraId="584EE734" w14:textId="77777777" w:rsidR="00412748" w:rsidRDefault="00412748" w:rsidP="008D6C0E"/>
    <w:p w14:paraId="2D0E7844" w14:textId="77777777" w:rsidR="00412748" w:rsidRDefault="00412748" w:rsidP="008D6C0E"/>
    <w:p w14:paraId="326931A9" w14:textId="77777777" w:rsidR="00412748" w:rsidRDefault="00412748" w:rsidP="008D6C0E"/>
    <w:p w14:paraId="6102AE91" w14:textId="77777777" w:rsidR="00412748" w:rsidRDefault="00412748" w:rsidP="008D6C0E"/>
    <w:p w14:paraId="49778B68" w14:textId="77777777" w:rsidR="00412748" w:rsidRDefault="00412748" w:rsidP="008D6C0E"/>
    <w:p w14:paraId="30D220B5" w14:textId="4B45A2C8" w:rsidR="00412748" w:rsidRDefault="008D56A2" w:rsidP="008D6C0E">
      <w:r>
        <w:rPr>
          <w:noProof/>
        </w:rPr>
        <mc:AlternateContent>
          <mc:Choice Requires="wps">
            <w:drawing>
              <wp:anchor distT="45720" distB="45720" distL="114300" distR="114300" simplePos="0" relativeHeight="251662375" behindDoc="0" locked="0" layoutInCell="1" allowOverlap="1" wp14:anchorId="094FB783" wp14:editId="4FB63B78">
                <wp:simplePos x="0" y="0"/>
                <wp:positionH relativeFrom="margin">
                  <wp:posOffset>3137535</wp:posOffset>
                </wp:positionH>
                <wp:positionV relativeFrom="paragraph">
                  <wp:posOffset>263524</wp:posOffset>
                </wp:positionV>
                <wp:extent cx="1647825" cy="923925"/>
                <wp:effectExtent l="0" t="0" r="9525" b="9525"/>
                <wp:wrapNone/>
                <wp:docPr id="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23925"/>
                        </a:xfrm>
                        <a:prstGeom prst="rect">
                          <a:avLst/>
                        </a:prstGeom>
                        <a:solidFill>
                          <a:srgbClr val="FFFFFF"/>
                        </a:solidFill>
                        <a:ln w="9525">
                          <a:noFill/>
                          <a:miter lim="800000"/>
                          <a:headEnd/>
                          <a:tailEnd/>
                        </a:ln>
                      </wps:spPr>
                      <wps:txbx>
                        <w:txbxContent>
                          <w:p w14:paraId="077231BE" w14:textId="3095C202" w:rsidR="008D56A2" w:rsidRPr="0028067E" w:rsidRDefault="008D56A2" w:rsidP="00F40574">
                            <w:pPr>
                              <w:spacing w:line="26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QAM /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512</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kbits/s</w:t>
                            </w:r>
                          </w:p>
                          <w:p w14:paraId="42EB021E" w14:textId="19087552" w:rsidR="008D56A2" w:rsidRPr="0028067E" w:rsidRDefault="008D56A2" w:rsidP="00F40574">
                            <w:pPr>
                              <w:spacing w:line="26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4-QAM /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256</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kbits/s</w:t>
                            </w:r>
                          </w:p>
                          <w:p w14:paraId="4CBD064D" w14:textId="468C4A25" w:rsidR="008D56A2" w:rsidRPr="0028067E" w:rsidRDefault="008D56A2" w:rsidP="00F40574">
                            <w:pPr>
                              <w:spacing w:line="26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FSK</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256</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kbits/s</w:t>
                            </w:r>
                          </w:p>
                          <w:p w14:paraId="0AA783CE" w14:textId="77777777" w:rsidR="008D56A2"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78226B" w14:textId="77777777" w:rsidR="008D56A2" w:rsidRPr="000D6395"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FB783" id="_x0000_s1044" type="#_x0000_t202" alt="&quot;&quot;" style="position:absolute;margin-left:247.05pt;margin-top:20.75pt;width:129.75pt;height:72.75pt;z-index:2516623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" stroked="f">
                <v:textbox>
                  <w:txbxContent>
                    <w:p w14:paraId="077231BE" w14:textId="3095C202" w:rsidR="008D56A2" w:rsidRPr="0028067E" w:rsidRDefault="008D56A2" w:rsidP="00F40574">
                      <w:pPr>
                        <w:spacing w:line="26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QAM /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512</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kbits/s</w:t>
                      </w:r>
                    </w:p>
                    <w:p w14:paraId="42EB021E" w14:textId="19087552" w:rsidR="008D56A2" w:rsidRPr="0028067E" w:rsidRDefault="008D56A2" w:rsidP="00F40574">
                      <w:pPr>
                        <w:spacing w:line="26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4-QAM /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256</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kbits/s</w:t>
                      </w:r>
                    </w:p>
                    <w:p w14:paraId="4CBD064D" w14:textId="468C4A25" w:rsidR="008D56A2" w:rsidRPr="0028067E" w:rsidRDefault="008D56A2" w:rsidP="00F40574">
                      <w:pPr>
                        <w:spacing w:line="26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FSK</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256</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kbits/s</w:t>
                      </w:r>
                    </w:p>
                    <w:p w14:paraId="0AA783CE" w14:textId="77777777" w:rsidR="008D56A2"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78226B" w14:textId="77777777" w:rsidR="008D56A2" w:rsidRPr="000D6395"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67B08D56" w14:textId="270378FF" w:rsidR="00412748" w:rsidRDefault="00412748" w:rsidP="008D6C0E"/>
    <w:p w14:paraId="53736C26" w14:textId="4540E40C" w:rsidR="00412748" w:rsidRDefault="00412748" w:rsidP="008D6C0E"/>
    <w:p w14:paraId="2055E7CD" w14:textId="46E27494" w:rsidR="00412748" w:rsidRDefault="00412748" w:rsidP="008D6C0E"/>
    <w:p w14:paraId="7BABE5F5" w14:textId="5992936E" w:rsidR="00412748" w:rsidRDefault="00412748" w:rsidP="008D6C0E"/>
    <w:p w14:paraId="12F54F6C" w14:textId="77777777" w:rsidR="00412748" w:rsidRDefault="00412748" w:rsidP="008D6C0E"/>
    <w:p w14:paraId="4D29EF56" w14:textId="77777777" w:rsidR="00412748" w:rsidRDefault="00412748" w:rsidP="008D6C0E"/>
    <w:p w14:paraId="0054DBAF" w14:textId="77777777" w:rsidR="00412748" w:rsidRDefault="00412748" w:rsidP="008D6C0E"/>
    <w:p w14:paraId="3EBC5287" w14:textId="77777777" w:rsidR="00412748" w:rsidRDefault="00412748" w:rsidP="008D6C0E"/>
    <w:p w14:paraId="402F5918" w14:textId="10E1B4CE" w:rsidR="00083F6B" w:rsidRDefault="00E95577" w:rsidP="008D6C0E">
      <w:r>
        <w:t xml:space="preserve">The proposed revised protection ratios are shown in Figure </w:t>
      </w:r>
      <w:r w:rsidR="00353C6B">
        <w:t>4</w:t>
      </w:r>
      <w:r>
        <w:t xml:space="preserve">. </w:t>
      </w:r>
      <w:r w:rsidR="00083F6B">
        <w:t xml:space="preserve">Although the calculated protection ratios in Figure </w:t>
      </w:r>
      <w:r w:rsidR="00CF5C54">
        <w:t>3</w:t>
      </w:r>
      <w:r w:rsidR="00083F6B">
        <w:t xml:space="preserve"> are higher than </w:t>
      </w:r>
      <w:r w:rsidR="00B21EBC">
        <w:t xml:space="preserve">the </w:t>
      </w:r>
      <w:r w:rsidR="00083F6B">
        <w:t>50 dB</w:t>
      </w:r>
      <w:r w:rsidR="00403929">
        <w:t xml:space="preserve"> currently provided </w:t>
      </w:r>
      <w:r w:rsidR="00B21EBC">
        <w:t xml:space="preserve">in </w:t>
      </w:r>
      <w:r w:rsidR="00403929">
        <w:t>RALI FX22</w:t>
      </w:r>
      <w:r w:rsidR="00083F6B">
        <w:t xml:space="preserve"> for longer link lengths, we are not proposing to increase the revi</w:t>
      </w:r>
      <w:r w:rsidR="00CF5C54">
        <w:t>s</w:t>
      </w:r>
      <w:r w:rsidR="00083F6B">
        <w:t xml:space="preserve">ed protection ratio beyond 50 dB, given that this level of protection </w:t>
      </w:r>
      <w:r w:rsidR="00083F6B" w:rsidRPr="00831059">
        <w:t>has been suitable for PTP link</w:t>
      </w:r>
      <w:r w:rsidR="00CF5C54">
        <w:t>s</w:t>
      </w:r>
      <w:r w:rsidR="00083F6B" w:rsidRPr="00831059">
        <w:t xml:space="preserve"> in the b</w:t>
      </w:r>
      <w:r w:rsidRPr="00831059">
        <w:t>a</w:t>
      </w:r>
      <w:r w:rsidR="00083F6B" w:rsidRPr="00831059">
        <w:t>nd for many years.</w:t>
      </w:r>
      <w:r w:rsidRPr="00831059">
        <w:t xml:space="preserve"> In addition, </w:t>
      </w:r>
      <w:r w:rsidR="00CF5C54">
        <w:t>we propose a constant</w:t>
      </w:r>
      <w:r w:rsidRPr="00831059">
        <w:t xml:space="preserve"> protection ratio for link lengths less than 10 km due to the absence of fading at these distances. While </w:t>
      </w:r>
      <w:r w:rsidR="00B04C59">
        <w:br/>
      </w:r>
      <w:r w:rsidR="00B21EBC">
        <w:t xml:space="preserve">RALI </w:t>
      </w:r>
      <w:r w:rsidRPr="00831059">
        <w:t xml:space="preserve">FX22 does not </w:t>
      </w:r>
      <w:r w:rsidR="001C239E">
        <w:t>permit</w:t>
      </w:r>
      <w:r w:rsidRPr="00831059">
        <w:t xml:space="preserve"> link lengths less than 20 km, it is proposed to include revised</w:t>
      </w:r>
      <w:r>
        <w:t xml:space="preserve"> protection ratios below this distance for cases where the ACMA ha</w:t>
      </w:r>
      <w:r w:rsidR="00364B9E">
        <w:t>s</w:t>
      </w:r>
      <w:r>
        <w:t xml:space="preserve"> granted an exemption for shorter links.</w:t>
      </w:r>
    </w:p>
    <w:p w14:paraId="3A12E79A" w14:textId="31EC9240" w:rsidR="007C61FE" w:rsidRPr="00EE3353" w:rsidRDefault="007C61FE" w:rsidP="003200A2">
      <w:pPr>
        <w:pStyle w:val="TableBody"/>
        <w:keepNext/>
        <w:keepLines/>
        <w:jc w:val="center"/>
        <w:rPr>
          <w:b/>
          <w:bCs/>
          <w:szCs w:val="20"/>
        </w:rPr>
      </w:pPr>
    </w:p>
    <w:p w14:paraId="350EDFAB" w14:textId="3F64A9D9" w:rsidR="00130D45" w:rsidRDefault="00DB6002" w:rsidP="001D2726">
      <w:pPr>
        <w:pStyle w:val="Figureheading"/>
      </w:pPr>
      <w:r>
        <w:rPr>
          <w:noProof/>
        </w:rPr>
        <w:drawing>
          <wp:anchor distT="0" distB="0" distL="114300" distR="114300" simplePos="0" relativeHeight="251658279" behindDoc="0" locked="0" layoutInCell="1" allowOverlap="1" wp14:anchorId="0F4625C0" wp14:editId="1D145CC9">
            <wp:simplePos x="0" y="0"/>
            <wp:positionH relativeFrom="column">
              <wp:posOffset>61595</wp:posOffset>
            </wp:positionH>
            <wp:positionV relativeFrom="paragraph">
              <wp:posOffset>593090</wp:posOffset>
            </wp:positionV>
            <wp:extent cx="4871085" cy="6081395"/>
            <wp:effectExtent l="0" t="0" r="5715" b="14605"/>
            <wp:wrapTopAndBottom/>
            <wp:docPr id="43" name="Chart 43">
              <a:extLst xmlns:a="http://schemas.openxmlformats.org/drawingml/2006/main">
                <a:ext uri="{FF2B5EF4-FFF2-40B4-BE49-F238E27FC236}">
                  <a16:creationId xmlns:a16="http://schemas.microsoft.com/office/drawing/2014/main" id="{06920F34-551B-45A6-82B0-5B58A0FDE07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353C6B">
        <w:t>Proposed revised wideband</w:t>
      </w:r>
      <w:r w:rsidR="007E3217">
        <w:t xml:space="preserve"> (</w:t>
      </w:r>
      <w:r w:rsidR="007E3217">
        <w:rPr>
          <w:rFonts w:cs="Arial"/>
        </w:rPr>
        <w:t>≥</w:t>
      </w:r>
      <w:r w:rsidR="007E3217">
        <w:t xml:space="preserve"> 100 kHz)</w:t>
      </w:r>
      <w:r w:rsidR="00353C6B">
        <w:t xml:space="preserve"> PTP link protection ra</w:t>
      </w:r>
      <w:r w:rsidR="009031D1">
        <w:t>t</w:t>
      </w:r>
      <w:r w:rsidR="00353C6B">
        <w:t>ios for different P</w:t>
      </w:r>
      <w:r w:rsidR="00353C6B">
        <w:rPr>
          <w:vertAlign w:val="subscript"/>
        </w:rPr>
        <w:t xml:space="preserve">L </w:t>
      </w:r>
      <w:r w:rsidR="00353C6B">
        <w:t>values</w:t>
      </w:r>
      <w:r w:rsidR="001D2726">
        <w:t>.</w:t>
      </w:r>
    </w:p>
    <w:p w14:paraId="5F94523A" w14:textId="0448DC45" w:rsidR="0002678A" w:rsidRDefault="008D56A2">
      <w:pPr>
        <w:spacing w:after="0" w:line="240" w:lineRule="auto"/>
      </w:pPr>
      <w:r>
        <w:rPr>
          <w:noProof/>
        </w:rPr>
        <mc:AlternateContent>
          <mc:Choice Requires="wps">
            <w:drawing>
              <wp:anchor distT="45720" distB="45720" distL="114300" distR="114300" simplePos="0" relativeHeight="251664423" behindDoc="0" locked="0" layoutInCell="1" allowOverlap="1" wp14:anchorId="7A36E90D" wp14:editId="31385DF7">
                <wp:simplePos x="0" y="0"/>
                <wp:positionH relativeFrom="margin">
                  <wp:posOffset>3775710</wp:posOffset>
                </wp:positionH>
                <wp:positionV relativeFrom="paragraph">
                  <wp:posOffset>4318000</wp:posOffset>
                </wp:positionV>
                <wp:extent cx="600075" cy="1085850"/>
                <wp:effectExtent l="0" t="0" r="9525" b="0"/>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85850"/>
                        </a:xfrm>
                        <a:prstGeom prst="rect">
                          <a:avLst/>
                        </a:prstGeom>
                        <a:solidFill>
                          <a:srgbClr val="FFFFFF"/>
                        </a:solidFill>
                        <a:ln w="9525">
                          <a:noFill/>
                          <a:miter lim="800000"/>
                          <a:headEnd/>
                          <a:tailEnd/>
                        </a:ln>
                      </wps:spPr>
                      <wps:txbx>
                        <w:txbxContent>
                          <w:p w14:paraId="0C533B81" w14:textId="64266B8D" w:rsidR="008D56A2" w:rsidRPr="0028067E" w:rsidRDefault="008D56A2" w:rsidP="00F40574">
                            <w:pPr>
                              <w:spacing w:line="34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701E7085" w14:textId="370A8D95" w:rsidR="008D56A2" w:rsidRPr="0028067E" w:rsidRDefault="008D56A2" w:rsidP="00F40574">
                            <w:pPr>
                              <w:spacing w:line="34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14:paraId="5ACF820B" w14:textId="62CDB572" w:rsidR="008D56A2" w:rsidRPr="0028067E" w:rsidRDefault="008D56A2" w:rsidP="00F40574">
                            <w:pPr>
                              <w:spacing w:line="34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65BCD734" w14:textId="77777777" w:rsidR="008D56A2"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8E5B9" w14:textId="77777777" w:rsidR="008D56A2" w:rsidRPr="000D6395"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6E90D" id="_x0000_s1045" type="#_x0000_t202" alt="&quot;&quot;" style="position:absolute;margin-left:297.3pt;margin-top:340pt;width:47.25pt;height:85.5pt;z-index:2516644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" stroked="f">
                <v:textbox>
                  <w:txbxContent>
                    <w:p w14:paraId="0C533B81" w14:textId="64266B8D" w:rsidR="008D56A2" w:rsidRPr="0028067E" w:rsidRDefault="008D56A2" w:rsidP="00F40574">
                      <w:pPr>
                        <w:spacing w:line="34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701E7085" w14:textId="370A8D95" w:rsidR="008D56A2" w:rsidRPr="0028067E" w:rsidRDefault="008D56A2" w:rsidP="00F40574">
                      <w:pPr>
                        <w:spacing w:line="34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14:paraId="5ACF820B" w14:textId="62CDB572" w:rsidR="008D56A2" w:rsidRPr="0028067E" w:rsidRDefault="008D56A2" w:rsidP="00F40574">
                      <w:pPr>
                        <w:spacing w:line="340" w:lineRule="exact"/>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067E">
                        <w:rPr>
                          <w:rFonts w:cs="Arial"/>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8067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65BCD734" w14:textId="77777777" w:rsidR="008D56A2"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8E5B9" w14:textId="77777777" w:rsidR="008D56A2" w:rsidRPr="000D6395" w:rsidRDefault="008D56A2" w:rsidP="008D56A2">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273D3E4" w14:textId="77777777" w:rsidR="00B21EBC" w:rsidRDefault="00B21EBC" w:rsidP="009031D1"/>
    <w:p w14:paraId="09E10DC1" w14:textId="223C830E" w:rsidR="00E634A7" w:rsidRDefault="009031D1" w:rsidP="006A58DF">
      <w:pPr>
        <w:pStyle w:val="Paragraphbeforelist"/>
      </w:pPr>
      <w:r>
        <w:t xml:space="preserve">FX22 currently provides an adjusted protection criteria for PTP </w:t>
      </w:r>
      <w:r w:rsidR="00E634A7">
        <w:t xml:space="preserve">links </w:t>
      </w:r>
      <w:r>
        <w:t xml:space="preserve">with a low wanted level (see Table 7 in FX22). Table 7 below provides a similar adjustment </w:t>
      </w:r>
      <w:r w:rsidR="00E634A7">
        <w:t>for</w:t>
      </w:r>
      <w:r>
        <w:t xml:space="preserve"> the revised protection ratios </w:t>
      </w:r>
      <w:r w:rsidR="00B21EBC">
        <w:t xml:space="preserve">shown in </w:t>
      </w:r>
      <w:r>
        <w:t xml:space="preserve">Figure </w:t>
      </w:r>
      <w:r w:rsidR="00B01EA7">
        <w:t>4</w:t>
      </w:r>
      <w:r>
        <w:t>.</w:t>
      </w:r>
      <w:r w:rsidR="00E634A7">
        <w:t xml:space="preserve"> The arrangements in Table 7 constitute the proposed revi</w:t>
      </w:r>
      <w:r w:rsidR="00CF5C54">
        <w:t>s</w:t>
      </w:r>
      <w:r w:rsidR="00E634A7">
        <w:t>ed PTP protection criteria, to be applied for coordination between a 700 MHz spectrum licensed transmitter and a PTP receiver that:</w:t>
      </w:r>
    </w:p>
    <w:p w14:paraId="64250EEE" w14:textId="180E1D70" w:rsidR="009031D1" w:rsidRDefault="00E634A7" w:rsidP="00E634A7">
      <w:pPr>
        <w:pStyle w:val="Bulletlevel1"/>
      </w:pPr>
      <w:r>
        <w:t>Is licensed after the release date of the updated RALI FX22</w:t>
      </w:r>
      <w:r w:rsidR="00B04C59">
        <w:t>.</w:t>
      </w:r>
      <w:r>
        <w:t xml:space="preserve"> </w:t>
      </w:r>
    </w:p>
    <w:p w14:paraId="5A388289" w14:textId="3E670629" w:rsidR="00E634A7" w:rsidRDefault="00E634A7" w:rsidP="001D2726">
      <w:pPr>
        <w:pStyle w:val="Bulletlevel1last"/>
      </w:pPr>
      <w:r>
        <w:t xml:space="preserve">Has a bandwidth greater than </w:t>
      </w:r>
      <w:r w:rsidR="00B01EA7">
        <w:t xml:space="preserve">or equal to </w:t>
      </w:r>
      <w:r>
        <w:t>100 kHz.</w:t>
      </w:r>
    </w:p>
    <w:p w14:paraId="31F2624D" w14:textId="067C7F24" w:rsidR="00E634A7" w:rsidRDefault="00D74293" w:rsidP="001D2726">
      <w:pPr>
        <w:pStyle w:val="Paragraph"/>
      </w:pPr>
      <w:r>
        <w:t>Coordination</w:t>
      </w:r>
      <w:r w:rsidR="00E634A7">
        <w:t xml:space="preserve"> in all other cases would use the protection ratios already </w:t>
      </w:r>
      <w:r w:rsidR="00B21EBC">
        <w:t xml:space="preserve">specified </w:t>
      </w:r>
      <w:r w:rsidR="00E634A7">
        <w:t>in RALI FX22.</w:t>
      </w:r>
    </w:p>
    <w:p w14:paraId="0827D396" w14:textId="5C737EC5" w:rsidR="009031D1" w:rsidRDefault="009031D1" w:rsidP="009031D1">
      <w:pPr>
        <w:pStyle w:val="Tableheading"/>
      </w:pPr>
      <w:bookmarkStart w:id="28" w:name="_Hlk145512775"/>
      <w:r>
        <w:t>Revi</w:t>
      </w:r>
      <w:r w:rsidR="00F03219">
        <w:t>s</w:t>
      </w:r>
      <w:r>
        <w:t>ed protection ratios, includ</w:t>
      </w:r>
      <w:r w:rsidR="00396D14">
        <w:t>ing</w:t>
      </w:r>
      <w:r>
        <w:t xml:space="preserve"> adjustment for links with a low wanted level (where PR is the applicable revised protection ratio from Figure 4)</w:t>
      </w:r>
    </w:p>
    <w:tbl>
      <w:tblPr>
        <w:tblStyle w:val="TableGrid"/>
        <w:tblW w:w="0" w:type="auto"/>
        <w:tblCellMar>
          <w:top w:w="57" w:type="dxa"/>
          <w:bottom w:w="57" w:type="dxa"/>
        </w:tblCellMar>
        <w:tblLook w:val="04A0" w:firstRow="1" w:lastRow="0" w:firstColumn="1" w:lastColumn="0" w:noHBand="0" w:noVBand="1"/>
      </w:tblPr>
      <w:tblGrid>
        <w:gridCol w:w="2477"/>
        <w:gridCol w:w="4073"/>
      </w:tblGrid>
      <w:tr w:rsidR="00B04C59" w:rsidRPr="00B04C59" w14:paraId="4C49803D" w14:textId="77777777" w:rsidTr="00BA53C8">
        <w:trPr>
          <w:trHeight w:val="284"/>
        </w:trPr>
        <w:tc>
          <w:tcPr>
            <w:tcW w:w="0" w:type="auto"/>
            <w:shd w:val="clear" w:color="auto" w:fill="404040" w:themeFill="text1" w:themeFillTint="BF"/>
          </w:tcPr>
          <w:p w14:paraId="33CAD3E5" w14:textId="40263487" w:rsidR="009031D1" w:rsidRPr="006A58DF" w:rsidRDefault="009031D1" w:rsidP="001D2726">
            <w:pPr>
              <w:pStyle w:val="Tableheaderrow"/>
              <w:rPr>
                <w:color w:val="FFFFFF" w:themeColor="background1"/>
              </w:rPr>
            </w:pPr>
            <w:bookmarkStart w:id="29" w:name="_Hlk145574956"/>
            <w:r w:rsidRPr="006A58DF">
              <w:rPr>
                <w:color w:val="FFFFFF" w:themeColor="background1"/>
              </w:rPr>
              <w:t>Wanted level (WL)</w:t>
            </w:r>
          </w:p>
        </w:tc>
        <w:tc>
          <w:tcPr>
            <w:tcW w:w="0" w:type="auto"/>
            <w:shd w:val="clear" w:color="auto" w:fill="404040" w:themeFill="text1" w:themeFillTint="BF"/>
          </w:tcPr>
          <w:p w14:paraId="072FB543" w14:textId="7DB018E7" w:rsidR="009031D1" w:rsidRPr="006A58DF" w:rsidRDefault="00F32D49" w:rsidP="001D2726">
            <w:pPr>
              <w:pStyle w:val="Tableheaderrow"/>
              <w:rPr>
                <w:color w:val="FFFFFF" w:themeColor="background1"/>
              </w:rPr>
            </w:pPr>
            <w:r w:rsidRPr="006A58DF">
              <w:rPr>
                <w:color w:val="FFFFFF" w:themeColor="background1"/>
              </w:rPr>
              <w:t>Revised c</w:t>
            </w:r>
            <w:r w:rsidR="009031D1" w:rsidRPr="006A58DF">
              <w:rPr>
                <w:color w:val="FFFFFF" w:themeColor="background1"/>
              </w:rPr>
              <w:t>o-channe</w:t>
            </w:r>
            <w:r w:rsidRPr="006A58DF">
              <w:rPr>
                <w:color w:val="FFFFFF" w:themeColor="background1"/>
              </w:rPr>
              <w:t>l</w:t>
            </w:r>
            <w:r w:rsidR="009031D1" w:rsidRPr="006A58DF">
              <w:rPr>
                <w:color w:val="FFFFFF" w:themeColor="background1"/>
              </w:rPr>
              <w:t xml:space="preserve"> protection ratio</w:t>
            </w:r>
            <w:r w:rsidR="006C6D64" w:rsidRPr="006A58DF">
              <w:rPr>
                <w:color w:val="FFFFFF" w:themeColor="background1"/>
              </w:rPr>
              <w:t xml:space="preserve"> (dB</w:t>
            </w:r>
            <w:r w:rsidRPr="006A58DF">
              <w:rPr>
                <w:color w:val="FFFFFF" w:themeColor="background1"/>
              </w:rPr>
              <w:t>)</w:t>
            </w:r>
          </w:p>
        </w:tc>
      </w:tr>
      <w:tr w:rsidR="009031D1" w14:paraId="4F9CF189" w14:textId="77777777" w:rsidTr="006A58DF">
        <w:trPr>
          <w:trHeight w:val="284"/>
        </w:trPr>
        <w:tc>
          <w:tcPr>
            <w:tcW w:w="0" w:type="auto"/>
          </w:tcPr>
          <w:p w14:paraId="3AC98724" w14:textId="3281A0A1" w:rsidR="009031D1" w:rsidRDefault="009031D1" w:rsidP="001D2726">
            <w:pPr>
              <w:pStyle w:val="TableBody"/>
            </w:pPr>
            <w:r>
              <w:t>WL ≥ -72 dBm</w:t>
            </w:r>
          </w:p>
        </w:tc>
        <w:tc>
          <w:tcPr>
            <w:tcW w:w="0" w:type="auto"/>
          </w:tcPr>
          <w:p w14:paraId="605247E4" w14:textId="16C3F626" w:rsidR="009031D1" w:rsidRDefault="009031D1" w:rsidP="001D2726">
            <w:pPr>
              <w:pStyle w:val="TableBody"/>
            </w:pPr>
            <w:r>
              <w:t>PR</w:t>
            </w:r>
            <w:r w:rsidR="00B21EBC">
              <w:t xml:space="preserve"> in Figure 4</w:t>
            </w:r>
          </w:p>
        </w:tc>
      </w:tr>
      <w:tr w:rsidR="009031D1" w:rsidRPr="00A645B3" w14:paraId="67297D97" w14:textId="77777777" w:rsidTr="006A58DF">
        <w:trPr>
          <w:trHeight w:val="284"/>
        </w:trPr>
        <w:tc>
          <w:tcPr>
            <w:tcW w:w="0" w:type="auto"/>
            <w:shd w:val="clear" w:color="auto" w:fill="F2F2F2" w:themeFill="background1" w:themeFillShade="F2"/>
          </w:tcPr>
          <w:p w14:paraId="52EAEA56" w14:textId="2FC98762" w:rsidR="009031D1" w:rsidRDefault="009031D1" w:rsidP="001D2726">
            <w:pPr>
              <w:pStyle w:val="TableBody"/>
            </w:pPr>
            <w:r>
              <w:t>-72 dBm &gt; WL ≥ -92 dBm</w:t>
            </w:r>
          </w:p>
        </w:tc>
        <w:tc>
          <w:tcPr>
            <w:tcW w:w="0" w:type="auto"/>
            <w:shd w:val="clear" w:color="auto" w:fill="F2F2F2" w:themeFill="background1" w:themeFillShade="F2"/>
          </w:tcPr>
          <w:p w14:paraId="2C8333BA" w14:textId="23B915C1" w:rsidR="009031D1" w:rsidRPr="001D2726" w:rsidRDefault="006C6D64" w:rsidP="009031D1">
            <w:pPr>
              <w:pStyle w:val="TableBody"/>
              <w:rPr>
                <w:lang w:val="fr-FR"/>
              </w:rPr>
            </w:pPr>
            <w:r w:rsidRPr="001D2726">
              <w:rPr>
                <w:lang w:val="fr-FR"/>
              </w:rPr>
              <w:t xml:space="preserve">= </w:t>
            </w:r>
            <w:r w:rsidR="00A13488" w:rsidRPr="001D2726">
              <w:rPr>
                <w:lang w:val="fr-FR"/>
              </w:rPr>
              <w:t>max (</w:t>
            </w:r>
            <w:r w:rsidRPr="001D2726">
              <w:rPr>
                <w:lang w:val="fr-FR"/>
              </w:rPr>
              <w:t>30, PR-(-72 – WL))</w:t>
            </w:r>
            <w:r w:rsidR="002B743D" w:rsidRPr="001D2726">
              <w:rPr>
                <w:lang w:val="fr-FR"/>
              </w:rPr>
              <w:t>,</w:t>
            </w:r>
            <w:r w:rsidRPr="001D2726">
              <w:rPr>
                <w:lang w:val="fr-FR"/>
              </w:rPr>
              <w:t xml:space="preserve"> </w:t>
            </w:r>
            <w:r w:rsidR="00D74293" w:rsidRPr="001D2726">
              <w:rPr>
                <w:lang w:val="fr-FR"/>
              </w:rPr>
              <w:t xml:space="preserve">for PR </w:t>
            </w:r>
            <w:r w:rsidR="00DE4988" w:rsidRPr="001D2726">
              <w:rPr>
                <w:rFonts w:cs="Arial"/>
                <w:lang w:val="fr-FR"/>
              </w:rPr>
              <w:t>≥</w:t>
            </w:r>
            <w:r w:rsidR="00D74293" w:rsidRPr="001D2726">
              <w:rPr>
                <w:lang w:val="fr-FR"/>
              </w:rPr>
              <w:t xml:space="preserve"> 30</w:t>
            </w:r>
          </w:p>
          <w:p w14:paraId="192CCFB8" w14:textId="04C83A59" w:rsidR="00D74293" w:rsidRPr="00F40574" w:rsidRDefault="00D74293" w:rsidP="001D2726">
            <w:pPr>
              <w:pStyle w:val="TableBody"/>
              <w:rPr>
                <w:lang w:val="fr-FR"/>
              </w:rPr>
            </w:pPr>
            <w:r w:rsidRPr="00F40574">
              <w:rPr>
                <w:lang w:val="fr-FR"/>
              </w:rPr>
              <w:t xml:space="preserve">= </w:t>
            </w:r>
            <w:r w:rsidR="00C74BED" w:rsidRPr="00F40574">
              <w:rPr>
                <w:lang w:val="fr-FR"/>
              </w:rPr>
              <w:t>max (28, PR-(-72 - WL) for PR &lt; 30</w:t>
            </w:r>
          </w:p>
        </w:tc>
      </w:tr>
      <w:tr w:rsidR="009031D1" w14:paraId="535885C2" w14:textId="77777777" w:rsidTr="006A58DF">
        <w:trPr>
          <w:trHeight w:hRule="exact" w:val="284"/>
        </w:trPr>
        <w:tc>
          <w:tcPr>
            <w:tcW w:w="0" w:type="auto"/>
          </w:tcPr>
          <w:p w14:paraId="3DC3E917" w14:textId="7BA1EA94" w:rsidR="009031D1" w:rsidRDefault="009031D1" w:rsidP="001D2726">
            <w:pPr>
              <w:pStyle w:val="TableBody"/>
            </w:pPr>
            <w:r>
              <w:t>WL &lt; -92 dBm</w:t>
            </w:r>
          </w:p>
        </w:tc>
        <w:tc>
          <w:tcPr>
            <w:tcW w:w="0" w:type="auto"/>
          </w:tcPr>
          <w:p w14:paraId="1FD1EC07" w14:textId="0E271CFB" w:rsidR="009031D1" w:rsidRDefault="00E33004" w:rsidP="001D2726">
            <w:pPr>
              <w:pStyle w:val="TableBody"/>
            </w:pPr>
            <w:r>
              <w:t xml:space="preserve">= </w:t>
            </w:r>
            <w:r w:rsidR="009031D1">
              <w:t>30</w:t>
            </w:r>
            <w:r>
              <w:t xml:space="preserve">, for PR </w:t>
            </w:r>
            <w:r>
              <w:rPr>
                <w:rFonts w:cs="Arial"/>
              </w:rPr>
              <w:t>≥</w:t>
            </w:r>
            <w:r>
              <w:t xml:space="preserve"> 30</w:t>
            </w:r>
          </w:p>
        </w:tc>
      </w:tr>
      <w:bookmarkEnd w:id="28"/>
      <w:bookmarkEnd w:id="29"/>
    </w:tbl>
    <w:p w14:paraId="145E878D" w14:textId="77777777" w:rsidR="009031D1" w:rsidRPr="001D2726" w:rsidRDefault="009031D1" w:rsidP="001D2726">
      <w:pPr>
        <w:pStyle w:val="Paragraph"/>
      </w:pPr>
    </w:p>
    <w:p w14:paraId="0C61CBF6" w14:textId="48B840A2" w:rsidR="00123372" w:rsidRDefault="00123372" w:rsidP="002F64DA">
      <w:pPr>
        <w:pStyle w:val="Heading2"/>
      </w:pPr>
      <w:bookmarkStart w:id="30" w:name="_Toc148015265"/>
      <w:r>
        <w:t xml:space="preserve">Proposed additional </w:t>
      </w:r>
      <w:proofErr w:type="gramStart"/>
      <w:r>
        <w:t>guidance</w:t>
      </w:r>
      <w:bookmarkEnd w:id="30"/>
      <w:proofErr w:type="gramEnd"/>
    </w:p>
    <w:p w14:paraId="5022CBE9" w14:textId="1896BA85" w:rsidR="00123372" w:rsidRDefault="0021471F" w:rsidP="006A58DF">
      <w:pPr>
        <w:pStyle w:val="Paragraphbeforelist"/>
      </w:pPr>
      <w:r>
        <w:t xml:space="preserve">The ACMA notes that </w:t>
      </w:r>
      <w:r w:rsidR="00123372">
        <w:t>there still may be situations where a proposed spectrum</w:t>
      </w:r>
      <w:r w:rsidR="00B04C59">
        <w:t>-</w:t>
      </w:r>
      <w:r w:rsidR="00123372">
        <w:t>licensed transmitter or apparatus</w:t>
      </w:r>
      <w:r w:rsidR="00B04C59">
        <w:t>-</w:t>
      </w:r>
      <w:r w:rsidR="00123372">
        <w:t>licensed receiver</w:t>
      </w:r>
      <w:r w:rsidR="003E6B68">
        <w:t xml:space="preserve"> cannot be successfully </w:t>
      </w:r>
      <w:r w:rsidR="00123372">
        <w:t>coordinat</w:t>
      </w:r>
      <w:r w:rsidR="003E6B68">
        <w:t>ed</w:t>
      </w:r>
      <w:r w:rsidR="00123372">
        <w:t xml:space="preserve"> with an existing service on the other side of the 803 MHz boundary. For these situations, we propose to include additional guidance in LM08</w:t>
      </w:r>
      <w:r w:rsidR="00B04C59">
        <w:t>,</w:t>
      </w:r>
      <w:r w:rsidR="007663B1">
        <w:rPr>
          <w:rStyle w:val="FootnoteReference"/>
        </w:rPr>
        <w:footnoteReference w:id="22"/>
      </w:r>
      <w:r w:rsidR="00123372">
        <w:t xml:space="preserve"> FX16</w:t>
      </w:r>
      <w:r w:rsidR="007663B1">
        <w:rPr>
          <w:rStyle w:val="FootnoteReference"/>
        </w:rPr>
        <w:footnoteReference w:id="23"/>
      </w:r>
      <w:r w:rsidR="00123372">
        <w:t xml:space="preserve"> and FX22</w:t>
      </w:r>
      <w:r w:rsidR="007663B1">
        <w:rPr>
          <w:rStyle w:val="FootnoteReference"/>
        </w:rPr>
        <w:footnoteReference w:id="24"/>
      </w:r>
      <w:r w:rsidR="00123372">
        <w:t xml:space="preserve"> detailing additional measures </w:t>
      </w:r>
      <w:r w:rsidR="00066800">
        <w:t>that</w:t>
      </w:r>
      <w:r w:rsidR="00123372">
        <w:t xml:space="preserve"> can be considered by the Accredited Person and/or licensees. This guidance focusses on:</w:t>
      </w:r>
    </w:p>
    <w:p w14:paraId="61F5959D" w14:textId="697E3B82" w:rsidR="00123372" w:rsidRDefault="00B04C59" w:rsidP="00123372">
      <w:pPr>
        <w:pStyle w:val="Bulletlevel1"/>
      </w:pPr>
      <w:r>
        <w:t>U</w:t>
      </w:r>
      <w:r w:rsidR="0020066A">
        <w:t xml:space="preserve">sing </w:t>
      </w:r>
      <w:r w:rsidR="00123372">
        <w:t>actual</w:t>
      </w:r>
      <w:r w:rsidR="0020066A">
        <w:t>, rather than notional (i</w:t>
      </w:r>
      <w:r w:rsidR="007E4603">
        <w:t>.</w:t>
      </w:r>
      <w:r w:rsidR="0020066A">
        <w:t>e</w:t>
      </w:r>
      <w:r w:rsidR="007E4603">
        <w:t>.</w:t>
      </w:r>
      <w:r>
        <w:t>,</w:t>
      </w:r>
      <w:r w:rsidR="0020066A">
        <w:t xml:space="preserve"> measured or taken from datasheets),</w:t>
      </w:r>
      <w:r w:rsidR="00123372">
        <w:t xml:space="preserve"> parameters in coordination assessments, </w:t>
      </w:r>
      <w:r w:rsidR="0020066A">
        <w:t>and/or</w:t>
      </w:r>
      <w:r w:rsidR="00123372">
        <w:t xml:space="preserve"> conducting on-site investigation of the interference environment</w:t>
      </w:r>
      <w:r>
        <w:t>.</w:t>
      </w:r>
    </w:p>
    <w:p w14:paraId="25799E6C" w14:textId="06201B74" w:rsidR="00123372" w:rsidRDefault="00B04C59" w:rsidP="00123372">
      <w:pPr>
        <w:pStyle w:val="Bulletlevel1"/>
      </w:pPr>
      <w:r>
        <w:t>C</w:t>
      </w:r>
      <w:r w:rsidR="00123372">
        <w:t xml:space="preserve">onsidering whether a higher level of interference can be </w:t>
      </w:r>
      <w:r w:rsidR="00AE53BA">
        <w:t>voluntarily</w:t>
      </w:r>
      <w:r w:rsidR="00123372">
        <w:t xml:space="preserve"> accepted </w:t>
      </w:r>
      <w:r>
        <w:br/>
      </w:r>
      <w:r w:rsidR="00123372">
        <w:t>(e.g.</w:t>
      </w:r>
      <w:r>
        <w:t>,</w:t>
      </w:r>
      <w:r w:rsidR="00123372">
        <w:t xml:space="preserve"> protection </w:t>
      </w:r>
      <w:r w:rsidR="0020066A">
        <w:t xml:space="preserve">down </w:t>
      </w:r>
      <w:r w:rsidR="00123372">
        <w:t>to the receiver sensitivity level may not be required for systems where mobile</w:t>
      </w:r>
      <w:r w:rsidR="00AE53BA">
        <w:t>/remote</w:t>
      </w:r>
      <w:r w:rsidR="00123372">
        <w:t xml:space="preserve"> stations all operate in close proximity to the base station</w:t>
      </w:r>
      <w:r w:rsidR="00AE53BA">
        <w:t xml:space="preserve">, or for short </w:t>
      </w:r>
      <w:r w:rsidR="00147800">
        <w:t>PTP</w:t>
      </w:r>
      <w:r w:rsidR="00AE53BA">
        <w:t xml:space="preserve"> links where</w:t>
      </w:r>
      <w:r w:rsidR="003E6B68">
        <w:t xml:space="preserve"> the</w:t>
      </w:r>
      <w:r w:rsidR="00AE53BA">
        <w:t xml:space="preserve"> impact of fading </w:t>
      </w:r>
      <w:r w:rsidR="003E6B68">
        <w:t xml:space="preserve">on the wanted path </w:t>
      </w:r>
      <w:r w:rsidR="00AE53BA">
        <w:t>is less</w:t>
      </w:r>
      <w:r w:rsidR="00123372">
        <w:t>). This may be particularly relevant when a proposed apparatus</w:t>
      </w:r>
      <w:r>
        <w:t>-</w:t>
      </w:r>
      <w:r w:rsidR="00123372">
        <w:t>licensed service i</w:t>
      </w:r>
      <w:r w:rsidR="003E6B68">
        <w:t>s</w:t>
      </w:r>
      <w:r w:rsidR="00123372">
        <w:t xml:space="preserve"> attempting to coordinate with an existing spectrum</w:t>
      </w:r>
      <w:r>
        <w:t>-</w:t>
      </w:r>
      <w:r w:rsidR="00123372">
        <w:t>licensed transmitter.</w:t>
      </w:r>
      <w:r w:rsidR="007E6993">
        <w:t xml:space="preserve"> </w:t>
      </w:r>
    </w:p>
    <w:p w14:paraId="45BF6EC6" w14:textId="0F14A524" w:rsidR="00123372" w:rsidRDefault="00B04C59" w:rsidP="00123372">
      <w:pPr>
        <w:pStyle w:val="Bulletlevel1"/>
      </w:pPr>
      <w:r>
        <w:t>C</w:t>
      </w:r>
      <w:r w:rsidR="00123372">
        <w:t>onsider</w:t>
      </w:r>
      <w:r w:rsidR="0020066A">
        <w:t>ing</w:t>
      </w:r>
      <w:r w:rsidR="00123372">
        <w:t xml:space="preserve"> whether additional filtering can be incorporated on the spectrum</w:t>
      </w:r>
      <w:r>
        <w:t>-</w:t>
      </w:r>
      <w:r w:rsidR="00123372">
        <w:t xml:space="preserve">licensed transmitter to reduce unwanted emissions in the </w:t>
      </w:r>
      <w:r w:rsidR="00AE53BA">
        <w:t>apparatus licence</w:t>
      </w:r>
      <w:r w:rsidR="00123372">
        <w:t xml:space="preserve"> frequency segment. This </w:t>
      </w:r>
      <w:r w:rsidR="0020066A">
        <w:t xml:space="preserve">would </w:t>
      </w:r>
      <w:r w:rsidR="00123372">
        <w:t>be particularly relevant when a proposed spectrum</w:t>
      </w:r>
      <w:r>
        <w:t>-</w:t>
      </w:r>
      <w:r w:rsidR="00123372">
        <w:t>licensed transmitter is attempting to coordinate with an existing apparatus</w:t>
      </w:r>
      <w:r>
        <w:t>-</w:t>
      </w:r>
      <w:r w:rsidR="00123372">
        <w:t>licensed receiver.</w:t>
      </w:r>
    </w:p>
    <w:p w14:paraId="3BD726AD" w14:textId="26101445" w:rsidR="00123372" w:rsidRPr="00123372" w:rsidRDefault="00BA53C8" w:rsidP="00123372">
      <w:pPr>
        <w:pStyle w:val="Bulletlevel1last"/>
      </w:pPr>
      <w:r>
        <w:t>E</w:t>
      </w:r>
      <w:r w:rsidR="0020066A">
        <w:t xml:space="preserve">ncouragement to </w:t>
      </w:r>
      <w:r w:rsidR="00123372">
        <w:t>negotiat</w:t>
      </w:r>
      <w:r w:rsidR="0020066A">
        <w:t>e</w:t>
      </w:r>
      <w:r w:rsidR="00123372">
        <w:t xml:space="preserve"> </w:t>
      </w:r>
      <w:r w:rsidR="0020066A">
        <w:t xml:space="preserve">with affected </w:t>
      </w:r>
      <w:r w:rsidR="00123372">
        <w:t xml:space="preserve">licensees to </w:t>
      </w:r>
      <w:r w:rsidR="004B4D42">
        <w:t xml:space="preserve">identify actual parameters being used and to </w:t>
      </w:r>
      <w:r w:rsidR="00123372">
        <w:t>potentially find mutually agreeable solutions.</w:t>
      </w:r>
    </w:p>
    <w:p w14:paraId="0EB02BCA" w14:textId="3A6606F5" w:rsidR="007E6993" w:rsidRDefault="007E6993" w:rsidP="002F64DA">
      <w:pPr>
        <w:pStyle w:val="Paragraph"/>
      </w:pPr>
      <w:bookmarkStart w:id="31" w:name="_Hlk132270063"/>
      <w:r>
        <w:t xml:space="preserve">Where an apparatus licensee chooses to accept a higher level of interference, it is proposed that the below advisory note is included </w:t>
      </w:r>
      <w:r w:rsidR="00483A62">
        <w:t xml:space="preserve">on their licence </w:t>
      </w:r>
      <w:r>
        <w:t>to ensure that existing licensees are not negatively impacted</w:t>
      </w:r>
      <w:r w:rsidR="00483A62">
        <w:t>. For</w:t>
      </w:r>
      <w:r>
        <w:t xml:space="preserve"> example, if </w:t>
      </w:r>
      <w:r w:rsidR="00483A62">
        <w:t xml:space="preserve">future </w:t>
      </w:r>
      <w:r>
        <w:t xml:space="preserve">modifications are made to an existing </w:t>
      </w:r>
      <w:r w:rsidR="00483A62">
        <w:t xml:space="preserve">spectrum licensed </w:t>
      </w:r>
      <w:r>
        <w:t xml:space="preserve">transmitter, </w:t>
      </w:r>
      <w:r w:rsidR="00483A62">
        <w:t xml:space="preserve">from </w:t>
      </w:r>
      <w:r>
        <w:t xml:space="preserve">which </w:t>
      </w:r>
      <w:r w:rsidR="00483A62">
        <w:t>the apparatus licensee has accepted a higher level of interference</w:t>
      </w:r>
      <w:r>
        <w:t>,</w:t>
      </w:r>
      <w:r w:rsidR="00483A62">
        <w:t xml:space="preserve"> the spectrum licensee will only need to </w:t>
      </w:r>
      <w:r w:rsidR="00BA53C8">
        <w:br/>
      </w:r>
      <w:r w:rsidR="00483A62">
        <w:t xml:space="preserve">re-coordinate to the </w:t>
      </w:r>
      <w:r>
        <w:t xml:space="preserve">level accepted by the apparatus licensee (not </w:t>
      </w:r>
      <w:r w:rsidR="00483A62">
        <w:t>to the level in the applicable RALI).</w:t>
      </w:r>
    </w:p>
    <w:p w14:paraId="2D224E12" w14:textId="03C6931A" w:rsidR="00E41827" w:rsidRPr="00F40574" w:rsidRDefault="00E41827" w:rsidP="006A58DF">
      <w:pPr>
        <w:pStyle w:val="Paragraph"/>
        <w:keepNext/>
        <w:keepLines/>
      </w:pPr>
      <w:r w:rsidRPr="00F40574">
        <w:t>For PMP and land mobile s</w:t>
      </w:r>
      <w:r>
        <w:t>ystems</w:t>
      </w:r>
      <w:r w:rsidRPr="00F40574">
        <w:t>:</w:t>
      </w:r>
    </w:p>
    <w:p w14:paraId="123D53D9" w14:textId="4423D154" w:rsidR="00483A62" w:rsidRPr="001D2726" w:rsidRDefault="00483A62" w:rsidP="006A58DF">
      <w:pPr>
        <w:pStyle w:val="Paragraph"/>
        <w:keepNext/>
        <w:keepLines/>
        <w:rPr>
          <w:i/>
          <w:iCs/>
        </w:rPr>
      </w:pPr>
      <w:r>
        <w:rPr>
          <w:i/>
          <w:iCs/>
        </w:rPr>
        <w:t>‘</w:t>
      </w:r>
      <w:r w:rsidRPr="001D2726">
        <w:rPr>
          <w:i/>
          <w:iCs/>
        </w:rPr>
        <w:t>The licensee agrees to accept a level of interference which is [xx] dB higher</w:t>
      </w:r>
      <w:r w:rsidR="00C52F5D">
        <w:rPr>
          <w:i/>
          <w:iCs/>
        </w:rPr>
        <w:t xml:space="preserve"> than</w:t>
      </w:r>
      <w:r w:rsidRPr="001D2726">
        <w:rPr>
          <w:i/>
          <w:iCs/>
        </w:rPr>
        <w:t xml:space="preserve"> the</w:t>
      </w:r>
      <w:r w:rsidR="00C52F5D">
        <w:rPr>
          <w:i/>
          <w:iCs/>
        </w:rPr>
        <w:t xml:space="preserve"> level</w:t>
      </w:r>
      <w:r w:rsidRPr="001D2726">
        <w:rPr>
          <w:i/>
          <w:iCs/>
        </w:rPr>
        <w:t xml:space="preserve"> provided by </w:t>
      </w:r>
      <w:r>
        <w:rPr>
          <w:i/>
          <w:iCs/>
        </w:rPr>
        <w:t>[the applicable RALI]</w:t>
      </w:r>
      <w:r w:rsidRPr="001D2726">
        <w:rPr>
          <w:i/>
          <w:iCs/>
        </w:rPr>
        <w:t xml:space="preserve">, with respect to a transmitter operated under </w:t>
      </w:r>
      <w:r>
        <w:rPr>
          <w:i/>
          <w:iCs/>
        </w:rPr>
        <w:t>device registration number</w:t>
      </w:r>
      <w:r w:rsidR="008810F3">
        <w:rPr>
          <w:i/>
          <w:iCs/>
        </w:rPr>
        <w:t>(s)</w:t>
      </w:r>
      <w:r w:rsidRPr="001D2726">
        <w:rPr>
          <w:i/>
          <w:iCs/>
        </w:rPr>
        <w:t xml:space="preserve"> </w:t>
      </w:r>
      <w:r>
        <w:rPr>
          <w:i/>
          <w:iCs/>
        </w:rPr>
        <w:t>[</w:t>
      </w:r>
      <w:proofErr w:type="spellStart"/>
      <w:r>
        <w:rPr>
          <w:i/>
          <w:iCs/>
        </w:rPr>
        <w:t>yyyyyy</w:t>
      </w:r>
      <w:proofErr w:type="spellEnd"/>
      <w:r>
        <w:rPr>
          <w:i/>
          <w:iCs/>
        </w:rPr>
        <w:t>]</w:t>
      </w:r>
      <w:r w:rsidRPr="001D2726">
        <w:rPr>
          <w:i/>
          <w:iCs/>
        </w:rPr>
        <w:t xml:space="preserve">. [where ‘xx’ is the amount in which the receiver fails the coordination criteria in </w:t>
      </w:r>
      <w:r>
        <w:rPr>
          <w:i/>
          <w:iCs/>
        </w:rPr>
        <w:t xml:space="preserve">the applicable </w:t>
      </w:r>
      <w:r w:rsidRPr="001D2726">
        <w:rPr>
          <w:i/>
          <w:iCs/>
        </w:rPr>
        <w:t>RALI</w:t>
      </w:r>
      <w:r>
        <w:rPr>
          <w:i/>
          <w:iCs/>
        </w:rPr>
        <w:t>]’</w:t>
      </w:r>
    </w:p>
    <w:p w14:paraId="0B66E322" w14:textId="4EF84DEE" w:rsidR="00E41827" w:rsidRDefault="00E41827" w:rsidP="002F64DA">
      <w:pPr>
        <w:pStyle w:val="Paragraph"/>
      </w:pPr>
      <w:r>
        <w:t>For PP systems:</w:t>
      </w:r>
    </w:p>
    <w:p w14:paraId="2CC5CBD8" w14:textId="77091196" w:rsidR="00E41827" w:rsidRPr="001D2726" w:rsidRDefault="00E41827" w:rsidP="00E41827">
      <w:pPr>
        <w:pStyle w:val="Paragraph"/>
        <w:rPr>
          <w:i/>
          <w:iCs/>
        </w:rPr>
      </w:pPr>
      <w:r>
        <w:rPr>
          <w:i/>
          <w:iCs/>
        </w:rPr>
        <w:t>‘</w:t>
      </w:r>
      <w:r w:rsidRPr="001D2726">
        <w:rPr>
          <w:i/>
          <w:iCs/>
        </w:rPr>
        <w:t>The licensee agrees to accept a</w:t>
      </w:r>
      <w:r>
        <w:rPr>
          <w:i/>
          <w:iCs/>
        </w:rPr>
        <w:t xml:space="preserve"> wanted to unwanted ratio</w:t>
      </w:r>
      <w:r w:rsidRPr="001D2726">
        <w:rPr>
          <w:i/>
          <w:iCs/>
        </w:rPr>
        <w:t xml:space="preserve"> which is [xx] dB </w:t>
      </w:r>
      <w:r>
        <w:rPr>
          <w:i/>
          <w:iCs/>
        </w:rPr>
        <w:t>lower than</w:t>
      </w:r>
      <w:r w:rsidRPr="001D2726">
        <w:rPr>
          <w:i/>
          <w:iCs/>
        </w:rPr>
        <w:t xml:space="preserve"> the</w:t>
      </w:r>
      <w:r>
        <w:rPr>
          <w:i/>
          <w:iCs/>
        </w:rPr>
        <w:t xml:space="preserve"> level</w:t>
      </w:r>
      <w:r w:rsidRPr="001D2726">
        <w:rPr>
          <w:i/>
          <w:iCs/>
        </w:rPr>
        <w:t xml:space="preserve"> provided by </w:t>
      </w:r>
      <w:r>
        <w:rPr>
          <w:i/>
          <w:iCs/>
        </w:rPr>
        <w:t>RALI FX22</w:t>
      </w:r>
      <w:r w:rsidRPr="001D2726">
        <w:rPr>
          <w:i/>
          <w:iCs/>
        </w:rPr>
        <w:t xml:space="preserve">, with respect to a transmitter operated under </w:t>
      </w:r>
      <w:r>
        <w:rPr>
          <w:i/>
          <w:iCs/>
        </w:rPr>
        <w:t>device registration number(s)</w:t>
      </w:r>
      <w:r w:rsidRPr="001D2726">
        <w:rPr>
          <w:i/>
          <w:iCs/>
        </w:rPr>
        <w:t xml:space="preserve"> </w:t>
      </w:r>
      <w:r>
        <w:rPr>
          <w:i/>
          <w:iCs/>
        </w:rPr>
        <w:t>[</w:t>
      </w:r>
      <w:proofErr w:type="spellStart"/>
      <w:r>
        <w:rPr>
          <w:i/>
          <w:iCs/>
        </w:rPr>
        <w:t>yyyyyy</w:t>
      </w:r>
      <w:proofErr w:type="spellEnd"/>
      <w:r>
        <w:rPr>
          <w:i/>
          <w:iCs/>
        </w:rPr>
        <w:t>]</w:t>
      </w:r>
      <w:r w:rsidRPr="001D2726">
        <w:rPr>
          <w:i/>
          <w:iCs/>
        </w:rPr>
        <w:t>. [where ‘xx’ is the amount in which the receiver fails the coordination criteria in RALI</w:t>
      </w:r>
      <w:r>
        <w:rPr>
          <w:i/>
          <w:iCs/>
        </w:rPr>
        <w:t xml:space="preserve"> FX22]’</w:t>
      </w:r>
    </w:p>
    <w:p w14:paraId="5485480C" w14:textId="3219DD9E" w:rsidR="002F64DA" w:rsidRPr="003A7744" w:rsidRDefault="002F64DA" w:rsidP="002F64DA">
      <w:pPr>
        <w:pStyle w:val="Paragraph"/>
      </w:pPr>
      <w:r w:rsidRPr="003A7744">
        <w:t xml:space="preserve">We also propose to provide more detail on a methodology which can be used to undertake coordination. </w:t>
      </w:r>
      <w:bookmarkEnd w:id="31"/>
      <w:r w:rsidR="003A7744" w:rsidRPr="003A7744">
        <w:t xml:space="preserve">For </w:t>
      </w:r>
      <w:r w:rsidR="00147800">
        <w:t>PTP</w:t>
      </w:r>
      <w:r w:rsidR="003A7744" w:rsidRPr="003A7744">
        <w:t xml:space="preserve"> services, t</w:t>
      </w:r>
      <w:r w:rsidRPr="003A7744">
        <w:t xml:space="preserve">his methodology entails comparison of </w:t>
      </w:r>
      <w:r w:rsidR="00BA53C8">
        <w:br/>
      </w:r>
      <w:r w:rsidRPr="003A7744">
        <w:t xml:space="preserve">the unwanted emissions falling within the receiver’s passband with the applicable </w:t>
      </w:r>
      <w:r w:rsidR="00BA53C8">
        <w:br/>
      </w:r>
      <w:r w:rsidRPr="003A7744">
        <w:t xml:space="preserve">co-channel protection ratio. </w:t>
      </w:r>
    </w:p>
    <w:p w14:paraId="24F97317" w14:textId="16F82991" w:rsidR="002F64DA" w:rsidRPr="00647DCF" w:rsidRDefault="003A7744" w:rsidP="002F64DA">
      <w:pPr>
        <w:pStyle w:val="Paragraph"/>
      </w:pPr>
      <w:bookmarkStart w:id="32" w:name="_Hlk132269412"/>
      <w:r w:rsidRPr="003A7744">
        <w:t>For TLMS and PMP services, t</w:t>
      </w:r>
      <w:r w:rsidR="002F64DA" w:rsidRPr="003A7744">
        <w:t xml:space="preserve">his methodology entails using the prescribed protection ratio and receiver sensitivity levels (either the </w:t>
      </w:r>
      <w:r w:rsidR="003E6B68">
        <w:t>values</w:t>
      </w:r>
      <w:r w:rsidR="002F64DA" w:rsidRPr="003A7744">
        <w:t xml:space="preserve"> currently in </w:t>
      </w:r>
      <w:r w:rsidR="006031F9">
        <w:t>the applicable RALIs</w:t>
      </w:r>
      <w:r w:rsidR="002F64DA" w:rsidRPr="003A7744">
        <w:t xml:space="preserve"> or the </w:t>
      </w:r>
      <w:r w:rsidR="00095228">
        <w:t>re</w:t>
      </w:r>
      <w:r w:rsidR="00001479">
        <w:t>vised</w:t>
      </w:r>
      <w:r w:rsidR="00095228">
        <w:t xml:space="preserve"> criteria</w:t>
      </w:r>
      <w:r w:rsidR="002F64DA" w:rsidRPr="003A7744">
        <w:t xml:space="preserve"> detailed above</w:t>
      </w:r>
      <w:r w:rsidR="00A658B2">
        <w:t>, as applicable</w:t>
      </w:r>
      <w:r w:rsidR="002F64DA" w:rsidRPr="003A7744">
        <w:t xml:space="preserve">) and the unwanted emissions falling with in the receiver’s passband. </w:t>
      </w:r>
      <w:r w:rsidRPr="003A7744">
        <w:t xml:space="preserve">Receiver blocking </w:t>
      </w:r>
      <w:r w:rsidR="00657C6C">
        <w:t xml:space="preserve">of TLMS </w:t>
      </w:r>
      <w:r w:rsidRPr="003A7744">
        <w:t>should also be checked, using the existing blocking criteria in LM08 and the in-band power of the spectrum licensed transmitter</w:t>
      </w:r>
      <w:r w:rsidR="00A658B2">
        <w:t>.</w:t>
      </w:r>
    </w:p>
    <w:bookmarkEnd w:id="32"/>
    <w:p w14:paraId="257B365F" w14:textId="242A17D2" w:rsidR="002F64DA" w:rsidRPr="00647DCF" w:rsidRDefault="00C45318" w:rsidP="002F64DA">
      <w:pPr>
        <w:pStyle w:val="Paragraph"/>
      </w:pPr>
      <w:r>
        <w:t>We also propose to clarify that coordination with spectrum licensed receivers operating in the 703</w:t>
      </w:r>
      <w:r w:rsidR="00BA53C8">
        <w:t>–</w:t>
      </w:r>
      <w:r>
        <w:t xml:space="preserve">748 MHz range and above 890 MHz is not required as the frequency separation is considered sufficient to enable coexistence (based on the notional receiver specifications contained in the relevant </w:t>
      </w:r>
      <w:r w:rsidR="00BA53C8">
        <w:t>a</w:t>
      </w:r>
      <w:r>
        <w:t xml:space="preserve">dvisory </w:t>
      </w:r>
      <w:r w:rsidR="00BA53C8">
        <w:t>g</w:t>
      </w:r>
      <w:r>
        <w:t>uidelines</w:t>
      </w:r>
      <w:r w:rsidR="000B38D4">
        <w:t>)</w:t>
      </w:r>
      <w:r>
        <w:t>.</w:t>
      </w:r>
    </w:p>
    <w:p w14:paraId="0B6FE24B" w14:textId="77777777" w:rsidR="00123372" w:rsidRDefault="00123372" w:rsidP="00DE0B95">
      <w:pPr>
        <w:pStyle w:val="Paragraph"/>
      </w:pPr>
    </w:p>
    <w:p w14:paraId="0E603C6D" w14:textId="5903E96F" w:rsidR="006C1631" w:rsidRPr="00E162C4" w:rsidRDefault="006C1631" w:rsidP="006C1631">
      <w:pPr>
        <w:pStyle w:val="Heading1"/>
      </w:pPr>
      <w:bookmarkStart w:id="33" w:name="_Toc148015266"/>
      <w:r w:rsidRPr="00E162C4">
        <w:t xml:space="preserve">Invitation to </w:t>
      </w:r>
      <w:proofErr w:type="gramStart"/>
      <w:r w:rsidRPr="00E162C4">
        <w:t>comment</w:t>
      </w:r>
      <w:bookmarkEnd w:id="33"/>
      <w:proofErr w:type="gramEnd"/>
    </w:p>
    <w:p w14:paraId="1CFAD3A7" w14:textId="77777777" w:rsidR="006C1631" w:rsidRPr="00E162C4" w:rsidRDefault="006C1631" w:rsidP="006C1631">
      <w:pPr>
        <w:pStyle w:val="Heading2"/>
      </w:pPr>
      <w:bookmarkStart w:id="34" w:name="_Toc433122131"/>
      <w:bookmarkStart w:id="35" w:name="_Toc348105637"/>
      <w:bookmarkStart w:id="36" w:name="_Toc300909556"/>
      <w:bookmarkStart w:id="37" w:name="_Toc298924673"/>
      <w:bookmarkStart w:id="38" w:name="_Toc148015267"/>
      <w:bookmarkStart w:id="39" w:name="_Toc348105638"/>
      <w:bookmarkStart w:id="40" w:name="_Toc300909557"/>
      <w:bookmarkStart w:id="41" w:name="_Toc298924674"/>
      <w:bookmarkStart w:id="42" w:name="_Toc274296357"/>
      <w:r w:rsidRPr="00E162C4">
        <w:t>Making a submission</w:t>
      </w:r>
      <w:bookmarkEnd w:id="34"/>
      <w:bookmarkEnd w:id="35"/>
      <w:bookmarkEnd w:id="36"/>
      <w:bookmarkEnd w:id="37"/>
      <w:bookmarkEnd w:id="38"/>
    </w:p>
    <w:p w14:paraId="5D966E08" w14:textId="77777777" w:rsidR="006C1631" w:rsidRPr="00E162C4" w:rsidRDefault="006C5FD4" w:rsidP="006C1631">
      <w:r w:rsidRPr="00E162C4">
        <w:t>We</w:t>
      </w:r>
      <w:r w:rsidR="006C1631" w:rsidRPr="00E162C4">
        <w:t xml:space="preserve"> invite comments on the issues set out in this discussion paper. </w:t>
      </w:r>
    </w:p>
    <w:p w14:paraId="6F0803DE" w14:textId="77777777" w:rsidR="0070133D" w:rsidRPr="00E162C4" w:rsidRDefault="00D91BDD" w:rsidP="0070133D">
      <w:pPr>
        <w:pStyle w:val="Bulletlevel1"/>
      </w:pPr>
      <w:hyperlink r:id="rId41"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2189491F" w14:textId="77777777" w:rsidR="006C1631" w:rsidRPr="00E162C4" w:rsidRDefault="006C1631" w:rsidP="0070133D">
      <w:pPr>
        <w:pStyle w:val="Bulletlevel1"/>
      </w:pPr>
      <w:r w:rsidRPr="00E162C4">
        <w:t xml:space="preserve">Submissions by post can be sent to: </w:t>
      </w:r>
    </w:p>
    <w:p w14:paraId="2AC6EC46" w14:textId="77777777" w:rsidR="006C1631" w:rsidRPr="00230B7E" w:rsidRDefault="006C1631" w:rsidP="006C1631">
      <w:pPr>
        <w:tabs>
          <w:tab w:val="num" w:pos="295"/>
        </w:tabs>
        <w:spacing w:after="0"/>
        <w:ind w:left="295"/>
        <w:rPr>
          <w:szCs w:val="20"/>
        </w:rPr>
      </w:pPr>
      <w:r w:rsidRPr="00230B7E">
        <w:rPr>
          <w:szCs w:val="20"/>
        </w:rPr>
        <w:t>The Manager</w:t>
      </w:r>
    </w:p>
    <w:p w14:paraId="2C63143F" w14:textId="6B4F6F3D" w:rsidR="006C1631" w:rsidRPr="00230B7E" w:rsidRDefault="00230B7E" w:rsidP="006C1631">
      <w:pPr>
        <w:spacing w:after="0"/>
        <w:ind w:left="295"/>
        <w:rPr>
          <w:szCs w:val="20"/>
        </w:rPr>
      </w:pPr>
      <w:r w:rsidRPr="00230B7E">
        <w:rPr>
          <w:szCs w:val="20"/>
        </w:rPr>
        <w:t xml:space="preserve">Spectrum Planning </w:t>
      </w:r>
      <w:r w:rsidR="006C1631" w:rsidRPr="00230B7E">
        <w:rPr>
          <w:szCs w:val="20"/>
        </w:rPr>
        <w:t>Section</w:t>
      </w:r>
      <w:r w:rsidR="005B2F0D" w:rsidRPr="00230B7E">
        <w:rPr>
          <w:szCs w:val="20"/>
        </w:rPr>
        <w:t xml:space="preserve"> </w:t>
      </w:r>
    </w:p>
    <w:p w14:paraId="700C6E0E" w14:textId="77777777" w:rsidR="006C1631" w:rsidRPr="00230B7E" w:rsidRDefault="006C1631" w:rsidP="006C1631">
      <w:pPr>
        <w:spacing w:after="0"/>
        <w:ind w:left="295"/>
        <w:rPr>
          <w:szCs w:val="20"/>
        </w:rPr>
      </w:pPr>
      <w:r w:rsidRPr="00230B7E">
        <w:rPr>
          <w:szCs w:val="20"/>
        </w:rPr>
        <w:t>Australian Communications and Media Authority</w:t>
      </w:r>
    </w:p>
    <w:p w14:paraId="27E6FFA1" w14:textId="77777777" w:rsidR="006C1631" w:rsidRPr="00230B7E" w:rsidRDefault="006C1631" w:rsidP="006C1631">
      <w:pPr>
        <w:spacing w:after="0"/>
        <w:ind w:left="295"/>
        <w:rPr>
          <w:szCs w:val="20"/>
        </w:rPr>
      </w:pPr>
      <w:r w:rsidRPr="00230B7E">
        <w:rPr>
          <w:szCs w:val="20"/>
        </w:rPr>
        <w:t>PO Box 78</w:t>
      </w:r>
    </w:p>
    <w:p w14:paraId="63E996BB" w14:textId="77777777" w:rsidR="006C1631" w:rsidRPr="00E162C4" w:rsidRDefault="006C1631" w:rsidP="006C1631">
      <w:pPr>
        <w:ind w:left="295"/>
        <w:rPr>
          <w:szCs w:val="20"/>
        </w:rPr>
      </w:pPr>
      <w:r w:rsidRPr="00230B7E">
        <w:rPr>
          <w:szCs w:val="20"/>
        </w:rPr>
        <w:t>Belconnen ACT 2616</w:t>
      </w:r>
    </w:p>
    <w:p w14:paraId="13487C92" w14:textId="6311D58E" w:rsidR="006C1631" w:rsidRPr="00E162C4" w:rsidRDefault="006C1631" w:rsidP="006C1631">
      <w:r w:rsidRPr="00E162C4">
        <w:t xml:space="preserve">The closing date for submissions is </w:t>
      </w:r>
      <w:r w:rsidRPr="006A58DF">
        <w:rPr>
          <w:b/>
          <w:bCs/>
        </w:rPr>
        <w:t>COB,</w:t>
      </w:r>
      <w:r w:rsidRPr="00E162C4">
        <w:t xml:space="preserve"> </w:t>
      </w:r>
      <w:r w:rsidR="00CA3A83">
        <w:rPr>
          <w:b/>
          <w:bCs/>
        </w:rPr>
        <w:t>Fri</w:t>
      </w:r>
      <w:r w:rsidR="00BA53C8">
        <w:rPr>
          <w:b/>
          <w:bCs/>
        </w:rPr>
        <w:t>day</w:t>
      </w:r>
      <w:r w:rsidRPr="00CA3A83">
        <w:rPr>
          <w:b/>
          <w:bCs/>
        </w:rPr>
        <w:t xml:space="preserve"> </w:t>
      </w:r>
      <w:r w:rsidR="00DA5460" w:rsidRPr="00CA3A83">
        <w:rPr>
          <w:b/>
          <w:bCs/>
        </w:rPr>
        <w:t>1</w:t>
      </w:r>
      <w:r w:rsidR="00CA3A83">
        <w:rPr>
          <w:b/>
          <w:bCs/>
        </w:rPr>
        <w:t>7</w:t>
      </w:r>
      <w:r w:rsidRPr="00CA3A83">
        <w:rPr>
          <w:b/>
          <w:bCs/>
        </w:rPr>
        <w:t xml:space="preserve"> </w:t>
      </w:r>
      <w:r w:rsidR="00CA3A83">
        <w:rPr>
          <w:b/>
          <w:bCs/>
        </w:rPr>
        <w:t>November</w:t>
      </w:r>
      <w:r w:rsidRPr="00CA3A83">
        <w:rPr>
          <w:b/>
          <w:bCs/>
        </w:rPr>
        <w:t xml:space="preserve"> 20</w:t>
      </w:r>
      <w:r w:rsidR="00DA5460" w:rsidRPr="00CA3A83">
        <w:rPr>
          <w:b/>
          <w:bCs/>
        </w:rPr>
        <w:t>23</w:t>
      </w:r>
      <w:r w:rsidRPr="00CA3A83">
        <w:t>.</w:t>
      </w:r>
    </w:p>
    <w:p w14:paraId="5EDFB172" w14:textId="7841ADF8" w:rsidR="006C1631" w:rsidRPr="00E162C4" w:rsidRDefault="006C1631" w:rsidP="006C1631">
      <w:pPr>
        <w:rPr>
          <w:szCs w:val="20"/>
        </w:rPr>
      </w:pPr>
      <w:r w:rsidRPr="00E162C4">
        <w:t xml:space="preserve">Consultation enquiries can be emailed </w:t>
      </w:r>
      <w:r w:rsidRPr="00E162C4">
        <w:rPr>
          <w:szCs w:val="20"/>
        </w:rPr>
        <w:t xml:space="preserve">to </w:t>
      </w:r>
      <w:hyperlink r:id="rId42" w:history="1">
        <w:r w:rsidR="00230B7E" w:rsidRPr="00B07588">
          <w:rPr>
            <w:rStyle w:val="Hyperlink"/>
            <w:szCs w:val="20"/>
          </w:rPr>
          <w:t>freqplan@acma.gov.au</w:t>
        </w:r>
      </w:hyperlink>
      <w:r w:rsidRPr="00230B7E">
        <w:rPr>
          <w:szCs w:val="20"/>
        </w:rPr>
        <w:t>.</w:t>
      </w:r>
    </w:p>
    <w:p w14:paraId="46A75C66" w14:textId="77777777" w:rsidR="006C1631" w:rsidRPr="00E162C4" w:rsidRDefault="006C1631" w:rsidP="005B2F0D">
      <w:pPr>
        <w:pStyle w:val="Heading4"/>
      </w:pPr>
      <w:bookmarkStart w:id="43" w:name="_Toc348105639"/>
      <w:bookmarkStart w:id="44" w:name="_Toc300909558"/>
      <w:bookmarkStart w:id="45" w:name="_Hlk59627494"/>
      <w:bookmarkEnd w:id="39"/>
      <w:bookmarkEnd w:id="40"/>
      <w:r w:rsidRPr="00E162C4">
        <w:t>Publication of submissions</w:t>
      </w:r>
      <w:bookmarkEnd w:id="41"/>
      <w:bookmarkEnd w:id="42"/>
      <w:bookmarkEnd w:id="43"/>
      <w:bookmarkEnd w:id="44"/>
    </w:p>
    <w:p w14:paraId="1D9083CF" w14:textId="77777777" w:rsidR="006C1631" w:rsidRPr="00E162C4" w:rsidRDefault="006C5FD4" w:rsidP="006C1631">
      <w:bookmarkStart w:id="46" w:name="_Toc348105640"/>
      <w:bookmarkStart w:id="47" w:name="_Toc300909559"/>
      <w:bookmarkStart w:id="48"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4C1D4C01" w14:textId="77777777" w:rsidR="006C1631" w:rsidRPr="00E162C4" w:rsidRDefault="006C1631" w:rsidP="006C1631">
      <w:r w:rsidRPr="00E162C4">
        <w:t>Confidential information will not be published or otherwise released unless required or authorised by law.</w:t>
      </w:r>
    </w:p>
    <w:p w14:paraId="1AF997DC" w14:textId="77777777" w:rsidR="006C1631" w:rsidRPr="00E162C4" w:rsidRDefault="006C1631" w:rsidP="005B2F0D">
      <w:pPr>
        <w:pStyle w:val="Heading4"/>
      </w:pPr>
      <w:r w:rsidRPr="00E162C4">
        <w:t>Privacy</w:t>
      </w:r>
    </w:p>
    <w:p w14:paraId="7443900F"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43"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46"/>
    <w:bookmarkEnd w:id="47"/>
    <w:bookmarkEnd w:id="48"/>
    <w:p w14:paraId="5EFA980B"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44" w:history="1">
        <w:r w:rsidR="00E21056" w:rsidRPr="00E162C4">
          <w:rPr>
            <w:rStyle w:val="Hyperlink"/>
          </w:rPr>
          <w:t>privacy policy</w:t>
        </w:r>
      </w:hyperlink>
      <w:r w:rsidRPr="00E162C4">
        <w:t>.</w:t>
      </w:r>
      <w:r w:rsidR="00A4193E" w:rsidRPr="00E162C4">
        <w:t xml:space="preserve"> </w:t>
      </w:r>
    </w:p>
    <w:bookmarkEnd w:id="45"/>
    <w:sectPr w:rsidR="00A4193E" w:rsidRPr="00E162C4" w:rsidSect="00C77380">
      <w:headerReference w:type="even" r:id="rId45"/>
      <w:headerReference w:type="default" r:id="rId46"/>
      <w:footerReference w:type="even" r:id="rId47"/>
      <w:footerReference w:type="default" r:id="rId4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6937" w14:textId="77777777" w:rsidR="00437CF0" w:rsidRDefault="00437CF0">
      <w:r>
        <w:separator/>
      </w:r>
    </w:p>
  </w:endnote>
  <w:endnote w:type="continuationSeparator" w:id="0">
    <w:p w14:paraId="4BE2A937" w14:textId="77777777" w:rsidR="00437CF0" w:rsidRDefault="00437CF0">
      <w:r>
        <w:continuationSeparator/>
      </w:r>
    </w:p>
  </w:endnote>
  <w:endnote w:type="continuationNotice" w:id="1">
    <w:p w14:paraId="14F2E1DD" w14:textId="77777777" w:rsidR="00DD5548" w:rsidRDefault="00DD5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C4EA" w14:textId="77777777" w:rsidR="005E250B" w:rsidRDefault="005E250B" w:rsidP="005E250B">
    <w:pPr>
      <w:pStyle w:val="Footer"/>
      <w:jc w:val="right"/>
    </w:pPr>
    <w:r w:rsidRPr="005E250B">
      <w:rPr>
        <w:noProof/>
        <w:vertAlign w:val="subscript"/>
      </w:rPr>
      <w:drawing>
        <wp:inline distT="0" distB="0" distL="0" distR="0" wp14:anchorId="392E49A1" wp14:editId="3FCB79DC">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0D6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9F3A"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DBCB"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805F003"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98A2"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31C3CBE"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93A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32B7636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10A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8CFBF4C"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FDCD"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E967AE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0A38" w14:textId="77777777" w:rsidR="00437CF0" w:rsidRDefault="00437CF0" w:rsidP="00EA0969">
      <w:pPr>
        <w:spacing w:after="0"/>
      </w:pPr>
      <w:r>
        <w:separator/>
      </w:r>
    </w:p>
  </w:footnote>
  <w:footnote w:type="continuationSeparator" w:id="0">
    <w:p w14:paraId="065B3A83" w14:textId="77777777" w:rsidR="00437CF0" w:rsidRDefault="00437CF0">
      <w:r>
        <w:continuationSeparator/>
      </w:r>
    </w:p>
  </w:footnote>
  <w:footnote w:type="continuationNotice" w:id="1">
    <w:p w14:paraId="5F1E3183" w14:textId="77777777" w:rsidR="00DD5548" w:rsidRDefault="00DD5548">
      <w:pPr>
        <w:spacing w:after="0" w:line="240" w:lineRule="auto"/>
      </w:pPr>
    </w:p>
  </w:footnote>
  <w:footnote w:id="2">
    <w:p w14:paraId="19A9D02F" w14:textId="02CB41DF" w:rsidR="00A57AF2" w:rsidRDefault="00A57AF2" w:rsidP="00A57AF2">
      <w:pPr>
        <w:pStyle w:val="FootnoteText"/>
      </w:pPr>
      <w:r>
        <w:rPr>
          <w:rStyle w:val="FootnoteReference"/>
        </w:rPr>
        <w:footnoteRef/>
      </w:r>
      <w:r>
        <w:t xml:space="preserve"> These arrangements are contained in the </w:t>
      </w:r>
      <w:hyperlink r:id="rId1" w:history="1">
        <w:r w:rsidRPr="002D1A99">
          <w:rPr>
            <w:rStyle w:val="Hyperlink"/>
          </w:rPr>
          <w:t>Radiocommunications Advisory Guidelines (Managing Interference from Transmitters – 700 MHz band) 2023</w:t>
        </w:r>
      </w:hyperlink>
      <w:r>
        <w:t xml:space="preserve">, and </w:t>
      </w:r>
      <w:hyperlink r:id="rId2" w:history="1">
        <w:r w:rsidRPr="00AB11AB">
          <w:rPr>
            <w:rStyle w:val="Hyperlink"/>
          </w:rPr>
          <w:t>Radiocommunications Advisory Guidelines (Managing Interference from Spectrum Licensed Transmitters – 850/900 MHz Band) 2021</w:t>
        </w:r>
      </w:hyperlink>
      <w:r>
        <w:t>.</w:t>
      </w:r>
    </w:p>
  </w:footnote>
  <w:footnote w:id="3">
    <w:p w14:paraId="34C1E3FA" w14:textId="221943BB" w:rsidR="00C878BA" w:rsidRDefault="00C878BA">
      <w:pPr>
        <w:pStyle w:val="FootnoteText"/>
      </w:pPr>
      <w:r>
        <w:rPr>
          <w:rStyle w:val="FootnoteReference"/>
        </w:rPr>
        <w:footnoteRef/>
      </w:r>
      <w:r>
        <w:t xml:space="preserve"> Frequency assignment requirements for the point-to-multipoint service in the VHF high, 400 MHz and </w:t>
      </w:r>
      <w:r w:rsidR="00EF7ADC">
        <w:br/>
      </w:r>
      <w:r>
        <w:t>800 MHz bands.</w:t>
      </w:r>
    </w:p>
  </w:footnote>
  <w:footnote w:id="4">
    <w:p w14:paraId="3AABE1A3" w14:textId="31751FDF" w:rsidR="00C878BA" w:rsidRDefault="00C878BA">
      <w:pPr>
        <w:pStyle w:val="FootnoteText"/>
      </w:pPr>
      <w:r>
        <w:rPr>
          <w:rStyle w:val="FootnoteReference"/>
        </w:rPr>
        <w:footnoteRef/>
      </w:r>
      <w:r>
        <w:t xml:space="preserve"> Frequency assignment requirements for the fixed service in the 800 MHz band.</w:t>
      </w:r>
    </w:p>
  </w:footnote>
  <w:footnote w:id="5">
    <w:p w14:paraId="557CACE9" w14:textId="2223CF77" w:rsidR="00F968CB" w:rsidRDefault="00F968CB">
      <w:pPr>
        <w:pStyle w:val="FootnoteText"/>
      </w:pPr>
      <w:r>
        <w:rPr>
          <w:rStyle w:val="FootnoteReference"/>
        </w:rPr>
        <w:footnoteRef/>
      </w:r>
      <w:r>
        <w:t xml:space="preserve"> RALI FX 16 also includes provision for point-to-multipoint services in the VHF and 400 MHz bands</w:t>
      </w:r>
      <w:r w:rsidR="00EF7ADC">
        <w:t>.</w:t>
      </w:r>
    </w:p>
  </w:footnote>
  <w:footnote w:id="6">
    <w:p w14:paraId="38614081" w14:textId="09910B0C" w:rsidR="00223C52" w:rsidRDefault="00223C52">
      <w:pPr>
        <w:pStyle w:val="FootnoteText"/>
      </w:pPr>
      <w:r>
        <w:rPr>
          <w:rStyle w:val="FootnoteReference"/>
        </w:rPr>
        <w:footnoteRef/>
      </w:r>
      <w:r>
        <w:t xml:space="preserve"> 850 MHz spectrum licences will commence 1 July 2024.</w:t>
      </w:r>
    </w:p>
  </w:footnote>
  <w:footnote w:id="7">
    <w:p w14:paraId="36A9D1A1" w14:textId="32C69F08" w:rsidR="006D692E" w:rsidRDefault="006D692E">
      <w:pPr>
        <w:pStyle w:val="FootnoteText"/>
      </w:pPr>
      <w:r>
        <w:rPr>
          <w:rStyle w:val="FootnoteReference"/>
        </w:rPr>
        <w:footnoteRef/>
      </w:r>
      <w:r>
        <w:t xml:space="preserve"> Australian Mobile Telecommunications Association.</w:t>
      </w:r>
    </w:p>
  </w:footnote>
  <w:footnote w:id="8">
    <w:p w14:paraId="56970608" w14:textId="7DE0A568" w:rsidR="000A0604" w:rsidRDefault="000A0604">
      <w:pPr>
        <w:pStyle w:val="FootnoteText"/>
      </w:pPr>
      <w:r>
        <w:rPr>
          <w:rStyle w:val="FootnoteReference"/>
        </w:rPr>
        <w:footnoteRef/>
      </w:r>
      <w:r>
        <w:t xml:space="preserve"> This are the usable sensitivity levels assumed by the service model in RALIs LM08 and FX16 based on </w:t>
      </w:r>
      <w:r w:rsidR="00083CAC">
        <w:br/>
      </w:r>
      <w:r>
        <w:t>the noise levels in built-up areas and taking into consideration man</w:t>
      </w:r>
      <w:r w:rsidR="00083CAC">
        <w:t>-</w:t>
      </w:r>
      <w:r>
        <w:t>made noise.</w:t>
      </w:r>
    </w:p>
  </w:footnote>
  <w:footnote w:id="9">
    <w:p w14:paraId="4B60C1F0" w14:textId="1AF4E213" w:rsidR="00F0767F" w:rsidRDefault="00F0767F">
      <w:pPr>
        <w:pStyle w:val="FootnoteText"/>
      </w:pPr>
      <w:r>
        <w:rPr>
          <w:rStyle w:val="FootnoteReference"/>
        </w:rPr>
        <w:footnoteRef/>
      </w:r>
      <w:r>
        <w:t xml:space="preserve"> Assumes main-beam coupling without any consideration of antenna tilt.</w:t>
      </w:r>
    </w:p>
  </w:footnote>
  <w:footnote w:id="10">
    <w:p w14:paraId="6269F354" w14:textId="2587068D" w:rsidR="003F45A3" w:rsidRDefault="003F45A3">
      <w:pPr>
        <w:pStyle w:val="FootnoteText"/>
      </w:pPr>
      <w:r>
        <w:rPr>
          <w:rStyle w:val="FootnoteReference"/>
        </w:rPr>
        <w:footnoteRef/>
      </w:r>
      <w:r>
        <w:t xml:space="preserve"> ETSI EN 300 113 V2.2.1 is one of the standards used in the development of RALI LM08.</w:t>
      </w:r>
    </w:p>
  </w:footnote>
  <w:footnote w:id="11">
    <w:p w14:paraId="2FF317D7" w14:textId="3AEC75A8" w:rsidR="006D6258" w:rsidRPr="00515449" w:rsidRDefault="006D6258">
      <w:pPr>
        <w:pStyle w:val="FootnoteText"/>
        <w:rPr>
          <w:i/>
        </w:rPr>
      </w:pPr>
      <w:r>
        <w:rPr>
          <w:rStyle w:val="FootnoteReference"/>
        </w:rPr>
        <w:footnoteRef/>
      </w:r>
      <w:r>
        <w:t xml:space="preserve"> </w:t>
      </w:r>
      <w:r w:rsidR="002A1C91" w:rsidRPr="003D1DD3">
        <w:t>Protection ratio</w:t>
      </w:r>
      <w:r w:rsidR="003D1DD3" w:rsidRPr="003D1DD3">
        <w:t xml:space="preserve"> is termed</w:t>
      </w:r>
      <w:r w:rsidR="003D1DD3">
        <w:rPr>
          <w:i/>
          <w:iCs/>
        </w:rPr>
        <w:t xml:space="preserve"> </w:t>
      </w:r>
      <w:r w:rsidR="003D1DD3" w:rsidRPr="006A58DF">
        <w:t>‘</w:t>
      </w:r>
      <w:r w:rsidR="002A1C91" w:rsidRPr="006A58DF">
        <w:t>co-channel rejection ratio</w:t>
      </w:r>
      <w:r w:rsidR="003D1DD3" w:rsidRPr="006A58DF">
        <w:t>’</w:t>
      </w:r>
      <w:r w:rsidR="003D1DD3">
        <w:rPr>
          <w:i/>
          <w:iCs/>
        </w:rPr>
        <w:t xml:space="preserve"> </w:t>
      </w:r>
      <w:r w:rsidR="003D1DD3" w:rsidRPr="003D1DD3">
        <w:t>in ETSI EN 300 113 V2.2.1</w:t>
      </w:r>
      <w:r w:rsidR="009E6D1C">
        <w:t>.</w:t>
      </w:r>
    </w:p>
  </w:footnote>
  <w:footnote w:id="12">
    <w:p w14:paraId="6E4DFB92" w14:textId="77D433BA" w:rsidR="003F45A3" w:rsidRDefault="003F45A3">
      <w:pPr>
        <w:pStyle w:val="FootnoteText"/>
      </w:pPr>
      <w:r>
        <w:rPr>
          <w:rStyle w:val="FootnoteReference"/>
        </w:rPr>
        <w:footnoteRef/>
      </w:r>
      <w:r>
        <w:t xml:space="preserve"> </w:t>
      </w:r>
      <w:r w:rsidR="00AE12B1">
        <w:t>The current max</w:t>
      </w:r>
      <w:r w:rsidR="009E6D1C">
        <w:t>imum</w:t>
      </w:r>
      <w:r w:rsidR="00AE12B1">
        <w:t xml:space="preserve"> interference level of -124 dBm is f</w:t>
      </w:r>
      <w:r>
        <w:t>or a sensitivity of -119 dBm and protection ratio of 5 dB</w:t>
      </w:r>
      <w:r w:rsidR="006A47DC">
        <w:t>, from LM08</w:t>
      </w:r>
      <w:r>
        <w:t xml:space="preserve">. </w:t>
      </w:r>
    </w:p>
  </w:footnote>
  <w:footnote w:id="13">
    <w:p w14:paraId="50FAAD79" w14:textId="3257BC56" w:rsidR="00557A3C" w:rsidRPr="00C76A78" w:rsidRDefault="00557A3C" w:rsidP="00557A3C">
      <w:pPr>
        <w:pStyle w:val="FootnoteText"/>
      </w:pPr>
      <w:r>
        <w:rPr>
          <w:rStyle w:val="FootnoteReference"/>
        </w:rPr>
        <w:footnoteRef/>
      </w:r>
      <w:r>
        <w:t xml:space="preserve"> Assumes TLMS antenna height</w:t>
      </w:r>
      <w:r w:rsidR="00D77DD5">
        <w:t xml:space="preserve"> of</w:t>
      </w:r>
      <w:r>
        <w:t xml:space="preserve"> 1.5</w:t>
      </w:r>
      <w:r w:rsidR="001C1ACF">
        <w:t xml:space="preserve"> </w:t>
      </w:r>
      <w:r>
        <w:t>m for the mobile station</w:t>
      </w:r>
      <w:r w:rsidR="00D77DD5">
        <w:t xml:space="preserve"> and a m</w:t>
      </w:r>
      <w:r w:rsidR="00E2154A">
        <w:t xml:space="preserve">obile statin EIRP </w:t>
      </w:r>
      <w:r w:rsidR="00D77DD5">
        <w:t>of</w:t>
      </w:r>
      <w:r w:rsidR="00E2154A">
        <w:t xml:space="preserve"> 41 W.</w:t>
      </w:r>
    </w:p>
  </w:footnote>
  <w:footnote w:id="14">
    <w:p w14:paraId="2A30AD34" w14:textId="7FA02521" w:rsidR="00557A3C" w:rsidRPr="00557A3C" w:rsidRDefault="00557A3C">
      <w:pPr>
        <w:pStyle w:val="FootnoteText"/>
      </w:pPr>
      <w:r>
        <w:rPr>
          <w:rStyle w:val="FootnoteReference"/>
        </w:rPr>
        <w:footnoteRef/>
      </w:r>
      <w:r>
        <w:t xml:space="preserve"> Assumes TLMS antenna heights of 10</w:t>
      </w:r>
      <w:r w:rsidR="001C1ACF">
        <w:t xml:space="preserve"> </w:t>
      </w:r>
      <w:r>
        <w:t>m for the base station and 1.5</w:t>
      </w:r>
      <w:r w:rsidR="001C1ACF">
        <w:t xml:space="preserve"> </w:t>
      </w:r>
      <w:r>
        <w:t>m for the mobile station</w:t>
      </w:r>
      <w:r w:rsidR="00E2154A">
        <w:t>. Mobile stati</w:t>
      </w:r>
      <w:r w:rsidR="005E4C04">
        <w:t>o</w:t>
      </w:r>
      <w:r w:rsidR="00E2154A">
        <w:t>n EIRP = 41 W.</w:t>
      </w:r>
    </w:p>
  </w:footnote>
  <w:footnote w:id="15">
    <w:p w14:paraId="42D90FD5" w14:textId="46EA1784" w:rsidR="00C11703" w:rsidRDefault="00C11703">
      <w:pPr>
        <w:pStyle w:val="FootnoteText"/>
      </w:pPr>
      <w:r>
        <w:rPr>
          <w:rStyle w:val="FootnoteReference"/>
        </w:rPr>
        <w:footnoteRef/>
      </w:r>
      <w:r>
        <w:t xml:space="preserve"> ETSI EN 302 561 V2.1.1 is one of the standards used in the development of RALI FX16.</w:t>
      </w:r>
    </w:p>
  </w:footnote>
  <w:footnote w:id="16">
    <w:p w14:paraId="58166E4D" w14:textId="77777777" w:rsidR="00760B4E" w:rsidRDefault="00760B4E" w:rsidP="00760B4E">
      <w:pPr>
        <w:pStyle w:val="FootnoteText"/>
      </w:pPr>
      <w:r>
        <w:rPr>
          <w:rStyle w:val="FootnoteReference"/>
        </w:rPr>
        <w:footnoteRef/>
      </w:r>
      <w:r>
        <w:t xml:space="preserve"> The current max interference level of -129 dBm is for a sensitivity of -119 dBm and protection ratio of 10 dB, from FX16. </w:t>
      </w:r>
    </w:p>
  </w:footnote>
  <w:footnote w:id="17">
    <w:p w14:paraId="51042222" w14:textId="2E3689FB" w:rsidR="00160F1F" w:rsidRDefault="00160F1F">
      <w:pPr>
        <w:pStyle w:val="FootnoteText"/>
      </w:pPr>
      <w:r>
        <w:rPr>
          <w:rStyle w:val="FootnoteReference"/>
        </w:rPr>
        <w:footnoteRef/>
      </w:r>
      <w:r>
        <w:t xml:space="preserve"> The service area in RALI FX16.</w:t>
      </w:r>
    </w:p>
  </w:footnote>
  <w:footnote w:id="18">
    <w:p w14:paraId="7AEB68E2" w14:textId="3C046FC5" w:rsidR="00A01005" w:rsidRPr="00C76A78" w:rsidRDefault="00A01005" w:rsidP="008D6C0E">
      <w:pPr>
        <w:pStyle w:val="FootnoteText"/>
      </w:pPr>
      <w:r>
        <w:rPr>
          <w:rStyle w:val="FootnoteReference"/>
        </w:rPr>
        <w:footnoteRef/>
      </w:r>
      <w:r>
        <w:t xml:space="preserve"> Assumes </w:t>
      </w:r>
      <w:r w:rsidR="00151C3A">
        <w:t>PMP</w:t>
      </w:r>
      <w:r>
        <w:t xml:space="preserve"> antenna heights of 30</w:t>
      </w:r>
      <w:r w:rsidR="001C1ACF">
        <w:t xml:space="preserve"> </w:t>
      </w:r>
      <w:r>
        <w:t xml:space="preserve">m for the </w:t>
      </w:r>
      <w:r w:rsidR="00151C3A">
        <w:t>master</w:t>
      </w:r>
      <w:r>
        <w:t xml:space="preserve"> station and 5</w:t>
      </w:r>
      <w:r w:rsidR="001C1ACF">
        <w:t xml:space="preserve"> </w:t>
      </w:r>
      <w:r>
        <w:t xml:space="preserve">m for the </w:t>
      </w:r>
      <w:r w:rsidR="00151C3A">
        <w:t>remote</w:t>
      </w:r>
      <w:r>
        <w:t xml:space="preserve"> station.</w:t>
      </w:r>
      <w:r w:rsidR="00637600">
        <w:t xml:space="preserve"> Remote station EIRP = 20 W</w:t>
      </w:r>
      <w:r w:rsidR="00917E31">
        <w:t>.</w:t>
      </w:r>
    </w:p>
  </w:footnote>
  <w:footnote w:id="19">
    <w:p w14:paraId="3423A149" w14:textId="36D92F0B" w:rsidR="00A01005" w:rsidRPr="00557A3C" w:rsidRDefault="00A01005" w:rsidP="008D6C0E">
      <w:pPr>
        <w:pStyle w:val="FootnoteText"/>
      </w:pPr>
      <w:r>
        <w:rPr>
          <w:rStyle w:val="FootnoteReference"/>
        </w:rPr>
        <w:footnoteRef/>
      </w:r>
      <w:r>
        <w:t xml:space="preserve"> Assumes </w:t>
      </w:r>
      <w:r w:rsidR="00151C3A">
        <w:t>PMP</w:t>
      </w:r>
      <w:r>
        <w:t xml:space="preserve"> antenna heights of 10</w:t>
      </w:r>
      <w:r w:rsidR="001C1ACF">
        <w:t xml:space="preserve"> </w:t>
      </w:r>
      <w:r>
        <w:t xml:space="preserve">m for the </w:t>
      </w:r>
      <w:r w:rsidR="00151C3A">
        <w:t>master</w:t>
      </w:r>
      <w:r>
        <w:t xml:space="preserve"> station and 3</w:t>
      </w:r>
      <w:r w:rsidR="001C1ACF">
        <w:t xml:space="preserve"> </w:t>
      </w:r>
      <w:r>
        <w:t xml:space="preserve">m for the </w:t>
      </w:r>
      <w:r w:rsidR="00151C3A">
        <w:t>remote</w:t>
      </w:r>
      <w:r>
        <w:t xml:space="preserve"> station</w:t>
      </w:r>
      <w:r w:rsidR="00637600">
        <w:t>. Remote station EIRP = 8.3 W.</w:t>
      </w:r>
    </w:p>
  </w:footnote>
  <w:footnote w:id="20">
    <w:p w14:paraId="4B887514" w14:textId="3D54003B" w:rsidR="00701F91" w:rsidRDefault="00701F91">
      <w:pPr>
        <w:pStyle w:val="FootnoteText"/>
      </w:pPr>
      <w:r>
        <w:rPr>
          <w:rStyle w:val="FootnoteReference"/>
        </w:rPr>
        <w:footnoteRef/>
      </w:r>
      <w:r>
        <w:t xml:space="preserve"> The methodology used to derive the protection ratios in RALI FX3 is </w:t>
      </w:r>
      <w:hyperlink r:id="rId3" w:history="1">
        <w:r w:rsidR="00917E31">
          <w:rPr>
            <w:rStyle w:val="Hyperlink"/>
          </w:rPr>
          <w:t>detailed h</w:t>
        </w:r>
        <w:r w:rsidRPr="00701F91">
          <w:rPr>
            <w:rStyle w:val="Hyperlink"/>
          </w:rPr>
          <w:t>ere</w:t>
        </w:r>
      </w:hyperlink>
      <w:r>
        <w:t>.</w:t>
      </w:r>
    </w:p>
  </w:footnote>
  <w:footnote w:id="21">
    <w:p w14:paraId="6F83DDB1" w14:textId="041272F1" w:rsidR="00AA6179" w:rsidRDefault="00AA6179">
      <w:pPr>
        <w:pStyle w:val="FootnoteText"/>
      </w:pPr>
      <w:r>
        <w:rPr>
          <w:rStyle w:val="FootnoteReference"/>
        </w:rPr>
        <w:footnoteRef/>
      </w:r>
      <w:r>
        <w:t xml:space="preserve"> These</w:t>
      </w:r>
      <w:r w:rsidR="00812E5C">
        <w:t xml:space="preserve"> quoted</w:t>
      </w:r>
      <w:r>
        <w:t xml:space="preserve"> values do not include the adjustments provided in Tables 6 and 7 of FX22 when the wanted level is low. </w:t>
      </w:r>
    </w:p>
  </w:footnote>
  <w:footnote w:id="22">
    <w:p w14:paraId="3C618CA9" w14:textId="58934A29" w:rsidR="007663B1" w:rsidRDefault="007663B1">
      <w:pPr>
        <w:pStyle w:val="FootnoteText"/>
      </w:pPr>
      <w:r>
        <w:rPr>
          <w:rStyle w:val="FootnoteReference"/>
        </w:rPr>
        <w:footnoteRef/>
      </w:r>
      <w:r>
        <w:t xml:space="preserve"> See section E3 of Annex E of the draft RALI LM08 at Attachment A.</w:t>
      </w:r>
    </w:p>
  </w:footnote>
  <w:footnote w:id="23">
    <w:p w14:paraId="141261C6" w14:textId="2590FABC" w:rsidR="007663B1" w:rsidRDefault="007663B1">
      <w:pPr>
        <w:pStyle w:val="FootnoteText"/>
      </w:pPr>
      <w:r>
        <w:rPr>
          <w:rStyle w:val="FootnoteReference"/>
        </w:rPr>
        <w:footnoteRef/>
      </w:r>
      <w:r>
        <w:t xml:space="preserve"> See section 5.6 of the draft RALI FX16 at Attachment B.</w:t>
      </w:r>
    </w:p>
  </w:footnote>
  <w:footnote w:id="24">
    <w:p w14:paraId="0EA500CB" w14:textId="45EFD118" w:rsidR="007663B1" w:rsidRDefault="007663B1">
      <w:pPr>
        <w:pStyle w:val="FootnoteText"/>
      </w:pPr>
      <w:r>
        <w:rPr>
          <w:rStyle w:val="FootnoteReference"/>
        </w:rPr>
        <w:footnoteRef/>
      </w:r>
      <w:r>
        <w:t xml:space="preserve"> See section 3.2 of the draft RALI FX22 at Attachment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ADE2" w14:textId="77777777" w:rsidR="00C053A1" w:rsidRPr="00A5474E" w:rsidRDefault="0021426C" w:rsidP="00A5474E">
    <w:pPr>
      <w:pStyle w:val="Header"/>
    </w:pPr>
    <w:r>
      <w:rPr>
        <w:noProof/>
      </w:rPr>
      <w:drawing>
        <wp:inline distT="0" distB="0" distL="0" distR="0" wp14:anchorId="31E97318" wp14:editId="63F13FED">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F6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03B"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B78F"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B84324C" w14:textId="77777777" w:rsidTr="003B0421">
      <w:trPr>
        <w:trHeight w:hRule="exact" w:val="988"/>
      </w:trPr>
      <w:tc>
        <w:tcPr>
          <w:tcW w:w="7678" w:type="dxa"/>
          <w:shd w:val="clear" w:color="auto" w:fill="auto"/>
        </w:tcPr>
        <w:p w14:paraId="4016F365" w14:textId="77777777" w:rsidR="00971914" w:rsidRDefault="00971914" w:rsidP="00971914">
          <w:pPr>
            <w:pStyle w:val="Header"/>
          </w:pPr>
        </w:p>
      </w:tc>
    </w:tr>
    <w:tr w:rsidR="00971914" w14:paraId="3DBDD7CE" w14:textId="77777777" w:rsidTr="003B0421">
      <w:tc>
        <w:tcPr>
          <w:tcW w:w="7678" w:type="dxa"/>
          <w:shd w:val="clear" w:color="auto" w:fill="auto"/>
        </w:tcPr>
        <w:p w14:paraId="298A67D3" w14:textId="77777777" w:rsidR="00971914" w:rsidRDefault="00971914" w:rsidP="00971914">
          <w:pPr>
            <w:pStyle w:val="GridTable31"/>
          </w:pPr>
          <w:r>
            <w:t xml:space="preserve">Contents </w:t>
          </w:r>
          <w:r w:rsidRPr="00915B1C">
            <w:rPr>
              <w:b w:val="0"/>
              <w:spacing w:val="0"/>
              <w:sz w:val="28"/>
              <w:szCs w:val="28"/>
            </w:rPr>
            <w:t>(Continued)</w:t>
          </w:r>
        </w:p>
      </w:tc>
    </w:tr>
    <w:tr w:rsidR="00971914" w14:paraId="7EF9A9DB" w14:textId="77777777" w:rsidTr="003B0421">
      <w:trPr>
        <w:trHeight w:val="1220"/>
      </w:trPr>
      <w:tc>
        <w:tcPr>
          <w:tcW w:w="7678" w:type="dxa"/>
          <w:shd w:val="clear" w:color="auto" w:fill="auto"/>
        </w:tcPr>
        <w:p w14:paraId="370CBE9F" w14:textId="77777777" w:rsidR="00971914" w:rsidRDefault="00971914" w:rsidP="00971914"/>
      </w:tc>
    </w:tr>
  </w:tbl>
  <w:p w14:paraId="4AF63D6E"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4058775" w14:textId="77777777" w:rsidTr="003B0421">
      <w:trPr>
        <w:trHeight w:hRule="exact" w:val="988"/>
      </w:trPr>
      <w:tc>
        <w:tcPr>
          <w:tcW w:w="7678" w:type="dxa"/>
          <w:shd w:val="clear" w:color="auto" w:fill="auto"/>
        </w:tcPr>
        <w:p w14:paraId="788B533F" w14:textId="77777777" w:rsidR="00971914" w:rsidRDefault="00971914" w:rsidP="00971914">
          <w:pPr>
            <w:pStyle w:val="Header"/>
          </w:pPr>
        </w:p>
      </w:tc>
    </w:tr>
    <w:tr w:rsidR="00971914" w14:paraId="7A9DFE13" w14:textId="77777777" w:rsidTr="003B0421">
      <w:tc>
        <w:tcPr>
          <w:tcW w:w="7678" w:type="dxa"/>
          <w:shd w:val="clear" w:color="auto" w:fill="auto"/>
        </w:tcPr>
        <w:p w14:paraId="332A58D0" w14:textId="77777777" w:rsidR="00971914" w:rsidRDefault="00971914" w:rsidP="00971914">
          <w:pPr>
            <w:pStyle w:val="GridTable31"/>
          </w:pPr>
          <w:r>
            <w:t xml:space="preserve">Contents </w:t>
          </w:r>
          <w:r w:rsidRPr="00915B1C">
            <w:rPr>
              <w:b w:val="0"/>
              <w:spacing w:val="0"/>
              <w:sz w:val="28"/>
              <w:szCs w:val="28"/>
            </w:rPr>
            <w:t>(Continued)</w:t>
          </w:r>
        </w:p>
      </w:tc>
    </w:tr>
    <w:tr w:rsidR="00971914" w14:paraId="334846D6" w14:textId="77777777" w:rsidTr="003B0421">
      <w:trPr>
        <w:trHeight w:val="1220"/>
      </w:trPr>
      <w:tc>
        <w:tcPr>
          <w:tcW w:w="7678" w:type="dxa"/>
          <w:shd w:val="clear" w:color="auto" w:fill="auto"/>
        </w:tcPr>
        <w:p w14:paraId="1A2908EE" w14:textId="77777777" w:rsidR="00971914" w:rsidRDefault="00971914" w:rsidP="00971914"/>
      </w:tc>
    </w:tr>
  </w:tbl>
  <w:p w14:paraId="76D2584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70A3"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ED0"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83B11"/>
    <w:multiLevelType w:val="hybridMultilevel"/>
    <w:tmpl w:val="4B124054"/>
    <w:lvl w:ilvl="0" w:tplc="D1C86270">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0915C16"/>
    <w:multiLevelType w:val="hybridMultilevel"/>
    <w:tmpl w:val="E90C1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95768"/>
    <w:multiLevelType w:val="hybridMultilevel"/>
    <w:tmpl w:val="A0020FBE"/>
    <w:lvl w:ilvl="0" w:tplc="FE3CD51C">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2382"/>
        </w:tabs>
        <w:ind w:left="2382"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B828539A"/>
    <w:lvl w:ilvl="0" w:tplc="3A9CF91A">
      <w:start w:val="1"/>
      <w:numFmt w:val="decimal"/>
      <w:pStyle w:val="ACMAFigureHeader"/>
      <w:lvlText w:val="Figure %1: "/>
      <w:lvlJc w:val="left"/>
      <w:pPr>
        <w:tabs>
          <w:tab w:val="num" w:pos="1021"/>
        </w:tabs>
        <w:ind w:left="1021" w:hanging="1021"/>
      </w:pPr>
      <w:rPr>
        <w:rFonts w:hint="default"/>
      </w:rPr>
    </w:lvl>
    <w:lvl w:ilvl="1" w:tplc="AD843B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80E42"/>
    <w:multiLevelType w:val="hybridMultilevel"/>
    <w:tmpl w:val="69A43C4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757AE6"/>
    <w:multiLevelType w:val="hybridMultilevel"/>
    <w:tmpl w:val="D652B7A4"/>
    <w:lvl w:ilvl="0" w:tplc="0DA4929C">
      <w:start w:val="1"/>
      <w:numFmt w:val="decimal"/>
      <w:pStyle w:val="Caption"/>
      <w:lvlText w:val="Table %1:"/>
      <w:lvlJc w:val="left"/>
      <w:pPr>
        <w:tabs>
          <w:tab w:val="num" w:pos="1673"/>
        </w:tabs>
        <w:ind w:left="1673"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0236E"/>
    <w:multiLevelType w:val="hybridMultilevel"/>
    <w:tmpl w:val="E42C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7"/>
  </w:num>
  <w:num w:numId="6" w16cid:durableId="1170756036">
    <w:abstractNumId w:val="13"/>
  </w:num>
  <w:num w:numId="7" w16cid:durableId="1179462982">
    <w:abstractNumId w:val="11"/>
  </w:num>
  <w:num w:numId="8" w16cid:durableId="2010865431">
    <w:abstractNumId w:val="12"/>
  </w:num>
  <w:num w:numId="9" w16cid:durableId="153958827">
    <w:abstractNumId w:val="15"/>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8"/>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827137307">
    <w:abstractNumId w:val="16"/>
  </w:num>
  <w:num w:numId="21" w16cid:durableId="1496143121">
    <w:abstractNumId w:val="6"/>
  </w:num>
  <w:num w:numId="22" w16cid:durableId="1789540277">
    <w:abstractNumId w:val="14"/>
  </w:num>
  <w:num w:numId="23" w16cid:durableId="89158397">
    <w:abstractNumId w:val="10"/>
  </w:num>
  <w:num w:numId="24" w16cid:durableId="1104615658">
    <w:abstractNumId w:val="15"/>
  </w:num>
  <w:num w:numId="25" w16cid:durableId="13016143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F0"/>
    <w:rsid w:val="00001479"/>
    <w:rsid w:val="00010667"/>
    <w:rsid w:val="000129D5"/>
    <w:rsid w:val="00015AE7"/>
    <w:rsid w:val="00016E21"/>
    <w:rsid w:val="0001719C"/>
    <w:rsid w:val="0002224E"/>
    <w:rsid w:val="00023A36"/>
    <w:rsid w:val="000245E5"/>
    <w:rsid w:val="0002678A"/>
    <w:rsid w:val="00026F91"/>
    <w:rsid w:val="000274AA"/>
    <w:rsid w:val="00027D38"/>
    <w:rsid w:val="00032621"/>
    <w:rsid w:val="000376CD"/>
    <w:rsid w:val="000417B1"/>
    <w:rsid w:val="0004764C"/>
    <w:rsid w:val="0005011A"/>
    <w:rsid w:val="0005045A"/>
    <w:rsid w:val="00051C1E"/>
    <w:rsid w:val="000539F9"/>
    <w:rsid w:val="00054857"/>
    <w:rsid w:val="00054C27"/>
    <w:rsid w:val="00055EC3"/>
    <w:rsid w:val="000563CE"/>
    <w:rsid w:val="00061213"/>
    <w:rsid w:val="0006195C"/>
    <w:rsid w:val="000659B6"/>
    <w:rsid w:val="00066800"/>
    <w:rsid w:val="0006686F"/>
    <w:rsid w:val="0006722A"/>
    <w:rsid w:val="000709D5"/>
    <w:rsid w:val="00070F98"/>
    <w:rsid w:val="000732CF"/>
    <w:rsid w:val="00075ADB"/>
    <w:rsid w:val="00075B96"/>
    <w:rsid w:val="000804F8"/>
    <w:rsid w:val="0008196A"/>
    <w:rsid w:val="000839FE"/>
    <w:rsid w:val="00083CAC"/>
    <w:rsid w:val="00083F6B"/>
    <w:rsid w:val="00086E70"/>
    <w:rsid w:val="0009079E"/>
    <w:rsid w:val="000915ED"/>
    <w:rsid w:val="0009209D"/>
    <w:rsid w:val="000942C6"/>
    <w:rsid w:val="0009463C"/>
    <w:rsid w:val="00095228"/>
    <w:rsid w:val="000969BD"/>
    <w:rsid w:val="000969BF"/>
    <w:rsid w:val="000976DA"/>
    <w:rsid w:val="000A0604"/>
    <w:rsid w:val="000A0C22"/>
    <w:rsid w:val="000A1400"/>
    <w:rsid w:val="000A3C43"/>
    <w:rsid w:val="000A4A51"/>
    <w:rsid w:val="000A5D2B"/>
    <w:rsid w:val="000B38D4"/>
    <w:rsid w:val="000B4664"/>
    <w:rsid w:val="000B5DE3"/>
    <w:rsid w:val="000C0A57"/>
    <w:rsid w:val="000C230C"/>
    <w:rsid w:val="000C6AB4"/>
    <w:rsid w:val="000C7B76"/>
    <w:rsid w:val="000D20B8"/>
    <w:rsid w:val="000D2AF8"/>
    <w:rsid w:val="000D353B"/>
    <w:rsid w:val="000D3E0C"/>
    <w:rsid w:val="000D6395"/>
    <w:rsid w:val="000D71D9"/>
    <w:rsid w:val="000D76E0"/>
    <w:rsid w:val="000D7E8B"/>
    <w:rsid w:val="000E3C2F"/>
    <w:rsid w:val="000E4449"/>
    <w:rsid w:val="000E6097"/>
    <w:rsid w:val="000E6D64"/>
    <w:rsid w:val="000E6E2A"/>
    <w:rsid w:val="00103829"/>
    <w:rsid w:val="00106148"/>
    <w:rsid w:val="001075A1"/>
    <w:rsid w:val="0011196E"/>
    <w:rsid w:val="00111FCE"/>
    <w:rsid w:val="001229A5"/>
    <w:rsid w:val="00123372"/>
    <w:rsid w:val="0012489B"/>
    <w:rsid w:val="00130017"/>
    <w:rsid w:val="00130D45"/>
    <w:rsid w:val="00130F91"/>
    <w:rsid w:val="00132032"/>
    <w:rsid w:val="00132B80"/>
    <w:rsid w:val="001349ED"/>
    <w:rsid w:val="00135C43"/>
    <w:rsid w:val="00137424"/>
    <w:rsid w:val="00140318"/>
    <w:rsid w:val="00141AD9"/>
    <w:rsid w:val="001451CC"/>
    <w:rsid w:val="00145261"/>
    <w:rsid w:val="00146373"/>
    <w:rsid w:val="00146CE6"/>
    <w:rsid w:val="00147800"/>
    <w:rsid w:val="00150A60"/>
    <w:rsid w:val="00150EE6"/>
    <w:rsid w:val="00151C3A"/>
    <w:rsid w:val="00152903"/>
    <w:rsid w:val="00152BE1"/>
    <w:rsid w:val="00153FD5"/>
    <w:rsid w:val="001555A9"/>
    <w:rsid w:val="0015614F"/>
    <w:rsid w:val="001577C2"/>
    <w:rsid w:val="00160F1F"/>
    <w:rsid w:val="001633C4"/>
    <w:rsid w:val="001662BE"/>
    <w:rsid w:val="001704D5"/>
    <w:rsid w:val="00171591"/>
    <w:rsid w:val="00172736"/>
    <w:rsid w:val="00173981"/>
    <w:rsid w:val="0017452C"/>
    <w:rsid w:val="00175B0A"/>
    <w:rsid w:val="0017719D"/>
    <w:rsid w:val="0018382B"/>
    <w:rsid w:val="00183FD7"/>
    <w:rsid w:val="00184C67"/>
    <w:rsid w:val="00185CAB"/>
    <w:rsid w:val="00186603"/>
    <w:rsid w:val="001875B7"/>
    <w:rsid w:val="00187CB3"/>
    <w:rsid w:val="0019050A"/>
    <w:rsid w:val="00190EF4"/>
    <w:rsid w:val="001910D4"/>
    <w:rsid w:val="00192354"/>
    <w:rsid w:val="00193237"/>
    <w:rsid w:val="001976E3"/>
    <w:rsid w:val="001A35D6"/>
    <w:rsid w:val="001A42B1"/>
    <w:rsid w:val="001A44EC"/>
    <w:rsid w:val="001A63FD"/>
    <w:rsid w:val="001B58AA"/>
    <w:rsid w:val="001B7E48"/>
    <w:rsid w:val="001B7F3A"/>
    <w:rsid w:val="001C0858"/>
    <w:rsid w:val="001C17CE"/>
    <w:rsid w:val="001C1ACF"/>
    <w:rsid w:val="001C239E"/>
    <w:rsid w:val="001C36CA"/>
    <w:rsid w:val="001C44D1"/>
    <w:rsid w:val="001C502E"/>
    <w:rsid w:val="001C6AEE"/>
    <w:rsid w:val="001C7630"/>
    <w:rsid w:val="001D1560"/>
    <w:rsid w:val="001D2726"/>
    <w:rsid w:val="001D67F3"/>
    <w:rsid w:val="001D6D15"/>
    <w:rsid w:val="001E0316"/>
    <w:rsid w:val="001E1ACE"/>
    <w:rsid w:val="001E1FE6"/>
    <w:rsid w:val="001F0212"/>
    <w:rsid w:val="001F378A"/>
    <w:rsid w:val="001F50F7"/>
    <w:rsid w:val="001F7558"/>
    <w:rsid w:val="0020066A"/>
    <w:rsid w:val="002006DF"/>
    <w:rsid w:val="0020101F"/>
    <w:rsid w:val="00201EE2"/>
    <w:rsid w:val="00205B57"/>
    <w:rsid w:val="002104A5"/>
    <w:rsid w:val="0021426C"/>
    <w:rsid w:val="002145C3"/>
    <w:rsid w:val="0021471F"/>
    <w:rsid w:val="002157D1"/>
    <w:rsid w:val="002157E0"/>
    <w:rsid w:val="00216047"/>
    <w:rsid w:val="00216A57"/>
    <w:rsid w:val="00216E26"/>
    <w:rsid w:val="00217448"/>
    <w:rsid w:val="00223103"/>
    <w:rsid w:val="0022334F"/>
    <w:rsid w:val="00223C52"/>
    <w:rsid w:val="00226819"/>
    <w:rsid w:val="002276EA"/>
    <w:rsid w:val="00230B7E"/>
    <w:rsid w:val="0023118C"/>
    <w:rsid w:val="002315D7"/>
    <w:rsid w:val="00233101"/>
    <w:rsid w:val="002335EE"/>
    <w:rsid w:val="00233817"/>
    <w:rsid w:val="00234187"/>
    <w:rsid w:val="00234CE8"/>
    <w:rsid w:val="0023539A"/>
    <w:rsid w:val="00235946"/>
    <w:rsid w:val="002367FF"/>
    <w:rsid w:val="00240CE9"/>
    <w:rsid w:val="002434BA"/>
    <w:rsid w:val="00246089"/>
    <w:rsid w:val="00246093"/>
    <w:rsid w:val="00246702"/>
    <w:rsid w:val="00247C59"/>
    <w:rsid w:val="00247F2E"/>
    <w:rsid w:val="00250ADC"/>
    <w:rsid w:val="00250B07"/>
    <w:rsid w:val="002524B2"/>
    <w:rsid w:val="0025501E"/>
    <w:rsid w:val="00257553"/>
    <w:rsid w:val="00260FB2"/>
    <w:rsid w:val="00262128"/>
    <w:rsid w:val="00271052"/>
    <w:rsid w:val="0027165D"/>
    <w:rsid w:val="00273CEB"/>
    <w:rsid w:val="00277F8F"/>
    <w:rsid w:val="0028067E"/>
    <w:rsid w:val="00281C89"/>
    <w:rsid w:val="0028282F"/>
    <w:rsid w:val="00285E99"/>
    <w:rsid w:val="00291A2D"/>
    <w:rsid w:val="0029593B"/>
    <w:rsid w:val="00297FC5"/>
    <w:rsid w:val="002A0417"/>
    <w:rsid w:val="002A16D8"/>
    <w:rsid w:val="002A1BC8"/>
    <w:rsid w:val="002A1C91"/>
    <w:rsid w:val="002A213C"/>
    <w:rsid w:val="002A3EF2"/>
    <w:rsid w:val="002A4664"/>
    <w:rsid w:val="002A717F"/>
    <w:rsid w:val="002B0A7D"/>
    <w:rsid w:val="002B0DED"/>
    <w:rsid w:val="002B19A2"/>
    <w:rsid w:val="002B381A"/>
    <w:rsid w:val="002B4FCC"/>
    <w:rsid w:val="002B7408"/>
    <w:rsid w:val="002B743D"/>
    <w:rsid w:val="002B7CFD"/>
    <w:rsid w:val="002C0530"/>
    <w:rsid w:val="002C210F"/>
    <w:rsid w:val="002C4E9F"/>
    <w:rsid w:val="002D064E"/>
    <w:rsid w:val="002D147A"/>
    <w:rsid w:val="002D1A99"/>
    <w:rsid w:val="002D3600"/>
    <w:rsid w:val="002D489C"/>
    <w:rsid w:val="002D4FE7"/>
    <w:rsid w:val="002E43E9"/>
    <w:rsid w:val="002E4518"/>
    <w:rsid w:val="002E4619"/>
    <w:rsid w:val="002E4DDC"/>
    <w:rsid w:val="002E4EC0"/>
    <w:rsid w:val="002E6F7E"/>
    <w:rsid w:val="002E7262"/>
    <w:rsid w:val="002F4697"/>
    <w:rsid w:val="002F64DA"/>
    <w:rsid w:val="00300656"/>
    <w:rsid w:val="00302480"/>
    <w:rsid w:val="00302758"/>
    <w:rsid w:val="003030EE"/>
    <w:rsid w:val="00307199"/>
    <w:rsid w:val="003165E6"/>
    <w:rsid w:val="00317B28"/>
    <w:rsid w:val="00317C3E"/>
    <w:rsid w:val="003215B5"/>
    <w:rsid w:val="0032173B"/>
    <w:rsid w:val="003221CF"/>
    <w:rsid w:val="003233ED"/>
    <w:rsid w:val="00324D9F"/>
    <w:rsid w:val="003252B3"/>
    <w:rsid w:val="003253EE"/>
    <w:rsid w:val="00325F30"/>
    <w:rsid w:val="00327948"/>
    <w:rsid w:val="0033000F"/>
    <w:rsid w:val="00332011"/>
    <w:rsid w:val="0033239B"/>
    <w:rsid w:val="00332518"/>
    <w:rsid w:val="0033291E"/>
    <w:rsid w:val="00332925"/>
    <w:rsid w:val="00332E3F"/>
    <w:rsid w:val="003332ED"/>
    <w:rsid w:val="003368DC"/>
    <w:rsid w:val="003415AC"/>
    <w:rsid w:val="0034490B"/>
    <w:rsid w:val="00344B8D"/>
    <w:rsid w:val="00345927"/>
    <w:rsid w:val="0034625F"/>
    <w:rsid w:val="003467D8"/>
    <w:rsid w:val="00350584"/>
    <w:rsid w:val="00351857"/>
    <w:rsid w:val="003519DB"/>
    <w:rsid w:val="00353C6B"/>
    <w:rsid w:val="003545E8"/>
    <w:rsid w:val="00357028"/>
    <w:rsid w:val="00357ACB"/>
    <w:rsid w:val="0036009B"/>
    <w:rsid w:val="003601DA"/>
    <w:rsid w:val="0036088C"/>
    <w:rsid w:val="003610E1"/>
    <w:rsid w:val="00361C91"/>
    <w:rsid w:val="00363CF5"/>
    <w:rsid w:val="0036413B"/>
    <w:rsid w:val="00364B9E"/>
    <w:rsid w:val="003671BE"/>
    <w:rsid w:val="00372485"/>
    <w:rsid w:val="00373200"/>
    <w:rsid w:val="00375EF5"/>
    <w:rsid w:val="003767A5"/>
    <w:rsid w:val="00377027"/>
    <w:rsid w:val="003773BA"/>
    <w:rsid w:val="003803BD"/>
    <w:rsid w:val="00381D15"/>
    <w:rsid w:val="00382E83"/>
    <w:rsid w:val="003841CE"/>
    <w:rsid w:val="00385254"/>
    <w:rsid w:val="00387A34"/>
    <w:rsid w:val="00387C8C"/>
    <w:rsid w:val="00387EAA"/>
    <w:rsid w:val="00390D91"/>
    <w:rsid w:val="0039300D"/>
    <w:rsid w:val="003933E8"/>
    <w:rsid w:val="00394031"/>
    <w:rsid w:val="00396D14"/>
    <w:rsid w:val="00396DC2"/>
    <w:rsid w:val="003A04DB"/>
    <w:rsid w:val="003A4D56"/>
    <w:rsid w:val="003A5F5B"/>
    <w:rsid w:val="003A7744"/>
    <w:rsid w:val="003A789A"/>
    <w:rsid w:val="003B0F12"/>
    <w:rsid w:val="003B12EC"/>
    <w:rsid w:val="003B378A"/>
    <w:rsid w:val="003B796A"/>
    <w:rsid w:val="003B7E52"/>
    <w:rsid w:val="003C03B8"/>
    <w:rsid w:val="003C33A6"/>
    <w:rsid w:val="003C77E0"/>
    <w:rsid w:val="003D17D7"/>
    <w:rsid w:val="003D1DD3"/>
    <w:rsid w:val="003D2678"/>
    <w:rsid w:val="003D59E2"/>
    <w:rsid w:val="003D5C0D"/>
    <w:rsid w:val="003D71A3"/>
    <w:rsid w:val="003E0ABE"/>
    <w:rsid w:val="003E0FDA"/>
    <w:rsid w:val="003E2B8A"/>
    <w:rsid w:val="003E3EC5"/>
    <w:rsid w:val="003E446B"/>
    <w:rsid w:val="003E6B68"/>
    <w:rsid w:val="003F10EE"/>
    <w:rsid w:val="003F16F6"/>
    <w:rsid w:val="003F45A3"/>
    <w:rsid w:val="003F4DC7"/>
    <w:rsid w:val="003F4FE2"/>
    <w:rsid w:val="003F5235"/>
    <w:rsid w:val="003F60A9"/>
    <w:rsid w:val="004027E4"/>
    <w:rsid w:val="00402AD6"/>
    <w:rsid w:val="00403929"/>
    <w:rsid w:val="00404EC8"/>
    <w:rsid w:val="00405D71"/>
    <w:rsid w:val="0041071D"/>
    <w:rsid w:val="00412748"/>
    <w:rsid w:val="00414AFC"/>
    <w:rsid w:val="004151A7"/>
    <w:rsid w:val="00415310"/>
    <w:rsid w:val="00416A8D"/>
    <w:rsid w:val="00416B5B"/>
    <w:rsid w:val="00420E42"/>
    <w:rsid w:val="00421709"/>
    <w:rsid w:val="00421A4A"/>
    <w:rsid w:val="00423763"/>
    <w:rsid w:val="00426619"/>
    <w:rsid w:val="0042762F"/>
    <w:rsid w:val="00427DC7"/>
    <w:rsid w:val="00431613"/>
    <w:rsid w:val="0043168C"/>
    <w:rsid w:val="00431792"/>
    <w:rsid w:val="00431C3D"/>
    <w:rsid w:val="0043297A"/>
    <w:rsid w:val="00432A08"/>
    <w:rsid w:val="00432EB2"/>
    <w:rsid w:val="0043714F"/>
    <w:rsid w:val="00437CF0"/>
    <w:rsid w:val="0044027A"/>
    <w:rsid w:val="00441337"/>
    <w:rsid w:val="00441753"/>
    <w:rsid w:val="00441B60"/>
    <w:rsid w:val="00442920"/>
    <w:rsid w:val="004438B5"/>
    <w:rsid w:val="00444B89"/>
    <w:rsid w:val="00447037"/>
    <w:rsid w:val="0045124D"/>
    <w:rsid w:val="00454596"/>
    <w:rsid w:val="0045605D"/>
    <w:rsid w:val="004600B9"/>
    <w:rsid w:val="0046135B"/>
    <w:rsid w:val="00461D47"/>
    <w:rsid w:val="00464E12"/>
    <w:rsid w:val="004718CC"/>
    <w:rsid w:val="004737D5"/>
    <w:rsid w:val="00481695"/>
    <w:rsid w:val="00482907"/>
    <w:rsid w:val="00483A62"/>
    <w:rsid w:val="00484E25"/>
    <w:rsid w:val="00486FF6"/>
    <w:rsid w:val="004877D4"/>
    <w:rsid w:val="00492B5C"/>
    <w:rsid w:val="00495A96"/>
    <w:rsid w:val="00495BB3"/>
    <w:rsid w:val="00496053"/>
    <w:rsid w:val="00497270"/>
    <w:rsid w:val="004A29A0"/>
    <w:rsid w:val="004A56BB"/>
    <w:rsid w:val="004A66CD"/>
    <w:rsid w:val="004A70D6"/>
    <w:rsid w:val="004A7405"/>
    <w:rsid w:val="004B126D"/>
    <w:rsid w:val="004B1751"/>
    <w:rsid w:val="004B4D42"/>
    <w:rsid w:val="004B4DB4"/>
    <w:rsid w:val="004C0253"/>
    <w:rsid w:val="004C1E80"/>
    <w:rsid w:val="004C2D1A"/>
    <w:rsid w:val="004D28B3"/>
    <w:rsid w:val="004D54B4"/>
    <w:rsid w:val="004D56FF"/>
    <w:rsid w:val="004E11A9"/>
    <w:rsid w:val="004E39D3"/>
    <w:rsid w:val="004E4E90"/>
    <w:rsid w:val="004E508A"/>
    <w:rsid w:val="004E616D"/>
    <w:rsid w:val="004F0F2B"/>
    <w:rsid w:val="004F1BDE"/>
    <w:rsid w:val="004F2CEE"/>
    <w:rsid w:val="004F43B1"/>
    <w:rsid w:val="004F556E"/>
    <w:rsid w:val="004F591C"/>
    <w:rsid w:val="004F7F44"/>
    <w:rsid w:val="004F7FF5"/>
    <w:rsid w:val="005037B4"/>
    <w:rsid w:val="00503C8D"/>
    <w:rsid w:val="00506B49"/>
    <w:rsid w:val="005079BF"/>
    <w:rsid w:val="0051241B"/>
    <w:rsid w:val="0051269A"/>
    <w:rsid w:val="00513514"/>
    <w:rsid w:val="0051521B"/>
    <w:rsid w:val="00515449"/>
    <w:rsid w:val="00521393"/>
    <w:rsid w:val="005219E7"/>
    <w:rsid w:val="00521E40"/>
    <w:rsid w:val="00526D26"/>
    <w:rsid w:val="005277E9"/>
    <w:rsid w:val="00527CDE"/>
    <w:rsid w:val="00531B9A"/>
    <w:rsid w:val="00531D15"/>
    <w:rsid w:val="00533197"/>
    <w:rsid w:val="00537604"/>
    <w:rsid w:val="00542377"/>
    <w:rsid w:val="005427FE"/>
    <w:rsid w:val="00542D96"/>
    <w:rsid w:val="00544DE6"/>
    <w:rsid w:val="00546240"/>
    <w:rsid w:val="00546302"/>
    <w:rsid w:val="005476EB"/>
    <w:rsid w:val="00551782"/>
    <w:rsid w:val="00557A3C"/>
    <w:rsid w:val="0056043C"/>
    <w:rsid w:val="00563EF1"/>
    <w:rsid w:val="00564A82"/>
    <w:rsid w:val="00564A8C"/>
    <w:rsid w:val="00565A75"/>
    <w:rsid w:val="00566AB4"/>
    <w:rsid w:val="00570165"/>
    <w:rsid w:val="00573812"/>
    <w:rsid w:val="00575AC5"/>
    <w:rsid w:val="0057605D"/>
    <w:rsid w:val="00576975"/>
    <w:rsid w:val="00580253"/>
    <w:rsid w:val="00581347"/>
    <w:rsid w:val="00581AC9"/>
    <w:rsid w:val="005849F8"/>
    <w:rsid w:val="00584B51"/>
    <w:rsid w:val="005865EE"/>
    <w:rsid w:val="0058743A"/>
    <w:rsid w:val="00587A79"/>
    <w:rsid w:val="005938DF"/>
    <w:rsid w:val="00594E9C"/>
    <w:rsid w:val="005A08BF"/>
    <w:rsid w:val="005A099B"/>
    <w:rsid w:val="005A2D9C"/>
    <w:rsid w:val="005A40DE"/>
    <w:rsid w:val="005A55FE"/>
    <w:rsid w:val="005A6234"/>
    <w:rsid w:val="005A6A11"/>
    <w:rsid w:val="005B13E1"/>
    <w:rsid w:val="005B2F0D"/>
    <w:rsid w:val="005B3ABC"/>
    <w:rsid w:val="005B4AED"/>
    <w:rsid w:val="005B5513"/>
    <w:rsid w:val="005B69FE"/>
    <w:rsid w:val="005B792E"/>
    <w:rsid w:val="005C0652"/>
    <w:rsid w:val="005C2E41"/>
    <w:rsid w:val="005C34EF"/>
    <w:rsid w:val="005D22F3"/>
    <w:rsid w:val="005D2502"/>
    <w:rsid w:val="005D40BB"/>
    <w:rsid w:val="005D47F3"/>
    <w:rsid w:val="005D49BF"/>
    <w:rsid w:val="005D4AA5"/>
    <w:rsid w:val="005D66B7"/>
    <w:rsid w:val="005D6F4E"/>
    <w:rsid w:val="005D7C73"/>
    <w:rsid w:val="005D7D8D"/>
    <w:rsid w:val="005E19E7"/>
    <w:rsid w:val="005E1BE8"/>
    <w:rsid w:val="005E250B"/>
    <w:rsid w:val="005E3ACD"/>
    <w:rsid w:val="005E41E8"/>
    <w:rsid w:val="005E4C04"/>
    <w:rsid w:val="005E7226"/>
    <w:rsid w:val="005E7A57"/>
    <w:rsid w:val="005F24B0"/>
    <w:rsid w:val="005F6A94"/>
    <w:rsid w:val="005F746D"/>
    <w:rsid w:val="006031F9"/>
    <w:rsid w:val="00604315"/>
    <w:rsid w:val="00604E26"/>
    <w:rsid w:val="0060523F"/>
    <w:rsid w:val="006052CF"/>
    <w:rsid w:val="00607B8D"/>
    <w:rsid w:val="00607C13"/>
    <w:rsid w:val="00610CD2"/>
    <w:rsid w:val="0061144C"/>
    <w:rsid w:val="00611F5C"/>
    <w:rsid w:val="00616E09"/>
    <w:rsid w:val="0061740F"/>
    <w:rsid w:val="00617E1E"/>
    <w:rsid w:val="00622A3B"/>
    <w:rsid w:val="00622EEA"/>
    <w:rsid w:val="0062396C"/>
    <w:rsid w:val="00623FF9"/>
    <w:rsid w:val="0062437D"/>
    <w:rsid w:val="006250D5"/>
    <w:rsid w:val="00626F0E"/>
    <w:rsid w:val="006278A6"/>
    <w:rsid w:val="00627D4E"/>
    <w:rsid w:val="0063214E"/>
    <w:rsid w:val="00632B89"/>
    <w:rsid w:val="00633077"/>
    <w:rsid w:val="0063346D"/>
    <w:rsid w:val="00634478"/>
    <w:rsid w:val="00637600"/>
    <w:rsid w:val="00637B8D"/>
    <w:rsid w:val="00640F9E"/>
    <w:rsid w:val="00642E29"/>
    <w:rsid w:val="006437A6"/>
    <w:rsid w:val="00643E88"/>
    <w:rsid w:val="00644042"/>
    <w:rsid w:val="00644373"/>
    <w:rsid w:val="00645915"/>
    <w:rsid w:val="00646CC4"/>
    <w:rsid w:val="00647DCF"/>
    <w:rsid w:val="006519C3"/>
    <w:rsid w:val="00651B03"/>
    <w:rsid w:val="00652B30"/>
    <w:rsid w:val="006557B4"/>
    <w:rsid w:val="00656345"/>
    <w:rsid w:val="00656DC6"/>
    <w:rsid w:val="00657C6C"/>
    <w:rsid w:val="00660EC6"/>
    <w:rsid w:val="00661C4A"/>
    <w:rsid w:val="00662976"/>
    <w:rsid w:val="00664110"/>
    <w:rsid w:val="00664D17"/>
    <w:rsid w:val="00666520"/>
    <w:rsid w:val="006670E3"/>
    <w:rsid w:val="00667C5B"/>
    <w:rsid w:val="00674901"/>
    <w:rsid w:val="006750EA"/>
    <w:rsid w:val="00675AE2"/>
    <w:rsid w:val="00680877"/>
    <w:rsid w:val="00691EB8"/>
    <w:rsid w:val="00692CDE"/>
    <w:rsid w:val="00693073"/>
    <w:rsid w:val="00693E40"/>
    <w:rsid w:val="00694A98"/>
    <w:rsid w:val="006977FF"/>
    <w:rsid w:val="006A01FA"/>
    <w:rsid w:val="006A0E9E"/>
    <w:rsid w:val="006A25C7"/>
    <w:rsid w:val="006A3ECF"/>
    <w:rsid w:val="006A47DC"/>
    <w:rsid w:val="006A4AAD"/>
    <w:rsid w:val="006A4CCA"/>
    <w:rsid w:val="006A58DF"/>
    <w:rsid w:val="006A6DA2"/>
    <w:rsid w:val="006A7AB2"/>
    <w:rsid w:val="006B0765"/>
    <w:rsid w:val="006B0912"/>
    <w:rsid w:val="006B52DE"/>
    <w:rsid w:val="006B5717"/>
    <w:rsid w:val="006B582F"/>
    <w:rsid w:val="006B5EB2"/>
    <w:rsid w:val="006C0CEB"/>
    <w:rsid w:val="006C1631"/>
    <w:rsid w:val="006C3B1E"/>
    <w:rsid w:val="006C47FD"/>
    <w:rsid w:val="006C515C"/>
    <w:rsid w:val="006C5C19"/>
    <w:rsid w:val="006C5FD4"/>
    <w:rsid w:val="006C6D64"/>
    <w:rsid w:val="006C70A0"/>
    <w:rsid w:val="006D27CB"/>
    <w:rsid w:val="006D2F08"/>
    <w:rsid w:val="006D576C"/>
    <w:rsid w:val="006D5865"/>
    <w:rsid w:val="006D6258"/>
    <w:rsid w:val="006D63A6"/>
    <w:rsid w:val="006D692E"/>
    <w:rsid w:val="006E2B07"/>
    <w:rsid w:val="006E2CE0"/>
    <w:rsid w:val="006E4B1B"/>
    <w:rsid w:val="006E5445"/>
    <w:rsid w:val="006E7D93"/>
    <w:rsid w:val="006F4874"/>
    <w:rsid w:val="006F551A"/>
    <w:rsid w:val="0070133D"/>
    <w:rsid w:val="00701F91"/>
    <w:rsid w:val="007029A3"/>
    <w:rsid w:val="00703593"/>
    <w:rsid w:val="00706E4E"/>
    <w:rsid w:val="0070791C"/>
    <w:rsid w:val="0071383C"/>
    <w:rsid w:val="007141A7"/>
    <w:rsid w:val="00715722"/>
    <w:rsid w:val="00715BAF"/>
    <w:rsid w:val="00716C11"/>
    <w:rsid w:val="00716E82"/>
    <w:rsid w:val="00721032"/>
    <w:rsid w:val="00721B55"/>
    <w:rsid w:val="00723D8E"/>
    <w:rsid w:val="007249C8"/>
    <w:rsid w:val="007260C2"/>
    <w:rsid w:val="00726CE4"/>
    <w:rsid w:val="0073261C"/>
    <w:rsid w:val="00734143"/>
    <w:rsid w:val="007371AA"/>
    <w:rsid w:val="00737E47"/>
    <w:rsid w:val="00740EAC"/>
    <w:rsid w:val="00744956"/>
    <w:rsid w:val="007451DA"/>
    <w:rsid w:val="00745A5C"/>
    <w:rsid w:val="0074605F"/>
    <w:rsid w:val="00747E94"/>
    <w:rsid w:val="00750F9B"/>
    <w:rsid w:val="00754C51"/>
    <w:rsid w:val="00754C83"/>
    <w:rsid w:val="00760B4E"/>
    <w:rsid w:val="00761E5C"/>
    <w:rsid w:val="007620B2"/>
    <w:rsid w:val="007638C6"/>
    <w:rsid w:val="00765DF8"/>
    <w:rsid w:val="007663B1"/>
    <w:rsid w:val="00766725"/>
    <w:rsid w:val="00766749"/>
    <w:rsid w:val="00767C1B"/>
    <w:rsid w:val="00770B3F"/>
    <w:rsid w:val="007714A9"/>
    <w:rsid w:val="00774F88"/>
    <w:rsid w:val="00774FDB"/>
    <w:rsid w:val="00777BA2"/>
    <w:rsid w:val="00781408"/>
    <w:rsid w:val="007837F0"/>
    <w:rsid w:val="007839E5"/>
    <w:rsid w:val="00784F7F"/>
    <w:rsid w:val="0078625B"/>
    <w:rsid w:val="0078721F"/>
    <w:rsid w:val="007878BD"/>
    <w:rsid w:val="00792A52"/>
    <w:rsid w:val="00796F25"/>
    <w:rsid w:val="007A13B8"/>
    <w:rsid w:val="007A2E98"/>
    <w:rsid w:val="007A3BA3"/>
    <w:rsid w:val="007A58DD"/>
    <w:rsid w:val="007A6AEE"/>
    <w:rsid w:val="007A6CC0"/>
    <w:rsid w:val="007A7FEC"/>
    <w:rsid w:val="007B0323"/>
    <w:rsid w:val="007B1499"/>
    <w:rsid w:val="007B162D"/>
    <w:rsid w:val="007B1AF3"/>
    <w:rsid w:val="007B1BBF"/>
    <w:rsid w:val="007B2960"/>
    <w:rsid w:val="007B2D22"/>
    <w:rsid w:val="007B355D"/>
    <w:rsid w:val="007B5EBE"/>
    <w:rsid w:val="007B605B"/>
    <w:rsid w:val="007B7980"/>
    <w:rsid w:val="007C0DEF"/>
    <w:rsid w:val="007C1AF4"/>
    <w:rsid w:val="007C1D3F"/>
    <w:rsid w:val="007C2B0C"/>
    <w:rsid w:val="007C5D5A"/>
    <w:rsid w:val="007C607F"/>
    <w:rsid w:val="007C61FE"/>
    <w:rsid w:val="007C79DD"/>
    <w:rsid w:val="007D1592"/>
    <w:rsid w:val="007D1A97"/>
    <w:rsid w:val="007D2CD6"/>
    <w:rsid w:val="007D3063"/>
    <w:rsid w:val="007D3CEB"/>
    <w:rsid w:val="007E162C"/>
    <w:rsid w:val="007E1AC8"/>
    <w:rsid w:val="007E3217"/>
    <w:rsid w:val="007E3F62"/>
    <w:rsid w:val="007E4603"/>
    <w:rsid w:val="007E6993"/>
    <w:rsid w:val="007E7683"/>
    <w:rsid w:val="007F0ECE"/>
    <w:rsid w:val="007F111A"/>
    <w:rsid w:val="007F4725"/>
    <w:rsid w:val="007F49BB"/>
    <w:rsid w:val="007F49FA"/>
    <w:rsid w:val="007F54C4"/>
    <w:rsid w:val="007F6E9A"/>
    <w:rsid w:val="00800977"/>
    <w:rsid w:val="00800A75"/>
    <w:rsid w:val="00800CCD"/>
    <w:rsid w:val="00801FEB"/>
    <w:rsid w:val="008044D4"/>
    <w:rsid w:val="00810AB4"/>
    <w:rsid w:val="00810F24"/>
    <w:rsid w:val="00812E5C"/>
    <w:rsid w:val="00812F6F"/>
    <w:rsid w:val="00813CF3"/>
    <w:rsid w:val="00814869"/>
    <w:rsid w:val="00817B56"/>
    <w:rsid w:val="00820B4E"/>
    <w:rsid w:val="00821A88"/>
    <w:rsid w:val="00822D57"/>
    <w:rsid w:val="0082322E"/>
    <w:rsid w:val="0082495D"/>
    <w:rsid w:val="00824B75"/>
    <w:rsid w:val="008268E3"/>
    <w:rsid w:val="00827E36"/>
    <w:rsid w:val="00831059"/>
    <w:rsid w:val="008312BC"/>
    <w:rsid w:val="00831AC3"/>
    <w:rsid w:val="00834979"/>
    <w:rsid w:val="00836FB6"/>
    <w:rsid w:val="00836FCE"/>
    <w:rsid w:val="008408FF"/>
    <w:rsid w:val="00840CE3"/>
    <w:rsid w:val="008500E5"/>
    <w:rsid w:val="00851F3F"/>
    <w:rsid w:val="008551FD"/>
    <w:rsid w:val="00855CD2"/>
    <w:rsid w:val="00856EDC"/>
    <w:rsid w:val="00861A4D"/>
    <w:rsid w:val="008623B5"/>
    <w:rsid w:val="00863728"/>
    <w:rsid w:val="00864342"/>
    <w:rsid w:val="00870ABA"/>
    <w:rsid w:val="008710E1"/>
    <w:rsid w:val="008716E5"/>
    <w:rsid w:val="008719BC"/>
    <w:rsid w:val="008729A4"/>
    <w:rsid w:val="008810F3"/>
    <w:rsid w:val="00881402"/>
    <w:rsid w:val="008818FE"/>
    <w:rsid w:val="00881C14"/>
    <w:rsid w:val="00881CA9"/>
    <w:rsid w:val="00883628"/>
    <w:rsid w:val="00885544"/>
    <w:rsid w:val="0088634E"/>
    <w:rsid w:val="00886D2A"/>
    <w:rsid w:val="00886ECB"/>
    <w:rsid w:val="00893AB8"/>
    <w:rsid w:val="00893B4C"/>
    <w:rsid w:val="0089796A"/>
    <w:rsid w:val="008A04C8"/>
    <w:rsid w:val="008A4066"/>
    <w:rsid w:val="008A5F0C"/>
    <w:rsid w:val="008A6913"/>
    <w:rsid w:val="008B0701"/>
    <w:rsid w:val="008B70F3"/>
    <w:rsid w:val="008B71C4"/>
    <w:rsid w:val="008B76DF"/>
    <w:rsid w:val="008B76F1"/>
    <w:rsid w:val="008C014A"/>
    <w:rsid w:val="008C10F4"/>
    <w:rsid w:val="008C1F68"/>
    <w:rsid w:val="008C4BCE"/>
    <w:rsid w:val="008C65F7"/>
    <w:rsid w:val="008D56A2"/>
    <w:rsid w:val="008D65DE"/>
    <w:rsid w:val="008D6C0E"/>
    <w:rsid w:val="008D6FB1"/>
    <w:rsid w:val="008E0428"/>
    <w:rsid w:val="008E14CF"/>
    <w:rsid w:val="008E3DB9"/>
    <w:rsid w:val="008E3DD4"/>
    <w:rsid w:val="008E4767"/>
    <w:rsid w:val="008E6789"/>
    <w:rsid w:val="008E69BB"/>
    <w:rsid w:val="008E7A8C"/>
    <w:rsid w:val="008F0130"/>
    <w:rsid w:val="00901AD6"/>
    <w:rsid w:val="0090203B"/>
    <w:rsid w:val="009031D1"/>
    <w:rsid w:val="00903285"/>
    <w:rsid w:val="00906E84"/>
    <w:rsid w:val="00906F40"/>
    <w:rsid w:val="0090731E"/>
    <w:rsid w:val="00907840"/>
    <w:rsid w:val="00907A27"/>
    <w:rsid w:val="00915B1C"/>
    <w:rsid w:val="00916656"/>
    <w:rsid w:val="00917295"/>
    <w:rsid w:val="009174F3"/>
    <w:rsid w:val="0091797D"/>
    <w:rsid w:val="00917E31"/>
    <w:rsid w:val="00920597"/>
    <w:rsid w:val="009233AE"/>
    <w:rsid w:val="00923CBA"/>
    <w:rsid w:val="00926703"/>
    <w:rsid w:val="00927691"/>
    <w:rsid w:val="00927A5F"/>
    <w:rsid w:val="00930510"/>
    <w:rsid w:val="00932628"/>
    <w:rsid w:val="00932844"/>
    <w:rsid w:val="00935B63"/>
    <w:rsid w:val="00936E95"/>
    <w:rsid w:val="0094078F"/>
    <w:rsid w:val="00940FA3"/>
    <w:rsid w:val="00941FB0"/>
    <w:rsid w:val="009426D4"/>
    <w:rsid w:val="009443FC"/>
    <w:rsid w:val="00944AA4"/>
    <w:rsid w:val="00945822"/>
    <w:rsid w:val="00946D98"/>
    <w:rsid w:val="00947F25"/>
    <w:rsid w:val="00950159"/>
    <w:rsid w:val="00951767"/>
    <w:rsid w:val="0095490B"/>
    <w:rsid w:val="0096001A"/>
    <w:rsid w:val="00960A33"/>
    <w:rsid w:val="009610FD"/>
    <w:rsid w:val="00965161"/>
    <w:rsid w:val="009663FF"/>
    <w:rsid w:val="00971914"/>
    <w:rsid w:val="00974363"/>
    <w:rsid w:val="009747D9"/>
    <w:rsid w:val="00976A73"/>
    <w:rsid w:val="00976FC5"/>
    <w:rsid w:val="00981824"/>
    <w:rsid w:val="00981898"/>
    <w:rsid w:val="00983C5F"/>
    <w:rsid w:val="00986396"/>
    <w:rsid w:val="00990C57"/>
    <w:rsid w:val="0099577C"/>
    <w:rsid w:val="00996554"/>
    <w:rsid w:val="009A021C"/>
    <w:rsid w:val="009A1CB8"/>
    <w:rsid w:val="009A25CC"/>
    <w:rsid w:val="009A48B0"/>
    <w:rsid w:val="009A5DB9"/>
    <w:rsid w:val="009B09D2"/>
    <w:rsid w:val="009B0E6E"/>
    <w:rsid w:val="009B24A5"/>
    <w:rsid w:val="009B2601"/>
    <w:rsid w:val="009B4B45"/>
    <w:rsid w:val="009B4E9E"/>
    <w:rsid w:val="009B7372"/>
    <w:rsid w:val="009C1690"/>
    <w:rsid w:val="009C2480"/>
    <w:rsid w:val="009C5333"/>
    <w:rsid w:val="009C6881"/>
    <w:rsid w:val="009C7759"/>
    <w:rsid w:val="009D043D"/>
    <w:rsid w:val="009D07C8"/>
    <w:rsid w:val="009D1ADB"/>
    <w:rsid w:val="009D36ED"/>
    <w:rsid w:val="009D4C85"/>
    <w:rsid w:val="009D6C71"/>
    <w:rsid w:val="009E0631"/>
    <w:rsid w:val="009E16D0"/>
    <w:rsid w:val="009E2051"/>
    <w:rsid w:val="009E38FD"/>
    <w:rsid w:val="009E5A98"/>
    <w:rsid w:val="009E62BD"/>
    <w:rsid w:val="009E6D1C"/>
    <w:rsid w:val="009F13D6"/>
    <w:rsid w:val="009F2391"/>
    <w:rsid w:val="009F4C6B"/>
    <w:rsid w:val="009F78A8"/>
    <w:rsid w:val="00A01005"/>
    <w:rsid w:val="00A017E0"/>
    <w:rsid w:val="00A020D6"/>
    <w:rsid w:val="00A02AD6"/>
    <w:rsid w:val="00A04BEB"/>
    <w:rsid w:val="00A07096"/>
    <w:rsid w:val="00A07318"/>
    <w:rsid w:val="00A07A6A"/>
    <w:rsid w:val="00A10C80"/>
    <w:rsid w:val="00A11370"/>
    <w:rsid w:val="00A1191E"/>
    <w:rsid w:val="00A13488"/>
    <w:rsid w:val="00A21EF3"/>
    <w:rsid w:val="00A224CE"/>
    <w:rsid w:val="00A22522"/>
    <w:rsid w:val="00A22EA1"/>
    <w:rsid w:val="00A2348C"/>
    <w:rsid w:val="00A24AFD"/>
    <w:rsid w:val="00A24F5C"/>
    <w:rsid w:val="00A2692B"/>
    <w:rsid w:val="00A27A03"/>
    <w:rsid w:val="00A324A5"/>
    <w:rsid w:val="00A32760"/>
    <w:rsid w:val="00A32F96"/>
    <w:rsid w:val="00A35688"/>
    <w:rsid w:val="00A40871"/>
    <w:rsid w:val="00A412AB"/>
    <w:rsid w:val="00A4193E"/>
    <w:rsid w:val="00A440E0"/>
    <w:rsid w:val="00A442EF"/>
    <w:rsid w:val="00A50B61"/>
    <w:rsid w:val="00A51D1A"/>
    <w:rsid w:val="00A520E3"/>
    <w:rsid w:val="00A532E0"/>
    <w:rsid w:val="00A53F6E"/>
    <w:rsid w:val="00A5418D"/>
    <w:rsid w:val="00A5474E"/>
    <w:rsid w:val="00A56C06"/>
    <w:rsid w:val="00A56E64"/>
    <w:rsid w:val="00A571CB"/>
    <w:rsid w:val="00A57AF2"/>
    <w:rsid w:val="00A62DFC"/>
    <w:rsid w:val="00A64234"/>
    <w:rsid w:val="00A645B3"/>
    <w:rsid w:val="00A658B2"/>
    <w:rsid w:val="00A70ADF"/>
    <w:rsid w:val="00A71466"/>
    <w:rsid w:val="00A71544"/>
    <w:rsid w:val="00A72D3D"/>
    <w:rsid w:val="00A74B5E"/>
    <w:rsid w:val="00A81BED"/>
    <w:rsid w:val="00A81EC4"/>
    <w:rsid w:val="00A824E8"/>
    <w:rsid w:val="00A82661"/>
    <w:rsid w:val="00A83D86"/>
    <w:rsid w:val="00A84D9C"/>
    <w:rsid w:val="00A85C35"/>
    <w:rsid w:val="00A860CB"/>
    <w:rsid w:val="00A928D8"/>
    <w:rsid w:val="00A93BF8"/>
    <w:rsid w:val="00A9437A"/>
    <w:rsid w:val="00A967FD"/>
    <w:rsid w:val="00AA2DE5"/>
    <w:rsid w:val="00AA4367"/>
    <w:rsid w:val="00AA6179"/>
    <w:rsid w:val="00AA6E72"/>
    <w:rsid w:val="00AB156C"/>
    <w:rsid w:val="00AB39A8"/>
    <w:rsid w:val="00AB6814"/>
    <w:rsid w:val="00AB7966"/>
    <w:rsid w:val="00AC04BA"/>
    <w:rsid w:val="00AC0E39"/>
    <w:rsid w:val="00AC1D47"/>
    <w:rsid w:val="00AC2A77"/>
    <w:rsid w:val="00AC47E2"/>
    <w:rsid w:val="00AC6368"/>
    <w:rsid w:val="00AD1060"/>
    <w:rsid w:val="00AD3082"/>
    <w:rsid w:val="00AD32B4"/>
    <w:rsid w:val="00AD3DFC"/>
    <w:rsid w:val="00AD4AD0"/>
    <w:rsid w:val="00AD4EF7"/>
    <w:rsid w:val="00AD5436"/>
    <w:rsid w:val="00AD60CD"/>
    <w:rsid w:val="00AD6C8C"/>
    <w:rsid w:val="00AE091D"/>
    <w:rsid w:val="00AE0BCB"/>
    <w:rsid w:val="00AE12B1"/>
    <w:rsid w:val="00AE2F38"/>
    <w:rsid w:val="00AE382F"/>
    <w:rsid w:val="00AE3B60"/>
    <w:rsid w:val="00AE53A1"/>
    <w:rsid w:val="00AE53BA"/>
    <w:rsid w:val="00AE6419"/>
    <w:rsid w:val="00AF2484"/>
    <w:rsid w:val="00AF63E7"/>
    <w:rsid w:val="00AF6E17"/>
    <w:rsid w:val="00B00873"/>
    <w:rsid w:val="00B00AD5"/>
    <w:rsid w:val="00B0165D"/>
    <w:rsid w:val="00B01B60"/>
    <w:rsid w:val="00B01EA7"/>
    <w:rsid w:val="00B031F3"/>
    <w:rsid w:val="00B04C59"/>
    <w:rsid w:val="00B052A4"/>
    <w:rsid w:val="00B053AD"/>
    <w:rsid w:val="00B0636F"/>
    <w:rsid w:val="00B11E02"/>
    <w:rsid w:val="00B125DE"/>
    <w:rsid w:val="00B13B74"/>
    <w:rsid w:val="00B13FDD"/>
    <w:rsid w:val="00B17F20"/>
    <w:rsid w:val="00B21EBC"/>
    <w:rsid w:val="00B22EB2"/>
    <w:rsid w:val="00B2338C"/>
    <w:rsid w:val="00B2373A"/>
    <w:rsid w:val="00B243C2"/>
    <w:rsid w:val="00B27442"/>
    <w:rsid w:val="00B31167"/>
    <w:rsid w:val="00B329D8"/>
    <w:rsid w:val="00B32BB9"/>
    <w:rsid w:val="00B3356A"/>
    <w:rsid w:val="00B33AE1"/>
    <w:rsid w:val="00B35583"/>
    <w:rsid w:val="00B36D9C"/>
    <w:rsid w:val="00B37C38"/>
    <w:rsid w:val="00B40A1D"/>
    <w:rsid w:val="00B4288C"/>
    <w:rsid w:val="00B43262"/>
    <w:rsid w:val="00B44100"/>
    <w:rsid w:val="00B46CBA"/>
    <w:rsid w:val="00B46F94"/>
    <w:rsid w:val="00B51884"/>
    <w:rsid w:val="00B51DB0"/>
    <w:rsid w:val="00B51FF1"/>
    <w:rsid w:val="00B521AB"/>
    <w:rsid w:val="00B527E1"/>
    <w:rsid w:val="00B531D9"/>
    <w:rsid w:val="00B5685A"/>
    <w:rsid w:val="00B6003C"/>
    <w:rsid w:val="00B61C7D"/>
    <w:rsid w:val="00B61F03"/>
    <w:rsid w:val="00B626E4"/>
    <w:rsid w:val="00B63005"/>
    <w:rsid w:val="00B63E11"/>
    <w:rsid w:val="00B72F4A"/>
    <w:rsid w:val="00B822B4"/>
    <w:rsid w:val="00B83C27"/>
    <w:rsid w:val="00B84BC3"/>
    <w:rsid w:val="00B84BDD"/>
    <w:rsid w:val="00B85399"/>
    <w:rsid w:val="00B863BC"/>
    <w:rsid w:val="00B92812"/>
    <w:rsid w:val="00B93A0F"/>
    <w:rsid w:val="00B93F42"/>
    <w:rsid w:val="00B9454A"/>
    <w:rsid w:val="00BA4585"/>
    <w:rsid w:val="00BA53C8"/>
    <w:rsid w:val="00BA66A0"/>
    <w:rsid w:val="00BA66BC"/>
    <w:rsid w:val="00BA6926"/>
    <w:rsid w:val="00BB0D67"/>
    <w:rsid w:val="00BB45A1"/>
    <w:rsid w:val="00BB6335"/>
    <w:rsid w:val="00BB7686"/>
    <w:rsid w:val="00BB7802"/>
    <w:rsid w:val="00BC23F9"/>
    <w:rsid w:val="00BC3421"/>
    <w:rsid w:val="00BC5E6F"/>
    <w:rsid w:val="00BC732C"/>
    <w:rsid w:val="00BD12D2"/>
    <w:rsid w:val="00BD3365"/>
    <w:rsid w:val="00BD4421"/>
    <w:rsid w:val="00BD7294"/>
    <w:rsid w:val="00BE0D7F"/>
    <w:rsid w:val="00BE19DD"/>
    <w:rsid w:val="00BE2580"/>
    <w:rsid w:val="00BE266D"/>
    <w:rsid w:val="00BE3938"/>
    <w:rsid w:val="00BE4C11"/>
    <w:rsid w:val="00BE5061"/>
    <w:rsid w:val="00BE71C0"/>
    <w:rsid w:val="00BE7775"/>
    <w:rsid w:val="00BF2B06"/>
    <w:rsid w:val="00BF39B9"/>
    <w:rsid w:val="00BF44D8"/>
    <w:rsid w:val="00BF610C"/>
    <w:rsid w:val="00C0060B"/>
    <w:rsid w:val="00C01A6C"/>
    <w:rsid w:val="00C0277D"/>
    <w:rsid w:val="00C02F26"/>
    <w:rsid w:val="00C0464A"/>
    <w:rsid w:val="00C053A1"/>
    <w:rsid w:val="00C05D06"/>
    <w:rsid w:val="00C06396"/>
    <w:rsid w:val="00C10F68"/>
    <w:rsid w:val="00C11703"/>
    <w:rsid w:val="00C13CA7"/>
    <w:rsid w:val="00C16198"/>
    <w:rsid w:val="00C162B7"/>
    <w:rsid w:val="00C16C1D"/>
    <w:rsid w:val="00C2083D"/>
    <w:rsid w:val="00C23FBD"/>
    <w:rsid w:val="00C24466"/>
    <w:rsid w:val="00C24A53"/>
    <w:rsid w:val="00C30AF8"/>
    <w:rsid w:val="00C310B7"/>
    <w:rsid w:val="00C34A05"/>
    <w:rsid w:val="00C35CCE"/>
    <w:rsid w:val="00C4032F"/>
    <w:rsid w:val="00C41F21"/>
    <w:rsid w:val="00C44047"/>
    <w:rsid w:val="00C45155"/>
    <w:rsid w:val="00C45318"/>
    <w:rsid w:val="00C45686"/>
    <w:rsid w:val="00C50DDB"/>
    <w:rsid w:val="00C52F5D"/>
    <w:rsid w:val="00C5498F"/>
    <w:rsid w:val="00C55235"/>
    <w:rsid w:val="00C5557C"/>
    <w:rsid w:val="00C61CDD"/>
    <w:rsid w:val="00C64CD0"/>
    <w:rsid w:val="00C65213"/>
    <w:rsid w:val="00C65F61"/>
    <w:rsid w:val="00C6684F"/>
    <w:rsid w:val="00C70A68"/>
    <w:rsid w:val="00C70E70"/>
    <w:rsid w:val="00C73338"/>
    <w:rsid w:val="00C74BED"/>
    <w:rsid w:val="00C75F8D"/>
    <w:rsid w:val="00C76A78"/>
    <w:rsid w:val="00C77380"/>
    <w:rsid w:val="00C774BA"/>
    <w:rsid w:val="00C815FA"/>
    <w:rsid w:val="00C83F50"/>
    <w:rsid w:val="00C878BA"/>
    <w:rsid w:val="00C87E8A"/>
    <w:rsid w:val="00C913D6"/>
    <w:rsid w:val="00C92FC5"/>
    <w:rsid w:val="00C93CB8"/>
    <w:rsid w:val="00C946E7"/>
    <w:rsid w:val="00C94B38"/>
    <w:rsid w:val="00C96DDC"/>
    <w:rsid w:val="00C97736"/>
    <w:rsid w:val="00CA0259"/>
    <w:rsid w:val="00CA345A"/>
    <w:rsid w:val="00CA3A83"/>
    <w:rsid w:val="00CA6347"/>
    <w:rsid w:val="00CB1E82"/>
    <w:rsid w:val="00CB4BA8"/>
    <w:rsid w:val="00CB52D7"/>
    <w:rsid w:val="00CC0369"/>
    <w:rsid w:val="00CC44AB"/>
    <w:rsid w:val="00CC6732"/>
    <w:rsid w:val="00CC7815"/>
    <w:rsid w:val="00CD05B6"/>
    <w:rsid w:val="00CD1316"/>
    <w:rsid w:val="00CD4040"/>
    <w:rsid w:val="00CD5642"/>
    <w:rsid w:val="00CD6ACF"/>
    <w:rsid w:val="00CD7A4D"/>
    <w:rsid w:val="00CE1ECD"/>
    <w:rsid w:val="00CE1F4B"/>
    <w:rsid w:val="00CE3C96"/>
    <w:rsid w:val="00CE51A8"/>
    <w:rsid w:val="00CE6386"/>
    <w:rsid w:val="00CE6BAD"/>
    <w:rsid w:val="00CE6CF2"/>
    <w:rsid w:val="00CE7754"/>
    <w:rsid w:val="00CF0BFE"/>
    <w:rsid w:val="00CF183D"/>
    <w:rsid w:val="00CF1E81"/>
    <w:rsid w:val="00CF369B"/>
    <w:rsid w:val="00CF40BD"/>
    <w:rsid w:val="00CF5C54"/>
    <w:rsid w:val="00CF6A63"/>
    <w:rsid w:val="00D00E1A"/>
    <w:rsid w:val="00D00E28"/>
    <w:rsid w:val="00D0269E"/>
    <w:rsid w:val="00D03276"/>
    <w:rsid w:val="00D05D6C"/>
    <w:rsid w:val="00D05D6E"/>
    <w:rsid w:val="00D15810"/>
    <w:rsid w:val="00D16D4E"/>
    <w:rsid w:val="00D16FE3"/>
    <w:rsid w:val="00D272A9"/>
    <w:rsid w:val="00D27F41"/>
    <w:rsid w:val="00D3137A"/>
    <w:rsid w:val="00D318AF"/>
    <w:rsid w:val="00D32DCB"/>
    <w:rsid w:val="00D36441"/>
    <w:rsid w:val="00D37D7F"/>
    <w:rsid w:val="00D4064E"/>
    <w:rsid w:val="00D40969"/>
    <w:rsid w:val="00D43B47"/>
    <w:rsid w:val="00D4404D"/>
    <w:rsid w:val="00D44E9B"/>
    <w:rsid w:val="00D457A3"/>
    <w:rsid w:val="00D47AEB"/>
    <w:rsid w:val="00D50DB9"/>
    <w:rsid w:val="00D51302"/>
    <w:rsid w:val="00D529C0"/>
    <w:rsid w:val="00D52C43"/>
    <w:rsid w:val="00D53A56"/>
    <w:rsid w:val="00D60193"/>
    <w:rsid w:val="00D61243"/>
    <w:rsid w:val="00D6283B"/>
    <w:rsid w:val="00D6291B"/>
    <w:rsid w:val="00D6507F"/>
    <w:rsid w:val="00D6632C"/>
    <w:rsid w:val="00D67E63"/>
    <w:rsid w:val="00D730BC"/>
    <w:rsid w:val="00D73912"/>
    <w:rsid w:val="00D73CB1"/>
    <w:rsid w:val="00D74293"/>
    <w:rsid w:val="00D77419"/>
    <w:rsid w:val="00D77DD5"/>
    <w:rsid w:val="00D802FF"/>
    <w:rsid w:val="00D819C1"/>
    <w:rsid w:val="00D8402A"/>
    <w:rsid w:val="00D849CD"/>
    <w:rsid w:val="00D85226"/>
    <w:rsid w:val="00D87B94"/>
    <w:rsid w:val="00D87E4B"/>
    <w:rsid w:val="00D91126"/>
    <w:rsid w:val="00D91BB4"/>
    <w:rsid w:val="00D91BDD"/>
    <w:rsid w:val="00D92D49"/>
    <w:rsid w:val="00D92EC1"/>
    <w:rsid w:val="00D93740"/>
    <w:rsid w:val="00D96DEA"/>
    <w:rsid w:val="00D97EA3"/>
    <w:rsid w:val="00DA0EC2"/>
    <w:rsid w:val="00DA1663"/>
    <w:rsid w:val="00DA4E41"/>
    <w:rsid w:val="00DA5460"/>
    <w:rsid w:val="00DB117A"/>
    <w:rsid w:val="00DB248E"/>
    <w:rsid w:val="00DB3BA1"/>
    <w:rsid w:val="00DB5173"/>
    <w:rsid w:val="00DB6002"/>
    <w:rsid w:val="00DB7873"/>
    <w:rsid w:val="00DC0334"/>
    <w:rsid w:val="00DC1139"/>
    <w:rsid w:val="00DC187B"/>
    <w:rsid w:val="00DC2490"/>
    <w:rsid w:val="00DC5411"/>
    <w:rsid w:val="00DD1A43"/>
    <w:rsid w:val="00DD30B0"/>
    <w:rsid w:val="00DD5548"/>
    <w:rsid w:val="00DD646A"/>
    <w:rsid w:val="00DD64D1"/>
    <w:rsid w:val="00DD73C2"/>
    <w:rsid w:val="00DE0B95"/>
    <w:rsid w:val="00DE288D"/>
    <w:rsid w:val="00DE319B"/>
    <w:rsid w:val="00DE3A51"/>
    <w:rsid w:val="00DE4988"/>
    <w:rsid w:val="00DE629C"/>
    <w:rsid w:val="00DE68B3"/>
    <w:rsid w:val="00DE7013"/>
    <w:rsid w:val="00DF2E2F"/>
    <w:rsid w:val="00DF34FE"/>
    <w:rsid w:val="00DF56AA"/>
    <w:rsid w:val="00DF56AF"/>
    <w:rsid w:val="00DF5FDD"/>
    <w:rsid w:val="00DF64EF"/>
    <w:rsid w:val="00DF78E7"/>
    <w:rsid w:val="00E04F24"/>
    <w:rsid w:val="00E05CA7"/>
    <w:rsid w:val="00E05DF6"/>
    <w:rsid w:val="00E110E0"/>
    <w:rsid w:val="00E12E6B"/>
    <w:rsid w:val="00E15371"/>
    <w:rsid w:val="00E1577E"/>
    <w:rsid w:val="00E162C4"/>
    <w:rsid w:val="00E17F5F"/>
    <w:rsid w:val="00E20D64"/>
    <w:rsid w:val="00E20DB6"/>
    <w:rsid w:val="00E21056"/>
    <w:rsid w:val="00E2154A"/>
    <w:rsid w:val="00E221EF"/>
    <w:rsid w:val="00E24104"/>
    <w:rsid w:val="00E27B42"/>
    <w:rsid w:val="00E302D0"/>
    <w:rsid w:val="00E33004"/>
    <w:rsid w:val="00E3428B"/>
    <w:rsid w:val="00E35707"/>
    <w:rsid w:val="00E36AA1"/>
    <w:rsid w:val="00E41827"/>
    <w:rsid w:val="00E41ECB"/>
    <w:rsid w:val="00E42676"/>
    <w:rsid w:val="00E458AE"/>
    <w:rsid w:val="00E45DBB"/>
    <w:rsid w:val="00E47CD3"/>
    <w:rsid w:val="00E507C8"/>
    <w:rsid w:val="00E5426D"/>
    <w:rsid w:val="00E54FDB"/>
    <w:rsid w:val="00E5617D"/>
    <w:rsid w:val="00E563D7"/>
    <w:rsid w:val="00E56B46"/>
    <w:rsid w:val="00E5727E"/>
    <w:rsid w:val="00E6121D"/>
    <w:rsid w:val="00E634A7"/>
    <w:rsid w:val="00E64F9A"/>
    <w:rsid w:val="00E663F4"/>
    <w:rsid w:val="00E666F2"/>
    <w:rsid w:val="00E66DD4"/>
    <w:rsid w:val="00E670C1"/>
    <w:rsid w:val="00E67127"/>
    <w:rsid w:val="00E67C5B"/>
    <w:rsid w:val="00E715C1"/>
    <w:rsid w:val="00E71872"/>
    <w:rsid w:val="00E7256D"/>
    <w:rsid w:val="00E748CC"/>
    <w:rsid w:val="00E74F15"/>
    <w:rsid w:val="00E75415"/>
    <w:rsid w:val="00E764DC"/>
    <w:rsid w:val="00E76C70"/>
    <w:rsid w:val="00E775B1"/>
    <w:rsid w:val="00E77682"/>
    <w:rsid w:val="00E810A7"/>
    <w:rsid w:val="00E8152A"/>
    <w:rsid w:val="00E85EB3"/>
    <w:rsid w:val="00E93629"/>
    <w:rsid w:val="00E93B5C"/>
    <w:rsid w:val="00E94CEC"/>
    <w:rsid w:val="00E95577"/>
    <w:rsid w:val="00E9591E"/>
    <w:rsid w:val="00EA04EF"/>
    <w:rsid w:val="00EA0969"/>
    <w:rsid w:val="00EA1196"/>
    <w:rsid w:val="00EA195F"/>
    <w:rsid w:val="00EA3EB7"/>
    <w:rsid w:val="00EA5304"/>
    <w:rsid w:val="00EA53C3"/>
    <w:rsid w:val="00EA6C79"/>
    <w:rsid w:val="00EA6F19"/>
    <w:rsid w:val="00EA7CF6"/>
    <w:rsid w:val="00EB0A28"/>
    <w:rsid w:val="00EB504F"/>
    <w:rsid w:val="00EB7090"/>
    <w:rsid w:val="00EC1BBE"/>
    <w:rsid w:val="00EC2B68"/>
    <w:rsid w:val="00EC3AEF"/>
    <w:rsid w:val="00EC3CB8"/>
    <w:rsid w:val="00EC5CD7"/>
    <w:rsid w:val="00EC7CD0"/>
    <w:rsid w:val="00ED0098"/>
    <w:rsid w:val="00ED0330"/>
    <w:rsid w:val="00ED4BAE"/>
    <w:rsid w:val="00EE5FB3"/>
    <w:rsid w:val="00EE7F79"/>
    <w:rsid w:val="00EF3DC4"/>
    <w:rsid w:val="00EF4B40"/>
    <w:rsid w:val="00EF6A52"/>
    <w:rsid w:val="00EF715A"/>
    <w:rsid w:val="00EF7ADC"/>
    <w:rsid w:val="00EF7FFD"/>
    <w:rsid w:val="00F00E55"/>
    <w:rsid w:val="00F02BF5"/>
    <w:rsid w:val="00F02C76"/>
    <w:rsid w:val="00F03219"/>
    <w:rsid w:val="00F063CC"/>
    <w:rsid w:val="00F06E14"/>
    <w:rsid w:val="00F0767F"/>
    <w:rsid w:val="00F07932"/>
    <w:rsid w:val="00F07A41"/>
    <w:rsid w:val="00F07F5B"/>
    <w:rsid w:val="00F10E7B"/>
    <w:rsid w:val="00F136B5"/>
    <w:rsid w:val="00F13BE7"/>
    <w:rsid w:val="00F14627"/>
    <w:rsid w:val="00F160DB"/>
    <w:rsid w:val="00F179D4"/>
    <w:rsid w:val="00F20B32"/>
    <w:rsid w:val="00F22A23"/>
    <w:rsid w:val="00F22B9A"/>
    <w:rsid w:val="00F23B24"/>
    <w:rsid w:val="00F23D3E"/>
    <w:rsid w:val="00F24F50"/>
    <w:rsid w:val="00F2675A"/>
    <w:rsid w:val="00F310E2"/>
    <w:rsid w:val="00F326FA"/>
    <w:rsid w:val="00F32D49"/>
    <w:rsid w:val="00F33C56"/>
    <w:rsid w:val="00F342A4"/>
    <w:rsid w:val="00F347C7"/>
    <w:rsid w:val="00F34848"/>
    <w:rsid w:val="00F35985"/>
    <w:rsid w:val="00F361D7"/>
    <w:rsid w:val="00F37E61"/>
    <w:rsid w:val="00F40574"/>
    <w:rsid w:val="00F40786"/>
    <w:rsid w:val="00F42D46"/>
    <w:rsid w:val="00F433D7"/>
    <w:rsid w:val="00F4496C"/>
    <w:rsid w:val="00F44F3A"/>
    <w:rsid w:val="00F51F10"/>
    <w:rsid w:val="00F529A5"/>
    <w:rsid w:val="00F5310D"/>
    <w:rsid w:val="00F55078"/>
    <w:rsid w:val="00F60F00"/>
    <w:rsid w:val="00F614C0"/>
    <w:rsid w:val="00F61803"/>
    <w:rsid w:val="00F66459"/>
    <w:rsid w:val="00F6743E"/>
    <w:rsid w:val="00F70D53"/>
    <w:rsid w:val="00F73132"/>
    <w:rsid w:val="00F77346"/>
    <w:rsid w:val="00F81A51"/>
    <w:rsid w:val="00F825BC"/>
    <w:rsid w:val="00F83848"/>
    <w:rsid w:val="00F857C3"/>
    <w:rsid w:val="00F90EFD"/>
    <w:rsid w:val="00F916FB"/>
    <w:rsid w:val="00F91DDA"/>
    <w:rsid w:val="00F930A0"/>
    <w:rsid w:val="00F968CB"/>
    <w:rsid w:val="00F975E9"/>
    <w:rsid w:val="00FA1B7D"/>
    <w:rsid w:val="00FB1F9D"/>
    <w:rsid w:val="00FB46E7"/>
    <w:rsid w:val="00FC07B9"/>
    <w:rsid w:val="00FC1DEB"/>
    <w:rsid w:val="00FC2AF9"/>
    <w:rsid w:val="00FC4E21"/>
    <w:rsid w:val="00FC5F6D"/>
    <w:rsid w:val="00FD0107"/>
    <w:rsid w:val="00FD0F72"/>
    <w:rsid w:val="00FD15D0"/>
    <w:rsid w:val="00FD2662"/>
    <w:rsid w:val="00FD2C2F"/>
    <w:rsid w:val="00FD3B31"/>
    <w:rsid w:val="00FD7836"/>
    <w:rsid w:val="00FD7C20"/>
    <w:rsid w:val="00FE1823"/>
    <w:rsid w:val="00FE1926"/>
    <w:rsid w:val="00FE487A"/>
    <w:rsid w:val="00FE4936"/>
    <w:rsid w:val="00FF0569"/>
    <w:rsid w:val="00FF0C7C"/>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654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tabs>
        <w:tab w:val="clear" w:pos="1673"/>
        <w:tab w:val="num" w:pos="964"/>
      </w:tabs>
      <w:spacing w:after="0"/>
      <w:ind w:left="964"/>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
    <w:basedOn w:val="DefaultParagraphFont"/>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tabs>
        <w:tab w:val="clear" w:pos="2382"/>
        <w:tab w:val="num" w:pos="964"/>
      </w:tabs>
      <w:spacing w:after="160"/>
      <w:ind w:left="964"/>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uiPriority w:val="34"/>
    <w:qFormat/>
    <w:rsid w:val="00421A4A"/>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EndnoteText">
    <w:name w:val="endnote text"/>
    <w:basedOn w:val="Normal"/>
    <w:link w:val="EndnoteTextChar"/>
    <w:semiHidden/>
    <w:unhideWhenUsed/>
    <w:rsid w:val="004A29A0"/>
    <w:pPr>
      <w:spacing w:after="0" w:line="240" w:lineRule="auto"/>
    </w:pPr>
    <w:rPr>
      <w:szCs w:val="20"/>
    </w:rPr>
  </w:style>
  <w:style w:type="character" w:customStyle="1" w:styleId="EndnoteTextChar">
    <w:name w:val="Endnote Text Char"/>
    <w:basedOn w:val="DefaultParagraphFont"/>
    <w:link w:val="EndnoteText"/>
    <w:semiHidden/>
    <w:rsid w:val="004A29A0"/>
    <w:rPr>
      <w:rFonts w:ascii="Arial" w:hAnsi="Arial"/>
      <w:sz w:val="20"/>
      <w:szCs w:val="20"/>
    </w:rPr>
  </w:style>
  <w:style w:type="character" w:styleId="EndnoteReference">
    <w:name w:val="endnote reference"/>
    <w:basedOn w:val="DefaultParagraphFont"/>
    <w:semiHidden/>
    <w:unhideWhenUsed/>
    <w:rsid w:val="004A29A0"/>
    <w:rPr>
      <w:vertAlign w:val="superscript"/>
    </w:rPr>
  </w:style>
  <w:style w:type="table" w:customStyle="1" w:styleId="TableGrid0">
    <w:name w:val="TableGrid"/>
    <w:rsid w:val="000D2AF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f01">
    <w:name w:val="cf01"/>
    <w:basedOn w:val="DefaultParagraphFont"/>
    <w:rsid w:val="00861A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42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25688738">
      <w:bodyDiv w:val="1"/>
      <w:marLeft w:val="0"/>
      <w:marRight w:val="0"/>
      <w:marTop w:val="0"/>
      <w:marBottom w:val="0"/>
      <w:divBdr>
        <w:top w:val="none" w:sz="0" w:space="0" w:color="auto"/>
        <w:left w:val="none" w:sz="0" w:space="0" w:color="auto"/>
        <w:bottom w:val="none" w:sz="0" w:space="0" w:color="auto"/>
        <w:right w:val="none" w:sz="0" w:space="0" w:color="auto"/>
      </w:divBdr>
    </w:div>
    <w:div w:id="564880448">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00796437">
      <w:bodyDiv w:val="1"/>
      <w:marLeft w:val="0"/>
      <w:marRight w:val="0"/>
      <w:marTop w:val="0"/>
      <w:marBottom w:val="0"/>
      <w:divBdr>
        <w:top w:val="none" w:sz="0" w:space="0" w:color="auto"/>
        <w:left w:val="none" w:sz="0" w:space="0" w:color="auto"/>
        <w:bottom w:val="none" w:sz="0" w:space="0" w:color="auto"/>
        <w:right w:val="none" w:sz="0" w:space="0" w:color="auto"/>
      </w:divBdr>
    </w:div>
    <w:div w:id="803276108">
      <w:bodyDiv w:val="1"/>
      <w:marLeft w:val="0"/>
      <w:marRight w:val="0"/>
      <w:marTop w:val="0"/>
      <w:marBottom w:val="0"/>
      <w:divBdr>
        <w:top w:val="none" w:sz="0" w:space="0" w:color="auto"/>
        <w:left w:val="none" w:sz="0" w:space="0" w:color="auto"/>
        <w:bottom w:val="none" w:sz="0" w:space="0" w:color="auto"/>
        <w:right w:val="none" w:sz="0" w:space="0" w:color="auto"/>
      </w:divBdr>
    </w:div>
    <w:div w:id="811407282">
      <w:bodyDiv w:val="1"/>
      <w:marLeft w:val="0"/>
      <w:marRight w:val="0"/>
      <w:marTop w:val="0"/>
      <w:marBottom w:val="0"/>
      <w:divBdr>
        <w:top w:val="none" w:sz="0" w:space="0" w:color="auto"/>
        <w:left w:val="none" w:sz="0" w:space="0" w:color="auto"/>
        <w:bottom w:val="none" w:sz="0" w:space="0" w:color="auto"/>
        <w:right w:val="none" w:sz="0" w:space="0" w:color="auto"/>
      </w:divBdr>
    </w:div>
    <w:div w:id="838038827">
      <w:bodyDiv w:val="1"/>
      <w:marLeft w:val="0"/>
      <w:marRight w:val="0"/>
      <w:marTop w:val="0"/>
      <w:marBottom w:val="0"/>
      <w:divBdr>
        <w:top w:val="none" w:sz="0" w:space="0" w:color="auto"/>
        <w:left w:val="none" w:sz="0" w:space="0" w:color="auto"/>
        <w:bottom w:val="none" w:sz="0" w:space="0" w:color="auto"/>
        <w:right w:val="none" w:sz="0" w:space="0" w:color="auto"/>
      </w:divBdr>
    </w:div>
    <w:div w:id="1059354545">
      <w:bodyDiv w:val="1"/>
      <w:marLeft w:val="0"/>
      <w:marRight w:val="0"/>
      <w:marTop w:val="0"/>
      <w:marBottom w:val="0"/>
      <w:divBdr>
        <w:top w:val="none" w:sz="0" w:space="0" w:color="auto"/>
        <w:left w:val="none" w:sz="0" w:space="0" w:color="auto"/>
        <w:bottom w:val="none" w:sz="0" w:space="0" w:color="auto"/>
        <w:right w:val="none" w:sz="0" w:space="0" w:color="auto"/>
      </w:divBdr>
    </w:div>
    <w:div w:id="1070158744">
      <w:bodyDiv w:val="1"/>
      <w:marLeft w:val="0"/>
      <w:marRight w:val="0"/>
      <w:marTop w:val="0"/>
      <w:marBottom w:val="0"/>
      <w:divBdr>
        <w:top w:val="none" w:sz="0" w:space="0" w:color="auto"/>
        <w:left w:val="none" w:sz="0" w:space="0" w:color="auto"/>
        <w:bottom w:val="none" w:sz="0" w:space="0" w:color="auto"/>
        <w:right w:val="none" w:sz="0" w:space="0" w:color="auto"/>
      </w:divBdr>
    </w:div>
    <w:div w:id="1094781813">
      <w:bodyDiv w:val="1"/>
      <w:marLeft w:val="0"/>
      <w:marRight w:val="0"/>
      <w:marTop w:val="0"/>
      <w:marBottom w:val="0"/>
      <w:divBdr>
        <w:top w:val="none" w:sz="0" w:space="0" w:color="auto"/>
        <w:left w:val="none" w:sz="0" w:space="0" w:color="auto"/>
        <w:bottom w:val="none" w:sz="0" w:space="0" w:color="auto"/>
        <w:right w:val="none" w:sz="0" w:space="0" w:color="auto"/>
      </w:divBdr>
    </w:div>
    <w:div w:id="1103498477">
      <w:bodyDiv w:val="1"/>
      <w:marLeft w:val="0"/>
      <w:marRight w:val="0"/>
      <w:marTop w:val="0"/>
      <w:marBottom w:val="0"/>
      <w:divBdr>
        <w:top w:val="none" w:sz="0" w:space="0" w:color="auto"/>
        <w:left w:val="none" w:sz="0" w:space="0" w:color="auto"/>
        <w:bottom w:val="none" w:sz="0" w:space="0" w:color="auto"/>
        <w:right w:val="none" w:sz="0" w:space="0" w:color="auto"/>
      </w:divBdr>
    </w:div>
    <w:div w:id="1144662575">
      <w:bodyDiv w:val="1"/>
      <w:marLeft w:val="0"/>
      <w:marRight w:val="0"/>
      <w:marTop w:val="0"/>
      <w:marBottom w:val="0"/>
      <w:divBdr>
        <w:top w:val="none" w:sz="0" w:space="0" w:color="auto"/>
        <w:left w:val="none" w:sz="0" w:space="0" w:color="auto"/>
        <w:bottom w:val="none" w:sz="0" w:space="0" w:color="auto"/>
        <w:right w:val="none" w:sz="0" w:space="0" w:color="auto"/>
      </w:divBdr>
    </w:div>
    <w:div w:id="1149519257">
      <w:bodyDiv w:val="1"/>
      <w:marLeft w:val="0"/>
      <w:marRight w:val="0"/>
      <w:marTop w:val="0"/>
      <w:marBottom w:val="0"/>
      <w:divBdr>
        <w:top w:val="none" w:sz="0" w:space="0" w:color="auto"/>
        <w:left w:val="none" w:sz="0" w:space="0" w:color="auto"/>
        <w:bottom w:val="none" w:sz="0" w:space="0" w:color="auto"/>
        <w:right w:val="none" w:sz="0" w:space="0" w:color="auto"/>
      </w:divBdr>
    </w:div>
    <w:div w:id="122206048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59003876">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65112426">
      <w:bodyDiv w:val="1"/>
      <w:marLeft w:val="0"/>
      <w:marRight w:val="0"/>
      <w:marTop w:val="0"/>
      <w:marBottom w:val="0"/>
      <w:divBdr>
        <w:top w:val="none" w:sz="0" w:space="0" w:color="auto"/>
        <w:left w:val="none" w:sz="0" w:space="0" w:color="auto"/>
        <w:bottom w:val="none" w:sz="0" w:space="0" w:color="auto"/>
        <w:right w:val="none" w:sz="0" w:space="0" w:color="auto"/>
      </w:divBdr>
    </w:div>
    <w:div w:id="2114471229">
      <w:bodyDiv w:val="1"/>
      <w:marLeft w:val="0"/>
      <w:marRight w:val="0"/>
      <w:marTop w:val="0"/>
      <w:marBottom w:val="0"/>
      <w:divBdr>
        <w:top w:val="none" w:sz="0" w:space="0" w:color="auto"/>
        <w:left w:val="none" w:sz="0" w:space="0" w:color="auto"/>
        <w:bottom w:val="none" w:sz="0" w:space="0" w:color="auto"/>
        <w:right w:val="none" w:sz="0" w:space="0" w:color="auto"/>
      </w:divBdr>
    </w:div>
    <w:div w:id="21167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view.officeapps.live.com/op/view.aspx?src=https%3A%2F%2Fwww.acma.gov.au%2Fsites%2Fdefault%2Ffiles%2F2020-07%2FRALI%2520MS%252040.docx&amp;wdOrigin=BROWSELINK" TargetMode="External"/><Relationship Id="rId39" Type="http://schemas.openxmlformats.org/officeDocument/2006/relationships/chart" Target="charts/chart2.xml"/><Relationship Id="rId21" Type="http://schemas.openxmlformats.org/officeDocument/2006/relationships/footer" Target="footer4.xml"/><Relationship Id="rId34" Type="http://schemas.openxmlformats.org/officeDocument/2006/relationships/hyperlink" Target="https://www.acma.gov.au/sites/default/files/2019-11/RALI%20FX03%20-%20Appendix%201%20-%20Annex%20A%20pdf.pdf" TargetMode="External"/><Relationship Id="rId42" Type="http://schemas.openxmlformats.org/officeDocument/2006/relationships/hyperlink" Target="mailto:freqplan@acma.gov.au" TargetMode="Externa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ma.gov.au/consultations/2022-11/proposal-remake-instruments-700-mhz-1800-mhz-25-ghz-and-25-ghz-mid-band-gap-spectrum-licensed-bands-consultation-362022" TargetMode="External"/><Relationship Id="rId11" Type="http://schemas.openxmlformats.org/officeDocument/2006/relationships/hyperlink" Target="http://i.creativecommons.org/l/by/3.0/88x31.png" TargetMode="External"/><Relationship Id="rId24" Type="http://schemas.openxmlformats.org/officeDocument/2006/relationships/hyperlink" Target="https://view.officeapps.live.com/op/view.aspx?src=https%3A%2F%2Fwww.acma.gov.au%2Fsites%2Fdefault%2Ffiles%2F2019-12%2FThe%2520ACMAs%2520long-term%2520strategy%2520for%2520the%2520803960%2520MHz%2520band_decision%2520paper.docx&amp;wdOrigin=BROWSELINK" TargetMode="External"/><Relationship Id="rId32" Type="http://schemas.openxmlformats.org/officeDocument/2006/relationships/hyperlink" Target="https://www.etsi.org/deliver/etsi_en/302500_302599/302561/02.01.01_60/en_302561v020101p.pdf" TargetMode="External"/><Relationship Id="rId37" Type="http://schemas.openxmlformats.org/officeDocument/2006/relationships/hyperlink" Target="https://www.itu.int/dms_pub/itu-r/opb/rep/R-REP-F.2108-2007-PDF-E.pdf" TargetMode="External"/><Relationship Id="rId40" Type="http://schemas.openxmlformats.org/officeDocument/2006/relationships/chart" Target="charts/chart3.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4.gif"/><Relationship Id="rId36" Type="http://schemas.openxmlformats.org/officeDocument/2006/relationships/hyperlink" Target="https://www.itu.int/dms_pubrec/itu-r/rec/f/R-REC-F.758-5-201203-S!!PDF-E.pdf"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etsi.org/deliver/etsi_en/300100_300199/300113/02.02.01_60/en_300113v020201p.pdf" TargetMode="External"/><Relationship Id="rId44" Type="http://schemas.openxmlformats.org/officeDocument/2006/relationships/hyperlink" Target="https://www.acma.gov.au/privac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spectrum-allocation-and-auction-summary-850900-mhz-band-2021" TargetMode="External"/><Relationship Id="rId30" Type="http://schemas.openxmlformats.org/officeDocument/2006/relationships/hyperlink" Target="https://www.acma.gov.au/node/4124" TargetMode="External"/><Relationship Id="rId35" Type="http://schemas.openxmlformats.org/officeDocument/2006/relationships/hyperlink" Target="https://www.itu.int/dms_pub/itu-r/opb/rep/R-REP-F.2108-2007-PDF-E.pdf" TargetMode="External"/><Relationship Id="rId43" Type="http://schemas.openxmlformats.org/officeDocument/2006/relationships/hyperlink" Target="https://www.acma.gov.au/publication-submissions" TargetMode="External"/><Relationship Id="rId48"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Series/F2020L01407" TargetMode="External"/><Relationship Id="rId33" Type="http://schemas.openxmlformats.org/officeDocument/2006/relationships/hyperlink" Target="https://www.itu.int/dms_pubrec/itu-r/rec/f/R-REC-F.758-5-201203-S!!PDF-E.pdf" TargetMode="External"/><Relationship Id="rId38" Type="http://schemas.openxmlformats.org/officeDocument/2006/relationships/chart" Target="charts/chart1.xml"/><Relationship Id="rId46" Type="http://schemas.openxmlformats.org/officeDocument/2006/relationships/header" Target="header8.xml"/><Relationship Id="rId20" Type="http://schemas.openxmlformats.org/officeDocument/2006/relationships/header" Target="header6.xml"/><Relationship Id="rId41" Type="http://schemas.openxmlformats.org/officeDocument/2006/relationships/hyperlink" Target="https://www.acma.gov.au/have-your-sa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sites/default/files/2019-11/RALI%20FX03%20Protection%20Ratios%20Assumptions%20and%20Methodology.pdf" TargetMode="External"/><Relationship Id="rId2" Type="http://schemas.openxmlformats.org/officeDocument/2006/relationships/hyperlink" Target="https://www.legislation.gov.au/Series/F2021L01148" TargetMode="External"/><Relationship Id="rId1" Type="http://schemas.openxmlformats.org/officeDocument/2006/relationships/hyperlink" Target="https://www.legislation.gov.au/Series/F2023L002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collaboration/organisation/cid/speb/SNIP/Shared%20Documents/800_900%20MHz%20Review/Implementation/Updates%20for%20milestone%205/700%20MHz%20SL%20and%20800%20MHZ%20TLMS%20issue/Protection%20Ratio%20for%20Fixed%20Links%20in%20800%20MHz%20band/Protection%25"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collaboration/organisation/cid/speb/SNIP/Shared%20Documents/800_900%20MHz%20Review/Implementation/Updates%20for%20milestone%205/700%20MHz%20SL%20and%20800%20MHZ%20TLMS%20issue/Protection%20Ratio%20for%20Fixed%20Links%20in%20800%20MHz%20band/Protection%25"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collaboration/organisation/cid/speb/SNIP/Shared%20Documents/800_900%20MHz%20Review/Implementation/Updates%20for%20milestone%205/700%20MHz%20SL%20and%20800%20MHZ%20TLMS%20issue/Protection%20Ratio%20for%20Fixed%20Links%20in%20800%20MHz%20band/Protection%25"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12501284413791"/>
          <c:y val="5.640868075563598E-2"/>
          <c:w val="0.81548982614796917"/>
          <c:h val="0.85214928013574398"/>
        </c:manualLayout>
      </c:layout>
      <c:lineChart>
        <c:grouping val="standard"/>
        <c:varyColors val="0"/>
        <c:ser>
          <c:idx val="3"/>
          <c:order val="3"/>
          <c:tx>
            <c:strRef>
              <c:f>'[Protection Ratio Calculations.xlsx]Plots for FX22'!$D$16</c:f>
              <c:strCache>
                <c:ptCount val="1"/>
                <c:pt idx="0">
                  <c:v>Protection Ratios for Narrow Band links (&lt;100kHz)</c:v>
                </c:pt>
              </c:strCache>
            </c:strRef>
          </c:tx>
          <c:spPr>
            <a:ln w="19050" cap="rnd">
              <a:solidFill>
                <a:schemeClr val="tx1"/>
              </a:solidFill>
              <a:prstDash val="dash"/>
              <a:round/>
            </a:ln>
            <a:effectLst/>
          </c:spPr>
          <c:marker>
            <c:symbol val="none"/>
          </c:marker>
          <c:cat>
            <c:numRef>
              <c:f>'[Protection Ratio Calculations.xlsx]Plots for FX22'!$E$3:$P$3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'[Protection Ratio Calculations.xlsx]Plots for FX22'!$E$16:$P$16</c:f>
              <c:numCache>
                <c:formatCode>General</c:formatCode>
                <c:ptCount val="12"/>
                <c:pt idx="0">
                  <c:v>30</c:v>
                </c:pt>
                <c:pt idx="1">
                  <c:v>30</c:v>
                </c:pt>
                <c:pt idx="2">
                  <c:v>30</c:v>
                </c:pt>
                <c:pt idx="3">
                  <c:v>30</c:v>
                </c:pt>
                <c:pt idx="4">
                  <c:v>30</c:v>
                </c:pt>
                <c:pt idx="5">
                  <c:v>30</c:v>
                </c:pt>
                <c:pt idx="6">
                  <c:v>30</c:v>
                </c:pt>
                <c:pt idx="7">
                  <c:v>30</c:v>
                </c:pt>
                <c:pt idx="8">
                  <c:v>30</c:v>
                </c:pt>
                <c:pt idx="9">
                  <c:v>30</c:v>
                </c:pt>
                <c:pt idx="10">
                  <c:v>30</c:v>
                </c:pt>
                <c:pt idx="11">
                  <c:v>30</c:v>
                </c:pt>
              </c:numCache>
            </c:numRef>
          </c:val>
          <c:smooth val="0"/>
          <c:extLst>
            <c:ext xmlns:c16="http://schemas.microsoft.com/office/drawing/2014/chart" uri="{C3380CC4-5D6E-409C-BE32-E72D297353CC}">
              <c16:uniqueId val="{00000000-30D5-4E12-A6AB-AF1FAC7D8CDA}"/>
            </c:ext>
          </c:extLst>
        </c:ser>
        <c:ser>
          <c:idx val="4"/>
          <c:order val="4"/>
          <c:tx>
            <c:strRef>
              <c:f>'[Protection Ratio Calculations.xlsx]Plots for FX22'!$C$5:$D$5</c:f>
              <c:strCache>
                <c:ptCount val="2"/>
                <c:pt idx="0">
                  <c:v>PL=20:</c:v>
                </c:pt>
                <c:pt idx="1">
                  <c:v>4-QAM / 64 kbit/s </c:v>
                </c:pt>
              </c:strCache>
            </c:strRef>
          </c:tx>
          <c:spPr>
            <a:ln w="12700" cap="rnd">
              <a:solidFill>
                <a:srgbClr val="92D050"/>
              </a:solidFill>
              <a:round/>
            </a:ln>
            <a:effectLst/>
          </c:spPr>
          <c:marker>
            <c:symbol val="none"/>
          </c:marker>
          <c:val>
            <c:numRef>
              <c:f>'[Protection Ratio Calculations.xlsx]Plots for FX22'!$E$5:$P$5</c:f>
              <c:numCache>
                <c:formatCode>0</c:formatCode>
                <c:ptCount val="12"/>
                <c:pt idx="0">
                  <c:v>32.491205401846642</c:v>
                </c:pt>
                <c:pt idx="1">
                  <c:v>43.328285245749953</c:v>
                </c:pt>
                <c:pt idx="2">
                  <c:v>49.667570571754482</c:v>
                </c:pt>
                <c:pt idx="3">
                  <c:v>54.165365089653278</c:v>
                </c:pt>
                <c:pt idx="4">
                  <c:v>57.654125557943317</c:v>
                </c:pt>
                <c:pt idx="5">
                  <c:v>60.504650415657807</c:v>
                </c:pt>
                <c:pt idx="6">
                  <c:v>62.914734842359891</c:v>
                </c:pt>
                <c:pt idx="7">
                  <c:v>65.002444933556603</c:v>
                </c:pt>
                <c:pt idx="8">
                  <c:v>66.843935741662335</c:v>
                </c:pt>
                <c:pt idx="9">
                  <c:v>68.491205401846642</c:v>
                </c:pt>
                <c:pt idx="10">
                  <c:v>69.981342067542755</c:v>
                </c:pt>
                <c:pt idx="11">
                  <c:v>71.341730259561118</c:v>
                </c:pt>
              </c:numCache>
            </c:numRef>
          </c:val>
          <c:smooth val="0"/>
          <c:extLst>
            <c:ext xmlns:c16="http://schemas.microsoft.com/office/drawing/2014/chart" uri="{C3380CC4-5D6E-409C-BE32-E72D297353CC}">
              <c16:uniqueId val="{00000001-30D5-4E12-A6AB-AF1FAC7D8CDA}"/>
            </c:ext>
          </c:extLst>
        </c:ser>
        <c:ser>
          <c:idx val="6"/>
          <c:order val="5"/>
          <c:tx>
            <c:strRef>
              <c:f>'[Protection Ratio Calculations.xlsx]Plots for FX22'!$C$6:$D$6</c:f>
              <c:strCache>
                <c:ptCount val="2"/>
                <c:pt idx="0">
                  <c:v>PL=10:</c:v>
                </c:pt>
                <c:pt idx="1">
                  <c:v>4-QAM / 64 kbit/s </c:v>
                </c:pt>
              </c:strCache>
            </c:strRef>
          </c:tx>
          <c:spPr>
            <a:ln w="12700" cap="rnd">
              <a:solidFill>
                <a:srgbClr val="00B0F0"/>
              </a:solidFill>
              <a:round/>
            </a:ln>
            <a:effectLst/>
          </c:spPr>
          <c:marker>
            <c:symbol val="none"/>
          </c:marker>
          <c:val>
            <c:numRef>
              <c:f>'[Protection Ratio Calculations.xlsx]Plots for FX22'!$E$6:$P$6</c:f>
              <c:numCache>
                <c:formatCode>0</c:formatCode>
                <c:ptCount val="12"/>
                <c:pt idx="0">
                  <c:v>27.975755466886923</c:v>
                </c:pt>
                <c:pt idx="1">
                  <c:v>38.812835310790234</c:v>
                </c:pt>
                <c:pt idx="2">
                  <c:v>45.152120636794777</c:v>
                </c:pt>
                <c:pt idx="3">
                  <c:v>49.649915154693559</c:v>
                </c:pt>
                <c:pt idx="4">
                  <c:v>53.138675622983598</c:v>
                </c:pt>
                <c:pt idx="5">
                  <c:v>55.989200480698088</c:v>
                </c:pt>
                <c:pt idx="6">
                  <c:v>58.399284907400173</c:v>
                </c:pt>
                <c:pt idx="7">
                  <c:v>60.486994998596884</c:v>
                </c:pt>
                <c:pt idx="8">
                  <c:v>62.328485806702616</c:v>
                </c:pt>
                <c:pt idx="9">
                  <c:v>63.975755466886923</c:v>
                </c:pt>
                <c:pt idx="10">
                  <c:v>65.465892132583036</c:v>
                </c:pt>
                <c:pt idx="11">
                  <c:v>66.826280324601413</c:v>
                </c:pt>
              </c:numCache>
            </c:numRef>
          </c:val>
          <c:smooth val="0"/>
          <c:extLst>
            <c:ext xmlns:c16="http://schemas.microsoft.com/office/drawing/2014/chart" uri="{C3380CC4-5D6E-409C-BE32-E72D297353CC}">
              <c16:uniqueId val="{00000002-30D5-4E12-A6AB-AF1FAC7D8CDA}"/>
            </c:ext>
          </c:extLst>
        </c:ser>
        <c:ser>
          <c:idx val="5"/>
          <c:order val="6"/>
          <c:tx>
            <c:strRef>
              <c:f>'[Protection Ratio Calculations.xlsx]Plots for FX22'!$C$7:$D$7</c:f>
              <c:strCache>
                <c:ptCount val="2"/>
                <c:pt idx="0">
                  <c:v>PL=5:</c:v>
                </c:pt>
                <c:pt idx="1">
                  <c:v>4-QAM / 64 kbit/s </c:v>
                </c:pt>
              </c:strCache>
            </c:strRef>
          </c:tx>
          <c:spPr>
            <a:ln w="12700" cap="rnd">
              <a:solidFill>
                <a:schemeClr val="accent6"/>
              </a:solidFill>
              <a:round/>
            </a:ln>
            <a:effectLst/>
          </c:spPr>
          <c:marker>
            <c:symbol val="none"/>
          </c:marker>
          <c:val>
            <c:numRef>
              <c:f>'[Protection Ratio Calculations.xlsx]Plots for FX22'!$E$7:$P$7</c:f>
              <c:numCache>
                <c:formatCode>0</c:formatCode>
                <c:ptCount val="12"/>
                <c:pt idx="0">
                  <c:v>23.460305531927204</c:v>
                </c:pt>
                <c:pt idx="1">
                  <c:v>34.297385375830515</c:v>
                </c:pt>
                <c:pt idx="2">
                  <c:v>40.636670701835044</c:v>
                </c:pt>
                <c:pt idx="3">
                  <c:v>45.134465219733841</c:v>
                </c:pt>
                <c:pt idx="4">
                  <c:v>48.623225688023879</c:v>
                </c:pt>
                <c:pt idx="5">
                  <c:v>51.473750545738369</c:v>
                </c:pt>
                <c:pt idx="6">
                  <c:v>53.883834972440454</c:v>
                </c:pt>
                <c:pt idx="7">
                  <c:v>55.971545063637166</c:v>
                </c:pt>
                <c:pt idx="8">
                  <c:v>57.813035871742898</c:v>
                </c:pt>
                <c:pt idx="9">
                  <c:v>59.460305531927204</c:v>
                </c:pt>
                <c:pt idx="10">
                  <c:v>60.950442197623317</c:v>
                </c:pt>
                <c:pt idx="11">
                  <c:v>62.31083038964168</c:v>
                </c:pt>
              </c:numCache>
            </c:numRef>
          </c:val>
          <c:smooth val="0"/>
          <c:extLst>
            <c:ext xmlns:c16="http://schemas.microsoft.com/office/drawing/2014/chart" uri="{C3380CC4-5D6E-409C-BE32-E72D297353CC}">
              <c16:uniqueId val="{00000003-30D5-4E12-A6AB-AF1FAC7D8CDA}"/>
            </c:ext>
          </c:extLst>
        </c:ser>
        <c:dLbls>
          <c:showLegendKey val="0"/>
          <c:showVal val="0"/>
          <c:showCatName val="0"/>
          <c:showSerName val="0"/>
          <c:showPercent val="0"/>
          <c:showBubbleSize val="0"/>
        </c:dLbls>
        <c:smooth val="0"/>
        <c:axId val="1855335455"/>
        <c:axId val="448805823"/>
        <c:extLst>
          <c:ext xmlns:c15="http://schemas.microsoft.com/office/drawing/2012/chart" uri="{02D57815-91ED-43cb-92C2-25804820EDAC}">
            <c15:filteredLineSeries>
              <c15:ser>
                <c:idx val="0"/>
                <c:order val="0"/>
                <c:tx>
                  <c:strRef>
                    <c:extLst>
                      <c:ext uri="{02D57815-91ED-43cb-92C2-25804820EDAC}">
                        <c15:formulaRef>
                          <c15:sqref>'[Protection Ratio Calculations.xlsx]Plots for FX22'!$C$13:$D$13</c15:sqref>
                        </c15:formulaRef>
                      </c:ext>
                    </c:extLst>
                    <c:strCache>
                      <c:ptCount val="2"/>
                      <c:pt idx="0">
                        <c:v>PL=20:</c:v>
                      </c:pt>
                      <c:pt idx="1">
                        <c:v>16-QAM / 512 kbit/s </c:v>
                      </c:pt>
                    </c:strCache>
                  </c:strRef>
                </c:tx>
                <c:spPr>
                  <a:ln w="12700" cap="rnd">
                    <a:solidFill>
                      <a:schemeClr val="accent6"/>
                    </a:solidFill>
                    <a:round/>
                  </a:ln>
                  <a:effectLst/>
                </c:spPr>
                <c:marker>
                  <c:symbol val="none"/>
                </c:marker>
                <c:cat>
                  <c:numRef>
                    <c:extLst>
                      <c:ext uri="{02D57815-91ED-43cb-92C2-25804820EDAC}">
                        <c15:formulaRef>
                          <c15:sqref>'[Protection Ratio Calculations.xlsx]Plots for FX22'!$E$3:$P$3</c15:sqref>
                        </c15:formulaRef>
                      </c:ext>
                    </c:extLst>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extLst>
                      <c:ext uri="{02D57815-91ED-43cb-92C2-25804820EDAC}">
                        <c15:formulaRef>
                          <c15:sqref>'[Protection Ratio Calculations.xlsx]Plots for FX22'!$E$13:$P$13</c15:sqref>
                        </c15:formulaRef>
                      </c:ext>
                    </c:extLst>
                    <c:numCache>
                      <c:formatCode>0</c:formatCode>
                      <c:ptCount val="12"/>
                      <c:pt idx="0">
                        <c:v>37.470605488567017</c:v>
                      </c:pt>
                      <c:pt idx="1">
                        <c:v>48.307685332470328</c:v>
                      </c:pt>
                      <c:pt idx="2">
                        <c:v>54.646970658474856</c:v>
                      </c:pt>
                      <c:pt idx="3">
                        <c:v>59.144765176373653</c:v>
                      </c:pt>
                      <c:pt idx="4">
                        <c:v>62.633525644663692</c:v>
                      </c:pt>
                      <c:pt idx="5">
                        <c:v>65.484050502378182</c:v>
                      </c:pt>
                      <c:pt idx="6">
                        <c:v>67.894134929080266</c:v>
                      </c:pt>
                      <c:pt idx="7">
                        <c:v>69.981845020276978</c:v>
                      </c:pt>
                      <c:pt idx="8">
                        <c:v>71.82333582838271</c:v>
                      </c:pt>
                      <c:pt idx="9">
                        <c:v>73.470605488567017</c:v>
                      </c:pt>
                      <c:pt idx="10">
                        <c:v>74.96074215426313</c:v>
                      </c:pt>
                      <c:pt idx="11">
                        <c:v>76.321130346281493</c:v>
                      </c:pt>
                    </c:numCache>
                  </c:numRef>
                </c:val>
                <c:smooth val="0"/>
                <c:extLst>
                  <c:ext xmlns:c16="http://schemas.microsoft.com/office/drawing/2014/chart" uri="{C3380CC4-5D6E-409C-BE32-E72D297353CC}">
                    <c16:uniqueId val="{00000004-30D5-4E12-A6AB-AF1FAC7D8CDA}"/>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'[Protection Ratio Calculations.xlsx]Plots for FX22'!$C$14:$D$14</c15:sqref>
                        </c15:formulaRef>
                      </c:ext>
                    </c:extLst>
                    <c:strCache>
                      <c:ptCount val="2"/>
                      <c:pt idx="0">
                        <c:v>PL=10:</c:v>
                      </c:pt>
                      <c:pt idx="1">
                        <c:v>16-QAM / 512 kbit/s </c:v>
                      </c:pt>
                    </c:strCache>
                  </c:strRef>
                </c:tx>
                <c:spPr>
                  <a:ln w="12700"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'[Protection Ratio Calculations.xlsx]Plots for FX22'!$E$3:$P$3</c15:sqref>
                        </c15:formulaRef>
                      </c:ext>
                    </c:extLst>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extLst xmlns:c15="http://schemas.microsoft.com/office/drawing/2012/chart">
                      <c:ext xmlns:c15="http://schemas.microsoft.com/office/drawing/2012/chart" uri="{02D57815-91ED-43cb-92C2-25804820EDAC}">
                        <c15:formulaRef>
                          <c15:sqref>'[Protection Ratio Calculations.xlsx]Plots for FX22'!$E$14:$P$14</c15:sqref>
                        </c15:formulaRef>
                      </c:ext>
                    </c:extLst>
                    <c:numCache>
                      <c:formatCode>0</c:formatCode>
                      <c:ptCount val="12"/>
                      <c:pt idx="0">
                        <c:v>32.955155553607298</c:v>
                      </c:pt>
                      <c:pt idx="1">
                        <c:v>43.792235397510609</c:v>
                      </c:pt>
                      <c:pt idx="2">
                        <c:v>50.131520723515152</c:v>
                      </c:pt>
                      <c:pt idx="3">
                        <c:v>54.629315241413934</c:v>
                      </c:pt>
                      <c:pt idx="4">
                        <c:v>58.118075709703973</c:v>
                      </c:pt>
                      <c:pt idx="5">
                        <c:v>60.968600567418463</c:v>
                      </c:pt>
                      <c:pt idx="6">
                        <c:v>63.378684994120547</c:v>
                      </c:pt>
                      <c:pt idx="7">
                        <c:v>65.466395085317259</c:v>
                      </c:pt>
                      <c:pt idx="8">
                        <c:v>67.307885893422991</c:v>
                      </c:pt>
                      <c:pt idx="9">
                        <c:v>68.955155553607298</c:v>
                      </c:pt>
                      <c:pt idx="10">
                        <c:v>70.445292219303411</c:v>
                      </c:pt>
                      <c:pt idx="11">
                        <c:v>71.805680411321788</c:v>
                      </c:pt>
                    </c:numCache>
                  </c:numRef>
                </c:val>
                <c:smooth val="0"/>
                <c:extLst xmlns:c15="http://schemas.microsoft.com/office/drawing/2012/chart">
                  <c:ext xmlns:c16="http://schemas.microsoft.com/office/drawing/2014/chart" uri="{C3380CC4-5D6E-409C-BE32-E72D297353CC}">
                    <c16:uniqueId val="{00000005-30D5-4E12-A6AB-AF1FAC7D8CDA}"/>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'[Protection Ratio Calculations.xlsx]Plots for FX22'!$C$15:$D$15</c15:sqref>
                        </c15:formulaRef>
                      </c:ext>
                    </c:extLst>
                    <c:strCache>
                      <c:ptCount val="2"/>
                      <c:pt idx="0">
                        <c:v>PL=5:</c:v>
                      </c:pt>
                      <c:pt idx="1">
                        <c:v>16-QAM / 512 kbit/s </c:v>
                      </c:pt>
                    </c:strCache>
                  </c:strRef>
                </c:tx>
                <c:spPr>
                  <a:ln w="12700"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'[Protection Ratio Calculations.xlsx]Plots for FX22'!$E$3:$P$3</c15:sqref>
                        </c15:formulaRef>
                      </c:ext>
                    </c:extLst>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extLst xmlns:c15="http://schemas.microsoft.com/office/drawing/2012/chart">
                      <c:ext xmlns:c15="http://schemas.microsoft.com/office/drawing/2012/chart" uri="{02D57815-91ED-43cb-92C2-25804820EDAC}">
                        <c15:formulaRef>
                          <c15:sqref>'[Protection Ratio Calculations.xlsx]Plots for FX22'!$E$15:$P$15</c15:sqref>
                        </c15:formulaRef>
                      </c:ext>
                    </c:extLst>
                    <c:numCache>
                      <c:formatCode>0</c:formatCode>
                      <c:ptCount val="12"/>
                      <c:pt idx="0">
                        <c:v>30</c:v>
                      </c:pt>
                      <c:pt idx="1">
                        <c:v>39.27678546255089</c:v>
                      </c:pt>
                      <c:pt idx="2">
                        <c:v>45.616070788555419</c:v>
                      </c:pt>
                      <c:pt idx="3">
                        <c:v>50.113865306454215</c:v>
                      </c:pt>
                      <c:pt idx="4">
                        <c:v>53.602625774744254</c:v>
                      </c:pt>
                      <c:pt idx="5">
                        <c:v>56.453150632458744</c:v>
                      </c:pt>
                      <c:pt idx="6">
                        <c:v>58.863235059160829</c:v>
                      </c:pt>
                      <c:pt idx="7">
                        <c:v>60.950945150357541</c:v>
                      </c:pt>
                      <c:pt idx="8">
                        <c:v>62.792435958463273</c:v>
                      </c:pt>
                      <c:pt idx="9">
                        <c:v>64.439705618647579</c:v>
                      </c:pt>
                      <c:pt idx="10">
                        <c:v>65.929842284343692</c:v>
                      </c:pt>
                      <c:pt idx="11">
                        <c:v>67.290230476362055</c:v>
                      </c:pt>
                    </c:numCache>
                  </c:numRef>
                </c:val>
                <c:smooth val="0"/>
                <c:extLst xmlns:c15="http://schemas.microsoft.com/office/drawing/2012/chart">
                  <c:ext xmlns:c16="http://schemas.microsoft.com/office/drawing/2014/chart" uri="{C3380CC4-5D6E-409C-BE32-E72D297353CC}">
                    <c16:uniqueId val="{00000006-30D5-4E12-A6AB-AF1FAC7D8CDA}"/>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'[Protection Ratio Calculations.xlsx]Plots for FX22'!$C$10:$D$10</c15:sqref>
                        </c15:formulaRef>
                      </c:ext>
                    </c:extLst>
                    <c:strCache>
                      <c:ptCount val="2"/>
                      <c:pt idx="0">
                        <c:v>PL=20:</c:v>
                      </c:pt>
                      <c:pt idx="1">
                        <c:v>4-QAM / 256 kbit/s </c:v>
                      </c:pt>
                    </c:strCache>
                  </c:strRef>
                </c:tx>
                <c:spPr>
                  <a:ln w="15875" cap="rnd">
                    <a:solidFill>
                      <a:schemeClr val="accent2">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FX22'!$E$10:$P$10</c15:sqref>
                        </c15:formulaRef>
                      </c:ext>
                    </c:extLst>
                    <c:numCache>
                      <c:formatCode>0</c:formatCode>
                      <c:ptCount val="12"/>
                      <c:pt idx="0">
                        <c:v>32.470605488567017</c:v>
                      </c:pt>
                      <c:pt idx="1">
                        <c:v>43.307685332470328</c:v>
                      </c:pt>
                      <c:pt idx="2">
                        <c:v>49.646970658474856</c:v>
                      </c:pt>
                      <c:pt idx="3">
                        <c:v>54.144765176373653</c:v>
                      </c:pt>
                      <c:pt idx="4">
                        <c:v>57.633525644663692</c:v>
                      </c:pt>
                      <c:pt idx="5">
                        <c:v>60.484050502378182</c:v>
                      </c:pt>
                      <c:pt idx="6">
                        <c:v>62.894134929080266</c:v>
                      </c:pt>
                      <c:pt idx="7">
                        <c:v>64.981845020276978</c:v>
                      </c:pt>
                      <c:pt idx="8">
                        <c:v>66.82333582838271</c:v>
                      </c:pt>
                      <c:pt idx="9">
                        <c:v>68.470605488567017</c:v>
                      </c:pt>
                      <c:pt idx="10">
                        <c:v>69.96074215426313</c:v>
                      </c:pt>
                      <c:pt idx="11">
                        <c:v>71.321130346281493</c:v>
                      </c:pt>
                    </c:numCache>
                  </c:numRef>
                </c:val>
                <c:smooth val="0"/>
                <c:extLst xmlns:c15="http://schemas.microsoft.com/office/drawing/2012/chart">
                  <c:ext xmlns:c16="http://schemas.microsoft.com/office/drawing/2014/chart" uri="{C3380CC4-5D6E-409C-BE32-E72D297353CC}">
                    <c16:uniqueId val="{00000007-30D5-4E12-A6AB-AF1FAC7D8CDA}"/>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'[Protection Ratio Calculations.xlsx]Plots for FX22'!$C$11:$D$11</c15:sqref>
                        </c15:formulaRef>
                      </c:ext>
                    </c:extLst>
                    <c:strCache>
                      <c:ptCount val="2"/>
                      <c:pt idx="0">
                        <c:v>PL=10:</c:v>
                      </c:pt>
                      <c:pt idx="1">
                        <c:v>4-QAM / 256 kbit/s </c:v>
                      </c:pt>
                    </c:strCache>
                  </c:strRef>
                </c:tx>
                <c:spPr>
                  <a:ln w="28575" cap="rnd">
                    <a:solidFill>
                      <a:schemeClr val="accent3">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FX22'!$E$11:$P$11</c15:sqref>
                        </c15:formulaRef>
                      </c:ext>
                    </c:extLst>
                    <c:numCache>
                      <c:formatCode>0</c:formatCode>
                      <c:ptCount val="12"/>
                      <c:pt idx="0">
                        <c:v>27.955155553607298</c:v>
                      </c:pt>
                      <c:pt idx="1">
                        <c:v>38.792235397510609</c:v>
                      </c:pt>
                      <c:pt idx="2">
                        <c:v>45.131520723515152</c:v>
                      </c:pt>
                      <c:pt idx="3">
                        <c:v>49.629315241413934</c:v>
                      </c:pt>
                      <c:pt idx="4">
                        <c:v>53.118075709703973</c:v>
                      </c:pt>
                      <c:pt idx="5">
                        <c:v>55.968600567418463</c:v>
                      </c:pt>
                      <c:pt idx="6">
                        <c:v>58.378684994120547</c:v>
                      </c:pt>
                      <c:pt idx="7">
                        <c:v>60.466395085317259</c:v>
                      </c:pt>
                      <c:pt idx="8">
                        <c:v>62.307885893422991</c:v>
                      </c:pt>
                      <c:pt idx="9">
                        <c:v>63.955155553607298</c:v>
                      </c:pt>
                      <c:pt idx="10">
                        <c:v>65.445292219303411</c:v>
                      </c:pt>
                      <c:pt idx="11">
                        <c:v>66.805680411321788</c:v>
                      </c:pt>
                    </c:numCache>
                  </c:numRef>
                </c:val>
                <c:smooth val="0"/>
                <c:extLst xmlns:c15="http://schemas.microsoft.com/office/drawing/2012/chart">
                  <c:ext xmlns:c16="http://schemas.microsoft.com/office/drawing/2014/chart" uri="{C3380CC4-5D6E-409C-BE32-E72D297353CC}">
                    <c16:uniqueId val="{00000008-30D5-4E12-A6AB-AF1FAC7D8CDA}"/>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'[Protection Ratio Calculations.xlsx]Plots for FX22'!$C$12:$D$12</c15:sqref>
                        </c15:formulaRef>
                      </c:ext>
                    </c:extLst>
                    <c:strCache>
                      <c:ptCount val="2"/>
                      <c:pt idx="0">
                        <c:v>PL=5:</c:v>
                      </c:pt>
                      <c:pt idx="1">
                        <c:v>4-QAM / 256 kbit/s </c:v>
                      </c:pt>
                    </c:strCache>
                  </c:strRef>
                </c:tx>
                <c:spPr>
                  <a:ln w="28575" cap="rnd">
                    <a:solidFill>
                      <a:schemeClr val="accent4">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FX22'!$E$12:$P$12</c15:sqref>
                        </c15:formulaRef>
                      </c:ext>
                    </c:extLst>
                    <c:numCache>
                      <c:formatCode>0</c:formatCode>
                      <c:ptCount val="12"/>
                      <c:pt idx="0">
                        <c:v>23.439705618647579</c:v>
                      </c:pt>
                      <c:pt idx="1">
                        <c:v>34.27678546255089</c:v>
                      </c:pt>
                      <c:pt idx="2">
                        <c:v>40.616070788555419</c:v>
                      </c:pt>
                      <c:pt idx="3">
                        <c:v>45.113865306454215</c:v>
                      </c:pt>
                      <c:pt idx="4">
                        <c:v>48.602625774744254</c:v>
                      </c:pt>
                      <c:pt idx="5">
                        <c:v>51.453150632458744</c:v>
                      </c:pt>
                      <c:pt idx="6">
                        <c:v>53.863235059160829</c:v>
                      </c:pt>
                      <c:pt idx="7">
                        <c:v>55.950945150357541</c:v>
                      </c:pt>
                      <c:pt idx="8">
                        <c:v>57.792435958463273</c:v>
                      </c:pt>
                      <c:pt idx="9">
                        <c:v>59.439705618647579</c:v>
                      </c:pt>
                      <c:pt idx="10">
                        <c:v>60.929842284343692</c:v>
                      </c:pt>
                      <c:pt idx="11">
                        <c:v>62.290230476362055</c:v>
                      </c:pt>
                    </c:numCache>
                  </c:numRef>
                </c:val>
                <c:smooth val="0"/>
                <c:extLst xmlns:c15="http://schemas.microsoft.com/office/drawing/2012/chart">
                  <c:ext xmlns:c16="http://schemas.microsoft.com/office/drawing/2014/chart" uri="{C3380CC4-5D6E-409C-BE32-E72D297353CC}">
                    <c16:uniqueId val="{00000009-30D5-4E12-A6AB-AF1FAC7D8CDA}"/>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'[Protection Ratio Calculations.xlsx]Plots for FX22'!$C$9:$D$9</c15:sqref>
                        </c15:formulaRef>
                      </c:ext>
                    </c:extLst>
                    <c:strCache>
                      <c:ptCount val="2"/>
                      <c:pt idx="0">
                        <c:v>PL=20:</c:v>
                      </c:pt>
                      <c:pt idx="1">
                        <c:v>7-FSK / 256 kbit/s </c:v>
                      </c:pt>
                    </c:strCache>
                  </c:strRef>
                </c:tx>
                <c:spPr>
                  <a:ln w="15875" cap="rnd">
                    <a:solidFill>
                      <a:schemeClr val="accent5">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FX22'!$E$9:$P$9</c15:sqref>
                        </c15:formulaRef>
                      </c:ext>
                    </c:extLst>
                    <c:numCache>
                      <c:formatCode>0</c:formatCode>
                      <c:ptCount val="12"/>
                      <c:pt idx="0">
                        <c:v>44.470605488567017</c:v>
                      </c:pt>
                      <c:pt idx="1">
                        <c:v>55.307685332470328</c:v>
                      </c:pt>
                      <c:pt idx="2">
                        <c:v>61.646970658474856</c:v>
                      </c:pt>
                      <c:pt idx="3">
                        <c:v>66.144765176373653</c:v>
                      </c:pt>
                      <c:pt idx="4">
                        <c:v>69.633525644663692</c:v>
                      </c:pt>
                      <c:pt idx="5">
                        <c:v>72.484050502378182</c:v>
                      </c:pt>
                      <c:pt idx="6">
                        <c:v>74.894134929080266</c:v>
                      </c:pt>
                      <c:pt idx="7">
                        <c:v>76.981845020276978</c:v>
                      </c:pt>
                      <c:pt idx="8">
                        <c:v>78.82333582838271</c:v>
                      </c:pt>
                      <c:pt idx="9">
                        <c:v>80.470605488567017</c:v>
                      </c:pt>
                      <c:pt idx="10">
                        <c:v>81.96074215426313</c:v>
                      </c:pt>
                      <c:pt idx="11">
                        <c:v>83.321130346281493</c:v>
                      </c:pt>
                    </c:numCache>
                  </c:numRef>
                </c:val>
                <c:smooth val="0"/>
                <c:extLst xmlns:c15="http://schemas.microsoft.com/office/drawing/2012/chart">
                  <c:ext xmlns:c16="http://schemas.microsoft.com/office/drawing/2014/chart" uri="{C3380CC4-5D6E-409C-BE32-E72D297353CC}">
                    <c16:uniqueId val="{0000000A-30D5-4E12-A6AB-AF1FAC7D8CDA}"/>
                  </c:ext>
                </c:extLst>
              </c15:ser>
            </c15:filteredLineSeries>
          </c:ext>
        </c:extLst>
      </c:lineChart>
      <c:catAx>
        <c:axId val="1855335455"/>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b="0">
                    <a:latin typeface="Arial" panose="020B0604020202020204" pitchFamily="34" charset="0"/>
                    <a:cs typeface="Arial" panose="020B0604020202020204" pitchFamily="34" charset="0"/>
                  </a:rPr>
                  <a:t>PTP link length (km)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05823"/>
        <c:crosses val="autoZero"/>
        <c:auto val="1"/>
        <c:lblAlgn val="ctr"/>
        <c:lblOffset val="100"/>
        <c:noMultiLvlLbl val="0"/>
      </c:catAx>
      <c:valAx>
        <c:axId val="448805823"/>
        <c:scaling>
          <c:orientation val="minMax"/>
        </c:scaling>
        <c:delete val="0"/>
        <c:axPos val="l"/>
        <c:majorGridlines>
          <c:spPr>
            <a:ln w="9525" cap="sq"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b="0">
                    <a:latin typeface="Arial" panose="020B0604020202020204" pitchFamily="34" charset="0"/>
                    <a:cs typeface="Arial" panose="020B0604020202020204" pitchFamily="34" charset="0"/>
                  </a:rPr>
                  <a:t>Calculated Protection</a:t>
                </a:r>
                <a:r>
                  <a:rPr lang="en-AU" b="0" baseline="0">
                    <a:latin typeface="Arial" panose="020B0604020202020204" pitchFamily="34" charset="0"/>
                    <a:cs typeface="Arial" panose="020B0604020202020204" pitchFamily="34" charset="0"/>
                  </a:rPr>
                  <a:t> Ratio (dB)</a:t>
                </a:r>
                <a:endParaRPr lang="en-AU" b="0">
                  <a:latin typeface="Arial" panose="020B0604020202020204" pitchFamily="34" charset="0"/>
                  <a:cs typeface="Arial" panose="020B0604020202020204" pitchFamily="34" charset="0"/>
                </a:endParaRPr>
              </a:p>
            </c:rich>
          </c:tx>
          <c:layout>
            <c:manualLayout>
              <c:xMode val="edge"/>
              <c:yMode val="edge"/>
              <c:x val="1.5929918393662149E-2"/>
              <c:y val="0.279057979796686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855335455"/>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manualLayout>
          <c:xMode val="edge"/>
          <c:yMode val="edge"/>
          <c:x val="0.24951056365479068"/>
          <c:y val="0.63433202681274881"/>
          <c:w val="0.64533105631938392"/>
          <c:h val="0.221796019958361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12501284413791"/>
          <c:y val="5.640868075563598E-2"/>
          <c:w val="0.77588596386781328"/>
          <c:h val="0.85214928013574398"/>
        </c:manualLayout>
      </c:layout>
      <c:lineChart>
        <c:grouping val="standard"/>
        <c:varyColors val="0"/>
        <c:ser>
          <c:idx val="1"/>
          <c:order val="1"/>
          <c:tx>
            <c:strRef>
              <c:f>'[Protection Ratio Calculations.xlsx]Plots for FX22'!$C$20:$D$20</c:f>
              <c:strCache>
                <c:ptCount val="2"/>
                <c:pt idx="0">
                  <c:v>PL=10:</c:v>
                </c:pt>
                <c:pt idx="1">
                  <c:v>16-QAM / 512 kbit/s </c:v>
                </c:pt>
              </c:strCache>
            </c:strRef>
          </c:tx>
          <c:spPr>
            <a:ln w="12700" cap="rnd">
              <a:solidFill>
                <a:srgbClr val="C00000"/>
              </a:solidFill>
              <a:round/>
            </a:ln>
            <a:effectLst/>
          </c:spPr>
          <c:marker>
            <c:symbol val="none"/>
          </c:marker>
          <c:cat>
            <c:numRef>
              <c:f>'[Protection Ratio Calculations.xlsx]Plots for FX22'!$E$3:$P$3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'[Protection Ratio Calculations.xlsx]Plots for FX22'!$E$20:$P$20</c:f>
              <c:numCache>
                <c:formatCode>0</c:formatCode>
                <c:ptCount val="12"/>
                <c:pt idx="0">
                  <c:v>32.955155553607298</c:v>
                </c:pt>
                <c:pt idx="1">
                  <c:v>43.792235397510609</c:v>
                </c:pt>
                <c:pt idx="2">
                  <c:v>50.131520723515152</c:v>
                </c:pt>
                <c:pt idx="3">
                  <c:v>54.629315241413934</c:v>
                </c:pt>
                <c:pt idx="4">
                  <c:v>58.118075709703973</c:v>
                </c:pt>
                <c:pt idx="5">
                  <c:v>60.968600567418463</c:v>
                </c:pt>
                <c:pt idx="6">
                  <c:v>63.378684994120547</c:v>
                </c:pt>
                <c:pt idx="7">
                  <c:v>65.466395085317259</c:v>
                </c:pt>
                <c:pt idx="8">
                  <c:v>67.307885893422991</c:v>
                </c:pt>
                <c:pt idx="9">
                  <c:v>68.955155553607298</c:v>
                </c:pt>
                <c:pt idx="10">
                  <c:v>70.445292219303411</c:v>
                </c:pt>
                <c:pt idx="11">
                  <c:v>71.805680411321788</c:v>
                </c:pt>
              </c:numCache>
            </c:numRef>
          </c:val>
          <c:smooth val="1"/>
          <c:extLst xmlns:c15="http://schemas.microsoft.com/office/drawing/2012/chart">
            <c:ext xmlns:c16="http://schemas.microsoft.com/office/drawing/2014/chart" uri="{C3380CC4-5D6E-409C-BE32-E72D297353CC}">
              <c16:uniqueId val="{00000000-F374-4FD5-9E96-0CC2F6254A8D}"/>
            </c:ext>
          </c:extLst>
        </c:ser>
        <c:ser>
          <c:idx val="8"/>
          <c:order val="7"/>
          <c:tx>
            <c:strRef>
              <c:f>'[Protection Ratio Calculations.xlsx]Plots for FX22'!$C$17:$D$17</c:f>
              <c:strCache>
                <c:ptCount val="2"/>
                <c:pt idx="0">
                  <c:v>PL=10:</c:v>
                </c:pt>
                <c:pt idx="1">
                  <c:v>4-QAM / 256 kbit/s </c:v>
                </c:pt>
              </c:strCache>
            </c:strRef>
          </c:tx>
          <c:spPr>
            <a:ln w="12700" cap="rnd">
              <a:solidFill>
                <a:srgbClr val="00B0F0"/>
              </a:solidFill>
              <a:round/>
            </a:ln>
            <a:effectLst/>
          </c:spPr>
          <c:marker>
            <c:symbol val="none"/>
          </c:marker>
          <c:val>
            <c:numRef>
              <c:f>'[Protection Ratio Calculations.xlsx]Plots for FX22'!$E$17:$P$17</c:f>
              <c:numCache>
                <c:formatCode>0</c:formatCode>
                <c:ptCount val="12"/>
                <c:pt idx="0">
                  <c:v>27.955155553607298</c:v>
                </c:pt>
                <c:pt idx="1">
                  <c:v>38.792235397510609</c:v>
                </c:pt>
                <c:pt idx="2">
                  <c:v>45.131520723515152</c:v>
                </c:pt>
                <c:pt idx="3">
                  <c:v>49.629315241413934</c:v>
                </c:pt>
                <c:pt idx="4">
                  <c:v>53.118075709703973</c:v>
                </c:pt>
                <c:pt idx="5">
                  <c:v>55.968600567418463</c:v>
                </c:pt>
                <c:pt idx="6">
                  <c:v>58.378684994120547</c:v>
                </c:pt>
                <c:pt idx="7">
                  <c:v>60.466395085317259</c:v>
                </c:pt>
                <c:pt idx="8">
                  <c:v>62.307885893422991</c:v>
                </c:pt>
                <c:pt idx="9">
                  <c:v>63.955155553607298</c:v>
                </c:pt>
                <c:pt idx="10">
                  <c:v>65.445292219303411</c:v>
                </c:pt>
                <c:pt idx="11">
                  <c:v>66.805680411321788</c:v>
                </c:pt>
              </c:numCache>
            </c:numRef>
          </c:val>
          <c:smooth val="1"/>
          <c:extLst>
            <c:ext xmlns:c16="http://schemas.microsoft.com/office/drawing/2014/chart" uri="{C3380CC4-5D6E-409C-BE32-E72D297353CC}">
              <c16:uniqueId val="{00000001-F374-4FD5-9E96-0CC2F6254A8D}"/>
            </c:ext>
          </c:extLst>
        </c:ser>
        <c:ser>
          <c:idx val="14"/>
          <c:order val="10"/>
          <c:tx>
            <c:strRef>
              <c:f>'[Protection Ratio Calculations.xlsx]Plots for FX22'!$C$14:$D$14</c:f>
              <c:strCache>
                <c:ptCount val="2"/>
                <c:pt idx="0">
                  <c:v>PL=10:</c:v>
                </c:pt>
                <c:pt idx="1">
                  <c:v>7-FSK / 256 kbit/s </c:v>
                </c:pt>
              </c:strCache>
            </c:strRef>
          </c:tx>
          <c:spPr>
            <a:ln w="12700" cap="rnd">
              <a:solidFill>
                <a:srgbClr val="92D050"/>
              </a:solidFill>
              <a:round/>
            </a:ln>
            <a:effectLst/>
          </c:spPr>
          <c:marker>
            <c:symbol val="none"/>
          </c:marker>
          <c:val>
            <c:numRef>
              <c:f>'[Protection Ratio Calculations.xlsx]Plots for FX22'!$E$14:$P$14</c:f>
              <c:numCache>
                <c:formatCode>0</c:formatCode>
                <c:ptCount val="12"/>
                <c:pt idx="0">
                  <c:v>39.955155553607298</c:v>
                </c:pt>
                <c:pt idx="1">
                  <c:v>50.792235397510609</c:v>
                </c:pt>
                <c:pt idx="2">
                  <c:v>57.131520723515152</c:v>
                </c:pt>
                <c:pt idx="3">
                  <c:v>61.629315241413934</c:v>
                </c:pt>
                <c:pt idx="4">
                  <c:v>65.118075709703973</c:v>
                </c:pt>
                <c:pt idx="5">
                  <c:v>67.968600567418463</c:v>
                </c:pt>
                <c:pt idx="6">
                  <c:v>70.378684994120547</c:v>
                </c:pt>
                <c:pt idx="7">
                  <c:v>72.466395085317259</c:v>
                </c:pt>
                <c:pt idx="8">
                  <c:v>74.307885893422991</c:v>
                </c:pt>
                <c:pt idx="9">
                  <c:v>75.955155553607298</c:v>
                </c:pt>
                <c:pt idx="10">
                  <c:v>77.445292219303411</c:v>
                </c:pt>
                <c:pt idx="11">
                  <c:v>78.805680411321788</c:v>
                </c:pt>
              </c:numCache>
            </c:numRef>
          </c:val>
          <c:smooth val="1"/>
          <c:extLst>
            <c:ext xmlns:c16="http://schemas.microsoft.com/office/drawing/2014/chart" uri="{C3380CC4-5D6E-409C-BE32-E72D297353CC}">
              <c16:uniqueId val="{00000002-F374-4FD5-9E96-0CC2F6254A8D}"/>
            </c:ext>
          </c:extLst>
        </c:ser>
        <c:dLbls>
          <c:showLegendKey val="0"/>
          <c:showVal val="0"/>
          <c:showCatName val="0"/>
          <c:showSerName val="0"/>
          <c:showPercent val="0"/>
          <c:showBubbleSize val="0"/>
        </c:dLbls>
        <c:smooth val="0"/>
        <c:axId val="1855335455"/>
        <c:axId val="448805823"/>
        <c:extLst>
          <c:ext xmlns:c15="http://schemas.microsoft.com/office/drawing/2012/chart" uri="{02D57815-91ED-43cb-92C2-25804820EDAC}">
            <c15:filteredLineSeries>
              <c15:ser>
                <c:idx val="0"/>
                <c:order val="0"/>
                <c:tx>
                  <c:strRef>
                    <c:extLst>
                      <c:ext uri="{02D57815-91ED-43cb-92C2-25804820EDAC}">
                        <c15:formulaRef>
                          <c15:sqref>'[Protection Ratio Calculations.xlsx]Plots for FX22'!$C$19:$D$19</c15:sqref>
                        </c15:formulaRef>
                      </c:ext>
                    </c:extLst>
                    <c:strCache>
                      <c:ptCount val="2"/>
                      <c:pt idx="0">
                        <c:v>PL=20:</c:v>
                      </c:pt>
                      <c:pt idx="1">
                        <c:v>16-QAM / 512 kbit/s </c:v>
                      </c:pt>
                    </c:strCache>
                  </c:strRef>
                </c:tx>
                <c:spPr>
                  <a:ln w="12700" cap="rnd">
                    <a:solidFill>
                      <a:schemeClr val="accent6"/>
                    </a:solidFill>
                    <a:round/>
                  </a:ln>
                  <a:effectLst/>
                </c:spPr>
                <c:marker>
                  <c:symbol val="none"/>
                </c:marker>
                <c:cat>
                  <c:numRef>
                    <c:extLst>
                      <c:ext uri="{02D57815-91ED-43cb-92C2-25804820EDAC}">
                        <c15:formulaRef>
                          <c15:sqref>'[Protection Ratio Calculations.xlsx]Plots for FX22'!$E$3:$P$3</c15:sqref>
                        </c15:formulaRef>
                      </c:ext>
                    </c:extLst>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extLst>
                      <c:ext uri="{02D57815-91ED-43cb-92C2-25804820EDAC}">
                        <c15:formulaRef>
                          <c15:sqref>'[Protection Ratio Calculations.xlsx]Plots for FX22'!$E$19:$P$19</c15:sqref>
                        </c15:formulaRef>
                      </c:ext>
                    </c:extLst>
                    <c:numCache>
                      <c:formatCode>0</c:formatCode>
                      <c:ptCount val="12"/>
                      <c:pt idx="0">
                        <c:v>37.470605488567017</c:v>
                      </c:pt>
                      <c:pt idx="1">
                        <c:v>48.307685332470328</c:v>
                      </c:pt>
                      <c:pt idx="2">
                        <c:v>54.646970658474856</c:v>
                      </c:pt>
                      <c:pt idx="3">
                        <c:v>59.144765176373653</c:v>
                      </c:pt>
                      <c:pt idx="4">
                        <c:v>62.633525644663692</c:v>
                      </c:pt>
                      <c:pt idx="5">
                        <c:v>65.484050502378182</c:v>
                      </c:pt>
                      <c:pt idx="6">
                        <c:v>67.894134929080266</c:v>
                      </c:pt>
                      <c:pt idx="7">
                        <c:v>69.981845020276978</c:v>
                      </c:pt>
                      <c:pt idx="8">
                        <c:v>71.82333582838271</c:v>
                      </c:pt>
                      <c:pt idx="9">
                        <c:v>73.470605488567017</c:v>
                      </c:pt>
                      <c:pt idx="10">
                        <c:v>74.96074215426313</c:v>
                      </c:pt>
                      <c:pt idx="11">
                        <c:v>76.321130346281493</c:v>
                      </c:pt>
                    </c:numCache>
                  </c:numRef>
                </c:val>
                <c:smooth val="1"/>
                <c:extLst>
                  <c:ext xmlns:c16="http://schemas.microsoft.com/office/drawing/2014/chart" uri="{C3380CC4-5D6E-409C-BE32-E72D297353CC}">
                    <c16:uniqueId val="{00000003-F374-4FD5-9E96-0CC2F6254A8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'[Protection Ratio Calculations.xlsx]Plots for FX22'!$C$21:$D$21</c15:sqref>
                        </c15:formulaRef>
                      </c:ext>
                    </c:extLst>
                    <c:strCache>
                      <c:ptCount val="2"/>
                      <c:pt idx="0">
                        <c:v>PL=5:</c:v>
                      </c:pt>
                      <c:pt idx="1">
                        <c:v>16-QAM / 512 kbit/s </c:v>
                      </c:pt>
                    </c:strCache>
                  </c:strRef>
                </c:tx>
                <c:spPr>
                  <a:ln w="12700"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'[Protection Ratio Calculations.xlsx]Plots for FX22'!$E$3:$P$3</c15:sqref>
                        </c15:formulaRef>
                      </c:ext>
                    </c:extLst>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extLst xmlns:c15="http://schemas.microsoft.com/office/drawing/2012/chart">
                      <c:ext xmlns:c15="http://schemas.microsoft.com/office/drawing/2012/chart" uri="{02D57815-91ED-43cb-92C2-25804820EDAC}">
                        <c15:formulaRef>
                          <c15:sqref>'[Protection Ratio Calculations.xlsx]Plots for FX22'!$E$21:$P$21</c15:sqref>
                        </c15:formulaRef>
                      </c:ext>
                    </c:extLst>
                    <c:numCache>
                      <c:formatCode>0</c:formatCode>
                      <c:ptCount val="12"/>
                      <c:pt idx="0">
                        <c:v>28.439705618647579</c:v>
                      </c:pt>
                      <c:pt idx="1">
                        <c:v>39.27678546255089</c:v>
                      </c:pt>
                      <c:pt idx="2">
                        <c:v>45.616070788555419</c:v>
                      </c:pt>
                      <c:pt idx="3">
                        <c:v>50.113865306454215</c:v>
                      </c:pt>
                      <c:pt idx="4">
                        <c:v>53.602625774744254</c:v>
                      </c:pt>
                      <c:pt idx="5">
                        <c:v>56.453150632458744</c:v>
                      </c:pt>
                      <c:pt idx="6">
                        <c:v>58.863235059160829</c:v>
                      </c:pt>
                      <c:pt idx="7">
                        <c:v>60.950945150357541</c:v>
                      </c:pt>
                      <c:pt idx="8">
                        <c:v>62.792435958463273</c:v>
                      </c:pt>
                      <c:pt idx="9">
                        <c:v>64.439705618647579</c:v>
                      </c:pt>
                      <c:pt idx="10">
                        <c:v>65.929842284343692</c:v>
                      </c:pt>
                      <c:pt idx="11">
                        <c:v>67.290230476362055</c:v>
                      </c:pt>
                    </c:numCache>
                  </c:numRef>
                </c:val>
                <c:smooth val="1"/>
                <c:extLst xmlns:c15="http://schemas.microsoft.com/office/drawing/2012/chart">
                  <c:ext xmlns:c16="http://schemas.microsoft.com/office/drawing/2014/chart" uri="{C3380CC4-5D6E-409C-BE32-E72D297353CC}">
                    <c16:uniqueId val="{00000004-F374-4FD5-9E96-0CC2F6254A8D}"/>
                  </c:ext>
                </c:extLst>
              </c15:ser>
            </c15:filteredLineSeries>
            <c15:filteredLineSeries>
              <c15:ser>
                <c:idx val="4"/>
                <c:order val="3"/>
                <c:tx>
                  <c:strRef>
                    <c:extLst xmlns:c15="http://schemas.microsoft.com/office/drawing/2012/chart">
                      <c:ext xmlns:c15="http://schemas.microsoft.com/office/drawing/2012/chart" uri="{02D57815-91ED-43cb-92C2-25804820EDAC}">
                        <c15:formulaRef>
                          <c15:sqref>'[Protection Ratio Calculations.xlsx]Plots for FX22'!$C$7:$D$7</c15:sqref>
                        </c15:formulaRef>
                      </c:ext>
                    </c:extLst>
                    <c:strCache>
                      <c:ptCount val="2"/>
                      <c:pt idx="0">
                        <c:v>PL=20:</c:v>
                      </c:pt>
                      <c:pt idx="1">
                        <c:v>4-QAM / 64 kbit/s </c:v>
                      </c:pt>
                    </c:strCache>
                  </c:strRef>
                </c:tx>
                <c:spPr>
                  <a:ln w="15875" cap="rnd">
                    <a:solidFill>
                      <a:schemeClr val="accent2">
                        <a:lumMod val="75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FX22'!$E$7:$P$7</c15:sqref>
                        </c15:formulaRef>
                      </c:ext>
                    </c:extLst>
                    <c:numCache>
                      <c:formatCode>0</c:formatCode>
                      <c:ptCount val="12"/>
                      <c:pt idx="0">
                        <c:v>32.491205401846642</c:v>
                      </c:pt>
                      <c:pt idx="1">
                        <c:v>43.328285245749953</c:v>
                      </c:pt>
                      <c:pt idx="2">
                        <c:v>49.667570571754482</c:v>
                      </c:pt>
                      <c:pt idx="3">
                        <c:v>54.165365089653278</c:v>
                      </c:pt>
                      <c:pt idx="4">
                        <c:v>57.654125557943317</c:v>
                      </c:pt>
                      <c:pt idx="5">
                        <c:v>60.504650415657807</c:v>
                      </c:pt>
                      <c:pt idx="6">
                        <c:v>62.914734842359891</c:v>
                      </c:pt>
                      <c:pt idx="7">
                        <c:v>65.002444933556603</c:v>
                      </c:pt>
                      <c:pt idx="8">
                        <c:v>66.843935741662335</c:v>
                      </c:pt>
                      <c:pt idx="9">
                        <c:v>68.491205401846642</c:v>
                      </c:pt>
                      <c:pt idx="10">
                        <c:v>69.981342067542755</c:v>
                      </c:pt>
                      <c:pt idx="11">
                        <c:v>71.341730259561118</c:v>
                      </c:pt>
                    </c:numCache>
                  </c:numRef>
                </c:val>
                <c:smooth val="1"/>
                <c:extLst xmlns:c15="http://schemas.microsoft.com/office/drawing/2012/chart">
                  <c:ext xmlns:c16="http://schemas.microsoft.com/office/drawing/2014/chart" uri="{C3380CC4-5D6E-409C-BE32-E72D297353CC}">
                    <c16:uniqueId val="{00000005-F374-4FD5-9E96-0CC2F6254A8D}"/>
                  </c:ext>
                </c:extLst>
              </c15:ser>
            </c15:filteredLineSeries>
            <c15:filteredLineSeries>
              <c15:ser>
                <c:idx val="6"/>
                <c:order val="4"/>
                <c:tx>
                  <c:strRef>
                    <c:extLst xmlns:c15="http://schemas.microsoft.com/office/drawing/2012/chart">
                      <c:ext xmlns:c15="http://schemas.microsoft.com/office/drawing/2012/chart" uri="{02D57815-91ED-43cb-92C2-25804820EDAC}">
                        <c15:formulaRef>
                          <c15:sqref>'[Protection Ratio Calculations.xlsx]Plots for FX22'!$C$8:$D$8</c15:sqref>
                        </c15:formulaRef>
                      </c:ext>
                    </c:extLst>
                    <c:strCache>
                      <c:ptCount val="2"/>
                      <c:pt idx="0">
                        <c:v>PL=10:</c:v>
                      </c:pt>
                      <c:pt idx="1">
                        <c:v>4-QAM / 64 kbit/s </c:v>
                      </c:pt>
                    </c:strCache>
                  </c:strRef>
                </c:tx>
                <c:spPr>
                  <a:ln w="12700" cap="rnd">
                    <a:solidFill>
                      <a:srgbClr val="00B0F0"/>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FX22'!$E$8:$P$8</c15:sqref>
                        </c15:formulaRef>
                      </c:ext>
                    </c:extLst>
                    <c:numCache>
                      <c:formatCode>0</c:formatCode>
                      <c:ptCount val="12"/>
                      <c:pt idx="0">
                        <c:v>27.975755466886923</c:v>
                      </c:pt>
                      <c:pt idx="1">
                        <c:v>38.812835310790234</c:v>
                      </c:pt>
                      <c:pt idx="2">
                        <c:v>45.152120636794777</c:v>
                      </c:pt>
                      <c:pt idx="3">
                        <c:v>49.649915154693559</c:v>
                      </c:pt>
                      <c:pt idx="4">
                        <c:v>53.138675622983598</c:v>
                      </c:pt>
                      <c:pt idx="5">
                        <c:v>55.989200480698088</c:v>
                      </c:pt>
                      <c:pt idx="6">
                        <c:v>58.399284907400173</c:v>
                      </c:pt>
                      <c:pt idx="7">
                        <c:v>60.486994998596884</c:v>
                      </c:pt>
                      <c:pt idx="8">
                        <c:v>62.328485806702616</c:v>
                      </c:pt>
                      <c:pt idx="9">
                        <c:v>63.975755466886923</c:v>
                      </c:pt>
                      <c:pt idx="10">
                        <c:v>65.465892132583036</c:v>
                      </c:pt>
                      <c:pt idx="11">
                        <c:v>66.826280324601413</c:v>
                      </c:pt>
                    </c:numCache>
                  </c:numRef>
                </c:val>
                <c:smooth val="0"/>
                <c:extLst xmlns:c15="http://schemas.microsoft.com/office/drawing/2012/chart">
                  <c:ext xmlns:c16="http://schemas.microsoft.com/office/drawing/2014/chart" uri="{C3380CC4-5D6E-409C-BE32-E72D297353CC}">
                    <c16:uniqueId val="{00000006-F374-4FD5-9E96-0CC2F6254A8D}"/>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'[Protection Ratio Calculations.xlsx]Plots for FX22'!$C$9:$D$9</c15:sqref>
                        </c15:formulaRef>
                      </c:ext>
                    </c:extLst>
                    <c:strCache>
                      <c:ptCount val="2"/>
                      <c:pt idx="0">
                        <c:v>PL=5:</c:v>
                      </c:pt>
                      <c:pt idx="1">
                        <c:v>4-QAM / 64 kbit/s </c:v>
                      </c:pt>
                    </c:strCache>
                  </c:strRef>
                </c:tx>
                <c:spPr>
                  <a:ln w="12700"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FX22'!$E$9:$P$9</c15:sqref>
                        </c15:formulaRef>
                      </c:ext>
                    </c:extLst>
                    <c:numCache>
                      <c:formatCode>0</c:formatCode>
                      <c:ptCount val="12"/>
                      <c:pt idx="0">
                        <c:v>23.460305531927204</c:v>
                      </c:pt>
                      <c:pt idx="1">
                        <c:v>34.297385375830515</c:v>
                      </c:pt>
                      <c:pt idx="2">
                        <c:v>40.636670701835044</c:v>
                      </c:pt>
                      <c:pt idx="3">
                        <c:v>45.134465219733841</c:v>
                      </c:pt>
                      <c:pt idx="4">
                        <c:v>48.623225688023879</c:v>
                      </c:pt>
                      <c:pt idx="5">
                        <c:v>51.473750545738369</c:v>
                      </c:pt>
                      <c:pt idx="6">
                        <c:v>53.883834972440454</c:v>
                      </c:pt>
                      <c:pt idx="7">
                        <c:v>55.971545063637166</c:v>
                      </c:pt>
                      <c:pt idx="8">
                        <c:v>57.813035871742898</c:v>
                      </c:pt>
                      <c:pt idx="9">
                        <c:v>59.460305531927204</c:v>
                      </c:pt>
                      <c:pt idx="10">
                        <c:v>60.950442197623317</c:v>
                      </c:pt>
                      <c:pt idx="11">
                        <c:v>62.31083038964168</c:v>
                      </c:pt>
                    </c:numCache>
                  </c:numRef>
                </c:val>
                <c:smooth val="1"/>
                <c:extLst xmlns:c15="http://schemas.microsoft.com/office/drawing/2012/chart">
                  <c:ext xmlns:c16="http://schemas.microsoft.com/office/drawing/2014/chart" uri="{C3380CC4-5D6E-409C-BE32-E72D297353CC}">
                    <c16:uniqueId val="{00000007-F374-4FD5-9E96-0CC2F6254A8D}"/>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'[Protection Ratio Calculations.xlsx]Plots for FX22'!$C$16:$D$16</c15:sqref>
                        </c15:formulaRef>
                      </c:ext>
                    </c:extLst>
                    <c:strCache>
                      <c:ptCount val="2"/>
                      <c:pt idx="0">
                        <c:v>PL=20:</c:v>
                      </c:pt>
                      <c:pt idx="1">
                        <c:v>4-QAM / 256 kbit/s </c:v>
                      </c:pt>
                    </c:strCache>
                  </c:strRef>
                </c:tx>
                <c:spPr>
                  <a:ln w="12700" cap="rnd">
                    <a:solidFill>
                      <a:schemeClr val="accent2">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FX22'!$E$16:$P$16</c15:sqref>
                        </c15:formulaRef>
                      </c:ext>
                    </c:extLst>
                    <c:numCache>
                      <c:formatCode>0</c:formatCode>
                      <c:ptCount val="12"/>
                      <c:pt idx="0">
                        <c:v>32.470605488567017</c:v>
                      </c:pt>
                      <c:pt idx="1">
                        <c:v>43.307685332470328</c:v>
                      </c:pt>
                      <c:pt idx="2">
                        <c:v>49.646970658474856</c:v>
                      </c:pt>
                      <c:pt idx="3">
                        <c:v>54.144765176373653</c:v>
                      </c:pt>
                      <c:pt idx="4">
                        <c:v>57.633525644663692</c:v>
                      </c:pt>
                      <c:pt idx="5">
                        <c:v>60.484050502378182</c:v>
                      </c:pt>
                      <c:pt idx="6">
                        <c:v>62.894134929080266</c:v>
                      </c:pt>
                      <c:pt idx="7">
                        <c:v>64.981845020276978</c:v>
                      </c:pt>
                      <c:pt idx="8">
                        <c:v>66.82333582838271</c:v>
                      </c:pt>
                      <c:pt idx="9">
                        <c:v>68.470605488567017</c:v>
                      </c:pt>
                      <c:pt idx="10">
                        <c:v>69.96074215426313</c:v>
                      </c:pt>
                      <c:pt idx="11">
                        <c:v>71.321130346281493</c:v>
                      </c:pt>
                    </c:numCache>
                  </c:numRef>
                </c:val>
                <c:smooth val="1"/>
                <c:extLst xmlns:c15="http://schemas.microsoft.com/office/drawing/2012/chart">
                  <c:ext xmlns:c16="http://schemas.microsoft.com/office/drawing/2014/chart" uri="{C3380CC4-5D6E-409C-BE32-E72D297353CC}">
                    <c16:uniqueId val="{00000008-F374-4FD5-9E96-0CC2F6254A8D}"/>
                  </c:ext>
                </c:extLst>
              </c15:ser>
            </c15:filteredLineSeries>
            <c15:filteredLineSeries>
              <c15:ser>
                <c:idx val="9"/>
                <c:order val="8"/>
                <c:tx>
                  <c:strRef>
                    <c:extLst xmlns:c15="http://schemas.microsoft.com/office/drawing/2012/chart">
                      <c:ext xmlns:c15="http://schemas.microsoft.com/office/drawing/2012/chart" uri="{02D57815-91ED-43cb-92C2-25804820EDAC}">
                        <c15:formulaRef>
                          <c15:sqref>'[Protection Ratio Calculations.xlsx]Plots for FX22'!$C$18:$D$18</c15:sqref>
                        </c15:formulaRef>
                      </c:ext>
                    </c:extLst>
                    <c:strCache>
                      <c:ptCount val="2"/>
                      <c:pt idx="0">
                        <c:v>PL=5:</c:v>
                      </c:pt>
                      <c:pt idx="1">
                        <c:v>4-QAM / 256 kbit/s </c:v>
                      </c:pt>
                    </c:strCache>
                  </c:strRef>
                </c:tx>
                <c:spPr>
                  <a:ln w="12700" cap="rnd">
                    <a:solidFill>
                      <a:schemeClr val="accent4">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FX22'!$E$18:$P$18</c15:sqref>
                        </c15:formulaRef>
                      </c:ext>
                    </c:extLst>
                    <c:numCache>
                      <c:formatCode>0</c:formatCode>
                      <c:ptCount val="12"/>
                      <c:pt idx="0">
                        <c:v>23.439705618647579</c:v>
                      </c:pt>
                      <c:pt idx="1">
                        <c:v>34.27678546255089</c:v>
                      </c:pt>
                      <c:pt idx="2">
                        <c:v>40.616070788555419</c:v>
                      </c:pt>
                      <c:pt idx="3">
                        <c:v>45.113865306454215</c:v>
                      </c:pt>
                      <c:pt idx="4">
                        <c:v>48.602625774744254</c:v>
                      </c:pt>
                      <c:pt idx="5">
                        <c:v>51.453150632458744</c:v>
                      </c:pt>
                      <c:pt idx="6">
                        <c:v>53.863235059160829</c:v>
                      </c:pt>
                      <c:pt idx="7">
                        <c:v>55.950945150357541</c:v>
                      </c:pt>
                      <c:pt idx="8">
                        <c:v>57.792435958463273</c:v>
                      </c:pt>
                      <c:pt idx="9">
                        <c:v>59.439705618647579</c:v>
                      </c:pt>
                      <c:pt idx="10">
                        <c:v>60.929842284343692</c:v>
                      </c:pt>
                      <c:pt idx="11">
                        <c:v>62.290230476362055</c:v>
                      </c:pt>
                    </c:numCache>
                  </c:numRef>
                </c:val>
                <c:smooth val="1"/>
                <c:extLst xmlns:c15="http://schemas.microsoft.com/office/drawing/2012/chart">
                  <c:ext xmlns:c16="http://schemas.microsoft.com/office/drawing/2014/chart" uri="{C3380CC4-5D6E-409C-BE32-E72D297353CC}">
                    <c16:uniqueId val="{00000009-F374-4FD5-9E96-0CC2F6254A8D}"/>
                  </c:ext>
                </c:extLst>
              </c15:ser>
            </c15:filteredLineSeries>
            <c15:filteredLineSeries>
              <c15:ser>
                <c:idx val="10"/>
                <c:order val="9"/>
                <c:tx>
                  <c:strRef>
                    <c:extLst xmlns:c15="http://schemas.microsoft.com/office/drawing/2012/chart">
                      <c:ext xmlns:c15="http://schemas.microsoft.com/office/drawing/2012/chart" uri="{02D57815-91ED-43cb-92C2-25804820EDAC}">
                        <c15:formulaRef>
                          <c15:sqref>'[Protection Ratio Calculations.xlsx]Plots for FX22'!$C$13:$D$13</c15:sqref>
                        </c15:formulaRef>
                      </c:ext>
                    </c:extLst>
                    <c:strCache>
                      <c:ptCount val="2"/>
                      <c:pt idx="0">
                        <c:v>PL=20:</c:v>
                      </c:pt>
                      <c:pt idx="1">
                        <c:v>7-FSK / 256 kbit/s </c:v>
                      </c:pt>
                    </c:strCache>
                  </c:strRef>
                </c:tx>
                <c:spPr>
                  <a:ln w="12700" cap="rnd">
                    <a:solidFill>
                      <a:schemeClr val="accent5">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FX22'!$E$13:$P$13</c15:sqref>
                        </c15:formulaRef>
                      </c:ext>
                    </c:extLst>
                    <c:numCache>
                      <c:formatCode>0</c:formatCode>
                      <c:ptCount val="12"/>
                      <c:pt idx="0">
                        <c:v>44.470605488567017</c:v>
                      </c:pt>
                      <c:pt idx="1">
                        <c:v>55.307685332470328</c:v>
                      </c:pt>
                      <c:pt idx="2">
                        <c:v>61.646970658474856</c:v>
                      </c:pt>
                      <c:pt idx="3">
                        <c:v>66.144765176373653</c:v>
                      </c:pt>
                      <c:pt idx="4">
                        <c:v>69.633525644663692</c:v>
                      </c:pt>
                      <c:pt idx="5">
                        <c:v>72.484050502378182</c:v>
                      </c:pt>
                      <c:pt idx="6">
                        <c:v>74.894134929080266</c:v>
                      </c:pt>
                      <c:pt idx="7">
                        <c:v>76.981845020276978</c:v>
                      </c:pt>
                      <c:pt idx="8">
                        <c:v>78.82333582838271</c:v>
                      </c:pt>
                      <c:pt idx="9">
                        <c:v>80.470605488567017</c:v>
                      </c:pt>
                      <c:pt idx="10">
                        <c:v>81.96074215426313</c:v>
                      </c:pt>
                      <c:pt idx="11">
                        <c:v>83.321130346281493</c:v>
                      </c:pt>
                    </c:numCache>
                  </c:numRef>
                </c:val>
                <c:smooth val="1"/>
                <c:extLst xmlns:c15="http://schemas.microsoft.com/office/drawing/2012/chart">
                  <c:ext xmlns:c16="http://schemas.microsoft.com/office/drawing/2014/chart" uri="{C3380CC4-5D6E-409C-BE32-E72D297353CC}">
                    <c16:uniqueId val="{0000000A-F374-4FD5-9E96-0CC2F6254A8D}"/>
                  </c:ext>
                </c:extLst>
              </c15:ser>
            </c15:filteredLineSeries>
            <c15:filteredLineSeries>
              <c15:ser>
                <c:idx val="15"/>
                <c:order val="11"/>
                <c:tx>
                  <c:strRef>
                    <c:extLst xmlns:c15="http://schemas.microsoft.com/office/drawing/2012/chart">
                      <c:ext xmlns:c15="http://schemas.microsoft.com/office/drawing/2012/chart" uri="{02D57815-91ED-43cb-92C2-25804820EDAC}">
                        <c15:formulaRef>
                          <c15:sqref>'[Protection Ratio Calculations.xlsx]Plots for FX22'!$C$15:$D$15</c15:sqref>
                        </c15:formulaRef>
                      </c:ext>
                    </c:extLst>
                    <c:strCache>
                      <c:ptCount val="2"/>
                      <c:pt idx="0">
                        <c:v>PL=5:</c:v>
                      </c:pt>
                      <c:pt idx="1">
                        <c:v>7-FSK / 256 kbit/s </c:v>
                      </c:pt>
                    </c:strCache>
                  </c:strRef>
                </c:tx>
                <c:spPr>
                  <a:ln w="12700" cap="rnd">
                    <a:solidFill>
                      <a:schemeClr val="accent4">
                        <a:lumMod val="80000"/>
                        <a:lumOff val="2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FX22'!$E$15:$P$15</c15:sqref>
                        </c15:formulaRef>
                      </c:ext>
                    </c:extLst>
                    <c:numCache>
                      <c:formatCode>0</c:formatCode>
                      <c:ptCount val="12"/>
                      <c:pt idx="0">
                        <c:v>35.439705618647579</c:v>
                      </c:pt>
                      <c:pt idx="1">
                        <c:v>46.27678546255089</c:v>
                      </c:pt>
                      <c:pt idx="2">
                        <c:v>52.616070788555419</c:v>
                      </c:pt>
                      <c:pt idx="3">
                        <c:v>57.113865306454215</c:v>
                      </c:pt>
                      <c:pt idx="4">
                        <c:v>60.602625774744254</c:v>
                      </c:pt>
                      <c:pt idx="5">
                        <c:v>63.453150632458744</c:v>
                      </c:pt>
                      <c:pt idx="6">
                        <c:v>65.863235059160829</c:v>
                      </c:pt>
                      <c:pt idx="7">
                        <c:v>67.950945150357541</c:v>
                      </c:pt>
                      <c:pt idx="8">
                        <c:v>69.792435958463273</c:v>
                      </c:pt>
                      <c:pt idx="9">
                        <c:v>71.439705618647579</c:v>
                      </c:pt>
                      <c:pt idx="10">
                        <c:v>72.929842284343692</c:v>
                      </c:pt>
                      <c:pt idx="11">
                        <c:v>74.290230476362055</c:v>
                      </c:pt>
                    </c:numCache>
                  </c:numRef>
                </c:val>
                <c:smooth val="0"/>
                <c:extLst xmlns:c15="http://schemas.microsoft.com/office/drawing/2012/chart">
                  <c:ext xmlns:c16="http://schemas.microsoft.com/office/drawing/2014/chart" uri="{C3380CC4-5D6E-409C-BE32-E72D297353CC}">
                    <c16:uniqueId val="{0000000B-F374-4FD5-9E96-0CC2F6254A8D}"/>
                  </c:ext>
                </c:extLst>
              </c15:ser>
            </c15:filteredLineSeries>
            <c15:filteredLineSeries>
              <c15:ser>
                <c:idx val="13"/>
                <c:order val="12"/>
                <c:tx>
                  <c:strRef>
                    <c:extLst xmlns:c15="http://schemas.microsoft.com/office/drawing/2012/chart">
                      <c:ext xmlns:c15="http://schemas.microsoft.com/office/drawing/2012/chart" uri="{02D57815-91ED-43cb-92C2-25804820EDAC}">
                        <c15:formulaRef>
                          <c15:sqref>'[Protection Ratio Calculations.xlsx]Plots for FX22'!$C$4:$D$4</c15:sqref>
                        </c15:formulaRef>
                      </c:ext>
                    </c:extLst>
                    <c:strCache>
                      <c:ptCount val="2"/>
                      <c:pt idx="0">
                        <c:v>PL=20:</c:v>
                      </c:pt>
                      <c:pt idx="1">
                        <c:v>7-FSK / 64 kbit/s  </c:v>
                      </c:pt>
                    </c:strCache>
                  </c:strRef>
                </c:tx>
                <c:spPr>
                  <a:ln w="12700" cap="rnd">
                    <a:solidFill>
                      <a:schemeClr val="accent2">
                        <a:lumMod val="80000"/>
                        <a:lumOff val="2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FX22'!$E$4:$P$4</c15:sqref>
                        </c15:formulaRef>
                      </c:ext>
                    </c:extLst>
                    <c:numCache>
                      <c:formatCode>0</c:formatCode>
                      <c:ptCount val="12"/>
                      <c:pt idx="0">
                        <c:v>44.491205401846642</c:v>
                      </c:pt>
                      <c:pt idx="1">
                        <c:v>55.328285245749953</c:v>
                      </c:pt>
                      <c:pt idx="2">
                        <c:v>61.667570571754482</c:v>
                      </c:pt>
                      <c:pt idx="3">
                        <c:v>66.165365089653278</c:v>
                      </c:pt>
                      <c:pt idx="4">
                        <c:v>69.654125557943317</c:v>
                      </c:pt>
                      <c:pt idx="5">
                        <c:v>72.504650415657807</c:v>
                      </c:pt>
                      <c:pt idx="6">
                        <c:v>74.914734842359891</c:v>
                      </c:pt>
                      <c:pt idx="7">
                        <c:v>77.002444933556603</c:v>
                      </c:pt>
                      <c:pt idx="8">
                        <c:v>78.843935741662335</c:v>
                      </c:pt>
                      <c:pt idx="9">
                        <c:v>80.491205401846642</c:v>
                      </c:pt>
                      <c:pt idx="10">
                        <c:v>81.981342067542755</c:v>
                      </c:pt>
                      <c:pt idx="11">
                        <c:v>83.341730259561118</c:v>
                      </c:pt>
                    </c:numCache>
                  </c:numRef>
                </c:val>
                <c:smooth val="1"/>
                <c:extLst xmlns:c15="http://schemas.microsoft.com/office/drawing/2012/chart">
                  <c:ext xmlns:c16="http://schemas.microsoft.com/office/drawing/2014/chart" uri="{C3380CC4-5D6E-409C-BE32-E72D297353CC}">
                    <c16:uniqueId val="{0000000C-F374-4FD5-9E96-0CC2F6254A8D}"/>
                  </c:ext>
                </c:extLst>
              </c15:ser>
            </c15:filteredLineSeries>
            <c15:filteredLineSeries>
              <c15:ser>
                <c:idx val="11"/>
                <c:order val="13"/>
                <c:tx>
                  <c:strRef>
                    <c:extLst xmlns:c15="http://schemas.microsoft.com/office/drawing/2012/chart">
                      <c:ext xmlns:c15="http://schemas.microsoft.com/office/drawing/2012/chart" uri="{02D57815-91ED-43cb-92C2-25804820EDAC}">
                        <c15:formulaRef>
                          <c15:sqref>'[Protection Ratio Calculations.xlsx]Plots for FX22'!$C$5:$D$5</c15:sqref>
                        </c15:formulaRef>
                      </c:ext>
                    </c:extLst>
                    <c:strCache>
                      <c:ptCount val="2"/>
                      <c:pt idx="0">
                        <c:v>PL=10:</c:v>
                      </c:pt>
                      <c:pt idx="1">
                        <c:v>7-FSK / 64 kbit/s  </c:v>
                      </c:pt>
                    </c:strCache>
                  </c:strRef>
                </c:tx>
                <c:spPr>
                  <a:ln w="12700" cap="rnd">
                    <a:solidFill>
                      <a:schemeClr val="accent6">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FX22'!$E$5:$P$5</c15:sqref>
                        </c15:formulaRef>
                      </c:ext>
                    </c:extLst>
                    <c:numCache>
                      <c:formatCode>0</c:formatCode>
                      <c:ptCount val="12"/>
                      <c:pt idx="0">
                        <c:v>39.975755466886923</c:v>
                      </c:pt>
                      <c:pt idx="1">
                        <c:v>50.812835310790234</c:v>
                      </c:pt>
                      <c:pt idx="2">
                        <c:v>57.152120636794777</c:v>
                      </c:pt>
                      <c:pt idx="3">
                        <c:v>61.649915154693559</c:v>
                      </c:pt>
                      <c:pt idx="4">
                        <c:v>65.138675622983598</c:v>
                      </c:pt>
                      <c:pt idx="5">
                        <c:v>67.989200480698088</c:v>
                      </c:pt>
                      <c:pt idx="6">
                        <c:v>70.399284907400173</c:v>
                      </c:pt>
                      <c:pt idx="7">
                        <c:v>72.486994998596884</c:v>
                      </c:pt>
                      <c:pt idx="8">
                        <c:v>74.328485806702616</c:v>
                      </c:pt>
                      <c:pt idx="9">
                        <c:v>75.975755466886923</c:v>
                      </c:pt>
                      <c:pt idx="10">
                        <c:v>77.465892132583036</c:v>
                      </c:pt>
                      <c:pt idx="11">
                        <c:v>78.826280324601413</c:v>
                      </c:pt>
                    </c:numCache>
                  </c:numRef>
                </c:val>
                <c:smooth val="1"/>
                <c:extLst xmlns:c15="http://schemas.microsoft.com/office/drawing/2012/chart">
                  <c:ext xmlns:c16="http://schemas.microsoft.com/office/drawing/2014/chart" uri="{C3380CC4-5D6E-409C-BE32-E72D297353CC}">
                    <c16:uniqueId val="{0000000D-F374-4FD5-9E96-0CC2F6254A8D}"/>
                  </c:ext>
                </c:extLst>
              </c15:ser>
            </c15:filteredLineSeries>
            <c15:filteredLineSeries>
              <c15:ser>
                <c:idx val="12"/>
                <c:order val="14"/>
                <c:tx>
                  <c:strRef>
                    <c:extLst xmlns:c15="http://schemas.microsoft.com/office/drawing/2012/chart">
                      <c:ext xmlns:c15="http://schemas.microsoft.com/office/drawing/2012/chart" uri="{02D57815-91ED-43cb-92C2-25804820EDAC}">
                        <c15:formulaRef>
                          <c15:sqref>'[Protection Ratio Calculations.xlsx]Plots for FX22'!$C$6:$D$6</c15:sqref>
                        </c15:formulaRef>
                      </c:ext>
                    </c:extLst>
                    <c:strCache>
                      <c:ptCount val="2"/>
                      <c:pt idx="0">
                        <c:v>PL=5:</c:v>
                      </c:pt>
                      <c:pt idx="1">
                        <c:v>7-FSK / 64 kbit/s  </c:v>
                      </c:pt>
                    </c:strCache>
                  </c:strRef>
                </c:tx>
                <c:spPr>
                  <a:ln w="12700" cap="rnd">
                    <a:solidFill>
                      <a:schemeClr val="accent1">
                        <a:lumMod val="80000"/>
                        <a:lumOff val="2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FX22'!$E$6:$P$6</c15:sqref>
                        </c15:formulaRef>
                      </c:ext>
                    </c:extLst>
                    <c:numCache>
                      <c:formatCode>0</c:formatCode>
                      <c:ptCount val="12"/>
                      <c:pt idx="0">
                        <c:v>35.460305531927204</c:v>
                      </c:pt>
                      <c:pt idx="1">
                        <c:v>46.297385375830515</c:v>
                      </c:pt>
                      <c:pt idx="2">
                        <c:v>52.636670701835044</c:v>
                      </c:pt>
                      <c:pt idx="3">
                        <c:v>57.134465219733841</c:v>
                      </c:pt>
                      <c:pt idx="4">
                        <c:v>60.623225688023879</c:v>
                      </c:pt>
                      <c:pt idx="5">
                        <c:v>63.473750545738369</c:v>
                      </c:pt>
                      <c:pt idx="6">
                        <c:v>65.883834972440454</c:v>
                      </c:pt>
                      <c:pt idx="7">
                        <c:v>67.971545063637166</c:v>
                      </c:pt>
                      <c:pt idx="8">
                        <c:v>69.813035871742898</c:v>
                      </c:pt>
                      <c:pt idx="9">
                        <c:v>71.460305531927204</c:v>
                      </c:pt>
                      <c:pt idx="10">
                        <c:v>72.950442197623317</c:v>
                      </c:pt>
                      <c:pt idx="11">
                        <c:v>74.31083038964168</c:v>
                      </c:pt>
                    </c:numCache>
                  </c:numRef>
                </c:val>
                <c:smooth val="1"/>
                <c:extLst xmlns:c15="http://schemas.microsoft.com/office/drawing/2012/chart">
                  <c:ext xmlns:c16="http://schemas.microsoft.com/office/drawing/2014/chart" uri="{C3380CC4-5D6E-409C-BE32-E72D297353CC}">
                    <c16:uniqueId val="{0000000E-F374-4FD5-9E96-0CC2F6254A8D}"/>
                  </c:ext>
                </c:extLst>
              </c15:ser>
            </c15:filteredLineSeries>
            <c15:filteredLineSeries>
              <c15:ser>
                <c:idx val="3"/>
                <c:order val="15"/>
                <c:tx>
                  <c:strRef>
                    <c:extLst xmlns:c15="http://schemas.microsoft.com/office/drawing/2012/chart">
                      <c:ext xmlns:c15="http://schemas.microsoft.com/office/drawing/2012/chart" uri="{02D57815-91ED-43cb-92C2-25804820EDAC}">
                        <c15:formulaRef>
                          <c15:sqref>'[Protection Ratio Calculations.xlsx]Plots for FX22'!$D$22</c15:sqref>
                        </c15:formulaRef>
                      </c:ext>
                    </c:extLst>
                    <c:strCache>
                      <c:ptCount val="1"/>
                      <c:pt idx="0">
                        <c:v>Protection Ratios for Narrow Band links (&lt;100kHz)</c:v>
                      </c:pt>
                    </c:strCache>
                  </c:strRef>
                </c:tx>
                <c:spPr>
                  <a:ln w="19050" cap="rnd">
                    <a:solidFill>
                      <a:schemeClr val="tx1"/>
                    </a:solidFill>
                    <a:prstDash val="dash"/>
                    <a:round/>
                  </a:ln>
                  <a:effectLst/>
                </c:spPr>
                <c:marker>
                  <c:symbol val="none"/>
                </c:marker>
                <c:cat>
                  <c:numRef>
                    <c:extLst xmlns:c15="http://schemas.microsoft.com/office/drawing/2012/chart">
                      <c:ext xmlns:c15="http://schemas.microsoft.com/office/drawing/2012/chart" uri="{02D57815-91ED-43cb-92C2-25804820EDAC}">
                        <c15:formulaRef>
                          <c15:sqref>'[Protection Ratio Calculations.xlsx]Plots for FX22'!$E$3:$P$3</c15:sqref>
                        </c15:formulaRef>
                      </c:ext>
                    </c:extLst>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extLst xmlns:c15="http://schemas.microsoft.com/office/drawing/2012/chart">
                      <c:ext xmlns:c15="http://schemas.microsoft.com/office/drawing/2012/chart" uri="{02D57815-91ED-43cb-92C2-25804820EDAC}">
                        <c15:formulaRef>
                          <c15:sqref>'[Protection Ratio Calculations.xlsx]Plots for FX22'!$E$22:$P$22</c15:sqref>
                        </c15:formulaRef>
                      </c:ext>
                    </c:extLst>
                    <c:numCache>
                      <c:formatCode>General</c:formatCode>
                      <c:ptCount val="12"/>
                      <c:pt idx="0">
                        <c:v>30</c:v>
                      </c:pt>
                      <c:pt idx="1">
                        <c:v>30</c:v>
                      </c:pt>
                      <c:pt idx="2">
                        <c:v>30</c:v>
                      </c:pt>
                      <c:pt idx="3">
                        <c:v>30</c:v>
                      </c:pt>
                      <c:pt idx="4">
                        <c:v>30</c:v>
                      </c:pt>
                      <c:pt idx="5">
                        <c:v>30</c:v>
                      </c:pt>
                      <c:pt idx="6">
                        <c:v>30</c:v>
                      </c:pt>
                      <c:pt idx="7">
                        <c:v>30</c:v>
                      </c:pt>
                      <c:pt idx="8">
                        <c:v>30</c:v>
                      </c:pt>
                      <c:pt idx="9">
                        <c:v>30</c:v>
                      </c:pt>
                      <c:pt idx="10">
                        <c:v>30</c:v>
                      </c:pt>
                      <c:pt idx="11">
                        <c:v>30</c:v>
                      </c:pt>
                    </c:numCache>
                  </c:numRef>
                </c:val>
                <c:smooth val="0"/>
                <c:extLst xmlns:c15="http://schemas.microsoft.com/office/drawing/2012/chart">
                  <c:ext xmlns:c16="http://schemas.microsoft.com/office/drawing/2014/chart" uri="{C3380CC4-5D6E-409C-BE32-E72D297353CC}">
                    <c16:uniqueId val="{0000000F-F374-4FD5-9E96-0CC2F6254A8D}"/>
                  </c:ext>
                </c:extLst>
              </c15:ser>
            </c15:filteredLineSeries>
            <c15:filteredLineSeries>
              <c15:ser>
                <c:idx val="16"/>
                <c:order val="16"/>
                <c:tx>
                  <c:strRef>
                    <c:extLst xmlns:c15="http://schemas.microsoft.com/office/drawing/2012/chart">
                      <c:ext xmlns:c15="http://schemas.microsoft.com/office/drawing/2012/chart" uri="{02D57815-91ED-43cb-92C2-25804820EDAC}">
                        <c15:formulaRef>
                          <c15:sqref>'[Protection Ratio Calculations.xlsx]Plots for FX22'!$C$10:$D$10</c15:sqref>
                        </c15:formulaRef>
                      </c:ext>
                    </c:extLst>
                    <c:strCache>
                      <c:ptCount val="2"/>
                      <c:pt idx="0">
                        <c:v>PL=20:</c:v>
                      </c:pt>
                      <c:pt idx="1">
                        <c:v>16-QAM / 128 kbit/s </c:v>
                      </c:pt>
                    </c:strCache>
                  </c:strRef>
                </c:tx>
                <c:spPr>
                  <a:ln w="12700" cap="rnd">
                    <a:solidFill>
                      <a:schemeClr val="accent5">
                        <a:lumMod val="80000"/>
                        <a:lumOff val="2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FX22'!$E$10:$P$10</c15:sqref>
                        </c15:formulaRef>
                      </c:ext>
                    </c:extLst>
                    <c:numCache>
                      <c:formatCode>0</c:formatCode>
                      <c:ptCount val="12"/>
                      <c:pt idx="0">
                        <c:v>37.491205401846642</c:v>
                      </c:pt>
                      <c:pt idx="1">
                        <c:v>48.328285245749953</c:v>
                      </c:pt>
                      <c:pt idx="2">
                        <c:v>54.667570571754482</c:v>
                      </c:pt>
                      <c:pt idx="3">
                        <c:v>59.165365089653278</c:v>
                      </c:pt>
                      <c:pt idx="4">
                        <c:v>62.654125557943317</c:v>
                      </c:pt>
                      <c:pt idx="5">
                        <c:v>65.504650415657807</c:v>
                      </c:pt>
                      <c:pt idx="6">
                        <c:v>67.914734842359891</c:v>
                      </c:pt>
                      <c:pt idx="7">
                        <c:v>70.002444933556603</c:v>
                      </c:pt>
                      <c:pt idx="8">
                        <c:v>71.843935741662335</c:v>
                      </c:pt>
                      <c:pt idx="9">
                        <c:v>73.491205401846642</c:v>
                      </c:pt>
                      <c:pt idx="10">
                        <c:v>74.981342067542755</c:v>
                      </c:pt>
                      <c:pt idx="11">
                        <c:v>76.341730259561118</c:v>
                      </c:pt>
                    </c:numCache>
                  </c:numRef>
                </c:val>
                <c:smooth val="1"/>
                <c:extLst xmlns:c15="http://schemas.microsoft.com/office/drawing/2012/chart">
                  <c:ext xmlns:c16="http://schemas.microsoft.com/office/drawing/2014/chart" uri="{C3380CC4-5D6E-409C-BE32-E72D297353CC}">
                    <c16:uniqueId val="{00000010-F374-4FD5-9E96-0CC2F6254A8D}"/>
                  </c:ext>
                </c:extLst>
              </c15:ser>
            </c15:filteredLineSeries>
            <c15:filteredLineSeries>
              <c15:ser>
                <c:idx val="17"/>
                <c:order val="17"/>
                <c:tx>
                  <c:strRef>
                    <c:extLst xmlns:c15="http://schemas.microsoft.com/office/drawing/2012/chart">
                      <c:ext xmlns:c15="http://schemas.microsoft.com/office/drawing/2012/chart" uri="{02D57815-91ED-43cb-92C2-25804820EDAC}">
                        <c15:formulaRef>
                          <c15:sqref>'[Protection Ratio Calculations.xlsx]Plots for FX22'!$C$11:$D$11</c15:sqref>
                        </c15:formulaRef>
                      </c:ext>
                    </c:extLst>
                    <c:strCache>
                      <c:ptCount val="2"/>
                      <c:pt idx="0">
                        <c:v>PL=10:</c:v>
                      </c:pt>
                      <c:pt idx="1">
                        <c:v>16-QAM / 128 kbit/s </c:v>
                      </c:pt>
                    </c:strCache>
                  </c:strRef>
                </c:tx>
                <c:spPr>
                  <a:ln w="12700" cap="rnd">
                    <a:solidFill>
                      <a:schemeClr val="accent6">
                        <a:lumMod val="80000"/>
                        <a:lumOff val="2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FX22'!$E$11:$P$11</c15:sqref>
                        </c15:formulaRef>
                      </c:ext>
                    </c:extLst>
                    <c:numCache>
                      <c:formatCode>0</c:formatCode>
                      <c:ptCount val="12"/>
                      <c:pt idx="0">
                        <c:v>32.975755466886923</c:v>
                      </c:pt>
                      <c:pt idx="1">
                        <c:v>43.812835310790234</c:v>
                      </c:pt>
                      <c:pt idx="2">
                        <c:v>50.152120636794777</c:v>
                      </c:pt>
                      <c:pt idx="3">
                        <c:v>54.649915154693559</c:v>
                      </c:pt>
                      <c:pt idx="4">
                        <c:v>58.138675622983598</c:v>
                      </c:pt>
                      <c:pt idx="5">
                        <c:v>60.989200480698088</c:v>
                      </c:pt>
                      <c:pt idx="6">
                        <c:v>63.399284907400173</c:v>
                      </c:pt>
                      <c:pt idx="7">
                        <c:v>65.486994998596884</c:v>
                      </c:pt>
                      <c:pt idx="8">
                        <c:v>67.328485806702616</c:v>
                      </c:pt>
                      <c:pt idx="9">
                        <c:v>68.975755466886923</c:v>
                      </c:pt>
                      <c:pt idx="10">
                        <c:v>70.465892132583036</c:v>
                      </c:pt>
                      <c:pt idx="11">
                        <c:v>71.826280324601413</c:v>
                      </c:pt>
                    </c:numCache>
                  </c:numRef>
                </c:val>
                <c:smooth val="1"/>
                <c:extLst xmlns:c15="http://schemas.microsoft.com/office/drawing/2012/chart">
                  <c:ext xmlns:c16="http://schemas.microsoft.com/office/drawing/2014/chart" uri="{C3380CC4-5D6E-409C-BE32-E72D297353CC}">
                    <c16:uniqueId val="{00000011-F374-4FD5-9E96-0CC2F6254A8D}"/>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'[Protection Ratio Calculations.xlsx]Plots for FX22'!$C$12:$D$12</c15:sqref>
                        </c15:formulaRef>
                      </c:ext>
                    </c:extLst>
                    <c:strCache>
                      <c:ptCount val="2"/>
                      <c:pt idx="0">
                        <c:v>PL=5:</c:v>
                      </c:pt>
                      <c:pt idx="1">
                        <c:v>16-QAM / 128 kbit/s </c:v>
                      </c:pt>
                    </c:strCache>
                  </c:strRef>
                </c:tx>
                <c:spPr>
                  <a:ln w="12700" cap="rnd">
                    <a:solidFill>
                      <a:schemeClr val="accent1">
                        <a:lumMod val="80000"/>
                      </a:schemeClr>
                    </a:solidFill>
                    <a:round/>
                  </a:ln>
                  <a:effectLst/>
                </c:spPr>
                <c:marker>
                  <c:symbol val="none"/>
                </c:marker>
                <c:val>
                  <c:numRef>
                    <c:extLst xmlns:c15="http://schemas.microsoft.com/office/drawing/2012/chart">
                      <c:ext xmlns:c15="http://schemas.microsoft.com/office/drawing/2012/chart" uri="{02D57815-91ED-43cb-92C2-25804820EDAC}">
                        <c15:formulaRef>
                          <c15:sqref>'[Protection Ratio Calculations.xlsx]Plots for FX22'!$E$12:$P$12</c15:sqref>
                        </c15:formulaRef>
                      </c:ext>
                    </c:extLst>
                    <c:numCache>
                      <c:formatCode>0</c:formatCode>
                      <c:ptCount val="12"/>
                      <c:pt idx="0">
                        <c:v>28.460305531927204</c:v>
                      </c:pt>
                      <c:pt idx="1">
                        <c:v>39.297385375830515</c:v>
                      </c:pt>
                      <c:pt idx="2">
                        <c:v>45.636670701835044</c:v>
                      </c:pt>
                      <c:pt idx="3">
                        <c:v>50.134465219733841</c:v>
                      </c:pt>
                      <c:pt idx="4">
                        <c:v>53.623225688023879</c:v>
                      </c:pt>
                      <c:pt idx="5">
                        <c:v>56.473750545738369</c:v>
                      </c:pt>
                      <c:pt idx="6">
                        <c:v>58.883834972440454</c:v>
                      </c:pt>
                      <c:pt idx="7">
                        <c:v>60.971545063637166</c:v>
                      </c:pt>
                      <c:pt idx="8">
                        <c:v>62.813035871742898</c:v>
                      </c:pt>
                      <c:pt idx="9">
                        <c:v>64.460305531927204</c:v>
                      </c:pt>
                      <c:pt idx="10">
                        <c:v>65.950442197623317</c:v>
                      </c:pt>
                      <c:pt idx="11">
                        <c:v>67.31083038964168</c:v>
                      </c:pt>
                    </c:numCache>
                  </c:numRef>
                </c:val>
                <c:smooth val="1"/>
                <c:extLst xmlns:c15="http://schemas.microsoft.com/office/drawing/2012/chart">
                  <c:ext xmlns:c16="http://schemas.microsoft.com/office/drawing/2014/chart" uri="{C3380CC4-5D6E-409C-BE32-E72D297353CC}">
                    <c16:uniqueId val="{00000012-F374-4FD5-9E96-0CC2F6254A8D}"/>
                  </c:ext>
                </c:extLst>
              </c15:ser>
            </c15:filteredLineSeries>
          </c:ext>
        </c:extLst>
      </c:lineChart>
      <c:catAx>
        <c:axId val="1855335455"/>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b="0">
                    <a:latin typeface="Arial" panose="020B0604020202020204" pitchFamily="34" charset="0"/>
                    <a:cs typeface="Arial" panose="020B0604020202020204" pitchFamily="34" charset="0"/>
                  </a:rPr>
                  <a:t>PTP</a:t>
                </a:r>
                <a:r>
                  <a:rPr lang="en-AU" b="0" baseline="0">
                    <a:latin typeface="Arial" panose="020B0604020202020204" pitchFamily="34" charset="0"/>
                    <a:cs typeface="Arial" panose="020B0604020202020204" pitchFamily="34" charset="0"/>
                  </a:rPr>
                  <a:t> link</a:t>
                </a:r>
                <a:r>
                  <a:rPr lang="en-AU" b="0">
                    <a:latin typeface="Arial" panose="020B0604020202020204" pitchFamily="34" charset="0"/>
                    <a:cs typeface="Arial" panose="020B0604020202020204" pitchFamily="34" charset="0"/>
                  </a:rPr>
                  <a:t> length (km)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05823"/>
        <c:crosses val="autoZero"/>
        <c:auto val="1"/>
        <c:lblAlgn val="ctr"/>
        <c:lblOffset val="100"/>
        <c:noMultiLvlLbl val="0"/>
      </c:catAx>
      <c:valAx>
        <c:axId val="448805823"/>
        <c:scaling>
          <c:orientation val="minMax"/>
        </c:scaling>
        <c:delete val="0"/>
        <c:axPos val="l"/>
        <c:majorGridlines>
          <c:spPr>
            <a:ln w="9525" cap="sq"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b="0">
                    <a:latin typeface="Arial" panose="020B0604020202020204" pitchFamily="34" charset="0"/>
                    <a:cs typeface="Arial" panose="020B0604020202020204" pitchFamily="34" charset="0"/>
                  </a:rPr>
                  <a:t>Calculated Protection</a:t>
                </a:r>
                <a:r>
                  <a:rPr lang="en-AU" b="0" baseline="0">
                    <a:latin typeface="Arial" panose="020B0604020202020204" pitchFamily="34" charset="0"/>
                    <a:cs typeface="Arial" panose="020B0604020202020204" pitchFamily="34" charset="0"/>
                  </a:rPr>
                  <a:t> Ratio (dB)</a:t>
                </a:r>
                <a:endParaRPr lang="en-AU" b="0">
                  <a:latin typeface="Arial" panose="020B0604020202020204" pitchFamily="34" charset="0"/>
                  <a:cs typeface="Arial" panose="020B0604020202020204" pitchFamily="34" charset="0"/>
                </a:endParaRPr>
              </a:p>
            </c:rich>
          </c:tx>
          <c:layout>
            <c:manualLayout>
              <c:xMode val="edge"/>
              <c:yMode val="edge"/>
              <c:x val="1.5929918393662149E-2"/>
              <c:y val="0.279057979796686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855335455"/>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manualLayout>
          <c:xMode val="edge"/>
          <c:yMode val="edge"/>
          <c:x val="0.49398039688337603"/>
          <c:y val="0.58174816289383535"/>
          <c:w val="0.35917628916782218"/>
          <c:h val="0.17381328150282355"/>
        </c:manualLayout>
      </c:layout>
      <c:overlay val="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0357049802608"/>
          <c:y val="4.3230207011041737E-2"/>
          <c:w val="0.83721743256039594"/>
          <c:h val="0.86260767753732703"/>
        </c:manualLayout>
      </c:layout>
      <c:lineChart>
        <c:grouping val="standard"/>
        <c:varyColors val="0"/>
        <c:ser>
          <c:idx val="1"/>
          <c:order val="0"/>
          <c:tx>
            <c:strRef>
              <c:f>'[Protection Ratio Calculations.xlsx]Plots for FX22'!$C$74</c:f>
              <c:strCache>
                <c:ptCount val="1"/>
                <c:pt idx="0">
                  <c:v>PL=20:</c:v>
                </c:pt>
              </c:strCache>
            </c:strRef>
          </c:tx>
          <c:spPr>
            <a:ln w="15875" cap="rnd">
              <a:solidFill>
                <a:schemeClr val="tx1"/>
              </a:solidFill>
              <a:prstDash val="sysDot"/>
              <a:round/>
            </a:ln>
            <a:effectLst/>
          </c:spPr>
          <c:marker>
            <c:symbol val="none"/>
          </c:marker>
          <c:dLbls>
            <c:dLbl>
              <c:idx val="0"/>
              <c:layout>
                <c:manualLayout>
                  <c:x val="-6.3330511718014668E-2"/>
                  <c:y val="-6.6424362908265168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8-45BF-930C-EBAB36C8BB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'[Protection Ratio Calculations.xlsx]Plots for FX22'!$E$56:$T$56</c:f>
              <c:numCache>
                <c:formatCode>General</c:formatCode>
                <c:ptCount val="16"/>
                <c:pt idx="0">
                  <c:v>0</c:v>
                </c:pt>
                <c:pt idx="1">
                  <c:v>10</c:v>
                </c:pt>
                <c:pt idx="2">
                  <c:v>15</c:v>
                </c:pt>
                <c:pt idx="3">
                  <c:v>20</c:v>
                </c:pt>
                <c:pt idx="4">
                  <c:v>25</c:v>
                </c:pt>
                <c:pt idx="5">
                  <c:v>30</c:v>
                </c:pt>
                <c:pt idx="6">
                  <c:v>35</c:v>
                </c:pt>
                <c:pt idx="7">
                  <c:v>40</c:v>
                </c:pt>
                <c:pt idx="8">
                  <c:v>50</c:v>
                </c:pt>
                <c:pt idx="9">
                  <c:v>60</c:v>
                </c:pt>
                <c:pt idx="10">
                  <c:v>70</c:v>
                </c:pt>
                <c:pt idx="11">
                  <c:v>80</c:v>
                </c:pt>
                <c:pt idx="12">
                  <c:v>90</c:v>
                </c:pt>
                <c:pt idx="13">
                  <c:v>100</c:v>
                </c:pt>
                <c:pt idx="14">
                  <c:v>110</c:v>
                </c:pt>
                <c:pt idx="15">
                  <c:v>120</c:v>
                </c:pt>
              </c:numCache>
            </c:numRef>
          </c:cat>
          <c:val>
            <c:numRef>
              <c:f>'[Protection Ratio Calculations.xlsx]Plots for FX22'!$E$74:$T$74</c:f>
              <c:numCache>
                <c:formatCode>0</c:formatCode>
                <c:ptCount val="16"/>
                <c:pt idx="0">
                  <c:v>37.470605488567017</c:v>
                </c:pt>
                <c:pt idx="1">
                  <c:v>37.470605488567017</c:v>
                </c:pt>
                <c:pt idx="2">
                  <c:v>41.83530274428351</c:v>
                </c:pt>
                <c:pt idx="3">
                  <c:v>46.2</c:v>
                </c:pt>
                <c:pt idx="4">
                  <c:v>50</c:v>
                </c:pt>
                <c:pt idx="5">
                  <c:v>50</c:v>
                </c:pt>
                <c:pt idx="6">
                  <c:v>50</c:v>
                </c:pt>
                <c:pt idx="7">
                  <c:v>50</c:v>
                </c:pt>
                <c:pt idx="8">
                  <c:v>50</c:v>
                </c:pt>
                <c:pt idx="9">
                  <c:v>50</c:v>
                </c:pt>
                <c:pt idx="10">
                  <c:v>50</c:v>
                </c:pt>
                <c:pt idx="11">
                  <c:v>50</c:v>
                </c:pt>
                <c:pt idx="12">
                  <c:v>50</c:v>
                </c:pt>
                <c:pt idx="13">
                  <c:v>50</c:v>
                </c:pt>
                <c:pt idx="14">
                  <c:v>50</c:v>
                </c:pt>
                <c:pt idx="15">
                  <c:v>50</c:v>
                </c:pt>
              </c:numCache>
            </c:numRef>
          </c:val>
          <c:smooth val="0"/>
          <c:extLst xmlns:c15="http://schemas.microsoft.com/office/drawing/2012/chart">
            <c:ext xmlns:c16="http://schemas.microsoft.com/office/drawing/2014/chart" uri="{C3380CC4-5D6E-409C-BE32-E72D297353CC}">
              <c16:uniqueId val="{00000001-BD08-45BF-930C-EBAB36C8BBFB}"/>
            </c:ext>
          </c:extLst>
        </c:ser>
        <c:ser>
          <c:idx val="2"/>
          <c:order val="1"/>
          <c:tx>
            <c:strRef>
              <c:f>'[Protection Ratio Calculations.xlsx]Plots for FX22'!$C$75</c:f>
              <c:strCache>
                <c:ptCount val="1"/>
                <c:pt idx="0">
                  <c:v>PL=10:</c:v>
                </c:pt>
              </c:strCache>
            </c:strRef>
          </c:tx>
          <c:spPr>
            <a:ln w="15875" cap="rnd">
              <a:solidFill>
                <a:schemeClr val="tx1"/>
              </a:solidFill>
              <a:prstDash val="dash"/>
              <a:round/>
            </a:ln>
            <a:effectLst/>
          </c:spPr>
          <c:marker>
            <c:symbol val="none"/>
          </c:marker>
          <c:dLbls>
            <c:dLbl>
              <c:idx val="0"/>
              <c:layout>
                <c:manualLayout>
                  <c:x val="-8.2193905464593611E-2"/>
                  <c:y val="2.0882544218883991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0421066353800008E-2"/>
                      <c:h val="3.6222281236459715E-2"/>
                    </c:manualLayout>
                  </c15:layout>
                </c:ext>
                <c:ext xmlns:c16="http://schemas.microsoft.com/office/drawing/2014/chart" uri="{C3380CC4-5D6E-409C-BE32-E72D297353CC}">
                  <c16:uniqueId val="{00000002-BD08-45BF-930C-EBAB36C8BB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'[Protection Ratio Calculations.xlsx]Plots for FX22'!$E$56:$T$56</c:f>
              <c:numCache>
                <c:formatCode>General</c:formatCode>
                <c:ptCount val="16"/>
                <c:pt idx="0">
                  <c:v>0</c:v>
                </c:pt>
                <c:pt idx="1">
                  <c:v>10</c:v>
                </c:pt>
                <c:pt idx="2">
                  <c:v>15</c:v>
                </c:pt>
                <c:pt idx="3">
                  <c:v>20</c:v>
                </c:pt>
                <c:pt idx="4">
                  <c:v>25</c:v>
                </c:pt>
                <c:pt idx="5">
                  <c:v>30</c:v>
                </c:pt>
                <c:pt idx="6">
                  <c:v>35</c:v>
                </c:pt>
                <c:pt idx="7">
                  <c:v>40</c:v>
                </c:pt>
                <c:pt idx="8">
                  <c:v>50</c:v>
                </c:pt>
                <c:pt idx="9">
                  <c:v>60</c:v>
                </c:pt>
                <c:pt idx="10">
                  <c:v>70</c:v>
                </c:pt>
                <c:pt idx="11">
                  <c:v>80</c:v>
                </c:pt>
                <c:pt idx="12">
                  <c:v>90</c:v>
                </c:pt>
                <c:pt idx="13">
                  <c:v>100</c:v>
                </c:pt>
                <c:pt idx="14">
                  <c:v>110</c:v>
                </c:pt>
                <c:pt idx="15">
                  <c:v>120</c:v>
                </c:pt>
              </c:numCache>
            </c:numRef>
          </c:cat>
          <c:val>
            <c:numRef>
              <c:f>'[Protection Ratio Calculations.xlsx]Plots for FX22'!$E$75:$T$75</c:f>
              <c:numCache>
                <c:formatCode>0</c:formatCode>
                <c:ptCount val="16"/>
                <c:pt idx="0">
                  <c:v>32.955155553607298</c:v>
                </c:pt>
                <c:pt idx="1">
                  <c:v>32.955155553607298</c:v>
                </c:pt>
                <c:pt idx="2">
                  <c:v>37.577577776803651</c:v>
                </c:pt>
                <c:pt idx="3">
                  <c:v>42.2</c:v>
                </c:pt>
                <c:pt idx="4">
                  <c:v>46.1</c:v>
                </c:pt>
                <c:pt idx="5">
                  <c:v>50</c:v>
                </c:pt>
                <c:pt idx="6">
                  <c:v>50</c:v>
                </c:pt>
                <c:pt idx="7">
                  <c:v>50</c:v>
                </c:pt>
                <c:pt idx="8">
                  <c:v>50</c:v>
                </c:pt>
                <c:pt idx="9">
                  <c:v>50</c:v>
                </c:pt>
                <c:pt idx="10">
                  <c:v>50</c:v>
                </c:pt>
                <c:pt idx="11">
                  <c:v>50</c:v>
                </c:pt>
                <c:pt idx="12">
                  <c:v>50</c:v>
                </c:pt>
                <c:pt idx="13">
                  <c:v>50</c:v>
                </c:pt>
                <c:pt idx="14">
                  <c:v>50</c:v>
                </c:pt>
                <c:pt idx="15">
                  <c:v>50</c:v>
                </c:pt>
              </c:numCache>
            </c:numRef>
          </c:val>
          <c:smooth val="0"/>
          <c:extLst xmlns:c15="http://schemas.microsoft.com/office/drawing/2012/chart">
            <c:ext xmlns:c16="http://schemas.microsoft.com/office/drawing/2014/chart" uri="{C3380CC4-5D6E-409C-BE32-E72D297353CC}">
              <c16:uniqueId val="{00000003-BD08-45BF-930C-EBAB36C8BBFB}"/>
            </c:ext>
          </c:extLst>
        </c:ser>
        <c:ser>
          <c:idx val="3"/>
          <c:order val="2"/>
          <c:tx>
            <c:strRef>
              <c:f>'[Protection Ratio Calculations.xlsx]Plots for FX22'!$C$76</c:f>
              <c:strCache>
                <c:ptCount val="1"/>
                <c:pt idx="0">
                  <c:v>PL=5:</c:v>
                </c:pt>
              </c:strCache>
            </c:strRef>
          </c:tx>
          <c:spPr>
            <a:ln w="15875" cap="rnd">
              <a:solidFill>
                <a:schemeClr val="tx1"/>
              </a:solidFill>
              <a:round/>
            </a:ln>
            <a:effectLst/>
          </c:spPr>
          <c:marker>
            <c:symbol val="none"/>
          </c:marker>
          <c:dLbls>
            <c:dLbl>
              <c:idx val="0"/>
              <c:layout>
                <c:manualLayout>
                  <c:x val="-7.9854077684951091E-2"/>
                  <c:y val="-1.8116731440730293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774102949837639E-2"/>
                      <c:h val="2.895840878671813E-2"/>
                    </c:manualLayout>
                  </c15:layout>
                </c:ext>
                <c:ext xmlns:c16="http://schemas.microsoft.com/office/drawing/2014/chart" uri="{C3380CC4-5D6E-409C-BE32-E72D297353CC}">
                  <c16:uniqueId val="{00000004-BD08-45BF-930C-EBAB36C8BB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'[Protection Ratio Calculations.xlsx]Plots for FX22'!$E$56:$T$56</c:f>
              <c:numCache>
                <c:formatCode>General</c:formatCode>
                <c:ptCount val="16"/>
                <c:pt idx="0">
                  <c:v>0</c:v>
                </c:pt>
                <c:pt idx="1">
                  <c:v>10</c:v>
                </c:pt>
                <c:pt idx="2">
                  <c:v>15</c:v>
                </c:pt>
                <c:pt idx="3">
                  <c:v>20</c:v>
                </c:pt>
                <c:pt idx="4">
                  <c:v>25</c:v>
                </c:pt>
                <c:pt idx="5">
                  <c:v>30</c:v>
                </c:pt>
                <c:pt idx="6">
                  <c:v>35</c:v>
                </c:pt>
                <c:pt idx="7">
                  <c:v>40</c:v>
                </c:pt>
                <c:pt idx="8">
                  <c:v>50</c:v>
                </c:pt>
                <c:pt idx="9">
                  <c:v>60</c:v>
                </c:pt>
                <c:pt idx="10">
                  <c:v>70</c:v>
                </c:pt>
                <c:pt idx="11">
                  <c:v>80</c:v>
                </c:pt>
                <c:pt idx="12">
                  <c:v>90</c:v>
                </c:pt>
                <c:pt idx="13">
                  <c:v>100</c:v>
                </c:pt>
                <c:pt idx="14">
                  <c:v>110</c:v>
                </c:pt>
                <c:pt idx="15">
                  <c:v>120</c:v>
                </c:pt>
              </c:numCache>
            </c:numRef>
          </c:cat>
          <c:val>
            <c:numRef>
              <c:f>'[Protection Ratio Calculations.xlsx]Plots for FX22'!$E$76:$T$76</c:f>
              <c:numCache>
                <c:formatCode>0</c:formatCode>
                <c:ptCount val="16"/>
                <c:pt idx="0">
                  <c:v>28.439705618647579</c:v>
                </c:pt>
                <c:pt idx="1">
                  <c:v>28.439705618647579</c:v>
                </c:pt>
                <c:pt idx="2">
                  <c:v>32.96985280932379</c:v>
                </c:pt>
                <c:pt idx="3">
                  <c:v>37.5</c:v>
                </c:pt>
                <c:pt idx="4">
                  <c:v>41.946428125553197</c:v>
                </c:pt>
                <c:pt idx="5">
                  <c:v>46.216070788555399</c:v>
                </c:pt>
                <c:pt idx="6">
                  <c:v>50</c:v>
                </c:pt>
                <c:pt idx="7">
                  <c:v>50</c:v>
                </c:pt>
                <c:pt idx="8">
                  <c:v>50</c:v>
                </c:pt>
                <c:pt idx="9">
                  <c:v>50</c:v>
                </c:pt>
                <c:pt idx="10">
                  <c:v>50</c:v>
                </c:pt>
                <c:pt idx="11">
                  <c:v>50</c:v>
                </c:pt>
                <c:pt idx="12">
                  <c:v>50</c:v>
                </c:pt>
                <c:pt idx="13">
                  <c:v>50</c:v>
                </c:pt>
                <c:pt idx="14">
                  <c:v>50</c:v>
                </c:pt>
                <c:pt idx="15">
                  <c:v>50</c:v>
                </c:pt>
              </c:numCache>
            </c:numRef>
          </c:val>
          <c:smooth val="0"/>
          <c:extLst xmlns:c15="http://schemas.microsoft.com/office/drawing/2012/chart">
            <c:ext xmlns:c16="http://schemas.microsoft.com/office/drawing/2014/chart" uri="{C3380CC4-5D6E-409C-BE32-E72D297353CC}">
              <c16:uniqueId val="{00000005-BD08-45BF-930C-EBAB36C8BBFB}"/>
            </c:ext>
          </c:extLst>
        </c:ser>
        <c:dLbls>
          <c:showLegendKey val="0"/>
          <c:showVal val="0"/>
          <c:showCatName val="0"/>
          <c:showSerName val="0"/>
          <c:showPercent val="0"/>
          <c:showBubbleSize val="0"/>
        </c:dLbls>
        <c:smooth val="0"/>
        <c:axId val="1855335455"/>
        <c:axId val="448805823"/>
        <c:extLst/>
      </c:lineChart>
      <c:catAx>
        <c:axId val="1855335455"/>
        <c:scaling>
          <c:orientation val="minMax"/>
        </c:scaling>
        <c:delete val="0"/>
        <c:axPos val="b"/>
        <c:minorGridlines>
          <c:spPr>
            <a:ln w="12700" cap="flat" cmpd="sng" algn="ctr">
              <a:solidFill>
                <a:schemeClr val="tx1">
                  <a:lumMod val="5000"/>
                  <a:lumOff val="95000"/>
                </a:schemeClr>
              </a:solidFill>
              <a:prstDash val="sysDot"/>
              <a:round/>
            </a:ln>
            <a:effectLst/>
          </c:spPr>
        </c:min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1000" b="0">
                    <a:solidFill>
                      <a:sysClr val="windowText" lastClr="000000"/>
                    </a:solidFill>
                    <a:latin typeface="Arial" panose="020B0604020202020204" pitchFamily="34" charset="0"/>
                    <a:cs typeface="Arial" panose="020B0604020202020204" pitchFamily="34" charset="0"/>
                  </a:rPr>
                  <a:t>PTP</a:t>
                </a:r>
                <a:r>
                  <a:rPr lang="en-AU" sz="1000" b="0" baseline="0">
                    <a:solidFill>
                      <a:sysClr val="windowText" lastClr="000000"/>
                    </a:solidFill>
                    <a:latin typeface="Arial" panose="020B0604020202020204" pitchFamily="34" charset="0"/>
                    <a:cs typeface="Arial" panose="020B0604020202020204" pitchFamily="34" charset="0"/>
                  </a:rPr>
                  <a:t> link</a:t>
                </a:r>
                <a:r>
                  <a:rPr lang="en-AU" sz="1000" b="0">
                    <a:solidFill>
                      <a:sysClr val="windowText" lastClr="000000"/>
                    </a:solidFill>
                    <a:latin typeface="Arial" panose="020B0604020202020204" pitchFamily="34" charset="0"/>
                    <a:cs typeface="Arial" panose="020B0604020202020204" pitchFamily="34" charset="0"/>
                  </a:rPr>
                  <a:t> length (km)</a:t>
                </a:r>
              </a:p>
            </c:rich>
          </c:tx>
          <c:layout>
            <c:manualLayout>
              <c:xMode val="edge"/>
              <c:yMode val="edge"/>
              <c:x val="0.40670298969525653"/>
              <c:y val="0.9514869267783474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mn-lt"/>
                <a:ea typeface="+mn-ea"/>
                <a:cs typeface="+mn-cs"/>
              </a:defRPr>
            </a:pPr>
            <a:endParaRPr lang="en-US"/>
          </a:p>
        </c:txPr>
        <c:crossAx val="448805823"/>
        <c:crossesAt val="30"/>
        <c:auto val="1"/>
        <c:lblAlgn val="ctr"/>
        <c:lblOffset val="100"/>
        <c:tickLblSkip val="1"/>
        <c:noMultiLvlLbl val="0"/>
      </c:catAx>
      <c:valAx>
        <c:axId val="448805823"/>
        <c:scaling>
          <c:orientation val="minMax"/>
          <c:max val="52"/>
          <c:min val="25"/>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1000" b="0">
                    <a:solidFill>
                      <a:sysClr val="windowText" lastClr="000000"/>
                    </a:solidFill>
                    <a:latin typeface="Arial" panose="020B0604020202020204" pitchFamily="34" charset="0"/>
                    <a:cs typeface="Arial" panose="020B0604020202020204" pitchFamily="34" charset="0"/>
                  </a:rPr>
                  <a:t>Protection</a:t>
                </a:r>
                <a:r>
                  <a:rPr lang="en-AU" sz="1000" b="0" baseline="0">
                    <a:solidFill>
                      <a:sysClr val="windowText" lastClr="000000"/>
                    </a:solidFill>
                    <a:latin typeface="Arial" panose="020B0604020202020204" pitchFamily="34" charset="0"/>
                    <a:cs typeface="Arial" panose="020B0604020202020204" pitchFamily="34" charset="0"/>
                  </a:rPr>
                  <a:t> Ratio (dB)</a:t>
                </a:r>
                <a:endParaRPr lang="en-AU" sz="1000" b="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3751587172057147E-2"/>
              <c:y val="0.364679814417580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Arial" panose="020B0604020202020204" pitchFamily="34" charset="0"/>
                <a:ea typeface="+mn-ea"/>
                <a:cs typeface="Arial" panose="020B0604020202020204" pitchFamily="34" charset="0"/>
              </a:defRPr>
            </a:pPr>
            <a:endParaRPr lang="en-US"/>
          </a:p>
        </c:txPr>
        <c:crossAx val="1855335455"/>
        <c:crosses val="autoZero"/>
        <c:crossBetween val="midCat"/>
        <c:majorUnit val="5"/>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ln>
        <a:effectLst/>
      </c:spPr>
    </c:plotArea>
    <c:legend>
      <c:legendPos val="r"/>
      <c:layout>
        <c:manualLayout>
          <c:xMode val="edge"/>
          <c:yMode val="edge"/>
          <c:x val="0.67200422725822873"/>
          <c:y val="0.67806126298945324"/>
          <c:w val="0.19002572935609646"/>
          <c:h val="0.1841039290345670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0.12602</cdr:x>
      <cdr:y>0.54085</cdr:y>
    </cdr:from>
    <cdr:to>
      <cdr:x>0.23499</cdr:x>
      <cdr:y>0.63055</cdr:y>
    </cdr:to>
    <cdr:sp macro="" textlink="">
      <cdr:nvSpPr>
        <cdr:cNvPr id="2" name="TextBox 1">
          <a:extLst xmlns:a="http://schemas.openxmlformats.org/drawingml/2006/main">
            <a:ext uri="{FF2B5EF4-FFF2-40B4-BE49-F238E27FC236}">
              <a16:creationId xmlns:a16="http://schemas.microsoft.com/office/drawing/2014/main" id="{323F86CD-9AD6-501E-EE1A-06B48ADEB9E8}"/>
            </a:ext>
          </a:extLst>
        </cdr:cNvPr>
        <cdr:cNvSpPr txBox="1"/>
      </cdr:nvSpPr>
      <cdr:spPr>
        <a:xfrm xmlns:a="http://schemas.openxmlformats.org/drawingml/2006/main">
          <a:off x="809624" y="2900362"/>
          <a:ext cx="700088" cy="4810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5161</Words>
  <Characters>27017</Characters>
  <Application>Microsoft Office Word</Application>
  <DocSecurity>0</DocSecurity>
  <Lines>770</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2023-10-18T01:07:00Z</dcterms:created>
  <dcterms:modified xsi:type="dcterms:W3CDTF">2023-10-18T01:07:00Z</dcterms:modified>
  <cp:category/>
</cp:coreProperties>
</file>