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E7DA4" w14:textId="2EE43F24" w:rsidR="00F06E14" w:rsidRPr="00E162C4" w:rsidRDefault="00ED7275" w:rsidP="00A51D1A">
      <w:pPr>
        <w:pStyle w:val="Reporttitle"/>
      </w:pPr>
      <w:r>
        <w:t>Proposal to make the Telecommunications (</w:t>
      </w:r>
      <w:r w:rsidR="007F2AC8">
        <w:t>Financial Hardship</w:t>
      </w:r>
      <w:r>
        <w:t>)</w:t>
      </w:r>
      <w:r w:rsidR="007F2AC8">
        <w:t xml:space="preserve"> Industry Standard </w:t>
      </w:r>
      <w:r>
        <w:t>2024</w:t>
      </w:r>
    </w:p>
    <w:p w14:paraId="2556CEC7" w14:textId="670F6EEE" w:rsidR="00F06E14" w:rsidRPr="00E162C4" w:rsidRDefault="00770B3F" w:rsidP="00F06E14">
      <w:pPr>
        <w:pStyle w:val="Reportsubtitle"/>
      </w:pPr>
      <w:r w:rsidRPr="00E162C4">
        <w:t xml:space="preserve">Consultation </w:t>
      </w:r>
      <w:r w:rsidR="006B70DE">
        <w:t>paper</w:t>
      </w:r>
    </w:p>
    <w:p w14:paraId="0E4765BD" w14:textId="4027AD75" w:rsidR="00C97736" w:rsidRPr="00E162C4" w:rsidRDefault="00EB0663" w:rsidP="00EC2B68">
      <w:pPr>
        <w:pStyle w:val="Reportdate"/>
        <w:spacing w:after="720"/>
        <w:rPr>
          <w:rFonts w:cs="Arial"/>
        </w:rPr>
        <w:sectPr w:rsidR="00C97736" w:rsidRPr="00E162C4"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October</w:t>
      </w:r>
      <w:r w:rsidR="00BD4421" w:rsidRPr="00E162C4">
        <w:t xml:space="preserve"> 20</w:t>
      </w:r>
      <w:r w:rsidR="008E0428" w:rsidRPr="00E162C4">
        <w:t>2</w:t>
      </w:r>
      <w:r w:rsidR="008500E5">
        <w:t>3</w:t>
      </w:r>
    </w:p>
    <w:p w14:paraId="6416B509" w14:textId="77777777" w:rsidR="0005011A" w:rsidRPr="00E162C4" w:rsidRDefault="0005011A" w:rsidP="00FC07B9">
      <w:pPr>
        <w:pStyle w:val="ACMACorporateAddressHeader"/>
      </w:pPr>
      <w:r w:rsidRPr="00E162C4">
        <w:lastRenderedPageBreak/>
        <w:t>Canberra</w:t>
      </w:r>
    </w:p>
    <w:p w14:paraId="562C0F02" w14:textId="77777777" w:rsidR="0005011A" w:rsidRPr="00E162C4" w:rsidRDefault="0005011A" w:rsidP="00FC07B9">
      <w:pPr>
        <w:pStyle w:val="ACMACorporateAddresses"/>
      </w:pPr>
      <w:r w:rsidRPr="00E162C4">
        <w:t xml:space="preserve">Red Building </w:t>
      </w:r>
      <w:r w:rsidRPr="00E162C4">
        <w:br/>
        <w:t>Benjamin Offices</w:t>
      </w:r>
      <w:r w:rsidRPr="00E162C4">
        <w:br/>
        <w:t xml:space="preserve">Chan Street </w:t>
      </w:r>
      <w:r w:rsidRPr="00E162C4">
        <w:br/>
        <w:t>Belconnen ACT</w:t>
      </w:r>
    </w:p>
    <w:p w14:paraId="7348996A" w14:textId="77777777" w:rsidR="0005011A" w:rsidRPr="00E162C4" w:rsidRDefault="0005011A" w:rsidP="00FC07B9">
      <w:pPr>
        <w:pStyle w:val="ACMACorporateAddresses"/>
      </w:pPr>
      <w:r w:rsidRPr="00E162C4">
        <w:t>PO Box 78</w:t>
      </w:r>
      <w:r w:rsidRPr="00E162C4">
        <w:br/>
        <w:t>Belconnen ACT 2616</w:t>
      </w:r>
    </w:p>
    <w:p w14:paraId="4332619B" w14:textId="77777777" w:rsidR="00FE1823" w:rsidRPr="00E162C4" w:rsidRDefault="0005011A" w:rsidP="00FC07B9">
      <w:pPr>
        <w:pStyle w:val="ACMACorporateAddresses"/>
      </w:pPr>
      <w:r w:rsidRPr="00E162C4">
        <w:t>T</w:t>
      </w:r>
      <w:r w:rsidR="00537604" w:rsidRPr="00E162C4">
        <w:tab/>
      </w:r>
      <w:r w:rsidRPr="00E162C4">
        <w:t>+61 2 6219 5555</w:t>
      </w:r>
      <w:r w:rsidRPr="00E162C4">
        <w:br/>
        <w:t>F</w:t>
      </w:r>
      <w:r w:rsidR="00537604" w:rsidRPr="00E162C4">
        <w:tab/>
      </w:r>
      <w:r w:rsidRPr="00E162C4">
        <w:t>+61 2 6219 5353</w:t>
      </w:r>
    </w:p>
    <w:p w14:paraId="7ED758F0" w14:textId="77777777" w:rsidR="0005011A" w:rsidRPr="00E162C4" w:rsidRDefault="0005011A" w:rsidP="00FC07B9">
      <w:pPr>
        <w:pStyle w:val="ACMACorporateAddressHeader"/>
      </w:pPr>
      <w:r w:rsidRPr="00E162C4">
        <w:t>Melbourne</w:t>
      </w:r>
    </w:p>
    <w:p w14:paraId="267BE307" w14:textId="77777777" w:rsidR="0005011A" w:rsidRPr="00E162C4" w:rsidRDefault="0005011A" w:rsidP="00FC07B9">
      <w:pPr>
        <w:pStyle w:val="ACMACorporateAddresses"/>
      </w:pPr>
      <w:r w:rsidRPr="00E162C4">
        <w:t xml:space="preserve">Level 32 </w:t>
      </w:r>
      <w:r w:rsidRPr="00E162C4">
        <w:br/>
        <w:t>Melbourne Central Tower</w:t>
      </w:r>
      <w:r w:rsidRPr="00E162C4">
        <w:br/>
        <w:t xml:space="preserve">360 Elizabeth Street </w:t>
      </w:r>
      <w:r w:rsidR="008C10F4" w:rsidRPr="00E162C4">
        <w:br/>
      </w:r>
      <w:r w:rsidRPr="00E162C4">
        <w:t>Melbourne VIC</w:t>
      </w:r>
    </w:p>
    <w:p w14:paraId="79C1567C" w14:textId="77777777" w:rsidR="0005011A" w:rsidRPr="00E162C4" w:rsidRDefault="0005011A" w:rsidP="00FC07B9">
      <w:pPr>
        <w:pStyle w:val="ACMACorporateAddresses"/>
      </w:pPr>
      <w:r w:rsidRPr="00E162C4">
        <w:t>PO Box 13112</w:t>
      </w:r>
      <w:r w:rsidRPr="00E162C4">
        <w:br/>
        <w:t xml:space="preserve">Law Courts </w:t>
      </w:r>
      <w:r w:rsidRPr="00E162C4">
        <w:br/>
        <w:t>Melbourne VIC 8010</w:t>
      </w:r>
    </w:p>
    <w:p w14:paraId="091FD62D" w14:textId="77777777" w:rsidR="0005011A" w:rsidRPr="00E162C4" w:rsidRDefault="0005011A" w:rsidP="00FC07B9">
      <w:pPr>
        <w:pStyle w:val="ACMACorporateAddresses"/>
      </w:pPr>
      <w:r w:rsidRPr="00E162C4">
        <w:t>T</w:t>
      </w:r>
      <w:r w:rsidR="00140318" w:rsidRPr="00E162C4">
        <w:tab/>
      </w:r>
      <w:r w:rsidRPr="00E162C4">
        <w:t>+61 3 9963 6800</w:t>
      </w:r>
      <w:r w:rsidRPr="00E162C4">
        <w:br/>
        <w:t>F</w:t>
      </w:r>
      <w:r w:rsidR="00140318" w:rsidRPr="00E162C4">
        <w:tab/>
      </w:r>
      <w:r w:rsidRPr="00E162C4">
        <w:t>+61 3 9963 6899</w:t>
      </w:r>
    </w:p>
    <w:p w14:paraId="25682B08" w14:textId="77777777" w:rsidR="0005011A" w:rsidRPr="00E162C4" w:rsidRDefault="0005011A" w:rsidP="00FC07B9">
      <w:pPr>
        <w:pStyle w:val="ACMACorporateAddressHeader"/>
      </w:pPr>
      <w:r w:rsidRPr="00E162C4">
        <w:t>Sydney</w:t>
      </w:r>
    </w:p>
    <w:p w14:paraId="28478B9A" w14:textId="77777777" w:rsidR="0005011A" w:rsidRPr="00E162C4" w:rsidRDefault="0005011A" w:rsidP="00FC07B9">
      <w:pPr>
        <w:pStyle w:val="ACMACorporateAddresses"/>
      </w:pPr>
      <w:r w:rsidRPr="00E162C4">
        <w:t xml:space="preserve">Level 5 </w:t>
      </w:r>
      <w:r w:rsidRPr="00E162C4">
        <w:br/>
        <w:t>The Bay Centre</w:t>
      </w:r>
      <w:r w:rsidRPr="00E162C4">
        <w:br/>
        <w:t xml:space="preserve">65 Pirrama Road </w:t>
      </w:r>
      <w:r w:rsidRPr="00E162C4">
        <w:br/>
        <w:t>Pyrmont NSW</w:t>
      </w:r>
    </w:p>
    <w:p w14:paraId="5BC3678A" w14:textId="77777777" w:rsidR="0005011A" w:rsidRPr="00E162C4" w:rsidRDefault="0005011A" w:rsidP="00FC07B9">
      <w:pPr>
        <w:pStyle w:val="ACMACorporateAddresses"/>
      </w:pPr>
      <w:r w:rsidRPr="00E162C4">
        <w:t>PO Box Q500</w:t>
      </w:r>
      <w:r w:rsidRPr="00E162C4">
        <w:br/>
        <w:t xml:space="preserve">Queen Victoria Building </w:t>
      </w:r>
      <w:r w:rsidRPr="00E162C4">
        <w:br/>
        <w:t>NSW 1230</w:t>
      </w:r>
    </w:p>
    <w:p w14:paraId="7267F5BE" w14:textId="77777777" w:rsidR="0005011A" w:rsidRPr="00E162C4" w:rsidRDefault="0005011A" w:rsidP="00FC07B9">
      <w:pPr>
        <w:pStyle w:val="ACMACorporateAddresses"/>
      </w:pPr>
      <w:r w:rsidRPr="00E162C4">
        <w:t>T</w:t>
      </w:r>
      <w:r w:rsidR="00140318" w:rsidRPr="00E162C4">
        <w:tab/>
      </w:r>
      <w:r w:rsidRPr="00E162C4">
        <w:t>+61 2 9334 7700</w:t>
      </w:r>
      <w:r w:rsidR="00140318" w:rsidRPr="00E162C4">
        <w:t xml:space="preserve"> or</w:t>
      </w:r>
      <w:r w:rsidRPr="00E162C4">
        <w:t xml:space="preserve"> 1800 226 667</w:t>
      </w:r>
      <w:r w:rsidRPr="00E162C4">
        <w:br/>
        <w:t>F</w:t>
      </w:r>
      <w:r w:rsidR="00140318" w:rsidRPr="00E162C4">
        <w:tab/>
      </w:r>
      <w:r w:rsidRPr="00E162C4">
        <w:t>+61 2 9334 7799</w:t>
      </w:r>
    </w:p>
    <w:p w14:paraId="194B6759" w14:textId="77777777" w:rsidR="00140318" w:rsidRPr="00E162C4" w:rsidRDefault="00140318" w:rsidP="00FC07B9">
      <w:pPr>
        <w:pStyle w:val="ACMACopyrightHeader"/>
      </w:pPr>
      <w:r w:rsidRPr="00E162C4">
        <w:t>Copyright notice</w:t>
      </w:r>
    </w:p>
    <w:p w14:paraId="7CC87567" w14:textId="77777777" w:rsidR="00140318" w:rsidRPr="00E162C4" w:rsidRDefault="00623FF9" w:rsidP="00623FF9">
      <w:pPr>
        <w:pStyle w:val="ACMACClogo"/>
      </w:pPr>
      <w:r w:rsidRPr="00E162C4">
        <w:rPr>
          <w:noProof/>
        </w:rPr>
        <w:drawing>
          <wp:inline distT="0" distB="0" distL="0" distR="0" wp14:anchorId="18166D9D" wp14:editId="2F77D1F0">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314CF9D6" w14:textId="77777777" w:rsidR="00AA2DE5" w:rsidRPr="00E162C4" w:rsidRDefault="005A4567" w:rsidP="00AA2DE5">
      <w:pPr>
        <w:pStyle w:val="ACMACorporateAddresses"/>
        <w:rPr>
          <w:rStyle w:val="Hyperlink"/>
        </w:rPr>
      </w:pPr>
      <w:hyperlink r:id="rId13" w:history="1">
        <w:r w:rsidR="00AA2DE5" w:rsidRPr="00E162C4">
          <w:rPr>
            <w:rStyle w:val="Hyperlink"/>
          </w:rPr>
          <w:t>https://creativecommons.org/licenses/by/4.0/</w:t>
        </w:r>
      </w:hyperlink>
    </w:p>
    <w:p w14:paraId="711965AC" w14:textId="77777777" w:rsidR="00AA2DE5" w:rsidRPr="00E162C4" w:rsidRDefault="00AA2DE5" w:rsidP="00AA2DE5">
      <w:pPr>
        <w:pStyle w:val="ACMACorporateAddresses"/>
      </w:pPr>
      <w:r w:rsidRPr="00E162C4">
        <w:t xml:space="preserve">With the exception of coats of arms, logos, emblems, images, other third-party material or devices protected by a trademark, this content is made available under the terms of the Creative Commons Attribution 4.0 International (CC BY 4.0) licence. </w:t>
      </w:r>
    </w:p>
    <w:p w14:paraId="765E7D01" w14:textId="77777777" w:rsidR="00AA2DE5" w:rsidRPr="00E162C4" w:rsidRDefault="00AA2DE5" w:rsidP="00AA2DE5">
      <w:pPr>
        <w:pStyle w:val="ACMACorporateAddresses"/>
      </w:pPr>
      <w:r w:rsidRPr="00E162C4">
        <w:t>We request attribution as © Commonwealth of Australia (Australian Communications and Media Authority) 20</w:t>
      </w:r>
      <w:r w:rsidR="00C41F21" w:rsidRPr="00E162C4">
        <w:t>2</w:t>
      </w:r>
      <w:r w:rsidR="008500E5">
        <w:t>3</w:t>
      </w:r>
      <w:r w:rsidRPr="00E162C4">
        <w:t>.</w:t>
      </w:r>
    </w:p>
    <w:p w14:paraId="21EE8394" w14:textId="77777777" w:rsidR="00AA2DE5" w:rsidRPr="00E162C4" w:rsidRDefault="00AA2DE5" w:rsidP="00AA2DE5">
      <w:pPr>
        <w:pStyle w:val="ACMACorporateAddresses"/>
      </w:pPr>
      <w:r w:rsidRPr="00E162C4">
        <w:t>All other rights are reserved.</w:t>
      </w:r>
    </w:p>
    <w:p w14:paraId="563A941D" w14:textId="77777777" w:rsidR="00AA2DE5" w:rsidRPr="00E162C4" w:rsidRDefault="00AA2DE5" w:rsidP="00AA2DE5">
      <w:pPr>
        <w:pStyle w:val="ACMACorporateAddresses"/>
      </w:pPr>
      <w:r w:rsidRPr="00E162C4">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20510417" w14:textId="77777777" w:rsidR="00AA2DE5" w:rsidRPr="00E162C4" w:rsidRDefault="00AA2DE5" w:rsidP="00AA2DE5">
      <w:pPr>
        <w:pStyle w:val="ACMACorporateAddresses"/>
      </w:pPr>
      <w:r w:rsidRPr="00E162C4">
        <w:t>Written enquiries may be sent to:</w:t>
      </w:r>
    </w:p>
    <w:p w14:paraId="5F169AE1" w14:textId="77777777" w:rsidR="00AA2DE5" w:rsidRPr="00E162C4" w:rsidRDefault="00AA2DE5" w:rsidP="00AA2DE5">
      <w:pPr>
        <w:pStyle w:val="ACMACorporateAddresses"/>
        <w:rPr>
          <w:rStyle w:val="Hyperlink"/>
        </w:rPr>
      </w:pPr>
      <w:r w:rsidRPr="00E162C4">
        <w:t xml:space="preserve">Manager, Editorial </w:t>
      </w:r>
      <w:r w:rsidR="000245E5" w:rsidRPr="00E162C4">
        <w:t>Services</w:t>
      </w:r>
      <w:r w:rsidRPr="00E162C4">
        <w:br/>
        <w:t>PO Box 13112</w:t>
      </w:r>
      <w:r w:rsidRPr="00E162C4">
        <w:br/>
        <w:t>Law Courts</w:t>
      </w:r>
      <w:r w:rsidRPr="00E162C4">
        <w:br/>
        <w:t>Melbourne VIC 8010</w:t>
      </w:r>
      <w:r w:rsidRPr="00E162C4">
        <w:br/>
        <w:t xml:space="preserve">Email: </w:t>
      </w:r>
      <w:hyperlink r:id="rId14" w:history="1">
        <w:r w:rsidRPr="00E162C4">
          <w:rPr>
            <w:rStyle w:val="Hyperlink"/>
          </w:rPr>
          <w:t>info@acma.gov.au</w:t>
        </w:r>
      </w:hyperlink>
    </w:p>
    <w:p w14:paraId="0140903F" w14:textId="77777777" w:rsidR="00D16FE3" w:rsidRPr="00E162C4" w:rsidRDefault="00D16FE3" w:rsidP="00D16FE3">
      <w:pPr>
        <w:pStyle w:val="ACMACorporateAddresses"/>
        <w:rPr>
          <w:rStyle w:val="Hyperlink"/>
        </w:rPr>
      </w:pPr>
    </w:p>
    <w:p w14:paraId="24EA6095" w14:textId="77777777" w:rsidR="00D16FE3" w:rsidRPr="00E162C4" w:rsidRDefault="00D16FE3" w:rsidP="00D16FE3">
      <w:pPr>
        <w:pStyle w:val="ACMACorporateAddresses"/>
        <w:sectPr w:rsidR="00D16FE3" w:rsidRPr="00E162C4">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1069A9AB" w14:textId="66E31706" w:rsidR="00EA4C39" w:rsidRDefault="006A3ECF">
      <w:pPr>
        <w:pStyle w:val="TOC1"/>
        <w:rPr>
          <w:rFonts w:asciiTheme="minorHAnsi" w:eastAsiaTheme="minorEastAsia" w:hAnsiTheme="minorHAnsi" w:cstheme="minorBidi"/>
          <w:b w:val="0"/>
          <w:spacing w:val="0"/>
          <w:sz w:val="22"/>
          <w:szCs w:val="22"/>
        </w:rPr>
      </w:pPr>
      <w:r w:rsidRPr="00E162C4">
        <w:rPr>
          <w:rFonts w:cs="Arial"/>
        </w:rPr>
        <w:lastRenderedPageBreak/>
        <w:fldChar w:fldCharType="begin"/>
      </w:r>
      <w:r w:rsidRPr="00E162C4">
        <w:rPr>
          <w:rFonts w:cs="Arial"/>
        </w:rPr>
        <w:instrText xml:space="preserve"> TOC \o "1-2" \h \z \t "Exec summary heading,1" </w:instrText>
      </w:r>
      <w:r w:rsidRPr="00E162C4">
        <w:rPr>
          <w:rFonts w:cs="Arial"/>
        </w:rPr>
        <w:fldChar w:fldCharType="separate"/>
      </w:r>
      <w:hyperlink w:anchor="_Toc148705860" w:history="1">
        <w:r w:rsidR="00EA4C39" w:rsidRPr="00AD430D">
          <w:rPr>
            <w:rStyle w:val="Hyperlink"/>
          </w:rPr>
          <w:t>Executive summary</w:t>
        </w:r>
        <w:r w:rsidR="00EA4C39">
          <w:rPr>
            <w:webHidden/>
          </w:rPr>
          <w:tab/>
        </w:r>
        <w:r w:rsidR="00EA4C39">
          <w:rPr>
            <w:webHidden/>
          </w:rPr>
          <w:fldChar w:fldCharType="begin"/>
        </w:r>
        <w:r w:rsidR="00EA4C39">
          <w:rPr>
            <w:webHidden/>
          </w:rPr>
          <w:instrText xml:space="preserve"> PAGEREF _Toc148705860 \h </w:instrText>
        </w:r>
        <w:r w:rsidR="00EA4C39">
          <w:rPr>
            <w:webHidden/>
          </w:rPr>
        </w:r>
        <w:r w:rsidR="00EA4C39">
          <w:rPr>
            <w:webHidden/>
          </w:rPr>
          <w:fldChar w:fldCharType="separate"/>
        </w:r>
        <w:r w:rsidR="00EA4C39">
          <w:rPr>
            <w:webHidden/>
          </w:rPr>
          <w:t>1</w:t>
        </w:r>
        <w:r w:rsidR="00EA4C39">
          <w:rPr>
            <w:webHidden/>
          </w:rPr>
          <w:fldChar w:fldCharType="end"/>
        </w:r>
      </w:hyperlink>
    </w:p>
    <w:p w14:paraId="409ED24C" w14:textId="19B565A3" w:rsidR="00EA4C39" w:rsidRDefault="005A4567">
      <w:pPr>
        <w:pStyle w:val="TOC1"/>
        <w:rPr>
          <w:rFonts w:asciiTheme="minorHAnsi" w:eastAsiaTheme="minorEastAsia" w:hAnsiTheme="minorHAnsi" w:cstheme="minorBidi"/>
          <w:b w:val="0"/>
          <w:spacing w:val="0"/>
          <w:sz w:val="22"/>
          <w:szCs w:val="22"/>
        </w:rPr>
      </w:pPr>
      <w:hyperlink w:anchor="_Toc148705861" w:history="1">
        <w:r w:rsidR="00EA4C39" w:rsidRPr="00AD430D">
          <w:rPr>
            <w:rStyle w:val="Hyperlink"/>
          </w:rPr>
          <w:t>Issue/s for comment</w:t>
        </w:r>
        <w:r w:rsidR="00EA4C39">
          <w:rPr>
            <w:webHidden/>
          </w:rPr>
          <w:tab/>
        </w:r>
        <w:r w:rsidR="00EA4C39">
          <w:rPr>
            <w:webHidden/>
          </w:rPr>
          <w:fldChar w:fldCharType="begin"/>
        </w:r>
        <w:r w:rsidR="00EA4C39">
          <w:rPr>
            <w:webHidden/>
          </w:rPr>
          <w:instrText xml:space="preserve"> PAGEREF _Toc148705861 \h </w:instrText>
        </w:r>
        <w:r w:rsidR="00EA4C39">
          <w:rPr>
            <w:webHidden/>
          </w:rPr>
        </w:r>
        <w:r w:rsidR="00EA4C39">
          <w:rPr>
            <w:webHidden/>
          </w:rPr>
          <w:fldChar w:fldCharType="separate"/>
        </w:r>
        <w:r w:rsidR="00EA4C39">
          <w:rPr>
            <w:webHidden/>
          </w:rPr>
          <w:t>3</w:t>
        </w:r>
        <w:r w:rsidR="00EA4C39">
          <w:rPr>
            <w:webHidden/>
          </w:rPr>
          <w:fldChar w:fldCharType="end"/>
        </w:r>
      </w:hyperlink>
    </w:p>
    <w:p w14:paraId="27F68AE6" w14:textId="3314ACF2" w:rsidR="00EA4C39" w:rsidRDefault="005A4567">
      <w:pPr>
        <w:pStyle w:val="TOC1"/>
        <w:rPr>
          <w:rFonts w:asciiTheme="minorHAnsi" w:eastAsiaTheme="minorEastAsia" w:hAnsiTheme="minorHAnsi" w:cstheme="minorBidi"/>
          <w:b w:val="0"/>
          <w:spacing w:val="0"/>
          <w:sz w:val="22"/>
          <w:szCs w:val="22"/>
        </w:rPr>
      </w:pPr>
      <w:hyperlink w:anchor="_Toc148705862" w:history="1">
        <w:r w:rsidR="00EA4C39" w:rsidRPr="00AD430D">
          <w:rPr>
            <w:rStyle w:val="Hyperlink"/>
          </w:rPr>
          <w:t>The draft industry standard</w:t>
        </w:r>
        <w:r w:rsidR="00EA4C39">
          <w:rPr>
            <w:webHidden/>
          </w:rPr>
          <w:tab/>
        </w:r>
        <w:r w:rsidR="00EA4C39">
          <w:rPr>
            <w:webHidden/>
          </w:rPr>
          <w:fldChar w:fldCharType="begin"/>
        </w:r>
        <w:r w:rsidR="00EA4C39">
          <w:rPr>
            <w:webHidden/>
          </w:rPr>
          <w:instrText xml:space="preserve"> PAGEREF _Toc148705862 \h </w:instrText>
        </w:r>
        <w:r w:rsidR="00EA4C39">
          <w:rPr>
            <w:webHidden/>
          </w:rPr>
        </w:r>
        <w:r w:rsidR="00EA4C39">
          <w:rPr>
            <w:webHidden/>
          </w:rPr>
          <w:fldChar w:fldCharType="separate"/>
        </w:r>
        <w:r w:rsidR="00EA4C39">
          <w:rPr>
            <w:webHidden/>
          </w:rPr>
          <w:t>6</w:t>
        </w:r>
        <w:r w:rsidR="00EA4C39">
          <w:rPr>
            <w:webHidden/>
          </w:rPr>
          <w:fldChar w:fldCharType="end"/>
        </w:r>
      </w:hyperlink>
    </w:p>
    <w:p w14:paraId="383B5280" w14:textId="173B52B9" w:rsidR="00EA4C39" w:rsidRDefault="005A4567">
      <w:pPr>
        <w:pStyle w:val="TOC2"/>
        <w:rPr>
          <w:rFonts w:asciiTheme="minorHAnsi" w:eastAsiaTheme="minorEastAsia" w:hAnsiTheme="minorHAnsi" w:cstheme="minorBidi"/>
          <w:spacing w:val="0"/>
          <w:sz w:val="22"/>
          <w:szCs w:val="22"/>
        </w:rPr>
      </w:pPr>
      <w:hyperlink w:anchor="_Toc148705863" w:history="1">
        <w:r w:rsidR="00EA4C39" w:rsidRPr="00AD430D">
          <w:rPr>
            <w:rStyle w:val="Hyperlink"/>
          </w:rPr>
          <w:t>Objective</w:t>
        </w:r>
        <w:r w:rsidR="00EA4C39">
          <w:rPr>
            <w:webHidden/>
          </w:rPr>
          <w:tab/>
        </w:r>
        <w:r w:rsidR="00EA4C39">
          <w:rPr>
            <w:webHidden/>
          </w:rPr>
          <w:fldChar w:fldCharType="begin"/>
        </w:r>
        <w:r w:rsidR="00EA4C39">
          <w:rPr>
            <w:webHidden/>
          </w:rPr>
          <w:instrText xml:space="preserve"> PAGEREF _Toc148705863 \h </w:instrText>
        </w:r>
        <w:r w:rsidR="00EA4C39">
          <w:rPr>
            <w:webHidden/>
          </w:rPr>
        </w:r>
        <w:r w:rsidR="00EA4C39">
          <w:rPr>
            <w:webHidden/>
          </w:rPr>
          <w:fldChar w:fldCharType="separate"/>
        </w:r>
        <w:r w:rsidR="00EA4C39">
          <w:rPr>
            <w:webHidden/>
          </w:rPr>
          <w:t>6</w:t>
        </w:r>
        <w:r w:rsidR="00EA4C39">
          <w:rPr>
            <w:webHidden/>
          </w:rPr>
          <w:fldChar w:fldCharType="end"/>
        </w:r>
      </w:hyperlink>
    </w:p>
    <w:p w14:paraId="56D8D423" w14:textId="6A8B95AE" w:rsidR="00EA4C39" w:rsidRDefault="005A4567">
      <w:pPr>
        <w:pStyle w:val="TOC2"/>
        <w:rPr>
          <w:rFonts w:asciiTheme="minorHAnsi" w:eastAsiaTheme="minorEastAsia" w:hAnsiTheme="minorHAnsi" w:cstheme="minorBidi"/>
          <w:spacing w:val="0"/>
          <w:sz w:val="22"/>
          <w:szCs w:val="22"/>
        </w:rPr>
      </w:pPr>
      <w:hyperlink w:anchor="_Toc148705864" w:history="1">
        <w:r w:rsidR="00EA4C39" w:rsidRPr="00AD430D">
          <w:rPr>
            <w:rStyle w:val="Hyperlink"/>
          </w:rPr>
          <w:t>The Direction</w:t>
        </w:r>
        <w:r w:rsidR="00EA4C39">
          <w:rPr>
            <w:webHidden/>
          </w:rPr>
          <w:tab/>
        </w:r>
        <w:r w:rsidR="00EA4C39">
          <w:rPr>
            <w:webHidden/>
          </w:rPr>
          <w:fldChar w:fldCharType="begin"/>
        </w:r>
        <w:r w:rsidR="00EA4C39">
          <w:rPr>
            <w:webHidden/>
          </w:rPr>
          <w:instrText xml:space="preserve"> PAGEREF _Toc148705864 \h </w:instrText>
        </w:r>
        <w:r w:rsidR="00EA4C39">
          <w:rPr>
            <w:webHidden/>
          </w:rPr>
        </w:r>
        <w:r w:rsidR="00EA4C39">
          <w:rPr>
            <w:webHidden/>
          </w:rPr>
          <w:fldChar w:fldCharType="separate"/>
        </w:r>
        <w:r w:rsidR="00EA4C39">
          <w:rPr>
            <w:webHidden/>
          </w:rPr>
          <w:t>6</w:t>
        </w:r>
        <w:r w:rsidR="00EA4C39">
          <w:rPr>
            <w:webHidden/>
          </w:rPr>
          <w:fldChar w:fldCharType="end"/>
        </w:r>
      </w:hyperlink>
    </w:p>
    <w:p w14:paraId="574F222C" w14:textId="582C5913" w:rsidR="00EA4C39" w:rsidRDefault="005A4567">
      <w:pPr>
        <w:pStyle w:val="TOC2"/>
        <w:rPr>
          <w:rFonts w:asciiTheme="minorHAnsi" w:eastAsiaTheme="minorEastAsia" w:hAnsiTheme="minorHAnsi" w:cstheme="minorBidi"/>
          <w:spacing w:val="0"/>
          <w:sz w:val="22"/>
          <w:szCs w:val="22"/>
        </w:rPr>
      </w:pPr>
      <w:hyperlink w:anchor="_Toc148705865" w:history="1">
        <w:r w:rsidR="00EA4C39" w:rsidRPr="00AD430D">
          <w:rPr>
            <w:rStyle w:val="Hyperlink"/>
          </w:rPr>
          <w:t>Changing environment</w:t>
        </w:r>
        <w:r w:rsidR="00EA4C39">
          <w:rPr>
            <w:webHidden/>
          </w:rPr>
          <w:tab/>
        </w:r>
        <w:r w:rsidR="00EA4C39">
          <w:rPr>
            <w:webHidden/>
          </w:rPr>
          <w:fldChar w:fldCharType="begin"/>
        </w:r>
        <w:r w:rsidR="00EA4C39">
          <w:rPr>
            <w:webHidden/>
          </w:rPr>
          <w:instrText xml:space="preserve"> PAGEREF _Toc148705865 \h </w:instrText>
        </w:r>
        <w:r w:rsidR="00EA4C39">
          <w:rPr>
            <w:webHidden/>
          </w:rPr>
        </w:r>
        <w:r w:rsidR="00EA4C39">
          <w:rPr>
            <w:webHidden/>
          </w:rPr>
          <w:fldChar w:fldCharType="separate"/>
        </w:r>
        <w:r w:rsidR="00EA4C39">
          <w:rPr>
            <w:webHidden/>
          </w:rPr>
          <w:t>7</w:t>
        </w:r>
        <w:r w:rsidR="00EA4C39">
          <w:rPr>
            <w:webHidden/>
          </w:rPr>
          <w:fldChar w:fldCharType="end"/>
        </w:r>
      </w:hyperlink>
    </w:p>
    <w:p w14:paraId="11DEDB90" w14:textId="16AD10EF" w:rsidR="00EA4C39" w:rsidRDefault="005A4567">
      <w:pPr>
        <w:pStyle w:val="TOC2"/>
        <w:rPr>
          <w:rFonts w:asciiTheme="minorHAnsi" w:eastAsiaTheme="minorEastAsia" w:hAnsiTheme="minorHAnsi" w:cstheme="minorBidi"/>
          <w:spacing w:val="0"/>
          <w:sz w:val="22"/>
          <w:szCs w:val="22"/>
        </w:rPr>
      </w:pPr>
      <w:hyperlink w:anchor="_Toc148705866" w:history="1">
        <w:r w:rsidR="00EA4C39" w:rsidRPr="00AD430D">
          <w:rPr>
            <w:rStyle w:val="Hyperlink"/>
          </w:rPr>
          <w:t>Addressing the gaps</w:t>
        </w:r>
        <w:r w:rsidR="00EA4C39">
          <w:rPr>
            <w:webHidden/>
          </w:rPr>
          <w:tab/>
        </w:r>
        <w:r w:rsidR="00EA4C39">
          <w:rPr>
            <w:webHidden/>
          </w:rPr>
          <w:fldChar w:fldCharType="begin"/>
        </w:r>
        <w:r w:rsidR="00EA4C39">
          <w:rPr>
            <w:webHidden/>
          </w:rPr>
          <w:instrText xml:space="preserve"> PAGEREF _Toc148705866 \h </w:instrText>
        </w:r>
        <w:r w:rsidR="00EA4C39">
          <w:rPr>
            <w:webHidden/>
          </w:rPr>
        </w:r>
        <w:r w:rsidR="00EA4C39">
          <w:rPr>
            <w:webHidden/>
          </w:rPr>
          <w:fldChar w:fldCharType="separate"/>
        </w:r>
        <w:r w:rsidR="00EA4C39">
          <w:rPr>
            <w:webHidden/>
          </w:rPr>
          <w:t>8</w:t>
        </w:r>
        <w:r w:rsidR="00EA4C39">
          <w:rPr>
            <w:webHidden/>
          </w:rPr>
          <w:fldChar w:fldCharType="end"/>
        </w:r>
      </w:hyperlink>
    </w:p>
    <w:p w14:paraId="2D99D42B" w14:textId="654F4AA9" w:rsidR="00EA4C39" w:rsidRDefault="005A4567">
      <w:pPr>
        <w:pStyle w:val="TOC1"/>
        <w:rPr>
          <w:rFonts w:asciiTheme="minorHAnsi" w:eastAsiaTheme="minorEastAsia" w:hAnsiTheme="minorHAnsi" w:cstheme="minorBidi"/>
          <w:b w:val="0"/>
          <w:spacing w:val="0"/>
          <w:sz w:val="22"/>
          <w:szCs w:val="22"/>
        </w:rPr>
      </w:pPr>
      <w:hyperlink w:anchor="_Toc148705867" w:history="1">
        <w:r w:rsidR="00EA4C39" w:rsidRPr="00AD430D">
          <w:rPr>
            <w:rStyle w:val="Hyperlink"/>
          </w:rPr>
          <w:t>Invitation to comment</w:t>
        </w:r>
        <w:r w:rsidR="00EA4C39">
          <w:rPr>
            <w:webHidden/>
          </w:rPr>
          <w:tab/>
        </w:r>
        <w:r w:rsidR="00EA4C39">
          <w:rPr>
            <w:webHidden/>
          </w:rPr>
          <w:fldChar w:fldCharType="begin"/>
        </w:r>
        <w:r w:rsidR="00EA4C39">
          <w:rPr>
            <w:webHidden/>
          </w:rPr>
          <w:instrText xml:space="preserve"> PAGEREF _Toc148705867 \h </w:instrText>
        </w:r>
        <w:r w:rsidR="00EA4C39">
          <w:rPr>
            <w:webHidden/>
          </w:rPr>
        </w:r>
        <w:r w:rsidR="00EA4C39">
          <w:rPr>
            <w:webHidden/>
          </w:rPr>
          <w:fldChar w:fldCharType="separate"/>
        </w:r>
        <w:r w:rsidR="00EA4C39">
          <w:rPr>
            <w:webHidden/>
          </w:rPr>
          <w:t>10</w:t>
        </w:r>
        <w:r w:rsidR="00EA4C39">
          <w:rPr>
            <w:webHidden/>
          </w:rPr>
          <w:fldChar w:fldCharType="end"/>
        </w:r>
      </w:hyperlink>
    </w:p>
    <w:p w14:paraId="016D3996" w14:textId="219A3799" w:rsidR="00EA4C39" w:rsidRDefault="005A4567">
      <w:pPr>
        <w:pStyle w:val="TOC2"/>
        <w:rPr>
          <w:rFonts w:asciiTheme="minorHAnsi" w:eastAsiaTheme="minorEastAsia" w:hAnsiTheme="minorHAnsi" w:cstheme="minorBidi"/>
          <w:spacing w:val="0"/>
          <w:sz w:val="22"/>
          <w:szCs w:val="22"/>
        </w:rPr>
      </w:pPr>
      <w:hyperlink w:anchor="_Toc148705868" w:history="1">
        <w:r w:rsidR="00EA4C39" w:rsidRPr="00AD430D">
          <w:rPr>
            <w:rStyle w:val="Hyperlink"/>
          </w:rPr>
          <w:t>Making a submission</w:t>
        </w:r>
        <w:r w:rsidR="00EA4C39">
          <w:rPr>
            <w:webHidden/>
          </w:rPr>
          <w:tab/>
        </w:r>
        <w:r w:rsidR="00EA4C39">
          <w:rPr>
            <w:webHidden/>
          </w:rPr>
          <w:fldChar w:fldCharType="begin"/>
        </w:r>
        <w:r w:rsidR="00EA4C39">
          <w:rPr>
            <w:webHidden/>
          </w:rPr>
          <w:instrText xml:space="preserve"> PAGEREF _Toc148705868 \h </w:instrText>
        </w:r>
        <w:r w:rsidR="00EA4C39">
          <w:rPr>
            <w:webHidden/>
          </w:rPr>
        </w:r>
        <w:r w:rsidR="00EA4C39">
          <w:rPr>
            <w:webHidden/>
          </w:rPr>
          <w:fldChar w:fldCharType="separate"/>
        </w:r>
        <w:r w:rsidR="00EA4C39">
          <w:rPr>
            <w:webHidden/>
          </w:rPr>
          <w:t>10</w:t>
        </w:r>
        <w:r w:rsidR="00EA4C39">
          <w:rPr>
            <w:webHidden/>
          </w:rPr>
          <w:fldChar w:fldCharType="end"/>
        </w:r>
      </w:hyperlink>
    </w:p>
    <w:p w14:paraId="015BA12B" w14:textId="5646D94D" w:rsidR="00213589" w:rsidRPr="00213589" w:rsidRDefault="006A3ECF">
      <w:pPr>
        <w:rPr>
          <w:rFonts w:cs="Arial"/>
          <w:noProof/>
          <w:spacing w:val="-14"/>
          <w:sz w:val="28"/>
        </w:rPr>
        <w:sectPr w:rsidR="00213589" w:rsidRPr="00213589"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E162C4">
        <w:rPr>
          <w:rFonts w:cs="Arial"/>
          <w:noProof/>
          <w:spacing w:val="-14"/>
          <w:sz w:val="28"/>
        </w:rPr>
        <w:fldChar w:fldCharType="end"/>
      </w:r>
    </w:p>
    <w:p w14:paraId="334299C8" w14:textId="77777777" w:rsidR="009D6C71" w:rsidRPr="00E162C4" w:rsidRDefault="009D6C71" w:rsidP="009174F3">
      <w:pPr>
        <w:pStyle w:val="Execsummaryheading"/>
      </w:pPr>
      <w:bookmarkStart w:id="0" w:name="_Toc148705860"/>
      <w:r w:rsidRPr="00E162C4">
        <w:lastRenderedPageBreak/>
        <w:t>Executive summary</w:t>
      </w:r>
      <w:bookmarkEnd w:id="0"/>
    </w:p>
    <w:p w14:paraId="3E18DB9D" w14:textId="11BC7689" w:rsidR="0087637D" w:rsidRDefault="00A628B0" w:rsidP="003253EE">
      <w:pPr>
        <w:pStyle w:val="Paragraph"/>
      </w:pPr>
      <w:bookmarkStart w:id="1" w:name="_Toc433122125"/>
      <w:r w:rsidRPr="00A628B0">
        <w:t>The Australian Communications and Media Authority (the ACMA)</w:t>
      </w:r>
      <w:r w:rsidR="00D80FAA">
        <w:t xml:space="preserve"> </w:t>
      </w:r>
      <w:r w:rsidR="00927A12">
        <w:t>is making new rules to</w:t>
      </w:r>
      <w:r w:rsidR="0023088F">
        <w:t xml:space="preserve"> </w:t>
      </w:r>
      <w:r w:rsidR="00A025D0">
        <w:t xml:space="preserve">improve protections for telecommunications consumers </w:t>
      </w:r>
      <w:r w:rsidR="0023088F">
        <w:t xml:space="preserve">experiencing financial </w:t>
      </w:r>
      <w:r w:rsidR="0089073E">
        <w:t>hardship</w:t>
      </w:r>
      <w:r w:rsidR="00156D05">
        <w:t>.</w:t>
      </w:r>
      <w:r w:rsidR="00927A12">
        <w:t xml:space="preserve"> </w:t>
      </w:r>
    </w:p>
    <w:p w14:paraId="5D36674B" w14:textId="03AE1E65" w:rsidR="00E7272D" w:rsidRDefault="00A025D0" w:rsidP="00E7272D">
      <w:pPr>
        <w:pStyle w:val="Paragraph"/>
      </w:pPr>
      <w:r>
        <w:t xml:space="preserve">Telecommunications </w:t>
      </w:r>
      <w:r w:rsidR="008B5184">
        <w:t xml:space="preserve">are </w:t>
      </w:r>
      <w:r>
        <w:t xml:space="preserve">an essential service. </w:t>
      </w:r>
      <w:r w:rsidR="00552ABE">
        <w:t>R</w:t>
      </w:r>
      <w:r w:rsidR="00E7272D">
        <w:t xml:space="preserve">eliable and affordable </w:t>
      </w:r>
      <w:r w:rsidR="001F4508">
        <w:t xml:space="preserve">access </w:t>
      </w:r>
      <w:r w:rsidR="00552ABE">
        <w:t xml:space="preserve">to </w:t>
      </w:r>
      <w:r w:rsidR="00E7272D">
        <w:t xml:space="preserve">phone and internet services </w:t>
      </w:r>
      <w:r w:rsidR="00552ABE">
        <w:t xml:space="preserve">is </w:t>
      </w:r>
      <w:r>
        <w:t>necessary to support work, education, health, entertainment, social connection and government services</w:t>
      </w:r>
      <w:r w:rsidR="00E7272D">
        <w:t xml:space="preserve">. </w:t>
      </w:r>
      <w:r w:rsidR="00D76520">
        <w:t>However</w:t>
      </w:r>
      <w:r w:rsidR="00213589">
        <w:t>,</w:t>
      </w:r>
      <w:r w:rsidR="001F4508">
        <w:t xml:space="preserve"> consumer</w:t>
      </w:r>
      <w:r w:rsidR="000D09F4">
        <w:t>s</w:t>
      </w:r>
      <w:r w:rsidR="001F4508">
        <w:t xml:space="preserve"> are increasingly facing </w:t>
      </w:r>
      <w:r w:rsidR="00BA44B6">
        <w:t xml:space="preserve">economic challenges </w:t>
      </w:r>
      <w:r w:rsidR="00E7272D">
        <w:t>as the cost</w:t>
      </w:r>
      <w:r w:rsidR="0074775A">
        <w:t xml:space="preserve"> </w:t>
      </w:r>
      <w:r w:rsidR="00E7272D">
        <w:t>of</w:t>
      </w:r>
      <w:r w:rsidR="0074775A">
        <w:t xml:space="preserve"> </w:t>
      </w:r>
      <w:r w:rsidR="00E7272D">
        <w:t xml:space="preserve">living has risen sharply </w:t>
      </w:r>
      <w:r w:rsidR="00B517A3">
        <w:t>in recent times.</w:t>
      </w:r>
    </w:p>
    <w:p w14:paraId="7EEFE574" w14:textId="70D44DEA" w:rsidR="002126AE" w:rsidRDefault="00ED6CC9" w:rsidP="00E7272D">
      <w:pPr>
        <w:pStyle w:val="Paragraph"/>
      </w:pPr>
      <w:r>
        <w:t xml:space="preserve">There is evidence that current safeguards are not offering sufficient protections to </w:t>
      </w:r>
      <w:r w:rsidR="00A025D0">
        <w:t xml:space="preserve">telecommunications </w:t>
      </w:r>
      <w:r>
        <w:t>consumers facing financial difficulty</w:t>
      </w:r>
      <w:r w:rsidR="002519A3">
        <w:t xml:space="preserve">. </w:t>
      </w:r>
      <w:r w:rsidR="002519A3" w:rsidRPr="006930DE">
        <w:t xml:space="preserve">The </w:t>
      </w:r>
      <w:r w:rsidR="002519A3">
        <w:t xml:space="preserve">ACMA’s </w:t>
      </w:r>
      <w:hyperlink r:id="rId24" w:history="1">
        <w:r w:rsidR="00A20B28" w:rsidRPr="0074775A">
          <w:rPr>
            <w:rStyle w:val="Hyperlink"/>
            <w:i/>
            <w:iCs/>
          </w:rPr>
          <w:t>Financial hardship in the telco sector: Keeping the customer connected</w:t>
        </w:r>
      </w:hyperlink>
      <w:r w:rsidR="00A20B28" w:rsidRPr="009325B4">
        <w:t xml:space="preserve"> report</w:t>
      </w:r>
      <w:r w:rsidR="00E315A4">
        <w:t xml:space="preserve"> </w:t>
      </w:r>
      <w:r w:rsidR="002519A3">
        <w:t xml:space="preserve">and </w:t>
      </w:r>
      <w:hyperlink r:id="rId25" w:history="1">
        <w:r w:rsidR="002519A3" w:rsidRPr="0074775A">
          <w:rPr>
            <w:rStyle w:val="Hyperlink"/>
          </w:rPr>
          <w:t>associated research</w:t>
        </w:r>
      </w:hyperlink>
      <w:r w:rsidR="002126AE">
        <w:rPr>
          <w:rFonts w:ascii="Times New Roman" w:hAnsi="Times New Roman" w:cs="Times New Roman"/>
          <w:sz w:val="24"/>
        </w:rPr>
        <w:t xml:space="preserve"> </w:t>
      </w:r>
      <w:r w:rsidR="002519A3" w:rsidRPr="00B97F21">
        <w:t>has shown</w:t>
      </w:r>
      <w:r w:rsidR="002126AE" w:rsidRPr="00B97F21">
        <w:t xml:space="preserve"> that the rates of consumers experiencing financial hardship are significant in the telecommunications sector</w:t>
      </w:r>
      <w:r w:rsidR="00AF45DA">
        <w:t>,</w:t>
      </w:r>
      <w:r w:rsidR="002126AE" w:rsidRPr="00B97F21">
        <w:t xml:space="preserve"> </w:t>
      </w:r>
      <w:r w:rsidR="002519A3" w:rsidRPr="00B97F21">
        <w:t>yet</w:t>
      </w:r>
      <w:r w:rsidR="002126AE" w:rsidRPr="00B97F21">
        <w:t xml:space="preserve"> only a small proportion of </w:t>
      </w:r>
      <w:r w:rsidR="002519A3" w:rsidRPr="00B97F21">
        <w:t xml:space="preserve">these </w:t>
      </w:r>
      <w:r w:rsidR="002126AE" w:rsidRPr="00B97F21">
        <w:t>customers receiv</w:t>
      </w:r>
      <w:r w:rsidR="002519A3" w:rsidRPr="00B97F21">
        <w:t>e</w:t>
      </w:r>
      <w:r w:rsidR="002126AE" w:rsidRPr="00B97F21">
        <w:t xml:space="preserve"> formal hardship support. It also </w:t>
      </w:r>
      <w:r w:rsidR="006D5518" w:rsidRPr="00B97F21">
        <w:t xml:space="preserve">found that </w:t>
      </w:r>
      <w:r w:rsidR="002126AE" w:rsidRPr="00B97F21">
        <w:t>where consumers did access financial hardship support, the arrangements were</w:t>
      </w:r>
      <w:r w:rsidR="008B5184">
        <w:t xml:space="preserve"> often</w:t>
      </w:r>
      <w:r w:rsidR="002126AE" w:rsidRPr="00B97F21">
        <w:t xml:space="preserve"> not flexible </w:t>
      </w:r>
      <w:r w:rsidR="00B97F21" w:rsidRPr="00B97F21">
        <w:t xml:space="preserve">or </w:t>
      </w:r>
      <w:r w:rsidR="002126AE" w:rsidRPr="00B97F21">
        <w:t>tailored to meet a consumer’s individual circumstances.</w:t>
      </w:r>
    </w:p>
    <w:p w14:paraId="1BBDF9CE" w14:textId="495DD215" w:rsidR="00E21DBC" w:rsidRDefault="00F77DB8" w:rsidP="00E7272D">
      <w:pPr>
        <w:pStyle w:val="Paragraph"/>
      </w:pPr>
      <w:r>
        <w:t>T</w:t>
      </w:r>
      <w:r w:rsidR="00E21DBC" w:rsidRPr="00E21DBC">
        <w:t xml:space="preserve">he ACMA </w:t>
      </w:r>
      <w:r w:rsidR="00E21DBC">
        <w:t xml:space="preserve">convenes the </w:t>
      </w:r>
      <w:hyperlink r:id="rId26" w:history="1">
        <w:r w:rsidR="00E21DBC" w:rsidRPr="000F2E41">
          <w:rPr>
            <w:rStyle w:val="Hyperlink"/>
          </w:rPr>
          <w:t>Consumer Consultative Forum</w:t>
        </w:r>
      </w:hyperlink>
      <w:r w:rsidR="00E21DBC">
        <w:t xml:space="preserve"> (</w:t>
      </w:r>
      <w:r w:rsidR="00E21DBC" w:rsidRPr="00E21DBC">
        <w:t>CCF</w:t>
      </w:r>
      <w:r w:rsidR="00E21DBC">
        <w:t>)</w:t>
      </w:r>
      <w:r w:rsidR="00E21DBC" w:rsidRPr="00E21DBC">
        <w:t xml:space="preserve"> under</w:t>
      </w:r>
      <w:r w:rsidR="00E21DBC">
        <w:t xml:space="preserve"> </w:t>
      </w:r>
      <w:r w:rsidR="00E21DBC" w:rsidRPr="00E21DBC">
        <w:t xml:space="preserve">section 59 of the </w:t>
      </w:r>
      <w:r w:rsidR="00E21DBC" w:rsidRPr="00A8110E">
        <w:rPr>
          <w:i/>
          <w:iCs/>
        </w:rPr>
        <w:t>Australian Communications and Media Authority Act 2005</w:t>
      </w:r>
      <w:r w:rsidR="00E21DBC">
        <w:t>.</w:t>
      </w:r>
      <w:r w:rsidR="00E21DBC" w:rsidRPr="00E21DBC">
        <w:t xml:space="preserve"> </w:t>
      </w:r>
      <w:r w:rsidR="00B95F45">
        <w:t>Feedback from current consumer representatives</w:t>
      </w:r>
      <w:r w:rsidR="00B95F45">
        <w:rPr>
          <w:rStyle w:val="FootnoteReference"/>
        </w:rPr>
        <w:footnoteReference w:id="2"/>
      </w:r>
      <w:r w:rsidR="00B95F45">
        <w:t xml:space="preserve"> </w:t>
      </w:r>
      <w:r w:rsidR="0039451B">
        <w:t xml:space="preserve">at </w:t>
      </w:r>
      <w:r w:rsidR="00E21DBC" w:rsidRPr="00E21DBC">
        <w:t xml:space="preserve">these meetings has </w:t>
      </w:r>
      <w:r w:rsidR="008E4FD0">
        <w:t>emphasised</w:t>
      </w:r>
      <w:r w:rsidR="00E21DBC" w:rsidRPr="00E21DBC">
        <w:t xml:space="preserve"> the need for more robust </w:t>
      </w:r>
      <w:r w:rsidR="00B95F45">
        <w:t>financial hardship</w:t>
      </w:r>
      <w:r w:rsidR="00E21DBC" w:rsidRPr="00E21DBC">
        <w:t xml:space="preserve"> protections</w:t>
      </w:r>
      <w:r w:rsidR="00B95F45">
        <w:t xml:space="preserve"> beyond those afforded by the </w:t>
      </w:r>
      <w:hyperlink r:id="rId27" w:history="1">
        <w:r w:rsidR="00B95F45">
          <w:rPr>
            <w:rStyle w:val="Hyperlink"/>
          </w:rPr>
          <w:t>Telecommunications Consumer Protections Code C628:2019</w:t>
        </w:r>
      </w:hyperlink>
      <w:r w:rsidR="00B95F45">
        <w:t xml:space="preserve"> (TCP Code)</w:t>
      </w:r>
      <w:r w:rsidR="00E21DBC" w:rsidRPr="00E21DBC">
        <w:t>.</w:t>
      </w:r>
    </w:p>
    <w:p w14:paraId="35BCA4CD" w14:textId="2181AA04" w:rsidR="00A81853" w:rsidRPr="00B97F21" w:rsidRDefault="00A81853" w:rsidP="00E7272D">
      <w:pPr>
        <w:pStyle w:val="Paragraph"/>
      </w:pPr>
      <w:r>
        <w:t>Th</w:t>
      </w:r>
      <w:r w:rsidR="000F05CA">
        <w:t xml:space="preserve">e CCF contributions referred to </w:t>
      </w:r>
      <w:r>
        <w:t xml:space="preserve">above accord with </w:t>
      </w:r>
      <w:r w:rsidR="00CC7205">
        <w:t xml:space="preserve">feedback received during </w:t>
      </w:r>
      <w:r w:rsidR="00EC6E64">
        <w:t xml:space="preserve">development of the ACMA’s </w:t>
      </w:r>
      <w:hyperlink r:id="rId28" w:history="1">
        <w:r w:rsidR="00EC6E64" w:rsidRPr="00A8110E">
          <w:rPr>
            <w:rStyle w:val="Hyperlink"/>
            <w:i/>
            <w:iCs/>
          </w:rPr>
          <w:t>Consumer vulnerability: expectations for the telecommunications industry</w:t>
        </w:r>
      </w:hyperlink>
      <w:r w:rsidR="00EC6E64">
        <w:t xml:space="preserve"> published in May 2022</w:t>
      </w:r>
      <w:r w:rsidR="009E1FD9">
        <w:t>.</w:t>
      </w:r>
    </w:p>
    <w:p w14:paraId="58583A67" w14:textId="652EC312" w:rsidR="00E75348" w:rsidRDefault="00CF172A" w:rsidP="007A708B">
      <w:pPr>
        <w:pStyle w:val="Paragraphbeforelist"/>
      </w:pPr>
      <w:r>
        <w:t>On</w:t>
      </w:r>
      <w:r w:rsidDel="00A764BB">
        <w:t xml:space="preserve"> </w:t>
      </w:r>
      <w:r w:rsidR="00A764BB">
        <w:t xml:space="preserve">6 </w:t>
      </w:r>
      <w:r>
        <w:t xml:space="preserve">September 2023, the Minister for Communications </w:t>
      </w:r>
      <w:r w:rsidR="00AB2786">
        <w:t xml:space="preserve">(the </w:t>
      </w:r>
      <w:r w:rsidR="008C29F1">
        <w:t>M</w:t>
      </w:r>
      <w:r w:rsidR="00AB2786">
        <w:t xml:space="preserve">inister) </w:t>
      </w:r>
      <w:r>
        <w:t>direct</w:t>
      </w:r>
      <w:r w:rsidR="00B66803">
        <w:t>ed</w:t>
      </w:r>
      <w:r w:rsidR="00A86D87">
        <w:rPr>
          <w:rStyle w:val="FootnoteReference"/>
        </w:rPr>
        <w:footnoteReference w:id="3"/>
      </w:r>
      <w:r w:rsidR="00B66803">
        <w:t xml:space="preserve"> the </w:t>
      </w:r>
      <w:r w:rsidR="00E75348">
        <w:t>ACMA to make a new industry standard that deals with:</w:t>
      </w:r>
    </w:p>
    <w:p w14:paraId="4BC5557D" w14:textId="6CCA2A8C" w:rsidR="00E75348" w:rsidRDefault="00E75348" w:rsidP="001022BC">
      <w:pPr>
        <w:pStyle w:val="Bulletlevel1"/>
        <w:numPr>
          <w:ilvl w:val="0"/>
          <w:numId w:val="11"/>
        </w:numPr>
      </w:pPr>
      <w:r>
        <w:t xml:space="preserve">information to be provided </w:t>
      </w:r>
      <w:r w:rsidR="0006678D">
        <w:t xml:space="preserve">and made available </w:t>
      </w:r>
      <w:r>
        <w:t>by</w:t>
      </w:r>
      <w:r w:rsidR="00035868">
        <w:t xml:space="preserve"> carriage service providers</w:t>
      </w:r>
      <w:r>
        <w:t xml:space="preserve"> </w:t>
      </w:r>
      <w:r w:rsidR="00035868">
        <w:t>(</w:t>
      </w:r>
      <w:r>
        <w:t>CSPs</w:t>
      </w:r>
      <w:r w:rsidR="00035868">
        <w:t>)</w:t>
      </w:r>
      <w:r>
        <w:t xml:space="preserve"> to customers</w:t>
      </w:r>
      <w:r w:rsidR="0006678D">
        <w:t xml:space="preserve"> </w:t>
      </w:r>
      <w:r>
        <w:t xml:space="preserve">relating to financial hardship </w:t>
      </w:r>
      <w:proofErr w:type="gramStart"/>
      <w:r>
        <w:t>matters</w:t>
      </w:r>
      <w:proofErr w:type="gramEnd"/>
    </w:p>
    <w:p w14:paraId="6C6D6E9B" w14:textId="6F9EC153" w:rsidR="00E75348" w:rsidRDefault="00E75348" w:rsidP="001022BC">
      <w:pPr>
        <w:pStyle w:val="Bulletlevel1"/>
        <w:numPr>
          <w:ilvl w:val="0"/>
          <w:numId w:val="11"/>
        </w:numPr>
        <w:spacing w:after="240"/>
      </w:pPr>
      <w:r>
        <w:t>the support provided by CSPs to customers who are</w:t>
      </w:r>
      <w:r w:rsidR="00AF45DA">
        <w:t>,</w:t>
      </w:r>
      <w:r>
        <w:t xml:space="preserve"> or may be</w:t>
      </w:r>
      <w:r w:rsidR="00AF45DA">
        <w:t>,</w:t>
      </w:r>
      <w:r>
        <w:t xml:space="preserve"> experiencing financial hardship.</w:t>
      </w:r>
    </w:p>
    <w:p w14:paraId="3D39141D" w14:textId="4546AC80" w:rsidR="00E75348" w:rsidRDefault="00706F4A" w:rsidP="009325B4">
      <w:pPr>
        <w:pStyle w:val="Bulletlevel1"/>
        <w:numPr>
          <w:ilvl w:val="0"/>
          <w:numId w:val="0"/>
        </w:numPr>
        <w:tabs>
          <w:tab w:val="left" w:pos="720"/>
        </w:tabs>
        <w:spacing w:after="240"/>
      </w:pPr>
      <w:r>
        <w:t>Under subsection 5(2) o</w:t>
      </w:r>
      <w:r w:rsidR="004A2B2F">
        <w:t>f</w:t>
      </w:r>
      <w:r>
        <w:t xml:space="preserve"> the </w:t>
      </w:r>
      <w:hyperlink r:id="rId29" w:history="1">
        <w:r w:rsidRPr="007A708B">
          <w:rPr>
            <w:rStyle w:val="Hyperlink"/>
            <w:iCs/>
          </w:rPr>
          <w:t xml:space="preserve">Telecommunications (Financial Hardship Industry </w:t>
        </w:r>
        <w:r w:rsidR="00472D36">
          <w:rPr>
            <w:rStyle w:val="Hyperlink"/>
            <w:iCs/>
          </w:rPr>
          <w:t>S</w:t>
        </w:r>
        <w:r w:rsidRPr="007A708B">
          <w:rPr>
            <w:rStyle w:val="Hyperlink"/>
            <w:iCs/>
          </w:rPr>
          <w:t>tandard) Direction 2023</w:t>
        </w:r>
      </w:hyperlink>
      <w:r w:rsidRPr="007A708B">
        <w:rPr>
          <w:iCs/>
        </w:rPr>
        <w:t xml:space="preserve"> </w:t>
      </w:r>
      <w:r w:rsidR="004A2B2F" w:rsidRPr="00E20ECE">
        <w:t>(</w:t>
      </w:r>
      <w:r w:rsidR="004A2B2F" w:rsidRPr="004A2B2F">
        <w:t>the Direction</w:t>
      </w:r>
      <w:r w:rsidR="004A2B2F">
        <w:rPr>
          <w:i/>
          <w:iCs/>
        </w:rPr>
        <w:t>)</w:t>
      </w:r>
      <w:r>
        <w:t xml:space="preserve"> t</w:t>
      </w:r>
      <w:r w:rsidR="00E75348">
        <w:t>he industry standard must be determined by 15 February 2024 and commence in full by 29 March 2024.</w:t>
      </w:r>
    </w:p>
    <w:p w14:paraId="61021D85" w14:textId="5C3D5694" w:rsidR="00E75348" w:rsidRDefault="00E75348" w:rsidP="00E57148">
      <w:pPr>
        <w:pStyle w:val="Paragraph"/>
        <w:keepNext/>
        <w:keepLines/>
      </w:pPr>
      <w:r>
        <w:lastRenderedPageBreak/>
        <w:t xml:space="preserve">The </w:t>
      </w:r>
      <w:r w:rsidR="002E0F6C">
        <w:t>industry standard</w:t>
      </w:r>
      <w:r>
        <w:t xml:space="preserve"> will apply to</w:t>
      </w:r>
      <w:r w:rsidR="002E0F6C">
        <w:t xml:space="preserve"> all</w:t>
      </w:r>
      <w:r>
        <w:t xml:space="preserve"> CSPs who deal with residential, small business and not-for-profit customers. </w:t>
      </w:r>
      <w:r w:rsidR="007F4A18">
        <w:t xml:space="preserve">It is intended to bolster protections for consumers in vulnerable circumstances </w:t>
      </w:r>
      <w:r w:rsidR="0006678D">
        <w:t>to</w:t>
      </w:r>
      <w:r w:rsidR="007F4A18">
        <w:t xml:space="preserve"> access and receiv</w:t>
      </w:r>
      <w:r w:rsidR="0006678D">
        <w:t>e</w:t>
      </w:r>
      <w:r w:rsidR="007F4A18">
        <w:t xml:space="preserve"> appropriate financial support to help them remain connected to this essential service.</w:t>
      </w:r>
    </w:p>
    <w:p w14:paraId="1EA1E449" w14:textId="40B625F4" w:rsidR="003B28F6" w:rsidRDefault="00305C1D" w:rsidP="003B28F6">
      <w:pPr>
        <w:pStyle w:val="Paragraph"/>
      </w:pPr>
      <w:r>
        <w:t>The ACMA</w:t>
      </w:r>
      <w:r w:rsidR="003B28F6">
        <w:t xml:space="preserve"> </w:t>
      </w:r>
      <w:r w:rsidR="00B2440E">
        <w:t>invites submissions</w:t>
      </w:r>
      <w:r w:rsidR="003B28F6">
        <w:t xml:space="preserve"> on the draft </w:t>
      </w:r>
      <w:r w:rsidR="003B28F6" w:rsidRPr="007A708B">
        <w:t>Telecommunications (Financial Hardship) Industry Standard 202</w:t>
      </w:r>
      <w:r w:rsidR="00F248E2" w:rsidRPr="007A708B">
        <w:t>4</w:t>
      </w:r>
      <w:r w:rsidR="003B28F6">
        <w:t xml:space="preserve"> (the draft Standard)</w:t>
      </w:r>
      <w:r w:rsidR="005B6FAB">
        <w:t>.</w:t>
      </w:r>
    </w:p>
    <w:p w14:paraId="3A225EF9" w14:textId="77777777" w:rsidR="008E5DB3" w:rsidRPr="00E162C4" w:rsidRDefault="008E5DB3" w:rsidP="008E5DB3">
      <w:pPr>
        <w:pStyle w:val="Heading1"/>
      </w:pPr>
      <w:bookmarkStart w:id="2" w:name="_Toc148705861"/>
      <w:r w:rsidRPr="00E162C4">
        <w:lastRenderedPageBreak/>
        <w:t>Issue/s for comment</w:t>
      </w:r>
      <w:bookmarkEnd w:id="2"/>
    </w:p>
    <w:p w14:paraId="3F77F902" w14:textId="0F753ADE" w:rsidR="003B28F6" w:rsidRDefault="003B28F6" w:rsidP="00802981">
      <w:pPr>
        <w:pStyle w:val="Paragraphbeforelist"/>
        <w:spacing w:after="240"/>
      </w:pPr>
      <w:r>
        <w:t xml:space="preserve">We invite comments on the </w:t>
      </w:r>
      <w:r w:rsidR="00100A5C">
        <w:t>draft Standard, including</w:t>
      </w:r>
      <w:r>
        <w:t>:</w:t>
      </w:r>
    </w:p>
    <w:p w14:paraId="38FC73D3" w14:textId="5F48A328" w:rsidR="002C55E3" w:rsidRPr="002C55E3" w:rsidRDefault="00491596" w:rsidP="001022BC">
      <w:pPr>
        <w:pStyle w:val="Numberlistlevel1"/>
        <w:numPr>
          <w:ilvl w:val="0"/>
          <w:numId w:val="10"/>
        </w:numPr>
        <w:spacing w:after="240"/>
        <w:rPr>
          <w:b/>
          <w:bCs/>
        </w:rPr>
      </w:pPr>
      <w:r>
        <w:rPr>
          <w:b/>
          <w:bCs/>
        </w:rPr>
        <w:t>Objectives and r</w:t>
      </w:r>
      <w:r w:rsidR="008053EE" w:rsidRPr="002C55E3">
        <w:rPr>
          <w:b/>
          <w:bCs/>
        </w:rPr>
        <w:t>equirements of the Direction</w:t>
      </w:r>
    </w:p>
    <w:p w14:paraId="39EF959A" w14:textId="5BA185AF" w:rsidR="009F46D4" w:rsidRDefault="0060305C" w:rsidP="00802981">
      <w:pPr>
        <w:pStyle w:val="Numberlistlevel1"/>
        <w:numPr>
          <w:ilvl w:val="0"/>
          <w:numId w:val="0"/>
        </w:numPr>
        <w:spacing w:after="240"/>
        <w:ind w:left="360"/>
      </w:pPr>
      <w:r>
        <w:t>The Direction s</w:t>
      </w:r>
      <w:r w:rsidR="00D62E6C">
        <w:t>ets out</w:t>
      </w:r>
      <w:r>
        <w:t xml:space="preserve"> the objectives </w:t>
      </w:r>
      <w:r w:rsidR="00AC7773">
        <w:t xml:space="preserve">and </w:t>
      </w:r>
      <w:r w:rsidR="00D62E6C">
        <w:t xml:space="preserve">content </w:t>
      </w:r>
      <w:r w:rsidR="00AC7773">
        <w:t xml:space="preserve">requirements </w:t>
      </w:r>
      <w:r w:rsidR="001F07EF">
        <w:t>of the</w:t>
      </w:r>
      <w:r w:rsidR="00D76520">
        <w:t xml:space="preserve"> draft</w:t>
      </w:r>
      <w:r w:rsidR="00AC7773">
        <w:t xml:space="preserve"> </w:t>
      </w:r>
      <w:r w:rsidR="00D76520">
        <w:t>Standard</w:t>
      </w:r>
      <w:r w:rsidR="00AF45DA">
        <w:t>.</w:t>
      </w:r>
      <w:r w:rsidR="00C87313">
        <w:t xml:space="preserve"> It</w:t>
      </w:r>
      <w:r w:rsidR="001F07EF">
        <w:t xml:space="preserve"> </w:t>
      </w:r>
      <w:r w:rsidR="00C87313">
        <w:t>requires</w:t>
      </w:r>
      <w:r w:rsidR="001F07EF">
        <w:t xml:space="preserve"> </w:t>
      </w:r>
      <w:r w:rsidR="00D62E6C">
        <w:t xml:space="preserve">the provision of </w:t>
      </w:r>
      <w:r w:rsidR="001F07EF" w:rsidRPr="00D76520">
        <w:t xml:space="preserve">adequate and appropriate </w:t>
      </w:r>
      <w:r w:rsidR="001F07EF">
        <w:t>information about</w:t>
      </w:r>
      <w:r w:rsidR="00AF45DA">
        <w:t xml:space="preserve"> financial hardship,</w:t>
      </w:r>
      <w:r w:rsidR="001F07EF">
        <w:t xml:space="preserve"> and </w:t>
      </w:r>
      <w:r w:rsidR="008D7A63">
        <w:t>support for consumer</w:t>
      </w:r>
      <w:r w:rsidR="0013474D">
        <w:t>s</w:t>
      </w:r>
      <w:r w:rsidR="001F07EF">
        <w:t xml:space="preserve"> </w:t>
      </w:r>
      <w:r w:rsidR="0013474D">
        <w:t>experiencing</w:t>
      </w:r>
      <w:r w:rsidR="001F07EF">
        <w:t xml:space="preserve"> financial hardship</w:t>
      </w:r>
      <w:r w:rsidR="00AF45DA">
        <w:t>,</w:t>
      </w:r>
      <w:r w:rsidR="0013474D">
        <w:t xml:space="preserve"> and prioritising</w:t>
      </w:r>
      <w:r w:rsidR="001F07EF">
        <w:t xml:space="preserve"> </w:t>
      </w:r>
      <w:r w:rsidR="001F07EF" w:rsidRPr="00D76520">
        <w:t>keeping customer</w:t>
      </w:r>
      <w:r w:rsidR="0013474D">
        <w:t>s</w:t>
      </w:r>
      <w:r w:rsidR="001F07EF" w:rsidRPr="00D76520">
        <w:t xml:space="preserve"> connected when making decisions about credit management action</w:t>
      </w:r>
      <w:r w:rsidR="001F07EF">
        <w:t xml:space="preserve">. It also permits the ACMA </w:t>
      </w:r>
      <w:r w:rsidR="00A86D87">
        <w:t xml:space="preserve">to </w:t>
      </w:r>
      <w:r w:rsidR="001F07EF">
        <w:t xml:space="preserve">make rules and requirements about the </w:t>
      </w:r>
      <w:r w:rsidR="001F07EF" w:rsidRPr="001F07EF">
        <w:t>processes for assessment</w:t>
      </w:r>
      <w:r w:rsidR="001F07EF">
        <w:t xml:space="preserve">, promotion and </w:t>
      </w:r>
      <w:r w:rsidR="001F07EF" w:rsidRPr="001F07EF">
        <w:t>provision of financial hardship assistance</w:t>
      </w:r>
      <w:r w:rsidR="001F07EF">
        <w:t xml:space="preserve"> and credit management </w:t>
      </w:r>
      <w:r w:rsidR="00A86D87">
        <w:t>action for</w:t>
      </w:r>
      <w:r w:rsidR="001F07EF">
        <w:t xml:space="preserve"> customers experiencing financial hardship.</w:t>
      </w:r>
      <w:r>
        <w:t xml:space="preserve"> </w:t>
      </w:r>
    </w:p>
    <w:p w14:paraId="14748463" w14:textId="6187EF1A" w:rsidR="004B585C" w:rsidRDefault="00476C56" w:rsidP="00802981">
      <w:pPr>
        <w:pStyle w:val="Numberlistlevel1"/>
        <w:numPr>
          <w:ilvl w:val="0"/>
          <w:numId w:val="0"/>
        </w:numPr>
        <w:spacing w:after="240"/>
        <w:ind w:left="360"/>
      </w:pPr>
      <w:r>
        <w:t>Does</w:t>
      </w:r>
      <w:r w:rsidR="00321829">
        <w:t xml:space="preserve"> the draft Standard fulfil the objectives and requirements of the Direction</w:t>
      </w:r>
      <w:r w:rsidR="004B585C">
        <w:t>?</w:t>
      </w:r>
    </w:p>
    <w:p w14:paraId="10AC1CD4" w14:textId="4D7EB9B3" w:rsidR="003B28F6" w:rsidRDefault="003B28F6" w:rsidP="00802981">
      <w:pPr>
        <w:pStyle w:val="Numberlistlevel1"/>
        <w:numPr>
          <w:ilvl w:val="0"/>
          <w:numId w:val="0"/>
        </w:numPr>
        <w:spacing w:after="240"/>
        <w:ind w:left="360"/>
      </w:pPr>
      <w:r>
        <w:t xml:space="preserve">If </w:t>
      </w:r>
      <w:r w:rsidR="00321829">
        <w:t>not</w:t>
      </w:r>
      <w:r>
        <w:t>, please explain why and describe any alternative</w:t>
      </w:r>
      <w:r w:rsidR="00620709">
        <w:t xml:space="preserve"> and/or additional</w:t>
      </w:r>
      <w:r>
        <w:t xml:space="preserve"> approaches that could be used to meet the </w:t>
      </w:r>
      <w:r w:rsidR="00321829">
        <w:t xml:space="preserve">objectives and </w:t>
      </w:r>
      <w:r>
        <w:t>requirements of the Direction.</w:t>
      </w:r>
    </w:p>
    <w:p w14:paraId="764B76AA" w14:textId="101FBF9F" w:rsidR="00BA1665" w:rsidRPr="00256DA6" w:rsidRDefault="002C55E3" w:rsidP="001022BC">
      <w:pPr>
        <w:pStyle w:val="Numberlistlevel1"/>
        <w:numPr>
          <w:ilvl w:val="0"/>
          <w:numId w:val="10"/>
        </w:numPr>
        <w:spacing w:after="240"/>
        <w:rPr>
          <w:b/>
          <w:bCs/>
        </w:rPr>
      </w:pPr>
      <w:r w:rsidRPr="00256DA6">
        <w:rPr>
          <w:b/>
          <w:bCs/>
        </w:rPr>
        <w:t xml:space="preserve">Adequate protection for </w:t>
      </w:r>
      <w:r w:rsidR="00602FCE">
        <w:rPr>
          <w:b/>
          <w:bCs/>
        </w:rPr>
        <w:t>customers</w:t>
      </w:r>
      <w:r w:rsidRPr="00256DA6">
        <w:rPr>
          <w:b/>
          <w:bCs/>
        </w:rPr>
        <w:t xml:space="preserve"> </w:t>
      </w:r>
      <w:r w:rsidR="00BA1665" w:rsidRPr="00256DA6">
        <w:rPr>
          <w:b/>
          <w:bCs/>
        </w:rPr>
        <w:t xml:space="preserve">with payment difficulties </w:t>
      </w:r>
    </w:p>
    <w:p w14:paraId="35DAB5E0" w14:textId="2D06E3DF" w:rsidR="003B28F6" w:rsidRDefault="003B28F6" w:rsidP="00802981">
      <w:pPr>
        <w:pStyle w:val="Numberlistlevel1"/>
        <w:numPr>
          <w:ilvl w:val="0"/>
          <w:numId w:val="0"/>
        </w:numPr>
        <w:spacing w:after="240"/>
        <w:ind w:left="360"/>
      </w:pPr>
      <w:r>
        <w:t xml:space="preserve">Does the draft Standard offer adequate protections to </w:t>
      </w:r>
      <w:r w:rsidR="00602FCE">
        <w:t xml:space="preserve">customers </w:t>
      </w:r>
      <w:r>
        <w:t xml:space="preserve">who are having difficulty paying their telecommunications bills? </w:t>
      </w:r>
    </w:p>
    <w:p w14:paraId="4F67400B" w14:textId="1EE8B097" w:rsidR="00D84A58" w:rsidRDefault="003B28F6" w:rsidP="00802981">
      <w:pPr>
        <w:pStyle w:val="ListNumber"/>
        <w:numPr>
          <w:ilvl w:val="0"/>
          <w:numId w:val="0"/>
        </w:numPr>
        <w:spacing w:after="240"/>
        <w:ind w:left="360"/>
      </w:pPr>
      <w:r>
        <w:t>If not, please explain why and describe alternative approaches that could be used to meet the requirements of the Direction.</w:t>
      </w:r>
    </w:p>
    <w:p w14:paraId="29C2B070" w14:textId="680250EA" w:rsidR="003B28F6" w:rsidRDefault="00251BFB" w:rsidP="00802981">
      <w:pPr>
        <w:pStyle w:val="ListNumber"/>
        <w:numPr>
          <w:ilvl w:val="0"/>
          <w:numId w:val="0"/>
        </w:numPr>
        <w:spacing w:after="240"/>
        <w:ind w:left="360"/>
      </w:pPr>
      <w:r>
        <w:t xml:space="preserve">Should some </w:t>
      </w:r>
      <w:r w:rsidR="00C87313">
        <w:t xml:space="preserve">types of </w:t>
      </w:r>
      <w:r>
        <w:t>customers have specific processes applied to them?</w:t>
      </w:r>
      <w:r w:rsidR="009C40BC">
        <w:t xml:space="preserve"> If so, please identify these customer</w:t>
      </w:r>
      <w:r w:rsidR="00C87313">
        <w:t xml:space="preserve"> types</w:t>
      </w:r>
      <w:r w:rsidR="009C40BC">
        <w:t xml:space="preserve"> and describe the proposed processes.   </w:t>
      </w:r>
    </w:p>
    <w:p w14:paraId="02205798" w14:textId="0876376D" w:rsidR="00D84A58" w:rsidRPr="00D84A58" w:rsidRDefault="00602FCE" w:rsidP="001022BC">
      <w:pPr>
        <w:pStyle w:val="ListNumber"/>
        <w:numPr>
          <w:ilvl w:val="0"/>
          <w:numId w:val="10"/>
        </w:numPr>
        <w:spacing w:after="240"/>
        <w:ind w:left="284" w:hanging="284"/>
      </w:pPr>
      <w:r>
        <w:rPr>
          <w:b/>
          <w:bCs/>
        </w:rPr>
        <w:t>F</w:t>
      </w:r>
      <w:r w:rsidR="00D84A58" w:rsidRPr="00D84A58">
        <w:rPr>
          <w:b/>
          <w:bCs/>
        </w:rPr>
        <w:t>easibility and cost</w:t>
      </w:r>
    </w:p>
    <w:p w14:paraId="3878D3EA" w14:textId="315ECEBC" w:rsidR="00F17035" w:rsidRDefault="00F17035" w:rsidP="00802981">
      <w:pPr>
        <w:pStyle w:val="ListNumber"/>
        <w:numPr>
          <w:ilvl w:val="0"/>
          <w:numId w:val="0"/>
        </w:numPr>
        <w:spacing w:after="240"/>
        <w:ind w:left="284"/>
      </w:pPr>
      <w:r>
        <w:t>Are the proposed requirements robust and feasible?</w:t>
      </w:r>
    </w:p>
    <w:p w14:paraId="68F11A7E" w14:textId="7A55610B" w:rsidR="008D7A63" w:rsidRDefault="008D7A63" w:rsidP="00802981">
      <w:pPr>
        <w:pStyle w:val="ListNumber"/>
        <w:numPr>
          <w:ilvl w:val="0"/>
          <w:numId w:val="0"/>
        </w:numPr>
        <w:spacing w:after="240"/>
        <w:ind w:left="284"/>
      </w:pPr>
      <w:r>
        <w:t>What are</w:t>
      </w:r>
      <w:r w:rsidRPr="00E04899">
        <w:t xml:space="preserve"> the likely costs and </w:t>
      </w:r>
      <w:r>
        <w:t>benefits</w:t>
      </w:r>
      <w:r w:rsidRPr="00E04899">
        <w:t xml:space="preserve"> of implementation</w:t>
      </w:r>
      <w:r>
        <w:t>?</w:t>
      </w:r>
    </w:p>
    <w:p w14:paraId="53BC84F1" w14:textId="76BECD76" w:rsidR="00D84A58" w:rsidRDefault="00D84A58" w:rsidP="00802981">
      <w:pPr>
        <w:pStyle w:val="ListNumber"/>
        <w:numPr>
          <w:ilvl w:val="0"/>
          <w:numId w:val="0"/>
        </w:numPr>
        <w:spacing w:after="240"/>
        <w:ind w:left="284"/>
      </w:pPr>
      <w:r>
        <w:t xml:space="preserve">Do the </w:t>
      </w:r>
      <w:r w:rsidR="007C7113">
        <w:t>requirements and processes</w:t>
      </w:r>
      <w:r w:rsidR="008D7A63">
        <w:t xml:space="preserve"> in the draft Standard</w:t>
      </w:r>
      <w:r>
        <w:t xml:space="preserve"> impose undue financial and administrative burdens on providers?</w:t>
      </w:r>
    </w:p>
    <w:p w14:paraId="4B2287F6" w14:textId="16290C3E" w:rsidR="00D84A58" w:rsidRDefault="00D84A58" w:rsidP="00802981">
      <w:pPr>
        <w:pStyle w:val="ListNumber"/>
        <w:numPr>
          <w:ilvl w:val="0"/>
          <w:numId w:val="0"/>
        </w:numPr>
        <w:spacing w:after="240"/>
        <w:ind w:left="284"/>
      </w:pPr>
      <w:r>
        <w:t>The ACMA welcomes detailed information about issues</w:t>
      </w:r>
      <w:r w:rsidR="008D7A63">
        <w:t xml:space="preserve">, </w:t>
      </w:r>
      <w:r>
        <w:t xml:space="preserve">costs </w:t>
      </w:r>
      <w:r w:rsidR="008D7A63">
        <w:t xml:space="preserve">and benefits from an economic and social </w:t>
      </w:r>
      <w:r w:rsidR="00A86D87">
        <w:t>standpoint</w:t>
      </w:r>
      <w:r w:rsidR="008D7A63">
        <w:t xml:space="preserve"> against specific requirements</w:t>
      </w:r>
      <w:r w:rsidR="00D755B5">
        <w:t xml:space="preserve"> of the draft </w:t>
      </w:r>
      <w:r w:rsidR="008F265F">
        <w:t>S</w:t>
      </w:r>
      <w:r w:rsidR="00D755B5">
        <w:t>tandard</w:t>
      </w:r>
      <w:r>
        <w:t>, as applicable.</w:t>
      </w:r>
    </w:p>
    <w:p w14:paraId="0918F4DF" w14:textId="1D7570AE" w:rsidR="0044374C" w:rsidRPr="0044374C" w:rsidRDefault="0044374C" w:rsidP="001022BC">
      <w:pPr>
        <w:pStyle w:val="Numberlistlevel1"/>
        <w:numPr>
          <w:ilvl w:val="0"/>
          <w:numId w:val="10"/>
        </w:numPr>
        <w:spacing w:after="240"/>
        <w:ind w:left="284" w:hanging="284"/>
        <w:rPr>
          <w:b/>
          <w:bCs/>
        </w:rPr>
      </w:pPr>
      <w:r>
        <w:rPr>
          <w:b/>
          <w:bCs/>
        </w:rPr>
        <w:t>Commencement</w:t>
      </w:r>
    </w:p>
    <w:p w14:paraId="0DB6AE71" w14:textId="1A08A108" w:rsidR="0044374C" w:rsidRDefault="0044374C" w:rsidP="00802981">
      <w:pPr>
        <w:pStyle w:val="Numberlistlevel1"/>
        <w:numPr>
          <w:ilvl w:val="0"/>
          <w:numId w:val="0"/>
        </w:numPr>
        <w:spacing w:after="240"/>
        <w:ind w:left="284"/>
      </w:pPr>
      <w:r>
        <w:t>The Direction requires that the Standard (which must be determined by 15 February 2024) commence in full at the earliest practical opportunity</w:t>
      </w:r>
      <w:r w:rsidR="00AF45DA">
        <w:t>,</w:t>
      </w:r>
      <w:r>
        <w:t xml:space="preserve"> but no later than 29 March 2024. </w:t>
      </w:r>
    </w:p>
    <w:p w14:paraId="69EF6AA0" w14:textId="4950852D" w:rsidR="0044374C" w:rsidRDefault="0044374C" w:rsidP="00802981">
      <w:pPr>
        <w:pStyle w:val="Numberlistlevel1"/>
        <w:numPr>
          <w:ilvl w:val="0"/>
          <w:numId w:val="0"/>
        </w:numPr>
        <w:spacing w:after="240"/>
        <w:ind w:left="284"/>
      </w:pPr>
      <w:r>
        <w:t>We are seeking views</w:t>
      </w:r>
      <w:r w:rsidR="0006678D">
        <w:t>, and the reasons for them,</w:t>
      </w:r>
      <w:r>
        <w:t xml:space="preserve"> on the earliest practical date for the Standard to commence in full, noting that this must be no later than </w:t>
      </w:r>
      <w:r w:rsidR="00AF45DA">
        <w:t>29 March </w:t>
      </w:r>
      <w:r>
        <w:t>2024.</w:t>
      </w:r>
    </w:p>
    <w:p w14:paraId="25B880CC" w14:textId="77777777" w:rsidR="000A607D" w:rsidRDefault="000A607D" w:rsidP="001022BC">
      <w:pPr>
        <w:pStyle w:val="Numberlistlevel1"/>
        <w:numPr>
          <w:ilvl w:val="0"/>
          <w:numId w:val="10"/>
        </w:numPr>
        <w:spacing w:after="240"/>
        <w:ind w:left="284" w:hanging="284"/>
        <w:rPr>
          <w:b/>
          <w:bCs/>
        </w:rPr>
      </w:pPr>
      <w:r>
        <w:rPr>
          <w:b/>
          <w:bCs/>
        </w:rPr>
        <w:lastRenderedPageBreak/>
        <w:t xml:space="preserve">Contact </w:t>
      </w:r>
      <w:proofErr w:type="gramStart"/>
      <w:r>
        <w:rPr>
          <w:b/>
          <w:bCs/>
        </w:rPr>
        <w:t>requirements</w:t>
      </w:r>
      <w:proofErr w:type="gramEnd"/>
    </w:p>
    <w:p w14:paraId="3231E535" w14:textId="39663B4D" w:rsidR="000A607D" w:rsidRDefault="000A607D" w:rsidP="000A607D">
      <w:pPr>
        <w:pStyle w:val="Numberlistlevel1"/>
        <w:numPr>
          <w:ilvl w:val="0"/>
          <w:numId w:val="0"/>
        </w:numPr>
        <w:spacing w:after="240"/>
        <w:ind w:left="284"/>
      </w:pPr>
      <w:r>
        <w:t xml:space="preserve">Under paragraph 8(1)(h) of the </w:t>
      </w:r>
      <w:hyperlink r:id="rId30" w:history="1">
        <w:r w:rsidR="00E57148" w:rsidRPr="00E57148">
          <w:rPr>
            <w:rStyle w:val="Hyperlink"/>
          </w:rPr>
          <w:t>Telecommunications (Consumer Complaints Handling) Industry Standard 2018</w:t>
        </w:r>
      </w:hyperlink>
      <w:r w:rsidR="00E57148">
        <w:t>,</w:t>
      </w:r>
      <w:r>
        <w:t xml:space="preserve"> all CSPs that offer services to residential and small business customers are required to permit consumers to make complaints by telephone and be able to contact CSPs by phone about their complaint (paragraph 8(1)(j) of that Standard). ACMA research into consumers experiencing difficulty with bill payments highlights the importance of phone contact.</w:t>
      </w:r>
      <w:r>
        <w:rPr>
          <w:rStyle w:val="FootnoteReference"/>
        </w:rPr>
        <w:footnoteReference w:id="4"/>
      </w:r>
      <w:r>
        <w:t xml:space="preserve"> </w:t>
      </w:r>
    </w:p>
    <w:p w14:paraId="3F32E697" w14:textId="77777777" w:rsidR="000A607D" w:rsidRDefault="000A607D" w:rsidP="000A607D">
      <w:pPr>
        <w:pStyle w:val="Numberlistlevel1"/>
        <w:numPr>
          <w:ilvl w:val="0"/>
          <w:numId w:val="0"/>
        </w:numPr>
        <w:spacing w:after="240"/>
        <w:ind w:left="284"/>
      </w:pPr>
      <w:r>
        <w:t>Research by both the ACMA and consumer representative organisations indicates that a majority of consumers prefer to talk to their provider by phone to resolve more complex issues.</w:t>
      </w:r>
      <w:r>
        <w:rPr>
          <w:rStyle w:val="FootnoteReference"/>
        </w:rPr>
        <w:footnoteReference w:id="5"/>
      </w:r>
      <w:r>
        <w:t xml:space="preserve"> </w:t>
      </w:r>
    </w:p>
    <w:p w14:paraId="7B7F0488" w14:textId="2E5517E1" w:rsidR="000A607D" w:rsidRDefault="000A607D" w:rsidP="003C2631">
      <w:pPr>
        <w:pStyle w:val="Numberlistlevel1"/>
        <w:numPr>
          <w:ilvl w:val="0"/>
          <w:numId w:val="0"/>
        </w:numPr>
        <w:spacing w:after="240"/>
        <w:ind w:left="284"/>
        <w:rPr>
          <w:b/>
          <w:bCs/>
        </w:rPr>
      </w:pPr>
      <w:r w:rsidRPr="008D1580">
        <w:t>The ACMA is aware there are digital</w:t>
      </w:r>
      <w:r>
        <w:t>-</w:t>
      </w:r>
      <w:r w:rsidRPr="008D1580">
        <w:t xml:space="preserve">only providers. </w:t>
      </w:r>
      <w:r w:rsidR="00897FA5">
        <w:t xml:space="preserve">How will </w:t>
      </w:r>
      <w:r>
        <w:t>the</w:t>
      </w:r>
      <w:r w:rsidRPr="008D1580">
        <w:t xml:space="preserve"> phone contact requirements in the draft Standard </w:t>
      </w:r>
      <w:r w:rsidR="00897FA5">
        <w:t>impact</w:t>
      </w:r>
      <w:r w:rsidRPr="008D1580">
        <w:t xml:space="preserve"> </w:t>
      </w:r>
      <w:r>
        <w:t>digital-only</w:t>
      </w:r>
      <w:r w:rsidRPr="008D1580">
        <w:t xml:space="preserve"> providers</w:t>
      </w:r>
      <w:r>
        <w:t xml:space="preserve">? </w:t>
      </w:r>
      <w:r w:rsidR="007D559B">
        <w:t>For digital only providers, w</w:t>
      </w:r>
      <w:r w:rsidRPr="008D1580">
        <w:t>hat alternatives could be provided to customers</w:t>
      </w:r>
      <w:r>
        <w:t xml:space="preserve"> so that the objectives </w:t>
      </w:r>
      <w:r w:rsidR="007D559B">
        <w:t xml:space="preserve">of the </w:t>
      </w:r>
      <w:r w:rsidR="00074D64">
        <w:t xml:space="preserve">standard </w:t>
      </w:r>
      <w:r>
        <w:t>c</w:t>
      </w:r>
      <w:r w:rsidR="00074D64">
        <w:t>an</w:t>
      </w:r>
      <w:r>
        <w:t xml:space="preserve"> be met</w:t>
      </w:r>
      <w:r w:rsidR="0036388A">
        <w:t>?</w:t>
      </w:r>
    </w:p>
    <w:p w14:paraId="3B19E597" w14:textId="203A167F" w:rsidR="00F37AEC" w:rsidRDefault="009420F7" w:rsidP="001022BC">
      <w:pPr>
        <w:pStyle w:val="Numberlistlevel1"/>
        <w:numPr>
          <w:ilvl w:val="0"/>
          <w:numId w:val="10"/>
        </w:numPr>
        <w:spacing w:after="240"/>
        <w:ind w:left="284" w:hanging="284"/>
        <w:rPr>
          <w:b/>
          <w:bCs/>
        </w:rPr>
      </w:pPr>
      <w:r>
        <w:rPr>
          <w:b/>
          <w:bCs/>
        </w:rPr>
        <w:t>Time periods –</w:t>
      </w:r>
      <w:r w:rsidR="00BB2C2C">
        <w:rPr>
          <w:b/>
          <w:bCs/>
        </w:rPr>
        <w:t xml:space="preserve"> s</w:t>
      </w:r>
      <w:r w:rsidR="00074D64">
        <w:rPr>
          <w:b/>
          <w:bCs/>
        </w:rPr>
        <w:t xml:space="preserve">hort- and </w:t>
      </w:r>
      <w:r w:rsidR="00BB2C2C">
        <w:rPr>
          <w:b/>
          <w:bCs/>
        </w:rPr>
        <w:t>l</w:t>
      </w:r>
      <w:r w:rsidR="00074D64">
        <w:rPr>
          <w:b/>
          <w:bCs/>
        </w:rPr>
        <w:t>ong-term</w:t>
      </w:r>
      <w:r w:rsidR="00F37AEC">
        <w:rPr>
          <w:b/>
          <w:bCs/>
        </w:rPr>
        <w:t xml:space="preserve"> assistance</w:t>
      </w:r>
    </w:p>
    <w:p w14:paraId="7C07D7FA" w14:textId="4917E1BC" w:rsidR="00F37AEC" w:rsidRDefault="009420F7" w:rsidP="00F37AEC">
      <w:pPr>
        <w:pStyle w:val="Numberlistlevel1"/>
        <w:numPr>
          <w:ilvl w:val="0"/>
          <w:numId w:val="0"/>
        </w:numPr>
        <w:spacing w:after="240"/>
        <w:ind w:left="284"/>
      </w:pPr>
      <w:r>
        <w:t>In the draft Standard, ‘short</w:t>
      </w:r>
      <w:r w:rsidR="00BB2C2C">
        <w:t>-</w:t>
      </w:r>
      <w:r>
        <w:t xml:space="preserve">term assistance’ occurs where </w:t>
      </w:r>
      <w:r w:rsidRPr="009420F7">
        <w:t>financial hardship assistance</w:t>
      </w:r>
      <w:r>
        <w:t xml:space="preserve"> is</w:t>
      </w:r>
      <w:r w:rsidRPr="009420F7">
        <w:t xml:space="preserve"> sought by a financial hardship customer for a period of no more than 2 billing cycles to help with a financial difficulty.</w:t>
      </w:r>
      <w:r>
        <w:t xml:space="preserve"> </w:t>
      </w:r>
      <w:proofErr w:type="gramStart"/>
      <w:r w:rsidR="00154993">
        <w:t>Whereas,</w:t>
      </w:r>
      <w:proofErr w:type="gramEnd"/>
      <w:r w:rsidR="00154993">
        <w:t xml:space="preserve"> ‘</w:t>
      </w:r>
      <w:r w:rsidR="00BB2C2C">
        <w:t>long-</w:t>
      </w:r>
      <w:r w:rsidR="00154993">
        <w:t>term assistance’ is</w:t>
      </w:r>
      <w:r w:rsidR="00154993" w:rsidRPr="00154993">
        <w:t xml:space="preserve"> for a period of more than 2 billing cycles to help with ongoing financial difficulties.</w:t>
      </w:r>
    </w:p>
    <w:p w14:paraId="17533058" w14:textId="13E3AE41" w:rsidR="004F3821" w:rsidRPr="004F3821" w:rsidRDefault="00EC5C94" w:rsidP="004F3821">
      <w:pPr>
        <w:pStyle w:val="Numberlistlevel1"/>
        <w:numPr>
          <w:ilvl w:val="0"/>
          <w:numId w:val="0"/>
        </w:numPr>
        <w:spacing w:after="240"/>
        <w:ind w:left="284"/>
      </w:pPr>
      <w:r>
        <w:t>The ACMA seeks feedback on the appropriateness of the timeframes in these definitions.</w:t>
      </w:r>
      <w:r w:rsidR="0036388A">
        <w:t xml:space="preserve"> Do they pose barriers to </w:t>
      </w:r>
      <w:r w:rsidR="001B31E6">
        <w:t xml:space="preserve">provision of </w:t>
      </w:r>
      <w:r w:rsidR="0036388A">
        <w:t>adequate consumer safeguards?</w:t>
      </w:r>
    </w:p>
    <w:p w14:paraId="0036163B" w14:textId="0BB1B282" w:rsidR="00EC26B1" w:rsidRPr="00C65928" w:rsidRDefault="00EC26B1" w:rsidP="001022BC">
      <w:pPr>
        <w:pStyle w:val="Numberlistlevel1"/>
        <w:numPr>
          <w:ilvl w:val="0"/>
          <w:numId w:val="10"/>
        </w:numPr>
        <w:spacing w:after="240"/>
        <w:ind w:left="284" w:hanging="284"/>
        <w:rPr>
          <w:b/>
          <w:bCs/>
        </w:rPr>
      </w:pPr>
      <w:r w:rsidRPr="00C65928">
        <w:rPr>
          <w:b/>
          <w:bCs/>
        </w:rPr>
        <w:t xml:space="preserve">Transitional </w:t>
      </w:r>
      <w:r w:rsidR="00AF45DA">
        <w:rPr>
          <w:b/>
          <w:bCs/>
        </w:rPr>
        <w:t>a</w:t>
      </w:r>
      <w:r w:rsidRPr="00C65928">
        <w:rPr>
          <w:b/>
          <w:bCs/>
        </w:rPr>
        <w:t>rrangements</w:t>
      </w:r>
    </w:p>
    <w:p w14:paraId="21008649" w14:textId="1F0C214C" w:rsidR="00EC26B1" w:rsidRDefault="00C65928" w:rsidP="00802981">
      <w:pPr>
        <w:pStyle w:val="Numberlistlevel1"/>
        <w:numPr>
          <w:ilvl w:val="0"/>
          <w:numId w:val="0"/>
        </w:numPr>
        <w:spacing w:after="240"/>
        <w:ind w:left="284"/>
      </w:pPr>
      <w:r>
        <w:t xml:space="preserve">The draft Standard includes requirements for </w:t>
      </w:r>
      <w:r w:rsidR="002D2F34">
        <w:t xml:space="preserve">telecommunications providers </w:t>
      </w:r>
      <w:r w:rsidR="003265C0">
        <w:t>in dealing with financial hardship. The</w:t>
      </w:r>
      <w:r w:rsidR="004E3056">
        <w:t xml:space="preserve">se rules are intended to replace those currently in </w:t>
      </w:r>
      <w:r w:rsidR="00B91AC2">
        <w:t xml:space="preserve">Chapter 7 of </w:t>
      </w:r>
      <w:r w:rsidR="004E3056">
        <w:t>the</w:t>
      </w:r>
      <w:r w:rsidR="002B5BEF">
        <w:t xml:space="preserve"> </w:t>
      </w:r>
      <w:hyperlink r:id="rId31" w:history="1">
        <w:r w:rsidR="002B5BEF">
          <w:rPr>
            <w:rStyle w:val="Hyperlink"/>
          </w:rPr>
          <w:t>Telecommunications Consumer Protections Code C628:2019</w:t>
        </w:r>
      </w:hyperlink>
      <w:r w:rsidR="002B5BEF">
        <w:t xml:space="preserve"> </w:t>
      </w:r>
      <w:r w:rsidR="006A195B">
        <w:t xml:space="preserve">(TCP Code) </w:t>
      </w:r>
      <w:r w:rsidR="008D7A63">
        <w:t>on these m</w:t>
      </w:r>
      <w:r w:rsidR="003265C0">
        <w:t>atters</w:t>
      </w:r>
      <w:r w:rsidR="000B105E">
        <w:t xml:space="preserve">. </w:t>
      </w:r>
    </w:p>
    <w:p w14:paraId="5F109B06" w14:textId="73A131DB" w:rsidR="008D7A63" w:rsidRDefault="008D7A63" w:rsidP="00802981">
      <w:pPr>
        <w:pStyle w:val="Numberlistlevel1"/>
        <w:numPr>
          <w:ilvl w:val="0"/>
          <w:numId w:val="0"/>
        </w:numPr>
        <w:spacing w:after="240"/>
        <w:ind w:left="284"/>
      </w:pPr>
      <w:r>
        <w:t xml:space="preserve">We are seeking views on </w:t>
      </w:r>
      <w:r w:rsidR="0011417B">
        <w:t xml:space="preserve">how </w:t>
      </w:r>
      <w:r w:rsidR="003B4E98">
        <w:t xml:space="preserve">complaints </w:t>
      </w:r>
      <w:r w:rsidR="0011417B">
        <w:t xml:space="preserve">about </w:t>
      </w:r>
      <w:r w:rsidR="009325B4">
        <w:t>these</w:t>
      </w:r>
      <w:r w:rsidR="0011417B">
        <w:t xml:space="preserve"> matters </w:t>
      </w:r>
      <w:r w:rsidR="003B4E98">
        <w:t xml:space="preserve">made </w:t>
      </w:r>
      <w:r w:rsidR="009325B4">
        <w:t xml:space="preserve">under the TCP Code </w:t>
      </w:r>
      <w:r w:rsidR="003520BF">
        <w:t>should</w:t>
      </w:r>
      <w:r w:rsidR="000441B5">
        <w:t xml:space="preserve"> be handled</w:t>
      </w:r>
      <w:r w:rsidR="00004D7B">
        <w:t xml:space="preserve"> upon commencement</w:t>
      </w:r>
      <w:r w:rsidR="000A6AA7">
        <w:t xml:space="preserve"> of the Standard</w:t>
      </w:r>
      <w:r w:rsidR="00EF4C3B">
        <w:t>.</w:t>
      </w:r>
    </w:p>
    <w:p w14:paraId="4CC49334" w14:textId="3DB840C5" w:rsidR="00C65928" w:rsidRDefault="00E20ECE" w:rsidP="003D6F30">
      <w:pPr>
        <w:pStyle w:val="Numberlistlevel1"/>
        <w:numPr>
          <w:ilvl w:val="0"/>
          <w:numId w:val="0"/>
        </w:numPr>
        <w:spacing w:after="240"/>
        <w:ind w:left="284"/>
      </w:pPr>
      <w:r>
        <w:t xml:space="preserve">Are the draft transitional provisions appropriate and workable? </w:t>
      </w:r>
      <w:r w:rsidR="008D7A63">
        <w:t>A</w:t>
      </w:r>
      <w:r w:rsidR="00AE11F6">
        <w:t xml:space="preserve">re </w:t>
      </w:r>
      <w:r w:rsidR="00A86D87">
        <w:t xml:space="preserve">there </w:t>
      </w:r>
      <w:r w:rsidR="00AE11F6">
        <w:t>other relevant transitional arrangements that should be included in the draft Standard</w:t>
      </w:r>
      <w:r w:rsidR="008D7A63">
        <w:t>? If so,</w:t>
      </w:r>
      <w:r w:rsidR="0011417B">
        <w:t xml:space="preserve"> </w:t>
      </w:r>
      <w:r w:rsidR="008D7A63">
        <w:t xml:space="preserve">please include </w:t>
      </w:r>
      <w:r w:rsidR="0006678D">
        <w:t>detail, inc</w:t>
      </w:r>
      <w:r w:rsidR="00EF1744">
        <w:t>lu</w:t>
      </w:r>
      <w:r w:rsidR="0006678D">
        <w:t>ding about any applicable processes</w:t>
      </w:r>
      <w:r w:rsidR="003520BF">
        <w:t>.</w:t>
      </w:r>
    </w:p>
    <w:p w14:paraId="3BB710C8" w14:textId="50FD503D" w:rsidR="00EC26B1" w:rsidRPr="00E52AF0" w:rsidRDefault="00186B91" w:rsidP="00E57148">
      <w:pPr>
        <w:pStyle w:val="Numberlistlevel1"/>
        <w:keepNext/>
        <w:keepLines/>
        <w:numPr>
          <w:ilvl w:val="0"/>
          <w:numId w:val="10"/>
        </w:numPr>
        <w:spacing w:after="240"/>
        <w:ind w:left="284" w:hanging="284"/>
        <w:rPr>
          <w:b/>
          <w:bCs/>
        </w:rPr>
      </w:pPr>
      <w:r w:rsidRPr="00E52AF0">
        <w:rPr>
          <w:b/>
          <w:bCs/>
        </w:rPr>
        <w:lastRenderedPageBreak/>
        <w:t>Additional/unnecessary requirements</w:t>
      </w:r>
    </w:p>
    <w:p w14:paraId="70AA0D32" w14:textId="4742A75E" w:rsidR="00EF1744" w:rsidRDefault="00C87313" w:rsidP="00E57148">
      <w:pPr>
        <w:keepNext/>
        <w:keepLines/>
        <w:spacing w:after="80"/>
        <w:ind w:left="284"/>
      </w:pPr>
      <w:r>
        <w:t>T</w:t>
      </w:r>
      <w:r w:rsidR="00EF1744">
        <w:t>he Direction is prescriptive in that it sets out what the draft Standard must contain and limits addition</w:t>
      </w:r>
      <w:r>
        <w:t>al</w:t>
      </w:r>
      <w:r w:rsidR="00EF1744">
        <w:t xml:space="preserve"> inclusions by the ACMA except to meet the specified objectives. Within this context, the ACMA is seeking </w:t>
      </w:r>
      <w:r>
        <w:t>feedback on whether there are:</w:t>
      </w:r>
    </w:p>
    <w:p w14:paraId="1C1D0496" w14:textId="0C74846F" w:rsidR="00C87313" w:rsidRDefault="00C87313" w:rsidP="00E57148">
      <w:pPr>
        <w:keepNext/>
        <w:keepLines/>
        <w:spacing w:after="80"/>
        <w:ind w:left="284"/>
      </w:pPr>
      <w:r>
        <w:t>6.</w:t>
      </w:r>
      <w:r w:rsidR="002E4900">
        <w:t>1</w:t>
      </w:r>
      <w:r w:rsidR="002E4900">
        <w:tab/>
      </w:r>
      <w:r w:rsidR="002E4900">
        <w:tab/>
        <w:t>a</w:t>
      </w:r>
      <w:r w:rsidR="00FB5F96">
        <w:t xml:space="preserve">dditional matters which should be included into the </w:t>
      </w:r>
      <w:r w:rsidR="008E7F64">
        <w:t xml:space="preserve">draft </w:t>
      </w:r>
      <w:r w:rsidR="00EF1744">
        <w:t>S</w:t>
      </w:r>
      <w:r w:rsidR="008E7F64">
        <w:t>tandard</w:t>
      </w:r>
      <w:r w:rsidR="008D7A63">
        <w:t>?</w:t>
      </w:r>
    </w:p>
    <w:p w14:paraId="790BAB42" w14:textId="6D09400F" w:rsidR="00DD6837" w:rsidRDefault="00C87313" w:rsidP="00E57148">
      <w:pPr>
        <w:keepNext/>
        <w:keepLines/>
        <w:ind w:left="852" w:hanging="568"/>
      </w:pPr>
      <w:r>
        <w:t xml:space="preserve">6.2 </w:t>
      </w:r>
      <w:r w:rsidR="002E4900">
        <w:tab/>
        <w:t>m</w:t>
      </w:r>
      <w:r>
        <w:t>atters</w:t>
      </w:r>
      <w:r w:rsidR="008E7F64">
        <w:t xml:space="preserve"> included </w:t>
      </w:r>
      <w:r w:rsidR="004E3056">
        <w:t xml:space="preserve">in the draft Standard that </w:t>
      </w:r>
      <w:r w:rsidR="008E7F64">
        <w:t>are unnecessary</w:t>
      </w:r>
      <w:r w:rsidR="00DD6837">
        <w:t xml:space="preserve"> and/or alternative arrangements </w:t>
      </w:r>
      <w:r w:rsidR="004E3056">
        <w:t xml:space="preserve">that </w:t>
      </w:r>
      <w:r w:rsidR="00DD6837">
        <w:t>should be considered</w:t>
      </w:r>
      <w:r w:rsidR="008D7A63">
        <w:t>?</w:t>
      </w:r>
    </w:p>
    <w:p w14:paraId="2419319B" w14:textId="153F5F52" w:rsidR="00B54C08" w:rsidRDefault="003B28F6" w:rsidP="00E57148">
      <w:pPr>
        <w:keepNext/>
        <w:keepLines/>
        <w:ind w:left="284"/>
      </w:pPr>
      <w:r>
        <w:t>Please provide evidence to support your position.</w:t>
      </w:r>
    </w:p>
    <w:p w14:paraId="64805EF2" w14:textId="55B88D7F" w:rsidR="008E5DB3" w:rsidRDefault="008E5DB3" w:rsidP="0013474D">
      <w:pPr>
        <w:pStyle w:val="Numberlistlast"/>
        <w:numPr>
          <w:ilvl w:val="0"/>
          <w:numId w:val="0"/>
        </w:numPr>
        <w:tabs>
          <w:tab w:val="left" w:pos="720"/>
        </w:tabs>
        <w:ind w:left="357"/>
        <w:rPr>
          <w:b/>
          <w:bCs/>
          <w:iCs/>
          <w:sz w:val="28"/>
          <w:szCs w:val="28"/>
        </w:rPr>
      </w:pPr>
      <w:r>
        <w:br w:type="page"/>
      </w:r>
    </w:p>
    <w:p w14:paraId="58AF6E05" w14:textId="7D153565" w:rsidR="005E250B" w:rsidRPr="00E162C4" w:rsidRDefault="006A195B" w:rsidP="002C0530">
      <w:pPr>
        <w:pStyle w:val="Heading1"/>
      </w:pPr>
      <w:bookmarkStart w:id="3" w:name="_Toc148705862"/>
      <w:bookmarkEnd w:id="1"/>
      <w:r>
        <w:lastRenderedPageBreak/>
        <w:t xml:space="preserve">The draft </w:t>
      </w:r>
      <w:r w:rsidR="008E1CD3">
        <w:t>industry s</w:t>
      </w:r>
      <w:r w:rsidR="00A234CF">
        <w:t>tandard</w:t>
      </w:r>
      <w:bookmarkEnd w:id="3"/>
    </w:p>
    <w:p w14:paraId="0A9E0A22" w14:textId="4E17A982" w:rsidR="009325B4" w:rsidRDefault="009325B4" w:rsidP="009325B4">
      <w:pPr>
        <w:pStyle w:val="Heading2"/>
      </w:pPr>
      <w:bookmarkStart w:id="4" w:name="_Toc148705863"/>
      <w:r>
        <w:t>Objective</w:t>
      </w:r>
      <w:bookmarkEnd w:id="4"/>
      <w:r>
        <w:t xml:space="preserve"> </w:t>
      </w:r>
    </w:p>
    <w:p w14:paraId="6BF77312" w14:textId="13C047F5" w:rsidR="009325B4" w:rsidRDefault="009325B4" w:rsidP="009325B4">
      <w:pPr>
        <w:pStyle w:val="Paragraph"/>
      </w:pPr>
      <w:r>
        <w:t xml:space="preserve">The draft Standard is intended to improve the experience of telecommunications consumers having difficulty meeting their bill payment obligations through requiring providers to provide adequate and appropriate support. It recognises the essential nature of telecommunications services and makes clear </w:t>
      </w:r>
      <w:r w:rsidR="005761F5">
        <w:t xml:space="preserve">that </w:t>
      </w:r>
      <w:r>
        <w:t>providers must prioritise keeping customers connected to appropriate services and that disconnection is a measure of last resort.</w:t>
      </w:r>
    </w:p>
    <w:p w14:paraId="0F0666A3" w14:textId="7E609B23" w:rsidR="009325B4" w:rsidRDefault="009325B4" w:rsidP="009325B4">
      <w:pPr>
        <w:pStyle w:val="Paragraph"/>
      </w:pPr>
      <w:r>
        <w:t xml:space="preserve">It will also allow more effective </w:t>
      </w:r>
      <w:r w:rsidR="00573EB2">
        <w:t xml:space="preserve">and direct </w:t>
      </w:r>
      <w:r>
        <w:t>enforcement of rules governing how CSPs assist consumers experiencing financial hardship.</w:t>
      </w:r>
    </w:p>
    <w:p w14:paraId="6FD4F4AA" w14:textId="196BF66B" w:rsidR="003B28F6" w:rsidRDefault="00D959E3" w:rsidP="003B28F6">
      <w:pPr>
        <w:pStyle w:val="Heading2"/>
      </w:pPr>
      <w:bookmarkStart w:id="5" w:name="_Toc148705864"/>
      <w:r>
        <w:t xml:space="preserve">The </w:t>
      </w:r>
      <w:r w:rsidR="00846504">
        <w:t>D</w:t>
      </w:r>
      <w:r w:rsidR="003B28F6">
        <w:t>irection</w:t>
      </w:r>
      <w:bookmarkEnd w:id="5"/>
    </w:p>
    <w:p w14:paraId="57BB12B8" w14:textId="40D5857E" w:rsidR="003B28F6" w:rsidRPr="006A195B" w:rsidRDefault="006A195B" w:rsidP="00C827B6">
      <w:pPr>
        <w:pStyle w:val="Paragraphbeforelist"/>
        <w:rPr>
          <w:i/>
          <w:iCs/>
        </w:rPr>
      </w:pPr>
      <w:r>
        <w:t xml:space="preserve">The </w:t>
      </w:r>
      <w:r w:rsidRPr="00E70C57">
        <w:rPr>
          <w:u w:color="0000FF"/>
        </w:rPr>
        <w:t>Direction</w:t>
      </w:r>
      <w:r w:rsidRPr="004E3056">
        <w:rPr>
          <w:i/>
          <w:iCs/>
          <w:u w:color="0000FF"/>
        </w:rPr>
        <w:t xml:space="preserve"> </w:t>
      </w:r>
      <w:r>
        <w:t xml:space="preserve">provides the legal authority for a new industry standard to be made under section 125AA of the </w:t>
      </w:r>
      <w:r w:rsidRPr="00B651EC">
        <w:rPr>
          <w:i/>
          <w:iCs/>
        </w:rPr>
        <w:t>Telecommunications Act 1997</w:t>
      </w:r>
      <w:r w:rsidR="00B91AC2">
        <w:rPr>
          <w:i/>
          <w:iCs/>
        </w:rPr>
        <w:t xml:space="preserve"> </w:t>
      </w:r>
      <w:r w:rsidR="00B91AC2">
        <w:t>(Act)</w:t>
      </w:r>
      <w:r>
        <w:rPr>
          <w:i/>
          <w:iCs/>
        </w:rPr>
        <w:t xml:space="preserve">. </w:t>
      </w:r>
      <w:r w:rsidR="00C87313">
        <w:t>It is prescriptive in requiring</w:t>
      </w:r>
      <w:r w:rsidR="00573EB2">
        <w:t xml:space="preserve"> </w:t>
      </w:r>
      <w:r w:rsidR="00B64FDF">
        <w:t>the industry standard to include</w:t>
      </w:r>
      <w:r w:rsidR="003B28F6">
        <w:t xml:space="preserve"> rules </w:t>
      </w:r>
      <w:r w:rsidR="006F03B2">
        <w:t xml:space="preserve">for CSPs </w:t>
      </w:r>
      <w:r w:rsidR="003B28F6">
        <w:t>on the following matters:</w:t>
      </w:r>
    </w:p>
    <w:p w14:paraId="3ECA0B83" w14:textId="322DF50A" w:rsidR="003B28F6" w:rsidRDefault="003B28F6" w:rsidP="00C827B6">
      <w:pPr>
        <w:pStyle w:val="Bulletlevel1"/>
      </w:pPr>
      <w:r>
        <w:t>written financial hardship policies which include processes for assisting customers who are</w:t>
      </w:r>
      <w:r w:rsidR="002E4900">
        <w:t>,</w:t>
      </w:r>
      <w:r>
        <w:t xml:space="preserve"> or may be</w:t>
      </w:r>
      <w:r w:rsidR="002E4900">
        <w:t>,</w:t>
      </w:r>
      <w:r>
        <w:t xml:space="preserve"> experiencing financial hardship and other requirements </w:t>
      </w:r>
      <w:bookmarkStart w:id="6" w:name="_Hlk141090688"/>
      <w:r>
        <w:t xml:space="preserve">relating to financial hardship policies </w:t>
      </w:r>
      <w:bookmarkEnd w:id="6"/>
      <w:r>
        <w:t xml:space="preserve">considered appropriate by the </w:t>
      </w:r>
      <w:proofErr w:type="gramStart"/>
      <w:r>
        <w:t>ACMA</w:t>
      </w:r>
      <w:proofErr w:type="gramEnd"/>
    </w:p>
    <w:p w14:paraId="6828854B" w14:textId="5A6F1CF2" w:rsidR="003B28F6" w:rsidRDefault="006F03B2" w:rsidP="00C827B6">
      <w:pPr>
        <w:pStyle w:val="Bulletlevel1"/>
      </w:pPr>
      <w:r>
        <w:t xml:space="preserve">promotion of </w:t>
      </w:r>
      <w:r w:rsidR="003B28F6">
        <w:t xml:space="preserve">financial hardship policies and </w:t>
      </w:r>
      <w:r w:rsidR="005761F5">
        <w:t>giving</w:t>
      </w:r>
      <w:r w:rsidR="003B28F6">
        <w:t xml:space="preserve"> and </w:t>
      </w:r>
      <w:r w:rsidR="005761F5">
        <w:t xml:space="preserve">making </w:t>
      </w:r>
      <w:r w:rsidR="003B28F6">
        <w:t xml:space="preserve">available, information and advice to customers and potential customers about financial hardship policies and assistance </w:t>
      </w:r>
    </w:p>
    <w:p w14:paraId="758E6CE1" w14:textId="58633F75" w:rsidR="003B28F6" w:rsidRDefault="003B28F6" w:rsidP="00C827B6">
      <w:pPr>
        <w:pStyle w:val="Bulletlevel1"/>
      </w:pPr>
      <w:r>
        <w:t xml:space="preserve">the early identification of customers who may be experiencing financial hardship and ongoing evaluation of their </w:t>
      </w:r>
      <w:proofErr w:type="gramStart"/>
      <w:r>
        <w:t>circumstances</w:t>
      </w:r>
      <w:proofErr w:type="gramEnd"/>
    </w:p>
    <w:p w14:paraId="73F3DD62" w14:textId="524FAFA7" w:rsidR="003B28F6" w:rsidRDefault="003B28F6" w:rsidP="00C827B6">
      <w:pPr>
        <w:pStyle w:val="Bulletlevel1"/>
      </w:pPr>
      <w:r>
        <w:t>appropriate customer service for customers who are</w:t>
      </w:r>
      <w:r w:rsidR="002E4900">
        <w:t>,</w:t>
      </w:r>
      <w:r>
        <w:t xml:space="preserve"> or may be</w:t>
      </w:r>
      <w:r w:rsidR="002E4900">
        <w:t>,</w:t>
      </w:r>
      <w:r>
        <w:t xml:space="preserve"> experiencing financial </w:t>
      </w:r>
      <w:proofErr w:type="gramStart"/>
      <w:r>
        <w:t>hardship</w:t>
      </w:r>
      <w:proofErr w:type="gramEnd"/>
    </w:p>
    <w:p w14:paraId="6D80FD4C" w14:textId="2715F080" w:rsidR="003B28F6" w:rsidRDefault="003B28F6" w:rsidP="00C827B6">
      <w:pPr>
        <w:pStyle w:val="Bulletlevel1"/>
      </w:pPr>
      <w:r>
        <w:t>processes for assessment and provision of financial hardship assistance to customers</w:t>
      </w:r>
    </w:p>
    <w:p w14:paraId="088240D4" w14:textId="6EF0BAE9" w:rsidR="003B28F6" w:rsidRDefault="003B28F6" w:rsidP="00C827B6">
      <w:pPr>
        <w:pStyle w:val="Bulletlevel1"/>
      </w:pPr>
      <w:r>
        <w:t xml:space="preserve">staff </w:t>
      </w:r>
      <w:r w:rsidR="004E3056">
        <w:t xml:space="preserve">training and conduct </w:t>
      </w:r>
      <w:r>
        <w:t>in identifying and supporting customers who are</w:t>
      </w:r>
      <w:r w:rsidR="002E4900">
        <w:t>,</w:t>
      </w:r>
      <w:r>
        <w:t xml:space="preserve"> or may be</w:t>
      </w:r>
      <w:r w:rsidR="002E4900">
        <w:t>,</w:t>
      </w:r>
      <w:r>
        <w:t xml:space="preserve"> experiencing financial </w:t>
      </w:r>
      <w:proofErr w:type="gramStart"/>
      <w:r>
        <w:t>hardship</w:t>
      </w:r>
      <w:proofErr w:type="gramEnd"/>
    </w:p>
    <w:p w14:paraId="07FDAE01" w14:textId="2739CB98" w:rsidR="003B28F6" w:rsidRDefault="003B28F6" w:rsidP="00C827B6">
      <w:pPr>
        <w:pStyle w:val="Bulletlevel1"/>
      </w:pPr>
      <w:r>
        <w:t xml:space="preserve">credit management action undertaken by, or on behalf of, </w:t>
      </w:r>
      <w:r w:rsidR="00D177C1">
        <w:t>CSPs</w:t>
      </w:r>
      <w:r>
        <w:t xml:space="preserve"> in relation to customers experiencing financial hardship, including requirements for appropriate protections related to the restriction, suspension or disconnection of a telecommunications </w:t>
      </w:r>
      <w:proofErr w:type="gramStart"/>
      <w:r>
        <w:t>service</w:t>
      </w:r>
      <w:proofErr w:type="gramEnd"/>
    </w:p>
    <w:p w14:paraId="2A091D8D" w14:textId="77777777" w:rsidR="003B28F6" w:rsidRDefault="003B28F6" w:rsidP="00C827B6">
      <w:pPr>
        <w:pStyle w:val="Bulletlevel1"/>
      </w:pPr>
      <w:r>
        <w:t xml:space="preserve">other matters that the ACMA considers necessary to meet the objectives of the </w:t>
      </w:r>
      <w:proofErr w:type="gramStart"/>
      <w:r>
        <w:t>Direction</w:t>
      </w:r>
      <w:proofErr w:type="gramEnd"/>
    </w:p>
    <w:p w14:paraId="3ABF851C" w14:textId="6664CDBF" w:rsidR="003B28F6" w:rsidRDefault="003B28F6" w:rsidP="00C827B6">
      <w:pPr>
        <w:pStyle w:val="Bulletlevel1"/>
      </w:pPr>
      <w:r>
        <w:t>arrangements for handling complaints relating to financial hardship matters</w:t>
      </w:r>
      <w:r w:rsidR="002E4900">
        <w:t>,</w:t>
      </w:r>
      <w:r>
        <w:t xml:space="preserve"> including conferral of powers on the </w:t>
      </w:r>
      <w:r w:rsidR="004160E0">
        <w:t>Telecommunications Industry Ombudsman (</w:t>
      </w:r>
      <w:r>
        <w:t>TIO</w:t>
      </w:r>
      <w:r w:rsidR="004160E0">
        <w:t>)</w:t>
      </w:r>
    </w:p>
    <w:p w14:paraId="606269AC" w14:textId="51A627F1" w:rsidR="003B28F6" w:rsidRDefault="003B28F6" w:rsidP="00C827B6">
      <w:pPr>
        <w:pStyle w:val="Bulletlevel1last"/>
      </w:pPr>
      <w:bookmarkStart w:id="7" w:name="_Hlk141087953"/>
      <w:r>
        <w:t>defining any terms as appropriate or necessary, including terms used in th</w:t>
      </w:r>
      <w:r w:rsidR="004E3056">
        <w:t>e</w:t>
      </w:r>
      <w:r>
        <w:t xml:space="preserve"> </w:t>
      </w:r>
      <w:r w:rsidR="002E4900">
        <w:t>D</w:t>
      </w:r>
      <w:r>
        <w:t xml:space="preserve">irection but not defined in </w:t>
      </w:r>
      <w:r w:rsidR="00D177C1">
        <w:t>the Direction</w:t>
      </w:r>
      <w:r>
        <w:t xml:space="preserve">. </w:t>
      </w:r>
    </w:p>
    <w:p w14:paraId="653843A9" w14:textId="3A8885E2" w:rsidR="00583CBD" w:rsidRDefault="00583CBD" w:rsidP="00EA4C39">
      <w:pPr>
        <w:pStyle w:val="Heading2"/>
        <w:keepLines/>
      </w:pPr>
      <w:bookmarkStart w:id="8" w:name="_Toc148705865"/>
      <w:bookmarkEnd w:id="7"/>
      <w:r>
        <w:lastRenderedPageBreak/>
        <w:t>Changing environment</w:t>
      </w:r>
      <w:bookmarkEnd w:id="8"/>
    </w:p>
    <w:p w14:paraId="6375C593" w14:textId="7A7EF06B" w:rsidR="00583CBD" w:rsidRDefault="00583CBD" w:rsidP="00EA4C39">
      <w:pPr>
        <w:pStyle w:val="Paragraph"/>
        <w:keepNext/>
        <w:keepLines/>
      </w:pPr>
      <w:r>
        <w:t>Telecommunications is an essential service. Connection and access to reliable and affordable phone and internet services is necessary for work, education, health and government services. It is also vital for social connection and everyday living. Telecommunications services must be inclusive of and accessible to all consumers.</w:t>
      </w:r>
    </w:p>
    <w:p w14:paraId="3829953C" w14:textId="45941951" w:rsidR="00583CBD" w:rsidRDefault="00583CBD" w:rsidP="00EA4C39">
      <w:pPr>
        <w:pStyle w:val="Paragraph"/>
        <w:keepNext/>
        <w:keepLines/>
      </w:pPr>
      <w:r>
        <w:t xml:space="preserve">The telecommunications landscape has changed </w:t>
      </w:r>
      <w:r w:rsidR="00E1168D">
        <w:t xml:space="preserve">substantially </w:t>
      </w:r>
      <w:r>
        <w:t xml:space="preserve">since the introduction of the Act in 1997. Many of the existing safeguards, including the TCP Code, are built on a legislative framework </w:t>
      </w:r>
      <w:r w:rsidR="00E1168D">
        <w:t xml:space="preserve">initiated </w:t>
      </w:r>
      <w:r>
        <w:t xml:space="preserve">at a time when telecommunications </w:t>
      </w:r>
      <w:r w:rsidR="004160E0">
        <w:t>were</w:t>
      </w:r>
      <w:r>
        <w:t xml:space="preserve"> not seen as an essential service</w:t>
      </w:r>
      <w:r w:rsidR="004160E0">
        <w:t xml:space="preserve"> and the telecommunications market was much less diverse</w:t>
      </w:r>
      <w:r>
        <w:t xml:space="preserve">. </w:t>
      </w:r>
    </w:p>
    <w:p w14:paraId="2E4EE9CD" w14:textId="78339D75" w:rsidR="00583CBD" w:rsidRDefault="00583CBD" w:rsidP="00583CBD">
      <w:pPr>
        <w:pStyle w:val="Paragraph"/>
      </w:pPr>
      <w:r>
        <w:t>Consumers are also facing a challenging economic environment as the cost</w:t>
      </w:r>
      <w:r w:rsidR="002E4900">
        <w:t xml:space="preserve"> </w:t>
      </w:r>
      <w:r>
        <w:t>of</w:t>
      </w:r>
      <w:r w:rsidR="002E4900">
        <w:t xml:space="preserve"> </w:t>
      </w:r>
      <w:r>
        <w:t xml:space="preserve">living has risen sharply over the past 18 months – inflation has increased, interest rates have </w:t>
      </w:r>
      <w:r w:rsidR="00C07963">
        <w:t>risen,</w:t>
      </w:r>
      <w:r>
        <w:t xml:space="preserve"> and wages have not kept pace.</w:t>
      </w:r>
      <w:r w:rsidR="00EC0276">
        <w:rPr>
          <w:rStyle w:val="FootnoteReference"/>
        </w:rPr>
        <w:footnoteReference w:id="6"/>
      </w:r>
      <w:r>
        <w:t xml:space="preserve"> While telecommunications may not be a main contributor to the increased cost of living</w:t>
      </w:r>
      <w:r w:rsidR="002E4900">
        <w:t>,</w:t>
      </w:r>
      <w:r>
        <w:t xml:space="preserve"> it is a critical service. </w:t>
      </w:r>
    </w:p>
    <w:p w14:paraId="246C307F" w14:textId="712DE23F" w:rsidR="00583CBD" w:rsidRDefault="00583CBD" w:rsidP="006C5014">
      <w:pPr>
        <w:pStyle w:val="Paragraphbeforelist"/>
      </w:pPr>
      <w:r>
        <w:t xml:space="preserve">Evidence in the ACMA’s </w:t>
      </w:r>
      <w:hyperlink r:id="rId32" w:history="1">
        <w:r w:rsidR="00BB1573" w:rsidRPr="00475E5E">
          <w:rPr>
            <w:rStyle w:val="Hyperlink"/>
            <w:i/>
            <w:iCs/>
          </w:rPr>
          <w:t>Financial hardship in the telco sector: Keeping the customer connected</w:t>
        </w:r>
        <w:r w:rsidR="00BB1573" w:rsidRPr="00E57148">
          <w:rPr>
            <w:rStyle w:val="Hyperlink"/>
            <w:u w:val="none"/>
          </w:rPr>
          <w:t xml:space="preserve"> </w:t>
        </w:r>
        <w:r w:rsidR="00BB1573" w:rsidRPr="00E57148">
          <w:rPr>
            <w:rStyle w:val="Hyperlink"/>
            <w:color w:val="000000" w:themeColor="text1"/>
            <w:u w:val="none"/>
          </w:rPr>
          <w:t>repor</w:t>
        </w:r>
        <w:r w:rsidR="00BB1573" w:rsidRPr="00E57148">
          <w:rPr>
            <w:rStyle w:val="Hyperlink"/>
            <w:color w:val="000000" w:themeColor="text1"/>
          </w:rPr>
          <w:t>t</w:t>
        </w:r>
      </w:hyperlink>
      <w:r w:rsidR="00BB1573">
        <w:t xml:space="preserve"> </w:t>
      </w:r>
      <w:r>
        <w:t xml:space="preserve"> and </w:t>
      </w:r>
      <w:hyperlink r:id="rId33" w:history="1">
        <w:r w:rsidR="00BB1573" w:rsidRPr="0074775A">
          <w:rPr>
            <w:rStyle w:val="Hyperlink"/>
          </w:rPr>
          <w:t>associated research</w:t>
        </w:r>
      </w:hyperlink>
      <w:r>
        <w:t>, has shown that current safeguards are not offering sufficient protections to consumers facing financial difficulty. For example, our research found:</w:t>
      </w:r>
    </w:p>
    <w:p w14:paraId="47257171" w14:textId="766BC858" w:rsidR="00A779D7" w:rsidRPr="001022BC" w:rsidRDefault="00583CBD" w:rsidP="001022BC">
      <w:pPr>
        <w:pStyle w:val="Bulletlevel1"/>
        <w:rPr>
          <w:szCs w:val="20"/>
        </w:rPr>
      </w:pPr>
      <w:r>
        <w:t xml:space="preserve">25% of Australians had experienced payment difficulty or concerns in the previous 12 months for at least one of their essential services and 48% of those </w:t>
      </w:r>
      <w:r w:rsidR="00343A97">
        <w:t>(almost 2.</w:t>
      </w:r>
      <w:r w:rsidR="00BB2C2C">
        <w:t>4 </w:t>
      </w:r>
      <w:r w:rsidR="00343A97">
        <w:t xml:space="preserve">million Australians) </w:t>
      </w:r>
      <w:r>
        <w:t>had difficulty</w:t>
      </w:r>
      <w:r w:rsidR="00343A97">
        <w:t xml:space="preserve"> or concern paying</w:t>
      </w:r>
      <w:r>
        <w:t xml:space="preserve"> their telco </w:t>
      </w:r>
      <w:r w:rsidR="00A779D7" w:rsidRPr="00A779D7">
        <w:rPr>
          <w:szCs w:val="20"/>
        </w:rPr>
        <w:t>bill</w:t>
      </w:r>
      <w:r w:rsidR="001022BC">
        <w:rPr>
          <w:szCs w:val="20"/>
        </w:rPr>
        <w:t>.</w:t>
      </w:r>
      <w:r w:rsidR="00A779D7">
        <w:rPr>
          <w:rStyle w:val="FootnoteReference"/>
          <w:szCs w:val="20"/>
        </w:rPr>
        <w:footnoteReference w:id="7"/>
      </w:r>
      <w:r w:rsidR="001022BC">
        <w:rPr>
          <w:szCs w:val="20"/>
        </w:rPr>
        <w:t xml:space="preserve"> I</w:t>
      </w:r>
      <w:r w:rsidR="00A779D7" w:rsidRPr="001022BC">
        <w:rPr>
          <w:szCs w:val="20"/>
        </w:rPr>
        <w:t xml:space="preserve">ndustry data from the key telcos (representing over 83% of the market) showed only 4,388 customers were in financial hardship programs as </w:t>
      </w:r>
      <w:proofErr w:type="gramStart"/>
      <w:r w:rsidR="00A779D7" w:rsidRPr="001022BC">
        <w:rPr>
          <w:szCs w:val="20"/>
        </w:rPr>
        <w:t>at</w:t>
      </w:r>
      <w:proofErr w:type="gramEnd"/>
      <w:r w:rsidR="00A779D7" w:rsidRPr="001022BC">
        <w:rPr>
          <w:szCs w:val="20"/>
        </w:rPr>
        <w:t xml:space="preserve"> 30 June 2022 (0.03% of all residential customers)</w:t>
      </w:r>
      <w:r w:rsidR="00A779D7" w:rsidRPr="00B8489D">
        <w:t>.</w:t>
      </w:r>
      <w:r w:rsidR="00A779D7">
        <w:rPr>
          <w:rStyle w:val="FootnoteReference"/>
        </w:rPr>
        <w:footnoteReference w:id="8"/>
      </w:r>
      <w:r w:rsidR="00A779D7" w:rsidRPr="001022BC">
        <w:rPr>
          <w:szCs w:val="20"/>
        </w:rPr>
        <w:t xml:space="preserve"> </w:t>
      </w:r>
    </w:p>
    <w:p w14:paraId="754A66A2" w14:textId="0092A3D1" w:rsidR="00583CBD" w:rsidRDefault="00583CBD" w:rsidP="006C5014">
      <w:pPr>
        <w:pStyle w:val="Bulletlevel1"/>
      </w:pPr>
      <w:r>
        <w:t>During 2021–22, a total of 237,166 residential customers had their services disconnected due to non-payment. Of those, only 834 were reported by the main telcos as financial hardship customers.</w:t>
      </w:r>
      <w:r w:rsidR="001022BC">
        <w:rPr>
          <w:rStyle w:val="FootnoteReference"/>
        </w:rPr>
        <w:footnoteReference w:id="9"/>
      </w:r>
    </w:p>
    <w:p w14:paraId="6A90FA56" w14:textId="6EA8152E" w:rsidR="00343A97" w:rsidRPr="00E37847" w:rsidRDefault="00583CBD" w:rsidP="007634CB">
      <w:pPr>
        <w:pStyle w:val="Bulletlevel1"/>
      </w:pPr>
      <w:r>
        <w:t>Awareness of telco financial assistance was low in the general population (57%) and only slightly higher in customers who experienced financial hardship (64%).</w:t>
      </w:r>
      <w:r w:rsidR="00343A97">
        <w:rPr>
          <w:rStyle w:val="FootnoteReference"/>
        </w:rPr>
        <w:footnoteReference w:id="10"/>
      </w:r>
      <w:r w:rsidR="00343A97">
        <w:t xml:space="preserve"> </w:t>
      </w:r>
    </w:p>
    <w:p w14:paraId="42504DB6" w14:textId="1FC12617" w:rsidR="00583CBD" w:rsidRDefault="00343A97" w:rsidP="007634CB">
      <w:pPr>
        <w:pStyle w:val="Bulletlevel1"/>
      </w:pPr>
      <w:r w:rsidRPr="00343A97">
        <w:rPr>
          <w:szCs w:val="20"/>
        </w:rPr>
        <w:t>A large proportion (68%) of those aware that they could contact their telco for assistance did not do so, with 17% thinking they would not be eligible for assistance.</w:t>
      </w:r>
      <w:r>
        <w:rPr>
          <w:rStyle w:val="FootnoteReference"/>
          <w:szCs w:val="20"/>
        </w:rPr>
        <w:footnoteReference w:id="11"/>
      </w:r>
      <w:r w:rsidRPr="00343A97">
        <w:rPr>
          <w:szCs w:val="20"/>
        </w:rPr>
        <w:t xml:space="preserve"> This suggests a lack of clarity around financial hardship provisions, the range of circumstances that may apply, and the variety of assistance that can be offered. </w:t>
      </w:r>
    </w:p>
    <w:p w14:paraId="1DC21882" w14:textId="77777777" w:rsidR="00583CBD" w:rsidRDefault="00583CBD" w:rsidP="00EA4C39">
      <w:pPr>
        <w:pStyle w:val="Paragraphbeforelist"/>
        <w:keepNext/>
        <w:keepLines/>
        <w:rPr>
          <w:rFonts w:eastAsiaTheme="minorHAnsi"/>
        </w:rPr>
      </w:pPr>
      <w:r>
        <w:lastRenderedPageBreak/>
        <w:t>This is further supported by:</w:t>
      </w:r>
    </w:p>
    <w:p w14:paraId="6CBBC4EF" w14:textId="7C096CA4" w:rsidR="00583CBD" w:rsidRDefault="00583CBD" w:rsidP="00EA4C39">
      <w:pPr>
        <w:pStyle w:val="Bulletlevel1"/>
        <w:keepNext/>
        <w:keepLines/>
      </w:pPr>
      <w:r>
        <w:t>the TIO’s report</w:t>
      </w:r>
      <w:r w:rsidR="002E4900">
        <w:t>,</w:t>
      </w:r>
      <w:r>
        <w:t xml:space="preserve"> </w:t>
      </w:r>
      <w:r w:rsidRPr="006C5014">
        <w:rPr>
          <w:i/>
          <w:iCs/>
        </w:rPr>
        <w:t>A time for change – Three years of systemic investigations in review</w:t>
      </w:r>
      <w:r w:rsidR="00573BB0" w:rsidRPr="006C5014">
        <w:rPr>
          <w:rStyle w:val="FootnoteReference"/>
        </w:rPr>
        <w:footnoteReference w:id="12"/>
      </w:r>
    </w:p>
    <w:p w14:paraId="466DE0A1" w14:textId="318105EB" w:rsidR="00FF6AD5" w:rsidRPr="00602FCE" w:rsidRDefault="00583CBD" w:rsidP="00EA4C39">
      <w:pPr>
        <w:pStyle w:val="Bulletlevel1"/>
        <w:keepNext/>
        <w:keepLines/>
      </w:pPr>
      <w:r>
        <w:t xml:space="preserve">recent ACMA </w:t>
      </w:r>
      <w:r w:rsidR="004160E0">
        <w:t xml:space="preserve">enforcement </w:t>
      </w:r>
      <w:r>
        <w:t>action against 8 telcos for failure to provide adequate notice for service restrictions, suspensions or disconnections and failure to provide information about financial hardship policies</w:t>
      </w:r>
      <w:r w:rsidR="002E4900">
        <w:rPr>
          <w:rStyle w:val="FootnoteReference"/>
        </w:rPr>
        <w:footnoteReference w:id="13"/>
      </w:r>
    </w:p>
    <w:p w14:paraId="228500A0" w14:textId="1FF1E01E" w:rsidR="00583CBD" w:rsidRPr="007634CB" w:rsidRDefault="00FF6AD5" w:rsidP="0087203D">
      <w:pPr>
        <w:pStyle w:val="Bulletlevel1last"/>
        <w:spacing w:after="80"/>
        <w:rPr>
          <w:i/>
          <w:iCs/>
        </w:rPr>
      </w:pPr>
      <w:r>
        <w:t>research by the Australian Communications Consumer Action Network (ACCAN) and the Public Interest Advocacy Centre (PIAC)</w:t>
      </w:r>
      <w:r>
        <w:rPr>
          <w:rStyle w:val="FootnoteReference"/>
        </w:rPr>
        <w:footnoteReference w:id="14"/>
      </w:r>
    </w:p>
    <w:p w14:paraId="5562DADE" w14:textId="454E7BB4" w:rsidR="006F04D5" w:rsidRDefault="006F04D5" w:rsidP="001B31E6">
      <w:pPr>
        <w:pStyle w:val="Bulletlevel1"/>
      </w:pPr>
      <w:r>
        <w:t xml:space="preserve">ongoing feedback from </w:t>
      </w:r>
      <w:r w:rsidR="00E94971">
        <w:t>members of the</w:t>
      </w:r>
      <w:r>
        <w:t xml:space="preserve"> CC</w:t>
      </w:r>
      <w:r w:rsidR="00E94971">
        <w:t>F</w:t>
      </w:r>
      <w:r w:rsidR="00BB2C2C">
        <w:t xml:space="preserve"> – </w:t>
      </w:r>
      <w:r w:rsidR="00E94971">
        <w:t>consumer organisations</w:t>
      </w:r>
      <w:r>
        <w:rPr>
          <w:rStyle w:val="FootnoteReference"/>
        </w:rPr>
        <w:footnoteReference w:id="15"/>
      </w:r>
      <w:r w:rsidR="00E94971">
        <w:t>, TIO and the Australian Competition and Consumer Commission</w:t>
      </w:r>
      <w:r>
        <w:t xml:space="preserve"> </w:t>
      </w:r>
      <w:r w:rsidR="00E94971">
        <w:t xml:space="preserve">(ACCC) </w:t>
      </w:r>
      <w:r w:rsidR="00BB2C2C">
        <w:t xml:space="preserve">– </w:t>
      </w:r>
      <w:r>
        <w:t xml:space="preserve">at </w:t>
      </w:r>
      <w:r w:rsidRPr="00E21DBC">
        <w:t>meetings</w:t>
      </w:r>
      <w:r w:rsidR="00BB2C2C">
        <w:t>,</w:t>
      </w:r>
      <w:r w:rsidRPr="00E21DBC">
        <w:t xml:space="preserve"> </w:t>
      </w:r>
      <w:r w:rsidR="00E94971">
        <w:t xml:space="preserve">about the lack of sufficient, enforceable </w:t>
      </w:r>
      <w:r>
        <w:t>financial hardship</w:t>
      </w:r>
      <w:r w:rsidRPr="00E21DBC">
        <w:t xml:space="preserve"> protections</w:t>
      </w:r>
    </w:p>
    <w:p w14:paraId="4F6A1CCD" w14:textId="78300E09" w:rsidR="00E21DBC" w:rsidRDefault="006F04D5" w:rsidP="0087203D">
      <w:pPr>
        <w:pStyle w:val="ListBullet"/>
        <w:spacing w:after="240"/>
      </w:pPr>
      <w:r>
        <w:t xml:space="preserve">feedback received during development of the ACMA’s </w:t>
      </w:r>
      <w:hyperlink r:id="rId34" w:history="1">
        <w:r w:rsidRPr="00E94971">
          <w:rPr>
            <w:rStyle w:val="Hyperlink"/>
            <w:i/>
            <w:iCs/>
          </w:rPr>
          <w:t>Consumer vulnerability: expectations for the telecommunications industry</w:t>
        </w:r>
      </w:hyperlink>
      <w:r>
        <w:t xml:space="preserve"> published in May 2022.</w:t>
      </w:r>
    </w:p>
    <w:p w14:paraId="079E5185" w14:textId="5D351D00" w:rsidR="00966D79" w:rsidRPr="002473F0" w:rsidRDefault="00837C6E" w:rsidP="003026D7">
      <w:pPr>
        <w:pStyle w:val="Paragraph"/>
      </w:pPr>
      <w:r>
        <w:t>Further, i</w:t>
      </w:r>
      <w:r w:rsidR="00CB1CF8" w:rsidRPr="003026D7">
        <w:t xml:space="preserve">n a </w:t>
      </w:r>
      <w:r w:rsidR="008912E5">
        <w:t xml:space="preserve">2021 Consumer and Policy Research Centre </w:t>
      </w:r>
      <w:r w:rsidR="00F94109">
        <w:t>‘</w:t>
      </w:r>
      <w:r w:rsidR="00CB1CF8" w:rsidRPr="003026D7">
        <w:t>cross-sector</w:t>
      </w:r>
      <w:r w:rsidR="00F94109">
        <w:t>’</w:t>
      </w:r>
      <w:r w:rsidR="00CB1CF8" w:rsidRPr="003026D7">
        <w:t xml:space="preserve"> scorecard</w:t>
      </w:r>
      <w:r w:rsidR="008912E5">
        <w:t>,</w:t>
      </w:r>
      <w:r w:rsidR="00CB1CF8" w:rsidRPr="003026D7">
        <w:t xml:space="preserve"> telecommunications providers were ranked last for user experience and accessibility, and supportive practices, and second last for helpful advice and customer service.</w:t>
      </w:r>
      <w:r w:rsidR="008912E5" w:rsidRPr="008912E5">
        <w:t xml:space="preserve"> </w:t>
      </w:r>
      <w:r w:rsidR="008912E5">
        <w:t xml:space="preserve">The other sectors covered were </w:t>
      </w:r>
      <w:r w:rsidR="008912E5" w:rsidRPr="003026D7">
        <w:t>energy, private rental, mortgage, credit/finance, and insurance providers</w:t>
      </w:r>
      <w:r w:rsidR="008912E5">
        <w:t>.</w:t>
      </w:r>
      <w:r w:rsidR="00CB1CF8" w:rsidRPr="0087203D">
        <w:rPr>
          <w:vertAlign w:val="superscript"/>
        </w:rPr>
        <w:footnoteReference w:id="16"/>
      </w:r>
      <w:r w:rsidR="00EA4C39">
        <w:t xml:space="preserve"> </w:t>
      </w:r>
      <w:r>
        <w:t>In addition</w:t>
      </w:r>
      <w:r w:rsidR="00966D79">
        <w:rPr>
          <w:szCs w:val="20"/>
        </w:rPr>
        <w:t>, consumers consider telecommunications to be the most distrusted industry in Australia.</w:t>
      </w:r>
      <w:r w:rsidR="00966D79">
        <w:rPr>
          <w:rStyle w:val="FootnoteReference"/>
          <w:szCs w:val="20"/>
        </w:rPr>
        <w:footnoteReference w:id="17"/>
      </w:r>
    </w:p>
    <w:p w14:paraId="6D575ABE" w14:textId="0BEEDA45" w:rsidR="00936811" w:rsidRDefault="00936811" w:rsidP="006C5014">
      <w:pPr>
        <w:pStyle w:val="Heading2"/>
        <w:keepLines/>
      </w:pPr>
      <w:bookmarkStart w:id="9" w:name="_Toc148705866"/>
      <w:r>
        <w:t>Addressing the gaps</w:t>
      </w:r>
      <w:bookmarkEnd w:id="9"/>
    </w:p>
    <w:p w14:paraId="55ABE39B" w14:textId="12AB9A8B" w:rsidR="00936811" w:rsidRDefault="00936811" w:rsidP="006C5014">
      <w:pPr>
        <w:pStyle w:val="Paragraphbeforelist"/>
        <w:rPr>
          <w:rFonts w:eastAsiaTheme="minorHAnsi"/>
        </w:rPr>
      </w:pPr>
      <w:r>
        <w:t>Financial hardship rules for CSPs are outlined in Chapter 7 of the TCP Code. However, there are gaps in the operation of these rules and</w:t>
      </w:r>
      <w:r w:rsidR="005761F5">
        <w:t xml:space="preserve"> they do not meet</w:t>
      </w:r>
      <w:r>
        <w:t xml:space="preserve"> the required level of consumer protection to help customers meet their payment obligations and keep their telecommunication service connected.</w:t>
      </w:r>
      <w:r>
        <w:rPr>
          <w:rStyle w:val="FootnoteReference"/>
        </w:rPr>
        <w:t xml:space="preserve"> </w:t>
      </w:r>
      <w:r>
        <w:t xml:space="preserve">These gaps and supporting evidence are detailed in the </w:t>
      </w:r>
      <w:r w:rsidR="00395980" w:rsidRPr="00602FCE">
        <w:t>ACMA’s</w:t>
      </w:r>
      <w:r w:rsidR="00395980">
        <w:rPr>
          <w:u w:color="0000FF"/>
        </w:rPr>
        <w:t xml:space="preserve"> position paper</w:t>
      </w:r>
      <w:r w:rsidR="00395980" w:rsidRPr="00602FCE">
        <w:t xml:space="preserve"> </w:t>
      </w:r>
      <w:hyperlink r:id="rId35" w:history="1">
        <w:r w:rsidR="00395980" w:rsidRPr="00475E5E">
          <w:rPr>
            <w:rStyle w:val="Hyperlink"/>
            <w:i/>
            <w:iCs/>
          </w:rPr>
          <w:t>What Consumers want – Consumer expectations for telecommunications safeguards</w:t>
        </w:r>
      </w:hyperlink>
      <w:r>
        <w:t xml:space="preserve"> and the </w:t>
      </w:r>
      <w:hyperlink r:id="rId36" w:history="1">
        <w:r w:rsidRPr="00475E5E">
          <w:rPr>
            <w:rStyle w:val="Hyperlink"/>
            <w:i/>
            <w:iCs/>
          </w:rPr>
          <w:t>Financial hardship in the telco sector: Keeping the customer connected repor</w:t>
        </w:r>
        <w:r w:rsidRPr="006C5014">
          <w:rPr>
            <w:rStyle w:val="Hyperlink"/>
            <w:i/>
            <w:iCs/>
          </w:rPr>
          <w:t>t</w:t>
        </w:r>
      </w:hyperlink>
      <w:r>
        <w:t xml:space="preserve"> and</w:t>
      </w:r>
      <w:r w:rsidR="00BB1573">
        <w:t xml:space="preserve"> </w:t>
      </w:r>
      <w:hyperlink r:id="rId37" w:history="1">
        <w:r w:rsidR="00BB1573" w:rsidRPr="0074775A">
          <w:rPr>
            <w:rStyle w:val="Hyperlink"/>
          </w:rPr>
          <w:t>associated research</w:t>
        </w:r>
      </w:hyperlink>
      <w:r w:rsidR="00BB1573">
        <w:t xml:space="preserve"> and</w:t>
      </w:r>
      <w:r>
        <w:t xml:space="preserve"> include:</w:t>
      </w:r>
    </w:p>
    <w:p w14:paraId="3E47993C" w14:textId="77777777" w:rsidR="00936811" w:rsidRDefault="00936811" w:rsidP="006C5014">
      <w:pPr>
        <w:pStyle w:val="Bulletlevel1"/>
      </w:pPr>
      <w:r>
        <w:t>The definition of ‘financial hardship’ is narrow. The ACMA is aware that telcos offer some additional forms of ‘financial assistance’ but these sit outside of the TCP Code definition.</w:t>
      </w:r>
    </w:p>
    <w:p w14:paraId="47DED1A1" w14:textId="77777777" w:rsidR="00F06055" w:rsidRDefault="00936811" w:rsidP="006C5014">
      <w:pPr>
        <w:pStyle w:val="Bulletlevel1"/>
      </w:pPr>
      <w:r>
        <w:t>While telcos offer payment plans and bill payment extensions outside of formal financial hardship programs, these do not attract the TCP Code protections (for example, avoiding credit management action), afforded to customers on a formal financial hardship program.</w:t>
      </w:r>
    </w:p>
    <w:p w14:paraId="5BCE6A29" w14:textId="30594BBD" w:rsidR="00936811" w:rsidRDefault="00F06055" w:rsidP="006C5014">
      <w:pPr>
        <w:pStyle w:val="Bulletlevel1"/>
      </w:pPr>
      <w:r>
        <w:lastRenderedPageBreak/>
        <w:t>A lack of flexibility in some financial hardship arrangements that does not account for a consumer’s individual circumstances.</w:t>
      </w:r>
      <w:r w:rsidR="00E934DD">
        <w:rPr>
          <w:rStyle w:val="FootnoteReference"/>
        </w:rPr>
        <w:footnoteReference w:id="18"/>
      </w:r>
      <w:r w:rsidR="00936811">
        <w:t xml:space="preserve"> </w:t>
      </w:r>
    </w:p>
    <w:p w14:paraId="18CB9F28" w14:textId="2F2A85D7" w:rsidR="00936811" w:rsidRDefault="00936811" w:rsidP="006C5014">
      <w:pPr>
        <w:pStyle w:val="Bulletlevel1"/>
      </w:pPr>
      <w:r>
        <w:t xml:space="preserve">Existing incentives to comply with the requirement to suspend credit management action for financial hardship customers may not be working adequately. For example, in August 2022, </w:t>
      </w:r>
      <w:r w:rsidR="00573EB2">
        <w:t>the ACMA</w:t>
      </w:r>
      <w:r>
        <w:t xml:space="preserve"> found that a telco had breached the requirement to suspend credit management activity for 70 financial hardship customers between August 2019 to April 2022</w:t>
      </w:r>
      <w:r w:rsidR="00690F39">
        <w:rPr>
          <w:rStyle w:val="FootnoteReference"/>
        </w:rPr>
        <w:footnoteReference w:id="19"/>
      </w:r>
      <w:r>
        <w:t>.</w:t>
      </w:r>
    </w:p>
    <w:p w14:paraId="56A58976" w14:textId="05FF428F" w:rsidR="00936811" w:rsidRDefault="00936811" w:rsidP="006C5014">
      <w:pPr>
        <w:pStyle w:val="Bulletlevel1"/>
      </w:pPr>
      <w:r>
        <w:t>Timeframes for telcos to notify customers of impending disconnection, suspension or restriction of services are too short and, in some cases, are not being complied with.</w:t>
      </w:r>
    </w:p>
    <w:p w14:paraId="2CA91AAD" w14:textId="7FA4AAB1" w:rsidR="00BB1573" w:rsidRDefault="00BB1573" w:rsidP="006C5014">
      <w:pPr>
        <w:pStyle w:val="Bulletlevel1"/>
      </w:pPr>
      <w:r>
        <w:t>Low levels of consumer awareness about telecommunications financial hardship assistance.</w:t>
      </w:r>
    </w:p>
    <w:p w14:paraId="27975C18" w14:textId="77777777" w:rsidR="00936811" w:rsidRDefault="00936811" w:rsidP="006C5014">
      <w:pPr>
        <w:pStyle w:val="Bulletlevel1"/>
      </w:pPr>
      <w:r>
        <w:t>The TCP Code does not prescribe what factors should be considered in assessing a customer’s eligibility for financial hardship assistance or what staff training would be appropriate in these circumstances.</w:t>
      </w:r>
    </w:p>
    <w:p w14:paraId="74B4D198" w14:textId="56DD9611" w:rsidR="00936811" w:rsidRDefault="002D3978" w:rsidP="006C5014">
      <w:pPr>
        <w:pStyle w:val="Bulletlevel1last"/>
      </w:pPr>
      <w:r>
        <w:t>There are l</w:t>
      </w:r>
      <w:r w:rsidR="00936811">
        <w:t xml:space="preserve">imited </w:t>
      </w:r>
      <w:r w:rsidR="004160E0">
        <w:t xml:space="preserve">initial </w:t>
      </w:r>
      <w:r w:rsidR="00936811">
        <w:t xml:space="preserve">enforcement options. </w:t>
      </w:r>
      <w:r w:rsidR="004160E0">
        <w:t>For</w:t>
      </w:r>
      <w:r w:rsidR="00936811">
        <w:t xml:space="preserve"> TCP Code</w:t>
      </w:r>
      <w:r w:rsidR="004160E0">
        <w:t xml:space="preserve"> breaches,</w:t>
      </w:r>
      <w:r w:rsidR="00936811">
        <w:t xml:space="preserve"> the ACMA only has 2 </w:t>
      </w:r>
      <w:r w:rsidR="004160E0">
        <w:t xml:space="preserve">initial </w:t>
      </w:r>
      <w:r w:rsidR="00936811">
        <w:t xml:space="preserve">options – a formal warning or a </w:t>
      </w:r>
      <w:r w:rsidR="00573EB2">
        <w:t>d</w:t>
      </w:r>
      <w:r w:rsidR="00936811">
        <w:t xml:space="preserve">irection to comply. More serious action can only be taken after a </w:t>
      </w:r>
      <w:r w:rsidR="008B66E5">
        <w:t>CSP</w:t>
      </w:r>
      <w:r w:rsidR="00936811">
        <w:t xml:space="preserve"> breaches a direction to comply (meaning a second or </w:t>
      </w:r>
      <w:r w:rsidR="00D26209">
        <w:t xml:space="preserve">further </w:t>
      </w:r>
      <w:r w:rsidR="00936811">
        <w:t>contravention).</w:t>
      </w:r>
    </w:p>
    <w:p w14:paraId="57D99BFE" w14:textId="4274B413" w:rsidR="00936811" w:rsidRDefault="006C57C3" w:rsidP="00936811">
      <w:pPr>
        <w:pStyle w:val="Paragraph"/>
        <w:rPr>
          <w:rFonts w:eastAsiaTheme="minorHAnsi"/>
        </w:rPr>
      </w:pPr>
      <w:r>
        <w:t xml:space="preserve">In consideration of </w:t>
      </w:r>
      <w:r w:rsidR="00F94109">
        <w:t>cost-of-living</w:t>
      </w:r>
      <w:r>
        <w:t xml:space="preserve"> pressures and the central role of telecommunications services to everyday life to support work, education, health, entertainment, community and government services</w:t>
      </w:r>
      <w:r w:rsidR="00936811">
        <w:t xml:space="preserve">, the </w:t>
      </w:r>
      <w:r w:rsidR="00D26209">
        <w:t>M</w:t>
      </w:r>
      <w:r w:rsidR="00936811">
        <w:t>inister considered it timely</w:t>
      </w:r>
      <w:r w:rsidR="00573EB2">
        <w:t xml:space="preserve"> and appropriate</w:t>
      </w:r>
      <w:r w:rsidR="00936811">
        <w:t xml:space="preserve"> to </w:t>
      </w:r>
      <w:r w:rsidR="00573EB2">
        <w:t>direct</w:t>
      </w:r>
      <w:r w:rsidR="00936811">
        <w:t xml:space="preserve"> the ACMA to make </w:t>
      </w:r>
      <w:r w:rsidR="00573EB2">
        <w:t>enforceable</w:t>
      </w:r>
      <w:r w:rsidR="00936811">
        <w:t xml:space="preserve"> regulatory rules to replace those currently</w:t>
      </w:r>
      <w:r w:rsidR="00573EB2">
        <w:t xml:space="preserve"> contained</w:t>
      </w:r>
      <w:r w:rsidR="00936811">
        <w:t xml:space="preserve"> in Chapter 7 of the TCP Code.</w:t>
      </w:r>
    </w:p>
    <w:p w14:paraId="52424F24" w14:textId="10D9539B" w:rsidR="00936811" w:rsidRDefault="00936811" w:rsidP="00936811">
      <w:pPr>
        <w:pStyle w:val="Paragraph"/>
      </w:pPr>
      <w:r>
        <w:t xml:space="preserve">We have considered the financial hardship obligations in Chapter 7 and credit management obligations </w:t>
      </w:r>
      <w:r w:rsidR="00846504" w:rsidDel="00B2221F">
        <w:t>relating to customer</w:t>
      </w:r>
      <w:r w:rsidR="00846504">
        <w:t>s</w:t>
      </w:r>
      <w:r w:rsidR="00846504" w:rsidDel="00B2221F">
        <w:t xml:space="preserve"> experiencing financial hardship </w:t>
      </w:r>
      <w:r>
        <w:t xml:space="preserve">in Chapter 6 of the TCP Code when drafting the </w:t>
      </w:r>
      <w:r w:rsidR="00B2221F">
        <w:t>industry s</w:t>
      </w:r>
      <w:r>
        <w:t xml:space="preserve">tandard and </w:t>
      </w:r>
      <w:r w:rsidR="00573EB2">
        <w:t xml:space="preserve">have </w:t>
      </w:r>
      <w:r>
        <w:t xml:space="preserve">included </w:t>
      </w:r>
      <w:r w:rsidR="00573EB2">
        <w:t xml:space="preserve">new and </w:t>
      </w:r>
      <w:r>
        <w:t xml:space="preserve">additional provisions to address </w:t>
      </w:r>
      <w:r w:rsidR="004160E0">
        <w:t xml:space="preserve">identified </w:t>
      </w:r>
      <w:r>
        <w:t xml:space="preserve">gaps. </w:t>
      </w:r>
    </w:p>
    <w:p w14:paraId="10FA4C8C" w14:textId="77777777" w:rsidR="00936811" w:rsidRDefault="00936811" w:rsidP="00936811">
      <w:pPr>
        <w:pStyle w:val="Paragraph"/>
      </w:pPr>
    </w:p>
    <w:p w14:paraId="3C985AC2" w14:textId="77777777" w:rsidR="006C1631" w:rsidRPr="00E162C4" w:rsidRDefault="006C1631" w:rsidP="006C1631">
      <w:pPr>
        <w:pStyle w:val="Heading1"/>
      </w:pPr>
      <w:bookmarkStart w:id="10" w:name="_Toc148705867"/>
      <w:r w:rsidRPr="00E162C4">
        <w:lastRenderedPageBreak/>
        <w:t>Invitation to comment</w:t>
      </w:r>
      <w:bookmarkEnd w:id="10"/>
    </w:p>
    <w:p w14:paraId="3BDE8660" w14:textId="77777777" w:rsidR="006C1631" w:rsidRPr="00E162C4" w:rsidRDefault="006C1631" w:rsidP="006C1631">
      <w:pPr>
        <w:pStyle w:val="Heading2"/>
      </w:pPr>
      <w:bookmarkStart w:id="11" w:name="_Toc433122131"/>
      <w:bookmarkStart w:id="12" w:name="_Toc348105637"/>
      <w:bookmarkStart w:id="13" w:name="_Toc300909556"/>
      <w:bookmarkStart w:id="14" w:name="_Toc298924673"/>
      <w:bookmarkStart w:id="15" w:name="_Toc148705868"/>
      <w:bookmarkStart w:id="16" w:name="_Toc348105638"/>
      <w:bookmarkStart w:id="17" w:name="_Toc300909557"/>
      <w:bookmarkStart w:id="18" w:name="_Toc298924674"/>
      <w:bookmarkStart w:id="19" w:name="_Toc274296357"/>
      <w:r w:rsidRPr="00E162C4">
        <w:t>Making a submission</w:t>
      </w:r>
      <w:bookmarkEnd w:id="11"/>
      <w:bookmarkEnd w:id="12"/>
      <w:bookmarkEnd w:id="13"/>
      <w:bookmarkEnd w:id="14"/>
      <w:bookmarkEnd w:id="15"/>
    </w:p>
    <w:p w14:paraId="62D5F461" w14:textId="37497D71" w:rsidR="006C1631" w:rsidRPr="00E162C4" w:rsidRDefault="006C5FD4" w:rsidP="006C1631">
      <w:r w:rsidRPr="00E162C4">
        <w:t>We</w:t>
      </w:r>
      <w:r w:rsidR="006C1631" w:rsidRPr="00E162C4">
        <w:t xml:space="preserve"> invite comments on the issues set out in this </w:t>
      </w:r>
      <w:r w:rsidR="00D26209">
        <w:t>consultation</w:t>
      </w:r>
      <w:r w:rsidR="00D26209" w:rsidRPr="00E162C4">
        <w:t xml:space="preserve"> </w:t>
      </w:r>
      <w:r w:rsidR="006C1631" w:rsidRPr="00E162C4">
        <w:t xml:space="preserve">paper. </w:t>
      </w:r>
    </w:p>
    <w:p w14:paraId="450D0F78" w14:textId="77777777" w:rsidR="0070133D" w:rsidRPr="00E162C4" w:rsidRDefault="005A4567" w:rsidP="0070133D">
      <w:pPr>
        <w:pStyle w:val="Bulletlevel1"/>
      </w:pPr>
      <w:hyperlink r:id="rId38" w:history="1">
        <w:r w:rsidR="0070133D" w:rsidRPr="00E162C4">
          <w:rPr>
            <w:rStyle w:val="Hyperlink"/>
          </w:rPr>
          <w:t>Online submissions</w:t>
        </w:r>
      </w:hyperlink>
      <w:r w:rsidR="0070133D" w:rsidRPr="00E162C4">
        <w:t xml:space="preserve"> can be made by uploading a document. Submissions in</w:t>
      </w:r>
      <w:r w:rsidR="00396DC2" w:rsidRPr="00E162C4">
        <w:t xml:space="preserve"> PDF, </w:t>
      </w:r>
      <w:r w:rsidR="0070133D" w:rsidRPr="00E162C4">
        <w:t>Microsoft Word or Rich Text Format are preferred.</w:t>
      </w:r>
    </w:p>
    <w:p w14:paraId="21174D75" w14:textId="77777777" w:rsidR="006C1631" w:rsidRPr="00E162C4" w:rsidRDefault="006C1631" w:rsidP="0070133D">
      <w:pPr>
        <w:pStyle w:val="Bulletlevel1"/>
      </w:pPr>
      <w:r w:rsidRPr="00E162C4">
        <w:t xml:space="preserve">Submissions by post can be sent to: </w:t>
      </w:r>
    </w:p>
    <w:p w14:paraId="16033356" w14:textId="77777777" w:rsidR="006C1631" w:rsidRPr="003F0819" w:rsidRDefault="006C1631" w:rsidP="006C1631">
      <w:pPr>
        <w:tabs>
          <w:tab w:val="num" w:pos="295"/>
        </w:tabs>
        <w:spacing w:after="0"/>
        <w:ind w:left="295"/>
        <w:rPr>
          <w:szCs w:val="20"/>
        </w:rPr>
      </w:pPr>
      <w:r w:rsidRPr="003F0819">
        <w:rPr>
          <w:szCs w:val="20"/>
        </w:rPr>
        <w:t>The Manager</w:t>
      </w:r>
    </w:p>
    <w:p w14:paraId="13D515B4" w14:textId="3E709396" w:rsidR="006C1631" w:rsidRPr="003F0819" w:rsidRDefault="003F0819" w:rsidP="006C1631">
      <w:pPr>
        <w:spacing w:after="0"/>
        <w:ind w:left="295"/>
        <w:rPr>
          <w:szCs w:val="20"/>
        </w:rPr>
      </w:pPr>
      <w:r w:rsidRPr="003F0819">
        <w:rPr>
          <w:szCs w:val="20"/>
        </w:rPr>
        <w:t>Telecommunications Performance and Regulation Section</w:t>
      </w:r>
    </w:p>
    <w:p w14:paraId="70AE5B5A" w14:textId="77777777" w:rsidR="006C1631" w:rsidRPr="003F0819" w:rsidRDefault="006C1631" w:rsidP="006C1631">
      <w:pPr>
        <w:spacing w:after="0"/>
        <w:ind w:left="295"/>
        <w:rPr>
          <w:szCs w:val="20"/>
        </w:rPr>
      </w:pPr>
      <w:r w:rsidRPr="003F0819">
        <w:rPr>
          <w:szCs w:val="20"/>
        </w:rPr>
        <w:t>Australian Communications and Media Authority</w:t>
      </w:r>
    </w:p>
    <w:p w14:paraId="6BF3780A" w14:textId="6BC3C2F1" w:rsidR="006C1631" w:rsidRDefault="006C1631" w:rsidP="006C1631">
      <w:pPr>
        <w:spacing w:after="0"/>
        <w:ind w:left="295"/>
        <w:rPr>
          <w:szCs w:val="20"/>
        </w:rPr>
      </w:pPr>
      <w:r w:rsidRPr="003F0819">
        <w:rPr>
          <w:szCs w:val="20"/>
        </w:rPr>
        <w:t xml:space="preserve">PO Box </w:t>
      </w:r>
      <w:r w:rsidR="003F0819">
        <w:rPr>
          <w:szCs w:val="20"/>
        </w:rPr>
        <w:t>13112</w:t>
      </w:r>
    </w:p>
    <w:p w14:paraId="501A840C" w14:textId="300268E8" w:rsidR="003F0819" w:rsidRPr="003F0819" w:rsidRDefault="003F0819" w:rsidP="006C1631">
      <w:pPr>
        <w:spacing w:after="0"/>
        <w:ind w:left="295"/>
        <w:rPr>
          <w:szCs w:val="20"/>
        </w:rPr>
      </w:pPr>
      <w:r>
        <w:rPr>
          <w:szCs w:val="20"/>
        </w:rPr>
        <w:t>Law Courts</w:t>
      </w:r>
    </w:p>
    <w:p w14:paraId="487090AC" w14:textId="7FD1CAED" w:rsidR="003F0819" w:rsidRDefault="003F0819" w:rsidP="003F0819">
      <w:pPr>
        <w:ind w:left="295"/>
        <w:rPr>
          <w:szCs w:val="20"/>
        </w:rPr>
      </w:pPr>
      <w:r>
        <w:rPr>
          <w:szCs w:val="20"/>
        </w:rPr>
        <w:t>MELBOURNE VIC 8110</w:t>
      </w:r>
    </w:p>
    <w:p w14:paraId="1E125541" w14:textId="6EEC73D7" w:rsidR="006C1631" w:rsidRPr="00E162C4" w:rsidRDefault="006C1631" w:rsidP="006C1631">
      <w:r w:rsidRPr="00E162C4">
        <w:t xml:space="preserve">The closing date for submissions is COB </w:t>
      </w:r>
      <w:r w:rsidR="004674C5" w:rsidRPr="00E57148">
        <w:rPr>
          <w:b/>
          <w:bCs/>
        </w:rPr>
        <w:t>Friday</w:t>
      </w:r>
      <w:r w:rsidRPr="00E57148">
        <w:rPr>
          <w:b/>
          <w:bCs/>
        </w:rPr>
        <w:t xml:space="preserve"> </w:t>
      </w:r>
      <w:r w:rsidR="00C8386B" w:rsidRPr="00E57148">
        <w:rPr>
          <w:b/>
          <w:bCs/>
        </w:rPr>
        <w:t>24</w:t>
      </w:r>
      <w:r w:rsidRPr="00E57148">
        <w:rPr>
          <w:b/>
          <w:bCs/>
        </w:rPr>
        <w:t xml:space="preserve"> </w:t>
      </w:r>
      <w:r w:rsidR="003B28F6" w:rsidRPr="00E57148">
        <w:rPr>
          <w:b/>
          <w:bCs/>
        </w:rPr>
        <w:t>November</w:t>
      </w:r>
      <w:r w:rsidRPr="00E57148">
        <w:rPr>
          <w:b/>
          <w:bCs/>
        </w:rPr>
        <w:t xml:space="preserve"> 20</w:t>
      </w:r>
      <w:r w:rsidR="003F0819" w:rsidRPr="00E57148">
        <w:rPr>
          <w:b/>
          <w:bCs/>
        </w:rPr>
        <w:t>23</w:t>
      </w:r>
      <w:r w:rsidRPr="00E162C4">
        <w:t>.</w:t>
      </w:r>
    </w:p>
    <w:p w14:paraId="405D5516" w14:textId="2FF75369" w:rsidR="006C1631" w:rsidRPr="00E162C4" w:rsidRDefault="006C1631" w:rsidP="006C1631">
      <w:pPr>
        <w:rPr>
          <w:szCs w:val="20"/>
        </w:rPr>
      </w:pPr>
      <w:r w:rsidRPr="00E162C4">
        <w:t xml:space="preserve">Consultation enquiries can be emailed </w:t>
      </w:r>
      <w:r w:rsidRPr="00E162C4">
        <w:rPr>
          <w:szCs w:val="20"/>
        </w:rPr>
        <w:t xml:space="preserve">to </w:t>
      </w:r>
      <w:hyperlink r:id="rId39" w:history="1">
        <w:r w:rsidR="006C0E2B" w:rsidRPr="00137B00">
          <w:rPr>
            <w:rStyle w:val="Hyperlink"/>
            <w:szCs w:val="20"/>
          </w:rPr>
          <w:t>telcoperformanceregulation@acma.gov.au</w:t>
        </w:r>
      </w:hyperlink>
      <w:r w:rsidR="006C0E2B">
        <w:rPr>
          <w:szCs w:val="20"/>
        </w:rPr>
        <w:t xml:space="preserve"> </w:t>
      </w:r>
    </w:p>
    <w:p w14:paraId="579608DA" w14:textId="77777777" w:rsidR="006C1631" w:rsidRPr="00E162C4" w:rsidRDefault="006C1631" w:rsidP="005B2F0D">
      <w:pPr>
        <w:pStyle w:val="Heading4"/>
      </w:pPr>
      <w:bookmarkStart w:id="20" w:name="_Toc348105639"/>
      <w:bookmarkStart w:id="21" w:name="_Toc300909558"/>
      <w:bookmarkStart w:id="22" w:name="_Hlk59627494"/>
      <w:bookmarkEnd w:id="16"/>
      <w:bookmarkEnd w:id="17"/>
      <w:r w:rsidRPr="00E162C4">
        <w:t>Publication of submissions</w:t>
      </w:r>
      <w:bookmarkEnd w:id="18"/>
      <w:bookmarkEnd w:id="19"/>
      <w:bookmarkEnd w:id="20"/>
      <w:bookmarkEnd w:id="21"/>
    </w:p>
    <w:p w14:paraId="31DE878F" w14:textId="77777777" w:rsidR="006C1631" w:rsidRPr="00E162C4" w:rsidRDefault="006C5FD4" w:rsidP="006C1631">
      <w:bookmarkStart w:id="23" w:name="_Toc348105640"/>
      <w:bookmarkStart w:id="24" w:name="_Toc300909559"/>
      <w:bookmarkStart w:id="25" w:name="_Toc265246234"/>
      <w:r w:rsidRPr="00E162C4">
        <w:t>We</w:t>
      </w:r>
      <w:r w:rsidR="006C1631" w:rsidRPr="00E162C4">
        <w:t xml:space="preserve"> publish submissions on our website</w:t>
      </w:r>
      <w:r w:rsidR="006C1631" w:rsidRPr="00E162C4">
        <w:rPr>
          <w:rFonts w:cs="Arial"/>
        </w:rPr>
        <w:t>, including personal information (such as names and contact details)</w:t>
      </w:r>
      <w:r w:rsidR="006C1631" w:rsidRPr="00E162C4">
        <w:t xml:space="preserve">, except for information that you have claimed (and we have accepted) is confidential. </w:t>
      </w:r>
    </w:p>
    <w:p w14:paraId="41035629" w14:textId="77777777" w:rsidR="006C1631" w:rsidRPr="00E162C4" w:rsidRDefault="006C1631" w:rsidP="006C1631">
      <w:r w:rsidRPr="00E162C4">
        <w:t>Confidential information will not be published or otherwise released unless required or authorised by law.</w:t>
      </w:r>
    </w:p>
    <w:p w14:paraId="380D3B3C" w14:textId="77777777" w:rsidR="006C1631" w:rsidRPr="00E162C4" w:rsidRDefault="006C1631" w:rsidP="005B2F0D">
      <w:pPr>
        <w:pStyle w:val="Heading4"/>
      </w:pPr>
      <w:r w:rsidRPr="00E162C4">
        <w:t>Privacy</w:t>
      </w:r>
    </w:p>
    <w:p w14:paraId="6EA64C8D" w14:textId="77777777" w:rsidR="006C1631" w:rsidRPr="00E162C4" w:rsidRDefault="00E21056" w:rsidP="005B2F0D">
      <w:pPr>
        <w:pStyle w:val="Paragraph"/>
      </w:pPr>
      <w:r w:rsidRPr="00E162C4">
        <w:t>View</w:t>
      </w:r>
      <w:r w:rsidR="006C1631" w:rsidRPr="00E162C4">
        <w:t xml:space="preserve"> information about </w:t>
      </w:r>
      <w:r w:rsidRPr="00E162C4">
        <w:t xml:space="preserve">our policy on the </w:t>
      </w:r>
      <w:hyperlink r:id="rId40" w:history="1">
        <w:r w:rsidRPr="00E162C4">
          <w:rPr>
            <w:rStyle w:val="Hyperlink"/>
          </w:rPr>
          <w:t>publication of submissions</w:t>
        </w:r>
      </w:hyperlink>
      <w:r w:rsidRPr="00E162C4">
        <w:t xml:space="preserve">, including </w:t>
      </w:r>
      <w:r w:rsidR="006C1631" w:rsidRPr="00E162C4">
        <w:t>collection of personal information during consultation and how we handle that information</w:t>
      </w:r>
      <w:r w:rsidRPr="00E162C4">
        <w:t>.</w:t>
      </w:r>
    </w:p>
    <w:bookmarkEnd w:id="23"/>
    <w:bookmarkEnd w:id="24"/>
    <w:bookmarkEnd w:id="25"/>
    <w:p w14:paraId="7CD3C2AB" w14:textId="77777777" w:rsidR="00A4193E" w:rsidRPr="00E162C4" w:rsidRDefault="006C1631" w:rsidP="005B2F0D">
      <w:pPr>
        <w:pStyle w:val="Paragraph"/>
      </w:pPr>
      <w:r w:rsidRPr="00E162C4">
        <w:t xml:space="preserve">Information on the </w:t>
      </w:r>
      <w:r w:rsidRPr="00E162C4">
        <w:rPr>
          <w:i/>
        </w:rPr>
        <w:t>Privacy Act 1988</w:t>
      </w:r>
      <w:r w:rsidR="006A4CCA" w:rsidRPr="00E162C4">
        <w:rPr>
          <w:i/>
        </w:rPr>
        <w:t xml:space="preserve">, </w:t>
      </w:r>
      <w:r w:rsidRPr="00E162C4">
        <w:t xml:space="preserve">how to access or correct personal information, how to make a privacy complaint and how we will deal with </w:t>
      </w:r>
      <w:r w:rsidR="006C5FD4" w:rsidRPr="00E162C4">
        <w:t xml:space="preserve">any </w:t>
      </w:r>
      <w:r w:rsidRPr="00E162C4">
        <w:t>complaint</w:t>
      </w:r>
      <w:r w:rsidR="006C5FD4" w:rsidRPr="00E162C4">
        <w:t>s</w:t>
      </w:r>
      <w:r w:rsidR="00BB6335" w:rsidRPr="00E162C4">
        <w:t>,</w:t>
      </w:r>
      <w:r w:rsidR="00CF0BFE" w:rsidRPr="00E162C4">
        <w:t xml:space="preserve"> </w:t>
      </w:r>
      <w:r w:rsidRPr="00E162C4">
        <w:t xml:space="preserve">is available </w:t>
      </w:r>
      <w:r w:rsidR="00E21056" w:rsidRPr="00E162C4">
        <w:t xml:space="preserve">in our </w:t>
      </w:r>
      <w:hyperlink r:id="rId41" w:history="1">
        <w:r w:rsidR="00E21056" w:rsidRPr="00E162C4">
          <w:rPr>
            <w:rStyle w:val="Hyperlink"/>
          </w:rPr>
          <w:t>privacy policy</w:t>
        </w:r>
      </w:hyperlink>
      <w:r w:rsidRPr="00E162C4">
        <w:t>.</w:t>
      </w:r>
      <w:r w:rsidR="00A4193E" w:rsidRPr="00E162C4">
        <w:t xml:space="preserve"> </w:t>
      </w:r>
    </w:p>
    <w:bookmarkEnd w:id="22"/>
    <w:p w14:paraId="444B4EAF" w14:textId="0A573E49" w:rsidR="00FF3C69" w:rsidRPr="00E162C4" w:rsidRDefault="00FF3C69" w:rsidP="00851F3F"/>
    <w:sectPr w:rsidR="00FF3C69" w:rsidRPr="00E162C4" w:rsidSect="00C77380">
      <w:headerReference w:type="even" r:id="rId42"/>
      <w:headerReference w:type="default" r:id="rId43"/>
      <w:footerReference w:type="even" r:id="rId44"/>
      <w:footerReference w:type="default" r:id="rId45"/>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13726" w14:textId="77777777" w:rsidR="001E4DBB" w:rsidRDefault="001E4DBB">
      <w:r>
        <w:separator/>
      </w:r>
    </w:p>
  </w:endnote>
  <w:endnote w:type="continuationSeparator" w:id="0">
    <w:p w14:paraId="13EFDD5E" w14:textId="77777777" w:rsidR="001E4DBB" w:rsidRDefault="001E4DBB">
      <w:r>
        <w:continuationSeparator/>
      </w:r>
    </w:p>
  </w:endnote>
  <w:endnote w:type="continuationNotice" w:id="1">
    <w:p w14:paraId="0ECE8ED1" w14:textId="77777777" w:rsidR="001E4DBB" w:rsidRDefault="001E4D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6770" w14:textId="77777777" w:rsidR="005E250B" w:rsidRDefault="005E250B" w:rsidP="005E250B">
    <w:pPr>
      <w:pStyle w:val="Footer"/>
      <w:jc w:val="right"/>
    </w:pPr>
    <w:r w:rsidRPr="005E250B">
      <w:rPr>
        <w:noProof/>
        <w:vertAlign w:val="subscript"/>
      </w:rPr>
      <w:drawing>
        <wp:inline distT="0" distB="0" distL="0" distR="0" wp14:anchorId="2A307BAA" wp14:editId="2104EE12">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510A1"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E822"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FE3E"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6C274918"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86EBD"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2C7D365B"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C067"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5111EDD5"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AD729"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73DD13F6"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B3FA"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5D9C5C88"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0EBFD" w14:textId="77777777" w:rsidR="001E4DBB" w:rsidRDefault="001E4DBB" w:rsidP="00EA0969">
      <w:pPr>
        <w:spacing w:after="0"/>
      </w:pPr>
      <w:r>
        <w:separator/>
      </w:r>
    </w:p>
  </w:footnote>
  <w:footnote w:type="continuationSeparator" w:id="0">
    <w:p w14:paraId="050EC2DE" w14:textId="77777777" w:rsidR="001E4DBB" w:rsidRDefault="001E4DBB">
      <w:r>
        <w:continuationSeparator/>
      </w:r>
    </w:p>
  </w:footnote>
  <w:footnote w:type="continuationNotice" w:id="1">
    <w:p w14:paraId="6B36B258" w14:textId="77777777" w:rsidR="001E4DBB" w:rsidRDefault="001E4DBB">
      <w:pPr>
        <w:spacing w:after="0" w:line="240" w:lineRule="auto"/>
      </w:pPr>
    </w:p>
  </w:footnote>
  <w:footnote w:id="2">
    <w:p w14:paraId="3B910DF1" w14:textId="4400CC26" w:rsidR="00B95F45" w:rsidRDefault="00B95F45">
      <w:pPr>
        <w:pStyle w:val="FootnoteText"/>
      </w:pPr>
      <w:r>
        <w:rPr>
          <w:rStyle w:val="FootnoteReference"/>
        </w:rPr>
        <w:footnoteRef/>
      </w:r>
      <w:r>
        <w:t xml:space="preserve"> Australian Consumer Action Network (ACCAN), </w:t>
      </w:r>
      <w:r w:rsidR="00A81853">
        <w:t xml:space="preserve">Consumer Policy Research Centre (CPRC), </w:t>
      </w:r>
      <w:r>
        <w:t>Consumer Action Law Centre (CALC), Western Community Legal Centre Limited (</w:t>
      </w:r>
      <w:proofErr w:type="spellStart"/>
      <w:r>
        <w:t>WEstjustice</w:t>
      </w:r>
      <w:proofErr w:type="spellEnd"/>
      <w:r>
        <w:t>), South Australian Council of Social Services (</w:t>
      </w:r>
      <w:proofErr w:type="spellStart"/>
      <w:r>
        <w:t>SACoSS</w:t>
      </w:r>
      <w:proofErr w:type="spellEnd"/>
      <w:r>
        <w:t>), Isolated Children’s Parents’ Association of Australian (ICPA); NSW Business Chamber (Business NSW).</w:t>
      </w:r>
    </w:p>
  </w:footnote>
  <w:footnote w:id="3">
    <w:p w14:paraId="20E863F8" w14:textId="34A1427D" w:rsidR="00A86D87" w:rsidRDefault="00A86D87">
      <w:pPr>
        <w:pStyle w:val="FootnoteText"/>
      </w:pPr>
      <w:r>
        <w:rPr>
          <w:rStyle w:val="FootnoteReference"/>
        </w:rPr>
        <w:footnoteRef/>
      </w:r>
      <w:r>
        <w:t xml:space="preserve"> </w:t>
      </w:r>
      <w:hyperlink r:id="rId1" w:history="1">
        <w:r w:rsidR="004D1911" w:rsidRPr="00C827B6">
          <w:rPr>
            <w:rStyle w:val="Hyperlink"/>
          </w:rPr>
          <w:t>Telecommunications (Financial Hardship Industry Standard) Direction 2023</w:t>
        </w:r>
      </w:hyperlink>
    </w:p>
  </w:footnote>
  <w:footnote w:id="4">
    <w:p w14:paraId="05F17D1A" w14:textId="77777777" w:rsidR="000A607D" w:rsidRDefault="000A607D" w:rsidP="000A607D">
      <w:pPr>
        <w:pStyle w:val="FootnoteText"/>
      </w:pPr>
      <w:r>
        <w:rPr>
          <w:rStyle w:val="FootnoteReference"/>
        </w:rPr>
        <w:footnoteRef/>
      </w:r>
      <w:r>
        <w:t xml:space="preserve"> ACMA (Australian Communications and Media Authority), </w:t>
      </w:r>
      <w:hyperlink r:id="rId2" w:history="1">
        <w:r w:rsidRPr="001D3B72">
          <w:rPr>
            <w:rStyle w:val="Hyperlink"/>
            <w:i/>
            <w:iCs/>
          </w:rPr>
          <w:t>Consumers’ experiences with telco financial hardship: Qualitative research</w:t>
        </w:r>
      </w:hyperlink>
      <w:r>
        <w:t xml:space="preserve"> (May 2023), accessed 19 October 2023; ACMA, </w:t>
      </w:r>
      <w:hyperlink r:id="rId3" w:history="1">
        <w:r w:rsidRPr="001D3B72">
          <w:rPr>
            <w:rStyle w:val="Hyperlink"/>
            <w:i/>
            <w:iCs/>
          </w:rPr>
          <w:t>Financial hardship in the telco sector: Keeping the customer connected</w:t>
        </w:r>
      </w:hyperlink>
      <w:r w:rsidRPr="001D3B72">
        <w:rPr>
          <w:i/>
          <w:iCs/>
        </w:rPr>
        <w:t xml:space="preserve"> </w:t>
      </w:r>
      <w:r>
        <w:t xml:space="preserve">(May 2023), accessed 19 October 2023; </w:t>
      </w:r>
    </w:p>
  </w:footnote>
  <w:footnote w:id="5">
    <w:p w14:paraId="1C58FDE1" w14:textId="77777777" w:rsidR="000A607D" w:rsidRDefault="000A607D" w:rsidP="000A607D">
      <w:pPr>
        <w:pStyle w:val="FootnoteText"/>
      </w:pPr>
      <w:r>
        <w:rPr>
          <w:rStyle w:val="FootnoteReference"/>
        </w:rPr>
        <w:footnoteRef/>
      </w:r>
      <w:r>
        <w:t xml:space="preserve"> ACMA, </w:t>
      </w:r>
      <w:hyperlink r:id="rId4" w:history="1">
        <w:r w:rsidRPr="001D3B72">
          <w:rPr>
            <w:rStyle w:val="Hyperlink"/>
            <w:i/>
            <w:iCs/>
          </w:rPr>
          <w:t>Telco consumer experience – Australian adults and households: Phone and internet services</w:t>
        </w:r>
      </w:hyperlink>
      <w:r>
        <w:t xml:space="preserve"> (October 2020), accessed 19 October 2023; ACCAN (Australian Communications Consumer Action Network), </w:t>
      </w:r>
      <w:hyperlink r:id="rId5" w:history="1">
        <w:r w:rsidRPr="001D3B72">
          <w:rPr>
            <w:rStyle w:val="Hyperlink"/>
            <w:i/>
            <w:iCs/>
          </w:rPr>
          <w:t>Still Waiting…Costing Wait Times for Telecommunications Consumers</w:t>
        </w:r>
      </w:hyperlink>
      <w:r>
        <w:rPr>
          <w:i/>
          <w:iCs/>
        </w:rPr>
        <w:t xml:space="preserve"> </w:t>
      </w:r>
      <w:r>
        <w:t xml:space="preserve">(November 2020), accessed 19 October 2023; TIO (Telecommunications Industry Ombudsman), </w:t>
      </w:r>
      <w:hyperlink r:id="rId6" w:history="1">
        <w:r w:rsidRPr="001D3B72">
          <w:rPr>
            <w:rStyle w:val="Hyperlink"/>
            <w:i/>
            <w:iCs/>
          </w:rPr>
          <w:t>Investigating complaints about essential mobile services</w:t>
        </w:r>
      </w:hyperlink>
      <w:r>
        <w:t xml:space="preserve"> (July 2022), accessed 19 October 2023.</w:t>
      </w:r>
    </w:p>
  </w:footnote>
  <w:footnote w:id="6">
    <w:p w14:paraId="44C59803" w14:textId="5F02A7AA" w:rsidR="00EC0276" w:rsidRDefault="00EC0276">
      <w:pPr>
        <w:pStyle w:val="FootnoteText"/>
      </w:pPr>
      <w:r>
        <w:rPr>
          <w:rStyle w:val="FootnoteReference"/>
        </w:rPr>
        <w:footnoteRef/>
      </w:r>
      <w:r>
        <w:t xml:space="preserve"> ABS (Australian Bureau of Statistics), </w:t>
      </w:r>
      <w:hyperlink r:id="rId7" w:history="1">
        <w:r w:rsidRPr="00EC0276">
          <w:rPr>
            <w:rStyle w:val="Hyperlink"/>
          </w:rPr>
          <w:t>Consumer Price Index, Australia: June Quarter 2023</w:t>
        </w:r>
      </w:hyperlink>
      <w:r>
        <w:t xml:space="preserve"> (26 July 2023), accessed 4 October 2023.</w:t>
      </w:r>
    </w:p>
  </w:footnote>
  <w:footnote w:id="7">
    <w:p w14:paraId="2E97D39E" w14:textId="77777777" w:rsidR="00A779D7" w:rsidRPr="009B3D39" w:rsidRDefault="00A779D7" w:rsidP="00A779D7">
      <w:pPr>
        <w:pStyle w:val="FootnoteText"/>
        <w:rPr>
          <w:rFonts w:cs="Arial"/>
          <w:sz w:val="18"/>
          <w:szCs w:val="18"/>
        </w:rPr>
      </w:pPr>
      <w:r w:rsidRPr="009B3D39">
        <w:rPr>
          <w:rStyle w:val="FootnoteReference"/>
          <w:rFonts w:cs="Arial"/>
          <w:sz w:val="18"/>
          <w:szCs w:val="18"/>
        </w:rPr>
        <w:footnoteRef/>
      </w:r>
      <w:r w:rsidRPr="009B3D39">
        <w:rPr>
          <w:rFonts w:cs="Arial"/>
          <w:sz w:val="18"/>
          <w:szCs w:val="18"/>
        </w:rPr>
        <w:t xml:space="preserve"> </w:t>
      </w:r>
      <w:r w:rsidRPr="001022BC">
        <w:rPr>
          <w:rFonts w:cs="Arial"/>
        </w:rPr>
        <w:t xml:space="preserve">ACMA, </w:t>
      </w:r>
      <w:hyperlink r:id="rId8" w:history="1">
        <w:r w:rsidRPr="001022BC">
          <w:rPr>
            <w:rStyle w:val="Hyperlink"/>
            <w:rFonts w:cs="Arial"/>
            <w:i/>
            <w:iCs/>
          </w:rPr>
          <w:t>Financial hardship: telco and other essential sectors – Quantitative research</w:t>
        </w:r>
      </w:hyperlink>
      <w:r w:rsidRPr="001022BC">
        <w:rPr>
          <w:rFonts w:cs="Arial"/>
        </w:rPr>
        <w:t xml:space="preserve"> (May 2023), accessed 28 September 2023.</w:t>
      </w:r>
    </w:p>
  </w:footnote>
  <w:footnote w:id="8">
    <w:p w14:paraId="119E1597" w14:textId="0024FBF1" w:rsidR="00A779D7" w:rsidRPr="001022BC" w:rsidRDefault="00A779D7" w:rsidP="00A779D7">
      <w:pPr>
        <w:pStyle w:val="FootnoteText"/>
        <w:rPr>
          <w:rFonts w:cs="Arial"/>
        </w:rPr>
      </w:pPr>
      <w:r w:rsidRPr="009B3D39">
        <w:rPr>
          <w:rStyle w:val="FootnoteReference"/>
          <w:rFonts w:cs="Arial"/>
          <w:sz w:val="18"/>
          <w:szCs w:val="18"/>
        </w:rPr>
        <w:footnoteRef/>
      </w:r>
      <w:r w:rsidRPr="009B3D39">
        <w:rPr>
          <w:rFonts w:cs="Arial"/>
          <w:sz w:val="18"/>
          <w:szCs w:val="18"/>
        </w:rPr>
        <w:t xml:space="preserve"> </w:t>
      </w:r>
      <w:r w:rsidRPr="001022BC">
        <w:rPr>
          <w:rFonts w:cs="Arial"/>
        </w:rPr>
        <w:t>ACMA</w:t>
      </w:r>
      <w:hyperlink r:id="rId9" w:history="1">
        <w:r w:rsidRPr="00E57148">
          <w:rPr>
            <w:rStyle w:val="Hyperlink"/>
            <w:rFonts w:cs="Arial"/>
            <w:color w:val="000000" w:themeColor="text1"/>
            <w:u w:val="none"/>
          </w:rPr>
          <w:t>,</w:t>
        </w:r>
        <w:r w:rsidRPr="00E57148">
          <w:rPr>
            <w:rStyle w:val="Hyperlink"/>
            <w:rFonts w:cs="Arial"/>
            <w:u w:val="none"/>
          </w:rPr>
          <w:t xml:space="preserve"> </w:t>
        </w:r>
        <w:r w:rsidRPr="001022BC">
          <w:rPr>
            <w:rStyle w:val="Hyperlink"/>
            <w:rFonts w:cs="Arial"/>
            <w:i/>
            <w:iCs/>
          </w:rPr>
          <w:t>Financial hardship in the telco sector: Keeping the customer connected</w:t>
        </w:r>
      </w:hyperlink>
      <w:r w:rsidRPr="001022BC">
        <w:rPr>
          <w:rFonts w:cs="Arial"/>
        </w:rPr>
        <w:t xml:space="preserve"> (May 2023), accessed </w:t>
      </w:r>
      <w:r w:rsidR="00BB2C2C" w:rsidRPr="001022BC">
        <w:rPr>
          <w:rFonts w:cs="Arial"/>
        </w:rPr>
        <w:t>28</w:t>
      </w:r>
      <w:r w:rsidR="00BB2C2C">
        <w:rPr>
          <w:rFonts w:cs="Arial"/>
        </w:rPr>
        <w:t> </w:t>
      </w:r>
      <w:r w:rsidRPr="001022BC">
        <w:rPr>
          <w:rFonts w:cs="Arial"/>
        </w:rPr>
        <w:t>September 2023.</w:t>
      </w:r>
    </w:p>
  </w:footnote>
  <w:footnote w:id="9">
    <w:p w14:paraId="14A3428C" w14:textId="25E1F158" w:rsidR="001022BC" w:rsidRDefault="001022BC">
      <w:pPr>
        <w:pStyle w:val="FootnoteText"/>
      </w:pPr>
      <w:r>
        <w:rPr>
          <w:rStyle w:val="FootnoteReference"/>
        </w:rPr>
        <w:footnoteRef/>
      </w:r>
      <w:r>
        <w:t xml:space="preserve"> </w:t>
      </w:r>
      <w:r w:rsidRPr="001D3B72">
        <w:rPr>
          <w:rFonts w:cs="Arial"/>
        </w:rPr>
        <w:t>ACMA</w:t>
      </w:r>
      <w:hyperlink r:id="rId10" w:history="1">
        <w:r w:rsidRPr="00E57148">
          <w:rPr>
            <w:rStyle w:val="Hyperlink"/>
            <w:rFonts w:cs="Arial"/>
            <w:color w:val="000000" w:themeColor="text1"/>
            <w:u w:val="none"/>
          </w:rPr>
          <w:t xml:space="preserve">, </w:t>
        </w:r>
        <w:r w:rsidRPr="001D3B72">
          <w:rPr>
            <w:rStyle w:val="Hyperlink"/>
            <w:rFonts w:cs="Arial"/>
            <w:i/>
            <w:iCs/>
          </w:rPr>
          <w:t>Financial hardship in the telco sector: Keeping the customer connected</w:t>
        </w:r>
      </w:hyperlink>
      <w:r w:rsidRPr="001D3B72">
        <w:rPr>
          <w:rFonts w:cs="Arial"/>
        </w:rPr>
        <w:t xml:space="preserve"> (May 2023), accessed </w:t>
      </w:r>
      <w:r w:rsidR="00BB2C2C" w:rsidRPr="001D3B72">
        <w:rPr>
          <w:rFonts w:cs="Arial"/>
        </w:rPr>
        <w:t>28</w:t>
      </w:r>
      <w:r w:rsidR="00BB2C2C">
        <w:rPr>
          <w:rFonts w:cs="Arial"/>
        </w:rPr>
        <w:t> </w:t>
      </w:r>
      <w:r w:rsidRPr="001D3B72">
        <w:rPr>
          <w:rFonts w:cs="Arial"/>
        </w:rPr>
        <w:t>September 2023.</w:t>
      </w:r>
    </w:p>
  </w:footnote>
  <w:footnote w:id="10">
    <w:p w14:paraId="661D96DD" w14:textId="0510B565" w:rsidR="00343A97" w:rsidRDefault="00343A97">
      <w:pPr>
        <w:pStyle w:val="FootnoteText"/>
      </w:pPr>
      <w:r>
        <w:rPr>
          <w:rStyle w:val="FootnoteReference"/>
        </w:rPr>
        <w:footnoteRef/>
      </w:r>
      <w:r>
        <w:t xml:space="preserve"> ACMA, </w:t>
      </w:r>
      <w:proofErr w:type="spellStart"/>
      <w:r>
        <w:t>OmniPoll</w:t>
      </w:r>
      <w:proofErr w:type="spellEnd"/>
      <w:r>
        <w:t xml:space="preserve"> telco research, fieldwork in December 2022, unpublished data.</w:t>
      </w:r>
    </w:p>
  </w:footnote>
  <w:footnote w:id="11">
    <w:p w14:paraId="34BFAD8F" w14:textId="77777777" w:rsidR="00343A97" w:rsidRPr="001022BC" w:rsidRDefault="00343A97" w:rsidP="00343A97">
      <w:pPr>
        <w:pStyle w:val="FootnoteText"/>
        <w:rPr>
          <w:rFonts w:cs="Arial"/>
        </w:rPr>
      </w:pPr>
      <w:r w:rsidRPr="009B3D39">
        <w:rPr>
          <w:rStyle w:val="FootnoteReference"/>
          <w:rFonts w:cs="Arial"/>
          <w:sz w:val="18"/>
          <w:szCs w:val="18"/>
        </w:rPr>
        <w:footnoteRef/>
      </w:r>
      <w:r w:rsidRPr="009B3D39">
        <w:rPr>
          <w:rFonts w:cs="Arial"/>
          <w:sz w:val="18"/>
          <w:szCs w:val="18"/>
        </w:rPr>
        <w:t xml:space="preserve"> </w:t>
      </w:r>
      <w:r w:rsidRPr="001022BC">
        <w:rPr>
          <w:rFonts w:cs="Arial"/>
        </w:rPr>
        <w:t xml:space="preserve">ACMA, </w:t>
      </w:r>
      <w:hyperlink r:id="rId11" w:history="1">
        <w:r w:rsidRPr="001022BC">
          <w:rPr>
            <w:rStyle w:val="Hyperlink"/>
            <w:rFonts w:cs="Arial"/>
            <w:i/>
            <w:iCs/>
          </w:rPr>
          <w:t>Financial hardship: telco and other essential sectors – Quantitative research</w:t>
        </w:r>
      </w:hyperlink>
      <w:r w:rsidRPr="001022BC">
        <w:rPr>
          <w:rFonts w:cs="Arial"/>
        </w:rPr>
        <w:t xml:space="preserve"> (May 2023), accessed 28 September 2023.</w:t>
      </w:r>
    </w:p>
  </w:footnote>
  <w:footnote w:id="12">
    <w:p w14:paraId="248B7490" w14:textId="7A61485F" w:rsidR="00573BB0" w:rsidRDefault="00573BB0">
      <w:pPr>
        <w:pStyle w:val="FootnoteText"/>
      </w:pPr>
      <w:r>
        <w:rPr>
          <w:rStyle w:val="FootnoteReference"/>
        </w:rPr>
        <w:footnoteRef/>
      </w:r>
      <w:r>
        <w:t xml:space="preserve"> TIO (Telecommunications Industry Ombudsman</w:t>
      </w:r>
      <w:r w:rsidR="00EC0276">
        <w:t>),</w:t>
      </w:r>
      <w:hyperlink r:id="rId12" w:anchor=":~:text=The%20Telecommunications%20Industry%20Ombudsman%20(TIO,a%20registration%20scheme%20for%20telcos." w:history="1">
        <w:r w:rsidR="00EC0276" w:rsidRPr="006C5014">
          <w:rPr>
            <w:rStyle w:val="Hyperlink"/>
            <w:i/>
            <w:iCs/>
          </w:rPr>
          <w:t xml:space="preserve"> A time for change – Three years of systemic investigations in review</w:t>
        </w:r>
      </w:hyperlink>
      <w:r w:rsidR="00EC0276">
        <w:t xml:space="preserve"> </w:t>
      </w:r>
      <w:r>
        <w:t>(June 2023), accessed 25 September 2023.</w:t>
      </w:r>
    </w:p>
  </w:footnote>
  <w:footnote w:id="13">
    <w:p w14:paraId="7A99E444" w14:textId="59F65B02" w:rsidR="002E4900" w:rsidRDefault="002E4900">
      <w:pPr>
        <w:pStyle w:val="FootnoteText"/>
      </w:pPr>
      <w:r>
        <w:rPr>
          <w:rStyle w:val="FootnoteReference"/>
        </w:rPr>
        <w:footnoteRef/>
      </w:r>
      <w:r>
        <w:t xml:space="preserve"> ACMA, </w:t>
      </w:r>
      <w:hyperlink r:id="rId13" w:history="1">
        <w:r>
          <w:rPr>
            <w:rStyle w:val="Hyperlink"/>
          </w:rPr>
          <w:t>Eight telcos breach consumer protection rules</w:t>
        </w:r>
      </w:hyperlink>
      <w:r>
        <w:t xml:space="preserve"> (July 2023), accessed 25 September 2023.</w:t>
      </w:r>
    </w:p>
  </w:footnote>
  <w:footnote w:id="14">
    <w:p w14:paraId="0262DAC2" w14:textId="0F0C939D" w:rsidR="00FF6AD5" w:rsidRDefault="00FF6AD5">
      <w:pPr>
        <w:pStyle w:val="FootnoteText"/>
      </w:pPr>
      <w:r>
        <w:rPr>
          <w:rStyle w:val="FootnoteReference"/>
        </w:rPr>
        <w:footnoteRef/>
      </w:r>
      <w:r>
        <w:t xml:space="preserve"> Australian Communications Consumer Action Network (ACCAN) and the Public Interest Advocacy Centre (PIAC</w:t>
      </w:r>
      <w:r w:rsidRPr="00EC0276">
        <w:rPr>
          <w:iCs/>
        </w:rPr>
        <w:t>),</w:t>
      </w:r>
      <w:r w:rsidRPr="009C40BC">
        <w:rPr>
          <w:i/>
        </w:rPr>
        <w:t xml:space="preserve"> </w:t>
      </w:r>
      <w:hyperlink r:id="rId14" w:history="1">
        <w:r w:rsidRPr="009C40BC">
          <w:rPr>
            <w:rStyle w:val="Hyperlink"/>
            <w:i/>
            <w:iCs/>
          </w:rPr>
          <w:t>Direct Debit in Telecommunications</w:t>
        </w:r>
      </w:hyperlink>
      <w:r>
        <w:t xml:space="preserve"> (April 2023), accessed 25 September 2023.</w:t>
      </w:r>
    </w:p>
  </w:footnote>
  <w:footnote w:id="15">
    <w:p w14:paraId="01CC1B97" w14:textId="77777777" w:rsidR="006F04D5" w:rsidRDefault="006F04D5" w:rsidP="006F04D5">
      <w:pPr>
        <w:pStyle w:val="FootnoteText"/>
      </w:pPr>
      <w:r>
        <w:rPr>
          <w:rStyle w:val="FootnoteReference"/>
        </w:rPr>
        <w:footnoteRef/>
      </w:r>
      <w:r>
        <w:t xml:space="preserve"> Australian Consumer Action Network (ACCAN), Consumer Policy Research Centre (CPRC), Consumer Action Law Centre (CALC), Western Community Legal Centre Limited (</w:t>
      </w:r>
      <w:proofErr w:type="spellStart"/>
      <w:r>
        <w:t>WEstjustice</w:t>
      </w:r>
      <w:proofErr w:type="spellEnd"/>
      <w:r>
        <w:t>), South Australian Council of Social Services (</w:t>
      </w:r>
      <w:proofErr w:type="spellStart"/>
      <w:r>
        <w:t>SACoSS</w:t>
      </w:r>
      <w:proofErr w:type="spellEnd"/>
      <w:r>
        <w:t>), Isolated Children’s Parents’ Association of Australian (ICPA); NSW Business Chamber (Business NSW).</w:t>
      </w:r>
    </w:p>
  </w:footnote>
  <w:footnote w:id="16">
    <w:p w14:paraId="2B118C10" w14:textId="56746955" w:rsidR="00CB1CF8" w:rsidRPr="00966D79" w:rsidRDefault="00CB1CF8" w:rsidP="00CB1CF8">
      <w:pPr>
        <w:pStyle w:val="FootnoteText"/>
        <w:rPr>
          <w:rFonts w:cs="Arial"/>
        </w:rPr>
      </w:pPr>
      <w:r w:rsidRPr="009B3D39">
        <w:rPr>
          <w:rStyle w:val="FootnoteReference"/>
          <w:rFonts w:cs="Arial"/>
          <w:sz w:val="18"/>
          <w:szCs w:val="18"/>
        </w:rPr>
        <w:footnoteRef/>
      </w:r>
      <w:r w:rsidRPr="009B3D39">
        <w:rPr>
          <w:rFonts w:cs="Arial"/>
          <w:sz w:val="18"/>
          <w:szCs w:val="18"/>
        </w:rPr>
        <w:t xml:space="preserve"> </w:t>
      </w:r>
      <w:r w:rsidRPr="00966D79">
        <w:rPr>
          <w:rFonts w:cs="Arial"/>
        </w:rPr>
        <w:t xml:space="preserve">Consumer Policy Research Centre (CPRC), </w:t>
      </w:r>
      <w:hyperlink r:id="rId15" w:history="1">
        <w:r w:rsidRPr="00CB1CF8">
          <w:rPr>
            <w:rStyle w:val="Hyperlink"/>
            <w:rFonts w:cs="Arial"/>
            <w:i/>
            <w:iCs/>
          </w:rPr>
          <w:t>COVID-19 and Consumers: Sector Scorecard</w:t>
        </w:r>
      </w:hyperlink>
      <w:r w:rsidRPr="00966D79">
        <w:rPr>
          <w:rFonts w:cs="Arial"/>
        </w:rPr>
        <w:t xml:space="preserve"> (</w:t>
      </w:r>
      <w:r w:rsidR="00EA4C39" w:rsidRPr="00966D79">
        <w:rPr>
          <w:rFonts w:cs="Arial"/>
        </w:rPr>
        <w:t>September</w:t>
      </w:r>
      <w:r w:rsidR="00EA4C39">
        <w:rPr>
          <w:rFonts w:cs="Arial"/>
        </w:rPr>
        <w:t> </w:t>
      </w:r>
      <w:r w:rsidRPr="00966D79">
        <w:rPr>
          <w:rFonts w:cs="Arial"/>
        </w:rPr>
        <w:t>2021), accessed 28 September 2023.</w:t>
      </w:r>
    </w:p>
  </w:footnote>
  <w:footnote w:id="17">
    <w:p w14:paraId="6E5664D6" w14:textId="4AF9C90E" w:rsidR="00966D79" w:rsidRPr="00966D79" w:rsidRDefault="00966D79" w:rsidP="00966D79">
      <w:pPr>
        <w:pStyle w:val="FootnoteText"/>
        <w:rPr>
          <w:rFonts w:cs="Arial"/>
        </w:rPr>
      </w:pPr>
      <w:r w:rsidRPr="009B3D39">
        <w:rPr>
          <w:rStyle w:val="FootnoteReference"/>
          <w:rFonts w:cs="Arial"/>
          <w:sz w:val="18"/>
          <w:szCs w:val="18"/>
        </w:rPr>
        <w:footnoteRef/>
      </w:r>
      <w:r w:rsidRPr="009B3D39">
        <w:rPr>
          <w:rFonts w:cs="Arial"/>
          <w:sz w:val="18"/>
          <w:szCs w:val="18"/>
        </w:rPr>
        <w:t xml:space="preserve"> </w:t>
      </w:r>
      <w:r w:rsidRPr="00966D79">
        <w:rPr>
          <w:rFonts w:cs="Arial"/>
        </w:rPr>
        <w:t xml:space="preserve">Roy Morgan Single Source (Australia), </w:t>
      </w:r>
      <w:hyperlink r:id="rId16" w:history="1">
        <w:r w:rsidRPr="00E57148">
          <w:rPr>
            <w:rStyle w:val="Hyperlink"/>
            <w:rFonts w:cs="Arial"/>
          </w:rPr>
          <w:t>Risk Monitor</w:t>
        </w:r>
      </w:hyperlink>
      <w:r w:rsidRPr="00966D79">
        <w:rPr>
          <w:rFonts w:cs="Arial"/>
        </w:rPr>
        <w:t xml:space="preserve">, 12 Month average to February 2023, accessed </w:t>
      </w:r>
      <w:r w:rsidR="00EA4C39" w:rsidRPr="00966D79">
        <w:rPr>
          <w:rFonts w:cs="Arial"/>
        </w:rPr>
        <w:t>28</w:t>
      </w:r>
      <w:r w:rsidR="00EA4C39">
        <w:rPr>
          <w:rFonts w:cs="Arial"/>
        </w:rPr>
        <w:t> </w:t>
      </w:r>
      <w:r w:rsidRPr="00966D79">
        <w:rPr>
          <w:rFonts w:cs="Arial"/>
        </w:rPr>
        <w:t>September 2023.</w:t>
      </w:r>
    </w:p>
  </w:footnote>
  <w:footnote w:id="18">
    <w:p w14:paraId="6CBB6EDE" w14:textId="59F39849" w:rsidR="00E934DD" w:rsidRDefault="00E934DD">
      <w:pPr>
        <w:pStyle w:val="FootnoteText"/>
      </w:pPr>
      <w:r>
        <w:rPr>
          <w:rStyle w:val="FootnoteReference"/>
        </w:rPr>
        <w:footnoteRef/>
      </w:r>
      <w:r>
        <w:t xml:space="preserve"> </w:t>
      </w:r>
      <w:r w:rsidRPr="002473F0">
        <w:rPr>
          <w:rFonts w:cs="Arial"/>
        </w:rPr>
        <w:t xml:space="preserve">ACMA, </w:t>
      </w:r>
      <w:hyperlink r:id="rId17" w:history="1">
        <w:r w:rsidRPr="002473F0">
          <w:rPr>
            <w:rStyle w:val="Hyperlink"/>
            <w:rFonts w:cs="Arial"/>
            <w:i/>
            <w:iCs/>
          </w:rPr>
          <w:t>Consumers’ experiences with telco financial hardship – Qualitative research</w:t>
        </w:r>
      </w:hyperlink>
      <w:r w:rsidRPr="002473F0">
        <w:rPr>
          <w:rFonts w:cs="Arial"/>
        </w:rPr>
        <w:t xml:space="preserve"> (May 2023), accessed </w:t>
      </w:r>
      <w:r>
        <w:rPr>
          <w:rFonts w:cs="Arial"/>
        </w:rPr>
        <w:t>19 October</w:t>
      </w:r>
      <w:r w:rsidRPr="002473F0">
        <w:rPr>
          <w:rFonts w:cs="Arial"/>
        </w:rPr>
        <w:t xml:space="preserve"> 2023</w:t>
      </w:r>
      <w:r>
        <w:rPr>
          <w:rFonts w:cs="Arial"/>
        </w:rPr>
        <w:t xml:space="preserve">; </w:t>
      </w:r>
      <w:r>
        <w:t xml:space="preserve">ACMA, </w:t>
      </w:r>
      <w:hyperlink r:id="rId18" w:history="1">
        <w:r w:rsidRPr="00E934DD">
          <w:rPr>
            <w:rStyle w:val="Hyperlink"/>
          </w:rPr>
          <w:t>Telco financial hardship programs: views from financial counsellors – Qualitative research</w:t>
        </w:r>
      </w:hyperlink>
      <w:r>
        <w:t xml:space="preserve"> (February 2021), accessed 19 October 2023; Financial Counselling Australia (FCA), </w:t>
      </w:r>
      <w:hyperlink r:id="rId19" w:history="1">
        <w:r w:rsidRPr="002473F0">
          <w:rPr>
            <w:rStyle w:val="Hyperlink"/>
            <w:i/>
            <w:iCs/>
          </w:rPr>
          <w:t>Telcos and Financial Hardship: Feedback from the Frontline</w:t>
        </w:r>
      </w:hyperlink>
      <w:r>
        <w:t xml:space="preserve"> (April 2021), accessed 19 October 2023.</w:t>
      </w:r>
    </w:p>
  </w:footnote>
  <w:footnote w:id="19">
    <w:p w14:paraId="0174AD9E" w14:textId="65B3642D" w:rsidR="00690F39" w:rsidRDefault="00690F39">
      <w:pPr>
        <w:pStyle w:val="FootnoteText"/>
      </w:pPr>
      <w:r>
        <w:rPr>
          <w:rStyle w:val="FootnoteReference"/>
        </w:rPr>
        <w:footnoteRef/>
      </w:r>
      <w:r>
        <w:t xml:space="preserve"> </w:t>
      </w:r>
      <w:r w:rsidRPr="00690F39">
        <w:rPr>
          <w:rFonts w:cs="Arial"/>
        </w:rPr>
        <w:t xml:space="preserve">ACMA, </w:t>
      </w:r>
      <w:hyperlink r:id="rId20" w:history="1">
        <w:r>
          <w:rPr>
            <w:rStyle w:val="cf01"/>
            <w:rFonts w:ascii="Arial" w:hAnsi="Arial" w:cs="Arial"/>
            <w:color w:val="0000FF"/>
            <w:sz w:val="16"/>
            <w:szCs w:val="16"/>
            <w:u w:val="single"/>
          </w:rPr>
          <w:t>Telstra breaches credit management rules for financial hardship customers</w:t>
        </w:r>
      </w:hyperlink>
      <w:r w:rsidRPr="00690F39">
        <w:rPr>
          <w:rStyle w:val="cf01"/>
          <w:rFonts w:ascii="Arial" w:hAnsi="Arial" w:cs="Arial"/>
          <w:sz w:val="16"/>
          <w:szCs w:val="16"/>
        </w:rPr>
        <w:t xml:space="preserve"> (December 2022), accessed 25 September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029F" w14:textId="77777777" w:rsidR="00C053A1" w:rsidRPr="00A5474E" w:rsidRDefault="0021426C" w:rsidP="00A5474E">
    <w:pPr>
      <w:pStyle w:val="Header"/>
    </w:pPr>
    <w:r>
      <w:rPr>
        <w:noProof/>
      </w:rPr>
      <w:drawing>
        <wp:inline distT="0" distB="0" distL="0" distR="0" wp14:anchorId="0FD35385" wp14:editId="3937BBE8">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D001"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84EE"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2894"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1DF94F88" w14:textId="77777777" w:rsidTr="003B0421">
      <w:trPr>
        <w:trHeight w:hRule="exact" w:val="988"/>
      </w:trPr>
      <w:tc>
        <w:tcPr>
          <w:tcW w:w="7678" w:type="dxa"/>
          <w:shd w:val="clear" w:color="auto" w:fill="auto"/>
        </w:tcPr>
        <w:p w14:paraId="5B3BBE1D" w14:textId="77777777" w:rsidR="00971914" w:rsidRDefault="00971914" w:rsidP="00971914">
          <w:pPr>
            <w:pStyle w:val="Header"/>
          </w:pPr>
        </w:p>
      </w:tc>
    </w:tr>
    <w:tr w:rsidR="00971914" w14:paraId="67BE8076" w14:textId="77777777" w:rsidTr="003B0421">
      <w:tc>
        <w:tcPr>
          <w:tcW w:w="7678" w:type="dxa"/>
          <w:shd w:val="clear" w:color="auto" w:fill="auto"/>
        </w:tcPr>
        <w:p w14:paraId="006CC497" w14:textId="77777777" w:rsidR="00971914" w:rsidRDefault="00971914" w:rsidP="00971914">
          <w:pPr>
            <w:pStyle w:val="GridTable31"/>
          </w:pPr>
          <w:r>
            <w:t xml:space="preserve">Contents </w:t>
          </w:r>
          <w:r w:rsidRPr="00915B1C">
            <w:rPr>
              <w:b w:val="0"/>
              <w:spacing w:val="0"/>
              <w:sz w:val="28"/>
              <w:szCs w:val="28"/>
            </w:rPr>
            <w:t>(Continued)</w:t>
          </w:r>
        </w:p>
      </w:tc>
    </w:tr>
    <w:tr w:rsidR="00971914" w14:paraId="1A9DF58F" w14:textId="77777777" w:rsidTr="003B0421">
      <w:trPr>
        <w:trHeight w:val="1220"/>
      </w:trPr>
      <w:tc>
        <w:tcPr>
          <w:tcW w:w="7678" w:type="dxa"/>
          <w:shd w:val="clear" w:color="auto" w:fill="auto"/>
        </w:tcPr>
        <w:p w14:paraId="12532422" w14:textId="77777777" w:rsidR="00971914" w:rsidRDefault="00971914" w:rsidP="00971914"/>
      </w:tc>
    </w:tr>
  </w:tbl>
  <w:p w14:paraId="38E2342F"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26FA4FC9" w14:textId="77777777" w:rsidTr="003B0421">
      <w:trPr>
        <w:trHeight w:hRule="exact" w:val="988"/>
      </w:trPr>
      <w:tc>
        <w:tcPr>
          <w:tcW w:w="7678" w:type="dxa"/>
          <w:shd w:val="clear" w:color="auto" w:fill="auto"/>
        </w:tcPr>
        <w:p w14:paraId="5A4F158B" w14:textId="77777777" w:rsidR="00971914" w:rsidRDefault="00971914" w:rsidP="00971914">
          <w:pPr>
            <w:pStyle w:val="Header"/>
          </w:pPr>
        </w:p>
      </w:tc>
    </w:tr>
    <w:tr w:rsidR="00971914" w14:paraId="31BFD0BE" w14:textId="77777777" w:rsidTr="003B0421">
      <w:tc>
        <w:tcPr>
          <w:tcW w:w="7678" w:type="dxa"/>
          <w:shd w:val="clear" w:color="auto" w:fill="auto"/>
        </w:tcPr>
        <w:p w14:paraId="6BD3A723" w14:textId="77777777" w:rsidR="00971914" w:rsidRDefault="00971914" w:rsidP="00971914">
          <w:pPr>
            <w:pStyle w:val="GridTable31"/>
          </w:pPr>
          <w:r>
            <w:t xml:space="preserve">Contents </w:t>
          </w:r>
          <w:r w:rsidRPr="00915B1C">
            <w:rPr>
              <w:b w:val="0"/>
              <w:spacing w:val="0"/>
              <w:sz w:val="28"/>
              <w:szCs w:val="28"/>
            </w:rPr>
            <w:t>(Continued)</w:t>
          </w:r>
        </w:p>
      </w:tc>
    </w:tr>
    <w:tr w:rsidR="00971914" w14:paraId="762299FE" w14:textId="77777777" w:rsidTr="003B0421">
      <w:trPr>
        <w:trHeight w:val="1220"/>
      </w:trPr>
      <w:tc>
        <w:tcPr>
          <w:tcW w:w="7678" w:type="dxa"/>
          <w:shd w:val="clear" w:color="auto" w:fill="auto"/>
        </w:tcPr>
        <w:p w14:paraId="26B7D993" w14:textId="77777777" w:rsidR="00971914" w:rsidRDefault="00971914" w:rsidP="00971914"/>
      </w:tc>
    </w:tr>
  </w:tbl>
  <w:p w14:paraId="287A8AF4"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27B6"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8288"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B03EF180"/>
    <w:lvl w:ilvl="0">
      <w:start w:val="1"/>
      <w:numFmt w:val="decimal"/>
      <w:pStyle w:val="ListNumber"/>
      <w:lvlText w:val="%1."/>
      <w:lvlJc w:val="left"/>
      <w:pPr>
        <w:ind w:left="360" w:hanging="360"/>
      </w:pPr>
      <w:rPr>
        <w:rFonts w:hint="default"/>
        <w:b/>
        <w:bCs w:val="0"/>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5"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794340">
    <w:abstractNumId w:val="3"/>
  </w:num>
  <w:num w:numId="2" w16cid:durableId="961808067">
    <w:abstractNumId w:val="1"/>
  </w:num>
  <w:num w:numId="3" w16cid:durableId="823132573">
    <w:abstractNumId w:val="2"/>
  </w:num>
  <w:num w:numId="4" w16cid:durableId="1435860948">
    <w:abstractNumId w:val="0"/>
  </w:num>
  <w:num w:numId="5" w16cid:durableId="1458793115">
    <w:abstractNumId w:val="4"/>
  </w:num>
  <w:num w:numId="6" w16cid:durableId="1170756036">
    <w:abstractNumId w:val="7"/>
  </w:num>
  <w:num w:numId="7" w16cid:durableId="1179462982">
    <w:abstractNumId w:val="5"/>
  </w:num>
  <w:num w:numId="8" w16cid:durableId="2010865431">
    <w:abstractNumId w:val="6"/>
  </w:num>
  <w:num w:numId="9" w16cid:durableId="153958827">
    <w:abstractNumId w:val="8"/>
  </w:num>
  <w:num w:numId="10" w16cid:durableId="1550874486">
    <w:abstractNumId w:val="2"/>
    <w:lvlOverride w:ilvl="0">
      <w:startOverride w:val="1"/>
    </w:lvlOverride>
  </w:num>
  <w:num w:numId="11" w16cid:durableId="157112069">
    <w:abstractNumId w:val="3"/>
  </w:num>
  <w:num w:numId="12" w16cid:durableId="754519537">
    <w:abstractNumId w:val="3"/>
  </w:num>
  <w:num w:numId="13" w16cid:durableId="106961696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99"/>
    <w:rsid w:val="00004D7B"/>
    <w:rsid w:val="00006EA7"/>
    <w:rsid w:val="00007DDF"/>
    <w:rsid w:val="00010667"/>
    <w:rsid w:val="000129D5"/>
    <w:rsid w:val="00015AE7"/>
    <w:rsid w:val="00016E21"/>
    <w:rsid w:val="0001719C"/>
    <w:rsid w:val="0002224E"/>
    <w:rsid w:val="00023A36"/>
    <w:rsid w:val="000245E5"/>
    <w:rsid w:val="00024E61"/>
    <w:rsid w:val="00026F91"/>
    <w:rsid w:val="00032621"/>
    <w:rsid w:val="00035868"/>
    <w:rsid w:val="000441B5"/>
    <w:rsid w:val="0004634F"/>
    <w:rsid w:val="0004764C"/>
    <w:rsid w:val="0005011A"/>
    <w:rsid w:val="0005045A"/>
    <w:rsid w:val="000518E2"/>
    <w:rsid w:val="00051C1E"/>
    <w:rsid w:val="000539F9"/>
    <w:rsid w:val="00054C27"/>
    <w:rsid w:val="00055EC3"/>
    <w:rsid w:val="000563CE"/>
    <w:rsid w:val="0006105A"/>
    <w:rsid w:val="000624E7"/>
    <w:rsid w:val="00063A42"/>
    <w:rsid w:val="000659B6"/>
    <w:rsid w:val="0006678D"/>
    <w:rsid w:val="0006686F"/>
    <w:rsid w:val="0006722A"/>
    <w:rsid w:val="000732CF"/>
    <w:rsid w:val="00074D64"/>
    <w:rsid w:val="00075B96"/>
    <w:rsid w:val="0008196A"/>
    <w:rsid w:val="00086EDD"/>
    <w:rsid w:val="000915ED"/>
    <w:rsid w:val="0009209D"/>
    <w:rsid w:val="0009316C"/>
    <w:rsid w:val="0009463C"/>
    <w:rsid w:val="000969BD"/>
    <w:rsid w:val="000969BF"/>
    <w:rsid w:val="000971C6"/>
    <w:rsid w:val="000A07EC"/>
    <w:rsid w:val="000A0C22"/>
    <w:rsid w:val="000A10E8"/>
    <w:rsid w:val="000A1400"/>
    <w:rsid w:val="000A3C43"/>
    <w:rsid w:val="000A4A51"/>
    <w:rsid w:val="000A5D2B"/>
    <w:rsid w:val="000A607D"/>
    <w:rsid w:val="000A6AA7"/>
    <w:rsid w:val="000B105E"/>
    <w:rsid w:val="000B4664"/>
    <w:rsid w:val="000B5DE3"/>
    <w:rsid w:val="000C0A57"/>
    <w:rsid w:val="000C230C"/>
    <w:rsid w:val="000C4298"/>
    <w:rsid w:val="000C6AB4"/>
    <w:rsid w:val="000D09F4"/>
    <w:rsid w:val="000D71D9"/>
    <w:rsid w:val="000D76E0"/>
    <w:rsid w:val="000D7E8B"/>
    <w:rsid w:val="000E4449"/>
    <w:rsid w:val="000E6097"/>
    <w:rsid w:val="000F05CA"/>
    <w:rsid w:val="000F2E41"/>
    <w:rsid w:val="00100A5C"/>
    <w:rsid w:val="001022BC"/>
    <w:rsid w:val="00103829"/>
    <w:rsid w:val="00111FCE"/>
    <w:rsid w:val="00112968"/>
    <w:rsid w:val="0011417B"/>
    <w:rsid w:val="00115FBA"/>
    <w:rsid w:val="001229A5"/>
    <w:rsid w:val="00122C7D"/>
    <w:rsid w:val="00122E6D"/>
    <w:rsid w:val="0012489B"/>
    <w:rsid w:val="001263B4"/>
    <w:rsid w:val="00130017"/>
    <w:rsid w:val="00130F91"/>
    <w:rsid w:val="0013474D"/>
    <w:rsid w:val="001349ED"/>
    <w:rsid w:val="00137424"/>
    <w:rsid w:val="00140318"/>
    <w:rsid w:val="00141AD9"/>
    <w:rsid w:val="00141C53"/>
    <w:rsid w:val="00146CE6"/>
    <w:rsid w:val="00152903"/>
    <w:rsid w:val="00153FD5"/>
    <w:rsid w:val="00154993"/>
    <w:rsid w:val="0015614F"/>
    <w:rsid w:val="00156D05"/>
    <w:rsid w:val="001577C2"/>
    <w:rsid w:val="001633C4"/>
    <w:rsid w:val="001704D5"/>
    <w:rsid w:val="00170B1A"/>
    <w:rsid w:val="00171591"/>
    <w:rsid w:val="00172B92"/>
    <w:rsid w:val="00173680"/>
    <w:rsid w:val="00173981"/>
    <w:rsid w:val="0017719D"/>
    <w:rsid w:val="00181841"/>
    <w:rsid w:val="00183C99"/>
    <w:rsid w:val="00183FD7"/>
    <w:rsid w:val="00185CAB"/>
    <w:rsid w:val="00186B91"/>
    <w:rsid w:val="001875B7"/>
    <w:rsid w:val="00187CB3"/>
    <w:rsid w:val="0019050A"/>
    <w:rsid w:val="001910D4"/>
    <w:rsid w:val="001976E3"/>
    <w:rsid w:val="001A44EC"/>
    <w:rsid w:val="001B31E6"/>
    <w:rsid w:val="001B43D9"/>
    <w:rsid w:val="001B58AA"/>
    <w:rsid w:val="001B7E48"/>
    <w:rsid w:val="001C17CE"/>
    <w:rsid w:val="001C36CA"/>
    <w:rsid w:val="001C44D1"/>
    <w:rsid w:val="001C6316"/>
    <w:rsid w:val="001C6AEE"/>
    <w:rsid w:val="001C7630"/>
    <w:rsid w:val="001D0180"/>
    <w:rsid w:val="001D6D15"/>
    <w:rsid w:val="001E4DBB"/>
    <w:rsid w:val="001E5B4E"/>
    <w:rsid w:val="001F03FE"/>
    <w:rsid w:val="001F07EF"/>
    <w:rsid w:val="001F4508"/>
    <w:rsid w:val="001F50F7"/>
    <w:rsid w:val="001F7558"/>
    <w:rsid w:val="00201EE2"/>
    <w:rsid w:val="00205B57"/>
    <w:rsid w:val="00206658"/>
    <w:rsid w:val="0021096A"/>
    <w:rsid w:val="002126AE"/>
    <w:rsid w:val="00213589"/>
    <w:rsid w:val="0021426C"/>
    <w:rsid w:val="002157E0"/>
    <w:rsid w:val="00216047"/>
    <w:rsid w:val="00216A57"/>
    <w:rsid w:val="00217448"/>
    <w:rsid w:val="0022334F"/>
    <w:rsid w:val="00226819"/>
    <w:rsid w:val="0023088F"/>
    <w:rsid w:val="00231865"/>
    <w:rsid w:val="00233101"/>
    <w:rsid w:val="00233817"/>
    <w:rsid w:val="0023539A"/>
    <w:rsid w:val="002367FF"/>
    <w:rsid w:val="00240CE9"/>
    <w:rsid w:val="00243402"/>
    <w:rsid w:val="002434BA"/>
    <w:rsid w:val="00246089"/>
    <w:rsid w:val="00246093"/>
    <w:rsid w:val="00246702"/>
    <w:rsid w:val="002473F0"/>
    <w:rsid w:val="00247C59"/>
    <w:rsid w:val="00247F2E"/>
    <w:rsid w:val="00250ADC"/>
    <w:rsid w:val="00250B07"/>
    <w:rsid w:val="002519A3"/>
    <w:rsid w:val="00251BFB"/>
    <w:rsid w:val="00256DA6"/>
    <w:rsid w:val="00257553"/>
    <w:rsid w:val="00260FB2"/>
    <w:rsid w:val="00262128"/>
    <w:rsid w:val="0027165D"/>
    <w:rsid w:val="00273CEB"/>
    <w:rsid w:val="00281C89"/>
    <w:rsid w:val="0028210D"/>
    <w:rsid w:val="0028282F"/>
    <w:rsid w:val="00284141"/>
    <w:rsid w:val="0029593B"/>
    <w:rsid w:val="00297FC5"/>
    <w:rsid w:val="002A0417"/>
    <w:rsid w:val="002A16D8"/>
    <w:rsid w:val="002A1BC8"/>
    <w:rsid w:val="002A3EF2"/>
    <w:rsid w:val="002B0DED"/>
    <w:rsid w:val="002B10AA"/>
    <w:rsid w:val="002B19A2"/>
    <w:rsid w:val="002B381A"/>
    <w:rsid w:val="002B4FCC"/>
    <w:rsid w:val="002B5BEF"/>
    <w:rsid w:val="002B5D8C"/>
    <w:rsid w:val="002B7408"/>
    <w:rsid w:val="002B7CFD"/>
    <w:rsid w:val="002B7DB4"/>
    <w:rsid w:val="002C0530"/>
    <w:rsid w:val="002C1DD2"/>
    <w:rsid w:val="002C210F"/>
    <w:rsid w:val="002C30AD"/>
    <w:rsid w:val="002C32C3"/>
    <w:rsid w:val="002C55E3"/>
    <w:rsid w:val="002D2F34"/>
    <w:rsid w:val="002D3600"/>
    <w:rsid w:val="002D3978"/>
    <w:rsid w:val="002E0F6C"/>
    <w:rsid w:val="002E4900"/>
    <w:rsid w:val="002E4DDC"/>
    <w:rsid w:val="002E4EC0"/>
    <w:rsid w:val="00302480"/>
    <w:rsid w:val="003026D7"/>
    <w:rsid w:val="00302758"/>
    <w:rsid w:val="00305C1D"/>
    <w:rsid w:val="003165E6"/>
    <w:rsid w:val="003215B5"/>
    <w:rsid w:val="00321829"/>
    <w:rsid w:val="003221CF"/>
    <w:rsid w:val="003233ED"/>
    <w:rsid w:val="00324D9F"/>
    <w:rsid w:val="003253EE"/>
    <w:rsid w:val="003265C0"/>
    <w:rsid w:val="00327948"/>
    <w:rsid w:val="0033000F"/>
    <w:rsid w:val="00332011"/>
    <w:rsid w:val="00332518"/>
    <w:rsid w:val="00332925"/>
    <w:rsid w:val="00332E3F"/>
    <w:rsid w:val="003332ED"/>
    <w:rsid w:val="003368DC"/>
    <w:rsid w:val="00336FCA"/>
    <w:rsid w:val="00343A97"/>
    <w:rsid w:val="0034490B"/>
    <w:rsid w:val="0034533E"/>
    <w:rsid w:val="00345927"/>
    <w:rsid w:val="00347E20"/>
    <w:rsid w:val="00350584"/>
    <w:rsid w:val="00351857"/>
    <w:rsid w:val="003520BF"/>
    <w:rsid w:val="003545E8"/>
    <w:rsid w:val="003610E1"/>
    <w:rsid w:val="00362283"/>
    <w:rsid w:val="0036388A"/>
    <w:rsid w:val="00366534"/>
    <w:rsid w:val="003671BE"/>
    <w:rsid w:val="00367EEE"/>
    <w:rsid w:val="00371263"/>
    <w:rsid w:val="00372485"/>
    <w:rsid w:val="00373200"/>
    <w:rsid w:val="00375EF5"/>
    <w:rsid w:val="003767A5"/>
    <w:rsid w:val="003803BD"/>
    <w:rsid w:val="00381D15"/>
    <w:rsid w:val="003836A2"/>
    <w:rsid w:val="00385254"/>
    <w:rsid w:val="00386841"/>
    <w:rsid w:val="00390D91"/>
    <w:rsid w:val="003933E8"/>
    <w:rsid w:val="00394031"/>
    <w:rsid w:val="0039451B"/>
    <w:rsid w:val="00395980"/>
    <w:rsid w:val="00396D5F"/>
    <w:rsid w:val="00396DC2"/>
    <w:rsid w:val="003A04DB"/>
    <w:rsid w:val="003A1421"/>
    <w:rsid w:val="003A5F5B"/>
    <w:rsid w:val="003A789A"/>
    <w:rsid w:val="003A7A60"/>
    <w:rsid w:val="003B12EC"/>
    <w:rsid w:val="003B28F6"/>
    <w:rsid w:val="003B4E98"/>
    <w:rsid w:val="003C03B8"/>
    <w:rsid w:val="003C2631"/>
    <w:rsid w:val="003C77E0"/>
    <w:rsid w:val="003D17D7"/>
    <w:rsid w:val="003D2678"/>
    <w:rsid w:val="003D4FAF"/>
    <w:rsid w:val="003D527B"/>
    <w:rsid w:val="003D6F30"/>
    <w:rsid w:val="003D71A3"/>
    <w:rsid w:val="003E2B8A"/>
    <w:rsid w:val="003F0819"/>
    <w:rsid w:val="003F10EE"/>
    <w:rsid w:val="003F16F6"/>
    <w:rsid w:val="003F1CB6"/>
    <w:rsid w:val="003F4DC7"/>
    <w:rsid w:val="003F5235"/>
    <w:rsid w:val="004027E4"/>
    <w:rsid w:val="004046D6"/>
    <w:rsid w:val="0040791B"/>
    <w:rsid w:val="0041071D"/>
    <w:rsid w:val="00413324"/>
    <w:rsid w:val="00414AFC"/>
    <w:rsid w:val="004151A7"/>
    <w:rsid w:val="00415310"/>
    <w:rsid w:val="004160E0"/>
    <w:rsid w:val="00416B2A"/>
    <w:rsid w:val="00420E42"/>
    <w:rsid w:val="00421709"/>
    <w:rsid w:val="004227F5"/>
    <w:rsid w:val="00422E6C"/>
    <w:rsid w:val="00423763"/>
    <w:rsid w:val="004243AC"/>
    <w:rsid w:val="0042762F"/>
    <w:rsid w:val="00427DC7"/>
    <w:rsid w:val="00431613"/>
    <w:rsid w:val="00431792"/>
    <w:rsid w:val="0043297A"/>
    <w:rsid w:val="00432EB2"/>
    <w:rsid w:val="0043714F"/>
    <w:rsid w:val="0044374C"/>
    <w:rsid w:val="004438B5"/>
    <w:rsid w:val="00447037"/>
    <w:rsid w:val="0045124D"/>
    <w:rsid w:val="00454596"/>
    <w:rsid w:val="0045605D"/>
    <w:rsid w:val="004573BE"/>
    <w:rsid w:val="0046030D"/>
    <w:rsid w:val="0046135B"/>
    <w:rsid w:val="00461D47"/>
    <w:rsid w:val="004656A2"/>
    <w:rsid w:val="004674C5"/>
    <w:rsid w:val="004718CC"/>
    <w:rsid w:val="00472D36"/>
    <w:rsid w:val="00475E5E"/>
    <w:rsid w:val="00476C56"/>
    <w:rsid w:val="00481695"/>
    <w:rsid w:val="0048239F"/>
    <w:rsid w:val="00486FF6"/>
    <w:rsid w:val="00491596"/>
    <w:rsid w:val="00494132"/>
    <w:rsid w:val="00495A96"/>
    <w:rsid w:val="00495BB3"/>
    <w:rsid w:val="00497E0F"/>
    <w:rsid w:val="004A2B2F"/>
    <w:rsid w:val="004A56BB"/>
    <w:rsid w:val="004A70D6"/>
    <w:rsid w:val="004B1751"/>
    <w:rsid w:val="004B585C"/>
    <w:rsid w:val="004C0253"/>
    <w:rsid w:val="004D1911"/>
    <w:rsid w:val="004D56FF"/>
    <w:rsid w:val="004E3056"/>
    <w:rsid w:val="004E39D3"/>
    <w:rsid w:val="004E508A"/>
    <w:rsid w:val="004E616D"/>
    <w:rsid w:val="004F1BDE"/>
    <w:rsid w:val="004F2CEE"/>
    <w:rsid w:val="004F3821"/>
    <w:rsid w:val="004F556E"/>
    <w:rsid w:val="004F591C"/>
    <w:rsid w:val="004F7A11"/>
    <w:rsid w:val="004F7F44"/>
    <w:rsid w:val="005037B4"/>
    <w:rsid w:val="005079BF"/>
    <w:rsid w:val="0051269A"/>
    <w:rsid w:val="005219E7"/>
    <w:rsid w:val="00530C92"/>
    <w:rsid w:val="00531B9A"/>
    <w:rsid w:val="00531D15"/>
    <w:rsid w:val="00533D24"/>
    <w:rsid w:val="00537091"/>
    <w:rsid w:val="00537604"/>
    <w:rsid w:val="00542377"/>
    <w:rsid w:val="00543616"/>
    <w:rsid w:val="005476EB"/>
    <w:rsid w:val="00551782"/>
    <w:rsid w:val="00552ABE"/>
    <w:rsid w:val="005547A4"/>
    <w:rsid w:val="00560862"/>
    <w:rsid w:val="00563EF1"/>
    <w:rsid w:val="00566AB4"/>
    <w:rsid w:val="00573812"/>
    <w:rsid w:val="00573BB0"/>
    <w:rsid w:val="00573EB2"/>
    <w:rsid w:val="00575AC5"/>
    <w:rsid w:val="0057605D"/>
    <w:rsid w:val="005761F5"/>
    <w:rsid w:val="00581347"/>
    <w:rsid w:val="00581AC9"/>
    <w:rsid w:val="00583CBD"/>
    <w:rsid w:val="005849F8"/>
    <w:rsid w:val="00584B51"/>
    <w:rsid w:val="005938DF"/>
    <w:rsid w:val="005942CA"/>
    <w:rsid w:val="00594E9C"/>
    <w:rsid w:val="005960B6"/>
    <w:rsid w:val="005A099B"/>
    <w:rsid w:val="005A2D9C"/>
    <w:rsid w:val="005A4567"/>
    <w:rsid w:val="005A55FE"/>
    <w:rsid w:val="005A6A11"/>
    <w:rsid w:val="005B02D6"/>
    <w:rsid w:val="005B2F0D"/>
    <w:rsid w:val="005B4AED"/>
    <w:rsid w:val="005B6FAB"/>
    <w:rsid w:val="005C34EF"/>
    <w:rsid w:val="005C48E1"/>
    <w:rsid w:val="005D0FD8"/>
    <w:rsid w:val="005D2502"/>
    <w:rsid w:val="005D40BB"/>
    <w:rsid w:val="005D47F3"/>
    <w:rsid w:val="005D49BF"/>
    <w:rsid w:val="005D4AA5"/>
    <w:rsid w:val="005D6F4E"/>
    <w:rsid w:val="005D7653"/>
    <w:rsid w:val="005D7C73"/>
    <w:rsid w:val="005E0D2B"/>
    <w:rsid w:val="005E250B"/>
    <w:rsid w:val="005E3ACD"/>
    <w:rsid w:val="005E657A"/>
    <w:rsid w:val="005E7226"/>
    <w:rsid w:val="005E7A57"/>
    <w:rsid w:val="005F24B0"/>
    <w:rsid w:val="006009F0"/>
    <w:rsid w:val="00602FCE"/>
    <w:rsid w:val="0060305C"/>
    <w:rsid w:val="00604315"/>
    <w:rsid w:val="00604E26"/>
    <w:rsid w:val="0060523F"/>
    <w:rsid w:val="006052CF"/>
    <w:rsid w:val="00607B8D"/>
    <w:rsid w:val="0061198C"/>
    <w:rsid w:val="00611B71"/>
    <w:rsid w:val="00611F5C"/>
    <w:rsid w:val="00616E09"/>
    <w:rsid w:val="00620709"/>
    <w:rsid w:val="00622A3B"/>
    <w:rsid w:val="00622EEA"/>
    <w:rsid w:val="0062396C"/>
    <w:rsid w:val="00623FF9"/>
    <w:rsid w:val="0062437D"/>
    <w:rsid w:val="00627D4E"/>
    <w:rsid w:val="00632B89"/>
    <w:rsid w:val="0063346D"/>
    <w:rsid w:val="00634021"/>
    <w:rsid w:val="00634478"/>
    <w:rsid w:val="00644373"/>
    <w:rsid w:val="00645915"/>
    <w:rsid w:val="00646CC4"/>
    <w:rsid w:val="006519C3"/>
    <w:rsid w:val="00652B30"/>
    <w:rsid w:val="00656345"/>
    <w:rsid w:val="00656DC6"/>
    <w:rsid w:val="00660EC6"/>
    <w:rsid w:val="00664110"/>
    <w:rsid w:val="00664D17"/>
    <w:rsid w:val="00666520"/>
    <w:rsid w:val="00667C5B"/>
    <w:rsid w:val="006819F3"/>
    <w:rsid w:val="00690F39"/>
    <w:rsid w:val="00691EB8"/>
    <w:rsid w:val="00692CDE"/>
    <w:rsid w:val="00693073"/>
    <w:rsid w:val="006930DE"/>
    <w:rsid w:val="0069452A"/>
    <w:rsid w:val="00696F93"/>
    <w:rsid w:val="006977FF"/>
    <w:rsid w:val="006A01FA"/>
    <w:rsid w:val="006A0E9E"/>
    <w:rsid w:val="006A195B"/>
    <w:rsid w:val="006A25C7"/>
    <w:rsid w:val="006A3ECF"/>
    <w:rsid w:val="006A4AAD"/>
    <w:rsid w:val="006A4CCA"/>
    <w:rsid w:val="006A6DA2"/>
    <w:rsid w:val="006A7AB2"/>
    <w:rsid w:val="006B0765"/>
    <w:rsid w:val="006B0912"/>
    <w:rsid w:val="006B13E5"/>
    <w:rsid w:val="006B52DE"/>
    <w:rsid w:val="006B5717"/>
    <w:rsid w:val="006B582F"/>
    <w:rsid w:val="006B5EB2"/>
    <w:rsid w:val="006B70DE"/>
    <w:rsid w:val="006B7F50"/>
    <w:rsid w:val="006C0CEB"/>
    <w:rsid w:val="006C0E2B"/>
    <w:rsid w:val="006C1631"/>
    <w:rsid w:val="006C3B1E"/>
    <w:rsid w:val="006C47FD"/>
    <w:rsid w:val="006C5014"/>
    <w:rsid w:val="006C57C3"/>
    <w:rsid w:val="006C5C19"/>
    <w:rsid w:val="006C5FD4"/>
    <w:rsid w:val="006C70A0"/>
    <w:rsid w:val="006D1D99"/>
    <w:rsid w:val="006D27CB"/>
    <w:rsid w:val="006D2F08"/>
    <w:rsid w:val="006D5518"/>
    <w:rsid w:val="006D576C"/>
    <w:rsid w:val="006D5865"/>
    <w:rsid w:val="006E3442"/>
    <w:rsid w:val="006E37B1"/>
    <w:rsid w:val="006E4B1B"/>
    <w:rsid w:val="006E5445"/>
    <w:rsid w:val="006E66DA"/>
    <w:rsid w:val="006E7D93"/>
    <w:rsid w:val="006F03B2"/>
    <w:rsid w:val="006F04D5"/>
    <w:rsid w:val="0070133D"/>
    <w:rsid w:val="0070139C"/>
    <w:rsid w:val="007029A3"/>
    <w:rsid w:val="00706E4E"/>
    <w:rsid w:val="00706F4A"/>
    <w:rsid w:val="0070791C"/>
    <w:rsid w:val="007103D9"/>
    <w:rsid w:val="0071383C"/>
    <w:rsid w:val="00713883"/>
    <w:rsid w:val="007141A7"/>
    <w:rsid w:val="00715722"/>
    <w:rsid w:val="00715BAF"/>
    <w:rsid w:val="00721032"/>
    <w:rsid w:val="00721B55"/>
    <w:rsid w:val="00726CE4"/>
    <w:rsid w:val="00734143"/>
    <w:rsid w:val="00737E47"/>
    <w:rsid w:val="00740EAC"/>
    <w:rsid w:val="007417A4"/>
    <w:rsid w:val="007427FD"/>
    <w:rsid w:val="00744956"/>
    <w:rsid w:val="00744DD8"/>
    <w:rsid w:val="00745A5C"/>
    <w:rsid w:val="0074605F"/>
    <w:rsid w:val="0074775A"/>
    <w:rsid w:val="00747E94"/>
    <w:rsid w:val="00754C83"/>
    <w:rsid w:val="00760A8C"/>
    <w:rsid w:val="00761E5C"/>
    <w:rsid w:val="007634CB"/>
    <w:rsid w:val="00765DF8"/>
    <w:rsid w:val="0076631A"/>
    <w:rsid w:val="00766749"/>
    <w:rsid w:val="00767C1B"/>
    <w:rsid w:val="007703E1"/>
    <w:rsid w:val="00770B3F"/>
    <w:rsid w:val="00771430"/>
    <w:rsid w:val="007714A9"/>
    <w:rsid w:val="00774F88"/>
    <w:rsid w:val="00774FDB"/>
    <w:rsid w:val="00777BA2"/>
    <w:rsid w:val="00781408"/>
    <w:rsid w:val="00784F7F"/>
    <w:rsid w:val="007878BD"/>
    <w:rsid w:val="00796F25"/>
    <w:rsid w:val="007A2E98"/>
    <w:rsid w:val="007A3BA3"/>
    <w:rsid w:val="007A588C"/>
    <w:rsid w:val="007A6CC0"/>
    <w:rsid w:val="007A708B"/>
    <w:rsid w:val="007A7FEC"/>
    <w:rsid w:val="007B1499"/>
    <w:rsid w:val="007B1BBF"/>
    <w:rsid w:val="007B2960"/>
    <w:rsid w:val="007B355D"/>
    <w:rsid w:val="007B7980"/>
    <w:rsid w:val="007C000E"/>
    <w:rsid w:val="007C0DEF"/>
    <w:rsid w:val="007C1AF4"/>
    <w:rsid w:val="007C5D5A"/>
    <w:rsid w:val="007C607F"/>
    <w:rsid w:val="007C7113"/>
    <w:rsid w:val="007C7754"/>
    <w:rsid w:val="007C79DD"/>
    <w:rsid w:val="007D1A97"/>
    <w:rsid w:val="007D2CD6"/>
    <w:rsid w:val="007D3063"/>
    <w:rsid w:val="007D3CEB"/>
    <w:rsid w:val="007D559B"/>
    <w:rsid w:val="007E7683"/>
    <w:rsid w:val="007F2AC8"/>
    <w:rsid w:val="007F3F5C"/>
    <w:rsid w:val="007F49FA"/>
    <w:rsid w:val="007F4A18"/>
    <w:rsid w:val="007F54C4"/>
    <w:rsid w:val="007F6E9A"/>
    <w:rsid w:val="00800CCD"/>
    <w:rsid w:val="00801FEB"/>
    <w:rsid w:val="00802981"/>
    <w:rsid w:val="008044D4"/>
    <w:rsid w:val="008053EE"/>
    <w:rsid w:val="00806232"/>
    <w:rsid w:val="00810AB4"/>
    <w:rsid w:val="00814CB7"/>
    <w:rsid w:val="00817B56"/>
    <w:rsid w:val="00821A88"/>
    <w:rsid w:val="0082322E"/>
    <w:rsid w:val="0082495D"/>
    <w:rsid w:val="00831AC3"/>
    <w:rsid w:val="00831F14"/>
    <w:rsid w:val="0083303A"/>
    <w:rsid w:val="00836FCE"/>
    <w:rsid w:val="00837C6E"/>
    <w:rsid w:val="008408FF"/>
    <w:rsid w:val="00846504"/>
    <w:rsid w:val="00847D2D"/>
    <w:rsid w:val="008500E5"/>
    <w:rsid w:val="00850F6A"/>
    <w:rsid w:val="00851F3F"/>
    <w:rsid w:val="00856EDC"/>
    <w:rsid w:val="008623B5"/>
    <w:rsid w:val="00870ABA"/>
    <w:rsid w:val="008710E1"/>
    <w:rsid w:val="008716E5"/>
    <w:rsid w:val="0087203D"/>
    <w:rsid w:val="00873633"/>
    <w:rsid w:val="0087637D"/>
    <w:rsid w:val="00881CA9"/>
    <w:rsid w:val="00883628"/>
    <w:rsid w:val="00885544"/>
    <w:rsid w:val="00885B6E"/>
    <w:rsid w:val="0088634E"/>
    <w:rsid w:val="0089073E"/>
    <w:rsid w:val="008912E5"/>
    <w:rsid w:val="008914E9"/>
    <w:rsid w:val="00893AB8"/>
    <w:rsid w:val="008974CE"/>
    <w:rsid w:val="00897FA5"/>
    <w:rsid w:val="008A04C8"/>
    <w:rsid w:val="008A1412"/>
    <w:rsid w:val="008A4066"/>
    <w:rsid w:val="008A6913"/>
    <w:rsid w:val="008B5184"/>
    <w:rsid w:val="008B66E5"/>
    <w:rsid w:val="008B70F3"/>
    <w:rsid w:val="008B71C4"/>
    <w:rsid w:val="008B76DF"/>
    <w:rsid w:val="008C10F4"/>
    <w:rsid w:val="008C29F1"/>
    <w:rsid w:val="008C32E6"/>
    <w:rsid w:val="008C65F7"/>
    <w:rsid w:val="008D1580"/>
    <w:rsid w:val="008D7A63"/>
    <w:rsid w:val="008E0428"/>
    <w:rsid w:val="008E1CD3"/>
    <w:rsid w:val="008E4767"/>
    <w:rsid w:val="008E4FD0"/>
    <w:rsid w:val="008E5DB3"/>
    <w:rsid w:val="008E71F2"/>
    <w:rsid w:val="008E7A8C"/>
    <w:rsid w:val="008E7F64"/>
    <w:rsid w:val="008F0EDC"/>
    <w:rsid w:val="008F265F"/>
    <w:rsid w:val="0090203B"/>
    <w:rsid w:val="00903285"/>
    <w:rsid w:val="00906F40"/>
    <w:rsid w:val="0090731E"/>
    <w:rsid w:val="00915B1C"/>
    <w:rsid w:val="009174F3"/>
    <w:rsid w:val="0091797D"/>
    <w:rsid w:val="00923CBA"/>
    <w:rsid w:val="00926703"/>
    <w:rsid w:val="00926BCF"/>
    <w:rsid w:val="00927691"/>
    <w:rsid w:val="00927A12"/>
    <w:rsid w:val="00927A5F"/>
    <w:rsid w:val="00930510"/>
    <w:rsid w:val="009311FB"/>
    <w:rsid w:val="009325B4"/>
    <w:rsid w:val="00933058"/>
    <w:rsid w:val="009338C9"/>
    <w:rsid w:val="009358E6"/>
    <w:rsid w:val="00935B63"/>
    <w:rsid w:val="00936811"/>
    <w:rsid w:val="00936D38"/>
    <w:rsid w:val="00936E95"/>
    <w:rsid w:val="0094078F"/>
    <w:rsid w:val="00940FA3"/>
    <w:rsid w:val="00941FB0"/>
    <w:rsid w:val="009420F7"/>
    <w:rsid w:val="009426D4"/>
    <w:rsid w:val="00943635"/>
    <w:rsid w:val="0094507A"/>
    <w:rsid w:val="009454F5"/>
    <w:rsid w:val="00947F25"/>
    <w:rsid w:val="00950159"/>
    <w:rsid w:val="00952F02"/>
    <w:rsid w:val="0095490B"/>
    <w:rsid w:val="00960A33"/>
    <w:rsid w:val="00966D79"/>
    <w:rsid w:val="00970623"/>
    <w:rsid w:val="00971914"/>
    <w:rsid w:val="0097241D"/>
    <w:rsid w:val="00974045"/>
    <w:rsid w:val="00974363"/>
    <w:rsid w:val="00981898"/>
    <w:rsid w:val="0098460B"/>
    <w:rsid w:val="00991C5A"/>
    <w:rsid w:val="0099577C"/>
    <w:rsid w:val="009A021C"/>
    <w:rsid w:val="009A25CC"/>
    <w:rsid w:val="009A2BDC"/>
    <w:rsid w:val="009A4B32"/>
    <w:rsid w:val="009A705D"/>
    <w:rsid w:val="009B24A5"/>
    <w:rsid w:val="009B2601"/>
    <w:rsid w:val="009B4E9E"/>
    <w:rsid w:val="009C1690"/>
    <w:rsid w:val="009C18DD"/>
    <w:rsid w:val="009C2480"/>
    <w:rsid w:val="009C40BC"/>
    <w:rsid w:val="009C6881"/>
    <w:rsid w:val="009C7759"/>
    <w:rsid w:val="009D043D"/>
    <w:rsid w:val="009D07C8"/>
    <w:rsid w:val="009D4C85"/>
    <w:rsid w:val="009D6C71"/>
    <w:rsid w:val="009E0631"/>
    <w:rsid w:val="009E16D0"/>
    <w:rsid w:val="009E1FD9"/>
    <w:rsid w:val="009E2051"/>
    <w:rsid w:val="009E2DAF"/>
    <w:rsid w:val="009E38FD"/>
    <w:rsid w:val="009F13D6"/>
    <w:rsid w:val="009F46D4"/>
    <w:rsid w:val="009F4C6B"/>
    <w:rsid w:val="009F6819"/>
    <w:rsid w:val="009F78A8"/>
    <w:rsid w:val="00A017E0"/>
    <w:rsid w:val="00A025D0"/>
    <w:rsid w:val="00A02AD6"/>
    <w:rsid w:val="00A07096"/>
    <w:rsid w:val="00A07318"/>
    <w:rsid w:val="00A11370"/>
    <w:rsid w:val="00A20B28"/>
    <w:rsid w:val="00A224CE"/>
    <w:rsid w:val="00A22522"/>
    <w:rsid w:val="00A234CF"/>
    <w:rsid w:val="00A24AFD"/>
    <w:rsid w:val="00A24F5C"/>
    <w:rsid w:val="00A27EA3"/>
    <w:rsid w:val="00A32F96"/>
    <w:rsid w:val="00A3307A"/>
    <w:rsid w:val="00A35C36"/>
    <w:rsid w:val="00A40871"/>
    <w:rsid w:val="00A412AB"/>
    <w:rsid w:val="00A4193E"/>
    <w:rsid w:val="00A440E0"/>
    <w:rsid w:val="00A442EF"/>
    <w:rsid w:val="00A51D1A"/>
    <w:rsid w:val="00A5418D"/>
    <w:rsid w:val="00A5474E"/>
    <w:rsid w:val="00A61A01"/>
    <w:rsid w:val="00A628B0"/>
    <w:rsid w:val="00A64234"/>
    <w:rsid w:val="00A65DA8"/>
    <w:rsid w:val="00A70ADF"/>
    <w:rsid w:val="00A71466"/>
    <w:rsid w:val="00A74B5E"/>
    <w:rsid w:val="00A764BB"/>
    <w:rsid w:val="00A779D7"/>
    <w:rsid w:val="00A8110E"/>
    <w:rsid w:val="00A81853"/>
    <w:rsid w:val="00A81BED"/>
    <w:rsid w:val="00A81EC4"/>
    <w:rsid w:val="00A824E8"/>
    <w:rsid w:val="00A82661"/>
    <w:rsid w:val="00A85C35"/>
    <w:rsid w:val="00A86C63"/>
    <w:rsid w:val="00A86D87"/>
    <w:rsid w:val="00A9594D"/>
    <w:rsid w:val="00A967FD"/>
    <w:rsid w:val="00AA2DE5"/>
    <w:rsid w:val="00AA546C"/>
    <w:rsid w:val="00AB156C"/>
    <w:rsid w:val="00AB2786"/>
    <w:rsid w:val="00AB6814"/>
    <w:rsid w:val="00AC04BA"/>
    <w:rsid w:val="00AC0E39"/>
    <w:rsid w:val="00AC7773"/>
    <w:rsid w:val="00AD3082"/>
    <w:rsid w:val="00AD32B4"/>
    <w:rsid w:val="00AD4AD0"/>
    <w:rsid w:val="00AD5436"/>
    <w:rsid w:val="00AD60CD"/>
    <w:rsid w:val="00AD6C8C"/>
    <w:rsid w:val="00AD7A67"/>
    <w:rsid w:val="00AE091D"/>
    <w:rsid w:val="00AE11F6"/>
    <w:rsid w:val="00AE2D2F"/>
    <w:rsid w:val="00AE3B60"/>
    <w:rsid w:val="00AE53A1"/>
    <w:rsid w:val="00AF2484"/>
    <w:rsid w:val="00AF45DA"/>
    <w:rsid w:val="00AF63E7"/>
    <w:rsid w:val="00AF6E17"/>
    <w:rsid w:val="00B00AA8"/>
    <w:rsid w:val="00B0165D"/>
    <w:rsid w:val="00B01B60"/>
    <w:rsid w:val="00B031F3"/>
    <w:rsid w:val="00B04728"/>
    <w:rsid w:val="00B052A4"/>
    <w:rsid w:val="00B125DE"/>
    <w:rsid w:val="00B13FDD"/>
    <w:rsid w:val="00B2221F"/>
    <w:rsid w:val="00B22EB2"/>
    <w:rsid w:val="00B2440E"/>
    <w:rsid w:val="00B27442"/>
    <w:rsid w:val="00B31167"/>
    <w:rsid w:val="00B329D8"/>
    <w:rsid w:val="00B32BB9"/>
    <w:rsid w:val="00B32F3F"/>
    <w:rsid w:val="00B33AE1"/>
    <w:rsid w:val="00B37C38"/>
    <w:rsid w:val="00B4288C"/>
    <w:rsid w:val="00B43262"/>
    <w:rsid w:val="00B44100"/>
    <w:rsid w:val="00B46CBA"/>
    <w:rsid w:val="00B46F94"/>
    <w:rsid w:val="00B517A3"/>
    <w:rsid w:val="00B5475D"/>
    <w:rsid w:val="00B54C08"/>
    <w:rsid w:val="00B55C6E"/>
    <w:rsid w:val="00B6003C"/>
    <w:rsid w:val="00B61F03"/>
    <w:rsid w:val="00B626E4"/>
    <w:rsid w:val="00B63F8E"/>
    <w:rsid w:val="00B64FDF"/>
    <w:rsid w:val="00B651EC"/>
    <w:rsid w:val="00B66803"/>
    <w:rsid w:val="00B72F4A"/>
    <w:rsid w:val="00B83C27"/>
    <w:rsid w:val="00B84BC3"/>
    <w:rsid w:val="00B84BDD"/>
    <w:rsid w:val="00B91AC2"/>
    <w:rsid w:val="00B92812"/>
    <w:rsid w:val="00B933F5"/>
    <w:rsid w:val="00B95F45"/>
    <w:rsid w:val="00B974E1"/>
    <w:rsid w:val="00B97F21"/>
    <w:rsid w:val="00BA1665"/>
    <w:rsid w:val="00BA44B6"/>
    <w:rsid w:val="00BA66BC"/>
    <w:rsid w:val="00BA7E12"/>
    <w:rsid w:val="00BB053A"/>
    <w:rsid w:val="00BB1573"/>
    <w:rsid w:val="00BB2C2C"/>
    <w:rsid w:val="00BB45A1"/>
    <w:rsid w:val="00BB6335"/>
    <w:rsid w:val="00BB7686"/>
    <w:rsid w:val="00BB7802"/>
    <w:rsid w:val="00BC23F9"/>
    <w:rsid w:val="00BC3421"/>
    <w:rsid w:val="00BC732C"/>
    <w:rsid w:val="00BD12D2"/>
    <w:rsid w:val="00BD4421"/>
    <w:rsid w:val="00BE2580"/>
    <w:rsid w:val="00BE266D"/>
    <w:rsid w:val="00BE3938"/>
    <w:rsid w:val="00BE4C11"/>
    <w:rsid w:val="00BE71C0"/>
    <w:rsid w:val="00BF610C"/>
    <w:rsid w:val="00C002F3"/>
    <w:rsid w:val="00C0060B"/>
    <w:rsid w:val="00C0195E"/>
    <w:rsid w:val="00C01A6C"/>
    <w:rsid w:val="00C0277D"/>
    <w:rsid w:val="00C02F26"/>
    <w:rsid w:val="00C0365E"/>
    <w:rsid w:val="00C044F2"/>
    <w:rsid w:val="00C053A1"/>
    <w:rsid w:val="00C07963"/>
    <w:rsid w:val="00C13CA7"/>
    <w:rsid w:val="00C16198"/>
    <w:rsid w:val="00C2083D"/>
    <w:rsid w:val="00C23A6F"/>
    <w:rsid w:val="00C24466"/>
    <w:rsid w:val="00C24A53"/>
    <w:rsid w:val="00C3123F"/>
    <w:rsid w:val="00C34A05"/>
    <w:rsid w:val="00C35CCE"/>
    <w:rsid w:val="00C3786C"/>
    <w:rsid w:val="00C4032F"/>
    <w:rsid w:val="00C41F21"/>
    <w:rsid w:val="00C42370"/>
    <w:rsid w:val="00C44047"/>
    <w:rsid w:val="00C450A6"/>
    <w:rsid w:val="00C45155"/>
    <w:rsid w:val="00C523F3"/>
    <w:rsid w:val="00C5498F"/>
    <w:rsid w:val="00C55235"/>
    <w:rsid w:val="00C64920"/>
    <w:rsid w:val="00C64CD0"/>
    <w:rsid w:val="00C65928"/>
    <w:rsid w:val="00C65F61"/>
    <w:rsid w:val="00C6684F"/>
    <w:rsid w:val="00C70E70"/>
    <w:rsid w:val="00C744BE"/>
    <w:rsid w:val="00C75F8D"/>
    <w:rsid w:val="00C77380"/>
    <w:rsid w:val="00C827B6"/>
    <w:rsid w:val="00C8386B"/>
    <w:rsid w:val="00C859BD"/>
    <w:rsid w:val="00C86FD7"/>
    <w:rsid w:val="00C87313"/>
    <w:rsid w:val="00C87E8A"/>
    <w:rsid w:val="00C913D6"/>
    <w:rsid w:val="00C96D44"/>
    <w:rsid w:val="00C97736"/>
    <w:rsid w:val="00CA345A"/>
    <w:rsid w:val="00CA5B5B"/>
    <w:rsid w:val="00CB1A1D"/>
    <w:rsid w:val="00CB1CF8"/>
    <w:rsid w:val="00CB1E82"/>
    <w:rsid w:val="00CB453F"/>
    <w:rsid w:val="00CB4BA8"/>
    <w:rsid w:val="00CB52D7"/>
    <w:rsid w:val="00CC6732"/>
    <w:rsid w:val="00CC7205"/>
    <w:rsid w:val="00CD30E2"/>
    <w:rsid w:val="00CD6ACF"/>
    <w:rsid w:val="00CE3C96"/>
    <w:rsid w:val="00CE51A8"/>
    <w:rsid w:val="00CF0BFE"/>
    <w:rsid w:val="00CF172A"/>
    <w:rsid w:val="00CF1F0F"/>
    <w:rsid w:val="00CF369B"/>
    <w:rsid w:val="00CF3CEA"/>
    <w:rsid w:val="00CF4088"/>
    <w:rsid w:val="00D00E28"/>
    <w:rsid w:val="00D0269E"/>
    <w:rsid w:val="00D03276"/>
    <w:rsid w:val="00D03625"/>
    <w:rsid w:val="00D04A9D"/>
    <w:rsid w:val="00D05D6C"/>
    <w:rsid w:val="00D15810"/>
    <w:rsid w:val="00D16D4E"/>
    <w:rsid w:val="00D16FE3"/>
    <w:rsid w:val="00D177C1"/>
    <w:rsid w:val="00D24536"/>
    <w:rsid w:val="00D26209"/>
    <w:rsid w:val="00D27E2D"/>
    <w:rsid w:val="00D27F41"/>
    <w:rsid w:val="00D36441"/>
    <w:rsid w:val="00D4064E"/>
    <w:rsid w:val="00D43B47"/>
    <w:rsid w:val="00D44E9B"/>
    <w:rsid w:val="00D47AEB"/>
    <w:rsid w:val="00D50DB9"/>
    <w:rsid w:val="00D51302"/>
    <w:rsid w:val="00D52C43"/>
    <w:rsid w:val="00D61243"/>
    <w:rsid w:val="00D62E6C"/>
    <w:rsid w:val="00D6507F"/>
    <w:rsid w:val="00D65965"/>
    <w:rsid w:val="00D730BC"/>
    <w:rsid w:val="00D73912"/>
    <w:rsid w:val="00D755B5"/>
    <w:rsid w:val="00D76520"/>
    <w:rsid w:val="00D8010C"/>
    <w:rsid w:val="00D80FAA"/>
    <w:rsid w:val="00D84A58"/>
    <w:rsid w:val="00D85226"/>
    <w:rsid w:val="00D87B94"/>
    <w:rsid w:val="00D92D49"/>
    <w:rsid w:val="00D92EC1"/>
    <w:rsid w:val="00D959E3"/>
    <w:rsid w:val="00D96C25"/>
    <w:rsid w:val="00D96DEA"/>
    <w:rsid w:val="00DA12B1"/>
    <w:rsid w:val="00DA4E41"/>
    <w:rsid w:val="00DB117A"/>
    <w:rsid w:val="00DB1B7B"/>
    <w:rsid w:val="00DB2AF0"/>
    <w:rsid w:val="00DB5173"/>
    <w:rsid w:val="00DB7873"/>
    <w:rsid w:val="00DC09BB"/>
    <w:rsid w:val="00DC0E41"/>
    <w:rsid w:val="00DC187B"/>
    <w:rsid w:val="00DC19BE"/>
    <w:rsid w:val="00DC74D5"/>
    <w:rsid w:val="00DD1A43"/>
    <w:rsid w:val="00DD6837"/>
    <w:rsid w:val="00DD73C2"/>
    <w:rsid w:val="00DE319B"/>
    <w:rsid w:val="00DE5AF9"/>
    <w:rsid w:val="00DF34FE"/>
    <w:rsid w:val="00DF56AA"/>
    <w:rsid w:val="00DF56AF"/>
    <w:rsid w:val="00DF5EA5"/>
    <w:rsid w:val="00DF78E7"/>
    <w:rsid w:val="00E06B89"/>
    <w:rsid w:val="00E110E0"/>
    <w:rsid w:val="00E1168D"/>
    <w:rsid w:val="00E15371"/>
    <w:rsid w:val="00E162C4"/>
    <w:rsid w:val="00E20ECE"/>
    <w:rsid w:val="00E21056"/>
    <w:rsid w:val="00E21DBC"/>
    <w:rsid w:val="00E2257B"/>
    <w:rsid w:val="00E24104"/>
    <w:rsid w:val="00E302D0"/>
    <w:rsid w:val="00E315A4"/>
    <w:rsid w:val="00E33427"/>
    <w:rsid w:val="00E34583"/>
    <w:rsid w:val="00E35707"/>
    <w:rsid w:val="00E36AA1"/>
    <w:rsid w:val="00E37F16"/>
    <w:rsid w:val="00E40626"/>
    <w:rsid w:val="00E41ECB"/>
    <w:rsid w:val="00E42676"/>
    <w:rsid w:val="00E4675A"/>
    <w:rsid w:val="00E52AF0"/>
    <w:rsid w:val="00E5426D"/>
    <w:rsid w:val="00E54FDB"/>
    <w:rsid w:val="00E5617D"/>
    <w:rsid w:val="00E563D7"/>
    <w:rsid w:val="00E57148"/>
    <w:rsid w:val="00E663F4"/>
    <w:rsid w:val="00E666F2"/>
    <w:rsid w:val="00E66DD4"/>
    <w:rsid w:val="00E676BE"/>
    <w:rsid w:val="00E70C57"/>
    <w:rsid w:val="00E71872"/>
    <w:rsid w:val="00E7272D"/>
    <w:rsid w:val="00E748CC"/>
    <w:rsid w:val="00E74A43"/>
    <w:rsid w:val="00E74F15"/>
    <w:rsid w:val="00E75348"/>
    <w:rsid w:val="00E75415"/>
    <w:rsid w:val="00E775B1"/>
    <w:rsid w:val="00E77682"/>
    <w:rsid w:val="00E810A7"/>
    <w:rsid w:val="00E8152A"/>
    <w:rsid w:val="00E934DD"/>
    <w:rsid w:val="00E93629"/>
    <w:rsid w:val="00E93B5C"/>
    <w:rsid w:val="00E94971"/>
    <w:rsid w:val="00E94CEC"/>
    <w:rsid w:val="00E96BD5"/>
    <w:rsid w:val="00EA04EF"/>
    <w:rsid w:val="00EA0969"/>
    <w:rsid w:val="00EA1827"/>
    <w:rsid w:val="00EA4C39"/>
    <w:rsid w:val="00EA53C3"/>
    <w:rsid w:val="00EA6C79"/>
    <w:rsid w:val="00EA6F19"/>
    <w:rsid w:val="00EB0663"/>
    <w:rsid w:val="00EB637A"/>
    <w:rsid w:val="00EB7090"/>
    <w:rsid w:val="00EC0276"/>
    <w:rsid w:val="00EC1BBE"/>
    <w:rsid w:val="00EC26B1"/>
    <w:rsid w:val="00EC2B68"/>
    <w:rsid w:val="00EC3AEF"/>
    <w:rsid w:val="00EC5C94"/>
    <w:rsid w:val="00EC5CD7"/>
    <w:rsid w:val="00EC6E64"/>
    <w:rsid w:val="00EC77F1"/>
    <w:rsid w:val="00ED166C"/>
    <w:rsid w:val="00ED6CC9"/>
    <w:rsid w:val="00ED7275"/>
    <w:rsid w:val="00ED75A0"/>
    <w:rsid w:val="00EE52C0"/>
    <w:rsid w:val="00EE5FB3"/>
    <w:rsid w:val="00EE7F79"/>
    <w:rsid w:val="00EF1744"/>
    <w:rsid w:val="00EF37F0"/>
    <w:rsid w:val="00EF4C3B"/>
    <w:rsid w:val="00EF6755"/>
    <w:rsid w:val="00EF715A"/>
    <w:rsid w:val="00F06055"/>
    <w:rsid w:val="00F06E14"/>
    <w:rsid w:val="00F17035"/>
    <w:rsid w:val="00F179B4"/>
    <w:rsid w:val="00F179D4"/>
    <w:rsid w:val="00F22A23"/>
    <w:rsid w:val="00F248E2"/>
    <w:rsid w:val="00F24EED"/>
    <w:rsid w:val="00F33C56"/>
    <w:rsid w:val="00F347C7"/>
    <w:rsid w:val="00F34848"/>
    <w:rsid w:val="00F361D7"/>
    <w:rsid w:val="00F37AEC"/>
    <w:rsid w:val="00F42D46"/>
    <w:rsid w:val="00F4496C"/>
    <w:rsid w:val="00F44F3A"/>
    <w:rsid w:val="00F51F10"/>
    <w:rsid w:val="00F529A5"/>
    <w:rsid w:val="00F5310D"/>
    <w:rsid w:val="00F60F00"/>
    <w:rsid w:val="00F614C0"/>
    <w:rsid w:val="00F77DB8"/>
    <w:rsid w:val="00F83848"/>
    <w:rsid w:val="00F932CC"/>
    <w:rsid w:val="00F94109"/>
    <w:rsid w:val="00F975E9"/>
    <w:rsid w:val="00FA1B7D"/>
    <w:rsid w:val="00FA6001"/>
    <w:rsid w:val="00FB5658"/>
    <w:rsid w:val="00FB5F96"/>
    <w:rsid w:val="00FB6169"/>
    <w:rsid w:val="00FB6EA7"/>
    <w:rsid w:val="00FC07B9"/>
    <w:rsid w:val="00FC4E21"/>
    <w:rsid w:val="00FC54C3"/>
    <w:rsid w:val="00FC5F6D"/>
    <w:rsid w:val="00FD0107"/>
    <w:rsid w:val="00FD2C2F"/>
    <w:rsid w:val="00FD3B31"/>
    <w:rsid w:val="00FD799E"/>
    <w:rsid w:val="00FE1823"/>
    <w:rsid w:val="00FE487A"/>
    <w:rsid w:val="00FF0569"/>
    <w:rsid w:val="00FF206E"/>
    <w:rsid w:val="00FF3062"/>
    <w:rsid w:val="00FF3C69"/>
    <w:rsid w:val="00FF6AD5"/>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78F0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uiPriority w:val="99"/>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uiPriority w:val="99"/>
    <w:semiHidden/>
    <w:rsid w:val="00566AB4"/>
    <w:rPr>
      <w:rFonts w:ascii="Arial" w:hAnsi="Arial"/>
      <w:vertAlign w:val="superscript"/>
    </w:rPr>
  </w:style>
  <w:style w:type="paragraph" w:styleId="FootnoteText">
    <w:name w:val="footnote text"/>
    <w:aliases w:val="Footnote text"/>
    <w:basedOn w:val="Normal"/>
    <w:link w:val="FootnoteTextChar"/>
    <w:uiPriority w:val="99"/>
    <w:rsid w:val="00C24466"/>
    <w:pPr>
      <w:spacing w:after="0" w:line="200" w:lineRule="atLeast"/>
    </w:pPr>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3803B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paragraph" w:customStyle="1" w:styleId="TableHeading0">
    <w:name w:val="Table Heading"/>
    <w:basedOn w:val="Normal"/>
    <w:qFormat/>
    <w:rsid w:val="00DA12B1"/>
    <w:pPr>
      <w:spacing w:after="0"/>
    </w:pPr>
    <w:rPr>
      <w:b/>
    </w:rPr>
  </w:style>
  <w:style w:type="paragraph" w:customStyle="1" w:styleId="ACMASpaceaftertable">
    <w:name w:val="ACMA_Space after table"/>
    <w:basedOn w:val="Normal"/>
    <w:qFormat/>
    <w:rsid w:val="00DA12B1"/>
    <w:rPr>
      <w:rFonts w:cs="Arial"/>
    </w:rPr>
  </w:style>
  <w:style w:type="paragraph" w:styleId="ListParagraph">
    <w:name w:val="List Paragraph"/>
    <w:aliases w:val="List Paragraph1,Recommendation,ACMA_ListParagraph,List Paragraph11,bullet point list,L,CV text,Dot pt,F5 List Paragraph,No Spacing1,List Paragraph Char Char Char,Indicator Text,Numbered Para 1,List Paragraph12,Bullet Points,MAIN CONTENT"/>
    <w:basedOn w:val="Normal"/>
    <w:link w:val="ListParagraphChar"/>
    <w:uiPriority w:val="34"/>
    <w:qFormat/>
    <w:rsid w:val="0094507A"/>
    <w:pPr>
      <w:ind w:left="720"/>
      <w:contextualSpacing/>
    </w:pPr>
  </w:style>
  <w:style w:type="paragraph" w:customStyle="1" w:styleId="subsection">
    <w:name w:val="subsection"/>
    <w:aliases w:val="ss"/>
    <w:basedOn w:val="Normal"/>
    <w:link w:val="subsectionChar"/>
    <w:rsid w:val="006819F3"/>
    <w:pPr>
      <w:tabs>
        <w:tab w:val="right" w:pos="1021"/>
      </w:tabs>
      <w:spacing w:before="180" w:after="0" w:line="240" w:lineRule="auto"/>
      <w:ind w:left="1134" w:hanging="1134"/>
    </w:pPr>
    <w:rPr>
      <w:rFonts w:ascii="Times New Roman" w:hAnsi="Times New Roman"/>
      <w:sz w:val="22"/>
      <w:szCs w:val="20"/>
    </w:rPr>
  </w:style>
  <w:style w:type="character" w:customStyle="1" w:styleId="subsectionChar">
    <w:name w:val="subsection Char"/>
    <w:aliases w:val="ss Char"/>
    <w:basedOn w:val="DefaultParagraphFont"/>
    <w:link w:val="subsection"/>
    <w:locked/>
    <w:rsid w:val="006819F3"/>
    <w:rPr>
      <w:sz w:val="22"/>
      <w:szCs w:val="20"/>
    </w:rPr>
  </w:style>
  <w:style w:type="paragraph" w:customStyle="1" w:styleId="notetext">
    <w:name w:val="note(text)"/>
    <w:aliases w:val="n"/>
    <w:basedOn w:val="Normal"/>
    <w:link w:val="notetextChar"/>
    <w:rsid w:val="006819F3"/>
    <w:pPr>
      <w:spacing w:before="122" w:after="0" w:line="198" w:lineRule="exact"/>
      <w:ind w:left="1985" w:hanging="851"/>
    </w:pPr>
    <w:rPr>
      <w:rFonts w:ascii="Times New Roman" w:hAnsi="Times New Roman"/>
      <w:sz w:val="18"/>
      <w:szCs w:val="20"/>
    </w:rPr>
  </w:style>
  <w:style w:type="character" w:customStyle="1" w:styleId="notetextChar">
    <w:name w:val="note(text) Char"/>
    <w:aliases w:val="n Char"/>
    <w:basedOn w:val="DefaultParagraphFont"/>
    <w:link w:val="notetext"/>
    <w:rsid w:val="006819F3"/>
    <w:rPr>
      <w:sz w:val="18"/>
      <w:szCs w:val="20"/>
    </w:rPr>
  </w:style>
  <w:style w:type="character" w:customStyle="1" w:styleId="ListParagraphChar">
    <w:name w:val="List Paragraph Char"/>
    <w:aliases w:val="List Paragraph1 Char,Recommendation Char,ACMA_ListParagraph Char,List Paragraph11 Char,bullet point list Char,L Char,CV text Char,Dot pt Char,F5 List Paragraph Char,No Spacing1 Char,List Paragraph Char Char Char Char"/>
    <w:basedOn w:val="DefaultParagraphFont"/>
    <w:link w:val="ListParagraph"/>
    <w:uiPriority w:val="34"/>
    <w:locked/>
    <w:rsid w:val="002C30AD"/>
    <w:rPr>
      <w:rFonts w:ascii="Arial" w:hAnsi="Arial"/>
      <w:sz w:val="20"/>
    </w:rPr>
  </w:style>
  <w:style w:type="character" w:customStyle="1" w:styleId="normaltextrun">
    <w:name w:val="normaltextrun"/>
    <w:basedOn w:val="DefaultParagraphFont"/>
    <w:rsid w:val="002C30AD"/>
  </w:style>
  <w:style w:type="character" w:customStyle="1" w:styleId="FootnoteTextChar">
    <w:name w:val="Footnote Text Char"/>
    <w:aliases w:val="Footnote text Char"/>
    <w:basedOn w:val="DefaultParagraphFont"/>
    <w:link w:val="FootnoteText"/>
    <w:uiPriority w:val="99"/>
    <w:locked/>
    <w:rsid w:val="003B28F6"/>
    <w:rPr>
      <w:rFonts w:ascii="Arial" w:hAnsi="Arial"/>
      <w:sz w:val="16"/>
      <w:szCs w:val="16"/>
    </w:rPr>
  </w:style>
  <w:style w:type="character" w:customStyle="1" w:styleId="cf01">
    <w:name w:val="cf01"/>
    <w:basedOn w:val="DefaultParagraphFont"/>
    <w:rsid w:val="00CB453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88504">
      <w:bodyDiv w:val="1"/>
      <w:marLeft w:val="0"/>
      <w:marRight w:val="0"/>
      <w:marTop w:val="0"/>
      <w:marBottom w:val="0"/>
      <w:divBdr>
        <w:top w:val="none" w:sz="0" w:space="0" w:color="auto"/>
        <w:left w:val="none" w:sz="0" w:space="0" w:color="auto"/>
        <w:bottom w:val="none" w:sz="0" w:space="0" w:color="auto"/>
        <w:right w:val="none" w:sz="0" w:space="0" w:color="auto"/>
      </w:divBdr>
    </w:div>
    <w:div w:id="257761708">
      <w:bodyDiv w:val="1"/>
      <w:marLeft w:val="0"/>
      <w:marRight w:val="0"/>
      <w:marTop w:val="0"/>
      <w:marBottom w:val="0"/>
      <w:divBdr>
        <w:top w:val="none" w:sz="0" w:space="0" w:color="auto"/>
        <w:left w:val="none" w:sz="0" w:space="0" w:color="auto"/>
        <w:bottom w:val="none" w:sz="0" w:space="0" w:color="auto"/>
        <w:right w:val="none" w:sz="0" w:space="0" w:color="auto"/>
      </w:divBdr>
    </w:div>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349600645">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038890272">
      <w:bodyDiv w:val="1"/>
      <w:marLeft w:val="0"/>
      <w:marRight w:val="0"/>
      <w:marTop w:val="0"/>
      <w:marBottom w:val="0"/>
      <w:divBdr>
        <w:top w:val="none" w:sz="0" w:space="0" w:color="auto"/>
        <w:left w:val="none" w:sz="0" w:space="0" w:color="auto"/>
        <w:bottom w:val="none" w:sz="0" w:space="0" w:color="auto"/>
        <w:right w:val="none" w:sz="0" w:space="0" w:color="auto"/>
      </w:divBdr>
    </w:div>
    <w:div w:id="1319306180">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59591251">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2085911698">
      <w:bodyDiv w:val="1"/>
      <w:marLeft w:val="0"/>
      <w:marRight w:val="0"/>
      <w:marTop w:val="0"/>
      <w:marBottom w:val="0"/>
      <w:divBdr>
        <w:top w:val="none" w:sz="0" w:space="0" w:color="auto"/>
        <w:left w:val="none" w:sz="0" w:space="0" w:color="auto"/>
        <w:bottom w:val="none" w:sz="0" w:space="0" w:color="auto"/>
        <w:right w:val="none" w:sz="0" w:space="0" w:color="auto"/>
      </w:divBdr>
    </w:div>
    <w:div w:id="212429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consumer-consultative-forum" TargetMode="External"/><Relationship Id="rId39" Type="http://schemas.openxmlformats.org/officeDocument/2006/relationships/hyperlink" Target="mailto:telcoperformanceregulation@acma.gov.au" TargetMode="External"/><Relationship Id="rId21" Type="http://schemas.openxmlformats.org/officeDocument/2006/relationships/footer" Target="footer4.xml"/><Relationship Id="rId34" Type="http://schemas.openxmlformats.org/officeDocument/2006/relationships/hyperlink" Target="https://www.acma.gov.au/sites/default/files/2022-05/Consumer%20vulnerability_statement%20of%20expectations%20for%20telcos_0.pdf" TargetMode="External"/><Relationship Id="rId42" Type="http://schemas.openxmlformats.org/officeDocument/2006/relationships/header" Target="header7.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www.legislation.gov.au/Details/F2023L011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acma.gov.au/financial-hardship-telco-sector-keeping-customer-connected" TargetMode="External"/><Relationship Id="rId32" Type="http://schemas.openxmlformats.org/officeDocument/2006/relationships/hyperlink" Target="https://www.acma.gov.au/financial-hardship-telco-sector-keeping-customer-connected" TargetMode="External"/><Relationship Id="rId37" Type="http://schemas.openxmlformats.org/officeDocument/2006/relationships/hyperlink" Target="https://www.acma.gov.au/publications/2023-05/report/telco-financial-hardship-quantitative-and-qualitative-research" TargetMode="External"/><Relationship Id="rId40" Type="http://schemas.openxmlformats.org/officeDocument/2006/relationships/hyperlink" Target="https://www.acma.gov.au/publication-submissions" TargetMode="Externa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acma.gov.au/sites/default/files/2022-05/Consumer%20vulnerability_statement%20of%20expectations%20for%20telcos_0.pdf" TargetMode="External"/><Relationship Id="rId36" Type="http://schemas.openxmlformats.org/officeDocument/2006/relationships/hyperlink" Target="https://www.acma.gov.au/financial-hardship-telco-sector-keeping-customer-connected"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www.commsalliance.com.au/__data/assets/pdf_file/0011/64784/TCP-C628_2019-incorporating-variation-no.1-2022.pdf" TargetMode="External"/><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commsalliance.com.au/__data/assets/pdf_file/0011/64784/TCP-C628_2019-incorporating-variation-no.1-2022.pdf" TargetMode="External"/><Relationship Id="rId30" Type="http://schemas.openxmlformats.org/officeDocument/2006/relationships/hyperlink" Target="https://www.legislation.gov.au/Details/F2021C00265" TargetMode="External"/><Relationship Id="rId35" Type="http://schemas.openxmlformats.org/officeDocument/2006/relationships/hyperlink" Target="https://www.acma.gov.au/what-consumers-want-consumer-expectations-telecommunications-safeguards" TargetMode="External"/><Relationship Id="rId43" Type="http://schemas.openxmlformats.org/officeDocument/2006/relationships/header" Target="header8.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publications/2023-05/report/telco-financial-hardship-quantitative-and-qualitative-research" TargetMode="External"/><Relationship Id="rId33" Type="http://schemas.openxmlformats.org/officeDocument/2006/relationships/hyperlink" Target="https://www.acma.gov.au/publications/2023-05/report/telco-financial-hardship-quantitative-and-qualitative-research" TargetMode="External"/><Relationship Id="rId38" Type="http://schemas.openxmlformats.org/officeDocument/2006/relationships/hyperlink" Target="https://www.acma.gov.au/have-your-say" TargetMode="External"/><Relationship Id="rId46"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yperlink" Target="https://www.acma.gov.au/privacy-policy"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cma.gov.au/financial-hardship-telco-sector-keeping-customer-connected" TargetMode="External"/><Relationship Id="rId13" Type="http://schemas.openxmlformats.org/officeDocument/2006/relationships/hyperlink" Target="https://www.acma.gov.au/articles/2023-07/eight-telcos-breach-consumer-protection-rules" TargetMode="External"/><Relationship Id="rId18" Type="http://schemas.openxmlformats.org/officeDocument/2006/relationships/hyperlink" Target="https://www.acma.gov.au/publications/2021-02/report/customer-financial-hardship-telco-industry-state-play-report-2019-20" TargetMode="External"/><Relationship Id="rId3" Type="http://schemas.openxmlformats.org/officeDocument/2006/relationships/hyperlink" Target="https://www.acma.gov.au/sites/default/files/2023-04/Financial%20hardship%20in%20the%20telco%20sector_Keeping%20the%20customer%20connected.pdf" TargetMode="External"/><Relationship Id="rId7" Type="http://schemas.openxmlformats.org/officeDocument/2006/relationships/hyperlink" Target="https://www.abs.gov.au/statistics/economy/price-indexes-and-inflation/consumer-price-index-australia/jun-quarter-2023" TargetMode="External"/><Relationship Id="rId12" Type="http://schemas.openxmlformats.org/officeDocument/2006/relationships/hyperlink" Target="https://www.tio.com.au/reports/time-change-three-years-systemic-investigations-review" TargetMode="External"/><Relationship Id="rId17" Type="http://schemas.openxmlformats.org/officeDocument/2006/relationships/hyperlink" Target="https://www.acma.gov.au/financial-hardship-telco-sector-keeping-customer-connected" TargetMode="External"/><Relationship Id="rId2" Type="http://schemas.openxmlformats.org/officeDocument/2006/relationships/hyperlink" Target="https://www.acma.gov.au/sites/default/files/2023-06/Consumers%20experiences%20with%20telco%20financial%20hardship_qualitative%20research.pdf" TargetMode="External"/><Relationship Id="rId16" Type="http://schemas.openxmlformats.org/officeDocument/2006/relationships/hyperlink" Target="https://www.roymorgan.com/findings/9193-risk-monitor-telco-most-distrusted-industry-2023" TargetMode="External"/><Relationship Id="rId20" Type="http://schemas.openxmlformats.org/officeDocument/2006/relationships/hyperlink" Target="https://www.acma.gov.au/articles/2022-11/telstra-breaches-credit-management-rules-financial-hardship-customers" TargetMode="External"/><Relationship Id="rId1" Type="http://schemas.openxmlformats.org/officeDocument/2006/relationships/hyperlink" Target="https://www.legislation.gov.au/Details/F2023L01188" TargetMode="External"/><Relationship Id="rId6" Type="http://schemas.openxmlformats.org/officeDocument/2006/relationships/hyperlink" Target="https://www.tio.com.au/reports/investigating-complaints-about-essential-mobile-services" TargetMode="External"/><Relationship Id="rId11" Type="http://schemas.openxmlformats.org/officeDocument/2006/relationships/hyperlink" Target="https://www.acma.gov.au/financial-hardship-telco-sector-keeping-customer-connected" TargetMode="External"/><Relationship Id="rId5" Type="http://schemas.openxmlformats.org/officeDocument/2006/relationships/hyperlink" Target="https://accan.org.au/our-work/research/1805-still-waiting-cost-wait-times-for-telecommunications-consumers" TargetMode="External"/><Relationship Id="rId15" Type="http://schemas.openxmlformats.org/officeDocument/2006/relationships/hyperlink" Target="https://cprc.org.au/consumer-insights-series-sector-scorecard/" TargetMode="External"/><Relationship Id="rId10" Type="http://schemas.openxmlformats.org/officeDocument/2006/relationships/hyperlink" Target="https://www.acma.gov.au/financial-hardship-telco-sector-keeping-customer-connected" TargetMode="External"/><Relationship Id="rId19" Type="http://schemas.openxmlformats.org/officeDocument/2006/relationships/hyperlink" Target="https://www.financialcounsellingaustralia.org.au/fca-content/uploads/2021/04/Telcos-and-Financial-Hardship-Feedback-from-the-Frontline-Final.pdf" TargetMode="External"/><Relationship Id="rId4" Type="http://schemas.openxmlformats.org/officeDocument/2006/relationships/hyperlink" Target="https://www.acma.gov.au/sites/default/files/2020-10/Telco%20consumer%20experience_Australian%20adults%20and%20households.pdf" TargetMode="External"/><Relationship Id="rId9" Type="http://schemas.openxmlformats.org/officeDocument/2006/relationships/hyperlink" Target="https://www.acma.gov.au/financial-hardship-telco-sector-keeping-customer-connected" TargetMode="External"/><Relationship Id="rId14" Type="http://schemas.openxmlformats.org/officeDocument/2006/relationships/hyperlink" Target="https://accan.org.au/accans-work/research/2121-direct-debit-in-telecommuni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3214</Words>
  <Characters>18710</Characters>
  <Application>Microsoft Office Word</Application>
  <DocSecurity>0</DocSecurity>
  <Lines>389</Lines>
  <Paragraphs>185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2023-10-20T04:10:00Z</dcterms:created>
  <dcterms:modified xsi:type="dcterms:W3CDTF">2023-10-20T04:10:00Z</dcterms:modified>
  <cp:category/>
</cp:coreProperties>
</file>