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645B" w14:textId="520192D4" w:rsidR="00BE459D" w:rsidRDefault="00B30A6C" w:rsidP="0033104B">
      <w:pPr>
        <w:pStyle w:val="ACMAHeading1"/>
        <w:spacing w:before="960" w:after="240"/>
      </w:pPr>
      <w:r w:rsidRPr="008C5F65">
        <w:t xml:space="preserve">Investigation </w:t>
      </w:r>
      <w:r w:rsidR="00A57BFB">
        <w:t>re</w:t>
      </w:r>
      <w:r w:rsidRPr="008C5F65">
        <w:t xml:space="preserve">port </w:t>
      </w:r>
      <w:r w:rsidR="0079419E" w:rsidRPr="008C5F65">
        <w:t>n</w:t>
      </w:r>
      <w:r w:rsidRPr="008C5F65">
        <w:t xml:space="preserve">o. </w:t>
      </w:r>
      <w:r w:rsidR="00EF41B0" w:rsidRPr="008C5F65">
        <w:rPr>
          <w:rStyle w:val="Emphasis"/>
          <w:i w:val="0"/>
        </w:rPr>
        <w:t>BI-</w:t>
      </w:r>
      <w:r w:rsidR="008C5F65" w:rsidRPr="008C5F65">
        <w:rPr>
          <w:rStyle w:val="Emphasis"/>
          <w:i w:val="0"/>
        </w:rPr>
        <w:t>659</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3289"/>
        <w:gridCol w:w="5047"/>
      </w:tblGrid>
      <w:tr w:rsidR="005E47E5" w14:paraId="721244EE" w14:textId="77777777" w:rsidTr="00422BA0">
        <w:trPr>
          <w:cnfStyle w:val="100000000000" w:firstRow="1" w:lastRow="0" w:firstColumn="0" w:lastColumn="0" w:oddVBand="0" w:evenVBand="0" w:oddHBand="0" w:evenHBand="0" w:firstRowFirstColumn="0" w:firstRowLastColumn="0" w:lastRowFirstColumn="0" w:lastRowLastColumn="0"/>
          <w:tblHeader/>
        </w:trPr>
        <w:tc>
          <w:tcPr>
            <w:tcW w:w="3289" w:type="dxa"/>
          </w:tcPr>
          <w:p w14:paraId="6F529FF8" w14:textId="77777777" w:rsidR="005E47E5" w:rsidRPr="0033104B" w:rsidRDefault="003E08A5" w:rsidP="0033104B">
            <w:pPr>
              <w:pStyle w:val="ACMATableHeading"/>
            </w:pPr>
            <w:bookmarkStart w:id="0" w:name="ColumnTitle"/>
            <w:r w:rsidRPr="0033104B">
              <w:t>Summary</w:t>
            </w:r>
          </w:p>
        </w:tc>
        <w:tc>
          <w:tcPr>
            <w:tcW w:w="5047" w:type="dxa"/>
          </w:tcPr>
          <w:p w14:paraId="4FCFCDAD" w14:textId="77777777" w:rsidR="005E47E5" w:rsidRPr="00B261EE" w:rsidRDefault="005E47E5" w:rsidP="00CC369B">
            <w:pPr>
              <w:pStyle w:val="ACMATableHeading"/>
            </w:pPr>
          </w:p>
        </w:tc>
      </w:tr>
      <w:bookmarkEnd w:id="0"/>
      <w:tr w:rsidR="005E47E5" w14:paraId="7737E83A" w14:textId="77777777" w:rsidTr="00422BA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41EB4B8F" w14:textId="7F790480" w:rsidR="005E47E5" w:rsidRPr="0033104B" w:rsidRDefault="00422BA0" w:rsidP="0033104B">
            <w:pPr>
              <w:pStyle w:val="ACMATableBody"/>
              <w:rPr>
                <w:b/>
              </w:rPr>
            </w:pPr>
            <w:r w:rsidRPr="0002773D">
              <w:rPr>
                <w:b/>
              </w:rPr>
              <w:t>Online content service provider</w:t>
            </w:r>
          </w:p>
        </w:tc>
        <w:tc>
          <w:tcPr>
            <w:tcW w:w="5047" w:type="dxa"/>
            <w:tcBorders>
              <w:top w:val="single" w:sz="4" w:space="0" w:color="auto"/>
              <w:left w:val="single" w:sz="4" w:space="0" w:color="auto"/>
              <w:bottom w:val="single" w:sz="4" w:space="0" w:color="auto"/>
            </w:tcBorders>
            <w:shd w:val="clear" w:color="auto" w:fill="auto"/>
          </w:tcPr>
          <w:p w14:paraId="7ABE7268" w14:textId="46A5DB56" w:rsidR="005E47E5" w:rsidRPr="00FA5377" w:rsidRDefault="00BE160B" w:rsidP="0033104B">
            <w:pPr>
              <w:pStyle w:val="ACMATableBody"/>
              <w:rPr>
                <w:rFonts w:cs="Arial"/>
                <w:highlight w:val="yellow"/>
              </w:rPr>
            </w:pPr>
            <w:r w:rsidRPr="00FA5377">
              <w:rPr>
                <w:rFonts w:cs="Arial"/>
              </w:rPr>
              <w:t xml:space="preserve">Seven Network (Operations) Limited </w:t>
            </w:r>
          </w:p>
        </w:tc>
      </w:tr>
      <w:tr w:rsidR="008F0EBB" w14:paraId="6E77EA1B" w14:textId="77777777" w:rsidTr="00422BA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0CB3E715" w14:textId="4DDAE279" w:rsidR="008F0EBB" w:rsidRDefault="00422BA0" w:rsidP="0033104B">
            <w:pPr>
              <w:pStyle w:val="ACMATableBody"/>
              <w:rPr>
                <w:b/>
                <w:highlight w:val="yellow"/>
              </w:rPr>
            </w:pPr>
            <w:r w:rsidRPr="00F92297">
              <w:rPr>
                <w:b/>
              </w:rPr>
              <w:t>Service</w:t>
            </w:r>
            <w:r w:rsidR="006A20D8">
              <w:rPr>
                <w:b/>
              </w:rPr>
              <w:t xml:space="preserve"> [type]</w:t>
            </w:r>
          </w:p>
        </w:tc>
        <w:tc>
          <w:tcPr>
            <w:tcW w:w="5047" w:type="dxa"/>
            <w:tcBorders>
              <w:top w:val="single" w:sz="4" w:space="0" w:color="auto"/>
              <w:left w:val="single" w:sz="4" w:space="0" w:color="auto"/>
              <w:bottom w:val="single" w:sz="4" w:space="0" w:color="auto"/>
            </w:tcBorders>
            <w:shd w:val="clear" w:color="auto" w:fill="auto"/>
          </w:tcPr>
          <w:p w14:paraId="6CB4C860" w14:textId="6CF0E36B" w:rsidR="008F0EBB" w:rsidRPr="00FA5377" w:rsidRDefault="00F92297" w:rsidP="0033104B">
            <w:pPr>
              <w:pStyle w:val="ACMATableBody"/>
              <w:rPr>
                <w:rFonts w:cs="Arial"/>
              </w:rPr>
            </w:pPr>
            <w:r w:rsidRPr="00FA5377">
              <w:rPr>
                <w:rFonts w:cs="Arial"/>
              </w:rPr>
              <w:t>7plus</w:t>
            </w:r>
          </w:p>
        </w:tc>
      </w:tr>
      <w:tr w:rsidR="0011748C" w14:paraId="3FCF5155" w14:textId="77777777" w:rsidTr="00D23E7A">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583CD5EC" w14:textId="5FED16FE" w:rsidR="0011748C" w:rsidRPr="00F92297" w:rsidRDefault="0011748C" w:rsidP="0011748C">
            <w:pPr>
              <w:pStyle w:val="ACMATableBody"/>
              <w:rPr>
                <w:b/>
              </w:rPr>
            </w:pPr>
            <w:r w:rsidRPr="0002773D">
              <w:rPr>
                <w:b/>
              </w:rPr>
              <w:t>Type of service</w:t>
            </w:r>
          </w:p>
        </w:tc>
        <w:tc>
          <w:tcPr>
            <w:tcW w:w="5047" w:type="dxa"/>
            <w:tcBorders>
              <w:top w:val="single" w:sz="4" w:space="0" w:color="auto"/>
              <w:left w:val="single" w:sz="4" w:space="0" w:color="auto"/>
              <w:bottom w:val="single" w:sz="4" w:space="0" w:color="auto"/>
            </w:tcBorders>
            <w:shd w:val="clear" w:color="auto" w:fill="auto"/>
          </w:tcPr>
          <w:p w14:paraId="30E7986D" w14:textId="44D16E18" w:rsidR="0011748C" w:rsidRPr="00FA5377" w:rsidRDefault="007E12C3" w:rsidP="0011748C">
            <w:pPr>
              <w:pStyle w:val="ACMATableBody"/>
              <w:rPr>
                <w:rFonts w:cs="Arial"/>
              </w:rPr>
            </w:pPr>
            <w:r w:rsidRPr="00FA5377">
              <w:rPr>
                <w:rFonts w:cs="Arial"/>
              </w:rPr>
              <w:t>Online content service (audio-visual)</w:t>
            </w:r>
          </w:p>
        </w:tc>
      </w:tr>
      <w:tr w:rsidR="0011748C" w14:paraId="57709074" w14:textId="77777777" w:rsidTr="00D23E7A">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2082CBB1" w14:textId="05C79535" w:rsidR="0011748C" w:rsidRPr="00F92297" w:rsidRDefault="0011748C" w:rsidP="0011748C">
            <w:pPr>
              <w:pStyle w:val="ACMATableBody"/>
              <w:rPr>
                <w:b/>
              </w:rPr>
            </w:pPr>
            <w:r>
              <w:rPr>
                <w:b/>
              </w:rPr>
              <w:t>L</w:t>
            </w:r>
            <w:r w:rsidRPr="0002773D">
              <w:rPr>
                <w:b/>
              </w:rPr>
              <w:t>ive sporting event</w:t>
            </w:r>
            <w:r>
              <w:rPr>
                <w:b/>
              </w:rPr>
              <w:t xml:space="preserve"> </w:t>
            </w:r>
          </w:p>
        </w:tc>
        <w:tc>
          <w:tcPr>
            <w:tcW w:w="5047" w:type="dxa"/>
            <w:tcBorders>
              <w:top w:val="single" w:sz="4" w:space="0" w:color="auto"/>
              <w:left w:val="single" w:sz="4" w:space="0" w:color="auto"/>
              <w:bottom w:val="single" w:sz="4" w:space="0" w:color="auto"/>
            </w:tcBorders>
            <w:shd w:val="clear" w:color="auto" w:fill="auto"/>
          </w:tcPr>
          <w:p w14:paraId="54CCFF72" w14:textId="655255F7" w:rsidR="0011748C" w:rsidRPr="00FA5377" w:rsidRDefault="00A06935" w:rsidP="0011748C">
            <w:pPr>
              <w:pStyle w:val="ACMATableBody"/>
              <w:rPr>
                <w:rFonts w:cs="Arial"/>
                <w:i/>
                <w:iCs/>
              </w:rPr>
            </w:pPr>
            <w:r w:rsidRPr="00FA5377">
              <w:rPr>
                <w:rFonts w:cs="Arial"/>
                <w:i/>
                <w:iCs/>
              </w:rPr>
              <w:t>NFL (National Football League - American Football</w:t>
            </w:r>
            <w:r w:rsidR="007014FE" w:rsidRPr="00FA5377">
              <w:rPr>
                <w:rFonts w:cs="Arial"/>
                <w:i/>
                <w:iCs/>
              </w:rPr>
              <w:t xml:space="preserve">: </w:t>
            </w:r>
            <w:r w:rsidR="00C654DF" w:rsidRPr="00FA5377">
              <w:rPr>
                <w:rFonts w:cs="Arial"/>
                <w:i/>
                <w:iCs/>
              </w:rPr>
              <w:t xml:space="preserve"> </w:t>
            </w:r>
            <w:r w:rsidR="007014FE" w:rsidRPr="00FA5377">
              <w:rPr>
                <w:rFonts w:cs="Arial"/>
                <w:i/>
                <w:iCs/>
              </w:rPr>
              <w:t>Seahawks vs Panthers</w:t>
            </w:r>
            <w:r w:rsidR="002717BD" w:rsidRPr="00FA5377">
              <w:rPr>
                <w:rFonts w:cs="Arial"/>
                <w:i/>
                <w:iCs/>
              </w:rPr>
              <w:t>)</w:t>
            </w:r>
          </w:p>
        </w:tc>
      </w:tr>
      <w:tr w:rsidR="000A2012" w14:paraId="7D500B2F" w14:textId="77777777" w:rsidTr="00112818">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7644CE39" w14:textId="78989F6A" w:rsidR="000A2012" w:rsidRDefault="000A2012" w:rsidP="000A2012">
            <w:pPr>
              <w:pStyle w:val="ACMATableBody"/>
              <w:rPr>
                <w:b/>
              </w:rPr>
            </w:pPr>
            <w:r w:rsidRPr="0002773D">
              <w:rPr>
                <w:b/>
              </w:rPr>
              <w:t>Date</w:t>
            </w:r>
            <w:r>
              <w:rPr>
                <w:b/>
              </w:rPr>
              <w:t>s</w:t>
            </w:r>
            <w:r w:rsidRPr="0002773D">
              <w:rPr>
                <w:b/>
              </w:rPr>
              <w:t xml:space="preserve"> of stream</w:t>
            </w:r>
          </w:p>
        </w:tc>
        <w:tc>
          <w:tcPr>
            <w:tcW w:w="5047" w:type="dxa"/>
            <w:tcBorders>
              <w:top w:val="single" w:sz="4" w:space="0" w:color="auto"/>
              <w:left w:val="single" w:sz="4" w:space="0" w:color="auto"/>
              <w:bottom w:val="single" w:sz="4" w:space="0" w:color="auto"/>
            </w:tcBorders>
            <w:shd w:val="clear" w:color="auto" w:fill="auto"/>
          </w:tcPr>
          <w:p w14:paraId="48A8584B" w14:textId="7A1695D4" w:rsidR="000A2012" w:rsidRPr="00FA5377" w:rsidRDefault="00104E24" w:rsidP="000A2012">
            <w:pPr>
              <w:pStyle w:val="ACMATableBody"/>
              <w:rPr>
                <w:rFonts w:cs="Arial"/>
                <w:iCs/>
              </w:rPr>
            </w:pPr>
            <w:r w:rsidRPr="00FA5377">
              <w:rPr>
                <w:rFonts w:cs="Arial"/>
                <w:iCs/>
                <w:lang w:eastAsia="en-AU"/>
              </w:rPr>
              <w:t>12 December 2022</w:t>
            </w:r>
          </w:p>
        </w:tc>
      </w:tr>
      <w:tr w:rsidR="005F4490" w:rsidRPr="005F4490" w14:paraId="23573D46" w14:textId="77777777" w:rsidTr="005F449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633FB37C" w14:textId="7CCA9830" w:rsidR="005F4490" w:rsidRPr="005F4490" w:rsidRDefault="005F4490" w:rsidP="000A2012">
            <w:pPr>
              <w:pStyle w:val="ACMATableBody"/>
              <w:rPr>
                <w:b/>
              </w:rPr>
            </w:pPr>
            <w:r w:rsidRPr="005F4490">
              <w:rPr>
                <w:b/>
              </w:rPr>
              <w:t>Date finalised</w:t>
            </w:r>
          </w:p>
        </w:tc>
        <w:tc>
          <w:tcPr>
            <w:tcW w:w="5047" w:type="dxa"/>
            <w:tcBorders>
              <w:top w:val="single" w:sz="4" w:space="0" w:color="auto"/>
              <w:left w:val="single" w:sz="4" w:space="0" w:color="auto"/>
              <w:bottom w:val="single" w:sz="4" w:space="0" w:color="auto"/>
            </w:tcBorders>
            <w:shd w:val="clear" w:color="auto" w:fill="auto"/>
          </w:tcPr>
          <w:p w14:paraId="1DD584E0" w14:textId="5766320D" w:rsidR="005F4490" w:rsidRPr="005F4490" w:rsidRDefault="005F4490" w:rsidP="000A2012">
            <w:pPr>
              <w:pStyle w:val="ACMATableBody"/>
              <w:rPr>
                <w:bCs/>
              </w:rPr>
            </w:pPr>
            <w:r w:rsidRPr="005F4490">
              <w:rPr>
                <w:bCs/>
              </w:rPr>
              <w:t>13 June 2023</w:t>
            </w:r>
          </w:p>
        </w:tc>
      </w:tr>
      <w:tr w:rsidR="00FA4DD3" w14:paraId="4415D665" w14:textId="77777777" w:rsidTr="00422BA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6631CB41" w14:textId="2DF13DF1" w:rsidR="00FA4DD3" w:rsidRPr="0033104B" w:rsidRDefault="00FA4DD3" w:rsidP="00FA4DD3">
            <w:pPr>
              <w:pStyle w:val="ACMATableBody"/>
              <w:rPr>
                <w:b/>
              </w:rPr>
            </w:pPr>
            <w:r w:rsidRPr="0002773D">
              <w:rPr>
                <w:b/>
              </w:rPr>
              <w:t xml:space="preserve">Relevant legislation </w:t>
            </w:r>
          </w:p>
        </w:tc>
        <w:tc>
          <w:tcPr>
            <w:tcW w:w="5047" w:type="dxa"/>
            <w:tcBorders>
              <w:top w:val="single" w:sz="4" w:space="0" w:color="auto"/>
              <w:left w:val="single" w:sz="4" w:space="0" w:color="auto"/>
              <w:bottom w:val="single" w:sz="4" w:space="0" w:color="auto"/>
            </w:tcBorders>
            <w:shd w:val="clear" w:color="auto" w:fill="auto"/>
          </w:tcPr>
          <w:p w14:paraId="6BE27D76" w14:textId="069A8F30" w:rsidR="00FA4DD3" w:rsidRPr="00FA5377" w:rsidRDefault="00FA4DD3" w:rsidP="00FA4DD3">
            <w:pPr>
              <w:pStyle w:val="ACMATableBody"/>
              <w:rPr>
                <w:rFonts w:cs="Arial"/>
                <w:iCs/>
              </w:rPr>
            </w:pPr>
            <w:r w:rsidRPr="00FA5377">
              <w:rPr>
                <w:rFonts w:cs="Arial"/>
                <w:i/>
              </w:rPr>
              <w:t>Broadcasting Services Act 1992</w:t>
            </w:r>
            <w:r w:rsidRPr="00FA5377">
              <w:rPr>
                <w:rFonts w:cs="Arial"/>
                <w:iCs/>
              </w:rPr>
              <w:t xml:space="preserve"> </w:t>
            </w:r>
            <w:r w:rsidR="008C35F0" w:rsidRPr="00FA5377">
              <w:rPr>
                <w:rFonts w:cs="Arial"/>
                <w:iCs/>
              </w:rPr>
              <w:t xml:space="preserve">(the </w:t>
            </w:r>
            <w:r w:rsidR="008C35F0" w:rsidRPr="00FA5377">
              <w:rPr>
                <w:rFonts w:cs="Arial"/>
                <w:b/>
                <w:bCs/>
                <w:iCs/>
              </w:rPr>
              <w:t>BSA</w:t>
            </w:r>
            <w:r w:rsidR="008C35F0" w:rsidRPr="00FA5377">
              <w:rPr>
                <w:rFonts w:cs="Arial"/>
                <w:iCs/>
              </w:rPr>
              <w:t>)</w:t>
            </w:r>
          </w:p>
          <w:p w14:paraId="1F4F6657" w14:textId="489C08DF" w:rsidR="00FA4DD3" w:rsidRPr="00FA5377" w:rsidRDefault="00FA4DD3" w:rsidP="00FA4DD3">
            <w:pPr>
              <w:pStyle w:val="ACMATableBody"/>
              <w:rPr>
                <w:rFonts w:cs="Arial"/>
                <w:iCs/>
              </w:rPr>
            </w:pPr>
            <w:r w:rsidRPr="00FA5377">
              <w:rPr>
                <w:rFonts w:cs="Arial"/>
                <w:i/>
              </w:rPr>
              <w:t>Broadcasting Services (Online Content Service Provider Rules) 2018</w:t>
            </w:r>
            <w:r w:rsidRPr="00FA5377">
              <w:rPr>
                <w:rFonts w:cs="Arial"/>
                <w:iCs/>
              </w:rPr>
              <w:t xml:space="preserve"> </w:t>
            </w:r>
            <w:r w:rsidR="008C35F0" w:rsidRPr="00FA5377">
              <w:rPr>
                <w:rFonts w:cs="Arial"/>
                <w:iCs/>
              </w:rPr>
              <w:t xml:space="preserve">(the </w:t>
            </w:r>
            <w:r w:rsidR="008C35F0" w:rsidRPr="00FA5377">
              <w:rPr>
                <w:rFonts w:cs="Arial"/>
                <w:b/>
                <w:bCs/>
                <w:iCs/>
              </w:rPr>
              <w:t>Online Rules</w:t>
            </w:r>
            <w:r w:rsidR="008C35F0" w:rsidRPr="00FA5377">
              <w:rPr>
                <w:rFonts w:cs="Arial"/>
                <w:iCs/>
              </w:rPr>
              <w:t>)</w:t>
            </w:r>
          </w:p>
        </w:tc>
      </w:tr>
      <w:tr w:rsidR="00FA4DD3" w14:paraId="04039452" w14:textId="77777777" w:rsidTr="00422BA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05494A37" w14:textId="7827EEBD" w:rsidR="00FA4DD3" w:rsidRPr="0033104B" w:rsidRDefault="00673F57" w:rsidP="00FA4DD3">
            <w:pPr>
              <w:pStyle w:val="ACMATableBody"/>
              <w:rPr>
                <w:b/>
              </w:rPr>
            </w:pPr>
            <w:r>
              <w:rPr>
                <w:b/>
              </w:rPr>
              <w:t>F</w:t>
            </w:r>
            <w:r w:rsidR="00FA4DD3" w:rsidRPr="0002773D">
              <w:rPr>
                <w:b/>
              </w:rPr>
              <w:t>indings</w:t>
            </w:r>
          </w:p>
        </w:tc>
        <w:tc>
          <w:tcPr>
            <w:tcW w:w="5047" w:type="dxa"/>
            <w:tcBorders>
              <w:top w:val="single" w:sz="4" w:space="0" w:color="auto"/>
              <w:left w:val="single" w:sz="4" w:space="0" w:color="auto"/>
              <w:bottom w:val="single" w:sz="4" w:space="0" w:color="auto"/>
            </w:tcBorders>
            <w:shd w:val="clear" w:color="auto" w:fill="auto"/>
          </w:tcPr>
          <w:p w14:paraId="0DFDFC67" w14:textId="6C389D25" w:rsidR="00480081" w:rsidRPr="00FA5377" w:rsidRDefault="00480081" w:rsidP="00480081">
            <w:pPr>
              <w:pStyle w:val="ACMATableBody"/>
              <w:rPr>
                <w:rFonts w:cs="Arial"/>
              </w:rPr>
            </w:pPr>
            <w:r w:rsidRPr="00FA5377">
              <w:rPr>
                <w:rFonts w:cs="Arial"/>
              </w:rPr>
              <w:t xml:space="preserve">Contravention of section 12 of the Online Rules and consequently, a contravention of </w:t>
            </w:r>
            <w:r w:rsidR="00C02EA8">
              <w:rPr>
                <w:rFonts w:cs="Arial"/>
              </w:rPr>
              <w:t>subclause</w:t>
            </w:r>
            <w:r w:rsidR="00C02EA8" w:rsidRPr="00FA5377">
              <w:rPr>
                <w:rFonts w:cs="Arial"/>
              </w:rPr>
              <w:t xml:space="preserve"> </w:t>
            </w:r>
            <w:r w:rsidRPr="00FA5377">
              <w:rPr>
                <w:rFonts w:cs="Arial"/>
              </w:rPr>
              <w:t xml:space="preserve">25(1) of Schedule 8 to the BSA </w:t>
            </w:r>
          </w:p>
          <w:p w14:paraId="67B0C85D" w14:textId="63C8BD34" w:rsidR="00FA4DD3" w:rsidRPr="00FA5377" w:rsidRDefault="00480081" w:rsidP="00480081">
            <w:pPr>
              <w:pStyle w:val="ACMATableBody"/>
              <w:rPr>
                <w:rFonts w:cs="Arial"/>
                <w:iCs/>
                <w:highlight w:val="yellow"/>
              </w:rPr>
            </w:pPr>
            <w:r w:rsidRPr="00FA5377">
              <w:rPr>
                <w:rFonts w:cs="Arial"/>
                <w:iCs/>
              </w:rPr>
              <w:t xml:space="preserve">No contravention of subsection 21(1) </w:t>
            </w:r>
            <w:r w:rsidRPr="00FA5377">
              <w:rPr>
                <w:rFonts w:cs="Arial"/>
              </w:rPr>
              <w:t>of the Online Rules</w:t>
            </w:r>
          </w:p>
        </w:tc>
      </w:tr>
      <w:tr w:rsidR="000A2012" w14:paraId="5886100E" w14:textId="08DB9DF3" w:rsidTr="00422BA0">
        <w:trPr>
          <w:cnfStyle w:val="100000000000" w:firstRow="1" w:lastRow="0" w:firstColumn="0" w:lastColumn="0" w:oddVBand="0" w:evenVBand="0" w:oddHBand="0" w:evenHBand="0" w:firstRowFirstColumn="0" w:firstRowLastColumn="0" w:lastRowFirstColumn="0" w:lastRowLastColumn="0"/>
          <w:tblHeader/>
        </w:trPr>
        <w:tc>
          <w:tcPr>
            <w:tcW w:w="3289" w:type="dxa"/>
            <w:tcBorders>
              <w:top w:val="single" w:sz="4" w:space="0" w:color="auto"/>
              <w:bottom w:val="single" w:sz="4" w:space="0" w:color="auto"/>
              <w:right w:val="single" w:sz="4" w:space="0" w:color="auto"/>
            </w:tcBorders>
            <w:shd w:val="clear" w:color="auto" w:fill="auto"/>
          </w:tcPr>
          <w:p w14:paraId="7DF3FD8E" w14:textId="35A30535" w:rsidR="000A2012" w:rsidRPr="002B0CC4" w:rsidRDefault="000A2012" w:rsidP="000A2012">
            <w:pPr>
              <w:pStyle w:val="ACMATableBody"/>
              <w:rPr>
                <w:b/>
              </w:rPr>
            </w:pPr>
            <w:r w:rsidRPr="002B0CC4">
              <w:rPr>
                <w:b/>
              </w:rPr>
              <w:t>Attachments</w:t>
            </w:r>
          </w:p>
        </w:tc>
        <w:tc>
          <w:tcPr>
            <w:tcW w:w="5047" w:type="dxa"/>
            <w:tcBorders>
              <w:top w:val="single" w:sz="4" w:space="0" w:color="auto"/>
              <w:left w:val="single" w:sz="4" w:space="0" w:color="auto"/>
              <w:bottom w:val="single" w:sz="4" w:space="0" w:color="auto"/>
            </w:tcBorders>
            <w:shd w:val="clear" w:color="auto" w:fill="auto"/>
          </w:tcPr>
          <w:p w14:paraId="14533E34" w14:textId="5D2CC2E3" w:rsidR="000A2012" w:rsidRPr="002B0CC4" w:rsidRDefault="000A2012" w:rsidP="00855B0B">
            <w:pPr>
              <w:pStyle w:val="ACMABodyText"/>
              <w:spacing w:before="40" w:after="120" w:line="280" w:lineRule="atLeast"/>
              <w:rPr>
                <w:i/>
              </w:rPr>
            </w:pPr>
            <w:r w:rsidRPr="002B0CC4">
              <w:rPr>
                <w:b/>
                <w:bCs/>
              </w:rPr>
              <w:t>A</w:t>
            </w:r>
            <w:r w:rsidRPr="002B0CC4">
              <w:t xml:space="preserve"> – relevant</w:t>
            </w:r>
            <w:r w:rsidRPr="002B0CC4">
              <w:rPr>
                <w:bCs/>
              </w:rPr>
              <w:t xml:space="preserve"> provisions </w:t>
            </w:r>
            <w:permStart w:id="244537690" w:edGrp="everyone"/>
            <w:permEnd w:id="244537690"/>
          </w:p>
        </w:tc>
      </w:tr>
    </w:tbl>
    <w:p w14:paraId="5F906631" w14:textId="77777777" w:rsidR="001C6546" w:rsidRPr="00972DB3" w:rsidRDefault="00D668E3" w:rsidP="00972DB3">
      <w:pPr>
        <w:pStyle w:val="ACMABodyText"/>
        <w:rPr>
          <w:rFonts w:eastAsiaTheme="minorHAnsi"/>
          <w:i/>
        </w:rPr>
      </w:pPr>
      <w:r>
        <w:br w:type="page"/>
      </w:r>
    </w:p>
    <w:p w14:paraId="41AD43B0" w14:textId="77777777" w:rsidR="001C6546" w:rsidRPr="007A7C97" w:rsidRDefault="007B047A" w:rsidP="001C6546">
      <w:pPr>
        <w:pStyle w:val="ACMAHeading2"/>
      </w:pPr>
      <w:r>
        <w:lastRenderedPageBreak/>
        <w:t>Background</w:t>
      </w:r>
    </w:p>
    <w:p w14:paraId="17FE76EB" w14:textId="4A3E59E8" w:rsidR="00CF6785" w:rsidRDefault="00CF6785" w:rsidP="00CF6785">
      <w:pPr>
        <w:pStyle w:val="ACMABodyText"/>
      </w:pPr>
      <w:r>
        <w:t>In February 2023, the Australian Communications and Media Authority (</w:t>
      </w:r>
      <w:r w:rsidRPr="0021787E">
        <w:t>the</w:t>
      </w:r>
      <w:r w:rsidRPr="00C94734">
        <w:rPr>
          <w:b/>
          <w:bCs/>
        </w:rPr>
        <w:t xml:space="preserve"> ACMA</w:t>
      </w:r>
      <w:r>
        <w:t xml:space="preserve">) commenced an investigation </w:t>
      </w:r>
      <w:r w:rsidR="00177993">
        <w:t xml:space="preserve">under the BSA </w:t>
      </w:r>
      <w:r>
        <w:t xml:space="preserve">into </w:t>
      </w:r>
      <w:r w:rsidR="00F367E6" w:rsidRPr="00BE160B">
        <w:t>Seven Network (Operations) Limited</w:t>
      </w:r>
      <w:r w:rsidR="00D32171">
        <w:t>’s</w:t>
      </w:r>
      <w:r w:rsidR="00F367E6">
        <w:t xml:space="preserve"> (</w:t>
      </w:r>
      <w:r w:rsidR="008966AA" w:rsidRPr="008966AA">
        <w:rPr>
          <w:b/>
          <w:bCs/>
        </w:rPr>
        <w:t>Seven</w:t>
      </w:r>
      <w:r w:rsidR="008966AA">
        <w:t>)</w:t>
      </w:r>
      <w:r w:rsidR="009A6AF1">
        <w:t xml:space="preserve"> </w:t>
      </w:r>
      <w:r>
        <w:t xml:space="preserve">compliance with the </w:t>
      </w:r>
      <w:r w:rsidRPr="00E42F29">
        <w:t>Online Rules</w:t>
      </w:r>
      <w:r w:rsidR="00E42F29">
        <w:t xml:space="preserve">. </w:t>
      </w:r>
      <w:r>
        <w:t xml:space="preserve">The investigation concerns </w:t>
      </w:r>
      <w:r w:rsidR="009F30C5">
        <w:t>the</w:t>
      </w:r>
      <w:r w:rsidR="008966AA">
        <w:t xml:space="preserve"> live </w:t>
      </w:r>
      <w:r w:rsidR="009D7223">
        <w:t xml:space="preserve">coverage </w:t>
      </w:r>
      <w:r w:rsidR="001C4339">
        <w:t xml:space="preserve">of the </w:t>
      </w:r>
      <w:r w:rsidR="003C7188">
        <w:t xml:space="preserve">NFL American Football game between the </w:t>
      </w:r>
      <w:r w:rsidR="00BD5C1B" w:rsidRPr="003450DD">
        <w:rPr>
          <w:i/>
          <w:iCs/>
        </w:rPr>
        <w:t xml:space="preserve">Seattle </w:t>
      </w:r>
      <w:r w:rsidR="003C7188" w:rsidRPr="003450DD">
        <w:rPr>
          <w:i/>
          <w:iCs/>
        </w:rPr>
        <w:t xml:space="preserve">Seahawks </w:t>
      </w:r>
      <w:r w:rsidR="003C7188" w:rsidRPr="00394B9C">
        <w:t>and</w:t>
      </w:r>
      <w:r w:rsidR="007A265F">
        <w:t xml:space="preserve"> the</w:t>
      </w:r>
      <w:r w:rsidR="003C7188" w:rsidRPr="003450DD">
        <w:rPr>
          <w:i/>
          <w:iCs/>
        </w:rPr>
        <w:t xml:space="preserve"> </w:t>
      </w:r>
      <w:r w:rsidR="003450DD" w:rsidRPr="003450DD">
        <w:rPr>
          <w:i/>
          <w:iCs/>
        </w:rPr>
        <w:t xml:space="preserve">Carolina </w:t>
      </w:r>
      <w:r w:rsidR="003C7188" w:rsidRPr="003450DD">
        <w:rPr>
          <w:i/>
          <w:iCs/>
        </w:rPr>
        <w:t>Panthers</w:t>
      </w:r>
      <w:r w:rsidR="003C7188">
        <w:t xml:space="preserve"> </w:t>
      </w:r>
      <w:r w:rsidR="003122DA">
        <w:t>(</w:t>
      </w:r>
      <w:r w:rsidR="003122DA" w:rsidRPr="003C7188">
        <w:rPr>
          <w:b/>
          <w:bCs/>
        </w:rPr>
        <w:t>NFL Game</w:t>
      </w:r>
      <w:r w:rsidR="003122DA">
        <w:t>)</w:t>
      </w:r>
      <w:r w:rsidR="003122DA" w:rsidRPr="00671C68">
        <w:rPr>
          <w:i/>
          <w:iCs/>
        </w:rPr>
        <w:t xml:space="preserve"> </w:t>
      </w:r>
      <w:r w:rsidR="003C7188">
        <w:t>streamed on the 7</w:t>
      </w:r>
      <w:r w:rsidR="00822E26">
        <w:t>p</w:t>
      </w:r>
      <w:r w:rsidR="003C7188">
        <w:t xml:space="preserve">lus </w:t>
      </w:r>
      <w:r w:rsidR="00E73DDE">
        <w:t>online content service</w:t>
      </w:r>
      <w:r w:rsidR="003C7188">
        <w:t xml:space="preserve"> </w:t>
      </w:r>
      <w:r w:rsidR="009F6491">
        <w:t>(</w:t>
      </w:r>
      <w:r w:rsidR="009F6491" w:rsidRPr="00A729D5">
        <w:rPr>
          <w:b/>
          <w:bCs/>
        </w:rPr>
        <w:t>7plus</w:t>
      </w:r>
      <w:r w:rsidR="009F6491">
        <w:t xml:space="preserve">) </w:t>
      </w:r>
      <w:r w:rsidR="003C7188">
        <w:t>on 12 December 2022</w:t>
      </w:r>
      <w:r w:rsidR="00A729D5">
        <w:t>.</w:t>
      </w:r>
      <w:r w:rsidR="00822E26">
        <w:t xml:space="preserve"> </w:t>
      </w:r>
    </w:p>
    <w:p w14:paraId="4E8C84C1" w14:textId="766EDDC3" w:rsidR="006162E4" w:rsidRPr="00A729D5" w:rsidRDefault="00205CDE" w:rsidP="00F03742">
      <w:pPr>
        <w:pStyle w:val="ACMABodyText"/>
      </w:pPr>
      <w:r w:rsidRPr="00A729D5">
        <w:t xml:space="preserve">The </w:t>
      </w:r>
      <w:r w:rsidR="00213AFF" w:rsidRPr="00A729D5">
        <w:t>ACMA received a complaint alleging</w:t>
      </w:r>
      <w:r w:rsidR="00F03742" w:rsidRPr="00A729D5">
        <w:t xml:space="preserve"> </w:t>
      </w:r>
      <w:r w:rsidR="00A729D5">
        <w:t xml:space="preserve">that </w:t>
      </w:r>
      <w:r w:rsidR="00A37605">
        <w:t xml:space="preserve">a </w:t>
      </w:r>
      <w:r w:rsidR="00DF2EDF" w:rsidRPr="00A729D5">
        <w:t xml:space="preserve">gambling </w:t>
      </w:r>
      <w:r w:rsidR="00436068">
        <w:t>advertisement</w:t>
      </w:r>
      <w:r w:rsidR="00DF2EDF" w:rsidRPr="00A729D5">
        <w:t xml:space="preserve"> was streamed during the third quarter of the NFL Game</w:t>
      </w:r>
      <w:r w:rsidR="006F1383" w:rsidRPr="00A729D5">
        <w:t xml:space="preserve"> at 10:38 am (AE</w:t>
      </w:r>
      <w:r w:rsidR="00D32171">
        <w:t>D</w:t>
      </w:r>
      <w:r w:rsidR="006F1383" w:rsidRPr="00A729D5">
        <w:t>T)</w:t>
      </w:r>
      <w:r w:rsidR="006A666B" w:rsidRPr="00A729D5">
        <w:t>.</w:t>
      </w:r>
      <w:r w:rsidR="009849A1" w:rsidRPr="00A729D5">
        <w:t xml:space="preserve"> The complainant </w:t>
      </w:r>
      <w:r w:rsidR="00C267D7">
        <w:t xml:space="preserve">was </w:t>
      </w:r>
      <w:r w:rsidR="009849A1" w:rsidRPr="00A729D5">
        <w:t>located in Sydney, NSW.</w:t>
      </w:r>
    </w:p>
    <w:p w14:paraId="4B2D6BBF" w14:textId="29B38CF7" w:rsidR="00A94981" w:rsidRPr="000020C0" w:rsidRDefault="00A94981" w:rsidP="000020C0">
      <w:pPr>
        <w:pStyle w:val="ACMAHeading2"/>
      </w:pPr>
      <w:r w:rsidRPr="000020C0">
        <w:t>Assessment</w:t>
      </w:r>
    </w:p>
    <w:p w14:paraId="7AAC50AD" w14:textId="2A85E5A7" w:rsidR="001C722C" w:rsidRDefault="0043039A" w:rsidP="001642FC">
      <w:pPr>
        <w:pStyle w:val="ACMABodyText"/>
        <w:rPr>
          <w:iCs/>
        </w:rPr>
      </w:pPr>
      <w:r>
        <w:rPr>
          <w:iCs/>
        </w:rPr>
        <w:t>An online content service provider must comply with t</w:t>
      </w:r>
      <w:r w:rsidR="00BA5950">
        <w:rPr>
          <w:iCs/>
        </w:rPr>
        <w:t xml:space="preserve">he </w:t>
      </w:r>
      <w:r w:rsidR="001642FC" w:rsidRPr="001642FC">
        <w:rPr>
          <w:iCs/>
        </w:rPr>
        <w:t>Online Rules</w:t>
      </w:r>
      <w:r w:rsidR="000744DD">
        <w:rPr>
          <w:iCs/>
        </w:rPr>
        <w:t>.</w:t>
      </w:r>
      <w:r w:rsidR="001C722C">
        <w:rPr>
          <w:rStyle w:val="FootnoteReference"/>
          <w:iCs/>
        </w:rPr>
        <w:footnoteReference w:id="2"/>
      </w:r>
      <w:r w:rsidR="001C722C">
        <w:rPr>
          <w:iCs/>
        </w:rPr>
        <w:t xml:space="preserve"> </w:t>
      </w:r>
      <w:r w:rsidR="001C722C">
        <w:rPr>
          <w:iCs/>
          <w:lang w:eastAsia="en-AU"/>
        </w:rPr>
        <w:t xml:space="preserve">For the purposes of this investigation, Seven is an online content service provider. </w:t>
      </w:r>
    </w:p>
    <w:p w14:paraId="1A3076E6" w14:textId="54AC34C1" w:rsidR="00A57CF0" w:rsidRPr="00C93864" w:rsidRDefault="008134E6" w:rsidP="00A30580">
      <w:pPr>
        <w:pStyle w:val="ACMABodyText"/>
      </w:pPr>
      <w:r w:rsidRPr="00A30580">
        <w:rPr>
          <w:iCs/>
          <w:lang w:eastAsia="en-AU"/>
        </w:rPr>
        <w:t>T</w:t>
      </w:r>
      <w:r w:rsidR="00C93864" w:rsidRPr="00A30580">
        <w:rPr>
          <w:iCs/>
          <w:lang w:eastAsia="en-AU"/>
        </w:rPr>
        <w:t>he ACMA investigated Seven’s compliance with the Online Rules</w:t>
      </w:r>
      <w:r w:rsidR="00A30580">
        <w:rPr>
          <w:iCs/>
          <w:lang w:eastAsia="en-AU"/>
        </w:rPr>
        <w:t xml:space="preserve">, </w:t>
      </w:r>
      <w:r w:rsidR="00C93864" w:rsidRPr="00A30580">
        <w:rPr>
          <w:iCs/>
          <w:lang w:eastAsia="en-AU"/>
        </w:rPr>
        <w:t xml:space="preserve">as </w:t>
      </w:r>
      <w:r w:rsidR="00FA6EAC" w:rsidRPr="00A30580">
        <w:rPr>
          <w:iCs/>
          <w:lang w:eastAsia="en-AU"/>
        </w:rPr>
        <w:t xml:space="preserve">the </w:t>
      </w:r>
      <w:r w:rsidR="00C93864" w:rsidRPr="00A30580">
        <w:rPr>
          <w:iCs/>
          <w:lang w:eastAsia="en-AU"/>
        </w:rPr>
        <w:t xml:space="preserve">online content service provider of </w:t>
      </w:r>
      <w:r w:rsidR="00FA6EAC" w:rsidRPr="00A30580">
        <w:rPr>
          <w:iCs/>
          <w:lang w:eastAsia="en-AU"/>
        </w:rPr>
        <w:t xml:space="preserve">the </w:t>
      </w:r>
      <w:r w:rsidR="00A2217C" w:rsidRPr="00A30580">
        <w:rPr>
          <w:iCs/>
          <w:lang w:eastAsia="en-AU"/>
        </w:rPr>
        <w:t>online content service</w:t>
      </w:r>
      <w:r w:rsidR="00573BE5" w:rsidRPr="00A30580">
        <w:rPr>
          <w:iCs/>
          <w:lang w:eastAsia="en-AU"/>
        </w:rPr>
        <w:t xml:space="preserve"> </w:t>
      </w:r>
      <w:r w:rsidR="005A100E">
        <w:rPr>
          <w:iCs/>
          <w:lang w:eastAsia="en-AU"/>
        </w:rPr>
        <w:t xml:space="preserve">was </w:t>
      </w:r>
      <w:r w:rsidR="00573BE5" w:rsidRPr="00A30580">
        <w:rPr>
          <w:iCs/>
          <w:lang w:eastAsia="en-AU"/>
        </w:rPr>
        <w:t>7plus</w:t>
      </w:r>
      <w:r w:rsidR="00A30580">
        <w:rPr>
          <w:iCs/>
          <w:lang w:eastAsia="en-AU"/>
        </w:rPr>
        <w:t>.</w:t>
      </w:r>
      <w:r w:rsidR="00A30580">
        <w:rPr>
          <w:rStyle w:val="FootnoteReference"/>
          <w:iCs/>
          <w:lang w:eastAsia="en-AU"/>
        </w:rPr>
        <w:footnoteReference w:id="3"/>
      </w:r>
    </w:p>
    <w:p w14:paraId="57901C7D" w14:textId="5FB5CA4E" w:rsidR="00324E7C" w:rsidRDefault="00A94981" w:rsidP="0037116C">
      <w:pPr>
        <w:pStyle w:val="ACMATableBody"/>
        <w:spacing w:after="240" w:line="240" w:lineRule="atLeast"/>
      </w:pPr>
      <w:r w:rsidRPr="00574333">
        <w:t>The ACMA</w:t>
      </w:r>
      <w:r w:rsidR="00116789">
        <w:t xml:space="preserve"> </w:t>
      </w:r>
      <w:r w:rsidRPr="00574333">
        <w:t xml:space="preserve">investigated whether </w:t>
      </w:r>
      <w:r w:rsidR="00116789">
        <w:t>an</w:t>
      </w:r>
      <w:r w:rsidRPr="00574333">
        <w:t xml:space="preserve"> advertisement</w:t>
      </w:r>
      <w:r w:rsidR="00316180">
        <w:t xml:space="preserve"> s</w:t>
      </w:r>
      <w:r w:rsidR="00602FBF">
        <w:t>hown</w:t>
      </w:r>
      <w:r w:rsidR="00316180">
        <w:t xml:space="preserve"> during the NFL Game</w:t>
      </w:r>
      <w:r w:rsidR="00D7138C">
        <w:t xml:space="preserve"> streamed on 7plus,</w:t>
      </w:r>
      <w:r w:rsidRPr="00574333">
        <w:t xml:space="preserve"> </w:t>
      </w:r>
      <w:r w:rsidR="004B0DEF">
        <w:t xml:space="preserve">was </w:t>
      </w:r>
      <w:r w:rsidRPr="00574333">
        <w:t>‘gambling promotional content’</w:t>
      </w:r>
      <w:r w:rsidR="00A30580">
        <w:t>,</w:t>
      </w:r>
      <w:r w:rsidR="00A30580">
        <w:rPr>
          <w:rStyle w:val="FootnoteReference"/>
        </w:rPr>
        <w:footnoteReference w:id="4"/>
      </w:r>
      <w:r w:rsidR="00324E7C" w:rsidRPr="00AF518B">
        <w:rPr>
          <w:snapToGrid w:val="0"/>
        </w:rPr>
        <w:t xml:space="preserve"> and if so, whether </w:t>
      </w:r>
      <w:r w:rsidR="00025EDD">
        <w:rPr>
          <w:snapToGrid w:val="0"/>
        </w:rPr>
        <w:t>the advertisement was</w:t>
      </w:r>
      <w:r w:rsidR="00324E7C" w:rsidRPr="00AF518B">
        <w:t xml:space="preserve"> provided at </w:t>
      </w:r>
      <w:r w:rsidR="00025EDD">
        <w:t xml:space="preserve">a </w:t>
      </w:r>
      <w:r w:rsidR="00324E7C" w:rsidRPr="00AF518B">
        <w:t xml:space="preserve">prohibited time, </w:t>
      </w:r>
      <w:r w:rsidR="00324E7C">
        <w:t>in contravention of section 12 of the Online Rules (</w:t>
      </w:r>
      <w:r w:rsidR="00324E7C" w:rsidRPr="008F50CA">
        <w:rPr>
          <w:b/>
          <w:bCs/>
        </w:rPr>
        <w:t>Issue 1</w:t>
      </w:r>
      <w:r w:rsidR="00324E7C">
        <w:t>)</w:t>
      </w:r>
      <w:r w:rsidR="00324E7C" w:rsidRPr="00AF518B">
        <w:t xml:space="preserve">.  </w:t>
      </w:r>
    </w:p>
    <w:p w14:paraId="7B9D69FB" w14:textId="52EF9AB7" w:rsidR="009630F0" w:rsidRDefault="009630F0" w:rsidP="0037116C">
      <w:pPr>
        <w:pStyle w:val="ACMATableBody"/>
        <w:spacing w:after="240" w:line="240" w:lineRule="atLeast"/>
      </w:pPr>
      <w:r>
        <w:t xml:space="preserve">The ACMA </w:t>
      </w:r>
      <w:r w:rsidR="00370496">
        <w:t xml:space="preserve">also </w:t>
      </w:r>
      <w:r>
        <w:t>investigated whether Seven made</w:t>
      </w:r>
      <w:r w:rsidRPr="00D3676A">
        <w:t xml:space="preserve"> records sufficient to enable the provider’s compliance with </w:t>
      </w:r>
      <w:r>
        <w:t xml:space="preserve">section 21 of </w:t>
      </w:r>
      <w:r w:rsidRPr="00D3676A">
        <w:t>the Online Rules to be readily ascertained</w:t>
      </w:r>
      <w:r>
        <w:t xml:space="preserve"> (</w:t>
      </w:r>
      <w:r w:rsidRPr="008F50CA">
        <w:rPr>
          <w:b/>
          <w:bCs/>
        </w:rPr>
        <w:t>Issue 2</w:t>
      </w:r>
      <w:r>
        <w:t xml:space="preserve">). </w:t>
      </w:r>
    </w:p>
    <w:p w14:paraId="2974A260" w14:textId="4DD23738" w:rsidR="00842B2A" w:rsidRDefault="00842B2A" w:rsidP="0037116C">
      <w:pPr>
        <w:pStyle w:val="ACMATableBody"/>
        <w:spacing w:after="240" w:line="240" w:lineRule="atLeast"/>
      </w:pPr>
      <w:r w:rsidRPr="002B0CC4">
        <w:t xml:space="preserve">Relevant provisions </w:t>
      </w:r>
      <w:r w:rsidR="00FA6F49" w:rsidRPr="002B0CC4">
        <w:t xml:space="preserve">of the </w:t>
      </w:r>
      <w:r w:rsidR="009B3208" w:rsidRPr="002B0CC4">
        <w:t xml:space="preserve">BSA and the </w:t>
      </w:r>
      <w:r w:rsidR="00FA6F49" w:rsidRPr="002B0CC4">
        <w:t>Online Rules can</w:t>
      </w:r>
      <w:r w:rsidR="009B3208" w:rsidRPr="002B0CC4">
        <w:t xml:space="preserve"> be found at </w:t>
      </w:r>
      <w:r w:rsidR="009B3208" w:rsidRPr="002B0CC4">
        <w:rPr>
          <w:b/>
          <w:bCs/>
        </w:rPr>
        <w:t>Attachment A</w:t>
      </w:r>
      <w:r w:rsidR="009B3208" w:rsidRPr="002B0CC4">
        <w:t>.</w:t>
      </w:r>
    </w:p>
    <w:p w14:paraId="56594987" w14:textId="77777777" w:rsidR="0079519E" w:rsidRDefault="0079519E" w:rsidP="0079519E">
      <w:pPr>
        <w:pStyle w:val="ACMAHeading2"/>
      </w:pPr>
      <w:r w:rsidRPr="00AA7002">
        <w:t xml:space="preserve">Issue </w:t>
      </w:r>
      <w:r>
        <w:t>1</w:t>
      </w:r>
      <w:r w:rsidRPr="00AA7002">
        <w:t>: Was</w:t>
      </w:r>
      <w:r w:rsidRPr="00D3676A">
        <w:t xml:space="preserve"> gambling promotional content provided in conjunction with live coverage of a sporting event</w:t>
      </w:r>
      <w:r>
        <w:t xml:space="preserve"> in contravention of restrictions in the Online Rules</w:t>
      </w:r>
      <w:r w:rsidRPr="00D3676A">
        <w:t>?</w:t>
      </w:r>
    </w:p>
    <w:p w14:paraId="3A66A69F" w14:textId="0AADCBA9" w:rsidR="0079519E" w:rsidRDefault="0079519E" w:rsidP="0079519E">
      <w:pPr>
        <w:pStyle w:val="ACMAHeading2"/>
      </w:pPr>
      <w:r>
        <w:t>Finding</w:t>
      </w:r>
    </w:p>
    <w:p w14:paraId="0F12EECB" w14:textId="4BE282A7" w:rsidR="0079519E" w:rsidRPr="00EC5A5D" w:rsidRDefault="0079519E" w:rsidP="0079519E">
      <w:pPr>
        <w:pStyle w:val="ACMABodyText"/>
      </w:pPr>
      <w:r w:rsidRPr="008E6CE7">
        <w:t xml:space="preserve">The </w:t>
      </w:r>
      <w:r>
        <w:t xml:space="preserve">ACMA </w:t>
      </w:r>
      <w:r w:rsidR="005F0495">
        <w:t>finds</w:t>
      </w:r>
      <w:r>
        <w:t xml:space="preserve"> that </w:t>
      </w:r>
      <w:r w:rsidR="007A3D58">
        <w:t xml:space="preserve">Seven </w:t>
      </w:r>
      <w:r>
        <w:t>contravened</w:t>
      </w:r>
      <w:r w:rsidRPr="008E6CE7">
        <w:t xml:space="preserve"> </w:t>
      </w:r>
      <w:r>
        <w:t>section</w:t>
      </w:r>
      <w:r w:rsidRPr="008E6CE7">
        <w:t xml:space="preserve"> 12</w:t>
      </w:r>
      <w:r>
        <w:t xml:space="preserve"> of the Online Rules and</w:t>
      </w:r>
      <w:r w:rsidR="00EE72C3">
        <w:t>,</w:t>
      </w:r>
      <w:r>
        <w:t xml:space="preserve"> as a consequence, </w:t>
      </w:r>
      <w:r w:rsidR="00F566C6">
        <w:t xml:space="preserve">Seven </w:t>
      </w:r>
      <w:r>
        <w:t>contravened sub</w:t>
      </w:r>
      <w:r w:rsidR="00192F91">
        <w:t>clause</w:t>
      </w:r>
      <w:r>
        <w:t xml:space="preserve"> 25(1) of Schedule 8</w:t>
      </w:r>
      <w:r w:rsidR="00035BBB">
        <w:t xml:space="preserve"> to the BSA</w:t>
      </w:r>
      <w:r>
        <w:t>.</w:t>
      </w:r>
    </w:p>
    <w:p w14:paraId="645F8ABB" w14:textId="77777777" w:rsidR="0079519E" w:rsidRDefault="0079519E" w:rsidP="0079519E">
      <w:pPr>
        <w:pStyle w:val="ACMAHeading2"/>
      </w:pPr>
      <w:r>
        <w:t>Reasons</w:t>
      </w:r>
    </w:p>
    <w:p w14:paraId="6AE16370" w14:textId="3DAF7FB2" w:rsidR="001D3BCE" w:rsidRDefault="0079519E" w:rsidP="0079519E">
      <w:pPr>
        <w:pStyle w:val="ACMABodyText"/>
        <w:spacing w:after="120"/>
        <w:rPr>
          <w:bCs/>
        </w:rPr>
      </w:pPr>
      <w:r>
        <w:t>The ACMA</w:t>
      </w:r>
      <w:r w:rsidR="00DD65ED">
        <w:t xml:space="preserve"> has</w:t>
      </w:r>
      <w:r>
        <w:t xml:space="preserve"> </w:t>
      </w:r>
      <w:r>
        <w:rPr>
          <w:bCs/>
        </w:rPr>
        <w:t>reviewed submission</w:t>
      </w:r>
      <w:r w:rsidR="00213E20">
        <w:rPr>
          <w:bCs/>
        </w:rPr>
        <w:t>s</w:t>
      </w:r>
      <w:r>
        <w:rPr>
          <w:bCs/>
        </w:rPr>
        <w:t xml:space="preserve"> from </w:t>
      </w:r>
      <w:r w:rsidR="007A3D58">
        <w:rPr>
          <w:bCs/>
        </w:rPr>
        <w:t>Seven</w:t>
      </w:r>
      <w:r w:rsidR="00E30ABA">
        <w:rPr>
          <w:bCs/>
        </w:rPr>
        <w:t xml:space="preserve">, </w:t>
      </w:r>
      <w:r w:rsidR="00E5595D">
        <w:rPr>
          <w:bCs/>
        </w:rPr>
        <w:t xml:space="preserve">the audio-visual </w:t>
      </w:r>
      <w:r w:rsidR="00FB2061">
        <w:rPr>
          <w:bCs/>
        </w:rPr>
        <w:t>record</w:t>
      </w:r>
      <w:r w:rsidR="005A260D">
        <w:rPr>
          <w:bCs/>
        </w:rPr>
        <w:t xml:space="preserve"> of the advertisement </w:t>
      </w:r>
      <w:r>
        <w:rPr>
          <w:bCs/>
        </w:rPr>
        <w:t xml:space="preserve">and records relating to the </w:t>
      </w:r>
      <w:r w:rsidR="007A3D58">
        <w:rPr>
          <w:bCs/>
        </w:rPr>
        <w:t>NFL Game</w:t>
      </w:r>
      <w:r>
        <w:rPr>
          <w:bCs/>
        </w:rPr>
        <w:t xml:space="preserve">. </w:t>
      </w:r>
    </w:p>
    <w:p w14:paraId="405A0F7C" w14:textId="08F2EFAD" w:rsidR="0079519E" w:rsidRDefault="0079519E" w:rsidP="0079519E">
      <w:pPr>
        <w:pStyle w:val="ACMABodyText"/>
        <w:spacing w:after="120"/>
      </w:pPr>
      <w:r w:rsidRPr="00D3676A">
        <w:t xml:space="preserve">To assess </w:t>
      </w:r>
      <w:r w:rsidRPr="004B0F55">
        <w:t>compliance</w:t>
      </w:r>
      <w:r>
        <w:t xml:space="preserve"> with the prohibition on gambling promotional content during live coverage of sporting events in section 12 of the Online Rules</w:t>
      </w:r>
      <w:r w:rsidRPr="004B0F55">
        <w:t>, the ACMA</w:t>
      </w:r>
      <w:r>
        <w:t xml:space="preserve"> asks</w:t>
      </w:r>
      <w:r w:rsidRPr="004B0F55">
        <w:t xml:space="preserve"> the following questions:</w:t>
      </w:r>
    </w:p>
    <w:p w14:paraId="5A10E2EF" w14:textId="77777777" w:rsidR="0079519E" w:rsidRDefault="0079519E" w:rsidP="0008542B">
      <w:pPr>
        <w:pStyle w:val="ACMABodyText"/>
        <w:numPr>
          <w:ilvl w:val="0"/>
          <w:numId w:val="18"/>
        </w:numPr>
        <w:spacing w:after="120" w:line="120" w:lineRule="atLeast"/>
      </w:pPr>
      <w:r>
        <w:t>Did the content fall within the definition of ‘gambling promotional content’?</w:t>
      </w:r>
    </w:p>
    <w:p w14:paraId="54DED153" w14:textId="453B9A52" w:rsidR="0079519E" w:rsidRDefault="0079519E" w:rsidP="0008542B">
      <w:pPr>
        <w:pStyle w:val="ACMABodyText"/>
        <w:spacing w:after="120" w:line="120" w:lineRule="atLeast"/>
        <w:ind w:firstLine="720"/>
      </w:pPr>
      <w:r>
        <w:t>If yes, then</w:t>
      </w:r>
    </w:p>
    <w:p w14:paraId="03114994" w14:textId="77777777" w:rsidR="0079519E" w:rsidRPr="002D354F" w:rsidRDefault="0079519E" w:rsidP="0008542B">
      <w:pPr>
        <w:pStyle w:val="ACMABodyText"/>
        <w:numPr>
          <w:ilvl w:val="0"/>
          <w:numId w:val="18"/>
        </w:numPr>
        <w:tabs>
          <w:tab w:val="left" w:pos="7655"/>
        </w:tabs>
        <w:spacing w:after="120" w:line="120" w:lineRule="atLeast"/>
        <w:rPr>
          <w:lang w:eastAsia="en-AU"/>
        </w:rPr>
      </w:pPr>
      <w:r w:rsidRPr="002D354F">
        <w:rPr>
          <w:lang w:eastAsia="en-AU"/>
        </w:rPr>
        <w:lastRenderedPageBreak/>
        <w:t xml:space="preserve">What </w:t>
      </w:r>
      <w:r>
        <w:rPr>
          <w:lang w:eastAsia="en-AU"/>
        </w:rPr>
        <w:t>were</w:t>
      </w:r>
      <w:r w:rsidRPr="002D354F">
        <w:rPr>
          <w:lang w:eastAsia="en-AU"/>
        </w:rPr>
        <w:t xml:space="preserve"> the relevant restrictions that applied to the </w:t>
      </w:r>
      <w:r>
        <w:rPr>
          <w:lang w:eastAsia="en-AU"/>
        </w:rPr>
        <w:t>live coverage of the s</w:t>
      </w:r>
      <w:r w:rsidRPr="002D354F">
        <w:rPr>
          <w:lang w:eastAsia="en-AU"/>
        </w:rPr>
        <w:t xml:space="preserve">porting </w:t>
      </w:r>
      <w:r>
        <w:rPr>
          <w:lang w:eastAsia="en-AU"/>
        </w:rPr>
        <w:t>e</w:t>
      </w:r>
      <w:r w:rsidRPr="002D354F">
        <w:rPr>
          <w:lang w:eastAsia="en-AU"/>
        </w:rPr>
        <w:t>vent?</w:t>
      </w:r>
    </w:p>
    <w:p w14:paraId="2A4DEBA3" w14:textId="6F2945DA" w:rsidR="00C86C5C" w:rsidRDefault="0079519E" w:rsidP="00C86C5C">
      <w:pPr>
        <w:pStyle w:val="ACMABodyText"/>
        <w:numPr>
          <w:ilvl w:val="0"/>
          <w:numId w:val="18"/>
        </w:numPr>
        <w:spacing w:after="120" w:line="120" w:lineRule="atLeast"/>
      </w:pPr>
      <w:r>
        <w:t>Was gambling promotional content shown at prohibited times during live coverage of the sporting event?</w:t>
      </w:r>
    </w:p>
    <w:p w14:paraId="75785667" w14:textId="77777777" w:rsidR="00C86C5C" w:rsidRPr="005B6AA8" w:rsidRDefault="00C86C5C" w:rsidP="00842B2A">
      <w:pPr>
        <w:spacing w:before="240" w:after="120" w:line="240" w:lineRule="auto"/>
        <w:rPr>
          <w:b/>
          <w:i w:val="0"/>
        </w:rPr>
      </w:pPr>
      <w:r w:rsidRPr="005B6AA8">
        <w:rPr>
          <w:b/>
          <w:i w:val="0"/>
        </w:rPr>
        <w:t>Did the content fall within the definition of ‘gambling promotional content’?</w:t>
      </w:r>
    </w:p>
    <w:p w14:paraId="0D7F9BAD" w14:textId="4A6C12B6" w:rsidR="00143D49" w:rsidRDefault="00143D49" w:rsidP="00624B42">
      <w:pPr>
        <w:pStyle w:val="ACMABodyText"/>
        <w:spacing w:before="240" w:after="120"/>
      </w:pPr>
      <w:r>
        <w:t>'Gambling promotional content’ means advertising, sponsorship or promotional content that relates to a gambling service</w:t>
      </w:r>
      <w:r w:rsidR="00156CBC">
        <w:t>.</w:t>
      </w:r>
      <w:r w:rsidR="001C722C">
        <w:rPr>
          <w:rStyle w:val="FootnoteReference"/>
        </w:rPr>
        <w:footnoteReference w:id="5"/>
      </w:r>
      <w:r w:rsidR="00156CBC">
        <w:t xml:space="preserve"> For the purpose of Schedule 8</w:t>
      </w:r>
      <w:r w:rsidR="007918CC">
        <w:t>,</w:t>
      </w:r>
      <w:r w:rsidR="00156CBC">
        <w:t xml:space="preserve"> ‘gambling service’ </w:t>
      </w:r>
      <w:r w:rsidR="002A26FD">
        <w:t>includes</w:t>
      </w:r>
      <w:r w:rsidR="000C1396">
        <w:t xml:space="preserve"> </w:t>
      </w:r>
      <w:r w:rsidR="000C1396" w:rsidRPr="001C722C">
        <w:t>a service for the placing, making, receiving or acceptance of bets</w:t>
      </w:r>
      <w:r w:rsidR="00201A52" w:rsidRPr="000C1396">
        <w:t>.</w:t>
      </w:r>
      <w:r w:rsidR="00A435DD">
        <w:rPr>
          <w:rStyle w:val="FootnoteReference"/>
        </w:rPr>
        <w:footnoteReference w:id="6"/>
      </w:r>
    </w:p>
    <w:p w14:paraId="379701F9" w14:textId="6E27860D" w:rsidR="000117B7" w:rsidRDefault="000135FF" w:rsidP="00624B42">
      <w:pPr>
        <w:pStyle w:val="ACMABodyText"/>
        <w:spacing w:before="240" w:after="120"/>
      </w:pPr>
      <w:r>
        <w:t xml:space="preserve">Seven </w:t>
      </w:r>
      <w:r w:rsidR="00351B29">
        <w:t xml:space="preserve">provided the audio-visual record of </w:t>
      </w:r>
      <w:r w:rsidR="00C73190">
        <w:t>a</w:t>
      </w:r>
      <w:r w:rsidR="0055767B">
        <w:t xml:space="preserve"> [Wagering company]</w:t>
      </w:r>
      <w:r w:rsidR="00C73190">
        <w:t xml:space="preserve"> </w:t>
      </w:r>
      <w:r w:rsidR="005E3E15">
        <w:t>a</w:t>
      </w:r>
      <w:r w:rsidR="006E6C00">
        <w:t xml:space="preserve">dvertisement </w:t>
      </w:r>
      <w:r w:rsidR="00395B18">
        <w:t xml:space="preserve">that </w:t>
      </w:r>
      <w:r w:rsidR="007E3C0C">
        <w:t xml:space="preserve">was </w:t>
      </w:r>
      <w:r w:rsidR="00975CF7">
        <w:t>streamed</w:t>
      </w:r>
      <w:r w:rsidR="000E3340">
        <w:t xml:space="preserve"> during live coverage of the NFL Game</w:t>
      </w:r>
      <w:r w:rsidR="005E3E15">
        <w:t xml:space="preserve"> on 7plus</w:t>
      </w:r>
      <w:r w:rsidR="000E3340">
        <w:t>.</w:t>
      </w:r>
      <w:r w:rsidR="00EA5B0F">
        <w:t xml:space="preserve"> </w:t>
      </w:r>
      <w:r w:rsidR="00EA5B0F" w:rsidRPr="000E279B">
        <w:t xml:space="preserve">The advertisement </w:t>
      </w:r>
      <w:r w:rsidR="008D71AF" w:rsidRPr="000E279B">
        <w:t xml:space="preserve">provided by </w:t>
      </w:r>
      <w:r w:rsidR="00A435DD" w:rsidRPr="000E279B">
        <w:t>the</w:t>
      </w:r>
      <w:r w:rsidR="008D71AF" w:rsidRPr="000E279B">
        <w:t xml:space="preserve"> </w:t>
      </w:r>
      <w:r w:rsidR="00A8225E" w:rsidRPr="00A30580">
        <w:t>[</w:t>
      </w:r>
      <w:r w:rsidR="008D71AF" w:rsidRPr="000E279B">
        <w:t>Wagering company</w:t>
      </w:r>
      <w:r w:rsidR="00A8225E" w:rsidRPr="00A30580">
        <w:t>]</w:t>
      </w:r>
      <w:r w:rsidR="008D71AF" w:rsidRPr="000E279B">
        <w:t xml:space="preserve"> </w:t>
      </w:r>
      <w:r w:rsidR="003754E5" w:rsidRPr="00A30580">
        <w:t>was</w:t>
      </w:r>
      <w:r w:rsidR="008D71AF" w:rsidRPr="000E279B">
        <w:t xml:space="preserve"> for </w:t>
      </w:r>
      <w:r w:rsidR="00490A9E" w:rsidRPr="00A30580">
        <w:t xml:space="preserve">a service for the </w:t>
      </w:r>
      <w:r w:rsidR="008D71AF" w:rsidRPr="000E279B">
        <w:t>placing of bets</w:t>
      </w:r>
      <w:r w:rsidR="00CD178D" w:rsidRPr="000E279B">
        <w:t>.</w:t>
      </w:r>
    </w:p>
    <w:p w14:paraId="3B1741FB" w14:textId="64B8D1D1" w:rsidR="00F82D0E" w:rsidRDefault="00F977F3" w:rsidP="000A302B">
      <w:pPr>
        <w:pStyle w:val="ACMABodyText"/>
        <w:rPr>
          <w:lang w:eastAsia="en-AU"/>
        </w:rPr>
      </w:pPr>
      <w:r>
        <w:rPr>
          <w:rFonts w:cs="Arial"/>
        </w:rPr>
        <w:t>T</w:t>
      </w:r>
      <w:r w:rsidR="000117B7" w:rsidRPr="00746B73">
        <w:rPr>
          <w:rFonts w:cs="Arial"/>
        </w:rPr>
        <w:t xml:space="preserve">he ACMA </w:t>
      </w:r>
      <w:r w:rsidR="000117B7">
        <w:rPr>
          <w:rFonts w:cs="Arial"/>
        </w:rPr>
        <w:t>considers</w:t>
      </w:r>
      <w:r w:rsidR="000117B7" w:rsidRPr="00746B73">
        <w:rPr>
          <w:rFonts w:cs="Arial"/>
        </w:rPr>
        <w:t xml:space="preserve"> that </w:t>
      </w:r>
      <w:r w:rsidR="000117B7">
        <w:rPr>
          <w:rFonts w:cs="Arial"/>
        </w:rPr>
        <w:t xml:space="preserve">the </w:t>
      </w:r>
      <w:r w:rsidR="00E71EA1">
        <w:rPr>
          <w:rFonts w:cs="Arial"/>
        </w:rPr>
        <w:t xml:space="preserve">[Wagering company] </w:t>
      </w:r>
      <w:r w:rsidR="000117B7" w:rsidRPr="00746B73">
        <w:rPr>
          <w:rFonts w:cs="Arial"/>
        </w:rPr>
        <w:t xml:space="preserve">advertisement </w:t>
      </w:r>
      <w:r w:rsidR="00FB6475">
        <w:rPr>
          <w:lang w:eastAsia="en-AU"/>
        </w:rPr>
        <w:t>related</w:t>
      </w:r>
      <w:r w:rsidR="000117B7" w:rsidRPr="00746B73">
        <w:rPr>
          <w:lang w:eastAsia="en-AU"/>
        </w:rPr>
        <w:t xml:space="preserve"> to </w:t>
      </w:r>
      <w:r w:rsidR="00487607">
        <w:rPr>
          <w:lang w:eastAsia="en-AU"/>
        </w:rPr>
        <w:t xml:space="preserve">a </w:t>
      </w:r>
      <w:r w:rsidR="000B0674">
        <w:rPr>
          <w:lang w:eastAsia="en-AU"/>
        </w:rPr>
        <w:t>g</w:t>
      </w:r>
      <w:r w:rsidR="000117B7" w:rsidRPr="00746B73">
        <w:rPr>
          <w:lang w:eastAsia="en-AU"/>
        </w:rPr>
        <w:t>ambling</w:t>
      </w:r>
      <w:r w:rsidR="00487607">
        <w:rPr>
          <w:lang w:eastAsia="en-AU"/>
        </w:rPr>
        <w:t xml:space="preserve"> service</w:t>
      </w:r>
      <w:r w:rsidR="000117B7" w:rsidRPr="00746B73">
        <w:rPr>
          <w:lang w:eastAsia="en-AU"/>
        </w:rPr>
        <w:t xml:space="preserve"> </w:t>
      </w:r>
      <w:r w:rsidR="000A302B">
        <w:rPr>
          <w:lang w:eastAsia="en-AU"/>
        </w:rPr>
        <w:t xml:space="preserve">and </w:t>
      </w:r>
      <w:r w:rsidR="00106C0F">
        <w:rPr>
          <w:lang w:eastAsia="en-AU"/>
        </w:rPr>
        <w:t>therefor</w:t>
      </w:r>
      <w:r>
        <w:rPr>
          <w:lang w:eastAsia="en-AU"/>
        </w:rPr>
        <w:t xml:space="preserve">e </w:t>
      </w:r>
      <w:r w:rsidR="00F82D0E" w:rsidRPr="0042377A">
        <w:rPr>
          <w:lang w:eastAsia="en-AU"/>
        </w:rPr>
        <w:t>met the definition of ‘gambling promotional content’.</w:t>
      </w:r>
      <w:r w:rsidR="00F82D0E" w:rsidRPr="00C04AE3">
        <w:rPr>
          <w:lang w:eastAsia="en-AU"/>
        </w:rPr>
        <w:t xml:space="preserve"> </w:t>
      </w:r>
    </w:p>
    <w:p w14:paraId="2D10967D" w14:textId="77777777" w:rsidR="0042062F" w:rsidRPr="00842B2A" w:rsidRDefault="0042062F" w:rsidP="00842B2A">
      <w:pPr>
        <w:spacing w:before="240" w:after="120" w:line="240" w:lineRule="auto"/>
        <w:rPr>
          <w:b/>
          <w:i w:val="0"/>
        </w:rPr>
      </w:pPr>
      <w:r w:rsidRPr="00842B2A">
        <w:rPr>
          <w:b/>
          <w:i w:val="0"/>
        </w:rPr>
        <w:t>What were the relevant restrictions that applied to the live coverage of the sporting event?</w:t>
      </w:r>
    </w:p>
    <w:p w14:paraId="5E4A1996" w14:textId="1C78DE9A" w:rsidR="00D554F6" w:rsidRPr="0008542B" w:rsidRDefault="0009054E" w:rsidP="00B461F8">
      <w:pPr>
        <w:pStyle w:val="ACMABodyText"/>
        <w:spacing w:before="240" w:after="120"/>
      </w:pPr>
      <w:r w:rsidRPr="0008542B">
        <w:t xml:space="preserve">Section 12 </w:t>
      </w:r>
      <w:r w:rsidR="002D5D47" w:rsidRPr="0008542B">
        <w:t>of</w:t>
      </w:r>
      <w:r w:rsidR="00D554F6" w:rsidRPr="0008542B">
        <w:t xml:space="preserve"> the </w:t>
      </w:r>
      <w:r w:rsidR="00190750" w:rsidRPr="0008542B">
        <w:t>O</w:t>
      </w:r>
      <w:r w:rsidR="00B461F8" w:rsidRPr="0008542B">
        <w:t>nli</w:t>
      </w:r>
      <w:r w:rsidR="00190750" w:rsidRPr="0008542B">
        <w:t>ne R</w:t>
      </w:r>
      <w:r w:rsidR="00D554F6" w:rsidRPr="0008542B">
        <w:t xml:space="preserve">ules </w:t>
      </w:r>
      <w:r w:rsidR="00AF4E2E" w:rsidRPr="0008542B">
        <w:t>provides</w:t>
      </w:r>
      <w:r w:rsidR="003C408C" w:rsidRPr="0008542B">
        <w:t xml:space="preserve"> that</w:t>
      </w:r>
      <w:r w:rsidR="00D554F6" w:rsidRPr="0008542B">
        <w:t>:</w:t>
      </w:r>
    </w:p>
    <w:p w14:paraId="067A28A2" w14:textId="74FA4DE1" w:rsidR="00AD6DE0" w:rsidRPr="00012805" w:rsidDel="00A32790" w:rsidRDefault="00AD6DE0" w:rsidP="00AD6DE0">
      <w:pPr>
        <w:pStyle w:val="ACMABodyText"/>
        <w:spacing w:after="120"/>
        <w:ind w:left="357"/>
        <w:rPr>
          <w:sz w:val="18"/>
          <w:szCs w:val="18"/>
        </w:rPr>
      </w:pPr>
      <w:r w:rsidRPr="00394B9C" w:rsidDel="00A32790">
        <w:rPr>
          <w:sz w:val="18"/>
          <w:szCs w:val="18"/>
        </w:rPr>
        <w:t>An online content service provider must not provide gambling promotional content on an online content service in conjunction with live coverage of a sporting event in the period beginning at 5:00</w:t>
      </w:r>
      <w:r w:rsidR="00425149">
        <w:rPr>
          <w:sz w:val="18"/>
          <w:szCs w:val="18"/>
        </w:rPr>
        <w:t> </w:t>
      </w:r>
      <w:r w:rsidRPr="00012805" w:rsidDel="00A32790">
        <w:rPr>
          <w:sz w:val="18"/>
          <w:szCs w:val="18"/>
        </w:rPr>
        <w:t>am and ending at 8:30 pm.</w:t>
      </w:r>
    </w:p>
    <w:p w14:paraId="557BB13C" w14:textId="64FDE99A" w:rsidR="002B0CC4" w:rsidRPr="007D2959" w:rsidRDefault="001C4838" w:rsidP="002B0CC4">
      <w:pPr>
        <w:pStyle w:val="ACMAQuoteindented"/>
        <w:ind w:left="0"/>
        <w:rPr>
          <w:rFonts w:cs="Times New Roman"/>
          <w:sz w:val="20"/>
        </w:rPr>
      </w:pPr>
      <w:r>
        <w:rPr>
          <w:rFonts w:cs="Times New Roman"/>
          <w:sz w:val="20"/>
        </w:rPr>
        <w:t>Subclause 21(1) of Schedule 8 to the BSA</w:t>
      </w:r>
      <w:r w:rsidR="001104D1">
        <w:rPr>
          <w:rFonts w:cs="Times New Roman"/>
          <w:sz w:val="20"/>
        </w:rPr>
        <w:t xml:space="preserve"> </w:t>
      </w:r>
      <w:r w:rsidR="009236C5">
        <w:rPr>
          <w:rFonts w:cs="Times New Roman"/>
          <w:sz w:val="20"/>
        </w:rPr>
        <w:t xml:space="preserve">states </w:t>
      </w:r>
      <w:r w:rsidR="001104D1">
        <w:rPr>
          <w:rFonts w:cs="Times New Roman"/>
          <w:sz w:val="20"/>
        </w:rPr>
        <w:t>that g</w:t>
      </w:r>
      <w:r w:rsidR="002B0CC4" w:rsidRPr="007D2959">
        <w:rPr>
          <w:rFonts w:cs="Times New Roman"/>
          <w:sz w:val="20"/>
        </w:rPr>
        <w:t xml:space="preserve">ambling promotional content is provided </w:t>
      </w:r>
      <w:r w:rsidR="002B0CC4" w:rsidRPr="00012805">
        <w:rPr>
          <w:rFonts w:cs="Times New Roman"/>
          <w:i/>
          <w:iCs/>
          <w:sz w:val="20"/>
        </w:rPr>
        <w:t>in conjunction</w:t>
      </w:r>
      <w:r w:rsidR="002B0CC4" w:rsidRPr="007D2959">
        <w:rPr>
          <w:rFonts w:cs="Times New Roman"/>
          <w:sz w:val="20"/>
        </w:rPr>
        <w:t xml:space="preserve"> with live coverage of a sporting event if</w:t>
      </w:r>
      <w:r w:rsidR="001104D1">
        <w:rPr>
          <w:rFonts w:cs="Times New Roman"/>
          <w:sz w:val="20"/>
        </w:rPr>
        <w:t xml:space="preserve"> </w:t>
      </w:r>
      <w:r w:rsidR="002B0CC4">
        <w:rPr>
          <w:rFonts w:cs="Times New Roman"/>
          <w:sz w:val="20"/>
        </w:rPr>
        <w:t xml:space="preserve">the content is provided on the service during the period </w:t>
      </w:r>
      <w:r w:rsidR="002B0CC4" w:rsidRPr="003E327A">
        <w:rPr>
          <w:rFonts w:cs="Times New Roman"/>
          <w:sz w:val="20"/>
        </w:rPr>
        <w:t xml:space="preserve">between 5 minutes before the scheduled start of </w:t>
      </w:r>
      <w:r w:rsidR="00FE1FA5">
        <w:rPr>
          <w:rFonts w:cs="Times New Roman"/>
          <w:sz w:val="20"/>
        </w:rPr>
        <w:t>the sporting event</w:t>
      </w:r>
      <w:r w:rsidR="00FE1FA5" w:rsidRPr="003E327A">
        <w:rPr>
          <w:rFonts w:cs="Times New Roman"/>
          <w:sz w:val="20"/>
        </w:rPr>
        <w:t xml:space="preserve"> </w:t>
      </w:r>
      <w:r w:rsidR="002B0CC4" w:rsidRPr="003E327A">
        <w:rPr>
          <w:rFonts w:cs="Times New Roman"/>
          <w:sz w:val="20"/>
        </w:rPr>
        <w:t xml:space="preserve">and 5 minutes after </w:t>
      </w:r>
      <w:r w:rsidR="0016713F">
        <w:rPr>
          <w:rFonts w:cs="Times New Roman"/>
          <w:sz w:val="20"/>
        </w:rPr>
        <w:t>the sporting event</w:t>
      </w:r>
      <w:r w:rsidR="0016713F" w:rsidRPr="003E327A">
        <w:rPr>
          <w:rFonts w:cs="Times New Roman"/>
          <w:sz w:val="20"/>
        </w:rPr>
        <w:t xml:space="preserve"> </w:t>
      </w:r>
      <w:r w:rsidR="002B0CC4" w:rsidRPr="003E327A">
        <w:rPr>
          <w:rFonts w:cs="Times New Roman"/>
          <w:sz w:val="20"/>
        </w:rPr>
        <w:t>has concluded.</w:t>
      </w:r>
      <w:r w:rsidR="00AE28A9">
        <w:rPr>
          <w:rStyle w:val="FootnoteReference"/>
          <w:rFonts w:cs="Times New Roman"/>
          <w:sz w:val="20"/>
        </w:rPr>
        <w:footnoteReference w:id="7"/>
      </w:r>
      <w:r w:rsidR="00BB2247">
        <w:rPr>
          <w:rFonts w:cs="Times New Roman"/>
          <w:sz w:val="20"/>
        </w:rPr>
        <w:t xml:space="preserve"> </w:t>
      </w:r>
    </w:p>
    <w:p w14:paraId="41E7DA52" w14:textId="77777777" w:rsidR="009D712F" w:rsidRPr="00842B2A" w:rsidRDefault="009D712F" w:rsidP="00842B2A">
      <w:pPr>
        <w:spacing w:before="240" w:after="120" w:line="240" w:lineRule="auto"/>
        <w:rPr>
          <w:b/>
          <w:i w:val="0"/>
        </w:rPr>
      </w:pPr>
      <w:r w:rsidRPr="00842B2A">
        <w:rPr>
          <w:b/>
          <w:i w:val="0"/>
        </w:rPr>
        <w:t>Was gambling promotional content shown at prohibited times during live coverage of the sporting event?</w:t>
      </w:r>
      <w:r w:rsidRPr="00842B2A" w:rsidDel="007A7E4F">
        <w:rPr>
          <w:b/>
          <w:i w:val="0"/>
        </w:rPr>
        <w:t xml:space="preserve"> </w:t>
      </w:r>
    </w:p>
    <w:p w14:paraId="0B832BB5" w14:textId="389DD6C2" w:rsidR="00EA74AA" w:rsidRDefault="00EA74AA" w:rsidP="00EA74AA">
      <w:pPr>
        <w:pStyle w:val="ACMABodyText"/>
      </w:pPr>
      <w:r>
        <w:t>The live coverage of the NFL Game commenced at 8:25 am AE</w:t>
      </w:r>
      <w:r w:rsidR="00C32432">
        <w:t>D</w:t>
      </w:r>
      <w:r>
        <w:t xml:space="preserve">T </w:t>
      </w:r>
      <w:r w:rsidR="00D43144">
        <w:t>and concluded at approximately 11:25 am AE</w:t>
      </w:r>
      <w:r w:rsidR="00C32432">
        <w:t>D</w:t>
      </w:r>
      <w:r w:rsidR="00D43144">
        <w:t>T</w:t>
      </w:r>
      <w:r>
        <w:t xml:space="preserve">. </w:t>
      </w:r>
      <w:r w:rsidR="009A1F27">
        <w:t xml:space="preserve">The game </w:t>
      </w:r>
      <w:r w:rsidR="00FC51B3">
        <w:t>comprise</w:t>
      </w:r>
      <w:r w:rsidR="001B6A41">
        <w:t>d</w:t>
      </w:r>
      <w:permStart w:id="1684149601" w:edGrp="everyone"/>
      <w:permEnd w:id="1684149601"/>
      <w:r w:rsidR="001B6A41">
        <w:t xml:space="preserve"> of</w:t>
      </w:r>
      <w:r w:rsidR="009A1F27">
        <w:t xml:space="preserve"> </w:t>
      </w:r>
      <w:r w:rsidR="00173958">
        <w:rPr>
          <w:rFonts w:cs="Arial"/>
          <w:color w:val="202124"/>
          <w:shd w:val="clear" w:color="auto" w:fill="FFFFFF"/>
        </w:rPr>
        <w:t>four 15-minute quarters</w:t>
      </w:r>
      <w:r w:rsidR="00E37B3F">
        <w:rPr>
          <w:rFonts w:cs="Arial"/>
          <w:color w:val="202124"/>
          <w:shd w:val="clear" w:color="auto" w:fill="FFFFFF"/>
        </w:rPr>
        <w:t xml:space="preserve"> (interspersed with numerous ‘time-outs’)</w:t>
      </w:r>
      <w:r w:rsidR="00173958">
        <w:rPr>
          <w:rFonts w:cs="Arial"/>
          <w:color w:val="202124"/>
          <w:shd w:val="clear" w:color="auto" w:fill="FFFFFF"/>
        </w:rPr>
        <w:t xml:space="preserve">, </w:t>
      </w:r>
      <w:r w:rsidR="009A1F27" w:rsidRPr="009A1F27">
        <w:rPr>
          <w:rFonts w:cs="Arial"/>
          <w:color w:val="202124"/>
          <w:shd w:val="clear" w:color="auto" w:fill="FFFFFF"/>
        </w:rPr>
        <w:t>including a</w:t>
      </w:r>
      <w:r w:rsidR="00173958" w:rsidRPr="009A1F27">
        <w:rPr>
          <w:rFonts w:cs="Arial"/>
          <w:color w:val="202124"/>
          <w:shd w:val="clear" w:color="auto" w:fill="FFFFFF"/>
        </w:rPr>
        <w:t> 12-minute break at half-time</w:t>
      </w:r>
      <w:r w:rsidR="009A1F27" w:rsidRPr="009A1F27">
        <w:rPr>
          <w:rFonts w:cs="Arial"/>
          <w:color w:val="202124"/>
          <w:shd w:val="clear" w:color="auto" w:fill="FFFFFF"/>
        </w:rPr>
        <w:t xml:space="preserve"> and </w:t>
      </w:r>
      <w:r w:rsidR="00173958" w:rsidRPr="009A1F27">
        <w:rPr>
          <w:rFonts w:cs="Arial"/>
          <w:color w:val="202124"/>
          <w:shd w:val="clear" w:color="auto" w:fill="FFFFFF"/>
        </w:rPr>
        <w:t>2-minute</w:t>
      </w:r>
      <w:r w:rsidR="00173958">
        <w:rPr>
          <w:rFonts w:cs="Arial"/>
          <w:color w:val="202124"/>
          <w:shd w:val="clear" w:color="auto" w:fill="FFFFFF"/>
        </w:rPr>
        <w:t xml:space="preserve"> breaks at the end of the first and third quarters</w:t>
      </w:r>
      <w:r w:rsidR="00FC51B3">
        <w:rPr>
          <w:rFonts w:cs="Arial"/>
          <w:color w:val="202124"/>
          <w:shd w:val="clear" w:color="auto" w:fill="FFFFFF"/>
        </w:rPr>
        <w:t>.</w:t>
      </w:r>
    </w:p>
    <w:p w14:paraId="38E6A359" w14:textId="1C36B86F" w:rsidR="00AC5ECC" w:rsidRDefault="00A13813" w:rsidP="00AB5BD5">
      <w:pPr>
        <w:pStyle w:val="ACMABodyText"/>
      </w:pPr>
      <w:r w:rsidRPr="0040308A">
        <w:rPr>
          <w:lang w:eastAsia="en-AU"/>
        </w:rPr>
        <w:t xml:space="preserve">Seven </w:t>
      </w:r>
      <w:r w:rsidR="00DE32CA">
        <w:rPr>
          <w:lang w:eastAsia="en-AU"/>
        </w:rPr>
        <w:t>submitted to the ACMA</w:t>
      </w:r>
      <w:r w:rsidR="001B6A41">
        <w:rPr>
          <w:lang w:eastAsia="en-AU"/>
        </w:rPr>
        <w:t xml:space="preserve"> </w:t>
      </w:r>
      <w:r w:rsidR="00711E2B" w:rsidRPr="0040308A">
        <w:rPr>
          <w:lang w:eastAsia="en-AU"/>
        </w:rPr>
        <w:t>that</w:t>
      </w:r>
      <w:r w:rsidR="00840130" w:rsidRPr="0040308A">
        <w:rPr>
          <w:lang w:eastAsia="en-AU"/>
        </w:rPr>
        <w:t xml:space="preserve"> gambling </w:t>
      </w:r>
      <w:r w:rsidR="00C94986">
        <w:rPr>
          <w:lang w:eastAsia="en-AU"/>
        </w:rPr>
        <w:t>promotional content</w:t>
      </w:r>
      <w:r w:rsidR="00840130" w:rsidRPr="0040308A">
        <w:rPr>
          <w:lang w:eastAsia="en-AU"/>
        </w:rPr>
        <w:t xml:space="preserve"> </w:t>
      </w:r>
      <w:r w:rsidR="00257780" w:rsidRPr="0040308A">
        <w:t>w</w:t>
      </w:r>
      <w:r w:rsidR="00257780">
        <w:t xml:space="preserve">as streamed on </w:t>
      </w:r>
      <w:r w:rsidR="0038201A">
        <w:t>7plus</w:t>
      </w:r>
      <w:r w:rsidR="00A039F0">
        <w:t xml:space="preserve"> </w:t>
      </w:r>
      <w:r w:rsidR="00F610F0">
        <w:t xml:space="preserve">at approximately 10:38 am </w:t>
      </w:r>
      <w:r w:rsidR="00C32432">
        <w:t xml:space="preserve">AEDT </w:t>
      </w:r>
      <w:r w:rsidR="005125EE">
        <w:t>to</w:t>
      </w:r>
      <w:r w:rsidR="00830A64">
        <w:t xml:space="preserve"> a small number of end</w:t>
      </w:r>
      <w:r w:rsidR="007E3C0C">
        <w:t>-</w:t>
      </w:r>
      <w:r w:rsidR="00830A64">
        <w:t>users</w:t>
      </w:r>
      <w:r w:rsidR="00FC1E60">
        <w:t>.</w:t>
      </w:r>
    </w:p>
    <w:p w14:paraId="77D5E702" w14:textId="551A0262" w:rsidR="00AB5BD5" w:rsidRDefault="006410B9" w:rsidP="00AB5BD5">
      <w:pPr>
        <w:pStyle w:val="ACMABodyText"/>
      </w:pPr>
      <w:r>
        <w:t xml:space="preserve">The ACMA </w:t>
      </w:r>
      <w:r w:rsidR="00AC5ECC">
        <w:t>accepts Seven’s admission</w:t>
      </w:r>
      <w:r w:rsidR="00842B2A">
        <w:t xml:space="preserve"> and </w:t>
      </w:r>
      <w:r w:rsidR="00430113">
        <w:t>notes</w:t>
      </w:r>
      <w:r>
        <w:t xml:space="preserve"> that </w:t>
      </w:r>
      <w:r w:rsidR="00842B2A">
        <w:t xml:space="preserve">it is </w:t>
      </w:r>
      <w:r w:rsidR="00EB6E7C">
        <w:t>consistent with</w:t>
      </w:r>
      <w:r w:rsidR="00842B2A">
        <w:t xml:space="preserve"> t</w:t>
      </w:r>
      <w:r w:rsidR="00EB6E7C">
        <w:t xml:space="preserve">he complainant’s allegation that </w:t>
      </w:r>
      <w:r w:rsidR="00962A41">
        <w:t xml:space="preserve">a </w:t>
      </w:r>
      <w:bookmarkStart w:id="1" w:name="_Hlk143880301"/>
      <w:r w:rsidR="00EB6E7C">
        <w:t>gambling advertisement was</w:t>
      </w:r>
      <w:r w:rsidR="005223A2">
        <w:t xml:space="preserve"> shown </w:t>
      </w:r>
      <w:bookmarkEnd w:id="1"/>
      <w:r w:rsidR="00AC5ECC">
        <w:t>during the</w:t>
      </w:r>
      <w:r w:rsidR="005223A2">
        <w:t xml:space="preserve"> third quarter of the </w:t>
      </w:r>
      <w:r w:rsidR="00AA007B">
        <w:t xml:space="preserve">NFL </w:t>
      </w:r>
      <w:r w:rsidR="005223A2">
        <w:t>Game</w:t>
      </w:r>
      <w:r w:rsidR="00D6158A">
        <w:t xml:space="preserve">. </w:t>
      </w:r>
      <w:r w:rsidR="00D6158A" w:rsidRPr="00975835">
        <w:t xml:space="preserve">Seven stated </w:t>
      </w:r>
      <w:r w:rsidR="00D6158A">
        <w:t xml:space="preserve">that </w:t>
      </w:r>
      <w:r w:rsidR="00D6158A" w:rsidRPr="00975835">
        <w:t xml:space="preserve">the </w:t>
      </w:r>
      <w:r w:rsidR="00D6158A" w:rsidRPr="00D6158A">
        <w:rPr>
          <w:iCs/>
        </w:rPr>
        <w:t>gambling advertisement was shown</w:t>
      </w:r>
      <w:r w:rsidR="00D6158A" w:rsidRPr="00674A8D">
        <w:rPr>
          <w:i/>
        </w:rPr>
        <w:t xml:space="preserve"> </w:t>
      </w:r>
      <w:r w:rsidR="00D6158A" w:rsidRPr="00975835">
        <w:t xml:space="preserve">due to </w:t>
      </w:r>
      <w:r w:rsidR="00D6158A">
        <w:t>a</w:t>
      </w:r>
      <w:r w:rsidR="00B343DF">
        <w:t>n inadvertent</w:t>
      </w:r>
      <w:r w:rsidR="00D6158A">
        <w:t xml:space="preserve"> </w:t>
      </w:r>
      <w:r w:rsidR="00D6158A" w:rsidRPr="00975835">
        <w:t xml:space="preserve">human error and </w:t>
      </w:r>
      <w:r w:rsidR="00D6158A" w:rsidRPr="00633E04">
        <w:t>that it was an isolated event</w:t>
      </w:r>
      <w:r w:rsidR="00D6158A">
        <w:t>.</w:t>
      </w:r>
    </w:p>
    <w:p w14:paraId="5854F68D" w14:textId="22204171" w:rsidR="008B018F" w:rsidRDefault="008B018F" w:rsidP="00842B2A">
      <w:pPr>
        <w:pStyle w:val="ACMAQuoteindented"/>
        <w:ind w:left="0"/>
        <w:rPr>
          <w:sz w:val="20"/>
        </w:rPr>
      </w:pPr>
      <w:r w:rsidRPr="00ED0491">
        <w:rPr>
          <w:sz w:val="20"/>
        </w:rPr>
        <w:t xml:space="preserve">Accordingly, the ACMA </w:t>
      </w:r>
      <w:r w:rsidR="005F0495">
        <w:rPr>
          <w:sz w:val="20"/>
        </w:rPr>
        <w:t>finds</w:t>
      </w:r>
      <w:r w:rsidRPr="00ED0491">
        <w:rPr>
          <w:sz w:val="20"/>
        </w:rPr>
        <w:t xml:space="preserve"> that</w:t>
      </w:r>
      <w:r>
        <w:rPr>
          <w:sz w:val="20"/>
        </w:rPr>
        <w:t xml:space="preserve"> </w:t>
      </w:r>
      <w:r w:rsidRPr="00BB5500">
        <w:rPr>
          <w:sz w:val="20"/>
        </w:rPr>
        <w:t xml:space="preserve">gambling promotional content was provided on </w:t>
      </w:r>
      <w:r w:rsidR="00430113">
        <w:rPr>
          <w:sz w:val="20"/>
        </w:rPr>
        <w:t>7plus</w:t>
      </w:r>
      <w:r w:rsidRPr="00BB5500">
        <w:rPr>
          <w:sz w:val="20"/>
        </w:rPr>
        <w:t xml:space="preserve"> in conjunction with live coverage of a sporting event between 5</w:t>
      </w:r>
      <w:r>
        <w:rPr>
          <w:sz w:val="20"/>
        </w:rPr>
        <w:t>:</w:t>
      </w:r>
      <w:r w:rsidRPr="00BB5500">
        <w:rPr>
          <w:sz w:val="20"/>
        </w:rPr>
        <w:t>00 am and 8</w:t>
      </w:r>
      <w:r>
        <w:rPr>
          <w:sz w:val="20"/>
        </w:rPr>
        <w:t>:</w:t>
      </w:r>
      <w:r w:rsidRPr="00BB5500">
        <w:rPr>
          <w:sz w:val="20"/>
        </w:rPr>
        <w:t>30 pm</w:t>
      </w:r>
      <w:r>
        <w:rPr>
          <w:sz w:val="20"/>
        </w:rPr>
        <w:t>,</w:t>
      </w:r>
      <w:r w:rsidRPr="00BB5500">
        <w:rPr>
          <w:sz w:val="20"/>
        </w:rPr>
        <w:t xml:space="preserve"> in </w:t>
      </w:r>
      <w:r>
        <w:rPr>
          <w:sz w:val="20"/>
        </w:rPr>
        <w:t>contravention</w:t>
      </w:r>
      <w:r w:rsidRPr="00BB5500">
        <w:rPr>
          <w:sz w:val="20"/>
        </w:rPr>
        <w:t xml:space="preserve"> of section 12 of the Online Rules.</w:t>
      </w:r>
    </w:p>
    <w:p w14:paraId="4E8373E3" w14:textId="07098F6F" w:rsidR="008B018F" w:rsidRPr="00842B2A" w:rsidRDefault="008B018F" w:rsidP="00842B2A">
      <w:pPr>
        <w:spacing w:before="240" w:after="120" w:line="240" w:lineRule="auto"/>
        <w:rPr>
          <w:b/>
          <w:i w:val="0"/>
        </w:rPr>
      </w:pPr>
      <w:r w:rsidRPr="00842B2A">
        <w:rPr>
          <w:b/>
          <w:i w:val="0"/>
        </w:rPr>
        <w:t xml:space="preserve">Contravention of </w:t>
      </w:r>
      <w:r w:rsidR="00D246AE" w:rsidRPr="00842B2A">
        <w:rPr>
          <w:b/>
          <w:i w:val="0"/>
        </w:rPr>
        <w:t>sub</w:t>
      </w:r>
      <w:r w:rsidR="00D246AE">
        <w:rPr>
          <w:b/>
          <w:i w:val="0"/>
        </w:rPr>
        <w:t>clause</w:t>
      </w:r>
      <w:r w:rsidR="00D246AE" w:rsidRPr="00842B2A">
        <w:rPr>
          <w:b/>
          <w:i w:val="0"/>
        </w:rPr>
        <w:t xml:space="preserve"> </w:t>
      </w:r>
      <w:r w:rsidRPr="00842B2A">
        <w:rPr>
          <w:b/>
          <w:i w:val="0"/>
        </w:rPr>
        <w:t xml:space="preserve">25(1) of Schedule 8 </w:t>
      </w:r>
    </w:p>
    <w:p w14:paraId="24019E30" w14:textId="707F4A29" w:rsidR="008B018F" w:rsidRPr="00251CF9" w:rsidRDefault="00D246AE" w:rsidP="00842B2A">
      <w:pPr>
        <w:pStyle w:val="ACMAQuoteindented"/>
        <w:ind w:left="0"/>
        <w:rPr>
          <w:sz w:val="20"/>
        </w:rPr>
      </w:pPr>
      <w:r w:rsidRPr="00077B53">
        <w:rPr>
          <w:sz w:val="20"/>
        </w:rPr>
        <w:lastRenderedPageBreak/>
        <w:t>Sub</w:t>
      </w:r>
      <w:r>
        <w:rPr>
          <w:sz w:val="20"/>
        </w:rPr>
        <w:t>clause</w:t>
      </w:r>
      <w:r w:rsidRPr="00077B53">
        <w:rPr>
          <w:sz w:val="20"/>
        </w:rPr>
        <w:t xml:space="preserve"> </w:t>
      </w:r>
      <w:r w:rsidR="003E327A" w:rsidRPr="00077B53">
        <w:rPr>
          <w:sz w:val="20"/>
        </w:rPr>
        <w:t xml:space="preserve">25(1) of Schedule 8 to the BSA </w:t>
      </w:r>
      <w:r w:rsidR="00C75A60">
        <w:rPr>
          <w:sz w:val="20"/>
        </w:rPr>
        <w:t>provides that</w:t>
      </w:r>
      <w:r w:rsidR="00C75A60" w:rsidRPr="00077B53">
        <w:rPr>
          <w:sz w:val="20"/>
        </w:rPr>
        <w:t xml:space="preserve"> </w:t>
      </w:r>
      <w:r w:rsidR="00077B53" w:rsidRPr="00077B53">
        <w:rPr>
          <w:sz w:val="20"/>
        </w:rPr>
        <w:t xml:space="preserve">an online content service provider </w:t>
      </w:r>
      <w:r w:rsidR="00C75A60">
        <w:rPr>
          <w:sz w:val="20"/>
        </w:rPr>
        <w:t>must</w:t>
      </w:r>
      <w:r w:rsidR="00C75A60" w:rsidRPr="00077B53">
        <w:rPr>
          <w:sz w:val="20"/>
        </w:rPr>
        <w:t xml:space="preserve"> </w:t>
      </w:r>
      <w:r w:rsidR="00077B53" w:rsidRPr="00077B53">
        <w:rPr>
          <w:sz w:val="20"/>
        </w:rPr>
        <w:t xml:space="preserve">not contravene the </w:t>
      </w:r>
      <w:r w:rsidR="006A03E7">
        <w:rPr>
          <w:sz w:val="20"/>
        </w:rPr>
        <w:t>Online Rules</w:t>
      </w:r>
      <w:r w:rsidR="00077B53" w:rsidRPr="00077B53">
        <w:rPr>
          <w:sz w:val="20"/>
        </w:rPr>
        <w:t>.</w:t>
      </w:r>
      <w:r w:rsidR="00077B53">
        <w:t xml:space="preserve"> </w:t>
      </w:r>
      <w:r w:rsidR="008B018F">
        <w:rPr>
          <w:sz w:val="20"/>
        </w:rPr>
        <w:t xml:space="preserve">The ACMA finds that </w:t>
      </w:r>
      <w:r w:rsidR="00842B2A">
        <w:rPr>
          <w:sz w:val="20"/>
        </w:rPr>
        <w:t>Seven</w:t>
      </w:r>
      <w:r w:rsidR="008B018F">
        <w:rPr>
          <w:sz w:val="20"/>
        </w:rPr>
        <w:t xml:space="preserve"> has contravened section 12 of the Online Rules</w:t>
      </w:r>
      <w:r w:rsidR="00351540">
        <w:rPr>
          <w:sz w:val="20"/>
        </w:rPr>
        <w:t xml:space="preserve"> and </w:t>
      </w:r>
      <w:r w:rsidR="00267AA3">
        <w:rPr>
          <w:sz w:val="20"/>
        </w:rPr>
        <w:t xml:space="preserve">therefore </w:t>
      </w:r>
      <w:r w:rsidR="00586BFB">
        <w:rPr>
          <w:sz w:val="20"/>
        </w:rPr>
        <w:t xml:space="preserve">Seven has </w:t>
      </w:r>
      <w:r w:rsidR="00267AA3">
        <w:rPr>
          <w:sz w:val="20"/>
        </w:rPr>
        <w:t xml:space="preserve">contravened </w:t>
      </w:r>
      <w:r w:rsidR="00267AA3" w:rsidRPr="008D71AF">
        <w:rPr>
          <w:iCs/>
          <w:sz w:val="20"/>
        </w:rPr>
        <w:t>subclause 25(1) of Schedule 8 to the BSA</w:t>
      </w:r>
      <w:r w:rsidR="008B018F" w:rsidRPr="00267AA3">
        <w:rPr>
          <w:iCs/>
          <w:sz w:val="20"/>
        </w:rPr>
        <w:t>.</w:t>
      </w:r>
      <w:r w:rsidR="008B018F">
        <w:rPr>
          <w:sz w:val="20"/>
        </w:rPr>
        <w:t xml:space="preserve"> </w:t>
      </w:r>
    </w:p>
    <w:p w14:paraId="5BBF1ABA" w14:textId="77777777" w:rsidR="00EE6AC5" w:rsidRPr="00D3676A" w:rsidRDefault="00EE6AC5" w:rsidP="00EE6AC5">
      <w:pPr>
        <w:pStyle w:val="ACMAHeading2"/>
      </w:pPr>
      <w:r w:rsidRPr="00D3676A">
        <w:t xml:space="preserve">Issue </w:t>
      </w:r>
      <w:r>
        <w:t>2</w:t>
      </w:r>
      <w:r w:rsidRPr="00D3676A">
        <w:t xml:space="preserve">: Did the </w:t>
      </w:r>
      <w:bookmarkStart w:id="2" w:name="_Hlk117857501"/>
      <w:r w:rsidRPr="00D3676A">
        <w:t>online content service provider make records sufficient to enable the provider’s compliance with the Online Rules to be readily ascertained</w:t>
      </w:r>
      <w:bookmarkEnd w:id="2"/>
      <w:r w:rsidRPr="00D3676A">
        <w:t xml:space="preserve">? </w:t>
      </w:r>
    </w:p>
    <w:p w14:paraId="4D712EA1" w14:textId="77777777" w:rsidR="00EE6AC5" w:rsidRPr="00D3676A" w:rsidRDefault="00EE6AC5" w:rsidP="00EE6AC5">
      <w:pPr>
        <w:pStyle w:val="ACMAHeading2"/>
      </w:pPr>
      <w:r>
        <w:t>Fin</w:t>
      </w:r>
      <w:r w:rsidRPr="00D3676A">
        <w:t>ding</w:t>
      </w:r>
    </w:p>
    <w:p w14:paraId="0A16C742" w14:textId="0241B599" w:rsidR="00EE6AC5" w:rsidRDefault="00EE6AC5" w:rsidP="00EE6AC5">
      <w:pPr>
        <w:pStyle w:val="ACMABodyText"/>
      </w:pPr>
      <w:r>
        <w:t>T</w:t>
      </w:r>
      <w:r w:rsidRPr="00D3676A">
        <w:t xml:space="preserve">he </w:t>
      </w:r>
      <w:r>
        <w:t xml:space="preserve">ACMA </w:t>
      </w:r>
      <w:r w:rsidR="00E258F9">
        <w:t>finds</w:t>
      </w:r>
      <w:r>
        <w:t xml:space="preserve"> that Seven did not contravene</w:t>
      </w:r>
      <w:r w:rsidRPr="00AF6E76">
        <w:t xml:space="preserve"> s</w:t>
      </w:r>
      <w:r>
        <w:t>ubs</w:t>
      </w:r>
      <w:r w:rsidRPr="00AF6E76">
        <w:t>ection</w:t>
      </w:r>
      <w:r w:rsidRPr="00D3676A">
        <w:t xml:space="preserve"> 21</w:t>
      </w:r>
      <w:r>
        <w:t>(1)</w:t>
      </w:r>
      <w:r w:rsidRPr="00D3676A">
        <w:t xml:space="preserve"> of the Online Rules. </w:t>
      </w:r>
    </w:p>
    <w:p w14:paraId="26E6F09E" w14:textId="77777777" w:rsidR="00EE6AC5" w:rsidRPr="00842B2A" w:rsidRDefault="00EE6AC5" w:rsidP="00842B2A">
      <w:pPr>
        <w:pStyle w:val="ACMAHeading2"/>
      </w:pPr>
      <w:r w:rsidRPr="00083134">
        <w:t>Reasons</w:t>
      </w:r>
    </w:p>
    <w:p w14:paraId="04A99560" w14:textId="4057A082" w:rsidR="00EE6AC5" w:rsidRDefault="00EE6AC5" w:rsidP="00EE6AC5">
      <w:pPr>
        <w:pStyle w:val="ACMABodyText"/>
        <w:keepNext/>
        <w:rPr>
          <w:lang w:eastAsia="en-AU"/>
        </w:rPr>
      </w:pPr>
      <w:r>
        <w:rPr>
          <w:lang w:eastAsia="en-AU"/>
        </w:rPr>
        <w:t>U</w:t>
      </w:r>
      <w:r w:rsidRPr="00D3676A">
        <w:rPr>
          <w:lang w:eastAsia="en-AU"/>
        </w:rPr>
        <w:t xml:space="preserve">nder subsection 21(1) of the Online Rules, </w:t>
      </w:r>
      <w:r w:rsidR="00F86737">
        <w:rPr>
          <w:lang w:eastAsia="en-AU"/>
        </w:rPr>
        <w:t>Seven</w:t>
      </w:r>
      <w:r w:rsidRPr="00D3676A">
        <w:rPr>
          <w:lang w:eastAsia="en-AU"/>
        </w:rPr>
        <w:t xml:space="preserve"> </w:t>
      </w:r>
      <w:r w:rsidR="009E0189">
        <w:rPr>
          <w:lang w:eastAsia="en-AU"/>
        </w:rPr>
        <w:t>is</w:t>
      </w:r>
      <w:r w:rsidR="009E0189" w:rsidRPr="00D3676A">
        <w:rPr>
          <w:lang w:eastAsia="en-AU"/>
        </w:rPr>
        <w:t xml:space="preserve"> </w:t>
      </w:r>
      <w:r w:rsidRPr="00D3676A">
        <w:rPr>
          <w:lang w:eastAsia="en-AU"/>
        </w:rPr>
        <w:t xml:space="preserve">required to make records sufficient to enable </w:t>
      </w:r>
      <w:r>
        <w:rPr>
          <w:lang w:eastAsia="en-AU"/>
        </w:rPr>
        <w:t>its</w:t>
      </w:r>
      <w:r w:rsidRPr="00D3676A">
        <w:rPr>
          <w:lang w:eastAsia="en-AU"/>
        </w:rPr>
        <w:t xml:space="preserve"> compliance with the Online Rules to be readily ascertained</w:t>
      </w:r>
      <w:r>
        <w:rPr>
          <w:lang w:eastAsia="en-AU"/>
        </w:rPr>
        <w:t>, including ‘without limitation’:</w:t>
      </w:r>
    </w:p>
    <w:p w14:paraId="78D42B49" w14:textId="77777777" w:rsidR="00EE6AC5" w:rsidRDefault="00EE6AC5" w:rsidP="00EE6AC5">
      <w:pPr>
        <w:pStyle w:val="ACMABodyText"/>
        <w:numPr>
          <w:ilvl w:val="0"/>
          <w:numId w:val="19"/>
        </w:numPr>
        <w:spacing w:after="120"/>
        <w:rPr>
          <w:sz w:val="18"/>
          <w:szCs w:val="18"/>
        </w:rPr>
      </w:pPr>
      <w:r w:rsidRPr="007C60AC">
        <w:rPr>
          <w:sz w:val="18"/>
          <w:szCs w:val="18"/>
        </w:rPr>
        <w:t>written records of the date and duration of the content stream of the live coverage of the sporting event and the location of the relevant end-users where known; and</w:t>
      </w:r>
    </w:p>
    <w:p w14:paraId="7E8D7E2F" w14:textId="77777777" w:rsidR="00EE6AC5" w:rsidRPr="00112488" w:rsidRDefault="00EE6AC5" w:rsidP="00EE6AC5">
      <w:pPr>
        <w:pStyle w:val="ACMABodyText"/>
        <w:numPr>
          <w:ilvl w:val="0"/>
          <w:numId w:val="19"/>
        </w:numPr>
        <w:spacing w:after="120"/>
        <w:rPr>
          <w:sz w:val="18"/>
          <w:szCs w:val="18"/>
        </w:rPr>
      </w:pPr>
      <w:r w:rsidRPr="00112488">
        <w:rPr>
          <w:sz w:val="18"/>
          <w:szCs w:val="18"/>
        </w:rPr>
        <w:t>audio or audio</w:t>
      </w:r>
      <w:r w:rsidRPr="00112488">
        <w:rPr>
          <w:rFonts w:hint="eastAsia"/>
          <w:sz w:val="18"/>
          <w:szCs w:val="18"/>
        </w:rPr>
        <w:noBreakHyphen/>
      </w:r>
      <w:r w:rsidRPr="00112488">
        <w:rPr>
          <w:sz w:val="18"/>
          <w:szCs w:val="18"/>
        </w:rPr>
        <w:t>visual records, as the case may be, of the stream of the live coverage of the sporting event.</w:t>
      </w:r>
    </w:p>
    <w:p w14:paraId="1F0B954F" w14:textId="792D1756" w:rsidR="000F31FD" w:rsidRPr="00D970FA" w:rsidRDefault="000F31FD" w:rsidP="000F31FD">
      <w:pPr>
        <w:pStyle w:val="ACMABodyText"/>
        <w:spacing w:after="120"/>
      </w:pPr>
      <w:r w:rsidRPr="00392D2C">
        <w:rPr>
          <w:iCs/>
        </w:rPr>
        <w:t>Seven provided the following records and statements</w:t>
      </w:r>
      <w:r>
        <w:rPr>
          <w:iCs/>
        </w:rPr>
        <w:t xml:space="preserve"> that are relevant to compliance with </w:t>
      </w:r>
      <w:r w:rsidR="00C95DE8">
        <w:rPr>
          <w:iCs/>
        </w:rPr>
        <w:t>sub</w:t>
      </w:r>
      <w:r>
        <w:rPr>
          <w:iCs/>
        </w:rPr>
        <w:t>section 21</w:t>
      </w:r>
      <w:r w:rsidR="00C95DE8">
        <w:rPr>
          <w:iCs/>
        </w:rPr>
        <w:t>(1)</w:t>
      </w:r>
      <w:r>
        <w:rPr>
          <w:iCs/>
        </w:rPr>
        <w:t xml:space="preserve"> of the Online Rules</w:t>
      </w:r>
      <w:r w:rsidRPr="00392D2C">
        <w:rPr>
          <w:iCs/>
        </w:rPr>
        <w:t>:</w:t>
      </w:r>
    </w:p>
    <w:p w14:paraId="1A6BCBB2" w14:textId="2BAC8E52" w:rsidR="000F31FD" w:rsidRDefault="000F31FD" w:rsidP="000F31FD">
      <w:pPr>
        <w:pStyle w:val="ACMABodyText"/>
        <w:numPr>
          <w:ilvl w:val="0"/>
          <w:numId w:val="28"/>
        </w:numPr>
        <w:spacing w:after="120"/>
      </w:pPr>
      <w:r>
        <w:t xml:space="preserve">a copy of the relevant </w:t>
      </w:r>
      <w:r w:rsidR="005B5E73">
        <w:t>[</w:t>
      </w:r>
      <w:r>
        <w:t>Wagering company</w:t>
      </w:r>
      <w:r w:rsidR="005B5E73">
        <w:t>]</w:t>
      </w:r>
      <w:r>
        <w:t xml:space="preserve"> advertisement </w:t>
      </w:r>
      <w:r w:rsidR="004B3087">
        <w:t xml:space="preserve">transmitted to </w:t>
      </w:r>
      <w:r w:rsidR="00D62AF4">
        <w:t>some end-users during the NFL Game</w:t>
      </w:r>
    </w:p>
    <w:p w14:paraId="347236E5" w14:textId="0A634D67" w:rsidR="000F31FD" w:rsidRDefault="000F31FD" w:rsidP="000F31FD">
      <w:pPr>
        <w:pStyle w:val="ACMABodyText"/>
        <w:numPr>
          <w:ilvl w:val="0"/>
          <w:numId w:val="28"/>
        </w:numPr>
        <w:spacing w:after="120"/>
      </w:pPr>
      <w:r>
        <w:t>the audio-visual recording of the NFL Game, noting that it could not provide ‘a copy without advertisement breaks’</w:t>
      </w:r>
      <w:r w:rsidR="004F1FED">
        <w:t xml:space="preserve"> because it </w:t>
      </w:r>
      <w:r w:rsidR="00217240">
        <w:t>retained the broadcast version</w:t>
      </w:r>
      <w:r>
        <w:t>:</w:t>
      </w:r>
    </w:p>
    <w:p w14:paraId="1CB0B0C2" w14:textId="77777777" w:rsidR="000F31FD" w:rsidRPr="00455C79" w:rsidRDefault="000F31FD" w:rsidP="000F31FD">
      <w:pPr>
        <w:pStyle w:val="ACMABodyText"/>
        <w:spacing w:after="120"/>
        <w:ind w:left="720"/>
        <w:rPr>
          <w:i/>
          <w:iCs/>
          <w:sz w:val="18"/>
          <w:szCs w:val="18"/>
        </w:rPr>
      </w:pPr>
      <w:r w:rsidRPr="00455C79">
        <w:rPr>
          <w:i/>
          <w:iCs/>
          <w:sz w:val="18"/>
          <w:szCs w:val="18"/>
        </w:rPr>
        <w:t>[…] the 7plus stream of the Game was a direct simulcast from 7mate. This means that, other than the content within the advertising breaks, exactly the same version was streamed/broadcast and therefore Seven only maintains a record of one version (in this case, the broadcast version).</w:t>
      </w:r>
    </w:p>
    <w:p w14:paraId="4179B37B" w14:textId="5BCF019A" w:rsidR="000F31FD" w:rsidRPr="000832EA" w:rsidRDefault="00C95DE8" w:rsidP="000F31FD">
      <w:pPr>
        <w:pStyle w:val="ACMABodyText"/>
        <w:numPr>
          <w:ilvl w:val="0"/>
          <w:numId w:val="28"/>
        </w:numPr>
        <w:spacing w:after="120"/>
        <w:rPr>
          <w:i/>
          <w:iCs/>
        </w:rPr>
      </w:pPr>
      <w:r>
        <w:t>Information</w:t>
      </w:r>
      <w:r w:rsidR="000F31FD">
        <w:t xml:space="preserve"> </w:t>
      </w:r>
      <w:r w:rsidR="00913F79">
        <w:t xml:space="preserve">about the number of </w:t>
      </w:r>
      <w:r w:rsidR="000F31FD">
        <w:t xml:space="preserve"> </w:t>
      </w:r>
      <w:r w:rsidR="000F31FD" w:rsidRPr="009E11B5">
        <w:t>end</w:t>
      </w:r>
      <w:r w:rsidR="000F31FD">
        <w:t xml:space="preserve">-users </w:t>
      </w:r>
      <w:r w:rsidR="00913F79">
        <w:t xml:space="preserve">that </w:t>
      </w:r>
      <w:r w:rsidR="000F31FD">
        <w:t>were exposed to the [</w:t>
      </w:r>
      <w:r w:rsidR="000F31FD" w:rsidRPr="00392D2C">
        <w:t>Wagering company</w:t>
      </w:r>
      <w:r w:rsidR="000F31FD">
        <w:t>]</w:t>
      </w:r>
      <w:r w:rsidR="000F31FD" w:rsidRPr="004D5F21">
        <w:t xml:space="preserve"> advertisement</w:t>
      </w:r>
      <w:r w:rsidR="000F31FD">
        <w:t xml:space="preserve"> </w:t>
      </w:r>
      <w:r w:rsidR="000F31FD" w:rsidRPr="00B86EFD">
        <w:t xml:space="preserve">during </w:t>
      </w:r>
      <w:r w:rsidR="000F31FD">
        <w:t xml:space="preserve">the NFL Game. </w:t>
      </w:r>
    </w:p>
    <w:p w14:paraId="74E74794" w14:textId="7DAF8D70" w:rsidR="000F31FD" w:rsidRPr="000832EA" w:rsidRDefault="000F31FD" w:rsidP="000F31FD">
      <w:pPr>
        <w:pStyle w:val="ACMABodyText"/>
        <w:numPr>
          <w:ilvl w:val="0"/>
          <w:numId w:val="28"/>
        </w:numPr>
        <w:spacing w:after="120"/>
      </w:pPr>
      <w:r w:rsidRPr="000832EA">
        <w:t>Information about the number of impressions of the [Wagering company] advertisement</w:t>
      </w:r>
      <w:r w:rsidR="00913F79">
        <w:t>.</w:t>
      </w:r>
    </w:p>
    <w:p w14:paraId="6B71F515" w14:textId="3081526C" w:rsidR="0068238F" w:rsidRDefault="00831F0F" w:rsidP="0068238F">
      <w:pPr>
        <w:pStyle w:val="ACMABodyText"/>
        <w:rPr>
          <w:i/>
          <w:iCs/>
        </w:rPr>
      </w:pPr>
      <w:r>
        <w:rPr>
          <w:lang w:eastAsia="en-AU"/>
        </w:rPr>
        <w:t>T</w:t>
      </w:r>
      <w:r w:rsidR="00470AE2" w:rsidRPr="00553426">
        <w:rPr>
          <w:lang w:eastAsia="en-AU"/>
        </w:rPr>
        <w:t xml:space="preserve">he ACMA </w:t>
      </w:r>
      <w:r w:rsidR="002C5949">
        <w:rPr>
          <w:lang w:eastAsia="en-AU"/>
        </w:rPr>
        <w:t>notes</w:t>
      </w:r>
      <w:r w:rsidR="00470AE2" w:rsidRPr="00553426">
        <w:rPr>
          <w:lang w:eastAsia="en-AU"/>
        </w:rPr>
        <w:t xml:space="preserve"> that </w:t>
      </w:r>
      <w:r w:rsidR="00EC218E" w:rsidRPr="00553426">
        <w:rPr>
          <w:lang w:eastAsia="en-AU"/>
        </w:rPr>
        <w:t>Seven’s</w:t>
      </w:r>
      <w:r w:rsidR="00470AE2" w:rsidRPr="00553426">
        <w:rPr>
          <w:lang w:eastAsia="en-AU"/>
        </w:rPr>
        <w:t xml:space="preserve"> records were sufficient to ascertain that there had been a contravention </w:t>
      </w:r>
      <w:r w:rsidR="009C08EF">
        <w:rPr>
          <w:iCs/>
        </w:rPr>
        <w:t xml:space="preserve">of </w:t>
      </w:r>
      <w:r w:rsidR="00995DB3" w:rsidRPr="00114C3C">
        <w:rPr>
          <w:iCs/>
        </w:rPr>
        <w:t>section 12 of the Online Rules</w:t>
      </w:r>
      <w:r w:rsidR="00A8269A">
        <w:rPr>
          <w:iCs/>
        </w:rPr>
        <w:t xml:space="preserve"> and the extent of the contravention</w:t>
      </w:r>
      <w:r w:rsidR="00E47389">
        <w:rPr>
          <w:iCs/>
        </w:rPr>
        <w:t>.</w:t>
      </w:r>
      <w:bookmarkStart w:id="3" w:name="_Hlk117850222"/>
      <w:r w:rsidR="0068238F">
        <w:rPr>
          <w:iCs/>
        </w:rPr>
        <w:t xml:space="preserve"> </w:t>
      </w:r>
    </w:p>
    <w:p w14:paraId="1293887C" w14:textId="1DD06497" w:rsidR="00DC3084" w:rsidRDefault="00DC3084" w:rsidP="00DC3084">
      <w:pPr>
        <w:pStyle w:val="ACMABodyText"/>
        <w:keepNext/>
      </w:pPr>
      <w:r>
        <w:t>The ACMA considers</w:t>
      </w:r>
      <w:r w:rsidR="00340621">
        <w:t xml:space="preserve"> that</w:t>
      </w:r>
      <w:r w:rsidR="00FA6EAC">
        <w:t xml:space="preserve"> </w:t>
      </w:r>
      <w:r w:rsidR="00340621">
        <w:t xml:space="preserve">the record keeping should </w:t>
      </w:r>
      <w:r w:rsidR="00AE5DF4">
        <w:t>include</w:t>
      </w:r>
      <w:r w:rsidR="00340621">
        <w:t xml:space="preserve"> documenting </w:t>
      </w:r>
      <w:r w:rsidR="00AA54F0">
        <w:t xml:space="preserve">of </w:t>
      </w:r>
      <w:r w:rsidR="00AE5DF4">
        <w:t>the</w:t>
      </w:r>
      <w:r w:rsidR="00340621">
        <w:t xml:space="preserve"> content </w:t>
      </w:r>
      <w:r w:rsidR="00AE5DF4">
        <w:t xml:space="preserve">that </w:t>
      </w:r>
      <w:r w:rsidR="00340621">
        <w:t>was provided to particular end-user</w:t>
      </w:r>
      <w:r w:rsidR="00AE5DF4">
        <w:t>s, which is usually</w:t>
      </w:r>
      <w:r w:rsidR="00340621">
        <w:t xml:space="preserve"> the complainant.</w:t>
      </w:r>
      <w:r>
        <w:t xml:space="preserve"> </w:t>
      </w:r>
    </w:p>
    <w:p w14:paraId="41DC1C46" w14:textId="773FD15E" w:rsidR="00DC3084" w:rsidRDefault="00DC3084" w:rsidP="00DC3084">
      <w:pPr>
        <w:pStyle w:val="ACMABodyText"/>
        <w:keepNext/>
      </w:pPr>
      <w:r>
        <w:t xml:space="preserve">In this matter, </w:t>
      </w:r>
      <w:r w:rsidR="00340621">
        <w:t xml:space="preserve">however, </w:t>
      </w:r>
      <w:r>
        <w:t xml:space="preserve">the relevant complainant was anonymous and did not provide their </w:t>
      </w:r>
      <w:r w:rsidR="00D246AE">
        <w:t xml:space="preserve">7plus </w:t>
      </w:r>
      <w:r>
        <w:t xml:space="preserve">log-in details. It was therefore not possible to test whether Seven was able to ascertain whether </w:t>
      </w:r>
      <w:r w:rsidR="00340621">
        <w:t>this</w:t>
      </w:r>
      <w:r>
        <w:t xml:space="preserve"> particular end-user was provided with gambling promotional content during </w:t>
      </w:r>
      <w:r w:rsidR="005A100E">
        <w:t xml:space="preserve">the </w:t>
      </w:r>
      <w:r>
        <w:t xml:space="preserve">live coverage of the </w:t>
      </w:r>
      <w:r w:rsidR="00340621">
        <w:t>N</w:t>
      </w:r>
      <w:r>
        <w:t xml:space="preserve">FL game. </w:t>
      </w:r>
    </w:p>
    <w:p w14:paraId="5E1F5CE2" w14:textId="0688E264" w:rsidR="00470AE2" w:rsidRPr="00DC3084" w:rsidRDefault="00470AE2" w:rsidP="00DC3084">
      <w:pPr>
        <w:pStyle w:val="ACMABodyText"/>
        <w:spacing w:after="120"/>
        <w:rPr>
          <w:iCs/>
        </w:rPr>
      </w:pPr>
      <w:r w:rsidRPr="00EC218E">
        <w:rPr>
          <w:lang w:eastAsia="en-AU"/>
        </w:rPr>
        <w:t>The ACMA considers that, in these circumstances, S</w:t>
      </w:r>
      <w:r w:rsidR="00631C76">
        <w:rPr>
          <w:lang w:eastAsia="en-AU"/>
        </w:rPr>
        <w:t>even</w:t>
      </w:r>
      <w:r w:rsidRPr="00EC218E">
        <w:rPr>
          <w:lang w:eastAsia="en-AU"/>
        </w:rPr>
        <w:t xml:space="preserve"> did make records sufficient to enable the provider’s compliance with the Online Rules to be readily ascertained.</w:t>
      </w:r>
      <w:r w:rsidR="00340621" w:rsidRPr="00340621">
        <w:t xml:space="preserve"> </w:t>
      </w:r>
      <w:r w:rsidR="00340621">
        <w:t xml:space="preserve">This </w:t>
      </w:r>
      <w:r w:rsidR="00340621">
        <w:lastRenderedPageBreak/>
        <w:t>include</w:t>
      </w:r>
      <w:r w:rsidR="00487DEA">
        <w:t>d</w:t>
      </w:r>
      <w:r w:rsidR="00340621">
        <w:t xml:space="preserve"> producing records to show the </w:t>
      </w:r>
      <w:r w:rsidR="00656A38">
        <w:t xml:space="preserve">approximate number of end-users and the </w:t>
      </w:r>
      <w:r w:rsidR="00340621">
        <w:t>exact number of advertising impressions that were served to end-users during the NFL Game, in contravention of the Online Rules.</w:t>
      </w:r>
    </w:p>
    <w:bookmarkEnd w:id="3"/>
    <w:p w14:paraId="60EB7879" w14:textId="77777777" w:rsidR="00A35C39" w:rsidRDefault="00585EE2" w:rsidP="002C5949">
      <w:pPr>
        <w:pStyle w:val="ACMABodyText"/>
        <w:spacing w:after="120"/>
        <w:rPr>
          <w:rFonts w:cs="Arial"/>
        </w:rPr>
      </w:pPr>
      <w:r w:rsidRPr="005B6AA8">
        <w:rPr>
          <w:rFonts w:cs="Arial"/>
        </w:rPr>
        <w:t>Accordingly, the ACMA</w:t>
      </w:r>
      <w:r>
        <w:rPr>
          <w:rFonts w:cs="Arial"/>
        </w:rPr>
        <w:t xml:space="preserve"> finds</w:t>
      </w:r>
      <w:r w:rsidRPr="005B6AA8">
        <w:rPr>
          <w:rFonts w:cs="Arial"/>
        </w:rPr>
        <w:t xml:space="preserve"> that </w:t>
      </w:r>
      <w:r w:rsidRPr="00F4622D">
        <w:rPr>
          <w:rFonts w:cs="Arial"/>
        </w:rPr>
        <w:t>Seven</w:t>
      </w:r>
      <w:r w:rsidR="005435CF">
        <w:rPr>
          <w:rFonts w:cs="Arial"/>
        </w:rPr>
        <w:t xml:space="preserve"> </w:t>
      </w:r>
      <w:r>
        <w:rPr>
          <w:rFonts w:cs="Arial"/>
        </w:rPr>
        <w:t>did not contravene</w:t>
      </w:r>
      <w:r w:rsidRPr="005B6AA8">
        <w:rPr>
          <w:rFonts w:cs="Arial"/>
        </w:rPr>
        <w:t xml:space="preserve"> subsection 21(1) of the Online Rules.</w:t>
      </w:r>
    </w:p>
    <w:p w14:paraId="7A59C54F" w14:textId="77777777" w:rsidR="00A35C39" w:rsidRDefault="00A35C39">
      <w:pPr>
        <w:spacing w:before="0" w:after="0" w:line="240" w:lineRule="auto"/>
        <w:rPr>
          <w:rFonts w:cs="Arial"/>
          <w:i w:val="0"/>
          <w:snapToGrid w:val="0"/>
          <w:szCs w:val="20"/>
        </w:rPr>
      </w:pPr>
      <w:r>
        <w:rPr>
          <w:rFonts w:cs="Arial"/>
        </w:rPr>
        <w:br w:type="page"/>
      </w:r>
    </w:p>
    <w:p w14:paraId="4A496532" w14:textId="733919B7" w:rsidR="00934ECC" w:rsidRPr="001A0E4A" w:rsidRDefault="00934ECC" w:rsidP="004B3087">
      <w:pPr>
        <w:pStyle w:val="ACMAHeading2"/>
        <w:pageBreakBefore/>
        <w:spacing w:after="240"/>
        <w:jc w:val="right"/>
        <w:rPr>
          <w:iCs/>
        </w:rPr>
      </w:pPr>
      <w:r w:rsidRPr="004318C4">
        <w:rPr>
          <w:b w:val="0"/>
          <w:iCs/>
        </w:rPr>
        <w:lastRenderedPageBreak/>
        <w:t>Attachment A</w:t>
      </w:r>
    </w:p>
    <w:p w14:paraId="010F6B5B" w14:textId="77FFC019" w:rsidR="00CD0ACF" w:rsidRPr="001A0E4A" w:rsidRDefault="00CD0ACF" w:rsidP="004B3087">
      <w:pPr>
        <w:pStyle w:val="ACMAHeading3"/>
        <w:spacing w:after="120"/>
        <w:rPr>
          <w:iCs/>
          <w:sz w:val="28"/>
          <w:szCs w:val="28"/>
        </w:rPr>
      </w:pPr>
      <w:r w:rsidRPr="004318C4">
        <w:rPr>
          <w:b w:val="0"/>
          <w:iCs/>
          <w:sz w:val="28"/>
          <w:szCs w:val="28"/>
        </w:rPr>
        <w:t>Relevant provisions</w:t>
      </w:r>
      <w:bookmarkStart w:id="4" w:name="BKCheck15B_3"/>
      <w:bookmarkEnd w:id="4"/>
    </w:p>
    <w:p w14:paraId="47963D67" w14:textId="53492682" w:rsidR="00CD0ACF" w:rsidRPr="00834A2A" w:rsidRDefault="00CD0ACF" w:rsidP="004B3087">
      <w:pPr>
        <w:pStyle w:val="ACMAHeading3"/>
        <w:spacing w:after="120"/>
        <w:rPr>
          <w:iCs/>
          <w:sz w:val="20"/>
        </w:rPr>
      </w:pPr>
      <w:r w:rsidRPr="004318C4">
        <w:rPr>
          <w:b w:val="0"/>
          <w:iCs/>
        </w:rPr>
        <w:t xml:space="preserve">Schedule 8 to the </w:t>
      </w:r>
      <w:r w:rsidRPr="004318C4">
        <w:rPr>
          <w:b w:val="0"/>
          <w:i/>
        </w:rPr>
        <w:t>Broadcasting Services Act 1992</w:t>
      </w:r>
    </w:p>
    <w:p w14:paraId="69BE6CDC" w14:textId="02564FF0" w:rsidR="00CD0ACF" w:rsidRPr="00834A2A" w:rsidRDefault="00CD0ACF" w:rsidP="00E37B3F">
      <w:pPr>
        <w:pStyle w:val="ACMABodyText"/>
        <w:spacing w:after="120"/>
        <w:ind w:left="284"/>
        <w:rPr>
          <w:rFonts w:cs="Arial"/>
          <w:b/>
          <w:iCs/>
          <w:sz w:val="18"/>
          <w:szCs w:val="18"/>
        </w:rPr>
      </w:pPr>
      <w:r w:rsidRPr="004318C4">
        <w:rPr>
          <w:rFonts w:cs="Arial"/>
          <w:b/>
          <w:iCs/>
          <w:sz w:val="18"/>
          <w:szCs w:val="18"/>
        </w:rPr>
        <w:t>2 Definitions</w:t>
      </w:r>
    </w:p>
    <w:p w14:paraId="4963346C" w14:textId="2D13D59A" w:rsidR="00CD0ACF" w:rsidRPr="00834A2A" w:rsidRDefault="00CD0ACF" w:rsidP="00E37B3F">
      <w:pPr>
        <w:pStyle w:val="ACMABodyText"/>
        <w:spacing w:after="120"/>
        <w:ind w:left="284"/>
        <w:rPr>
          <w:rFonts w:cs="Arial"/>
          <w:iCs/>
          <w:sz w:val="18"/>
          <w:szCs w:val="18"/>
        </w:rPr>
      </w:pPr>
      <w:r w:rsidRPr="00834A2A">
        <w:rPr>
          <w:rFonts w:cs="Arial"/>
          <w:b/>
          <w:bCs/>
          <w:iCs/>
          <w:sz w:val="18"/>
          <w:szCs w:val="18"/>
        </w:rPr>
        <w:t>gambling promotional content</w:t>
      </w:r>
      <w:r w:rsidRPr="004318C4">
        <w:rPr>
          <w:rFonts w:cs="Arial"/>
          <w:iCs/>
          <w:sz w:val="18"/>
          <w:szCs w:val="18"/>
        </w:rPr>
        <w:t> means:</w:t>
      </w:r>
    </w:p>
    <w:p w14:paraId="7DDF00C7" w14:textId="402DC736" w:rsidR="00CD0ACF" w:rsidRPr="00834A2A" w:rsidRDefault="00CD0ACF" w:rsidP="00E37B3F">
      <w:pPr>
        <w:pStyle w:val="ACMABodyText"/>
        <w:numPr>
          <w:ilvl w:val="0"/>
          <w:numId w:val="22"/>
        </w:numPr>
        <w:spacing w:after="120"/>
        <w:rPr>
          <w:rFonts w:cs="Arial"/>
          <w:iCs/>
          <w:sz w:val="18"/>
          <w:szCs w:val="18"/>
        </w:rPr>
      </w:pPr>
      <w:r w:rsidRPr="004318C4">
        <w:rPr>
          <w:rFonts w:cs="Arial"/>
          <w:iCs/>
          <w:sz w:val="18"/>
          <w:szCs w:val="18"/>
        </w:rPr>
        <w:t>advertising content; or</w:t>
      </w:r>
    </w:p>
    <w:p w14:paraId="6F2DC18F" w14:textId="33094C75" w:rsidR="00CD0ACF" w:rsidRPr="00834A2A" w:rsidRDefault="00CD0ACF" w:rsidP="00E37B3F">
      <w:pPr>
        <w:pStyle w:val="ACMABodyText"/>
        <w:numPr>
          <w:ilvl w:val="0"/>
          <w:numId w:val="22"/>
        </w:numPr>
        <w:spacing w:after="120"/>
        <w:rPr>
          <w:rFonts w:cs="Arial"/>
          <w:iCs/>
          <w:sz w:val="18"/>
          <w:szCs w:val="18"/>
        </w:rPr>
      </w:pPr>
      <w:r w:rsidRPr="004318C4">
        <w:rPr>
          <w:rFonts w:cs="Arial"/>
          <w:iCs/>
          <w:sz w:val="18"/>
          <w:szCs w:val="18"/>
        </w:rPr>
        <w:t>sponsorship content; or</w:t>
      </w:r>
    </w:p>
    <w:p w14:paraId="4967811C" w14:textId="19DC15DE" w:rsidR="00CD0ACF" w:rsidRPr="00834A2A" w:rsidRDefault="00CD0ACF" w:rsidP="00E37B3F">
      <w:pPr>
        <w:pStyle w:val="ACMABodyText"/>
        <w:numPr>
          <w:ilvl w:val="0"/>
          <w:numId w:val="22"/>
        </w:numPr>
        <w:spacing w:after="120"/>
        <w:rPr>
          <w:rFonts w:cs="Arial"/>
          <w:iCs/>
          <w:sz w:val="18"/>
          <w:szCs w:val="18"/>
        </w:rPr>
      </w:pPr>
      <w:r w:rsidRPr="004318C4">
        <w:rPr>
          <w:rFonts w:cs="Arial"/>
          <w:iCs/>
          <w:sz w:val="18"/>
          <w:szCs w:val="18"/>
        </w:rPr>
        <w:t>promotional content;</w:t>
      </w:r>
    </w:p>
    <w:p w14:paraId="22D0FA3F" w14:textId="1702D1F4" w:rsidR="00CD0ACF" w:rsidRPr="00834A2A" w:rsidRDefault="00CD0ACF" w:rsidP="00E37B3F">
      <w:pPr>
        <w:pStyle w:val="ACMABodyText"/>
        <w:ind w:left="284"/>
        <w:rPr>
          <w:rFonts w:cs="Arial"/>
          <w:iCs/>
          <w:sz w:val="18"/>
          <w:szCs w:val="18"/>
        </w:rPr>
      </w:pPr>
      <w:r w:rsidRPr="004318C4">
        <w:rPr>
          <w:rFonts w:cs="Arial"/>
          <w:iCs/>
          <w:sz w:val="18"/>
          <w:szCs w:val="18"/>
        </w:rPr>
        <w:t>that relates to a gambling service. […]</w:t>
      </w:r>
    </w:p>
    <w:p w14:paraId="461D0C04" w14:textId="5403E515" w:rsidR="00CD0ACF" w:rsidRPr="00834A2A" w:rsidRDefault="00CD0ACF" w:rsidP="00E37B3F">
      <w:pPr>
        <w:pStyle w:val="definition"/>
        <w:shd w:val="clear" w:color="auto" w:fill="FFFFFF"/>
        <w:spacing w:before="180" w:beforeAutospacing="0" w:after="0" w:afterAutospacing="0"/>
        <w:ind w:left="284"/>
        <w:rPr>
          <w:rFonts w:ascii="Arial" w:hAnsi="Arial" w:cs="Arial"/>
          <w:iCs/>
          <w:color w:val="000000"/>
          <w:sz w:val="18"/>
          <w:szCs w:val="18"/>
        </w:rPr>
      </w:pPr>
      <w:r w:rsidRPr="004318C4">
        <w:rPr>
          <w:rFonts w:ascii="Arial" w:hAnsi="Arial" w:cs="Arial"/>
          <w:b/>
          <w:bCs/>
          <w:iCs/>
          <w:color w:val="000000"/>
          <w:sz w:val="18"/>
          <w:szCs w:val="18"/>
        </w:rPr>
        <w:t>online content service</w:t>
      </w:r>
      <w:r w:rsidRPr="004318C4">
        <w:rPr>
          <w:rFonts w:ascii="Arial" w:hAnsi="Arial" w:cs="Arial"/>
          <w:iCs/>
          <w:color w:val="000000"/>
          <w:sz w:val="18"/>
          <w:szCs w:val="18"/>
        </w:rPr>
        <w:t> has the meaning given by clause 3.</w:t>
      </w:r>
    </w:p>
    <w:p w14:paraId="6362DA14" w14:textId="51342D2B" w:rsidR="00CD0ACF" w:rsidRPr="00834A2A" w:rsidRDefault="00CD0ACF" w:rsidP="00E37B3F">
      <w:pPr>
        <w:pStyle w:val="definition"/>
        <w:shd w:val="clear" w:color="auto" w:fill="FFFFFF"/>
        <w:spacing w:before="180" w:beforeAutospacing="0" w:after="0" w:afterAutospacing="0"/>
        <w:ind w:left="284"/>
        <w:rPr>
          <w:rFonts w:ascii="Arial" w:hAnsi="Arial" w:cs="Arial"/>
          <w:iCs/>
          <w:color w:val="000000"/>
          <w:sz w:val="18"/>
          <w:szCs w:val="18"/>
        </w:rPr>
      </w:pPr>
      <w:r w:rsidRPr="004318C4">
        <w:rPr>
          <w:rFonts w:ascii="Arial" w:hAnsi="Arial" w:cs="Arial"/>
          <w:b/>
          <w:bCs/>
          <w:iCs/>
          <w:color w:val="000000"/>
          <w:sz w:val="18"/>
          <w:szCs w:val="18"/>
        </w:rPr>
        <w:t>online content service provider</w:t>
      </w:r>
      <w:r w:rsidRPr="004318C4">
        <w:rPr>
          <w:rFonts w:ascii="Arial" w:hAnsi="Arial" w:cs="Arial"/>
          <w:iCs/>
          <w:color w:val="000000"/>
          <w:sz w:val="18"/>
          <w:szCs w:val="18"/>
        </w:rPr>
        <w:t> means a person who provides an online content service.</w:t>
      </w:r>
    </w:p>
    <w:p w14:paraId="62552F4B" w14:textId="2B4D33B1" w:rsidR="00CD0ACF" w:rsidRPr="004318C4" w:rsidRDefault="00CD0ACF" w:rsidP="00E37B3F">
      <w:pPr>
        <w:pStyle w:val="notetext"/>
        <w:shd w:val="clear" w:color="auto" w:fill="FFFFFF"/>
        <w:spacing w:before="122" w:beforeAutospacing="0" w:after="0" w:afterAutospacing="0"/>
        <w:ind w:left="284"/>
        <w:rPr>
          <w:rFonts w:ascii="Arial" w:hAnsi="Arial" w:cs="Arial"/>
          <w:iCs/>
          <w:color w:val="000000"/>
          <w:sz w:val="16"/>
          <w:szCs w:val="16"/>
        </w:rPr>
      </w:pPr>
      <w:r w:rsidRPr="004318C4">
        <w:rPr>
          <w:rFonts w:ascii="Arial" w:hAnsi="Arial" w:cs="Arial"/>
          <w:iCs/>
          <w:color w:val="000000"/>
          <w:sz w:val="16"/>
          <w:szCs w:val="16"/>
        </w:rPr>
        <w:t>Note:          See clause 6.</w:t>
      </w:r>
    </w:p>
    <w:p w14:paraId="79043E03" w14:textId="4BC4DBC0" w:rsidR="00CD0ACF" w:rsidRPr="00834A2A" w:rsidRDefault="00CD0ACF" w:rsidP="00E37B3F">
      <w:pPr>
        <w:pStyle w:val="ACMABodyText"/>
        <w:ind w:left="357"/>
        <w:rPr>
          <w:rFonts w:cs="Arial"/>
          <w:iCs/>
          <w:sz w:val="18"/>
          <w:szCs w:val="18"/>
        </w:rPr>
      </w:pPr>
    </w:p>
    <w:p w14:paraId="32CBFD44" w14:textId="6020BCC2" w:rsidR="00CD0ACF" w:rsidRPr="004318C4" w:rsidRDefault="00CD0ACF" w:rsidP="00E37B3F">
      <w:pPr>
        <w:pStyle w:val="ACMABodyText"/>
        <w:ind w:left="357"/>
        <w:rPr>
          <w:rFonts w:cs="Arial"/>
          <w:b/>
          <w:bCs/>
          <w:iCs/>
          <w:color w:val="000000"/>
          <w:sz w:val="18"/>
          <w:szCs w:val="18"/>
          <w:lang w:eastAsia="en-AU"/>
        </w:rPr>
      </w:pPr>
      <w:r w:rsidRPr="004318C4">
        <w:rPr>
          <w:rFonts w:cs="Arial"/>
          <w:b/>
          <w:bCs/>
          <w:iCs/>
          <w:sz w:val="18"/>
          <w:szCs w:val="18"/>
        </w:rPr>
        <w:t>3 Online content service</w:t>
      </w:r>
    </w:p>
    <w:p w14:paraId="56BFDD10" w14:textId="1C149F01" w:rsidR="00CD0ACF" w:rsidRPr="00834A2A" w:rsidRDefault="00CD0ACF" w:rsidP="00E37B3F">
      <w:pPr>
        <w:pStyle w:val="ACMABodyText"/>
        <w:numPr>
          <w:ilvl w:val="0"/>
          <w:numId w:val="24"/>
        </w:numPr>
        <w:spacing w:after="120"/>
        <w:rPr>
          <w:rFonts w:cs="Arial"/>
          <w:iCs/>
          <w:sz w:val="18"/>
          <w:szCs w:val="18"/>
          <w:lang w:eastAsia="en-AU"/>
        </w:rPr>
      </w:pPr>
      <w:r w:rsidRPr="004318C4">
        <w:rPr>
          <w:rFonts w:cs="Arial"/>
          <w:iCs/>
          <w:sz w:val="18"/>
          <w:szCs w:val="18"/>
          <w:lang w:eastAsia="en-AU"/>
        </w:rPr>
        <w:t>For the purposes of this Schedule, online content service means:</w:t>
      </w:r>
    </w:p>
    <w:p w14:paraId="199093F8" w14:textId="191C930D"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(a)  a service that delivers content to persons having equipment appropriate for receiving that content, where the delivery of the service is by means of an internet carriage service; or</w:t>
      </w:r>
    </w:p>
    <w:p w14:paraId="5A894CCF" w14:textId="198B28FF"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(b)  a service that allows end</w:t>
      </w:r>
      <w:r w:rsidRPr="004318C4">
        <w:rPr>
          <w:rFonts w:cs="Arial"/>
          <w:iCs/>
          <w:sz w:val="18"/>
          <w:szCs w:val="18"/>
          <w:lang w:eastAsia="en-AU"/>
        </w:rPr>
        <w:noBreakHyphen/>
        <w:t>users to access content using an internet carriage service;</w:t>
      </w:r>
    </w:p>
    <w:p w14:paraId="6054987C" w14:textId="2D251F12"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where the service:</w:t>
      </w:r>
    </w:p>
    <w:p w14:paraId="286AAD7B" w14:textId="39A2CD23"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 xml:space="preserve"> (c)  is provided to the public (whether on payment of a fee or otherwise); and</w:t>
      </w:r>
    </w:p>
    <w:p w14:paraId="1F8E18C2" w14:textId="01AAF1B7"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 xml:space="preserve"> (d)  has a geographical link to Australia;</w:t>
      </w:r>
    </w:p>
    <w:p w14:paraId="2958927C" w14:textId="3FFBBF3F"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but does not include a service to the extent to which it is:</w:t>
      </w:r>
    </w:p>
    <w:p w14:paraId="45F867E1" w14:textId="5B59A532"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(e)  an exempt online simulcast service; or</w:t>
      </w:r>
    </w:p>
    <w:p w14:paraId="65B5EB7E" w14:textId="7E4C2823" w:rsidR="00CD0ACF" w:rsidRPr="00834A2A" w:rsidRDefault="00CD0ACF" w:rsidP="00E37B3F">
      <w:pPr>
        <w:pStyle w:val="ACMABodyText"/>
        <w:spacing w:after="120"/>
        <w:ind w:left="357"/>
        <w:rPr>
          <w:rFonts w:cs="Arial"/>
          <w:iCs/>
          <w:sz w:val="18"/>
          <w:szCs w:val="18"/>
          <w:lang w:eastAsia="en-AU"/>
        </w:rPr>
      </w:pPr>
      <w:r w:rsidRPr="004318C4">
        <w:rPr>
          <w:rFonts w:cs="Arial"/>
          <w:iCs/>
          <w:sz w:val="18"/>
          <w:szCs w:val="18"/>
          <w:lang w:eastAsia="en-AU"/>
        </w:rPr>
        <w:t>[…]</w:t>
      </w:r>
    </w:p>
    <w:p w14:paraId="0F1828ED" w14:textId="743EFF71" w:rsidR="00CD0ACF" w:rsidRPr="00834A2A" w:rsidRDefault="00CD0ACF" w:rsidP="00E37B3F">
      <w:pPr>
        <w:pStyle w:val="ACMABodyText"/>
        <w:ind w:firstLine="357"/>
        <w:rPr>
          <w:rFonts w:cs="Arial"/>
          <w:b/>
          <w:iCs/>
          <w:sz w:val="18"/>
          <w:szCs w:val="18"/>
        </w:rPr>
      </w:pPr>
      <w:r w:rsidRPr="004318C4">
        <w:rPr>
          <w:rFonts w:cs="Arial"/>
          <w:b/>
          <w:iCs/>
          <w:sz w:val="18"/>
          <w:szCs w:val="18"/>
        </w:rPr>
        <w:t>4 Exempt online simulcast service</w:t>
      </w:r>
    </w:p>
    <w:p w14:paraId="2CE6D202" w14:textId="70296DC6" w:rsidR="00CD0ACF" w:rsidRPr="00834A2A" w:rsidRDefault="00CD0ACF" w:rsidP="00E37B3F">
      <w:pPr>
        <w:pStyle w:val="ACMABodyText"/>
        <w:numPr>
          <w:ilvl w:val="0"/>
          <w:numId w:val="25"/>
        </w:numPr>
        <w:spacing w:after="120"/>
        <w:rPr>
          <w:rFonts w:cs="Arial"/>
          <w:iCs/>
          <w:sz w:val="18"/>
          <w:szCs w:val="18"/>
          <w:lang w:eastAsia="en-AU"/>
        </w:rPr>
      </w:pPr>
      <w:r w:rsidRPr="004318C4">
        <w:rPr>
          <w:rFonts w:cs="Arial"/>
          <w:iCs/>
          <w:sz w:val="18"/>
          <w:szCs w:val="18"/>
          <w:lang w:eastAsia="en-AU"/>
        </w:rPr>
        <w:t>For the purposes of this Schedule, exempt online simulcast service means a service, or a part of a service, that is provided to end</w:t>
      </w:r>
      <w:r w:rsidRPr="004318C4">
        <w:rPr>
          <w:rFonts w:cs="Arial"/>
          <w:iCs/>
          <w:sz w:val="18"/>
          <w:szCs w:val="18"/>
          <w:lang w:eastAsia="en-AU"/>
        </w:rPr>
        <w:noBreakHyphen/>
        <w:t>users using an internet carriage service, and that:</w:t>
      </w:r>
    </w:p>
    <w:p w14:paraId="2E135C43" w14:textId="712E7C58" w:rsidR="00CD0ACF" w:rsidRPr="00834A2A" w:rsidRDefault="00CD0ACF" w:rsidP="00E37B3F">
      <w:pPr>
        <w:pStyle w:val="ACMABodyText"/>
        <w:spacing w:after="120"/>
        <w:ind w:left="720"/>
        <w:rPr>
          <w:rFonts w:cs="Arial"/>
          <w:iCs/>
          <w:sz w:val="18"/>
          <w:szCs w:val="18"/>
          <w:lang w:eastAsia="en-AU"/>
        </w:rPr>
      </w:pPr>
      <w:r w:rsidRPr="004318C4">
        <w:rPr>
          <w:rFonts w:cs="Arial"/>
          <w:iCs/>
          <w:sz w:val="18"/>
          <w:szCs w:val="18"/>
          <w:lang w:eastAsia="en-AU"/>
        </w:rPr>
        <w:t>(a)  does no more than provide a stream of content that is identical to the stream of programs transmitted on:</w:t>
      </w:r>
    </w:p>
    <w:p w14:paraId="37C73F65" w14:textId="09BC75FE"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(i)  a commercial television broadcasting service provided under a commercial television broadcasting licence; or</w:t>
      </w:r>
    </w:p>
    <w:p w14:paraId="71D7E359" w14:textId="2EBAC416"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(ii)  a commercial radio broadcasting service provided under a commercial radio broadcasting licence; or</w:t>
      </w:r>
    </w:p>
    <w:p w14:paraId="0239CF7D" w14:textId="22B26B24"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(iii)  a subscription television broadcasting service provided under a subscription television broadcasting licence; or</w:t>
      </w:r>
    </w:p>
    <w:p w14:paraId="7ED98F26" w14:textId="711C9D6C"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(iv)  a subscription radio narrowcasting service; or</w:t>
      </w:r>
    </w:p>
    <w:p w14:paraId="7B55B378" w14:textId="58DBD76C"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(v)  a subscription television narrowcasting service; or</w:t>
      </w:r>
    </w:p>
    <w:p w14:paraId="21D2ED85" w14:textId="21E990B3" w:rsidR="00CD0ACF" w:rsidRPr="00834A2A" w:rsidRDefault="00CD0ACF" w:rsidP="00E37B3F">
      <w:pPr>
        <w:pStyle w:val="ACMABodyText"/>
        <w:spacing w:after="120"/>
        <w:ind w:left="1083"/>
        <w:rPr>
          <w:rFonts w:cs="Arial"/>
          <w:iCs/>
          <w:sz w:val="18"/>
          <w:szCs w:val="18"/>
          <w:lang w:eastAsia="en-AU"/>
        </w:rPr>
      </w:pPr>
      <w:r w:rsidRPr="004318C4">
        <w:rPr>
          <w:rFonts w:cs="Arial"/>
          <w:iCs/>
          <w:sz w:val="18"/>
          <w:szCs w:val="18"/>
          <w:lang w:eastAsia="en-AU"/>
        </w:rPr>
        <w:t>(vi)  a broadcasting service provided by the Special Broadcasting Service Corporation; and</w:t>
      </w:r>
    </w:p>
    <w:p w14:paraId="33EEC296" w14:textId="570BF948" w:rsidR="00CD0ACF" w:rsidRPr="00834A2A" w:rsidRDefault="00CD0ACF" w:rsidP="00E37B3F">
      <w:pPr>
        <w:pStyle w:val="ACMABodyText"/>
        <w:spacing w:after="120"/>
        <w:ind w:left="789"/>
        <w:rPr>
          <w:rFonts w:cs="Arial"/>
          <w:iCs/>
          <w:sz w:val="18"/>
          <w:szCs w:val="18"/>
          <w:lang w:eastAsia="en-AU"/>
        </w:rPr>
      </w:pPr>
      <w:r w:rsidRPr="004318C4">
        <w:rPr>
          <w:rFonts w:cs="Arial"/>
          <w:iCs/>
          <w:sz w:val="18"/>
          <w:szCs w:val="18"/>
          <w:lang w:eastAsia="en-AU"/>
        </w:rPr>
        <w:lastRenderedPageBreak/>
        <w:t>(b)  provides that stream of content simultaneously, or almost simultaneously, with the transmission of that stream of programs.</w:t>
      </w:r>
    </w:p>
    <w:p w14:paraId="69ABC1F7" w14:textId="66FA861E" w:rsidR="00CD0ACF" w:rsidRPr="00834A2A" w:rsidRDefault="00CD0ACF" w:rsidP="00E37B3F">
      <w:pPr>
        <w:pStyle w:val="ACMABodyText"/>
        <w:numPr>
          <w:ilvl w:val="0"/>
          <w:numId w:val="25"/>
        </w:numPr>
        <w:spacing w:after="120"/>
        <w:rPr>
          <w:rFonts w:cs="Arial"/>
          <w:iCs/>
          <w:sz w:val="18"/>
          <w:szCs w:val="18"/>
          <w:lang w:eastAsia="en-AU"/>
        </w:rPr>
      </w:pPr>
      <w:r w:rsidRPr="004318C4">
        <w:rPr>
          <w:rFonts w:cs="Arial"/>
          <w:iCs/>
          <w:sz w:val="18"/>
          <w:szCs w:val="18"/>
          <w:lang w:eastAsia="en-AU"/>
        </w:rPr>
        <w:t>For the purposes of subclause (1), in determining whether a stream of content is identical to a stream of programs, disregard any differences that are attributable to the technical characteristics of the provision or transmission (for example, video resolution or sound quality).</w:t>
      </w:r>
    </w:p>
    <w:p w14:paraId="7D3D19E3" w14:textId="7E430C75" w:rsidR="00CD0ACF" w:rsidRPr="00834A2A" w:rsidRDefault="00CD0ACF" w:rsidP="00E37B3F">
      <w:pPr>
        <w:pStyle w:val="ACMABodyText"/>
        <w:numPr>
          <w:ilvl w:val="0"/>
          <w:numId w:val="25"/>
        </w:numPr>
        <w:spacing w:after="120"/>
        <w:rPr>
          <w:rFonts w:cs="Arial"/>
          <w:iCs/>
          <w:sz w:val="18"/>
          <w:szCs w:val="18"/>
          <w:lang w:eastAsia="en-AU"/>
        </w:rPr>
      </w:pPr>
      <w:r w:rsidRPr="004318C4">
        <w:rPr>
          <w:rFonts w:cs="Arial"/>
          <w:iCs/>
          <w:sz w:val="18"/>
          <w:szCs w:val="18"/>
          <w:lang w:eastAsia="en-AU"/>
        </w:rPr>
        <w:t>For the purposes of subclause (1), in determining whether a stream of content is identical to a stream of programs, disregard the presence or absence of:</w:t>
      </w:r>
    </w:p>
    <w:p w14:paraId="2C170EA7" w14:textId="1282B5DA" w:rsidR="00CD0ACF" w:rsidRPr="00834A2A" w:rsidRDefault="00CD0ACF" w:rsidP="00E37B3F">
      <w:pPr>
        <w:pStyle w:val="ACMABodyText"/>
        <w:spacing w:after="120"/>
        <w:ind w:left="567"/>
        <w:rPr>
          <w:rFonts w:cs="Arial"/>
          <w:iCs/>
          <w:sz w:val="18"/>
          <w:szCs w:val="18"/>
          <w:lang w:eastAsia="en-AU"/>
        </w:rPr>
      </w:pPr>
      <w:r w:rsidRPr="004318C4">
        <w:rPr>
          <w:rFonts w:cs="Arial"/>
          <w:iCs/>
          <w:sz w:val="18"/>
          <w:szCs w:val="18"/>
          <w:lang w:eastAsia="en-AU"/>
        </w:rPr>
        <w:t>(a)  a watermark</w:t>
      </w:r>
      <w:r w:rsidRPr="004318C4">
        <w:rPr>
          <w:rFonts w:cs="Arial"/>
          <w:iCs/>
          <w:sz w:val="18"/>
          <w:szCs w:val="18"/>
          <w:lang w:eastAsia="en-AU"/>
        </w:rPr>
        <w:noBreakHyphen/>
        <w:t>type logo; or</w:t>
      </w:r>
    </w:p>
    <w:p w14:paraId="0B99F9CF" w14:textId="4D7A3141" w:rsidR="00CD0ACF" w:rsidRPr="00834A2A" w:rsidRDefault="00CD0ACF" w:rsidP="00E37B3F">
      <w:pPr>
        <w:pStyle w:val="ACMABodyText"/>
        <w:spacing w:after="120"/>
        <w:ind w:left="567"/>
        <w:rPr>
          <w:rFonts w:cs="Arial"/>
          <w:iCs/>
          <w:sz w:val="18"/>
          <w:szCs w:val="18"/>
          <w:lang w:eastAsia="en-AU"/>
        </w:rPr>
      </w:pPr>
      <w:r w:rsidRPr="004318C4">
        <w:rPr>
          <w:rFonts w:cs="Arial"/>
          <w:iCs/>
          <w:sz w:val="18"/>
          <w:szCs w:val="18"/>
          <w:lang w:eastAsia="en-AU"/>
        </w:rPr>
        <w:t>(b)  a watermark</w:t>
      </w:r>
      <w:r w:rsidRPr="004318C4">
        <w:rPr>
          <w:rFonts w:cs="Arial"/>
          <w:iCs/>
          <w:sz w:val="18"/>
          <w:szCs w:val="18"/>
          <w:lang w:eastAsia="en-AU"/>
        </w:rPr>
        <w:noBreakHyphen/>
        <w:t>type insignia;</w:t>
      </w:r>
    </w:p>
    <w:p w14:paraId="2D112536" w14:textId="67E8BBA7" w:rsidR="00CD0ACF" w:rsidRPr="00834A2A" w:rsidRDefault="00CD0ACF" w:rsidP="00E37B3F">
      <w:pPr>
        <w:pStyle w:val="acthead5"/>
        <w:shd w:val="clear" w:color="auto" w:fill="FFFFFF"/>
        <w:spacing w:before="280" w:beforeAutospacing="0" w:after="0" w:afterAutospacing="0"/>
        <w:ind w:left="1134" w:hanging="850"/>
        <w:rPr>
          <w:rFonts w:ascii="Arial" w:hAnsi="Arial" w:cs="Arial"/>
          <w:iCs/>
          <w:sz w:val="18"/>
          <w:szCs w:val="18"/>
        </w:rPr>
      </w:pPr>
      <w:r w:rsidRPr="004318C4">
        <w:rPr>
          <w:rFonts w:ascii="Arial" w:hAnsi="Arial" w:cs="Arial"/>
          <w:iCs/>
          <w:sz w:val="18"/>
          <w:szCs w:val="18"/>
        </w:rPr>
        <w:t>that is not gambling promotional content. […]</w:t>
      </w:r>
      <w:bookmarkStart w:id="5" w:name="_Toc96605032"/>
    </w:p>
    <w:p w14:paraId="05CD4623" w14:textId="50A2B59A" w:rsidR="00CD0ACF" w:rsidRPr="00834A2A" w:rsidRDefault="00CD0ACF" w:rsidP="00E37B3F">
      <w:pPr>
        <w:pStyle w:val="acthead5"/>
        <w:shd w:val="clear" w:color="auto" w:fill="FFFFFF"/>
        <w:spacing w:before="280" w:beforeAutospacing="0" w:after="0" w:afterAutospacing="0"/>
        <w:ind w:left="1134" w:hanging="850"/>
        <w:rPr>
          <w:rFonts w:ascii="Arial" w:hAnsi="Arial" w:cs="Arial"/>
          <w:b/>
          <w:bCs/>
          <w:iCs/>
          <w:color w:val="000000"/>
          <w:sz w:val="18"/>
          <w:szCs w:val="18"/>
        </w:rPr>
      </w:pPr>
      <w:bookmarkStart w:id="6" w:name="_Toc96605057"/>
      <w:bookmarkEnd w:id="5"/>
      <w:r w:rsidRPr="004318C4">
        <w:rPr>
          <w:rStyle w:val="charsectno"/>
          <w:rFonts w:ascii="Arial" w:hAnsi="Arial" w:cs="Arial"/>
          <w:b/>
          <w:bCs/>
          <w:iCs/>
          <w:color w:val="000000"/>
          <w:sz w:val="18"/>
          <w:szCs w:val="18"/>
        </w:rPr>
        <w:t>6</w:t>
      </w:r>
      <w:r w:rsidRPr="004318C4">
        <w:rPr>
          <w:rFonts w:ascii="Arial" w:hAnsi="Arial" w:cs="Arial"/>
          <w:b/>
          <w:bCs/>
          <w:iCs/>
          <w:color w:val="000000"/>
          <w:sz w:val="18"/>
          <w:szCs w:val="18"/>
        </w:rPr>
        <w:t>  Online content service provider</w:t>
      </w:r>
    </w:p>
    <w:p w14:paraId="2F086510" w14:textId="4579B5B1" w:rsidR="00CD0ACF" w:rsidRPr="00834A2A" w:rsidRDefault="00CD0ACF" w:rsidP="00E37B3F">
      <w:pPr>
        <w:pStyle w:val="subsection"/>
        <w:shd w:val="clear" w:color="auto" w:fill="FFFFFF"/>
        <w:spacing w:before="180" w:beforeAutospacing="0" w:after="0" w:afterAutospacing="0"/>
        <w:ind w:left="709" w:hanging="425"/>
        <w:rPr>
          <w:rFonts w:ascii="Arial" w:hAnsi="Arial" w:cs="Arial"/>
          <w:iCs/>
          <w:color w:val="000000"/>
          <w:sz w:val="18"/>
          <w:szCs w:val="18"/>
        </w:rPr>
      </w:pPr>
      <w:r w:rsidRPr="004318C4">
        <w:rPr>
          <w:rFonts w:ascii="Arial" w:hAnsi="Arial" w:cs="Arial"/>
          <w:iCs/>
          <w:color w:val="000000"/>
          <w:sz w:val="18"/>
          <w:szCs w:val="18"/>
        </w:rPr>
        <w:t>(1)  For the purposes of this Schedule, a person does not provide an online content service merely because the person supplies an internet carriage service that enables content to be delivered or accessed.</w:t>
      </w:r>
    </w:p>
    <w:p w14:paraId="7019E110" w14:textId="557A0FF0" w:rsidR="00CD0ACF" w:rsidRPr="00834A2A" w:rsidRDefault="00CD0ACF" w:rsidP="00E37B3F">
      <w:pPr>
        <w:pStyle w:val="subsection"/>
        <w:shd w:val="clear" w:color="auto" w:fill="FFFFFF"/>
        <w:spacing w:before="180" w:beforeAutospacing="0" w:after="0" w:afterAutospacing="0"/>
        <w:ind w:left="709" w:hanging="425"/>
        <w:rPr>
          <w:rFonts w:ascii="Arial" w:hAnsi="Arial" w:cs="Arial"/>
          <w:iCs/>
          <w:color w:val="000000"/>
          <w:sz w:val="18"/>
          <w:szCs w:val="18"/>
        </w:rPr>
      </w:pPr>
      <w:r w:rsidRPr="004318C4">
        <w:rPr>
          <w:rFonts w:ascii="Arial" w:hAnsi="Arial" w:cs="Arial"/>
          <w:iCs/>
          <w:color w:val="000000"/>
          <w:sz w:val="18"/>
          <w:szCs w:val="18"/>
        </w:rPr>
        <w:t>(2)  For the purposes of this Schedule, a person does not provide an online content service merely because the person provides a billing service, or a fee collection service, in relation to an online content service.</w:t>
      </w:r>
    </w:p>
    <w:p w14:paraId="2BDC233E" w14:textId="28B52FD1" w:rsidR="00CD0ACF" w:rsidRPr="00834A2A" w:rsidRDefault="00CD0ACF" w:rsidP="00E37B3F">
      <w:pPr>
        <w:pStyle w:val="subsection"/>
        <w:shd w:val="clear" w:color="auto" w:fill="FFFFFF"/>
        <w:spacing w:before="180" w:beforeAutospacing="0" w:after="0" w:afterAutospacing="0"/>
        <w:ind w:left="709" w:hanging="425"/>
        <w:rPr>
          <w:rFonts w:ascii="Arial" w:hAnsi="Arial" w:cs="Arial"/>
          <w:iCs/>
          <w:color w:val="000000"/>
          <w:sz w:val="18"/>
          <w:szCs w:val="18"/>
        </w:rPr>
      </w:pPr>
      <w:r w:rsidRPr="004318C4">
        <w:rPr>
          <w:rFonts w:ascii="Arial" w:hAnsi="Arial" w:cs="Arial"/>
          <w:iCs/>
          <w:color w:val="000000"/>
          <w:sz w:val="18"/>
          <w:szCs w:val="18"/>
        </w:rPr>
        <w:t>[…]</w:t>
      </w:r>
    </w:p>
    <w:p w14:paraId="3740C1E3" w14:textId="49F82849" w:rsidR="00CD0ACF" w:rsidRPr="00834A2A" w:rsidRDefault="00CD0ACF" w:rsidP="004B3087">
      <w:pPr>
        <w:pStyle w:val="ACMABodyText"/>
        <w:spacing w:after="120"/>
        <w:rPr>
          <w:rFonts w:cs="Arial"/>
          <w:b/>
          <w:bCs/>
          <w:iCs/>
          <w:sz w:val="18"/>
          <w:szCs w:val="18"/>
        </w:rPr>
      </w:pPr>
    </w:p>
    <w:p w14:paraId="625644CA" w14:textId="08AAF5E5" w:rsidR="00E17080" w:rsidRPr="008D71AF" w:rsidRDefault="00FB39CD" w:rsidP="00E37B3F">
      <w:pPr>
        <w:pStyle w:val="ACMABodyText"/>
        <w:spacing w:after="120"/>
        <w:ind w:left="357"/>
        <w:rPr>
          <w:rFonts w:cs="Arial"/>
          <w:b/>
          <w:bCs/>
          <w:iCs/>
          <w:sz w:val="18"/>
          <w:szCs w:val="18"/>
        </w:rPr>
      </w:pPr>
      <w:r w:rsidRPr="008D71AF">
        <w:rPr>
          <w:rFonts w:cs="Arial"/>
          <w:b/>
          <w:bCs/>
          <w:iCs/>
          <w:sz w:val="18"/>
          <w:szCs w:val="18"/>
        </w:rPr>
        <w:t>18 Gambling service</w:t>
      </w:r>
    </w:p>
    <w:p w14:paraId="1EF4D811" w14:textId="77777777" w:rsidR="00A8727B" w:rsidRPr="008D71AF" w:rsidRDefault="00FB39CD" w:rsidP="00E37B3F">
      <w:pPr>
        <w:pStyle w:val="ACMABodyText"/>
        <w:spacing w:after="120"/>
        <w:ind w:left="357"/>
        <w:rPr>
          <w:rFonts w:cs="Arial"/>
          <w:iCs/>
          <w:sz w:val="18"/>
          <w:szCs w:val="18"/>
        </w:rPr>
      </w:pPr>
      <w:r w:rsidRPr="008D71AF">
        <w:rPr>
          <w:rFonts w:cs="Arial"/>
          <w:iCs/>
          <w:sz w:val="18"/>
          <w:szCs w:val="18"/>
        </w:rPr>
        <w:t xml:space="preserve">For the purposes of this Schedule, gambling service means: </w:t>
      </w:r>
    </w:p>
    <w:p w14:paraId="632D9DFD" w14:textId="77777777" w:rsidR="00A8727B" w:rsidRPr="008D71AF" w:rsidRDefault="00FB39CD" w:rsidP="00A8727B">
      <w:pPr>
        <w:pStyle w:val="ACMABodyText"/>
        <w:spacing w:after="120"/>
        <w:ind w:left="720"/>
        <w:rPr>
          <w:rFonts w:cs="Arial"/>
          <w:iCs/>
          <w:sz w:val="18"/>
          <w:szCs w:val="18"/>
        </w:rPr>
      </w:pPr>
      <w:r w:rsidRPr="008D71AF">
        <w:rPr>
          <w:rFonts w:cs="Arial"/>
          <w:iCs/>
          <w:sz w:val="18"/>
          <w:szCs w:val="18"/>
        </w:rPr>
        <w:t xml:space="preserve">(a) a service for the placing, making, receiving or acceptance of bets; or </w:t>
      </w:r>
    </w:p>
    <w:p w14:paraId="156AF346" w14:textId="77777777" w:rsidR="00A8727B" w:rsidRPr="008D71AF" w:rsidRDefault="00FB39CD" w:rsidP="00A8727B">
      <w:pPr>
        <w:pStyle w:val="ACMABodyText"/>
        <w:spacing w:after="120"/>
        <w:ind w:left="720"/>
        <w:rPr>
          <w:rFonts w:cs="Arial"/>
          <w:iCs/>
          <w:sz w:val="18"/>
          <w:szCs w:val="18"/>
        </w:rPr>
      </w:pPr>
      <w:r w:rsidRPr="008D71AF">
        <w:rPr>
          <w:rFonts w:cs="Arial"/>
          <w:iCs/>
          <w:sz w:val="18"/>
          <w:szCs w:val="18"/>
        </w:rPr>
        <w:t xml:space="preserve">(b) a service the sole or dominant purpose of which is to introduce individuals who wish to make or place bets to individuals who are willing to receive or accept those bets; or </w:t>
      </w:r>
    </w:p>
    <w:p w14:paraId="2E837C94" w14:textId="77777777" w:rsidR="00A8727B" w:rsidRPr="008D71AF" w:rsidRDefault="00FB39CD" w:rsidP="00A8727B">
      <w:pPr>
        <w:pStyle w:val="ACMABodyText"/>
        <w:spacing w:after="120"/>
        <w:ind w:left="720"/>
        <w:rPr>
          <w:rFonts w:cs="Arial"/>
          <w:iCs/>
          <w:sz w:val="18"/>
          <w:szCs w:val="18"/>
        </w:rPr>
      </w:pPr>
      <w:r w:rsidRPr="008D71AF">
        <w:rPr>
          <w:rFonts w:cs="Arial"/>
          <w:iCs/>
          <w:sz w:val="18"/>
          <w:szCs w:val="18"/>
        </w:rPr>
        <w:t xml:space="preserve">(c) a service for the conduct of a lottery; or </w:t>
      </w:r>
    </w:p>
    <w:p w14:paraId="584A9A58" w14:textId="77777777" w:rsidR="00A8727B" w:rsidRPr="008D71AF" w:rsidRDefault="00FB39CD" w:rsidP="00A8727B">
      <w:pPr>
        <w:pStyle w:val="ACMABodyText"/>
        <w:spacing w:after="120"/>
        <w:ind w:left="720"/>
        <w:rPr>
          <w:rFonts w:cs="Arial"/>
          <w:iCs/>
          <w:sz w:val="18"/>
          <w:szCs w:val="18"/>
        </w:rPr>
      </w:pPr>
      <w:r w:rsidRPr="008D71AF">
        <w:rPr>
          <w:rFonts w:cs="Arial"/>
          <w:iCs/>
          <w:sz w:val="18"/>
          <w:szCs w:val="18"/>
        </w:rPr>
        <w:t xml:space="preserve">(d) a service for the supply of lottery tickets; or </w:t>
      </w:r>
    </w:p>
    <w:p w14:paraId="2641331D" w14:textId="17B9F821" w:rsidR="00A8727B" w:rsidRPr="008D71AF" w:rsidRDefault="00FB39CD" w:rsidP="00A8727B">
      <w:pPr>
        <w:pStyle w:val="ACMABodyText"/>
        <w:spacing w:after="120"/>
        <w:ind w:left="720"/>
        <w:rPr>
          <w:rFonts w:cs="Arial"/>
          <w:iCs/>
          <w:sz w:val="18"/>
          <w:szCs w:val="18"/>
        </w:rPr>
      </w:pPr>
      <w:r w:rsidRPr="008D71AF">
        <w:rPr>
          <w:rFonts w:cs="Arial"/>
          <w:iCs/>
          <w:sz w:val="18"/>
          <w:szCs w:val="18"/>
        </w:rPr>
        <w:t xml:space="preserve">(e) a service for the conduct of a game, where: </w:t>
      </w:r>
    </w:p>
    <w:p w14:paraId="22B0BD64" w14:textId="77777777" w:rsidR="00A8727B" w:rsidRPr="008D71AF" w:rsidRDefault="00FB39CD" w:rsidP="008D71AF">
      <w:pPr>
        <w:pStyle w:val="ACMABodyText"/>
        <w:spacing w:after="120"/>
        <w:ind w:left="1440"/>
        <w:rPr>
          <w:rFonts w:cs="Arial"/>
          <w:iCs/>
          <w:sz w:val="18"/>
          <w:szCs w:val="18"/>
        </w:rPr>
      </w:pPr>
      <w:r w:rsidRPr="008D71AF">
        <w:rPr>
          <w:rFonts w:cs="Arial"/>
          <w:iCs/>
          <w:sz w:val="18"/>
          <w:szCs w:val="18"/>
        </w:rPr>
        <w:t xml:space="preserve">(i) the game is played for money or anything else of value; and </w:t>
      </w:r>
    </w:p>
    <w:p w14:paraId="76F7C27F" w14:textId="77777777" w:rsidR="00A8727B" w:rsidRPr="008D71AF" w:rsidRDefault="00FB39CD" w:rsidP="008D71AF">
      <w:pPr>
        <w:pStyle w:val="ACMABodyText"/>
        <w:spacing w:after="120"/>
        <w:ind w:left="1440"/>
        <w:rPr>
          <w:rFonts w:cs="Arial"/>
          <w:iCs/>
          <w:snapToGrid/>
          <w:sz w:val="18"/>
          <w:szCs w:val="18"/>
        </w:rPr>
      </w:pPr>
      <w:r w:rsidRPr="008D71AF">
        <w:rPr>
          <w:rFonts w:cs="Arial"/>
          <w:iCs/>
          <w:sz w:val="18"/>
          <w:szCs w:val="18"/>
        </w:rPr>
        <w:t>(ii) the game is a game of chance or of mixed chance and skill; and</w:t>
      </w:r>
      <w:r w:rsidR="00A8727B" w:rsidRPr="008D71AF">
        <w:rPr>
          <w:rFonts w:cs="Arial"/>
          <w:iCs/>
          <w:snapToGrid/>
          <w:sz w:val="18"/>
          <w:szCs w:val="18"/>
        </w:rPr>
        <w:t xml:space="preserve"> </w:t>
      </w:r>
    </w:p>
    <w:p w14:paraId="61BD99C8" w14:textId="77777777" w:rsidR="00A8727B" w:rsidRPr="008D71AF" w:rsidRDefault="00A8727B" w:rsidP="008D71AF">
      <w:pPr>
        <w:pStyle w:val="ACMABodyText"/>
        <w:spacing w:after="120"/>
        <w:ind w:left="1440"/>
        <w:rPr>
          <w:rFonts w:cs="Arial"/>
          <w:iCs/>
          <w:sz w:val="18"/>
          <w:szCs w:val="18"/>
        </w:rPr>
      </w:pPr>
      <w:r w:rsidRPr="008D71AF">
        <w:rPr>
          <w:rFonts w:cs="Arial"/>
          <w:iCs/>
          <w:sz w:val="18"/>
          <w:szCs w:val="18"/>
        </w:rPr>
        <w:t xml:space="preserve">(iii) a customer of the service gives or agrees to give consideration to play or enter the game; or </w:t>
      </w:r>
    </w:p>
    <w:p w14:paraId="15E753C9" w14:textId="7BB4CA30" w:rsidR="00FB39CD" w:rsidRPr="008D71AF" w:rsidRDefault="00A8727B" w:rsidP="008D71AF">
      <w:pPr>
        <w:pStyle w:val="ACMABodyText"/>
        <w:spacing w:after="120"/>
        <w:ind w:left="720"/>
        <w:rPr>
          <w:rFonts w:cs="Arial"/>
          <w:iCs/>
          <w:sz w:val="18"/>
          <w:szCs w:val="18"/>
        </w:rPr>
      </w:pPr>
      <w:r w:rsidRPr="008D71AF">
        <w:rPr>
          <w:rFonts w:cs="Arial"/>
          <w:iCs/>
          <w:sz w:val="18"/>
          <w:szCs w:val="18"/>
        </w:rPr>
        <w:t>(f) a gambling service (within the ordinary meaning of that expression) that is not covered by any of the above paragraphs.</w:t>
      </w:r>
    </w:p>
    <w:p w14:paraId="6648A944" w14:textId="77777777" w:rsidR="00051628" w:rsidRPr="008D71AF" w:rsidRDefault="00051628" w:rsidP="00E37B3F">
      <w:pPr>
        <w:pStyle w:val="ACMABodyText"/>
        <w:spacing w:after="120"/>
        <w:ind w:left="357"/>
        <w:rPr>
          <w:rFonts w:cs="Arial"/>
          <w:b/>
          <w:bCs/>
          <w:iCs/>
          <w:sz w:val="18"/>
          <w:szCs w:val="18"/>
        </w:rPr>
      </w:pPr>
      <w:r w:rsidRPr="008D71AF">
        <w:rPr>
          <w:rFonts w:cs="Arial"/>
          <w:b/>
          <w:bCs/>
          <w:iCs/>
          <w:sz w:val="18"/>
          <w:szCs w:val="18"/>
        </w:rPr>
        <w:t xml:space="preserve">21 Gambling promotional content provided in conjunction with live coverage of a sporting event </w:t>
      </w:r>
    </w:p>
    <w:p w14:paraId="7B6BF868" w14:textId="77777777" w:rsidR="00051628" w:rsidRPr="008D71AF" w:rsidRDefault="00051628" w:rsidP="00E37B3F">
      <w:pPr>
        <w:pStyle w:val="ACMABodyText"/>
        <w:spacing w:after="120"/>
        <w:ind w:left="357"/>
        <w:rPr>
          <w:rFonts w:cs="Arial"/>
          <w:iCs/>
          <w:sz w:val="18"/>
          <w:szCs w:val="18"/>
        </w:rPr>
      </w:pPr>
      <w:r w:rsidRPr="008D71AF">
        <w:rPr>
          <w:rFonts w:cs="Arial"/>
          <w:iCs/>
          <w:sz w:val="18"/>
          <w:szCs w:val="18"/>
        </w:rPr>
        <w:t xml:space="preserve">(1) For the purposes of this Schedule, gambling promotional content (other than a commentator betting odds promotion or a representative venue-based promotion) is provided on an online content service in conjunction with live coverage of a sporting event if, and only if, the content is provided on the service during the period: </w:t>
      </w:r>
    </w:p>
    <w:p w14:paraId="33A412AA" w14:textId="77777777" w:rsidR="00051628" w:rsidRPr="008D71AF" w:rsidRDefault="00051628" w:rsidP="008D71AF">
      <w:pPr>
        <w:pStyle w:val="ACMABodyText"/>
        <w:spacing w:after="120"/>
        <w:ind w:left="720"/>
        <w:rPr>
          <w:rFonts w:cs="Arial"/>
          <w:iCs/>
          <w:sz w:val="18"/>
          <w:szCs w:val="18"/>
        </w:rPr>
      </w:pPr>
      <w:r w:rsidRPr="008D71AF">
        <w:rPr>
          <w:rFonts w:cs="Arial"/>
          <w:iCs/>
          <w:sz w:val="18"/>
          <w:szCs w:val="18"/>
        </w:rPr>
        <w:t xml:space="preserve">(a) beginning 5 minutes before the scheduled start of the sporting event; and </w:t>
      </w:r>
    </w:p>
    <w:p w14:paraId="0F992785" w14:textId="77777777" w:rsidR="00051628" w:rsidRPr="008D71AF" w:rsidRDefault="00051628" w:rsidP="008D71AF">
      <w:pPr>
        <w:pStyle w:val="ACMABodyText"/>
        <w:spacing w:after="120"/>
        <w:ind w:left="720"/>
        <w:rPr>
          <w:rFonts w:cs="Arial"/>
          <w:iCs/>
          <w:sz w:val="18"/>
          <w:szCs w:val="18"/>
        </w:rPr>
      </w:pPr>
      <w:r w:rsidRPr="008D71AF">
        <w:rPr>
          <w:rFonts w:cs="Arial"/>
          <w:iCs/>
          <w:sz w:val="18"/>
          <w:szCs w:val="18"/>
        </w:rPr>
        <w:t xml:space="preserve">(b) ending 5 minutes after the conclusion of the sporting event. </w:t>
      </w:r>
    </w:p>
    <w:p w14:paraId="487DF98E" w14:textId="714F706E" w:rsidR="00051628" w:rsidRPr="008D71AF" w:rsidRDefault="00051628" w:rsidP="00E37B3F">
      <w:pPr>
        <w:pStyle w:val="ACMABodyText"/>
        <w:spacing w:after="120"/>
        <w:ind w:left="357"/>
        <w:rPr>
          <w:rFonts w:cs="Arial"/>
          <w:iCs/>
          <w:sz w:val="18"/>
          <w:szCs w:val="18"/>
        </w:rPr>
      </w:pPr>
      <w:r w:rsidRPr="008D71AF">
        <w:rPr>
          <w:rFonts w:cs="Arial"/>
          <w:iCs/>
          <w:sz w:val="18"/>
          <w:szCs w:val="18"/>
        </w:rPr>
        <w:t>(2) However, if coverage of the sporting event is delayed, this clause has effect as if there were a corresponding delay to the period mentioned in subclause (1).</w:t>
      </w:r>
    </w:p>
    <w:p w14:paraId="5891180B" w14:textId="509AA6C3" w:rsidR="00051628" w:rsidRPr="008D71AF" w:rsidRDefault="00051628" w:rsidP="00E37B3F">
      <w:pPr>
        <w:pStyle w:val="ACMABodyText"/>
        <w:spacing w:after="120"/>
        <w:ind w:left="357"/>
        <w:rPr>
          <w:rFonts w:cs="Arial"/>
          <w:b/>
          <w:bCs/>
          <w:iCs/>
          <w:sz w:val="18"/>
          <w:szCs w:val="18"/>
        </w:rPr>
      </w:pPr>
      <w:r w:rsidRPr="008D71AF">
        <w:rPr>
          <w:rFonts w:cs="Arial"/>
          <w:iCs/>
          <w:sz w:val="18"/>
          <w:szCs w:val="18"/>
        </w:rPr>
        <w:lastRenderedPageBreak/>
        <w:t>[…]</w:t>
      </w:r>
    </w:p>
    <w:p w14:paraId="4A5AFC6D" w14:textId="577F44C4" w:rsidR="00CD0ACF" w:rsidRPr="00834A2A" w:rsidRDefault="00CD0ACF" w:rsidP="00E37B3F">
      <w:pPr>
        <w:pStyle w:val="ACMABodyText"/>
        <w:spacing w:after="120"/>
        <w:ind w:left="357"/>
        <w:rPr>
          <w:rFonts w:cs="Arial"/>
          <w:b/>
          <w:bCs/>
          <w:iCs/>
          <w:sz w:val="18"/>
          <w:szCs w:val="18"/>
        </w:rPr>
      </w:pPr>
      <w:r w:rsidRPr="004318C4">
        <w:rPr>
          <w:rFonts w:cs="Arial"/>
          <w:b/>
          <w:bCs/>
          <w:iCs/>
          <w:sz w:val="18"/>
          <w:szCs w:val="18"/>
        </w:rPr>
        <w:t>25  Compliance with the online content service provider rules</w:t>
      </w:r>
      <w:bookmarkEnd w:id="6"/>
    </w:p>
    <w:p w14:paraId="1F92CF12" w14:textId="53CC858E" w:rsidR="00CD0ACF" w:rsidRPr="00834A2A" w:rsidRDefault="00CD0ACF" w:rsidP="00E37B3F">
      <w:pPr>
        <w:pStyle w:val="ACMABodyText"/>
        <w:spacing w:after="120"/>
        <w:ind w:left="993" w:hanging="709"/>
        <w:rPr>
          <w:rFonts w:cs="Arial"/>
          <w:iCs/>
          <w:sz w:val="18"/>
          <w:szCs w:val="18"/>
        </w:rPr>
      </w:pPr>
      <w:r w:rsidRPr="004318C4">
        <w:rPr>
          <w:rFonts w:cs="Arial"/>
          <w:iCs/>
          <w:sz w:val="18"/>
          <w:szCs w:val="18"/>
        </w:rPr>
        <w:t>(1)   An online content service provider must not contravene the online content service provider rules.</w:t>
      </w:r>
    </w:p>
    <w:p w14:paraId="5E1EA779" w14:textId="4C9ACCF1" w:rsidR="00CD0ACF" w:rsidRPr="00AD5460" w:rsidRDefault="00AD5460" w:rsidP="00AD5460">
      <w:pPr>
        <w:pStyle w:val="ACMAHeading3"/>
        <w:spacing w:after="120"/>
        <w:ind w:firstLine="284"/>
        <w:rPr>
          <w:b w:val="0"/>
          <w:iCs/>
          <w:sz w:val="18"/>
          <w:szCs w:val="18"/>
        </w:rPr>
      </w:pPr>
      <w:r>
        <w:rPr>
          <w:b w:val="0"/>
          <w:iCs/>
          <w:sz w:val="18"/>
          <w:szCs w:val="18"/>
        </w:rPr>
        <w:t xml:space="preserve"> </w:t>
      </w:r>
      <w:r w:rsidR="00CD0ACF" w:rsidRPr="008D71AF">
        <w:rPr>
          <w:b w:val="0"/>
          <w:iCs/>
          <w:sz w:val="18"/>
          <w:szCs w:val="18"/>
        </w:rPr>
        <w:t xml:space="preserve">[…] </w:t>
      </w:r>
    </w:p>
    <w:p w14:paraId="590BC72A" w14:textId="4B462024" w:rsidR="00CD0ACF" w:rsidRPr="004318C4" w:rsidRDefault="00CD0ACF" w:rsidP="004B3087">
      <w:pPr>
        <w:pStyle w:val="ACMAHeading3"/>
        <w:spacing w:after="120"/>
        <w:rPr>
          <w:i/>
          <w:sz w:val="22"/>
          <w:szCs w:val="22"/>
        </w:rPr>
      </w:pPr>
      <w:r w:rsidRPr="004318C4">
        <w:rPr>
          <w:b w:val="0"/>
          <w:i/>
          <w:color w:val="000000"/>
          <w:sz w:val="22"/>
          <w:szCs w:val="22"/>
          <w:shd w:val="clear" w:color="auto" w:fill="FFFFFF"/>
        </w:rPr>
        <w:t>Broadcasting Services (</w:t>
      </w:r>
      <w:r w:rsidRPr="004318C4">
        <w:rPr>
          <w:b w:val="0"/>
          <w:i/>
          <w:sz w:val="22"/>
          <w:szCs w:val="22"/>
        </w:rPr>
        <w:t xml:space="preserve">Online </w:t>
      </w:r>
      <w:r w:rsidRPr="004318C4">
        <w:rPr>
          <w:b w:val="0"/>
          <w:i/>
          <w:color w:val="000000"/>
          <w:sz w:val="22"/>
          <w:szCs w:val="22"/>
          <w:shd w:val="clear" w:color="auto" w:fill="FFFFFF"/>
        </w:rPr>
        <w:t xml:space="preserve">Content Service Provider </w:t>
      </w:r>
      <w:r w:rsidRPr="004318C4">
        <w:rPr>
          <w:b w:val="0"/>
          <w:i/>
          <w:sz w:val="22"/>
          <w:szCs w:val="22"/>
        </w:rPr>
        <w:t>Rules</w:t>
      </w:r>
      <w:r w:rsidRPr="004318C4">
        <w:rPr>
          <w:b w:val="0"/>
          <w:i/>
          <w:color w:val="000000"/>
          <w:sz w:val="22"/>
          <w:szCs w:val="22"/>
          <w:shd w:val="clear" w:color="auto" w:fill="FFFFFF"/>
        </w:rPr>
        <w:t>) 2018</w:t>
      </w:r>
    </w:p>
    <w:p w14:paraId="31E1F60F" w14:textId="2840BE60" w:rsidR="00CD0ACF" w:rsidRPr="00834A2A" w:rsidRDefault="00CD0ACF" w:rsidP="00E37B3F">
      <w:pPr>
        <w:pStyle w:val="ACMABodyText"/>
        <w:tabs>
          <w:tab w:val="left" w:pos="993"/>
        </w:tabs>
        <w:ind w:left="357"/>
        <w:rPr>
          <w:rFonts w:cs="Arial"/>
          <w:b/>
          <w:iCs/>
          <w:sz w:val="18"/>
          <w:szCs w:val="18"/>
        </w:rPr>
      </w:pPr>
      <w:r w:rsidRPr="004318C4">
        <w:rPr>
          <w:rFonts w:cs="Arial"/>
          <w:b/>
          <w:iCs/>
          <w:sz w:val="18"/>
          <w:szCs w:val="18"/>
        </w:rPr>
        <w:t>12 Prohibition of gambling promotional content (other than a commentator betting odds promotion or a representative venue-based promotion)</w:t>
      </w:r>
    </w:p>
    <w:p w14:paraId="44A97364" w14:textId="681F3125" w:rsidR="00CD0ACF" w:rsidRPr="00834A2A" w:rsidRDefault="00CD0ACF" w:rsidP="00E37B3F">
      <w:pPr>
        <w:pStyle w:val="ACMABodyText"/>
        <w:spacing w:after="120"/>
        <w:ind w:left="357"/>
        <w:rPr>
          <w:rFonts w:cs="Arial"/>
          <w:iCs/>
          <w:sz w:val="18"/>
          <w:szCs w:val="18"/>
        </w:rPr>
      </w:pPr>
      <w:r w:rsidRPr="004318C4">
        <w:rPr>
          <w:rFonts w:cs="Arial"/>
          <w:iCs/>
          <w:sz w:val="18"/>
          <w:szCs w:val="18"/>
        </w:rPr>
        <w:t>An online content service provider must not provide gambling promotional content on an online content service in conjunction with live coverage of a sporting event in the period beginning at 5:00 am and ending at 8:30 pm.</w:t>
      </w:r>
    </w:p>
    <w:p w14:paraId="33BCAA48" w14:textId="75E66856" w:rsidR="00CD0ACF" w:rsidRPr="00BD33B7" w:rsidRDefault="00CD0ACF" w:rsidP="00E37B3F">
      <w:pPr>
        <w:pStyle w:val="ACMABodyText"/>
        <w:tabs>
          <w:tab w:val="left" w:pos="1134"/>
        </w:tabs>
        <w:spacing w:after="120"/>
        <w:ind w:left="1077" w:hanging="720"/>
        <w:rPr>
          <w:rFonts w:cs="Arial"/>
          <w:iCs/>
          <w:sz w:val="16"/>
          <w:szCs w:val="16"/>
        </w:rPr>
      </w:pPr>
      <w:r w:rsidRPr="004318C4">
        <w:rPr>
          <w:rFonts w:cs="Arial"/>
          <w:iCs/>
          <w:sz w:val="16"/>
          <w:szCs w:val="16"/>
        </w:rPr>
        <w:t>Note 1:</w:t>
      </w:r>
      <w:r w:rsidRPr="004318C4">
        <w:rPr>
          <w:rFonts w:cs="Arial"/>
          <w:iCs/>
          <w:sz w:val="16"/>
          <w:szCs w:val="16"/>
        </w:rPr>
        <w:tab/>
        <w:t>Gambling promotional content (other than a commentator betting odds promotion or a representative venue-based promotion) is provided on an online content service in conjunction with live coverage of a sporting event if, and only if, the content is provided on the service during the period:</w:t>
      </w:r>
    </w:p>
    <w:p w14:paraId="67DD55A9" w14:textId="0FF285A6" w:rsidR="00CD0ACF" w:rsidRPr="00BD33B7" w:rsidRDefault="00CD0ACF" w:rsidP="00E37B3F">
      <w:pPr>
        <w:pStyle w:val="ACMABodyText"/>
        <w:tabs>
          <w:tab w:val="left" w:pos="1134"/>
        </w:tabs>
        <w:spacing w:after="120"/>
        <w:ind w:left="1854" w:hanging="720"/>
        <w:rPr>
          <w:rFonts w:cs="Arial"/>
          <w:iCs/>
          <w:sz w:val="16"/>
          <w:szCs w:val="16"/>
        </w:rPr>
      </w:pPr>
      <w:r w:rsidRPr="004318C4">
        <w:rPr>
          <w:rFonts w:cs="Arial"/>
          <w:iCs/>
          <w:sz w:val="16"/>
          <w:szCs w:val="16"/>
        </w:rPr>
        <w:t>(a)     beginning 5 minutes before the scheduled start of the sporting event; and</w:t>
      </w:r>
    </w:p>
    <w:p w14:paraId="312C1581" w14:textId="2AB7D273" w:rsidR="00CD0ACF" w:rsidRPr="00BD33B7" w:rsidRDefault="00CD0ACF" w:rsidP="00E37B3F">
      <w:pPr>
        <w:pStyle w:val="ACMABodyText"/>
        <w:tabs>
          <w:tab w:val="left" w:pos="1134"/>
        </w:tabs>
        <w:spacing w:after="120"/>
        <w:ind w:left="1854" w:hanging="720"/>
        <w:rPr>
          <w:rFonts w:cs="Arial"/>
          <w:iCs/>
          <w:sz w:val="16"/>
          <w:szCs w:val="16"/>
        </w:rPr>
      </w:pPr>
      <w:r w:rsidRPr="004318C4">
        <w:rPr>
          <w:rFonts w:cs="Arial"/>
          <w:iCs/>
          <w:sz w:val="16"/>
          <w:szCs w:val="16"/>
        </w:rPr>
        <w:t>(b)    ending 5 minutes after the conclusion of the sporting event. (See subclause 21(1) of Schedule 8 to the BSA.)</w:t>
      </w:r>
    </w:p>
    <w:p w14:paraId="0341B8EE" w14:textId="683ADF9A" w:rsidR="00CD0ACF" w:rsidRPr="00BD33B7" w:rsidRDefault="00CD0ACF" w:rsidP="00E37B3F">
      <w:pPr>
        <w:pStyle w:val="ACMABodyText"/>
        <w:tabs>
          <w:tab w:val="left" w:pos="1134"/>
        </w:tabs>
        <w:spacing w:after="120"/>
        <w:ind w:left="981" w:hanging="624"/>
        <w:rPr>
          <w:rFonts w:cs="Arial"/>
          <w:iCs/>
          <w:sz w:val="16"/>
          <w:szCs w:val="16"/>
        </w:rPr>
      </w:pPr>
      <w:r w:rsidRPr="004318C4">
        <w:rPr>
          <w:rFonts w:cs="Arial"/>
          <w:iCs/>
          <w:sz w:val="16"/>
          <w:szCs w:val="16"/>
        </w:rPr>
        <w:t>Note 2:    For the avoidance of doubt, promotion of odds is a kind of gambling promotional content to which this section applies. Section 11 deals with commentator betting odds promotions and representative venue-based promotions.</w:t>
      </w:r>
    </w:p>
    <w:p w14:paraId="0B602562" w14:textId="7E38D309" w:rsidR="00CD0ACF" w:rsidRPr="00834A2A" w:rsidRDefault="00CD0ACF" w:rsidP="00E37B3F">
      <w:pPr>
        <w:pStyle w:val="ACMABodyText"/>
        <w:tabs>
          <w:tab w:val="left" w:pos="993"/>
        </w:tabs>
        <w:ind w:left="357"/>
        <w:rPr>
          <w:rFonts w:cs="Arial"/>
          <w:bCs/>
          <w:iCs/>
          <w:sz w:val="18"/>
          <w:szCs w:val="18"/>
        </w:rPr>
      </w:pPr>
      <w:bookmarkStart w:id="7" w:name="_Toc521483747"/>
      <w:r w:rsidRPr="004318C4">
        <w:rPr>
          <w:rFonts w:cs="Arial"/>
          <w:bCs/>
          <w:iCs/>
          <w:sz w:val="18"/>
          <w:szCs w:val="18"/>
        </w:rPr>
        <w:t>[…]</w:t>
      </w:r>
    </w:p>
    <w:p w14:paraId="0286C672" w14:textId="77FFC019" w:rsidR="00CD0ACF" w:rsidRPr="00834A2A" w:rsidRDefault="00CD0ACF" w:rsidP="00E37B3F">
      <w:pPr>
        <w:pStyle w:val="ACMABodyText"/>
        <w:keepNext/>
        <w:tabs>
          <w:tab w:val="left" w:pos="993"/>
        </w:tabs>
        <w:ind w:left="357"/>
        <w:rPr>
          <w:rFonts w:cs="Arial"/>
          <w:b/>
          <w:iCs/>
          <w:sz w:val="18"/>
          <w:szCs w:val="18"/>
        </w:rPr>
      </w:pPr>
      <w:r w:rsidRPr="004318C4">
        <w:rPr>
          <w:rFonts w:cs="Arial"/>
          <w:b/>
          <w:iCs/>
          <w:sz w:val="18"/>
          <w:szCs w:val="18"/>
        </w:rPr>
        <w:t>21               Record of placement of gambling promotional material to be kept</w:t>
      </w:r>
      <w:bookmarkEnd w:id="7"/>
    </w:p>
    <w:p w14:paraId="0777C379" w14:textId="3308DFF5" w:rsidR="00CD0ACF" w:rsidRPr="00834A2A" w:rsidRDefault="00CD0ACF" w:rsidP="00E37B3F">
      <w:pPr>
        <w:pStyle w:val="ACMABodyText"/>
        <w:keepNext/>
        <w:numPr>
          <w:ilvl w:val="0"/>
          <w:numId w:val="26"/>
        </w:numPr>
        <w:spacing w:after="120"/>
        <w:rPr>
          <w:rFonts w:cs="Arial"/>
          <w:iCs/>
          <w:sz w:val="18"/>
          <w:szCs w:val="18"/>
        </w:rPr>
      </w:pPr>
      <w:r w:rsidRPr="004318C4">
        <w:rPr>
          <w:rFonts w:cs="Arial"/>
          <w:iCs/>
          <w:sz w:val="18"/>
          <w:szCs w:val="18"/>
          <w:lang w:eastAsia="en-AU"/>
        </w:rPr>
        <w:t>An</w:t>
      </w:r>
      <w:r w:rsidRPr="004318C4">
        <w:rPr>
          <w:rFonts w:cs="Arial"/>
          <w:iCs/>
          <w:sz w:val="18"/>
          <w:szCs w:val="18"/>
        </w:rPr>
        <w:t xml:space="preserve"> online content service provider who provides gambling promotional content on an online content </w:t>
      </w:r>
      <w:r w:rsidRPr="004318C4">
        <w:rPr>
          <w:rFonts w:cs="Arial"/>
          <w:iCs/>
          <w:sz w:val="18"/>
          <w:szCs w:val="18"/>
          <w:lang w:eastAsia="en-AU"/>
        </w:rPr>
        <w:t>service</w:t>
      </w:r>
      <w:r w:rsidRPr="004318C4">
        <w:rPr>
          <w:rFonts w:cs="Arial"/>
          <w:iCs/>
          <w:sz w:val="18"/>
          <w:szCs w:val="18"/>
        </w:rPr>
        <w:t xml:space="preserve"> in conjunction with live coverage of a sporting event must make records sufficient to enable the provider’s compliance with these rules to be readily ascertained, including without limitation:</w:t>
      </w:r>
    </w:p>
    <w:p w14:paraId="1892A8CB" w14:textId="551D6EAD" w:rsidR="00CD0ACF" w:rsidRPr="00834A2A" w:rsidRDefault="00CD0ACF" w:rsidP="00E37B3F">
      <w:pPr>
        <w:pStyle w:val="ACMABodyText"/>
        <w:numPr>
          <w:ilvl w:val="0"/>
          <w:numId w:val="19"/>
        </w:numPr>
        <w:spacing w:after="120"/>
        <w:rPr>
          <w:rFonts w:cs="Arial"/>
          <w:iCs/>
          <w:sz w:val="18"/>
          <w:szCs w:val="18"/>
        </w:rPr>
      </w:pPr>
      <w:r w:rsidRPr="004318C4">
        <w:rPr>
          <w:rFonts w:cs="Arial"/>
          <w:iCs/>
          <w:sz w:val="18"/>
          <w:szCs w:val="18"/>
        </w:rPr>
        <w:t>written records of the date and duration of the content stream of the live coverage of the sporting event and the location of the relevant end-users where known; and</w:t>
      </w:r>
    </w:p>
    <w:p w14:paraId="4D624147" w14:textId="655C5C3A" w:rsidR="00CD0ACF" w:rsidRPr="00834A2A" w:rsidRDefault="00CD0ACF" w:rsidP="00E37B3F">
      <w:pPr>
        <w:pStyle w:val="ACMABodyText"/>
        <w:numPr>
          <w:ilvl w:val="0"/>
          <w:numId w:val="19"/>
        </w:numPr>
        <w:spacing w:after="120"/>
        <w:rPr>
          <w:rFonts w:cs="Arial"/>
          <w:iCs/>
          <w:sz w:val="18"/>
          <w:szCs w:val="18"/>
        </w:rPr>
      </w:pPr>
      <w:r w:rsidRPr="004318C4">
        <w:rPr>
          <w:rFonts w:cs="Arial"/>
          <w:iCs/>
          <w:sz w:val="18"/>
          <w:szCs w:val="18"/>
        </w:rPr>
        <w:t>audio or audio</w:t>
      </w:r>
      <w:r w:rsidRPr="004318C4">
        <w:rPr>
          <w:rFonts w:cs="Arial"/>
          <w:iCs/>
          <w:sz w:val="18"/>
          <w:szCs w:val="18"/>
        </w:rPr>
        <w:noBreakHyphen/>
        <w:t>visual records, as the case may be, of the stream of the live coverage of the sporting event.</w:t>
      </w:r>
    </w:p>
    <w:p w14:paraId="4D6F2268" w14:textId="1AA7669F" w:rsidR="00CD0ACF" w:rsidRPr="00834A2A" w:rsidRDefault="00CD0ACF" w:rsidP="00E37B3F">
      <w:pPr>
        <w:pStyle w:val="ACMABodyText"/>
        <w:numPr>
          <w:ilvl w:val="0"/>
          <w:numId w:val="26"/>
        </w:numPr>
        <w:spacing w:after="120"/>
        <w:rPr>
          <w:rFonts w:cs="Arial"/>
          <w:iCs/>
          <w:sz w:val="18"/>
          <w:szCs w:val="18"/>
        </w:rPr>
      </w:pPr>
      <w:r w:rsidRPr="004318C4">
        <w:rPr>
          <w:rFonts w:cs="Arial"/>
          <w:iCs/>
          <w:sz w:val="18"/>
          <w:szCs w:val="18"/>
        </w:rPr>
        <w:t>A written record, made in accordance with paragraph (1)(a), must be retained in the online content service provider’s custody for at least 6 months after the day the live coverage of the sporting event to which the record relates was provided on the online content service.</w:t>
      </w:r>
    </w:p>
    <w:p w14:paraId="3B87C520" w14:textId="1343D45B" w:rsidR="00CD0ACF" w:rsidRPr="00834A2A" w:rsidRDefault="00CD0ACF" w:rsidP="00E37B3F">
      <w:pPr>
        <w:pStyle w:val="ACMABodyText"/>
        <w:numPr>
          <w:ilvl w:val="0"/>
          <w:numId w:val="26"/>
        </w:numPr>
        <w:spacing w:after="120"/>
        <w:rPr>
          <w:rFonts w:cs="Arial"/>
          <w:iCs/>
          <w:sz w:val="18"/>
          <w:szCs w:val="18"/>
        </w:rPr>
      </w:pPr>
      <w:r w:rsidRPr="004318C4">
        <w:rPr>
          <w:rFonts w:cs="Arial"/>
          <w:iCs/>
          <w:sz w:val="18"/>
          <w:szCs w:val="18"/>
        </w:rPr>
        <w:t>An audio or audio</w:t>
      </w:r>
      <w:r w:rsidRPr="004318C4">
        <w:rPr>
          <w:rFonts w:cs="Arial"/>
          <w:iCs/>
          <w:sz w:val="18"/>
          <w:szCs w:val="18"/>
        </w:rPr>
        <w:noBreakHyphen/>
        <w:t>visual record, made in accordance with paragraph (1)(b),  must be retained in the online content service provider’s custody:</w:t>
      </w:r>
    </w:p>
    <w:p w14:paraId="62A23231" w14:textId="076160F5" w:rsidR="00CD0ACF" w:rsidRPr="00834A2A" w:rsidRDefault="00CD0ACF" w:rsidP="00E37B3F">
      <w:pPr>
        <w:pStyle w:val="ACMABodyText"/>
        <w:numPr>
          <w:ilvl w:val="0"/>
          <w:numId w:val="23"/>
        </w:numPr>
        <w:spacing w:after="120"/>
        <w:rPr>
          <w:rFonts w:cs="Arial"/>
          <w:iCs/>
          <w:sz w:val="18"/>
          <w:szCs w:val="18"/>
        </w:rPr>
      </w:pPr>
      <w:r w:rsidRPr="004318C4">
        <w:rPr>
          <w:rFonts w:cs="Arial"/>
          <w:iCs/>
          <w:sz w:val="18"/>
          <w:szCs w:val="18"/>
        </w:rPr>
        <w:t>for at least 6 weeks after the day the live coverage of the sporting event to which the record relates was provided on the online content service; or</w:t>
      </w:r>
    </w:p>
    <w:p w14:paraId="036C6C47" w14:textId="7BCB2630" w:rsidR="00CD0ACF" w:rsidRPr="00834A2A" w:rsidRDefault="00CD0ACF" w:rsidP="00E37B3F">
      <w:pPr>
        <w:pStyle w:val="ACMABodyText"/>
        <w:numPr>
          <w:ilvl w:val="0"/>
          <w:numId w:val="23"/>
        </w:numPr>
        <w:spacing w:after="120"/>
        <w:rPr>
          <w:rFonts w:cs="Arial"/>
          <w:iCs/>
          <w:sz w:val="18"/>
          <w:szCs w:val="18"/>
        </w:rPr>
      </w:pPr>
      <w:r w:rsidRPr="00834A2A">
        <w:rPr>
          <w:rFonts w:cs="Arial"/>
          <w:iCs/>
          <w:sz w:val="18"/>
          <w:szCs w:val="18"/>
        </w:rPr>
        <w:t>if, before the end of those 6 weeks, the provider becomes aware that a complaint has been made about compliance with these rules, in respect of that sporting event—for at least 90 days after the day the live coverage of the sporting event was provided.</w:t>
      </w:r>
      <w:permStart w:id="328558268" w:edGrp="everyone"/>
      <w:permEnd w:id="328558268"/>
    </w:p>
    <w:sectPr w:rsidR="00CD0ACF" w:rsidRPr="00834A2A" w:rsidSect="00193967">
      <w:headerReference w:type="even" r:id="rId8"/>
      <w:footerReference w:type="even" r:id="rId9"/>
      <w:footerReference w:type="default" r:id="rId10"/>
      <w:headerReference w:type="first" r:id="rId11"/>
      <w:footerReference w:type="first" r:id="rId12"/>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ACDC" w14:textId="77777777" w:rsidR="009C35AC" w:rsidRDefault="009C35AC">
      <w:r>
        <w:separator/>
      </w:r>
    </w:p>
  </w:endnote>
  <w:endnote w:type="continuationSeparator" w:id="0">
    <w:p w14:paraId="072B788A" w14:textId="77777777" w:rsidR="009C35AC" w:rsidRDefault="009C35AC">
      <w:r>
        <w:continuationSeparator/>
      </w:r>
    </w:p>
  </w:endnote>
  <w:endnote w:type="continuationNotice" w:id="1">
    <w:p w14:paraId="2B91A547" w14:textId="77777777" w:rsidR="009C35AC" w:rsidRDefault="009C35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7CB1" w14:textId="61C7C762"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7C418D2E"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7300" w14:textId="162434E3" w:rsidR="0061569D" w:rsidRPr="00816ADF" w:rsidRDefault="006A02B1" w:rsidP="00EF7A2A">
    <w:pPr>
      <w:pStyle w:val="ACMAFooter"/>
      <w:rPr>
        <w:sz w:val="16"/>
        <w:szCs w:val="16"/>
      </w:rPr>
    </w:pPr>
    <w:r w:rsidRPr="00F13C6A">
      <w:rPr>
        <w:sz w:val="16"/>
        <w:szCs w:val="16"/>
      </w:rPr>
      <w:t xml:space="preserve">ACMA Investigation </w:t>
    </w:r>
    <w:r w:rsidR="0079419E" w:rsidRPr="00F13C6A">
      <w:rPr>
        <w:sz w:val="16"/>
        <w:szCs w:val="16"/>
      </w:rPr>
      <w:t>r</w:t>
    </w:r>
    <w:r w:rsidRPr="00F13C6A">
      <w:rPr>
        <w:sz w:val="16"/>
        <w:szCs w:val="16"/>
      </w:rPr>
      <w:t>eport—</w:t>
    </w:r>
    <w:r w:rsidR="000560EB" w:rsidRPr="00F13C6A">
      <w:rPr>
        <w:i/>
        <w:sz w:val="16"/>
        <w:szCs w:val="16"/>
      </w:rPr>
      <w:t xml:space="preserve"> </w:t>
    </w:r>
    <w:r w:rsidR="000560EB" w:rsidRPr="00394B9C">
      <w:rPr>
        <w:i/>
        <w:iCs/>
        <w:sz w:val="16"/>
        <w:szCs w:val="16"/>
      </w:rPr>
      <w:t>NFL American Football game between the Seahawks and Panthers</w:t>
    </w:r>
    <w:r w:rsidR="000560EB" w:rsidRPr="00F13C6A">
      <w:rPr>
        <w:sz w:val="16"/>
        <w:szCs w:val="16"/>
      </w:rPr>
      <w:t xml:space="preserve"> </w:t>
    </w:r>
    <w:r w:rsidRPr="00F13C6A">
      <w:rPr>
        <w:sz w:val="16"/>
        <w:szCs w:val="16"/>
      </w:rPr>
      <w:t xml:space="preserve">broadcast </w:t>
    </w:r>
    <w:r w:rsidR="006162E4" w:rsidRPr="00F13C6A">
      <w:rPr>
        <w:sz w:val="16"/>
        <w:szCs w:val="16"/>
      </w:rPr>
      <w:t>on</w:t>
    </w:r>
    <w:r w:rsidRPr="00F13C6A">
      <w:rPr>
        <w:sz w:val="16"/>
        <w:szCs w:val="16"/>
      </w:rPr>
      <w:t xml:space="preserve"> </w:t>
    </w:r>
    <w:r w:rsidR="000560EB" w:rsidRPr="00F13C6A">
      <w:rPr>
        <w:sz w:val="16"/>
        <w:szCs w:val="16"/>
      </w:rPr>
      <w:t>7plus</w:t>
    </w:r>
    <w:r w:rsidRPr="00F13C6A">
      <w:rPr>
        <w:sz w:val="16"/>
        <w:szCs w:val="16"/>
      </w:rPr>
      <w:t xml:space="preserve"> on </w:t>
    </w:r>
    <w:r w:rsidR="000560EB" w:rsidRPr="00F13C6A">
      <w:rPr>
        <w:sz w:val="16"/>
        <w:szCs w:val="16"/>
      </w:rPr>
      <w:t>22 December 2022</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9147B">
      <w:rPr>
        <w:noProof/>
        <w:sz w:val="16"/>
        <w:szCs w:val="16"/>
      </w:rPr>
      <w:t>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CFE" w14:textId="53647C21" w:rsidR="0061569D" w:rsidRPr="00211185" w:rsidRDefault="00193967" w:rsidP="00193967">
    <w:pPr>
      <w:pStyle w:val="Footer"/>
      <w:jc w:val="right"/>
    </w:pPr>
    <w:r w:rsidRPr="005E250B">
      <w:rPr>
        <w:noProof/>
        <w:vertAlign w:val="subscript"/>
      </w:rPr>
      <w:drawing>
        <wp:inline distT="0" distB="0" distL="0" distR="0" wp14:anchorId="6D4A92F2" wp14:editId="60F43CF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2307" w14:textId="77777777" w:rsidR="009C35AC" w:rsidRDefault="009C35AC">
      <w:r>
        <w:separator/>
      </w:r>
    </w:p>
  </w:footnote>
  <w:footnote w:type="continuationSeparator" w:id="0">
    <w:p w14:paraId="3928EEBE" w14:textId="77777777" w:rsidR="009C35AC" w:rsidRDefault="009C35AC">
      <w:r>
        <w:continuationSeparator/>
      </w:r>
    </w:p>
  </w:footnote>
  <w:footnote w:type="continuationNotice" w:id="1">
    <w:p w14:paraId="47D38555" w14:textId="77777777" w:rsidR="009C35AC" w:rsidRDefault="009C35AC">
      <w:pPr>
        <w:spacing w:before="0" w:after="0" w:line="240" w:lineRule="auto"/>
      </w:pPr>
    </w:p>
  </w:footnote>
  <w:footnote w:id="2">
    <w:p w14:paraId="1B0BA433" w14:textId="167AF035" w:rsidR="001C722C" w:rsidRDefault="001C722C">
      <w:pPr>
        <w:pStyle w:val="FootnoteText"/>
      </w:pPr>
      <w:r>
        <w:rPr>
          <w:rStyle w:val="FootnoteReference"/>
        </w:rPr>
        <w:footnoteRef/>
      </w:r>
      <w:r>
        <w:t xml:space="preserve"> </w:t>
      </w:r>
      <w:r>
        <w:rPr>
          <w:iCs/>
        </w:rPr>
        <w:t>See clause 25 of Schedule 8 to the BSA.</w:t>
      </w:r>
    </w:p>
  </w:footnote>
  <w:footnote w:id="3">
    <w:p w14:paraId="02A0AFBF" w14:textId="78475349" w:rsidR="00A30580" w:rsidRDefault="00A30580">
      <w:pPr>
        <w:pStyle w:val="FootnoteText"/>
      </w:pPr>
      <w:r>
        <w:rPr>
          <w:rStyle w:val="FootnoteReference"/>
        </w:rPr>
        <w:footnoteRef/>
      </w:r>
      <w:r>
        <w:t xml:space="preserve"> </w:t>
      </w:r>
      <w:r>
        <w:rPr>
          <w:iCs/>
          <w:lang w:eastAsia="en-AU"/>
        </w:rPr>
        <w:t>A</w:t>
      </w:r>
      <w:r w:rsidRPr="00A30580">
        <w:rPr>
          <w:iCs/>
          <w:lang w:eastAsia="en-AU"/>
        </w:rPr>
        <w:t xml:space="preserve">s defined in </w:t>
      </w:r>
      <w:r w:rsidRPr="00012805">
        <w:t>section 2 of Schedule 8</w:t>
      </w:r>
      <w:r>
        <w:t xml:space="preserve"> of the BSA.</w:t>
      </w:r>
    </w:p>
  </w:footnote>
  <w:footnote w:id="4">
    <w:p w14:paraId="2B546F82" w14:textId="004A704C" w:rsidR="00A30580" w:rsidRDefault="00A30580">
      <w:pPr>
        <w:pStyle w:val="FootnoteText"/>
      </w:pPr>
      <w:r>
        <w:rPr>
          <w:rStyle w:val="FootnoteReference"/>
        </w:rPr>
        <w:footnoteRef/>
      </w:r>
      <w:r>
        <w:t xml:space="preserve"> As defined </w:t>
      </w:r>
      <w:r>
        <w:rPr>
          <w:snapToGrid w:val="0"/>
        </w:rPr>
        <w:t>in clause 2 of Schedule 8 to the BSA.</w:t>
      </w:r>
    </w:p>
  </w:footnote>
  <w:footnote w:id="5">
    <w:p w14:paraId="1DDAB33F" w14:textId="3B372130" w:rsidR="001C722C" w:rsidRDefault="001C722C">
      <w:pPr>
        <w:pStyle w:val="FootnoteText"/>
      </w:pPr>
      <w:r>
        <w:rPr>
          <w:rStyle w:val="FootnoteReference"/>
        </w:rPr>
        <w:footnoteRef/>
      </w:r>
      <w:r>
        <w:t xml:space="preserve"> See clause 2 of Schedule 8.</w:t>
      </w:r>
    </w:p>
  </w:footnote>
  <w:footnote w:id="6">
    <w:p w14:paraId="10E69CBC" w14:textId="4017D43A" w:rsidR="00A435DD" w:rsidRDefault="00A435DD">
      <w:pPr>
        <w:pStyle w:val="FootnoteText"/>
      </w:pPr>
      <w:r>
        <w:rPr>
          <w:rStyle w:val="FootnoteReference"/>
        </w:rPr>
        <w:footnoteRef/>
      </w:r>
      <w:r>
        <w:t xml:space="preserve"> ‘Gambling service’ is defined in clause 18 of Schedule 8.</w:t>
      </w:r>
    </w:p>
  </w:footnote>
  <w:footnote w:id="7">
    <w:p w14:paraId="710A16A2" w14:textId="5DA518BA" w:rsidR="00AE28A9" w:rsidRDefault="00AE28A9">
      <w:pPr>
        <w:pStyle w:val="FootnoteText"/>
      </w:pPr>
      <w:r>
        <w:rPr>
          <w:rStyle w:val="FootnoteReference"/>
        </w:rPr>
        <w:footnoteRef/>
      </w:r>
      <w:r>
        <w:t xml:space="preserve"> </w:t>
      </w:r>
      <w:r w:rsidRPr="00AE28A9">
        <w:rPr>
          <w:szCs w:val="16"/>
        </w:rPr>
        <w:t>See also note 1 after section 12 of the Online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8A6A" w14:textId="11CF7CCF" w:rsidR="0061569D" w:rsidRDefault="0061569D">
    <w:r>
      <w:fldChar w:fldCharType="begin"/>
    </w:r>
    <w:r>
      <w:instrText xml:space="preserve"> REF ReportTitle \h </w:instrText>
    </w:r>
    <w:r>
      <w:fldChar w:fldCharType="separate"/>
    </w:r>
    <w:r w:rsidR="00867A27">
      <w:rPr>
        <w:b/>
        <w:bCs/>
        <w:lang w:val="en-US"/>
      </w:rPr>
      <w:t>Error! Reference source not found.</w:t>
    </w:r>
    <w:r>
      <w:fldChar w:fldCharType="end"/>
    </w:r>
  </w:p>
  <w:p w14:paraId="5D31FC8B"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0372" w14:textId="77777777" w:rsidR="00B30A6C" w:rsidRDefault="00B30A6C" w:rsidP="00521BCF">
    <w:pPr>
      <w:pStyle w:val="ACMAInConfidence"/>
    </w:pPr>
  </w:p>
  <w:p w14:paraId="2EB525B9" w14:textId="679A04A1" w:rsidR="0061569D" w:rsidRPr="005F22AA" w:rsidRDefault="004D4EEE" w:rsidP="005F22AA">
    <w:pPr>
      <w:pStyle w:val="ACMAHeaderGraphicSpace"/>
    </w:pPr>
    <w:r>
      <w:rPr>
        <w:noProof/>
      </w:rPr>
      <w:drawing>
        <wp:inline distT="0" distB="0" distL="0" distR="0" wp14:anchorId="39B36CAF" wp14:editId="02E88395">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C4395"/>
    <w:multiLevelType w:val="hybridMultilevel"/>
    <w:tmpl w:val="45FC363A"/>
    <w:lvl w:ilvl="0" w:tplc="CBA077E8">
      <w:start w:val="1"/>
      <w:numFmt w:val="bullet"/>
      <w:lvlText w:val=""/>
      <w:lvlJc w:val="left"/>
      <w:pPr>
        <w:ind w:left="-414" w:hanging="360"/>
      </w:pPr>
      <w:rPr>
        <w:rFonts w:ascii="Symbol" w:hAnsi="Symbol" w:hint="default"/>
      </w:rPr>
    </w:lvl>
    <w:lvl w:ilvl="1" w:tplc="6D8C0A58">
      <w:start w:val="1"/>
      <w:numFmt w:val="bullet"/>
      <w:lvlText w:val=""/>
      <w:lvlJc w:val="left"/>
      <w:pPr>
        <w:ind w:left="306" w:hanging="360"/>
      </w:pPr>
      <w:rPr>
        <w:rFonts w:ascii="Symbol" w:hAnsi="Symbol" w:hint="default"/>
      </w:rPr>
    </w:lvl>
    <w:lvl w:ilvl="2" w:tplc="6D8C0A58">
      <w:start w:val="1"/>
      <w:numFmt w:val="bullet"/>
      <w:lvlText w:val=""/>
      <w:lvlJc w:val="left"/>
      <w:pPr>
        <w:ind w:left="1026" w:hanging="360"/>
      </w:pPr>
      <w:rPr>
        <w:rFonts w:ascii="Symbol" w:hAnsi="Symbol"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C0E0D"/>
    <w:multiLevelType w:val="hybridMultilevel"/>
    <w:tmpl w:val="545CC6C6"/>
    <w:lvl w:ilvl="0" w:tplc="6E7E6BF6">
      <w:numFmt w:val="bullet"/>
      <w:lvlText w:val="·"/>
      <w:lvlJc w:val="left"/>
      <w:pPr>
        <w:ind w:left="1820" w:hanging="360"/>
      </w:pPr>
      <w:rPr>
        <w:rFonts w:ascii="Calibri" w:eastAsia="Calibri" w:hAnsi="Calibri" w:cs="Calibri"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5" w15:restartNumberingAfterBreak="0">
    <w:nsid w:val="21A43800"/>
    <w:multiLevelType w:val="hybridMultilevel"/>
    <w:tmpl w:val="386296AA"/>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A13D7"/>
    <w:multiLevelType w:val="hybridMultilevel"/>
    <w:tmpl w:val="C0946C78"/>
    <w:lvl w:ilvl="0" w:tplc="94726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02C4D01"/>
    <w:multiLevelType w:val="hybridMultilevel"/>
    <w:tmpl w:val="401843D8"/>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15:restartNumberingAfterBreak="0">
    <w:nsid w:val="345F63CB"/>
    <w:multiLevelType w:val="hybridMultilevel"/>
    <w:tmpl w:val="48AC82CC"/>
    <w:lvl w:ilvl="0" w:tplc="947268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900B48"/>
    <w:multiLevelType w:val="hybridMultilevel"/>
    <w:tmpl w:val="401843D8"/>
    <w:lvl w:ilvl="0" w:tplc="36FCEED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35A40E4F"/>
    <w:multiLevelType w:val="hybridMultilevel"/>
    <w:tmpl w:val="D1B00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5" w15:restartNumberingAfterBreak="0">
    <w:nsid w:val="42491ECF"/>
    <w:multiLevelType w:val="hybridMultilevel"/>
    <w:tmpl w:val="3204322E"/>
    <w:lvl w:ilvl="0" w:tplc="947268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DD790B"/>
    <w:multiLevelType w:val="hybridMultilevel"/>
    <w:tmpl w:val="401843D8"/>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59E62873"/>
    <w:multiLevelType w:val="hybridMultilevel"/>
    <w:tmpl w:val="F082504E"/>
    <w:lvl w:ilvl="0" w:tplc="44EEC084">
      <w:start w:val="1"/>
      <w:numFmt w:val="bullet"/>
      <w:lvlText w:val="&gt;"/>
      <w:lvlJc w:val="left"/>
      <w:pPr>
        <w:ind w:left="1002" w:hanging="360"/>
      </w:pPr>
      <w:rPr>
        <w:rFonts w:ascii="HelveticaNeueLT Std" w:hAnsi="HelveticaNeueLT Std"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abstractNum w:abstractNumId="20"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DA3C8E"/>
    <w:multiLevelType w:val="hybridMultilevel"/>
    <w:tmpl w:val="953A477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2D797B"/>
    <w:multiLevelType w:val="hybridMultilevel"/>
    <w:tmpl w:val="B5645504"/>
    <w:lvl w:ilvl="0" w:tplc="94726828">
      <w:start w:val="1"/>
      <w:numFmt w:val="lowerLetter"/>
      <w:lvlText w:val="(%1)"/>
      <w:lvlJc w:val="left"/>
      <w:pPr>
        <w:ind w:left="1080" w:hanging="360"/>
      </w:pPr>
      <w:rPr>
        <w:rFonts w:hint="default"/>
      </w:rPr>
    </w:lvl>
    <w:lvl w:ilvl="1" w:tplc="E41ECDA4">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926506">
    <w:abstractNumId w:val="9"/>
  </w:num>
  <w:num w:numId="2" w16cid:durableId="770929182">
    <w:abstractNumId w:val="1"/>
  </w:num>
  <w:num w:numId="3" w16cid:durableId="676466298">
    <w:abstractNumId w:val="14"/>
  </w:num>
  <w:num w:numId="4" w16cid:durableId="1933470180">
    <w:abstractNumId w:val="23"/>
  </w:num>
  <w:num w:numId="5" w16cid:durableId="1960138157">
    <w:abstractNumId w:val="20"/>
  </w:num>
  <w:num w:numId="6" w16cid:durableId="1192764997">
    <w:abstractNumId w:val="16"/>
  </w:num>
  <w:num w:numId="7" w16cid:durableId="1808626713">
    <w:abstractNumId w:val="8"/>
  </w:num>
  <w:num w:numId="8" w16cid:durableId="2050841429">
    <w:abstractNumId w:val="3"/>
  </w:num>
  <w:num w:numId="9" w16cid:durableId="1615869338">
    <w:abstractNumId w:val="0"/>
  </w:num>
  <w:num w:numId="10" w16cid:durableId="683632224">
    <w:abstractNumId w:val="21"/>
  </w:num>
  <w:num w:numId="11" w16cid:durableId="1306931422">
    <w:abstractNumId w:val="24"/>
  </w:num>
  <w:num w:numId="12" w16cid:durableId="1565410615">
    <w:abstractNumId w:val="17"/>
  </w:num>
  <w:num w:numId="13" w16cid:durableId="932979576">
    <w:abstractNumId w:val="7"/>
  </w:num>
  <w:num w:numId="14" w16cid:durableId="2038578121">
    <w:abstractNumId w:val="26"/>
  </w:num>
  <w:num w:numId="15" w16cid:durableId="2051689277">
    <w:abstractNumId w:val="22"/>
  </w:num>
  <w:num w:numId="16" w16cid:durableId="1945306775">
    <w:abstractNumId w:val="28"/>
  </w:num>
  <w:num w:numId="17" w16cid:durableId="1228999782">
    <w:abstractNumId w:val="19"/>
  </w:num>
  <w:num w:numId="18" w16cid:durableId="1812021999">
    <w:abstractNumId w:val="13"/>
  </w:num>
  <w:num w:numId="19" w16cid:durableId="1537816109">
    <w:abstractNumId w:val="6"/>
  </w:num>
  <w:num w:numId="20" w16cid:durableId="772361164">
    <w:abstractNumId w:val="4"/>
  </w:num>
  <w:num w:numId="21" w16cid:durableId="341857795">
    <w:abstractNumId w:val="27"/>
  </w:num>
  <w:num w:numId="22" w16cid:durableId="1735815417">
    <w:abstractNumId w:val="11"/>
  </w:num>
  <w:num w:numId="23" w16cid:durableId="1217397466">
    <w:abstractNumId w:val="15"/>
  </w:num>
  <w:num w:numId="24" w16cid:durableId="423647690">
    <w:abstractNumId w:val="12"/>
  </w:num>
  <w:num w:numId="25" w16cid:durableId="1417675772">
    <w:abstractNumId w:val="18"/>
  </w:num>
  <w:num w:numId="26" w16cid:durableId="355156899">
    <w:abstractNumId w:val="10"/>
  </w:num>
  <w:num w:numId="27" w16cid:durableId="1127817424">
    <w:abstractNumId w:val="2"/>
  </w:num>
  <w:num w:numId="28" w16cid:durableId="1757482991">
    <w:abstractNumId w:val="5"/>
  </w:num>
  <w:num w:numId="29" w16cid:durableId="156776308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anFI6pukiFPGWw7d4sKbLOQvmuRPTtLVEVQXQIduDks7pptiZkgVWGz4jrltoXbobxNJeUXH3uL7QiJ2and4nA==" w:saltValue="nhN3fD12t/EjQKANM0BpVA=="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127C"/>
    <w:rsid w:val="00001783"/>
    <w:rsid w:val="000020C0"/>
    <w:rsid w:val="000030F7"/>
    <w:rsid w:val="00004A0E"/>
    <w:rsid w:val="0000588E"/>
    <w:rsid w:val="0000661F"/>
    <w:rsid w:val="000101EF"/>
    <w:rsid w:val="000117B7"/>
    <w:rsid w:val="00012570"/>
    <w:rsid w:val="00012805"/>
    <w:rsid w:val="000135FF"/>
    <w:rsid w:val="00013E24"/>
    <w:rsid w:val="00013EAC"/>
    <w:rsid w:val="0001415F"/>
    <w:rsid w:val="0001502B"/>
    <w:rsid w:val="00025EDD"/>
    <w:rsid w:val="000307EE"/>
    <w:rsid w:val="000332CF"/>
    <w:rsid w:val="0003581B"/>
    <w:rsid w:val="00035BBB"/>
    <w:rsid w:val="000362A0"/>
    <w:rsid w:val="000370C8"/>
    <w:rsid w:val="00037B6F"/>
    <w:rsid w:val="00043B1E"/>
    <w:rsid w:val="00043DE2"/>
    <w:rsid w:val="00051628"/>
    <w:rsid w:val="00051AD8"/>
    <w:rsid w:val="00053457"/>
    <w:rsid w:val="00053796"/>
    <w:rsid w:val="00054E38"/>
    <w:rsid w:val="0005508D"/>
    <w:rsid w:val="000555E2"/>
    <w:rsid w:val="000560EB"/>
    <w:rsid w:val="00063926"/>
    <w:rsid w:val="00063DD9"/>
    <w:rsid w:val="00067596"/>
    <w:rsid w:val="00067A9A"/>
    <w:rsid w:val="00067D75"/>
    <w:rsid w:val="000744DD"/>
    <w:rsid w:val="00075F5D"/>
    <w:rsid w:val="00076CB6"/>
    <w:rsid w:val="00077B53"/>
    <w:rsid w:val="000844AB"/>
    <w:rsid w:val="000845A8"/>
    <w:rsid w:val="00084627"/>
    <w:rsid w:val="0008542B"/>
    <w:rsid w:val="00087313"/>
    <w:rsid w:val="0009054E"/>
    <w:rsid w:val="00091CD0"/>
    <w:rsid w:val="00093677"/>
    <w:rsid w:val="00094589"/>
    <w:rsid w:val="000A0747"/>
    <w:rsid w:val="000A2012"/>
    <w:rsid w:val="000A22F4"/>
    <w:rsid w:val="000A302B"/>
    <w:rsid w:val="000A6C6E"/>
    <w:rsid w:val="000B0674"/>
    <w:rsid w:val="000B3ABC"/>
    <w:rsid w:val="000C1396"/>
    <w:rsid w:val="000C4D29"/>
    <w:rsid w:val="000C5EC6"/>
    <w:rsid w:val="000D0502"/>
    <w:rsid w:val="000D16C6"/>
    <w:rsid w:val="000D4908"/>
    <w:rsid w:val="000D586D"/>
    <w:rsid w:val="000D7638"/>
    <w:rsid w:val="000E0C29"/>
    <w:rsid w:val="000E103F"/>
    <w:rsid w:val="000E279B"/>
    <w:rsid w:val="000E3340"/>
    <w:rsid w:val="000E3ACD"/>
    <w:rsid w:val="000E4F0D"/>
    <w:rsid w:val="000F12E8"/>
    <w:rsid w:val="000F1F83"/>
    <w:rsid w:val="000F2319"/>
    <w:rsid w:val="000F3189"/>
    <w:rsid w:val="000F31FD"/>
    <w:rsid w:val="000F37DF"/>
    <w:rsid w:val="000F6302"/>
    <w:rsid w:val="00102110"/>
    <w:rsid w:val="00102AB2"/>
    <w:rsid w:val="00104E24"/>
    <w:rsid w:val="00105C54"/>
    <w:rsid w:val="00106C0F"/>
    <w:rsid w:val="00106E4E"/>
    <w:rsid w:val="001104D1"/>
    <w:rsid w:val="00112818"/>
    <w:rsid w:val="00113573"/>
    <w:rsid w:val="00115E33"/>
    <w:rsid w:val="001164DF"/>
    <w:rsid w:val="00116789"/>
    <w:rsid w:val="0011733F"/>
    <w:rsid w:val="0011748C"/>
    <w:rsid w:val="0012464D"/>
    <w:rsid w:val="001262BD"/>
    <w:rsid w:val="00126849"/>
    <w:rsid w:val="00127DC4"/>
    <w:rsid w:val="00131277"/>
    <w:rsid w:val="0013198F"/>
    <w:rsid w:val="0013275A"/>
    <w:rsid w:val="0013314F"/>
    <w:rsid w:val="0014022C"/>
    <w:rsid w:val="00143820"/>
    <w:rsid w:val="00143D49"/>
    <w:rsid w:val="00144F9A"/>
    <w:rsid w:val="00146895"/>
    <w:rsid w:val="00146E30"/>
    <w:rsid w:val="001528B2"/>
    <w:rsid w:val="00156CBC"/>
    <w:rsid w:val="001573E1"/>
    <w:rsid w:val="00160831"/>
    <w:rsid w:val="00161F35"/>
    <w:rsid w:val="00163433"/>
    <w:rsid w:val="001642FC"/>
    <w:rsid w:val="00166A44"/>
    <w:rsid w:val="0016713F"/>
    <w:rsid w:val="00171F11"/>
    <w:rsid w:val="00173958"/>
    <w:rsid w:val="00174162"/>
    <w:rsid w:val="00177993"/>
    <w:rsid w:val="001845B1"/>
    <w:rsid w:val="00187224"/>
    <w:rsid w:val="00187E47"/>
    <w:rsid w:val="00190750"/>
    <w:rsid w:val="00191BDE"/>
    <w:rsid w:val="00191E26"/>
    <w:rsid w:val="0019201B"/>
    <w:rsid w:val="00192F91"/>
    <w:rsid w:val="00193093"/>
    <w:rsid w:val="00193967"/>
    <w:rsid w:val="00197066"/>
    <w:rsid w:val="00197E2F"/>
    <w:rsid w:val="001A0E4A"/>
    <w:rsid w:val="001A1ECE"/>
    <w:rsid w:val="001A375C"/>
    <w:rsid w:val="001B12E4"/>
    <w:rsid w:val="001B21B5"/>
    <w:rsid w:val="001B2524"/>
    <w:rsid w:val="001B2EA7"/>
    <w:rsid w:val="001B56EC"/>
    <w:rsid w:val="001B6A41"/>
    <w:rsid w:val="001B7B29"/>
    <w:rsid w:val="001B7E7F"/>
    <w:rsid w:val="001C2425"/>
    <w:rsid w:val="001C285C"/>
    <w:rsid w:val="001C3EC9"/>
    <w:rsid w:val="001C4339"/>
    <w:rsid w:val="001C44E5"/>
    <w:rsid w:val="001C4838"/>
    <w:rsid w:val="001C6546"/>
    <w:rsid w:val="001C722C"/>
    <w:rsid w:val="001D390E"/>
    <w:rsid w:val="001D3BCE"/>
    <w:rsid w:val="001D430E"/>
    <w:rsid w:val="001D5D4A"/>
    <w:rsid w:val="001E2D6A"/>
    <w:rsid w:val="001E3098"/>
    <w:rsid w:val="001E36BD"/>
    <w:rsid w:val="001E40ED"/>
    <w:rsid w:val="001E63DF"/>
    <w:rsid w:val="001F1519"/>
    <w:rsid w:val="001F2B71"/>
    <w:rsid w:val="001F2D5B"/>
    <w:rsid w:val="001F423C"/>
    <w:rsid w:val="001F5D42"/>
    <w:rsid w:val="00201A52"/>
    <w:rsid w:val="00205CDE"/>
    <w:rsid w:val="002061DA"/>
    <w:rsid w:val="00210199"/>
    <w:rsid w:val="00211185"/>
    <w:rsid w:val="002114D9"/>
    <w:rsid w:val="0021377B"/>
    <w:rsid w:val="00213859"/>
    <w:rsid w:val="00213AFF"/>
    <w:rsid w:val="00213E20"/>
    <w:rsid w:val="002142B1"/>
    <w:rsid w:val="00214950"/>
    <w:rsid w:val="00217240"/>
    <w:rsid w:val="0021787E"/>
    <w:rsid w:val="00220EB7"/>
    <w:rsid w:val="002243C5"/>
    <w:rsid w:val="002246BB"/>
    <w:rsid w:val="00224A5E"/>
    <w:rsid w:val="00227744"/>
    <w:rsid w:val="00230467"/>
    <w:rsid w:val="00230D12"/>
    <w:rsid w:val="002325DB"/>
    <w:rsid w:val="00232AC6"/>
    <w:rsid w:val="0023314F"/>
    <w:rsid w:val="00233540"/>
    <w:rsid w:val="00234200"/>
    <w:rsid w:val="002370E8"/>
    <w:rsid w:val="0024000F"/>
    <w:rsid w:val="0024060D"/>
    <w:rsid w:val="00243878"/>
    <w:rsid w:val="00245CE7"/>
    <w:rsid w:val="0024653C"/>
    <w:rsid w:val="00246E1B"/>
    <w:rsid w:val="00247216"/>
    <w:rsid w:val="00251ADE"/>
    <w:rsid w:val="00252686"/>
    <w:rsid w:val="00253814"/>
    <w:rsid w:val="00256080"/>
    <w:rsid w:val="0025630A"/>
    <w:rsid w:val="00257780"/>
    <w:rsid w:val="00267125"/>
    <w:rsid w:val="00267AA3"/>
    <w:rsid w:val="00270105"/>
    <w:rsid w:val="00270182"/>
    <w:rsid w:val="002717BD"/>
    <w:rsid w:val="0027366A"/>
    <w:rsid w:val="002737DE"/>
    <w:rsid w:val="0027578C"/>
    <w:rsid w:val="00280811"/>
    <w:rsid w:val="00281036"/>
    <w:rsid w:val="00281F78"/>
    <w:rsid w:val="00283E8D"/>
    <w:rsid w:val="00286AFC"/>
    <w:rsid w:val="0028781C"/>
    <w:rsid w:val="00290766"/>
    <w:rsid w:val="002A26FD"/>
    <w:rsid w:val="002A366B"/>
    <w:rsid w:val="002A7CA7"/>
    <w:rsid w:val="002B02CA"/>
    <w:rsid w:val="002B0831"/>
    <w:rsid w:val="002B0CC4"/>
    <w:rsid w:val="002B144F"/>
    <w:rsid w:val="002B1843"/>
    <w:rsid w:val="002B35F1"/>
    <w:rsid w:val="002B520E"/>
    <w:rsid w:val="002C3721"/>
    <w:rsid w:val="002C3B2E"/>
    <w:rsid w:val="002C5949"/>
    <w:rsid w:val="002C6235"/>
    <w:rsid w:val="002D12BF"/>
    <w:rsid w:val="002D1F99"/>
    <w:rsid w:val="002D3179"/>
    <w:rsid w:val="002D5D47"/>
    <w:rsid w:val="002D5FEC"/>
    <w:rsid w:val="002D7E3D"/>
    <w:rsid w:val="002E0997"/>
    <w:rsid w:val="002E1A33"/>
    <w:rsid w:val="002E3B76"/>
    <w:rsid w:val="002E4866"/>
    <w:rsid w:val="002E64F5"/>
    <w:rsid w:val="002F1908"/>
    <w:rsid w:val="002F3B30"/>
    <w:rsid w:val="00300F5D"/>
    <w:rsid w:val="00301E73"/>
    <w:rsid w:val="00306681"/>
    <w:rsid w:val="003074C8"/>
    <w:rsid w:val="00307D98"/>
    <w:rsid w:val="003102A0"/>
    <w:rsid w:val="003122DA"/>
    <w:rsid w:val="00313860"/>
    <w:rsid w:val="00314B50"/>
    <w:rsid w:val="00315E90"/>
    <w:rsid w:val="00316180"/>
    <w:rsid w:val="003163A9"/>
    <w:rsid w:val="003169B0"/>
    <w:rsid w:val="00320122"/>
    <w:rsid w:val="00320388"/>
    <w:rsid w:val="00321A85"/>
    <w:rsid w:val="00322C79"/>
    <w:rsid w:val="00324445"/>
    <w:rsid w:val="00324E7C"/>
    <w:rsid w:val="003256C0"/>
    <w:rsid w:val="0033104B"/>
    <w:rsid w:val="00331D39"/>
    <w:rsid w:val="003329A6"/>
    <w:rsid w:val="00334146"/>
    <w:rsid w:val="00334872"/>
    <w:rsid w:val="003364DB"/>
    <w:rsid w:val="00340621"/>
    <w:rsid w:val="003450DD"/>
    <w:rsid w:val="00346A8C"/>
    <w:rsid w:val="003470D1"/>
    <w:rsid w:val="003505C0"/>
    <w:rsid w:val="00351540"/>
    <w:rsid w:val="00351B29"/>
    <w:rsid w:val="00356BEF"/>
    <w:rsid w:val="00357507"/>
    <w:rsid w:val="0035786A"/>
    <w:rsid w:val="003615D1"/>
    <w:rsid w:val="0036232A"/>
    <w:rsid w:val="003634AA"/>
    <w:rsid w:val="003643FE"/>
    <w:rsid w:val="003654D8"/>
    <w:rsid w:val="00366579"/>
    <w:rsid w:val="00370496"/>
    <w:rsid w:val="00370FC9"/>
    <w:rsid w:val="0037116C"/>
    <w:rsid w:val="00371957"/>
    <w:rsid w:val="003742CA"/>
    <w:rsid w:val="00375306"/>
    <w:rsid w:val="003754E5"/>
    <w:rsid w:val="00377A0B"/>
    <w:rsid w:val="0038201A"/>
    <w:rsid w:val="00382846"/>
    <w:rsid w:val="003832F2"/>
    <w:rsid w:val="003907AD"/>
    <w:rsid w:val="0039406A"/>
    <w:rsid w:val="00394B9C"/>
    <w:rsid w:val="00395815"/>
    <w:rsid w:val="00395B18"/>
    <w:rsid w:val="003A1ADB"/>
    <w:rsid w:val="003A1FF5"/>
    <w:rsid w:val="003A2153"/>
    <w:rsid w:val="003A22C0"/>
    <w:rsid w:val="003A25C0"/>
    <w:rsid w:val="003A4C94"/>
    <w:rsid w:val="003B17BA"/>
    <w:rsid w:val="003B1977"/>
    <w:rsid w:val="003B6843"/>
    <w:rsid w:val="003B7944"/>
    <w:rsid w:val="003C0345"/>
    <w:rsid w:val="003C03E9"/>
    <w:rsid w:val="003C1096"/>
    <w:rsid w:val="003C2CC7"/>
    <w:rsid w:val="003C408C"/>
    <w:rsid w:val="003C42DB"/>
    <w:rsid w:val="003C51F0"/>
    <w:rsid w:val="003C7188"/>
    <w:rsid w:val="003D7A22"/>
    <w:rsid w:val="003E08A5"/>
    <w:rsid w:val="003E1B47"/>
    <w:rsid w:val="003E327A"/>
    <w:rsid w:val="003E48DD"/>
    <w:rsid w:val="003F6CCD"/>
    <w:rsid w:val="003F6F28"/>
    <w:rsid w:val="0040308A"/>
    <w:rsid w:val="0040529A"/>
    <w:rsid w:val="004054CE"/>
    <w:rsid w:val="004057FB"/>
    <w:rsid w:val="0041184E"/>
    <w:rsid w:val="004132DE"/>
    <w:rsid w:val="004163F8"/>
    <w:rsid w:val="0042062F"/>
    <w:rsid w:val="00420BA9"/>
    <w:rsid w:val="00420F9B"/>
    <w:rsid w:val="00421558"/>
    <w:rsid w:val="00422BA0"/>
    <w:rsid w:val="00425149"/>
    <w:rsid w:val="004266E1"/>
    <w:rsid w:val="00426A3E"/>
    <w:rsid w:val="00430113"/>
    <w:rsid w:val="0043039A"/>
    <w:rsid w:val="004309E6"/>
    <w:rsid w:val="004318C4"/>
    <w:rsid w:val="00431E14"/>
    <w:rsid w:val="00436068"/>
    <w:rsid w:val="004413F1"/>
    <w:rsid w:val="00441634"/>
    <w:rsid w:val="00441B06"/>
    <w:rsid w:val="00441B4F"/>
    <w:rsid w:val="00444C27"/>
    <w:rsid w:val="00447AEF"/>
    <w:rsid w:val="004511A8"/>
    <w:rsid w:val="004543C5"/>
    <w:rsid w:val="004633BA"/>
    <w:rsid w:val="0046775A"/>
    <w:rsid w:val="004677FE"/>
    <w:rsid w:val="00470AE2"/>
    <w:rsid w:val="00472285"/>
    <w:rsid w:val="00480017"/>
    <w:rsid w:val="00480081"/>
    <w:rsid w:val="0048053E"/>
    <w:rsid w:val="00483379"/>
    <w:rsid w:val="00483487"/>
    <w:rsid w:val="00487607"/>
    <w:rsid w:val="00487DEA"/>
    <w:rsid w:val="00490A9E"/>
    <w:rsid w:val="0049147B"/>
    <w:rsid w:val="0049421F"/>
    <w:rsid w:val="004947D6"/>
    <w:rsid w:val="004957AC"/>
    <w:rsid w:val="00495AD5"/>
    <w:rsid w:val="00495AE4"/>
    <w:rsid w:val="004964E6"/>
    <w:rsid w:val="0049754C"/>
    <w:rsid w:val="004A4A2D"/>
    <w:rsid w:val="004B0DEF"/>
    <w:rsid w:val="004B1C05"/>
    <w:rsid w:val="004B3087"/>
    <w:rsid w:val="004C0657"/>
    <w:rsid w:val="004C08C8"/>
    <w:rsid w:val="004C0AFA"/>
    <w:rsid w:val="004C35B2"/>
    <w:rsid w:val="004C3A71"/>
    <w:rsid w:val="004C7DE8"/>
    <w:rsid w:val="004D09DC"/>
    <w:rsid w:val="004D1505"/>
    <w:rsid w:val="004D3A3D"/>
    <w:rsid w:val="004D4EEE"/>
    <w:rsid w:val="004D51F6"/>
    <w:rsid w:val="004D5F21"/>
    <w:rsid w:val="004D6C6A"/>
    <w:rsid w:val="004E08CB"/>
    <w:rsid w:val="004E0B99"/>
    <w:rsid w:val="004E1601"/>
    <w:rsid w:val="004E167F"/>
    <w:rsid w:val="004E2A31"/>
    <w:rsid w:val="004E55C7"/>
    <w:rsid w:val="004E7647"/>
    <w:rsid w:val="004F1FED"/>
    <w:rsid w:val="004F330E"/>
    <w:rsid w:val="004F6444"/>
    <w:rsid w:val="004F7A2B"/>
    <w:rsid w:val="0050049F"/>
    <w:rsid w:val="00505AB0"/>
    <w:rsid w:val="00507982"/>
    <w:rsid w:val="005079FD"/>
    <w:rsid w:val="005122AF"/>
    <w:rsid w:val="005125EE"/>
    <w:rsid w:val="00512BE4"/>
    <w:rsid w:val="0051575C"/>
    <w:rsid w:val="005158CB"/>
    <w:rsid w:val="00521BCF"/>
    <w:rsid w:val="00522026"/>
    <w:rsid w:val="005223A2"/>
    <w:rsid w:val="00532211"/>
    <w:rsid w:val="00534D9A"/>
    <w:rsid w:val="00535423"/>
    <w:rsid w:val="00535542"/>
    <w:rsid w:val="00535EE2"/>
    <w:rsid w:val="00540E31"/>
    <w:rsid w:val="00541E5A"/>
    <w:rsid w:val="00542007"/>
    <w:rsid w:val="005426FB"/>
    <w:rsid w:val="005435CF"/>
    <w:rsid w:val="00550001"/>
    <w:rsid w:val="00552F5C"/>
    <w:rsid w:val="00553426"/>
    <w:rsid w:val="00554755"/>
    <w:rsid w:val="00554E5F"/>
    <w:rsid w:val="005566FE"/>
    <w:rsid w:val="0055767B"/>
    <w:rsid w:val="005604E5"/>
    <w:rsid w:val="005610A6"/>
    <w:rsid w:val="005629A2"/>
    <w:rsid w:val="005631CB"/>
    <w:rsid w:val="00563F54"/>
    <w:rsid w:val="00564111"/>
    <w:rsid w:val="00564872"/>
    <w:rsid w:val="00565785"/>
    <w:rsid w:val="005671E3"/>
    <w:rsid w:val="005703E5"/>
    <w:rsid w:val="005732A2"/>
    <w:rsid w:val="005738DE"/>
    <w:rsid w:val="00573BE5"/>
    <w:rsid w:val="00574333"/>
    <w:rsid w:val="00580233"/>
    <w:rsid w:val="00581107"/>
    <w:rsid w:val="00585EE2"/>
    <w:rsid w:val="00586BFB"/>
    <w:rsid w:val="00586C6B"/>
    <w:rsid w:val="00586E25"/>
    <w:rsid w:val="00587C1E"/>
    <w:rsid w:val="00590AF0"/>
    <w:rsid w:val="00593F0D"/>
    <w:rsid w:val="00594375"/>
    <w:rsid w:val="005A100E"/>
    <w:rsid w:val="005A227A"/>
    <w:rsid w:val="005A260D"/>
    <w:rsid w:val="005A2628"/>
    <w:rsid w:val="005A309B"/>
    <w:rsid w:val="005A3EF3"/>
    <w:rsid w:val="005A58D4"/>
    <w:rsid w:val="005A5AE5"/>
    <w:rsid w:val="005A613B"/>
    <w:rsid w:val="005B02FD"/>
    <w:rsid w:val="005B5E73"/>
    <w:rsid w:val="005C2737"/>
    <w:rsid w:val="005C3922"/>
    <w:rsid w:val="005C5EB3"/>
    <w:rsid w:val="005D0A26"/>
    <w:rsid w:val="005D1CD1"/>
    <w:rsid w:val="005D267B"/>
    <w:rsid w:val="005D28A8"/>
    <w:rsid w:val="005D3D0B"/>
    <w:rsid w:val="005D3F43"/>
    <w:rsid w:val="005D5C40"/>
    <w:rsid w:val="005E3E15"/>
    <w:rsid w:val="005E47E5"/>
    <w:rsid w:val="005E687D"/>
    <w:rsid w:val="005F0495"/>
    <w:rsid w:val="005F16FD"/>
    <w:rsid w:val="005F22AA"/>
    <w:rsid w:val="005F4490"/>
    <w:rsid w:val="00601949"/>
    <w:rsid w:val="00602FBF"/>
    <w:rsid w:val="00605E62"/>
    <w:rsid w:val="006060C6"/>
    <w:rsid w:val="00610204"/>
    <w:rsid w:val="00614008"/>
    <w:rsid w:val="00614852"/>
    <w:rsid w:val="0061569D"/>
    <w:rsid w:val="00615E3C"/>
    <w:rsid w:val="006162E4"/>
    <w:rsid w:val="0062093A"/>
    <w:rsid w:val="0062266A"/>
    <w:rsid w:val="00622D38"/>
    <w:rsid w:val="0062432F"/>
    <w:rsid w:val="00624756"/>
    <w:rsid w:val="00624B42"/>
    <w:rsid w:val="00625E1E"/>
    <w:rsid w:val="00627059"/>
    <w:rsid w:val="00627C7A"/>
    <w:rsid w:val="006308A9"/>
    <w:rsid w:val="00631C76"/>
    <w:rsid w:val="006327E6"/>
    <w:rsid w:val="00633E04"/>
    <w:rsid w:val="00634FE9"/>
    <w:rsid w:val="00637492"/>
    <w:rsid w:val="00640A3C"/>
    <w:rsid w:val="006410B9"/>
    <w:rsid w:val="0064327A"/>
    <w:rsid w:val="00643DF0"/>
    <w:rsid w:val="006459FD"/>
    <w:rsid w:val="00645D6E"/>
    <w:rsid w:val="00645F94"/>
    <w:rsid w:val="00647DD3"/>
    <w:rsid w:val="006504A1"/>
    <w:rsid w:val="006510B6"/>
    <w:rsid w:val="006526F9"/>
    <w:rsid w:val="006562FB"/>
    <w:rsid w:val="0065633C"/>
    <w:rsid w:val="00656A38"/>
    <w:rsid w:val="006601D3"/>
    <w:rsid w:val="006607BD"/>
    <w:rsid w:val="00662F09"/>
    <w:rsid w:val="0066445A"/>
    <w:rsid w:val="00664F6A"/>
    <w:rsid w:val="00667382"/>
    <w:rsid w:val="00667E3A"/>
    <w:rsid w:val="006708CE"/>
    <w:rsid w:val="00671C68"/>
    <w:rsid w:val="006730FC"/>
    <w:rsid w:val="00673AEA"/>
    <w:rsid w:val="00673F57"/>
    <w:rsid w:val="00674A8D"/>
    <w:rsid w:val="0067530B"/>
    <w:rsid w:val="00675D0D"/>
    <w:rsid w:val="006763AE"/>
    <w:rsid w:val="00680112"/>
    <w:rsid w:val="00682299"/>
    <w:rsid w:val="0068238F"/>
    <w:rsid w:val="00683804"/>
    <w:rsid w:val="00684B32"/>
    <w:rsid w:val="006877FC"/>
    <w:rsid w:val="0069425A"/>
    <w:rsid w:val="006958B4"/>
    <w:rsid w:val="0069604A"/>
    <w:rsid w:val="0069638C"/>
    <w:rsid w:val="0069782D"/>
    <w:rsid w:val="006A02B1"/>
    <w:rsid w:val="006A03E7"/>
    <w:rsid w:val="006A20D8"/>
    <w:rsid w:val="006A2991"/>
    <w:rsid w:val="006A40B9"/>
    <w:rsid w:val="006A666B"/>
    <w:rsid w:val="006B027A"/>
    <w:rsid w:val="006B1288"/>
    <w:rsid w:val="006B4C04"/>
    <w:rsid w:val="006B56A6"/>
    <w:rsid w:val="006B7982"/>
    <w:rsid w:val="006C2C52"/>
    <w:rsid w:val="006C4870"/>
    <w:rsid w:val="006C78D0"/>
    <w:rsid w:val="006D3E52"/>
    <w:rsid w:val="006D4163"/>
    <w:rsid w:val="006D6313"/>
    <w:rsid w:val="006D7DB1"/>
    <w:rsid w:val="006E12EB"/>
    <w:rsid w:val="006E1969"/>
    <w:rsid w:val="006E1C68"/>
    <w:rsid w:val="006E2405"/>
    <w:rsid w:val="006E2D96"/>
    <w:rsid w:val="006E340C"/>
    <w:rsid w:val="006E6C00"/>
    <w:rsid w:val="006F1383"/>
    <w:rsid w:val="006F24EE"/>
    <w:rsid w:val="006F3066"/>
    <w:rsid w:val="006F376D"/>
    <w:rsid w:val="006F3942"/>
    <w:rsid w:val="006F50A2"/>
    <w:rsid w:val="006F6CA7"/>
    <w:rsid w:val="006F71EC"/>
    <w:rsid w:val="007014FE"/>
    <w:rsid w:val="00701E0D"/>
    <w:rsid w:val="00703460"/>
    <w:rsid w:val="00706C5D"/>
    <w:rsid w:val="007073B1"/>
    <w:rsid w:val="00710FA7"/>
    <w:rsid w:val="00711E2B"/>
    <w:rsid w:val="007133E7"/>
    <w:rsid w:val="00713916"/>
    <w:rsid w:val="00714AD5"/>
    <w:rsid w:val="00715297"/>
    <w:rsid w:val="00715C35"/>
    <w:rsid w:val="00715F4D"/>
    <w:rsid w:val="00717136"/>
    <w:rsid w:val="00717BF0"/>
    <w:rsid w:val="00720CC7"/>
    <w:rsid w:val="00720FD0"/>
    <w:rsid w:val="0072120E"/>
    <w:rsid w:val="007232C6"/>
    <w:rsid w:val="00725D8A"/>
    <w:rsid w:val="007274AA"/>
    <w:rsid w:val="00730067"/>
    <w:rsid w:val="0073310E"/>
    <w:rsid w:val="007335E8"/>
    <w:rsid w:val="00733663"/>
    <w:rsid w:val="00733F89"/>
    <w:rsid w:val="00734881"/>
    <w:rsid w:val="007354ED"/>
    <w:rsid w:val="007379D8"/>
    <w:rsid w:val="007379F4"/>
    <w:rsid w:val="0074091A"/>
    <w:rsid w:val="007411F1"/>
    <w:rsid w:val="00741721"/>
    <w:rsid w:val="00742634"/>
    <w:rsid w:val="007451C5"/>
    <w:rsid w:val="00747CC0"/>
    <w:rsid w:val="00750BEF"/>
    <w:rsid w:val="00750D40"/>
    <w:rsid w:val="00751159"/>
    <w:rsid w:val="00753D37"/>
    <w:rsid w:val="00754749"/>
    <w:rsid w:val="00754C70"/>
    <w:rsid w:val="00755B0C"/>
    <w:rsid w:val="007566CE"/>
    <w:rsid w:val="007579B1"/>
    <w:rsid w:val="00763632"/>
    <w:rsid w:val="007642CD"/>
    <w:rsid w:val="00766D75"/>
    <w:rsid w:val="00767508"/>
    <w:rsid w:val="00770B27"/>
    <w:rsid w:val="00772E29"/>
    <w:rsid w:val="00775052"/>
    <w:rsid w:val="00783189"/>
    <w:rsid w:val="00783E0E"/>
    <w:rsid w:val="00785DDD"/>
    <w:rsid w:val="007873B8"/>
    <w:rsid w:val="007876C3"/>
    <w:rsid w:val="007918CC"/>
    <w:rsid w:val="0079221C"/>
    <w:rsid w:val="0079419E"/>
    <w:rsid w:val="00794242"/>
    <w:rsid w:val="007946F2"/>
    <w:rsid w:val="0079519E"/>
    <w:rsid w:val="00796AA2"/>
    <w:rsid w:val="00797359"/>
    <w:rsid w:val="007A265F"/>
    <w:rsid w:val="007A3D58"/>
    <w:rsid w:val="007A3FE6"/>
    <w:rsid w:val="007A4A1A"/>
    <w:rsid w:val="007A56F7"/>
    <w:rsid w:val="007B047A"/>
    <w:rsid w:val="007B12A8"/>
    <w:rsid w:val="007B2FE9"/>
    <w:rsid w:val="007B368E"/>
    <w:rsid w:val="007B4828"/>
    <w:rsid w:val="007C3D2A"/>
    <w:rsid w:val="007C50C6"/>
    <w:rsid w:val="007C5F92"/>
    <w:rsid w:val="007C6A2E"/>
    <w:rsid w:val="007D0E7C"/>
    <w:rsid w:val="007D1439"/>
    <w:rsid w:val="007D1E0F"/>
    <w:rsid w:val="007D2959"/>
    <w:rsid w:val="007D6B6D"/>
    <w:rsid w:val="007E0993"/>
    <w:rsid w:val="007E12C3"/>
    <w:rsid w:val="007E1EAA"/>
    <w:rsid w:val="007E2CDE"/>
    <w:rsid w:val="007E3AFD"/>
    <w:rsid w:val="007E3C0C"/>
    <w:rsid w:val="007E6F7F"/>
    <w:rsid w:val="007F202B"/>
    <w:rsid w:val="007F617B"/>
    <w:rsid w:val="007F66DE"/>
    <w:rsid w:val="007F71EE"/>
    <w:rsid w:val="008009D6"/>
    <w:rsid w:val="00801D40"/>
    <w:rsid w:val="00802A04"/>
    <w:rsid w:val="00804D47"/>
    <w:rsid w:val="00805F13"/>
    <w:rsid w:val="00806F20"/>
    <w:rsid w:val="00807293"/>
    <w:rsid w:val="0081181E"/>
    <w:rsid w:val="00812F7A"/>
    <w:rsid w:val="008134E6"/>
    <w:rsid w:val="008147AC"/>
    <w:rsid w:val="0081646E"/>
    <w:rsid w:val="00816A04"/>
    <w:rsid w:val="00816ADF"/>
    <w:rsid w:val="00822E26"/>
    <w:rsid w:val="008238FE"/>
    <w:rsid w:val="008278C9"/>
    <w:rsid w:val="00827D5A"/>
    <w:rsid w:val="00830A64"/>
    <w:rsid w:val="00831F0F"/>
    <w:rsid w:val="0083227F"/>
    <w:rsid w:val="0083403C"/>
    <w:rsid w:val="008346B3"/>
    <w:rsid w:val="00834A2A"/>
    <w:rsid w:val="00840130"/>
    <w:rsid w:val="00842B2A"/>
    <w:rsid w:val="00844139"/>
    <w:rsid w:val="00844F3E"/>
    <w:rsid w:val="00845F36"/>
    <w:rsid w:val="008468A2"/>
    <w:rsid w:val="008505DE"/>
    <w:rsid w:val="0085074F"/>
    <w:rsid w:val="00851F1C"/>
    <w:rsid w:val="00852039"/>
    <w:rsid w:val="008531F9"/>
    <w:rsid w:val="0085498B"/>
    <w:rsid w:val="00855B0B"/>
    <w:rsid w:val="0086256B"/>
    <w:rsid w:val="0086288F"/>
    <w:rsid w:val="00863853"/>
    <w:rsid w:val="00867A27"/>
    <w:rsid w:val="00870093"/>
    <w:rsid w:val="008706DD"/>
    <w:rsid w:val="00872CF0"/>
    <w:rsid w:val="0087360D"/>
    <w:rsid w:val="00873875"/>
    <w:rsid w:val="00874227"/>
    <w:rsid w:val="008746E9"/>
    <w:rsid w:val="00874AF7"/>
    <w:rsid w:val="008764C7"/>
    <w:rsid w:val="00880246"/>
    <w:rsid w:val="00883556"/>
    <w:rsid w:val="008837B5"/>
    <w:rsid w:val="0088427E"/>
    <w:rsid w:val="008845B1"/>
    <w:rsid w:val="008871F6"/>
    <w:rsid w:val="008946C0"/>
    <w:rsid w:val="00894BD5"/>
    <w:rsid w:val="00895CE9"/>
    <w:rsid w:val="00895FC4"/>
    <w:rsid w:val="008966AA"/>
    <w:rsid w:val="008A2018"/>
    <w:rsid w:val="008A2886"/>
    <w:rsid w:val="008A7415"/>
    <w:rsid w:val="008B018F"/>
    <w:rsid w:val="008B0505"/>
    <w:rsid w:val="008B236F"/>
    <w:rsid w:val="008B42DA"/>
    <w:rsid w:val="008B4571"/>
    <w:rsid w:val="008B61D2"/>
    <w:rsid w:val="008B68FC"/>
    <w:rsid w:val="008B7D77"/>
    <w:rsid w:val="008C13D7"/>
    <w:rsid w:val="008C1455"/>
    <w:rsid w:val="008C1BFB"/>
    <w:rsid w:val="008C2CC6"/>
    <w:rsid w:val="008C35F0"/>
    <w:rsid w:val="008C4823"/>
    <w:rsid w:val="008C588C"/>
    <w:rsid w:val="008C5F65"/>
    <w:rsid w:val="008D1173"/>
    <w:rsid w:val="008D319D"/>
    <w:rsid w:val="008D6239"/>
    <w:rsid w:val="008D71AF"/>
    <w:rsid w:val="008D7F7A"/>
    <w:rsid w:val="008E09DE"/>
    <w:rsid w:val="008E2EA9"/>
    <w:rsid w:val="008E3226"/>
    <w:rsid w:val="008E3642"/>
    <w:rsid w:val="008E4AEE"/>
    <w:rsid w:val="008F0E8E"/>
    <w:rsid w:val="008F0EBB"/>
    <w:rsid w:val="008F2BA5"/>
    <w:rsid w:val="008F2CB6"/>
    <w:rsid w:val="008F2EEF"/>
    <w:rsid w:val="008F3420"/>
    <w:rsid w:val="008F4311"/>
    <w:rsid w:val="008F4B7B"/>
    <w:rsid w:val="00903100"/>
    <w:rsid w:val="00906284"/>
    <w:rsid w:val="0091127E"/>
    <w:rsid w:val="00911638"/>
    <w:rsid w:val="00913557"/>
    <w:rsid w:val="00913D30"/>
    <w:rsid w:val="00913F79"/>
    <w:rsid w:val="0091644D"/>
    <w:rsid w:val="00917FB2"/>
    <w:rsid w:val="00920322"/>
    <w:rsid w:val="009236C5"/>
    <w:rsid w:val="00926E07"/>
    <w:rsid w:val="0093042F"/>
    <w:rsid w:val="00931671"/>
    <w:rsid w:val="00932E07"/>
    <w:rsid w:val="00934ECC"/>
    <w:rsid w:val="009359FA"/>
    <w:rsid w:val="00937C1F"/>
    <w:rsid w:val="00941B67"/>
    <w:rsid w:val="00947985"/>
    <w:rsid w:val="009509C6"/>
    <w:rsid w:val="00951990"/>
    <w:rsid w:val="00952277"/>
    <w:rsid w:val="0095427A"/>
    <w:rsid w:val="00956AE4"/>
    <w:rsid w:val="0096193B"/>
    <w:rsid w:val="00962A0A"/>
    <w:rsid w:val="00962A41"/>
    <w:rsid w:val="009630F0"/>
    <w:rsid w:val="00963260"/>
    <w:rsid w:val="00966E51"/>
    <w:rsid w:val="0097187F"/>
    <w:rsid w:val="00972DB3"/>
    <w:rsid w:val="00975835"/>
    <w:rsid w:val="00975CF7"/>
    <w:rsid w:val="009767D8"/>
    <w:rsid w:val="009773B6"/>
    <w:rsid w:val="00981EAC"/>
    <w:rsid w:val="009822A1"/>
    <w:rsid w:val="009849A1"/>
    <w:rsid w:val="00987D46"/>
    <w:rsid w:val="00990539"/>
    <w:rsid w:val="0099152E"/>
    <w:rsid w:val="009932AE"/>
    <w:rsid w:val="00995DB3"/>
    <w:rsid w:val="009971A0"/>
    <w:rsid w:val="00997454"/>
    <w:rsid w:val="00997E79"/>
    <w:rsid w:val="009A1B41"/>
    <w:rsid w:val="009A1C2B"/>
    <w:rsid w:val="009A1F27"/>
    <w:rsid w:val="009A35E5"/>
    <w:rsid w:val="009A4423"/>
    <w:rsid w:val="009A5904"/>
    <w:rsid w:val="009A5AC7"/>
    <w:rsid w:val="009A6AF1"/>
    <w:rsid w:val="009A7B23"/>
    <w:rsid w:val="009B12E3"/>
    <w:rsid w:val="009B2B79"/>
    <w:rsid w:val="009B3072"/>
    <w:rsid w:val="009B3208"/>
    <w:rsid w:val="009B461B"/>
    <w:rsid w:val="009B51E2"/>
    <w:rsid w:val="009B79F3"/>
    <w:rsid w:val="009C08EF"/>
    <w:rsid w:val="009C2182"/>
    <w:rsid w:val="009C35AC"/>
    <w:rsid w:val="009C605A"/>
    <w:rsid w:val="009D0EFF"/>
    <w:rsid w:val="009D3591"/>
    <w:rsid w:val="009D4132"/>
    <w:rsid w:val="009D712F"/>
    <w:rsid w:val="009D7223"/>
    <w:rsid w:val="009E0189"/>
    <w:rsid w:val="009E11B5"/>
    <w:rsid w:val="009E1F57"/>
    <w:rsid w:val="009E3737"/>
    <w:rsid w:val="009E6A9F"/>
    <w:rsid w:val="009E6F14"/>
    <w:rsid w:val="009E754D"/>
    <w:rsid w:val="009E7E53"/>
    <w:rsid w:val="009F30C5"/>
    <w:rsid w:val="009F5D03"/>
    <w:rsid w:val="009F6491"/>
    <w:rsid w:val="00A01629"/>
    <w:rsid w:val="00A02916"/>
    <w:rsid w:val="00A03386"/>
    <w:rsid w:val="00A039F0"/>
    <w:rsid w:val="00A03E46"/>
    <w:rsid w:val="00A04A54"/>
    <w:rsid w:val="00A0592D"/>
    <w:rsid w:val="00A05AF4"/>
    <w:rsid w:val="00A06935"/>
    <w:rsid w:val="00A10DFD"/>
    <w:rsid w:val="00A13813"/>
    <w:rsid w:val="00A140B0"/>
    <w:rsid w:val="00A15205"/>
    <w:rsid w:val="00A2217C"/>
    <w:rsid w:val="00A2236D"/>
    <w:rsid w:val="00A2443C"/>
    <w:rsid w:val="00A2623E"/>
    <w:rsid w:val="00A26989"/>
    <w:rsid w:val="00A30580"/>
    <w:rsid w:val="00A3058F"/>
    <w:rsid w:val="00A31B1A"/>
    <w:rsid w:val="00A33D8F"/>
    <w:rsid w:val="00A35C39"/>
    <w:rsid w:val="00A37605"/>
    <w:rsid w:val="00A435DD"/>
    <w:rsid w:val="00A43A15"/>
    <w:rsid w:val="00A43C96"/>
    <w:rsid w:val="00A44ED8"/>
    <w:rsid w:val="00A452B1"/>
    <w:rsid w:val="00A472AB"/>
    <w:rsid w:val="00A47AC5"/>
    <w:rsid w:val="00A47E02"/>
    <w:rsid w:val="00A5055A"/>
    <w:rsid w:val="00A57BFB"/>
    <w:rsid w:val="00A57CF0"/>
    <w:rsid w:val="00A57D5D"/>
    <w:rsid w:val="00A6530C"/>
    <w:rsid w:val="00A6564D"/>
    <w:rsid w:val="00A65C16"/>
    <w:rsid w:val="00A704D9"/>
    <w:rsid w:val="00A709BF"/>
    <w:rsid w:val="00A714A6"/>
    <w:rsid w:val="00A7236D"/>
    <w:rsid w:val="00A729D5"/>
    <w:rsid w:val="00A72BE6"/>
    <w:rsid w:val="00A76C47"/>
    <w:rsid w:val="00A80BBD"/>
    <w:rsid w:val="00A81614"/>
    <w:rsid w:val="00A82041"/>
    <w:rsid w:val="00A8225E"/>
    <w:rsid w:val="00A8269A"/>
    <w:rsid w:val="00A851AE"/>
    <w:rsid w:val="00A8727B"/>
    <w:rsid w:val="00A94981"/>
    <w:rsid w:val="00AA007B"/>
    <w:rsid w:val="00AA0EEA"/>
    <w:rsid w:val="00AA3D14"/>
    <w:rsid w:val="00AA4C6F"/>
    <w:rsid w:val="00AA54F0"/>
    <w:rsid w:val="00AA5690"/>
    <w:rsid w:val="00AA5CF0"/>
    <w:rsid w:val="00AA64E2"/>
    <w:rsid w:val="00AB01E8"/>
    <w:rsid w:val="00AB1D04"/>
    <w:rsid w:val="00AB3AF1"/>
    <w:rsid w:val="00AB3F41"/>
    <w:rsid w:val="00AB5BD5"/>
    <w:rsid w:val="00AB77F0"/>
    <w:rsid w:val="00AC22AF"/>
    <w:rsid w:val="00AC3DBD"/>
    <w:rsid w:val="00AC4AF1"/>
    <w:rsid w:val="00AC5010"/>
    <w:rsid w:val="00AC5ECC"/>
    <w:rsid w:val="00AC77A9"/>
    <w:rsid w:val="00AD0780"/>
    <w:rsid w:val="00AD198A"/>
    <w:rsid w:val="00AD1C18"/>
    <w:rsid w:val="00AD2B67"/>
    <w:rsid w:val="00AD5460"/>
    <w:rsid w:val="00AD60F4"/>
    <w:rsid w:val="00AD6DE0"/>
    <w:rsid w:val="00AE20DD"/>
    <w:rsid w:val="00AE28A9"/>
    <w:rsid w:val="00AE392A"/>
    <w:rsid w:val="00AE5DF4"/>
    <w:rsid w:val="00AE69CF"/>
    <w:rsid w:val="00AE69D2"/>
    <w:rsid w:val="00AF056F"/>
    <w:rsid w:val="00AF0D57"/>
    <w:rsid w:val="00AF25EC"/>
    <w:rsid w:val="00AF27CD"/>
    <w:rsid w:val="00AF34B9"/>
    <w:rsid w:val="00AF4E2E"/>
    <w:rsid w:val="00AF5BE8"/>
    <w:rsid w:val="00B00E4D"/>
    <w:rsid w:val="00B0310E"/>
    <w:rsid w:val="00B06C9F"/>
    <w:rsid w:val="00B06E70"/>
    <w:rsid w:val="00B07D45"/>
    <w:rsid w:val="00B163A2"/>
    <w:rsid w:val="00B163D6"/>
    <w:rsid w:val="00B17AD3"/>
    <w:rsid w:val="00B2219D"/>
    <w:rsid w:val="00B236DC"/>
    <w:rsid w:val="00B24E01"/>
    <w:rsid w:val="00B24F9D"/>
    <w:rsid w:val="00B30A6C"/>
    <w:rsid w:val="00B318AC"/>
    <w:rsid w:val="00B343DF"/>
    <w:rsid w:val="00B43CAC"/>
    <w:rsid w:val="00B461F8"/>
    <w:rsid w:val="00B507BE"/>
    <w:rsid w:val="00B50A87"/>
    <w:rsid w:val="00B5102C"/>
    <w:rsid w:val="00B545DE"/>
    <w:rsid w:val="00B5551B"/>
    <w:rsid w:val="00B56B9B"/>
    <w:rsid w:val="00B57301"/>
    <w:rsid w:val="00B61A18"/>
    <w:rsid w:val="00B6276B"/>
    <w:rsid w:val="00B62C51"/>
    <w:rsid w:val="00B63244"/>
    <w:rsid w:val="00B66835"/>
    <w:rsid w:val="00B674D9"/>
    <w:rsid w:val="00B7300E"/>
    <w:rsid w:val="00B768FF"/>
    <w:rsid w:val="00B7699F"/>
    <w:rsid w:val="00B8072C"/>
    <w:rsid w:val="00B8132E"/>
    <w:rsid w:val="00B84BC2"/>
    <w:rsid w:val="00B86A58"/>
    <w:rsid w:val="00B94DC3"/>
    <w:rsid w:val="00B96271"/>
    <w:rsid w:val="00BA0149"/>
    <w:rsid w:val="00BA0C67"/>
    <w:rsid w:val="00BA2D22"/>
    <w:rsid w:val="00BA3BBA"/>
    <w:rsid w:val="00BA5950"/>
    <w:rsid w:val="00BA6B3F"/>
    <w:rsid w:val="00BB2247"/>
    <w:rsid w:val="00BC4728"/>
    <w:rsid w:val="00BC47A9"/>
    <w:rsid w:val="00BD33B7"/>
    <w:rsid w:val="00BD5C1B"/>
    <w:rsid w:val="00BE09D1"/>
    <w:rsid w:val="00BE12A3"/>
    <w:rsid w:val="00BE160B"/>
    <w:rsid w:val="00BE2A3C"/>
    <w:rsid w:val="00BE2E03"/>
    <w:rsid w:val="00BE350C"/>
    <w:rsid w:val="00BE3EBD"/>
    <w:rsid w:val="00BE459D"/>
    <w:rsid w:val="00BE54BE"/>
    <w:rsid w:val="00BF0423"/>
    <w:rsid w:val="00BF3486"/>
    <w:rsid w:val="00BF3CC8"/>
    <w:rsid w:val="00BF554B"/>
    <w:rsid w:val="00BF6BAF"/>
    <w:rsid w:val="00BF7D11"/>
    <w:rsid w:val="00C0108E"/>
    <w:rsid w:val="00C0205F"/>
    <w:rsid w:val="00C02EA8"/>
    <w:rsid w:val="00C0320D"/>
    <w:rsid w:val="00C038E9"/>
    <w:rsid w:val="00C03DE1"/>
    <w:rsid w:val="00C04AF0"/>
    <w:rsid w:val="00C05671"/>
    <w:rsid w:val="00C06612"/>
    <w:rsid w:val="00C07073"/>
    <w:rsid w:val="00C07454"/>
    <w:rsid w:val="00C077EB"/>
    <w:rsid w:val="00C07B88"/>
    <w:rsid w:val="00C11CE2"/>
    <w:rsid w:val="00C12E85"/>
    <w:rsid w:val="00C14B1B"/>
    <w:rsid w:val="00C15B3C"/>
    <w:rsid w:val="00C201F2"/>
    <w:rsid w:val="00C20F2E"/>
    <w:rsid w:val="00C2160C"/>
    <w:rsid w:val="00C22B6B"/>
    <w:rsid w:val="00C24815"/>
    <w:rsid w:val="00C24A9A"/>
    <w:rsid w:val="00C24B21"/>
    <w:rsid w:val="00C2537D"/>
    <w:rsid w:val="00C2645D"/>
    <w:rsid w:val="00C267D7"/>
    <w:rsid w:val="00C30843"/>
    <w:rsid w:val="00C30E51"/>
    <w:rsid w:val="00C31165"/>
    <w:rsid w:val="00C32432"/>
    <w:rsid w:val="00C32574"/>
    <w:rsid w:val="00C3399F"/>
    <w:rsid w:val="00C33E60"/>
    <w:rsid w:val="00C34B4D"/>
    <w:rsid w:val="00C34F7D"/>
    <w:rsid w:val="00C35B8B"/>
    <w:rsid w:val="00C370EE"/>
    <w:rsid w:val="00C37DDE"/>
    <w:rsid w:val="00C40428"/>
    <w:rsid w:val="00C420CE"/>
    <w:rsid w:val="00C43576"/>
    <w:rsid w:val="00C43751"/>
    <w:rsid w:val="00C44CC1"/>
    <w:rsid w:val="00C45ADC"/>
    <w:rsid w:val="00C50C40"/>
    <w:rsid w:val="00C52A01"/>
    <w:rsid w:val="00C53E5D"/>
    <w:rsid w:val="00C55E64"/>
    <w:rsid w:val="00C562A9"/>
    <w:rsid w:val="00C5672B"/>
    <w:rsid w:val="00C60135"/>
    <w:rsid w:val="00C60B32"/>
    <w:rsid w:val="00C63881"/>
    <w:rsid w:val="00C654DF"/>
    <w:rsid w:val="00C65EB0"/>
    <w:rsid w:val="00C71D0E"/>
    <w:rsid w:val="00C73190"/>
    <w:rsid w:val="00C74A05"/>
    <w:rsid w:val="00C75A60"/>
    <w:rsid w:val="00C76D75"/>
    <w:rsid w:val="00C8022A"/>
    <w:rsid w:val="00C80DBA"/>
    <w:rsid w:val="00C84483"/>
    <w:rsid w:val="00C857F8"/>
    <w:rsid w:val="00C86C5C"/>
    <w:rsid w:val="00C873A9"/>
    <w:rsid w:val="00C93864"/>
    <w:rsid w:val="00C943C7"/>
    <w:rsid w:val="00C947E2"/>
    <w:rsid w:val="00C94986"/>
    <w:rsid w:val="00C95DE8"/>
    <w:rsid w:val="00C971FB"/>
    <w:rsid w:val="00CA101F"/>
    <w:rsid w:val="00CA3AA6"/>
    <w:rsid w:val="00CB29C2"/>
    <w:rsid w:val="00CB39B3"/>
    <w:rsid w:val="00CB5ED6"/>
    <w:rsid w:val="00CC16BE"/>
    <w:rsid w:val="00CC597A"/>
    <w:rsid w:val="00CC6671"/>
    <w:rsid w:val="00CC7A32"/>
    <w:rsid w:val="00CD0ACF"/>
    <w:rsid w:val="00CD178D"/>
    <w:rsid w:val="00CD2711"/>
    <w:rsid w:val="00CD3452"/>
    <w:rsid w:val="00CD485B"/>
    <w:rsid w:val="00CD77FD"/>
    <w:rsid w:val="00CE2005"/>
    <w:rsid w:val="00CE2DC3"/>
    <w:rsid w:val="00CE67CA"/>
    <w:rsid w:val="00CF246A"/>
    <w:rsid w:val="00CF3E93"/>
    <w:rsid w:val="00CF40D3"/>
    <w:rsid w:val="00CF4464"/>
    <w:rsid w:val="00CF5789"/>
    <w:rsid w:val="00CF5EB3"/>
    <w:rsid w:val="00CF6785"/>
    <w:rsid w:val="00CF7564"/>
    <w:rsid w:val="00CF7B2E"/>
    <w:rsid w:val="00D00F46"/>
    <w:rsid w:val="00D01406"/>
    <w:rsid w:val="00D03A30"/>
    <w:rsid w:val="00D043BC"/>
    <w:rsid w:val="00D05DFD"/>
    <w:rsid w:val="00D07915"/>
    <w:rsid w:val="00D10DF4"/>
    <w:rsid w:val="00D11455"/>
    <w:rsid w:val="00D13D21"/>
    <w:rsid w:val="00D1637C"/>
    <w:rsid w:val="00D171F2"/>
    <w:rsid w:val="00D20468"/>
    <w:rsid w:val="00D2288C"/>
    <w:rsid w:val="00D23E7A"/>
    <w:rsid w:val="00D246AE"/>
    <w:rsid w:val="00D24D99"/>
    <w:rsid w:val="00D3071B"/>
    <w:rsid w:val="00D31696"/>
    <w:rsid w:val="00D32171"/>
    <w:rsid w:val="00D35DBD"/>
    <w:rsid w:val="00D36446"/>
    <w:rsid w:val="00D37C93"/>
    <w:rsid w:val="00D43144"/>
    <w:rsid w:val="00D457D5"/>
    <w:rsid w:val="00D46F22"/>
    <w:rsid w:val="00D530A5"/>
    <w:rsid w:val="00D554F6"/>
    <w:rsid w:val="00D5754B"/>
    <w:rsid w:val="00D6012A"/>
    <w:rsid w:val="00D6158A"/>
    <w:rsid w:val="00D6266E"/>
    <w:rsid w:val="00D62AF4"/>
    <w:rsid w:val="00D62F1F"/>
    <w:rsid w:val="00D668E3"/>
    <w:rsid w:val="00D6705E"/>
    <w:rsid w:val="00D6718B"/>
    <w:rsid w:val="00D7138C"/>
    <w:rsid w:val="00D71BD6"/>
    <w:rsid w:val="00D736C5"/>
    <w:rsid w:val="00D740D1"/>
    <w:rsid w:val="00D767C2"/>
    <w:rsid w:val="00D80CCA"/>
    <w:rsid w:val="00D840AC"/>
    <w:rsid w:val="00D86C1C"/>
    <w:rsid w:val="00D94162"/>
    <w:rsid w:val="00D9593A"/>
    <w:rsid w:val="00D970FA"/>
    <w:rsid w:val="00DA05A6"/>
    <w:rsid w:val="00DA4B9A"/>
    <w:rsid w:val="00DA5676"/>
    <w:rsid w:val="00DA6908"/>
    <w:rsid w:val="00DB0370"/>
    <w:rsid w:val="00DB0F3F"/>
    <w:rsid w:val="00DB34DB"/>
    <w:rsid w:val="00DB372C"/>
    <w:rsid w:val="00DB6EB1"/>
    <w:rsid w:val="00DB6EFC"/>
    <w:rsid w:val="00DB7392"/>
    <w:rsid w:val="00DC099F"/>
    <w:rsid w:val="00DC2DE8"/>
    <w:rsid w:val="00DC3084"/>
    <w:rsid w:val="00DC4A6C"/>
    <w:rsid w:val="00DC50AA"/>
    <w:rsid w:val="00DD0477"/>
    <w:rsid w:val="00DD5BF1"/>
    <w:rsid w:val="00DD65ED"/>
    <w:rsid w:val="00DE32CA"/>
    <w:rsid w:val="00DE67A9"/>
    <w:rsid w:val="00DF0C59"/>
    <w:rsid w:val="00DF2DAF"/>
    <w:rsid w:val="00DF2EDF"/>
    <w:rsid w:val="00DF3CFE"/>
    <w:rsid w:val="00DF3DE3"/>
    <w:rsid w:val="00DF5321"/>
    <w:rsid w:val="00E02FCF"/>
    <w:rsid w:val="00E063E8"/>
    <w:rsid w:val="00E06AB0"/>
    <w:rsid w:val="00E06BF1"/>
    <w:rsid w:val="00E06E0F"/>
    <w:rsid w:val="00E0741B"/>
    <w:rsid w:val="00E104BD"/>
    <w:rsid w:val="00E11692"/>
    <w:rsid w:val="00E12138"/>
    <w:rsid w:val="00E17080"/>
    <w:rsid w:val="00E22AD6"/>
    <w:rsid w:val="00E258F9"/>
    <w:rsid w:val="00E279F2"/>
    <w:rsid w:val="00E27E12"/>
    <w:rsid w:val="00E30230"/>
    <w:rsid w:val="00E30ABA"/>
    <w:rsid w:val="00E3275E"/>
    <w:rsid w:val="00E35210"/>
    <w:rsid w:val="00E37B3F"/>
    <w:rsid w:val="00E402E6"/>
    <w:rsid w:val="00E416C9"/>
    <w:rsid w:val="00E42F29"/>
    <w:rsid w:val="00E437A9"/>
    <w:rsid w:val="00E44705"/>
    <w:rsid w:val="00E4625B"/>
    <w:rsid w:val="00E46944"/>
    <w:rsid w:val="00E46959"/>
    <w:rsid w:val="00E46D00"/>
    <w:rsid w:val="00E47389"/>
    <w:rsid w:val="00E52144"/>
    <w:rsid w:val="00E52BEF"/>
    <w:rsid w:val="00E53480"/>
    <w:rsid w:val="00E536EE"/>
    <w:rsid w:val="00E5595D"/>
    <w:rsid w:val="00E55CD3"/>
    <w:rsid w:val="00E574DE"/>
    <w:rsid w:val="00E6023C"/>
    <w:rsid w:val="00E610F1"/>
    <w:rsid w:val="00E64144"/>
    <w:rsid w:val="00E6457C"/>
    <w:rsid w:val="00E67479"/>
    <w:rsid w:val="00E67D3D"/>
    <w:rsid w:val="00E701FA"/>
    <w:rsid w:val="00E71217"/>
    <w:rsid w:val="00E714F7"/>
    <w:rsid w:val="00E71EA1"/>
    <w:rsid w:val="00E733CF"/>
    <w:rsid w:val="00E738AF"/>
    <w:rsid w:val="00E73DDE"/>
    <w:rsid w:val="00E7638D"/>
    <w:rsid w:val="00E76DFD"/>
    <w:rsid w:val="00E770E5"/>
    <w:rsid w:val="00E7730A"/>
    <w:rsid w:val="00E776C8"/>
    <w:rsid w:val="00E808DF"/>
    <w:rsid w:val="00E80D8F"/>
    <w:rsid w:val="00E8244F"/>
    <w:rsid w:val="00E829F9"/>
    <w:rsid w:val="00E8312E"/>
    <w:rsid w:val="00E848E1"/>
    <w:rsid w:val="00E92A4F"/>
    <w:rsid w:val="00E9333D"/>
    <w:rsid w:val="00E945EF"/>
    <w:rsid w:val="00E94A9D"/>
    <w:rsid w:val="00E966B1"/>
    <w:rsid w:val="00EA27D9"/>
    <w:rsid w:val="00EA44CF"/>
    <w:rsid w:val="00EA51AB"/>
    <w:rsid w:val="00EA5B0F"/>
    <w:rsid w:val="00EA6B72"/>
    <w:rsid w:val="00EA74AA"/>
    <w:rsid w:val="00EB11B0"/>
    <w:rsid w:val="00EB57EE"/>
    <w:rsid w:val="00EB6E7C"/>
    <w:rsid w:val="00EB7881"/>
    <w:rsid w:val="00EC218E"/>
    <w:rsid w:val="00EC2EFD"/>
    <w:rsid w:val="00EC491A"/>
    <w:rsid w:val="00EC5842"/>
    <w:rsid w:val="00EC6C3A"/>
    <w:rsid w:val="00EC7793"/>
    <w:rsid w:val="00ED02EE"/>
    <w:rsid w:val="00ED079E"/>
    <w:rsid w:val="00ED3C11"/>
    <w:rsid w:val="00ED4509"/>
    <w:rsid w:val="00ED616B"/>
    <w:rsid w:val="00EE0537"/>
    <w:rsid w:val="00EE20DA"/>
    <w:rsid w:val="00EE26E2"/>
    <w:rsid w:val="00EE5573"/>
    <w:rsid w:val="00EE6AC5"/>
    <w:rsid w:val="00EE72C3"/>
    <w:rsid w:val="00EF1D52"/>
    <w:rsid w:val="00EF41B0"/>
    <w:rsid w:val="00EF6B75"/>
    <w:rsid w:val="00EF7A2A"/>
    <w:rsid w:val="00F02FE7"/>
    <w:rsid w:val="00F03742"/>
    <w:rsid w:val="00F0544C"/>
    <w:rsid w:val="00F0595F"/>
    <w:rsid w:val="00F07672"/>
    <w:rsid w:val="00F11337"/>
    <w:rsid w:val="00F1388F"/>
    <w:rsid w:val="00F13AF3"/>
    <w:rsid w:val="00F13C6A"/>
    <w:rsid w:val="00F13C8E"/>
    <w:rsid w:val="00F13ED1"/>
    <w:rsid w:val="00F15660"/>
    <w:rsid w:val="00F169A2"/>
    <w:rsid w:val="00F22F41"/>
    <w:rsid w:val="00F2457D"/>
    <w:rsid w:val="00F26070"/>
    <w:rsid w:val="00F26F57"/>
    <w:rsid w:val="00F305D1"/>
    <w:rsid w:val="00F30E43"/>
    <w:rsid w:val="00F30E98"/>
    <w:rsid w:val="00F3319C"/>
    <w:rsid w:val="00F33F15"/>
    <w:rsid w:val="00F354B4"/>
    <w:rsid w:val="00F35B96"/>
    <w:rsid w:val="00F367E6"/>
    <w:rsid w:val="00F40E2A"/>
    <w:rsid w:val="00F414E6"/>
    <w:rsid w:val="00F42D92"/>
    <w:rsid w:val="00F4622D"/>
    <w:rsid w:val="00F4702E"/>
    <w:rsid w:val="00F5139C"/>
    <w:rsid w:val="00F54854"/>
    <w:rsid w:val="00F56232"/>
    <w:rsid w:val="00F566C6"/>
    <w:rsid w:val="00F56960"/>
    <w:rsid w:val="00F610F0"/>
    <w:rsid w:val="00F61472"/>
    <w:rsid w:val="00F614CF"/>
    <w:rsid w:val="00F621FB"/>
    <w:rsid w:val="00F63813"/>
    <w:rsid w:val="00F7218E"/>
    <w:rsid w:val="00F72A8A"/>
    <w:rsid w:val="00F72CEA"/>
    <w:rsid w:val="00F73C53"/>
    <w:rsid w:val="00F73CC1"/>
    <w:rsid w:val="00F7406F"/>
    <w:rsid w:val="00F74097"/>
    <w:rsid w:val="00F74603"/>
    <w:rsid w:val="00F80519"/>
    <w:rsid w:val="00F80927"/>
    <w:rsid w:val="00F8151E"/>
    <w:rsid w:val="00F82933"/>
    <w:rsid w:val="00F82D0E"/>
    <w:rsid w:val="00F86737"/>
    <w:rsid w:val="00F87009"/>
    <w:rsid w:val="00F90CB0"/>
    <w:rsid w:val="00F92297"/>
    <w:rsid w:val="00F95311"/>
    <w:rsid w:val="00F9581D"/>
    <w:rsid w:val="00F96744"/>
    <w:rsid w:val="00F977F3"/>
    <w:rsid w:val="00FA20DC"/>
    <w:rsid w:val="00FA4DD3"/>
    <w:rsid w:val="00FA5377"/>
    <w:rsid w:val="00FA594D"/>
    <w:rsid w:val="00FA6EAC"/>
    <w:rsid w:val="00FA6F49"/>
    <w:rsid w:val="00FB14C2"/>
    <w:rsid w:val="00FB1F03"/>
    <w:rsid w:val="00FB2061"/>
    <w:rsid w:val="00FB39CD"/>
    <w:rsid w:val="00FB6475"/>
    <w:rsid w:val="00FB71F4"/>
    <w:rsid w:val="00FC0DE9"/>
    <w:rsid w:val="00FC1E60"/>
    <w:rsid w:val="00FC32A9"/>
    <w:rsid w:val="00FC51B3"/>
    <w:rsid w:val="00FC59D3"/>
    <w:rsid w:val="00FD2630"/>
    <w:rsid w:val="00FD3843"/>
    <w:rsid w:val="00FD41F1"/>
    <w:rsid w:val="00FD4482"/>
    <w:rsid w:val="00FD6149"/>
    <w:rsid w:val="00FD6639"/>
    <w:rsid w:val="00FD6F02"/>
    <w:rsid w:val="00FD7699"/>
    <w:rsid w:val="00FD78BE"/>
    <w:rsid w:val="00FE1FA5"/>
    <w:rsid w:val="00FE254E"/>
    <w:rsid w:val="00FE2762"/>
    <w:rsid w:val="00FE43C9"/>
    <w:rsid w:val="00FE49DB"/>
    <w:rsid w:val="00FE5622"/>
    <w:rsid w:val="00FE5C98"/>
    <w:rsid w:val="00FF268B"/>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B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aliases w:val="ACMA_ListParagraph,List Paragraph1,Recommendation,bullet point list"/>
    <w:basedOn w:val="Normal"/>
    <w:link w:val="ListParagraphChar"/>
    <w:uiPriority w:val="34"/>
    <w:qFormat/>
    <w:rsid w:val="00680112"/>
    <w:pPr>
      <w:ind w:left="720"/>
      <w:contextualSpacing/>
    </w:pPr>
  </w:style>
  <w:style w:type="character" w:customStyle="1" w:styleId="ListParagraphChar">
    <w:name w:val="List Paragraph Char"/>
    <w:aliases w:val="ACMA_ListParagraph Char,List Paragraph1 Char,Recommendation Char,bullet point list Char"/>
    <w:basedOn w:val="DefaultParagraphFont"/>
    <w:link w:val="ListParagraph"/>
    <w:uiPriority w:val="34"/>
    <w:locked/>
    <w:rsid w:val="00680112"/>
    <w:rPr>
      <w:rFonts w:ascii="Arial" w:hAnsi="Arial"/>
      <w:i/>
      <w:szCs w:val="24"/>
      <w:lang w:eastAsia="en-US"/>
    </w:rPr>
  </w:style>
  <w:style w:type="paragraph" w:customStyle="1" w:styleId="notetext">
    <w:name w:val="notetext"/>
    <w:basedOn w:val="Normal"/>
    <w:rsid w:val="002D5D47"/>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CD0ACF"/>
  </w:style>
  <w:style w:type="paragraph" w:customStyle="1" w:styleId="acthead5">
    <w:name w:val="acthead5"/>
    <w:basedOn w:val="Normal"/>
    <w:rsid w:val="00CD0ACF"/>
    <w:pPr>
      <w:spacing w:before="100" w:beforeAutospacing="1" w:after="100" w:afterAutospacing="1" w:line="240" w:lineRule="auto"/>
    </w:pPr>
    <w:rPr>
      <w:rFonts w:ascii="Times New Roman" w:hAnsi="Times New Roman"/>
      <w:i w:val="0"/>
      <w:sz w:val="24"/>
      <w:lang w:eastAsia="en-AU"/>
    </w:rPr>
  </w:style>
  <w:style w:type="paragraph" w:customStyle="1" w:styleId="subsection">
    <w:name w:val="subsection"/>
    <w:basedOn w:val="Normal"/>
    <w:rsid w:val="00CD0ACF"/>
    <w:pPr>
      <w:spacing w:before="100" w:beforeAutospacing="1" w:after="100" w:afterAutospacing="1" w:line="240" w:lineRule="auto"/>
    </w:pPr>
    <w:rPr>
      <w:rFonts w:ascii="Times New Roman" w:hAnsi="Times New Roman"/>
      <w:i w:val="0"/>
      <w:sz w:val="24"/>
      <w:lang w:eastAsia="en-AU"/>
    </w:rPr>
  </w:style>
  <w:style w:type="paragraph" w:customStyle="1" w:styleId="definition">
    <w:name w:val="definition"/>
    <w:basedOn w:val="Normal"/>
    <w:rsid w:val="00CD0ACF"/>
    <w:pPr>
      <w:spacing w:before="100" w:beforeAutospacing="1" w:after="100" w:afterAutospacing="1" w:line="240" w:lineRule="auto"/>
    </w:pPr>
    <w:rPr>
      <w:rFonts w:ascii="Times New Roman" w:hAnsi="Times New Roman"/>
      <w:i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4621-CBBB-4960-8724-3DFB01AE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13548</Characters>
  <Application>Microsoft Office Word</Application>
  <DocSecurity>8</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2023-10-30T23:07:00Z</dcterms:created>
  <dcterms:modified xsi:type="dcterms:W3CDTF">2023-10-30T23:14:00Z</dcterms:modified>
  <cp:category/>
</cp:coreProperties>
</file>