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0A33" w14:textId="13EA9271" w:rsidR="007E3C0C" w:rsidRPr="00A51D1A" w:rsidRDefault="00617346" w:rsidP="007E3C0C">
      <w:pPr>
        <w:pStyle w:val="Reporttitle"/>
      </w:pPr>
      <w:bookmarkStart w:id="0" w:name="_Hlk57642407"/>
      <w:r>
        <w:t>Proposal to remake the Public Safety and Emergency Response</w:t>
      </w:r>
      <w:r w:rsidR="007E3C0C">
        <w:t xml:space="preserve"> Class Licence</w:t>
      </w:r>
    </w:p>
    <w:p w14:paraId="0566D2F0" w14:textId="05A7E9B4" w:rsidR="00F06E14" w:rsidRDefault="00282598" w:rsidP="00F06E14">
      <w:pPr>
        <w:pStyle w:val="Reportsubtitle"/>
      </w:pPr>
      <w:r>
        <w:t xml:space="preserve">Outcomes </w:t>
      </w:r>
      <w:r w:rsidR="000231B1">
        <w:t>p</w:t>
      </w:r>
      <w:r>
        <w:t>aper</w:t>
      </w:r>
    </w:p>
    <w:bookmarkEnd w:id="0"/>
    <w:p w14:paraId="54B6E4B4" w14:textId="2A2B2FF1" w:rsidR="00C97736" w:rsidRPr="000D76E0" w:rsidRDefault="00A56392"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SEPT</w:t>
      </w:r>
      <w:r w:rsidR="00B566D9">
        <w:t>ember</w:t>
      </w:r>
      <w:r w:rsidR="00A468F6" w:rsidRPr="00EA15DC">
        <w:t xml:space="preserve"> </w:t>
      </w:r>
      <w:r w:rsidR="00BD4421" w:rsidRPr="00EA15DC">
        <w:t>20</w:t>
      </w:r>
      <w:r w:rsidR="008E0428" w:rsidRPr="00EA15DC">
        <w:t>2</w:t>
      </w:r>
      <w:r w:rsidR="00EA15DC" w:rsidRPr="00EA15DC">
        <w:t>3</w:t>
      </w:r>
    </w:p>
    <w:p w14:paraId="0770AAFB" w14:textId="77777777" w:rsidR="0005011A" w:rsidRPr="00F44F3A" w:rsidRDefault="0005011A" w:rsidP="00FC07B9">
      <w:pPr>
        <w:pStyle w:val="ACMACorporateAddressHeader"/>
      </w:pPr>
      <w:r w:rsidRPr="00F44F3A">
        <w:lastRenderedPageBreak/>
        <w:t>Canberra</w:t>
      </w:r>
    </w:p>
    <w:p w14:paraId="085C0DA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E8417BB" w14:textId="77777777" w:rsidR="0005011A" w:rsidRPr="00FC07B9" w:rsidRDefault="0005011A" w:rsidP="00FC07B9">
      <w:pPr>
        <w:pStyle w:val="ACMACorporateAddresses"/>
      </w:pPr>
      <w:r w:rsidRPr="00FC07B9">
        <w:t>PO Box 78</w:t>
      </w:r>
      <w:r w:rsidRPr="00FC07B9">
        <w:br/>
        <w:t>Belconnen ACT 2616</w:t>
      </w:r>
    </w:p>
    <w:p w14:paraId="3C8F41E4"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5EDFA350" w14:textId="77777777" w:rsidR="0005011A" w:rsidRPr="00F44F3A" w:rsidRDefault="0005011A" w:rsidP="00FC07B9">
      <w:pPr>
        <w:pStyle w:val="ACMACorporateAddressHeader"/>
      </w:pPr>
      <w:r w:rsidRPr="00F44F3A">
        <w:t>Melbourne</w:t>
      </w:r>
    </w:p>
    <w:p w14:paraId="44892BF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D67D4BB"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358E066"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3A59A6C" w14:textId="77777777" w:rsidR="0005011A" w:rsidRPr="00F44F3A" w:rsidRDefault="0005011A" w:rsidP="00FC07B9">
      <w:pPr>
        <w:pStyle w:val="ACMACorporateAddressHeader"/>
      </w:pPr>
      <w:r w:rsidRPr="00F44F3A">
        <w:t>Sydney</w:t>
      </w:r>
    </w:p>
    <w:p w14:paraId="7321F45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8A7253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F4B7BA2"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4DD2C8CC" w14:textId="77777777" w:rsidR="00140318" w:rsidRPr="006D46E5" w:rsidRDefault="00140318" w:rsidP="00FC07B9">
      <w:pPr>
        <w:pStyle w:val="ACMACopyrightHeader"/>
      </w:pPr>
      <w:r w:rsidRPr="00140318">
        <w:t>Copyright notice</w:t>
      </w:r>
    </w:p>
    <w:p w14:paraId="2A6E16DF" w14:textId="77777777" w:rsidR="00140318" w:rsidRPr="006D46E5" w:rsidRDefault="00623FF9" w:rsidP="00623FF9">
      <w:pPr>
        <w:pStyle w:val="ACMACClogo"/>
      </w:pPr>
      <w:r w:rsidRPr="00623FF9">
        <w:rPr>
          <w:noProof/>
        </w:rPr>
        <w:drawing>
          <wp:inline distT="0" distB="0" distL="0" distR="0" wp14:anchorId="4DE0E869" wp14:editId="4840F5A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C703DE7" w14:textId="77777777" w:rsidR="00AA2DE5" w:rsidRDefault="00E5130D" w:rsidP="00AA2DE5">
      <w:pPr>
        <w:pStyle w:val="ACMACorporateAddresses"/>
        <w:rPr>
          <w:rStyle w:val="Hyperlink"/>
        </w:rPr>
      </w:pPr>
      <w:hyperlink r:id="rId13" w:history="1">
        <w:r w:rsidR="00AA2DE5">
          <w:rPr>
            <w:rStyle w:val="Hyperlink"/>
          </w:rPr>
          <w:t>https://creativecommons.org/licenses/by/4.0/</w:t>
        </w:r>
      </w:hyperlink>
    </w:p>
    <w:p w14:paraId="5903BF67"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FD2AF40" w14:textId="0AD1339D" w:rsidR="00AA2DE5" w:rsidRDefault="00AA2DE5" w:rsidP="00AA2DE5">
      <w:pPr>
        <w:pStyle w:val="ACMACorporateAddresses"/>
      </w:pPr>
      <w:r>
        <w:t>We request attribution as © Commonwealth of Australia (Australian Communications and Media Authority) 20</w:t>
      </w:r>
      <w:r w:rsidR="00C41F21">
        <w:t>2</w:t>
      </w:r>
      <w:r w:rsidR="004900C2">
        <w:t>3</w:t>
      </w:r>
      <w:r>
        <w:t>.</w:t>
      </w:r>
    </w:p>
    <w:p w14:paraId="509A2C7A" w14:textId="77777777" w:rsidR="00AA2DE5" w:rsidRDefault="00AA2DE5" w:rsidP="00AA2DE5">
      <w:pPr>
        <w:pStyle w:val="ACMACorporateAddresses"/>
      </w:pPr>
      <w:r>
        <w:t>All other rights are reserved.</w:t>
      </w:r>
    </w:p>
    <w:p w14:paraId="45A91278"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23670BF" w14:textId="77777777" w:rsidR="00AA2DE5" w:rsidRDefault="00AA2DE5" w:rsidP="00AA2DE5">
      <w:pPr>
        <w:pStyle w:val="ACMACorporateAddresses"/>
      </w:pPr>
      <w:r>
        <w:t>Written enquiries may be sent to:</w:t>
      </w:r>
    </w:p>
    <w:p w14:paraId="7D8FF91E"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1754FAC6" w14:textId="77777777" w:rsidR="00D16FE3" w:rsidRDefault="00D16FE3" w:rsidP="00D16FE3">
      <w:pPr>
        <w:pStyle w:val="ACMACorporateAddresses"/>
        <w:rPr>
          <w:rStyle w:val="Hyperlink"/>
        </w:rPr>
      </w:pPr>
    </w:p>
    <w:p w14:paraId="322546B0"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29DC43B" w14:textId="26B93B0D" w:rsidR="000277B2"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0277B2">
        <w:t>Executive summary</w:t>
      </w:r>
      <w:r w:rsidR="000277B2">
        <w:tab/>
      </w:r>
      <w:r w:rsidR="000277B2">
        <w:fldChar w:fldCharType="begin"/>
      </w:r>
      <w:r w:rsidR="000277B2">
        <w:instrText xml:space="preserve"> PAGEREF _Toc145588190 \h </w:instrText>
      </w:r>
      <w:r w:rsidR="000277B2">
        <w:fldChar w:fldCharType="separate"/>
      </w:r>
      <w:r w:rsidR="000277B2">
        <w:t>1</w:t>
      </w:r>
      <w:r w:rsidR="000277B2">
        <w:fldChar w:fldCharType="end"/>
      </w:r>
    </w:p>
    <w:p w14:paraId="797DAF65" w14:textId="1F653964" w:rsidR="000277B2" w:rsidRDefault="000277B2">
      <w:pPr>
        <w:pStyle w:val="TOC1"/>
        <w:rPr>
          <w:rFonts w:asciiTheme="minorHAnsi" w:eastAsiaTheme="minorEastAsia" w:hAnsiTheme="minorHAnsi" w:cstheme="minorBidi"/>
          <w:b w:val="0"/>
          <w:spacing w:val="0"/>
          <w:sz w:val="22"/>
          <w:szCs w:val="22"/>
        </w:rPr>
      </w:pPr>
      <w:r>
        <w:t>Introduction</w:t>
      </w:r>
      <w:r>
        <w:tab/>
      </w:r>
      <w:r>
        <w:fldChar w:fldCharType="begin"/>
      </w:r>
      <w:r>
        <w:instrText xml:space="preserve"> PAGEREF _Toc145588191 \h </w:instrText>
      </w:r>
      <w:r>
        <w:fldChar w:fldCharType="separate"/>
      </w:r>
      <w:r>
        <w:t>3</w:t>
      </w:r>
      <w:r>
        <w:fldChar w:fldCharType="end"/>
      </w:r>
    </w:p>
    <w:p w14:paraId="65BEBD16" w14:textId="219E6DD7" w:rsidR="000277B2" w:rsidRDefault="000277B2">
      <w:pPr>
        <w:pStyle w:val="TOC1"/>
        <w:rPr>
          <w:rFonts w:asciiTheme="minorHAnsi" w:eastAsiaTheme="minorEastAsia" w:hAnsiTheme="minorHAnsi" w:cstheme="minorBidi"/>
          <w:b w:val="0"/>
          <w:spacing w:val="0"/>
          <w:sz w:val="22"/>
          <w:szCs w:val="22"/>
        </w:rPr>
      </w:pPr>
      <w:r>
        <w:t>Responses to consultation</w:t>
      </w:r>
      <w:r>
        <w:tab/>
      </w:r>
      <w:r>
        <w:fldChar w:fldCharType="begin"/>
      </w:r>
      <w:r>
        <w:instrText xml:space="preserve"> PAGEREF _Toc145588192 \h </w:instrText>
      </w:r>
      <w:r>
        <w:fldChar w:fldCharType="separate"/>
      </w:r>
      <w:r>
        <w:t>4</w:t>
      </w:r>
      <w:r>
        <w:fldChar w:fldCharType="end"/>
      </w:r>
    </w:p>
    <w:p w14:paraId="6168EE73" w14:textId="7A5A2DCD" w:rsidR="000277B2" w:rsidRDefault="000277B2">
      <w:pPr>
        <w:pStyle w:val="TOC1"/>
        <w:rPr>
          <w:rFonts w:asciiTheme="minorHAnsi" w:eastAsiaTheme="minorEastAsia" w:hAnsiTheme="minorHAnsi" w:cstheme="minorBidi"/>
          <w:b w:val="0"/>
          <w:spacing w:val="0"/>
          <w:sz w:val="22"/>
          <w:szCs w:val="22"/>
        </w:rPr>
      </w:pPr>
      <w:r>
        <w:t>Discussion of responses and way forward</w:t>
      </w:r>
      <w:r>
        <w:tab/>
      </w:r>
      <w:r>
        <w:fldChar w:fldCharType="begin"/>
      </w:r>
      <w:r>
        <w:instrText xml:space="preserve"> PAGEREF _Toc145588193 \h </w:instrText>
      </w:r>
      <w:r>
        <w:fldChar w:fldCharType="separate"/>
      </w:r>
      <w:r>
        <w:t>14</w:t>
      </w:r>
      <w:r>
        <w:fldChar w:fldCharType="end"/>
      </w:r>
    </w:p>
    <w:p w14:paraId="53A9CF0E" w14:textId="11909C7A"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32126365" w14:textId="3E122B71" w:rsidR="004859F6" w:rsidRDefault="004859F6" w:rsidP="004859F6">
      <w:pPr>
        <w:pStyle w:val="Heading1"/>
      </w:pPr>
      <w:bookmarkStart w:id="1" w:name="_Toc145588190"/>
      <w:r>
        <w:lastRenderedPageBreak/>
        <w:t xml:space="preserve">Executive </w:t>
      </w:r>
      <w:r w:rsidR="000231B1">
        <w:t>s</w:t>
      </w:r>
      <w:r>
        <w:t>ummary</w:t>
      </w:r>
      <w:bookmarkEnd w:id="1"/>
    </w:p>
    <w:p w14:paraId="6AAD496D" w14:textId="1FB3A041" w:rsidR="001A25C7" w:rsidRPr="00492409" w:rsidRDefault="001A25C7" w:rsidP="001A25C7">
      <w:pPr>
        <w:pStyle w:val="Paragraph"/>
      </w:pPr>
      <w:r w:rsidRPr="00492409">
        <w:t xml:space="preserve">Under Part 4 of Chapter 3 of the </w:t>
      </w:r>
      <w:r w:rsidRPr="00492409">
        <w:rPr>
          <w:i/>
        </w:rPr>
        <w:t>Legislation Act 2003</w:t>
      </w:r>
      <w:r w:rsidRPr="00492409">
        <w:t>, most legislative instruments ‘sunset’</w:t>
      </w:r>
      <w:r w:rsidR="000231B1">
        <w:t>. T</w:t>
      </w:r>
      <w:r w:rsidRPr="00492409">
        <w:t xml:space="preserve">hey are automatically repealed on 1 April or 1 October that first occurs </w:t>
      </w:r>
      <w:r w:rsidR="000231B1">
        <w:br/>
      </w:r>
      <w:r w:rsidRPr="00492409">
        <w:t>10 years after they are registered. This is an automatic process applying to most legislative instruments</w:t>
      </w:r>
      <w:r w:rsidR="000231B1">
        <w:t>,</w:t>
      </w:r>
      <w:r w:rsidRPr="00492409">
        <w:t xml:space="preserve"> regardless of their content.</w:t>
      </w:r>
    </w:p>
    <w:p w14:paraId="14E6D449" w14:textId="2ABFED0E" w:rsidR="001A25C7" w:rsidRPr="00492409" w:rsidRDefault="001A25C7" w:rsidP="001A25C7">
      <w:pPr>
        <w:pStyle w:val="Paragraph"/>
      </w:pPr>
      <w:r w:rsidRPr="00492409">
        <w:t xml:space="preserve">The </w:t>
      </w:r>
      <w:r w:rsidR="00C91C76" w:rsidRPr="00AE3927">
        <w:rPr>
          <w:u w:color="0000FF"/>
        </w:rPr>
        <w:t>Radiocommunications (Public Safety and Emergency Response) Class Licence 2013</w:t>
      </w:r>
      <w:r w:rsidRPr="00DF2EDE">
        <w:rPr>
          <w:i/>
          <w:iCs/>
        </w:rPr>
        <w:t xml:space="preserve"> </w:t>
      </w:r>
      <w:r w:rsidRPr="00492409">
        <w:t xml:space="preserve">(the </w:t>
      </w:r>
      <w:r w:rsidR="00C91C76">
        <w:t xml:space="preserve">2013 </w:t>
      </w:r>
      <w:r w:rsidRPr="00492409">
        <w:t>class licence) is due to sunset on 1 October 2023.</w:t>
      </w:r>
      <w:r w:rsidR="00526D54" w:rsidRPr="00492409">
        <w:t xml:space="preserve"> The </w:t>
      </w:r>
      <w:r w:rsidR="00C91C76">
        <w:t>2013</w:t>
      </w:r>
      <w:r w:rsidR="000231B1">
        <w:t xml:space="preserve"> </w:t>
      </w:r>
      <w:r w:rsidR="006627C3" w:rsidRPr="00492409">
        <w:t xml:space="preserve">class licence allows public safety bodies (PSBs) to </w:t>
      </w:r>
      <w:r w:rsidR="00DA4377" w:rsidRPr="00492409">
        <w:t>deploy a range of high</w:t>
      </w:r>
      <w:r w:rsidR="000231B1">
        <w:t>-</w:t>
      </w:r>
      <w:r w:rsidR="00DA4377" w:rsidRPr="00492409">
        <w:t xml:space="preserve">speed radiocommunications services in the 4940–4990 MHz band, otherwise known as the 4.9 GHz band. </w:t>
      </w:r>
    </w:p>
    <w:p w14:paraId="5947D207" w14:textId="43A14AE1" w:rsidR="00AD24AE" w:rsidRPr="00492409" w:rsidRDefault="001A25C7" w:rsidP="001A25C7">
      <w:pPr>
        <w:pStyle w:val="Paragraph"/>
      </w:pPr>
      <w:r w:rsidRPr="00492409">
        <w:t xml:space="preserve">In June 2023, </w:t>
      </w:r>
      <w:r w:rsidR="000231B1">
        <w:t>we</w:t>
      </w:r>
      <w:r w:rsidRPr="00492409">
        <w:t xml:space="preserve"> consulted on </w:t>
      </w:r>
      <w:r w:rsidR="00AD24AE" w:rsidRPr="00492409">
        <w:t xml:space="preserve">remaking the </w:t>
      </w:r>
      <w:r w:rsidR="00C91C76">
        <w:t xml:space="preserve">2013 </w:t>
      </w:r>
      <w:r w:rsidR="00AD24AE" w:rsidRPr="00492409">
        <w:t>class licence</w:t>
      </w:r>
      <w:r w:rsidR="000231B1">
        <w:t xml:space="preserve">. Our </w:t>
      </w:r>
      <w:r w:rsidRPr="00492409">
        <w:t xml:space="preserve">preliminary view </w:t>
      </w:r>
      <w:r w:rsidR="000231B1">
        <w:t xml:space="preserve">was </w:t>
      </w:r>
      <w:r w:rsidRPr="00492409">
        <w:t xml:space="preserve">that the </w:t>
      </w:r>
      <w:r w:rsidR="00C91C76">
        <w:t xml:space="preserve">2013 </w:t>
      </w:r>
      <w:r w:rsidRPr="00492409">
        <w:t>class licence is operating effectively and efficiently</w:t>
      </w:r>
      <w:r w:rsidR="000231B1">
        <w:t>. A</w:t>
      </w:r>
      <w:r w:rsidRPr="00492409">
        <w:t>s such,</w:t>
      </w:r>
      <w:r w:rsidR="000231B1">
        <w:t xml:space="preserve"> it</w:t>
      </w:r>
      <w:r w:rsidRPr="00492409">
        <w:t xml:space="preserve"> continues to form a necessary and useful part of the legislative framework. </w:t>
      </w:r>
    </w:p>
    <w:p w14:paraId="766AA765" w14:textId="1DC26CB0" w:rsidR="001A25C7" w:rsidRPr="00492409" w:rsidRDefault="00C91C76" w:rsidP="001A25C7">
      <w:pPr>
        <w:pStyle w:val="Paragraph"/>
      </w:pPr>
      <w:r>
        <w:t>The ACMA</w:t>
      </w:r>
      <w:r w:rsidR="00AD24AE" w:rsidRPr="00492409">
        <w:t xml:space="preserve"> also </w:t>
      </w:r>
      <w:r w:rsidR="00B851CF" w:rsidRPr="00492409">
        <w:t xml:space="preserve">proposed that the </w:t>
      </w:r>
      <w:r>
        <w:t xml:space="preserve">2013 </w:t>
      </w:r>
      <w:r w:rsidR="00B851CF" w:rsidRPr="00492409">
        <w:t xml:space="preserve">class licence be augmented to </w:t>
      </w:r>
      <w:r w:rsidR="00F10E22" w:rsidRPr="00492409">
        <w:t xml:space="preserve">enable </w:t>
      </w:r>
      <w:r w:rsidR="001A25C7" w:rsidRPr="00492409">
        <w:t xml:space="preserve">PSBs to use cellular mobile technologies (currently those based </w:t>
      </w:r>
      <w:r w:rsidR="00094BDB">
        <w:t>in</w:t>
      </w:r>
      <w:r w:rsidR="00094BDB" w:rsidRPr="00492409">
        <w:t xml:space="preserve"> </w:t>
      </w:r>
      <w:r w:rsidR="001A25C7" w:rsidRPr="00492409">
        <w:t xml:space="preserve">the 5G suite of technologies), in addition to the existing technologies that can be used under the conditions of the licence.   </w:t>
      </w:r>
    </w:p>
    <w:p w14:paraId="181D0F74" w14:textId="5227837D" w:rsidR="000E2225" w:rsidRDefault="00F10E22" w:rsidP="00655CC7">
      <w:pPr>
        <w:pStyle w:val="Paragraph"/>
      </w:pPr>
      <w:r w:rsidRPr="00492409">
        <w:t xml:space="preserve">Subsequent to </w:t>
      </w:r>
      <w:r w:rsidR="00C40941" w:rsidRPr="00492409">
        <w:t xml:space="preserve">feedback from the consultation process, </w:t>
      </w:r>
      <w:r w:rsidR="00094BDB">
        <w:t>we have</w:t>
      </w:r>
      <w:r w:rsidR="00C40941" w:rsidRPr="00492409">
        <w:t xml:space="preserve"> decided to proceed with the remak</w:t>
      </w:r>
      <w:r w:rsidR="009F75C8">
        <w:t>ing</w:t>
      </w:r>
      <w:r w:rsidR="00C40941" w:rsidRPr="00492409">
        <w:t xml:space="preserve"> of the </w:t>
      </w:r>
      <w:r w:rsidR="00853378">
        <w:t xml:space="preserve">2013 </w:t>
      </w:r>
      <w:r w:rsidR="00C40941" w:rsidRPr="00492409">
        <w:t xml:space="preserve">class licence, </w:t>
      </w:r>
      <w:r w:rsidR="00853378">
        <w:t xml:space="preserve">under section 132 of the </w:t>
      </w:r>
      <w:r w:rsidR="00853378">
        <w:rPr>
          <w:i/>
          <w:iCs/>
        </w:rPr>
        <w:t xml:space="preserve">Radiocommunications Act 1992 </w:t>
      </w:r>
      <w:r w:rsidR="00853378">
        <w:t xml:space="preserve">(the Act). </w:t>
      </w:r>
      <w:r w:rsidR="00A5366D">
        <w:t>T</w:t>
      </w:r>
      <w:r w:rsidR="00C40941" w:rsidRPr="00492409">
        <w:t>he new</w:t>
      </w:r>
      <w:r w:rsidR="001E3501" w:rsidRPr="00492409">
        <w:t xml:space="preserve"> (augmented) licence</w:t>
      </w:r>
      <w:r w:rsidR="00A5366D">
        <w:t xml:space="preserve">, named the </w:t>
      </w:r>
      <w:r w:rsidR="00A5366D" w:rsidRPr="00AE3927">
        <w:t>Radiocommunications (Public Safety and Emergency Response) Class Licence 2023</w:t>
      </w:r>
      <w:r w:rsidR="00A5366D">
        <w:t xml:space="preserve"> (</w:t>
      </w:r>
      <w:r w:rsidR="00094BDB">
        <w:t xml:space="preserve">the </w:t>
      </w:r>
      <w:r w:rsidR="00A5366D">
        <w:t>2023 class licence)</w:t>
      </w:r>
      <w:r w:rsidR="00655CC7">
        <w:t>, will commence</w:t>
      </w:r>
      <w:r w:rsidR="00A5366D">
        <w:t xml:space="preserve"> </w:t>
      </w:r>
      <w:r w:rsidR="001E3501" w:rsidRPr="00492409">
        <w:t>on 1 October 2023.</w:t>
      </w:r>
      <w:r w:rsidR="00287CD5">
        <w:t xml:space="preserve"> </w:t>
      </w:r>
    </w:p>
    <w:p w14:paraId="76FA46F5" w14:textId="0FEBBF1B" w:rsidR="006F3B1D" w:rsidRDefault="00655CC7" w:rsidP="00655CC7">
      <w:pPr>
        <w:pStyle w:val="Paragraph"/>
        <w:rPr>
          <w:rFonts w:eastAsiaTheme="minorHAnsi"/>
          <w:bCs/>
          <w:szCs w:val="20"/>
          <w:lang w:eastAsia="en-US"/>
        </w:rPr>
      </w:pPr>
      <w:r>
        <w:t>No r</w:t>
      </w:r>
      <w:r w:rsidR="00C72572" w:rsidRPr="00492409">
        <w:t>esponse</w:t>
      </w:r>
      <w:r w:rsidR="000E2225">
        <w:t>s</w:t>
      </w:r>
      <w:r w:rsidR="00C72572" w:rsidRPr="00492409">
        <w:t xml:space="preserve"> to </w:t>
      </w:r>
      <w:r>
        <w:t xml:space="preserve">the </w:t>
      </w:r>
      <w:r w:rsidR="00C72572" w:rsidRPr="00492409">
        <w:t>consultation</w:t>
      </w:r>
      <w:r>
        <w:t xml:space="preserve"> opposed </w:t>
      </w:r>
      <w:r w:rsidR="000A11E2" w:rsidRPr="00492409">
        <w:t xml:space="preserve">remaking the </w:t>
      </w:r>
      <w:r>
        <w:t xml:space="preserve">2013 </w:t>
      </w:r>
      <w:r w:rsidR="000A11E2" w:rsidRPr="00492409">
        <w:t>class licence</w:t>
      </w:r>
      <w:r>
        <w:t>. F</w:t>
      </w:r>
      <w:r w:rsidR="00C72572" w:rsidRPr="00492409">
        <w:t xml:space="preserve">or the most part, </w:t>
      </w:r>
      <w:r>
        <w:t xml:space="preserve">responses </w:t>
      </w:r>
      <w:r w:rsidR="00801139" w:rsidRPr="00492409">
        <w:t xml:space="preserve">were </w:t>
      </w:r>
      <w:r w:rsidR="009F276B" w:rsidRPr="00492409">
        <w:t>supportive of the additional arrangements for cellular mobile technologies</w:t>
      </w:r>
      <w:r w:rsidR="00094BDB">
        <w:t xml:space="preserve">. However, </w:t>
      </w:r>
      <w:r w:rsidR="0087474E" w:rsidRPr="00492409">
        <w:t xml:space="preserve">some </w:t>
      </w:r>
      <w:r w:rsidR="00433D9B">
        <w:t xml:space="preserve">submitters </w:t>
      </w:r>
      <w:r w:rsidR="0087474E" w:rsidRPr="00492409">
        <w:t xml:space="preserve">cautioned that use of such technologies could </w:t>
      </w:r>
      <w:r w:rsidR="00605BC0" w:rsidRPr="00492409">
        <w:t>degrade the 4.9 GHz band’s u</w:t>
      </w:r>
      <w:r w:rsidR="00801139" w:rsidRPr="00492409">
        <w:t>se by</w:t>
      </w:r>
      <w:r w:rsidR="0087474E" w:rsidRPr="00492409">
        <w:t xml:space="preserve"> systems </w:t>
      </w:r>
      <w:r w:rsidR="00E31AB1" w:rsidRPr="00492409">
        <w:t xml:space="preserve">currently authorised by the </w:t>
      </w:r>
      <w:r>
        <w:t xml:space="preserve">2013 </w:t>
      </w:r>
      <w:r w:rsidR="00E31AB1" w:rsidRPr="00492409">
        <w:t>class licence.</w:t>
      </w:r>
      <w:r>
        <w:t xml:space="preserve"> </w:t>
      </w:r>
      <w:r w:rsidRPr="001759FA">
        <w:rPr>
          <w:szCs w:val="20"/>
        </w:rPr>
        <w:t>Other submissions suggested that the ACMA should expand the proposed allowance for cellular technologies.</w:t>
      </w:r>
      <w:r w:rsidRPr="00FD6E96">
        <w:rPr>
          <w:rFonts w:eastAsiaTheme="minorHAnsi"/>
          <w:bCs/>
          <w:szCs w:val="20"/>
          <w:lang w:eastAsia="en-US"/>
        </w:rPr>
        <w:t xml:space="preserve"> </w:t>
      </w:r>
    </w:p>
    <w:p w14:paraId="15D853AF" w14:textId="09380A8E" w:rsidR="003C4737" w:rsidRPr="00492409" w:rsidRDefault="006F3B1D" w:rsidP="00655CC7">
      <w:pPr>
        <w:pStyle w:val="Paragraph"/>
      </w:pPr>
      <w:r>
        <w:rPr>
          <w:rFonts w:eastAsiaTheme="minorHAnsi"/>
          <w:bCs/>
          <w:szCs w:val="20"/>
          <w:lang w:eastAsia="en-US"/>
        </w:rPr>
        <w:t>We</w:t>
      </w:r>
      <w:r w:rsidR="00655CC7" w:rsidRPr="00FD6E96">
        <w:rPr>
          <w:rFonts w:eastAsiaTheme="minorHAnsi"/>
          <w:bCs/>
          <w:szCs w:val="20"/>
          <w:lang w:eastAsia="en-US"/>
        </w:rPr>
        <w:t xml:space="preserve"> </w:t>
      </w:r>
      <w:r w:rsidR="00655CC7" w:rsidRPr="001759FA">
        <w:rPr>
          <w:bCs/>
          <w:szCs w:val="20"/>
        </w:rPr>
        <w:t xml:space="preserve">consider that the arrangements for the use of cellular mobile technologies in the </w:t>
      </w:r>
      <w:r w:rsidR="00655CC7">
        <w:rPr>
          <w:bCs/>
          <w:szCs w:val="20"/>
        </w:rPr>
        <w:t xml:space="preserve">2023 class licence </w:t>
      </w:r>
      <w:r w:rsidR="00655CC7" w:rsidRPr="001759FA">
        <w:rPr>
          <w:bCs/>
          <w:szCs w:val="20"/>
        </w:rPr>
        <w:t>represent an appropriate balance between enabling use of cellular mobile technologies while keeping the potential for interference into other authorised radiocommunications</w:t>
      </w:r>
      <w:r w:rsidR="00655CC7" w:rsidRPr="00D63B46">
        <w:rPr>
          <w:bCs/>
        </w:rPr>
        <w:t xml:space="preserve"> devices manageable. </w:t>
      </w:r>
      <w:r w:rsidR="00655CC7">
        <w:t xml:space="preserve">The </w:t>
      </w:r>
      <w:r w:rsidR="00D67D50" w:rsidRPr="00492409">
        <w:t>retention of existing</w:t>
      </w:r>
      <w:r w:rsidR="009A79A4">
        <w:t xml:space="preserve"> technical</w:t>
      </w:r>
      <w:r w:rsidR="00D67D50" w:rsidRPr="00492409">
        <w:t xml:space="preserve"> arrangements</w:t>
      </w:r>
      <w:r w:rsidR="00E635AA" w:rsidRPr="00492409">
        <w:t xml:space="preserve"> in the class licence</w:t>
      </w:r>
      <w:r w:rsidR="00D67D50" w:rsidRPr="00492409">
        <w:t xml:space="preserve"> means that PSBs can choose not to deploy newly authorised systems if they have no operational need to do so</w:t>
      </w:r>
      <w:r w:rsidR="00E635AA" w:rsidRPr="00492409">
        <w:t xml:space="preserve">. </w:t>
      </w:r>
    </w:p>
    <w:p w14:paraId="0E658CB9" w14:textId="16BD2173" w:rsidR="00655CC7" w:rsidRDefault="00E635AA" w:rsidP="001A25C7">
      <w:pPr>
        <w:pStyle w:val="Paragraph"/>
      </w:pPr>
      <w:r w:rsidRPr="00492409">
        <w:t xml:space="preserve">Coordination of PSB operations in the band </w:t>
      </w:r>
      <w:r w:rsidR="004975A6" w:rsidRPr="00492409">
        <w:t xml:space="preserve">was a common theme </w:t>
      </w:r>
      <w:r w:rsidR="00433D9B">
        <w:t xml:space="preserve">raised </w:t>
      </w:r>
      <w:r w:rsidR="004975A6" w:rsidRPr="00492409">
        <w:t xml:space="preserve">in responses to </w:t>
      </w:r>
      <w:r w:rsidR="00433D9B">
        <w:t xml:space="preserve">the </w:t>
      </w:r>
      <w:r w:rsidR="004975A6" w:rsidRPr="00492409">
        <w:t>consultation</w:t>
      </w:r>
      <w:r w:rsidR="00632C53">
        <w:t>. A</w:t>
      </w:r>
      <w:r w:rsidR="004975A6" w:rsidRPr="00492409">
        <w:t xml:space="preserve"> significant number of submissions call</w:t>
      </w:r>
      <w:r w:rsidR="00632C53">
        <w:t>ed</w:t>
      </w:r>
      <w:r w:rsidR="004975A6" w:rsidRPr="00492409">
        <w:t xml:space="preserve"> for </w:t>
      </w:r>
      <w:r w:rsidR="000F7A22" w:rsidRPr="00492409">
        <w:t xml:space="preserve">the class licence </w:t>
      </w:r>
      <w:r w:rsidR="00632C53">
        <w:br/>
      </w:r>
      <w:r w:rsidR="000F7A22" w:rsidRPr="00492409">
        <w:t>to mandat</w:t>
      </w:r>
      <w:r w:rsidR="009A79A4">
        <w:t xml:space="preserve">e the </w:t>
      </w:r>
      <w:r w:rsidR="000F7A22" w:rsidRPr="00492409">
        <w:t>appointment of a manager</w:t>
      </w:r>
      <w:r w:rsidR="00655CC7">
        <w:t xml:space="preserve"> to assist in managing </w:t>
      </w:r>
      <w:r w:rsidR="000E2225">
        <w:t>access to</w:t>
      </w:r>
      <w:r w:rsidR="00655CC7">
        <w:t xml:space="preserve"> the </w:t>
      </w:r>
      <w:r w:rsidR="00632C53">
        <w:br/>
      </w:r>
      <w:r w:rsidR="00655CC7">
        <w:t>4.9 GHz band.</w:t>
      </w:r>
    </w:p>
    <w:p w14:paraId="175608EC" w14:textId="0D15279C" w:rsidR="00655CC7" w:rsidRPr="00FD6E96" w:rsidRDefault="00655CC7" w:rsidP="00655CC7">
      <w:pPr>
        <w:spacing w:after="120" w:line="240" w:lineRule="auto"/>
        <w:rPr>
          <w:rFonts w:cs="Arial"/>
          <w:bCs/>
        </w:rPr>
      </w:pPr>
      <w:r w:rsidRPr="00FD6E96">
        <w:rPr>
          <w:rFonts w:cs="Arial"/>
          <w:bCs/>
        </w:rPr>
        <w:t xml:space="preserve">The ACMA considers that </w:t>
      </w:r>
      <w:r>
        <w:rPr>
          <w:rFonts w:cs="Arial"/>
          <w:bCs/>
        </w:rPr>
        <w:t>PSBs</w:t>
      </w:r>
      <w:r w:rsidRPr="00FD6E96">
        <w:rPr>
          <w:rFonts w:cs="Arial"/>
          <w:bCs/>
        </w:rPr>
        <w:t xml:space="preserve"> may be able to coordinate </w:t>
      </w:r>
      <w:r w:rsidR="000E2225">
        <w:rPr>
          <w:rFonts w:cs="Arial"/>
          <w:bCs/>
        </w:rPr>
        <w:t>among</w:t>
      </w:r>
      <w:r w:rsidRPr="00FD6E96">
        <w:rPr>
          <w:rFonts w:cs="Arial"/>
          <w:bCs/>
        </w:rPr>
        <w:t xml:space="preserve"> themselves without the need for the </w:t>
      </w:r>
      <w:r>
        <w:rPr>
          <w:rFonts w:cs="Arial"/>
          <w:bCs/>
        </w:rPr>
        <w:t xml:space="preserve">class licence </w:t>
      </w:r>
      <w:r w:rsidRPr="00FD6E96">
        <w:rPr>
          <w:rFonts w:cs="Arial"/>
          <w:bCs/>
        </w:rPr>
        <w:t xml:space="preserve">to make provision for a manager to be appointed. However, </w:t>
      </w:r>
      <w:r w:rsidR="00157EB7">
        <w:rPr>
          <w:rFonts w:cs="Arial"/>
          <w:bCs/>
        </w:rPr>
        <w:t xml:space="preserve">we are </w:t>
      </w:r>
      <w:r w:rsidRPr="00FD6E96">
        <w:rPr>
          <w:rFonts w:cs="Arial"/>
          <w:bCs/>
        </w:rPr>
        <w:t xml:space="preserve">willing to consider this suggestion further if </w:t>
      </w:r>
      <w:r>
        <w:rPr>
          <w:rFonts w:cs="Arial"/>
          <w:bCs/>
        </w:rPr>
        <w:t>PSBs</w:t>
      </w:r>
      <w:r w:rsidRPr="00FD6E96">
        <w:rPr>
          <w:rFonts w:cs="Arial"/>
          <w:bCs/>
        </w:rPr>
        <w:t xml:space="preserve"> were to prepare a coordinated, detailed proposal.</w:t>
      </w:r>
    </w:p>
    <w:p w14:paraId="2EE9EFBE" w14:textId="7F9D407E" w:rsidR="000512A3" w:rsidRDefault="00655CC7" w:rsidP="00655CC7">
      <w:pPr>
        <w:rPr>
          <w:rFonts w:cs="Arial"/>
        </w:rPr>
      </w:pPr>
      <w:r w:rsidRPr="00FD6E96">
        <w:rPr>
          <w:rFonts w:cs="Arial"/>
        </w:rPr>
        <w:t>Some submissions also suggested apparatus licensing as an alternative means of authorising the operation of radiocommunications devices</w:t>
      </w:r>
      <w:r w:rsidR="000512A3">
        <w:rPr>
          <w:rFonts w:cs="Arial"/>
        </w:rPr>
        <w:t xml:space="preserve">. This </w:t>
      </w:r>
      <w:r w:rsidRPr="00FD6E96">
        <w:rPr>
          <w:rFonts w:cs="Arial"/>
        </w:rPr>
        <w:t>could enable appointment of a ‘band manager’, by issuing th</w:t>
      </w:r>
      <w:r w:rsidR="000E2225">
        <w:rPr>
          <w:rFonts w:cs="Arial"/>
        </w:rPr>
        <w:t>at (presumably area/jurisdiction-wide) apparatus</w:t>
      </w:r>
      <w:r w:rsidRPr="00FD6E96">
        <w:rPr>
          <w:rFonts w:cs="Arial"/>
        </w:rPr>
        <w:t xml:space="preserve"> licence to the manager. </w:t>
      </w:r>
    </w:p>
    <w:p w14:paraId="5AA11515" w14:textId="132C4B5E" w:rsidR="00655CC7" w:rsidRPr="00FD6E96" w:rsidRDefault="00655CC7" w:rsidP="00655CC7">
      <w:pPr>
        <w:rPr>
          <w:rFonts w:cs="Arial"/>
        </w:rPr>
      </w:pPr>
      <w:r w:rsidRPr="00FD6E96">
        <w:rPr>
          <w:rFonts w:cs="Arial"/>
        </w:rPr>
        <w:lastRenderedPageBreak/>
        <w:t xml:space="preserve">The manager could then authorise </w:t>
      </w:r>
      <w:r>
        <w:rPr>
          <w:rFonts w:cs="Arial"/>
        </w:rPr>
        <w:t>PSBs</w:t>
      </w:r>
      <w:r w:rsidRPr="00FD6E96">
        <w:rPr>
          <w:rFonts w:cs="Arial"/>
        </w:rPr>
        <w:t xml:space="preserve"> to operate devices under the licence, under section 114 of the Act, and in doing so coordinate those bodies’ use of the relevant spectrum. </w:t>
      </w:r>
      <w:r w:rsidR="000512A3">
        <w:rPr>
          <w:rFonts w:cs="Arial"/>
        </w:rPr>
        <w:t>We</w:t>
      </w:r>
      <w:r w:rsidRPr="00FD6E96">
        <w:rPr>
          <w:rFonts w:cs="Arial"/>
        </w:rPr>
        <w:t xml:space="preserve"> do not consider apparatus licensing to be an appropriate alternative</w:t>
      </w:r>
      <w:r w:rsidR="000512A3">
        <w:rPr>
          <w:rFonts w:cs="Arial"/>
        </w:rPr>
        <w:t>,</w:t>
      </w:r>
      <w:r w:rsidRPr="00FD6E96">
        <w:rPr>
          <w:rFonts w:cs="Arial"/>
        </w:rPr>
        <w:t xml:space="preserve"> given the general agreement that the class licensing model remains fit</w:t>
      </w:r>
      <w:r w:rsidR="000512A3">
        <w:rPr>
          <w:rFonts w:cs="Arial"/>
        </w:rPr>
        <w:t>-</w:t>
      </w:r>
      <w:r w:rsidRPr="00FD6E96">
        <w:rPr>
          <w:rFonts w:cs="Arial"/>
        </w:rPr>
        <w:t>for</w:t>
      </w:r>
      <w:r w:rsidR="000512A3">
        <w:rPr>
          <w:rFonts w:cs="Arial"/>
        </w:rPr>
        <w:t>-</w:t>
      </w:r>
      <w:r w:rsidRPr="00FD6E96">
        <w:rPr>
          <w:rFonts w:cs="Arial"/>
        </w:rPr>
        <w:t xml:space="preserve">purpose, affords the necessary flexibility to support public safety and emergency response operations, and does not involve the payment of any taxes or charges. </w:t>
      </w:r>
    </w:p>
    <w:p w14:paraId="2C5C0D72" w14:textId="7B76B684" w:rsidR="00E635AA" w:rsidRDefault="000F7A22" w:rsidP="001A25C7">
      <w:pPr>
        <w:pStyle w:val="Paragraph"/>
      </w:pPr>
      <w:r w:rsidRPr="00492409">
        <w:t xml:space="preserve"> </w:t>
      </w:r>
    </w:p>
    <w:p w14:paraId="1949A895" w14:textId="77777777" w:rsidR="00A134CA" w:rsidRDefault="00A134CA" w:rsidP="001A25C7">
      <w:pPr>
        <w:pStyle w:val="Paragraph"/>
      </w:pPr>
    </w:p>
    <w:p w14:paraId="52C766C6" w14:textId="735EFB38" w:rsidR="00E31AB1" w:rsidRPr="00D1534E" w:rsidRDefault="00E31AB1" w:rsidP="001A25C7">
      <w:pPr>
        <w:pStyle w:val="Paragraph"/>
        <w:rPr>
          <w:b/>
        </w:rPr>
      </w:pPr>
    </w:p>
    <w:p w14:paraId="3479324A" w14:textId="2812427C" w:rsidR="009D6C71" w:rsidRPr="009174F3" w:rsidRDefault="007E3C0C" w:rsidP="004859F6">
      <w:pPr>
        <w:pStyle w:val="Heading1"/>
      </w:pPr>
      <w:bookmarkStart w:id="2" w:name="_Toc145588191"/>
      <w:r>
        <w:lastRenderedPageBreak/>
        <w:t>Introduction</w:t>
      </w:r>
      <w:bookmarkEnd w:id="2"/>
    </w:p>
    <w:p w14:paraId="7A3B1095" w14:textId="2CBDB59E" w:rsidR="007E3C0C" w:rsidRPr="00492409" w:rsidRDefault="007E3C0C" w:rsidP="00AC1D93">
      <w:pPr>
        <w:pStyle w:val="Paragraphbeforelist"/>
      </w:pPr>
      <w:bookmarkStart w:id="3" w:name="_Hlk532386363"/>
      <w:r w:rsidRPr="00492409">
        <w:t xml:space="preserve">The ACMA </w:t>
      </w:r>
      <w:hyperlink r:id="rId24" w:history="1">
        <w:r w:rsidR="00A95D55" w:rsidRPr="00492409">
          <w:rPr>
            <w:rStyle w:val="Hyperlink"/>
          </w:rPr>
          <w:t xml:space="preserve">consulted on a proposal to remake the </w:t>
        </w:r>
        <w:r w:rsidR="004B0566">
          <w:rPr>
            <w:rStyle w:val="Hyperlink"/>
          </w:rPr>
          <w:t>2013</w:t>
        </w:r>
        <w:r w:rsidR="00A95D55" w:rsidRPr="00492409">
          <w:rPr>
            <w:rStyle w:val="Hyperlink"/>
          </w:rPr>
          <w:t xml:space="preserve"> </w:t>
        </w:r>
        <w:r w:rsidR="000512A3">
          <w:rPr>
            <w:rStyle w:val="Hyperlink"/>
          </w:rPr>
          <w:t>c</w:t>
        </w:r>
        <w:r w:rsidR="00A95D55" w:rsidRPr="00492409">
          <w:rPr>
            <w:rStyle w:val="Hyperlink"/>
          </w:rPr>
          <w:t xml:space="preserve">lass </w:t>
        </w:r>
        <w:r w:rsidR="000512A3">
          <w:rPr>
            <w:rStyle w:val="Hyperlink"/>
          </w:rPr>
          <w:t>l</w:t>
        </w:r>
        <w:r w:rsidR="00A95D55" w:rsidRPr="00492409">
          <w:rPr>
            <w:rStyle w:val="Hyperlink"/>
          </w:rPr>
          <w:t>icence</w:t>
        </w:r>
      </w:hyperlink>
      <w:r w:rsidR="00B06EB4" w:rsidRPr="00492409">
        <w:t xml:space="preserve"> in June/July 2023. </w:t>
      </w:r>
      <w:r w:rsidR="00E656FE" w:rsidRPr="00492409">
        <w:t>The consultation package comprised:</w:t>
      </w:r>
      <w:r w:rsidRPr="00492409">
        <w:t xml:space="preserve"> </w:t>
      </w:r>
    </w:p>
    <w:p w14:paraId="66965DFE" w14:textId="1EED6D0C" w:rsidR="00E656FE" w:rsidRPr="00492409" w:rsidRDefault="003E6275" w:rsidP="00E656FE">
      <w:pPr>
        <w:pStyle w:val="Bulletlevel1"/>
      </w:pPr>
      <w:r w:rsidRPr="00492409">
        <w:t xml:space="preserve">a </w:t>
      </w:r>
      <w:r w:rsidR="000512A3" w:rsidRPr="00646BC6">
        <w:t xml:space="preserve">consultation </w:t>
      </w:r>
      <w:proofErr w:type="gramStart"/>
      <w:r w:rsidR="000512A3" w:rsidRPr="00646BC6">
        <w:t>paper</w:t>
      </w:r>
      <w:proofErr w:type="gramEnd"/>
    </w:p>
    <w:p w14:paraId="3D9F4783" w14:textId="157D2A39" w:rsidR="00E656FE" w:rsidRPr="00492409" w:rsidRDefault="003E6275" w:rsidP="00A42BE8">
      <w:pPr>
        <w:pStyle w:val="Bulletlevel1"/>
      </w:pPr>
      <w:r w:rsidRPr="00492409">
        <w:t>a</w:t>
      </w:r>
      <w:r w:rsidR="00A42BE8" w:rsidRPr="00492409">
        <w:t xml:space="preserve"> </w:t>
      </w:r>
      <w:r w:rsidR="000512A3" w:rsidRPr="00646BC6">
        <w:t>draft of the proposed updated class licence</w:t>
      </w:r>
    </w:p>
    <w:p w14:paraId="705276BD" w14:textId="7DC97D68" w:rsidR="00A42BE8" w:rsidRPr="00492409" w:rsidRDefault="003E6275" w:rsidP="00AC1D93">
      <w:pPr>
        <w:pStyle w:val="Bulletlevel1last"/>
      </w:pPr>
      <w:r w:rsidRPr="00492409">
        <w:t xml:space="preserve">a </w:t>
      </w:r>
      <w:r w:rsidR="000512A3" w:rsidRPr="00646BC6">
        <w:t>proposed revocation notice</w:t>
      </w:r>
      <w:r w:rsidR="00E429EB" w:rsidRPr="00492409">
        <w:t xml:space="preserve"> for the </w:t>
      </w:r>
      <w:r w:rsidR="004B0566">
        <w:t>2013</w:t>
      </w:r>
      <w:r w:rsidR="00E429EB" w:rsidRPr="00492409">
        <w:t xml:space="preserve"> class licence</w:t>
      </w:r>
      <w:r w:rsidR="000512A3">
        <w:t>.</w:t>
      </w:r>
      <w:r w:rsidR="001E7266" w:rsidRPr="00492409">
        <w:t xml:space="preserve"> </w:t>
      </w:r>
    </w:p>
    <w:p w14:paraId="298168EC" w14:textId="37B097B9" w:rsidR="00E429EB" w:rsidRPr="00492409" w:rsidRDefault="00E429EB" w:rsidP="007E3C0C">
      <w:pPr>
        <w:spacing w:after="80"/>
        <w:rPr>
          <w:rFonts w:cs="Arial"/>
        </w:rPr>
      </w:pPr>
      <w:r w:rsidRPr="00492409">
        <w:rPr>
          <w:rFonts w:cs="Arial"/>
        </w:rPr>
        <w:t>This outcomes paper should be read in conjunction with the consultation paper for details of the</w:t>
      </w:r>
      <w:r w:rsidR="00662566" w:rsidRPr="00492409">
        <w:rPr>
          <w:rFonts w:cs="Arial"/>
        </w:rPr>
        <w:t xml:space="preserve"> new elements of the </w:t>
      </w:r>
      <w:r w:rsidR="004B0566">
        <w:rPr>
          <w:rFonts w:cs="Arial"/>
        </w:rPr>
        <w:t xml:space="preserve">2023 </w:t>
      </w:r>
      <w:r w:rsidR="00662566" w:rsidRPr="00492409">
        <w:rPr>
          <w:rFonts w:cs="Arial"/>
        </w:rPr>
        <w:t xml:space="preserve">class licence. In summary, the </w:t>
      </w:r>
      <w:r w:rsidR="004B0566">
        <w:rPr>
          <w:rFonts w:cs="Arial"/>
        </w:rPr>
        <w:t>2013</w:t>
      </w:r>
      <w:r w:rsidR="00662566" w:rsidRPr="00492409">
        <w:rPr>
          <w:rFonts w:cs="Arial"/>
        </w:rPr>
        <w:t xml:space="preserve"> class licence </w:t>
      </w:r>
      <w:r w:rsidR="00C415A3" w:rsidRPr="00492409">
        <w:rPr>
          <w:rFonts w:cs="Arial"/>
        </w:rPr>
        <w:t>provided for</w:t>
      </w:r>
      <w:r w:rsidR="00095C11" w:rsidRPr="00492409">
        <w:rPr>
          <w:rFonts w:cs="Arial"/>
        </w:rPr>
        <w:t xml:space="preserve"> the use of</w:t>
      </w:r>
      <w:r w:rsidR="000512A3">
        <w:rPr>
          <w:rFonts w:cs="Arial"/>
        </w:rPr>
        <w:t xml:space="preserve"> the following in the 4.9 GHz band</w:t>
      </w:r>
      <w:r w:rsidR="00095C11" w:rsidRPr="00492409">
        <w:rPr>
          <w:rFonts w:cs="Arial"/>
        </w:rPr>
        <w:t>:</w:t>
      </w:r>
    </w:p>
    <w:p w14:paraId="5BF2D806" w14:textId="55226474" w:rsidR="00095C11" w:rsidRPr="00492409" w:rsidRDefault="000158DB" w:rsidP="00095C11">
      <w:pPr>
        <w:pStyle w:val="Bulletlevel1"/>
      </w:pPr>
      <w:r w:rsidRPr="00492409">
        <w:t>localised</w:t>
      </w:r>
      <w:r w:rsidR="00095C11" w:rsidRPr="00492409">
        <w:t xml:space="preserve"> </w:t>
      </w:r>
      <w:r w:rsidR="0049313C" w:rsidRPr="00492409">
        <w:t xml:space="preserve">wireless broadband </w:t>
      </w:r>
      <w:r w:rsidRPr="00492409">
        <w:t>services</w:t>
      </w:r>
      <w:r w:rsidR="00095C11" w:rsidRPr="00492409">
        <w:t xml:space="preserve"> (e.g.</w:t>
      </w:r>
      <w:r w:rsidR="000512A3">
        <w:t>,</w:t>
      </w:r>
      <w:r w:rsidR="00095C11" w:rsidRPr="00492409">
        <w:t xml:space="preserve"> </w:t>
      </w:r>
      <w:r w:rsidR="00EB29CC" w:rsidRPr="00492409">
        <w:t>Wi-Fi</w:t>
      </w:r>
      <w:r w:rsidR="00095C11" w:rsidRPr="00492409">
        <w:t>)</w:t>
      </w:r>
    </w:p>
    <w:p w14:paraId="0E564C7A" w14:textId="4144026B" w:rsidR="00095C11" w:rsidRPr="00492409" w:rsidRDefault="00095C11" w:rsidP="00095C11">
      <w:pPr>
        <w:pStyle w:val="Bulletlevel1"/>
      </w:pPr>
      <w:r w:rsidRPr="00492409">
        <w:t>fixed devices (e.g.</w:t>
      </w:r>
      <w:r w:rsidR="000512A3">
        <w:t>,</w:t>
      </w:r>
      <w:r w:rsidRPr="00492409">
        <w:t xml:space="preserve"> point-to-point links)</w:t>
      </w:r>
    </w:p>
    <w:p w14:paraId="1FC0A62F" w14:textId="7EEE0B88" w:rsidR="00095C11" w:rsidRPr="00492409" w:rsidRDefault="00095C11" w:rsidP="00095C11">
      <w:pPr>
        <w:pStyle w:val="Bulletlevel1"/>
        <w:rPr>
          <w:lang w:val="fr-FR"/>
        </w:rPr>
      </w:pPr>
      <w:proofErr w:type="gramStart"/>
      <w:r w:rsidRPr="008D1D3E">
        <w:rPr>
          <w:lang w:val="fr-FR"/>
        </w:rPr>
        <w:t>mobile</w:t>
      </w:r>
      <w:proofErr w:type="gramEnd"/>
      <w:r w:rsidRPr="008D1D3E">
        <w:rPr>
          <w:lang w:val="fr-FR"/>
        </w:rPr>
        <w:t xml:space="preserve"> devices</w:t>
      </w:r>
      <w:r w:rsidRPr="00492409">
        <w:rPr>
          <w:lang w:val="fr-FR"/>
        </w:rPr>
        <w:t xml:space="preserve"> (e.g.</w:t>
      </w:r>
      <w:r w:rsidR="000512A3">
        <w:rPr>
          <w:lang w:val="fr-FR"/>
        </w:rPr>
        <w:t>,</w:t>
      </w:r>
      <w:r w:rsidRPr="00492409">
        <w:rPr>
          <w:lang w:val="fr-FR"/>
        </w:rPr>
        <w:t xml:space="preserve"> land mobile)</w:t>
      </w:r>
    </w:p>
    <w:p w14:paraId="3CB425F4" w14:textId="119E99A5" w:rsidR="00095C11" w:rsidRPr="00492409" w:rsidRDefault="00095C11" w:rsidP="00095C11">
      <w:pPr>
        <w:pStyle w:val="Bulletlevel1last"/>
      </w:pPr>
      <w:r w:rsidRPr="00492409">
        <w:t xml:space="preserve">airborne </w:t>
      </w:r>
      <w:r w:rsidR="00812500" w:rsidRPr="00492409">
        <w:t>payload</w:t>
      </w:r>
      <w:r w:rsidRPr="00492409">
        <w:t xml:space="preserve"> devices (e.g.</w:t>
      </w:r>
      <w:r w:rsidR="000512A3">
        <w:t>,</w:t>
      </w:r>
      <w:r w:rsidRPr="00492409">
        <w:t xml:space="preserve"> helicopter</w:t>
      </w:r>
      <w:r w:rsidR="000512A3">
        <w:t>-</w:t>
      </w:r>
      <w:r w:rsidRPr="00492409">
        <w:t>to</w:t>
      </w:r>
      <w:r w:rsidR="000512A3">
        <w:t>-</w:t>
      </w:r>
      <w:r w:rsidRPr="00492409">
        <w:t>ground downlink)</w:t>
      </w:r>
      <w:r w:rsidR="000512A3">
        <w:t>.</w:t>
      </w:r>
    </w:p>
    <w:p w14:paraId="11DA3DD3" w14:textId="4675318B" w:rsidR="00095C11" w:rsidRPr="00492409" w:rsidRDefault="000512A3" w:rsidP="007E3C0C">
      <w:pPr>
        <w:spacing w:after="80"/>
        <w:rPr>
          <w:rFonts w:cs="Arial"/>
        </w:rPr>
      </w:pPr>
      <w:r>
        <w:rPr>
          <w:rFonts w:cs="Arial"/>
        </w:rPr>
        <w:t xml:space="preserve">The </w:t>
      </w:r>
      <w:r w:rsidR="007B2851" w:rsidRPr="00492409">
        <w:rPr>
          <w:rFonts w:cs="Arial"/>
        </w:rPr>
        <w:t xml:space="preserve">prescribed </w:t>
      </w:r>
      <w:r>
        <w:rPr>
          <w:rFonts w:cs="Arial"/>
        </w:rPr>
        <w:t>PSBs would be</w:t>
      </w:r>
      <w:r w:rsidR="00E5284D" w:rsidRPr="00492409">
        <w:rPr>
          <w:rFonts w:cs="Arial"/>
        </w:rPr>
        <w:t>:</w:t>
      </w:r>
    </w:p>
    <w:p w14:paraId="0D6976FC" w14:textId="18FA7DCF" w:rsidR="00621854" w:rsidRPr="00492409" w:rsidRDefault="00621854" w:rsidP="001F136C">
      <w:pPr>
        <w:pStyle w:val="Bulletlevel1"/>
      </w:pPr>
      <w:r w:rsidRPr="00492409">
        <w:t>the Australian Federal Police or the police force of a State or Territory</w:t>
      </w:r>
    </w:p>
    <w:p w14:paraId="220653E7" w14:textId="6F038380" w:rsidR="00621854" w:rsidRPr="000512A3" w:rsidRDefault="00621854" w:rsidP="001F136C">
      <w:pPr>
        <w:pStyle w:val="Bulletlevel1"/>
      </w:pPr>
      <w:r w:rsidRPr="000512A3">
        <w:t xml:space="preserve">any Commonwealth, </w:t>
      </w:r>
      <w:r w:rsidR="000512A3">
        <w:t>s</w:t>
      </w:r>
      <w:r w:rsidRPr="000512A3">
        <w:t xml:space="preserve">tate or </w:t>
      </w:r>
      <w:r w:rsidR="000512A3">
        <w:t>t</w:t>
      </w:r>
      <w:r w:rsidRPr="000512A3">
        <w:t xml:space="preserve">erritory body that is not covered </w:t>
      </w:r>
      <w:r w:rsidR="001F136C">
        <w:t>above</w:t>
      </w:r>
      <w:r w:rsidR="00593D22">
        <w:t>,</w:t>
      </w:r>
      <w:r w:rsidR="001F136C">
        <w:t xml:space="preserve"> </w:t>
      </w:r>
      <w:r w:rsidRPr="000512A3">
        <w:t xml:space="preserve">and that performs functions relating to the investigation or prevention of terrorism, serious crime or </w:t>
      </w:r>
      <w:proofErr w:type="gramStart"/>
      <w:r w:rsidRPr="000512A3">
        <w:t>corruption</w:t>
      </w:r>
      <w:proofErr w:type="gramEnd"/>
    </w:p>
    <w:p w14:paraId="67CD7ACA" w14:textId="3D50459B" w:rsidR="00621854" w:rsidRPr="000512A3" w:rsidRDefault="00621854" w:rsidP="001F136C">
      <w:pPr>
        <w:pStyle w:val="Bulletlevel1"/>
      </w:pPr>
      <w:r w:rsidRPr="000512A3">
        <w:t xml:space="preserve">any Commonwealth, </w:t>
      </w:r>
      <w:r w:rsidR="000512A3">
        <w:t>s</w:t>
      </w:r>
      <w:r w:rsidRPr="000512A3">
        <w:t xml:space="preserve">tate, </w:t>
      </w:r>
      <w:r w:rsidR="000512A3">
        <w:t>t</w:t>
      </w:r>
      <w:r w:rsidRPr="000512A3">
        <w:t xml:space="preserve">erritory or other body that provides an ambulance, </w:t>
      </w:r>
      <w:proofErr w:type="gramStart"/>
      <w:r w:rsidRPr="000512A3">
        <w:t>fire-fighting</w:t>
      </w:r>
      <w:proofErr w:type="gramEnd"/>
      <w:r w:rsidRPr="000512A3">
        <w:t>, search or rescue service</w:t>
      </w:r>
      <w:r w:rsidR="000512A3">
        <w:t>s</w:t>
      </w:r>
    </w:p>
    <w:p w14:paraId="50EC8839" w14:textId="77777777" w:rsidR="00621854" w:rsidRPr="00492409" w:rsidRDefault="00621854" w:rsidP="001F136C">
      <w:pPr>
        <w:pStyle w:val="Bulletlevel1last"/>
      </w:pPr>
      <w:r w:rsidRPr="00492409">
        <w:t>the Australian Defence Force.</w:t>
      </w:r>
    </w:p>
    <w:p w14:paraId="7CD76C0C" w14:textId="1E0811ED" w:rsidR="00AE3DA9" w:rsidRPr="00492409" w:rsidRDefault="00AE3DA9" w:rsidP="00FE5B80">
      <w:pPr>
        <w:spacing w:after="80"/>
        <w:rPr>
          <w:rFonts w:cs="Arial"/>
        </w:rPr>
      </w:pPr>
      <w:r w:rsidRPr="00492409">
        <w:rPr>
          <w:rFonts w:cs="Arial"/>
        </w:rPr>
        <w:t xml:space="preserve">The </w:t>
      </w:r>
      <w:r w:rsidR="004B0566">
        <w:rPr>
          <w:rFonts w:cs="Arial"/>
        </w:rPr>
        <w:t xml:space="preserve">substantive </w:t>
      </w:r>
      <w:r w:rsidRPr="00492409">
        <w:rPr>
          <w:rFonts w:cs="Arial"/>
        </w:rPr>
        <w:t xml:space="preserve">new elements </w:t>
      </w:r>
      <w:r w:rsidR="004B0566">
        <w:rPr>
          <w:rFonts w:cs="Arial"/>
        </w:rPr>
        <w:t xml:space="preserve">included in the 2023 class licence </w:t>
      </w:r>
      <w:r w:rsidRPr="00492409">
        <w:rPr>
          <w:rFonts w:cs="Arial"/>
        </w:rPr>
        <w:t xml:space="preserve">expand on the </w:t>
      </w:r>
      <w:r w:rsidR="004B0566">
        <w:rPr>
          <w:rFonts w:cs="Arial"/>
        </w:rPr>
        <w:t>established</w:t>
      </w:r>
      <w:r w:rsidR="004B0566" w:rsidRPr="00492409">
        <w:rPr>
          <w:rFonts w:cs="Arial"/>
        </w:rPr>
        <w:t xml:space="preserve"> </w:t>
      </w:r>
      <w:r w:rsidRPr="00492409">
        <w:rPr>
          <w:rFonts w:cs="Arial"/>
        </w:rPr>
        <w:t xml:space="preserve">provisions to enable the use of cellular mobile services </w:t>
      </w:r>
      <w:r w:rsidR="00C55B38">
        <w:rPr>
          <w:rFonts w:cs="Arial"/>
        </w:rPr>
        <w:t xml:space="preserve">– </w:t>
      </w:r>
      <w:r w:rsidRPr="00492409">
        <w:rPr>
          <w:rFonts w:cs="Arial"/>
        </w:rPr>
        <w:t>e</w:t>
      </w:r>
      <w:r w:rsidR="00EB29CC">
        <w:rPr>
          <w:rFonts w:cs="Arial"/>
        </w:rPr>
        <w:t>.</w:t>
      </w:r>
      <w:r w:rsidRPr="00492409">
        <w:rPr>
          <w:rFonts w:cs="Arial"/>
        </w:rPr>
        <w:t>g.</w:t>
      </w:r>
      <w:r w:rsidR="00C55B38">
        <w:rPr>
          <w:rFonts w:cs="Arial"/>
        </w:rPr>
        <w:t>,</w:t>
      </w:r>
      <w:r w:rsidRPr="00492409">
        <w:rPr>
          <w:rFonts w:cs="Arial"/>
        </w:rPr>
        <w:t xml:space="preserve"> </w:t>
      </w:r>
      <w:r w:rsidR="00BC1341" w:rsidRPr="00492409">
        <w:rPr>
          <w:rFonts w:cs="Arial"/>
        </w:rPr>
        <w:t xml:space="preserve">5G base stations, </w:t>
      </w:r>
      <w:r w:rsidR="00C55B38">
        <w:rPr>
          <w:rFonts w:cs="Arial"/>
        </w:rPr>
        <w:t>‘</w:t>
      </w:r>
      <w:r w:rsidR="00BC1341" w:rsidRPr="00492409">
        <w:rPr>
          <w:rFonts w:cs="Arial"/>
        </w:rPr>
        <w:t>cells on wheels</w:t>
      </w:r>
      <w:r w:rsidR="00C55B38">
        <w:rPr>
          <w:rFonts w:cs="Arial"/>
        </w:rPr>
        <w:t>’</w:t>
      </w:r>
      <w:r w:rsidR="00BC1341" w:rsidRPr="00492409">
        <w:rPr>
          <w:rFonts w:cs="Arial"/>
        </w:rPr>
        <w:t xml:space="preserve"> (COWs) and associated user equipment (UE).</w:t>
      </w:r>
    </w:p>
    <w:p w14:paraId="5C43BFAA" w14:textId="6FF4CCAA" w:rsidR="00FE5B80" w:rsidRPr="00FE5B80" w:rsidRDefault="00FE5B80" w:rsidP="00FE5B80">
      <w:pPr>
        <w:spacing w:after="80"/>
        <w:rPr>
          <w:rFonts w:cs="Arial"/>
        </w:rPr>
      </w:pPr>
      <w:r w:rsidRPr="00492409">
        <w:rPr>
          <w:rFonts w:cs="Arial"/>
        </w:rPr>
        <w:t xml:space="preserve">The consultation paper </w:t>
      </w:r>
      <w:r w:rsidR="000431B3" w:rsidRPr="00492409">
        <w:rPr>
          <w:rFonts w:cs="Arial"/>
        </w:rPr>
        <w:t>requested comment</w:t>
      </w:r>
      <w:r w:rsidR="00EB29CC">
        <w:rPr>
          <w:rFonts w:cs="Arial"/>
        </w:rPr>
        <w:t xml:space="preserve"> on</w:t>
      </w:r>
      <w:r w:rsidR="000431B3" w:rsidRPr="00492409">
        <w:rPr>
          <w:rFonts w:cs="Arial"/>
        </w:rPr>
        <w:t xml:space="preserve"> a number of issues</w:t>
      </w:r>
      <w:r w:rsidR="008D6A93" w:rsidRPr="00492409">
        <w:rPr>
          <w:rFonts w:cs="Arial"/>
        </w:rPr>
        <w:t xml:space="preserve"> pertaining to the </w:t>
      </w:r>
      <w:r w:rsidR="00AE68FE" w:rsidRPr="00492409">
        <w:rPr>
          <w:rFonts w:cs="Arial"/>
        </w:rPr>
        <w:t xml:space="preserve">need, current use, </w:t>
      </w:r>
      <w:r w:rsidR="008D6A93" w:rsidRPr="00492409">
        <w:rPr>
          <w:rFonts w:cs="Arial"/>
        </w:rPr>
        <w:t>fitness for purpose</w:t>
      </w:r>
      <w:r w:rsidR="00696E63" w:rsidRPr="00492409">
        <w:rPr>
          <w:rFonts w:cs="Arial"/>
        </w:rPr>
        <w:t xml:space="preserve"> and conditions for operation of existing and proposed new </w:t>
      </w:r>
      <w:r w:rsidR="00872524" w:rsidRPr="00492409">
        <w:rPr>
          <w:rFonts w:cs="Arial"/>
        </w:rPr>
        <w:t xml:space="preserve">authorised services. Responses to those questions are </w:t>
      </w:r>
      <w:r w:rsidR="00BD388E" w:rsidRPr="00492409">
        <w:rPr>
          <w:rFonts w:cs="Arial"/>
        </w:rPr>
        <w:t>summarised in</w:t>
      </w:r>
      <w:r w:rsidR="007E1FA5" w:rsidRPr="00492409">
        <w:rPr>
          <w:rFonts w:cs="Arial"/>
        </w:rPr>
        <w:t xml:space="preserve"> this paper.</w:t>
      </w:r>
    </w:p>
    <w:p w14:paraId="6A7316EF" w14:textId="77777777" w:rsidR="00FE5B80" w:rsidRDefault="00FE5B80" w:rsidP="00FE5B80">
      <w:pPr>
        <w:pStyle w:val="Bulletlevel1"/>
        <w:numPr>
          <w:ilvl w:val="0"/>
          <w:numId w:val="0"/>
        </w:numPr>
        <w:spacing w:after="240"/>
      </w:pPr>
    </w:p>
    <w:p w14:paraId="0F365AF8" w14:textId="77777777" w:rsidR="00E5284D" w:rsidRDefault="00E5284D" w:rsidP="007E3C0C">
      <w:pPr>
        <w:spacing w:after="80"/>
        <w:rPr>
          <w:rFonts w:cs="Arial"/>
        </w:rPr>
      </w:pPr>
    </w:p>
    <w:p w14:paraId="560BD5C3" w14:textId="16FAF0C1" w:rsidR="00C27CE3" w:rsidRDefault="00A949F3" w:rsidP="00C27CE3">
      <w:pPr>
        <w:pStyle w:val="Heading1"/>
      </w:pPr>
      <w:bookmarkStart w:id="4" w:name="_Toc145588192"/>
      <w:bookmarkEnd w:id="3"/>
      <w:r>
        <w:lastRenderedPageBreak/>
        <w:t>Responses to consultation</w:t>
      </w:r>
      <w:bookmarkEnd w:id="4"/>
    </w:p>
    <w:p w14:paraId="055BD20B" w14:textId="77777777" w:rsidR="00C55B38" w:rsidRDefault="00A949F3" w:rsidP="001F136C">
      <w:pPr>
        <w:pStyle w:val="Paragraphbeforelist"/>
        <w:rPr>
          <w:bCs/>
        </w:rPr>
      </w:pPr>
      <w:r w:rsidRPr="00F3631A">
        <w:t xml:space="preserve">The ACMA </w:t>
      </w:r>
      <w:r w:rsidRPr="00F95D96">
        <w:t xml:space="preserve">received </w:t>
      </w:r>
      <w:hyperlink r:id="rId25" w:history="1">
        <w:r w:rsidR="00BF7159" w:rsidRPr="00F95D96">
          <w:rPr>
            <w:rStyle w:val="Hyperlink"/>
          </w:rPr>
          <w:t>1</w:t>
        </w:r>
        <w:r w:rsidR="00F47FFB" w:rsidRPr="00F95D96">
          <w:rPr>
            <w:rStyle w:val="Hyperlink"/>
          </w:rPr>
          <w:t>2</w:t>
        </w:r>
        <w:r w:rsidRPr="00F95D96">
          <w:rPr>
            <w:rStyle w:val="Hyperlink"/>
          </w:rPr>
          <w:t xml:space="preserve"> su</w:t>
        </w:r>
        <w:r w:rsidR="001256B7" w:rsidRPr="00F95D96">
          <w:rPr>
            <w:rStyle w:val="Hyperlink"/>
          </w:rPr>
          <w:t>b</w:t>
        </w:r>
        <w:r w:rsidRPr="00F95D96">
          <w:rPr>
            <w:rStyle w:val="Hyperlink"/>
          </w:rPr>
          <w:t>missions</w:t>
        </w:r>
      </w:hyperlink>
      <w:r w:rsidRPr="00F95D96">
        <w:t xml:space="preserve"> </w:t>
      </w:r>
      <w:r w:rsidR="00F3631A" w:rsidRPr="00F95D96">
        <w:rPr>
          <w:bCs/>
        </w:rPr>
        <w:t>to</w:t>
      </w:r>
      <w:r w:rsidR="00F3631A" w:rsidRPr="00F3631A">
        <w:rPr>
          <w:bCs/>
        </w:rPr>
        <w:t xml:space="preserve"> the consultation process from respondents representing</w:t>
      </w:r>
      <w:r w:rsidR="00C55B38">
        <w:rPr>
          <w:bCs/>
        </w:rPr>
        <w:t>:</w:t>
      </w:r>
    </w:p>
    <w:p w14:paraId="0C706D94" w14:textId="185B2943" w:rsidR="00C55B38" w:rsidRDefault="00F3631A" w:rsidP="00C55B38">
      <w:pPr>
        <w:pStyle w:val="Bulletlevel1"/>
      </w:pPr>
      <w:r w:rsidRPr="00F3631A">
        <w:t xml:space="preserve">the PSBs (including </w:t>
      </w:r>
      <w:r w:rsidR="00C55B38">
        <w:t>st</w:t>
      </w:r>
      <w:r w:rsidRPr="00F3631A">
        <w:t>ate government agencies responsible for management of PSB communications)</w:t>
      </w:r>
    </w:p>
    <w:p w14:paraId="65918B71" w14:textId="7C4AB1A6" w:rsidR="00C55B38" w:rsidRDefault="00F3631A" w:rsidP="00C55B38">
      <w:pPr>
        <w:pStyle w:val="Bulletlevel1"/>
      </w:pPr>
      <w:r w:rsidRPr="00F3631A">
        <w:t>equipment/service providers (and consultanc</w:t>
      </w:r>
      <w:r w:rsidR="00F10622">
        <w:t>ies</w:t>
      </w:r>
      <w:r w:rsidRPr="00F3631A">
        <w:t>)</w:t>
      </w:r>
    </w:p>
    <w:p w14:paraId="49F1677E" w14:textId="588E23FD" w:rsidR="00C55B38" w:rsidRDefault="00C55B38" w:rsidP="00C55B38">
      <w:pPr>
        <w:pStyle w:val="Bulletlevel1"/>
      </w:pPr>
      <w:r>
        <w:t>the</w:t>
      </w:r>
      <w:r w:rsidR="00F3631A" w:rsidRPr="00F3631A">
        <w:t xml:space="preserve"> telecommunications service provider sector</w:t>
      </w:r>
    </w:p>
    <w:p w14:paraId="0D0686D0" w14:textId="60079652" w:rsidR="00C55B38" w:rsidRDefault="00F3631A" w:rsidP="001F136C">
      <w:pPr>
        <w:pStyle w:val="Bulletlevel1last"/>
      </w:pPr>
      <w:r w:rsidRPr="00F3631A">
        <w:t xml:space="preserve">the radioastronomy sector. </w:t>
      </w:r>
    </w:p>
    <w:p w14:paraId="08A12BC7" w14:textId="1E1EB9D5" w:rsidR="00F3631A" w:rsidRPr="004F20F7" w:rsidRDefault="00F3631A" w:rsidP="001F136C">
      <w:pPr>
        <w:pStyle w:val="Paragraphbeforelist"/>
      </w:pPr>
      <w:r w:rsidRPr="00F3631A">
        <w:t xml:space="preserve">The telecommunications service provider sector’s responses were high-level in </w:t>
      </w:r>
      <w:r w:rsidRPr="004F20F7">
        <w:t xml:space="preserve">nature and only addressed the first </w:t>
      </w:r>
      <w:r w:rsidR="00C55B38">
        <w:t>2</w:t>
      </w:r>
      <w:r w:rsidR="00C55B38" w:rsidRPr="004F20F7">
        <w:t xml:space="preserve"> </w:t>
      </w:r>
      <w:r w:rsidRPr="004F20F7">
        <w:t>of 13 questions</w:t>
      </w:r>
      <w:r w:rsidR="004B0566">
        <w:t>,</w:t>
      </w:r>
      <w:r w:rsidRPr="004F20F7">
        <w:t xml:space="preserve"> and </w:t>
      </w:r>
      <w:r w:rsidR="004B0566">
        <w:t>radioastronomy sector</w:t>
      </w:r>
      <w:r w:rsidRPr="004F20F7">
        <w:t>’s submission only pertained to question 13.</w:t>
      </w:r>
      <w:r w:rsidR="005E2EE5" w:rsidRPr="004F20F7">
        <w:t xml:space="preserve"> </w:t>
      </w:r>
      <w:r w:rsidRPr="004F20F7">
        <w:t xml:space="preserve">The breakdown of respondents </w:t>
      </w:r>
      <w:r w:rsidR="005E2EE5" w:rsidRPr="004F20F7">
        <w:t>by</w:t>
      </w:r>
      <w:r w:rsidRPr="004F20F7">
        <w:t xml:space="preserve"> </w:t>
      </w:r>
      <w:r w:rsidR="00C55B38">
        <w:br/>
      </w:r>
      <w:r w:rsidRPr="004F20F7">
        <w:t>sector are:</w:t>
      </w:r>
    </w:p>
    <w:p w14:paraId="2A192153" w14:textId="77777777" w:rsidR="00F3631A" w:rsidRPr="004F20F7" w:rsidRDefault="00F3631A" w:rsidP="00F3631A">
      <w:pPr>
        <w:pStyle w:val="Bulletlevel1"/>
      </w:pPr>
      <w:r w:rsidRPr="004F20F7">
        <w:t>PSB sector:</w:t>
      </w:r>
    </w:p>
    <w:p w14:paraId="21203130" w14:textId="77777777" w:rsidR="00F3631A" w:rsidRPr="004F20F7" w:rsidRDefault="00F3631A" w:rsidP="00F3631A">
      <w:pPr>
        <w:pStyle w:val="Bulletlevel1"/>
        <w:tabs>
          <w:tab w:val="clear" w:pos="295"/>
          <w:tab w:val="num" w:pos="579"/>
        </w:tabs>
        <w:ind w:left="579"/>
      </w:pPr>
      <w:r w:rsidRPr="004F20F7">
        <w:t>NSW Fire and Rescue Service</w:t>
      </w:r>
    </w:p>
    <w:p w14:paraId="6B0BD594" w14:textId="77777777" w:rsidR="00F3631A" w:rsidRPr="004F20F7" w:rsidRDefault="00F3631A" w:rsidP="00F3631A">
      <w:pPr>
        <w:pStyle w:val="Bulletlevel1"/>
        <w:tabs>
          <w:tab w:val="clear" w:pos="295"/>
          <w:tab w:val="num" w:pos="579"/>
        </w:tabs>
        <w:ind w:left="579"/>
      </w:pPr>
      <w:r w:rsidRPr="004F20F7">
        <w:t>NSW Police Force</w:t>
      </w:r>
    </w:p>
    <w:p w14:paraId="400D721F" w14:textId="77777777" w:rsidR="00F3631A" w:rsidRPr="004F20F7" w:rsidRDefault="00F3631A" w:rsidP="00F3631A">
      <w:pPr>
        <w:pStyle w:val="Bulletlevel1"/>
        <w:tabs>
          <w:tab w:val="clear" w:pos="295"/>
          <w:tab w:val="num" w:pos="579"/>
        </w:tabs>
        <w:ind w:left="579"/>
      </w:pPr>
      <w:r w:rsidRPr="004F20F7">
        <w:t>NSW Telco Authority</w:t>
      </w:r>
    </w:p>
    <w:p w14:paraId="5EDFE3B4" w14:textId="6D385045" w:rsidR="00F3631A" w:rsidRPr="004F20F7" w:rsidRDefault="00F3631A" w:rsidP="00F3631A">
      <w:pPr>
        <w:pStyle w:val="Bulletlevel1"/>
        <w:tabs>
          <w:tab w:val="clear" w:pos="295"/>
          <w:tab w:val="num" w:pos="579"/>
        </w:tabs>
        <w:ind w:left="579"/>
      </w:pPr>
      <w:r w:rsidRPr="004F20F7">
        <w:t>Q</w:t>
      </w:r>
      <w:r w:rsidR="00FA5B54">
        <w:t>ueens</w:t>
      </w:r>
      <w:r w:rsidRPr="004F20F7">
        <w:t>l</w:t>
      </w:r>
      <w:r w:rsidR="00FA5B54">
        <w:t>an</w:t>
      </w:r>
      <w:r w:rsidRPr="004F20F7">
        <w:t>d Department of Transport and Main Roads</w:t>
      </w:r>
    </w:p>
    <w:p w14:paraId="4E2F656E" w14:textId="77777777" w:rsidR="00F3631A" w:rsidRPr="004F20F7" w:rsidRDefault="00F3631A" w:rsidP="00F3631A">
      <w:pPr>
        <w:pStyle w:val="Bulletlevel1"/>
      </w:pPr>
      <w:r w:rsidRPr="004F20F7">
        <w:t>Equipment/service provider sector:</w:t>
      </w:r>
    </w:p>
    <w:p w14:paraId="0B52FC2A" w14:textId="77777777" w:rsidR="00F3631A" w:rsidRPr="004F20F7" w:rsidRDefault="00F3631A" w:rsidP="00F3631A">
      <w:pPr>
        <w:pStyle w:val="Bulletlevel1"/>
        <w:tabs>
          <w:tab w:val="clear" w:pos="295"/>
          <w:tab w:val="num" w:pos="579"/>
        </w:tabs>
        <w:ind w:left="579"/>
      </w:pPr>
      <w:r w:rsidRPr="004F20F7">
        <w:t>Amber Technology</w:t>
      </w:r>
    </w:p>
    <w:p w14:paraId="09A08A83" w14:textId="77777777" w:rsidR="00F3631A" w:rsidRPr="004F20F7" w:rsidRDefault="00F3631A" w:rsidP="00F3631A">
      <w:pPr>
        <w:pStyle w:val="Bulletlevel1"/>
        <w:tabs>
          <w:tab w:val="clear" w:pos="295"/>
          <w:tab w:val="num" w:pos="579"/>
        </w:tabs>
        <w:ind w:left="579"/>
      </w:pPr>
      <w:r w:rsidRPr="004F20F7">
        <w:t>ARCIA</w:t>
      </w:r>
    </w:p>
    <w:p w14:paraId="6EEE805B" w14:textId="77777777" w:rsidR="00F3631A" w:rsidRPr="004F20F7" w:rsidRDefault="00F3631A" w:rsidP="00F3631A">
      <w:pPr>
        <w:pStyle w:val="Bulletlevel1"/>
        <w:tabs>
          <w:tab w:val="clear" w:pos="295"/>
          <w:tab w:val="num" w:pos="579"/>
        </w:tabs>
        <w:ind w:left="579"/>
      </w:pPr>
      <w:r w:rsidRPr="004F20F7">
        <w:t>Hypha</w:t>
      </w:r>
    </w:p>
    <w:p w14:paraId="4EBF08D0" w14:textId="77777777" w:rsidR="00F3631A" w:rsidRPr="004F20F7" w:rsidRDefault="00F3631A" w:rsidP="00F3631A">
      <w:pPr>
        <w:pStyle w:val="Bulletlevel1"/>
        <w:tabs>
          <w:tab w:val="clear" w:pos="295"/>
          <w:tab w:val="num" w:pos="579"/>
        </w:tabs>
        <w:ind w:left="579"/>
      </w:pPr>
      <w:r w:rsidRPr="004F20F7">
        <w:t>Motorola Solutions</w:t>
      </w:r>
    </w:p>
    <w:p w14:paraId="11C1E0D1" w14:textId="77777777" w:rsidR="00F3631A" w:rsidRPr="004F20F7" w:rsidRDefault="00F3631A" w:rsidP="00F3631A">
      <w:pPr>
        <w:pStyle w:val="Bulletlevel1"/>
        <w:tabs>
          <w:tab w:val="clear" w:pos="295"/>
          <w:tab w:val="num" w:pos="579"/>
        </w:tabs>
        <w:ind w:left="579"/>
      </w:pPr>
      <w:r w:rsidRPr="004F20F7">
        <w:t>Nova Systems</w:t>
      </w:r>
    </w:p>
    <w:p w14:paraId="55DA6FD1" w14:textId="5146CBA1" w:rsidR="00F3631A" w:rsidRPr="004F20F7" w:rsidRDefault="00F3631A" w:rsidP="00F3631A">
      <w:pPr>
        <w:pStyle w:val="Bulletlevel1"/>
      </w:pPr>
      <w:r w:rsidRPr="004F20F7">
        <w:t>Telecommunications service provider sector</w:t>
      </w:r>
      <w:r w:rsidR="00FA5B54">
        <w:t xml:space="preserve">, </w:t>
      </w:r>
      <w:r w:rsidR="00FA5B54" w:rsidRPr="004F20F7">
        <w:t>including mobile network operators (MNOs)</w:t>
      </w:r>
      <w:r w:rsidRPr="004F20F7">
        <w:t>:</w:t>
      </w:r>
    </w:p>
    <w:p w14:paraId="3800801D" w14:textId="77777777" w:rsidR="00F3631A" w:rsidRPr="004F20F7" w:rsidRDefault="00F3631A" w:rsidP="00F3631A">
      <w:pPr>
        <w:pStyle w:val="Bulletlevel1"/>
        <w:tabs>
          <w:tab w:val="clear" w:pos="295"/>
          <w:tab w:val="num" w:pos="579"/>
        </w:tabs>
        <w:ind w:left="579"/>
      </w:pPr>
      <w:r w:rsidRPr="004F20F7">
        <w:t>AMTA</w:t>
      </w:r>
    </w:p>
    <w:p w14:paraId="063FB48D" w14:textId="77777777" w:rsidR="00F3631A" w:rsidRPr="004F20F7" w:rsidRDefault="00F3631A" w:rsidP="00F3631A">
      <w:pPr>
        <w:pStyle w:val="Bulletlevel1"/>
        <w:tabs>
          <w:tab w:val="clear" w:pos="295"/>
          <w:tab w:val="num" w:pos="579"/>
        </w:tabs>
        <w:ind w:left="579"/>
      </w:pPr>
      <w:r w:rsidRPr="004F20F7">
        <w:t>Optus</w:t>
      </w:r>
    </w:p>
    <w:p w14:paraId="54FE3ACC" w14:textId="77777777" w:rsidR="00F3631A" w:rsidRPr="004F20F7" w:rsidRDefault="00F3631A" w:rsidP="00F3631A">
      <w:pPr>
        <w:pStyle w:val="Bulletlevel1"/>
      </w:pPr>
      <w:r w:rsidRPr="004F20F7">
        <w:t>Radioastronomy sector:</w:t>
      </w:r>
    </w:p>
    <w:p w14:paraId="38227914" w14:textId="299AFEDE" w:rsidR="00F3631A" w:rsidRPr="004F20F7" w:rsidRDefault="00F3631A" w:rsidP="001F136C">
      <w:pPr>
        <w:pStyle w:val="Bulletlevel1last"/>
      </w:pPr>
      <w:r w:rsidRPr="004F20F7">
        <w:t>CSIRO</w:t>
      </w:r>
      <w:r w:rsidR="008052BD">
        <w:t>.</w:t>
      </w:r>
    </w:p>
    <w:p w14:paraId="09A1D586" w14:textId="77777777" w:rsidR="00996D4C" w:rsidRDefault="00996D4C" w:rsidP="00996D4C">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1</w:t>
      </w:r>
    </w:p>
    <w:p w14:paraId="10F25BAE" w14:textId="05395984" w:rsidR="00964353" w:rsidRDefault="00996D4C" w:rsidP="00996D4C">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Is the class licence still needed? Why or why not?</w:t>
      </w:r>
    </w:p>
    <w:p w14:paraId="62A7942F" w14:textId="40591217" w:rsidR="000055E5" w:rsidRPr="00D25D80" w:rsidRDefault="000055E5" w:rsidP="000055E5">
      <w:pPr>
        <w:pStyle w:val="Heading3"/>
      </w:pPr>
      <w:r w:rsidRPr="00D25D80">
        <w:t xml:space="preserve">Submissions </w:t>
      </w:r>
      <w:proofErr w:type="gramStart"/>
      <w:r w:rsidRPr="00D25D80">
        <w:t>received</w:t>
      </w:r>
      <w:proofErr w:type="gramEnd"/>
    </w:p>
    <w:p w14:paraId="113AB98B" w14:textId="3EBBD78D" w:rsidR="00837F4B" w:rsidRPr="00A65E1C" w:rsidRDefault="00837F4B" w:rsidP="00433D9B">
      <w:pPr>
        <w:pStyle w:val="Paragraph"/>
      </w:pPr>
      <w:r w:rsidRPr="00A65E1C">
        <w:t xml:space="preserve">The ongoing necessity of the </w:t>
      </w:r>
      <w:r w:rsidR="004B0566">
        <w:t xml:space="preserve">2013 </w:t>
      </w:r>
      <w:r w:rsidRPr="00A65E1C">
        <w:t>class licence was universally agreed by respondents from the PSB and equipment</w:t>
      </w:r>
      <w:r w:rsidR="004B0566">
        <w:t>/</w:t>
      </w:r>
      <w:r w:rsidRPr="00A65E1C">
        <w:t>service provider sectors. Respondents cited the flexibility afforded by class licensing</w:t>
      </w:r>
      <w:r w:rsidR="004B0566">
        <w:t>, which</w:t>
      </w:r>
      <w:r w:rsidRPr="00A65E1C">
        <w:t xml:space="preserve"> allows for ad hoc deployment of a range of technologies</w:t>
      </w:r>
      <w:r w:rsidR="004B0566">
        <w:t>,</w:t>
      </w:r>
      <w:r w:rsidRPr="00A65E1C">
        <w:t xml:space="preserve"> as being beneficial for public safety operations</w:t>
      </w:r>
      <w:r w:rsidR="003E1139">
        <w:t>. I</w:t>
      </w:r>
      <w:r w:rsidRPr="00A65E1C">
        <w:t>n some cases</w:t>
      </w:r>
      <w:r w:rsidR="003E1139">
        <w:t>,</w:t>
      </w:r>
      <w:r w:rsidRPr="00A65E1C">
        <w:t xml:space="preserve"> PSBs argued that ongoing access is vital for those operations. Some respondents argued that </w:t>
      </w:r>
      <w:r w:rsidR="004B0566">
        <w:t xml:space="preserve">the 2023 </w:t>
      </w:r>
      <w:r w:rsidRPr="00A65E1C">
        <w:t>class licence should contain amended provisions with respect to time limits on fixed point-to-point link operation and band management/coordination (see responses to questions 11 and 2</w:t>
      </w:r>
      <w:r w:rsidR="003E1139">
        <w:t>,</w:t>
      </w:r>
      <w:r w:rsidRPr="00A65E1C">
        <w:t xml:space="preserve"> respectively</w:t>
      </w:r>
      <w:r w:rsidR="003E1139">
        <w:t>,</w:t>
      </w:r>
      <w:r w:rsidRPr="00A65E1C">
        <w:t xml:space="preserve"> for further discussion). </w:t>
      </w:r>
    </w:p>
    <w:p w14:paraId="76C621E1" w14:textId="7017F4E7" w:rsidR="00837F4B" w:rsidRPr="00A65E1C" w:rsidRDefault="00A65E1C" w:rsidP="00433D9B">
      <w:pPr>
        <w:pStyle w:val="Paragraph"/>
      </w:pPr>
      <w:r w:rsidRPr="00A65E1C">
        <w:t>Telecommunications service</w:t>
      </w:r>
      <w:r w:rsidR="00837F4B" w:rsidRPr="00A65E1C">
        <w:t xml:space="preserve"> </w:t>
      </w:r>
      <w:r w:rsidR="004B0566">
        <w:t xml:space="preserve">provider </w:t>
      </w:r>
      <w:r w:rsidR="00837F4B" w:rsidRPr="00A65E1C">
        <w:t xml:space="preserve">sector responses pointed out that the </w:t>
      </w:r>
      <w:r w:rsidR="004B0566">
        <w:t xml:space="preserve">4.9 GHz </w:t>
      </w:r>
      <w:r w:rsidR="00837F4B" w:rsidRPr="00A65E1C">
        <w:t>band continues to be listed under the ‘monitoring’ stage in the ACMA’s current draft Five</w:t>
      </w:r>
      <w:r w:rsidR="003E1139">
        <w:t>-y</w:t>
      </w:r>
      <w:r w:rsidR="00837F4B" w:rsidRPr="00A65E1C">
        <w:t xml:space="preserve">ear </w:t>
      </w:r>
      <w:r w:rsidR="003E1139">
        <w:t>s</w:t>
      </w:r>
      <w:r w:rsidR="00837F4B" w:rsidRPr="00A65E1C">
        <w:t xml:space="preserve">pectrum </w:t>
      </w:r>
      <w:r w:rsidR="003E1139">
        <w:t>o</w:t>
      </w:r>
      <w:r w:rsidR="00837F4B" w:rsidRPr="00A65E1C">
        <w:t xml:space="preserve">utlook (FYSO), and therefore </w:t>
      </w:r>
      <w:r w:rsidR="004B0566">
        <w:t xml:space="preserve">they </w:t>
      </w:r>
      <w:r w:rsidR="00837F4B" w:rsidRPr="00A65E1C">
        <w:t>wish</w:t>
      </w:r>
      <w:r w:rsidR="004B0566">
        <w:t>ed</w:t>
      </w:r>
      <w:r w:rsidR="00837F4B" w:rsidRPr="00A65E1C">
        <w:t xml:space="preserve"> to be kept abreast of </w:t>
      </w:r>
      <w:r w:rsidR="00837F4B" w:rsidRPr="00A65E1C">
        <w:lastRenderedPageBreak/>
        <w:t xml:space="preserve">developments concerning the band. One respondent supported remaking the </w:t>
      </w:r>
      <w:r w:rsidR="004B0566">
        <w:t xml:space="preserve">2013 </w:t>
      </w:r>
      <w:r w:rsidR="00837F4B" w:rsidRPr="00A65E1C">
        <w:t xml:space="preserve">class licence but flagged that this position may change pending international developments or changes to the status of the band in the FYSO.  </w:t>
      </w:r>
    </w:p>
    <w:p w14:paraId="24101727" w14:textId="29A15FEA" w:rsidR="00E90A14" w:rsidRPr="00A65E1C" w:rsidRDefault="00DF6EDB" w:rsidP="00E90A14">
      <w:pPr>
        <w:pStyle w:val="Heading3"/>
      </w:pPr>
      <w:r w:rsidRPr="00A65E1C">
        <w:t xml:space="preserve">ACMA </w:t>
      </w:r>
      <w:r w:rsidR="00A97781">
        <w:t>r</w:t>
      </w:r>
      <w:r w:rsidRPr="00A65E1C">
        <w:t>esponse</w:t>
      </w:r>
    </w:p>
    <w:p w14:paraId="78142A1C" w14:textId="112C8B3A" w:rsidR="0037071F" w:rsidRPr="00A65E1C" w:rsidRDefault="001643DA" w:rsidP="00C27CE3">
      <w:pPr>
        <w:pStyle w:val="Paragraph"/>
      </w:pPr>
      <w:r w:rsidRPr="00A65E1C">
        <w:t xml:space="preserve">The ACMA agrees that the </w:t>
      </w:r>
      <w:r w:rsidR="004B0566">
        <w:t xml:space="preserve">2013 </w:t>
      </w:r>
      <w:r w:rsidR="000B4AFF" w:rsidRPr="00A65E1C">
        <w:t>class licence is still needed, and notes that use of the 4.9 GHz band by PSBs is increasing</w:t>
      </w:r>
      <w:r w:rsidR="00511382" w:rsidRPr="00A65E1C">
        <w:t>.</w:t>
      </w:r>
    </w:p>
    <w:p w14:paraId="5DD0CC3B" w14:textId="77777777" w:rsidR="004F19BD" w:rsidRDefault="004F19BD" w:rsidP="004F19BD">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2</w:t>
      </w:r>
    </w:p>
    <w:p w14:paraId="2E37D72A" w14:textId="77777777" w:rsidR="004F19BD" w:rsidRDefault="004F19BD" w:rsidP="004F19BD">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Is the class licence operating effectively and efficiently? Why or why not?</w:t>
      </w:r>
    </w:p>
    <w:p w14:paraId="59867A38" w14:textId="77777777" w:rsidR="00F34AFA" w:rsidRPr="00045B2B" w:rsidRDefault="00F34AFA" w:rsidP="00F34AFA">
      <w:pPr>
        <w:pStyle w:val="Heading3"/>
      </w:pPr>
      <w:r w:rsidRPr="00045B2B">
        <w:t xml:space="preserve">Submissions </w:t>
      </w:r>
      <w:proofErr w:type="gramStart"/>
      <w:r w:rsidRPr="00045B2B">
        <w:t>received</w:t>
      </w:r>
      <w:proofErr w:type="gramEnd"/>
    </w:p>
    <w:p w14:paraId="63FFAB7C" w14:textId="46F7EB41" w:rsidR="004248A2" w:rsidRPr="00D4271F" w:rsidRDefault="00B27D74" w:rsidP="00433D9B">
      <w:pPr>
        <w:pStyle w:val="Paragraph"/>
      </w:pPr>
      <w:r w:rsidRPr="00D4271F">
        <w:t>In general</w:t>
      </w:r>
      <w:r w:rsidR="00151778" w:rsidRPr="00D4271F">
        <w:t xml:space="preserve">, </w:t>
      </w:r>
      <w:r w:rsidRPr="00D4271F">
        <w:t>responses</w:t>
      </w:r>
      <w:r w:rsidR="00553506" w:rsidRPr="00D4271F">
        <w:t xml:space="preserve"> (except one, see below)</w:t>
      </w:r>
      <w:r w:rsidR="00236A86" w:rsidRPr="00D4271F">
        <w:t xml:space="preserve"> from across all sectors</w:t>
      </w:r>
      <w:r w:rsidRPr="00D4271F">
        <w:t xml:space="preserve"> were of the view that the </w:t>
      </w:r>
      <w:r w:rsidR="004B0566">
        <w:t xml:space="preserve">2013 class </w:t>
      </w:r>
      <w:r w:rsidRPr="00D4271F">
        <w:t xml:space="preserve">licence is operating </w:t>
      </w:r>
      <w:r w:rsidR="00013882" w:rsidRPr="00D4271F">
        <w:t>effectively and efficiently</w:t>
      </w:r>
      <w:r w:rsidR="003E1139">
        <w:t>. H</w:t>
      </w:r>
      <w:r w:rsidR="00236A86" w:rsidRPr="00D4271F">
        <w:t>owever</w:t>
      </w:r>
      <w:r w:rsidR="003E1139">
        <w:t>,</w:t>
      </w:r>
      <w:r w:rsidR="00236A86" w:rsidRPr="00D4271F">
        <w:t xml:space="preserve"> a broad theme emerged from a significant number of PSB and equipment/service provider respondents</w:t>
      </w:r>
      <w:r w:rsidR="004B0566">
        <w:t>, who argue</w:t>
      </w:r>
      <w:r w:rsidR="00236A86" w:rsidRPr="00D4271F">
        <w:t xml:space="preserve"> that there needs to be an appointed/mandated band management function. </w:t>
      </w:r>
    </w:p>
    <w:p w14:paraId="06B8F074" w14:textId="61749F61" w:rsidR="00A96844" w:rsidRPr="00904F7C" w:rsidRDefault="0089016E" w:rsidP="00433D9B">
      <w:pPr>
        <w:pStyle w:val="Paragraph"/>
      </w:pPr>
      <w:r w:rsidRPr="00D4271F">
        <w:t xml:space="preserve">One respondent from the </w:t>
      </w:r>
      <w:r w:rsidR="0093351C" w:rsidRPr="00D4271F">
        <w:t xml:space="preserve">equipment/service provider sector suggested that the </w:t>
      </w:r>
      <w:r w:rsidR="004B0566">
        <w:t xml:space="preserve">2013 class </w:t>
      </w:r>
      <w:r w:rsidR="0093351C" w:rsidRPr="00D4271F">
        <w:t xml:space="preserve">licence is </w:t>
      </w:r>
      <w:r w:rsidR="0093351C" w:rsidRPr="001F136C">
        <w:t>not</w:t>
      </w:r>
      <w:r w:rsidR="0093351C" w:rsidRPr="00D4271F">
        <w:rPr>
          <w:i/>
          <w:iCs/>
        </w:rPr>
        <w:t xml:space="preserve"> </w:t>
      </w:r>
      <w:r w:rsidR="0093351C" w:rsidRPr="00D4271F">
        <w:t xml:space="preserve">operating efficiently and effectively </w:t>
      </w:r>
      <w:r w:rsidR="00151778" w:rsidRPr="00D4271F">
        <w:t xml:space="preserve">without a </w:t>
      </w:r>
      <w:r w:rsidR="009F75C8">
        <w:t xml:space="preserve">band management </w:t>
      </w:r>
      <w:r w:rsidR="00151778" w:rsidRPr="00D4271F">
        <w:t xml:space="preserve">function. </w:t>
      </w:r>
      <w:r w:rsidR="00D138FF" w:rsidRPr="00D4271F">
        <w:t xml:space="preserve">That respondent, in response to subsequent questions around technical conditions for access to the 4.9 GHz band, </w:t>
      </w:r>
      <w:r w:rsidR="00D12364" w:rsidRPr="00D4271F">
        <w:t>suggested that such conditions would be unnecessary if a band</w:t>
      </w:r>
      <w:r w:rsidR="009F75C8">
        <w:t xml:space="preserve"> </w:t>
      </w:r>
      <w:r w:rsidR="00D12364" w:rsidRPr="00D4271F">
        <w:t>management function was mandated</w:t>
      </w:r>
      <w:r w:rsidR="000E5D32">
        <w:t xml:space="preserve">. This is because </w:t>
      </w:r>
      <w:r w:rsidR="00D12364" w:rsidRPr="00D4271F">
        <w:t>the band manager would be able to undertake coordination</w:t>
      </w:r>
      <w:r w:rsidR="007148CA" w:rsidRPr="00D4271F">
        <w:t xml:space="preserve"> to meet protection requirements.</w:t>
      </w:r>
    </w:p>
    <w:p w14:paraId="319E8D23" w14:textId="7E0610A7" w:rsidR="00F34AFA" w:rsidRPr="00246679" w:rsidRDefault="00DF6EDB" w:rsidP="00F34AFA">
      <w:pPr>
        <w:pStyle w:val="Heading3"/>
      </w:pPr>
      <w:r>
        <w:t xml:space="preserve">ACMA </w:t>
      </w:r>
      <w:r w:rsidR="000E5D32">
        <w:t>r</w:t>
      </w:r>
      <w:r>
        <w:t>esponse</w:t>
      </w:r>
    </w:p>
    <w:p w14:paraId="46C9F494" w14:textId="4754E4FC" w:rsidR="008131FC" w:rsidRPr="00433D9B" w:rsidRDefault="00D4271F" w:rsidP="00433D9B">
      <w:pPr>
        <w:pStyle w:val="Paragraph"/>
      </w:pPr>
      <w:bookmarkStart w:id="5" w:name="_Toc50732094"/>
      <w:r w:rsidRPr="00433D9B">
        <w:t xml:space="preserve">The ACMA agrees that coordination across PSBs is </w:t>
      </w:r>
      <w:r w:rsidR="00ED4F60" w:rsidRPr="00433D9B">
        <w:t xml:space="preserve">necessary to optimise the efficiency of use under the </w:t>
      </w:r>
      <w:r w:rsidR="004B0566">
        <w:t xml:space="preserve">2013 </w:t>
      </w:r>
      <w:r w:rsidR="00ED4F60" w:rsidRPr="00433D9B">
        <w:t>class licence</w:t>
      </w:r>
      <w:r w:rsidR="000E5D32">
        <w:t>,</w:t>
      </w:r>
      <w:r w:rsidR="00ED4F60" w:rsidRPr="00433D9B">
        <w:t xml:space="preserve"> and </w:t>
      </w:r>
      <w:r w:rsidR="00CB165B" w:rsidRPr="00433D9B">
        <w:t>manage</w:t>
      </w:r>
      <w:r w:rsidR="00ED4F60" w:rsidRPr="00433D9B">
        <w:t xml:space="preserve"> </w:t>
      </w:r>
      <w:r w:rsidR="002441BE" w:rsidRPr="00433D9B">
        <w:t xml:space="preserve">interference between operators. </w:t>
      </w:r>
      <w:r w:rsidR="000E5D32">
        <w:t xml:space="preserve">We note </w:t>
      </w:r>
      <w:r w:rsidR="002441BE" w:rsidRPr="00433D9B">
        <w:t>that some, but not all, jurisdictions have appointed</w:t>
      </w:r>
      <w:r w:rsidR="004B0566">
        <w:t xml:space="preserve"> or legislated</w:t>
      </w:r>
      <w:r w:rsidR="002441BE" w:rsidRPr="00433D9B">
        <w:t xml:space="preserve"> authorities </w:t>
      </w:r>
      <w:r w:rsidR="008831DD" w:rsidRPr="00433D9B">
        <w:t xml:space="preserve">that are responsible for the deployment and management </w:t>
      </w:r>
      <w:r w:rsidR="009D77EF" w:rsidRPr="00433D9B">
        <w:t>of government/emergency services radio networks</w:t>
      </w:r>
      <w:r w:rsidR="000E5D32">
        <w:t xml:space="preserve">. This </w:t>
      </w:r>
      <w:r w:rsidR="008831DD" w:rsidRPr="00433D9B">
        <w:t>includ</w:t>
      </w:r>
      <w:r w:rsidR="000E5D32">
        <w:t>es</w:t>
      </w:r>
      <w:r w:rsidR="008831DD" w:rsidRPr="00433D9B">
        <w:t xml:space="preserve">, in some cases, </w:t>
      </w:r>
      <w:r w:rsidR="009D77EF" w:rsidRPr="00433D9B">
        <w:t xml:space="preserve">access to associated </w:t>
      </w:r>
      <w:r w:rsidR="008831DD" w:rsidRPr="00433D9B">
        <w:t>spectrum holdings</w:t>
      </w:r>
      <w:r w:rsidR="009D77EF" w:rsidRPr="00433D9B">
        <w:t>.</w:t>
      </w:r>
    </w:p>
    <w:p w14:paraId="71AADF8A" w14:textId="42D4A725" w:rsidR="004B0566" w:rsidRPr="007371EB" w:rsidRDefault="000E5D32" w:rsidP="004B0566">
      <w:pPr>
        <w:spacing w:after="120" w:line="240" w:lineRule="auto"/>
        <w:rPr>
          <w:rFonts w:cs="Arial"/>
          <w:bCs/>
        </w:rPr>
      </w:pPr>
      <w:r>
        <w:rPr>
          <w:rFonts w:cs="Arial"/>
          <w:bCs/>
        </w:rPr>
        <w:t>We</w:t>
      </w:r>
      <w:r w:rsidR="004B0566" w:rsidRPr="007371EB">
        <w:rPr>
          <w:rFonts w:cs="Arial"/>
          <w:bCs/>
        </w:rPr>
        <w:t xml:space="preserve"> consider that </w:t>
      </w:r>
      <w:r w:rsidR="004B0566">
        <w:rPr>
          <w:rFonts w:cs="Arial"/>
          <w:bCs/>
        </w:rPr>
        <w:t>PSB</w:t>
      </w:r>
      <w:r w:rsidR="00B71AA2">
        <w:rPr>
          <w:rFonts w:cs="Arial"/>
          <w:bCs/>
        </w:rPr>
        <w:t>s</w:t>
      </w:r>
      <w:r w:rsidR="004B0566" w:rsidRPr="007371EB">
        <w:rPr>
          <w:rFonts w:cs="Arial"/>
          <w:bCs/>
        </w:rPr>
        <w:t xml:space="preserve"> may be able to coordinate </w:t>
      </w:r>
      <w:r w:rsidR="00B71AA2">
        <w:rPr>
          <w:rFonts w:cs="Arial"/>
          <w:bCs/>
        </w:rPr>
        <w:t>among</w:t>
      </w:r>
      <w:r w:rsidR="004B0566" w:rsidRPr="007371EB">
        <w:rPr>
          <w:rFonts w:cs="Arial"/>
          <w:bCs/>
        </w:rPr>
        <w:t xml:space="preserve"> themselves without the need for the </w:t>
      </w:r>
      <w:r w:rsidR="004B0566">
        <w:rPr>
          <w:rFonts w:cs="Arial"/>
          <w:bCs/>
        </w:rPr>
        <w:t xml:space="preserve">2023 class licence </w:t>
      </w:r>
      <w:r w:rsidR="004B0566" w:rsidRPr="007371EB">
        <w:rPr>
          <w:rFonts w:cs="Arial"/>
          <w:bCs/>
        </w:rPr>
        <w:t xml:space="preserve">to make provision for a manager to be appointed. However, the ACMA is willing to consider this suggestion further if </w:t>
      </w:r>
      <w:r w:rsidR="004B0566">
        <w:rPr>
          <w:rFonts w:cs="Arial"/>
          <w:bCs/>
        </w:rPr>
        <w:t>PSBs</w:t>
      </w:r>
      <w:r w:rsidR="004B0566" w:rsidRPr="007371EB">
        <w:rPr>
          <w:rFonts w:cs="Arial"/>
          <w:bCs/>
        </w:rPr>
        <w:t xml:space="preserve"> were to prepare a coordinated, detailed proposal.</w:t>
      </w:r>
    </w:p>
    <w:p w14:paraId="2DBD6574" w14:textId="459B25D0" w:rsidR="00395D73" w:rsidRPr="00D4271F" w:rsidRDefault="00EE7BE1" w:rsidP="00433D9B">
      <w:pPr>
        <w:pStyle w:val="Paragraph"/>
      </w:pPr>
      <w:r w:rsidRPr="00433D9B">
        <w:t xml:space="preserve">We would expect that such a proposal would be universally agreed among relevant </w:t>
      </w:r>
      <w:r w:rsidR="00853325" w:rsidRPr="00433D9B">
        <w:t>PSB/emergency management authori</w:t>
      </w:r>
      <w:r w:rsidR="00552514" w:rsidRPr="00433D9B">
        <w:t xml:space="preserve">ties. How this agreement is gained </w:t>
      </w:r>
      <w:r w:rsidR="00A83243" w:rsidRPr="00433D9B">
        <w:t xml:space="preserve">and </w:t>
      </w:r>
      <w:r w:rsidR="00CD00F4" w:rsidRPr="00433D9B">
        <w:t xml:space="preserve">articulated </w:t>
      </w:r>
      <w:r w:rsidR="00395D73" w:rsidRPr="00433D9B">
        <w:t xml:space="preserve">would be a matter for those authorities. </w:t>
      </w:r>
    </w:p>
    <w:p w14:paraId="67B5B126" w14:textId="77777777" w:rsidR="00AD5B4D" w:rsidRDefault="00AD5B4D" w:rsidP="00AD5B4D">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3</w:t>
      </w:r>
    </w:p>
    <w:p w14:paraId="4059EFB9" w14:textId="07C95ECA" w:rsidR="00AD5B4D" w:rsidRPr="00C02F26" w:rsidRDefault="00AD5B4D" w:rsidP="00AD5B4D">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How are PSBs currently using the class licence? Are the current authorised services fit</w:t>
      </w:r>
      <w:r w:rsidR="00A633D7">
        <w:t>-</w:t>
      </w:r>
      <w:r>
        <w:t>for</w:t>
      </w:r>
      <w:r w:rsidR="00A633D7">
        <w:t>-</w:t>
      </w:r>
      <w:r>
        <w:t>purpose?</w:t>
      </w:r>
    </w:p>
    <w:p w14:paraId="01D3614C" w14:textId="77777777" w:rsidR="004C2C0B" w:rsidRPr="00246679" w:rsidRDefault="004C2C0B" w:rsidP="004C2C0B">
      <w:pPr>
        <w:pStyle w:val="Heading3"/>
      </w:pPr>
      <w:r w:rsidRPr="00246679">
        <w:t xml:space="preserve">Submissions </w:t>
      </w:r>
      <w:proofErr w:type="gramStart"/>
      <w:r w:rsidRPr="00246679">
        <w:t>received</w:t>
      </w:r>
      <w:proofErr w:type="gramEnd"/>
    </w:p>
    <w:p w14:paraId="0A918CAF" w14:textId="53461A96" w:rsidR="00A633D7" w:rsidRDefault="00BF532B" w:rsidP="001F136C">
      <w:pPr>
        <w:pStyle w:val="Paragraphbeforelist"/>
      </w:pPr>
      <w:r w:rsidRPr="0033084F">
        <w:t>A number of current use cases</w:t>
      </w:r>
      <w:r w:rsidR="002C47CE" w:rsidRPr="0033084F">
        <w:t xml:space="preserve">, either supporting/augmenting other PSB communications functions or operating as standalone networks, </w:t>
      </w:r>
      <w:r w:rsidRPr="0033084F">
        <w:t>were reported</w:t>
      </w:r>
      <w:r w:rsidR="00BB4708" w:rsidRPr="0033084F">
        <w:t xml:space="preserve"> by PSB sector respondents</w:t>
      </w:r>
      <w:r w:rsidR="00A633D7">
        <w:t>. S</w:t>
      </w:r>
      <w:r w:rsidR="00BB4708" w:rsidRPr="0033084F">
        <w:t>ome equipment</w:t>
      </w:r>
      <w:r w:rsidR="00992DA3" w:rsidRPr="0033084F">
        <w:t>/s</w:t>
      </w:r>
      <w:r w:rsidR="002D5B48" w:rsidRPr="0033084F">
        <w:t>ervices</w:t>
      </w:r>
      <w:r w:rsidR="00992DA3" w:rsidRPr="0033084F">
        <w:t xml:space="preserve"> provider </w:t>
      </w:r>
      <w:r w:rsidR="004B0566">
        <w:t xml:space="preserve">sector </w:t>
      </w:r>
      <w:r w:rsidR="00992DA3" w:rsidRPr="0033084F">
        <w:t>respondents provided details of their own technologies</w:t>
      </w:r>
      <w:r w:rsidR="00E10349" w:rsidRPr="0033084F">
        <w:t xml:space="preserve">. </w:t>
      </w:r>
      <w:r w:rsidR="00992DA3" w:rsidRPr="0033084F">
        <w:t>Use cases reported included</w:t>
      </w:r>
      <w:r w:rsidR="00E10349" w:rsidRPr="0033084F">
        <w:t>:</w:t>
      </w:r>
      <w:r w:rsidRPr="0033084F">
        <w:t xml:space="preserve"> </w:t>
      </w:r>
    </w:p>
    <w:p w14:paraId="7FBE34FD" w14:textId="77777777" w:rsidR="00A633D7" w:rsidRDefault="005F4147" w:rsidP="00A633D7">
      <w:pPr>
        <w:pStyle w:val="Bulletlevel1"/>
      </w:pPr>
      <w:r w:rsidRPr="0033084F">
        <w:t xml:space="preserve">mesh </w:t>
      </w:r>
      <w:r w:rsidR="00490BC5" w:rsidRPr="0033084F">
        <w:t xml:space="preserve">networks (including </w:t>
      </w:r>
      <w:r w:rsidR="0033084F">
        <w:t>mobile ad hoc networks (</w:t>
      </w:r>
      <w:r w:rsidR="00490BC5" w:rsidRPr="0033084F">
        <w:t>MANETs</w:t>
      </w:r>
      <w:r w:rsidR="0033084F">
        <w:t>)</w:t>
      </w:r>
    </w:p>
    <w:p w14:paraId="49E5B786" w14:textId="4376D6F7" w:rsidR="00A633D7" w:rsidRDefault="00490BC5" w:rsidP="00A633D7">
      <w:pPr>
        <w:pStyle w:val="Bulletlevel1"/>
      </w:pPr>
      <w:r w:rsidRPr="0033084F">
        <w:t xml:space="preserve">mesh Wi-Fi </w:t>
      </w:r>
      <w:r w:rsidR="00E31D4F" w:rsidRPr="0033084F">
        <w:t xml:space="preserve">and associated temporary reticulation links) for </w:t>
      </w:r>
      <w:r w:rsidR="000752D0" w:rsidRPr="0033084F">
        <w:t xml:space="preserve">incident response, </w:t>
      </w:r>
      <w:r w:rsidR="00E31D4F" w:rsidRPr="0033084F">
        <w:t xml:space="preserve">coverage extension or operations in coverage-denied </w:t>
      </w:r>
      <w:proofErr w:type="gramStart"/>
      <w:r w:rsidR="00E31D4F" w:rsidRPr="0033084F">
        <w:t>areas</w:t>
      </w:r>
      <w:proofErr w:type="gramEnd"/>
    </w:p>
    <w:p w14:paraId="0F9CDFB8" w14:textId="3AF335BB" w:rsidR="00A633D7" w:rsidRDefault="008423F5" w:rsidP="00A633D7">
      <w:pPr>
        <w:pStyle w:val="Bulletlevel1"/>
      </w:pPr>
      <w:r w:rsidRPr="0033084F">
        <w:lastRenderedPageBreak/>
        <w:t>wideband air-to-ground networks</w:t>
      </w:r>
      <w:r w:rsidR="00366AD6" w:rsidRPr="0033084F">
        <w:t xml:space="preserve"> (including video </w:t>
      </w:r>
      <w:r w:rsidR="00B62F64" w:rsidRPr="0033084F">
        <w:t>uplink/downlink</w:t>
      </w:r>
      <w:r w:rsidR="00366AD6" w:rsidRPr="0033084F">
        <w:t>)</w:t>
      </w:r>
    </w:p>
    <w:p w14:paraId="04AC8AD9" w14:textId="6A92505A" w:rsidR="00A633D7" w:rsidRDefault="008423F5" w:rsidP="001F136C">
      <w:pPr>
        <w:pStyle w:val="Bulletlevel1last"/>
      </w:pPr>
      <w:r w:rsidRPr="0033084F">
        <w:t>temporary fixed point-to-point links</w:t>
      </w:r>
      <w:r w:rsidR="00C628A1" w:rsidRPr="0033084F">
        <w:t xml:space="preserve">. </w:t>
      </w:r>
    </w:p>
    <w:p w14:paraId="6B41E8D9" w14:textId="78237E2D" w:rsidR="002B3CD2" w:rsidRPr="0033084F" w:rsidRDefault="00C628A1" w:rsidP="00A633D7">
      <w:pPr>
        <w:pStyle w:val="Paragraph"/>
      </w:pPr>
      <w:r w:rsidRPr="0033084F">
        <w:t>One response from the equipment/service</w:t>
      </w:r>
      <w:r w:rsidR="002D5B48" w:rsidRPr="0033084F">
        <w:t>s</w:t>
      </w:r>
      <w:r w:rsidRPr="0033084F">
        <w:t xml:space="preserve"> provider</w:t>
      </w:r>
      <w:r w:rsidR="002D5B48" w:rsidRPr="0033084F">
        <w:t xml:space="preserve"> sector suggested there was no evidence of fixed point-to-point use and that those provisions </w:t>
      </w:r>
      <w:r w:rsidR="004358F3" w:rsidRPr="0033084F">
        <w:t>could</w:t>
      </w:r>
      <w:r w:rsidR="002D5B48" w:rsidRPr="0033084F">
        <w:t xml:space="preserve"> be removed from the </w:t>
      </w:r>
      <w:r w:rsidR="004B0566">
        <w:t xml:space="preserve">2023 </w:t>
      </w:r>
      <w:r w:rsidR="002D5B48" w:rsidRPr="0033084F">
        <w:t>class licence.</w:t>
      </w:r>
    </w:p>
    <w:p w14:paraId="652D2660" w14:textId="75181D48" w:rsidR="004C2C0B" w:rsidRPr="00246679" w:rsidRDefault="00EF454C" w:rsidP="004C2C0B">
      <w:pPr>
        <w:pStyle w:val="Heading3"/>
      </w:pPr>
      <w:r>
        <w:t>ACMA r</w:t>
      </w:r>
      <w:r w:rsidR="004C2C0B" w:rsidRPr="00246679">
        <w:t>esponse</w:t>
      </w:r>
    </w:p>
    <w:p w14:paraId="10262E15" w14:textId="5EBB2C98" w:rsidR="004C2C0B" w:rsidRPr="00902A4B" w:rsidRDefault="00902A4B" w:rsidP="004C2C0B">
      <w:pPr>
        <w:pStyle w:val="Paragraph"/>
      </w:pPr>
      <w:r w:rsidRPr="00902A4B">
        <w:t>The ACMA notes the u</w:t>
      </w:r>
      <w:r>
        <w:t xml:space="preserve">se cases reported. </w:t>
      </w:r>
    </w:p>
    <w:p w14:paraId="0362859E" w14:textId="77777777" w:rsidR="00F23FE0" w:rsidRPr="009A79A4" w:rsidRDefault="00F23FE0" w:rsidP="00F23FE0">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rsidRPr="009A79A4">
        <w:t>Question 4</w:t>
      </w:r>
    </w:p>
    <w:p w14:paraId="75ACA249" w14:textId="6F841491" w:rsidR="00F23FE0" w:rsidRDefault="00F23FE0" w:rsidP="00F23FE0">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Is the current class licensing model fit</w:t>
      </w:r>
      <w:r w:rsidR="00A633D7">
        <w:t>-</w:t>
      </w:r>
      <w:r>
        <w:t>for</w:t>
      </w:r>
      <w:r w:rsidR="00A633D7">
        <w:t>-</w:t>
      </w:r>
      <w:r>
        <w:t>purpose? Why or why not? How would any interference protection or hybrid class / apparatus licensing arrangements work?</w:t>
      </w:r>
    </w:p>
    <w:p w14:paraId="20908B49" w14:textId="6603F012" w:rsidR="007C41AB" w:rsidRPr="00241A51" w:rsidRDefault="007C41AB" w:rsidP="007C41AB">
      <w:pPr>
        <w:pStyle w:val="Heading3"/>
      </w:pPr>
      <w:r w:rsidRPr="00241A51">
        <w:t xml:space="preserve">Submissions </w:t>
      </w:r>
      <w:proofErr w:type="gramStart"/>
      <w:r w:rsidRPr="00241A51">
        <w:t>received</w:t>
      </w:r>
      <w:proofErr w:type="gramEnd"/>
    </w:p>
    <w:p w14:paraId="2929E37F" w14:textId="4AB51CA1" w:rsidR="00774AF1" w:rsidRPr="00C678ED" w:rsidRDefault="002A1745" w:rsidP="00433D9B">
      <w:pPr>
        <w:pStyle w:val="Paragraph"/>
        <w:rPr>
          <w:b/>
          <w:bCs/>
        </w:rPr>
      </w:pPr>
      <w:r w:rsidRPr="00C678ED">
        <w:t xml:space="preserve">Responses </w:t>
      </w:r>
      <w:r w:rsidR="008800AA" w:rsidRPr="00C678ED">
        <w:t xml:space="preserve">from the PSB sector </w:t>
      </w:r>
      <w:r w:rsidRPr="00C678ED">
        <w:t xml:space="preserve">were </w:t>
      </w:r>
      <w:r w:rsidR="009F271F" w:rsidRPr="00C678ED">
        <w:t xml:space="preserve">mixed on this issue. There was general support for the flexibility afforded by the class licensing model, </w:t>
      </w:r>
      <w:r w:rsidR="005A7C57" w:rsidRPr="00C678ED">
        <w:t>but again</w:t>
      </w:r>
      <w:r w:rsidR="00DF214D">
        <w:t>,</w:t>
      </w:r>
      <w:r w:rsidR="005A7C57" w:rsidRPr="00C678ED">
        <w:t xml:space="preserve"> the issue appointing a band manager to manage access/interference between PSBs was raised. </w:t>
      </w:r>
    </w:p>
    <w:p w14:paraId="0FCCFDD2" w14:textId="391603E6" w:rsidR="00283FD9" w:rsidRPr="00C678ED" w:rsidRDefault="00E82073" w:rsidP="00433D9B">
      <w:pPr>
        <w:pStyle w:val="Paragraph"/>
        <w:rPr>
          <w:b/>
          <w:bCs/>
        </w:rPr>
      </w:pPr>
      <w:r w:rsidRPr="00C678ED">
        <w:t>Some responses were in favour of some apparatus licensing in the band</w:t>
      </w:r>
      <w:r w:rsidR="008D1D3E">
        <w:t>. O</w:t>
      </w:r>
      <w:r w:rsidRPr="00C678ED">
        <w:t>ne</w:t>
      </w:r>
      <w:r w:rsidR="008D1D3E">
        <w:t xml:space="preserve"> respondent favoured</w:t>
      </w:r>
      <w:r w:rsidRPr="00C678ED">
        <w:t xml:space="preserve"> segmentation of the band whereby part of the band could be </w:t>
      </w:r>
      <w:r w:rsidR="00CC750B" w:rsidRPr="00C678ED">
        <w:t>authorised by area-wide apparatus licences (AWLs)</w:t>
      </w:r>
      <w:r w:rsidR="00DF214D">
        <w:t xml:space="preserve">. This would </w:t>
      </w:r>
      <w:r w:rsidR="00CC750B" w:rsidRPr="00C678ED">
        <w:t>enable fixed station deployments of longer than 6 month</w:t>
      </w:r>
      <w:r w:rsidR="000932BE">
        <w:t>s</w:t>
      </w:r>
      <w:r w:rsidR="00CC750B" w:rsidRPr="00C678ED">
        <w:t xml:space="preserve"> duration (see below </w:t>
      </w:r>
      <w:r w:rsidR="006F519F" w:rsidRPr="00C678ED">
        <w:t xml:space="preserve">discussion in response to question 11 </w:t>
      </w:r>
      <w:r w:rsidR="00CC750B" w:rsidRPr="00C678ED">
        <w:t>regarding providing clarity around these matters)</w:t>
      </w:r>
      <w:r w:rsidR="008D1D3E">
        <w:t xml:space="preserve">. Another respondent suggested </w:t>
      </w:r>
      <w:r w:rsidR="006F519F" w:rsidRPr="00C678ED">
        <w:t xml:space="preserve">having a </w:t>
      </w:r>
      <w:r w:rsidR="00A063FC" w:rsidRPr="00C678ED">
        <w:t>state-wide</w:t>
      </w:r>
      <w:r w:rsidR="006F519F" w:rsidRPr="00C678ED">
        <w:t xml:space="preserve"> apparatus licence issued</w:t>
      </w:r>
      <w:r w:rsidR="00A063FC" w:rsidRPr="00C678ED">
        <w:t xml:space="preserve"> to enable a band-management </w:t>
      </w:r>
      <w:r w:rsidR="00255C37" w:rsidRPr="00C678ED">
        <w:t>role in that jurisdiction</w:t>
      </w:r>
      <w:r w:rsidR="008D1D3E">
        <w:t xml:space="preserve"> (this</w:t>
      </w:r>
      <w:r w:rsidR="00255C37" w:rsidRPr="00C678ED">
        <w:t xml:space="preserve"> respondent </w:t>
      </w:r>
      <w:r w:rsidR="008D1D3E">
        <w:t xml:space="preserve">also </w:t>
      </w:r>
      <w:r w:rsidR="00255C37" w:rsidRPr="00C678ED">
        <w:t xml:space="preserve">maintained that class licensing is fit-to-purpose but </w:t>
      </w:r>
      <w:r w:rsidR="008D1D3E">
        <w:t>suggested</w:t>
      </w:r>
      <w:r w:rsidR="00255C37" w:rsidRPr="00C678ED">
        <w:t xml:space="preserve"> the </w:t>
      </w:r>
      <w:r w:rsidR="002D3E6D" w:rsidRPr="00C678ED">
        <w:t xml:space="preserve">management under </w:t>
      </w:r>
      <w:r w:rsidR="008D1D3E">
        <w:t xml:space="preserve">an </w:t>
      </w:r>
      <w:r w:rsidR="002D3E6D" w:rsidRPr="00C678ED">
        <w:t>apparatus licensing</w:t>
      </w:r>
      <w:r w:rsidR="00255C37" w:rsidRPr="00C678ED">
        <w:t xml:space="preserve"> model as a potential </w:t>
      </w:r>
      <w:r w:rsidR="006B328A">
        <w:t>alternative approach to authorisation</w:t>
      </w:r>
      <w:r w:rsidR="008D1D3E">
        <w:t>)</w:t>
      </w:r>
      <w:r w:rsidR="00255C37" w:rsidRPr="00C678ED">
        <w:t>.</w:t>
      </w:r>
    </w:p>
    <w:p w14:paraId="460E98D3" w14:textId="3BD958C7" w:rsidR="00540656" w:rsidRPr="00C678ED" w:rsidRDefault="00283FD9" w:rsidP="00433D9B">
      <w:pPr>
        <w:pStyle w:val="Paragraph"/>
        <w:rPr>
          <w:b/>
          <w:bCs/>
        </w:rPr>
      </w:pPr>
      <w:r w:rsidRPr="00C678ED">
        <w:t>Similarly, responses from the equipment/services provider sector were generally in favour of the existing class licensing model</w:t>
      </w:r>
      <w:r w:rsidR="00582C20">
        <w:t xml:space="preserve">. However, </w:t>
      </w:r>
      <w:r w:rsidRPr="00C678ED">
        <w:t>again</w:t>
      </w:r>
      <w:r w:rsidR="00582C20">
        <w:t>,</w:t>
      </w:r>
      <w:r w:rsidRPr="00C678ED">
        <w:t xml:space="preserve"> some suggested </w:t>
      </w:r>
      <w:r w:rsidR="00B939E1">
        <w:t xml:space="preserve">that </w:t>
      </w:r>
      <w:r w:rsidRPr="00C678ED">
        <w:t xml:space="preserve">a band management function was needed. </w:t>
      </w:r>
      <w:r w:rsidR="00703581" w:rsidRPr="00C678ED">
        <w:t xml:space="preserve">One </w:t>
      </w:r>
      <w:r w:rsidR="00D81720" w:rsidRPr="00C678ED">
        <w:t xml:space="preserve">respondent was in favour of </w:t>
      </w:r>
      <w:r w:rsidR="00610C4D" w:rsidRPr="00C678ED">
        <w:t xml:space="preserve">limiting fixed point-to-point deployments to a maximum </w:t>
      </w:r>
      <w:r w:rsidR="00366103" w:rsidRPr="00C678ED">
        <w:t>6-month</w:t>
      </w:r>
      <w:r w:rsidR="00610C4D" w:rsidRPr="00C678ED">
        <w:t xml:space="preserve"> duration</w:t>
      </w:r>
      <w:r w:rsidR="00F82A53">
        <w:t xml:space="preserve"> under the </w:t>
      </w:r>
      <w:r w:rsidR="000E31B6">
        <w:t xml:space="preserve">2023 </w:t>
      </w:r>
      <w:r w:rsidR="00F82A53">
        <w:t>class licence</w:t>
      </w:r>
      <w:r w:rsidR="00610C4D" w:rsidRPr="00C678ED">
        <w:t>, with the option to apparatus licence longer</w:t>
      </w:r>
      <w:r w:rsidR="00582C20">
        <w:t>-</w:t>
      </w:r>
      <w:r w:rsidR="00610C4D" w:rsidRPr="00C678ED">
        <w:t>term deployments</w:t>
      </w:r>
      <w:r w:rsidR="00582C20">
        <w:t>. A</w:t>
      </w:r>
      <w:r w:rsidR="00610C4D" w:rsidRPr="00C678ED">
        <w:t xml:space="preserve">nother </w:t>
      </w:r>
      <w:r w:rsidR="0029538F" w:rsidRPr="00C678ED">
        <w:t xml:space="preserve">was not in favour of co-frequency apparatus licensing. One respondent noted that the </w:t>
      </w:r>
      <w:r w:rsidR="00CF3374">
        <w:br/>
      </w:r>
      <w:r w:rsidR="0029538F" w:rsidRPr="00C678ED">
        <w:t xml:space="preserve">4.9 GHz band is subject to both international harmonisation through the </w:t>
      </w:r>
      <w:r w:rsidR="000E31B6">
        <w:rPr>
          <w:szCs w:val="20"/>
        </w:rPr>
        <w:t>Radiocommunications Sector of the International Telecommunication Union (</w:t>
      </w:r>
      <w:r w:rsidR="0029538F" w:rsidRPr="00C678ED">
        <w:t>ITU-R</w:t>
      </w:r>
      <w:r w:rsidR="000E31B6">
        <w:t>)</w:t>
      </w:r>
      <w:r w:rsidR="0029538F" w:rsidRPr="00C678ED">
        <w:t xml:space="preserve"> and standardisation through 3GPP</w:t>
      </w:r>
      <w:r w:rsidR="00CF3374">
        <w:t xml:space="preserve">. They </w:t>
      </w:r>
      <w:r w:rsidR="000B509E" w:rsidRPr="00C678ED">
        <w:t>s</w:t>
      </w:r>
      <w:r w:rsidR="00424A25" w:rsidRPr="00C678ED">
        <w:t>uggest</w:t>
      </w:r>
      <w:r w:rsidR="00CF3374">
        <w:t>ed</w:t>
      </w:r>
      <w:r w:rsidR="00424A25" w:rsidRPr="00C678ED">
        <w:t xml:space="preserve"> it would be useful to follow the </w:t>
      </w:r>
      <w:r w:rsidR="000E31B6">
        <w:t>United States’ Federal Communications Commission</w:t>
      </w:r>
      <w:r w:rsidR="00B939E1">
        <w:t>’s</w:t>
      </w:r>
      <w:r w:rsidR="006C0620">
        <w:t xml:space="preserve"> </w:t>
      </w:r>
      <w:r w:rsidR="00424A25" w:rsidRPr="00C678ED">
        <w:t>example of enabling the use of 3GPP-based technologies</w:t>
      </w:r>
      <w:r w:rsidR="00E47452" w:rsidRPr="00C678ED">
        <w:t xml:space="preserve"> (this relates more to the following questions).</w:t>
      </w:r>
    </w:p>
    <w:p w14:paraId="14AFA531" w14:textId="70E61709" w:rsidR="009A629E" w:rsidRDefault="00EF454C" w:rsidP="009A629E">
      <w:pPr>
        <w:pStyle w:val="Heading3"/>
      </w:pPr>
      <w:r>
        <w:t>ACMA response</w:t>
      </w:r>
    </w:p>
    <w:p w14:paraId="690A0D99" w14:textId="5D471FE5" w:rsidR="00C678ED" w:rsidRPr="00433D9B" w:rsidRDefault="00A8318C" w:rsidP="00433D9B">
      <w:pPr>
        <w:pStyle w:val="Paragraph"/>
      </w:pPr>
      <w:r w:rsidRPr="00433D9B">
        <w:t xml:space="preserve">At this stage, the only </w:t>
      </w:r>
      <w:r w:rsidR="000932BE" w:rsidRPr="00433D9B">
        <w:t xml:space="preserve">case </w:t>
      </w:r>
      <w:r w:rsidRPr="00433D9B">
        <w:t xml:space="preserve">envisaged for apparatus licensing in the band is to support </w:t>
      </w:r>
      <w:r w:rsidR="00B939E1">
        <w:t xml:space="preserve">reasonable </w:t>
      </w:r>
      <w:r w:rsidRPr="00433D9B">
        <w:t xml:space="preserve">use cases that the </w:t>
      </w:r>
      <w:r w:rsidR="000E31B6">
        <w:t xml:space="preserve">2023 </w:t>
      </w:r>
      <w:r w:rsidRPr="00433D9B">
        <w:t xml:space="preserve">class licence cannot support, such as </w:t>
      </w:r>
      <w:r w:rsidR="00006F20" w:rsidRPr="00433D9B">
        <w:t xml:space="preserve">fixed point-to-point link deployments of longer than </w:t>
      </w:r>
      <w:r w:rsidR="00366103" w:rsidRPr="00433D9B">
        <w:t>6-month</w:t>
      </w:r>
      <w:r w:rsidR="00006F20" w:rsidRPr="00433D9B">
        <w:t xml:space="preserve"> duration. This is necessarily on a </w:t>
      </w:r>
      <w:r w:rsidR="004A3168">
        <w:t>‘</w:t>
      </w:r>
      <w:r w:rsidR="00006F20" w:rsidRPr="00433D9B">
        <w:t>by exception</w:t>
      </w:r>
      <w:r w:rsidR="004A3168">
        <w:t>’</w:t>
      </w:r>
      <w:r w:rsidR="00006F20" w:rsidRPr="00433D9B">
        <w:t xml:space="preserve"> basis as to not degrade the utility of operations in the band under the </w:t>
      </w:r>
      <w:r w:rsidR="000E31B6">
        <w:t xml:space="preserve">2023 </w:t>
      </w:r>
      <w:r w:rsidR="00006F20" w:rsidRPr="00433D9B">
        <w:t>class licence</w:t>
      </w:r>
      <w:r w:rsidR="00381225" w:rsidRPr="00433D9B">
        <w:t xml:space="preserve"> that might result from excess</w:t>
      </w:r>
      <w:r w:rsidR="009B698D" w:rsidRPr="00433D9B">
        <w:t>ive</w:t>
      </w:r>
      <w:r w:rsidR="00381225" w:rsidRPr="00433D9B">
        <w:t xml:space="preserve"> co-frequency apparatus licences</w:t>
      </w:r>
      <w:r w:rsidR="009B698D" w:rsidRPr="00433D9B">
        <w:t xml:space="preserve"> being issued.</w:t>
      </w:r>
    </w:p>
    <w:p w14:paraId="2FC5E8AF" w14:textId="65130724" w:rsidR="00930204" w:rsidRPr="00433D9B" w:rsidRDefault="00930204" w:rsidP="00433D9B">
      <w:pPr>
        <w:pStyle w:val="Paragraph"/>
      </w:pPr>
      <w:r w:rsidRPr="00433D9B">
        <w:t xml:space="preserve">The proposal to </w:t>
      </w:r>
      <w:r w:rsidR="00E512A9" w:rsidRPr="00433D9B">
        <w:t>allocate</w:t>
      </w:r>
      <w:r w:rsidRPr="00433D9B">
        <w:t xml:space="preserve"> jurisdiction-wide apparatus licences </w:t>
      </w:r>
      <w:r w:rsidR="00E512A9" w:rsidRPr="00433D9B">
        <w:t xml:space="preserve">to a band manager would be an </w:t>
      </w:r>
      <w:r w:rsidR="004A3168">
        <w:t>‘</w:t>
      </w:r>
      <w:r w:rsidR="00E512A9" w:rsidRPr="00433D9B">
        <w:t>either/or</w:t>
      </w:r>
      <w:r w:rsidR="004A3168">
        <w:t>’</w:t>
      </w:r>
      <w:r w:rsidR="00E512A9" w:rsidRPr="00433D9B">
        <w:t xml:space="preserve"> proposition</w:t>
      </w:r>
      <w:r w:rsidR="00335273" w:rsidRPr="00433D9B">
        <w:t xml:space="preserve">, in that it would be difficult to envisage how such an arrangement could co-exist with the </w:t>
      </w:r>
      <w:r w:rsidR="000E31B6">
        <w:t xml:space="preserve">2023 </w:t>
      </w:r>
      <w:r w:rsidR="00335273" w:rsidRPr="00433D9B">
        <w:t xml:space="preserve">class licence in that jurisdiction. </w:t>
      </w:r>
      <w:r w:rsidR="00920F14" w:rsidRPr="00433D9B">
        <w:t xml:space="preserve">This model </w:t>
      </w:r>
      <w:r w:rsidR="00335273" w:rsidRPr="00433D9B">
        <w:t xml:space="preserve">was proposed as an extension to the proposal (discussed in the response to </w:t>
      </w:r>
      <w:r w:rsidR="00472386">
        <w:br/>
      </w:r>
      <w:r w:rsidR="00335273" w:rsidRPr="00433D9B">
        <w:t xml:space="preserve">Question 2) to appoint a </w:t>
      </w:r>
      <w:r w:rsidR="00C916D5" w:rsidRPr="00433D9B">
        <w:t xml:space="preserve">jurisdiction-wide </w:t>
      </w:r>
      <w:r w:rsidR="00335273" w:rsidRPr="00433D9B">
        <w:t>band manager</w:t>
      </w:r>
      <w:r w:rsidR="00366103">
        <w:t>. The ACMA does not consider the apparatus licensing proposal necessary</w:t>
      </w:r>
      <w:r w:rsidR="006C0620">
        <w:t xml:space="preserve"> </w:t>
      </w:r>
      <w:r w:rsidR="00070B4D" w:rsidRPr="00433D9B">
        <w:t xml:space="preserve">if the </w:t>
      </w:r>
      <w:r w:rsidR="000E31B6">
        <w:t xml:space="preserve">2023 </w:t>
      </w:r>
      <w:r w:rsidR="00070B4D" w:rsidRPr="00433D9B">
        <w:t xml:space="preserve">class licence was </w:t>
      </w:r>
      <w:r w:rsidR="00366103">
        <w:t xml:space="preserve">to </w:t>
      </w:r>
      <w:r w:rsidR="00366103">
        <w:lastRenderedPageBreak/>
        <w:t xml:space="preserve">be </w:t>
      </w:r>
      <w:r w:rsidR="00070B4D" w:rsidRPr="00433D9B">
        <w:t>amended to mandate</w:t>
      </w:r>
      <w:r w:rsidR="001A1D77" w:rsidRPr="00433D9B">
        <w:t xml:space="preserve"> frequency assignment through that (hypothetical) band manager</w:t>
      </w:r>
      <w:r w:rsidR="000369F4" w:rsidRPr="00433D9B">
        <w:t xml:space="preserve">. </w:t>
      </w:r>
      <w:r w:rsidR="00472386">
        <w:t>T</w:t>
      </w:r>
      <w:r w:rsidR="001A1D77" w:rsidRPr="00433D9B">
        <w:t xml:space="preserve">he end state would be the same: the band manager is essentially the licensee who controls/coordinates access by PSBs within their </w:t>
      </w:r>
      <w:r w:rsidR="00BB41E3" w:rsidRPr="00433D9B">
        <w:t xml:space="preserve">jurisdiction, regardless of the authorisation mechanism. Moving to apparatus licensing for this purpose would be a </w:t>
      </w:r>
      <w:r w:rsidR="005C3744" w:rsidRPr="00433D9B">
        <w:t>big step given the general agreement that the class licensing model is fit</w:t>
      </w:r>
      <w:r w:rsidR="00A633D7">
        <w:t>-</w:t>
      </w:r>
      <w:r w:rsidR="005C3744" w:rsidRPr="00433D9B">
        <w:t>for</w:t>
      </w:r>
      <w:r w:rsidR="00A633D7">
        <w:t>-</w:t>
      </w:r>
      <w:r w:rsidR="005C3744" w:rsidRPr="00433D9B">
        <w:t xml:space="preserve">purpose (either in its current form or to give effect to a future, hypothetical band management function). </w:t>
      </w:r>
      <w:r w:rsidR="000E31B6" w:rsidRPr="007371EB">
        <w:t>The ACMA does not consider apparatus licensing to be an appropriate alternative given the general agreement that the class licensing model remains fit</w:t>
      </w:r>
      <w:r w:rsidR="00A633D7">
        <w:t>-</w:t>
      </w:r>
      <w:r w:rsidR="000E31B6" w:rsidRPr="007371EB">
        <w:t>for</w:t>
      </w:r>
      <w:r w:rsidR="00A633D7">
        <w:t>-</w:t>
      </w:r>
      <w:r w:rsidR="000E31B6" w:rsidRPr="007371EB">
        <w:t xml:space="preserve">purpose, affords the necessary flexibility to support public safety </w:t>
      </w:r>
      <w:r w:rsidR="00456308">
        <w:br/>
      </w:r>
      <w:r w:rsidR="000E31B6" w:rsidRPr="007371EB">
        <w:t>and emergency response operations, and does not involve the payment of any taxes or charges.</w:t>
      </w:r>
    </w:p>
    <w:p w14:paraId="47C70810" w14:textId="77777777" w:rsidR="009614CA" w:rsidRPr="00433D9B" w:rsidRDefault="009614CA" w:rsidP="00433D9B">
      <w:pPr>
        <w:pStyle w:val="Paragraph"/>
      </w:pPr>
      <w:r w:rsidRPr="00433D9B">
        <w:t>See response to Question 2 regarding appointment of a band manager.</w:t>
      </w:r>
    </w:p>
    <w:p w14:paraId="1DB7CB6C" w14:textId="77777777" w:rsidR="001A4381" w:rsidRDefault="001A4381" w:rsidP="001A4381">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6" w:name="_Toc117072413"/>
      <w:bookmarkEnd w:id="5"/>
      <w:r>
        <w:t>Question 5</w:t>
      </w:r>
    </w:p>
    <w:p w14:paraId="2F03A2E9" w14:textId="77777777" w:rsidR="001A4381" w:rsidRDefault="001A4381" w:rsidP="001A4381">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Should specific provisions for cellular mobile technologies be included in the class licence? Why or why not?</w:t>
      </w:r>
    </w:p>
    <w:p w14:paraId="642C3AE4" w14:textId="77777777" w:rsidR="00F34AFA" w:rsidRPr="00A83B5D" w:rsidRDefault="00F34AFA" w:rsidP="00F34AFA">
      <w:pPr>
        <w:pStyle w:val="Heading3"/>
      </w:pPr>
      <w:r w:rsidRPr="00A83B5D">
        <w:t xml:space="preserve">Submissions </w:t>
      </w:r>
      <w:proofErr w:type="gramStart"/>
      <w:r w:rsidRPr="00A83B5D">
        <w:t>received</w:t>
      </w:r>
      <w:proofErr w:type="gramEnd"/>
    </w:p>
    <w:p w14:paraId="758E8611" w14:textId="60BE14AF" w:rsidR="00D25EFA" w:rsidRPr="00433D9B" w:rsidRDefault="00342EE6" w:rsidP="00433D9B">
      <w:pPr>
        <w:pStyle w:val="Paragraph"/>
      </w:pPr>
      <w:r w:rsidRPr="00433D9B">
        <w:t xml:space="preserve">PSB </w:t>
      </w:r>
      <w:r w:rsidR="000E31B6">
        <w:t xml:space="preserve">sector </w:t>
      </w:r>
      <w:r w:rsidRPr="00433D9B">
        <w:t xml:space="preserve">responses </w:t>
      </w:r>
      <w:r w:rsidR="004D2585" w:rsidRPr="00433D9B">
        <w:t>not</w:t>
      </w:r>
      <w:r w:rsidR="004D2585">
        <w:t>ed</w:t>
      </w:r>
      <w:r w:rsidR="004D2585" w:rsidRPr="00433D9B">
        <w:t xml:space="preserve"> </w:t>
      </w:r>
      <w:r w:rsidRPr="00433D9B">
        <w:t>the potential benefits of cellular mobile technologies for PSB operation</w:t>
      </w:r>
      <w:r w:rsidR="00D06EC6" w:rsidRPr="00433D9B">
        <w:t>s</w:t>
      </w:r>
      <w:r w:rsidR="00603458">
        <w:t xml:space="preserve">. However, </w:t>
      </w:r>
      <w:r w:rsidR="00544221" w:rsidRPr="00433D9B">
        <w:t xml:space="preserve">one respondent cautioned </w:t>
      </w:r>
      <w:r w:rsidRPr="00433D9B">
        <w:t xml:space="preserve">that </w:t>
      </w:r>
      <w:r w:rsidR="00A30916" w:rsidRPr="00433D9B">
        <w:t xml:space="preserve">facilitating them should not come at the cost of additional interference/access degradation to other PSB use. </w:t>
      </w:r>
      <w:r w:rsidR="00F51A66" w:rsidRPr="00433D9B">
        <w:t>The need for t</w:t>
      </w:r>
      <w:r w:rsidR="001E5BA2" w:rsidRPr="00433D9B">
        <w:t>echnology neutrality (which is the intent of the proposal, noting the retention of the e</w:t>
      </w:r>
      <w:r w:rsidR="000E31B6">
        <w:t>stablished</w:t>
      </w:r>
      <w:r w:rsidR="001E5BA2" w:rsidRPr="00433D9B">
        <w:t xml:space="preserve"> provisions) and </w:t>
      </w:r>
      <w:r w:rsidR="00F51A66" w:rsidRPr="00433D9B">
        <w:t>limiting cellular use to PSBs (also the intent of the proposal) w</w:t>
      </w:r>
      <w:r w:rsidR="004D2585">
        <w:t>as</w:t>
      </w:r>
      <w:r w:rsidR="00F51A66" w:rsidRPr="00433D9B">
        <w:t xml:space="preserve"> also </w:t>
      </w:r>
      <w:r w:rsidR="004D2585">
        <w:t>stated by submitters</w:t>
      </w:r>
      <w:r w:rsidR="00F51A66" w:rsidRPr="00433D9B">
        <w:t xml:space="preserve">. </w:t>
      </w:r>
    </w:p>
    <w:p w14:paraId="5522BC70" w14:textId="6BD4953B" w:rsidR="00FF4FC1" w:rsidRPr="00433D9B" w:rsidRDefault="00FF4FC1" w:rsidP="00433D9B">
      <w:pPr>
        <w:pStyle w:val="Paragraph"/>
      </w:pPr>
      <w:r w:rsidRPr="00433D9B">
        <w:t xml:space="preserve">Most equipment/services provider </w:t>
      </w:r>
      <w:r w:rsidR="000E31B6">
        <w:t xml:space="preserve">sector </w:t>
      </w:r>
      <w:r w:rsidRPr="00433D9B">
        <w:t xml:space="preserve">responses were supportive of the proposal, with some </w:t>
      </w:r>
      <w:r w:rsidR="00430362" w:rsidRPr="00433D9B">
        <w:t xml:space="preserve">reiterating the need for it to be accompanied </w:t>
      </w:r>
      <w:r w:rsidR="00B939E1">
        <w:t>by</w:t>
      </w:r>
      <w:r w:rsidR="00430362" w:rsidRPr="00433D9B">
        <w:t xml:space="preserve"> some form of centralised </w:t>
      </w:r>
      <w:r w:rsidR="00455189" w:rsidRPr="00433D9B">
        <w:t>band management function</w:t>
      </w:r>
      <w:r w:rsidR="00C25AC6">
        <w:t>. One c</w:t>
      </w:r>
      <w:r w:rsidR="00786D0F" w:rsidRPr="00433D9B">
        <w:t>aution</w:t>
      </w:r>
      <w:r w:rsidR="00C25AC6">
        <w:t>ed</w:t>
      </w:r>
      <w:r w:rsidR="00786D0F" w:rsidRPr="00433D9B">
        <w:t xml:space="preserve"> that it should not come at the cost of technology neutrality. </w:t>
      </w:r>
      <w:r w:rsidR="00C25AC6">
        <w:t>Another</w:t>
      </w:r>
      <w:r w:rsidR="00C25AC6" w:rsidRPr="00433D9B">
        <w:t xml:space="preserve"> </w:t>
      </w:r>
      <w:r w:rsidR="00945E5D" w:rsidRPr="00433D9B">
        <w:t xml:space="preserve">respondent that </w:t>
      </w:r>
      <w:r w:rsidR="008967DA" w:rsidRPr="00433D9B">
        <w:t>provide</w:t>
      </w:r>
      <w:r w:rsidR="008967DA">
        <w:t xml:space="preserve">d </w:t>
      </w:r>
      <w:r w:rsidR="00945E5D" w:rsidRPr="00433D9B">
        <w:t>an alternative</w:t>
      </w:r>
      <w:r w:rsidR="000A19E3" w:rsidRPr="00433D9B">
        <w:t xml:space="preserve"> solution questioned the benefits of cellular mobile technologies and further suggested that there should be a 25 MHz bandwidth limit on devices operating in the 4.9 GHz band.</w:t>
      </w:r>
    </w:p>
    <w:p w14:paraId="0DE7BB8C" w14:textId="49EE4D07" w:rsidR="00F34AFA" w:rsidRPr="00BA24A6" w:rsidRDefault="00EF454C" w:rsidP="00F34AFA">
      <w:pPr>
        <w:pStyle w:val="Heading3"/>
      </w:pPr>
      <w:r>
        <w:t>ACMA response</w:t>
      </w:r>
    </w:p>
    <w:p w14:paraId="337BBFAF" w14:textId="3BC11DBE" w:rsidR="00015C53" w:rsidRPr="00433D9B" w:rsidRDefault="00D06EC6" w:rsidP="00433D9B">
      <w:pPr>
        <w:pStyle w:val="Paragraph"/>
      </w:pPr>
      <w:r w:rsidRPr="00433D9B">
        <w:t>Regarding technology</w:t>
      </w:r>
      <w:r w:rsidR="00715EEF" w:rsidRPr="00433D9B">
        <w:t xml:space="preserve"> flexibility</w:t>
      </w:r>
      <w:r w:rsidRPr="00433D9B">
        <w:t xml:space="preserve">, </w:t>
      </w:r>
      <w:r w:rsidR="00C25AC6">
        <w:t>we</w:t>
      </w:r>
      <w:r w:rsidR="009A55E8">
        <w:t xml:space="preserve"> consider that </w:t>
      </w:r>
      <w:r w:rsidR="00B939E1">
        <w:t xml:space="preserve">such </w:t>
      </w:r>
      <w:r w:rsidR="009A55E8">
        <w:t xml:space="preserve">flexibility is </w:t>
      </w:r>
      <w:r w:rsidR="00B939E1">
        <w:t>facilitated</w:t>
      </w:r>
      <w:r w:rsidR="009A55E8">
        <w:t xml:space="preserve"> by </w:t>
      </w:r>
      <w:r w:rsidRPr="00433D9B">
        <w:t>retain</w:t>
      </w:r>
      <w:r w:rsidR="009A55E8">
        <w:t>ing</w:t>
      </w:r>
      <w:r w:rsidRPr="00433D9B">
        <w:t xml:space="preserve"> the e</w:t>
      </w:r>
      <w:r w:rsidR="009A55E8">
        <w:t>stablished</w:t>
      </w:r>
      <w:r w:rsidRPr="00433D9B">
        <w:t>, more general provisions</w:t>
      </w:r>
      <w:r w:rsidR="00354860" w:rsidRPr="00433D9B">
        <w:t xml:space="preserve"> alongside the proposed new provisions</w:t>
      </w:r>
      <w:r w:rsidR="00C25AC6">
        <w:t xml:space="preserve">. This </w:t>
      </w:r>
      <w:r w:rsidR="009A55E8">
        <w:t>allow</w:t>
      </w:r>
      <w:r w:rsidR="00C25AC6">
        <w:t>s</w:t>
      </w:r>
      <w:r w:rsidR="009A55E8">
        <w:t xml:space="preserve"> </w:t>
      </w:r>
      <w:r w:rsidR="00354860" w:rsidRPr="00433D9B">
        <w:t>for cellular mobile technologies</w:t>
      </w:r>
      <w:r w:rsidR="009A55E8">
        <w:t xml:space="preserve"> which otherwise </w:t>
      </w:r>
      <w:r w:rsidR="00C25AC6">
        <w:t xml:space="preserve">do </w:t>
      </w:r>
      <w:r w:rsidR="009A55E8">
        <w:t>not fit neatly within the general provisions</w:t>
      </w:r>
      <w:r w:rsidR="00354860" w:rsidRPr="00433D9B">
        <w:t xml:space="preserve">. </w:t>
      </w:r>
    </w:p>
    <w:p w14:paraId="5F4296DE" w14:textId="224410BB" w:rsidR="000A6D07" w:rsidRDefault="00015C53" w:rsidP="00433D9B">
      <w:pPr>
        <w:pStyle w:val="Paragraph"/>
      </w:pPr>
      <w:r w:rsidRPr="00433D9B">
        <w:t xml:space="preserve">Concerns </w:t>
      </w:r>
      <w:r w:rsidR="00870C64" w:rsidRPr="00433D9B">
        <w:t xml:space="preserve">around degradation of the band for other uses resulting from </w:t>
      </w:r>
      <w:r w:rsidR="00CF503A" w:rsidRPr="00433D9B">
        <w:t xml:space="preserve">cellular deployments </w:t>
      </w:r>
      <w:r w:rsidR="00A00CA9" w:rsidRPr="00433D9B">
        <w:t xml:space="preserve">are </w:t>
      </w:r>
      <w:r w:rsidR="004D2585">
        <w:t xml:space="preserve">only likely to arise where </w:t>
      </w:r>
      <w:r w:rsidR="009961F0" w:rsidRPr="00433D9B">
        <w:t xml:space="preserve">networks of significant scale </w:t>
      </w:r>
      <w:r w:rsidR="004D2585">
        <w:t>are deployed</w:t>
      </w:r>
      <w:r w:rsidR="00B939E1">
        <w:t>,</w:t>
      </w:r>
      <w:r w:rsidR="004D2585">
        <w:t xml:space="preserve"> </w:t>
      </w:r>
      <w:r w:rsidR="009961F0" w:rsidRPr="00433D9B">
        <w:t>using</w:t>
      </w:r>
      <w:r w:rsidR="004F01C2" w:rsidRPr="00433D9B">
        <w:t xml:space="preserve"> large parts of the band without communicating/coordinating with other PSBs operating in the area. </w:t>
      </w:r>
      <w:r w:rsidR="00C25AC6">
        <w:t xml:space="preserve">We </w:t>
      </w:r>
      <w:r w:rsidR="004D2585">
        <w:t xml:space="preserve">remain of the view that </w:t>
      </w:r>
      <w:r w:rsidR="00BF0BCA" w:rsidRPr="00433D9B">
        <w:t>coordination between PSB operations in the 4.9 GHz band</w:t>
      </w:r>
      <w:r w:rsidR="004D2585">
        <w:t xml:space="preserve"> should continue</w:t>
      </w:r>
      <w:r w:rsidR="00BF0BCA" w:rsidRPr="00433D9B">
        <w:t xml:space="preserve">. </w:t>
      </w:r>
      <w:r w:rsidR="009F1D28" w:rsidRPr="00433D9B">
        <w:t>The decision to deploy one technology or another sits with authorised bodies</w:t>
      </w:r>
      <w:r w:rsidR="00C25AC6">
        <w:t xml:space="preserve">. There </w:t>
      </w:r>
      <w:r w:rsidR="009F1D28" w:rsidRPr="00433D9B">
        <w:t xml:space="preserve">is </w:t>
      </w:r>
      <w:r w:rsidR="00ED05E3" w:rsidRPr="00433D9B">
        <w:t xml:space="preserve">always scope for </w:t>
      </w:r>
      <w:r w:rsidR="00685752" w:rsidRPr="00433D9B">
        <w:t xml:space="preserve">mutually beneficial arrangements such as asset/network sharing </w:t>
      </w:r>
      <w:r w:rsidR="00FA0A5B" w:rsidRPr="00433D9B">
        <w:t>if PSBs do in fact cooperate with one another</w:t>
      </w:r>
      <w:r w:rsidR="000A6D07">
        <w:t xml:space="preserve">. </w:t>
      </w:r>
    </w:p>
    <w:p w14:paraId="28D4B67A" w14:textId="2842AA9B" w:rsidR="00BF0BCA" w:rsidRPr="00433D9B" w:rsidRDefault="000A6D07" w:rsidP="00433D9B">
      <w:pPr>
        <w:pStyle w:val="Paragraph"/>
      </w:pPr>
      <w:r>
        <w:t>T</w:t>
      </w:r>
      <w:r w:rsidR="00FA0A5B" w:rsidRPr="00433D9B">
        <w:t>hese are matters for emergency management authorities</w:t>
      </w:r>
      <w:r>
        <w:t>,</w:t>
      </w:r>
      <w:r w:rsidR="00FA0A5B" w:rsidRPr="00433D9B">
        <w:t xml:space="preserve"> rather than the ACMA.</w:t>
      </w:r>
    </w:p>
    <w:p w14:paraId="496406FB" w14:textId="77B532E0" w:rsidR="000C7E19" w:rsidRPr="00433D9B" w:rsidRDefault="004D2585" w:rsidP="00433D9B">
      <w:pPr>
        <w:pStyle w:val="Paragraph"/>
      </w:pPr>
      <w:r>
        <w:t>T</w:t>
      </w:r>
      <w:r w:rsidR="00770965" w:rsidRPr="00433D9B">
        <w:t>here was broad support for the proposed new provisions in responses</w:t>
      </w:r>
      <w:r w:rsidR="000C7E19" w:rsidRPr="00433D9B">
        <w:t xml:space="preserve">, </w:t>
      </w:r>
      <w:r w:rsidR="00CA5FC0" w:rsidRPr="00433D9B">
        <w:t>and</w:t>
      </w:r>
      <w:r w:rsidR="000C7E19" w:rsidRPr="00433D9B">
        <w:t xml:space="preserve"> </w:t>
      </w:r>
      <w:r w:rsidR="000A6D07">
        <w:t>we</w:t>
      </w:r>
      <w:r w:rsidR="000C7E19" w:rsidRPr="00433D9B">
        <w:t xml:space="preserve"> intend to implement them as proposed. </w:t>
      </w:r>
    </w:p>
    <w:p w14:paraId="143F8F9D" w14:textId="726936B1" w:rsidR="00514C82" w:rsidRPr="00433D9B" w:rsidRDefault="00514C82" w:rsidP="00433D9B">
      <w:pPr>
        <w:pStyle w:val="Paragraph"/>
      </w:pPr>
      <w:r w:rsidRPr="00433D9B">
        <w:t>See response to Question 2 regarding appointment of a band manager.</w:t>
      </w:r>
    </w:p>
    <w:p w14:paraId="09C2CC9D" w14:textId="77777777" w:rsidR="00D57E84" w:rsidRDefault="00D57E84" w:rsidP="00D57E84">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Question 6</w:t>
      </w:r>
    </w:p>
    <w:p w14:paraId="11305B4F" w14:textId="103DF128" w:rsidR="00D57E84" w:rsidRDefault="00D57E84" w:rsidP="00D57E84">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Are the proposed emission mask, power limit and </w:t>
      </w:r>
      <w:r w:rsidR="009A55E8">
        <w:t>equivalent isot</w:t>
      </w:r>
      <w:r w:rsidR="00B939E1">
        <w:t>r</w:t>
      </w:r>
      <w:r w:rsidR="009A55E8">
        <w:t>opically radiated power (</w:t>
      </w:r>
      <w:r>
        <w:t>EIRP</w:t>
      </w:r>
      <w:r w:rsidR="009A55E8">
        <w:t>)</w:t>
      </w:r>
      <w:r>
        <w:t xml:space="preserve"> limit for cellular mobile BS appropriate? Does emission mask P, in conjunction with other proposed measures, sufficiently mitigate the risk of adjacent channel interference to other devices authorised under the class licence?</w:t>
      </w:r>
    </w:p>
    <w:p w14:paraId="2DD3CD49" w14:textId="77777777" w:rsidR="00DF687B" w:rsidRPr="00A83B5D" w:rsidRDefault="00DF687B" w:rsidP="00DF687B">
      <w:pPr>
        <w:pStyle w:val="Heading3"/>
      </w:pPr>
      <w:r w:rsidRPr="00A83B5D">
        <w:t xml:space="preserve">Submissions </w:t>
      </w:r>
      <w:proofErr w:type="gramStart"/>
      <w:r w:rsidRPr="00A83B5D">
        <w:t>received</w:t>
      </w:r>
      <w:proofErr w:type="gramEnd"/>
    </w:p>
    <w:p w14:paraId="7A9581E9" w14:textId="54F6F0A2" w:rsidR="008E2449" w:rsidRPr="00433D9B" w:rsidRDefault="00612CD7" w:rsidP="00433D9B">
      <w:pPr>
        <w:pStyle w:val="Paragraph"/>
      </w:pPr>
      <w:r w:rsidRPr="00433D9B">
        <w:t xml:space="preserve">PSB </w:t>
      </w:r>
      <w:r w:rsidR="009A55E8">
        <w:t xml:space="preserve">sector </w:t>
      </w:r>
      <w:r w:rsidRPr="00433D9B">
        <w:t xml:space="preserve">responses were </w:t>
      </w:r>
      <w:r w:rsidR="004D2585">
        <w:t>varied</w:t>
      </w:r>
      <w:r w:rsidR="00F24169" w:rsidRPr="00433D9B">
        <w:t>, ranging from a desire to limit operation to the existing emission masks</w:t>
      </w:r>
      <w:r w:rsidR="00634908" w:rsidRPr="00433D9B">
        <w:t xml:space="preserve">, power limits and EIRPs, to </w:t>
      </w:r>
      <w:r w:rsidR="004D2585">
        <w:t>proposing relaxation of conditions</w:t>
      </w:r>
      <w:r w:rsidR="00634908" w:rsidRPr="00433D9B">
        <w:t xml:space="preserve"> to align with 3GPP standards</w:t>
      </w:r>
      <w:r w:rsidR="007033B9">
        <w:t xml:space="preserve">. This </w:t>
      </w:r>
      <w:r w:rsidR="00634908" w:rsidRPr="00433D9B">
        <w:t xml:space="preserve">is generally proposed, albeit with EIRP limited to reflect a ‘medium’ coverage model. </w:t>
      </w:r>
      <w:r w:rsidR="004D2585">
        <w:t xml:space="preserve">A range of </w:t>
      </w:r>
      <w:r w:rsidR="00E810B4" w:rsidRPr="00433D9B">
        <w:t xml:space="preserve">responses </w:t>
      </w:r>
      <w:r w:rsidR="000555B9" w:rsidRPr="00433D9B">
        <w:t xml:space="preserve">was </w:t>
      </w:r>
      <w:r w:rsidR="004D2585">
        <w:t xml:space="preserve">also </w:t>
      </w:r>
      <w:r w:rsidR="000555B9" w:rsidRPr="00433D9B">
        <w:t xml:space="preserve">observed from equipment/services provider </w:t>
      </w:r>
      <w:r w:rsidR="009A55E8">
        <w:t xml:space="preserve">sector </w:t>
      </w:r>
      <w:r w:rsidR="000555B9" w:rsidRPr="00433D9B">
        <w:t>responses</w:t>
      </w:r>
      <w:r w:rsidR="00E810B4" w:rsidRPr="00433D9B">
        <w:t>, although responses in favour of retaining existing provisions were</w:t>
      </w:r>
      <w:r w:rsidR="00E35EE7" w:rsidRPr="00433D9B">
        <w:t xml:space="preserve"> from providers that are compliant with the existing arrangements. </w:t>
      </w:r>
    </w:p>
    <w:p w14:paraId="3177277D" w14:textId="124B37E4" w:rsidR="00DF687B" w:rsidRPr="00433D9B" w:rsidRDefault="004D2585" w:rsidP="00433D9B">
      <w:pPr>
        <w:pStyle w:val="Paragraph"/>
      </w:pPr>
      <w:r>
        <w:t>O</w:t>
      </w:r>
      <w:r w:rsidR="00E35EE7" w:rsidRPr="00433D9B">
        <w:t>ne submission</w:t>
      </w:r>
      <w:r w:rsidR="00870992" w:rsidRPr="00433D9B">
        <w:t xml:space="preserve"> from the equipment/services provider sector</w:t>
      </w:r>
      <w:r w:rsidR="00E35EE7" w:rsidRPr="00433D9B">
        <w:t xml:space="preserve"> su</w:t>
      </w:r>
      <w:r w:rsidR="00870992" w:rsidRPr="00433D9B">
        <w:t xml:space="preserve">ggested band management would be needed to </w:t>
      </w:r>
      <w:r w:rsidR="009B1EB6" w:rsidRPr="00433D9B">
        <w:t xml:space="preserve">manage interference that might result from the proposed new arrangements. </w:t>
      </w:r>
    </w:p>
    <w:p w14:paraId="4332A234" w14:textId="77777777" w:rsidR="00DF687B" w:rsidRPr="00BA24A6" w:rsidRDefault="00DF687B" w:rsidP="00DF687B">
      <w:pPr>
        <w:pStyle w:val="Heading3"/>
      </w:pPr>
      <w:r>
        <w:t>ACMA response</w:t>
      </w:r>
    </w:p>
    <w:p w14:paraId="20E4A034" w14:textId="59BEDA73" w:rsidR="00C974BF" w:rsidRPr="00433D9B" w:rsidRDefault="004D2585" w:rsidP="00433D9B">
      <w:pPr>
        <w:pStyle w:val="Paragraph"/>
      </w:pPr>
      <w:r>
        <w:t>T</w:t>
      </w:r>
      <w:r w:rsidR="00177166" w:rsidRPr="00433D9B">
        <w:t xml:space="preserve">he ACMA </w:t>
      </w:r>
      <w:r w:rsidR="00BE4C0A" w:rsidRPr="00433D9B">
        <w:t xml:space="preserve">sees merit in proceeding with the proposed inclusion of cellular mobile </w:t>
      </w:r>
      <w:r w:rsidR="00C265A9" w:rsidRPr="00433D9B">
        <w:t xml:space="preserve">provisions in the </w:t>
      </w:r>
      <w:r w:rsidR="009A55E8">
        <w:t xml:space="preserve">2023 </w:t>
      </w:r>
      <w:r w:rsidR="00C265A9" w:rsidRPr="00433D9B">
        <w:t xml:space="preserve">class licence. </w:t>
      </w:r>
      <w:r w:rsidR="00EF5AA2" w:rsidRPr="00433D9B">
        <w:t xml:space="preserve">Part of giving effect to that is </w:t>
      </w:r>
      <w:r w:rsidR="00D12BBD" w:rsidRPr="00433D9B">
        <w:t xml:space="preserve">ensuring </w:t>
      </w:r>
      <w:r w:rsidR="00276413" w:rsidRPr="00433D9B">
        <w:t xml:space="preserve">that </w:t>
      </w:r>
      <w:r w:rsidR="00D12BBD" w:rsidRPr="00433D9B">
        <w:t xml:space="preserve">the </w:t>
      </w:r>
      <w:r w:rsidR="00A369F5" w:rsidRPr="00433D9B">
        <w:t xml:space="preserve">parametric limits set out in the </w:t>
      </w:r>
      <w:r w:rsidR="009A55E8">
        <w:t xml:space="preserve">2023 </w:t>
      </w:r>
      <w:r w:rsidR="00A369F5" w:rsidRPr="00433D9B">
        <w:t xml:space="preserve">class licence would </w:t>
      </w:r>
      <w:r w:rsidR="00276413" w:rsidRPr="00433D9B">
        <w:t>enable</w:t>
      </w:r>
      <w:r w:rsidR="00A369F5" w:rsidRPr="00433D9B">
        <w:t xml:space="preserve"> use of standardised equipment</w:t>
      </w:r>
      <w:r w:rsidR="00F14842" w:rsidRPr="00433D9B">
        <w:t xml:space="preserve">, so </w:t>
      </w:r>
      <w:r w:rsidR="00B939E1">
        <w:t>the</w:t>
      </w:r>
      <w:r w:rsidR="00F14842" w:rsidRPr="00433D9B">
        <w:t xml:space="preserve"> adopt</w:t>
      </w:r>
      <w:r w:rsidR="008E2449" w:rsidRPr="00433D9B">
        <w:t>ion of 3GPP-based limits</w:t>
      </w:r>
      <w:r w:rsidR="00B939E1">
        <w:t>,</w:t>
      </w:r>
      <w:r w:rsidR="008E2449" w:rsidRPr="00433D9B">
        <w:t xml:space="preserve"> </w:t>
      </w:r>
      <w:r w:rsidR="00FC0CC0" w:rsidRPr="00433D9B">
        <w:t>where possible</w:t>
      </w:r>
      <w:r w:rsidR="00B939E1">
        <w:t>,</w:t>
      </w:r>
      <w:r w:rsidR="00FC0CC0" w:rsidRPr="00433D9B">
        <w:t xml:space="preserve"> </w:t>
      </w:r>
      <w:r w:rsidR="008E2449" w:rsidRPr="00433D9B">
        <w:t xml:space="preserve">is appropriate in this context. </w:t>
      </w:r>
    </w:p>
    <w:p w14:paraId="2A5D6303" w14:textId="207A5018" w:rsidR="00743746" w:rsidRPr="00433D9B" w:rsidRDefault="008D68B6" w:rsidP="00433D9B">
      <w:pPr>
        <w:pStyle w:val="Paragraph"/>
      </w:pPr>
      <w:r w:rsidRPr="00433D9B">
        <w:t xml:space="preserve">The proposal to adopt parameters based on the medium coverage model </w:t>
      </w:r>
      <w:r w:rsidR="004C3474" w:rsidRPr="00433D9B">
        <w:t>is itself intended to mitigate the risk of interference to other services</w:t>
      </w:r>
      <w:r w:rsidR="00C974BF" w:rsidRPr="00433D9B">
        <w:t xml:space="preserve">. </w:t>
      </w:r>
      <w:r w:rsidR="00530DD7" w:rsidRPr="00433D9B">
        <w:t>Suggestions to adopt</w:t>
      </w:r>
      <w:r w:rsidR="001F2DEA" w:rsidRPr="00433D9B">
        <w:t xml:space="preserve"> further expanded provisions</w:t>
      </w:r>
      <w:r w:rsidR="00530DD7" w:rsidRPr="00433D9B">
        <w:t xml:space="preserve">, </w:t>
      </w:r>
      <w:r w:rsidR="009A55E8">
        <w:t>such as</w:t>
      </w:r>
      <w:r w:rsidR="00530DD7" w:rsidRPr="00433D9B">
        <w:t xml:space="preserve"> higher-power </w:t>
      </w:r>
      <w:r w:rsidR="00652D6A" w:rsidRPr="00433D9B">
        <w:t>limits</w:t>
      </w:r>
      <w:r w:rsidR="001F2DEA" w:rsidRPr="00433D9B">
        <w:t>,</w:t>
      </w:r>
      <w:r w:rsidR="00652D6A" w:rsidRPr="00433D9B">
        <w:t xml:space="preserve"> are more geared towards </w:t>
      </w:r>
      <w:r w:rsidR="00D63E5D" w:rsidRPr="00433D9B">
        <w:t xml:space="preserve">the </w:t>
      </w:r>
      <w:r w:rsidR="00652D6A" w:rsidRPr="00433D9B">
        <w:t>deployment of wide-scale cellular (commercial-type) cellular networks</w:t>
      </w:r>
      <w:r w:rsidR="00D63E5D" w:rsidRPr="00433D9B">
        <w:t>. This would</w:t>
      </w:r>
      <w:r w:rsidR="00C8543F" w:rsidRPr="00433D9B">
        <w:t xml:space="preserve"> differ from the </w:t>
      </w:r>
      <w:r w:rsidR="003836C9" w:rsidRPr="00433D9B">
        <w:t xml:space="preserve">types of use cases anticipated under the </w:t>
      </w:r>
      <w:r w:rsidR="009A55E8">
        <w:t xml:space="preserve">2023 </w:t>
      </w:r>
      <w:r w:rsidR="003836C9" w:rsidRPr="00433D9B">
        <w:t>class licence</w:t>
      </w:r>
      <w:r w:rsidR="00D63E5D" w:rsidRPr="00433D9B">
        <w:t>,</w:t>
      </w:r>
      <w:r w:rsidR="003836C9" w:rsidRPr="00433D9B">
        <w:t xml:space="preserve"> for which we expect the medium power model-based provisions to be adequate. </w:t>
      </w:r>
    </w:p>
    <w:p w14:paraId="08857CC9" w14:textId="5A4C45B8" w:rsidR="00DF687B" w:rsidRPr="00433D9B" w:rsidRDefault="004D2585" w:rsidP="00433D9B">
      <w:pPr>
        <w:pStyle w:val="Paragraph"/>
      </w:pPr>
      <w:r>
        <w:t>T</w:t>
      </w:r>
      <w:r w:rsidR="003836C9" w:rsidRPr="00433D9B">
        <w:t xml:space="preserve">he </w:t>
      </w:r>
      <w:r w:rsidR="009A55E8">
        <w:t xml:space="preserve">2023 </w:t>
      </w:r>
      <w:r w:rsidR="003836C9" w:rsidRPr="00433D9B">
        <w:t>class licence can be reviewed if a case is made that expanded provisions are necessary</w:t>
      </w:r>
      <w:r w:rsidR="007033B9">
        <w:t>. I</w:t>
      </w:r>
      <w:r w:rsidR="007335AD" w:rsidRPr="00433D9B">
        <w:t xml:space="preserve">t is preferable to adopt the more modest provisions at this point in time </w:t>
      </w:r>
      <w:r w:rsidR="0077578A" w:rsidRPr="00433D9B">
        <w:t xml:space="preserve">and potentially expand provisions </w:t>
      </w:r>
      <w:r w:rsidR="00743746" w:rsidRPr="00433D9B">
        <w:t xml:space="preserve">later if evidence suggests the potential for interference to other services is low. </w:t>
      </w:r>
      <w:r w:rsidR="00EA1E54" w:rsidRPr="00433D9B">
        <w:t xml:space="preserve">With that in mind, </w:t>
      </w:r>
      <w:r w:rsidR="007033B9">
        <w:t>we are</w:t>
      </w:r>
      <w:r w:rsidR="00EA1E54" w:rsidRPr="00433D9B">
        <w:t xml:space="preserve"> of the view that the proposed cellular base </w:t>
      </w:r>
      <w:r w:rsidR="001975B8" w:rsidRPr="00433D9B">
        <w:t xml:space="preserve">station emission mask </w:t>
      </w:r>
      <w:r w:rsidR="00D272B3" w:rsidRPr="00433D9B">
        <w:t xml:space="preserve">and power/EIRP limits </w:t>
      </w:r>
      <w:r w:rsidR="001975B8" w:rsidRPr="00433D9B">
        <w:t xml:space="preserve">strike an appropriate balance between </w:t>
      </w:r>
      <w:r w:rsidR="00E95D1C" w:rsidRPr="00433D9B">
        <w:t xml:space="preserve">interference management and </w:t>
      </w:r>
      <w:r w:rsidR="001975B8" w:rsidRPr="00433D9B">
        <w:t>enabl</w:t>
      </w:r>
      <w:r w:rsidR="00E95D1C" w:rsidRPr="00433D9B">
        <w:t>ing</w:t>
      </w:r>
      <w:r w:rsidR="001975B8" w:rsidRPr="00433D9B">
        <w:t xml:space="preserve"> the use of newer technologies</w:t>
      </w:r>
      <w:r w:rsidR="00613622">
        <w:t xml:space="preserve"> at this point in time</w:t>
      </w:r>
      <w:r w:rsidR="00E95D1C" w:rsidRPr="00433D9B">
        <w:t>.</w:t>
      </w:r>
      <w:r w:rsidR="001975B8" w:rsidRPr="00433D9B">
        <w:t xml:space="preserve"> </w:t>
      </w:r>
    </w:p>
    <w:p w14:paraId="03283754" w14:textId="77777777" w:rsidR="00C265A9" w:rsidRPr="00433D9B" w:rsidRDefault="00C265A9" w:rsidP="00433D9B">
      <w:pPr>
        <w:pStyle w:val="Paragraph"/>
      </w:pPr>
      <w:r w:rsidRPr="00433D9B">
        <w:t>See response to Question 2 regarding appointment of a band manager.</w:t>
      </w:r>
    </w:p>
    <w:p w14:paraId="61F9463D" w14:textId="77777777" w:rsidR="00420B73" w:rsidRDefault="00420B73" w:rsidP="00420B73">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7</w:t>
      </w:r>
    </w:p>
    <w:p w14:paraId="33087152" w14:textId="0FAD22BA" w:rsidR="00420B73" w:rsidRDefault="00420B73" w:rsidP="00420B73">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Are the proposed emission mask, power limit and EIRP limit for cellular mobile user equipment </w:t>
      </w:r>
      <w:r w:rsidR="001447E5">
        <w:t xml:space="preserve">(UE) </w:t>
      </w:r>
      <w:r>
        <w:t>appropriate?</w:t>
      </w:r>
    </w:p>
    <w:p w14:paraId="7E926E01" w14:textId="77777777" w:rsidR="00DF687B" w:rsidRPr="00A83B5D" w:rsidRDefault="00DF687B" w:rsidP="00DF687B">
      <w:pPr>
        <w:pStyle w:val="Heading3"/>
      </w:pPr>
      <w:r w:rsidRPr="00A83B5D">
        <w:t xml:space="preserve">Submissions </w:t>
      </w:r>
      <w:proofErr w:type="gramStart"/>
      <w:r w:rsidRPr="00A83B5D">
        <w:t>received</w:t>
      </w:r>
      <w:proofErr w:type="gramEnd"/>
    </w:p>
    <w:p w14:paraId="564DBF5E" w14:textId="7FE39E62" w:rsidR="007A4B6F" w:rsidRPr="00433D9B" w:rsidRDefault="005C5C2A" w:rsidP="00433D9B">
      <w:pPr>
        <w:pStyle w:val="Paragraph"/>
      </w:pPr>
      <w:r w:rsidRPr="00433D9B">
        <w:t>Responses</w:t>
      </w:r>
      <w:r w:rsidR="004461C7" w:rsidRPr="00433D9B">
        <w:t xml:space="preserve"> to this question mirrored those to the previous question concerning proposed cellular base station operating limits</w:t>
      </w:r>
      <w:r w:rsidR="00A45D76" w:rsidRPr="00433D9B">
        <w:t xml:space="preserve"> (and were equally as diverse)</w:t>
      </w:r>
      <w:r w:rsidR="004461C7" w:rsidRPr="00433D9B">
        <w:t xml:space="preserve">. </w:t>
      </w:r>
      <w:r w:rsidR="00DF746E" w:rsidRPr="00433D9B">
        <w:t xml:space="preserve">Additionally, one PSB </w:t>
      </w:r>
      <w:r w:rsidR="009A55E8">
        <w:t xml:space="preserve">sector </w:t>
      </w:r>
      <w:r w:rsidR="00BD0E8C" w:rsidRPr="00433D9B">
        <w:t xml:space="preserve">response sought inclusion of </w:t>
      </w:r>
      <w:r w:rsidR="001447E5" w:rsidRPr="00433D9B">
        <w:t>high-power</w:t>
      </w:r>
      <w:r w:rsidR="00BD0E8C" w:rsidRPr="00433D9B">
        <w:t xml:space="preserve"> UE </w:t>
      </w:r>
      <w:r w:rsidR="001447E5" w:rsidRPr="00433D9B">
        <w:t xml:space="preserve">provisions (as specified by 3GPP for coverage extension in public safety scenarios) and one questioned why </w:t>
      </w:r>
      <w:r w:rsidR="000561F7" w:rsidRPr="00433D9B">
        <w:t xml:space="preserve">the proposed limits </w:t>
      </w:r>
      <w:r w:rsidR="00834E70" w:rsidRPr="00433D9B">
        <w:t xml:space="preserve">are lower than current 5G base station registrations in the 3.5 GHz band (noting that this applies to </w:t>
      </w:r>
      <w:r w:rsidR="007033B9">
        <w:t>Q</w:t>
      </w:r>
      <w:r w:rsidR="00834E70" w:rsidRPr="00433D9B">
        <w:t xml:space="preserve">uestion 6, not </w:t>
      </w:r>
      <w:r w:rsidR="007033B9">
        <w:br/>
        <w:t>Q</w:t>
      </w:r>
      <w:r w:rsidR="00834E70" w:rsidRPr="00433D9B">
        <w:t xml:space="preserve">uestion 7). </w:t>
      </w:r>
    </w:p>
    <w:p w14:paraId="0CA35A4C" w14:textId="028D2A9A" w:rsidR="005D45EA" w:rsidRPr="00433D9B" w:rsidRDefault="00834E70" w:rsidP="00433D9B">
      <w:pPr>
        <w:pStyle w:val="Paragraph"/>
      </w:pPr>
      <w:r w:rsidRPr="00433D9B">
        <w:lastRenderedPageBreak/>
        <w:t xml:space="preserve">Broadly, responses to </w:t>
      </w:r>
      <w:r w:rsidR="00BE17F2">
        <w:t>Q</w:t>
      </w:r>
      <w:r w:rsidRPr="00433D9B">
        <w:t xml:space="preserve">uestions 6 and 7 </w:t>
      </w:r>
      <w:r w:rsidR="00AA3554" w:rsidRPr="00433D9B">
        <w:t xml:space="preserve">demonstrate that there is significant disagreement within the </w:t>
      </w:r>
      <w:r w:rsidR="009A55E8">
        <w:t xml:space="preserve">PSB </w:t>
      </w:r>
      <w:r w:rsidR="00AA3554" w:rsidRPr="00433D9B">
        <w:t xml:space="preserve">sector on what provisions should be made for </w:t>
      </w:r>
      <w:r w:rsidR="00BE17F2">
        <w:br/>
      </w:r>
      <w:r w:rsidR="00AA3554" w:rsidRPr="00433D9B">
        <w:t>3GPP</w:t>
      </w:r>
      <w:r w:rsidR="00600684" w:rsidRPr="00433D9B">
        <w:t>-based technologies</w:t>
      </w:r>
      <w:r w:rsidR="005F7DED" w:rsidRPr="00433D9B">
        <w:t xml:space="preserve">, with some preferring that parametric limits remain as </w:t>
      </w:r>
      <w:r w:rsidR="00BE17F2">
        <w:br/>
      </w:r>
      <w:r w:rsidR="005F7DED" w:rsidRPr="00433D9B">
        <w:t>they are</w:t>
      </w:r>
      <w:r w:rsidR="00BE17F2">
        <w:t>,</w:t>
      </w:r>
      <w:r w:rsidR="005F7DED" w:rsidRPr="00433D9B">
        <w:t xml:space="preserve"> and others </w:t>
      </w:r>
      <w:r w:rsidR="00C60A99" w:rsidRPr="00433D9B">
        <w:t xml:space="preserve">preferring significantly less restrictive limits than proposed. </w:t>
      </w:r>
    </w:p>
    <w:p w14:paraId="6F0C8BD2" w14:textId="77777777" w:rsidR="00DF687B" w:rsidRPr="00BA24A6" w:rsidRDefault="00DF687B" w:rsidP="00DF687B">
      <w:pPr>
        <w:pStyle w:val="Heading3"/>
      </w:pPr>
      <w:r>
        <w:t>ACMA response</w:t>
      </w:r>
    </w:p>
    <w:p w14:paraId="4F5CDBFE" w14:textId="5A08ABB7" w:rsidR="00DF687B" w:rsidRPr="003B55F7" w:rsidRDefault="002A3407" w:rsidP="00DF687B">
      <w:pPr>
        <w:pStyle w:val="Paragraph"/>
        <w:rPr>
          <w:b/>
          <w:bCs/>
          <w:i/>
          <w:iCs/>
        </w:rPr>
      </w:pPr>
      <w:r>
        <w:t xml:space="preserve">Regarding submissions </w:t>
      </w:r>
      <w:r w:rsidRPr="00433D9B">
        <w:t>suggesting that the existing limits be retained</w:t>
      </w:r>
      <w:r w:rsidR="004672EB" w:rsidRPr="00433D9B">
        <w:t>, t</w:t>
      </w:r>
      <w:r w:rsidRPr="00433D9B">
        <w:t>here may be some misunderstanding that the existing limits would dissolve in favour of the proposed ones</w:t>
      </w:r>
      <w:r w:rsidR="004672EB" w:rsidRPr="00433D9B">
        <w:t xml:space="preserve">. The proposal </w:t>
      </w:r>
      <w:r w:rsidR="009A55E8">
        <w:t>was</w:t>
      </w:r>
      <w:r w:rsidRPr="00433D9B">
        <w:t xml:space="preserve"> that the new arrangements would apply only to cellular mobile technologies and the existing arrangements would continue to apply for all other technologies.</w:t>
      </w:r>
      <w:r w:rsidR="00B10013" w:rsidRPr="00433D9B">
        <w:t xml:space="preserve"> With this in mind, the ACMA </w:t>
      </w:r>
      <w:r w:rsidR="009A55E8">
        <w:t xml:space="preserve">has </w:t>
      </w:r>
      <w:r w:rsidR="00B10013" w:rsidRPr="00433D9B">
        <w:t>implement</w:t>
      </w:r>
      <w:r w:rsidR="009A55E8">
        <w:t>ed</w:t>
      </w:r>
      <w:r w:rsidR="00B10013" w:rsidRPr="00433D9B">
        <w:t xml:space="preserve"> the arrangements as proposed.</w:t>
      </w:r>
    </w:p>
    <w:p w14:paraId="1BE702EA" w14:textId="77777777" w:rsidR="00DB2F92" w:rsidRDefault="00DB2F92" w:rsidP="00DB2F92">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8</w:t>
      </w:r>
    </w:p>
    <w:p w14:paraId="0867811C" w14:textId="77777777" w:rsidR="00DB2F92" w:rsidRDefault="00DB2F92" w:rsidP="00DB2F92">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Are the emission masks, power limits and EIRP limits for existing services appropriate?</w:t>
      </w:r>
    </w:p>
    <w:p w14:paraId="33B4CD3B" w14:textId="77777777" w:rsidR="00DF687B" w:rsidRPr="00A83B5D" w:rsidRDefault="00DF687B" w:rsidP="00DF687B">
      <w:pPr>
        <w:pStyle w:val="Heading3"/>
      </w:pPr>
      <w:r w:rsidRPr="00A83B5D">
        <w:t xml:space="preserve">Submissions </w:t>
      </w:r>
      <w:proofErr w:type="gramStart"/>
      <w:r w:rsidRPr="00A83B5D">
        <w:t>received</w:t>
      </w:r>
      <w:proofErr w:type="gramEnd"/>
    </w:p>
    <w:p w14:paraId="2A4592E9" w14:textId="4C1A3B2A" w:rsidR="007C6D88" w:rsidRPr="00433D9B" w:rsidRDefault="00B00B84" w:rsidP="00433D9B">
      <w:pPr>
        <w:pStyle w:val="Paragraph"/>
      </w:pPr>
      <w:r w:rsidRPr="00433D9B">
        <w:t xml:space="preserve">Most PSB </w:t>
      </w:r>
      <w:r w:rsidR="009A55E8">
        <w:t xml:space="preserve">sector </w:t>
      </w:r>
      <w:r w:rsidRPr="00433D9B">
        <w:t>respondents supported the existing limits</w:t>
      </w:r>
      <w:r w:rsidR="00BC2A41" w:rsidRPr="00433D9B">
        <w:t xml:space="preserve">, with </w:t>
      </w:r>
      <w:r w:rsidR="00CD0558" w:rsidRPr="00433D9B">
        <w:t xml:space="preserve">the exception of one </w:t>
      </w:r>
      <w:r w:rsidR="004D2585">
        <w:t xml:space="preserve">submission </w:t>
      </w:r>
      <w:r w:rsidR="00CD0558" w:rsidRPr="00433D9B">
        <w:t>reiterating the need to align with 3GPP specifications</w:t>
      </w:r>
      <w:r w:rsidR="00A42B22" w:rsidRPr="00433D9B">
        <w:t>. Conversely,</w:t>
      </w:r>
      <w:r w:rsidR="0023774F" w:rsidRPr="00433D9B">
        <w:t xml:space="preserve"> </w:t>
      </w:r>
      <w:r w:rsidR="004B59EE" w:rsidRPr="00433D9B">
        <w:t xml:space="preserve">most </w:t>
      </w:r>
      <w:r w:rsidR="00A42B22" w:rsidRPr="00433D9B">
        <w:t xml:space="preserve">responses </w:t>
      </w:r>
      <w:r w:rsidR="004B59EE" w:rsidRPr="00433D9B">
        <w:t>from the equipment/services provider sector suggested they were too restrictive</w:t>
      </w:r>
      <w:r w:rsidR="00A42B22" w:rsidRPr="00433D9B">
        <w:t>, with the exception of one that supported the existing limits</w:t>
      </w:r>
      <w:r w:rsidR="004B59EE" w:rsidRPr="00433D9B">
        <w:t xml:space="preserve">. </w:t>
      </w:r>
      <w:r w:rsidR="00903E2C" w:rsidRPr="00433D9B">
        <w:t xml:space="preserve">No suggestions </w:t>
      </w:r>
      <w:r w:rsidR="00FA0B4C" w:rsidRPr="00433D9B">
        <w:t>for alternative arrangements were provided</w:t>
      </w:r>
      <w:r w:rsidR="00A42B22" w:rsidRPr="00433D9B">
        <w:t xml:space="preserve"> from that sector.</w:t>
      </w:r>
    </w:p>
    <w:p w14:paraId="2DEC1AE0" w14:textId="77777777" w:rsidR="00DF687B" w:rsidRPr="00E4457D" w:rsidRDefault="00DF687B" w:rsidP="00DF687B">
      <w:pPr>
        <w:pStyle w:val="Heading3"/>
      </w:pPr>
      <w:r w:rsidRPr="00E4457D">
        <w:t>ACMA response</w:t>
      </w:r>
    </w:p>
    <w:p w14:paraId="55CFD126" w14:textId="1D36CEF9" w:rsidR="00DF687B" w:rsidRPr="003B55F7" w:rsidRDefault="00DC1536" w:rsidP="00DF687B">
      <w:pPr>
        <w:pStyle w:val="Paragraph"/>
        <w:rPr>
          <w:b/>
          <w:bCs/>
          <w:i/>
          <w:iCs/>
        </w:rPr>
      </w:pPr>
      <w:r>
        <w:t>T</w:t>
      </w:r>
      <w:r w:rsidRPr="00E4457D">
        <w:t xml:space="preserve">he existing requirements </w:t>
      </w:r>
      <w:r>
        <w:t>were never</w:t>
      </w:r>
      <w:r w:rsidRPr="00E4457D">
        <w:t xml:space="preserve"> intended to apply to 3GPP-based systems, so </w:t>
      </w:r>
      <w:r w:rsidRPr="00433D9B">
        <w:t xml:space="preserve">suggestions that they should </w:t>
      </w:r>
      <w:r w:rsidR="00527E8D" w:rsidRPr="00433D9B">
        <w:t xml:space="preserve">align with 3GPP specifications </w:t>
      </w:r>
      <w:r w:rsidRPr="00433D9B">
        <w:t xml:space="preserve">were perhaps made in response to </w:t>
      </w:r>
      <w:r w:rsidR="003D313E" w:rsidRPr="00433D9B">
        <w:t>a different question (i</w:t>
      </w:r>
      <w:r w:rsidR="009614CA" w:rsidRPr="00433D9B">
        <w:t>.</w:t>
      </w:r>
      <w:r w:rsidR="003D313E" w:rsidRPr="00433D9B">
        <w:t>e.</w:t>
      </w:r>
      <w:r w:rsidR="008D2DA9">
        <w:t>,</w:t>
      </w:r>
      <w:r w:rsidR="003D313E" w:rsidRPr="00433D9B">
        <w:t xml:space="preserve"> Question 6 or 7</w:t>
      </w:r>
      <w:r w:rsidR="00527E8D" w:rsidRPr="00433D9B">
        <w:t xml:space="preserve"> concerning parameters for use of cellular mobile </w:t>
      </w:r>
      <w:r w:rsidR="00A97227" w:rsidRPr="00433D9B">
        <w:t>technologies</w:t>
      </w:r>
      <w:r w:rsidRPr="00433D9B">
        <w:t>)</w:t>
      </w:r>
      <w:r w:rsidR="003D313E" w:rsidRPr="00433D9B">
        <w:t xml:space="preserve">. </w:t>
      </w:r>
      <w:r w:rsidR="00BB6B60" w:rsidRPr="00433D9B">
        <w:t xml:space="preserve">Evidence </w:t>
      </w:r>
      <w:r w:rsidR="001B2E2A" w:rsidRPr="00433D9B">
        <w:t>suggests</w:t>
      </w:r>
      <w:r w:rsidR="00BB6B60" w:rsidRPr="00433D9B">
        <w:t xml:space="preserve"> that the existing limits are fit-for-purpose for enabling all but the </w:t>
      </w:r>
      <w:r w:rsidR="001B2E2A" w:rsidRPr="00433D9B">
        <w:t xml:space="preserve">cellular mobile </w:t>
      </w:r>
      <w:r w:rsidR="00B14252" w:rsidRPr="00433D9B">
        <w:t>category</w:t>
      </w:r>
      <w:r w:rsidR="001B2E2A" w:rsidRPr="00433D9B">
        <w:t xml:space="preserve"> of use case</w:t>
      </w:r>
      <w:r w:rsidR="00B14252" w:rsidRPr="00433D9B">
        <w:t xml:space="preserve">s, for which the new arrangements apply. </w:t>
      </w:r>
      <w:r w:rsidR="00190099" w:rsidRPr="00433D9B">
        <w:t>The ACMA</w:t>
      </w:r>
      <w:r w:rsidR="008D2DA9">
        <w:t>,</w:t>
      </w:r>
      <w:r w:rsidR="00190099" w:rsidRPr="00433D9B">
        <w:t xml:space="preserve"> therefore</w:t>
      </w:r>
      <w:r w:rsidR="008D2DA9">
        <w:t>,</w:t>
      </w:r>
      <w:r w:rsidR="00190099" w:rsidRPr="00433D9B">
        <w:t xml:space="preserve"> </w:t>
      </w:r>
      <w:r w:rsidR="009A55E8">
        <w:t xml:space="preserve">has </w:t>
      </w:r>
      <w:r w:rsidR="00190099" w:rsidRPr="00433D9B">
        <w:t>retain</w:t>
      </w:r>
      <w:r w:rsidR="009A55E8">
        <w:t>ed</w:t>
      </w:r>
      <w:r w:rsidR="00190099" w:rsidRPr="00433D9B">
        <w:t xml:space="preserve"> the existing </w:t>
      </w:r>
      <w:r w:rsidR="005F3976" w:rsidRPr="00433D9B">
        <w:t>provisions</w:t>
      </w:r>
      <w:r w:rsidR="00190099" w:rsidRPr="00433D9B">
        <w:t xml:space="preserve"> as they ar</w:t>
      </w:r>
      <w:r w:rsidR="005F3976" w:rsidRPr="00433D9B">
        <w:t>e, to operate in conjunction with the new provisions for cellular mobile services as proposed.</w:t>
      </w:r>
    </w:p>
    <w:p w14:paraId="3B2E04F8" w14:textId="77777777" w:rsidR="00DC501F" w:rsidRDefault="00DC501F" w:rsidP="00DC501F">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9</w:t>
      </w:r>
    </w:p>
    <w:p w14:paraId="6F818232" w14:textId="77777777" w:rsidR="00DC501F" w:rsidRDefault="00DC501F" w:rsidP="00DC501F">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Do the technical parameters proposed in the draft class licence restrict the use of any other technologies required by PSBs?</w:t>
      </w:r>
    </w:p>
    <w:p w14:paraId="21BE6D35" w14:textId="77777777" w:rsidR="00DF687B" w:rsidRPr="00D06385" w:rsidRDefault="00DF687B" w:rsidP="00DF687B">
      <w:pPr>
        <w:pStyle w:val="Heading3"/>
      </w:pPr>
      <w:r w:rsidRPr="00D06385">
        <w:t xml:space="preserve">Submissions </w:t>
      </w:r>
      <w:proofErr w:type="gramStart"/>
      <w:r w:rsidRPr="00D06385">
        <w:t>received</w:t>
      </w:r>
      <w:proofErr w:type="gramEnd"/>
    </w:p>
    <w:p w14:paraId="21704BAB" w14:textId="55CCBD02" w:rsidR="00DF687B" w:rsidRPr="00433D9B" w:rsidRDefault="007B4AB5" w:rsidP="00433D9B">
      <w:pPr>
        <w:pStyle w:val="Paragraph"/>
      </w:pPr>
      <w:r w:rsidRPr="00433D9B">
        <w:t xml:space="preserve">Most responses from both the PSB and </w:t>
      </w:r>
      <w:r w:rsidR="00AA1B0E" w:rsidRPr="00433D9B">
        <w:t>equipment/services provider sector</w:t>
      </w:r>
      <w:r w:rsidR="005A3848" w:rsidRPr="00433D9B">
        <w:t>s</w:t>
      </w:r>
      <w:r w:rsidR="00AA1B0E" w:rsidRPr="00433D9B">
        <w:t xml:space="preserve"> did not beli</w:t>
      </w:r>
      <w:r w:rsidR="005A3848" w:rsidRPr="00433D9B">
        <w:t xml:space="preserve">eve the proposed parameters would restrict the use of any other technologies, although a couple of responses again reiterated the need for the </w:t>
      </w:r>
      <w:r w:rsidR="00823E88">
        <w:t xml:space="preserve">2023 class </w:t>
      </w:r>
      <w:r w:rsidR="005A3848" w:rsidRPr="00433D9B">
        <w:t xml:space="preserve">licence to </w:t>
      </w:r>
      <w:r w:rsidR="00823E88">
        <w:t>make provision for</w:t>
      </w:r>
      <w:r w:rsidR="005A3848" w:rsidRPr="00433D9B">
        <w:t xml:space="preserve"> band management. One exception </w:t>
      </w:r>
      <w:r w:rsidR="00823E88">
        <w:t xml:space="preserve">was a response </w:t>
      </w:r>
      <w:r w:rsidR="005A3848" w:rsidRPr="00433D9B">
        <w:t xml:space="preserve">from the </w:t>
      </w:r>
      <w:r w:rsidR="00F3012F" w:rsidRPr="00433D9B">
        <w:t>PSB sector</w:t>
      </w:r>
      <w:r w:rsidR="0022351C">
        <w:t xml:space="preserve">. It </w:t>
      </w:r>
      <w:r w:rsidR="00F3012F" w:rsidRPr="00433D9B">
        <w:t>suggested that the introduction of provisions for cellular mobile technologies could introduce new interference scenarios</w:t>
      </w:r>
      <w:r w:rsidR="00FF7D7A">
        <w:t>,</w:t>
      </w:r>
      <w:r w:rsidR="00E5312B" w:rsidRPr="00433D9B">
        <w:t xml:space="preserve"> and reiterated </w:t>
      </w:r>
      <w:r w:rsidR="00823E88">
        <w:t xml:space="preserve">a </w:t>
      </w:r>
      <w:r w:rsidR="00E5312B" w:rsidRPr="00433D9B">
        <w:t>preference for arrangements to remain as they are.</w:t>
      </w:r>
    </w:p>
    <w:p w14:paraId="6C13A88C" w14:textId="77777777" w:rsidR="00DF687B" w:rsidRPr="00D06385" w:rsidRDefault="00DF687B" w:rsidP="00DF687B">
      <w:pPr>
        <w:pStyle w:val="Heading3"/>
      </w:pPr>
      <w:r w:rsidRPr="00D06385">
        <w:t>ACMA response</w:t>
      </w:r>
    </w:p>
    <w:p w14:paraId="4936035C" w14:textId="0E218B97" w:rsidR="00DF687B" w:rsidRPr="00433D9B" w:rsidRDefault="00A030F4" w:rsidP="00433D9B">
      <w:pPr>
        <w:pStyle w:val="Paragraph"/>
      </w:pPr>
      <w:r w:rsidRPr="00433D9B">
        <w:t xml:space="preserve">See responses to Question 2 regarding band management and to </w:t>
      </w:r>
      <w:r w:rsidR="00A87982" w:rsidRPr="00433D9B">
        <w:t xml:space="preserve">Question 5 regarding concerns around the potential degradation of </w:t>
      </w:r>
      <w:r w:rsidR="00A972E4" w:rsidRPr="00433D9B">
        <w:t xml:space="preserve">non-cellular services </w:t>
      </w:r>
      <w:r w:rsidR="001C1780">
        <w:t xml:space="preserve">under </w:t>
      </w:r>
      <w:r w:rsidR="00A972E4" w:rsidRPr="00433D9B">
        <w:t xml:space="preserve">the new arrangements. </w:t>
      </w:r>
      <w:r w:rsidR="00B50B79" w:rsidRPr="00433D9B">
        <w:t>Otherwise,</w:t>
      </w:r>
      <w:r w:rsidR="00A972E4" w:rsidRPr="00433D9B">
        <w:t xml:space="preserve"> </w:t>
      </w:r>
      <w:r w:rsidR="00FF7D7A">
        <w:t>we are</w:t>
      </w:r>
      <w:r w:rsidR="00A972E4" w:rsidRPr="00433D9B">
        <w:t xml:space="preserve"> satisfied that </w:t>
      </w:r>
      <w:r w:rsidR="00EF6801" w:rsidRPr="00433D9B">
        <w:t xml:space="preserve">the </w:t>
      </w:r>
      <w:r w:rsidR="001C1780">
        <w:t xml:space="preserve">new </w:t>
      </w:r>
      <w:r w:rsidR="00EF6801" w:rsidRPr="00433D9B">
        <w:t xml:space="preserve">technical parameters </w:t>
      </w:r>
      <w:r w:rsidR="001C1780">
        <w:t xml:space="preserve">do </w:t>
      </w:r>
      <w:r w:rsidR="00EF6801" w:rsidRPr="00433D9B">
        <w:t xml:space="preserve">not restrict the use of any other </w:t>
      </w:r>
      <w:r w:rsidR="00D06385" w:rsidRPr="00433D9B">
        <w:t>technologies required by PSBs.</w:t>
      </w:r>
    </w:p>
    <w:p w14:paraId="75029CA5" w14:textId="77777777" w:rsidR="0006678A" w:rsidRDefault="0006678A" w:rsidP="0006678A">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Question 10</w:t>
      </w:r>
    </w:p>
    <w:p w14:paraId="004067DF" w14:textId="49F40C2B" w:rsidR="0006678A" w:rsidRDefault="0006678A" w:rsidP="0006678A">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Do the current definitions of ‘public safety bodies’ and ‘public safety or emergency response function’ remain fit</w:t>
      </w:r>
      <w:r w:rsidR="00A633D7">
        <w:t>-</w:t>
      </w:r>
      <w:r>
        <w:t>for</w:t>
      </w:r>
      <w:r w:rsidR="00A633D7">
        <w:t>-</w:t>
      </w:r>
      <w:r>
        <w:t>purpose? Do the authorisation arrangements for other bodies remain appropriate? Why or why not?</w:t>
      </w:r>
    </w:p>
    <w:p w14:paraId="157E9595" w14:textId="77777777" w:rsidR="00DF687B" w:rsidRPr="00A83B5D" w:rsidRDefault="00DF687B" w:rsidP="00DF687B">
      <w:pPr>
        <w:pStyle w:val="Heading3"/>
      </w:pPr>
      <w:r w:rsidRPr="00A83B5D">
        <w:t xml:space="preserve">Submissions </w:t>
      </w:r>
      <w:proofErr w:type="gramStart"/>
      <w:r w:rsidRPr="00A83B5D">
        <w:t>received</w:t>
      </w:r>
      <w:proofErr w:type="gramEnd"/>
    </w:p>
    <w:p w14:paraId="6C63C643" w14:textId="28FB9677" w:rsidR="001F53C7" w:rsidRPr="00433D9B" w:rsidRDefault="00D22ADA" w:rsidP="00433D9B">
      <w:pPr>
        <w:pStyle w:val="Paragraph"/>
      </w:pPr>
      <w:r w:rsidRPr="00433D9B">
        <w:t>Responses from the PSB sector varied</w:t>
      </w:r>
      <w:r w:rsidR="00187236" w:rsidRPr="00433D9B">
        <w:t xml:space="preserve"> between supporting the current definition and suggesting an expansion of those definitions. </w:t>
      </w:r>
      <w:r w:rsidR="0032255F" w:rsidRPr="00433D9B">
        <w:t>Those that supported the current definition</w:t>
      </w:r>
      <w:r w:rsidR="0000511B" w:rsidRPr="00433D9B">
        <w:t xml:space="preserve">, or even suggested tightening it to exclude bodies that aren’t necessarily in the </w:t>
      </w:r>
      <w:r w:rsidR="001C1780">
        <w:t>‘</w:t>
      </w:r>
      <w:r w:rsidR="0000511B" w:rsidRPr="00433D9B">
        <w:t>first responder</w:t>
      </w:r>
      <w:r w:rsidR="001C1780">
        <w:t>’</w:t>
      </w:r>
      <w:r w:rsidR="0000511B" w:rsidRPr="00433D9B">
        <w:t xml:space="preserve"> category, were from operational </w:t>
      </w:r>
      <w:r w:rsidR="00066914" w:rsidRPr="00433D9B">
        <w:t>PSBs</w:t>
      </w:r>
      <w:r w:rsidR="0000511B" w:rsidRPr="00433D9B">
        <w:t xml:space="preserve">. Conversely, </w:t>
      </w:r>
      <w:r w:rsidR="009261E1">
        <w:t>s</w:t>
      </w:r>
      <w:r w:rsidR="00A3091A" w:rsidRPr="00433D9B">
        <w:t xml:space="preserve">tate government bodies responsible for the oversight of government radiocommunications networks </w:t>
      </w:r>
      <w:r w:rsidR="00FD554A" w:rsidRPr="00433D9B">
        <w:t xml:space="preserve">(including </w:t>
      </w:r>
      <w:r w:rsidR="001C1780">
        <w:t>‘</w:t>
      </w:r>
      <w:r w:rsidR="00FD554A" w:rsidRPr="00433D9B">
        <w:t>first responders</w:t>
      </w:r>
      <w:r w:rsidR="001C1780">
        <w:t>’</w:t>
      </w:r>
      <w:r w:rsidR="00FD554A" w:rsidRPr="00433D9B">
        <w:t>) suggested broadening the definitions</w:t>
      </w:r>
      <w:r w:rsidR="009261E1">
        <w:t xml:space="preserve">. In </w:t>
      </w:r>
      <w:r w:rsidR="00FD554A" w:rsidRPr="00433D9B">
        <w:t xml:space="preserve">one case </w:t>
      </w:r>
      <w:r w:rsidR="009261E1">
        <w:t xml:space="preserve">this was </w:t>
      </w:r>
      <w:r w:rsidR="00FD554A" w:rsidRPr="00433D9B">
        <w:t xml:space="preserve">to ensure that the agency could </w:t>
      </w:r>
      <w:r w:rsidR="001C1780">
        <w:t>operate radiocommunications devices under the 2023 class licence</w:t>
      </w:r>
      <w:r w:rsidR="001C1780" w:rsidRPr="00433D9B">
        <w:t xml:space="preserve"> </w:t>
      </w:r>
      <w:r w:rsidR="00FD554A" w:rsidRPr="00433D9B">
        <w:t>(in order to then manage access to the band)</w:t>
      </w:r>
      <w:r w:rsidR="009261E1">
        <w:t xml:space="preserve">. In </w:t>
      </w:r>
      <w:r w:rsidR="00053900" w:rsidRPr="00433D9B">
        <w:t xml:space="preserve">another case </w:t>
      </w:r>
      <w:r w:rsidR="009261E1">
        <w:t xml:space="preserve">it was </w:t>
      </w:r>
      <w:r w:rsidR="00053900" w:rsidRPr="00433D9B">
        <w:t>to include other government bodies involved in emergency management and disaster recovery that aren’</w:t>
      </w:r>
      <w:r w:rsidR="004E38F2" w:rsidRPr="00433D9B">
        <w:t xml:space="preserve">t necessarily considered </w:t>
      </w:r>
      <w:r w:rsidR="001C1780">
        <w:t>‘</w:t>
      </w:r>
      <w:r w:rsidR="004E38F2" w:rsidRPr="00433D9B">
        <w:t>first responders</w:t>
      </w:r>
      <w:r w:rsidR="001C1780">
        <w:t>’</w:t>
      </w:r>
      <w:r w:rsidR="004E38F2" w:rsidRPr="00433D9B">
        <w:t xml:space="preserve">. </w:t>
      </w:r>
    </w:p>
    <w:p w14:paraId="5A5B4B03" w14:textId="56C81385" w:rsidR="00C22676" w:rsidRPr="00433D9B" w:rsidRDefault="003B67E3" w:rsidP="00433D9B">
      <w:pPr>
        <w:pStyle w:val="Paragraph"/>
      </w:pPr>
      <w:r w:rsidRPr="00433D9B">
        <w:t>Responses f</w:t>
      </w:r>
      <w:r w:rsidR="00DE5DC5" w:rsidRPr="00433D9B">
        <w:t>rom the equipment/services provider sector</w:t>
      </w:r>
      <w:r w:rsidR="00C22676" w:rsidRPr="00433D9B">
        <w:t xml:space="preserve"> were </w:t>
      </w:r>
      <w:r w:rsidR="00602FA3" w:rsidRPr="00433D9B">
        <w:t xml:space="preserve">generally in favour of limiting access to the </w:t>
      </w:r>
      <w:r w:rsidR="001C1780">
        <w:t xml:space="preserve">4.9 GHz </w:t>
      </w:r>
      <w:r w:rsidR="00602FA3" w:rsidRPr="00433D9B">
        <w:t>band to the intended user group</w:t>
      </w:r>
      <w:r w:rsidRPr="00433D9B">
        <w:t xml:space="preserve">. One </w:t>
      </w:r>
      <w:r w:rsidR="00DE5DC5" w:rsidRPr="00433D9B">
        <w:t xml:space="preserve">response strongly </w:t>
      </w:r>
      <w:r w:rsidR="00BB581C" w:rsidRPr="00433D9B">
        <w:t>argued for not expanding the current definition and limiting access to first responders. They suggested that</w:t>
      </w:r>
      <w:r w:rsidR="00D14690" w:rsidRPr="00433D9B">
        <w:t xml:space="preserve">, where there is a need for bodies outside that group to use the band, existing </w:t>
      </w:r>
      <w:r w:rsidR="00F6410C" w:rsidRPr="00433D9B">
        <w:t>arrangements for authorising third</w:t>
      </w:r>
      <w:r w:rsidR="005231DE">
        <w:t>-</w:t>
      </w:r>
      <w:r w:rsidR="00F6410C" w:rsidRPr="00433D9B">
        <w:t xml:space="preserve">party access remain suitable for enabling that use. </w:t>
      </w:r>
      <w:r w:rsidR="004D2585">
        <w:t>A</w:t>
      </w:r>
      <w:r w:rsidR="00160C29" w:rsidRPr="00433D9B">
        <w:t>nother response supported the existing arrangement</w:t>
      </w:r>
      <w:r w:rsidR="002234DC" w:rsidRPr="00433D9B">
        <w:t>s</w:t>
      </w:r>
      <w:r w:rsidR="005231DE">
        <w:t>,</w:t>
      </w:r>
      <w:r w:rsidR="00160C29" w:rsidRPr="00433D9B">
        <w:t xml:space="preserve"> and </w:t>
      </w:r>
      <w:r w:rsidR="002234DC" w:rsidRPr="00433D9B">
        <w:t>another</w:t>
      </w:r>
      <w:r w:rsidR="00160C29" w:rsidRPr="00433D9B">
        <w:t xml:space="preserve"> went further and</w:t>
      </w:r>
      <w:r w:rsidR="000829F4" w:rsidRPr="00433D9B">
        <w:t xml:space="preserve"> suggested the current wording needed to be made more explicit to avoid any ambiguity</w:t>
      </w:r>
      <w:r w:rsidR="0080342E" w:rsidRPr="00433D9B">
        <w:t>. A</w:t>
      </w:r>
      <w:r w:rsidR="003203DB" w:rsidRPr="00433D9B">
        <w:t xml:space="preserve"> registration process for authorised entities</w:t>
      </w:r>
      <w:r w:rsidR="0080342E" w:rsidRPr="00433D9B">
        <w:t xml:space="preserve"> was </w:t>
      </w:r>
      <w:r w:rsidR="005231DE">
        <w:br/>
      </w:r>
      <w:r w:rsidR="0080342E" w:rsidRPr="00433D9B">
        <w:t>also suggested</w:t>
      </w:r>
      <w:r w:rsidR="00012751" w:rsidRPr="00433D9B">
        <w:t xml:space="preserve">. </w:t>
      </w:r>
    </w:p>
    <w:p w14:paraId="0D982D84" w14:textId="54A1A94F" w:rsidR="00DE5DC5" w:rsidRPr="00433D9B" w:rsidRDefault="00C22676" w:rsidP="00433D9B">
      <w:pPr>
        <w:pStyle w:val="Paragraph"/>
      </w:pPr>
      <w:r w:rsidRPr="00433D9B">
        <w:t xml:space="preserve">There was one </w:t>
      </w:r>
      <w:r w:rsidR="002234DC" w:rsidRPr="00433D9B">
        <w:t xml:space="preserve">view </w:t>
      </w:r>
      <w:r w:rsidR="006E345F" w:rsidRPr="00433D9B">
        <w:t xml:space="preserve">from the equipment/services provider sector </w:t>
      </w:r>
      <w:r w:rsidR="002234DC" w:rsidRPr="00433D9B">
        <w:t xml:space="preserve">that the definition should be expanded to include </w:t>
      </w:r>
      <w:r w:rsidR="006E345F" w:rsidRPr="00433D9B">
        <w:t xml:space="preserve">entities not traditionally considered </w:t>
      </w:r>
      <w:r w:rsidR="001F7AC8">
        <w:t>PSBs</w:t>
      </w:r>
      <w:r w:rsidR="006E345F" w:rsidRPr="00433D9B">
        <w:t xml:space="preserve">, including those responsible for restoring services in a disaster recovery scenario. </w:t>
      </w:r>
    </w:p>
    <w:p w14:paraId="285FDE96" w14:textId="77777777" w:rsidR="00DF687B" w:rsidRPr="00BA24A6" w:rsidRDefault="00DF687B" w:rsidP="00DF687B">
      <w:pPr>
        <w:pStyle w:val="Heading3"/>
      </w:pPr>
      <w:r>
        <w:t>ACMA response</w:t>
      </w:r>
    </w:p>
    <w:p w14:paraId="00EAF28B" w14:textId="4D7A33AF" w:rsidR="00DF687B" w:rsidRPr="00433D9B" w:rsidRDefault="005231DE" w:rsidP="00433D9B">
      <w:pPr>
        <w:pStyle w:val="Paragraph"/>
      </w:pPr>
      <w:r>
        <w:t>Our</w:t>
      </w:r>
      <w:r w:rsidR="00D35DBC" w:rsidRPr="00433D9B">
        <w:t xml:space="preserve"> long-standing policy </w:t>
      </w:r>
      <w:r w:rsidR="00FC37D6" w:rsidRPr="00433D9B">
        <w:t>is that the 4.9 GHz</w:t>
      </w:r>
      <w:r w:rsidR="005D72ED" w:rsidRPr="00433D9B">
        <w:t xml:space="preserve"> band</w:t>
      </w:r>
      <w:r w:rsidR="00FC37D6" w:rsidRPr="00433D9B">
        <w:t xml:space="preserve"> is </w:t>
      </w:r>
      <w:r w:rsidR="00A071FB" w:rsidRPr="00433D9B">
        <w:t>intended for public safety and emergency response only. While the</w:t>
      </w:r>
      <w:r w:rsidR="001A229A" w:rsidRPr="00433D9B">
        <w:t xml:space="preserve">re may be a need for </w:t>
      </w:r>
      <w:r w:rsidR="00F23339" w:rsidRPr="00433D9B">
        <w:t>non-PSB use of the band to support public safety needs (e</w:t>
      </w:r>
      <w:r w:rsidR="008B3863" w:rsidRPr="00433D9B">
        <w:t>.</w:t>
      </w:r>
      <w:r w:rsidR="00F23339" w:rsidRPr="00433D9B">
        <w:t>g.</w:t>
      </w:r>
      <w:r>
        <w:t>,</w:t>
      </w:r>
      <w:r w:rsidR="00F23339" w:rsidRPr="00433D9B">
        <w:t xml:space="preserve"> access by telecommunications service providers to support public safety operations</w:t>
      </w:r>
      <w:r w:rsidR="00514911" w:rsidRPr="00433D9B">
        <w:t xml:space="preserve"> or energy/utilities companies to assist in disaster recovery), </w:t>
      </w:r>
      <w:r w:rsidR="00BA4A58" w:rsidRPr="00433D9B">
        <w:t>the</w:t>
      </w:r>
      <w:r w:rsidR="001F7AC8">
        <w:t xml:space="preserve"> 2013</w:t>
      </w:r>
      <w:r w:rsidR="00BA4A58" w:rsidRPr="00433D9B">
        <w:t xml:space="preserve"> class licence (reproduced in </w:t>
      </w:r>
      <w:r w:rsidR="00F717FE" w:rsidRPr="00433D9B">
        <w:t xml:space="preserve">section </w:t>
      </w:r>
      <w:r w:rsidR="001F7AC8">
        <w:t>9</w:t>
      </w:r>
      <w:r w:rsidR="00F717FE" w:rsidRPr="00433D9B">
        <w:t xml:space="preserve"> of the </w:t>
      </w:r>
      <w:r w:rsidR="001F7AC8">
        <w:t xml:space="preserve">2023 class </w:t>
      </w:r>
      <w:r w:rsidR="0031037E" w:rsidRPr="00433D9B">
        <w:t>licence</w:t>
      </w:r>
      <w:r w:rsidR="00BA4A58" w:rsidRPr="00433D9B">
        <w:t>)</w:t>
      </w:r>
      <w:r w:rsidR="0031037E" w:rsidRPr="00433D9B">
        <w:t xml:space="preserve"> provides that: </w:t>
      </w:r>
    </w:p>
    <w:p w14:paraId="0985DD0B" w14:textId="60D04E20" w:rsidR="00130A1E" w:rsidRPr="008967DA" w:rsidRDefault="00F717FE" w:rsidP="00C457A2">
      <w:pPr>
        <w:pStyle w:val="subsection"/>
        <w:tabs>
          <w:tab w:val="clear" w:pos="1021"/>
          <w:tab w:val="right" w:pos="567"/>
        </w:tabs>
        <w:ind w:left="567" w:hanging="567"/>
        <w:rPr>
          <w:rFonts w:ascii="Arial" w:hAnsi="Arial" w:cs="Arial"/>
          <w:sz w:val="18"/>
          <w:szCs w:val="18"/>
        </w:rPr>
      </w:pPr>
      <w:r>
        <w:rPr>
          <w:rFonts w:ascii="Arial" w:hAnsi="Arial" w:cs="Arial"/>
          <w:sz w:val="20"/>
          <w:szCs w:val="24"/>
        </w:rPr>
        <w:tab/>
      </w:r>
      <w:r w:rsidRPr="00C457A2">
        <w:rPr>
          <w:rFonts w:ascii="Arial" w:hAnsi="Arial" w:cs="Arial"/>
          <w:i/>
          <w:iCs/>
          <w:sz w:val="20"/>
          <w:szCs w:val="24"/>
        </w:rPr>
        <w:tab/>
      </w:r>
      <w:r w:rsidR="00130A1E" w:rsidRPr="008967DA">
        <w:rPr>
          <w:rFonts w:ascii="Arial" w:hAnsi="Arial" w:cs="Arial"/>
          <w:sz w:val="18"/>
          <w:szCs w:val="18"/>
        </w:rPr>
        <w:t>A public safety body may authorise a body to operate a radiocommunications device for the purpose of this instrument</w:t>
      </w:r>
      <w:r w:rsidRPr="008967DA">
        <w:rPr>
          <w:rFonts w:ascii="Arial" w:hAnsi="Arial" w:cs="Arial"/>
          <w:sz w:val="18"/>
          <w:szCs w:val="18"/>
        </w:rPr>
        <w:t xml:space="preserve">… An authorisation must… specify the period, not exceeding </w:t>
      </w:r>
      <w:r w:rsidR="00BA4A58" w:rsidRPr="008967DA">
        <w:rPr>
          <w:rFonts w:ascii="Arial" w:hAnsi="Arial" w:cs="Arial"/>
          <w:sz w:val="18"/>
          <w:szCs w:val="18"/>
        </w:rPr>
        <w:t>six</w:t>
      </w:r>
      <w:r w:rsidR="008B3863" w:rsidRPr="008967DA">
        <w:rPr>
          <w:rFonts w:ascii="Arial" w:hAnsi="Arial" w:cs="Arial"/>
          <w:sz w:val="18"/>
          <w:szCs w:val="18"/>
        </w:rPr>
        <w:t xml:space="preserve"> months</w:t>
      </w:r>
      <w:r w:rsidR="00C457A2" w:rsidRPr="008967DA">
        <w:rPr>
          <w:rFonts w:ascii="Arial" w:hAnsi="Arial" w:cs="Arial"/>
          <w:sz w:val="18"/>
          <w:szCs w:val="18"/>
        </w:rPr>
        <w:t>, during which the radiocommunication device may be operated</w:t>
      </w:r>
      <w:r w:rsidR="005231DE" w:rsidRPr="008967DA">
        <w:rPr>
          <w:rFonts w:ascii="Arial" w:hAnsi="Arial" w:cs="Arial"/>
          <w:sz w:val="18"/>
          <w:szCs w:val="18"/>
        </w:rPr>
        <w:t xml:space="preserve"> </w:t>
      </w:r>
      <w:r w:rsidR="008B3863" w:rsidRPr="008967DA">
        <w:rPr>
          <w:rFonts w:ascii="Arial" w:hAnsi="Arial" w:cs="Arial"/>
          <w:sz w:val="18"/>
          <w:szCs w:val="18"/>
        </w:rPr>
        <w:t>…</w:t>
      </w:r>
    </w:p>
    <w:p w14:paraId="25CFFEB0" w14:textId="77777777" w:rsidR="00DF2EDE" w:rsidRDefault="00DF2EDE" w:rsidP="008967DA">
      <w:pPr>
        <w:pStyle w:val="Paragraph"/>
        <w:spacing w:after="0"/>
      </w:pPr>
    </w:p>
    <w:p w14:paraId="130E8C94" w14:textId="51876193" w:rsidR="00BA23D7" w:rsidRPr="00433D9B" w:rsidRDefault="004D2585" w:rsidP="00433D9B">
      <w:pPr>
        <w:pStyle w:val="Paragraph"/>
      </w:pPr>
      <w:r>
        <w:t xml:space="preserve">In the ACMA’s view there is no </w:t>
      </w:r>
      <w:r w:rsidR="00983D2A">
        <w:t xml:space="preserve">need </w:t>
      </w:r>
      <w:r>
        <w:t xml:space="preserve">to </w:t>
      </w:r>
      <w:r w:rsidR="00BA23D7">
        <w:t>expand d</w:t>
      </w:r>
      <w:r w:rsidR="002C451B">
        <w:t>efinit</w:t>
      </w:r>
      <w:r w:rsidR="00983D2A">
        <w:t>ion</w:t>
      </w:r>
      <w:r>
        <w:t>s</w:t>
      </w:r>
      <w:r w:rsidR="00CA6DED">
        <w:t xml:space="preserve"> to enable</w:t>
      </w:r>
      <w:r w:rsidR="00CA6DED" w:rsidRPr="00CA6DED">
        <w:t xml:space="preserve"> </w:t>
      </w:r>
      <w:r w:rsidR="00CA6DED" w:rsidRPr="00433D9B">
        <w:t>operation by entities not traditionally considered PSBs</w:t>
      </w:r>
      <w:r w:rsidR="00274D6C">
        <w:t>. T</w:t>
      </w:r>
      <w:r w:rsidR="00371F05" w:rsidRPr="00433D9B">
        <w:t xml:space="preserve">he </w:t>
      </w:r>
      <w:r w:rsidR="0006393F" w:rsidRPr="00433D9B">
        <w:t xml:space="preserve">current provisions would </w:t>
      </w:r>
      <w:r w:rsidR="00CA6DED" w:rsidRPr="00433D9B">
        <w:t>allow them to operate under the authorisation of</w:t>
      </w:r>
      <w:r w:rsidR="002825EC" w:rsidRPr="00433D9B">
        <w:t xml:space="preserve"> a PSB covered by the </w:t>
      </w:r>
      <w:r w:rsidR="001F7AC8">
        <w:t xml:space="preserve">2023 </w:t>
      </w:r>
      <w:r w:rsidR="002825EC" w:rsidRPr="00433D9B">
        <w:t xml:space="preserve">class licence. </w:t>
      </w:r>
      <w:r w:rsidR="00274D6C">
        <w:t>We c</w:t>
      </w:r>
      <w:r>
        <w:t>onsider</w:t>
      </w:r>
      <w:r w:rsidR="002825EC" w:rsidRPr="00433D9B">
        <w:t xml:space="preserve"> </w:t>
      </w:r>
      <w:r w:rsidR="001E4103" w:rsidRPr="00433D9B">
        <w:t xml:space="preserve">it is appropriate that PSBs retain this </w:t>
      </w:r>
      <w:r w:rsidR="007F76C3" w:rsidRPr="00433D9B">
        <w:t xml:space="preserve">level of control over </w:t>
      </w:r>
      <w:r w:rsidR="00773806" w:rsidRPr="00433D9B">
        <w:t>other use</w:t>
      </w:r>
      <w:r w:rsidR="00ED7677" w:rsidRPr="00433D9B">
        <w:t>s</w:t>
      </w:r>
      <w:r w:rsidR="00773806" w:rsidRPr="00433D9B">
        <w:t xml:space="preserve"> of the band</w:t>
      </w:r>
      <w:r w:rsidR="00274D6C">
        <w:t>. E</w:t>
      </w:r>
      <w:r w:rsidR="00980FB6" w:rsidRPr="00433D9B">
        <w:t xml:space="preserve">xpanding the standing authorisation </w:t>
      </w:r>
      <w:r w:rsidR="007F76C3" w:rsidRPr="00433D9B">
        <w:t xml:space="preserve">without the existing controls in place </w:t>
      </w:r>
      <w:r w:rsidR="00980FB6" w:rsidRPr="00433D9B">
        <w:t xml:space="preserve">may result in </w:t>
      </w:r>
      <w:r w:rsidR="008741FE" w:rsidRPr="00433D9B">
        <w:t xml:space="preserve">degradation of the utility of the band for </w:t>
      </w:r>
      <w:r w:rsidR="007F76C3" w:rsidRPr="00433D9B">
        <w:t xml:space="preserve">those entities that it is </w:t>
      </w:r>
      <w:r w:rsidR="00773806" w:rsidRPr="00433D9B">
        <w:t>primarily intended to benefit.</w:t>
      </w:r>
    </w:p>
    <w:p w14:paraId="19E3C91D" w14:textId="20B95468" w:rsidR="00FF1891" w:rsidRPr="003B55F7" w:rsidRDefault="00773806" w:rsidP="00DF687B">
      <w:pPr>
        <w:pStyle w:val="Paragraph"/>
        <w:rPr>
          <w:b/>
          <w:bCs/>
          <w:i/>
          <w:iCs/>
        </w:rPr>
      </w:pPr>
      <w:r w:rsidRPr="00433D9B">
        <w:t xml:space="preserve">With </w:t>
      </w:r>
      <w:r w:rsidR="00552C02" w:rsidRPr="00433D9B">
        <w:t xml:space="preserve">respect to </w:t>
      </w:r>
      <w:r w:rsidR="007233DE" w:rsidRPr="00433D9B">
        <w:t>changing the definition to expli</w:t>
      </w:r>
      <w:r w:rsidR="00973855" w:rsidRPr="00433D9B">
        <w:t xml:space="preserve">citly list </w:t>
      </w:r>
      <w:r w:rsidR="000A6AE6">
        <w:t>s</w:t>
      </w:r>
      <w:r w:rsidR="00973855" w:rsidRPr="00433D9B">
        <w:t xml:space="preserve">tate government communications managers, </w:t>
      </w:r>
      <w:r w:rsidR="000A6AE6">
        <w:t>we are</w:t>
      </w:r>
      <w:r w:rsidR="001F7AC8">
        <w:t xml:space="preserve"> </w:t>
      </w:r>
      <w:r w:rsidR="00973855" w:rsidRPr="00433D9B">
        <w:t>satisfied that the existing</w:t>
      </w:r>
      <w:r w:rsidR="00ED7677" w:rsidRPr="00433D9B">
        <w:t xml:space="preserve"> arrangement</w:t>
      </w:r>
      <w:r w:rsidR="00E30EF2" w:rsidRPr="00433D9B">
        <w:t>s</w:t>
      </w:r>
      <w:r w:rsidR="00ED7677" w:rsidRPr="00433D9B">
        <w:t xml:space="preserve"> provide sufficient authorisation</w:t>
      </w:r>
      <w:r w:rsidR="000A6AE6">
        <w:t>. I</w:t>
      </w:r>
      <w:r w:rsidR="00ED7677" w:rsidRPr="00433D9B">
        <w:t xml:space="preserve">t is the entity operating </w:t>
      </w:r>
      <w:r w:rsidR="006D558E" w:rsidRPr="00433D9B">
        <w:t>the equipment that is authorise</w:t>
      </w:r>
      <w:r w:rsidR="00033BA1" w:rsidRPr="00433D9B">
        <w:t>d</w:t>
      </w:r>
      <w:r w:rsidR="000A6AE6">
        <w:t xml:space="preserve"> –</w:t>
      </w:r>
      <w:r w:rsidR="00033BA1" w:rsidRPr="00433D9B">
        <w:t xml:space="preserve"> independent of whatever </w:t>
      </w:r>
      <w:r w:rsidR="008D2A9E">
        <w:t xml:space="preserve">overarching </w:t>
      </w:r>
      <w:r w:rsidR="00033BA1" w:rsidRPr="00433D9B">
        <w:t>governance arrangements are in</w:t>
      </w:r>
      <w:r w:rsidR="00033BA1">
        <w:t xml:space="preserve"> place</w:t>
      </w:r>
      <w:r w:rsidR="006D5E86">
        <w:t xml:space="preserve">. </w:t>
      </w:r>
      <w:r w:rsidR="008D2A9E">
        <w:t>Retaining the existing definitions also</w:t>
      </w:r>
      <w:r w:rsidR="001F7AC8">
        <w:t xml:space="preserve"> reduces the </w:t>
      </w:r>
      <w:r w:rsidR="008D2A9E">
        <w:t>potential</w:t>
      </w:r>
      <w:r w:rsidR="001F7AC8">
        <w:t xml:space="preserve"> for the 2023 class licence </w:t>
      </w:r>
      <w:r w:rsidR="001F7AC8">
        <w:lastRenderedPageBreak/>
        <w:t xml:space="preserve">to inadvertently become out of date due to changes in </w:t>
      </w:r>
      <w:r w:rsidR="00DF2EDE">
        <w:t>arrangements</w:t>
      </w:r>
      <w:r w:rsidR="001F7AC8">
        <w:t xml:space="preserve"> at the </w:t>
      </w:r>
      <w:r w:rsidR="000A6AE6">
        <w:t>s</w:t>
      </w:r>
      <w:r w:rsidR="001F7AC8">
        <w:t>tate/</w:t>
      </w:r>
      <w:r w:rsidR="000A6AE6">
        <w:t>t</w:t>
      </w:r>
      <w:r w:rsidR="001F7AC8">
        <w:t>erritory level.</w:t>
      </w:r>
    </w:p>
    <w:p w14:paraId="5E9258D8" w14:textId="77777777" w:rsidR="00F7038D" w:rsidRDefault="00F7038D" w:rsidP="00F7038D">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11</w:t>
      </w:r>
    </w:p>
    <w:p w14:paraId="2F6751E1" w14:textId="77777777" w:rsidR="00F7038D" w:rsidRDefault="00F7038D" w:rsidP="00F7038D">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Is the 6-month limit for fixed point-to-point services appropriate?  Why or why not? Does the 6-month limit prevent deployments of networks aligned with the purpose of the class licence?</w:t>
      </w:r>
    </w:p>
    <w:p w14:paraId="37E0FDC6" w14:textId="77777777" w:rsidR="00DF687B" w:rsidRPr="00A83B5D" w:rsidRDefault="00DF687B" w:rsidP="00DF687B">
      <w:pPr>
        <w:pStyle w:val="Heading3"/>
      </w:pPr>
      <w:r w:rsidRPr="00A83B5D">
        <w:t xml:space="preserve">Submissions </w:t>
      </w:r>
      <w:proofErr w:type="gramStart"/>
      <w:r w:rsidRPr="00A83B5D">
        <w:t>received</w:t>
      </w:r>
      <w:proofErr w:type="gramEnd"/>
    </w:p>
    <w:p w14:paraId="4B5A3086" w14:textId="55AC2181" w:rsidR="004F2849" w:rsidRPr="00433D9B" w:rsidRDefault="000931DD" w:rsidP="00433D9B">
      <w:pPr>
        <w:pStyle w:val="Paragraph"/>
      </w:pPr>
      <w:r w:rsidRPr="00433D9B">
        <w:t xml:space="preserve">PSB sector responses were </w:t>
      </w:r>
      <w:r w:rsidR="006D5E86">
        <w:t>divided</w:t>
      </w:r>
      <w:r w:rsidR="001C5352" w:rsidRPr="00433D9B">
        <w:t xml:space="preserve"> on</w:t>
      </w:r>
      <w:r w:rsidRPr="00433D9B">
        <w:t xml:space="preserve"> retaining the </w:t>
      </w:r>
      <w:r w:rsidR="00E30EF2" w:rsidRPr="00433D9B">
        <w:t>6-month</w:t>
      </w:r>
      <w:r w:rsidRPr="00433D9B">
        <w:t xml:space="preserve"> limit on fixed point-to-point services</w:t>
      </w:r>
      <w:r w:rsidR="006752D0">
        <w:t>, with 2</w:t>
      </w:r>
      <w:r w:rsidR="00220A45" w:rsidRPr="00433D9B">
        <w:t xml:space="preserve"> in favour and </w:t>
      </w:r>
      <w:r w:rsidR="006752D0">
        <w:t>2</w:t>
      </w:r>
      <w:r w:rsidR="00220A45" w:rsidRPr="00433D9B">
        <w:t xml:space="preserve"> preferring a relaxation of the limit. </w:t>
      </w:r>
      <w:r w:rsidR="00AB44DF" w:rsidRPr="00433D9B">
        <w:t xml:space="preserve">One response </w:t>
      </w:r>
      <w:r w:rsidR="00443280" w:rsidRPr="00433D9B">
        <w:t xml:space="preserve">advocating for a relaxation </w:t>
      </w:r>
      <w:r w:rsidR="00B771CA" w:rsidRPr="00433D9B">
        <w:t xml:space="preserve">of the limit was on the basis that the band could be needed for longer-term </w:t>
      </w:r>
      <w:r w:rsidR="008829B6" w:rsidRPr="00433D9B">
        <w:t>deployments to fill coverage gaps</w:t>
      </w:r>
      <w:r w:rsidR="006752D0">
        <w:t xml:space="preserve">. This would be </w:t>
      </w:r>
      <w:r w:rsidR="00401814" w:rsidRPr="00433D9B">
        <w:t>either as, for example, a deployable PSMB cell</w:t>
      </w:r>
      <w:r w:rsidR="006752D0">
        <w:t>,</w:t>
      </w:r>
      <w:r w:rsidR="00401814" w:rsidRPr="00433D9B">
        <w:t xml:space="preserve"> or </w:t>
      </w:r>
      <w:r w:rsidR="004B0BC4" w:rsidRPr="00433D9B">
        <w:t>to allow emergency calling in black spot areas</w:t>
      </w:r>
      <w:r w:rsidR="00AF02F6" w:rsidRPr="00433D9B">
        <w:t>. This response seemed to apply more to fixed</w:t>
      </w:r>
      <w:r w:rsidR="00840756">
        <w:t>-</w:t>
      </w:r>
      <w:r w:rsidR="00AF02F6" w:rsidRPr="00433D9B">
        <w:t xml:space="preserve">based stations providing mobile coverage, which is not </w:t>
      </w:r>
      <w:r w:rsidR="00D70109" w:rsidRPr="00433D9B">
        <w:t>the target of the time limit</w:t>
      </w:r>
      <w:r w:rsidR="00840756">
        <w:t>. W</w:t>
      </w:r>
      <w:r w:rsidR="00D70109" w:rsidRPr="00433D9B">
        <w:t xml:space="preserve">e did propose in the consultation to make it </w:t>
      </w:r>
      <w:r w:rsidR="003F3BD0">
        <w:t>clearer</w:t>
      </w:r>
      <w:r w:rsidR="00D70109" w:rsidRPr="00433D9B">
        <w:t xml:space="preserve"> that those measures apply specifically to ‘fixed point-to-point’ services and not necessarily stations that are ‘fixed’ in the non-regulatory sense</w:t>
      </w:r>
      <w:r w:rsidR="003F3BD0">
        <w:t xml:space="preserve"> (such as mobile base stations)</w:t>
      </w:r>
      <w:r w:rsidR="00D70109" w:rsidRPr="00433D9B">
        <w:t>.</w:t>
      </w:r>
    </w:p>
    <w:p w14:paraId="08F925A0" w14:textId="44F7697B" w:rsidR="00E260F2" w:rsidRPr="00433D9B" w:rsidRDefault="00E260F2" w:rsidP="00433D9B">
      <w:pPr>
        <w:pStyle w:val="Paragraph"/>
      </w:pPr>
      <w:r w:rsidRPr="00433D9B">
        <w:t>One response from the equipment/service provider sector support</w:t>
      </w:r>
      <w:r w:rsidR="00326DE4" w:rsidRPr="00433D9B">
        <w:t>ed</w:t>
      </w:r>
      <w:r w:rsidRPr="00433D9B">
        <w:t xml:space="preserve"> making this clarification and noted that there is </w:t>
      </w:r>
      <w:r w:rsidR="008150B8" w:rsidRPr="00433D9B">
        <w:t xml:space="preserve">often confusion when this terminology is used in non-regulatory circles. Otherwise, responses from that sector were universally in favour of retaining the existing time limit, </w:t>
      </w:r>
      <w:r w:rsidR="003F3BD0">
        <w:t>noting</w:t>
      </w:r>
      <w:r w:rsidR="008150B8" w:rsidRPr="00433D9B">
        <w:t xml:space="preserve"> the option for apparatus licensing if there is a legitimate requirement for</w:t>
      </w:r>
      <w:r w:rsidR="00350025" w:rsidRPr="00433D9B">
        <w:t xml:space="preserve"> a</w:t>
      </w:r>
      <w:r w:rsidR="008150B8" w:rsidRPr="00433D9B">
        <w:t xml:space="preserve"> fixed point-to-point service</w:t>
      </w:r>
      <w:r w:rsidR="00350025" w:rsidRPr="00433D9B">
        <w:t xml:space="preserve"> to operate for longer than 6 months.</w:t>
      </w:r>
    </w:p>
    <w:p w14:paraId="063643DD" w14:textId="77777777" w:rsidR="00DF687B" w:rsidRPr="00BA24A6" w:rsidRDefault="00DF687B" w:rsidP="00DF687B">
      <w:pPr>
        <w:pStyle w:val="Heading3"/>
      </w:pPr>
      <w:r>
        <w:t>ACMA response</w:t>
      </w:r>
    </w:p>
    <w:p w14:paraId="2E5523CF" w14:textId="28E6FBD5" w:rsidR="009F1F0A" w:rsidRPr="00433D9B" w:rsidRDefault="006565D5" w:rsidP="00433D9B">
      <w:pPr>
        <w:pStyle w:val="Paragraph"/>
      </w:pPr>
      <w:r>
        <w:t>We</w:t>
      </w:r>
      <w:r w:rsidR="005D0548" w:rsidRPr="00433D9B">
        <w:t xml:space="preserve"> </w:t>
      </w:r>
      <w:r w:rsidR="004A5C5C" w:rsidRPr="00433D9B">
        <w:t>remain</w:t>
      </w:r>
      <w:r w:rsidR="005D0548" w:rsidRPr="00433D9B">
        <w:t xml:space="preserve"> of the view</w:t>
      </w:r>
      <w:r w:rsidR="004A5C5C" w:rsidRPr="00433D9B">
        <w:t xml:space="preserve"> that the </w:t>
      </w:r>
      <w:r w:rsidR="005D0548" w:rsidRPr="00433D9B">
        <w:t xml:space="preserve">utility of the </w:t>
      </w:r>
      <w:r w:rsidR="001F7AC8">
        <w:t xml:space="preserve">4.9 GHz </w:t>
      </w:r>
      <w:r w:rsidR="005D0548" w:rsidRPr="00433D9B">
        <w:t xml:space="preserve">band for </w:t>
      </w:r>
      <w:r w:rsidR="001D49BA" w:rsidRPr="00433D9B">
        <w:t>its</w:t>
      </w:r>
      <w:r w:rsidR="005D0548" w:rsidRPr="00433D9B">
        <w:t xml:space="preserve"> primary intended purposes </w:t>
      </w:r>
      <w:r w:rsidR="001D49BA" w:rsidRPr="00433D9B">
        <w:t xml:space="preserve">must be preserved, and that a proliferation of long-term fixed point-to-point links risks degrading that utility. </w:t>
      </w:r>
      <w:r w:rsidR="009F1F0A" w:rsidRPr="00433D9B">
        <w:t>This view was supported by most submissions to the consultation.</w:t>
      </w:r>
    </w:p>
    <w:p w14:paraId="6AD6393E" w14:textId="06B7373F" w:rsidR="00DF687B" w:rsidRPr="00433D9B" w:rsidRDefault="005A7D21" w:rsidP="00433D9B">
      <w:pPr>
        <w:pStyle w:val="Paragraph"/>
      </w:pPr>
      <w:r w:rsidRPr="00433D9B">
        <w:t xml:space="preserve">Despite seeking to provide clarification in the consultation paper that the 6-month limit applies to </w:t>
      </w:r>
      <w:r w:rsidR="0030169C" w:rsidRPr="00433D9B">
        <w:t xml:space="preserve">fixed point-to-point links in the regulatory sense, rather than any station that is </w:t>
      </w:r>
      <w:r w:rsidR="00E25D64" w:rsidRPr="00433D9B">
        <w:t xml:space="preserve">physically fixed, there still seems to be confusion as to the intent of the limitation. </w:t>
      </w:r>
      <w:r w:rsidR="001F7AC8">
        <w:t xml:space="preserve">The ACMA has </w:t>
      </w:r>
      <w:r w:rsidR="00E25D64" w:rsidRPr="00433D9B">
        <w:t>clarif</w:t>
      </w:r>
      <w:r w:rsidR="001F7AC8">
        <w:t>ied</w:t>
      </w:r>
      <w:r w:rsidR="00E25D64" w:rsidRPr="00433D9B">
        <w:t xml:space="preserve"> the intent in the </w:t>
      </w:r>
      <w:r w:rsidR="001F7AC8">
        <w:t xml:space="preserve">2023 </w:t>
      </w:r>
      <w:r w:rsidR="00E25D64" w:rsidRPr="00433D9B">
        <w:t xml:space="preserve">class licence as proposed, but </w:t>
      </w:r>
      <w:r w:rsidR="001C096A" w:rsidRPr="00433D9B">
        <w:t>will retain the 6-month limitation o</w:t>
      </w:r>
      <w:r w:rsidR="00616DEA" w:rsidRPr="00433D9B">
        <w:t>n</w:t>
      </w:r>
      <w:r w:rsidR="001C096A" w:rsidRPr="00433D9B">
        <w:t xml:space="preserve"> fixed point-to-point links</w:t>
      </w:r>
      <w:r w:rsidR="006565D5">
        <w:t>. I</w:t>
      </w:r>
      <w:r w:rsidR="001C096A" w:rsidRPr="00433D9B">
        <w:t xml:space="preserve">n </w:t>
      </w:r>
      <w:r w:rsidR="00F24EC0" w:rsidRPr="00433D9B">
        <w:t>infrequen</w:t>
      </w:r>
      <w:r w:rsidR="00BD61EC" w:rsidRPr="00433D9B">
        <w:t xml:space="preserve">t </w:t>
      </w:r>
      <w:r w:rsidR="00F24EC0" w:rsidRPr="00433D9B">
        <w:t>cases where longer</w:t>
      </w:r>
      <w:r w:rsidR="006565D5">
        <w:t>-</w:t>
      </w:r>
      <w:r w:rsidR="00F24EC0" w:rsidRPr="00433D9B">
        <w:t xml:space="preserve">term links are </w:t>
      </w:r>
      <w:r w:rsidR="006427F7" w:rsidRPr="00433D9B">
        <w:t>deemed necessary</w:t>
      </w:r>
      <w:r w:rsidR="00F24EC0" w:rsidRPr="00433D9B">
        <w:t xml:space="preserve">, </w:t>
      </w:r>
      <w:r w:rsidR="00BD61EC" w:rsidRPr="00433D9B">
        <w:t xml:space="preserve">the option of seeking apparatus licences remains (and has been </w:t>
      </w:r>
      <w:r w:rsidR="003F3BD0">
        <w:t>used</w:t>
      </w:r>
      <w:r w:rsidR="00BD61EC" w:rsidRPr="00433D9B">
        <w:t xml:space="preserve"> in </w:t>
      </w:r>
      <w:r w:rsidR="00456665" w:rsidRPr="00433D9B">
        <w:t xml:space="preserve">limited cases in </w:t>
      </w:r>
      <w:r w:rsidR="00BD61EC" w:rsidRPr="00433D9B">
        <w:t>some jurisdictions</w:t>
      </w:r>
      <w:r w:rsidR="00C43BEE" w:rsidRPr="00433D9B">
        <w:t>).</w:t>
      </w:r>
    </w:p>
    <w:p w14:paraId="4B3F84E7" w14:textId="77777777" w:rsidR="00EF13F3" w:rsidRPr="005A7D21" w:rsidRDefault="00EF13F3" w:rsidP="00EF13F3">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rsidRPr="005A7D21">
        <w:t>Question 12</w:t>
      </w:r>
    </w:p>
    <w:p w14:paraId="5EDA7605" w14:textId="77777777" w:rsidR="00EF13F3" w:rsidRDefault="00EF13F3" w:rsidP="00EF13F3">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pPr>
      <w:r>
        <w:t>Which channel plan should be adopted in the class licence? Why?</w:t>
      </w:r>
    </w:p>
    <w:p w14:paraId="460A9042" w14:textId="77777777" w:rsidR="00DC501F" w:rsidRPr="00A83B5D" w:rsidRDefault="00DC501F" w:rsidP="00DC501F">
      <w:pPr>
        <w:pStyle w:val="Heading3"/>
      </w:pPr>
      <w:r w:rsidRPr="00A83B5D">
        <w:t xml:space="preserve">Submissions </w:t>
      </w:r>
      <w:proofErr w:type="gramStart"/>
      <w:r w:rsidRPr="00A83B5D">
        <w:t>received</w:t>
      </w:r>
      <w:proofErr w:type="gramEnd"/>
    </w:p>
    <w:p w14:paraId="1ADDBD62" w14:textId="15ADD562" w:rsidR="00A51519" w:rsidRPr="00433D9B" w:rsidRDefault="00621FE3" w:rsidP="00433D9B">
      <w:pPr>
        <w:pStyle w:val="Paragraph"/>
      </w:pPr>
      <w:r w:rsidRPr="008765BB">
        <w:t xml:space="preserve">Responses to this question </w:t>
      </w:r>
      <w:r w:rsidR="005E6B3C" w:rsidRPr="008765BB">
        <w:t xml:space="preserve">from the PSB sector </w:t>
      </w:r>
      <w:r w:rsidR="00C2669A" w:rsidRPr="008765BB">
        <w:t xml:space="preserve">depended on </w:t>
      </w:r>
      <w:r w:rsidR="005E6B3C" w:rsidRPr="008765BB">
        <w:t xml:space="preserve">their existing use and </w:t>
      </w:r>
      <w:r w:rsidR="004D24F4" w:rsidRPr="00433D9B">
        <w:t>on whether they current</w:t>
      </w:r>
      <w:r w:rsidR="00425024" w:rsidRPr="00433D9B">
        <w:t>ly</w:t>
      </w:r>
      <w:r w:rsidR="004D24F4" w:rsidRPr="00433D9B">
        <w:t xml:space="preserve"> have a need for 1 MHz channels (or aggregations of</w:t>
      </w:r>
      <w:r w:rsidR="00425024" w:rsidRPr="00433D9B">
        <w:t xml:space="preserve"> 1 MHz channels</w:t>
      </w:r>
      <w:r w:rsidR="004D24F4" w:rsidRPr="00433D9B">
        <w:t xml:space="preserve">). </w:t>
      </w:r>
      <w:r w:rsidR="00952620" w:rsidRPr="00433D9B">
        <w:t>Those that support the retention of 1 MHz channels (</w:t>
      </w:r>
      <w:r w:rsidR="00C761C9" w:rsidRPr="00433D9B">
        <w:t xml:space="preserve">as facilitated in </w:t>
      </w:r>
      <w:r w:rsidR="00952620" w:rsidRPr="00433D9B">
        <w:t>channel plan A</w:t>
      </w:r>
      <w:r w:rsidR="0031391B" w:rsidRPr="00433D9B">
        <w:t xml:space="preserve"> as specified in </w:t>
      </w:r>
      <w:hyperlink r:id="rId26" w:history="1">
        <w:r w:rsidR="000B0F86" w:rsidRPr="00433D9B">
          <w:rPr>
            <w:rStyle w:val="Hyperlink"/>
            <w:color w:val="auto"/>
            <w:u w:val="none"/>
          </w:rPr>
          <w:t>ITU-R Recommendation M.1826</w:t>
        </w:r>
      </w:hyperlink>
      <w:r w:rsidR="000B7DCE" w:rsidRPr="00433D9B">
        <w:t xml:space="preserve"> </w:t>
      </w:r>
      <w:r w:rsidR="000B7DCE" w:rsidRPr="001E71A8">
        <w:rPr>
          <w:i/>
        </w:rPr>
        <w:t>Harmonised frequency channel plan for broadband public protection and disaster relief operations at 4 940 – 4 990 MHz in Regions 2 and</w:t>
      </w:r>
      <w:r w:rsidR="000B7DCE" w:rsidRPr="00433D9B">
        <w:t xml:space="preserve"> </w:t>
      </w:r>
      <w:r w:rsidR="000B7DCE" w:rsidRPr="001E71A8">
        <w:rPr>
          <w:i/>
        </w:rPr>
        <w:t>3</w:t>
      </w:r>
      <w:r w:rsidR="00952620" w:rsidRPr="00433D9B">
        <w:t>) noted the flexibility of the opt</w:t>
      </w:r>
      <w:r w:rsidR="00881D80" w:rsidRPr="00433D9B">
        <w:t>ion to aggregate</w:t>
      </w:r>
      <w:r w:rsidR="00E73E96" w:rsidRPr="00433D9B">
        <w:t xml:space="preserve"> channel</w:t>
      </w:r>
      <w:r w:rsidR="009C1426" w:rsidRPr="00433D9B">
        <w:t>s</w:t>
      </w:r>
      <w:r w:rsidR="0027515A">
        <w:t>. On</w:t>
      </w:r>
      <w:r w:rsidR="00881D80" w:rsidRPr="00433D9B">
        <w:t>e respondent didn’t articulate a specific preference</w:t>
      </w:r>
      <w:r w:rsidR="003F3BD0">
        <w:t>,</w:t>
      </w:r>
      <w:r w:rsidR="00B92137" w:rsidRPr="00433D9B">
        <w:t xml:space="preserve"> so long as the plan provided flexibility to accommodate all of their needs. </w:t>
      </w:r>
    </w:p>
    <w:p w14:paraId="1E4D18C2" w14:textId="766C6D94" w:rsidR="00DC501F" w:rsidRPr="00433D9B" w:rsidRDefault="00A51519" w:rsidP="00433D9B">
      <w:pPr>
        <w:pStyle w:val="Paragraph"/>
      </w:pPr>
      <w:r w:rsidRPr="00433D9B">
        <w:lastRenderedPageBreak/>
        <w:t xml:space="preserve">Similarly, equipment/services provider </w:t>
      </w:r>
      <w:r w:rsidR="001F7AC8">
        <w:t xml:space="preserve">sector </w:t>
      </w:r>
      <w:r w:rsidRPr="00433D9B">
        <w:t>responses in some cases depended on the equipment they offer</w:t>
      </w:r>
      <w:r w:rsidR="00930A11" w:rsidRPr="00433D9B">
        <w:t xml:space="preserve">. </w:t>
      </w:r>
      <w:r w:rsidR="00B53CB7" w:rsidRPr="00433D9B">
        <w:t xml:space="preserve">Others remained neutral, again on the basis that flexibility is key, with one </w:t>
      </w:r>
      <w:r w:rsidR="005C7A53" w:rsidRPr="00433D9B">
        <w:t xml:space="preserve">reiterating that the appointment of a band manager would </w:t>
      </w:r>
      <w:r w:rsidR="0004662E" w:rsidRPr="00433D9B">
        <w:t xml:space="preserve">obviate the need to specify a channel plan. </w:t>
      </w:r>
      <w:r w:rsidR="005C7A53" w:rsidRPr="00433D9B">
        <w:t xml:space="preserve"> </w:t>
      </w:r>
      <w:r w:rsidRPr="00433D9B">
        <w:t xml:space="preserve"> </w:t>
      </w:r>
      <w:r w:rsidR="005E6B3C" w:rsidRPr="00433D9B">
        <w:t xml:space="preserve"> </w:t>
      </w:r>
    </w:p>
    <w:p w14:paraId="0EBB89B8" w14:textId="77777777" w:rsidR="00DC501F" w:rsidRPr="00BA24A6" w:rsidRDefault="00DC501F" w:rsidP="00DC501F">
      <w:pPr>
        <w:pStyle w:val="Heading3"/>
      </w:pPr>
      <w:r>
        <w:t>ACMA response</w:t>
      </w:r>
    </w:p>
    <w:p w14:paraId="4B9F1702" w14:textId="313D305A" w:rsidR="00DC501F" w:rsidRPr="003B55F7" w:rsidRDefault="00BE73A8" w:rsidP="00DC501F">
      <w:pPr>
        <w:pStyle w:val="Paragraph"/>
        <w:rPr>
          <w:b/>
          <w:bCs/>
          <w:i/>
          <w:iCs/>
        </w:rPr>
      </w:pPr>
      <w:r>
        <w:t>Noting the need for ongoing flexibility</w:t>
      </w:r>
      <w:r w:rsidR="002C69F1">
        <w:t xml:space="preserve"> and a need</w:t>
      </w:r>
      <w:r w:rsidR="0018727E">
        <w:t xml:space="preserve"> for 1 MHz channels</w:t>
      </w:r>
      <w:r w:rsidR="002C69F1">
        <w:t xml:space="preserve"> by some </w:t>
      </w:r>
      <w:r w:rsidR="002C69F1" w:rsidRPr="00433D9B">
        <w:t>operators</w:t>
      </w:r>
      <w:r w:rsidR="0018727E" w:rsidRPr="00433D9B">
        <w:t>,</w:t>
      </w:r>
      <w:r w:rsidR="002C69F1" w:rsidRPr="00433D9B">
        <w:t xml:space="preserve"> and that</w:t>
      </w:r>
      <w:r w:rsidR="0031391B" w:rsidRPr="00433D9B">
        <w:t xml:space="preserve"> the provision for unlimited channel aggregation means that, in effect, there would be no barrier to using </w:t>
      </w:r>
      <w:r w:rsidR="00C12F10" w:rsidRPr="00433D9B">
        <w:t xml:space="preserve">the </w:t>
      </w:r>
      <w:r w:rsidR="0031391B" w:rsidRPr="00433D9B">
        <w:t xml:space="preserve">discrete </w:t>
      </w:r>
      <w:r w:rsidR="00C12F10" w:rsidRPr="00433D9B">
        <w:t>channels specified in channel plan B</w:t>
      </w:r>
      <w:r w:rsidR="0031391B" w:rsidRPr="00433D9B">
        <w:t xml:space="preserve"> under plan A, we </w:t>
      </w:r>
      <w:r w:rsidR="001F7AC8">
        <w:t xml:space="preserve">have </w:t>
      </w:r>
      <w:r w:rsidR="0031391B" w:rsidRPr="00433D9B">
        <w:t>proceed</w:t>
      </w:r>
      <w:r w:rsidR="001F7AC8">
        <w:t>ed</w:t>
      </w:r>
      <w:r w:rsidR="0031391B">
        <w:t xml:space="preserve"> as proposed with </w:t>
      </w:r>
      <w:r w:rsidR="00D73472">
        <w:t xml:space="preserve">implementing channel plan A in the </w:t>
      </w:r>
      <w:r w:rsidR="001F7AC8">
        <w:t xml:space="preserve">2023 </w:t>
      </w:r>
      <w:r w:rsidR="00D73472">
        <w:t xml:space="preserve">class licence. </w:t>
      </w:r>
    </w:p>
    <w:p w14:paraId="10E8EE6B" w14:textId="4A0F445B" w:rsidR="00110B1E" w:rsidRDefault="00110B1E" w:rsidP="00110B1E">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pPr>
      <w:r>
        <w:t>Question 1</w:t>
      </w:r>
      <w:r w:rsidR="006543E3">
        <w:t>3</w:t>
      </w:r>
    </w:p>
    <w:p w14:paraId="7D210CEC" w14:textId="77777777" w:rsidR="00990ACD" w:rsidRPr="006543E3" w:rsidRDefault="005F558B" w:rsidP="006543E3">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rPr>
          <w:b w:val="0"/>
          <w:bCs w:val="0"/>
        </w:rPr>
      </w:pPr>
      <w:r w:rsidRPr="006543E3">
        <w:rPr>
          <w:b w:val="0"/>
          <w:bCs w:val="0"/>
        </w:rPr>
        <w:t>Are the current interference protection measures for radio astronomy sites fit-for-purpose? Are the proposed protection measures from cellular mobile BS and user equipment appropriate?</w:t>
      </w:r>
    </w:p>
    <w:p w14:paraId="021F9309" w14:textId="77777777" w:rsidR="006316C5" w:rsidRDefault="006316C5" w:rsidP="00110B1E">
      <w:pPr>
        <w:pStyle w:val="Heading3"/>
      </w:pPr>
    </w:p>
    <w:p w14:paraId="0CDF85E8" w14:textId="6522C655" w:rsidR="00110B1E" w:rsidRPr="00A83B5D" w:rsidRDefault="00110B1E" w:rsidP="00110B1E">
      <w:pPr>
        <w:pStyle w:val="Heading3"/>
      </w:pPr>
      <w:r w:rsidRPr="00A83B5D">
        <w:t xml:space="preserve">Submissions </w:t>
      </w:r>
      <w:proofErr w:type="gramStart"/>
      <w:r w:rsidRPr="00A83B5D">
        <w:t>received</w:t>
      </w:r>
      <w:proofErr w:type="gramEnd"/>
    </w:p>
    <w:p w14:paraId="602E2B84" w14:textId="15376AD8" w:rsidR="00A478F0" w:rsidRPr="00433D9B" w:rsidRDefault="00ED62BC" w:rsidP="00433D9B">
      <w:pPr>
        <w:pStyle w:val="Paragraph"/>
      </w:pPr>
      <w:r w:rsidRPr="00433D9B">
        <w:t>In general, the PSB sector w</w:t>
      </w:r>
      <w:r w:rsidR="001F7AC8">
        <w:t>as</w:t>
      </w:r>
      <w:r w:rsidRPr="00433D9B">
        <w:t xml:space="preserve"> in favour of relaxing the protection requirements for radioastronomy services. </w:t>
      </w:r>
      <w:r w:rsidR="002E6501" w:rsidRPr="00433D9B">
        <w:t>On</w:t>
      </w:r>
      <w:r w:rsidR="008F34EA" w:rsidRPr="00433D9B">
        <w:t>e</w:t>
      </w:r>
      <w:r w:rsidR="002E6501" w:rsidRPr="00433D9B">
        <w:t xml:space="preserve"> respondent suggested they were too restrictive for their airborne operations, </w:t>
      </w:r>
      <w:r w:rsidR="001F7AC8">
        <w:t>and</w:t>
      </w:r>
      <w:r w:rsidR="002E6501" w:rsidRPr="00433D9B">
        <w:t xml:space="preserve"> another reiterated that there could be a role for band management to coordinate access with</w:t>
      </w:r>
      <w:r w:rsidR="001E1EB3">
        <w:t xml:space="preserve"> </w:t>
      </w:r>
      <w:r w:rsidR="001E1EB3" w:rsidRPr="00433D9B">
        <w:t>radioastronomy services</w:t>
      </w:r>
      <w:r w:rsidR="008F34EA" w:rsidRPr="00433D9B">
        <w:t xml:space="preserve">. How the </w:t>
      </w:r>
      <w:r w:rsidR="003F3BD0">
        <w:t xml:space="preserve">protection </w:t>
      </w:r>
      <w:r w:rsidR="008F34EA" w:rsidRPr="00433D9B">
        <w:t>zones</w:t>
      </w:r>
      <w:r w:rsidR="003F3BD0">
        <w:t xml:space="preserve"> around </w:t>
      </w:r>
      <w:r w:rsidR="001E1EB3" w:rsidRPr="00433D9B">
        <w:t xml:space="preserve">radioastronomy services </w:t>
      </w:r>
      <w:r w:rsidR="003F3BD0">
        <w:t>sites</w:t>
      </w:r>
      <w:r w:rsidR="008F34EA" w:rsidRPr="00433D9B">
        <w:t xml:space="preserve"> are communicated </w:t>
      </w:r>
      <w:r w:rsidR="00382D5A" w:rsidRPr="00433D9B">
        <w:t>was also raise</w:t>
      </w:r>
      <w:r w:rsidR="006D5E86">
        <w:t>d</w:t>
      </w:r>
      <w:r w:rsidR="00382D5A" w:rsidRPr="00433D9B">
        <w:t xml:space="preserve"> by one PSB </w:t>
      </w:r>
      <w:r w:rsidR="001F7AC8">
        <w:t xml:space="preserve">sector </w:t>
      </w:r>
      <w:r w:rsidR="00382D5A" w:rsidRPr="00433D9B">
        <w:t xml:space="preserve">respondent and </w:t>
      </w:r>
      <w:r w:rsidR="00425024" w:rsidRPr="00433D9B">
        <w:t>by a respondent</w:t>
      </w:r>
      <w:r w:rsidR="00382D5A" w:rsidRPr="00433D9B">
        <w:t xml:space="preserve"> from the equipment/services provider sector. </w:t>
      </w:r>
    </w:p>
    <w:p w14:paraId="54F2A8CF" w14:textId="094F9ED7" w:rsidR="00D37A7B" w:rsidRPr="00433D9B" w:rsidRDefault="002F309F" w:rsidP="00433D9B">
      <w:pPr>
        <w:pStyle w:val="Paragraph"/>
      </w:pPr>
      <w:r w:rsidRPr="00433D9B">
        <w:t xml:space="preserve">Equipment/services provider sector responses were otherwise </w:t>
      </w:r>
      <w:r w:rsidR="00E91F14" w:rsidRPr="00433D9B">
        <w:t xml:space="preserve">generally in favour of retaining </w:t>
      </w:r>
      <w:r w:rsidR="00D37A7B" w:rsidRPr="00433D9B">
        <w:t xml:space="preserve">protection provisions for </w:t>
      </w:r>
      <w:r w:rsidR="001E1EB3" w:rsidRPr="00433D9B">
        <w:t>radioastronomy services</w:t>
      </w:r>
      <w:r w:rsidR="001143CC">
        <w:t xml:space="preserve">. However, </w:t>
      </w:r>
      <w:r w:rsidR="005A6F3E" w:rsidRPr="00433D9B">
        <w:t>one suggested that equipment bandwidths should be limited to 25 MHz</w:t>
      </w:r>
      <w:r w:rsidR="001143CC">
        <w:t xml:space="preserve">, </w:t>
      </w:r>
      <w:r w:rsidR="005A6F3E" w:rsidRPr="00433D9B">
        <w:t>presumably in line with their own technology offerings</w:t>
      </w:r>
      <w:r w:rsidR="001143CC">
        <w:t>. I</w:t>
      </w:r>
      <w:r w:rsidR="003F3BD0">
        <w:t xml:space="preserve">t is unclear how this relates to </w:t>
      </w:r>
      <w:r w:rsidR="001E1EB3" w:rsidRPr="00433D9B">
        <w:t>radioastronomy services</w:t>
      </w:r>
      <w:r w:rsidR="003F3BD0">
        <w:t xml:space="preserve"> protection</w:t>
      </w:r>
      <w:r w:rsidR="005A6F3E" w:rsidRPr="00433D9B">
        <w:t>.</w:t>
      </w:r>
    </w:p>
    <w:p w14:paraId="58BB679C" w14:textId="606314E2" w:rsidR="00440D84" w:rsidRPr="00433D9B" w:rsidRDefault="008C159E" w:rsidP="00433D9B">
      <w:pPr>
        <w:pStyle w:val="Paragraph"/>
      </w:pPr>
      <w:r w:rsidRPr="00433D9B">
        <w:t xml:space="preserve">A response from the </w:t>
      </w:r>
      <w:r w:rsidR="006D5E86">
        <w:t>radioastronomy services</w:t>
      </w:r>
      <w:r w:rsidRPr="00433D9B">
        <w:t xml:space="preserve"> sector reaffirmed the </w:t>
      </w:r>
      <w:r w:rsidR="00D71292" w:rsidRPr="00433D9B">
        <w:t xml:space="preserve">need for ongoing protection in the </w:t>
      </w:r>
      <w:r w:rsidR="00DF2EDE">
        <w:t xml:space="preserve">4.9 GHz </w:t>
      </w:r>
      <w:r w:rsidR="00D71292" w:rsidRPr="00433D9B">
        <w:t>band</w:t>
      </w:r>
      <w:r w:rsidR="001E5A1E" w:rsidRPr="00433D9B">
        <w:t xml:space="preserve">, singling out the particular importance of the band for radioastronomy observations at the Paul Wild Observatory in Narrabri, NSW. </w:t>
      </w:r>
    </w:p>
    <w:p w14:paraId="64D0947B" w14:textId="77777777" w:rsidR="00110B1E" w:rsidRPr="00BA24A6" w:rsidRDefault="00110B1E" w:rsidP="00110B1E">
      <w:pPr>
        <w:pStyle w:val="Heading3"/>
      </w:pPr>
      <w:r>
        <w:t>ACMA response</w:t>
      </w:r>
    </w:p>
    <w:p w14:paraId="20F2D0FF" w14:textId="1DDE9A0C" w:rsidR="008679C4" w:rsidRPr="00433D9B" w:rsidRDefault="001143CC" w:rsidP="00433D9B">
      <w:pPr>
        <w:pStyle w:val="Paragraph"/>
      </w:pPr>
      <w:r>
        <w:t xml:space="preserve">We do </w:t>
      </w:r>
      <w:r w:rsidR="006D5E86">
        <w:t>not intend</w:t>
      </w:r>
      <w:r w:rsidR="00342B87" w:rsidRPr="00433D9B">
        <w:t xml:space="preserve"> to relax the protections for </w:t>
      </w:r>
      <w:r w:rsidR="006D5E86">
        <w:t>radioastronomy.</w:t>
      </w:r>
      <w:r w:rsidR="005B6F1E" w:rsidRPr="00433D9B">
        <w:t xml:space="preserve"> We note the</w:t>
      </w:r>
      <w:r w:rsidR="008D23C7" w:rsidRPr="00433D9B">
        <w:t xml:space="preserve"> submission fro</w:t>
      </w:r>
      <w:r w:rsidR="006D5E86">
        <w:t xml:space="preserve">m the radioastronomy </w:t>
      </w:r>
      <w:r w:rsidR="008D23C7" w:rsidRPr="00433D9B">
        <w:t>sector that those protection limits are fit-for-purpose</w:t>
      </w:r>
      <w:r w:rsidR="003F3BD0">
        <w:t xml:space="preserve"> and</w:t>
      </w:r>
      <w:r w:rsidR="006D5E86">
        <w:t xml:space="preserve"> </w:t>
      </w:r>
      <w:r w:rsidR="002E42BC" w:rsidRPr="00433D9B">
        <w:t>will retain the</w:t>
      </w:r>
      <w:r w:rsidR="008679C4" w:rsidRPr="00433D9B">
        <w:t xml:space="preserve"> existing provisions in the remade class licence.</w:t>
      </w:r>
    </w:p>
    <w:p w14:paraId="30DD1943" w14:textId="1F4D615F" w:rsidR="00110B1E" w:rsidRPr="00433D9B" w:rsidRDefault="008679C4" w:rsidP="007546A6">
      <w:pPr>
        <w:pStyle w:val="Paragraphbeforelist"/>
      </w:pPr>
      <w:r w:rsidRPr="00433D9B">
        <w:t xml:space="preserve">With regard to restrictions on operations around radioastronomy sites, </w:t>
      </w:r>
      <w:r w:rsidR="008D391A" w:rsidRPr="00433D9B">
        <w:t xml:space="preserve">the ACMA </w:t>
      </w:r>
      <w:r w:rsidRPr="00433D9B">
        <w:t>acknowledge</w:t>
      </w:r>
      <w:r w:rsidR="008D391A" w:rsidRPr="00433D9B">
        <w:t>s</w:t>
      </w:r>
      <w:r w:rsidRPr="00433D9B">
        <w:t xml:space="preserve"> that</w:t>
      </w:r>
      <w:r w:rsidR="005B6F1E" w:rsidRPr="00433D9B">
        <w:t xml:space="preserve"> </w:t>
      </w:r>
      <w:r w:rsidR="00813746" w:rsidRPr="00433D9B">
        <w:t xml:space="preserve">the protection requirements </w:t>
      </w:r>
      <w:r w:rsidR="00DF2EDE">
        <w:t xml:space="preserve">may present difficulties </w:t>
      </w:r>
      <w:r w:rsidR="00FA17E6" w:rsidRPr="00433D9B">
        <w:t xml:space="preserve">for airborne operations in some geographic areas. We do note, however, that: </w:t>
      </w:r>
    </w:p>
    <w:p w14:paraId="089C195B" w14:textId="1F77BFAE" w:rsidR="00FA17E6" w:rsidRPr="0029798F" w:rsidRDefault="001143CC" w:rsidP="00FA17E6">
      <w:pPr>
        <w:pStyle w:val="Bulletlevel1"/>
      </w:pPr>
      <w:r>
        <w:t>T</w:t>
      </w:r>
      <w:r w:rsidR="0040216C" w:rsidRPr="0029798F">
        <w:t xml:space="preserve">he restrictions apply </w:t>
      </w:r>
      <w:r w:rsidR="00147547" w:rsidRPr="0029798F">
        <w:t xml:space="preserve">to frequencies above 4950 MHz, which means </w:t>
      </w:r>
      <w:r>
        <w:br/>
      </w:r>
      <w:r w:rsidR="00147547" w:rsidRPr="0029798F">
        <w:t>4940–4950 MHz is available for airborne use</w:t>
      </w:r>
      <w:r w:rsidR="0029798F">
        <w:t>.</w:t>
      </w:r>
    </w:p>
    <w:p w14:paraId="5D10D69B" w14:textId="5001452F" w:rsidR="000A2C24" w:rsidRPr="0029798F" w:rsidRDefault="001143CC" w:rsidP="000A2C24">
      <w:pPr>
        <w:pStyle w:val="Bulletlevel1"/>
      </w:pPr>
      <w:r>
        <w:t>T</w:t>
      </w:r>
      <w:r w:rsidR="000A2C24" w:rsidRPr="0029798F">
        <w:t xml:space="preserve">he initial intention for the band was </w:t>
      </w:r>
      <w:r w:rsidR="009F42DF">
        <w:t>principally to</w:t>
      </w:r>
      <w:r w:rsidR="000A2C24" w:rsidRPr="0029798F">
        <w:t xml:space="preserve"> support ground-based </w:t>
      </w:r>
      <w:r>
        <w:br/>
      </w:r>
      <w:r w:rsidR="000A2C24" w:rsidRPr="0029798F">
        <w:t xml:space="preserve">operations, which are far less limited by the </w:t>
      </w:r>
      <w:r w:rsidR="006D5E86">
        <w:t>radioastronomy</w:t>
      </w:r>
      <w:r w:rsidR="000A2C24" w:rsidRPr="0029798F">
        <w:t xml:space="preserve"> protection requirements. The provisions for airborne service </w:t>
      </w:r>
      <w:r w:rsidR="0029798F" w:rsidRPr="0029798F">
        <w:t xml:space="preserve">were </w:t>
      </w:r>
      <w:r w:rsidR="0029798F">
        <w:t xml:space="preserve">made </w:t>
      </w:r>
      <w:r w:rsidR="00DF2EDE">
        <w:t xml:space="preserve">after </w:t>
      </w:r>
      <w:r w:rsidR="0029798F">
        <w:t xml:space="preserve">consultation </w:t>
      </w:r>
      <w:r>
        <w:br/>
      </w:r>
      <w:r w:rsidR="0029798F">
        <w:t>on the</w:t>
      </w:r>
      <w:r w:rsidR="00DF2EDE">
        <w:t xml:space="preserve"> 2013 class</w:t>
      </w:r>
      <w:r w:rsidR="0029798F">
        <w:t xml:space="preserve"> licence in good faith, on the basis that </w:t>
      </w:r>
      <w:r w:rsidR="006D5E86">
        <w:t>radioastronomy</w:t>
      </w:r>
      <w:r w:rsidR="0029798F">
        <w:t xml:space="preserve"> services would still be protected. This policy has</w:t>
      </w:r>
      <w:r w:rsidR="006D5E86">
        <w:t xml:space="preserve"> not</w:t>
      </w:r>
      <w:r w:rsidR="0029798F">
        <w:t xml:space="preserve"> changed. </w:t>
      </w:r>
    </w:p>
    <w:p w14:paraId="56B2AA5C" w14:textId="00E7EBE8" w:rsidR="0040216C" w:rsidRDefault="001143CC" w:rsidP="00FA17E6">
      <w:pPr>
        <w:pStyle w:val="Bulletlevel1"/>
      </w:pPr>
      <w:r>
        <w:t>C</w:t>
      </w:r>
      <w:r w:rsidR="00525703">
        <w:t>oordination</w:t>
      </w:r>
      <w:r w:rsidR="00C81E7F">
        <w:t xml:space="preserve"> with </w:t>
      </w:r>
      <w:r w:rsidR="006D5E86">
        <w:t>radioastronomy services</w:t>
      </w:r>
      <w:r w:rsidR="00451F80">
        <w:t xml:space="preserve"> site operators</w:t>
      </w:r>
      <w:r w:rsidR="00525703">
        <w:t xml:space="preserve">, either on an as-needs basis or towards standing </w:t>
      </w:r>
      <w:r w:rsidR="00331209">
        <w:t xml:space="preserve">provisions, always remains an option. The ACMA can provide relevant contact details as needed. </w:t>
      </w:r>
    </w:p>
    <w:p w14:paraId="1C2619EA" w14:textId="5C51D9C1" w:rsidR="00A36C87" w:rsidRPr="00BA24A6" w:rsidRDefault="001143CC" w:rsidP="00BC49CD">
      <w:pPr>
        <w:pStyle w:val="Bulletlevel1"/>
      </w:pPr>
      <w:r>
        <w:lastRenderedPageBreak/>
        <w:t>O</w:t>
      </w:r>
      <w:r w:rsidR="00C00F0D">
        <w:t xml:space="preserve">perations during </w:t>
      </w:r>
      <w:r w:rsidR="00C3396C">
        <w:t>emergencies</w:t>
      </w:r>
      <w:r w:rsidR="000F24D7">
        <w:t xml:space="preserve"> </w:t>
      </w:r>
      <w:r w:rsidR="00E15F1D">
        <w:t xml:space="preserve">are covered by </w:t>
      </w:r>
      <w:r w:rsidR="007F20A5">
        <w:t>various</w:t>
      </w:r>
      <w:r w:rsidR="00E15F1D">
        <w:t xml:space="preserve"> provisions of the</w:t>
      </w:r>
      <w:r w:rsidR="00DF2EDE">
        <w:t xml:space="preserve"> Act</w:t>
      </w:r>
      <w:r w:rsidR="007F20A5">
        <w:rPr>
          <w:i/>
          <w:iCs/>
        </w:rPr>
        <w:t xml:space="preserve">. </w:t>
      </w:r>
      <w:r w:rsidR="007F20A5">
        <w:t xml:space="preserve">For example, section 196 of the Act </w:t>
      </w:r>
      <w:r w:rsidR="00030CFA">
        <w:t xml:space="preserve">contains specific </w:t>
      </w:r>
      <w:r w:rsidR="00C77006">
        <w:t>exemptions from penalt</w:t>
      </w:r>
      <w:r w:rsidR="00F27368">
        <w:t>ies otherwise resulting from causing interference</w:t>
      </w:r>
      <w:r w:rsidR="004E51AB">
        <w:t xml:space="preserve"> arising from radiocommunications operation in support of an emergency operation.</w:t>
      </w:r>
      <w:r w:rsidR="00030CFA">
        <w:t xml:space="preserve"> </w:t>
      </w:r>
    </w:p>
    <w:p w14:paraId="30AB2810" w14:textId="012B5512" w:rsidR="00FF1004" w:rsidRPr="00765D0C" w:rsidRDefault="00FF1004" w:rsidP="00FF1004">
      <w:pPr>
        <w:pStyle w:val="Heading1"/>
      </w:pPr>
      <w:bookmarkStart w:id="7" w:name="_Toc145588193"/>
      <w:r w:rsidRPr="00765D0C">
        <w:lastRenderedPageBreak/>
        <w:t xml:space="preserve">Discussion of </w:t>
      </w:r>
      <w:r w:rsidR="008D35A0">
        <w:t xml:space="preserve">responses and </w:t>
      </w:r>
      <w:r w:rsidR="00DA125B">
        <w:t>way forward</w:t>
      </w:r>
      <w:bookmarkEnd w:id="7"/>
    </w:p>
    <w:bookmarkEnd w:id="6"/>
    <w:p w14:paraId="30095F7B" w14:textId="0E1D6919" w:rsidR="000901C1" w:rsidRDefault="00E1063A" w:rsidP="00433D9B">
      <w:pPr>
        <w:pStyle w:val="Paragraph"/>
        <w:rPr>
          <w:b/>
          <w:vanish/>
        </w:rPr>
      </w:pPr>
      <w:r>
        <w:t>Upon re</w:t>
      </w:r>
      <w:r w:rsidR="007F56BB">
        <w:t xml:space="preserve">view of the submissions received, </w:t>
      </w:r>
      <w:r w:rsidR="00304D1F">
        <w:t>t</w:t>
      </w:r>
      <w:r w:rsidR="00DA125B" w:rsidRPr="00EA3250">
        <w:t xml:space="preserve">he ACMA has decided to remake the </w:t>
      </w:r>
      <w:r w:rsidR="00DF2EDE">
        <w:t>2013 class licence</w:t>
      </w:r>
      <w:r w:rsidR="00DA125B" w:rsidRPr="00EA3250">
        <w:t xml:space="preserve"> with the changes </w:t>
      </w:r>
      <w:r w:rsidR="00DA125B">
        <w:t>proposed</w:t>
      </w:r>
      <w:r w:rsidR="00CB5239">
        <w:t xml:space="preserve"> in consultation</w:t>
      </w:r>
      <w:r w:rsidR="00DA125B">
        <w:t>.</w:t>
      </w:r>
      <w:r w:rsidR="00DA125B" w:rsidRPr="00EA3250">
        <w:t xml:space="preserve"> </w:t>
      </w:r>
      <w:r w:rsidR="000047B6">
        <w:t xml:space="preserve">The new (2023) class licence contains additional provisions for </w:t>
      </w:r>
      <w:r w:rsidR="00352F2B">
        <w:t xml:space="preserve">cellular mobile base station and </w:t>
      </w:r>
      <w:r w:rsidR="00DF2EDE">
        <w:t>UE</w:t>
      </w:r>
      <w:r w:rsidR="00352F2B">
        <w:t xml:space="preserve"> transmitters, which collectively will </w:t>
      </w:r>
      <w:r w:rsidR="004E3E64">
        <w:t xml:space="preserve">enable the use of </w:t>
      </w:r>
      <w:r w:rsidR="0058702F">
        <w:t xml:space="preserve">technologies </w:t>
      </w:r>
      <w:r w:rsidR="00F543BB">
        <w:t xml:space="preserve">based on </w:t>
      </w:r>
      <w:r w:rsidR="0058702F">
        <w:t xml:space="preserve">4G and 5G </w:t>
      </w:r>
      <w:r w:rsidR="00725B7B">
        <w:t>standards (and potentially later evolutions of those standards).</w:t>
      </w:r>
    </w:p>
    <w:p w14:paraId="279AFF7E" w14:textId="7D61FC48" w:rsidR="00DA125B" w:rsidRDefault="000901C1" w:rsidP="00433D9B">
      <w:pPr>
        <w:pStyle w:val="Paragraph"/>
        <w:rPr>
          <w:b/>
          <w:vanish/>
        </w:rPr>
      </w:pPr>
      <w:r>
        <w:t xml:space="preserve">Interference minimisation provisions for radioastronomy sites remain in place, as do the previous provisions of the </w:t>
      </w:r>
      <w:r w:rsidR="00DF2EDE">
        <w:t xml:space="preserve">2013 </w:t>
      </w:r>
      <w:r>
        <w:t>class licence</w:t>
      </w:r>
      <w:r w:rsidR="002D18AA">
        <w:t>. T</w:t>
      </w:r>
      <w:r w:rsidR="003B0631">
        <w:t xml:space="preserve">he language around limitations on fixed point-to-point services to </w:t>
      </w:r>
      <w:r w:rsidR="002D18AA">
        <w:t>6</w:t>
      </w:r>
      <w:r w:rsidR="005C775A">
        <w:t>-month</w:t>
      </w:r>
      <w:r w:rsidR="003B0631">
        <w:t xml:space="preserve"> deployments has been adjusted to avoid confusion with </w:t>
      </w:r>
      <w:r w:rsidR="00470C87">
        <w:t>being applicable</w:t>
      </w:r>
      <w:r w:rsidR="003B0631">
        <w:t xml:space="preserve"> to unintended services such as mobile base stations. </w:t>
      </w:r>
    </w:p>
    <w:p w14:paraId="55A6A35B" w14:textId="04D33A53" w:rsidR="00706321" w:rsidRDefault="002D18AA" w:rsidP="00433D9B">
      <w:pPr>
        <w:pStyle w:val="Paragraph"/>
        <w:rPr>
          <w:b/>
          <w:vanish/>
        </w:rPr>
      </w:pPr>
      <w:r>
        <w:t xml:space="preserve">We </w:t>
      </w:r>
      <w:r w:rsidR="00B13C90">
        <w:t xml:space="preserve">thank those who contributed responses to the consultation process and </w:t>
      </w:r>
      <w:r w:rsidR="006D5E86">
        <w:t xml:space="preserve">note </w:t>
      </w:r>
      <w:r w:rsidR="00304D1F">
        <w:t xml:space="preserve">that the </w:t>
      </w:r>
      <w:r w:rsidR="00DF2EDE">
        <w:t xml:space="preserve">2023 </w:t>
      </w:r>
      <w:r w:rsidR="00304D1F">
        <w:t>class licence is open to review at any time</w:t>
      </w:r>
      <w:r w:rsidR="006D5E86">
        <w:t>.</w:t>
      </w:r>
      <w:r w:rsidR="00304D1F">
        <w:t xml:space="preserve"> The appropriate mechanism for proposing modification</w:t>
      </w:r>
      <w:r w:rsidR="003F3BD0">
        <w:t>s</w:t>
      </w:r>
      <w:r w:rsidR="00304D1F">
        <w:t xml:space="preserve"> </w:t>
      </w:r>
      <w:r w:rsidR="0053728B">
        <w:t xml:space="preserve">to the class licence is through a submission to our regular </w:t>
      </w:r>
      <w:hyperlink r:id="rId27" w:history="1">
        <w:r w:rsidR="0053728B">
          <w:rPr>
            <w:rStyle w:val="Hyperlink"/>
            <w:szCs w:val="20"/>
          </w:rPr>
          <w:t>Five</w:t>
        </w:r>
        <w:r>
          <w:rPr>
            <w:rStyle w:val="Hyperlink"/>
            <w:szCs w:val="20"/>
          </w:rPr>
          <w:t>-y</w:t>
        </w:r>
        <w:r w:rsidR="0053728B">
          <w:rPr>
            <w:rStyle w:val="Hyperlink"/>
            <w:szCs w:val="20"/>
          </w:rPr>
          <w:t xml:space="preserve">ear </w:t>
        </w:r>
        <w:r>
          <w:rPr>
            <w:rStyle w:val="Hyperlink"/>
            <w:szCs w:val="20"/>
          </w:rPr>
          <w:t>s</w:t>
        </w:r>
        <w:r w:rsidR="0053728B">
          <w:rPr>
            <w:rStyle w:val="Hyperlink"/>
            <w:szCs w:val="20"/>
          </w:rPr>
          <w:t xml:space="preserve">pectrum </w:t>
        </w:r>
        <w:r>
          <w:rPr>
            <w:rStyle w:val="Hyperlink"/>
            <w:szCs w:val="20"/>
          </w:rPr>
          <w:t>o</w:t>
        </w:r>
        <w:r w:rsidR="0053728B">
          <w:rPr>
            <w:rStyle w:val="Hyperlink"/>
            <w:szCs w:val="20"/>
          </w:rPr>
          <w:t>utlook</w:t>
        </w:r>
      </w:hyperlink>
      <w:r w:rsidR="0053728B">
        <w:t xml:space="preserve"> consultative process. </w:t>
      </w:r>
      <w:r w:rsidR="00CB76C1">
        <w:t xml:space="preserve">This may include, for example, a proposal to prescribe a </w:t>
      </w:r>
      <w:r w:rsidR="00E90E5E">
        <w:t>s</w:t>
      </w:r>
      <w:r w:rsidR="00CB76C1">
        <w:t xml:space="preserve">tate or national band manager in the </w:t>
      </w:r>
      <w:r w:rsidR="00DF2EDE">
        <w:t xml:space="preserve">2023 class </w:t>
      </w:r>
      <w:r w:rsidR="00CB76C1">
        <w:t xml:space="preserve">licence that has been agreed by </w:t>
      </w:r>
      <w:r w:rsidR="00904A17">
        <w:t xml:space="preserve">all authorised PSBs operating within the relevant jurisdiction. </w:t>
      </w:r>
    </w:p>
    <w:p w14:paraId="7490802E" w14:textId="77777777" w:rsidR="0053728B" w:rsidRDefault="0053728B" w:rsidP="00745C17">
      <w:pPr>
        <w:pStyle w:val="ACMAInstructions"/>
        <w:rPr>
          <w:b w:val="0"/>
          <w:vanish w:val="0"/>
          <w:sz w:val="20"/>
          <w:szCs w:val="20"/>
        </w:rPr>
      </w:pPr>
    </w:p>
    <w:p w14:paraId="2F2E9175" w14:textId="43E2D500" w:rsidR="00EE4A0C" w:rsidRPr="008765BB" w:rsidRDefault="00EE4A0C" w:rsidP="00DF2EDE">
      <w:pPr>
        <w:pStyle w:val="Bulletlevel2"/>
        <w:numPr>
          <w:ilvl w:val="0"/>
          <w:numId w:val="0"/>
        </w:numPr>
        <w:ind w:left="845"/>
      </w:pPr>
    </w:p>
    <w:sectPr w:rsidR="00EE4A0C" w:rsidRPr="008765BB" w:rsidSect="0019368D">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4C58" w14:textId="77777777" w:rsidR="00CB1F30" w:rsidRDefault="00CB1F30">
      <w:r>
        <w:separator/>
      </w:r>
    </w:p>
  </w:endnote>
  <w:endnote w:type="continuationSeparator" w:id="0">
    <w:p w14:paraId="0866A36E" w14:textId="77777777" w:rsidR="00CB1F30" w:rsidRDefault="00CB1F30">
      <w:r>
        <w:continuationSeparator/>
      </w:r>
    </w:p>
  </w:endnote>
  <w:endnote w:type="continuationNotice" w:id="1">
    <w:p w14:paraId="47FA4D33" w14:textId="77777777" w:rsidR="00CB1F30" w:rsidRDefault="00CB1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B23" w14:textId="77777777" w:rsidR="00D02FF0" w:rsidRDefault="00D02FF0" w:rsidP="005E250B">
    <w:pPr>
      <w:pStyle w:val="Footer"/>
      <w:jc w:val="right"/>
    </w:pPr>
    <w:r w:rsidRPr="005E250B">
      <w:rPr>
        <w:noProof/>
        <w:vertAlign w:val="subscript"/>
      </w:rPr>
      <w:drawing>
        <wp:inline distT="0" distB="0" distL="0" distR="0" wp14:anchorId="621E49A6" wp14:editId="3EFC60A3">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E40B" w14:textId="77777777" w:rsidR="00D02FF0" w:rsidRDefault="00D02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36E7" w14:textId="77777777" w:rsidR="00D02FF0" w:rsidRDefault="00D02F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E17F" w14:textId="77777777" w:rsidR="00D02FF0" w:rsidRPr="00622A3B" w:rsidRDefault="00D02FF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DDF9409" w14:textId="77777777" w:rsidR="00D02FF0" w:rsidRPr="00A5474E" w:rsidRDefault="00D02FF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57F" w14:textId="77777777" w:rsidR="00D02FF0" w:rsidRPr="00622A3B" w:rsidRDefault="00D02FF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1CBAC530" w14:textId="77777777" w:rsidR="00D02FF0" w:rsidRPr="00A5474E" w:rsidRDefault="00D02FF0"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2898" w14:textId="77777777" w:rsidR="00D02FF0" w:rsidRPr="00622A3B" w:rsidRDefault="00D02FF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F242BC2" w14:textId="77777777" w:rsidR="00D02FF0" w:rsidRPr="00A5474E" w:rsidRDefault="00D02FF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4046" w14:textId="77777777" w:rsidR="00D02FF0" w:rsidRPr="00622A3B" w:rsidRDefault="00D02FF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D477DDF" w14:textId="77777777" w:rsidR="00D02FF0" w:rsidRPr="00A5474E" w:rsidRDefault="00D02FF0"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0A1D" w14:textId="77777777" w:rsidR="00D02FF0" w:rsidRPr="00622A3B" w:rsidRDefault="00D02FF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291E337" w14:textId="77777777" w:rsidR="00D02FF0" w:rsidRPr="00A5474E" w:rsidRDefault="00D02FF0"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0851" w14:textId="77777777" w:rsidR="00CB1F30" w:rsidRDefault="00CB1F30">
      <w:r>
        <w:separator/>
      </w:r>
    </w:p>
  </w:footnote>
  <w:footnote w:type="continuationSeparator" w:id="0">
    <w:p w14:paraId="3EF1D57C" w14:textId="77777777" w:rsidR="00CB1F30" w:rsidRDefault="00CB1F30">
      <w:r>
        <w:continuationSeparator/>
      </w:r>
    </w:p>
  </w:footnote>
  <w:footnote w:type="continuationNotice" w:id="1">
    <w:p w14:paraId="00B02D69" w14:textId="77777777" w:rsidR="00CB1F30" w:rsidRDefault="00CB1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22D4" w14:textId="77777777" w:rsidR="00D02FF0" w:rsidRPr="00A5474E" w:rsidRDefault="00D02FF0" w:rsidP="00A5474E">
    <w:pPr>
      <w:pStyle w:val="Header"/>
    </w:pPr>
    <w:r>
      <w:rPr>
        <w:noProof/>
      </w:rPr>
      <w:drawing>
        <wp:inline distT="0" distB="0" distL="0" distR="0" wp14:anchorId="391769A0" wp14:editId="523BFB23">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A6F0" w14:textId="77777777" w:rsidR="00D02FF0" w:rsidRPr="00A5474E" w:rsidRDefault="00D02FF0"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E621" w14:textId="77777777" w:rsidR="00D02FF0" w:rsidRDefault="00D02F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6709" w14:textId="77777777" w:rsidR="00D02FF0" w:rsidRDefault="00D02F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D02FF0" w14:paraId="6FC57379" w14:textId="77777777" w:rsidTr="0043409F">
      <w:trPr>
        <w:trHeight w:hRule="exact" w:val="988"/>
      </w:trPr>
      <w:tc>
        <w:tcPr>
          <w:tcW w:w="7678" w:type="dxa"/>
          <w:shd w:val="clear" w:color="auto" w:fill="auto"/>
        </w:tcPr>
        <w:p w14:paraId="66734907" w14:textId="77777777" w:rsidR="00D02FF0" w:rsidRDefault="00D02FF0" w:rsidP="00971914">
          <w:pPr>
            <w:pStyle w:val="Header"/>
          </w:pPr>
        </w:p>
      </w:tc>
    </w:tr>
    <w:tr w:rsidR="00D02FF0" w14:paraId="65EFE329" w14:textId="77777777" w:rsidTr="0043409F">
      <w:tc>
        <w:tcPr>
          <w:tcW w:w="7678" w:type="dxa"/>
          <w:shd w:val="clear" w:color="auto" w:fill="auto"/>
        </w:tcPr>
        <w:p w14:paraId="04EBD24F" w14:textId="77777777" w:rsidR="00D02FF0" w:rsidRDefault="00D02FF0" w:rsidP="00971914">
          <w:pPr>
            <w:pStyle w:val="GridTable31"/>
          </w:pPr>
          <w:r>
            <w:t xml:space="preserve">Contents </w:t>
          </w:r>
          <w:r w:rsidRPr="00915B1C">
            <w:rPr>
              <w:b w:val="0"/>
              <w:spacing w:val="0"/>
              <w:sz w:val="28"/>
              <w:szCs w:val="28"/>
            </w:rPr>
            <w:t>(Continued)</w:t>
          </w:r>
        </w:p>
      </w:tc>
    </w:tr>
    <w:tr w:rsidR="00D02FF0" w14:paraId="445D1757" w14:textId="77777777" w:rsidTr="0043409F">
      <w:trPr>
        <w:trHeight w:val="1220"/>
      </w:trPr>
      <w:tc>
        <w:tcPr>
          <w:tcW w:w="7678" w:type="dxa"/>
          <w:shd w:val="clear" w:color="auto" w:fill="auto"/>
        </w:tcPr>
        <w:p w14:paraId="3EEA7A28" w14:textId="77777777" w:rsidR="00D02FF0" w:rsidRDefault="00D02FF0" w:rsidP="00971914"/>
      </w:tc>
    </w:tr>
  </w:tbl>
  <w:p w14:paraId="42553108" w14:textId="77777777" w:rsidR="00D02FF0" w:rsidRDefault="00D02FF0"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D02FF0" w14:paraId="3C3A6F88" w14:textId="77777777" w:rsidTr="0043409F">
      <w:trPr>
        <w:trHeight w:hRule="exact" w:val="988"/>
      </w:trPr>
      <w:tc>
        <w:tcPr>
          <w:tcW w:w="7678" w:type="dxa"/>
          <w:shd w:val="clear" w:color="auto" w:fill="auto"/>
        </w:tcPr>
        <w:p w14:paraId="0FAEB3F5" w14:textId="77777777" w:rsidR="00D02FF0" w:rsidRDefault="00D02FF0" w:rsidP="00971914">
          <w:pPr>
            <w:pStyle w:val="Header"/>
          </w:pPr>
        </w:p>
      </w:tc>
    </w:tr>
    <w:tr w:rsidR="00D02FF0" w14:paraId="241DB44B" w14:textId="77777777" w:rsidTr="0043409F">
      <w:tc>
        <w:tcPr>
          <w:tcW w:w="7678" w:type="dxa"/>
          <w:shd w:val="clear" w:color="auto" w:fill="auto"/>
        </w:tcPr>
        <w:p w14:paraId="28D590B8" w14:textId="77777777" w:rsidR="00D02FF0" w:rsidRDefault="00D02FF0" w:rsidP="00971914">
          <w:pPr>
            <w:pStyle w:val="GridTable31"/>
          </w:pPr>
          <w:r>
            <w:t xml:space="preserve">Contents </w:t>
          </w:r>
          <w:r w:rsidRPr="00915B1C">
            <w:rPr>
              <w:b w:val="0"/>
              <w:spacing w:val="0"/>
              <w:sz w:val="28"/>
              <w:szCs w:val="28"/>
            </w:rPr>
            <w:t>(Continued)</w:t>
          </w:r>
        </w:p>
      </w:tc>
    </w:tr>
    <w:tr w:rsidR="00D02FF0" w14:paraId="183D9186" w14:textId="77777777" w:rsidTr="0043409F">
      <w:trPr>
        <w:trHeight w:val="1220"/>
      </w:trPr>
      <w:tc>
        <w:tcPr>
          <w:tcW w:w="7678" w:type="dxa"/>
          <w:shd w:val="clear" w:color="auto" w:fill="auto"/>
        </w:tcPr>
        <w:p w14:paraId="229A65BC" w14:textId="77777777" w:rsidR="00D02FF0" w:rsidRDefault="00D02FF0" w:rsidP="00971914"/>
      </w:tc>
    </w:tr>
  </w:tbl>
  <w:p w14:paraId="0D048C50" w14:textId="77777777" w:rsidR="00D02FF0" w:rsidRPr="00A5474E" w:rsidRDefault="00D02FF0"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C0B6" w14:textId="77777777" w:rsidR="00D02FF0" w:rsidRDefault="00D02F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263B" w14:textId="77777777" w:rsidR="00D02FF0" w:rsidRDefault="00D02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B1C1E"/>
    <w:multiLevelType w:val="hybridMultilevel"/>
    <w:tmpl w:val="B32C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FD6ADB"/>
    <w:multiLevelType w:val="hybridMultilevel"/>
    <w:tmpl w:val="68CA99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40552"/>
    <w:multiLevelType w:val="hybridMultilevel"/>
    <w:tmpl w:val="A062726E"/>
    <w:lvl w:ilvl="0" w:tplc="19EA8710">
      <w:start w:val="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B62CB6"/>
    <w:multiLevelType w:val="hybridMultilevel"/>
    <w:tmpl w:val="034CBB2A"/>
    <w:lvl w:ilvl="0" w:tplc="0C09000F">
      <w:start w:val="1"/>
      <w:numFmt w:val="decimal"/>
      <w:lvlText w:val="%1."/>
      <w:lvlJc w:val="left"/>
      <w:pPr>
        <w:ind w:left="357" w:hanging="357"/>
      </w:pPr>
      <w:rPr>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0EE93026"/>
    <w:multiLevelType w:val="hybridMultilevel"/>
    <w:tmpl w:val="A8D8F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D83FB6"/>
    <w:multiLevelType w:val="hybridMultilevel"/>
    <w:tmpl w:val="C7EC5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1565F2"/>
    <w:multiLevelType w:val="hybridMultilevel"/>
    <w:tmpl w:val="91DC47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4" w15:restartNumberingAfterBreak="0">
    <w:nsid w:val="1E347615"/>
    <w:multiLevelType w:val="hybridMultilevel"/>
    <w:tmpl w:val="5F304420"/>
    <w:lvl w:ilvl="0" w:tplc="19EA8710">
      <w:start w:val="1"/>
      <w:numFmt w:val="bullet"/>
      <w:lvlText w:val="&gt;"/>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B71DC5"/>
    <w:multiLevelType w:val="hybridMultilevel"/>
    <w:tmpl w:val="9750552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27FE6A16"/>
    <w:multiLevelType w:val="hybridMultilevel"/>
    <w:tmpl w:val="5BE289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90E453D"/>
    <w:multiLevelType w:val="hybridMultilevel"/>
    <w:tmpl w:val="909AEA76"/>
    <w:lvl w:ilvl="0" w:tplc="EFE0E848">
      <w:numFmt w:val="bullet"/>
      <w:lvlText w:val="-"/>
      <w:lvlJc w:val="left"/>
      <w:pPr>
        <w:ind w:left="720" w:hanging="360"/>
      </w:pPr>
      <w:rPr>
        <w:rFonts w:ascii="Arial" w:eastAsia="Times New Roman"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C46D38"/>
    <w:multiLevelType w:val="hybridMultilevel"/>
    <w:tmpl w:val="7A5CA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F0F055F"/>
    <w:multiLevelType w:val="hybridMultilevel"/>
    <w:tmpl w:val="5F94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5A5080"/>
    <w:multiLevelType w:val="hybridMultilevel"/>
    <w:tmpl w:val="BE2AF6CE"/>
    <w:lvl w:ilvl="0" w:tplc="D05E2434">
      <w:start w:val="1"/>
      <w:numFmt w:val="bullet"/>
      <w:pStyle w:val="ACMABulletLevel1"/>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327439B5"/>
    <w:multiLevelType w:val="hybridMultilevel"/>
    <w:tmpl w:val="2CF2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971E8"/>
    <w:multiLevelType w:val="hybridMultilevel"/>
    <w:tmpl w:val="09789A3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E215CD"/>
    <w:multiLevelType w:val="hybridMultilevel"/>
    <w:tmpl w:val="09C66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247C8A"/>
    <w:multiLevelType w:val="hybridMultilevel"/>
    <w:tmpl w:val="071C2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70DD6"/>
    <w:multiLevelType w:val="hybridMultilevel"/>
    <w:tmpl w:val="E48A3BA4"/>
    <w:lvl w:ilvl="0" w:tplc="AAC0FFE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B9301C"/>
    <w:multiLevelType w:val="hybridMultilevel"/>
    <w:tmpl w:val="8624B842"/>
    <w:lvl w:ilvl="0" w:tplc="19EA8710">
      <w:start w:val="1"/>
      <w:numFmt w:val="bullet"/>
      <w:lvlText w:val="&gt;"/>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5A6D0C"/>
    <w:multiLevelType w:val="hybridMultilevel"/>
    <w:tmpl w:val="E48A3BA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43673"/>
    <w:multiLevelType w:val="hybridMultilevel"/>
    <w:tmpl w:val="1CB83CB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4" w15:restartNumberingAfterBreak="0">
    <w:nsid w:val="7E793E27"/>
    <w:multiLevelType w:val="hybridMultilevel"/>
    <w:tmpl w:val="A4DAB0F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202306">
    <w:abstractNumId w:val="3"/>
  </w:num>
  <w:num w:numId="2" w16cid:durableId="519784282">
    <w:abstractNumId w:val="1"/>
  </w:num>
  <w:num w:numId="3" w16cid:durableId="1787460227">
    <w:abstractNumId w:val="2"/>
  </w:num>
  <w:num w:numId="4" w16cid:durableId="620302789">
    <w:abstractNumId w:val="0"/>
  </w:num>
  <w:num w:numId="5" w16cid:durableId="65495522">
    <w:abstractNumId w:val="19"/>
  </w:num>
  <w:num w:numId="6" w16cid:durableId="1686513724">
    <w:abstractNumId w:val="31"/>
  </w:num>
  <w:num w:numId="7" w16cid:durableId="1839035950">
    <w:abstractNumId w:val="26"/>
  </w:num>
  <w:num w:numId="8" w16cid:durableId="2142266191">
    <w:abstractNumId w:val="30"/>
  </w:num>
  <w:num w:numId="9" w16cid:durableId="1439568712">
    <w:abstractNumId w:val="32"/>
  </w:num>
  <w:num w:numId="10" w16cid:durableId="1186209320">
    <w:abstractNumId w:val="7"/>
  </w:num>
  <w:num w:numId="11" w16cid:durableId="1986162178">
    <w:abstractNumId w:val="5"/>
  </w:num>
  <w:num w:numId="12" w16cid:durableId="1617830959">
    <w:abstractNumId w:val="3"/>
  </w:num>
  <w:num w:numId="13" w16cid:durableId="131337016">
    <w:abstractNumId w:val="2"/>
    <w:lvlOverride w:ilvl="0">
      <w:startOverride w:val="1"/>
    </w:lvlOverride>
  </w:num>
  <w:num w:numId="14" w16cid:durableId="875384929">
    <w:abstractNumId w:val="2"/>
    <w:lvlOverride w:ilvl="0">
      <w:startOverride w:val="1"/>
    </w:lvlOverride>
  </w:num>
  <w:num w:numId="15" w16cid:durableId="1118257902">
    <w:abstractNumId w:val="2"/>
    <w:lvlOverride w:ilvl="0">
      <w:startOverride w:val="1"/>
    </w:lvlOverride>
  </w:num>
  <w:num w:numId="16" w16cid:durableId="901528179">
    <w:abstractNumId w:val="21"/>
  </w:num>
  <w:num w:numId="17" w16cid:durableId="1231766541">
    <w:abstractNumId w:val="3"/>
  </w:num>
  <w:num w:numId="18" w16cid:durableId="732512013">
    <w:abstractNumId w:val="3"/>
  </w:num>
  <w:num w:numId="19" w16cid:durableId="1421372263">
    <w:abstractNumId w:val="3"/>
  </w:num>
  <w:num w:numId="20" w16cid:durableId="2052070356">
    <w:abstractNumId w:val="15"/>
  </w:num>
  <w:num w:numId="21" w16cid:durableId="1494486340">
    <w:abstractNumId w:val="8"/>
  </w:num>
  <w:num w:numId="22" w16cid:durableId="46340448">
    <w:abstractNumId w:val="22"/>
  </w:num>
  <w:num w:numId="23" w16cid:durableId="669873403">
    <w:abstractNumId w:val="12"/>
  </w:num>
  <w:num w:numId="24" w16cid:durableId="574247730">
    <w:abstractNumId w:val="10"/>
  </w:num>
  <w:num w:numId="25" w16cid:durableId="1769619909">
    <w:abstractNumId w:val="11"/>
  </w:num>
  <w:num w:numId="26" w16cid:durableId="1845318109">
    <w:abstractNumId w:val="23"/>
  </w:num>
  <w:num w:numId="27" w16cid:durableId="1169369722">
    <w:abstractNumId w:val="34"/>
  </w:num>
  <w:num w:numId="28" w16cid:durableId="1309554467">
    <w:abstractNumId w:val="33"/>
  </w:num>
  <w:num w:numId="29" w16cid:durableId="1840804833">
    <w:abstractNumId w:val="24"/>
  </w:num>
  <w:num w:numId="30" w16cid:durableId="682509932">
    <w:abstractNumId w:val="27"/>
  </w:num>
  <w:num w:numId="31" w16cid:durableId="433748860">
    <w:abstractNumId w:val="18"/>
  </w:num>
  <w:num w:numId="32" w16cid:durableId="454834058">
    <w:abstractNumId w:val="25"/>
  </w:num>
  <w:num w:numId="33" w16cid:durableId="303857578">
    <w:abstractNumId w:val="4"/>
  </w:num>
  <w:num w:numId="34" w16cid:durableId="1759280681">
    <w:abstractNumId w:val="20"/>
  </w:num>
  <w:num w:numId="35" w16cid:durableId="1310403217">
    <w:abstractNumId w:val="14"/>
  </w:num>
  <w:num w:numId="36" w16cid:durableId="1682389710">
    <w:abstractNumId w:val="28"/>
  </w:num>
  <w:num w:numId="37" w16cid:durableId="783233628">
    <w:abstractNumId w:val="16"/>
  </w:num>
  <w:num w:numId="38" w16cid:durableId="1152717681">
    <w:abstractNumId w:val="29"/>
  </w:num>
  <w:num w:numId="39" w16cid:durableId="207959098">
    <w:abstractNumId w:val="6"/>
  </w:num>
  <w:num w:numId="40" w16cid:durableId="572853257">
    <w:abstractNumId w:val="17"/>
  </w:num>
  <w:num w:numId="41" w16cid:durableId="989404956">
    <w:abstractNumId w:val="21"/>
  </w:num>
  <w:num w:numId="42" w16cid:durableId="1545172569">
    <w:abstractNumId w:val="9"/>
    <w:lvlOverride w:ilvl="0">
      <w:startOverride w:val="1"/>
    </w:lvlOverride>
    <w:lvlOverride w:ilvl="1"/>
    <w:lvlOverride w:ilvl="2"/>
    <w:lvlOverride w:ilvl="3"/>
    <w:lvlOverride w:ilvl="4"/>
    <w:lvlOverride w:ilvl="5"/>
    <w:lvlOverride w:ilvl="6"/>
    <w:lvlOverride w:ilvl="7"/>
    <w:lvlOverride w:ilvl="8"/>
  </w:num>
  <w:num w:numId="43" w16cid:durableId="947736243">
    <w:abstractNumId w:val="21"/>
  </w:num>
  <w:num w:numId="44" w16cid:durableId="1362822191">
    <w:abstractNumId w:val="3"/>
  </w:num>
  <w:num w:numId="45" w16cid:durableId="2082942721">
    <w:abstractNumId w:val="9"/>
  </w:num>
  <w:num w:numId="46" w16cid:durableId="1867400958">
    <w:abstractNumId w:val="3"/>
  </w:num>
  <w:num w:numId="47" w16cid:durableId="107354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C"/>
    <w:rsid w:val="00000D48"/>
    <w:rsid w:val="0000123E"/>
    <w:rsid w:val="000043B4"/>
    <w:rsid w:val="000047B6"/>
    <w:rsid w:val="0000511B"/>
    <w:rsid w:val="0000514A"/>
    <w:rsid w:val="000054DD"/>
    <w:rsid w:val="000055E5"/>
    <w:rsid w:val="0000646E"/>
    <w:rsid w:val="0000694E"/>
    <w:rsid w:val="000069D2"/>
    <w:rsid w:val="00006F20"/>
    <w:rsid w:val="00007B40"/>
    <w:rsid w:val="00007E10"/>
    <w:rsid w:val="00010667"/>
    <w:rsid w:val="00011482"/>
    <w:rsid w:val="00011B36"/>
    <w:rsid w:val="000126D2"/>
    <w:rsid w:val="00012751"/>
    <w:rsid w:val="000129D5"/>
    <w:rsid w:val="00013882"/>
    <w:rsid w:val="0001402E"/>
    <w:rsid w:val="00014951"/>
    <w:rsid w:val="00014E37"/>
    <w:rsid w:val="000158DB"/>
    <w:rsid w:val="00015AE7"/>
    <w:rsid w:val="00015C53"/>
    <w:rsid w:val="00016E21"/>
    <w:rsid w:val="00016E7E"/>
    <w:rsid w:val="0001719C"/>
    <w:rsid w:val="00020AB4"/>
    <w:rsid w:val="0002224E"/>
    <w:rsid w:val="000231B1"/>
    <w:rsid w:val="000232DF"/>
    <w:rsid w:val="000237A4"/>
    <w:rsid w:val="000245E5"/>
    <w:rsid w:val="00024D46"/>
    <w:rsid w:val="00026146"/>
    <w:rsid w:val="00026F91"/>
    <w:rsid w:val="000277B2"/>
    <w:rsid w:val="000303B8"/>
    <w:rsid w:val="00030CFA"/>
    <w:rsid w:val="00032621"/>
    <w:rsid w:val="00033BA1"/>
    <w:rsid w:val="00034145"/>
    <w:rsid w:val="00035BDE"/>
    <w:rsid w:val="00035D45"/>
    <w:rsid w:val="00035D4F"/>
    <w:rsid w:val="000369F4"/>
    <w:rsid w:val="00036FE8"/>
    <w:rsid w:val="000431B3"/>
    <w:rsid w:val="00045B2B"/>
    <w:rsid w:val="0004662E"/>
    <w:rsid w:val="0004764C"/>
    <w:rsid w:val="00047A83"/>
    <w:rsid w:val="0005011A"/>
    <w:rsid w:val="0005045A"/>
    <w:rsid w:val="000512A3"/>
    <w:rsid w:val="00051C1E"/>
    <w:rsid w:val="00053900"/>
    <w:rsid w:val="000539EF"/>
    <w:rsid w:val="000539F9"/>
    <w:rsid w:val="00054C27"/>
    <w:rsid w:val="000554F3"/>
    <w:rsid w:val="000555B9"/>
    <w:rsid w:val="00055EC3"/>
    <w:rsid w:val="000561F7"/>
    <w:rsid w:val="000563CE"/>
    <w:rsid w:val="00057407"/>
    <w:rsid w:val="00060DCB"/>
    <w:rsid w:val="000614FD"/>
    <w:rsid w:val="00062A5F"/>
    <w:rsid w:val="0006393F"/>
    <w:rsid w:val="00065452"/>
    <w:rsid w:val="000659B6"/>
    <w:rsid w:val="00066230"/>
    <w:rsid w:val="0006678A"/>
    <w:rsid w:val="0006686F"/>
    <w:rsid w:val="00066914"/>
    <w:rsid w:val="0006722A"/>
    <w:rsid w:val="00067478"/>
    <w:rsid w:val="00070B4D"/>
    <w:rsid w:val="000732CF"/>
    <w:rsid w:val="0007364E"/>
    <w:rsid w:val="000752D0"/>
    <w:rsid w:val="00075B96"/>
    <w:rsid w:val="000779F9"/>
    <w:rsid w:val="0008196A"/>
    <w:rsid w:val="000829F4"/>
    <w:rsid w:val="000901C1"/>
    <w:rsid w:val="000915ED"/>
    <w:rsid w:val="00091978"/>
    <w:rsid w:val="0009209D"/>
    <w:rsid w:val="000922EB"/>
    <w:rsid w:val="00092DC3"/>
    <w:rsid w:val="000931DD"/>
    <w:rsid w:val="000932BE"/>
    <w:rsid w:val="00093416"/>
    <w:rsid w:val="0009450B"/>
    <w:rsid w:val="0009463C"/>
    <w:rsid w:val="00094BDB"/>
    <w:rsid w:val="00094E15"/>
    <w:rsid w:val="0009544D"/>
    <w:rsid w:val="00095C11"/>
    <w:rsid w:val="000967F0"/>
    <w:rsid w:val="000969BD"/>
    <w:rsid w:val="000969BF"/>
    <w:rsid w:val="00096FDF"/>
    <w:rsid w:val="0009768D"/>
    <w:rsid w:val="000A0032"/>
    <w:rsid w:val="000A0B9B"/>
    <w:rsid w:val="000A0C22"/>
    <w:rsid w:val="000A11E2"/>
    <w:rsid w:val="000A1400"/>
    <w:rsid w:val="000A19E3"/>
    <w:rsid w:val="000A2C24"/>
    <w:rsid w:val="000A3328"/>
    <w:rsid w:val="000A393D"/>
    <w:rsid w:val="000A3C43"/>
    <w:rsid w:val="000A4A51"/>
    <w:rsid w:val="000A5273"/>
    <w:rsid w:val="000A5D2B"/>
    <w:rsid w:val="000A5ED0"/>
    <w:rsid w:val="000A6AE6"/>
    <w:rsid w:val="000A6D07"/>
    <w:rsid w:val="000A7662"/>
    <w:rsid w:val="000B00E1"/>
    <w:rsid w:val="000B0F86"/>
    <w:rsid w:val="000B36FE"/>
    <w:rsid w:val="000B4664"/>
    <w:rsid w:val="000B4AFF"/>
    <w:rsid w:val="000B509E"/>
    <w:rsid w:val="000B5339"/>
    <w:rsid w:val="000B5D92"/>
    <w:rsid w:val="000B5DE3"/>
    <w:rsid w:val="000B7A42"/>
    <w:rsid w:val="000B7DCE"/>
    <w:rsid w:val="000C0A57"/>
    <w:rsid w:val="000C230C"/>
    <w:rsid w:val="000C297E"/>
    <w:rsid w:val="000C3ED8"/>
    <w:rsid w:val="000C4CE1"/>
    <w:rsid w:val="000C6AB4"/>
    <w:rsid w:val="000C7E19"/>
    <w:rsid w:val="000C7F5B"/>
    <w:rsid w:val="000D29FD"/>
    <w:rsid w:val="000D426D"/>
    <w:rsid w:val="000D71D9"/>
    <w:rsid w:val="000D76E0"/>
    <w:rsid w:val="000D7E8B"/>
    <w:rsid w:val="000E1D6A"/>
    <w:rsid w:val="000E2044"/>
    <w:rsid w:val="000E2225"/>
    <w:rsid w:val="000E234B"/>
    <w:rsid w:val="000E31B6"/>
    <w:rsid w:val="000E4449"/>
    <w:rsid w:val="000E5D32"/>
    <w:rsid w:val="000E6097"/>
    <w:rsid w:val="000E6231"/>
    <w:rsid w:val="000F00E3"/>
    <w:rsid w:val="000F1726"/>
    <w:rsid w:val="000F1C00"/>
    <w:rsid w:val="000F1C93"/>
    <w:rsid w:val="000F1FA8"/>
    <w:rsid w:val="000F24D7"/>
    <w:rsid w:val="000F3FBF"/>
    <w:rsid w:val="000F45B1"/>
    <w:rsid w:val="000F571C"/>
    <w:rsid w:val="000F68A0"/>
    <w:rsid w:val="000F70AD"/>
    <w:rsid w:val="000F7A22"/>
    <w:rsid w:val="00100542"/>
    <w:rsid w:val="00100ED9"/>
    <w:rsid w:val="0010124D"/>
    <w:rsid w:val="00101A18"/>
    <w:rsid w:val="00102FBA"/>
    <w:rsid w:val="00103829"/>
    <w:rsid w:val="0010469B"/>
    <w:rsid w:val="00110B1E"/>
    <w:rsid w:val="00111FCE"/>
    <w:rsid w:val="001143CC"/>
    <w:rsid w:val="0012088B"/>
    <w:rsid w:val="001209D3"/>
    <w:rsid w:val="001216A3"/>
    <w:rsid w:val="001229A5"/>
    <w:rsid w:val="0012489B"/>
    <w:rsid w:val="001256B7"/>
    <w:rsid w:val="00126E94"/>
    <w:rsid w:val="00130017"/>
    <w:rsid w:val="0013073F"/>
    <w:rsid w:val="00130A1E"/>
    <w:rsid w:val="00130F91"/>
    <w:rsid w:val="00132122"/>
    <w:rsid w:val="001331D1"/>
    <w:rsid w:val="001349ED"/>
    <w:rsid w:val="00135A0E"/>
    <w:rsid w:val="001363BC"/>
    <w:rsid w:val="00137424"/>
    <w:rsid w:val="00140318"/>
    <w:rsid w:val="00141AD9"/>
    <w:rsid w:val="0014216F"/>
    <w:rsid w:val="00142959"/>
    <w:rsid w:val="00142ED9"/>
    <w:rsid w:val="00144696"/>
    <w:rsid w:val="001447E5"/>
    <w:rsid w:val="0014697F"/>
    <w:rsid w:val="00146CE6"/>
    <w:rsid w:val="00147547"/>
    <w:rsid w:val="001502C8"/>
    <w:rsid w:val="00151778"/>
    <w:rsid w:val="00152903"/>
    <w:rsid w:val="001538F3"/>
    <w:rsid w:val="00153CDA"/>
    <w:rsid w:val="00153FD5"/>
    <w:rsid w:val="0015404C"/>
    <w:rsid w:val="001546E2"/>
    <w:rsid w:val="00155B97"/>
    <w:rsid w:val="0015614F"/>
    <w:rsid w:val="001572DD"/>
    <w:rsid w:val="001577C2"/>
    <w:rsid w:val="00157EB7"/>
    <w:rsid w:val="00160C29"/>
    <w:rsid w:val="001633C4"/>
    <w:rsid w:val="00163CDE"/>
    <w:rsid w:val="001643DA"/>
    <w:rsid w:val="0016609F"/>
    <w:rsid w:val="00166D81"/>
    <w:rsid w:val="001703F7"/>
    <w:rsid w:val="001704D5"/>
    <w:rsid w:val="00171591"/>
    <w:rsid w:val="00171E74"/>
    <w:rsid w:val="00173981"/>
    <w:rsid w:val="0017583D"/>
    <w:rsid w:val="00176810"/>
    <w:rsid w:val="00177166"/>
    <w:rsid w:val="0017719D"/>
    <w:rsid w:val="0017773E"/>
    <w:rsid w:val="001815FC"/>
    <w:rsid w:val="001822E5"/>
    <w:rsid w:val="00183FD7"/>
    <w:rsid w:val="00185CAB"/>
    <w:rsid w:val="00186E74"/>
    <w:rsid w:val="00187236"/>
    <w:rsid w:val="0018727E"/>
    <w:rsid w:val="001875B7"/>
    <w:rsid w:val="00187CB3"/>
    <w:rsid w:val="00190099"/>
    <w:rsid w:val="0019050A"/>
    <w:rsid w:val="001910D4"/>
    <w:rsid w:val="00191BCB"/>
    <w:rsid w:val="0019368D"/>
    <w:rsid w:val="001975B8"/>
    <w:rsid w:val="001976E3"/>
    <w:rsid w:val="00197EC4"/>
    <w:rsid w:val="001A01E5"/>
    <w:rsid w:val="001A1D77"/>
    <w:rsid w:val="001A2102"/>
    <w:rsid w:val="001A229A"/>
    <w:rsid w:val="001A25C7"/>
    <w:rsid w:val="001A29C6"/>
    <w:rsid w:val="001A2DBF"/>
    <w:rsid w:val="001A3EB4"/>
    <w:rsid w:val="001A4381"/>
    <w:rsid w:val="001A44EC"/>
    <w:rsid w:val="001A4C7E"/>
    <w:rsid w:val="001B1E44"/>
    <w:rsid w:val="001B2E2A"/>
    <w:rsid w:val="001B449D"/>
    <w:rsid w:val="001B4FAF"/>
    <w:rsid w:val="001B58AA"/>
    <w:rsid w:val="001B5EDC"/>
    <w:rsid w:val="001B773B"/>
    <w:rsid w:val="001B7E48"/>
    <w:rsid w:val="001C096A"/>
    <w:rsid w:val="001C166F"/>
    <w:rsid w:val="001C1780"/>
    <w:rsid w:val="001C17CE"/>
    <w:rsid w:val="001C1AD1"/>
    <w:rsid w:val="001C1F81"/>
    <w:rsid w:val="001C36CA"/>
    <w:rsid w:val="001C44D1"/>
    <w:rsid w:val="001C4A93"/>
    <w:rsid w:val="001C5352"/>
    <w:rsid w:val="001C577A"/>
    <w:rsid w:val="001C6A47"/>
    <w:rsid w:val="001C6AEE"/>
    <w:rsid w:val="001C7630"/>
    <w:rsid w:val="001D1456"/>
    <w:rsid w:val="001D1DBB"/>
    <w:rsid w:val="001D1FCC"/>
    <w:rsid w:val="001D21A4"/>
    <w:rsid w:val="001D3E60"/>
    <w:rsid w:val="001D49BA"/>
    <w:rsid w:val="001D62D3"/>
    <w:rsid w:val="001D6D15"/>
    <w:rsid w:val="001D7479"/>
    <w:rsid w:val="001E06A1"/>
    <w:rsid w:val="001E1EB3"/>
    <w:rsid w:val="001E2C32"/>
    <w:rsid w:val="001E32C4"/>
    <w:rsid w:val="001E3501"/>
    <w:rsid w:val="001E4103"/>
    <w:rsid w:val="001E4B16"/>
    <w:rsid w:val="001E5869"/>
    <w:rsid w:val="001E5A1E"/>
    <w:rsid w:val="001E5B4B"/>
    <w:rsid w:val="001E5BA2"/>
    <w:rsid w:val="001E5CF9"/>
    <w:rsid w:val="001E71A8"/>
    <w:rsid w:val="001E7266"/>
    <w:rsid w:val="001E775D"/>
    <w:rsid w:val="001E7E1B"/>
    <w:rsid w:val="001F028C"/>
    <w:rsid w:val="001F126A"/>
    <w:rsid w:val="001F136C"/>
    <w:rsid w:val="001F2DEA"/>
    <w:rsid w:val="001F3B0B"/>
    <w:rsid w:val="001F43FF"/>
    <w:rsid w:val="001F4B92"/>
    <w:rsid w:val="001F50F7"/>
    <w:rsid w:val="001F53C7"/>
    <w:rsid w:val="001F7558"/>
    <w:rsid w:val="001F7AC8"/>
    <w:rsid w:val="00200199"/>
    <w:rsid w:val="00201470"/>
    <w:rsid w:val="00201A85"/>
    <w:rsid w:val="00201EE2"/>
    <w:rsid w:val="002022C7"/>
    <w:rsid w:val="00203E3E"/>
    <w:rsid w:val="00204F3F"/>
    <w:rsid w:val="00205B57"/>
    <w:rsid w:val="00207CD9"/>
    <w:rsid w:val="00211E99"/>
    <w:rsid w:val="00213A8F"/>
    <w:rsid w:val="0021426C"/>
    <w:rsid w:val="0021463A"/>
    <w:rsid w:val="002157E0"/>
    <w:rsid w:val="00216A57"/>
    <w:rsid w:val="00217448"/>
    <w:rsid w:val="00217B97"/>
    <w:rsid w:val="00217BE7"/>
    <w:rsid w:val="00220A45"/>
    <w:rsid w:val="00220F1C"/>
    <w:rsid w:val="00221D70"/>
    <w:rsid w:val="00222016"/>
    <w:rsid w:val="0022334F"/>
    <w:rsid w:val="002234DC"/>
    <w:rsid w:val="0022351C"/>
    <w:rsid w:val="00226819"/>
    <w:rsid w:val="00230A43"/>
    <w:rsid w:val="00231DA0"/>
    <w:rsid w:val="00233101"/>
    <w:rsid w:val="00233817"/>
    <w:rsid w:val="002354BC"/>
    <w:rsid w:val="002367FF"/>
    <w:rsid w:val="00236A86"/>
    <w:rsid w:val="0023774F"/>
    <w:rsid w:val="00240CE9"/>
    <w:rsid w:val="00240F8B"/>
    <w:rsid w:val="00241A51"/>
    <w:rsid w:val="00242892"/>
    <w:rsid w:val="002434BA"/>
    <w:rsid w:val="002441BE"/>
    <w:rsid w:val="0024604D"/>
    <w:rsid w:val="00246089"/>
    <w:rsid w:val="00246093"/>
    <w:rsid w:val="00246679"/>
    <w:rsid w:val="00246702"/>
    <w:rsid w:val="0024770F"/>
    <w:rsid w:val="00247C59"/>
    <w:rsid w:val="00247F2E"/>
    <w:rsid w:val="00250ADC"/>
    <w:rsid w:val="00250B07"/>
    <w:rsid w:val="00250B99"/>
    <w:rsid w:val="00254817"/>
    <w:rsid w:val="00255614"/>
    <w:rsid w:val="00255C37"/>
    <w:rsid w:val="00256FA7"/>
    <w:rsid w:val="00257236"/>
    <w:rsid w:val="00257553"/>
    <w:rsid w:val="00260D5D"/>
    <w:rsid w:val="00260FB2"/>
    <w:rsid w:val="00262128"/>
    <w:rsid w:val="00262A0C"/>
    <w:rsid w:val="00263905"/>
    <w:rsid w:val="002654CC"/>
    <w:rsid w:val="0026688B"/>
    <w:rsid w:val="0027165D"/>
    <w:rsid w:val="00273CEB"/>
    <w:rsid w:val="0027409E"/>
    <w:rsid w:val="002744F1"/>
    <w:rsid w:val="00274D6C"/>
    <w:rsid w:val="0027515A"/>
    <w:rsid w:val="00276413"/>
    <w:rsid w:val="002778F2"/>
    <w:rsid w:val="00281AA3"/>
    <w:rsid w:val="00281C89"/>
    <w:rsid w:val="00282009"/>
    <w:rsid w:val="00282598"/>
    <w:rsid w:val="002825EC"/>
    <w:rsid w:val="0028282F"/>
    <w:rsid w:val="00283FD9"/>
    <w:rsid w:val="00284E22"/>
    <w:rsid w:val="00286012"/>
    <w:rsid w:val="00287CD5"/>
    <w:rsid w:val="00287F78"/>
    <w:rsid w:val="002902A8"/>
    <w:rsid w:val="00291AE0"/>
    <w:rsid w:val="00292B16"/>
    <w:rsid w:val="0029355A"/>
    <w:rsid w:val="0029538F"/>
    <w:rsid w:val="0029593B"/>
    <w:rsid w:val="002971B0"/>
    <w:rsid w:val="0029798F"/>
    <w:rsid w:val="00297FC5"/>
    <w:rsid w:val="002A0417"/>
    <w:rsid w:val="002A16D8"/>
    <w:rsid w:val="002A1745"/>
    <w:rsid w:val="002A18F3"/>
    <w:rsid w:val="002A1BC8"/>
    <w:rsid w:val="002A3407"/>
    <w:rsid w:val="002A3EF2"/>
    <w:rsid w:val="002B0DED"/>
    <w:rsid w:val="002B19A2"/>
    <w:rsid w:val="002B28B1"/>
    <w:rsid w:val="002B381A"/>
    <w:rsid w:val="002B3CD2"/>
    <w:rsid w:val="002B4FCC"/>
    <w:rsid w:val="002B510C"/>
    <w:rsid w:val="002B7408"/>
    <w:rsid w:val="002B7CFD"/>
    <w:rsid w:val="002C0530"/>
    <w:rsid w:val="002C0F52"/>
    <w:rsid w:val="002C143F"/>
    <w:rsid w:val="002C210F"/>
    <w:rsid w:val="002C451B"/>
    <w:rsid w:val="002C47CE"/>
    <w:rsid w:val="002C635F"/>
    <w:rsid w:val="002C69F1"/>
    <w:rsid w:val="002C6F6B"/>
    <w:rsid w:val="002D18AA"/>
    <w:rsid w:val="002D1EED"/>
    <w:rsid w:val="002D3600"/>
    <w:rsid w:val="002D3E6D"/>
    <w:rsid w:val="002D5B48"/>
    <w:rsid w:val="002D6C14"/>
    <w:rsid w:val="002E0D6F"/>
    <w:rsid w:val="002E1F9C"/>
    <w:rsid w:val="002E42BC"/>
    <w:rsid w:val="002E4A2B"/>
    <w:rsid w:val="002E4DDC"/>
    <w:rsid w:val="002E5FBD"/>
    <w:rsid w:val="002E6501"/>
    <w:rsid w:val="002E749E"/>
    <w:rsid w:val="002F17EF"/>
    <w:rsid w:val="002F266C"/>
    <w:rsid w:val="002F309F"/>
    <w:rsid w:val="002F549B"/>
    <w:rsid w:val="003009E5"/>
    <w:rsid w:val="00300CE2"/>
    <w:rsid w:val="0030169C"/>
    <w:rsid w:val="00302480"/>
    <w:rsid w:val="00302758"/>
    <w:rsid w:val="003038AF"/>
    <w:rsid w:val="00304D1F"/>
    <w:rsid w:val="0031037E"/>
    <w:rsid w:val="00311B50"/>
    <w:rsid w:val="0031391B"/>
    <w:rsid w:val="003139D8"/>
    <w:rsid w:val="00314042"/>
    <w:rsid w:val="003160C6"/>
    <w:rsid w:val="003165E6"/>
    <w:rsid w:val="00317A3B"/>
    <w:rsid w:val="003203DB"/>
    <w:rsid w:val="003215B5"/>
    <w:rsid w:val="003221CF"/>
    <w:rsid w:val="0032255F"/>
    <w:rsid w:val="003233ED"/>
    <w:rsid w:val="00324D9F"/>
    <w:rsid w:val="00326C02"/>
    <w:rsid w:val="00326DE4"/>
    <w:rsid w:val="00327948"/>
    <w:rsid w:val="00327AEF"/>
    <w:rsid w:val="0033000F"/>
    <w:rsid w:val="003306B3"/>
    <w:rsid w:val="0033084F"/>
    <w:rsid w:val="00330C03"/>
    <w:rsid w:val="00331209"/>
    <w:rsid w:val="00332011"/>
    <w:rsid w:val="00332518"/>
    <w:rsid w:val="00332925"/>
    <w:rsid w:val="00332E3F"/>
    <w:rsid w:val="003332ED"/>
    <w:rsid w:val="00335273"/>
    <w:rsid w:val="003368DC"/>
    <w:rsid w:val="00337323"/>
    <w:rsid w:val="0034017B"/>
    <w:rsid w:val="0034105F"/>
    <w:rsid w:val="003428BE"/>
    <w:rsid w:val="00342B87"/>
    <w:rsid w:val="00342EE6"/>
    <w:rsid w:val="00342FAD"/>
    <w:rsid w:val="00343119"/>
    <w:rsid w:val="0034395B"/>
    <w:rsid w:val="00344495"/>
    <w:rsid w:val="00344E08"/>
    <w:rsid w:val="00345927"/>
    <w:rsid w:val="00347347"/>
    <w:rsid w:val="00350025"/>
    <w:rsid w:val="00350584"/>
    <w:rsid w:val="00351857"/>
    <w:rsid w:val="00352F2B"/>
    <w:rsid w:val="00353E6D"/>
    <w:rsid w:val="003545E8"/>
    <w:rsid w:val="00354860"/>
    <w:rsid w:val="003550BD"/>
    <w:rsid w:val="00356E87"/>
    <w:rsid w:val="0035709B"/>
    <w:rsid w:val="00357AE0"/>
    <w:rsid w:val="00360191"/>
    <w:rsid w:val="00360B4F"/>
    <w:rsid w:val="003610E1"/>
    <w:rsid w:val="003612FA"/>
    <w:rsid w:val="003619F4"/>
    <w:rsid w:val="00362B9D"/>
    <w:rsid w:val="003635FB"/>
    <w:rsid w:val="00364CA4"/>
    <w:rsid w:val="00366103"/>
    <w:rsid w:val="00366AD6"/>
    <w:rsid w:val="003671BE"/>
    <w:rsid w:val="0037071F"/>
    <w:rsid w:val="00370AAE"/>
    <w:rsid w:val="00371F05"/>
    <w:rsid w:val="00372485"/>
    <w:rsid w:val="00373200"/>
    <w:rsid w:val="00373D96"/>
    <w:rsid w:val="00374F0A"/>
    <w:rsid w:val="00375EF5"/>
    <w:rsid w:val="003767A5"/>
    <w:rsid w:val="0037726F"/>
    <w:rsid w:val="00380953"/>
    <w:rsid w:val="00381225"/>
    <w:rsid w:val="00381D15"/>
    <w:rsid w:val="00382D5A"/>
    <w:rsid w:val="003836C9"/>
    <w:rsid w:val="00385254"/>
    <w:rsid w:val="00392D81"/>
    <w:rsid w:val="003933E8"/>
    <w:rsid w:val="00393FBC"/>
    <w:rsid w:val="00394031"/>
    <w:rsid w:val="0039489F"/>
    <w:rsid w:val="00395D73"/>
    <w:rsid w:val="0039622C"/>
    <w:rsid w:val="003965C0"/>
    <w:rsid w:val="00396DC2"/>
    <w:rsid w:val="003A04DB"/>
    <w:rsid w:val="003A0930"/>
    <w:rsid w:val="003A1522"/>
    <w:rsid w:val="003A15E7"/>
    <w:rsid w:val="003A1E94"/>
    <w:rsid w:val="003A2CB8"/>
    <w:rsid w:val="003A5F5B"/>
    <w:rsid w:val="003A5FCB"/>
    <w:rsid w:val="003A789A"/>
    <w:rsid w:val="003B0543"/>
    <w:rsid w:val="003B0631"/>
    <w:rsid w:val="003B12EC"/>
    <w:rsid w:val="003B352F"/>
    <w:rsid w:val="003B4DDE"/>
    <w:rsid w:val="003B55F7"/>
    <w:rsid w:val="003B5CFD"/>
    <w:rsid w:val="003B6408"/>
    <w:rsid w:val="003B67E3"/>
    <w:rsid w:val="003B7C30"/>
    <w:rsid w:val="003C03B8"/>
    <w:rsid w:val="003C4737"/>
    <w:rsid w:val="003C51BB"/>
    <w:rsid w:val="003C77E0"/>
    <w:rsid w:val="003D17D7"/>
    <w:rsid w:val="003D2678"/>
    <w:rsid w:val="003D313E"/>
    <w:rsid w:val="003D3460"/>
    <w:rsid w:val="003D3840"/>
    <w:rsid w:val="003D5626"/>
    <w:rsid w:val="003D71A3"/>
    <w:rsid w:val="003E1139"/>
    <w:rsid w:val="003E1B90"/>
    <w:rsid w:val="003E2B8A"/>
    <w:rsid w:val="003E6275"/>
    <w:rsid w:val="003E6A48"/>
    <w:rsid w:val="003F10EE"/>
    <w:rsid w:val="003F1106"/>
    <w:rsid w:val="003F121B"/>
    <w:rsid w:val="003F16F6"/>
    <w:rsid w:val="003F3BD0"/>
    <w:rsid w:val="003F4166"/>
    <w:rsid w:val="003F4DC7"/>
    <w:rsid w:val="003F5235"/>
    <w:rsid w:val="003F698F"/>
    <w:rsid w:val="00400E23"/>
    <w:rsid w:val="00401814"/>
    <w:rsid w:val="0040216C"/>
    <w:rsid w:val="0040272C"/>
    <w:rsid w:val="004027E4"/>
    <w:rsid w:val="00406570"/>
    <w:rsid w:val="00406F30"/>
    <w:rsid w:val="0040725E"/>
    <w:rsid w:val="0041071D"/>
    <w:rsid w:val="004121BA"/>
    <w:rsid w:val="00412E09"/>
    <w:rsid w:val="00414AFC"/>
    <w:rsid w:val="004151A7"/>
    <w:rsid w:val="004151F6"/>
    <w:rsid w:val="00415310"/>
    <w:rsid w:val="00417349"/>
    <w:rsid w:val="00420B73"/>
    <w:rsid w:val="00421308"/>
    <w:rsid w:val="00421709"/>
    <w:rsid w:val="00421DF1"/>
    <w:rsid w:val="00423763"/>
    <w:rsid w:val="00423C3B"/>
    <w:rsid w:val="004248A2"/>
    <w:rsid w:val="00424A25"/>
    <w:rsid w:val="00425024"/>
    <w:rsid w:val="00425518"/>
    <w:rsid w:val="00427237"/>
    <w:rsid w:val="0042762F"/>
    <w:rsid w:val="00427DC7"/>
    <w:rsid w:val="00430362"/>
    <w:rsid w:val="00430394"/>
    <w:rsid w:val="00431613"/>
    <w:rsid w:val="00431792"/>
    <w:rsid w:val="0043297A"/>
    <w:rsid w:val="00432EB2"/>
    <w:rsid w:val="00433D9B"/>
    <w:rsid w:val="0043409F"/>
    <w:rsid w:val="004358F3"/>
    <w:rsid w:val="0043714F"/>
    <w:rsid w:val="00437B60"/>
    <w:rsid w:val="00440D84"/>
    <w:rsid w:val="00443280"/>
    <w:rsid w:val="004438B5"/>
    <w:rsid w:val="0044502C"/>
    <w:rsid w:val="00445FB9"/>
    <w:rsid w:val="004461C7"/>
    <w:rsid w:val="00446CD6"/>
    <w:rsid w:val="00447037"/>
    <w:rsid w:val="0045124D"/>
    <w:rsid w:val="00451DC9"/>
    <w:rsid w:val="00451F80"/>
    <w:rsid w:val="00454596"/>
    <w:rsid w:val="00455189"/>
    <w:rsid w:val="0045605D"/>
    <w:rsid w:val="00456308"/>
    <w:rsid w:val="00456665"/>
    <w:rsid w:val="0046071D"/>
    <w:rsid w:val="00460A86"/>
    <w:rsid w:val="0046135B"/>
    <w:rsid w:val="00461561"/>
    <w:rsid w:val="00461D47"/>
    <w:rsid w:val="00462EDD"/>
    <w:rsid w:val="00464DCF"/>
    <w:rsid w:val="0046510C"/>
    <w:rsid w:val="004672EB"/>
    <w:rsid w:val="00470A0C"/>
    <w:rsid w:val="00470C87"/>
    <w:rsid w:val="00471465"/>
    <w:rsid w:val="004718CC"/>
    <w:rsid w:val="00472386"/>
    <w:rsid w:val="00481695"/>
    <w:rsid w:val="00484962"/>
    <w:rsid w:val="004853FD"/>
    <w:rsid w:val="004859F6"/>
    <w:rsid w:val="00485CA7"/>
    <w:rsid w:val="00485E53"/>
    <w:rsid w:val="0048615A"/>
    <w:rsid w:val="004865F8"/>
    <w:rsid w:val="004900C2"/>
    <w:rsid w:val="00490BC5"/>
    <w:rsid w:val="00491D68"/>
    <w:rsid w:val="00492409"/>
    <w:rsid w:val="00492D7E"/>
    <w:rsid w:val="0049313C"/>
    <w:rsid w:val="00493A48"/>
    <w:rsid w:val="00494A21"/>
    <w:rsid w:val="00494E1D"/>
    <w:rsid w:val="0049539C"/>
    <w:rsid w:val="00495506"/>
    <w:rsid w:val="00495A96"/>
    <w:rsid w:val="00495BB3"/>
    <w:rsid w:val="004975A6"/>
    <w:rsid w:val="004A0107"/>
    <w:rsid w:val="004A2D26"/>
    <w:rsid w:val="004A2E7E"/>
    <w:rsid w:val="004A3168"/>
    <w:rsid w:val="004A5438"/>
    <w:rsid w:val="004A54B7"/>
    <w:rsid w:val="004A56BB"/>
    <w:rsid w:val="004A5C5C"/>
    <w:rsid w:val="004A5CF7"/>
    <w:rsid w:val="004A70D6"/>
    <w:rsid w:val="004B0566"/>
    <w:rsid w:val="004B0BC4"/>
    <w:rsid w:val="004B1751"/>
    <w:rsid w:val="004B4590"/>
    <w:rsid w:val="004B59EE"/>
    <w:rsid w:val="004B5AC2"/>
    <w:rsid w:val="004B71F1"/>
    <w:rsid w:val="004C0253"/>
    <w:rsid w:val="004C2A52"/>
    <w:rsid w:val="004C2C0B"/>
    <w:rsid w:val="004C2D2C"/>
    <w:rsid w:val="004C3474"/>
    <w:rsid w:val="004C5DDB"/>
    <w:rsid w:val="004D1D61"/>
    <w:rsid w:val="004D24F4"/>
    <w:rsid w:val="004D2585"/>
    <w:rsid w:val="004D260D"/>
    <w:rsid w:val="004D2B0E"/>
    <w:rsid w:val="004D56FF"/>
    <w:rsid w:val="004E0769"/>
    <w:rsid w:val="004E38F2"/>
    <w:rsid w:val="004E39D3"/>
    <w:rsid w:val="004E3E64"/>
    <w:rsid w:val="004E508A"/>
    <w:rsid w:val="004E51AB"/>
    <w:rsid w:val="004E54D0"/>
    <w:rsid w:val="004E616D"/>
    <w:rsid w:val="004E6487"/>
    <w:rsid w:val="004E6DFA"/>
    <w:rsid w:val="004F01C2"/>
    <w:rsid w:val="004F19BD"/>
    <w:rsid w:val="004F1BDE"/>
    <w:rsid w:val="004F20F7"/>
    <w:rsid w:val="004F2849"/>
    <w:rsid w:val="004F2CEE"/>
    <w:rsid w:val="004F4514"/>
    <w:rsid w:val="004F556E"/>
    <w:rsid w:val="004F55CE"/>
    <w:rsid w:val="004F591C"/>
    <w:rsid w:val="004F7728"/>
    <w:rsid w:val="004F7F44"/>
    <w:rsid w:val="00500641"/>
    <w:rsid w:val="005019F5"/>
    <w:rsid w:val="00501EAA"/>
    <w:rsid w:val="00502639"/>
    <w:rsid w:val="00502C9E"/>
    <w:rsid w:val="005037B4"/>
    <w:rsid w:val="005050C5"/>
    <w:rsid w:val="005074F7"/>
    <w:rsid w:val="005079BF"/>
    <w:rsid w:val="00507A87"/>
    <w:rsid w:val="00511382"/>
    <w:rsid w:val="0051269A"/>
    <w:rsid w:val="00513606"/>
    <w:rsid w:val="00514911"/>
    <w:rsid w:val="00514C82"/>
    <w:rsid w:val="005172C9"/>
    <w:rsid w:val="005219E7"/>
    <w:rsid w:val="005231DE"/>
    <w:rsid w:val="00525703"/>
    <w:rsid w:val="00526D54"/>
    <w:rsid w:val="00527E8D"/>
    <w:rsid w:val="00530DD7"/>
    <w:rsid w:val="00531B4A"/>
    <w:rsid w:val="00531B9A"/>
    <w:rsid w:val="00531D15"/>
    <w:rsid w:val="005320BA"/>
    <w:rsid w:val="00533E62"/>
    <w:rsid w:val="00535B9A"/>
    <w:rsid w:val="00536B98"/>
    <w:rsid w:val="0053728B"/>
    <w:rsid w:val="00537314"/>
    <w:rsid w:val="00537604"/>
    <w:rsid w:val="00540656"/>
    <w:rsid w:val="0054183E"/>
    <w:rsid w:val="00542377"/>
    <w:rsid w:val="005437D0"/>
    <w:rsid w:val="00544221"/>
    <w:rsid w:val="00544252"/>
    <w:rsid w:val="005476EB"/>
    <w:rsid w:val="0055143A"/>
    <w:rsid w:val="00551782"/>
    <w:rsid w:val="00552514"/>
    <w:rsid w:val="00552C02"/>
    <w:rsid w:val="00553266"/>
    <w:rsid w:val="00553506"/>
    <w:rsid w:val="00553942"/>
    <w:rsid w:val="00554245"/>
    <w:rsid w:val="00555F6E"/>
    <w:rsid w:val="00556F09"/>
    <w:rsid w:val="00560B25"/>
    <w:rsid w:val="00562CA3"/>
    <w:rsid w:val="00563EF1"/>
    <w:rsid w:val="00564ECA"/>
    <w:rsid w:val="0056594F"/>
    <w:rsid w:val="00566AB4"/>
    <w:rsid w:val="0056716D"/>
    <w:rsid w:val="005700AE"/>
    <w:rsid w:val="005725B7"/>
    <w:rsid w:val="005727ED"/>
    <w:rsid w:val="00572B3D"/>
    <w:rsid w:val="00573812"/>
    <w:rsid w:val="0057530E"/>
    <w:rsid w:val="00575AC5"/>
    <w:rsid w:val="0057605D"/>
    <w:rsid w:val="00577A53"/>
    <w:rsid w:val="00580CEA"/>
    <w:rsid w:val="00581347"/>
    <w:rsid w:val="00581AC9"/>
    <w:rsid w:val="00582C20"/>
    <w:rsid w:val="00584234"/>
    <w:rsid w:val="005849F8"/>
    <w:rsid w:val="0058525A"/>
    <w:rsid w:val="00586D6C"/>
    <w:rsid w:val="0058702F"/>
    <w:rsid w:val="00587861"/>
    <w:rsid w:val="005905D0"/>
    <w:rsid w:val="005938DF"/>
    <w:rsid w:val="00593AAA"/>
    <w:rsid w:val="00593D22"/>
    <w:rsid w:val="00594E9C"/>
    <w:rsid w:val="0059611A"/>
    <w:rsid w:val="005A00D6"/>
    <w:rsid w:val="005A099B"/>
    <w:rsid w:val="005A2C39"/>
    <w:rsid w:val="005A2D9C"/>
    <w:rsid w:val="005A3572"/>
    <w:rsid w:val="005A3702"/>
    <w:rsid w:val="005A3848"/>
    <w:rsid w:val="005A55FE"/>
    <w:rsid w:val="005A59CD"/>
    <w:rsid w:val="005A64A8"/>
    <w:rsid w:val="005A6A11"/>
    <w:rsid w:val="005A6F3E"/>
    <w:rsid w:val="005A7C57"/>
    <w:rsid w:val="005A7D21"/>
    <w:rsid w:val="005B0D54"/>
    <w:rsid w:val="005B23C6"/>
    <w:rsid w:val="005B2F0D"/>
    <w:rsid w:val="005B36EA"/>
    <w:rsid w:val="005B57A6"/>
    <w:rsid w:val="005B6A0B"/>
    <w:rsid w:val="005B6F1E"/>
    <w:rsid w:val="005B7798"/>
    <w:rsid w:val="005C0A1E"/>
    <w:rsid w:val="005C34EF"/>
    <w:rsid w:val="005C3744"/>
    <w:rsid w:val="005C5C2A"/>
    <w:rsid w:val="005C5EB0"/>
    <w:rsid w:val="005C6702"/>
    <w:rsid w:val="005C7462"/>
    <w:rsid w:val="005C775A"/>
    <w:rsid w:val="005C7A53"/>
    <w:rsid w:val="005D0548"/>
    <w:rsid w:val="005D2502"/>
    <w:rsid w:val="005D3879"/>
    <w:rsid w:val="005D3953"/>
    <w:rsid w:val="005D40BB"/>
    <w:rsid w:val="005D45EA"/>
    <w:rsid w:val="005D47F3"/>
    <w:rsid w:val="005D49BF"/>
    <w:rsid w:val="005D4AA5"/>
    <w:rsid w:val="005D58A1"/>
    <w:rsid w:val="005D6088"/>
    <w:rsid w:val="005D6F4E"/>
    <w:rsid w:val="005D72ED"/>
    <w:rsid w:val="005D7C73"/>
    <w:rsid w:val="005E0CA7"/>
    <w:rsid w:val="005E113F"/>
    <w:rsid w:val="005E1141"/>
    <w:rsid w:val="005E250B"/>
    <w:rsid w:val="005E2EE5"/>
    <w:rsid w:val="005E3811"/>
    <w:rsid w:val="005E3ACD"/>
    <w:rsid w:val="005E6B3C"/>
    <w:rsid w:val="005E7226"/>
    <w:rsid w:val="005E7A57"/>
    <w:rsid w:val="005F0DFC"/>
    <w:rsid w:val="005F24B0"/>
    <w:rsid w:val="005F3976"/>
    <w:rsid w:val="005F4147"/>
    <w:rsid w:val="005F558B"/>
    <w:rsid w:val="005F6349"/>
    <w:rsid w:val="005F6A3A"/>
    <w:rsid w:val="005F6A74"/>
    <w:rsid w:val="005F7DED"/>
    <w:rsid w:val="006001FA"/>
    <w:rsid w:val="00600684"/>
    <w:rsid w:val="00602FA3"/>
    <w:rsid w:val="00603458"/>
    <w:rsid w:val="00603E22"/>
    <w:rsid w:val="00604315"/>
    <w:rsid w:val="00604D02"/>
    <w:rsid w:val="00604E26"/>
    <w:rsid w:val="0060523F"/>
    <w:rsid w:val="006052CF"/>
    <w:rsid w:val="00605BC0"/>
    <w:rsid w:val="00607B8D"/>
    <w:rsid w:val="00610C4D"/>
    <w:rsid w:val="00611F5C"/>
    <w:rsid w:val="006121A3"/>
    <w:rsid w:val="00612CD7"/>
    <w:rsid w:val="00613622"/>
    <w:rsid w:val="00614312"/>
    <w:rsid w:val="0061475A"/>
    <w:rsid w:val="00614F61"/>
    <w:rsid w:val="00616C5A"/>
    <w:rsid w:val="00616DEA"/>
    <w:rsid w:val="00616E09"/>
    <w:rsid w:val="00617346"/>
    <w:rsid w:val="00620646"/>
    <w:rsid w:val="00621854"/>
    <w:rsid w:val="00621FE3"/>
    <w:rsid w:val="00622A3B"/>
    <w:rsid w:val="00622EEA"/>
    <w:rsid w:val="0062396C"/>
    <w:rsid w:val="00623C47"/>
    <w:rsid w:val="00623FF9"/>
    <w:rsid w:val="0062625D"/>
    <w:rsid w:val="00627D4E"/>
    <w:rsid w:val="006316C5"/>
    <w:rsid w:val="00632B89"/>
    <w:rsid w:val="00632C53"/>
    <w:rsid w:val="0063346D"/>
    <w:rsid w:val="00634478"/>
    <w:rsid w:val="00634908"/>
    <w:rsid w:val="006362B5"/>
    <w:rsid w:val="006403EF"/>
    <w:rsid w:val="006427F7"/>
    <w:rsid w:val="00644373"/>
    <w:rsid w:val="00644E5B"/>
    <w:rsid w:val="00645915"/>
    <w:rsid w:val="00646AED"/>
    <w:rsid w:val="00646BC6"/>
    <w:rsid w:val="00646CC4"/>
    <w:rsid w:val="006519C3"/>
    <w:rsid w:val="00652B30"/>
    <w:rsid w:val="00652D6A"/>
    <w:rsid w:val="006543E3"/>
    <w:rsid w:val="00654BE1"/>
    <w:rsid w:val="0065512A"/>
    <w:rsid w:val="00655CC7"/>
    <w:rsid w:val="00656345"/>
    <w:rsid w:val="006565D5"/>
    <w:rsid w:val="00656DC6"/>
    <w:rsid w:val="00657119"/>
    <w:rsid w:val="00657A51"/>
    <w:rsid w:val="00657A9A"/>
    <w:rsid w:val="00660EC6"/>
    <w:rsid w:val="00662566"/>
    <w:rsid w:val="006627C3"/>
    <w:rsid w:val="006639AD"/>
    <w:rsid w:val="00664110"/>
    <w:rsid w:val="00664D17"/>
    <w:rsid w:val="00664E00"/>
    <w:rsid w:val="00666520"/>
    <w:rsid w:val="006669A8"/>
    <w:rsid w:val="00667C50"/>
    <w:rsid w:val="00667C5B"/>
    <w:rsid w:val="0067047E"/>
    <w:rsid w:val="006710BF"/>
    <w:rsid w:val="00673D46"/>
    <w:rsid w:val="00674767"/>
    <w:rsid w:val="006752D0"/>
    <w:rsid w:val="0067744E"/>
    <w:rsid w:val="00682F98"/>
    <w:rsid w:val="006830CE"/>
    <w:rsid w:val="00685708"/>
    <w:rsid w:val="00685752"/>
    <w:rsid w:val="006857AC"/>
    <w:rsid w:val="00687811"/>
    <w:rsid w:val="0069046D"/>
    <w:rsid w:val="006911E4"/>
    <w:rsid w:val="00691A11"/>
    <w:rsid w:val="00691EB8"/>
    <w:rsid w:val="00692CDE"/>
    <w:rsid w:val="00693073"/>
    <w:rsid w:val="00696E63"/>
    <w:rsid w:val="006977FF"/>
    <w:rsid w:val="00697BC7"/>
    <w:rsid w:val="006A01FA"/>
    <w:rsid w:val="006A0869"/>
    <w:rsid w:val="006A0AC1"/>
    <w:rsid w:val="006A0E9E"/>
    <w:rsid w:val="006A1FB0"/>
    <w:rsid w:val="006A25C7"/>
    <w:rsid w:val="006A311F"/>
    <w:rsid w:val="006A42B4"/>
    <w:rsid w:val="006A4AAD"/>
    <w:rsid w:val="006A4CCA"/>
    <w:rsid w:val="006A4E12"/>
    <w:rsid w:val="006A6DA2"/>
    <w:rsid w:val="006A7AB2"/>
    <w:rsid w:val="006B144C"/>
    <w:rsid w:val="006B1691"/>
    <w:rsid w:val="006B1841"/>
    <w:rsid w:val="006B2232"/>
    <w:rsid w:val="006B328A"/>
    <w:rsid w:val="006B52DE"/>
    <w:rsid w:val="006B5717"/>
    <w:rsid w:val="006B582F"/>
    <w:rsid w:val="006B5EB2"/>
    <w:rsid w:val="006B6471"/>
    <w:rsid w:val="006C0525"/>
    <w:rsid w:val="006C0620"/>
    <w:rsid w:val="006C0CEB"/>
    <w:rsid w:val="006C1631"/>
    <w:rsid w:val="006C2BD3"/>
    <w:rsid w:val="006C2C88"/>
    <w:rsid w:val="006C3983"/>
    <w:rsid w:val="006C3B1E"/>
    <w:rsid w:val="006C47FD"/>
    <w:rsid w:val="006C4F77"/>
    <w:rsid w:val="006C5B99"/>
    <w:rsid w:val="006C5C19"/>
    <w:rsid w:val="006C70A0"/>
    <w:rsid w:val="006C7212"/>
    <w:rsid w:val="006C73C2"/>
    <w:rsid w:val="006D0A59"/>
    <w:rsid w:val="006D27CB"/>
    <w:rsid w:val="006D2F08"/>
    <w:rsid w:val="006D558E"/>
    <w:rsid w:val="006D576C"/>
    <w:rsid w:val="006D5865"/>
    <w:rsid w:val="006D5E86"/>
    <w:rsid w:val="006E345F"/>
    <w:rsid w:val="006E3819"/>
    <w:rsid w:val="006E4B1B"/>
    <w:rsid w:val="006E5445"/>
    <w:rsid w:val="006E7D93"/>
    <w:rsid w:val="006F3B1D"/>
    <w:rsid w:val="006F519F"/>
    <w:rsid w:val="006F5AD6"/>
    <w:rsid w:val="006F72D8"/>
    <w:rsid w:val="006F7BDA"/>
    <w:rsid w:val="0070133D"/>
    <w:rsid w:val="007029A3"/>
    <w:rsid w:val="007033B9"/>
    <w:rsid w:val="00703581"/>
    <w:rsid w:val="0070443D"/>
    <w:rsid w:val="00706321"/>
    <w:rsid w:val="00706E4E"/>
    <w:rsid w:val="00707172"/>
    <w:rsid w:val="0070791C"/>
    <w:rsid w:val="007079CE"/>
    <w:rsid w:val="0071072A"/>
    <w:rsid w:val="0071383C"/>
    <w:rsid w:val="007141A7"/>
    <w:rsid w:val="007148CA"/>
    <w:rsid w:val="00714A97"/>
    <w:rsid w:val="00714AE6"/>
    <w:rsid w:val="00715722"/>
    <w:rsid w:val="00715BAF"/>
    <w:rsid w:val="00715EEF"/>
    <w:rsid w:val="00716940"/>
    <w:rsid w:val="00720454"/>
    <w:rsid w:val="00721032"/>
    <w:rsid w:val="00721B55"/>
    <w:rsid w:val="007233DE"/>
    <w:rsid w:val="00725777"/>
    <w:rsid w:val="00725B7B"/>
    <w:rsid w:val="00726C5B"/>
    <w:rsid w:val="00726CE4"/>
    <w:rsid w:val="007313A9"/>
    <w:rsid w:val="007335AD"/>
    <w:rsid w:val="00734143"/>
    <w:rsid w:val="00734499"/>
    <w:rsid w:val="00737918"/>
    <w:rsid w:val="00737960"/>
    <w:rsid w:val="00737E47"/>
    <w:rsid w:val="00740EAC"/>
    <w:rsid w:val="00743746"/>
    <w:rsid w:val="00744956"/>
    <w:rsid w:val="00745A5C"/>
    <w:rsid w:val="00745C17"/>
    <w:rsid w:val="0074605F"/>
    <w:rsid w:val="007460D1"/>
    <w:rsid w:val="00746171"/>
    <w:rsid w:val="00746BD2"/>
    <w:rsid w:val="00747E94"/>
    <w:rsid w:val="007507E5"/>
    <w:rsid w:val="00754626"/>
    <w:rsid w:val="007546A6"/>
    <w:rsid w:val="00754C83"/>
    <w:rsid w:val="00756303"/>
    <w:rsid w:val="00756CF6"/>
    <w:rsid w:val="0076020B"/>
    <w:rsid w:val="00761E5C"/>
    <w:rsid w:val="00763B43"/>
    <w:rsid w:val="0076487F"/>
    <w:rsid w:val="00765D0C"/>
    <w:rsid w:val="00765D70"/>
    <w:rsid w:val="00765DF8"/>
    <w:rsid w:val="007663D0"/>
    <w:rsid w:val="00766749"/>
    <w:rsid w:val="00766B6D"/>
    <w:rsid w:val="00767C1B"/>
    <w:rsid w:val="007703F9"/>
    <w:rsid w:val="00770965"/>
    <w:rsid w:val="00770B3F"/>
    <w:rsid w:val="007714A9"/>
    <w:rsid w:val="00773806"/>
    <w:rsid w:val="00774AF1"/>
    <w:rsid w:val="00774F88"/>
    <w:rsid w:val="00774FDB"/>
    <w:rsid w:val="0077578A"/>
    <w:rsid w:val="00776313"/>
    <w:rsid w:val="007764BE"/>
    <w:rsid w:val="00777BA2"/>
    <w:rsid w:val="00781408"/>
    <w:rsid w:val="00782519"/>
    <w:rsid w:val="007828AA"/>
    <w:rsid w:val="00782ED0"/>
    <w:rsid w:val="00783212"/>
    <w:rsid w:val="00784F7F"/>
    <w:rsid w:val="00786D0F"/>
    <w:rsid w:val="007878BD"/>
    <w:rsid w:val="00793804"/>
    <w:rsid w:val="00793A3B"/>
    <w:rsid w:val="0079455D"/>
    <w:rsid w:val="00796F25"/>
    <w:rsid w:val="007A0367"/>
    <w:rsid w:val="007A099C"/>
    <w:rsid w:val="007A2E98"/>
    <w:rsid w:val="007A3BA3"/>
    <w:rsid w:val="007A4B6F"/>
    <w:rsid w:val="007A59F2"/>
    <w:rsid w:val="007A6CC0"/>
    <w:rsid w:val="007A7FEC"/>
    <w:rsid w:val="007B1499"/>
    <w:rsid w:val="007B1A29"/>
    <w:rsid w:val="007B1BBF"/>
    <w:rsid w:val="007B23E5"/>
    <w:rsid w:val="007B2851"/>
    <w:rsid w:val="007B2960"/>
    <w:rsid w:val="007B355D"/>
    <w:rsid w:val="007B4AB5"/>
    <w:rsid w:val="007B5C13"/>
    <w:rsid w:val="007B6ECB"/>
    <w:rsid w:val="007B738F"/>
    <w:rsid w:val="007B7980"/>
    <w:rsid w:val="007C0DC3"/>
    <w:rsid w:val="007C0DEF"/>
    <w:rsid w:val="007C14EE"/>
    <w:rsid w:val="007C1D9B"/>
    <w:rsid w:val="007C41AB"/>
    <w:rsid w:val="007C4E95"/>
    <w:rsid w:val="007C5A81"/>
    <w:rsid w:val="007C5D5A"/>
    <w:rsid w:val="007C607F"/>
    <w:rsid w:val="007C6D88"/>
    <w:rsid w:val="007C7234"/>
    <w:rsid w:val="007C79DD"/>
    <w:rsid w:val="007D13AF"/>
    <w:rsid w:val="007D1A97"/>
    <w:rsid w:val="007D2CD6"/>
    <w:rsid w:val="007D3063"/>
    <w:rsid w:val="007D3098"/>
    <w:rsid w:val="007D3561"/>
    <w:rsid w:val="007D3BFC"/>
    <w:rsid w:val="007D3CEB"/>
    <w:rsid w:val="007D44C6"/>
    <w:rsid w:val="007D6C2D"/>
    <w:rsid w:val="007E1FA5"/>
    <w:rsid w:val="007E2879"/>
    <w:rsid w:val="007E2B1F"/>
    <w:rsid w:val="007E3C0C"/>
    <w:rsid w:val="007E47CC"/>
    <w:rsid w:val="007E7683"/>
    <w:rsid w:val="007F20A5"/>
    <w:rsid w:val="007F47D4"/>
    <w:rsid w:val="007F49FA"/>
    <w:rsid w:val="007F54C4"/>
    <w:rsid w:val="007F56BB"/>
    <w:rsid w:val="007F57C4"/>
    <w:rsid w:val="007F5B29"/>
    <w:rsid w:val="007F6E9A"/>
    <w:rsid w:val="007F76C3"/>
    <w:rsid w:val="00800CCD"/>
    <w:rsid w:val="00800E04"/>
    <w:rsid w:val="00801139"/>
    <w:rsid w:val="0080342E"/>
    <w:rsid w:val="008044D4"/>
    <w:rsid w:val="008052BD"/>
    <w:rsid w:val="008056C1"/>
    <w:rsid w:val="00806E7B"/>
    <w:rsid w:val="0081027D"/>
    <w:rsid w:val="00810AB4"/>
    <w:rsid w:val="00812500"/>
    <w:rsid w:val="0081268A"/>
    <w:rsid w:val="00813104"/>
    <w:rsid w:val="008131FC"/>
    <w:rsid w:val="00813746"/>
    <w:rsid w:val="008150B8"/>
    <w:rsid w:val="00817B56"/>
    <w:rsid w:val="00817E8E"/>
    <w:rsid w:val="008211EB"/>
    <w:rsid w:val="00821532"/>
    <w:rsid w:val="00821A88"/>
    <w:rsid w:val="0082233D"/>
    <w:rsid w:val="00822444"/>
    <w:rsid w:val="0082322E"/>
    <w:rsid w:val="00823E88"/>
    <w:rsid w:val="0082495D"/>
    <w:rsid w:val="00825D67"/>
    <w:rsid w:val="00826627"/>
    <w:rsid w:val="008318A1"/>
    <w:rsid w:val="00831AC3"/>
    <w:rsid w:val="00832055"/>
    <w:rsid w:val="008326E6"/>
    <w:rsid w:val="00832A72"/>
    <w:rsid w:val="00834E70"/>
    <w:rsid w:val="00836FCE"/>
    <w:rsid w:val="00837F4B"/>
    <w:rsid w:val="00840337"/>
    <w:rsid w:val="00840756"/>
    <w:rsid w:val="008408FF"/>
    <w:rsid w:val="00840FD5"/>
    <w:rsid w:val="00841C7C"/>
    <w:rsid w:val="008423F5"/>
    <w:rsid w:val="00846792"/>
    <w:rsid w:val="008512A0"/>
    <w:rsid w:val="00851F3F"/>
    <w:rsid w:val="00853325"/>
    <w:rsid w:val="00853378"/>
    <w:rsid w:val="00855D5A"/>
    <w:rsid w:val="00856423"/>
    <w:rsid w:val="00856EDC"/>
    <w:rsid w:val="00860870"/>
    <w:rsid w:val="00860CE3"/>
    <w:rsid w:val="008623B5"/>
    <w:rsid w:val="00862CB2"/>
    <w:rsid w:val="008648DF"/>
    <w:rsid w:val="00864A17"/>
    <w:rsid w:val="00865ABA"/>
    <w:rsid w:val="008679C4"/>
    <w:rsid w:val="00870992"/>
    <w:rsid w:val="00870ABA"/>
    <w:rsid w:val="00870C64"/>
    <w:rsid w:val="0087104A"/>
    <w:rsid w:val="008710E1"/>
    <w:rsid w:val="008716E5"/>
    <w:rsid w:val="00871B0F"/>
    <w:rsid w:val="00871FC4"/>
    <w:rsid w:val="00872524"/>
    <w:rsid w:val="00872A71"/>
    <w:rsid w:val="00872A81"/>
    <w:rsid w:val="00873AEC"/>
    <w:rsid w:val="008741FE"/>
    <w:rsid w:val="0087474E"/>
    <w:rsid w:val="0087510E"/>
    <w:rsid w:val="008751E7"/>
    <w:rsid w:val="00875E84"/>
    <w:rsid w:val="008765BB"/>
    <w:rsid w:val="008800AA"/>
    <w:rsid w:val="0088062B"/>
    <w:rsid w:val="00880E23"/>
    <w:rsid w:val="00881CA9"/>
    <w:rsid w:val="00881D80"/>
    <w:rsid w:val="008829B6"/>
    <w:rsid w:val="00882B14"/>
    <w:rsid w:val="008831DD"/>
    <w:rsid w:val="00883255"/>
    <w:rsid w:val="00883628"/>
    <w:rsid w:val="00885544"/>
    <w:rsid w:val="0088634E"/>
    <w:rsid w:val="0089016E"/>
    <w:rsid w:val="00893AB8"/>
    <w:rsid w:val="00895441"/>
    <w:rsid w:val="008966EF"/>
    <w:rsid w:val="008967DA"/>
    <w:rsid w:val="00896F71"/>
    <w:rsid w:val="008A04C8"/>
    <w:rsid w:val="008A171F"/>
    <w:rsid w:val="008A2DE1"/>
    <w:rsid w:val="008A377F"/>
    <w:rsid w:val="008A580A"/>
    <w:rsid w:val="008A6913"/>
    <w:rsid w:val="008B0FEC"/>
    <w:rsid w:val="008B34AA"/>
    <w:rsid w:val="008B3863"/>
    <w:rsid w:val="008B70F3"/>
    <w:rsid w:val="008B71C4"/>
    <w:rsid w:val="008B76DF"/>
    <w:rsid w:val="008C10F4"/>
    <w:rsid w:val="008C159E"/>
    <w:rsid w:val="008C1E19"/>
    <w:rsid w:val="008C2704"/>
    <w:rsid w:val="008C3D4D"/>
    <w:rsid w:val="008C40CC"/>
    <w:rsid w:val="008C5782"/>
    <w:rsid w:val="008C5A1B"/>
    <w:rsid w:val="008C65F7"/>
    <w:rsid w:val="008C7C06"/>
    <w:rsid w:val="008D07DF"/>
    <w:rsid w:val="008D0D4C"/>
    <w:rsid w:val="008D0F5D"/>
    <w:rsid w:val="008D1D3E"/>
    <w:rsid w:val="008D23C7"/>
    <w:rsid w:val="008D265A"/>
    <w:rsid w:val="008D2A9E"/>
    <w:rsid w:val="008D2DA9"/>
    <w:rsid w:val="008D35A0"/>
    <w:rsid w:val="008D391A"/>
    <w:rsid w:val="008D68B6"/>
    <w:rsid w:val="008D6A93"/>
    <w:rsid w:val="008E0428"/>
    <w:rsid w:val="008E218A"/>
    <w:rsid w:val="008E2449"/>
    <w:rsid w:val="008E33A3"/>
    <w:rsid w:val="008E4767"/>
    <w:rsid w:val="008E4CD9"/>
    <w:rsid w:val="008E5610"/>
    <w:rsid w:val="008E67AF"/>
    <w:rsid w:val="008E7A8C"/>
    <w:rsid w:val="008F03A0"/>
    <w:rsid w:val="008F34EA"/>
    <w:rsid w:val="009001AE"/>
    <w:rsid w:val="0090059E"/>
    <w:rsid w:val="00901C60"/>
    <w:rsid w:val="0090203B"/>
    <w:rsid w:val="00902A4B"/>
    <w:rsid w:val="00903285"/>
    <w:rsid w:val="00903E2C"/>
    <w:rsid w:val="00904A17"/>
    <w:rsid w:val="00904D74"/>
    <w:rsid w:val="00906F40"/>
    <w:rsid w:val="0090731E"/>
    <w:rsid w:val="00912A85"/>
    <w:rsid w:val="0091598A"/>
    <w:rsid w:val="00915B1C"/>
    <w:rsid w:val="00916A19"/>
    <w:rsid w:val="009174F3"/>
    <w:rsid w:val="0091797D"/>
    <w:rsid w:val="00917FE5"/>
    <w:rsid w:val="00920F14"/>
    <w:rsid w:val="0092206B"/>
    <w:rsid w:val="00923CBA"/>
    <w:rsid w:val="0092558B"/>
    <w:rsid w:val="00925DD1"/>
    <w:rsid w:val="009261E1"/>
    <w:rsid w:val="00926703"/>
    <w:rsid w:val="00927691"/>
    <w:rsid w:val="00927A5F"/>
    <w:rsid w:val="00930204"/>
    <w:rsid w:val="00930510"/>
    <w:rsid w:val="00930A11"/>
    <w:rsid w:val="009318F5"/>
    <w:rsid w:val="0093351C"/>
    <w:rsid w:val="009340D7"/>
    <w:rsid w:val="00935B63"/>
    <w:rsid w:val="00936E95"/>
    <w:rsid w:val="00937A7D"/>
    <w:rsid w:val="00937F88"/>
    <w:rsid w:val="00940349"/>
    <w:rsid w:val="0094078F"/>
    <w:rsid w:val="00940FA3"/>
    <w:rsid w:val="009416D2"/>
    <w:rsid w:val="009418E3"/>
    <w:rsid w:val="00941FB0"/>
    <w:rsid w:val="009426D4"/>
    <w:rsid w:val="0094334A"/>
    <w:rsid w:val="00944126"/>
    <w:rsid w:val="00945E5D"/>
    <w:rsid w:val="009464A8"/>
    <w:rsid w:val="00946F09"/>
    <w:rsid w:val="00947F25"/>
    <w:rsid w:val="00950159"/>
    <w:rsid w:val="009523EA"/>
    <w:rsid w:val="00952620"/>
    <w:rsid w:val="00952EB0"/>
    <w:rsid w:val="0095490B"/>
    <w:rsid w:val="009578E1"/>
    <w:rsid w:val="0096022F"/>
    <w:rsid w:val="00960958"/>
    <w:rsid w:val="00960A33"/>
    <w:rsid w:val="00960AC3"/>
    <w:rsid w:val="009614CA"/>
    <w:rsid w:val="00962768"/>
    <w:rsid w:val="00964353"/>
    <w:rsid w:val="00967362"/>
    <w:rsid w:val="00971914"/>
    <w:rsid w:val="009731A9"/>
    <w:rsid w:val="00973402"/>
    <w:rsid w:val="00973855"/>
    <w:rsid w:val="00974363"/>
    <w:rsid w:val="0097735F"/>
    <w:rsid w:val="009777D9"/>
    <w:rsid w:val="0098063F"/>
    <w:rsid w:val="00980FB6"/>
    <w:rsid w:val="009817CA"/>
    <w:rsid w:val="00981898"/>
    <w:rsid w:val="00983D2A"/>
    <w:rsid w:val="00983F32"/>
    <w:rsid w:val="00990ACD"/>
    <w:rsid w:val="00992DA3"/>
    <w:rsid w:val="00993ABE"/>
    <w:rsid w:val="00994D89"/>
    <w:rsid w:val="0099577C"/>
    <w:rsid w:val="009961F0"/>
    <w:rsid w:val="00996D4C"/>
    <w:rsid w:val="009A021C"/>
    <w:rsid w:val="009A1FE7"/>
    <w:rsid w:val="009A25CC"/>
    <w:rsid w:val="009A55E8"/>
    <w:rsid w:val="009A629E"/>
    <w:rsid w:val="009A79A4"/>
    <w:rsid w:val="009B1EB6"/>
    <w:rsid w:val="009B24A5"/>
    <w:rsid w:val="009B2601"/>
    <w:rsid w:val="009B4E9E"/>
    <w:rsid w:val="009B656F"/>
    <w:rsid w:val="009B68BD"/>
    <w:rsid w:val="009B698D"/>
    <w:rsid w:val="009B7357"/>
    <w:rsid w:val="009C1426"/>
    <w:rsid w:val="009C1591"/>
    <w:rsid w:val="009C1690"/>
    <w:rsid w:val="009C1739"/>
    <w:rsid w:val="009C1F1B"/>
    <w:rsid w:val="009C263C"/>
    <w:rsid w:val="009C2EE9"/>
    <w:rsid w:val="009C3850"/>
    <w:rsid w:val="009C5CB4"/>
    <w:rsid w:val="009C6881"/>
    <w:rsid w:val="009C7759"/>
    <w:rsid w:val="009C7CF8"/>
    <w:rsid w:val="009D043D"/>
    <w:rsid w:val="009D044F"/>
    <w:rsid w:val="009D07C8"/>
    <w:rsid w:val="009D0F49"/>
    <w:rsid w:val="009D1284"/>
    <w:rsid w:val="009D1DAF"/>
    <w:rsid w:val="009D1FCF"/>
    <w:rsid w:val="009D35D2"/>
    <w:rsid w:val="009D4C74"/>
    <w:rsid w:val="009D4C85"/>
    <w:rsid w:val="009D6047"/>
    <w:rsid w:val="009D6B00"/>
    <w:rsid w:val="009D6C71"/>
    <w:rsid w:val="009D77EF"/>
    <w:rsid w:val="009E0631"/>
    <w:rsid w:val="009E16D0"/>
    <w:rsid w:val="009E2051"/>
    <w:rsid w:val="009E2F8C"/>
    <w:rsid w:val="009E38FD"/>
    <w:rsid w:val="009E3F15"/>
    <w:rsid w:val="009E762C"/>
    <w:rsid w:val="009F0050"/>
    <w:rsid w:val="009F13D6"/>
    <w:rsid w:val="009F1D28"/>
    <w:rsid w:val="009F1F0A"/>
    <w:rsid w:val="009F271F"/>
    <w:rsid w:val="009F276B"/>
    <w:rsid w:val="009F42DF"/>
    <w:rsid w:val="009F4C6B"/>
    <w:rsid w:val="009F75C8"/>
    <w:rsid w:val="009F78A8"/>
    <w:rsid w:val="009F7D76"/>
    <w:rsid w:val="00A00CA9"/>
    <w:rsid w:val="00A01502"/>
    <w:rsid w:val="00A02AD6"/>
    <w:rsid w:val="00A030F4"/>
    <w:rsid w:val="00A063FC"/>
    <w:rsid w:val="00A07096"/>
    <w:rsid w:val="00A071FB"/>
    <w:rsid w:val="00A07318"/>
    <w:rsid w:val="00A11370"/>
    <w:rsid w:val="00A134CA"/>
    <w:rsid w:val="00A224CE"/>
    <w:rsid w:val="00A22522"/>
    <w:rsid w:val="00A225D1"/>
    <w:rsid w:val="00A2286D"/>
    <w:rsid w:val="00A24433"/>
    <w:rsid w:val="00A24AFD"/>
    <w:rsid w:val="00A24F5C"/>
    <w:rsid w:val="00A2638E"/>
    <w:rsid w:val="00A27555"/>
    <w:rsid w:val="00A27969"/>
    <w:rsid w:val="00A27C70"/>
    <w:rsid w:val="00A30916"/>
    <w:rsid w:val="00A3091A"/>
    <w:rsid w:val="00A30A2A"/>
    <w:rsid w:val="00A31480"/>
    <w:rsid w:val="00A32F96"/>
    <w:rsid w:val="00A35477"/>
    <w:rsid w:val="00A369F5"/>
    <w:rsid w:val="00A36C87"/>
    <w:rsid w:val="00A372AF"/>
    <w:rsid w:val="00A3759D"/>
    <w:rsid w:val="00A40871"/>
    <w:rsid w:val="00A412AB"/>
    <w:rsid w:val="00A4193E"/>
    <w:rsid w:val="00A422EF"/>
    <w:rsid w:val="00A42B22"/>
    <w:rsid w:val="00A42BE8"/>
    <w:rsid w:val="00A43E8B"/>
    <w:rsid w:val="00A440E0"/>
    <w:rsid w:val="00A442EF"/>
    <w:rsid w:val="00A45D76"/>
    <w:rsid w:val="00A468F6"/>
    <w:rsid w:val="00A46A62"/>
    <w:rsid w:val="00A475D8"/>
    <w:rsid w:val="00A478F0"/>
    <w:rsid w:val="00A5056D"/>
    <w:rsid w:val="00A51519"/>
    <w:rsid w:val="00A51D1A"/>
    <w:rsid w:val="00A5366D"/>
    <w:rsid w:val="00A538FF"/>
    <w:rsid w:val="00A53C43"/>
    <w:rsid w:val="00A5418D"/>
    <w:rsid w:val="00A5474E"/>
    <w:rsid w:val="00A56392"/>
    <w:rsid w:val="00A56736"/>
    <w:rsid w:val="00A57AE8"/>
    <w:rsid w:val="00A57B49"/>
    <w:rsid w:val="00A603A9"/>
    <w:rsid w:val="00A61B63"/>
    <w:rsid w:val="00A632AD"/>
    <w:rsid w:val="00A633D7"/>
    <w:rsid w:val="00A634D1"/>
    <w:rsid w:val="00A63DC7"/>
    <w:rsid w:val="00A64234"/>
    <w:rsid w:val="00A6597F"/>
    <w:rsid w:val="00A65E1C"/>
    <w:rsid w:val="00A66038"/>
    <w:rsid w:val="00A70853"/>
    <w:rsid w:val="00A70ADF"/>
    <w:rsid w:val="00A71466"/>
    <w:rsid w:val="00A722E3"/>
    <w:rsid w:val="00A73419"/>
    <w:rsid w:val="00A74285"/>
    <w:rsid w:val="00A74789"/>
    <w:rsid w:val="00A74B5E"/>
    <w:rsid w:val="00A802BB"/>
    <w:rsid w:val="00A80FB1"/>
    <w:rsid w:val="00A814E4"/>
    <w:rsid w:val="00A81BED"/>
    <w:rsid w:val="00A81EC4"/>
    <w:rsid w:val="00A81F05"/>
    <w:rsid w:val="00A824E8"/>
    <w:rsid w:val="00A82661"/>
    <w:rsid w:val="00A8276A"/>
    <w:rsid w:val="00A8318C"/>
    <w:rsid w:val="00A83243"/>
    <w:rsid w:val="00A837F6"/>
    <w:rsid w:val="00A83B5D"/>
    <w:rsid w:val="00A8480C"/>
    <w:rsid w:val="00A84F1A"/>
    <w:rsid w:val="00A87982"/>
    <w:rsid w:val="00A905A0"/>
    <w:rsid w:val="00A90E53"/>
    <w:rsid w:val="00A918C5"/>
    <w:rsid w:val="00A949F3"/>
    <w:rsid w:val="00A94A7F"/>
    <w:rsid w:val="00A95D55"/>
    <w:rsid w:val="00A96356"/>
    <w:rsid w:val="00A967FD"/>
    <w:rsid w:val="00A96844"/>
    <w:rsid w:val="00A97227"/>
    <w:rsid w:val="00A972E4"/>
    <w:rsid w:val="00A97781"/>
    <w:rsid w:val="00A97C5F"/>
    <w:rsid w:val="00A97ED5"/>
    <w:rsid w:val="00AA0392"/>
    <w:rsid w:val="00AA1B0E"/>
    <w:rsid w:val="00AA1EA1"/>
    <w:rsid w:val="00AA2215"/>
    <w:rsid w:val="00AA2520"/>
    <w:rsid w:val="00AA2DE5"/>
    <w:rsid w:val="00AA3554"/>
    <w:rsid w:val="00AA3B8C"/>
    <w:rsid w:val="00AA4471"/>
    <w:rsid w:val="00AA4CE9"/>
    <w:rsid w:val="00AA63C4"/>
    <w:rsid w:val="00AA796A"/>
    <w:rsid w:val="00AB1515"/>
    <w:rsid w:val="00AB156C"/>
    <w:rsid w:val="00AB1818"/>
    <w:rsid w:val="00AB44DF"/>
    <w:rsid w:val="00AB4894"/>
    <w:rsid w:val="00AB5FF7"/>
    <w:rsid w:val="00AB6814"/>
    <w:rsid w:val="00AC04BA"/>
    <w:rsid w:val="00AC0E39"/>
    <w:rsid w:val="00AC1367"/>
    <w:rsid w:val="00AC1D93"/>
    <w:rsid w:val="00AC26B3"/>
    <w:rsid w:val="00AC2E95"/>
    <w:rsid w:val="00AC3F9D"/>
    <w:rsid w:val="00AC43D6"/>
    <w:rsid w:val="00AC4EEC"/>
    <w:rsid w:val="00AC6A6A"/>
    <w:rsid w:val="00AD0D1B"/>
    <w:rsid w:val="00AD24AE"/>
    <w:rsid w:val="00AD3082"/>
    <w:rsid w:val="00AD32B4"/>
    <w:rsid w:val="00AD4AD0"/>
    <w:rsid w:val="00AD5436"/>
    <w:rsid w:val="00AD5B4D"/>
    <w:rsid w:val="00AD60CD"/>
    <w:rsid w:val="00AD620E"/>
    <w:rsid w:val="00AD6365"/>
    <w:rsid w:val="00AD682B"/>
    <w:rsid w:val="00AD69CC"/>
    <w:rsid w:val="00AD6C8C"/>
    <w:rsid w:val="00AD7CDE"/>
    <w:rsid w:val="00AE0763"/>
    <w:rsid w:val="00AE091D"/>
    <w:rsid w:val="00AE0CA5"/>
    <w:rsid w:val="00AE3927"/>
    <w:rsid w:val="00AE3B60"/>
    <w:rsid w:val="00AE3DA9"/>
    <w:rsid w:val="00AE5123"/>
    <w:rsid w:val="00AE53A1"/>
    <w:rsid w:val="00AE5D80"/>
    <w:rsid w:val="00AE68FE"/>
    <w:rsid w:val="00AF02F6"/>
    <w:rsid w:val="00AF2484"/>
    <w:rsid w:val="00AF3706"/>
    <w:rsid w:val="00AF5A38"/>
    <w:rsid w:val="00AF61D3"/>
    <w:rsid w:val="00AF63E7"/>
    <w:rsid w:val="00AF6E17"/>
    <w:rsid w:val="00B00B84"/>
    <w:rsid w:val="00B0165D"/>
    <w:rsid w:val="00B01B60"/>
    <w:rsid w:val="00B031F3"/>
    <w:rsid w:val="00B04BA2"/>
    <w:rsid w:val="00B052A4"/>
    <w:rsid w:val="00B06EB4"/>
    <w:rsid w:val="00B10013"/>
    <w:rsid w:val="00B11B6E"/>
    <w:rsid w:val="00B125DE"/>
    <w:rsid w:val="00B13C90"/>
    <w:rsid w:val="00B13FDD"/>
    <w:rsid w:val="00B14252"/>
    <w:rsid w:val="00B15010"/>
    <w:rsid w:val="00B22EB2"/>
    <w:rsid w:val="00B23159"/>
    <w:rsid w:val="00B2643B"/>
    <w:rsid w:val="00B26FE4"/>
    <w:rsid w:val="00B27442"/>
    <w:rsid w:val="00B27C95"/>
    <w:rsid w:val="00B27D74"/>
    <w:rsid w:val="00B31167"/>
    <w:rsid w:val="00B329D8"/>
    <w:rsid w:val="00B32BB9"/>
    <w:rsid w:val="00B33AE1"/>
    <w:rsid w:val="00B35676"/>
    <w:rsid w:val="00B36CEC"/>
    <w:rsid w:val="00B37C38"/>
    <w:rsid w:val="00B4032E"/>
    <w:rsid w:val="00B4288C"/>
    <w:rsid w:val="00B43262"/>
    <w:rsid w:val="00B43617"/>
    <w:rsid w:val="00B44100"/>
    <w:rsid w:val="00B46CBA"/>
    <w:rsid w:val="00B46F94"/>
    <w:rsid w:val="00B471E7"/>
    <w:rsid w:val="00B50B79"/>
    <w:rsid w:val="00B51E70"/>
    <w:rsid w:val="00B531C9"/>
    <w:rsid w:val="00B539A6"/>
    <w:rsid w:val="00B53CB7"/>
    <w:rsid w:val="00B554AB"/>
    <w:rsid w:val="00B565EC"/>
    <w:rsid w:val="00B566D9"/>
    <w:rsid w:val="00B6003C"/>
    <w:rsid w:val="00B6144B"/>
    <w:rsid w:val="00B61F03"/>
    <w:rsid w:val="00B6206D"/>
    <w:rsid w:val="00B626E4"/>
    <w:rsid w:val="00B62F64"/>
    <w:rsid w:val="00B6325A"/>
    <w:rsid w:val="00B645DD"/>
    <w:rsid w:val="00B70653"/>
    <w:rsid w:val="00B71AA2"/>
    <w:rsid w:val="00B71DAC"/>
    <w:rsid w:val="00B72F4A"/>
    <w:rsid w:val="00B731DC"/>
    <w:rsid w:val="00B769D1"/>
    <w:rsid w:val="00B771CA"/>
    <w:rsid w:val="00B81177"/>
    <w:rsid w:val="00B81A31"/>
    <w:rsid w:val="00B836F1"/>
    <w:rsid w:val="00B83C27"/>
    <w:rsid w:val="00B84BC3"/>
    <w:rsid w:val="00B84BDD"/>
    <w:rsid w:val="00B851CF"/>
    <w:rsid w:val="00B87938"/>
    <w:rsid w:val="00B92137"/>
    <w:rsid w:val="00B92812"/>
    <w:rsid w:val="00B92A41"/>
    <w:rsid w:val="00B93695"/>
    <w:rsid w:val="00B939E1"/>
    <w:rsid w:val="00B95CE1"/>
    <w:rsid w:val="00BA1405"/>
    <w:rsid w:val="00BA186B"/>
    <w:rsid w:val="00BA216F"/>
    <w:rsid w:val="00BA23D7"/>
    <w:rsid w:val="00BA24A6"/>
    <w:rsid w:val="00BA46F2"/>
    <w:rsid w:val="00BA4A58"/>
    <w:rsid w:val="00BA6867"/>
    <w:rsid w:val="00BA7213"/>
    <w:rsid w:val="00BB0569"/>
    <w:rsid w:val="00BB0C21"/>
    <w:rsid w:val="00BB41E3"/>
    <w:rsid w:val="00BB45A1"/>
    <w:rsid w:val="00BB4708"/>
    <w:rsid w:val="00BB581C"/>
    <w:rsid w:val="00BB6335"/>
    <w:rsid w:val="00BB64A4"/>
    <w:rsid w:val="00BB6B60"/>
    <w:rsid w:val="00BB7686"/>
    <w:rsid w:val="00BB7802"/>
    <w:rsid w:val="00BB7BB5"/>
    <w:rsid w:val="00BC1341"/>
    <w:rsid w:val="00BC2365"/>
    <w:rsid w:val="00BC23F9"/>
    <w:rsid w:val="00BC2A41"/>
    <w:rsid w:val="00BC31D9"/>
    <w:rsid w:val="00BC3421"/>
    <w:rsid w:val="00BC3AF4"/>
    <w:rsid w:val="00BC3F23"/>
    <w:rsid w:val="00BC49B3"/>
    <w:rsid w:val="00BC49CD"/>
    <w:rsid w:val="00BC732C"/>
    <w:rsid w:val="00BD08DB"/>
    <w:rsid w:val="00BD0E8C"/>
    <w:rsid w:val="00BD1057"/>
    <w:rsid w:val="00BD388E"/>
    <w:rsid w:val="00BD3EFC"/>
    <w:rsid w:val="00BD4421"/>
    <w:rsid w:val="00BD61EC"/>
    <w:rsid w:val="00BE17F2"/>
    <w:rsid w:val="00BE2580"/>
    <w:rsid w:val="00BE266D"/>
    <w:rsid w:val="00BE2D3C"/>
    <w:rsid w:val="00BE3938"/>
    <w:rsid w:val="00BE3C1F"/>
    <w:rsid w:val="00BE444B"/>
    <w:rsid w:val="00BE4C0A"/>
    <w:rsid w:val="00BE4C11"/>
    <w:rsid w:val="00BE625E"/>
    <w:rsid w:val="00BE6B0E"/>
    <w:rsid w:val="00BE6B71"/>
    <w:rsid w:val="00BE6CB1"/>
    <w:rsid w:val="00BE71C0"/>
    <w:rsid w:val="00BE73A8"/>
    <w:rsid w:val="00BE7816"/>
    <w:rsid w:val="00BE7AE1"/>
    <w:rsid w:val="00BE7E7C"/>
    <w:rsid w:val="00BF0413"/>
    <w:rsid w:val="00BF0BCA"/>
    <w:rsid w:val="00BF1C42"/>
    <w:rsid w:val="00BF1CF0"/>
    <w:rsid w:val="00BF2852"/>
    <w:rsid w:val="00BF4D39"/>
    <w:rsid w:val="00BF532B"/>
    <w:rsid w:val="00BF610C"/>
    <w:rsid w:val="00BF6448"/>
    <w:rsid w:val="00BF7159"/>
    <w:rsid w:val="00C0060B"/>
    <w:rsid w:val="00C00F0D"/>
    <w:rsid w:val="00C014E4"/>
    <w:rsid w:val="00C01A6C"/>
    <w:rsid w:val="00C0277D"/>
    <w:rsid w:val="00C02F26"/>
    <w:rsid w:val="00C04196"/>
    <w:rsid w:val="00C053A1"/>
    <w:rsid w:val="00C100C9"/>
    <w:rsid w:val="00C11A1A"/>
    <w:rsid w:val="00C129F0"/>
    <w:rsid w:val="00C12F10"/>
    <w:rsid w:val="00C13729"/>
    <w:rsid w:val="00C1424B"/>
    <w:rsid w:val="00C152CF"/>
    <w:rsid w:val="00C153BD"/>
    <w:rsid w:val="00C16198"/>
    <w:rsid w:val="00C17491"/>
    <w:rsid w:val="00C2083D"/>
    <w:rsid w:val="00C22676"/>
    <w:rsid w:val="00C22C96"/>
    <w:rsid w:val="00C24A53"/>
    <w:rsid w:val="00C25AC6"/>
    <w:rsid w:val="00C26062"/>
    <w:rsid w:val="00C265A9"/>
    <w:rsid w:val="00C2669A"/>
    <w:rsid w:val="00C27CE3"/>
    <w:rsid w:val="00C30C40"/>
    <w:rsid w:val="00C33872"/>
    <w:rsid w:val="00C3396C"/>
    <w:rsid w:val="00C34A05"/>
    <w:rsid w:val="00C35CCE"/>
    <w:rsid w:val="00C4032F"/>
    <w:rsid w:val="00C40693"/>
    <w:rsid w:val="00C40941"/>
    <w:rsid w:val="00C415A3"/>
    <w:rsid w:val="00C41F21"/>
    <w:rsid w:val="00C43BEE"/>
    <w:rsid w:val="00C43EF6"/>
    <w:rsid w:val="00C44047"/>
    <w:rsid w:val="00C45155"/>
    <w:rsid w:val="00C457A2"/>
    <w:rsid w:val="00C471AC"/>
    <w:rsid w:val="00C50424"/>
    <w:rsid w:val="00C50881"/>
    <w:rsid w:val="00C51B6E"/>
    <w:rsid w:val="00C5498F"/>
    <w:rsid w:val="00C55235"/>
    <w:rsid w:val="00C55B38"/>
    <w:rsid w:val="00C568F7"/>
    <w:rsid w:val="00C5749F"/>
    <w:rsid w:val="00C60008"/>
    <w:rsid w:val="00C60A99"/>
    <w:rsid w:val="00C628A1"/>
    <w:rsid w:val="00C6336E"/>
    <w:rsid w:val="00C634FC"/>
    <w:rsid w:val="00C6425C"/>
    <w:rsid w:val="00C64CD0"/>
    <w:rsid w:val="00C65F61"/>
    <w:rsid w:val="00C6684F"/>
    <w:rsid w:val="00C678ED"/>
    <w:rsid w:val="00C70E70"/>
    <w:rsid w:val="00C719A5"/>
    <w:rsid w:val="00C72572"/>
    <w:rsid w:val="00C7581D"/>
    <w:rsid w:val="00C75F8D"/>
    <w:rsid w:val="00C761C9"/>
    <w:rsid w:val="00C76728"/>
    <w:rsid w:val="00C77006"/>
    <w:rsid w:val="00C77380"/>
    <w:rsid w:val="00C77C51"/>
    <w:rsid w:val="00C801AF"/>
    <w:rsid w:val="00C80B55"/>
    <w:rsid w:val="00C81E7F"/>
    <w:rsid w:val="00C827D7"/>
    <w:rsid w:val="00C8543F"/>
    <w:rsid w:val="00C86307"/>
    <w:rsid w:val="00C87E8A"/>
    <w:rsid w:val="00C9068E"/>
    <w:rsid w:val="00C9083D"/>
    <w:rsid w:val="00C90F93"/>
    <w:rsid w:val="00C911C3"/>
    <w:rsid w:val="00C913D6"/>
    <w:rsid w:val="00C916D5"/>
    <w:rsid w:val="00C91C76"/>
    <w:rsid w:val="00C92ED7"/>
    <w:rsid w:val="00C9330C"/>
    <w:rsid w:val="00C94A3D"/>
    <w:rsid w:val="00C96BC2"/>
    <w:rsid w:val="00C9746C"/>
    <w:rsid w:val="00C974BF"/>
    <w:rsid w:val="00C97736"/>
    <w:rsid w:val="00C977EC"/>
    <w:rsid w:val="00CA2763"/>
    <w:rsid w:val="00CA2E71"/>
    <w:rsid w:val="00CA345A"/>
    <w:rsid w:val="00CA37EE"/>
    <w:rsid w:val="00CA3AB3"/>
    <w:rsid w:val="00CA3F1A"/>
    <w:rsid w:val="00CA53D0"/>
    <w:rsid w:val="00CA5FC0"/>
    <w:rsid w:val="00CA684A"/>
    <w:rsid w:val="00CA6ABB"/>
    <w:rsid w:val="00CA6DED"/>
    <w:rsid w:val="00CA7E1D"/>
    <w:rsid w:val="00CB164A"/>
    <w:rsid w:val="00CB165B"/>
    <w:rsid w:val="00CB1E82"/>
    <w:rsid w:val="00CB1F30"/>
    <w:rsid w:val="00CB2249"/>
    <w:rsid w:val="00CB2962"/>
    <w:rsid w:val="00CB4BA8"/>
    <w:rsid w:val="00CB5239"/>
    <w:rsid w:val="00CB52D7"/>
    <w:rsid w:val="00CB76C1"/>
    <w:rsid w:val="00CC00B7"/>
    <w:rsid w:val="00CC1029"/>
    <w:rsid w:val="00CC1C7A"/>
    <w:rsid w:val="00CC3DB5"/>
    <w:rsid w:val="00CC6732"/>
    <w:rsid w:val="00CC6A3A"/>
    <w:rsid w:val="00CC73B2"/>
    <w:rsid w:val="00CC750B"/>
    <w:rsid w:val="00CD00F4"/>
    <w:rsid w:val="00CD0558"/>
    <w:rsid w:val="00CD1755"/>
    <w:rsid w:val="00CD36DF"/>
    <w:rsid w:val="00CD3D83"/>
    <w:rsid w:val="00CD3F71"/>
    <w:rsid w:val="00CD433C"/>
    <w:rsid w:val="00CD45C3"/>
    <w:rsid w:val="00CD6935"/>
    <w:rsid w:val="00CD6ACF"/>
    <w:rsid w:val="00CE0EF7"/>
    <w:rsid w:val="00CE1AE3"/>
    <w:rsid w:val="00CE280B"/>
    <w:rsid w:val="00CE3C96"/>
    <w:rsid w:val="00CE41E2"/>
    <w:rsid w:val="00CE51A8"/>
    <w:rsid w:val="00CF056B"/>
    <w:rsid w:val="00CF0BFE"/>
    <w:rsid w:val="00CF1421"/>
    <w:rsid w:val="00CF29A9"/>
    <w:rsid w:val="00CF3374"/>
    <w:rsid w:val="00CF369B"/>
    <w:rsid w:val="00CF503A"/>
    <w:rsid w:val="00CF6D15"/>
    <w:rsid w:val="00CF70BC"/>
    <w:rsid w:val="00CF72F4"/>
    <w:rsid w:val="00D00E28"/>
    <w:rsid w:val="00D0269E"/>
    <w:rsid w:val="00D02FF0"/>
    <w:rsid w:val="00D05D6C"/>
    <w:rsid w:val="00D06385"/>
    <w:rsid w:val="00D06C95"/>
    <w:rsid w:val="00D06EC6"/>
    <w:rsid w:val="00D06F71"/>
    <w:rsid w:val="00D07CA9"/>
    <w:rsid w:val="00D12364"/>
    <w:rsid w:val="00D12BBD"/>
    <w:rsid w:val="00D12FB0"/>
    <w:rsid w:val="00D138FF"/>
    <w:rsid w:val="00D14690"/>
    <w:rsid w:val="00D14728"/>
    <w:rsid w:val="00D156B9"/>
    <w:rsid w:val="00D15810"/>
    <w:rsid w:val="00D1668A"/>
    <w:rsid w:val="00D16D4E"/>
    <w:rsid w:val="00D16FE3"/>
    <w:rsid w:val="00D17ABF"/>
    <w:rsid w:val="00D17B7A"/>
    <w:rsid w:val="00D21AE5"/>
    <w:rsid w:val="00D22ADA"/>
    <w:rsid w:val="00D2400A"/>
    <w:rsid w:val="00D244DF"/>
    <w:rsid w:val="00D25D80"/>
    <w:rsid w:val="00D25EFA"/>
    <w:rsid w:val="00D272B3"/>
    <w:rsid w:val="00D27F41"/>
    <w:rsid w:val="00D3140E"/>
    <w:rsid w:val="00D31A20"/>
    <w:rsid w:val="00D35DBC"/>
    <w:rsid w:val="00D36441"/>
    <w:rsid w:val="00D3657B"/>
    <w:rsid w:val="00D37A6B"/>
    <w:rsid w:val="00D37A7B"/>
    <w:rsid w:val="00D4064E"/>
    <w:rsid w:val="00D41DFA"/>
    <w:rsid w:val="00D4252F"/>
    <w:rsid w:val="00D4271F"/>
    <w:rsid w:val="00D44E9B"/>
    <w:rsid w:val="00D47AEB"/>
    <w:rsid w:val="00D47FC0"/>
    <w:rsid w:val="00D50DB9"/>
    <w:rsid w:val="00D51302"/>
    <w:rsid w:val="00D51940"/>
    <w:rsid w:val="00D52C43"/>
    <w:rsid w:val="00D557D2"/>
    <w:rsid w:val="00D55B59"/>
    <w:rsid w:val="00D56CCC"/>
    <w:rsid w:val="00D57E84"/>
    <w:rsid w:val="00D60D49"/>
    <w:rsid w:val="00D61243"/>
    <w:rsid w:val="00D630EA"/>
    <w:rsid w:val="00D635CB"/>
    <w:rsid w:val="00D637FF"/>
    <w:rsid w:val="00D63E0F"/>
    <w:rsid w:val="00D63E5D"/>
    <w:rsid w:val="00D6507F"/>
    <w:rsid w:val="00D666F3"/>
    <w:rsid w:val="00D67D50"/>
    <w:rsid w:val="00D70109"/>
    <w:rsid w:val="00D71292"/>
    <w:rsid w:val="00D730BC"/>
    <w:rsid w:val="00D73472"/>
    <w:rsid w:val="00D7364F"/>
    <w:rsid w:val="00D73912"/>
    <w:rsid w:val="00D75FE0"/>
    <w:rsid w:val="00D81720"/>
    <w:rsid w:val="00D851E7"/>
    <w:rsid w:val="00D85226"/>
    <w:rsid w:val="00D853E2"/>
    <w:rsid w:val="00D87B94"/>
    <w:rsid w:val="00D90A9E"/>
    <w:rsid w:val="00D90AE6"/>
    <w:rsid w:val="00D91E9B"/>
    <w:rsid w:val="00D92D49"/>
    <w:rsid w:val="00D92EC1"/>
    <w:rsid w:val="00D9542C"/>
    <w:rsid w:val="00D95E55"/>
    <w:rsid w:val="00D96A13"/>
    <w:rsid w:val="00D96DEA"/>
    <w:rsid w:val="00DA125B"/>
    <w:rsid w:val="00DA260A"/>
    <w:rsid w:val="00DA4377"/>
    <w:rsid w:val="00DA4E41"/>
    <w:rsid w:val="00DA51FD"/>
    <w:rsid w:val="00DB117A"/>
    <w:rsid w:val="00DB2EA6"/>
    <w:rsid w:val="00DB2F92"/>
    <w:rsid w:val="00DB5173"/>
    <w:rsid w:val="00DB5B62"/>
    <w:rsid w:val="00DB5D96"/>
    <w:rsid w:val="00DB7873"/>
    <w:rsid w:val="00DC1536"/>
    <w:rsid w:val="00DC187B"/>
    <w:rsid w:val="00DC283F"/>
    <w:rsid w:val="00DC49A2"/>
    <w:rsid w:val="00DC501F"/>
    <w:rsid w:val="00DC5069"/>
    <w:rsid w:val="00DC7DBB"/>
    <w:rsid w:val="00DD017B"/>
    <w:rsid w:val="00DD1A43"/>
    <w:rsid w:val="00DD1E51"/>
    <w:rsid w:val="00DD5A07"/>
    <w:rsid w:val="00DD73C2"/>
    <w:rsid w:val="00DE1685"/>
    <w:rsid w:val="00DE2491"/>
    <w:rsid w:val="00DE319B"/>
    <w:rsid w:val="00DE4D55"/>
    <w:rsid w:val="00DE4FED"/>
    <w:rsid w:val="00DE5DC5"/>
    <w:rsid w:val="00DE7EFB"/>
    <w:rsid w:val="00DF1F2D"/>
    <w:rsid w:val="00DF214D"/>
    <w:rsid w:val="00DF2EDE"/>
    <w:rsid w:val="00DF2FE7"/>
    <w:rsid w:val="00DF34FE"/>
    <w:rsid w:val="00DF3628"/>
    <w:rsid w:val="00DF3B87"/>
    <w:rsid w:val="00DF515E"/>
    <w:rsid w:val="00DF56AA"/>
    <w:rsid w:val="00DF56AF"/>
    <w:rsid w:val="00DF5AED"/>
    <w:rsid w:val="00DF687B"/>
    <w:rsid w:val="00DF6EDB"/>
    <w:rsid w:val="00DF746E"/>
    <w:rsid w:val="00DF78E7"/>
    <w:rsid w:val="00DF7F5D"/>
    <w:rsid w:val="00E019EA"/>
    <w:rsid w:val="00E02998"/>
    <w:rsid w:val="00E0333C"/>
    <w:rsid w:val="00E03477"/>
    <w:rsid w:val="00E05393"/>
    <w:rsid w:val="00E06742"/>
    <w:rsid w:val="00E10349"/>
    <w:rsid w:val="00E1063A"/>
    <w:rsid w:val="00E110E0"/>
    <w:rsid w:val="00E12BA1"/>
    <w:rsid w:val="00E13952"/>
    <w:rsid w:val="00E151D2"/>
    <w:rsid w:val="00E15371"/>
    <w:rsid w:val="00E15F1D"/>
    <w:rsid w:val="00E21056"/>
    <w:rsid w:val="00E24104"/>
    <w:rsid w:val="00E24C62"/>
    <w:rsid w:val="00E25D64"/>
    <w:rsid w:val="00E260B9"/>
    <w:rsid w:val="00E260F2"/>
    <w:rsid w:val="00E302D0"/>
    <w:rsid w:val="00E30EF2"/>
    <w:rsid w:val="00E317A4"/>
    <w:rsid w:val="00E31AB1"/>
    <w:rsid w:val="00E31D4F"/>
    <w:rsid w:val="00E33C69"/>
    <w:rsid w:val="00E35707"/>
    <w:rsid w:val="00E35EE7"/>
    <w:rsid w:val="00E36AA1"/>
    <w:rsid w:val="00E36B47"/>
    <w:rsid w:val="00E36F09"/>
    <w:rsid w:val="00E4065B"/>
    <w:rsid w:val="00E40BC7"/>
    <w:rsid w:val="00E41ECB"/>
    <w:rsid w:val="00E42676"/>
    <w:rsid w:val="00E427D6"/>
    <w:rsid w:val="00E429EB"/>
    <w:rsid w:val="00E42AFC"/>
    <w:rsid w:val="00E4422C"/>
    <w:rsid w:val="00E4457D"/>
    <w:rsid w:val="00E465D5"/>
    <w:rsid w:val="00E47452"/>
    <w:rsid w:val="00E4780D"/>
    <w:rsid w:val="00E50911"/>
    <w:rsid w:val="00E512A9"/>
    <w:rsid w:val="00E5130D"/>
    <w:rsid w:val="00E5284D"/>
    <w:rsid w:val="00E5312B"/>
    <w:rsid w:val="00E53E54"/>
    <w:rsid w:val="00E540EC"/>
    <w:rsid w:val="00E54FDB"/>
    <w:rsid w:val="00E5617D"/>
    <w:rsid w:val="00E563D7"/>
    <w:rsid w:val="00E609B6"/>
    <w:rsid w:val="00E60BD6"/>
    <w:rsid w:val="00E60C47"/>
    <w:rsid w:val="00E6114C"/>
    <w:rsid w:val="00E635AA"/>
    <w:rsid w:val="00E656FE"/>
    <w:rsid w:val="00E663F4"/>
    <w:rsid w:val="00E666F2"/>
    <w:rsid w:val="00E66DD4"/>
    <w:rsid w:val="00E6721D"/>
    <w:rsid w:val="00E673FE"/>
    <w:rsid w:val="00E71872"/>
    <w:rsid w:val="00E73E96"/>
    <w:rsid w:val="00E748CC"/>
    <w:rsid w:val="00E75415"/>
    <w:rsid w:val="00E76101"/>
    <w:rsid w:val="00E76594"/>
    <w:rsid w:val="00E775B1"/>
    <w:rsid w:val="00E810A7"/>
    <w:rsid w:val="00E810B4"/>
    <w:rsid w:val="00E8152A"/>
    <w:rsid w:val="00E8152F"/>
    <w:rsid w:val="00E82073"/>
    <w:rsid w:val="00E833EC"/>
    <w:rsid w:val="00E90A14"/>
    <w:rsid w:val="00E90D57"/>
    <w:rsid w:val="00E90E5E"/>
    <w:rsid w:val="00E91894"/>
    <w:rsid w:val="00E91D0B"/>
    <w:rsid w:val="00E91F14"/>
    <w:rsid w:val="00E93629"/>
    <w:rsid w:val="00E93763"/>
    <w:rsid w:val="00E93B5C"/>
    <w:rsid w:val="00E9485E"/>
    <w:rsid w:val="00E94CEC"/>
    <w:rsid w:val="00E95D1C"/>
    <w:rsid w:val="00E97A6F"/>
    <w:rsid w:val="00EA04EF"/>
    <w:rsid w:val="00EA15DC"/>
    <w:rsid w:val="00EA1E54"/>
    <w:rsid w:val="00EA3250"/>
    <w:rsid w:val="00EA68DB"/>
    <w:rsid w:val="00EA6C79"/>
    <w:rsid w:val="00EA6F19"/>
    <w:rsid w:val="00EA74D8"/>
    <w:rsid w:val="00EB144E"/>
    <w:rsid w:val="00EB15E2"/>
    <w:rsid w:val="00EB29CC"/>
    <w:rsid w:val="00EB341E"/>
    <w:rsid w:val="00EB54D0"/>
    <w:rsid w:val="00EB55C7"/>
    <w:rsid w:val="00EB7090"/>
    <w:rsid w:val="00EC0B49"/>
    <w:rsid w:val="00EC1BBE"/>
    <w:rsid w:val="00EC209D"/>
    <w:rsid w:val="00EC2B68"/>
    <w:rsid w:val="00EC38E2"/>
    <w:rsid w:val="00EC3AEF"/>
    <w:rsid w:val="00EC3C4B"/>
    <w:rsid w:val="00EC3EA0"/>
    <w:rsid w:val="00EC4EAE"/>
    <w:rsid w:val="00EC5CD7"/>
    <w:rsid w:val="00ED021F"/>
    <w:rsid w:val="00ED05E3"/>
    <w:rsid w:val="00ED0AEF"/>
    <w:rsid w:val="00ED196C"/>
    <w:rsid w:val="00ED4F60"/>
    <w:rsid w:val="00ED62BC"/>
    <w:rsid w:val="00ED649A"/>
    <w:rsid w:val="00ED6EB5"/>
    <w:rsid w:val="00ED7234"/>
    <w:rsid w:val="00ED7420"/>
    <w:rsid w:val="00ED7677"/>
    <w:rsid w:val="00ED7E7B"/>
    <w:rsid w:val="00EE0084"/>
    <w:rsid w:val="00EE028B"/>
    <w:rsid w:val="00EE10A9"/>
    <w:rsid w:val="00EE2430"/>
    <w:rsid w:val="00EE3167"/>
    <w:rsid w:val="00EE4A0C"/>
    <w:rsid w:val="00EE5FB3"/>
    <w:rsid w:val="00EE7BE1"/>
    <w:rsid w:val="00EE7F79"/>
    <w:rsid w:val="00EF036F"/>
    <w:rsid w:val="00EF13F3"/>
    <w:rsid w:val="00EF2D72"/>
    <w:rsid w:val="00EF454C"/>
    <w:rsid w:val="00EF4829"/>
    <w:rsid w:val="00EF5AA2"/>
    <w:rsid w:val="00EF643D"/>
    <w:rsid w:val="00EF658D"/>
    <w:rsid w:val="00EF6801"/>
    <w:rsid w:val="00EF715A"/>
    <w:rsid w:val="00F0293C"/>
    <w:rsid w:val="00F033EC"/>
    <w:rsid w:val="00F0360A"/>
    <w:rsid w:val="00F061D0"/>
    <w:rsid w:val="00F06E14"/>
    <w:rsid w:val="00F07F41"/>
    <w:rsid w:val="00F10622"/>
    <w:rsid w:val="00F10E22"/>
    <w:rsid w:val="00F12B33"/>
    <w:rsid w:val="00F12F9A"/>
    <w:rsid w:val="00F13AA4"/>
    <w:rsid w:val="00F14842"/>
    <w:rsid w:val="00F156BF"/>
    <w:rsid w:val="00F179D4"/>
    <w:rsid w:val="00F2221E"/>
    <w:rsid w:val="00F22456"/>
    <w:rsid w:val="00F22A23"/>
    <w:rsid w:val="00F23339"/>
    <w:rsid w:val="00F2356A"/>
    <w:rsid w:val="00F23FE0"/>
    <w:rsid w:val="00F24169"/>
    <w:rsid w:val="00F243C9"/>
    <w:rsid w:val="00F245EF"/>
    <w:rsid w:val="00F24EC0"/>
    <w:rsid w:val="00F25101"/>
    <w:rsid w:val="00F27368"/>
    <w:rsid w:val="00F3012F"/>
    <w:rsid w:val="00F31442"/>
    <w:rsid w:val="00F33C56"/>
    <w:rsid w:val="00F347C7"/>
    <w:rsid w:val="00F34848"/>
    <w:rsid w:val="00F34AFA"/>
    <w:rsid w:val="00F3631A"/>
    <w:rsid w:val="00F3659C"/>
    <w:rsid w:val="00F37D6F"/>
    <w:rsid w:val="00F37EE1"/>
    <w:rsid w:val="00F42534"/>
    <w:rsid w:val="00F42D46"/>
    <w:rsid w:val="00F43901"/>
    <w:rsid w:val="00F4496C"/>
    <w:rsid w:val="00F44ADB"/>
    <w:rsid w:val="00F44F3A"/>
    <w:rsid w:val="00F46CF8"/>
    <w:rsid w:val="00F47FFB"/>
    <w:rsid w:val="00F50C76"/>
    <w:rsid w:val="00F5110E"/>
    <w:rsid w:val="00F51A66"/>
    <w:rsid w:val="00F51F10"/>
    <w:rsid w:val="00F529A5"/>
    <w:rsid w:val="00F5310D"/>
    <w:rsid w:val="00F5327A"/>
    <w:rsid w:val="00F53AC0"/>
    <w:rsid w:val="00F543BB"/>
    <w:rsid w:val="00F57505"/>
    <w:rsid w:val="00F60F00"/>
    <w:rsid w:val="00F614C0"/>
    <w:rsid w:val="00F61C8E"/>
    <w:rsid w:val="00F63010"/>
    <w:rsid w:val="00F6303F"/>
    <w:rsid w:val="00F6410C"/>
    <w:rsid w:val="00F66E79"/>
    <w:rsid w:val="00F7038D"/>
    <w:rsid w:val="00F717FE"/>
    <w:rsid w:val="00F80C1A"/>
    <w:rsid w:val="00F82A0F"/>
    <w:rsid w:val="00F82A53"/>
    <w:rsid w:val="00F83848"/>
    <w:rsid w:val="00F8470C"/>
    <w:rsid w:val="00F84C68"/>
    <w:rsid w:val="00F9269C"/>
    <w:rsid w:val="00F95D96"/>
    <w:rsid w:val="00F975E9"/>
    <w:rsid w:val="00F978F6"/>
    <w:rsid w:val="00FA0628"/>
    <w:rsid w:val="00FA0A5B"/>
    <w:rsid w:val="00FA0B4C"/>
    <w:rsid w:val="00FA17E6"/>
    <w:rsid w:val="00FA1B7D"/>
    <w:rsid w:val="00FA29CC"/>
    <w:rsid w:val="00FA5097"/>
    <w:rsid w:val="00FA5B54"/>
    <w:rsid w:val="00FB04E0"/>
    <w:rsid w:val="00FB2230"/>
    <w:rsid w:val="00FB2362"/>
    <w:rsid w:val="00FB4FF7"/>
    <w:rsid w:val="00FB564D"/>
    <w:rsid w:val="00FC07B9"/>
    <w:rsid w:val="00FC0CC0"/>
    <w:rsid w:val="00FC113D"/>
    <w:rsid w:val="00FC2574"/>
    <w:rsid w:val="00FC37D6"/>
    <w:rsid w:val="00FC4E21"/>
    <w:rsid w:val="00FC529F"/>
    <w:rsid w:val="00FC54EF"/>
    <w:rsid w:val="00FC5F6D"/>
    <w:rsid w:val="00FC60D2"/>
    <w:rsid w:val="00FC7CA4"/>
    <w:rsid w:val="00FD0107"/>
    <w:rsid w:val="00FD03FE"/>
    <w:rsid w:val="00FD28A5"/>
    <w:rsid w:val="00FD2C2F"/>
    <w:rsid w:val="00FD2DB6"/>
    <w:rsid w:val="00FD3B31"/>
    <w:rsid w:val="00FD554A"/>
    <w:rsid w:val="00FD72B9"/>
    <w:rsid w:val="00FD7422"/>
    <w:rsid w:val="00FE1823"/>
    <w:rsid w:val="00FE19AD"/>
    <w:rsid w:val="00FE1A06"/>
    <w:rsid w:val="00FE487A"/>
    <w:rsid w:val="00FE4C1B"/>
    <w:rsid w:val="00FE5B80"/>
    <w:rsid w:val="00FF0569"/>
    <w:rsid w:val="00FF1004"/>
    <w:rsid w:val="00FF125E"/>
    <w:rsid w:val="00FF1891"/>
    <w:rsid w:val="00FF206E"/>
    <w:rsid w:val="00FF3C69"/>
    <w:rsid w:val="00FF4883"/>
    <w:rsid w:val="00FF4FC1"/>
    <w:rsid w:val="00FF6E0A"/>
    <w:rsid w:val="00FF7A4C"/>
    <w:rsid w:val="00FF7D7A"/>
    <w:rsid w:val="4AA70F3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BA3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iPriority="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C34E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1"/>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next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1"/>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ACMABulletLevel1">
    <w:name w:val="ACMA Bullet Level 1"/>
    <w:rsid w:val="005C34EF"/>
    <w:pPr>
      <w:numPr>
        <w:numId w:val="16"/>
      </w:numPr>
      <w:spacing w:after="120"/>
    </w:pPr>
    <w:rPr>
      <w:szCs w:val="20"/>
      <w:lang w:eastAsia="en-US"/>
    </w:rPr>
  </w:style>
  <w:style w:type="paragraph" w:customStyle="1" w:styleId="Protectivemarking">
    <w:name w:val="Protective marking"/>
    <w:basedOn w:val="ACMABulletLevel1"/>
    <w:uiPriority w:val="99"/>
    <w:qFormat/>
    <w:rsid w:val="005C34EF"/>
    <w:pPr>
      <w:numPr>
        <w:numId w:val="0"/>
      </w:numPr>
      <w:tabs>
        <w:tab w:val="left" w:pos="720"/>
      </w:tabs>
      <w:spacing w:after="0"/>
      <w:jc w:val="center"/>
    </w:pPr>
    <w:rPr>
      <w:rFonts w:ascii="Arial" w:hAnsi="Arial" w:cs="Arial"/>
      <w:b/>
      <w:bCs/>
      <w:color w:val="FF0000"/>
      <w:sz w:val="32"/>
      <w:szCs w:val="24"/>
    </w:rPr>
  </w:style>
  <w:style w:type="character" w:customStyle="1" w:styleId="ListBulletChar">
    <w:name w:val="List Bullet Char"/>
    <w:aliases w:val="List Bullet 1 Char"/>
    <w:basedOn w:val="DefaultParagraphFont"/>
    <w:link w:val="ListBullet"/>
    <w:uiPriority w:val="99"/>
    <w:rsid w:val="007E3C0C"/>
    <w:rPr>
      <w:rFonts w:ascii="Arial" w:hAnsi="Arial"/>
      <w:sz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23"/>
    <w:rsid w:val="00C27CE3"/>
    <w:rPr>
      <w:rFonts w:ascii="Arial" w:hAnsi="Arial"/>
      <w:sz w:val="16"/>
      <w:szCs w:val="16"/>
    </w:rPr>
  </w:style>
  <w:style w:type="paragraph" w:styleId="Revision">
    <w:name w:val="Revision"/>
    <w:hidden/>
    <w:semiHidden/>
    <w:rsid w:val="00B23159"/>
    <w:rPr>
      <w:rFonts w:ascii="Arial" w:hAnsi="Arial"/>
      <w:sz w:val="20"/>
    </w:rPr>
  </w:style>
  <w:style w:type="paragraph" w:styleId="ListParagraph">
    <w:name w:val="List Paragraph"/>
    <w:basedOn w:val="Normal"/>
    <w:semiHidden/>
    <w:rsid w:val="00FE5B80"/>
    <w:pPr>
      <w:ind w:left="720"/>
      <w:contextualSpacing/>
    </w:pPr>
  </w:style>
  <w:style w:type="paragraph" w:customStyle="1" w:styleId="subsection">
    <w:name w:val="subsection"/>
    <w:aliases w:val="ss,Subsection"/>
    <w:basedOn w:val="Normal"/>
    <w:link w:val="subsectionChar"/>
    <w:rsid w:val="00130A1E"/>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130A1E"/>
    <w:rPr>
      <w:sz w:val="22"/>
      <w:szCs w:val="20"/>
    </w:rPr>
  </w:style>
  <w:style w:type="paragraph" w:customStyle="1" w:styleId="notetext">
    <w:name w:val="note(text)"/>
    <w:aliases w:val="n"/>
    <w:basedOn w:val="Normal"/>
    <w:link w:val="notetextChar"/>
    <w:rsid w:val="00130A1E"/>
    <w:pPr>
      <w:spacing w:before="122" w:after="0" w:line="240" w:lineRule="auto"/>
      <w:ind w:left="1985" w:hanging="851"/>
    </w:pPr>
    <w:rPr>
      <w:rFonts w:ascii="Times New Roman" w:hAnsi="Times New Roman"/>
      <w:sz w:val="18"/>
      <w:szCs w:val="20"/>
    </w:rPr>
  </w:style>
  <w:style w:type="character" w:customStyle="1" w:styleId="notetextChar">
    <w:name w:val="note(text) Char"/>
    <w:aliases w:val="n Char"/>
    <w:basedOn w:val="DefaultParagraphFont"/>
    <w:link w:val="notetext"/>
    <w:rsid w:val="00130A1E"/>
    <w:rPr>
      <w:sz w:val="18"/>
      <w:szCs w:val="20"/>
    </w:rPr>
  </w:style>
  <w:style w:type="paragraph" w:customStyle="1" w:styleId="paragraph0">
    <w:name w:val="paragraph"/>
    <w:aliases w:val="a,indent(a)"/>
    <w:basedOn w:val="Normal"/>
    <w:link w:val="paragraphChar"/>
    <w:rsid w:val="00130A1E"/>
    <w:pPr>
      <w:tabs>
        <w:tab w:val="right" w:pos="1531"/>
      </w:tabs>
      <w:spacing w:before="40" w:after="0" w:line="240" w:lineRule="auto"/>
      <w:ind w:left="1644" w:hanging="1644"/>
    </w:pPr>
    <w:rPr>
      <w:rFonts w:ascii="Times New Roman" w:hAnsi="Times New Roman"/>
      <w:sz w:val="22"/>
      <w:szCs w:val="20"/>
    </w:rPr>
  </w:style>
  <w:style w:type="character" w:customStyle="1" w:styleId="paragraphChar">
    <w:name w:val="paragraph Char"/>
    <w:aliases w:val="a Char"/>
    <w:link w:val="paragraph0"/>
    <w:rsid w:val="00130A1E"/>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1095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itu.int/rec/R-REC-M.1826-1-201911-I/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3-06/proposal-remake-public-safety-and-emergency-response-class-licen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3-06/proposal-remake-public-safety-and-emergency-response-class-licen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five-year-spectrum-outlook" TargetMode="External"/><Relationship Id="rId30" Type="http://schemas.openxmlformats.org/officeDocument/2006/relationships/footer" Target="footer7.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A989-5C4A-4385-8AA8-9B897F0D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5354</Words>
  <Characters>30305</Characters>
  <Application>Microsoft Office Word</Application>
  <DocSecurity>0</DocSecurity>
  <Lines>578</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2023-09-20T01:13:00Z</dcterms:created>
  <dcterms:modified xsi:type="dcterms:W3CDTF">2023-09-20T01:13:00Z</dcterms:modified>
  <cp:category/>
</cp:coreProperties>
</file>