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0DDC" w14:textId="2F314837" w:rsidR="00F06E14" w:rsidRPr="00E162C4" w:rsidRDefault="00993F0F" w:rsidP="00A51D1A">
      <w:pPr>
        <w:pStyle w:val="Reporttitle"/>
      </w:pPr>
      <w:r>
        <w:t xml:space="preserve">Review of </w:t>
      </w:r>
      <w:r w:rsidR="00FD15FC" w:rsidRPr="00FD15FC">
        <w:t xml:space="preserve">Australian satellite </w:t>
      </w:r>
      <w:r w:rsidR="00970D5A">
        <w:t xml:space="preserve">filing procedures </w:t>
      </w:r>
    </w:p>
    <w:p w14:paraId="4C0C752E" w14:textId="7A5EB1E5" w:rsidR="00F06E14" w:rsidRPr="00E162C4" w:rsidRDefault="00770B3F" w:rsidP="00F06E14">
      <w:pPr>
        <w:pStyle w:val="Reportsubtitle"/>
      </w:pPr>
      <w:r w:rsidRPr="00E162C4">
        <w:t xml:space="preserve">Consultation </w:t>
      </w:r>
      <w:r w:rsidR="003455D0">
        <w:t>paper</w:t>
      </w:r>
    </w:p>
    <w:p w14:paraId="14F851C3" w14:textId="140D3FA1" w:rsidR="00C97736" w:rsidRPr="00E162C4" w:rsidRDefault="00610A31"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SEPTEMBER </w:t>
      </w:r>
      <w:r w:rsidR="00BD4421" w:rsidRPr="00E162C4">
        <w:t>20</w:t>
      </w:r>
      <w:r w:rsidR="008E0428" w:rsidRPr="00E162C4">
        <w:t>2</w:t>
      </w:r>
      <w:r w:rsidR="00E60220">
        <w:t>3</w:t>
      </w:r>
    </w:p>
    <w:p w14:paraId="15655679" w14:textId="77777777" w:rsidR="0005011A" w:rsidRPr="00E162C4" w:rsidRDefault="0005011A" w:rsidP="00FC07B9">
      <w:pPr>
        <w:pStyle w:val="ACMACorporateAddressHeader"/>
      </w:pPr>
      <w:r w:rsidRPr="00E162C4">
        <w:lastRenderedPageBreak/>
        <w:t>Canberra</w:t>
      </w:r>
    </w:p>
    <w:p w14:paraId="6BB30F02"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4F53C2A0" w14:textId="77777777" w:rsidR="0005011A" w:rsidRPr="00E162C4" w:rsidRDefault="0005011A" w:rsidP="00FC07B9">
      <w:pPr>
        <w:pStyle w:val="ACMACorporateAddresses"/>
      </w:pPr>
      <w:r w:rsidRPr="00E162C4">
        <w:t>PO Box 78</w:t>
      </w:r>
      <w:r w:rsidRPr="00E162C4">
        <w:br/>
        <w:t>Belconnen ACT 2616</w:t>
      </w:r>
    </w:p>
    <w:p w14:paraId="5B5E5A8D"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4DC4B8AD" w14:textId="77777777" w:rsidR="0005011A" w:rsidRPr="00E162C4" w:rsidRDefault="0005011A" w:rsidP="00FC07B9">
      <w:pPr>
        <w:pStyle w:val="ACMACorporateAddressHeader"/>
      </w:pPr>
      <w:r w:rsidRPr="00E162C4">
        <w:t>Melbourne</w:t>
      </w:r>
    </w:p>
    <w:p w14:paraId="0EED9C71"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4C975B7D"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659DAC57"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6CE96EF4" w14:textId="77777777" w:rsidR="0005011A" w:rsidRPr="00E162C4" w:rsidRDefault="0005011A" w:rsidP="00FC07B9">
      <w:pPr>
        <w:pStyle w:val="ACMACorporateAddressHeader"/>
      </w:pPr>
      <w:r w:rsidRPr="00E162C4">
        <w:t>Sydney</w:t>
      </w:r>
    </w:p>
    <w:p w14:paraId="52526F51"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F8546D3"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76FAE2AB"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11D6A80B" w14:textId="77777777" w:rsidR="00140318" w:rsidRPr="00E162C4" w:rsidRDefault="00140318" w:rsidP="00FC07B9">
      <w:pPr>
        <w:pStyle w:val="ACMACopyrightHeader"/>
      </w:pPr>
      <w:r w:rsidRPr="00E162C4">
        <w:t>Copyright notice</w:t>
      </w:r>
    </w:p>
    <w:p w14:paraId="72F97374" w14:textId="77777777" w:rsidR="00140318" w:rsidRPr="00E162C4" w:rsidRDefault="00623FF9" w:rsidP="00623FF9">
      <w:pPr>
        <w:pStyle w:val="ACMACClogo"/>
      </w:pPr>
      <w:r w:rsidRPr="00E162C4">
        <w:rPr>
          <w:noProof/>
        </w:rPr>
        <w:drawing>
          <wp:inline distT="0" distB="0" distL="0" distR="0" wp14:anchorId="794DDEFE" wp14:editId="3B709F7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6CF1197" w14:textId="6F6FF796" w:rsidR="00AA2DE5" w:rsidRPr="00E162C4" w:rsidRDefault="00B37467" w:rsidP="00AA2DE5">
      <w:pPr>
        <w:pStyle w:val="ACMACorporateAddresses"/>
        <w:rPr>
          <w:rStyle w:val="Hyperlink"/>
        </w:rPr>
      </w:pPr>
      <w:hyperlink r:id="rId13" w:history="1">
        <w:r w:rsidR="00AA2DE5" w:rsidRPr="00E162C4">
          <w:rPr>
            <w:rStyle w:val="Hyperlink"/>
          </w:rPr>
          <w:t>https://creativecommons.org/licenses/by/4.0/</w:t>
        </w:r>
      </w:hyperlink>
    </w:p>
    <w:p w14:paraId="30E2AFCA" w14:textId="77777777" w:rsidR="00AA2DE5" w:rsidRPr="00E162C4" w:rsidRDefault="00AA2DE5" w:rsidP="00AA2DE5">
      <w:pPr>
        <w:pStyle w:val="ACMACorporateAddresses"/>
      </w:pPr>
      <w:proofErr w:type="gramStart"/>
      <w:r w:rsidRPr="00E162C4">
        <w:t>With the exception of</w:t>
      </w:r>
      <w:proofErr w:type="gramEnd"/>
      <w:r w:rsidRPr="00E162C4">
        <w:t xml:space="preserve"> coats of arms, logos, emblems, images, other third-party material or devices protected by a trademark, this content is made available under the terms of the Creative Commons Attribution 4.0 International (CC BY 4.0) licence. </w:t>
      </w:r>
    </w:p>
    <w:p w14:paraId="037E9B5F" w14:textId="3E75DCA3" w:rsidR="00AA2DE5" w:rsidRPr="00E162C4" w:rsidRDefault="00AA2DE5" w:rsidP="00AA2DE5">
      <w:pPr>
        <w:pStyle w:val="ACMACorporateAddresses"/>
      </w:pPr>
      <w:r w:rsidRPr="00E162C4">
        <w:t xml:space="preserve">We request attribution as © Commonwealth of Australia (Australian Communications and Media Authority) </w:t>
      </w:r>
      <w:r w:rsidR="009C62B0" w:rsidRPr="00E162C4">
        <w:t>202</w:t>
      </w:r>
      <w:r w:rsidR="009C62B0">
        <w:t>3</w:t>
      </w:r>
      <w:r w:rsidRPr="00E162C4">
        <w:t>.</w:t>
      </w:r>
    </w:p>
    <w:p w14:paraId="2B1B4DD3" w14:textId="77777777" w:rsidR="00AA2DE5" w:rsidRPr="00E162C4" w:rsidRDefault="00AA2DE5" w:rsidP="00AA2DE5">
      <w:pPr>
        <w:pStyle w:val="ACMACorporateAddresses"/>
      </w:pPr>
      <w:r w:rsidRPr="00E162C4">
        <w:t>All other rights are reserved.</w:t>
      </w:r>
    </w:p>
    <w:p w14:paraId="518567FA"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5F2B0E0" w14:textId="77777777" w:rsidR="00AA2DE5" w:rsidRPr="00E162C4" w:rsidRDefault="00AA2DE5" w:rsidP="00AA2DE5">
      <w:pPr>
        <w:pStyle w:val="ACMACorporateAddresses"/>
      </w:pPr>
      <w:r w:rsidRPr="00E162C4">
        <w:t>Written enquiries may be sent to:</w:t>
      </w:r>
    </w:p>
    <w:p w14:paraId="4A7826B0" w14:textId="28DB887C"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7E71194E" w14:textId="77777777" w:rsidR="00D16FE3" w:rsidRPr="00E162C4" w:rsidRDefault="00D16FE3" w:rsidP="00D16FE3">
      <w:pPr>
        <w:pStyle w:val="ACMACorporateAddresses"/>
        <w:rPr>
          <w:rStyle w:val="Hyperlink"/>
        </w:rPr>
      </w:pPr>
    </w:p>
    <w:p w14:paraId="53E4D0B4"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293B7CEF" w14:textId="6A74E4CA" w:rsidR="00567A8D" w:rsidRDefault="00E73F7C">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144213378" w:history="1">
        <w:r w:rsidR="00567A8D" w:rsidRPr="00D05AC8">
          <w:rPr>
            <w:rStyle w:val="Hyperlink"/>
          </w:rPr>
          <w:t>Executive summary</w:t>
        </w:r>
        <w:r w:rsidR="00567A8D">
          <w:rPr>
            <w:webHidden/>
          </w:rPr>
          <w:tab/>
        </w:r>
        <w:r w:rsidR="00567A8D">
          <w:rPr>
            <w:webHidden/>
          </w:rPr>
          <w:fldChar w:fldCharType="begin"/>
        </w:r>
        <w:r w:rsidR="00567A8D">
          <w:rPr>
            <w:webHidden/>
          </w:rPr>
          <w:instrText xml:space="preserve"> PAGEREF _Toc144213378 \h </w:instrText>
        </w:r>
        <w:r w:rsidR="00567A8D">
          <w:rPr>
            <w:webHidden/>
          </w:rPr>
        </w:r>
        <w:r w:rsidR="00567A8D">
          <w:rPr>
            <w:webHidden/>
          </w:rPr>
          <w:fldChar w:fldCharType="separate"/>
        </w:r>
        <w:r w:rsidR="007973DC">
          <w:rPr>
            <w:webHidden/>
          </w:rPr>
          <w:t>1</w:t>
        </w:r>
        <w:r w:rsidR="00567A8D">
          <w:rPr>
            <w:webHidden/>
          </w:rPr>
          <w:fldChar w:fldCharType="end"/>
        </w:r>
      </w:hyperlink>
    </w:p>
    <w:p w14:paraId="6A34965E" w14:textId="42506840" w:rsidR="00567A8D" w:rsidRDefault="00B37467">
      <w:pPr>
        <w:pStyle w:val="TOC1"/>
        <w:tabs>
          <w:tab w:val="left" w:pos="885"/>
        </w:tabs>
        <w:rPr>
          <w:rFonts w:asciiTheme="minorHAnsi" w:eastAsiaTheme="minorEastAsia" w:hAnsiTheme="minorHAnsi" w:cstheme="minorBidi"/>
          <w:b w:val="0"/>
          <w:spacing w:val="0"/>
          <w:sz w:val="22"/>
          <w:szCs w:val="22"/>
        </w:rPr>
      </w:pPr>
      <w:hyperlink w:anchor="_Toc144213379" w:history="1">
        <w:r w:rsidR="00567A8D" w:rsidRPr="00D05AC8">
          <w:rPr>
            <w:rStyle w:val="Hyperlink"/>
          </w:rPr>
          <w:t>1</w:t>
        </w:r>
        <w:r w:rsidR="00567A8D">
          <w:rPr>
            <w:rFonts w:asciiTheme="minorHAnsi" w:eastAsiaTheme="minorEastAsia" w:hAnsiTheme="minorHAnsi" w:cstheme="minorBidi"/>
            <w:b w:val="0"/>
            <w:spacing w:val="0"/>
            <w:sz w:val="22"/>
            <w:szCs w:val="22"/>
          </w:rPr>
          <w:tab/>
        </w:r>
        <w:r w:rsidR="00567A8D" w:rsidRPr="00D05AC8">
          <w:rPr>
            <w:rStyle w:val="Hyperlink"/>
          </w:rPr>
          <w:t>Introduction</w:t>
        </w:r>
        <w:r w:rsidR="00567A8D">
          <w:rPr>
            <w:webHidden/>
          </w:rPr>
          <w:tab/>
        </w:r>
        <w:r w:rsidR="00567A8D">
          <w:rPr>
            <w:webHidden/>
          </w:rPr>
          <w:fldChar w:fldCharType="begin"/>
        </w:r>
        <w:r w:rsidR="00567A8D">
          <w:rPr>
            <w:webHidden/>
          </w:rPr>
          <w:instrText xml:space="preserve"> PAGEREF _Toc144213379 \h </w:instrText>
        </w:r>
        <w:r w:rsidR="00567A8D">
          <w:rPr>
            <w:webHidden/>
          </w:rPr>
        </w:r>
        <w:r w:rsidR="00567A8D">
          <w:rPr>
            <w:webHidden/>
          </w:rPr>
          <w:fldChar w:fldCharType="separate"/>
        </w:r>
        <w:r w:rsidR="007973DC">
          <w:rPr>
            <w:webHidden/>
          </w:rPr>
          <w:t>3</w:t>
        </w:r>
        <w:r w:rsidR="00567A8D">
          <w:rPr>
            <w:webHidden/>
          </w:rPr>
          <w:fldChar w:fldCharType="end"/>
        </w:r>
      </w:hyperlink>
    </w:p>
    <w:p w14:paraId="7E79812A" w14:textId="13320818" w:rsidR="00567A8D" w:rsidRDefault="00B37467">
      <w:pPr>
        <w:pStyle w:val="TOC2"/>
        <w:rPr>
          <w:rFonts w:asciiTheme="minorHAnsi" w:eastAsiaTheme="minorEastAsia" w:hAnsiTheme="minorHAnsi" w:cstheme="minorBidi"/>
          <w:spacing w:val="0"/>
          <w:sz w:val="22"/>
          <w:szCs w:val="22"/>
        </w:rPr>
      </w:pPr>
      <w:hyperlink w:anchor="_Toc144213380" w:history="1">
        <w:r w:rsidR="00567A8D" w:rsidRPr="00D05AC8">
          <w:rPr>
            <w:rStyle w:val="Hyperlink"/>
          </w:rPr>
          <w:t>1.1</w:t>
        </w:r>
        <w:r w:rsidR="00567A8D">
          <w:rPr>
            <w:rFonts w:asciiTheme="minorHAnsi" w:eastAsiaTheme="minorEastAsia" w:hAnsiTheme="minorHAnsi" w:cstheme="minorBidi"/>
            <w:spacing w:val="0"/>
            <w:sz w:val="22"/>
            <w:szCs w:val="22"/>
          </w:rPr>
          <w:tab/>
        </w:r>
        <w:r w:rsidR="00567A8D" w:rsidRPr="00D05AC8">
          <w:rPr>
            <w:rStyle w:val="Hyperlink"/>
          </w:rPr>
          <w:t>Need for review</w:t>
        </w:r>
        <w:r w:rsidR="00567A8D">
          <w:rPr>
            <w:webHidden/>
          </w:rPr>
          <w:tab/>
        </w:r>
        <w:r w:rsidR="00567A8D">
          <w:rPr>
            <w:webHidden/>
          </w:rPr>
          <w:fldChar w:fldCharType="begin"/>
        </w:r>
        <w:r w:rsidR="00567A8D">
          <w:rPr>
            <w:webHidden/>
          </w:rPr>
          <w:instrText xml:space="preserve"> PAGEREF _Toc144213380 \h </w:instrText>
        </w:r>
        <w:r w:rsidR="00567A8D">
          <w:rPr>
            <w:webHidden/>
          </w:rPr>
        </w:r>
        <w:r w:rsidR="00567A8D">
          <w:rPr>
            <w:webHidden/>
          </w:rPr>
          <w:fldChar w:fldCharType="separate"/>
        </w:r>
        <w:r w:rsidR="007973DC">
          <w:rPr>
            <w:webHidden/>
          </w:rPr>
          <w:t>3</w:t>
        </w:r>
        <w:r w:rsidR="00567A8D">
          <w:rPr>
            <w:webHidden/>
          </w:rPr>
          <w:fldChar w:fldCharType="end"/>
        </w:r>
      </w:hyperlink>
    </w:p>
    <w:p w14:paraId="165D337A" w14:textId="34208E4A" w:rsidR="00567A8D" w:rsidRDefault="00B37467">
      <w:pPr>
        <w:pStyle w:val="TOC2"/>
        <w:rPr>
          <w:rFonts w:asciiTheme="minorHAnsi" w:eastAsiaTheme="minorEastAsia" w:hAnsiTheme="minorHAnsi" w:cstheme="minorBidi"/>
          <w:spacing w:val="0"/>
          <w:sz w:val="22"/>
          <w:szCs w:val="22"/>
        </w:rPr>
      </w:pPr>
      <w:hyperlink w:anchor="_Toc144213381" w:history="1">
        <w:r w:rsidR="00567A8D" w:rsidRPr="00D05AC8">
          <w:rPr>
            <w:rStyle w:val="Hyperlink"/>
          </w:rPr>
          <w:t>1.2</w:t>
        </w:r>
        <w:r w:rsidR="00567A8D">
          <w:rPr>
            <w:rFonts w:asciiTheme="minorHAnsi" w:eastAsiaTheme="minorEastAsia" w:hAnsiTheme="minorHAnsi" w:cstheme="minorBidi"/>
            <w:spacing w:val="0"/>
            <w:sz w:val="22"/>
            <w:szCs w:val="22"/>
          </w:rPr>
          <w:tab/>
        </w:r>
        <w:r w:rsidR="00567A8D" w:rsidRPr="00D05AC8">
          <w:rPr>
            <w:rStyle w:val="Hyperlink"/>
          </w:rPr>
          <w:t>Current satellite system filing procedures</w:t>
        </w:r>
        <w:r w:rsidR="00567A8D">
          <w:rPr>
            <w:webHidden/>
          </w:rPr>
          <w:tab/>
        </w:r>
        <w:r w:rsidR="00567A8D">
          <w:rPr>
            <w:webHidden/>
          </w:rPr>
          <w:fldChar w:fldCharType="begin"/>
        </w:r>
        <w:r w:rsidR="00567A8D">
          <w:rPr>
            <w:webHidden/>
          </w:rPr>
          <w:instrText xml:space="preserve"> PAGEREF _Toc144213381 \h </w:instrText>
        </w:r>
        <w:r w:rsidR="00567A8D">
          <w:rPr>
            <w:webHidden/>
          </w:rPr>
        </w:r>
        <w:r w:rsidR="00567A8D">
          <w:rPr>
            <w:webHidden/>
          </w:rPr>
          <w:fldChar w:fldCharType="separate"/>
        </w:r>
        <w:r w:rsidR="007973DC">
          <w:rPr>
            <w:webHidden/>
          </w:rPr>
          <w:t>3</w:t>
        </w:r>
        <w:r w:rsidR="00567A8D">
          <w:rPr>
            <w:webHidden/>
          </w:rPr>
          <w:fldChar w:fldCharType="end"/>
        </w:r>
      </w:hyperlink>
    </w:p>
    <w:p w14:paraId="108C95AE" w14:textId="1FA4660C" w:rsidR="00567A8D" w:rsidRDefault="00B37467">
      <w:pPr>
        <w:pStyle w:val="TOC2"/>
        <w:rPr>
          <w:rFonts w:asciiTheme="minorHAnsi" w:eastAsiaTheme="minorEastAsia" w:hAnsiTheme="minorHAnsi" w:cstheme="minorBidi"/>
          <w:spacing w:val="0"/>
          <w:sz w:val="22"/>
          <w:szCs w:val="22"/>
        </w:rPr>
      </w:pPr>
      <w:hyperlink w:anchor="_Toc144213382" w:history="1">
        <w:r w:rsidR="00567A8D" w:rsidRPr="00D05AC8">
          <w:rPr>
            <w:rStyle w:val="Hyperlink"/>
          </w:rPr>
          <w:t>1.3</w:t>
        </w:r>
        <w:r w:rsidR="00567A8D">
          <w:rPr>
            <w:rFonts w:asciiTheme="minorHAnsi" w:eastAsiaTheme="minorEastAsia" w:hAnsiTheme="minorHAnsi" w:cstheme="minorBidi"/>
            <w:spacing w:val="0"/>
            <w:sz w:val="22"/>
            <w:szCs w:val="22"/>
          </w:rPr>
          <w:tab/>
        </w:r>
        <w:r w:rsidR="00567A8D" w:rsidRPr="00D05AC8">
          <w:rPr>
            <w:rStyle w:val="Hyperlink"/>
          </w:rPr>
          <w:t>Overview of review</w:t>
        </w:r>
        <w:r w:rsidR="00567A8D">
          <w:rPr>
            <w:webHidden/>
          </w:rPr>
          <w:tab/>
        </w:r>
        <w:r w:rsidR="00567A8D">
          <w:rPr>
            <w:webHidden/>
          </w:rPr>
          <w:fldChar w:fldCharType="begin"/>
        </w:r>
        <w:r w:rsidR="00567A8D">
          <w:rPr>
            <w:webHidden/>
          </w:rPr>
          <w:instrText xml:space="preserve"> PAGEREF _Toc144213382 \h </w:instrText>
        </w:r>
        <w:r w:rsidR="00567A8D">
          <w:rPr>
            <w:webHidden/>
          </w:rPr>
        </w:r>
        <w:r w:rsidR="00567A8D">
          <w:rPr>
            <w:webHidden/>
          </w:rPr>
          <w:fldChar w:fldCharType="separate"/>
        </w:r>
        <w:r w:rsidR="007973DC">
          <w:rPr>
            <w:webHidden/>
          </w:rPr>
          <w:t>4</w:t>
        </w:r>
        <w:r w:rsidR="00567A8D">
          <w:rPr>
            <w:webHidden/>
          </w:rPr>
          <w:fldChar w:fldCharType="end"/>
        </w:r>
      </w:hyperlink>
    </w:p>
    <w:p w14:paraId="7C56FD30" w14:textId="680E6DA9" w:rsidR="00567A8D" w:rsidRDefault="00B37467">
      <w:pPr>
        <w:pStyle w:val="TOC2"/>
        <w:rPr>
          <w:rFonts w:asciiTheme="minorHAnsi" w:eastAsiaTheme="minorEastAsia" w:hAnsiTheme="minorHAnsi" w:cstheme="minorBidi"/>
          <w:spacing w:val="0"/>
          <w:sz w:val="22"/>
          <w:szCs w:val="22"/>
        </w:rPr>
      </w:pPr>
      <w:hyperlink w:anchor="_Toc144213383" w:history="1">
        <w:r w:rsidR="00567A8D" w:rsidRPr="00D05AC8">
          <w:rPr>
            <w:rStyle w:val="Hyperlink"/>
          </w:rPr>
          <w:t>1.4</w:t>
        </w:r>
        <w:r w:rsidR="00567A8D">
          <w:rPr>
            <w:rFonts w:asciiTheme="minorHAnsi" w:eastAsiaTheme="minorEastAsia" w:hAnsiTheme="minorHAnsi" w:cstheme="minorBidi"/>
            <w:spacing w:val="0"/>
            <w:sz w:val="22"/>
            <w:szCs w:val="22"/>
          </w:rPr>
          <w:tab/>
        </w:r>
        <w:r w:rsidR="00567A8D" w:rsidRPr="00D05AC8">
          <w:rPr>
            <w:rStyle w:val="Hyperlink"/>
          </w:rPr>
          <w:t>Overview of changes</w:t>
        </w:r>
        <w:r w:rsidR="00567A8D">
          <w:rPr>
            <w:webHidden/>
          </w:rPr>
          <w:tab/>
        </w:r>
        <w:r w:rsidR="00567A8D">
          <w:rPr>
            <w:webHidden/>
          </w:rPr>
          <w:fldChar w:fldCharType="begin"/>
        </w:r>
        <w:r w:rsidR="00567A8D">
          <w:rPr>
            <w:webHidden/>
          </w:rPr>
          <w:instrText xml:space="preserve"> PAGEREF _Toc144213383 \h </w:instrText>
        </w:r>
        <w:r w:rsidR="00567A8D">
          <w:rPr>
            <w:webHidden/>
          </w:rPr>
        </w:r>
        <w:r w:rsidR="00567A8D">
          <w:rPr>
            <w:webHidden/>
          </w:rPr>
          <w:fldChar w:fldCharType="separate"/>
        </w:r>
        <w:r w:rsidR="007973DC">
          <w:rPr>
            <w:webHidden/>
          </w:rPr>
          <w:t>5</w:t>
        </w:r>
        <w:r w:rsidR="00567A8D">
          <w:rPr>
            <w:webHidden/>
          </w:rPr>
          <w:fldChar w:fldCharType="end"/>
        </w:r>
      </w:hyperlink>
    </w:p>
    <w:p w14:paraId="303C177E" w14:textId="52964BE1" w:rsidR="00567A8D" w:rsidRDefault="00B37467">
      <w:pPr>
        <w:pStyle w:val="TOC3"/>
        <w:tabs>
          <w:tab w:val="left" w:pos="885"/>
        </w:tabs>
        <w:rPr>
          <w:rFonts w:asciiTheme="minorHAnsi" w:eastAsiaTheme="minorEastAsia" w:hAnsiTheme="minorHAnsi" w:cstheme="minorBidi"/>
        </w:rPr>
      </w:pPr>
      <w:hyperlink w:anchor="_Toc144213384" w:history="1">
        <w:r w:rsidR="00567A8D" w:rsidRPr="00D05AC8">
          <w:rPr>
            <w:rStyle w:val="Hyperlink"/>
          </w:rPr>
          <w:t>1.4.1</w:t>
        </w:r>
        <w:r w:rsidR="00567A8D">
          <w:rPr>
            <w:rFonts w:asciiTheme="minorHAnsi" w:eastAsiaTheme="minorEastAsia" w:hAnsiTheme="minorHAnsi" w:cstheme="minorBidi"/>
          </w:rPr>
          <w:tab/>
        </w:r>
        <w:r w:rsidR="00567A8D" w:rsidRPr="00D05AC8">
          <w:rPr>
            <w:rStyle w:val="Hyperlink"/>
          </w:rPr>
          <w:t>Restructured document for readability and clarity</w:t>
        </w:r>
        <w:r w:rsidR="00567A8D">
          <w:rPr>
            <w:webHidden/>
          </w:rPr>
          <w:tab/>
        </w:r>
        <w:r w:rsidR="00567A8D">
          <w:rPr>
            <w:webHidden/>
          </w:rPr>
          <w:fldChar w:fldCharType="begin"/>
        </w:r>
        <w:r w:rsidR="00567A8D">
          <w:rPr>
            <w:webHidden/>
          </w:rPr>
          <w:instrText xml:space="preserve"> PAGEREF _Toc144213384 \h </w:instrText>
        </w:r>
        <w:r w:rsidR="00567A8D">
          <w:rPr>
            <w:webHidden/>
          </w:rPr>
        </w:r>
        <w:r w:rsidR="00567A8D">
          <w:rPr>
            <w:webHidden/>
          </w:rPr>
          <w:fldChar w:fldCharType="separate"/>
        </w:r>
        <w:r w:rsidR="007973DC">
          <w:rPr>
            <w:webHidden/>
          </w:rPr>
          <w:t>5</w:t>
        </w:r>
        <w:r w:rsidR="00567A8D">
          <w:rPr>
            <w:webHidden/>
          </w:rPr>
          <w:fldChar w:fldCharType="end"/>
        </w:r>
      </w:hyperlink>
    </w:p>
    <w:p w14:paraId="0C5E1CC3" w14:textId="6095E54F" w:rsidR="00567A8D" w:rsidRDefault="00B37467">
      <w:pPr>
        <w:pStyle w:val="TOC3"/>
        <w:tabs>
          <w:tab w:val="left" w:pos="885"/>
        </w:tabs>
        <w:rPr>
          <w:rFonts w:asciiTheme="minorHAnsi" w:eastAsiaTheme="minorEastAsia" w:hAnsiTheme="minorHAnsi" w:cstheme="minorBidi"/>
        </w:rPr>
      </w:pPr>
      <w:hyperlink w:anchor="_Toc144213385" w:history="1">
        <w:r w:rsidR="00567A8D" w:rsidRPr="00D05AC8">
          <w:rPr>
            <w:rStyle w:val="Hyperlink"/>
          </w:rPr>
          <w:t>1.4.2</w:t>
        </w:r>
        <w:r w:rsidR="00567A8D">
          <w:rPr>
            <w:rFonts w:asciiTheme="minorHAnsi" w:eastAsiaTheme="minorEastAsia" w:hAnsiTheme="minorHAnsi" w:cstheme="minorBidi"/>
          </w:rPr>
          <w:tab/>
        </w:r>
        <w:r w:rsidR="00567A8D" w:rsidRPr="00D05AC8">
          <w:rPr>
            <w:rStyle w:val="Hyperlink"/>
          </w:rPr>
          <w:t>Application and assessment process</w:t>
        </w:r>
        <w:r w:rsidR="00567A8D">
          <w:rPr>
            <w:webHidden/>
          </w:rPr>
          <w:tab/>
        </w:r>
        <w:r w:rsidR="00567A8D">
          <w:rPr>
            <w:webHidden/>
          </w:rPr>
          <w:fldChar w:fldCharType="begin"/>
        </w:r>
        <w:r w:rsidR="00567A8D">
          <w:rPr>
            <w:webHidden/>
          </w:rPr>
          <w:instrText xml:space="preserve"> PAGEREF _Toc144213385 \h </w:instrText>
        </w:r>
        <w:r w:rsidR="00567A8D">
          <w:rPr>
            <w:webHidden/>
          </w:rPr>
        </w:r>
        <w:r w:rsidR="00567A8D">
          <w:rPr>
            <w:webHidden/>
          </w:rPr>
          <w:fldChar w:fldCharType="separate"/>
        </w:r>
        <w:r w:rsidR="007973DC">
          <w:rPr>
            <w:webHidden/>
          </w:rPr>
          <w:t>6</w:t>
        </w:r>
        <w:r w:rsidR="00567A8D">
          <w:rPr>
            <w:webHidden/>
          </w:rPr>
          <w:fldChar w:fldCharType="end"/>
        </w:r>
      </w:hyperlink>
    </w:p>
    <w:p w14:paraId="11820C1B" w14:textId="753522F6" w:rsidR="00567A8D" w:rsidRDefault="00B37467">
      <w:pPr>
        <w:pStyle w:val="TOC3"/>
        <w:tabs>
          <w:tab w:val="left" w:pos="885"/>
        </w:tabs>
        <w:rPr>
          <w:rFonts w:asciiTheme="minorHAnsi" w:eastAsiaTheme="minorEastAsia" w:hAnsiTheme="minorHAnsi" w:cstheme="minorBidi"/>
        </w:rPr>
      </w:pPr>
      <w:hyperlink w:anchor="_Toc144213386" w:history="1">
        <w:r w:rsidR="00567A8D" w:rsidRPr="00D05AC8">
          <w:rPr>
            <w:rStyle w:val="Hyperlink"/>
          </w:rPr>
          <w:t>1.4.3</w:t>
        </w:r>
        <w:r w:rsidR="00567A8D">
          <w:rPr>
            <w:rFonts w:asciiTheme="minorHAnsi" w:eastAsiaTheme="minorEastAsia" w:hAnsiTheme="minorHAnsi" w:cstheme="minorBidi"/>
          </w:rPr>
          <w:tab/>
        </w:r>
        <w:r w:rsidR="00567A8D" w:rsidRPr="00D05AC8">
          <w:rPr>
            <w:rStyle w:val="Hyperlink"/>
          </w:rPr>
          <w:t>Assessment criteria</w:t>
        </w:r>
        <w:r w:rsidR="00567A8D">
          <w:rPr>
            <w:webHidden/>
          </w:rPr>
          <w:tab/>
        </w:r>
        <w:r w:rsidR="00567A8D">
          <w:rPr>
            <w:webHidden/>
          </w:rPr>
          <w:fldChar w:fldCharType="begin"/>
        </w:r>
        <w:r w:rsidR="00567A8D">
          <w:rPr>
            <w:webHidden/>
          </w:rPr>
          <w:instrText xml:space="preserve"> PAGEREF _Toc144213386 \h </w:instrText>
        </w:r>
        <w:r w:rsidR="00567A8D">
          <w:rPr>
            <w:webHidden/>
          </w:rPr>
        </w:r>
        <w:r w:rsidR="00567A8D">
          <w:rPr>
            <w:webHidden/>
          </w:rPr>
          <w:fldChar w:fldCharType="separate"/>
        </w:r>
        <w:r w:rsidR="007973DC">
          <w:rPr>
            <w:webHidden/>
          </w:rPr>
          <w:t>6</w:t>
        </w:r>
        <w:r w:rsidR="00567A8D">
          <w:rPr>
            <w:webHidden/>
          </w:rPr>
          <w:fldChar w:fldCharType="end"/>
        </w:r>
      </w:hyperlink>
    </w:p>
    <w:p w14:paraId="4517222E" w14:textId="0B5BDE8C" w:rsidR="00567A8D" w:rsidRDefault="00B37467">
      <w:pPr>
        <w:pStyle w:val="TOC3"/>
        <w:tabs>
          <w:tab w:val="left" w:pos="885"/>
        </w:tabs>
        <w:rPr>
          <w:rFonts w:asciiTheme="minorHAnsi" w:eastAsiaTheme="minorEastAsia" w:hAnsiTheme="minorHAnsi" w:cstheme="minorBidi"/>
        </w:rPr>
      </w:pPr>
      <w:hyperlink w:anchor="_Toc144213387" w:history="1">
        <w:r w:rsidR="00567A8D" w:rsidRPr="00D05AC8">
          <w:rPr>
            <w:rStyle w:val="Hyperlink"/>
          </w:rPr>
          <w:t>1.4.4</w:t>
        </w:r>
        <w:r w:rsidR="00567A8D">
          <w:rPr>
            <w:rFonts w:asciiTheme="minorHAnsi" w:eastAsiaTheme="minorEastAsia" w:hAnsiTheme="minorHAnsi" w:cstheme="minorBidi"/>
          </w:rPr>
          <w:tab/>
        </w:r>
        <w:r w:rsidR="00567A8D" w:rsidRPr="00D05AC8">
          <w:rPr>
            <w:rStyle w:val="Hyperlink"/>
          </w:rPr>
          <w:t>Procedures for approved applicants</w:t>
        </w:r>
        <w:r w:rsidR="00567A8D">
          <w:rPr>
            <w:webHidden/>
          </w:rPr>
          <w:tab/>
        </w:r>
        <w:r w:rsidR="00567A8D">
          <w:rPr>
            <w:webHidden/>
          </w:rPr>
          <w:fldChar w:fldCharType="begin"/>
        </w:r>
        <w:r w:rsidR="00567A8D">
          <w:rPr>
            <w:webHidden/>
          </w:rPr>
          <w:instrText xml:space="preserve"> PAGEREF _Toc144213387 \h </w:instrText>
        </w:r>
        <w:r w:rsidR="00567A8D">
          <w:rPr>
            <w:webHidden/>
          </w:rPr>
        </w:r>
        <w:r w:rsidR="00567A8D">
          <w:rPr>
            <w:webHidden/>
          </w:rPr>
          <w:fldChar w:fldCharType="separate"/>
        </w:r>
        <w:r w:rsidR="007973DC">
          <w:rPr>
            <w:webHidden/>
          </w:rPr>
          <w:t>8</w:t>
        </w:r>
        <w:r w:rsidR="00567A8D">
          <w:rPr>
            <w:webHidden/>
          </w:rPr>
          <w:fldChar w:fldCharType="end"/>
        </w:r>
      </w:hyperlink>
    </w:p>
    <w:p w14:paraId="2387054C" w14:textId="4241EF41" w:rsidR="00567A8D" w:rsidRDefault="00B37467">
      <w:pPr>
        <w:pStyle w:val="TOC3"/>
        <w:tabs>
          <w:tab w:val="left" w:pos="885"/>
        </w:tabs>
        <w:rPr>
          <w:rFonts w:asciiTheme="minorHAnsi" w:eastAsiaTheme="minorEastAsia" w:hAnsiTheme="minorHAnsi" w:cstheme="minorBidi"/>
        </w:rPr>
      </w:pPr>
      <w:hyperlink w:anchor="_Toc144213388" w:history="1">
        <w:r w:rsidR="00567A8D" w:rsidRPr="00D05AC8">
          <w:rPr>
            <w:rStyle w:val="Hyperlink"/>
          </w:rPr>
          <w:t>1.4.5</w:t>
        </w:r>
        <w:r w:rsidR="00567A8D">
          <w:rPr>
            <w:rFonts w:asciiTheme="minorHAnsi" w:eastAsiaTheme="minorEastAsia" w:hAnsiTheme="minorHAnsi" w:cstheme="minorBidi"/>
          </w:rPr>
          <w:tab/>
        </w:r>
        <w:r w:rsidR="00567A8D" w:rsidRPr="00D05AC8">
          <w:rPr>
            <w:rStyle w:val="Hyperlink"/>
          </w:rPr>
          <w:t>Change in access to an ITU satellite filing</w:t>
        </w:r>
        <w:r w:rsidR="00567A8D">
          <w:rPr>
            <w:webHidden/>
          </w:rPr>
          <w:tab/>
        </w:r>
        <w:r w:rsidR="00567A8D">
          <w:rPr>
            <w:webHidden/>
          </w:rPr>
          <w:fldChar w:fldCharType="begin"/>
        </w:r>
        <w:r w:rsidR="00567A8D">
          <w:rPr>
            <w:webHidden/>
          </w:rPr>
          <w:instrText xml:space="preserve"> PAGEREF _Toc144213388 \h </w:instrText>
        </w:r>
        <w:r w:rsidR="00567A8D">
          <w:rPr>
            <w:webHidden/>
          </w:rPr>
        </w:r>
        <w:r w:rsidR="00567A8D">
          <w:rPr>
            <w:webHidden/>
          </w:rPr>
          <w:fldChar w:fldCharType="separate"/>
        </w:r>
        <w:r w:rsidR="007973DC">
          <w:rPr>
            <w:webHidden/>
          </w:rPr>
          <w:t>8</w:t>
        </w:r>
        <w:r w:rsidR="00567A8D">
          <w:rPr>
            <w:webHidden/>
          </w:rPr>
          <w:fldChar w:fldCharType="end"/>
        </w:r>
      </w:hyperlink>
    </w:p>
    <w:p w14:paraId="0DE2EC22" w14:textId="2393ABBD" w:rsidR="00567A8D" w:rsidRDefault="00B37467" w:rsidP="007973DC">
      <w:pPr>
        <w:pStyle w:val="TOC1"/>
        <w:tabs>
          <w:tab w:val="left" w:pos="885"/>
        </w:tabs>
        <w:ind w:left="851" w:hanging="851"/>
        <w:rPr>
          <w:rFonts w:asciiTheme="minorHAnsi" w:eastAsiaTheme="minorEastAsia" w:hAnsiTheme="minorHAnsi" w:cstheme="minorBidi"/>
          <w:b w:val="0"/>
          <w:spacing w:val="0"/>
          <w:sz w:val="22"/>
          <w:szCs w:val="22"/>
        </w:rPr>
      </w:pPr>
      <w:hyperlink w:anchor="_Toc144213389" w:history="1">
        <w:r w:rsidR="00567A8D" w:rsidRPr="00D05AC8">
          <w:rPr>
            <w:rStyle w:val="Hyperlink"/>
          </w:rPr>
          <w:t>2</w:t>
        </w:r>
        <w:r w:rsidR="00567A8D">
          <w:rPr>
            <w:rFonts w:asciiTheme="minorHAnsi" w:eastAsiaTheme="minorEastAsia" w:hAnsiTheme="minorHAnsi" w:cstheme="minorBidi"/>
            <w:b w:val="0"/>
            <w:spacing w:val="0"/>
            <w:sz w:val="22"/>
            <w:szCs w:val="22"/>
          </w:rPr>
          <w:tab/>
        </w:r>
        <w:r w:rsidR="007973DC">
          <w:rPr>
            <w:rFonts w:asciiTheme="minorHAnsi" w:eastAsiaTheme="minorEastAsia" w:hAnsiTheme="minorHAnsi" w:cstheme="minorBidi"/>
            <w:b w:val="0"/>
            <w:spacing w:val="0"/>
            <w:sz w:val="22"/>
            <w:szCs w:val="22"/>
          </w:rPr>
          <w:tab/>
        </w:r>
        <w:r w:rsidR="00567A8D" w:rsidRPr="00D05AC8">
          <w:rPr>
            <w:rStyle w:val="Hyperlink"/>
          </w:rPr>
          <w:t>Revisions to application and assessment process</w:t>
        </w:r>
        <w:r w:rsidR="00567A8D">
          <w:rPr>
            <w:webHidden/>
          </w:rPr>
          <w:tab/>
        </w:r>
        <w:r w:rsidR="00567A8D">
          <w:rPr>
            <w:webHidden/>
          </w:rPr>
          <w:fldChar w:fldCharType="begin"/>
        </w:r>
        <w:r w:rsidR="00567A8D">
          <w:rPr>
            <w:webHidden/>
          </w:rPr>
          <w:instrText xml:space="preserve"> PAGEREF _Toc144213389 \h </w:instrText>
        </w:r>
        <w:r w:rsidR="00567A8D">
          <w:rPr>
            <w:webHidden/>
          </w:rPr>
        </w:r>
        <w:r w:rsidR="00567A8D">
          <w:rPr>
            <w:webHidden/>
          </w:rPr>
          <w:fldChar w:fldCharType="separate"/>
        </w:r>
        <w:r w:rsidR="007973DC">
          <w:rPr>
            <w:webHidden/>
          </w:rPr>
          <w:t>9</w:t>
        </w:r>
        <w:r w:rsidR="00567A8D">
          <w:rPr>
            <w:webHidden/>
          </w:rPr>
          <w:fldChar w:fldCharType="end"/>
        </w:r>
      </w:hyperlink>
    </w:p>
    <w:p w14:paraId="55899EAE" w14:textId="4D91589B" w:rsidR="00567A8D" w:rsidRDefault="00B37467">
      <w:pPr>
        <w:pStyle w:val="TOC2"/>
        <w:rPr>
          <w:rFonts w:asciiTheme="minorHAnsi" w:eastAsiaTheme="minorEastAsia" w:hAnsiTheme="minorHAnsi" w:cstheme="minorBidi"/>
          <w:spacing w:val="0"/>
          <w:sz w:val="22"/>
          <w:szCs w:val="22"/>
        </w:rPr>
      </w:pPr>
      <w:hyperlink w:anchor="_Toc144213390" w:history="1">
        <w:r w:rsidR="00567A8D" w:rsidRPr="00D05AC8">
          <w:rPr>
            <w:rStyle w:val="Hyperlink"/>
          </w:rPr>
          <w:t>2.1</w:t>
        </w:r>
        <w:r w:rsidR="00567A8D">
          <w:rPr>
            <w:rFonts w:asciiTheme="minorHAnsi" w:eastAsiaTheme="minorEastAsia" w:hAnsiTheme="minorHAnsi" w:cstheme="minorBidi"/>
            <w:spacing w:val="0"/>
            <w:sz w:val="22"/>
            <w:szCs w:val="22"/>
          </w:rPr>
          <w:tab/>
        </w:r>
        <w:r w:rsidR="00567A8D" w:rsidRPr="00D05AC8">
          <w:rPr>
            <w:rStyle w:val="Hyperlink"/>
          </w:rPr>
          <w:t>When an application is required</w:t>
        </w:r>
        <w:r w:rsidR="00567A8D">
          <w:rPr>
            <w:webHidden/>
          </w:rPr>
          <w:tab/>
        </w:r>
        <w:r w:rsidR="00567A8D">
          <w:rPr>
            <w:webHidden/>
          </w:rPr>
          <w:fldChar w:fldCharType="begin"/>
        </w:r>
        <w:r w:rsidR="00567A8D">
          <w:rPr>
            <w:webHidden/>
          </w:rPr>
          <w:instrText xml:space="preserve"> PAGEREF _Toc144213390 \h </w:instrText>
        </w:r>
        <w:r w:rsidR="00567A8D">
          <w:rPr>
            <w:webHidden/>
          </w:rPr>
        </w:r>
        <w:r w:rsidR="00567A8D">
          <w:rPr>
            <w:webHidden/>
          </w:rPr>
          <w:fldChar w:fldCharType="separate"/>
        </w:r>
        <w:r w:rsidR="007973DC">
          <w:rPr>
            <w:webHidden/>
          </w:rPr>
          <w:t>9</w:t>
        </w:r>
        <w:r w:rsidR="00567A8D">
          <w:rPr>
            <w:webHidden/>
          </w:rPr>
          <w:fldChar w:fldCharType="end"/>
        </w:r>
      </w:hyperlink>
    </w:p>
    <w:p w14:paraId="1B995A3F" w14:textId="020DA38E" w:rsidR="00567A8D" w:rsidRDefault="00B37467">
      <w:pPr>
        <w:pStyle w:val="TOC3"/>
        <w:tabs>
          <w:tab w:val="left" w:pos="885"/>
        </w:tabs>
        <w:rPr>
          <w:rFonts w:asciiTheme="minorHAnsi" w:eastAsiaTheme="minorEastAsia" w:hAnsiTheme="minorHAnsi" w:cstheme="minorBidi"/>
        </w:rPr>
      </w:pPr>
      <w:hyperlink w:anchor="_Toc144213391" w:history="1">
        <w:r w:rsidR="00567A8D" w:rsidRPr="00D05AC8">
          <w:rPr>
            <w:rStyle w:val="Hyperlink"/>
          </w:rPr>
          <w:t>2.1.1</w:t>
        </w:r>
        <w:r w:rsidR="00567A8D">
          <w:rPr>
            <w:rFonts w:asciiTheme="minorHAnsi" w:eastAsiaTheme="minorEastAsia" w:hAnsiTheme="minorHAnsi" w:cstheme="minorBidi"/>
          </w:rPr>
          <w:tab/>
        </w:r>
        <w:r w:rsidR="00567A8D" w:rsidRPr="00D05AC8">
          <w:rPr>
            <w:rStyle w:val="Hyperlink"/>
          </w:rPr>
          <w:t>Current requirements</w:t>
        </w:r>
        <w:r w:rsidR="00567A8D">
          <w:rPr>
            <w:webHidden/>
          </w:rPr>
          <w:tab/>
        </w:r>
        <w:r w:rsidR="00567A8D">
          <w:rPr>
            <w:webHidden/>
          </w:rPr>
          <w:fldChar w:fldCharType="begin"/>
        </w:r>
        <w:r w:rsidR="00567A8D">
          <w:rPr>
            <w:webHidden/>
          </w:rPr>
          <w:instrText xml:space="preserve"> PAGEREF _Toc144213391 \h </w:instrText>
        </w:r>
        <w:r w:rsidR="00567A8D">
          <w:rPr>
            <w:webHidden/>
          </w:rPr>
        </w:r>
        <w:r w:rsidR="00567A8D">
          <w:rPr>
            <w:webHidden/>
          </w:rPr>
          <w:fldChar w:fldCharType="separate"/>
        </w:r>
        <w:r w:rsidR="007973DC">
          <w:rPr>
            <w:webHidden/>
          </w:rPr>
          <w:t>9</w:t>
        </w:r>
        <w:r w:rsidR="00567A8D">
          <w:rPr>
            <w:webHidden/>
          </w:rPr>
          <w:fldChar w:fldCharType="end"/>
        </w:r>
      </w:hyperlink>
    </w:p>
    <w:p w14:paraId="6527DEFA" w14:textId="03199C5F" w:rsidR="00567A8D" w:rsidRDefault="00B37467">
      <w:pPr>
        <w:pStyle w:val="TOC3"/>
        <w:tabs>
          <w:tab w:val="left" w:pos="885"/>
        </w:tabs>
        <w:rPr>
          <w:rFonts w:asciiTheme="minorHAnsi" w:eastAsiaTheme="minorEastAsia" w:hAnsiTheme="minorHAnsi" w:cstheme="minorBidi"/>
        </w:rPr>
      </w:pPr>
      <w:hyperlink w:anchor="_Toc144213392" w:history="1">
        <w:r w:rsidR="00567A8D" w:rsidRPr="00D05AC8">
          <w:rPr>
            <w:rStyle w:val="Hyperlink"/>
          </w:rPr>
          <w:t>2.1.2</w:t>
        </w:r>
        <w:r w:rsidR="00567A8D">
          <w:rPr>
            <w:rFonts w:asciiTheme="minorHAnsi" w:eastAsiaTheme="minorEastAsia" w:hAnsiTheme="minorHAnsi" w:cstheme="minorBidi"/>
          </w:rPr>
          <w:tab/>
        </w:r>
        <w:r w:rsidR="00567A8D" w:rsidRPr="00D05AC8">
          <w:rPr>
            <w:rStyle w:val="Hyperlink"/>
          </w:rPr>
          <w:t>Revised requirements</w:t>
        </w:r>
        <w:r w:rsidR="00567A8D">
          <w:rPr>
            <w:webHidden/>
          </w:rPr>
          <w:tab/>
        </w:r>
        <w:r w:rsidR="00567A8D">
          <w:rPr>
            <w:webHidden/>
          </w:rPr>
          <w:fldChar w:fldCharType="begin"/>
        </w:r>
        <w:r w:rsidR="00567A8D">
          <w:rPr>
            <w:webHidden/>
          </w:rPr>
          <w:instrText xml:space="preserve"> PAGEREF _Toc144213392 \h </w:instrText>
        </w:r>
        <w:r w:rsidR="00567A8D">
          <w:rPr>
            <w:webHidden/>
          </w:rPr>
        </w:r>
        <w:r w:rsidR="00567A8D">
          <w:rPr>
            <w:webHidden/>
          </w:rPr>
          <w:fldChar w:fldCharType="separate"/>
        </w:r>
        <w:r w:rsidR="007973DC">
          <w:rPr>
            <w:webHidden/>
          </w:rPr>
          <w:t>9</w:t>
        </w:r>
        <w:r w:rsidR="00567A8D">
          <w:rPr>
            <w:webHidden/>
          </w:rPr>
          <w:fldChar w:fldCharType="end"/>
        </w:r>
      </w:hyperlink>
    </w:p>
    <w:p w14:paraId="45A21096" w14:textId="2B4C704A" w:rsidR="00567A8D" w:rsidRDefault="00B37467">
      <w:pPr>
        <w:pStyle w:val="TOC2"/>
        <w:rPr>
          <w:rFonts w:asciiTheme="minorHAnsi" w:eastAsiaTheme="minorEastAsia" w:hAnsiTheme="minorHAnsi" w:cstheme="minorBidi"/>
          <w:spacing w:val="0"/>
          <w:sz w:val="22"/>
          <w:szCs w:val="22"/>
        </w:rPr>
      </w:pPr>
      <w:hyperlink w:anchor="_Toc144213393" w:history="1">
        <w:r w:rsidR="00567A8D" w:rsidRPr="00D05AC8">
          <w:rPr>
            <w:rStyle w:val="Hyperlink"/>
          </w:rPr>
          <w:t>2.2</w:t>
        </w:r>
        <w:r w:rsidR="00567A8D">
          <w:rPr>
            <w:rFonts w:asciiTheme="minorHAnsi" w:eastAsiaTheme="minorEastAsia" w:hAnsiTheme="minorHAnsi" w:cstheme="minorBidi"/>
            <w:spacing w:val="0"/>
            <w:sz w:val="22"/>
            <w:szCs w:val="22"/>
          </w:rPr>
          <w:tab/>
        </w:r>
        <w:r w:rsidR="00567A8D" w:rsidRPr="00D05AC8">
          <w:rPr>
            <w:rStyle w:val="Hyperlink"/>
          </w:rPr>
          <w:t>Short-duration missions</w:t>
        </w:r>
        <w:r w:rsidR="00567A8D">
          <w:rPr>
            <w:webHidden/>
          </w:rPr>
          <w:tab/>
        </w:r>
        <w:r w:rsidR="00567A8D">
          <w:rPr>
            <w:webHidden/>
          </w:rPr>
          <w:fldChar w:fldCharType="begin"/>
        </w:r>
        <w:r w:rsidR="00567A8D">
          <w:rPr>
            <w:webHidden/>
          </w:rPr>
          <w:instrText xml:space="preserve"> PAGEREF _Toc144213393 \h </w:instrText>
        </w:r>
        <w:r w:rsidR="00567A8D">
          <w:rPr>
            <w:webHidden/>
          </w:rPr>
        </w:r>
        <w:r w:rsidR="00567A8D">
          <w:rPr>
            <w:webHidden/>
          </w:rPr>
          <w:fldChar w:fldCharType="separate"/>
        </w:r>
        <w:r w:rsidR="007973DC">
          <w:rPr>
            <w:webHidden/>
          </w:rPr>
          <w:t>9</w:t>
        </w:r>
        <w:r w:rsidR="00567A8D">
          <w:rPr>
            <w:webHidden/>
          </w:rPr>
          <w:fldChar w:fldCharType="end"/>
        </w:r>
      </w:hyperlink>
    </w:p>
    <w:p w14:paraId="75631651" w14:textId="5B85BD90" w:rsidR="00567A8D" w:rsidRDefault="00B37467">
      <w:pPr>
        <w:pStyle w:val="TOC2"/>
        <w:rPr>
          <w:rFonts w:asciiTheme="minorHAnsi" w:eastAsiaTheme="minorEastAsia" w:hAnsiTheme="minorHAnsi" w:cstheme="minorBidi"/>
          <w:spacing w:val="0"/>
          <w:sz w:val="22"/>
          <w:szCs w:val="22"/>
        </w:rPr>
      </w:pPr>
      <w:hyperlink w:anchor="_Toc144213394" w:history="1">
        <w:r w:rsidR="00567A8D" w:rsidRPr="00D05AC8">
          <w:rPr>
            <w:rStyle w:val="Hyperlink"/>
          </w:rPr>
          <w:t>2.3</w:t>
        </w:r>
        <w:r w:rsidR="00567A8D">
          <w:rPr>
            <w:rFonts w:asciiTheme="minorHAnsi" w:eastAsiaTheme="minorEastAsia" w:hAnsiTheme="minorHAnsi" w:cstheme="minorBidi"/>
            <w:spacing w:val="0"/>
            <w:sz w:val="22"/>
            <w:szCs w:val="22"/>
          </w:rPr>
          <w:tab/>
        </w:r>
        <w:r w:rsidR="00567A8D" w:rsidRPr="00D05AC8">
          <w:rPr>
            <w:rStyle w:val="Hyperlink"/>
          </w:rPr>
          <w:t>Filing conditions</w:t>
        </w:r>
        <w:r w:rsidR="00567A8D">
          <w:rPr>
            <w:webHidden/>
          </w:rPr>
          <w:tab/>
        </w:r>
        <w:r w:rsidR="00567A8D">
          <w:rPr>
            <w:webHidden/>
          </w:rPr>
          <w:fldChar w:fldCharType="begin"/>
        </w:r>
        <w:r w:rsidR="00567A8D">
          <w:rPr>
            <w:webHidden/>
          </w:rPr>
          <w:instrText xml:space="preserve"> PAGEREF _Toc144213394 \h </w:instrText>
        </w:r>
        <w:r w:rsidR="00567A8D">
          <w:rPr>
            <w:webHidden/>
          </w:rPr>
        </w:r>
        <w:r w:rsidR="00567A8D">
          <w:rPr>
            <w:webHidden/>
          </w:rPr>
          <w:fldChar w:fldCharType="separate"/>
        </w:r>
        <w:r w:rsidR="007973DC">
          <w:rPr>
            <w:webHidden/>
          </w:rPr>
          <w:t>10</w:t>
        </w:r>
        <w:r w:rsidR="00567A8D">
          <w:rPr>
            <w:webHidden/>
          </w:rPr>
          <w:fldChar w:fldCharType="end"/>
        </w:r>
      </w:hyperlink>
    </w:p>
    <w:p w14:paraId="755C1ABB" w14:textId="1581BEF1" w:rsidR="00567A8D" w:rsidRDefault="00B37467">
      <w:pPr>
        <w:pStyle w:val="TOC1"/>
        <w:tabs>
          <w:tab w:val="left" w:pos="885"/>
        </w:tabs>
        <w:rPr>
          <w:rFonts w:asciiTheme="minorHAnsi" w:eastAsiaTheme="minorEastAsia" w:hAnsiTheme="minorHAnsi" w:cstheme="minorBidi"/>
          <w:b w:val="0"/>
          <w:spacing w:val="0"/>
          <w:sz w:val="22"/>
          <w:szCs w:val="22"/>
        </w:rPr>
      </w:pPr>
      <w:hyperlink w:anchor="_Toc144213395" w:history="1">
        <w:r w:rsidR="00567A8D" w:rsidRPr="00D05AC8">
          <w:rPr>
            <w:rStyle w:val="Hyperlink"/>
          </w:rPr>
          <w:t>3</w:t>
        </w:r>
        <w:r w:rsidR="00567A8D">
          <w:rPr>
            <w:rFonts w:asciiTheme="minorHAnsi" w:eastAsiaTheme="minorEastAsia" w:hAnsiTheme="minorHAnsi" w:cstheme="minorBidi"/>
            <w:b w:val="0"/>
            <w:spacing w:val="0"/>
            <w:sz w:val="22"/>
            <w:szCs w:val="22"/>
          </w:rPr>
          <w:tab/>
        </w:r>
        <w:r w:rsidR="00567A8D" w:rsidRPr="00D05AC8">
          <w:rPr>
            <w:rStyle w:val="Hyperlink"/>
          </w:rPr>
          <w:t>Revisions to assessment criteria</w:t>
        </w:r>
        <w:r w:rsidR="00567A8D">
          <w:rPr>
            <w:webHidden/>
          </w:rPr>
          <w:tab/>
        </w:r>
        <w:r w:rsidR="00567A8D">
          <w:rPr>
            <w:webHidden/>
          </w:rPr>
          <w:fldChar w:fldCharType="begin"/>
        </w:r>
        <w:r w:rsidR="00567A8D">
          <w:rPr>
            <w:webHidden/>
          </w:rPr>
          <w:instrText xml:space="preserve"> PAGEREF _Toc144213395 \h </w:instrText>
        </w:r>
        <w:r w:rsidR="00567A8D">
          <w:rPr>
            <w:webHidden/>
          </w:rPr>
        </w:r>
        <w:r w:rsidR="00567A8D">
          <w:rPr>
            <w:webHidden/>
          </w:rPr>
          <w:fldChar w:fldCharType="separate"/>
        </w:r>
        <w:r w:rsidR="007973DC">
          <w:rPr>
            <w:webHidden/>
          </w:rPr>
          <w:t>12</w:t>
        </w:r>
        <w:r w:rsidR="00567A8D">
          <w:rPr>
            <w:webHidden/>
          </w:rPr>
          <w:fldChar w:fldCharType="end"/>
        </w:r>
      </w:hyperlink>
    </w:p>
    <w:p w14:paraId="697A7B21" w14:textId="22728E76" w:rsidR="00567A8D" w:rsidRDefault="00B37467">
      <w:pPr>
        <w:pStyle w:val="TOC2"/>
        <w:rPr>
          <w:rFonts w:asciiTheme="minorHAnsi" w:eastAsiaTheme="minorEastAsia" w:hAnsiTheme="minorHAnsi" w:cstheme="minorBidi"/>
          <w:spacing w:val="0"/>
          <w:sz w:val="22"/>
          <w:szCs w:val="22"/>
        </w:rPr>
      </w:pPr>
      <w:hyperlink w:anchor="_Toc144213396" w:history="1">
        <w:r w:rsidR="00567A8D" w:rsidRPr="00D05AC8">
          <w:rPr>
            <w:rStyle w:val="Hyperlink"/>
          </w:rPr>
          <w:t>3.1</w:t>
        </w:r>
        <w:r w:rsidR="00567A8D">
          <w:rPr>
            <w:rFonts w:asciiTheme="minorHAnsi" w:eastAsiaTheme="minorEastAsia" w:hAnsiTheme="minorHAnsi" w:cstheme="minorBidi"/>
            <w:spacing w:val="0"/>
            <w:sz w:val="22"/>
            <w:szCs w:val="22"/>
          </w:rPr>
          <w:tab/>
        </w:r>
        <w:r w:rsidR="00567A8D" w:rsidRPr="00D05AC8">
          <w:rPr>
            <w:rStyle w:val="Hyperlink"/>
          </w:rPr>
          <w:t>Australian jurisdiction</w:t>
        </w:r>
        <w:r w:rsidR="00567A8D">
          <w:rPr>
            <w:webHidden/>
          </w:rPr>
          <w:tab/>
        </w:r>
        <w:r w:rsidR="00567A8D">
          <w:rPr>
            <w:webHidden/>
          </w:rPr>
          <w:fldChar w:fldCharType="begin"/>
        </w:r>
        <w:r w:rsidR="00567A8D">
          <w:rPr>
            <w:webHidden/>
          </w:rPr>
          <w:instrText xml:space="preserve"> PAGEREF _Toc144213396 \h </w:instrText>
        </w:r>
        <w:r w:rsidR="00567A8D">
          <w:rPr>
            <w:webHidden/>
          </w:rPr>
        </w:r>
        <w:r w:rsidR="00567A8D">
          <w:rPr>
            <w:webHidden/>
          </w:rPr>
          <w:fldChar w:fldCharType="separate"/>
        </w:r>
        <w:r w:rsidR="007973DC">
          <w:rPr>
            <w:webHidden/>
          </w:rPr>
          <w:t>12</w:t>
        </w:r>
        <w:r w:rsidR="00567A8D">
          <w:rPr>
            <w:webHidden/>
          </w:rPr>
          <w:fldChar w:fldCharType="end"/>
        </w:r>
      </w:hyperlink>
    </w:p>
    <w:p w14:paraId="1AD2A34B" w14:textId="230501FC" w:rsidR="00567A8D" w:rsidRDefault="00B37467">
      <w:pPr>
        <w:pStyle w:val="TOC2"/>
        <w:rPr>
          <w:rFonts w:asciiTheme="minorHAnsi" w:eastAsiaTheme="minorEastAsia" w:hAnsiTheme="minorHAnsi" w:cstheme="minorBidi"/>
          <w:spacing w:val="0"/>
          <w:sz w:val="22"/>
          <w:szCs w:val="22"/>
        </w:rPr>
      </w:pPr>
      <w:hyperlink w:anchor="_Toc144213397" w:history="1">
        <w:r w:rsidR="00567A8D" w:rsidRPr="00D05AC8">
          <w:rPr>
            <w:rStyle w:val="Hyperlink"/>
          </w:rPr>
          <w:t>3.2</w:t>
        </w:r>
        <w:r w:rsidR="00567A8D">
          <w:rPr>
            <w:rFonts w:asciiTheme="minorHAnsi" w:eastAsiaTheme="minorEastAsia" w:hAnsiTheme="minorHAnsi" w:cstheme="minorBidi"/>
            <w:spacing w:val="0"/>
            <w:sz w:val="22"/>
            <w:szCs w:val="22"/>
          </w:rPr>
          <w:tab/>
        </w:r>
        <w:r w:rsidR="00567A8D" w:rsidRPr="00D05AC8">
          <w:rPr>
            <w:rStyle w:val="Hyperlink"/>
          </w:rPr>
          <w:t>Operational control</w:t>
        </w:r>
        <w:r w:rsidR="00567A8D">
          <w:rPr>
            <w:webHidden/>
          </w:rPr>
          <w:tab/>
        </w:r>
        <w:r w:rsidR="00567A8D">
          <w:rPr>
            <w:webHidden/>
          </w:rPr>
          <w:fldChar w:fldCharType="begin"/>
        </w:r>
        <w:r w:rsidR="00567A8D">
          <w:rPr>
            <w:webHidden/>
          </w:rPr>
          <w:instrText xml:space="preserve"> PAGEREF _Toc144213397 \h </w:instrText>
        </w:r>
        <w:r w:rsidR="00567A8D">
          <w:rPr>
            <w:webHidden/>
          </w:rPr>
        </w:r>
        <w:r w:rsidR="00567A8D">
          <w:rPr>
            <w:webHidden/>
          </w:rPr>
          <w:fldChar w:fldCharType="separate"/>
        </w:r>
        <w:r w:rsidR="007973DC">
          <w:rPr>
            <w:webHidden/>
          </w:rPr>
          <w:t>12</w:t>
        </w:r>
        <w:r w:rsidR="00567A8D">
          <w:rPr>
            <w:webHidden/>
          </w:rPr>
          <w:fldChar w:fldCharType="end"/>
        </w:r>
      </w:hyperlink>
    </w:p>
    <w:p w14:paraId="1DCF22DB" w14:textId="669E66A1" w:rsidR="00567A8D" w:rsidRDefault="00B37467">
      <w:pPr>
        <w:pStyle w:val="TOC2"/>
        <w:rPr>
          <w:rFonts w:asciiTheme="minorHAnsi" w:eastAsiaTheme="minorEastAsia" w:hAnsiTheme="minorHAnsi" w:cstheme="minorBidi"/>
          <w:spacing w:val="0"/>
          <w:sz w:val="22"/>
          <w:szCs w:val="22"/>
        </w:rPr>
      </w:pPr>
      <w:hyperlink w:anchor="_Toc144213398" w:history="1">
        <w:r w:rsidR="00567A8D" w:rsidRPr="00D05AC8">
          <w:rPr>
            <w:rStyle w:val="Hyperlink"/>
          </w:rPr>
          <w:t>3.3</w:t>
        </w:r>
        <w:r w:rsidR="00567A8D">
          <w:rPr>
            <w:rFonts w:asciiTheme="minorHAnsi" w:eastAsiaTheme="minorEastAsia" w:hAnsiTheme="minorHAnsi" w:cstheme="minorBidi"/>
            <w:spacing w:val="0"/>
            <w:sz w:val="22"/>
            <w:szCs w:val="22"/>
          </w:rPr>
          <w:tab/>
        </w:r>
        <w:r w:rsidR="00567A8D" w:rsidRPr="00D05AC8">
          <w:rPr>
            <w:rStyle w:val="Hyperlink"/>
          </w:rPr>
          <w:t>Australian benefit</w:t>
        </w:r>
        <w:r w:rsidR="00567A8D">
          <w:rPr>
            <w:webHidden/>
          </w:rPr>
          <w:tab/>
        </w:r>
        <w:r w:rsidR="00567A8D">
          <w:rPr>
            <w:webHidden/>
          </w:rPr>
          <w:fldChar w:fldCharType="begin"/>
        </w:r>
        <w:r w:rsidR="00567A8D">
          <w:rPr>
            <w:webHidden/>
          </w:rPr>
          <w:instrText xml:space="preserve"> PAGEREF _Toc144213398 \h </w:instrText>
        </w:r>
        <w:r w:rsidR="00567A8D">
          <w:rPr>
            <w:webHidden/>
          </w:rPr>
        </w:r>
        <w:r w:rsidR="00567A8D">
          <w:rPr>
            <w:webHidden/>
          </w:rPr>
          <w:fldChar w:fldCharType="separate"/>
        </w:r>
        <w:r w:rsidR="007973DC">
          <w:rPr>
            <w:webHidden/>
          </w:rPr>
          <w:t>13</w:t>
        </w:r>
        <w:r w:rsidR="00567A8D">
          <w:rPr>
            <w:webHidden/>
          </w:rPr>
          <w:fldChar w:fldCharType="end"/>
        </w:r>
      </w:hyperlink>
    </w:p>
    <w:p w14:paraId="2E78DE49" w14:textId="1A6CD8CD" w:rsidR="00567A8D" w:rsidRDefault="00B37467">
      <w:pPr>
        <w:pStyle w:val="TOC2"/>
        <w:rPr>
          <w:rFonts w:asciiTheme="minorHAnsi" w:eastAsiaTheme="minorEastAsia" w:hAnsiTheme="minorHAnsi" w:cstheme="minorBidi"/>
          <w:spacing w:val="0"/>
          <w:sz w:val="22"/>
          <w:szCs w:val="22"/>
        </w:rPr>
      </w:pPr>
      <w:hyperlink w:anchor="_Toc144213399" w:history="1">
        <w:r w:rsidR="00567A8D" w:rsidRPr="00D05AC8">
          <w:rPr>
            <w:rStyle w:val="Hyperlink"/>
          </w:rPr>
          <w:t>3.4</w:t>
        </w:r>
        <w:r w:rsidR="00567A8D">
          <w:rPr>
            <w:rFonts w:asciiTheme="minorHAnsi" w:eastAsiaTheme="minorEastAsia" w:hAnsiTheme="minorHAnsi" w:cstheme="minorBidi"/>
            <w:spacing w:val="0"/>
            <w:sz w:val="22"/>
            <w:szCs w:val="22"/>
          </w:rPr>
          <w:tab/>
        </w:r>
        <w:r w:rsidR="00567A8D" w:rsidRPr="00D05AC8">
          <w:rPr>
            <w:rStyle w:val="Hyperlink"/>
          </w:rPr>
          <w:t>Coordination with Australian satellite systems</w:t>
        </w:r>
        <w:r w:rsidR="00567A8D">
          <w:rPr>
            <w:webHidden/>
          </w:rPr>
          <w:tab/>
        </w:r>
        <w:r w:rsidR="00567A8D">
          <w:rPr>
            <w:webHidden/>
          </w:rPr>
          <w:fldChar w:fldCharType="begin"/>
        </w:r>
        <w:r w:rsidR="00567A8D">
          <w:rPr>
            <w:webHidden/>
          </w:rPr>
          <w:instrText xml:space="preserve"> PAGEREF _Toc144213399 \h </w:instrText>
        </w:r>
        <w:r w:rsidR="00567A8D">
          <w:rPr>
            <w:webHidden/>
          </w:rPr>
        </w:r>
        <w:r w:rsidR="00567A8D">
          <w:rPr>
            <w:webHidden/>
          </w:rPr>
          <w:fldChar w:fldCharType="separate"/>
        </w:r>
        <w:r w:rsidR="007973DC">
          <w:rPr>
            <w:webHidden/>
          </w:rPr>
          <w:t>14</w:t>
        </w:r>
        <w:r w:rsidR="00567A8D">
          <w:rPr>
            <w:webHidden/>
          </w:rPr>
          <w:fldChar w:fldCharType="end"/>
        </w:r>
      </w:hyperlink>
    </w:p>
    <w:p w14:paraId="6DF46F3B" w14:textId="37F7718A" w:rsidR="00567A8D" w:rsidRDefault="00B37467">
      <w:pPr>
        <w:pStyle w:val="TOC2"/>
        <w:rPr>
          <w:rFonts w:asciiTheme="minorHAnsi" w:eastAsiaTheme="minorEastAsia" w:hAnsiTheme="minorHAnsi" w:cstheme="minorBidi"/>
          <w:spacing w:val="0"/>
          <w:sz w:val="22"/>
          <w:szCs w:val="22"/>
        </w:rPr>
      </w:pPr>
      <w:hyperlink w:anchor="_Toc144213400" w:history="1">
        <w:r w:rsidR="00567A8D" w:rsidRPr="00D05AC8">
          <w:rPr>
            <w:rStyle w:val="Hyperlink"/>
          </w:rPr>
          <w:t>3.5</w:t>
        </w:r>
        <w:r w:rsidR="00567A8D">
          <w:rPr>
            <w:rFonts w:asciiTheme="minorHAnsi" w:eastAsiaTheme="minorEastAsia" w:hAnsiTheme="minorHAnsi" w:cstheme="minorBidi"/>
            <w:spacing w:val="0"/>
            <w:sz w:val="22"/>
            <w:szCs w:val="22"/>
          </w:rPr>
          <w:tab/>
        </w:r>
        <w:r w:rsidR="00567A8D" w:rsidRPr="00D05AC8">
          <w:rPr>
            <w:rStyle w:val="Hyperlink"/>
          </w:rPr>
          <w:t>Requirements for ‘planned band’ applications</w:t>
        </w:r>
        <w:r w:rsidR="00567A8D">
          <w:rPr>
            <w:webHidden/>
          </w:rPr>
          <w:tab/>
        </w:r>
        <w:r w:rsidR="00567A8D">
          <w:rPr>
            <w:webHidden/>
          </w:rPr>
          <w:fldChar w:fldCharType="begin"/>
        </w:r>
        <w:r w:rsidR="00567A8D">
          <w:rPr>
            <w:webHidden/>
          </w:rPr>
          <w:instrText xml:space="preserve"> PAGEREF _Toc144213400 \h </w:instrText>
        </w:r>
        <w:r w:rsidR="00567A8D">
          <w:rPr>
            <w:webHidden/>
          </w:rPr>
        </w:r>
        <w:r w:rsidR="00567A8D">
          <w:rPr>
            <w:webHidden/>
          </w:rPr>
          <w:fldChar w:fldCharType="separate"/>
        </w:r>
        <w:r w:rsidR="007973DC">
          <w:rPr>
            <w:webHidden/>
          </w:rPr>
          <w:t>14</w:t>
        </w:r>
        <w:r w:rsidR="00567A8D">
          <w:rPr>
            <w:webHidden/>
          </w:rPr>
          <w:fldChar w:fldCharType="end"/>
        </w:r>
      </w:hyperlink>
    </w:p>
    <w:p w14:paraId="555C2D08" w14:textId="1296BA46" w:rsidR="00567A8D" w:rsidRDefault="00B37467">
      <w:pPr>
        <w:pStyle w:val="TOC2"/>
        <w:rPr>
          <w:rFonts w:asciiTheme="minorHAnsi" w:eastAsiaTheme="minorEastAsia" w:hAnsiTheme="minorHAnsi" w:cstheme="minorBidi"/>
          <w:spacing w:val="0"/>
          <w:sz w:val="22"/>
          <w:szCs w:val="22"/>
        </w:rPr>
      </w:pPr>
      <w:hyperlink w:anchor="_Toc144213401" w:history="1">
        <w:r w:rsidR="00567A8D" w:rsidRPr="00D05AC8">
          <w:rPr>
            <w:rStyle w:val="Hyperlink"/>
          </w:rPr>
          <w:t>3.6</w:t>
        </w:r>
        <w:r w:rsidR="00567A8D">
          <w:rPr>
            <w:rFonts w:asciiTheme="minorHAnsi" w:eastAsiaTheme="minorEastAsia" w:hAnsiTheme="minorHAnsi" w:cstheme="minorBidi"/>
            <w:spacing w:val="0"/>
            <w:sz w:val="22"/>
            <w:szCs w:val="22"/>
          </w:rPr>
          <w:tab/>
        </w:r>
        <w:r w:rsidR="00567A8D" w:rsidRPr="00D05AC8">
          <w:rPr>
            <w:rStyle w:val="Hyperlink"/>
          </w:rPr>
          <w:t>Requirements for amateur satellite bands</w:t>
        </w:r>
        <w:r w:rsidR="00567A8D">
          <w:rPr>
            <w:webHidden/>
          </w:rPr>
          <w:tab/>
        </w:r>
        <w:r w:rsidR="00567A8D">
          <w:rPr>
            <w:webHidden/>
          </w:rPr>
          <w:fldChar w:fldCharType="begin"/>
        </w:r>
        <w:r w:rsidR="00567A8D">
          <w:rPr>
            <w:webHidden/>
          </w:rPr>
          <w:instrText xml:space="preserve"> PAGEREF _Toc144213401 \h </w:instrText>
        </w:r>
        <w:r w:rsidR="00567A8D">
          <w:rPr>
            <w:webHidden/>
          </w:rPr>
        </w:r>
        <w:r w:rsidR="00567A8D">
          <w:rPr>
            <w:webHidden/>
          </w:rPr>
          <w:fldChar w:fldCharType="separate"/>
        </w:r>
        <w:r w:rsidR="007973DC">
          <w:rPr>
            <w:webHidden/>
          </w:rPr>
          <w:t>15</w:t>
        </w:r>
        <w:r w:rsidR="00567A8D">
          <w:rPr>
            <w:webHidden/>
          </w:rPr>
          <w:fldChar w:fldCharType="end"/>
        </w:r>
      </w:hyperlink>
    </w:p>
    <w:p w14:paraId="4C387CD3" w14:textId="271C8888" w:rsidR="00567A8D" w:rsidRDefault="00B37467" w:rsidP="007973DC">
      <w:pPr>
        <w:pStyle w:val="TOC1"/>
        <w:tabs>
          <w:tab w:val="left" w:pos="885"/>
        </w:tabs>
        <w:ind w:left="851" w:hanging="851"/>
        <w:rPr>
          <w:rFonts w:asciiTheme="minorHAnsi" w:eastAsiaTheme="minorEastAsia" w:hAnsiTheme="minorHAnsi" w:cstheme="minorBidi"/>
          <w:b w:val="0"/>
          <w:spacing w:val="0"/>
          <w:sz w:val="22"/>
          <w:szCs w:val="22"/>
        </w:rPr>
      </w:pPr>
      <w:hyperlink w:anchor="_Toc144213402" w:history="1">
        <w:r w:rsidR="00567A8D" w:rsidRPr="00D05AC8">
          <w:rPr>
            <w:rStyle w:val="Hyperlink"/>
          </w:rPr>
          <w:t>4</w:t>
        </w:r>
        <w:r w:rsidR="00567A8D">
          <w:rPr>
            <w:rFonts w:asciiTheme="minorHAnsi" w:eastAsiaTheme="minorEastAsia" w:hAnsiTheme="minorHAnsi" w:cstheme="minorBidi"/>
            <w:b w:val="0"/>
            <w:spacing w:val="0"/>
            <w:sz w:val="22"/>
            <w:szCs w:val="22"/>
          </w:rPr>
          <w:tab/>
        </w:r>
        <w:r w:rsidR="00567A8D" w:rsidRPr="00D05AC8">
          <w:rPr>
            <w:rStyle w:val="Hyperlink"/>
          </w:rPr>
          <w:t>Revisions to ongoing management of satellite systems</w:t>
        </w:r>
        <w:r w:rsidR="00567A8D">
          <w:rPr>
            <w:webHidden/>
          </w:rPr>
          <w:tab/>
        </w:r>
        <w:r w:rsidR="00567A8D">
          <w:rPr>
            <w:webHidden/>
          </w:rPr>
          <w:fldChar w:fldCharType="begin"/>
        </w:r>
        <w:r w:rsidR="00567A8D">
          <w:rPr>
            <w:webHidden/>
          </w:rPr>
          <w:instrText xml:space="preserve"> PAGEREF _Toc144213402 \h </w:instrText>
        </w:r>
        <w:r w:rsidR="00567A8D">
          <w:rPr>
            <w:webHidden/>
          </w:rPr>
        </w:r>
        <w:r w:rsidR="00567A8D">
          <w:rPr>
            <w:webHidden/>
          </w:rPr>
          <w:fldChar w:fldCharType="separate"/>
        </w:r>
        <w:r w:rsidR="007973DC">
          <w:rPr>
            <w:webHidden/>
          </w:rPr>
          <w:t>16</w:t>
        </w:r>
        <w:r w:rsidR="00567A8D">
          <w:rPr>
            <w:webHidden/>
          </w:rPr>
          <w:fldChar w:fldCharType="end"/>
        </w:r>
      </w:hyperlink>
    </w:p>
    <w:p w14:paraId="2E197A3A" w14:textId="3002B7FB" w:rsidR="00567A8D" w:rsidRDefault="00B37467">
      <w:pPr>
        <w:pStyle w:val="TOC2"/>
        <w:rPr>
          <w:rFonts w:asciiTheme="minorHAnsi" w:eastAsiaTheme="minorEastAsia" w:hAnsiTheme="minorHAnsi" w:cstheme="minorBidi"/>
          <w:spacing w:val="0"/>
          <w:sz w:val="22"/>
          <w:szCs w:val="22"/>
        </w:rPr>
      </w:pPr>
      <w:hyperlink w:anchor="_Toc144213403" w:history="1">
        <w:r w:rsidR="00567A8D" w:rsidRPr="00D05AC8">
          <w:rPr>
            <w:rStyle w:val="Hyperlink"/>
          </w:rPr>
          <w:t>4.1</w:t>
        </w:r>
        <w:r w:rsidR="00567A8D">
          <w:rPr>
            <w:rFonts w:asciiTheme="minorHAnsi" w:eastAsiaTheme="minorEastAsia" w:hAnsiTheme="minorHAnsi" w:cstheme="minorBidi"/>
            <w:spacing w:val="0"/>
            <w:sz w:val="22"/>
            <w:szCs w:val="22"/>
          </w:rPr>
          <w:tab/>
        </w:r>
        <w:r w:rsidR="00567A8D" w:rsidRPr="00D05AC8">
          <w:rPr>
            <w:rStyle w:val="Hyperlink"/>
          </w:rPr>
          <w:t>ITU satellite coordination process</w:t>
        </w:r>
        <w:r w:rsidR="00567A8D">
          <w:rPr>
            <w:webHidden/>
          </w:rPr>
          <w:tab/>
        </w:r>
        <w:r w:rsidR="00567A8D">
          <w:rPr>
            <w:webHidden/>
          </w:rPr>
          <w:fldChar w:fldCharType="begin"/>
        </w:r>
        <w:r w:rsidR="00567A8D">
          <w:rPr>
            <w:webHidden/>
          </w:rPr>
          <w:instrText xml:space="preserve"> PAGEREF _Toc144213403 \h </w:instrText>
        </w:r>
        <w:r w:rsidR="00567A8D">
          <w:rPr>
            <w:webHidden/>
          </w:rPr>
        </w:r>
        <w:r w:rsidR="00567A8D">
          <w:rPr>
            <w:webHidden/>
          </w:rPr>
          <w:fldChar w:fldCharType="separate"/>
        </w:r>
        <w:r w:rsidR="007973DC">
          <w:rPr>
            <w:webHidden/>
          </w:rPr>
          <w:t>16</w:t>
        </w:r>
        <w:r w:rsidR="00567A8D">
          <w:rPr>
            <w:webHidden/>
          </w:rPr>
          <w:fldChar w:fldCharType="end"/>
        </w:r>
      </w:hyperlink>
    </w:p>
    <w:p w14:paraId="2272D92A" w14:textId="2C69E448" w:rsidR="00567A8D" w:rsidRDefault="00B37467">
      <w:pPr>
        <w:pStyle w:val="TOC2"/>
        <w:rPr>
          <w:rFonts w:asciiTheme="minorHAnsi" w:eastAsiaTheme="minorEastAsia" w:hAnsiTheme="minorHAnsi" w:cstheme="minorBidi"/>
          <w:spacing w:val="0"/>
          <w:sz w:val="22"/>
          <w:szCs w:val="22"/>
        </w:rPr>
      </w:pPr>
      <w:hyperlink w:anchor="_Toc144213404" w:history="1">
        <w:r w:rsidR="00567A8D" w:rsidRPr="00D05AC8">
          <w:rPr>
            <w:rStyle w:val="Hyperlink"/>
          </w:rPr>
          <w:t>4.2</w:t>
        </w:r>
        <w:r w:rsidR="00567A8D">
          <w:rPr>
            <w:rFonts w:asciiTheme="minorHAnsi" w:eastAsiaTheme="minorEastAsia" w:hAnsiTheme="minorHAnsi" w:cstheme="minorBidi"/>
            <w:spacing w:val="0"/>
            <w:sz w:val="22"/>
            <w:szCs w:val="22"/>
          </w:rPr>
          <w:tab/>
        </w:r>
        <w:r w:rsidR="00567A8D" w:rsidRPr="00D05AC8">
          <w:rPr>
            <w:rStyle w:val="Hyperlink"/>
          </w:rPr>
          <w:t>Information on IFIC cost recovery charges</w:t>
        </w:r>
        <w:r w:rsidR="00567A8D">
          <w:rPr>
            <w:webHidden/>
          </w:rPr>
          <w:tab/>
        </w:r>
        <w:r w:rsidR="00567A8D">
          <w:rPr>
            <w:webHidden/>
          </w:rPr>
          <w:fldChar w:fldCharType="begin"/>
        </w:r>
        <w:r w:rsidR="00567A8D">
          <w:rPr>
            <w:webHidden/>
          </w:rPr>
          <w:instrText xml:space="preserve"> PAGEREF _Toc144213404 \h </w:instrText>
        </w:r>
        <w:r w:rsidR="00567A8D">
          <w:rPr>
            <w:webHidden/>
          </w:rPr>
        </w:r>
        <w:r w:rsidR="00567A8D">
          <w:rPr>
            <w:webHidden/>
          </w:rPr>
          <w:fldChar w:fldCharType="separate"/>
        </w:r>
        <w:r w:rsidR="007973DC">
          <w:rPr>
            <w:webHidden/>
          </w:rPr>
          <w:t>16</w:t>
        </w:r>
        <w:r w:rsidR="00567A8D">
          <w:rPr>
            <w:webHidden/>
          </w:rPr>
          <w:fldChar w:fldCharType="end"/>
        </w:r>
      </w:hyperlink>
    </w:p>
    <w:p w14:paraId="2B01EEC9" w14:textId="70CA0661" w:rsidR="00567A8D" w:rsidRDefault="00B37467">
      <w:pPr>
        <w:pStyle w:val="TOC2"/>
        <w:rPr>
          <w:rFonts w:asciiTheme="minorHAnsi" w:eastAsiaTheme="minorEastAsia" w:hAnsiTheme="minorHAnsi" w:cstheme="minorBidi"/>
          <w:spacing w:val="0"/>
          <w:sz w:val="22"/>
          <w:szCs w:val="22"/>
        </w:rPr>
      </w:pPr>
      <w:hyperlink w:anchor="_Toc144213405" w:history="1">
        <w:r w:rsidR="00567A8D" w:rsidRPr="00D05AC8">
          <w:rPr>
            <w:rStyle w:val="Hyperlink"/>
          </w:rPr>
          <w:t>4.3</w:t>
        </w:r>
        <w:r w:rsidR="00567A8D">
          <w:rPr>
            <w:rFonts w:asciiTheme="minorHAnsi" w:eastAsiaTheme="minorEastAsia" w:hAnsiTheme="minorHAnsi" w:cstheme="minorBidi"/>
            <w:spacing w:val="0"/>
            <w:sz w:val="22"/>
            <w:szCs w:val="22"/>
          </w:rPr>
          <w:tab/>
        </w:r>
        <w:r w:rsidR="00567A8D" w:rsidRPr="00D05AC8">
          <w:rPr>
            <w:rStyle w:val="Hyperlink"/>
          </w:rPr>
          <w:t>Management of satellite systems through milestones</w:t>
        </w:r>
        <w:r w:rsidR="00567A8D">
          <w:rPr>
            <w:webHidden/>
          </w:rPr>
          <w:tab/>
        </w:r>
        <w:r w:rsidR="00567A8D">
          <w:rPr>
            <w:webHidden/>
          </w:rPr>
          <w:fldChar w:fldCharType="begin"/>
        </w:r>
        <w:r w:rsidR="00567A8D">
          <w:rPr>
            <w:webHidden/>
          </w:rPr>
          <w:instrText xml:space="preserve"> PAGEREF _Toc144213405 \h </w:instrText>
        </w:r>
        <w:r w:rsidR="00567A8D">
          <w:rPr>
            <w:webHidden/>
          </w:rPr>
        </w:r>
        <w:r w:rsidR="00567A8D">
          <w:rPr>
            <w:webHidden/>
          </w:rPr>
          <w:fldChar w:fldCharType="separate"/>
        </w:r>
        <w:r w:rsidR="007973DC">
          <w:rPr>
            <w:webHidden/>
          </w:rPr>
          <w:t>16</w:t>
        </w:r>
        <w:r w:rsidR="00567A8D">
          <w:rPr>
            <w:webHidden/>
          </w:rPr>
          <w:fldChar w:fldCharType="end"/>
        </w:r>
      </w:hyperlink>
    </w:p>
    <w:p w14:paraId="04325649" w14:textId="14CE9C95" w:rsidR="00567A8D" w:rsidRDefault="00B37467">
      <w:pPr>
        <w:pStyle w:val="TOC1"/>
        <w:tabs>
          <w:tab w:val="left" w:pos="885"/>
        </w:tabs>
        <w:rPr>
          <w:rFonts w:asciiTheme="minorHAnsi" w:eastAsiaTheme="minorEastAsia" w:hAnsiTheme="minorHAnsi" w:cstheme="minorBidi"/>
          <w:b w:val="0"/>
          <w:spacing w:val="0"/>
          <w:sz w:val="22"/>
          <w:szCs w:val="22"/>
        </w:rPr>
      </w:pPr>
      <w:hyperlink w:anchor="_Toc144213406" w:history="1">
        <w:r w:rsidR="00567A8D" w:rsidRPr="00D05AC8">
          <w:rPr>
            <w:rStyle w:val="Hyperlink"/>
          </w:rPr>
          <w:t>5</w:t>
        </w:r>
        <w:r w:rsidR="00567A8D">
          <w:rPr>
            <w:rFonts w:asciiTheme="minorHAnsi" w:eastAsiaTheme="minorEastAsia" w:hAnsiTheme="minorHAnsi" w:cstheme="minorBidi"/>
            <w:b w:val="0"/>
            <w:spacing w:val="0"/>
            <w:sz w:val="22"/>
            <w:szCs w:val="22"/>
          </w:rPr>
          <w:tab/>
        </w:r>
        <w:r w:rsidR="00567A8D" w:rsidRPr="00D05AC8">
          <w:rPr>
            <w:rStyle w:val="Hyperlink"/>
          </w:rPr>
          <w:t>Change in ownership</w:t>
        </w:r>
        <w:r w:rsidR="00567A8D">
          <w:rPr>
            <w:webHidden/>
          </w:rPr>
          <w:tab/>
        </w:r>
        <w:r w:rsidR="00567A8D">
          <w:rPr>
            <w:webHidden/>
          </w:rPr>
          <w:fldChar w:fldCharType="begin"/>
        </w:r>
        <w:r w:rsidR="00567A8D">
          <w:rPr>
            <w:webHidden/>
          </w:rPr>
          <w:instrText xml:space="preserve"> PAGEREF _Toc144213406 \h </w:instrText>
        </w:r>
        <w:r w:rsidR="00567A8D">
          <w:rPr>
            <w:webHidden/>
          </w:rPr>
        </w:r>
        <w:r w:rsidR="00567A8D">
          <w:rPr>
            <w:webHidden/>
          </w:rPr>
          <w:fldChar w:fldCharType="separate"/>
        </w:r>
        <w:r w:rsidR="007973DC">
          <w:rPr>
            <w:webHidden/>
          </w:rPr>
          <w:t>18</w:t>
        </w:r>
        <w:r w:rsidR="00567A8D">
          <w:rPr>
            <w:webHidden/>
          </w:rPr>
          <w:fldChar w:fldCharType="end"/>
        </w:r>
      </w:hyperlink>
    </w:p>
    <w:p w14:paraId="1A24EA04" w14:textId="39CBDB70" w:rsidR="00567A8D" w:rsidRDefault="00B37467">
      <w:pPr>
        <w:pStyle w:val="TOC1"/>
        <w:tabs>
          <w:tab w:val="left" w:pos="885"/>
        </w:tabs>
        <w:rPr>
          <w:rFonts w:asciiTheme="minorHAnsi" w:eastAsiaTheme="minorEastAsia" w:hAnsiTheme="minorHAnsi" w:cstheme="minorBidi"/>
          <w:b w:val="0"/>
          <w:spacing w:val="0"/>
          <w:sz w:val="22"/>
          <w:szCs w:val="22"/>
        </w:rPr>
      </w:pPr>
      <w:hyperlink w:anchor="_Toc144213407" w:history="1">
        <w:r w:rsidR="00567A8D" w:rsidRPr="00D05AC8">
          <w:rPr>
            <w:rStyle w:val="Hyperlink"/>
          </w:rPr>
          <w:t>6</w:t>
        </w:r>
        <w:r w:rsidR="00567A8D">
          <w:rPr>
            <w:rFonts w:asciiTheme="minorHAnsi" w:eastAsiaTheme="minorEastAsia" w:hAnsiTheme="minorHAnsi" w:cstheme="minorBidi"/>
            <w:b w:val="0"/>
            <w:spacing w:val="0"/>
            <w:sz w:val="22"/>
            <w:szCs w:val="22"/>
          </w:rPr>
          <w:tab/>
        </w:r>
        <w:r w:rsidR="00567A8D" w:rsidRPr="00D05AC8">
          <w:rPr>
            <w:rStyle w:val="Hyperlink"/>
          </w:rPr>
          <w:t>Drivers of future change</w:t>
        </w:r>
        <w:r w:rsidR="00567A8D">
          <w:rPr>
            <w:webHidden/>
          </w:rPr>
          <w:tab/>
        </w:r>
        <w:r w:rsidR="00567A8D">
          <w:rPr>
            <w:webHidden/>
          </w:rPr>
          <w:fldChar w:fldCharType="begin"/>
        </w:r>
        <w:r w:rsidR="00567A8D">
          <w:rPr>
            <w:webHidden/>
          </w:rPr>
          <w:instrText xml:space="preserve"> PAGEREF _Toc144213407 \h </w:instrText>
        </w:r>
        <w:r w:rsidR="00567A8D">
          <w:rPr>
            <w:webHidden/>
          </w:rPr>
        </w:r>
        <w:r w:rsidR="00567A8D">
          <w:rPr>
            <w:webHidden/>
          </w:rPr>
          <w:fldChar w:fldCharType="separate"/>
        </w:r>
        <w:r w:rsidR="007973DC">
          <w:rPr>
            <w:webHidden/>
          </w:rPr>
          <w:t>19</w:t>
        </w:r>
        <w:r w:rsidR="00567A8D">
          <w:rPr>
            <w:webHidden/>
          </w:rPr>
          <w:fldChar w:fldCharType="end"/>
        </w:r>
      </w:hyperlink>
    </w:p>
    <w:p w14:paraId="15325779" w14:textId="425AF9C8" w:rsidR="00567A8D" w:rsidRDefault="00B37467">
      <w:pPr>
        <w:pStyle w:val="TOC2"/>
        <w:rPr>
          <w:rFonts w:asciiTheme="minorHAnsi" w:eastAsiaTheme="minorEastAsia" w:hAnsiTheme="minorHAnsi" w:cstheme="minorBidi"/>
          <w:spacing w:val="0"/>
          <w:sz w:val="22"/>
          <w:szCs w:val="22"/>
        </w:rPr>
      </w:pPr>
      <w:hyperlink w:anchor="_Toc144213408" w:history="1">
        <w:r w:rsidR="00567A8D" w:rsidRPr="00D05AC8">
          <w:rPr>
            <w:rStyle w:val="Hyperlink"/>
          </w:rPr>
          <w:t>6.1</w:t>
        </w:r>
        <w:r w:rsidR="00567A8D">
          <w:rPr>
            <w:rFonts w:asciiTheme="minorHAnsi" w:eastAsiaTheme="minorEastAsia" w:hAnsiTheme="minorHAnsi" w:cstheme="minorBidi"/>
            <w:spacing w:val="0"/>
            <w:sz w:val="22"/>
            <w:szCs w:val="22"/>
          </w:rPr>
          <w:tab/>
        </w:r>
        <w:r w:rsidR="00567A8D" w:rsidRPr="00D05AC8">
          <w:rPr>
            <w:rStyle w:val="Hyperlink"/>
          </w:rPr>
          <w:t>International arrangements</w:t>
        </w:r>
        <w:r w:rsidR="00567A8D">
          <w:rPr>
            <w:webHidden/>
          </w:rPr>
          <w:tab/>
        </w:r>
        <w:r w:rsidR="00567A8D">
          <w:rPr>
            <w:webHidden/>
          </w:rPr>
          <w:fldChar w:fldCharType="begin"/>
        </w:r>
        <w:r w:rsidR="00567A8D">
          <w:rPr>
            <w:webHidden/>
          </w:rPr>
          <w:instrText xml:space="preserve"> PAGEREF _Toc144213408 \h </w:instrText>
        </w:r>
        <w:r w:rsidR="00567A8D">
          <w:rPr>
            <w:webHidden/>
          </w:rPr>
        </w:r>
        <w:r w:rsidR="00567A8D">
          <w:rPr>
            <w:webHidden/>
          </w:rPr>
          <w:fldChar w:fldCharType="separate"/>
        </w:r>
        <w:r w:rsidR="007973DC">
          <w:rPr>
            <w:webHidden/>
          </w:rPr>
          <w:t>19</w:t>
        </w:r>
        <w:r w:rsidR="00567A8D">
          <w:rPr>
            <w:webHidden/>
          </w:rPr>
          <w:fldChar w:fldCharType="end"/>
        </w:r>
      </w:hyperlink>
    </w:p>
    <w:p w14:paraId="47528364" w14:textId="36E8722B" w:rsidR="00567A8D" w:rsidRDefault="00B37467">
      <w:pPr>
        <w:pStyle w:val="TOC2"/>
        <w:rPr>
          <w:rFonts w:asciiTheme="minorHAnsi" w:eastAsiaTheme="minorEastAsia" w:hAnsiTheme="minorHAnsi" w:cstheme="minorBidi"/>
          <w:spacing w:val="0"/>
          <w:sz w:val="22"/>
          <w:szCs w:val="22"/>
        </w:rPr>
      </w:pPr>
      <w:hyperlink w:anchor="_Toc144213409" w:history="1">
        <w:r w:rsidR="00567A8D" w:rsidRPr="00D05AC8">
          <w:rPr>
            <w:rStyle w:val="Hyperlink"/>
          </w:rPr>
          <w:t>6.2</w:t>
        </w:r>
        <w:r w:rsidR="00567A8D">
          <w:rPr>
            <w:rFonts w:asciiTheme="minorHAnsi" w:eastAsiaTheme="minorEastAsia" w:hAnsiTheme="minorHAnsi" w:cstheme="minorBidi"/>
            <w:spacing w:val="0"/>
            <w:sz w:val="22"/>
            <w:szCs w:val="22"/>
          </w:rPr>
          <w:tab/>
        </w:r>
        <w:r w:rsidR="00567A8D" w:rsidRPr="00D05AC8">
          <w:rPr>
            <w:rStyle w:val="Hyperlink"/>
          </w:rPr>
          <w:t>ACMA approach to satellite filing</w:t>
        </w:r>
        <w:r w:rsidR="00567A8D">
          <w:rPr>
            <w:webHidden/>
          </w:rPr>
          <w:tab/>
        </w:r>
        <w:r w:rsidR="00567A8D">
          <w:rPr>
            <w:webHidden/>
          </w:rPr>
          <w:fldChar w:fldCharType="begin"/>
        </w:r>
        <w:r w:rsidR="00567A8D">
          <w:rPr>
            <w:webHidden/>
          </w:rPr>
          <w:instrText xml:space="preserve"> PAGEREF _Toc144213409 \h </w:instrText>
        </w:r>
        <w:r w:rsidR="00567A8D">
          <w:rPr>
            <w:webHidden/>
          </w:rPr>
        </w:r>
        <w:r w:rsidR="00567A8D">
          <w:rPr>
            <w:webHidden/>
          </w:rPr>
          <w:fldChar w:fldCharType="separate"/>
        </w:r>
        <w:r w:rsidR="007973DC">
          <w:rPr>
            <w:webHidden/>
          </w:rPr>
          <w:t>20</w:t>
        </w:r>
        <w:r w:rsidR="00567A8D">
          <w:rPr>
            <w:webHidden/>
          </w:rPr>
          <w:fldChar w:fldCharType="end"/>
        </w:r>
      </w:hyperlink>
    </w:p>
    <w:p w14:paraId="43876347" w14:textId="4E4BE783" w:rsidR="00567A8D" w:rsidRDefault="00B37467">
      <w:pPr>
        <w:pStyle w:val="TOC2"/>
        <w:rPr>
          <w:rFonts w:asciiTheme="minorHAnsi" w:eastAsiaTheme="minorEastAsia" w:hAnsiTheme="minorHAnsi" w:cstheme="minorBidi"/>
          <w:spacing w:val="0"/>
          <w:sz w:val="22"/>
          <w:szCs w:val="22"/>
        </w:rPr>
      </w:pPr>
      <w:hyperlink w:anchor="_Toc144213410" w:history="1">
        <w:r w:rsidR="00567A8D" w:rsidRPr="00D05AC8">
          <w:rPr>
            <w:rStyle w:val="Hyperlink"/>
          </w:rPr>
          <w:t>6.3</w:t>
        </w:r>
        <w:r w:rsidR="00567A8D">
          <w:rPr>
            <w:rFonts w:asciiTheme="minorHAnsi" w:eastAsiaTheme="minorEastAsia" w:hAnsiTheme="minorHAnsi" w:cstheme="minorBidi"/>
            <w:spacing w:val="0"/>
            <w:sz w:val="22"/>
            <w:szCs w:val="22"/>
          </w:rPr>
          <w:tab/>
        </w:r>
        <w:r w:rsidR="00567A8D" w:rsidRPr="00D05AC8">
          <w:rPr>
            <w:rStyle w:val="Hyperlink"/>
          </w:rPr>
          <w:t>Relationship between filing and licensing</w:t>
        </w:r>
        <w:r w:rsidR="00567A8D">
          <w:rPr>
            <w:webHidden/>
          </w:rPr>
          <w:tab/>
        </w:r>
        <w:r w:rsidR="00567A8D">
          <w:rPr>
            <w:webHidden/>
          </w:rPr>
          <w:fldChar w:fldCharType="begin"/>
        </w:r>
        <w:r w:rsidR="00567A8D">
          <w:rPr>
            <w:webHidden/>
          </w:rPr>
          <w:instrText xml:space="preserve"> PAGEREF _Toc144213410 \h </w:instrText>
        </w:r>
        <w:r w:rsidR="00567A8D">
          <w:rPr>
            <w:webHidden/>
          </w:rPr>
        </w:r>
        <w:r w:rsidR="00567A8D">
          <w:rPr>
            <w:webHidden/>
          </w:rPr>
          <w:fldChar w:fldCharType="separate"/>
        </w:r>
        <w:r w:rsidR="007973DC">
          <w:rPr>
            <w:webHidden/>
          </w:rPr>
          <w:t>20</w:t>
        </w:r>
        <w:r w:rsidR="00567A8D">
          <w:rPr>
            <w:webHidden/>
          </w:rPr>
          <w:fldChar w:fldCharType="end"/>
        </w:r>
      </w:hyperlink>
    </w:p>
    <w:p w14:paraId="3BF86D5D" w14:textId="535D80DB" w:rsidR="00567A8D" w:rsidRDefault="00B37467">
      <w:pPr>
        <w:pStyle w:val="TOC3"/>
        <w:tabs>
          <w:tab w:val="left" w:pos="885"/>
        </w:tabs>
        <w:rPr>
          <w:rFonts w:asciiTheme="minorHAnsi" w:eastAsiaTheme="minorEastAsia" w:hAnsiTheme="minorHAnsi" w:cstheme="minorBidi"/>
        </w:rPr>
      </w:pPr>
      <w:hyperlink w:anchor="_Toc144213411" w:history="1">
        <w:r w:rsidR="00567A8D" w:rsidRPr="00D05AC8">
          <w:rPr>
            <w:rStyle w:val="Hyperlink"/>
          </w:rPr>
          <w:t>6.3.1</w:t>
        </w:r>
        <w:r w:rsidR="00567A8D">
          <w:rPr>
            <w:rFonts w:asciiTheme="minorHAnsi" w:eastAsiaTheme="minorEastAsia" w:hAnsiTheme="minorHAnsi" w:cstheme="minorBidi"/>
          </w:rPr>
          <w:tab/>
        </w:r>
        <w:r w:rsidR="00567A8D" w:rsidRPr="00D05AC8">
          <w:rPr>
            <w:rStyle w:val="Hyperlink"/>
          </w:rPr>
          <w:t>Discussion of alternative approaches</w:t>
        </w:r>
        <w:r w:rsidR="00567A8D">
          <w:rPr>
            <w:webHidden/>
          </w:rPr>
          <w:tab/>
        </w:r>
        <w:r w:rsidR="00567A8D">
          <w:rPr>
            <w:webHidden/>
          </w:rPr>
          <w:fldChar w:fldCharType="begin"/>
        </w:r>
        <w:r w:rsidR="00567A8D">
          <w:rPr>
            <w:webHidden/>
          </w:rPr>
          <w:instrText xml:space="preserve"> PAGEREF _Toc144213411 \h </w:instrText>
        </w:r>
        <w:r w:rsidR="00567A8D">
          <w:rPr>
            <w:webHidden/>
          </w:rPr>
        </w:r>
        <w:r w:rsidR="00567A8D">
          <w:rPr>
            <w:webHidden/>
          </w:rPr>
          <w:fldChar w:fldCharType="separate"/>
        </w:r>
        <w:r w:rsidR="007973DC">
          <w:rPr>
            <w:webHidden/>
          </w:rPr>
          <w:t>21</w:t>
        </w:r>
        <w:r w:rsidR="00567A8D">
          <w:rPr>
            <w:webHidden/>
          </w:rPr>
          <w:fldChar w:fldCharType="end"/>
        </w:r>
      </w:hyperlink>
    </w:p>
    <w:p w14:paraId="44886911" w14:textId="2E8A235C" w:rsidR="00567A8D" w:rsidRDefault="00B37467">
      <w:pPr>
        <w:pStyle w:val="TOC2"/>
        <w:rPr>
          <w:rFonts w:asciiTheme="minorHAnsi" w:eastAsiaTheme="minorEastAsia" w:hAnsiTheme="minorHAnsi" w:cstheme="minorBidi"/>
          <w:spacing w:val="0"/>
          <w:sz w:val="22"/>
          <w:szCs w:val="22"/>
        </w:rPr>
      </w:pPr>
      <w:hyperlink w:anchor="_Toc144213412" w:history="1">
        <w:r w:rsidR="00567A8D" w:rsidRPr="00D05AC8">
          <w:rPr>
            <w:rStyle w:val="Hyperlink"/>
          </w:rPr>
          <w:t>6.4</w:t>
        </w:r>
        <w:r w:rsidR="00567A8D">
          <w:rPr>
            <w:rFonts w:asciiTheme="minorHAnsi" w:eastAsiaTheme="minorEastAsia" w:hAnsiTheme="minorHAnsi" w:cstheme="minorBidi"/>
            <w:spacing w:val="0"/>
            <w:sz w:val="22"/>
            <w:szCs w:val="22"/>
          </w:rPr>
          <w:tab/>
        </w:r>
        <w:r w:rsidR="00567A8D" w:rsidRPr="00D05AC8">
          <w:rPr>
            <w:rStyle w:val="Hyperlink"/>
          </w:rPr>
          <w:t>Large NGSO satellite systems</w:t>
        </w:r>
        <w:r w:rsidR="00567A8D">
          <w:rPr>
            <w:webHidden/>
          </w:rPr>
          <w:tab/>
        </w:r>
        <w:r w:rsidR="00567A8D">
          <w:rPr>
            <w:webHidden/>
          </w:rPr>
          <w:fldChar w:fldCharType="begin"/>
        </w:r>
        <w:r w:rsidR="00567A8D">
          <w:rPr>
            <w:webHidden/>
          </w:rPr>
          <w:instrText xml:space="preserve"> PAGEREF _Toc144213412 \h </w:instrText>
        </w:r>
        <w:r w:rsidR="00567A8D">
          <w:rPr>
            <w:webHidden/>
          </w:rPr>
        </w:r>
        <w:r w:rsidR="00567A8D">
          <w:rPr>
            <w:webHidden/>
          </w:rPr>
          <w:fldChar w:fldCharType="separate"/>
        </w:r>
        <w:r w:rsidR="007973DC">
          <w:rPr>
            <w:webHidden/>
          </w:rPr>
          <w:t>22</w:t>
        </w:r>
        <w:r w:rsidR="00567A8D">
          <w:rPr>
            <w:webHidden/>
          </w:rPr>
          <w:fldChar w:fldCharType="end"/>
        </w:r>
      </w:hyperlink>
    </w:p>
    <w:p w14:paraId="40339AAD" w14:textId="1B2CCC50" w:rsidR="00567A8D" w:rsidRDefault="00B37467">
      <w:pPr>
        <w:pStyle w:val="TOC2"/>
        <w:rPr>
          <w:rFonts w:asciiTheme="minorHAnsi" w:eastAsiaTheme="minorEastAsia" w:hAnsiTheme="minorHAnsi" w:cstheme="minorBidi"/>
          <w:spacing w:val="0"/>
          <w:sz w:val="22"/>
          <w:szCs w:val="22"/>
        </w:rPr>
      </w:pPr>
      <w:hyperlink w:anchor="_Toc144213413" w:history="1">
        <w:r w:rsidR="00567A8D" w:rsidRPr="00D05AC8">
          <w:rPr>
            <w:rStyle w:val="Hyperlink"/>
          </w:rPr>
          <w:t>6.5</w:t>
        </w:r>
        <w:r w:rsidR="00567A8D">
          <w:rPr>
            <w:rFonts w:asciiTheme="minorHAnsi" w:eastAsiaTheme="minorEastAsia" w:hAnsiTheme="minorHAnsi" w:cstheme="minorBidi"/>
            <w:spacing w:val="0"/>
            <w:sz w:val="22"/>
            <w:szCs w:val="22"/>
          </w:rPr>
          <w:tab/>
        </w:r>
        <w:r w:rsidR="00567A8D" w:rsidRPr="00D05AC8">
          <w:rPr>
            <w:rStyle w:val="Hyperlink"/>
          </w:rPr>
          <w:t>Critical infrastructure</w:t>
        </w:r>
        <w:r w:rsidR="00567A8D">
          <w:rPr>
            <w:webHidden/>
          </w:rPr>
          <w:tab/>
        </w:r>
        <w:r w:rsidR="00567A8D">
          <w:rPr>
            <w:webHidden/>
          </w:rPr>
          <w:fldChar w:fldCharType="begin"/>
        </w:r>
        <w:r w:rsidR="00567A8D">
          <w:rPr>
            <w:webHidden/>
          </w:rPr>
          <w:instrText xml:space="preserve"> PAGEREF _Toc144213413 \h </w:instrText>
        </w:r>
        <w:r w:rsidR="00567A8D">
          <w:rPr>
            <w:webHidden/>
          </w:rPr>
        </w:r>
        <w:r w:rsidR="00567A8D">
          <w:rPr>
            <w:webHidden/>
          </w:rPr>
          <w:fldChar w:fldCharType="separate"/>
        </w:r>
        <w:r w:rsidR="007973DC">
          <w:rPr>
            <w:webHidden/>
          </w:rPr>
          <w:t>23</w:t>
        </w:r>
        <w:r w:rsidR="00567A8D">
          <w:rPr>
            <w:webHidden/>
          </w:rPr>
          <w:fldChar w:fldCharType="end"/>
        </w:r>
      </w:hyperlink>
    </w:p>
    <w:p w14:paraId="16C1AF19" w14:textId="68B70B1F" w:rsidR="00567A8D" w:rsidRDefault="00B37467">
      <w:pPr>
        <w:pStyle w:val="TOC2"/>
        <w:rPr>
          <w:rFonts w:asciiTheme="minorHAnsi" w:eastAsiaTheme="minorEastAsia" w:hAnsiTheme="minorHAnsi" w:cstheme="minorBidi"/>
          <w:spacing w:val="0"/>
          <w:sz w:val="22"/>
          <w:szCs w:val="22"/>
        </w:rPr>
      </w:pPr>
      <w:hyperlink w:anchor="_Toc144213414" w:history="1">
        <w:r w:rsidR="00567A8D" w:rsidRPr="00D05AC8">
          <w:rPr>
            <w:rStyle w:val="Hyperlink"/>
          </w:rPr>
          <w:t>6.6</w:t>
        </w:r>
        <w:r w:rsidR="00567A8D">
          <w:rPr>
            <w:rFonts w:asciiTheme="minorHAnsi" w:eastAsiaTheme="minorEastAsia" w:hAnsiTheme="minorHAnsi" w:cstheme="minorBidi"/>
            <w:spacing w:val="0"/>
            <w:sz w:val="22"/>
            <w:szCs w:val="22"/>
          </w:rPr>
          <w:tab/>
        </w:r>
        <w:r w:rsidR="00567A8D" w:rsidRPr="00D05AC8">
          <w:rPr>
            <w:rStyle w:val="Hyperlink"/>
          </w:rPr>
          <w:t>ITU cost recovery</w:t>
        </w:r>
        <w:r w:rsidR="00567A8D">
          <w:rPr>
            <w:webHidden/>
          </w:rPr>
          <w:tab/>
        </w:r>
        <w:r w:rsidR="00567A8D">
          <w:rPr>
            <w:webHidden/>
          </w:rPr>
          <w:fldChar w:fldCharType="begin"/>
        </w:r>
        <w:r w:rsidR="00567A8D">
          <w:rPr>
            <w:webHidden/>
          </w:rPr>
          <w:instrText xml:space="preserve"> PAGEREF _Toc144213414 \h </w:instrText>
        </w:r>
        <w:r w:rsidR="00567A8D">
          <w:rPr>
            <w:webHidden/>
          </w:rPr>
        </w:r>
        <w:r w:rsidR="00567A8D">
          <w:rPr>
            <w:webHidden/>
          </w:rPr>
          <w:fldChar w:fldCharType="separate"/>
        </w:r>
        <w:r w:rsidR="007973DC">
          <w:rPr>
            <w:webHidden/>
          </w:rPr>
          <w:t>23</w:t>
        </w:r>
        <w:r w:rsidR="00567A8D">
          <w:rPr>
            <w:webHidden/>
          </w:rPr>
          <w:fldChar w:fldCharType="end"/>
        </w:r>
      </w:hyperlink>
    </w:p>
    <w:p w14:paraId="1F671A2A" w14:textId="35D29B58" w:rsidR="00567A8D" w:rsidRDefault="00B37467">
      <w:pPr>
        <w:pStyle w:val="TOC2"/>
        <w:rPr>
          <w:rFonts w:asciiTheme="minorHAnsi" w:eastAsiaTheme="minorEastAsia" w:hAnsiTheme="minorHAnsi" w:cstheme="minorBidi"/>
          <w:spacing w:val="0"/>
          <w:sz w:val="22"/>
          <w:szCs w:val="22"/>
        </w:rPr>
      </w:pPr>
      <w:hyperlink w:anchor="_Toc144213415" w:history="1">
        <w:r w:rsidR="00567A8D" w:rsidRPr="00D05AC8">
          <w:rPr>
            <w:rStyle w:val="Hyperlink"/>
          </w:rPr>
          <w:t>6.7</w:t>
        </w:r>
        <w:r w:rsidR="00567A8D">
          <w:rPr>
            <w:rFonts w:asciiTheme="minorHAnsi" w:eastAsiaTheme="minorEastAsia" w:hAnsiTheme="minorHAnsi" w:cstheme="minorBidi"/>
            <w:spacing w:val="0"/>
            <w:sz w:val="22"/>
            <w:szCs w:val="22"/>
          </w:rPr>
          <w:tab/>
        </w:r>
        <w:r w:rsidR="00567A8D" w:rsidRPr="00D05AC8">
          <w:rPr>
            <w:rStyle w:val="Hyperlink"/>
          </w:rPr>
          <w:t>ITU Radio Regulations Board (RRB)</w:t>
        </w:r>
        <w:r w:rsidR="00567A8D">
          <w:rPr>
            <w:webHidden/>
          </w:rPr>
          <w:tab/>
        </w:r>
        <w:r w:rsidR="00567A8D">
          <w:rPr>
            <w:webHidden/>
          </w:rPr>
          <w:fldChar w:fldCharType="begin"/>
        </w:r>
        <w:r w:rsidR="00567A8D">
          <w:rPr>
            <w:webHidden/>
          </w:rPr>
          <w:instrText xml:space="preserve"> PAGEREF _Toc144213415 \h </w:instrText>
        </w:r>
        <w:r w:rsidR="00567A8D">
          <w:rPr>
            <w:webHidden/>
          </w:rPr>
        </w:r>
        <w:r w:rsidR="00567A8D">
          <w:rPr>
            <w:webHidden/>
          </w:rPr>
          <w:fldChar w:fldCharType="separate"/>
        </w:r>
        <w:r w:rsidR="007973DC">
          <w:rPr>
            <w:webHidden/>
          </w:rPr>
          <w:t>24</w:t>
        </w:r>
        <w:r w:rsidR="00567A8D">
          <w:rPr>
            <w:webHidden/>
          </w:rPr>
          <w:fldChar w:fldCharType="end"/>
        </w:r>
      </w:hyperlink>
    </w:p>
    <w:p w14:paraId="51638D0E" w14:textId="7BC8FE7F" w:rsidR="00567A8D" w:rsidRDefault="00B37467">
      <w:pPr>
        <w:pStyle w:val="TOC3"/>
        <w:tabs>
          <w:tab w:val="left" w:pos="885"/>
        </w:tabs>
        <w:rPr>
          <w:rFonts w:asciiTheme="minorHAnsi" w:eastAsiaTheme="minorEastAsia" w:hAnsiTheme="minorHAnsi" w:cstheme="minorBidi"/>
        </w:rPr>
      </w:pPr>
      <w:hyperlink w:anchor="_Toc144213416" w:history="1">
        <w:r w:rsidR="00567A8D" w:rsidRPr="00D05AC8">
          <w:rPr>
            <w:rStyle w:val="Hyperlink"/>
          </w:rPr>
          <w:t>6.7.1</w:t>
        </w:r>
        <w:r w:rsidR="00567A8D">
          <w:rPr>
            <w:rFonts w:asciiTheme="minorHAnsi" w:eastAsiaTheme="minorEastAsia" w:hAnsiTheme="minorHAnsi" w:cstheme="minorBidi"/>
          </w:rPr>
          <w:tab/>
        </w:r>
        <w:r w:rsidR="00567A8D" w:rsidRPr="00D05AC8">
          <w:rPr>
            <w:rStyle w:val="Hyperlink"/>
          </w:rPr>
          <w:t>Extension to bringing into use timelines</w:t>
        </w:r>
        <w:r w:rsidR="00567A8D">
          <w:rPr>
            <w:webHidden/>
          </w:rPr>
          <w:tab/>
        </w:r>
        <w:r w:rsidR="00567A8D">
          <w:rPr>
            <w:webHidden/>
          </w:rPr>
          <w:fldChar w:fldCharType="begin"/>
        </w:r>
        <w:r w:rsidR="00567A8D">
          <w:rPr>
            <w:webHidden/>
          </w:rPr>
          <w:instrText xml:space="preserve"> PAGEREF _Toc144213416 \h </w:instrText>
        </w:r>
        <w:r w:rsidR="00567A8D">
          <w:rPr>
            <w:webHidden/>
          </w:rPr>
        </w:r>
        <w:r w:rsidR="00567A8D">
          <w:rPr>
            <w:webHidden/>
          </w:rPr>
          <w:fldChar w:fldCharType="separate"/>
        </w:r>
        <w:r w:rsidR="007973DC">
          <w:rPr>
            <w:webHidden/>
          </w:rPr>
          <w:t>24</w:t>
        </w:r>
        <w:r w:rsidR="00567A8D">
          <w:rPr>
            <w:webHidden/>
          </w:rPr>
          <w:fldChar w:fldCharType="end"/>
        </w:r>
      </w:hyperlink>
    </w:p>
    <w:p w14:paraId="73273D15" w14:textId="5933A391" w:rsidR="00567A8D" w:rsidRDefault="00B37467">
      <w:pPr>
        <w:pStyle w:val="TOC3"/>
        <w:tabs>
          <w:tab w:val="left" w:pos="885"/>
        </w:tabs>
        <w:rPr>
          <w:rFonts w:asciiTheme="minorHAnsi" w:eastAsiaTheme="minorEastAsia" w:hAnsiTheme="minorHAnsi" w:cstheme="minorBidi"/>
        </w:rPr>
      </w:pPr>
      <w:hyperlink w:anchor="_Toc144213417" w:history="1">
        <w:r w:rsidR="00567A8D" w:rsidRPr="00D05AC8">
          <w:rPr>
            <w:rStyle w:val="Hyperlink"/>
          </w:rPr>
          <w:t>6.7.2</w:t>
        </w:r>
        <w:r w:rsidR="00567A8D">
          <w:rPr>
            <w:rFonts w:asciiTheme="minorHAnsi" w:eastAsiaTheme="minorEastAsia" w:hAnsiTheme="minorHAnsi" w:cstheme="minorBidi"/>
          </w:rPr>
          <w:tab/>
        </w:r>
        <w:r w:rsidR="00567A8D" w:rsidRPr="00D05AC8">
          <w:rPr>
            <w:rStyle w:val="Hyperlink"/>
          </w:rPr>
          <w:t>Satellite coordination difficulties and filing priority</w:t>
        </w:r>
        <w:r w:rsidR="00567A8D">
          <w:rPr>
            <w:webHidden/>
          </w:rPr>
          <w:tab/>
        </w:r>
        <w:r w:rsidR="00567A8D">
          <w:rPr>
            <w:webHidden/>
          </w:rPr>
          <w:fldChar w:fldCharType="begin"/>
        </w:r>
        <w:r w:rsidR="00567A8D">
          <w:rPr>
            <w:webHidden/>
          </w:rPr>
          <w:instrText xml:space="preserve"> PAGEREF _Toc144213417 \h </w:instrText>
        </w:r>
        <w:r w:rsidR="00567A8D">
          <w:rPr>
            <w:webHidden/>
          </w:rPr>
        </w:r>
        <w:r w:rsidR="00567A8D">
          <w:rPr>
            <w:webHidden/>
          </w:rPr>
          <w:fldChar w:fldCharType="separate"/>
        </w:r>
        <w:r w:rsidR="007973DC">
          <w:rPr>
            <w:webHidden/>
          </w:rPr>
          <w:t>25</w:t>
        </w:r>
        <w:r w:rsidR="00567A8D">
          <w:rPr>
            <w:webHidden/>
          </w:rPr>
          <w:fldChar w:fldCharType="end"/>
        </w:r>
      </w:hyperlink>
    </w:p>
    <w:p w14:paraId="435F3727" w14:textId="70F2CC4F" w:rsidR="00567A8D" w:rsidRDefault="00B37467">
      <w:pPr>
        <w:pStyle w:val="TOC3"/>
        <w:tabs>
          <w:tab w:val="left" w:pos="885"/>
        </w:tabs>
        <w:rPr>
          <w:rFonts w:asciiTheme="minorHAnsi" w:eastAsiaTheme="minorEastAsia" w:hAnsiTheme="minorHAnsi" w:cstheme="minorBidi"/>
        </w:rPr>
      </w:pPr>
      <w:hyperlink w:anchor="_Toc144213418" w:history="1">
        <w:r w:rsidR="00567A8D" w:rsidRPr="00D05AC8">
          <w:rPr>
            <w:rStyle w:val="Hyperlink"/>
          </w:rPr>
          <w:t>6.7.3</w:t>
        </w:r>
        <w:r w:rsidR="00567A8D">
          <w:rPr>
            <w:rFonts w:asciiTheme="minorHAnsi" w:eastAsiaTheme="minorEastAsia" w:hAnsiTheme="minorHAnsi" w:cstheme="minorBidi"/>
          </w:rPr>
          <w:tab/>
        </w:r>
        <w:r w:rsidR="00567A8D" w:rsidRPr="00D05AC8">
          <w:rPr>
            <w:rStyle w:val="Hyperlink"/>
          </w:rPr>
          <w:t>Status of WRC decisions recorded in WRC plenary minutes</w:t>
        </w:r>
        <w:r w:rsidR="00567A8D">
          <w:rPr>
            <w:webHidden/>
          </w:rPr>
          <w:tab/>
        </w:r>
        <w:r w:rsidR="00567A8D">
          <w:rPr>
            <w:webHidden/>
          </w:rPr>
          <w:fldChar w:fldCharType="begin"/>
        </w:r>
        <w:r w:rsidR="00567A8D">
          <w:rPr>
            <w:webHidden/>
          </w:rPr>
          <w:instrText xml:space="preserve"> PAGEREF _Toc144213418 \h </w:instrText>
        </w:r>
        <w:r w:rsidR="00567A8D">
          <w:rPr>
            <w:webHidden/>
          </w:rPr>
        </w:r>
        <w:r w:rsidR="00567A8D">
          <w:rPr>
            <w:webHidden/>
          </w:rPr>
          <w:fldChar w:fldCharType="separate"/>
        </w:r>
        <w:r w:rsidR="007973DC">
          <w:rPr>
            <w:webHidden/>
          </w:rPr>
          <w:t>25</w:t>
        </w:r>
        <w:r w:rsidR="00567A8D">
          <w:rPr>
            <w:webHidden/>
          </w:rPr>
          <w:fldChar w:fldCharType="end"/>
        </w:r>
      </w:hyperlink>
    </w:p>
    <w:p w14:paraId="36D3BBFE" w14:textId="126DF965" w:rsidR="00567A8D" w:rsidRDefault="00B37467">
      <w:pPr>
        <w:pStyle w:val="TOC3"/>
        <w:tabs>
          <w:tab w:val="left" w:pos="885"/>
        </w:tabs>
        <w:rPr>
          <w:rFonts w:asciiTheme="minorHAnsi" w:eastAsiaTheme="minorEastAsia" w:hAnsiTheme="minorHAnsi" w:cstheme="minorBidi"/>
        </w:rPr>
      </w:pPr>
      <w:hyperlink w:anchor="_Toc144213419" w:history="1">
        <w:r w:rsidR="00567A8D" w:rsidRPr="00D05AC8">
          <w:rPr>
            <w:rStyle w:val="Hyperlink"/>
          </w:rPr>
          <w:t>6.7.4</w:t>
        </w:r>
        <w:r w:rsidR="00567A8D">
          <w:rPr>
            <w:rFonts w:asciiTheme="minorHAnsi" w:eastAsiaTheme="minorEastAsia" w:hAnsiTheme="minorHAnsi" w:cstheme="minorBidi"/>
          </w:rPr>
          <w:tab/>
        </w:r>
        <w:r w:rsidR="00567A8D" w:rsidRPr="00D05AC8">
          <w:rPr>
            <w:rStyle w:val="Hyperlink"/>
          </w:rPr>
          <w:t>Equitable use of geostationary orbits and Resolution 40</w:t>
        </w:r>
        <w:r w:rsidR="00567A8D">
          <w:rPr>
            <w:webHidden/>
          </w:rPr>
          <w:tab/>
        </w:r>
        <w:r w:rsidR="00567A8D">
          <w:rPr>
            <w:webHidden/>
          </w:rPr>
          <w:fldChar w:fldCharType="begin"/>
        </w:r>
        <w:r w:rsidR="00567A8D">
          <w:rPr>
            <w:webHidden/>
          </w:rPr>
          <w:instrText xml:space="preserve"> PAGEREF _Toc144213419 \h </w:instrText>
        </w:r>
        <w:r w:rsidR="00567A8D">
          <w:rPr>
            <w:webHidden/>
          </w:rPr>
        </w:r>
        <w:r w:rsidR="00567A8D">
          <w:rPr>
            <w:webHidden/>
          </w:rPr>
          <w:fldChar w:fldCharType="separate"/>
        </w:r>
        <w:r w:rsidR="007973DC">
          <w:rPr>
            <w:webHidden/>
          </w:rPr>
          <w:t>25</w:t>
        </w:r>
        <w:r w:rsidR="00567A8D">
          <w:rPr>
            <w:webHidden/>
          </w:rPr>
          <w:fldChar w:fldCharType="end"/>
        </w:r>
      </w:hyperlink>
    </w:p>
    <w:p w14:paraId="73DFDD88" w14:textId="64FB57A9" w:rsidR="00567A8D" w:rsidRDefault="00B37467">
      <w:pPr>
        <w:pStyle w:val="TOC3"/>
        <w:tabs>
          <w:tab w:val="left" w:pos="885"/>
        </w:tabs>
        <w:rPr>
          <w:rFonts w:asciiTheme="minorHAnsi" w:eastAsiaTheme="minorEastAsia" w:hAnsiTheme="minorHAnsi" w:cstheme="minorBidi"/>
        </w:rPr>
      </w:pPr>
      <w:hyperlink w:anchor="_Toc144213420" w:history="1">
        <w:r w:rsidR="00567A8D" w:rsidRPr="00D05AC8">
          <w:rPr>
            <w:rStyle w:val="Hyperlink"/>
          </w:rPr>
          <w:t>6.7.5</w:t>
        </w:r>
        <w:r w:rsidR="00567A8D">
          <w:rPr>
            <w:rFonts w:asciiTheme="minorHAnsi" w:eastAsiaTheme="minorEastAsia" w:hAnsiTheme="minorHAnsi" w:cstheme="minorBidi"/>
          </w:rPr>
          <w:tab/>
        </w:r>
        <w:r w:rsidR="00567A8D" w:rsidRPr="00D05AC8">
          <w:rPr>
            <w:rStyle w:val="Hyperlink"/>
          </w:rPr>
          <w:t>Equitable use of non-geostationary orbit and spectrum resources</w:t>
        </w:r>
        <w:r w:rsidR="00567A8D">
          <w:rPr>
            <w:webHidden/>
          </w:rPr>
          <w:tab/>
        </w:r>
        <w:r w:rsidR="00567A8D">
          <w:rPr>
            <w:webHidden/>
          </w:rPr>
          <w:fldChar w:fldCharType="begin"/>
        </w:r>
        <w:r w:rsidR="00567A8D">
          <w:rPr>
            <w:webHidden/>
          </w:rPr>
          <w:instrText xml:space="preserve"> PAGEREF _Toc144213420 \h </w:instrText>
        </w:r>
        <w:r w:rsidR="00567A8D">
          <w:rPr>
            <w:webHidden/>
          </w:rPr>
        </w:r>
        <w:r w:rsidR="00567A8D">
          <w:rPr>
            <w:webHidden/>
          </w:rPr>
          <w:fldChar w:fldCharType="separate"/>
        </w:r>
        <w:r w:rsidR="007973DC">
          <w:rPr>
            <w:webHidden/>
          </w:rPr>
          <w:t>26</w:t>
        </w:r>
        <w:r w:rsidR="00567A8D">
          <w:rPr>
            <w:webHidden/>
          </w:rPr>
          <w:fldChar w:fldCharType="end"/>
        </w:r>
      </w:hyperlink>
    </w:p>
    <w:p w14:paraId="6E429793" w14:textId="2A413B19" w:rsidR="00567A8D" w:rsidRDefault="00B37467">
      <w:pPr>
        <w:pStyle w:val="TOC3"/>
        <w:tabs>
          <w:tab w:val="left" w:pos="885"/>
        </w:tabs>
        <w:rPr>
          <w:rFonts w:asciiTheme="minorHAnsi" w:eastAsiaTheme="minorEastAsia" w:hAnsiTheme="minorHAnsi" w:cstheme="minorBidi"/>
        </w:rPr>
      </w:pPr>
      <w:hyperlink w:anchor="_Toc144213421" w:history="1">
        <w:r w:rsidR="00567A8D" w:rsidRPr="00D05AC8">
          <w:rPr>
            <w:rStyle w:val="Hyperlink"/>
          </w:rPr>
          <w:t>6.7.6</w:t>
        </w:r>
        <w:r w:rsidR="00567A8D">
          <w:rPr>
            <w:rFonts w:asciiTheme="minorHAnsi" w:eastAsiaTheme="minorEastAsia" w:hAnsiTheme="minorHAnsi" w:cstheme="minorBidi"/>
          </w:rPr>
          <w:tab/>
        </w:r>
        <w:r w:rsidR="00567A8D" w:rsidRPr="00D05AC8">
          <w:rPr>
            <w:rStyle w:val="Hyperlink"/>
          </w:rPr>
          <w:t>Radio Regulation 4.4</w:t>
        </w:r>
        <w:r w:rsidR="00567A8D">
          <w:rPr>
            <w:webHidden/>
          </w:rPr>
          <w:tab/>
        </w:r>
        <w:r w:rsidR="00567A8D">
          <w:rPr>
            <w:webHidden/>
          </w:rPr>
          <w:fldChar w:fldCharType="begin"/>
        </w:r>
        <w:r w:rsidR="00567A8D">
          <w:rPr>
            <w:webHidden/>
          </w:rPr>
          <w:instrText xml:space="preserve"> PAGEREF _Toc144213421 \h </w:instrText>
        </w:r>
        <w:r w:rsidR="00567A8D">
          <w:rPr>
            <w:webHidden/>
          </w:rPr>
        </w:r>
        <w:r w:rsidR="00567A8D">
          <w:rPr>
            <w:webHidden/>
          </w:rPr>
          <w:fldChar w:fldCharType="separate"/>
        </w:r>
        <w:r w:rsidR="007973DC">
          <w:rPr>
            <w:webHidden/>
          </w:rPr>
          <w:t>27</w:t>
        </w:r>
        <w:r w:rsidR="00567A8D">
          <w:rPr>
            <w:webHidden/>
          </w:rPr>
          <w:fldChar w:fldCharType="end"/>
        </w:r>
      </w:hyperlink>
    </w:p>
    <w:p w14:paraId="0BBDD545" w14:textId="5313C8CB" w:rsidR="00567A8D" w:rsidRDefault="00B37467">
      <w:pPr>
        <w:pStyle w:val="TOC1"/>
        <w:tabs>
          <w:tab w:val="left" w:pos="885"/>
        </w:tabs>
        <w:rPr>
          <w:rFonts w:asciiTheme="minorHAnsi" w:eastAsiaTheme="minorEastAsia" w:hAnsiTheme="minorHAnsi" w:cstheme="minorBidi"/>
          <w:b w:val="0"/>
          <w:spacing w:val="0"/>
          <w:sz w:val="22"/>
          <w:szCs w:val="22"/>
        </w:rPr>
      </w:pPr>
      <w:hyperlink w:anchor="_Toc144213422" w:history="1">
        <w:r w:rsidR="00567A8D" w:rsidRPr="00D05AC8">
          <w:rPr>
            <w:rStyle w:val="Hyperlink"/>
          </w:rPr>
          <w:t>7</w:t>
        </w:r>
        <w:r w:rsidR="00567A8D">
          <w:rPr>
            <w:rFonts w:asciiTheme="minorHAnsi" w:eastAsiaTheme="minorEastAsia" w:hAnsiTheme="minorHAnsi" w:cstheme="minorBidi"/>
            <w:b w:val="0"/>
            <w:spacing w:val="0"/>
            <w:sz w:val="22"/>
            <w:szCs w:val="22"/>
          </w:rPr>
          <w:tab/>
        </w:r>
        <w:r w:rsidR="00567A8D" w:rsidRPr="00D05AC8">
          <w:rPr>
            <w:rStyle w:val="Hyperlink"/>
          </w:rPr>
          <w:t>Invitation to comment</w:t>
        </w:r>
        <w:r w:rsidR="00567A8D">
          <w:rPr>
            <w:webHidden/>
          </w:rPr>
          <w:tab/>
        </w:r>
        <w:r w:rsidR="00567A8D">
          <w:rPr>
            <w:webHidden/>
          </w:rPr>
          <w:fldChar w:fldCharType="begin"/>
        </w:r>
        <w:r w:rsidR="00567A8D">
          <w:rPr>
            <w:webHidden/>
          </w:rPr>
          <w:instrText xml:space="preserve"> PAGEREF _Toc144213422 \h </w:instrText>
        </w:r>
        <w:r w:rsidR="00567A8D">
          <w:rPr>
            <w:webHidden/>
          </w:rPr>
        </w:r>
        <w:r w:rsidR="00567A8D">
          <w:rPr>
            <w:webHidden/>
          </w:rPr>
          <w:fldChar w:fldCharType="separate"/>
        </w:r>
        <w:r w:rsidR="007973DC">
          <w:rPr>
            <w:webHidden/>
          </w:rPr>
          <w:t>29</w:t>
        </w:r>
        <w:r w:rsidR="00567A8D">
          <w:rPr>
            <w:webHidden/>
          </w:rPr>
          <w:fldChar w:fldCharType="end"/>
        </w:r>
      </w:hyperlink>
    </w:p>
    <w:p w14:paraId="0CAB7D14" w14:textId="77D2C122" w:rsidR="00567A8D" w:rsidRDefault="00B37467">
      <w:pPr>
        <w:pStyle w:val="TOC2"/>
        <w:rPr>
          <w:rFonts w:asciiTheme="minorHAnsi" w:eastAsiaTheme="minorEastAsia" w:hAnsiTheme="minorHAnsi" w:cstheme="minorBidi"/>
          <w:spacing w:val="0"/>
          <w:sz w:val="22"/>
          <w:szCs w:val="22"/>
        </w:rPr>
      </w:pPr>
      <w:hyperlink w:anchor="_Toc144213423" w:history="1">
        <w:r w:rsidR="00567A8D" w:rsidRPr="00D05AC8">
          <w:rPr>
            <w:rStyle w:val="Hyperlink"/>
          </w:rPr>
          <w:t>7.1</w:t>
        </w:r>
        <w:r w:rsidR="00567A8D">
          <w:rPr>
            <w:rFonts w:asciiTheme="minorHAnsi" w:eastAsiaTheme="minorEastAsia" w:hAnsiTheme="minorHAnsi" w:cstheme="minorBidi"/>
            <w:spacing w:val="0"/>
            <w:sz w:val="22"/>
            <w:szCs w:val="22"/>
          </w:rPr>
          <w:tab/>
        </w:r>
        <w:r w:rsidR="00567A8D" w:rsidRPr="00D05AC8">
          <w:rPr>
            <w:rStyle w:val="Hyperlink"/>
          </w:rPr>
          <w:t>Making a submission</w:t>
        </w:r>
        <w:r w:rsidR="00567A8D">
          <w:rPr>
            <w:webHidden/>
          </w:rPr>
          <w:tab/>
        </w:r>
        <w:r w:rsidR="00567A8D">
          <w:rPr>
            <w:webHidden/>
          </w:rPr>
          <w:fldChar w:fldCharType="begin"/>
        </w:r>
        <w:r w:rsidR="00567A8D">
          <w:rPr>
            <w:webHidden/>
          </w:rPr>
          <w:instrText xml:space="preserve"> PAGEREF _Toc144213423 \h </w:instrText>
        </w:r>
        <w:r w:rsidR="00567A8D">
          <w:rPr>
            <w:webHidden/>
          </w:rPr>
        </w:r>
        <w:r w:rsidR="00567A8D">
          <w:rPr>
            <w:webHidden/>
          </w:rPr>
          <w:fldChar w:fldCharType="separate"/>
        </w:r>
        <w:r w:rsidR="007973DC">
          <w:rPr>
            <w:webHidden/>
          </w:rPr>
          <w:t>29</w:t>
        </w:r>
        <w:r w:rsidR="00567A8D">
          <w:rPr>
            <w:webHidden/>
          </w:rPr>
          <w:fldChar w:fldCharType="end"/>
        </w:r>
      </w:hyperlink>
    </w:p>
    <w:p w14:paraId="29EA26E8" w14:textId="1818B1BA" w:rsidR="00567A8D" w:rsidRDefault="00B37467">
      <w:pPr>
        <w:pStyle w:val="TOC2"/>
        <w:rPr>
          <w:rFonts w:asciiTheme="minorHAnsi" w:eastAsiaTheme="minorEastAsia" w:hAnsiTheme="minorHAnsi" w:cstheme="minorBidi"/>
          <w:spacing w:val="0"/>
          <w:sz w:val="22"/>
          <w:szCs w:val="22"/>
        </w:rPr>
      </w:pPr>
      <w:hyperlink w:anchor="_Toc144213424" w:history="1">
        <w:r w:rsidR="00567A8D" w:rsidRPr="00D05AC8">
          <w:rPr>
            <w:rStyle w:val="Hyperlink"/>
          </w:rPr>
          <w:t>7.2</w:t>
        </w:r>
        <w:r w:rsidR="00567A8D">
          <w:rPr>
            <w:rFonts w:asciiTheme="minorHAnsi" w:eastAsiaTheme="minorEastAsia" w:hAnsiTheme="minorHAnsi" w:cstheme="minorBidi"/>
            <w:spacing w:val="0"/>
            <w:sz w:val="22"/>
            <w:szCs w:val="22"/>
          </w:rPr>
          <w:tab/>
        </w:r>
        <w:r w:rsidR="00567A8D" w:rsidRPr="00D05AC8">
          <w:rPr>
            <w:rStyle w:val="Hyperlink"/>
          </w:rPr>
          <w:t>Publication of submissions</w:t>
        </w:r>
        <w:r w:rsidR="00567A8D">
          <w:rPr>
            <w:webHidden/>
          </w:rPr>
          <w:tab/>
        </w:r>
        <w:r w:rsidR="00567A8D">
          <w:rPr>
            <w:webHidden/>
          </w:rPr>
          <w:fldChar w:fldCharType="begin"/>
        </w:r>
        <w:r w:rsidR="00567A8D">
          <w:rPr>
            <w:webHidden/>
          </w:rPr>
          <w:instrText xml:space="preserve"> PAGEREF _Toc144213424 \h </w:instrText>
        </w:r>
        <w:r w:rsidR="00567A8D">
          <w:rPr>
            <w:webHidden/>
          </w:rPr>
        </w:r>
        <w:r w:rsidR="00567A8D">
          <w:rPr>
            <w:webHidden/>
          </w:rPr>
          <w:fldChar w:fldCharType="separate"/>
        </w:r>
        <w:r w:rsidR="007973DC">
          <w:rPr>
            <w:webHidden/>
          </w:rPr>
          <w:t>29</w:t>
        </w:r>
        <w:r w:rsidR="00567A8D">
          <w:rPr>
            <w:webHidden/>
          </w:rPr>
          <w:fldChar w:fldCharType="end"/>
        </w:r>
      </w:hyperlink>
    </w:p>
    <w:p w14:paraId="16E3666E" w14:textId="6F3710F5" w:rsidR="00567A8D" w:rsidRDefault="00B37467">
      <w:pPr>
        <w:pStyle w:val="TOC2"/>
        <w:rPr>
          <w:rFonts w:asciiTheme="minorHAnsi" w:eastAsiaTheme="minorEastAsia" w:hAnsiTheme="minorHAnsi" w:cstheme="minorBidi"/>
          <w:spacing w:val="0"/>
          <w:sz w:val="22"/>
          <w:szCs w:val="22"/>
        </w:rPr>
      </w:pPr>
      <w:hyperlink w:anchor="_Toc144213425" w:history="1">
        <w:r w:rsidR="00567A8D" w:rsidRPr="00D05AC8">
          <w:rPr>
            <w:rStyle w:val="Hyperlink"/>
          </w:rPr>
          <w:t>7.3</w:t>
        </w:r>
        <w:r w:rsidR="00567A8D">
          <w:rPr>
            <w:rFonts w:asciiTheme="minorHAnsi" w:eastAsiaTheme="minorEastAsia" w:hAnsiTheme="minorHAnsi" w:cstheme="minorBidi"/>
            <w:spacing w:val="0"/>
            <w:sz w:val="22"/>
            <w:szCs w:val="22"/>
          </w:rPr>
          <w:tab/>
        </w:r>
        <w:r w:rsidR="00567A8D" w:rsidRPr="00D05AC8">
          <w:rPr>
            <w:rStyle w:val="Hyperlink"/>
          </w:rPr>
          <w:t>Privacy</w:t>
        </w:r>
        <w:r w:rsidR="00567A8D">
          <w:rPr>
            <w:webHidden/>
          </w:rPr>
          <w:tab/>
        </w:r>
        <w:r w:rsidR="00567A8D">
          <w:rPr>
            <w:webHidden/>
          </w:rPr>
          <w:fldChar w:fldCharType="begin"/>
        </w:r>
        <w:r w:rsidR="00567A8D">
          <w:rPr>
            <w:webHidden/>
          </w:rPr>
          <w:instrText xml:space="preserve"> PAGEREF _Toc144213425 \h </w:instrText>
        </w:r>
        <w:r w:rsidR="00567A8D">
          <w:rPr>
            <w:webHidden/>
          </w:rPr>
        </w:r>
        <w:r w:rsidR="00567A8D">
          <w:rPr>
            <w:webHidden/>
          </w:rPr>
          <w:fldChar w:fldCharType="separate"/>
        </w:r>
        <w:r w:rsidR="007973DC">
          <w:rPr>
            <w:webHidden/>
          </w:rPr>
          <w:t>29</w:t>
        </w:r>
        <w:r w:rsidR="00567A8D">
          <w:rPr>
            <w:webHidden/>
          </w:rPr>
          <w:fldChar w:fldCharType="end"/>
        </w:r>
      </w:hyperlink>
    </w:p>
    <w:p w14:paraId="5BAF16E0" w14:textId="2CDD3CC4" w:rsidR="004D56FF" w:rsidRPr="00E162C4" w:rsidRDefault="00E73F7C" w:rsidP="007D6D29">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4ADAA2DA" w14:textId="4C3F7BE4" w:rsidR="00860386" w:rsidRDefault="00860386" w:rsidP="008660EE">
      <w:pPr>
        <w:pStyle w:val="Execsummaryheading"/>
      </w:pPr>
      <w:bookmarkStart w:id="0" w:name="_Toc144213378"/>
      <w:bookmarkStart w:id="1" w:name="_Toc136440197"/>
      <w:r w:rsidRPr="008660EE">
        <w:lastRenderedPageBreak/>
        <w:t>Executive</w:t>
      </w:r>
      <w:r>
        <w:t xml:space="preserve"> summary</w:t>
      </w:r>
      <w:bookmarkEnd w:id="0"/>
      <w:r>
        <w:t xml:space="preserve"> </w:t>
      </w:r>
    </w:p>
    <w:p w14:paraId="40A666C1" w14:textId="5337747E" w:rsidR="00860386" w:rsidRDefault="00860386" w:rsidP="00860386">
      <w:pPr>
        <w:pStyle w:val="Paragraph"/>
      </w:pPr>
      <w:r>
        <w:rPr>
          <w:rStyle w:val="normaltextrun"/>
          <w:color w:val="000000"/>
          <w:szCs w:val="20"/>
          <w:shd w:val="clear" w:color="auto" w:fill="FFFFFF"/>
        </w:rPr>
        <w:t>Before operating a satellite system, the technical details of the satellite system must be filed with the International Telecommunication Union (</w:t>
      </w:r>
      <w:hyperlink r:id="rId24" w:history="1">
        <w:r w:rsidRPr="00AE43DB">
          <w:rPr>
            <w:rStyle w:val="Hyperlink"/>
            <w:szCs w:val="20"/>
            <w:shd w:val="clear" w:color="auto" w:fill="FFFFFF"/>
          </w:rPr>
          <w:t>ITU</w:t>
        </w:r>
      </w:hyperlink>
      <w:r>
        <w:rPr>
          <w:rStyle w:val="normaltextrun"/>
          <w:color w:val="000000"/>
          <w:szCs w:val="20"/>
          <w:shd w:val="clear" w:color="auto" w:fill="FFFFFF"/>
        </w:rPr>
        <w:t xml:space="preserve">) by an ITU Member State. </w:t>
      </w:r>
      <w:r w:rsidR="00D31244">
        <w:t>In Australia</w:t>
      </w:r>
      <w:r w:rsidR="00557032">
        <w:t>,</w:t>
      </w:r>
      <w:r w:rsidR="00D31244">
        <w:t xml:space="preserve"> the </w:t>
      </w:r>
      <w:r w:rsidR="00831012">
        <w:t>Australian Communications and Media Authority (</w:t>
      </w:r>
      <w:r w:rsidR="00D31244" w:rsidRPr="00F44667">
        <w:t>ACMA</w:t>
      </w:r>
      <w:r w:rsidR="00FB0846">
        <w:t>)</w:t>
      </w:r>
      <w:r w:rsidR="00D31244" w:rsidRPr="00F44667">
        <w:t xml:space="preserve"> acts as the Australian administration for the ITU’s</w:t>
      </w:r>
      <w:r w:rsidR="00D31244">
        <w:t xml:space="preserve"> satellite filing process</w:t>
      </w:r>
      <w:r w:rsidR="00D31244" w:rsidRPr="00F44667">
        <w:t>.</w:t>
      </w:r>
      <w:r w:rsidR="00D31244">
        <w:t xml:space="preserve"> </w:t>
      </w:r>
      <w:r w:rsidR="00954556">
        <w:t>We assess r</w:t>
      </w:r>
      <w:r>
        <w:rPr>
          <w:rStyle w:val="normaltextrun"/>
          <w:color w:val="000000"/>
          <w:szCs w:val="20"/>
          <w:shd w:val="clear" w:color="auto" w:fill="FFFFFF"/>
        </w:rPr>
        <w:t>equests to file satellite system</w:t>
      </w:r>
      <w:r w:rsidR="000C6390">
        <w:rPr>
          <w:rStyle w:val="normaltextrun"/>
          <w:color w:val="000000"/>
          <w:szCs w:val="20"/>
          <w:shd w:val="clear" w:color="auto" w:fill="FFFFFF"/>
        </w:rPr>
        <w:t>s</w:t>
      </w:r>
      <w:r>
        <w:rPr>
          <w:rStyle w:val="normaltextrun"/>
          <w:color w:val="000000"/>
          <w:szCs w:val="20"/>
          <w:shd w:val="clear" w:color="auto" w:fill="FFFFFF"/>
        </w:rPr>
        <w:t xml:space="preserve"> with the ITU</w:t>
      </w:r>
      <w:r w:rsidR="00954556">
        <w:rPr>
          <w:rStyle w:val="normaltextrun"/>
          <w:color w:val="000000"/>
          <w:szCs w:val="20"/>
          <w:shd w:val="clear" w:color="auto" w:fill="FFFFFF"/>
        </w:rPr>
        <w:t xml:space="preserve"> </w:t>
      </w:r>
      <w:r>
        <w:rPr>
          <w:rStyle w:val="normaltextrun"/>
          <w:color w:val="000000"/>
          <w:szCs w:val="20"/>
          <w:shd w:val="clear" w:color="auto" w:fill="FFFFFF"/>
        </w:rPr>
        <w:t xml:space="preserve">in accordance with the </w:t>
      </w:r>
      <w:hyperlink r:id="rId25" w:tgtFrame="_blank" w:history="1">
        <w:r w:rsidRPr="00F96077">
          <w:rPr>
            <w:rStyle w:val="normaltextrun"/>
            <w:i/>
            <w:iCs/>
            <w:color w:val="0000FF"/>
            <w:szCs w:val="20"/>
            <w:u w:val="single"/>
            <w:shd w:val="clear" w:color="auto" w:fill="FFFFFF"/>
          </w:rPr>
          <w:t>Australian procedures for the coordination and notification of satellite systems</w:t>
        </w:r>
      </w:hyperlink>
      <w:r>
        <w:t xml:space="preserve"> (referred to in this document as the Australian satellite filing procedures or filing procedures)</w:t>
      </w:r>
      <w:r>
        <w:rPr>
          <w:rStyle w:val="normaltextrun"/>
          <w:color w:val="000000"/>
          <w:szCs w:val="20"/>
          <w:shd w:val="clear" w:color="auto" w:fill="FFFFFF"/>
        </w:rPr>
        <w:t>.</w:t>
      </w:r>
      <w:r w:rsidRPr="0072786C">
        <w:t xml:space="preserve"> </w:t>
      </w:r>
    </w:p>
    <w:p w14:paraId="4AC0C09F" w14:textId="24EF5876" w:rsidR="00860386" w:rsidRDefault="0035205E" w:rsidP="00FB0846">
      <w:pPr>
        <w:pStyle w:val="Paragraph"/>
      </w:pPr>
      <w:r>
        <w:t xml:space="preserve">While </w:t>
      </w:r>
      <w:r w:rsidR="00366BEC">
        <w:t>still functional, t</w:t>
      </w:r>
      <w:r w:rsidR="00860386">
        <w:t xml:space="preserve">he filing procedures </w:t>
      </w:r>
      <w:r w:rsidR="00860386" w:rsidRPr="009E23FF">
        <w:t>w</w:t>
      </w:r>
      <w:r w:rsidR="00860386">
        <w:t>ere</w:t>
      </w:r>
      <w:r w:rsidR="00860386" w:rsidRPr="009E23FF">
        <w:t xml:space="preserve"> </w:t>
      </w:r>
      <w:r w:rsidR="00860386">
        <w:t>last updated in 2011</w:t>
      </w:r>
      <w:r w:rsidR="00B55D9C" w:rsidRPr="00B55D9C">
        <w:t xml:space="preserve"> </w:t>
      </w:r>
      <w:r w:rsidR="00B55D9C">
        <w:t xml:space="preserve">and we consider it timely to once again review them to ensure they </w:t>
      </w:r>
      <w:r w:rsidR="00B55D9C" w:rsidRPr="00333B40">
        <w:t>provide a flexible</w:t>
      </w:r>
      <w:r w:rsidR="00B55D9C">
        <w:t>,</w:t>
      </w:r>
      <w:r w:rsidR="00B55D9C" w:rsidRPr="00333B40">
        <w:t xml:space="preserve"> contemporary approach that supports </w:t>
      </w:r>
      <w:r w:rsidR="00B55D9C">
        <w:t>Australian satellite operators.</w:t>
      </w:r>
      <w:r w:rsidR="00860386">
        <w:rPr>
          <w:rStyle w:val="FootnoteReference"/>
          <w:bCs/>
        </w:rPr>
        <w:footnoteReference w:id="2"/>
      </w:r>
      <w:r w:rsidR="00860386">
        <w:t xml:space="preserve"> </w:t>
      </w:r>
    </w:p>
    <w:p w14:paraId="5FAA6AAD" w14:textId="01EAB735" w:rsidR="00860386" w:rsidRDefault="008F6CB7" w:rsidP="00860386">
      <w:r>
        <w:t>T</w:t>
      </w:r>
      <w:r>
        <w:rPr>
          <w:rFonts w:cs="Arial"/>
        </w:rPr>
        <w:t>his paper outlines proposed changes to the filing procedures</w:t>
      </w:r>
      <w:r w:rsidR="00B55D9C">
        <w:rPr>
          <w:rFonts w:cs="Arial"/>
        </w:rPr>
        <w:t>,</w:t>
      </w:r>
      <w:r>
        <w:rPr>
          <w:rFonts w:cs="Arial"/>
        </w:rPr>
        <w:t xml:space="preserve"> which are intended to improve the </w:t>
      </w:r>
      <w:r w:rsidR="005771DA">
        <w:t xml:space="preserve">clarity and </w:t>
      </w:r>
      <w:r w:rsidR="005771DA" w:rsidRPr="007C235D">
        <w:t>readability</w:t>
      </w:r>
      <w:r w:rsidR="005771DA">
        <w:t xml:space="preserve"> of the procedures and </w:t>
      </w:r>
      <w:r w:rsidR="00E656F6">
        <w:t xml:space="preserve">to ensure </w:t>
      </w:r>
      <w:r w:rsidR="00132B11">
        <w:t>they</w:t>
      </w:r>
      <w:r w:rsidR="005771DA">
        <w:t xml:space="preserve"> are more reflective of </w:t>
      </w:r>
      <w:r w:rsidR="006337D0">
        <w:t xml:space="preserve">the </w:t>
      </w:r>
      <w:r w:rsidR="005771DA">
        <w:t>current regulatory environment and industry practices.</w:t>
      </w:r>
      <w:r w:rsidR="007B655B">
        <w:t xml:space="preserve"> </w:t>
      </w:r>
      <w:r w:rsidR="006227A7">
        <w:t xml:space="preserve">This paper </w:t>
      </w:r>
      <w:r w:rsidR="00860386">
        <w:t xml:space="preserve">also explores environmental, policy and regulatory matters that might </w:t>
      </w:r>
      <w:r>
        <w:t>inform</w:t>
      </w:r>
      <w:r w:rsidR="00860386">
        <w:t xml:space="preserve"> future changes to our approach to satellite filing and to</w:t>
      </w:r>
      <w:r w:rsidR="00B55D9C">
        <w:t xml:space="preserve"> the</w:t>
      </w:r>
      <w:r w:rsidR="00860386">
        <w:t xml:space="preserve"> licensing of </w:t>
      </w:r>
      <w:r w:rsidR="00B55D9C">
        <w:t>space-</w:t>
      </w:r>
      <w:r w:rsidR="00860386">
        <w:t xml:space="preserve">based communication systems.  </w:t>
      </w:r>
    </w:p>
    <w:p w14:paraId="27CB63AA" w14:textId="10F312AC" w:rsidR="00860386" w:rsidRDefault="00F15607" w:rsidP="000C3C85">
      <w:pPr>
        <w:pStyle w:val="Paragraphbeforelist"/>
      </w:pPr>
      <w:r>
        <w:t>In brief</w:t>
      </w:r>
      <w:r w:rsidR="00274C3B">
        <w:t>,</w:t>
      </w:r>
      <w:r w:rsidR="006F2627">
        <w:t xml:space="preserve"> </w:t>
      </w:r>
      <w:r w:rsidR="002E00FC">
        <w:t xml:space="preserve">changes </w:t>
      </w:r>
      <w:r w:rsidR="004F0F01">
        <w:t xml:space="preserve">are proposed </w:t>
      </w:r>
      <w:r w:rsidR="00527338">
        <w:t>to:</w:t>
      </w:r>
    </w:p>
    <w:p w14:paraId="40BB2B0D" w14:textId="005BC4C5" w:rsidR="00860386" w:rsidRDefault="00B55D9C" w:rsidP="007C235D">
      <w:pPr>
        <w:pStyle w:val="ListBullet"/>
      </w:pPr>
      <w:r>
        <w:t>i</w:t>
      </w:r>
      <w:r w:rsidR="00860386">
        <w:t>mprov</w:t>
      </w:r>
      <w:r w:rsidR="006F2627">
        <w:t>e</w:t>
      </w:r>
      <w:r w:rsidR="00860386">
        <w:t xml:space="preserve"> clarity and </w:t>
      </w:r>
      <w:r w:rsidR="000C3C85" w:rsidRPr="007C235D">
        <w:t>readability</w:t>
      </w:r>
      <w:r w:rsidR="000C3C85">
        <w:t xml:space="preserve"> of the </w:t>
      </w:r>
      <w:r w:rsidR="004F0279">
        <w:t xml:space="preserve">filing </w:t>
      </w:r>
      <w:r w:rsidR="000C3C85">
        <w:t>procedures</w:t>
      </w:r>
      <w:r w:rsidR="00860386">
        <w:t xml:space="preserve"> </w:t>
      </w:r>
    </w:p>
    <w:p w14:paraId="676F77B3" w14:textId="01657321" w:rsidR="00860386" w:rsidRDefault="00B55D9C" w:rsidP="00860386">
      <w:pPr>
        <w:pStyle w:val="ListBullet"/>
      </w:pPr>
      <w:r>
        <w:t>p</w:t>
      </w:r>
      <w:r w:rsidR="003B6D7E">
        <w:t xml:space="preserve">rovide clarity on </w:t>
      </w:r>
      <w:r w:rsidR="00274C3B">
        <w:t xml:space="preserve">the </w:t>
      </w:r>
      <w:r w:rsidR="00860386">
        <w:t>ongoing obligation</w:t>
      </w:r>
      <w:r w:rsidR="00274C3B">
        <w:t>s</w:t>
      </w:r>
      <w:r w:rsidR="00860386">
        <w:t xml:space="preserve"> </w:t>
      </w:r>
      <w:r w:rsidR="00274C3B">
        <w:t>of</w:t>
      </w:r>
      <w:r w:rsidR="00860386">
        <w:t xml:space="preserve"> satellite operators</w:t>
      </w:r>
    </w:p>
    <w:p w14:paraId="3A4FF009" w14:textId="5CE6E822" w:rsidR="00860386" w:rsidRPr="0090602D" w:rsidRDefault="00B55D9C" w:rsidP="00C66F47">
      <w:pPr>
        <w:pStyle w:val="ListBullet"/>
        <w:rPr>
          <w:rFonts w:ascii="Calibri" w:hAnsi="Calibri"/>
        </w:rPr>
      </w:pPr>
      <w:r>
        <w:t>i</w:t>
      </w:r>
      <w:r w:rsidR="00860386">
        <w:t xml:space="preserve">ntroduce a new option for the assessment of </w:t>
      </w:r>
      <w:r w:rsidR="00CF62EF">
        <w:t>short-duration mission</w:t>
      </w:r>
      <w:r w:rsidR="00860386">
        <w:t xml:space="preserve"> applications</w:t>
      </w:r>
    </w:p>
    <w:p w14:paraId="330F4606" w14:textId="21643C2E" w:rsidR="003D7BC2" w:rsidRPr="003D7BC2" w:rsidRDefault="00B55D9C">
      <w:pPr>
        <w:pStyle w:val="ListBullet"/>
        <w:rPr>
          <w:rFonts w:ascii="Calibri" w:hAnsi="Calibri"/>
        </w:rPr>
      </w:pPr>
      <w:r>
        <w:t>u</w:t>
      </w:r>
      <w:r w:rsidR="00284E32">
        <w:t>pdate t</w:t>
      </w:r>
      <w:r w:rsidR="00994A9D">
        <w:t>he a</w:t>
      </w:r>
      <w:r w:rsidR="00860386">
        <w:t>ssessment criteria</w:t>
      </w:r>
      <w:r w:rsidR="00514528">
        <w:t xml:space="preserve"> </w:t>
      </w:r>
      <w:r w:rsidR="001C4BC0">
        <w:t>for new filing applications</w:t>
      </w:r>
      <w:r w:rsidR="00994A9D">
        <w:t>, with the m</w:t>
      </w:r>
      <w:r w:rsidR="00404F5B">
        <w:t>ore</w:t>
      </w:r>
      <w:r w:rsidR="00101930">
        <w:t xml:space="preserve"> </w:t>
      </w:r>
      <w:r w:rsidR="00541BD3">
        <w:t>substantial</w:t>
      </w:r>
      <w:r w:rsidR="00101930">
        <w:t xml:space="preserve"> </w:t>
      </w:r>
      <w:r w:rsidR="00E07DF0">
        <w:t>changes</w:t>
      </w:r>
      <w:r w:rsidR="00541BD3">
        <w:t xml:space="preserve"> </w:t>
      </w:r>
      <w:r w:rsidR="00994A9D">
        <w:t>being</w:t>
      </w:r>
      <w:r w:rsidR="003D7BC2">
        <w:t>:</w:t>
      </w:r>
    </w:p>
    <w:p w14:paraId="3BA1FFE5" w14:textId="5A27A1CC" w:rsidR="002167FB" w:rsidRPr="002167FB" w:rsidRDefault="009F6CAD" w:rsidP="003D7BC2">
      <w:pPr>
        <w:pStyle w:val="Bulletlevel2"/>
        <w:rPr>
          <w:rFonts w:ascii="Calibri" w:hAnsi="Calibri"/>
        </w:rPr>
      </w:pPr>
      <w:r>
        <w:t xml:space="preserve">seeking </w:t>
      </w:r>
      <w:r w:rsidR="00C22344">
        <w:t xml:space="preserve">assurances that the applicant </w:t>
      </w:r>
      <w:r w:rsidR="00274E56">
        <w:t xml:space="preserve">(when associated with </w:t>
      </w:r>
      <w:r w:rsidR="00C80507">
        <w:t>a foreign entity</w:t>
      </w:r>
      <w:r w:rsidR="00274E56">
        <w:t xml:space="preserve">) </w:t>
      </w:r>
      <w:r w:rsidR="00C22344">
        <w:t xml:space="preserve">has </w:t>
      </w:r>
      <w:r w:rsidR="00C80507">
        <w:t xml:space="preserve">a process </w:t>
      </w:r>
      <w:r w:rsidR="00D70250">
        <w:t>in place</w:t>
      </w:r>
      <w:r w:rsidR="001C7CD0">
        <w:t xml:space="preserve"> to ensure </w:t>
      </w:r>
      <w:r w:rsidR="00C22344" w:rsidRPr="00A300E3">
        <w:t>confidential Australia</w:t>
      </w:r>
      <w:r w:rsidR="001A14AF">
        <w:t>n</w:t>
      </w:r>
      <w:r w:rsidR="00C22344" w:rsidRPr="00A300E3">
        <w:t xml:space="preserve"> satellite information </w:t>
      </w:r>
      <w:r w:rsidR="00C22344">
        <w:t xml:space="preserve">remains in the </w:t>
      </w:r>
      <w:r w:rsidR="00613486">
        <w:t xml:space="preserve">applicant as an </w:t>
      </w:r>
      <w:r w:rsidR="00C22344">
        <w:t xml:space="preserve">Australian </w:t>
      </w:r>
      <w:r w:rsidR="000B4E7D">
        <w:t xml:space="preserve">entity </w:t>
      </w:r>
      <w:r w:rsidR="00D41FFC">
        <w:t>(</w:t>
      </w:r>
      <w:r w:rsidR="001A2F4E">
        <w:t>under the ‘</w:t>
      </w:r>
      <w:r w:rsidR="00645C67">
        <w:t>Australian jurisdiction</w:t>
      </w:r>
      <w:r w:rsidR="001A2F4E">
        <w:t>’ assessment</w:t>
      </w:r>
      <w:r w:rsidR="00B52BF9">
        <w:t xml:space="preserve"> criterion</w:t>
      </w:r>
      <w:r w:rsidR="005D51ED">
        <w:t>)</w:t>
      </w:r>
    </w:p>
    <w:p w14:paraId="7B69053C" w14:textId="1D656803" w:rsidR="00645C67" w:rsidRPr="00CE29FA" w:rsidRDefault="002167FB" w:rsidP="003D7BC2">
      <w:pPr>
        <w:pStyle w:val="Bulletlevel2"/>
        <w:rPr>
          <w:rFonts w:ascii="Calibri" w:hAnsi="Calibri"/>
        </w:rPr>
      </w:pPr>
      <w:r>
        <w:t xml:space="preserve">for existing satellite operators, </w:t>
      </w:r>
      <w:r w:rsidR="00B76BBB">
        <w:t>including consideration of past performance when consider</w:t>
      </w:r>
      <w:r w:rsidR="003175E9">
        <w:t xml:space="preserve">ing </w:t>
      </w:r>
      <w:r w:rsidR="00BB5CA7">
        <w:t xml:space="preserve">the </w:t>
      </w:r>
      <w:r w:rsidR="005D51ED">
        <w:t xml:space="preserve">benefit to Australia </w:t>
      </w:r>
      <w:r>
        <w:t xml:space="preserve">of </w:t>
      </w:r>
      <w:r w:rsidR="002E7A8B">
        <w:t xml:space="preserve">a </w:t>
      </w:r>
      <w:r>
        <w:t>new filing request</w:t>
      </w:r>
      <w:r w:rsidR="00B20451">
        <w:t xml:space="preserve"> (Australia</w:t>
      </w:r>
      <w:r w:rsidR="00BB5CA7">
        <w:t>n</w:t>
      </w:r>
      <w:r w:rsidR="00B20451">
        <w:t xml:space="preserve"> benefit criterion</w:t>
      </w:r>
      <w:r w:rsidR="00AB3928">
        <w:t>)</w:t>
      </w:r>
    </w:p>
    <w:p w14:paraId="27B8533A" w14:textId="6D3EBEFC" w:rsidR="00860386" w:rsidRPr="00B5488C" w:rsidRDefault="00B55D9C" w:rsidP="00222DBA">
      <w:pPr>
        <w:pStyle w:val="ListBullet"/>
        <w:rPr>
          <w:rFonts w:ascii="Calibri" w:hAnsi="Calibri"/>
        </w:rPr>
      </w:pPr>
      <w:r>
        <w:t>p</w:t>
      </w:r>
      <w:r w:rsidR="00EC5A81">
        <w:t>rovide an o</w:t>
      </w:r>
      <w:r w:rsidR="00E73087">
        <w:t xml:space="preserve">ption </w:t>
      </w:r>
      <w:r w:rsidR="00493F09">
        <w:t>(in certain cases</w:t>
      </w:r>
      <w:r w:rsidR="00EC5A81">
        <w:t xml:space="preserve"> such as </w:t>
      </w:r>
      <w:r w:rsidR="00CF62EF">
        <w:t>short-duration mission</w:t>
      </w:r>
      <w:r w:rsidR="005B1599">
        <w:t xml:space="preserve"> </w:t>
      </w:r>
      <w:r w:rsidR="00EC5A81">
        <w:t>satellites</w:t>
      </w:r>
      <w:r w:rsidR="00493F09">
        <w:t xml:space="preserve">) </w:t>
      </w:r>
      <w:r w:rsidR="00FF2E05">
        <w:t>for</w:t>
      </w:r>
      <w:r w:rsidR="00EC5A81">
        <w:t xml:space="preserve"> simplified </w:t>
      </w:r>
      <w:r w:rsidR="00493F09">
        <w:t xml:space="preserve">involvement in </w:t>
      </w:r>
      <w:r w:rsidR="00BB5CA7">
        <w:t xml:space="preserve">the </w:t>
      </w:r>
      <w:r w:rsidR="00493F09">
        <w:t>ITU satellite coordination process</w:t>
      </w:r>
    </w:p>
    <w:p w14:paraId="5051D068" w14:textId="1B31AAE2" w:rsidR="00B5488C" w:rsidRPr="00E05A37" w:rsidRDefault="00B55D9C" w:rsidP="00AA2F8C">
      <w:pPr>
        <w:pStyle w:val="ListBulletLast"/>
        <w:rPr>
          <w:rFonts w:ascii="Calibri" w:hAnsi="Calibri"/>
        </w:rPr>
      </w:pPr>
      <w:r>
        <w:t>r</w:t>
      </w:r>
      <w:r w:rsidR="00B5488C">
        <w:t xml:space="preserve">equire that all </w:t>
      </w:r>
      <w:r w:rsidR="003C1A42">
        <w:t>scenarios</w:t>
      </w:r>
      <w:r w:rsidR="00B5488C">
        <w:t xml:space="preserve"> that result in a change ownership </w:t>
      </w:r>
      <w:r w:rsidR="00182D2E">
        <w:t xml:space="preserve">of an </w:t>
      </w:r>
      <w:r w:rsidR="00107EC7">
        <w:t xml:space="preserve">entity with rights </w:t>
      </w:r>
      <w:r w:rsidR="00C2766B">
        <w:t xml:space="preserve">to </w:t>
      </w:r>
      <w:r w:rsidR="00107EC7">
        <w:t xml:space="preserve">an </w:t>
      </w:r>
      <w:r w:rsidR="00182D2E">
        <w:t>ITU</w:t>
      </w:r>
      <w:r w:rsidR="00C2766B">
        <w:t xml:space="preserve"> satellite</w:t>
      </w:r>
      <w:r w:rsidR="00182D2E">
        <w:t xml:space="preserve"> </w:t>
      </w:r>
      <w:r w:rsidR="0080660C">
        <w:t>filing</w:t>
      </w:r>
      <w:r w:rsidR="00182D2E">
        <w:t xml:space="preserve"> </w:t>
      </w:r>
      <w:r w:rsidR="0080660C">
        <w:t>b</w:t>
      </w:r>
      <w:r w:rsidR="004748D1">
        <w:t>e</w:t>
      </w:r>
      <w:r w:rsidR="0080660C">
        <w:t xml:space="preserve"> considered by the ACMA. Currently </w:t>
      </w:r>
      <w:r w:rsidR="00F01E62">
        <w:t xml:space="preserve">it is </w:t>
      </w:r>
      <w:r w:rsidR="00796D03">
        <w:t>only if a filing is transferred from one entity to another that an assessment is made by the ACMA</w:t>
      </w:r>
      <w:r w:rsidR="006D30AF">
        <w:t xml:space="preserve"> –</w:t>
      </w:r>
      <w:r w:rsidR="005368A4">
        <w:t xml:space="preserve"> changes in company ownership are not currently considered.</w:t>
      </w:r>
    </w:p>
    <w:p w14:paraId="062DDE7E" w14:textId="10C6AF3F" w:rsidR="00B06254" w:rsidRDefault="00B06254" w:rsidP="00860386">
      <w:r>
        <w:t>To aid consideration, areas of key proposed changes to existing requirements are highlighted in the draft</w:t>
      </w:r>
      <w:r w:rsidR="00B772FB">
        <w:t xml:space="preserve"> </w:t>
      </w:r>
      <w:r w:rsidR="002616DC">
        <w:t xml:space="preserve">revised </w:t>
      </w:r>
      <w:r w:rsidR="00B772FB">
        <w:t>filing procedures</w:t>
      </w:r>
      <w:r>
        <w:t xml:space="preserve">. </w:t>
      </w:r>
    </w:p>
    <w:p w14:paraId="4DDE3181" w14:textId="4367204C" w:rsidR="000B4924" w:rsidRDefault="00EA6482" w:rsidP="00215097">
      <w:pPr>
        <w:pStyle w:val="Paragraphbeforelist"/>
      </w:pPr>
      <w:r>
        <w:lastRenderedPageBreak/>
        <w:t>D</w:t>
      </w:r>
      <w:r w:rsidR="00860386">
        <w:t xml:space="preserve">iscussion of matters that might </w:t>
      </w:r>
      <w:r w:rsidR="001B6E19">
        <w:t>inform</w:t>
      </w:r>
      <w:r w:rsidR="00860386">
        <w:t xml:space="preserve"> future changes </w:t>
      </w:r>
      <w:r w:rsidR="003B588B">
        <w:t>is</w:t>
      </w:r>
      <w:r w:rsidR="000B4924">
        <w:t xml:space="preserve"> outlined</w:t>
      </w:r>
      <w:r w:rsidR="003B588B">
        <w:t xml:space="preserve"> </w:t>
      </w:r>
      <w:r w:rsidR="00187B37">
        <w:t xml:space="preserve">in the section on </w:t>
      </w:r>
      <w:r w:rsidR="008978F3">
        <w:t>‘</w:t>
      </w:r>
      <w:r w:rsidR="00837F59" w:rsidRPr="00C23788">
        <w:fldChar w:fldCharType="begin"/>
      </w:r>
      <w:r w:rsidR="00837F59" w:rsidRPr="00C23788">
        <w:instrText xml:space="preserve"> REF _Ref139364631 \h </w:instrText>
      </w:r>
      <w:r w:rsidR="00B55D9C">
        <w:rPr>
          <w:i/>
          <w:iCs/>
        </w:rPr>
        <w:instrText xml:space="preserve"> \* MERGEFORMAT </w:instrText>
      </w:r>
      <w:r w:rsidR="00837F59" w:rsidRPr="00C23788">
        <w:fldChar w:fldCharType="separate"/>
      </w:r>
      <w:r w:rsidR="001A5BF8" w:rsidRPr="00C23788">
        <w:t>Drivers of future change</w:t>
      </w:r>
      <w:r w:rsidR="00837F59" w:rsidRPr="00C23788">
        <w:fldChar w:fldCharType="end"/>
      </w:r>
      <w:r w:rsidR="008978F3">
        <w:t>’</w:t>
      </w:r>
      <w:r w:rsidR="00837F59">
        <w:t>. Matters considered include</w:t>
      </w:r>
      <w:r w:rsidR="000B4924">
        <w:t>:</w:t>
      </w:r>
    </w:p>
    <w:p w14:paraId="0C3B67C7" w14:textId="7ACDFB28" w:rsidR="000B4924" w:rsidRDefault="00EA6482" w:rsidP="000B4924">
      <w:pPr>
        <w:pStyle w:val="Bulletlevel1"/>
      </w:pPr>
      <w:r>
        <w:t xml:space="preserve">the </w:t>
      </w:r>
      <w:r w:rsidR="00860386">
        <w:t>ACMA</w:t>
      </w:r>
      <w:r w:rsidR="00B55D9C">
        <w:t>’s</w:t>
      </w:r>
      <w:r w:rsidR="00860386">
        <w:t xml:space="preserve"> approach to satellite filing</w:t>
      </w:r>
    </w:p>
    <w:p w14:paraId="6AB55935" w14:textId="3116756F" w:rsidR="000B4924" w:rsidRDefault="000B4924" w:rsidP="000B4924">
      <w:pPr>
        <w:pStyle w:val="Bulletlevel1"/>
      </w:pPr>
      <w:r>
        <w:t>the</w:t>
      </w:r>
      <w:r w:rsidR="00860386">
        <w:t xml:space="preserve"> </w:t>
      </w:r>
      <w:r w:rsidR="00837F59">
        <w:t>r</w:t>
      </w:r>
      <w:r w:rsidR="00860386">
        <w:t>elationship between satellite filing and licensing</w:t>
      </w:r>
    </w:p>
    <w:p w14:paraId="655D9642" w14:textId="5E06CCFD" w:rsidR="00860386" w:rsidRDefault="00837F59" w:rsidP="00920A18">
      <w:pPr>
        <w:pStyle w:val="Bulletlevel1last"/>
      </w:pPr>
      <w:r>
        <w:t>l</w:t>
      </w:r>
      <w:r w:rsidR="00860386">
        <w:t xml:space="preserve">arge </w:t>
      </w:r>
      <w:r w:rsidR="00F12428">
        <w:t>non-geostationary orbit (</w:t>
      </w:r>
      <w:r w:rsidR="00860386">
        <w:t>NGSO</w:t>
      </w:r>
      <w:r w:rsidR="00F12428">
        <w:t>)</w:t>
      </w:r>
      <w:r w:rsidR="00860386">
        <w:t xml:space="preserve"> satellite systems and emerging </w:t>
      </w:r>
      <w:r w:rsidR="006C0DFE">
        <w:t>s</w:t>
      </w:r>
      <w:r w:rsidR="00860386">
        <w:t xml:space="preserve">atellite coordination matters being monitored by the ITU </w:t>
      </w:r>
      <w:hyperlink r:id="rId26" w:history="1">
        <w:r w:rsidR="005706EB">
          <w:rPr>
            <w:rStyle w:val="Hyperlink"/>
          </w:rPr>
          <w:t>Radio Regulations Board</w:t>
        </w:r>
      </w:hyperlink>
      <w:r w:rsidR="00800841">
        <w:t xml:space="preserve"> </w:t>
      </w:r>
      <w:r w:rsidR="00860386">
        <w:t>which</w:t>
      </w:r>
      <w:r w:rsidR="00A86F56">
        <w:t>,</w:t>
      </w:r>
      <w:r w:rsidR="00860386">
        <w:t xml:space="preserve"> depending on how </w:t>
      </w:r>
      <w:r w:rsidR="00A86F56">
        <w:t xml:space="preserve">they are </w:t>
      </w:r>
      <w:r w:rsidR="00860386">
        <w:t>treated at</w:t>
      </w:r>
      <w:r w:rsidR="003B38F9">
        <w:t xml:space="preserve"> </w:t>
      </w:r>
      <w:r w:rsidR="00F5567D">
        <w:t xml:space="preserve">the </w:t>
      </w:r>
      <w:r w:rsidR="003B38F9">
        <w:t xml:space="preserve">ITU </w:t>
      </w:r>
      <w:r w:rsidR="00F5567D" w:rsidRPr="00F5567D">
        <w:t>World Radiocommunication Conference 2023</w:t>
      </w:r>
      <w:r w:rsidR="00F5567D">
        <w:t xml:space="preserve"> (</w:t>
      </w:r>
      <w:hyperlink r:id="rId27" w:history="1">
        <w:r w:rsidR="00860386" w:rsidRPr="003B38F9">
          <w:rPr>
            <w:rStyle w:val="Hyperlink"/>
          </w:rPr>
          <w:t>WRC-23</w:t>
        </w:r>
      </w:hyperlink>
      <w:r w:rsidR="00F5567D">
        <w:t>)</w:t>
      </w:r>
      <w:r w:rsidR="00860386">
        <w:t>, might have relevance to both our radiocommunication</w:t>
      </w:r>
      <w:r w:rsidR="00B37E16">
        <w:t>s</w:t>
      </w:r>
      <w:r w:rsidR="00860386">
        <w:t xml:space="preserve"> licensing and satellite filing procedures</w:t>
      </w:r>
      <w:r w:rsidR="005A1806">
        <w:t xml:space="preserve">. </w:t>
      </w:r>
    </w:p>
    <w:p w14:paraId="02EF3030" w14:textId="1FADA06D" w:rsidR="00887993" w:rsidRDefault="00887993" w:rsidP="00887993">
      <w:pPr>
        <w:pStyle w:val="Paragraph"/>
      </w:pPr>
      <w:r>
        <w:t xml:space="preserve">Our conclusion is that our overall approach to filing and licensing remains </w:t>
      </w:r>
      <w:r w:rsidR="003B7147">
        <w:t>appropriate,</w:t>
      </w:r>
      <w:r>
        <w:t xml:space="preserve"> and no changes are planned. However</w:t>
      </w:r>
      <w:r w:rsidR="00727D4E" w:rsidDel="007C4A10">
        <w:t>,</w:t>
      </w:r>
      <w:r>
        <w:t xml:space="preserve"> we are aware of developments in the policy environment, regulatory reform and spectrum demand drivers impacting on satellite communications. We intend to continue to monitor these developments and seek industry views on whether these trends and changes necessitate a change in our approach.</w:t>
      </w:r>
    </w:p>
    <w:p w14:paraId="1FB2780B" w14:textId="1EC31A1D" w:rsidR="007C4554" w:rsidRDefault="00860386" w:rsidP="00920A18">
      <w:r>
        <w:t xml:space="preserve">We welcome comment on </w:t>
      </w:r>
      <w:r w:rsidR="00874C3B">
        <w:t xml:space="preserve">the </w:t>
      </w:r>
      <w:r>
        <w:t>matters present</w:t>
      </w:r>
      <w:r w:rsidR="00187B37">
        <w:t>ed</w:t>
      </w:r>
      <w:r>
        <w:t xml:space="preserve"> in this paper</w:t>
      </w:r>
      <w:r w:rsidR="008D4022">
        <w:t>.</w:t>
      </w:r>
      <w:r w:rsidR="00871235">
        <w:t xml:space="preserve"> </w:t>
      </w:r>
      <w:r w:rsidR="00871235">
        <w:rPr>
          <w:rFonts w:cs="Arial"/>
        </w:rPr>
        <w:t xml:space="preserve">Feedback received will be used to </w:t>
      </w:r>
      <w:r w:rsidR="002F15E8">
        <w:rPr>
          <w:rFonts w:cs="Arial"/>
        </w:rPr>
        <w:t xml:space="preserve">inform </w:t>
      </w:r>
      <w:r w:rsidR="00871235">
        <w:rPr>
          <w:rFonts w:cs="Arial"/>
        </w:rPr>
        <w:t xml:space="preserve">the update to the filing procedures and to identify </w:t>
      </w:r>
      <w:r w:rsidR="00A5401C">
        <w:rPr>
          <w:rFonts w:cs="Arial"/>
        </w:rPr>
        <w:t xml:space="preserve">other </w:t>
      </w:r>
      <w:r w:rsidR="00871235">
        <w:rPr>
          <w:rFonts w:cs="Arial"/>
        </w:rPr>
        <w:t>areas for possible future consideration and review.</w:t>
      </w:r>
    </w:p>
    <w:p w14:paraId="21072A07" w14:textId="1656F2A8" w:rsidR="007F5824" w:rsidRDefault="00FB0846" w:rsidP="00FB0846">
      <w:pPr>
        <w:pStyle w:val="Paragraph"/>
      </w:pPr>
      <w:r>
        <w:t>T</w:t>
      </w:r>
      <w:r w:rsidR="007F5824">
        <w:t>hroughout this document</w:t>
      </w:r>
      <w:r>
        <w:t>,</w:t>
      </w:r>
      <w:r w:rsidR="007F5824">
        <w:t xml:space="preserve"> we </w:t>
      </w:r>
      <w:r w:rsidR="008942D6">
        <w:t>use the term ‘</w:t>
      </w:r>
      <w:r w:rsidR="007F5824">
        <w:t>satellite system</w:t>
      </w:r>
      <w:r w:rsidR="008942D6">
        <w:t>’</w:t>
      </w:r>
      <w:r w:rsidR="007F5824">
        <w:t xml:space="preserve"> as defined in the ITU </w:t>
      </w:r>
      <w:hyperlink r:id="rId28" w:history="1">
        <w:r w:rsidR="007F5824" w:rsidRPr="008C2538">
          <w:rPr>
            <w:rStyle w:val="Hyperlink"/>
            <w:szCs w:val="22"/>
          </w:rPr>
          <w:t>Radio Regulations</w:t>
        </w:r>
      </w:hyperlink>
      <w:r w:rsidR="008942D6">
        <w:t>,</w:t>
      </w:r>
      <w:r w:rsidR="002A7980">
        <w:rPr>
          <w:rStyle w:val="FootnoteReference"/>
        </w:rPr>
        <w:footnoteReference w:id="3"/>
      </w:r>
      <w:r w:rsidR="007F5824">
        <w:t xml:space="preserve"> as it is a b</w:t>
      </w:r>
      <w:r w:rsidR="008942D6">
        <w:t>r</w:t>
      </w:r>
      <w:r w:rsidR="007F5824">
        <w:t xml:space="preserve">oad term covering both geostationary orbit (GSO) and non-geostationary orbit (NGSO) </w:t>
      </w:r>
      <w:r w:rsidR="000F01A7">
        <w:t>syst</w:t>
      </w:r>
      <w:r w:rsidR="00352814">
        <w:t>ems</w:t>
      </w:r>
      <w:r w:rsidR="007F5824">
        <w:t>.</w:t>
      </w:r>
      <w:r w:rsidR="001F46D7">
        <w:rPr>
          <w:rStyle w:val="FootnoteReference"/>
          <w:szCs w:val="22"/>
        </w:rPr>
        <w:footnoteReference w:id="4"/>
      </w:r>
      <w:r w:rsidR="00352814">
        <w:t xml:space="preserve"> </w:t>
      </w:r>
      <w:r w:rsidR="007F5824">
        <w:t xml:space="preserve">In certain circumstances we use the narrower term </w:t>
      </w:r>
      <w:r w:rsidR="009D018A">
        <w:t>‘</w:t>
      </w:r>
      <w:r w:rsidR="007F5824">
        <w:t>satellite network</w:t>
      </w:r>
      <w:r w:rsidR="009D018A">
        <w:t>’,</w:t>
      </w:r>
      <w:r w:rsidR="007F5824">
        <w:rPr>
          <w:rStyle w:val="FootnoteReference"/>
          <w:szCs w:val="22"/>
        </w:rPr>
        <w:footnoteReference w:id="5"/>
      </w:r>
      <w:r w:rsidR="007F5824">
        <w:t xml:space="preserve"> for example when discussing </w:t>
      </w:r>
      <w:r w:rsidR="00FD2390">
        <w:t xml:space="preserve">requirements that apply to </w:t>
      </w:r>
      <w:r w:rsidR="007F5824">
        <w:t xml:space="preserve">GSO </w:t>
      </w:r>
      <w:r w:rsidR="00A41942">
        <w:t xml:space="preserve">systems or </w:t>
      </w:r>
      <w:r w:rsidR="00BA2B61">
        <w:t xml:space="preserve">considering </w:t>
      </w:r>
      <w:r w:rsidR="00A41942">
        <w:t xml:space="preserve">ITU </w:t>
      </w:r>
      <w:r w:rsidR="00BA2B61">
        <w:t xml:space="preserve">requirements </w:t>
      </w:r>
      <w:r w:rsidR="00A41942">
        <w:t>that</w:t>
      </w:r>
      <w:r w:rsidR="005B434F">
        <w:t xml:space="preserve"> specifically</w:t>
      </w:r>
      <w:r w:rsidR="00A41942">
        <w:t xml:space="preserve"> refer to </w:t>
      </w:r>
      <w:r w:rsidR="005B434F">
        <w:t>‘</w:t>
      </w:r>
      <w:r w:rsidR="006533EB">
        <w:t>satellite</w:t>
      </w:r>
      <w:r w:rsidR="00A41942">
        <w:t xml:space="preserve"> network</w:t>
      </w:r>
      <w:r w:rsidR="005B434F">
        <w:t>’</w:t>
      </w:r>
      <w:r w:rsidR="00A41942">
        <w:t>.</w:t>
      </w:r>
    </w:p>
    <w:p w14:paraId="670D74E7" w14:textId="0F3C7751" w:rsidR="009D6C71" w:rsidRPr="00E162C4" w:rsidRDefault="00600BB8" w:rsidP="00E561F8">
      <w:pPr>
        <w:pStyle w:val="Heading1"/>
      </w:pPr>
      <w:bookmarkStart w:id="2" w:name="_Ref139364332"/>
      <w:bookmarkStart w:id="3" w:name="_Toc139371619"/>
      <w:bookmarkStart w:id="4" w:name="_Toc144213379"/>
      <w:r>
        <w:lastRenderedPageBreak/>
        <w:t>Introduction</w:t>
      </w:r>
      <w:bookmarkEnd w:id="1"/>
      <w:bookmarkEnd w:id="2"/>
      <w:bookmarkEnd w:id="3"/>
      <w:bookmarkEnd w:id="4"/>
    </w:p>
    <w:p w14:paraId="459BAD0D" w14:textId="0D681D3A" w:rsidR="003942C5" w:rsidRPr="00CE7F3A" w:rsidRDefault="003B6031" w:rsidP="003942C5">
      <w:pPr>
        <w:pStyle w:val="Heading2"/>
      </w:pPr>
      <w:bookmarkStart w:id="5" w:name="_Toc139371620"/>
      <w:bookmarkStart w:id="6" w:name="_Toc144213380"/>
      <w:r>
        <w:t>Need for</w:t>
      </w:r>
      <w:r w:rsidR="003942C5">
        <w:t xml:space="preserve"> review</w:t>
      </w:r>
      <w:bookmarkEnd w:id="5"/>
      <w:bookmarkEnd w:id="6"/>
      <w:r w:rsidR="003942C5">
        <w:t xml:space="preserve"> </w:t>
      </w:r>
    </w:p>
    <w:p w14:paraId="197BFFF1" w14:textId="643DFECA" w:rsidR="0026670F" w:rsidRDefault="0026670F" w:rsidP="0026670F">
      <w:pPr>
        <w:pStyle w:val="Paragraph"/>
      </w:pPr>
      <w:r>
        <w:rPr>
          <w:rStyle w:val="normaltextrun"/>
          <w:color w:val="000000"/>
          <w:szCs w:val="20"/>
          <w:shd w:val="clear" w:color="auto" w:fill="FFFFFF"/>
        </w:rPr>
        <w:t>Before operating a satellite system, the technical details of the satellite system must be filed with the International Telecommunication Union (ITU) by an ITU Member State. The ACMA assess</w:t>
      </w:r>
      <w:r w:rsidR="0037774E">
        <w:rPr>
          <w:rStyle w:val="normaltextrun"/>
          <w:color w:val="000000"/>
          <w:szCs w:val="20"/>
          <w:shd w:val="clear" w:color="auto" w:fill="FFFFFF"/>
        </w:rPr>
        <w:t>es</w:t>
      </w:r>
      <w:r>
        <w:rPr>
          <w:rStyle w:val="normaltextrun"/>
          <w:color w:val="000000"/>
          <w:szCs w:val="20"/>
          <w:shd w:val="clear" w:color="auto" w:fill="FFFFFF"/>
        </w:rPr>
        <w:t xml:space="preserve"> requests to file </w:t>
      </w:r>
      <w:r w:rsidR="001F035A">
        <w:rPr>
          <w:rStyle w:val="normaltextrun"/>
          <w:color w:val="000000"/>
          <w:szCs w:val="20"/>
          <w:shd w:val="clear" w:color="auto" w:fill="FFFFFF"/>
        </w:rPr>
        <w:t xml:space="preserve">a </w:t>
      </w:r>
      <w:r>
        <w:rPr>
          <w:rStyle w:val="normaltextrun"/>
          <w:color w:val="000000"/>
          <w:szCs w:val="20"/>
          <w:shd w:val="clear" w:color="auto" w:fill="FFFFFF"/>
        </w:rPr>
        <w:t xml:space="preserve">satellite system with the ITU in accordance with the </w:t>
      </w:r>
      <w:bookmarkStart w:id="7" w:name="_Hlk121841425"/>
      <w:r>
        <w:fldChar w:fldCharType="begin"/>
      </w:r>
      <w:r>
        <w:instrText xml:space="preserve"> HYPERLINK "https://www.acma.gov.au/publications/2012-01/guide/australian-procedures-coordination-notification-satellite-systems" \t "_blank" </w:instrText>
      </w:r>
      <w:r>
        <w:fldChar w:fldCharType="separate"/>
      </w:r>
      <w:r>
        <w:rPr>
          <w:rStyle w:val="normaltextrun"/>
          <w:color w:val="0000FF"/>
          <w:szCs w:val="20"/>
          <w:u w:val="single"/>
          <w:shd w:val="clear" w:color="auto" w:fill="FFFFFF"/>
        </w:rPr>
        <w:t>Australian procedures for the coordination and notification of satellite systems</w:t>
      </w:r>
      <w:r>
        <w:rPr>
          <w:rStyle w:val="normaltextrun"/>
          <w:color w:val="0000FF"/>
          <w:szCs w:val="20"/>
          <w:u w:val="single"/>
          <w:shd w:val="clear" w:color="auto" w:fill="FFFFFF"/>
        </w:rPr>
        <w:fldChar w:fldCharType="end"/>
      </w:r>
      <w:r>
        <w:t xml:space="preserve"> (referred to in this document as the Australian satellite filing procedures</w:t>
      </w:r>
      <w:bookmarkEnd w:id="7"/>
      <w:r w:rsidR="005A0ECC">
        <w:rPr>
          <w:rStyle w:val="normaltextrun"/>
          <w:color w:val="000000"/>
          <w:szCs w:val="20"/>
          <w:shd w:val="clear" w:color="auto" w:fill="FFFFFF"/>
        </w:rPr>
        <w:t xml:space="preserve"> or filing procedures for short)</w:t>
      </w:r>
      <w:r w:rsidR="00666B58">
        <w:rPr>
          <w:rStyle w:val="normaltextrun"/>
          <w:color w:val="000000"/>
          <w:szCs w:val="20"/>
          <w:shd w:val="clear" w:color="auto" w:fill="FFFFFF"/>
        </w:rPr>
        <w:t>.</w:t>
      </w:r>
      <w:r w:rsidRPr="0072786C">
        <w:t xml:space="preserve"> </w:t>
      </w:r>
    </w:p>
    <w:p w14:paraId="30A3D693" w14:textId="77777777" w:rsidR="0051247C" w:rsidRDefault="0026670F" w:rsidP="00994BD4">
      <w:pPr>
        <w:pStyle w:val="Paragraph"/>
      </w:pPr>
      <w:r>
        <w:t xml:space="preserve">The Australian satellite filing procedures set out the ACMA’s policies and procedures for dealing with applications for a new satellite system to be filed with the ITU. </w:t>
      </w:r>
      <w:r w:rsidR="00A6550F">
        <w:t>While still functional, t</w:t>
      </w:r>
      <w:r w:rsidR="00A6550F" w:rsidRPr="000519A6">
        <w:t>he</w:t>
      </w:r>
      <w:r w:rsidR="00524D89">
        <w:t xml:space="preserve"> filing </w:t>
      </w:r>
      <w:r w:rsidR="00A6550F">
        <w:t>procedures</w:t>
      </w:r>
      <w:r w:rsidR="00A6550F" w:rsidRPr="000519A6">
        <w:t xml:space="preserve"> </w:t>
      </w:r>
      <w:r w:rsidR="00A6550F">
        <w:t>have</w:t>
      </w:r>
      <w:r w:rsidR="00A6550F" w:rsidRPr="000519A6">
        <w:t xml:space="preserve"> not been reviewed since </w:t>
      </w:r>
      <w:r w:rsidR="00A6550F">
        <w:t>2011</w:t>
      </w:r>
      <w:r w:rsidR="00A6550F" w:rsidRPr="000519A6">
        <w:t xml:space="preserve">. </w:t>
      </w:r>
      <w:r w:rsidR="00A6550F">
        <w:t xml:space="preserve">Since then, there have been changes to ITU requirements and </w:t>
      </w:r>
      <w:r w:rsidR="001F035A">
        <w:t xml:space="preserve">changes in the Australian and international </w:t>
      </w:r>
      <w:r w:rsidR="0051247C">
        <w:t>market for satellite operators and satellite operations.</w:t>
      </w:r>
    </w:p>
    <w:p w14:paraId="3E38C82A" w14:textId="6B4F178C" w:rsidR="005F21E2" w:rsidRDefault="00FE0D7C" w:rsidP="00994BD4">
      <w:pPr>
        <w:pStyle w:val="Paragraph"/>
      </w:pPr>
      <w:r>
        <w:t xml:space="preserve">When the </w:t>
      </w:r>
      <w:r w:rsidR="00140DF1">
        <w:t xml:space="preserve">filing </w:t>
      </w:r>
      <w:r>
        <w:t xml:space="preserve">procedures were </w:t>
      </w:r>
      <w:r w:rsidR="0051247C">
        <w:t xml:space="preserve">last </w:t>
      </w:r>
      <w:r>
        <w:t>revised in 2011</w:t>
      </w:r>
      <w:r w:rsidR="00663630">
        <w:t>,</w:t>
      </w:r>
      <w:r w:rsidR="00A6550F">
        <w:t xml:space="preserve"> most of the ACMA’s satellite filing work was in supporting geostationary </w:t>
      </w:r>
      <w:r w:rsidR="00512285">
        <w:t xml:space="preserve">orbit (GSO) </w:t>
      </w:r>
      <w:r w:rsidR="00A6550F">
        <w:t>satellites. Now we see interest from research organisations (predominantly universities) and new companies interested in non-geostationary</w:t>
      </w:r>
      <w:r w:rsidR="00512285">
        <w:t xml:space="preserve"> orbit</w:t>
      </w:r>
      <w:r w:rsidR="00A6550F">
        <w:t xml:space="preserve"> </w:t>
      </w:r>
      <w:r w:rsidR="00B0340D">
        <w:t xml:space="preserve">(NGSO) </w:t>
      </w:r>
      <w:r w:rsidR="00A6550F">
        <w:t>satellite systems</w:t>
      </w:r>
      <w:r w:rsidR="008B2BCA">
        <w:t xml:space="preserve">. </w:t>
      </w:r>
    </w:p>
    <w:p w14:paraId="315B6CB2" w14:textId="339DDAF3" w:rsidR="008E0CB6" w:rsidRDefault="00E817F3" w:rsidP="00994BD4">
      <w:pPr>
        <w:pStyle w:val="Paragraph"/>
      </w:pPr>
      <w:r>
        <w:t>R</w:t>
      </w:r>
      <w:r w:rsidR="008B2BCA">
        <w:t>esearch organisation</w:t>
      </w:r>
      <w:r>
        <w:t xml:space="preserve"> missions typically have a much shorter time from mission conceptualisation to deployment and a shorter satellite lifespan</w:t>
      </w:r>
      <w:r>
        <w:rPr>
          <w:rStyle w:val="FootnoteReference"/>
        </w:rPr>
        <w:footnoteReference w:id="6"/>
      </w:r>
      <w:r>
        <w:t xml:space="preserve"> </w:t>
      </w:r>
      <w:r w:rsidR="00743377">
        <w:t xml:space="preserve">due to </w:t>
      </w:r>
      <w:r w:rsidR="00D219C5">
        <w:t>the common use of</w:t>
      </w:r>
      <w:r w:rsidR="00A6550F">
        <w:t xml:space="preserve"> small satellites known as CubeSats</w:t>
      </w:r>
      <w:r w:rsidR="00FF6AD1">
        <w:rPr>
          <w:rStyle w:val="FootnoteReference"/>
        </w:rPr>
        <w:footnoteReference w:id="7"/>
      </w:r>
      <w:r w:rsidR="00874BDE">
        <w:t xml:space="preserve"> which are not replenished at end of life</w:t>
      </w:r>
      <w:r w:rsidR="00D219C5">
        <w:t xml:space="preserve">. </w:t>
      </w:r>
      <w:r w:rsidR="00CE4EA0">
        <w:t>Whil</w:t>
      </w:r>
      <w:r w:rsidR="00485C00">
        <w:t>e</w:t>
      </w:r>
      <w:r w:rsidR="00CE4EA0">
        <w:t xml:space="preserve"> Cu</w:t>
      </w:r>
      <w:r w:rsidR="00485C00">
        <w:t>b</w:t>
      </w:r>
      <w:r w:rsidR="00CE4EA0">
        <w:t xml:space="preserve">eSats </w:t>
      </w:r>
      <w:r w:rsidR="00485C00">
        <w:t xml:space="preserve">and other small satellites </w:t>
      </w:r>
      <w:r w:rsidR="00CE4EA0">
        <w:t xml:space="preserve">are often used by research </w:t>
      </w:r>
      <w:r w:rsidR="00485C00">
        <w:t>missions</w:t>
      </w:r>
      <w:r w:rsidR="00B55D9C">
        <w:t>,</w:t>
      </w:r>
      <w:r w:rsidR="00CE4EA0">
        <w:t xml:space="preserve"> they c</w:t>
      </w:r>
      <w:r w:rsidR="00485C00">
        <w:t>a</w:t>
      </w:r>
      <w:r w:rsidR="00CE4EA0">
        <w:t>n also be</w:t>
      </w:r>
      <w:r w:rsidR="00485C00">
        <w:t xml:space="preserve"> </w:t>
      </w:r>
      <w:r w:rsidR="00CE4EA0">
        <w:t xml:space="preserve">used by commercial </w:t>
      </w:r>
      <w:r w:rsidR="00485C00">
        <w:t xml:space="preserve">and government users. The key </w:t>
      </w:r>
      <w:r w:rsidR="006F6BD3">
        <w:t>distinguishing</w:t>
      </w:r>
      <w:r w:rsidR="00485C00">
        <w:t xml:space="preserve"> factor from a </w:t>
      </w:r>
      <w:r w:rsidR="006F6BD3">
        <w:t>regulatory</w:t>
      </w:r>
      <w:r w:rsidR="00485C00">
        <w:t xml:space="preserve"> </w:t>
      </w:r>
      <w:r w:rsidR="006F6BD3">
        <w:t>perspective</w:t>
      </w:r>
      <w:r w:rsidR="00485C00">
        <w:t xml:space="preserve"> is the </w:t>
      </w:r>
      <w:r w:rsidR="006F6BD3">
        <w:t>mission’s short</w:t>
      </w:r>
      <w:r w:rsidR="00485C00">
        <w:t xml:space="preserve"> </w:t>
      </w:r>
      <w:r w:rsidR="006F6BD3">
        <w:t>duration</w:t>
      </w:r>
      <w:r w:rsidR="00485C00">
        <w:t xml:space="preserve">, not </w:t>
      </w:r>
      <w:r w:rsidR="006F6BD3">
        <w:t>solely the size of the satellite used.</w:t>
      </w:r>
      <w:r w:rsidR="00485C00">
        <w:t xml:space="preserve"> </w:t>
      </w:r>
    </w:p>
    <w:p w14:paraId="3A5C029A" w14:textId="3FFFE031" w:rsidR="00466BB8" w:rsidRDefault="002650D5" w:rsidP="00994BD4">
      <w:pPr>
        <w:pStyle w:val="Paragraph"/>
      </w:pPr>
      <w:r>
        <w:t xml:space="preserve">At present </w:t>
      </w:r>
      <w:r w:rsidR="004F1DF2">
        <w:t>there are</w:t>
      </w:r>
      <w:r w:rsidR="00F71D0B">
        <w:t xml:space="preserve"> </w:t>
      </w:r>
      <w:r w:rsidR="004F1DF2">
        <w:t>1</w:t>
      </w:r>
      <w:r w:rsidR="00F71D0B">
        <w:t>1</w:t>
      </w:r>
      <w:r w:rsidR="00C041DB">
        <w:t xml:space="preserve"> </w:t>
      </w:r>
      <w:r w:rsidR="00BA0A45">
        <w:t>Australia</w:t>
      </w:r>
      <w:r w:rsidR="00512285">
        <w:t>n</w:t>
      </w:r>
      <w:r w:rsidR="00BA0A45">
        <w:t xml:space="preserve"> satellite operators</w:t>
      </w:r>
      <w:r w:rsidR="00185E39">
        <w:t xml:space="preserve">. </w:t>
      </w:r>
      <w:r w:rsidR="00C5059D">
        <w:t>Four of</w:t>
      </w:r>
      <w:r w:rsidR="00E87476" w:rsidDel="001955F3">
        <w:t xml:space="preserve"> </w:t>
      </w:r>
      <w:r w:rsidR="001955F3">
        <w:t xml:space="preserve">these are </w:t>
      </w:r>
      <w:r w:rsidR="00F60566">
        <w:t>relatively</w:t>
      </w:r>
      <w:r w:rsidR="00CB4128">
        <w:t xml:space="preserve"> new </w:t>
      </w:r>
      <w:r w:rsidR="00F60566">
        <w:t>operators</w:t>
      </w:r>
      <w:r w:rsidR="00CB4128">
        <w:t xml:space="preserve"> </w:t>
      </w:r>
      <w:r w:rsidR="00F60566">
        <w:t>and</w:t>
      </w:r>
      <w:r w:rsidR="00DE49B1">
        <w:t xml:space="preserve"> </w:t>
      </w:r>
      <w:r w:rsidR="00C5059D">
        <w:t>research organisation</w:t>
      </w:r>
      <w:r w:rsidR="001955F3">
        <w:t>s</w:t>
      </w:r>
      <w:r w:rsidR="00185C12">
        <w:t>, for</w:t>
      </w:r>
      <w:r w:rsidR="00C5059D">
        <w:t xml:space="preserve"> whom s</w:t>
      </w:r>
      <w:r w:rsidR="00C81319">
        <w:t>i</w:t>
      </w:r>
      <w:r w:rsidR="00A6550F">
        <w:t xml:space="preserve">nce </w:t>
      </w:r>
      <w:r w:rsidR="001860A5">
        <w:t>2020</w:t>
      </w:r>
      <w:r w:rsidR="00A6550F">
        <w:t xml:space="preserve"> we have approved</w:t>
      </w:r>
      <w:r w:rsidR="003407C4">
        <w:t xml:space="preserve"> filing</w:t>
      </w:r>
      <w:r w:rsidR="00A6550F">
        <w:t xml:space="preserve"> applications </w:t>
      </w:r>
      <w:r w:rsidR="005C07FB">
        <w:t xml:space="preserve">supporting </w:t>
      </w:r>
      <w:r w:rsidR="00FD1CA4">
        <w:t xml:space="preserve">NGSO </w:t>
      </w:r>
      <w:r w:rsidR="00B0340D">
        <w:t>satellite systems</w:t>
      </w:r>
      <w:r w:rsidR="009058BE">
        <w:t xml:space="preserve"> </w:t>
      </w:r>
      <w:r w:rsidR="00000FB5">
        <w:t xml:space="preserve">with a short lifespan </w:t>
      </w:r>
      <w:r w:rsidR="009058BE">
        <w:t>for research purposes</w:t>
      </w:r>
      <w:r w:rsidR="00B0340D">
        <w:t>. Our</w:t>
      </w:r>
      <w:r w:rsidR="00A6550F">
        <w:t xml:space="preserve"> experience is that some aspects of the </w:t>
      </w:r>
      <w:r w:rsidR="00BA106E">
        <w:t>current filing procedures</w:t>
      </w:r>
      <w:r w:rsidR="00A6550F">
        <w:t xml:space="preserve"> are not well suited </w:t>
      </w:r>
      <w:r w:rsidR="002B67A4">
        <w:t xml:space="preserve">to the </w:t>
      </w:r>
      <w:r w:rsidR="003D7257">
        <w:t>satellite</w:t>
      </w:r>
      <w:r w:rsidR="002A5D9E">
        <w:t xml:space="preserve"> </w:t>
      </w:r>
      <w:r w:rsidR="003D7257">
        <w:t>system</w:t>
      </w:r>
      <w:r w:rsidR="002B67A4">
        <w:t>s</w:t>
      </w:r>
      <w:r w:rsidR="00235C09">
        <w:t xml:space="preserve"> with </w:t>
      </w:r>
      <w:r w:rsidR="005F21E2">
        <w:t xml:space="preserve">short </w:t>
      </w:r>
      <w:r w:rsidR="00235C09">
        <w:t>mission lives</w:t>
      </w:r>
      <w:r w:rsidR="002A5D9E">
        <w:t xml:space="preserve"> </w:t>
      </w:r>
      <w:r w:rsidR="003D7257">
        <w:t>being</w:t>
      </w:r>
      <w:r w:rsidR="002A5D9E">
        <w:t xml:space="preserve"> </w:t>
      </w:r>
      <w:r w:rsidR="003D7257">
        <w:t>develop</w:t>
      </w:r>
      <w:r w:rsidR="00624AE6">
        <w:t>ed</w:t>
      </w:r>
      <w:r w:rsidR="003D7257">
        <w:t xml:space="preserve"> by </w:t>
      </w:r>
      <w:r w:rsidR="002B67A4">
        <w:t>re</w:t>
      </w:r>
      <w:r w:rsidR="00C23A45">
        <w:t xml:space="preserve">search </w:t>
      </w:r>
      <w:r w:rsidR="005A2E63">
        <w:t>organisations</w:t>
      </w:r>
      <w:r w:rsidR="002F191D">
        <w:t xml:space="preserve"> and could be improved</w:t>
      </w:r>
      <w:r w:rsidR="00BC2741">
        <w:t>.</w:t>
      </w:r>
      <w:r w:rsidR="00B0525B">
        <w:rPr>
          <w:rStyle w:val="FootnoteReference"/>
        </w:rPr>
        <w:footnoteReference w:id="8"/>
      </w:r>
    </w:p>
    <w:p w14:paraId="5767FCA0" w14:textId="77777777" w:rsidR="006B0AE6" w:rsidRDefault="006B0AE6" w:rsidP="00994BD4">
      <w:pPr>
        <w:pStyle w:val="Paragraph"/>
      </w:pPr>
      <w:r>
        <w:t xml:space="preserve">The ACMA’s regulatory practices and obligations have also evolved since 2011. With learnings from industry feedback and </w:t>
      </w:r>
      <w:r w:rsidRPr="00DA2212">
        <w:t xml:space="preserve">our experience </w:t>
      </w:r>
      <w:r>
        <w:t xml:space="preserve">assessing new applications, we have identified some provisions that require updating or are no longer relevant. </w:t>
      </w:r>
    </w:p>
    <w:p w14:paraId="17B35D27" w14:textId="05AE9F19" w:rsidR="006B0AE6" w:rsidRDefault="006B0AE6" w:rsidP="00994BD4">
      <w:pPr>
        <w:pStyle w:val="Paragraph"/>
      </w:pPr>
      <w:r>
        <w:t>These factors have prompted us to review our filing procedures</w:t>
      </w:r>
      <w:r w:rsidR="00BC2741">
        <w:t>.</w:t>
      </w:r>
    </w:p>
    <w:p w14:paraId="49F68691" w14:textId="18027EA8" w:rsidR="00391281" w:rsidRDefault="00391281" w:rsidP="00391281">
      <w:pPr>
        <w:pStyle w:val="Heading2"/>
      </w:pPr>
      <w:bookmarkStart w:id="8" w:name="_Toc139371621"/>
      <w:bookmarkStart w:id="9" w:name="_Toc144213381"/>
      <w:r>
        <w:t xml:space="preserve">Current satellite </w:t>
      </w:r>
      <w:r w:rsidR="00874BDE">
        <w:t xml:space="preserve">system </w:t>
      </w:r>
      <w:r>
        <w:t>filing procedures</w:t>
      </w:r>
      <w:bookmarkEnd w:id="8"/>
      <w:bookmarkEnd w:id="9"/>
    </w:p>
    <w:p w14:paraId="69BED98C" w14:textId="34048AA3" w:rsidR="00CA69B7" w:rsidRDefault="006E0314" w:rsidP="00650FC7">
      <w:pPr>
        <w:pStyle w:val="Paragraphbeforelist"/>
      </w:pPr>
      <w:r>
        <w:t xml:space="preserve">Our current filing </w:t>
      </w:r>
      <w:r w:rsidR="00650FC7">
        <w:t xml:space="preserve">procedures </w:t>
      </w:r>
      <w:r w:rsidR="00BC2741">
        <w:t>comprise</w:t>
      </w:r>
      <w:r w:rsidR="00102377">
        <w:t xml:space="preserve"> </w:t>
      </w:r>
      <w:r w:rsidR="00FE4568">
        <w:t>3</w:t>
      </w:r>
      <w:r w:rsidR="00650FC7">
        <w:t xml:space="preserve"> main parts</w:t>
      </w:r>
      <w:r w:rsidR="00102377">
        <w:t>. The first part</w:t>
      </w:r>
      <w:r w:rsidR="00C3132E">
        <w:t xml:space="preserve"> provides an introductory background to the filing procedures and the satellite regulatory framework</w:t>
      </w:r>
      <w:r>
        <w:t>.</w:t>
      </w:r>
      <w:r w:rsidR="005042AA">
        <w:t xml:space="preserve"> The second part </w:t>
      </w:r>
      <w:r w:rsidR="00195E8C">
        <w:t>covers the</w:t>
      </w:r>
      <w:r w:rsidR="00E84D25">
        <w:t xml:space="preserve"> </w:t>
      </w:r>
      <w:r w:rsidR="00AC0737">
        <w:t>application</w:t>
      </w:r>
      <w:r w:rsidR="00E84D25">
        <w:t xml:space="preserve"> and </w:t>
      </w:r>
      <w:r w:rsidR="00AC0737">
        <w:t>assessment</w:t>
      </w:r>
      <w:r w:rsidR="00E84D25">
        <w:t xml:space="preserve"> process</w:t>
      </w:r>
      <w:r w:rsidR="000F593B">
        <w:t xml:space="preserve">. The </w:t>
      </w:r>
      <w:r w:rsidR="005042AA">
        <w:t xml:space="preserve">third </w:t>
      </w:r>
      <w:r w:rsidR="00824667">
        <w:t xml:space="preserve">part deals with our procedures for managing a satellite filing after an application </w:t>
      </w:r>
      <w:r w:rsidR="00824269">
        <w:t xml:space="preserve">is approved </w:t>
      </w:r>
      <w:r w:rsidR="00824667">
        <w:t xml:space="preserve">and submitted to the ITU. </w:t>
      </w:r>
    </w:p>
    <w:p w14:paraId="69AC4757" w14:textId="17032272" w:rsidR="00CA69B7" w:rsidRDefault="00085355" w:rsidP="00650FC7">
      <w:pPr>
        <w:pStyle w:val="Paragraphbeforelist"/>
      </w:pPr>
      <w:r>
        <w:lastRenderedPageBreak/>
        <w:t xml:space="preserve">The satellite </w:t>
      </w:r>
      <w:r w:rsidR="00F24B18">
        <w:t xml:space="preserve">regulatory </w:t>
      </w:r>
      <w:r>
        <w:t>framework is describe</w:t>
      </w:r>
      <w:r w:rsidR="005068F6">
        <w:t>d</w:t>
      </w:r>
      <w:r>
        <w:t xml:space="preserve"> in </w:t>
      </w:r>
      <w:r w:rsidR="00934FF3">
        <w:t xml:space="preserve">the </w:t>
      </w:r>
      <w:r w:rsidR="00D506FC">
        <w:t xml:space="preserve">draft </w:t>
      </w:r>
      <w:r>
        <w:t xml:space="preserve">revised </w:t>
      </w:r>
      <w:r w:rsidR="00D506FC">
        <w:t xml:space="preserve">filing </w:t>
      </w:r>
      <w:r>
        <w:t>procedures</w:t>
      </w:r>
      <w:r w:rsidR="00D4254D">
        <w:t xml:space="preserve">. </w:t>
      </w:r>
      <w:r w:rsidR="00082935">
        <w:t>To avoid duplication</w:t>
      </w:r>
      <w:r w:rsidR="00934FF3">
        <w:t>,</w:t>
      </w:r>
      <w:r w:rsidR="00082935">
        <w:t xml:space="preserve"> that material is not </w:t>
      </w:r>
      <w:r w:rsidR="00E9059C">
        <w:t>repeated here</w:t>
      </w:r>
      <w:r w:rsidR="00F24B18">
        <w:t>.</w:t>
      </w:r>
      <w:r w:rsidR="00BC1DA4">
        <w:t xml:space="preserve"> A</w:t>
      </w:r>
      <w:r w:rsidR="00CE5355">
        <w:t xml:space="preserve">n overview of </w:t>
      </w:r>
      <w:r w:rsidR="00BC1DA4">
        <w:t>remain</w:t>
      </w:r>
      <w:r w:rsidR="00D05ADE">
        <w:t>ing</w:t>
      </w:r>
      <w:r w:rsidR="00BC1DA4">
        <w:t xml:space="preserve"> </w:t>
      </w:r>
      <w:r w:rsidR="00585A6D">
        <w:t>con</w:t>
      </w:r>
      <w:r w:rsidR="00EE59D5">
        <w:t>tent of the current</w:t>
      </w:r>
      <w:r w:rsidR="00D05ADE">
        <w:t xml:space="preserve"> filing procedures is </w:t>
      </w:r>
      <w:r w:rsidR="008D6A7E">
        <w:t>presented</w:t>
      </w:r>
      <w:r w:rsidR="003112D6">
        <w:t xml:space="preserve"> below </w:t>
      </w:r>
      <w:r w:rsidR="00D05ADE">
        <w:t>in</w:t>
      </w:r>
      <w:r w:rsidR="008D6A7E">
        <w:t xml:space="preserve"> </w:t>
      </w:r>
      <w:r w:rsidR="003112D6">
        <w:fldChar w:fldCharType="begin"/>
      </w:r>
      <w:r w:rsidR="003112D6">
        <w:instrText xml:space="preserve"> REF _Ref138837403 \r \h </w:instrText>
      </w:r>
      <w:r w:rsidR="003112D6">
        <w:fldChar w:fldCharType="separate"/>
      </w:r>
      <w:r w:rsidR="001A5BF8">
        <w:t>Table 1:</w:t>
      </w:r>
      <w:r w:rsidR="003112D6">
        <w:fldChar w:fldCharType="end"/>
      </w:r>
      <w:r w:rsidR="003112D6">
        <w:t xml:space="preserve"> </w:t>
      </w:r>
      <w:r w:rsidR="003112D6">
        <w:fldChar w:fldCharType="begin"/>
      </w:r>
      <w:r w:rsidR="003112D6">
        <w:instrText xml:space="preserve"> REF _Ref138837403 \h </w:instrText>
      </w:r>
      <w:r w:rsidR="003112D6">
        <w:fldChar w:fldCharType="separate"/>
      </w:r>
      <w:r w:rsidR="001A5BF8">
        <w:t>Overview of current filing procedures</w:t>
      </w:r>
      <w:r w:rsidR="003112D6">
        <w:fldChar w:fldCharType="end"/>
      </w:r>
      <w:r w:rsidR="003112D6">
        <w:t>.</w:t>
      </w:r>
    </w:p>
    <w:p w14:paraId="25A1BE47" w14:textId="77777777" w:rsidR="00CE5355" w:rsidRDefault="00CE5355" w:rsidP="00C77B6A">
      <w:pPr>
        <w:pStyle w:val="Paragraphbeforelist"/>
        <w:keepNext/>
      </w:pPr>
    </w:p>
    <w:p w14:paraId="726694EA" w14:textId="1C23A150" w:rsidR="00CE5355" w:rsidRPr="00E162C4" w:rsidRDefault="00CE5355" w:rsidP="00C77B6A">
      <w:pPr>
        <w:pStyle w:val="Tableheading"/>
      </w:pPr>
      <w:bookmarkStart w:id="10" w:name="_Ref138837403"/>
      <w:r>
        <w:t>Overview of current filing procedures</w:t>
      </w:r>
      <w:bookmarkEnd w:id="10"/>
    </w:p>
    <w:tbl>
      <w:tblPr>
        <w:tblStyle w:val="ACMAtablestyle"/>
        <w:tblW w:w="8642" w:type="dxa"/>
        <w:tblLayout w:type="fixed"/>
        <w:tblLook w:val="01E0" w:firstRow="1" w:lastRow="1" w:firstColumn="1" w:lastColumn="1" w:noHBand="0" w:noVBand="0"/>
        <w:tblCaption w:val="Table title to go here"/>
        <w:tblDescription w:val="Table description to go here"/>
      </w:tblPr>
      <w:tblGrid>
        <w:gridCol w:w="8642"/>
      </w:tblGrid>
      <w:tr w:rsidR="00CE5355" w:rsidRPr="00E162C4" w14:paraId="180D484C" w14:textId="77777777">
        <w:trPr>
          <w:cnfStyle w:val="100000000000" w:firstRow="1" w:lastRow="0" w:firstColumn="0" w:lastColumn="0" w:oddVBand="0" w:evenVBand="0" w:oddHBand="0" w:evenHBand="0" w:firstRowFirstColumn="0" w:firstRowLastColumn="0" w:lastRowFirstColumn="0" w:lastRowLastColumn="0"/>
        </w:trPr>
        <w:tc>
          <w:tcPr>
            <w:tcW w:w="8642" w:type="dxa"/>
          </w:tcPr>
          <w:p w14:paraId="646BD668" w14:textId="77777777" w:rsidR="00CE5355" w:rsidRPr="00E162C4" w:rsidRDefault="00CE5355" w:rsidP="00C77B6A">
            <w:pPr>
              <w:pStyle w:val="Tableheaderrow"/>
              <w:keepNext/>
            </w:pPr>
            <w:r>
              <w:t>Current filing procedures</w:t>
            </w:r>
          </w:p>
        </w:tc>
      </w:tr>
      <w:tr w:rsidR="00CE5355" w:rsidRPr="00E162C4" w14:paraId="716802C9" w14:textId="77777777">
        <w:trPr>
          <w:cnfStyle w:val="000000100000" w:firstRow="0" w:lastRow="0" w:firstColumn="0" w:lastColumn="0" w:oddVBand="0" w:evenVBand="0" w:oddHBand="1" w:evenHBand="0" w:firstRowFirstColumn="0" w:firstRowLastColumn="0" w:lastRowFirstColumn="0" w:lastRowLastColumn="0"/>
        </w:trPr>
        <w:tc>
          <w:tcPr>
            <w:tcW w:w="8642" w:type="dxa"/>
          </w:tcPr>
          <w:p w14:paraId="509B5065" w14:textId="77777777" w:rsidR="00CE5355" w:rsidRPr="006F3868" w:rsidRDefault="00CE5355" w:rsidP="00251F91">
            <w:pPr>
              <w:pStyle w:val="Bulletlevel1"/>
              <w:keepNext/>
              <w:numPr>
                <w:ilvl w:val="0"/>
                <w:numId w:val="0"/>
              </w:numPr>
              <w:spacing w:after="0"/>
              <w:ind w:left="295" w:hanging="295"/>
              <w:rPr>
                <w:b/>
                <w:bCs/>
              </w:rPr>
            </w:pPr>
            <w:r w:rsidRPr="006F3868">
              <w:rPr>
                <w:b/>
                <w:bCs/>
              </w:rPr>
              <w:t>Application and assessment process</w:t>
            </w:r>
          </w:p>
        </w:tc>
      </w:tr>
      <w:tr w:rsidR="00CE5355" w:rsidRPr="00E162C4" w14:paraId="0C657514" w14:textId="77777777">
        <w:trPr>
          <w:cnfStyle w:val="000000010000" w:firstRow="0" w:lastRow="0" w:firstColumn="0" w:lastColumn="0" w:oddVBand="0" w:evenVBand="0" w:oddHBand="0" w:evenHBand="1" w:firstRowFirstColumn="0" w:firstRowLastColumn="0" w:lastRowFirstColumn="0" w:lastRowLastColumn="0"/>
        </w:trPr>
        <w:tc>
          <w:tcPr>
            <w:tcW w:w="8642" w:type="dxa"/>
          </w:tcPr>
          <w:p w14:paraId="3E3FDFE4" w14:textId="1255B94B" w:rsidR="00CE5355" w:rsidRDefault="001107EB" w:rsidP="00C77B6A">
            <w:pPr>
              <w:pStyle w:val="ListBullet"/>
              <w:keepNext/>
            </w:pPr>
            <w:r>
              <w:t>H</w:t>
            </w:r>
            <w:r w:rsidR="00CE5355">
              <w:t>ow to apply to the ACMA for a new satellite filing</w:t>
            </w:r>
            <w:r w:rsidR="00B51CFF">
              <w:t>.</w:t>
            </w:r>
            <w:r w:rsidR="00CE5355">
              <w:t xml:space="preserve"> </w:t>
            </w:r>
          </w:p>
          <w:p w14:paraId="337D05DF" w14:textId="5D7070C4" w:rsidR="00CE5355" w:rsidRDefault="001107EB" w:rsidP="00C77B6A">
            <w:pPr>
              <w:pStyle w:val="ListBullet"/>
              <w:keepNext/>
            </w:pPr>
            <w:r>
              <w:t>C</w:t>
            </w:r>
            <w:r w:rsidR="00CE5355">
              <w:t xml:space="preserve">riteria that need to be fulfilled for the ACMA to accept the application to file a new satellite </w:t>
            </w:r>
            <w:r w:rsidR="00A70472">
              <w:t xml:space="preserve">system </w:t>
            </w:r>
            <w:r w:rsidR="00CE5355">
              <w:t>with the ITU</w:t>
            </w:r>
            <w:r w:rsidR="006325D8">
              <w:t>,</w:t>
            </w:r>
            <w:r w:rsidR="00CE5355">
              <w:t xml:space="preserve"> with the principal assessment criterion being substantive Australian benefit derived from the use of the radio frequencies</w:t>
            </w:r>
            <w:r w:rsidR="00E76079">
              <w:t xml:space="preserve">. Other </w:t>
            </w:r>
            <w:r w:rsidR="001A0089">
              <w:t xml:space="preserve">criteria </w:t>
            </w:r>
            <w:r w:rsidR="00EC2675">
              <w:t>include:</w:t>
            </w:r>
          </w:p>
          <w:p w14:paraId="16E112D1" w14:textId="296B8A0B" w:rsidR="00EC2675" w:rsidRDefault="00B55D9C" w:rsidP="00C77B6A">
            <w:pPr>
              <w:pStyle w:val="ListBullet"/>
              <w:keepNext/>
              <w:ind w:left="579"/>
            </w:pPr>
            <w:r>
              <w:t xml:space="preserve">the </w:t>
            </w:r>
            <w:r w:rsidR="006325D8">
              <w:t>a</w:t>
            </w:r>
            <w:r w:rsidR="00FC5E28">
              <w:t>pplicant must be an Australia</w:t>
            </w:r>
            <w:r w:rsidR="006325D8">
              <w:t>n</w:t>
            </w:r>
            <w:r w:rsidR="00FC5E28">
              <w:t xml:space="preserve"> company </w:t>
            </w:r>
            <w:r w:rsidR="00EC2675">
              <w:t xml:space="preserve"> </w:t>
            </w:r>
          </w:p>
          <w:p w14:paraId="306F0C06" w14:textId="22F3F02B" w:rsidR="00EC2675" w:rsidRPr="00AD5C20" w:rsidRDefault="006325D8" w:rsidP="00C77B6A">
            <w:pPr>
              <w:pStyle w:val="ListBullet"/>
              <w:keepNext/>
              <w:ind w:left="579"/>
            </w:pPr>
            <w:r>
              <w:t>c</w:t>
            </w:r>
            <w:r w:rsidR="00EC2675" w:rsidRPr="007E12E5">
              <w:t>ompatibility with Australia</w:t>
            </w:r>
            <w:r w:rsidR="00D802E7">
              <w:t>n</w:t>
            </w:r>
            <w:r w:rsidR="00EC2675" w:rsidRPr="007E12E5">
              <w:t xml:space="preserve"> </w:t>
            </w:r>
            <w:r w:rsidR="00EC2675">
              <w:t xml:space="preserve">and ITU </w:t>
            </w:r>
            <w:r w:rsidR="00EC2675" w:rsidRPr="007E12E5">
              <w:t>spectrum arrangements</w:t>
            </w:r>
            <w:r w:rsidR="00D802E7">
              <w:t>,</w:t>
            </w:r>
            <w:r w:rsidR="00EC2675" w:rsidRPr="007E12E5">
              <w:t xml:space="preserve"> both legislative and administrative </w:t>
            </w:r>
          </w:p>
          <w:p w14:paraId="0931106A" w14:textId="03515E18" w:rsidR="00EC2675" w:rsidRPr="00AD5C20" w:rsidRDefault="00D802E7" w:rsidP="00C77B6A">
            <w:pPr>
              <w:pStyle w:val="ListBullet"/>
              <w:keepNext/>
              <w:ind w:left="579"/>
            </w:pPr>
            <w:r>
              <w:t>n</w:t>
            </w:r>
            <w:r w:rsidR="00EC2675" w:rsidRPr="007E12E5">
              <w:t>ew applicants must demonstrate that they have technical and financial credentials to support the filing.</w:t>
            </w:r>
          </w:p>
          <w:p w14:paraId="5E56FFE5" w14:textId="7DB21A7B" w:rsidR="00CE5355" w:rsidRDefault="00D802E7" w:rsidP="00C77B6A">
            <w:pPr>
              <w:pStyle w:val="ListBullet"/>
              <w:keepNext/>
            </w:pPr>
            <w:r>
              <w:t>T</w:t>
            </w:r>
            <w:r w:rsidR="00CE5355">
              <w:t>he management level within the ACMA for the decision to accept or reject the application</w:t>
            </w:r>
            <w:r w:rsidR="00B51CFF">
              <w:t>.</w:t>
            </w:r>
          </w:p>
          <w:p w14:paraId="4AA3E3C2" w14:textId="282C7563" w:rsidR="00CE5355" w:rsidRPr="00E162C4" w:rsidRDefault="00D802E7" w:rsidP="00C77B6A">
            <w:pPr>
              <w:pStyle w:val="ListBullet"/>
              <w:keepNext/>
            </w:pPr>
            <w:r>
              <w:t>G</w:t>
            </w:r>
            <w:r w:rsidR="00CE5355">
              <w:t>uidance on the requirements for domestic coordination between Australian satellite operators.</w:t>
            </w:r>
          </w:p>
        </w:tc>
      </w:tr>
      <w:tr w:rsidR="00CE5355" w:rsidRPr="008D7D23" w14:paraId="31615C8F" w14:textId="77777777">
        <w:trPr>
          <w:cnfStyle w:val="000000100000" w:firstRow="0" w:lastRow="0" w:firstColumn="0" w:lastColumn="0" w:oddVBand="0" w:evenVBand="0" w:oddHBand="1" w:evenHBand="0" w:firstRowFirstColumn="0" w:firstRowLastColumn="0" w:lastRowFirstColumn="0" w:lastRowLastColumn="0"/>
        </w:trPr>
        <w:tc>
          <w:tcPr>
            <w:tcW w:w="8642" w:type="dxa"/>
          </w:tcPr>
          <w:p w14:paraId="2B492D73" w14:textId="77777777" w:rsidR="00CE5355" w:rsidRPr="008D7D23" w:rsidRDefault="00CE5355">
            <w:pPr>
              <w:pStyle w:val="TableBody"/>
              <w:rPr>
                <w:b/>
                <w:bCs/>
              </w:rPr>
            </w:pPr>
            <w:r w:rsidRPr="008D7D23">
              <w:rPr>
                <w:b/>
                <w:bCs/>
              </w:rPr>
              <w:t xml:space="preserve">Procedures for managing a filing submitted to the ITU </w:t>
            </w:r>
          </w:p>
        </w:tc>
      </w:tr>
      <w:tr w:rsidR="00CE5355" w:rsidRPr="00E162C4" w14:paraId="6B4F37E6" w14:textId="77777777">
        <w:trPr>
          <w:cnfStyle w:val="000000010000" w:firstRow="0" w:lastRow="0" w:firstColumn="0" w:lastColumn="0" w:oddVBand="0" w:evenVBand="0" w:oddHBand="0" w:evenHBand="1" w:firstRowFirstColumn="0" w:firstRowLastColumn="0" w:lastRowFirstColumn="0" w:lastRowLastColumn="0"/>
        </w:trPr>
        <w:tc>
          <w:tcPr>
            <w:tcW w:w="8642" w:type="dxa"/>
          </w:tcPr>
          <w:p w14:paraId="7F28B43C" w14:textId="30A26301" w:rsidR="00CE5355" w:rsidRDefault="00D802E7">
            <w:pPr>
              <w:pStyle w:val="Bulletlevel1"/>
            </w:pPr>
            <w:r>
              <w:t>O</w:t>
            </w:r>
            <w:r w:rsidR="00CE5355">
              <w:t>bligations of satellite operators</w:t>
            </w:r>
            <w:r w:rsidR="0098600A">
              <w:t>.</w:t>
            </w:r>
          </w:p>
          <w:p w14:paraId="57975D47" w14:textId="60BCF960" w:rsidR="00CE5355" w:rsidRDefault="00D802E7">
            <w:pPr>
              <w:pStyle w:val="Bulletlevel1"/>
            </w:pPr>
            <w:r>
              <w:t>T</w:t>
            </w:r>
            <w:r w:rsidR="00CE5355">
              <w:t>he international process of coordination and notification of satellite systems (this is what happens after a system is filed with the ITU)</w:t>
            </w:r>
            <w:r w:rsidR="0098600A">
              <w:t>.</w:t>
            </w:r>
          </w:p>
          <w:p w14:paraId="64E253D1" w14:textId="3DA2E72B" w:rsidR="00CE5355" w:rsidRDefault="00D802E7" w:rsidP="00FE41BB">
            <w:pPr>
              <w:pStyle w:val="Bulletlevel1"/>
            </w:pPr>
            <w:r>
              <w:t>M</w:t>
            </w:r>
            <w:r w:rsidR="00CE5355">
              <w:t xml:space="preserve">ilestones that need to be met by Australian satellite operators, </w:t>
            </w:r>
            <w:proofErr w:type="gramStart"/>
            <w:r w:rsidR="00CE5355">
              <w:t>in order to</w:t>
            </w:r>
            <w:proofErr w:type="gramEnd"/>
            <w:r w:rsidR="00CE5355">
              <w:t xml:space="preserve"> manage Australian obligations and </w:t>
            </w:r>
            <w:r w:rsidR="00B35EB0">
              <w:t>ITU</w:t>
            </w:r>
            <w:r w:rsidR="00CE5355">
              <w:t xml:space="preserve"> requirements for bringing a satellite system into use.</w:t>
            </w:r>
          </w:p>
          <w:p w14:paraId="59B66FC3" w14:textId="689A3482" w:rsidR="00CE5355" w:rsidRDefault="00515C36" w:rsidP="00FE41BB">
            <w:pPr>
              <w:pStyle w:val="Bulletlevel1"/>
            </w:pPr>
            <w:r>
              <w:t>P</w:t>
            </w:r>
            <w:r w:rsidR="00CE5355">
              <w:t>rocess of transfer</w:t>
            </w:r>
            <w:r>
              <w:t>ring</w:t>
            </w:r>
            <w:r w:rsidR="00CE5355">
              <w:t xml:space="preserve"> access to the filing between Australian satellite operators.</w:t>
            </w:r>
          </w:p>
          <w:p w14:paraId="29C45074" w14:textId="7EDD5529" w:rsidR="00CE5355" w:rsidRPr="00E162C4" w:rsidRDefault="00AE3B22" w:rsidP="00515C36">
            <w:pPr>
              <w:pStyle w:val="Bulletlevel1last"/>
            </w:pPr>
            <w:r>
              <w:t>T</w:t>
            </w:r>
            <w:r w:rsidR="00CE5355">
              <w:t>he requirement to cost recover the ACMA</w:t>
            </w:r>
            <w:r>
              <w:t>’s</w:t>
            </w:r>
            <w:r w:rsidR="00CE5355">
              <w:t xml:space="preserve"> activities supporting the filing and subsequent processes</w:t>
            </w:r>
            <w:r>
              <w:t>.</w:t>
            </w:r>
          </w:p>
        </w:tc>
      </w:tr>
    </w:tbl>
    <w:p w14:paraId="27E32B0C" w14:textId="77777777" w:rsidR="00391281" w:rsidRPr="00391281" w:rsidRDefault="00391281" w:rsidP="00391281">
      <w:pPr>
        <w:pStyle w:val="Paragraph"/>
      </w:pPr>
    </w:p>
    <w:p w14:paraId="1DDB9AAD" w14:textId="74A57DD3" w:rsidR="008F7335" w:rsidRPr="00CE7F3A" w:rsidRDefault="008F7335" w:rsidP="008F7335">
      <w:pPr>
        <w:pStyle w:val="Heading2"/>
      </w:pPr>
      <w:bookmarkStart w:id="11" w:name="_Toc139371622"/>
      <w:bookmarkStart w:id="12" w:name="_Toc144213382"/>
      <w:r>
        <w:t>Overview of review</w:t>
      </w:r>
      <w:bookmarkEnd w:id="11"/>
      <w:bookmarkEnd w:id="12"/>
      <w:r>
        <w:t xml:space="preserve"> </w:t>
      </w:r>
    </w:p>
    <w:p w14:paraId="3225CDCC" w14:textId="5CF184C1" w:rsidR="00B84E15" w:rsidRDefault="005D365B" w:rsidP="00541623">
      <w:pPr>
        <w:pStyle w:val="Paragraphbeforelist"/>
      </w:pPr>
      <w:r>
        <w:t xml:space="preserve">We </w:t>
      </w:r>
      <w:r w:rsidR="0049438B">
        <w:t xml:space="preserve">have </w:t>
      </w:r>
      <w:r w:rsidR="00682C06">
        <w:t xml:space="preserve">reviewed our filing procedures and </w:t>
      </w:r>
      <w:r w:rsidR="00A06F74">
        <w:t>develop</w:t>
      </w:r>
      <w:r w:rsidR="001C7365">
        <w:t>ed</w:t>
      </w:r>
      <w:r w:rsidR="00A06F74">
        <w:t xml:space="preserve"> </w:t>
      </w:r>
      <w:r w:rsidR="00793DB2">
        <w:t xml:space="preserve">draft </w:t>
      </w:r>
      <w:r w:rsidR="00A06F74">
        <w:t xml:space="preserve">revised </w:t>
      </w:r>
      <w:r w:rsidR="00793DB2">
        <w:t xml:space="preserve">filing </w:t>
      </w:r>
      <w:r w:rsidR="00A06F74">
        <w:t xml:space="preserve">procedures for </w:t>
      </w:r>
      <w:r w:rsidR="001F702D">
        <w:t>consultation</w:t>
      </w:r>
      <w:r w:rsidR="004E75B5">
        <w:t xml:space="preserve">. </w:t>
      </w:r>
      <w:r w:rsidR="0026670F">
        <w:t xml:space="preserve">This paper </w:t>
      </w:r>
      <w:r w:rsidR="00007558">
        <w:t xml:space="preserve">outlines the </w:t>
      </w:r>
      <w:r w:rsidR="00401B3C">
        <w:t xml:space="preserve">proposed </w:t>
      </w:r>
      <w:r w:rsidR="0026670F">
        <w:t>changes</w:t>
      </w:r>
      <w:r w:rsidR="00007558" w:rsidDel="00401B3C">
        <w:t xml:space="preserve"> </w:t>
      </w:r>
      <w:r w:rsidR="0026670F">
        <w:t xml:space="preserve">to the filing procedures. It also explores environmental, policy and regulatory matters that might </w:t>
      </w:r>
      <w:r w:rsidR="00C31DD3">
        <w:t>inform</w:t>
      </w:r>
      <w:r w:rsidR="0026670F">
        <w:t xml:space="preserve"> </w:t>
      </w:r>
      <w:r w:rsidR="00C31DD3">
        <w:t xml:space="preserve">other </w:t>
      </w:r>
      <w:r w:rsidR="0026670F">
        <w:t>future changes to our approach to satellite filing and to licensing of space</w:t>
      </w:r>
      <w:r w:rsidR="00805C93">
        <w:t>-</w:t>
      </w:r>
      <w:r w:rsidR="0026670F">
        <w:t>based communication systems.</w:t>
      </w:r>
      <w:r w:rsidR="00AD79EE">
        <w:t xml:space="preserve"> </w:t>
      </w:r>
      <w:r w:rsidR="001C5969">
        <w:t>Key m</w:t>
      </w:r>
      <w:r w:rsidR="00B84E15">
        <w:t>atters consider</w:t>
      </w:r>
      <w:r w:rsidR="00541623">
        <w:t>ed are:</w:t>
      </w:r>
      <w:r w:rsidR="00B84E15">
        <w:t xml:space="preserve"> </w:t>
      </w:r>
    </w:p>
    <w:p w14:paraId="4825C5C0" w14:textId="7EFE6E25" w:rsidR="00A43794" w:rsidRDefault="00581580" w:rsidP="00B84E15">
      <w:pPr>
        <w:pStyle w:val="ListBullet"/>
      </w:pPr>
      <w:r>
        <w:t>i</w:t>
      </w:r>
      <w:r w:rsidR="00A43794">
        <w:t>nternational arrangements</w:t>
      </w:r>
    </w:p>
    <w:p w14:paraId="6F54E3E6" w14:textId="643A12E0" w:rsidR="00B84E15" w:rsidRDefault="00581580" w:rsidP="00B84E15">
      <w:pPr>
        <w:pStyle w:val="ListBullet"/>
      </w:pPr>
      <w:r>
        <w:t xml:space="preserve">the </w:t>
      </w:r>
      <w:r w:rsidR="00B84E15">
        <w:t>ACMA</w:t>
      </w:r>
      <w:r>
        <w:t>’s</w:t>
      </w:r>
      <w:r w:rsidR="00B84E15">
        <w:t xml:space="preserve"> approach to satellite filing</w:t>
      </w:r>
    </w:p>
    <w:p w14:paraId="26B7D1C3" w14:textId="01D48F49" w:rsidR="00B84E15" w:rsidRDefault="00581580" w:rsidP="00B84E15">
      <w:pPr>
        <w:pStyle w:val="ListBullet"/>
      </w:pPr>
      <w:r>
        <w:t>the r</w:t>
      </w:r>
      <w:r w:rsidR="00B84E15">
        <w:t>elationship between satellite filing and licensing</w:t>
      </w:r>
    </w:p>
    <w:p w14:paraId="74F6EC32" w14:textId="52899126" w:rsidR="00B84E15" w:rsidRDefault="00581580" w:rsidP="00B84E15">
      <w:pPr>
        <w:pStyle w:val="ListBullet"/>
      </w:pPr>
      <w:r>
        <w:t>l</w:t>
      </w:r>
      <w:r w:rsidR="00B84E15">
        <w:t>arge NGSO satellite systems</w:t>
      </w:r>
    </w:p>
    <w:p w14:paraId="453A96F4" w14:textId="02925067" w:rsidR="001C5969" w:rsidRDefault="00581580" w:rsidP="001B30EB">
      <w:pPr>
        <w:pStyle w:val="ListBulletLast"/>
      </w:pPr>
      <w:r>
        <w:t>e</w:t>
      </w:r>
      <w:r w:rsidR="001B30EB">
        <w:t xml:space="preserve">merging issues in satellite coordination identified by </w:t>
      </w:r>
      <w:r w:rsidR="00902C34">
        <w:t xml:space="preserve">the </w:t>
      </w:r>
      <w:r w:rsidR="001C5969">
        <w:t xml:space="preserve">ITU </w:t>
      </w:r>
      <w:hyperlink r:id="rId29" w:history="1">
        <w:r w:rsidR="001C5969" w:rsidRPr="00A37B85">
          <w:rPr>
            <w:rStyle w:val="Hyperlink"/>
          </w:rPr>
          <w:t>R</w:t>
        </w:r>
        <w:r w:rsidR="001B30EB" w:rsidRPr="00A37B85">
          <w:rPr>
            <w:rStyle w:val="Hyperlink"/>
          </w:rPr>
          <w:t>adio Regulation</w:t>
        </w:r>
        <w:r w:rsidR="00D0694E" w:rsidRPr="00A37B85">
          <w:rPr>
            <w:rStyle w:val="Hyperlink"/>
          </w:rPr>
          <w:t>s</w:t>
        </w:r>
        <w:r w:rsidR="001B30EB" w:rsidRPr="00A37B85">
          <w:rPr>
            <w:rStyle w:val="Hyperlink"/>
          </w:rPr>
          <w:t xml:space="preserve"> Board</w:t>
        </w:r>
      </w:hyperlink>
      <w:r w:rsidR="00D0694E">
        <w:t xml:space="preserve"> (RRB)</w:t>
      </w:r>
      <w:r w:rsidR="00793DB2">
        <w:t>.</w:t>
      </w:r>
    </w:p>
    <w:p w14:paraId="1FB2B2B6" w14:textId="33825224" w:rsidR="00E619EB" w:rsidRDefault="0026670F" w:rsidP="00B84E15">
      <w:r>
        <w:lastRenderedPageBreak/>
        <w:t>While we have previously explored our approach to licensing of space</w:t>
      </w:r>
      <w:r w:rsidR="009A513C">
        <w:t>-</w:t>
      </w:r>
      <w:r>
        <w:t xml:space="preserve">based communications systems in </w:t>
      </w:r>
      <w:r w:rsidR="00581580">
        <w:t xml:space="preserve">our </w:t>
      </w:r>
      <w:r>
        <w:t xml:space="preserve">previous consultation on the </w:t>
      </w:r>
      <w:hyperlink r:id="rId30" w:history="1">
        <w:r w:rsidRPr="00581580">
          <w:rPr>
            <w:rStyle w:val="Hyperlink"/>
          </w:rPr>
          <w:t>draft</w:t>
        </w:r>
        <w:r w:rsidRPr="00F94FB3">
          <w:rPr>
            <w:rStyle w:val="Hyperlink"/>
            <w:i/>
            <w:iCs/>
          </w:rPr>
          <w:t xml:space="preserve"> </w:t>
        </w:r>
        <w:r w:rsidR="002A4761" w:rsidRPr="00F94FB3">
          <w:rPr>
            <w:rStyle w:val="Hyperlink"/>
            <w:i/>
            <w:iCs/>
          </w:rPr>
          <w:t>F</w:t>
        </w:r>
        <w:r w:rsidR="00A42A62" w:rsidRPr="00F94FB3">
          <w:rPr>
            <w:rStyle w:val="Hyperlink"/>
            <w:i/>
            <w:iCs/>
          </w:rPr>
          <w:t>ive year spectrum outlook</w:t>
        </w:r>
        <w:r w:rsidRPr="00F94FB3">
          <w:rPr>
            <w:rStyle w:val="Hyperlink"/>
            <w:i/>
            <w:iCs/>
          </w:rPr>
          <w:t xml:space="preserve"> 2022</w:t>
        </w:r>
        <w:r w:rsidR="007B5476">
          <w:rPr>
            <w:rStyle w:val="Hyperlink"/>
            <w:i/>
            <w:iCs/>
          </w:rPr>
          <w:t>–</w:t>
        </w:r>
        <w:r w:rsidRPr="00F94FB3">
          <w:rPr>
            <w:rStyle w:val="Hyperlink"/>
            <w:i/>
            <w:iCs/>
          </w:rPr>
          <w:t>27</w:t>
        </w:r>
      </w:hyperlink>
      <w:r w:rsidR="00581580">
        <w:t xml:space="preserve"> (FYSO),</w:t>
      </w:r>
      <w:r>
        <w:rPr>
          <w:rStyle w:val="FootnoteReference"/>
        </w:rPr>
        <w:footnoteReference w:id="9"/>
      </w:r>
      <w:r>
        <w:t xml:space="preserve"> the intent of this consultation is to explore more broadly the relationship between filing and licensing and need for a possible change in approach</w:t>
      </w:r>
      <w:r w:rsidR="00A4182F">
        <w:t xml:space="preserve"> at the filing stage</w:t>
      </w:r>
      <w:r>
        <w:t>.</w:t>
      </w:r>
      <w:r w:rsidR="00AD79EE">
        <w:t xml:space="preserve"> </w:t>
      </w:r>
    </w:p>
    <w:p w14:paraId="24333B8E" w14:textId="5C1D0B8E" w:rsidR="00DF6AB7" w:rsidRDefault="0026670F" w:rsidP="005E37FF">
      <w:pPr>
        <w:pStyle w:val="Paragraph"/>
      </w:pPr>
      <w:r>
        <w:t xml:space="preserve">Our conclusion at this stage is that our overall approach to filing and licensing remains </w:t>
      </w:r>
      <w:r w:rsidR="003B7147">
        <w:t>appropriate,</w:t>
      </w:r>
      <w:r>
        <w:t xml:space="preserve"> and no changes are planned. However</w:t>
      </w:r>
      <w:r w:rsidR="00581580">
        <w:t>,</w:t>
      </w:r>
      <w:r>
        <w:t xml:space="preserve"> we are aware </w:t>
      </w:r>
      <w:r w:rsidR="001314E4">
        <w:t xml:space="preserve">– </w:t>
      </w:r>
      <w:r>
        <w:t xml:space="preserve">as discussed here and outlined in </w:t>
      </w:r>
      <w:r w:rsidR="002015AB">
        <w:t>our</w:t>
      </w:r>
      <w:r>
        <w:t xml:space="preserve"> </w:t>
      </w:r>
      <w:hyperlink r:id="rId31" w:history="1">
        <w:r w:rsidR="00B34E99" w:rsidRPr="009E75B6">
          <w:rPr>
            <w:rStyle w:val="Hyperlink"/>
          </w:rPr>
          <w:t xml:space="preserve">draft </w:t>
        </w:r>
        <w:r w:rsidR="002A4761">
          <w:rPr>
            <w:rStyle w:val="Hyperlink"/>
          </w:rPr>
          <w:t>FYSO</w:t>
        </w:r>
        <w:r w:rsidR="00262CEE" w:rsidRPr="009E75B6">
          <w:rPr>
            <w:rStyle w:val="Hyperlink"/>
          </w:rPr>
          <w:t xml:space="preserve"> </w:t>
        </w:r>
        <w:r w:rsidR="002015AB" w:rsidRPr="009E75B6">
          <w:rPr>
            <w:rStyle w:val="Hyperlink"/>
          </w:rPr>
          <w:t>202</w:t>
        </w:r>
        <w:r w:rsidR="00B34E99" w:rsidRPr="009E75B6">
          <w:rPr>
            <w:rStyle w:val="Hyperlink"/>
          </w:rPr>
          <w:t>3</w:t>
        </w:r>
        <w:r w:rsidR="002015AB" w:rsidRPr="009E75B6">
          <w:rPr>
            <w:rStyle w:val="Hyperlink"/>
          </w:rPr>
          <w:t>–2</w:t>
        </w:r>
        <w:r w:rsidR="00B34E99" w:rsidRPr="009E75B6">
          <w:rPr>
            <w:rStyle w:val="Hyperlink"/>
          </w:rPr>
          <w:t>8</w:t>
        </w:r>
      </w:hyperlink>
      <w:r w:rsidR="002015AB">
        <w:t xml:space="preserve"> </w:t>
      </w:r>
      <w:r w:rsidR="001314E4">
        <w:t xml:space="preserve">– </w:t>
      </w:r>
      <w:r>
        <w:t>of developments in the policy, regulatory reform and spectrum demand drivers impacting on satellite communications. We intend to continue to monitor these developments and seek industry views on whether these trends and changes necessitate a change in our approach.</w:t>
      </w:r>
    </w:p>
    <w:p w14:paraId="3EB9D571" w14:textId="77777777" w:rsidR="005E37FF" w:rsidRDefault="0026670F" w:rsidP="005E37FF">
      <w:pPr>
        <w:pStyle w:val="Paragraph"/>
      </w:pPr>
      <w:r>
        <w:t xml:space="preserve">Feedback received will be used to finalise </w:t>
      </w:r>
      <w:r w:rsidR="00B8555E">
        <w:t xml:space="preserve">the </w:t>
      </w:r>
      <w:r>
        <w:t xml:space="preserve">update to the </w:t>
      </w:r>
      <w:r w:rsidR="00A80BF8">
        <w:t xml:space="preserve">filing </w:t>
      </w:r>
      <w:r>
        <w:t>procedures and to identify areas for possible future consideration and review.</w:t>
      </w:r>
      <w:r w:rsidR="005E37FF" w:rsidRPr="005E37FF">
        <w:t xml:space="preserve"> </w:t>
      </w:r>
    </w:p>
    <w:p w14:paraId="0AEFC7E3" w14:textId="743D1D73" w:rsidR="0026670F" w:rsidRDefault="005E37FF" w:rsidP="009F1711">
      <w:pPr>
        <w:pStyle w:val="Paragraph"/>
      </w:pPr>
      <w:r>
        <w:t xml:space="preserve">In addition to matters discussed in this paper, we are aware </w:t>
      </w:r>
      <w:r w:rsidR="004E7FA9">
        <w:t>of</w:t>
      </w:r>
      <w:r>
        <w:t xml:space="preserve"> </w:t>
      </w:r>
      <w:r w:rsidRPr="00E13810">
        <w:t xml:space="preserve">technology innovations that will allow </w:t>
      </w:r>
      <w:r>
        <w:t xml:space="preserve">consumer mobile phones to </w:t>
      </w:r>
      <w:r w:rsidRPr="00E13810">
        <w:t>communicate directly with a satellite syste</w:t>
      </w:r>
      <w:r>
        <w:t>m (</w:t>
      </w:r>
      <w:r w:rsidR="009E029A">
        <w:t xml:space="preserve">known as </w:t>
      </w:r>
      <w:r>
        <w:t>satellite direct to mobile). We are separately investigating these development</w:t>
      </w:r>
      <w:r w:rsidR="00B87036">
        <w:t>s</w:t>
      </w:r>
      <w:r>
        <w:t xml:space="preserve"> </w:t>
      </w:r>
      <w:r w:rsidR="00EB1B9C">
        <w:t xml:space="preserve">and </w:t>
      </w:r>
      <w:r w:rsidR="00CA6668">
        <w:t xml:space="preserve">will </w:t>
      </w:r>
      <w:r w:rsidR="00933151">
        <w:t xml:space="preserve">consider </w:t>
      </w:r>
      <w:r w:rsidR="00EB1B9C">
        <w:t xml:space="preserve">them in more </w:t>
      </w:r>
      <w:r>
        <w:t xml:space="preserve">detail in </w:t>
      </w:r>
      <w:r w:rsidR="00B87036">
        <w:t xml:space="preserve">our annual work program, </w:t>
      </w:r>
      <w:r w:rsidR="004E75B5">
        <w:t xml:space="preserve">to be </w:t>
      </w:r>
      <w:r w:rsidR="00B87036">
        <w:t>outlined in</w:t>
      </w:r>
      <w:r w:rsidR="004E75B5">
        <w:t xml:space="preserve"> our finalised</w:t>
      </w:r>
      <w:r w:rsidR="00B87036">
        <w:t xml:space="preserve"> </w:t>
      </w:r>
      <w:r>
        <w:t>FYSO 2023–28</w:t>
      </w:r>
      <w:r w:rsidR="00CA6668">
        <w:t>.</w:t>
      </w:r>
    </w:p>
    <w:p w14:paraId="2BD41380" w14:textId="109080B4" w:rsidR="0026670F" w:rsidRPr="00CE7F3A" w:rsidRDefault="0026670F" w:rsidP="0026670F">
      <w:pPr>
        <w:pStyle w:val="Heading2"/>
      </w:pPr>
      <w:bookmarkStart w:id="13" w:name="_Toc139371623"/>
      <w:bookmarkStart w:id="14" w:name="_Toc144213383"/>
      <w:r>
        <w:t xml:space="preserve">Overview of </w:t>
      </w:r>
      <w:r w:rsidR="00643A2A">
        <w:t>changes</w:t>
      </w:r>
      <w:bookmarkStart w:id="15" w:name="_Toc433122125"/>
      <w:bookmarkEnd w:id="13"/>
      <w:bookmarkEnd w:id="14"/>
    </w:p>
    <w:p w14:paraId="5F0F32EE" w14:textId="7550AF31" w:rsidR="0026670F" w:rsidRDefault="000B4174" w:rsidP="0026670F">
      <w:pPr>
        <w:pStyle w:val="Paragraphbeforelist"/>
      </w:pPr>
      <w:r>
        <w:t xml:space="preserve">Having </w:t>
      </w:r>
      <w:r w:rsidR="0026670F">
        <w:t xml:space="preserve">conducted an initial review </w:t>
      </w:r>
      <w:r>
        <w:t xml:space="preserve">of the </w:t>
      </w:r>
      <w:r w:rsidR="00793BC4">
        <w:t>filing</w:t>
      </w:r>
      <w:r>
        <w:t xml:space="preserve"> procedure</w:t>
      </w:r>
      <w:r w:rsidR="00793BC4">
        <w:t>s</w:t>
      </w:r>
      <w:r w:rsidR="00DC1193">
        <w:t>,</w:t>
      </w:r>
      <w:r w:rsidR="00793BC4">
        <w:t xml:space="preserve"> </w:t>
      </w:r>
      <w:r>
        <w:t xml:space="preserve">we have </w:t>
      </w:r>
      <w:r w:rsidR="00793BC4">
        <w:t>identified</w:t>
      </w:r>
      <w:r w:rsidR="0026670F">
        <w:t xml:space="preserve"> a need to update the procedures to:</w:t>
      </w:r>
    </w:p>
    <w:p w14:paraId="6521CF1E" w14:textId="50F22A00" w:rsidR="0026670F" w:rsidRDefault="0026670F" w:rsidP="0057763F">
      <w:pPr>
        <w:pStyle w:val="ListBullet"/>
      </w:pPr>
      <w:r>
        <w:t>improve clarity and readability</w:t>
      </w:r>
      <w:r w:rsidRPr="00E71878">
        <w:t xml:space="preserve"> </w:t>
      </w:r>
      <w:r w:rsidR="00581580">
        <w:t xml:space="preserve">– </w:t>
      </w:r>
      <w:r>
        <w:t>achieve</w:t>
      </w:r>
      <w:r w:rsidR="00DC1193">
        <w:t>d</w:t>
      </w:r>
      <w:r>
        <w:t xml:space="preserve"> in part by restructuring the procedures to provide greater clarity on the regulatory background, </w:t>
      </w:r>
      <w:r w:rsidR="00834232">
        <w:t xml:space="preserve">and </w:t>
      </w:r>
      <w:r>
        <w:t xml:space="preserve">application and assessment process </w:t>
      </w:r>
    </w:p>
    <w:p w14:paraId="5D13B000" w14:textId="77C5D9C1" w:rsidR="0026670F" w:rsidRDefault="00E01BB6" w:rsidP="0057763F">
      <w:pPr>
        <w:pStyle w:val="ListBullet"/>
      </w:pPr>
      <w:r>
        <w:t>clarify the</w:t>
      </w:r>
      <w:r w:rsidR="0026670F">
        <w:t xml:space="preserve"> ongoing obligation</w:t>
      </w:r>
      <w:r>
        <w:t>s</w:t>
      </w:r>
      <w:r w:rsidR="0026670F">
        <w:t xml:space="preserve"> </w:t>
      </w:r>
      <w:r>
        <w:t>of</w:t>
      </w:r>
      <w:r w:rsidR="0026670F">
        <w:t xml:space="preserve"> satellite operators</w:t>
      </w:r>
    </w:p>
    <w:p w14:paraId="5753E4BD" w14:textId="515F41D0" w:rsidR="0026670F" w:rsidRPr="0090602D" w:rsidRDefault="0026670F" w:rsidP="0057763F">
      <w:pPr>
        <w:pStyle w:val="ListBullet"/>
        <w:rPr>
          <w:rFonts w:ascii="Calibri" w:hAnsi="Calibri"/>
        </w:rPr>
      </w:pPr>
      <w:r>
        <w:t xml:space="preserve">introduce a new option for the assessment of </w:t>
      </w:r>
      <w:r w:rsidR="00CF62EF">
        <w:t>short-duration mission</w:t>
      </w:r>
      <w:r>
        <w:t xml:space="preserve"> applications</w:t>
      </w:r>
    </w:p>
    <w:p w14:paraId="487B0059" w14:textId="7C3FB03B" w:rsidR="0026670F" w:rsidRPr="00E05A37" w:rsidRDefault="0026670F" w:rsidP="0057763F">
      <w:pPr>
        <w:pStyle w:val="ListBulletLast"/>
        <w:rPr>
          <w:rFonts w:ascii="Calibri" w:hAnsi="Calibri"/>
        </w:rPr>
      </w:pPr>
      <w:r>
        <w:t>revis</w:t>
      </w:r>
      <w:r w:rsidR="00094D24">
        <w:t>e</w:t>
      </w:r>
      <w:r>
        <w:t xml:space="preserve"> the assessment criteria and procedures for managing the coordination and notification of satellite</w:t>
      </w:r>
      <w:r w:rsidR="006B10F0">
        <w:t xml:space="preserve"> systems</w:t>
      </w:r>
      <w:r>
        <w:t xml:space="preserve"> to be more reflective of </w:t>
      </w:r>
      <w:r w:rsidR="006B10F0">
        <w:t xml:space="preserve">the </w:t>
      </w:r>
      <w:r>
        <w:t>current regulatory environment and industry practices</w:t>
      </w:r>
      <w:r w:rsidR="00E01BB6">
        <w:t>.</w:t>
      </w:r>
      <w:r>
        <w:t xml:space="preserve"> </w:t>
      </w:r>
    </w:p>
    <w:p w14:paraId="10B99D99" w14:textId="1AE8FF8D" w:rsidR="0026670F" w:rsidRDefault="0026670F" w:rsidP="0026670F">
      <w:pPr>
        <w:pStyle w:val="Paragraph"/>
      </w:pPr>
      <w:r>
        <w:t>Proposed changes are outlined below</w:t>
      </w:r>
      <w:r w:rsidR="006B10F0">
        <w:t>,</w:t>
      </w:r>
      <w:r>
        <w:t xml:space="preserve"> with more substantial changes discussed in the </w:t>
      </w:r>
      <w:r w:rsidR="00E378A7">
        <w:t xml:space="preserve">following </w:t>
      </w:r>
      <w:r>
        <w:t>sections. To aid consideration, areas of key proposed changes to existing requirements are highlighted in the draft</w:t>
      </w:r>
      <w:r w:rsidR="00094D24">
        <w:t xml:space="preserve"> revised</w:t>
      </w:r>
      <w:r w:rsidR="00687D89">
        <w:t xml:space="preserve"> filing</w:t>
      </w:r>
      <w:r w:rsidR="00094D24">
        <w:t xml:space="preserve"> procedures</w:t>
      </w:r>
      <w:r>
        <w:t>.</w:t>
      </w:r>
    </w:p>
    <w:p w14:paraId="0CB18877" w14:textId="77777777" w:rsidR="0026670F" w:rsidRPr="00F7374B" w:rsidRDefault="0026670F" w:rsidP="0026670F">
      <w:pPr>
        <w:pStyle w:val="Heading3"/>
      </w:pPr>
      <w:bookmarkStart w:id="16" w:name="_Toc136444702"/>
      <w:bookmarkStart w:id="17" w:name="_Toc136444703"/>
      <w:bookmarkStart w:id="18" w:name="_Toc136444704"/>
      <w:bookmarkStart w:id="19" w:name="_Toc136444705"/>
      <w:bookmarkStart w:id="20" w:name="_Toc136444706"/>
      <w:bookmarkStart w:id="21" w:name="_Toc136444707"/>
      <w:bookmarkStart w:id="22" w:name="_Toc136444708"/>
      <w:bookmarkStart w:id="23" w:name="_Toc136444709"/>
      <w:bookmarkStart w:id="24" w:name="_Toc136444710"/>
      <w:bookmarkStart w:id="25" w:name="_Toc136444711"/>
      <w:bookmarkStart w:id="26" w:name="_Toc139371624"/>
      <w:bookmarkStart w:id="27" w:name="_Toc144213384"/>
      <w:bookmarkEnd w:id="16"/>
      <w:bookmarkEnd w:id="17"/>
      <w:bookmarkEnd w:id="18"/>
      <w:bookmarkEnd w:id="19"/>
      <w:bookmarkEnd w:id="20"/>
      <w:bookmarkEnd w:id="21"/>
      <w:bookmarkEnd w:id="22"/>
      <w:bookmarkEnd w:id="23"/>
      <w:bookmarkEnd w:id="24"/>
      <w:r>
        <w:t>Restructured document for readability and clarity</w:t>
      </w:r>
      <w:bookmarkEnd w:id="25"/>
      <w:bookmarkEnd w:id="26"/>
      <w:bookmarkEnd w:id="27"/>
    </w:p>
    <w:p w14:paraId="11CCE5B2" w14:textId="3BB9EB0E" w:rsidR="0026670F" w:rsidRDefault="0026670F" w:rsidP="0026670F">
      <w:pPr>
        <w:pStyle w:val="Paragraphbeforelist"/>
      </w:pPr>
      <w:r>
        <w:t xml:space="preserve">The filing procedures have been restructured for clarity and readability using our learnings </w:t>
      </w:r>
      <w:r w:rsidR="00763F1F">
        <w:t>from</w:t>
      </w:r>
      <w:r>
        <w:t xml:space="preserve"> assisting new satellite operators </w:t>
      </w:r>
      <w:r w:rsidR="00763F1F">
        <w:t xml:space="preserve">to </w:t>
      </w:r>
      <w:r>
        <w:t xml:space="preserve">understand the </w:t>
      </w:r>
      <w:r w:rsidR="00763F1F">
        <w:t xml:space="preserve">filing </w:t>
      </w:r>
      <w:r>
        <w:t>process to present the information in a more understandable way. The result is a revised document structure:</w:t>
      </w:r>
    </w:p>
    <w:p w14:paraId="7C94946F" w14:textId="5CABCB37" w:rsidR="0026670F" w:rsidRDefault="0026670F" w:rsidP="0026670F">
      <w:pPr>
        <w:pStyle w:val="ListBullet"/>
      </w:pPr>
      <w:r>
        <w:t>Section</w:t>
      </w:r>
      <w:r w:rsidR="007E203C">
        <w:t>s</w:t>
      </w:r>
      <w:r>
        <w:t xml:space="preserve"> 1 </w:t>
      </w:r>
      <w:r w:rsidR="007E203C">
        <w:t>and</w:t>
      </w:r>
      <w:r>
        <w:t xml:space="preserve"> 2 are new sections that have been drafted based on existing text.</w:t>
      </w:r>
    </w:p>
    <w:p w14:paraId="6B0F5E0F" w14:textId="24C61D2B" w:rsidR="0026670F" w:rsidRDefault="0026670F" w:rsidP="0026670F">
      <w:pPr>
        <w:pStyle w:val="ListBullet"/>
      </w:pPr>
      <w:r>
        <w:t xml:space="preserve">Section 1 (Introduction) provides background on the radiocommunications regulatory regime as it applies to satellite filing. It includes information contained in the document </w:t>
      </w:r>
      <w:hyperlink r:id="rId32" w:history="1">
        <w:r w:rsidRPr="000453E4">
          <w:rPr>
            <w:rStyle w:val="Hyperlink"/>
            <w:i/>
            <w:iCs/>
          </w:rPr>
          <w:t>Satellite coordination and notification regulatory environment</w:t>
        </w:r>
      </w:hyperlink>
      <w:r>
        <w:t>. As such</w:t>
      </w:r>
      <w:r w:rsidR="00581580">
        <w:t>,</w:t>
      </w:r>
      <w:r>
        <w:t xml:space="preserve"> that document will no longer be required when the update is </w:t>
      </w:r>
      <w:r w:rsidR="003B7147">
        <w:t>finalised,</w:t>
      </w:r>
      <w:r>
        <w:t xml:space="preserve"> and it will be removed from the ACMA website. </w:t>
      </w:r>
    </w:p>
    <w:p w14:paraId="4798497A" w14:textId="58DEE4EE" w:rsidR="0026670F" w:rsidRDefault="0026670F" w:rsidP="0026670F">
      <w:pPr>
        <w:pStyle w:val="ListBullet"/>
      </w:pPr>
      <w:r>
        <w:lastRenderedPageBreak/>
        <w:t xml:space="preserve">Section 2 (Application and assessment process) outlines the application and assessment process, covering matters </w:t>
      </w:r>
      <w:r w:rsidR="005C0AA5">
        <w:t xml:space="preserve">such </w:t>
      </w:r>
      <w:r>
        <w:t>as when a filing is require</w:t>
      </w:r>
      <w:r w:rsidR="005C0AA5">
        <w:t>d</w:t>
      </w:r>
      <w:r>
        <w:t>,</w:t>
      </w:r>
      <w:r w:rsidDel="005C0AA5">
        <w:t xml:space="preserve"> </w:t>
      </w:r>
      <w:r w:rsidR="005C0AA5">
        <w:t xml:space="preserve">who </w:t>
      </w:r>
      <w:r>
        <w:t>in the ACMA approve</w:t>
      </w:r>
      <w:r w:rsidR="005C0AA5">
        <w:t>s a</w:t>
      </w:r>
      <w:r>
        <w:t xml:space="preserve"> request to file, likely conditions of approval and obligations once a filing is approved</w:t>
      </w:r>
      <w:r w:rsidR="00120FA5">
        <w:t>.</w:t>
      </w:r>
      <w:r>
        <w:t xml:space="preserve"> </w:t>
      </w:r>
    </w:p>
    <w:p w14:paraId="3847BA0B" w14:textId="255F4F0C" w:rsidR="0026670F" w:rsidRDefault="0026670F" w:rsidP="0026670F">
      <w:pPr>
        <w:pStyle w:val="ListBullet"/>
      </w:pPr>
      <w:r>
        <w:t>Section 3 (</w:t>
      </w:r>
      <w:r w:rsidR="00F13C6F">
        <w:t>A</w:t>
      </w:r>
      <w:r>
        <w:t xml:space="preserve">ssessment criteria) </w:t>
      </w:r>
      <w:r w:rsidR="00120FA5">
        <w:t>deals only with</w:t>
      </w:r>
      <w:r>
        <w:t xml:space="preserve"> the assessment criteria. </w:t>
      </w:r>
      <w:r w:rsidR="00455927">
        <w:t xml:space="preserve">This is </w:t>
      </w:r>
      <w:r>
        <w:t xml:space="preserve">based on the section </w:t>
      </w:r>
      <w:r w:rsidR="004E75B5">
        <w:t>’</w:t>
      </w:r>
      <w:r w:rsidRPr="00A34F29">
        <w:t>The ACMA procedures for assessing proposed new satellite systems</w:t>
      </w:r>
      <w:r w:rsidR="004E75B5">
        <w:t>’</w:t>
      </w:r>
      <w:r>
        <w:t xml:space="preserve"> </w:t>
      </w:r>
      <w:r w:rsidR="00A170F9">
        <w:t xml:space="preserve">in our existing filing procedures. </w:t>
      </w:r>
      <w:r>
        <w:t xml:space="preserve">Material not related to the assessment criteria has been moved into sections 1 </w:t>
      </w:r>
      <w:r w:rsidR="00581580">
        <w:t xml:space="preserve">and </w:t>
      </w:r>
      <w:r>
        <w:t>2. Text with key changes to the assessment criteria are highlighted in the consultation draft</w:t>
      </w:r>
      <w:r w:rsidR="0306F8CF">
        <w:t>.</w:t>
      </w:r>
    </w:p>
    <w:p w14:paraId="32B900FA" w14:textId="5F59B3F1" w:rsidR="0026670F" w:rsidRDefault="0026670F" w:rsidP="0026670F">
      <w:pPr>
        <w:pStyle w:val="ListBullet"/>
      </w:pPr>
      <w:r>
        <w:t xml:space="preserve">Section 4 </w:t>
      </w:r>
      <w:r w:rsidR="008E5D92">
        <w:t>(Procedures for approved applicants)</w:t>
      </w:r>
      <w:r>
        <w:t xml:space="preserve"> is </w:t>
      </w:r>
      <w:r w:rsidR="00F14711">
        <w:t xml:space="preserve">based on the section </w:t>
      </w:r>
      <w:r w:rsidR="004E75B5">
        <w:t>‘</w:t>
      </w:r>
      <w:r w:rsidR="005C0D4D">
        <w:t>Procedures for managing the coordination and notification of satellite systems</w:t>
      </w:r>
      <w:r w:rsidR="004E75B5">
        <w:t>’</w:t>
      </w:r>
      <w:r w:rsidR="005C0D4D">
        <w:t xml:space="preserve"> in our existing filing procedures.</w:t>
      </w:r>
      <w:r w:rsidR="004E5497">
        <w:t xml:space="preserve"> </w:t>
      </w:r>
      <w:r w:rsidR="00A83BE4">
        <w:t>Key</w:t>
      </w:r>
      <w:r>
        <w:t xml:space="preserve"> changes highlighted in the consultation draft</w:t>
      </w:r>
      <w:r w:rsidR="00455927">
        <w:t>.</w:t>
      </w:r>
    </w:p>
    <w:p w14:paraId="7E674D82" w14:textId="73DAFFA4" w:rsidR="0026670F" w:rsidRDefault="0026670F" w:rsidP="0026670F">
      <w:pPr>
        <w:pStyle w:val="ListBullet"/>
      </w:pPr>
      <w:r>
        <w:t xml:space="preserve">Section 5 </w:t>
      </w:r>
      <w:r w:rsidR="008E5D92">
        <w:t>(</w:t>
      </w:r>
      <w:r w:rsidR="00652D01">
        <w:t>Change access to an ITU satellite filing)</w:t>
      </w:r>
      <w:r w:rsidR="009B0195">
        <w:t xml:space="preserve"> </w:t>
      </w:r>
      <w:r>
        <w:t>is a new section consider</w:t>
      </w:r>
      <w:r w:rsidR="00BF61AE">
        <w:t>ing</w:t>
      </w:r>
      <w:r>
        <w:t xml:space="preserve"> ownership changes, though text about transfer and relinquishing a filing is as per </w:t>
      </w:r>
      <w:r w:rsidR="00BA106E">
        <w:t>current filing procedures</w:t>
      </w:r>
      <w:r w:rsidR="00FC1290">
        <w:t>.</w:t>
      </w:r>
    </w:p>
    <w:p w14:paraId="5C157A7F" w14:textId="5AA8A77D" w:rsidR="0026670F" w:rsidRDefault="0026670F" w:rsidP="0026670F">
      <w:pPr>
        <w:pStyle w:val="ListBulletLast"/>
      </w:pPr>
      <w:r>
        <w:t xml:space="preserve">Section 6 </w:t>
      </w:r>
      <w:r w:rsidR="00652D01">
        <w:t>(Charges)</w:t>
      </w:r>
      <w:r>
        <w:t xml:space="preserve"> provides a consolidate</w:t>
      </w:r>
      <w:r w:rsidR="00DE05D5">
        <w:t>d</w:t>
      </w:r>
      <w:r>
        <w:t xml:space="preserve"> summary of the cost recovery requirements for satellite filing activity, based on existing material in the current</w:t>
      </w:r>
      <w:r w:rsidR="00993844">
        <w:t xml:space="preserve"> filing</w:t>
      </w:r>
      <w:r>
        <w:t xml:space="preserve"> procedures.</w:t>
      </w:r>
    </w:p>
    <w:p w14:paraId="61FBAE62" w14:textId="213A92E1" w:rsidR="0026670F" w:rsidRDefault="0026670F" w:rsidP="00DE05D5">
      <w:pPr>
        <w:pStyle w:val="Paragraph"/>
      </w:pPr>
      <w:r>
        <w:t>Beyond the</w:t>
      </w:r>
      <w:r w:rsidR="00933ACD">
        <w:t>se</w:t>
      </w:r>
      <w:r w:rsidDel="00933ACD">
        <w:t xml:space="preserve"> </w:t>
      </w:r>
      <w:r>
        <w:t>improvements for clarity and readability</w:t>
      </w:r>
      <w:r w:rsidR="00933ACD">
        <w:t xml:space="preserve">, we </w:t>
      </w:r>
      <w:r w:rsidR="00F71E0D">
        <w:t xml:space="preserve">are also proposing </w:t>
      </w:r>
      <w:r>
        <w:t>more substantial changes</w:t>
      </w:r>
      <w:r w:rsidR="00581580">
        <w:t>,</w:t>
      </w:r>
      <w:r>
        <w:t xml:space="preserve"> discussed </w:t>
      </w:r>
      <w:r w:rsidR="005D3285">
        <w:t>below</w:t>
      </w:r>
      <w:r w:rsidR="002A3E44">
        <w:t>.</w:t>
      </w:r>
    </w:p>
    <w:p w14:paraId="0F5DD22D" w14:textId="77777777" w:rsidR="0026670F" w:rsidRDefault="0026670F" w:rsidP="0026670F">
      <w:pPr>
        <w:pStyle w:val="Heading3"/>
      </w:pPr>
      <w:bookmarkStart w:id="28" w:name="_Toc139371625"/>
      <w:bookmarkStart w:id="29" w:name="_Toc144213385"/>
      <w:r>
        <w:t>Application and assessment process</w:t>
      </w:r>
      <w:bookmarkEnd w:id="28"/>
      <w:bookmarkEnd w:id="29"/>
      <w:r>
        <w:t xml:space="preserve"> </w:t>
      </w:r>
    </w:p>
    <w:p w14:paraId="1D54C365" w14:textId="3348DD4E" w:rsidR="0026670F" w:rsidRDefault="0026670F" w:rsidP="0026670F">
      <w:pPr>
        <w:pStyle w:val="ListBullet"/>
        <w:numPr>
          <w:ilvl w:val="0"/>
          <w:numId w:val="0"/>
        </w:numPr>
      </w:pPr>
      <w:r>
        <w:t>Our review of the filing procedures identified</w:t>
      </w:r>
      <w:r w:rsidR="00730078">
        <w:t>:</w:t>
      </w:r>
      <w:r>
        <w:t xml:space="preserve"> </w:t>
      </w:r>
    </w:p>
    <w:p w14:paraId="57D8B243" w14:textId="45818898" w:rsidR="0026670F" w:rsidRDefault="0026670F" w:rsidP="0026670F">
      <w:pPr>
        <w:pStyle w:val="ListBullet"/>
      </w:pPr>
      <w:r>
        <w:t xml:space="preserve">that there was ambiguity about when (beyond new filing requests) an assessment by the ACMA </w:t>
      </w:r>
      <w:r w:rsidR="00730078">
        <w:t xml:space="preserve">is </w:t>
      </w:r>
      <w:r>
        <w:t>required. For example</w:t>
      </w:r>
      <w:r w:rsidR="00730078">
        <w:t>,</w:t>
      </w:r>
      <w:r>
        <w:t xml:space="preserve"> modification to the existing filings, ownership changes and filing transfers</w:t>
      </w:r>
    </w:p>
    <w:p w14:paraId="2F3B9380" w14:textId="24AC8481" w:rsidR="0026670F" w:rsidRDefault="0026670F" w:rsidP="0026670F">
      <w:pPr>
        <w:pStyle w:val="ListBullet"/>
      </w:pPr>
      <w:r>
        <w:t xml:space="preserve">a need to provide clear guidance for conditions typically associated with any approval of a filing request </w:t>
      </w:r>
    </w:p>
    <w:p w14:paraId="1B966334" w14:textId="1089DCA3" w:rsidR="0026670F" w:rsidRDefault="0026670F" w:rsidP="00F5723D">
      <w:pPr>
        <w:pStyle w:val="ListBulletLast"/>
      </w:pPr>
      <w:r>
        <w:t xml:space="preserve">a need to include requirements for </w:t>
      </w:r>
      <w:r w:rsidR="00CF62EF">
        <w:t>short-duration mission</w:t>
      </w:r>
      <w:r>
        <w:t xml:space="preserve">s </w:t>
      </w:r>
      <w:r w:rsidR="004F107E">
        <w:t>conforming with</w:t>
      </w:r>
      <w:r>
        <w:t xml:space="preserve"> </w:t>
      </w:r>
      <w:r w:rsidRPr="00B971F8">
        <w:t>ITU Resolution 32 (WRC-19)</w:t>
      </w:r>
      <w:r w:rsidR="00FA2E1A">
        <w:rPr>
          <w:rStyle w:val="FootnoteReference"/>
        </w:rPr>
        <w:footnoteReference w:id="10"/>
      </w:r>
      <w:r>
        <w:t xml:space="preserve"> for </w:t>
      </w:r>
      <w:r w:rsidR="00CF62EF">
        <w:t>short-duration mission</w:t>
      </w:r>
      <w:r>
        <w:t xml:space="preserve">s. </w:t>
      </w:r>
    </w:p>
    <w:p w14:paraId="29839F87" w14:textId="36A4BABB" w:rsidR="0026670F" w:rsidRPr="00474069" w:rsidRDefault="0026670F" w:rsidP="00AA3212">
      <w:pPr>
        <w:pStyle w:val="Paragraph"/>
      </w:pPr>
      <w:r>
        <w:t>These matters</w:t>
      </w:r>
      <w:r w:rsidDel="009A2B3C">
        <w:t xml:space="preserve"> </w:t>
      </w:r>
      <w:r w:rsidR="009A2B3C">
        <w:t xml:space="preserve">have </w:t>
      </w:r>
      <w:r>
        <w:t xml:space="preserve">been addressed in Section 2 (Application and assessment process) of the draft revised filing procedures and </w:t>
      </w:r>
      <w:r w:rsidR="00FA313D">
        <w:t xml:space="preserve">are </w:t>
      </w:r>
      <w:r>
        <w:t xml:space="preserve">discussed in Section </w:t>
      </w:r>
      <w:r w:rsidR="00E03DC6">
        <w:fldChar w:fldCharType="begin"/>
      </w:r>
      <w:r w:rsidR="00E03DC6">
        <w:instrText xml:space="preserve"> REF _Ref143010068 \r \h </w:instrText>
      </w:r>
      <w:r w:rsidR="00E03DC6">
        <w:fldChar w:fldCharType="separate"/>
      </w:r>
      <w:r w:rsidR="001A5BF8">
        <w:t>2</w:t>
      </w:r>
      <w:r w:rsidR="00E03DC6">
        <w:fldChar w:fldCharType="end"/>
      </w:r>
      <w:r w:rsidR="00E03DC6">
        <w:t xml:space="preserve"> </w:t>
      </w:r>
      <w:r w:rsidR="00AD297E">
        <w:t>(</w:t>
      </w:r>
      <w:r w:rsidR="00E03DC6">
        <w:fldChar w:fldCharType="begin"/>
      </w:r>
      <w:r w:rsidR="00E03DC6">
        <w:instrText xml:space="preserve"> REF _Ref143010072 \h </w:instrText>
      </w:r>
      <w:r w:rsidR="00E03DC6">
        <w:fldChar w:fldCharType="separate"/>
      </w:r>
      <w:r w:rsidR="001A5BF8">
        <w:t>Revisions to application and assessment process</w:t>
      </w:r>
      <w:r w:rsidR="00E03DC6">
        <w:fldChar w:fldCharType="end"/>
      </w:r>
      <w:r w:rsidR="00AD297E">
        <w:t>)</w:t>
      </w:r>
      <w:r w:rsidR="001A5BF8">
        <w:t xml:space="preserve"> </w:t>
      </w:r>
      <w:r>
        <w:t xml:space="preserve">of this document. </w:t>
      </w:r>
    </w:p>
    <w:p w14:paraId="398BCBD2" w14:textId="6C3EF170" w:rsidR="0026670F" w:rsidRDefault="0026670F" w:rsidP="0026670F">
      <w:pPr>
        <w:pStyle w:val="Heading3"/>
      </w:pPr>
      <w:bookmarkStart w:id="30" w:name="_Toc139371626"/>
      <w:bookmarkStart w:id="31" w:name="_Toc144213386"/>
      <w:r>
        <w:t>Assessment criteria</w:t>
      </w:r>
      <w:bookmarkEnd w:id="30"/>
      <w:bookmarkEnd w:id="31"/>
    </w:p>
    <w:p w14:paraId="17E410D7" w14:textId="0F428F46" w:rsidR="0026670F" w:rsidRDefault="0026670F" w:rsidP="000038E5">
      <w:r>
        <w:rPr>
          <w:rFonts w:cs="Arial"/>
        </w:rPr>
        <w:t xml:space="preserve">To improve clarity, assessment criteria </w:t>
      </w:r>
      <w:r w:rsidR="008D307B">
        <w:rPr>
          <w:rFonts w:cs="Arial"/>
        </w:rPr>
        <w:t>are</w:t>
      </w:r>
      <w:r>
        <w:rPr>
          <w:rFonts w:cs="Arial"/>
        </w:rPr>
        <w:t xml:space="preserve"> grouped into categories. The proposed categories and the nature of proposed changes are </w:t>
      </w:r>
      <w:r w:rsidR="002B18EA">
        <w:rPr>
          <w:rFonts w:cs="Arial"/>
        </w:rPr>
        <w:t>summarised</w:t>
      </w:r>
      <w:r w:rsidR="006F0426">
        <w:rPr>
          <w:rFonts w:cs="Arial"/>
        </w:rPr>
        <w:t xml:space="preserve"> </w:t>
      </w:r>
      <w:r w:rsidR="00D03EDC">
        <w:rPr>
          <w:rFonts w:cs="Arial"/>
        </w:rPr>
        <w:t xml:space="preserve">below </w:t>
      </w:r>
      <w:r w:rsidR="006F0426">
        <w:rPr>
          <w:rFonts w:cs="Arial"/>
        </w:rPr>
        <w:t xml:space="preserve">in </w:t>
      </w:r>
      <w:r w:rsidR="00052A68">
        <w:rPr>
          <w:rFonts w:cs="Arial"/>
        </w:rPr>
        <w:fldChar w:fldCharType="begin"/>
      </w:r>
      <w:r w:rsidR="00052A68">
        <w:rPr>
          <w:rFonts w:cs="Arial"/>
        </w:rPr>
        <w:instrText xml:space="preserve"> REF _Ref138926021 \r \h </w:instrText>
      </w:r>
      <w:r w:rsidR="00052A68">
        <w:rPr>
          <w:rFonts w:cs="Arial"/>
        </w:rPr>
      </w:r>
      <w:r w:rsidR="00052A68">
        <w:rPr>
          <w:rFonts w:cs="Arial"/>
        </w:rPr>
        <w:fldChar w:fldCharType="separate"/>
      </w:r>
      <w:r w:rsidR="001A5BF8">
        <w:rPr>
          <w:rFonts w:cs="Arial"/>
        </w:rPr>
        <w:t>Table 2:</w:t>
      </w:r>
      <w:r w:rsidR="00052A68">
        <w:rPr>
          <w:rFonts w:cs="Arial"/>
        </w:rPr>
        <w:fldChar w:fldCharType="end"/>
      </w:r>
      <w:r w:rsidR="00052A68">
        <w:rPr>
          <w:rFonts w:cs="Arial"/>
        </w:rPr>
        <w:t xml:space="preserve"> </w:t>
      </w:r>
      <w:r w:rsidR="00052A68">
        <w:rPr>
          <w:rFonts w:cs="Arial"/>
        </w:rPr>
        <w:fldChar w:fldCharType="begin"/>
      </w:r>
      <w:r w:rsidR="00052A68">
        <w:rPr>
          <w:rFonts w:cs="Arial"/>
        </w:rPr>
        <w:instrText xml:space="preserve"> REF _Ref138926021 \h </w:instrText>
      </w:r>
      <w:r w:rsidR="00052A68">
        <w:rPr>
          <w:rFonts w:cs="Arial"/>
        </w:rPr>
      </w:r>
      <w:r w:rsidR="00052A68">
        <w:rPr>
          <w:rFonts w:cs="Arial"/>
        </w:rPr>
        <w:fldChar w:fldCharType="separate"/>
      </w:r>
      <w:r w:rsidR="001A5BF8">
        <w:t>Summary of changes to assessment criteria</w:t>
      </w:r>
      <w:r w:rsidR="00052A68">
        <w:rPr>
          <w:rFonts w:cs="Arial"/>
        </w:rPr>
        <w:fldChar w:fldCharType="end"/>
      </w:r>
      <w:r>
        <w:rPr>
          <w:rFonts w:cs="Arial"/>
        </w:rPr>
        <w:t>.</w:t>
      </w:r>
      <w:r w:rsidR="006F0426">
        <w:rPr>
          <w:rFonts w:cs="Arial"/>
        </w:rPr>
        <w:t xml:space="preserve"> </w:t>
      </w:r>
      <w:r w:rsidR="000038E5">
        <w:rPr>
          <w:rFonts w:cs="Arial"/>
        </w:rPr>
        <w:t>Changes</w:t>
      </w:r>
      <w:r>
        <w:rPr>
          <w:rFonts w:cs="Arial"/>
        </w:rPr>
        <w:t xml:space="preserve"> </w:t>
      </w:r>
      <w:r>
        <w:t>are discussed in</w:t>
      </w:r>
      <w:r w:rsidR="002B18EA">
        <w:t xml:space="preserve"> </w:t>
      </w:r>
      <w:r w:rsidR="00520E31">
        <w:t>S</w:t>
      </w:r>
      <w:r w:rsidR="002B18EA">
        <w:t xml:space="preserve">ection </w:t>
      </w:r>
      <w:r w:rsidR="007E2C57">
        <w:fldChar w:fldCharType="begin"/>
      </w:r>
      <w:r w:rsidR="007E2C57">
        <w:instrText xml:space="preserve"> REF _Ref143009211 \r \h </w:instrText>
      </w:r>
      <w:r w:rsidR="007E2C57">
        <w:fldChar w:fldCharType="separate"/>
      </w:r>
      <w:r w:rsidR="001A5BF8">
        <w:t>3</w:t>
      </w:r>
      <w:r w:rsidR="007E2C57">
        <w:fldChar w:fldCharType="end"/>
      </w:r>
      <w:r w:rsidR="007E2C57">
        <w:t xml:space="preserve"> </w:t>
      </w:r>
      <w:r w:rsidR="00520E31">
        <w:t>(</w:t>
      </w:r>
      <w:r w:rsidR="007E2C57">
        <w:fldChar w:fldCharType="begin"/>
      </w:r>
      <w:r w:rsidR="007E2C57">
        <w:instrText xml:space="preserve"> REF _Ref143009216 \h </w:instrText>
      </w:r>
      <w:r w:rsidR="007E2C57">
        <w:fldChar w:fldCharType="separate"/>
      </w:r>
      <w:r w:rsidR="001A5BF8">
        <w:t>Revisions to assessment criteria</w:t>
      </w:r>
      <w:r w:rsidR="007E2C57">
        <w:fldChar w:fldCharType="end"/>
      </w:r>
      <w:r w:rsidR="00520E31">
        <w:t>)</w:t>
      </w:r>
      <w:r w:rsidR="007E2C57">
        <w:t>.</w:t>
      </w:r>
    </w:p>
    <w:p w14:paraId="6038295F" w14:textId="003E8A38" w:rsidR="009C255F" w:rsidRPr="00E162C4" w:rsidRDefault="0091429E" w:rsidP="00773F2E">
      <w:pPr>
        <w:pStyle w:val="Tableheading"/>
        <w:keepLines/>
      </w:pPr>
      <w:bookmarkStart w:id="32" w:name="_Ref138926021"/>
      <w:r>
        <w:lastRenderedPageBreak/>
        <w:t>Summary of changes to assessment criteria</w:t>
      </w:r>
      <w:bookmarkEnd w:id="32"/>
    </w:p>
    <w:tbl>
      <w:tblPr>
        <w:tblStyle w:val="ACMAtablestyle"/>
        <w:tblW w:w="7933" w:type="dxa"/>
        <w:tblLayout w:type="fixed"/>
        <w:tblLook w:val="01E0" w:firstRow="1" w:lastRow="1" w:firstColumn="1" w:lastColumn="1" w:noHBand="0" w:noVBand="0"/>
        <w:tblCaption w:val="Table title to go here"/>
        <w:tblDescription w:val="Table description to go here"/>
      </w:tblPr>
      <w:tblGrid>
        <w:gridCol w:w="7933"/>
      </w:tblGrid>
      <w:tr w:rsidR="009C255F" w:rsidRPr="00E162C4" w14:paraId="13A670F4" w14:textId="77777777">
        <w:trPr>
          <w:cnfStyle w:val="100000000000" w:firstRow="1" w:lastRow="0" w:firstColumn="0" w:lastColumn="0" w:oddVBand="0" w:evenVBand="0" w:oddHBand="0" w:evenHBand="0" w:firstRowFirstColumn="0" w:firstRowLastColumn="0" w:lastRowFirstColumn="0" w:lastRowLastColumn="0"/>
        </w:trPr>
        <w:tc>
          <w:tcPr>
            <w:tcW w:w="7933" w:type="dxa"/>
          </w:tcPr>
          <w:p w14:paraId="6598028B" w14:textId="77777777" w:rsidR="009C255F" w:rsidRPr="009C3266" w:rsidRDefault="009C255F" w:rsidP="00773F2E">
            <w:pPr>
              <w:pStyle w:val="Tableheaderrow"/>
              <w:keepNext/>
              <w:keepLines/>
              <w:rPr>
                <w:b w:val="0"/>
                <w:bCs/>
              </w:rPr>
            </w:pPr>
            <w:r>
              <w:rPr>
                <w:b w:val="0"/>
                <w:bCs/>
              </w:rPr>
              <w:t xml:space="preserve">Summary of changes </w:t>
            </w:r>
            <w:r w:rsidRPr="009C3266">
              <w:rPr>
                <w:b w:val="0"/>
                <w:bCs/>
              </w:rPr>
              <w:t xml:space="preserve"> </w:t>
            </w:r>
          </w:p>
        </w:tc>
      </w:tr>
      <w:tr w:rsidR="009C255F" w:rsidRPr="00E162C4" w14:paraId="2E4F87D3" w14:textId="77777777">
        <w:trPr>
          <w:cnfStyle w:val="000000100000" w:firstRow="0" w:lastRow="0" w:firstColumn="0" w:lastColumn="0" w:oddVBand="0" w:evenVBand="0" w:oddHBand="1" w:evenHBand="0" w:firstRowFirstColumn="0" w:firstRowLastColumn="0" w:lastRowFirstColumn="0" w:lastRowLastColumn="0"/>
        </w:trPr>
        <w:tc>
          <w:tcPr>
            <w:tcW w:w="7933" w:type="dxa"/>
            <w:shd w:val="clear" w:color="auto" w:fill="auto"/>
          </w:tcPr>
          <w:p w14:paraId="73480E0A" w14:textId="77777777" w:rsidR="009C255F" w:rsidRPr="009C3266" w:rsidRDefault="009C255F" w:rsidP="00773F2E">
            <w:pPr>
              <w:pStyle w:val="TableBody"/>
              <w:keepNext/>
              <w:keepLines/>
              <w:rPr>
                <w:b/>
              </w:rPr>
            </w:pPr>
            <w:r w:rsidRPr="009C3266">
              <w:rPr>
                <w:b/>
              </w:rPr>
              <w:t>Conformity with planning arrangements</w:t>
            </w:r>
            <w:r>
              <w:rPr>
                <w:b/>
              </w:rPr>
              <w:t xml:space="preserve"> </w:t>
            </w:r>
          </w:p>
        </w:tc>
      </w:tr>
      <w:tr w:rsidR="009C255F" w:rsidRPr="00E162C4" w14:paraId="5F2AD657"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3C1A7C99" w14:textId="1E1F570F" w:rsidR="009C255F" w:rsidRDefault="009C255F" w:rsidP="00773F2E">
            <w:pPr>
              <w:pStyle w:val="ListBullet"/>
              <w:keepNext/>
              <w:keepLines/>
              <w:tabs>
                <w:tab w:val="clear" w:pos="295"/>
              </w:tabs>
              <w:ind w:left="224"/>
            </w:pPr>
            <w:r>
              <w:t>No change</w:t>
            </w:r>
            <w:r w:rsidR="00D03EDC">
              <w:t xml:space="preserve"> (except </w:t>
            </w:r>
            <w:r w:rsidR="000073B0">
              <w:t>for minor edits to assist readability)</w:t>
            </w:r>
            <w:r w:rsidR="009641E4">
              <w:t>.</w:t>
            </w:r>
          </w:p>
        </w:tc>
      </w:tr>
      <w:tr w:rsidR="009C255F" w:rsidRPr="00E162C4" w14:paraId="52D96A68" w14:textId="77777777">
        <w:trPr>
          <w:cnfStyle w:val="000000100000" w:firstRow="0" w:lastRow="0" w:firstColumn="0" w:lastColumn="0" w:oddVBand="0" w:evenVBand="0" w:oddHBand="1" w:evenHBand="0" w:firstRowFirstColumn="0" w:firstRowLastColumn="0" w:lastRowFirstColumn="0" w:lastRowLastColumn="0"/>
        </w:trPr>
        <w:tc>
          <w:tcPr>
            <w:tcW w:w="7933" w:type="dxa"/>
          </w:tcPr>
          <w:p w14:paraId="096DC2DE" w14:textId="77777777" w:rsidR="009C255F" w:rsidRPr="009C3266" w:rsidRDefault="009C255F" w:rsidP="00251F91">
            <w:pPr>
              <w:pStyle w:val="ListBullet"/>
              <w:keepNext/>
              <w:keepLines/>
              <w:numPr>
                <w:ilvl w:val="0"/>
                <w:numId w:val="0"/>
              </w:numPr>
              <w:spacing w:after="0"/>
              <w:ind w:left="295" w:hanging="295"/>
              <w:rPr>
                <w:b/>
                <w:bCs/>
              </w:rPr>
            </w:pPr>
            <w:r w:rsidRPr="009C3266">
              <w:rPr>
                <w:b/>
                <w:bCs/>
              </w:rPr>
              <w:t>Australian jurisdiction</w:t>
            </w:r>
          </w:p>
        </w:tc>
      </w:tr>
      <w:tr w:rsidR="009C255F" w:rsidRPr="00E162C4" w14:paraId="1241317E"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79D3F49D" w14:textId="07BECB4F" w:rsidR="009C255F" w:rsidRDefault="009C255F" w:rsidP="00773F2E">
            <w:pPr>
              <w:pStyle w:val="ListBullet"/>
              <w:keepNext/>
              <w:keepLines/>
              <w:tabs>
                <w:tab w:val="clear" w:pos="295"/>
              </w:tabs>
              <w:ind w:left="224"/>
            </w:pPr>
            <w:r>
              <w:t xml:space="preserve">Additional information requested to allow </w:t>
            </w:r>
            <w:r w:rsidR="009E0D33">
              <w:t>consideration</w:t>
            </w:r>
            <w:r>
              <w:t xml:space="preserve"> of whether the applicant is a </w:t>
            </w:r>
            <w:r w:rsidRPr="006D6143">
              <w:t>subsidiary of a foreign company, controlled by</w:t>
            </w:r>
            <w:r w:rsidR="009E0D33">
              <w:t>,</w:t>
            </w:r>
            <w:r w:rsidRPr="006D6143">
              <w:t xml:space="preserve"> or related to a foreign entity or ha</w:t>
            </w:r>
            <w:r w:rsidR="009E0D33">
              <w:t>s</w:t>
            </w:r>
            <w:r w:rsidRPr="006D6143">
              <w:t xml:space="preserve"> access to</w:t>
            </w:r>
            <w:r w:rsidR="00FA313D">
              <w:t xml:space="preserve"> satellite</w:t>
            </w:r>
            <w:r w:rsidRPr="006D6143">
              <w:t xml:space="preserve"> filings through another administration</w:t>
            </w:r>
            <w:r w:rsidR="00FA313D">
              <w:t xml:space="preserve"> of an ITU Member State</w:t>
            </w:r>
            <w:r>
              <w:t xml:space="preserve">.  </w:t>
            </w:r>
          </w:p>
          <w:p w14:paraId="535C2D42" w14:textId="424BD9E2" w:rsidR="009C255F" w:rsidRPr="00E162C4" w:rsidRDefault="009C255F" w:rsidP="00773F2E">
            <w:pPr>
              <w:pStyle w:val="ListBullet"/>
              <w:keepNext/>
              <w:keepLines/>
              <w:tabs>
                <w:tab w:val="clear" w:pos="295"/>
              </w:tabs>
              <w:ind w:left="224"/>
            </w:pPr>
            <w:r>
              <w:t>In such cases</w:t>
            </w:r>
            <w:r w:rsidR="009E0D33">
              <w:t>,</w:t>
            </w:r>
            <w:r>
              <w:t xml:space="preserve"> the applicant needs to provide information </w:t>
            </w:r>
            <w:r w:rsidRPr="00A300E3">
              <w:t>showing how the satellite operator functions independently from the foreign entity and how confidential Australia</w:t>
            </w:r>
            <w:r w:rsidR="002F582E">
              <w:t>n</w:t>
            </w:r>
            <w:r w:rsidRPr="00A300E3">
              <w:t xml:space="preserve"> satellite information about other Australia</w:t>
            </w:r>
            <w:r w:rsidR="002F582E">
              <w:t>n</w:t>
            </w:r>
            <w:r w:rsidRPr="00A300E3">
              <w:t xml:space="preserve"> satellite operators is restricted to the </w:t>
            </w:r>
            <w:r w:rsidR="00723A80">
              <w:t xml:space="preserve">applicant as an </w:t>
            </w:r>
            <w:r w:rsidRPr="00A300E3">
              <w:t>Australia</w:t>
            </w:r>
            <w:r w:rsidR="002F582E">
              <w:t>n</w:t>
            </w:r>
            <w:r w:rsidRPr="00A300E3">
              <w:t xml:space="preserve"> satellite operator.</w:t>
            </w:r>
          </w:p>
        </w:tc>
      </w:tr>
      <w:tr w:rsidR="009C255F" w:rsidRPr="00E162C4" w14:paraId="2DA2050D" w14:textId="77777777">
        <w:trPr>
          <w:cnfStyle w:val="000000100000" w:firstRow="0" w:lastRow="0" w:firstColumn="0" w:lastColumn="0" w:oddVBand="0" w:evenVBand="0" w:oddHBand="1" w:evenHBand="0" w:firstRowFirstColumn="0" w:firstRowLastColumn="0" w:lastRowFirstColumn="0" w:lastRowLastColumn="0"/>
        </w:trPr>
        <w:tc>
          <w:tcPr>
            <w:tcW w:w="7933" w:type="dxa"/>
          </w:tcPr>
          <w:p w14:paraId="6A14738E" w14:textId="77777777" w:rsidR="009C255F" w:rsidRPr="009C3266" w:rsidRDefault="009C255F" w:rsidP="008D7085">
            <w:pPr>
              <w:pStyle w:val="ListBullet"/>
              <w:keepNext/>
              <w:numPr>
                <w:ilvl w:val="0"/>
                <w:numId w:val="0"/>
              </w:numPr>
              <w:ind w:left="295" w:hanging="295"/>
              <w:rPr>
                <w:b/>
                <w:bCs/>
              </w:rPr>
            </w:pPr>
            <w:r w:rsidRPr="009C3266">
              <w:rPr>
                <w:b/>
                <w:bCs/>
              </w:rPr>
              <w:t xml:space="preserve">Operational control  </w:t>
            </w:r>
          </w:p>
        </w:tc>
      </w:tr>
      <w:tr w:rsidR="009C255F" w:rsidRPr="00E162C4" w14:paraId="49F185B0"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3BA87DDE" w14:textId="54DE7EC6" w:rsidR="009C255F" w:rsidRDefault="009C255F" w:rsidP="008D7085">
            <w:pPr>
              <w:pStyle w:val="ListBullet"/>
              <w:keepNext/>
              <w:tabs>
                <w:tab w:val="clear" w:pos="295"/>
              </w:tabs>
              <w:ind w:left="224"/>
            </w:pPr>
            <w:r>
              <w:t>No change</w:t>
            </w:r>
            <w:r w:rsidR="009641E4">
              <w:t>.</w:t>
            </w:r>
          </w:p>
        </w:tc>
      </w:tr>
      <w:tr w:rsidR="009C255F" w:rsidRPr="00E162C4" w14:paraId="662849A4" w14:textId="77777777">
        <w:trPr>
          <w:cnfStyle w:val="000000100000" w:firstRow="0" w:lastRow="0" w:firstColumn="0" w:lastColumn="0" w:oddVBand="0" w:evenVBand="0" w:oddHBand="1" w:evenHBand="0" w:firstRowFirstColumn="0" w:firstRowLastColumn="0" w:lastRowFirstColumn="0" w:lastRowLastColumn="0"/>
        </w:trPr>
        <w:tc>
          <w:tcPr>
            <w:tcW w:w="7933" w:type="dxa"/>
          </w:tcPr>
          <w:p w14:paraId="51A29B2F" w14:textId="77777777" w:rsidR="009C255F" w:rsidRPr="009C3266" w:rsidRDefault="009C255F">
            <w:pPr>
              <w:pStyle w:val="ListBullet"/>
              <w:numPr>
                <w:ilvl w:val="0"/>
                <w:numId w:val="0"/>
              </w:numPr>
              <w:ind w:left="295" w:hanging="295"/>
              <w:rPr>
                <w:b/>
                <w:bCs/>
              </w:rPr>
            </w:pPr>
            <w:r w:rsidRPr="009C3266">
              <w:rPr>
                <w:b/>
                <w:bCs/>
              </w:rPr>
              <w:t xml:space="preserve">Technical and financial credentials  </w:t>
            </w:r>
          </w:p>
        </w:tc>
      </w:tr>
      <w:tr w:rsidR="009C255F" w:rsidRPr="00E162C4" w14:paraId="731305E4"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329E042D" w14:textId="3CC24B51" w:rsidR="009C255F" w:rsidRDefault="009C255F">
            <w:pPr>
              <w:pStyle w:val="ListBullet"/>
              <w:tabs>
                <w:tab w:val="clear" w:pos="295"/>
                <w:tab w:val="num" w:pos="590"/>
              </w:tabs>
            </w:pPr>
            <w:r>
              <w:t xml:space="preserve">Revised to make clear that having </w:t>
            </w:r>
            <w:r w:rsidRPr="00EB1608">
              <w:t>technical and financial credentials</w:t>
            </w:r>
            <w:r>
              <w:t xml:space="preserve"> is an ongoing requirement</w:t>
            </w:r>
            <w:r w:rsidR="009641E4">
              <w:t>.</w:t>
            </w:r>
          </w:p>
        </w:tc>
      </w:tr>
      <w:tr w:rsidR="009C255F" w:rsidRPr="00E162C4" w14:paraId="187DCFE6" w14:textId="77777777">
        <w:trPr>
          <w:cnfStyle w:val="000000100000" w:firstRow="0" w:lastRow="0" w:firstColumn="0" w:lastColumn="0" w:oddVBand="0" w:evenVBand="0" w:oddHBand="1" w:evenHBand="0" w:firstRowFirstColumn="0" w:firstRowLastColumn="0" w:lastRowFirstColumn="0" w:lastRowLastColumn="0"/>
        </w:trPr>
        <w:tc>
          <w:tcPr>
            <w:tcW w:w="7933" w:type="dxa"/>
          </w:tcPr>
          <w:p w14:paraId="3BD5E9F9" w14:textId="77777777" w:rsidR="009C255F" w:rsidRPr="009C3266" w:rsidRDefault="009C255F" w:rsidP="00251F91">
            <w:pPr>
              <w:pStyle w:val="ListBullet"/>
              <w:numPr>
                <w:ilvl w:val="0"/>
                <w:numId w:val="0"/>
              </w:numPr>
              <w:spacing w:after="0"/>
              <w:ind w:left="295" w:hanging="295"/>
              <w:rPr>
                <w:b/>
                <w:bCs/>
              </w:rPr>
            </w:pPr>
            <w:r w:rsidRPr="009C3266">
              <w:rPr>
                <w:b/>
                <w:bCs/>
              </w:rPr>
              <w:t>Australian benefit</w:t>
            </w:r>
          </w:p>
        </w:tc>
      </w:tr>
      <w:tr w:rsidR="009C255F" w:rsidRPr="00E162C4" w14:paraId="209C29B5"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72A40301" w14:textId="4C78608E" w:rsidR="00611872" w:rsidRDefault="00F172A6" w:rsidP="00326F19">
            <w:pPr>
              <w:pStyle w:val="ListBullet"/>
              <w:tabs>
                <w:tab w:val="clear" w:pos="295"/>
                <w:tab w:val="num" w:pos="590"/>
              </w:tabs>
            </w:pPr>
            <w:r>
              <w:t xml:space="preserve">This criterion currently requires that </w:t>
            </w:r>
            <w:r w:rsidR="00FE6ED3">
              <w:t xml:space="preserve">a satellite system provide </w:t>
            </w:r>
            <w:r>
              <w:t>‘substantive’ Australian benefit</w:t>
            </w:r>
            <w:r w:rsidR="00FE6ED3">
              <w:t>.</w:t>
            </w:r>
            <w:r w:rsidR="0030635A">
              <w:t xml:space="preserve"> </w:t>
            </w:r>
            <w:r w:rsidR="00656734">
              <w:t xml:space="preserve">We are </w:t>
            </w:r>
            <w:r w:rsidR="00624C8F">
              <w:t>replacing ‘substantive’ with ‘substantial’</w:t>
            </w:r>
            <w:r w:rsidR="001A42EC">
              <w:t xml:space="preserve">.  That is </w:t>
            </w:r>
            <w:r w:rsidR="00611872">
              <w:t>there needs to be a substantial Australian benefit</w:t>
            </w:r>
            <w:r w:rsidR="00901537">
              <w:t xml:space="preserve"> for AC</w:t>
            </w:r>
            <w:r w:rsidR="00BE5833">
              <w:t>MA</w:t>
            </w:r>
            <w:r w:rsidR="00901537">
              <w:t xml:space="preserve"> to </w:t>
            </w:r>
            <w:r w:rsidR="00BE5833">
              <w:t>agree to file</w:t>
            </w:r>
            <w:r w:rsidR="00611872">
              <w:t>, where substantial has its ordinary meaning (that is, of ample or considerable importance, size or worth</w:t>
            </w:r>
            <w:r w:rsidR="00E51336">
              <w:t>)</w:t>
            </w:r>
            <w:r w:rsidR="00153233">
              <w:t>.</w:t>
            </w:r>
          </w:p>
          <w:p w14:paraId="2D9D6740" w14:textId="633DE2FF" w:rsidR="009C255F" w:rsidRDefault="009C255F">
            <w:pPr>
              <w:pStyle w:val="ListBullet"/>
              <w:tabs>
                <w:tab w:val="clear" w:pos="295"/>
                <w:tab w:val="num" w:pos="590"/>
              </w:tabs>
            </w:pPr>
            <w:r>
              <w:t>Revised to make clear that for there to be a benefit to Australia, Australia must be in</w:t>
            </w:r>
            <w:r w:rsidR="00CE7B50">
              <w:t xml:space="preserve"> the</w:t>
            </w:r>
            <w:r>
              <w:t xml:space="preserve"> service area </w:t>
            </w:r>
            <w:r w:rsidR="00903768">
              <w:t xml:space="preserve">of </w:t>
            </w:r>
            <w:r>
              <w:t>the proposed satellite service</w:t>
            </w:r>
            <w:r w:rsidR="009641E4">
              <w:t>.</w:t>
            </w:r>
          </w:p>
          <w:p w14:paraId="0A8EBAAD" w14:textId="24BF499A" w:rsidR="009C255F" w:rsidRDefault="007B48B5">
            <w:pPr>
              <w:pStyle w:val="ListBullet"/>
              <w:tabs>
                <w:tab w:val="clear" w:pos="295"/>
                <w:tab w:val="num" w:pos="590"/>
              </w:tabs>
            </w:pPr>
            <w:r>
              <w:t>F</w:t>
            </w:r>
            <w:r w:rsidR="00B248D6">
              <w:t xml:space="preserve">or new applicants </w:t>
            </w:r>
            <w:r w:rsidR="008F2948">
              <w:t>from</w:t>
            </w:r>
            <w:r w:rsidR="00B248D6">
              <w:t xml:space="preserve"> existing satellite operators</w:t>
            </w:r>
            <w:r w:rsidR="008F2948">
              <w:t>, i</w:t>
            </w:r>
            <w:r w:rsidR="009C255F">
              <w:t>ncluding consideration of past</w:t>
            </w:r>
            <w:r w:rsidR="008F2948">
              <w:t xml:space="preserve"> performance</w:t>
            </w:r>
            <w:r w:rsidR="003B5F2A">
              <w:t xml:space="preserve"> as </w:t>
            </w:r>
            <w:r w:rsidR="00515E71">
              <w:t xml:space="preserve">part of </w:t>
            </w:r>
            <w:r w:rsidR="0003701A">
              <w:t xml:space="preserve">assessing </w:t>
            </w:r>
            <w:r w:rsidR="00271A13">
              <w:t xml:space="preserve">Australian benefit. This will include </w:t>
            </w:r>
            <w:r w:rsidR="003967CC">
              <w:t xml:space="preserve">consideration of </w:t>
            </w:r>
            <w:r w:rsidR="00F30835">
              <w:t xml:space="preserve">compliance </w:t>
            </w:r>
            <w:r w:rsidR="002650B6">
              <w:t xml:space="preserve">with </w:t>
            </w:r>
            <w:r w:rsidR="008A23CF">
              <w:t xml:space="preserve">the </w:t>
            </w:r>
            <w:r w:rsidR="008E3E06">
              <w:t>requirement</w:t>
            </w:r>
            <w:r w:rsidR="008A23CF">
              <w:t>s</w:t>
            </w:r>
            <w:r w:rsidR="008E3E06">
              <w:t xml:space="preserve"> of our </w:t>
            </w:r>
            <w:r w:rsidR="002650B6">
              <w:t xml:space="preserve">filing procedures </w:t>
            </w:r>
            <w:r w:rsidR="002D1B1E">
              <w:t xml:space="preserve">for </w:t>
            </w:r>
            <w:r w:rsidR="00C43FFE">
              <w:t>existing filing</w:t>
            </w:r>
            <w:r w:rsidR="00B50FD0">
              <w:t>s</w:t>
            </w:r>
            <w:r w:rsidR="00C43FFE">
              <w:t xml:space="preserve"> </w:t>
            </w:r>
            <w:r w:rsidR="00D41ADF" w:rsidRPr="00D41ADF">
              <w:t xml:space="preserve">and </w:t>
            </w:r>
            <w:r w:rsidR="00B50FD0">
              <w:t xml:space="preserve">the </w:t>
            </w:r>
            <w:r w:rsidR="00C43FFE">
              <w:t xml:space="preserve">Australian benefit provided by those filings. </w:t>
            </w:r>
            <w:r w:rsidR="00525279">
              <w:t xml:space="preserve"> </w:t>
            </w:r>
          </w:p>
        </w:tc>
      </w:tr>
      <w:tr w:rsidR="009C255F" w:rsidRPr="00E162C4" w14:paraId="62EAC59D" w14:textId="77777777">
        <w:trPr>
          <w:cnfStyle w:val="000000100000" w:firstRow="0" w:lastRow="0" w:firstColumn="0" w:lastColumn="0" w:oddVBand="0" w:evenVBand="0" w:oddHBand="1" w:evenHBand="0" w:firstRowFirstColumn="0" w:firstRowLastColumn="0" w:lastRowFirstColumn="0" w:lastRowLastColumn="0"/>
        </w:trPr>
        <w:tc>
          <w:tcPr>
            <w:tcW w:w="7933" w:type="dxa"/>
          </w:tcPr>
          <w:p w14:paraId="21F8DAB3" w14:textId="1393C084" w:rsidR="009C255F" w:rsidRPr="009C3266" w:rsidRDefault="009C255F" w:rsidP="00251F91">
            <w:pPr>
              <w:pStyle w:val="ListBullet"/>
              <w:numPr>
                <w:ilvl w:val="0"/>
                <w:numId w:val="0"/>
              </w:numPr>
              <w:spacing w:after="0"/>
              <w:ind w:left="295" w:hanging="295"/>
              <w:rPr>
                <w:b/>
                <w:bCs/>
              </w:rPr>
            </w:pPr>
            <w:r w:rsidRPr="00B37490">
              <w:rPr>
                <w:b/>
                <w:bCs/>
              </w:rPr>
              <w:t xml:space="preserve">Coordination with </w:t>
            </w:r>
            <w:r w:rsidR="00694C55">
              <w:rPr>
                <w:b/>
                <w:bCs/>
              </w:rPr>
              <w:t xml:space="preserve">existing </w:t>
            </w:r>
            <w:r w:rsidRPr="00B37490">
              <w:rPr>
                <w:b/>
                <w:bCs/>
              </w:rPr>
              <w:t>Australian satellite systems</w:t>
            </w:r>
            <w:r w:rsidR="006972B7">
              <w:rPr>
                <w:rStyle w:val="FootnoteReference"/>
                <w:b/>
                <w:bCs/>
              </w:rPr>
              <w:footnoteReference w:id="11"/>
            </w:r>
          </w:p>
        </w:tc>
      </w:tr>
      <w:tr w:rsidR="009C255F" w:rsidRPr="00E162C4" w14:paraId="0465719C"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63AC07E7" w14:textId="7EAD4A3D" w:rsidR="009C255F" w:rsidRPr="00067B74" w:rsidRDefault="009C255F">
            <w:pPr>
              <w:pStyle w:val="ListBullet"/>
              <w:tabs>
                <w:tab w:val="clear" w:pos="295"/>
                <w:tab w:val="num" w:pos="590"/>
              </w:tabs>
            </w:pPr>
            <w:r w:rsidRPr="00067B74">
              <w:t xml:space="preserve">Changed to give </w:t>
            </w:r>
            <w:r w:rsidR="00CF2444">
              <w:t xml:space="preserve">an </w:t>
            </w:r>
            <w:r w:rsidRPr="00067B74">
              <w:t>option of filing with agreement in principle between Australian satellite operators with coordination to be completed before satellite system is brought into use</w:t>
            </w:r>
            <w:r w:rsidR="009641E4">
              <w:t>.</w:t>
            </w:r>
          </w:p>
          <w:p w14:paraId="59B80A06" w14:textId="45969978" w:rsidR="009C255F" w:rsidRPr="00067B74" w:rsidRDefault="009C255F">
            <w:pPr>
              <w:pStyle w:val="ListBullet"/>
              <w:tabs>
                <w:tab w:val="clear" w:pos="295"/>
                <w:tab w:val="num" w:pos="590"/>
              </w:tabs>
            </w:pPr>
            <w:r w:rsidRPr="00067B74">
              <w:t>Additional text and restructure</w:t>
            </w:r>
            <w:r w:rsidR="00DC3736">
              <w:t>d</w:t>
            </w:r>
            <w:r w:rsidRPr="00067B74">
              <w:t xml:space="preserve"> to give greater clarity </w:t>
            </w:r>
            <w:r w:rsidR="005B298A">
              <w:t>about our</w:t>
            </w:r>
            <w:r w:rsidRPr="00067B74">
              <w:t xml:space="preserve"> expectation of </w:t>
            </w:r>
            <w:r w:rsidR="009068C9">
              <w:t>how</w:t>
            </w:r>
            <w:r w:rsidRPr="00067B74">
              <w:t xml:space="preserve"> coordination</w:t>
            </w:r>
            <w:r w:rsidR="009068C9">
              <w:t xml:space="preserve"> </w:t>
            </w:r>
            <w:r w:rsidR="0088782B">
              <w:t>is achieve</w:t>
            </w:r>
            <w:r w:rsidR="00B87A66">
              <w:t>d</w:t>
            </w:r>
            <w:r w:rsidR="0088782B">
              <w:t xml:space="preserve"> between Australian</w:t>
            </w:r>
            <w:r w:rsidRPr="00067B74">
              <w:t xml:space="preserve"> satellite</w:t>
            </w:r>
            <w:r w:rsidR="0088782B">
              <w:t xml:space="preserve"> operator</w:t>
            </w:r>
            <w:r w:rsidR="00B87A66">
              <w:t>s</w:t>
            </w:r>
            <w:r w:rsidRPr="00067B74">
              <w:t xml:space="preserve"> and how disputes will be addressed</w:t>
            </w:r>
            <w:r w:rsidR="009641E4">
              <w:t>.</w:t>
            </w:r>
          </w:p>
        </w:tc>
      </w:tr>
      <w:tr w:rsidR="009C255F" w:rsidRPr="00E162C4" w14:paraId="76BD3D0E" w14:textId="77777777">
        <w:trPr>
          <w:cnfStyle w:val="000000100000" w:firstRow="0" w:lastRow="0" w:firstColumn="0" w:lastColumn="0" w:oddVBand="0" w:evenVBand="0" w:oddHBand="1" w:evenHBand="0" w:firstRowFirstColumn="0" w:firstRowLastColumn="0" w:lastRowFirstColumn="0" w:lastRowLastColumn="0"/>
        </w:trPr>
        <w:tc>
          <w:tcPr>
            <w:tcW w:w="7933" w:type="dxa"/>
          </w:tcPr>
          <w:p w14:paraId="42C41097" w14:textId="1CEF7257" w:rsidR="009C255F" w:rsidRPr="00067B74" w:rsidRDefault="007B78FE" w:rsidP="00251F91">
            <w:pPr>
              <w:pStyle w:val="ListBullet"/>
              <w:keepNext/>
              <w:numPr>
                <w:ilvl w:val="0"/>
                <w:numId w:val="0"/>
              </w:numPr>
              <w:spacing w:after="0"/>
              <w:ind w:left="295" w:hanging="295"/>
              <w:rPr>
                <w:b/>
                <w:bCs/>
              </w:rPr>
            </w:pPr>
            <w:r>
              <w:rPr>
                <w:b/>
                <w:bCs/>
              </w:rPr>
              <w:lastRenderedPageBreak/>
              <w:t>A</w:t>
            </w:r>
            <w:r w:rsidR="009C255F" w:rsidRPr="00067B74">
              <w:rPr>
                <w:b/>
                <w:bCs/>
              </w:rPr>
              <w:t>pplications in ITU ‘planned band</w:t>
            </w:r>
            <w:r w:rsidR="007B07EC" w:rsidRPr="00067B74">
              <w:rPr>
                <w:b/>
                <w:bCs/>
              </w:rPr>
              <w:t>s</w:t>
            </w:r>
            <w:r w:rsidR="009C255F" w:rsidRPr="00067B74">
              <w:rPr>
                <w:b/>
                <w:bCs/>
              </w:rPr>
              <w:t>’</w:t>
            </w:r>
          </w:p>
        </w:tc>
      </w:tr>
      <w:tr w:rsidR="009C255F" w:rsidRPr="00E162C4" w14:paraId="1AAFBC2D"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482B78B6" w14:textId="77777777" w:rsidR="0054245F" w:rsidRDefault="00CC69F0" w:rsidP="000F7ED8">
            <w:pPr>
              <w:pStyle w:val="ListBullet"/>
              <w:keepNext/>
            </w:pPr>
            <w:r w:rsidRPr="00067B74">
              <w:t>Deletion of the requirement that a</w:t>
            </w:r>
            <w:r w:rsidR="009F4905" w:rsidRPr="00067B74">
              <w:t>pplications to make use of planned bands over the territory of another country will only be considered if accompanied by the approval of the administration of that country.</w:t>
            </w:r>
          </w:p>
          <w:p w14:paraId="1F585489" w14:textId="0AD532F6" w:rsidR="009C255F" w:rsidRPr="00067B74" w:rsidRDefault="002D47CF" w:rsidP="000F7ED8">
            <w:pPr>
              <w:pStyle w:val="ListBullet"/>
              <w:keepNext/>
            </w:pPr>
            <w:r w:rsidRPr="00067B74">
              <w:t xml:space="preserve">Deleted </w:t>
            </w:r>
            <w:r w:rsidR="00386720" w:rsidRPr="00067B74">
              <w:t>due to potential delays in obtain</w:t>
            </w:r>
            <w:r w:rsidR="006E28D8">
              <w:t xml:space="preserve">ing </w:t>
            </w:r>
            <w:r w:rsidR="00386720" w:rsidRPr="00067B74">
              <w:t>approval</w:t>
            </w:r>
            <w:r w:rsidR="00067B74" w:rsidRPr="00067B74">
              <w:t xml:space="preserve"> and </w:t>
            </w:r>
            <w:r w:rsidR="00BF37E8">
              <w:t xml:space="preserve">that the </w:t>
            </w:r>
            <w:r w:rsidR="00067B74" w:rsidRPr="00067B74">
              <w:t xml:space="preserve">ITU </w:t>
            </w:r>
            <w:r w:rsidR="005056FF" w:rsidRPr="00067B74">
              <w:rPr>
                <w:szCs w:val="20"/>
              </w:rPr>
              <w:t xml:space="preserve">process </w:t>
            </w:r>
            <w:r w:rsidR="00827BFB">
              <w:rPr>
                <w:szCs w:val="20"/>
              </w:rPr>
              <w:t xml:space="preserve">for planned bands </w:t>
            </w:r>
            <w:r w:rsidR="005056FF" w:rsidRPr="00067B74">
              <w:rPr>
                <w:szCs w:val="20"/>
              </w:rPr>
              <w:t xml:space="preserve">includes the opportunity for any administration to have its territory removed from the service area of the satellite </w:t>
            </w:r>
            <w:r w:rsidR="00A57EB8">
              <w:rPr>
                <w:szCs w:val="20"/>
              </w:rPr>
              <w:t>system</w:t>
            </w:r>
            <w:r w:rsidR="009641E4">
              <w:rPr>
                <w:szCs w:val="20"/>
              </w:rPr>
              <w:t>.</w:t>
            </w:r>
          </w:p>
        </w:tc>
      </w:tr>
      <w:tr w:rsidR="009C255F" w:rsidRPr="00E162C4" w14:paraId="4BBD42D2" w14:textId="77777777">
        <w:trPr>
          <w:cnfStyle w:val="000000100000" w:firstRow="0" w:lastRow="0" w:firstColumn="0" w:lastColumn="0" w:oddVBand="0" w:evenVBand="0" w:oddHBand="1" w:evenHBand="0" w:firstRowFirstColumn="0" w:firstRowLastColumn="0" w:lastRowFirstColumn="0" w:lastRowLastColumn="0"/>
        </w:trPr>
        <w:tc>
          <w:tcPr>
            <w:tcW w:w="7933" w:type="dxa"/>
          </w:tcPr>
          <w:p w14:paraId="62D2CADC" w14:textId="7DED771C" w:rsidR="009C255F" w:rsidRPr="00B37490" w:rsidRDefault="009C255F" w:rsidP="00251F91">
            <w:pPr>
              <w:pStyle w:val="ListBullet"/>
              <w:keepNext/>
              <w:numPr>
                <w:ilvl w:val="0"/>
                <w:numId w:val="0"/>
              </w:numPr>
              <w:spacing w:after="0"/>
              <w:ind w:left="295" w:hanging="295"/>
              <w:rPr>
                <w:b/>
                <w:bCs/>
              </w:rPr>
            </w:pPr>
            <w:r w:rsidRPr="00B37490">
              <w:rPr>
                <w:b/>
                <w:bCs/>
              </w:rPr>
              <w:t xml:space="preserve">Additional requirements </w:t>
            </w:r>
            <w:r w:rsidR="0097462F">
              <w:rPr>
                <w:b/>
                <w:bCs/>
              </w:rPr>
              <w:t>for</w:t>
            </w:r>
            <w:r w:rsidR="0097462F" w:rsidRPr="00B37490">
              <w:rPr>
                <w:b/>
                <w:bCs/>
              </w:rPr>
              <w:t xml:space="preserve"> </w:t>
            </w:r>
            <w:r w:rsidRPr="00B37490">
              <w:rPr>
                <w:b/>
                <w:bCs/>
              </w:rPr>
              <w:t>amateur satellites</w:t>
            </w:r>
          </w:p>
        </w:tc>
      </w:tr>
      <w:tr w:rsidR="009C255F" w:rsidRPr="00E162C4" w14:paraId="7F5F4C00" w14:textId="77777777">
        <w:trPr>
          <w:cnfStyle w:val="000000010000" w:firstRow="0" w:lastRow="0" w:firstColumn="0" w:lastColumn="0" w:oddVBand="0" w:evenVBand="0" w:oddHBand="0" w:evenHBand="1" w:firstRowFirstColumn="0" w:firstRowLastColumn="0" w:lastRowFirstColumn="0" w:lastRowLastColumn="0"/>
        </w:trPr>
        <w:tc>
          <w:tcPr>
            <w:tcW w:w="7933" w:type="dxa"/>
          </w:tcPr>
          <w:p w14:paraId="36B95785" w14:textId="01C06CB1" w:rsidR="009C255F" w:rsidRDefault="009C255F" w:rsidP="001825F3">
            <w:pPr>
              <w:pStyle w:val="ListBullet"/>
              <w:keepNext/>
              <w:tabs>
                <w:tab w:val="clear" w:pos="295"/>
                <w:tab w:val="num" w:pos="590"/>
              </w:tabs>
            </w:pPr>
            <w:r>
              <w:t xml:space="preserve">Requiring that </w:t>
            </w:r>
            <w:r w:rsidRPr="000123E6">
              <w:t xml:space="preserve">applications </w:t>
            </w:r>
            <w:r>
              <w:t xml:space="preserve">for </w:t>
            </w:r>
            <w:r w:rsidRPr="000123E6">
              <w:t xml:space="preserve">use </w:t>
            </w:r>
            <w:r w:rsidR="0097462F">
              <w:t xml:space="preserve">of </w:t>
            </w:r>
            <w:r w:rsidRPr="000123E6">
              <w:t>amateur satellite bands</w:t>
            </w:r>
            <w:r>
              <w:t xml:space="preserve"> require </w:t>
            </w:r>
            <w:r w:rsidRPr="000123E6">
              <w:t>a letter of support from</w:t>
            </w:r>
            <w:r w:rsidR="0066207B">
              <w:t xml:space="preserve"> the</w:t>
            </w:r>
            <w:r w:rsidRPr="000123E6">
              <w:t xml:space="preserve"> Australian amateur community and to undertake frequency coordination through </w:t>
            </w:r>
            <w:r w:rsidR="009641E4">
              <w:t xml:space="preserve">the </w:t>
            </w:r>
            <w:hyperlink r:id="rId33" w:history="1">
              <w:r w:rsidRPr="00FD5E18">
                <w:rPr>
                  <w:rStyle w:val="Hyperlink"/>
                </w:rPr>
                <w:t>International Amateur Radio</w:t>
              </w:r>
              <w:r w:rsidR="00C23138" w:rsidRPr="00FD5E18">
                <w:rPr>
                  <w:rStyle w:val="Hyperlink"/>
                </w:rPr>
                <w:t xml:space="preserve"> Union</w:t>
              </w:r>
            </w:hyperlink>
            <w:r>
              <w:t xml:space="preserve">. </w:t>
            </w:r>
            <w:r w:rsidR="00FD0973">
              <w:t xml:space="preserve">This </w:t>
            </w:r>
            <w:r w:rsidR="00B00D2D">
              <w:t>requirement</w:t>
            </w:r>
            <w:r w:rsidR="007902EC">
              <w:t xml:space="preserve"> </w:t>
            </w:r>
            <w:r w:rsidR="00FD0973">
              <w:t>is r</w:t>
            </w:r>
            <w:r>
              <w:t xml:space="preserve">eflective of how </w:t>
            </w:r>
            <w:r w:rsidR="00FD0973">
              <w:t>we have</w:t>
            </w:r>
            <w:r>
              <w:t xml:space="preserve"> assess</w:t>
            </w:r>
            <w:r w:rsidR="00C23138">
              <w:t>ed</w:t>
            </w:r>
            <w:r>
              <w:t xml:space="preserve"> recent applications</w:t>
            </w:r>
            <w:r w:rsidR="009641E4">
              <w:t>.</w:t>
            </w:r>
          </w:p>
        </w:tc>
      </w:tr>
    </w:tbl>
    <w:p w14:paraId="2366C5A0" w14:textId="77777777" w:rsidR="0026670F" w:rsidRDefault="0026670F" w:rsidP="0026670F">
      <w:pPr>
        <w:pStyle w:val="Heading3"/>
      </w:pPr>
      <w:bookmarkStart w:id="33" w:name="_Toc139371627"/>
      <w:bookmarkStart w:id="34" w:name="_Toc144213387"/>
      <w:r>
        <w:t>Procedures for approved applicants</w:t>
      </w:r>
      <w:bookmarkEnd w:id="33"/>
      <w:bookmarkEnd w:id="34"/>
    </w:p>
    <w:p w14:paraId="38B84379" w14:textId="689007E4" w:rsidR="0026670F" w:rsidRDefault="00542F28" w:rsidP="00867E18">
      <w:pPr>
        <w:pStyle w:val="Paragraphbeforelist"/>
      </w:pPr>
      <w:r>
        <w:t>Sec</w:t>
      </w:r>
      <w:r w:rsidR="006C7897">
        <w:t>tion 4 (</w:t>
      </w:r>
      <w:r w:rsidR="0026670F">
        <w:t>Procedures for approved applicants</w:t>
      </w:r>
      <w:r w:rsidR="006C7897">
        <w:t>) o</w:t>
      </w:r>
      <w:r w:rsidR="0026670F">
        <w:t xml:space="preserve">f the revised </w:t>
      </w:r>
      <w:r w:rsidR="005D6AE7">
        <w:t xml:space="preserve">filing </w:t>
      </w:r>
      <w:r w:rsidR="0026670F">
        <w:t>procedures is essential</w:t>
      </w:r>
      <w:r w:rsidR="004B2BF2">
        <w:t>ly</w:t>
      </w:r>
      <w:r w:rsidR="0026670F">
        <w:t xml:space="preserve"> the same as </w:t>
      </w:r>
      <w:r w:rsidR="0026670F" w:rsidRPr="00E43001">
        <w:t>the existing</w:t>
      </w:r>
      <w:r w:rsidR="003C2A22">
        <w:t xml:space="preserve"> section </w:t>
      </w:r>
      <w:r w:rsidR="004E75B5">
        <w:t>‘</w:t>
      </w:r>
      <w:r w:rsidR="00E43001" w:rsidRPr="00E43001">
        <w:t>Procedures for managing the coordination and notification of satellite systems</w:t>
      </w:r>
      <w:r w:rsidR="004E75B5">
        <w:t>’</w:t>
      </w:r>
      <w:r w:rsidR="0026670F" w:rsidRPr="00E43001">
        <w:t xml:space="preserve"> </w:t>
      </w:r>
      <w:r w:rsidR="003C2A22">
        <w:t xml:space="preserve">in our existing filing </w:t>
      </w:r>
      <w:r w:rsidR="00B22DDD">
        <w:t xml:space="preserve">procedures </w:t>
      </w:r>
      <w:r w:rsidR="0026670F" w:rsidRPr="00E43001">
        <w:t>with the</w:t>
      </w:r>
      <w:r w:rsidR="0026670F">
        <w:t xml:space="preserve"> following changes:</w:t>
      </w:r>
    </w:p>
    <w:p w14:paraId="10014337" w14:textId="30EFA38C" w:rsidR="0026670F" w:rsidRDefault="00C15DFF" w:rsidP="0026670F">
      <w:pPr>
        <w:pStyle w:val="ListBullet"/>
      </w:pPr>
      <w:r>
        <w:t>S</w:t>
      </w:r>
      <w:r w:rsidR="0026670F">
        <w:t>chedule of milestones for ensuring that ITU obligations are met to be refer</w:t>
      </w:r>
      <w:r w:rsidR="004B2BF2">
        <w:t>red</w:t>
      </w:r>
      <w:r w:rsidR="0026670F">
        <w:t xml:space="preserve"> to as guidance on best practice rather than a mandatory requirement</w:t>
      </w:r>
      <w:r w:rsidR="00C23F08">
        <w:t>.</w:t>
      </w:r>
      <w:r w:rsidR="0026670F">
        <w:t xml:space="preserve"> </w:t>
      </w:r>
    </w:p>
    <w:p w14:paraId="1B7C48AF" w14:textId="74621284" w:rsidR="0026670F" w:rsidRDefault="00C15DFF" w:rsidP="0026670F">
      <w:pPr>
        <w:pStyle w:val="ListBullet"/>
      </w:pPr>
      <w:r>
        <w:t>A</w:t>
      </w:r>
      <w:r w:rsidR="0026670F">
        <w:t xml:space="preserve">dditional flexibility provided </w:t>
      </w:r>
      <w:r w:rsidR="008D18DA">
        <w:t xml:space="preserve">to </w:t>
      </w:r>
      <w:r w:rsidR="00CF62EF">
        <w:t>short-duration mission</w:t>
      </w:r>
      <w:r w:rsidR="0026670F">
        <w:t xml:space="preserve">s and </w:t>
      </w:r>
      <w:r w:rsidR="0021658D">
        <w:t xml:space="preserve">filings in </w:t>
      </w:r>
      <w:r w:rsidR="0026670F">
        <w:t xml:space="preserve">bands not subject to coordination </w:t>
      </w:r>
      <w:proofErr w:type="gramStart"/>
      <w:r w:rsidR="0026670F">
        <w:t>with regard to</w:t>
      </w:r>
      <w:proofErr w:type="gramEnd"/>
      <w:r w:rsidR="0026670F">
        <w:t xml:space="preserve"> </w:t>
      </w:r>
      <w:r w:rsidR="00AF7AC7">
        <w:t xml:space="preserve">the </w:t>
      </w:r>
      <w:r w:rsidR="0026670F">
        <w:t xml:space="preserve">requirement for participation in </w:t>
      </w:r>
      <w:r w:rsidR="00AE37EF">
        <w:t xml:space="preserve">the </w:t>
      </w:r>
      <w:r w:rsidR="004423BB">
        <w:t>ITU satellite coordination process (</w:t>
      </w:r>
      <w:r w:rsidR="0026670F" w:rsidRPr="00AC1CDB">
        <w:t>International Frequency Information Circular</w:t>
      </w:r>
      <w:r w:rsidR="004423BB">
        <w:t>)</w:t>
      </w:r>
      <w:r w:rsidR="00552CDE">
        <w:t>.</w:t>
      </w:r>
    </w:p>
    <w:p w14:paraId="09FD21CB" w14:textId="716D37EE" w:rsidR="0026670F" w:rsidRDefault="00C15DFF" w:rsidP="0026670F">
      <w:pPr>
        <w:pStyle w:val="ListBullet"/>
      </w:pPr>
      <w:r>
        <w:t>I</w:t>
      </w:r>
      <w:r w:rsidR="0026670F">
        <w:t xml:space="preserve">nclusion of </w:t>
      </w:r>
      <w:r w:rsidR="008D155E">
        <w:t xml:space="preserve">a </w:t>
      </w:r>
      <w:r w:rsidR="0026670F">
        <w:t>statement that</w:t>
      </w:r>
      <w:r w:rsidR="003342DD">
        <w:t xml:space="preserve"> the</w:t>
      </w:r>
      <w:r w:rsidR="0026670F">
        <w:t xml:space="preserve"> ACMA</w:t>
      </w:r>
      <w:r w:rsidR="003342DD">
        <w:t>’s</w:t>
      </w:r>
      <w:r w:rsidR="0026670F">
        <w:t xml:space="preserve"> ongoing support for a satellite operation is conditional on there being a </w:t>
      </w:r>
      <w:r w:rsidR="001A1C22">
        <w:t xml:space="preserve">substantial </w:t>
      </w:r>
      <w:r w:rsidR="0026670F">
        <w:t>benefit to Australia</w:t>
      </w:r>
      <w:r w:rsidR="001A1C22">
        <w:t>.</w:t>
      </w:r>
      <w:r w:rsidR="0026670F">
        <w:t xml:space="preserve"> </w:t>
      </w:r>
    </w:p>
    <w:p w14:paraId="4F060F69" w14:textId="025A0372" w:rsidR="0026670F" w:rsidRDefault="00C15DFF" w:rsidP="009F1711">
      <w:pPr>
        <w:pStyle w:val="ListBullet"/>
      </w:pPr>
      <w:r>
        <w:t>I</w:t>
      </w:r>
      <w:r w:rsidR="0026670F">
        <w:t>nclusion of text reminding satellite operator</w:t>
      </w:r>
      <w:r w:rsidR="003342DD">
        <w:t>s</w:t>
      </w:r>
      <w:r w:rsidR="0026670F">
        <w:t xml:space="preserve"> that </w:t>
      </w:r>
      <w:r w:rsidR="00083DCD">
        <w:t xml:space="preserve">the ACMA’s </w:t>
      </w:r>
      <w:r w:rsidR="0026670F">
        <w:t xml:space="preserve">filing procedures do not identify all ITU requirements that are applicable to satellite systems and the onus </w:t>
      </w:r>
      <w:r w:rsidR="003342DD">
        <w:t xml:space="preserve">is </w:t>
      </w:r>
      <w:r w:rsidR="0026670F">
        <w:t>on the satellite operator to be aware of</w:t>
      </w:r>
      <w:r w:rsidR="00C23788">
        <w:t>,</w:t>
      </w:r>
      <w:r w:rsidR="0026670F">
        <w:t xml:space="preserve"> and operate in accordance with</w:t>
      </w:r>
      <w:r w:rsidR="00C23788">
        <w:t>,</w:t>
      </w:r>
      <w:r w:rsidR="0026670F">
        <w:t xml:space="preserve"> ITU requirements. </w:t>
      </w:r>
    </w:p>
    <w:p w14:paraId="50966975" w14:textId="563AA6E5" w:rsidR="00074CC5" w:rsidRDefault="00A1010D" w:rsidP="00723AF5">
      <w:pPr>
        <w:pStyle w:val="ListBulletLast"/>
      </w:pPr>
      <w:r>
        <w:t xml:space="preserve">Changes </w:t>
      </w:r>
      <w:r w:rsidR="002E039B">
        <w:t xml:space="preserve">to milestone arrangements and participation </w:t>
      </w:r>
      <w:r w:rsidR="00C23788">
        <w:t xml:space="preserve">in </w:t>
      </w:r>
      <w:r w:rsidR="002E039B">
        <w:t xml:space="preserve">the </w:t>
      </w:r>
      <w:r w:rsidR="003E0061">
        <w:t>ITU satellite c</w:t>
      </w:r>
      <w:r w:rsidR="009205C2">
        <w:t>oordination</w:t>
      </w:r>
      <w:r w:rsidR="006E29B4">
        <w:t xml:space="preserve"> process</w:t>
      </w:r>
      <w:r w:rsidR="002E039B">
        <w:t xml:space="preserve"> </w:t>
      </w:r>
      <w:r w:rsidR="00C23788">
        <w:t xml:space="preserve">are </w:t>
      </w:r>
      <w:r w:rsidR="002E039B">
        <w:t xml:space="preserve">discussed in more detail in </w:t>
      </w:r>
      <w:r w:rsidR="005E6121" w:rsidRPr="005E6121">
        <w:t xml:space="preserve">Section </w:t>
      </w:r>
      <w:r w:rsidR="009205C2" w:rsidRPr="00723AF5">
        <w:fldChar w:fldCharType="begin"/>
      </w:r>
      <w:r w:rsidR="009205C2" w:rsidRPr="00723AF5">
        <w:instrText xml:space="preserve"> REF _Ref143244456 \r \h </w:instrText>
      </w:r>
      <w:r w:rsidR="00723AF5">
        <w:instrText xml:space="preserve"> \* MERGEFORMAT </w:instrText>
      </w:r>
      <w:r w:rsidR="009205C2" w:rsidRPr="00723AF5">
        <w:fldChar w:fldCharType="separate"/>
      </w:r>
      <w:r w:rsidR="001A5BF8">
        <w:t>4</w:t>
      </w:r>
      <w:r w:rsidR="009205C2" w:rsidRPr="00723AF5">
        <w:fldChar w:fldCharType="end"/>
      </w:r>
      <w:r w:rsidR="00764D7D">
        <w:t xml:space="preserve"> (</w:t>
      </w:r>
      <w:r w:rsidR="009205C2" w:rsidRPr="00723AF5">
        <w:fldChar w:fldCharType="begin"/>
      </w:r>
      <w:r w:rsidR="009205C2" w:rsidRPr="00723AF5">
        <w:instrText xml:space="preserve"> REF _Ref143244461 \h </w:instrText>
      </w:r>
      <w:r w:rsidR="00723AF5">
        <w:instrText xml:space="preserve"> \* MERGEFORMAT </w:instrText>
      </w:r>
      <w:r w:rsidR="009205C2" w:rsidRPr="00723AF5">
        <w:fldChar w:fldCharType="separate"/>
      </w:r>
      <w:r w:rsidR="001A5BF8">
        <w:t xml:space="preserve">Revisions to ongoing </w:t>
      </w:r>
      <w:r w:rsidR="001A5BF8" w:rsidRPr="00572B5A">
        <w:t>manag</w:t>
      </w:r>
      <w:r w:rsidR="001A5BF8">
        <w:t>ement</w:t>
      </w:r>
      <w:r w:rsidR="001A5BF8" w:rsidRPr="00572B5A">
        <w:t xml:space="preserve"> </w:t>
      </w:r>
      <w:r w:rsidR="001A5BF8">
        <w:t xml:space="preserve">of </w:t>
      </w:r>
      <w:r w:rsidR="001A5BF8" w:rsidRPr="00572B5A">
        <w:t>satellite systems</w:t>
      </w:r>
      <w:r w:rsidR="009205C2" w:rsidRPr="00723AF5">
        <w:fldChar w:fldCharType="end"/>
      </w:r>
      <w:r w:rsidR="00764D7D">
        <w:t>) of</w:t>
      </w:r>
      <w:r w:rsidR="005E6121" w:rsidRPr="005E6121">
        <w:t xml:space="preserve"> this document.</w:t>
      </w:r>
    </w:p>
    <w:p w14:paraId="66F50F53" w14:textId="569FE509" w:rsidR="0026670F" w:rsidRDefault="0026670F" w:rsidP="0026670F">
      <w:pPr>
        <w:pStyle w:val="Heading3"/>
      </w:pPr>
      <w:bookmarkStart w:id="35" w:name="_Toc139371628"/>
      <w:bookmarkStart w:id="36" w:name="_Toc144213388"/>
      <w:r>
        <w:t xml:space="preserve">Change in access to an ITU satellite </w:t>
      </w:r>
      <w:bookmarkEnd w:id="35"/>
      <w:r>
        <w:t>filing</w:t>
      </w:r>
      <w:bookmarkEnd w:id="36"/>
    </w:p>
    <w:p w14:paraId="6259BE0A" w14:textId="2E8C82D6" w:rsidR="0026670F" w:rsidRDefault="00004DD5" w:rsidP="0026670F">
      <w:r>
        <w:t>Section 5 (</w:t>
      </w:r>
      <w:r w:rsidR="0026670F">
        <w:t>Requirements for change in access to an ITU satellite filing</w:t>
      </w:r>
      <w:r w:rsidR="00565EE9">
        <w:t>)</w:t>
      </w:r>
      <w:r w:rsidR="0026670F">
        <w:t xml:space="preserve"> of the revised </w:t>
      </w:r>
      <w:r w:rsidR="001F0AFC">
        <w:t xml:space="preserve">filing </w:t>
      </w:r>
      <w:r w:rsidR="0026670F">
        <w:t>procedures</w:t>
      </w:r>
      <w:r w:rsidR="00565EE9">
        <w:t xml:space="preserve"> is</w:t>
      </w:r>
      <w:r w:rsidR="0026670F">
        <w:t xml:space="preserve"> based on the existing material of the current </w:t>
      </w:r>
      <w:r w:rsidR="00D713FF">
        <w:t xml:space="preserve">filing </w:t>
      </w:r>
      <w:r w:rsidR="0026670F">
        <w:t xml:space="preserve">procedures regarding transfer </w:t>
      </w:r>
      <w:r w:rsidR="006C2B7D">
        <w:t xml:space="preserve">of </w:t>
      </w:r>
      <w:r w:rsidR="0026670F">
        <w:t xml:space="preserve">and relinquishing a filing. It includes a requirement that when </w:t>
      </w:r>
      <w:r w:rsidR="0026670F" w:rsidRPr="00EF203B">
        <w:t>ownership arrangements change</w:t>
      </w:r>
      <w:r w:rsidR="0026670F">
        <w:t xml:space="preserve"> (</w:t>
      </w:r>
      <w:r w:rsidR="0026670F" w:rsidRPr="0019266F">
        <w:rPr>
          <w:rFonts w:cs="Arial"/>
        </w:rPr>
        <w:t>that is</w:t>
      </w:r>
      <w:r w:rsidR="00093946">
        <w:rPr>
          <w:rFonts w:cs="Arial"/>
        </w:rPr>
        <w:t>,</w:t>
      </w:r>
      <w:r w:rsidR="0026670F" w:rsidRPr="0019266F">
        <w:rPr>
          <w:rFonts w:cs="Arial"/>
        </w:rPr>
        <w:t xml:space="preserve"> when the business is sold or transferred to another entity</w:t>
      </w:r>
      <w:r w:rsidR="0026670F">
        <w:rPr>
          <w:rFonts w:cs="Arial"/>
        </w:rPr>
        <w:t>)</w:t>
      </w:r>
      <w:r w:rsidR="00093946">
        <w:rPr>
          <w:rFonts w:cs="Arial"/>
        </w:rPr>
        <w:t>,</w:t>
      </w:r>
      <w:r w:rsidR="0026670F">
        <w:rPr>
          <w:rFonts w:cs="Arial"/>
        </w:rPr>
        <w:t xml:space="preserve"> </w:t>
      </w:r>
      <w:r w:rsidR="0026670F" w:rsidRPr="000F1D9F">
        <w:t xml:space="preserve">the satellite operator must apply to the ACMA for re-assessment of whether it is in Australia’s interest to support the change in right of access to the filing. </w:t>
      </w:r>
    </w:p>
    <w:p w14:paraId="47C01979" w14:textId="49254EF9" w:rsidR="00CE4C1B" w:rsidRDefault="0099583B" w:rsidP="0026670F">
      <w:r>
        <w:t>O</w:t>
      </w:r>
      <w:r w:rsidR="00CE4C1B">
        <w:t>wnership changes will now include changes to the parent entity if the satellite operator is a subsidiary of, or controlled by, another entity</w:t>
      </w:r>
      <w:r w:rsidR="00BF1877">
        <w:t>.</w:t>
      </w:r>
      <w:r w:rsidR="00CE4C1B">
        <w:t xml:space="preserve"> </w:t>
      </w:r>
    </w:p>
    <w:p w14:paraId="210152B3" w14:textId="16117B93" w:rsidR="003E0061" w:rsidRDefault="0026670F" w:rsidP="00CE4C1B">
      <w:r>
        <w:t xml:space="preserve">The purpose of this </w:t>
      </w:r>
      <w:r w:rsidR="0099583B">
        <w:t>amendment</w:t>
      </w:r>
      <w:r>
        <w:t xml:space="preserve"> is to ensure that the new owner qualifies for the ACMA to manage the satellite filing on its behalf. </w:t>
      </w:r>
      <w:r w:rsidR="00505B2C">
        <w:t>T</w:t>
      </w:r>
      <w:r w:rsidR="003E0061">
        <w:t xml:space="preserve">hese changes are discussed in more detail in </w:t>
      </w:r>
      <w:r w:rsidR="003E0061" w:rsidRPr="005E6121">
        <w:t xml:space="preserve">Section </w:t>
      </w:r>
      <w:r w:rsidR="003E0061">
        <w:fldChar w:fldCharType="begin"/>
      </w:r>
      <w:r w:rsidR="003E0061">
        <w:instrText xml:space="preserve"> REF _Ref138926184 \r \h </w:instrText>
      </w:r>
      <w:r w:rsidR="003E0061">
        <w:fldChar w:fldCharType="separate"/>
      </w:r>
      <w:r w:rsidR="001A5BF8">
        <w:t>5</w:t>
      </w:r>
      <w:r w:rsidR="003E0061">
        <w:fldChar w:fldCharType="end"/>
      </w:r>
      <w:r w:rsidR="00C60CB4">
        <w:t xml:space="preserve"> (</w:t>
      </w:r>
      <w:r w:rsidR="003E0061">
        <w:fldChar w:fldCharType="begin"/>
      </w:r>
      <w:r w:rsidR="003E0061">
        <w:instrText xml:space="preserve"> REF _Ref138926184 \h </w:instrText>
      </w:r>
      <w:r w:rsidR="003E0061">
        <w:fldChar w:fldCharType="separate"/>
      </w:r>
      <w:r w:rsidR="001A5BF8">
        <w:t>Change in ownership</w:t>
      </w:r>
      <w:r w:rsidR="003E0061">
        <w:fldChar w:fldCharType="end"/>
      </w:r>
      <w:r w:rsidR="00C60CB4">
        <w:t>)</w:t>
      </w:r>
      <w:r w:rsidR="003E0061">
        <w:t xml:space="preserve"> of</w:t>
      </w:r>
      <w:r w:rsidR="003E0061" w:rsidRPr="005E6121">
        <w:t xml:space="preserve"> this document.</w:t>
      </w:r>
    </w:p>
    <w:p w14:paraId="10302BB2" w14:textId="0B240228" w:rsidR="00226161" w:rsidRDefault="00226161" w:rsidP="002E45B2">
      <w:pPr>
        <w:pStyle w:val="Heading1"/>
      </w:pPr>
      <w:bookmarkStart w:id="37" w:name="_Toc136440214"/>
      <w:bookmarkStart w:id="38" w:name="_Ref138926079"/>
      <w:bookmarkStart w:id="39" w:name="_Ref138926082"/>
      <w:bookmarkStart w:id="40" w:name="_Ref139364445"/>
      <w:bookmarkStart w:id="41" w:name="_Ref139364449"/>
      <w:bookmarkStart w:id="42" w:name="_Toc139371630"/>
      <w:bookmarkStart w:id="43" w:name="_Ref143010068"/>
      <w:bookmarkStart w:id="44" w:name="_Ref143010072"/>
      <w:bookmarkStart w:id="45" w:name="_Toc144213389"/>
      <w:bookmarkEnd w:id="15"/>
      <w:r>
        <w:lastRenderedPageBreak/>
        <w:t>Revision</w:t>
      </w:r>
      <w:r w:rsidR="00680BE5">
        <w:t>s</w:t>
      </w:r>
      <w:r w:rsidR="00B66AE3">
        <w:t xml:space="preserve"> </w:t>
      </w:r>
      <w:r w:rsidR="00B425BB">
        <w:t>to</w:t>
      </w:r>
      <w:r w:rsidR="00CC018A">
        <w:t xml:space="preserve"> application</w:t>
      </w:r>
      <w:r w:rsidR="009F428E">
        <w:t xml:space="preserve"> </w:t>
      </w:r>
      <w:r w:rsidR="00D469B4">
        <w:t>and assessment process</w:t>
      </w:r>
      <w:bookmarkEnd w:id="37"/>
      <w:bookmarkEnd w:id="38"/>
      <w:bookmarkEnd w:id="39"/>
      <w:bookmarkEnd w:id="40"/>
      <w:bookmarkEnd w:id="41"/>
      <w:bookmarkEnd w:id="42"/>
      <w:bookmarkEnd w:id="43"/>
      <w:bookmarkEnd w:id="44"/>
      <w:bookmarkEnd w:id="45"/>
    </w:p>
    <w:p w14:paraId="49C493AF" w14:textId="19D388E7" w:rsidR="002E45B2" w:rsidRDefault="00585078" w:rsidP="00620E20">
      <w:pPr>
        <w:pStyle w:val="Heading2"/>
      </w:pPr>
      <w:bookmarkStart w:id="46" w:name="_Toc136440215"/>
      <w:bookmarkStart w:id="47" w:name="_Toc139371631"/>
      <w:bookmarkStart w:id="48" w:name="_Toc144213390"/>
      <w:r>
        <w:t>When an application is required</w:t>
      </w:r>
      <w:bookmarkEnd w:id="46"/>
      <w:bookmarkEnd w:id="47"/>
      <w:bookmarkEnd w:id="48"/>
    </w:p>
    <w:p w14:paraId="5B4F52EB" w14:textId="2FE33835" w:rsidR="0054396B" w:rsidRDefault="0054396B" w:rsidP="0054396B">
      <w:pPr>
        <w:pStyle w:val="Heading3"/>
      </w:pPr>
      <w:bookmarkStart w:id="49" w:name="_Toc144213391"/>
      <w:r>
        <w:t>Current requirements</w:t>
      </w:r>
      <w:bookmarkEnd w:id="49"/>
    </w:p>
    <w:p w14:paraId="0CD46904" w14:textId="1C7857D7" w:rsidR="00612D74" w:rsidRDefault="00C4192C" w:rsidP="009562BC">
      <w:pPr>
        <w:pStyle w:val="Paragraph"/>
      </w:pPr>
      <w:r>
        <w:t>T</w:t>
      </w:r>
      <w:r w:rsidR="00551131">
        <w:t>he c</w:t>
      </w:r>
      <w:r w:rsidR="00544E84">
        <w:t xml:space="preserve">urrent </w:t>
      </w:r>
      <w:r w:rsidR="0038426A">
        <w:t xml:space="preserve">filing </w:t>
      </w:r>
      <w:r w:rsidR="00544E84">
        <w:t xml:space="preserve">procedures </w:t>
      </w:r>
      <w:r w:rsidR="007967A5">
        <w:t>specify that an application must be submitted</w:t>
      </w:r>
      <w:r w:rsidR="006F51DB">
        <w:t xml:space="preserve"> for </w:t>
      </w:r>
      <w:r w:rsidR="00D507FE">
        <w:t>a new satellite filing</w:t>
      </w:r>
      <w:r w:rsidR="00C560A9">
        <w:t xml:space="preserve"> </w:t>
      </w:r>
      <w:r w:rsidR="002851AF">
        <w:t xml:space="preserve">and </w:t>
      </w:r>
      <w:r w:rsidR="005E0A37">
        <w:t xml:space="preserve">(in a separate section of the procedures) </w:t>
      </w:r>
      <w:r w:rsidR="002851AF">
        <w:t>for transfer of an existing filing to another entity.</w:t>
      </w:r>
      <w:r w:rsidR="002851AF">
        <w:rPr>
          <w:rStyle w:val="FootnoteReference"/>
        </w:rPr>
        <w:footnoteReference w:id="12"/>
      </w:r>
      <w:r w:rsidR="006C4FD1">
        <w:t xml:space="preserve"> </w:t>
      </w:r>
      <w:r w:rsidR="00254F32">
        <w:t xml:space="preserve">While not explicitly stated, </w:t>
      </w:r>
      <w:r w:rsidR="009160A1">
        <w:t xml:space="preserve">in practice </w:t>
      </w:r>
      <w:r w:rsidR="00F42D77">
        <w:t xml:space="preserve">we also require </w:t>
      </w:r>
      <w:r w:rsidR="00254F32">
        <w:t xml:space="preserve">an application </w:t>
      </w:r>
      <w:r w:rsidR="00F42D77">
        <w:t>to be submitted and assessed</w:t>
      </w:r>
      <w:r w:rsidR="00254F32">
        <w:t xml:space="preserve"> for </w:t>
      </w:r>
      <w:r w:rsidR="00A57898">
        <w:t>modification</w:t>
      </w:r>
      <w:r w:rsidR="00337140">
        <w:t>s</w:t>
      </w:r>
      <w:r w:rsidR="00A57898">
        <w:t xml:space="preserve"> to existing filings</w:t>
      </w:r>
      <w:r w:rsidR="00D63DE8">
        <w:t>,</w:t>
      </w:r>
      <w:r w:rsidR="00A57898">
        <w:t xml:space="preserve"> </w:t>
      </w:r>
      <w:r w:rsidR="00337140">
        <w:t xml:space="preserve">as </w:t>
      </w:r>
      <w:r w:rsidR="007640C6">
        <w:t xml:space="preserve">these </w:t>
      </w:r>
      <w:r w:rsidR="00A57898">
        <w:t xml:space="preserve">can be as </w:t>
      </w:r>
      <w:r w:rsidR="00263640">
        <w:t>complex</w:t>
      </w:r>
      <w:r w:rsidR="00A57898">
        <w:t xml:space="preserve"> as the initial filing</w:t>
      </w:r>
      <w:r w:rsidR="00612D74">
        <w:t>.</w:t>
      </w:r>
    </w:p>
    <w:p w14:paraId="28B8C1BB" w14:textId="325F8838" w:rsidR="000F03D5" w:rsidRDefault="00A560D2" w:rsidP="00A560D2">
      <w:pPr>
        <w:pStyle w:val="Heading3"/>
      </w:pPr>
      <w:bookmarkStart w:id="50" w:name="_Toc144213392"/>
      <w:r>
        <w:t>Revised requirements</w:t>
      </w:r>
      <w:bookmarkEnd w:id="50"/>
    </w:p>
    <w:p w14:paraId="56A2BA6E" w14:textId="6AD7186A" w:rsidR="00DA2C6E" w:rsidRPr="0074270E" w:rsidRDefault="00CC6BA7" w:rsidP="0074270E">
      <w:pPr>
        <w:pStyle w:val="Paragraphbeforelist"/>
      </w:pPr>
      <w:r w:rsidRPr="0074270E">
        <w:t xml:space="preserve">In the revised draft filing procedures, </w:t>
      </w:r>
      <w:r w:rsidR="00CE1AEF">
        <w:t xml:space="preserve">for </w:t>
      </w:r>
      <w:r w:rsidR="00772AF1">
        <w:t>clarity, in</w:t>
      </w:r>
      <w:r w:rsidR="00854491">
        <w:t xml:space="preserve"> one section </w:t>
      </w:r>
      <w:r w:rsidR="00EE19AA">
        <w:t xml:space="preserve">we list all </w:t>
      </w:r>
      <w:r w:rsidR="00536605" w:rsidRPr="0074270E">
        <w:t xml:space="preserve">the </w:t>
      </w:r>
      <w:r w:rsidR="00DA2C6E" w:rsidRPr="0074270E">
        <w:t>circumstances when a filing application must be submitted to the ACMA.</w:t>
      </w:r>
      <w:r w:rsidR="00FF5DD8">
        <w:t xml:space="preserve"> We propose that a</w:t>
      </w:r>
      <w:r w:rsidR="00DA2C6E" w:rsidRPr="0074270E">
        <w:t xml:space="preserve">n application </w:t>
      </w:r>
      <w:r w:rsidR="00FF5DD8">
        <w:t>will be</w:t>
      </w:r>
      <w:r w:rsidR="00DA2C6E" w:rsidRPr="0074270E">
        <w:t xml:space="preserve"> required:</w:t>
      </w:r>
    </w:p>
    <w:p w14:paraId="3BD6E900" w14:textId="4E23E19F" w:rsidR="00DA2C6E" w:rsidRDefault="00DC152F" w:rsidP="00DA2C6E">
      <w:pPr>
        <w:pStyle w:val="ListBullet"/>
      </w:pPr>
      <w:r>
        <w:t xml:space="preserve">for </w:t>
      </w:r>
      <w:r w:rsidR="00DA2C6E">
        <w:t xml:space="preserve">a </w:t>
      </w:r>
      <w:r w:rsidR="00DA2C6E" w:rsidRPr="00E56389">
        <w:t>new ITU satellite filing</w:t>
      </w:r>
      <w:r w:rsidR="00DA2C6E">
        <w:t xml:space="preserve"> (existing requirement) </w:t>
      </w:r>
    </w:p>
    <w:p w14:paraId="3EB57313" w14:textId="317B64C4" w:rsidR="00DA2C6E" w:rsidRDefault="00DA2C6E" w:rsidP="00DA2C6E">
      <w:pPr>
        <w:pStyle w:val="ListBullet"/>
      </w:pPr>
      <w:r>
        <w:t>to modify an existing ITU satellite filing</w:t>
      </w:r>
      <w:r w:rsidR="00221694">
        <w:t xml:space="preserve">, </w:t>
      </w:r>
      <w:r>
        <w:t>such as adding or changing a frequency band, or altering orbital parameters (</w:t>
      </w:r>
      <w:r w:rsidR="00DC152F">
        <w:t>reflecting</w:t>
      </w:r>
      <w:r>
        <w:t xml:space="preserve"> current practice) </w:t>
      </w:r>
    </w:p>
    <w:p w14:paraId="520C8415" w14:textId="77777777" w:rsidR="00DA2C6E" w:rsidRDefault="00DA2C6E" w:rsidP="00DA2C6E">
      <w:pPr>
        <w:pStyle w:val="Bulletlevel1"/>
      </w:pPr>
      <w:r>
        <w:t xml:space="preserve">to </w:t>
      </w:r>
      <w:r w:rsidRPr="00E56389">
        <w:t xml:space="preserve">transfer </w:t>
      </w:r>
      <w:r>
        <w:t xml:space="preserve">use of an </w:t>
      </w:r>
      <w:r w:rsidRPr="00E56389">
        <w:t>existing ITU satellite filing</w:t>
      </w:r>
      <w:r>
        <w:t xml:space="preserve"> to another entity (existing requirement)</w:t>
      </w:r>
    </w:p>
    <w:p w14:paraId="4533EDD9" w14:textId="5CA5A736" w:rsidR="00DA2C6E" w:rsidRDefault="00222AE9" w:rsidP="00DA2C6E">
      <w:pPr>
        <w:pStyle w:val="Bulletlevel1last"/>
      </w:pPr>
      <w:r>
        <w:t>for a c</w:t>
      </w:r>
      <w:r w:rsidR="00DA2C6E">
        <w:t xml:space="preserve">hange in </w:t>
      </w:r>
      <w:r w:rsidR="00DA2C6E" w:rsidRPr="00166F6B">
        <w:t xml:space="preserve">ownership </w:t>
      </w:r>
      <w:r w:rsidR="00DA2C6E">
        <w:t xml:space="preserve">of </w:t>
      </w:r>
      <w:r w:rsidR="00DA2C6E" w:rsidRPr="00166F6B">
        <w:t>a satellite operator with access to an ITU satellite filing</w:t>
      </w:r>
      <w:r w:rsidR="00DA2C6E">
        <w:t xml:space="preserve"> </w:t>
      </w:r>
      <w:r w:rsidR="00BD2AEB">
        <w:t>(</w:t>
      </w:r>
      <w:r w:rsidR="00DA2C6E">
        <w:fldChar w:fldCharType="begin"/>
      </w:r>
      <w:r w:rsidR="00DA2C6E">
        <w:instrText xml:space="preserve"> REF _Ref138926187 \h  \* MERGEFORMAT </w:instrText>
      </w:r>
      <w:r w:rsidR="00B37467">
        <w:fldChar w:fldCharType="separate"/>
      </w:r>
      <w:r w:rsidR="00DA2C6E">
        <w:fldChar w:fldCharType="end"/>
      </w:r>
      <w:r w:rsidR="00DA2C6E">
        <w:t>new</w:t>
      </w:r>
      <w:r>
        <w:t xml:space="preserve"> requirement</w:t>
      </w:r>
      <w:r w:rsidR="00DA2C6E">
        <w:t>).</w:t>
      </w:r>
    </w:p>
    <w:p w14:paraId="49A0FBA6" w14:textId="280A8279" w:rsidR="00530B57" w:rsidRDefault="00612D74" w:rsidP="00EC6CF4">
      <w:r>
        <w:t xml:space="preserve">As discussed at Section </w:t>
      </w:r>
      <w:r>
        <w:fldChar w:fldCharType="begin"/>
      </w:r>
      <w:r>
        <w:instrText xml:space="preserve"> REF _Ref138926184 \r \h  \* MERGEFORMAT </w:instrText>
      </w:r>
      <w:r>
        <w:fldChar w:fldCharType="separate"/>
      </w:r>
      <w:r w:rsidR="001A5BF8">
        <w:t>5</w:t>
      </w:r>
      <w:r>
        <w:fldChar w:fldCharType="end"/>
      </w:r>
      <w:r>
        <w:t xml:space="preserve"> (</w:t>
      </w:r>
      <w:r>
        <w:fldChar w:fldCharType="begin"/>
      </w:r>
      <w:r>
        <w:instrText xml:space="preserve"> REF _Ref138926187 \h  \* MERGEFORMAT </w:instrText>
      </w:r>
      <w:r>
        <w:fldChar w:fldCharType="separate"/>
      </w:r>
      <w:r w:rsidR="001A5BF8">
        <w:t>Change in ownership</w:t>
      </w:r>
      <w:r>
        <w:fldChar w:fldCharType="end"/>
      </w:r>
      <w:r>
        <w:t xml:space="preserve">), we </w:t>
      </w:r>
      <w:r w:rsidR="00222AE9">
        <w:t>propose</w:t>
      </w:r>
      <w:r>
        <w:t xml:space="preserve"> that when ownership of the satellite operator</w:t>
      </w:r>
      <w:r>
        <w:rPr>
          <w:rStyle w:val="FootnoteReference"/>
        </w:rPr>
        <w:footnoteReference w:id="13"/>
      </w:r>
      <w:r>
        <w:t xml:space="preserve"> changes (for example, </w:t>
      </w:r>
      <w:r w:rsidRPr="0019266F">
        <w:rPr>
          <w:rFonts w:cs="Arial"/>
        </w:rPr>
        <w:t>when the business is sold or transferred to another entity</w:t>
      </w:r>
      <w:r>
        <w:rPr>
          <w:rFonts w:cs="Arial"/>
        </w:rPr>
        <w:t xml:space="preserve">), </w:t>
      </w:r>
      <w:r w:rsidR="009B4D59">
        <w:rPr>
          <w:rFonts w:cs="Arial"/>
        </w:rPr>
        <w:t>the new owner</w:t>
      </w:r>
      <w:r w:rsidRPr="000F1D9F">
        <w:t xml:space="preserve"> </w:t>
      </w:r>
      <w:r w:rsidR="009B4D59">
        <w:t>must</w:t>
      </w:r>
      <w:r>
        <w:t xml:space="preserve"> </w:t>
      </w:r>
      <w:r w:rsidRPr="000F1D9F">
        <w:t xml:space="preserve">apply to the ACMA for re-assessment of whether it is in Australia’s interest to support the change in right of access to the filing. </w:t>
      </w:r>
    </w:p>
    <w:p w14:paraId="489F0CC2" w14:textId="285F8181" w:rsidR="009B2733" w:rsidRDefault="009B2733" w:rsidP="00585078">
      <w:pPr>
        <w:pStyle w:val="ListBullet"/>
        <w:numPr>
          <w:ilvl w:val="0"/>
          <w:numId w:val="0"/>
        </w:numPr>
      </w:pPr>
      <w:r>
        <w:t xml:space="preserve">The purpose of </w:t>
      </w:r>
      <w:r w:rsidR="00C71133">
        <w:t xml:space="preserve">these </w:t>
      </w:r>
      <w:r w:rsidR="00064436">
        <w:t>requi</w:t>
      </w:r>
      <w:r w:rsidR="00000B3E">
        <w:t>rements</w:t>
      </w:r>
      <w:r>
        <w:t xml:space="preserve"> is to ensure that </w:t>
      </w:r>
      <w:r w:rsidR="00C71133">
        <w:t xml:space="preserve">satellite </w:t>
      </w:r>
      <w:r>
        <w:t>operators seeking significant changes to existing filing arrangements still meet the criteria for the ACMA to act on their behalf.</w:t>
      </w:r>
    </w:p>
    <w:p w14:paraId="54BB177E" w14:textId="7D8F7A93" w:rsidR="00792634" w:rsidRDefault="00CF62EF" w:rsidP="00792634">
      <w:pPr>
        <w:pStyle w:val="Heading2"/>
      </w:pPr>
      <w:bookmarkStart w:id="51" w:name="_Toc136440216"/>
      <w:bookmarkStart w:id="52" w:name="_Toc139371632"/>
      <w:bookmarkStart w:id="53" w:name="_Toc144213393"/>
      <w:r>
        <w:t>Short-duration mission</w:t>
      </w:r>
      <w:r w:rsidR="00792634">
        <w:t>s</w:t>
      </w:r>
      <w:bookmarkEnd w:id="51"/>
      <w:bookmarkEnd w:id="52"/>
      <w:bookmarkEnd w:id="53"/>
    </w:p>
    <w:p w14:paraId="7CAEFC39" w14:textId="2B64C1E1" w:rsidR="000F1588" w:rsidRDefault="00A86C1D" w:rsidP="00792634">
      <w:pPr>
        <w:pStyle w:val="Paragraph"/>
      </w:pPr>
      <w:r>
        <w:t xml:space="preserve">Currently applications </w:t>
      </w:r>
      <w:r w:rsidR="007C0848">
        <w:t>from all</w:t>
      </w:r>
      <w:r>
        <w:t xml:space="preserve"> new satellite </w:t>
      </w:r>
      <w:r w:rsidR="007C0848">
        <w:t>operators</w:t>
      </w:r>
      <w:r>
        <w:t xml:space="preserve"> are required to be considered by the full board of the ACMA Authority</w:t>
      </w:r>
      <w:r w:rsidR="007C0848">
        <w:t xml:space="preserve"> regardless </w:t>
      </w:r>
      <w:r w:rsidR="007D4252">
        <w:t xml:space="preserve">of the </w:t>
      </w:r>
      <w:r w:rsidR="007C0848">
        <w:t>type</w:t>
      </w:r>
      <w:r w:rsidR="00617350">
        <w:t xml:space="preserve"> or lifespan of the proposed satellite system</w:t>
      </w:r>
      <w:r w:rsidR="00B46C78">
        <w:t xml:space="preserve">. </w:t>
      </w:r>
    </w:p>
    <w:p w14:paraId="3257D28F" w14:textId="11285C2F" w:rsidR="00E65FF2" w:rsidRDefault="001F168D" w:rsidP="00792634">
      <w:pPr>
        <w:pStyle w:val="Paragraph"/>
      </w:pPr>
      <w:r>
        <w:t>Over</w:t>
      </w:r>
      <w:r w:rsidR="00E65FF2">
        <w:t xml:space="preserve"> the last </w:t>
      </w:r>
      <w:r w:rsidR="00012A7C">
        <w:t>3</w:t>
      </w:r>
      <w:r>
        <w:t xml:space="preserve"> </w:t>
      </w:r>
      <w:r w:rsidR="00E65FF2">
        <w:t>years</w:t>
      </w:r>
      <w:r w:rsidR="00DC25E2">
        <w:t>,</w:t>
      </w:r>
      <w:r w:rsidR="00E65FF2">
        <w:t xml:space="preserve"> the </w:t>
      </w:r>
      <w:r w:rsidR="009B4210">
        <w:t xml:space="preserve">ACMA has </w:t>
      </w:r>
      <w:r w:rsidR="00BF75CC">
        <w:t xml:space="preserve">submitted </w:t>
      </w:r>
      <w:r w:rsidR="00370E0C">
        <w:t xml:space="preserve">satellite </w:t>
      </w:r>
      <w:r w:rsidR="00BF75CC">
        <w:t>filing</w:t>
      </w:r>
      <w:r w:rsidR="0078049A">
        <w:t xml:space="preserve">s </w:t>
      </w:r>
      <w:r w:rsidR="00370E0C">
        <w:t xml:space="preserve">to the ITU </w:t>
      </w:r>
      <w:r w:rsidR="0078049A">
        <w:t xml:space="preserve">for </w:t>
      </w:r>
      <w:r w:rsidR="001D5A05">
        <w:t xml:space="preserve">a </w:t>
      </w:r>
      <w:r w:rsidR="009B4210">
        <w:t xml:space="preserve">small number of </w:t>
      </w:r>
      <w:r w:rsidR="00BF75CC">
        <w:t>research org</w:t>
      </w:r>
      <w:r w:rsidR="0031521C">
        <w:t>anisation</w:t>
      </w:r>
      <w:r w:rsidR="006B019A">
        <w:t>s</w:t>
      </w:r>
      <w:r w:rsidR="0031521C">
        <w:t xml:space="preserve"> </w:t>
      </w:r>
      <w:r w:rsidR="009B4210">
        <w:t>(</w:t>
      </w:r>
      <w:r w:rsidR="0031521C">
        <w:t>4</w:t>
      </w:r>
      <w:r w:rsidR="009B4210">
        <w:t xml:space="preserve">) for </w:t>
      </w:r>
      <w:r w:rsidR="00821D80">
        <w:t xml:space="preserve">satellite systems with a limited lifetime </w:t>
      </w:r>
      <w:r w:rsidR="00D71A0B">
        <w:t xml:space="preserve">intended </w:t>
      </w:r>
      <w:r w:rsidR="00821D80">
        <w:t xml:space="preserve">for </w:t>
      </w:r>
      <w:r w:rsidR="00821D80" w:rsidRPr="00557AF5">
        <w:t xml:space="preserve">the purposes of demonstration, proof of concept, </w:t>
      </w:r>
      <w:proofErr w:type="gramStart"/>
      <w:r w:rsidR="00821D80" w:rsidRPr="00557AF5">
        <w:t>research</w:t>
      </w:r>
      <w:proofErr w:type="gramEnd"/>
      <w:r w:rsidR="00821D80" w:rsidRPr="00557AF5">
        <w:t xml:space="preserve"> or education</w:t>
      </w:r>
      <w:r w:rsidR="00D71A0B">
        <w:t>. These systems typical</w:t>
      </w:r>
      <w:r w:rsidR="008B3FDC">
        <w:t>ly</w:t>
      </w:r>
      <w:r w:rsidR="00D71A0B">
        <w:t xml:space="preserve"> have </w:t>
      </w:r>
      <w:r w:rsidR="00821D80">
        <w:t>rapid development and deployment timeframes</w:t>
      </w:r>
      <w:r w:rsidR="00D71A0B">
        <w:t xml:space="preserve"> compared to other satellite systems.</w:t>
      </w:r>
    </w:p>
    <w:p w14:paraId="0C442ACE" w14:textId="047A73B0" w:rsidR="00AA20E9" w:rsidRDefault="000F1588" w:rsidP="00792634">
      <w:pPr>
        <w:pStyle w:val="Paragraph"/>
      </w:pPr>
      <w:r>
        <w:t xml:space="preserve">Our view is that </w:t>
      </w:r>
      <w:r w:rsidR="008F011F">
        <w:t>such applications</w:t>
      </w:r>
      <w:r>
        <w:t xml:space="preserve"> have a lower risk profile compared </w:t>
      </w:r>
      <w:r w:rsidR="00F841EC">
        <w:t>with</w:t>
      </w:r>
      <w:r>
        <w:t xml:space="preserve"> </w:t>
      </w:r>
      <w:r w:rsidR="00907B15">
        <w:t>other</w:t>
      </w:r>
      <w:r>
        <w:t xml:space="preserve"> satellite system</w:t>
      </w:r>
      <w:r w:rsidR="00907B15">
        <w:t>s</w:t>
      </w:r>
      <w:r w:rsidR="00F841EC">
        <w:t xml:space="preserve"> and an expedited </w:t>
      </w:r>
      <w:r w:rsidR="005164A2">
        <w:t>approvals process can apply</w:t>
      </w:r>
      <w:r>
        <w:t xml:space="preserve">. </w:t>
      </w:r>
      <w:r w:rsidR="00104CA0">
        <w:t xml:space="preserve">The ITU has also </w:t>
      </w:r>
      <w:r w:rsidR="00C13403">
        <w:t>recognised</w:t>
      </w:r>
      <w:r w:rsidR="00104CA0">
        <w:t xml:space="preserve"> the </w:t>
      </w:r>
      <w:r w:rsidR="00C13403">
        <w:t>unique</w:t>
      </w:r>
      <w:r w:rsidR="00104CA0">
        <w:t xml:space="preserve"> nature o</w:t>
      </w:r>
      <w:r w:rsidR="00C13403">
        <w:t>f these systems</w:t>
      </w:r>
      <w:r w:rsidR="00563FC6">
        <w:t>,</w:t>
      </w:r>
      <w:r w:rsidR="00C13403">
        <w:t xml:space="preserve"> and at </w:t>
      </w:r>
      <w:r w:rsidR="00057D71" w:rsidRPr="00057D71">
        <w:t xml:space="preserve">the ITU World </w:t>
      </w:r>
      <w:r w:rsidR="00057D71" w:rsidRPr="00057D71">
        <w:lastRenderedPageBreak/>
        <w:t>Radiocommunication Conference 2019 (</w:t>
      </w:r>
      <w:r w:rsidR="00C13403">
        <w:t>WRC-19</w:t>
      </w:r>
      <w:r w:rsidR="00057D71">
        <w:t>)</w:t>
      </w:r>
      <w:r w:rsidR="00C13403">
        <w:t xml:space="preserve"> developed </w:t>
      </w:r>
      <w:r w:rsidR="00C10C3D" w:rsidRPr="005D4907">
        <w:t xml:space="preserve">ITU </w:t>
      </w:r>
      <w:hyperlink r:id="rId34" w:history="1">
        <w:r w:rsidR="00C10C3D" w:rsidRPr="00CA77E3">
          <w:rPr>
            <w:rStyle w:val="Hyperlink"/>
          </w:rPr>
          <w:t>Resolution 32</w:t>
        </w:r>
      </w:hyperlink>
      <w:r w:rsidR="00C10C3D" w:rsidRPr="005D4907">
        <w:t xml:space="preserve"> (WRC-19</w:t>
      </w:r>
      <w:r w:rsidR="00C10C3D">
        <w:t>)</w:t>
      </w:r>
      <w:r w:rsidR="00FF0522">
        <w:t xml:space="preserve"> </w:t>
      </w:r>
      <w:r w:rsidR="009E6C5D">
        <w:t xml:space="preserve">on </w:t>
      </w:r>
      <w:r w:rsidR="00CF62EF">
        <w:t>short-duration mission</w:t>
      </w:r>
      <w:r w:rsidR="00D30FC3">
        <w:t>s</w:t>
      </w:r>
      <w:r w:rsidR="009E6C5D">
        <w:t xml:space="preserve">. </w:t>
      </w:r>
    </w:p>
    <w:p w14:paraId="4AC22A44" w14:textId="75DAE37A" w:rsidR="00792634" w:rsidRDefault="00792634" w:rsidP="00792634">
      <w:pPr>
        <w:pStyle w:val="Paragraph"/>
      </w:pPr>
      <w:r>
        <w:t xml:space="preserve">We propose to modify </w:t>
      </w:r>
      <w:r w:rsidR="004553FF">
        <w:t>our filing procedure</w:t>
      </w:r>
      <w:r w:rsidR="00C07079">
        <w:t xml:space="preserve">s </w:t>
      </w:r>
      <w:r w:rsidR="004553FF">
        <w:t xml:space="preserve">to include a new </w:t>
      </w:r>
      <w:r w:rsidR="00C07079">
        <w:t>category</w:t>
      </w:r>
      <w:r w:rsidR="004553FF">
        <w:t xml:space="preserve"> of </w:t>
      </w:r>
      <w:r w:rsidR="00DC25E2">
        <w:t>‘</w:t>
      </w:r>
      <w:r w:rsidR="00CF62EF">
        <w:t>short-duration mission</w:t>
      </w:r>
      <w:r w:rsidR="00DC25E2">
        <w:t>’</w:t>
      </w:r>
      <w:r w:rsidR="00C07079">
        <w:t xml:space="preserve"> </w:t>
      </w:r>
      <w:r w:rsidR="007E2FE4">
        <w:t xml:space="preserve">based on </w:t>
      </w:r>
      <w:r w:rsidR="007E2FE4" w:rsidRPr="005D4907">
        <w:t xml:space="preserve">ITU </w:t>
      </w:r>
      <w:r w:rsidR="007E2FE4" w:rsidRPr="007E2FE4">
        <w:rPr>
          <w:u w:color="0000FF"/>
        </w:rPr>
        <w:t>Resolution 32</w:t>
      </w:r>
      <w:r w:rsidR="007E2FE4" w:rsidRPr="005D4907">
        <w:t xml:space="preserve"> (WRC-19</w:t>
      </w:r>
      <w:r w:rsidR="00492E2E">
        <w:t>)</w:t>
      </w:r>
      <w:r w:rsidR="00CB1AF7">
        <w:t xml:space="preserve">. For such missions we propose to </w:t>
      </w:r>
      <w:r w:rsidR="009E4398">
        <w:t>expedite</w:t>
      </w:r>
      <w:r w:rsidR="00910938">
        <w:t xml:space="preserve"> </w:t>
      </w:r>
      <w:r w:rsidR="00541042">
        <w:t xml:space="preserve">ACMA approvals to </w:t>
      </w:r>
      <w:r w:rsidR="00EB08CD">
        <w:t xml:space="preserve">achieve </w:t>
      </w:r>
      <w:r>
        <w:t xml:space="preserve">a shorter time between submission of an application and determination of the outcome. </w:t>
      </w:r>
    </w:p>
    <w:p w14:paraId="4A9DAC58" w14:textId="1ADA9B42" w:rsidR="002172D7" w:rsidRPr="00B971F8" w:rsidRDefault="002172D7" w:rsidP="006E1F2A">
      <w:pPr>
        <w:pStyle w:val="Paragraphbeforelist"/>
      </w:pPr>
      <w:r>
        <w:t>We propose that f</w:t>
      </w:r>
      <w:r w:rsidRPr="00B971F8">
        <w:t xml:space="preserve">or </w:t>
      </w:r>
      <w:r w:rsidR="00CB5A5C">
        <w:t>an</w:t>
      </w:r>
      <w:r w:rsidR="00CB5A5C" w:rsidRPr="00B971F8">
        <w:t xml:space="preserve"> </w:t>
      </w:r>
      <w:r w:rsidRPr="00B971F8">
        <w:t xml:space="preserve">application to be considered by the ACMA </w:t>
      </w:r>
      <w:r>
        <w:t>a</w:t>
      </w:r>
      <w:r w:rsidR="00BE0BDE">
        <w:t xml:space="preserve">s </w:t>
      </w:r>
      <w:r>
        <w:t>a</w:t>
      </w:r>
      <w:r w:rsidRPr="00B971F8">
        <w:t xml:space="preserve"> </w:t>
      </w:r>
      <w:r w:rsidR="00DC25E2">
        <w:t>‘</w:t>
      </w:r>
      <w:r w:rsidR="00CF62EF">
        <w:t>short-duration mission</w:t>
      </w:r>
      <w:r w:rsidR="00DC25E2">
        <w:t>’</w:t>
      </w:r>
      <w:r w:rsidR="006E1F2A">
        <w:t>, it</w:t>
      </w:r>
      <w:r w:rsidRPr="00B971F8">
        <w:t xml:space="preserve"> </w:t>
      </w:r>
      <w:r w:rsidR="00BE0BDE">
        <w:t xml:space="preserve">will </w:t>
      </w:r>
      <w:r w:rsidRPr="00B971F8">
        <w:t xml:space="preserve">need </w:t>
      </w:r>
      <w:r w:rsidRPr="00B971F8" w:rsidDel="005F7EAC">
        <w:t xml:space="preserve">to </w:t>
      </w:r>
      <w:r>
        <w:t xml:space="preserve">meet the requirements of </w:t>
      </w:r>
      <w:r w:rsidRPr="00B971F8">
        <w:t>ITU Resolution 32 (WRC-19)</w:t>
      </w:r>
      <w:r>
        <w:t xml:space="preserve">. This includes </w:t>
      </w:r>
      <w:r w:rsidRPr="00B971F8">
        <w:t>the following conditions:</w:t>
      </w:r>
    </w:p>
    <w:p w14:paraId="1DE980DD" w14:textId="3E48D562" w:rsidR="002172D7" w:rsidRPr="00B971F8" w:rsidRDefault="002172D7" w:rsidP="008312F6">
      <w:pPr>
        <w:pStyle w:val="ListBullet"/>
        <w:keepNext/>
      </w:pPr>
      <w:r w:rsidRPr="00B971F8">
        <w:t xml:space="preserve">the assignments are in the bands that are not subject to the ITU coordination procedure under Section II of Article 9 of the </w:t>
      </w:r>
      <w:r w:rsidR="002A7980">
        <w:t>Radio Regulations</w:t>
      </w:r>
    </w:p>
    <w:p w14:paraId="22017069" w14:textId="2DF5A967" w:rsidR="002172D7" w:rsidRPr="00B971F8" w:rsidRDefault="002172D7" w:rsidP="002172D7">
      <w:pPr>
        <w:pStyle w:val="ListBullet"/>
      </w:pPr>
      <w:r w:rsidRPr="00B971F8">
        <w:t>the total number of satellites does not exceed 10</w:t>
      </w:r>
    </w:p>
    <w:p w14:paraId="2C42229E" w14:textId="4F82F12B" w:rsidR="002172D7" w:rsidRPr="00B971F8" w:rsidRDefault="002172D7" w:rsidP="002172D7">
      <w:pPr>
        <w:pStyle w:val="ListBullet"/>
      </w:pPr>
      <w:r w:rsidRPr="00B971F8">
        <w:t xml:space="preserve">the duration of the mission will not be longer than </w:t>
      </w:r>
      <w:r w:rsidR="001D354C">
        <w:t>3</w:t>
      </w:r>
      <w:r w:rsidR="001D354C" w:rsidRPr="00B971F8">
        <w:t xml:space="preserve"> </w:t>
      </w:r>
      <w:r w:rsidRPr="00B971F8">
        <w:t>years starting from the date of deployment of the first satellite into the orbit which was notified in the ITU filing</w:t>
      </w:r>
      <w:r>
        <w:t>. Note the ITU will cancel the filing after 3 years under Resolution 32</w:t>
      </w:r>
    </w:p>
    <w:p w14:paraId="0036E344" w14:textId="536E9C98" w:rsidR="002172D7" w:rsidRDefault="001471D6" w:rsidP="002172D7">
      <w:pPr>
        <w:pStyle w:val="ListBullet"/>
      </w:pPr>
      <w:r>
        <w:t>t</w:t>
      </w:r>
      <w:r w:rsidR="002172D7" w:rsidRPr="00B971F8">
        <w:t>he</w:t>
      </w:r>
      <w:r w:rsidR="002172D7" w:rsidRPr="00B971F8" w:rsidDel="00205822">
        <w:t xml:space="preserve"> </w:t>
      </w:r>
      <w:r w:rsidR="002172D7" w:rsidRPr="00B971F8">
        <w:t>satellite system ha</w:t>
      </w:r>
      <w:r w:rsidR="002172D7">
        <w:t>s</w:t>
      </w:r>
      <w:r w:rsidR="002172D7" w:rsidRPr="00B971F8">
        <w:t xml:space="preserve"> the capability to cease transmitting immediately </w:t>
      </w:r>
      <w:proofErr w:type="gramStart"/>
      <w:r w:rsidR="002172D7" w:rsidRPr="00B971F8">
        <w:t>in order to</w:t>
      </w:r>
      <w:proofErr w:type="gramEnd"/>
      <w:r w:rsidR="002172D7" w:rsidRPr="00B971F8">
        <w:t xml:space="preserve"> eliminate harmful interference</w:t>
      </w:r>
    </w:p>
    <w:p w14:paraId="54B94F57" w14:textId="51079D51" w:rsidR="002172D7" w:rsidRPr="00B971F8" w:rsidRDefault="001471D6" w:rsidP="0070421F">
      <w:pPr>
        <w:pStyle w:val="ListBulletLast"/>
      </w:pPr>
      <w:r>
        <w:t>t</w:t>
      </w:r>
      <w:r w:rsidR="002172D7" w:rsidRPr="00B971F8">
        <w:t xml:space="preserve">he filing will be submitted to the ITU </w:t>
      </w:r>
      <w:r w:rsidR="00D34528">
        <w:t>pursuant to</w:t>
      </w:r>
      <w:r w:rsidR="002172D7" w:rsidRPr="00B971F8">
        <w:t xml:space="preserve"> ITU Resolution 32 (WRC-19)</w:t>
      </w:r>
      <w:r w:rsidR="002172D7">
        <w:t>.</w:t>
      </w:r>
    </w:p>
    <w:p w14:paraId="72441859" w14:textId="46ADE276" w:rsidR="00091D93" w:rsidRDefault="00FD2F65" w:rsidP="00792634">
      <w:pPr>
        <w:pStyle w:val="Paragraph"/>
      </w:pPr>
      <w:r>
        <w:t xml:space="preserve">Irrespective of whether </w:t>
      </w:r>
      <w:r w:rsidR="00731DCA">
        <w:t xml:space="preserve">it is </w:t>
      </w:r>
      <w:r>
        <w:t xml:space="preserve">a short-duration mission, we (in our </w:t>
      </w:r>
      <w:r w:rsidR="002F3470">
        <w:t>procedures</w:t>
      </w:r>
      <w:r w:rsidR="007F06DF">
        <w:t>)</w:t>
      </w:r>
      <w:r w:rsidR="002F3470">
        <w:t xml:space="preserve"> </w:t>
      </w:r>
      <w:r w:rsidR="00812CBF" w:rsidRPr="00EF1206">
        <w:t>reserve</w:t>
      </w:r>
      <w:r w:rsidR="00792634" w:rsidRPr="00EF1206">
        <w:t xml:space="preserve"> the right</w:t>
      </w:r>
      <w:r w:rsidR="002F3470">
        <w:t xml:space="preserve"> </w:t>
      </w:r>
      <w:r w:rsidR="00792634" w:rsidRPr="00EF1206">
        <w:t xml:space="preserve">to refuse expedited evaluation if </w:t>
      </w:r>
      <w:r w:rsidR="007F06DF">
        <w:t>we</w:t>
      </w:r>
      <w:r w:rsidR="00792634" w:rsidRPr="00EF1206">
        <w:t xml:space="preserve"> consider that the application warrants more detailed examination under the normal evaluation process (for example, due to sensitives or matters of national significance).</w:t>
      </w:r>
    </w:p>
    <w:p w14:paraId="0619D022" w14:textId="12ED4150" w:rsidR="00FB7264" w:rsidRPr="00D43CCE" w:rsidRDefault="00E265DB" w:rsidP="00792634">
      <w:pPr>
        <w:pStyle w:val="Paragraph"/>
      </w:pPr>
      <w:r>
        <w:t>To implement these changes</w:t>
      </w:r>
      <w:r w:rsidR="00DC25E2">
        <w:t>,</w:t>
      </w:r>
      <w:r>
        <w:t xml:space="preserve"> </w:t>
      </w:r>
      <w:r w:rsidR="004202AD">
        <w:t>material ha</w:t>
      </w:r>
      <w:r w:rsidR="00FA3594">
        <w:t xml:space="preserve">s </w:t>
      </w:r>
      <w:r w:rsidR="004202AD">
        <w:t xml:space="preserve">been included in our </w:t>
      </w:r>
      <w:r w:rsidR="00FA3594">
        <w:t>filing</w:t>
      </w:r>
      <w:r w:rsidR="004202AD">
        <w:t xml:space="preserve"> </w:t>
      </w:r>
      <w:r w:rsidR="00FA3594">
        <w:t>procedures</w:t>
      </w:r>
      <w:r w:rsidR="004202AD">
        <w:t xml:space="preserve"> </w:t>
      </w:r>
      <w:r w:rsidR="00A065E7">
        <w:t>(S</w:t>
      </w:r>
      <w:r w:rsidR="004202AD">
        <w:t>ection 2</w:t>
      </w:r>
      <w:r w:rsidR="00382F27">
        <w:t>,</w:t>
      </w:r>
      <w:r w:rsidR="004202AD">
        <w:t xml:space="preserve"> </w:t>
      </w:r>
      <w:proofErr w:type="gramStart"/>
      <w:r w:rsidR="004202AD">
        <w:t>A</w:t>
      </w:r>
      <w:r w:rsidR="00FA3594">
        <w:t>pplicant</w:t>
      </w:r>
      <w:proofErr w:type="gramEnd"/>
      <w:r w:rsidR="00FA3594">
        <w:t xml:space="preserve"> and assessment process</w:t>
      </w:r>
      <w:r w:rsidR="00A065E7">
        <w:t>)</w:t>
      </w:r>
      <w:r w:rsidR="00091D93">
        <w:t>.</w:t>
      </w:r>
      <w:r w:rsidR="0044387E">
        <w:t xml:space="preserve"> We are also proposing </w:t>
      </w:r>
      <w:r w:rsidR="00B17DC6">
        <w:t xml:space="preserve">an option of </w:t>
      </w:r>
      <w:r w:rsidR="0044387E">
        <w:t>abridge</w:t>
      </w:r>
      <w:r w:rsidR="0057164F">
        <w:t>d</w:t>
      </w:r>
      <w:r w:rsidR="0044387E">
        <w:t xml:space="preserve"> </w:t>
      </w:r>
      <w:r w:rsidR="003161F3">
        <w:t>requirements</w:t>
      </w:r>
      <w:r w:rsidR="0044387E">
        <w:t xml:space="preserve"> for </w:t>
      </w:r>
      <w:r w:rsidR="003161F3">
        <w:t>participation</w:t>
      </w:r>
      <w:r w:rsidR="0044387E">
        <w:t xml:space="preserve"> </w:t>
      </w:r>
      <w:r w:rsidR="00731DCA">
        <w:t xml:space="preserve">in </w:t>
      </w:r>
      <w:r w:rsidR="0044387E">
        <w:t xml:space="preserve">the ITU satellite </w:t>
      </w:r>
      <w:r w:rsidR="003161F3">
        <w:t>coordination</w:t>
      </w:r>
      <w:r w:rsidR="0044387E">
        <w:t xml:space="preserve"> process</w:t>
      </w:r>
      <w:r w:rsidR="00A5274D">
        <w:t xml:space="preserve"> in certain frequency bands </w:t>
      </w:r>
      <w:r w:rsidR="00B17DC6">
        <w:t xml:space="preserve">as a way of </w:t>
      </w:r>
      <w:r w:rsidR="00FB7264">
        <w:t xml:space="preserve">minimising </w:t>
      </w:r>
      <w:r w:rsidR="00B17DC6">
        <w:t xml:space="preserve">the </w:t>
      </w:r>
      <w:r w:rsidR="00FB7264">
        <w:t>regulatory</w:t>
      </w:r>
      <w:r w:rsidR="00B17DC6">
        <w:t xml:space="preserve"> burden </w:t>
      </w:r>
      <w:r w:rsidR="00FB7264">
        <w:t>and cost of participating in the ITU satellite coordination process</w:t>
      </w:r>
      <w:r w:rsidR="001012F7">
        <w:t xml:space="preserve">, </w:t>
      </w:r>
      <w:r w:rsidR="005C19BF">
        <w:t xml:space="preserve">discussed in this paper in section </w:t>
      </w:r>
      <w:r w:rsidR="005C19BF">
        <w:fldChar w:fldCharType="begin"/>
      </w:r>
      <w:r w:rsidR="005C19BF">
        <w:instrText xml:space="preserve"> REF _Ref138947016 \r \h </w:instrText>
      </w:r>
      <w:r w:rsidR="005C19BF">
        <w:fldChar w:fldCharType="separate"/>
      </w:r>
      <w:r w:rsidR="001A5BF8">
        <w:t>4.1</w:t>
      </w:r>
      <w:r w:rsidR="005C19BF">
        <w:fldChar w:fldCharType="end"/>
      </w:r>
      <w:r w:rsidR="005C19BF">
        <w:t xml:space="preserve"> (</w:t>
      </w:r>
      <w:r w:rsidR="005C19BF">
        <w:fldChar w:fldCharType="begin"/>
      </w:r>
      <w:r w:rsidR="005C19BF">
        <w:instrText xml:space="preserve"> REF _Ref138947021 \h </w:instrText>
      </w:r>
      <w:r w:rsidR="005C19BF">
        <w:fldChar w:fldCharType="separate"/>
      </w:r>
      <w:r w:rsidR="001A5BF8">
        <w:t>ITU satellite coordination process</w:t>
      </w:r>
      <w:r w:rsidR="005C19BF">
        <w:fldChar w:fldCharType="end"/>
      </w:r>
      <w:r w:rsidR="005C19BF">
        <w:t>)</w:t>
      </w:r>
      <w:r w:rsidR="001012F7">
        <w:t>.</w:t>
      </w:r>
    </w:p>
    <w:p w14:paraId="38AE9EBE" w14:textId="651D4DD0" w:rsidR="00B22F0C" w:rsidRPr="00154FB9" w:rsidRDefault="00367DDF" w:rsidP="00B22F0C">
      <w:pPr>
        <w:pStyle w:val="Heading2"/>
      </w:pPr>
      <w:bookmarkStart w:id="54" w:name="_Toc136440217"/>
      <w:bookmarkStart w:id="55" w:name="_Toc139371633"/>
      <w:bookmarkStart w:id="56" w:name="_Toc144213394"/>
      <w:r>
        <w:t>Filing c</w:t>
      </w:r>
      <w:r w:rsidR="00B22F0C">
        <w:t>onditions</w:t>
      </w:r>
      <w:bookmarkEnd w:id="54"/>
      <w:bookmarkEnd w:id="55"/>
      <w:bookmarkEnd w:id="56"/>
    </w:p>
    <w:p w14:paraId="4BFD8857" w14:textId="4BB1FCFF" w:rsidR="00B22F0C" w:rsidRDefault="00B22F0C" w:rsidP="00B22F0C">
      <w:pPr>
        <w:pStyle w:val="Paragraph"/>
      </w:pPr>
      <w:r>
        <w:t xml:space="preserve">In addition to the assessment criteria, an assessment typically results in </w:t>
      </w:r>
      <w:r w:rsidR="0097643C">
        <w:t xml:space="preserve">our </w:t>
      </w:r>
      <w:r>
        <w:t xml:space="preserve">identification of </w:t>
      </w:r>
      <w:proofErr w:type="gramStart"/>
      <w:r>
        <w:t>a number of</w:t>
      </w:r>
      <w:proofErr w:type="gramEnd"/>
      <w:r>
        <w:t xml:space="preserve"> conditions</w:t>
      </w:r>
      <w:r w:rsidRPr="00B22F0C">
        <w:t xml:space="preserve"> </w:t>
      </w:r>
      <w:r>
        <w:t xml:space="preserve">to which an applicant is required to agree before </w:t>
      </w:r>
      <w:r w:rsidR="00870627">
        <w:t>we</w:t>
      </w:r>
      <w:r>
        <w:t xml:space="preserve"> will submit the filing to the ITU.</w:t>
      </w:r>
    </w:p>
    <w:p w14:paraId="1988EDCD" w14:textId="28F94C07" w:rsidR="007D5155" w:rsidRDefault="00B22F0C" w:rsidP="007D5155">
      <w:pPr>
        <w:pStyle w:val="Paragraph"/>
      </w:pPr>
      <w:r>
        <w:t xml:space="preserve">We propose to </w:t>
      </w:r>
      <w:r w:rsidR="00975618">
        <w:t xml:space="preserve">set out </w:t>
      </w:r>
      <w:r>
        <w:t xml:space="preserve">the </w:t>
      </w:r>
      <w:r w:rsidR="007713BE">
        <w:t xml:space="preserve">commonly included </w:t>
      </w:r>
      <w:r>
        <w:t>conditions in the</w:t>
      </w:r>
      <w:r w:rsidR="00975618">
        <w:t xml:space="preserve"> filing</w:t>
      </w:r>
      <w:r>
        <w:t xml:space="preserve"> procedures. This is to ensure applicants are aware of </w:t>
      </w:r>
      <w:r w:rsidR="00844079">
        <w:t>likely</w:t>
      </w:r>
      <w:r>
        <w:t xml:space="preserve"> obligations prior to lodging </w:t>
      </w:r>
      <w:r w:rsidR="00A2646D">
        <w:t xml:space="preserve">an </w:t>
      </w:r>
      <w:r>
        <w:t>application</w:t>
      </w:r>
      <w:r w:rsidR="007D5155">
        <w:t>.</w:t>
      </w:r>
    </w:p>
    <w:p w14:paraId="35179223" w14:textId="77777777" w:rsidR="007D5155" w:rsidRPr="001C4018" w:rsidRDefault="007D5155" w:rsidP="00B36980">
      <w:pPr>
        <w:pStyle w:val="Paragraphbeforelist"/>
      </w:pPr>
      <w:r>
        <w:t xml:space="preserve">These conditions normally include that the </w:t>
      </w:r>
      <w:r w:rsidRPr="00B971F8">
        <w:rPr>
          <w:szCs w:val="20"/>
        </w:rPr>
        <w:t>applicant agree</w:t>
      </w:r>
      <w:r>
        <w:rPr>
          <w:szCs w:val="20"/>
        </w:rPr>
        <w:t>s</w:t>
      </w:r>
      <w:r w:rsidRPr="00B971F8">
        <w:rPr>
          <w:szCs w:val="20"/>
        </w:rPr>
        <w:t xml:space="preserve"> and accept</w:t>
      </w:r>
      <w:r>
        <w:rPr>
          <w:szCs w:val="20"/>
        </w:rPr>
        <w:t>s</w:t>
      </w:r>
      <w:r w:rsidRPr="00B971F8">
        <w:rPr>
          <w:szCs w:val="20"/>
        </w:rPr>
        <w:t>:</w:t>
      </w:r>
    </w:p>
    <w:p w14:paraId="644E1930" w14:textId="6E63265E" w:rsidR="007D5155" w:rsidRPr="001A4A61" w:rsidRDefault="007D5155" w:rsidP="007D5155">
      <w:pPr>
        <w:pStyle w:val="ListBullet"/>
      </w:pPr>
      <w:r w:rsidRPr="001A4A61">
        <w:t>that approval to file does not in any way imply that the ACMA will issue radiocommunications licences providing authorisation for the applicant to provide a service within Australia’s territory. Authorisation will be considered under</w:t>
      </w:r>
      <w:r w:rsidR="00C965E1">
        <w:t xml:space="preserve"> our</w:t>
      </w:r>
      <w:r w:rsidRPr="001A4A61">
        <w:t xml:space="preserve"> relevant </w:t>
      </w:r>
      <w:r w:rsidR="00C965E1">
        <w:t>policies</w:t>
      </w:r>
      <w:r w:rsidRPr="001A4A61">
        <w:t xml:space="preserve"> at the time a radiocommunications licence application is received</w:t>
      </w:r>
    </w:p>
    <w:p w14:paraId="2329236D" w14:textId="6CC3CD1F" w:rsidR="007D5155" w:rsidRPr="001A4A61" w:rsidRDefault="007D5155" w:rsidP="007D5155">
      <w:pPr>
        <w:pStyle w:val="ListBullet"/>
      </w:pPr>
      <w:r w:rsidRPr="001A4A61">
        <w:t xml:space="preserve">that various bands are under review </w:t>
      </w:r>
      <w:r w:rsidR="00593BFB">
        <w:t xml:space="preserve">from time to time </w:t>
      </w:r>
      <w:r w:rsidRPr="001A4A61">
        <w:t xml:space="preserve">and that future licensing will be dependent on the outcome of those processes </w:t>
      </w:r>
    </w:p>
    <w:p w14:paraId="7C40D008" w14:textId="4724A677" w:rsidR="007D5155" w:rsidRPr="001A4A61" w:rsidRDefault="007D5155" w:rsidP="007D5155">
      <w:pPr>
        <w:pStyle w:val="ListBullet"/>
      </w:pPr>
      <w:r w:rsidRPr="001A4A61">
        <w:t xml:space="preserve">it is the applicant’s responsibility to conduct its own due diligence </w:t>
      </w:r>
      <w:proofErr w:type="gramStart"/>
      <w:r w:rsidRPr="001A4A61">
        <w:t>with regard to</w:t>
      </w:r>
      <w:proofErr w:type="gramEnd"/>
      <w:r w:rsidRPr="001A4A61">
        <w:t xml:space="preserve"> current polices and reviews that might affect future licensing</w:t>
      </w:r>
    </w:p>
    <w:p w14:paraId="5D79AF07" w14:textId="34D0DF6D" w:rsidR="007D5155" w:rsidRPr="00876F0E" w:rsidRDefault="007D5155" w:rsidP="007D5155">
      <w:pPr>
        <w:pStyle w:val="ListBullet"/>
      </w:pPr>
      <w:r w:rsidRPr="00876F0E">
        <w:t>if</w:t>
      </w:r>
      <w:r w:rsidRPr="00876F0E" w:rsidDel="00A33D77">
        <w:t xml:space="preserve"> </w:t>
      </w:r>
      <w:r w:rsidR="00A33D77">
        <w:t>an</w:t>
      </w:r>
      <w:r w:rsidR="00A33D77" w:rsidRPr="00876F0E">
        <w:t xml:space="preserve"> </w:t>
      </w:r>
      <w:r w:rsidRPr="00876F0E">
        <w:t>application for</w:t>
      </w:r>
      <w:r w:rsidR="00A33D77">
        <w:t xml:space="preserve"> an</w:t>
      </w:r>
      <w:r w:rsidRPr="00876F0E">
        <w:t xml:space="preserve"> NGSO satellite constellation is approved, the ACMA </w:t>
      </w:r>
      <w:r w:rsidR="007C4FE8">
        <w:t>may require</w:t>
      </w:r>
      <w:r w:rsidR="007C4FE8" w:rsidRPr="00876F0E">
        <w:t xml:space="preserve"> </w:t>
      </w:r>
      <w:r w:rsidRPr="00876F0E">
        <w:t xml:space="preserve">one or more milestones to formalise the dates for the realisation of the entire constellation. </w:t>
      </w:r>
      <w:r w:rsidR="00A33D77">
        <w:t xml:space="preserve">We recognise </w:t>
      </w:r>
      <w:r w:rsidRPr="00876F0E">
        <w:t xml:space="preserve">that many factors may affect the delivery of a </w:t>
      </w:r>
      <w:r w:rsidRPr="00876F0E">
        <w:lastRenderedPageBreak/>
        <w:t xml:space="preserve">constellation and suggest that these milestones be reviewed periodically by both parties </w:t>
      </w:r>
    </w:p>
    <w:p w14:paraId="203C7D95" w14:textId="7805576F" w:rsidR="007D5155" w:rsidRDefault="009865ED" w:rsidP="007D5155">
      <w:pPr>
        <w:pStyle w:val="ListBullet"/>
      </w:pPr>
      <w:proofErr w:type="gramStart"/>
      <w:r>
        <w:t>i</w:t>
      </w:r>
      <w:r w:rsidR="007D5155" w:rsidRPr="001A4A61">
        <w:t>n the event that</w:t>
      </w:r>
      <w:proofErr w:type="gramEnd"/>
      <w:r w:rsidR="007D5155" w:rsidRPr="001A4A61">
        <w:t xml:space="preserve"> the implementation of an NGSO satellite constellation differs from the original application in any detail (such as number of satellites, orbital height, inclination), the appropriate modification of the ITU satellite filing </w:t>
      </w:r>
      <w:r w:rsidR="008C62E0">
        <w:t>may</w:t>
      </w:r>
      <w:r w:rsidR="008C62E0" w:rsidRPr="001A4A61">
        <w:t xml:space="preserve"> </w:t>
      </w:r>
      <w:r w:rsidR="007D5155" w:rsidRPr="001A4A61">
        <w:t>be made to reflect the implemented NGSO satellite constellation</w:t>
      </w:r>
      <w:r w:rsidR="00B443B2">
        <w:t>.</w:t>
      </w:r>
      <w:r w:rsidR="007D5155" w:rsidRPr="001A4A61">
        <w:t xml:space="preserve"> </w:t>
      </w:r>
      <w:r w:rsidR="002122BD" w:rsidRPr="002122BD">
        <w:t>Depending on the circumstances, this may require the satellite operator to submit a new filing request</w:t>
      </w:r>
    </w:p>
    <w:p w14:paraId="1A33B820" w14:textId="5473E577" w:rsidR="00CA1E0B" w:rsidRPr="001A4A61" w:rsidRDefault="00CA1E0B" w:rsidP="007D5155">
      <w:pPr>
        <w:pStyle w:val="ListBullet"/>
      </w:pPr>
      <w:r>
        <w:t>that</w:t>
      </w:r>
      <w:r w:rsidR="00DC25E2">
        <w:t xml:space="preserve"> the</w:t>
      </w:r>
      <w:r>
        <w:t xml:space="preserve"> ACMA’s ongoing support for a satellite operation is conditional on there being a substantial benefit to Australia</w:t>
      </w:r>
    </w:p>
    <w:p w14:paraId="4BAA6F08" w14:textId="400D83E1" w:rsidR="007D5155" w:rsidRDefault="007D5155" w:rsidP="007D5155">
      <w:pPr>
        <w:pStyle w:val="ListBulletLast"/>
      </w:pPr>
      <w:r w:rsidRPr="00D83CD1">
        <w:t xml:space="preserve">to adhere to the ongoing obligations listed </w:t>
      </w:r>
      <w:r w:rsidRPr="00F07B7C">
        <w:t>in</w:t>
      </w:r>
      <w:r>
        <w:t xml:space="preserve"> </w:t>
      </w:r>
      <w:r w:rsidR="00DC25E2">
        <w:t>‘</w:t>
      </w:r>
      <w:r w:rsidRPr="00F07B7C">
        <w:t>Ongoing obligations of the satellite operator</w:t>
      </w:r>
      <w:r w:rsidR="00DC25E2">
        <w:t>’</w:t>
      </w:r>
      <w:r w:rsidRPr="00D83CD1">
        <w:t xml:space="preserve"> </w:t>
      </w:r>
      <w:r>
        <w:t xml:space="preserve">section of the </w:t>
      </w:r>
      <w:r w:rsidR="00AA7EC4">
        <w:t xml:space="preserve">filing </w:t>
      </w:r>
      <w:r>
        <w:t xml:space="preserve">procedures </w:t>
      </w:r>
      <w:r w:rsidRPr="00D83CD1">
        <w:t xml:space="preserve">or any other requirements of the ACMA as set </w:t>
      </w:r>
      <w:r>
        <w:t>out in the procedures</w:t>
      </w:r>
      <w:r w:rsidRPr="00D83CD1">
        <w:t>.</w:t>
      </w:r>
    </w:p>
    <w:p w14:paraId="070F3880" w14:textId="77777777" w:rsidR="00792634" w:rsidRDefault="00792634" w:rsidP="002E45B2"/>
    <w:p w14:paraId="1BA8E789" w14:textId="71EDAB76" w:rsidR="00D17F1B" w:rsidRPr="00D17F1B" w:rsidRDefault="00B23450" w:rsidP="009F428E">
      <w:pPr>
        <w:pStyle w:val="Heading1"/>
      </w:pPr>
      <w:bookmarkStart w:id="57" w:name="_Toc136440218"/>
      <w:bookmarkStart w:id="58" w:name="_Ref138251568"/>
      <w:bookmarkStart w:id="59" w:name="_Ref139364514"/>
      <w:bookmarkStart w:id="60" w:name="_Ref139364519"/>
      <w:bookmarkStart w:id="61" w:name="_Toc139371634"/>
      <w:bookmarkStart w:id="62" w:name="_Ref143009211"/>
      <w:bookmarkStart w:id="63" w:name="_Ref143009216"/>
      <w:bookmarkStart w:id="64" w:name="_Toc144213395"/>
      <w:r>
        <w:lastRenderedPageBreak/>
        <w:t xml:space="preserve">Revisions to assessment </w:t>
      </w:r>
      <w:r w:rsidR="00D10ACA">
        <w:t>criteria</w:t>
      </w:r>
      <w:bookmarkEnd w:id="57"/>
      <w:bookmarkEnd w:id="58"/>
      <w:bookmarkEnd w:id="59"/>
      <w:bookmarkEnd w:id="60"/>
      <w:bookmarkEnd w:id="61"/>
      <w:bookmarkEnd w:id="62"/>
      <w:bookmarkEnd w:id="63"/>
      <w:bookmarkEnd w:id="64"/>
    </w:p>
    <w:p w14:paraId="4793761F" w14:textId="2C1C1CDF" w:rsidR="00AF4D32" w:rsidRDefault="00A9757A" w:rsidP="00765393">
      <w:pPr>
        <w:pStyle w:val="Paragraph"/>
      </w:pPr>
      <w:r>
        <w:t xml:space="preserve">Changes </w:t>
      </w:r>
      <w:r w:rsidR="00060946">
        <w:t xml:space="preserve">proposed </w:t>
      </w:r>
      <w:r w:rsidR="00AB4544">
        <w:t xml:space="preserve">to </w:t>
      </w:r>
      <w:r w:rsidR="006C54FE">
        <w:t xml:space="preserve">satellite </w:t>
      </w:r>
      <w:r w:rsidR="005A5662">
        <w:t>filing</w:t>
      </w:r>
      <w:r w:rsidR="006C54FE">
        <w:t xml:space="preserve"> </w:t>
      </w:r>
      <w:r w:rsidR="005A5662">
        <w:t>assessment</w:t>
      </w:r>
      <w:r w:rsidR="006C54FE">
        <w:t xml:space="preserve"> </w:t>
      </w:r>
      <w:r w:rsidR="009B2733">
        <w:t>criteria</w:t>
      </w:r>
      <w:r w:rsidR="00060946">
        <w:t xml:space="preserve"> </w:t>
      </w:r>
      <w:r w:rsidR="005A5662">
        <w:t xml:space="preserve">are outlined below </w:t>
      </w:r>
      <w:r w:rsidR="00765393">
        <w:t xml:space="preserve">for </w:t>
      </w:r>
      <w:r w:rsidR="00060946">
        <w:t>consideration and comment.</w:t>
      </w:r>
    </w:p>
    <w:p w14:paraId="6508E588" w14:textId="490A8592" w:rsidR="00977B08" w:rsidRPr="00154FB9" w:rsidRDefault="00977B08" w:rsidP="009F428E">
      <w:pPr>
        <w:pStyle w:val="Heading2"/>
      </w:pPr>
      <w:bookmarkStart w:id="65" w:name="_Toc144213396"/>
      <w:bookmarkStart w:id="66" w:name="_Toc136440219"/>
      <w:bookmarkStart w:id="67" w:name="_Toc139371635"/>
      <w:r w:rsidRPr="00154FB9">
        <w:t xml:space="preserve">Australian </w:t>
      </w:r>
      <w:r w:rsidR="001D4DC3">
        <w:t>j</w:t>
      </w:r>
      <w:r w:rsidRPr="00154FB9">
        <w:t>urisdiction</w:t>
      </w:r>
      <w:bookmarkEnd w:id="65"/>
      <w:r w:rsidRPr="00154FB9">
        <w:t xml:space="preserve"> </w:t>
      </w:r>
      <w:bookmarkEnd w:id="66"/>
      <w:bookmarkEnd w:id="67"/>
    </w:p>
    <w:p w14:paraId="6B5CED70" w14:textId="39A18587" w:rsidR="00832FD1" w:rsidRDefault="00A867E4" w:rsidP="00D61243">
      <w:pPr>
        <w:pStyle w:val="Paragraph"/>
      </w:pPr>
      <w:r>
        <w:t xml:space="preserve">The </w:t>
      </w:r>
      <w:r w:rsidR="005C2E5F">
        <w:t xml:space="preserve">filing </w:t>
      </w:r>
      <w:r w:rsidR="00A300E3">
        <w:t>procedures</w:t>
      </w:r>
      <w:r>
        <w:t xml:space="preserve"> currently require </w:t>
      </w:r>
      <w:r w:rsidR="00D73B49">
        <w:t xml:space="preserve">that </w:t>
      </w:r>
      <w:r w:rsidR="00EB4BEE">
        <w:t>non-government</w:t>
      </w:r>
      <w:r w:rsidR="00D73B49">
        <w:t xml:space="preserve"> applicants </w:t>
      </w:r>
      <w:r w:rsidR="00D05C78">
        <w:t xml:space="preserve">must </w:t>
      </w:r>
      <w:r w:rsidR="00D73B49">
        <w:t xml:space="preserve">be a </w:t>
      </w:r>
      <w:r w:rsidR="00903C4C" w:rsidRPr="00903C4C">
        <w:t>company that is incorporated in Australia, carries on business in Australia and has management staff in Australia</w:t>
      </w:r>
      <w:r w:rsidR="00903C4C">
        <w:t xml:space="preserve">. </w:t>
      </w:r>
      <w:r w:rsidR="000E67A3" w:rsidRPr="000E67A3">
        <w:t xml:space="preserve">Alternatively, the satellite operator may be a department of the Commonwealth </w:t>
      </w:r>
      <w:r w:rsidR="00CA404B">
        <w:t xml:space="preserve">of Australia </w:t>
      </w:r>
      <w:r w:rsidR="000E67A3" w:rsidRPr="000E67A3">
        <w:t>or a Commonwealth agency, or a part of a state or territory government.</w:t>
      </w:r>
    </w:p>
    <w:p w14:paraId="7C7A2EC6" w14:textId="74B982DB" w:rsidR="00CA6C32" w:rsidRDefault="00087E13" w:rsidP="00D61243">
      <w:pPr>
        <w:pStyle w:val="Paragraph"/>
      </w:pPr>
      <w:r>
        <w:t>We have</w:t>
      </w:r>
      <w:r w:rsidDel="00DD44C3">
        <w:t xml:space="preserve"> </w:t>
      </w:r>
      <w:r w:rsidR="00DD44C3">
        <w:t xml:space="preserve">submitted </w:t>
      </w:r>
      <w:proofErr w:type="gramStart"/>
      <w:r>
        <w:t>a number of</w:t>
      </w:r>
      <w:proofErr w:type="gramEnd"/>
      <w:r>
        <w:t xml:space="preserve"> filing</w:t>
      </w:r>
      <w:r w:rsidR="00DD44C3">
        <w:t>s</w:t>
      </w:r>
      <w:r>
        <w:t xml:space="preserve"> for universities and so</w:t>
      </w:r>
      <w:r w:rsidR="00822438">
        <w:t xml:space="preserve"> to remove any </w:t>
      </w:r>
      <w:r w:rsidR="00CC413B">
        <w:t xml:space="preserve">doubts </w:t>
      </w:r>
      <w:r>
        <w:t>w</w:t>
      </w:r>
      <w:r w:rsidR="000B5257">
        <w:t xml:space="preserve">e have added </w:t>
      </w:r>
      <w:r>
        <w:t xml:space="preserve">text </w:t>
      </w:r>
      <w:r w:rsidR="000B5257">
        <w:t xml:space="preserve">to </w:t>
      </w:r>
      <w:r>
        <w:t xml:space="preserve">clearly recognise </w:t>
      </w:r>
      <w:r w:rsidR="00BD3953">
        <w:t xml:space="preserve">that </w:t>
      </w:r>
      <w:r>
        <w:t>universit</w:t>
      </w:r>
      <w:r w:rsidR="003140E5">
        <w:t xml:space="preserve">ies that are established under state, territory or federal legislation </w:t>
      </w:r>
      <w:r w:rsidR="00C5516B">
        <w:t>me</w:t>
      </w:r>
      <w:r w:rsidR="00DD44C3">
        <w:t>e</w:t>
      </w:r>
      <w:r w:rsidR="00C5516B">
        <w:t xml:space="preserve">t the </w:t>
      </w:r>
      <w:r w:rsidR="003140E5">
        <w:t>Australia</w:t>
      </w:r>
      <w:r w:rsidR="00DD44C3">
        <w:t>n</w:t>
      </w:r>
      <w:r w:rsidR="00C5516B">
        <w:t xml:space="preserve"> </w:t>
      </w:r>
      <w:r w:rsidR="003140E5">
        <w:t>jurisdiction</w:t>
      </w:r>
      <w:r w:rsidR="00C5516B">
        <w:t xml:space="preserve"> </w:t>
      </w:r>
      <w:r w:rsidR="003140E5">
        <w:t>requirement.</w:t>
      </w:r>
    </w:p>
    <w:p w14:paraId="74A94785" w14:textId="2D3D9657" w:rsidR="00E1176F" w:rsidRDefault="00E1176F" w:rsidP="00E1176F">
      <w:pPr>
        <w:pStyle w:val="Paragraph"/>
      </w:pPr>
      <w:r>
        <w:t xml:space="preserve">We </w:t>
      </w:r>
      <w:r w:rsidR="00CA6C32">
        <w:t xml:space="preserve">also </w:t>
      </w:r>
      <w:r>
        <w:t xml:space="preserve">propose to include </w:t>
      </w:r>
      <w:r w:rsidR="00AB6B75">
        <w:t>an</w:t>
      </w:r>
      <w:r>
        <w:t xml:space="preserve"> additional requirement if the applicant is a subsidiary of a foreign </w:t>
      </w:r>
      <w:r w:rsidR="003B7147">
        <w:t>company or</w:t>
      </w:r>
      <w:r w:rsidR="00A234F6">
        <w:t xml:space="preserve"> controlled by or related to a foreign entity</w:t>
      </w:r>
      <w:r>
        <w:t xml:space="preserve">. </w:t>
      </w:r>
      <w:r w:rsidR="009E4277">
        <w:t>In such cases, t</w:t>
      </w:r>
      <w:r>
        <w:t xml:space="preserve">he applicant </w:t>
      </w:r>
      <w:r w:rsidR="00FF76EC">
        <w:t xml:space="preserve">would be required </w:t>
      </w:r>
      <w:r>
        <w:t xml:space="preserve">to provide information </w:t>
      </w:r>
      <w:r w:rsidRPr="00A300E3">
        <w:t>showing how the satellite operator functions independently from the foreign entity and how confidential Australia</w:t>
      </w:r>
      <w:r w:rsidR="00623737">
        <w:t>n</w:t>
      </w:r>
      <w:r w:rsidRPr="00A300E3">
        <w:t xml:space="preserve"> satellite information about other Australia</w:t>
      </w:r>
      <w:r w:rsidR="00623737">
        <w:t>n</w:t>
      </w:r>
      <w:r w:rsidRPr="00A300E3">
        <w:t xml:space="preserve"> satellite operators is restricted to the </w:t>
      </w:r>
      <w:r w:rsidR="00926DBB">
        <w:t xml:space="preserve">applicant as an </w:t>
      </w:r>
      <w:r w:rsidRPr="00A300E3">
        <w:t>Australia</w:t>
      </w:r>
      <w:r w:rsidR="00623737">
        <w:t>n</w:t>
      </w:r>
      <w:r w:rsidRPr="00A300E3">
        <w:t xml:space="preserve"> satellite operator.</w:t>
      </w:r>
      <w:r>
        <w:t xml:space="preserve"> </w:t>
      </w:r>
    </w:p>
    <w:p w14:paraId="1D29A571" w14:textId="4BDAFBE3" w:rsidR="00E1176F" w:rsidRDefault="00E1176F" w:rsidP="00E1176F">
      <w:pPr>
        <w:pStyle w:val="Paragraph"/>
      </w:pPr>
      <w:r>
        <w:t xml:space="preserve">The reason for this proposed change is that we have observed </w:t>
      </w:r>
      <w:r w:rsidR="00D67FBC">
        <w:t xml:space="preserve">that </w:t>
      </w:r>
      <w:r>
        <w:t xml:space="preserve">some satellite operators (via parent companies or related entities) </w:t>
      </w:r>
      <w:r w:rsidR="00D67FBC">
        <w:t>may</w:t>
      </w:r>
      <w:r>
        <w:t xml:space="preserve"> have access</w:t>
      </w:r>
      <w:r w:rsidR="00A42750">
        <w:t xml:space="preserve"> to</w:t>
      </w:r>
      <w:r>
        <w:t xml:space="preserve"> filing</w:t>
      </w:r>
      <w:r w:rsidR="00A42750">
        <w:t>s</w:t>
      </w:r>
      <w:r>
        <w:t xml:space="preserve"> through multiple administration</w:t>
      </w:r>
      <w:r w:rsidR="00A42750">
        <w:t>s</w:t>
      </w:r>
      <w:r>
        <w:t>. While this practice is limited in</w:t>
      </w:r>
      <w:r w:rsidR="00A21C2A">
        <w:t xml:space="preserve"> relation to</w:t>
      </w:r>
      <w:r>
        <w:t xml:space="preserve"> Australian</w:t>
      </w:r>
      <w:r w:rsidR="00A42750">
        <w:t>-</w:t>
      </w:r>
      <w:r>
        <w:t xml:space="preserve">filed satellite operators, if it expands it does present a potential concern about ensuring that confidential Australian satellite coordination information is only available to </w:t>
      </w:r>
      <w:r w:rsidR="0083472A">
        <w:t xml:space="preserve">satellite operators </w:t>
      </w:r>
      <w:r w:rsidR="00E73261">
        <w:t xml:space="preserve">involved </w:t>
      </w:r>
      <w:r>
        <w:t>in the Australia</w:t>
      </w:r>
      <w:r w:rsidR="0049669D">
        <w:t>n</w:t>
      </w:r>
      <w:r>
        <w:t xml:space="preserve"> process</w:t>
      </w:r>
      <w:r w:rsidR="00E73261">
        <w:t>.</w:t>
      </w:r>
    </w:p>
    <w:p w14:paraId="3978E880" w14:textId="43747698" w:rsidR="00E97A91" w:rsidRDefault="00E1176F" w:rsidP="003E31E1">
      <w:r>
        <w:t>In part</w:t>
      </w:r>
      <w:r w:rsidR="005B7867">
        <w:t>,</w:t>
      </w:r>
      <w:r>
        <w:t xml:space="preserve"> this concern relates to the ACMA approach to satellite filing</w:t>
      </w:r>
      <w:r w:rsidR="00C1404D">
        <w:t xml:space="preserve">. That is, </w:t>
      </w:r>
      <w:r>
        <w:t xml:space="preserve">before a </w:t>
      </w:r>
      <w:r w:rsidRPr="00CE0F59">
        <w:t xml:space="preserve">new filing is approved by the ACMA and submitted to the ITU, </w:t>
      </w:r>
      <w:r w:rsidR="009053CE">
        <w:t xml:space="preserve">we </w:t>
      </w:r>
      <w:r w:rsidRPr="00CE0F59">
        <w:t>require</w:t>
      </w:r>
      <w:r w:rsidR="009053CE">
        <w:t xml:space="preserve"> </w:t>
      </w:r>
      <w:r w:rsidR="00904CC1">
        <w:t>it</w:t>
      </w:r>
      <w:r w:rsidRPr="00CE0F59">
        <w:t xml:space="preserve"> to be </w:t>
      </w:r>
      <w:r w:rsidR="009053CE">
        <w:t>considered by</w:t>
      </w:r>
      <w:r w:rsidRPr="00CE0F59">
        <w:t xml:space="preserve"> operators of existing Australian</w:t>
      </w:r>
      <w:r w:rsidR="00C1404D">
        <w:t>-filed</w:t>
      </w:r>
      <w:r w:rsidRPr="00CE0F59">
        <w:t xml:space="preserve"> </w:t>
      </w:r>
      <w:r w:rsidR="00904CC1">
        <w:t>satellite systems</w:t>
      </w:r>
      <w:r w:rsidR="00904CC1" w:rsidRPr="00CE0F59">
        <w:t xml:space="preserve"> </w:t>
      </w:r>
      <w:r w:rsidRPr="00CE0F59">
        <w:t xml:space="preserve">to </w:t>
      </w:r>
      <w:r w:rsidR="00C1404D">
        <w:t>determine</w:t>
      </w:r>
      <w:r w:rsidRPr="00CE0F59">
        <w:t xml:space="preserve"> </w:t>
      </w:r>
      <w:r w:rsidR="009053CE">
        <w:t xml:space="preserve">if there are </w:t>
      </w:r>
      <w:r w:rsidRPr="00CE0F59">
        <w:t>any coordination issues</w:t>
      </w:r>
      <w:r>
        <w:t>. At this stage</w:t>
      </w:r>
      <w:r w:rsidR="00C1404D">
        <w:t>,</w:t>
      </w:r>
      <w:r>
        <w:t xml:space="preserve"> it is not a significant concern </w:t>
      </w:r>
      <w:r w:rsidR="00B55430">
        <w:t xml:space="preserve">and </w:t>
      </w:r>
      <w:r w:rsidR="00E076E4">
        <w:t xml:space="preserve">the </w:t>
      </w:r>
      <w:r w:rsidR="00F30A7F">
        <w:t>corporate</w:t>
      </w:r>
      <w:r w:rsidR="00B55430">
        <w:t xml:space="preserve"> </w:t>
      </w:r>
      <w:r w:rsidR="00F30A7F">
        <w:t xml:space="preserve">structures </w:t>
      </w:r>
      <w:r w:rsidR="00DC661E">
        <w:t xml:space="preserve">we have observed </w:t>
      </w:r>
      <w:r w:rsidR="00F30A7F">
        <w:t>are relatively simple. O</w:t>
      </w:r>
      <w:r>
        <w:t>ur proposed changes are</w:t>
      </w:r>
      <w:r w:rsidR="00F30A7F">
        <w:t xml:space="preserve"> more </w:t>
      </w:r>
      <w:r>
        <w:t>to ensure appropriate process</w:t>
      </w:r>
      <w:r w:rsidR="008826A1">
        <w:t>es</w:t>
      </w:r>
      <w:r>
        <w:t xml:space="preserve"> are in place for the future.</w:t>
      </w:r>
      <w:r w:rsidR="00255F81">
        <w:rPr>
          <w:rStyle w:val="FootnoteReference"/>
        </w:rPr>
        <w:footnoteReference w:id="14"/>
      </w:r>
    </w:p>
    <w:p w14:paraId="17973C5E" w14:textId="7C15675A" w:rsidR="00385652" w:rsidRPr="00154FB9" w:rsidRDefault="006E17B4" w:rsidP="009F428E">
      <w:pPr>
        <w:pStyle w:val="Heading2"/>
      </w:pPr>
      <w:bookmarkStart w:id="68" w:name="_Toc144213397"/>
      <w:bookmarkStart w:id="69" w:name="_Toc136440220"/>
      <w:bookmarkStart w:id="70" w:name="_Toc139371636"/>
      <w:r w:rsidRPr="00154FB9">
        <w:t>Operational control</w:t>
      </w:r>
      <w:bookmarkEnd w:id="68"/>
      <w:r w:rsidR="001D607E" w:rsidRPr="00154FB9">
        <w:t xml:space="preserve"> </w:t>
      </w:r>
      <w:bookmarkEnd w:id="69"/>
      <w:bookmarkEnd w:id="70"/>
    </w:p>
    <w:p w14:paraId="777593BC" w14:textId="77777777" w:rsidR="00251F91" w:rsidRDefault="00140CAC" w:rsidP="00D10EC3">
      <w:pPr>
        <w:pStyle w:val="Paragraph"/>
      </w:pPr>
      <w:r>
        <w:t xml:space="preserve">The </w:t>
      </w:r>
      <w:r w:rsidR="00904CC1">
        <w:t xml:space="preserve">filing </w:t>
      </w:r>
      <w:r w:rsidR="00812CBF">
        <w:t>procedures</w:t>
      </w:r>
      <w:r>
        <w:t xml:space="preserve"> currently require th</w:t>
      </w:r>
      <w:r w:rsidR="00257470">
        <w:t xml:space="preserve">at the satellite operator must be able to exercise operational control of the satellite system. </w:t>
      </w:r>
    </w:p>
    <w:p w14:paraId="1295AEB3" w14:textId="2671D142" w:rsidR="00782254" w:rsidRDefault="00590934" w:rsidP="00251F91">
      <w:pPr>
        <w:pStyle w:val="Paragraph"/>
        <w:keepNext/>
        <w:keepLines/>
        <w:spacing w:after="120"/>
      </w:pPr>
      <w:r>
        <w:lastRenderedPageBreak/>
        <w:t xml:space="preserve">We propose to include </w:t>
      </w:r>
      <w:r w:rsidR="00812CBF">
        <w:t>an additional</w:t>
      </w:r>
      <w:r w:rsidR="002C43BA">
        <w:t xml:space="preserve"> provision </w:t>
      </w:r>
      <w:r w:rsidR="00B90939">
        <w:t>to clarify what operational control entails</w:t>
      </w:r>
      <w:r w:rsidR="00782254">
        <w:t>, as follows:</w:t>
      </w:r>
    </w:p>
    <w:p w14:paraId="13CE1284" w14:textId="6425643F" w:rsidR="0075259B" w:rsidRPr="0075259B" w:rsidRDefault="009B37CF" w:rsidP="00251F91">
      <w:pPr>
        <w:keepNext/>
        <w:keepLines/>
        <w:ind w:left="284"/>
        <w:rPr>
          <w:rFonts w:cs="Arial"/>
        </w:rPr>
      </w:pPr>
      <w:r>
        <w:t>S</w:t>
      </w:r>
      <w:r w:rsidR="00601BDF">
        <w:t>pace stations must be fitted with devices to ensure immediate cessation of their radio emissions by telecommand</w:t>
      </w:r>
      <w:r w:rsidR="0075259B">
        <w:t xml:space="preserve">, </w:t>
      </w:r>
      <w:r w:rsidR="0075259B" w:rsidRPr="0075259B">
        <w:rPr>
          <w:rFonts w:cs="Arial"/>
        </w:rPr>
        <w:t xml:space="preserve">whenever such cessation is required under the provisions of the </w:t>
      </w:r>
      <w:r w:rsidR="002A7980">
        <w:rPr>
          <w:rFonts w:cs="Arial"/>
        </w:rPr>
        <w:t>Radio Regulations</w:t>
      </w:r>
      <w:r w:rsidR="00657238">
        <w:rPr>
          <w:rFonts w:cs="Arial"/>
        </w:rPr>
        <w:t>.</w:t>
      </w:r>
      <w:r w:rsidR="00744E73">
        <w:rPr>
          <w:rStyle w:val="FootnoteReference"/>
          <w:rFonts w:cs="Arial"/>
        </w:rPr>
        <w:footnoteReference w:id="15"/>
      </w:r>
    </w:p>
    <w:p w14:paraId="2CB1BE7E" w14:textId="41BC781B" w:rsidR="006D34E4" w:rsidRDefault="00562A59" w:rsidP="00D10EC3">
      <w:pPr>
        <w:pStyle w:val="Paragraph"/>
      </w:pPr>
      <w:r>
        <w:t xml:space="preserve">Compliance with the </w:t>
      </w:r>
      <w:r w:rsidR="002A7980">
        <w:t>Radio Regulations</w:t>
      </w:r>
      <w:r w:rsidR="00007F8F">
        <w:t xml:space="preserve"> is</w:t>
      </w:r>
      <w:r>
        <w:t xml:space="preserve"> already</w:t>
      </w:r>
      <w:r w:rsidR="00007F8F">
        <w:t xml:space="preserve"> required under </w:t>
      </w:r>
      <w:r w:rsidR="00FB1B2B">
        <w:t>assessment criterion</w:t>
      </w:r>
      <w:r w:rsidR="00B41CF4" w:rsidRPr="00595FC2">
        <w:rPr>
          <w:i/>
          <w:iCs/>
        </w:rPr>
        <w:t xml:space="preserve"> </w:t>
      </w:r>
      <w:r w:rsidR="00110C2A" w:rsidRPr="00595FC2">
        <w:rPr>
          <w:i/>
          <w:iCs/>
        </w:rPr>
        <w:t>Conformity with planning arrangements</w:t>
      </w:r>
      <w:r w:rsidR="00025606">
        <w:t>.</w:t>
      </w:r>
      <w:r w:rsidR="00007F8F">
        <w:t xml:space="preserve"> </w:t>
      </w:r>
      <w:r w:rsidR="00812CBF">
        <w:t>However,</w:t>
      </w:r>
      <w:r w:rsidR="00142FFA">
        <w:t xml:space="preserve"> we </w:t>
      </w:r>
      <w:r w:rsidR="00A63F4B">
        <w:t xml:space="preserve">propose to include this more specific requirement here </w:t>
      </w:r>
      <w:r w:rsidR="00007F8F">
        <w:t xml:space="preserve">to </w:t>
      </w:r>
      <w:r w:rsidR="003268C9">
        <w:t xml:space="preserve">provide </w:t>
      </w:r>
      <w:r w:rsidR="009D23E0">
        <w:t>improved</w:t>
      </w:r>
      <w:r w:rsidR="003268C9">
        <w:t xml:space="preserve"> </w:t>
      </w:r>
      <w:r w:rsidR="00D8676D">
        <w:t xml:space="preserve">visibility </w:t>
      </w:r>
      <w:r w:rsidR="003268C9">
        <w:t>about the requirements for operational control</w:t>
      </w:r>
      <w:r w:rsidR="001C1A69">
        <w:t>.</w:t>
      </w:r>
    </w:p>
    <w:p w14:paraId="0F00D046" w14:textId="5A567BBC" w:rsidR="00385652" w:rsidRPr="00154FB9" w:rsidRDefault="00E24DEF" w:rsidP="009F428E">
      <w:pPr>
        <w:pStyle w:val="Heading2"/>
      </w:pPr>
      <w:bookmarkStart w:id="71" w:name="_Toc144213398"/>
      <w:bookmarkStart w:id="72" w:name="_Toc136440221"/>
      <w:bookmarkStart w:id="73" w:name="_Toc139371637"/>
      <w:r w:rsidRPr="00154FB9">
        <w:t xml:space="preserve">Australian </w:t>
      </w:r>
      <w:r w:rsidR="009E587D" w:rsidRPr="00154FB9">
        <w:t>benefit</w:t>
      </w:r>
      <w:bookmarkEnd w:id="71"/>
      <w:r w:rsidR="00B22F0C">
        <w:t xml:space="preserve"> </w:t>
      </w:r>
      <w:bookmarkEnd w:id="72"/>
      <w:bookmarkEnd w:id="73"/>
    </w:p>
    <w:p w14:paraId="6753E1A0" w14:textId="03BE2C28" w:rsidR="00FB1FF5" w:rsidRDefault="0010525E" w:rsidP="00B176BC">
      <w:pPr>
        <w:pStyle w:val="Paragraph"/>
      </w:pPr>
      <w:r>
        <w:t>T</w:t>
      </w:r>
      <w:r w:rsidR="00B176BC">
        <w:t xml:space="preserve">his criterion </w:t>
      </w:r>
      <w:r w:rsidR="00BB51F4">
        <w:t xml:space="preserve">currently </w:t>
      </w:r>
      <w:r w:rsidR="00B176BC">
        <w:t xml:space="preserve">requires that </w:t>
      </w:r>
      <w:r w:rsidR="0035020D">
        <w:t>the applicant’s satellite system</w:t>
      </w:r>
      <w:r w:rsidR="00FB1FF5">
        <w:t>, should it be</w:t>
      </w:r>
      <w:r w:rsidR="0035020D">
        <w:t xml:space="preserve"> </w:t>
      </w:r>
      <w:r w:rsidR="00B176BC">
        <w:t xml:space="preserve">brought into </w:t>
      </w:r>
      <w:r w:rsidR="00DD189B">
        <w:t>use, must</w:t>
      </w:r>
      <w:r w:rsidR="00B176BC">
        <w:t xml:space="preserve"> provide </w:t>
      </w:r>
      <w:r w:rsidR="00BB51F4">
        <w:t>‘</w:t>
      </w:r>
      <w:r w:rsidR="00B176BC">
        <w:t>substantive</w:t>
      </w:r>
      <w:r w:rsidR="00BB51F4">
        <w:t>’</w:t>
      </w:r>
      <w:r w:rsidR="00B176BC">
        <w:t xml:space="preserve"> Australian benefit derived from the use of the </w:t>
      </w:r>
      <w:r w:rsidR="00FB1FF5">
        <w:t xml:space="preserve">radiofrequency </w:t>
      </w:r>
      <w:r w:rsidR="00B176BC">
        <w:t xml:space="preserve">spectrum. </w:t>
      </w:r>
    </w:p>
    <w:p w14:paraId="4EF3437E" w14:textId="1B650BF3" w:rsidR="00BB51F4" w:rsidRPr="00A956CF" w:rsidRDefault="00BB51F4" w:rsidP="00B176BC">
      <w:pPr>
        <w:pStyle w:val="Paragraph"/>
      </w:pPr>
      <w:r>
        <w:t xml:space="preserve">Our first proposed change </w:t>
      </w:r>
      <w:r w:rsidR="00147875">
        <w:t xml:space="preserve">is </w:t>
      </w:r>
      <w:r w:rsidR="00F920AF">
        <w:t xml:space="preserve">replacing </w:t>
      </w:r>
      <w:r w:rsidR="0047357E">
        <w:t>‘</w:t>
      </w:r>
      <w:r w:rsidR="00457F87">
        <w:t>substantive’</w:t>
      </w:r>
      <w:r w:rsidR="0047357E">
        <w:t xml:space="preserve"> </w:t>
      </w:r>
      <w:r w:rsidR="00A956CF">
        <w:t xml:space="preserve">with ‘substantial’. </w:t>
      </w:r>
      <w:r w:rsidR="00147875">
        <w:t xml:space="preserve">That is, the </w:t>
      </w:r>
      <w:r w:rsidR="0080703B">
        <w:t xml:space="preserve">satellite </w:t>
      </w:r>
      <w:r w:rsidR="00147875">
        <w:t xml:space="preserve">system must </w:t>
      </w:r>
      <w:r w:rsidR="00A956CF">
        <w:t xml:space="preserve">provide </w:t>
      </w:r>
      <w:r w:rsidR="00A956CF">
        <w:rPr>
          <w:i/>
          <w:iCs/>
        </w:rPr>
        <w:t xml:space="preserve">substantial </w:t>
      </w:r>
      <w:r w:rsidR="00A956CF">
        <w:t>Australian benefit</w:t>
      </w:r>
      <w:r w:rsidR="004307C0">
        <w:t xml:space="preserve">, where </w:t>
      </w:r>
      <w:r w:rsidR="002E0BC1">
        <w:t>substantial has its ordinary meaning</w:t>
      </w:r>
      <w:r w:rsidR="00B84EBE">
        <w:t xml:space="preserve"> (</w:t>
      </w:r>
      <w:r w:rsidR="000C0E9A">
        <w:t xml:space="preserve">that is, </w:t>
      </w:r>
      <w:r w:rsidR="00B84EBE" w:rsidRPr="00B84EBE">
        <w:t>of ample or considerable</w:t>
      </w:r>
      <w:r w:rsidR="00B60B3F">
        <w:t xml:space="preserve"> importance</w:t>
      </w:r>
      <w:r w:rsidR="00B84EBE" w:rsidRPr="00B84EBE">
        <w:t>, size</w:t>
      </w:r>
      <w:r w:rsidR="00B60B3F">
        <w:t xml:space="preserve"> or worth</w:t>
      </w:r>
      <w:r w:rsidR="00B84EBE">
        <w:t>).</w:t>
      </w:r>
      <w:r w:rsidR="00B84EBE">
        <w:rPr>
          <w:rStyle w:val="FootnoteReference"/>
        </w:rPr>
        <w:footnoteReference w:id="16"/>
      </w:r>
      <w:r w:rsidR="002E0BC1">
        <w:t xml:space="preserve"> </w:t>
      </w:r>
    </w:p>
    <w:p w14:paraId="2FCEEC8F" w14:textId="76051733" w:rsidR="00E1081D" w:rsidRPr="00B971F8" w:rsidRDefault="00EC1D11" w:rsidP="00E1081D">
      <w:pPr>
        <w:pStyle w:val="Paragraphbeforelist"/>
      </w:pPr>
      <w:r>
        <w:t xml:space="preserve">To provide guidance </w:t>
      </w:r>
      <w:r w:rsidR="00F5220D">
        <w:t>on our interpretation of this requirement, t</w:t>
      </w:r>
      <w:r w:rsidR="00B176BC">
        <w:t xml:space="preserve">he </w:t>
      </w:r>
      <w:r w:rsidR="00DF2DFC">
        <w:t>procedures</w:t>
      </w:r>
      <w:r w:rsidR="00E66C88">
        <w:t xml:space="preserve"> </w:t>
      </w:r>
      <w:r w:rsidR="00F5220D">
        <w:t xml:space="preserve">currently </w:t>
      </w:r>
      <w:r w:rsidR="009773EA">
        <w:t xml:space="preserve">present </w:t>
      </w:r>
      <w:r w:rsidR="00B176BC">
        <w:t>example</w:t>
      </w:r>
      <w:r w:rsidR="00E66C88">
        <w:t>s</w:t>
      </w:r>
      <w:r w:rsidR="00B176BC">
        <w:t xml:space="preserve"> </w:t>
      </w:r>
      <w:r w:rsidR="00E1081D" w:rsidRPr="00B971F8">
        <w:t xml:space="preserve">of services which might be considered to provide </w:t>
      </w:r>
      <w:r w:rsidR="008D6A21">
        <w:t>‘substantive’</w:t>
      </w:r>
      <w:r w:rsidR="008D6A21" w:rsidRPr="00B971F8">
        <w:t xml:space="preserve"> </w:t>
      </w:r>
      <w:r w:rsidR="00E1081D" w:rsidRPr="00B971F8">
        <w:t xml:space="preserve">Australian </w:t>
      </w:r>
      <w:r w:rsidR="00AE14CA" w:rsidRPr="00B971F8">
        <w:t>benefit</w:t>
      </w:r>
      <w:r w:rsidR="005E57FE">
        <w:t>. We intend to retain the same examples to provide guidance, as follows</w:t>
      </w:r>
      <w:r w:rsidR="00AE14CA" w:rsidRPr="00B971F8">
        <w:t>:</w:t>
      </w:r>
    </w:p>
    <w:p w14:paraId="3055EAFD" w14:textId="77777777" w:rsidR="00E1081D" w:rsidRPr="004F3625" w:rsidRDefault="00E1081D" w:rsidP="00E1081D">
      <w:pPr>
        <w:pStyle w:val="ListBullet"/>
      </w:pPr>
      <w:r w:rsidRPr="004F3625">
        <w:t xml:space="preserve">the provision of </w:t>
      </w:r>
      <w:proofErr w:type="gramStart"/>
      <w:r w:rsidRPr="004F3625">
        <w:t>a majority of</w:t>
      </w:r>
      <w:proofErr w:type="gramEnd"/>
      <w:r w:rsidRPr="004F3625">
        <w:t xml:space="preserve"> a satellite service’s capacity to Australians, particularly if this meets the needs of consumers that are under-served or not served </w:t>
      </w:r>
    </w:p>
    <w:p w14:paraId="6B24B8DC" w14:textId="77777777" w:rsidR="00E1081D" w:rsidRPr="004F3625" w:rsidRDefault="00E1081D" w:rsidP="00E1081D">
      <w:pPr>
        <w:pStyle w:val="ListBullet"/>
      </w:pPr>
      <w:r w:rsidRPr="004F3625">
        <w:t>a service which assists an Australian government (or government agency) in performing its activities</w:t>
      </w:r>
      <w:r>
        <w:rPr>
          <w:rStyle w:val="FootnoteReference"/>
        </w:rPr>
        <w:footnoteReference w:id="17"/>
      </w:r>
      <w:r w:rsidRPr="004F3625">
        <w:t xml:space="preserve"> </w:t>
      </w:r>
    </w:p>
    <w:p w14:paraId="7AD4BEAA" w14:textId="77777777" w:rsidR="00E1081D" w:rsidRPr="00B971F8" w:rsidRDefault="00E1081D" w:rsidP="00E1081D">
      <w:pPr>
        <w:pStyle w:val="ListBulletLast"/>
      </w:pPr>
      <w:r w:rsidRPr="004F3625">
        <w:t xml:space="preserve">radiocommunications links to be used by </w:t>
      </w:r>
      <w:r w:rsidRPr="00B971F8">
        <w:t>recognised research bodies for the purposes of scientific research or environmental monitoring, or by Australian industries providing commercial services either exclusively into Australia or into other countries in addition to Australia.</w:t>
      </w:r>
    </w:p>
    <w:p w14:paraId="098A42E1" w14:textId="326F4F32" w:rsidR="00EF6F46" w:rsidRDefault="004006E8" w:rsidP="00B176BC">
      <w:pPr>
        <w:pStyle w:val="Paragraph"/>
      </w:pPr>
      <w:r>
        <w:t xml:space="preserve">While these examples are firmly indicative of the </w:t>
      </w:r>
      <w:r w:rsidR="00405379">
        <w:t>attributes we consider against this criterion, t</w:t>
      </w:r>
      <w:r w:rsidR="00B176BC">
        <w:t xml:space="preserve">he </w:t>
      </w:r>
      <w:r w:rsidR="00495159">
        <w:t xml:space="preserve">filing </w:t>
      </w:r>
      <w:r w:rsidR="00DF2DFC">
        <w:t>procedures</w:t>
      </w:r>
      <w:r w:rsidR="00B96F68">
        <w:t xml:space="preserve"> </w:t>
      </w:r>
      <w:r w:rsidR="00B176BC">
        <w:t xml:space="preserve">do not </w:t>
      </w:r>
      <w:r w:rsidR="00B96F68">
        <w:t xml:space="preserve">currently include any </w:t>
      </w:r>
      <w:r w:rsidR="00F15864">
        <w:t xml:space="preserve">more precise </w:t>
      </w:r>
      <w:r w:rsidR="00DB74F2">
        <w:t>requirements.</w:t>
      </w:r>
      <w:r w:rsidR="00B176BC">
        <w:t xml:space="preserve"> </w:t>
      </w:r>
    </w:p>
    <w:p w14:paraId="1FDC8C59" w14:textId="3E4BB42B" w:rsidR="001F03FB" w:rsidRDefault="001F03FB" w:rsidP="00B176BC">
      <w:pPr>
        <w:pStyle w:val="Paragraph"/>
      </w:pPr>
      <w:r>
        <w:t xml:space="preserve">We propose to include the </w:t>
      </w:r>
      <w:r w:rsidR="00E15552">
        <w:t xml:space="preserve">specific requirement under this criterion that Australia must be included in the service area of the applicant’s satellite system. </w:t>
      </w:r>
      <w:r w:rsidR="00B11EB7">
        <w:t>In practice, t</w:t>
      </w:r>
      <w:r w:rsidR="00C61578">
        <w:t xml:space="preserve">his has been </w:t>
      </w:r>
      <w:r w:rsidR="00B11EB7">
        <w:t xml:space="preserve">a baseline requirement in </w:t>
      </w:r>
      <w:r w:rsidR="00A50CE3">
        <w:t>our application of the</w:t>
      </w:r>
      <w:r w:rsidR="00DF2DFC">
        <w:t xml:space="preserve"> </w:t>
      </w:r>
      <w:r w:rsidR="00BB6F63">
        <w:t>filing procedures</w:t>
      </w:r>
      <w:r w:rsidR="003C1613">
        <w:t xml:space="preserve"> since </w:t>
      </w:r>
      <w:r w:rsidR="00DB74F2">
        <w:t>inception but</w:t>
      </w:r>
      <w:r w:rsidR="00B11EB7">
        <w:t xml:space="preserve"> was not</w:t>
      </w:r>
      <w:r w:rsidR="003C1613">
        <w:t xml:space="preserve"> explicitly stated. </w:t>
      </w:r>
    </w:p>
    <w:p w14:paraId="0A430B2A" w14:textId="696E7E54" w:rsidR="00B176BC" w:rsidRDefault="00840B2A" w:rsidP="00B176BC">
      <w:pPr>
        <w:pStyle w:val="Paragraph"/>
      </w:pPr>
      <w:r>
        <w:t xml:space="preserve">Our intention is to remove any doubt that a </w:t>
      </w:r>
      <w:r w:rsidR="00966753">
        <w:t xml:space="preserve">satellite </w:t>
      </w:r>
      <w:r>
        <w:t xml:space="preserve">system </w:t>
      </w:r>
      <w:r w:rsidR="00006F18">
        <w:t>which does not include Australia in its service are</w:t>
      </w:r>
      <w:r w:rsidR="00036B8B">
        <w:t>a</w:t>
      </w:r>
      <w:r w:rsidR="00006F18">
        <w:t xml:space="preserve"> </w:t>
      </w:r>
      <w:r w:rsidR="00966753">
        <w:t>does not</w:t>
      </w:r>
      <w:r w:rsidR="00006F18">
        <w:t xml:space="preserve"> </w:t>
      </w:r>
      <w:r w:rsidR="00860689">
        <w:t xml:space="preserve">qualify </w:t>
      </w:r>
      <w:r w:rsidR="00036B8B">
        <w:t>under this criterion.</w:t>
      </w:r>
      <w:r w:rsidR="00006F18">
        <w:t xml:space="preserve"> </w:t>
      </w:r>
      <w:r w:rsidR="00D01EEC">
        <w:t>This will preclude applicants who</w:t>
      </w:r>
      <w:r w:rsidR="00744CB9">
        <w:t xml:space="preserve">se </w:t>
      </w:r>
      <w:r w:rsidR="00E94B74">
        <w:t xml:space="preserve">satellite </w:t>
      </w:r>
      <w:r w:rsidR="00744CB9">
        <w:t>system</w:t>
      </w:r>
      <w:r w:rsidR="00B050D4">
        <w:t xml:space="preserve"> </w:t>
      </w:r>
      <w:r w:rsidR="00744CB9">
        <w:t>exclude</w:t>
      </w:r>
      <w:r w:rsidR="00E94B74">
        <w:t>s</w:t>
      </w:r>
      <w:r w:rsidR="00744CB9">
        <w:t xml:space="preserve"> Australia, yet </w:t>
      </w:r>
      <w:r w:rsidR="00D01EEC">
        <w:t xml:space="preserve">claim to </w:t>
      </w:r>
      <w:r w:rsidR="00744CB9">
        <w:t xml:space="preserve">provide </w:t>
      </w:r>
      <w:r w:rsidR="00AF72F4">
        <w:t xml:space="preserve">some </w:t>
      </w:r>
      <w:r w:rsidR="00744CB9">
        <w:t xml:space="preserve">Australian benefit, </w:t>
      </w:r>
      <w:r w:rsidR="009E6419">
        <w:t>such as</w:t>
      </w:r>
      <w:r w:rsidR="00684F4B">
        <w:t xml:space="preserve"> </w:t>
      </w:r>
      <w:r w:rsidR="00B176BC">
        <w:t xml:space="preserve">expected </w:t>
      </w:r>
      <w:r w:rsidR="00C0086B">
        <w:t xml:space="preserve">future </w:t>
      </w:r>
      <w:r w:rsidR="00B176BC">
        <w:t>financial benefits or</w:t>
      </w:r>
      <w:r w:rsidR="00DC1AA7">
        <w:t xml:space="preserve"> </w:t>
      </w:r>
      <w:r w:rsidR="00B176BC">
        <w:t>expected development of space</w:t>
      </w:r>
      <w:r w:rsidR="009E6419">
        <w:t>-</w:t>
      </w:r>
      <w:r w:rsidR="00B176BC">
        <w:t>related industries in Australia.</w:t>
      </w:r>
    </w:p>
    <w:p w14:paraId="1FCB29CA" w14:textId="68FFFE54" w:rsidR="00BD6E7B" w:rsidRDefault="00BD6E7B" w:rsidP="00B176BC">
      <w:pPr>
        <w:pStyle w:val="Paragraph"/>
      </w:pPr>
      <w:r>
        <w:t xml:space="preserve">We propose to </w:t>
      </w:r>
      <w:r w:rsidR="00F33B2F">
        <w:t>clarify that our assessment against this criterion</w:t>
      </w:r>
      <w:r w:rsidR="009D0BD0">
        <w:t xml:space="preserve"> of</w:t>
      </w:r>
      <w:r>
        <w:t xml:space="preserve"> applican</w:t>
      </w:r>
      <w:r w:rsidR="002F2B93">
        <w:t xml:space="preserve">ts with existing satellite filings </w:t>
      </w:r>
      <w:r w:rsidR="009D0BD0">
        <w:t>will include consideration of</w:t>
      </w:r>
      <w:r>
        <w:t xml:space="preserve"> past </w:t>
      </w:r>
      <w:r w:rsidR="002F2B93">
        <w:t xml:space="preserve">performance </w:t>
      </w:r>
      <w:r w:rsidR="00B47F06">
        <w:t>regarding</w:t>
      </w:r>
      <w:r w:rsidR="002F2B93">
        <w:t xml:space="preserve"> </w:t>
      </w:r>
      <w:r w:rsidR="002F2B93">
        <w:lastRenderedPageBreak/>
        <w:t xml:space="preserve">compliance with </w:t>
      </w:r>
      <w:r w:rsidR="005978CA">
        <w:t xml:space="preserve">the </w:t>
      </w:r>
      <w:r w:rsidR="00D35F4F">
        <w:t xml:space="preserve">filing </w:t>
      </w:r>
      <w:r w:rsidR="005978CA">
        <w:t xml:space="preserve">procedures </w:t>
      </w:r>
      <w:r w:rsidR="005B06D8">
        <w:t>and</w:t>
      </w:r>
      <w:r w:rsidR="00C9762B">
        <w:t xml:space="preserve"> </w:t>
      </w:r>
      <w:r w:rsidR="00665C0C">
        <w:t xml:space="preserve">the </w:t>
      </w:r>
      <w:r w:rsidR="00295B2D">
        <w:t xml:space="preserve">Australian </w:t>
      </w:r>
      <w:r w:rsidR="00C9762B">
        <w:t>benefit</w:t>
      </w:r>
      <w:r w:rsidR="00B47F06">
        <w:t xml:space="preserve"> provided by</w:t>
      </w:r>
      <w:r w:rsidR="00C9762B">
        <w:t xml:space="preserve"> existing filings</w:t>
      </w:r>
      <w:r w:rsidR="005978CA">
        <w:t>.</w:t>
      </w:r>
    </w:p>
    <w:p w14:paraId="15B73B3D" w14:textId="77D4857D" w:rsidR="00451D8D" w:rsidRDefault="00F2532B" w:rsidP="009F428E">
      <w:pPr>
        <w:pStyle w:val="Heading2"/>
      </w:pPr>
      <w:bookmarkStart w:id="74" w:name="_Toc144213399"/>
      <w:bookmarkStart w:id="75" w:name="_Toc136440222"/>
      <w:bookmarkStart w:id="76" w:name="_Toc139371638"/>
      <w:r w:rsidRPr="00154FB9">
        <w:t xml:space="preserve">Coordination with </w:t>
      </w:r>
      <w:r w:rsidR="002E6A7B" w:rsidRPr="00154FB9">
        <w:t>Australian satellite systems</w:t>
      </w:r>
      <w:bookmarkEnd w:id="74"/>
      <w:r w:rsidR="00B22F0C">
        <w:t xml:space="preserve"> </w:t>
      </w:r>
      <w:bookmarkEnd w:id="75"/>
      <w:bookmarkEnd w:id="76"/>
    </w:p>
    <w:p w14:paraId="7FF5E9EE" w14:textId="77777777" w:rsidR="0009103F" w:rsidRDefault="0041144C" w:rsidP="00D61243">
      <w:pPr>
        <w:pStyle w:val="Paragraph"/>
      </w:pPr>
      <w:r>
        <w:t xml:space="preserve">The </w:t>
      </w:r>
      <w:r w:rsidR="00DA03A5">
        <w:t xml:space="preserve">filing </w:t>
      </w:r>
      <w:r w:rsidR="00E47894">
        <w:t>procedures</w:t>
      </w:r>
      <w:r w:rsidR="00E3755C">
        <w:t xml:space="preserve"> </w:t>
      </w:r>
      <w:r>
        <w:t xml:space="preserve">currently </w:t>
      </w:r>
      <w:r w:rsidR="00FC16F7">
        <w:t xml:space="preserve">require </w:t>
      </w:r>
      <w:r w:rsidR="00345383">
        <w:t xml:space="preserve">an applicant to coordinate the technical aspects of its </w:t>
      </w:r>
      <w:r w:rsidR="00C4599C">
        <w:t>satellite</w:t>
      </w:r>
      <w:r w:rsidR="005D7738">
        <w:t xml:space="preserve"> </w:t>
      </w:r>
      <w:r w:rsidR="00345383">
        <w:t>system</w:t>
      </w:r>
      <w:r w:rsidR="007D5856">
        <w:t xml:space="preserve"> (for </w:t>
      </w:r>
      <w:r w:rsidR="001E0F7E">
        <w:t>management</w:t>
      </w:r>
      <w:r w:rsidR="00CE134A">
        <w:t xml:space="preserve"> of </w:t>
      </w:r>
      <w:r w:rsidR="001E0F7E">
        <w:t xml:space="preserve">potential for </w:t>
      </w:r>
      <w:r w:rsidR="007D5856">
        <w:t>interference)</w:t>
      </w:r>
      <w:r w:rsidR="00345383">
        <w:t xml:space="preserve"> </w:t>
      </w:r>
      <w:r w:rsidR="00C4599C">
        <w:t xml:space="preserve">with </w:t>
      </w:r>
      <w:r w:rsidR="00AB5C47">
        <w:t>Australian satellite operators who already hold an ITU satellite filing</w:t>
      </w:r>
      <w:r w:rsidR="007F137A">
        <w:t>. This coordination</w:t>
      </w:r>
      <w:r w:rsidR="007D5856">
        <w:t xml:space="preserve"> must be</w:t>
      </w:r>
      <w:r w:rsidR="00D86A07">
        <w:t xml:space="preserve"> </w:t>
      </w:r>
      <w:r w:rsidR="005D7738">
        <w:t>completed before the</w:t>
      </w:r>
      <w:r w:rsidR="00C4599C">
        <w:t xml:space="preserve"> ACMA </w:t>
      </w:r>
      <w:r w:rsidR="000261FE">
        <w:t>submits</w:t>
      </w:r>
      <w:r w:rsidR="00C4599C">
        <w:t xml:space="preserve"> </w:t>
      </w:r>
      <w:r w:rsidR="005D7738">
        <w:t xml:space="preserve">the satellite </w:t>
      </w:r>
      <w:r w:rsidR="000261FE">
        <w:t>filing to</w:t>
      </w:r>
      <w:r w:rsidR="005D7738">
        <w:t xml:space="preserve"> the ITU.</w:t>
      </w:r>
      <w:r w:rsidR="000261FE">
        <w:t xml:space="preserve"> </w:t>
      </w:r>
      <w:r w:rsidR="007D5856">
        <w:t>In practice, t</w:t>
      </w:r>
      <w:r w:rsidR="000261FE">
        <w:t xml:space="preserve">his </w:t>
      </w:r>
      <w:r w:rsidR="0035442D">
        <w:t xml:space="preserve">requirement </w:t>
      </w:r>
      <w:r w:rsidR="007D5856">
        <w:t>was</w:t>
      </w:r>
      <w:r w:rsidR="000261FE">
        <w:t xml:space="preserve"> difficult</w:t>
      </w:r>
      <w:r w:rsidR="00B55F66">
        <w:t xml:space="preserve"> for satellite operators</w:t>
      </w:r>
      <w:r w:rsidR="000261FE">
        <w:t xml:space="preserve"> to comply wit</w:t>
      </w:r>
      <w:r w:rsidR="00DA45DD">
        <w:t>h because</w:t>
      </w:r>
      <w:r w:rsidR="00B55F66">
        <w:t xml:space="preserve"> </w:t>
      </w:r>
      <w:r w:rsidR="00C20C02">
        <w:t>a new</w:t>
      </w:r>
      <w:r w:rsidR="00B55F66">
        <w:t xml:space="preserve"> satellite</w:t>
      </w:r>
      <w:r w:rsidR="00C20C02">
        <w:t xml:space="preserve"> system in its</w:t>
      </w:r>
      <w:r w:rsidR="00B55F66">
        <w:t xml:space="preserve"> design stage </w:t>
      </w:r>
      <w:r w:rsidR="0035442D">
        <w:t>does</w:t>
      </w:r>
      <w:r w:rsidR="00B55F66">
        <w:t xml:space="preserve"> not allow for </w:t>
      </w:r>
      <w:r w:rsidR="0027449A">
        <w:t xml:space="preserve">effective </w:t>
      </w:r>
      <w:r w:rsidR="00E47894">
        <w:t xml:space="preserve">frequency </w:t>
      </w:r>
      <w:r w:rsidR="00B55F66">
        <w:t>coordination.</w:t>
      </w:r>
      <w:r w:rsidR="00DA45DD">
        <w:t xml:space="preserve"> </w:t>
      </w:r>
    </w:p>
    <w:p w14:paraId="63F64D60" w14:textId="7C591134" w:rsidR="0001678A" w:rsidRDefault="009C6A0F" w:rsidP="00D61243">
      <w:pPr>
        <w:pStyle w:val="Paragraph"/>
      </w:pPr>
      <w:r>
        <w:t xml:space="preserve">We acknowledge </w:t>
      </w:r>
      <w:r w:rsidR="00725329">
        <w:t xml:space="preserve">it is unnecessary to require applicants to complete domestic coordination so early in the filing process. </w:t>
      </w:r>
      <w:r w:rsidR="00E47894">
        <w:t>So,</w:t>
      </w:r>
      <w:r w:rsidR="000F29B1">
        <w:t xml:space="preserve"> we</w:t>
      </w:r>
      <w:r w:rsidR="00946B7B">
        <w:t xml:space="preserve"> propose </w:t>
      </w:r>
      <w:r w:rsidR="000F29B1">
        <w:t>to amend this</w:t>
      </w:r>
      <w:r w:rsidR="00946B7B">
        <w:t xml:space="preserve"> criterion </w:t>
      </w:r>
      <w:r w:rsidR="000F29B1">
        <w:t>to instead require that</w:t>
      </w:r>
      <w:r w:rsidR="00FC16F7">
        <w:t xml:space="preserve"> domestic satellite </w:t>
      </w:r>
      <w:r w:rsidR="001B08C6">
        <w:t>coordination</w:t>
      </w:r>
      <w:r w:rsidR="007C56F1">
        <w:t xml:space="preserve"> needs</w:t>
      </w:r>
      <w:r w:rsidR="000F29B1">
        <w:t xml:space="preserve"> only</w:t>
      </w:r>
      <w:r w:rsidR="001B08C6">
        <w:t xml:space="preserve"> </w:t>
      </w:r>
      <w:r w:rsidR="00C33CB2">
        <w:t xml:space="preserve">to </w:t>
      </w:r>
      <w:r w:rsidR="00146B8F">
        <w:t xml:space="preserve">be </w:t>
      </w:r>
      <w:r w:rsidR="00146B8F" w:rsidRPr="006415BD">
        <w:rPr>
          <w:i/>
          <w:iCs/>
        </w:rPr>
        <w:t>initiated</w:t>
      </w:r>
      <w:r w:rsidR="00146B8F">
        <w:t xml:space="preserve"> </w:t>
      </w:r>
      <w:r w:rsidR="00616295">
        <w:t xml:space="preserve">when an application is submitted to the </w:t>
      </w:r>
      <w:r w:rsidR="00127682">
        <w:t>ACMA</w:t>
      </w:r>
      <w:r w:rsidR="007A35B7">
        <w:t xml:space="preserve">. </w:t>
      </w:r>
      <w:r w:rsidR="007A35B7" w:rsidRPr="00034DDF">
        <w:t xml:space="preserve">By </w:t>
      </w:r>
      <w:r w:rsidR="007E3D39" w:rsidRPr="00034DDF">
        <w:t xml:space="preserve">initiated </w:t>
      </w:r>
      <w:r w:rsidR="007A35B7" w:rsidRPr="00034DDF">
        <w:t xml:space="preserve">we mean </w:t>
      </w:r>
      <w:r w:rsidR="007E3D39" w:rsidRPr="00034DDF">
        <w:t xml:space="preserve">there is </w:t>
      </w:r>
      <w:r w:rsidR="007E3D39" w:rsidRPr="000F275F">
        <w:t xml:space="preserve">acknowledgement from both operators that development of an agreement has commenced with the intention </w:t>
      </w:r>
      <w:r w:rsidR="00370A4A">
        <w:t>of both</w:t>
      </w:r>
      <w:r w:rsidR="007464C2">
        <w:t xml:space="preserve"> to operate in good faith </w:t>
      </w:r>
      <w:r w:rsidR="007E3D39" w:rsidRPr="000F275F">
        <w:t>to complete the agreement</w:t>
      </w:r>
      <w:r w:rsidR="00370A4A">
        <w:t xml:space="preserve"> </w:t>
      </w:r>
      <w:r w:rsidR="007E3D39" w:rsidRPr="000F275F">
        <w:t>before the launch of the space station</w:t>
      </w:r>
      <w:r w:rsidR="00252673">
        <w:t xml:space="preserve">, </w:t>
      </w:r>
      <w:r w:rsidR="001B08C6" w:rsidRPr="00034DDF">
        <w:t>before bringing</w:t>
      </w:r>
      <w:r w:rsidR="00E47894" w:rsidRPr="00034DDF">
        <w:t xml:space="preserve"> into use</w:t>
      </w:r>
      <w:r w:rsidR="001B08C6" w:rsidRPr="00034DDF">
        <w:t xml:space="preserve"> the</w:t>
      </w:r>
      <w:r w:rsidR="00E47894" w:rsidRPr="00034DDF">
        <w:t xml:space="preserve"> frequency assignments of</w:t>
      </w:r>
      <w:r w:rsidR="001B08C6" w:rsidRPr="00034DDF">
        <w:t xml:space="preserve"> </w:t>
      </w:r>
      <w:r w:rsidR="00E47894" w:rsidRPr="00034DDF">
        <w:t xml:space="preserve">the </w:t>
      </w:r>
      <w:r w:rsidR="001B08C6" w:rsidRPr="00034DDF">
        <w:t xml:space="preserve">satellite </w:t>
      </w:r>
      <w:r w:rsidR="00E47894" w:rsidRPr="00034DDF">
        <w:t>system</w:t>
      </w:r>
      <w:r w:rsidR="00C801B8" w:rsidRPr="00034DDF">
        <w:t xml:space="preserve"> or as otherwise agreed between satellite operators</w:t>
      </w:r>
      <w:r w:rsidR="00683BDE" w:rsidRPr="00034DDF">
        <w:t>.</w:t>
      </w:r>
    </w:p>
    <w:p w14:paraId="4C06B9B2" w14:textId="67E6E507" w:rsidR="00BB11DB" w:rsidRDefault="00AD5320" w:rsidP="00D61243">
      <w:pPr>
        <w:pStyle w:val="Paragraph"/>
      </w:pPr>
      <w:r>
        <w:t xml:space="preserve">The current procedures </w:t>
      </w:r>
      <w:r w:rsidR="00BF5576">
        <w:t xml:space="preserve">list frequency and orbital separation </w:t>
      </w:r>
      <w:r w:rsidR="00E61583">
        <w:t xml:space="preserve">triggers for coordination </w:t>
      </w:r>
      <w:r w:rsidR="0077604E">
        <w:t xml:space="preserve">between Australian satellite systems. </w:t>
      </w:r>
      <w:r w:rsidR="00B95455">
        <w:t>These requirements are taken from</w:t>
      </w:r>
      <w:r w:rsidR="00D017DA">
        <w:t xml:space="preserve"> the R</w:t>
      </w:r>
      <w:r w:rsidR="009F6921">
        <w:t xml:space="preserve">adio </w:t>
      </w:r>
      <w:r w:rsidR="00D017DA">
        <w:t>R</w:t>
      </w:r>
      <w:r w:rsidR="009F6921">
        <w:t>egulations</w:t>
      </w:r>
      <w:r w:rsidR="00D017DA">
        <w:t>. Rather th</w:t>
      </w:r>
      <w:r w:rsidR="007464C2">
        <w:t>a</w:t>
      </w:r>
      <w:r w:rsidR="00B8598B">
        <w:t>n</w:t>
      </w:r>
      <w:r w:rsidR="00D017DA">
        <w:t xml:space="preserve"> repeat ITU requirements</w:t>
      </w:r>
      <w:r w:rsidR="00914949">
        <w:t xml:space="preserve"> (which may change)</w:t>
      </w:r>
      <w:r w:rsidR="00B8598B">
        <w:t>, the revised procedure</w:t>
      </w:r>
      <w:r w:rsidR="00C31603">
        <w:t>s</w:t>
      </w:r>
      <w:r w:rsidR="00B8598B">
        <w:t xml:space="preserve"> </w:t>
      </w:r>
      <w:r w:rsidR="00EF42D8">
        <w:t xml:space="preserve">simply state </w:t>
      </w:r>
      <w:r w:rsidR="003B28B9">
        <w:t>that the</w:t>
      </w:r>
      <w:r w:rsidR="00466A15">
        <w:t xml:space="preserve"> </w:t>
      </w:r>
      <w:r w:rsidR="006F1E1F">
        <w:t xml:space="preserve">coordination </w:t>
      </w:r>
      <w:r w:rsidR="00466A15">
        <w:t xml:space="preserve">triggers </w:t>
      </w:r>
      <w:r w:rsidR="005D5F56">
        <w:t xml:space="preserve">provided </w:t>
      </w:r>
      <w:r w:rsidR="003B28B9">
        <w:t xml:space="preserve">in </w:t>
      </w:r>
      <w:r w:rsidR="005D5F56">
        <w:t>the</w:t>
      </w:r>
      <w:r w:rsidR="006F1E1F">
        <w:t xml:space="preserve"> </w:t>
      </w:r>
      <w:r w:rsidR="002A7980">
        <w:t>Radio Regulations</w:t>
      </w:r>
      <w:r w:rsidR="006F1E1F">
        <w:t xml:space="preserve"> </w:t>
      </w:r>
      <w:r w:rsidR="003B28B9">
        <w:t xml:space="preserve">are to be used to </w:t>
      </w:r>
      <w:r w:rsidR="006F1E1F">
        <w:t>determine the need for domestic coordination</w:t>
      </w:r>
      <w:r w:rsidR="005D5F56">
        <w:t>.</w:t>
      </w:r>
      <w:r w:rsidR="00311FFC">
        <w:t xml:space="preserve"> </w:t>
      </w:r>
    </w:p>
    <w:p w14:paraId="59D557EA" w14:textId="2A08020A" w:rsidR="00E5727B" w:rsidRPr="001B4128" w:rsidRDefault="00282D25" w:rsidP="009F428E">
      <w:pPr>
        <w:pStyle w:val="Heading2"/>
      </w:pPr>
      <w:bookmarkStart w:id="77" w:name="_Toc136440223"/>
      <w:bookmarkStart w:id="78" w:name="_Toc139371639"/>
      <w:bookmarkStart w:id="79" w:name="_Toc144213400"/>
      <w:r w:rsidRPr="001B4128">
        <w:t xml:space="preserve">Requirements for ‘planned band’ </w:t>
      </w:r>
      <w:bookmarkEnd w:id="77"/>
      <w:bookmarkEnd w:id="78"/>
      <w:r w:rsidRPr="001B4128">
        <w:t>applications</w:t>
      </w:r>
      <w:bookmarkEnd w:id="79"/>
    </w:p>
    <w:p w14:paraId="53BA3EA3" w14:textId="2977AF17" w:rsidR="00843B04" w:rsidRPr="006B4CA3" w:rsidRDefault="00843B04" w:rsidP="006E3792">
      <w:pPr>
        <w:pStyle w:val="Paragraph"/>
      </w:pPr>
      <w:r w:rsidRPr="006B4CA3">
        <w:t xml:space="preserve">The term ‘planned bands’ means the specific frequency bands detailed in </w:t>
      </w:r>
      <w:r w:rsidR="00994CD4">
        <w:t>A</w:t>
      </w:r>
      <w:r w:rsidRPr="006B4CA3">
        <w:t>ppendi</w:t>
      </w:r>
      <w:r>
        <w:t>c</w:t>
      </w:r>
      <w:r w:rsidRPr="006B4CA3">
        <w:t>es 30 (BSS downlink)</w:t>
      </w:r>
      <w:r w:rsidR="001D5B7C">
        <w:t>,</w:t>
      </w:r>
      <w:r w:rsidRPr="006B4CA3">
        <w:rPr>
          <w:vertAlign w:val="superscript"/>
        </w:rPr>
        <w:footnoteReference w:id="18"/>
      </w:r>
      <w:r w:rsidRPr="006B4CA3">
        <w:t xml:space="preserve"> 30A (BSS uplink) and 30B (FSS services)</w:t>
      </w:r>
      <w:r w:rsidRPr="006B4CA3">
        <w:rPr>
          <w:vertAlign w:val="superscript"/>
        </w:rPr>
        <w:footnoteReference w:id="19"/>
      </w:r>
      <w:r w:rsidRPr="006B4CA3">
        <w:t xml:space="preserve"> of the </w:t>
      </w:r>
      <w:r w:rsidR="00FE5FEC">
        <w:t xml:space="preserve">ITU </w:t>
      </w:r>
      <w:r w:rsidR="002A7980">
        <w:t>Radio Regulations</w:t>
      </w:r>
      <w:r w:rsidRPr="006B4CA3">
        <w:t>. These bands have been comprehensively planned, applying the principle of equitable use</w:t>
      </w:r>
      <w:r w:rsidR="0080602A">
        <w:t xml:space="preserve">: </w:t>
      </w:r>
      <w:r w:rsidRPr="006B4CA3">
        <w:t xml:space="preserve">there are a small number of plan entries for every country, and the first-come, first-served principle does not apply. In </w:t>
      </w:r>
      <w:r w:rsidR="0060346C">
        <w:t xml:space="preserve">the </w:t>
      </w:r>
      <w:r w:rsidR="007E5921">
        <w:t xml:space="preserve">filing </w:t>
      </w:r>
      <w:r w:rsidR="00152BA6">
        <w:t>procedures</w:t>
      </w:r>
      <w:r w:rsidRPr="006B4CA3">
        <w:t xml:space="preserve">, the term ‘planned bands’ </w:t>
      </w:r>
      <w:r w:rsidR="00FD768E">
        <w:t>includes</w:t>
      </w:r>
      <w:r w:rsidRPr="006B4CA3">
        <w:t xml:space="preserve"> the plans detailed </w:t>
      </w:r>
      <w:r w:rsidR="00FD768E">
        <w:t xml:space="preserve">in these </w:t>
      </w:r>
      <w:r w:rsidR="007E5921">
        <w:t>A</w:t>
      </w:r>
      <w:r w:rsidRPr="006B4CA3">
        <w:t>ppendi</w:t>
      </w:r>
      <w:r w:rsidR="00FD768E">
        <w:t>c</w:t>
      </w:r>
      <w:r w:rsidRPr="006B4CA3">
        <w:t>es and any potential modifications to these plans.</w:t>
      </w:r>
    </w:p>
    <w:p w14:paraId="2DC3935F" w14:textId="5DB5B4B8" w:rsidR="00285F86" w:rsidRPr="006B4CA3" w:rsidRDefault="00843B04" w:rsidP="006E3792">
      <w:pPr>
        <w:pStyle w:val="Paragraph"/>
      </w:pPr>
      <w:r w:rsidRPr="006B4CA3">
        <w:t xml:space="preserve">Satellite </w:t>
      </w:r>
      <w:r w:rsidR="007D79AB">
        <w:t xml:space="preserve">systems </w:t>
      </w:r>
      <w:r w:rsidR="00285F86">
        <w:t xml:space="preserve">that use frequencies covered by </w:t>
      </w:r>
      <w:r w:rsidRPr="006B4CA3">
        <w:t>appendi</w:t>
      </w:r>
      <w:r w:rsidR="00285F86">
        <w:t>c</w:t>
      </w:r>
      <w:r w:rsidRPr="006B4CA3">
        <w:t xml:space="preserve">es 30, 30A and 30B are subject to significantly different procedures from other satellite </w:t>
      </w:r>
      <w:r w:rsidR="007D79AB">
        <w:t>systems</w:t>
      </w:r>
      <w:r w:rsidRPr="006B4CA3">
        <w:t>.</w:t>
      </w:r>
    </w:p>
    <w:p w14:paraId="383ECE63" w14:textId="4201B1AE" w:rsidR="00595362" w:rsidRDefault="002D40F8" w:rsidP="008903DC">
      <w:pPr>
        <w:pStyle w:val="Paragraphbeforelist"/>
      </w:pPr>
      <w:r>
        <w:t xml:space="preserve">The </w:t>
      </w:r>
      <w:r w:rsidR="00785F4B">
        <w:t>change we propose to this criterion is to delete the following provision</w:t>
      </w:r>
      <w:r w:rsidR="000F6031">
        <w:t>:</w:t>
      </w:r>
    </w:p>
    <w:p w14:paraId="1DF4E0CE" w14:textId="2519B0DB" w:rsidR="00F422D5" w:rsidRPr="00251F91" w:rsidRDefault="007E7A84" w:rsidP="00E8011B">
      <w:pPr>
        <w:pStyle w:val="Paragraph"/>
        <w:ind w:left="284"/>
        <w:rPr>
          <w:iCs/>
          <w:szCs w:val="20"/>
        </w:rPr>
      </w:pPr>
      <w:r w:rsidRPr="00251F91">
        <w:rPr>
          <w:iCs/>
          <w:szCs w:val="20"/>
        </w:rPr>
        <w:t>Applications to make use of planned bands over the territory of another country will only be considered if accompanied by the approval of the administration of that country.</w:t>
      </w:r>
    </w:p>
    <w:p w14:paraId="291F3C26" w14:textId="0D61EA7B" w:rsidR="000F6031" w:rsidRDefault="000F6031" w:rsidP="00D61243">
      <w:pPr>
        <w:pStyle w:val="Paragraph"/>
      </w:pPr>
      <w:r>
        <w:rPr>
          <w:szCs w:val="20"/>
        </w:rPr>
        <w:t xml:space="preserve">This requirement </w:t>
      </w:r>
      <w:r w:rsidR="00755EC5">
        <w:rPr>
          <w:szCs w:val="20"/>
        </w:rPr>
        <w:t xml:space="preserve">relates to </w:t>
      </w:r>
      <w:r w:rsidR="00A33DF5">
        <w:rPr>
          <w:szCs w:val="20"/>
        </w:rPr>
        <w:t>applications for</w:t>
      </w:r>
      <w:r w:rsidR="00163CD0" w:rsidDel="004E0B3F">
        <w:rPr>
          <w:szCs w:val="20"/>
        </w:rPr>
        <w:t xml:space="preserve"> </w:t>
      </w:r>
      <w:r w:rsidR="00A33DF5">
        <w:rPr>
          <w:szCs w:val="20"/>
        </w:rPr>
        <w:t xml:space="preserve">use of the planned bands in addition to planned assignments recorded in the </w:t>
      </w:r>
      <w:r w:rsidR="002A7980">
        <w:rPr>
          <w:szCs w:val="20"/>
        </w:rPr>
        <w:t>Radio Regulations</w:t>
      </w:r>
      <w:r w:rsidR="002401F9">
        <w:rPr>
          <w:szCs w:val="20"/>
        </w:rPr>
        <w:t xml:space="preserve"> (as per </w:t>
      </w:r>
      <w:r w:rsidR="0002638E">
        <w:rPr>
          <w:szCs w:val="20"/>
        </w:rPr>
        <w:t>A</w:t>
      </w:r>
      <w:r w:rsidR="00B37209">
        <w:rPr>
          <w:szCs w:val="20"/>
        </w:rPr>
        <w:t>ppendices 30</w:t>
      </w:r>
      <w:r w:rsidR="00FF7BB5">
        <w:rPr>
          <w:szCs w:val="20"/>
        </w:rPr>
        <w:t xml:space="preserve">, </w:t>
      </w:r>
      <w:r w:rsidR="00B37209">
        <w:rPr>
          <w:szCs w:val="20"/>
        </w:rPr>
        <w:t>30A and 30B)</w:t>
      </w:r>
      <w:r w:rsidR="00251CCD">
        <w:rPr>
          <w:szCs w:val="20"/>
        </w:rPr>
        <w:t xml:space="preserve">. </w:t>
      </w:r>
      <w:r w:rsidR="00163CD0">
        <w:rPr>
          <w:szCs w:val="20"/>
        </w:rPr>
        <w:t xml:space="preserve">Such applications </w:t>
      </w:r>
      <w:r w:rsidR="00B27EB7">
        <w:rPr>
          <w:szCs w:val="20"/>
        </w:rPr>
        <w:t xml:space="preserve">are likely to include </w:t>
      </w:r>
      <w:r w:rsidR="0023469E">
        <w:rPr>
          <w:szCs w:val="20"/>
        </w:rPr>
        <w:t>foreign</w:t>
      </w:r>
      <w:r w:rsidR="00B27EB7">
        <w:rPr>
          <w:szCs w:val="20"/>
        </w:rPr>
        <w:t xml:space="preserve"> </w:t>
      </w:r>
      <w:r w:rsidR="000A67C3">
        <w:rPr>
          <w:szCs w:val="20"/>
        </w:rPr>
        <w:t>territories</w:t>
      </w:r>
      <w:r w:rsidR="00B27EB7">
        <w:rPr>
          <w:szCs w:val="20"/>
        </w:rPr>
        <w:t xml:space="preserve"> in the</w:t>
      </w:r>
      <w:r w:rsidR="00C17134">
        <w:rPr>
          <w:szCs w:val="20"/>
        </w:rPr>
        <w:t xml:space="preserve"> </w:t>
      </w:r>
      <w:r w:rsidR="00B27EB7">
        <w:rPr>
          <w:szCs w:val="20"/>
        </w:rPr>
        <w:t>service area</w:t>
      </w:r>
      <w:r w:rsidR="00C17134">
        <w:rPr>
          <w:szCs w:val="20"/>
        </w:rPr>
        <w:t xml:space="preserve"> of the proposed satellite </w:t>
      </w:r>
      <w:r w:rsidR="007D79AB">
        <w:rPr>
          <w:szCs w:val="20"/>
        </w:rPr>
        <w:t>system</w:t>
      </w:r>
      <w:r w:rsidR="00C17134">
        <w:rPr>
          <w:szCs w:val="20"/>
        </w:rPr>
        <w:t xml:space="preserve">. </w:t>
      </w:r>
      <w:r w:rsidR="00A313CE">
        <w:rPr>
          <w:szCs w:val="20"/>
        </w:rPr>
        <w:t xml:space="preserve">The </w:t>
      </w:r>
      <w:r w:rsidR="00F76653">
        <w:rPr>
          <w:szCs w:val="20"/>
        </w:rPr>
        <w:t xml:space="preserve">process of coordination with other administrations </w:t>
      </w:r>
      <w:r w:rsidR="009455A9">
        <w:rPr>
          <w:szCs w:val="20"/>
        </w:rPr>
        <w:t>under the</w:t>
      </w:r>
      <w:r w:rsidR="008D7D91">
        <w:rPr>
          <w:szCs w:val="20"/>
        </w:rPr>
        <w:t xml:space="preserve"> Radio Regulations </w:t>
      </w:r>
      <w:r w:rsidR="00F76653">
        <w:rPr>
          <w:szCs w:val="20"/>
        </w:rPr>
        <w:t>includes</w:t>
      </w:r>
      <w:r w:rsidR="00AD77AF">
        <w:rPr>
          <w:szCs w:val="20"/>
        </w:rPr>
        <w:t xml:space="preserve"> the</w:t>
      </w:r>
      <w:r w:rsidR="00F76653">
        <w:rPr>
          <w:szCs w:val="20"/>
        </w:rPr>
        <w:t xml:space="preserve"> </w:t>
      </w:r>
      <w:r w:rsidR="00AD77AF">
        <w:rPr>
          <w:szCs w:val="20"/>
        </w:rPr>
        <w:t xml:space="preserve">opportunity </w:t>
      </w:r>
      <w:r w:rsidR="00F76653">
        <w:rPr>
          <w:szCs w:val="20"/>
        </w:rPr>
        <w:t xml:space="preserve">for </w:t>
      </w:r>
      <w:r w:rsidR="00204F55">
        <w:rPr>
          <w:szCs w:val="20"/>
        </w:rPr>
        <w:t>any</w:t>
      </w:r>
      <w:r w:rsidR="00F76653">
        <w:rPr>
          <w:szCs w:val="20"/>
        </w:rPr>
        <w:t xml:space="preserve"> administration to object to the </w:t>
      </w:r>
      <w:r w:rsidR="009D46D5">
        <w:rPr>
          <w:szCs w:val="20"/>
        </w:rPr>
        <w:t xml:space="preserve">proposed satellite </w:t>
      </w:r>
      <w:r w:rsidR="00965A80">
        <w:rPr>
          <w:szCs w:val="20"/>
        </w:rPr>
        <w:t xml:space="preserve">system </w:t>
      </w:r>
      <w:r w:rsidR="009D46D5">
        <w:rPr>
          <w:szCs w:val="20"/>
        </w:rPr>
        <w:t xml:space="preserve">and to </w:t>
      </w:r>
      <w:r w:rsidR="00062BB1">
        <w:rPr>
          <w:szCs w:val="20"/>
        </w:rPr>
        <w:t xml:space="preserve">have </w:t>
      </w:r>
      <w:r w:rsidR="00204F55">
        <w:rPr>
          <w:szCs w:val="20"/>
        </w:rPr>
        <w:t>its</w:t>
      </w:r>
      <w:r w:rsidR="009D46D5">
        <w:rPr>
          <w:szCs w:val="20"/>
        </w:rPr>
        <w:t xml:space="preserve"> territor</w:t>
      </w:r>
      <w:r w:rsidR="00204F55">
        <w:rPr>
          <w:szCs w:val="20"/>
        </w:rPr>
        <w:t>y</w:t>
      </w:r>
      <w:r w:rsidR="009D46D5">
        <w:rPr>
          <w:szCs w:val="20"/>
        </w:rPr>
        <w:t xml:space="preserve"> </w:t>
      </w:r>
      <w:r w:rsidR="00062BB1">
        <w:rPr>
          <w:szCs w:val="20"/>
        </w:rPr>
        <w:t xml:space="preserve">removed </w:t>
      </w:r>
      <w:r w:rsidR="009D46D5">
        <w:rPr>
          <w:szCs w:val="20"/>
        </w:rPr>
        <w:t xml:space="preserve">from the service area of the </w:t>
      </w:r>
      <w:r w:rsidR="00E50B87">
        <w:rPr>
          <w:szCs w:val="20"/>
        </w:rPr>
        <w:t xml:space="preserve">satellite </w:t>
      </w:r>
      <w:r w:rsidR="00965A80">
        <w:rPr>
          <w:szCs w:val="20"/>
        </w:rPr>
        <w:t>system</w:t>
      </w:r>
      <w:r w:rsidR="009D46D5">
        <w:rPr>
          <w:szCs w:val="20"/>
        </w:rPr>
        <w:t>.</w:t>
      </w:r>
      <w:r w:rsidR="00DC79E6">
        <w:rPr>
          <w:szCs w:val="20"/>
        </w:rPr>
        <w:t xml:space="preserve"> </w:t>
      </w:r>
      <w:r w:rsidR="00BE35D0">
        <w:rPr>
          <w:szCs w:val="20"/>
        </w:rPr>
        <w:t>Therefore,</w:t>
      </w:r>
      <w:r w:rsidR="00DC79E6">
        <w:rPr>
          <w:szCs w:val="20"/>
        </w:rPr>
        <w:t xml:space="preserve"> </w:t>
      </w:r>
      <w:r w:rsidR="001F6252">
        <w:rPr>
          <w:szCs w:val="20"/>
        </w:rPr>
        <w:t xml:space="preserve">we consider that imposing our own </w:t>
      </w:r>
      <w:r w:rsidR="0022079A">
        <w:rPr>
          <w:szCs w:val="20"/>
        </w:rPr>
        <w:t>requirement to</w:t>
      </w:r>
      <w:r w:rsidR="00DC79E6">
        <w:rPr>
          <w:szCs w:val="20"/>
        </w:rPr>
        <w:t xml:space="preserve"> seek an approval </w:t>
      </w:r>
      <w:r w:rsidR="00DC79E6">
        <w:t xml:space="preserve">from a country over which territory </w:t>
      </w:r>
      <w:r w:rsidR="00DC79E6">
        <w:lastRenderedPageBreak/>
        <w:t xml:space="preserve">the </w:t>
      </w:r>
      <w:r w:rsidR="00F531B7">
        <w:t xml:space="preserve">applicant </w:t>
      </w:r>
      <w:r w:rsidR="00DC79E6">
        <w:t>intend</w:t>
      </w:r>
      <w:r w:rsidR="00F531B7">
        <w:t>s</w:t>
      </w:r>
      <w:r w:rsidR="00DC79E6">
        <w:t xml:space="preserve"> to use </w:t>
      </w:r>
      <w:r w:rsidR="00B60595">
        <w:t xml:space="preserve">a </w:t>
      </w:r>
      <w:r w:rsidR="00DC79E6">
        <w:t xml:space="preserve">planned band </w:t>
      </w:r>
      <w:r w:rsidR="009E0486">
        <w:t xml:space="preserve">creates unnecessary delays and </w:t>
      </w:r>
      <w:r w:rsidR="00BE35D0">
        <w:t>is</w:t>
      </w:r>
      <w:r w:rsidR="002436C1">
        <w:t xml:space="preserve"> </w:t>
      </w:r>
      <w:r w:rsidR="0022079A">
        <w:t>redundant</w:t>
      </w:r>
      <w:r w:rsidR="00B60595">
        <w:t xml:space="preserve">, as it duplicates </w:t>
      </w:r>
      <w:r w:rsidR="006206A0">
        <w:t xml:space="preserve">the </w:t>
      </w:r>
      <w:r w:rsidR="00B60595">
        <w:t xml:space="preserve">existing </w:t>
      </w:r>
      <w:r w:rsidR="009E0486">
        <w:t xml:space="preserve">ITU </w:t>
      </w:r>
      <w:r w:rsidR="006206A0">
        <w:t>process</w:t>
      </w:r>
      <w:r w:rsidR="0022079A">
        <w:t>.</w:t>
      </w:r>
    </w:p>
    <w:p w14:paraId="2FE8F16F" w14:textId="06207DA9" w:rsidR="005D2EFD" w:rsidRDefault="004E5CFD" w:rsidP="002E1F39">
      <w:pPr>
        <w:pStyle w:val="Heading2"/>
      </w:pPr>
      <w:bookmarkStart w:id="81" w:name="_Toc136440224"/>
      <w:bookmarkStart w:id="82" w:name="_Toc139371640"/>
      <w:bookmarkStart w:id="83" w:name="_Toc144213401"/>
      <w:r w:rsidRPr="004C1DB4">
        <w:t>Requirements for</w:t>
      </w:r>
      <w:r w:rsidR="001B4820">
        <w:t xml:space="preserve"> </w:t>
      </w:r>
      <w:r w:rsidR="00FF020B">
        <w:t>amateur satellite bands</w:t>
      </w:r>
      <w:bookmarkEnd w:id="81"/>
      <w:bookmarkEnd w:id="82"/>
      <w:bookmarkEnd w:id="83"/>
      <w:r w:rsidR="006E3DBC">
        <w:t xml:space="preserve"> </w:t>
      </w:r>
    </w:p>
    <w:p w14:paraId="5715C0D5" w14:textId="514C7FAB" w:rsidR="00376D4E" w:rsidRDefault="007362A7" w:rsidP="002E1F39">
      <w:pPr>
        <w:pStyle w:val="Paragraphbeforelist"/>
      </w:pPr>
      <w:r>
        <w:t>W</w:t>
      </w:r>
      <w:r w:rsidR="00436859">
        <w:t xml:space="preserve">e propose to introduce a </w:t>
      </w:r>
      <w:r w:rsidR="008F5512">
        <w:t xml:space="preserve">new criterion that clarifies our requirements regarding applications </w:t>
      </w:r>
      <w:r w:rsidR="002E1F39">
        <w:t>that use amateur satellite bands.</w:t>
      </w:r>
      <w:r w:rsidR="005F5979">
        <w:t xml:space="preserve"> </w:t>
      </w:r>
      <w:r w:rsidR="008A6C29">
        <w:t>This</w:t>
      </w:r>
      <w:r w:rsidR="005F5979">
        <w:t xml:space="preserve"> will require </w:t>
      </w:r>
      <w:r w:rsidR="00BA30A0">
        <w:t xml:space="preserve">a </w:t>
      </w:r>
      <w:r w:rsidR="005F5979">
        <w:t>letter of support from</w:t>
      </w:r>
      <w:r w:rsidR="00664445">
        <w:t xml:space="preserve"> the</w:t>
      </w:r>
      <w:r w:rsidR="005F5979">
        <w:t xml:space="preserve"> </w:t>
      </w:r>
      <w:r w:rsidR="005D2EFD">
        <w:t xml:space="preserve">Australian </w:t>
      </w:r>
      <w:r w:rsidR="005F5979">
        <w:t xml:space="preserve">amateur </w:t>
      </w:r>
      <w:r w:rsidR="005D2EFD">
        <w:t>community</w:t>
      </w:r>
      <w:r w:rsidR="00376D4E">
        <w:t xml:space="preserve"> and </w:t>
      </w:r>
      <w:r w:rsidR="004E1F78">
        <w:t xml:space="preserve">to undertake </w:t>
      </w:r>
      <w:r w:rsidR="00376D4E">
        <w:t xml:space="preserve">frequency coordination through </w:t>
      </w:r>
      <w:r w:rsidR="00664445">
        <w:t xml:space="preserve">the </w:t>
      </w:r>
      <w:r w:rsidR="00376D4E">
        <w:t>International Amateur Radio Union</w:t>
      </w:r>
      <w:r w:rsidR="008862B1">
        <w:t>.</w:t>
      </w:r>
    </w:p>
    <w:p w14:paraId="722E663D" w14:textId="13D37F7B" w:rsidR="00631611" w:rsidRDefault="00631611" w:rsidP="002E1F39">
      <w:pPr>
        <w:pStyle w:val="Paragraphbeforelist"/>
      </w:pPr>
      <w:r>
        <w:t xml:space="preserve">The new criterion </w:t>
      </w:r>
      <w:r w:rsidR="001716EE">
        <w:t xml:space="preserve">is </w:t>
      </w:r>
      <w:r w:rsidR="000B5735">
        <w:t xml:space="preserve">reflective of how we have assessed applications for </w:t>
      </w:r>
      <w:r w:rsidR="00930683">
        <w:t>amateur</w:t>
      </w:r>
      <w:r w:rsidR="000B5735">
        <w:t xml:space="preserve"> </w:t>
      </w:r>
      <w:r w:rsidR="00930683">
        <w:t xml:space="preserve">satellite </w:t>
      </w:r>
      <w:r w:rsidR="00664445">
        <w:t xml:space="preserve">filings </w:t>
      </w:r>
      <w:r w:rsidR="00930683">
        <w:t xml:space="preserve">and </w:t>
      </w:r>
      <w:r w:rsidR="00664445">
        <w:t xml:space="preserve">is </w:t>
      </w:r>
      <w:r w:rsidR="00930683">
        <w:t xml:space="preserve">included in our filing procedures to </w:t>
      </w:r>
      <w:r w:rsidR="00FB5E7B">
        <w:t>give visibility</w:t>
      </w:r>
      <w:r w:rsidR="00942799">
        <w:t xml:space="preserve"> </w:t>
      </w:r>
      <w:r w:rsidR="00FB5E7B">
        <w:t xml:space="preserve">of </w:t>
      </w:r>
      <w:r w:rsidR="00942799">
        <w:t>how such applications are treated.</w:t>
      </w:r>
    </w:p>
    <w:p w14:paraId="33BF35D9" w14:textId="276142E1" w:rsidR="00FA1495" w:rsidRDefault="00F35C52" w:rsidP="003B35B1">
      <w:pPr>
        <w:pStyle w:val="Heading1"/>
      </w:pPr>
      <w:bookmarkStart w:id="84" w:name="_Toc136440225"/>
      <w:bookmarkStart w:id="85" w:name="_Ref139364549"/>
      <w:bookmarkStart w:id="86" w:name="_Ref139364552"/>
      <w:bookmarkStart w:id="87" w:name="_Toc139371641"/>
      <w:bookmarkStart w:id="88" w:name="_Ref143244456"/>
      <w:bookmarkStart w:id="89" w:name="_Ref143244461"/>
      <w:bookmarkStart w:id="90" w:name="_Toc144213402"/>
      <w:r>
        <w:lastRenderedPageBreak/>
        <w:t>Revision</w:t>
      </w:r>
      <w:r w:rsidR="00C65CC4">
        <w:t>s</w:t>
      </w:r>
      <w:r>
        <w:t xml:space="preserve"> </w:t>
      </w:r>
      <w:r w:rsidR="00754D79">
        <w:t>to</w:t>
      </w:r>
      <w:r>
        <w:t xml:space="preserve"> ongoing </w:t>
      </w:r>
      <w:r w:rsidR="00572B5A" w:rsidRPr="00572B5A">
        <w:t>manag</w:t>
      </w:r>
      <w:r>
        <w:t>ement</w:t>
      </w:r>
      <w:r w:rsidR="00572B5A" w:rsidRPr="00572B5A">
        <w:t xml:space="preserve"> </w:t>
      </w:r>
      <w:r w:rsidR="00754D79">
        <w:t xml:space="preserve">of </w:t>
      </w:r>
      <w:r w:rsidR="00572B5A" w:rsidRPr="00572B5A">
        <w:t>satellite systems</w:t>
      </w:r>
      <w:bookmarkEnd w:id="84"/>
      <w:bookmarkEnd w:id="85"/>
      <w:bookmarkEnd w:id="86"/>
      <w:bookmarkEnd w:id="87"/>
      <w:bookmarkEnd w:id="88"/>
      <w:bookmarkEnd w:id="89"/>
      <w:bookmarkEnd w:id="90"/>
    </w:p>
    <w:p w14:paraId="7AEDF3B5" w14:textId="724F73A2" w:rsidR="006E287B" w:rsidRDefault="00D35A15" w:rsidP="006E287B">
      <w:pPr>
        <w:pStyle w:val="Paragraph"/>
      </w:pPr>
      <w:bookmarkStart w:id="91" w:name="_Toc306786406"/>
      <w:bookmarkStart w:id="92" w:name="_Toc111546531"/>
      <w:bookmarkStart w:id="93" w:name="_Toc114472696"/>
      <w:bookmarkStart w:id="94" w:name="_Toc118715724"/>
      <w:r>
        <w:t xml:space="preserve">Our proposed amendments </w:t>
      </w:r>
      <w:r w:rsidR="00371159">
        <w:t>to</w:t>
      </w:r>
      <w:r w:rsidR="00EA222A">
        <w:t xml:space="preserve"> </w:t>
      </w:r>
      <w:r w:rsidR="00F43CCB">
        <w:t xml:space="preserve">the </w:t>
      </w:r>
      <w:r w:rsidR="00EA222A">
        <w:t>procedures</w:t>
      </w:r>
      <w:r w:rsidR="00371159">
        <w:t xml:space="preserve"> </w:t>
      </w:r>
      <w:r w:rsidR="00EA222A">
        <w:t xml:space="preserve">for managing a satellite filing after we have approved an application </w:t>
      </w:r>
      <w:r w:rsidR="00371159">
        <w:t>are explained</w:t>
      </w:r>
      <w:r w:rsidRPr="00D35A15">
        <w:t xml:space="preserve"> below for your consideration and comment.</w:t>
      </w:r>
    </w:p>
    <w:p w14:paraId="10083631" w14:textId="0E8CDC11" w:rsidR="00663DFF" w:rsidRPr="00D2407D" w:rsidRDefault="004B2933" w:rsidP="00A460FD">
      <w:pPr>
        <w:pStyle w:val="Heading2"/>
      </w:pPr>
      <w:bookmarkStart w:id="95" w:name="_Ref138947016"/>
      <w:bookmarkStart w:id="96" w:name="_Ref138947021"/>
      <w:bookmarkStart w:id="97" w:name="_Toc139371644"/>
      <w:bookmarkStart w:id="98" w:name="_Toc144213403"/>
      <w:bookmarkEnd w:id="91"/>
      <w:bookmarkEnd w:id="92"/>
      <w:bookmarkEnd w:id="93"/>
      <w:bookmarkEnd w:id="94"/>
      <w:r>
        <w:t>ITU satellite coordination process</w:t>
      </w:r>
      <w:bookmarkEnd w:id="95"/>
      <w:bookmarkEnd w:id="96"/>
      <w:bookmarkEnd w:id="97"/>
      <w:bookmarkEnd w:id="98"/>
    </w:p>
    <w:p w14:paraId="5641743C" w14:textId="2843EF32" w:rsidR="00A460FD" w:rsidRDefault="00343F71" w:rsidP="00F8416F">
      <w:pPr>
        <w:pStyle w:val="Paragraph"/>
      </w:pPr>
      <w:r>
        <w:t>As part of the ITU satellite coordination process, t</w:t>
      </w:r>
      <w:r w:rsidR="00A460FD" w:rsidRPr="00AC1CDB">
        <w:t>he ITU publishes details of new and modified satellite systems in its fortnightly International Frequency Information Circular (</w:t>
      </w:r>
      <w:hyperlink r:id="rId35" w:history="1">
        <w:r w:rsidR="00A460FD" w:rsidRPr="00F3266E">
          <w:rPr>
            <w:rStyle w:val="Hyperlink"/>
          </w:rPr>
          <w:t>IFIC</w:t>
        </w:r>
      </w:hyperlink>
      <w:r w:rsidR="00A460FD">
        <w:t xml:space="preserve">). The purpose of the IFIC is to </w:t>
      </w:r>
      <w:r w:rsidR="00A460FD" w:rsidRPr="00D2407D">
        <w:t>provide national administrations with information about new and modified satellite systems so they can determine whether these systems might cause interference or problems to satellite systems previously filed with the ITU.</w:t>
      </w:r>
    </w:p>
    <w:p w14:paraId="5BAFFB31" w14:textId="28D38927" w:rsidR="006C7165" w:rsidRDefault="004C3B92" w:rsidP="00F8416F">
      <w:pPr>
        <w:pStyle w:val="Paragraph"/>
      </w:pPr>
      <w:r w:rsidRPr="00D2407D">
        <w:t xml:space="preserve">Satellite operators </w:t>
      </w:r>
      <w:r w:rsidR="00D239C0" w:rsidRPr="00D2407D">
        <w:t>with an existing</w:t>
      </w:r>
      <w:r w:rsidRPr="00D2407D">
        <w:t xml:space="preserve"> satellite filing through the ACMA are required to participate in this process</w:t>
      </w:r>
      <w:r w:rsidR="00D239C0" w:rsidRPr="00D2407D">
        <w:t xml:space="preserve"> by providing the ACMA with written comments on each IFIC</w:t>
      </w:r>
      <w:r w:rsidRPr="00D2407D">
        <w:t xml:space="preserve">. </w:t>
      </w:r>
      <w:r w:rsidR="00321AD7">
        <w:t xml:space="preserve">  </w:t>
      </w:r>
    </w:p>
    <w:p w14:paraId="1AECB787" w14:textId="270CCA6B" w:rsidR="00EC2795" w:rsidRDefault="006C7165" w:rsidP="00F8416F">
      <w:pPr>
        <w:pStyle w:val="Paragraph"/>
      </w:pPr>
      <w:r>
        <w:t>I</w:t>
      </w:r>
      <w:r w:rsidR="00EC2795" w:rsidRPr="00EC2795">
        <w:t xml:space="preserve">n frequency bands that are not subject to coordination procedures under Section II of Article 9 of the </w:t>
      </w:r>
      <w:r w:rsidR="002A7980">
        <w:t>Radio Regulations</w:t>
      </w:r>
      <w:r w:rsidR="00EC2795" w:rsidRPr="00EC2795">
        <w:t xml:space="preserve">, and which are often used by </w:t>
      </w:r>
      <w:r w:rsidR="00CF62EF">
        <w:t>short-duration mission</w:t>
      </w:r>
      <w:r w:rsidR="00EC2795" w:rsidRPr="00EC2795">
        <w:t xml:space="preserve">s, no response is required by the ITU process and </w:t>
      </w:r>
      <w:r w:rsidR="00B165EC">
        <w:t xml:space="preserve">satellite </w:t>
      </w:r>
      <w:r w:rsidR="00EC2795" w:rsidRPr="00EC2795">
        <w:t xml:space="preserve">operators often have no objections to </w:t>
      </w:r>
      <w:r w:rsidR="00D603E4">
        <w:t>such filings published in the IFIC</w:t>
      </w:r>
      <w:r w:rsidR="00EC2795" w:rsidRPr="00EC2795">
        <w:t>. In this circumstance</w:t>
      </w:r>
      <w:r w:rsidR="00067A3C">
        <w:t>,</w:t>
      </w:r>
      <w:r w:rsidR="00EC2795" w:rsidRPr="00EC2795">
        <w:t xml:space="preserve"> it is considered a valid coordination strategy to not initiate objections to the new filings in these bands</w:t>
      </w:r>
      <w:r w:rsidR="00067A3C">
        <w:t>,</w:t>
      </w:r>
      <w:r w:rsidR="00EC2795" w:rsidRPr="00EC2795">
        <w:t xml:space="preserve"> as coexistence is much more likely when compared with bands which are subject to the more complex ITU coordination process.</w:t>
      </w:r>
    </w:p>
    <w:p w14:paraId="4AD22A0C" w14:textId="2EC969E5" w:rsidR="00707D5A" w:rsidRPr="00D2407D" w:rsidRDefault="00AD1E16" w:rsidP="00F8416F">
      <w:pPr>
        <w:pStyle w:val="Paragraph"/>
      </w:pPr>
      <w:r w:rsidRPr="00AD1E16">
        <w:t xml:space="preserve">Since participation in the IFIC process attracts cost recovery charges, it is proposed that </w:t>
      </w:r>
      <w:r w:rsidR="00AC0E18">
        <w:t>providing</w:t>
      </w:r>
      <w:r w:rsidRPr="00AD1E16">
        <w:t xml:space="preserve"> written comments on satellite filing</w:t>
      </w:r>
      <w:r w:rsidR="009430DD">
        <w:t>s</w:t>
      </w:r>
      <w:r w:rsidRPr="00AD1E16">
        <w:t xml:space="preserve"> in bands not subject to coordination procedures </w:t>
      </w:r>
      <w:r w:rsidR="00767714">
        <w:t>under</w:t>
      </w:r>
      <w:r w:rsidRPr="00AD1E16">
        <w:t xml:space="preserve"> </w:t>
      </w:r>
      <w:r w:rsidR="00325A6A">
        <w:t xml:space="preserve">ITU RR </w:t>
      </w:r>
      <w:r w:rsidRPr="00AD1E16">
        <w:t>Section II of Article 9</w:t>
      </w:r>
      <w:r w:rsidR="00156EE5">
        <w:t xml:space="preserve"> will be optional</w:t>
      </w:r>
      <w:r w:rsidRPr="00AD1E16">
        <w:t>. However,</w:t>
      </w:r>
      <w:r w:rsidR="00551342">
        <w:t xml:space="preserve"> Australian</w:t>
      </w:r>
      <w:r w:rsidRPr="00AD1E16">
        <w:t xml:space="preserve"> </w:t>
      </w:r>
      <w:r w:rsidR="004B3418">
        <w:t xml:space="preserve">satellite </w:t>
      </w:r>
      <w:r w:rsidRPr="00AD1E16">
        <w:t xml:space="preserve">operators will be required to respond to the comments received from foreign administrations </w:t>
      </w:r>
      <w:r w:rsidR="00033757">
        <w:t>regarding</w:t>
      </w:r>
      <w:r w:rsidRPr="00AD1E16">
        <w:t xml:space="preserve"> publication of its own satellite system</w:t>
      </w:r>
      <w:r>
        <w:t>.</w:t>
      </w:r>
      <w:r w:rsidR="006C7165">
        <w:t xml:space="preserve"> </w:t>
      </w:r>
      <w:r w:rsidR="008763AB" w:rsidRPr="00D2407D">
        <w:t xml:space="preserve">This </w:t>
      </w:r>
      <w:r w:rsidR="0096735B" w:rsidRPr="00D2407D">
        <w:t>would</w:t>
      </w:r>
      <w:r w:rsidR="008763AB" w:rsidRPr="00D2407D">
        <w:t xml:space="preserve"> mean that the operator accepts the risk of interference from </w:t>
      </w:r>
      <w:r w:rsidR="004B0B37">
        <w:t>a</w:t>
      </w:r>
      <w:r w:rsidR="004B0B37" w:rsidRPr="00D2407D">
        <w:t xml:space="preserve"> </w:t>
      </w:r>
      <w:r w:rsidR="008763AB" w:rsidRPr="00D2407D">
        <w:t xml:space="preserve">newly published foreign satellite system and will not cause interference to </w:t>
      </w:r>
      <w:r w:rsidR="004B0B37">
        <w:t>those</w:t>
      </w:r>
      <w:r w:rsidR="004B0B37" w:rsidRPr="00D2407D">
        <w:t xml:space="preserve"> </w:t>
      </w:r>
      <w:r w:rsidR="008763AB" w:rsidRPr="00D2407D">
        <w:t xml:space="preserve">systems. </w:t>
      </w:r>
    </w:p>
    <w:p w14:paraId="2DD1104F" w14:textId="43BA782C" w:rsidR="004C3B92" w:rsidRPr="00D2407D" w:rsidRDefault="00C22D35" w:rsidP="00F8416F">
      <w:pPr>
        <w:pStyle w:val="Paragraph"/>
      </w:pPr>
      <w:r w:rsidRPr="00D2407D">
        <w:t>N</w:t>
      </w:r>
      <w:r w:rsidR="0096735B" w:rsidRPr="00D2407D">
        <w:t>o change</w:t>
      </w:r>
      <w:r w:rsidRPr="00D2407D">
        <w:t xml:space="preserve"> is</w:t>
      </w:r>
      <w:r w:rsidR="0096735B" w:rsidRPr="00D2407D">
        <w:t xml:space="preserve"> proposed to the requirement for a</w:t>
      </w:r>
      <w:r w:rsidR="00C458C1" w:rsidRPr="00D2407D">
        <w:t xml:space="preserve">ll </w:t>
      </w:r>
      <w:r w:rsidR="007B55A1">
        <w:t>Australian-filed</w:t>
      </w:r>
      <w:r w:rsidR="007B55A1" w:rsidRPr="00D2407D">
        <w:t xml:space="preserve"> </w:t>
      </w:r>
      <w:r w:rsidR="00C458C1" w:rsidRPr="00D2407D">
        <w:t xml:space="preserve">satellite </w:t>
      </w:r>
      <w:r w:rsidR="008763AB" w:rsidRPr="00D2407D">
        <w:t>operator</w:t>
      </w:r>
      <w:r w:rsidR="00C458C1" w:rsidRPr="00D2407D">
        <w:t xml:space="preserve">s </w:t>
      </w:r>
      <w:r w:rsidR="0096735B" w:rsidRPr="00D2407D">
        <w:t xml:space="preserve">to </w:t>
      </w:r>
      <w:r w:rsidR="008763AB" w:rsidRPr="00D2407D">
        <w:t xml:space="preserve">respond to comments received from foreign administrations </w:t>
      </w:r>
      <w:r w:rsidR="00DE6F70" w:rsidRPr="00D2407D">
        <w:t xml:space="preserve">regarding their own </w:t>
      </w:r>
      <w:r w:rsidR="008763AB" w:rsidRPr="00D2407D">
        <w:t>satellite system.</w:t>
      </w:r>
    </w:p>
    <w:p w14:paraId="4F3A5B48" w14:textId="0C60C873" w:rsidR="00FC3D2F" w:rsidRPr="00D2407D" w:rsidRDefault="00CB024E" w:rsidP="00350BB3">
      <w:pPr>
        <w:pStyle w:val="Heading2"/>
      </w:pPr>
      <w:bookmarkStart w:id="99" w:name="_Toc139371645"/>
      <w:bookmarkStart w:id="100" w:name="_Toc144213404"/>
      <w:r>
        <w:t xml:space="preserve">Information </w:t>
      </w:r>
      <w:r w:rsidR="000B7F69">
        <w:t xml:space="preserve">on </w:t>
      </w:r>
      <w:r>
        <w:t xml:space="preserve">IFIC </w:t>
      </w:r>
      <w:r w:rsidR="000B7F69">
        <w:t>c</w:t>
      </w:r>
      <w:r w:rsidR="00FC3D2F" w:rsidRPr="00D2407D">
        <w:t>ost recovery charges</w:t>
      </w:r>
      <w:bookmarkEnd w:id="99"/>
      <w:bookmarkEnd w:id="100"/>
    </w:p>
    <w:p w14:paraId="17FACD32" w14:textId="61A29044" w:rsidR="00FC3D2F" w:rsidRPr="00D2407D" w:rsidRDefault="00A717D7" w:rsidP="00AE59D4">
      <w:pPr>
        <w:pStyle w:val="Paragraph"/>
      </w:pPr>
      <w:r>
        <w:t>To raise awar</w:t>
      </w:r>
      <w:r w:rsidR="00A1416F">
        <w:t xml:space="preserve">eness of ACMA </w:t>
      </w:r>
      <w:r w:rsidR="0011617C">
        <w:t xml:space="preserve">cost recovery </w:t>
      </w:r>
      <w:r w:rsidR="00BA41D0">
        <w:t xml:space="preserve">processes </w:t>
      </w:r>
      <w:r w:rsidR="00AC361D">
        <w:t>for</w:t>
      </w:r>
      <w:r w:rsidR="00A2766E">
        <w:t xml:space="preserve"> </w:t>
      </w:r>
      <w:r w:rsidR="00BA41D0">
        <w:t>IF</w:t>
      </w:r>
      <w:r w:rsidR="00AC361D">
        <w:t xml:space="preserve">IC </w:t>
      </w:r>
      <w:r w:rsidR="00101033">
        <w:t>work</w:t>
      </w:r>
      <w:r w:rsidR="00437DE4">
        <w:t>,</w:t>
      </w:r>
      <w:r w:rsidR="00101033">
        <w:t xml:space="preserve"> we</w:t>
      </w:r>
      <w:r w:rsidR="00FC55F3" w:rsidRPr="00D2407D">
        <w:t xml:space="preserve"> </w:t>
      </w:r>
      <w:r w:rsidR="008362BE">
        <w:t xml:space="preserve">have </w:t>
      </w:r>
      <w:r w:rsidR="00A91BB6">
        <w:t>include</w:t>
      </w:r>
      <w:r w:rsidR="00AA3355">
        <w:t xml:space="preserve">d information </w:t>
      </w:r>
      <w:r w:rsidR="005F69AB" w:rsidRPr="00D2407D">
        <w:t xml:space="preserve">explaining the ACMA’s </w:t>
      </w:r>
      <w:r w:rsidR="00AF4A7F">
        <w:t xml:space="preserve">IFIC </w:t>
      </w:r>
      <w:r w:rsidR="005F69AB" w:rsidRPr="00D2407D">
        <w:t>cost recovery charges</w:t>
      </w:r>
      <w:r w:rsidR="00B12E2C" w:rsidRPr="00D2407D">
        <w:t>.</w:t>
      </w:r>
      <w:r w:rsidR="00B26154" w:rsidRPr="00D2407D">
        <w:t xml:space="preserve"> This</w:t>
      </w:r>
      <w:r w:rsidR="005440DB" w:rsidRPr="00D2407D">
        <w:t xml:space="preserve"> is for information only</w:t>
      </w:r>
      <w:r w:rsidR="00493E49" w:rsidRPr="00D2407D">
        <w:t xml:space="preserve"> – </w:t>
      </w:r>
      <w:r w:rsidR="00CB024E">
        <w:t xml:space="preserve">there are no </w:t>
      </w:r>
      <w:r w:rsidR="009230F6" w:rsidRPr="00D2407D">
        <w:t>changes to existing cost recovery arrangements.</w:t>
      </w:r>
    </w:p>
    <w:p w14:paraId="77D8AB8A" w14:textId="2E7A9A41" w:rsidR="00661F40" w:rsidRDefault="00D56BE8" w:rsidP="009213B2">
      <w:pPr>
        <w:pStyle w:val="Heading2"/>
      </w:pPr>
      <w:bookmarkStart w:id="101" w:name="_Toc136440228"/>
      <w:bookmarkStart w:id="102" w:name="_Toc139371646"/>
      <w:bookmarkStart w:id="103" w:name="_Toc144213405"/>
      <w:r>
        <w:t>Management of satellite systems through m</w:t>
      </w:r>
      <w:r w:rsidR="00661F40">
        <w:t>ilestone</w:t>
      </w:r>
      <w:r>
        <w:t>s</w:t>
      </w:r>
      <w:bookmarkEnd w:id="101"/>
      <w:bookmarkEnd w:id="102"/>
      <w:bookmarkEnd w:id="103"/>
    </w:p>
    <w:p w14:paraId="4E39BF8C" w14:textId="1A59CAF6" w:rsidR="00661F40" w:rsidRDefault="00AD74FF" w:rsidP="002D621F">
      <w:pPr>
        <w:pStyle w:val="Paragraph"/>
      </w:pPr>
      <w:r>
        <w:t xml:space="preserve">We propose to </w:t>
      </w:r>
      <w:r w:rsidR="00573AC2">
        <w:t>modify</w:t>
      </w:r>
      <w:r>
        <w:t xml:space="preserve"> the section of the </w:t>
      </w:r>
      <w:r w:rsidR="00B664C5">
        <w:t xml:space="preserve">filing </w:t>
      </w:r>
      <w:r w:rsidR="00B25204">
        <w:t>procedures</w:t>
      </w:r>
      <w:r>
        <w:t xml:space="preserve"> titled </w:t>
      </w:r>
      <w:r>
        <w:rPr>
          <w:i/>
          <w:iCs/>
        </w:rPr>
        <w:t xml:space="preserve">Ongoing management of satellite systems through milestones. </w:t>
      </w:r>
      <w:r w:rsidR="000A46BD">
        <w:t xml:space="preserve">The purpose of this section </w:t>
      </w:r>
      <w:r w:rsidR="00482F86">
        <w:t>is</w:t>
      </w:r>
      <w:r w:rsidR="000A46BD">
        <w:t xml:space="preserve"> to </w:t>
      </w:r>
      <w:r w:rsidR="00D01E60">
        <w:t xml:space="preserve">ensure that satellite operators </w:t>
      </w:r>
      <w:r w:rsidR="00482F86">
        <w:t xml:space="preserve">make progress towards deployment of a satellite system </w:t>
      </w:r>
      <w:r w:rsidR="009B4BAC">
        <w:t xml:space="preserve">following submission of the filing. </w:t>
      </w:r>
      <w:r w:rsidR="001A6D10">
        <w:t>The aim of this is to avoid the problem assoc</w:t>
      </w:r>
      <w:r w:rsidR="0048358D">
        <w:t xml:space="preserve">iated with the filing of satellite systems that never result in the deployment of a satellite system </w:t>
      </w:r>
      <w:r w:rsidR="00CD0365">
        <w:t xml:space="preserve">and </w:t>
      </w:r>
      <w:r w:rsidR="00CD0365">
        <w:lastRenderedPageBreak/>
        <w:t xml:space="preserve">the provision of services – this is known as the ‘paper satellite’ problem </w:t>
      </w:r>
      <w:r w:rsidR="00273329">
        <w:t>(</w:t>
      </w:r>
      <w:r w:rsidR="00CD0365">
        <w:t>because the system only exists on paper if it is never deployed</w:t>
      </w:r>
      <w:r w:rsidR="00273329">
        <w:t>)</w:t>
      </w:r>
      <w:r w:rsidR="00CD0365">
        <w:t xml:space="preserve">. </w:t>
      </w:r>
    </w:p>
    <w:p w14:paraId="14DAA6B4" w14:textId="77777777" w:rsidR="00A5732B" w:rsidRDefault="00775705" w:rsidP="002D621F">
      <w:pPr>
        <w:pStyle w:val="Paragraph"/>
      </w:pPr>
      <w:r>
        <w:t xml:space="preserve">While we strongly discourage the creation of paper satellites (intentional or </w:t>
      </w:r>
      <w:r w:rsidR="0047489F">
        <w:t>otherwise</w:t>
      </w:r>
      <w:r>
        <w:t xml:space="preserve">), </w:t>
      </w:r>
      <w:r w:rsidR="00F763B2">
        <w:t>our</w:t>
      </w:r>
      <w:r w:rsidR="007553A4">
        <w:t xml:space="preserve"> experience </w:t>
      </w:r>
      <w:r w:rsidR="00DB3CEC">
        <w:t>in</w:t>
      </w:r>
      <w:r w:rsidR="00A042C3">
        <w:t xml:space="preserve"> requiring </w:t>
      </w:r>
      <w:r w:rsidR="00DE2961">
        <w:t xml:space="preserve">rigorous </w:t>
      </w:r>
      <w:r w:rsidR="008D21A1">
        <w:t xml:space="preserve">compliance </w:t>
      </w:r>
      <w:r w:rsidR="00A042C3">
        <w:t xml:space="preserve">to the milestones is </w:t>
      </w:r>
      <w:r w:rsidR="008D21A1">
        <w:t>problematic</w:t>
      </w:r>
      <w:r w:rsidR="00A042C3">
        <w:t xml:space="preserve"> </w:t>
      </w:r>
      <w:r w:rsidR="008D21A1">
        <w:t xml:space="preserve">for </w:t>
      </w:r>
      <w:r w:rsidR="0053760D">
        <w:t xml:space="preserve">both the </w:t>
      </w:r>
      <w:r w:rsidR="008D21A1">
        <w:t xml:space="preserve">ACMA </w:t>
      </w:r>
      <w:r w:rsidR="0053760D">
        <w:t xml:space="preserve">and </w:t>
      </w:r>
      <w:r w:rsidR="002170E5">
        <w:t xml:space="preserve">satellite </w:t>
      </w:r>
      <w:r w:rsidR="0053760D">
        <w:t>operators</w:t>
      </w:r>
      <w:r w:rsidR="00DE2961">
        <w:t xml:space="preserve">. </w:t>
      </w:r>
    </w:p>
    <w:p w14:paraId="2DF334E4" w14:textId="1B89E9CA" w:rsidR="00173310" w:rsidRPr="00AD74FF" w:rsidRDefault="00FE24A7" w:rsidP="002D621F">
      <w:pPr>
        <w:pStyle w:val="Paragraph"/>
      </w:pPr>
      <w:r>
        <w:t xml:space="preserve">In </w:t>
      </w:r>
      <w:r w:rsidR="00855DB9">
        <w:t>the period since the milestones were</w:t>
      </w:r>
      <w:r w:rsidR="00813009">
        <w:t xml:space="preserve"> </w:t>
      </w:r>
      <w:r w:rsidR="00B84B18">
        <w:t>introduced</w:t>
      </w:r>
      <w:r w:rsidR="00855DB9">
        <w:t>,</w:t>
      </w:r>
      <w:r w:rsidR="00B84B18">
        <w:t xml:space="preserve"> w</w:t>
      </w:r>
      <w:r w:rsidR="00DE2961">
        <w:t xml:space="preserve">e have not </w:t>
      </w:r>
      <w:r w:rsidR="00813009">
        <w:t xml:space="preserve">seen a need to </w:t>
      </w:r>
      <w:r w:rsidR="00A24654">
        <w:t xml:space="preserve">ensure compliance with </w:t>
      </w:r>
      <w:r w:rsidR="00B70879">
        <w:t>them</w:t>
      </w:r>
      <w:r w:rsidR="00A24654">
        <w:t>.</w:t>
      </w:r>
      <w:r w:rsidR="007553A4">
        <w:t xml:space="preserve"> </w:t>
      </w:r>
      <w:r w:rsidR="00DA669E">
        <w:t>We propose to</w:t>
      </w:r>
      <w:r w:rsidR="00DA669E">
        <w:rPr>
          <w:i/>
          <w:iCs/>
        </w:rPr>
        <w:t xml:space="preserve"> </w:t>
      </w:r>
      <w:r w:rsidR="00DA669E">
        <w:t xml:space="preserve">remove the </w:t>
      </w:r>
      <w:r w:rsidR="00C22FC3" w:rsidRPr="00F74CE7">
        <w:t>requirement to meet the milestones</w:t>
      </w:r>
      <w:r w:rsidR="00DA669E">
        <w:t xml:space="preserve"> and</w:t>
      </w:r>
      <w:r w:rsidR="001201DD">
        <w:t xml:space="preserve"> instead</w:t>
      </w:r>
      <w:r w:rsidR="00DA669E">
        <w:t xml:space="preserve"> </w:t>
      </w:r>
      <w:r w:rsidR="00A11BF3">
        <w:t xml:space="preserve">publish </w:t>
      </w:r>
      <w:r w:rsidR="002A75FF">
        <w:t>them</w:t>
      </w:r>
      <w:r w:rsidR="00A11BF3">
        <w:t xml:space="preserve"> separately as a guide for satellite operators to meet the ITU requirements for bringing a satellite system into use.</w:t>
      </w:r>
      <w:r w:rsidR="00F2239F">
        <w:rPr>
          <w:rStyle w:val="FootnoteReference"/>
        </w:rPr>
        <w:footnoteReference w:id="20"/>
      </w:r>
    </w:p>
    <w:p w14:paraId="3D4EDEF9" w14:textId="77777777" w:rsidR="00680BE5" w:rsidRDefault="00680BE5" w:rsidP="002D621F">
      <w:pPr>
        <w:pStyle w:val="Paragraph"/>
      </w:pPr>
    </w:p>
    <w:p w14:paraId="26A97664" w14:textId="72B4EE78" w:rsidR="00680BE5" w:rsidRDefault="00706557" w:rsidP="00680BE5">
      <w:pPr>
        <w:pStyle w:val="Heading1"/>
      </w:pPr>
      <w:bookmarkStart w:id="104" w:name="_Ref138926184"/>
      <w:bookmarkStart w:id="105" w:name="_Ref138926187"/>
      <w:bookmarkStart w:id="106" w:name="_Ref139364584"/>
      <w:bookmarkStart w:id="107" w:name="_Ref139364589"/>
      <w:bookmarkStart w:id="108" w:name="_Toc139371647"/>
      <w:bookmarkStart w:id="109" w:name="_Toc144213406"/>
      <w:r>
        <w:lastRenderedPageBreak/>
        <w:t>C</w:t>
      </w:r>
      <w:r w:rsidR="00913ED0">
        <w:t xml:space="preserve">hange in </w:t>
      </w:r>
      <w:r w:rsidR="00680BE5">
        <w:t>ownership</w:t>
      </w:r>
      <w:bookmarkEnd w:id="104"/>
      <w:bookmarkEnd w:id="105"/>
      <w:bookmarkEnd w:id="106"/>
      <w:bookmarkEnd w:id="107"/>
      <w:bookmarkEnd w:id="108"/>
      <w:bookmarkEnd w:id="109"/>
    </w:p>
    <w:p w14:paraId="5B071802" w14:textId="01FD18F8" w:rsidR="00C26235" w:rsidRDefault="00BA145A" w:rsidP="009D1BD2">
      <w:pPr>
        <w:pStyle w:val="Paragraph"/>
      </w:pPr>
      <w:bookmarkStart w:id="110" w:name="_Toc136440229"/>
      <w:bookmarkStart w:id="111" w:name="_Toc139371648"/>
      <w:r>
        <w:t>T</w:t>
      </w:r>
      <w:r w:rsidR="00CE37C9">
        <w:t xml:space="preserve">he </w:t>
      </w:r>
      <w:r w:rsidR="008A6495">
        <w:t xml:space="preserve">current filing procedures </w:t>
      </w:r>
      <w:r>
        <w:t xml:space="preserve">for satellite filing transfer requests </w:t>
      </w:r>
      <w:r w:rsidR="003633D8">
        <w:t>require</w:t>
      </w:r>
      <w:r>
        <w:t>s</w:t>
      </w:r>
      <w:r w:rsidR="00CE37C9">
        <w:t xml:space="preserve"> a</w:t>
      </w:r>
      <w:r w:rsidR="00251E48">
        <w:t xml:space="preserve">n </w:t>
      </w:r>
      <w:r w:rsidR="006721BC">
        <w:t xml:space="preserve">assessment </w:t>
      </w:r>
      <w:r w:rsidR="00CE37C9" w:rsidRPr="00F44667">
        <w:t>against criteria</w:t>
      </w:r>
      <w:r w:rsidR="00173B33">
        <w:t>. T</w:t>
      </w:r>
      <w:r w:rsidR="00B205E4">
        <w:t>here is</w:t>
      </w:r>
      <w:r w:rsidR="00B432FA">
        <w:t xml:space="preserve"> currently</w:t>
      </w:r>
      <w:r w:rsidR="00B205E4">
        <w:t xml:space="preserve"> no such requirement </w:t>
      </w:r>
      <w:r w:rsidR="002A7980">
        <w:t>for</w:t>
      </w:r>
      <w:r w:rsidR="00D3347F">
        <w:t xml:space="preserve"> </w:t>
      </w:r>
      <w:r w:rsidR="0073085D">
        <w:t xml:space="preserve">other scenarios that </w:t>
      </w:r>
      <w:r w:rsidR="0066787B">
        <w:t xml:space="preserve">result in change </w:t>
      </w:r>
      <w:r w:rsidR="008A761F">
        <w:t>of ownership</w:t>
      </w:r>
      <w:r w:rsidR="008C6BBF">
        <w:t xml:space="preserve"> (</w:t>
      </w:r>
      <w:r w:rsidR="00B205E4">
        <w:t>for example</w:t>
      </w:r>
      <w:r w:rsidR="009F71B1">
        <w:t>,</w:t>
      </w:r>
      <w:r w:rsidR="009F71B1" w:rsidRPr="0019266F">
        <w:t xml:space="preserve"> when the business is sold or transferred to another entity</w:t>
      </w:r>
      <w:r w:rsidR="00B205E4">
        <w:t>).</w:t>
      </w:r>
    </w:p>
    <w:p w14:paraId="549FF558" w14:textId="2E4E5258" w:rsidR="00CF24D1" w:rsidRDefault="00865223" w:rsidP="009D1BD2">
      <w:r>
        <w:t xml:space="preserve">To ensure a consistent approach and </w:t>
      </w:r>
      <w:r w:rsidR="00644B9E">
        <w:t xml:space="preserve">provide an </w:t>
      </w:r>
      <w:r w:rsidR="001653C4">
        <w:t xml:space="preserve">opportunity </w:t>
      </w:r>
      <w:r w:rsidR="00E96442">
        <w:t xml:space="preserve">for the ACMA to assess </w:t>
      </w:r>
      <w:r w:rsidRPr="000F1D9F">
        <w:t>whether it is in Australia’s interest to support the change in right of access to the filing</w:t>
      </w:r>
      <w:r w:rsidR="002F29C3">
        <w:t>,</w:t>
      </w:r>
      <w:r w:rsidR="00AC29F4">
        <w:t xml:space="preserve"> </w:t>
      </w:r>
      <w:r w:rsidR="00797269">
        <w:t>w</w:t>
      </w:r>
      <w:bookmarkEnd w:id="110"/>
      <w:bookmarkEnd w:id="111"/>
      <w:r w:rsidR="00CF24D1">
        <w:t xml:space="preserve">e propose to introduce a new </w:t>
      </w:r>
      <w:r w:rsidR="004D1666">
        <w:t xml:space="preserve">requirement </w:t>
      </w:r>
      <w:r w:rsidR="00A61747">
        <w:t>that describe</w:t>
      </w:r>
      <w:r w:rsidR="00D343BE">
        <w:t>s</w:t>
      </w:r>
      <w:r w:rsidR="00A61747">
        <w:t xml:space="preserve"> </w:t>
      </w:r>
      <w:r w:rsidR="005A711C">
        <w:t>a</w:t>
      </w:r>
      <w:r w:rsidR="00D343BE">
        <w:t xml:space="preserve"> satellite</w:t>
      </w:r>
      <w:r w:rsidR="005A711C">
        <w:t xml:space="preserve"> </w:t>
      </w:r>
      <w:r w:rsidR="00A61747">
        <w:t>operator</w:t>
      </w:r>
      <w:r w:rsidR="00FC02EA">
        <w:t>’s</w:t>
      </w:r>
      <w:r w:rsidR="00A61747">
        <w:t xml:space="preserve"> obligations</w:t>
      </w:r>
      <w:r w:rsidR="00CF24D1">
        <w:t xml:space="preserve"> </w:t>
      </w:r>
      <w:r w:rsidR="004D1666">
        <w:t>w</w:t>
      </w:r>
      <w:r w:rsidR="008D2C3A" w:rsidRPr="0019266F">
        <w:t xml:space="preserve">hen </w:t>
      </w:r>
      <w:r w:rsidR="008D2C3A">
        <w:t xml:space="preserve">access to the filing </w:t>
      </w:r>
      <w:r w:rsidR="008D2C3A" w:rsidRPr="0019266F">
        <w:t>change</w:t>
      </w:r>
      <w:r w:rsidR="008D2C3A">
        <w:t>s</w:t>
      </w:r>
      <w:r w:rsidR="008209A3">
        <w:t xml:space="preserve">. These requirements </w:t>
      </w:r>
      <w:r w:rsidR="006B78D2">
        <w:t>will apply</w:t>
      </w:r>
      <w:r w:rsidR="008D2C3A" w:rsidRPr="0019266F">
        <w:t xml:space="preserve"> when the business is sold or transferred to another entity</w:t>
      </w:r>
      <w:r w:rsidR="001C66B7">
        <w:t xml:space="preserve"> and </w:t>
      </w:r>
      <w:r w:rsidR="00017B07" w:rsidRPr="00017B07">
        <w:t xml:space="preserve">will </w:t>
      </w:r>
      <w:r w:rsidR="00205358">
        <w:t>appl</w:t>
      </w:r>
      <w:r w:rsidR="00910958">
        <w:t>y</w:t>
      </w:r>
      <w:r w:rsidR="00205358">
        <w:t xml:space="preserve"> in scenarios when there are </w:t>
      </w:r>
      <w:r w:rsidR="00017B07" w:rsidRPr="00017B07">
        <w:t>changes to the parent entity if the satellite operator is a subsidiary of or controlled by another entity</w:t>
      </w:r>
      <w:r w:rsidR="00017B07">
        <w:t>.</w:t>
      </w:r>
    </w:p>
    <w:p w14:paraId="251EFC7F" w14:textId="3687A3FE" w:rsidR="00CF24D1" w:rsidRDefault="00CF24D1" w:rsidP="00CF24D1">
      <w:r>
        <w:t xml:space="preserve">The purpose of this </w:t>
      </w:r>
      <w:r w:rsidR="00A85751">
        <w:t xml:space="preserve">requirement </w:t>
      </w:r>
      <w:r>
        <w:t xml:space="preserve">is to ensure that the new </w:t>
      </w:r>
      <w:r w:rsidR="00017B07">
        <w:t xml:space="preserve">operator </w:t>
      </w:r>
      <w:r w:rsidRPr="00897D13">
        <w:t xml:space="preserve">qualifies </w:t>
      </w:r>
      <w:r w:rsidR="00AA1D39" w:rsidRPr="00AA1D39">
        <w:t xml:space="preserve">or that the parent entity continues to qualify </w:t>
      </w:r>
      <w:r w:rsidRPr="00897D13">
        <w:t xml:space="preserve">for the ACMA to manage the satellite filing on its behalf. </w:t>
      </w:r>
    </w:p>
    <w:p w14:paraId="79AE828D" w14:textId="21F67517" w:rsidR="00F6422F" w:rsidRPr="00897D13" w:rsidRDefault="00A85751" w:rsidP="00F6422F">
      <w:r>
        <w:t>To date</w:t>
      </w:r>
      <w:r w:rsidR="00431913">
        <w:t>,</w:t>
      </w:r>
      <w:r w:rsidR="005B660B">
        <w:t xml:space="preserve"> ownership changes have not been a significant concern. </w:t>
      </w:r>
      <w:r w:rsidR="00F6422F">
        <w:t>W</w:t>
      </w:r>
      <w:r w:rsidR="00F6422F" w:rsidRPr="00735D5F">
        <w:t>e have only observed complete change in ownership of a company with access to an Australian satellite filing</w:t>
      </w:r>
      <w:r w:rsidR="00F6422F">
        <w:t xml:space="preserve"> and as such we have not c</w:t>
      </w:r>
      <w:r w:rsidR="00F6422F" w:rsidRPr="00735D5F">
        <w:t>onsider</w:t>
      </w:r>
      <w:r w:rsidR="00F6422F">
        <w:t>ed</w:t>
      </w:r>
      <w:r w:rsidR="00F6422F" w:rsidRPr="00735D5F">
        <w:t xml:space="preserve"> scenarios involving a partial change in ownership</w:t>
      </w:r>
      <w:r w:rsidR="00F6422F">
        <w:t xml:space="preserve">, as these seem unlikely to occur. </w:t>
      </w:r>
    </w:p>
    <w:p w14:paraId="63CAB889" w14:textId="4CBC3AA0" w:rsidR="00735D5F" w:rsidRPr="00897D13" w:rsidRDefault="00666ED4" w:rsidP="00CF24D1">
      <w:r>
        <w:t>However, by proposing changes</w:t>
      </w:r>
      <w:r w:rsidR="00431913">
        <w:t>,</w:t>
      </w:r>
      <w:r>
        <w:t xml:space="preserve"> we are seeking to clarify </w:t>
      </w:r>
      <w:r w:rsidR="005B660B">
        <w:t>appropriate processes for the future</w:t>
      </w:r>
      <w:r w:rsidR="007308D5">
        <w:t xml:space="preserve">, </w:t>
      </w:r>
      <w:proofErr w:type="gramStart"/>
      <w:r w:rsidR="007308D5">
        <w:t>in particular to</w:t>
      </w:r>
      <w:proofErr w:type="gramEnd"/>
      <w:r w:rsidR="007308D5">
        <w:t xml:space="preserve"> support the assess</w:t>
      </w:r>
      <w:r w:rsidR="000A777C">
        <w:t>ment of Australian interest, in the context of ownership changes</w:t>
      </w:r>
      <w:r w:rsidR="00937A59">
        <w:t>.</w:t>
      </w:r>
      <w:r w:rsidR="005B660B" w:rsidRPr="00735D5F">
        <w:t xml:space="preserve"> </w:t>
      </w:r>
    </w:p>
    <w:p w14:paraId="0E205B58" w14:textId="77777777" w:rsidR="00897D13" w:rsidRDefault="00897D13" w:rsidP="00897D13">
      <w:pPr>
        <w:rPr>
          <w:rFonts w:cs="Arial"/>
        </w:rPr>
      </w:pPr>
      <w:r w:rsidRPr="00897D13">
        <w:t>When changes are related to corporate restructuring, the ACMA may waive the need for a full application if it can be demonstrated that the changes do not substantially change the ownership relationship.</w:t>
      </w:r>
    </w:p>
    <w:p w14:paraId="02054B02" w14:textId="1216DFF1" w:rsidR="00A0141D" w:rsidRDefault="00A0141D" w:rsidP="00897D13">
      <w:r>
        <w:t xml:space="preserve">We </w:t>
      </w:r>
      <w:r w:rsidR="00BA4EB5">
        <w:t xml:space="preserve">strongly </w:t>
      </w:r>
      <w:r>
        <w:t xml:space="preserve">encourage operators to </w:t>
      </w:r>
      <w:r w:rsidR="003C4ADF">
        <w:t>contact</w:t>
      </w:r>
      <w:r>
        <w:t xml:space="preserve"> us </w:t>
      </w:r>
      <w:r w:rsidR="003C4ADF">
        <w:t>in advance of proposed</w:t>
      </w:r>
      <w:r>
        <w:t xml:space="preserve"> ownership changes to </w:t>
      </w:r>
      <w:r w:rsidR="0090349A">
        <w:t xml:space="preserve">discuss </w:t>
      </w:r>
      <w:r w:rsidR="001357D5">
        <w:t>the change</w:t>
      </w:r>
      <w:r w:rsidR="0090349A">
        <w:t xml:space="preserve"> and </w:t>
      </w:r>
      <w:r w:rsidR="0059409C">
        <w:t xml:space="preserve">the </w:t>
      </w:r>
      <w:r w:rsidR="0090349A">
        <w:t>potential implications for ongoing access to satellite filings.</w:t>
      </w:r>
    </w:p>
    <w:p w14:paraId="5E103CB9" w14:textId="1FCA9FF0" w:rsidR="007E691A" w:rsidRDefault="000F5E6D" w:rsidP="00897D13">
      <w:pPr>
        <w:rPr>
          <w:rFonts w:cs="Arial"/>
        </w:rPr>
      </w:pPr>
      <w:r>
        <w:t xml:space="preserve">These proposed requirements </w:t>
      </w:r>
      <w:r w:rsidR="00E304AB">
        <w:t>have been include</w:t>
      </w:r>
      <w:r w:rsidR="00333303">
        <w:t>d</w:t>
      </w:r>
      <w:r w:rsidR="00E304AB">
        <w:t xml:space="preserve"> in a new section </w:t>
      </w:r>
      <w:r w:rsidR="00087519">
        <w:t xml:space="preserve">comprising </w:t>
      </w:r>
      <w:r w:rsidR="00C769D4">
        <w:t xml:space="preserve">all matters that relate to filing ownership </w:t>
      </w:r>
      <w:r w:rsidR="00AD0751">
        <w:t>(</w:t>
      </w:r>
      <w:r w:rsidR="00431913">
        <w:t>S</w:t>
      </w:r>
      <w:r w:rsidR="00AD0751">
        <w:t xml:space="preserve">ection 5, </w:t>
      </w:r>
      <w:r w:rsidR="004C3DE0">
        <w:t>Change</w:t>
      </w:r>
      <w:r w:rsidR="00784D93">
        <w:t xml:space="preserve"> of access </w:t>
      </w:r>
      <w:r w:rsidR="00E315AD">
        <w:t>to an ITU satellite filing</w:t>
      </w:r>
      <w:r w:rsidR="00AD0751">
        <w:t>)</w:t>
      </w:r>
      <w:r w:rsidR="00087519">
        <w:t>,</w:t>
      </w:r>
      <w:r>
        <w:t xml:space="preserve"> which includes the existing requirements </w:t>
      </w:r>
      <w:r w:rsidR="00C769D4">
        <w:t xml:space="preserve">for </w:t>
      </w:r>
      <w:r w:rsidR="00674AEB">
        <w:t>trans</w:t>
      </w:r>
      <w:r w:rsidR="00FF5385">
        <w:t xml:space="preserve">fer and </w:t>
      </w:r>
      <w:r w:rsidR="00970AA6">
        <w:t>relinquishing of a satellite filing.</w:t>
      </w:r>
      <w:r w:rsidR="00674AEB">
        <w:t xml:space="preserve"> </w:t>
      </w:r>
    </w:p>
    <w:p w14:paraId="4B3A140F" w14:textId="77777777" w:rsidR="00897D13" w:rsidRDefault="00897D13" w:rsidP="00CF24D1"/>
    <w:p w14:paraId="48DF87D6" w14:textId="7BC217E1" w:rsidR="00A46AC1" w:rsidRDefault="00FA38BB" w:rsidP="00A46AC1">
      <w:pPr>
        <w:pStyle w:val="Heading1"/>
      </w:pPr>
      <w:bookmarkStart w:id="112" w:name="_Toc136440204"/>
      <w:bookmarkStart w:id="113" w:name="_Ref139364627"/>
      <w:bookmarkStart w:id="114" w:name="_Ref139364631"/>
      <w:bookmarkStart w:id="115" w:name="_Toc139371650"/>
      <w:bookmarkStart w:id="116" w:name="_Toc144213407"/>
      <w:r>
        <w:lastRenderedPageBreak/>
        <w:t xml:space="preserve">Drivers of </w:t>
      </w:r>
      <w:r w:rsidR="00E619EB">
        <w:t>future change</w:t>
      </w:r>
      <w:bookmarkEnd w:id="112"/>
      <w:bookmarkEnd w:id="113"/>
      <w:bookmarkEnd w:id="114"/>
      <w:bookmarkEnd w:id="115"/>
      <w:bookmarkEnd w:id="116"/>
    </w:p>
    <w:p w14:paraId="328F5CFB" w14:textId="7A0A339A" w:rsidR="00720FE2" w:rsidRDefault="00416857" w:rsidP="00A92E92">
      <w:r>
        <w:t>In this section</w:t>
      </w:r>
      <w:r w:rsidR="008331D5">
        <w:t>,</w:t>
      </w:r>
      <w:r>
        <w:t xml:space="preserve"> we consider </w:t>
      </w:r>
      <w:r w:rsidR="00A92E92">
        <w:t xml:space="preserve">matters that might </w:t>
      </w:r>
      <w:r w:rsidR="00836264">
        <w:t xml:space="preserve">inform </w:t>
      </w:r>
      <w:r w:rsidR="00A92E92">
        <w:t>future changes</w:t>
      </w:r>
      <w:r>
        <w:t xml:space="preserve"> in our approach to satellite filing and licensing. </w:t>
      </w:r>
      <w:r w:rsidR="00D153ED">
        <w:t xml:space="preserve">We </w:t>
      </w:r>
      <w:r w:rsidR="00C534A3">
        <w:t>have considered</w:t>
      </w:r>
      <w:r w:rsidR="00D153ED">
        <w:t xml:space="preserve"> h</w:t>
      </w:r>
      <w:r w:rsidR="00720FE2">
        <w:t>ow</w:t>
      </w:r>
      <w:r w:rsidR="00D153ED">
        <w:t xml:space="preserve"> other countries approach satellite filing </w:t>
      </w:r>
      <w:r w:rsidR="00706E5C">
        <w:t xml:space="preserve">and </w:t>
      </w:r>
      <w:r w:rsidR="007029FB">
        <w:t xml:space="preserve">examine other </w:t>
      </w:r>
      <w:r w:rsidR="00720FE2">
        <w:t xml:space="preserve">contemporary </w:t>
      </w:r>
      <w:r w:rsidR="007029FB">
        <w:t xml:space="preserve">developments </w:t>
      </w:r>
      <w:r w:rsidR="00720FE2">
        <w:t>in the satellite industry</w:t>
      </w:r>
      <w:r w:rsidR="00645EB7">
        <w:t xml:space="preserve"> that may impact on satellite filing activity</w:t>
      </w:r>
      <w:r w:rsidR="00720FE2">
        <w:t xml:space="preserve">. We </w:t>
      </w:r>
      <w:r w:rsidR="00937CB8">
        <w:t>also considered</w:t>
      </w:r>
      <w:r w:rsidR="00720FE2">
        <w:t xml:space="preserve"> emerging issues in satellite coordination being monitored by the </w:t>
      </w:r>
      <w:r w:rsidR="002A7980">
        <w:t>Radio Regulations</w:t>
      </w:r>
      <w:r w:rsidR="00720FE2" w:rsidRPr="00E72CAE">
        <w:t xml:space="preserve"> Board </w:t>
      </w:r>
      <w:r w:rsidR="00720FE2">
        <w:t xml:space="preserve">in its </w:t>
      </w:r>
      <w:r w:rsidR="0091378A">
        <w:t xml:space="preserve">draft </w:t>
      </w:r>
      <w:r w:rsidR="00720FE2">
        <w:t xml:space="preserve">report </w:t>
      </w:r>
      <w:r w:rsidR="005B1AF2">
        <w:t xml:space="preserve">to </w:t>
      </w:r>
      <w:r w:rsidR="00720FE2">
        <w:t>WRC-23.</w:t>
      </w:r>
    </w:p>
    <w:p w14:paraId="426AF143" w14:textId="2AE8415E" w:rsidR="00A46AC1" w:rsidRDefault="00A46AC1" w:rsidP="00A46AC1">
      <w:pPr>
        <w:pStyle w:val="Heading2"/>
      </w:pPr>
      <w:bookmarkStart w:id="117" w:name="_Toc136440205"/>
      <w:bookmarkStart w:id="118" w:name="_Toc139371651"/>
      <w:bookmarkStart w:id="119" w:name="_Toc144213408"/>
      <w:r>
        <w:t>International arrangements</w:t>
      </w:r>
      <w:bookmarkEnd w:id="117"/>
      <w:bookmarkEnd w:id="118"/>
      <w:bookmarkEnd w:id="119"/>
      <w:r>
        <w:t xml:space="preserve"> </w:t>
      </w:r>
    </w:p>
    <w:p w14:paraId="407FCAA0" w14:textId="746A9AB2" w:rsidR="00A46AC1" w:rsidRDefault="00A46AC1" w:rsidP="00B87773">
      <w:pPr>
        <w:pStyle w:val="Paragraph"/>
      </w:pPr>
      <w:r>
        <w:t xml:space="preserve">A review of </w:t>
      </w:r>
      <w:r w:rsidR="001D00DA">
        <w:t xml:space="preserve">international </w:t>
      </w:r>
      <w:r>
        <w:t xml:space="preserve">filing procedures shows that </w:t>
      </w:r>
      <w:r w:rsidR="001D00DA">
        <w:t>they</w:t>
      </w:r>
      <w:r>
        <w:t xml:space="preserve"> are unique to </w:t>
      </w:r>
      <w:r w:rsidR="00D177F6">
        <w:t>each jurisdiction</w:t>
      </w:r>
      <w:r>
        <w:t xml:space="preserve"> and vary in form, </w:t>
      </w:r>
      <w:proofErr w:type="gramStart"/>
      <w:r>
        <w:t>approach</w:t>
      </w:r>
      <w:proofErr w:type="gramEnd"/>
      <w:r>
        <w:t xml:space="preserve"> and requirements. Some procedures are enclosed in national legislation in a multi</w:t>
      </w:r>
      <w:r w:rsidR="006C59F0">
        <w:t>-</w:t>
      </w:r>
      <w:r>
        <w:t>document framework</w:t>
      </w:r>
      <w:r w:rsidR="006C59F0">
        <w:t>,</w:t>
      </w:r>
      <w:r>
        <w:t xml:space="preserve"> while others are published in </w:t>
      </w:r>
      <w:r w:rsidR="006C59F0">
        <w:t>the</w:t>
      </w:r>
      <w:r>
        <w:t xml:space="preserve"> form of policies and guidelines sometimes limited to a few pages.</w:t>
      </w:r>
    </w:p>
    <w:p w14:paraId="2161D625" w14:textId="524D03B1" w:rsidR="00A46AC1" w:rsidRDefault="00A46AC1" w:rsidP="00A46AC1">
      <w:pPr>
        <w:pStyle w:val="Paragraphbeforelist"/>
      </w:pPr>
      <w:r>
        <w:t>While the procedures vary between countries</w:t>
      </w:r>
      <w:r w:rsidR="00292181">
        <w:t>,</w:t>
      </w:r>
      <w:r>
        <w:t xml:space="preserve"> </w:t>
      </w:r>
      <w:r w:rsidR="00292181">
        <w:t>there</w:t>
      </w:r>
      <w:r>
        <w:t xml:space="preserve"> are some</w:t>
      </w:r>
      <w:r w:rsidR="00292181">
        <w:t xml:space="preserve"> common</w:t>
      </w:r>
      <w:r>
        <w:t xml:space="preserve"> requirements. Considering requirements of the</w:t>
      </w:r>
      <w:r w:rsidR="00FC40B4">
        <w:t xml:space="preserve"> administrations of the</w:t>
      </w:r>
      <w:r>
        <w:t xml:space="preserve"> </w:t>
      </w:r>
      <w:hyperlink r:id="rId36" w:history="1">
        <w:r w:rsidRPr="00047372">
          <w:rPr>
            <w:rStyle w:val="Hyperlink"/>
          </w:rPr>
          <w:t>UK</w:t>
        </w:r>
      </w:hyperlink>
      <w:r>
        <w:t xml:space="preserve">, </w:t>
      </w:r>
      <w:hyperlink r:id="rId37" w:history="1">
        <w:r w:rsidRPr="007A6B3F">
          <w:rPr>
            <w:rStyle w:val="Hyperlink"/>
          </w:rPr>
          <w:t>USA</w:t>
        </w:r>
      </w:hyperlink>
      <w:r w:rsidR="00544FD1">
        <w:rPr>
          <w:rStyle w:val="FootnoteReference"/>
        </w:rPr>
        <w:footnoteReference w:id="21"/>
      </w:r>
      <w:r>
        <w:t xml:space="preserve">, </w:t>
      </w:r>
      <w:hyperlink r:id="rId38" w:history="1">
        <w:r w:rsidRPr="008C5D84">
          <w:rPr>
            <w:rStyle w:val="Hyperlink"/>
          </w:rPr>
          <w:t>Canada</w:t>
        </w:r>
      </w:hyperlink>
      <w:r>
        <w:t xml:space="preserve">, </w:t>
      </w:r>
      <w:hyperlink r:id="rId39" w:history="1">
        <w:r w:rsidRPr="008A1126">
          <w:rPr>
            <w:rStyle w:val="Hyperlink"/>
          </w:rPr>
          <w:t>Germany</w:t>
        </w:r>
      </w:hyperlink>
      <w:r>
        <w:t xml:space="preserve">, </w:t>
      </w:r>
      <w:hyperlink r:id="rId40" w:history="1">
        <w:r w:rsidRPr="00E27A9B">
          <w:rPr>
            <w:rStyle w:val="Hyperlink"/>
          </w:rPr>
          <w:t>Singapore</w:t>
        </w:r>
      </w:hyperlink>
      <w:r>
        <w:t xml:space="preserve">, </w:t>
      </w:r>
      <w:hyperlink r:id="rId41" w:history="1">
        <w:r w:rsidRPr="00681C7A">
          <w:rPr>
            <w:rStyle w:val="Hyperlink"/>
          </w:rPr>
          <w:t>New Zealand</w:t>
        </w:r>
      </w:hyperlink>
      <w:r>
        <w:t xml:space="preserve"> and </w:t>
      </w:r>
      <w:hyperlink r:id="rId42" w:history="1">
        <w:r w:rsidRPr="009E2B90">
          <w:rPr>
            <w:rStyle w:val="Hyperlink"/>
          </w:rPr>
          <w:t>Brazil</w:t>
        </w:r>
      </w:hyperlink>
      <w:r w:rsidR="00631BCC">
        <w:rPr>
          <w:rStyle w:val="Hyperlink"/>
        </w:rPr>
        <w:t>,</w:t>
      </w:r>
      <w:r w:rsidR="00CE62BC">
        <w:rPr>
          <w:rStyle w:val="FootnoteReference"/>
        </w:rPr>
        <w:footnoteReference w:id="22"/>
      </w:r>
      <w:r>
        <w:t xml:space="preserve"> the following observations can be made:</w:t>
      </w:r>
    </w:p>
    <w:p w14:paraId="41611A97" w14:textId="744EBD0C" w:rsidR="00A46AC1" w:rsidRPr="009A533B" w:rsidRDefault="00A46AC1" w:rsidP="00A46AC1">
      <w:pPr>
        <w:pStyle w:val="ListBullet"/>
      </w:pPr>
      <w:r w:rsidRPr="009A533B">
        <w:t xml:space="preserve">most administrations </w:t>
      </w:r>
      <w:r w:rsidR="00125EA0">
        <w:t>(b</w:t>
      </w:r>
      <w:r w:rsidR="00824FF8">
        <w:t xml:space="preserve">ut not all) </w:t>
      </w:r>
      <w:r w:rsidRPr="009A533B">
        <w:t>accept application</w:t>
      </w:r>
      <w:r w:rsidR="006F0671">
        <w:t>s</w:t>
      </w:r>
      <w:r w:rsidRPr="009A533B">
        <w:t xml:space="preserve"> only from entities registered within the </w:t>
      </w:r>
      <w:r w:rsidR="00636B68">
        <w:t xml:space="preserve">country of </w:t>
      </w:r>
      <w:r w:rsidRPr="009A533B">
        <w:t>administration</w:t>
      </w:r>
    </w:p>
    <w:p w14:paraId="4545ED55" w14:textId="36E23C3A" w:rsidR="00A46AC1" w:rsidRPr="009A533B" w:rsidRDefault="00A46AC1" w:rsidP="00A46AC1">
      <w:pPr>
        <w:pStyle w:val="ListBullet"/>
      </w:pPr>
      <w:r w:rsidRPr="009A533B">
        <w:t>all applications attract a fee which is either fixed or based on the type of satellite system with some administration</w:t>
      </w:r>
      <w:r w:rsidR="00946E8E">
        <w:t>s</w:t>
      </w:r>
      <w:r w:rsidRPr="009A533B">
        <w:t xml:space="preserve"> prescribing ongoing fees (the USA administration mandates payment of substantial bonds once the approval is given</w:t>
      </w:r>
      <w:r w:rsidR="0078417F">
        <w:t>,</w:t>
      </w:r>
      <w:r w:rsidRPr="009A533B">
        <w:t xml:space="preserve"> to ensure deployment of the authorised services)</w:t>
      </w:r>
    </w:p>
    <w:p w14:paraId="26AEA933" w14:textId="78BEC91A" w:rsidR="00A46AC1" w:rsidRPr="009A533B" w:rsidRDefault="00A46AC1" w:rsidP="00A46AC1">
      <w:pPr>
        <w:pStyle w:val="ListBullet"/>
      </w:pPr>
      <w:r w:rsidRPr="009A533B">
        <w:t xml:space="preserve">domestic frequency coordination with other satellite systems needs to be </w:t>
      </w:r>
      <w:r w:rsidR="0078417F">
        <w:t>completed</w:t>
      </w:r>
    </w:p>
    <w:p w14:paraId="159DE2C5" w14:textId="67E3D77E" w:rsidR="00A46AC1" w:rsidRPr="009A533B" w:rsidRDefault="00A46AC1" w:rsidP="00A46AC1">
      <w:pPr>
        <w:pStyle w:val="ListBullet"/>
      </w:pPr>
      <w:r w:rsidRPr="009A533B">
        <w:t>compliance with the ITU filing process is mandatory</w:t>
      </w:r>
    </w:p>
    <w:p w14:paraId="65115FDA" w14:textId="77777777" w:rsidR="00A46AC1" w:rsidRPr="009A533B" w:rsidRDefault="00A46AC1" w:rsidP="00A46AC1">
      <w:pPr>
        <w:pStyle w:val="ListBullet"/>
      </w:pPr>
      <w:r w:rsidRPr="009A533B">
        <w:t>technical ability to control the mission and financial capability to fund the mission needs to be demonstrated</w:t>
      </w:r>
    </w:p>
    <w:p w14:paraId="6697288D" w14:textId="52410C14" w:rsidR="00A46AC1" w:rsidRPr="009A533B" w:rsidRDefault="00A46AC1" w:rsidP="00A46AC1">
      <w:pPr>
        <w:pStyle w:val="ListBullet"/>
      </w:pPr>
      <w:r w:rsidRPr="009A533B">
        <w:t xml:space="preserve">capability to immediately cease </w:t>
      </w:r>
      <w:r w:rsidR="0031147B">
        <w:t xml:space="preserve">radio </w:t>
      </w:r>
      <w:r w:rsidRPr="009A533B">
        <w:t>emissions by telecommand if necessary to avoid causing harmful interference</w:t>
      </w:r>
    </w:p>
    <w:p w14:paraId="4FFB9AD0" w14:textId="77DDD68E" w:rsidR="00A46AC1" w:rsidRPr="009A533B" w:rsidRDefault="00A46AC1" w:rsidP="00AD5530">
      <w:pPr>
        <w:pStyle w:val="ListBulletLast"/>
      </w:pPr>
      <w:r w:rsidRPr="009A533B">
        <w:t xml:space="preserve">reporting requirements on the progress of the deployment or operation of the </w:t>
      </w:r>
      <w:r w:rsidR="00D72601">
        <w:t xml:space="preserve">space stations in the </w:t>
      </w:r>
      <w:r w:rsidR="0031147B">
        <w:t>satellite</w:t>
      </w:r>
      <w:r w:rsidR="00D200DD">
        <w:t xml:space="preserve"> system</w:t>
      </w:r>
      <w:r w:rsidR="00431913">
        <w:t>.</w:t>
      </w:r>
      <w:r w:rsidR="006B6869">
        <w:rPr>
          <w:rStyle w:val="FootnoteReference"/>
        </w:rPr>
        <w:footnoteReference w:id="23"/>
      </w:r>
    </w:p>
    <w:p w14:paraId="026F057E" w14:textId="00BF56F3" w:rsidR="00A46AC1" w:rsidRDefault="00A46AC1" w:rsidP="00A46AC1">
      <w:proofErr w:type="gramStart"/>
      <w:r>
        <w:t>With the except</w:t>
      </w:r>
      <w:r w:rsidR="00F40A2C">
        <w:t>ion</w:t>
      </w:r>
      <w:r>
        <w:t xml:space="preserve"> of</w:t>
      </w:r>
      <w:proofErr w:type="gramEnd"/>
      <w:r>
        <w:t xml:space="preserve"> the US requirement for a bond, these requirements are similar in principle to those of </w:t>
      </w:r>
      <w:r w:rsidR="00B92A66">
        <w:t xml:space="preserve">the </w:t>
      </w:r>
      <w:r>
        <w:t>Australia</w:t>
      </w:r>
      <w:r w:rsidR="00B92A66">
        <w:t>n satellite</w:t>
      </w:r>
      <w:r>
        <w:t xml:space="preserve"> filing procedures. </w:t>
      </w:r>
    </w:p>
    <w:p w14:paraId="6FF1A691" w14:textId="0AFB2104" w:rsidR="00BB16D6" w:rsidRDefault="00A46AC1" w:rsidP="00BB16D6">
      <w:r>
        <w:t>When the same government entity is responsible for the national frameworks relat</w:t>
      </w:r>
      <w:r w:rsidR="00527476">
        <w:t>ing</w:t>
      </w:r>
      <w:r>
        <w:t xml:space="preserve"> to both </w:t>
      </w:r>
      <w:r w:rsidR="00415B9B">
        <w:t xml:space="preserve">physical spacecraft </w:t>
      </w:r>
      <w:r>
        <w:t xml:space="preserve">and frequency management, additional requirements </w:t>
      </w:r>
      <w:r w:rsidR="002B3EFC">
        <w:t>regarding</w:t>
      </w:r>
      <w:r>
        <w:t xml:space="preserve"> the </w:t>
      </w:r>
      <w:r w:rsidR="00D86761">
        <w:t>physical spacecra</w:t>
      </w:r>
      <w:r w:rsidR="00DF005A">
        <w:t>ft</w:t>
      </w:r>
      <w:r w:rsidR="009A5B5A">
        <w:t xml:space="preserve"> (for example</w:t>
      </w:r>
      <w:r w:rsidR="00571DF6">
        <w:t>,</w:t>
      </w:r>
      <w:r w:rsidR="009A5B5A">
        <w:t xml:space="preserve"> space debris </w:t>
      </w:r>
      <w:r w:rsidR="006A1292">
        <w:t>mitigation</w:t>
      </w:r>
      <w:r w:rsidR="009A5B5A">
        <w:t>)</w:t>
      </w:r>
      <w:r w:rsidR="00DF005A">
        <w:t xml:space="preserve"> </w:t>
      </w:r>
      <w:r w:rsidR="00571DF6">
        <w:t>may</w:t>
      </w:r>
      <w:r w:rsidR="00E127F8">
        <w:t xml:space="preserve"> be </w:t>
      </w:r>
      <w:r>
        <w:t>included in the satellite filing/licensing procedures.</w:t>
      </w:r>
      <w:r w:rsidR="00442BE2">
        <w:rPr>
          <w:rStyle w:val="FootnoteReference"/>
        </w:rPr>
        <w:footnoteReference w:id="24"/>
      </w:r>
      <w:r w:rsidR="00BB16D6" w:rsidRPr="00BB16D6">
        <w:t xml:space="preserve"> </w:t>
      </w:r>
      <w:r w:rsidR="00571DF6">
        <w:t>The ACMA is</w:t>
      </w:r>
      <w:r w:rsidR="00D5008D">
        <w:t xml:space="preserve"> not </w:t>
      </w:r>
      <w:r w:rsidR="00DD357B">
        <w:t>responsible</w:t>
      </w:r>
      <w:r w:rsidR="00EA7DC0">
        <w:t xml:space="preserve"> for </w:t>
      </w:r>
      <w:r w:rsidR="00D5008D">
        <w:t xml:space="preserve">such </w:t>
      </w:r>
      <w:r w:rsidR="003B7147">
        <w:t>matters,</w:t>
      </w:r>
      <w:r w:rsidR="00D5008D">
        <w:t xml:space="preserve"> </w:t>
      </w:r>
      <w:r w:rsidR="00EA7DC0">
        <w:t xml:space="preserve">and </w:t>
      </w:r>
      <w:r w:rsidR="00DD357B">
        <w:t>they</w:t>
      </w:r>
      <w:r w:rsidR="003F7F8F">
        <w:t xml:space="preserve"> </w:t>
      </w:r>
      <w:r w:rsidR="00DD357B">
        <w:t>are not considered in o</w:t>
      </w:r>
      <w:r w:rsidR="003F7F8F">
        <w:t>ur</w:t>
      </w:r>
      <w:r w:rsidR="00DD357B">
        <w:t xml:space="preserve"> procedures</w:t>
      </w:r>
      <w:r w:rsidR="003F7F8F">
        <w:t>.</w:t>
      </w:r>
    </w:p>
    <w:p w14:paraId="461118B7" w14:textId="2BB5F5FB" w:rsidR="00C47AF2" w:rsidRDefault="00817323" w:rsidP="00BB16D6">
      <w:r>
        <w:t xml:space="preserve">There are </w:t>
      </w:r>
      <w:r w:rsidR="00AE3254">
        <w:t>varying</w:t>
      </w:r>
      <w:r>
        <w:t xml:space="preserve"> approaches concerning</w:t>
      </w:r>
      <w:r w:rsidR="00BB16D6">
        <w:t xml:space="preserve"> the relationship between licensing to provide a service and the ITU </w:t>
      </w:r>
      <w:r w:rsidR="00363308">
        <w:t xml:space="preserve">satellite </w:t>
      </w:r>
      <w:r w:rsidR="00BB16D6">
        <w:t>filing</w:t>
      </w:r>
      <w:r w:rsidR="00363308">
        <w:t xml:space="preserve"> process</w:t>
      </w:r>
      <w:r w:rsidR="00BB16D6">
        <w:t>.</w:t>
      </w:r>
      <w:r w:rsidR="000C2D76">
        <w:t xml:space="preserve"> While in Australia licensing and filing are </w:t>
      </w:r>
      <w:r w:rsidR="00431913">
        <w:t xml:space="preserve">2 </w:t>
      </w:r>
      <w:r w:rsidR="007B476B">
        <w:t>separate</w:t>
      </w:r>
      <w:r w:rsidR="000C2D76">
        <w:t xml:space="preserve"> process</w:t>
      </w:r>
      <w:r w:rsidR="00431913">
        <w:t>es</w:t>
      </w:r>
      <w:r w:rsidR="00CE7C32">
        <w:t xml:space="preserve"> and </w:t>
      </w:r>
      <w:r w:rsidR="00DC43CE">
        <w:t>the AC</w:t>
      </w:r>
      <w:r w:rsidR="005F57DD">
        <w:t>MA</w:t>
      </w:r>
      <w:r w:rsidR="00DC43CE">
        <w:t xml:space="preserve"> agreeing to </w:t>
      </w:r>
      <w:r w:rsidR="000C2D76" w:rsidRPr="001A4A61">
        <w:t xml:space="preserve">file does not in any way imply that the ACMA will issue radiocommunications licences providing authorisation </w:t>
      </w:r>
      <w:r w:rsidR="000C2D76" w:rsidRPr="001A4A61">
        <w:lastRenderedPageBreak/>
        <w:t>f</w:t>
      </w:r>
      <w:r w:rsidR="00DC43CE">
        <w:t>or the satellite systems.</w:t>
      </w:r>
      <w:r w:rsidR="007B476B">
        <w:t xml:space="preserve"> </w:t>
      </w:r>
      <w:r w:rsidR="00DC43CE">
        <w:t xml:space="preserve">In </w:t>
      </w:r>
      <w:r w:rsidR="005F57DD">
        <w:t xml:space="preserve">some </w:t>
      </w:r>
      <w:r w:rsidR="00DC43CE">
        <w:t>other countries</w:t>
      </w:r>
      <w:r w:rsidR="00431913">
        <w:t>,</w:t>
      </w:r>
      <w:r w:rsidR="00DC43CE">
        <w:t xml:space="preserve"> </w:t>
      </w:r>
      <w:r w:rsidR="00A2489C">
        <w:t xml:space="preserve">licensing is considered first with </w:t>
      </w:r>
      <w:r w:rsidR="005F57DD">
        <w:t>filing</w:t>
      </w:r>
      <w:r w:rsidR="00A2489C">
        <w:t xml:space="preserve"> a </w:t>
      </w:r>
      <w:r w:rsidR="00E94DB0">
        <w:t>sub-</w:t>
      </w:r>
      <w:r w:rsidR="00A2489C">
        <w:t xml:space="preserve">part of the </w:t>
      </w:r>
      <w:r w:rsidR="005F57DD">
        <w:t>licensing process.</w:t>
      </w:r>
      <w:r w:rsidR="005F57DD" w:rsidDel="00EB011F">
        <w:t xml:space="preserve"> </w:t>
      </w:r>
      <w:r w:rsidR="00BB16D6">
        <w:t>In Canada</w:t>
      </w:r>
      <w:r w:rsidR="00C66CA6">
        <w:t>,</w:t>
      </w:r>
      <w:r w:rsidR="00BB16D6">
        <w:t xml:space="preserve"> for example</w:t>
      </w:r>
      <w:r w:rsidR="00363308">
        <w:t>,</w:t>
      </w:r>
      <w:r w:rsidR="00BB16D6">
        <w:t xml:space="preserve"> an ITU</w:t>
      </w:r>
      <w:r w:rsidR="00CD4305">
        <w:t xml:space="preserve"> </w:t>
      </w:r>
      <w:r w:rsidR="00BB16D6">
        <w:t xml:space="preserve">filing </w:t>
      </w:r>
      <w:r w:rsidR="00CD4305">
        <w:t xml:space="preserve">application </w:t>
      </w:r>
      <w:r w:rsidR="00BB16D6">
        <w:t xml:space="preserve">is required as part of the licensing process and </w:t>
      </w:r>
      <w:r w:rsidR="00CD4305">
        <w:t xml:space="preserve">the filing </w:t>
      </w:r>
      <w:r w:rsidR="00BB16D6">
        <w:t xml:space="preserve">can be submitted </w:t>
      </w:r>
      <w:r w:rsidR="00526EA4">
        <w:t xml:space="preserve">up to 6 </w:t>
      </w:r>
      <w:r w:rsidR="00822974">
        <w:t>months</w:t>
      </w:r>
      <w:r w:rsidR="00526EA4">
        <w:t xml:space="preserve"> in </w:t>
      </w:r>
      <w:r w:rsidR="00BB16D6">
        <w:t>advance of the licence application. However</w:t>
      </w:r>
      <w:r w:rsidR="008073A0">
        <w:t>,</w:t>
      </w:r>
      <w:r w:rsidR="00BB16D6">
        <w:t xml:space="preserve"> i</w:t>
      </w:r>
      <w:r w:rsidR="00193A84">
        <w:t>f</w:t>
      </w:r>
      <w:r w:rsidR="00BB16D6">
        <w:t xml:space="preserve"> the licence application is not approve</w:t>
      </w:r>
      <w:r w:rsidR="00E94DB0">
        <w:t xml:space="preserve">d, </w:t>
      </w:r>
      <w:r w:rsidR="00BB16D6">
        <w:t>the ITU filing is cancelled</w:t>
      </w:r>
      <w:r w:rsidR="000C6B96">
        <w:t>.</w:t>
      </w:r>
      <w:r w:rsidR="00BB16D6">
        <w:rPr>
          <w:rStyle w:val="FootnoteReference"/>
        </w:rPr>
        <w:footnoteReference w:id="25"/>
      </w:r>
      <w:r w:rsidR="00D53B7A">
        <w:t xml:space="preserve"> </w:t>
      </w:r>
      <w:r w:rsidR="00C47AF2">
        <w:t>It is similar in the US</w:t>
      </w:r>
      <w:r w:rsidR="00153F2A">
        <w:t>A</w:t>
      </w:r>
      <w:r w:rsidR="00C47AF2">
        <w:t xml:space="preserve"> where </w:t>
      </w:r>
      <w:r w:rsidR="007313F8">
        <w:t>licensing is normally considered first</w:t>
      </w:r>
      <w:r w:rsidR="00FB2FB2">
        <w:t>,</w:t>
      </w:r>
      <w:r w:rsidR="007313F8">
        <w:t xml:space="preserve"> with </w:t>
      </w:r>
      <w:r w:rsidR="00FB2FB2">
        <w:t xml:space="preserve">the </w:t>
      </w:r>
      <w:r w:rsidR="00C47AF2">
        <w:t>ITU satellite filing considered as part of the licence application process (if one does not already exist) and the ITU filing might not be submitted to the ITU until after the licence has been approved</w:t>
      </w:r>
      <w:r w:rsidR="00B96DE0">
        <w:t>.</w:t>
      </w:r>
      <w:r w:rsidR="00C47AF2">
        <w:rPr>
          <w:rStyle w:val="FootnoteReference"/>
        </w:rPr>
        <w:footnoteReference w:id="26"/>
      </w:r>
    </w:p>
    <w:p w14:paraId="783263C6" w14:textId="00433608" w:rsidR="00A46AC1" w:rsidRDefault="00343C63" w:rsidP="00A46AC1">
      <w:r>
        <w:t xml:space="preserve">In the </w:t>
      </w:r>
      <w:r w:rsidR="00D53B7A">
        <w:t>UK and New Zealand</w:t>
      </w:r>
      <w:r>
        <w:t xml:space="preserve">, </w:t>
      </w:r>
      <w:r w:rsidR="005309FE">
        <w:t>licensing and satellite filing are separate</w:t>
      </w:r>
      <w:r w:rsidR="00D53B7A">
        <w:t xml:space="preserve"> </w:t>
      </w:r>
      <w:r w:rsidR="005309FE">
        <w:t>processes</w:t>
      </w:r>
      <w:r w:rsidR="002143F4">
        <w:t xml:space="preserve"> </w:t>
      </w:r>
      <w:proofErr w:type="gramStart"/>
      <w:r w:rsidR="002143F4">
        <w:t>similar to</w:t>
      </w:r>
      <w:proofErr w:type="gramEnd"/>
      <w:r w:rsidR="002143F4">
        <w:t xml:space="preserve"> the ACMA approach</w:t>
      </w:r>
      <w:r w:rsidR="00590AE1">
        <w:t xml:space="preserve">.  </w:t>
      </w:r>
    </w:p>
    <w:p w14:paraId="402A9B31" w14:textId="6A92A004" w:rsidR="00A46AC1" w:rsidRDefault="00A46AC1" w:rsidP="00A46AC1">
      <w:pPr>
        <w:pStyle w:val="Heading2"/>
      </w:pPr>
      <w:bookmarkStart w:id="120" w:name="_Toc136440206"/>
      <w:bookmarkStart w:id="121" w:name="_Toc139371652"/>
      <w:bookmarkStart w:id="122" w:name="_Toc144213409"/>
      <w:r>
        <w:t>ACMA approach to satellite filing</w:t>
      </w:r>
      <w:bookmarkEnd w:id="120"/>
      <w:bookmarkEnd w:id="121"/>
      <w:bookmarkEnd w:id="122"/>
    </w:p>
    <w:p w14:paraId="3D9085BC" w14:textId="20637D38" w:rsidR="00A46AC1" w:rsidRDefault="00A46AC1" w:rsidP="00A46AC1">
      <w:pPr>
        <w:pStyle w:val="Paragraph"/>
      </w:pPr>
      <w:r>
        <w:t>Our</w:t>
      </w:r>
      <w:r w:rsidRPr="00095067">
        <w:t xml:space="preserve"> current </w:t>
      </w:r>
      <w:r w:rsidRPr="009606D4">
        <w:t xml:space="preserve">approach to </w:t>
      </w:r>
      <w:r w:rsidR="00ED716E">
        <w:t xml:space="preserve">satellite </w:t>
      </w:r>
      <w:r w:rsidRPr="009606D4">
        <w:t xml:space="preserve">filing is to only file when there is a clear </w:t>
      </w:r>
      <w:r w:rsidR="00CE30C3">
        <w:t xml:space="preserve">substantive </w:t>
      </w:r>
      <w:r w:rsidRPr="009606D4">
        <w:t xml:space="preserve">benefit to Australia. </w:t>
      </w:r>
      <w:r>
        <w:t>This</w:t>
      </w:r>
      <w:r w:rsidRPr="009606D4">
        <w:t xml:space="preserve"> approach </w:t>
      </w:r>
      <w:r>
        <w:t xml:space="preserve">is used </w:t>
      </w:r>
      <w:r w:rsidRPr="009606D4">
        <w:t xml:space="preserve">to curtail applicants looking to submit speculative filings that could later be used (traded) for commercial benefit </w:t>
      </w:r>
      <w:r>
        <w:t xml:space="preserve">(known as </w:t>
      </w:r>
      <w:r w:rsidR="00BF5AF2">
        <w:t>‘</w:t>
      </w:r>
      <w:r>
        <w:t>paper filings</w:t>
      </w:r>
      <w:r w:rsidR="00BF5AF2">
        <w:t>’</w:t>
      </w:r>
      <w:r w:rsidR="000702AB">
        <w:t>,</w:t>
      </w:r>
      <w:r>
        <w:t xml:space="preserve"> and </w:t>
      </w:r>
      <w:r w:rsidR="0088390B">
        <w:t xml:space="preserve">this is </w:t>
      </w:r>
      <w:r>
        <w:t>considered in our current filing procedures)</w:t>
      </w:r>
      <w:r w:rsidR="00A00824">
        <w:t>.</w:t>
      </w:r>
    </w:p>
    <w:p w14:paraId="6C675C74" w14:textId="66A90124" w:rsidR="00A46AC1" w:rsidRDefault="00A46AC1" w:rsidP="00A46AC1">
      <w:pPr>
        <w:pStyle w:val="Paragraph"/>
      </w:pPr>
      <w:r>
        <w:t xml:space="preserve">Our view is that this is still the </w:t>
      </w:r>
      <w:r w:rsidRPr="009606D4">
        <w:t xml:space="preserve">appropriate </w:t>
      </w:r>
      <w:r>
        <w:t>approach as it ensure</w:t>
      </w:r>
      <w:r w:rsidR="00BF5AF2">
        <w:t>s</w:t>
      </w:r>
      <w:r>
        <w:t xml:space="preserve"> ACMA </w:t>
      </w:r>
      <w:r w:rsidRPr="009606D4">
        <w:t xml:space="preserve">resources are only utilised for satellite filing activities where there is a clear </w:t>
      </w:r>
      <w:r w:rsidR="00AF0431" w:rsidRPr="00B60F4A">
        <w:rPr>
          <w:i/>
          <w:iCs/>
        </w:rPr>
        <w:t>substantial</w:t>
      </w:r>
      <w:r w:rsidR="00AF0431">
        <w:t xml:space="preserve"> </w:t>
      </w:r>
      <w:r w:rsidRPr="009606D4">
        <w:t xml:space="preserve">benefit to Australia. </w:t>
      </w:r>
    </w:p>
    <w:p w14:paraId="5452C234" w14:textId="1B57075B" w:rsidR="00A46AC1" w:rsidRPr="009606D4" w:rsidRDefault="00A46AC1" w:rsidP="00A46AC1">
      <w:pPr>
        <w:pStyle w:val="Paragraph"/>
      </w:pPr>
      <w:r>
        <w:t>As such</w:t>
      </w:r>
      <w:r w:rsidR="0004573E">
        <w:t>,</w:t>
      </w:r>
      <w:r>
        <w:t xml:space="preserve"> we intend to continue our </w:t>
      </w:r>
      <w:r w:rsidRPr="00B47869">
        <w:t xml:space="preserve">current approach (with the refinements discussed in this paper) as it supports </w:t>
      </w:r>
      <w:r w:rsidR="00A2272B">
        <w:t xml:space="preserve">satellite </w:t>
      </w:r>
      <w:r w:rsidRPr="00B47869">
        <w:t xml:space="preserve">filing for a range of organisations in cases that are clearly beneficial to Australia.  </w:t>
      </w:r>
    </w:p>
    <w:p w14:paraId="05F12CAC" w14:textId="3266C952" w:rsidR="00A46AC1" w:rsidRDefault="0091181F" w:rsidP="00A46AC1">
      <w:pPr>
        <w:pStyle w:val="Heading2"/>
      </w:pPr>
      <w:bookmarkStart w:id="123" w:name="_Toc136440207"/>
      <w:bookmarkStart w:id="124" w:name="_Toc139371653"/>
      <w:bookmarkStart w:id="125" w:name="_Toc144213410"/>
      <w:r>
        <w:t>Relationship between f</w:t>
      </w:r>
      <w:r w:rsidR="00A46AC1">
        <w:t>iling and licensing</w:t>
      </w:r>
      <w:bookmarkEnd w:id="123"/>
      <w:bookmarkEnd w:id="124"/>
      <w:bookmarkEnd w:id="125"/>
    </w:p>
    <w:p w14:paraId="3783AC5D" w14:textId="68495BE3" w:rsidR="00A46AC1" w:rsidRDefault="00084E22" w:rsidP="00A46AC1">
      <w:pPr>
        <w:pStyle w:val="Paragraph"/>
      </w:pPr>
      <w:r>
        <w:t xml:space="preserve">Although </w:t>
      </w:r>
      <w:r w:rsidR="00A46AC1">
        <w:t>filing and licensing are separate processes, they are related. We generally require a</w:t>
      </w:r>
      <w:r w:rsidR="000D08E0">
        <w:t xml:space="preserve"> satellite</w:t>
      </w:r>
      <w:r w:rsidR="00A46AC1">
        <w:t xml:space="preserve"> operator to have obtained an ITU satellite filing before a radiocommunications licence authorising operations in Australia is issued. However, it is not necessary for an operator to have filed their </w:t>
      </w:r>
      <w:r w:rsidR="001217DC">
        <w:t xml:space="preserve">satellite system </w:t>
      </w:r>
      <w:r w:rsidR="00A46AC1">
        <w:t>through Australia to be licensed in Australia – in most cases satellite operators (being overseas based) obtain their filing through a foreign administration.</w:t>
      </w:r>
    </w:p>
    <w:p w14:paraId="517832F7" w14:textId="5ADD78C4" w:rsidR="00A46AC1" w:rsidRDefault="00A46AC1" w:rsidP="00A46AC1">
      <w:pPr>
        <w:pStyle w:val="Paragraph"/>
      </w:pPr>
      <w:r>
        <w:t>For Australia</w:t>
      </w:r>
      <w:r w:rsidR="005C5B4D">
        <w:t>n</w:t>
      </w:r>
      <w:r w:rsidR="00B615C6">
        <w:t>-</w:t>
      </w:r>
      <w:r>
        <w:t xml:space="preserve">filed satellite operators, while </w:t>
      </w:r>
      <w:r w:rsidR="00B615C6">
        <w:t xml:space="preserve">the </w:t>
      </w:r>
      <w:r>
        <w:t xml:space="preserve">filing assessment process broadly considers potential Australian licensing implications (via assessment for conformity with planning arrangements), any agreement to file does not commit </w:t>
      </w:r>
      <w:r w:rsidR="009D6223">
        <w:t xml:space="preserve">the ACMA </w:t>
      </w:r>
      <w:r w:rsidR="00117F40">
        <w:t>t</w:t>
      </w:r>
      <w:r>
        <w:t xml:space="preserve">o issuing a licence. All licences must be applied for separately and are assessed against current requirements as required by the </w:t>
      </w:r>
      <w:r w:rsidRPr="008E22D5">
        <w:rPr>
          <w:i/>
          <w:iCs/>
        </w:rPr>
        <w:t>Radiocommunications Act</w:t>
      </w:r>
      <w:r w:rsidR="008E22D5" w:rsidRPr="008E22D5">
        <w:rPr>
          <w:i/>
          <w:iCs/>
        </w:rPr>
        <w:t xml:space="preserve"> 1992</w:t>
      </w:r>
      <w:r w:rsidR="008E22D5">
        <w:t xml:space="preserve"> </w:t>
      </w:r>
      <w:r>
        <w:t xml:space="preserve">and associated </w:t>
      </w:r>
      <w:r w:rsidR="001E6FC0">
        <w:t xml:space="preserve">policies </w:t>
      </w:r>
      <w:r>
        <w:t>when an application is made.</w:t>
      </w:r>
    </w:p>
    <w:p w14:paraId="0B481D01" w14:textId="4310281A" w:rsidR="00A46AC1" w:rsidRDefault="00A46AC1" w:rsidP="00A46AC1">
      <w:pPr>
        <w:pStyle w:val="Paragraph"/>
        <w:rPr>
          <w:szCs w:val="20"/>
        </w:rPr>
      </w:pPr>
      <w:r>
        <w:t>That said</w:t>
      </w:r>
      <w:r w:rsidR="00117F40">
        <w:t xml:space="preserve">, </w:t>
      </w:r>
      <w:r>
        <w:t xml:space="preserve">when </w:t>
      </w:r>
      <w:r w:rsidRPr="00615474">
        <w:t xml:space="preserve">considering </w:t>
      </w:r>
      <w:r w:rsidRPr="00474D77">
        <w:rPr>
          <w:szCs w:val="20"/>
        </w:rPr>
        <w:t xml:space="preserve">licence applications under the </w:t>
      </w:r>
      <w:r w:rsidR="0004573E">
        <w:rPr>
          <w:szCs w:val="20"/>
        </w:rPr>
        <w:t xml:space="preserve">Radiocommunication </w:t>
      </w:r>
      <w:r w:rsidRPr="001E6FC0">
        <w:rPr>
          <w:szCs w:val="20"/>
          <w:u w:color="0000FF"/>
        </w:rPr>
        <w:t>Act</w:t>
      </w:r>
      <w:r w:rsidR="00437569">
        <w:rPr>
          <w:szCs w:val="20"/>
          <w:u w:color="0000FF"/>
        </w:rPr>
        <w:t>,</w:t>
      </w:r>
      <w:r>
        <w:rPr>
          <w:szCs w:val="20"/>
          <w:u w:color="0000FF"/>
        </w:rPr>
        <w:t xml:space="preserve"> </w:t>
      </w:r>
      <w:r w:rsidRPr="00615474">
        <w:t>the ACMA is required to consider a range of matters</w:t>
      </w:r>
      <w:r>
        <w:t xml:space="preserve"> (see </w:t>
      </w:r>
      <w:r w:rsidR="001E6FC0">
        <w:t>subs</w:t>
      </w:r>
      <w:r>
        <w:t xml:space="preserve">ection 100(4) of the Act).  </w:t>
      </w:r>
      <w:r w:rsidR="003335E9">
        <w:t>D</w:t>
      </w:r>
      <w:r w:rsidRPr="00474D77">
        <w:rPr>
          <w:szCs w:val="20"/>
        </w:rPr>
        <w:t>epending on the specific</w:t>
      </w:r>
      <w:r w:rsidR="00546141">
        <w:rPr>
          <w:szCs w:val="20"/>
        </w:rPr>
        <w:t>s</w:t>
      </w:r>
      <w:r w:rsidRPr="00474D77">
        <w:rPr>
          <w:szCs w:val="20"/>
        </w:rPr>
        <w:t xml:space="preserve"> of an application</w:t>
      </w:r>
      <w:r>
        <w:rPr>
          <w:szCs w:val="20"/>
        </w:rPr>
        <w:t>,</w:t>
      </w:r>
      <w:r w:rsidRPr="00474D77">
        <w:rPr>
          <w:szCs w:val="20"/>
        </w:rPr>
        <w:t xml:space="preserve"> </w:t>
      </w:r>
      <w:r>
        <w:rPr>
          <w:szCs w:val="20"/>
        </w:rPr>
        <w:t xml:space="preserve">a matter that might be relevant is the impact on </w:t>
      </w:r>
      <w:r w:rsidR="001E2D24">
        <w:rPr>
          <w:szCs w:val="20"/>
        </w:rPr>
        <w:t xml:space="preserve">existing </w:t>
      </w:r>
      <w:r>
        <w:rPr>
          <w:szCs w:val="20"/>
        </w:rPr>
        <w:t>Australia</w:t>
      </w:r>
      <w:r w:rsidR="00546141">
        <w:rPr>
          <w:szCs w:val="20"/>
        </w:rPr>
        <w:t>n</w:t>
      </w:r>
      <w:r>
        <w:rPr>
          <w:szCs w:val="20"/>
        </w:rPr>
        <w:t xml:space="preserve"> satellite filings. While</w:t>
      </w:r>
      <w:r w:rsidDel="00546141">
        <w:rPr>
          <w:szCs w:val="20"/>
        </w:rPr>
        <w:t xml:space="preserve"> </w:t>
      </w:r>
      <w:r w:rsidR="00546141">
        <w:rPr>
          <w:szCs w:val="20"/>
        </w:rPr>
        <w:t xml:space="preserve">the </w:t>
      </w:r>
      <w:r>
        <w:rPr>
          <w:szCs w:val="20"/>
        </w:rPr>
        <w:t>weight</w:t>
      </w:r>
      <w:r w:rsidR="00546141">
        <w:rPr>
          <w:szCs w:val="20"/>
        </w:rPr>
        <w:t>ing</w:t>
      </w:r>
      <w:r w:rsidDel="00546141">
        <w:rPr>
          <w:szCs w:val="20"/>
        </w:rPr>
        <w:t xml:space="preserve"> </w:t>
      </w:r>
      <w:r>
        <w:rPr>
          <w:szCs w:val="20"/>
        </w:rPr>
        <w:t xml:space="preserve">given to any considerations in the </w:t>
      </w:r>
      <w:r w:rsidDel="007B3569">
        <w:rPr>
          <w:szCs w:val="20"/>
        </w:rPr>
        <w:t>decision</w:t>
      </w:r>
      <w:r w:rsidR="007B3569">
        <w:rPr>
          <w:szCs w:val="20"/>
        </w:rPr>
        <w:t>-making</w:t>
      </w:r>
      <w:r>
        <w:rPr>
          <w:szCs w:val="20"/>
        </w:rPr>
        <w:t xml:space="preserve"> process will depend on specific circumstances, as</w:t>
      </w:r>
      <w:r w:rsidR="00E80CF6">
        <w:rPr>
          <w:szCs w:val="20"/>
        </w:rPr>
        <w:t xml:space="preserve"> a</w:t>
      </w:r>
      <w:r>
        <w:rPr>
          <w:szCs w:val="20"/>
        </w:rPr>
        <w:t xml:space="preserve"> general principle</w:t>
      </w:r>
      <w:r w:rsidR="00B44335">
        <w:rPr>
          <w:szCs w:val="20"/>
        </w:rPr>
        <w:t>,</w:t>
      </w:r>
      <w:r>
        <w:rPr>
          <w:szCs w:val="20"/>
        </w:rPr>
        <w:t xml:space="preserve"> greater weight </w:t>
      </w:r>
      <w:r w:rsidR="00B44335">
        <w:rPr>
          <w:szCs w:val="20"/>
        </w:rPr>
        <w:t>is</w:t>
      </w:r>
      <w:r>
        <w:rPr>
          <w:szCs w:val="20"/>
        </w:rPr>
        <w:t xml:space="preserve"> </w:t>
      </w:r>
      <w:r w:rsidR="00E80CF6">
        <w:rPr>
          <w:szCs w:val="20"/>
        </w:rPr>
        <w:t>normally</w:t>
      </w:r>
      <w:r w:rsidDel="00B44335">
        <w:rPr>
          <w:szCs w:val="20"/>
        </w:rPr>
        <w:t xml:space="preserve"> </w:t>
      </w:r>
      <w:r>
        <w:rPr>
          <w:szCs w:val="20"/>
        </w:rPr>
        <w:t xml:space="preserve">given to consideration of the impact on an Australian satellite filing if </w:t>
      </w:r>
      <w:r w:rsidR="00B44335">
        <w:rPr>
          <w:szCs w:val="20"/>
        </w:rPr>
        <w:t xml:space="preserve">the </w:t>
      </w:r>
      <w:r>
        <w:rPr>
          <w:szCs w:val="20"/>
        </w:rPr>
        <w:t xml:space="preserve">operation of the satellite is authorised by a radiocommunications licence. </w:t>
      </w:r>
    </w:p>
    <w:p w14:paraId="688D58B9" w14:textId="25E8D349" w:rsidR="00A46AC1" w:rsidRDefault="00A46AC1" w:rsidP="00A46AC1">
      <w:pPr>
        <w:pStyle w:val="Paragraph"/>
        <w:rPr>
          <w:szCs w:val="20"/>
        </w:rPr>
      </w:pPr>
      <w:r>
        <w:rPr>
          <w:szCs w:val="20"/>
        </w:rPr>
        <w:lastRenderedPageBreak/>
        <w:t>For foreign satellite operators (operators with satellite systems filed through other administrations) that have an associated radiocommunications licence in Australia, the ACMA</w:t>
      </w:r>
      <w:r w:rsidR="00425B77">
        <w:rPr>
          <w:szCs w:val="20"/>
        </w:rPr>
        <w:t>’s</w:t>
      </w:r>
      <w:r>
        <w:rPr>
          <w:szCs w:val="20"/>
        </w:rPr>
        <w:t xml:space="preserve"> normal approach is to rely on the ITU satellite coordination process to manage interference. Our view </w:t>
      </w:r>
      <w:r w:rsidR="000F309E">
        <w:rPr>
          <w:szCs w:val="20"/>
        </w:rPr>
        <w:t xml:space="preserve">is </w:t>
      </w:r>
      <w:r>
        <w:rPr>
          <w:szCs w:val="20"/>
        </w:rPr>
        <w:t xml:space="preserve">that coordination matters between foreign-filed satellite </w:t>
      </w:r>
      <w:r w:rsidR="003F2AF9">
        <w:rPr>
          <w:szCs w:val="20"/>
        </w:rPr>
        <w:t xml:space="preserve">systems </w:t>
      </w:r>
      <w:r>
        <w:rPr>
          <w:szCs w:val="20"/>
        </w:rPr>
        <w:t xml:space="preserve">are the responsibility of the </w:t>
      </w:r>
      <w:r w:rsidR="00897C18">
        <w:rPr>
          <w:szCs w:val="20"/>
        </w:rPr>
        <w:t xml:space="preserve">relevant </w:t>
      </w:r>
      <w:r>
        <w:rPr>
          <w:szCs w:val="20"/>
        </w:rPr>
        <w:t xml:space="preserve">filing administration and satellite operators. Accordingly, Australia’s and the ACMA’s role is limited to the domestic licensing of these </w:t>
      </w:r>
      <w:r w:rsidR="00897C18">
        <w:rPr>
          <w:szCs w:val="20"/>
        </w:rPr>
        <w:t xml:space="preserve">satellite </w:t>
      </w:r>
      <w:r>
        <w:rPr>
          <w:szCs w:val="20"/>
        </w:rPr>
        <w:t>systems</w:t>
      </w:r>
      <w:r w:rsidR="000F309E">
        <w:rPr>
          <w:szCs w:val="20"/>
        </w:rPr>
        <w:t>.</w:t>
      </w:r>
    </w:p>
    <w:p w14:paraId="1191953D" w14:textId="760A8DD3" w:rsidR="00A46AC1" w:rsidRDefault="00A46AC1" w:rsidP="00A46AC1">
      <w:pPr>
        <w:pStyle w:val="Paragraph"/>
        <w:rPr>
          <w:szCs w:val="20"/>
        </w:rPr>
      </w:pPr>
      <w:r>
        <w:rPr>
          <w:szCs w:val="20"/>
        </w:rPr>
        <w:t>We acknowledge that this approach can create complexity in the licence application process.</w:t>
      </w:r>
      <w:r w:rsidR="00C100DD">
        <w:rPr>
          <w:rStyle w:val="FootnoteReference"/>
          <w:szCs w:val="20"/>
        </w:rPr>
        <w:footnoteReference w:id="27"/>
      </w:r>
      <w:r>
        <w:rPr>
          <w:szCs w:val="20"/>
        </w:rPr>
        <w:t xml:space="preserve"> For that reason we encourage cooperation and coordination between satellite </w:t>
      </w:r>
      <w:r w:rsidR="00657694">
        <w:rPr>
          <w:szCs w:val="20"/>
        </w:rPr>
        <w:t xml:space="preserve">operators </w:t>
      </w:r>
      <w:r>
        <w:rPr>
          <w:szCs w:val="20"/>
        </w:rPr>
        <w:t>to achieve mutual benefit, without the burden and delays of additional prescriptive regulation.</w:t>
      </w:r>
    </w:p>
    <w:p w14:paraId="19170B72" w14:textId="77777777" w:rsidR="00A46AC1" w:rsidRDefault="00A46AC1" w:rsidP="00A46AC1">
      <w:pPr>
        <w:pStyle w:val="Heading3"/>
      </w:pPr>
      <w:bookmarkStart w:id="126" w:name="_Toc139371655"/>
      <w:bookmarkStart w:id="127" w:name="_Toc144213411"/>
      <w:r>
        <w:t>Discussion of alternative approaches</w:t>
      </w:r>
      <w:bookmarkEnd w:id="126"/>
      <w:bookmarkEnd w:id="127"/>
      <w:r>
        <w:t xml:space="preserve"> </w:t>
      </w:r>
    </w:p>
    <w:p w14:paraId="241ED66E" w14:textId="4D116913" w:rsidR="00A46AC1" w:rsidRDefault="00B72C1C" w:rsidP="008025E3">
      <w:pPr>
        <w:pStyle w:val="Paragraph"/>
        <w:rPr>
          <w:szCs w:val="20"/>
        </w:rPr>
      </w:pPr>
      <w:r>
        <w:rPr>
          <w:szCs w:val="20"/>
        </w:rPr>
        <w:t xml:space="preserve">In </w:t>
      </w:r>
      <w:r w:rsidR="00C1248D">
        <w:rPr>
          <w:szCs w:val="20"/>
        </w:rPr>
        <w:t>developing</w:t>
      </w:r>
      <w:r>
        <w:rPr>
          <w:szCs w:val="20"/>
        </w:rPr>
        <w:t xml:space="preserve"> the 202</w:t>
      </w:r>
      <w:r w:rsidR="00C1248D">
        <w:rPr>
          <w:szCs w:val="20"/>
        </w:rPr>
        <w:t>2</w:t>
      </w:r>
      <w:r w:rsidR="004A2A83">
        <w:rPr>
          <w:szCs w:val="20"/>
        </w:rPr>
        <w:t>-202</w:t>
      </w:r>
      <w:r w:rsidR="00C1248D">
        <w:rPr>
          <w:szCs w:val="20"/>
        </w:rPr>
        <w:t>7</w:t>
      </w:r>
      <w:r w:rsidR="004A2A83">
        <w:rPr>
          <w:szCs w:val="20"/>
        </w:rPr>
        <w:t xml:space="preserve"> FYSO we explore </w:t>
      </w:r>
      <w:r w:rsidR="00C1248D" w:rsidRPr="00C1248D">
        <w:rPr>
          <w:szCs w:val="20"/>
        </w:rPr>
        <w:t>our approach to licensing of space-based communications systems</w:t>
      </w:r>
      <w:r w:rsidR="00005C21">
        <w:rPr>
          <w:rStyle w:val="FootnoteReference"/>
          <w:szCs w:val="20"/>
        </w:rPr>
        <w:footnoteReference w:id="28"/>
      </w:r>
      <w:r w:rsidR="006A2327">
        <w:rPr>
          <w:szCs w:val="20"/>
        </w:rPr>
        <w:t xml:space="preserve">. </w:t>
      </w:r>
      <w:r w:rsidR="009D7923">
        <w:rPr>
          <w:szCs w:val="20"/>
        </w:rPr>
        <w:t>While i</w:t>
      </w:r>
      <w:r w:rsidR="006A2327">
        <w:rPr>
          <w:szCs w:val="20"/>
        </w:rPr>
        <w:t xml:space="preserve">ndustry responses </w:t>
      </w:r>
      <w:r w:rsidR="009D7923">
        <w:rPr>
          <w:szCs w:val="20"/>
        </w:rPr>
        <w:t>supported our current</w:t>
      </w:r>
      <w:r w:rsidR="008025E3">
        <w:rPr>
          <w:szCs w:val="20"/>
        </w:rPr>
        <w:t xml:space="preserve"> approach </w:t>
      </w:r>
      <w:r w:rsidR="005404A3">
        <w:rPr>
          <w:rStyle w:val="FootnoteReference"/>
          <w:szCs w:val="20"/>
        </w:rPr>
        <w:footnoteReference w:id="29"/>
      </w:r>
      <w:r w:rsidR="00A46AC1" w:rsidRPr="00854716">
        <w:rPr>
          <w:szCs w:val="20"/>
        </w:rPr>
        <w:t xml:space="preserve"> we are aware</w:t>
      </w:r>
      <w:r w:rsidR="002625B6">
        <w:rPr>
          <w:szCs w:val="20"/>
        </w:rPr>
        <w:t xml:space="preserve"> </w:t>
      </w:r>
      <w:r w:rsidR="00A46AC1" w:rsidRPr="00854716">
        <w:rPr>
          <w:szCs w:val="20"/>
        </w:rPr>
        <w:t>that different processes are taken by</w:t>
      </w:r>
      <w:r w:rsidR="00A46AC1">
        <w:rPr>
          <w:szCs w:val="20"/>
        </w:rPr>
        <w:t xml:space="preserve"> other </w:t>
      </w:r>
      <w:r w:rsidR="00391359">
        <w:rPr>
          <w:szCs w:val="20"/>
        </w:rPr>
        <w:t xml:space="preserve">national spectrum </w:t>
      </w:r>
      <w:r w:rsidR="00A46AC1">
        <w:rPr>
          <w:szCs w:val="20"/>
        </w:rPr>
        <w:t>regulators. Some regulators of larger markets have more prescriptive approaches to the regulation of satellite systems</w:t>
      </w:r>
      <w:r w:rsidR="00BF1CAC">
        <w:rPr>
          <w:szCs w:val="20"/>
        </w:rPr>
        <w:t>,</w:t>
      </w:r>
      <w:r w:rsidR="00A46AC1">
        <w:rPr>
          <w:szCs w:val="20"/>
        </w:rPr>
        <w:t xml:space="preserve"> including</w:t>
      </w:r>
      <w:r w:rsidR="00BF1CAC">
        <w:rPr>
          <w:szCs w:val="20"/>
        </w:rPr>
        <w:t xml:space="preserve"> public</w:t>
      </w:r>
      <w:r w:rsidR="00A46AC1">
        <w:rPr>
          <w:szCs w:val="20"/>
        </w:rPr>
        <w:t xml:space="preserve"> consultation on applications received. Such approaches are comparatively more interventionist than</w:t>
      </w:r>
      <w:r w:rsidR="00B95926">
        <w:rPr>
          <w:szCs w:val="20"/>
        </w:rPr>
        <w:t xml:space="preserve"> the Australian</w:t>
      </w:r>
      <w:r w:rsidR="00A46AC1" w:rsidDel="00B95926">
        <w:rPr>
          <w:szCs w:val="20"/>
        </w:rPr>
        <w:t xml:space="preserve"> </w:t>
      </w:r>
      <w:r w:rsidR="00A46AC1">
        <w:rPr>
          <w:szCs w:val="20"/>
        </w:rPr>
        <w:t xml:space="preserve">approach, though they can address both ITU satellite filing and domestic licensing as </w:t>
      </w:r>
      <w:r w:rsidR="00BF1CAC">
        <w:rPr>
          <w:szCs w:val="20"/>
        </w:rPr>
        <w:t xml:space="preserve">a </w:t>
      </w:r>
      <w:r w:rsidR="009B5B99">
        <w:rPr>
          <w:szCs w:val="20"/>
        </w:rPr>
        <w:t xml:space="preserve">single </w:t>
      </w:r>
      <w:r w:rsidR="00A46AC1">
        <w:rPr>
          <w:szCs w:val="20"/>
        </w:rPr>
        <w:t>process. These regulatory systems have developed over time to reflect regulatory approaches and the market environment of the countries concerned. To date</w:t>
      </w:r>
      <w:r w:rsidR="00956749">
        <w:rPr>
          <w:szCs w:val="20"/>
        </w:rPr>
        <w:t>,</w:t>
      </w:r>
      <w:r w:rsidR="00A46AC1">
        <w:rPr>
          <w:szCs w:val="20"/>
        </w:rPr>
        <w:t xml:space="preserve"> </w:t>
      </w:r>
      <w:r w:rsidR="007716E0">
        <w:rPr>
          <w:szCs w:val="20"/>
        </w:rPr>
        <w:t>our</w:t>
      </w:r>
      <w:r w:rsidR="00A46AC1">
        <w:rPr>
          <w:szCs w:val="20"/>
        </w:rPr>
        <w:t xml:space="preserve"> view has been that there </w:t>
      </w:r>
      <w:r w:rsidR="00A46AC1" w:rsidRPr="00786A89">
        <w:rPr>
          <w:szCs w:val="20"/>
        </w:rPr>
        <w:t>has been</w:t>
      </w:r>
      <w:r w:rsidR="00A46AC1">
        <w:rPr>
          <w:szCs w:val="20"/>
        </w:rPr>
        <w:t xml:space="preserve"> no need for such systems in Australia</w:t>
      </w:r>
      <w:r w:rsidR="00DD2D0A">
        <w:rPr>
          <w:szCs w:val="20"/>
        </w:rPr>
        <w:t>.</w:t>
      </w:r>
    </w:p>
    <w:p w14:paraId="4E14EE69" w14:textId="529DF65A" w:rsidR="00A46AC1" w:rsidRDefault="00A46AC1" w:rsidP="00A46AC1">
      <w:pPr>
        <w:pStyle w:val="Paragraph"/>
        <w:rPr>
          <w:szCs w:val="20"/>
        </w:rPr>
      </w:pPr>
      <w:r>
        <w:rPr>
          <w:szCs w:val="20"/>
        </w:rPr>
        <w:t xml:space="preserve">A range of interventions </w:t>
      </w:r>
      <w:r w:rsidR="0004573E">
        <w:rPr>
          <w:szCs w:val="20"/>
        </w:rPr>
        <w:t xml:space="preserve">is </w:t>
      </w:r>
      <w:r>
        <w:rPr>
          <w:szCs w:val="20"/>
        </w:rPr>
        <w:t>possible</w:t>
      </w:r>
      <w:r w:rsidR="0004573E">
        <w:rPr>
          <w:szCs w:val="20"/>
        </w:rPr>
        <w:t>,</w:t>
      </w:r>
      <w:r w:rsidR="002C2AAF">
        <w:rPr>
          <w:szCs w:val="20"/>
        </w:rPr>
        <w:t xml:space="preserve"> </w:t>
      </w:r>
      <w:r>
        <w:rPr>
          <w:szCs w:val="20"/>
        </w:rPr>
        <w:t xml:space="preserve">including </w:t>
      </w:r>
      <w:r w:rsidR="002C2AAF">
        <w:rPr>
          <w:szCs w:val="20"/>
        </w:rPr>
        <w:t xml:space="preserve">large upfront bonds, </w:t>
      </w:r>
      <w:r>
        <w:rPr>
          <w:szCs w:val="20"/>
        </w:rPr>
        <w:t>licence application windows (‘processing rounds’ in some countries), public consultations on licence applications, auctioning of licences, and comparative assessment based on ‘benefits’ to be provided, measured against criteria (often called ‘beauty contests’). Some of these interventions are being implemented or considered overseas (</w:t>
      </w:r>
      <w:r w:rsidR="00C55E88">
        <w:rPr>
          <w:szCs w:val="20"/>
        </w:rPr>
        <w:t xml:space="preserve">for example, </w:t>
      </w:r>
      <w:r>
        <w:rPr>
          <w:szCs w:val="20"/>
        </w:rPr>
        <w:t>by Ofcom and the F</w:t>
      </w:r>
      <w:r w:rsidR="001939F0">
        <w:rPr>
          <w:szCs w:val="20"/>
        </w:rPr>
        <w:t>ederal Communications Commission</w:t>
      </w:r>
      <w:r>
        <w:rPr>
          <w:szCs w:val="20"/>
        </w:rPr>
        <w:t>).</w:t>
      </w:r>
      <w:r w:rsidR="00B31FE9">
        <w:rPr>
          <w:szCs w:val="20"/>
        </w:rPr>
        <w:t xml:space="preserve"> </w:t>
      </w:r>
    </w:p>
    <w:p w14:paraId="140B11AE" w14:textId="7793A84D" w:rsidR="00A46AC1" w:rsidRDefault="00A46AC1" w:rsidP="00A46AC1">
      <w:pPr>
        <w:pStyle w:val="Paragraph"/>
        <w:rPr>
          <w:szCs w:val="20"/>
        </w:rPr>
      </w:pPr>
      <w:r>
        <w:rPr>
          <w:szCs w:val="20"/>
        </w:rPr>
        <w:t>Given the global nature of satellite systems, we are cautious about introducing additional regulatory overlays on licensing</w:t>
      </w:r>
      <w:r w:rsidR="00873589">
        <w:rPr>
          <w:szCs w:val="20"/>
        </w:rPr>
        <w:t>,</w:t>
      </w:r>
      <w:r>
        <w:rPr>
          <w:szCs w:val="20"/>
        </w:rPr>
        <w:t xml:space="preserve"> given satellite systems are already subject to ITU processes</w:t>
      </w:r>
      <w:r w:rsidR="007F2F7F">
        <w:rPr>
          <w:szCs w:val="20"/>
        </w:rPr>
        <w:t xml:space="preserve"> and </w:t>
      </w:r>
      <w:r w:rsidR="008A26E1">
        <w:rPr>
          <w:szCs w:val="20"/>
        </w:rPr>
        <w:t>th</w:t>
      </w:r>
      <w:r w:rsidR="005A1556">
        <w:rPr>
          <w:szCs w:val="20"/>
        </w:rPr>
        <w:t xml:space="preserve">at there are </w:t>
      </w:r>
      <w:r w:rsidR="003B60F6">
        <w:rPr>
          <w:szCs w:val="20"/>
        </w:rPr>
        <w:t>established</w:t>
      </w:r>
      <w:r w:rsidR="00EE000C">
        <w:rPr>
          <w:szCs w:val="20"/>
        </w:rPr>
        <w:t xml:space="preserve"> </w:t>
      </w:r>
      <w:r w:rsidR="00A633EF">
        <w:rPr>
          <w:szCs w:val="20"/>
        </w:rPr>
        <w:t>regulator</w:t>
      </w:r>
      <w:r w:rsidR="00570ABE">
        <w:rPr>
          <w:szCs w:val="20"/>
        </w:rPr>
        <w:t xml:space="preserve">y arrangements </w:t>
      </w:r>
      <w:r w:rsidR="00D21908">
        <w:rPr>
          <w:szCs w:val="20"/>
        </w:rPr>
        <w:t xml:space="preserve">in </w:t>
      </w:r>
      <w:r w:rsidR="003B759E">
        <w:rPr>
          <w:szCs w:val="20"/>
        </w:rPr>
        <w:t xml:space="preserve">other major </w:t>
      </w:r>
      <w:r w:rsidR="003B60F6">
        <w:rPr>
          <w:szCs w:val="20"/>
        </w:rPr>
        <w:t>jurisdictions</w:t>
      </w:r>
      <w:r w:rsidR="008A26E1">
        <w:rPr>
          <w:szCs w:val="20"/>
        </w:rPr>
        <w:t xml:space="preserve"> that also </w:t>
      </w:r>
      <w:r w:rsidR="005A1556">
        <w:rPr>
          <w:szCs w:val="20"/>
        </w:rPr>
        <w:t>consider compatibility between satellite systems</w:t>
      </w:r>
      <w:r>
        <w:rPr>
          <w:szCs w:val="20"/>
        </w:rPr>
        <w:t>. It is also likely that such interventions would be burdensome</w:t>
      </w:r>
      <w:r w:rsidR="009E0086">
        <w:rPr>
          <w:szCs w:val="20"/>
        </w:rPr>
        <w:t xml:space="preserve">, </w:t>
      </w:r>
      <w:r w:rsidR="00DC5CE4">
        <w:rPr>
          <w:szCs w:val="20"/>
        </w:rPr>
        <w:t xml:space="preserve">and potentially duplicative </w:t>
      </w:r>
      <w:r w:rsidR="009E0086">
        <w:rPr>
          <w:szCs w:val="20"/>
        </w:rPr>
        <w:t xml:space="preserve">of issues already </w:t>
      </w:r>
      <w:r w:rsidR="00ED2D90">
        <w:rPr>
          <w:szCs w:val="20"/>
        </w:rPr>
        <w:t>considered</w:t>
      </w:r>
      <w:r w:rsidR="005A1556">
        <w:rPr>
          <w:szCs w:val="20"/>
        </w:rPr>
        <w:t xml:space="preserve"> </w:t>
      </w:r>
      <w:r w:rsidR="00DC5CE4">
        <w:rPr>
          <w:szCs w:val="20"/>
        </w:rPr>
        <w:t>by</w:t>
      </w:r>
      <w:r w:rsidR="009E0086">
        <w:rPr>
          <w:szCs w:val="20"/>
        </w:rPr>
        <w:t xml:space="preserve"> othe</w:t>
      </w:r>
      <w:r w:rsidR="00F62E5B">
        <w:rPr>
          <w:szCs w:val="20"/>
        </w:rPr>
        <w:t xml:space="preserve">r </w:t>
      </w:r>
      <w:r w:rsidR="00DC5CE4">
        <w:rPr>
          <w:szCs w:val="20"/>
        </w:rPr>
        <w:t>regulators, with</w:t>
      </w:r>
      <w:r w:rsidR="006B6C6A">
        <w:rPr>
          <w:szCs w:val="20"/>
        </w:rPr>
        <w:t xml:space="preserve"> the potential for </w:t>
      </w:r>
      <w:r>
        <w:rPr>
          <w:szCs w:val="20"/>
        </w:rPr>
        <w:t xml:space="preserve">delays in considering licence applications (especially if public consultation on licence applications </w:t>
      </w:r>
      <w:r w:rsidR="001F1ADA">
        <w:rPr>
          <w:szCs w:val="20"/>
        </w:rPr>
        <w:t xml:space="preserve">were </w:t>
      </w:r>
      <w:r>
        <w:rPr>
          <w:szCs w:val="20"/>
        </w:rPr>
        <w:t xml:space="preserve">introduced). Any interventions are likely to be applied to a licence type, rather than a particular satellite product (that is, interventions would likely apply to all space/space receive licences and possibly earth/earth receive and area-wide apparatus licences to capture gateway earth stations). Therefore, it is not yet clear if additional regulatory intervention by </w:t>
      </w:r>
      <w:r w:rsidR="00E02EFB">
        <w:rPr>
          <w:szCs w:val="20"/>
        </w:rPr>
        <w:t xml:space="preserve">the ACMA would </w:t>
      </w:r>
      <w:r>
        <w:rPr>
          <w:szCs w:val="20"/>
        </w:rPr>
        <w:t>be proportionate to the potential benefits.</w:t>
      </w:r>
    </w:p>
    <w:p w14:paraId="071D26F0" w14:textId="58D71162" w:rsidR="00A46AC1" w:rsidRDefault="00A46AC1" w:rsidP="009F1711">
      <w:pPr>
        <w:pStyle w:val="Paragraph"/>
      </w:pPr>
      <w:r>
        <w:t>While we will continue to monitor domestic and global developments</w:t>
      </w:r>
      <w:r w:rsidR="00A53E77">
        <w:t>,</w:t>
      </w:r>
      <w:r>
        <w:t xml:space="preserve"> </w:t>
      </w:r>
      <w:r w:rsidR="00A53E77">
        <w:t>w</w:t>
      </w:r>
      <w:r>
        <w:t xml:space="preserve">e welcome views on how we </w:t>
      </w:r>
      <w:r w:rsidR="00F609AB">
        <w:t xml:space="preserve">could </w:t>
      </w:r>
      <w:r>
        <w:t>approach the relation</w:t>
      </w:r>
      <w:r w:rsidR="0004573E">
        <w:t>ship</w:t>
      </w:r>
      <w:r>
        <w:t xml:space="preserve"> between licensing and filing in the future. </w:t>
      </w:r>
      <w:r w:rsidR="00505132">
        <w:t xml:space="preserve">In any such </w:t>
      </w:r>
      <w:r w:rsidR="009D2E63">
        <w:t>discussion</w:t>
      </w:r>
      <w:r w:rsidR="0004573E">
        <w:t>,</w:t>
      </w:r>
      <w:r w:rsidR="009D2E63">
        <w:t xml:space="preserve"> it is important to recognise</w:t>
      </w:r>
      <w:r w:rsidDel="00C16FEC">
        <w:t xml:space="preserve"> that </w:t>
      </w:r>
      <w:r w:rsidR="009D2E63">
        <w:t>a</w:t>
      </w:r>
      <w:r>
        <w:t xml:space="preserve">n ITU filing date does </w:t>
      </w:r>
      <w:r>
        <w:lastRenderedPageBreak/>
        <w:t>not give priority</w:t>
      </w:r>
      <w:r>
        <w:rPr>
          <w:rStyle w:val="FootnoteReference"/>
          <w:szCs w:val="20"/>
        </w:rPr>
        <w:footnoteReference w:id="30"/>
      </w:r>
      <w:r>
        <w:t xml:space="preserve"> over existing services in Australia (nor </w:t>
      </w:r>
      <w:r w:rsidR="00A96A0D">
        <w:t xml:space="preserve">does it affect </w:t>
      </w:r>
      <w:r>
        <w:t>how the ACMA consider</w:t>
      </w:r>
      <w:r w:rsidR="00A96A0D">
        <w:t>s</w:t>
      </w:r>
      <w:r>
        <w:t xml:space="preserve"> the impact on Australia</w:t>
      </w:r>
      <w:r w:rsidR="00C16FEC">
        <w:t>n-</w:t>
      </w:r>
      <w:r>
        <w:t>filed satellite systems) as licence applications are assess</w:t>
      </w:r>
      <w:r w:rsidR="008F459C">
        <w:t>ed</w:t>
      </w:r>
      <w:r>
        <w:t xml:space="preserve"> under the </w:t>
      </w:r>
      <w:r w:rsidR="0004573E">
        <w:t xml:space="preserve">Radiocommunications </w:t>
      </w:r>
      <w:r>
        <w:t xml:space="preserve">Act as described above. </w:t>
      </w:r>
    </w:p>
    <w:p w14:paraId="2806FA31" w14:textId="7F1B05C0" w:rsidR="00A46AC1" w:rsidRDefault="00A46AC1" w:rsidP="009F1711">
      <w:pPr>
        <w:pStyle w:val="Paragraph"/>
      </w:pPr>
      <w:r>
        <w:t xml:space="preserve">We are interested in views from operators with deployed </w:t>
      </w:r>
      <w:r w:rsidR="00A3483F">
        <w:t xml:space="preserve">satellite systems </w:t>
      </w:r>
      <w:r>
        <w:t xml:space="preserve">serving Australia, potential aspirants, industries that would benefit from new services and other users of spectrum. We are particularly interested in views on whether a case exists for us to investigate potential additional </w:t>
      </w:r>
      <w:r w:rsidR="008C0465">
        <w:t xml:space="preserve">domestic </w:t>
      </w:r>
      <w:r>
        <w:t xml:space="preserve">regulatory intervention. If so, what might these interventions look like and how might they interact with arrangements in other major markets?  </w:t>
      </w:r>
    </w:p>
    <w:p w14:paraId="2EB8FF98" w14:textId="4AB89CB9" w:rsidR="00A46AC1" w:rsidRDefault="00A46AC1" w:rsidP="00A46AC1">
      <w:pPr>
        <w:pStyle w:val="Paragraph"/>
      </w:pPr>
      <w:r>
        <w:t xml:space="preserve">We note that any </w:t>
      </w:r>
      <w:r w:rsidR="003727C5">
        <w:t xml:space="preserve">future </w:t>
      </w:r>
      <w:r>
        <w:t xml:space="preserve">work </w:t>
      </w:r>
      <w:r w:rsidR="003727C5">
        <w:t>will be considered as part of the ACMA’s annual work program outlined in the F</w:t>
      </w:r>
      <w:r w:rsidR="000C2599">
        <w:t>YSO</w:t>
      </w:r>
      <w:r w:rsidR="003727C5">
        <w:t>.</w:t>
      </w:r>
    </w:p>
    <w:p w14:paraId="0A32433D" w14:textId="276B5B2D" w:rsidR="00A46AC1" w:rsidRDefault="00A46AC1" w:rsidP="00A46AC1">
      <w:pPr>
        <w:pStyle w:val="Heading2"/>
      </w:pPr>
      <w:bookmarkStart w:id="128" w:name="_Ref138752244"/>
      <w:bookmarkStart w:id="129" w:name="_Ref138752296"/>
      <w:bookmarkStart w:id="130" w:name="_Toc139371656"/>
      <w:bookmarkStart w:id="131" w:name="_Toc144213412"/>
      <w:r>
        <w:t>Large NGSO satellite systems</w:t>
      </w:r>
      <w:bookmarkEnd w:id="128"/>
      <w:bookmarkEnd w:id="129"/>
      <w:bookmarkEnd w:id="130"/>
      <w:bookmarkEnd w:id="131"/>
    </w:p>
    <w:p w14:paraId="454A268B" w14:textId="0A8B47EC" w:rsidR="00A46AC1" w:rsidRPr="00C81938" w:rsidRDefault="00A46AC1" w:rsidP="00A46AC1">
      <w:pPr>
        <w:pStyle w:val="Paragraphbeforelist"/>
      </w:pPr>
      <w:r w:rsidRPr="00C81938">
        <w:t xml:space="preserve">While large NGSO </w:t>
      </w:r>
      <w:r w:rsidR="00922129">
        <w:t>satellite</w:t>
      </w:r>
      <w:r w:rsidRPr="00C81938">
        <w:t xml:space="preserve"> systems bring the benefits of lower latency and greater capacity, we are aware of concerns that the emergence of operational and planned large NGSO systems will result in an increasingly contested spectrum environment, </w:t>
      </w:r>
      <w:r w:rsidR="008C1E75">
        <w:t xml:space="preserve">potentially </w:t>
      </w:r>
      <w:r w:rsidRPr="00C81938">
        <w:t>placing pressure on established spectrum frameworks and raising questions of competition and equitable access. While there is no consensus in the satellite industry on the issues and possible treatment, commonly expressed concerns include:</w:t>
      </w:r>
    </w:p>
    <w:p w14:paraId="48B582DB" w14:textId="34BC2D4F" w:rsidR="00A46AC1" w:rsidRPr="00C81938" w:rsidRDefault="00A46AC1" w:rsidP="00A46AC1">
      <w:pPr>
        <w:pStyle w:val="Bulletlevel1"/>
      </w:pPr>
      <w:r w:rsidRPr="00C81938">
        <w:t>supporting early innovators (providers of NGSO</w:t>
      </w:r>
      <w:r w:rsidR="00610AA0">
        <w:t xml:space="preserve"> satellite systems</w:t>
      </w:r>
      <w:r w:rsidRPr="00C81938">
        <w:t xml:space="preserve">) will hinder the development of future </w:t>
      </w:r>
      <w:r w:rsidR="009A4AE4">
        <w:t>satellite</w:t>
      </w:r>
      <w:r w:rsidRPr="00C81938">
        <w:t xml:space="preserve"> systems because of interference concerns (potentially restricting future competition)</w:t>
      </w:r>
    </w:p>
    <w:p w14:paraId="7669D5A9" w14:textId="77777777" w:rsidR="00A46AC1" w:rsidRPr="00C81938" w:rsidRDefault="00A46AC1" w:rsidP="00A46AC1">
      <w:pPr>
        <w:pStyle w:val="Bulletlevel1"/>
      </w:pPr>
      <w:r w:rsidRPr="00C81938">
        <w:t>to avoid in-line interference events, separation of hundreds of kilometres is required between NGSO gateways</w:t>
      </w:r>
      <w:r w:rsidRPr="00C81938">
        <w:rPr>
          <w:rStyle w:val="FootnoteReference"/>
        </w:rPr>
        <w:footnoteReference w:id="31"/>
      </w:r>
    </w:p>
    <w:p w14:paraId="5536A6E2" w14:textId="738753E6" w:rsidR="00A46AC1" w:rsidRPr="00C81938" w:rsidRDefault="00A46AC1" w:rsidP="00A46AC1">
      <w:pPr>
        <w:pStyle w:val="Bulletlevel1last"/>
      </w:pPr>
      <w:r w:rsidRPr="00C81938">
        <w:t>congested orbits and large NGSO systems may constrain the capacity/throughput of GSO satellites and small NGSO satellites.</w:t>
      </w:r>
      <w:r w:rsidRPr="00C81938">
        <w:rPr>
          <w:rStyle w:val="FootnoteReference"/>
        </w:rPr>
        <w:footnoteReference w:id="32"/>
      </w:r>
      <w:r w:rsidRPr="00C81938">
        <w:t xml:space="preserve">  </w:t>
      </w:r>
    </w:p>
    <w:p w14:paraId="2CAD1AEC" w14:textId="5F8212C2" w:rsidR="00A46AC1" w:rsidRPr="00C81938" w:rsidRDefault="00A46AC1" w:rsidP="00A46AC1">
      <w:r w:rsidRPr="00C81938">
        <w:t>We are alert to the various perspectives on ‘congestion of space’, orbital debris and the potential impact on optical astronomy raised by the current resurgence in interest in the use of large constellations. However</w:t>
      </w:r>
      <w:r w:rsidR="007B5476">
        <w:t>,</w:t>
      </w:r>
      <w:r w:rsidRPr="00C81938" w:rsidDel="003D18E8">
        <w:t xml:space="preserve"> these matters </w:t>
      </w:r>
      <w:r w:rsidRPr="00C81938">
        <w:t xml:space="preserve">are related to the physical objects in orbit and are primarily the responsibility of the nation launching these </w:t>
      </w:r>
      <w:r w:rsidR="00E719BB">
        <w:t>satellite systems</w:t>
      </w:r>
      <w:r w:rsidR="003D18E8">
        <w:t>, which in Australia is</w:t>
      </w:r>
      <w:r w:rsidR="00870C5F">
        <w:t xml:space="preserve"> the Australian Space Agency as the relevant regulator</w:t>
      </w:r>
      <w:r w:rsidRPr="00C81938">
        <w:t xml:space="preserve">. Nonetheless, we are aware that </w:t>
      </w:r>
      <w:bookmarkStart w:id="132" w:name="_Hlk97134441"/>
      <w:r w:rsidRPr="00C81938">
        <w:t xml:space="preserve">these concerns are discussed at the </w:t>
      </w:r>
      <w:hyperlink r:id="rId43" w:history="1">
        <w:r w:rsidR="006C672F">
          <w:rPr>
            <w:rStyle w:val="Hyperlink"/>
          </w:rPr>
          <w:t xml:space="preserve">United Nations Office for Outer Space Affairs </w:t>
        </w:r>
      </w:hyperlink>
      <w:r w:rsidRPr="00C81938">
        <w:t>Committee on the Peaceful Uses of Outer Space</w:t>
      </w:r>
      <w:bookmarkEnd w:id="132"/>
      <w:r w:rsidRPr="00C81938">
        <w:t>, a forum that the Australian Space Agency participates in as part of the Department of Industry, Science and Resources.</w:t>
      </w:r>
      <w:r w:rsidRPr="00C81938">
        <w:rPr>
          <w:rStyle w:val="FootnoteReference"/>
        </w:rPr>
        <w:footnoteReference w:id="33"/>
      </w:r>
      <w:r w:rsidRPr="00C81938">
        <w:t xml:space="preserve">  </w:t>
      </w:r>
    </w:p>
    <w:p w14:paraId="07EE9C04" w14:textId="129207C0" w:rsidR="00A46AC1" w:rsidRDefault="00A46AC1" w:rsidP="00A46AC1">
      <w:r w:rsidRPr="00C81938">
        <w:lastRenderedPageBreak/>
        <w:t xml:space="preserve">While </w:t>
      </w:r>
      <w:proofErr w:type="gramStart"/>
      <w:r w:rsidRPr="00C81938">
        <w:t>a number of</w:t>
      </w:r>
      <w:proofErr w:type="gramEnd"/>
      <w:r w:rsidRPr="00C81938">
        <w:t xml:space="preserve"> the large NGSO constellations have authorisations to provide services in other markets such as the US</w:t>
      </w:r>
      <w:r w:rsidR="007B5476">
        <w:t>,</w:t>
      </w:r>
      <w:r w:rsidR="00415889" w:rsidRPr="00C81938">
        <w:rPr>
          <w:rStyle w:val="FootnoteReference"/>
        </w:rPr>
        <w:footnoteReference w:id="34"/>
      </w:r>
      <w:r w:rsidRPr="00C81938">
        <w:t xml:space="preserve"> </w:t>
      </w:r>
      <w:r w:rsidR="00AD797D">
        <w:t>only a few</w:t>
      </w:r>
      <w:r w:rsidR="0091315C">
        <w:t xml:space="preserve"> a</w:t>
      </w:r>
      <w:r w:rsidRPr="00C81938">
        <w:t>re active in the Australian market.</w:t>
      </w:r>
      <w:r w:rsidR="00562C27">
        <w:t xml:space="preserve"> </w:t>
      </w:r>
      <w:r w:rsidR="00395FD5">
        <w:rPr>
          <w:rFonts w:cs="Arial"/>
          <w:szCs w:val="20"/>
        </w:rPr>
        <w:t>Satellite systems authorised for operation in Australia have been granted authorisation under our current long-standing approach that relies heavily on the framework provided by the ITU for the global management of spectrum and satellite orbit resource</w:t>
      </w:r>
      <w:r w:rsidR="009F2139">
        <w:rPr>
          <w:rFonts w:cs="Arial"/>
          <w:szCs w:val="20"/>
        </w:rPr>
        <w:t>s</w:t>
      </w:r>
      <w:r w:rsidR="00395FD5">
        <w:rPr>
          <w:rFonts w:cs="Arial"/>
          <w:szCs w:val="20"/>
        </w:rPr>
        <w:t xml:space="preserve">. This is consistent with the Australian Government’s default principle which encourages regulators to not impose any additional requirements for operating in Australia if a system, </w:t>
      </w:r>
      <w:proofErr w:type="gramStart"/>
      <w:r w:rsidR="00395FD5">
        <w:rPr>
          <w:rFonts w:cs="Arial"/>
          <w:szCs w:val="20"/>
        </w:rPr>
        <w:t>service</w:t>
      </w:r>
      <w:proofErr w:type="gramEnd"/>
      <w:r w:rsidR="00395FD5">
        <w:rPr>
          <w:rFonts w:cs="Arial"/>
          <w:szCs w:val="20"/>
        </w:rPr>
        <w:t xml:space="preserve"> or product has been approved under a trusted international standard or risk assessment, unless it can be demonstrated that there is a good reason to do so. This approach aligns with Australia’s</w:t>
      </w:r>
      <w:r w:rsidR="00684A10">
        <w:rPr>
          <w:rFonts w:cs="Arial"/>
          <w:szCs w:val="20"/>
        </w:rPr>
        <w:t xml:space="preserve"> </w:t>
      </w:r>
      <w:hyperlink r:id="rId44" w:history="1">
        <w:r w:rsidR="00684A10" w:rsidRPr="00E867F2">
          <w:rPr>
            <w:rStyle w:val="Hyperlink"/>
            <w:rFonts w:cs="Arial"/>
            <w:szCs w:val="20"/>
          </w:rPr>
          <w:t>commitment</w:t>
        </w:r>
      </w:hyperlink>
      <w:r w:rsidR="00395FD5">
        <w:rPr>
          <w:rFonts w:cs="Arial"/>
          <w:szCs w:val="20"/>
        </w:rPr>
        <w:t xml:space="preserve"> to use </w:t>
      </w:r>
      <w:r w:rsidR="004813A0" w:rsidRPr="00117667">
        <w:t>trusted international standards and risk assessments</w:t>
      </w:r>
      <w:r w:rsidR="002208E8">
        <w:rPr>
          <w:rFonts w:cs="Arial"/>
          <w:szCs w:val="20"/>
          <w:u w:color="0000FF"/>
        </w:rPr>
        <w:t xml:space="preserve"> </w:t>
      </w:r>
      <w:r w:rsidR="004813A0" w:rsidRPr="00117667">
        <w:t>under the World Trade Organization’s Technical Barriers to Trade Agreement</w:t>
      </w:r>
      <w:r w:rsidR="00426CB0" w:rsidRPr="00C81938">
        <w:t>.</w:t>
      </w:r>
    </w:p>
    <w:p w14:paraId="67E3F57B" w14:textId="1977D7EF" w:rsidR="00A46AC1" w:rsidRPr="00C81938" w:rsidRDefault="00A46AC1" w:rsidP="00A46AC1">
      <w:r>
        <w:t xml:space="preserve">To date we have not filed a large NGSO </w:t>
      </w:r>
      <w:r w:rsidR="00DA2C96">
        <w:t xml:space="preserve">satellite </w:t>
      </w:r>
      <w:r>
        <w:t xml:space="preserve">system so our role has been limited to the licensing </w:t>
      </w:r>
      <w:r w:rsidR="00353AA1">
        <w:t xml:space="preserve">of </w:t>
      </w:r>
      <w:r>
        <w:t xml:space="preserve">such systems. At this stage we are not proposing any changes to our filing procedures specifically for large NGSO systems as our view is that our procedures can apply equally in scope to all types of satellite systems. We are interested in views from industry as to whether changes are required. </w:t>
      </w:r>
    </w:p>
    <w:p w14:paraId="139C2BA6" w14:textId="3D69D9DE" w:rsidR="00A46AC1" w:rsidRPr="001F5F00" w:rsidRDefault="00A46AC1" w:rsidP="00A46AC1">
      <w:pPr>
        <w:pStyle w:val="Heading2"/>
      </w:pPr>
      <w:bookmarkStart w:id="133" w:name="_Toc136616840"/>
      <w:bookmarkStart w:id="134" w:name="_Toc139371658"/>
      <w:bookmarkStart w:id="135" w:name="_Toc144213413"/>
      <w:r>
        <w:t>Critical infrastructure</w:t>
      </w:r>
      <w:bookmarkEnd w:id="133"/>
      <w:bookmarkEnd w:id="134"/>
      <w:bookmarkEnd w:id="135"/>
    </w:p>
    <w:p w14:paraId="69433061" w14:textId="2972C2FC" w:rsidR="00A46AC1" w:rsidRDefault="00A46AC1" w:rsidP="003767B2">
      <w:pPr>
        <w:pStyle w:val="Paragraph"/>
      </w:pPr>
      <w:r w:rsidRPr="00AF7B54">
        <w:t>The Department of Home Affairs is the lead Australian Government agency for critical infrastructure</w:t>
      </w:r>
      <w:r>
        <w:t xml:space="preserve">. </w:t>
      </w:r>
      <w:r w:rsidRPr="00552D44">
        <w:t xml:space="preserve">Critical infrastructure </w:t>
      </w:r>
      <w:r w:rsidR="00D456AD">
        <w:t xml:space="preserve">is infrastructure that </w:t>
      </w:r>
      <w:r w:rsidRPr="00552D44">
        <w:t>provides services that are essential for everyday life such as energy, food, water, transport, communications, health</w:t>
      </w:r>
      <w:r w:rsidR="000F00C3">
        <w:t>,</w:t>
      </w:r>
      <w:r w:rsidRPr="00552D44">
        <w:t xml:space="preserve"> </w:t>
      </w:r>
      <w:proofErr w:type="gramStart"/>
      <w:r w:rsidRPr="00552D44">
        <w:t>banking</w:t>
      </w:r>
      <w:proofErr w:type="gramEnd"/>
      <w:r w:rsidRPr="00552D44">
        <w:t xml:space="preserve"> and finance.</w:t>
      </w:r>
    </w:p>
    <w:p w14:paraId="51A3F877" w14:textId="241C6164" w:rsidR="00A46AC1" w:rsidRDefault="00A46AC1" w:rsidP="003767B2">
      <w:pPr>
        <w:pStyle w:val="Paragraph"/>
      </w:pPr>
      <w:r>
        <w:t xml:space="preserve">Space </w:t>
      </w:r>
      <w:r w:rsidR="00DA2C96">
        <w:t>t</w:t>
      </w:r>
      <w:r>
        <w:t>echnology is a c</w:t>
      </w:r>
      <w:r w:rsidRPr="00B336BE">
        <w:t xml:space="preserve">ritical infrastructure sector </w:t>
      </w:r>
      <w:r>
        <w:t xml:space="preserve">identified </w:t>
      </w:r>
      <w:r w:rsidRPr="00B336BE">
        <w:t xml:space="preserve">under the </w:t>
      </w:r>
      <w:hyperlink r:id="rId45" w:history="1">
        <w:r w:rsidRPr="00485ABB">
          <w:rPr>
            <w:rStyle w:val="Hyperlink"/>
            <w:i/>
          </w:rPr>
          <w:t>Security of Critical Infrastructure Act 2018</w:t>
        </w:r>
      </w:hyperlink>
      <w:r w:rsidR="00B4602E">
        <w:t>.</w:t>
      </w:r>
      <w:r w:rsidR="00326671">
        <w:t xml:space="preserve"> </w:t>
      </w:r>
      <w:r w:rsidR="00B4602E">
        <w:t>H</w:t>
      </w:r>
      <w:r>
        <w:t>owever</w:t>
      </w:r>
      <w:r w:rsidR="00B4602E">
        <w:t>,</w:t>
      </w:r>
      <w:r>
        <w:t xml:space="preserve"> </w:t>
      </w:r>
      <w:r w:rsidR="00326671">
        <w:t xml:space="preserve">the </w:t>
      </w:r>
      <w:r>
        <w:t xml:space="preserve">critical infrastructure regime is not directly relevant to the </w:t>
      </w:r>
      <w:r w:rsidR="00203D09">
        <w:t xml:space="preserve">requirements for </w:t>
      </w:r>
      <w:r>
        <w:t xml:space="preserve">filing satellite systems, </w:t>
      </w:r>
      <w:r w:rsidR="00203D09">
        <w:t xml:space="preserve">these critical infrastructure obligations may </w:t>
      </w:r>
      <w:r>
        <w:t xml:space="preserve">result in a future obligation on a satellite operator once they have built the proposed satellite system. </w:t>
      </w:r>
    </w:p>
    <w:p w14:paraId="1A7FD768" w14:textId="589B473E" w:rsidR="00A46AC1" w:rsidRDefault="00A46AC1" w:rsidP="00A46AC1">
      <w:pPr>
        <w:pStyle w:val="Paragraph"/>
      </w:pPr>
      <w:r>
        <w:t xml:space="preserve">At this stage we are monitoring developments and see no need to include reference to critical infrastructure requirements as part of our assessment of </w:t>
      </w:r>
      <w:r w:rsidR="00F50D84">
        <w:t xml:space="preserve">satellite </w:t>
      </w:r>
      <w:r>
        <w:t xml:space="preserve">filing </w:t>
      </w:r>
      <w:r w:rsidR="00F50D84">
        <w:t>applications</w:t>
      </w:r>
      <w:r>
        <w:t>.</w:t>
      </w:r>
    </w:p>
    <w:p w14:paraId="35777305" w14:textId="41917909" w:rsidR="00A46AC1" w:rsidRDefault="00A46AC1" w:rsidP="00A46AC1">
      <w:pPr>
        <w:pStyle w:val="Paragraph"/>
      </w:pPr>
      <w:r>
        <w:t xml:space="preserve">Further information on critical infrastructure is available on the </w:t>
      </w:r>
      <w:hyperlink r:id="rId46" w:history="1">
        <w:r w:rsidRPr="002E611E">
          <w:rPr>
            <w:rStyle w:val="Hyperlink"/>
          </w:rPr>
          <w:t>website</w:t>
        </w:r>
      </w:hyperlink>
      <w:r>
        <w:t xml:space="preserve"> of </w:t>
      </w:r>
      <w:r w:rsidR="00B73ABE">
        <w:t xml:space="preserve">the </w:t>
      </w:r>
      <w:r>
        <w:t>Department of Home Affairs.</w:t>
      </w:r>
    </w:p>
    <w:p w14:paraId="1485E9EA" w14:textId="4C2EB511" w:rsidR="00243A09" w:rsidRPr="00251E5A" w:rsidRDefault="00243A09" w:rsidP="00243A09">
      <w:pPr>
        <w:pStyle w:val="Heading2"/>
      </w:pPr>
      <w:bookmarkStart w:id="136" w:name="_Toc144213414"/>
      <w:r w:rsidRPr="004F01B2">
        <w:t>ITU cost recovery</w:t>
      </w:r>
      <w:bookmarkEnd w:id="136"/>
    </w:p>
    <w:p w14:paraId="706B624A" w14:textId="77777777" w:rsidR="00243A09" w:rsidRDefault="00243A09" w:rsidP="00243A09">
      <w:r>
        <w:t>Submission of a satellite filing to the ITU attracts cost recovery charges from the ITU which can range from a few hundred to tens of thousands of Australian dollars, depending on the complexity of the filing.</w:t>
      </w:r>
      <w:r>
        <w:rPr>
          <w:rStyle w:val="FootnoteReference"/>
        </w:rPr>
        <w:footnoteReference w:id="35"/>
      </w:r>
      <w:r>
        <w:t xml:space="preserve"> In each calendar year, the ITU offers national administrations one filing that is free of charge. The national administration may choose which filing receives the free entitlement. </w:t>
      </w:r>
    </w:p>
    <w:p w14:paraId="62A6AF23" w14:textId="4261BB33" w:rsidR="00243A09" w:rsidRDefault="00243A09" w:rsidP="00243A09">
      <w:r>
        <w:lastRenderedPageBreak/>
        <w:t xml:space="preserve">Our </w:t>
      </w:r>
      <w:r w:rsidR="00A568A1">
        <w:t xml:space="preserve">current </w:t>
      </w:r>
      <w:r>
        <w:t>filing procedures do not make any provision on how this free entitlement is to be used. The ACMA has only taken up the offer on 2 previous occasions</w:t>
      </w:r>
      <w:r>
        <w:rPr>
          <w:rStyle w:val="FootnoteReference"/>
        </w:rPr>
        <w:footnoteReference w:id="36"/>
      </w:r>
      <w:r w:rsidR="00240867">
        <w:t xml:space="preserve"> – </w:t>
      </w:r>
      <w:r>
        <w:t xml:space="preserve">in all other years the entitlement was forgone. </w:t>
      </w:r>
    </w:p>
    <w:p w14:paraId="2F99AE1A" w14:textId="7E5607A7" w:rsidR="00243A09" w:rsidRDefault="00243A09" w:rsidP="00243A09">
      <w:r>
        <w:t>As financial viability of the applicant is part of our assessment process, which includes the ability to pay all relevant ITU charge</w:t>
      </w:r>
      <w:r w:rsidR="00C2647A">
        <w:t>s</w:t>
      </w:r>
      <w:r>
        <w:t xml:space="preserve">, our view is that there is </w:t>
      </w:r>
      <w:r w:rsidR="00C2647A">
        <w:t>limited justification</w:t>
      </w:r>
      <w:r>
        <w:t xml:space="preserve"> for providing a </w:t>
      </w:r>
      <w:r w:rsidR="00003529">
        <w:t xml:space="preserve">satellite </w:t>
      </w:r>
      <w:r>
        <w:t xml:space="preserve">operator </w:t>
      </w:r>
      <w:r w:rsidR="00003529">
        <w:t xml:space="preserve">with </w:t>
      </w:r>
      <w:r>
        <w:t xml:space="preserve">use of the entitlement. Doing so would provide financial </w:t>
      </w:r>
      <w:r w:rsidR="00E24E04">
        <w:t xml:space="preserve">assistance </w:t>
      </w:r>
      <w:r>
        <w:t xml:space="preserve">which would be contradictory to the </w:t>
      </w:r>
      <w:r w:rsidR="00E24E04">
        <w:t>requirement that applicants are</w:t>
      </w:r>
      <w:r>
        <w:t xml:space="preserve"> financially viable.</w:t>
      </w:r>
    </w:p>
    <w:p w14:paraId="35B8F3DD" w14:textId="2B68AA63" w:rsidR="00243A09" w:rsidRDefault="00243A09" w:rsidP="00243A09">
      <w:r>
        <w:t>For this reason</w:t>
      </w:r>
      <w:r w:rsidR="007B5476">
        <w:t>,</w:t>
      </w:r>
      <w:r>
        <w:t xml:space="preserve"> we have included advice in the </w:t>
      </w:r>
      <w:r w:rsidR="001C4AB3">
        <w:t xml:space="preserve">draft </w:t>
      </w:r>
      <w:r>
        <w:t>revised filing procedures that our normal practice will be to not utilise the free filing entitlement as satellite operators are required to be financially viable with the ability to pay ITU charges.</w:t>
      </w:r>
      <w:r w:rsidR="00090F31">
        <w:t xml:space="preserve"> However, we are open to views from industry on alternative approaches</w:t>
      </w:r>
      <w:r w:rsidR="00A568A1">
        <w:t>.</w:t>
      </w:r>
    </w:p>
    <w:p w14:paraId="4284502C" w14:textId="09A3F9E5" w:rsidR="00A46AC1" w:rsidRDefault="00A46AC1" w:rsidP="00A46AC1">
      <w:pPr>
        <w:pStyle w:val="Heading2"/>
      </w:pPr>
      <w:bookmarkStart w:id="137" w:name="_Toc139371659"/>
      <w:bookmarkStart w:id="138" w:name="_Toc144213415"/>
      <w:r>
        <w:t>ITU</w:t>
      </w:r>
      <w:bookmarkEnd w:id="137"/>
      <w:r w:rsidR="00243A09">
        <w:t xml:space="preserve"> R</w:t>
      </w:r>
      <w:r w:rsidR="00610EB5">
        <w:t>adio Regulations Board</w:t>
      </w:r>
      <w:r w:rsidR="00061143">
        <w:t xml:space="preserve"> (RRB)</w:t>
      </w:r>
      <w:bookmarkEnd w:id="138"/>
    </w:p>
    <w:p w14:paraId="69047B27" w14:textId="7D88726A" w:rsidR="00A46AC1" w:rsidRDefault="00A46AC1" w:rsidP="00A46AC1">
      <w:pPr>
        <w:pStyle w:val="Paragraph"/>
      </w:pPr>
      <w:r>
        <w:t xml:space="preserve">The </w:t>
      </w:r>
      <w:r w:rsidR="00BC3C66">
        <w:t xml:space="preserve">RRB </w:t>
      </w:r>
      <w:r>
        <w:t>identifies, amongst other matters, emerging issues in satellite coordination in a r</w:t>
      </w:r>
      <w:r w:rsidRPr="00E72CAE">
        <w:t xml:space="preserve">eport </w:t>
      </w:r>
      <w:r>
        <w:t xml:space="preserve">to each WRC. The current draft of the </w:t>
      </w:r>
      <w:r w:rsidR="00106800">
        <w:t xml:space="preserve">RRB </w:t>
      </w:r>
      <w:r>
        <w:t>report to WRC-23</w:t>
      </w:r>
      <w:r>
        <w:rPr>
          <w:rStyle w:val="FootnoteReference"/>
        </w:rPr>
        <w:footnoteReference w:id="37"/>
      </w:r>
      <w:r>
        <w:t xml:space="preserve"> has r</w:t>
      </w:r>
      <w:r w:rsidRPr="00523F60">
        <w:t xml:space="preserve">ecommendations </w:t>
      </w:r>
      <w:r>
        <w:t xml:space="preserve">from the RRB </w:t>
      </w:r>
      <w:r w:rsidRPr="00523F60">
        <w:t xml:space="preserve">regarding provisions of the </w:t>
      </w:r>
      <w:r w:rsidR="002A7980">
        <w:t>Radio Regulations</w:t>
      </w:r>
      <w:r w:rsidRPr="00523F60">
        <w:t xml:space="preserve"> for enhancing the linkage between the notification, coordination and registration procedures</w:t>
      </w:r>
      <w:r w:rsidR="00751E0F">
        <w:t>,</w:t>
      </w:r>
      <w:r w:rsidRPr="00523F60">
        <w:t xml:space="preserve"> and the basic principles concerning the use of the radiofrequency spectrum and satellite orbits</w:t>
      </w:r>
      <w:r>
        <w:t xml:space="preserve"> for consideration </w:t>
      </w:r>
      <w:r w:rsidRPr="00523F60">
        <w:t>at WRC-23</w:t>
      </w:r>
      <w:r>
        <w:t>.</w:t>
      </w:r>
    </w:p>
    <w:p w14:paraId="3CC5DF4B" w14:textId="6C8B38E5" w:rsidR="005C7CC7" w:rsidRDefault="00A46AC1" w:rsidP="00052D71">
      <w:pPr>
        <w:pStyle w:val="Paragraphbeforelist"/>
      </w:pPr>
      <w:r>
        <w:t xml:space="preserve">There are </w:t>
      </w:r>
      <w:proofErr w:type="gramStart"/>
      <w:r>
        <w:t>a number of</w:t>
      </w:r>
      <w:proofErr w:type="gramEnd"/>
      <w:r>
        <w:t xml:space="preserve"> issues which we are monitoring, which depending on how</w:t>
      </w:r>
      <w:r w:rsidR="006552CE">
        <w:t xml:space="preserve"> they are</w:t>
      </w:r>
      <w:r>
        <w:t xml:space="preserve"> treated at WRC-23, might have relevance to both our radiocommunication</w:t>
      </w:r>
      <w:r w:rsidR="006552CE">
        <w:t>s</w:t>
      </w:r>
      <w:r>
        <w:t xml:space="preserve"> licensing and satellite filing procedures. These </w:t>
      </w:r>
      <w:r w:rsidRPr="00CF0174">
        <w:t>are</w:t>
      </w:r>
      <w:r w:rsidR="00CF0174">
        <w:t>:</w:t>
      </w:r>
    </w:p>
    <w:p w14:paraId="43297246" w14:textId="1EB83504" w:rsidR="00A46AC1" w:rsidRDefault="00061143" w:rsidP="00A46AC1">
      <w:pPr>
        <w:pStyle w:val="ListBullet"/>
      </w:pPr>
      <w:r>
        <w:t>r</w:t>
      </w:r>
      <w:r w:rsidR="00A46AC1">
        <w:t>equest for extension to satellite systems bringing into use timelines (</w:t>
      </w:r>
      <w:r w:rsidR="007E3F6F">
        <w:t xml:space="preserve">draft </w:t>
      </w:r>
      <w:r w:rsidR="00736A2B">
        <w:t xml:space="preserve">RRB </w:t>
      </w:r>
      <w:r w:rsidR="005E2D3C">
        <w:t xml:space="preserve">report section </w:t>
      </w:r>
      <w:r w:rsidR="00A46AC1">
        <w:t>4.3)</w:t>
      </w:r>
    </w:p>
    <w:p w14:paraId="2811BAAD" w14:textId="1BD6A396" w:rsidR="00A46AC1" w:rsidRDefault="00061143" w:rsidP="00A46AC1">
      <w:pPr>
        <w:pStyle w:val="ListBullet"/>
      </w:pPr>
      <w:r>
        <w:t>s</w:t>
      </w:r>
      <w:r w:rsidR="00A46AC1">
        <w:t>atellite coordination difficulties and filing priority (</w:t>
      </w:r>
      <w:r w:rsidR="005E2D3C">
        <w:t xml:space="preserve">section </w:t>
      </w:r>
      <w:r w:rsidR="00A46AC1">
        <w:t>4.6)</w:t>
      </w:r>
    </w:p>
    <w:p w14:paraId="4B33511E" w14:textId="144E7B43" w:rsidR="00A46AC1" w:rsidRDefault="00061143" w:rsidP="00A46AC1">
      <w:pPr>
        <w:pStyle w:val="ListBullet"/>
      </w:pPr>
      <w:r>
        <w:t>u</w:t>
      </w:r>
      <w:r w:rsidR="00A46AC1">
        <w:t xml:space="preserve">se </w:t>
      </w:r>
      <w:r w:rsidR="00B1531F">
        <w:t>of</w:t>
      </w:r>
      <w:r w:rsidR="00A46AC1">
        <w:t xml:space="preserve"> WRC Plenary minutes (4.9)</w:t>
      </w:r>
    </w:p>
    <w:p w14:paraId="0ABBD6AD" w14:textId="5F2E4BE0" w:rsidR="00A46AC1" w:rsidRDefault="00061143" w:rsidP="00A46AC1">
      <w:pPr>
        <w:pStyle w:val="ListBullet"/>
      </w:pPr>
      <w:r>
        <w:t>e</w:t>
      </w:r>
      <w:r w:rsidR="00A46AC1">
        <w:t xml:space="preserve">quitable use of </w:t>
      </w:r>
      <w:r w:rsidR="00322367">
        <w:t>geostationary</w:t>
      </w:r>
      <w:r w:rsidR="00A46AC1">
        <w:t xml:space="preserve"> orbits and </w:t>
      </w:r>
      <w:r w:rsidR="00A46AC1" w:rsidRPr="00884D62">
        <w:rPr>
          <w:bCs/>
        </w:rPr>
        <w:t>Res</w:t>
      </w:r>
      <w:r w:rsidR="00A46AC1">
        <w:rPr>
          <w:bCs/>
        </w:rPr>
        <w:t>olution</w:t>
      </w:r>
      <w:r w:rsidR="00A46AC1" w:rsidRPr="00884D62">
        <w:rPr>
          <w:bCs/>
        </w:rPr>
        <w:t xml:space="preserve"> 40</w:t>
      </w:r>
      <w:r w:rsidR="00A46AC1">
        <w:rPr>
          <w:bCs/>
        </w:rPr>
        <w:t xml:space="preserve"> (Rev. WRC-19</w:t>
      </w:r>
      <w:r w:rsidR="00A46AC1">
        <w:t>) (4.10)</w:t>
      </w:r>
    </w:p>
    <w:p w14:paraId="6327581A" w14:textId="7BC8FA10" w:rsidR="00A46AC1" w:rsidRDefault="00061143" w:rsidP="00A46AC1">
      <w:pPr>
        <w:pStyle w:val="ListBullet"/>
      </w:pPr>
      <w:r>
        <w:t>l</w:t>
      </w:r>
      <w:r w:rsidR="00A46AC1" w:rsidRPr="00296756">
        <w:t xml:space="preserve">ong-term sustainability and equitable access and rational use of the </w:t>
      </w:r>
      <w:r w:rsidR="00B910AE">
        <w:t>non-geostationary</w:t>
      </w:r>
      <w:r w:rsidR="00A46AC1" w:rsidRPr="00296756">
        <w:t xml:space="preserve"> orbit</w:t>
      </w:r>
      <w:r w:rsidR="00B910AE">
        <w:t xml:space="preserve"> and </w:t>
      </w:r>
      <w:r w:rsidR="00A46AC1" w:rsidRPr="00296756">
        <w:t>spectrum resources</w:t>
      </w:r>
      <w:r w:rsidR="00A46AC1">
        <w:t xml:space="preserve"> (4.12)</w:t>
      </w:r>
    </w:p>
    <w:p w14:paraId="7E798E1D" w14:textId="5757D53B" w:rsidR="00A46AC1" w:rsidRDefault="00061143" w:rsidP="008E0D39">
      <w:pPr>
        <w:pStyle w:val="ListBulletLast"/>
      </w:pPr>
      <w:r>
        <w:t>s</w:t>
      </w:r>
      <w:r w:rsidR="00A46AC1">
        <w:t xml:space="preserve">atellite systems operating under ITU </w:t>
      </w:r>
      <w:r w:rsidR="00797391">
        <w:t>RR</w:t>
      </w:r>
      <w:r w:rsidR="00191C14">
        <w:t xml:space="preserve"> </w:t>
      </w:r>
      <w:r w:rsidR="00A46AC1">
        <w:t>4.4 (4.13)</w:t>
      </w:r>
      <w:r w:rsidR="00251F91">
        <w:t>.</w:t>
      </w:r>
    </w:p>
    <w:p w14:paraId="184DEA8B" w14:textId="3EFC4018" w:rsidR="00A46AC1" w:rsidRDefault="00750454" w:rsidP="00A46AC1">
      <w:pPr>
        <w:pStyle w:val="Heading3"/>
      </w:pPr>
      <w:bookmarkStart w:id="139" w:name="_Toc139371660"/>
      <w:bookmarkStart w:id="140" w:name="_Toc144213416"/>
      <w:r>
        <w:t>E</w:t>
      </w:r>
      <w:r w:rsidR="00A46AC1">
        <w:t>xtension to bringing into use timelines</w:t>
      </w:r>
      <w:bookmarkEnd w:id="139"/>
      <w:bookmarkEnd w:id="140"/>
      <w:r w:rsidR="00A46AC1">
        <w:t xml:space="preserve"> </w:t>
      </w:r>
    </w:p>
    <w:p w14:paraId="002BA1A7" w14:textId="69DADB50" w:rsidR="00A46AC1" w:rsidRDefault="00A46AC1" w:rsidP="00A46AC1">
      <w:pPr>
        <w:rPr>
          <w:lang w:eastAsia="zh-CN"/>
        </w:rPr>
      </w:pPr>
      <w:r>
        <w:t xml:space="preserve">Section 4.3 of the draft RRB report considers </w:t>
      </w:r>
      <w:r>
        <w:rPr>
          <w:lang w:eastAsia="zh-CN"/>
        </w:rPr>
        <w:t xml:space="preserve">issues </w:t>
      </w:r>
      <w:r w:rsidRPr="00AA3DE9">
        <w:rPr>
          <w:lang w:eastAsia="zh-CN"/>
        </w:rPr>
        <w:t xml:space="preserve">and difficulties </w:t>
      </w:r>
      <w:r>
        <w:rPr>
          <w:lang w:eastAsia="zh-CN"/>
        </w:rPr>
        <w:t xml:space="preserve">in </w:t>
      </w:r>
      <w:r w:rsidRPr="00AA3DE9">
        <w:rPr>
          <w:lang w:eastAsia="zh-CN"/>
        </w:rPr>
        <w:t xml:space="preserve">acceding to the requests the Board has received since </w:t>
      </w:r>
      <w:r>
        <w:rPr>
          <w:lang w:eastAsia="zh-CN"/>
        </w:rPr>
        <w:t xml:space="preserve">WRC-19 </w:t>
      </w:r>
      <w:r w:rsidRPr="00AA3DE9">
        <w:rPr>
          <w:lang w:eastAsia="zh-CN"/>
        </w:rPr>
        <w:t>for extensions to the time</w:t>
      </w:r>
      <w:r w:rsidR="007B5476">
        <w:rPr>
          <w:lang w:eastAsia="zh-CN"/>
        </w:rPr>
        <w:t xml:space="preserve"> </w:t>
      </w:r>
      <w:r w:rsidRPr="00AA3DE9">
        <w:rPr>
          <w:lang w:eastAsia="zh-CN"/>
        </w:rPr>
        <w:t xml:space="preserve">limit for bringing into use </w:t>
      </w:r>
      <w:r w:rsidR="00AB7B2B">
        <w:rPr>
          <w:lang w:eastAsia="zh-CN"/>
        </w:rPr>
        <w:t xml:space="preserve">(BIU) </w:t>
      </w:r>
      <w:r w:rsidRPr="00AA3DE9">
        <w:rPr>
          <w:lang w:eastAsia="zh-CN"/>
        </w:rPr>
        <w:t xml:space="preserve">or bringing back into use frequency assignment in cases of either </w:t>
      </w:r>
      <w:r w:rsidRPr="00AA3DE9">
        <w:rPr>
          <w:i/>
          <w:iCs/>
          <w:lang w:eastAsia="zh-CN"/>
        </w:rPr>
        <w:t>force majeure</w:t>
      </w:r>
      <w:r w:rsidR="00641983">
        <w:rPr>
          <w:rStyle w:val="FootnoteReference"/>
          <w:i/>
          <w:iCs/>
          <w:lang w:eastAsia="zh-CN"/>
        </w:rPr>
        <w:footnoteReference w:id="38"/>
      </w:r>
      <w:r w:rsidRPr="00AA3DE9">
        <w:rPr>
          <w:lang w:eastAsia="zh-CN"/>
        </w:rPr>
        <w:t xml:space="preserve"> or co-passenger delay</w:t>
      </w:r>
      <w:r>
        <w:rPr>
          <w:lang w:eastAsia="zh-CN"/>
        </w:rPr>
        <w:t>.</w:t>
      </w:r>
    </w:p>
    <w:p w14:paraId="24E53E44" w14:textId="2870E68F" w:rsidR="00A46AC1" w:rsidRDefault="00A46AC1" w:rsidP="00A46AC1">
      <w:pPr>
        <w:rPr>
          <w:iCs/>
          <w:lang w:eastAsia="zh-CN"/>
        </w:rPr>
      </w:pPr>
      <w:r>
        <w:rPr>
          <w:lang w:eastAsia="zh-CN"/>
        </w:rPr>
        <w:t xml:space="preserve">The </w:t>
      </w:r>
      <w:r w:rsidR="00440B74">
        <w:rPr>
          <w:lang w:eastAsia="zh-CN"/>
        </w:rPr>
        <w:t xml:space="preserve">draft </w:t>
      </w:r>
      <w:r>
        <w:rPr>
          <w:lang w:eastAsia="zh-CN"/>
        </w:rPr>
        <w:t xml:space="preserve">report noted that </w:t>
      </w:r>
      <w:proofErr w:type="gramStart"/>
      <w:r w:rsidR="0082096B">
        <w:rPr>
          <w:lang w:eastAsia="zh-CN"/>
        </w:rPr>
        <w:t xml:space="preserve">the </w:t>
      </w:r>
      <w:r>
        <w:rPr>
          <w:lang w:eastAsia="zh-CN"/>
        </w:rPr>
        <w:t xml:space="preserve">vast majority </w:t>
      </w:r>
      <w:r w:rsidR="00C27C98">
        <w:rPr>
          <w:lang w:eastAsia="zh-CN"/>
        </w:rPr>
        <w:t>of</w:t>
      </w:r>
      <w:proofErr w:type="gramEnd"/>
      <w:r w:rsidR="00C27C98">
        <w:rPr>
          <w:lang w:eastAsia="zh-CN"/>
        </w:rPr>
        <w:t xml:space="preserve"> requests </w:t>
      </w:r>
      <w:r>
        <w:rPr>
          <w:iCs/>
          <w:lang w:eastAsia="zh-CN"/>
        </w:rPr>
        <w:t xml:space="preserve">cited the COVID-19 pandemic as the </w:t>
      </w:r>
      <w:r>
        <w:rPr>
          <w:i/>
          <w:lang w:eastAsia="zh-CN"/>
        </w:rPr>
        <w:t>force majeure</w:t>
      </w:r>
      <w:r>
        <w:rPr>
          <w:iCs/>
          <w:lang w:eastAsia="zh-CN"/>
        </w:rPr>
        <w:t xml:space="preserve"> event and describe</w:t>
      </w:r>
      <w:r w:rsidR="00DC2993">
        <w:rPr>
          <w:iCs/>
          <w:lang w:eastAsia="zh-CN"/>
        </w:rPr>
        <w:t>d</w:t>
      </w:r>
      <w:r>
        <w:rPr>
          <w:iCs/>
          <w:lang w:eastAsia="zh-CN"/>
        </w:rPr>
        <w:t xml:space="preserve"> in detail the type of information that should be provided to </w:t>
      </w:r>
      <w:r w:rsidRPr="00071217">
        <w:rPr>
          <w:iCs/>
          <w:lang w:eastAsia="zh-CN"/>
        </w:rPr>
        <w:t>facilitate the consideration of a request for extension of the regulatory time</w:t>
      </w:r>
      <w:r w:rsidR="003939B9">
        <w:rPr>
          <w:iCs/>
          <w:lang w:eastAsia="zh-CN"/>
        </w:rPr>
        <w:t xml:space="preserve"> </w:t>
      </w:r>
      <w:r w:rsidRPr="00071217">
        <w:rPr>
          <w:iCs/>
          <w:lang w:eastAsia="zh-CN"/>
        </w:rPr>
        <w:t>limit</w:t>
      </w:r>
      <w:r>
        <w:rPr>
          <w:iCs/>
          <w:lang w:eastAsia="zh-CN"/>
        </w:rPr>
        <w:t>.</w:t>
      </w:r>
    </w:p>
    <w:p w14:paraId="09926BD5" w14:textId="03BBE8EC" w:rsidR="00A46AC1" w:rsidRDefault="00A46AC1" w:rsidP="00A46AC1">
      <w:pPr>
        <w:rPr>
          <w:iCs/>
          <w:lang w:eastAsia="zh-CN"/>
        </w:rPr>
      </w:pPr>
      <w:r>
        <w:rPr>
          <w:iCs/>
          <w:lang w:eastAsia="zh-CN"/>
        </w:rPr>
        <w:lastRenderedPageBreak/>
        <w:t xml:space="preserve">While not </w:t>
      </w:r>
      <w:r w:rsidR="0087736D">
        <w:rPr>
          <w:iCs/>
          <w:lang w:eastAsia="zh-CN"/>
        </w:rPr>
        <w:t xml:space="preserve">currently </w:t>
      </w:r>
      <w:r>
        <w:rPr>
          <w:iCs/>
          <w:lang w:eastAsia="zh-CN"/>
        </w:rPr>
        <w:t xml:space="preserve">of direct relevance to </w:t>
      </w:r>
      <w:r w:rsidR="0087736D">
        <w:rPr>
          <w:iCs/>
          <w:lang w:eastAsia="zh-CN"/>
        </w:rPr>
        <w:t xml:space="preserve">the </w:t>
      </w:r>
      <w:r>
        <w:rPr>
          <w:iCs/>
          <w:lang w:eastAsia="zh-CN"/>
        </w:rPr>
        <w:t>ACMA</w:t>
      </w:r>
      <w:r w:rsidR="0087736D">
        <w:rPr>
          <w:iCs/>
          <w:lang w:eastAsia="zh-CN"/>
        </w:rPr>
        <w:t>’s</w:t>
      </w:r>
      <w:r>
        <w:rPr>
          <w:iCs/>
          <w:lang w:eastAsia="zh-CN"/>
        </w:rPr>
        <w:t xml:space="preserve"> approach to filing and licensing, satellite operators are encourage</w:t>
      </w:r>
      <w:r w:rsidR="00AB7B2B">
        <w:rPr>
          <w:iCs/>
          <w:lang w:eastAsia="zh-CN"/>
        </w:rPr>
        <w:t>d</w:t>
      </w:r>
      <w:r>
        <w:rPr>
          <w:iCs/>
          <w:lang w:eastAsia="zh-CN"/>
        </w:rPr>
        <w:t xml:space="preserve"> to make themselves aware of how the RRB considers such requests. </w:t>
      </w:r>
    </w:p>
    <w:p w14:paraId="513F83EC" w14:textId="70500B23" w:rsidR="00A46AC1" w:rsidRPr="007001AD" w:rsidRDefault="00A46AC1" w:rsidP="00A46AC1">
      <w:r>
        <w:rPr>
          <w:iCs/>
          <w:lang w:eastAsia="zh-CN"/>
        </w:rPr>
        <w:t>It also worth noting that such request</w:t>
      </w:r>
      <w:r w:rsidR="00AB7B2B">
        <w:rPr>
          <w:iCs/>
          <w:lang w:eastAsia="zh-CN"/>
        </w:rPr>
        <w:t>s</w:t>
      </w:r>
      <w:r>
        <w:rPr>
          <w:iCs/>
          <w:lang w:eastAsia="zh-CN"/>
        </w:rPr>
        <w:t xml:space="preserve"> typically occur just before or just after the expiry of the BIU </w:t>
      </w:r>
      <w:r>
        <w:t>regulatory time</w:t>
      </w:r>
      <w:r w:rsidR="00067EB0">
        <w:t xml:space="preserve"> </w:t>
      </w:r>
      <w:r>
        <w:t>limits</w:t>
      </w:r>
      <w:r w:rsidR="00DC2319">
        <w:t xml:space="preserve">. </w:t>
      </w:r>
      <w:r w:rsidR="005C767C">
        <w:t>Australia</w:t>
      </w:r>
      <w:r w:rsidR="00831FE2">
        <w:t>n</w:t>
      </w:r>
      <w:r w:rsidR="005C767C">
        <w:t xml:space="preserve"> satellite operators </w:t>
      </w:r>
      <w:r w:rsidR="00C75CB8">
        <w:t xml:space="preserve">are </w:t>
      </w:r>
      <w:r w:rsidR="00134D1F">
        <w:t>advise</w:t>
      </w:r>
      <w:r w:rsidR="00831FE2">
        <w:t>d</w:t>
      </w:r>
      <w:r w:rsidR="00134D1F">
        <w:t xml:space="preserve"> to </w:t>
      </w:r>
      <w:r w:rsidR="00831FE2">
        <w:t>under</w:t>
      </w:r>
      <w:r w:rsidR="00134D1F">
        <w:t xml:space="preserve">take </w:t>
      </w:r>
      <w:r w:rsidR="00134D1F">
        <w:rPr>
          <w:iCs/>
          <w:lang w:eastAsia="zh-CN"/>
        </w:rPr>
        <w:t xml:space="preserve">extra due diligence </w:t>
      </w:r>
      <w:r>
        <w:rPr>
          <w:iCs/>
          <w:lang w:eastAsia="zh-CN"/>
        </w:rPr>
        <w:t xml:space="preserve">when considering which satellite </w:t>
      </w:r>
      <w:r w:rsidR="0062692D">
        <w:rPr>
          <w:iCs/>
          <w:lang w:eastAsia="zh-CN"/>
        </w:rPr>
        <w:t>systems</w:t>
      </w:r>
      <w:r w:rsidR="002D3E61">
        <w:rPr>
          <w:iCs/>
          <w:lang w:eastAsia="zh-CN"/>
        </w:rPr>
        <w:t xml:space="preserve"> still</w:t>
      </w:r>
      <w:r w:rsidR="0062692D">
        <w:rPr>
          <w:iCs/>
          <w:lang w:eastAsia="zh-CN"/>
        </w:rPr>
        <w:t xml:space="preserve"> </w:t>
      </w:r>
      <w:r>
        <w:rPr>
          <w:iCs/>
          <w:lang w:eastAsia="zh-CN"/>
        </w:rPr>
        <w:t xml:space="preserve">require coordination when close to the BIU </w:t>
      </w:r>
      <w:r>
        <w:t>regulatory time</w:t>
      </w:r>
      <w:r w:rsidR="00CF3353">
        <w:t xml:space="preserve"> </w:t>
      </w:r>
      <w:r>
        <w:t>limits.</w:t>
      </w:r>
    </w:p>
    <w:p w14:paraId="0CB4E1C2" w14:textId="77777777" w:rsidR="00A46AC1" w:rsidRDefault="00A46AC1" w:rsidP="00A46AC1">
      <w:pPr>
        <w:pStyle w:val="Heading3"/>
      </w:pPr>
      <w:bookmarkStart w:id="141" w:name="_Toc139371661"/>
      <w:bookmarkStart w:id="142" w:name="_Toc144213417"/>
      <w:r>
        <w:t>Satellite coordination difficulties and filing priority</w:t>
      </w:r>
      <w:bookmarkEnd w:id="141"/>
      <w:bookmarkEnd w:id="142"/>
      <w:r>
        <w:t xml:space="preserve"> </w:t>
      </w:r>
    </w:p>
    <w:p w14:paraId="12458DF8" w14:textId="77777777" w:rsidR="00A46AC1" w:rsidRDefault="00A46AC1" w:rsidP="00A46AC1">
      <w:pPr>
        <w:pStyle w:val="Paragraph"/>
      </w:pPr>
      <w:r w:rsidRPr="00775262">
        <w:rPr>
          <w:szCs w:val="20"/>
        </w:rPr>
        <w:t xml:space="preserve">Section </w:t>
      </w:r>
      <w:r>
        <w:t>4.6 of the draft RRB report noted that a</w:t>
      </w:r>
      <w:r w:rsidRPr="00D72E76">
        <w:t xml:space="preserve">s the number of satellites in orbit and the use of certain frequency bands increases, it is becoming more complex and more important to complete satellite network coordination </w:t>
      </w:r>
      <w:proofErr w:type="gramStart"/>
      <w:r w:rsidRPr="00D72E76">
        <w:t>in order to</w:t>
      </w:r>
      <w:proofErr w:type="gramEnd"/>
      <w:r w:rsidRPr="00D72E76">
        <w:t xml:space="preserve"> avoid harmful interference. </w:t>
      </w:r>
    </w:p>
    <w:p w14:paraId="1164294E" w14:textId="4EFEFF54" w:rsidR="00A46AC1" w:rsidRDefault="00A46AC1" w:rsidP="00A46AC1">
      <w:pPr>
        <w:pStyle w:val="Paragraph"/>
      </w:pPr>
      <w:r>
        <w:t xml:space="preserve">In discussing cases presented to the RRB, the </w:t>
      </w:r>
      <w:r w:rsidR="00A00CD4">
        <w:t>draft</w:t>
      </w:r>
      <w:r>
        <w:t xml:space="preserve"> report noted cases where administrations </w:t>
      </w:r>
      <w:r w:rsidRPr="009D34DB">
        <w:t>challenged the date of protection of recorded frequency assignments</w:t>
      </w:r>
      <w:r>
        <w:t xml:space="preserve"> or where </w:t>
      </w:r>
      <w:r w:rsidRPr="0026699D">
        <w:t xml:space="preserve">notifying and bringing into use a satellite network </w:t>
      </w:r>
      <w:r w:rsidRPr="0026699D" w:rsidDel="006A2010">
        <w:t xml:space="preserve">before </w:t>
      </w:r>
      <w:r w:rsidRPr="0026699D">
        <w:t>completing any or very little of the required satellite network coordination</w:t>
      </w:r>
      <w:r>
        <w:t xml:space="preserve"> (as provided by ITU RR 11.41</w:t>
      </w:r>
      <w:r w:rsidR="006A2010">
        <w:t>).</w:t>
      </w:r>
      <w:r>
        <w:rPr>
          <w:rStyle w:val="FootnoteReference"/>
          <w:iCs/>
        </w:rPr>
        <w:footnoteReference w:id="39"/>
      </w:r>
    </w:p>
    <w:p w14:paraId="4A915061" w14:textId="27BCA0F6" w:rsidR="00A46AC1" w:rsidRPr="00EE7A39" w:rsidRDefault="00FD2CDD" w:rsidP="00A46AC1">
      <w:pPr>
        <w:pStyle w:val="Paragraph"/>
      </w:pPr>
      <w:r>
        <w:t>I</w:t>
      </w:r>
      <w:r w:rsidR="00A46AC1" w:rsidRPr="00EE7A39">
        <w:t>n summary</w:t>
      </w:r>
      <w:r w:rsidR="003001B9">
        <w:t>,</w:t>
      </w:r>
      <w:r w:rsidR="00A46AC1" w:rsidRPr="00EE7A39">
        <w:t xml:space="preserve"> the </w:t>
      </w:r>
      <w:r w:rsidR="003001B9">
        <w:t>RRB</w:t>
      </w:r>
      <w:r w:rsidR="00A46AC1" w:rsidRPr="00EE7A39">
        <w:t xml:space="preserve"> encouraged administrations to complete frequency coordination before launching satellites and reminded administrations that the coordination process is a </w:t>
      </w:r>
      <w:r w:rsidR="00067EB0">
        <w:t>2</w:t>
      </w:r>
      <w:r w:rsidR="00A46AC1" w:rsidRPr="00EE7A39">
        <w:t xml:space="preserve">-way process and that no administration obtains any </w:t>
      </w:r>
      <w:proofErr w:type="gramStart"/>
      <w:r w:rsidR="00A46AC1" w:rsidRPr="00EE7A39">
        <w:t>particular priority</w:t>
      </w:r>
      <w:proofErr w:type="gramEnd"/>
      <w:r w:rsidR="00A46AC1" w:rsidRPr="00EE7A39">
        <w:t xml:space="preserve"> as a result of being the first to start either the advance publication phase (Section I of Article 9) or the request for coordination procedure (Section II of Article 9). </w:t>
      </w:r>
    </w:p>
    <w:p w14:paraId="43C5782C" w14:textId="52C1B5F1" w:rsidR="00A46AC1" w:rsidRDefault="00A46AC1" w:rsidP="00A46AC1">
      <w:pPr>
        <w:tabs>
          <w:tab w:val="left" w:pos="480"/>
          <w:tab w:val="right" w:leader="dot" w:pos="9488"/>
        </w:tabs>
        <w:rPr>
          <w:rFonts w:eastAsiaTheme="minorEastAsia" w:cs="Arial"/>
          <w:szCs w:val="20"/>
          <w:lang w:eastAsia="en-CA"/>
        </w:rPr>
      </w:pPr>
      <w:r w:rsidRPr="00EE7A39">
        <w:rPr>
          <w:rFonts w:eastAsiaTheme="minorEastAsia" w:cs="Arial"/>
          <w:szCs w:val="20"/>
          <w:lang w:eastAsia="en-CA"/>
        </w:rPr>
        <w:t>The ACMA</w:t>
      </w:r>
      <w:r w:rsidR="00067EB0">
        <w:rPr>
          <w:rFonts w:eastAsiaTheme="minorEastAsia" w:cs="Arial"/>
          <w:szCs w:val="20"/>
          <w:lang w:eastAsia="en-CA"/>
        </w:rPr>
        <w:t>’s</w:t>
      </w:r>
      <w:r w:rsidRPr="00EE7A39">
        <w:rPr>
          <w:rFonts w:eastAsiaTheme="minorEastAsia" w:cs="Arial"/>
          <w:szCs w:val="20"/>
          <w:lang w:eastAsia="en-CA"/>
        </w:rPr>
        <w:t xml:space="preserve"> view is that while accepting it is not possible to successfully complete all required coordination before launching a satellite, </w:t>
      </w:r>
      <w:r w:rsidR="003F4305">
        <w:rPr>
          <w:rFonts w:eastAsiaTheme="minorEastAsia" w:cs="Arial"/>
          <w:szCs w:val="20"/>
          <w:lang w:eastAsia="en-CA"/>
        </w:rPr>
        <w:t>we expect</w:t>
      </w:r>
      <w:r w:rsidRPr="00EE7A39">
        <w:rPr>
          <w:rFonts w:eastAsiaTheme="minorEastAsia" w:cs="Arial"/>
          <w:szCs w:val="20"/>
          <w:lang w:eastAsia="en-CA"/>
        </w:rPr>
        <w:t xml:space="preserve"> that reasonable effort</w:t>
      </w:r>
      <w:r>
        <w:rPr>
          <w:rFonts w:eastAsiaTheme="minorEastAsia" w:cs="Arial"/>
          <w:szCs w:val="20"/>
          <w:lang w:eastAsia="en-CA"/>
        </w:rPr>
        <w:t>s</w:t>
      </w:r>
      <w:r w:rsidRPr="00EE7A39">
        <w:rPr>
          <w:rFonts w:eastAsiaTheme="minorEastAsia" w:cs="Arial"/>
          <w:szCs w:val="20"/>
          <w:lang w:eastAsia="en-CA"/>
        </w:rPr>
        <w:t xml:space="preserve"> are made to </w:t>
      </w:r>
      <w:r>
        <w:rPr>
          <w:rFonts w:eastAsiaTheme="minorEastAsia" w:cs="Arial"/>
          <w:szCs w:val="20"/>
          <w:lang w:eastAsia="en-CA"/>
        </w:rPr>
        <w:t xml:space="preserve">complete </w:t>
      </w:r>
      <w:r w:rsidR="000E514A">
        <w:rPr>
          <w:rFonts w:eastAsiaTheme="minorEastAsia" w:cs="Arial"/>
          <w:szCs w:val="20"/>
          <w:lang w:eastAsia="en-CA"/>
        </w:rPr>
        <w:t>practically</w:t>
      </w:r>
      <w:r w:rsidR="00223A17">
        <w:rPr>
          <w:rFonts w:eastAsiaTheme="minorEastAsia" w:cs="Arial"/>
          <w:szCs w:val="20"/>
          <w:lang w:eastAsia="en-CA"/>
        </w:rPr>
        <w:t xml:space="preserve"> </w:t>
      </w:r>
      <w:r>
        <w:rPr>
          <w:rFonts w:eastAsiaTheme="minorEastAsia" w:cs="Arial"/>
          <w:szCs w:val="20"/>
          <w:lang w:eastAsia="en-CA"/>
        </w:rPr>
        <w:t>achievable coordination</w:t>
      </w:r>
      <w:r w:rsidR="00C5045C">
        <w:rPr>
          <w:rFonts w:eastAsiaTheme="minorEastAsia" w:cs="Arial"/>
          <w:szCs w:val="20"/>
          <w:lang w:eastAsia="en-CA"/>
        </w:rPr>
        <w:t xml:space="preserve"> as soon as </w:t>
      </w:r>
      <w:r w:rsidR="00A27884">
        <w:rPr>
          <w:rFonts w:eastAsiaTheme="minorEastAsia" w:cs="Arial"/>
          <w:szCs w:val="20"/>
          <w:lang w:eastAsia="en-CA"/>
        </w:rPr>
        <w:t>possible</w:t>
      </w:r>
      <w:r>
        <w:rPr>
          <w:rFonts w:eastAsiaTheme="minorEastAsia" w:cs="Arial"/>
          <w:szCs w:val="20"/>
          <w:lang w:eastAsia="en-CA"/>
        </w:rPr>
        <w:t>.</w:t>
      </w:r>
      <w:r w:rsidRPr="00EE7A39">
        <w:rPr>
          <w:rFonts w:eastAsiaTheme="minorEastAsia" w:cs="Arial"/>
          <w:szCs w:val="20"/>
          <w:lang w:eastAsia="en-CA"/>
        </w:rPr>
        <w:t xml:space="preserve"> </w:t>
      </w:r>
    </w:p>
    <w:p w14:paraId="09A00F26" w14:textId="39408059" w:rsidR="00A46AC1" w:rsidRDefault="00A46AC1" w:rsidP="00A46AC1">
      <w:pPr>
        <w:pStyle w:val="Heading3"/>
      </w:pPr>
      <w:bookmarkStart w:id="143" w:name="_Toc139371662"/>
      <w:bookmarkStart w:id="144" w:name="_Toc144213418"/>
      <w:r>
        <w:t>Status of WRC decision</w:t>
      </w:r>
      <w:r w:rsidR="003556A5">
        <w:t>s</w:t>
      </w:r>
      <w:r>
        <w:t xml:space="preserve"> recorded in WRC plenary minutes</w:t>
      </w:r>
      <w:bookmarkEnd w:id="143"/>
      <w:bookmarkEnd w:id="144"/>
      <w:r>
        <w:t xml:space="preserve"> </w:t>
      </w:r>
    </w:p>
    <w:p w14:paraId="5C71CC24" w14:textId="2F5A6287" w:rsidR="00A46AC1" w:rsidRDefault="00A46AC1" w:rsidP="00A46AC1">
      <w:pPr>
        <w:tabs>
          <w:tab w:val="left" w:pos="480"/>
          <w:tab w:val="right" w:leader="dot" w:pos="9488"/>
        </w:tabs>
        <w:rPr>
          <w:lang w:eastAsia="zh-CN"/>
        </w:rPr>
      </w:pPr>
      <w:r>
        <w:t xml:space="preserve">Section 4.9 of the draft RRB report noted that since </w:t>
      </w:r>
      <w:r w:rsidRPr="00B720C1">
        <w:t>WRC-15</w:t>
      </w:r>
      <w:r w:rsidR="00A87E9B">
        <w:t>,</w:t>
      </w:r>
      <w:r w:rsidRPr="00B720C1">
        <w:rPr>
          <w:lang w:eastAsia="zh-CN"/>
        </w:rPr>
        <w:t xml:space="preserve"> </w:t>
      </w:r>
      <w:r w:rsidRPr="00B720C1">
        <w:t xml:space="preserve">the Board </w:t>
      </w:r>
      <w:r>
        <w:t xml:space="preserve">has </w:t>
      </w:r>
      <w:r w:rsidRPr="00B720C1">
        <w:rPr>
          <w:lang w:eastAsia="zh-CN"/>
        </w:rPr>
        <w:t xml:space="preserve">amended the relevant </w:t>
      </w:r>
      <w:r w:rsidR="005D6A8F">
        <w:rPr>
          <w:lang w:eastAsia="zh-CN"/>
        </w:rPr>
        <w:t>R</w:t>
      </w:r>
      <w:r w:rsidR="00747008">
        <w:rPr>
          <w:lang w:eastAsia="zh-CN"/>
        </w:rPr>
        <w:t xml:space="preserve">ules of </w:t>
      </w:r>
      <w:r w:rsidR="005D6A8F">
        <w:rPr>
          <w:lang w:eastAsia="zh-CN"/>
        </w:rPr>
        <w:t>P</w:t>
      </w:r>
      <w:r w:rsidR="00A67E7C">
        <w:rPr>
          <w:lang w:eastAsia="zh-CN"/>
        </w:rPr>
        <w:t>rocedure</w:t>
      </w:r>
      <w:r w:rsidR="005D6A8F">
        <w:rPr>
          <w:lang w:eastAsia="zh-CN"/>
        </w:rPr>
        <w:t xml:space="preserve"> (RoP)</w:t>
      </w:r>
      <w:r w:rsidR="00297160">
        <w:rPr>
          <w:rStyle w:val="FootnoteReference"/>
          <w:lang w:eastAsia="zh-CN"/>
        </w:rPr>
        <w:footnoteReference w:id="40"/>
      </w:r>
      <w:r w:rsidRPr="00B720C1">
        <w:rPr>
          <w:lang w:eastAsia="zh-CN"/>
        </w:rPr>
        <w:t xml:space="preserve"> with </w:t>
      </w:r>
      <w:r w:rsidR="00067EB0">
        <w:rPr>
          <w:lang w:eastAsia="zh-CN"/>
        </w:rPr>
        <w:t>‘</w:t>
      </w:r>
      <w:r w:rsidRPr="00B720C1">
        <w:rPr>
          <w:lang w:eastAsia="zh-CN"/>
        </w:rPr>
        <w:t>notes</w:t>
      </w:r>
      <w:r w:rsidR="00067EB0">
        <w:rPr>
          <w:lang w:eastAsia="zh-CN"/>
        </w:rPr>
        <w:t>’</w:t>
      </w:r>
      <w:r w:rsidRPr="00B720C1">
        <w:rPr>
          <w:lang w:eastAsia="zh-CN"/>
        </w:rPr>
        <w:t xml:space="preserve"> that precisely quote the Minutes of </w:t>
      </w:r>
      <w:r>
        <w:rPr>
          <w:lang w:eastAsia="zh-CN"/>
        </w:rPr>
        <w:t xml:space="preserve">the </w:t>
      </w:r>
      <w:r w:rsidRPr="00B720C1">
        <w:rPr>
          <w:lang w:eastAsia="zh-CN"/>
        </w:rPr>
        <w:t>WRC</w:t>
      </w:r>
      <w:r>
        <w:rPr>
          <w:lang w:eastAsia="zh-CN"/>
        </w:rPr>
        <w:t>-19</w:t>
      </w:r>
      <w:r w:rsidRPr="00B720C1">
        <w:rPr>
          <w:lang w:eastAsia="zh-CN"/>
        </w:rPr>
        <w:t xml:space="preserve"> Plenary sessions</w:t>
      </w:r>
      <w:r>
        <w:rPr>
          <w:lang w:eastAsia="zh-CN"/>
        </w:rPr>
        <w:t xml:space="preserve"> t</w:t>
      </w:r>
      <w:r w:rsidRPr="00B720C1">
        <w:rPr>
          <w:lang w:eastAsia="zh-CN"/>
        </w:rPr>
        <w:t>o ensure that administrations are fully aware of all WRC decisions, including those reflected in WRC Plenary minutes</w:t>
      </w:r>
      <w:r w:rsidRPr="00DE75F9">
        <w:rPr>
          <w:lang w:eastAsia="zh-CN"/>
        </w:rPr>
        <w:t xml:space="preserve">. </w:t>
      </w:r>
    </w:p>
    <w:p w14:paraId="14B168C8" w14:textId="34B17C53" w:rsidR="00A46AC1" w:rsidRDefault="00A46AC1" w:rsidP="00A46AC1">
      <w:pPr>
        <w:tabs>
          <w:tab w:val="left" w:pos="480"/>
          <w:tab w:val="right" w:leader="dot" w:pos="9488"/>
        </w:tabs>
      </w:pPr>
      <w:r>
        <w:t xml:space="preserve">The RRB </w:t>
      </w:r>
      <w:r w:rsidR="004367C2">
        <w:t xml:space="preserve">has </w:t>
      </w:r>
      <w:r>
        <w:t>also publishe</w:t>
      </w:r>
      <w:r w:rsidR="004367C2">
        <w:t xml:space="preserve">d a </w:t>
      </w:r>
      <w:hyperlink r:id="rId47" w:history="1">
        <w:r w:rsidR="006964A6" w:rsidRPr="00AE108F">
          <w:rPr>
            <w:rStyle w:val="Hyperlink"/>
          </w:rPr>
          <w:t>compendium</w:t>
        </w:r>
      </w:hyperlink>
      <w:r w:rsidR="006964A6" w:rsidRPr="006964A6">
        <w:t xml:space="preserve"> of </w:t>
      </w:r>
      <w:r w:rsidR="00A9258C">
        <w:t>WRC</w:t>
      </w:r>
      <w:r w:rsidR="006964A6" w:rsidRPr="006964A6">
        <w:t xml:space="preserve"> decisions </w:t>
      </w:r>
      <w:r w:rsidR="007B7FA1" w:rsidRPr="00AE108F">
        <w:rPr>
          <w:u w:color="0000FF"/>
        </w:rPr>
        <w:t>concerning</w:t>
      </w:r>
      <w:r w:rsidRPr="00AE108F">
        <w:rPr>
          <w:u w:color="0000FF"/>
        </w:rPr>
        <w:t xml:space="preserve"> the </w:t>
      </w:r>
      <w:r w:rsidR="007B7FA1" w:rsidRPr="00AE108F">
        <w:rPr>
          <w:u w:color="0000FF"/>
        </w:rPr>
        <w:t>application of the Radio Regulations</w:t>
      </w:r>
      <w:r>
        <w:t xml:space="preserve">. Satellite </w:t>
      </w:r>
      <w:r w:rsidR="000350E7">
        <w:t>operators</w:t>
      </w:r>
      <w:r>
        <w:t xml:space="preserve"> are encourage</w:t>
      </w:r>
      <w:r w:rsidR="000E514A">
        <w:t>d</w:t>
      </w:r>
      <w:r>
        <w:t xml:space="preserve"> to review this material for their own awareness and understanding of the ITU satellite regulatory requirements beyond those specified in the </w:t>
      </w:r>
      <w:r w:rsidR="002A7980">
        <w:t>Radio Regulations</w:t>
      </w:r>
      <w:r>
        <w:t>.</w:t>
      </w:r>
    </w:p>
    <w:p w14:paraId="750D831D" w14:textId="584FE734" w:rsidR="00A46AC1" w:rsidRDefault="00A46AC1" w:rsidP="00A46AC1">
      <w:pPr>
        <w:pStyle w:val="Heading3"/>
      </w:pPr>
      <w:bookmarkStart w:id="145" w:name="_Toc139371663"/>
      <w:bookmarkStart w:id="146" w:name="_Toc144213419"/>
      <w:r>
        <w:t xml:space="preserve">Equitable use of </w:t>
      </w:r>
      <w:r w:rsidR="000E02BA">
        <w:t xml:space="preserve">geostationary </w:t>
      </w:r>
      <w:r>
        <w:t xml:space="preserve">orbits and </w:t>
      </w:r>
      <w:r w:rsidRPr="00884D62">
        <w:t>Res</w:t>
      </w:r>
      <w:r>
        <w:t>olution</w:t>
      </w:r>
      <w:r w:rsidRPr="00884D62">
        <w:t xml:space="preserve"> 40</w:t>
      </w:r>
      <w:bookmarkEnd w:id="145"/>
      <w:bookmarkEnd w:id="146"/>
    </w:p>
    <w:p w14:paraId="226BF429" w14:textId="20AE7C7B" w:rsidR="00A46AC1" w:rsidRDefault="00A46AC1" w:rsidP="00A46AC1">
      <w:pPr>
        <w:tabs>
          <w:tab w:val="left" w:pos="480"/>
          <w:tab w:val="right" w:leader="dot" w:pos="9488"/>
        </w:tabs>
      </w:pPr>
      <w:r>
        <w:t>Section 4.10 of the draft RRB</w:t>
      </w:r>
      <w:r w:rsidR="001C26D1">
        <w:t xml:space="preserve"> report</w:t>
      </w:r>
      <w:r>
        <w:t xml:space="preserve"> consider</w:t>
      </w:r>
      <w:r w:rsidR="001C26D1">
        <w:t>s</w:t>
      </w:r>
      <w:r>
        <w:t xml:space="preserve"> statistics derived </w:t>
      </w:r>
      <w:r w:rsidR="001C26D1">
        <w:t xml:space="preserve">from </w:t>
      </w:r>
      <w:r>
        <w:t xml:space="preserve">submissions on </w:t>
      </w:r>
      <w:hyperlink r:id="rId48" w:history="1">
        <w:r w:rsidRPr="000952EE">
          <w:rPr>
            <w:rStyle w:val="Hyperlink"/>
          </w:rPr>
          <w:t>Resolution 40</w:t>
        </w:r>
      </w:hyperlink>
      <w:r w:rsidRPr="00791BDB">
        <w:t xml:space="preserve"> (Rev.</w:t>
      </w:r>
      <w:r w:rsidR="00605E7D">
        <w:t xml:space="preserve"> </w:t>
      </w:r>
      <w:r w:rsidRPr="00791BDB">
        <w:t>WRC-19)</w:t>
      </w:r>
      <w:r w:rsidRPr="001C26D1">
        <w:t xml:space="preserve"> information</w:t>
      </w:r>
      <w:r>
        <w:t xml:space="preserve">. Resolution </w:t>
      </w:r>
      <w:r w:rsidRPr="00791BDB">
        <w:t xml:space="preserve">40 </w:t>
      </w:r>
      <w:r w:rsidR="005F7E83">
        <w:t xml:space="preserve">considers </w:t>
      </w:r>
      <w:r>
        <w:t xml:space="preserve">the practice of </w:t>
      </w:r>
      <w:r w:rsidR="00A1764D">
        <w:t>’</w:t>
      </w:r>
      <w:r>
        <w:t>satellite hopping</w:t>
      </w:r>
      <w:r w:rsidR="00A1764D">
        <w:t>’,</w:t>
      </w:r>
      <w:r>
        <w:t xml:space="preserve"> whereby a single space station </w:t>
      </w:r>
      <w:r w:rsidR="00143052">
        <w:t xml:space="preserve">is </w:t>
      </w:r>
      <w:r>
        <w:t xml:space="preserve">used to bring more than one frequency assignment to GSO satellite networks into use at different orbital locations </w:t>
      </w:r>
      <w:r>
        <w:lastRenderedPageBreak/>
        <w:t xml:space="preserve">within a </w:t>
      </w:r>
      <w:r w:rsidR="00360CC7">
        <w:t>3</w:t>
      </w:r>
      <w:r>
        <w:t>-year period. The RRB consideration</w:t>
      </w:r>
      <w:r w:rsidR="00360CC7">
        <w:t>s</w:t>
      </w:r>
      <w:r>
        <w:t xml:space="preserve"> </w:t>
      </w:r>
      <w:r w:rsidR="00360CC7">
        <w:t>concerned</w:t>
      </w:r>
      <w:r>
        <w:t xml:space="preserve"> whether there was any potential misuse of the</w:t>
      </w:r>
      <w:r w:rsidDel="00360CC7">
        <w:t xml:space="preserve"> </w:t>
      </w:r>
      <w:r>
        <w:t>bring</w:t>
      </w:r>
      <w:r w:rsidR="00360CC7">
        <w:t>ing</w:t>
      </w:r>
      <w:r>
        <w:t xml:space="preserve"> into or </w:t>
      </w:r>
      <w:r w:rsidR="00360CC7">
        <w:t xml:space="preserve">bringing </w:t>
      </w:r>
      <w:r>
        <w:t>back into use (BIU/BBIU) provisions.</w:t>
      </w:r>
    </w:p>
    <w:p w14:paraId="22828FDB" w14:textId="2775A9F3" w:rsidR="00A46AC1" w:rsidRDefault="00A46AC1" w:rsidP="00A46AC1">
      <w:pPr>
        <w:tabs>
          <w:tab w:val="left" w:pos="480"/>
          <w:tab w:val="right" w:leader="dot" w:pos="9488"/>
        </w:tabs>
        <w:rPr>
          <w:lang w:val="en-CA" w:eastAsia="zh-CN"/>
        </w:rPr>
      </w:pPr>
      <w:r>
        <w:t xml:space="preserve">The draft report </w:t>
      </w:r>
      <w:r w:rsidR="00BF19DD">
        <w:t>notes</w:t>
      </w:r>
      <w:r>
        <w:t xml:space="preserve"> that </w:t>
      </w:r>
      <w:r>
        <w:rPr>
          <w:lang w:val="en-CA" w:eastAsia="zh-CN"/>
        </w:rPr>
        <w:t xml:space="preserve">satellite operators that encountered delays with their satellite project would often consider using an in-orbit satellite to meet their </w:t>
      </w:r>
      <w:r w:rsidR="004C3E9B">
        <w:rPr>
          <w:lang w:val="en-CA" w:eastAsia="zh-CN"/>
        </w:rPr>
        <w:t xml:space="preserve">BIU </w:t>
      </w:r>
      <w:r>
        <w:rPr>
          <w:lang w:val="en-CA" w:eastAsia="zh-CN"/>
        </w:rPr>
        <w:t>regulatory time</w:t>
      </w:r>
      <w:r w:rsidR="002277E9">
        <w:rPr>
          <w:lang w:val="en-CA" w:eastAsia="zh-CN"/>
        </w:rPr>
        <w:t xml:space="preserve"> </w:t>
      </w:r>
      <w:r>
        <w:rPr>
          <w:lang w:val="en-CA" w:eastAsia="zh-CN"/>
        </w:rPr>
        <w:t>limits and avoided seeking an extension from the Board or WRC. Many turned to satellite operators that had in-orbit satellites available for leasing. It was therefore not surprising that the same satellite had been reused multiple times over the last 7</w:t>
      </w:r>
      <w:r w:rsidR="00067EB0">
        <w:rPr>
          <w:lang w:val="en-CA" w:eastAsia="zh-CN"/>
        </w:rPr>
        <w:t xml:space="preserve"> to </w:t>
      </w:r>
      <w:r>
        <w:rPr>
          <w:lang w:val="en-CA" w:eastAsia="zh-CN"/>
        </w:rPr>
        <w:t>8 years since a market for short-term in-orbit satellite leasing had emerged in the last decade</w:t>
      </w:r>
      <w:r w:rsidR="00BE05D9">
        <w:rPr>
          <w:lang w:val="en-CA" w:eastAsia="zh-CN"/>
        </w:rPr>
        <w:t>.</w:t>
      </w:r>
    </w:p>
    <w:p w14:paraId="05D57890" w14:textId="3A575970" w:rsidR="00A46AC1" w:rsidRDefault="00A46AC1" w:rsidP="00A46AC1">
      <w:pPr>
        <w:tabs>
          <w:tab w:val="left" w:pos="480"/>
          <w:tab w:val="right" w:leader="dot" w:pos="9488"/>
        </w:tabs>
        <w:rPr>
          <w:lang w:val="en-CA" w:eastAsia="zh-CN"/>
        </w:rPr>
      </w:pPr>
      <w:r>
        <w:rPr>
          <w:lang w:val="en-CA" w:eastAsia="zh-CN"/>
        </w:rPr>
        <w:t>The view of the RRB was that w</w:t>
      </w:r>
      <w:r w:rsidRPr="000C233F">
        <w:rPr>
          <w:lang w:val="en-CA" w:eastAsia="zh-CN"/>
        </w:rPr>
        <w:t xml:space="preserve">hen such a reuse benefited different administrations and unrelated </w:t>
      </w:r>
      <w:r w:rsidR="006A0BC5">
        <w:rPr>
          <w:lang w:val="en-CA" w:eastAsia="zh-CN"/>
        </w:rPr>
        <w:t xml:space="preserve">satellite </w:t>
      </w:r>
      <w:r w:rsidRPr="000C233F">
        <w:rPr>
          <w:lang w:val="en-CA" w:eastAsia="zh-CN"/>
        </w:rPr>
        <w:t>operators, there was no misuse</w:t>
      </w:r>
      <w:r w:rsidR="00BE05D9">
        <w:rPr>
          <w:lang w:val="en-CA" w:eastAsia="zh-CN"/>
        </w:rPr>
        <w:t xml:space="preserve"> of the BIU provisions</w:t>
      </w:r>
      <w:r>
        <w:rPr>
          <w:lang w:val="en-CA" w:eastAsia="zh-CN"/>
        </w:rPr>
        <w:t xml:space="preserve">.  </w:t>
      </w:r>
    </w:p>
    <w:p w14:paraId="697EE209" w14:textId="2053D597" w:rsidR="00A46AC1" w:rsidRDefault="00A46AC1" w:rsidP="00A46AC1">
      <w:pPr>
        <w:tabs>
          <w:tab w:val="left" w:pos="480"/>
          <w:tab w:val="right" w:leader="dot" w:pos="9488"/>
        </w:tabs>
        <w:rPr>
          <w:lang w:val="en-CA" w:eastAsia="zh-CN"/>
        </w:rPr>
      </w:pPr>
      <w:r>
        <w:rPr>
          <w:lang w:val="en-CA" w:eastAsia="zh-CN"/>
        </w:rPr>
        <w:t xml:space="preserve">The view </w:t>
      </w:r>
      <w:r w:rsidR="00FA4277">
        <w:rPr>
          <w:lang w:val="en-CA" w:eastAsia="zh-CN"/>
        </w:rPr>
        <w:t xml:space="preserve">of the RRB </w:t>
      </w:r>
      <w:r>
        <w:rPr>
          <w:lang w:val="en-CA" w:eastAsia="zh-CN"/>
        </w:rPr>
        <w:t xml:space="preserve">in </w:t>
      </w:r>
      <w:r w:rsidR="00FA4277">
        <w:rPr>
          <w:lang w:val="en-CA" w:eastAsia="zh-CN"/>
        </w:rPr>
        <w:t>its</w:t>
      </w:r>
      <w:r w:rsidR="00761836">
        <w:rPr>
          <w:lang w:val="en-CA" w:eastAsia="zh-CN"/>
        </w:rPr>
        <w:t xml:space="preserve"> </w:t>
      </w:r>
      <w:r>
        <w:rPr>
          <w:lang w:val="en-CA" w:eastAsia="zh-CN"/>
        </w:rPr>
        <w:t>draft report was that</w:t>
      </w:r>
      <w:r w:rsidR="00761836">
        <w:rPr>
          <w:lang w:val="en-CA" w:eastAsia="zh-CN"/>
        </w:rPr>
        <w:t xml:space="preserve"> the</w:t>
      </w:r>
      <w:r>
        <w:rPr>
          <w:lang w:val="en-CA" w:eastAsia="zh-CN"/>
        </w:rPr>
        <w:t xml:space="preserve"> </w:t>
      </w:r>
      <w:r w:rsidRPr="00B44CE9">
        <w:rPr>
          <w:lang w:val="en-CA" w:eastAsia="zh-CN"/>
        </w:rPr>
        <w:t xml:space="preserve">key indicator of potential misuse is when frequency assignments are repeatedly brought into use or brought back into use only for a short period of time. This type of practice allows an administration to maintain its recording in the MIFR (which maintains the international recognition and rights for protection of the frequency assignments to the GSO satellite networks) by simply satisfying the BIU/BBIU requirements without maintaining any satellite with the required transmitting and receiving capability beyond the required 90-day BIU/BBIU period. </w:t>
      </w:r>
      <w:r>
        <w:rPr>
          <w:lang w:val="en-CA" w:eastAsia="zh-CN"/>
        </w:rPr>
        <w:t xml:space="preserve">The RRB </w:t>
      </w:r>
      <w:r w:rsidR="00086CE6">
        <w:rPr>
          <w:lang w:val="en-CA" w:eastAsia="zh-CN"/>
        </w:rPr>
        <w:t>considers</w:t>
      </w:r>
      <w:r>
        <w:rPr>
          <w:lang w:val="en-CA" w:eastAsia="zh-CN"/>
        </w:rPr>
        <w:t xml:space="preserve"> that s</w:t>
      </w:r>
      <w:r w:rsidRPr="00B44CE9">
        <w:rPr>
          <w:lang w:val="en-CA" w:eastAsia="zh-CN"/>
        </w:rPr>
        <w:t xml:space="preserve">uch a practice is contrary to the principles of Article 44 </w:t>
      </w:r>
      <w:r>
        <w:rPr>
          <w:lang w:val="en-CA" w:eastAsia="zh-CN"/>
        </w:rPr>
        <w:t>(</w:t>
      </w:r>
      <w:r w:rsidRPr="008722F0">
        <w:rPr>
          <w:lang w:val="en-CA" w:eastAsia="zh-CN"/>
        </w:rPr>
        <w:t>Use of the Radio-Frequency Spectrum and</w:t>
      </w:r>
      <w:r>
        <w:rPr>
          <w:lang w:val="en-CA" w:eastAsia="zh-CN"/>
        </w:rPr>
        <w:t xml:space="preserve"> </w:t>
      </w:r>
      <w:r w:rsidRPr="008722F0">
        <w:rPr>
          <w:lang w:val="en-CA" w:eastAsia="zh-CN"/>
        </w:rPr>
        <w:t>of the Geostationary-Satellite and</w:t>
      </w:r>
      <w:r>
        <w:rPr>
          <w:lang w:val="en-CA" w:eastAsia="zh-CN"/>
        </w:rPr>
        <w:t xml:space="preserve"> </w:t>
      </w:r>
      <w:r w:rsidRPr="008722F0">
        <w:rPr>
          <w:lang w:val="en-CA" w:eastAsia="zh-CN"/>
        </w:rPr>
        <w:t>Other Satellite Orbits</w:t>
      </w:r>
      <w:r>
        <w:rPr>
          <w:lang w:val="en-CA" w:eastAsia="zh-CN"/>
        </w:rPr>
        <w:t>)</w:t>
      </w:r>
      <w:r w:rsidRPr="008722F0">
        <w:rPr>
          <w:lang w:val="en-CA" w:eastAsia="zh-CN"/>
        </w:rPr>
        <w:t xml:space="preserve"> </w:t>
      </w:r>
      <w:r w:rsidRPr="00B44CE9">
        <w:rPr>
          <w:lang w:val="en-CA" w:eastAsia="zh-CN"/>
        </w:rPr>
        <w:t xml:space="preserve">of the </w:t>
      </w:r>
      <w:r>
        <w:rPr>
          <w:lang w:val="en-CA" w:eastAsia="zh-CN"/>
        </w:rPr>
        <w:t xml:space="preserve">ITU </w:t>
      </w:r>
      <w:r w:rsidRPr="00B44CE9">
        <w:rPr>
          <w:lang w:val="en-CA" w:eastAsia="zh-CN"/>
        </w:rPr>
        <w:t xml:space="preserve">Constitution, the intent of the </w:t>
      </w:r>
      <w:r w:rsidR="002A7980">
        <w:rPr>
          <w:lang w:val="en-CA" w:eastAsia="zh-CN"/>
        </w:rPr>
        <w:t>Radio Regulations</w:t>
      </w:r>
      <w:r w:rsidRPr="00B44CE9">
        <w:rPr>
          <w:lang w:val="en-CA" w:eastAsia="zh-CN"/>
        </w:rPr>
        <w:t xml:space="preserve"> and the essence of the regulatory provisions governing access to the radio spectrum and geostationary orbit.</w:t>
      </w:r>
    </w:p>
    <w:p w14:paraId="5E2C9B78" w14:textId="77777777" w:rsidR="00067EB0" w:rsidRDefault="00A46AC1" w:rsidP="00251F91">
      <w:pPr>
        <w:tabs>
          <w:tab w:val="left" w:pos="480"/>
          <w:tab w:val="right" w:leader="dot" w:pos="9488"/>
        </w:tabs>
        <w:spacing w:after="120"/>
      </w:pPr>
      <w:r>
        <w:t>In line with this view</w:t>
      </w:r>
      <w:r w:rsidR="00536378">
        <w:t>,</w:t>
      </w:r>
      <w:r>
        <w:t xml:space="preserve"> the RRB </w:t>
      </w:r>
      <w:r w:rsidR="00D414AD">
        <w:t xml:space="preserve">draft </w:t>
      </w:r>
      <w:r>
        <w:t xml:space="preserve">report </w:t>
      </w:r>
      <w:r w:rsidR="00FE711B">
        <w:t>has</w:t>
      </w:r>
      <w:r>
        <w:t xml:space="preserve"> the following recommendation</w:t>
      </w:r>
      <w:r w:rsidR="00536378">
        <w:t>:</w:t>
      </w:r>
      <w:r>
        <w:t xml:space="preserve"> </w:t>
      </w:r>
    </w:p>
    <w:p w14:paraId="43B2562D" w14:textId="3CC1A98B" w:rsidR="00A46AC1" w:rsidRPr="00FE304F" w:rsidRDefault="00A46AC1" w:rsidP="00FE304F">
      <w:pPr>
        <w:tabs>
          <w:tab w:val="left" w:pos="480"/>
          <w:tab w:val="right" w:leader="dot" w:pos="9488"/>
        </w:tabs>
        <w:ind w:left="284"/>
        <w:rPr>
          <w:sz w:val="18"/>
          <w:szCs w:val="22"/>
        </w:rPr>
      </w:pPr>
      <w:r w:rsidRPr="00FE304F">
        <w:rPr>
          <w:sz w:val="18"/>
          <w:szCs w:val="22"/>
        </w:rPr>
        <w:t>To further limit spectrum reservation practices, WRC-23 is invited to request the ITU-R to study possible measures to restrain the use of the same satellite or different satellites to repeatedly bring into use and bring back into use the same frequency assignments of a satellite network or system for a short period of time only</w:t>
      </w:r>
      <w:r w:rsidR="004D6E01" w:rsidRPr="00FE304F">
        <w:rPr>
          <w:sz w:val="18"/>
          <w:szCs w:val="22"/>
        </w:rPr>
        <w:t>.</w:t>
      </w:r>
    </w:p>
    <w:p w14:paraId="2BA0CD32" w14:textId="66AF09EF" w:rsidR="00A46AC1" w:rsidRDefault="00A46AC1" w:rsidP="00A46AC1">
      <w:r>
        <w:t xml:space="preserve">While </w:t>
      </w:r>
      <w:r w:rsidR="004D6E01">
        <w:t xml:space="preserve">the </w:t>
      </w:r>
      <w:r>
        <w:t xml:space="preserve">ACMA </w:t>
      </w:r>
      <w:r w:rsidR="004D6E01">
        <w:t>is</w:t>
      </w:r>
      <w:r>
        <w:t xml:space="preserve"> the Australian filing administration responsible for submitting Resolution 40 information (as required), the Department of Infrastructure, Transport, Regional Development, </w:t>
      </w:r>
      <w:proofErr w:type="gramStart"/>
      <w:r>
        <w:t>Communications</w:t>
      </w:r>
      <w:proofErr w:type="gramEnd"/>
      <w:r>
        <w:t xml:space="preserve"> and the Arts leads the Australian preparatory processes for WRC-23</w:t>
      </w:r>
      <w:r w:rsidR="00E711BF">
        <w:t>.</w:t>
      </w:r>
      <w:r>
        <w:t xml:space="preserve"> </w:t>
      </w:r>
      <w:r w:rsidR="00E711BF">
        <w:t>S</w:t>
      </w:r>
      <w:r>
        <w:t>atellite operators interested in the matter should contact the Department to discuss Australia</w:t>
      </w:r>
      <w:r w:rsidR="00E711BF">
        <w:t>’s</w:t>
      </w:r>
      <w:r>
        <w:t xml:space="preserve"> position on this matter. </w:t>
      </w:r>
    </w:p>
    <w:p w14:paraId="2DA41FD3" w14:textId="001E40C6" w:rsidR="00AD2F19" w:rsidRPr="007001AD" w:rsidRDefault="00A46AC1" w:rsidP="00A46AC1">
      <w:r>
        <w:t xml:space="preserve">In terms of satellite coordination requirements, as this BIU activity </w:t>
      </w:r>
      <w:r>
        <w:rPr>
          <w:iCs/>
          <w:lang w:eastAsia="zh-CN"/>
        </w:rPr>
        <w:t xml:space="preserve">typically occurs just before expiry of the BIU </w:t>
      </w:r>
      <w:r>
        <w:t>regulatory time</w:t>
      </w:r>
      <w:r w:rsidR="00364656">
        <w:t xml:space="preserve"> </w:t>
      </w:r>
      <w:r>
        <w:t>limits</w:t>
      </w:r>
      <w:r>
        <w:rPr>
          <w:iCs/>
          <w:lang w:eastAsia="zh-CN"/>
        </w:rPr>
        <w:t xml:space="preserve">, </w:t>
      </w:r>
      <w:r w:rsidR="00AD2F19">
        <w:t xml:space="preserve">Australian satellite operators are advised to undertake </w:t>
      </w:r>
      <w:r w:rsidR="00AD2F19">
        <w:rPr>
          <w:iCs/>
          <w:lang w:eastAsia="zh-CN"/>
        </w:rPr>
        <w:t xml:space="preserve">extra due diligence </w:t>
      </w:r>
      <w:r>
        <w:rPr>
          <w:iCs/>
          <w:lang w:eastAsia="zh-CN"/>
        </w:rPr>
        <w:t>when considering which satellite networks require coordination</w:t>
      </w:r>
      <w:r w:rsidR="00090C8F">
        <w:rPr>
          <w:iCs/>
          <w:lang w:eastAsia="zh-CN"/>
        </w:rPr>
        <w:t xml:space="preserve"> </w:t>
      </w:r>
      <w:r w:rsidR="0094658D">
        <w:rPr>
          <w:iCs/>
          <w:lang w:eastAsia="zh-CN"/>
        </w:rPr>
        <w:t>for</w:t>
      </w:r>
      <w:r>
        <w:rPr>
          <w:iCs/>
          <w:lang w:eastAsia="zh-CN"/>
        </w:rPr>
        <w:t xml:space="preserve"> networks close to the BIU </w:t>
      </w:r>
      <w:r>
        <w:t>regulatory time</w:t>
      </w:r>
      <w:r w:rsidR="00364656">
        <w:t xml:space="preserve"> </w:t>
      </w:r>
      <w:r>
        <w:t xml:space="preserve">limits. </w:t>
      </w:r>
    </w:p>
    <w:p w14:paraId="620C85AE" w14:textId="3361B41D" w:rsidR="00A46AC1" w:rsidRDefault="00152BC6" w:rsidP="00A46AC1">
      <w:pPr>
        <w:pStyle w:val="Heading3"/>
      </w:pPr>
      <w:bookmarkStart w:id="147" w:name="_Toc139371664"/>
      <w:bookmarkStart w:id="148" w:name="_Toc144213420"/>
      <w:r>
        <w:t xml:space="preserve">Equitable use of </w:t>
      </w:r>
      <w:r w:rsidR="00413795">
        <w:t>non-geostationary</w:t>
      </w:r>
      <w:r w:rsidR="00413795" w:rsidRPr="00296756">
        <w:t xml:space="preserve"> </w:t>
      </w:r>
      <w:r w:rsidR="00A46AC1" w:rsidRPr="00296756">
        <w:t>orbit</w:t>
      </w:r>
      <w:r w:rsidR="003249A9">
        <w:t xml:space="preserve"> and </w:t>
      </w:r>
      <w:r w:rsidR="00A46AC1" w:rsidRPr="00296756">
        <w:t xml:space="preserve">spectrum </w:t>
      </w:r>
      <w:r w:rsidR="00A46AC1">
        <w:t>resources</w:t>
      </w:r>
      <w:bookmarkEnd w:id="147"/>
      <w:bookmarkEnd w:id="148"/>
      <w:r w:rsidR="00A46AC1">
        <w:t xml:space="preserve"> </w:t>
      </w:r>
    </w:p>
    <w:p w14:paraId="15715235" w14:textId="34DAC7BB" w:rsidR="00A46AC1" w:rsidRDefault="00682EE1" w:rsidP="00A46AC1">
      <w:r>
        <w:t>S</w:t>
      </w:r>
      <w:r w:rsidR="00A46AC1">
        <w:t xml:space="preserve">ection 4.12 of the draft RRB report </w:t>
      </w:r>
      <w:r>
        <w:t>notes the</w:t>
      </w:r>
      <w:r w:rsidR="00A46AC1" w:rsidRPr="00930C43">
        <w:t xml:space="preserve"> increased number of low Earth orbit (LEO) </w:t>
      </w:r>
      <w:r w:rsidR="00A46AC1">
        <w:t xml:space="preserve">NGSO </w:t>
      </w:r>
      <w:r w:rsidR="00A46AC1" w:rsidRPr="00930C43">
        <w:t>satellite system filings</w:t>
      </w:r>
      <w:r w:rsidR="00A46AC1">
        <w:t xml:space="preserve">. Issues discussed in the </w:t>
      </w:r>
      <w:r w:rsidR="00E00790">
        <w:t xml:space="preserve">draft </w:t>
      </w:r>
      <w:r w:rsidR="00A46AC1">
        <w:t xml:space="preserve">report are </w:t>
      </w:r>
      <w:proofErr w:type="gramStart"/>
      <w:r w:rsidR="00A46AC1">
        <w:t>similar to</w:t>
      </w:r>
      <w:proofErr w:type="gramEnd"/>
      <w:r w:rsidR="00A46AC1">
        <w:t xml:space="preserve"> those we observed in our discussion in section </w:t>
      </w:r>
      <w:r w:rsidR="00A46AC1">
        <w:fldChar w:fldCharType="begin"/>
      </w:r>
      <w:r w:rsidR="00A46AC1">
        <w:instrText xml:space="preserve"> REF _Ref138752296 \r \h </w:instrText>
      </w:r>
      <w:r w:rsidR="00A46AC1">
        <w:fldChar w:fldCharType="separate"/>
      </w:r>
      <w:r w:rsidR="001A5BF8">
        <w:t>6.4</w:t>
      </w:r>
      <w:r w:rsidR="00A46AC1">
        <w:fldChar w:fldCharType="end"/>
      </w:r>
      <w:r w:rsidR="00A46AC1">
        <w:t xml:space="preserve"> </w:t>
      </w:r>
      <w:r w:rsidR="00A46AC1">
        <w:fldChar w:fldCharType="begin"/>
      </w:r>
      <w:r w:rsidR="00A46AC1">
        <w:instrText xml:space="preserve"> REF _Ref138752244 \h </w:instrText>
      </w:r>
      <w:r w:rsidR="00A46AC1">
        <w:fldChar w:fldCharType="separate"/>
      </w:r>
      <w:r w:rsidR="001A5BF8">
        <w:t>Large NGSO satellite systems</w:t>
      </w:r>
      <w:r w:rsidR="00A46AC1">
        <w:fldChar w:fldCharType="end"/>
      </w:r>
      <w:r w:rsidR="00A46AC1">
        <w:t xml:space="preserve">. </w:t>
      </w:r>
    </w:p>
    <w:p w14:paraId="376B879B" w14:textId="7DF54A0D" w:rsidR="00A46AC1" w:rsidRDefault="00A46AC1" w:rsidP="00A46AC1">
      <w:pPr>
        <w:tabs>
          <w:tab w:val="left" w:pos="480"/>
          <w:tab w:val="right" w:leader="dot" w:pos="9488"/>
        </w:tabs>
        <w:rPr>
          <w:color w:val="000000"/>
          <w:szCs w:val="20"/>
        </w:rPr>
      </w:pPr>
      <w:r>
        <w:t xml:space="preserve">The RRB noted that ITU </w:t>
      </w:r>
      <w:r w:rsidRPr="005A4C15">
        <w:t>Plenipotentiary Conf</w:t>
      </w:r>
      <w:r>
        <w:t>e</w:t>
      </w:r>
      <w:r w:rsidRPr="005A4C15">
        <w:t>rence</w:t>
      </w:r>
      <w:r>
        <w:t xml:space="preserve"> 2022</w:t>
      </w:r>
      <w:r>
        <w:rPr>
          <w:rStyle w:val="FootnoteReference"/>
        </w:rPr>
        <w:t xml:space="preserve"> </w:t>
      </w:r>
      <w:r>
        <w:t>considered these issues in a new ITU resolution</w:t>
      </w:r>
      <w:r w:rsidR="00E80D56">
        <w:t>.</w:t>
      </w:r>
      <w:r>
        <w:rPr>
          <w:rStyle w:val="FootnoteReference"/>
        </w:rPr>
        <w:footnoteReference w:id="41"/>
      </w:r>
      <w:r>
        <w:t xml:space="preserve"> The resolution </w:t>
      </w:r>
      <w:r>
        <w:rPr>
          <w:color w:val="000000"/>
        </w:rPr>
        <w:t>instruct</w:t>
      </w:r>
      <w:r w:rsidR="009C14FF">
        <w:rPr>
          <w:color w:val="000000"/>
        </w:rPr>
        <w:t>s</w:t>
      </w:r>
      <w:r>
        <w:rPr>
          <w:color w:val="000000"/>
        </w:rPr>
        <w:t xml:space="preserve"> the Radiocommunication Assembly, as a matter of urgency, to perform </w:t>
      </w:r>
      <w:r>
        <w:rPr>
          <w:color w:val="000000"/>
          <w:szCs w:val="20"/>
        </w:rPr>
        <w:t xml:space="preserve">the necessary studies through relevant ITU </w:t>
      </w:r>
      <w:r>
        <w:rPr>
          <w:color w:val="000000"/>
          <w:szCs w:val="20"/>
        </w:rPr>
        <w:lastRenderedPageBreak/>
        <w:t>Radiocommunication Sector (ITU-R) study groups on the issue of the increasing use of radio-frequency spectrum and associated orbit resources in non-</w:t>
      </w:r>
      <w:r w:rsidR="00347998">
        <w:rPr>
          <w:color w:val="000000"/>
          <w:szCs w:val="20"/>
        </w:rPr>
        <w:t xml:space="preserve">geostationary </w:t>
      </w:r>
      <w:r>
        <w:rPr>
          <w:color w:val="000000"/>
          <w:szCs w:val="20"/>
        </w:rPr>
        <w:t xml:space="preserve">orbits and the long-term sustainability of these resources, as well as on equitable access to, and rational and compatible use of, the GSO and </w:t>
      </w:r>
      <w:r w:rsidR="005575A5">
        <w:rPr>
          <w:color w:val="000000"/>
          <w:szCs w:val="20"/>
        </w:rPr>
        <w:t>NGSO</w:t>
      </w:r>
      <w:r>
        <w:rPr>
          <w:color w:val="000000"/>
          <w:szCs w:val="20"/>
        </w:rPr>
        <w:t xml:space="preserve"> and spectrum resources, consistent with the objectives of Article 44 of the </w:t>
      </w:r>
      <w:r w:rsidR="005575A5">
        <w:rPr>
          <w:color w:val="000000"/>
          <w:szCs w:val="20"/>
        </w:rPr>
        <w:t>ITU</w:t>
      </w:r>
      <w:r>
        <w:rPr>
          <w:color w:val="000000"/>
          <w:szCs w:val="20"/>
        </w:rPr>
        <w:t xml:space="preserve"> Constitution. The </w:t>
      </w:r>
      <w:r w:rsidRPr="007B7A21">
        <w:rPr>
          <w:color w:val="000000"/>
          <w:szCs w:val="20"/>
        </w:rPr>
        <w:t>Director of the Radiocommunication Bureau</w:t>
      </w:r>
      <w:r>
        <w:rPr>
          <w:color w:val="000000"/>
          <w:szCs w:val="20"/>
        </w:rPr>
        <w:t xml:space="preserve"> is to report to WRCs on the results</w:t>
      </w:r>
      <w:r w:rsidR="00852A88">
        <w:rPr>
          <w:color w:val="000000"/>
          <w:szCs w:val="20"/>
        </w:rPr>
        <w:t xml:space="preserve"> of</w:t>
      </w:r>
      <w:r>
        <w:rPr>
          <w:color w:val="000000"/>
          <w:szCs w:val="20"/>
        </w:rPr>
        <w:t xml:space="preserve"> implementation of the resolution.</w:t>
      </w:r>
    </w:p>
    <w:p w14:paraId="333E22AC" w14:textId="3EE61DF4" w:rsidR="00A46AC1" w:rsidRDefault="00A46AC1" w:rsidP="00A46AC1">
      <w:r>
        <w:t xml:space="preserve">While Australia has not filed a large NGSO </w:t>
      </w:r>
      <w:r w:rsidR="00A80D94">
        <w:t xml:space="preserve">satellite </w:t>
      </w:r>
      <w:r>
        <w:t>system, the ACMA will monitor this work to understand implication</w:t>
      </w:r>
      <w:r w:rsidR="00852A88">
        <w:t>s</w:t>
      </w:r>
      <w:r>
        <w:t xml:space="preserve"> for </w:t>
      </w:r>
      <w:r w:rsidR="00852A88">
        <w:t>our</w:t>
      </w:r>
      <w:r>
        <w:t xml:space="preserve"> future approach to </w:t>
      </w:r>
      <w:r w:rsidR="003563A0">
        <w:t>satellite</w:t>
      </w:r>
      <w:r>
        <w:t xml:space="preserve"> filing and licensing.</w:t>
      </w:r>
    </w:p>
    <w:p w14:paraId="71C4E065" w14:textId="52E0138D" w:rsidR="00A46AC1" w:rsidRDefault="00A46AC1" w:rsidP="00A46AC1">
      <w:r>
        <w:t>In terms of any development at WRC-23 and associate</w:t>
      </w:r>
      <w:r w:rsidR="00B34FF5">
        <w:t>d</w:t>
      </w:r>
      <w:r>
        <w:t xml:space="preserve"> Australian positions, interested parties should contact the Department of Infrastructure, Transport, Regional Development, </w:t>
      </w:r>
      <w:proofErr w:type="gramStart"/>
      <w:r>
        <w:t>Communications</w:t>
      </w:r>
      <w:proofErr w:type="gramEnd"/>
      <w:r>
        <w:t xml:space="preserve"> and the Arts</w:t>
      </w:r>
      <w:r w:rsidR="00B34FF5">
        <w:t>,</w:t>
      </w:r>
      <w:r>
        <w:t xml:space="preserve"> </w:t>
      </w:r>
      <w:r w:rsidR="00B34FF5">
        <w:t>which</w:t>
      </w:r>
      <w:r>
        <w:t xml:space="preserve"> leads the Australian preparatory processes for WRC-23.</w:t>
      </w:r>
    </w:p>
    <w:p w14:paraId="28E18093" w14:textId="526AA96D" w:rsidR="00A46AC1" w:rsidRDefault="00A95608" w:rsidP="00A46AC1">
      <w:pPr>
        <w:pStyle w:val="Heading3"/>
      </w:pPr>
      <w:bookmarkStart w:id="149" w:name="_Toc139371665"/>
      <w:bookmarkStart w:id="150" w:name="_Toc144213421"/>
      <w:r>
        <w:t xml:space="preserve">Radio </w:t>
      </w:r>
      <w:r w:rsidR="00A46AC1">
        <w:t>R</w:t>
      </w:r>
      <w:r>
        <w:t>egulation</w:t>
      </w:r>
      <w:r w:rsidR="00A46AC1">
        <w:t xml:space="preserve"> 4.4</w:t>
      </w:r>
      <w:bookmarkEnd w:id="149"/>
      <w:bookmarkEnd w:id="150"/>
    </w:p>
    <w:p w14:paraId="5463B3F2" w14:textId="52887ACA" w:rsidR="00067EB0" w:rsidRDefault="00A46AC1" w:rsidP="00251F91">
      <w:pPr>
        <w:pStyle w:val="Paragraph"/>
        <w:spacing w:after="120"/>
      </w:pPr>
      <w:r>
        <w:t>R</w:t>
      </w:r>
      <w:r w:rsidR="00FA0CF1">
        <w:t>adio Regulation</w:t>
      </w:r>
      <w:r>
        <w:t xml:space="preserve"> 4.4</w:t>
      </w:r>
      <w:r w:rsidRPr="00141877">
        <w:t xml:space="preserve"> </w:t>
      </w:r>
      <w:r w:rsidR="00451D89">
        <w:t>(</w:t>
      </w:r>
      <w:r w:rsidR="00A95608">
        <w:t xml:space="preserve">ITU </w:t>
      </w:r>
      <w:r>
        <w:t>RR 4.4</w:t>
      </w:r>
      <w:r w:rsidR="00451D89">
        <w:t>)</w:t>
      </w:r>
      <w:r w:rsidR="00A95608">
        <w:t xml:space="preserve"> </w:t>
      </w:r>
      <w:r w:rsidRPr="00141877">
        <w:t>states that</w:t>
      </w:r>
      <w:r w:rsidR="00067EB0">
        <w:t>:</w:t>
      </w:r>
      <w:r w:rsidRPr="00141877">
        <w:t xml:space="preserve"> </w:t>
      </w:r>
    </w:p>
    <w:p w14:paraId="6E0E40DF" w14:textId="58DB8287" w:rsidR="00A46AC1" w:rsidRPr="003E4589" w:rsidRDefault="00A46AC1" w:rsidP="003E4589">
      <w:pPr>
        <w:pStyle w:val="Paragraph"/>
        <w:ind w:left="284"/>
        <w:rPr>
          <w:sz w:val="18"/>
          <w:szCs w:val="22"/>
        </w:rPr>
      </w:pPr>
      <w:r w:rsidRPr="003E4589">
        <w:rPr>
          <w:sz w:val="18"/>
          <w:szCs w:val="22"/>
        </w:rPr>
        <w:t>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Convention and these Regulations.</w:t>
      </w:r>
    </w:p>
    <w:p w14:paraId="42642344" w14:textId="77777777" w:rsidR="00067EB0" w:rsidRDefault="00A46AC1" w:rsidP="00251F91">
      <w:pPr>
        <w:pStyle w:val="Paragraph"/>
        <w:spacing w:after="120"/>
      </w:pPr>
      <w:r w:rsidRPr="000037EE">
        <w:t xml:space="preserve">The </w:t>
      </w:r>
      <w:r w:rsidR="001B4311">
        <w:t>RoP</w:t>
      </w:r>
      <w:r>
        <w:t xml:space="preserve"> on ITU</w:t>
      </w:r>
      <w:r w:rsidRPr="000037EE">
        <w:t xml:space="preserve"> </w:t>
      </w:r>
      <w:r w:rsidR="00451D89">
        <w:t>RR</w:t>
      </w:r>
      <w:r w:rsidR="002A0D3D">
        <w:t xml:space="preserve"> </w:t>
      </w:r>
      <w:r>
        <w:t>4.4 states</w:t>
      </w:r>
      <w:r w:rsidRPr="000037EE">
        <w:t xml:space="preserve"> </w:t>
      </w:r>
      <w:r w:rsidR="00617521">
        <w:t>at 1.5</w:t>
      </w:r>
      <w:r w:rsidR="00067EB0">
        <w:t>:</w:t>
      </w:r>
    </w:p>
    <w:p w14:paraId="09FDBA3D" w14:textId="7AC2588D" w:rsidR="00E02490" w:rsidRPr="003E4589" w:rsidRDefault="00E02490" w:rsidP="003E4589">
      <w:pPr>
        <w:pStyle w:val="Paragraph"/>
        <w:ind w:left="284"/>
        <w:rPr>
          <w:i/>
          <w:iCs/>
          <w:sz w:val="18"/>
          <w:szCs w:val="22"/>
        </w:rPr>
      </w:pPr>
      <w:r w:rsidRPr="003E4589">
        <w:rPr>
          <w:sz w:val="18"/>
          <w:szCs w:val="22"/>
        </w:rPr>
        <w:t>..</w:t>
      </w:r>
      <w:r w:rsidR="00F85299" w:rsidRPr="003E4589">
        <w:rPr>
          <w:sz w:val="18"/>
          <w:szCs w:val="22"/>
        </w:rPr>
        <w:t xml:space="preserve">. </w:t>
      </w:r>
      <w:r w:rsidRPr="003E4589">
        <w:rPr>
          <w:sz w:val="18"/>
          <w:szCs w:val="22"/>
        </w:rPr>
        <w:t xml:space="preserve">that the determination of whether or not a frequency assignment to a transmitting station is capable of causing harmful interference to the stations of another administration operating in accordance with the Radio Regulations does not lie only on the side of the administration operating the transmitting station that may be producing the interference and other administrations should have information about a use under No. 4.4 to assess its interference potential or identify the source of harmful interference. For this reason, an administration intending to use a frequency assignment to a transmitting station under No. 4.4 has to notify to the Bureau this frequency assignment, pursuant to Article 11, if </w:t>
      </w:r>
      <w:proofErr w:type="gramStart"/>
      <w:r w:rsidRPr="003E4589">
        <w:rPr>
          <w:sz w:val="18"/>
          <w:szCs w:val="22"/>
        </w:rPr>
        <w:t>possible</w:t>
      </w:r>
      <w:proofErr w:type="gramEnd"/>
      <w:r w:rsidRPr="003E4589">
        <w:rPr>
          <w:sz w:val="18"/>
          <w:szCs w:val="22"/>
        </w:rPr>
        <w:t xml:space="preserve"> prior to bringing it into use</w:t>
      </w:r>
      <w:r w:rsidR="004F032C" w:rsidRPr="003E4589">
        <w:rPr>
          <w:i/>
          <w:iCs/>
          <w:sz w:val="18"/>
          <w:szCs w:val="22"/>
        </w:rPr>
        <w:t>.</w:t>
      </w:r>
    </w:p>
    <w:p w14:paraId="0958FBF1" w14:textId="1FDFD170" w:rsidR="00A46AC1" w:rsidRDefault="00682BE6" w:rsidP="00A46AC1">
      <w:pPr>
        <w:pStyle w:val="Paragraph"/>
      </w:pPr>
      <w:r>
        <w:t xml:space="preserve">As </w:t>
      </w:r>
      <w:r w:rsidR="00A46AC1">
        <w:t>outlined in t</w:t>
      </w:r>
      <w:r w:rsidR="00A46AC1" w:rsidRPr="00035889">
        <w:t xml:space="preserve">he </w:t>
      </w:r>
      <w:r w:rsidR="009516BA">
        <w:t>RoP</w:t>
      </w:r>
      <w:r>
        <w:t xml:space="preserve">, </w:t>
      </w:r>
      <w:r w:rsidR="00A46AC1">
        <w:t>w</w:t>
      </w:r>
      <w:r w:rsidR="00A46AC1" w:rsidRPr="00035889">
        <w:t xml:space="preserve">hen notifying the use of frequency assignments to be operated under </w:t>
      </w:r>
      <w:r w:rsidR="00FF3AE8">
        <w:t>ITU RR</w:t>
      </w:r>
      <w:r w:rsidR="00A46AC1" w:rsidRPr="00035889">
        <w:t xml:space="preserve"> 4.4, </w:t>
      </w:r>
      <w:r w:rsidR="00A46AC1">
        <w:t>the notifying administration must</w:t>
      </w:r>
      <w:r w:rsidR="00A46AC1" w:rsidRPr="00035889">
        <w:t xml:space="preserve"> provide a confirmation that it has determined </w:t>
      </w:r>
      <w:r w:rsidR="001174F9">
        <w:t xml:space="preserve">that </w:t>
      </w:r>
      <w:r w:rsidR="003E2D34">
        <w:t xml:space="preserve">the transmitter station will not cause harmful interference </w:t>
      </w:r>
      <w:r w:rsidR="00C301A7">
        <w:t xml:space="preserve">to the stations of other administrations </w:t>
      </w:r>
      <w:r w:rsidR="00162E69">
        <w:t xml:space="preserve">operating in compliance with the </w:t>
      </w:r>
      <w:r w:rsidR="002A7980">
        <w:t>Radio Regulations</w:t>
      </w:r>
      <w:r w:rsidR="00162E69">
        <w:t>,</w:t>
      </w:r>
      <w:r w:rsidR="003E2D34">
        <w:t xml:space="preserve"> </w:t>
      </w:r>
      <w:r w:rsidR="00A46AC1" w:rsidRPr="00035889">
        <w:t xml:space="preserve">and that it has identified measures to avoid harmful interference and to immediately eliminate </w:t>
      </w:r>
      <w:r w:rsidR="008A06FB">
        <w:t>it</w:t>
      </w:r>
      <w:r w:rsidR="008A06FB" w:rsidRPr="00035889">
        <w:t xml:space="preserve"> </w:t>
      </w:r>
      <w:r w:rsidR="00A46AC1" w:rsidRPr="00035889">
        <w:t>in case of a complaint.</w:t>
      </w:r>
    </w:p>
    <w:p w14:paraId="35C5F9F5" w14:textId="246983BC" w:rsidR="00A46AC1" w:rsidRDefault="00A46AC1" w:rsidP="00A46AC1">
      <w:pPr>
        <w:pStyle w:val="Paragraph"/>
      </w:pPr>
      <w:r>
        <w:t>In section 4.13 o</w:t>
      </w:r>
      <w:r w:rsidR="00A6674B">
        <w:t>f</w:t>
      </w:r>
      <w:r>
        <w:t xml:space="preserve"> the draft RRB report</w:t>
      </w:r>
      <w:r w:rsidR="008A06FB">
        <w:t>,</w:t>
      </w:r>
      <w:r>
        <w:t xml:space="preserve"> the RRB noted an increased </w:t>
      </w:r>
      <w:r w:rsidRPr="00075C89">
        <w:t xml:space="preserve">reliance on </w:t>
      </w:r>
      <w:r w:rsidR="00FA0052">
        <w:t>ITU RR</w:t>
      </w:r>
      <w:r w:rsidRPr="00075C89">
        <w:t xml:space="preserve"> 4.4 by administrations and </w:t>
      </w:r>
      <w:r w:rsidR="00FA0052">
        <w:t>satellite</w:t>
      </w:r>
      <w:r w:rsidRPr="00075C89">
        <w:t xml:space="preserve"> operators </w:t>
      </w:r>
      <w:proofErr w:type="gramStart"/>
      <w:r w:rsidRPr="00075C89">
        <w:t>as a means to</w:t>
      </w:r>
      <w:proofErr w:type="gramEnd"/>
      <w:r w:rsidRPr="00075C89">
        <w:t xml:space="preserve"> secure access to spectrum and orbital resources they wished to use for providing commercial services. For these satellite systems, </w:t>
      </w:r>
      <w:proofErr w:type="gramStart"/>
      <w:r w:rsidRPr="00075C89">
        <w:t xml:space="preserve">in particular </w:t>
      </w:r>
      <w:r w:rsidR="008A06FB">
        <w:t>N</w:t>
      </w:r>
      <w:r w:rsidRPr="00075C89">
        <w:t>GSO</w:t>
      </w:r>
      <w:proofErr w:type="gramEnd"/>
      <w:r w:rsidRPr="00075C89">
        <w:t xml:space="preserve"> systems, the</w:t>
      </w:r>
      <w:r>
        <w:t xml:space="preserve"> RRB view was that </w:t>
      </w:r>
      <w:r w:rsidR="00CB73FA">
        <w:t>the</w:t>
      </w:r>
      <w:r w:rsidRPr="00075C89">
        <w:t xml:space="preserve"> interference situation was uncertain due to the large number of orbital planes and satellites</w:t>
      </w:r>
      <w:r>
        <w:t xml:space="preserve">. The RRB also expressed a view that </w:t>
      </w:r>
      <w:r>
        <w:rPr>
          <w:lang w:val="en-US"/>
        </w:rPr>
        <w:t xml:space="preserve">demonstrating </w:t>
      </w:r>
      <w:r w:rsidRPr="00930C43">
        <w:t xml:space="preserve">conformity with the </w:t>
      </w:r>
      <w:r w:rsidR="009F458F">
        <w:t>RoP</w:t>
      </w:r>
      <w:r w:rsidRPr="00930C43">
        <w:t xml:space="preserve"> on </w:t>
      </w:r>
      <w:r w:rsidR="009F458F">
        <w:t>ITU</w:t>
      </w:r>
      <w:r w:rsidRPr="00930C43">
        <w:t xml:space="preserve"> </w:t>
      </w:r>
      <w:r w:rsidR="00141B08">
        <w:t xml:space="preserve">RR </w:t>
      </w:r>
      <w:r w:rsidRPr="00141B08">
        <w:t>4.4</w:t>
      </w:r>
      <w:r>
        <w:t xml:space="preserve"> becomes very challenging when</w:t>
      </w:r>
      <w:r w:rsidRPr="00930C43">
        <w:t xml:space="preserve"> thousands of satellites </w:t>
      </w:r>
      <w:r>
        <w:t>could be</w:t>
      </w:r>
      <w:r w:rsidRPr="00930C43">
        <w:t xml:space="preserve"> involved</w:t>
      </w:r>
      <w:r>
        <w:t xml:space="preserve"> and that it was not clear that administrations and operators fully understood their obligations under </w:t>
      </w:r>
      <w:r w:rsidR="009F458F">
        <w:t xml:space="preserve">ITU </w:t>
      </w:r>
      <w:r w:rsidR="00141B08">
        <w:t>RR</w:t>
      </w:r>
      <w:r>
        <w:t xml:space="preserve"> </w:t>
      </w:r>
      <w:r w:rsidRPr="00141B08">
        <w:t>4.4</w:t>
      </w:r>
      <w:r w:rsidRPr="00AA0374">
        <w:t xml:space="preserve"> </w:t>
      </w:r>
      <w:r>
        <w:t>and its impact on the quality of service and capacity of their satellite system.</w:t>
      </w:r>
    </w:p>
    <w:p w14:paraId="071308B2" w14:textId="56BFD961" w:rsidR="00A46AC1" w:rsidRDefault="00A46AC1" w:rsidP="008C1E3C">
      <w:pPr>
        <w:pStyle w:val="Paragraphbeforelist"/>
        <w:keepNext/>
        <w:keepLines/>
      </w:pPr>
      <w:r>
        <w:lastRenderedPageBreak/>
        <w:t xml:space="preserve">The RRB had </w:t>
      </w:r>
      <w:r w:rsidR="00AA0374">
        <w:t xml:space="preserve">2 </w:t>
      </w:r>
      <w:r>
        <w:t>recommendation</w:t>
      </w:r>
      <w:r w:rsidR="00AA0374">
        <w:t>s</w:t>
      </w:r>
      <w:r>
        <w:t xml:space="preserve"> for WRC-23 </w:t>
      </w:r>
      <w:r w:rsidR="001D5523">
        <w:t xml:space="preserve">concerning </w:t>
      </w:r>
      <w:r>
        <w:t>use of ITU RR 4.4:</w:t>
      </w:r>
    </w:p>
    <w:p w14:paraId="00413C3B" w14:textId="77777777" w:rsidR="00A46AC1" w:rsidRDefault="00A46AC1" w:rsidP="00A46AC1">
      <w:pPr>
        <w:pStyle w:val="ListBullet"/>
      </w:pPr>
      <w:r>
        <w:t>WRC-23 is invited to confirm that frequency assignments to satellite networks and systems recorded under No. 4.4 are not entitled to protection from harmful interference amongst each other.</w:t>
      </w:r>
    </w:p>
    <w:p w14:paraId="61B05350" w14:textId="77777777" w:rsidR="00A46AC1" w:rsidRDefault="00A46AC1" w:rsidP="00141B08">
      <w:pPr>
        <w:pStyle w:val="ListBulletLast"/>
      </w:pPr>
      <w:r>
        <w:t>WRC-23 is invited to encourage administrations to avoid the use of No. 4.4 for commercial applications.</w:t>
      </w:r>
    </w:p>
    <w:p w14:paraId="44790087" w14:textId="2FE1D280" w:rsidR="00A46AC1" w:rsidRDefault="00A46AC1" w:rsidP="00A46AC1">
      <w:pPr>
        <w:pStyle w:val="Paragraph"/>
        <w:rPr>
          <w:lang w:val="en-US"/>
        </w:rPr>
      </w:pPr>
      <w:r>
        <w:t>While the ACMA has made a small number of filings under ITU RR</w:t>
      </w:r>
      <w:r w:rsidR="00141B08">
        <w:t xml:space="preserve"> </w:t>
      </w:r>
      <w:r>
        <w:t>4.4</w:t>
      </w:r>
      <w:r w:rsidR="00031E51">
        <w:t>,</w:t>
      </w:r>
      <w:r>
        <w:t xml:space="preserve"> these have been to support experimental stations typically for a single satellite and </w:t>
      </w:r>
      <w:r>
        <w:rPr>
          <w:lang w:val="en-US"/>
        </w:rPr>
        <w:t xml:space="preserve">not designed to provide high-quality service. </w:t>
      </w:r>
      <w:r w:rsidR="00031E51">
        <w:rPr>
          <w:lang w:val="en-US"/>
        </w:rPr>
        <w:t>This is a</w:t>
      </w:r>
      <w:r>
        <w:rPr>
          <w:lang w:val="en-US"/>
        </w:rPr>
        <w:t xml:space="preserve"> scenario for which the RRB noted that compliance with requirements of </w:t>
      </w:r>
      <w:r w:rsidR="008E6FDB">
        <w:rPr>
          <w:lang w:val="en-US"/>
        </w:rPr>
        <w:t>RoP</w:t>
      </w:r>
      <w:r>
        <w:rPr>
          <w:lang w:val="en-US"/>
        </w:rPr>
        <w:t xml:space="preserve"> on </w:t>
      </w:r>
      <w:r w:rsidR="008E6FDB">
        <w:rPr>
          <w:lang w:val="en-US"/>
        </w:rPr>
        <w:t>ITU RR</w:t>
      </w:r>
      <w:r>
        <w:rPr>
          <w:lang w:val="en-US"/>
        </w:rPr>
        <w:t xml:space="preserve"> </w:t>
      </w:r>
      <w:r w:rsidRPr="00C942EC">
        <w:rPr>
          <w:lang w:val="en-US"/>
        </w:rPr>
        <w:t>4</w:t>
      </w:r>
      <w:r w:rsidDel="00AC5C83">
        <w:rPr>
          <w:lang w:val="en-US"/>
        </w:rPr>
        <w:t>.</w:t>
      </w:r>
      <w:r w:rsidRPr="00C942EC">
        <w:rPr>
          <w:lang w:val="en-US"/>
        </w:rPr>
        <w:t>4</w:t>
      </w:r>
      <w:r>
        <w:rPr>
          <w:lang w:val="en-US"/>
        </w:rPr>
        <w:t xml:space="preserve"> was achievable. </w:t>
      </w:r>
    </w:p>
    <w:p w14:paraId="71160272" w14:textId="09941BDD" w:rsidR="00A46AC1" w:rsidRDefault="00A46AC1" w:rsidP="00A46AC1">
      <w:pPr>
        <w:pStyle w:val="Paragraph"/>
      </w:pPr>
      <w:r>
        <w:t xml:space="preserve">In general, the ACMA is reluctant to accept applications for which the intended use is not consistent with </w:t>
      </w:r>
      <w:r w:rsidR="00A27497">
        <w:t xml:space="preserve">an </w:t>
      </w:r>
      <w:r>
        <w:t xml:space="preserve">ITU allocation (that is under ITU </w:t>
      </w:r>
      <w:r w:rsidR="008E6FDB">
        <w:t xml:space="preserve">RR </w:t>
      </w:r>
      <w:r>
        <w:t>4.4). For this reason</w:t>
      </w:r>
      <w:r w:rsidR="00A27497">
        <w:t>,</w:t>
      </w:r>
      <w:r>
        <w:t xml:space="preserve"> operation under ITU </w:t>
      </w:r>
      <w:r w:rsidR="00A27497">
        <w:t xml:space="preserve">RR </w:t>
      </w:r>
      <w:r>
        <w:t xml:space="preserve">4.4 is not considered in our filing procedures. Any applications under </w:t>
      </w:r>
      <w:r w:rsidR="003B67F9">
        <w:t xml:space="preserve">ITU RR </w:t>
      </w:r>
      <w:r>
        <w:t>4.4 would be considered as an out</w:t>
      </w:r>
      <w:r w:rsidR="00A27497">
        <w:t>-</w:t>
      </w:r>
      <w:r>
        <w:t>of</w:t>
      </w:r>
      <w:r w:rsidR="00A27497">
        <w:t>-</w:t>
      </w:r>
      <w:r>
        <w:t xml:space="preserve">policy request on </w:t>
      </w:r>
      <w:r w:rsidR="00A27497">
        <w:t xml:space="preserve">a </w:t>
      </w:r>
      <w:r>
        <w:t>case</w:t>
      </w:r>
      <w:r w:rsidR="00A27497">
        <w:t>-</w:t>
      </w:r>
      <w:r>
        <w:t>by</w:t>
      </w:r>
      <w:r w:rsidR="00A27497">
        <w:t>-</w:t>
      </w:r>
      <w:r>
        <w:t>case basis.</w:t>
      </w:r>
    </w:p>
    <w:p w14:paraId="5D5922E2" w14:textId="77777777" w:rsidR="00CF24D1" w:rsidRDefault="00CF24D1" w:rsidP="003A2BC4">
      <w:pPr>
        <w:pStyle w:val="Paragraph"/>
      </w:pPr>
    </w:p>
    <w:p w14:paraId="0AF4800E" w14:textId="73FEA90C" w:rsidR="00BD743E" w:rsidRDefault="00BD743E" w:rsidP="00802E35">
      <w:pPr>
        <w:spacing w:before="120"/>
        <w:rPr>
          <w:rFonts w:cs="Arial"/>
        </w:rPr>
      </w:pPr>
    </w:p>
    <w:p w14:paraId="2FBFB6C6" w14:textId="1BED9804" w:rsidR="006C1631" w:rsidRPr="00E162C4" w:rsidRDefault="006C1631" w:rsidP="006C1631">
      <w:pPr>
        <w:pStyle w:val="Heading1"/>
      </w:pPr>
      <w:bookmarkStart w:id="151" w:name="_Toc136440231"/>
      <w:bookmarkStart w:id="152" w:name="_Toc139371666"/>
      <w:bookmarkStart w:id="153" w:name="_Toc144213422"/>
      <w:r w:rsidRPr="00E162C4">
        <w:lastRenderedPageBreak/>
        <w:t>Invitation to comment</w:t>
      </w:r>
      <w:bookmarkEnd w:id="151"/>
      <w:bookmarkEnd w:id="152"/>
      <w:bookmarkEnd w:id="153"/>
    </w:p>
    <w:p w14:paraId="68D399E0" w14:textId="77777777" w:rsidR="006C1631" w:rsidRPr="00E162C4" w:rsidRDefault="006C1631" w:rsidP="006C1631">
      <w:pPr>
        <w:pStyle w:val="Heading2"/>
      </w:pPr>
      <w:bookmarkStart w:id="154" w:name="_Toc433122131"/>
      <w:bookmarkStart w:id="155" w:name="_Toc348105637"/>
      <w:bookmarkStart w:id="156" w:name="_Toc300909556"/>
      <w:bookmarkStart w:id="157" w:name="_Toc298924673"/>
      <w:bookmarkStart w:id="158" w:name="_Toc136440232"/>
      <w:bookmarkStart w:id="159" w:name="_Toc139371667"/>
      <w:bookmarkStart w:id="160" w:name="_Toc144213423"/>
      <w:bookmarkStart w:id="161" w:name="_Toc348105638"/>
      <w:bookmarkStart w:id="162" w:name="_Toc300909557"/>
      <w:bookmarkStart w:id="163" w:name="_Toc298924674"/>
      <w:bookmarkStart w:id="164" w:name="_Toc274296357"/>
      <w:r w:rsidRPr="00E162C4">
        <w:t>Making a submission</w:t>
      </w:r>
      <w:bookmarkEnd w:id="154"/>
      <w:bookmarkEnd w:id="155"/>
      <w:bookmarkEnd w:id="156"/>
      <w:bookmarkEnd w:id="157"/>
      <w:bookmarkEnd w:id="158"/>
      <w:bookmarkEnd w:id="159"/>
      <w:bookmarkEnd w:id="160"/>
    </w:p>
    <w:p w14:paraId="18C31F50" w14:textId="6A8BEDEE" w:rsidR="006C1631" w:rsidRPr="00E162C4" w:rsidRDefault="006C5FD4" w:rsidP="006C1631">
      <w:r w:rsidRPr="00E162C4">
        <w:t>We</w:t>
      </w:r>
      <w:r w:rsidR="006C1631" w:rsidRPr="00E162C4">
        <w:t xml:space="preserve"> invite comments on the issues set out in this </w:t>
      </w:r>
      <w:r w:rsidR="00727C03">
        <w:t>consultation</w:t>
      </w:r>
      <w:r w:rsidR="00727C03" w:rsidRPr="00E162C4">
        <w:t xml:space="preserve"> </w:t>
      </w:r>
      <w:r w:rsidR="006C1631" w:rsidRPr="00E162C4">
        <w:t xml:space="preserve">paper. </w:t>
      </w:r>
    </w:p>
    <w:p w14:paraId="1094F9FC" w14:textId="5E3E1178" w:rsidR="0070133D" w:rsidRPr="00E162C4" w:rsidRDefault="00B37467" w:rsidP="0070133D">
      <w:pPr>
        <w:pStyle w:val="Bulletlevel1"/>
      </w:pPr>
      <w:hyperlink r:id="rId49"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3E46FBAF" w14:textId="77777777" w:rsidR="006C1631" w:rsidRPr="00E162C4" w:rsidRDefault="006C1631" w:rsidP="0070133D">
      <w:pPr>
        <w:pStyle w:val="Bulletlevel1"/>
      </w:pPr>
      <w:r w:rsidRPr="00E162C4">
        <w:t xml:space="preserve">Submissions by post can be sent to: </w:t>
      </w:r>
    </w:p>
    <w:p w14:paraId="443238D3" w14:textId="77777777" w:rsidR="006C1631" w:rsidRPr="00C738A4" w:rsidRDefault="006C1631" w:rsidP="006C1631">
      <w:pPr>
        <w:tabs>
          <w:tab w:val="num" w:pos="295"/>
        </w:tabs>
        <w:spacing w:after="0"/>
        <w:ind w:left="295"/>
        <w:rPr>
          <w:szCs w:val="20"/>
        </w:rPr>
      </w:pPr>
      <w:r w:rsidRPr="00C738A4">
        <w:rPr>
          <w:szCs w:val="20"/>
        </w:rPr>
        <w:t>The Manager</w:t>
      </w:r>
    </w:p>
    <w:p w14:paraId="55BABEBB" w14:textId="0B2EF27E" w:rsidR="006C1631" w:rsidRPr="00C738A4" w:rsidRDefault="000F0BF1" w:rsidP="006C1631">
      <w:pPr>
        <w:spacing w:after="0"/>
        <w:ind w:left="295"/>
        <w:rPr>
          <w:szCs w:val="20"/>
        </w:rPr>
      </w:pPr>
      <w:r w:rsidRPr="00C738A4">
        <w:rPr>
          <w:szCs w:val="20"/>
        </w:rPr>
        <w:t xml:space="preserve">Space Systems </w:t>
      </w:r>
      <w:r w:rsidR="006C1631" w:rsidRPr="00C738A4">
        <w:rPr>
          <w:szCs w:val="20"/>
        </w:rPr>
        <w:t>Section</w:t>
      </w:r>
    </w:p>
    <w:p w14:paraId="78340218" w14:textId="77777777" w:rsidR="006C1631" w:rsidRPr="00C738A4" w:rsidRDefault="006C1631" w:rsidP="006C1631">
      <w:pPr>
        <w:spacing w:after="0"/>
        <w:ind w:left="295"/>
        <w:rPr>
          <w:szCs w:val="20"/>
        </w:rPr>
      </w:pPr>
      <w:r w:rsidRPr="00C738A4">
        <w:rPr>
          <w:szCs w:val="20"/>
        </w:rPr>
        <w:t>Australian Communications and Media Authority</w:t>
      </w:r>
    </w:p>
    <w:p w14:paraId="7E413DB6" w14:textId="77777777" w:rsidR="006C1631" w:rsidRPr="00C738A4" w:rsidRDefault="006C1631" w:rsidP="006C1631">
      <w:pPr>
        <w:spacing w:after="0"/>
        <w:ind w:left="295"/>
        <w:rPr>
          <w:szCs w:val="20"/>
        </w:rPr>
      </w:pPr>
      <w:r w:rsidRPr="00C738A4">
        <w:rPr>
          <w:szCs w:val="20"/>
        </w:rPr>
        <w:t>PO Box 78</w:t>
      </w:r>
    </w:p>
    <w:p w14:paraId="27E97E02" w14:textId="77777777" w:rsidR="006C1631" w:rsidRPr="00E162C4" w:rsidRDefault="006C1631" w:rsidP="006C1631">
      <w:pPr>
        <w:ind w:left="295"/>
        <w:rPr>
          <w:szCs w:val="20"/>
        </w:rPr>
      </w:pPr>
      <w:r w:rsidRPr="00C738A4">
        <w:rPr>
          <w:szCs w:val="20"/>
        </w:rPr>
        <w:t>Belconnen ACT 2616</w:t>
      </w:r>
    </w:p>
    <w:p w14:paraId="4393D530" w14:textId="63AAED27" w:rsidR="006C1631" w:rsidRPr="00E162C4" w:rsidRDefault="006C1631" w:rsidP="006C1631">
      <w:r w:rsidRPr="00E162C4">
        <w:t xml:space="preserve">The closing date for submissions is COB, </w:t>
      </w:r>
      <w:r w:rsidR="00536A2C" w:rsidRPr="003E4589">
        <w:rPr>
          <w:b/>
          <w:bCs/>
        </w:rPr>
        <w:t xml:space="preserve">Wednesday 11 October </w:t>
      </w:r>
      <w:r w:rsidRPr="003E4589">
        <w:rPr>
          <w:b/>
          <w:bCs/>
        </w:rPr>
        <w:t>20</w:t>
      </w:r>
      <w:r w:rsidR="006A45D7" w:rsidRPr="003E4589">
        <w:rPr>
          <w:b/>
          <w:bCs/>
        </w:rPr>
        <w:t>23</w:t>
      </w:r>
      <w:r w:rsidRPr="003E4589">
        <w:t>.</w:t>
      </w:r>
    </w:p>
    <w:p w14:paraId="196670B3" w14:textId="378A8663" w:rsidR="006C1631" w:rsidRPr="00E162C4" w:rsidRDefault="006C1631" w:rsidP="006C1631">
      <w:pPr>
        <w:rPr>
          <w:szCs w:val="20"/>
        </w:rPr>
      </w:pPr>
      <w:r w:rsidRPr="00E162C4">
        <w:t xml:space="preserve">Consultation enquiries can be emailed </w:t>
      </w:r>
      <w:r w:rsidRPr="00E162C4">
        <w:rPr>
          <w:szCs w:val="20"/>
        </w:rPr>
        <w:t>to</w:t>
      </w:r>
      <w:r w:rsidR="008F6CB3">
        <w:rPr>
          <w:szCs w:val="20"/>
        </w:rPr>
        <w:t xml:space="preserve"> satellite.coordination@acma.gov.au</w:t>
      </w:r>
    </w:p>
    <w:p w14:paraId="09FE49D7" w14:textId="5856DCCE" w:rsidR="006C1631" w:rsidRPr="00E162C4" w:rsidRDefault="006C1631" w:rsidP="00240333">
      <w:pPr>
        <w:pStyle w:val="Heading2"/>
      </w:pPr>
      <w:bookmarkStart w:id="165" w:name="_Toc348105639"/>
      <w:bookmarkStart w:id="166" w:name="_Toc300909558"/>
      <w:bookmarkStart w:id="167" w:name="_Toc136440233"/>
      <w:bookmarkStart w:id="168" w:name="_Toc139371668"/>
      <w:bookmarkStart w:id="169" w:name="_Toc144213424"/>
      <w:bookmarkEnd w:id="161"/>
      <w:bookmarkEnd w:id="162"/>
      <w:r w:rsidRPr="00E162C4">
        <w:t>Publication of submissions</w:t>
      </w:r>
      <w:bookmarkEnd w:id="163"/>
      <w:bookmarkEnd w:id="164"/>
      <w:bookmarkEnd w:id="165"/>
      <w:bookmarkEnd w:id="166"/>
      <w:bookmarkEnd w:id="167"/>
      <w:bookmarkEnd w:id="168"/>
      <w:bookmarkEnd w:id="169"/>
    </w:p>
    <w:p w14:paraId="7B63632A" w14:textId="77777777" w:rsidR="006C1631" w:rsidRPr="00E162C4" w:rsidRDefault="006C5FD4" w:rsidP="006C1631">
      <w:bookmarkStart w:id="170" w:name="_Toc348105640"/>
      <w:bookmarkStart w:id="171" w:name="_Toc300909559"/>
      <w:bookmarkStart w:id="172"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2EE04CF4" w14:textId="77777777" w:rsidR="006C1631" w:rsidRPr="00E162C4" w:rsidRDefault="006C1631" w:rsidP="006C1631">
      <w:r w:rsidRPr="00E162C4">
        <w:t>Confidential information will not be published or otherwise released unless required or authorised by law.</w:t>
      </w:r>
    </w:p>
    <w:p w14:paraId="6DF4E881" w14:textId="77777777" w:rsidR="006C1631" w:rsidRPr="00E162C4" w:rsidRDefault="006C1631" w:rsidP="00240333">
      <w:pPr>
        <w:pStyle w:val="Heading2"/>
      </w:pPr>
      <w:bookmarkStart w:id="173" w:name="_Toc136440234"/>
      <w:bookmarkStart w:id="174" w:name="_Toc139371669"/>
      <w:bookmarkStart w:id="175" w:name="_Toc144213425"/>
      <w:r w:rsidRPr="00E162C4">
        <w:t>Privacy</w:t>
      </w:r>
      <w:bookmarkEnd w:id="173"/>
      <w:bookmarkEnd w:id="174"/>
      <w:bookmarkEnd w:id="175"/>
    </w:p>
    <w:p w14:paraId="6788A215" w14:textId="0AB29CEE"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50"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p w14:paraId="7FBEFE54" w14:textId="4FDF5A88" w:rsidR="00A4193E" w:rsidRPr="00E162C4" w:rsidRDefault="006C1631" w:rsidP="005B2F0D">
      <w:pPr>
        <w:pStyle w:val="Paragraph"/>
      </w:pPr>
      <w:bookmarkStart w:id="176" w:name="_Hlk59627494"/>
      <w:bookmarkEnd w:id="170"/>
      <w:bookmarkEnd w:id="171"/>
      <w:bookmarkEnd w:id="172"/>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51" w:history="1">
        <w:r w:rsidR="00E21056" w:rsidRPr="00E162C4">
          <w:rPr>
            <w:rStyle w:val="Hyperlink"/>
          </w:rPr>
          <w:t>privacy policy</w:t>
        </w:r>
      </w:hyperlink>
      <w:r w:rsidRPr="00E162C4">
        <w:t>.</w:t>
      </w:r>
      <w:r w:rsidR="00A4193E" w:rsidRPr="00E162C4">
        <w:t xml:space="preserve"> </w:t>
      </w:r>
      <w:bookmarkEnd w:id="176"/>
    </w:p>
    <w:sectPr w:rsidR="00A4193E" w:rsidRPr="00E162C4" w:rsidSect="00C77380">
      <w:headerReference w:type="even" r:id="rId52"/>
      <w:headerReference w:type="default" r:id="rId53"/>
      <w:footerReference w:type="even" r:id="rId54"/>
      <w:footerReference w:type="default" r:id="rId5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3C59" w14:textId="77777777" w:rsidR="00BE2E71" w:rsidRDefault="00BE2E71">
      <w:r>
        <w:separator/>
      </w:r>
    </w:p>
  </w:endnote>
  <w:endnote w:type="continuationSeparator" w:id="0">
    <w:p w14:paraId="56AE34C4" w14:textId="77777777" w:rsidR="00BE2E71" w:rsidRDefault="00BE2E71">
      <w:r>
        <w:continuationSeparator/>
      </w:r>
    </w:p>
  </w:endnote>
  <w:endnote w:type="continuationNotice" w:id="1">
    <w:p w14:paraId="37676540" w14:textId="77777777" w:rsidR="00BE2E71" w:rsidRDefault="00BE2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B660" w14:textId="77777777" w:rsidR="005E250B" w:rsidRDefault="005E250B" w:rsidP="005E250B">
    <w:pPr>
      <w:pStyle w:val="Footer"/>
      <w:jc w:val="right"/>
    </w:pPr>
    <w:r w:rsidRPr="005E250B">
      <w:rPr>
        <w:noProof/>
        <w:vertAlign w:val="subscript"/>
      </w:rPr>
      <w:drawing>
        <wp:inline distT="0" distB="0" distL="0" distR="0" wp14:anchorId="7E5CA08C" wp14:editId="42881B36">
          <wp:extent cx="1066800" cy="277368"/>
          <wp:effectExtent l="0" t="0" r="0" b="0"/>
          <wp:docPr id="3" name="Picture 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66F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E108"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286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564957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EF2"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E24E027"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1C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49E2C61"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215F"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B2A318D"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E27B"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96E2E13"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2C03" w14:textId="77777777" w:rsidR="00BE2E71" w:rsidRDefault="00BE2E71" w:rsidP="00EA0969">
      <w:pPr>
        <w:spacing w:after="0"/>
      </w:pPr>
      <w:r>
        <w:separator/>
      </w:r>
    </w:p>
  </w:footnote>
  <w:footnote w:type="continuationSeparator" w:id="0">
    <w:p w14:paraId="28818C3A" w14:textId="77777777" w:rsidR="00BE2E71" w:rsidRDefault="00BE2E71">
      <w:r>
        <w:continuationSeparator/>
      </w:r>
    </w:p>
  </w:footnote>
  <w:footnote w:type="continuationNotice" w:id="1">
    <w:p w14:paraId="067B7965" w14:textId="77777777" w:rsidR="00BE2E71" w:rsidRDefault="00BE2E71">
      <w:pPr>
        <w:spacing w:after="0" w:line="240" w:lineRule="auto"/>
      </w:pPr>
    </w:p>
  </w:footnote>
  <w:footnote w:id="2">
    <w:p w14:paraId="6F16A028" w14:textId="4C89C175" w:rsidR="00860386" w:rsidRDefault="00860386" w:rsidP="00860386">
      <w:pPr>
        <w:pStyle w:val="FootnoteText"/>
      </w:pPr>
      <w:r>
        <w:rPr>
          <w:rStyle w:val="FootnoteReference"/>
        </w:rPr>
        <w:footnoteRef/>
      </w:r>
      <w:r>
        <w:t xml:space="preserve"> </w:t>
      </w:r>
      <w:r>
        <w:rPr>
          <w:bCs/>
        </w:rPr>
        <w:t xml:space="preserve">The 2011 update was the result of </w:t>
      </w:r>
      <w:r w:rsidR="004E5965">
        <w:rPr>
          <w:bCs/>
        </w:rPr>
        <w:t xml:space="preserve">a </w:t>
      </w:r>
      <w:r>
        <w:rPr>
          <w:bCs/>
        </w:rPr>
        <w:t xml:space="preserve">public consultation process that commenced in </w:t>
      </w:r>
      <w:hyperlink r:id="rId1" w:history="1">
        <w:r w:rsidRPr="009E23FF">
          <w:rPr>
            <w:rStyle w:val="Hyperlink"/>
            <w:bCs/>
          </w:rPr>
          <w:t>October 2010</w:t>
        </w:r>
      </w:hyperlink>
      <w:r w:rsidRPr="009E23FF">
        <w:rPr>
          <w:bCs/>
        </w:rPr>
        <w:t xml:space="preserve"> </w:t>
      </w:r>
      <w:r>
        <w:rPr>
          <w:bCs/>
        </w:rPr>
        <w:t xml:space="preserve">on requirements </w:t>
      </w:r>
      <w:r w:rsidR="004E5965">
        <w:rPr>
          <w:bCs/>
        </w:rPr>
        <w:t xml:space="preserve">that were </w:t>
      </w:r>
      <w:r>
        <w:rPr>
          <w:bCs/>
        </w:rPr>
        <w:t xml:space="preserve">developed in </w:t>
      </w:r>
      <w:hyperlink r:id="rId2" w:history="1">
        <w:r w:rsidRPr="002C2941">
          <w:rPr>
            <w:rStyle w:val="Hyperlink"/>
            <w:bCs/>
          </w:rPr>
          <w:t>1999</w:t>
        </w:r>
      </w:hyperlink>
      <w:r w:rsidRPr="009E23FF">
        <w:rPr>
          <w:bCs/>
        </w:rPr>
        <w:t xml:space="preserve">. The outcome of the review was announced in </w:t>
      </w:r>
      <w:hyperlink r:id="rId3" w:history="1">
        <w:r w:rsidRPr="009E23FF">
          <w:rPr>
            <w:rStyle w:val="Hyperlink"/>
            <w:bCs/>
          </w:rPr>
          <w:t>October 2011</w:t>
        </w:r>
      </w:hyperlink>
      <w:r w:rsidRPr="009E23FF">
        <w:rPr>
          <w:bCs/>
        </w:rPr>
        <w:t xml:space="preserve"> and came into effect on 1st of January 2012. </w:t>
      </w:r>
    </w:p>
  </w:footnote>
  <w:footnote w:id="3">
    <w:p w14:paraId="49F7BB02" w14:textId="7AC0F756" w:rsidR="002A7980" w:rsidRPr="002A7980" w:rsidRDefault="002A7980">
      <w:pPr>
        <w:pStyle w:val="FootnoteText"/>
        <w:rPr>
          <w:lang w:val="en-US"/>
        </w:rPr>
      </w:pPr>
      <w:r>
        <w:rPr>
          <w:rStyle w:val="FootnoteReference"/>
        </w:rPr>
        <w:footnoteRef/>
      </w:r>
      <w:r>
        <w:t xml:space="preserve"> </w:t>
      </w:r>
      <w:r w:rsidRPr="002A7980">
        <w:t>In this document, we refer to the ITU Radio Regulations as the Radio Regulations or ITU RR.</w:t>
      </w:r>
    </w:p>
  </w:footnote>
  <w:footnote w:id="4">
    <w:p w14:paraId="75A02164" w14:textId="4EF8FE58" w:rsidR="001F46D7" w:rsidRPr="005220EF" w:rsidRDefault="001F46D7" w:rsidP="001F46D7">
      <w:pPr>
        <w:pStyle w:val="FootnoteText"/>
        <w:rPr>
          <w:rFonts w:cs="Arial"/>
        </w:rPr>
      </w:pPr>
      <w:r w:rsidRPr="00B36163">
        <w:rPr>
          <w:rStyle w:val="FootnoteReference"/>
        </w:rPr>
        <w:footnoteRef/>
      </w:r>
      <w:r w:rsidRPr="00B36163">
        <w:t xml:space="preserve"> Satellite system is </w:t>
      </w:r>
      <w:r w:rsidRPr="00B36163">
        <w:rPr>
          <w:rFonts w:cs="Arial"/>
        </w:rPr>
        <w:t xml:space="preserve">defined in ITU </w:t>
      </w:r>
      <w:r>
        <w:rPr>
          <w:rFonts w:cs="Arial"/>
        </w:rPr>
        <w:t>RR</w:t>
      </w:r>
      <w:r w:rsidRPr="00B36163">
        <w:rPr>
          <w:rFonts w:cs="Arial"/>
        </w:rPr>
        <w:t xml:space="preserve"> 1.111 as </w:t>
      </w:r>
      <w:r w:rsidRPr="005220EF">
        <w:rPr>
          <w:rFonts w:cs="Arial"/>
        </w:rPr>
        <w:t xml:space="preserve">a space system using one or more artificial earth satellites, where a space </w:t>
      </w:r>
      <w:r w:rsidRPr="00B36163">
        <w:rPr>
          <w:rFonts w:cs="Arial"/>
        </w:rPr>
        <w:t>system</w:t>
      </w:r>
      <w:r>
        <w:rPr>
          <w:rFonts w:cs="Arial"/>
        </w:rPr>
        <w:t xml:space="preserve"> </w:t>
      </w:r>
      <w:r w:rsidRPr="005220EF">
        <w:rPr>
          <w:rFonts w:cs="Arial"/>
        </w:rPr>
        <w:t xml:space="preserve">(ITU RR 1.110) </w:t>
      </w:r>
      <w:r>
        <w:rPr>
          <w:rFonts w:cs="Arial"/>
        </w:rPr>
        <w:t>is a</w:t>
      </w:r>
      <w:r w:rsidRPr="005220EF">
        <w:rPr>
          <w:rFonts w:cs="Arial"/>
        </w:rPr>
        <w:t>ny group of cooperating earth stations and/or space stations</w:t>
      </w:r>
      <w:r>
        <w:rPr>
          <w:rFonts w:cs="Arial"/>
        </w:rPr>
        <w:t>.</w:t>
      </w:r>
    </w:p>
    <w:p w14:paraId="1B2DEF0B" w14:textId="77777777" w:rsidR="001F46D7" w:rsidRPr="00B36163" w:rsidRDefault="001F46D7" w:rsidP="001F46D7">
      <w:pPr>
        <w:pStyle w:val="FootnoteText"/>
        <w:rPr>
          <w:rFonts w:cs="Arial"/>
        </w:rPr>
      </w:pPr>
      <w:r w:rsidRPr="005220EF">
        <w:rPr>
          <w:rFonts w:cs="Arial"/>
        </w:rPr>
        <w:t>employing space radiocommunication for specific purposes</w:t>
      </w:r>
      <w:r>
        <w:rPr>
          <w:rFonts w:cs="Arial"/>
        </w:rPr>
        <w:t>.</w:t>
      </w:r>
    </w:p>
  </w:footnote>
  <w:footnote w:id="5">
    <w:p w14:paraId="641796FA" w14:textId="016ED3A2" w:rsidR="007F5824" w:rsidRPr="00B36163" w:rsidRDefault="007F5824" w:rsidP="007F5824">
      <w:pPr>
        <w:autoSpaceDE w:val="0"/>
        <w:autoSpaceDN w:val="0"/>
        <w:adjustRightInd w:val="0"/>
        <w:spacing w:after="0" w:line="240" w:lineRule="auto"/>
      </w:pPr>
      <w:r w:rsidRPr="005220EF">
        <w:rPr>
          <w:rStyle w:val="FootnoteReference"/>
          <w:rFonts w:cs="Arial"/>
          <w:sz w:val="16"/>
          <w:szCs w:val="16"/>
        </w:rPr>
        <w:footnoteRef/>
      </w:r>
      <w:r w:rsidRPr="005220EF">
        <w:rPr>
          <w:rFonts w:cs="Arial"/>
          <w:sz w:val="16"/>
          <w:szCs w:val="16"/>
        </w:rPr>
        <w:t xml:space="preserve"> Satellite network is defined in ITU RR 1.112 as satellite system or a part of a satellite system, consisting of only one satellite </w:t>
      </w:r>
      <w:r w:rsidR="00307E5A">
        <w:rPr>
          <w:rFonts w:cs="Arial"/>
          <w:sz w:val="16"/>
          <w:szCs w:val="16"/>
        </w:rPr>
        <w:t>(</w:t>
      </w:r>
      <w:r w:rsidR="00307E5A" w:rsidRPr="00307E5A">
        <w:rPr>
          <w:rFonts w:cs="Arial"/>
          <w:sz w:val="16"/>
          <w:szCs w:val="16"/>
        </w:rPr>
        <w:t xml:space="preserve">typically </w:t>
      </w:r>
      <w:r w:rsidR="00307E5A">
        <w:rPr>
          <w:rFonts w:cs="Arial"/>
          <w:sz w:val="16"/>
          <w:szCs w:val="16"/>
        </w:rPr>
        <w:t xml:space="preserve">a </w:t>
      </w:r>
      <w:r w:rsidR="00307E5A" w:rsidRPr="00307E5A">
        <w:rPr>
          <w:rFonts w:cs="Arial"/>
          <w:sz w:val="16"/>
          <w:szCs w:val="16"/>
        </w:rPr>
        <w:t>GSO satellite</w:t>
      </w:r>
      <w:r w:rsidR="00307E5A">
        <w:rPr>
          <w:rFonts w:cs="Arial"/>
          <w:sz w:val="16"/>
          <w:szCs w:val="16"/>
        </w:rPr>
        <w:t>)</w:t>
      </w:r>
      <w:r w:rsidR="00307E5A" w:rsidRPr="00307E5A">
        <w:rPr>
          <w:rFonts w:cs="Arial"/>
          <w:sz w:val="16"/>
          <w:szCs w:val="16"/>
        </w:rPr>
        <w:t xml:space="preserve"> </w:t>
      </w:r>
      <w:r w:rsidRPr="005220EF">
        <w:rPr>
          <w:rFonts w:cs="Arial"/>
          <w:sz w:val="16"/>
          <w:szCs w:val="16"/>
        </w:rPr>
        <w:t>and the cooperating earth stations</w:t>
      </w:r>
      <w:r w:rsidR="00D87903">
        <w:rPr>
          <w:rFonts w:cs="Arial"/>
          <w:sz w:val="16"/>
          <w:szCs w:val="16"/>
        </w:rPr>
        <w:t>.</w:t>
      </w:r>
    </w:p>
  </w:footnote>
  <w:footnote w:id="6">
    <w:p w14:paraId="3E0BB246" w14:textId="7DC04D3B" w:rsidR="00E817F3" w:rsidRDefault="00E817F3" w:rsidP="00E817F3">
      <w:pPr>
        <w:pStyle w:val="FootnoteText"/>
      </w:pPr>
      <w:r>
        <w:rPr>
          <w:rStyle w:val="FootnoteReference"/>
        </w:rPr>
        <w:footnoteRef/>
      </w:r>
      <w:r>
        <w:t xml:space="preserve"> </w:t>
      </w:r>
      <w:r w:rsidR="003B7147">
        <w:t>Typically,</w:t>
      </w:r>
      <w:r>
        <w:t xml:space="preserve"> up to 5 years.</w:t>
      </w:r>
    </w:p>
  </w:footnote>
  <w:footnote w:id="7">
    <w:p w14:paraId="624E81E8" w14:textId="39BC3FCB" w:rsidR="00FF6AD1" w:rsidRPr="00FF6AD1" w:rsidRDefault="00FF6AD1" w:rsidP="00FF6AD1">
      <w:pPr>
        <w:pStyle w:val="FootnoteText"/>
      </w:pPr>
      <w:r>
        <w:rPr>
          <w:rStyle w:val="FootnoteReference"/>
        </w:rPr>
        <w:footnoteRef/>
      </w:r>
      <w:r>
        <w:t xml:space="preserve"> A CubeSat is a standardised type of </w:t>
      </w:r>
      <w:r w:rsidR="002A64A2">
        <w:t xml:space="preserve">small </w:t>
      </w:r>
      <w:r>
        <w:t>satellite comprising up to six modular units (or cubes) each measuring 10 x 10 x 10 cm.</w:t>
      </w:r>
    </w:p>
  </w:footnote>
  <w:footnote w:id="8">
    <w:p w14:paraId="312C0D1B" w14:textId="586C2808" w:rsidR="00B0525B" w:rsidRDefault="00B0525B">
      <w:pPr>
        <w:pStyle w:val="FootnoteText"/>
      </w:pPr>
      <w:r>
        <w:rPr>
          <w:rStyle w:val="FootnoteReference"/>
        </w:rPr>
        <w:footnoteRef/>
      </w:r>
      <w:r>
        <w:t xml:space="preserve"> Mainly in terms of clarity of requirements for those not experienced in satellite regulatory </w:t>
      </w:r>
      <w:r w:rsidR="003B7147">
        <w:t>matters and</w:t>
      </w:r>
      <w:r>
        <w:t xml:space="preserve"> </w:t>
      </w:r>
      <w:r w:rsidR="002B4230">
        <w:t xml:space="preserve">the </w:t>
      </w:r>
      <w:r>
        <w:t xml:space="preserve">approval process for new applicants. </w:t>
      </w:r>
    </w:p>
  </w:footnote>
  <w:footnote w:id="9">
    <w:p w14:paraId="522D933B" w14:textId="02EE8BA9" w:rsidR="0026670F" w:rsidRDefault="0026670F" w:rsidP="0026670F">
      <w:pPr>
        <w:pStyle w:val="FootnoteText"/>
      </w:pPr>
      <w:r>
        <w:rPr>
          <w:rStyle w:val="FootnoteReference"/>
        </w:rPr>
        <w:footnoteRef/>
      </w:r>
      <w:r>
        <w:t xml:space="preserve"> </w:t>
      </w:r>
      <w:r w:rsidR="00A346FC">
        <w:t>This explored t</w:t>
      </w:r>
      <w:r>
        <w:t xml:space="preserve">he </w:t>
      </w:r>
      <w:r>
        <w:rPr>
          <w:rFonts w:cs="Arial"/>
        </w:rPr>
        <w:t>need for changes to our approach to licensing. Based on responses</w:t>
      </w:r>
      <w:r w:rsidR="00A346FC">
        <w:rPr>
          <w:rFonts w:cs="Arial"/>
        </w:rPr>
        <w:t>,</w:t>
      </w:r>
      <w:r>
        <w:rPr>
          <w:rFonts w:cs="Arial"/>
        </w:rPr>
        <w:t xml:space="preserve"> our view in 2022 (as recorded in the </w:t>
      </w:r>
      <w:hyperlink r:id="rId4" w:history="1">
        <w:r w:rsidRPr="000B4868">
          <w:rPr>
            <w:rStyle w:val="Hyperlink"/>
            <w:rFonts w:cs="Arial"/>
          </w:rPr>
          <w:t>Response to submissions</w:t>
        </w:r>
      </w:hyperlink>
      <w:r>
        <w:rPr>
          <w:rFonts w:cs="Arial"/>
        </w:rPr>
        <w:t xml:space="preserve">, </w:t>
      </w:r>
      <w:r w:rsidRPr="00AF53DE">
        <w:rPr>
          <w:rFonts w:cs="Arial"/>
        </w:rPr>
        <w:t>Draft FYSO 2022–27</w:t>
      </w:r>
      <w:r>
        <w:rPr>
          <w:rFonts w:cs="Arial"/>
        </w:rPr>
        <w:t>) was that no changes were required and that we</w:t>
      </w:r>
      <w:r>
        <w:t xml:space="preserve"> would maintain a watching brief on emerging regulatory arrangements in other jurisdictions.</w:t>
      </w:r>
    </w:p>
  </w:footnote>
  <w:footnote w:id="10">
    <w:p w14:paraId="6E322425" w14:textId="3D04F047" w:rsidR="00FA2E1A" w:rsidRPr="00902540" w:rsidRDefault="00FA2E1A">
      <w:pPr>
        <w:pStyle w:val="FootnoteText"/>
        <w:rPr>
          <w:lang w:val="en-US"/>
        </w:rPr>
      </w:pPr>
      <w:r>
        <w:rPr>
          <w:rStyle w:val="FootnoteReference"/>
        </w:rPr>
        <w:footnoteRef/>
      </w:r>
      <w:r>
        <w:t xml:space="preserve"> </w:t>
      </w:r>
      <w:hyperlink r:id="rId5" w:history="1">
        <w:r w:rsidRPr="00904583">
          <w:rPr>
            <w:rStyle w:val="Hyperlink"/>
            <w:lang w:val="en-US"/>
          </w:rPr>
          <w:t>ITU Resolution 32 (WRC-19)</w:t>
        </w:r>
      </w:hyperlink>
    </w:p>
  </w:footnote>
  <w:footnote w:id="11">
    <w:p w14:paraId="7A8CA05C" w14:textId="19EB67B5" w:rsidR="006972B7" w:rsidRDefault="006972B7">
      <w:pPr>
        <w:pStyle w:val="FootnoteText"/>
      </w:pPr>
      <w:r>
        <w:rPr>
          <w:rStyle w:val="FootnoteReference"/>
        </w:rPr>
        <w:footnoteRef/>
      </w:r>
      <w:r w:rsidR="006E5A8A">
        <w:t xml:space="preserve">Existing </w:t>
      </w:r>
      <w:r w:rsidR="002F497E">
        <w:t xml:space="preserve">means satellite </w:t>
      </w:r>
      <w:r>
        <w:t xml:space="preserve">systems </w:t>
      </w:r>
      <w:r w:rsidR="00F531A8">
        <w:t>which the AC</w:t>
      </w:r>
      <w:r w:rsidR="00694C55">
        <w:t>MA</w:t>
      </w:r>
      <w:r w:rsidR="00F531A8">
        <w:t xml:space="preserve"> </w:t>
      </w:r>
      <w:r w:rsidR="00694C55">
        <w:t xml:space="preserve">has submitted </w:t>
      </w:r>
      <w:r w:rsidR="00C82958">
        <w:t>t</w:t>
      </w:r>
      <w:r>
        <w:t xml:space="preserve">o the ITU </w:t>
      </w:r>
      <w:r w:rsidR="00B039EF">
        <w:t>prior to</w:t>
      </w:r>
      <w:r w:rsidR="00964C47">
        <w:t xml:space="preserve"> a new application requ</w:t>
      </w:r>
      <w:r w:rsidR="00CE45D3">
        <w:t xml:space="preserve">est and </w:t>
      </w:r>
      <w:r w:rsidR="00CD09E1">
        <w:t>s</w:t>
      </w:r>
      <w:r w:rsidR="00871045">
        <w:t xml:space="preserve">atellite </w:t>
      </w:r>
      <w:r w:rsidR="0060636C">
        <w:t>system</w:t>
      </w:r>
      <w:r w:rsidR="002944C5">
        <w:t>s</w:t>
      </w:r>
      <w:r w:rsidR="00CD09E1">
        <w:t xml:space="preserve"> for which </w:t>
      </w:r>
      <w:r w:rsidR="00871045">
        <w:t xml:space="preserve">a </w:t>
      </w:r>
      <w:r w:rsidR="00CD09E1">
        <w:t>complete</w:t>
      </w:r>
      <w:r w:rsidR="006C71BF">
        <w:t xml:space="preserve"> </w:t>
      </w:r>
      <w:r w:rsidR="00C82958">
        <w:t>application</w:t>
      </w:r>
      <w:r w:rsidR="00CD09E1">
        <w:t xml:space="preserve"> </w:t>
      </w:r>
      <w:r w:rsidR="00DB4EF8">
        <w:t xml:space="preserve">has been </w:t>
      </w:r>
      <w:r w:rsidR="00C82958">
        <w:t>received</w:t>
      </w:r>
      <w:r w:rsidR="00CE45D3">
        <w:t xml:space="preserve"> </w:t>
      </w:r>
      <w:r w:rsidR="00763900">
        <w:t>prior to the new filing request</w:t>
      </w:r>
      <w:r w:rsidR="002944C5">
        <w:t xml:space="preserve"> </w:t>
      </w:r>
      <w:r w:rsidR="00CE45D3">
        <w:t xml:space="preserve">but </w:t>
      </w:r>
      <w:r w:rsidR="00A1043C">
        <w:t xml:space="preserve">is </w:t>
      </w:r>
      <w:r w:rsidR="00CE45D3">
        <w:t>still</w:t>
      </w:r>
      <w:r w:rsidR="00B52C1A">
        <w:t xml:space="preserve"> undergoing</w:t>
      </w:r>
      <w:r w:rsidR="00CE45D3">
        <w:t xml:space="preserve"> assessment</w:t>
      </w:r>
      <w:r w:rsidR="00A43869">
        <w:t>.</w:t>
      </w:r>
    </w:p>
  </w:footnote>
  <w:footnote w:id="12">
    <w:p w14:paraId="4CB31F06" w14:textId="372A8DD0" w:rsidR="002851AF" w:rsidRPr="00EE78F9" w:rsidRDefault="002851AF" w:rsidP="002851AF">
      <w:pPr>
        <w:pStyle w:val="FootnoteText"/>
      </w:pPr>
      <w:r>
        <w:rPr>
          <w:rStyle w:val="FootnoteReference"/>
        </w:rPr>
        <w:footnoteRef/>
      </w:r>
      <w:r>
        <w:t xml:space="preserve"> </w:t>
      </w:r>
      <w:hyperlink r:id="rId6" w:history="1">
        <w:r w:rsidRPr="003A0BC5">
          <w:rPr>
            <w:rStyle w:val="Hyperlink"/>
            <w:lang w:val="en-US"/>
          </w:rPr>
          <w:t>Australian procedures for the coordination and notification of satellite systems</w:t>
        </w:r>
      </w:hyperlink>
      <w:r>
        <w:rPr>
          <w:lang w:val="en-US"/>
        </w:rPr>
        <w:t>, p. 23</w:t>
      </w:r>
    </w:p>
  </w:footnote>
  <w:footnote w:id="13">
    <w:p w14:paraId="0C841EB2" w14:textId="336B7EC0" w:rsidR="00612D74" w:rsidRDefault="00612D74" w:rsidP="00612D74">
      <w:pPr>
        <w:pStyle w:val="FootnoteText"/>
      </w:pPr>
      <w:r>
        <w:rPr>
          <w:rStyle w:val="FootnoteReference"/>
        </w:rPr>
        <w:footnoteRef/>
      </w:r>
      <w:r>
        <w:t xml:space="preserve"> The satellite operator that has access to the satellite filing</w:t>
      </w:r>
      <w:r w:rsidR="009F622D">
        <w:t>.</w:t>
      </w:r>
    </w:p>
  </w:footnote>
  <w:footnote w:id="14">
    <w:p w14:paraId="74CE3150" w14:textId="37A2E317" w:rsidR="00255F81" w:rsidRDefault="00255F81">
      <w:pPr>
        <w:pStyle w:val="FootnoteText"/>
      </w:pPr>
      <w:r>
        <w:rPr>
          <w:rStyle w:val="FootnoteReference"/>
        </w:rPr>
        <w:footnoteRef/>
      </w:r>
      <w:r>
        <w:t xml:space="preserve"> While we note that the </w:t>
      </w:r>
      <w:hyperlink r:id="rId7" w:history="1">
        <w:r w:rsidRPr="004579D7">
          <w:rPr>
            <w:rStyle w:val="Hyperlink"/>
            <w:i/>
            <w:iCs/>
          </w:rPr>
          <w:t>Corporations Act 2001</w:t>
        </w:r>
      </w:hyperlink>
      <w:r w:rsidRPr="004579D7">
        <w:rPr>
          <w:i/>
          <w:iCs/>
        </w:rPr>
        <w:t xml:space="preserve"> </w:t>
      </w:r>
      <w:r>
        <w:t xml:space="preserve">contains definitions of subsidiaries, affiliates and related cooperate bodies, our intention here is to provide general guidance on our expectations and not introduce rigorous requirements for ownership. </w:t>
      </w:r>
      <w:r w:rsidR="004579D7">
        <w:t>Nevertheless,</w:t>
      </w:r>
      <w:r>
        <w:t xml:space="preserve"> the </w:t>
      </w:r>
      <w:r w:rsidR="00282558">
        <w:rPr>
          <w:u w:color="0000FF"/>
        </w:rPr>
        <w:t>Corporations Act</w:t>
      </w:r>
      <w:r>
        <w:t xml:space="preserve"> does provide a useful reference point for considering such matters in the future (if required), for example</w:t>
      </w:r>
      <w:r w:rsidR="003E3982">
        <w:t>,</w:t>
      </w:r>
      <w:r>
        <w:t xml:space="preserve"> if </w:t>
      </w:r>
      <w:r w:rsidR="003E3982">
        <w:t>we are required to deal with more</w:t>
      </w:r>
      <w:r>
        <w:t xml:space="preserve"> complex corporate structures</w:t>
      </w:r>
      <w:r w:rsidR="003E3982">
        <w:t xml:space="preserve"> associated with satellite operators.</w:t>
      </w:r>
    </w:p>
  </w:footnote>
  <w:footnote w:id="15">
    <w:p w14:paraId="176F26DC" w14:textId="25314188" w:rsidR="005141DD" w:rsidRDefault="00744E73" w:rsidP="005141DD">
      <w:pPr>
        <w:pStyle w:val="FootnoteText"/>
      </w:pPr>
      <w:r>
        <w:rPr>
          <w:rStyle w:val="FootnoteReference"/>
        </w:rPr>
        <w:footnoteRef/>
      </w:r>
      <w:r>
        <w:t xml:space="preserve"> </w:t>
      </w:r>
      <w:r w:rsidR="00DC0F5E">
        <w:t>I</w:t>
      </w:r>
      <w:r w:rsidR="008E74AA">
        <w:t xml:space="preserve">TU RR 22.1 </w:t>
      </w:r>
      <w:r w:rsidR="005141DD">
        <w:t xml:space="preserve">requires </w:t>
      </w:r>
      <w:r w:rsidR="004C57DD">
        <w:t>‘</w:t>
      </w:r>
      <w:r w:rsidR="005141DD">
        <w:t>Space stations shall be fitted with devices to ensure immediate cessation of their</w:t>
      </w:r>
      <w:r w:rsidR="003B7147">
        <w:t xml:space="preserve"> </w:t>
      </w:r>
      <w:r w:rsidR="005141DD">
        <w:t>radio emissions by telecommand, whenever such cessation is required under the provisions of these</w:t>
      </w:r>
    </w:p>
    <w:p w14:paraId="5C324C32" w14:textId="7DCB8DEB" w:rsidR="00744E73" w:rsidRDefault="005141DD" w:rsidP="005141DD">
      <w:pPr>
        <w:pStyle w:val="FootnoteText"/>
      </w:pPr>
      <w:r>
        <w:t>Regulations</w:t>
      </w:r>
      <w:r w:rsidR="004C57DD">
        <w:t>’</w:t>
      </w:r>
      <w:r w:rsidR="00251F91">
        <w:t>.</w:t>
      </w:r>
    </w:p>
  </w:footnote>
  <w:footnote w:id="16">
    <w:p w14:paraId="0588B0A2" w14:textId="1024DB27" w:rsidR="00B84EBE" w:rsidRPr="00B84EBE" w:rsidRDefault="00B84EBE">
      <w:pPr>
        <w:pStyle w:val="FootnoteText"/>
        <w:rPr>
          <w:lang w:val="en-US"/>
        </w:rPr>
      </w:pPr>
      <w:r>
        <w:rPr>
          <w:rStyle w:val="FootnoteReference"/>
        </w:rPr>
        <w:footnoteRef/>
      </w:r>
      <w:r>
        <w:t xml:space="preserve"> </w:t>
      </w:r>
      <w:r>
        <w:rPr>
          <w:lang w:val="en-US"/>
        </w:rPr>
        <w:t xml:space="preserve">By contrast, </w:t>
      </w:r>
      <w:r>
        <w:rPr>
          <w:i/>
          <w:iCs/>
          <w:lang w:val="en-US"/>
        </w:rPr>
        <w:t>substantive</w:t>
      </w:r>
      <w:r>
        <w:rPr>
          <w:lang w:val="en-US"/>
        </w:rPr>
        <w:t xml:space="preserve"> </w:t>
      </w:r>
      <w:r w:rsidR="0039491E">
        <w:rPr>
          <w:lang w:val="en-US"/>
        </w:rPr>
        <w:t xml:space="preserve">in its ordinary sense means having </w:t>
      </w:r>
      <w:r w:rsidR="00A62B0B">
        <w:rPr>
          <w:lang w:val="en-US"/>
        </w:rPr>
        <w:t xml:space="preserve">a firm basis </w:t>
      </w:r>
      <w:r w:rsidR="00A62B0B">
        <w:rPr>
          <w:lang w:val="en-US"/>
        </w:rPr>
        <w:t xml:space="preserve">in </w:t>
      </w:r>
      <w:r w:rsidR="00510841">
        <w:rPr>
          <w:lang w:val="en-US"/>
        </w:rPr>
        <w:t>reality or</w:t>
      </w:r>
      <w:r w:rsidR="00A62B0B">
        <w:rPr>
          <w:lang w:val="en-US"/>
        </w:rPr>
        <w:t xml:space="preserve"> </w:t>
      </w:r>
      <w:r w:rsidR="00215D95">
        <w:rPr>
          <w:lang w:val="en-US"/>
        </w:rPr>
        <w:t>that is meaningful</w:t>
      </w:r>
      <w:r w:rsidR="00BA5F08">
        <w:rPr>
          <w:lang w:val="en-US"/>
        </w:rPr>
        <w:t xml:space="preserve">. </w:t>
      </w:r>
    </w:p>
  </w:footnote>
  <w:footnote w:id="17">
    <w:p w14:paraId="6E62F54A" w14:textId="77777777" w:rsidR="00E1081D" w:rsidRDefault="00E1081D" w:rsidP="00E1081D">
      <w:pPr>
        <w:pStyle w:val="FootnoteText"/>
      </w:pPr>
      <w:r>
        <w:rPr>
          <w:rStyle w:val="FootnoteReference"/>
        </w:rPr>
        <w:footnoteRef/>
      </w:r>
      <w:r>
        <w:t xml:space="preserve"> </w:t>
      </w:r>
      <w:r w:rsidRPr="008621D1">
        <w:rPr>
          <w:rFonts w:cs="Arial"/>
        </w:rPr>
        <w:t>This may be the Australian Government, or the government of a state or territory of Australia.</w:t>
      </w:r>
    </w:p>
  </w:footnote>
  <w:footnote w:id="18">
    <w:p w14:paraId="7F720043" w14:textId="0F19CF52" w:rsidR="00843B04" w:rsidRPr="008621D1" w:rsidRDefault="00843B04" w:rsidP="00843B04">
      <w:pPr>
        <w:pStyle w:val="FootnoteText"/>
        <w:rPr>
          <w:rFonts w:cs="Arial"/>
        </w:rPr>
      </w:pPr>
      <w:r w:rsidRPr="008621D1">
        <w:rPr>
          <w:rStyle w:val="FootnoteReference"/>
          <w:rFonts w:cs="Arial"/>
        </w:rPr>
        <w:footnoteRef/>
      </w:r>
      <w:r w:rsidRPr="008621D1">
        <w:rPr>
          <w:rFonts w:cs="Arial"/>
        </w:rPr>
        <w:t xml:space="preserve"> ‘Broadcasting </w:t>
      </w:r>
      <w:r w:rsidR="00465B73">
        <w:rPr>
          <w:rFonts w:cs="Arial"/>
        </w:rPr>
        <w:t>s</w:t>
      </w:r>
      <w:r w:rsidRPr="008621D1">
        <w:rPr>
          <w:rFonts w:cs="Arial"/>
        </w:rPr>
        <w:t xml:space="preserve">atellite </w:t>
      </w:r>
      <w:r w:rsidR="00465B73">
        <w:rPr>
          <w:rFonts w:cs="Arial"/>
        </w:rPr>
        <w:t>s</w:t>
      </w:r>
      <w:r w:rsidRPr="008621D1">
        <w:rPr>
          <w:rFonts w:cs="Arial"/>
        </w:rPr>
        <w:t xml:space="preserve">ervice’ as defined in the </w:t>
      </w:r>
      <w:r w:rsidR="002A7980">
        <w:rPr>
          <w:rFonts w:cs="Arial"/>
        </w:rPr>
        <w:t>Radio Regulations</w:t>
      </w:r>
      <w:r w:rsidRPr="008621D1">
        <w:rPr>
          <w:rFonts w:cs="Arial"/>
        </w:rPr>
        <w:t>.</w:t>
      </w:r>
    </w:p>
  </w:footnote>
  <w:footnote w:id="19">
    <w:p w14:paraId="53810DEA" w14:textId="36BD67F8" w:rsidR="00843B04" w:rsidRPr="008621D1" w:rsidRDefault="00843B04" w:rsidP="00843B04">
      <w:pPr>
        <w:pStyle w:val="FootnoteText"/>
        <w:rPr>
          <w:rFonts w:cs="Arial"/>
        </w:rPr>
      </w:pPr>
      <w:r w:rsidRPr="008621D1">
        <w:rPr>
          <w:rStyle w:val="FootnoteReference"/>
          <w:rFonts w:cs="Arial"/>
        </w:rPr>
        <w:footnoteRef/>
      </w:r>
      <w:r w:rsidRPr="008621D1">
        <w:rPr>
          <w:rFonts w:cs="Arial"/>
        </w:rPr>
        <w:t xml:space="preserve"> ‘Fixed </w:t>
      </w:r>
      <w:r w:rsidR="00465B73">
        <w:rPr>
          <w:rFonts w:cs="Arial"/>
        </w:rPr>
        <w:t>s</w:t>
      </w:r>
      <w:r w:rsidRPr="008621D1">
        <w:rPr>
          <w:rFonts w:cs="Arial"/>
        </w:rPr>
        <w:t xml:space="preserve">atellite </w:t>
      </w:r>
      <w:r w:rsidR="00465B73">
        <w:rPr>
          <w:rFonts w:cs="Arial"/>
        </w:rPr>
        <w:t>s</w:t>
      </w:r>
      <w:r w:rsidRPr="008621D1">
        <w:rPr>
          <w:rFonts w:cs="Arial"/>
        </w:rPr>
        <w:t>ervice</w:t>
      </w:r>
      <w:bookmarkStart w:id="80" w:name="OLE_LINK19"/>
      <w:r w:rsidRPr="008621D1">
        <w:rPr>
          <w:rFonts w:cs="Arial"/>
        </w:rPr>
        <w:t xml:space="preserve">’ as defined in the </w:t>
      </w:r>
      <w:r w:rsidR="002A7980">
        <w:rPr>
          <w:rFonts w:cs="Arial"/>
        </w:rPr>
        <w:t>Radio Regulations</w:t>
      </w:r>
      <w:bookmarkEnd w:id="80"/>
      <w:r w:rsidRPr="008621D1">
        <w:rPr>
          <w:rFonts w:cs="Arial"/>
        </w:rPr>
        <w:t>.</w:t>
      </w:r>
    </w:p>
  </w:footnote>
  <w:footnote w:id="20">
    <w:p w14:paraId="34A3D543" w14:textId="5EEFF574" w:rsidR="00F2239F" w:rsidRPr="0047489F" w:rsidRDefault="00F2239F">
      <w:pPr>
        <w:pStyle w:val="FootnoteText"/>
      </w:pPr>
      <w:r>
        <w:rPr>
          <w:rStyle w:val="FootnoteReference"/>
        </w:rPr>
        <w:footnoteRef/>
      </w:r>
      <w:r>
        <w:t xml:space="preserve"> </w:t>
      </w:r>
      <w:r w:rsidR="00615FBF">
        <w:t>For most satellite systems</w:t>
      </w:r>
      <w:r w:rsidR="00E13620">
        <w:t>,</w:t>
      </w:r>
      <w:r w:rsidR="00A233C9">
        <w:t xml:space="preserve"> under ITU requirements </w:t>
      </w:r>
      <w:r w:rsidR="00615FBF">
        <w:t>s</w:t>
      </w:r>
      <w:r w:rsidRPr="00F2239F">
        <w:t>atellite operator</w:t>
      </w:r>
      <w:r w:rsidR="00E13620">
        <w:t>s</w:t>
      </w:r>
      <w:r w:rsidRPr="00F2239F">
        <w:t xml:space="preserve"> have</w:t>
      </w:r>
      <w:r w:rsidRPr="00F2239F" w:rsidDel="00AF43B6">
        <w:t xml:space="preserve"> </w:t>
      </w:r>
      <w:r w:rsidR="00AF43B6">
        <w:t>7</w:t>
      </w:r>
      <w:r w:rsidR="00AF43B6" w:rsidRPr="00F2239F">
        <w:t xml:space="preserve"> </w:t>
      </w:r>
      <w:r w:rsidRPr="00F2239F">
        <w:t xml:space="preserve">years to deploy </w:t>
      </w:r>
      <w:r w:rsidR="00E13620">
        <w:t>a</w:t>
      </w:r>
      <w:r w:rsidR="00E13620" w:rsidRPr="00F2239F">
        <w:t xml:space="preserve"> </w:t>
      </w:r>
      <w:r w:rsidRPr="00F2239F">
        <w:t xml:space="preserve">satellite system and commence communication activities, </w:t>
      </w:r>
      <w:r>
        <w:t>commencing on the date</w:t>
      </w:r>
      <w:r w:rsidRPr="00F2239F">
        <w:t xml:space="preserve"> when details of the </w:t>
      </w:r>
      <w:r w:rsidR="002C5FC1">
        <w:t>system</w:t>
      </w:r>
      <w:r w:rsidR="002C5FC1" w:rsidRPr="00F2239F">
        <w:t xml:space="preserve"> </w:t>
      </w:r>
      <w:r w:rsidRPr="00F2239F">
        <w:t xml:space="preserve">are first filed with the ITU. This is known as ‘bringing into use’ (BIU). If a satellite </w:t>
      </w:r>
      <w:r w:rsidR="002C5FC1">
        <w:t>system</w:t>
      </w:r>
      <w:r w:rsidR="002C5FC1" w:rsidRPr="00F2239F">
        <w:t xml:space="preserve"> </w:t>
      </w:r>
      <w:r w:rsidRPr="00F2239F">
        <w:t xml:space="preserve">has not been brought into use after the allotted time, the filing expires and is permanently deleted. </w:t>
      </w:r>
    </w:p>
  </w:footnote>
  <w:footnote w:id="21">
    <w:p w14:paraId="54278961" w14:textId="59CFE891" w:rsidR="00544FD1" w:rsidRDefault="00544FD1">
      <w:pPr>
        <w:pStyle w:val="FootnoteText"/>
      </w:pPr>
      <w:r>
        <w:rPr>
          <w:rStyle w:val="FootnoteReference"/>
        </w:rPr>
        <w:footnoteRef/>
      </w:r>
      <w:r>
        <w:t xml:space="preserve"> </w:t>
      </w:r>
      <w:r w:rsidR="008E7805">
        <w:t>FCC ITU satellite filing requirements are contained within its licensing procedures</w:t>
      </w:r>
      <w:r w:rsidR="00923B5F">
        <w:t xml:space="preserve"> and not in a separate standalone document. Refer </w:t>
      </w:r>
      <w:hyperlink r:id="rId8" w:history="1">
        <w:r w:rsidR="00923B5F" w:rsidRPr="00C613A7">
          <w:rPr>
            <w:rStyle w:val="Hyperlink"/>
          </w:rPr>
          <w:t>FC</w:t>
        </w:r>
        <w:r w:rsidR="00DF6649" w:rsidRPr="00C613A7">
          <w:rPr>
            <w:rStyle w:val="Hyperlink"/>
          </w:rPr>
          <w:t>C</w:t>
        </w:r>
        <w:r w:rsidR="00923B5F" w:rsidRPr="00C613A7">
          <w:rPr>
            <w:rStyle w:val="Hyperlink"/>
          </w:rPr>
          <w:t xml:space="preserve"> rules and </w:t>
        </w:r>
        <w:r w:rsidR="001B495F" w:rsidRPr="00C613A7">
          <w:rPr>
            <w:rStyle w:val="Hyperlink"/>
          </w:rPr>
          <w:t>r</w:t>
        </w:r>
        <w:r w:rsidR="00923B5F" w:rsidRPr="00C613A7">
          <w:rPr>
            <w:rStyle w:val="Hyperlink"/>
          </w:rPr>
          <w:t>egulations</w:t>
        </w:r>
      </w:hyperlink>
      <w:r w:rsidR="00923B5F">
        <w:t xml:space="preserve"> </w:t>
      </w:r>
      <w:r w:rsidR="00C613A7" w:rsidRPr="002D6C62">
        <w:rPr>
          <w:u w:color="0000FF"/>
        </w:rPr>
        <w:t>Part 25</w:t>
      </w:r>
      <w:r w:rsidR="00923B5F">
        <w:t xml:space="preserve"> Satellite Communications</w:t>
      </w:r>
      <w:r w:rsidR="00CE62BC">
        <w:t>.</w:t>
      </w:r>
    </w:p>
  </w:footnote>
  <w:footnote w:id="22">
    <w:p w14:paraId="71F0779B" w14:textId="3F291B6C" w:rsidR="00CE62BC" w:rsidRDefault="00CE62BC">
      <w:pPr>
        <w:pStyle w:val="FootnoteText"/>
      </w:pPr>
      <w:r>
        <w:rPr>
          <w:rStyle w:val="FootnoteReference"/>
        </w:rPr>
        <w:footnoteRef/>
      </w:r>
      <w:r>
        <w:t xml:space="preserve"> Note mainly about licensing</w:t>
      </w:r>
      <w:r w:rsidR="00C773C9">
        <w:t xml:space="preserve"> with only some pages in English.</w:t>
      </w:r>
    </w:p>
  </w:footnote>
  <w:footnote w:id="23">
    <w:p w14:paraId="09970D31" w14:textId="0271DE1C" w:rsidR="006B6869" w:rsidRDefault="006B6869">
      <w:pPr>
        <w:pStyle w:val="FootnoteText"/>
      </w:pPr>
      <w:r>
        <w:rPr>
          <w:rStyle w:val="FootnoteReference"/>
        </w:rPr>
        <w:footnoteRef/>
      </w:r>
      <w:r>
        <w:t xml:space="preserve"> For </w:t>
      </w:r>
      <w:r w:rsidR="00251F91">
        <w:t>example,</w:t>
      </w:r>
      <w:r>
        <w:t xml:space="preserve"> the FCC </w:t>
      </w:r>
      <w:r w:rsidR="00D85651">
        <w:t xml:space="preserve">the has a surety bond </w:t>
      </w:r>
      <w:r w:rsidR="00ED082D">
        <w:t xml:space="preserve">that is </w:t>
      </w:r>
      <w:r w:rsidR="00531A32">
        <w:t>based on meeting deployment milestones.</w:t>
      </w:r>
    </w:p>
  </w:footnote>
  <w:footnote w:id="24">
    <w:p w14:paraId="25CC54F2" w14:textId="1C1BD4E0" w:rsidR="00442BE2" w:rsidRDefault="00442BE2">
      <w:pPr>
        <w:pStyle w:val="FootnoteText"/>
      </w:pPr>
      <w:r>
        <w:rPr>
          <w:rStyle w:val="FootnoteReference"/>
        </w:rPr>
        <w:footnoteRef/>
      </w:r>
      <w:r>
        <w:t xml:space="preserve"> For </w:t>
      </w:r>
      <w:r w:rsidR="00251F91">
        <w:t>example,</w:t>
      </w:r>
      <w:r>
        <w:t xml:space="preserve"> </w:t>
      </w:r>
      <w:r w:rsidR="005C7B17">
        <w:t>Canadian</w:t>
      </w:r>
      <w:r>
        <w:t xml:space="preserve"> </w:t>
      </w:r>
      <w:r w:rsidR="00B81CC4">
        <w:t xml:space="preserve">procedures include </w:t>
      </w:r>
      <w:r w:rsidR="007E2411">
        <w:t xml:space="preserve">a </w:t>
      </w:r>
      <w:r w:rsidR="006A7686">
        <w:t xml:space="preserve">requirement </w:t>
      </w:r>
      <w:r w:rsidR="009F77A9">
        <w:t xml:space="preserve">for </w:t>
      </w:r>
      <w:r w:rsidR="007E2411">
        <w:t xml:space="preserve">a </w:t>
      </w:r>
      <w:r w:rsidR="009F77A9">
        <w:t xml:space="preserve">space debris </w:t>
      </w:r>
      <w:r w:rsidR="005C7B17">
        <w:t>mitigation plan</w:t>
      </w:r>
      <w:r w:rsidR="00141DFB">
        <w:t xml:space="preserve">. </w:t>
      </w:r>
    </w:p>
  </w:footnote>
  <w:footnote w:id="25">
    <w:p w14:paraId="311FD89C" w14:textId="46542DFC" w:rsidR="00BB16D6" w:rsidRDefault="00BB16D6">
      <w:pPr>
        <w:pStyle w:val="FootnoteText"/>
      </w:pPr>
      <w:r>
        <w:rPr>
          <w:rStyle w:val="FootnoteReference"/>
        </w:rPr>
        <w:footnoteRef/>
      </w:r>
      <w:r>
        <w:t xml:space="preserve"> Refer</w:t>
      </w:r>
      <w:r w:rsidR="003A2799">
        <w:t xml:space="preserve"> section </w:t>
      </w:r>
      <w:r w:rsidR="0035655C" w:rsidRPr="00742EB9">
        <w:t>5.2 ITU filing submission</w:t>
      </w:r>
      <w:r w:rsidR="00370453">
        <w:t xml:space="preserve"> in </w:t>
      </w:r>
      <w:r w:rsidR="007E00CF" w:rsidRPr="007E00CF">
        <w:t>Innovation, Science and Economic Development Canada</w:t>
      </w:r>
      <w:r w:rsidR="0035655C">
        <w:t xml:space="preserve"> </w:t>
      </w:r>
      <w:r w:rsidR="00A47BB0" w:rsidRPr="00A47BB0">
        <w:t xml:space="preserve"> </w:t>
      </w:r>
      <w:r w:rsidR="00370453" w:rsidRPr="00370453">
        <w:t>Procedure for the Submission of Applications for Spectrum Licences for Space Stations</w:t>
      </w:r>
      <w:r w:rsidR="00370453">
        <w:t xml:space="preserve"> (</w:t>
      </w:r>
      <w:hyperlink r:id="rId9" w:history="1">
        <w:r w:rsidR="003A2799" w:rsidRPr="00400D21">
          <w:rPr>
            <w:rStyle w:val="Hyperlink"/>
          </w:rPr>
          <w:t>CPC-2-6-</w:t>
        </w:r>
        <w:r w:rsidR="00AA6598">
          <w:rPr>
            <w:rStyle w:val="Hyperlink"/>
          </w:rPr>
          <w:t>02</w:t>
        </w:r>
      </w:hyperlink>
      <w:r w:rsidR="00370453">
        <w:t>)</w:t>
      </w:r>
      <w:r w:rsidR="001D536A">
        <w:t>.</w:t>
      </w:r>
    </w:p>
  </w:footnote>
  <w:footnote w:id="26">
    <w:p w14:paraId="46D9CECA" w14:textId="155B8F7C" w:rsidR="00C47AF2" w:rsidRDefault="00C47AF2" w:rsidP="00C47AF2">
      <w:pPr>
        <w:pStyle w:val="FootnoteText"/>
      </w:pPr>
      <w:r>
        <w:rPr>
          <w:rStyle w:val="FootnoteReference"/>
        </w:rPr>
        <w:footnoteRef/>
      </w:r>
      <w:r>
        <w:t xml:space="preserve"> Refer FCC Rules and regulations </w:t>
      </w:r>
      <w:hyperlink r:id="rId10" w:history="1">
        <w:r w:rsidRPr="00813F5E">
          <w:rPr>
            <w:rStyle w:val="Hyperlink"/>
          </w:rPr>
          <w:t>Part 25</w:t>
        </w:r>
      </w:hyperlink>
      <w:r>
        <w:t xml:space="preserve">, particularly 25.110 and 25.111. Note in the FCC process a licence application is termed a </w:t>
      </w:r>
      <w:r w:rsidR="00425B77">
        <w:t>‘</w:t>
      </w:r>
      <w:r>
        <w:t>filing</w:t>
      </w:r>
      <w:r w:rsidR="00425B77">
        <w:t>’</w:t>
      </w:r>
      <w:r>
        <w:t xml:space="preserve"> which is different to an ITU satellite filing. </w:t>
      </w:r>
    </w:p>
  </w:footnote>
  <w:footnote w:id="27">
    <w:p w14:paraId="0DEFCF17" w14:textId="217CC553" w:rsidR="00C100DD" w:rsidRDefault="00C100DD">
      <w:pPr>
        <w:pStyle w:val="FootnoteText"/>
      </w:pPr>
      <w:r>
        <w:rPr>
          <w:rStyle w:val="FootnoteReference"/>
        </w:rPr>
        <w:footnoteRef/>
      </w:r>
      <w:r>
        <w:t xml:space="preserve"> </w:t>
      </w:r>
      <w:r w:rsidR="009A48E3">
        <w:t xml:space="preserve">To some extent </w:t>
      </w:r>
      <w:r w:rsidR="00B879F0" w:rsidRPr="009A48E3">
        <w:t xml:space="preserve">this is unavoidable </w:t>
      </w:r>
      <w:r w:rsidR="009A48E3" w:rsidRPr="009A48E3">
        <w:t>given the interaction between the international ITU processes and domestic</w:t>
      </w:r>
      <w:r w:rsidR="00B879F0">
        <w:t xml:space="preserve"> licensing</w:t>
      </w:r>
      <w:r w:rsidR="009A48E3">
        <w:t>.</w:t>
      </w:r>
    </w:p>
  </w:footnote>
  <w:footnote w:id="28">
    <w:p w14:paraId="6D3379F4" w14:textId="0740ADCA" w:rsidR="00005C21" w:rsidRDefault="00005C21">
      <w:pPr>
        <w:pStyle w:val="FootnoteText"/>
      </w:pPr>
      <w:r>
        <w:rPr>
          <w:rStyle w:val="FootnoteReference"/>
        </w:rPr>
        <w:footnoteRef/>
      </w:r>
      <w:r>
        <w:t xml:space="preserve"> See section </w:t>
      </w:r>
      <w:r w:rsidR="004316EC">
        <w:t xml:space="preserve">on Satellite communications </w:t>
      </w:r>
      <w:r w:rsidR="00B05C38">
        <w:t>starting page 16 of the 2022</w:t>
      </w:r>
      <w:r w:rsidR="00251F91">
        <w:t>–</w:t>
      </w:r>
      <w:r w:rsidR="00B05C38">
        <w:t>27 FYSO</w:t>
      </w:r>
      <w:r w:rsidR="00251F91">
        <w:t>.</w:t>
      </w:r>
    </w:p>
  </w:footnote>
  <w:footnote w:id="29">
    <w:p w14:paraId="4EB560ED" w14:textId="572085C7" w:rsidR="005404A3" w:rsidRDefault="005404A3">
      <w:pPr>
        <w:pStyle w:val="FootnoteText"/>
      </w:pPr>
      <w:r>
        <w:rPr>
          <w:rStyle w:val="FootnoteReference"/>
        </w:rPr>
        <w:footnoteRef/>
      </w:r>
      <w:r>
        <w:t xml:space="preserve"> </w:t>
      </w:r>
      <w:r>
        <w:rPr>
          <w:szCs w:val="20"/>
        </w:rPr>
        <w:t>A</w:t>
      </w:r>
      <w:r w:rsidRPr="00854716">
        <w:rPr>
          <w:szCs w:val="20"/>
        </w:rPr>
        <w:t>s evident by submissions to the</w:t>
      </w:r>
      <w:r w:rsidR="004A36C2">
        <w:rPr>
          <w:szCs w:val="20"/>
        </w:rPr>
        <w:t xml:space="preserve"> consultation on </w:t>
      </w:r>
      <w:r w:rsidRPr="002F27E4">
        <w:rPr>
          <w:szCs w:val="20"/>
          <w:u w:color="0000FF"/>
        </w:rPr>
        <w:t>draft FYS</w:t>
      </w:r>
      <w:r w:rsidR="004A36C2" w:rsidRPr="002F27E4">
        <w:rPr>
          <w:szCs w:val="20"/>
          <w:u w:color="0000FF"/>
        </w:rPr>
        <w:t xml:space="preserve">O </w:t>
      </w:r>
      <w:hyperlink r:id="rId11" w:history="1">
        <w:r w:rsidR="00251F91">
          <w:rPr>
            <w:rStyle w:val="Hyperlink"/>
            <w:szCs w:val="20"/>
          </w:rPr>
          <w:t>2022–27</w:t>
        </w:r>
      </w:hyperlink>
      <w:r w:rsidR="004A36C2">
        <w:rPr>
          <w:szCs w:val="20"/>
        </w:rPr>
        <w:t>.</w:t>
      </w:r>
    </w:p>
  </w:footnote>
  <w:footnote w:id="30">
    <w:p w14:paraId="6EDD2235" w14:textId="494A20FE" w:rsidR="00A46AC1" w:rsidRDefault="00A46AC1" w:rsidP="00A46AC1">
      <w:pPr>
        <w:pStyle w:val="FootnoteText"/>
      </w:pPr>
      <w:r>
        <w:rPr>
          <w:rStyle w:val="FootnoteReference"/>
        </w:rPr>
        <w:footnoteRef/>
      </w:r>
      <w:r>
        <w:t xml:space="preserve"> Priority of ITU satellite filings is considered in ITU-R </w:t>
      </w:r>
      <w:hyperlink r:id="rId12" w:history="1">
        <w:r w:rsidR="00C16FEC" w:rsidRPr="009B01E4">
          <w:rPr>
            <w:rStyle w:val="Hyperlink"/>
          </w:rPr>
          <w:t xml:space="preserve">Resolution </w:t>
        </w:r>
        <w:r w:rsidRPr="009B01E4">
          <w:rPr>
            <w:rStyle w:val="Hyperlink"/>
          </w:rPr>
          <w:t>2</w:t>
        </w:r>
      </w:hyperlink>
      <w:r w:rsidRPr="00251D30">
        <w:t xml:space="preserve"> (REV.WRC-03) Equitable use, by all countries, with equal rights, of the geostationary-satellite and other satellite orbits and of frequency bands for space radiocommunication services </w:t>
      </w:r>
      <w:r>
        <w:t>and in ITU R</w:t>
      </w:r>
      <w:r w:rsidR="007C6520">
        <w:t>ule of proc</w:t>
      </w:r>
      <w:r w:rsidR="00117667">
        <w:t>edure</w:t>
      </w:r>
      <w:r>
        <w:t xml:space="preserve"> on 9.6 “</w:t>
      </w:r>
      <w:r w:rsidRPr="008261A1">
        <w:t>d) in the application of Article 9 no administration obtains any particular priority as a result of being the first to start either the advance publication phase (Section I of Article 9) or the request for coordination procedure (Section II of Article 9).</w:t>
      </w:r>
    </w:p>
  </w:footnote>
  <w:footnote w:id="31">
    <w:p w14:paraId="34763461" w14:textId="0803C5D0" w:rsidR="00A46AC1" w:rsidRDefault="00A46AC1" w:rsidP="00A46AC1">
      <w:pPr>
        <w:pStyle w:val="FootnoteText"/>
      </w:pPr>
      <w:r>
        <w:rPr>
          <w:rStyle w:val="FootnoteReference"/>
        </w:rPr>
        <w:footnoteRef/>
      </w:r>
      <w:r>
        <w:t xml:space="preserve"> An in-line interference event is when </w:t>
      </w:r>
      <w:r w:rsidRPr="00B25ED5">
        <w:t xml:space="preserve">satellites from </w:t>
      </w:r>
      <w:r>
        <w:t>2</w:t>
      </w:r>
      <w:r w:rsidRPr="00B25ED5">
        <w:t xml:space="preserve"> different </w:t>
      </w:r>
      <w:r>
        <w:t xml:space="preserve">NGSO satellite systems </w:t>
      </w:r>
      <w:r w:rsidRPr="00B25ED5">
        <w:t xml:space="preserve">appear to be in the same part of the sky. </w:t>
      </w:r>
      <w:r>
        <w:t xml:space="preserve">The result is that interference levels can temporarily increase </w:t>
      </w:r>
      <w:r w:rsidRPr="00DA7DC7">
        <w:t>on</w:t>
      </w:r>
      <w:r w:rsidRPr="00B25ED5">
        <w:t xml:space="preserve"> the gateway links between the gateway earth station and the satellite</w:t>
      </w:r>
      <w:r w:rsidR="00AD3FF9">
        <w:t xml:space="preserve"> station</w:t>
      </w:r>
      <w:r>
        <w:t>.</w:t>
      </w:r>
      <w:r w:rsidRPr="00B25ED5">
        <w:t xml:space="preserve"> </w:t>
      </w:r>
      <w:r>
        <w:t xml:space="preserve">As NGSO satellites are moving, the period </w:t>
      </w:r>
      <w:r w:rsidR="00DE092A">
        <w:t xml:space="preserve">of </w:t>
      </w:r>
      <w:r>
        <w:t xml:space="preserve">an individual in-line event may be brief. The overall impact depends on </w:t>
      </w:r>
      <w:r>
        <w:t xml:space="preserve">a number of factors, such as how often it occurs and the robustness of the </w:t>
      </w:r>
      <w:r w:rsidR="00C32C2D">
        <w:t xml:space="preserve">satellite </w:t>
      </w:r>
      <w:r>
        <w:t>system to such events</w:t>
      </w:r>
      <w:r w:rsidRPr="00DA7DC7">
        <w:t>.</w:t>
      </w:r>
      <w:r>
        <w:t xml:space="preserve"> The same scenario is normally avoided in GSO </w:t>
      </w:r>
      <w:r w:rsidR="00CA3388">
        <w:t>satellite</w:t>
      </w:r>
      <w:r>
        <w:t xml:space="preserve"> systems due to</w:t>
      </w:r>
      <w:r w:rsidR="00D24EB0">
        <w:t xml:space="preserve"> their</w:t>
      </w:r>
      <w:r>
        <w:t xml:space="preserve"> fixed orbital separation.</w:t>
      </w:r>
    </w:p>
  </w:footnote>
  <w:footnote w:id="32">
    <w:p w14:paraId="35C44116" w14:textId="77777777" w:rsidR="00A46AC1" w:rsidRDefault="00A46AC1" w:rsidP="00A46AC1">
      <w:pPr>
        <w:pStyle w:val="FootnoteText"/>
      </w:pPr>
      <w:r>
        <w:rPr>
          <w:rStyle w:val="FootnoteReference"/>
        </w:rPr>
        <w:footnoteRef/>
      </w:r>
      <w:r>
        <w:t xml:space="preserve"> For a discussion on these issues and differing views from industry, see the Ofcom consultation on </w:t>
      </w:r>
      <w:hyperlink r:id="rId13" w:history="1">
        <w:r w:rsidRPr="00B93BB4">
          <w:rPr>
            <w:rStyle w:val="Hyperlink"/>
          </w:rPr>
          <w:t>Non-geostationary satellite systems</w:t>
        </w:r>
      </w:hyperlink>
      <w:r>
        <w:t>, licensing updates and submissions received.</w:t>
      </w:r>
    </w:p>
  </w:footnote>
  <w:footnote w:id="33">
    <w:p w14:paraId="4501A649" w14:textId="77777777" w:rsidR="00A46AC1" w:rsidRDefault="00A46AC1" w:rsidP="00A46AC1">
      <w:pPr>
        <w:pStyle w:val="FootnoteText"/>
      </w:pPr>
      <w:r>
        <w:rPr>
          <w:rStyle w:val="FootnoteReference"/>
        </w:rPr>
        <w:footnoteRef/>
      </w:r>
      <w:r>
        <w:t xml:space="preserve"> See the </w:t>
      </w:r>
      <w:hyperlink r:id="rId14" w:history="1">
        <w:r w:rsidRPr="00BC294C">
          <w:rPr>
            <w:rStyle w:val="Hyperlink"/>
          </w:rPr>
          <w:t>Department of Industry, Science and Resources</w:t>
        </w:r>
      </w:hyperlink>
      <w:r>
        <w:t xml:space="preserve"> website for more information about Australia’s international collaboration on space. </w:t>
      </w:r>
    </w:p>
  </w:footnote>
  <w:footnote w:id="34">
    <w:p w14:paraId="34B5586F" w14:textId="77777777" w:rsidR="00415889" w:rsidRDefault="00415889" w:rsidP="00415889">
      <w:pPr>
        <w:pStyle w:val="FootnoteText"/>
      </w:pPr>
      <w:r>
        <w:rPr>
          <w:rStyle w:val="FootnoteReference"/>
        </w:rPr>
        <w:footnoteRef/>
      </w:r>
      <w:r>
        <w:t xml:space="preserve"> The </w:t>
      </w:r>
      <w:hyperlink r:id="rId15" w:history="1">
        <w:r w:rsidRPr="008B1EAF">
          <w:rPr>
            <w:rStyle w:val="Hyperlink"/>
          </w:rPr>
          <w:t>FCC approved space station list</w:t>
        </w:r>
      </w:hyperlink>
      <w:r>
        <w:t xml:space="preserve"> is a</w:t>
      </w:r>
      <w:r w:rsidRPr="00D02A08">
        <w:t>n unofficial list of space stations authori</w:t>
      </w:r>
      <w:r>
        <w:t>s</w:t>
      </w:r>
      <w:r w:rsidRPr="00D02A08">
        <w:t>ed by the F</w:t>
      </w:r>
      <w:r>
        <w:t>CC</w:t>
      </w:r>
      <w:r w:rsidRPr="00D02A08">
        <w:t xml:space="preserve"> under Part 25 or granted access to the US market </w:t>
      </w:r>
      <w:r>
        <w:t>(</w:t>
      </w:r>
      <w:r w:rsidRPr="00D02A08">
        <w:t xml:space="preserve">pursuant to Section 25.137 of the </w:t>
      </w:r>
      <w:r>
        <w:t>FCC’s</w:t>
      </w:r>
      <w:r w:rsidRPr="00D02A08">
        <w:t xml:space="preserve"> rules</w:t>
      </w:r>
      <w:r>
        <w:t xml:space="preserve">). For more details use the </w:t>
      </w:r>
      <w:hyperlink r:id="rId16" w:history="1">
        <w:r w:rsidRPr="00A07E08">
          <w:rPr>
            <w:rStyle w:val="Hyperlink"/>
          </w:rPr>
          <w:t>FCC</w:t>
        </w:r>
        <w:r w:rsidRPr="00576BFA">
          <w:rPr>
            <w:rStyle w:val="Hyperlink"/>
          </w:rPr>
          <w:t xml:space="preserve"> Authorizations </w:t>
        </w:r>
        <w:r>
          <w:rPr>
            <w:rStyle w:val="Hyperlink"/>
          </w:rPr>
          <w:t>L</w:t>
        </w:r>
        <w:r w:rsidRPr="00A07E08">
          <w:rPr>
            <w:rStyle w:val="Hyperlink"/>
          </w:rPr>
          <w:t>ist</w:t>
        </w:r>
      </w:hyperlink>
      <w:r>
        <w:t xml:space="preserve"> to generate a report of satellite space stations with </w:t>
      </w:r>
      <w:r w:rsidRPr="00996827">
        <w:t>current authori</w:t>
      </w:r>
      <w:r>
        <w:t>s</w:t>
      </w:r>
      <w:r w:rsidRPr="00996827">
        <w:t>ations by licensee</w:t>
      </w:r>
      <w:r w:rsidDel="00705779">
        <w:t>.</w:t>
      </w:r>
    </w:p>
  </w:footnote>
  <w:footnote w:id="35">
    <w:p w14:paraId="137025A7" w14:textId="77777777" w:rsidR="00243A09" w:rsidRPr="001E2A3D" w:rsidRDefault="00243A09" w:rsidP="00243A09">
      <w:pPr>
        <w:pStyle w:val="FootnoteText"/>
      </w:pPr>
      <w:r>
        <w:rPr>
          <w:rStyle w:val="FootnoteReference"/>
        </w:rPr>
        <w:footnoteRef/>
      </w:r>
      <w:r>
        <w:t xml:space="preserve"> </w:t>
      </w:r>
      <w:r w:rsidRPr="004005CE">
        <w:t xml:space="preserve">In accordance with </w:t>
      </w:r>
      <w:hyperlink r:id="rId17" w:history="1">
        <w:r w:rsidRPr="00DC6014">
          <w:rPr>
            <w:rStyle w:val="Hyperlink"/>
          </w:rPr>
          <w:t>ITU Council Decision 482</w:t>
        </w:r>
      </w:hyperlink>
      <w:r w:rsidRPr="004005CE">
        <w:t>, a cost recovery fee is applicable for satellite network filings received by the ITU Radiocommunication Bureau.</w:t>
      </w:r>
    </w:p>
  </w:footnote>
  <w:footnote w:id="36">
    <w:p w14:paraId="50612C44" w14:textId="2C095F08" w:rsidR="00243A09" w:rsidRDefault="00243A09" w:rsidP="00243A09">
      <w:pPr>
        <w:pStyle w:val="FootnoteText"/>
      </w:pPr>
      <w:r>
        <w:rPr>
          <w:rStyle w:val="FootnoteReference"/>
        </w:rPr>
        <w:footnoteRef/>
      </w:r>
      <w:r>
        <w:t xml:space="preserve"> See </w:t>
      </w:r>
      <w:r w:rsidR="00A1078C">
        <w:t xml:space="preserve">the </w:t>
      </w:r>
      <w:r>
        <w:t>ITU list of</w:t>
      </w:r>
      <w:r w:rsidRPr="007156A0">
        <w:t xml:space="preserve"> satellite networks </w:t>
      </w:r>
      <w:r w:rsidR="00A1078C">
        <w:t xml:space="preserve">that </w:t>
      </w:r>
      <w:r w:rsidRPr="007156A0">
        <w:t xml:space="preserve">have been nominated for </w:t>
      </w:r>
      <w:hyperlink r:id="rId18" w:history="1">
        <w:r w:rsidRPr="004903AB">
          <w:rPr>
            <w:rStyle w:val="Hyperlink"/>
          </w:rPr>
          <w:t>annual free entitlement</w:t>
        </w:r>
      </w:hyperlink>
      <w:r w:rsidRPr="007156A0">
        <w:t>, from 2016</w:t>
      </w:r>
      <w:r>
        <w:t>.</w:t>
      </w:r>
    </w:p>
  </w:footnote>
  <w:footnote w:id="37">
    <w:p w14:paraId="382D2EC5" w14:textId="4956598F" w:rsidR="00A46AC1" w:rsidRDefault="00A46AC1" w:rsidP="00A46AC1">
      <w:pPr>
        <w:pStyle w:val="FootnoteText"/>
      </w:pPr>
      <w:r>
        <w:rPr>
          <w:rStyle w:val="FootnoteReference"/>
        </w:rPr>
        <w:footnoteRef/>
      </w:r>
      <w:r>
        <w:t xml:space="preserve"> </w:t>
      </w:r>
      <w:hyperlink r:id="rId19" w:history="1">
        <w:r w:rsidRPr="00787C91">
          <w:rPr>
            <w:rStyle w:val="Hyperlink"/>
          </w:rPr>
          <w:t>DRAFT REPORT</w:t>
        </w:r>
      </w:hyperlink>
      <w:r w:rsidRPr="00787C91">
        <w:rPr>
          <w:u w:color="0000FF"/>
        </w:rPr>
        <w:t xml:space="preserve"> BY THE RADIO REGULATIONS BOARD TO WRC-23 ON RESOLUTION 80 (REV.WRC-07</w:t>
      </w:r>
      <w:r>
        <w:t xml:space="preserve">), 5 April 2023. </w:t>
      </w:r>
    </w:p>
  </w:footnote>
  <w:footnote w:id="38">
    <w:p w14:paraId="3EC1383C" w14:textId="4810353A" w:rsidR="00641983" w:rsidRPr="00902540" w:rsidRDefault="00641983">
      <w:pPr>
        <w:pStyle w:val="FootnoteText"/>
        <w:rPr>
          <w:lang w:val="en-US"/>
        </w:rPr>
      </w:pPr>
      <w:r>
        <w:rPr>
          <w:rStyle w:val="FootnoteReference"/>
        </w:rPr>
        <w:footnoteRef/>
      </w:r>
      <w:r>
        <w:t xml:space="preserve"> </w:t>
      </w:r>
      <w:r w:rsidRPr="00641983">
        <w:t xml:space="preserve">Force majeure is a </w:t>
      </w:r>
      <w:r w:rsidR="00F45056">
        <w:t xml:space="preserve">legal </w:t>
      </w:r>
      <w:r w:rsidRPr="00641983">
        <w:t xml:space="preserve">term that literally means </w:t>
      </w:r>
      <w:r w:rsidR="007B5476">
        <w:t>‘</w:t>
      </w:r>
      <w:r w:rsidRPr="00641983">
        <w:t>greater force</w:t>
      </w:r>
      <w:r w:rsidR="007B5476">
        <w:t>’</w:t>
      </w:r>
      <w:r w:rsidR="00C13158">
        <w:t>. I</w:t>
      </w:r>
      <w:r w:rsidR="00F45056">
        <w:t>n this con</w:t>
      </w:r>
      <w:r w:rsidR="00936613">
        <w:t>text i</w:t>
      </w:r>
      <w:r w:rsidR="00C13158">
        <w:t xml:space="preserve">t relates to the occurrence of unforeseen events in the launch of satellites into space (an inherently risky </w:t>
      </w:r>
      <w:r w:rsidR="008001C3">
        <w:t>activity), such a</w:t>
      </w:r>
      <w:r w:rsidR="00E53794">
        <w:t>s</w:t>
      </w:r>
      <w:r w:rsidR="008001C3">
        <w:t xml:space="preserve"> the unscheduled rapid disassembly of rockets carrying a satellite payload.</w:t>
      </w:r>
    </w:p>
  </w:footnote>
  <w:footnote w:id="39">
    <w:p w14:paraId="38681482" w14:textId="264D94BB" w:rsidR="00A46AC1" w:rsidRPr="0099578E" w:rsidRDefault="00A46AC1" w:rsidP="0099578E">
      <w:pPr>
        <w:spacing w:after="0" w:line="200" w:lineRule="atLeast"/>
        <w:rPr>
          <w:sz w:val="16"/>
          <w:szCs w:val="16"/>
        </w:rPr>
      </w:pPr>
      <w:r w:rsidRPr="0099578E">
        <w:rPr>
          <w:rStyle w:val="FootnoteReference"/>
          <w:sz w:val="16"/>
          <w:szCs w:val="16"/>
        </w:rPr>
        <w:footnoteRef/>
      </w:r>
      <w:r w:rsidRPr="0099578E">
        <w:rPr>
          <w:sz w:val="16"/>
          <w:szCs w:val="16"/>
        </w:rPr>
        <w:t xml:space="preserve"> </w:t>
      </w:r>
      <w:r w:rsidRPr="000E514A">
        <w:rPr>
          <w:sz w:val="16"/>
          <w:szCs w:val="16"/>
        </w:rPr>
        <w:t>ITU RR 11.41 After a notice is returned under No. 11.38, should the notifying administration resubmit the notice and insist upon its reconsideration, the Bureau shall enter the assignment in the Master Register with an indication of those administrations whose assignments were the basis of the unfavourable finding (see also No. 11.42 below). (WRC-12).  11.41.2 When submitting notices in application of No. 11.41, the notifying administration shall indicate to the Bureau that efforts have been made to effect coordination with those administrations whose assignments were the basis of the unfavourable findings under No. 11.38, without success. (WRC-12)</w:t>
      </w:r>
      <w:r w:rsidR="00BE055A" w:rsidRPr="000E514A">
        <w:rPr>
          <w:sz w:val="16"/>
          <w:szCs w:val="16"/>
        </w:rPr>
        <w:t>.</w:t>
      </w:r>
    </w:p>
  </w:footnote>
  <w:footnote w:id="40">
    <w:p w14:paraId="2EDA27DE" w14:textId="1819E476" w:rsidR="00297160" w:rsidRPr="000E514A" w:rsidRDefault="00297160" w:rsidP="000E514A">
      <w:pPr>
        <w:pStyle w:val="FootnoteText"/>
      </w:pPr>
      <w:r w:rsidRPr="000E514A">
        <w:rPr>
          <w:rStyle w:val="FootnoteReference"/>
        </w:rPr>
        <w:footnoteRef/>
      </w:r>
      <w:r w:rsidRPr="000E514A">
        <w:t xml:space="preserve"> Refer ITU </w:t>
      </w:r>
      <w:hyperlink r:id="rId20" w:history="1">
        <w:r w:rsidRPr="000E514A">
          <w:rPr>
            <w:rStyle w:val="Hyperlink"/>
          </w:rPr>
          <w:t>Rules of Procedures</w:t>
        </w:r>
      </w:hyperlink>
      <w:r w:rsidRPr="000E514A">
        <w:t xml:space="preserve"> approved by the </w:t>
      </w:r>
      <w:r w:rsidR="00AB4C59">
        <w:t>RRB.</w:t>
      </w:r>
      <w:r w:rsidRPr="000E514A">
        <w:t xml:space="preserve"> </w:t>
      </w:r>
    </w:p>
  </w:footnote>
  <w:footnote w:id="41">
    <w:p w14:paraId="4CA62CD7" w14:textId="5F9C10C6" w:rsidR="00A46AC1" w:rsidRPr="00251F91" w:rsidRDefault="00A46AC1" w:rsidP="00251F91">
      <w:pPr>
        <w:tabs>
          <w:tab w:val="left" w:pos="480"/>
          <w:tab w:val="right" w:leader="dot" w:pos="9488"/>
        </w:tabs>
        <w:spacing w:after="0"/>
        <w:rPr>
          <w:sz w:val="16"/>
          <w:szCs w:val="16"/>
        </w:rPr>
      </w:pPr>
      <w:r w:rsidRPr="008E12DD">
        <w:rPr>
          <w:rStyle w:val="FootnoteReference"/>
          <w:sz w:val="16"/>
          <w:szCs w:val="16"/>
        </w:rPr>
        <w:footnoteRef/>
      </w:r>
      <w:r w:rsidRPr="008E12DD">
        <w:rPr>
          <w:sz w:val="16"/>
          <w:szCs w:val="16"/>
        </w:rPr>
        <w:t xml:space="preserve"> See </w:t>
      </w:r>
      <w:r w:rsidR="001C62BD" w:rsidRPr="008E12DD">
        <w:rPr>
          <w:sz w:val="16"/>
          <w:szCs w:val="16"/>
        </w:rPr>
        <w:t xml:space="preserve">RESOLUTION 219 </w:t>
      </w:r>
      <w:r w:rsidR="001C62BD" w:rsidRPr="008E12DD">
        <w:rPr>
          <w:color w:val="000000"/>
          <w:sz w:val="16"/>
          <w:szCs w:val="16"/>
        </w:rPr>
        <w:t>(BUCHAREST, 2022)</w:t>
      </w:r>
      <w:r w:rsidR="001C62BD">
        <w:rPr>
          <w:color w:val="000000"/>
          <w:sz w:val="16"/>
          <w:szCs w:val="16"/>
        </w:rPr>
        <w:t xml:space="preserve"> </w:t>
      </w:r>
      <w:r w:rsidR="001C62BD" w:rsidRPr="008E12DD">
        <w:rPr>
          <w:color w:val="000000"/>
          <w:sz w:val="16"/>
          <w:szCs w:val="16"/>
        </w:rPr>
        <w:t xml:space="preserve"> </w:t>
      </w:r>
      <w:r w:rsidR="001C62BD" w:rsidRPr="008E12DD">
        <w:rPr>
          <w:sz w:val="16"/>
          <w:szCs w:val="16"/>
        </w:rPr>
        <w:t>Sustainability of the radio-frequency spectrum and associated satellite-orbit resources used by space services</w:t>
      </w:r>
      <w:r w:rsidR="001C62BD">
        <w:rPr>
          <w:sz w:val="16"/>
          <w:szCs w:val="16"/>
        </w:rPr>
        <w:t xml:space="preserve"> in</w:t>
      </w:r>
      <w:r w:rsidR="001C62BD">
        <w:t xml:space="preserve"> </w:t>
      </w:r>
      <w:hyperlink r:id="rId21" w:history="1">
        <w:r w:rsidRPr="008E12DD">
          <w:rPr>
            <w:rStyle w:val="Hyperlink"/>
            <w:sz w:val="16"/>
            <w:szCs w:val="16"/>
          </w:rPr>
          <w:t>Collection of the Basic Texts of the International Telecommunication Union adopted by the Plenipotentiary Conference</w:t>
        </w:r>
      </w:hyperlink>
      <w:r w:rsidR="00703CB5">
        <w:rPr>
          <w:rStyle w:val="Hyperlink"/>
          <w:sz w:val="16"/>
          <w:szCs w:val="16"/>
        </w:rPr>
        <w:t>,</w:t>
      </w:r>
      <w:r w:rsidR="00703CB5">
        <w:rPr>
          <w:sz w:val="16"/>
          <w:szCs w:val="16"/>
        </w:rPr>
        <w:t xml:space="preserve"> </w:t>
      </w:r>
      <w:r w:rsidRPr="008E12DD">
        <w:rPr>
          <w:sz w:val="16"/>
          <w:szCs w:val="16"/>
        </w:rPr>
        <w:t xml:space="preserve">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D4B2" w14:textId="77777777" w:rsidR="00C053A1" w:rsidRPr="00A5474E" w:rsidRDefault="0021426C" w:rsidP="00A5474E">
    <w:pPr>
      <w:pStyle w:val="Header"/>
    </w:pPr>
    <w:r>
      <w:rPr>
        <w:noProof/>
      </w:rPr>
      <w:drawing>
        <wp:inline distT="0" distB="0" distL="0" distR="0" wp14:anchorId="0A148A49" wp14:editId="5109C1CC">
          <wp:extent cx="6210300" cy="571134"/>
          <wp:effectExtent l="0" t="0" r="0"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326D"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F37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F217"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6978A86" w14:textId="77777777" w:rsidTr="00E95BD4">
      <w:trPr>
        <w:trHeight w:hRule="exact" w:val="988"/>
      </w:trPr>
      <w:tc>
        <w:tcPr>
          <w:tcW w:w="7678" w:type="dxa"/>
          <w:shd w:val="clear" w:color="auto" w:fill="auto"/>
        </w:tcPr>
        <w:p w14:paraId="6121BE89" w14:textId="77777777" w:rsidR="00971914" w:rsidRDefault="00971914" w:rsidP="00971914">
          <w:pPr>
            <w:pStyle w:val="Header"/>
          </w:pPr>
        </w:p>
      </w:tc>
    </w:tr>
    <w:tr w:rsidR="00971914" w14:paraId="3FC3D368" w14:textId="77777777" w:rsidTr="00E95BD4">
      <w:tc>
        <w:tcPr>
          <w:tcW w:w="7678" w:type="dxa"/>
          <w:shd w:val="clear" w:color="auto" w:fill="auto"/>
        </w:tcPr>
        <w:p w14:paraId="5EAA2114" w14:textId="77777777" w:rsidR="00971914" w:rsidRDefault="00971914" w:rsidP="00971914">
          <w:pPr>
            <w:pStyle w:val="GridTable31"/>
          </w:pPr>
          <w:r>
            <w:t xml:space="preserve">Contents </w:t>
          </w:r>
          <w:r w:rsidRPr="00915B1C">
            <w:rPr>
              <w:b w:val="0"/>
              <w:spacing w:val="0"/>
              <w:sz w:val="28"/>
              <w:szCs w:val="28"/>
            </w:rPr>
            <w:t>(Continued)</w:t>
          </w:r>
        </w:p>
      </w:tc>
    </w:tr>
    <w:tr w:rsidR="00971914" w14:paraId="3EE7B302" w14:textId="77777777" w:rsidTr="00E95BD4">
      <w:trPr>
        <w:trHeight w:val="1220"/>
      </w:trPr>
      <w:tc>
        <w:tcPr>
          <w:tcW w:w="7678" w:type="dxa"/>
          <w:shd w:val="clear" w:color="auto" w:fill="auto"/>
        </w:tcPr>
        <w:p w14:paraId="56922023" w14:textId="77777777" w:rsidR="00971914" w:rsidRDefault="00971914" w:rsidP="00971914"/>
      </w:tc>
    </w:tr>
  </w:tbl>
  <w:p w14:paraId="59CB3AD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504DB52" w14:textId="77777777" w:rsidTr="00E95BD4">
      <w:trPr>
        <w:trHeight w:hRule="exact" w:val="988"/>
      </w:trPr>
      <w:tc>
        <w:tcPr>
          <w:tcW w:w="7678" w:type="dxa"/>
          <w:shd w:val="clear" w:color="auto" w:fill="auto"/>
        </w:tcPr>
        <w:p w14:paraId="69DD975E" w14:textId="77777777" w:rsidR="00971914" w:rsidRDefault="00971914" w:rsidP="00971914">
          <w:pPr>
            <w:pStyle w:val="Header"/>
          </w:pPr>
        </w:p>
      </w:tc>
    </w:tr>
    <w:tr w:rsidR="00971914" w14:paraId="0C2DE2B0" w14:textId="77777777" w:rsidTr="00E95BD4">
      <w:tc>
        <w:tcPr>
          <w:tcW w:w="7678" w:type="dxa"/>
          <w:shd w:val="clear" w:color="auto" w:fill="auto"/>
        </w:tcPr>
        <w:p w14:paraId="565EC163" w14:textId="77777777" w:rsidR="00971914" w:rsidRDefault="00971914" w:rsidP="00971914">
          <w:pPr>
            <w:pStyle w:val="GridTable31"/>
          </w:pPr>
          <w:r>
            <w:t xml:space="preserve">Contents </w:t>
          </w:r>
          <w:r w:rsidRPr="00915B1C">
            <w:rPr>
              <w:b w:val="0"/>
              <w:spacing w:val="0"/>
              <w:sz w:val="28"/>
              <w:szCs w:val="28"/>
            </w:rPr>
            <w:t>(Continued)</w:t>
          </w:r>
        </w:p>
      </w:tc>
    </w:tr>
    <w:tr w:rsidR="00971914" w14:paraId="520138B0" w14:textId="77777777" w:rsidTr="00E95BD4">
      <w:trPr>
        <w:trHeight w:val="1220"/>
      </w:trPr>
      <w:tc>
        <w:tcPr>
          <w:tcW w:w="7678" w:type="dxa"/>
          <w:shd w:val="clear" w:color="auto" w:fill="auto"/>
        </w:tcPr>
        <w:p w14:paraId="575E26BE" w14:textId="77777777" w:rsidR="00971914" w:rsidRDefault="00971914" w:rsidP="00971914"/>
      </w:tc>
    </w:tr>
  </w:tbl>
  <w:p w14:paraId="13E8A6D6"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9F93"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9BB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8E7EEB1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6A47156"/>
    <w:multiLevelType w:val="hybridMultilevel"/>
    <w:tmpl w:val="0ED2EB54"/>
    <w:lvl w:ilvl="0" w:tplc="8A52EFB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AC2AC1"/>
    <w:multiLevelType w:val="hybridMultilevel"/>
    <w:tmpl w:val="C5340F7C"/>
    <w:lvl w:ilvl="0" w:tplc="8A52EFB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068C0"/>
    <w:multiLevelType w:val="hybridMultilevel"/>
    <w:tmpl w:val="4A32E372"/>
    <w:lvl w:ilvl="0" w:tplc="2620E70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4A0CD8"/>
    <w:multiLevelType w:val="hybridMultilevel"/>
    <w:tmpl w:val="161A3D7A"/>
    <w:lvl w:ilvl="0" w:tplc="401CF68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46A37"/>
    <w:multiLevelType w:val="hybridMultilevel"/>
    <w:tmpl w:val="334EB65C"/>
    <w:lvl w:ilvl="0" w:tplc="A25C21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EA0355"/>
    <w:multiLevelType w:val="hybridMultilevel"/>
    <w:tmpl w:val="28E8B04A"/>
    <w:lvl w:ilvl="0" w:tplc="0152DD9E">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 w15:restartNumberingAfterBreak="0">
    <w:nsid w:val="2E301DD4"/>
    <w:multiLevelType w:val="multilevel"/>
    <w:tmpl w:val="A9F6B4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D510CD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AB84AE5"/>
    <w:multiLevelType w:val="multilevel"/>
    <w:tmpl w:val="0874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40ECD"/>
    <w:multiLevelType w:val="hybridMultilevel"/>
    <w:tmpl w:val="B6509CE8"/>
    <w:lvl w:ilvl="0" w:tplc="8A52EFB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A324F"/>
    <w:multiLevelType w:val="hybridMultilevel"/>
    <w:tmpl w:val="5D46BE92"/>
    <w:lvl w:ilvl="0" w:tplc="8A52EFB4">
      <w:numFmt w:val="bullet"/>
      <w:lvlText w:val=""/>
      <w:lvlJc w:val="left"/>
      <w:pPr>
        <w:ind w:left="780" w:hanging="360"/>
      </w:pPr>
      <w:rPr>
        <w:rFonts w:ascii="Symbol" w:eastAsia="Calibri" w:hAnsi="Symbo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6B907C7"/>
    <w:multiLevelType w:val="hybridMultilevel"/>
    <w:tmpl w:val="23E45374"/>
    <w:lvl w:ilvl="0" w:tplc="8A52EFB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25A13"/>
    <w:multiLevelType w:val="hybridMultilevel"/>
    <w:tmpl w:val="8118199E"/>
    <w:lvl w:ilvl="0" w:tplc="326CAFAE">
      <w:start w:val="1"/>
      <w:numFmt w:val="decimal"/>
      <w:pStyle w:val="ACMANumberedList"/>
      <w:lvlText w:val="%1."/>
      <w:lvlJc w:val="left"/>
      <w:pPr>
        <w:ind w:left="360" w:hanging="360"/>
      </w:pPr>
      <w:rPr>
        <w:rFonts w:ascii="Arial" w:hAnsi="Arial" w:cs="Arial" w:hint="default"/>
        <w:b w:val="0"/>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C0807D6"/>
    <w:multiLevelType w:val="multilevel"/>
    <w:tmpl w:val="8018B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140309">
    <w:abstractNumId w:val="3"/>
  </w:num>
  <w:num w:numId="2" w16cid:durableId="1026752645">
    <w:abstractNumId w:val="1"/>
  </w:num>
  <w:num w:numId="3" w16cid:durableId="426846843">
    <w:abstractNumId w:val="2"/>
  </w:num>
  <w:num w:numId="4" w16cid:durableId="2103603164">
    <w:abstractNumId w:val="0"/>
  </w:num>
  <w:num w:numId="5" w16cid:durableId="1446384475">
    <w:abstractNumId w:val="10"/>
  </w:num>
  <w:num w:numId="6" w16cid:durableId="1412459795">
    <w:abstractNumId w:val="16"/>
  </w:num>
  <w:num w:numId="7" w16cid:durableId="1452555255">
    <w:abstractNumId w:val="14"/>
  </w:num>
  <w:num w:numId="8" w16cid:durableId="1214151067">
    <w:abstractNumId w:val="15"/>
  </w:num>
  <w:num w:numId="9" w16cid:durableId="2096851545">
    <w:abstractNumId w:val="19"/>
  </w:num>
  <w:num w:numId="10" w16cid:durableId="85419154">
    <w:abstractNumId w:val="2"/>
    <w:lvlOverride w:ilvl="0">
      <w:startOverride w:val="1"/>
    </w:lvlOverride>
  </w:num>
  <w:num w:numId="11" w16cid:durableId="85004463">
    <w:abstractNumId w:val="9"/>
  </w:num>
  <w:num w:numId="12" w16cid:durableId="1180581867">
    <w:abstractNumId w:val="1"/>
  </w:num>
  <w:num w:numId="13" w16cid:durableId="511651096">
    <w:abstractNumId w:val="1"/>
  </w:num>
  <w:num w:numId="14" w16cid:durableId="1718309839">
    <w:abstractNumId w:val="1"/>
  </w:num>
  <w:num w:numId="15" w16cid:durableId="179440812">
    <w:abstractNumId w:val="1"/>
  </w:num>
  <w:num w:numId="16" w16cid:durableId="831528981">
    <w:abstractNumId w:val="1"/>
  </w:num>
  <w:num w:numId="17" w16cid:durableId="2132280058">
    <w:abstractNumId w:val="1"/>
  </w:num>
  <w:num w:numId="18" w16cid:durableId="1682976330">
    <w:abstractNumId w:val="1"/>
  </w:num>
  <w:num w:numId="19" w16cid:durableId="1826168896">
    <w:abstractNumId w:val="1"/>
  </w:num>
  <w:num w:numId="20" w16cid:durableId="1710956232">
    <w:abstractNumId w:val="1"/>
  </w:num>
  <w:num w:numId="21" w16cid:durableId="2057579057">
    <w:abstractNumId w:val="3"/>
  </w:num>
  <w:num w:numId="22" w16cid:durableId="329914076">
    <w:abstractNumId w:val="3"/>
  </w:num>
  <w:num w:numId="23" w16cid:durableId="592905841">
    <w:abstractNumId w:val="3"/>
  </w:num>
  <w:num w:numId="24" w16cid:durableId="614945892">
    <w:abstractNumId w:val="3"/>
  </w:num>
  <w:num w:numId="25" w16cid:durableId="402919762">
    <w:abstractNumId w:val="3"/>
  </w:num>
  <w:num w:numId="26" w16cid:durableId="653723401">
    <w:abstractNumId w:val="3"/>
  </w:num>
  <w:num w:numId="27" w16cid:durableId="520045987">
    <w:abstractNumId w:val="3"/>
  </w:num>
  <w:num w:numId="28" w16cid:durableId="1585992079">
    <w:abstractNumId w:val="3"/>
  </w:num>
  <w:num w:numId="29" w16cid:durableId="1057514442">
    <w:abstractNumId w:val="3"/>
  </w:num>
  <w:num w:numId="30" w16cid:durableId="1426613607">
    <w:abstractNumId w:val="7"/>
  </w:num>
  <w:num w:numId="31" w16cid:durableId="1725521140">
    <w:abstractNumId w:val="2"/>
  </w:num>
  <w:num w:numId="32" w16cid:durableId="930506317">
    <w:abstractNumId w:val="8"/>
  </w:num>
  <w:num w:numId="33" w16cid:durableId="421537451">
    <w:abstractNumId w:val="20"/>
  </w:num>
  <w:num w:numId="34" w16cid:durableId="1108239233">
    <w:abstractNumId w:val="6"/>
  </w:num>
  <w:num w:numId="35" w16cid:durableId="1199392874">
    <w:abstractNumId w:val="13"/>
  </w:num>
  <w:num w:numId="36" w16cid:durableId="1829443850">
    <w:abstractNumId w:val="11"/>
  </w:num>
  <w:num w:numId="37" w16cid:durableId="1048384264">
    <w:abstractNumId w:val="11"/>
  </w:num>
  <w:num w:numId="38" w16cid:durableId="1286228298">
    <w:abstractNumId w:val="11"/>
  </w:num>
  <w:num w:numId="39" w16cid:durableId="830175200">
    <w:abstractNumId w:val="5"/>
  </w:num>
  <w:num w:numId="40" w16cid:durableId="1387297869">
    <w:abstractNumId w:val="18"/>
  </w:num>
  <w:num w:numId="41" w16cid:durableId="17633056">
    <w:abstractNumId w:val="3"/>
  </w:num>
  <w:num w:numId="42" w16cid:durableId="293562328">
    <w:abstractNumId w:val="4"/>
  </w:num>
  <w:num w:numId="43" w16cid:durableId="2115010090">
    <w:abstractNumId w:val="17"/>
  </w:num>
  <w:num w:numId="44" w16cid:durableId="1401975902">
    <w:abstractNumId w:val="12"/>
  </w:num>
  <w:num w:numId="45" w16cid:durableId="39670630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E5"/>
    <w:rsid w:val="000004D0"/>
    <w:rsid w:val="0000052B"/>
    <w:rsid w:val="00000B3E"/>
    <w:rsid w:val="00000FB5"/>
    <w:rsid w:val="0000224E"/>
    <w:rsid w:val="0000269A"/>
    <w:rsid w:val="000032ED"/>
    <w:rsid w:val="00003529"/>
    <w:rsid w:val="000037EE"/>
    <w:rsid w:val="000038E5"/>
    <w:rsid w:val="00003910"/>
    <w:rsid w:val="00003D49"/>
    <w:rsid w:val="00004184"/>
    <w:rsid w:val="000044E9"/>
    <w:rsid w:val="00004890"/>
    <w:rsid w:val="00004DD5"/>
    <w:rsid w:val="00005103"/>
    <w:rsid w:val="0000522B"/>
    <w:rsid w:val="0000537D"/>
    <w:rsid w:val="00005C21"/>
    <w:rsid w:val="00006233"/>
    <w:rsid w:val="0000632B"/>
    <w:rsid w:val="0000683C"/>
    <w:rsid w:val="00006DD8"/>
    <w:rsid w:val="00006F18"/>
    <w:rsid w:val="00007171"/>
    <w:rsid w:val="00007174"/>
    <w:rsid w:val="000073B0"/>
    <w:rsid w:val="00007450"/>
    <w:rsid w:val="00007558"/>
    <w:rsid w:val="00007C91"/>
    <w:rsid w:val="00007F8F"/>
    <w:rsid w:val="00010667"/>
    <w:rsid w:val="00010F1B"/>
    <w:rsid w:val="00011AC8"/>
    <w:rsid w:val="000125BA"/>
    <w:rsid w:val="000129D5"/>
    <w:rsid w:val="00012A7C"/>
    <w:rsid w:val="000136BF"/>
    <w:rsid w:val="00013830"/>
    <w:rsid w:val="000138B3"/>
    <w:rsid w:val="00014267"/>
    <w:rsid w:val="00014287"/>
    <w:rsid w:val="00014443"/>
    <w:rsid w:val="0001482D"/>
    <w:rsid w:val="000149A2"/>
    <w:rsid w:val="00014A6C"/>
    <w:rsid w:val="00015457"/>
    <w:rsid w:val="00015467"/>
    <w:rsid w:val="00015AE7"/>
    <w:rsid w:val="00015BB5"/>
    <w:rsid w:val="00015BCE"/>
    <w:rsid w:val="0001628C"/>
    <w:rsid w:val="000165A2"/>
    <w:rsid w:val="0001678A"/>
    <w:rsid w:val="000167D0"/>
    <w:rsid w:val="00016E21"/>
    <w:rsid w:val="0001719C"/>
    <w:rsid w:val="0001724F"/>
    <w:rsid w:val="00017513"/>
    <w:rsid w:val="00017933"/>
    <w:rsid w:val="00017B07"/>
    <w:rsid w:val="000207C5"/>
    <w:rsid w:val="00021B7E"/>
    <w:rsid w:val="0002224E"/>
    <w:rsid w:val="00022580"/>
    <w:rsid w:val="00022619"/>
    <w:rsid w:val="000235B7"/>
    <w:rsid w:val="00023A36"/>
    <w:rsid w:val="00023C06"/>
    <w:rsid w:val="00023EB4"/>
    <w:rsid w:val="00023F1C"/>
    <w:rsid w:val="00024318"/>
    <w:rsid w:val="000245E5"/>
    <w:rsid w:val="000245EE"/>
    <w:rsid w:val="00024607"/>
    <w:rsid w:val="00024890"/>
    <w:rsid w:val="00024EB6"/>
    <w:rsid w:val="00025606"/>
    <w:rsid w:val="000257DE"/>
    <w:rsid w:val="00025A8C"/>
    <w:rsid w:val="00025BB4"/>
    <w:rsid w:val="00025BFE"/>
    <w:rsid w:val="00025CF3"/>
    <w:rsid w:val="000261FE"/>
    <w:rsid w:val="000262FF"/>
    <w:rsid w:val="0002631E"/>
    <w:rsid w:val="0002638E"/>
    <w:rsid w:val="000266BC"/>
    <w:rsid w:val="00026ACD"/>
    <w:rsid w:val="00026C43"/>
    <w:rsid w:val="00026F91"/>
    <w:rsid w:val="00027B9E"/>
    <w:rsid w:val="00027BD1"/>
    <w:rsid w:val="00027D6F"/>
    <w:rsid w:val="00027FED"/>
    <w:rsid w:val="00030F50"/>
    <w:rsid w:val="000314D4"/>
    <w:rsid w:val="00031C0B"/>
    <w:rsid w:val="00031CF9"/>
    <w:rsid w:val="00031D51"/>
    <w:rsid w:val="00031E51"/>
    <w:rsid w:val="0003231B"/>
    <w:rsid w:val="00032621"/>
    <w:rsid w:val="00032718"/>
    <w:rsid w:val="00032A56"/>
    <w:rsid w:val="00032ECA"/>
    <w:rsid w:val="00033503"/>
    <w:rsid w:val="00033620"/>
    <w:rsid w:val="00033757"/>
    <w:rsid w:val="000339EE"/>
    <w:rsid w:val="00033C7D"/>
    <w:rsid w:val="000343DE"/>
    <w:rsid w:val="000345D6"/>
    <w:rsid w:val="00034DDF"/>
    <w:rsid w:val="000350E7"/>
    <w:rsid w:val="00035877"/>
    <w:rsid w:val="00035889"/>
    <w:rsid w:val="00036B8B"/>
    <w:rsid w:val="00036E1A"/>
    <w:rsid w:val="00036FF9"/>
    <w:rsid w:val="0003701A"/>
    <w:rsid w:val="00037439"/>
    <w:rsid w:val="00037D44"/>
    <w:rsid w:val="00040598"/>
    <w:rsid w:val="00040B88"/>
    <w:rsid w:val="00040C6E"/>
    <w:rsid w:val="00041321"/>
    <w:rsid w:val="00041B95"/>
    <w:rsid w:val="00042795"/>
    <w:rsid w:val="00043948"/>
    <w:rsid w:val="00043CB3"/>
    <w:rsid w:val="00044273"/>
    <w:rsid w:val="00044865"/>
    <w:rsid w:val="0004488D"/>
    <w:rsid w:val="00044AB9"/>
    <w:rsid w:val="00044C08"/>
    <w:rsid w:val="00044DC9"/>
    <w:rsid w:val="00044E75"/>
    <w:rsid w:val="000453E4"/>
    <w:rsid w:val="0004573E"/>
    <w:rsid w:val="00045B0A"/>
    <w:rsid w:val="000469C4"/>
    <w:rsid w:val="00047372"/>
    <w:rsid w:val="0004764C"/>
    <w:rsid w:val="00047D00"/>
    <w:rsid w:val="00047EB9"/>
    <w:rsid w:val="00050056"/>
    <w:rsid w:val="0005011A"/>
    <w:rsid w:val="0005045A"/>
    <w:rsid w:val="00050485"/>
    <w:rsid w:val="00051C1E"/>
    <w:rsid w:val="00052347"/>
    <w:rsid w:val="000528D3"/>
    <w:rsid w:val="00052A68"/>
    <w:rsid w:val="00052D71"/>
    <w:rsid w:val="00052DC3"/>
    <w:rsid w:val="0005300E"/>
    <w:rsid w:val="000533FB"/>
    <w:rsid w:val="0005390D"/>
    <w:rsid w:val="000539F9"/>
    <w:rsid w:val="00053A61"/>
    <w:rsid w:val="000541C7"/>
    <w:rsid w:val="00054311"/>
    <w:rsid w:val="00054C27"/>
    <w:rsid w:val="00055460"/>
    <w:rsid w:val="0005593D"/>
    <w:rsid w:val="00055EC3"/>
    <w:rsid w:val="00056203"/>
    <w:rsid w:val="000563CE"/>
    <w:rsid w:val="0005734D"/>
    <w:rsid w:val="00057831"/>
    <w:rsid w:val="0005799B"/>
    <w:rsid w:val="00057D71"/>
    <w:rsid w:val="0006001D"/>
    <w:rsid w:val="0006060C"/>
    <w:rsid w:val="00060946"/>
    <w:rsid w:val="00060B1A"/>
    <w:rsid w:val="00060DE2"/>
    <w:rsid w:val="00061143"/>
    <w:rsid w:val="00061398"/>
    <w:rsid w:val="00061A07"/>
    <w:rsid w:val="00061AA2"/>
    <w:rsid w:val="00061D71"/>
    <w:rsid w:val="000622CB"/>
    <w:rsid w:val="00062847"/>
    <w:rsid w:val="00062BB1"/>
    <w:rsid w:val="00062BF0"/>
    <w:rsid w:val="00062CA5"/>
    <w:rsid w:val="00062F93"/>
    <w:rsid w:val="00063082"/>
    <w:rsid w:val="00063DC2"/>
    <w:rsid w:val="00063E73"/>
    <w:rsid w:val="0006407C"/>
    <w:rsid w:val="000641C3"/>
    <w:rsid w:val="00064436"/>
    <w:rsid w:val="0006473A"/>
    <w:rsid w:val="000649B8"/>
    <w:rsid w:val="0006536A"/>
    <w:rsid w:val="000659B6"/>
    <w:rsid w:val="00065BE9"/>
    <w:rsid w:val="00066146"/>
    <w:rsid w:val="00066570"/>
    <w:rsid w:val="0006686F"/>
    <w:rsid w:val="00067149"/>
    <w:rsid w:val="0006722A"/>
    <w:rsid w:val="000672E4"/>
    <w:rsid w:val="0006745D"/>
    <w:rsid w:val="000674A2"/>
    <w:rsid w:val="000679D7"/>
    <w:rsid w:val="00067A3C"/>
    <w:rsid w:val="00067B74"/>
    <w:rsid w:val="00067EB0"/>
    <w:rsid w:val="00070254"/>
    <w:rsid w:val="000702AB"/>
    <w:rsid w:val="0007066F"/>
    <w:rsid w:val="000708D9"/>
    <w:rsid w:val="00070DFA"/>
    <w:rsid w:val="00070E19"/>
    <w:rsid w:val="00071217"/>
    <w:rsid w:val="0007148B"/>
    <w:rsid w:val="00072844"/>
    <w:rsid w:val="000732CF"/>
    <w:rsid w:val="0007350D"/>
    <w:rsid w:val="00073DBD"/>
    <w:rsid w:val="00074CC5"/>
    <w:rsid w:val="000750E0"/>
    <w:rsid w:val="00075B96"/>
    <w:rsid w:val="00075C89"/>
    <w:rsid w:val="00075ED6"/>
    <w:rsid w:val="000766DD"/>
    <w:rsid w:val="00076AE0"/>
    <w:rsid w:val="00076F74"/>
    <w:rsid w:val="00077124"/>
    <w:rsid w:val="00077923"/>
    <w:rsid w:val="00077AA1"/>
    <w:rsid w:val="000804D3"/>
    <w:rsid w:val="0008095B"/>
    <w:rsid w:val="00080DAE"/>
    <w:rsid w:val="00081194"/>
    <w:rsid w:val="0008196A"/>
    <w:rsid w:val="00081A0C"/>
    <w:rsid w:val="0008280F"/>
    <w:rsid w:val="00082902"/>
    <w:rsid w:val="00082935"/>
    <w:rsid w:val="000829F2"/>
    <w:rsid w:val="00083055"/>
    <w:rsid w:val="00083717"/>
    <w:rsid w:val="000839D6"/>
    <w:rsid w:val="00083DCD"/>
    <w:rsid w:val="00084A4D"/>
    <w:rsid w:val="00084E22"/>
    <w:rsid w:val="00085355"/>
    <w:rsid w:val="000859DA"/>
    <w:rsid w:val="0008670A"/>
    <w:rsid w:val="00086B91"/>
    <w:rsid w:val="00086C69"/>
    <w:rsid w:val="00086CE6"/>
    <w:rsid w:val="00086F35"/>
    <w:rsid w:val="000870BB"/>
    <w:rsid w:val="000871BE"/>
    <w:rsid w:val="00087519"/>
    <w:rsid w:val="000878D3"/>
    <w:rsid w:val="00087E13"/>
    <w:rsid w:val="00087F6C"/>
    <w:rsid w:val="000909E0"/>
    <w:rsid w:val="00090C8F"/>
    <w:rsid w:val="00090ECA"/>
    <w:rsid w:val="00090F31"/>
    <w:rsid w:val="0009103F"/>
    <w:rsid w:val="00091563"/>
    <w:rsid w:val="000915ED"/>
    <w:rsid w:val="000917E9"/>
    <w:rsid w:val="00091CF6"/>
    <w:rsid w:val="00091D93"/>
    <w:rsid w:val="0009209D"/>
    <w:rsid w:val="000920FF"/>
    <w:rsid w:val="0009262E"/>
    <w:rsid w:val="00092B19"/>
    <w:rsid w:val="000930FA"/>
    <w:rsid w:val="0009356E"/>
    <w:rsid w:val="00093946"/>
    <w:rsid w:val="00093EBD"/>
    <w:rsid w:val="00093FAA"/>
    <w:rsid w:val="00094002"/>
    <w:rsid w:val="00094245"/>
    <w:rsid w:val="0009459C"/>
    <w:rsid w:val="0009463C"/>
    <w:rsid w:val="000947EA"/>
    <w:rsid w:val="00094D24"/>
    <w:rsid w:val="000952EE"/>
    <w:rsid w:val="000958C3"/>
    <w:rsid w:val="00095AD6"/>
    <w:rsid w:val="00095F31"/>
    <w:rsid w:val="000969BD"/>
    <w:rsid w:val="000969BF"/>
    <w:rsid w:val="000971D4"/>
    <w:rsid w:val="00097299"/>
    <w:rsid w:val="000972D3"/>
    <w:rsid w:val="00097746"/>
    <w:rsid w:val="000979B6"/>
    <w:rsid w:val="00097D43"/>
    <w:rsid w:val="000A0150"/>
    <w:rsid w:val="000A0346"/>
    <w:rsid w:val="000A0C22"/>
    <w:rsid w:val="000A1400"/>
    <w:rsid w:val="000A14D8"/>
    <w:rsid w:val="000A1E2B"/>
    <w:rsid w:val="000A2245"/>
    <w:rsid w:val="000A237D"/>
    <w:rsid w:val="000A24B5"/>
    <w:rsid w:val="000A24D2"/>
    <w:rsid w:val="000A26DE"/>
    <w:rsid w:val="000A2733"/>
    <w:rsid w:val="000A2740"/>
    <w:rsid w:val="000A3A43"/>
    <w:rsid w:val="000A3C43"/>
    <w:rsid w:val="000A3D5B"/>
    <w:rsid w:val="000A3F63"/>
    <w:rsid w:val="000A41AD"/>
    <w:rsid w:val="000A46BD"/>
    <w:rsid w:val="000A4A51"/>
    <w:rsid w:val="000A554F"/>
    <w:rsid w:val="000A5D2B"/>
    <w:rsid w:val="000A67C3"/>
    <w:rsid w:val="000A6915"/>
    <w:rsid w:val="000A707E"/>
    <w:rsid w:val="000A777C"/>
    <w:rsid w:val="000A785E"/>
    <w:rsid w:val="000A786E"/>
    <w:rsid w:val="000A7CA3"/>
    <w:rsid w:val="000A7EEC"/>
    <w:rsid w:val="000B01BD"/>
    <w:rsid w:val="000B043A"/>
    <w:rsid w:val="000B0596"/>
    <w:rsid w:val="000B0A08"/>
    <w:rsid w:val="000B0CD7"/>
    <w:rsid w:val="000B1233"/>
    <w:rsid w:val="000B1EC6"/>
    <w:rsid w:val="000B2819"/>
    <w:rsid w:val="000B2830"/>
    <w:rsid w:val="000B2B58"/>
    <w:rsid w:val="000B3D87"/>
    <w:rsid w:val="000B4140"/>
    <w:rsid w:val="000B4174"/>
    <w:rsid w:val="000B448F"/>
    <w:rsid w:val="000B4664"/>
    <w:rsid w:val="000B4868"/>
    <w:rsid w:val="000B4924"/>
    <w:rsid w:val="000B4993"/>
    <w:rsid w:val="000B49EA"/>
    <w:rsid w:val="000B4E7D"/>
    <w:rsid w:val="000B4F21"/>
    <w:rsid w:val="000B5257"/>
    <w:rsid w:val="000B527F"/>
    <w:rsid w:val="000B5735"/>
    <w:rsid w:val="000B5DE3"/>
    <w:rsid w:val="000B6037"/>
    <w:rsid w:val="000B74D3"/>
    <w:rsid w:val="000B761C"/>
    <w:rsid w:val="000B7F69"/>
    <w:rsid w:val="000C0A57"/>
    <w:rsid w:val="000C0E40"/>
    <w:rsid w:val="000C0E5F"/>
    <w:rsid w:val="000C0E9A"/>
    <w:rsid w:val="000C1593"/>
    <w:rsid w:val="000C15F3"/>
    <w:rsid w:val="000C1664"/>
    <w:rsid w:val="000C1E53"/>
    <w:rsid w:val="000C230C"/>
    <w:rsid w:val="000C233F"/>
    <w:rsid w:val="000C2599"/>
    <w:rsid w:val="000C2996"/>
    <w:rsid w:val="000C2B78"/>
    <w:rsid w:val="000C2D76"/>
    <w:rsid w:val="000C3078"/>
    <w:rsid w:val="000C3108"/>
    <w:rsid w:val="000C322C"/>
    <w:rsid w:val="000C3651"/>
    <w:rsid w:val="000C374C"/>
    <w:rsid w:val="000C3B77"/>
    <w:rsid w:val="000C3C85"/>
    <w:rsid w:val="000C4D71"/>
    <w:rsid w:val="000C5B62"/>
    <w:rsid w:val="000C6264"/>
    <w:rsid w:val="000C6390"/>
    <w:rsid w:val="000C63C9"/>
    <w:rsid w:val="000C6494"/>
    <w:rsid w:val="000C64F3"/>
    <w:rsid w:val="000C6588"/>
    <w:rsid w:val="000C671D"/>
    <w:rsid w:val="000C6808"/>
    <w:rsid w:val="000C6AB4"/>
    <w:rsid w:val="000C6B96"/>
    <w:rsid w:val="000C6BE9"/>
    <w:rsid w:val="000C6FF0"/>
    <w:rsid w:val="000C7175"/>
    <w:rsid w:val="000C753F"/>
    <w:rsid w:val="000C7974"/>
    <w:rsid w:val="000D0081"/>
    <w:rsid w:val="000D08E0"/>
    <w:rsid w:val="000D08FB"/>
    <w:rsid w:val="000D12CD"/>
    <w:rsid w:val="000D1836"/>
    <w:rsid w:val="000D1BA0"/>
    <w:rsid w:val="000D20EC"/>
    <w:rsid w:val="000D23C4"/>
    <w:rsid w:val="000D2828"/>
    <w:rsid w:val="000D285A"/>
    <w:rsid w:val="000D4C3A"/>
    <w:rsid w:val="000D5C48"/>
    <w:rsid w:val="000D5C65"/>
    <w:rsid w:val="000D6BE2"/>
    <w:rsid w:val="000D71D9"/>
    <w:rsid w:val="000D76E0"/>
    <w:rsid w:val="000D796E"/>
    <w:rsid w:val="000D7D83"/>
    <w:rsid w:val="000D7E8B"/>
    <w:rsid w:val="000D7FA3"/>
    <w:rsid w:val="000E02BA"/>
    <w:rsid w:val="000E0A64"/>
    <w:rsid w:val="000E10E5"/>
    <w:rsid w:val="000E1774"/>
    <w:rsid w:val="000E1FC6"/>
    <w:rsid w:val="000E2B4B"/>
    <w:rsid w:val="000E341F"/>
    <w:rsid w:val="000E36D8"/>
    <w:rsid w:val="000E3768"/>
    <w:rsid w:val="000E3E2D"/>
    <w:rsid w:val="000E41B6"/>
    <w:rsid w:val="000E42CF"/>
    <w:rsid w:val="000E4449"/>
    <w:rsid w:val="000E47E3"/>
    <w:rsid w:val="000E4863"/>
    <w:rsid w:val="000E514A"/>
    <w:rsid w:val="000E58D6"/>
    <w:rsid w:val="000E6097"/>
    <w:rsid w:val="000E67A3"/>
    <w:rsid w:val="000E7E85"/>
    <w:rsid w:val="000E7F6A"/>
    <w:rsid w:val="000F00C3"/>
    <w:rsid w:val="000F0151"/>
    <w:rsid w:val="000F01A7"/>
    <w:rsid w:val="000F03D5"/>
    <w:rsid w:val="000F051F"/>
    <w:rsid w:val="000F053C"/>
    <w:rsid w:val="000F096E"/>
    <w:rsid w:val="000F0BF1"/>
    <w:rsid w:val="000F0EF8"/>
    <w:rsid w:val="000F1069"/>
    <w:rsid w:val="000F1588"/>
    <w:rsid w:val="000F1D9F"/>
    <w:rsid w:val="000F23BA"/>
    <w:rsid w:val="000F2675"/>
    <w:rsid w:val="000F275F"/>
    <w:rsid w:val="000F29B1"/>
    <w:rsid w:val="000F309E"/>
    <w:rsid w:val="000F354F"/>
    <w:rsid w:val="000F373C"/>
    <w:rsid w:val="000F3795"/>
    <w:rsid w:val="000F39D8"/>
    <w:rsid w:val="000F40B0"/>
    <w:rsid w:val="000F48ED"/>
    <w:rsid w:val="000F4D00"/>
    <w:rsid w:val="000F54CC"/>
    <w:rsid w:val="000F593B"/>
    <w:rsid w:val="000F5D9C"/>
    <w:rsid w:val="000F5E6D"/>
    <w:rsid w:val="000F6031"/>
    <w:rsid w:val="000F6256"/>
    <w:rsid w:val="000F699D"/>
    <w:rsid w:val="000F6FD9"/>
    <w:rsid w:val="000F7105"/>
    <w:rsid w:val="000F7498"/>
    <w:rsid w:val="000F7ED8"/>
    <w:rsid w:val="001000DB"/>
    <w:rsid w:val="00100F09"/>
    <w:rsid w:val="00101033"/>
    <w:rsid w:val="001012F7"/>
    <w:rsid w:val="00101930"/>
    <w:rsid w:val="00102377"/>
    <w:rsid w:val="0010261B"/>
    <w:rsid w:val="00103829"/>
    <w:rsid w:val="0010388E"/>
    <w:rsid w:val="00103F08"/>
    <w:rsid w:val="0010414A"/>
    <w:rsid w:val="00104194"/>
    <w:rsid w:val="0010425D"/>
    <w:rsid w:val="001043F1"/>
    <w:rsid w:val="001048E2"/>
    <w:rsid w:val="00104CA0"/>
    <w:rsid w:val="0010525E"/>
    <w:rsid w:val="00105576"/>
    <w:rsid w:val="001058AF"/>
    <w:rsid w:val="00105B3B"/>
    <w:rsid w:val="00105CE2"/>
    <w:rsid w:val="00106557"/>
    <w:rsid w:val="001067CE"/>
    <w:rsid w:val="00106800"/>
    <w:rsid w:val="0010752E"/>
    <w:rsid w:val="00107642"/>
    <w:rsid w:val="00107EC7"/>
    <w:rsid w:val="001100CF"/>
    <w:rsid w:val="00110183"/>
    <w:rsid w:val="001101F2"/>
    <w:rsid w:val="00110275"/>
    <w:rsid w:val="001104C3"/>
    <w:rsid w:val="001107EB"/>
    <w:rsid w:val="00110C2A"/>
    <w:rsid w:val="00110E2C"/>
    <w:rsid w:val="001117C4"/>
    <w:rsid w:val="00111BCF"/>
    <w:rsid w:val="00111FCE"/>
    <w:rsid w:val="00112A9B"/>
    <w:rsid w:val="00112A9E"/>
    <w:rsid w:val="00113212"/>
    <w:rsid w:val="0011349E"/>
    <w:rsid w:val="0011405F"/>
    <w:rsid w:val="0011617C"/>
    <w:rsid w:val="00116215"/>
    <w:rsid w:val="00116BBA"/>
    <w:rsid w:val="001174F9"/>
    <w:rsid w:val="00117556"/>
    <w:rsid w:val="00117667"/>
    <w:rsid w:val="00117F40"/>
    <w:rsid w:val="001201DD"/>
    <w:rsid w:val="001203D8"/>
    <w:rsid w:val="00120692"/>
    <w:rsid w:val="00120FA5"/>
    <w:rsid w:val="001217DC"/>
    <w:rsid w:val="00121D76"/>
    <w:rsid w:val="001225DF"/>
    <w:rsid w:val="001227B1"/>
    <w:rsid w:val="001229A5"/>
    <w:rsid w:val="00122E8F"/>
    <w:rsid w:val="001233C6"/>
    <w:rsid w:val="001233DD"/>
    <w:rsid w:val="001236E7"/>
    <w:rsid w:val="00123CD3"/>
    <w:rsid w:val="00123D1C"/>
    <w:rsid w:val="00123ED2"/>
    <w:rsid w:val="0012489B"/>
    <w:rsid w:val="00124CFA"/>
    <w:rsid w:val="00125668"/>
    <w:rsid w:val="00125AD6"/>
    <w:rsid w:val="00125C29"/>
    <w:rsid w:val="00125EA0"/>
    <w:rsid w:val="00127081"/>
    <w:rsid w:val="0012746C"/>
    <w:rsid w:val="00127682"/>
    <w:rsid w:val="00127C1D"/>
    <w:rsid w:val="00127CBE"/>
    <w:rsid w:val="00127EF4"/>
    <w:rsid w:val="00130017"/>
    <w:rsid w:val="001300CE"/>
    <w:rsid w:val="001303A3"/>
    <w:rsid w:val="00130F91"/>
    <w:rsid w:val="001311FB"/>
    <w:rsid w:val="001314E4"/>
    <w:rsid w:val="001316F0"/>
    <w:rsid w:val="001320F0"/>
    <w:rsid w:val="00132B11"/>
    <w:rsid w:val="00132E4A"/>
    <w:rsid w:val="00133321"/>
    <w:rsid w:val="00134686"/>
    <w:rsid w:val="001349ED"/>
    <w:rsid w:val="00134D1F"/>
    <w:rsid w:val="0013543A"/>
    <w:rsid w:val="001357D5"/>
    <w:rsid w:val="00135BAC"/>
    <w:rsid w:val="00135E77"/>
    <w:rsid w:val="001366D0"/>
    <w:rsid w:val="00136856"/>
    <w:rsid w:val="00136B3E"/>
    <w:rsid w:val="00136BD9"/>
    <w:rsid w:val="0013733D"/>
    <w:rsid w:val="0013740E"/>
    <w:rsid w:val="00137424"/>
    <w:rsid w:val="001377C6"/>
    <w:rsid w:val="00137BDF"/>
    <w:rsid w:val="00137C79"/>
    <w:rsid w:val="00140318"/>
    <w:rsid w:val="00140483"/>
    <w:rsid w:val="001405E0"/>
    <w:rsid w:val="00140CAC"/>
    <w:rsid w:val="00140DC9"/>
    <w:rsid w:val="00140DF1"/>
    <w:rsid w:val="00141877"/>
    <w:rsid w:val="00141AD9"/>
    <w:rsid w:val="00141B08"/>
    <w:rsid w:val="00141DFB"/>
    <w:rsid w:val="00142A6A"/>
    <w:rsid w:val="00142C88"/>
    <w:rsid w:val="00142FFA"/>
    <w:rsid w:val="00143052"/>
    <w:rsid w:val="00143359"/>
    <w:rsid w:val="001436E4"/>
    <w:rsid w:val="00144115"/>
    <w:rsid w:val="00144897"/>
    <w:rsid w:val="00144BA0"/>
    <w:rsid w:val="0014507B"/>
    <w:rsid w:val="0014519B"/>
    <w:rsid w:val="001451DC"/>
    <w:rsid w:val="0014589F"/>
    <w:rsid w:val="00145C28"/>
    <w:rsid w:val="001460ED"/>
    <w:rsid w:val="00146B8F"/>
    <w:rsid w:val="00146CE6"/>
    <w:rsid w:val="00146E11"/>
    <w:rsid w:val="001471D6"/>
    <w:rsid w:val="00147643"/>
    <w:rsid w:val="001476FD"/>
    <w:rsid w:val="00147875"/>
    <w:rsid w:val="001503AA"/>
    <w:rsid w:val="00150EBC"/>
    <w:rsid w:val="001514AF"/>
    <w:rsid w:val="00152903"/>
    <w:rsid w:val="00152BA6"/>
    <w:rsid w:val="00152BC6"/>
    <w:rsid w:val="00152C96"/>
    <w:rsid w:val="00153233"/>
    <w:rsid w:val="001535B3"/>
    <w:rsid w:val="00153DBB"/>
    <w:rsid w:val="00153F2A"/>
    <w:rsid w:val="00153F34"/>
    <w:rsid w:val="00153FD5"/>
    <w:rsid w:val="00154175"/>
    <w:rsid w:val="00154BDA"/>
    <w:rsid w:val="00154F4E"/>
    <w:rsid w:val="00154FB9"/>
    <w:rsid w:val="00155301"/>
    <w:rsid w:val="00155774"/>
    <w:rsid w:val="00155D55"/>
    <w:rsid w:val="0015614F"/>
    <w:rsid w:val="00156542"/>
    <w:rsid w:val="00156AD4"/>
    <w:rsid w:val="00156EE5"/>
    <w:rsid w:val="00156F8D"/>
    <w:rsid w:val="00156FDB"/>
    <w:rsid w:val="0015706C"/>
    <w:rsid w:val="0015723B"/>
    <w:rsid w:val="001575A3"/>
    <w:rsid w:val="001577C2"/>
    <w:rsid w:val="00160573"/>
    <w:rsid w:val="00160890"/>
    <w:rsid w:val="00160C1E"/>
    <w:rsid w:val="00160C53"/>
    <w:rsid w:val="001617B1"/>
    <w:rsid w:val="001617FB"/>
    <w:rsid w:val="001619E0"/>
    <w:rsid w:val="00161E60"/>
    <w:rsid w:val="001629A5"/>
    <w:rsid w:val="00162E69"/>
    <w:rsid w:val="00163056"/>
    <w:rsid w:val="001633C4"/>
    <w:rsid w:val="001635DC"/>
    <w:rsid w:val="00163AC1"/>
    <w:rsid w:val="00163BC8"/>
    <w:rsid w:val="00163CD0"/>
    <w:rsid w:val="00163F05"/>
    <w:rsid w:val="001641F8"/>
    <w:rsid w:val="001643FB"/>
    <w:rsid w:val="00164508"/>
    <w:rsid w:val="00164C07"/>
    <w:rsid w:val="001653C4"/>
    <w:rsid w:val="001654EA"/>
    <w:rsid w:val="00165A31"/>
    <w:rsid w:val="001660CB"/>
    <w:rsid w:val="0016677C"/>
    <w:rsid w:val="00166D56"/>
    <w:rsid w:val="001675B7"/>
    <w:rsid w:val="0016763E"/>
    <w:rsid w:val="001704D5"/>
    <w:rsid w:val="001707C4"/>
    <w:rsid w:val="00171591"/>
    <w:rsid w:val="00171652"/>
    <w:rsid w:val="001716EE"/>
    <w:rsid w:val="00171FB4"/>
    <w:rsid w:val="00171FDB"/>
    <w:rsid w:val="00172C7F"/>
    <w:rsid w:val="00173310"/>
    <w:rsid w:val="00173530"/>
    <w:rsid w:val="00173981"/>
    <w:rsid w:val="00173B33"/>
    <w:rsid w:val="00173B72"/>
    <w:rsid w:val="00173CD5"/>
    <w:rsid w:val="00173DA1"/>
    <w:rsid w:val="0017474D"/>
    <w:rsid w:val="00174DA8"/>
    <w:rsid w:val="001750C0"/>
    <w:rsid w:val="001755B7"/>
    <w:rsid w:val="001757FD"/>
    <w:rsid w:val="00175AAD"/>
    <w:rsid w:val="00175FB8"/>
    <w:rsid w:val="0017667B"/>
    <w:rsid w:val="00176967"/>
    <w:rsid w:val="00176A8A"/>
    <w:rsid w:val="00176AD5"/>
    <w:rsid w:val="0017719D"/>
    <w:rsid w:val="00177F4D"/>
    <w:rsid w:val="001800D1"/>
    <w:rsid w:val="00182288"/>
    <w:rsid w:val="00182391"/>
    <w:rsid w:val="001824D3"/>
    <w:rsid w:val="001825F3"/>
    <w:rsid w:val="00182D2E"/>
    <w:rsid w:val="00182F1E"/>
    <w:rsid w:val="001831EE"/>
    <w:rsid w:val="00183211"/>
    <w:rsid w:val="00183FD7"/>
    <w:rsid w:val="00183FDD"/>
    <w:rsid w:val="00185095"/>
    <w:rsid w:val="00185111"/>
    <w:rsid w:val="00185C07"/>
    <w:rsid w:val="00185C12"/>
    <w:rsid w:val="00185CAB"/>
    <w:rsid w:val="00185E39"/>
    <w:rsid w:val="001860A5"/>
    <w:rsid w:val="00186B9E"/>
    <w:rsid w:val="001875B7"/>
    <w:rsid w:val="001875E0"/>
    <w:rsid w:val="001876CC"/>
    <w:rsid w:val="00187B37"/>
    <w:rsid w:val="00187CB3"/>
    <w:rsid w:val="00187FAC"/>
    <w:rsid w:val="00190389"/>
    <w:rsid w:val="0019050A"/>
    <w:rsid w:val="001910D4"/>
    <w:rsid w:val="00191C14"/>
    <w:rsid w:val="00191D23"/>
    <w:rsid w:val="00191FFB"/>
    <w:rsid w:val="001924CA"/>
    <w:rsid w:val="00193446"/>
    <w:rsid w:val="001937BC"/>
    <w:rsid w:val="001939F0"/>
    <w:rsid w:val="00193A84"/>
    <w:rsid w:val="00193B5C"/>
    <w:rsid w:val="0019449F"/>
    <w:rsid w:val="001946A5"/>
    <w:rsid w:val="00194C3B"/>
    <w:rsid w:val="001955F3"/>
    <w:rsid w:val="00195795"/>
    <w:rsid w:val="00195A18"/>
    <w:rsid w:val="00195E8C"/>
    <w:rsid w:val="00196674"/>
    <w:rsid w:val="0019747C"/>
    <w:rsid w:val="001976E3"/>
    <w:rsid w:val="0019798A"/>
    <w:rsid w:val="00197FEF"/>
    <w:rsid w:val="001A0089"/>
    <w:rsid w:val="001A075B"/>
    <w:rsid w:val="001A0D25"/>
    <w:rsid w:val="001A0F1B"/>
    <w:rsid w:val="001A1412"/>
    <w:rsid w:val="001A14AF"/>
    <w:rsid w:val="001A1C22"/>
    <w:rsid w:val="001A1D9C"/>
    <w:rsid w:val="001A2F4E"/>
    <w:rsid w:val="001A316C"/>
    <w:rsid w:val="001A33C3"/>
    <w:rsid w:val="001A37D9"/>
    <w:rsid w:val="001A42EC"/>
    <w:rsid w:val="001A44EA"/>
    <w:rsid w:val="001A44EC"/>
    <w:rsid w:val="001A47C9"/>
    <w:rsid w:val="001A5121"/>
    <w:rsid w:val="001A55AE"/>
    <w:rsid w:val="001A5BF8"/>
    <w:rsid w:val="001A65D3"/>
    <w:rsid w:val="001A673D"/>
    <w:rsid w:val="001A69C6"/>
    <w:rsid w:val="001A6D10"/>
    <w:rsid w:val="001A7DFF"/>
    <w:rsid w:val="001B0623"/>
    <w:rsid w:val="001B08C6"/>
    <w:rsid w:val="001B0AE8"/>
    <w:rsid w:val="001B111F"/>
    <w:rsid w:val="001B12C3"/>
    <w:rsid w:val="001B1700"/>
    <w:rsid w:val="001B2E73"/>
    <w:rsid w:val="001B30EB"/>
    <w:rsid w:val="001B32D2"/>
    <w:rsid w:val="001B383B"/>
    <w:rsid w:val="001B4128"/>
    <w:rsid w:val="001B4311"/>
    <w:rsid w:val="001B454E"/>
    <w:rsid w:val="001B4550"/>
    <w:rsid w:val="001B4820"/>
    <w:rsid w:val="001B495F"/>
    <w:rsid w:val="001B4D62"/>
    <w:rsid w:val="001B58AA"/>
    <w:rsid w:val="001B6437"/>
    <w:rsid w:val="001B6D48"/>
    <w:rsid w:val="001B6E19"/>
    <w:rsid w:val="001B7132"/>
    <w:rsid w:val="001B73CA"/>
    <w:rsid w:val="001B7E48"/>
    <w:rsid w:val="001C00BA"/>
    <w:rsid w:val="001C036F"/>
    <w:rsid w:val="001C0A88"/>
    <w:rsid w:val="001C17CE"/>
    <w:rsid w:val="001C1828"/>
    <w:rsid w:val="001C1A69"/>
    <w:rsid w:val="001C26D1"/>
    <w:rsid w:val="001C283B"/>
    <w:rsid w:val="001C2876"/>
    <w:rsid w:val="001C29F4"/>
    <w:rsid w:val="001C337F"/>
    <w:rsid w:val="001C34C5"/>
    <w:rsid w:val="001C36CA"/>
    <w:rsid w:val="001C38F9"/>
    <w:rsid w:val="001C4378"/>
    <w:rsid w:val="001C44D1"/>
    <w:rsid w:val="001C4AB3"/>
    <w:rsid w:val="001C4BC0"/>
    <w:rsid w:val="001C53B8"/>
    <w:rsid w:val="001C5969"/>
    <w:rsid w:val="001C62BD"/>
    <w:rsid w:val="001C66B7"/>
    <w:rsid w:val="001C6AEE"/>
    <w:rsid w:val="001C7365"/>
    <w:rsid w:val="001C7630"/>
    <w:rsid w:val="001C7A49"/>
    <w:rsid w:val="001C7CD0"/>
    <w:rsid w:val="001D00DA"/>
    <w:rsid w:val="001D07AC"/>
    <w:rsid w:val="001D149B"/>
    <w:rsid w:val="001D1CA0"/>
    <w:rsid w:val="001D1D5B"/>
    <w:rsid w:val="001D24F2"/>
    <w:rsid w:val="001D2E37"/>
    <w:rsid w:val="001D3525"/>
    <w:rsid w:val="001D354C"/>
    <w:rsid w:val="001D3570"/>
    <w:rsid w:val="001D378B"/>
    <w:rsid w:val="001D3C08"/>
    <w:rsid w:val="001D4230"/>
    <w:rsid w:val="001D43E0"/>
    <w:rsid w:val="001D4428"/>
    <w:rsid w:val="001D4C81"/>
    <w:rsid w:val="001D4DC3"/>
    <w:rsid w:val="001D536A"/>
    <w:rsid w:val="001D5523"/>
    <w:rsid w:val="001D581B"/>
    <w:rsid w:val="001D5A05"/>
    <w:rsid w:val="001D5AC3"/>
    <w:rsid w:val="001D5B7C"/>
    <w:rsid w:val="001D607E"/>
    <w:rsid w:val="001D60D5"/>
    <w:rsid w:val="001D624D"/>
    <w:rsid w:val="001D626C"/>
    <w:rsid w:val="001D6D15"/>
    <w:rsid w:val="001D7D6B"/>
    <w:rsid w:val="001D7F89"/>
    <w:rsid w:val="001E08F2"/>
    <w:rsid w:val="001E0F7E"/>
    <w:rsid w:val="001E22C9"/>
    <w:rsid w:val="001E25BF"/>
    <w:rsid w:val="001E2A3D"/>
    <w:rsid w:val="001E2D24"/>
    <w:rsid w:val="001E3560"/>
    <w:rsid w:val="001E3984"/>
    <w:rsid w:val="001E3E1D"/>
    <w:rsid w:val="001E3EBF"/>
    <w:rsid w:val="001E4D09"/>
    <w:rsid w:val="001E53A7"/>
    <w:rsid w:val="001E5BC1"/>
    <w:rsid w:val="001E5DCE"/>
    <w:rsid w:val="001E6874"/>
    <w:rsid w:val="001E6FC0"/>
    <w:rsid w:val="001F035A"/>
    <w:rsid w:val="001F03FB"/>
    <w:rsid w:val="001F0739"/>
    <w:rsid w:val="001F0835"/>
    <w:rsid w:val="001F0AFC"/>
    <w:rsid w:val="001F168D"/>
    <w:rsid w:val="001F1ADA"/>
    <w:rsid w:val="001F3E97"/>
    <w:rsid w:val="001F4354"/>
    <w:rsid w:val="001F447D"/>
    <w:rsid w:val="001F4654"/>
    <w:rsid w:val="001F46CA"/>
    <w:rsid w:val="001F46D7"/>
    <w:rsid w:val="001F4B6C"/>
    <w:rsid w:val="001F4D08"/>
    <w:rsid w:val="001F504D"/>
    <w:rsid w:val="001F50F7"/>
    <w:rsid w:val="001F516C"/>
    <w:rsid w:val="001F548B"/>
    <w:rsid w:val="001F56F1"/>
    <w:rsid w:val="001F5EFD"/>
    <w:rsid w:val="001F5F00"/>
    <w:rsid w:val="001F6252"/>
    <w:rsid w:val="001F6462"/>
    <w:rsid w:val="001F64DC"/>
    <w:rsid w:val="001F6FF2"/>
    <w:rsid w:val="001F702D"/>
    <w:rsid w:val="001F72CB"/>
    <w:rsid w:val="001F7558"/>
    <w:rsid w:val="001F7724"/>
    <w:rsid w:val="001F7E0E"/>
    <w:rsid w:val="002009BC"/>
    <w:rsid w:val="002015AB"/>
    <w:rsid w:val="00201CE3"/>
    <w:rsid w:val="00201EE2"/>
    <w:rsid w:val="0020230C"/>
    <w:rsid w:val="00202D76"/>
    <w:rsid w:val="002031C9"/>
    <w:rsid w:val="00203401"/>
    <w:rsid w:val="00203D09"/>
    <w:rsid w:val="00204F55"/>
    <w:rsid w:val="00204F62"/>
    <w:rsid w:val="00205358"/>
    <w:rsid w:val="0020573F"/>
    <w:rsid w:val="00205B57"/>
    <w:rsid w:val="00206002"/>
    <w:rsid w:val="00206A8D"/>
    <w:rsid w:val="00207002"/>
    <w:rsid w:val="00207596"/>
    <w:rsid w:val="00207692"/>
    <w:rsid w:val="0021014A"/>
    <w:rsid w:val="002101DB"/>
    <w:rsid w:val="00210267"/>
    <w:rsid w:val="00210310"/>
    <w:rsid w:val="00210520"/>
    <w:rsid w:val="00210FDB"/>
    <w:rsid w:val="0021104B"/>
    <w:rsid w:val="00211137"/>
    <w:rsid w:val="002111C4"/>
    <w:rsid w:val="002111D7"/>
    <w:rsid w:val="00211768"/>
    <w:rsid w:val="00211E6A"/>
    <w:rsid w:val="00212010"/>
    <w:rsid w:val="002122BD"/>
    <w:rsid w:val="0021426C"/>
    <w:rsid w:val="002143F4"/>
    <w:rsid w:val="00214465"/>
    <w:rsid w:val="002144CF"/>
    <w:rsid w:val="002147D2"/>
    <w:rsid w:val="00215097"/>
    <w:rsid w:val="0021513D"/>
    <w:rsid w:val="002157E0"/>
    <w:rsid w:val="00215A67"/>
    <w:rsid w:val="00215C00"/>
    <w:rsid w:val="00215D95"/>
    <w:rsid w:val="002164A1"/>
    <w:rsid w:val="0021658D"/>
    <w:rsid w:val="002167FB"/>
    <w:rsid w:val="0021686D"/>
    <w:rsid w:val="00216958"/>
    <w:rsid w:val="00216A57"/>
    <w:rsid w:val="00216B86"/>
    <w:rsid w:val="00216F39"/>
    <w:rsid w:val="002170D6"/>
    <w:rsid w:val="002170E5"/>
    <w:rsid w:val="00217233"/>
    <w:rsid w:val="00217248"/>
    <w:rsid w:val="002172D7"/>
    <w:rsid w:val="00217448"/>
    <w:rsid w:val="0021765C"/>
    <w:rsid w:val="00217D31"/>
    <w:rsid w:val="00217FF5"/>
    <w:rsid w:val="0022079A"/>
    <w:rsid w:val="002207A0"/>
    <w:rsid w:val="002208E8"/>
    <w:rsid w:val="0022138E"/>
    <w:rsid w:val="0022144B"/>
    <w:rsid w:val="00221694"/>
    <w:rsid w:val="00221F78"/>
    <w:rsid w:val="00221FE8"/>
    <w:rsid w:val="002222B6"/>
    <w:rsid w:val="002224B2"/>
    <w:rsid w:val="00222529"/>
    <w:rsid w:val="00222ADD"/>
    <w:rsid w:val="00222AE9"/>
    <w:rsid w:val="00222CFD"/>
    <w:rsid w:val="00222DBA"/>
    <w:rsid w:val="0022334F"/>
    <w:rsid w:val="002238D4"/>
    <w:rsid w:val="00223A17"/>
    <w:rsid w:val="00223B4B"/>
    <w:rsid w:val="00223DEF"/>
    <w:rsid w:val="00224677"/>
    <w:rsid w:val="00225179"/>
    <w:rsid w:val="0022570F"/>
    <w:rsid w:val="002258B6"/>
    <w:rsid w:val="00226161"/>
    <w:rsid w:val="00226819"/>
    <w:rsid w:val="00226E23"/>
    <w:rsid w:val="002277E9"/>
    <w:rsid w:val="00230ED4"/>
    <w:rsid w:val="00231900"/>
    <w:rsid w:val="00232314"/>
    <w:rsid w:val="00233101"/>
    <w:rsid w:val="00233817"/>
    <w:rsid w:val="00233C0A"/>
    <w:rsid w:val="00233CD5"/>
    <w:rsid w:val="002345C6"/>
    <w:rsid w:val="0023469E"/>
    <w:rsid w:val="002349DA"/>
    <w:rsid w:val="0023539A"/>
    <w:rsid w:val="002358EE"/>
    <w:rsid w:val="00235C09"/>
    <w:rsid w:val="00235FC5"/>
    <w:rsid w:val="002366F5"/>
    <w:rsid w:val="002367FF"/>
    <w:rsid w:val="00236D7C"/>
    <w:rsid w:val="00236E6E"/>
    <w:rsid w:val="002371A3"/>
    <w:rsid w:val="002401F9"/>
    <w:rsid w:val="00240333"/>
    <w:rsid w:val="002405FD"/>
    <w:rsid w:val="00240867"/>
    <w:rsid w:val="00240CE9"/>
    <w:rsid w:val="002418FB"/>
    <w:rsid w:val="00242A64"/>
    <w:rsid w:val="00242EC2"/>
    <w:rsid w:val="00242ED8"/>
    <w:rsid w:val="002434BA"/>
    <w:rsid w:val="002436C1"/>
    <w:rsid w:val="00243A09"/>
    <w:rsid w:val="00243E11"/>
    <w:rsid w:val="00243F85"/>
    <w:rsid w:val="002455E4"/>
    <w:rsid w:val="00246089"/>
    <w:rsid w:val="00246093"/>
    <w:rsid w:val="00246702"/>
    <w:rsid w:val="00246789"/>
    <w:rsid w:val="002474DD"/>
    <w:rsid w:val="00247C59"/>
    <w:rsid w:val="00247F2E"/>
    <w:rsid w:val="0025001D"/>
    <w:rsid w:val="00250ADC"/>
    <w:rsid w:val="00250B07"/>
    <w:rsid w:val="00251211"/>
    <w:rsid w:val="00251CCD"/>
    <w:rsid w:val="00251D30"/>
    <w:rsid w:val="00251E48"/>
    <w:rsid w:val="00251E5A"/>
    <w:rsid w:val="00251F91"/>
    <w:rsid w:val="00252292"/>
    <w:rsid w:val="00252673"/>
    <w:rsid w:val="002532F6"/>
    <w:rsid w:val="00253330"/>
    <w:rsid w:val="00253B62"/>
    <w:rsid w:val="00253C6C"/>
    <w:rsid w:val="002543E2"/>
    <w:rsid w:val="00254641"/>
    <w:rsid w:val="00254F32"/>
    <w:rsid w:val="0025533A"/>
    <w:rsid w:val="00255645"/>
    <w:rsid w:val="0025570A"/>
    <w:rsid w:val="0025589A"/>
    <w:rsid w:val="002558BE"/>
    <w:rsid w:val="00255F81"/>
    <w:rsid w:val="00256526"/>
    <w:rsid w:val="00256578"/>
    <w:rsid w:val="00256855"/>
    <w:rsid w:val="002569D8"/>
    <w:rsid w:val="00256A0F"/>
    <w:rsid w:val="00257470"/>
    <w:rsid w:val="00257553"/>
    <w:rsid w:val="00260FB2"/>
    <w:rsid w:val="002616DC"/>
    <w:rsid w:val="00262128"/>
    <w:rsid w:val="002622A4"/>
    <w:rsid w:val="00262422"/>
    <w:rsid w:val="002625B6"/>
    <w:rsid w:val="00262CEE"/>
    <w:rsid w:val="00263640"/>
    <w:rsid w:val="00263672"/>
    <w:rsid w:val="00263DFB"/>
    <w:rsid w:val="00263F21"/>
    <w:rsid w:val="00264A67"/>
    <w:rsid w:val="002650B6"/>
    <w:rsid w:val="002650D5"/>
    <w:rsid w:val="00265198"/>
    <w:rsid w:val="002654AF"/>
    <w:rsid w:val="0026670F"/>
    <w:rsid w:val="0026699D"/>
    <w:rsid w:val="0026779D"/>
    <w:rsid w:val="00267C4E"/>
    <w:rsid w:val="00267F68"/>
    <w:rsid w:val="0027035C"/>
    <w:rsid w:val="002706BD"/>
    <w:rsid w:val="002708D3"/>
    <w:rsid w:val="002709C8"/>
    <w:rsid w:val="002709FB"/>
    <w:rsid w:val="00270F75"/>
    <w:rsid w:val="00271269"/>
    <w:rsid w:val="0027140C"/>
    <w:rsid w:val="0027165D"/>
    <w:rsid w:val="00271905"/>
    <w:rsid w:val="00271A13"/>
    <w:rsid w:val="00272761"/>
    <w:rsid w:val="002728F9"/>
    <w:rsid w:val="00272D5D"/>
    <w:rsid w:val="00273329"/>
    <w:rsid w:val="00273CEB"/>
    <w:rsid w:val="00273DC4"/>
    <w:rsid w:val="00273F80"/>
    <w:rsid w:val="00274364"/>
    <w:rsid w:val="002743F2"/>
    <w:rsid w:val="0027449A"/>
    <w:rsid w:val="00274C3B"/>
    <w:rsid w:val="00274E56"/>
    <w:rsid w:val="002752AB"/>
    <w:rsid w:val="00275330"/>
    <w:rsid w:val="002753F1"/>
    <w:rsid w:val="002759F5"/>
    <w:rsid w:val="00276D5A"/>
    <w:rsid w:val="00280976"/>
    <w:rsid w:val="0028127D"/>
    <w:rsid w:val="00281383"/>
    <w:rsid w:val="00281AB9"/>
    <w:rsid w:val="00281AD7"/>
    <w:rsid w:val="00281C89"/>
    <w:rsid w:val="00282558"/>
    <w:rsid w:val="0028282F"/>
    <w:rsid w:val="00282D25"/>
    <w:rsid w:val="00282DF0"/>
    <w:rsid w:val="00282E23"/>
    <w:rsid w:val="00283C41"/>
    <w:rsid w:val="00284C61"/>
    <w:rsid w:val="00284E32"/>
    <w:rsid w:val="00284EA4"/>
    <w:rsid w:val="002851AF"/>
    <w:rsid w:val="00285487"/>
    <w:rsid w:val="00285CCA"/>
    <w:rsid w:val="00285F86"/>
    <w:rsid w:val="0028652D"/>
    <w:rsid w:val="00286609"/>
    <w:rsid w:val="00286CB6"/>
    <w:rsid w:val="00287080"/>
    <w:rsid w:val="00287715"/>
    <w:rsid w:val="00287810"/>
    <w:rsid w:val="00287835"/>
    <w:rsid w:val="00287F4C"/>
    <w:rsid w:val="00290009"/>
    <w:rsid w:val="002900C9"/>
    <w:rsid w:val="0029038C"/>
    <w:rsid w:val="002906F3"/>
    <w:rsid w:val="00290B97"/>
    <w:rsid w:val="00292181"/>
    <w:rsid w:val="00292376"/>
    <w:rsid w:val="002929C3"/>
    <w:rsid w:val="00292D87"/>
    <w:rsid w:val="00292FC1"/>
    <w:rsid w:val="00293DF5"/>
    <w:rsid w:val="00294211"/>
    <w:rsid w:val="0029445D"/>
    <w:rsid w:val="002944C5"/>
    <w:rsid w:val="0029463C"/>
    <w:rsid w:val="00294C19"/>
    <w:rsid w:val="00294CAD"/>
    <w:rsid w:val="002954B3"/>
    <w:rsid w:val="0029593B"/>
    <w:rsid w:val="00295B2D"/>
    <w:rsid w:val="00295E3B"/>
    <w:rsid w:val="002965D2"/>
    <w:rsid w:val="00296756"/>
    <w:rsid w:val="00296A98"/>
    <w:rsid w:val="00296BC6"/>
    <w:rsid w:val="00297160"/>
    <w:rsid w:val="0029721D"/>
    <w:rsid w:val="00297AF7"/>
    <w:rsid w:val="00297C9A"/>
    <w:rsid w:val="00297D42"/>
    <w:rsid w:val="00297EB9"/>
    <w:rsid w:val="00297FC5"/>
    <w:rsid w:val="002A0417"/>
    <w:rsid w:val="002A056E"/>
    <w:rsid w:val="002A0741"/>
    <w:rsid w:val="002A08F0"/>
    <w:rsid w:val="002A0A93"/>
    <w:rsid w:val="002A0D3D"/>
    <w:rsid w:val="002A16D8"/>
    <w:rsid w:val="002A1877"/>
    <w:rsid w:val="002A1BC8"/>
    <w:rsid w:val="002A2771"/>
    <w:rsid w:val="002A35AB"/>
    <w:rsid w:val="002A3E44"/>
    <w:rsid w:val="002A3EF2"/>
    <w:rsid w:val="002A4101"/>
    <w:rsid w:val="002A471D"/>
    <w:rsid w:val="002A4761"/>
    <w:rsid w:val="002A4912"/>
    <w:rsid w:val="002A4DD5"/>
    <w:rsid w:val="002A5B00"/>
    <w:rsid w:val="002A5D9E"/>
    <w:rsid w:val="002A611B"/>
    <w:rsid w:val="002A64A2"/>
    <w:rsid w:val="002A694E"/>
    <w:rsid w:val="002A6AB6"/>
    <w:rsid w:val="002A6F30"/>
    <w:rsid w:val="002A6F92"/>
    <w:rsid w:val="002A73F0"/>
    <w:rsid w:val="002A75FF"/>
    <w:rsid w:val="002A7926"/>
    <w:rsid w:val="002A7980"/>
    <w:rsid w:val="002A7E56"/>
    <w:rsid w:val="002B0AD5"/>
    <w:rsid w:val="002B0DED"/>
    <w:rsid w:val="002B0E55"/>
    <w:rsid w:val="002B1601"/>
    <w:rsid w:val="002B18EA"/>
    <w:rsid w:val="002B19A2"/>
    <w:rsid w:val="002B2544"/>
    <w:rsid w:val="002B28F0"/>
    <w:rsid w:val="002B32C3"/>
    <w:rsid w:val="002B34CB"/>
    <w:rsid w:val="002B355E"/>
    <w:rsid w:val="002B381A"/>
    <w:rsid w:val="002B3882"/>
    <w:rsid w:val="002B3EFC"/>
    <w:rsid w:val="002B4230"/>
    <w:rsid w:val="002B44A5"/>
    <w:rsid w:val="002B465F"/>
    <w:rsid w:val="002B4FCC"/>
    <w:rsid w:val="002B50B2"/>
    <w:rsid w:val="002B578C"/>
    <w:rsid w:val="002B58D0"/>
    <w:rsid w:val="002B66E9"/>
    <w:rsid w:val="002B67A4"/>
    <w:rsid w:val="002B6FAC"/>
    <w:rsid w:val="002B7408"/>
    <w:rsid w:val="002B749E"/>
    <w:rsid w:val="002B783F"/>
    <w:rsid w:val="002B7CFD"/>
    <w:rsid w:val="002C0530"/>
    <w:rsid w:val="002C1C1E"/>
    <w:rsid w:val="002C210F"/>
    <w:rsid w:val="002C2189"/>
    <w:rsid w:val="002C21FE"/>
    <w:rsid w:val="002C2941"/>
    <w:rsid w:val="002C2AAF"/>
    <w:rsid w:val="002C2C18"/>
    <w:rsid w:val="002C2D5F"/>
    <w:rsid w:val="002C3442"/>
    <w:rsid w:val="002C3D79"/>
    <w:rsid w:val="002C4287"/>
    <w:rsid w:val="002C43BA"/>
    <w:rsid w:val="002C49CA"/>
    <w:rsid w:val="002C4E24"/>
    <w:rsid w:val="002C50C2"/>
    <w:rsid w:val="002C51C4"/>
    <w:rsid w:val="002C51F8"/>
    <w:rsid w:val="002C53CD"/>
    <w:rsid w:val="002C5886"/>
    <w:rsid w:val="002C5FC1"/>
    <w:rsid w:val="002C6211"/>
    <w:rsid w:val="002C643A"/>
    <w:rsid w:val="002C6529"/>
    <w:rsid w:val="002C6881"/>
    <w:rsid w:val="002C6E64"/>
    <w:rsid w:val="002C7230"/>
    <w:rsid w:val="002C75FD"/>
    <w:rsid w:val="002C79BB"/>
    <w:rsid w:val="002D029E"/>
    <w:rsid w:val="002D03C1"/>
    <w:rsid w:val="002D0827"/>
    <w:rsid w:val="002D0983"/>
    <w:rsid w:val="002D0986"/>
    <w:rsid w:val="002D0AEF"/>
    <w:rsid w:val="002D0ED8"/>
    <w:rsid w:val="002D101E"/>
    <w:rsid w:val="002D1B1E"/>
    <w:rsid w:val="002D1F5D"/>
    <w:rsid w:val="002D3094"/>
    <w:rsid w:val="002D3600"/>
    <w:rsid w:val="002D39AB"/>
    <w:rsid w:val="002D3DA4"/>
    <w:rsid w:val="002D3E61"/>
    <w:rsid w:val="002D40F8"/>
    <w:rsid w:val="002D4723"/>
    <w:rsid w:val="002D47CF"/>
    <w:rsid w:val="002D4F43"/>
    <w:rsid w:val="002D5591"/>
    <w:rsid w:val="002D5BFB"/>
    <w:rsid w:val="002D5FB7"/>
    <w:rsid w:val="002D6201"/>
    <w:rsid w:val="002D621F"/>
    <w:rsid w:val="002D697C"/>
    <w:rsid w:val="002D6AEC"/>
    <w:rsid w:val="002D6B8F"/>
    <w:rsid w:val="002D6C62"/>
    <w:rsid w:val="002D706E"/>
    <w:rsid w:val="002D7291"/>
    <w:rsid w:val="002E00FC"/>
    <w:rsid w:val="002E0184"/>
    <w:rsid w:val="002E039B"/>
    <w:rsid w:val="002E0A1E"/>
    <w:rsid w:val="002E0A85"/>
    <w:rsid w:val="002E0BC1"/>
    <w:rsid w:val="002E165E"/>
    <w:rsid w:val="002E1F39"/>
    <w:rsid w:val="002E2274"/>
    <w:rsid w:val="002E22BE"/>
    <w:rsid w:val="002E28E4"/>
    <w:rsid w:val="002E2A31"/>
    <w:rsid w:val="002E30FC"/>
    <w:rsid w:val="002E31D1"/>
    <w:rsid w:val="002E3E85"/>
    <w:rsid w:val="002E3EF9"/>
    <w:rsid w:val="002E45B2"/>
    <w:rsid w:val="002E4724"/>
    <w:rsid w:val="002E48D4"/>
    <w:rsid w:val="002E4DDC"/>
    <w:rsid w:val="002E4F84"/>
    <w:rsid w:val="002E513D"/>
    <w:rsid w:val="002E59D0"/>
    <w:rsid w:val="002E5E72"/>
    <w:rsid w:val="002E5EF4"/>
    <w:rsid w:val="002E611E"/>
    <w:rsid w:val="002E62E7"/>
    <w:rsid w:val="002E6A7B"/>
    <w:rsid w:val="002E791C"/>
    <w:rsid w:val="002E7A8B"/>
    <w:rsid w:val="002E7CB8"/>
    <w:rsid w:val="002E7CF7"/>
    <w:rsid w:val="002F00CA"/>
    <w:rsid w:val="002F02CB"/>
    <w:rsid w:val="002F1042"/>
    <w:rsid w:val="002F10C9"/>
    <w:rsid w:val="002F15E8"/>
    <w:rsid w:val="002F191D"/>
    <w:rsid w:val="002F2770"/>
    <w:rsid w:val="002F27E4"/>
    <w:rsid w:val="002F29C3"/>
    <w:rsid w:val="002F2B93"/>
    <w:rsid w:val="002F33D2"/>
    <w:rsid w:val="002F3470"/>
    <w:rsid w:val="002F34E0"/>
    <w:rsid w:val="002F3B2C"/>
    <w:rsid w:val="002F457A"/>
    <w:rsid w:val="002F497E"/>
    <w:rsid w:val="002F582E"/>
    <w:rsid w:val="002F5A9C"/>
    <w:rsid w:val="002F5FC1"/>
    <w:rsid w:val="002F7966"/>
    <w:rsid w:val="003001B9"/>
    <w:rsid w:val="00300582"/>
    <w:rsid w:val="003010A9"/>
    <w:rsid w:val="0030178F"/>
    <w:rsid w:val="00301E9E"/>
    <w:rsid w:val="00302480"/>
    <w:rsid w:val="00302758"/>
    <w:rsid w:val="00302C7C"/>
    <w:rsid w:val="0030368E"/>
    <w:rsid w:val="003043B5"/>
    <w:rsid w:val="003052EB"/>
    <w:rsid w:val="003055F6"/>
    <w:rsid w:val="0030582C"/>
    <w:rsid w:val="0030635A"/>
    <w:rsid w:val="003065BE"/>
    <w:rsid w:val="00306641"/>
    <w:rsid w:val="00306703"/>
    <w:rsid w:val="00306F28"/>
    <w:rsid w:val="0030759F"/>
    <w:rsid w:val="0030772D"/>
    <w:rsid w:val="003077AE"/>
    <w:rsid w:val="003078CA"/>
    <w:rsid w:val="00307E5A"/>
    <w:rsid w:val="0031077A"/>
    <w:rsid w:val="003112D6"/>
    <w:rsid w:val="0031147B"/>
    <w:rsid w:val="003114E1"/>
    <w:rsid w:val="00311A3E"/>
    <w:rsid w:val="00311AA9"/>
    <w:rsid w:val="00311F82"/>
    <w:rsid w:val="00311FFC"/>
    <w:rsid w:val="00312B86"/>
    <w:rsid w:val="003131F1"/>
    <w:rsid w:val="003133F4"/>
    <w:rsid w:val="00313AC4"/>
    <w:rsid w:val="003140E5"/>
    <w:rsid w:val="00314756"/>
    <w:rsid w:val="003147D6"/>
    <w:rsid w:val="003149C9"/>
    <w:rsid w:val="0031521C"/>
    <w:rsid w:val="00315609"/>
    <w:rsid w:val="00315E09"/>
    <w:rsid w:val="00316106"/>
    <w:rsid w:val="003161F0"/>
    <w:rsid w:val="003161F3"/>
    <w:rsid w:val="003165E6"/>
    <w:rsid w:val="00316736"/>
    <w:rsid w:val="0031677B"/>
    <w:rsid w:val="00317235"/>
    <w:rsid w:val="00317522"/>
    <w:rsid w:val="003175E9"/>
    <w:rsid w:val="003176FB"/>
    <w:rsid w:val="00317B33"/>
    <w:rsid w:val="00320850"/>
    <w:rsid w:val="003215B5"/>
    <w:rsid w:val="0032176F"/>
    <w:rsid w:val="00321AD7"/>
    <w:rsid w:val="003221CF"/>
    <w:rsid w:val="00322367"/>
    <w:rsid w:val="0032263F"/>
    <w:rsid w:val="00322F98"/>
    <w:rsid w:val="0032312F"/>
    <w:rsid w:val="003232F2"/>
    <w:rsid w:val="003233ED"/>
    <w:rsid w:val="00324119"/>
    <w:rsid w:val="003244FD"/>
    <w:rsid w:val="003249A9"/>
    <w:rsid w:val="00324D9F"/>
    <w:rsid w:val="00325018"/>
    <w:rsid w:val="003251DF"/>
    <w:rsid w:val="003252CB"/>
    <w:rsid w:val="003253EE"/>
    <w:rsid w:val="00325A6A"/>
    <w:rsid w:val="00326567"/>
    <w:rsid w:val="00326671"/>
    <w:rsid w:val="003268C9"/>
    <w:rsid w:val="00326FFB"/>
    <w:rsid w:val="003270F5"/>
    <w:rsid w:val="00327948"/>
    <w:rsid w:val="00327E24"/>
    <w:rsid w:val="00327F4E"/>
    <w:rsid w:val="0033000F"/>
    <w:rsid w:val="0033001D"/>
    <w:rsid w:val="003303B6"/>
    <w:rsid w:val="00330FCC"/>
    <w:rsid w:val="00331762"/>
    <w:rsid w:val="00331D7A"/>
    <w:rsid w:val="00331F9C"/>
    <w:rsid w:val="00332011"/>
    <w:rsid w:val="003324E2"/>
    <w:rsid w:val="00332518"/>
    <w:rsid w:val="00332925"/>
    <w:rsid w:val="00332B6C"/>
    <w:rsid w:val="00332C2D"/>
    <w:rsid w:val="00332E3F"/>
    <w:rsid w:val="003332ED"/>
    <w:rsid w:val="00333303"/>
    <w:rsid w:val="003335E9"/>
    <w:rsid w:val="003338B9"/>
    <w:rsid w:val="003339B9"/>
    <w:rsid w:val="00333B40"/>
    <w:rsid w:val="00333F27"/>
    <w:rsid w:val="003340E3"/>
    <w:rsid w:val="003342DD"/>
    <w:rsid w:val="00334BF7"/>
    <w:rsid w:val="00334C71"/>
    <w:rsid w:val="00334CAA"/>
    <w:rsid w:val="00334E43"/>
    <w:rsid w:val="00334E71"/>
    <w:rsid w:val="00335118"/>
    <w:rsid w:val="003358DE"/>
    <w:rsid w:val="00335A2D"/>
    <w:rsid w:val="003360D6"/>
    <w:rsid w:val="0033632E"/>
    <w:rsid w:val="00336595"/>
    <w:rsid w:val="00336660"/>
    <w:rsid w:val="003368DC"/>
    <w:rsid w:val="003369A8"/>
    <w:rsid w:val="00336CD2"/>
    <w:rsid w:val="00336FE6"/>
    <w:rsid w:val="00337140"/>
    <w:rsid w:val="00337253"/>
    <w:rsid w:val="0034002C"/>
    <w:rsid w:val="003407C4"/>
    <w:rsid w:val="00340908"/>
    <w:rsid w:val="003409EA"/>
    <w:rsid w:val="00341051"/>
    <w:rsid w:val="003414B3"/>
    <w:rsid w:val="003415B6"/>
    <w:rsid w:val="0034192E"/>
    <w:rsid w:val="00341969"/>
    <w:rsid w:val="00342665"/>
    <w:rsid w:val="00343863"/>
    <w:rsid w:val="00343C63"/>
    <w:rsid w:val="00343F71"/>
    <w:rsid w:val="00344494"/>
    <w:rsid w:val="00344713"/>
    <w:rsid w:val="0034490B"/>
    <w:rsid w:val="00345166"/>
    <w:rsid w:val="00345383"/>
    <w:rsid w:val="003455D0"/>
    <w:rsid w:val="00345627"/>
    <w:rsid w:val="0034589D"/>
    <w:rsid w:val="00345927"/>
    <w:rsid w:val="00345DAF"/>
    <w:rsid w:val="00345E05"/>
    <w:rsid w:val="0034695C"/>
    <w:rsid w:val="00346FB4"/>
    <w:rsid w:val="003472DF"/>
    <w:rsid w:val="00347998"/>
    <w:rsid w:val="0035013B"/>
    <w:rsid w:val="0035020D"/>
    <w:rsid w:val="0035036F"/>
    <w:rsid w:val="00350584"/>
    <w:rsid w:val="00350933"/>
    <w:rsid w:val="00350BB3"/>
    <w:rsid w:val="00350EF0"/>
    <w:rsid w:val="003512F2"/>
    <w:rsid w:val="00351857"/>
    <w:rsid w:val="00351F1A"/>
    <w:rsid w:val="0035205E"/>
    <w:rsid w:val="00352086"/>
    <w:rsid w:val="00352814"/>
    <w:rsid w:val="003531DE"/>
    <w:rsid w:val="003533E7"/>
    <w:rsid w:val="00353AA1"/>
    <w:rsid w:val="00354359"/>
    <w:rsid w:val="0035440A"/>
    <w:rsid w:val="0035442D"/>
    <w:rsid w:val="003545E8"/>
    <w:rsid w:val="00354B83"/>
    <w:rsid w:val="00354C2F"/>
    <w:rsid w:val="00354CFB"/>
    <w:rsid w:val="003556A5"/>
    <w:rsid w:val="00355AE1"/>
    <w:rsid w:val="00355E13"/>
    <w:rsid w:val="0035623A"/>
    <w:rsid w:val="003563A0"/>
    <w:rsid w:val="0035655C"/>
    <w:rsid w:val="003566E8"/>
    <w:rsid w:val="003571E2"/>
    <w:rsid w:val="00357BC8"/>
    <w:rsid w:val="00357EFC"/>
    <w:rsid w:val="00357F40"/>
    <w:rsid w:val="003607CC"/>
    <w:rsid w:val="00360BBF"/>
    <w:rsid w:val="00360CC7"/>
    <w:rsid w:val="003610E1"/>
    <w:rsid w:val="00362DA1"/>
    <w:rsid w:val="00363308"/>
    <w:rsid w:val="003633D8"/>
    <w:rsid w:val="003636B8"/>
    <w:rsid w:val="0036433E"/>
    <w:rsid w:val="003644DA"/>
    <w:rsid w:val="00364656"/>
    <w:rsid w:val="003650CF"/>
    <w:rsid w:val="00365756"/>
    <w:rsid w:val="00365A32"/>
    <w:rsid w:val="00365DF3"/>
    <w:rsid w:val="003664A5"/>
    <w:rsid w:val="00366840"/>
    <w:rsid w:val="00366BEC"/>
    <w:rsid w:val="00366C8F"/>
    <w:rsid w:val="003671BE"/>
    <w:rsid w:val="00367AD8"/>
    <w:rsid w:val="00367DDF"/>
    <w:rsid w:val="00370241"/>
    <w:rsid w:val="00370453"/>
    <w:rsid w:val="00370A4A"/>
    <w:rsid w:val="00370B78"/>
    <w:rsid w:val="00370E0C"/>
    <w:rsid w:val="00371159"/>
    <w:rsid w:val="00372485"/>
    <w:rsid w:val="003726DC"/>
    <w:rsid w:val="003727C5"/>
    <w:rsid w:val="00373200"/>
    <w:rsid w:val="00373582"/>
    <w:rsid w:val="00373A33"/>
    <w:rsid w:val="00373D1C"/>
    <w:rsid w:val="003745D7"/>
    <w:rsid w:val="00375E5E"/>
    <w:rsid w:val="00375EF5"/>
    <w:rsid w:val="00376616"/>
    <w:rsid w:val="003767A5"/>
    <w:rsid w:val="003767B2"/>
    <w:rsid w:val="0037697E"/>
    <w:rsid w:val="00376B3E"/>
    <w:rsid w:val="00376CB1"/>
    <w:rsid w:val="00376D4E"/>
    <w:rsid w:val="00376D62"/>
    <w:rsid w:val="003772BE"/>
    <w:rsid w:val="0037774E"/>
    <w:rsid w:val="00377D0D"/>
    <w:rsid w:val="0038016D"/>
    <w:rsid w:val="003803BD"/>
    <w:rsid w:val="0038054E"/>
    <w:rsid w:val="00380B65"/>
    <w:rsid w:val="00380DBE"/>
    <w:rsid w:val="00380EEA"/>
    <w:rsid w:val="00381A8F"/>
    <w:rsid w:val="00381CF3"/>
    <w:rsid w:val="00381D15"/>
    <w:rsid w:val="00381FFF"/>
    <w:rsid w:val="00382066"/>
    <w:rsid w:val="00382F27"/>
    <w:rsid w:val="0038426A"/>
    <w:rsid w:val="003847BD"/>
    <w:rsid w:val="00384C54"/>
    <w:rsid w:val="00385254"/>
    <w:rsid w:val="00385652"/>
    <w:rsid w:val="003857D1"/>
    <w:rsid w:val="00385A4A"/>
    <w:rsid w:val="00385B74"/>
    <w:rsid w:val="003863E4"/>
    <w:rsid w:val="00386720"/>
    <w:rsid w:val="00387D64"/>
    <w:rsid w:val="0039027C"/>
    <w:rsid w:val="00390D1D"/>
    <w:rsid w:val="00390D91"/>
    <w:rsid w:val="003910A7"/>
    <w:rsid w:val="00391281"/>
    <w:rsid w:val="00391359"/>
    <w:rsid w:val="0039238C"/>
    <w:rsid w:val="0039269A"/>
    <w:rsid w:val="003933E8"/>
    <w:rsid w:val="003939B9"/>
    <w:rsid w:val="00393CFB"/>
    <w:rsid w:val="00393EF1"/>
    <w:rsid w:val="00394031"/>
    <w:rsid w:val="003942C5"/>
    <w:rsid w:val="003944DB"/>
    <w:rsid w:val="003946DD"/>
    <w:rsid w:val="00394880"/>
    <w:rsid w:val="0039491E"/>
    <w:rsid w:val="00394BE4"/>
    <w:rsid w:val="003951DD"/>
    <w:rsid w:val="003952D1"/>
    <w:rsid w:val="00395492"/>
    <w:rsid w:val="00395B2D"/>
    <w:rsid w:val="00395FD5"/>
    <w:rsid w:val="00395FE9"/>
    <w:rsid w:val="003967CC"/>
    <w:rsid w:val="00396A74"/>
    <w:rsid w:val="00396C9C"/>
    <w:rsid w:val="00396DC2"/>
    <w:rsid w:val="00396F6D"/>
    <w:rsid w:val="003971E0"/>
    <w:rsid w:val="003972CE"/>
    <w:rsid w:val="00397857"/>
    <w:rsid w:val="00397CCC"/>
    <w:rsid w:val="003A04DB"/>
    <w:rsid w:val="003A05F5"/>
    <w:rsid w:val="003A08B1"/>
    <w:rsid w:val="003A0AD5"/>
    <w:rsid w:val="003A0BC5"/>
    <w:rsid w:val="003A0F2E"/>
    <w:rsid w:val="003A179F"/>
    <w:rsid w:val="003A1B67"/>
    <w:rsid w:val="003A226B"/>
    <w:rsid w:val="003A2658"/>
    <w:rsid w:val="003A273E"/>
    <w:rsid w:val="003A2799"/>
    <w:rsid w:val="003A2BC4"/>
    <w:rsid w:val="003A3F44"/>
    <w:rsid w:val="003A4B8A"/>
    <w:rsid w:val="003A4C57"/>
    <w:rsid w:val="003A5275"/>
    <w:rsid w:val="003A533B"/>
    <w:rsid w:val="003A54C0"/>
    <w:rsid w:val="003A5585"/>
    <w:rsid w:val="003A5F5B"/>
    <w:rsid w:val="003A60E5"/>
    <w:rsid w:val="003A789A"/>
    <w:rsid w:val="003B01F6"/>
    <w:rsid w:val="003B077E"/>
    <w:rsid w:val="003B088F"/>
    <w:rsid w:val="003B0B4D"/>
    <w:rsid w:val="003B0D2E"/>
    <w:rsid w:val="003B0E7D"/>
    <w:rsid w:val="003B12EC"/>
    <w:rsid w:val="003B20CB"/>
    <w:rsid w:val="003B2143"/>
    <w:rsid w:val="003B21F8"/>
    <w:rsid w:val="003B28B9"/>
    <w:rsid w:val="003B2E12"/>
    <w:rsid w:val="003B3447"/>
    <w:rsid w:val="003B346B"/>
    <w:rsid w:val="003B35B1"/>
    <w:rsid w:val="003B38F9"/>
    <w:rsid w:val="003B3DEF"/>
    <w:rsid w:val="003B47E7"/>
    <w:rsid w:val="003B588B"/>
    <w:rsid w:val="003B5F29"/>
    <w:rsid w:val="003B5F2A"/>
    <w:rsid w:val="003B6031"/>
    <w:rsid w:val="003B60F6"/>
    <w:rsid w:val="003B61AF"/>
    <w:rsid w:val="003B67F9"/>
    <w:rsid w:val="003B6D7E"/>
    <w:rsid w:val="003B7147"/>
    <w:rsid w:val="003B72B7"/>
    <w:rsid w:val="003B759E"/>
    <w:rsid w:val="003B773E"/>
    <w:rsid w:val="003B7A15"/>
    <w:rsid w:val="003B7D4A"/>
    <w:rsid w:val="003C0044"/>
    <w:rsid w:val="003C02A5"/>
    <w:rsid w:val="003C03B8"/>
    <w:rsid w:val="003C1613"/>
    <w:rsid w:val="003C1803"/>
    <w:rsid w:val="003C1A42"/>
    <w:rsid w:val="003C1CB0"/>
    <w:rsid w:val="003C28E4"/>
    <w:rsid w:val="003C2A22"/>
    <w:rsid w:val="003C2A4D"/>
    <w:rsid w:val="003C2DFC"/>
    <w:rsid w:val="003C3014"/>
    <w:rsid w:val="003C32D3"/>
    <w:rsid w:val="003C35C1"/>
    <w:rsid w:val="003C391F"/>
    <w:rsid w:val="003C3F32"/>
    <w:rsid w:val="003C45AD"/>
    <w:rsid w:val="003C4788"/>
    <w:rsid w:val="003C4ADF"/>
    <w:rsid w:val="003C4ECE"/>
    <w:rsid w:val="003C6D60"/>
    <w:rsid w:val="003C757D"/>
    <w:rsid w:val="003C77E0"/>
    <w:rsid w:val="003C7846"/>
    <w:rsid w:val="003D060F"/>
    <w:rsid w:val="003D061F"/>
    <w:rsid w:val="003D092C"/>
    <w:rsid w:val="003D0ADC"/>
    <w:rsid w:val="003D0E2D"/>
    <w:rsid w:val="003D122F"/>
    <w:rsid w:val="003D13F3"/>
    <w:rsid w:val="003D17D7"/>
    <w:rsid w:val="003D18E8"/>
    <w:rsid w:val="003D2331"/>
    <w:rsid w:val="003D2678"/>
    <w:rsid w:val="003D2973"/>
    <w:rsid w:val="003D3607"/>
    <w:rsid w:val="003D397D"/>
    <w:rsid w:val="003D3A0D"/>
    <w:rsid w:val="003D3C6F"/>
    <w:rsid w:val="003D43EB"/>
    <w:rsid w:val="003D4FCC"/>
    <w:rsid w:val="003D530E"/>
    <w:rsid w:val="003D545E"/>
    <w:rsid w:val="003D671E"/>
    <w:rsid w:val="003D71A3"/>
    <w:rsid w:val="003D7257"/>
    <w:rsid w:val="003D73B3"/>
    <w:rsid w:val="003D79AE"/>
    <w:rsid w:val="003D7BC2"/>
    <w:rsid w:val="003D7CE7"/>
    <w:rsid w:val="003D7E1F"/>
    <w:rsid w:val="003E0061"/>
    <w:rsid w:val="003E02AF"/>
    <w:rsid w:val="003E03BC"/>
    <w:rsid w:val="003E045A"/>
    <w:rsid w:val="003E04A9"/>
    <w:rsid w:val="003E09CF"/>
    <w:rsid w:val="003E0B00"/>
    <w:rsid w:val="003E0E28"/>
    <w:rsid w:val="003E0FF7"/>
    <w:rsid w:val="003E117D"/>
    <w:rsid w:val="003E1312"/>
    <w:rsid w:val="003E1B93"/>
    <w:rsid w:val="003E1C3E"/>
    <w:rsid w:val="003E20D1"/>
    <w:rsid w:val="003E2A52"/>
    <w:rsid w:val="003E2B8A"/>
    <w:rsid w:val="003E2D34"/>
    <w:rsid w:val="003E2E39"/>
    <w:rsid w:val="003E2EF9"/>
    <w:rsid w:val="003E2F3F"/>
    <w:rsid w:val="003E31E1"/>
    <w:rsid w:val="003E361F"/>
    <w:rsid w:val="003E3982"/>
    <w:rsid w:val="003E4589"/>
    <w:rsid w:val="003E46E6"/>
    <w:rsid w:val="003E473C"/>
    <w:rsid w:val="003E47F6"/>
    <w:rsid w:val="003E4E4C"/>
    <w:rsid w:val="003E519E"/>
    <w:rsid w:val="003E53D5"/>
    <w:rsid w:val="003E567E"/>
    <w:rsid w:val="003E571E"/>
    <w:rsid w:val="003E5DE2"/>
    <w:rsid w:val="003E5FCE"/>
    <w:rsid w:val="003E66C2"/>
    <w:rsid w:val="003E7679"/>
    <w:rsid w:val="003F004C"/>
    <w:rsid w:val="003F0A2B"/>
    <w:rsid w:val="003F0ABD"/>
    <w:rsid w:val="003F0CF3"/>
    <w:rsid w:val="003F0D10"/>
    <w:rsid w:val="003F0D70"/>
    <w:rsid w:val="003F10EE"/>
    <w:rsid w:val="003F16F6"/>
    <w:rsid w:val="003F1F89"/>
    <w:rsid w:val="003F2AF9"/>
    <w:rsid w:val="003F2F9F"/>
    <w:rsid w:val="003F3996"/>
    <w:rsid w:val="003F4305"/>
    <w:rsid w:val="003F4B92"/>
    <w:rsid w:val="003F4DC7"/>
    <w:rsid w:val="003F50AF"/>
    <w:rsid w:val="003F5235"/>
    <w:rsid w:val="003F5CA7"/>
    <w:rsid w:val="003F6C39"/>
    <w:rsid w:val="003F6D59"/>
    <w:rsid w:val="003F6D79"/>
    <w:rsid w:val="003F7CD5"/>
    <w:rsid w:val="003F7F8F"/>
    <w:rsid w:val="004005CE"/>
    <w:rsid w:val="004006E8"/>
    <w:rsid w:val="00400CA2"/>
    <w:rsid w:val="00400D21"/>
    <w:rsid w:val="00400D56"/>
    <w:rsid w:val="0040186A"/>
    <w:rsid w:val="00401B3C"/>
    <w:rsid w:val="00401E44"/>
    <w:rsid w:val="0040209A"/>
    <w:rsid w:val="0040236B"/>
    <w:rsid w:val="004027E4"/>
    <w:rsid w:val="0040310F"/>
    <w:rsid w:val="00403672"/>
    <w:rsid w:val="004047CE"/>
    <w:rsid w:val="00404F5B"/>
    <w:rsid w:val="00405379"/>
    <w:rsid w:val="004074C2"/>
    <w:rsid w:val="004075E0"/>
    <w:rsid w:val="004105E0"/>
    <w:rsid w:val="0041071D"/>
    <w:rsid w:val="00410F86"/>
    <w:rsid w:val="004112EC"/>
    <w:rsid w:val="0041144C"/>
    <w:rsid w:val="00411C11"/>
    <w:rsid w:val="00411D4D"/>
    <w:rsid w:val="00412424"/>
    <w:rsid w:val="00412619"/>
    <w:rsid w:val="00413795"/>
    <w:rsid w:val="0041438A"/>
    <w:rsid w:val="00414AFC"/>
    <w:rsid w:val="00414BB2"/>
    <w:rsid w:val="004150F9"/>
    <w:rsid w:val="004151A7"/>
    <w:rsid w:val="00415310"/>
    <w:rsid w:val="0041564A"/>
    <w:rsid w:val="0041586D"/>
    <w:rsid w:val="00415889"/>
    <w:rsid w:val="00415B9B"/>
    <w:rsid w:val="0041667F"/>
    <w:rsid w:val="00416857"/>
    <w:rsid w:val="00416AA5"/>
    <w:rsid w:val="00417BB6"/>
    <w:rsid w:val="004202AD"/>
    <w:rsid w:val="00420493"/>
    <w:rsid w:val="00420653"/>
    <w:rsid w:val="00421038"/>
    <w:rsid w:val="004214F2"/>
    <w:rsid w:val="00421709"/>
    <w:rsid w:val="00421CEA"/>
    <w:rsid w:val="00421FCE"/>
    <w:rsid w:val="004226D9"/>
    <w:rsid w:val="00423117"/>
    <w:rsid w:val="0042370A"/>
    <w:rsid w:val="00423748"/>
    <w:rsid w:val="00423763"/>
    <w:rsid w:val="00423955"/>
    <w:rsid w:val="00423D94"/>
    <w:rsid w:val="0042460A"/>
    <w:rsid w:val="0042489A"/>
    <w:rsid w:val="00424A5C"/>
    <w:rsid w:val="00424EE8"/>
    <w:rsid w:val="00424F77"/>
    <w:rsid w:val="0042565B"/>
    <w:rsid w:val="00425A1E"/>
    <w:rsid w:val="00425B77"/>
    <w:rsid w:val="00425DE1"/>
    <w:rsid w:val="00425EC7"/>
    <w:rsid w:val="00426BA8"/>
    <w:rsid w:val="00426CB0"/>
    <w:rsid w:val="0042744A"/>
    <w:rsid w:val="0042762F"/>
    <w:rsid w:val="00427A4F"/>
    <w:rsid w:val="00427BDD"/>
    <w:rsid w:val="00427DC7"/>
    <w:rsid w:val="00427DD2"/>
    <w:rsid w:val="00430203"/>
    <w:rsid w:val="004303E1"/>
    <w:rsid w:val="004307C0"/>
    <w:rsid w:val="00430D52"/>
    <w:rsid w:val="00431467"/>
    <w:rsid w:val="00431613"/>
    <w:rsid w:val="004316EC"/>
    <w:rsid w:val="00431792"/>
    <w:rsid w:val="00431913"/>
    <w:rsid w:val="00431BCD"/>
    <w:rsid w:val="0043207D"/>
    <w:rsid w:val="004325BF"/>
    <w:rsid w:val="004325E2"/>
    <w:rsid w:val="0043297A"/>
    <w:rsid w:val="00432992"/>
    <w:rsid w:val="00432B6D"/>
    <w:rsid w:val="00432EB2"/>
    <w:rsid w:val="00433388"/>
    <w:rsid w:val="004337A2"/>
    <w:rsid w:val="00433D09"/>
    <w:rsid w:val="00433EE2"/>
    <w:rsid w:val="004342F8"/>
    <w:rsid w:val="00434EA3"/>
    <w:rsid w:val="00435197"/>
    <w:rsid w:val="0043534C"/>
    <w:rsid w:val="0043562D"/>
    <w:rsid w:val="00435A5F"/>
    <w:rsid w:val="004367C2"/>
    <w:rsid w:val="00436856"/>
    <w:rsid w:val="00436859"/>
    <w:rsid w:val="00437026"/>
    <w:rsid w:val="0043714F"/>
    <w:rsid w:val="0043740C"/>
    <w:rsid w:val="00437569"/>
    <w:rsid w:val="00437C12"/>
    <w:rsid w:val="00437C56"/>
    <w:rsid w:val="00437D7B"/>
    <w:rsid w:val="00437DE4"/>
    <w:rsid w:val="00437E6C"/>
    <w:rsid w:val="00440694"/>
    <w:rsid w:val="00440B74"/>
    <w:rsid w:val="004415DC"/>
    <w:rsid w:val="00441C72"/>
    <w:rsid w:val="00441D6B"/>
    <w:rsid w:val="00441DFA"/>
    <w:rsid w:val="00442155"/>
    <w:rsid w:val="004423BB"/>
    <w:rsid w:val="00442BE2"/>
    <w:rsid w:val="00442C04"/>
    <w:rsid w:val="0044387E"/>
    <w:rsid w:val="004438B5"/>
    <w:rsid w:val="00443AD3"/>
    <w:rsid w:val="004442F1"/>
    <w:rsid w:val="0044438B"/>
    <w:rsid w:val="004448D2"/>
    <w:rsid w:val="00444EE3"/>
    <w:rsid w:val="00445D59"/>
    <w:rsid w:val="004468E1"/>
    <w:rsid w:val="00446DA0"/>
    <w:rsid w:val="00447037"/>
    <w:rsid w:val="00447A07"/>
    <w:rsid w:val="0045039F"/>
    <w:rsid w:val="0045124D"/>
    <w:rsid w:val="00451D89"/>
    <w:rsid w:val="00451D8D"/>
    <w:rsid w:val="0045259E"/>
    <w:rsid w:val="00452FFC"/>
    <w:rsid w:val="0045371B"/>
    <w:rsid w:val="00453E5B"/>
    <w:rsid w:val="0045407C"/>
    <w:rsid w:val="0045421D"/>
    <w:rsid w:val="00454596"/>
    <w:rsid w:val="004547FF"/>
    <w:rsid w:val="00454DA6"/>
    <w:rsid w:val="004553FF"/>
    <w:rsid w:val="00455927"/>
    <w:rsid w:val="00455D49"/>
    <w:rsid w:val="0045605D"/>
    <w:rsid w:val="00456C5C"/>
    <w:rsid w:val="00456C5F"/>
    <w:rsid w:val="0045704C"/>
    <w:rsid w:val="004570BE"/>
    <w:rsid w:val="0045742C"/>
    <w:rsid w:val="004577A4"/>
    <w:rsid w:val="004579CA"/>
    <w:rsid w:val="004579D7"/>
    <w:rsid w:val="00457C03"/>
    <w:rsid w:val="00457F87"/>
    <w:rsid w:val="00460055"/>
    <w:rsid w:val="00460A7F"/>
    <w:rsid w:val="0046135B"/>
    <w:rsid w:val="004618C5"/>
    <w:rsid w:val="00461D47"/>
    <w:rsid w:val="00461E9F"/>
    <w:rsid w:val="00463703"/>
    <w:rsid w:val="00463D8B"/>
    <w:rsid w:val="00464C71"/>
    <w:rsid w:val="00465B73"/>
    <w:rsid w:val="0046601E"/>
    <w:rsid w:val="00466379"/>
    <w:rsid w:val="004665BE"/>
    <w:rsid w:val="00466A15"/>
    <w:rsid w:val="00466BB8"/>
    <w:rsid w:val="00466E53"/>
    <w:rsid w:val="00467537"/>
    <w:rsid w:val="0046777D"/>
    <w:rsid w:val="004679CC"/>
    <w:rsid w:val="00467ECC"/>
    <w:rsid w:val="00470B1B"/>
    <w:rsid w:val="00470C07"/>
    <w:rsid w:val="004713BE"/>
    <w:rsid w:val="0047171A"/>
    <w:rsid w:val="0047183A"/>
    <w:rsid w:val="004718CC"/>
    <w:rsid w:val="00471ED7"/>
    <w:rsid w:val="004729B6"/>
    <w:rsid w:val="00472BD3"/>
    <w:rsid w:val="0047357E"/>
    <w:rsid w:val="00473626"/>
    <w:rsid w:val="004736DB"/>
    <w:rsid w:val="004739BD"/>
    <w:rsid w:val="00473E39"/>
    <w:rsid w:val="004740F5"/>
    <w:rsid w:val="00474841"/>
    <w:rsid w:val="0047489F"/>
    <w:rsid w:val="004748D1"/>
    <w:rsid w:val="00474FDB"/>
    <w:rsid w:val="004750D3"/>
    <w:rsid w:val="004752FC"/>
    <w:rsid w:val="0047559C"/>
    <w:rsid w:val="0047588B"/>
    <w:rsid w:val="00475984"/>
    <w:rsid w:val="00475C83"/>
    <w:rsid w:val="00475E96"/>
    <w:rsid w:val="00476289"/>
    <w:rsid w:val="0047684C"/>
    <w:rsid w:val="0047708C"/>
    <w:rsid w:val="0047790F"/>
    <w:rsid w:val="0047798D"/>
    <w:rsid w:val="00477EBC"/>
    <w:rsid w:val="004800EB"/>
    <w:rsid w:val="00480D5D"/>
    <w:rsid w:val="004813A0"/>
    <w:rsid w:val="00481695"/>
    <w:rsid w:val="00481EBA"/>
    <w:rsid w:val="0048264B"/>
    <w:rsid w:val="00482917"/>
    <w:rsid w:val="0048292C"/>
    <w:rsid w:val="00482BB1"/>
    <w:rsid w:val="00482C01"/>
    <w:rsid w:val="00482F86"/>
    <w:rsid w:val="00483395"/>
    <w:rsid w:val="0048358D"/>
    <w:rsid w:val="00483DAC"/>
    <w:rsid w:val="00484006"/>
    <w:rsid w:val="0048418B"/>
    <w:rsid w:val="0048496D"/>
    <w:rsid w:val="00484AE2"/>
    <w:rsid w:val="004854DD"/>
    <w:rsid w:val="00485641"/>
    <w:rsid w:val="00485ABB"/>
    <w:rsid w:val="00485C00"/>
    <w:rsid w:val="00485E06"/>
    <w:rsid w:val="0048616D"/>
    <w:rsid w:val="0048628E"/>
    <w:rsid w:val="00486594"/>
    <w:rsid w:val="00486FF6"/>
    <w:rsid w:val="00487316"/>
    <w:rsid w:val="004876CA"/>
    <w:rsid w:val="004903AB"/>
    <w:rsid w:val="0049042F"/>
    <w:rsid w:val="00490AB2"/>
    <w:rsid w:val="00490BD8"/>
    <w:rsid w:val="00490CFB"/>
    <w:rsid w:val="0049148D"/>
    <w:rsid w:val="00491654"/>
    <w:rsid w:val="004920D1"/>
    <w:rsid w:val="00492110"/>
    <w:rsid w:val="004925C8"/>
    <w:rsid w:val="0049263B"/>
    <w:rsid w:val="00492E2E"/>
    <w:rsid w:val="0049306A"/>
    <w:rsid w:val="004930E0"/>
    <w:rsid w:val="00493248"/>
    <w:rsid w:val="00493A99"/>
    <w:rsid w:val="00493CDE"/>
    <w:rsid w:val="00493E49"/>
    <w:rsid w:val="00493F09"/>
    <w:rsid w:val="0049438B"/>
    <w:rsid w:val="0049442C"/>
    <w:rsid w:val="0049463F"/>
    <w:rsid w:val="00494A27"/>
    <w:rsid w:val="00494D37"/>
    <w:rsid w:val="00494E94"/>
    <w:rsid w:val="00495159"/>
    <w:rsid w:val="00495A96"/>
    <w:rsid w:val="00495BB3"/>
    <w:rsid w:val="0049669D"/>
    <w:rsid w:val="00496A50"/>
    <w:rsid w:val="00496B85"/>
    <w:rsid w:val="00497568"/>
    <w:rsid w:val="00497F99"/>
    <w:rsid w:val="004A02C7"/>
    <w:rsid w:val="004A0793"/>
    <w:rsid w:val="004A0A5D"/>
    <w:rsid w:val="004A0CC3"/>
    <w:rsid w:val="004A0F2F"/>
    <w:rsid w:val="004A2207"/>
    <w:rsid w:val="004A246E"/>
    <w:rsid w:val="004A29C3"/>
    <w:rsid w:val="004A2A83"/>
    <w:rsid w:val="004A2C17"/>
    <w:rsid w:val="004A36C2"/>
    <w:rsid w:val="004A407B"/>
    <w:rsid w:val="004A48C9"/>
    <w:rsid w:val="004A4D2E"/>
    <w:rsid w:val="004A56BB"/>
    <w:rsid w:val="004A6504"/>
    <w:rsid w:val="004A687F"/>
    <w:rsid w:val="004A6979"/>
    <w:rsid w:val="004A70D6"/>
    <w:rsid w:val="004A7140"/>
    <w:rsid w:val="004A7390"/>
    <w:rsid w:val="004B02E3"/>
    <w:rsid w:val="004B067E"/>
    <w:rsid w:val="004B0B37"/>
    <w:rsid w:val="004B0ED3"/>
    <w:rsid w:val="004B170D"/>
    <w:rsid w:val="004B1751"/>
    <w:rsid w:val="004B2176"/>
    <w:rsid w:val="004B251D"/>
    <w:rsid w:val="004B2646"/>
    <w:rsid w:val="004B28C0"/>
    <w:rsid w:val="004B2933"/>
    <w:rsid w:val="004B2BF2"/>
    <w:rsid w:val="004B2CAB"/>
    <w:rsid w:val="004B3418"/>
    <w:rsid w:val="004B3B28"/>
    <w:rsid w:val="004B3D88"/>
    <w:rsid w:val="004B4ECB"/>
    <w:rsid w:val="004B54AC"/>
    <w:rsid w:val="004B5D2A"/>
    <w:rsid w:val="004B5D61"/>
    <w:rsid w:val="004B5E15"/>
    <w:rsid w:val="004B6484"/>
    <w:rsid w:val="004B6A11"/>
    <w:rsid w:val="004B7068"/>
    <w:rsid w:val="004B7B00"/>
    <w:rsid w:val="004B7E37"/>
    <w:rsid w:val="004C022F"/>
    <w:rsid w:val="004C0253"/>
    <w:rsid w:val="004C0281"/>
    <w:rsid w:val="004C0AD0"/>
    <w:rsid w:val="004C0B06"/>
    <w:rsid w:val="004C0E93"/>
    <w:rsid w:val="004C0EC8"/>
    <w:rsid w:val="004C1078"/>
    <w:rsid w:val="004C1DB4"/>
    <w:rsid w:val="004C3395"/>
    <w:rsid w:val="004C3888"/>
    <w:rsid w:val="004C3B92"/>
    <w:rsid w:val="004C3BB5"/>
    <w:rsid w:val="004C3DCA"/>
    <w:rsid w:val="004C3DE0"/>
    <w:rsid w:val="004C3E1B"/>
    <w:rsid w:val="004C3E9B"/>
    <w:rsid w:val="004C3EC0"/>
    <w:rsid w:val="004C412D"/>
    <w:rsid w:val="004C4357"/>
    <w:rsid w:val="004C4BC1"/>
    <w:rsid w:val="004C57DD"/>
    <w:rsid w:val="004C6248"/>
    <w:rsid w:val="004C6661"/>
    <w:rsid w:val="004C68E8"/>
    <w:rsid w:val="004C71F9"/>
    <w:rsid w:val="004C7201"/>
    <w:rsid w:val="004C7647"/>
    <w:rsid w:val="004D1666"/>
    <w:rsid w:val="004D177A"/>
    <w:rsid w:val="004D19FD"/>
    <w:rsid w:val="004D1C4D"/>
    <w:rsid w:val="004D200D"/>
    <w:rsid w:val="004D2018"/>
    <w:rsid w:val="004D22AF"/>
    <w:rsid w:val="004D24EA"/>
    <w:rsid w:val="004D30F4"/>
    <w:rsid w:val="004D3627"/>
    <w:rsid w:val="004D439D"/>
    <w:rsid w:val="004D4F6C"/>
    <w:rsid w:val="004D4F7B"/>
    <w:rsid w:val="004D5650"/>
    <w:rsid w:val="004D56FF"/>
    <w:rsid w:val="004D5DCF"/>
    <w:rsid w:val="004D60C4"/>
    <w:rsid w:val="004D6E01"/>
    <w:rsid w:val="004D6E2E"/>
    <w:rsid w:val="004D7D7A"/>
    <w:rsid w:val="004E0252"/>
    <w:rsid w:val="004E0B3F"/>
    <w:rsid w:val="004E0B4B"/>
    <w:rsid w:val="004E0CAB"/>
    <w:rsid w:val="004E0D11"/>
    <w:rsid w:val="004E0E68"/>
    <w:rsid w:val="004E0F24"/>
    <w:rsid w:val="004E1159"/>
    <w:rsid w:val="004E1320"/>
    <w:rsid w:val="004E1F78"/>
    <w:rsid w:val="004E2F9A"/>
    <w:rsid w:val="004E3089"/>
    <w:rsid w:val="004E3336"/>
    <w:rsid w:val="004E3783"/>
    <w:rsid w:val="004E39D3"/>
    <w:rsid w:val="004E3CD2"/>
    <w:rsid w:val="004E40B1"/>
    <w:rsid w:val="004E4187"/>
    <w:rsid w:val="004E4628"/>
    <w:rsid w:val="004E46FE"/>
    <w:rsid w:val="004E4BB9"/>
    <w:rsid w:val="004E4DBF"/>
    <w:rsid w:val="004E508A"/>
    <w:rsid w:val="004E5497"/>
    <w:rsid w:val="004E5965"/>
    <w:rsid w:val="004E5A0A"/>
    <w:rsid w:val="004E5CFD"/>
    <w:rsid w:val="004E5D27"/>
    <w:rsid w:val="004E5DD9"/>
    <w:rsid w:val="004E616D"/>
    <w:rsid w:val="004E626D"/>
    <w:rsid w:val="004E689E"/>
    <w:rsid w:val="004E68DA"/>
    <w:rsid w:val="004E75B5"/>
    <w:rsid w:val="004E75E2"/>
    <w:rsid w:val="004E7FA9"/>
    <w:rsid w:val="004F01B2"/>
    <w:rsid w:val="004F0279"/>
    <w:rsid w:val="004F032C"/>
    <w:rsid w:val="004F0E85"/>
    <w:rsid w:val="004F0EB0"/>
    <w:rsid w:val="004F0EE0"/>
    <w:rsid w:val="004F0F01"/>
    <w:rsid w:val="004F107E"/>
    <w:rsid w:val="004F16DB"/>
    <w:rsid w:val="004F1BDE"/>
    <w:rsid w:val="004F1DF2"/>
    <w:rsid w:val="004F24F3"/>
    <w:rsid w:val="004F25A3"/>
    <w:rsid w:val="004F266F"/>
    <w:rsid w:val="004F2697"/>
    <w:rsid w:val="004F26CB"/>
    <w:rsid w:val="004F2716"/>
    <w:rsid w:val="004F2CEE"/>
    <w:rsid w:val="004F3332"/>
    <w:rsid w:val="004F4AB1"/>
    <w:rsid w:val="004F51F4"/>
    <w:rsid w:val="004F556E"/>
    <w:rsid w:val="004F591C"/>
    <w:rsid w:val="004F5E5F"/>
    <w:rsid w:val="004F604F"/>
    <w:rsid w:val="004F6478"/>
    <w:rsid w:val="004F701C"/>
    <w:rsid w:val="004F72B1"/>
    <w:rsid w:val="004F7AEA"/>
    <w:rsid w:val="004F7F44"/>
    <w:rsid w:val="00500E8B"/>
    <w:rsid w:val="00500E97"/>
    <w:rsid w:val="00500F73"/>
    <w:rsid w:val="005010CE"/>
    <w:rsid w:val="0050177E"/>
    <w:rsid w:val="00501820"/>
    <w:rsid w:val="005026EC"/>
    <w:rsid w:val="00502989"/>
    <w:rsid w:val="00502B30"/>
    <w:rsid w:val="005032F1"/>
    <w:rsid w:val="005037B4"/>
    <w:rsid w:val="00503E4A"/>
    <w:rsid w:val="005041DF"/>
    <w:rsid w:val="005042AA"/>
    <w:rsid w:val="00504617"/>
    <w:rsid w:val="00504DF1"/>
    <w:rsid w:val="00505128"/>
    <w:rsid w:val="00505132"/>
    <w:rsid w:val="00505497"/>
    <w:rsid w:val="005056FF"/>
    <w:rsid w:val="00505B2C"/>
    <w:rsid w:val="005068F6"/>
    <w:rsid w:val="00506970"/>
    <w:rsid w:val="00506E8B"/>
    <w:rsid w:val="00507307"/>
    <w:rsid w:val="005077A8"/>
    <w:rsid w:val="005079BF"/>
    <w:rsid w:val="00510841"/>
    <w:rsid w:val="00510A4E"/>
    <w:rsid w:val="00512285"/>
    <w:rsid w:val="005122BF"/>
    <w:rsid w:val="0051247C"/>
    <w:rsid w:val="0051269A"/>
    <w:rsid w:val="005127D6"/>
    <w:rsid w:val="005127DD"/>
    <w:rsid w:val="00512D91"/>
    <w:rsid w:val="00512EE4"/>
    <w:rsid w:val="00513293"/>
    <w:rsid w:val="00513357"/>
    <w:rsid w:val="0051362F"/>
    <w:rsid w:val="005136A0"/>
    <w:rsid w:val="00513FD4"/>
    <w:rsid w:val="005141DD"/>
    <w:rsid w:val="00514528"/>
    <w:rsid w:val="005148E2"/>
    <w:rsid w:val="00514ADB"/>
    <w:rsid w:val="005157B7"/>
    <w:rsid w:val="00515C36"/>
    <w:rsid w:val="00515E71"/>
    <w:rsid w:val="005164A2"/>
    <w:rsid w:val="005166FF"/>
    <w:rsid w:val="00517113"/>
    <w:rsid w:val="00517258"/>
    <w:rsid w:val="005200DB"/>
    <w:rsid w:val="00520B5B"/>
    <w:rsid w:val="00520E31"/>
    <w:rsid w:val="0052167B"/>
    <w:rsid w:val="005219E7"/>
    <w:rsid w:val="00521B91"/>
    <w:rsid w:val="00521D11"/>
    <w:rsid w:val="00521F03"/>
    <w:rsid w:val="00522CD1"/>
    <w:rsid w:val="0052354E"/>
    <w:rsid w:val="00523655"/>
    <w:rsid w:val="00523F60"/>
    <w:rsid w:val="00524D89"/>
    <w:rsid w:val="00524FBD"/>
    <w:rsid w:val="00525279"/>
    <w:rsid w:val="00525853"/>
    <w:rsid w:val="0052607D"/>
    <w:rsid w:val="00526368"/>
    <w:rsid w:val="00526E22"/>
    <w:rsid w:val="00526EA4"/>
    <w:rsid w:val="00526FD6"/>
    <w:rsid w:val="00527338"/>
    <w:rsid w:val="00527476"/>
    <w:rsid w:val="00527C71"/>
    <w:rsid w:val="00527CC2"/>
    <w:rsid w:val="00530676"/>
    <w:rsid w:val="005309FE"/>
    <w:rsid w:val="00530B57"/>
    <w:rsid w:val="00530FCF"/>
    <w:rsid w:val="005310EA"/>
    <w:rsid w:val="00531A32"/>
    <w:rsid w:val="00531A7F"/>
    <w:rsid w:val="00531B9A"/>
    <w:rsid w:val="00531D15"/>
    <w:rsid w:val="00532327"/>
    <w:rsid w:val="00532595"/>
    <w:rsid w:val="00532E2F"/>
    <w:rsid w:val="00533506"/>
    <w:rsid w:val="00533B7F"/>
    <w:rsid w:val="0053424C"/>
    <w:rsid w:val="005343A2"/>
    <w:rsid w:val="00534AAF"/>
    <w:rsid w:val="00535ABA"/>
    <w:rsid w:val="00535EF1"/>
    <w:rsid w:val="00536378"/>
    <w:rsid w:val="00536605"/>
    <w:rsid w:val="00536878"/>
    <w:rsid w:val="005368A4"/>
    <w:rsid w:val="00536A00"/>
    <w:rsid w:val="00536A2C"/>
    <w:rsid w:val="00536BF2"/>
    <w:rsid w:val="00536D86"/>
    <w:rsid w:val="00536DB3"/>
    <w:rsid w:val="00537604"/>
    <w:rsid w:val="0053760D"/>
    <w:rsid w:val="005404A3"/>
    <w:rsid w:val="005405E5"/>
    <w:rsid w:val="005407BA"/>
    <w:rsid w:val="005409A6"/>
    <w:rsid w:val="00540E12"/>
    <w:rsid w:val="00541042"/>
    <w:rsid w:val="00541623"/>
    <w:rsid w:val="00541BD3"/>
    <w:rsid w:val="00541DF9"/>
    <w:rsid w:val="005421B9"/>
    <w:rsid w:val="00542377"/>
    <w:rsid w:val="0054245F"/>
    <w:rsid w:val="005429C7"/>
    <w:rsid w:val="00542F28"/>
    <w:rsid w:val="0054396B"/>
    <w:rsid w:val="005440DB"/>
    <w:rsid w:val="00544250"/>
    <w:rsid w:val="00544456"/>
    <w:rsid w:val="00544E84"/>
    <w:rsid w:val="00544FD1"/>
    <w:rsid w:val="00546141"/>
    <w:rsid w:val="0054662F"/>
    <w:rsid w:val="005476EB"/>
    <w:rsid w:val="00550F60"/>
    <w:rsid w:val="00551131"/>
    <w:rsid w:val="00551342"/>
    <w:rsid w:val="005514E3"/>
    <w:rsid w:val="005516D7"/>
    <w:rsid w:val="00551751"/>
    <w:rsid w:val="00551782"/>
    <w:rsid w:val="00551FE1"/>
    <w:rsid w:val="00552091"/>
    <w:rsid w:val="00552B06"/>
    <w:rsid w:val="00552CDE"/>
    <w:rsid w:val="00552D44"/>
    <w:rsid w:val="00552E62"/>
    <w:rsid w:val="00553341"/>
    <w:rsid w:val="0055335D"/>
    <w:rsid w:val="005542C2"/>
    <w:rsid w:val="0055462B"/>
    <w:rsid w:val="00554AD2"/>
    <w:rsid w:val="00555C53"/>
    <w:rsid w:val="00555D00"/>
    <w:rsid w:val="005563D8"/>
    <w:rsid w:val="00556EDB"/>
    <w:rsid w:val="00557032"/>
    <w:rsid w:val="005574A7"/>
    <w:rsid w:val="005575A5"/>
    <w:rsid w:val="00557AF5"/>
    <w:rsid w:val="00557E75"/>
    <w:rsid w:val="00560397"/>
    <w:rsid w:val="0056099B"/>
    <w:rsid w:val="00560AAE"/>
    <w:rsid w:val="005618F5"/>
    <w:rsid w:val="00562A59"/>
    <w:rsid w:val="00562C27"/>
    <w:rsid w:val="00563C72"/>
    <w:rsid w:val="00563D04"/>
    <w:rsid w:val="00563D27"/>
    <w:rsid w:val="00563EF1"/>
    <w:rsid w:val="00563FC6"/>
    <w:rsid w:val="00565324"/>
    <w:rsid w:val="00565790"/>
    <w:rsid w:val="00565909"/>
    <w:rsid w:val="00565B85"/>
    <w:rsid w:val="00565EE9"/>
    <w:rsid w:val="00566635"/>
    <w:rsid w:val="00566A49"/>
    <w:rsid w:val="00566AB4"/>
    <w:rsid w:val="00566CA2"/>
    <w:rsid w:val="00566ED3"/>
    <w:rsid w:val="00567A8D"/>
    <w:rsid w:val="005701F4"/>
    <w:rsid w:val="005706EB"/>
    <w:rsid w:val="00570ABE"/>
    <w:rsid w:val="005713C4"/>
    <w:rsid w:val="0057164F"/>
    <w:rsid w:val="00571D02"/>
    <w:rsid w:val="00571DF6"/>
    <w:rsid w:val="005721EA"/>
    <w:rsid w:val="00572287"/>
    <w:rsid w:val="005727FB"/>
    <w:rsid w:val="00572B5A"/>
    <w:rsid w:val="00572B63"/>
    <w:rsid w:val="0057309F"/>
    <w:rsid w:val="00573812"/>
    <w:rsid w:val="00573AC2"/>
    <w:rsid w:val="00573CDA"/>
    <w:rsid w:val="00573CEC"/>
    <w:rsid w:val="00573DB9"/>
    <w:rsid w:val="0057409D"/>
    <w:rsid w:val="00575AC5"/>
    <w:rsid w:val="0057605D"/>
    <w:rsid w:val="00576636"/>
    <w:rsid w:val="00576A44"/>
    <w:rsid w:val="005771DA"/>
    <w:rsid w:val="0057763F"/>
    <w:rsid w:val="00580092"/>
    <w:rsid w:val="0058030F"/>
    <w:rsid w:val="005804DD"/>
    <w:rsid w:val="00580C5E"/>
    <w:rsid w:val="00580C61"/>
    <w:rsid w:val="00580E9B"/>
    <w:rsid w:val="0058108A"/>
    <w:rsid w:val="00581347"/>
    <w:rsid w:val="00581580"/>
    <w:rsid w:val="0058169C"/>
    <w:rsid w:val="00581AC9"/>
    <w:rsid w:val="00581E50"/>
    <w:rsid w:val="00582E4B"/>
    <w:rsid w:val="00582FC7"/>
    <w:rsid w:val="00584439"/>
    <w:rsid w:val="005846FF"/>
    <w:rsid w:val="005849F8"/>
    <w:rsid w:val="00584B51"/>
    <w:rsid w:val="00584FA0"/>
    <w:rsid w:val="00585078"/>
    <w:rsid w:val="005850ED"/>
    <w:rsid w:val="0058554B"/>
    <w:rsid w:val="0058584D"/>
    <w:rsid w:val="00585A6D"/>
    <w:rsid w:val="00585D7E"/>
    <w:rsid w:val="00587425"/>
    <w:rsid w:val="005903E6"/>
    <w:rsid w:val="005905F9"/>
    <w:rsid w:val="00590735"/>
    <w:rsid w:val="00590934"/>
    <w:rsid w:val="00590AE1"/>
    <w:rsid w:val="00590C01"/>
    <w:rsid w:val="00590C57"/>
    <w:rsid w:val="00591369"/>
    <w:rsid w:val="00591887"/>
    <w:rsid w:val="00591AB5"/>
    <w:rsid w:val="00591BAF"/>
    <w:rsid w:val="005920C1"/>
    <w:rsid w:val="00592330"/>
    <w:rsid w:val="005924C2"/>
    <w:rsid w:val="00592AB5"/>
    <w:rsid w:val="00593148"/>
    <w:rsid w:val="005931FC"/>
    <w:rsid w:val="005932C5"/>
    <w:rsid w:val="00593552"/>
    <w:rsid w:val="00593571"/>
    <w:rsid w:val="005938DF"/>
    <w:rsid w:val="00593BFB"/>
    <w:rsid w:val="00593F1C"/>
    <w:rsid w:val="00593F78"/>
    <w:rsid w:val="0059409C"/>
    <w:rsid w:val="005949A0"/>
    <w:rsid w:val="00594ABF"/>
    <w:rsid w:val="00594E9C"/>
    <w:rsid w:val="00594FD0"/>
    <w:rsid w:val="00595362"/>
    <w:rsid w:val="0059544C"/>
    <w:rsid w:val="00595FC2"/>
    <w:rsid w:val="00595FED"/>
    <w:rsid w:val="005960AC"/>
    <w:rsid w:val="005962F7"/>
    <w:rsid w:val="005968DB"/>
    <w:rsid w:val="00596DD3"/>
    <w:rsid w:val="00596F43"/>
    <w:rsid w:val="00597676"/>
    <w:rsid w:val="0059767C"/>
    <w:rsid w:val="005978CA"/>
    <w:rsid w:val="005A091D"/>
    <w:rsid w:val="005A099B"/>
    <w:rsid w:val="005A0ECC"/>
    <w:rsid w:val="005A13D5"/>
    <w:rsid w:val="005A1556"/>
    <w:rsid w:val="005A1806"/>
    <w:rsid w:val="005A1EB2"/>
    <w:rsid w:val="005A2260"/>
    <w:rsid w:val="005A2D9C"/>
    <w:rsid w:val="005A2E63"/>
    <w:rsid w:val="005A3184"/>
    <w:rsid w:val="005A36C1"/>
    <w:rsid w:val="005A381A"/>
    <w:rsid w:val="005A3C9F"/>
    <w:rsid w:val="005A3FFB"/>
    <w:rsid w:val="005A4C15"/>
    <w:rsid w:val="005A548A"/>
    <w:rsid w:val="005A5498"/>
    <w:rsid w:val="005A5528"/>
    <w:rsid w:val="005A55FE"/>
    <w:rsid w:val="005A5662"/>
    <w:rsid w:val="005A5CE9"/>
    <w:rsid w:val="005A6A11"/>
    <w:rsid w:val="005A70D9"/>
    <w:rsid w:val="005A711C"/>
    <w:rsid w:val="005B0349"/>
    <w:rsid w:val="005B04E2"/>
    <w:rsid w:val="005B0625"/>
    <w:rsid w:val="005B067F"/>
    <w:rsid w:val="005B06D8"/>
    <w:rsid w:val="005B0738"/>
    <w:rsid w:val="005B0833"/>
    <w:rsid w:val="005B110A"/>
    <w:rsid w:val="005B1599"/>
    <w:rsid w:val="005B16E0"/>
    <w:rsid w:val="005B19E1"/>
    <w:rsid w:val="005B1AF2"/>
    <w:rsid w:val="005B298A"/>
    <w:rsid w:val="005B2C13"/>
    <w:rsid w:val="005B2F0D"/>
    <w:rsid w:val="005B34FE"/>
    <w:rsid w:val="005B3C64"/>
    <w:rsid w:val="005B40DC"/>
    <w:rsid w:val="005B4229"/>
    <w:rsid w:val="005B427A"/>
    <w:rsid w:val="005B434F"/>
    <w:rsid w:val="005B4533"/>
    <w:rsid w:val="005B4AED"/>
    <w:rsid w:val="005B51E3"/>
    <w:rsid w:val="005B5705"/>
    <w:rsid w:val="005B5C51"/>
    <w:rsid w:val="005B5C5B"/>
    <w:rsid w:val="005B660B"/>
    <w:rsid w:val="005B66F9"/>
    <w:rsid w:val="005B6849"/>
    <w:rsid w:val="005B7301"/>
    <w:rsid w:val="005B7867"/>
    <w:rsid w:val="005B7904"/>
    <w:rsid w:val="005C020F"/>
    <w:rsid w:val="005C07FB"/>
    <w:rsid w:val="005C0AA5"/>
    <w:rsid w:val="005C0D4D"/>
    <w:rsid w:val="005C19BF"/>
    <w:rsid w:val="005C1C52"/>
    <w:rsid w:val="005C2478"/>
    <w:rsid w:val="005C28D7"/>
    <w:rsid w:val="005C2A64"/>
    <w:rsid w:val="005C2BDC"/>
    <w:rsid w:val="005C2E5F"/>
    <w:rsid w:val="005C2F99"/>
    <w:rsid w:val="005C3496"/>
    <w:rsid w:val="005C34EF"/>
    <w:rsid w:val="005C38BF"/>
    <w:rsid w:val="005C3FF5"/>
    <w:rsid w:val="005C4097"/>
    <w:rsid w:val="005C469F"/>
    <w:rsid w:val="005C4952"/>
    <w:rsid w:val="005C5100"/>
    <w:rsid w:val="005C52E4"/>
    <w:rsid w:val="005C5881"/>
    <w:rsid w:val="005C5B4D"/>
    <w:rsid w:val="005C621D"/>
    <w:rsid w:val="005C695B"/>
    <w:rsid w:val="005C6A21"/>
    <w:rsid w:val="005C74BF"/>
    <w:rsid w:val="005C74FD"/>
    <w:rsid w:val="005C758D"/>
    <w:rsid w:val="005C767C"/>
    <w:rsid w:val="005C7B17"/>
    <w:rsid w:val="005C7CC7"/>
    <w:rsid w:val="005D0971"/>
    <w:rsid w:val="005D1185"/>
    <w:rsid w:val="005D17F4"/>
    <w:rsid w:val="005D182E"/>
    <w:rsid w:val="005D1DC4"/>
    <w:rsid w:val="005D2123"/>
    <w:rsid w:val="005D2502"/>
    <w:rsid w:val="005D28F0"/>
    <w:rsid w:val="005D2A1D"/>
    <w:rsid w:val="005D2BE9"/>
    <w:rsid w:val="005D2EFD"/>
    <w:rsid w:val="005D30C2"/>
    <w:rsid w:val="005D3285"/>
    <w:rsid w:val="005D365B"/>
    <w:rsid w:val="005D3962"/>
    <w:rsid w:val="005D3B5F"/>
    <w:rsid w:val="005D40BB"/>
    <w:rsid w:val="005D47F3"/>
    <w:rsid w:val="005D49BF"/>
    <w:rsid w:val="005D4AA5"/>
    <w:rsid w:val="005D51ED"/>
    <w:rsid w:val="005D5231"/>
    <w:rsid w:val="005D52B7"/>
    <w:rsid w:val="005D52CE"/>
    <w:rsid w:val="005D5308"/>
    <w:rsid w:val="005D5F56"/>
    <w:rsid w:val="005D6A8F"/>
    <w:rsid w:val="005D6AE7"/>
    <w:rsid w:val="005D6DDA"/>
    <w:rsid w:val="005D6E6B"/>
    <w:rsid w:val="005D6F4E"/>
    <w:rsid w:val="005D71BE"/>
    <w:rsid w:val="005D7247"/>
    <w:rsid w:val="005D76D7"/>
    <w:rsid w:val="005D7738"/>
    <w:rsid w:val="005D7B0A"/>
    <w:rsid w:val="005D7BCA"/>
    <w:rsid w:val="005D7C73"/>
    <w:rsid w:val="005E0268"/>
    <w:rsid w:val="005E0371"/>
    <w:rsid w:val="005E0488"/>
    <w:rsid w:val="005E0A37"/>
    <w:rsid w:val="005E0FC4"/>
    <w:rsid w:val="005E1791"/>
    <w:rsid w:val="005E212A"/>
    <w:rsid w:val="005E250B"/>
    <w:rsid w:val="005E2A95"/>
    <w:rsid w:val="005E2D3C"/>
    <w:rsid w:val="005E2E7D"/>
    <w:rsid w:val="005E2FA4"/>
    <w:rsid w:val="005E37FF"/>
    <w:rsid w:val="005E3AAB"/>
    <w:rsid w:val="005E3ACD"/>
    <w:rsid w:val="005E3AD4"/>
    <w:rsid w:val="005E4368"/>
    <w:rsid w:val="005E4746"/>
    <w:rsid w:val="005E493B"/>
    <w:rsid w:val="005E55DF"/>
    <w:rsid w:val="005E57FE"/>
    <w:rsid w:val="005E591D"/>
    <w:rsid w:val="005E6121"/>
    <w:rsid w:val="005E6633"/>
    <w:rsid w:val="005E7226"/>
    <w:rsid w:val="005E74CC"/>
    <w:rsid w:val="005E7A57"/>
    <w:rsid w:val="005F05D1"/>
    <w:rsid w:val="005F06EC"/>
    <w:rsid w:val="005F1893"/>
    <w:rsid w:val="005F192C"/>
    <w:rsid w:val="005F1D7A"/>
    <w:rsid w:val="005F21E2"/>
    <w:rsid w:val="005F24B0"/>
    <w:rsid w:val="005F34C3"/>
    <w:rsid w:val="005F3566"/>
    <w:rsid w:val="005F3EB8"/>
    <w:rsid w:val="005F4150"/>
    <w:rsid w:val="005F4763"/>
    <w:rsid w:val="005F52A6"/>
    <w:rsid w:val="005F54B9"/>
    <w:rsid w:val="005F57DD"/>
    <w:rsid w:val="005F5979"/>
    <w:rsid w:val="005F5AE0"/>
    <w:rsid w:val="005F5C98"/>
    <w:rsid w:val="005F5D05"/>
    <w:rsid w:val="005F5FAF"/>
    <w:rsid w:val="005F6193"/>
    <w:rsid w:val="005F6777"/>
    <w:rsid w:val="005F69AB"/>
    <w:rsid w:val="005F6A08"/>
    <w:rsid w:val="005F6B9B"/>
    <w:rsid w:val="005F6F3C"/>
    <w:rsid w:val="005F74A2"/>
    <w:rsid w:val="005F7E83"/>
    <w:rsid w:val="00600334"/>
    <w:rsid w:val="006003D7"/>
    <w:rsid w:val="006005B0"/>
    <w:rsid w:val="006007D3"/>
    <w:rsid w:val="00600BB8"/>
    <w:rsid w:val="00601BDF"/>
    <w:rsid w:val="00602340"/>
    <w:rsid w:val="00602437"/>
    <w:rsid w:val="00602492"/>
    <w:rsid w:val="006025B0"/>
    <w:rsid w:val="006028A2"/>
    <w:rsid w:val="00603320"/>
    <w:rsid w:val="0060346C"/>
    <w:rsid w:val="00603EAD"/>
    <w:rsid w:val="0060419E"/>
    <w:rsid w:val="00604315"/>
    <w:rsid w:val="00604AC6"/>
    <w:rsid w:val="00604E26"/>
    <w:rsid w:val="0060523F"/>
    <w:rsid w:val="006052B1"/>
    <w:rsid w:val="006052CF"/>
    <w:rsid w:val="00605BA5"/>
    <w:rsid w:val="00605D9E"/>
    <w:rsid w:val="00605E7D"/>
    <w:rsid w:val="0060636C"/>
    <w:rsid w:val="00606543"/>
    <w:rsid w:val="006066FA"/>
    <w:rsid w:val="006069B5"/>
    <w:rsid w:val="00607277"/>
    <w:rsid w:val="00607B8D"/>
    <w:rsid w:val="00607E4A"/>
    <w:rsid w:val="00610A31"/>
    <w:rsid w:val="00610AA0"/>
    <w:rsid w:val="00610EB5"/>
    <w:rsid w:val="00610FE7"/>
    <w:rsid w:val="00611872"/>
    <w:rsid w:val="006118CF"/>
    <w:rsid w:val="00611CD9"/>
    <w:rsid w:val="00611F5C"/>
    <w:rsid w:val="00612B9C"/>
    <w:rsid w:val="00612D74"/>
    <w:rsid w:val="00613486"/>
    <w:rsid w:val="00614738"/>
    <w:rsid w:val="00614EAB"/>
    <w:rsid w:val="00615609"/>
    <w:rsid w:val="00615B8A"/>
    <w:rsid w:val="00615FBF"/>
    <w:rsid w:val="00616295"/>
    <w:rsid w:val="00616A01"/>
    <w:rsid w:val="00616C0E"/>
    <w:rsid w:val="00616E09"/>
    <w:rsid w:val="00617350"/>
    <w:rsid w:val="00617521"/>
    <w:rsid w:val="00617A01"/>
    <w:rsid w:val="00617FB9"/>
    <w:rsid w:val="006204C5"/>
    <w:rsid w:val="00620562"/>
    <w:rsid w:val="006206A0"/>
    <w:rsid w:val="00620E20"/>
    <w:rsid w:val="00621332"/>
    <w:rsid w:val="006213C1"/>
    <w:rsid w:val="006216A9"/>
    <w:rsid w:val="00621911"/>
    <w:rsid w:val="006220C0"/>
    <w:rsid w:val="006221F7"/>
    <w:rsid w:val="00622440"/>
    <w:rsid w:val="006227A7"/>
    <w:rsid w:val="0062289E"/>
    <w:rsid w:val="00622A3B"/>
    <w:rsid w:val="00622EEA"/>
    <w:rsid w:val="00623071"/>
    <w:rsid w:val="0062308E"/>
    <w:rsid w:val="00623737"/>
    <w:rsid w:val="0062396C"/>
    <w:rsid w:val="00623FF9"/>
    <w:rsid w:val="0062428D"/>
    <w:rsid w:val="0062437D"/>
    <w:rsid w:val="0062496D"/>
    <w:rsid w:val="00624AE6"/>
    <w:rsid w:val="00624C8F"/>
    <w:rsid w:val="00624F11"/>
    <w:rsid w:val="00625861"/>
    <w:rsid w:val="00625D87"/>
    <w:rsid w:val="00625F9C"/>
    <w:rsid w:val="0062641D"/>
    <w:rsid w:val="0062660D"/>
    <w:rsid w:val="0062679A"/>
    <w:rsid w:val="0062692D"/>
    <w:rsid w:val="00626E1F"/>
    <w:rsid w:val="00626FB3"/>
    <w:rsid w:val="00627465"/>
    <w:rsid w:val="00627D4E"/>
    <w:rsid w:val="00630106"/>
    <w:rsid w:val="006303C2"/>
    <w:rsid w:val="006303F6"/>
    <w:rsid w:val="00631611"/>
    <w:rsid w:val="006318E4"/>
    <w:rsid w:val="0063195E"/>
    <w:rsid w:val="00631BCC"/>
    <w:rsid w:val="00632521"/>
    <w:rsid w:val="006325D8"/>
    <w:rsid w:val="00632B89"/>
    <w:rsid w:val="00632EEF"/>
    <w:rsid w:val="0063346D"/>
    <w:rsid w:val="006337D0"/>
    <w:rsid w:val="00633BC6"/>
    <w:rsid w:val="00634478"/>
    <w:rsid w:val="00634E15"/>
    <w:rsid w:val="00635782"/>
    <w:rsid w:val="00635A2B"/>
    <w:rsid w:val="0063650A"/>
    <w:rsid w:val="00636542"/>
    <w:rsid w:val="00636B68"/>
    <w:rsid w:val="00640368"/>
    <w:rsid w:val="0064078E"/>
    <w:rsid w:val="00640B54"/>
    <w:rsid w:val="00640DF2"/>
    <w:rsid w:val="00640EA9"/>
    <w:rsid w:val="00641162"/>
    <w:rsid w:val="006414C8"/>
    <w:rsid w:val="006415BD"/>
    <w:rsid w:val="00641983"/>
    <w:rsid w:val="00642053"/>
    <w:rsid w:val="0064242E"/>
    <w:rsid w:val="00642480"/>
    <w:rsid w:val="006425BD"/>
    <w:rsid w:val="00642F01"/>
    <w:rsid w:val="00643A2A"/>
    <w:rsid w:val="00643C6B"/>
    <w:rsid w:val="00643CBF"/>
    <w:rsid w:val="00643FD3"/>
    <w:rsid w:val="006440FD"/>
    <w:rsid w:val="00644115"/>
    <w:rsid w:val="00644373"/>
    <w:rsid w:val="00644B9E"/>
    <w:rsid w:val="00645915"/>
    <w:rsid w:val="00645C67"/>
    <w:rsid w:val="00645EB7"/>
    <w:rsid w:val="006460B8"/>
    <w:rsid w:val="00646CC4"/>
    <w:rsid w:val="006504C6"/>
    <w:rsid w:val="006507CF"/>
    <w:rsid w:val="00650F3C"/>
    <w:rsid w:val="00650FC7"/>
    <w:rsid w:val="00651582"/>
    <w:rsid w:val="006518A8"/>
    <w:rsid w:val="006519C3"/>
    <w:rsid w:val="00651A21"/>
    <w:rsid w:val="00651F5F"/>
    <w:rsid w:val="00652077"/>
    <w:rsid w:val="006522FF"/>
    <w:rsid w:val="00652413"/>
    <w:rsid w:val="0065254F"/>
    <w:rsid w:val="00652A28"/>
    <w:rsid w:val="00652B30"/>
    <w:rsid w:val="00652D01"/>
    <w:rsid w:val="00653107"/>
    <w:rsid w:val="006533EB"/>
    <w:rsid w:val="00653B33"/>
    <w:rsid w:val="00653B41"/>
    <w:rsid w:val="00653F09"/>
    <w:rsid w:val="00653FBA"/>
    <w:rsid w:val="00654D94"/>
    <w:rsid w:val="00654FDA"/>
    <w:rsid w:val="006552CE"/>
    <w:rsid w:val="00656148"/>
    <w:rsid w:val="00656278"/>
    <w:rsid w:val="00656345"/>
    <w:rsid w:val="00656734"/>
    <w:rsid w:val="00656ABD"/>
    <w:rsid w:val="00656B5D"/>
    <w:rsid w:val="00656C5B"/>
    <w:rsid w:val="00656DC6"/>
    <w:rsid w:val="00656E18"/>
    <w:rsid w:val="00656E27"/>
    <w:rsid w:val="006570C5"/>
    <w:rsid w:val="00657238"/>
    <w:rsid w:val="0065757B"/>
    <w:rsid w:val="00657694"/>
    <w:rsid w:val="00657745"/>
    <w:rsid w:val="0065795C"/>
    <w:rsid w:val="00657B6E"/>
    <w:rsid w:val="00660031"/>
    <w:rsid w:val="006600E5"/>
    <w:rsid w:val="006604D5"/>
    <w:rsid w:val="006604D8"/>
    <w:rsid w:val="0066062B"/>
    <w:rsid w:val="00660B5E"/>
    <w:rsid w:val="00660BEF"/>
    <w:rsid w:val="00660DE8"/>
    <w:rsid w:val="00660EAD"/>
    <w:rsid w:val="00660EC6"/>
    <w:rsid w:val="006613E8"/>
    <w:rsid w:val="006613F9"/>
    <w:rsid w:val="0066175A"/>
    <w:rsid w:val="00661F40"/>
    <w:rsid w:val="0066207B"/>
    <w:rsid w:val="00662171"/>
    <w:rsid w:val="00662662"/>
    <w:rsid w:val="00663630"/>
    <w:rsid w:val="00663828"/>
    <w:rsid w:val="00663DFF"/>
    <w:rsid w:val="00664110"/>
    <w:rsid w:val="00664445"/>
    <w:rsid w:val="00664A1A"/>
    <w:rsid w:val="00664D17"/>
    <w:rsid w:val="00665073"/>
    <w:rsid w:val="00665501"/>
    <w:rsid w:val="00665539"/>
    <w:rsid w:val="00665646"/>
    <w:rsid w:val="00665C0C"/>
    <w:rsid w:val="00665E9E"/>
    <w:rsid w:val="00665EE1"/>
    <w:rsid w:val="0066629D"/>
    <w:rsid w:val="00666520"/>
    <w:rsid w:val="00666B58"/>
    <w:rsid w:val="00666ED4"/>
    <w:rsid w:val="0066787B"/>
    <w:rsid w:val="00667C5B"/>
    <w:rsid w:val="00670967"/>
    <w:rsid w:val="00670C75"/>
    <w:rsid w:val="00671D48"/>
    <w:rsid w:val="0067211A"/>
    <w:rsid w:val="006721BC"/>
    <w:rsid w:val="0067239D"/>
    <w:rsid w:val="00672716"/>
    <w:rsid w:val="00672E44"/>
    <w:rsid w:val="00672F65"/>
    <w:rsid w:val="00672FCD"/>
    <w:rsid w:val="006730B8"/>
    <w:rsid w:val="0067363B"/>
    <w:rsid w:val="006736FD"/>
    <w:rsid w:val="00673845"/>
    <w:rsid w:val="00673D70"/>
    <w:rsid w:val="00674AEB"/>
    <w:rsid w:val="00674D48"/>
    <w:rsid w:val="00674F9D"/>
    <w:rsid w:val="006752EA"/>
    <w:rsid w:val="00675387"/>
    <w:rsid w:val="0067551D"/>
    <w:rsid w:val="006758C7"/>
    <w:rsid w:val="0067599F"/>
    <w:rsid w:val="00675A4B"/>
    <w:rsid w:val="00676335"/>
    <w:rsid w:val="00676607"/>
    <w:rsid w:val="006769F2"/>
    <w:rsid w:val="0067711F"/>
    <w:rsid w:val="00677EC8"/>
    <w:rsid w:val="00680944"/>
    <w:rsid w:val="00680BE5"/>
    <w:rsid w:val="00680D82"/>
    <w:rsid w:val="00681264"/>
    <w:rsid w:val="00681C7A"/>
    <w:rsid w:val="00681DAF"/>
    <w:rsid w:val="006824CB"/>
    <w:rsid w:val="00682B92"/>
    <w:rsid w:val="00682BE6"/>
    <w:rsid w:val="00682C06"/>
    <w:rsid w:val="00682EE1"/>
    <w:rsid w:val="00682F39"/>
    <w:rsid w:val="00682F3A"/>
    <w:rsid w:val="0068357F"/>
    <w:rsid w:val="00683633"/>
    <w:rsid w:val="00683707"/>
    <w:rsid w:val="00683AF4"/>
    <w:rsid w:val="00683BDE"/>
    <w:rsid w:val="0068461D"/>
    <w:rsid w:val="006847D0"/>
    <w:rsid w:val="00684A10"/>
    <w:rsid w:val="00684D91"/>
    <w:rsid w:val="00684D99"/>
    <w:rsid w:val="00684F4B"/>
    <w:rsid w:val="00685220"/>
    <w:rsid w:val="00685221"/>
    <w:rsid w:val="006866C3"/>
    <w:rsid w:val="0068691D"/>
    <w:rsid w:val="00686A2C"/>
    <w:rsid w:val="00687448"/>
    <w:rsid w:val="00687A46"/>
    <w:rsid w:val="00687BEC"/>
    <w:rsid w:val="00687D89"/>
    <w:rsid w:val="00687FA8"/>
    <w:rsid w:val="006902C0"/>
    <w:rsid w:val="00691C37"/>
    <w:rsid w:val="00691EB8"/>
    <w:rsid w:val="006923EE"/>
    <w:rsid w:val="006924CC"/>
    <w:rsid w:val="00692CDE"/>
    <w:rsid w:val="00692F2D"/>
    <w:rsid w:val="00693073"/>
    <w:rsid w:val="00693611"/>
    <w:rsid w:val="00693702"/>
    <w:rsid w:val="0069386F"/>
    <w:rsid w:val="00693937"/>
    <w:rsid w:val="006940E3"/>
    <w:rsid w:val="0069422C"/>
    <w:rsid w:val="006949C1"/>
    <w:rsid w:val="006949D9"/>
    <w:rsid w:val="00694A08"/>
    <w:rsid w:val="00694BBF"/>
    <w:rsid w:val="00694C55"/>
    <w:rsid w:val="00695F69"/>
    <w:rsid w:val="006964A6"/>
    <w:rsid w:val="00696659"/>
    <w:rsid w:val="00696702"/>
    <w:rsid w:val="006968A8"/>
    <w:rsid w:val="006972B7"/>
    <w:rsid w:val="006977FF"/>
    <w:rsid w:val="00697C8B"/>
    <w:rsid w:val="006A00E2"/>
    <w:rsid w:val="006A01FA"/>
    <w:rsid w:val="006A041F"/>
    <w:rsid w:val="006A067C"/>
    <w:rsid w:val="006A0BC5"/>
    <w:rsid w:val="006A0CBB"/>
    <w:rsid w:val="006A0E9E"/>
    <w:rsid w:val="006A128B"/>
    <w:rsid w:val="006A1292"/>
    <w:rsid w:val="006A133E"/>
    <w:rsid w:val="006A184B"/>
    <w:rsid w:val="006A18CD"/>
    <w:rsid w:val="006A18DF"/>
    <w:rsid w:val="006A2010"/>
    <w:rsid w:val="006A2327"/>
    <w:rsid w:val="006A2573"/>
    <w:rsid w:val="006A25C7"/>
    <w:rsid w:val="006A2892"/>
    <w:rsid w:val="006A2B85"/>
    <w:rsid w:val="006A2F31"/>
    <w:rsid w:val="006A36B6"/>
    <w:rsid w:val="006A3EC6"/>
    <w:rsid w:val="006A3ECF"/>
    <w:rsid w:val="006A44B9"/>
    <w:rsid w:val="006A4594"/>
    <w:rsid w:val="006A45D7"/>
    <w:rsid w:val="006A47EA"/>
    <w:rsid w:val="006A49B5"/>
    <w:rsid w:val="006A4AAD"/>
    <w:rsid w:val="006A4CCA"/>
    <w:rsid w:val="006A6498"/>
    <w:rsid w:val="006A64FB"/>
    <w:rsid w:val="006A6513"/>
    <w:rsid w:val="006A6B55"/>
    <w:rsid w:val="006A6DA2"/>
    <w:rsid w:val="006A6F4F"/>
    <w:rsid w:val="006A6FDD"/>
    <w:rsid w:val="006A7686"/>
    <w:rsid w:val="006A7AB2"/>
    <w:rsid w:val="006B019A"/>
    <w:rsid w:val="006B0765"/>
    <w:rsid w:val="006B0912"/>
    <w:rsid w:val="006B0AE6"/>
    <w:rsid w:val="006B10F0"/>
    <w:rsid w:val="006B2B4E"/>
    <w:rsid w:val="006B2CD9"/>
    <w:rsid w:val="006B3397"/>
    <w:rsid w:val="006B3656"/>
    <w:rsid w:val="006B3B87"/>
    <w:rsid w:val="006B3B9F"/>
    <w:rsid w:val="006B3F55"/>
    <w:rsid w:val="006B49C2"/>
    <w:rsid w:val="006B4B68"/>
    <w:rsid w:val="006B52DE"/>
    <w:rsid w:val="006B55F0"/>
    <w:rsid w:val="006B5717"/>
    <w:rsid w:val="006B57B5"/>
    <w:rsid w:val="006B582F"/>
    <w:rsid w:val="006B5DEC"/>
    <w:rsid w:val="006B5EB2"/>
    <w:rsid w:val="006B6869"/>
    <w:rsid w:val="006B6BB5"/>
    <w:rsid w:val="006B6C6A"/>
    <w:rsid w:val="006B6E48"/>
    <w:rsid w:val="006B7074"/>
    <w:rsid w:val="006B76B0"/>
    <w:rsid w:val="006B78D2"/>
    <w:rsid w:val="006B7C98"/>
    <w:rsid w:val="006B7FB1"/>
    <w:rsid w:val="006C05C9"/>
    <w:rsid w:val="006C0734"/>
    <w:rsid w:val="006C07B4"/>
    <w:rsid w:val="006C0B53"/>
    <w:rsid w:val="006C0CEB"/>
    <w:rsid w:val="006C0DFE"/>
    <w:rsid w:val="006C110E"/>
    <w:rsid w:val="006C15E2"/>
    <w:rsid w:val="006C1631"/>
    <w:rsid w:val="006C22C2"/>
    <w:rsid w:val="006C2B7D"/>
    <w:rsid w:val="006C30D5"/>
    <w:rsid w:val="006C36ED"/>
    <w:rsid w:val="006C3B1E"/>
    <w:rsid w:val="006C3F63"/>
    <w:rsid w:val="006C417B"/>
    <w:rsid w:val="006C47FD"/>
    <w:rsid w:val="006C4D5C"/>
    <w:rsid w:val="006C4FD1"/>
    <w:rsid w:val="006C54FE"/>
    <w:rsid w:val="006C5732"/>
    <w:rsid w:val="006C59F0"/>
    <w:rsid w:val="006C5C19"/>
    <w:rsid w:val="006C5C86"/>
    <w:rsid w:val="006C5FD4"/>
    <w:rsid w:val="006C612B"/>
    <w:rsid w:val="006C63CE"/>
    <w:rsid w:val="006C672F"/>
    <w:rsid w:val="006C698A"/>
    <w:rsid w:val="006C69E0"/>
    <w:rsid w:val="006C6A8D"/>
    <w:rsid w:val="006C6CDF"/>
    <w:rsid w:val="006C6D40"/>
    <w:rsid w:val="006C70A0"/>
    <w:rsid w:val="006C7165"/>
    <w:rsid w:val="006C71BF"/>
    <w:rsid w:val="006C7424"/>
    <w:rsid w:val="006C7897"/>
    <w:rsid w:val="006C7A04"/>
    <w:rsid w:val="006D0C37"/>
    <w:rsid w:val="006D0D97"/>
    <w:rsid w:val="006D1C55"/>
    <w:rsid w:val="006D1E31"/>
    <w:rsid w:val="006D1EDD"/>
    <w:rsid w:val="006D2080"/>
    <w:rsid w:val="006D27CB"/>
    <w:rsid w:val="006D2CC2"/>
    <w:rsid w:val="006D2F08"/>
    <w:rsid w:val="006D30AF"/>
    <w:rsid w:val="006D32CB"/>
    <w:rsid w:val="006D3479"/>
    <w:rsid w:val="006D34E4"/>
    <w:rsid w:val="006D4429"/>
    <w:rsid w:val="006D4C43"/>
    <w:rsid w:val="006D576C"/>
    <w:rsid w:val="006D5865"/>
    <w:rsid w:val="006D659E"/>
    <w:rsid w:val="006D6DF0"/>
    <w:rsid w:val="006D6E73"/>
    <w:rsid w:val="006D7A68"/>
    <w:rsid w:val="006D7E34"/>
    <w:rsid w:val="006E002C"/>
    <w:rsid w:val="006E013F"/>
    <w:rsid w:val="006E0314"/>
    <w:rsid w:val="006E0842"/>
    <w:rsid w:val="006E1003"/>
    <w:rsid w:val="006E16A1"/>
    <w:rsid w:val="006E17B4"/>
    <w:rsid w:val="006E1E1A"/>
    <w:rsid w:val="006E1E7B"/>
    <w:rsid w:val="006E1F2A"/>
    <w:rsid w:val="006E263B"/>
    <w:rsid w:val="006E27A2"/>
    <w:rsid w:val="006E287B"/>
    <w:rsid w:val="006E28D8"/>
    <w:rsid w:val="006E29B4"/>
    <w:rsid w:val="006E3792"/>
    <w:rsid w:val="006E3DBC"/>
    <w:rsid w:val="006E3E6A"/>
    <w:rsid w:val="006E4B1B"/>
    <w:rsid w:val="006E4F13"/>
    <w:rsid w:val="006E50DB"/>
    <w:rsid w:val="006E51A5"/>
    <w:rsid w:val="006E52C9"/>
    <w:rsid w:val="006E5445"/>
    <w:rsid w:val="006E5A8A"/>
    <w:rsid w:val="006E5CB5"/>
    <w:rsid w:val="006E5EE4"/>
    <w:rsid w:val="006E6700"/>
    <w:rsid w:val="006E6816"/>
    <w:rsid w:val="006E6A46"/>
    <w:rsid w:val="006E6BD2"/>
    <w:rsid w:val="006E7D93"/>
    <w:rsid w:val="006F0426"/>
    <w:rsid w:val="006F0511"/>
    <w:rsid w:val="006F0671"/>
    <w:rsid w:val="006F092E"/>
    <w:rsid w:val="006F0BB0"/>
    <w:rsid w:val="006F0C5E"/>
    <w:rsid w:val="006F1A29"/>
    <w:rsid w:val="006F1A5F"/>
    <w:rsid w:val="006F1D7C"/>
    <w:rsid w:val="006F1E1F"/>
    <w:rsid w:val="006F20C6"/>
    <w:rsid w:val="006F2627"/>
    <w:rsid w:val="006F3483"/>
    <w:rsid w:val="006F35C0"/>
    <w:rsid w:val="006F361C"/>
    <w:rsid w:val="006F3B66"/>
    <w:rsid w:val="006F3B6F"/>
    <w:rsid w:val="006F3F70"/>
    <w:rsid w:val="006F51DB"/>
    <w:rsid w:val="006F529F"/>
    <w:rsid w:val="006F5C3E"/>
    <w:rsid w:val="006F5C54"/>
    <w:rsid w:val="006F5C7D"/>
    <w:rsid w:val="006F63E9"/>
    <w:rsid w:val="006F6628"/>
    <w:rsid w:val="006F6BD3"/>
    <w:rsid w:val="006F6C91"/>
    <w:rsid w:val="006F7291"/>
    <w:rsid w:val="006F795E"/>
    <w:rsid w:val="007001AD"/>
    <w:rsid w:val="00700B8A"/>
    <w:rsid w:val="00701140"/>
    <w:rsid w:val="007012A1"/>
    <w:rsid w:val="0070133D"/>
    <w:rsid w:val="00701DCC"/>
    <w:rsid w:val="00702530"/>
    <w:rsid w:val="007029A3"/>
    <w:rsid w:val="007029FB"/>
    <w:rsid w:val="00702AB1"/>
    <w:rsid w:val="007030E6"/>
    <w:rsid w:val="007030FE"/>
    <w:rsid w:val="00703241"/>
    <w:rsid w:val="00703CB5"/>
    <w:rsid w:val="00703D5E"/>
    <w:rsid w:val="0070421F"/>
    <w:rsid w:val="007060D5"/>
    <w:rsid w:val="00706557"/>
    <w:rsid w:val="00706615"/>
    <w:rsid w:val="00706BF6"/>
    <w:rsid w:val="00706E4E"/>
    <w:rsid w:val="00706E5C"/>
    <w:rsid w:val="00706F17"/>
    <w:rsid w:val="00707300"/>
    <w:rsid w:val="007073EF"/>
    <w:rsid w:val="0070771E"/>
    <w:rsid w:val="0070776C"/>
    <w:rsid w:val="0070791C"/>
    <w:rsid w:val="00707C2C"/>
    <w:rsid w:val="00707D5A"/>
    <w:rsid w:val="0071032F"/>
    <w:rsid w:val="0071038E"/>
    <w:rsid w:val="00710578"/>
    <w:rsid w:val="007107AE"/>
    <w:rsid w:val="0071082E"/>
    <w:rsid w:val="00710BC0"/>
    <w:rsid w:val="00711242"/>
    <w:rsid w:val="00711584"/>
    <w:rsid w:val="00711A24"/>
    <w:rsid w:val="00711FF3"/>
    <w:rsid w:val="00713182"/>
    <w:rsid w:val="0071383C"/>
    <w:rsid w:val="007141A7"/>
    <w:rsid w:val="00714A83"/>
    <w:rsid w:val="00714AB6"/>
    <w:rsid w:val="00714EAB"/>
    <w:rsid w:val="007156A0"/>
    <w:rsid w:val="00715722"/>
    <w:rsid w:val="00715BAF"/>
    <w:rsid w:val="0071633C"/>
    <w:rsid w:val="0071653E"/>
    <w:rsid w:val="00716843"/>
    <w:rsid w:val="00716E60"/>
    <w:rsid w:val="0071771F"/>
    <w:rsid w:val="00717899"/>
    <w:rsid w:val="00717B5D"/>
    <w:rsid w:val="00720596"/>
    <w:rsid w:val="007205D3"/>
    <w:rsid w:val="00720724"/>
    <w:rsid w:val="00720FE2"/>
    <w:rsid w:val="00721032"/>
    <w:rsid w:val="007217FA"/>
    <w:rsid w:val="007218D2"/>
    <w:rsid w:val="00721B55"/>
    <w:rsid w:val="00722B64"/>
    <w:rsid w:val="00722E39"/>
    <w:rsid w:val="0072318E"/>
    <w:rsid w:val="00723275"/>
    <w:rsid w:val="00723A80"/>
    <w:rsid w:val="00723AF5"/>
    <w:rsid w:val="00723D0A"/>
    <w:rsid w:val="00723EFF"/>
    <w:rsid w:val="0072451C"/>
    <w:rsid w:val="00724B98"/>
    <w:rsid w:val="00724C29"/>
    <w:rsid w:val="00725062"/>
    <w:rsid w:val="00725329"/>
    <w:rsid w:val="00725A59"/>
    <w:rsid w:val="00725B72"/>
    <w:rsid w:val="00725B9A"/>
    <w:rsid w:val="00726841"/>
    <w:rsid w:val="00726930"/>
    <w:rsid w:val="00726BC0"/>
    <w:rsid w:val="00726CE4"/>
    <w:rsid w:val="0072786C"/>
    <w:rsid w:val="00727931"/>
    <w:rsid w:val="00727C03"/>
    <w:rsid w:val="00727D4E"/>
    <w:rsid w:val="00727DEB"/>
    <w:rsid w:val="00730078"/>
    <w:rsid w:val="0073035D"/>
    <w:rsid w:val="0073085D"/>
    <w:rsid w:val="007308D5"/>
    <w:rsid w:val="00730904"/>
    <w:rsid w:val="007309B2"/>
    <w:rsid w:val="007313F8"/>
    <w:rsid w:val="00731AF1"/>
    <w:rsid w:val="00731DCA"/>
    <w:rsid w:val="00731DD3"/>
    <w:rsid w:val="00732650"/>
    <w:rsid w:val="00732AD9"/>
    <w:rsid w:val="00732B92"/>
    <w:rsid w:val="00732F39"/>
    <w:rsid w:val="007337C9"/>
    <w:rsid w:val="0073396A"/>
    <w:rsid w:val="00733E44"/>
    <w:rsid w:val="00734143"/>
    <w:rsid w:val="00734E58"/>
    <w:rsid w:val="00735D5F"/>
    <w:rsid w:val="00735D99"/>
    <w:rsid w:val="00736048"/>
    <w:rsid w:val="007362A7"/>
    <w:rsid w:val="00736A2B"/>
    <w:rsid w:val="00737E47"/>
    <w:rsid w:val="00740AF1"/>
    <w:rsid w:val="00740BFF"/>
    <w:rsid w:val="00740EAC"/>
    <w:rsid w:val="00741B00"/>
    <w:rsid w:val="0074208C"/>
    <w:rsid w:val="0074257F"/>
    <w:rsid w:val="0074270E"/>
    <w:rsid w:val="00742D92"/>
    <w:rsid w:val="00742D9E"/>
    <w:rsid w:val="00742EB9"/>
    <w:rsid w:val="00743377"/>
    <w:rsid w:val="007433E8"/>
    <w:rsid w:val="00743EA7"/>
    <w:rsid w:val="00744319"/>
    <w:rsid w:val="0074449B"/>
    <w:rsid w:val="0074458E"/>
    <w:rsid w:val="00744722"/>
    <w:rsid w:val="00744804"/>
    <w:rsid w:val="00744956"/>
    <w:rsid w:val="00744CB9"/>
    <w:rsid w:val="00744E73"/>
    <w:rsid w:val="007457D4"/>
    <w:rsid w:val="00745A5C"/>
    <w:rsid w:val="0074605F"/>
    <w:rsid w:val="00746141"/>
    <w:rsid w:val="007464C2"/>
    <w:rsid w:val="00747008"/>
    <w:rsid w:val="00747E94"/>
    <w:rsid w:val="00747FB8"/>
    <w:rsid w:val="00750454"/>
    <w:rsid w:val="00750D2D"/>
    <w:rsid w:val="007511C7"/>
    <w:rsid w:val="0075122A"/>
    <w:rsid w:val="007519DC"/>
    <w:rsid w:val="007519DD"/>
    <w:rsid w:val="00751E0F"/>
    <w:rsid w:val="0075259B"/>
    <w:rsid w:val="00753036"/>
    <w:rsid w:val="0075319D"/>
    <w:rsid w:val="00753225"/>
    <w:rsid w:val="00753AAE"/>
    <w:rsid w:val="00754512"/>
    <w:rsid w:val="00754519"/>
    <w:rsid w:val="007545A0"/>
    <w:rsid w:val="00754C83"/>
    <w:rsid w:val="00754D79"/>
    <w:rsid w:val="007553A4"/>
    <w:rsid w:val="00755411"/>
    <w:rsid w:val="007554B4"/>
    <w:rsid w:val="007559B7"/>
    <w:rsid w:val="007559BD"/>
    <w:rsid w:val="00755A7D"/>
    <w:rsid w:val="00755BDA"/>
    <w:rsid w:val="00755CB7"/>
    <w:rsid w:val="00755EC5"/>
    <w:rsid w:val="00755F98"/>
    <w:rsid w:val="007563FE"/>
    <w:rsid w:val="00757D90"/>
    <w:rsid w:val="00757DE2"/>
    <w:rsid w:val="007604EA"/>
    <w:rsid w:val="00760A2D"/>
    <w:rsid w:val="007615EC"/>
    <w:rsid w:val="00761683"/>
    <w:rsid w:val="00761836"/>
    <w:rsid w:val="0076197A"/>
    <w:rsid w:val="00761E2D"/>
    <w:rsid w:val="00761E5C"/>
    <w:rsid w:val="00761E9E"/>
    <w:rsid w:val="00761EC4"/>
    <w:rsid w:val="00762178"/>
    <w:rsid w:val="00762313"/>
    <w:rsid w:val="00762342"/>
    <w:rsid w:val="0076288E"/>
    <w:rsid w:val="00763591"/>
    <w:rsid w:val="00763900"/>
    <w:rsid w:val="0076397A"/>
    <w:rsid w:val="00763BA9"/>
    <w:rsid w:val="00763D4B"/>
    <w:rsid w:val="00763F1F"/>
    <w:rsid w:val="007640C6"/>
    <w:rsid w:val="00764724"/>
    <w:rsid w:val="0076480D"/>
    <w:rsid w:val="00764BA1"/>
    <w:rsid w:val="00764BE3"/>
    <w:rsid w:val="00764D7D"/>
    <w:rsid w:val="00765393"/>
    <w:rsid w:val="00765AF0"/>
    <w:rsid w:val="00765DF8"/>
    <w:rsid w:val="00766093"/>
    <w:rsid w:val="00766477"/>
    <w:rsid w:val="007664E7"/>
    <w:rsid w:val="00766749"/>
    <w:rsid w:val="00766BC5"/>
    <w:rsid w:val="00767120"/>
    <w:rsid w:val="00767576"/>
    <w:rsid w:val="0076769D"/>
    <w:rsid w:val="00767714"/>
    <w:rsid w:val="007677D0"/>
    <w:rsid w:val="00767862"/>
    <w:rsid w:val="00767C1B"/>
    <w:rsid w:val="00767D53"/>
    <w:rsid w:val="00770091"/>
    <w:rsid w:val="0077075F"/>
    <w:rsid w:val="00770855"/>
    <w:rsid w:val="00770B3F"/>
    <w:rsid w:val="00770F22"/>
    <w:rsid w:val="007713BE"/>
    <w:rsid w:val="007714A9"/>
    <w:rsid w:val="007716E0"/>
    <w:rsid w:val="00771849"/>
    <w:rsid w:val="00771F1B"/>
    <w:rsid w:val="00772030"/>
    <w:rsid w:val="0077256A"/>
    <w:rsid w:val="00772AF1"/>
    <w:rsid w:val="00773F2E"/>
    <w:rsid w:val="0077402E"/>
    <w:rsid w:val="00774270"/>
    <w:rsid w:val="00774CF4"/>
    <w:rsid w:val="00774F88"/>
    <w:rsid w:val="00774FDB"/>
    <w:rsid w:val="00775262"/>
    <w:rsid w:val="00775322"/>
    <w:rsid w:val="00775705"/>
    <w:rsid w:val="0077604E"/>
    <w:rsid w:val="007761B8"/>
    <w:rsid w:val="0077791D"/>
    <w:rsid w:val="00777B6D"/>
    <w:rsid w:val="00777BA2"/>
    <w:rsid w:val="00777C4D"/>
    <w:rsid w:val="007803DB"/>
    <w:rsid w:val="0078049A"/>
    <w:rsid w:val="00781131"/>
    <w:rsid w:val="00781408"/>
    <w:rsid w:val="00782254"/>
    <w:rsid w:val="007822B3"/>
    <w:rsid w:val="00782ABB"/>
    <w:rsid w:val="0078334B"/>
    <w:rsid w:val="00783617"/>
    <w:rsid w:val="0078369A"/>
    <w:rsid w:val="00783F82"/>
    <w:rsid w:val="00783F95"/>
    <w:rsid w:val="0078417F"/>
    <w:rsid w:val="007841DE"/>
    <w:rsid w:val="007846B9"/>
    <w:rsid w:val="00784707"/>
    <w:rsid w:val="00784D93"/>
    <w:rsid w:val="00784E8D"/>
    <w:rsid w:val="00784F7F"/>
    <w:rsid w:val="00785727"/>
    <w:rsid w:val="00785F4B"/>
    <w:rsid w:val="007866AB"/>
    <w:rsid w:val="00786A89"/>
    <w:rsid w:val="00787620"/>
    <w:rsid w:val="007878BD"/>
    <w:rsid w:val="00787C91"/>
    <w:rsid w:val="00787EFF"/>
    <w:rsid w:val="007902EC"/>
    <w:rsid w:val="00790699"/>
    <w:rsid w:val="0079117F"/>
    <w:rsid w:val="00791548"/>
    <w:rsid w:val="00791BDB"/>
    <w:rsid w:val="00792634"/>
    <w:rsid w:val="00793128"/>
    <w:rsid w:val="00793BC4"/>
    <w:rsid w:val="00793DB2"/>
    <w:rsid w:val="00793DC1"/>
    <w:rsid w:val="00794151"/>
    <w:rsid w:val="00794EFC"/>
    <w:rsid w:val="00794F88"/>
    <w:rsid w:val="007950B6"/>
    <w:rsid w:val="007959EF"/>
    <w:rsid w:val="0079633F"/>
    <w:rsid w:val="00796461"/>
    <w:rsid w:val="00796542"/>
    <w:rsid w:val="007967A5"/>
    <w:rsid w:val="007967F7"/>
    <w:rsid w:val="00796C3A"/>
    <w:rsid w:val="00796D03"/>
    <w:rsid w:val="00796F25"/>
    <w:rsid w:val="00797269"/>
    <w:rsid w:val="00797391"/>
    <w:rsid w:val="007973DC"/>
    <w:rsid w:val="00797FE6"/>
    <w:rsid w:val="007A066E"/>
    <w:rsid w:val="007A0ABA"/>
    <w:rsid w:val="007A1982"/>
    <w:rsid w:val="007A1B67"/>
    <w:rsid w:val="007A206E"/>
    <w:rsid w:val="007A2217"/>
    <w:rsid w:val="007A2ABF"/>
    <w:rsid w:val="007A2CF6"/>
    <w:rsid w:val="007A2E98"/>
    <w:rsid w:val="007A2ECE"/>
    <w:rsid w:val="007A30A6"/>
    <w:rsid w:val="007A35B7"/>
    <w:rsid w:val="007A36E7"/>
    <w:rsid w:val="007A3BA3"/>
    <w:rsid w:val="007A3D72"/>
    <w:rsid w:val="007A48EF"/>
    <w:rsid w:val="007A540D"/>
    <w:rsid w:val="007A59C2"/>
    <w:rsid w:val="007A5E45"/>
    <w:rsid w:val="007A6678"/>
    <w:rsid w:val="007A6A1E"/>
    <w:rsid w:val="007A6B3F"/>
    <w:rsid w:val="007A6CC0"/>
    <w:rsid w:val="007A6EC3"/>
    <w:rsid w:val="007A7700"/>
    <w:rsid w:val="007A785A"/>
    <w:rsid w:val="007A7E02"/>
    <w:rsid w:val="007A7FEC"/>
    <w:rsid w:val="007B01A8"/>
    <w:rsid w:val="007B07EC"/>
    <w:rsid w:val="007B0E93"/>
    <w:rsid w:val="007B1499"/>
    <w:rsid w:val="007B15AF"/>
    <w:rsid w:val="007B161E"/>
    <w:rsid w:val="007B1BBF"/>
    <w:rsid w:val="007B1DA1"/>
    <w:rsid w:val="007B1E45"/>
    <w:rsid w:val="007B26AD"/>
    <w:rsid w:val="007B2960"/>
    <w:rsid w:val="007B2C40"/>
    <w:rsid w:val="007B3279"/>
    <w:rsid w:val="007B3288"/>
    <w:rsid w:val="007B3477"/>
    <w:rsid w:val="007B355D"/>
    <w:rsid w:val="007B3569"/>
    <w:rsid w:val="007B36D1"/>
    <w:rsid w:val="007B3B09"/>
    <w:rsid w:val="007B40E9"/>
    <w:rsid w:val="007B42B7"/>
    <w:rsid w:val="007B476B"/>
    <w:rsid w:val="007B48B5"/>
    <w:rsid w:val="007B4CD3"/>
    <w:rsid w:val="007B5476"/>
    <w:rsid w:val="007B55A1"/>
    <w:rsid w:val="007B55E9"/>
    <w:rsid w:val="007B655B"/>
    <w:rsid w:val="007B7079"/>
    <w:rsid w:val="007B7709"/>
    <w:rsid w:val="007B78FE"/>
    <w:rsid w:val="007B7980"/>
    <w:rsid w:val="007B79A3"/>
    <w:rsid w:val="007B7A21"/>
    <w:rsid w:val="007B7FA1"/>
    <w:rsid w:val="007C0848"/>
    <w:rsid w:val="007C0D8A"/>
    <w:rsid w:val="007C0DEF"/>
    <w:rsid w:val="007C0ED1"/>
    <w:rsid w:val="007C235D"/>
    <w:rsid w:val="007C2500"/>
    <w:rsid w:val="007C2A26"/>
    <w:rsid w:val="007C3AAD"/>
    <w:rsid w:val="007C3B32"/>
    <w:rsid w:val="007C3B53"/>
    <w:rsid w:val="007C3B5F"/>
    <w:rsid w:val="007C4107"/>
    <w:rsid w:val="007C4554"/>
    <w:rsid w:val="007C4A10"/>
    <w:rsid w:val="007C4AC6"/>
    <w:rsid w:val="007C4FE8"/>
    <w:rsid w:val="007C5136"/>
    <w:rsid w:val="007C560A"/>
    <w:rsid w:val="007C56F1"/>
    <w:rsid w:val="007C5D5A"/>
    <w:rsid w:val="007C607F"/>
    <w:rsid w:val="007C64B9"/>
    <w:rsid w:val="007C6520"/>
    <w:rsid w:val="007C6B76"/>
    <w:rsid w:val="007C6E18"/>
    <w:rsid w:val="007C7370"/>
    <w:rsid w:val="007C79DD"/>
    <w:rsid w:val="007D10BD"/>
    <w:rsid w:val="007D1A97"/>
    <w:rsid w:val="007D21D0"/>
    <w:rsid w:val="007D2CD6"/>
    <w:rsid w:val="007D3063"/>
    <w:rsid w:val="007D378B"/>
    <w:rsid w:val="007D37F7"/>
    <w:rsid w:val="007D38EB"/>
    <w:rsid w:val="007D3B14"/>
    <w:rsid w:val="007D3CEB"/>
    <w:rsid w:val="007D3E37"/>
    <w:rsid w:val="007D4059"/>
    <w:rsid w:val="007D4252"/>
    <w:rsid w:val="007D4BC1"/>
    <w:rsid w:val="007D4EE3"/>
    <w:rsid w:val="007D5155"/>
    <w:rsid w:val="007D5221"/>
    <w:rsid w:val="007D5736"/>
    <w:rsid w:val="007D5856"/>
    <w:rsid w:val="007D5982"/>
    <w:rsid w:val="007D6A52"/>
    <w:rsid w:val="007D6D29"/>
    <w:rsid w:val="007D6F91"/>
    <w:rsid w:val="007D70E7"/>
    <w:rsid w:val="007D730D"/>
    <w:rsid w:val="007D76A0"/>
    <w:rsid w:val="007D79AB"/>
    <w:rsid w:val="007D7D18"/>
    <w:rsid w:val="007E008C"/>
    <w:rsid w:val="007E00CF"/>
    <w:rsid w:val="007E061D"/>
    <w:rsid w:val="007E136E"/>
    <w:rsid w:val="007E203C"/>
    <w:rsid w:val="007E2411"/>
    <w:rsid w:val="007E2860"/>
    <w:rsid w:val="007E2A2C"/>
    <w:rsid w:val="007E2A71"/>
    <w:rsid w:val="007E2C57"/>
    <w:rsid w:val="007E2FE4"/>
    <w:rsid w:val="007E392F"/>
    <w:rsid w:val="007E3D39"/>
    <w:rsid w:val="007E3F6F"/>
    <w:rsid w:val="007E4B3C"/>
    <w:rsid w:val="007E5884"/>
    <w:rsid w:val="007E5921"/>
    <w:rsid w:val="007E5A04"/>
    <w:rsid w:val="007E6625"/>
    <w:rsid w:val="007E691A"/>
    <w:rsid w:val="007E6A8E"/>
    <w:rsid w:val="007E6D06"/>
    <w:rsid w:val="007E72CB"/>
    <w:rsid w:val="007E7683"/>
    <w:rsid w:val="007E7A84"/>
    <w:rsid w:val="007F020B"/>
    <w:rsid w:val="007F06DF"/>
    <w:rsid w:val="007F0BC1"/>
    <w:rsid w:val="007F1220"/>
    <w:rsid w:val="007F137A"/>
    <w:rsid w:val="007F16E8"/>
    <w:rsid w:val="007F218B"/>
    <w:rsid w:val="007F2CEE"/>
    <w:rsid w:val="007F2F7F"/>
    <w:rsid w:val="007F303C"/>
    <w:rsid w:val="007F34EE"/>
    <w:rsid w:val="007F40B2"/>
    <w:rsid w:val="007F41DB"/>
    <w:rsid w:val="007F49DB"/>
    <w:rsid w:val="007F49FA"/>
    <w:rsid w:val="007F54C4"/>
    <w:rsid w:val="007F5824"/>
    <w:rsid w:val="007F5B11"/>
    <w:rsid w:val="007F6267"/>
    <w:rsid w:val="007F6443"/>
    <w:rsid w:val="007F6872"/>
    <w:rsid w:val="007F6970"/>
    <w:rsid w:val="007F69BD"/>
    <w:rsid w:val="007F6CCC"/>
    <w:rsid w:val="007F6E9A"/>
    <w:rsid w:val="007F727D"/>
    <w:rsid w:val="007F7418"/>
    <w:rsid w:val="007F7BAB"/>
    <w:rsid w:val="008001C3"/>
    <w:rsid w:val="00800308"/>
    <w:rsid w:val="008003ED"/>
    <w:rsid w:val="00800841"/>
    <w:rsid w:val="00800A1B"/>
    <w:rsid w:val="00800BDC"/>
    <w:rsid w:val="00800CCD"/>
    <w:rsid w:val="008016D8"/>
    <w:rsid w:val="00801FEB"/>
    <w:rsid w:val="008025E3"/>
    <w:rsid w:val="00802E35"/>
    <w:rsid w:val="008030DC"/>
    <w:rsid w:val="008037E8"/>
    <w:rsid w:val="008044D4"/>
    <w:rsid w:val="00804571"/>
    <w:rsid w:val="00804FD8"/>
    <w:rsid w:val="00805C93"/>
    <w:rsid w:val="0080602A"/>
    <w:rsid w:val="0080660C"/>
    <w:rsid w:val="00806FDD"/>
    <w:rsid w:val="0080703B"/>
    <w:rsid w:val="008073A0"/>
    <w:rsid w:val="00807878"/>
    <w:rsid w:val="00807B7C"/>
    <w:rsid w:val="00807C4F"/>
    <w:rsid w:val="00807F58"/>
    <w:rsid w:val="00810AB4"/>
    <w:rsid w:val="008113EC"/>
    <w:rsid w:val="0081192C"/>
    <w:rsid w:val="00812862"/>
    <w:rsid w:val="00812951"/>
    <w:rsid w:val="00812A2A"/>
    <w:rsid w:val="00812CBF"/>
    <w:rsid w:val="00813009"/>
    <w:rsid w:val="0081331E"/>
    <w:rsid w:val="00813F5E"/>
    <w:rsid w:val="00813F87"/>
    <w:rsid w:val="00814188"/>
    <w:rsid w:val="00814A93"/>
    <w:rsid w:val="0081604D"/>
    <w:rsid w:val="0081687B"/>
    <w:rsid w:val="00816AD3"/>
    <w:rsid w:val="00816DB8"/>
    <w:rsid w:val="00817323"/>
    <w:rsid w:val="008177A6"/>
    <w:rsid w:val="00817B56"/>
    <w:rsid w:val="00817E57"/>
    <w:rsid w:val="00817EBB"/>
    <w:rsid w:val="0082096B"/>
    <w:rsid w:val="008209A3"/>
    <w:rsid w:val="008209C6"/>
    <w:rsid w:val="00820D8E"/>
    <w:rsid w:val="008213D1"/>
    <w:rsid w:val="008218C4"/>
    <w:rsid w:val="00821A88"/>
    <w:rsid w:val="00821D80"/>
    <w:rsid w:val="00822438"/>
    <w:rsid w:val="00822974"/>
    <w:rsid w:val="00822FD8"/>
    <w:rsid w:val="0082322E"/>
    <w:rsid w:val="0082388D"/>
    <w:rsid w:val="00823CE9"/>
    <w:rsid w:val="00824164"/>
    <w:rsid w:val="00824269"/>
    <w:rsid w:val="00824667"/>
    <w:rsid w:val="008246A4"/>
    <w:rsid w:val="00824787"/>
    <w:rsid w:val="00824822"/>
    <w:rsid w:val="0082495D"/>
    <w:rsid w:val="008249CC"/>
    <w:rsid w:val="00824F1D"/>
    <w:rsid w:val="00824FF8"/>
    <w:rsid w:val="008251E8"/>
    <w:rsid w:val="008255D1"/>
    <w:rsid w:val="00825E2D"/>
    <w:rsid w:val="008261A1"/>
    <w:rsid w:val="008273BD"/>
    <w:rsid w:val="00827BFB"/>
    <w:rsid w:val="00831012"/>
    <w:rsid w:val="0083105B"/>
    <w:rsid w:val="008312F6"/>
    <w:rsid w:val="008315C8"/>
    <w:rsid w:val="00831776"/>
    <w:rsid w:val="00831AC3"/>
    <w:rsid w:val="00831FE2"/>
    <w:rsid w:val="0083204B"/>
    <w:rsid w:val="00832693"/>
    <w:rsid w:val="00832A1E"/>
    <w:rsid w:val="00832FD1"/>
    <w:rsid w:val="0083300D"/>
    <w:rsid w:val="00833181"/>
    <w:rsid w:val="008331D5"/>
    <w:rsid w:val="008332BA"/>
    <w:rsid w:val="008339CE"/>
    <w:rsid w:val="00833A36"/>
    <w:rsid w:val="00834232"/>
    <w:rsid w:val="008342EE"/>
    <w:rsid w:val="00834434"/>
    <w:rsid w:val="0083472A"/>
    <w:rsid w:val="00834A56"/>
    <w:rsid w:val="00835234"/>
    <w:rsid w:val="00836264"/>
    <w:rsid w:val="008362BE"/>
    <w:rsid w:val="008365BA"/>
    <w:rsid w:val="00836D2E"/>
    <w:rsid w:val="00836FCE"/>
    <w:rsid w:val="008379FF"/>
    <w:rsid w:val="00837D0B"/>
    <w:rsid w:val="00837F59"/>
    <w:rsid w:val="00840303"/>
    <w:rsid w:val="008408FF"/>
    <w:rsid w:val="00840B2A"/>
    <w:rsid w:val="00840F4D"/>
    <w:rsid w:val="0084193F"/>
    <w:rsid w:val="0084234D"/>
    <w:rsid w:val="00842F57"/>
    <w:rsid w:val="008434B4"/>
    <w:rsid w:val="008434B8"/>
    <w:rsid w:val="00843B04"/>
    <w:rsid w:val="00843B55"/>
    <w:rsid w:val="00844079"/>
    <w:rsid w:val="008444CB"/>
    <w:rsid w:val="008445D6"/>
    <w:rsid w:val="008459A9"/>
    <w:rsid w:val="00845EE7"/>
    <w:rsid w:val="0084651C"/>
    <w:rsid w:val="00846B38"/>
    <w:rsid w:val="0084724D"/>
    <w:rsid w:val="00847394"/>
    <w:rsid w:val="0084777A"/>
    <w:rsid w:val="00847856"/>
    <w:rsid w:val="00847FA2"/>
    <w:rsid w:val="008503A6"/>
    <w:rsid w:val="008515D6"/>
    <w:rsid w:val="00851DB3"/>
    <w:rsid w:val="00851F3F"/>
    <w:rsid w:val="00851F59"/>
    <w:rsid w:val="00852A88"/>
    <w:rsid w:val="0085338F"/>
    <w:rsid w:val="008533C4"/>
    <w:rsid w:val="00853C74"/>
    <w:rsid w:val="00853EA8"/>
    <w:rsid w:val="0085400A"/>
    <w:rsid w:val="0085408D"/>
    <w:rsid w:val="00854491"/>
    <w:rsid w:val="00854716"/>
    <w:rsid w:val="00854E10"/>
    <w:rsid w:val="00855052"/>
    <w:rsid w:val="008551D4"/>
    <w:rsid w:val="008551DC"/>
    <w:rsid w:val="00855DB9"/>
    <w:rsid w:val="00856021"/>
    <w:rsid w:val="00856762"/>
    <w:rsid w:val="00856EDC"/>
    <w:rsid w:val="00860386"/>
    <w:rsid w:val="008603AC"/>
    <w:rsid w:val="008603D5"/>
    <w:rsid w:val="00860689"/>
    <w:rsid w:val="00860F7C"/>
    <w:rsid w:val="008617C5"/>
    <w:rsid w:val="00861EBF"/>
    <w:rsid w:val="008623B5"/>
    <w:rsid w:val="008623E9"/>
    <w:rsid w:val="008625D8"/>
    <w:rsid w:val="00862E06"/>
    <w:rsid w:val="00863115"/>
    <w:rsid w:val="008632CA"/>
    <w:rsid w:val="00863E97"/>
    <w:rsid w:val="008649A5"/>
    <w:rsid w:val="00864C96"/>
    <w:rsid w:val="00864F27"/>
    <w:rsid w:val="00865223"/>
    <w:rsid w:val="00865E5E"/>
    <w:rsid w:val="008660EE"/>
    <w:rsid w:val="00866183"/>
    <w:rsid w:val="0086655D"/>
    <w:rsid w:val="008665B8"/>
    <w:rsid w:val="00867336"/>
    <w:rsid w:val="0086787F"/>
    <w:rsid w:val="00867E18"/>
    <w:rsid w:val="00870090"/>
    <w:rsid w:val="00870544"/>
    <w:rsid w:val="00870627"/>
    <w:rsid w:val="00870ABA"/>
    <w:rsid w:val="00870C5F"/>
    <w:rsid w:val="00871045"/>
    <w:rsid w:val="008710E1"/>
    <w:rsid w:val="00871235"/>
    <w:rsid w:val="00871345"/>
    <w:rsid w:val="008716E5"/>
    <w:rsid w:val="00871908"/>
    <w:rsid w:val="00871B99"/>
    <w:rsid w:val="00871DED"/>
    <w:rsid w:val="008722F0"/>
    <w:rsid w:val="0087290B"/>
    <w:rsid w:val="00872C1B"/>
    <w:rsid w:val="00872C9C"/>
    <w:rsid w:val="00872E90"/>
    <w:rsid w:val="00872FA0"/>
    <w:rsid w:val="00873365"/>
    <w:rsid w:val="0087339F"/>
    <w:rsid w:val="00873589"/>
    <w:rsid w:val="00874783"/>
    <w:rsid w:val="00874BDE"/>
    <w:rsid w:val="00874C3B"/>
    <w:rsid w:val="00874FEB"/>
    <w:rsid w:val="0087519B"/>
    <w:rsid w:val="00875812"/>
    <w:rsid w:val="00875BDC"/>
    <w:rsid w:val="00875E3A"/>
    <w:rsid w:val="00875EC4"/>
    <w:rsid w:val="00876191"/>
    <w:rsid w:val="0087635E"/>
    <w:rsid w:val="008763AB"/>
    <w:rsid w:val="00876454"/>
    <w:rsid w:val="00876DF3"/>
    <w:rsid w:val="0087736D"/>
    <w:rsid w:val="008778E8"/>
    <w:rsid w:val="00877E2E"/>
    <w:rsid w:val="00877E6E"/>
    <w:rsid w:val="008808CA"/>
    <w:rsid w:val="008817B7"/>
    <w:rsid w:val="00881CA9"/>
    <w:rsid w:val="00882156"/>
    <w:rsid w:val="008826A1"/>
    <w:rsid w:val="008828F0"/>
    <w:rsid w:val="00882CDB"/>
    <w:rsid w:val="00882F61"/>
    <w:rsid w:val="0088348F"/>
    <w:rsid w:val="00883628"/>
    <w:rsid w:val="0088365E"/>
    <w:rsid w:val="0088390B"/>
    <w:rsid w:val="00883A1A"/>
    <w:rsid w:val="00883DF6"/>
    <w:rsid w:val="008840EB"/>
    <w:rsid w:val="008841A5"/>
    <w:rsid w:val="008842A9"/>
    <w:rsid w:val="008842D1"/>
    <w:rsid w:val="0088443A"/>
    <w:rsid w:val="00884443"/>
    <w:rsid w:val="00884664"/>
    <w:rsid w:val="0088474A"/>
    <w:rsid w:val="00884F2A"/>
    <w:rsid w:val="00884FC4"/>
    <w:rsid w:val="00885544"/>
    <w:rsid w:val="00885952"/>
    <w:rsid w:val="008862B1"/>
    <w:rsid w:val="0088634E"/>
    <w:rsid w:val="008866A9"/>
    <w:rsid w:val="00886823"/>
    <w:rsid w:val="00886F0C"/>
    <w:rsid w:val="0088708C"/>
    <w:rsid w:val="0088782B"/>
    <w:rsid w:val="00887993"/>
    <w:rsid w:val="00887FA7"/>
    <w:rsid w:val="0089013E"/>
    <w:rsid w:val="00890331"/>
    <w:rsid w:val="008903DC"/>
    <w:rsid w:val="00890B2D"/>
    <w:rsid w:val="00890C7D"/>
    <w:rsid w:val="00891B92"/>
    <w:rsid w:val="00891E9E"/>
    <w:rsid w:val="00891EA3"/>
    <w:rsid w:val="0089247B"/>
    <w:rsid w:val="008924CE"/>
    <w:rsid w:val="0089252C"/>
    <w:rsid w:val="00892F34"/>
    <w:rsid w:val="0089341B"/>
    <w:rsid w:val="0089364F"/>
    <w:rsid w:val="00893817"/>
    <w:rsid w:val="00893AB8"/>
    <w:rsid w:val="00893CDD"/>
    <w:rsid w:val="0089401D"/>
    <w:rsid w:val="008942D6"/>
    <w:rsid w:val="00894731"/>
    <w:rsid w:val="008948EF"/>
    <w:rsid w:val="00894AC2"/>
    <w:rsid w:val="00894E4E"/>
    <w:rsid w:val="00894EEF"/>
    <w:rsid w:val="008953C9"/>
    <w:rsid w:val="00895B6B"/>
    <w:rsid w:val="008961DB"/>
    <w:rsid w:val="0089687E"/>
    <w:rsid w:val="008978F3"/>
    <w:rsid w:val="00897C18"/>
    <w:rsid w:val="00897D13"/>
    <w:rsid w:val="00897DB0"/>
    <w:rsid w:val="008A020B"/>
    <w:rsid w:val="008A04C8"/>
    <w:rsid w:val="008A06FB"/>
    <w:rsid w:val="008A1126"/>
    <w:rsid w:val="008A2303"/>
    <w:rsid w:val="008A23CF"/>
    <w:rsid w:val="008A24E5"/>
    <w:rsid w:val="008A26E1"/>
    <w:rsid w:val="008A2739"/>
    <w:rsid w:val="008A2850"/>
    <w:rsid w:val="008A2D8E"/>
    <w:rsid w:val="008A4066"/>
    <w:rsid w:val="008A4193"/>
    <w:rsid w:val="008A535A"/>
    <w:rsid w:val="008A5D02"/>
    <w:rsid w:val="008A617A"/>
    <w:rsid w:val="008A642E"/>
    <w:rsid w:val="008A6495"/>
    <w:rsid w:val="008A6646"/>
    <w:rsid w:val="008A6913"/>
    <w:rsid w:val="008A6937"/>
    <w:rsid w:val="008A6C29"/>
    <w:rsid w:val="008A761F"/>
    <w:rsid w:val="008B011E"/>
    <w:rsid w:val="008B1213"/>
    <w:rsid w:val="008B16C2"/>
    <w:rsid w:val="008B21B0"/>
    <w:rsid w:val="008B2662"/>
    <w:rsid w:val="008B295C"/>
    <w:rsid w:val="008B2BCA"/>
    <w:rsid w:val="008B2E2B"/>
    <w:rsid w:val="008B39FD"/>
    <w:rsid w:val="008B3FDC"/>
    <w:rsid w:val="008B4329"/>
    <w:rsid w:val="008B43CA"/>
    <w:rsid w:val="008B4887"/>
    <w:rsid w:val="008B4D56"/>
    <w:rsid w:val="008B516D"/>
    <w:rsid w:val="008B558F"/>
    <w:rsid w:val="008B5C78"/>
    <w:rsid w:val="008B601A"/>
    <w:rsid w:val="008B6443"/>
    <w:rsid w:val="008B675E"/>
    <w:rsid w:val="008B6951"/>
    <w:rsid w:val="008B6DBB"/>
    <w:rsid w:val="008B70F3"/>
    <w:rsid w:val="008B71C4"/>
    <w:rsid w:val="008B737D"/>
    <w:rsid w:val="008B76BE"/>
    <w:rsid w:val="008B76DF"/>
    <w:rsid w:val="008B7A96"/>
    <w:rsid w:val="008C0465"/>
    <w:rsid w:val="008C0931"/>
    <w:rsid w:val="008C0A12"/>
    <w:rsid w:val="008C0BC7"/>
    <w:rsid w:val="008C10CF"/>
    <w:rsid w:val="008C10F4"/>
    <w:rsid w:val="008C1E3C"/>
    <w:rsid w:val="008C1E75"/>
    <w:rsid w:val="008C2538"/>
    <w:rsid w:val="008C259A"/>
    <w:rsid w:val="008C34F4"/>
    <w:rsid w:val="008C3774"/>
    <w:rsid w:val="008C3965"/>
    <w:rsid w:val="008C3D93"/>
    <w:rsid w:val="008C3F1F"/>
    <w:rsid w:val="008C4367"/>
    <w:rsid w:val="008C4EF1"/>
    <w:rsid w:val="008C58D7"/>
    <w:rsid w:val="008C5CA8"/>
    <w:rsid w:val="008C5D84"/>
    <w:rsid w:val="008C6296"/>
    <w:rsid w:val="008C62E0"/>
    <w:rsid w:val="008C65F7"/>
    <w:rsid w:val="008C6BBF"/>
    <w:rsid w:val="008C73F8"/>
    <w:rsid w:val="008C7483"/>
    <w:rsid w:val="008C7B56"/>
    <w:rsid w:val="008D04B1"/>
    <w:rsid w:val="008D04C4"/>
    <w:rsid w:val="008D0A47"/>
    <w:rsid w:val="008D14E4"/>
    <w:rsid w:val="008D155E"/>
    <w:rsid w:val="008D1758"/>
    <w:rsid w:val="008D17D2"/>
    <w:rsid w:val="008D18DA"/>
    <w:rsid w:val="008D21A1"/>
    <w:rsid w:val="008D27C1"/>
    <w:rsid w:val="008D2C3A"/>
    <w:rsid w:val="008D307B"/>
    <w:rsid w:val="008D3306"/>
    <w:rsid w:val="008D3915"/>
    <w:rsid w:val="008D4022"/>
    <w:rsid w:val="008D43BC"/>
    <w:rsid w:val="008D4925"/>
    <w:rsid w:val="008D50DB"/>
    <w:rsid w:val="008D53A8"/>
    <w:rsid w:val="008D5D2E"/>
    <w:rsid w:val="008D60AB"/>
    <w:rsid w:val="008D677F"/>
    <w:rsid w:val="008D6A21"/>
    <w:rsid w:val="008D6A7E"/>
    <w:rsid w:val="008D7085"/>
    <w:rsid w:val="008D7190"/>
    <w:rsid w:val="008D7776"/>
    <w:rsid w:val="008D79D0"/>
    <w:rsid w:val="008D7D91"/>
    <w:rsid w:val="008D7ED5"/>
    <w:rsid w:val="008E0428"/>
    <w:rsid w:val="008E0536"/>
    <w:rsid w:val="008E05FD"/>
    <w:rsid w:val="008E0C6B"/>
    <w:rsid w:val="008E0CB6"/>
    <w:rsid w:val="008E0D39"/>
    <w:rsid w:val="008E1262"/>
    <w:rsid w:val="008E12DD"/>
    <w:rsid w:val="008E1401"/>
    <w:rsid w:val="008E2185"/>
    <w:rsid w:val="008E22D5"/>
    <w:rsid w:val="008E3A42"/>
    <w:rsid w:val="008E3E06"/>
    <w:rsid w:val="008E458E"/>
    <w:rsid w:val="008E45DA"/>
    <w:rsid w:val="008E475C"/>
    <w:rsid w:val="008E4767"/>
    <w:rsid w:val="008E4F8D"/>
    <w:rsid w:val="008E556D"/>
    <w:rsid w:val="008E5A7B"/>
    <w:rsid w:val="008E5D92"/>
    <w:rsid w:val="008E690D"/>
    <w:rsid w:val="008E6A56"/>
    <w:rsid w:val="008E6FDB"/>
    <w:rsid w:val="008E74AA"/>
    <w:rsid w:val="008E7784"/>
    <w:rsid w:val="008E77AC"/>
    <w:rsid w:val="008E7805"/>
    <w:rsid w:val="008E7A8C"/>
    <w:rsid w:val="008F011F"/>
    <w:rsid w:val="008F161D"/>
    <w:rsid w:val="008F197C"/>
    <w:rsid w:val="008F1FB1"/>
    <w:rsid w:val="008F2106"/>
    <w:rsid w:val="008F2180"/>
    <w:rsid w:val="008F21B0"/>
    <w:rsid w:val="008F2948"/>
    <w:rsid w:val="008F3C82"/>
    <w:rsid w:val="008F402B"/>
    <w:rsid w:val="008F459C"/>
    <w:rsid w:val="008F5122"/>
    <w:rsid w:val="008F5512"/>
    <w:rsid w:val="008F55E7"/>
    <w:rsid w:val="008F6502"/>
    <w:rsid w:val="008F660C"/>
    <w:rsid w:val="008F6CB3"/>
    <w:rsid w:val="008F6CB7"/>
    <w:rsid w:val="008F705B"/>
    <w:rsid w:val="008F7196"/>
    <w:rsid w:val="008F7335"/>
    <w:rsid w:val="008F786F"/>
    <w:rsid w:val="009000D7"/>
    <w:rsid w:val="00900680"/>
    <w:rsid w:val="0090146F"/>
    <w:rsid w:val="00901537"/>
    <w:rsid w:val="009018B4"/>
    <w:rsid w:val="0090203B"/>
    <w:rsid w:val="0090233E"/>
    <w:rsid w:val="00902540"/>
    <w:rsid w:val="009027D0"/>
    <w:rsid w:val="00902C34"/>
    <w:rsid w:val="0090319D"/>
    <w:rsid w:val="00903285"/>
    <w:rsid w:val="0090349A"/>
    <w:rsid w:val="00903768"/>
    <w:rsid w:val="00903905"/>
    <w:rsid w:val="00903C4C"/>
    <w:rsid w:val="0090463A"/>
    <w:rsid w:val="00904CC1"/>
    <w:rsid w:val="009053CE"/>
    <w:rsid w:val="009058BE"/>
    <w:rsid w:val="00905BF6"/>
    <w:rsid w:val="00905C7C"/>
    <w:rsid w:val="00905E60"/>
    <w:rsid w:val="0090658B"/>
    <w:rsid w:val="009068C9"/>
    <w:rsid w:val="00906B84"/>
    <w:rsid w:val="00906F40"/>
    <w:rsid w:val="0090731E"/>
    <w:rsid w:val="009073F5"/>
    <w:rsid w:val="00907727"/>
    <w:rsid w:val="00907B15"/>
    <w:rsid w:val="00907BF9"/>
    <w:rsid w:val="009102E2"/>
    <w:rsid w:val="00910802"/>
    <w:rsid w:val="0091080F"/>
    <w:rsid w:val="00910895"/>
    <w:rsid w:val="00910938"/>
    <w:rsid w:val="00910958"/>
    <w:rsid w:val="00910FA6"/>
    <w:rsid w:val="00911605"/>
    <w:rsid w:val="00911653"/>
    <w:rsid w:val="00911766"/>
    <w:rsid w:val="0091181F"/>
    <w:rsid w:val="0091196F"/>
    <w:rsid w:val="00912663"/>
    <w:rsid w:val="00912B63"/>
    <w:rsid w:val="0091315C"/>
    <w:rsid w:val="00913697"/>
    <w:rsid w:val="0091378A"/>
    <w:rsid w:val="00913ED0"/>
    <w:rsid w:val="00913FD3"/>
    <w:rsid w:val="0091429E"/>
    <w:rsid w:val="009142BE"/>
    <w:rsid w:val="009143C0"/>
    <w:rsid w:val="00914894"/>
    <w:rsid w:val="00914949"/>
    <w:rsid w:val="00914A74"/>
    <w:rsid w:val="0091579B"/>
    <w:rsid w:val="00915B1C"/>
    <w:rsid w:val="00915F47"/>
    <w:rsid w:val="0091607A"/>
    <w:rsid w:val="009160A1"/>
    <w:rsid w:val="00916474"/>
    <w:rsid w:val="009174F3"/>
    <w:rsid w:val="00917641"/>
    <w:rsid w:val="009176AA"/>
    <w:rsid w:val="0091797D"/>
    <w:rsid w:val="0092011A"/>
    <w:rsid w:val="009205C2"/>
    <w:rsid w:val="00920A18"/>
    <w:rsid w:val="00920BA0"/>
    <w:rsid w:val="00920F9A"/>
    <w:rsid w:val="009213B2"/>
    <w:rsid w:val="0092200E"/>
    <w:rsid w:val="00922129"/>
    <w:rsid w:val="00922BBE"/>
    <w:rsid w:val="009230F6"/>
    <w:rsid w:val="00923414"/>
    <w:rsid w:val="0092394D"/>
    <w:rsid w:val="00923B5F"/>
    <w:rsid w:val="00923CBA"/>
    <w:rsid w:val="00923CDC"/>
    <w:rsid w:val="00923EAB"/>
    <w:rsid w:val="00923EEE"/>
    <w:rsid w:val="00924624"/>
    <w:rsid w:val="00924747"/>
    <w:rsid w:val="00925F17"/>
    <w:rsid w:val="00926703"/>
    <w:rsid w:val="00926CF3"/>
    <w:rsid w:val="00926D4E"/>
    <w:rsid w:val="00926DBB"/>
    <w:rsid w:val="00927691"/>
    <w:rsid w:val="00927869"/>
    <w:rsid w:val="00927A5F"/>
    <w:rsid w:val="00930510"/>
    <w:rsid w:val="00930683"/>
    <w:rsid w:val="00930EA0"/>
    <w:rsid w:val="0093136E"/>
    <w:rsid w:val="009313D6"/>
    <w:rsid w:val="00931729"/>
    <w:rsid w:val="00931ED9"/>
    <w:rsid w:val="00932E91"/>
    <w:rsid w:val="00933051"/>
    <w:rsid w:val="00933151"/>
    <w:rsid w:val="009331F0"/>
    <w:rsid w:val="00933802"/>
    <w:rsid w:val="00933838"/>
    <w:rsid w:val="00933ACD"/>
    <w:rsid w:val="00933EF4"/>
    <w:rsid w:val="00934A6B"/>
    <w:rsid w:val="00934BB9"/>
    <w:rsid w:val="00934DDA"/>
    <w:rsid w:val="00934F53"/>
    <w:rsid w:val="00934FF3"/>
    <w:rsid w:val="00935B63"/>
    <w:rsid w:val="00936613"/>
    <w:rsid w:val="00936630"/>
    <w:rsid w:val="009367FF"/>
    <w:rsid w:val="00936972"/>
    <w:rsid w:val="00936E95"/>
    <w:rsid w:val="00936FA7"/>
    <w:rsid w:val="009374A8"/>
    <w:rsid w:val="00937A59"/>
    <w:rsid w:val="00937CB8"/>
    <w:rsid w:val="00940248"/>
    <w:rsid w:val="0094078F"/>
    <w:rsid w:val="00940BD7"/>
    <w:rsid w:val="00940FA3"/>
    <w:rsid w:val="00941410"/>
    <w:rsid w:val="0094188A"/>
    <w:rsid w:val="00941FB0"/>
    <w:rsid w:val="009426D4"/>
    <w:rsid w:val="00942707"/>
    <w:rsid w:val="00942799"/>
    <w:rsid w:val="00942EFE"/>
    <w:rsid w:val="00942F69"/>
    <w:rsid w:val="009430C0"/>
    <w:rsid w:val="009430DD"/>
    <w:rsid w:val="00943A25"/>
    <w:rsid w:val="00943C48"/>
    <w:rsid w:val="00944323"/>
    <w:rsid w:val="00944391"/>
    <w:rsid w:val="00944BA5"/>
    <w:rsid w:val="00944D3E"/>
    <w:rsid w:val="00944EB2"/>
    <w:rsid w:val="0094545C"/>
    <w:rsid w:val="00945487"/>
    <w:rsid w:val="009455A9"/>
    <w:rsid w:val="009458A1"/>
    <w:rsid w:val="00946514"/>
    <w:rsid w:val="0094658D"/>
    <w:rsid w:val="00946930"/>
    <w:rsid w:val="00946B7B"/>
    <w:rsid w:val="00946E8E"/>
    <w:rsid w:val="00947A8B"/>
    <w:rsid w:val="00947F25"/>
    <w:rsid w:val="00950153"/>
    <w:rsid w:val="00950159"/>
    <w:rsid w:val="00950338"/>
    <w:rsid w:val="00950819"/>
    <w:rsid w:val="00950D8F"/>
    <w:rsid w:val="00950DCE"/>
    <w:rsid w:val="009513E1"/>
    <w:rsid w:val="009516BA"/>
    <w:rsid w:val="00951CAF"/>
    <w:rsid w:val="00952594"/>
    <w:rsid w:val="00952887"/>
    <w:rsid w:val="009528A1"/>
    <w:rsid w:val="00952DB0"/>
    <w:rsid w:val="00952F75"/>
    <w:rsid w:val="009531A1"/>
    <w:rsid w:val="00953A06"/>
    <w:rsid w:val="00953A08"/>
    <w:rsid w:val="00953AF8"/>
    <w:rsid w:val="00953E15"/>
    <w:rsid w:val="00954556"/>
    <w:rsid w:val="0095490B"/>
    <w:rsid w:val="0095516B"/>
    <w:rsid w:val="009555AD"/>
    <w:rsid w:val="009560C5"/>
    <w:rsid w:val="009562BC"/>
    <w:rsid w:val="009562E9"/>
    <w:rsid w:val="00956749"/>
    <w:rsid w:val="009567C2"/>
    <w:rsid w:val="00956E0A"/>
    <w:rsid w:val="0096047E"/>
    <w:rsid w:val="009606D4"/>
    <w:rsid w:val="00960A33"/>
    <w:rsid w:val="00960A34"/>
    <w:rsid w:val="00960DD3"/>
    <w:rsid w:val="009616FE"/>
    <w:rsid w:val="0096188B"/>
    <w:rsid w:val="00961C6C"/>
    <w:rsid w:val="00962160"/>
    <w:rsid w:val="00962264"/>
    <w:rsid w:val="00962312"/>
    <w:rsid w:val="00963367"/>
    <w:rsid w:val="00963756"/>
    <w:rsid w:val="0096381C"/>
    <w:rsid w:val="009641E4"/>
    <w:rsid w:val="00964C47"/>
    <w:rsid w:val="0096504F"/>
    <w:rsid w:val="0096565D"/>
    <w:rsid w:val="009657BA"/>
    <w:rsid w:val="00965A80"/>
    <w:rsid w:val="00965DC5"/>
    <w:rsid w:val="00965E72"/>
    <w:rsid w:val="009661B3"/>
    <w:rsid w:val="00966753"/>
    <w:rsid w:val="00966E65"/>
    <w:rsid w:val="00967004"/>
    <w:rsid w:val="0096735B"/>
    <w:rsid w:val="009701EF"/>
    <w:rsid w:val="00970527"/>
    <w:rsid w:val="00970888"/>
    <w:rsid w:val="00970AA6"/>
    <w:rsid w:val="00970D5A"/>
    <w:rsid w:val="0097103A"/>
    <w:rsid w:val="00971914"/>
    <w:rsid w:val="00973124"/>
    <w:rsid w:val="00973206"/>
    <w:rsid w:val="009732DB"/>
    <w:rsid w:val="0097370B"/>
    <w:rsid w:val="00973999"/>
    <w:rsid w:val="009740AA"/>
    <w:rsid w:val="00974363"/>
    <w:rsid w:val="0097462F"/>
    <w:rsid w:val="00974910"/>
    <w:rsid w:val="00975618"/>
    <w:rsid w:val="0097643C"/>
    <w:rsid w:val="00976DAF"/>
    <w:rsid w:val="009770F2"/>
    <w:rsid w:val="009773EA"/>
    <w:rsid w:val="00977B08"/>
    <w:rsid w:val="00977F33"/>
    <w:rsid w:val="00980737"/>
    <w:rsid w:val="00981898"/>
    <w:rsid w:val="00981C41"/>
    <w:rsid w:val="00982454"/>
    <w:rsid w:val="00982B8B"/>
    <w:rsid w:val="00982D7D"/>
    <w:rsid w:val="00983296"/>
    <w:rsid w:val="00983FCA"/>
    <w:rsid w:val="00983FF2"/>
    <w:rsid w:val="00984EEA"/>
    <w:rsid w:val="00984F14"/>
    <w:rsid w:val="00985A0B"/>
    <w:rsid w:val="0098600A"/>
    <w:rsid w:val="0098624C"/>
    <w:rsid w:val="009865ED"/>
    <w:rsid w:val="00986B47"/>
    <w:rsid w:val="00986B7D"/>
    <w:rsid w:val="00986B90"/>
    <w:rsid w:val="00986DA3"/>
    <w:rsid w:val="009878FD"/>
    <w:rsid w:val="00987D74"/>
    <w:rsid w:val="0099144A"/>
    <w:rsid w:val="0099156B"/>
    <w:rsid w:val="00991AB7"/>
    <w:rsid w:val="0099277D"/>
    <w:rsid w:val="009929E3"/>
    <w:rsid w:val="00992ACC"/>
    <w:rsid w:val="009931D5"/>
    <w:rsid w:val="00993844"/>
    <w:rsid w:val="00993F0F"/>
    <w:rsid w:val="009942D4"/>
    <w:rsid w:val="00994A9D"/>
    <w:rsid w:val="00994BD4"/>
    <w:rsid w:val="00994CD4"/>
    <w:rsid w:val="0099577C"/>
    <w:rsid w:val="0099578E"/>
    <w:rsid w:val="0099583B"/>
    <w:rsid w:val="00995901"/>
    <w:rsid w:val="00995EA9"/>
    <w:rsid w:val="00996179"/>
    <w:rsid w:val="0099653D"/>
    <w:rsid w:val="00996931"/>
    <w:rsid w:val="009974FE"/>
    <w:rsid w:val="00997BAE"/>
    <w:rsid w:val="009A01BA"/>
    <w:rsid w:val="009A021C"/>
    <w:rsid w:val="009A0956"/>
    <w:rsid w:val="009A097C"/>
    <w:rsid w:val="009A09E9"/>
    <w:rsid w:val="009A0C5A"/>
    <w:rsid w:val="009A1776"/>
    <w:rsid w:val="009A21C6"/>
    <w:rsid w:val="009A25CC"/>
    <w:rsid w:val="009A2601"/>
    <w:rsid w:val="009A26C1"/>
    <w:rsid w:val="009A277A"/>
    <w:rsid w:val="009A2B3C"/>
    <w:rsid w:val="009A2D67"/>
    <w:rsid w:val="009A2F14"/>
    <w:rsid w:val="009A4528"/>
    <w:rsid w:val="009A48E3"/>
    <w:rsid w:val="009A4AE4"/>
    <w:rsid w:val="009A50B0"/>
    <w:rsid w:val="009A513C"/>
    <w:rsid w:val="009A533B"/>
    <w:rsid w:val="009A5649"/>
    <w:rsid w:val="009A5A14"/>
    <w:rsid w:val="009A5B5A"/>
    <w:rsid w:val="009A6CBE"/>
    <w:rsid w:val="009A6E5C"/>
    <w:rsid w:val="009A71E1"/>
    <w:rsid w:val="009A7C8D"/>
    <w:rsid w:val="009A7F39"/>
    <w:rsid w:val="009B0195"/>
    <w:rsid w:val="009B01B1"/>
    <w:rsid w:val="009B01E4"/>
    <w:rsid w:val="009B0633"/>
    <w:rsid w:val="009B0FA7"/>
    <w:rsid w:val="009B10B8"/>
    <w:rsid w:val="009B190C"/>
    <w:rsid w:val="009B1E79"/>
    <w:rsid w:val="009B1EFE"/>
    <w:rsid w:val="009B24A5"/>
    <w:rsid w:val="009B2601"/>
    <w:rsid w:val="009B2733"/>
    <w:rsid w:val="009B275D"/>
    <w:rsid w:val="009B2A1E"/>
    <w:rsid w:val="009B37CF"/>
    <w:rsid w:val="009B3E93"/>
    <w:rsid w:val="009B4210"/>
    <w:rsid w:val="009B428A"/>
    <w:rsid w:val="009B491D"/>
    <w:rsid w:val="009B4BAC"/>
    <w:rsid w:val="009B4D59"/>
    <w:rsid w:val="009B4E9E"/>
    <w:rsid w:val="009B4ECA"/>
    <w:rsid w:val="009B522D"/>
    <w:rsid w:val="009B5B99"/>
    <w:rsid w:val="009B6C2A"/>
    <w:rsid w:val="009B6E82"/>
    <w:rsid w:val="009B7815"/>
    <w:rsid w:val="009B7EC9"/>
    <w:rsid w:val="009C0365"/>
    <w:rsid w:val="009C1494"/>
    <w:rsid w:val="009C14FF"/>
    <w:rsid w:val="009C15F0"/>
    <w:rsid w:val="009C1690"/>
    <w:rsid w:val="009C2486"/>
    <w:rsid w:val="009C24AA"/>
    <w:rsid w:val="009C255F"/>
    <w:rsid w:val="009C2BCD"/>
    <w:rsid w:val="009C2BE6"/>
    <w:rsid w:val="009C38DE"/>
    <w:rsid w:val="009C3A7B"/>
    <w:rsid w:val="009C49E3"/>
    <w:rsid w:val="009C50C8"/>
    <w:rsid w:val="009C62B0"/>
    <w:rsid w:val="009C63D9"/>
    <w:rsid w:val="009C64F6"/>
    <w:rsid w:val="009C6881"/>
    <w:rsid w:val="009C6A0F"/>
    <w:rsid w:val="009C6D09"/>
    <w:rsid w:val="009C6D3B"/>
    <w:rsid w:val="009C6FB2"/>
    <w:rsid w:val="009C7759"/>
    <w:rsid w:val="009C7846"/>
    <w:rsid w:val="009C7CE7"/>
    <w:rsid w:val="009C7DB7"/>
    <w:rsid w:val="009D018A"/>
    <w:rsid w:val="009D0428"/>
    <w:rsid w:val="009D043D"/>
    <w:rsid w:val="009D07C8"/>
    <w:rsid w:val="009D07FF"/>
    <w:rsid w:val="009D0826"/>
    <w:rsid w:val="009D0906"/>
    <w:rsid w:val="009D0954"/>
    <w:rsid w:val="009D0BD0"/>
    <w:rsid w:val="009D1667"/>
    <w:rsid w:val="009D1820"/>
    <w:rsid w:val="009D1BD2"/>
    <w:rsid w:val="009D23E0"/>
    <w:rsid w:val="009D28BB"/>
    <w:rsid w:val="009D2E63"/>
    <w:rsid w:val="009D34DB"/>
    <w:rsid w:val="009D39D5"/>
    <w:rsid w:val="009D3ADF"/>
    <w:rsid w:val="009D3CF9"/>
    <w:rsid w:val="009D400E"/>
    <w:rsid w:val="009D46D5"/>
    <w:rsid w:val="009D48D3"/>
    <w:rsid w:val="009D4C85"/>
    <w:rsid w:val="009D59B1"/>
    <w:rsid w:val="009D5BD3"/>
    <w:rsid w:val="009D5D34"/>
    <w:rsid w:val="009D5DDD"/>
    <w:rsid w:val="009D6223"/>
    <w:rsid w:val="009D6B8B"/>
    <w:rsid w:val="009D6C71"/>
    <w:rsid w:val="009D75A0"/>
    <w:rsid w:val="009D7768"/>
    <w:rsid w:val="009D7923"/>
    <w:rsid w:val="009D7EF1"/>
    <w:rsid w:val="009E003B"/>
    <w:rsid w:val="009E0086"/>
    <w:rsid w:val="009E011F"/>
    <w:rsid w:val="009E029A"/>
    <w:rsid w:val="009E0486"/>
    <w:rsid w:val="009E04E9"/>
    <w:rsid w:val="009E0631"/>
    <w:rsid w:val="009E08A9"/>
    <w:rsid w:val="009E0983"/>
    <w:rsid w:val="009E0D33"/>
    <w:rsid w:val="009E0E55"/>
    <w:rsid w:val="009E11F7"/>
    <w:rsid w:val="009E15FE"/>
    <w:rsid w:val="009E16D0"/>
    <w:rsid w:val="009E1AE5"/>
    <w:rsid w:val="009E1E3D"/>
    <w:rsid w:val="009E1EA5"/>
    <w:rsid w:val="009E2051"/>
    <w:rsid w:val="009E21CE"/>
    <w:rsid w:val="009E23FF"/>
    <w:rsid w:val="009E29B2"/>
    <w:rsid w:val="009E2B90"/>
    <w:rsid w:val="009E2E3B"/>
    <w:rsid w:val="009E33CA"/>
    <w:rsid w:val="009E38FD"/>
    <w:rsid w:val="009E4277"/>
    <w:rsid w:val="009E4398"/>
    <w:rsid w:val="009E587D"/>
    <w:rsid w:val="009E6419"/>
    <w:rsid w:val="009E6C5D"/>
    <w:rsid w:val="009E6D94"/>
    <w:rsid w:val="009E7354"/>
    <w:rsid w:val="009E75B6"/>
    <w:rsid w:val="009E769C"/>
    <w:rsid w:val="009E7EC6"/>
    <w:rsid w:val="009F0186"/>
    <w:rsid w:val="009F02FB"/>
    <w:rsid w:val="009F038E"/>
    <w:rsid w:val="009F0E4E"/>
    <w:rsid w:val="009F13D6"/>
    <w:rsid w:val="009F1711"/>
    <w:rsid w:val="009F18F0"/>
    <w:rsid w:val="009F1DFA"/>
    <w:rsid w:val="009F2139"/>
    <w:rsid w:val="009F2310"/>
    <w:rsid w:val="009F293E"/>
    <w:rsid w:val="009F2B23"/>
    <w:rsid w:val="009F3981"/>
    <w:rsid w:val="009F3A74"/>
    <w:rsid w:val="009F3B6D"/>
    <w:rsid w:val="009F3DBB"/>
    <w:rsid w:val="009F428E"/>
    <w:rsid w:val="009F458F"/>
    <w:rsid w:val="009F4905"/>
    <w:rsid w:val="009F4B5F"/>
    <w:rsid w:val="009F4C6B"/>
    <w:rsid w:val="009F50F8"/>
    <w:rsid w:val="009F593F"/>
    <w:rsid w:val="009F5961"/>
    <w:rsid w:val="009F622D"/>
    <w:rsid w:val="009F6362"/>
    <w:rsid w:val="009F6921"/>
    <w:rsid w:val="009F6C93"/>
    <w:rsid w:val="009F6CAD"/>
    <w:rsid w:val="009F71B1"/>
    <w:rsid w:val="009F7250"/>
    <w:rsid w:val="009F73B4"/>
    <w:rsid w:val="009F77A9"/>
    <w:rsid w:val="009F77E8"/>
    <w:rsid w:val="009F78A8"/>
    <w:rsid w:val="00A007F5"/>
    <w:rsid w:val="00A00824"/>
    <w:rsid w:val="00A00CD4"/>
    <w:rsid w:val="00A00CFF"/>
    <w:rsid w:val="00A01130"/>
    <w:rsid w:val="00A0141D"/>
    <w:rsid w:val="00A01534"/>
    <w:rsid w:val="00A01747"/>
    <w:rsid w:val="00A017CC"/>
    <w:rsid w:val="00A017E0"/>
    <w:rsid w:val="00A01C53"/>
    <w:rsid w:val="00A02AD6"/>
    <w:rsid w:val="00A02B98"/>
    <w:rsid w:val="00A02E6A"/>
    <w:rsid w:val="00A02F97"/>
    <w:rsid w:val="00A042C3"/>
    <w:rsid w:val="00A04642"/>
    <w:rsid w:val="00A04CB0"/>
    <w:rsid w:val="00A06577"/>
    <w:rsid w:val="00A065E7"/>
    <w:rsid w:val="00A06F74"/>
    <w:rsid w:val="00A07094"/>
    <w:rsid w:val="00A07096"/>
    <w:rsid w:val="00A07243"/>
    <w:rsid w:val="00A07318"/>
    <w:rsid w:val="00A0731A"/>
    <w:rsid w:val="00A0753D"/>
    <w:rsid w:val="00A07577"/>
    <w:rsid w:val="00A0761B"/>
    <w:rsid w:val="00A0762B"/>
    <w:rsid w:val="00A07C51"/>
    <w:rsid w:val="00A10087"/>
    <w:rsid w:val="00A1010D"/>
    <w:rsid w:val="00A1029F"/>
    <w:rsid w:val="00A102FC"/>
    <w:rsid w:val="00A10362"/>
    <w:rsid w:val="00A1043C"/>
    <w:rsid w:val="00A1049E"/>
    <w:rsid w:val="00A106C9"/>
    <w:rsid w:val="00A1078C"/>
    <w:rsid w:val="00A1099E"/>
    <w:rsid w:val="00A11012"/>
    <w:rsid w:val="00A110DE"/>
    <w:rsid w:val="00A11195"/>
    <w:rsid w:val="00A11350"/>
    <w:rsid w:val="00A11370"/>
    <w:rsid w:val="00A11BF3"/>
    <w:rsid w:val="00A11F0E"/>
    <w:rsid w:val="00A12761"/>
    <w:rsid w:val="00A12A0A"/>
    <w:rsid w:val="00A132E4"/>
    <w:rsid w:val="00A132E7"/>
    <w:rsid w:val="00A1380A"/>
    <w:rsid w:val="00A13B64"/>
    <w:rsid w:val="00A13CFB"/>
    <w:rsid w:val="00A13DDD"/>
    <w:rsid w:val="00A1405D"/>
    <w:rsid w:val="00A1416F"/>
    <w:rsid w:val="00A1494C"/>
    <w:rsid w:val="00A14FAC"/>
    <w:rsid w:val="00A1561E"/>
    <w:rsid w:val="00A15A92"/>
    <w:rsid w:val="00A15B64"/>
    <w:rsid w:val="00A15FE9"/>
    <w:rsid w:val="00A1628A"/>
    <w:rsid w:val="00A167DD"/>
    <w:rsid w:val="00A1704A"/>
    <w:rsid w:val="00A170F9"/>
    <w:rsid w:val="00A1764D"/>
    <w:rsid w:val="00A17CC1"/>
    <w:rsid w:val="00A2070A"/>
    <w:rsid w:val="00A21C2A"/>
    <w:rsid w:val="00A21E87"/>
    <w:rsid w:val="00A224CE"/>
    <w:rsid w:val="00A22522"/>
    <w:rsid w:val="00A2272B"/>
    <w:rsid w:val="00A2290C"/>
    <w:rsid w:val="00A22CCA"/>
    <w:rsid w:val="00A233C9"/>
    <w:rsid w:val="00A234F6"/>
    <w:rsid w:val="00A23FB4"/>
    <w:rsid w:val="00A24593"/>
    <w:rsid w:val="00A24654"/>
    <w:rsid w:val="00A2489C"/>
    <w:rsid w:val="00A24AFD"/>
    <w:rsid w:val="00A24BEE"/>
    <w:rsid w:val="00A24F5C"/>
    <w:rsid w:val="00A25058"/>
    <w:rsid w:val="00A2573F"/>
    <w:rsid w:val="00A25C7D"/>
    <w:rsid w:val="00A25EE0"/>
    <w:rsid w:val="00A2646D"/>
    <w:rsid w:val="00A26738"/>
    <w:rsid w:val="00A26F22"/>
    <w:rsid w:val="00A27497"/>
    <w:rsid w:val="00A274BC"/>
    <w:rsid w:val="00A2766E"/>
    <w:rsid w:val="00A277A7"/>
    <w:rsid w:val="00A27884"/>
    <w:rsid w:val="00A300E3"/>
    <w:rsid w:val="00A30802"/>
    <w:rsid w:val="00A30E65"/>
    <w:rsid w:val="00A31140"/>
    <w:rsid w:val="00A313CE"/>
    <w:rsid w:val="00A315A8"/>
    <w:rsid w:val="00A3185D"/>
    <w:rsid w:val="00A31937"/>
    <w:rsid w:val="00A3196D"/>
    <w:rsid w:val="00A32297"/>
    <w:rsid w:val="00A32415"/>
    <w:rsid w:val="00A3269F"/>
    <w:rsid w:val="00A32F96"/>
    <w:rsid w:val="00A3344D"/>
    <w:rsid w:val="00A33AB3"/>
    <w:rsid w:val="00A33D77"/>
    <w:rsid w:val="00A33DF5"/>
    <w:rsid w:val="00A340AE"/>
    <w:rsid w:val="00A34252"/>
    <w:rsid w:val="00A346FC"/>
    <w:rsid w:val="00A3483F"/>
    <w:rsid w:val="00A34C7F"/>
    <w:rsid w:val="00A34ED5"/>
    <w:rsid w:val="00A34F26"/>
    <w:rsid w:val="00A34F29"/>
    <w:rsid w:val="00A35B3D"/>
    <w:rsid w:val="00A367B0"/>
    <w:rsid w:val="00A36A05"/>
    <w:rsid w:val="00A36AE7"/>
    <w:rsid w:val="00A36C37"/>
    <w:rsid w:val="00A3758C"/>
    <w:rsid w:val="00A37B85"/>
    <w:rsid w:val="00A40267"/>
    <w:rsid w:val="00A40828"/>
    <w:rsid w:val="00A40871"/>
    <w:rsid w:val="00A40C99"/>
    <w:rsid w:val="00A40F1A"/>
    <w:rsid w:val="00A412AB"/>
    <w:rsid w:val="00A4182F"/>
    <w:rsid w:val="00A4193E"/>
    <w:rsid w:val="00A41942"/>
    <w:rsid w:val="00A42164"/>
    <w:rsid w:val="00A42750"/>
    <w:rsid w:val="00A42A62"/>
    <w:rsid w:val="00A42CD6"/>
    <w:rsid w:val="00A43794"/>
    <w:rsid w:val="00A43869"/>
    <w:rsid w:val="00A4400F"/>
    <w:rsid w:val="00A440E0"/>
    <w:rsid w:val="00A442EF"/>
    <w:rsid w:val="00A44A67"/>
    <w:rsid w:val="00A45743"/>
    <w:rsid w:val="00A45757"/>
    <w:rsid w:val="00A4597F"/>
    <w:rsid w:val="00A460FD"/>
    <w:rsid w:val="00A4628F"/>
    <w:rsid w:val="00A4651C"/>
    <w:rsid w:val="00A46537"/>
    <w:rsid w:val="00A46AC1"/>
    <w:rsid w:val="00A47BB0"/>
    <w:rsid w:val="00A504F8"/>
    <w:rsid w:val="00A5054C"/>
    <w:rsid w:val="00A50821"/>
    <w:rsid w:val="00A50C18"/>
    <w:rsid w:val="00A50CE3"/>
    <w:rsid w:val="00A512B0"/>
    <w:rsid w:val="00A513D7"/>
    <w:rsid w:val="00A51B7F"/>
    <w:rsid w:val="00A51D1A"/>
    <w:rsid w:val="00A51DAD"/>
    <w:rsid w:val="00A51F99"/>
    <w:rsid w:val="00A522DC"/>
    <w:rsid w:val="00A523D1"/>
    <w:rsid w:val="00A5274D"/>
    <w:rsid w:val="00A534E3"/>
    <w:rsid w:val="00A53E77"/>
    <w:rsid w:val="00A53EDC"/>
    <w:rsid w:val="00A5401C"/>
    <w:rsid w:val="00A5418D"/>
    <w:rsid w:val="00A543C8"/>
    <w:rsid w:val="00A5474E"/>
    <w:rsid w:val="00A54BF7"/>
    <w:rsid w:val="00A54EAC"/>
    <w:rsid w:val="00A54F4C"/>
    <w:rsid w:val="00A55174"/>
    <w:rsid w:val="00A552BC"/>
    <w:rsid w:val="00A55499"/>
    <w:rsid w:val="00A5549E"/>
    <w:rsid w:val="00A55737"/>
    <w:rsid w:val="00A560D2"/>
    <w:rsid w:val="00A566DC"/>
    <w:rsid w:val="00A568A1"/>
    <w:rsid w:val="00A56B0A"/>
    <w:rsid w:val="00A5703F"/>
    <w:rsid w:val="00A5732B"/>
    <w:rsid w:val="00A57449"/>
    <w:rsid w:val="00A57898"/>
    <w:rsid w:val="00A57DC4"/>
    <w:rsid w:val="00A57EB8"/>
    <w:rsid w:val="00A605A9"/>
    <w:rsid w:val="00A608ED"/>
    <w:rsid w:val="00A60C40"/>
    <w:rsid w:val="00A60FC2"/>
    <w:rsid w:val="00A61747"/>
    <w:rsid w:val="00A6240B"/>
    <w:rsid w:val="00A62504"/>
    <w:rsid w:val="00A62B0B"/>
    <w:rsid w:val="00A63196"/>
    <w:rsid w:val="00A633EF"/>
    <w:rsid w:val="00A634A8"/>
    <w:rsid w:val="00A63A75"/>
    <w:rsid w:val="00A63F4B"/>
    <w:rsid w:val="00A64234"/>
    <w:rsid w:val="00A6471E"/>
    <w:rsid w:val="00A65503"/>
    <w:rsid w:val="00A6550F"/>
    <w:rsid w:val="00A6553F"/>
    <w:rsid w:val="00A65641"/>
    <w:rsid w:val="00A65C87"/>
    <w:rsid w:val="00A6612A"/>
    <w:rsid w:val="00A6674B"/>
    <w:rsid w:val="00A6683D"/>
    <w:rsid w:val="00A674EE"/>
    <w:rsid w:val="00A676AB"/>
    <w:rsid w:val="00A67A41"/>
    <w:rsid w:val="00A67E7C"/>
    <w:rsid w:val="00A70472"/>
    <w:rsid w:val="00A7055D"/>
    <w:rsid w:val="00A70674"/>
    <w:rsid w:val="00A70ADF"/>
    <w:rsid w:val="00A71466"/>
    <w:rsid w:val="00A717D7"/>
    <w:rsid w:val="00A71A64"/>
    <w:rsid w:val="00A72097"/>
    <w:rsid w:val="00A72404"/>
    <w:rsid w:val="00A73198"/>
    <w:rsid w:val="00A747F7"/>
    <w:rsid w:val="00A74B5E"/>
    <w:rsid w:val="00A753E3"/>
    <w:rsid w:val="00A76156"/>
    <w:rsid w:val="00A761F5"/>
    <w:rsid w:val="00A76229"/>
    <w:rsid w:val="00A76816"/>
    <w:rsid w:val="00A76C50"/>
    <w:rsid w:val="00A76D0B"/>
    <w:rsid w:val="00A7721D"/>
    <w:rsid w:val="00A77F83"/>
    <w:rsid w:val="00A80403"/>
    <w:rsid w:val="00A80A8E"/>
    <w:rsid w:val="00A80BE4"/>
    <w:rsid w:val="00A80BF8"/>
    <w:rsid w:val="00A80D94"/>
    <w:rsid w:val="00A81838"/>
    <w:rsid w:val="00A81BED"/>
    <w:rsid w:val="00A81EC4"/>
    <w:rsid w:val="00A81F88"/>
    <w:rsid w:val="00A824E8"/>
    <w:rsid w:val="00A82515"/>
    <w:rsid w:val="00A825D3"/>
    <w:rsid w:val="00A82661"/>
    <w:rsid w:val="00A837CB"/>
    <w:rsid w:val="00A83B79"/>
    <w:rsid w:val="00A83B9E"/>
    <w:rsid w:val="00A83BE4"/>
    <w:rsid w:val="00A83C87"/>
    <w:rsid w:val="00A83FCF"/>
    <w:rsid w:val="00A844F7"/>
    <w:rsid w:val="00A84AA5"/>
    <w:rsid w:val="00A84EB5"/>
    <w:rsid w:val="00A852AF"/>
    <w:rsid w:val="00A85751"/>
    <w:rsid w:val="00A85A44"/>
    <w:rsid w:val="00A85C35"/>
    <w:rsid w:val="00A85E2F"/>
    <w:rsid w:val="00A861C3"/>
    <w:rsid w:val="00A867E4"/>
    <w:rsid w:val="00A86A11"/>
    <w:rsid w:val="00A86C1D"/>
    <w:rsid w:val="00A86F56"/>
    <w:rsid w:val="00A87475"/>
    <w:rsid w:val="00A87E9B"/>
    <w:rsid w:val="00A90CA3"/>
    <w:rsid w:val="00A9126D"/>
    <w:rsid w:val="00A9136D"/>
    <w:rsid w:val="00A91931"/>
    <w:rsid w:val="00A919EC"/>
    <w:rsid w:val="00A91BB6"/>
    <w:rsid w:val="00A91DB6"/>
    <w:rsid w:val="00A91EAD"/>
    <w:rsid w:val="00A9258C"/>
    <w:rsid w:val="00A9272F"/>
    <w:rsid w:val="00A929BC"/>
    <w:rsid w:val="00A92E92"/>
    <w:rsid w:val="00A92F29"/>
    <w:rsid w:val="00A9385E"/>
    <w:rsid w:val="00A947BB"/>
    <w:rsid w:val="00A954DF"/>
    <w:rsid w:val="00A954EB"/>
    <w:rsid w:val="00A95608"/>
    <w:rsid w:val="00A956CF"/>
    <w:rsid w:val="00A959A9"/>
    <w:rsid w:val="00A95EA5"/>
    <w:rsid w:val="00A96044"/>
    <w:rsid w:val="00A9605C"/>
    <w:rsid w:val="00A961E2"/>
    <w:rsid w:val="00A967FD"/>
    <w:rsid w:val="00A96A0D"/>
    <w:rsid w:val="00A96C96"/>
    <w:rsid w:val="00A97492"/>
    <w:rsid w:val="00A9757A"/>
    <w:rsid w:val="00A97CE4"/>
    <w:rsid w:val="00A97DB8"/>
    <w:rsid w:val="00AA0374"/>
    <w:rsid w:val="00AA044A"/>
    <w:rsid w:val="00AA1926"/>
    <w:rsid w:val="00AA1D0D"/>
    <w:rsid w:val="00AA1D39"/>
    <w:rsid w:val="00AA1E17"/>
    <w:rsid w:val="00AA20E9"/>
    <w:rsid w:val="00AA27EE"/>
    <w:rsid w:val="00AA287C"/>
    <w:rsid w:val="00AA28C4"/>
    <w:rsid w:val="00AA2AEA"/>
    <w:rsid w:val="00AA2DE5"/>
    <w:rsid w:val="00AA2F8C"/>
    <w:rsid w:val="00AA3212"/>
    <w:rsid w:val="00AA3355"/>
    <w:rsid w:val="00AA3C1B"/>
    <w:rsid w:val="00AA4B67"/>
    <w:rsid w:val="00AA6069"/>
    <w:rsid w:val="00AA6598"/>
    <w:rsid w:val="00AA6BCC"/>
    <w:rsid w:val="00AA76E2"/>
    <w:rsid w:val="00AA7B49"/>
    <w:rsid w:val="00AA7EC4"/>
    <w:rsid w:val="00AA7FA4"/>
    <w:rsid w:val="00AB08CC"/>
    <w:rsid w:val="00AB0AD0"/>
    <w:rsid w:val="00AB1242"/>
    <w:rsid w:val="00AB156C"/>
    <w:rsid w:val="00AB1B9D"/>
    <w:rsid w:val="00AB1BBA"/>
    <w:rsid w:val="00AB1BC5"/>
    <w:rsid w:val="00AB1BEA"/>
    <w:rsid w:val="00AB1D01"/>
    <w:rsid w:val="00AB26FA"/>
    <w:rsid w:val="00AB2EF9"/>
    <w:rsid w:val="00AB3928"/>
    <w:rsid w:val="00AB4544"/>
    <w:rsid w:val="00AB4C59"/>
    <w:rsid w:val="00AB5BDD"/>
    <w:rsid w:val="00AB5C47"/>
    <w:rsid w:val="00AB5F7B"/>
    <w:rsid w:val="00AB611C"/>
    <w:rsid w:val="00AB61FD"/>
    <w:rsid w:val="00AB648D"/>
    <w:rsid w:val="00AB65BE"/>
    <w:rsid w:val="00AB6650"/>
    <w:rsid w:val="00AB6814"/>
    <w:rsid w:val="00AB6B75"/>
    <w:rsid w:val="00AB6F03"/>
    <w:rsid w:val="00AB7595"/>
    <w:rsid w:val="00AB75BF"/>
    <w:rsid w:val="00AB7AAD"/>
    <w:rsid w:val="00AB7B2B"/>
    <w:rsid w:val="00AB7FCF"/>
    <w:rsid w:val="00AC04BA"/>
    <w:rsid w:val="00AC0737"/>
    <w:rsid w:val="00AC0E18"/>
    <w:rsid w:val="00AC0E39"/>
    <w:rsid w:val="00AC1B9C"/>
    <w:rsid w:val="00AC1CDB"/>
    <w:rsid w:val="00AC29F4"/>
    <w:rsid w:val="00AC33B5"/>
    <w:rsid w:val="00AC361D"/>
    <w:rsid w:val="00AC3785"/>
    <w:rsid w:val="00AC3A3A"/>
    <w:rsid w:val="00AC3EFE"/>
    <w:rsid w:val="00AC42A6"/>
    <w:rsid w:val="00AC49F5"/>
    <w:rsid w:val="00AC4AD0"/>
    <w:rsid w:val="00AC4BA5"/>
    <w:rsid w:val="00AC5A03"/>
    <w:rsid w:val="00AC5C83"/>
    <w:rsid w:val="00AC669A"/>
    <w:rsid w:val="00AD0751"/>
    <w:rsid w:val="00AD0C09"/>
    <w:rsid w:val="00AD168E"/>
    <w:rsid w:val="00AD1E16"/>
    <w:rsid w:val="00AD1E95"/>
    <w:rsid w:val="00AD1F0E"/>
    <w:rsid w:val="00AD1FA3"/>
    <w:rsid w:val="00AD2655"/>
    <w:rsid w:val="00AD297E"/>
    <w:rsid w:val="00AD2F19"/>
    <w:rsid w:val="00AD3082"/>
    <w:rsid w:val="00AD32B4"/>
    <w:rsid w:val="00AD3913"/>
    <w:rsid w:val="00AD3959"/>
    <w:rsid w:val="00AD3A59"/>
    <w:rsid w:val="00AD3FF9"/>
    <w:rsid w:val="00AD4AD0"/>
    <w:rsid w:val="00AD4C13"/>
    <w:rsid w:val="00AD4F8C"/>
    <w:rsid w:val="00AD5320"/>
    <w:rsid w:val="00AD5436"/>
    <w:rsid w:val="00AD54F1"/>
    <w:rsid w:val="00AD5530"/>
    <w:rsid w:val="00AD60CD"/>
    <w:rsid w:val="00AD628A"/>
    <w:rsid w:val="00AD64D2"/>
    <w:rsid w:val="00AD688F"/>
    <w:rsid w:val="00AD6C8C"/>
    <w:rsid w:val="00AD74FF"/>
    <w:rsid w:val="00AD77AF"/>
    <w:rsid w:val="00AD797D"/>
    <w:rsid w:val="00AD79EE"/>
    <w:rsid w:val="00AD7A44"/>
    <w:rsid w:val="00AD7D5D"/>
    <w:rsid w:val="00AE04C7"/>
    <w:rsid w:val="00AE091D"/>
    <w:rsid w:val="00AE102B"/>
    <w:rsid w:val="00AE108F"/>
    <w:rsid w:val="00AE11F1"/>
    <w:rsid w:val="00AE14CA"/>
    <w:rsid w:val="00AE1A7F"/>
    <w:rsid w:val="00AE2115"/>
    <w:rsid w:val="00AE256A"/>
    <w:rsid w:val="00AE260E"/>
    <w:rsid w:val="00AE2E0A"/>
    <w:rsid w:val="00AE322C"/>
    <w:rsid w:val="00AE3254"/>
    <w:rsid w:val="00AE37EF"/>
    <w:rsid w:val="00AE3B22"/>
    <w:rsid w:val="00AE3B60"/>
    <w:rsid w:val="00AE3C45"/>
    <w:rsid w:val="00AE4289"/>
    <w:rsid w:val="00AE43DB"/>
    <w:rsid w:val="00AE49AF"/>
    <w:rsid w:val="00AE4BB1"/>
    <w:rsid w:val="00AE53A1"/>
    <w:rsid w:val="00AE560A"/>
    <w:rsid w:val="00AE59D4"/>
    <w:rsid w:val="00AE5D64"/>
    <w:rsid w:val="00AE5D8C"/>
    <w:rsid w:val="00AE5E6E"/>
    <w:rsid w:val="00AE6FF8"/>
    <w:rsid w:val="00AE7868"/>
    <w:rsid w:val="00AE7A06"/>
    <w:rsid w:val="00AE7CB2"/>
    <w:rsid w:val="00AF0431"/>
    <w:rsid w:val="00AF092D"/>
    <w:rsid w:val="00AF13D4"/>
    <w:rsid w:val="00AF1BE6"/>
    <w:rsid w:val="00AF2484"/>
    <w:rsid w:val="00AF276C"/>
    <w:rsid w:val="00AF34A6"/>
    <w:rsid w:val="00AF4039"/>
    <w:rsid w:val="00AF42BB"/>
    <w:rsid w:val="00AF43B6"/>
    <w:rsid w:val="00AF4865"/>
    <w:rsid w:val="00AF4A7F"/>
    <w:rsid w:val="00AF4C86"/>
    <w:rsid w:val="00AF4D32"/>
    <w:rsid w:val="00AF5095"/>
    <w:rsid w:val="00AF53DE"/>
    <w:rsid w:val="00AF5571"/>
    <w:rsid w:val="00AF5860"/>
    <w:rsid w:val="00AF5D38"/>
    <w:rsid w:val="00AF63E7"/>
    <w:rsid w:val="00AF65A5"/>
    <w:rsid w:val="00AF6920"/>
    <w:rsid w:val="00AF69D9"/>
    <w:rsid w:val="00AF6E17"/>
    <w:rsid w:val="00AF72F4"/>
    <w:rsid w:val="00AF74A8"/>
    <w:rsid w:val="00AF7562"/>
    <w:rsid w:val="00AF7AC7"/>
    <w:rsid w:val="00AF7B54"/>
    <w:rsid w:val="00B001A6"/>
    <w:rsid w:val="00B00D2D"/>
    <w:rsid w:val="00B0165D"/>
    <w:rsid w:val="00B018CE"/>
    <w:rsid w:val="00B01B60"/>
    <w:rsid w:val="00B020F3"/>
    <w:rsid w:val="00B02121"/>
    <w:rsid w:val="00B022CE"/>
    <w:rsid w:val="00B031F3"/>
    <w:rsid w:val="00B0340D"/>
    <w:rsid w:val="00B039EF"/>
    <w:rsid w:val="00B04222"/>
    <w:rsid w:val="00B050D4"/>
    <w:rsid w:val="00B05163"/>
    <w:rsid w:val="00B0525B"/>
    <w:rsid w:val="00B052A4"/>
    <w:rsid w:val="00B05C38"/>
    <w:rsid w:val="00B05D37"/>
    <w:rsid w:val="00B060F8"/>
    <w:rsid w:val="00B06117"/>
    <w:rsid w:val="00B06254"/>
    <w:rsid w:val="00B06820"/>
    <w:rsid w:val="00B06FE7"/>
    <w:rsid w:val="00B07349"/>
    <w:rsid w:val="00B076C1"/>
    <w:rsid w:val="00B07C90"/>
    <w:rsid w:val="00B10495"/>
    <w:rsid w:val="00B10574"/>
    <w:rsid w:val="00B1086A"/>
    <w:rsid w:val="00B11702"/>
    <w:rsid w:val="00B11EB7"/>
    <w:rsid w:val="00B125DE"/>
    <w:rsid w:val="00B12E2C"/>
    <w:rsid w:val="00B134DB"/>
    <w:rsid w:val="00B13AC4"/>
    <w:rsid w:val="00B13FDD"/>
    <w:rsid w:val="00B15031"/>
    <w:rsid w:val="00B1531F"/>
    <w:rsid w:val="00B1542B"/>
    <w:rsid w:val="00B1582B"/>
    <w:rsid w:val="00B165EC"/>
    <w:rsid w:val="00B16893"/>
    <w:rsid w:val="00B16BEE"/>
    <w:rsid w:val="00B172EB"/>
    <w:rsid w:val="00B1758D"/>
    <w:rsid w:val="00B176BC"/>
    <w:rsid w:val="00B17A74"/>
    <w:rsid w:val="00B17DC6"/>
    <w:rsid w:val="00B17DEB"/>
    <w:rsid w:val="00B20028"/>
    <w:rsid w:val="00B20451"/>
    <w:rsid w:val="00B205E4"/>
    <w:rsid w:val="00B214E1"/>
    <w:rsid w:val="00B21C90"/>
    <w:rsid w:val="00B22DDD"/>
    <w:rsid w:val="00B22EB2"/>
    <w:rsid w:val="00B22ECE"/>
    <w:rsid w:val="00B22F0C"/>
    <w:rsid w:val="00B23450"/>
    <w:rsid w:val="00B23F8C"/>
    <w:rsid w:val="00B23FA7"/>
    <w:rsid w:val="00B23FEA"/>
    <w:rsid w:val="00B248D6"/>
    <w:rsid w:val="00B24BA8"/>
    <w:rsid w:val="00B24EC9"/>
    <w:rsid w:val="00B251E5"/>
    <w:rsid w:val="00B25204"/>
    <w:rsid w:val="00B256DA"/>
    <w:rsid w:val="00B2595A"/>
    <w:rsid w:val="00B25E1B"/>
    <w:rsid w:val="00B26154"/>
    <w:rsid w:val="00B2629B"/>
    <w:rsid w:val="00B26B8F"/>
    <w:rsid w:val="00B27442"/>
    <w:rsid w:val="00B27EB7"/>
    <w:rsid w:val="00B31167"/>
    <w:rsid w:val="00B31FE9"/>
    <w:rsid w:val="00B32262"/>
    <w:rsid w:val="00B329D8"/>
    <w:rsid w:val="00B32AA6"/>
    <w:rsid w:val="00B32BB9"/>
    <w:rsid w:val="00B330E0"/>
    <w:rsid w:val="00B336BE"/>
    <w:rsid w:val="00B33AE1"/>
    <w:rsid w:val="00B33BE3"/>
    <w:rsid w:val="00B33D45"/>
    <w:rsid w:val="00B343D5"/>
    <w:rsid w:val="00B34898"/>
    <w:rsid w:val="00B34A32"/>
    <w:rsid w:val="00B34E99"/>
    <w:rsid w:val="00B34FF5"/>
    <w:rsid w:val="00B35B4A"/>
    <w:rsid w:val="00B35C79"/>
    <w:rsid w:val="00B35EB0"/>
    <w:rsid w:val="00B3615E"/>
    <w:rsid w:val="00B36980"/>
    <w:rsid w:val="00B37209"/>
    <w:rsid w:val="00B37467"/>
    <w:rsid w:val="00B374B7"/>
    <w:rsid w:val="00B37C38"/>
    <w:rsid w:val="00B37E0D"/>
    <w:rsid w:val="00B37E16"/>
    <w:rsid w:val="00B407C3"/>
    <w:rsid w:val="00B41CF4"/>
    <w:rsid w:val="00B421D6"/>
    <w:rsid w:val="00B425BB"/>
    <w:rsid w:val="00B4288C"/>
    <w:rsid w:val="00B42F56"/>
    <w:rsid w:val="00B43194"/>
    <w:rsid w:val="00B43262"/>
    <w:rsid w:val="00B432D1"/>
    <w:rsid w:val="00B432FA"/>
    <w:rsid w:val="00B43C94"/>
    <w:rsid w:val="00B43ECC"/>
    <w:rsid w:val="00B44100"/>
    <w:rsid w:val="00B44335"/>
    <w:rsid w:val="00B443B2"/>
    <w:rsid w:val="00B445DA"/>
    <w:rsid w:val="00B44992"/>
    <w:rsid w:val="00B44CE9"/>
    <w:rsid w:val="00B45226"/>
    <w:rsid w:val="00B45FF6"/>
    <w:rsid w:val="00B4602E"/>
    <w:rsid w:val="00B46546"/>
    <w:rsid w:val="00B466FB"/>
    <w:rsid w:val="00B46795"/>
    <w:rsid w:val="00B46C78"/>
    <w:rsid w:val="00B46CBA"/>
    <w:rsid w:val="00B46F94"/>
    <w:rsid w:val="00B46FA7"/>
    <w:rsid w:val="00B47869"/>
    <w:rsid w:val="00B47ABA"/>
    <w:rsid w:val="00B47D1A"/>
    <w:rsid w:val="00B47F06"/>
    <w:rsid w:val="00B47FC9"/>
    <w:rsid w:val="00B5056F"/>
    <w:rsid w:val="00B509D7"/>
    <w:rsid w:val="00B50BB6"/>
    <w:rsid w:val="00B50D3D"/>
    <w:rsid w:val="00B50FD0"/>
    <w:rsid w:val="00B5120A"/>
    <w:rsid w:val="00B51927"/>
    <w:rsid w:val="00B51CFF"/>
    <w:rsid w:val="00B51FE3"/>
    <w:rsid w:val="00B52136"/>
    <w:rsid w:val="00B525EC"/>
    <w:rsid w:val="00B52BF9"/>
    <w:rsid w:val="00B52C19"/>
    <w:rsid w:val="00B52C1A"/>
    <w:rsid w:val="00B53377"/>
    <w:rsid w:val="00B53605"/>
    <w:rsid w:val="00B537CB"/>
    <w:rsid w:val="00B5393E"/>
    <w:rsid w:val="00B53F74"/>
    <w:rsid w:val="00B5488C"/>
    <w:rsid w:val="00B548E6"/>
    <w:rsid w:val="00B54C18"/>
    <w:rsid w:val="00B55430"/>
    <w:rsid w:val="00B55D9C"/>
    <w:rsid w:val="00B55DC5"/>
    <w:rsid w:val="00B55F66"/>
    <w:rsid w:val="00B56603"/>
    <w:rsid w:val="00B571C0"/>
    <w:rsid w:val="00B5774B"/>
    <w:rsid w:val="00B6003C"/>
    <w:rsid w:val="00B601ED"/>
    <w:rsid w:val="00B60595"/>
    <w:rsid w:val="00B60B3F"/>
    <w:rsid w:val="00B60F49"/>
    <w:rsid w:val="00B60F4A"/>
    <w:rsid w:val="00B610A6"/>
    <w:rsid w:val="00B6111B"/>
    <w:rsid w:val="00B615C6"/>
    <w:rsid w:val="00B618CF"/>
    <w:rsid w:val="00B61F03"/>
    <w:rsid w:val="00B62049"/>
    <w:rsid w:val="00B6244C"/>
    <w:rsid w:val="00B62527"/>
    <w:rsid w:val="00B626E4"/>
    <w:rsid w:val="00B62E82"/>
    <w:rsid w:val="00B63897"/>
    <w:rsid w:val="00B63CC0"/>
    <w:rsid w:val="00B64743"/>
    <w:rsid w:val="00B65524"/>
    <w:rsid w:val="00B664C5"/>
    <w:rsid w:val="00B66AE3"/>
    <w:rsid w:val="00B67AF8"/>
    <w:rsid w:val="00B67EEB"/>
    <w:rsid w:val="00B70015"/>
    <w:rsid w:val="00B70411"/>
    <w:rsid w:val="00B70879"/>
    <w:rsid w:val="00B71056"/>
    <w:rsid w:val="00B71180"/>
    <w:rsid w:val="00B719A8"/>
    <w:rsid w:val="00B71E79"/>
    <w:rsid w:val="00B72C1C"/>
    <w:rsid w:val="00B72D3C"/>
    <w:rsid w:val="00B72F4A"/>
    <w:rsid w:val="00B73480"/>
    <w:rsid w:val="00B73890"/>
    <w:rsid w:val="00B738DC"/>
    <w:rsid w:val="00B73ABE"/>
    <w:rsid w:val="00B73F45"/>
    <w:rsid w:val="00B74AA7"/>
    <w:rsid w:val="00B7508C"/>
    <w:rsid w:val="00B75DA1"/>
    <w:rsid w:val="00B75F74"/>
    <w:rsid w:val="00B761CA"/>
    <w:rsid w:val="00B76A76"/>
    <w:rsid w:val="00B76BBB"/>
    <w:rsid w:val="00B772FB"/>
    <w:rsid w:val="00B7761E"/>
    <w:rsid w:val="00B7781E"/>
    <w:rsid w:val="00B77ACF"/>
    <w:rsid w:val="00B77CF1"/>
    <w:rsid w:val="00B80209"/>
    <w:rsid w:val="00B80E32"/>
    <w:rsid w:val="00B80EEF"/>
    <w:rsid w:val="00B80EFB"/>
    <w:rsid w:val="00B8138C"/>
    <w:rsid w:val="00B81CC4"/>
    <w:rsid w:val="00B826B6"/>
    <w:rsid w:val="00B8276A"/>
    <w:rsid w:val="00B83361"/>
    <w:rsid w:val="00B835FB"/>
    <w:rsid w:val="00B83746"/>
    <w:rsid w:val="00B83C27"/>
    <w:rsid w:val="00B844B2"/>
    <w:rsid w:val="00B8463D"/>
    <w:rsid w:val="00B848DE"/>
    <w:rsid w:val="00B84B18"/>
    <w:rsid w:val="00B84BC3"/>
    <w:rsid w:val="00B84BDD"/>
    <w:rsid w:val="00B84E15"/>
    <w:rsid w:val="00B84EBE"/>
    <w:rsid w:val="00B85225"/>
    <w:rsid w:val="00B854CC"/>
    <w:rsid w:val="00B8555E"/>
    <w:rsid w:val="00B8598B"/>
    <w:rsid w:val="00B85F95"/>
    <w:rsid w:val="00B85FB5"/>
    <w:rsid w:val="00B86442"/>
    <w:rsid w:val="00B8698E"/>
    <w:rsid w:val="00B87036"/>
    <w:rsid w:val="00B876E8"/>
    <w:rsid w:val="00B87727"/>
    <w:rsid w:val="00B87773"/>
    <w:rsid w:val="00B879F0"/>
    <w:rsid w:val="00B87A66"/>
    <w:rsid w:val="00B87E32"/>
    <w:rsid w:val="00B87E44"/>
    <w:rsid w:val="00B87E70"/>
    <w:rsid w:val="00B87EFE"/>
    <w:rsid w:val="00B90939"/>
    <w:rsid w:val="00B910AE"/>
    <w:rsid w:val="00B91BB7"/>
    <w:rsid w:val="00B92812"/>
    <w:rsid w:val="00B92A66"/>
    <w:rsid w:val="00B92AF3"/>
    <w:rsid w:val="00B933F2"/>
    <w:rsid w:val="00B93541"/>
    <w:rsid w:val="00B935E1"/>
    <w:rsid w:val="00B93CB1"/>
    <w:rsid w:val="00B94098"/>
    <w:rsid w:val="00B944D6"/>
    <w:rsid w:val="00B94908"/>
    <w:rsid w:val="00B950E2"/>
    <w:rsid w:val="00B95455"/>
    <w:rsid w:val="00B95926"/>
    <w:rsid w:val="00B95A0A"/>
    <w:rsid w:val="00B96897"/>
    <w:rsid w:val="00B969B5"/>
    <w:rsid w:val="00B96D96"/>
    <w:rsid w:val="00B96DE0"/>
    <w:rsid w:val="00B96F68"/>
    <w:rsid w:val="00B97732"/>
    <w:rsid w:val="00B97B00"/>
    <w:rsid w:val="00BA0A45"/>
    <w:rsid w:val="00BA0E13"/>
    <w:rsid w:val="00BA106E"/>
    <w:rsid w:val="00BA142A"/>
    <w:rsid w:val="00BA145A"/>
    <w:rsid w:val="00BA1E30"/>
    <w:rsid w:val="00BA2017"/>
    <w:rsid w:val="00BA23EA"/>
    <w:rsid w:val="00BA2B13"/>
    <w:rsid w:val="00BA2B61"/>
    <w:rsid w:val="00BA30A0"/>
    <w:rsid w:val="00BA3959"/>
    <w:rsid w:val="00BA3BDC"/>
    <w:rsid w:val="00BA3D71"/>
    <w:rsid w:val="00BA4153"/>
    <w:rsid w:val="00BA41D0"/>
    <w:rsid w:val="00BA4EB5"/>
    <w:rsid w:val="00BA53E2"/>
    <w:rsid w:val="00BA5532"/>
    <w:rsid w:val="00BA553C"/>
    <w:rsid w:val="00BA5545"/>
    <w:rsid w:val="00BA58EC"/>
    <w:rsid w:val="00BA5F08"/>
    <w:rsid w:val="00BA6057"/>
    <w:rsid w:val="00BA61F9"/>
    <w:rsid w:val="00BA66BC"/>
    <w:rsid w:val="00BA67AA"/>
    <w:rsid w:val="00BB0112"/>
    <w:rsid w:val="00BB06DD"/>
    <w:rsid w:val="00BB0BE7"/>
    <w:rsid w:val="00BB11DB"/>
    <w:rsid w:val="00BB167E"/>
    <w:rsid w:val="00BB16D6"/>
    <w:rsid w:val="00BB188B"/>
    <w:rsid w:val="00BB1896"/>
    <w:rsid w:val="00BB1961"/>
    <w:rsid w:val="00BB237B"/>
    <w:rsid w:val="00BB2D65"/>
    <w:rsid w:val="00BB3A18"/>
    <w:rsid w:val="00BB3ED8"/>
    <w:rsid w:val="00BB421A"/>
    <w:rsid w:val="00BB45A1"/>
    <w:rsid w:val="00BB4A87"/>
    <w:rsid w:val="00BB51F4"/>
    <w:rsid w:val="00BB5CA7"/>
    <w:rsid w:val="00BB5DFD"/>
    <w:rsid w:val="00BB6335"/>
    <w:rsid w:val="00BB65D2"/>
    <w:rsid w:val="00BB6D22"/>
    <w:rsid w:val="00BB6F63"/>
    <w:rsid w:val="00BB6FED"/>
    <w:rsid w:val="00BB70AD"/>
    <w:rsid w:val="00BB7686"/>
    <w:rsid w:val="00BB7802"/>
    <w:rsid w:val="00BC0445"/>
    <w:rsid w:val="00BC0D28"/>
    <w:rsid w:val="00BC1058"/>
    <w:rsid w:val="00BC152A"/>
    <w:rsid w:val="00BC16AC"/>
    <w:rsid w:val="00BC177D"/>
    <w:rsid w:val="00BC18C3"/>
    <w:rsid w:val="00BC1D7F"/>
    <w:rsid w:val="00BC1DA4"/>
    <w:rsid w:val="00BC235E"/>
    <w:rsid w:val="00BC23F9"/>
    <w:rsid w:val="00BC2741"/>
    <w:rsid w:val="00BC285D"/>
    <w:rsid w:val="00BC28B6"/>
    <w:rsid w:val="00BC29E5"/>
    <w:rsid w:val="00BC31ED"/>
    <w:rsid w:val="00BC3421"/>
    <w:rsid w:val="00BC344B"/>
    <w:rsid w:val="00BC375F"/>
    <w:rsid w:val="00BC3987"/>
    <w:rsid w:val="00BC3C66"/>
    <w:rsid w:val="00BC415D"/>
    <w:rsid w:val="00BC42DB"/>
    <w:rsid w:val="00BC4800"/>
    <w:rsid w:val="00BC4F1E"/>
    <w:rsid w:val="00BC5731"/>
    <w:rsid w:val="00BC5DDB"/>
    <w:rsid w:val="00BC60BF"/>
    <w:rsid w:val="00BC69EC"/>
    <w:rsid w:val="00BC6CB3"/>
    <w:rsid w:val="00BC6FB0"/>
    <w:rsid w:val="00BC71E9"/>
    <w:rsid w:val="00BC7311"/>
    <w:rsid w:val="00BC732C"/>
    <w:rsid w:val="00BC7B63"/>
    <w:rsid w:val="00BD1614"/>
    <w:rsid w:val="00BD1BA9"/>
    <w:rsid w:val="00BD251B"/>
    <w:rsid w:val="00BD2AEB"/>
    <w:rsid w:val="00BD318D"/>
    <w:rsid w:val="00BD378C"/>
    <w:rsid w:val="00BD3953"/>
    <w:rsid w:val="00BD4384"/>
    <w:rsid w:val="00BD4421"/>
    <w:rsid w:val="00BD451C"/>
    <w:rsid w:val="00BD460A"/>
    <w:rsid w:val="00BD51BB"/>
    <w:rsid w:val="00BD5570"/>
    <w:rsid w:val="00BD56BC"/>
    <w:rsid w:val="00BD5B91"/>
    <w:rsid w:val="00BD5DB0"/>
    <w:rsid w:val="00BD5E6E"/>
    <w:rsid w:val="00BD6318"/>
    <w:rsid w:val="00BD6E7B"/>
    <w:rsid w:val="00BD743E"/>
    <w:rsid w:val="00BD76EC"/>
    <w:rsid w:val="00BD7CD5"/>
    <w:rsid w:val="00BE055A"/>
    <w:rsid w:val="00BE05D9"/>
    <w:rsid w:val="00BE0BDE"/>
    <w:rsid w:val="00BE0C31"/>
    <w:rsid w:val="00BE1CB8"/>
    <w:rsid w:val="00BE2580"/>
    <w:rsid w:val="00BE25A5"/>
    <w:rsid w:val="00BE25CF"/>
    <w:rsid w:val="00BE266D"/>
    <w:rsid w:val="00BE2E71"/>
    <w:rsid w:val="00BE2FBA"/>
    <w:rsid w:val="00BE30F0"/>
    <w:rsid w:val="00BE319F"/>
    <w:rsid w:val="00BE3425"/>
    <w:rsid w:val="00BE35D0"/>
    <w:rsid w:val="00BE3938"/>
    <w:rsid w:val="00BE3FDC"/>
    <w:rsid w:val="00BE4017"/>
    <w:rsid w:val="00BE4C11"/>
    <w:rsid w:val="00BE4D79"/>
    <w:rsid w:val="00BE5833"/>
    <w:rsid w:val="00BE5BCA"/>
    <w:rsid w:val="00BE616C"/>
    <w:rsid w:val="00BE65A5"/>
    <w:rsid w:val="00BE6959"/>
    <w:rsid w:val="00BE69AC"/>
    <w:rsid w:val="00BE71C0"/>
    <w:rsid w:val="00BE7926"/>
    <w:rsid w:val="00BF048B"/>
    <w:rsid w:val="00BF114C"/>
    <w:rsid w:val="00BF1877"/>
    <w:rsid w:val="00BF19DD"/>
    <w:rsid w:val="00BF1CAC"/>
    <w:rsid w:val="00BF1EB6"/>
    <w:rsid w:val="00BF259C"/>
    <w:rsid w:val="00BF2C2E"/>
    <w:rsid w:val="00BF2C6A"/>
    <w:rsid w:val="00BF2D7F"/>
    <w:rsid w:val="00BF3428"/>
    <w:rsid w:val="00BF37E8"/>
    <w:rsid w:val="00BF3F5D"/>
    <w:rsid w:val="00BF52C4"/>
    <w:rsid w:val="00BF5576"/>
    <w:rsid w:val="00BF5AF2"/>
    <w:rsid w:val="00BF610C"/>
    <w:rsid w:val="00BF61AE"/>
    <w:rsid w:val="00BF62CE"/>
    <w:rsid w:val="00BF6693"/>
    <w:rsid w:val="00BF679B"/>
    <w:rsid w:val="00BF6AD0"/>
    <w:rsid w:val="00BF73AA"/>
    <w:rsid w:val="00BF75CC"/>
    <w:rsid w:val="00BF7E5C"/>
    <w:rsid w:val="00C0060B"/>
    <w:rsid w:val="00C00612"/>
    <w:rsid w:val="00C0086B"/>
    <w:rsid w:val="00C009C4"/>
    <w:rsid w:val="00C0173B"/>
    <w:rsid w:val="00C01827"/>
    <w:rsid w:val="00C01A6C"/>
    <w:rsid w:val="00C01D0B"/>
    <w:rsid w:val="00C01F5F"/>
    <w:rsid w:val="00C0277D"/>
    <w:rsid w:val="00C0294F"/>
    <w:rsid w:val="00C02F26"/>
    <w:rsid w:val="00C041DB"/>
    <w:rsid w:val="00C044B5"/>
    <w:rsid w:val="00C0490B"/>
    <w:rsid w:val="00C04BC5"/>
    <w:rsid w:val="00C04EB1"/>
    <w:rsid w:val="00C053A1"/>
    <w:rsid w:val="00C0568D"/>
    <w:rsid w:val="00C05834"/>
    <w:rsid w:val="00C05A73"/>
    <w:rsid w:val="00C05D5C"/>
    <w:rsid w:val="00C05DBC"/>
    <w:rsid w:val="00C05F68"/>
    <w:rsid w:val="00C05FAE"/>
    <w:rsid w:val="00C064B1"/>
    <w:rsid w:val="00C07079"/>
    <w:rsid w:val="00C072A8"/>
    <w:rsid w:val="00C074D3"/>
    <w:rsid w:val="00C075EC"/>
    <w:rsid w:val="00C07B20"/>
    <w:rsid w:val="00C07BEF"/>
    <w:rsid w:val="00C07D4E"/>
    <w:rsid w:val="00C07F5C"/>
    <w:rsid w:val="00C100DD"/>
    <w:rsid w:val="00C10C3D"/>
    <w:rsid w:val="00C11229"/>
    <w:rsid w:val="00C12033"/>
    <w:rsid w:val="00C1248D"/>
    <w:rsid w:val="00C127ED"/>
    <w:rsid w:val="00C1298A"/>
    <w:rsid w:val="00C12B44"/>
    <w:rsid w:val="00C12E38"/>
    <w:rsid w:val="00C13103"/>
    <w:rsid w:val="00C13158"/>
    <w:rsid w:val="00C13403"/>
    <w:rsid w:val="00C136B0"/>
    <w:rsid w:val="00C13974"/>
    <w:rsid w:val="00C13A45"/>
    <w:rsid w:val="00C13EDA"/>
    <w:rsid w:val="00C1404D"/>
    <w:rsid w:val="00C14B66"/>
    <w:rsid w:val="00C14C0A"/>
    <w:rsid w:val="00C14E88"/>
    <w:rsid w:val="00C15B3F"/>
    <w:rsid w:val="00C15D5C"/>
    <w:rsid w:val="00C15DFF"/>
    <w:rsid w:val="00C16198"/>
    <w:rsid w:val="00C16235"/>
    <w:rsid w:val="00C163E2"/>
    <w:rsid w:val="00C16559"/>
    <w:rsid w:val="00C16711"/>
    <w:rsid w:val="00C168F8"/>
    <w:rsid w:val="00C16A6A"/>
    <w:rsid w:val="00C16FEC"/>
    <w:rsid w:val="00C17056"/>
    <w:rsid w:val="00C17134"/>
    <w:rsid w:val="00C1743D"/>
    <w:rsid w:val="00C175BC"/>
    <w:rsid w:val="00C176DF"/>
    <w:rsid w:val="00C178C6"/>
    <w:rsid w:val="00C2083D"/>
    <w:rsid w:val="00C20A1C"/>
    <w:rsid w:val="00C20C02"/>
    <w:rsid w:val="00C21671"/>
    <w:rsid w:val="00C22344"/>
    <w:rsid w:val="00C2241E"/>
    <w:rsid w:val="00C22489"/>
    <w:rsid w:val="00C22C89"/>
    <w:rsid w:val="00C22CFF"/>
    <w:rsid w:val="00C22D35"/>
    <w:rsid w:val="00C22FC3"/>
    <w:rsid w:val="00C2300B"/>
    <w:rsid w:val="00C23138"/>
    <w:rsid w:val="00C23540"/>
    <w:rsid w:val="00C23788"/>
    <w:rsid w:val="00C23A45"/>
    <w:rsid w:val="00C23F08"/>
    <w:rsid w:val="00C23FA3"/>
    <w:rsid w:val="00C24466"/>
    <w:rsid w:val="00C24A53"/>
    <w:rsid w:val="00C24C80"/>
    <w:rsid w:val="00C24F0A"/>
    <w:rsid w:val="00C25672"/>
    <w:rsid w:val="00C25FE4"/>
    <w:rsid w:val="00C26235"/>
    <w:rsid w:val="00C263B8"/>
    <w:rsid w:val="00C2647A"/>
    <w:rsid w:val="00C2666F"/>
    <w:rsid w:val="00C2695A"/>
    <w:rsid w:val="00C2766B"/>
    <w:rsid w:val="00C27C98"/>
    <w:rsid w:val="00C27E1A"/>
    <w:rsid w:val="00C27E32"/>
    <w:rsid w:val="00C27FF3"/>
    <w:rsid w:val="00C301A7"/>
    <w:rsid w:val="00C30AA1"/>
    <w:rsid w:val="00C30F59"/>
    <w:rsid w:val="00C3132E"/>
    <w:rsid w:val="00C31603"/>
    <w:rsid w:val="00C31B4E"/>
    <w:rsid w:val="00C31DD3"/>
    <w:rsid w:val="00C322EB"/>
    <w:rsid w:val="00C32C2D"/>
    <w:rsid w:val="00C33CB2"/>
    <w:rsid w:val="00C33F58"/>
    <w:rsid w:val="00C34082"/>
    <w:rsid w:val="00C342BA"/>
    <w:rsid w:val="00C34417"/>
    <w:rsid w:val="00C34927"/>
    <w:rsid w:val="00C34A05"/>
    <w:rsid w:val="00C34AE5"/>
    <w:rsid w:val="00C35324"/>
    <w:rsid w:val="00C35369"/>
    <w:rsid w:val="00C3561C"/>
    <w:rsid w:val="00C35CCE"/>
    <w:rsid w:val="00C35DFC"/>
    <w:rsid w:val="00C3619B"/>
    <w:rsid w:val="00C36327"/>
    <w:rsid w:val="00C3660A"/>
    <w:rsid w:val="00C36B3E"/>
    <w:rsid w:val="00C36B4F"/>
    <w:rsid w:val="00C37931"/>
    <w:rsid w:val="00C37D13"/>
    <w:rsid w:val="00C37D53"/>
    <w:rsid w:val="00C4032F"/>
    <w:rsid w:val="00C41036"/>
    <w:rsid w:val="00C4137F"/>
    <w:rsid w:val="00C413B8"/>
    <w:rsid w:val="00C41466"/>
    <w:rsid w:val="00C4192C"/>
    <w:rsid w:val="00C41CD3"/>
    <w:rsid w:val="00C41F21"/>
    <w:rsid w:val="00C42505"/>
    <w:rsid w:val="00C42902"/>
    <w:rsid w:val="00C42BAD"/>
    <w:rsid w:val="00C4334B"/>
    <w:rsid w:val="00C4363F"/>
    <w:rsid w:val="00C43FFE"/>
    <w:rsid w:val="00C44047"/>
    <w:rsid w:val="00C44104"/>
    <w:rsid w:val="00C44515"/>
    <w:rsid w:val="00C4498B"/>
    <w:rsid w:val="00C44C5C"/>
    <w:rsid w:val="00C45014"/>
    <w:rsid w:val="00C45155"/>
    <w:rsid w:val="00C4546B"/>
    <w:rsid w:val="00C458C1"/>
    <w:rsid w:val="00C4599C"/>
    <w:rsid w:val="00C45EE5"/>
    <w:rsid w:val="00C466F1"/>
    <w:rsid w:val="00C468D9"/>
    <w:rsid w:val="00C46CB0"/>
    <w:rsid w:val="00C474CD"/>
    <w:rsid w:val="00C47599"/>
    <w:rsid w:val="00C47AF2"/>
    <w:rsid w:val="00C47BE4"/>
    <w:rsid w:val="00C50279"/>
    <w:rsid w:val="00C5045C"/>
    <w:rsid w:val="00C5059D"/>
    <w:rsid w:val="00C50745"/>
    <w:rsid w:val="00C51290"/>
    <w:rsid w:val="00C51472"/>
    <w:rsid w:val="00C52148"/>
    <w:rsid w:val="00C52AFF"/>
    <w:rsid w:val="00C53107"/>
    <w:rsid w:val="00C5349F"/>
    <w:rsid w:val="00C534A3"/>
    <w:rsid w:val="00C53A8B"/>
    <w:rsid w:val="00C544A1"/>
    <w:rsid w:val="00C5498F"/>
    <w:rsid w:val="00C54FCD"/>
    <w:rsid w:val="00C5516B"/>
    <w:rsid w:val="00C551BE"/>
    <w:rsid w:val="00C55235"/>
    <w:rsid w:val="00C556EF"/>
    <w:rsid w:val="00C55B6A"/>
    <w:rsid w:val="00C55B6D"/>
    <w:rsid w:val="00C55D83"/>
    <w:rsid w:val="00C55E88"/>
    <w:rsid w:val="00C560A9"/>
    <w:rsid w:val="00C561A5"/>
    <w:rsid w:val="00C56651"/>
    <w:rsid w:val="00C56DF6"/>
    <w:rsid w:val="00C573DE"/>
    <w:rsid w:val="00C57E81"/>
    <w:rsid w:val="00C57F84"/>
    <w:rsid w:val="00C6013B"/>
    <w:rsid w:val="00C6058B"/>
    <w:rsid w:val="00C6068C"/>
    <w:rsid w:val="00C60A0A"/>
    <w:rsid w:val="00C60CB4"/>
    <w:rsid w:val="00C613A7"/>
    <w:rsid w:val="00C61578"/>
    <w:rsid w:val="00C6159B"/>
    <w:rsid w:val="00C615FB"/>
    <w:rsid w:val="00C627B1"/>
    <w:rsid w:val="00C627C2"/>
    <w:rsid w:val="00C62803"/>
    <w:rsid w:val="00C63307"/>
    <w:rsid w:val="00C64462"/>
    <w:rsid w:val="00C64CD0"/>
    <w:rsid w:val="00C64E1E"/>
    <w:rsid w:val="00C651AC"/>
    <w:rsid w:val="00C65446"/>
    <w:rsid w:val="00C657BC"/>
    <w:rsid w:val="00C65CB8"/>
    <w:rsid w:val="00C65CC4"/>
    <w:rsid w:val="00C65F61"/>
    <w:rsid w:val="00C660F5"/>
    <w:rsid w:val="00C66773"/>
    <w:rsid w:val="00C6684F"/>
    <w:rsid w:val="00C66CA6"/>
    <w:rsid w:val="00C66F47"/>
    <w:rsid w:val="00C674E8"/>
    <w:rsid w:val="00C67EF1"/>
    <w:rsid w:val="00C7010B"/>
    <w:rsid w:val="00C7086B"/>
    <w:rsid w:val="00C7088D"/>
    <w:rsid w:val="00C70E70"/>
    <w:rsid w:val="00C71133"/>
    <w:rsid w:val="00C7140D"/>
    <w:rsid w:val="00C72C97"/>
    <w:rsid w:val="00C72EF4"/>
    <w:rsid w:val="00C734FF"/>
    <w:rsid w:val="00C738A4"/>
    <w:rsid w:val="00C73ECA"/>
    <w:rsid w:val="00C74027"/>
    <w:rsid w:val="00C74861"/>
    <w:rsid w:val="00C74F50"/>
    <w:rsid w:val="00C758D0"/>
    <w:rsid w:val="00C75CB8"/>
    <w:rsid w:val="00C75F8D"/>
    <w:rsid w:val="00C766F0"/>
    <w:rsid w:val="00C769D4"/>
    <w:rsid w:val="00C76DA4"/>
    <w:rsid w:val="00C77347"/>
    <w:rsid w:val="00C77380"/>
    <w:rsid w:val="00C773C9"/>
    <w:rsid w:val="00C7744C"/>
    <w:rsid w:val="00C77B6A"/>
    <w:rsid w:val="00C77C93"/>
    <w:rsid w:val="00C801B8"/>
    <w:rsid w:val="00C802B0"/>
    <w:rsid w:val="00C8043B"/>
    <w:rsid w:val="00C80507"/>
    <w:rsid w:val="00C8082C"/>
    <w:rsid w:val="00C80ED7"/>
    <w:rsid w:val="00C81227"/>
    <w:rsid w:val="00C81319"/>
    <w:rsid w:val="00C813F8"/>
    <w:rsid w:val="00C82958"/>
    <w:rsid w:val="00C82CFA"/>
    <w:rsid w:val="00C82E5B"/>
    <w:rsid w:val="00C82F64"/>
    <w:rsid w:val="00C830A6"/>
    <w:rsid w:val="00C8350A"/>
    <w:rsid w:val="00C836E5"/>
    <w:rsid w:val="00C83A1E"/>
    <w:rsid w:val="00C83C02"/>
    <w:rsid w:val="00C8411B"/>
    <w:rsid w:val="00C84D24"/>
    <w:rsid w:val="00C850C0"/>
    <w:rsid w:val="00C8520A"/>
    <w:rsid w:val="00C85391"/>
    <w:rsid w:val="00C85BD3"/>
    <w:rsid w:val="00C85EF5"/>
    <w:rsid w:val="00C86356"/>
    <w:rsid w:val="00C872C8"/>
    <w:rsid w:val="00C87E8A"/>
    <w:rsid w:val="00C913D6"/>
    <w:rsid w:val="00C91424"/>
    <w:rsid w:val="00C9148E"/>
    <w:rsid w:val="00C91A19"/>
    <w:rsid w:val="00C9225D"/>
    <w:rsid w:val="00C93E10"/>
    <w:rsid w:val="00C93F8F"/>
    <w:rsid w:val="00C94166"/>
    <w:rsid w:val="00C942EC"/>
    <w:rsid w:val="00C9486E"/>
    <w:rsid w:val="00C94ECF"/>
    <w:rsid w:val="00C951E1"/>
    <w:rsid w:val="00C9557C"/>
    <w:rsid w:val="00C95ADA"/>
    <w:rsid w:val="00C965E1"/>
    <w:rsid w:val="00C96AFE"/>
    <w:rsid w:val="00C96F1D"/>
    <w:rsid w:val="00C96F8D"/>
    <w:rsid w:val="00C972AC"/>
    <w:rsid w:val="00C9762B"/>
    <w:rsid w:val="00C97736"/>
    <w:rsid w:val="00C97B5A"/>
    <w:rsid w:val="00CA0668"/>
    <w:rsid w:val="00CA06C3"/>
    <w:rsid w:val="00CA0DE5"/>
    <w:rsid w:val="00CA0EC2"/>
    <w:rsid w:val="00CA11A5"/>
    <w:rsid w:val="00CA1D77"/>
    <w:rsid w:val="00CA1E0B"/>
    <w:rsid w:val="00CA21F9"/>
    <w:rsid w:val="00CA2687"/>
    <w:rsid w:val="00CA3388"/>
    <w:rsid w:val="00CA345A"/>
    <w:rsid w:val="00CA36DA"/>
    <w:rsid w:val="00CA38EF"/>
    <w:rsid w:val="00CA3E2A"/>
    <w:rsid w:val="00CA3EF5"/>
    <w:rsid w:val="00CA404B"/>
    <w:rsid w:val="00CA4953"/>
    <w:rsid w:val="00CA521F"/>
    <w:rsid w:val="00CA5E5A"/>
    <w:rsid w:val="00CA6668"/>
    <w:rsid w:val="00CA69B7"/>
    <w:rsid w:val="00CA6B82"/>
    <w:rsid w:val="00CA6C32"/>
    <w:rsid w:val="00CA71A0"/>
    <w:rsid w:val="00CA726A"/>
    <w:rsid w:val="00CA7797"/>
    <w:rsid w:val="00CB024E"/>
    <w:rsid w:val="00CB04FF"/>
    <w:rsid w:val="00CB0819"/>
    <w:rsid w:val="00CB0D3F"/>
    <w:rsid w:val="00CB0E29"/>
    <w:rsid w:val="00CB11C7"/>
    <w:rsid w:val="00CB12E8"/>
    <w:rsid w:val="00CB188E"/>
    <w:rsid w:val="00CB1AF7"/>
    <w:rsid w:val="00CB1CF3"/>
    <w:rsid w:val="00CB1E82"/>
    <w:rsid w:val="00CB2B3C"/>
    <w:rsid w:val="00CB33AC"/>
    <w:rsid w:val="00CB3D24"/>
    <w:rsid w:val="00CB3E49"/>
    <w:rsid w:val="00CB4128"/>
    <w:rsid w:val="00CB4337"/>
    <w:rsid w:val="00CB4BA8"/>
    <w:rsid w:val="00CB5042"/>
    <w:rsid w:val="00CB52D7"/>
    <w:rsid w:val="00CB5A5C"/>
    <w:rsid w:val="00CB610A"/>
    <w:rsid w:val="00CB6443"/>
    <w:rsid w:val="00CB6ECB"/>
    <w:rsid w:val="00CB73FA"/>
    <w:rsid w:val="00CB750B"/>
    <w:rsid w:val="00CB7B5E"/>
    <w:rsid w:val="00CB7C47"/>
    <w:rsid w:val="00CC018A"/>
    <w:rsid w:val="00CC029C"/>
    <w:rsid w:val="00CC0427"/>
    <w:rsid w:val="00CC06C2"/>
    <w:rsid w:val="00CC091A"/>
    <w:rsid w:val="00CC0C66"/>
    <w:rsid w:val="00CC0C70"/>
    <w:rsid w:val="00CC0D21"/>
    <w:rsid w:val="00CC1683"/>
    <w:rsid w:val="00CC1709"/>
    <w:rsid w:val="00CC25F4"/>
    <w:rsid w:val="00CC3F54"/>
    <w:rsid w:val="00CC413B"/>
    <w:rsid w:val="00CC43F4"/>
    <w:rsid w:val="00CC4443"/>
    <w:rsid w:val="00CC4D27"/>
    <w:rsid w:val="00CC4DBA"/>
    <w:rsid w:val="00CC6732"/>
    <w:rsid w:val="00CC67D5"/>
    <w:rsid w:val="00CC69F0"/>
    <w:rsid w:val="00CC6BA7"/>
    <w:rsid w:val="00CC7764"/>
    <w:rsid w:val="00CC784B"/>
    <w:rsid w:val="00CC7BA3"/>
    <w:rsid w:val="00CD0365"/>
    <w:rsid w:val="00CD04E4"/>
    <w:rsid w:val="00CD088A"/>
    <w:rsid w:val="00CD09E1"/>
    <w:rsid w:val="00CD0D45"/>
    <w:rsid w:val="00CD1457"/>
    <w:rsid w:val="00CD1644"/>
    <w:rsid w:val="00CD22B4"/>
    <w:rsid w:val="00CD2670"/>
    <w:rsid w:val="00CD2C38"/>
    <w:rsid w:val="00CD2C55"/>
    <w:rsid w:val="00CD39CF"/>
    <w:rsid w:val="00CD3B1A"/>
    <w:rsid w:val="00CD4305"/>
    <w:rsid w:val="00CD4851"/>
    <w:rsid w:val="00CD4DC1"/>
    <w:rsid w:val="00CD64B0"/>
    <w:rsid w:val="00CD6ACF"/>
    <w:rsid w:val="00CD6F1F"/>
    <w:rsid w:val="00CD763A"/>
    <w:rsid w:val="00CE0731"/>
    <w:rsid w:val="00CE0BC9"/>
    <w:rsid w:val="00CE0EA6"/>
    <w:rsid w:val="00CE0F59"/>
    <w:rsid w:val="00CE134A"/>
    <w:rsid w:val="00CE1AEF"/>
    <w:rsid w:val="00CE1E20"/>
    <w:rsid w:val="00CE29FA"/>
    <w:rsid w:val="00CE3060"/>
    <w:rsid w:val="00CE30C3"/>
    <w:rsid w:val="00CE334D"/>
    <w:rsid w:val="00CE35C1"/>
    <w:rsid w:val="00CE37C9"/>
    <w:rsid w:val="00CE390C"/>
    <w:rsid w:val="00CE3C96"/>
    <w:rsid w:val="00CE4562"/>
    <w:rsid w:val="00CE45D3"/>
    <w:rsid w:val="00CE4A1F"/>
    <w:rsid w:val="00CE4C1B"/>
    <w:rsid w:val="00CE4EA0"/>
    <w:rsid w:val="00CE5047"/>
    <w:rsid w:val="00CE5101"/>
    <w:rsid w:val="00CE5160"/>
    <w:rsid w:val="00CE51A8"/>
    <w:rsid w:val="00CE5355"/>
    <w:rsid w:val="00CE55E7"/>
    <w:rsid w:val="00CE62BC"/>
    <w:rsid w:val="00CE65EB"/>
    <w:rsid w:val="00CE6838"/>
    <w:rsid w:val="00CE7086"/>
    <w:rsid w:val="00CE7121"/>
    <w:rsid w:val="00CE75F5"/>
    <w:rsid w:val="00CE7717"/>
    <w:rsid w:val="00CE7B50"/>
    <w:rsid w:val="00CE7C32"/>
    <w:rsid w:val="00CE7D97"/>
    <w:rsid w:val="00CF0174"/>
    <w:rsid w:val="00CF0BFE"/>
    <w:rsid w:val="00CF179F"/>
    <w:rsid w:val="00CF1A04"/>
    <w:rsid w:val="00CF1D96"/>
    <w:rsid w:val="00CF21E2"/>
    <w:rsid w:val="00CF2444"/>
    <w:rsid w:val="00CF247E"/>
    <w:rsid w:val="00CF24D1"/>
    <w:rsid w:val="00CF2BFE"/>
    <w:rsid w:val="00CF3353"/>
    <w:rsid w:val="00CF369B"/>
    <w:rsid w:val="00CF4042"/>
    <w:rsid w:val="00CF45CD"/>
    <w:rsid w:val="00CF45D5"/>
    <w:rsid w:val="00CF4673"/>
    <w:rsid w:val="00CF4A5A"/>
    <w:rsid w:val="00CF50A8"/>
    <w:rsid w:val="00CF51C6"/>
    <w:rsid w:val="00CF6272"/>
    <w:rsid w:val="00CF62E5"/>
    <w:rsid w:val="00CF62EF"/>
    <w:rsid w:val="00CF6927"/>
    <w:rsid w:val="00CF6A70"/>
    <w:rsid w:val="00CF6BA6"/>
    <w:rsid w:val="00CF6E9D"/>
    <w:rsid w:val="00CF7504"/>
    <w:rsid w:val="00D0003F"/>
    <w:rsid w:val="00D00DBE"/>
    <w:rsid w:val="00D00E28"/>
    <w:rsid w:val="00D010F6"/>
    <w:rsid w:val="00D017DA"/>
    <w:rsid w:val="00D01E60"/>
    <w:rsid w:val="00D01EEC"/>
    <w:rsid w:val="00D0269E"/>
    <w:rsid w:val="00D02D5C"/>
    <w:rsid w:val="00D03276"/>
    <w:rsid w:val="00D032E8"/>
    <w:rsid w:val="00D03683"/>
    <w:rsid w:val="00D03968"/>
    <w:rsid w:val="00D03A71"/>
    <w:rsid w:val="00D03A8D"/>
    <w:rsid w:val="00D03AFE"/>
    <w:rsid w:val="00D03C6C"/>
    <w:rsid w:val="00D03EDC"/>
    <w:rsid w:val="00D04507"/>
    <w:rsid w:val="00D04F37"/>
    <w:rsid w:val="00D05136"/>
    <w:rsid w:val="00D057F9"/>
    <w:rsid w:val="00D05ADE"/>
    <w:rsid w:val="00D05C67"/>
    <w:rsid w:val="00D05C78"/>
    <w:rsid w:val="00D05D6C"/>
    <w:rsid w:val="00D05DF0"/>
    <w:rsid w:val="00D06612"/>
    <w:rsid w:val="00D06615"/>
    <w:rsid w:val="00D0694E"/>
    <w:rsid w:val="00D06FCF"/>
    <w:rsid w:val="00D074C8"/>
    <w:rsid w:val="00D078BC"/>
    <w:rsid w:val="00D07D45"/>
    <w:rsid w:val="00D07EFA"/>
    <w:rsid w:val="00D07F82"/>
    <w:rsid w:val="00D108AA"/>
    <w:rsid w:val="00D10ACA"/>
    <w:rsid w:val="00D10EC3"/>
    <w:rsid w:val="00D10ED2"/>
    <w:rsid w:val="00D1116D"/>
    <w:rsid w:val="00D12205"/>
    <w:rsid w:val="00D125A3"/>
    <w:rsid w:val="00D128CA"/>
    <w:rsid w:val="00D1291C"/>
    <w:rsid w:val="00D129F4"/>
    <w:rsid w:val="00D12B52"/>
    <w:rsid w:val="00D1375A"/>
    <w:rsid w:val="00D148FC"/>
    <w:rsid w:val="00D14B95"/>
    <w:rsid w:val="00D15335"/>
    <w:rsid w:val="00D153ED"/>
    <w:rsid w:val="00D15810"/>
    <w:rsid w:val="00D158E3"/>
    <w:rsid w:val="00D16005"/>
    <w:rsid w:val="00D1631D"/>
    <w:rsid w:val="00D16A9A"/>
    <w:rsid w:val="00D16D4E"/>
    <w:rsid w:val="00D16FE3"/>
    <w:rsid w:val="00D17454"/>
    <w:rsid w:val="00D177F6"/>
    <w:rsid w:val="00D179F2"/>
    <w:rsid w:val="00D17E44"/>
    <w:rsid w:val="00D17F1B"/>
    <w:rsid w:val="00D200DD"/>
    <w:rsid w:val="00D20ACD"/>
    <w:rsid w:val="00D20D0C"/>
    <w:rsid w:val="00D20DC2"/>
    <w:rsid w:val="00D217D6"/>
    <w:rsid w:val="00D21908"/>
    <w:rsid w:val="00D219C5"/>
    <w:rsid w:val="00D21C30"/>
    <w:rsid w:val="00D22306"/>
    <w:rsid w:val="00D237C0"/>
    <w:rsid w:val="00D239C0"/>
    <w:rsid w:val="00D23FF1"/>
    <w:rsid w:val="00D2407D"/>
    <w:rsid w:val="00D243D8"/>
    <w:rsid w:val="00D24405"/>
    <w:rsid w:val="00D24EB0"/>
    <w:rsid w:val="00D256FC"/>
    <w:rsid w:val="00D259AA"/>
    <w:rsid w:val="00D25DF8"/>
    <w:rsid w:val="00D25E7F"/>
    <w:rsid w:val="00D26304"/>
    <w:rsid w:val="00D26EAF"/>
    <w:rsid w:val="00D26EF5"/>
    <w:rsid w:val="00D27884"/>
    <w:rsid w:val="00D27EEB"/>
    <w:rsid w:val="00D27F41"/>
    <w:rsid w:val="00D30B2B"/>
    <w:rsid w:val="00D30B8F"/>
    <w:rsid w:val="00D30FC3"/>
    <w:rsid w:val="00D31063"/>
    <w:rsid w:val="00D31244"/>
    <w:rsid w:val="00D31484"/>
    <w:rsid w:val="00D314EB"/>
    <w:rsid w:val="00D31BDE"/>
    <w:rsid w:val="00D3207A"/>
    <w:rsid w:val="00D32FF0"/>
    <w:rsid w:val="00D330A9"/>
    <w:rsid w:val="00D3344A"/>
    <w:rsid w:val="00D3347F"/>
    <w:rsid w:val="00D33571"/>
    <w:rsid w:val="00D339B2"/>
    <w:rsid w:val="00D33CD6"/>
    <w:rsid w:val="00D33F09"/>
    <w:rsid w:val="00D343BE"/>
    <w:rsid w:val="00D34528"/>
    <w:rsid w:val="00D34801"/>
    <w:rsid w:val="00D348DC"/>
    <w:rsid w:val="00D34961"/>
    <w:rsid w:val="00D34B87"/>
    <w:rsid w:val="00D355E9"/>
    <w:rsid w:val="00D35A15"/>
    <w:rsid w:val="00D35F4F"/>
    <w:rsid w:val="00D362C6"/>
    <w:rsid w:val="00D36441"/>
    <w:rsid w:val="00D36667"/>
    <w:rsid w:val="00D368E9"/>
    <w:rsid w:val="00D36D47"/>
    <w:rsid w:val="00D370F1"/>
    <w:rsid w:val="00D3718A"/>
    <w:rsid w:val="00D371E3"/>
    <w:rsid w:val="00D37251"/>
    <w:rsid w:val="00D373E4"/>
    <w:rsid w:val="00D3794C"/>
    <w:rsid w:val="00D37FE6"/>
    <w:rsid w:val="00D4035E"/>
    <w:rsid w:val="00D40574"/>
    <w:rsid w:val="00D4064E"/>
    <w:rsid w:val="00D406CA"/>
    <w:rsid w:val="00D4072E"/>
    <w:rsid w:val="00D40931"/>
    <w:rsid w:val="00D41056"/>
    <w:rsid w:val="00D4110B"/>
    <w:rsid w:val="00D414AD"/>
    <w:rsid w:val="00D419FC"/>
    <w:rsid w:val="00D41ADF"/>
    <w:rsid w:val="00D41E2F"/>
    <w:rsid w:val="00D41FFC"/>
    <w:rsid w:val="00D4254D"/>
    <w:rsid w:val="00D42BDB"/>
    <w:rsid w:val="00D42C40"/>
    <w:rsid w:val="00D4321E"/>
    <w:rsid w:val="00D43B47"/>
    <w:rsid w:val="00D43CCE"/>
    <w:rsid w:val="00D44143"/>
    <w:rsid w:val="00D44B64"/>
    <w:rsid w:val="00D44B84"/>
    <w:rsid w:val="00D44CAA"/>
    <w:rsid w:val="00D44DDD"/>
    <w:rsid w:val="00D44E9B"/>
    <w:rsid w:val="00D453F5"/>
    <w:rsid w:val="00D4568A"/>
    <w:rsid w:val="00D456AD"/>
    <w:rsid w:val="00D45E01"/>
    <w:rsid w:val="00D46562"/>
    <w:rsid w:val="00D4668F"/>
    <w:rsid w:val="00D4698B"/>
    <w:rsid w:val="00D469B4"/>
    <w:rsid w:val="00D46A51"/>
    <w:rsid w:val="00D476A5"/>
    <w:rsid w:val="00D47AEB"/>
    <w:rsid w:val="00D50051"/>
    <w:rsid w:val="00D5008D"/>
    <w:rsid w:val="00D506FC"/>
    <w:rsid w:val="00D507FE"/>
    <w:rsid w:val="00D5085F"/>
    <w:rsid w:val="00D50DB9"/>
    <w:rsid w:val="00D5117E"/>
    <w:rsid w:val="00D51302"/>
    <w:rsid w:val="00D513B5"/>
    <w:rsid w:val="00D51492"/>
    <w:rsid w:val="00D518AD"/>
    <w:rsid w:val="00D51C44"/>
    <w:rsid w:val="00D51E87"/>
    <w:rsid w:val="00D52964"/>
    <w:rsid w:val="00D52C43"/>
    <w:rsid w:val="00D53263"/>
    <w:rsid w:val="00D53370"/>
    <w:rsid w:val="00D53925"/>
    <w:rsid w:val="00D5399C"/>
    <w:rsid w:val="00D53B7A"/>
    <w:rsid w:val="00D53FDF"/>
    <w:rsid w:val="00D54C44"/>
    <w:rsid w:val="00D54FDF"/>
    <w:rsid w:val="00D55347"/>
    <w:rsid w:val="00D556F3"/>
    <w:rsid w:val="00D55BB6"/>
    <w:rsid w:val="00D569F6"/>
    <w:rsid w:val="00D56BE8"/>
    <w:rsid w:val="00D571F2"/>
    <w:rsid w:val="00D5737D"/>
    <w:rsid w:val="00D603E4"/>
    <w:rsid w:val="00D603F7"/>
    <w:rsid w:val="00D60870"/>
    <w:rsid w:val="00D60990"/>
    <w:rsid w:val="00D61243"/>
    <w:rsid w:val="00D6161D"/>
    <w:rsid w:val="00D61B9A"/>
    <w:rsid w:val="00D62553"/>
    <w:rsid w:val="00D62FCE"/>
    <w:rsid w:val="00D636F6"/>
    <w:rsid w:val="00D63759"/>
    <w:rsid w:val="00D639FD"/>
    <w:rsid w:val="00D63DE8"/>
    <w:rsid w:val="00D63FB8"/>
    <w:rsid w:val="00D6507F"/>
    <w:rsid w:val="00D654D0"/>
    <w:rsid w:val="00D6696A"/>
    <w:rsid w:val="00D66A9C"/>
    <w:rsid w:val="00D6743C"/>
    <w:rsid w:val="00D67A89"/>
    <w:rsid w:val="00D67FBC"/>
    <w:rsid w:val="00D7008C"/>
    <w:rsid w:val="00D70250"/>
    <w:rsid w:val="00D70D36"/>
    <w:rsid w:val="00D70D4A"/>
    <w:rsid w:val="00D713FF"/>
    <w:rsid w:val="00D71427"/>
    <w:rsid w:val="00D71A0B"/>
    <w:rsid w:val="00D71CD5"/>
    <w:rsid w:val="00D72601"/>
    <w:rsid w:val="00D72A13"/>
    <w:rsid w:val="00D72C4E"/>
    <w:rsid w:val="00D72C50"/>
    <w:rsid w:val="00D72E76"/>
    <w:rsid w:val="00D72EA0"/>
    <w:rsid w:val="00D730BC"/>
    <w:rsid w:val="00D7320D"/>
    <w:rsid w:val="00D73912"/>
    <w:rsid w:val="00D73B49"/>
    <w:rsid w:val="00D74AC5"/>
    <w:rsid w:val="00D7534A"/>
    <w:rsid w:val="00D75482"/>
    <w:rsid w:val="00D75FCF"/>
    <w:rsid w:val="00D7659B"/>
    <w:rsid w:val="00D76609"/>
    <w:rsid w:val="00D76848"/>
    <w:rsid w:val="00D77060"/>
    <w:rsid w:val="00D77067"/>
    <w:rsid w:val="00D77274"/>
    <w:rsid w:val="00D77BCF"/>
    <w:rsid w:val="00D802E7"/>
    <w:rsid w:val="00D80862"/>
    <w:rsid w:val="00D81072"/>
    <w:rsid w:val="00D81178"/>
    <w:rsid w:val="00D811AF"/>
    <w:rsid w:val="00D813F1"/>
    <w:rsid w:val="00D816C9"/>
    <w:rsid w:val="00D825A5"/>
    <w:rsid w:val="00D82749"/>
    <w:rsid w:val="00D82835"/>
    <w:rsid w:val="00D82A02"/>
    <w:rsid w:val="00D84311"/>
    <w:rsid w:val="00D84AED"/>
    <w:rsid w:val="00D84D0F"/>
    <w:rsid w:val="00D85226"/>
    <w:rsid w:val="00D85529"/>
    <w:rsid w:val="00D85651"/>
    <w:rsid w:val="00D86405"/>
    <w:rsid w:val="00D86761"/>
    <w:rsid w:val="00D8676D"/>
    <w:rsid w:val="00D86852"/>
    <w:rsid w:val="00D86A07"/>
    <w:rsid w:val="00D87903"/>
    <w:rsid w:val="00D87B94"/>
    <w:rsid w:val="00D87D27"/>
    <w:rsid w:val="00D87EC1"/>
    <w:rsid w:val="00D909CB"/>
    <w:rsid w:val="00D90BF0"/>
    <w:rsid w:val="00D90DD7"/>
    <w:rsid w:val="00D90DDA"/>
    <w:rsid w:val="00D91760"/>
    <w:rsid w:val="00D91971"/>
    <w:rsid w:val="00D9200B"/>
    <w:rsid w:val="00D92219"/>
    <w:rsid w:val="00D9254C"/>
    <w:rsid w:val="00D9281B"/>
    <w:rsid w:val="00D92D49"/>
    <w:rsid w:val="00D92EC1"/>
    <w:rsid w:val="00D930B1"/>
    <w:rsid w:val="00D93888"/>
    <w:rsid w:val="00D941D6"/>
    <w:rsid w:val="00D94301"/>
    <w:rsid w:val="00D946BF"/>
    <w:rsid w:val="00D950AD"/>
    <w:rsid w:val="00D95A01"/>
    <w:rsid w:val="00D95D7C"/>
    <w:rsid w:val="00D95E88"/>
    <w:rsid w:val="00D96B66"/>
    <w:rsid w:val="00D96BAF"/>
    <w:rsid w:val="00D96DEA"/>
    <w:rsid w:val="00D97254"/>
    <w:rsid w:val="00DA020A"/>
    <w:rsid w:val="00DA0340"/>
    <w:rsid w:val="00DA03A5"/>
    <w:rsid w:val="00DA07CC"/>
    <w:rsid w:val="00DA1950"/>
    <w:rsid w:val="00DA1EDC"/>
    <w:rsid w:val="00DA21F0"/>
    <w:rsid w:val="00DA263B"/>
    <w:rsid w:val="00DA2C6E"/>
    <w:rsid w:val="00DA2C96"/>
    <w:rsid w:val="00DA42B3"/>
    <w:rsid w:val="00DA43AD"/>
    <w:rsid w:val="00DA44D9"/>
    <w:rsid w:val="00DA45DD"/>
    <w:rsid w:val="00DA46B2"/>
    <w:rsid w:val="00DA4D27"/>
    <w:rsid w:val="00DA4E41"/>
    <w:rsid w:val="00DA4F56"/>
    <w:rsid w:val="00DA512D"/>
    <w:rsid w:val="00DA5575"/>
    <w:rsid w:val="00DA5EEE"/>
    <w:rsid w:val="00DA6027"/>
    <w:rsid w:val="00DA6032"/>
    <w:rsid w:val="00DA657D"/>
    <w:rsid w:val="00DA669E"/>
    <w:rsid w:val="00DA7C75"/>
    <w:rsid w:val="00DB117A"/>
    <w:rsid w:val="00DB1294"/>
    <w:rsid w:val="00DB1F42"/>
    <w:rsid w:val="00DB2332"/>
    <w:rsid w:val="00DB2613"/>
    <w:rsid w:val="00DB272B"/>
    <w:rsid w:val="00DB2784"/>
    <w:rsid w:val="00DB3058"/>
    <w:rsid w:val="00DB31CE"/>
    <w:rsid w:val="00DB33BB"/>
    <w:rsid w:val="00DB3452"/>
    <w:rsid w:val="00DB3714"/>
    <w:rsid w:val="00DB3CCB"/>
    <w:rsid w:val="00DB3CEC"/>
    <w:rsid w:val="00DB4784"/>
    <w:rsid w:val="00DB47FF"/>
    <w:rsid w:val="00DB4EF8"/>
    <w:rsid w:val="00DB5173"/>
    <w:rsid w:val="00DB520E"/>
    <w:rsid w:val="00DB5987"/>
    <w:rsid w:val="00DB5CD7"/>
    <w:rsid w:val="00DB6DED"/>
    <w:rsid w:val="00DB74F2"/>
    <w:rsid w:val="00DB75AD"/>
    <w:rsid w:val="00DB7873"/>
    <w:rsid w:val="00DB787F"/>
    <w:rsid w:val="00DB7E5C"/>
    <w:rsid w:val="00DB7FFE"/>
    <w:rsid w:val="00DC0979"/>
    <w:rsid w:val="00DC0F5E"/>
    <w:rsid w:val="00DC1130"/>
    <w:rsid w:val="00DC1174"/>
    <w:rsid w:val="00DC1193"/>
    <w:rsid w:val="00DC152F"/>
    <w:rsid w:val="00DC1705"/>
    <w:rsid w:val="00DC187B"/>
    <w:rsid w:val="00DC1AA7"/>
    <w:rsid w:val="00DC1ED2"/>
    <w:rsid w:val="00DC2319"/>
    <w:rsid w:val="00DC25E2"/>
    <w:rsid w:val="00DC26B1"/>
    <w:rsid w:val="00DC2857"/>
    <w:rsid w:val="00DC2993"/>
    <w:rsid w:val="00DC3736"/>
    <w:rsid w:val="00DC40ED"/>
    <w:rsid w:val="00DC43CE"/>
    <w:rsid w:val="00DC493D"/>
    <w:rsid w:val="00DC52DE"/>
    <w:rsid w:val="00DC58F3"/>
    <w:rsid w:val="00DC5A9B"/>
    <w:rsid w:val="00DC5CE4"/>
    <w:rsid w:val="00DC5F1F"/>
    <w:rsid w:val="00DC6014"/>
    <w:rsid w:val="00DC661E"/>
    <w:rsid w:val="00DC66F7"/>
    <w:rsid w:val="00DC6764"/>
    <w:rsid w:val="00DC79E6"/>
    <w:rsid w:val="00DD0163"/>
    <w:rsid w:val="00DD02AB"/>
    <w:rsid w:val="00DD16DC"/>
    <w:rsid w:val="00DD1884"/>
    <w:rsid w:val="00DD189B"/>
    <w:rsid w:val="00DD1A43"/>
    <w:rsid w:val="00DD1CEC"/>
    <w:rsid w:val="00DD2109"/>
    <w:rsid w:val="00DD27B6"/>
    <w:rsid w:val="00DD2AEB"/>
    <w:rsid w:val="00DD2B1C"/>
    <w:rsid w:val="00DD2B75"/>
    <w:rsid w:val="00DD2C6D"/>
    <w:rsid w:val="00DD2D0A"/>
    <w:rsid w:val="00DD2FC6"/>
    <w:rsid w:val="00DD30EA"/>
    <w:rsid w:val="00DD357B"/>
    <w:rsid w:val="00DD39E7"/>
    <w:rsid w:val="00DD44C3"/>
    <w:rsid w:val="00DD5AC0"/>
    <w:rsid w:val="00DD6CED"/>
    <w:rsid w:val="00DD73C2"/>
    <w:rsid w:val="00DD79ED"/>
    <w:rsid w:val="00DD7BAE"/>
    <w:rsid w:val="00DE05D5"/>
    <w:rsid w:val="00DE092A"/>
    <w:rsid w:val="00DE0FF5"/>
    <w:rsid w:val="00DE1BA4"/>
    <w:rsid w:val="00DE200B"/>
    <w:rsid w:val="00DE2961"/>
    <w:rsid w:val="00DE3035"/>
    <w:rsid w:val="00DE319B"/>
    <w:rsid w:val="00DE3690"/>
    <w:rsid w:val="00DE3813"/>
    <w:rsid w:val="00DE3DD6"/>
    <w:rsid w:val="00DE49B1"/>
    <w:rsid w:val="00DE4E03"/>
    <w:rsid w:val="00DE4F6C"/>
    <w:rsid w:val="00DE5AB2"/>
    <w:rsid w:val="00DE5DCC"/>
    <w:rsid w:val="00DE608C"/>
    <w:rsid w:val="00DE633E"/>
    <w:rsid w:val="00DE6F70"/>
    <w:rsid w:val="00DE7CF9"/>
    <w:rsid w:val="00DF005A"/>
    <w:rsid w:val="00DF0932"/>
    <w:rsid w:val="00DF0CCD"/>
    <w:rsid w:val="00DF0F37"/>
    <w:rsid w:val="00DF0FF1"/>
    <w:rsid w:val="00DF1D56"/>
    <w:rsid w:val="00DF2DFC"/>
    <w:rsid w:val="00DF2E82"/>
    <w:rsid w:val="00DF346B"/>
    <w:rsid w:val="00DF34FE"/>
    <w:rsid w:val="00DF3571"/>
    <w:rsid w:val="00DF3A9E"/>
    <w:rsid w:val="00DF46DE"/>
    <w:rsid w:val="00DF53F5"/>
    <w:rsid w:val="00DF5439"/>
    <w:rsid w:val="00DF550D"/>
    <w:rsid w:val="00DF5636"/>
    <w:rsid w:val="00DF56AA"/>
    <w:rsid w:val="00DF56AF"/>
    <w:rsid w:val="00DF5847"/>
    <w:rsid w:val="00DF5E71"/>
    <w:rsid w:val="00DF61E0"/>
    <w:rsid w:val="00DF62FA"/>
    <w:rsid w:val="00DF6649"/>
    <w:rsid w:val="00DF6664"/>
    <w:rsid w:val="00DF66CF"/>
    <w:rsid w:val="00DF6AB7"/>
    <w:rsid w:val="00DF6F2B"/>
    <w:rsid w:val="00DF76F7"/>
    <w:rsid w:val="00DF7793"/>
    <w:rsid w:val="00DF77C6"/>
    <w:rsid w:val="00DF78E7"/>
    <w:rsid w:val="00DF79E8"/>
    <w:rsid w:val="00DF7AC3"/>
    <w:rsid w:val="00DF7CB5"/>
    <w:rsid w:val="00DF7DF4"/>
    <w:rsid w:val="00E00201"/>
    <w:rsid w:val="00E00790"/>
    <w:rsid w:val="00E00988"/>
    <w:rsid w:val="00E01003"/>
    <w:rsid w:val="00E0147B"/>
    <w:rsid w:val="00E01ADD"/>
    <w:rsid w:val="00E01BB6"/>
    <w:rsid w:val="00E01C46"/>
    <w:rsid w:val="00E023AC"/>
    <w:rsid w:val="00E02490"/>
    <w:rsid w:val="00E025E6"/>
    <w:rsid w:val="00E02A9C"/>
    <w:rsid w:val="00E02EFB"/>
    <w:rsid w:val="00E02F21"/>
    <w:rsid w:val="00E03045"/>
    <w:rsid w:val="00E03958"/>
    <w:rsid w:val="00E03DC6"/>
    <w:rsid w:val="00E04312"/>
    <w:rsid w:val="00E047D8"/>
    <w:rsid w:val="00E048F0"/>
    <w:rsid w:val="00E04A53"/>
    <w:rsid w:val="00E04FC8"/>
    <w:rsid w:val="00E0520A"/>
    <w:rsid w:val="00E05228"/>
    <w:rsid w:val="00E0542D"/>
    <w:rsid w:val="00E05D26"/>
    <w:rsid w:val="00E06D53"/>
    <w:rsid w:val="00E076E4"/>
    <w:rsid w:val="00E07C25"/>
    <w:rsid w:val="00E07DF0"/>
    <w:rsid w:val="00E07EFF"/>
    <w:rsid w:val="00E10148"/>
    <w:rsid w:val="00E10402"/>
    <w:rsid w:val="00E10690"/>
    <w:rsid w:val="00E1081D"/>
    <w:rsid w:val="00E10A51"/>
    <w:rsid w:val="00E110E0"/>
    <w:rsid w:val="00E1176F"/>
    <w:rsid w:val="00E11867"/>
    <w:rsid w:val="00E127F8"/>
    <w:rsid w:val="00E1291B"/>
    <w:rsid w:val="00E129BB"/>
    <w:rsid w:val="00E13436"/>
    <w:rsid w:val="00E13620"/>
    <w:rsid w:val="00E136D9"/>
    <w:rsid w:val="00E147F6"/>
    <w:rsid w:val="00E151FC"/>
    <w:rsid w:val="00E15371"/>
    <w:rsid w:val="00E15552"/>
    <w:rsid w:val="00E15569"/>
    <w:rsid w:val="00E15A1C"/>
    <w:rsid w:val="00E161E7"/>
    <w:rsid w:val="00E162C4"/>
    <w:rsid w:val="00E16326"/>
    <w:rsid w:val="00E16460"/>
    <w:rsid w:val="00E1657C"/>
    <w:rsid w:val="00E166FE"/>
    <w:rsid w:val="00E17B35"/>
    <w:rsid w:val="00E17E74"/>
    <w:rsid w:val="00E203D1"/>
    <w:rsid w:val="00E20A56"/>
    <w:rsid w:val="00E20CF6"/>
    <w:rsid w:val="00E20F59"/>
    <w:rsid w:val="00E21056"/>
    <w:rsid w:val="00E21F4A"/>
    <w:rsid w:val="00E21F62"/>
    <w:rsid w:val="00E22CF7"/>
    <w:rsid w:val="00E24104"/>
    <w:rsid w:val="00E24DEF"/>
    <w:rsid w:val="00E24E04"/>
    <w:rsid w:val="00E25C1A"/>
    <w:rsid w:val="00E25C7C"/>
    <w:rsid w:val="00E264CE"/>
    <w:rsid w:val="00E265DB"/>
    <w:rsid w:val="00E2670A"/>
    <w:rsid w:val="00E27A9B"/>
    <w:rsid w:val="00E302D0"/>
    <w:rsid w:val="00E30334"/>
    <w:rsid w:val="00E304AB"/>
    <w:rsid w:val="00E30CCC"/>
    <w:rsid w:val="00E30D96"/>
    <w:rsid w:val="00E310D7"/>
    <w:rsid w:val="00E3148A"/>
    <w:rsid w:val="00E315AD"/>
    <w:rsid w:val="00E31B06"/>
    <w:rsid w:val="00E31BDC"/>
    <w:rsid w:val="00E331FC"/>
    <w:rsid w:val="00E33543"/>
    <w:rsid w:val="00E3418B"/>
    <w:rsid w:val="00E351D8"/>
    <w:rsid w:val="00E35707"/>
    <w:rsid w:val="00E3573D"/>
    <w:rsid w:val="00E35B46"/>
    <w:rsid w:val="00E35DD7"/>
    <w:rsid w:val="00E361B0"/>
    <w:rsid w:val="00E362E9"/>
    <w:rsid w:val="00E36355"/>
    <w:rsid w:val="00E36429"/>
    <w:rsid w:val="00E364DD"/>
    <w:rsid w:val="00E36A2A"/>
    <w:rsid w:val="00E36AA1"/>
    <w:rsid w:val="00E37388"/>
    <w:rsid w:val="00E37453"/>
    <w:rsid w:val="00E3755C"/>
    <w:rsid w:val="00E378A7"/>
    <w:rsid w:val="00E37985"/>
    <w:rsid w:val="00E37B07"/>
    <w:rsid w:val="00E40478"/>
    <w:rsid w:val="00E40647"/>
    <w:rsid w:val="00E407EA"/>
    <w:rsid w:val="00E409A1"/>
    <w:rsid w:val="00E41154"/>
    <w:rsid w:val="00E411A6"/>
    <w:rsid w:val="00E41ECB"/>
    <w:rsid w:val="00E4215D"/>
    <w:rsid w:val="00E42655"/>
    <w:rsid w:val="00E42676"/>
    <w:rsid w:val="00E4285B"/>
    <w:rsid w:val="00E43001"/>
    <w:rsid w:val="00E43B7B"/>
    <w:rsid w:val="00E43CB4"/>
    <w:rsid w:val="00E441F0"/>
    <w:rsid w:val="00E442C6"/>
    <w:rsid w:val="00E44433"/>
    <w:rsid w:val="00E445F6"/>
    <w:rsid w:val="00E45E6E"/>
    <w:rsid w:val="00E46024"/>
    <w:rsid w:val="00E465F4"/>
    <w:rsid w:val="00E47481"/>
    <w:rsid w:val="00E47542"/>
    <w:rsid w:val="00E47894"/>
    <w:rsid w:val="00E47E5B"/>
    <w:rsid w:val="00E5095A"/>
    <w:rsid w:val="00E50B87"/>
    <w:rsid w:val="00E51336"/>
    <w:rsid w:val="00E51824"/>
    <w:rsid w:val="00E52511"/>
    <w:rsid w:val="00E52ABE"/>
    <w:rsid w:val="00E53794"/>
    <w:rsid w:val="00E53BA2"/>
    <w:rsid w:val="00E540EA"/>
    <w:rsid w:val="00E5426D"/>
    <w:rsid w:val="00E5487B"/>
    <w:rsid w:val="00E54FDB"/>
    <w:rsid w:val="00E5560A"/>
    <w:rsid w:val="00E55856"/>
    <w:rsid w:val="00E5617D"/>
    <w:rsid w:val="00E561F8"/>
    <w:rsid w:val="00E563D7"/>
    <w:rsid w:val="00E5727B"/>
    <w:rsid w:val="00E5750D"/>
    <w:rsid w:val="00E57ABA"/>
    <w:rsid w:val="00E60220"/>
    <w:rsid w:val="00E60C55"/>
    <w:rsid w:val="00E6116B"/>
    <w:rsid w:val="00E6136A"/>
    <w:rsid w:val="00E61583"/>
    <w:rsid w:val="00E619EB"/>
    <w:rsid w:val="00E61CD6"/>
    <w:rsid w:val="00E61D6E"/>
    <w:rsid w:val="00E627C5"/>
    <w:rsid w:val="00E62B52"/>
    <w:rsid w:val="00E63062"/>
    <w:rsid w:val="00E63082"/>
    <w:rsid w:val="00E63537"/>
    <w:rsid w:val="00E6360D"/>
    <w:rsid w:val="00E636CB"/>
    <w:rsid w:val="00E63D4A"/>
    <w:rsid w:val="00E63F0F"/>
    <w:rsid w:val="00E64227"/>
    <w:rsid w:val="00E656C1"/>
    <w:rsid w:val="00E656F6"/>
    <w:rsid w:val="00E65BFD"/>
    <w:rsid w:val="00E65FF2"/>
    <w:rsid w:val="00E6620F"/>
    <w:rsid w:val="00E663F4"/>
    <w:rsid w:val="00E666F2"/>
    <w:rsid w:val="00E66BE0"/>
    <w:rsid w:val="00E66C88"/>
    <w:rsid w:val="00E66D9B"/>
    <w:rsid w:val="00E66DD4"/>
    <w:rsid w:val="00E6733C"/>
    <w:rsid w:val="00E67784"/>
    <w:rsid w:val="00E67BE2"/>
    <w:rsid w:val="00E704B9"/>
    <w:rsid w:val="00E70D86"/>
    <w:rsid w:val="00E70EC3"/>
    <w:rsid w:val="00E70FB9"/>
    <w:rsid w:val="00E7117C"/>
    <w:rsid w:val="00E711BF"/>
    <w:rsid w:val="00E7159A"/>
    <w:rsid w:val="00E71872"/>
    <w:rsid w:val="00E719BB"/>
    <w:rsid w:val="00E72191"/>
    <w:rsid w:val="00E722D7"/>
    <w:rsid w:val="00E728E7"/>
    <w:rsid w:val="00E73051"/>
    <w:rsid w:val="00E73087"/>
    <w:rsid w:val="00E73261"/>
    <w:rsid w:val="00E73C27"/>
    <w:rsid w:val="00E73CA8"/>
    <w:rsid w:val="00E73DC0"/>
    <w:rsid w:val="00E73F7C"/>
    <w:rsid w:val="00E74130"/>
    <w:rsid w:val="00E7470E"/>
    <w:rsid w:val="00E748CC"/>
    <w:rsid w:val="00E74929"/>
    <w:rsid w:val="00E74CEB"/>
    <w:rsid w:val="00E74F15"/>
    <w:rsid w:val="00E7540D"/>
    <w:rsid w:val="00E75415"/>
    <w:rsid w:val="00E757AB"/>
    <w:rsid w:val="00E757C0"/>
    <w:rsid w:val="00E75A3F"/>
    <w:rsid w:val="00E76079"/>
    <w:rsid w:val="00E762DD"/>
    <w:rsid w:val="00E770A7"/>
    <w:rsid w:val="00E775B1"/>
    <w:rsid w:val="00E77682"/>
    <w:rsid w:val="00E80058"/>
    <w:rsid w:val="00E8011B"/>
    <w:rsid w:val="00E80CF6"/>
    <w:rsid w:val="00E80D56"/>
    <w:rsid w:val="00E80ECA"/>
    <w:rsid w:val="00E810A7"/>
    <w:rsid w:val="00E8152A"/>
    <w:rsid w:val="00E817F3"/>
    <w:rsid w:val="00E81957"/>
    <w:rsid w:val="00E81CBD"/>
    <w:rsid w:val="00E81CEC"/>
    <w:rsid w:val="00E827F5"/>
    <w:rsid w:val="00E82888"/>
    <w:rsid w:val="00E8381C"/>
    <w:rsid w:val="00E83B18"/>
    <w:rsid w:val="00E83CAD"/>
    <w:rsid w:val="00E83EF9"/>
    <w:rsid w:val="00E8446D"/>
    <w:rsid w:val="00E8479F"/>
    <w:rsid w:val="00E84C9C"/>
    <w:rsid w:val="00E84D25"/>
    <w:rsid w:val="00E86667"/>
    <w:rsid w:val="00E867F2"/>
    <w:rsid w:val="00E87340"/>
    <w:rsid w:val="00E87476"/>
    <w:rsid w:val="00E87B2F"/>
    <w:rsid w:val="00E900CE"/>
    <w:rsid w:val="00E90299"/>
    <w:rsid w:val="00E9059C"/>
    <w:rsid w:val="00E90720"/>
    <w:rsid w:val="00E90F43"/>
    <w:rsid w:val="00E910C2"/>
    <w:rsid w:val="00E91105"/>
    <w:rsid w:val="00E913FB"/>
    <w:rsid w:val="00E9291D"/>
    <w:rsid w:val="00E93629"/>
    <w:rsid w:val="00E93B5C"/>
    <w:rsid w:val="00E93CD0"/>
    <w:rsid w:val="00E94251"/>
    <w:rsid w:val="00E9498E"/>
    <w:rsid w:val="00E94A98"/>
    <w:rsid w:val="00E94B74"/>
    <w:rsid w:val="00E94CEC"/>
    <w:rsid w:val="00E94D36"/>
    <w:rsid w:val="00E94DB0"/>
    <w:rsid w:val="00E95376"/>
    <w:rsid w:val="00E958E9"/>
    <w:rsid w:val="00E95B18"/>
    <w:rsid w:val="00E95BD4"/>
    <w:rsid w:val="00E95E73"/>
    <w:rsid w:val="00E962E3"/>
    <w:rsid w:val="00E96442"/>
    <w:rsid w:val="00E96B67"/>
    <w:rsid w:val="00E96D18"/>
    <w:rsid w:val="00E97A60"/>
    <w:rsid w:val="00E97A91"/>
    <w:rsid w:val="00E97F28"/>
    <w:rsid w:val="00EA0313"/>
    <w:rsid w:val="00EA04EF"/>
    <w:rsid w:val="00EA0969"/>
    <w:rsid w:val="00EA0AA8"/>
    <w:rsid w:val="00EA0AF3"/>
    <w:rsid w:val="00EA1E1C"/>
    <w:rsid w:val="00EA222A"/>
    <w:rsid w:val="00EA313F"/>
    <w:rsid w:val="00EA3660"/>
    <w:rsid w:val="00EA38EC"/>
    <w:rsid w:val="00EA3D0C"/>
    <w:rsid w:val="00EA41F5"/>
    <w:rsid w:val="00EA4814"/>
    <w:rsid w:val="00EA4DED"/>
    <w:rsid w:val="00EA53C3"/>
    <w:rsid w:val="00EA5AF2"/>
    <w:rsid w:val="00EA5D9D"/>
    <w:rsid w:val="00EA6482"/>
    <w:rsid w:val="00EA6B47"/>
    <w:rsid w:val="00EA6C79"/>
    <w:rsid w:val="00EA6D46"/>
    <w:rsid w:val="00EA6F19"/>
    <w:rsid w:val="00EA743D"/>
    <w:rsid w:val="00EA7783"/>
    <w:rsid w:val="00EA7CCA"/>
    <w:rsid w:val="00EA7DC0"/>
    <w:rsid w:val="00EB011F"/>
    <w:rsid w:val="00EB08CD"/>
    <w:rsid w:val="00EB0A5F"/>
    <w:rsid w:val="00EB0D54"/>
    <w:rsid w:val="00EB143F"/>
    <w:rsid w:val="00EB17DA"/>
    <w:rsid w:val="00EB184C"/>
    <w:rsid w:val="00EB1B9C"/>
    <w:rsid w:val="00EB1CD5"/>
    <w:rsid w:val="00EB1E83"/>
    <w:rsid w:val="00EB2416"/>
    <w:rsid w:val="00EB268A"/>
    <w:rsid w:val="00EB2D5F"/>
    <w:rsid w:val="00EB3D25"/>
    <w:rsid w:val="00EB40BC"/>
    <w:rsid w:val="00EB4394"/>
    <w:rsid w:val="00EB4A8A"/>
    <w:rsid w:val="00EB4BEE"/>
    <w:rsid w:val="00EB5112"/>
    <w:rsid w:val="00EB5319"/>
    <w:rsid w:val="00EB55CD"/>
    <w:rsid w:val="00EB68A2"/>
    <w:rsid w:val="00EB7090"/>
    <w:rsid w:val="00EB75C6"/>
    <w:rsid w:val="00EB76A6"/>
    <w:rsid w:val="00EC0690"/>
    <w:rsid w:val="00EC072D"/>
    <w:rsid w:val="00EC0F3A"/>
    <w:rsid w:val="00EC1029"/>
    <w:rsid w:val="00EC1035"/>
    <w:rsid w:val="00EC1371"/>
    <w:rsid w:val="00EC14B5"/>
    <w:rsid w:val="00EC1BBE"/>
    <w:rsid w:val="00EC1D11"/>
    <w:rsid w:val="00EC1D60"/>
    <w:rsid w:val="00EC229B"/>
    <w:rsid w:val="00EC2401"/>
    <w:rsid w:val="00EC2675"/>
    <w:rsid w:val="00EC2795"/>
    <w:rsid w:val="00EC2B68"/>
    <w:rsid w:val="00EC2DB8"/>
    <w:rsid w:val="00EC3AEF"/>
    <w:rsid w:val="00EC5A81"/>
    <w:rsid w:val="00EC5CD7"/>
    <w:rsid w:val="00EC5E9A"/>
    <w:rsid w:val="00EC6129"/>
    <w:rsid w:val="00EC6CF4"/>
    <w:rsid w:val="00EC7578"/>
    <w:rsid w:val="00EC7915"/>
    <w:rsid w:val="00EC79C0"/>
    <w:rsid w:val="00EC7B4D"/>
    <w:rsid w:val="00EC7D06"/>
    <w:rsid w:val="00ED024C"/>
    <w:rsid w:val="00ED082D"/>
    <w:rsid w:val="00ED0A3A"/>
    <w:rsid w:val="00ED2470"/>
    <w:rsid w:val="00ED2482"/>
    <w:rsid w:val="00ED285B"/>
    <w:rsid w:val="00ED2D90"/>
    <w:rsid w:val="00ED33CE"/>
    <w:rsid w:val="00ED3591"/>
    <w:rsid w:val="00ED38C8"/>
    <w:rsid w:val="00ED39BE"/>
    <w:rsid w:val="00ED40D8"/>
    <w:rsid w:val="00ED454D"/>
    <w:rsid w:val="00ED4B59"/>
    <w:rsid w:val="00ED4DD9"/>
    <w:rsid w:val="00ED5411"/>
    <w:rsid w:val="00ED59A3"/>
    <w:rsid w:val="00ED5B6D"/>
    <w:rsid w:val="00ED647D"/>
    <w:rsid w:val="00ED659B"/>
    <w:rsid w:val="00ED6B35"/>
    <w:rsid w:val="00ED716E"/>
    <w:rsid w:val="00ED780B"/>
    <w:rsid w:val="00ED78AB"/>
    <w:rsid w:val="00ED7DFD"/>
    <w:rsid w:val="00EE000C"/>
    <w:rsid w:val="00EE062A"/>
    <w:rsid w:val="00EE07BF"/>
    <w:rsid w:val="00EE142E"/>
    <w:rsid w:val="00EE19AA"/>
    <w:rsid w:val="00EE2903"/>
    <w:rsid w:val="00EE2C83"/>
    <w:rsid w:val="00EE2FDF"/>
    <w:rsid w:val="00EE37F5"/>
    <w:rsid w:val="00EE39E1"/>
    <w:rsid w:val="00EE3A11"/>
    <w:rsid w:val="00EE5118"/>
    <w:rsid w:val="00EE5608"/>
    <w:rsid w:val="00EE59D5"/>
    <w:rsid w:val="00EE5ED0"/>
    <w:rsid w:val="00EE5FB3"/>
    <w:rsid w:val="00EE78F9"/>
    <w:rsid w:val="00EE7A39"/>
    <w:rsid w:val="00EE7B7C"/>
    <w:rsid w:val="00EE7C34"/>
    <w:rsid w:val="00EE7CAC"/>
    <w:rsid w:val="00EE7EBA"/>
    <w:rsid w:val="00EE7F79"/>
    <w:rsid w:val="00EF03C8"/>
    <w:rsid w:val="00EF0897"/>
    <w:rsid w:val="00EF0AF4"/>
    <w:rsid w:val="00EF0E52"/>
    <w:rsid w:val="00EF1206"/>
    <w:rsid w:val="00EF1658"/>
    <w:rsid w:val="00EF1AE7"/>
    <w:rsid w:val="00EF203B"/>
    <w:rsid w:val="00EF21D5"/>
    <w:rsid w:val="00EF25AA"/>
    <w:rsid w:val="00EF266F"/>
    <w:rsid w:val="00EF278E"/>
    <w:rsid w:val="00EF2C7D"/>
    <w:rsid w:val="00EF2EE2"/>
    <w:rsid w:val="00EF3FF7"/>
    <w:rsid w:val="00EF4192"/>
    <w:rsid w:val="00EF42D8"/>
    <w:rsid w:val="00EF4764"/>
    <w:rsid w:val="00EF4911"/>
    <w:rsid w:val="00EF4B33"/>
    <w:rsid w:val="00EF4DFF"/>
    <w:rsid w:val="00EF4FEB"/>
    <w:rsid w:val="00EF6275"/>
    <w:rsid w:val="00EF6361"/>
    <w:rsid w:val="00EF63B9"/>
    <w:rsid w:val="00EF6AC3"/>
    <w:rsid w:val="00EF6BFB"/>
    <w:rsid w:val="00EF6F46"/>
    <w:rsid w:val="00EF715A"/>
    <w:rsid w:val="00F0045B"/>
    <w:rsid w:val="00F004D2"/>
    <w:rsid w:val="00F017C3"/>
    <w:rsid w:val="00F01E62"/>
    <w:rsid w:val="00F01F6A"/>
    <w:rsid w:val="00F020D3"/>
    <w:rsid w:val="00F0280A"/>
    <w:rsid w:val="00F02A34"/>
    <w:rsid w:val="00F02F65"/>
    <w:rsid w:val="00F03049"/>
    <w:rsid w:val="00F03074"/>
    <w:rsid w:val="00F03212"/>
    <w:rsid w:val="00F032A6"/>
    <w:rsid w:val="00F03620"/>
    <w:rsid w:val="00F036C4"/>
    <w:rsid w:val="00F03726"/>
    <w:rsid w:val="00F037BF"/>
    <w:rsid w:val="00F03D62"/>
    <w:rsid w:val="00F03EE6"/>
    <w:rsid w:val="00F03FBA"/>
    <w:rsid w:val="00F044AC"/>
    <w:rsid w:val="00F04C20"/>
    <w:rsid w:val="00F05DFF"/>
    <w:rsid w:val="00F06A2E"/>
    <w:rsid w:val="00F06E14"/>
    <w:rsid w:val="00F070CB"/>
    <w:rsid w:val="00F07D04"/>
    <w:rsid w:val="00F10325"/>
    <w:rsid w:val="00F10CD6"/>
    <w:rsid w:val="00F11BF8"/>
    <w:rsid w:val="00F12236"/>
    <w:rsid w:val="00F123F3"/>
    <w:rsid w:val="00F12428"/>
    <w:rsid w:val="00F13C6F"/>
    <w:rsid w:val="00F13E51"/>
    <w:rsid w:val="00F13F9F"/>
    <w:rsid w:val="00F14711"/>
    <w:rsid w:val="00F14F3F"/>
    <w:rsid w:val="00F150E5"/>
    <w:rsid w:val="00F1544B"/>
    <w:rsid w:val="00F15607"/>
    <w:rsid w:val="00F15864"/>
    <w:rsid w:val="00F15936"/>
    <w:rsid w:val="00F172A6"/>
    <w:rsid w:val="00F1758C"/>
    <w:rsid w:val="00F17809"/>
    <w:rsid w:val="00F179D4"/>
    <w:rsid w:val="00F20CA8"/>
    <w:rsid w:val="00F2109F"/>
    <w:rsid w:val="00F22151"/>
    <w:rsid w:val="00F2239F"/>
    <w:rsid w:val="00F227AE"/>
    <w:rsid w:val="00F22A23"/>
    <w:rsid w:val="00F23090"/>
    <w:rsid w:val="00F23BD6"/>
    <w:rsid w:val="00F23E68"/>
    <w:rsid w:val="00F23FE3"/>
    <w:rsid w:val="00F24B18"/>
    <w:rsid w:val="00F24B7A"/>
    <w:rsid w:val="00F2532B"/>
    <w:rsid w:val="00F25503"/>
    <w:rsid w:val="00F25663"/>
    <w:rsid w:val="00F27B46"/>
    <w:rsid w:val="00F27E57"/>
    <w:rsid w:val="00F3057D"/>
    <w:rsid w:val="00F3071E"/>
    <w:rsid w:val="00F30835"/>
    <w:rsid w:val="00F30978"/>
    <w:rsid w:val="00F30A7F"/>
    <w:rsid w:val="00F3266E"/>
    <w:rsid w:val="00F32B76"/>
    <w:rsid w:val="00F337A2"/>
    <w:rsid w:val="00F33B2F"/>
    <w:rsid w:val="00F33C56"/>
    <w:rsid w:val="00F33E46"/>
    <w:rsid w:val="00F34595"/>
    <w:rsid w:val="00F347C7"/>
    <w:rsid w:val="00F34848"/>
    <w:rsid w:val="00F3499D"/>
    <w:rsid w:val="00F34B07"/>
    <w:rsid w:val="00F34C79"/>
    <w:rsid w:val="00F357F3"/>
    <w:rsid w:val="00F35827"/>
    <w:rsid w:val="00F35A0F"/>
    <w:rsid w:val="00F35C52"/>
    <w:rsid w:val="00F35D21"/>
    <w:rsid w:val="00F361D7"/>
    <w:rsid w:val="00F3651E"/>
    <w:rsid w:val="00F36EA1"/>
    <w:rsid w:val="00F36F1C"/>
    <w:rsid w:val="00F37323"/>
    <w:rsid w:val="00F379F8"/>
    <w:rsid w:val="00F37A07"/>
    <w:rsid w:val="00F37ADB"/>
    <w:rsid w:val="00F37B9D"/>
    <w:rsid w:val="00F409F4"/>
    <w:rsid w:val="00F40A2C"/>
    <w:rsid w:val="00F410D6"/>
    <w:rsid w:val="00F41984"/>
    <w:rsid w:val="00F41BC2"/>
    <w:rsid w:val="00F422D5"/>
    <w:rsid w:val="00F42A88"/>
    <w:rsid w:val="00F42D46"/>
    <w:rsid w:val="00F42D77"/>
    <w:rsid w:val="00F43965"/>
    <w:rsid w:val="00F43A7B"/>
    <w:rsid w:val="00F43CCB"/>
    <w:rsid w:val="00F43DB1"/>
    <w:rsid w:val="00F43ECB"/>
    <w:rsid w:val="00F44667"/>
    <w:rsid w:val="00F446F2"/>
    <w:rsid w:val="00F4476B"/>
    <w:rsid w:val="00F4496C"/>
    <w:rsid w:val="00F44E5A"/>
    <w:rsid w:val="00F44F3A"/>
    <w:rsid w:val="00F45056"/>
    <w:rsid w:val="00F451CA"/>
    <w:rsid w:val="00F4531B"/>
    <w:rsid w:val="00F463D3"/>
    <w:rsid w:val="00F47320"/>
    <w:rsid w:val="00F47C4A"/>
    <w:rsid w:val="00F47D3B"/>
    <w:rsid w:val="00F47DDB"/>
    <w:rsid w:val="00F50228"/>
    <w:rsid w:val="00F50ACD"/>
    <w:rsid w:val="00F50D84"/>
    <w:rsid w:val="00F51046"/>
    <w:rsid w:val="00F518D3"/>
    <w:rsid w:val="00F51F10"/>
    <w:rsid w:val="00F5220D"/>
    <w:rsid w:val="00F529A5"/>
    <w:rsid w:val="00F52D13"/>
    <w:rsid w:val="00F5310D"/>
    <w:rsid w:val="00F531A8"/>
    <w:rsid w:val="00F531B7"/>
    <w:rsid w:val="00F5321A"/>
    <w:rsid w:val="00F54351"/>
    <w:rsid w:val="00F545D3"/>
    <w:rsid w:val="00F54C39"/>
    <w:rsid w:val="00F54F53"/>
    <w:rsid w:val="00F55167"/>
    <w:rsid w:val="00F55463"/>
    <w:rsid w:val="00F5567D"/>
    <w:rsid w:val="00F56330"/>
    <w:rsid w:val="00F56AFE"/>
    <w:rsid w:val="00F5723D"/>
    <w:rsid w:val="00F57ED6"/>
    <w:rsid w:val="00F57F59"/>
    <w:rsid w:val="00F60275"/>
    <w:rsid w:val="00F604B6"/>
    <w:rsid w:val="00F60566"/>
    <w:rsid w:val="00F609AB"/>
    <w:rsid w:val="00F60F00"/>
    <w:rsid w:val="00F6117B"/>
    <w:rsid w:val="00F614C0"/>
    <w:rsid w:val="00F61504"/>
    <w:rsid w:val="00F61F11"/>
    <w:rsid w:val="00F61F6A"/>
    <w:rsid w:val="00F6228F"/>
    <w:rsid w:val="00F6230B"/>
    <w:rsid w:val="00F62E5B"/>
    <w:rsid w:val="00F62F6B"/>
    <w:rsid w:val="00F62FF5"/>
    <w:rsid w:val="00F6422F"/>
    <w:rsid w:val="00F64BE5"/>
    <w:rsid w:val="00F6559B"/>
    <w:rsid w:val="00F65832"/>
    <w:rsid w:val="00F66551"/>
    <w:rsid w:val="00F672D9"/>
    <w:rsid w:val="00F70877"/>
    <w:rsid w:val="00F71D0B"/>
    <w:rsid w:val="00F71E0D"/>
    <w:rsid w:val="00F71FD5"/>
    <w:rsid w:val="00F720D6"/>
    <w:rsid w:val="00F72111"/>
    <w:rsid w:val="00F726D3"/>
    <w:rsid w:val="00F72D70"/>
    <w:rsid w:val="00F7374B"/>
    <w:rsid w:val="00F7384B"/>
    <w:rsid w:val="00F73ED2"/>
    <w:rsid w:val="00F74182"/>
    <w:rsid w:val="00F74251"/>
    <w:rsid w:val="00F74987"/>
    <w:rsid w:val="00F74CE7"/>
    <w:rsid w:val="00F74F41"/>
    <w:rsid w:val="00F75056"/>
    <w:rsid w:val="00F75D28"/>
    <w:rsid w:val="00F7611C"/>
    <w:rsid w:val="00F76246"/>
    <w:rsid w:val="00F763B2"/>
    <w:rsid w:val="00F765DE"/>
    <w:rsid w:val="00F76653"/>
    <w:rsid w:val="00F7768B"/>
    <w:rsid w:val="00F778C3"/>
    <w:rsid w:val="00F77D03"/>
    <w:rsid w:val="00F801F9"/>
    <w:rsid w:val="00F80D80"/>
    <w:rsid w:val="00F81FB7"/>
    <w:rsid w:val="00F8237A"/>
    <w:rsid w:val="00F824C1"/>
    <w:rsid w:val="00F82CC5"/>
    <w:rsid w:val="00F834ED"/>
    <w:rsid w:val="00F837AB"/>
    <w:rsid w:val="00F83801"/>
    <w:rsid w:val="00F83848"/>
    <w:rsid w:val="00F839E6"/>
    <w:rsid w:val="00F84015"/>
    <w:rsid w:val="00F84034"/>
    <w:rsid w:val="00F8416F"/>
    <w:rsid w:val="00F841EC"/>
    <w:rsid w:val="00F85299"/>
    <w:rsid w:val="00F85E32"/>
    <w:rsid w:val="00F8607A"/>
    <w:rsid w:val="00F8701D"/>
    <w:rsid w:val="00F8721A"/>
    <w:rsid w:val="00F87A64"/>
    <w:rsid w:val="00F9033F"/>
    <w:rsid w:val="00F903A2"/>
    <w:rsid w:val="00F90511"/>
    <w:rsid w:val="00F91268"/>
    <w:rsid w:val="00F91332"/>
    <w:rsid w:val="00F9144F"/>
    <w:rsid w:val="00F91879"/>
    <w:rsid w:val="00F91A2D"/>
    <w:rsid w:val="00F91EC2"/>
    <w:rsid w:val="00F920AF"/>
    <w:rsid w:val="00F92346"/>
    <w:rsid w:val="00F923F5"/>
    <w:rsid w:val="00F928AA"/>
    <w:rsid w:val="00F92B96"/>
    <w:rsid w:val="00F936EC"/>
    <w:rsid w:val="00F93D75"/>
    <w:rsid w:val="00F94315"/>
    <w:rsid w:val="00F94FB3"/>
    <w:rsid w:val="00F9525F"/>
    <w:rsid w:val="00F9531E"/>
    <w:rsid w:val="00F9561A"/>
    <w:rsid w:val="00F95C45"/>
    <w:rsid w:val="00F96077"/>
    <w:rsid w:val="00F96331"/>
    <w:rsid w:val="00F972BC"/>
    <w:rsid w:val="00F9752D"/>
    <w:rsid w:val="00F975E9"/>
    <w:rsid w:val="00F97CA2"/>
    <w:rsid w:val="00F97F60"/>
    <w:rsid w:val="00FA0052"/>
    <w:rsid w:val="00FA0CF1"/>
    <w:rsid w:val="00FA1495"/>
    <w:rsid w:val="00FA1B7D"/>
    <w:rsid w:val="00FA1FC4"/>
    <w:rsid w:val="00FA2124"/>
    <w:rsid w:val="00FA22C7"/>
    <w:rsid w:val="00FA2CD8"/>
    <w:rsid w:val="00FA2DB9"/>
    <w:rsid w:val="00FA2E1A"/>
    <w:rsid w:val="00FA313D"/>
    <w:rsid w:val="00FA31CE"/>
    <w:rsid w:val="00FA3594"/>
    <w:rsid w:val="00FA361E"/>
    <w:rsid w:val="00FA38BB"/>
    <w:rsid w:val="00FA3BC2"/>
    <w:rsid w:val="00FA4277"/>
    <w:rsid w:val="00FA4BA6"/>
    <w:rsid w:val="00FA4DE6"/>
    <w:rsid w:val="00FA5C64"/>
    <w:rsid w:val="00FA5F88"/>
    <w:rsid w:val="00FA6A98"/>
    <w:rsid w:val="00FA6C07"/>
    <w:rsid w:val="00FA6F50"/>
    <w:rsid w:val="00FA7010"/>
    <w:rsid w:val="00FA7433"/>
    <w:rsid w:val="00FA7C6D"/>
    <w:rsid w:val="00FA7E27"/>
    <w:rsid w:val="00FB0846"/>
    <w:rsid w:val="00FB0DDB"/>
    <w:rsid w:val="00FB0FA7"/>
    <w:rsid w:val="00FB19B3"/>
    <w:rsid w:val="00FB1A1C"/>
    <w:rsid w:val="00FB1B2B"/>
    <w:rsid w:val="00FB1BC3"/>
    <w:rsid w:val="00FB1FF5"/>
    <w:rsid w:val="00FB2515"/>
    <w:rsid w:val="00FB264B"/>
    <w:rsid w:val="00FB2816"/>
    <w:rsid w:val="00FB2823"/>
    <w:rsid w:val="00FB2D03"/>
    <w:rsid w:val="00FB2FAC"/>
    <w:rsid w:val="00FB2FB2"/>
    <w:rsid w:val="00FB3778"/>
    <w:rsid w:val="00FB3BE5"/>
    <w:rsid w:val="00FB5263"/>
    <w:rsid w:val="00FB5746"/>
    <w:rsid w:val="00FB579E"/>
    <w:rsid w:val="00FB5E7B"/>
    <w:rsid w:val="00FB6A5E"/>
    <w:rsid w:val="00FB6D53"/>
    <w:rsid w:val="00FB7264"/>
    <w:rsid w:val="00FB7C2D"/>
    <w:rsid w:val="00FC0107"/>
    <w:rsid w:val="00FC02EA"/>
    <w:rsid w:val="00FC07B9"/>
    <w:rsid w:val="00FC1290"/>
    <w:rsid w:val="00FC16F7"/>
    <w:rsid w:val="00FC2BC1"/>
    <w:rsid w:val="00FC2CD6"/>
    <w:rsid w:val="00FC34DA"/>
    <w:rsid w:val="00FC34EC"/>
    <w:rsid w:val="00FC3D2F"/>
    <w:rsid w:val="00FC40B4"/>
    <w:rsid w:val="00FC40DD"/>
    <w:rsid w:val="00FC4E21"/>
    <w:rsid w:val="00FC5069"/>
    <w:rsid w:val="00FC5398"/>
    <w:rsid w:val="00FC54DB"/>
    <w:rsid w:val="00FC55F3"/>
    <w:rsid w:val="00FC5D4B"/>
    <w:rsid w:val="00FC5E28"/>
    <w:rsid w:val="00FC5F6D"/>
    <w:rsid w:val="00FC6A56"/>
    <w:rsid w:val="00FC6BDA"/>
    <w:rsid w:val="00FC6C3F"/>
    <w:rsid w:val="00FC7041"/>
    <w:rsid w:val="00FC73AA"/>
    <w:rsid w:val="00FD0107"/>
    <w:rsid w:val="00FD079C"/>
    <w:rsid w:val="00FD0973"/>
    <w:rsid w:val="00FD1120"/>
    <w:rsid w:val="00FD14CE"/>
    <w:rsid w:val="00FD15FC"/>
    <w:rsid w:val="00FD1CA4"/>
    <w:rsid w:val="00FD2390"/>
    <w:rsid w:val="00FD2A12"/>
    <w:rsid w:val="00FD2C2F"/>
    <w:rsid w:val="00FD2CDD"/>
    <w:rsid w:val="00FD2D12"/>
    <w:rsid w:val="00FD2F65"/>
    <w:rsid w:val="00FD31CE"/>
    <w:rsid w:val="00FD367C"/>
    <w:rsid w:val="00FD39B7"/>
    <w:rsid w:val="00FD3B31"/>
    <w:rsid w:val="00FD44B5"/>
    <w:rsid w:val="00FD5470"/>
    <w:rsid w:val="00FD5691"/>
    <w:rsid w:val="00FD5E18"/>
    <w:rsid w:val="00FD60C2"/>
    <w:rsid w:val="00FD6452"/>
    <w:rsid w:val="00FD6486"/>
    <w:rsid w:val="00FD64D9"/>
    <w:rsid w:val="00FD65D3"/>
    <w:rsid w:val="00FD68D7"/>
    <w:rsid w:val="00FD6A27"/>
    <w:rsid w:val="00FD6BE3"/>
    <w:rsid w:val="00FD6C6E"/>
    <w:rsid w:val="00FD718D"/>
    <w:rsid w:val="00FD768E"/>
    <w:rsid w:val="00FD79B1"/>
    <w:rsid w:val="00FD79F5"/>
    <w:rsid w:val="00FD7A0F"/>
    <w:rsid w:val="00FD7F27"/>
    <w:rsid w:val="00FE00E8"/>
    <w:rsid w:val="00FE051D"/>
    <w:rsid w:val="00FE0765"/>
    <w:rsid w:val="00FE0A62"/>
    <w:rsid w:val="00FE0D25"/>
    <w:rsid w:val="00FE0D7C"/>
    <w:rsid w:val="00FE1823"/>
    <w:rsid w:val="00FE1C2A"/>
    <w:rsid w:val="00FE20A3"/>
    <w:rsid w:val="00FE24A7"/>
    <w:rsid w:val="00FE304F"/>
    <w:rsid w:val="00FE3195"/>
    <w:rsid w:val="00FE3A9D"/>
    <w:rsid w:val="00FE41BB"/>
    <w:rsid w:val="00FE4568"/>
    <w:rsid w:val="00FE487A"/>
    <w:rsid w:val="00FE4DCB"/>
    <w:rsid w:val="00FE4EA2"/>
    <w:rsid w:val="00FE4EB9"/>
    <w:rsid w:val="00FE5019"/>
    <w:rsid w:val="00FE5186"/>
    <w:rsid w:val="00FE598E"/>
    <w:rsid w:val="00FE5FEC"/>
    <w:rsid w:val="00FE62EB"/>
    <w:rsid w:val="00FE6ED3"/>
    <w:rsid w:val="00FE708D"/>
    <w:rsid w:val="00FE711B"/>
    <w:rsid w:val="00FE75CE"/>
    <w:rsid w:val="00FE773B"/>
    <w:rsid w:val="00FF020B"/>
    <w:rsid w:val="00FF0522"/>
    <w:rsid w:val="00FF055B"/>
    <w:rsid w:val="00FF0569"/>
    <w:rsid w:val="00FF1D38"/>
    <w:rsid w:val="00FF1DC0"/>
    <w:rsid w:val="00FF206E"/>
    <w:rsid w:val="00FF22FD"/>
    <w:rsid w:val="00FF284B"/>
    <w:rsid w:val="00FF29AE"/>
    <w:rsid w:val="00FF2B19"/>
    <w:rsid w:val="00FF2E05"/>
    <w:rsid w:val="00FF3AE8"/>
    <w:rsid w:val="00FF3C69"/>
    <w:rsid w:val="00FF405D"/>
    <w:rsid w:val="00FF4788"/>
    <w:rsid w:val="00FF4C83"/>
    <w:rsid w:val="00FF4F4E"/>
    <w:rsid w:val="00FF5385"/>
    <w:rsid w:val="00FF5DD8"/>
    <w:rsid w:val="00FF6151"/>
    <w:rsid w:val="00FF6AD1"/>
    <w:rsid w:val="00FF6E0A"/>
    <w:rsid w:val="00FF6EA4"/>
    <w:rsid w:val="00FF7061"/>
    <w:rsid w:val="00FF76EC"/>
    <w:rsid w:val="00FF7923"/>
    <w:rsid w:val="00FF7A84"/>
    <w:rsid w:val="00FF7BB5"/>
    <w:rsid w:val="00FF7D74"/>
    <w:rsid w:val="0306F8CF"/>
    <w:rsid w:val="12E0E874"/>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EE3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numPr>
        <w:numId w:val="36"/>
      </w:numPr>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numPr>
        <w:ilvl w:val="1"/>
        <w:numId w:val="36"/>
      </w:numPr>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numPr>
        <w:ilvl w:val="2"/>
        <w:numId w:val="36"/>
      </w:numPr>
      <w:spacing w:before="60" w:after="60"/>
      <w:outlineLvl w:val="2"/>
    </w:pPr>
    <w:rPr>
      <w:rFonts w:cs="Arial"/>
      <w:b/>
      <w:bCs/>
      <w:szCs w:val="26"/>
    </w:rPr>
  </w:style>
  <w:style w:type="paragraph" w:styleId="Heading4">
    <w:name w:val="heading 4"/>
    <w:basedOn w:val="BodySubHeader"/>
    <w:next w:val="Normal"/>
    <w:uiPriority w:val="3"/>
    <w:qFormat/>
    <w:rsid w:val="005B2F0D"/>
    <w:pPr>
      <w:numPr>
        <w:ilvl w:val="3"/>
        <w:numId w:val="36"/>
      </w:numPr>
      <w:outlineLvl w:val="3"/>
    </w:pPr>
    <w:rPr>
      <w:rFonts w:cs="Arial"/>
    </w:rPr>
  </w:style>
  <w:style w:type="paragraph" w:styleId="Heading5">
    <w:name w:val="heading 5"/>
    <w:basedOn w:val="Normal"/>
    <w:next w:val="Normal"/>
    <w:semiHidden/>
    <w:qFormat/>
    <w:rsid w:val="00AD5436"/>
    <w:pPr>
      <w:numPr>
        <w:ilvl w:val="4"/>
        <w:numId w:val="36"/>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36"/>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36"/>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36"/>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Footnote Reference/,Appel note de bas de p + 11 pt,Italic,Appel note de bas de p1,Appel note de bas de p2,Appel note de bas de p3,Footnote,Style 12,(NECG) Footnote Reference,Style 124,o,fr,Style 3,Style 13,FR"/>
    <w:basedOn w:val="DefaultParagraphFont"/>
    <w:uiPriority w:val="99"/>
    <w:qFormat/>
    <w:rsid w:val="00566AB4"/>
    <w:rPr>
      <w:rFonts w:ascii="Arial" w:hAnsi="Arial"/>
      <w:vertAlign w:val="superscript"/>
    </w:rPr>
  </w:style>
  <w:style w:type="paragraph" w:styleId="FootnoteText">
    <w:name w:val="footnote text"/>
    <w:aliases w:val="Footnote text,footnote text,ALTS FOOTNOTE,Footnote Text Char1,Footnote Text Char Char1,Footnote Text Char4 Char Char,Footnote Text Char1 Char1 Char1 Char,Footnote Text Char Char1 Char1 Char Char,DNV-FT,ACMA Footnote Text"/>
    <w:basedOn w:val="Normal"/>
    <w:link w:val="FootnoteTextChar"/>
    <w:uiPriority w:val="99"/>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uiPriority w:val="34"/>
    <w:qFormat/>
    <w:rsid w:val="009B10B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qFormat/>
    <w:rsid w:val="009B10B8"/>
    <w:rPr>
      <w:rFonts w:ascii="Arial" w:hAnsi="Arial"/>
      <w:sz w:val="16"/>
      <w:szCs w:val="16"/>
    </w:rPr>
  </w:style>
  <w:style w:type="character" w:customStyle="1" w:styleId="normaltextrun">
    <w:name w:val="normaltextrun"/>
    <w:basedOn w:val="DefaultParagraphFont"/>
    <w:rsid w:val="000245EE"/>
  </w:style>
  <w:style w:type="paragraph" w:styleId="EndnoteText">
    <w:name w:val="endnote text"/>
    <w:basedOn w:val="Normal"/>
    <w:link w:val="EndnoteTextChar"/>
    <w:semiHidden/>
    <w:unhideWhenUsed/>
    <w:rsid w:val="00816AD3"/>
    <w:pPr>
      <w:spacing w:after="0" w:line="240" w:lineRule="auto"/>
    </w:pPr>
    <w:rPr>
      <w:szCs w:val="20"/>
    </w:rPr>
  </w:style>
  <w:style w:type="character" w:customStyle="1" w:styleId="EndnoteTextChar">
    <w:name w:val="Endnote Text Char"/>
    <w:basedOn w:val="DefaultParagraphFont"/>
    <w:link w:val="EndnoteText"/>
    <w:semiHidden/>
    <w:rsid w:val="00816AD3"/>
    <w:rPr>
      <w:rFonts w:ascii="Arial" w:hAnsi="Arial"/>
      <w:sz w:val="20"/>
      <w:szCs w:val="20"/>
    </w:rPr>
  </w:style>
  <w:style w:type="character" w:styleId="EndnoteReference">
    <w:name w:val="endnote reference"/>
    <w:basedOn w:val="DefaultParagraphFont"/>
    <w:semiHidden/>
    <w:unhideWhenUsed/>
    <w:rsid w:val="00816AD3"/>
    <w:rPr>
      <w:vertAlign w:val="superscript"/>
    </w:rPr>
  </w:style>
  <w:style w:type="paragraph" w:customStyle="1" w:styleId="ACMABodyText">
    <w:name w:val="ACMA Body Text"/>
    <w:rsid w:val="00615B8A"/>
    <w:pPr>
      <w:suppressAutoHyphens/>
      <w:spacing w:before="80" w:after="120" w:line="260" w:lineRule="atLeast"/>
    </w:pPr>
    <w:rPr>
      <w:rFonts w:ascii="Arial" w:hAnsi="Arial"/>
      <w:snapToGrid w:val="0"/>
      <w:sz w:val="22"/>
      <w:szCs w:val="20"/>
      <w:lang w:eastAsia="en-US"/>
    </w:rPr>
  </w:style>
  <w:style w:type="paragraph" w:customStyle="1" w:styleId="ACMANumberedList">
    <w:name w:val="ACMA Numbered List"/>
    <w:rsid w:val="009E23FF"/>
    <w:pPr>
      <w:numPr>
        <w:numId w:val="33"/>
      </w:numPr>
      <w:tabs>
        <w:tab w:val="num" w:pos="360"/>
      </w:tabs>
      <w:spacing w:before="20" w:after="20"/>
      <w:ind w:left="0" w:firstLine="0"/>
    </w:pPr>
    <w:rPr>
      <w:szCs w:val="20"/>
      <w:lang w:eastAsia="en-US"/>
    </w:rPr>
  </w:style>
  <w:style w:type="paragraph" w:customStyle="1" w:styleId="Default">
    <w:name w:val="Default"/>
    <w:rsid w:val="00F72111"/>
    <w:pPr>
      <w:autoSpaceDE w:val="0"/>
      <w:autoSpaceDN w:val="0"/>
      <w:adjustRightInd w:val="0"/>
    </w:pPr>
    <w:rPr>
      <w:rFonts w:ascii="Arial" w:hAnsi="Arial" w:cs="Arial"/>
      <w:color w:val="000000"/>
    </w:rPr>
  </w:style>
  <w:style w:type="paragraph" w:customStyle="1" w:styleId="enumlev1">
    <w:name w:val="enumlev1"/>
    <w:basedOn w:val="Normal"/>
    <w:link w:val="enumlev1Char"/>
    <w:rsid w:val="00C72C97"/>
    <w:pPr>
      <w:tabs>
        <w:tab w:val="left" w:pos="2608"/>
        <w:tab w:val="left" w:pos="3345"/>
      </w:tabs>
      <w:spacing w:before="80" w:after="0" w:line="240" w:lineRule="auto"/>
      <w:ind w:left="1134" w:hanging="1134"/>
    </w:pPr>
    <w:rPr>
      <w:rFonts w:ascii="Times New Roman" w:hAnsi="Times New Roman"/>
      <w:sz w:val="24"/>
      <w:szCs w:val="20"/>
      <w:lang w:val="en-GB" w:eastAsia="en-US"/>
    </w:rPr>
  </w:style>
  <w:style w:type="character" w:customStyle="1" w:styleId="enumlev1Char">
    <w:name w:val="enumlev1 Char"/>
    <w:link w:val="enumlev1"/>
    <w:locked/>
    <w:rsid w:val="00C72C97"/>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320">
      <w:bodyDiv w:val="1"/>
      <w:marLeft w:val="0"/>
      <w:marRight w:val="0"/>
      <w:marTop w:val="0"/>
      <w:marBottom w:val="0"/>
      <w:divBdr>
        <w:top w:val="none" w:sz="0" w:space="0" w:color="auto"/>
        <w:left w:val="none" w:sz="0" w:space="0" w:color="auto"/>
        <w:bottom w:val="none" w:sz="0" w:space="0" w:color="auto"/>
        <w:right w:val="none" w:sz="0" w:space="0" w:color="auto"/>
      </w:divBdr>
    </w:div>
    <w:div w:id="241841571">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82564504">
      <w:bodyDiv w:val="1"/>
      <w:marLeft w:val="0"/>
      <w:marRight w:val="0"/>
      <w:marTop w:val="0"/>
      <w:marBottom w:val="0"/>
      <w:divBdr>
        <w:top w:val="none" w:sz="0" w:space="0" w:color="auto"/>
        <w:left w:val="none" w:sz="0" w:space="0" w:color="auto"/>
        <w:bottom w:val="none" w:sz="0" w:space="0" w:color="auto"/>
        <w:right w:val="none" w:sz="0" w:space="0" w:color="auto"/>
      </w:divBdr>
    </w:div>
    <w:div w:id="430130955">
      <w:bodyDiv w:val="1"/>
      <w:marLeft w:val="0"/>
      <w:marRight w:val="0"/>
      <w:marTop w:val="0"/>
      <w:marBottom w:val="0"/>
      <w:divBdr>
        <w:top w:val="none" w:sz="0" w:space="0" w:color="auto"/>
        <w:left w:val="none" w:sz="0" w:space="0" w:color="auto"/>
        <w:bottom w:val="none" w:sz="0" w:space="0" w:color="auto"/>
        <w:right w:val="none" w:sz="0" w:space="0" w:color="auto"/>
      </w:divBdr>
    </w:div>
    <w:div w:id="447742159">
      <w:bodyDiv w:val="1"/>
      <w:marLeft w:val="0"/>
      <w:marRight w:val="0"/>
      <w:marTop w:val="0"/>
      <w:marBottom w:val="0"/>
      <w:divBdr>
        <w:top w:val="none" w:sz="0" w:space="0" w:color="auto"/>
        <w:left w:val="none" w:sz="0" w:space="0" w:color="auto"/>
        <w:bottom w:val="none" w:sz="0" w:space="0" w:color="auto"/>
        <w:right w:val="none" w:sz="0" w:space="0" w:color="auto"/>
      </w:divBdr>
    </w:div>
    <w:div w:id="518859456">
      <w:bodyDiv w:val="1"/>
      <w:marLeft w:val="0"/>
      <w:marRight w:val="0"/>
      <w:marTop w:val="0"/>
      <w:marBottom w:val="0"/>
      <w:divBdr>
        <w:top w:val="none" w:sz="0" w:space="0" w:color="auto"/>
        <w:left w:val="none" w:sz="0" w:space="0" w:color="auto"/>
        <w:bottom w:val="none" w:sz="0" w:space="0" w:color="auto"/>
        <w:right w:val="none" w:sz="0" w:space="0" w:color="auto"/>
      </w:divBdr>
    </w:div>
    <w:div w:id="545216756">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63895433">
      <w:bodyDiv w:val="1"/>
      <w:marLeft w:val="0"/>
      <w:marRight w:val="0"/>
      <w:marTop w:val="0"/>
      <w:marBottom w:val="0"/>
      <w:divBdr>
        <w:top w:val="none" w:sz="0" w:space="0" w:color="auto"/>
        <w:left w:val="none" w:sz="0" w:space="0" w:color="auto"/>
        <w:bottom w:val="none" w:sz="0" w:space="0" w:color="auto"/>
        <w:right w:val="none" w:sz="0" w:space="0" w:color="auto"/>
      </w:divBdr>
    </w:div>
    <w:div w:id="740371370">
      <w:bodyDiv w:val="1"/>
      <w:marLeft w:val="0"/>
      <w:marRight w:val="0"/>
      <w:marTop w:val="0"/>
      <w:marBottom w:val="0"/>
      <w:divBdr>
        <w:top w:val="none" w:sz="0" w:space="0" w:color="auto"/>
        <w:left w:val="none" w:sz="0" w:space="0" w:color="auto"/>
        <w:bottom w:val="none" w:sz="0" w:space="0" w:color="auto"/>
        <w:right w:val="none" w:sz="0" w:space="0" w:color="auto"/>
      </w:divBdr>
    </w:div>
    <w:div w:id="768307032">
      <w:bodyDiv w:val="1"/>
      <w:marLeft w:val="0"/>
      <w:marRight w:val="0"/>
      <w:marTop w:val="0"/>
      <w:marBottom w:val="0"/>
      <w:divBdr>
        <w:top w:val="none" w:sz="0" w:space="0" w:color="auto"/>
        <w:left w:val="none" w:sz="0" w:space="0" w:color="auto"/>
        <w:bottom w:val="none" w:sz="0" w:space="0" w:color="auto"/>
        <w:right w:val="none" w:sz="0" w:space="0" w:color="auto"/>
      </w:divBdr>
    </w:div>
    <w:div w:id="1191332770">
      <w:bodyDiv w:val="1"/>
      <w:marLeft w:val="0"/>
      <w:marRight w:val="0"/>
      <w:marTop w:val="0"/>
      <w:marBottom w:val="0"/>
      <w:divBdr>
        <w:top w:val="none" w:sz="0" w:space="0" w:color="auto"/>
        <w:left w:val="none" w:sz="0" w:space="0" w:color="auto"/>
        <w:bottom w:val="none" w:sz="0" w:space="0" w:color="auto"/>
        <w:right w:val="none" w:sz="0" w:space="0" w:color="auto"/>
      </w:divBdr>
    </w:div>
    <w:div w:id="1203059661">
      <w:bodyDiv w:val="1"/>
      <w:marLeft w:val="0"/>
      <w:marRight w:val="0"/>
      <w:marTop w:val="0"/>
      <w:marBottom w:val="0"/>
      <w:divBdr>
        <w:top w:val="none" w:sz="0" w:space="0" w:color="auto"/>
        <w:left w:val="none" w:sz="0" w:space="0" w:color="auto"/>
        <w:bottom w:val="none" w:sz="0" w:space="0" w:color="auto"/>
        <w:right w:val="none" w:sz="0" w:space="0" w:color="auto"/>
      </w:divBdr>
    </w:div>
    <w:div w:id="122698782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37479881">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3294309">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08634233">
      <w:bodyDiv w:val="1"/>
      <w:marLeft w:val="0"/>
      <w:marRight w:val="0"/>
      <w:marTop w:val="0"/>
      <w:marBottom w:val="0"/>
      <w:divBdr>
        <w:top w:val="none" w:sz="0" w:space="0" w:color="auto"/>
        <w:left w:val="none" w:sz="0" w:space="0" w:color="auto"/>
        <w:bottom w:val="none" w:sz="0" w:space="0" w:color="auto"/>
        <w:right w:val="none" w:sz="0" w:space="0" w:color="auto"/>
      </w:divBdr>
    </w:div>
    <w:div w:id="20588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itu.int/en/ITU-R/conferences/RRB/Pages/default.aspx" TargetMode="External"/><Relationship Id="rId39" Type="http://schemas.openxmlformats.org/officeDocument/2006/relationships/hyperlink" Target="https://www.bundesnetzagentur.de/EN/Areas/Telecommunications/Companies/FrequencyManagement/FrequencyAssignment/SatelliteCommunications/SatFu/node.html" TargetMode="External"/><Relationship Id="rId21" Type="http://schemas.openxmlformats.org/officeDocument/2006/relationships/footer" Target="footer4.xml"/><Relationship Id="rId34" Type="http://schemas.openxmlformats.org/officeDocument/2006/relationships/hyperlink" Target="https://www.itu.int/dms_pub/itu-r/oth/0C/0A/R0C0A00000F0015PDFE.pdf" TargetMode="External"/><Relationship Id="rId42" Type="http://schemas.openxmlformats.org/officeDocument/2006/relationships/hyperlink" Target="https://www.gov.br/anatel/pt-br/regulado/satellite" TargetMode="External"/><Relationship Id="rId47" Type="http://schemas.openxmlformats.org/officeDocument/2006/relationships/hyperlink" Target="https://www.itu.int/en/ITU-R/conferences/RRB/Documents/ai%204_1_compendium%20to%20be%20published%20as%20special%20topics_English.docx" TargetMode="External"/><Relationship Id="rId50" Type="http://schemas.openxmlformats.org/officeDocument/2006/relationships/hyperlink" Target="https://www.acma.gov.au/publication-submissions" TargetMode="External"/><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itu.int/en/ITU-R/conferences/RRB/Pages/default.aspx"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itu.int/en/Pages/default.aspx" TargetMode="External"/><Relationship Id="rId32" Type="http://schemas.openxmlformats.org/officeDocument/2006/relationships/hyperlink" Target="https://www.acma.gov.au/publications/2012-01/guide/satellite-coordination-and-notification-regulatory-environment" TargetMode="External"/><Relationship Id="rId37" Type="http://schemas.openxmlformats.org/officeDocument/2006/relationships/hyperlink" Target="https://www.ecfr.gov/current/title-47/chapter-I/subchapter-B/part-25" TargetMode="External"/><Relationship Id="rId40" Type="http://schemas.openxmlformats.org/officeDocument/2006/relationships/hyperlink" Target="https://iris.imda.gov.sg/application/licence-for-the-use-of-satellite-orbital-slot" TargetMode="External"/><Relationship Id="rId45" Type="http://schemas.openxmlformats.org/officeDocument/2006/relationships/hyperlink" Target="https://www.legislation.gov.au/Series/C2018A00029" TargetMode="External"/><Relationship Id="rId53" Type="http://schemas.openxmlformats.org/officeDocument/2006/relationships/header" Target="header8.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itu.int/wrc-23/" TargetMode="External"/><Relationship Id="rId30" Type="http://schemas.openxmlformats.org/officeDocument/2006/relationships/hyperlink" Target="https://www.acma.gov.au/consultations/2022-03/draft-five-year-spectrum-outlook-2022-27-consultation-122022" TargetMode="External"/><Relationship Id="rId35" Type="http://schemas.openxmlformats.org/officeDocument/2006/relationships/hyperlink" Target="https://www.itu.int/en/ITU-R/space/Pages/brificMain.aspx" TargetMode="External"/><Relationship Id="rId43" Type="http://schemas.openxmlformats.org/officeDocument/2006/relationships/hyperlink" Target="https://www.unoosa.org/oosa/index.html" TargetMode="External"/><Relationship Id="rId48" Type="http://schemas.openxmlformats.org/officeDocument/2006/relationships/hyperlink" Target="https://www.itu.int/dms_pub/itu-r/oth/0C/0A/R0C0A00000F0018PDFE.pdf"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acma.gov.au/privacy-policy"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publications/2012-01/guide/australian-procedures-coordination-notification-satellite-systems" TargetMode="External"/><Relationship Id="rId33" Type="http://schemas.openxmlformats.org/officeDocument/2006/relationships/hyperlink" Target="https://www.iaru.org/reference/satellites/" TargetMode="External"/><Relationship Id="rId38" Type="http://schemas.openxmlformats.org/officeDocument/2006/relationships/hyperlink" Target="https://ised-isde.canada.ca/site/spectrum-management-telecommunications/en/licences-and-certificates/satellite-services" TargetMode="External"/><Relationship Id="rId46" Type="http://schemas.openxmlformats.org/officeDocument/2006/relationships/hyperlink" Target="https://www.homeaffairs.gov.au/about-us/our-portfolios/national-security/security-coordination/critical-infrastructure-resilience" TargetMode="External"/><Relationship Id="rId20" Type="http://schemas.openxmlformats.org/officeDocument/2006/relationships/header" Target="header6.xml"/><Relationship Id="rId41" Type="http://schemas.openxmlformats.org/officeDocument/2006/relationships/hyperlink" Target="https://www.rsm.govt.nz/about/publications/pibs/pib-60/"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itu.int/pub/R-REG-RR" TargetMode="External"/><Relationship Id="rId36" Type="http://schemas.openxmlformats.org/officeDocument/2006/relationships/hyperlink" Target="https://www.ofcom.org.uk/spectrum/information/satellites-space-science/satellite-filings" TargetMode="External"/><Relationship Id="rId49" Type="http://schemas.openxmlformats.org/officeDocument/2006/relationships/hyperlink" Target="https://www.acma.gov.au/have-your-say"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acma.gov.au/five-year-spectrum-outlook" TargetMode="External"/><Relationship Id="rId44" Type="http://schemas.openxmlformats.org/officeDocument/2006/relationships/hyperlink" Target="https://www.industry.gov.au/trade/australias-standards-and-conformance-infrastructure" TargetMode="External"/><Relationship Id="rId5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cc.gov/wireless/bureau-divisions/technologies-systems-and-innovation-division/rules-regulations-title-47" TargetMode="External"/><Relationship Id="rId13" Type="http://schemas.openxmlformats.org/officeDocument/2006/relationships/hyperlink" Target="https://www.ofcom.org.uk/consultations-and-statements/category-2/non-geostationary-satellite-systems" TargetMode="External"/><Relationship Id="rId18" Type="http://schemas.openxmlformats.org/officeDocument/2006/relationships/hyperlink" Target="https://www.itu.int/net/ITU-R/space/costrec/free_ent.asp" TargetMode="External"/><Relationship Id="rId3" Type="http://schemas.openxmlformats.org/officeDocument/2006/relationships/hyperlink" Target="https://webarchive.nla.gov.au/awa/20120316193650/http:/www.acma.gov.au/WEB/STANDARD/pc=PC_410198" TargetMode="External"/><Relationship Id="rId21" Type="http://schemas.openxmlformats.org/officeDocument/2006/relationships/hyperlink" Target="https://www.itu.int/hub/publication/s-conf-plen-2022/" TargetMode="External"/><Relationship Id="rId7" Type="http://schemas.openxmlformats.org/officeDocument/2006/relationships/hyperlink" Target="https://www.legislation.gov.au/Series/C2004A00818" TargetMode="External"/><Relationship Id="rId12" Type="http://schemas.openxmlformats.org/officeDocument/2006/relationships/hyperlink" Target="https://www.itu.int/dms_pub/itu-r/oth/0C/0A/R0C0A00000F0002PDFE.pdf" TargetMode="External"/><Relationship Id="rId17" Type="http://schemas.openxmlformats.org/officeDocument/2006/relationships/hyperlink" Target="https://www.itu.int/en/ITU-R/space/costrecovery/Pages/default.aspx" TargetMode="External"/><Relationship Id="rId2" Type="http://schemas.openxmlformats.org/officeDocument/2006/relationships/hyperlink" Target="https://webarchive.nla.gov.au/awa/20020103155234/http:/www.aca.gov.au/sst/before/sstbef-asscriteria.htm" TargetMode="External"/><Relationship Id="rId16" Type="http://schemas.openxmlformats.org/officeDocument/2006/relationships/hyperlink" Target="https://licensing.fcc.gov/cgi-bin/ws.exe/prod/ib/forms/reports/swr014b.hts" TargetMode="External"/><Relationship Id="rId20" Type="http://schemas.openxmlformats.org/officeDocument/2006/relationships/hyperlink" Target="https://www.itu.int/pub/R-REG-ROP/en" TargetMode="External"/><Relationship Id="rId1" Type="http://schemas.openxmlformats.org/officeDocument/2006/relationships/hyperlink" Target="https://webarchive.nla.gov.au/awa/20101018222531/http:/acma.gov.au/WEB/STANDARD/pc=PC_312294" TargetMode="External"/><Relationship Id="rId6" Type="http://schemas.openxmlformats.org/officeDocument/2006/relationships/hyperlink" Target="https://www.acma.gov.au/publications/2012-01/guide/australian-procedures-coordination-notification-satellite-systems" TargetMode="External"/><Relationship Id="rId11" Type="http://schemas.openxmlformats.org/officeDocument/2006/relationships/hyperlink" Target="https://www.acma.gov.au/consultations/2022-03/draft-five-year-spectrum-outlook-2022-27-consultation-122022" TargetMode="External"/><Relationship Id="rId5" Type="http://schemas.openxmlformats.org/officeDocument/2006/relationships/hyperlink" Target="https://www.itu.int/dms_pub/itu-r/oth/0C/0A/R0C0A00000F0015PDFE.pdf" TargetMode="External"/><Relationship Id="rId15" Type="http://schemas.openxmlformats.org/officeDocument/2006/relationships/hyperlink" Target="https://www.fcc.gov/approved-space-station-list" TargetMode="External"/><Relationship Id="rId10" Type="http://schemas.openxmlformats.org/officeDocument/2006/relationships/hyperlink" Target="https://www.ecfr.gov/current/title-47/chapter-I/subchapter-B/part-25" TargetMode="External"/><Relationship Id="rId19" Type="http://schemas.openxmlformats.org/officeDocument/2006/relationships/hyperlink" Target="https://www.itu.int/md/R23-RRB23.2-C-0002/en" TargetMode="External"/><Relationship Id="rId4" Type="http://schemas.openxmlformats.org/officeDocument/2006/relationships/hyperlink" Target="https://www.acma.gov.au/sites/default/files/2022-09/Response%20to%20submissions%20to%20Draft%20FYSO%202022-27.pdf" TargetMode="External"/><Relationship Id="rId9" Type="http://schemas.openxmlformats.org/officeDocument/2006/relationships/hyperlink" Target="https://ised-isde.canada.ca/site/spectrum-management-telecommunications/en/learn-more/key-documents/procedures/client-procedures-circulars-cpc/cpc-2-6-02-licensing-space-stations" TargetMode="External"/><Relationship Id="rId14" Type="http://schemas.openxmlformats.org/officeDocument/2006/relationships/hyperlink" Target="https://www.industry.gov.au/policies-and-initiatives/australian-space-agency/international-collaboration-on-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12281</Words>
  <Characters>69021</Characters>
  <Application>Microsoft Office Word</Application>
  <DocSecurity>0</DocSecurity>
  <Lines>1302</Lines>
  <Paragraphs>620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80682</CharactersWithSpaces>
  <SharedDoc>false</SharedDoc>
  <HyperlinkBase/>
  <HLinks>
    <vt:vector size="606" baseType="variant">
      <vt:variant>
        <vt:i4>2097192</vt:i4>
      </vt:variant>
      <vt:variant>
        <vt:i4>429</vt:i4>
      </vt:variant>
      <vt:variant>
        <vt:i4>0</vt:i4>
      </vt:variant>
      <vt:variant>
        <vt:i4>5</vt:i4>
      </vt:variant>
      <vt:variant>
        <vt:lpwstr>https://www.acma.gov.au/privacy-policy</vt:lpwstr>
      </vt:variant>
      <vt:variant>
        <vt:lpwstr/>
      </vt:variant>
      <vt:variant>
        <vt:i4>3473455</vt:i4>
      </vt:variant>
      <vt:variant>
        <vt:i4>426</vt:i4>
      </vt:variant>
      <vt:variant>
        <vt:i4>0</vt:i4>
      </vt:variant>
      <vt:variant>
        <vt:i4>5</vt:i4>
      </vt:variant>
      <vt:variant>
        <vt:lpwstr>https://www.acma.gov.au/publication-submissions</vt:lpwstr>
      </vt:variant>
      <vt:variant>
        <vt:lpwstr/>
      </vt:variant>
      <vt:variant>
        <vt:i4>5308427</vt:i4>
      </vt:variant>
      <vt:variant>
        <vt:i4>423</vt:i4>
      </vt:variant>
      <vt:variant>
        <vt:i4>0</vt:i4>
      </vt:variant>
      <vt:variant>
        <vt:i4>5</vt:i4>
      </vt:variant>
      <vt:variant>
        <vt:lpwstr>https://www.acma.gov.au/have-your-say</vt:lpwstr>
      </vt:variant>
      <vt:variant>
        <vt:lpwstr/>
      </vt:variant>
      <vt:variant>
        <vt:i4>458812</vt:i4>
      </vt:variant>
      <vt:variant>
        <vt:i4>414</vt:i4>
      </vt:variant>
      <vt:variant>
        <vt:i4>0</vt:i4>
      </vt:variant>
      <vt:variant>
        <vt:i4>5</vt:i4>
      </vt:variant>
      <vt:variant>
        <vt:lpwstr>https://www.itu.int/dms_pub/itu-r/oth/0C/0A/R0C0A00000F0018PDFE.pdf</vt:lpwstr>
      </vt:variant>
      <vt:variant>
        <vt:lpwstr/>
      </vt:variant>
      <vt:variant>
        <vt:i4>3735559</vt:i4>
      </vt:variant>
      <vt:variant>
        <vt:i4>411</vt:i4>
      </vt:variant>
      <vt:variant>
        <vt:i4>0</vt:i4>
      </vt:variant>
      <vt:variant>
        <vt:i4>5</vt:i4>
      </vt:variant>
      <vt:variant>
        <vt:lpwstr>https://www.itu.int/en/ITU-R/conferences/RRB/Documents/ai 4_1_compendium to be published as special topics_English.docx</vt:lpwstr>
      </vt:variant>
      <vt:variant>
        <vt:lpwstr/>
      </vt:variant>
      <vt:variant>
        <vt:i4>65628</vt:i4>
      </vt:variant>
      <vt:variant>
        <vt:i4>408</vt:i4>
      </vt:variant>
      <vt:variant>
        <vt:i4>0</vt:i4>
      </vt:variant>
      <vt:variant>
        <vt:i4>5</vt:i4>
      </vt:variant>
      <vt:variant>
        <vt:lpwstr>https://www.homeaffairs.gov.au/about-us/our-portfolios/national-security/security-coordination/critical-infrastructure-resilience</vt:lpwstr>
      </vt:variant>
      <vt:variant>
        <vt:lpwstr/>
      </vt:variant>
      <vt:variant>
        <vt:i4>131093</vt:i4>
      </vt:variant>
      <vt:variant>
        <vt:i4>405</vt:i4>
      </vt:variant>
      <vt:variant>
        <vt:i4>0</vt:i4>
      </vt:variant>
      <vt:variant>
        <vt:i4>5</vt:i4>
      </vt:variant>
      <vt:variant>
        <vt:lpwstr>https://www.legislation.gov.au/Series/C2018A00029</vt:lpwstr>
      </vt:variant>
      <vt:variant>
        <vt:lpwstr/>
      </vt:variant>
      <vt:variant>
        <vt:i4>6094920</vt:i4>
      </vt:variant>
      <vt:variant>
        <vt:i4>402</vt:i4>
      </vt:variant>
      <vt:variant>
        <vt:i4>0</vt:i4>
      </vt:variant>
      <vt:variant>
        <vt:i4>5</vt:i4>
      </vt:variant>
      <vt:variant>
        <vt:lpwstr>https://www.industry.gov.au/trade/australias-standards-and-conformance-infrastructure</vt:lpwstr>
      </vt:variant>
      <vt:variant>
        <vt:lpwstr/>
      </vt:variant>
      <vt:variant>
        <vt:i4>3014692</vt:i4>
      </vt:variant>
      <vt:variant>
        <vt:i4>399</vt:i4>
      </vt:variant>
      <vt:variant>
        <vt:i4>0</vt:i4>
      </vt:variant>
      <vt:variant>
        <vt:i4>5</vt:i4>
      </vt:variant>
      <vt:variant>
        <vt:lpwstr>https://www.unoosa.org/oosa/index.html</vt:lpwstr>
      </vt:variant>
      <vt:variant>
        <vt:lpwstr/>
      </vt:variant>
      <vt:variant>
        <vt:i4>7405675</vt:i4>
      </vt:variant>
      <vt:variant>
        <vt:i4>393</vt:i4>
      </vt:variant>
      <vt:variant>
        <vt:i4>0</vt:i4>
      </vt:variant>
      <vt:variant>
        <vt:i4>5</vt:i4>
      </vt:variant>
      <vt:variant>
        <vt:lpwstr>https://www.gov.br/anatel/pt-br/regulado/satellite</vt:lpwstr>
      </vt:variant>
      <vt:variant>
        <vt:lpwstr/>
      </vt:variant>
      <vt:variant>
        <vt:i4>2883692</vt:i4>
      </vt:variant>
      <vt:variant>
        <vt:i4>390</vt:i4>
      </vt:variant>
      <vt:variant>
        <vt:i4>0</vt:i4>
      </vt:variant>
      <vt:variant>
        <vt:i4>5</vt:i4>
      </vt:variant>
      <vt:variant>
        <vt:lpwstr>https://www.rsm.govt.nz/about/publications/pibs/pib-60/</vt:lpwstr>
      </vt:variant>
      <vt:variant>
        <vt:lpwstr/>
      </vt:variant>
      <vt:variant>
        <vt:i4>2490487</vt:i4>
      </vt:variant>
      <vt:variant>
        <vt:i4>387</vt:i4>
      </vt:variant>
      <vt:variant>
        <vt:i4>0</vt:i4>
      </vt:variant>
      <vt:variant>
        <vt:i4>5</vt:i4>
      </vt:variant>
      <vt:variant>
        <vt:lpwstr>https://iris.imda.gov.sg/application/licence-for-the-use-of-satellite-orbital-slot</vt:lpwstr>
      </vt:variant>
      <vt:variant>
        <vt:lpwstr/>
      </vt:variant>
      <vt:variant>
        <vt:i4>3735658</vt:i4>
      </vt:variant>
      <vt:variant>
        <vt:i4>384</vt:i4>
      </vt:variant>
      <vt:variant>
        <vt:i4>0</vt:i4>
      </vt:variant>
      <vt:variant>
        <vt:i4>5</vt:i4>
      </vt:variant>
      <vt:variant>
        <vt:lpwstr>https://www.bundesnetzagentur.de/EN/Areas/Telecommunications/Companies/FrequencyManagement/FrequencyAssignment/SatelliteCommunications/SatFu/node.html</vt:lpwstr>
      </vt:variant>
      <vt:variant>
        <vt:lpwstr/>
      </vt:variant>
      <vt:variant>
        <vt:i4>7602288</vt:i4>
      </vt:variant>
      <vt:variant>
        <vt:i4>381</vt:i4>
      </vt:variant>
      <vt:variant>
        <vt:i4>0</vt:i4>
      </vt:variant>
      <vt:variant>
        <vt:i4>5</vt:i4>
      </vt:variant>
      <vt:variant>
        <vt:lpwstr>https://ised-isde.canada.ca/site/spectrum-management-telecommunications/en/licences-and-certificates/satellite-services</vt:lpwstr>
      </vt:variant>
      <vt:variant>
        <vt:lpwstr/>
      </vt:variant>
      <vt:variant>
        <vt:i4>4194384</vt:i4>
      </vt:variant>
      <vt:variant>
        <vt:i4>378</vt:i4>
      </vt:variant>
      <vt:variant>
        <vt:i4>0</vt:i4>
      </vt:variant>
      <vt:variant>
        <vt:i4>5</vt:i4>
      </vt:variant>
      <vt:variant>
        <vt:lpwstr>https://www.ecfr.gov/current/title-47/chapter-I/subchapter-B/part-25</vt:lpwstr>
      </vt:variant>
      <vt:variant>
        <vt:lpwstr/>
      </vt:variant>
      <vt:variant>
        <vt:i4>4259852</vt:i4>
      </vt:variant>
      <vt:variant>
        <vt:i4>375</vt:i4>
      </vt:variant>
      <vt:variant>
        <vt:i4>0</vt:i4>
      </vt:variant>
      <vt:variant>
        <vt:i4>5</vt:i4>
      </vt:variant>
      <vt:variant>
        <vt:lpwstr>https://www.ofcom.org.uk/spectrum/information/satellites-space-science/satellite-filings</vt:lpwstr>
      </vt:variant>
      <vt:variant>
        <vt:lpwstr/>
      </vt:variant>
      <vt:variant>
        <vt:i4>196611</vt:i4>
      </vt:variant>
      <vt:variant>
        <vt:i4>372</vt:i4>
      </vt:variant>
      <vt:variant>
        <vt:i4>0</vt:i4>
      </vt:variant>
      <vt:variant>
        <vt:i4>5</vt:i4>
      </vt:variant>
      <vt:variant>
        <vt:lpwstr>https://www.itu.int/en/ITU-R/space/Pages/brificMain.aspx</vt:lpwstr>
      </vt:variant>
      <vt:variant>
        <vt:lpwstr/>
      </vt:variant>
      <vt:variant>
        <vt:i4>458801</vt:i4>
      </vt:variant>
      <vt:variant>
        <vt:i4>363</vt:i4>
      </vt:variant>
      <vt:variant>
        <vt:i4>0</vt:i4>
      </vt:variant>
      <vt:variant>
        <vt:i4>5</vt:i4>
      </vt:variant>
      <vt:variant>
        <vt:lpwstr>https://www.itu.int/dms_pub/itu-r/oth/0C/0A/R0C0A00000F0015PDFE.pdf</vt:lpwstr>
      </vt:variant>
      <vt:variant>
        <vt:lpwstr/>
      </vt:variant>
      <vt:variant>
        <vt:i4>7405678</vt:i4>
      </vt:variant>
      <vt:variant>
        <vt:i4>351</vt:i4>
      </vt:variant>
      <vt:variant>
        <vt:i4>0</vt:i4>
      </vt:variant>
      <vt:variant>
        <vt:i4>5</vt:i4>
      </vt:variant>
      <vt:variant>
        <vt:lpwstr>https://www.iaru.org/reference/satellites/</vt:lpwstr>
      </vt:variant>
      <vt:variant>
        <vt:lpwstr/>
      </vt:variant>
      <vt:variant>
        <vt:i4>5701701</vt:i4>
      </vt:variant>
      <vt:variant>
        <vt:i4>336</vt:i4>
      </vt:variant>
      <vt:variant>
        <vt:i4>0</vt:i4>
      </vt:variant>
      <vt:variant>
        <vt:i4>5</vt:i4>
      </vt:variant>
      <vt:variant>
        <vt:lpwstr>https://www.acma.gov.au/publications/2012-01/guide/satellite-coordination-and-notification-regulatory-environment</vt:lpwstr>
      </vt:variant>
      <vt:variant>
        <vt:lpwstr/>
      </vt:variant>
      <vt:variant>
        <vt:i4>4128816</vt:i4>
      </vt:variant>
      <vt:variant>
        <vt:i4>333</vt:i4>
      </vt:variant>
      <vt:variant>
        <vt:i4>0</vt:i4>
      </vt:variant>
      <vt:variant>
        <vt:i4>5</vt:i4>
      </vt:variant>
      <vt:variant>
        <vt:lpwstr>https://www.acma.gov.au/five-year-spectrum-outlook</vt:lpwstr>
      </vt:variant>
      <vt:variant>
        <vt:lpwstr/>
      </vt:variant>
      <vt:variant>
        <vt:i4>3276844</vt:i4>
      </vt:variant>
      <vt:variant>
        <vt:i4>330</vt:i4>
      </vt:variant>
      <vt:variant>
        <vt:i4>0</vt:i4>
      </vt:variant>
      <vt:variant>
        <vt:i4>5</vt:i4>
      </vt:variant>
      <vt:variant>
        <vt:lpwstr>https://www.acma.gov.au/consultations/2022-03/draft-five-year-spectrum-outlook-2022-27-consultation-122022</vt:lpwstr>
      </vt:variant>
      <vt:variant>
        <vt:lpwstr/>
      </vt:variant>
      <vt:variant>
        <vt:i4>2621537</vt:i4>
      </vt:variant>
      <vt:variant>
        <vt:i4>327</vt:i4>
      </vt:variant>
      <vt:variant>
        <vt:i4>0</vt:i4>
      </vt:variant>
      <vt:variant>
        <vt:i4>5</vt:i4>
      </vt:variant>
      <vt:variant>
        <vt:lpwstr>https://www.itu.int/en/ITU-R/conferences/RRB/Pages/default.aspx</vt:lpwstr>
      </vt:variant>
      <vt:variant>
        <vt:lpwstr/>
      </vt:variant>
      <vt:variant>
        <vt:i4>983053</vt:i4>
      </vt:variant>
      <vt:variant>
        <vt:i4>318</vt:i4>
      </vt:variant>
      <vt:variant>
        <vt:i4>0</vt:i4>
      </vt:variant>
      <vt:variant>
        <vt:i4>5</vt:i4>
      </vt:variant>
      <vt:variant>
        <vt:lpwstr>https://www.acma.gov.au/publications/2012-01/guide/australian-procedures-coordination-notification-satellite-systems</vt:lpwstr>
      </vt:variant>
      <vt:variant>
        <vt:lpwstr/>
      </vt:variant>
      <vt:variant>
        <vt:i4>1966150</vt:i4>
      </vt:variant>
      <vt:variant>
        <vt:i4>315</vt:i4>
      </vt:variant>
      <vt:variant>
        <vt:i4>0</vt:i4>
      </vt:variant>
      <vt:variant>
        <vt:i4>5</vt:i4>
      </vt:variant>
      <vt:variant>
        <vt:lpwstr>https://www.itu.int/pub/R-REG-RR</vt:lpwstr>
      </vt:variant>
      <vt:variant>
        <vt:lpwstr/>
      </vt:variant>
      <vt:variant>
        <vt:i4>4128871</vt:i4>
      </vt:variant>
      <vt:variant>
        <vt:i4>312</vt:i4>
      </vt:variant>
      <vt:variant>
        <vt:i4>0</vt:i4>
      </vt:variant>
      <vt:variant>
        <vt:i4>5</vt:i4>
      </vt:variant>
      <vt:variant>
        <vt:lpwstr>https://www.itu.int/wrc-23/</vt:lpwstr>
      </vt:variant>
      <vt:variant>
        <vt:lpwstr/>
      </vt:variant>
      <vt:variant>
        <vt:i4>2621537</vt:i4>
      </vt:variant>
      <vt:variant>
        <vt:i4>309</vt:i4>
      </vt:variant>
      <vt:variant>
        <vt:i4>0</vt:i4>
      </vt:variant>
      <vt:variant>
        <vt:i4>5</vt:i4>
      </vt:variant>
      <vt:variant>
        <vt:lpwstr>https://www.itu.int/en/ITU-R/conferences/RRB/Pages/default.aspx</vt:lpwstr>
      </vt:variant>
      <vt:variant>
        <vt:lpwstr/>
      </vt:variant>
      <vt:variant>
        <vt:i4>983053</vt:i4>
      </vt:variant>
      <vt:variant>
        <vt:i4>300</vt:i4>
      </vt:variant>
      <vt:variant>
        <vt:i4>0</vt:i4>
      </vt:variant>
      <vt:variant>
        <vt:i4>5</vt:i4>
      </vt:variant>
      <vt:variant>
        <vt:lpwstr>https://www.acma.gov.au/publications/2012-01/guide/australian-procedures-coordination-notification-satellite-systems</vt:lpwstr>
      </vt:variant>
      <vt:variant>
        <vt:lpwstr/>
      </vt:variant>
      <vt:variant>
        <vt:i4>4915221</vt:i4>
      </vt:variant>
      <vt:variant>
        <vt:i4>297</vt:i4>
      </vt:variant>
      <vt:variant>
        <vt:i4>0</vt:i4>
      </vt:variant>
      <vt:variant>
        <vt:i4>5</vt:i4>
      </vt:variant>
      <vt:variant>
        <vt:lpwstr>https://www.itu.int/en/Pages/default.aspx</vt:lpwstr>
      </vt:variant>
      <vt:variant>
        <vt:lpwstr/>
      </vt:variant>
      <vt:variant>
        <vt:i4>1769525</vt:i4>
      </vt:variant>
      <vt:variant>
        <vt:i4>290</vt:i4>
      </vt:variant>
      <vt:variant>
        <vt:i4>0</vt:i4>
      </vt:variant>
      <vt:variant>
        <vt:i4>5</vt:i4>
      </vt:variant>
      <vt:variant>
        <vt:lpwstr/>
      </vt:variant>
      <vt:variant>
        <vt:lpwstr>_Toc141973225</vt:lpwstr>
      </vt:variant>
      <vt:variant>
        <vt:i4>1769525</vt:i4>
      </vt:variant>
      <vt:variant>
        <vt:i4>284</vt:i4>
      </vt:variant>
      <vt:variant>
        <vt:i4>0</vt:i4>
      </vt:variant>
      <vt:variant>
        <vt:i4>5</vt:i4>
      </vt:variant>
      <vt:variant>
        <vt:lpwstr/>
      </vt:variant>
      <vt:variant>
        <vt:lpwstr>_Toc141973224</vt:lpwstr>
      </vt:variant>
      <vt:variant>
        <vt:i4>1769525</vt:i4>
      </vt:variant>
      <vt:variant>
        <vt:i4>278</vt:i4>
      </vt:variant>
      <vt:variant>
        <vt:i4>0</vt:i4>
      </vt:variant>
      <vt:variant>
        <vt:i4>5</vt:i4>
      </vt:variant>
      <vt:variant>
        <vt:lpwstr/>
      </vt:variant>
      <vt:variant>
        <vt:lpwstr>_Toc141973223</vt:lpwstr>
      </vt:variant>
      <vt:variant>
        <vt:i4>1769525</vt:i4>
      </vt:variant>
      <vt:variant>
        <vt:i4>272</vt:i4>
      </vt:variant>
      <vt:variant>
        <vt:i4>0</vt:i4>
      </vt:variant>
      <vt:variant>
        <vt:i4>5</vt:i4>
      </vt:variant>
      <vt:variant>
        <vt:lpwstr/>
      </vt:variant>
      <vt:variant>
        <vt:lpwstr>_Toc141973222</vt:lpwstr>
      </vt:variant>
      <vt:variant>
        <vt:i4>1769525</vt:i4>
      </vt:variant>
      <vt:variant>
        <vt:i4>266</vt:i4>
      </vt:variant>
      <vt:variant>
        <vt:i4>0</vt:i4>
      </vt:variant>
      <vt:variant>
        <vt:i4>5</vt:i4>
      </vt:variant>
      <vt:variant>
        <vt:lpwstr/>
      </vt:variant>
      <vt:variant>
        <vt:lpwstr>_Toc141973221</vt:lpwstr>
      </vt:variant>
      <vt:variant>
        <vt:i4>1769525</vt:i4>
      </vt:variant>
      <vt:variant>
        <vt:i4>260</vt:i4>
      </vt:variant>
      <vt:variant>
        <vt:i4>0</vt:i4>
      </vt:variant>
      <vt:variant>
        <vt:i4>5</vt:i4>
      </vt:variant>
      <vt:variant>
        <vt:lpwstr/>
      </vt:variant>
      <vt:variant>
        <vt:lpwstr>_Toc141973220</vt:lpwstr>
      </vt:variant>
      <vt:variant>
        <vt:i4>1572917</vt:i4>
      </vt:variant>
      <vt:variant>
        <vt:i4>254</vt:i4>
      </vt:variant>
      <vt:variant>
        <vt:i4>0</vt:i4>
      </vt:variant>
      <vt:variant>
        <vt:i4>5</vt:i4>
      </vt:variant>
      <vt:variant>
        <vt:lpwstr/>
      </vt:variant>
      <vt:variant>
        <vt:lpwstr>_Toc141973219</vt:lpwstr>
      </vt:variant>
      <vt:variant>
        <vt:i4>1572917</vt:i4>
      </vt:variant>
      <vt:variant>
        <vt:i4>248</vt:i4>
      </vt:variant>
      <vt:variant>
        <vt:i4>0</vt:i4>
      </vt:variant>
      <vt:variant>
        <vt:i4>5</vt:i4>
      </vt:variant>
      <vt:variant>
        <vt:lpwstr/>
      </vt:variant>
      <vt:variant>
        <vt:lpwstr>_Toc141973218</vt:lpwstr>
      </vt:variant>
      <vt:variant>
        <vt:i4>1572917</vt:i4>
      </vt:variant>
      <vt:variant>
        <vt:i4>242</vt:i4>
      </vt:variant>
      <vt:variant>
        <vt:i4>0</vt:i4>
      </vt:variant>
      <vt:variant>
        <vt:i4>5</vt:i4>
      </vt:variant>
      <vt:variant>
        <vt:lpwstr/>
      </vt:variant>
      <vt:variant>
        <vt:lpwstr>_Toc141973217</vt:lpwstr>
      </vt:variant>
      <vt:variant>
        <vt:i4>1572917</vt:i4>
      </vt:variant>
      <vt:variant>
        <vt:i4>236</vt:i4>
      </vt:variant>
      <vt:variant>
        <vt:i4>0</vt:i4>
      </vt:variant>
      <vt:variant>
        <vt:i4>5</vt:i4>
      </vt:variant>
      <vt:variant>
        <vt:lpwstr/>
      </vt:variant>
      <vt:variant>
        <vt:lpwstr>_Toc141973216</vt:lpwstr>
      </vt:variant>
      <vt:variant>
        <vt:i4>1572917</vt:i4>
      </vt:variant>
      <vt:variant>
        <vt:i4>230</vt:i4>
      </vt:variant>
      <vt:variant>
        <vt:i4>0</vt:i4>
      </vt:variant>
      <vt:variant>
        <vt:i4>5</vt:i4>
      </vt:variant>
      <vt:variant>
        <vt:lpwstr/>
      </vt:variant>
      <vt:variant>
        <vt:lpwstr>_Toc141973215</vt:lpwstr>
      </vt:variant>
      <vt:variant>
        <vt:i4>1572917</vt:i4>
      </vt:variant>
      <vt:variant>
        <vt:i4>224</vt:i4>
      </vt:variant>
      <vt:variant>
        <vt:i4>0</vt:i4>
      </vt:variant>
      <vt:variant>
        <vt:i4>5</vt:i4>
      </vt:variant>
      <vt:variant>
        <vt:lpwstr/>
      </vt:variant>
      <vt:variant>
        <vt:lpwstr>_Toc141973214</vt:lpwstr>
      </vt:variant>
      <vt:variant>
        <vt:i4>1572917</vt:i4>
      </vt:variant>
      <vt:variant>
        <vt:i4>218</vt:i4>
      </vt:variant>
      <vt:variant>
        <vt:i4>0</vt:i4>
      </vt:variant>
      <vt:variant>
        <vt:i4>5</vt:i4>
      </vt:variant>
      <vt:variant>
        <vt:lpwstr/>
      </vt:variant>
      <vt:variant>
        <vt:lpwstr>_Toc141973213</vt:lpwstr>
      </vt:variant>
      <vt:variant>
        <vt:i4>1572917</vt:i4>
      </vt:variant>
      <vt:variant>
        <vt:i4>212</vt:i4>
      </vt:variant>
      <vt:variant>
        <vt:i4>0</vt:i4>
      </vt:variant>
      <vt:variant>
        <vt:i4>5</vt:i4>
      </vt:variant>
      <vt:variant>
        <vt:lpwstr/>
      </vt:variant>
      <vt:variant>
        <vt:lpwstr>_Toc141973212</vt:lpwstr>
      </vt:variant>
      <vt:variant>
        <vt:i4>1572917</vt:i4>
      </vt:variant>
      <vt:variant>
        <vt:i4>206</vt:i4>
      </vt:variant>
      <vt:variant>
        <vt:i4>0</vt:i4>
      </vt:variant>
      <vt:variant>
        <vt:i4>5</vt:i4>
      </vt:variant>
      <vt:variant>
        <vt:lpwstr/>
      </vt:variant>
      <vt:variant>
        <vt:lpwstr>_Toc141973211</vt:lpwstr>
      </vt:variant>
      <vt:variant>
        <vt:i4>1572917</vt:i4>
      </vt:variant>
      <vt:variant>
        <vt:i4>200</vt:i4>
      </vt:variant>
      <vt:variant>
        <vt:i4>0</vt:i4>
      </vt:variant>
      <vt:variant>
        <vt:i4>5</vt:i4>
      </vt:variant>
      <vt:variant>
        <vt:lpwstr/>
      </vt:variant>
      <vt:variant>
        <vt:lpwstr>_Toc141973210</vt:lpwstr>
      </vt:variant>
      <vt:variant>
        <vt:i4>1638453</vt:i4>
      </vt:variant>
      <vt:variant>
        <vt:i4>194</vt:i4>
      </vt:variant>
      <vt:variant>
        <vt:i4>0</vt:i4>
      </vt:variant>
      <vt:variant>
        <vt:i4>5</vt:i4>
      </vt:variant>
      <vt:variant>
        <vt:lpwstr/>
      </vt:variant>
      <vt:variant>
        <vt:lpwstr>_Toc141973209</vt:lpwstr>
      </vt:variant>
      <vt:variant>
        <vt:i4>1638453</vt:i4>
      </vt:variant>
      <vt:variant>
        <vt:i4>188</vt:i4>
      </vt:variant>
      <vt:variant>
        <vt:i4>0</vt:i4>
      </vt:variant>
      <vt:variant>
        <vt:i4>5</vt:i4>
      </vt:variant>
      <vt:variant>
        <vt:lpwstr/>
      </vt:variant>
      <vt:variant>
        <vt:lpwstr>_Toc141973208</vt:lpwstr>
      </vt:variant>
      <vt:variant>
        <vt:i4>1638453</vt:i4>
      </vt:variant>
      <vt:variant>
        <vt:i4>182</vt:i4>
      </vt:variant>
      <vt:variant>
        <vt:i4>0</vt:i4>
      </vt:variant>
      <vt:variant>
        <vt:i4>5</vt:i4>
      </vt:variant>
      <vt:variant>
        <vt:lpwstr/>
      </vt:variant>
      <vt:variant>
        <vt:lpwstr>_Toc141973207</vt:lpwstr>
      </vt:variant>
      <vt:variant>
        <vt:i4>1638453</vt:i4>
      </vt:variant>
      <vt:variant>
        <vt:i4>176</vt:i4>
      </vt:variant>
      <vt:variant>
        <vt:i4>0</vt:i4>
      </vt:variant>
      <vt:variant>
        <vt:i4>5</vt:i4>
      </vt:variant>
      <vt:variant>
        <vt:lpwstr/>
      </vt:variant>
      <vt:variant>
        <vt:lpwstr>_Toc141973206</vt:lpwstr>
      </vt:variant>
      <vt:variant>
        <vt:i4>1638453</vt:i4>
      </vt:variant>
      <vt:variant>
        <vt:i4>170</vt:i4>
      </vt:variant>
      <vt:variant>
        <vt:i4>0</vt:i4>
      </vt:variant>
      <vt:variant>
        <vt:i4>5</vt:i4>
      </vt:variant>
      <vt:variant>
        <vt:lpwstr/>
      </vt:variant>
      <vt:variant>
        <vt:lpwstr>_Toc141973205</vt:lpwstr>
      </vt:variant>
      <vt:variant>
        <vt:i4>1638453</vt:i4>
      </vt:variant>
      <vt:variant>
        <vt:i4>164</vt:i4>
      </vt:variant>
      <vt:variant>
        <vt:i4>0</vt:i4>
      </vt:variant>
      <vt:variant>
        <vt:i4>5</vt:i4>
      </vt:variant>
      <vt:variant>
        <vt:lpwstr/>
      </vt:variant>
      <vt:variant>
        <vt:lpwstr>_Toc141973204</vt:lpwstr>
      </vt:variant>
      <vt:variant>
        <vt:i4>1638453</vt:i4>
      </vt:variant>
      <vt:variant>
        <vt:i4>158</vt:i4>
      </vt:variant>
      <vt:variant>
        <vt:i4>0</vt:i4>
      </vt:variant>
      <vt:variant>
        <vt:i4>5</vt:i4>
      </vt:variant>
      <vt:variant>
        <vt:lpwstr/>
      </vt:variant>
      <vt:variant>
        <vt:lpwstr>_Toc141973203</vt:lpwstr>
      </vt:variant>
      <vt:variant>
        <vt:i4>1638453</vt:i4>
      </vt:variant>
      <vt:variant>
        <vt:i4>152</vt:i4>
      </vt:variant>
      <vt:variant>
        <vt:i4>0</vt:i4>
      </vt:variant>
      <vt:variant>
        <vt:i4>5</vt:i4>
      </vt:variant>
      <vt:variant>
        <vt:lpwstr/>
      </vt:variant>
      <vt:variant>
        <vt:lpwstr>_Toc141973202</vt:lpwstr>
      </vt:variant>
      <vt:variant>
        <vt:i4>1638453</vt:i4>
      </vt:variant>
      <vt:variant>
        <vt:i4>146</vt:i4>
      </vt:variant>
      <vt:variant>
        <vt:i4>0</vt:i4>
      </vt:variant>
      <vt:variant>
        <vt:i4>5</vt:i4>
      </vt:variant>
      <vt:variant>
        <vt:lpwstr/>
      </vt:variant>
      <vt:variant>
        <vt:lpwstr>_Toc141973201</vt:lpwstr>
      </vt:variant>
      <vt:variant>
        <vt:i4>1638453</vt:i4>
      </vt:variant>
      <vt:variant>
        <vt:i4>140</vt:i4>
      </vt:variant>
      <vt:variant>
        <vt:i4>0</vt:i4>
      </vt:variant>
      <vt:variant>
        <vt:i4>5</vt:i4>
      </vt:variant>
      <vt:variant>
        <vt:lpwstr/>
      </vt:variant>
      <vt:variant>
        <vt:lpwstr>_Toc141973200</vt:lpwstr>
      </vt:variant>
      <vt:variant>
        <vt:i4>1048630</vt:i4>
      </vt:variant>
      <vt:variant>
        <vt:i4>134</vt:i4>
      </vt:variant>
      <vt:variant>
        <vt:i4>0</vt:i4>
      </vt:variant>
      <vt:variant>
        <vt:i4>5</vt:i4>
      </vt:variant>
      <vt:variant>
        <vt:lpwstr/>
      </vt:variant>
      <vt:variant>
        <vt:lpwstr>_Toc141973199</vt:lpwstr>
      </vt:variant>
      <vt:variant>
        <vt:i4>1048630</vt:i4>
      </vt:variant>
      <vt:variant>
        <vt:i4>128</vt:i4>
      </vt:variant>
      <vt:variant>
        <vt:i4>0</vt:i4>
      </vt:variant>
      <vt:variant>
        <vt:i4>5</vt:i4>
      </vt:variant>
      <vt:variant>
        <vt:lpwstr/>
      </vt:variant>
      <vt:variant>
        <vt:lpwstr>_Toc141973198</vt:lpwstr>
      </vt:variant>
      <vt:variant>
        <vt:i4>1048630</vt:i4>
      </vt:variant>
      <vt:variant>
        <vt:i4>122</vt:i4>
      </vt:variant>
      <vt:variant>
        <vt:i4>0</vt:i4>
      </vt:variant>
      <vt:variant>
        <vt:i4>5</vt:i4>
      </vt:variant>
      <vt:variant>
        <vt:lpwstr/>
      </vt:variant>
      <vt:variant>
        <vt:lpwstr>_Toc141973197</vt:lpwstr>
      </vt:variant>
      <vt:variant>
        <vt:i4>1048630</vt:i4>
      </vt:variant>
      <vt:variant>
        <vt:i4>116</vt:i4>
      </vt:variant>
      <vt:variant>
        <vt:i4>0</vt:i4>
      </vt:variant>
      <vt:variant>
        <vt:i4>5</vt:i4>
      </vt:variant>
      <vt:variant>
        <vt:lpwstr/>
      </vt:variant>
      <vt:variant>
        <vt:lpwstr>_Toc141973196</vt:lpwstr>
      </vt:variant>
      <vt:variant>
        <vt:i4>1048630</vt:i4>
      </vt:variant>
      <vt:variant>
        <vt:i4>110</vt:i4>
      </vt:variant>
      <vt:variant>
        <vt:i4>0</vt:i4>
      </vt:variant>
      <vt:variant>
        <vt:i4>5</vt:i4>
      </vt:variant>
      <vt:variant>
        <vt:lpwstr/>
      </vt:variant>
      <vt:variant>
        <vt:lpwstr>_Toc141973195</vt:lpwstr>
      </vt:variant>
      <vt:variant>
        <vt:i4>1048630</vt:i4>
      </vt:variant>
      <vt:variant>
        <vt:i4>104</vt:i4>
      </vt:variant>
      <vt:variant>
        <vt:i4>0</vt:i4>
      </vt:variant>
      <vt:variant>
        <vt:i4>5</vt:i4>
      </vt:variant>
      <vt:variant>
        <vt:lpwstr/>
      </vt:variant>
      <vt:variant>
        <vt:lpwstr>_Toc141973194</vt:lpwstr>
      </vt:variant>
      <vt:variant>
        <vt:i4>1048630</vt:i4>
      </vt:variant>
      <vt:variant>
        <vt:i4>98</vt:i4>
      </vt:variant>
      <vt:variant>
        <vt:i4>0</vt:i4>
      </vt:variant>
      <vt:variant>
        <vt:i4>5</vt:i4>
      </vt:variant>
      <vt:variant>
        <vt:lpwstr/>
      </vt:variant>
      <vt:variant>
        <vt:lpwstr>_Toc141973193</vt:lpwstr>
      </vt:variant>
      <vt:variant>
        <vt:i4>1048630</vt:i4>
      </vt:variant>
      <vt:variant>
        <vt:i4>92</vt:i4>
      </vt:variant>
      <vt:variant>
        <vt:i4>0</vt:i4>
      </vt:variant>
      <vt:variant>
        <vt:i4>5</vt:i4>
      </vt:variant>
      <vt:variant>
        <vt:lpwstr/>
      </vt:variant>
      <vt:variant>
        <vt:lpwstr>_Toc141973192</vt:lpwstr>
      </vt:variant>
      <vt:variant>
        <vt:i4>1048630</vt:i4>
      </vt:variant>
      <vt:variant>
        <vt:i4>86</vt:i4>
      </vt:variant>
      <vt:variant>
        <vt:i4>0</vt:i4>
      </vt:variant>
      <vt:variant>
        <vt:i4>5</vt:i4>
      </vt:variant>
      <vt:variant>
        <vt:lpwstr/>
      </vt:variant>
      <vt:variant>
        <vt:lpwstr>_Toc141973191</vt:lpwstr>
      </vt:variant>
      <vt:variant>
        <vt:i4>1048630</vt:i4>
      </vt:variant>
      <vt:variant>
        <vt:i4>80</vt:i4>
      </vt:variant>
      <vt:variant>
        <vt:i4>0</vt:i4>
      </vt:variant>
      <vt:variant>
        <vt:i4>5</vt:i4>
      </vt:variant>
      <vt:variant>
        <vt:lpwstr/>
      </vt:variant>
      <vt:variant>
        <vt:lpwstr>_Toc141973190</vt:lpwstr>
      </vt:variant>
      <vt:variant>
        <vt:i4>1114166</vt:i4>
      </vt:variant>
      <vt:variant>
        <vt:i4>74</vt:i4>
      </vt:variant>
      <vt:variant>
        <vt:i4>0</vt:i4>
      </vt:variant>
      <vt:variant>
        <vt:i4>5</vt:i4>
      </vt:variant>
      <vt:variant>
        <vt:lpwstr/>
      </vt:variant>
      <vt:variant>
        <vt:lpwstr>_Toc141973189</vt:lpwstr>
      </vt:variant>
      <vt:variant>
        <vt:i4>1114166</vt:i4>
      </vt:variant>
      <vt:variant>
        <vt:i4>68</vt:i4>
      </vt:variant>
      <vt:variant>
        <vt:i4>0</vt:i4>
      </vt:variant>
      <vt:variant>
        <vt:i4>5</vt:i4>
      </vt:variant>
      <vt:variant>
        <vt:lpwstr/>
      </vt:variant>
      <vt:variant>
        <vt:lpwstr>_Toc141973188</vt:lpwstr>
      </vt:variant>
      <vt:variant>
        <vt:i4>1114166</vt:i4>
      </vt:variant>
      <vt:variant>
        <vt:i4>62</vt:i4>
      </vt:variant>
      <vt:variant>
        <vt:i4>0</vt:i4>
      </vt:variant>
      <vt:variant>
        <vt:i4>5</vt:i4>
      </vt:variant>
      <vt:variant>
        <vt:lpwstr/>
      </vt:variant>
      <vt:variant>
        <vt:lpwstr>_Toc141973187</vt:lpwstr>
      </vt:variant>
      <vt:variant>
        <vt:i4>1114166</vt:i4>
      </vt:variant>
      <vt:variant>
        <vt:i4>56</vt:i4>
      </vt:variant>
      <vt:variant>
        <vt:i4>0</vt:i4>
      </vt:variant>
      <vt:variant>
        <vt:i4>5</vt:i4>
      </vt:variant>
      <vt:variant>
        <vt:lpwstr/>
      </vt:variant>
      <vt:variant>
        <vt:lpwstr>_Toc141973186</vt:lpwstr>
      </vt:variant>
      <vt:variant>
        <vt:i4>1114166</vt:i4>
      </vt:variant>
      <vt:variant>
        <vt:i4>50</vt:i4>
      </vt:variant>
      <vt:variant>
        <vt:i4>0</vt:i4>
      </vt:variant>
      <vt:variant>
        <vt:i4>5</vt:i4>
      </vt:variant>
      <vt:variant>
        <vt:lpwstr/>
      </vt:variant>
      <vt:variant>
        <vt:lpwstr>_Toc141973185</vt:lpwstr>
      </vt:variant>
      <vt:variant>
        <vt:i4>1114166</vt:i4>
      </vt:variant>
      <vt:variant>
        <vt:i4>44</vt:i4>
      </vt:variant>
      <vt:variant>
        <vt:i4>0</vt:i4>
      </vt:variant>
      <vt:variant>
        <vt:i4>5</vt:i4>
      </vt:variant>
      <vt:variant>
        <vt:lpwstr/>
      </vt:variant>
      <vt:variant>
        <vt:lpwstr>_Toc141973184</vt:lpwstr>
      </vt:variant>
      <vt:variant>
        <vt:i4>1114166</vt:i4>
      </vt:variant>
      <vt:variant>
        <vt:i4>38</vt:i4>
      </vt:variant>
      <vt:variant>
        <vt:i4>0</vt:i4>
      </vt:variant>
      <vt:variant>
        <vt:i4>5</vt:i4>
      </vt:variant>
      <vt:variant>
        <vt:lpwstr/>
      </vt:variant>
      <vt:variant>
        <vt:lpwstr>_Toc141973183</vt:lpwstr>
      </vt:variant>
      <vt:variant>
        <vt:i4>1114166</vt:i4>
      </vt:variant>
      <vt:variant>
        <vt:i4>32</vt:i4>
      </vt:variant>
      <vt:variant>
        <vt:i4>0</vt:i4>
      </vt:variant>
      <vt:variant>
        <vt:i4>5</vt:i4>
      </vt:variant>
      <vt:variant>
        <vt:lpwstr/>
      </vt:variant>
      <vt:variant>
        <vt:lpwstr>_Toc141973182</vt:lpwstr>
      </vt:variant>
      <vt:variant>
        <vt:i4>1114166</vt:i4>
      </vt:variant>
      <vt:variant>
        <vt:i4>26</vt:i4>
      </vt:variant>
      <vt:variant>
        <vt:i4>0</vt:i4>
      </vt:variant>
      <vt:variant>
        <vt:i4>5</vt:i4>
      </vt:variant>
      <vt:variant>
        <vt:lpwstr/>
      </vt:variant>
      <vt:variant>
        <vt:lpwstr>_Toc141973181</vt:lpwstr>
      </vt:variant>
      <vt:variant>
        <vt:i4>1114166</vt:i4>
      </vt:variant>
      <vt:variant>
        <vt:i4>20</vt:i4>
      </vt:variant>
      <vt:variant>
        <vt:i4>0</vt:i4>
      </vt:variant>
      <vt:variant>
        <vt:i4>5</vt:i4>
      </vt:variant>
      <vt:variant>
        <vt:lpwstr/>
      </vt:variant>
      <vt:variant>
        <vt:lpwstr>_Toc141973180</vt:lpwstr>
      </vt:variant>
      <vt:variant>
        <vt:i4>1966134</vt:i4>
      </vt:variant>
      <vt:variant>
        <vt:i4>14</vt:i4>
      </vt:variant>
      <vt:variant>
        <vt:i4>0</vt:i4>
      </vt:variant>
      <vt:variant>
        <vt:i4>5</vt:i4>
      </vt:variant>
      <vt:variant>
        <vt:lpwstr/>
      </vt:variant>
      <vt:variant>
        <vt:lpwstr>_Toc141973179</vt:lpwstr>
      </vt:variant>
      <vt:variant>
        <vt:i4>1966134</vt:i4>
      </vt:variant>
      <vt:variant>
        <vt:i4>8</vt:i4>
      </vt:variant>
      <vt:variant>
        <vt:i4>0</vt:i4>
      </vt:variant>
      <vt:variant>
        <vt:i4>5</vt:i4>
      </vt:variant>
      <vt:variant>
        <vt:lpwstr/>
      </vt:variant>
      <vt:variant>
        <vt:lpwstr>_Toc141973178</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5832711</vt:i4>
      </vt:variant>
      <vt:variant>
        <vt:i4>63</vt:i4>
      </vt:variant>
      <vt:variant>
        <vt:i4>0</vt:i4>
      </vt:variant>
      <vt:variant>
        <vt:i4>5</vt:i4>
      </vt:variant>
      <vt:variant>
        <vt:lpwstr>https://www.itu.int/hub/publication/s-conf-plen-2022/</vt:lpwstr>
      </vt:variant>
      <vt:variant>
        <vt:lpwstr/>
      </vt:variant>
      <vt:variant>
        <vt:i4>4325459</vt:i4>
      </vt:variant>
      <vt:variant>
        <vt:i4>60</vt:i4>
      </vt:variant>
      <vt:variant>
        <vt:i4>0</vt:i4>
      </vt:variant>
      <vt:variant>
        <vt:i4>5</vt:i4>
      </vt:variant>
      <vt:variant>
        <vt:lpwstr>https://www.itu.int/pub/R-REG-ROP/en</vt:lpwstr>
      </vt:variant>
      <vt:variant>
        <vt:lpwstr/>
      </vt:variant>
      <vt:variant>
        <vt:i4>4522005</vt:i4>
      </vt:variant>
      <vt:variant>
        <vt:i4>57</vt:i4>
      </vt:variant>
      <vt:variant>
        <vt:i4>0</vt:i4>
      </vt:variant>
      <vt:variant>
        <vt:i4>5</vt:i4>
      </vt:variant>
      <vt:variant>
        <vt:lpwstr>https://www.itu.int/md/R23-RRB23.2-C-0002/en</vt:lpwstr>
      </vt:variant>
      <vt:variant>
        <vt:lpwstr/>
      </vt:variant>
      <vt:variant>
        <vt:i4>1376300</vt:i4>
      </vt:variant>
      <vt:variant>
        <vt:i4>54</vt:i4>
      </vt:variant>
      <vt:variant>
        <vt:i4>0</vt:i4>
      </vt:variant>
      <vt:variant>
        <vt:i4>5</vt:i4>
      </vt:variant>
      <vt:variant>
        <vt:lpwstr>https://www.itu.int/net/ITU-R/space/costrec/free_ent.asp</vt:lpwstr>
      </vt:variant>
      <vt:variant>
        <vt:lpwstr/>
      </vt:variant>
      <vt:variant>
        <vt:i4>6815802</vt:i4>
      </vt:variant>
      <vt:variant>
        <vt:i4>51</vt:i4>
      </vt:variant>
      <vt:variant>
        <vt:i4>0</vt:i4>
      </vt:variant>
      <vt:variant>
        <vt:i4>5</vt:i4>
      </vt:variant>
      <vt:variant>
        <vt:lpwstr>https://www.itu.int/en/ITU-R/space/costrecovery/Pages/default.aspx</vt:lpwstr>
      </vt:variant>
      <vt:variant>
        <vt:lpwstr/>
      </vt:variant>
      <vt:variant>
        <vt:i4>2293814</vt:i4>
      </vt:variant>
      <vt:variant>
        <vt:i4>48</vt:i4>
      </vt:variant>
      <vt:variant>
        <vt:i4>0</vt:i4>
      </vt:variant>
      <vt:variant>
        <vt:i4>5</vt:i4>
      </vt:variant>
      <vt:variant>
        <vt:lpwstr>https://licensing.fcc.gov/cgi-bin/ws.exe/prod/ib/forms/reports/swr014b.hts</vt:lpwstr>
      </vt:variant>
      <vt:variant>
        <vt:lpwstr/>
      </vt:variant>
      <vt:variant>
        <vt:i4>2621559</vt:i4>
      </vt:variant>
      <vt:variant>
        <vt:i4>45</vt:i4>
      </vt:variant>
      <vt:variant>
        <vt:i4>0</vt:i4>
      </vt:variant>
      <vt:variant>
        <vt:i4>5</vt:i4>
      </vt:variant>
      <vt:variant>
        <vt:lpwstr>https://www.fcc.gov/approved-space-station-list</vt:lpwstr>
      </vt:variant>
      <vt:variant>
        <vt:lpwstr/>
      </vt:variant>
      <vt:variant>
        <vt:i4>6094921</vt:i4>
      </vt:variant>
      <vt:variant>
        <vt:i4>42</vt:i4>
      </vt:variant>
      <vt:variant>
        <vt:i4>0</vt:i4>
      </vt:variant>
      <vt:variant>
        <vt:i4>5</vt:i4>
      </vt:variant>
      <vt:variant>
        <vt:lpwstr>https://www.industry.gov.au/policies-and-initiatives/australian-space-agency/international-collaboration-on-space</vt:lpwstr>
      </vt:variant>
      <vt:variant>
        <vt:lpwstr/>
      </vt:variant>
      <vt:variant>
        <vt:i4>6160455</vt:i4>
      </vt:variant>
      <vt:variant>
        <vt:i4>39</vt:i4>
      </vt:variant>
      <vt:variant>
        <vt:i4>0</vt:i4>
      </vt:variant>
      <vt:variant>
        <vt:i4>5</vt:i4>
      </vt:variant>
      <vt:variant>
        <vt:lpwstr>https://www.ofcom.org.uk/consultations-and-statements/category-2/non-geostationary-satellite-systems</vt:lpwstr>
      </vt:variant>
      <vt:variant>
        <vt:lpwstr/>
      </vt:variant>
      <vt:variant>
        <vt:i4>393270</vt:i4>
      </vt:variant>
      <vt:variant>
        <vt:i4>36</vt:i4>
      </vt:variant>
      <vt:variant>
        <vt:i4>0</vt:i4>
      </vt:variant>
      <vt:variant>
        <vt:i4>5</vt:i4>
      </vt:variant>
      <vt:variant>
        <vt:lpwstr>https://www.itu.int/dms_pub/itu-r/oth/0C/0A/R0C0A00000F0002PDFE.pdf</vt:lpwstr>
      </vt:variant>
      <vt:variant>
        <vt:lpwstr/>
      </vt:variant>
      <vt:variant>
        <vt:i4>3276844</vt:i4>
      </vt:variant>
      <vt:variant>
        <vt:i4>33</vt:i4>
      </vt:variant>
      <vt:variant>
        <vt:i4>0</vt:i4>
      </vt:variant>
      <vt:variant>
        <vt:i4>5</vt:i4>
      </vt:variant>
      <vt:variant>
        <vt:lpwstr>https://www.acma.gov.au/consultations/2022-03/draft-five-year-spectrum-outlook-2022-27-consultation-122022</vt:lpwstr>
      </vt:variant>
      <vt:variant>
        <vt:lpwstr/>
      </vt:variant>
      <vt:variant>
        <vt:i4>3538983</vt:i4>
      </vt:variant>
      <vt:variant>
        <vt:i4>30</vt:i4>
      </vt:variant>
      <vt:variant>
        <vt:i4>0</vt:i4>
      </vt:variant>
      <vt:variant>
        <vt:i4>5</vt:i4>
      </vt:variant>
      <vt:variant>
        <vt:lpwstr>https://www.acma.gov.au/consultations/2023-03/draft-five-year-spectrum-outlook-2023-28</vt:lpwstr>
      </vt:variant>
      <vt:variant>
        <vt:lpwstr/>
      </vt:variant>
      <vt:variant>
        <vt:i4>4194384</vt:i4>
      </vt:variant>
      <vt:variant>
        <vt:i4>27</vt:i4>
      </vt:variant>
      <vt:variant>
        <vt:i4>0</vt:i4>
      </vt:variant>
      <vt:variant>
        <vt:i4>5</vt:i4>
      </vt:variant>
      <vt:variant>
        <vt:lpwstr>https://www.ecfr.gov/current/title-47/chapter-I/subchapter-B/part-25</vt:lpwstr>
      </vt:variant>
      <vt:variant>
        <vt:lpwstr/>
      </vt:variant>
      <vt:variant>
        <vt:i4>6291516</vt:i4>
      </vt:variant>
      <vt:variant>
        <vt:i4>24</vt:i4>
      </vt:variant>
      <vt:variant>
        <vt:i4>0</vt:i4>
      </vt:variant>
      <vt:variant>
        <vt:i4>5</vt:i4>
      </vt:variant>
      <vt:variant>
        <vt:lpwstr>https://ised-isde.canada.ca/site/spectrum-management-telecommunications/en/learn-more/key-documents/procedures/client-procedures-circulars-cpc/cpc-2-6-02-licensing-space-stations</vt:lpwstr>
      </vt:variant>
      <vt:variant>
        <vt:lpwstr/>
      </vt:variant>
      <vt:variant>
        <vt:i4>4325445</vt:i4>
      </vt:variant>
      <vt:variant>
        <vt:i4>21</vt:i4>
      </vt:variant>
      <vt:variant>
        <vt:i4>0</vt:i4>
      </vt:variant>
      <vt:variant>
        <vt:i4>5</vt:i4>
      </vt:variant>
      <vt:variant>
        <vt:lpwstr>https://www.fcc.gov/wireless/bureau-divisions/technologies-systems-and-innovation-division/rules-regulations-title-47</vt:lpwstr>
      </vt:variant>
      <vt:variant>
        <vt:lpwstr/>
      </vt:variant>
      <vt:variant>
        <vt:i4>17</vt:i4>
      </vt:variant>
      <vt:variant>
        <vt:i4>18</vt:i4>
      </vt:variant>
      <vt:variant>
        <vt:i4>0</vt:i4>
      </vt:variant>
      <vt:variant>
        <vt:i4>5</vt:i4>
      </vt:variant>
      <vt:variant>
        <vt:lpwstr>https://www.legislation.gov.au/Series/C2004A00818</vt:lpwstr>
      </vt:variant>
      <vt:variant>
        <vt:lpwstr/>
      </vt:variant>
      <vt:variant>
        <vt:i4>983053</vt:i4>
      </vt:variant>
      <vt:variant>
        <vt:i4>15</vt:i4>
      </vt:variant>
      <vt:variant>
        <vt:i4>0</vt:i4>
      </vt:variant>
      <vt:variant>
        <vt:i4>5</vt:i4>
      </vt:variant>
      <vt:variant>
        <vt:lpwstr>https://www.acma.gov.au/publications/2012-01/guide/australian-procedures-coordination-notification-satellite-systems</vt:lpwstr>
      </vt:variant>
      <vt:variant>
        <vt:lpwstr/>
      </vt:variant>
      <vt:variant>
        <vt:i4>458801</vt:i4>
      </vt:variant>
      <vt:variant>
        <vt:i4>12</vt:i4>
      </vt:variant>
      <vt:variant>
        <vt:i4>0</vt:i4>
      </vt:variant>
      <vt:variant>
        <vt:i4>5</vt:i4>
      </vt:variant>
      <vt:variant>
        <vt:lpwstr>https://www.itu.int/dms_pub/itu-r/oth/0C/0A/R0C0A00000F0015PDFE.pdf</vt:lpwstr>
      </vt:variant>
      <vt:variant>
        <vt:lpwstr/>
      </vt:variant>
      <vt:variant>
        <vt:i4>1572885</vt:i4>
      </vt:variant>
      <vt:variant>
        <vt:i4>9</vt:i4>
      </vt:variant>
      <vt:variant>
        <vt:i4>0</vt:i4>
      </vt:variant>
      <vt:variant>
        <vt:i4>5</vt:i4>
      </vt:variant>
      <vt:variant>
        <vt:lpwstr>https://www.acma.gov.au/sites/default/files/2022-09/Response to submissions to Draft FYSO 2022-27.pdf</vt:lpwstr>
      </vt:variant>
      <vt:variant>
        <vt:lpwstr/>
      </vt:variant>
      <vt:variant>
        <vt:i4>3145746</vt:i4>
      </vt:variant>
      <vt:variant>
        <vt:i4>6</vt:i4>
      </vt:variant>
      <vt:variant>
        <vt:i4>0</vt:i4>
      </vt:variant>
      <vt:variant>
        <vt:i4>5</vt:i4>
      </vt:variant>
      <vt:variant>
        <vt:lpwstr>https://webarchive.nla.gov.au/awa/20120316193650/http:/www.acma.gov.au/WEB/STANDARD/pc=PC_410198</vt:lpwstr>
      </vt:variant>
      <vt:variant>
        <vt:lpwstr/>
      </vt:variant>
      <vt:variant>
        <vt:i4>7012406</vt:i4>
      </vt:variant>
      <vt:variant>
        <vt:i4>3</vt:i4>
      </vt:variant>
      <vt:variant>
        <vt:i4>0</vt:i4>
      </vt:variant>
      <vt:variant>
        <vt:i4>5</vt:i4>
      </vt:variant>
      <vt:variant>
        <vt:lpwstr>https://webarchive.nla.gov.au/awa/20020103155234/http:/www.aca.gov.au/sst/before/sstbef-asscriteria.htm</vt:lpwstr>
      </vt:variant>
      <vt:variant>
        <vt:lpwstr/>
      </vt:variant>
      <vt:variant>
        <vt:i4>3735627</vt:i4>
      </vt:variant>
      <vt:variant>
        <vt:i4>0</vt:i4>
      </vt:variant>
      <vt:variant>
        <vt:i4>0</vt:i4>
      </vt:variant>
      <vt:variant>
        <vt:i4>5</vt:i4>
      </vt:variant>
      <vt:variant>
        <vt:lpwstr>https://webarchive.nla.gov.au/awa/20101018222531/http:/acma.gov.au/WEB/STANDARD/pc=PC_312294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2023-09-04T04:42:00Z</dcterms:created>
  <dcterms:modified xsi:type="dcterms:W3CDTF">2023-09-04T04:43:00Z</dcterms:modified>
  <cp:category/>
</cp:coreProperties>
</file>